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2CFBA6" w14:textId="717238E3" w:rsidR="00C232D7" w:rsidRPr="0035491B" w:rsidRDefault="00C232D7" w:rsidP="00C232D7">
      <w:pPr>
        <w:spacing w:line="360" w:lineRule="auto"/>
        <w:rPr>
          <w:rFonts w:ascii="Arial" w:hAnsi="Arial" w:cs="Arial"/>
          <w:lang w:val="sq-AL"/>
        </w:rPr>
      </w:pPr>
      <w:r w:rsidRPr="0035491B">
        <w:rPr>
          <w:rFonts w:ascii="Arial" w:hAnsi="Arial" w:cs="Arial"/>
          <w:lang w:val="sq-AL"/>
        </w:rPr>
        <w:t xml:space="preserve">Na osnovu člana 26 </w:t>
      </w:r>
      <w:r w:rsidR="00735A6A">
        <w:rPr>
          <w:rFonts w:ascii="Arial" w:hAnsi="Arial" w:cs="Arial"/>
          <w:lang w:val="sq-AL"/>
        </w:rPr>
        <w:t xml:space="preserve">stav 6 </w:t>
      </w:r>
      <w:r w:rsidRPr="0035491B">
        <w:rPr>
          <w:rFonts w:ascii="Arial" w:hAnsi="Arial" w:cs="Arial"/>
          <w:lang w:val="sq-AL"/>
        </w:rPr>
        <w:t xml:space="preserve">Zakona o upravljanju otpadom </w:t>
      </w:r>
      <w:r w:rsidRPr="0035491B">
        <w:rPr>
          <w:rFonts w:ascii="Arial" w:hAnsi="Arial" w:cs="Arial"/>
          <w:bCs/>
          <w:lang w:val="sq-AL"/>
        </w:rPr>
        <w:t>("Službeni list Crne Gore", broj 34/24, 92/24)</w:t>
      </w:r>
      <w:r w:rsidRPr="0035491B">
        <w:rPr>
          <w:rFonts w:ascii="Arial" w:hAnsi="Arial" w:cs="Arial"/>
          <w:lang w:val="sq-AL"/>
        </w:rPr>
        <w:t xml:space="preserve">, Vlada Crne Gore na sjednici od </w:t>
      </w:r>
      <w:r w:rsidRPr="000644F1">
        <w:rPr>
          <w:rFonts w:ascii="Arial" w:hAnsi="Arial" w:cs="Arial"/>
          <w:lang w:val="sq-AL"/>
        </w:rPr>
        <w:t>................2025</w:t>
      </w:r>
      <w:r w:rsidRPr="0035491B">
        <w:rPr>
          <w:rFonts w:ascii="Arial" w:hAnsi="Arial" w:cs="Arial"/>
          <w:lang w:val="sq-AL"/>
        </w:rPr>
        <w:t xml:space="preserve"> godine, donijela je</w:t>
      </w:r>
    </w:p>
    <w:p w14:paraId="04BED3DE" w14:textId="66F8607E" w:rsidR="00C232D7" w:rsidRPr="002A6F4E" w:rsidRDefault="00C232D7" w:rsidP="00C232D7">
      <w:pPr>
        <w:tabs>
          <w:tab w:val="left" w:pos="6103"/>
        </w:tabs>
        <w:spacing w:line="360" w:lineRule="auto"/>
        <w:rPr>
          <w:rFonts w:ascii="Arial" w:hAnsi="Arial" w:cs="Arial"/>
          <w:lang w:val="sq-AL"/>
        </w:rPr>
      </w:pPr>
      <w:r w:rsidRPr="002A6F4E">
        <w:rPr>
          <w:rFonts w:ascii="Arial" w:hAnsi="Arial" w:cs="Arial"/>
          <w:lang w:val="sq-AL"/>
        </w:rPr>
        <w:tab/>
      </w:r>
    </w:p>
    <w:p w14:paraId="27D2A6D8" w14:textId="77777777" w:rsidR="00C232D7" w:rsidRPr="002A6F4E" w:rsidRDefault="00C232D7" w:rsidP="00C232D7">
      <w:pPr>
        <w:spacing w:line="360" w:lineRule="auto"/>
        <w:rPr>
          <w:rFonts w:ascii="Arial" w:hAnsi="Arial" w:cs="Arial"/>
          <w:lang w:val="sq-AL"/>
        </w:rPr>
      </w:pPr>
    </w:p>
    <w:p w14:paraId="575772FA" w14:textId="77777777" w:rsidR="00C232D7" w:rsidRPr="002A6F4E" w:rsidRDefault="00C232D7" w:rsidP="00C232D7">
      <w:pPr>
        <w:spacing w:line="360" w:lineRule="auto"/>
        <w:rPr>
          <w:rFonts w:ascii="Arial" w:hAnsi="Arial" w:cs="Arial"/>
          <w:lang w:val="sq-AL"/>
        </w:rPr>
      </w:pPr>
    </w:p>
    <w:p w14:paraId="50E2B7BD" w14:textId="77777777" w:rsidR="00C232D7" w:rsidRPr="002A6F4E" w:rsidRDefault="00C232D7" w:rsidP="00C232D7">
      <w:pPr>
        <w:spacing w:line="360" w:lineRule="auto"/>
        <w:rPr>
          <w:rFonts w:ascii="Arial" w:hAnsi="Arial" w:cs="Arial"/>
          <w:lang w:val="sq-AL"/>
        </w:rPr>
      </w:pPr>
    </w:p>
    <w:p w14:paraId="24AF9C1D" w14:textId="77777777" w:rsidR="00C232D7" w:rsidRPr="002A6F4E" w:rsidRDefault="00C232D7" w:rsidP="00C232D7">
      <w:pPr>
        <w:spacing w:line="360" w:lineRule="auto"/>
        <w:rPr>
          <w:rFonts w:ascii="Arial" w:hAnsi="Arial" w:cs="Arial"/>
          <w:lang w:val="sq-AL"/>
        </w:rPr>
      </w:pPr>
    </w:p>
    <w:p w14:paraId="0004BED5" w14:textId="77777777" w:rsidR="00C232D7" w:rsidRPr="002A6F4E" w:rsidRDefault="00C232D7" w:rsidP="00C232D7">
      <w:pPr>
        <w:spacing w:line="360" w:lineRule="auto"/>
        <w:rPr>
          <w:rFonts w:ascii="Arial" w:hAnsi="Arial" w:cs="Arial"/>
          <w:lang w:val="sq-AL"/>
        </w:rPr>
      </w:pPr>
    </w:p>
    <w:p w14:paraId="5119B0FE" w14:textId="77777777" w:rsidR="00C232D7" w:rsidRPr="002A6F4E" w:rsidRDefault="00C232D7" w:rsidP="00C232D7">
      <w:pPr>
        <w:spacing w:line="360" w:lineRule="auto"/>
        <w:rPr>
          <w:rFonts w:ascii="Arial" w:hAnsi="Arial" w:cs="Arial"/>
          <w:lang w:val="sq-AL"/>
        </w:rPr>
      </w:pPr>
    </w:p>
    <w:p w14:paraId="61A7E248" w14:textId="77777777" w:rsidR="00C232D7" w:rsidRPr="002A6F4E" w:rsidRDefault="00C232D7" w:rsidP="00C232D7">
      <w:pPr>
        <w:spacing w:line="360" w:lineRule="auto"/>
        <w:rPr>
          <w:rFonts w:ascii="Arial" w:hAnsi="Arial" w:cs="Arial"/>
          <w:lang w:val="sq-AL"/>
        </w:rPr>
      </w:pPr>
    </w:p>
    <w:p w14:paraId="00A0BBFA" w14:textId="77777777" w:rsidR="00C232D7" w:rsidRPr="002A6F4E" w:rsidRDefault="00C232D7" w:rsidP="00C232D7">
      <w:pPr>
        <w:spacing w:line="360" w:lineRule="auto"/>
        <w:rPr>
          <w:rFonts w:ascii="Arial" w:hAnsi="Arial" w:cs="Arial"/>
          <w:lang w:val="sq-AL"/>
        </w:rPr>
      </w:pPr>
    </w:p>
    <w:p w14:paraId="315814CD" w14:textId="77777777" w:rsidR="00C232D7" w:rsidRPr="002A6F4E" w:rsidRDefault="00C232D7" w:rsidP="00C232D7">
      <w:pPr>
        <w:spacing w:line="360" w:lineRule="auto"/>
        <w:ind w:right="-20"/>
        <w:jc w:val="center"/>
        <w:rPr>
          <w:rFonts w:ascii="Arial" w:eastAsia="Arial" w:hAnsi="Arial" w:cs="Arial"/>
          <w:b/>
          <w:bCs/>
          <w:color w:val="FFFFFF"/>
          <w:lang w:val="sq-AL"/>
        </w:rPr>
      </w:pPr>
      <w:bookmarkStart w:id="0" w:name="Project_Number"/>
      <w:bookmarkEnd w:id="0"/>
    </w:p>
    <w:p w14:paraId="1B22D20B" w14:textId="77777777" w:rsidR="00C232D7" w:rsidRPr="002A6F4E" w:rsidRDefault="00C232D7" w:rsidP="00C232D7">
      <w:pPr>
        <w:spacing w:line="360" w:lineRule="auto"/>
        <w:ind w:right="-20"/>
        <w:rPr>
          <w:rFonts w:ascii="Arial" w:eastAsia="Arial" w:hAnsi="Arial" w:cs="Arial"/>
          <w:b/>
          <w:bCs/>
          <w:color w:val="FFFFFF"/>
          <w:lang w:val="sq-AL"/>
        </w:rPr>
      </w:pPr>
    </w:p>
    <w:p w14:paraId="21E0BF9C" w14:textId="079FDEA1" w:rsidR="00C232D7" w:rsidRPr="004A4FBC" w:rsidRDefault="00C232D7" w:rsidP="00C232D7">
      <w:pPr>
        <w:pStyle w:val="Header"/>
        <w:spacing w:line="360" w:lineRule="auto"/>
        <w:jc w:val="center"/>
        <w:rPr>
          <w:rFonts w:cs="Arial"/>
          <w:b/>
          <w:bCs/>
          <w:sz w:val="22"/>
          <w:szCs w:val="20"/>
          <w:lang w:val="en-GB"/>
        </w:rPr>
      </w:pPr>
      <w:r w:rsidRPr="004A4FBC">
        <w:rPr>
          <w:rFonts w:cs="Arial"/>
          <w:b/>
          <w:bCs/>
          <w:sz w:val="22"/>
          <w:szCs w:val="20"/>
          <w:lang w:val="en-GB"/>
        </w:rPr>
        <w:t xml:space="preserve">Državni plan upravljanja otpadom za period </w:t>
      </w:r>
      <w:r w:rsidRPr="0035491B">
        <w:rPr>
          <w:rFonts w:cs="Arial"/>
          <w:b/>
          <w:bCs/>
          <w:sz w:val="20"/>
          <w:szCs w:val="20"/>
          <w:lang w:val="en-GB"/>
        </w:rPr>
        <w:t>2025-2029.</w:t>
      </w:r>
      <w:r w:rsidR="006932AF">
        <w:rPr>
          <w:rFonts w:cs="Arial"/>
          <w:b/>
          <w:bCs/>
          <w:sz w:val="20"/>
          <w:szCs w:val="20"/>
          <w:lang w:val="en-GB"/>
        </w:rPr>
        <w:t xml:space="preserve"> </w:t>
      </w:r>
      <w:r w:rsidR="006932AF" w:rsidRPr="003202E2">
        <w:rPr>
          <w:rFonts w:cs="Arial"/>
          <w:b/>
          <w:bCs/>
          <w:sz w:val="22"/>
          <w:szCs w:val="20"/>
          <w:lang w:val="en-GB"/>
        </w:rPr>
        <w:t>godina</w:t>
      </w:r>
    </w:p>
    <w:p w14:paraId="46238A11" w14:textId="77777777" w:rsidR="00C232D7" w:rsidRPr="002A6F4E" w:rsidRDefault="00C232D7" w:rsidP="00C232D7">
      <w:pPr>
        <w:spacing w:line="360" w:lineRule="auto"/>
        <w:ind w:right="-20"/>
        <w:rPr>
          <w:rFonts w:ascii="Arial" w:eastAsia="Arial" w:hAnsi="Arial" w:cs="Arial"/>
          <w:b/>
          <w:bCs/>
          <w:color w:val="FFFFFF"/>
          <w:lang w:val="sq-AL"/>
        </w:rPr>
      </w:pPr>
    </w:p>
    <w:p w14:paraId="5C748DD2" w14:textId="77777777" w:rsidR="00C232D7" w:rsidRPr="002A6F4E" w:rsidRDefault="00C232D7" w:rsidP="00C232D7">
      <w:pPr>
        <w:spacing w:line="360" w:lineRule="auto"/>
        <w:ind w:right="-20"/>
        <w:rPr>
          <w:rFonts w:ascii="Arial" w:eastAsia="Arial" w:hAnsi="Arial" w:cs="Arial"/>
          <w:b/>
          <w:bCs/>
          <w:color w:val="FFFFFF"/>
          <w:lang w:val="sq-AL"/>
        </w:rPr>
      </w:pPr>
    </w:p>
    <w:p w14:paraId="7E719923" w14:textId="77777777" w:rsidR="00C232D7" w:rsidRPr="002A6F4E" w:rsidRDefault="00C232D7" w:rsidP="00C232D7">
      <w:pPr>
        <w:spacing w:line="360" w:lineRule="auto"/>
        <w:ind w:right="-20"/>
        <w:rPr>
          <w:rFonts w:ascii="Arial" w:eastAsia="Arial" w:hAnsi="Arial" w:cs="Arial"/>
          <w:b/>
          <w:bCs/>
          <w:color w:val="FFFFFF"/>
          <w:lang w:val="sq-AL"/>
        </w:rPr>
      </w:pPr>
    </w:p>
    <w:p w14:paraId="670CCA79" w14:textId="77777777" w:rsidR="00C232D7" w:rsidRPr="002A6F4E" w:rsidRDefault="00C232D7" w:rsidP="00C232D7">
      <w:pPr>
        <w:spacing w:line="360" w:lineRule="auto"/>
        <w:ind w:right="-20"/>
        <w:rPr>
          <w:rFonts w:ascii="Arial" w:eastAsia="Arial" w:hAnsi="Arial" w:cs="Arial"/>
          <w:b/>
          <w:bCs/>
          <w:color w:val="FFFFFF"/>
          <w:lang w:val="sq-AL"/>
        </w:rPr>
      </w:pPr>
    </w:p>
    <w:p w14:paraId="70C08069" w14:textId="77777777" w:rsidR="00C232D7" w:rsidRPr="002A6F4E" w:rsidRDefault="00C232D7" w:rsidP="00C232D7">
      <w:pPr>
        <w:spacing w:line="360" w:lineRule="auto"/>
        <w:ind w:right="-20"/>
        <w:rPr>
          <w:rFonts w:ascii="Arial" w:eastAsia="Arial" w:hAnsi="Arial" w:cs="Arial"/>
          <w:b/>
          <w:bCs/>
          <w:color w:val="FFFFFF"/>
          <w:lang w:val="sq-AL"/>
        </w:rPr>
      </w:pPr>
    </w:p>
    <w:p w14:paraId="240B3109" w14:textId="77777777" w:rsidR="00C232D7" w:rsidRPr="002A6F4E" w:rsidRDefault="00C232D7" w:rsidP="00C232D7">
      <w:pPr>
        <w:spacing w:line="360" w:lineRule="auto"/>
        <w:ind w:right="-20"/>
        <w:rPr>
          <w:rFonts w:ascii="Arial" w:eastAsia="Arial" w:hAnsi="Arial" w:cs="Arial"/>
          <w:b/>
          <w:bCs/>
          <w:color w:val="FFFFFF"/>
          <w:lang w:val="sq-AL"/>
        </w:rPr>
      </w:pPr>
    </w:p>
    <w:p w14:paraId="5C64E788" w14:textId="77777777" w:rsidR="00C232D7" w:rsidRPr="002A6F4E" w:rsidRDefault="00C232D7" w:rsidP="00C232D7">
      <w:pPr>
        <w:spacing w:line="360" w:lineRule="auto"/>
        <w:ind w:right="-20"/>
        <w:rPr>
          <w:rFonts w:ascii="Arial" w:hAnsi="Arial" w:cs="Arial"/>
          <w:lang w:val="sq-AL"/>
        </w:rPr>
        <w:sectPr w:rsidR="00C232D7" w:rsidRPr="002A6F4E" w:rsidSect="00C232D7">
          <w:footerReference w:type="default" r:id="rId8"/>
          <w:headerReference w:type="first" r:id="rId9"/>
          <w:footerReference w:type="first" r:id="rId10"/>
          <w:pgSz w:w="11909" w:h="16833"/>
          <w:pgMar w:top="1417" w:right="1134" w:bottom="1417" w:left="1417" w:header="720" w:footer="720" w:gutter="0"/>
          <w:cols w:space="720"/>
          <w:titlePg/>
          <w:docGrid w:linePitch="272"/>
        </w:sectPr>
      </w:pPr>
      <w:r w:rsidRPr="002A6F4E">
        <w:rPr>
          <w:rFonts w:ascii="Arial" w:hAnsi="Arial" w:cs="Arial"/>
          <w:noProof/>
          <w:lang w:val="en-US"/>
        </w:rPr>
        <mc:AlternateContent>
          <mc:Choice Requires="wps">
            <w:drawing>
              <wp:anchor distT="0" distB="0" distL="114300" distR="114300" simplePos="0" relativeHeight="251659264" behindDoc="0" locked="0" layoutInCell="1" allowOverlap="1" wp14:anchorId="4B69B25C" wp14:editId="30EC59B3">
                <wp:simplePos x="0" y="0"/>
                <wp:positionH relativeFrom="column">
                  <wp:posOffset>2738120</wp:posOffset>
                </wp:positionH>
                <wp:positionV relativeFrom="page">
                  <wp:posOffset>9364980</wp:posOffset>
                </wp:positionV>
                <wp:extent cx="2792730" cy="57150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2730" cy="571500"/>
                        </a:xfrm>
                        <a:prstGeom prst="rect">
                          <a:avLst/>
                        </a:prstGeom>
                        <a:noFill/>
                        <a:ln>
                          <a:noFill/>
                        </a:ln>
                      </wps:spPr>
                      <wps:txbx>
                        <w:txbxContent>
                          <w:p w14:paraId="36FA5FC8" w14:textId="77777777" w:rsidR="0014164F" w:rsidRDefault="0014164F" w:rsidP="00C232D7">
                            <w:pPr>
                              <w:jc w:val="center"/>
                              <w:rPr>
                                <w:color w:val="FFFFFF"/>
                                <w:sz w:val="18"/>
                              </w:rPr>
                            </w:pPr>
                            <w:r>
                              <w:rPr>
                                <w:color w:val="FFFFFF"/>
                                <w:sz w:val="18"/>
                              </w:rPr>
                              <w:t xml:space="preserve">Projekat sprovodi: </w:t>
                            </w:r>
                            <w:r>
                              <w:rPr>
                                <w:color w:val="FFFFFF"/>
                                <w:sz w:val="18"/>
                              </w:rPr>
                              <w:br/>
                              <w:t>EPEM S.A., SAFEGE and EPEM Engineering S.A.</w:t>
                            </w:r>
                          </w:p>
                        </w:txbxContent>
                      </wps:txbx>
                      <wps:bodyPr rot="0" vert="horz" wrap="square" lIns="91440" tIns="45720" rIns="91440" bIns="45720" anchor="t" anchorCtr="0" upright="1">
                        <a:noAutofit/>
                      </wps:bodyPr>
                    </wps:wsp>
                  </a:graphicData>
                </a:graphic>
              </wp:anchor>
            </w:drawing>
          </mc:Choice>
          <mc:Fallback>
            <w:pict>
              <v:shapetype w14:anchorId="4B69B25C" id="_x0000_t202" coordsize="21600,21600" o:spt="202" path="m,l,21600r21600,l21600,xe">
                <v:stroke joinstyle="miter"/>
                <v:path gradientshapeok="t" o:connecttype="rect"/>
              </v:shapetype>
              <v:shape id="Text Box 13" o:spid="_x0000_s1026" type="#_x0000_t202" style="position:absolute;left:0;text-align:left;margin-left:215.6pt;margin-top:737.4pt;width:219.9pt;height:45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" filled="f" stroked="f">
                <v:textbox>
                  <w:txbxContent>
                    <w:p w14:paraId="36FA5FC8" w14:textId="77777777" w:rsidR="0014164F" w:rsidRDefault="0014164F" w:rsidP="00C232D7">
                      <w:pPr>
                        <w:jc w:val="center"/>
                        <w:rPr>
                          <w:color w:val="FFFFFF"/>
                          <w:sz w:val="18"/>
                        </w:rPr>
                      </w:pPr>
                      <w:r>
                        <w:rPr>
                          <w:color w:val="FFFFFF"/>
                          <w:sz w:val="18"/>
                        </w:rPr>
                        <w:t xml:space="preserve">Projekat sprovodi: </w:t>
                      </w:r>
                      <w:r>
                        <w:rPr>
                          <w:color w:val="FFFFFF"/>
                          <w:sz w:val="18"/>
                        </w:rPr>
                        <w:br/>
                        <w:t>EPEM S.A., SAFEGE and EPEM Engineering S.A.</w:t>
                      </w:r>
                    </w:p>
                  </w:txbxContent>
                </v:textbox>
                <w10:wrap anchory="page"/>
              </v:shape>
            </w:pict>
          </mc:Fallback>
        </mc:AlternateContent>
      </w:r>
    </w:p>
    <w:p w14:paraId="26132E44" w14:textId="77777777" w:rsidR="00C232D7" w:rsidRPr="002A6F4E" w:rsidRDefault="00C232D7" w:rsidP="00C232D7">
      <w:pPr>
        <w:keepLines/>
        <w:spacing w:line="360" w:lineRule="auto"/>
        <w:contextualSpacing/>
        <w:rPr>
          <w:rFonts w:ascii="Arial" w:hAnsi="Arial" w:cs="Arial"/>
          <w:b/>
          <w:bCs/>
          <w:color w:val="0F243E"/>
          <w:u w:val="single"/>
          <w:lang w:val="sq-AL"/>
        </w:rPr>
      </w:pPr>
      <w:r w:rsidRPr="002A6F4E">
        <w:rPr>
          <w:rFonts w:ascii="Arial" w:hAnsi="Arial" w:cs="Arial"/>
          <w:b/>
          <w:bCs/>
          <w:color w:val="0F243E"/>
          <w:u w:val="single"/>
          <w:lang w:val="sq-AL"/>
        </w:rPr>
        <w:lastRenderedPageBreak/>
        <w:t>SADRŽAJ</w:t>
      </w:r>
      <w:bookmarkStart w:id="1" w:name="_GoBack"/>
      <w:bookmarkEnd w:id="1"/>
    </w:p>
    <w:p w14:paraId="48E2A2B8" w14:textId="77777777" w:rsidR="00C232D7" w:rsidRPr="002A6F4E" w:rsidRDefault="00C232D7" w:rsidP="00C232D7">
      <w:pPr>
        <w:spacing w:line="360" w:lineRule="auto"/>
        <w:rPr>
          <w:rFonts w:ascii="Arial" w:hAnsi="Arial" w:cs="Arial"/>
          <w:b/>
          <w:lang w:val="sq-AL"/>
        </w:rPr>
      </w:pPr>
    </w:p>
    <w:p w14:paraId="23E99ACF" w14:textId="77777777" w:rsidR="00552AAE" w:rsidRDefault="00C232D7">
      <w:pPr>
        <w:pStyle w:val="TOC1"/>
        <w:rPr>
          <w:rFonts w:asciiTheme="minorHAnsi" w:eastAsiaTheme="minorEastAsia" w:hAnsiTheme="minorHAnsi" w:cstheme="minorBidi"/>
          <w:b w:val="0"/>
          <w:smallCaps w:val="0"/>
          <w:noProof/>
          <w:sz w:val="22"/>
          <w:szCs w:val="22"/>
          <w:lang w:val="en-US"/>
        </w:rPr>
      </w:pPr>
      <w:r w:rsidRPr="002A6F4E">
        <w:rPr>
          <w:rFonts w:ascii="Arial" w:hAnsi="Arial" w:cs="Arial"/>
          <w:smallCaps w:val="0"/>
          <w:sz w:val="20"/>
          <w:szCs w:val="20"/>
          <w:lang w:val="sq-AL"/>
        </w:rPr>
        <w:fldChar w:fldCharType="begin"/>
      </w:r>
      <w:r w:rsidRPr="002A6F4E">
        <w:rPr>
          <w:rFonts w:ascii="Arial" w:hAnsi="Arial" w:cs="Arial"/>
          <w:smallCaps w:val="0"/>
          <w:sz w:val="20"/>
          <w:szCs w:val="20"/>
          <w:lang w:val="sq-AL"/>
        </w:rPr>
        <w:instrText xml:space="preserve"> TOC \o "1-4" \h \z \u </w:instrText>
      </w:r>
      <w:r w:rsidRPr="002A6F4E">
        <w:rPr>
          <w:rFonts w:ascii="Arial" w:hAnsi="Arial" w:cs="Arial"/>
          <w:smallCaps w:val="0"/>
          <w:sz w:val="20"/>
          <w:szCs w:val="20"/>
          <w:lang w:val="sq-AL"/>
        </w:rPr>
        <w:fldChar w:fldCharType="separate"/>
      </w:r>
      <w:hyperlink w:anchor="_Toc193353958" w:history="1">
        <w:r w:rsidR="00552AAE" w:rsidRPr="00335FC0">
          <w:rPr>
            <w:rStyle w:val="Hyperlink"/>
            <w:noProof/>
          </w:rPr>
          <w:t>Rezime</w:t>
        </w:r>
        <w:r w:rsidR="00552AAE">
          <w:rPr>
            <w:noProof/>
            <w:webHidden/>
          </w:rPr>
          <w:tab/>
        </w:r>
        <w:r w:rsidR="00552AAE">
          <w:rPr>
            <w:noProof/>
            <w:webHidden/>
          </w:rPr>
          <w:fldChar w:fldCharType="begin"/>
        </w:r>
        <w:r w:rsidR="00552AAE">
          <w:rPr>
            <w:noProof/>
            <w:webHidden/>
          </w:rPr>
          <w:instrText xml:space="preserve"> PAGEREF _Toc193353958 \h </w:instrText>
        </w:r>
        <w:r w:rsidR="00552AAE">
          <w:rPr>
            <w:noProof/>
            <w:webHidden/>
          </w:rPr>
        </w:r>
        <w:r w:rsidR="00552AAE">
          <w:rPr>
            <w:noProof/>
            <w:webHidden/>
          </w:rPr>
          <w:fldChar w:fldCharType="separate"/>
        </w:r>
        <w:r w:rsidR="00552AAE">
          <w:rPr>
            <w:noProof/>
            <w:webHidden/>
          </w:rPr>
          <w:t>6</w:t>
        </w:r>
        <w:r w:rsidR="00552AAE">
          <w:rPr>
            <w:noProof/>
            <w:webHidden/>
          </w:rPr>
          <w:fldChar w:fldCharType="end"/>
        </w:r>
      </w:hyperlink>
    </w:p>
    <w:p w14:paraId="53E4CBDE" w14:textId="77777777" w:rsidR="00552AAE" w:rsidRDefault="00552AAE">
      <w:pPr>
        <w:pStyle w:val="TOC1"/>
        <w:rPr>
          <w:rFonts w:asciiTheme="minorHAnsi" w:eastAsiaTheme="minorEastAsia" w:hAnsiTheme="minorHAnsi" w:cstheme="minorBidi"/>
          <w:b w:val="0"/>
          <w:smallCaps w:val="0"/>
          <w:noProof/>
          <w:sz w:val="22"/>
          <w:szCs w:val="22"/>
          <w:lang w:val="en-US"/>
        </w:rPr>
      </w:pPr>
      <w:hyperlink w:anchor="_Toc193353959" w:history="1">
        <w:r w:rsidRPr="00335FC0">
          <w:rPr>
            <w:rStyle w:val="Hyperlink"/>
            <w:noProof/>
          </w:rPr>
          <w:t>1.</w:t>
        </w:r>
        <w:r>
          <w:rPr>
            <w:rFonts w:asciiTheme="minorHAnsi" w:eastAsiaTheme="minorEastAsia" w:hAnsiTheme="minorHAnsi" w:cstheme="minorBidi"/>
            <w:b w:val="0"/>
            <w:smallCaps w:val="0"/>
            <w:noProof/>
            <w:sz w:val="22"/>
            <w:szCs w:val="22"/>
            <w:lang w:val="en-US"/>
          </w:rPr>
          <w:tab/>
        </w:r>
        <w:r w:rsidRPr="00335FC0">
          <w:rPr>
            <w:rStyle w:val="Hyperlink"/>
            <w:noProof/>
          </w:rPr>
          <w:t>Uvod</w:t>
        </w:r>
        <w:r>
          <w:rPr>
            <w:noProof/>
            <w:webHidden/>
          </w:rPr>
          <w:tab/>
        </w:r>
        <w:r>
          <w:rPr>
            <w:noProof/>
            <w:webHidden/>
          </w:rPr>
          <w:fldChar w:fldCharType="begin"/>
        </w:r>
        <w:r>
          <w:rPr>
            <w:noProof/>
            <w:webHidden/>
          </w:rPr>
          <w:instrText xml:space="preserve"> PAGEREF _Toc193353959 \h </w:instrText>
        </w:r>
        <w:r>
          <w:rPr>
            <w:noProof/>
            <w:webHidden/>
          </w:rPr>
        </w:r>
        <w:r>
          <w:rPr>
            <w:noProof/>
            <w:webHidden/>
          </w:rPr>
          <w:fldChar w:fldCharType="separate"/>
        </w:r>
        <w:r>
          <w:rPr>
            <w:noProof/>
            <w:webHidden/>
          </w:rPr>
          <w:t>11</w:t>
        </w:r>
        <w:r>
          <w:rPr>
            <w:noProof/>
            <w:webHidden/>
          </w:rPr>
          <w:fldChar w:fldCharType="end"/>
        </w:r>
      </w:hyperlink>
    </w:p>
    <w:p w14:paraId="0B6DE73B" w14:textId="77777777" w:rsidR="00552AAE" w:rsidRDefault="00552AAE">
      <w:pPr>
        <w:pStyle w:val="TOC1"/>
        <w:rPr>
          <w:rFonts w:asciiTheme="minorHAnsi" w:eastAsiaTheme="minorEastAsia" w:hAnsiTheme="minorHAnsi" w:cstheme="minorBidi"/>
          <w:b w:val="0"/>
          <w:smallCaps w:val="0"/>
          <w:noProof/>
          <w:sz w:val="22"/>
          <w:szCs w:val="22"/>
          <w:lang w:val="en-US"/>
        </w:rPr>
      </w:pPr>
      <w:hyperlink w:anchor="_Toc193353960" w:history="1">
        <w:r w:rsidRPr="00335FC0">
          <w:rPr>
            <w:rStyle w:val="Hyperlink"/>
            <w:noProof/>
          </w:rPr>
          <w:t>2.</w:t>
        </w:r>
        <w:r>
          <w:rPr>
            <w:rFonts w:asciiTheme="minorHAnsi" w:eastAsiaTheme="minorEastAsia" w:hAnsiTheme="minorHAnsi" w:cstheme="minorBidi"/>
            <w:b w:val="0"/>
            <w:smallCaps w:val="0"/>
            <w:noProof/>
            <w:sz w:val="22"/>
            <w:szCs w:val="22"/>
            <w:lang w:val="en-US"/>
          </w:rPr>
          <w:tab/>
        </w:r>
        <w:r w:rsidRPr="00335FC0">
          <w:rPr>
            <w:rStyle w:val="Hyperlink"/>
            <w:noProof/>
          </w:rPr>
          <w:t>Pravni i institucionalni okvir</w:t>
        </w:r>
        <w:r>
          <w:rPr>
            <w:noProof/>
            <w:webHidden/>
          </w:rPr>
          <w:tab/>
        </w:r>
        <w:r>
          <w:rPr>
            <w:noProof/>
            <w:webHidden/>
          </w:rPr>
          <w:fldChar w:fldCharType="begin"/>
        </w:r>
        <w:r>
          <w:rPr>
            <w:noProof/>
            <w:webHidden/>
          </w:rPr>
          <w:instrText xml:space="preserve"> PAGEREF _Toc193353960 \h </w:instrText>
        </w:r>
        <w:r>
          <w:rPr>
            <w:noProof/>
            <w:webHidden/>
          </w:rPr>
        </w:r>
        <w:r>
          <w:rPr>
            <w:noProof/>
            <w:webHidden/>
          </w:rPr>
          <w:fldChar w:fldCharType="separate"/>
        </w:r>
        <w:r>
          <w:rPr>
            <w:noProof/>
            <w:webHidden/>
          </w:rPr>
          <w:t>16</w:t>
        </w:r>
        <w:r>
          <w:rPr>
            <w:noProof/>
            <w:webHidden/>
          </w:rPr>
          <w:fldChar w:fldCharType="end"/>
        </w:r>
      </w:hyperlink>
    </w:p>
    <w:p w14:paraId="124C8546" w14:textId="77777777" w:rsidR="00552AAE" w:rsidRDefault="00552AAE">
      <w:pPr>
        <w:pStyle w:val="TOC2"/>
        <w:rPr>
          <w:rFonts w:asciiTheme="minorHAnsi" w:eastAsiaTheme="minorEastAsia" w:hAnsiTheme="minorHAnsi" w:cstheme="minorBidi"/>
          <w:noProof/>
          <w:sz w:val="22"/>
          <w:szCs w:val="22"/>
          <w:lang w:val="en-US"/>
        </w:rPr>
      </w:pPr>
      <w:hyperlink w:anchor="_Toc193353961" w:history="1">
        <w:r w:rsidRPr="00335FC0">
          <w:rPr>
            <w:rStyle w:val="Hyperlink"/>
            <w:noProof/>
            <w:lang w:val="en-US"/>
          </w:rPr>
          <w:t xml:space="preserve">2.1. </w:t>
        </w:r>
        <w:r w:rsidRPr="00335FC0">
          <w:rPr>
            <w:rStyle w:val="Hyperlink"/>
            <w:noProof/>
          </w:rPr>
          <w:t>Pravni i politički kontekst</w:t>
        </w:r>
        <w:r>
          <w:rPr>
            <w:noProof/>
            <w:webHidden/>
          </w:rPr>
          <w:tab/>
        </w:r>
        <w:r>
          <w:rPr>
            <w:noProof/>
            <w:webHidden/>
          </w:rPr>
          <w:fldChar w:fldCharType="begin"/>
        </w:r>
        <w:r>
          <w:rPr>
            <w:noProof/>
            <w:webHidden/>
          </w:rPr>
          <w:instrText xml:space="preserve"> PAGEREF _Toc193353961 \h </w:instrText>
        </w:r>
        <w:r>
          <w:rPr>
            <w:noProof/>
            <w:webHidden/>
          </w:rPr>
        </w:r>
        <w:r>
          <w:rPr>
            <w:noProof/>
            <w:webHidden/>
          </w:rPr>
          <w:fldChar w:fldCharType="separate"/>
        </w:r>
        <w:r>
          <w:rPr>
            <w:noProof/>
            <w:webHidden/>
          </w:rPr>
          <w:t>16</w:t>
        </w:r>
        <w:r>
          <w:rPr>
            <w:noProof/>
            <w:webHidden/>
          </w:rPr>
          <w:fldChar w:fldCharType="end"/>
        </w:r>
      </w:hyperlink>
    </w:p>
    <w:p w14:paraId="1CA182CF" w14:textId="77777777" w:rsidR="00552AAE" w:rsidRDefault="00552AAE">
      <w:pPr>
        <w:pStyle w:val="TOC2"/>
        <w:rPr>
          <w:rFonts w:asciiTheme="minorHAnsi" w:eastAsiaTheme="minorEastAsia" w:hAnsiTheme="minorHAnsi" w:cstheme="minorBidi"/>
          <w:noProof/>
          <w:sz w:val="22"/>
          <w:szCs w:val="22"/>
          <w:lang w:val="en-US"/>
        </w:rPr>
      </w:pPr>
      <w:hyperlink w:anchor="_Toc193353962" w:history="1">
        <w:r w:rsidRPr="00335FC0">
          <w:rPr>
            <w:rStyle w:val="Hyperlink"/>
            <w:noProof/>
          </w:rPr>
          <w:t>2.2. Zakonodavstvo EU o upravljanju otpadom</w:t>
        </w:r>
        <w:r>
          <w:rPr>
            <w:noProof/>
            <w:webHidden/>
          </w:rPr>
          <w:tab/>
        </w:r>
        <w:r>
          <w:rPr>
            <w:noProof/>
            <w:webHidden/>
          </w:rPr>
          <w:fldChar w:fldCharType="begin"/>
        </w:r>
        <w:r>
          <w:rPr>
            <w:noProof/>
            <w:webHidden/>
          </w:rPr>
          <w:instrText xml:space="preserve"> PAGEREF _Toc193353962 \h </w:instrText>
        </w:r>
        <w:r>
          <w:rPr>
            <w:noProof/>
            <w:webHidden/>
          </w:rPr>
        </w:r>
        <w:r>
          <w:rPr>
            <w:noProof/>
            <w:webHidden/>
          </w:rPr>
          <w:fldChar w:fldCharType="separate"/>
        </w:r>
        <w:r>
          <w:rPr>
            <w:noProof/>
            <w:webHidden/>
          </w:rPr>
          <w:t>16</w:t>
        </w:r>
        <w:r>
          <w:rPr>
            <w:noProof/>
            <w:webHidden/>
          </w:rPr>
          <w:fldChar w:fldCharType="end"/>
        </w:r>
      </w:hyperlink>
    </w:p>
    <w:p w14:paraId="7B23F166" w14:textId="77777777" w:rsidR="00552AAE" w:rsidRDefault="00552AAE">
      <w:pPr>
        <w:pStyle w:val="TOC2"/>
        <w:rPr>
          <w:rFonts w:asciiTheme="minorHAnsi" w:eastAsiaTheme="minorEastAsia" w:hAnsiTheme="minorHAnsi" w:cstheme="minorBidi"/>
          <w:noProof/>
          <w:sz w:val="22"/>
          <w:szCs w:val="22"/>
          <w:lang w:val="en-US"/>
        </w:rPr>
      </w:pPr>
      <w:hyperlink w:anchor="_Toc193353963" w:history="1">
        <w:r w:rsidRPr="00335FC0">
          <w:rPr>
            <w:rStyle w:val="Hyperlink"/>
            <w:noProof/>
          </w:rPr>
          <w:t>2.3.  Obaveze i ciljevi zakonodavstva EU u oblasti upravljanja otpadom</w:t>
        </w:r>
        <w:r>
          <w:rPr>
            <w:noProof/>
            <w:webHidden/>
          </w:rPr>
          <w:tab/>
        </w:r>
        <w:r>
          <w:rPr>
            <w:noProof/>
            <w:webHidden/>
          </w:rPr>
          <w:fldChar w:fldCharType="begin"/>
        </w:r>
        <w:r>
          <w:rPr>
            <w:noProof/>
            <w:webHidden/>
          </w:rPr>
          <w:instrText xml:space="preserve"> PAGEREF _Toc193353963 \h </w:instrText>
        </w:r>
        <w:r>
          <w:rPr>
            <w:noProof/>
            <w:webHidden/>
          </w:rPr>
        </w:r>
        <w:r>
          <w:rPr>
            <w:noProof/>
            <w:webHidden/>
          </w:rPr>
          <w:fldChar w:fldCharType="separate"/>
        </w:r>
        <w:r>
          <w:rPr>
            <w:noProof/>
            <w:webHidden/>
          </w:rPr>
          <w:t>17</w:t>
        </w:r>
        <w:r>
          <w:rPr>
            <w:noProof/>
            <w:webHidden/>
          </w:rPr>
          <w:fldChar w:fldCharType="end"/>
        </w:r>
      </w:hyperlink>
    </w:p>
    <w:p w14:paraId="2CF0CAB8" w14:textId="77777777" w:rsidR="00552AAE" w:rsidRDefault="00552AAE">
      <w:pPr>
        <w:pStyle w:val="TOC2"/>
        <w:rPr>
          <w:rFonts w:asciiTheme="minorHAnsi" w:eastAsiaTheme="minorEastAsia" w:hAnsiTheme="minorHAnsi" w:cstheme="minorBidi"/>
          <w:noProof/>
          <w:sz w:val="22"/>
          <w:szCs w:val="22"/>
          <w:lang w:val="en-US"/>
        </w:rPr>
      </w:pPr>
      <w:hyperlink w:anchor="_Toc193353964" w:history="1">
        <w:r w:rsidRPr="00335FC0">
          <w:rPr>
            <w:rStyle w:val="Hyperlink"/>
            <w:noProof/>
          </w:rPr>
          <w:t>2.4. Pravni okvir za upravljanje otpadom u Crnoj Gori</w:t>
        </w:r>
        <w:r>
          <w:rPr>
            <w:noProof/>
            <w:webHidden/>
          </w:rPr>
          <w:tab/>
        </w:r>
        <w:r>
          <w:rPr>
            <w:noProof/>
            <w:webHidden/>
          </w:rPr>
          <w:fldChar w:fldCharType="begin"/>
        </w:r>
        <w:r>
          <w:rPr>
            <w:noProof/>
            <w:webHidden/>
          </w:rPr>
          <w:instrText xml:space="preserve"> PAGEREF _Toc193353964 \h </w:instrText>
        </w:r>
        <w:r>
          <w:rPr>
            <w:noProof/>
            <w:webHidden/>
          </w:rPr>
        </w:r>
        <w:r>
          <w:rPr>
            <w:noProof/>
            <w:webHidden/>
          </w:rPr>
          <w:fldChar w:fldCharType="separate"/>
        </w:r>
        <w:r>
          <w:rPr>
            <w:noProof/>
            <w:webHidden/>
          </w:rPr>
          <w:t>19</w:t>
        </w:r>
        <w:r>
          <w:rPr>
            <w:noProof/>
            <w:webHidden/>
          </w:rPr>
          <w:fldChar w:fldCharType="end"/>
        </w:r>
      </w:hyperlink>
    </w:p>
    <w:p w14:paraId="2C9DC7A4" w14:textId="77777777" w:rsidR="00552AAE" w:rsidRDefault="00552AAE">
      <w:pPr>
        <w:pStyle w:val="TOC2"/>
        <w:rPr>
          <w:rFonts w:asciiTheme="minorHAnsi" w:eastAsiaTheme="minorEastAsia" w:hAnsiTheme="minorHAnsi" w:cstheme="minorBidi"/>
          <w:noProof/>
          <w:sz w:val="22"/>
          <w:szCs w:val="22"/>
          <w:lang w:val="en-US"/>
        </w:rPr>
      </w:pPr>
      <w:hyperlink w:anchor="_Toc193353965" w:history="1">
        <w:r w:rsidRPr="00335FC0">
          <w:rPr>
            <w:rStyle w:val="Hyperlink"/>
            <w:noProof/>
          </w:rPr>
          <w:t>2.5. Zakon o upravljanju otpadom</w:t>
        </w:r>
        <w:r>
          <w:rPr>
            <w:noProof/>
            <w:webHidden/>
          </w:rPr>
          <w:tab/>
        </w:r>
        <w:r>
          <w:rPr>
            <w:noProof/>
            <w:webHidden/>
          </w:rPr>
          <w:fldChar w:fldCharType="begin"/>
        </w:r>
        <w:r>
          <w:rPr>
            <w:noProof/>
            <w:webHidden/>
          </w:rPr>
          <w:instrText xml:space="preserve"> PAGEREF _Toc193353965 \h </w:instrText>
        </w:r>
        <w:r>
          <w:rPr>
            <w:noProof/>
            <w:webHidden/>
          </w:rPr>
        </w:r>
        <w:r>
          <w:rPr>
            <w:noProof/>
            <w:webHidden/>
          </w:rPr>
          <w:fldChar w:fldCharType="separate"/>
        </w:r>
        <w:r>
          <w:rPr>
            <w:noProof/>
            <w:webHidden/>
          </w:rPr>
          <w:t>19</w:t>
        </w:r>
        <w:r>
          <w:rPr>
            <w:noProof/>
            <w:webHidden/>
          </w:rPr>
          <w:fldChar w:fldCharType="end"/>
        </w:r>
      </w:hyperlink>
    </w:p>
    <w:p w14:paraId="3C00AD67" w14:textId="77777777" w:rsidR="00552AAE" w:rsidRDefault="00552AAE">
      <w:pPr>
        <w:pStyle w:val="TOC2"/>
        <w:rPr>
          <w:rFonts w:asciiTheme="minorHAnsi" w:eastAsiaTheme="minorEastAsia" w:hAnsiTheme="minorHAnsi" w:cstheme="minorBidi"/>
          <w:noProof/>
          <w:sz w:val="22"/>
          <w:szCs w:val="22"/>
          <w:lang w:val="en-US"/>
        </w:rPr>
      </w:pPr>
      <w:hyperlink w:anchor="_Toc193353966" w:history="1">
        <w:r w:rsidRPr="00335FC0">
          <w:rPr>
            <w:rStyle w:val="Hyperlink"/>
            <w:noProof/>
          </w:rPr>
          <w:t>2.6. Drugi propisi koji se odnose na upravljanje otpadom</w:t>
        </w:r>
        <w:r>
          <w:rPr>
            <w:noProof/>
            <w:webHidden/>
          </w:rPr>
          <w:tab/>
        </w:r>
        <w:r>
          <w:rPr>
            <w:noProof/>
            <w:webHidden/>
          </w:rPr>
          <w:fldChar w:fldCharType="begin"/>
        </w:r>
        <w:r>
          <w:rPr>
            <w:noProof/>
            <w:webHidden/>
          </w:rPr>
          <w:instrText xml:space="preserve"> PAGEREF _Toc193353966 \h </w:instrText>
        </w:r>
        <w:r>
          <w:rPr>
            <w:noProof/>
            <w:webHidden/>
          </w:rPr>
        </w:r>
        <w:r>
          <w:rPr>
            <w:noProof/>
            <w:webHidden/>
          </w:rPr>
          <w:fldChar w:fldCharType="separate"/>
        </w:r>
        <w:r>
          <w:rPr>
            <w:noProof/>
            <w:webHidden/>
          </w:rPr>
          <w:t>22</w:t>
        </w:r>
        <w:r>
          <w:rPr>
            <w:noProof/>
            <w:webHidden/>
          </w:rPr>
          <w:fldChar w:fldCharType="end"/>
        </w:r>
      </w:hyperlink>
    </w:p>
    <w:p w14:paraId="0109258F" w14:textId="77777777" w:rsidR="00552AAE" w:rsidRDefault="00552AAE">
      <w:pPr>
        <w:pStyle w:val="TOC2"/>
        <w:rPr>
          <w:rFonts w:asciiTheme="minorHAnsi" w:eastAsiaTheme="minorEastAsia" w:hAnsiTheme="minorHAnsi" w:cstheme="minorBidi"/>
          <w:noProof/>
          <w:sz w:val="22"/>
          <w:szCs w:val="22"/>
          <w:lang w:val="en-US"/>
        </w:rPr>
      </w:pPr>
      <w:hyperlink w:anchor="_Toc193353967" w:history="1">
        <w:r w:rsidRPr="00335FC0">
          <w:rPr>
            <w:rStyle w:val="Hyperlink"/>
            <w:noProof/>
          </w:rPr>
          <w:t>2.7. Strateški dokumenti</w:t>
        </w:r>
        <w:r>
          <w:rPr>
            <w:noProof/>
            <w:webHidden/>
          </w:rPr>
          <w:tab/>
        </w:r>
        <w:r>
          <w:rPr>
            <w:noProof/>
            <w:webHidden/>
          </w:rPr>
          <w:fldChar w:fldCharType="begin"/>
        </w:r>
        <w:r>
          <w:rPr>
            <w:noProof/>
            <w:webHidden/>
          </w:rPr>
          <w:instrText xml:space="preserve"> PAGEREF _Toc193353967 \h </w:instrText>
        </w:r>
        <w:r>
          <w:rPr>
            <w:noProof/>
            <w:webHidden/>
          </w:rPr>
        </w:r>
        <w:r>
          <w:rPr>
            <w:noProof/>
            <w:webHidden/>
          </w:rPr>
          <w:fldChar w:fldCharType="separate"/>
        </w:r>
        <w:r>
          <w:rPr>
            <w:noProof/>
            <w:webHidden/>
          </w:rPr>
          <w:t>24</w:t>
        </w:r>
        <w:r>
          <w:rPr>
            <w:noProof/>
            <w:webHidden/>
          </w:rPr>
          <w:fldChar w:fldCharType="end"/>
        </w:r>
      </w:hyperlink>
    </w:p>
    <w:p w14:paraId="56F289F5" w14:textId="77777777" w:rsidR="00552AAE" w:rsidRDefault="00552AAE">
      <w:pPr>
        <w:pStyle w:val="TOC2"/>
        <w:rPr>
          <w:rFonts w:asciiTheme="minorHAnsi" w:eastAsiaTheme="minorEastAsia" w:hAnsiTheme="minorHAnsi" w:cstheme="minorBidi"/>
          <w:noProof/>
          <w:sz w:val="22"/>
          <w:szCs w:val="22"/>
          <w:lang w:val="en-US"/>
        </w:rPr>
      </w:pPr>
      <w:hyperlink w:anchor="_Toc193353968" w:history="1">
        <w:r w:rsidRPr="00335FC0">
          <w:rPr>
            <w:rStyle w:val="Hyperlink"/>
            <w:noProof/>
          </w:rPr>
          <w:t>2.8. Ostala strateška dokumenta iz oblasti upravljanja otpadom</w:t>
        </w:r>
        <w:r>
          <w:rPr>
            <w:noProof/>
            <w:webHidden/>
          </w:rPr>
          <w:tab/>
        </w:r>
        <w:r>
          <w:rPr>
            <w:noProof/>
            <w:webHidden/>
          </w:rPr>
          <w:fldChar w:fldCharType="begin"/>
        </w:r>
        <w:r>
          <w:rPr>
            <w:noProof/>
            <w:webHidden/>
          </w:rPr>
          <w:instrText xml:space="preserve"> PAGEREF _Toc193353968 \h </w:instrText>
        </w:r>
        <w:r>
          <w:rPr>
            <w:noProof/>
            <w:webHidden/>
          </w:rPr>
        </w:r>
        <w:r>
          <w:rPr>
            <w:noProof/>
            <w:webHidden/>
          </w:rPr>
          <w:fldChar w:fldCharType="separate"/>
        </w:r>
        <w:r>
          <w:rPr>
            <w:noProof/>
            <w:webHidden/>
          </w:rPr>
          <w:t>25</w:t>
        </w:r>
        <w:r>
          <w:rPr>
            <w:noProof/>
            <w:webHidden/>
          </w:rPr>
          <w:fldChar w:fldCharType="end"/>
        </w:r>
      </w:hyperlink>
    </w:p>
    <w:p w14:paraId="31A35FE3" w14:textId="77777777" w:rsidR="00552AAE" w:rsidRDefault="00552AAE">
      <w:pPr>
        <w:pStyle w:val="TOC2"/>
        <w:rPr>
          <w:rFonts w:asciiTheme="minorHAnsi" w:eastAsiaTheme="minorEastAsia" w:hAnsiTheme="minorHAnsi" w:cstheme="minorBidi"/>
          <w:noProof/>
          <w:sz w:val="22"/>
          <w:szCs w:val="22"/>
          <w:lang w:val="en-US"/>
        </w:rPr>
      </w:pPr>
      <w:hyperlink w:anchor="_Toc193353969" w:history="1">
        <w:r w:rsidRPr="00335FC0">
          <w:rPr>
            <w:rStyle w:val="Hyperlink"/>
            <w:noProof/>
            <w:lang w:val="en-US"/>
          </w:rPr>
          <w:t xml:space="preserve">2.9. </w:t>
        </w:r>
        <w:r w:rsidRPr="00335FC0">
          <w:rPr>
            <w:rStyle w:val="Hyperlink"/>
            <w:noProof/>
          </w:rPr>
          <w:t>Ciljevi i zadaci predviđeni zakonskom regulativom</w:t>
        </w:r>
        <w:r>
          <w:rPr>
            <w:noProof/>
            <w:webHidden/>
          </w:rPr>
          <w:tab/>
        </w:r>
        <w:r>
          <w:rPr>
            <w:noProof/>
            <w:webHidden/>
          </w:rPr>
          <w:fldChar w:fldCharType="begin"/>
        </w:r>
        <w:r>
          <w:rPr>
            <w:noProof/>
            <w:webHidden/>
          </w:rPr>
          <w:instrText xml:space="preserve"> PAGEREF _Toc193353969 \h </w:instrText>
        </w:r>
        <w:r>
          <w:rPr>
            <w:noProof/>
            <w:webHidden/>
          </w:rPr>
        </w:r>
        <w:r>
          <w:rPr>
            <w:noProof/>
            <w:webHidden/>
          </w:rPr>
          <w:fldChar w:fldCharType="separate"/>
        </w:r>
        <w:r>
          <w:rPr>
            <w:noProof/>
            <w:webHidden/>
          </w:rPr>
          <w:t>26</w:t>
        </w:r>
        <w:r>
          <w:rPr>
            <w:noProof/>
            <w:webHidden/>
          </w:rPr>
          <w:fldChar w:fldCharType="end"/>
        </w:r>
      </w:hyperlink>
    </w:p>
    <w:p w14:paraId="63A24B46" w14:textId="77777777" w:rsidR="00552AAE" w:rsidRDefault="00552AAE">
      <w:pPr>
        <w:pStyle w:val="TOC2"/>
        <w:rPr>
          <w:rFonts w:asciiTheme="minorHAnsi" w:eastAsiaTheme="minorEastAsia" w:hAnsiTheme="minorHAnsi" w:cstheme="minorBidi"/>
          <w:noProof/>
          <w:sz w:val="22"/>
          <w:szCs w:val="22"/>
          <w:lang w:val="en-US"/>
        </w:rPr>
      </w:pPr>
      <w:hyperlink w:anchor="_Toc193353970" w:history="1">
        <w:r w:rsidRPr="00335FC0">
          <w:rPr>
            <w:rStyle w:val="Hyperlink"/>
            <w:noProof/>
          </w:rPr>
          <w:t>2.10.  Institucionalni okvir</w:t>
        </w:r>
        <w:r>
          <w:rPr>
            <w:noProof/>
            <w:webHidden/>
          </w:rPr>
          <w:tab/>
        </w:r>
        <w:r>
          <w:rPr>
            <w:noProof/>
            <w:webHidden/>
          </w:rPr>
          <w:fldChar w:fldCharType="begin"/>
        </w:r>
        <w:r>
          <w:rPr>
            <w:noProof/>
            <w:webHidden/>
          </w:rPr>
          <w:instrText xml:space="preserve"> PAGEREF _Toc193353970 \h </w:instrText>
        </w:r>
        <w:r>
          <w:rPr>
            <w:noProof/>
            <w:webHidden/>
          </w:rPr>
        </w:r>
        <w:r>
          <w:rPr>
            <w:noProof/>
            <w:webHidden/>
          </w:rPr>
          <w:fldChar w:fldCharType="separate"/>
        </w:r>
        <w:r>
          <w:rPr>
            <w:noProof/>
            <w:webHidden/>
          </w:rPr>
          <w:t>27</w:t>
        </w:r>
        <w:r>
          <w:rPr>
            <w:noProof/>
            <w:webHidden/>
          </w:rPr>
          <w:fldChar w:fldCharType="end"/>
        </w:r>
      </w:hyperlink>
    </w:p>
    <w:p w14:paraId="642EA507" w14:textId="77777777" w:rsidR="00552AAE" w:rsidRDefault="00552AAE">
      <w:pPr>
        <w:pStyle w:val="TOC1"/>
        <w:rPr>
          <w:rFonts w:asciiTheme="minorHAnsi" w:eastAsiaTheme="minorEastAsia" w:hAnsiTheme="minorHAnsi" w:cstheme="minorBidi"/>
          <w:b w:val="0"/>
          <w:smallCaps w:val="0"/>
          <w:noProof/>
          <w:sz w:val="22"/>
          <w:szCs w:val="22"/>
          <w:lang w:val="en-US"/>
        </w:rPr>
      </w:pPr>
      <w:hyperlink w:anchor="_Toc193353971" w:history="1">
        <w:r w:rsidRPr="00335FC0">
          <w:rPr>
            <w:rStyle w:val="Hyperlink"/>
            <w:noProof/>
          </w:rPr>
          <w:t>3.</w:t>
        </w:r>
        <w:r>
          <w:rPr>
            <w:rFonts w:asciiTheme="minorHAnsi" w:eastAsiaTheme="minorEastAsia" w:hAnsiTheme="minorHAnsi" w:cstheme="minorBidi"/>
            <w:b w:val="0"/>
            <w:smallCaps w:val="0"/>
            <w:noProof/>
            <w:sz w:val="22"/>
            <w:szCs w:val="22"/>
            <w:lang w:val="en-US"/>
          </w:rPr>
          <w:tab/>
        </w:r>
        <w:r w:rsidRPr="00335FC0">
          <w:rPr>
            <w:rStyle w:val="Hyperlink"/>
            <w:noProof/>
          </w:rPr>
          <w:t>Metodologija</w:t>
        </w:r>
        <w:r>
          <w:rPr>
            <w:noProof/>
            <w:webHidden/>
          </w:rPr>
          <w:tab/>
        </w:r>
        <w:r>
          <w:rPr>
            <w:noProof/>
            <w:webHidden/>
          </w:rPr>
          <w:fldChar w:fldCharType="begin"/>
        </w:r>
        <w:r>
          <w:rPr>
            <w:noProof/>
            <w:webHidden/>
          </w:rPr>
          <w:instrText xml:space="preserve"> PAGEREF _Toc193353971 \h </w:instrText>
        </w:r>
        <w:r>
          <w:rPr>
            <w:noProof/>
            <w:webHidden/>
          </w:rPr>
        </w:r>
        <w:r>
          <w:rPr>
            <w:noProof/>
            <w:webHidden/>
          </w:rPr>
          <w:fldChar w:fldCharType="separate"/>
        </w:r>
        <w:r>
          <w:rPr>
            <w:noProof/>
            <w:webHidden/>
          </w:rPr>
          <w:t>32</w:t>
        </w:r>
        <w:r>
          <w:rPr>
            <w:noProof/>
            <w:webHidden/>
          </w:rPr>
          <w:fldChar w:fldCharType="end"/>
        </w:r>
      </w:hyperlink>
    </w:p>
    <w:p w14:paraId="6C7DED42" w14:textId="77777777" w:rsidR="00552AAE" w:rsidRDefault="00552AAE">
      <w:pPr>
        <w:pStyle w:val="TOC2"/>
        <w:rPr>
          <w:rFonts w:asciiTheme="minorHAnsi" w:eastAsiaTheme="minorEastAsia" w:hAnsiTheme="minorHAnsi" w:cstheme="minorBidi"/>
          <w:noProof/>
          <w:sz w:val="22"/>
          <w:szCs w:val="22"/>
          <w:lang w:val="en-US"/>
        </w:rPr>
      </w:pPr>
      <w:hyperlink w:anchor="_Toc193353972" w:history="1">
        <w:r w:rsidRPr="00335FC0">
          <w:rPr>
            <w:rStyle w:val="Hyperlink"/>
            <w:noProof/>
          </w:rPr>
          <w:t>3.1. Izvori podataka</w:t>
        </w:r>
        <w:r>
          <w:rPr>
            <w:noProof/>
            <w:webHidden/>
          </w:rPr>
          <w:tab/>
        </w:r>
        <w:r>
          <w:rPr>
            <w:noProof/>
            <w:webHidden/>
          </w:rPr>
          <w:fldChar w:fldCharType="begin"/>
        </w:r>
        <w:r>
          <w:rPr>
            <w:noProof/>
            <w:webHidden/>
          </w:rPr>
          <w:instrText xml:space="preserve"> PAGEREF _Toc193353972 \h </w:instrText>
        </w:r>
        <w:r>
          <w:rPr>
            <w:noProof/>
            <w:webHidden/>
          </w:rPr>
        </w:r>
        <w:r>
          <w:rPr>
            <w:noProof/>
            <w:webHidden/>
          </w:rPr>
          <w:fldChar w:fldCharType="separate"/>
        </w:r>
        <w:r>
          <w:rPr>
            <w:noProof/>
            <w:webHidden/>
          </w:rPr>
          <w:t>32</w:t>
        </w:r>
        <w:r>
          <w:rPr>
            <w:noProof/>
            <w:webHidden/>
          </w:rPr>
          <w:fldChar w:fldCharType="end"/>
        </w:r>
      </w:hyperlink>
    </w:p>
    <w:p w14:paraId="3603F683" w14:textId="77777777" w:rsidR="00552AAE" w:rsidRDefault="00552AAE">
      <w:pPr>
        <w:pStyle w:val="TOC1"/>
        <w:rPr>
          <w:rFonts w:asciiTheme="minorHAnsi" w:eastAsiaTheme="minorEastAsia" w:hAnsiTheme="minorHAnsi" w:cstheme="minorBidi"/>
          <w:b w:val="0"/>
          <w:smallCaps w:val="0"/>
          <w:noProof/>
          <w:sz w:val="22"/>
          <w:szCs w:val="22"/>
          <w:lang w:val="en-US"/>
        </w:rPr>
      </w:pPr>
      <w:hyperlink w:anchor="_Toc193353973" w:history="1">
        <w:r w:rsidRPr="00335FC0">
          <w:rPr>
            <w:rStyle w:val="Hyperlink"/>
            <w:noProof/>
          </w:rPr>
          <w:t>4. Opis postojećeg stanja u oblasti upravljanja otpadom</w:t>
        </w:r>
        <w:r>
          <w:rPr>
            <w:noProof/>
            <w:webHidden/>
          </w:rPr>
          <w:tab/>
        </w:r>
        <w:r>
          <w:rPr>
            <w:noProof/>
            <w:webHidden/>
          </w:rPr>
          <w:fldChar w:fldCharType="begin"/>
        </w:r>
        <w:r>
          <w:rPr>
            <w:noProof/>
            <w:webHidden/>
          </w:rPr>
          <w:instrText xml:space="preserve"> PAGEREF _Toc193353973 \h </w:instrText>
        </w:r>
        <w:r>
          <w:rPr>
            <w:noProof/>
            <w:webHidden/>
          </w:rPr>
        </w:r>
        <w:r>
          <w:rPr>
            <w:noProof/>
            <w:webHidden/>
          </w:rPr>
          <w:fldChar w:fldCharType="separate"/>
        </w:r>
        <w:r>
          <w:rPr>
            <w:noProof/>
            <w:webHidden/>
          </w:rPr>
          <w:t>33</w:t>
        </w:r>
        <w:r>
          <w:rPr>
            <w:noProof/>
            <w:webHidden/>
          </w:rPr>
          <w:fldChar w:fldCharType="end"/>
        </w:r>
      </w:hyperlink>
    </w:p>
    <w:p w14:paraId="5114CB0B" w14:textId="77777777" w:rsidR="00552AAE" w:rsidRDefault="00552AAE">
      <w:pPr>
        <w:pStyle w:val="TOC2"/>
        <w:rPr>
          <w:rFonts w:asciiTheme="minorHAnsi" w:eastAsiaTheme="minorEastAsia" w:hAnsiTheme="minorHAnsi" w:cstheme="minorBidi"/>
          <w:noProof/>
          <w:sz w:val="22"/>
          <w:szCs w:val="22"/>
          <w:lang w:val="en-US"/>
        </w:rPr>
      </w:pPr>
      <w:hyperlink w:anchor="_Toc193353974" w:history="1">
        <w:r w:rsidRPr="00335FC0">
          <w:rPr>
            <w:rStyle w:val="Hyperlink"/>
            <w:noProof/>
          </w:rPr>
          <w:t>4.1. Komunalni otpad</w:t>
        </w:r>
        <w:r>
          <w:rPr>
            <w:noProof/>
            <w:webHidden/>
          </w:rPr>
          <w:tab/>
        </w:r>
        <w:r>
          <w:rPr>
            <w:noProof/>
            <w:webHidden/>
          </w:rPr>
          <w:fldChar w:fldCharType="begin"/>
        </w:r>
        <w:r>
          <w:rPr>
            <w:noProof/>
            <w:webHidden/>
          </w:rPr>
          <w:instrText xml:space="preserve"> PAGEREF _Toc193353974 \h </w:instrText>
        </w:r>
        <w:r>
          <w:rPr>
            <w:noProof/>
            <w:webHidden/>
          </w:rPr>
        </w:r>
        <w:r>
          <w:rPr>
            <w:noProof/>
            <w:webHidden/>
          </w:rPr>
          <w:fldChar w:fldCharType="separate"/>
        </w:r>
        <w:r>
          <w:rPr>
            <w:noProof/>
            <w:webHidden/>
          </w:rPr>
          <w:t>33</w:t>
        </w:r>
        <w:r>
          <w:rPr>
            <w:noProof/>
            <w:webHidden/>
          </w:rPr>
          <w:fldChar w:fldCharType="end"/>
        </w:r>
      </w:hyperlink>
    </w:p>
    <w:p w14:paraId="25BE3B77" w14:textId="77777777" w:rsidR="00552AAE" w:rsidRDefault="00552AAE">
      <w:pPr>
        <w:pStyle w:val="TOC2"/>
        <w:rPr>
          <w:rFonts w:asciiTheme="minorHAnsi" w:eastAsiaTheme="minorEastAsia" w:hAnsiTheme="minorHAnsi" w:cstheme="minorBidi"/>
          <w:noProof/>
          <w:sz w:val="22"/>
          <w:szCs w:val="22"/>
          <w:lang w:val="en-US"/>
        </w:rPr>
      </w:pPr>
      <w:hyperlink w:anchor="_Toc193353975" w:history="1">
        <w:r w:rsidRPr="00335FC0">
          <w:rPr>
            <w:rStyle w:val="Hyperlink"/>
            <w:noProof/>
          </w:rPr>
          <w:t>4.2. Sastav otpada</w:t>
        </w:r>
        <w:r>
          <w:rPr>
            <w:noProof/>
            <w:webHidden/>
          </w:rPr>
          <w:tab/>
        </w:r>
        <w:r>
          <w:rPr>
            <w:noProof/>
            <w:webHidden/>
          </w:rPr>
          <w:fldChar w:fldCharType="begin"/>
        </w:r>
        <w:r>
          <w:rPr>
            <w:noProof/>
            <w:webHidden/>
          </w:rPr>
          <w:instrText xml:space="preserve"> PAGEREF _Toc193353975 \h </w:instrText>
        </w:r>
        <w:r>
          <w:rPr>
            <w:noProof/>
            <w:webHidden/>
          </w:rPr>
        </w:r>
        <w:r>
          <w:rPr>
            <w:noProof/>
            <w:webHidden/>
          </w:rPr>
          <w:fldChar w:fldCharType="separate"/>
        </w:r>
        <w:r>
          <w:rPr>
            <w:noProof/>
            <w:webHidden/>
          </w:rPr>
          <w:t>38</w:t>
        </w:r>
        <w:r>
          <w:rPr>
            <w:noProof/>
            <w:webHidden/>
          </w:rPr>
          <w:fldChar w:fldCharType="end"/>
        </w:r>
      </w:hyperlink>
    </w:p>
    <w:p w14:paraId="0DFC0F3D" w14:textId="77777777" w:rsidR="00552AAE" w:rsidRDefault="00552AAE">
      <w:pPr>
        <w:pStyle w:val="TOC2"/>
        <w:rPr>
          <w:rFonts w:asciiTheme="minorHAnsi" w:eastAsiaTheme="minorEastAsia" w:hAnsiTheme="minorHAnsi" w:cstheme="minorBidi"/>
          <w:noProof/>
          <w:sz w:val="22"/>
          <w:szCs w:val="22"/>
          <w:lang w:val="en-US"/>
        </w:rPr>
      </w:pPr>
      <w:hyperlink w:anchor="_Toc193353976" w:history="1">
        <w:r w:rsidRPr="00335FC0">
          <w:rPr>
            <w:rStyle w:val="Hyperlink"/>
            <w:noProof/>
          </w:rPr>
          <w:t>4.3. Sakupljanje otpada</w:t>
        </w:r>
        <w:r>
          <w:rPr>
            <w:noProof/>
            <w:webHidden/>
          </w:rPr>
          <w:tab/>
        </w:r>
        <w:r>
          <w:rPr>
            <w:noProof/>
            <w:webHidden/>
          </w:rPr>
          <w:fldChar w:fldCharType="begin"/>
        </w:r>
        <w:r>
          <w:rPr>
            <w:noProof/>
            <w:webHidden/>
          </w:rPr>
          <w:instrText xml:space="preserve"> PAGEREF _Toc193353976 \h </w:instrText>
        </w:r>
        <w:r>
          <w:rPr>
            <w:noProof/>
            <w:webHidden/>
          </w:rPr>
        </w:r>
        <w:r>
          <w:rPr>
            <w:noProof/>
            <w:webHidden/>
          </w:rPr>
          <w:fldChar w:fldCharType="separate"/>
        </w:r>
        <w:r>
          <w:rPr>
            <w:noProof/>
            <w:webHidden/>
          </w:rPr>
          <w:t>41</w:t>
        </w:r>
        <w:r>
          <w:rPr>
            <w:noProof/>
            <w:webHidden/>
          </w:rPr>
          <w:fldChar w:fldCharType="end"/>
        </w:r>
      </w:hyperlink>
    </w:p>
    <w:p w14:paraId="19E143D2" w14:textId="77777777" w:rsidR="00552AAE" w:rsidRDefault="00552AAE">
      <w:pPr>
        <w:pStyle w:val="TOC2"/>
        <w:rPr>
          <w:rFonts w:asciiTheme="minorHAnsi" w:eastAsiaTheme="minorEastAsia" w:hAnsiTheme="minorHAnsi" w:cstheme="minorBidi"/>
          <w:noProof/>
          <w:sz w:val="22"/>
          <w:szCs w:val="22"/>
          <w:lang w:val="en-US"/>
        </w:rPr>
      </w:pPr>
      <w:hyperlink w:anchor="_Toc193353977" w:history="1">
        <w:r w:rsidRPr="00335FC0">
          <w:rPr>
            <w:rStyle w:val="Hyperlink"/>
            <w:noProof/>
          </w:rPr>
          <w:t>4.4. Transfer stanice</w:t>
        </w:r>
        <w:r>
          <w:rPr>
            <w:noProof/>
            <w:webHidden/>
          </w:rPr>
          <w:tab/>
        </w:r>
        <w:r>
          <w:rPr>
            <w:noProof/>
            <w:webHidden/>
          </w:rPr>
          <w:fldChar w:fldCharType="begin"/>
        </w:r>
        <w:r>
          <w:rPr>
            <w:noProof/>
            <w:webHidden/>
          </w:rPr>
          <w:instrText xml:space="preserve"> PAGEREF _Toc193353977 \h </w:instrText>
        </w:r>
        <w:r>
          <w:rPr>
            <w:noProof/>
            <w:webHidden/>
          </w:rPr>
        </w:r>
        <w:r>
          <w:rPr>
            <w:noProof/>
            <w:webHidden/>
          </w:rPr>
          <w:fldChar w:fldCharType="separate"/>
        </w:r>
        <w:r>
          <w:rPr>
            <w:noProof/>
            <w:webHidden/>
          </w:rPr>
          <w:t>43</w:t>
        </w:r>
        <w:r>
          <w:rPr>
            <w:noProof/>
            <w:webHidden/>
          </w:rPr>
          <w:fldChar w:fldCharType="end"/>
        </w:r>
      </w:hyperlink>
    </w:p>
    <w:p w14:paraId="71F38CA7" w14:textId="77777777" w:rsidR="00552AAE" w:rsidRDefault="00552AAE">
      <w:pPr>
        <w:pStyle w:val="TOC2"/>
        <w:rPr>
          <w:rFonts w:asciiTheme="minorHAnsi" w:eastAsiaTheme="minorEastAsia" w:hAnsiTheme="minorHAnsi" w:cstheme="minorBidi"/>
          <w:noProof/>
          <w:sz w:val="22"/>
          <w:szCs w:val="22"/>
          <w:lang w:val="en-US"/>
        </w:rPr>
      </w:pPr>
      <w:hyperlink w:anchor="_Toc193353978" w:history="1">
        <w:r w:rsidRPr="00335FC0">
          <w:rPr>
            <w:rStyle w:val="Hyperlink"/>
            <w:noProof/>
          </w:rPr>
          <w:t>4.5. Programi sakupljanja otpada</w:t>
        </w:r>
        <w:r>
          <w:rPr>
            <w:noProof/>
            <w:webHidden/>
          </w:rPr>
          <w:tab/>
        </w:r>
        <w:r>
          <w:rPr>
            <w:noProof/>
            <w:webHidden/>
          </w:rPr>
          <w:fldChar w:fldCharType="begin"/>
        </w:r>
        <w:r>
          <w:rPr>
            <w:noProof/>
            <w:webHidden/>
          </w:rPr>
          <w:instrText xml:space="preserve"> PAGEREF _Toc193353978 \h </w:instrText>
        </w:r>
        <w:r>
          <w:rPr>
            <w:noProof/>
            <w:webHidden/>
          </w:rPr>
        </w:r>
        <w:r>
          <w:rPr>
            <w:noProof/>
            <w:webHidden/>
          </w:rPr>
          <w:fldChar w:fldCharType="separate"/>
        </w:r>
        <w:r>
          <w:rPr>
            <w:noProof/>
            <w:webHidden/>
          </w:rPr>
          <w:t>43</w:t>
        </w:r>
        <w:r>
          <w:rPr>
            <w:noProof/>
            <w:webHidden/>
          </w:rPr>
          <w:fldChar w:fldCharType="end"/>
        </w:r>
      </w:hyperlink>
    </w:p>
    <w:p w14:paraId="2767D9CE" w14:textId="77777777" w:rsidR="00552AAE" w:rsidRDefault="00552AAE">
      <w:pPr>
        <w:pStyle w:val="TOC2"/>
        <w:rPr>
          <w:rFonts w:asciiTheme="minorHAnsi" w:eastAsiaTheme="minorEastAsia" w:hAnsiTheme="minorHAnsi" w:cstheme="minorBidi"/>
          <w:noProof/>
          <w:sz w:val="22"/>
          <w:szCs w:val="22"/>
          <w:lang w:val="en-US"/>
        </w:rPr>
      </w:pPr>
      <w:hyperlink w:anchor="_Toc193353979" w:history="1">
        <w:r w:rsidRPr="00335FC0">
          <w:rPr>
            <w:rStyle w:val="Hyperlink"/>
            <w:noProof/>
          </w:rPr>
          <w:t>4.6.  Prerada i recikliranje otpada</w:t>
        </w:r>
        <w:r>
          <w:rPr>
            <w:noProof/>
            <w:webHidden/>
          </w:rPr>
          <w:tab/>
        </w:r>
        <w:r>
          <w:rPr>
            <w:noProof/>
            <w:webHidden/>
          </w:rPr>
          <w:fldChar w:fldCharType="begin"/>
        </w:r>
        <w:r>
          <w:rPr>
            <w:noProof/>
            <w:webHidden/>
          </w:rPr>
          <w:instrText xml:space="preserve"> PAGEREF _Toc193353979 \h </w:instrText>
        </w:r>
        <w:r>
          <w:rPr>
            <w:noProof/>
            <w:webHidden/>
          </w:rPr>
        </w:r>
        <w:r>
          <w:rPr>
            <w:noProof/>
            <w:webHidden/>
          </w:rPr>
          <w:fldChar w:fldCharType="separate"/>
        </w:r>
        <w:r>
          <w:rPr>
            <w:noProof/>
            <w:webHidden/>
          </w:rPr>
          <w:t>44</w:t>
        </w:r>
        <w:r>
          <w:rPr>
            <w:noProof/>
            <w:webHidden/>
          </w:rPr>
          <w:fldChar w:fldCharType="end"/>
        </w:r>
      </w:hyperlink>
    </w:p>
    <w:p w14:paraId="561B867B" w14:textId="77777777" w:rsidR="00552AAE" w:rsidRDefault="00552AAE">
      <w:pPr>
        <w:pStyle w:val="TOC2"/>
        <w:rPr>
          <w:rFonts w:asciiTheme="minorHAnsi" w:eastAsiaTheme="minorEastAsia" w:hAnsiTheme="minorHAnsi" w:cstheme="minorBidi"/>
          <w:noProof/>
          <w:sz w:val="22"/>
          <w:szCs w:val="22"/>
          <w:lang w:val="en-US"/>
        </w:rPr>
      </w:pPr>
      <w:hyperlink w:anchor="_Toc193353980" w:history="1">
        <w:r w:rsidRPr="00335FC0">
          <w:rPr>
            <w:rStyle w:val="Hyperlink"/>
            <w:noProof/>
          </w:rPr>
          <w:t>4.7. Odlaganje otpada</w:t>
        </w:r>
        <w:r>
          <w:rPr>
            <w:noProof/>
            <w:webHidden/>
          </w:rPr>
          <w:tab/>
        </w:r>
        <w:r>
          <w:rPr>
            <w:noProof/>
            <w:webHidden/>
          </w:rPr>
          <w:fldChar w:fldCharType="begin"/>
        </w:r>
        <w:r>
          <w:rPr>
            <w:noProof/>
            <w:webHidden/>
          </w:rPr>
          <w:instrText xml:space="preserve"> PAGEREF _Toc193353980 \h </w:instrText>
        </w:r>
        <w:r>
          <w:rPr>
            <w:noProof/>
            <w:webHidden/>
          </w:rPr>
        </w:r>
        <w:r>
          <w:rPr>
            <w:noProof/>
            <w:webHidden/>
          </w:rPr>
          <w:fldChar w:fldCharType="separate"/>
        </w:r>
        <w:r>
          <w:rPr>
            <w:noProof/>
            <w:webHidden/>
          </w:rPr>
          <w:t>45</w:t>
        </w:r>
        <w:r>
          <w:rPr>
            <w:noProof/>
            <w:webHidden/>
          </w:rPr>
          <w:fldChar w:fldCharType="end"/>
        </w:r>
      </w:hyperlink>
    </w:p>
    <w:p w14:paraId="790303EE" w14:textId="77777777" w:rsidR="00552AAE" w:rsidRDefault="00552AAE">
      <w:pPr>
        <w:pStyle w:val="TOC2"/>
        <w:rPr>
          <w:rFonts w:asciiTheme="minorHAnsi" w:eastAsiaTheme="minorEastAsia" w:hAnsiTheme="minorHAnsi" w:cstheme="minorBidi"/>
          <w:noProof/>
          <w:sz w:val="22"/>
          <w:szCs w:val="22"/>
          <w:lang w:val="en-US"/>
        </w:rPr>
      </w:pPr>
      <w:hyperlink w:anchor="_Toc193353981" w:history="1">
        <w:r w:rsidRPr="00335FC0">
          <w:rPr>
            <w:rStyle w:val="Hyperlink"/>
            <w:noProof/>
          </w:rPr>
          <w:t>4.8. Privremeno skladištenje komunalnog otpada</w:t>
        </w:r>
        <w:r>
          <w:rPr>
            <w:noProof/>
            <w:webHidden/>
          </w:rPr>
          <w:tab/>
        </w:r>
        <w:r>
          <w:rPr>
            <w:noProof/>
            <w:webHidden/>
          </w:rPr>
          <w:fldChar w:fldCharType="begin"/>
        </w:r>
        <w:r>
          <w:rPr>
            <w:noProof/>
            <w:webHidden/>
          </w:rPr>
          <w:instrText xml:space="preserve"> PAGEREF _Toc193353981 \h </w:instrText>
        </w:r>
        <w:r>
          <w:rPr>
            <w:noProof/>
            <w:webHidden/>
          </w:rPr>
        </w:r>
        <w:r>
          <w:rPr>
            <w:noProof/>
            <w:webHidden/>
          </w:rPr>
          <w:fldChar w:fldCharType="separate"/>
        </w:r>
        <w:r>
          <w:rPr>
            <w:noProof/>
            <w:webHidden/>
          </w:rPr>
          <w:t>46</w:t>
        </w:r>
        <w:r>
          <w:rPr>
            <w:noProof/>
            <w:webHidden/>
          </w:rPr>
          <w:fldChar w:fldCharType="end"/>
        </w:r>
      </w:hyperlink>
    </w:p>
    <w:p w14:paraId="03BACD35" w14:textId="77777777" w:rsidR="00552AAE" w:rsidRDefault="00552AAE">
      <w:pPr>
        <w:pStyle w:val="TOC2"/>
        <w:rPr>
          <w:rFonts w:asciiTheme="minorHAnsi" w:eastAsiaTheme="minorEastAsia" w:hAnsiTheme="minorHAnsi" w:cstheme="minorBidi"/>
          <w:noProof/>
          <w:sz w:val="22"/>
          <w:szCs w:val="22"/>
          <w:lang w:val="en-US"/>
        </w:rPr>
      </w:pPr>
      <w:hyperlink w:anchor="_Toc193353982" w:history="1">
        <w:r w:rsidRPr="00335FC0">
          <w:rPr>
            <w:rStyle w:val="Hyperlink"/>
            <w:noProof/>
          </w:rPr>
          <w:t>4.9. Odlagališta otpada</w:t>
        </w:r>
        <w:r>
          <w:rPr>
            <w:noProof/>
            <w:webHidden/>
          </w:rPr>
          <w:tab/>
        </w:r>
        <w:r>
          <w:rPr>
            <w:noProof/>
            <w:webHidden/>
          </w:rPr>
          <w:fldChar w:fldCharType="begin"/>
        </w:r>
        <w:r>
          <w:rPr>
            <w:noProof/>
            <w:webHidden/>
          </w:rPr>
          <w:instrText xml:space="preserve"> PAGEREF _Toc193353982 \h </w:instrText>
        </w:r>
        <w:r>
          <w:rPr>
            <w:noProof/>
            <w:webHidden/>
          </w:rPr>
        </w:r>
        <w:r>
          <w:rPr>
            <w:noProof/>
            <w:webHidden/>
          </w:rPr>
          <w:fldChar w:fldCharType="separate"/>
        </w:r>
        <w:r>
          <w:rPr>
            <w:noProof/>
            <w:webHidden/>
          </w:rPr>
          <w:t>46</w:t>
        </w:r>
        <w:r>
          <w:rPr>
            <w:noProof/>
            <w:webHidden/>
          </w:rPr>
          <w:fldChar w:fldCharType="end"/>
        </w:r>
      </w:hyperlink>
    </w:p>
    <w:p w14:paraId="305F1497" w14:textId="77777777" w:rsidR="00552AAE" w:rsidRDefault="00552AAE">
      <w:pPr>
        <w:pStyle w:val="TOC2"/>
        <w:rPr>
          <w:rFonts w:asciiTheme="minorHAnsi" w:eastAsiaTheme="minorEastAsia" w:hAnsiTheme="minorHAnsi" w:cstheme="minorBidi"/>
          <w:noProof/>
          <w:sz w:val="22"/>
          <w:szCs w:val="22"/>
          <w:lang w:val="en-US"/>
        </w:rPr>
      </w:pPr>
      <w:hyperlink w:anchor="_Toc193353983" w:history="1">
        <w:r w:rsidRPr="00335FC0">
          <w:rPr>
            <w:rStyle w:val="Hyperlink"/>
            <w:noProof/>
          </w:rPr>
          <w:t>4.10. Stanje tržišta upravljanja otpadom</w:t>
        </w:r>
        <w:r>
          <w:rPr>
            <w:noProof/>
            <w:webHidden/>
          </w:rPr>
          <w:tab/>
        </w:r>
        <w:r>
          <w:rPr>
            <w:noProof/>
            <w:webHidden/>
          </w:rPr>
          <w:fldChar w:fldCharType="begin"/>
        </w:r>
        <w:r>
          <w:rPr>
            <w:noProof/>
            <w:webHidden/>
          </w:rPr>
          <w:instrText xml:space="preserve"> PAGEREF _Toc193353983 \h </w:instrText>
        </w:r>
        <w:r>
          <w:rPr>
            <w:noProof/>
            <w:webHidden/>
          </w:rPr>
        </w:r>
        <w:r>
          <w:rPr>
            <w:noProof/>
            <w:webHidden/>
          </w:rPr>
          <w:fldChar w:fldCharType="separate"/>
        </w:r>
        <w:r>
          <w:rPr>
            <w:noProof/>
            <w:webHidden/>
          </w:rPr>
          <w:t>58</w:t>
        </w:r>
        <w:r>
          <w:rPr>
            <w:noProof/>
            <w:webHidden/>
          </w:rPr>
          <w:fldChar w:fldCharType="end"/>
        </w:r>
      </w:hyperlink>
    </w:p>
    <w:p w14:paraId="4AA5B062" w14:textId="77777777" w:rsidR="00552AAE" w:rsidRDefault="00552AAE">
      <w:pPr>
        <w:pStyle w:val="TOC2"/>
        <w:rPr>
          <w:rFonts w:asciiTheme="minorHAnsi" w:eastAsiaTheme="minorEastAsia" w:hAnsiTheme="minorHAnsi" w:cstheme="minorBidi"/>
          <w:noProof/>
          <w:sz w:val="22"/>
          <w:szCs w:val="22"/>
          <w:lang w:val="en-US"/>
        </w:rPr>
      </w:pPr>
      <w:hyperlink w:anchor="_Toc193353984" w:history="1">
        <w:r w:rsidRPr="00335FC0">
          <w:rPr>
            <w:rStyle w:val="Hyperlink"/>
            <w:noProof/>
          </w:rPr>
          <w:t>4.11. Aktivnosti upravljanja otpadom (sakupljanje i obrada otpada, reciklaža i odlaganje)</w:t>
        </w:r>
        <w:r>
          <w:rPr>
            <w:noProof/>
            <w:webHidden/>
          </w:rPr>
          <w:tab/>
        </w:r>
        <w:r>
          <w:rPr>
            <w:noProof/>
            <w:webHidden/>
          </w:rPr>
          <w:fldChar w:fldCharType="begin"/>
        </w:r>
        <w:r>
          <w:rPr>
            <w:noProof/>
            <w:webHidden/>
          </w:rPr>
          <w:instrText xml:space="preserve"> PAGEREF _Toc193353984 \h </w:instrText>
        </w:r>
        <w:r>
          <w:rPr>
            <w:noProof/>
            <w:webHidden/>
          </w:rPr>
        </w:r>
        <w:r>
          <w:rPr>
            <w:noProof/>
            <w:webHidden/>
          </w:rPr>
          <w:fldChar w:fldCharType="separate"/>
        </w:r>
        <w:r>
          <w:rPr>
            <w:noProof/>
            <w:webHidden/>
          </w:rPr>
          <w:t>58</w:t>
        </w:r>
        <w:r>
          <w:rPr>
            <w:noProof/>
            <w:webHidden/>
          </w:rPr>
          <w:fldChar w:fldCharType="end"/>
        </w:r>
      </w:hyperlink>
    </w:p>
    <w:p w14:paraId="516C7D09" w14:textId="77777777" w:rsidR="00552AAE" w:rsidRDefault="00552AAE">
      <w:pPr>
        <w:pStyle w:val="TOC2"/>
        <w:rPr>
          <w:rFonts w:asciiTheme="minorHAnsi" w:eastAsiaTheme="minorEastAsia" w:hAnsiTheme="minorHAnsi" w:cstheme="minorBidi"/>
          <w:noProof/>
          <w:sz w:val="22"/>
          <w:szCs w:val="22"/>
          <w:lang w:val="en-US"/>
        </w:rPr>
      </w:pPr>
      <w:hyperlink w:anchor="_Toc193353985" w:history="1">
        <w:r w:rsidRPr="00335FC0">
          <w:rPr>
            <w:rStyle w:val="Hyperlink"/>
            <w:noProof/>
          </w:rPr>
          <w:t>4.12. Tržište sekundarnih materijala (materijali za reciklažu, kompost, itd)</w:t>
        </w:r>
        <w:r>
          <w:rPr>
            <w:noProof/>
            <w:webHidden/>
          </w:rPr>
          <w:tab/>
        </w:r>
        <w:r>
          <w:rPr>
            <w:noProof/>
            <w:webHidden/>
          </w:rPr>
          <w:fldChar w:fldCharType="begin"/>
        </w:r>
        <w:r>
          <w:rPr>
            <w:noProof/>
            <w:webHidden/>
          </w:rPr>
          <w:instrText xml:space="preserve"> PAGEREF _Toc193353985 \h </w:instrText>
        </w:r>
        <w:r>
          <w:rPr>
            <w:noProof/>
            <w:webHidden/>
          </w:rPr>
        </w:r>
        <w:r>
          <w:rPr>
            <w:noProof/>
            <w:webHidden/>
          </w:rPr>
          <w:fldChar w:fldCharType="separate"/>
        </w:r>
        <w:r>
          <w:rPr>
            <w:noProof/>
            <w:webHidden/>
          </w:rPr>
          <w:t>58</w:t>
        </w:r>
        <w:r>
          <w:rPr>
            <w:noProof/>
            <w:webHidden/>
          </w:rPr>
          <w:fldChar w:fldCharType="end"/>
        </w:r>
      </w:hyperlink>
    </w:p>
    <w:p w14:paraId="4A05AF84" w14:textId="77777777" w:rsidR="00552AAE" w:rsidRDefault="00552AAE">
      <w:pPr>
        <w:pStyle w:val="TOC2"/>
        <w:rPr>
          <w:rFonts w:asciiTheme="minorHAnsi" w:eastAsiaTheme="minorEastAsia" w:hAnsiTheme="minorHAnsi" w:cstheme="minorBidi"/>
          <w:noProof/>
          <w:sz w:val="22"/>
          <w:szCs w:val="22"/>
          <w:lang w:val="en-US"/>
        </w:rPr>
      </w:pPr>
      <w:hyperlink w:anchor="_Toc193353986" w:history="1">
        <w:r w:rsidRPr="00335FC0">
          <w:rPr>
            <w:rStyle w:val="Hyperlink"/>
            <w:noProof/>
          </w:rPr>
          <w:t>4.13. Monitoring  i sprovođenje</w:t>
        </w:r>
        <w:r>
          <w:rPr>
            <w:noProof/>
            <w:webHidden/>
          </w:rPr>
          <w:tab/>
        </w:r>
        <w:r>
          <w:rPr>
            <w:noProof/>
            <w:webHidden/>
          </w:rPr>
          <w:fldChar w:fldCharType="begin"/>
        </w:r>
        <w:r>
          <w:rPr>
            <w:noProof/>
            <w:webHidden/>
          </w:rPr>
          <w:instrText xml:space="preserve"> PAGEREF _Toc193353986 \h </w:instrText>
        </w:r>
        <w:r>
          <w:rPr>
            <w:noProof/>
            <w:webHidden/>
          </w:rPr>
        </w:r>
        <w:r>
          <w:rPr>
            <w:noProof/>
            <w:webHidden/>
          </w:rPr>
          <w:fldChar w:fldCharType="separate"/>
        </w:r>
        <w:r>
          <w:rPr>
            <w:noProof/>
            <w:webHidden/>
          </w:rPr>
          <w:t>58</w:t>
        </w:r>
        <w:r>
          <w:rPr>
            <w:noProof/>
            <w:webHidden/>
          </w:rPr>
          <w:fldChar w:fldCharType="end"/>
        </w:r>
      </w:hyperlink>
    </w:p>
    <w:p w14:paraId="572B2E59" w14:textId="77777777" w:rsidR="00552AAE" w:rsidRDefault="00552AAE">
      <w:pPr>
        <w:pStyle w:val="TOC2"/>
        <w:rPr>
          <w:rFonts w:asciiTheme="minorHAnsi" w:eastAsiaTheme="minorEastAsia" w:hAnsiTheme="minorHAnsi" w:cstheme="minorBidi"/>
          <w:noProof/>
          <w:sz w:val="22"/>
          <w:szCs w:val="22"/>
          <w:lang w:val="en-US"/>
        </w:rPr>
      </w:pPr>
      <w:hyperlink w:anchor="_Toc193353987" w:history="1">
        <w:r w:rsidRPr="00335FC0">
          <w:rPr>
            <w:rStyle w:val="Hyperlink"/>
            <w:noProof/>
          </w:rPr>
          <w:t>4.14.Medicinski i veterinarski otpad</w:t>
        </w:r>
        <w:r>
          <w:rPr>
            <w:noProof/>
            <w:webHidden/>
          </w:rPr>
          <w:tab/>
        </w:r>
        <w:r>
          <w:rPr>
            <w:noProof/>
            <w:webHidden/>
          </w:rPr>
          <w:fldChar w:fldCharType="begin"/>
        </w:r>
        <w:r>
          <w:rPr>
            <w:noProof/>
            <w:webHidden/>
          </w:rPr>
          <w:instrText xml:space="preserve"> PAGEREF _Toc193353987 \h </w:instrText>
        </w:r>
        <w:r>
          <w:rPr>
            <w:noProof/>
            <w:webHidden/>
          </w:rPr>
        </w:r>
        <w:r>
          <w:rPr>
            <w:noProof/>
            <w:webHidden/>
          </w:rPr>
          <w:fldChar w:fldCharType="separate"/>
        </w:r>
        <w:r>
          <w:rPr>
            <w:noProof/>
            <w:webHidden/>
          </w:rPr>
          <w:t>59</w:t>
        </w:r>
        <w:r>
          <w:rPr>
            <w:noProof/>
            <w:webHidden/>
          </w:rPr>
          <w:fldChar w:fldCharType="end"/>
        </w:r>
      </w:hyperlink>
    </w:p>
    <w:p w14:paraId="2E9DEC8B" w14:textId="77777777" w:rsidR="00552AAE" w:rsidRDefault="00552AAE">
      <w:pPr>
        <w:pStyle w:val="TOC3"/>
        <w:rPr>
          <w:rFonts w:asciiTheme="minorHAnsi" w:eastAsiaTheme="minorEastAsia" w:hAnsiTheme="minorHAnsi" w:cstheme="minorBidi"/>
          <w:i w:val="0"/>
          <w:noProof/>
          <w:sz w:val="22"/>
          <w:szCs w:val="22"/>
          <w:lang w:val="en-US"/>
        </w:rPr>
      </w:pPr>
      <w:hyperlink w:anchor="_Toc193353988" w:history="1">
        <w:r w:rsidRPr="00335FC0">
          <w:rPr>
            <w:rStyle w:val="Hyperlink"/>
            <w:noProof/>
            <w:lang w:val="en-US"/>
          </w:rPr>
          <w:t>4.14.1. Procjena postojećeg stanja</w:t>
        </w:r>
        <w:r>
          <w:rPr>
            <w:noProof/>
            <w:webHidden/>
          </w:rPr>
          <w:tab/>
        </w:r>
        <w:r>
          <w:rPr>
            <w:noProof/>
            <w:webHidden/>
          </w:rPr>
          <w:fldChar w:fldCharType="begin"/>
        </w:r>
        <w:r>
          <w:rPr>
            <w:noProof/>
            <w:webHidden/>
          </w:rPr>
          <w:instrText xml:space="preserve"> PAGEREF _Toc193353988 \h </w:instrText>
        </w:r>
        <w:r>
          <w:rPr>
            <w:noProof/>
            <w:webHidden/>
          </w:rPr>
        </w:r>
        <w:r>
          <w:rPr>
            <w:noProof/>
            <w:webHidden/>
          </w:rPr>
          <w:fldChar w:fldCharType="separate"/>
        </w:r>
        <w:r>
          <w:rPr>
            <w:noProof/>
            <w:webHidden/>
          </w:rPr>
          <w:t>59</w:t>
        </w:r>
        <w:r>
          <w:rPr>
            <w:noProof/>
            <w:webHidden/>
          </w:rPr>
          <w:fldChar w:fldCharType="end"/>
        </w:r>
      </w:hyperlink>
    </w:p>
    <w:p w14:paraId="7B884CA9" w14:textId="77777777" w:rsidR="00552AAE" w:rsidRDefault="00552AAE">
      <w:pPr>
        <w:pStyle w:val="TOC2"/>
        <w:rPr>
          <w:rFonts w:asciiTheme="minorHAnsi" w:eastAsiaTheme="minorEastAsia" w:hAnsiTheme="minorHAnsi" w:cstheme="minorBidi"/>
          <w:noProof/>
          <w:sz w:val="22"/>
          <w:szCs w:val="22"/>
          <w:lang w:val="en-US"/>
        </w:rPr>
      </w:pPr>
      <w:hyperlink w:anchor="_Toc193353989" w:history="1">
        <w:r w:rsidRPr="00335FC0">
          <w:rPr>
            <w:rStyle w:val="Hyperlink"/>
            <w:noProof/>
          </w:rPr>
          <w:t>4.15. Građevinski otpad i otpad od rušenja</w:t>
        </w:r>
        <w:r>
          <w:rPr>
            <w:noProof/>
            <w:webHidden/>
          </w:rPr>
          <w:tab/>
        </w:r>
        <w:r>
          <w:rPr>
            <w:noProof/>
            <w:webHidden/>
          </w:rPr>
          <w:fldChar w:fldCharType="begin"/>
        </w:r>
        <w:r>
          <w:rPr>
            <w:noProof/>
            <w:webHidden/>
          </w:rPr>
          <w:instrText xml:space="preserve"> PAGEREF _Toc193353989 \h </w:instrText>
        </w:r>
        <w:r>
          <w:rPr>
            <w:noProof/>
            <w:webHidden/>
          </w:rPr>
        </w:r>
        <w:r>
          <w:rPr>
            <w:noProof/>
            <w:webHidden/>
          </w:rPr>
          <w:fldChar w:fldCharType="separate"/>
        </w:r>
        <w:r>
          <w:rPr>
            <w:noProof/>
            <w:webHidden/>
          </w:rPr>
          <w:t>63</w:t>
        </w:r>
        <w:r>
          <w:rPr>
            <w:noProof/>
            <w:webHidden/>
          </w:rPr>
          <w:fldChar w:fldCharType="end"/>
        </w:r>
      </w:hyperlink>
    </w:p>
    <w:p w14:paraId="36F1EA21" w14:textId="77777777" w:rsidR="00552AAE" w:rsidRDefault="00552AAE">
      <w:pPr>
        <w:pStyle w:val="TOC2"/>
        <w:rPr>
          <w:rFonts w:asciiTheme="minorHAnsi" w:eastAsiaTheme="minorEastAsia" w:hAnsiTheme="minorHAnsi" w:cstheme="minorBidi"/>
          <w:noProof/>
          <w:sz w:val="22"/>
          <w:szCs w:val="22"/>
          <w:lang w:val="en-US"/>
        </w:rPr>
      </w:pPr>
      <w:hyperlink w:anchor="_Toc193353990" w:history="1">
        <w:r w:rsidRPr="00335FC0">
          <w:rPr>
            <w:rStyle w:val="Hyperlink"/>
            <w:noProof/>
          </w:rPr>
          <w:t>4.16. Otpad od električnih i elektronskih proizvoda</w:t>
        </w:r>
        <w:r>
          <w:rPr>
            <w:noProof/>
            <w:webHidden/>
          </w:rPr>
          <w:tab/>
        </w:r>
        <w:r>
          <w:rPr>
            <w:noProof/>
            <w:webHidden/>
          </w:rPr>
          <w:fldChar w:fldCharType="begin"/>
        </w:r>
        <w:r>
          <w:rPr>
            <w:noProof/>
            <w:webHidden/>
          </w:rPr>
          <w:instrText xml:space="preserve"> PAGEREF _Toc193353990 \h </w:instrText>
        </w:r>
        <w:r>
          <w:rPr>
            <w:noProof/>
            <w:webHidden/>
          </w:rPr>
        </w:r>
        <w:r>
          <w:rPr>
            <w:noProof/>
            <w:webHidden/>
          </w:rPr>
          <w:fldChar w:fldCharType="separate"/>
        </w:r>
        <w:r>
          <w:rPr>
            <w:noProof/>
            <w:webHidden/>
          </w:rPr>
          <w:t>64</w:t>
        </w:r>
        <w:r>
          <w:rPr>
            <w:noProof/>
            <w:webHidden/>
          </w:rPr>
          <w:fldChar w:fldCharType="end"/>
        </w:r>
      </w:hyperlink>
    </w:p>
    <w:p w14:paraId="79AFBBD7" w14:textId="77777777" w:rsidR="00552AAE" w:rsidRDefault="00552AAE">
      <w:pPr>
        <w:pStyle w:val="TOC2"/>
        <w:rPr>
          <w:rFonts w:asciiTheme="minorHAnsi" w:eastAsiaTheme="minorEastAsia" w:hAnsiTheme="minorHAnsi" w:cstheme="minorBidi"/>
          <w:noProof/>
          <w:sz w:val="22"/>
          <w:szCs w:val="22"/>
          <w:lang w:val="en-US"/>
        </w:rPr>
      </w:pPr>
      <w:hyperlink w:anchor="_Toc193353991" w:history="1">
        <w:r w:rsidRPr="00335FC0">
          <w:rPr>
            <w:rStyle w:val="Hyperlink"/>
            <w:noProof/>
          </w:rPr>
          <w:t>4.17. Otpadna vozila</w:t>
        </w:r>
        <w:r>
          <w:rPr>
            <w:noProof/>
            <w:webHidden/>
          </w:rPr>
          <w:tab/>
        </w:r>
        <w:r>
          <w:rPr>
            <w:noProof/>
            <w:webHidden/>
          </w:rPr>
          <w:fldChar w:fldCharType="begin"/>
        </w:r>
        <w:r>
          <w:rPr>
            <w:noProof/>
            <w:webHidden/>
          </w:rPr>
          <w:instrText xml:space="preserve"> PAGEREF _Toc193353991 \h </w:instrText>
        </w:r>
        <w:r>
          <w:rPr>
            <w:noProof/>
            <w:webHidden/>
          </w:rPr>
        </w:r>
        <w:r>
          <w:rPr>
            <w:noProof/>
            <w:webHidden/>
          </w:rPr>
          <w:fldChar w:fldCharType="separate"/>
        </w:r>
        <w:r>
          <w:rPr>
            <w:noProof/>
            <w:webHidden/>
          </w:rPr>
          <w:t>64</w:t>
        </w:r>
        <w:r>
          <w:rPr>
            <w:noProof/>
            <w:webHidden/>
          </w:rPr>
          <w:fldChar w:fldCharType="end"/>
        </w:r>
      </w:hyperlink>
    </w:p>
    <w:p w14:paraId="65C62EB9" w14:textId="77777777" w:rsidR="00552AAE" w:rsidRDefault="00552AAE">
      <w:pPr>
        <w:pStyle w:val="TOC2"/>
        <w:rPr>
          <w:rFonts w:asciiTheme="minorHAnsi" w:eastAsiaTheme="minorEastAsia" w:hAnsiTheme="minorHAnsi" w:cstheme="minorBidi"/>
          <w:noProof/>
          <w:sz w:val="22"/>
          <w:szCs w:val="22"/>
          <w:lang w:val="en-US"/>
        </w:rPr>
      </w:pPr>
      <w:hyperlink w:anchor="_Toc193353992" w:history="1">
        <w:r w:rsidRPr="00335FC0">
          <w:rPr>
            <w:rStyle w:val="Hyperlink"/>
            <w:noProof/>
          </w:rPr>
          <w:t>4.18. Otpadne baterije i akumulatori</w:t>
        </w:r>
        <w:r>
          <w:rPr>
            <w:noProof/>
            <w:webHidden/>
          </w:rPr>
          <w:tab/>
        </w:r>
        <w:r>
          <w:rPr>
            <w:noProof/>
            <w:webHidden/>
          </w:rPr>
          <w:fldChar w:fldCharType="begin"/>
        </w:r>
        <w:r>
          <w:rPr>
            <w:noProof/>
            <w:webHidden/>
          </w:rPr>
          <w:instrText xml:space="preserve"> PAGEREF _Toc193353992 \h </w:instrText>
        </w:r>
        <w:r>
          <w:rPr>
            <w:noProof/>
            <w:webHidden/>
          </w:rPr>
        </w:r>
        <w:r>
          <w:rPr>
            <w:noProof/>
            <w:webHidden/>
          </w:rPr>
          <w:fldChar w:fldCharType="separate"/>
        </w:r>
        <w:r>
          <w:rPr>
            <w:noProof/>
            <w:webHidden/>
          </w:rPr>
          <w:t>65</w:t>
        </w:r>
        <w:r>
          <w:rPr>
            <w:noProof/>
            <w:webHidden/>
          </w:rPr>
          <w:fldChar w:fldCharType="end"/>
        </w:r>
      </w:hyperlink>
    </w:p>
    <w:p w14:paraId="7EFB66B7" w14:textId="77777777" w:rsidR="00552AAE" w:rsidRDefault="00552AAE">
      <w:pPr>
        <w:pStyle w:val="TOC2"/>
        <w:rPr>
          <w:rFonts w:asciiTheme="minorHAnsi" w:eastAsiaTheme="minorEastAsia" w:hAnsiTheme="minorHAnsi" w:cstheme="minorBidi"/>
          <w:noProof/>
          <w:sz w:val="22"/>
          <w:szCs w:val="22"/>
          <w:lang w:val="en-US"/>
        </w:rPr>
      </w:pPr>
      <w:hyperlink w:anchor="_Toc193353993" w:history="1">
        <w:r w:rsidRPr="00335FC0">
          <w:rPr>
            <w:rStyle w:val="Hyperlink"/>
            <w:noProof/>
          </w:rPr>
          <w:t>4.19. Otpadne gume</w:t>
        </w:r>
        <w:r>
          <w:rPr>
            <w:noProof/>
            <w:webHidden/>
          </w:rPr>
          <w:tab/>
        </w:r>
        <w:r>
          <w:rPr>
            <w:noProof/>
            <w:webHidden/>
          </w:rPr>
          <w:fldChar w:fldCharType="begin"/>
        </w:r>
        <w:r>
          <w:rPr>
            <w:noProof/>
            <w:webHidden/>
          </w:rPr>
          <w:instrText xml:space="preserve"> PAGEREF _Toc193353993 \h </w:instrText>
        </w:r>
        <w:r>
          <w:rPr>
            <w:noProof/>
            <w:webHidden/>
          </w:rPr>
        </w:r>
        <w:r>
          <w:rPr>
            <w:noProof/>
            <w:webHidden/>
          </w:rPr>
          <w:fldChar w:fldCharType="separate"/>
        </w:r>
        <w:r>
          <w:rPr>
            <w:noProof/>
            <w:webHidden/>
          </w:rPr>
          <w:t>66</w:t>
        </w:r>
        <w:r>
          <w:rPr>
            <w:noProof/>
            <w:webHidden/>
          </w:rPr>
          <w:fldChar w:fldCharType="end"/>
        </w:r>
      </w:hyperlink>
    </w:p>
    <w:p w14:paraId="0DA06FD2" w14:textId="77777777" w:rsidR="00552AAE" w:rsidRDefault="00552AAE">
      <w:pPr>
        <w:pStyle w:val="TOC2"/>
        <w:rPr>
          <w:rFonts w:asciiTheme="minorHAnsi" w:eastAsiaTheme="minorEastAsia" w:hAnsiTheme="minorHAnsi" w:cstheme="minorBidi"/>
          <w:noProof/>
          <w:sz w:val="22"/>
          <w:szCs w:val="22"/>
          <w:lang w:val="en-US"/>
        </w:rPr>
      </w:pPr>
      <w:hyperlink w:anchor="_Toc193353994" w:history="1">
        <w:r w:rsidRPr="00335FC0">
          <w:rPr>
            <w:rStyle w:val="Hyperlink"/>
            <w:noProof/>
          </w:rPr>
          <w:t>4.20. Otpadna ulja</w:t>
        </w:r>
        <w:r>
          <w:rPr>
            <w:noProof/>
            <w:webHidden/>
          </w:rPr>
          <w:tab/>
        </w:r>
        <w:r>
          <w:rPr>
            <w:noProof/>
            <w:webHidden/>
          </w:rPr>
          <w:fldChar w:fldCharType="begin"/>
        </w:r>
        <w:r>
          <w:rPr>
            <w:noProof/>
            <w:webHidden/>
          </w:rPr>
          <w:instrText xml:space="preserve"> PAGEREF _Toc193353994 \h </w:instrText>
        </w:r>
        <w:r>
          <w:rPr>
            <w:noProof/>
            <w:webHidden/>
          </w:rPr>
        </w:r>
        <w:r>
          <w:rPr>
            <w:noProof/>
            <w:webHidden/>
          </w:rPr>
          <w:fldChar w:fldCharType="separate"/>
        </w:r>
        <w:r>
          <w:rPr>
            <w:noProof/>
            <w:webHidden/>
          </w:rPr>
          <w:t>66</w:t>
        </w:r>
        <w:r>
          <w:rPr>
            <w:noProof/>
            <w:webHidden/>
          </w:rPr>
          <w:fldChar w:fldCharType="end"/>
        </w:r>
      </w:hyperlink>
    </w:p>
    <w:p w14:paraId="5EEE9026" w14:textId="77777777" w:rsidR="00552AAE" w:rsidRDefault="00552AAE">
      <w:pPr>
        <w:pStyle w:val="TOC2"/>
        <w:rPr>
          <w:rFonts w:asciiTheme="minorHAnsi" w:eastAsiaTheme="minorEastAsia" w:hAnsiTheme="minorHAnsi" w:cstheme="minorBidi"/>
          <w:noProof/>
          <w:sz w:val="22"/>
          <w:szCs w:val="22"/>
          <w:lang w:val="en-US"/>
        </w:rPr>
      </w:pPr>
      <w:hyperlink w:anchor="_Toc193353995" w:history="1">
        <w:r w:rsidRPr="00335FC0">
          <w:rPr>
            <w:rStyle w:val="Hyperlink"/>
            <w:noProof/>
          </w:rPr>
          <w:t>4.21. Otpad iz poljoprivrede</w:t>
        </w:r>
        <w:r>
          <w:rPr>
            <w:noProof/>
            <w:webHidden/>
          </w:rPr>
          <w:tab/>
        </w:r>
        <w:r>
          <w:rPr>
            <w:noProof/>
            <w:webHidden/>
          </w:rPr>
          <w:fldChar w:fldCharType="begin"/>
        </w:r>
        <w:r>
          <w:rPr>
            <w:noProof/>
            <w:webHidden/>
          </w:rPr>
          <w:instrText xml:space="preserve"> PAGEREF _Toc193353995 \h </w:instrText>
        </w:r>
        <w:r>
          <w:rPr>
            <w:noProof/>
            <w:webHidden/>
          </w:rPr>
        </w:r>
        <w:r>
          <w:rPr>
            <w:noProof/>
            <w:webHidden/>
          </w:rPr>
          <w:fldChar w:fldCharType="separate"/>
        </w:r>
        <w:r>
          <w:rPr>
            <w:noProof/>
            <w:webHidden/>
          </w:rPr>
          <w:t>67</w:t>
        </w:r>
        <w:r>
          <w:rPr>
            <w:noProof/>
            <w:webHidden/>
          </w:rPr>
          <w:fldChar w:fldCharType="end"/>
        </w:r>
      </w:hyperlink>
    </w:p>
    <w:p w14:paraId="011CD8E0" w14:textId="77777777" w:rsidR="00552AAE" w:rsidRDefault="00552AAE">
      <w:pPr>
        <w:pStyle w:val="TOC2"/>
        <w:rPr>
          <w:rFonts w:asciiTheme="minorHAnsi" w:eastAsiaTheme="minorEastAsia" w:hAnsiTheme="minorHAnsi" w:cstheme="minorBidi"/>
          <w:noProof/>
          <w:sz w:val="22"/>
          <w:szCs w:val="22"/>
          <w:lang w:val="en-US"/>
        </w:rPr>
      </w:pPr>
      <w:hyperlink w:anchor="_Toc193353996" w:history="1">
        <w:r w:rsidRPr="00335FC0">
          <w:rPr>
            <w:rStyle w:val="Hyperlink"/>
            <w:noProof/>
          </w:rPr>
          <w:t>4.22. Kanalizacioni mulj</w:t>
        </w:r>
        <w:r>
          <w:rPr>
            <w:noProof/>
            <w:webHidden/>
          </w:rPr>
          <w:tab/>
        </w:r>
        <w:r>
          <w:rPr>
            <w:noProof/>
            <w:webHidden/>
          </w:rPr>
          <w:fldChar w:fldCharType="begin"/>
        </w:r>
        <w:r>
          <w:rPr>
            <w:noProof/>
            <w:webHidden/>
          </w:rPr>
          <w:instrText xml:space="preserve"> PAGEREF _Toc193353996 \h </w:instrText>
        </w:r>
        <w:r>
          <w:rPr>
            <w:noProof/>
            <w:webHidden/>
          </w:rPr>
        </w:r>
        <w:r>
          <w:rPr>
            <w:noProof/>
            <w:webHidden/>
          </w:rPr>
          <w:fldChar w:fldCharType="separate"/>
        </w:r>
        <w:r>
          <w:rPr>
            <w:noProof/>
            <w:webHidden/>
          </w:rPr>
          <w:t>67</w:t>
        </w:r>
        <w:r>
          <w:rPr>
            <w:noProof/>
            <w:webHidden/>
          </w:rPr>
          <w:fldChar w:fldCharType="end"/>
        </w:r>
      </w:hyperlink>
    </w:p>
    <w:p w14:paraId="4AB8BF66" w14:textId="77777777" w:rsidR="00552AAE" w:rsidRDefault="00552AAE">
      <w:pPr>
        <w:pStyle w:val="TOC2"/>
        <w:rPr>
          <w:rFonts w:asciiTheme="minorHAnsi" w:eastAsiaTheme="minorEastAsia" w:hAnsiTheme="minorHAnsi" w:cstheme="minorBidi"/>
          <w:noProof/>
          <w:sz w:val="22"/>
          <w:szCs w:val="22"/>
          <w:lang w:val="en-US"/>
        </w:rPr>
      </w:pPr>
      <w:hyperlink w:anchor="_Toc193353997" w:history="1">
        <w:r w:rsidRPr="00335FC0">
          <w:rPr>
            <w:rStyle w:val="Hyperlink"/>
            <w:noProof/>
          </w:rPr>
          <w:t>4.23. Rudarski otpad</w:t>
        </w:r>
        <w:r>
          <w:rPr>
            <w:noProof/>
            <w:webHidden/>
          </w:rPr>
          <w:tab/>
        </w:r>
        <w:r>
          <w:rPr>
            <w:noProof/>
            <w:webHidden/>
          </w:rPr>
          <w:fldChar w:fldCharType="begin"/>
        </w:r>
        <w:r>
          <w:rPr>
            <w:noProof/>
            <w:webHidden/>
          </w:rPr>
          <w:instrText xml:space="preserve"> PAGEREF _Toc193353997 \h </w:instrText>
        </w:r>
        <w:r>
          <w:rPr>
            <w:noProof/>
            <w:webHidden/>
          </w:rPr>
        </w:r>
        <w:r>
          <w:rPr>
            <w:noProof/>
            <w:webHidden/>
          </w:rPr>
          <w:fldChar w:fldCharType="separate"/>
        </w:r>
        <w:r>
          <w:rPr>
            <w:noProof/>
            <w:webHidden/>
          </w:rPr>
          <w:t>68</w:t>
        </w:r>
        <w:r>
          <w:rPr>
            <w:noProof/>
            <w:webHidden/>
          </w:rPr>
          <w:fldChar w:fldCharType="end"/>
        </w:r>
      </w:hyperlink>
    </w:p>
    <w:p w14:paraId="2C938479" w14:textId="77777777" w:rsidR="00552AAE" w:rsidRDefault="00552AAE">
      <w:pPr>
        <w:pStyle w:val="TOC2"/>
        <w:rPr>
          <w:rFonts w:asciiTheme="minorHAnsi" w:eastAsiaTheme="minorEastAsia" w:hAnsiTheme="minorHAnsi" w:cstheme="minorBidi"/>
          <w:noProof/>
          <w:sz w:val="22"/>
          <w:szCs w:val="22"/>
          <w:lang w:val="en-US"/>
        </w:rPr>
      </w:pPr>
      <w:hyperlink w:anchor="_Toc193353998" w:history="1">
        <w:r w:rsidRPr="00335FC0">
          <w:rPr>
            <w:rStyle w:val="Hyperlink"/>
            <w:noProof/>
          </w:rPr>
          <w:t>4.24. Industrijski neopasni otpad</w:t>
        </w:r>
        <w:r>
          <w:rPr>
            <w:noProof/>
            <w:webHidden/>
          </w:rPr>
          <w:tab/>
        </w:r>
        <w:r>
          <w:rPr>
            <w:noProof/>
            <w:webHidden/>
          </w:rPr>
          <w:fldChar w:fldCharType="begin"/>
        </w:r>
        <w:r>
          <w:rPr>
            <w:noProof/>
            <w:webHidden/>
          </w:rPr>
          <w:instrText xml:space="preserve"> PAGEREF _Toc193353998 \h </w:instrText>
        </w:r>
        <w:r>
          <w:rPr>
            <w:noProof/>
            <w:webHidden/>
          </w:rPr>
        </w:r>
        <w:r>
          <w:rPr>
            <w:noProof/>
            <w:webHidden/>
          </w:rPr>
          <w:fldChar w:fldCharType="separate"/>
        </w:r>
        <w:r>
          <w:rPr>
            <w:noProof/>
            <w:webHidden/>
          </w:rPr>
          <w:t>69</w:t>
        </w:r>
        <w:r>
          <w:rPr>
            <w:noProof/>
            <w:webHidden/>
          </w:rPr>
          <w:fldChar w:fldCharType="end"/>
        </w:r>
      </w:hyperlink>
    </w:p>
    <w:p w14:paraId="324DE1C9" w14:textId="77777777" w:rsidR="00552AAE" w:rsidRDefault="00552AAE">
      <w:pPr>
        <w:pStyle w:val="TOC2"/>
        <w:rPr>
          <w:rFonts w:asciiTheme="minorHAnsi" w:eastAsiaTheme="minorEastAsia" w:hAnsiTheme="minorHAnsi" w:cstheme="minorBidi"/>
          <w:noProof/>
          <w:sz w:val="22"/>
          <w:szCs w:val="22"/>
          <w:lang w:val="en-US"/>
        </w:rPr>
      </w:pPr>
      <w:hyperlink w:anchor="_Toc193353999" w:history="1">
        <w:r w:rsidRPr="00335FC0">
          <w:rPr>
            <w:rStyle w:val="Hyperlink"/>
            <w:noProof/>
          </w:rPr>
          <w:t>4.25. Opasan otpad</w:t>
        </w:r>
        <w:r>
          <w:rPr>
            <w:noProof/>
            <w:webHidden/>
          </w:rPr>
          <w:tab/>
        </w:r>
        <w:r>
          <w:rPr>
            <w:noProof/>
            <w:webHidden/>
          </w:rPr>
          <w:fldChar w:fldCharType="begin"/>
        </w:r>
        <w:r>
          <w:rPr>
            <w:noProof/>
            <w:webHidden/>
          </w:rPr>
          <w:instrText xml:space="preserve"> PAGEREF _Toc193353999 \h </w:instrText>
        </w:r>
        <w:r>
          <w:rPr>
            <w:noProof/>
            <w:webHidden/>
          </w:rPr>
        </w:r>
        <w:r>
          <w:rPr>
            <w:noProof/>
            <w:webHidden/>
          </w:rPr>
          <w:fldChar w:fldCharType="separate"/>
        </w:r>
        <w:r>
          <w:rPr>
            <w:noProof/>
            <w:webHidden/>
          </w:rPr>
          <w:t>69</w:t>
        </w:r>
        <w:r>
          <w:rPr>
            <w:noProof/>
            <w:webHidden/>
          </w:rPr>
          <w:fldChar w:fldCharType="end"/>
        </w:r>
      </w:hyperlink>
    </w:p>
    <w:p w14:paraId="70DBAEF6" w14:textId="77777777" w:rsidR="00552AAE" w:rsidRDefault="00552AAE">
      <w:pPr>
        <w:pStyle w:val="TOC2"/>
        <w:rPr>
          <w:rFonts w:asciiTheme="minorHAnsi" w:eastAsiaTheme="minorEastAsia" w:hAnsiTheme="minorHAnsi" w:cstheme="minorBidi"/>
          <w:noProof/>
          <w:sz w:val="22"/>
          <w:szCs w:val="22"/>
          <w:lang w:val="en-US"/>
        </w:rPr>
      </w:pPr>
      <w:hyperlink w:anchor="_Toc193354000" w:history="1">
        <w:r w:rsidRPr="00335FC0">
          <w:rPr>
            <w:rStyle w:val="Hyperlink"/>
            <w:noProof/>
          </w:rPr>
          <w:t>4.26. Otpad koji sadrži azbest</w:t>
        </w:r>
        <w:r>
          <w:rPr>
            <w:noProof/>
            <w:webHidden/>
          </w:rPr>
          <w:tab/>
        </w:r>
        <w:r>
          <w:rPr>
            <w:noProof/>
            <w:webHidden/>
          </w:rPr>
          <w:fldChar w:fldCharType="begin"/>
        </w:r>
        <w:r>
          <w:rPr>
            <w:noProof/>
            <w:webHidden/>
          </w:rPr>
          <w:instrText xml:space="preserve"> PAGEREF _Toc193354000 \h </w:instrText>
        </w:r>
        <w:r>
          <w:rPr>
            <w:noProof/>
            <w:webHidden/>
          </w:rPr>
        </w:r>
        <w:r>
          <w:rPr>
            <w:noProof/>
            <w:webHidden/>
          </w:rPr>
          <w:fldChar w:fldCharType="separate"/>
        </w:r>
        <w:r>
          <w:rPr>
            <w:noProof/>
            <w:webHidden/>
          </w:rPr>
          <w:t>71</w:t>
        </w:r>
        <w:r>
          <w:rPr>
            <w:noProof/>
            <w:webHidden/>
          </w:rPr>
          <w:fldChar w:fldCharType="end"/>
        </w:r>
      </w:hyperlink>
    </w:p>
    <w:p w14:paraId="36D4167E" w14:textId="77777777" w:rsidR="00552AAE" w:rsidRDefault="00552AAE">
      <w:pPr>
        <w:pStyle w:val="TOC2"/>
        <w:rPr>
          <w:rFonts w:asciiTheme="minorHAnsi" w:eastAsiaTheme="minorEastAsia" w:hAnsiTheme="minorHAnsi" w:cstheme="minorBidi"/>
          <w:noProof/>
          <w:sz w:val="22"/>
          <w:szCs w:val="22"/>
          <w:lang w:val="en-US"/>
        </w:rPr>
      </w:pPr>
      <w:hyperlink w:anchor="_Toc193354001" w:history="1">
        <w:r w:rsidRPr="00335FC0">
          <w:rPr>
            <w:rStyle w:val="Hyperlink"/>
            <w:noProof/>
          </w:rPr>
          <w:t>4.27. PCB otpad i otpad koji sadr</w:t>
        </w:r>
        <w:r w:rsidRPr="00335FC0">
          <w:rPr>
            <w:rStyle w:val="Hyperlink"/>
            <w:noProof/>
            <w:lang w:val="sr-Latn-ME"/>
          </w:rPr>
          <w:t>ži PCB</w:t>
        </w:r>
        <w:r>
          <w:rPr>
            <w:noProof/>
            <w:webHidden/>
          </w:rPr>
          <w:tab/>
        </w:r>
        <w:r>
          <w:rPr>
            <w:noProof/>
            <w:webHidden/>
          </w:rPr>
          <w:fldChar w:fldCharType="begin"/>
        </w:r>
        <w:r>
          <w:rPr>
            <w:noProof/>
            <w:webHidden/>
          </w:rPr>
          <w:instrText xml:space="preserve"> PAGEREF _Toc193354001 \h </w:instrText>
        </w:r>
        <w:r>
          <w:rPr>
            <w:noProof/>
            <w:webHidden/>
          </w:rPr>
        </w:r>
        <w:r>
          <w:rPr>
            <w:noProof/>
            <w:webHidden/>
          </w:rPr>
          <w:fldChar w:fldCharType="separate"/>
        </w:r>
        <w:r>
          <w:rPr>
            <w:noProof/>
            <w:webHidden/>
          </w:rPr>
          <w:t>71</w:t>
        </w:r>
        <w:r>
          <w:rPr>
            <w:noProof/>
            <w:webHidden/>
          </w:rPr>
          <w:fldChar w:fldCharType="end"/>
        </w:r>
      </w:hyperlink>
    </w:p>
    <w:p w14:paraId="016FB4D2" w14:textId="77777777" w:rsidR="00552AAE" w:rsidRDefault="00552AAE">
      <w:pPr>
        <w:pStyle w:val="TOC2"/>
        <w:rPr>
          <w:rFonts w:asciiTheme="minorHAnsi" w:eastAsiaTheme="minorEastAsia" w:hAnsiTheme="minorHAnsi" w:cstheme="minorBidi"/>
          <w:noProof/>
          <w:sz w:val="22"/>
          <w:szCs w:val="22"/>
          <w:lang w:val="en-US"/>
        </w:rPr>
      </w:pPr>
      <w:hyperlink w:anchor="_Toc193354002" w:history="1">
        <w:r w:rsidRPr="00335FC0">
          <w:rPr>
            <w:rStyle w:val="Hyperlink"/>
            <w:noProof/>
          </w:rPr>
          <w:t>4.28. POPs Otpad</w:t>
        </w:r>
        <w:r>
          <w:rPr>
            <w:noProof/>
            <w:webHidden/>
          </w:rPr>
          <w:tab/>
        </w:r>
        <w:r>
          <w:rPr>
            <w:noProof/>
            <w:webHidden/>
          </w:rPr>
          <w:fldChar w:fldCharType="begin"/>
        </w:r>
        <w:r>
          <w:rPr>
            <w:noProof/>
            <w:webHidden/>
          </w:rPr>
          <w:instrText xml:space="preserve"> PAGEREF _Toc193354002 \h </w:instrText>
        </w:r>
        <w:r>
          <w:rPr>
            <w:noProof/>
            <w:webHidden/>
          </w:rPr>
        </w:r>
        <w:r>
          <w:rPr>
            <w:noProof/>
            <w:webHidden/>
          </w:rPr>
          <w:fldChar w:fldCharType="separate"/>
        </w:r>
        <w:r>
          <w:rPr>
            <w:noProof/>
            <w:webHidden/>
          </w:rPr>
          <w:t>72</w:t>
        </w:r>
        <w:r>
          <w:rPr>
            <w:noProof/>
            <w:webHidden/>
          </w:rPr>
          <w:fldChar w:fldCharType="end"/>
        </w:r>
      </w:hyperlink>
    </w:p>
    <w:p w14:paraId="357895FC" w14:textId="77777777" w:rsidR="00552AAE" w:rsidRDefault="00552AAE">
      <w:pPr>
        <w:pStyle w:val="TOC2"/>
        <w:rPr>
          <w:rFonts w:asciiTheme="minorHAnsi" w:eastAsiaTheme="minorEastAsia" w:hAnsiTheme="minorHAnsi" w:cstheme="minorBidi"/>
          <w:noProof/>
          <w:sz w:val="22"/>
          <w:szCs w:val="22"/>
          <w:lang w:val="en-US"/>
        </w:rPr>
      </w:pPr>
      <w:hyperlink w:anchor="_Toc193354003" w:history="1">
        <w:r w:rsidRPr="00335FC0">
          <w:rPr>
            <w:rStyle w:val="Hyperlink"/>
            <w:noProof/>
          </w:rPr>
          <w:t>4.29. Otpad koji sadrži živu</w:t>
        </w:r>
        <w:r>
          <w:rPr>
            <w:noProof/>
            <w:webHidden/>
          </w:rPr>
          <w:tab/>
        </w:r>
        <w:r>
          <w:rPr>
            <w:noProof/>
            <w:webHidden/>
          </w:rPr>
          <w:fldChar w:fldCharType="begin"/>
        </w:r>
        <w:r>
          <w:rPr>
            <w:noProof/>
            <w:webHidden/>
          </w:rPr>
          <w:instrText xml:space="preserve"> PAGEREF _Toc193354003 \h </w:instrText>
        </w:r>
        <w:r>
          <w:rPr>
            <w:noProof/>
            <w:webHidden/>
          </w:rPr>
        </w:r>
        <w:r>
          <w:rPr>
            <w:noProof/>
            <w:webHidden/>
          </w:rPr>
          <w:fldChar w:fldCharType="separate"/>
        </w:r>
        <w:r>
          <w:rPr>
            <w:noProof/>
            <w:webHidden/>
          </w:rPr>
          <w:t>72</w:t>
        </w:r>
        <w:r>
          <w:rPr>
            <w:noProof/>
            <w:webHidden/>
          </w:rPr>
          <w:fldChar w:fldCharType="end"/>
        </w:r>
      </w:hyperlink>
    </w:p>
    <w:p w14:paraId="6E1EB924" w14:textId="77777777" w:rsidR="00552AAE" w:rsidRDefault="00552AAE">
      <w:pPr>
        <w:pStyle w:val="TOC2"/>
        <w:rPr>
          <w:rFonts w:asciiTheme="minorHAnsi" w:eastAsiaTheme="minorEastAsia" w:hAnsiTheme="minorHAnsi" w:cstheme="minorBidi"/>
          <w:noProof/>
          <w:sz w:val="22"/>
          <w:szCs w:val="22"/>
          <w:lang w:val="en-US"/>
        </w:rPr>
      </w:pPr>
      <w:hyperlink w:anchor="_Toc193354004" w:history="1">
        <w:r w:rsidRPr="00335FC0">
          <w:rPr>
            <w:rStyle w:val="Hyperlink"/>
            <w:noProof/>
          </w:rPr>
          <w:t>4.30. Otpad u moru</w:t>
        </w:r>
        <w:r>
          <w:rPr>
            <w:noProof/>
            <w:webHidden/>
          </w:rPr>
          <w:tab/>
        </w:r>
        <w:r>
          <w:rPr>
            <w:noProof/>
            <w:webHidden/>
          </w:rPr>
          <w:fldChar w:fldCharType="begin"/>
        </w:r>
        <w:r>
          <w:rPr>
            <w:noProof/>
            <w:webHidden/>
          </w:rPr>
          <w:instrText xml:space="preserve"> PAGEREF _Toc193354004 \h </w:instrText>
        </w:r>
        <w:r>
          <w:rPr>
            <w:noProof/>
            <w:webHidden/>
          </w:rPr>
        </w:r>
        <w:r>
          <w:rPr>
            <w:noProof/>
            <w:webHidden/>
          </w:rPr>
          <w:fldChar w:fldCharType="separate"/>
        </w:r>
        <w:r>
          <w:rPr>
            <w:noProof/>
            <w:webHidden/>
          </w:rPr>
          <w:t>74</w:t>
        </w:r>
        <w:r>
          <w:rPr>
            <w:noProof/>
            <w:webHidden/>
          </w:rPr>
          <w:fldChar w:fldCharType="end"/>
        </w:r>
      </w:hyperlink>
    </w:p>
    <w:p w14:paraId="2BB18228" w14:textId="77777777" w:rsidR="00552AAE" w:rsidRDefault="00552AAE">
      <w:pPr>
        <w:pStyle w:val="TOC1"/>
        <w:rPr>
          <w:rFonts w:asciiTheme="minorHAnsi" w:eastAsiaTheme="minorEastAsia" w:hAnsiTheme="minorHAnsi" w:cstheme="minorBidi"/>
          <w:b w:val="0"/>
          <w:smallCaps w:val="0"/>
          <w:noProof/>
          <w:sz w:val="22"/>
          <w:szCs w:val="22"/>
          <w:lang w:val="en-US"/>
        </w:rPr>
      </w:pPr>
      <w:hyperlink w:anchor="_Toc193354005" w:history="1">
        <w:r w:rsidRPr="00335FC0">
          <w:rPr>
            <w:rStyle w:val="Hyperlink"/>
            <w:noProof/>
          </w:rPr>
          <w:t>5. Analiza postojećeg stanja upravljanja otpadom</w:t>
        </w:r>
        <w:r>
          <w:rPr>
            <w:noProof/>
            <w:webHidden/>
          </w:rPr>
          <w:tab/>
        </w:r>
        <w:r>
          <w:rPr>
            <w:noProof/>
            <w:webHidden/>
          </w:rPr>
          <w:fldChar w:fldCharType="begin"/>
        </w:r>
        <w:r>
          <w:rPr>
            <w:noProof/>
            <w:webHidden/>
          </w:rPr>
          <w:instrText xml:space="preserve"> PAGEREF _Toc193354005 \h </w:instrText>
        </w:r>
        <w:r>
          <w:rPr>
            <w:noProof/>
            <w:webHidden/>
          </w:rPr>
        </w:r>
        <w:r>
          <w:rPr>
            <w:noProof/>
            <w:webHidden/>
          </w:rPr>
          <w:fldChar w:fldCharType="separate"/>
        </w:r>
        <w:r>
          <w:rPr>
            <w:noProof/>
            <w:webHidden/>
          </w:rPr>
          <w:t>82</w:t>
        </w:r>
        <w:r>
          <w:rPr>
            <w:noProof/>
            <w:webHidden/>
          </w:rPr>
          <w:fldChar w:fldCharType="end"/>
        </w:r>
      </w:hyperlink>
    </w:p>
    <w:p w14:paraId="53DAF78C" w14:textId="77777777" w:rsidR="00552AAE" w:rsidRDefault="00552AAE">
      <w:pPr>
        <w:pStyle w:val="TOC2"/>
        <w:rPr>
          <w:rFonts w:asciiTheme="minorHAnsi" w:eastAsiaTheme="minorEastAsia" w:hAnsiTheme="minorHAnsi" w:cstheme="minorBidi"/>
          <w:noProof/>
          <w:sz w:val="22"/>
          <w:szCs w:val="22"/>
          <w:lang w:val="en-US"/>
        </w:rPr>
      </w:pPr>
      <w:hyperlink w:anchor="_Toc193354006" w:history="1">
        <w:r w:rsidRPr="00335FC0">
          <w:rPr>
            <w:rStyle w:val="Hyperlink"/>
            <w:noProof/>
          </w:rPr>
          <w:t>5.1. Rezultati procjene</w:t>
        </w:r>
        <w:r>
          <w:rPr>
            <w:noProof/>
            <w:webHidden/>
          </w:rPr>
          <w:tab/>
        </w:r>
        <w:r>
          <w:rPr>
            <w:noProof/>
            <w:webHidden/>
          </w:rPr>
          <w:fldChar w:fldCharType="begin"/>
        </w:r>
        <w:r>
          <w:rPr>
            <w:noProof/>
            <w:webHidden/>
          </w:rPr>
          <w:instrText xml:space="preserve"> PAGEREF _Toc193354006 \h </w:instrText>
        </w:r>
        <w:r>
          <w:rPr>
            <w:noProof/>
            <w:webHidden/>
          </w:rPr>
        </w:r>
        <w:r>
          <w:rPr>
            <w:noProof/>
            <w:webHidden/>
          </w:rPr>
          <w:fldChar w:fldCharType="separate"/>
        </w:r>
        <w:r>
          <w:rPr>
            <w:noProof/>
            <w:webHidden/>
          </w:rPr>
          <w:t>82</w:t>
        </w:r>
        <w:r>
          <w:rPr>
            <w:noProof/>
            <w:webHidden/>
          </w:rPr>
          <w:fldChar w:fldCharType="end"/>
        </w:r>
      </w:hyperlink>
    </w:p>
    <w:p w14:paraId="1257867C" w14:textId="77777777" w:rsidR="00552AAE" w:rsidRDefault="00552AAE">
      <w:pPr>
        <w:pStyle w:val="TOC2"/>
        <w:rPr>
          <w:rFonts w:asciiTheme="minorHAnsi" w:eastAsiaTheme="minorEastAsia" w:hAnsiTheme="minorHAnsi" w:cstheme="minorBidi"/>
          <w:noProof/>
          <w:sz w:val="22"/>
          <w:szCs w:val="22"/>
          <w:lang w:val="en-US"/>
        </w:rPr>
      </w:pPr>
      <w:hyperlink w:anchor="_Toc193354007" w:history="1">
        <w:r w:rsidRPr="00335FC0">
          <w:rPr>
            <w:rStyle w:val="Hyperlink"/>
            <w:noProof/>
          </w:rPr>
          <w:t>5.2. Planiranje za budućnost</w:t>
        </w:r>
        <w:r>
          <w:rPr>
            <w:noProof/>
            <w:webHidden/>
          </w:rPr>
          <w:tab/>
        </w:r>
        <w:r>
          <w:rPr>
            <w:noProof/>
            <w:webHidden/>
          </w:rPr>
          <w:fldChar w:fldCharType="begin"/>
        </w:r>
        <w:r>
          <w:rPr>
            <w:noProof/>
            <w:webHidden/>
          </w:rPr>
          <w:instrText xml:space="preserve"> PAGEREF _Toc193354007 \h </w:instrText>
        </w:r>
        <w:r>
          <w:rPr>
            <w:noProof/>
            <w:webHidden/>
          </w:rPr>
        </w:r>
        <w:r>
          <w:rPr>
            <w:noProof/>
            <w:webHidden/>
          </w:rPr>
          <w:fldChar w:fldCharType="separate"/>
        </w:r>
        <w:r>
          <w:rPr>
            <w:noProof/>
            <w:webHidden/>
          </w:rPr>
          <w:t>84</w:t>
        </w:r>
        <w:r>
          <w:rPr>
            <w:noProof/>
            <w:webHidden/>
          </w:rPr>
          <w:fldChar w:fldCharType="end"/>
        </w:r>
      </w:hyperlink>
    </w:p>
    <w:p w14:paraId="42CF079B" w14:textId="77777777" w:rsidR="00552AAE" w:rsidRDefault="00552AAE">
      <w:pPr>
        <w:pStyle w:val="TOC2"/>
        <w:rPr>
          <w:rFonts w:asciiTheme="minorHAnsi" w:eastAsiaTheme="minorEastAsia" w:hAnsiTheme="minorHAnsi" w:cstheme="minorBidi"/>
          <w:noProof/>
          <w:sz w:val="22"/>
          <w:szCs w:val="22"/>
          <w:lang w:val="en-US"/>
        </w:rPr>
      </w:pPr>
      <w:hyperlink w:anchor="_Toc193354008" w:history="1">
        <w:r w:rsidRPr="00335FC0">
          <w:rPr>
            <w:rStyle w:val="Hyperlink"/>
            <w:noProof/>
          </w:rPr>
          <w:t>5.3. Strateški stubovi i ciljevi</w:t>
        </w:r>
        <w:r>
          <w:rPr>
            <w:noProof/>
            <w:webHidden/>
          </w:rPr>
          <w:tab/>
        </w:r>
        <w:r>
          <w:rPr>
            <w:noProof/>
            <w:webHidden/>
          </w:rPr>
          <w:fldChar w:fldCharType="begin"/>
        </w:r>
        <w:r>
          <w:rPr>
            <w:noProof/>
            <w:webHidden/>
          </w:rPr>
          <w:instrText xml:space="preserve"> PAGEREF _Toc193354008 \h </w:instrText>
        </w:r>
        <w:r>
          <w:rPr>
            <w:noProof/>
            <w:webHidden/>
          </w:rPr>
        </w:r>
        <w:r>
          <w:rPr>
            <w:noProof/>
            <w:webHidden/>
          </w:rPr>
          <w:fldChar w:fldCharType="separate"/>
        </w:r>
        <w:r>
          <w:rPr>
            <w:noProof/>
            <w:webHidden/>
          </w:rPr>
          <w:t>85</w:t>
        </w:r>
        <w:r>
          <w:rPr>
            <w:noProof/>
            <w:webHidden/>
          </w:rPr>
          <w:fldChar w:fldCharType="end"/>
        </w:r>
      </w:hyperlink>
    </w:p>
    <w:p w14:paraId="1B63A6DE" w14:textId="77777777" w:rsidR="00552AAE" w:rsidRDefault="00552AAE">
      <w:pPr>
        <w:pStyle w:val="TOC2"/>
        <w:rPr>
          <w:rFonts w:asciiTheme="minorHAnsi" w:eastAsiaTheme="minorEastAsia" w:hAnsiTheme="minorHAnsi" w:cstheme="minorBidi"/>
          <w:noProof/>
          <w:sz w:val="22"/>
          <w:szCs w:val="22"/>
          <w:lang w:val="en-US"/>
        </w:rPr>
      </w:pPr>
      <w:hyperlink w:anchor="_Toc193354009" w:history="1">
        <w:r w:rsidRPr="00335FC0">
          <w:rPr>
            <w:rStyle w:val="Hyperlink"/>
            <w:noProof/>
          </w:rPr>
          <w:t>5.4. Ciljevi upravljanja otpadom</w:t>
        </w:r>
        <w:r>
          <w:rPr>
            <w:noProof/>
            <w:webHidden/>
          </w:rPr>
          <w:tab/>
        </w:r>
        <w:r>
          <w:rPr>
            <w:noProof/>
            <w:webHidden/>
          </w:rPr>
          <w:fldChar w:fldCharType="begin"/>
        </w:r>
        <w:r>
          <w:rPr>
            <w:noProof/>
            <w:webHidden/>
          </w:rPr>
          <w:instrText xml:space="preserve"> PAGEREF _Toc193354009 \h </w:instrText>
        </w:r>
        <w:r>
          <w:rPr>
            <w:noProof/>
            <w:webHidden/>
          </w:rPr>
        </w:r>
        <w:r>
          <w:rPr>
            <w:noProof/>
            <w:webHidden/>
          </w:rPr>
          <w:fldChar w:fldCharType="separate"/>
        </w:r>
        <w:r>
          <w:rPr>
            <w:noProof/>
            <w:webHidden/>
          </w:rPr>
          <w:t>86</w:t>
        </w:r>
        <w:r>
          <w:rPr>
            <w:noProof/>
            <w:webHidden/>
          </w:rPr>
          <w:fldChar w:fldCharType="end"/>
        </w:r>
      </w:hyperlink>
    </w:p>
    <w:p w14:paraId="59055928" w14:textId="77777777" w:rsidR="00552AAE" w:rsidRDefault="00552AAE">
      <w:pPr>
        <w:pStyle w:val="TOC2"/>
        <w:rPr>
          <w:rFonts w:asciiTheme="minorHAnsi" w:eastAsiaTheme="minorEastAsia" w:hAnsiTheme="minorHAnsi" w:cstheme="minorBidi"/>
          <w:noProof/>
          <w:sz w:val="22"/>
          <w:szCs w:val="22"/>
          <w:lang w:val="en-US"/>
        </w:rPr>
      </w:pPr>
      <w:hyperlink w:anchor="_Toc193354010" w:history="1">
        <w:r w:rsidRPr="00335FC0">
          <w:rPr>
            <w:rStyle w:val="Hyperlink"/>
            <w:noProof/>
            <w:lang w:val="en-US"/>
          </w:rPr>
          <w:t xml:space="preserve">5.5. </w:t>
        </w:r>
        <w:r w:rsidRPr="00335FC0">
          <w:rPr>
            <w:rStyle w:val="Hyperlink"/>
            <w:noProof/>
          </w:rPr>
          <w:t>Prognoza generisanja otpada</w:t>
        </w:r>
        <w:r>
          <w:rPr>
            <w:noProof/>
            <w:webHidden/>
          </w:rPr>
          <w:tab/>
        </w:r>
        <w:r>
          <w:rPr>
            <w:noProof/>
            <w:webHidden/>
          </w:rPr>
          <w:fldChar w:fldCharType="begin"/>
        </w:r>
        <w:r>
          <w:rPr>
            <w:noProof/>
            <w:webHidden/>
          </w:rPr>
          <w:instrText xml:space="preserve"> PAGEREF _Toc193354010 \h </w:instrText>
        </w:r>
        <w:r>
          <w:rPr>
            <w:noProof/>
            <w:webHidden/>
          </w:rPr>
        </w:r>
        <w:r>
          <w:rPr>
            <w:noProof/>
            <w:webHidden/>
          </w:rPr>
          <w:fldChar w:fldCharType="separate"/>
        </w:r>
        <w:r>
          <w:rPr>
            <w:noProof/>
            <w:webHidden/>
          </w:rPr>
          <w:t>88</w:t>
        </w:r>
        <w:r>
          <w:rPr>
            <w:noProof/>
            <w:webHidden/>
          </w:rPr>
          <w:fldChar w:fldCharType="end"/>
        </w:r>
      </w:hyperlink>
    </w:p>
    <w:p w14:paraId="3D3A2A73" w14:textId="77777777" w:rsidR="00552AAE" w:rsidRDefault="00552AAE">
      <w:pPr>
        <w:pStyle w:val="TOC2"/>
        <w:rPr>
          <w:rFonts w:asciiTheme="minorHAnsi" w:eastAsiaTheme="minorEastAsia" w:hAnsiTheme="minorHAnsi" w:cstheme="minorBidi"/>
          <w:noProof/>
          <w:sz w:val="22"/>
          <w:szCs w:val="22"/>
          <w:lang w:val="en-US"/>
        </w:rPr>
      </w:pPr>
      <w:hyperlink w:anchor="_Toc193354011" w:history="1">
        <w:r w:rsidRPr="00335FC0">
          <w:rPr>
            <w:rStyle w:val="Hyperlink"/>
            <w:noProof/>
          </w:rPr>
          <w:t>5.6. Rezultati o projektovanom generisanju i sastavu otpada</w:t>
        </w:r>
        <w:r>
          <w:rPr>
            <w:noProof/>
            <w:webHidden/>
          </w:rPr>
          <w:tab/>
        </w:r>
        <w:r>
          <w:rPr>
            <w:noProof/>
            <w:webHidden/>
          </w:rPr>
          <w:fldChar w:fldCharType="begin"/>
        </w:r>
        <w:r>
          <w:rPr>
            <w:noProof/>
            <w:webHidden/>
          </w:rPr>
          <w:instrText xml:space="preserve"> PAGEREF _Toc193354011 \h </w:instrText>
        </w:r>
        <w:r>
          <w:rPr>
            <w:noProof/>
            <w:webHidden/>
          </w:rPr>
        </w:r>
        <w:r>
          <w:rPr>
            <w:noProof/>
            <w:webHidden/>
          </w:rPr>
          <w:fldChar w:fldCharType="separate"/>
        </w:r>
        <w:r>
          <w:rPr>
            <w:noProof/>
            <w:webHidden/>
          </w:rPr>
          <w:t>88</w:t>
        </w:r>
        <w:r>
          <w:rPr>
            <w:noProof/>
            <w:webHidden/>
          </w:rPr>
          <w:fldChar w:fldCharType="end"/>
        </w:r>
      </w:hyperlink>
    </w:p>
    <w:p w14:paraId="7B7B4C39" w14:textId="77777777" w:rsidR="00552AAE" w:rsidRDefault="00552AAE">
      <w:pPr>
        <w:pStyle w:val="TOC2"/>
        <w:rPr>
          <w:rFonts w:asciiTheme="minorHAnsi" w:eastAsiaTheme="minorEastAsia" w:hAnsiTheme="minorHAnsi" w:cstheme="minorBidi"/>
          <w:noProof/>
          <w:sz w:val="22"/>
          <w:szCs w:val="22"/>
          <w:lang w:val="en-US"/>
        </w:rPr>
      </w:pPr>
      <w:hyperlink w:anchor="_Toc193354012" w:history="1">
        <w:r w:rsidRPr="00335FC0">
          <w:rPr>
            <w:rStyle w:val="Hyperlink"/>
            <w:noProof/>
          </w:rPr>
          <w:t>5.7. Potrebe u pogledu upravljanja otpadom</w:t>
        </w:r>
        <w:r>
          <w:rPr>
            <w:noProof/>
            <w:webHidden/>
          </w:rPr>
          <w:tab/>
        </w:r>
        <w:r>
          <w:rPr>
            <w:noProof/>
            <w:webHidden/>
          </w:rPr>
          <w:fldChar w:fldCharType="begin"/>
        </w:r>
        <w:r>
          <w:rPr>
            <w:noProof/>
            <w:webHidden/>
          </w:rPr>
          <w:instrText xml:space="preserve"> PAGEREF _Toc193354012 \h </w:instrText>
        </w:r>
        <w:r>
          <w:rPr>
            <w:noProof/>
            <w:webHidden/>
          </w:rPr>
        </w:r>
        <w:r>
          <w:rPr>
            <w:noProof/>
            <w:webHidden/>
          </w:rPr>
          <w:fldChar w:fldCharType="separate"/>
        </w:r>
        <w:r>
          <w:rPr>
            <w:noProof/>
            <w:webHidden/>
          </w:rPr>
          <w:t>90</w:t>
        </w:r>
        <w:r>
          <w:rPr>
            <w:noProof/>
            <w:webHidden/>
          </w:rPr>
          <w:fldChar w:fldCharType="end"/>
        </w:r>
      </w:hyperlink>
    </w:p>
    <w:p w14:paraId="44282DBA" w14:textId="77777777" w:rsidR="00552AAE" w:rsidRDefault="00552AAE">
      <w:pPr>
        <w:pStyle w:val="TOC2"/>
        <w:rPr>
          <w:rFonts w:asciiTheme="minorHAnsi" w:eastAsiaTheme="minorEastAsia" w:hAnsiTheme="minorHAnsi" w:cstheme="minorBidi"/>
          <w:noProof/>
          <w:sz w:val="22"/>
          <w:szCs w:val="22"/>
          <w:lang w:val="en-US"/>
        </w:rPr>
      </w:pPr>
      <w:hyperlink w:anchor="_Toc193354013" w:history="1">
        <w:r w:rsidRPr="00335FC0">
          <w:rPr>
            <w:rStyle w:val="Hyperlink"/>
            <w:noProof/>
          </w:rPr>
          <w:t>5.8. Predložene uslužne oblasti</w:t>
        </w:r>
        <w:r>
          <w:rPr>
            <w:noProof/>
            <w:webHidden/>
          </w:rPr>
          <w:tab/>
        </w:r>
        <w:r>
          <w:rPr>
            <w:noProof/>
            <w:webHidden/>
          </w:rPr>
          <w:fldChar w:fldCharType="begin"/>
        </w:r>
        <w:r>
          <w:rPr>
            <w:noProof/>
            <w:webHidden/>
          </w:rPr>
          <w:instrText xml:space="preserve"> PAGEREF _Toc193354013 \h </w:instrText>
        </w:r>
        <w:r>
          <w:rPr>
            <w:noProof/>
            <w:webHidden/>
          </w:rPr>
        </w:r>
        <w:r>
          <w:rPr>
            <w:noProof/>
            <w:webHidden/>
          </w:rPr>
          <w:fldChar w:fldCharType="separate"/>
        </w:r>
        <w:r>
          <w:rPr>
            <w:noProof/>
            <w:webHidden/>
          </w:rPr>
          <w:t>92</w:t>
        </w:r>
        <w:r>
          <w:rPr>
            <w:noProof/>
            <w:webHidden/>
          </w:rPr>
          <w:fldChar w:fldCharType="end"/>
        </w:r>
      </w:hyperlink>
    </w:p>
    <w:p w14:paraId="546F1EB2" w14:textId="77777777" w:rsidR="00552AAE" w:rsidRDefault="00552AAE">
      <w:pPr>
        <w:pStyle w:val="TOC3"/>
        <w:rPr>
          <w:rFonts w:asciiTheme="minorHAnsi" w:eastAsiaTheme="minorEastAsia" w:hAnsiTheme="minorHAnsi" w:cstheme="minorBidi"/>
          <w:i w:val="0"/>
          <w:noProof/>
          <w:sz w:val="22"/>
          <w:szCs w:val="22"/>
          <w:lang w:val="en-US"/>
        </w:rPr>
      </w:pPr>
      <w:hyperlink w:anchor="_Toc193354014" w:history="1">
        <w:r w:rsidRPr="00335FC0">
          <w:rPr>
            <w:rStyle w:val="Hyperlink"/>
            <w:noProof/>
            <w:lang w:val="sq-AL"/>
          </w:rPr>
          <w:t>5.8.1.  Određivanje zona upravljanja otpadom</w:t>
        </w:r>
        <w:r>
          <w:rPr>
            <w:noProof/>
            <w:webHidden/>
          </w:rPr>
          <w:tab/>
        </w:r>
        <w:r>
          <w:rPr>
            <w:noProof/>
            <w:webHidden/>
          </w:rPr>
          <w:fldChar w:fldCharType="begin"/>
        </w:r>
        <w:r>
          <w:rPr>
            <w:noProof/>
            <w:webHidden/>
          </w:rPr>
          <w:instrText xml:space="preserve"> PAGEREF _Toc193354014 \h </w:instrText>
        </w:r>
        <w:r>
          <w:rPr>
            <w:noProof/>
            <w:webHidden/>
          </w:rPr>
        </w:r>
        <w:r>
          <w:rPr>
            <w:noProof/>
            <w:webHidden/>
          </w:rPr>
          <w:fldChar w:fldCharType="separate"/>
        </w:r>
        <w:r>
          <w:rPr>
            <w:noProof/>
            <w:webHidden/>
          </w:rPr>
          <w:t>92</w:t>
        </w:r>
        <w:r>
          <w:rPr>
            <w:noProof/>
            <w:webHidden/>
          </w:rPr>
          <w:fldChar w:fldCharType="end"/>
        </w:r>
      </w:hyperlink>
    </w:p>
    <w:p w14:paraId="45F9829B" w14:textId="77777777" w:rsidR="00552AAE" w:rsidRDefault="00552AAE">
      <w:pPr>
        <w:pStyle w:val="TOC3"/>
        <w:rPr>
          <w:rFonts w:asciiTheme="minorHAnsi" w:eastAsiaTheme="minorEastAsia" w:hAnsiTheme="minorHAnsi" w:cstheme="minorBidi"/>
          <w:i w:val="0"/>
          <w:noProof/>
          <w:sz w:val="22"/>
          <w:szCs w:val="22"/>
          <w:lang w:val="en-US"/>
        </w:rPr>
      </w:pPr>
      <w:hyperlink w:anchor="_Toc193354015" w:history="1">
        <w:r w:rsidRPr="00335FC0">
          <w:rPr>
            <w:rStyle w:val="Hyperlink"/>
            <w:noProof/>
          </w:rPr>
          <w:t>5.8.2. Zone upravljanja otpadom</w:t>
        </w:r>
        <w:r>
          <w:rPr>
            <w:noProof/>
            <w:webHidden/>
          </w:rPr>
          <w:tab/>
        </w:r>
        <w:r>
          <w:rPr>
            <w:noProof/>
            <w:webHidden/>
          </w:rPr>
          <w:fldChar w:fldCharType="begin"/>
        </w:r>
        <w:r>
          <w:rPr>
            <w:noProof/>
            <w:webHidden/>
          </w:rPr>
          <w:instrText xml:space="preserve"> PAGEREF _Toc193354015 \h </w:instrText>
        </w:r>
        <w:r>
          <w:rPr>
            <w:noProof/>
            <w:webHidden/>
          </w:rPr>
        </w:r>
        <w:r>
          <w:rPr>
            <w:noProof/>
            <w:webHidden/>
          </w:rPr>
          <w:fldChar w:fldCharType="separate"/>
        </w:r>
        <w:r>
          <w:rPr>
            <w:noProof/>
            <w:webHidden/>
          </w:rPr>
          <w:t>96</w:t>
        </w:r>
        <w:r>
          <w:rPr>
            <w:noProof/>
            <w:webHidden/>
          </w:rPr>
          <w:fldChar w:fldCharType="end"/>
        </w:r>
      </w:hyperlink>
    </w:p>
    <w:p w14:paraId="10145C63" w14:textId="77777777" w:rsidR="00552AAE" w:rsidRDefault="00552AAE">
      <w:pPr>
        <w:pStyle w:val="TOC2"/>
        <w:rPr>
          <w:rFonts w:asciiTheme="minorHAnsi" w:eastAsiaTheme="minorEastAsia" w:hAnsiTheme="minorHAnsi" w:cstheme="minorBidi"/>
          <w:noProof/>
          <w:sz w:val="22"/>
          <w:szCs w:val="22"/>
          <w:lang w:val="en-US"/>
        </w:rPr>
      </w:pPr>
      <w:hyperlink w:anchor="_Toc193354016" w:history="1">
        <w:r w:rsidRPr="00335FC0">
          <w:rPr>
            <w:rStyle w:val="Hyperlink"/>
            <w:noProof/>
          </w:rPr>
          <w:t>5.9. Sakupljanje i transport otpada</w:t>
        </w:r>
        <w:r>
          <w:rPr>
            <w:noProof/>
            <w:webHidden/>
          </w:rPr>
          <w:tab/>
        </w:r>
        <w:r>
          <w:rPr>
            <w:noProof/>
            <w:webHidden/>
          </w:rPr>
          <w:fldChar w:fldCharType="begin"/>
        </w:r>
        <w:r>
          <w:rPr>
            <w:noProof/>
            <w:webHidden/>
          </w:rPr>
          <w:instrText xml:space="preserve"> PAGEREF _Toc193354016 \h </w:instrText>
        </w:r>
        <w:r>
          <w:rPr>
            <w:noProof/>
            <w:webHidden/>
          </w:rPr>
        </w:r>
        <w:r>
          <w:rPr>
            <w:noProof/>
            <w:webHidden/>
          </w:rPr>
          <w:fldChar w:fldCharType="separate"/>
        </w:r>
        <w:r>
          <w:rPr>
            <w:noProof/>
            <w:webHidden/>
          </w:rPr>
          <w:t>105</w:t>
        </w:r>
        <w:r>
          <w:rPr>
            <w:noProof/>
            <w:webHidden/>
          </w:rPr>
          <w:fldChar w:fldCharType="end"/>
        </w:r>
      </w:hyperlink>
    </w:p>
    <w:p w14:paraId="782900E7" w14:textId="77777777" w:rsidR="00552AAE" w:rsidRDefault="00552AAE">
      <w:pPr>
        <w:pStyle w:val="TOC2"/>
        <w:rPr>
          <w:rFonts w:asciiTheme="minorHAnsi" w:eastAsiaTheme="minorEastAsia" w:hAnsiTheme="minorHAnsi" w:cstheme="minorBidi"/>
          <w:noProof/>
          <w:sz w:val="22"/>
          <w:szCs w:val="22"/>
          <w:lang w:val="en-US"/>
        </w:rPr>
      </w:pPr>
      <w:hyperlink w:anchor="_Toc193354017" w:history="1">
        <w:r w:rsidRPr="00335FC0">
          <w:rPr>
            <w:rStyle w:val="Hyperlink"/>
            <w:noProof/>
          </w:rPr>
          <w:t>5.10.Ciljevi i zadaci</w:t>
        </w:r>
        <w:r>
          <w:rPr>
            <w:noProof/>
            <w:webHidden/>
          </w:rPr>
          <w:tab/>
        </w:r>
        <w:r>
          <w:rPr>
            <w:noProof/>
            <w:webHidden/>
          </w:rPr>
          <w:fldChar w:fldCharType="begin"/>
        </w:r>
        <w:r>
          <w:rPr>
            <w:noProof/>
            <w:webHidden/>
          </w:rPr>
          <w:instrText xml:space="preserve"> PAGEREF _Toc193354017 \h </w:instrText>
        </w:r>
        <w:r>
          <w:rPr>
            <w:noProof/>
            <w:webHidden/>
          </w:rPr>
        </w:r>
        <w:r>
          <w:rPr>
            <w:noProof/>
            <w:webHidden/>
          </w:rPr>
          <w:fldChar w:fldCharType="separate"/>
        </w:r>
        <w:r>
          <w:rPr>
            <w:noProof/>
            <w:webHidden/>
          </w:rPr>
          <w:t>105</w:t>
        </w:r>
        <w:r>
          <w:rPr>
            <w:noProof/>
            <w:webHidden/>
          </w:rPr>
          <w:fldChar w:fldCharType="end"/>
        </w:r>
      </w:hyperlink>
    </w:p>
    <w:p w14:paraId="58148DEF" w14:textId="77777777" w:rsidR="00552AAE" w:rsidRDefault="00552AAE">
      <w:pPr>
        <w:pStyle w:val="TOC2"/>
        <w:rPr>
          <w:rFonts w:asciiTheme="minorHAnsi" w:eastAsiaTheme="minorEastAsia" w:hAnsiTheme="minorHAnsi" w:cstheme="minorBidi"/>
          <w:noProof/>
          <w:sz w:val="22"/>
          <w:szCs w:val="22"/>
          <w:lang w:val="en-US"/>
        </w:rPr>
      </w:pPr>
      <w:hyperlink w:anchor="_Toc193354018" w:history="1">
        <w:r w:rsidRPr="00335FC0">
          <w:rPr>
            <w:rStyle w:val="Hyperlink"/>
            <w:noProof/>
          </w:rPr>
          <w:t>5.11. Moguće opcije za sakupljanje otpada</w:t>
        </w:r>
        <w:r>
          <w:rPr>
            <w:noProof/>
            <w:webHidden/>
          </w:rPr>
          <w:tab/>
        </w:r>
        <w:r>
          <w:rPr>
            <w:noProof/>
            <w:webHidden/>
          </w:rPr>
          <w:fldChar w:fldCharType="begin"/>
        </w:r>
        <w:r>
          <w:rPr>
            <w:noProof/>
            <w:webHidden/>
          </w:rPr>
          <w:instrText xml:space="preserve"> PAGEREF _Toc193354018 \h </w:instrText>
        </w:r>
        <w:r>
          <w:rPr>
            <w:noProof/>
            <w:webHidden/>
          </w:rPr>
        </w:r>
        <w:r>
          <w:rPr>
            <w:noProof/>
            <w:webHidden/>
          </w:rPr>
          <w:fldChar w:fldCharType="separate"/>
        </w:r>
        <w:r>
          <w:rPr>
            <w:noProof/>
            <w:webHidden/>
          </w:rPr>
          <w:t>107</w:t>
        </w:r>
        <w:r>
          <w:rPr>
            <w:noProof/>
            <w:webHidden/>
          </w:rPr>
          <w:fldChar w:fldCharType="end"/>
        </w:r>
      </w:hyperlink>
    </w:p>
    <w:p w14:paraId="2795F8F2" w14:textId="77777777" w:rsidR="00552AAE" w:rsidRDefault="00552AAE">
      <w:pPr>
        <w:pStyle w:val="TOC2"/>
        <w:rPr>
          <w:rFonts w:asciiTheme="minorHAnsi" w:eastAsiaTheme="minorEastAsia" w:hAnsiTheme="minorHAnsi" w:cstheme="minorBidi"/>
          <w:noProof/>
          <w:sz w:val="22"/>
          <w:szCs w:val="22"/>
          <w:lang w:val="en-US"/>
        </w:rPr>
      </w:pPr>
      <w:hyperlink w:anchor="_Toc193354019" w:history="1">
        <w:r w:rsidRPr="00335FC0">
          <w:rPr>
            <w:rStyle w:val="Hyperlink"/>
            <w:noProof/>
          </w:rPr>
          <w:t>5.12. Sakupljanje otpada</w:t>
        </w:r>
        <w:r>
          <w:rPr>
            <w:noProof/>
            <w:webHidden/>
          </w:rPr>
          <w:tab/>
        </w:r>
        <w:r>
          <w:rPr>
            <w:noProof/>
            <w:webHidden/>
          </w:rPr>
          <w:fldChar w:fldCharType="begin"/>
        </w:r>
        <w:r>
          <w:rPr>
            <w:noProof/>
            <w:webHidden/>
          </w:rPr>
          <w:instrText xml:space="preserve"> PAGEREF _Toc193354019 \h </w:instrText>
        </w:r>
        <w:r>
          <w:rPr>
            <w:noProof/>
            <w:webHidden/>
          </w:rPr>
        </w:r>
        <w:r>
          <w:rPr>
            <w:noProof/>
            <w:webHidden/>
          </w:rPr>
          <w:fldChar w:fldCharType="separate"/>
        </w:r>
        <w:r>
          <w:rPr>
            <w:noProof/>
            <w:webHidden/>
          </w:rPr>
          <w:t>108</w:t>
        </w:r>
        <w:r>
          <w:rPr>
            <w:noProof/>
            <w:webHidden/>
          </w:rPr>
          <w:fldChar w:fldCharType="end"/>
        </w:r>
      </w:hyperlink>
    </w:p>
    <w:p w14:paraId="3F7C1DB4" w14:textId="77777777" w:rsidR="00552AAE" w:rsidRDefault="00552AAE">
      <w:pPr>
        <w:pStyle w:val="TOC2"/>
        <w:rPr>
          <w:rFonts w:asciiTheme="minorHAnsi" w:eastAsiaTheme="minorEastAsia" w:hAnsiTheme="minorHAnsi" w:cstheme="minorBidi"/>
          <w:noProof/>
          <w:sz w:val="22"/>
          <w:szCs w:val="22"/>
          <w:lang w:val="en-US"/>
        </w:rPr>
      </w:pPr>
      <w:hyperlink w:anchor="_Toc193354020" w:history="1">
        <w:r w:rsidRPr="00335FC0">
          <w:rPr>
            <w:rStyle w:val="Hyperlink"/>
            <w:noProof/>
          </w:rPr>
          <w:t>5.13. Sakupljanje otpada koji može da se reciklira</w:t>
        </w:r>
        <w:r>
          <w:rPr>
            <w:noProof/>
            <w:webHidden/>
          </w:rPr>
          <w:tab/>
        </w:r>
        <w:r>
          <w:rPr>
            <w:noProof/>
            <w:webHidden/>
          </w:rPr>
          <w:fldChar w:fldCharType="begin"/>
        </w:r>
        <w:r>
          <w:rPr>
            <w:noProof/>
            <w:webHidden/>
          </w:rPr>
          <w:instrText xml:space="preserve"> PAGEREF _Toc193354020 \h </w:instrText>
        </w:r>
        <w:r>
          <w:rPr>
            <w:noProof/>
            <w:webHidden/>
          </w:rPr>
        </w:r>
        <w:r>
          <w:rPr>
            <w:noProof/>
            <w:webHidden/>
          </w:rPr>
          <w:fldChar w:fldCharType="separate"/>
        </w:r>
        <w:r>
          <w:rPr>
            <w:noProof/>
            <w:webHidden/>
          </w:rPr>
          <w:t>109</w:t>
        </w:r>
        <w:r>
          <w:rPr>
            <w:noProof/>
            <w:webHidden/>
          </w:rPr>
          <w:fldChar w:fldCharType="end"/>
        </w:r>
      </w:hyperlink>
    </w:p>
    <w:p w14:paraId="178C484D" w14:textId="77777777" w:rsidR="00552AAE" w:rsidRDefault="00552AAE">
      <w:pPr>
        <w:pStyle w:val="TOC2"/>
        <w:rPr>
          <w:rFonts w:asciiTheme="minorHAnsi" w:eastAsiaTheme="minorEastAsia" w:hAnsiTheme="minorHAnsi" w:cstheme="minorBidi"/>
          <w:noProof/>
          <w:sz w:val="22"/>
          <w:szCs w:val="22"/>
          <w:lang w:val="en-US"/>
        </w:rPr>
      </w:pPr>
      <w:hyperlink w:anchor="_Toc193354021" w:history="1">
        <w:r w:rsidRPr="00335FC0">
          <w:rPr>
            <w:rStyle w:val="Hyperlink"/>
            <w:noProof/>
          </w:rPr>
          <w:t>5.14. Sakupljanje biorazgradivog otpada</w:t>
        </w:r>
        <w:r>
          <w:rPr>
            <w:noProof/>
            <w:webHidden/>
          </w:rPr>
          <w:tab/>
        </w:r>
        <w:r>
          <w:rPr>
            <w:noProof/>
            <w:webHidden/>
          </w:rPr>
          <w:fldChar w:fldCharType="begin"/>
        </w:r>
        <w:r>
          <w:rPr>
            <w:noProof/>
            <w:webHidden/>
          </w:rPr>
          <w:instrText xml:space="preserve"> PAGEREF _Toc193354021 \h </w:instrText>
        </w:r>
        <w:r>
          <w:rPr>
            <w:noProof/>
            <w:webHidden/>
          </w:rPr>
        </w:r>
        <w:r>
          <w:rPr>
            <w:noProof/>
            <w:webHidden/>
          </w:rPr>
          <w:fldChar w:fldCharType="separate"/>
        </w:r>
        <w:r>
          <w:rPr>
            <w:noProof/>
            <w:webHidden/>
          </w:rPr>
          <w:t>110</w:t>
        </w:r>
        <w:r>
          <w:rPr>
            <w:noProof/>
            <w:webHidden/>
          </w:rPr>
          <w:fldChar w:fldCharType="end"/>
        </w:r>
      </w:hyperlink>
    </w:p>
    <w:p w14:paraId="7BBE7781" w14:textId="77777777" w:rsidR="00552AAE" w:rsidRDefault="00552AAE">
      <w:pPr>
        <w:pStyle w:val="TOC2"/>
        <w:rPr>
          <w:rFonts w:asciiTheme="minorHAnsi" w:eastAsiaTheme="minorEastAsia" w:hAnsiTheme="minorHAnsi" w:cstheme="minorBidi"/>
          <w:noProof/>
          <w:sz w:val="22"/>
          <w:szCs w:val="22"/>
          <w:lang w:val="en-US"/>
        </w:rPr>
      </w:pPr>
      <w:hyperlink w:anchor="_Toc193354022" w:history="1">
        <w:r w:rsidRPr="00335FC0">
          <w:rPr>
            <w:rStyle w:val="Hyperlink"/>
            <w:noProof/>
          </w:rPr>
          <w:t>5.15. Posude/Kontejneri za otpad</w:t>
        </w:r>
        <w:r>
          <w:rPr>
            <w:noProof/>
            <w:webHidden/>
          </w:rPr>
          <w:tab/>
        </w:r>
        <w:r>
          <w:rPr>
            <w:noProof/>
            <w:webHidden/>
          </w:rPr>
          <w:fldChar w:fldCharType="begin"/>
        </w:r>
        <w:r>
          <w:rPr>
            <w:noProof/>
            <w:webHidden/>
          </w:rPr>
          <w:instrText xml:space="preserve"> PAGEREF _Toc193354022 \h </w:instrText>
        </w:r>
        <w:r>
          <w:rPr>
            <w:noProof/>
            <w:webHidden/>
          </w:rPr>
        </w:r>
        <w:r>
          <w:rPr>
            <w:noProof/>
            <w:webHidden/>
          </w:rPr>
          <w:fldChar w:fldCharType="separate"/>
        </w:r>
        <w:r>
          <w:rPr>
            <w:noProof/>
            <w:webHidden/>
          </w:rPr>
          <w:t>110</w:t>
        </w:r>
        <w:r>
          <w:rPr>
            <w:noProof/>
            <w:webHidden/>
          </w:rPr>
          <w:fldChar w:fldCharType="end"/>
        </w:r>
      </w:hyperlink>
    </w:p>
    <w:p w14:paraId="54FB7F48" w14:textId="77777777" w:rsidR="00552AAE" w:rsidRDefault="00552AAE">
      <w:pPr>
        <w:pStyle w:val="TOC2"/>
        <w:rPr>
          <w:rFonts w:asciiTheme="minorHAnsi" w:eastAsiaTheme="minorEastAsia" w:hAnsiTheme="minorHAnsi" w:cstheme="minorBidi"/>
          <w:noProof/>
          <w:sz w:val="22"/>
          <w:szCs w:val="22"/>
          <w:lang w:val="en-US"/>
        </w:rPr>
      </w:pPr>
      <w:hyperlink w:anchor="_Toc193354023" w:history="1">
        <w:r w:rsidRPr="00335FC0">
          <w:rPr>
            <w:rStyle w:val="Hyperlink"/>
            <w:noProof/>
          </w:rPr>
          <w:t>5.16. Kamioni za sakupljanje otpada</w:t>
        </w:r>
        <w:r>
          <w:rPr>
            <w:noProof/>
            <w:webHidden/>
          </w:rPr>
          <w:tab/>
        </w:r>
        <w:r>
          <w:rPr>
            <w:noProof/>
            <w:webHidden/>
          </w:rPr>
          <w:fldChar w:fldCharType="begin"/>
        </w:r>
        <w:r>
          <w:rPr>
            <w:noProof/>
            <w:webHidden/>
          </w:rPr>
          <w:instrText xml:space="preserve"> PAGEREF _Toc193354023 \h </w:instrText>
        </w:r>
        <w:r>
          <w:rPr>
            <w:noProof/>
            <w:webHidden/>
          </w:rPr>
        </w:r>
        <w:r>
          <w:rPr>
            <w:noProof/>
            <w:webHidden/>
          </w:rPr>
          <w:fldChar w:fldCharType="separate"/>
        </w:r>
        <w:r>
          <w:rPr>
            <w:noProof/>
            <w:webHidden/>
          </w:rPr>
          <w:t>110</w:t>
        </w:r>
        <w:r>
          <w:rPr>
            <w:noProof/>
            <w:webHidden/>
          </w:rPr>
          <w:fldChar w:fldCharType="end"/>
        </w:r>
      </w:hyperlink>
    </w:p>
    <w:p w14:paraId="4F4ECAE4" w14:textId="77777777" w:rsidR="00552AAE" w:rsidRDefault="00552AAE">
      <w:pPr>
        <w:pStyle w:val="TOC2"/>
        <w:rPr>
          <w:rFonts w:asciiTheme="minorHAnsi" w:eastAsiaTheme="minorEastAsia" w:hAnsiTheme="minorHAnsi" w:cstheme="minorBidi"/>
          <w:noProof/>
          <w:sz w:val="22"/>
          <w:szCs w:val="22"/>
          <w:lang w:val="en-US"/>
        </w:rPr>
      </w:pPr>
      <w:hyperlink w:anchor="_Toc193354024" w:history="1">
        <w:r w:rsidRPr="00335FC0">
          <w:rPr>
            <w:rStyle w:val="Hyperlink"/>
            <w:noProof/>
          </w:rPr>
          <w:t>5.17. Preliminarna analiza opcija sakupljanja otpada</w:t>
        </w:r>
        <w:r>
          <w:rPr>
            <w:noProof/>
            <w:webHidden/>
          </w:rPr>
          <w:tab/>
        </w:r>
        <w:r>
          <w:rPr>
            <w:noProof/>
            <w:webHidden/>
          </w:rPr>
          <w:fldChar w:fldCharType="begin"/>
        </w:r>
        <w:r>
          <w:rPr>
            <w:noProof/>
            <w:webHidden/>
          </w:rPr>
          <w:instrText xml:space="preserve"> PAGEREF _Toc193354024 \h </w:instrText>
        </w:r>
        <w:r>
          <w:rPr>
            <w:noProof/>
            <w:webHidden/>
          </w:rPr>
        </w:r>
        <w:r>
          <w:rPr>
            <w:noProof/>
            <w:webHidden/>
          </w:rPr>
          <w:fldChar w:fldCharType="separate"/>
        </w:r>
        <w:r>
          <w:rPr>
            <w:noProof/>
            <w:webHidden/>
          </w:rPr>
          <w:t>111</w:t>
        </w:r>
        <w:r>
          <w:rPr>
            <w:noProof/>
            <w:webHidden/>
          </w:rPr>
          <w:fldChar w:fldCharType="end"/>
        </w:r>
      </w:hyperlink>
    </w:p>
    <w:p w14:paraId="1CCA6F96" w14:textId="77777777" w:rsidR="00552AAE" w:rsidRDefault="00552AAE">
      <w:pPr>
        <w:pStyle w:val="TOC2"/>
        <w:rPr>
          <w:rFonts w:asciiTheme="minorHAnsi" w:eastAsiaTheme="minorEastAsia" w:hAnsiTheme="minorHAnsi" w:cstheme="minorBidi"/>
          <w:noProof/>
          <w:sz w:val="22"/>
          <w:szCs w:val="22"/>
          <w:lang w:val="en-US"/>
        </w:rPr>
      </w:pPr>
      <w:hyperlink w:anchor="_Toc193354025" w:history="1">
        <w:r w:rsidRPr="00335FC0">
          <w:rPr>
            <w:rStyle w:val="Hyperlink"/>
            <w:noProof/>
          </w:rPr>
          <w:t>5.18. Analiza opcija – Sakupljanje otpada</w:t>
        </w:r>
        <w:r>
          <w:rPr>
            <w:noProof/>
            <w:webHidden/>
          </w:rPr>
          <w:tab/>
        </w:r>
        <w:r>
          <w:rPr>
            <w:noProof/>
            <w:webHidden/>
          </w:rPr>
          <w:fldChar w:fldCharType="begin"/>
        </w:r>
        <w:r>
          <w:rPr>
            <w:noProof/>
            <w:webHidden/>
          </w:rPr>
          <w:instrText xml:space="preserve"> PAGEREF _Toc193354025 \h </w:instrText>
        </w:r>
        <w:r>
          <w:rPr>
            <w:noProof/>
            <w:webHidden/>
          </w:rPr>
        </w:r>
        <w:r>
          <w:rPr>
            <w:noProof/>
            <w:webHidden/>
          </w:rPr>
          <w:fldChar w:fldCharType="separate"/>
        </w:r>
        <w:r>
          <w:rPr>
            <w:noProof/>
            <w:webHidden/>
          </w:rPr>
          <w:t>113</w:t>
        </w:r>
        <w:r>
          <w:rPr>
            <w:noProof/>
            <w:webHidden/>
          </w:rPr>
          <w:fldChar w:fldCharType="end"/>
        </w:r>
      </w:hyperlink>
    </w:p>
    <w:p w14:paraId="1D279068" w14:textId="77777777" w:rsidR="00552AAE" w:rsidRDefault="00552AAE">
      <w:pPr>
        <w:pStyle w:val="TOC2"/>
        <w:rPr>
          <w:rFonts w:asciiTheme="minorHAnsi" w:eastAsiaTheme="minorEastAsia" w:hAnsiTheme="minorHAnsi" w:cstheme="minorBidi"/>
          <w:noProof/>
          <w:sz w:val="22"/>
          <w:szCs w:val="22"/>
          <w:lang w:val="en-US"/>
        </w:rPr>
      </w:pPr>
      <w:hyperlink w:anchor="_Toc193354026" w:history="1">
        <w:r w:rsidRPr="00335FC0">
          <w:rPr>
            <w:rStyle w:val="Hyperlink"/>
            <w:noProof/>
          </w:rPr>
          <w:t>5.19. Metodologija za uporednu evaluaciju alternativnih scenarija sakupljanja</w:t>
        </w:r>
        <w:r>
          <w:rPr>
            <w:noProof/>
            <w:webHidden/>
          </w:rPr>
          <w:tab/>
        </w:r>
        <w:r>
          <w:rPr>
            <w:noProof/>
            <w:webHidden/>
          </w:rPr>
          <w:fldChar w:fldCharType="begin"/>
        </w:r>
        <w:r>
          <w:rPr>
            <w:noProof/>
            <w:webHidden/>
          </w:rPr>
          <w:instrText xml:space="preserve"> PAGEREF _Toc193354026 \h </w:instrText>
        </w:r>
        <w:r>
          <w:rPr>
            <w:noProof/>
            <w:webHidden/>
          </w:rPr>
        </w:r>
        <w:r>
          <w:rPr>
            <w:noProof/>
            <w:webHidden/>
          </w:rPr>
          <w:fldChar w:fldCharType="separate"/>
        </w:r>
        <w:r>
          <w:rPr>
            <w:noProof/>
            <w:webHidden/>
          </w:rPr>
          <w:t>114</w:t>
        </w:r>
        <w:r>
          <w:rPr>
            <w:noProof/>
            <w:webHidden/>
          </w:rPr>
          <w:fldChar w:fldCharType="end"/>
        </w:r>
      </w:hyperlink>
    </w:p>
    <w:p w14:paraId="11DBA121" w14:textId="77777777" w:rsidR="00552AAE" w:rsidRDefault="00552AAE">
      <w:pPr>
        <w:pStyle w:val="TOC2"/>
        <w:rPr>
          <w:rFonts w:asciiTheme="minorHAnsi" w:eastAsiaTheme="minorEastAsia" w:hAnsiTheme="minorHAnsi" w:cstheme="minorBidi"/>
          <w:noProof/>
          <w:sz w:val="22"/>
          <w:szCs w:val="22"/>
          <w:lang w:val="en-US"/>
        </w:rPr>
      </w:pPr>
      <w:hyperlink w:anchor="_Toc193354027" w:history="1">
        <w:r w:rsidRPr="00335FC0">
          <w:rPr>
            <w:rStyle w:val="Hyperlink"/>
            <w:noProof/>
          </w:rPr>
          <w:t>5.20. Opis opcija sakupljanja</w:t>
        </w:r>
        <w:r>
          <w:rPr>
            <w:noProof/>
            <w:webHidden/>
          </w:rPr>
          <w:tab/>
        </w:r>
        <w:r>
          <w:rPr>
            <w:noProof/>
            <w:webHidden/>
          </w:rPr>
          <w:fldChar w:fldCharType="begin"/>
        </w:r>
        <w:r>
          <w:rPr>
            <w:noProof/>
            <w:webHidden/>
          </w:rPr>
          <w:instrText xml:space="preserve"> PAGEREF _Toc193354027 \h </w:instrText>
        </w:r>
        <w:r>
          <w:rPr>
            <w:noProof/>
            <w:webHidden/>
          </w:rPr>
        </w:r>
        <w:r>
          <w:rPr>
            <w:noProof/>
            <w:webHidden/>
          </w:rPr>
          <w:fldChar w:fldCharType="separate"/>
        </w:r>
        <w:r>
          <w:rPr>
            <w:noProof/>
            <w:webHidden/>
          </w:rPr>
          <w:t>114</w:t>
        </w:r>
        <w:r>
          <w:rPr>
            <w:noProof/>
            <w:webHidden/>
          </w:rPr>
          <w:fldChar w:fldCharType="end"/>
        </w:r>
      </w:hyperlink>
    </w:p>
    <w:p w14:paraId="31C11D12" w14:textId="77777777" w:rsidR="00552AAE" w:rsidRDefault="00552AAE">
      <w:pPr>
        <w:pStyle w:val="TOC2"/>
        <w:rPr>
          <w:rFonts w:asciiTheme="minorHAnsi" w:eastAsiaTheme="minorEastAsia" w:hAnsiTheme="minorHAnsi" w:cstheme="minorBidi"/>
          <w:noProof/>
          <w:sz w:val="22"/>
          <w:szCs w:val="22"/>
          <w:lang w:val="en-US"/>
        </w:rPr>
      </w:pPr>
      <w:hyperlink w:anchor="_Toc193354028" w:history="1">
        <w:r w:rsidRPr="00335FC0">
          <w:rPr>
            <w:rStyle w:val="Hyperlink"/>
            <w:noProof/>
          </w:rPr>
          <w:t>5.21. Analiza opcija - Transfer stanice</w:t>
        </w:r>
        <w:r>
          <w:rPr>
            <w:noProof/>
            <w:webHidden/>
          </w:rPr>
          <w:tab/>
        </w:r>
        <w:r>
          <w:rPr>
            <w:noProof/>
            <w:webHidden/>
          </w:rPr>
          <w:fldChar w:fldCharType="begin"/>
        </w:r>
        <w:r>
          <w:rPr>
            <w:noProof/>
            <w:webHidden/>
          </w:rPr>
          <w:instrText xml:space="preserve"> PAGEREF _Toc193354028 \h </w:instrText>
        </w:r>
        <w:r>
          <w:rPr>
            <w:noProof/>
            <w:webHidden/>
          </w:rPr>
        </w:r>
        <w:r>
          <w:rPr>
            <w:noProof/>
            <w:webHidden/>
          </w:rPr>
          <w:fldChar w:fldCharType="separate"/>
        </w:r>
        <w:r>
          <w:rPr>
            <w:noProof/>
            <w:webHidden/>
          </w:rPr>
          <w:t>139</w:t>
        </w:r>
        <w:r>
          <w:rPr>
            <w:noProof/>
            <w:webHidden/>
          </w:rPr>
          <w:fldChar w:fldCharType="end"/>
        </w:r>
      </w:hyperlink>
    </w:p>
    <w:p w14:paraId="58850A36" w14:textId="77777777" w:rsidR="00552AAE" w:rsidRDefault="00552AAE">
      <w:pPr>
        <w:pStyle w:val="TOC2"/>
        <w:rPr>
          <w:rFonts w:asciiTheme="minorHAnsi" w:eastAsiaTheme="minorEastAsia" w:hAnsiTheme="minorHAnsi" w:cstheme="minorBidi"/>
          <w:noProof/>
          <w:sz w:val="22"/>
          <w:szCs w:val="22"/>
          <w:lang w:val="en-US"/>
        </w:rPr>
      </w:pPr>
      <w:hyperlink w:anchor="_Toc193354029" w:history="1">
        <w:r w:rsidRPr="00335FC0">
          <w:rPr>
            <w:rStyle w:val="Hyperlink"/>
            <w:noProof/>
          </w:rPr>
          <w:t>5.22. Metodologija ocjenjivanja</w:t>
        </w:r>
        <w:r>
          <w:rPr>
            <w:noProof/>
            <w:webHidden/>
          </w:rPr>
          <w:tab/>
        </w:r>
        <w:r>
          <w:rPr>
            <w:noProof/>
            <w:webHidden/>
          </w:rPr>
          <w:fldChar w:fldCharType="begin"/>
        </w:r>
        <w:r>
          <w:rPr>
            <w:noProof/>
            <w:webHidden/>
          </w:rPr>
          <w:instrText xml:space="preserve"> PAGEREF _Toc193354029 \h </w:instrText>
        </w:r>
        <w:r>
          <w:rPr>
            <w:noProof/>
            <w:webHidden/>
          </w:rPr>
        </w:r>
        <w:r>
          <w:rPr>
            <w:noProof/>
            <w:webHidden/>
          </w:rPr>
          <w:fldChar w:fldCharType="separate"/>
        </w:r>
        <w:r>
          <w:rPr>
            <w:noProof/>
            <w:webHidden/>
          </w:rPr>
          <w:t>141</w:t>
        </w:r>
        <w:r>
          <w:rPr>
            <w:noProof/>
            <w:webHidden/>
          </w:rPr>
          <w:fldChar w:fldCharType="end"/>
        </w:r>
      </w:hyperlink>
    </w:p>
    <w:p w14:paraId="02E5AF2F" w14:textId="77777777" w:rsidR="00552AAE" w:rsidRDefault="00552AAE">
      <w:pPr>
        <w:pStyle w:val="TOC2"/>
        <w:rPr>
          <w:rFonts w:asciiTheme="minorHAnsi" w:eastAsiaTheme="minorEastAsia" w:hAnsiTheme="minorHAnsi" w:cstheme="minorBidi"/>
          <w:noProof/>
          <w:sz w:val="22"/>
          <w:szCs w:val="22"/>
          <w:lang w:val="en-US"/>
        </w:rPr>
      </w:pPr>
      <w:hyperlink w:anchor="_Toc193354030" w:history="1">
        <w:r w:rsidRPr="00335FC0">
          <w:rPr>
            <w:rStyle w:val="Hyperlink"/>
            <w:noProof/>
          </w:rPr>
          <w:t>5.23. Predložena mreža transfer stanica</w:t>
        </w:r>
        <w:r>
          <w:rPr>
            <w:noProof/>
            <w:webHidden/>
          </w:rPr>
          <w:tab/>
        </w:r>
        <w:r>
          <w:rPr>
            <w:noProof/>
            <w:webHidden/>
          </w:rPr>
          <w:fldChar w:fldCharType="begin"/>
        </w:r>
        <w:r>
          <w:rPr>
            <w:noProof/>
            <w:webHidden/>
          </w:rPr>
          <w:instrText xml:space="preserve"> PAGEREF _Toc193354030 \h </w:instrText>
        </w:r>
        <w:r>
          <w:rPr>
            <w:noProof/>
            <w:webHidden/>
          </w:rPr>
        </w:r>
        <w:r>
          <w:rPr>
            <w:noProof/>
            <w:webHidden/>
          </w:rPr>
          <w:fldChar w:fldCharType="separate"/>
        </w:r>
        <w:r>
          <w:rPr>
            <w:noProof/>
            <w:webHidden/>
          </w:rPr>
          <w:t>144</w:t>
        </w:r>
        <w:r>
          <w:rPr>
            <w:noProof/>
            <w:webHidden/>
          </w:rPr>
          <w:fldChar w:fldCharType="end"/>
        </w:r>
      </w:hyperlink>
    </w:p>
    <w:p w14:paraId="407E5153" w14:textId="77777777" w:rsidR="00552AAE" w:rsidRDefault="00552AAE">
      <w:pPr>
        <w:pStyle w:val="TOC2"/>
        <w:rPr>
          <w:rFonts w:asciiTheme="minorHAnsi" w:eastAsiaTheme="minorEastAsia" w:hAnsiTheme="minorHAnsi" w:cstheme="minorBidi"/>
          <w:noProof/>
          <w:sz w:val="22"/>
          <w:szCs w:val="22"/>
          <w:lang w:val="en-US"/>
        </w:rPr>
      </w:pPr>
      <w:hyperlink w:anchor="_Toc193354031" w:history="1">
        <w:r w:rsidRPr="00335FC0">
          <w:rPr>
            <w:rStyle w:val="Hyperlink"/>
            <w:noProof/>
          </w:rPr>
          <w:t>5.24. Centar za sakupljanje otpada (CSO)</w:t>
        </w:r>
        <w:r>
          <w:rPr>
            <w:noProof/>
            <w:webHidden/>
          </w:rPr>
          <w:tab/>
        </w:r>
        <w:r>
          <w:rPr>
            <w:noProof/>
            <w:webHidden/>
          </w:rPr>
          <w:fldChar w:fldCharType="begin"/>
        </w:r>
        <w:r>
          <w:rPr>
            <w:noProof/>
            <w:webHidden/>
          </w:rPr>
          <w:instrText xml:space="preserve"> PAGEREF _Toc193354031 \h </w:instrText>
        </w:r>
        <w:r>
          <w:rPr>
            <w:noProof/>
            <w:webHidden/>
          </w:rPr>
        </w:r>
        <w:r>
          <w:rPr>
            <w:noProof/>
            <w:webHidden/>
          </w:rPr>
          <w:fldChar w:fldCharType="separate"/>
        </w:r>
        <w:r>
          <w:rPr>
            <w:noProof/>
            <w:webHidden/>
          </w:rPr>
          <w:t>145</w:t>
        </w:r>
        <w:r>
          <w:rPr>
            <w:noProof/>
            <w:webHidden/>
          </w:rPr>
          <w:fldChar w:fldCharType="end"/>
        </w:r>
      </w:hyperlink>
    </w:p>
    <w:p w14:paraId="4902C049" w14:textId="77777777" w:rsidR="00552AAE" w:rsidRDefault="00552AAE">
      <w:pPr>
        <w:pStyle w:val="TOC2"/>
        <w:rPr>
          <w:rFonts w:asciiTheme="minorHAnsi" w:eastAsiaTheme="minorEastAsia" w:hAnsiTheme="minorHAnsi" w:cstheme="minorBidi"/>
          <w:noProof/>
          <w:sz w:val="22"/>
          <w:szCs w:val="22"/>
          <w:lang w:val="en-US"/>
        </w:rPr>
      </w:pPr>
      <w:hyperlink w:anchor="_Toc193354032" w:history="1">
        <w:r w:rsidRPr="00335FC0">
          <w:rPr>
            <w:rStyle w:val="Hyperlink"/>
            <w:noProof/>
          </w:rPr>
          <w:t>5.25. Prihvaćeni materijali i količine</w:t>
        </w:r>
        <w:r>
          <w:rPr>
            <w:noProof/>
            <w:webHidden/>
          </w:rPr>
          <w:tab/>
        </w:r>
        <w:r>
          <w:rPr>
            <w:noProof/>
            <w:webHidden/>
          </w:rPr>
          <w:fldChar w:fldCharType="begin"/>
        </w:r>
        <w:r>
          <w:rPr>
            <w:noProof/>
            <w:webHidden/>
          </w:rPr>
          <w:instrText xml:space="preserve"> PAGEREF _Toc193354032 \h </w:instrText>
        </w:r>
        <w:r>
          <w:rPr>
            <w:noProof/>
            <w:webHidden/>
          </w:rPr>
        </w:r>
        <w:r>
          <w:rPr>
            <w:noProof/>
            <w:webHidden/>
          </w:rPr>
          <w:fldChar w:fldCharType="separate"/>
        </w:r>
        <w:r>
          <w:rPr>
            <w:noProof/>
            <w:webHidden/>
          </w:rPr>
          <w:t>146</w:t>
        </w:r>
        <w:r>
          <w:rPr>
            <w:noProof/>
            <w:webHidden/>
          </w:rPr>
          <w:fldChar w:fldCharType="end"/>
        </w:r>
      </w:hyperlink>
    </w:p>
    <w:p w14:paraId="099786EA" w14:textId="77777777" w:rsidR="00552AAE" w:rsidRDefault="00552AAE">
      <w:pPr>
        <w:pStyle w:val="TOC2"/>
        <w:rPr>
          <w:rFonts w:asciiTheme="minorHAnsi" w:eastAsiaTheme="minorEastAsia" w:hAnsiTheme="minorHAnsi" w:cstheme="minorBidi"/>
          <w:noProof/>
          <w:sz w:val="22"/>
          <w:szCs w:val="22"/>
          <w:lang w:val="en-US"/>
        </w:rPr>
      </w:pPr>
      <w:hyperlink w:anchor="_Toc193354033" w:history="1">
        <w:r w:rsidRPr="00335FC0">
          <w:rPr>
            <w:rStyle w:val="Hyperlink"/>
            <w:noProof/>
          </w:rPr>
          <w:t>5.26. Alternativni tipovi - osnovne karakteristike</w:t>
        </w:r>
        <w:r>
          <w:rPr>
            <w:noProof/>
            <w:webHidden/>
          </w:rPr>
          <w:tab/>
        </w:r>
        <w:r>
          <w:rPr>
            <w:noProof/>
            <w:webHidden/>
          </w:rPr>
          <w:fldChar w:fldCharType="begin"/>
        </w:r>
        <w:r>
          <w:rPr>
            <w:noProof/>
            <w:webHidden/>
          </w:rPr>
          <w:instrText xml:space="preserve"> PAGEREF _Toc193354033 \h </w:instrText>
        </w:r>
        <w:r>
          <w:rPr>
            <w:noProof/>
            <w:webHidden/>
          </w:rPr>
        </w:r>
        <w:r>
          <w:rPr>
            <w:noProof/>
            <w:webHidden/>
          </w:rPr>
          <w:fldChar w:fldCharType="separate"/>
        </w:r>
        <w:r>
          <w:rPr>
            <w:noProof/>
            <w:webHidden/>
          </w:rPr>
          <w:t>147</w:t>
        </w:r>
        <w:r>
          <w:rPr>
            <w:noProof/>
            <w:webHidden/>
          </w:rPr>
          <w:fldChar w:fldCharType="end"/>
        </w:r>
      </w:hyperlink>
    </w:p>
    <w:p w14:paraId="151F830C" w14:textId="77777777" w:rsidR="00552AAE" w:rsidRDefault="00552AAE">
      <w:pPr>
        <w:pStyle w:val="TOC2"/>
        <w:rPr>
          <w:rFonts w:asciiTheme="minorHAnsi" w:eastAsiaTheme="minorEastAsia" w:hAnsiTheme="minorHAnsi" w:cstheme="minorBidi"/>
          <w:noProof/>
          <w:sz w:val="22"/>
          <w:szCs w:val="22"/>
          <w:lang w:val="en-US"/>
        </w:rPr>
      </w:pPr>
      <w:hyperlink w:anchor="_Toc193354034" w:history="1">
        <w:r w:rsidRPr="00335FC0">
          <w:rPr>
            <w:rStyle w:val="Hyperlink"/>
            <w:noProof/>
          </w:rPr>
          <w:t>5.27. Broj centara za sakupljanje otpada</w:t>
        </w:r>
        <w:r>
          <w:rPr>
            <w:noProof/>
            <w:webHidden/>
          </w:rPr>
          <w:tab/>
        </w:r>
        <w:r>
          <w:rPr>
            <w:noProof/>
            <w:webHidden/>
          </w:rPr>
          <w:fldChar w:fldCharType="begin"/>
        </w:r>
        <w:r>
          <w:rPr>
            <w:noProof/>
            <w:webHidden/>
          </w:rPr>
          <w:instrText xml:space="preserve"> PAGEREF _Toc193354034 \h </w:instrText>
        </w:r>
        <w:r>
          <w:rPr>
            <w:noProof/>
            <w:webHidden/>
          </w:rPr>
        </w:r>
        <w:r>
          <w:rPr>
            <w:noProof/>
            <w:webHidden/>
          </w:rPr>
          <w:fldChar w:fldCharType="separate"/>
        </w:r>
        <w:r>
          <w:rPr>
            <w:noProof/>
            <w:webHidden/>
          </w:rPr>
          <w:t>148</w:t>
        </w:r>
        <w:r>
          <w:rPr>
            <w:noProof/>
            <w:webHidden/>
          </w:rPr>
          <w:fldChar w:fldCharType="end"/>
        </w:r>
      </w:hyperlink>
    </w:p>
    <w:p w14:paraId="74F31423" w14:textId="77777777" w:rsidR="00552AAE" w:rsidRDefault="00552AAE">
      <w:pPr>
        <w:pStyle w:val="TOC2"/>
        <w:rPr>
          <w:rFonts w:asciiTheme="minorHAnsi" w:eastAsiaTheme="minorEastAsia" w:hAnsiTheme="minorHAnsi" w:cstheme="minorBidi"/>
          <w:noProof/>
          <w:sz w:val="22"/>
          <w:szCs w:val="22"/>
          <w:lang w:val="en-US"/>
        </w:rPr>
      </w:pPr>
      <w:hyperlink w:anchor="_Toc193354035" w:history="1">
        <w:r w:rsidRPr="00335FC0">
          <w:rPr>
            <w:rStyle w:val="Hyperlink"/>
            <w:noProof/>
          </w:rPr>
          <w:t>5.28. Lokacije centara za sakupljanje otpada</w:t>
        </w:r>
        <w:r>
          <w:rPr>
            <w:noProof/>
            <w:webHidden/>
          </w:rPr>
          <w:tab/>
        </w:r>
        <w:r>
          <w:rPr>
            <w:noProof/>
            <w:webHidden/>
          </w:rPr>
          <w:fldChar w:fldCharType="begin"/>
        </w:r>
        <w:r>
          <w:rPr>
            <w:noProof/>
            <w:webHidden/>
          </w:rPr>
          <w:instrText xml:space="preserve"> PAGEREF _Toc193354035 \h </w:instrText>
        </w:r>
        <w:r>
          <w:rPr>
            <w:noProof/>
            <w:webHidden/>
          </w:rPr>
        </w:r>
        <w:r>
          <w:rPr>
            <w:noProof/>
            <w:webHidden/>
          </w:rPr>
          <w:fldChar w:fldCharType="separate"/>
        </w:r>
        <w:r>
          <w:rPr>
            <w:noProof/>
            <w:webHidden/>
          </w:rPr>
          <w:t>150</w:t>
        </w:r>
        <w:r>
          <w:rPr>
            <w:noProof/>
            <w:webHidden/>
          </w:rPr>
          <w:fldChar w:fldCharType="end"/>
        </w:r>
      </w:hyperlink>
    </w:p>
    <w:p w14:paraId="2C586612" w14:textId="77777777" w:rsidR="00552AAE" w:rsidRDefault="00552AAE">
      <w:pPr>
        <w:pStyle w:val="TOC2"/>
        <w:rPr>
          <w:rFonts w:asciiTheme="minorHAnsi" w:eastAsiaTheme="minorEastAsia" w:hAnsiTheme="minorHAnsi" w:cstheme="minorBidi"/>
          <w:noProof/>
          <w:sz w:val="22"/>
          <w:szCs w:val="22"/>
          <w:lang w:val="en-US"/>
        </w:rPr>
      </w:pPr>
      <w:hyperlink w:anchor="_Toc193354036" w:history="1">
        <w:r w:rsidRPr="00335FC0">
          <w:rPr>
            <w:rStyle w:val="Hyperlink"/>
            <w:noProof/>
          </w:rPr>
          <w:t>5.29. Monitoring</w:t>
        </w:r>
        <w:r>
          <w:rPr>
            <w:noProof/>
            <w:webHidden/>
          </w:rPr>
          <w:tab/>
        </w:r>
        <w:r>
          <w:rPr>
            <w:noProof/>
            <w:webHidden/>
          </w:rPr>
          <w:fldChar w:fldCharType="begin"/>
        </w:r>
        <w:r>
          <w:rPr>
            <w:noProof/>
            <w:webHidden/>
          </w:rPr>
          <w:instrText xml:space="preserve"> PAGEREF _Toc193354036 \h </w:instrText>
        </w:r>
        <w:r>
          <w:rPr>
            <w:noProof/>
            <w:webHidden/>
          </w:rPr>
        </w:r>
        <w:r>
          <w:rPr>
            <w:noProof/>
            <w:webHidden/>
          </w:rPr>
          <w:fldChar w:fldCharType="separate"/>
        </w:r>
        <w:r>
          <w:rPr>
            <w:noProof/>
            <w:webHidden/>
          </w:rPr>
          <w:t>151</w:t>
        </w:r>
        <w:r>
          <w:rPr>
            <w:noProof/>
            <w:webHidden/>
          </w:rPr>
          <w:fldChar w:fldCharType="end"/>
        </w:r>
      </w:hyperlink>
    </w:p>
    <w:p w14:paraId="565094FB" w14:textId="77777777" w:rsidR="00552AAE" w:rsidRDefault="00552AAE">
      <w:pPr>
        <w:pStyle w:val="TOC2"/>
        <w:rPr>
          <w:rFonts w:asciiTheme="minorHAnsi" w:eastAsiaTheme="minorEastAsia" w:hAnsiTheme="minorHAnsi" w:cstheme="minorBidi"/>
          <w:noProof/>
          <w:sz w:val="22"/>
          <w:szCs w:val="22"/>
          <w:lang w:val="en-US"/>
        </w:rPr>
      </w:pPr>
      <w:hyperlink w:anchor="_Toc193354037" w:history="1">
        <w:r w:rsidRPr="00335FC0">
          <w:rPr>
            <w:rStyle w:val="Hyperlink"/>
            <w:noProof/>
          </w:rPr>
          <w:t>5.30. Procijenjeni budžet</w:t>
        </w:r>
        <w:r>
          <w:rPr>
            <w:noProof/>
            <w:webHidden/>
          </w:rPr>
          <w:tab/>
        </w:r>
        <w:r>
          <w:rPr>
            <w:noProof/>
            <w:webHidden/>
          </w:rPr>
          <w:fldChar w:fldCharType="begin"/>
        </w:r>
        <w:r>
          <w:rPr>
            <w:noProof/>
            <w:webHidden/>
          </w:rPr>
          <w:instrText xml:space="preserve"> PAGEREF _Toc193354037 \h </w:instrText>
        </w:r>
        <w:r>
          <w:rPr>
            <w:noProof/>
            <w:webHidden/>
          </w:rPr>
        </w:r>
        <w:r>
          <w:rPr>
            <w:noProof/>
            <w:webHidden/>
          </w:rPr>
          <w:fldChar w:fldCharType="separate"/>
        </w:r>
        <w:r>
          <w:rPr>
            <w:noProof/>
            <w:webHidden/>
          </w:rPr>
          <w:t>152</w:t>
        </w:r>
        <w:r>
          <w:rPr>
            <w:noProof/>
            <w:webHidden/>
          </w:rPr>
          <w:fldChar w:fldCharType="end"/>
        </w:r>
      </w:hyperlink>
    </w:p>
    <w:p w14:paraId="6C705638" w14:textId="77777777" w:rsidR="00552AAE" w:rsidRDefault="00552AAE">
      <w:pPr>
        <w:pStyle w:val="TOC2"/>
        <w:rPr>
          <w:rFonts w:asciiTheme="minorHAnsi" w:eastAsiaTheme="minorEastAsia" w:hAnsiTheme="minorHAnsi" w:cstheme="minorBidi"/>
          <w:noProof/>
          <w:sz w:val="22"/>
          <w:szCs w:val="22"/>
          <w:lang w:val="en-US"/>
        </w:rPr>
      </w:pPr>
      <w:hyperlink w:anchor="_Toc193354038" w:history="1">
        <w:r w:rsidRPr="00335FC0">
          <w:rPr>
            <w:rStyle w:val="Hyperlink"/>
            <w:noProof/>
          </w:rPr>
          <w:t>5.31. Obrada odvojeno sakupljenog otpada</w:t>
        </w:r>
        <w:r>
          <w:rPr>
            <w:noProof/>
            <w:webHidden/>
          </w:rPr>
          <w:tab/>
        </w:r>
        <w:r>
          <w:rPr>
            <w:noProof/>
            <w:webHidden/>
          </w:rPr>
          <w:fldChar w:fldCharType="begin"/>
        </w:r>
        <w:r>
          <w:rPr>
            <w:noProof/>
            <w:webHidden/>
          </w:rPr>
          <w:instrText xml:space="preserve"> PAGEREF _Toc193354038 \h </w:instrText>
        </w:r>
        <w:r>
          <w:rPr>
            <w:noProof/>
            <w:webHidden/>
          </w:rPr>
        </w:r>
        <w:r>
          <w:rPr>
            <w:noProof/>
            <w:webHidden/>
          </w:rPr>
          <w:fldChar w:fldCharType="separate"/>
        </w:r>
        <w:r>
          <w:rPr>
            <w:noProof/>
            <w:webHidden/>
          </w:rPr>
          <w:t>153</w:t>
        </w:r>
        <w:r>
          <w:rPr>
            <w:noProof/>
            <w:webHidden/>
          </w:rPr>
          <w:fldChar w:fldCharType="end"/>
        </w:r>
      </w:hyperlink>
    </w:p>
    <w:p w14:paraId="2CA897E8" w14:textId="77777777" w:rsidR="00552AAE" w:rsidRDefault="00552AAE">
      <w:pPr>
        <w:pStyle w:val="TOC2"/>
        <w:rPr>
          <w:rFonts w:asciiTheme="minorHAnsi" w:eastAsiaTheme="minorEastAsia" w:hAnsiTheme="minorHAnsi" w:cstheme="minorBidi"/>
          <w:noProof/>
          <w:sz w:val="22"/>
          <w:szCs w:val="22"/>
          <w:lang w:val="en-US"/>
        </w:rPr>
      </w:pPr>
      <w:hyperlink w:anchor="_Toc193354039" w:history="1">
        <w:r w:rsidRPr="00335FC0">
          <w:rPr>
            <w:rStyle w:val="Hyperlink"/>
            <w:noProof/>
          </w:rPr>
          <w:t>5.32. Postojeći nedostaci i zahtjevi</w:t>
        </w:r>
        <w:r>
          <w:rPr>
            <w:noProof/>
            <w:webHidden/>
          </w:rPr>
          <w:tab/>
        </w:r>
        <w:r>
          <w:rPr>
            <w:noProof/>
            <w:webHidden/>
          </w:rPr>
          <w:fldChar w:fldCharType="begin"/>
        </w:r>
        <w:r>
          <w:rPr>
            <w:noProof/>
            <w:webHidden/>
          </w:rPr>
          <w:instrText xml:space="preserve"> PAGEREF _Toc193354039 \h </w:instrText>
        </w:r>
        <w:r>
          <w:rPr>
            <w:noProof/>
            <w:webHidden/>
          </w:rPr>
        </w:r>
        <w:r>
          <w:rPr>
            <w:noProof/>
            <w:webHidden/>
          </w:rPr>
          <w:fldChar w:fldCharType="separate"/>
        </w:r>
        <w:r>
          <w:rPr>
            <w:noProof/>
            <w:webHidden/>
          </w:rPr>
          <w:t>157</w:t>
        </w:r>
        <w:r>
          <w:rPr>
            <w:noProof/>
            <w:webHidden/>
          </w:rPr>
          <w:fldChar w:fldCharType="end"/>
        </w:r>
      </w:hyperlink>
    </w:p>
    <w:p w14:paraId="5AD878F8" w14:textId="77777777" w:rsidR="00552AAE" w:rsidRDefault="00552AAE">
      <w:pPr>
        <w:pStyle w:val="TOC2"/>
        <w:rPr>
          <w:rFonts w:asciiTheme="minorHAnsi" w:eastAsiaTheme="minorEastAsia" w:hAnsiTheme="minorHAnsi" w:cstheme="minorBidi"/>
          <w:noProof/>
          <w:sz w:val="22"/>
          <w:szCs w:val="22"/>
          <w:lang w:val="en-US"/>
        </w:rPr>
      </w:pPr>
      <w:hyperlink w:anchor="_Toc193354040" w:history="1">
        <w:r w:rsidRPr="00335FC0">
          <w:rPr>
            <w:rStyle w:val="Hyperlink"/>
            <w:noProof/>
          </w:rPr>
          <w:t>5.33. Obrada miješanog otpada</w:t>
        </w:r>
        <w:r>
          <w:rPr>
            <w:noProof/>
            <w:webHidden/>
          </w:rPr>
          <w:tab/>
        </w:r>
        <w:r>
          <w:rPr>
            <w:noProof/>
            <w:webHidden/>
          </w:rPr>
          <w:fldChar w:fldCharType="begin"/>
        </w:r>
        <w:r>
          <w:rPr>
            <w:noProof/>
            <w:webHidden/>
          </w:rPr>
          <w:instrText xml:space="preserve"> PAGEREF _Toc193354040 \h </w:instrText>
        </w:r>
        <w:r>
          <w:rPr>
            <w:noProof/>
            <w:webHidden/>
          </w:rPr>
        </w:r>
        <w:r>
          <w:rPr>
            <w:noProof/>
            <w:webHidden/>
          </w:rPr>
          <w:fldChar w:fldCharType="separate"/>
        </w:r>
        <w:r>
          <w:rPr>
            <w:noProof/>
            <w:webHidden/>
          </w:rPr>
          <w:t>158</w:t>
        </w:r>
        <w:r>
          <w:rPr>
            <w:noProof/>
            <w:webHidden/>
          </w:rPr>
          <w:fldChar w:fldCharType="end"/>
        </w:r>
      </w:hyperlink>
    </w:p>
    <w:p w14:paraId="3DA5AC31" w14:textId="77777777" w:rsidR="00552AAE" w:rsidRDefault="00552AAE">
      <w:pPr>
        <w:pStyle w:val="TOC2"/>
        <w:rPr>
          <w:rFonts w:asciiTheme="minorHAnsi" w:eastAsiaTheme="minorEastAsia" w:hAnsiTheme="minorHAnsi" w:cstheme="minorBidi"/>
          <w:noProof/>
          <w:sz w:val="22"/>
          <w:szCs w:val="22"/>
          <w:lang w:val="en-US"/>
        </w:rPr>
      </w:pPr>
      <w:hyperlink w:anchor="_Toc193354041" w:history="1">
        <w:r w:rsidRPr="00335FC0">
          <w:rPr>
            <w:rStyle w:val="Hyperlink"/>
            <w:noProof/>
          </w:rPr>
          <w:t>5.34. Postojeći nedostaci i zahtjevi</w:t>
        </w:r>
        <w:r>
          <w:rPr>
            <w:noProof/>
            <w:webHidden/>
          </w:rPr>
          <w:tab/>
        </w:r>
        <w:r>
          <w:rPr>
            <w:noProof/>
            <w:webHidden/>
          </w:rPr>
          <w:fldChar w:fldCharType="begin"/>
        </w:r>
        <w:r>
          <w:rPr>
            <w:noProof/>
            <w:webHidden/>
          </w:rPr>
          <w:instrText xml:space="preserve"> PAGEREF _Toc193354041 \h </w:instrText>
        </w:r>
        <w:r>
          <w:rPr>
            <w:noProof/>
            <w:webHidden/>
          </w:rPr>
        </w:r>
        <w:r>
          <w:rPr>
            <w:noProof/>
            <w:webHidden/>
          </w:rPr>
          <w:fldChar w:fldCharType="separate"/>
        </w:r>
        <w:r>
          <w:rPr>
            <w:noProof/>
            <w:webHidden/>
          </w:rPr>
          <w:t>161</w:t>
        </w:r>
        <w:r>
          <w:rPr>
            <w:noProof/>
            <w:webHidden/>
          </w:rPr>
          <w:fldChar w:fldCharType="end"/>
        </w:r>
      </w:hyperlink>
    </w:p>
    <w:p w14:paraId="17CBB56F" w14:textId="77777777" w:rsidR="00552AAE" w:rsidRDefault="00552AAE">
      <w:pPr>
        <w:pStyle w:val="TOC2"/>
        <w:rPr>
          <w:rFonts w:asciiTheme="minorHAnsi" w:eastAsiaTheme="minorEastAsia" w:hAnsiTheme="minorHAnsi" w:cstheme="minorBidi"/>
          <w:noProof/>
          <w:sz w:val="22"/>
          <w:szCs w:val="22"/>
          <w:lang w:val="en-US"/>
        </w:rPr>
      </w:pPr>
      <w:hyperlink w:anchor="_Toc193354042" w:history="1">
        <w:r w:rsidRPr="00335FC0">
          <w:rPr>
            <w:rStyle w:val="Hyperlink"/>
            <w:noProof/>
          </w:rPr>
          <w:t>5.35. Analiza opcije</w:t>
        </w:r>
        <w:r>
          <w:rPr>
            <w:noProof/>
            <w:webHidden/>
          </w:rPr>
          <w:tab/>
        </w:r>
        <w:r>
          <w:rPr>
            <w:noProof/>
            <w:webHidden/>
          </w:rPr>
          <w:fldChar w:fldCharType="begin"/>
        </w:r>
        <w:r>
          <w:rPr>
            <w:noProof/>
            <w:webHidden/>
          </w:rPr>
          <w:instrText xml:space="preserve"> PAGEREF _Toc193354042 \h </w:instrText>
        </w:r>
        <w:r>
          <w:rPr>
            <w:noProof/>
            <w:webHidden/>
          </w:rPr>
        </w:r>
        <w:r>
          <w:rPr>
            <w:noProof/>
            <w:webHidden/>
          </w:rPr>
          <w:fldChar w:fldCharType="separate"/>
        </w:r>
        <w:r>
          <w:rPr>
            <w:noProof/>
            <w:webHidden/>
          </w:rPr>
          <w:t>161</w:t>
        </w:r>
        <w:r>
          <w:rPr>
            <w:noProof/>
            <w:webHidden/>
          </w:rPr>
          <w:fldChar w:fldCharType="end"/>
        </w:r>
      </w:hyperlink>
    </w:p>
    <w:p w14:paraId="7CFC30CC" w14:textId="77777777" w:rsidR="00552AAE" w:rsidRDefault="00552AAE">
      <w:pPr>
        <w:pStyle w:val="TOC2"/>
        <w:rPr>
          <w:rFonts w:asciiTheme="minorHAnsi" w:eastAsiaTheme="minorEastAsia" w:hAnsiTheme="minorHAnsi" w:cstheme="minorBidi"/>
          <w:noProof/>
          <w:sz w:val="22"/>
          <w:szCs w:val="22"/>
          <w:lang w:val="en-US"/>
        </w:rPr>
      </w:pPr>
      <w:hyperlink w:anchor="_Toc193354043" w:history="1">
        <w:r w:rsidRPr="00335FC0">
          <w:rPr>
            <w:rStyle w:val="Hyperlink"/>
            <w:noProof/>
          </w:rPr>
          <w:t>5.36. Odlaganje otpada</w:t>
        </w:r>
        <w:r>
          <w:rPr>
            <w:noProof/>
            <w:webHidden/>
          </w:rPr>
          <w:tab/>
        </w:r>
        <w:r>
          <w:rPr>
            <w:noProof/>
            <w:webHidden/>
          </w:rPr>
          <w:fldChar w:fldCharType="begin"/>
        </w:r>
        <w:r>
          <w:rPr>
            <w:noProof/>
            <w:webHidden/>
          </w:rPr>
          <w:instrText xml:space="preserve"> PAGEREF _Toc193354043 \h </w:instrText>
        </w:r>
        <w:r>
          <w:rPr>
            <w:noProof/>
            <w:webHidden/>
          </w:rPr>
        </w:r>
        <w:r>
          <w:rPr>
            <w:noProof/>
            <w:webHidden/>
          </w:rPr>
          <w:fldChar w:fldCharType="separate"/>
        </w:r>
        <w:r>
          <w:rPr>
            <w:noProof/>
            <w:webHidden/>
          </w:rPr>
          <w:t>164</w:t>
        </w:r>
        <w:r>
          <w:rPr>
            <w:noProof/>
            <w:webHidden/>
          </w:rPr>
          <w:fldChar w:fldCharType="end"/>
        </w:r>
      </w:hyperlink>
    </w:p>
    <w:p w14:paraId="71E8FB44" w14:textId="77777777" w:rsidR="00552AAE" w:rsidRDefault="00552AAE">
      <w:pPr>
        <w:pStyle w:val="TOC2"/>
        <w:rPr>
          <w:rFonts w:asciiTheme="minorHAnsi" w:eastAsiaTheme="minorEastAsia" w:hAnsiTheme="minorHAnsi" w:cstheme="minorBidi"/>
          <w:noProof/>
          <w:sz w:val="22"/>
          <w:szCs w:val="22"/>
          <w:lang w:val="en-US"/>
        </w:rPr>
      </w:pPr>
      <w:hyperlink w:anchor="_Toc193354044" w:history="1">
        <w:r w:rsidRPr="00335FC0">
          <w:rPr>
            <w:rStyle w:val="Hyperlink"/>
            <w:noProof/>
          </w:rPr>
          <w:t>5.37. Postojeći nedostaci i zahtjevi</w:t>
        </w:r>
        <w:r>
          <w:rPr>
            <w:noProof/>
            <w:webHidden/>
          </w:rPr>
          <w:tab/>
        </w:r>
        <w:r>
          <w:rPr>
            <w:noProof/>
            <w:webHidden/>
          </w:rPr>
          <w:fldChar w:fldCharType="begin"/>
        </w:r>
        <w:r>
          <w:rPr>
            <w:noProof/>
            <w:webHidden/>
          </w:rPr>
          <w:instrText xml:space="preserve"> PAGEREF _Toc193354044 \h </w:instrText>
        </w:r>
        <w:r>
          <w:rPr>
            <w:noProof/>
            <w:webHidden/>
          </w:rPr>
        </w:r>
        <w:r>
          <w:rPr>
            <w:noProof/>
            <w:webHidden/>
          </w:rPr>
          <w:fldChar w:fldCharType="separate"/>
        </w:r>
        <w:r>
          <w:rPr>
            <w:noProof/>
            <w:webHidden/>
          </w:rPr>
          <w:t>165</w:t>
        </w:r>
        <w:r>
          <w:rPr>
            <w:noProof/>
            <w:webHidden/>
          </w:rPr>
          <w:fldChar w:fldCharType="end"/>
        </w:r>
      </w:hyperlink>
    </w:p>
    <w:p w14:paraId="11FC54F8" w14:textId="77777777" w:rsidR="00552AAE" w:rsidRDefault="00552AAE">
      <w:pPr>
        <w:pStyle w:val="TOC2"/>
        <w:rPr>
          <w:rFonts w:asciiTheme="minorHAnsi" w:eastAsiaTheme="minorEastAsia" w:hAnsiTheme="minorHAnsi" w:cstheme="minorBidi"/>
          <w:noProof/>
          <w:sz w:val="22"/>
          <w:szCs w:val="22"/>
          <w:lang w:val="en-US"/>
        </w:rPr>
      </w:pPr>
      <w:hyperlink w:anchor="_Toc193354045" w:history="1">
        <w:r w:rsidRPr="00335FC0">
          <w:rPr>
            <w:rStyle w:val="Hyperlink"/>
            <w:noProof/>
          </w:rPr>
          <w:t>5.38. Zatvaranje i sanacija deponija i odlagališta</w:t>
        </w:r>
        <w:r>
          <w:rPr>
            <w:noProof/>
            <w:webHidden/>
          </w:rPr>
          <w:tab/>
        </w:r>
        <w:r>
          <w:rPr>
            <w:noProof/>
            <w:webHidden/>
          </w:rPr>
          <w:fldChar w:fldCharType="begin"/>
        </w:r>
        <w:r>
          <w:rPr>
            <w:noProof/>
            <w:webHidden/>
          </w:rPr>
          <w:instrText xml:space="preserve"> PAGEREF _Toc193354045 \h </w:instrText>
        </w:r>
        <w:r>
          <w:rPr>
            <w:noProof/>
            <w:webHidden/>
          </w:rPr>
        </w:r>
        <w:r>
          <w:rPr>
            <w:noProof/>
            <w:webHidden/>
          </w:rPr>
          <w:fldChar w:fldCharType="separate"/>
        </w:r>
        <w:r>
          <w:rPr>
            <w:noProof/>
            <w:webHidden/>
          </w:rPr>
          <w:t>165</w:t>
        </w:r>
        <w:r>
          <w:rPr>
            <w:noProof/>
            <w:webHidden/>
          </w:rPr>
          <w:fldChar w:fldCharType="end"/>
        </w:r>
      </w:hyperlink>
    </w:p>
    <w:p w14:paraId="18546BEA" w14:textId="77777777" w:rsidR="00552AAE" w:rsidRDefault="00552AAE">
      <w:pPr>
        <w:pStyle w:val="TOC3"/>
        <w:rPr>
          <w:rFonts w:asciiTheme="minorHAnsi" w:eastAsiaTheme="minorEastAsia" w:hAnsiTheme="minorHAnsi" w:cstheme="minorBidi"/>
          <w:i w:val="0"/>
          <w:noProof/>
          <w:sz w:val="22"/>
          <w:szCs w:val="22"/>
          <w:lang w:val="en-US"/>
        </w:rPr>
      </w:pPr>
      <w:hyperlink w:anchor="_Toc193354046" w:history="1">
        <w:r w:rsidRPr="00335FC0">
          <w:rPr>
            <w:rStyle w:val="Hyperlink"/>
            <w:noProof/>
            <w:lang w:val="sq-AL"/>
          </w:rPr>
          <w:t>5.38.1. Tehnički elementi</w:t>
        </w:r>
        <w:r>
          <w:rPr>
            <w:noProof/>
            <w:webHidden/>
          </w:rPr>
          <w:tab/>
        </w:r>
        <w:r>
          <w:rPr>
            <w:noProof/>
            <w:webHidden/>
          </w:rPr>
          <w:fldChar w:fldCharType="begin"/>
        </w:r>
        <w:r>
          <w:rPr>
            <w:noProof/>
            <w:webHidden/>
          </w:rPr>
          <w:instrText xml:space="preserve"> PAGEREF _Toc193354046 \h </w:instrText>
        </w:r>
        <w:r>
          <w:rPr>
            <w:noProof/>
            <w:webHidden/>
          </w:rPr>
        </w:r>
        <w:r>
          <w:rPr>
            <w:noProof/>
            <w:webHidden/>
          </w:rPr>
          <w:fldChar w:fldCharType="separate"/>
        </w:r>
        <w:r>
          <w:rPr>
            <w:noProof/>
            <w:webHidden/>
          </w:rPr>
          <w:t>166</w:t>
        </w:r>
        <w:r>
          <w:rPr>
            <w:noProof/>
            <w:webHidden/>
          </w:rPr>
          <w:fldChar w:fldCharType="end"/>
        </w:r>
      </w:hyperlink>
    </w:p>
    <w:p w14:paraId="79BC9DDC" w14:textId="77777777" w:rsidR="00552AAE" w:rsidRDefault="00552AAE">
      <w:pPr>
        <w:pStyle w:val="TOC2"/>
        <w:rPr>
          <w:rFonts w:asciiTheme="minorHAnsi" w:eastAsiaTheme="minorEastAsia" w:hAnsiTheme="minorHAnsi" w:cstheme="minorBidi"/>
          <w:noProof/>
          <w:sz w:val="22"/>
          <w:szCs w:val="22"/>
          <w:lang w:val="en-US"/>
        </w:rPr>
      </w:pPr>
      <w:hyperlink w:anchor="_Toc193354047" w:history="1">
        <w:r w:rsidRPr="00335FC0">
          <w:rPr>
            <w:rStyle w:val="Hyperlink"/>
            <w:noProof/>
          </w:rPr>
          <w:t>5.39. Pregled sistema upravljanja komunalnim otpadom</w:t>
        </w:r>
        <w:r>
          <w:rPr>
            <w:noProof/>
            <w:webHidden/>
          </w:rPr>
          <w:tab/>
        </w:r>
        <w:r>
          <w:rPr>
            <w:noProof/>
            <w:webHidden/>
          </w:rPr>
          <w:fldChar w:fldCharType="begin"/>
        </w:r>
        <w:r>
          <w:rPr>
            <w:noProof/>
            <w:webHidden/>
          </w:rPr>
          <w:instrText xml:space="preserve"> PAGEREF _Toc193354047 \h </w:instrText>
        </w:r>
        <w:r>
          <w:rPr>
            <w:noProof/>
            <w:webHidden/>
          </w:rPr>
        </w:r>
        <w:r>
          <w:rPr>
            <w:noProof/>
            <w:webHidden/>
          </w:rPr>
          <w:fldChar w:fldCharType="separate"/>
        </w:r>
        <w:r>
          <w:rPr>
            <w:noProof/>
            <w:webHidden/>
          </w:rPr>
          <w:t>166</w:t>
        </w:r>
        <w:r>
          <w:rPr>
            <w:noProof/>
            <w:webHidden/>
          </w:rPr>
          <w:fldChar w:fldCharType="end"/>
        </w:r>
      </w:hyperlink>
    </w:p>
    <w:p w14:paraId="5401076B" w14:textId="77777777" w:rsidR="00552AAE" w:rsidRDefault="00552AAE">
      <w:pPr>
        <w:pStyle w:val="TOC3"/>
        <w:rPr>
          <w:rFonts w:asciiTheme="minorHAnsi" w:eastAsiaTheme="minorEastAsia" w:hAnsiTheme="minorHAnsi" w:cstheme="minorBidi"/>
          <w:i w:val="0"/>
          <w:noProof/>
          <w:sz w:val="22"/>
          <w:szCs w:val="22"/>
          <w:lang w:val="en-US"/>
        </w:rPr>
      </w:pPr>
      <w:hyperlink w:anchor="_Toc193354048" w:history="1">
        <w:r w:rsidRPr="00335FC0">
          <w:rPr>
            <w:rStyle w:val="Hyperlink"/>
            <w:noProof/>
            <w:lang w:val="sq-AL"/>
          </w:rPr>
          <w:t>5.39.1. Odvojeno sakupljanje otpada</w:t>
        </w:r>
        <w:r>
          <w:rPr>
            <w:noProof/>
            <w:webHidden/>
          </w:rPr>
          <w:tab/>
        </w:r>
        <w:r>
          <w:rPr>
            <w:noProof/>
            <w:webHidden/>
          </w:rPr>
          <w:fldChar w:fldCharType="begin"/>
        </w:r>
        <w:r>
          <w:rPr>
            <w:noProof/>
            <w:webHidden/>
          </w:rPr>
          <w:instrText xml:space="preserve"> PAGEREF _Toc193354048 \h </w:instrText>
        </w:r>
        <w:r>
          <w:rPr>
            <w:noProof/>
            <w:webHidden/>
          </w:rPr>
        </w:r>
        <w:r>
          <w:rPr>
            <w:noProof/>
            <w:webHidden/>
          </w:rPr>
          <w:fldChar w:fldCharType="separate"/>
        </w:r>
        <w:r>
          <w:rPr>
            <w:noProof/>
            <w:webHidden/>
          </w:rPr>
          <w:t>167</w:t>
        </w:r>
        <w:r>
          <w:rPr>
            <w:noProof/>
            <w:webHidden/>
          </w:rPr>
          <w:fldChar w:fldCharType="end"/>
        </w:r>
      </w:hyperlink>
    </w:p>
    <w:p w14:paraId="46866F82" w14:textId="77777777" w:rsidR="00552AAE" w:rsidRDefault="00552AAE">
      <w:pPr>
        <w:pStyle w:val="TOC3"/>
        <w:rPr>
          <w:rFonts w:asciiTheme="minorHAnsi" w:eastAsiaTheme="minorEastAsia" w:hAnsiTheme="minorHAnsi" w:cstheme="minorBidi"/>
          <w:i w:val="0"/>
          <w:noProof/>
          <w:sz w:val="22"/>
          <w:szCs w:val="22"/>
          <w:lang w:val="en-US"/>
        </w:rPr>
      </w:pPr>
      <w:hyperlink w:anchor="_Toc193354049" w:history="1">
        <w:r w:rsidRPr="00335FC0">
          <w:rPr>
            <w:rStyle w:val="Hyperlink"/>
            <w:noProof/>
            <w:lang w:val="sq-AL"/>
          </w:rPr>
          <w:t>5.39.2. Infrastruktura za obradu otpada</w:t>
        </w:r>
        <w:r>
          <w:rPr>
            <w:noProof/>
            <w:webHidden/>
          </w:rPr>
          <w:tab/>
        </w:r>
        <w:r>
          <w:rPr>
            <w:noProof/>
            <w:webHidden/>
          </w:rPr>
          <w:fldChar w:fldCharType="begin"/>
        </w:r>
        <w:r>
          <w:rPr>
            <w:noProof/>
            <w:webHidden/>
          </w:rPr>
          <w:instrText xml:space="preserve"> PAGEREF _Toc193354049 \h </w:instrText>
        </w:r>
        <w:r>
          <w:rPr>
            <w:noProof/>
            <w:webHidden/>
          </w:rPr>
        </w:r>
        <w:r>
          <w:rPr>
            <w:noProof/>
            <w:webHidden/>
          </w:rPr>
          <w:fldChar w:fldCharType="separate"/>
        </w:r>
        <w:r>
          <w:rPr>
            <w:noProof/>
            <w:webHidden/>
          </w:rPr>
          <w:t>168</w:t>
        </w:r>
        <w:r>
          <w:rPr>
            <w:noProof/>
            <w:webHidden/>
          </w:rPr>
          <w:fldChar w:fldCharType="end"/>
        </w:r>
      </w:hyperlink>
    </w:p>
    <w:p w14:paraId="2E70ADB0" w14:textId="77777777" w:rsidR="00552AAE" w:rsidRDefault="00552AAE">
      <w:pPr>
        <w:pStyle w:val="TOC3"/>
        <w:rPr>
          <w:rFonts w:asciiTheme="minorHAnsi" w:eastAsiaTheme="minorEastAsia" w:hAnsiTheme="minorHAnsi" w:cstheme="minorBidi"/>
          <w:i w:val="0"/>
          <w:noProof/>
          <w:sz w:val="22"/>
          <w:szCs w:val="22"/>
          <w:lang w:val="en-US"/>
        </w:rPr>
      </w:pPr>
      <w:hyperlink w:anchor="_Toc193354050" w:history="1">
        <w:r w:rsidRPr="00335FC0">
          <w:rPr>
            <w:rStyle w:val="Hyperlink"/>
            <w:noProof/>
          </w:rPr>
          <w:t>5.39.3 Ukupni bilans mase upravljanja komunalnim otpadom</w:t>
        </w:r>
        <w:r>
          <w:rPr>
            <w:noProof/>
            <w:webHidden/>
          </w:rPr>
          <w:tab/>
        </w:r>
        <w:r>
          <w:rPr>
            <w:noProof/>
            <w:webHidden/>
          </w:rPr>
          <w:fldChar w:fldCharType="begin"/>
        </w:r>
        <w:r>
          <w:rPr>
            <w:noProof/>
            <w:webHidden/>
          </w:rPr>
          <w:instrText xml:space="preserve"> PAGEREF _Toc193354050 \h </w:instrText>
        </w:r>
        <w:r>
          <w:rPr>
            <w:noProof/>
            <w:webHidden/>
          </w:rPr>
        </w:r>
        <w:r>
          <w:rPr>
            <w:noProof/>
            <w:webHidden/>
          </w:rPr>
          <w:fldChar w:fldCharType="separate"/>
        </w:r>
        <w:r>
          <w:rPr>
            <w:noProof/>
            <w:webHidden/>
          </w:rPr>
          <w:t>170</w:t>
        </w:r>
        <w:r>
          <w:rPr>
            <w:noProof/>
            <w:webHidden/>
          </w:rPr>
          <w:fldChar w:fldCharType="end"/>
        </w:r>
      </w:hyperlink>
    </w:p>
    <w:p w14:paraId="33C3FC26" w14:textId="77777777" w:rsidR="00552AAE" w:rsidRDefault="00552AAE">
      <w:pPr>
        <w:pStyle w:val="TOC2"/>
        <w:rPr>
          <w:rFonts w:asciiTheme="minorHAnsi" w:eastAsiaTheme="minorEastAsia" w:hAnsiTheme="minorHAnsi" w:cstheme="minorBidi"/>
          <w:noProof/>
          <w:sz w:val="22"/>
          <w:szCs w:val="22"/>
          <w:lang w:val="en-US"/>
        </w:rPr>
      </w:pPr>
      <w:hyperlink w:anchor="_Toc193354051" w:history="1">
        <w:r w:rsidRPr="00335FC0">
          <w:rPr>
            <w:rStyle w:val="Hyperlink"/>
            <w:noProof/>
          </w:rPr>
          <w:t>5.40. Uloge i odgovornosti</w:t>
        </w:r>
        <w:r>
          <w:rPr>
            <w:noProof/>
            <w:webHidden/>
          </w:rPr>
          <w:tab/>
        </w:r>
        <w:r>
          <w:rPr>
            <w:noProof/>
            <w:webHidden/>
          </w:rPr>
          <w:fldChar w:fldCharType="begin"/>
        </w:r>
        <w:r>
          <w:rPr>
            <w:noProof/>
            <w:webHidden/>
          </w:rPr>
          <w:instrText xml:space="preserve"> PAGEREF _Toc193354051 \h </w:instrText>
        </w:r>
        <w:r>
          <w:rPr>
            <w:noProof/>
            <w:webHidden/>
          </w:rPr>
        </w:r>
        <w:r>
          <w:rPr>
            <w:noProof/>
            <w:webHidden/>
          </w:rPr>
          <w:fldChar w:fldCharType="separate"/>
        </w:r>
        <w:r>
          <w:rPr>
            <w:noProof/>
            <w:webHidden/>
          </w:rPr>
          <w:t>171</w:t>
        </w:r>
        <w:r>
          <w:rPr>
            <w:noProof/>
            <w:webHidden/>
          </w:rPr>
          <w:fldChar w:fldCharType="end"/>
        </w:r>
      </w:hyperlink>
    </w:p>
    <w:p w14:paraId="00AD1507" w14:textId="77777777" w:rsidR="00552AAE" w:rsidRDefault="00552AAE">
      <w:pPr>
        <w:pStyle w:val="TOC3"/>
        <w:rPr>
          <w:rFonts w:asciiTheme="minorHAnsi" w:eastAsiaTheme="minorEastAsia" w:hAnsiTheme="minorHAnsi" w:cstheme="minorBidi"/>
          <w:i w:val="0"/>
          <w:noProof/>
          <w:sz w:val="22"/>
          <w:szCs w:val="22"/>
          <w:lang w:val="en-US"/>
        </w:rPr>
      </w:pPr>
      <w:hyperlink w:anchor="_Toc193354052" w:history="1">
        <w:r w:rsidRPr="00335FC0">
          <w:rPr>
            <w:rStyle w:val="Hyperlink"/>
            <w:noProof/>
            <w:lang w:val="sq-AL"/>
          </w:rPr>
          <w:t>5.40.1. Troškovi ulaganja</w:t>
        </w:r>
        <w:r>
          <w:rPr>
            <w:noProof/>
            <w:webHidden/>
          </w:rPr>
          <w:tab/>
        </w:r>
        <w:r>
          <w:rPr>
            <w:noProof/>
            <w:webHidden/>
          </w:rPr>
          <w:fldChar w:fldCharType="begin"/>
        </w:r>
        <w:r>
          <w:rPr>
            <w:noProof/>
            <w:webHidden/>
          </w:rPr>
          <w:instrText xml:space="preserve"> PAGEREF _Toc193354052 \h </w:instrText>
        </w:r>
        <w:r>
          <w:rPr>
            <w:noProof/>
            <w:webHidden/>
          </w:rPr>
        </w:r>
        <w:r>
          <w:rPr>
            <w:noProof/>
            <w:webHidden/>
          </w:rPr>
          <w:fldChar w:fldCharType="separate"/>
        </w:r>
        <w:r>
          <w:rPr>
            <w:noProof/>
            <w:webHidden/>
          </w:rPr>
          <w:t>171</w:t>
        </w:r>
        <w:r>
          <w:rPr>
            <w:noProof/>
            <w:webHidden/>
          </w:rPr>
          <w:fldChar w:fldCharType="end"/>
        </w:r>
      </w:hyperlink>
    </w:p>
    <w:p w14:paraId="0B0C4B25" w14:textId="77777777" w:rsidR="00552AAE" w:rsidRDefault="00552AAE">
      <w:pPr>
        <w:pStyle w:val="TOC3"/>
        <w:rPr>
          <w:rFonts w:asciiTheme="minorHAnsi" w:eastAsiaTheme="minorEastAsia" w:hAnsiTheme="minorHAnsi" w:cstheme="minorBidi"/>
          <w:i w:val="0"/>
          <w:noProof/>
          <w:sz w:val="22"/>
          <w:szCs w:val="22"/>
          <w:lang w:val="en-US"/>
        </w:rPr>
      </w:pPr>
      <w:hyperlink w:anchor="_Toc193354053" w:history="1">
        <w:r w:rsidRPr="00335FC0">
          <w:rPr>
            <w:rStyle w:val="Hyperlink"/>
            <w:noProof/>
            <w:lang w:val="sq-AL"/>
          </w:rPr>
          <w:t>5.40.2. Analiza tokova gotovine</w:t>
        </w:r>
        <w:r>
          <w:rPr>
            <w:noProof/>
            <w:webHidden/>
          </w:rPr>
          <w:tab/>
        </w:r>
        <w:r>
          <w:rPr>
            <w:noProof/>
            <w:webHidden/>
          </w:rPr>
          <w:fldChar w:fldCharType="begin"/>
        </w:r>
        <w:r>
          <w:rPr>
            <w:noProof/>
            <w:webHidden/>
          </w:rPr>
          <w:instrText xml:space="preserve"> PAGEREF _Toc193354053 \h </w:instrText>
        </w:r>
        <w:r>
          <w:rPr>
            <w:noProof/>
            <w:webHidden/>
          </w:rPr>
        </w:r>
        <w:r>
          <w:rPr>
            <w:noProof/>
            <w:webHidden/>
          </w:rPr>
          <w:fldChar w:fldCharType="separate"/>
        </w:r>
        <w:r>
          <w:rPr>
            <w:noProof/>
            <w:webHidden/>
          </w:rPr>
          <w:t>172</w:t>
        </w:r>
        <w:r>
          <w:rPr>
            <w:noProof/>
            <w:webHidden/>
          </w:rPr>
          <w:fldChar w:fldCharType="end"/>
        </w:r>
      </w:hyperlink>
    </w:p>
    <w:p w14:paraId="71AB7440" w14:textId="77777777" w:rsidR="00552AAE" w:rsidRDefault="00552AAE">
      <w:pPr>
        <w:pStyle w:val="TOC3"/>
        <w:rPr>
          <w:rFonts w:asciiTheme="minorHAnsi" w:eastAsiaTheme="minorEastAsia" w:hAnsiTheme="minorHAnsi" w:cstheme="minorBidi"/>
          <w:i w:val="0"/>
          <w:noProof/>
          <w:sz w:val="22"/>
          <w:szCs w:val="22"/>
          <w:lang w:val="en-US"/>
        </w:rPr>
      </w:pPr>
      <w:hyperlink w:anchor="_Toc193354054" w:history="1">
        <w:r w:rsidRPr="00335FC0">
          <w:rPr>
            <w:rStyle w:val="Hyperlink"/>
            <w:noProof/>
            <w:lang w:val="sq-AL"/>
          </w:rPr>
          <w:t>5.40.3. Naknada amortizacije</w:t>
        </w:r>
        <w:r>
          <w:rPr>
            <w:noProof/>
            <w:webHidden/>
          </w:rPr>
          <w:tab/>
        </w:r>
        <w:r>
          <w:rPr>
            <w:noProof/>
            <w:webHidden/>
          </w:rPr>
          <w:fldChar w:fldCharType="begin"/>
        </w:r>
        <w:r>
          <w:rPr>
            <w:noProof/>
            <w:webHidden/>
          </w:rPr>
          <w:instrText xml:space="preserve"> PAGEREF _Toc193354054 \h </w:instrText>
        </w:r>
        <w:r>
          <w:rPr>
            <w:noProof/>
            <w:webHidden/>
          </w:rPr>
        </w:r>
        <w:r>
          <w:rPr>
            <w:noProof/>
            <w:webHidden/>
          </w:rPr>
          <w:fldChar w:fldCharType="separate"/>
        </w:r>
        <w:r>
          <w:rPr>
            <w:noProof/>
            <w:webHidden/>
          </w:rPr>
          <w:t>174</w:t>
        </w:r>
        <w:r>
          <w:rPr>
            <w:noProof/>
            <w:webHidden/>
          </w:rPr>
          <w:fldChar w:fldCharType="end"/>
        </w:r>
      </w:hyperlink>
    </w:p>
    <w:p w14:paraId="5997AE3A" w14:textId="77777777" w:rsidR="00552AAE" w:rsidRDefault="00552AAE">
      <w:pPr>
        <w:pStyle w:val="TOC3"/>
        <w:rPr>
          <w:rFonts w:asciiTheme="minorHAnsi" w:eastAsiaTheme="minorEastAsia" w:hAnsiTheme="minorHAnsi" w:cstheme="minorBidi"/>
          <w:i w:val="0"/>
          <w:noProof/>
          <w:sz w:val="22"/>
          <w:szCs w:val="22"/>
          <w:lang w:val="en-US"/>
        </w:rPr>
      </w:pPr>
      <w:hyperlink w:anchor="_Toc193354055" w:history="1">
        <w:r w:rsidRPr="00335FC0">
          <w:rPr>
            <w:rStyle w:val="Hyperlink"/>
            <w:noProof/>
            <w:lang w:val="sq-AL"/>
          </w:rPr>
          <w:t>5.40.4. Procjena priuštivosti</w:t>
        </w:r>
        <w:r>
          <w:rPr>
            <w:noProof/>
            <w:webHidden/>
          </w:rPr>
          <w:tab/>
        </w:r>
        <w:r>
          <w:rPr>
            <w:noProof/>
            <w:webHidden/>
          </w:rPr>
          <w:fldChar w:fldCharType="begin"/>
        </w:r>
        <w:r>
          <w:rPr>
            <w:noProof/>
            <w:webHidden/>
          </w:rPr>
          <w:instrText xml:space="preserve"> PAGEREF _Toc193354055 \h </w:instrText>
        </w:r>
        <w:r>
          <w:rPr>
            <w:noProof/>
            <w:webHidden/>
          </w:rPr>
        </w:r>
        <w:r>
          <w:rPr>
            <w:noProof/>
            <w:webHidden/>
          </w:rPr>
          <w:fldChar w:fldCharType="separate"/>
        </w:r>
        <w:r>
          <w:rPr>
            <w:noProof/>
            <w:webHidden/>
          </w:rPr>
          <w:t>176</w:t>
        </w:r>
        <w:r>
          <w:rPr>
            <w:noProof/>
            <w:webHidden/>
          </w:rPr>
          <w:fldChar w:fldCharType="end"/>
        </w:r>
      </w:hyperlink>
    </w:p>
    <w:p w14:paraId="2B03C9C1" w14:textId="77777777" w:rsidR="00552AAE" w:rsidRDefault="00552AAE">
      <w:pPr>
        <w:pStyle w:val="TOC2"/>
        <w:rPr>
          <w:rFonts w:asciiTheme="minorHAnsi" w:eastAsiaTheme="minorEastAsia" w:hAnsiTheme="minorHAnsi" w:cstheme="minorBidi"/>
          <w:noProof/>
          <w:sz w:val="22"/>
          <w:szCs w:val="22"/>
          <w:lang w:val="en-US"/>
        </w:rPr>
      </w:pPr>
      <w:hyperlink w:anchor="_Toc193354056" w:history="1">
        <w:r w:rsidRPr="00335FC0">
          <w:rPr>
            <w:rStyle w:val="Hyperlink"/>
            <w:noProof/>
          </w:rPr>
          <w:t>5.41. Glavni finansijski indikatori</w:t>
        </w:r>
        <w:r>
          <w:rPr>
            <w:noProof/>
            <w:webHidden/>
          </w:rPr>
          <w:tab/>
        </w:r>
        <w:r>
          <w:rPr>
            <w:noProof/>
            <w:webHidden/>
          </w:rPr>
          <w:fldChar w:fldCharType="begin"/>
        </w:r>
        <w:r>
          <w:rPr>
            <w:noProof/>
            <w:webHidden/>
          </w:rPr>
          <w:instrText xml:space="preserve"> PAGEREF _Toc193354056 \h </w:instrText>
        </w:r>
        <w:r>
          <w:rPr>
            <w:noProof/>
            <w:webHidden/>
          </w:rPr>
        </w:r>
        <w:r>
          <w:rPr>
            <w:noProof/>
            <w:webHidden/>
          </w:rPr>
          <w:fldChar w:fldCharType="separate"/>
        </w:r>
        <w:r>
          <w:rPr>
            <w:noProof/>
            <w:webHidden/>
          </w:rPr>
          <w:t>177</w:t>
        </w:r>
        <w:r>
          <w:rPr>
            <w:noProof/>
            <w:webHidden/>
          </w:rPr>
          <w:fldChar w:fldCharType="end"/>
        </w:r>
      </w:hyperlink>
    </w:p>
    <w:p w14:paraId="4B5FAD0E" w14:textId="77777777" w:rsidR="00552AAE" w:rsidRDefault="00552AAE">
      <w:pPr>
        <w:pStyle w:val="TOC2"/>
        <w:rPr>
          <w:rFonts w:asciiTheme="minorHAnsi" w:eastAsiaTheme="minorEastAsia" w:hAnsiTheme="minorHAnsi" w:cstheme="minorBidi"/>
          <w:noProof/>
          <w:sz w:val="22"/>
          <w:szCs w:val="22"/>
          <w:lang w:val="en-US"/>
        </w:rPr>
      </w:pPr>
      <w:hyperlink w:anchor="_Toc193354057" w:history="1">
        <w:r w:rsidRPr="00335FC0">
          <w:rPr>
            <w:rStyle w:val="Hyperlink"/>
            <w:noProof/>
          </w:rPr>
          <w:t>5.42. Razmatranje izvora finansiranja</w:t>
        </w:r>
        <w:r>
          <w:rPr>
            <w:noProof/>
            <w:webHidden/>
          </w:rPr>
          <w:tab/>
        </w:r>
        <w:r>
          <w:rPr>
            <w:noProof/>
            <w:webHidden/>
          </w:rPr>
          <w:fldChar w:fldCharType="begin"/>
        </w:r>
        <w:r>
          <w:rPr>
            <w:noProof/>
            <w:webHidden/>
          </w:rPr>
          <w:instrText xml:space="preserve"> PAGEREF _Toc193354057 \h </w:instrText>
        </w:r>
        <w:r>
          <w:rPr>
            <w:noProof/>
            <w:webHidden/>
          </w:rPr>
        </w:r>
        <w:r>
          <w:rPr>
            <w:noProof/>
            <w:webHidden/>
          </w:rPr>
          <w:fldChar w:fldCharType="separate"/>
        </w:r>
        <w:r>
          <w:rPr>
            <w:noProof/>
            <w:webHidden/>
          </w:rPr>
          <w:t>178</w:t>
        </w:r>
        <w:r>
          <w:rPr>
            <w:noProof/>
            <w:webHidden/>
          </w:rPr>
          <w:fldChar w:fldCharType="end"/>
        </w:r>
      </w:hyperlink>
    </w:p>
    <w:p w14:paraId="307ED7EA" w14:textId="77777777" w:rsidR="00552AAE" w:rsidRDefault="00552AAE">
      <w:pPr>
        <w:pStyle w:val="TOC1"/>
        <w:rPr>
          <w:rFonts w:asciiTheme="minorHAnsi" w:eastAsiaTheme="minorEastAsia" w:hAnsiTheme="minorHAnsi" w:cstheme="minorBidi"/>
          <w:b w:val="0"/>
          <w:smallCaps w:val="0"/>
          <w:noProof/>
          <w:sz w:val="22"/>
          <w:szCs w:val="22"/>
          <w:lang w:val="en-US"/>
        </w:rPr>
      </w:pPr>
      <w:hyperlink w:anchor="_Toc193354058" w:history="1">
        <w:r w:rsidRPr="00335FC0">
          <w:rPr>
            <w:rStyle w:val="Hyperlink"/>
            <w:noProof/>
          </w:rPr>
          <w:t>6. Ciljevi upravljanja otpadom</w:t>
        </w:r>
        <w:r>
          <w:rPr>
            <w:noProof/>
            <w:webHidden/>
          </w:rPr>
          <w:tab/>
        </w:r>
        <w:r>
          <w:rPr>
            <w:noProof/>
            <w:webHidden/>
          </w:rPr>
          <w:fldChar w:fldCharType="begin"/>
        </w:r>
        <w:r>
          <w:rPr>
            <w:noProof/>
            <w:webHidden/>
          </w:rPr>
          <w:instrText xml:space="preserve"> PAGEREF _Toc193354058 \h </w:instrText>
        </w:r>
        <w:r>
          <w:rPr>
            <w:noProof/>
            <w:webHidden/>
          </w:rPr>
        </w:r>
        <w:r>
          <w:rPr>
            <w:noProof/>
            <w:webHidden/>
          </w:rPr>
          <w:fldChar w:fldCharType="separate"/>
        </w:r>
        <w:r>
          <w:rPr>
            <w:noProof/>
            <w:webHidden/>
          </w:rPr>
          <w:t>180</w:t>
        </w:r>
        <w:r>
          <w:rPr>
            <w:noProof/>
            <w:webHidden/>
          </w:rPr>
          <w:fldChar w:fldCharType="end"/>
        </w:r>
      </w:hyperlink>
    </w:p>
    <w:p w14:paraId="0D2E0015" w14:textId="77777777" w:rsidR="00552AAE" w:rsidRDefault="00552AAE">
      <w:pPr>
        <w:pStyle w:val="TOC2"/>
        <w:rPr>
          <w:rFonts w:asciiTheme="minorHAnsi" w:eastAsiaTheme="minorEastAsia" w:hAnsiTheme="minorHAnsi" w:cstheme="minorBidi"/>
          <w:noProof/>
          <w:sz w:val="22"/>
          <w:szCs w:val="22"/>
          <w:lang w:val="en-US"/>
        </w:rPr>
      </w:pPr>
      <w:hyperlink w:anchor="_Toc193354059" w:history="1">
        <w:r w:rsidRPr="00335FC0">
          <w:rPr>
            <w:rStyle w:val="Hyperlink"/>
            <w:noProof/>
          </w:rPr>
          <w:t>6.1.  Građevinski otpad i otpad od rušenja - Ciljevi i zadaci</w:t>
        </w:r>
        <w:r>
          <w:rPr>
            <w:noProof/>
            <w:webHidden/>
          </w:rPr>
          <w:tab/>
        </w:r>
        <w:r>
          <w:rPr>
            <w:noProof/>
            <w:webHidden/>
          </w:rPr>
          <w:fldChar w:fldCharType="begin"/>
        </w:r>
        <w:r>
          <w:rPr>
            <w:noProof/>
            <w:webHidden/>
          </w:rPr>
          <w:instrText xml:space="preserve"> PAGEREF _Toc193354059 \h </w:instrText>
        </w:r>
        <w:r>
          <w:rPr>
            <w:noProof/>
            <w:webHidden/>
          </w:rPr>
        </w:r>
        <w:r>
          <w:rPr>
            <w:noProof/>
            <w:webHidden/>
          </w:rPr>
          <w:fldChar w:fldCharType="separate"/>
        </w:r>
        <w:r>
          <w:rPr>
            <w:noProof/>
            <w:webHidden/>
          </w:rPr>
          <w:t>180</w:t>
        </w:r>
        <w:r>
          <w:rPr>
            <w:noProof/>
            <w:webHidden/>
          </w:rPr>
          <w:fldChar w:fldCharType="end"/>
        </w:r>
      </w:hyperlink>
    </w:p>
    <w:p w14:paraId="38C5D176" w14:textId="77777777" w:rsidR="00552AAE" w:rsidRDefault="00552AAE">
      <w:pPr>
        <w:pStyle w:val="TOC2"/>
        <w:rPr>
          <w:rFonts w:asciiTheme="minorHAnsi" w:eastAsiaTheme="minorEastAsia" w:hAnsiTheme="minorHAnsi" w:cstheme="minorBidi"/>
          <w:noProof/>
          <w:sz w:val="22"/>
          <w:szCs w:val="22"/>
          <w:lang w:val="en-US"/>
        </w:rPr>
      </w:pPr>
      <w:hyperlink w:anchor="_Toc193354060" w:history="1">
        <w:r w:rsidRPr="00335FC0">
          <w:rPr>
            <w:rStyle w:val="Hyperlink"/>
            <w:noProof/>
          </w:rPr>
          <w:t>6.2. Otpad od električnih i elektronskih proizvoda - Ciljevi i zadaci</w:t>
        </w:r>
        <w:r>
          <w:rPr>
            <w:noProof/>
            <w:webHidden/>
          </w:rPr>
          <w:tab/>
        </w:r>
        <w:r>
          <w:rPr>
            <w:noProof/>
            <w:webHidden/>
          </w:rPr>
          <w:fldChar w:fldCharType="begin"/>
        </w:r>
        <w:r>
          <w:rPr>
            <w:noProof/>
            <w:webHidden/>
          </w:rPr>
          <w:instrText xml:space="preserve"> PAGEREF _Toc193354060 \h </w:instrText>
        </w:r>
        <w:r>
          <w:rPr>
            <w:noProof/>
            <w:webHidden/>
          </w:rPr>
        </w:r>
        <w:r>
          <w:rPr>
            <w:noProof/>
            <w:webHidden/>
          </w:rPr>
          <w:fldChar w:fldCharType="separate"/>
        </w:r>
        <w:r>
          <w:rPr>
            <w:noProof/>
            <w:webHidden/>
          </w:rPr>
          <w:t>182</w:t>
        </w:r>
        <w:r>
          <w:rPr>
            <w:noProof/>
            <w:webHidden/>
          </w:rPr>
          <w:fldChar w:fldCharType="end"/>
        </w:r>
      </w:hyperlink>
    </w:p>
    <w:p w14:paraId="18017FAD" w14:textId="77777777" w:rsidR="00552AAE" w:rsidRDefault="00552AAE">
      <w:pPr>
        <w:pStyle w:val="TOC2"/>
        <w:rPr>
          <w:rFonts w:asciiTheme="minorHAnsi" w:eastAsiaTheme="minorEastAsia" w:hAnsiTheme="minorHAnsi" w:cstheme="minorBidi"/>
          <w:noProof/>
          <w:sz w:val="22"/>
          <w:szCs w:val="22"/>
          <w:lang w:val="en-US"/>
        </w:rPr>
      </w:pPr>
      <w:hyperlink w:anchor="_Toc193354061" w:history="1">
        <w:r w:rsidRPr="00335FC0">
          <w:rPr>
            <w:rStyle w:val="Hyperlink"/>
            <w:noProof/>
          </w:rPr>
          <w:t>6.3. Otpadna vozila - Ciljevi i zadaci</w:t>
        </w:r>
        <w:r>
          <w:rPr>
            <w:noProof/>
            <w:webHidden/>
          </w:rPr>
          <w:tab/>
        </w:r>
        <w:r>
          <w:rPr>
            <w:noProof/>
            <w:webHidden/>
          </w:rPr>
          <w:fldChar w:fldCharType="begin"/>
        </w:r>
        <w:r>
          <w:rPr>
            <w:noProof/>
            <w:webHidden/>
          </w:rPr>
          <w:instrText xml:space="preserve"> PAGEREF _Toc193354061 \h </w:instrText>
        </w:r>
        <w:r>
          <w:rPr>
            <w:noProof/>
            <w:webHidden/>
          </w:rPr>
        </w:r>
        <w:r>
          <w:rPr>
            <w:noProof/>
            <w:webHidden/>
          </w:rPr>
          <w:fldChar w:fldCharType="separate"/>
        </w:r>
        <w:r>
          <w:rPr>
            <w:noProof/>
            <w:webHidden/>
          </w:rPr>
          <w:t>185</w:t>
        </w:r>
        <w:r>
          <w:rPr>
            <w:noProof/>
            <w:webHidden/>
          </w:rPr>
          <w:fldChar w:fldCharType="end"/>
        </w:r>
      </w:hyperlink>
    </w:p>
    <w:p w14:paraId="0C8BC13B" w14:textId="77777777" w:rsidR="00552AAE" w:rsidRDefault="00552AAE">
      <w:pPr>
        <w:pStyle w:val="TOC2"/>
        <w:rPr>
          <w:rFonts w:asciiTheme="minorHAnsi" w:eastAsiaTheme="minorEastAsia" w:hAnsiTheme="minorHAnsi" w:cstheme="minorBidi"/>
          <w:noProof/>
          <w:sz w:val="22"/>
          <w:szCs w:val="22"/>
          <w:lang w:val="en-US"/>
        </w:rPr>
      </w:pPr>
      <w:hyperlink w:anchor="_Toc193354062" w:history="1">
        <w:r w:rsidRPr="00335FC0">
          <w:rPr>
            <w:rStyle w:val="Hyperlink"/>
            <w:bCs/>
            <w:noProof/>
          </w:rPr>
          <w:t>6.4. Otpadne baterije</w:t>
        </w:r>
        <w:r w:rsidRPr="00335FC0">
          <w:rPr>
            <w:rStyle w:val="Hyperlink"/>
            <w:noProof/>
          </w:rPr>
          <w:t xml:space="preserve"> i akumulatori - Ciljevi i zadaci</w:t>
        </w:r>
        <w:r>
          <w:rPr>
            <w:noProof/>
            <w:webHidden/>
          </w:rPr>
          <w:tab/>
        </w:r>
        <w:r>
          <w:rPr>
            <w:noProof/>
            <w:webHidden/>
          </w:rPr>
          <w:fldChar w:fldCharType="begin"/>
        </w:r>
        <w:r>
          <w:rPr>
            <w:noProof/>
            <w:webHidden/>
          </w:rPr>
          <w:instrText xml:space="preserve"> PAGEREF _Toc193354062 \h </w:instrText>
        </w:r>
        <w:r>
          <w:rPr>
            <w:noProof/>
            <w:webHidden/>
          </w:rPr>
        </w:r>
        <w:r>
          <w:rPr>
            <w:noProof/>
            <w:webHidden/>
          </w:rPr>
          <w:fldChar w:fldCharType="separate"/>
        </w:r>
        <w:r>
          <w:rPr>
            <w:noProof/>
            <w:webHidden/>
          </w:rPr>
          <w:t>186</w:t>
        </w:r>
        <w:r>
          <w:rPr>
            <w:noProof/>
            <w:webHidden/>
          </w:rPr>
          <w:fldChar w:fldCharType="end"/>
        </w:r>
      </w:hyperlink>
    </w:p>
    <w:p w14:paraId="68809C71" w14:textId="77777777" w:rsidR="00552AAE" w:rsidRDefault="00552AAE">
      <w:pPr>
        <w:pStyle w:val="TOC2"/>
        <w:rPr>
          <w:rFonts w:asciiTheme="minorHAnsi" w:eastAsiaTheme="minorEastAsia" w:hAnsiTheme="minorHAnsi" w:cstheme="minorBidi"/>
          <w:noProof/>
          <w:sz w:val="22"/>
          <w:szCs w:val="22"/>
          <w:lang w:val="en-US"/>
        </w:rPr>
      </w:pPr>
      <w:hyperlink w:anchor="_Toc193354063" w:history="1">
        <w:r w:rsidRPr="00335FC0">
          <w:rPr>
            <w:rStyle w:val="Hyperlink"/>
            <w:noProof/>
          </w:rPr>
          <w:t>6.5. Otpadne gume - Ciljevi i zadaci</w:t>
        </w:r>
        <w:r>
          <w:rPr>
            <w:noProof/>
            <w:webHidden/>
          </w:rPr>
          <w:tab/>
        </w:r>
        <w:r>
          <w:rPr>
            <w:noProof/>
            <w:webHidden/>
          </w:rPr>
          <w:fldChar w:fldCharType="begin"/>
        </w:r>
        <w:r>
          <w:rPr>
            <w:noProof/>
            <w:webHidden/>
          </w:rPr>
          <w:instrText xml:space="preserve"> PAGEREF _Toc193354063 \h </w:instrText>
        </w:r>
        <w:r>
          <w:rPr>
            <w:noProof/>
            <w:webHidden/>
          </w:rPr>
        </w:r>
        <w:r>
          <w:rPr>
            <w:noProof/>
            <w:webHidden/>
          </w:rPr>
          <w:fldChar w:fldCharType="separate"/>
        </w:r>
        <w:r>
          <w:rPr>
            <w:noProof/>
            <w:webHidden/>
          </w:rPr>
          <w:t>187</w:t>
        </w:r>
        <w:r>
          <w:rPr>
            <w:noProof/>
            <w:webHidden/>
          </w:rPr>
          <w:fldChar w:fldCharType="end"/>
        </w:r>
      </w:hyperlink>
    </w:p>
    <w:p w14:paraId="28FE9B1B" w14:textId="77777777" w:rsidR="00552AAE" w:rsidRDefault="00552AAE">
      <w:pPr>
        <w:pStyle w:val="TOC2"/>
        <w:rPr>
          <w:rFonts w:asciiTheme="minorHAnsi" w:eastAsiaTheme="minorEastAsia" w:hAnsiTheme="minorHAnsi" w:cstheme="minorBidi"/>
          <w:noProof/>
          <w:sz w:val="22"/>
          <w:szCs w:val="22"/>
          <w:lang w:val="en-US"/>
        </w:rPr>
      </w:pPr>
      <w:hyperlink w:anchor="_Toc193354064" w:history="1">
        <w:r w:rsidRPr="00335FC0">
          <w:rPr>
            <w:rStyle w:val="Hyperlink"/>
            <w:noProof/>
          </w:rPr>
          <w:t>6.6. Otpadna ulja - Ciljevi i zadaci</w:t>
        </w:r>
        <w:r>
          <w:rPr>
            <w:noProof/>
            <w:webHidden/>
          </w:rPr>
          <w:tab/>
        </w:r>
        <w:r>
          <w:rPr>
            <w:noProof/>
            <w:webHidden/>
          </w:rPr>
          <w:fldChar w:fldCharType="begin"/>
        </w:r>
        <w:r>
          <w:rPr>
            <w:noProof/>
            <w:webHidden/>
          </w:rPr>
          <w:instrText xml:space="preserve"> PAGEREF _Toc193354064 \h </w:instrText>
        </w:r>
        <w:r>
          <w:rPr>
            <w:noProof/>
            <w:webHidden/>
          </w:rPr>
        </w:r>
        <w:r>
          <w:rPr>
            <w:noProof/>
            <w:webHidden/>
          </w:rPr>
          <w:fldChar w:fldCharType="separate"/>
        </w:r>
        <w:r>
          <w:rPr>
            <w:noProof/>
            <w:webHidden/>
          </w:rPr>
          <w:t>188</w:t>
        </w:r>
        <w:r>
          <w:rPr>
            <w:noProof/>
            <w:webHidden/>
          </w:rPr>
          <w:fldChar w:fldCharType="end"/>
        </w:r>
      </w:hyperlink>
    </w:p>
    <w:p w14:paraId="4A911E8B" w14:textId="77777777" w:rsidR="00552AAE" w:rsidRDefault="00552AAE">
      <w:pPr>
        <w:pStyle w:val="TOC2"/>
        <w:rPr>
          <w:rFonts w:asciiTheme="minorHAnsi" w:eastAsiaTheme="minorEastAsia" w:hAnsiTheme="minorHAnsi" w:cstheme="minorBidi"/>
          <w:noProof/>
          <w:sz w:val="22"/>
          <w:szCs w:val="22"/>
          <w:lang w:val="en-US"/>
        </w:rPr>
      </w:pPr>
      <w:hyperlink w:anchor="_Toc193354065" w:history="1">
        <w:r w:rsidRPr="00335FC0">
          <w:rPr>
            <w:rStyle w:val="Hyperlink"/>
            <w:noProof/>
          </w:rPr>
          <w:t>6.7. Poljoprivredni otpad - Ciljevi i zadaci</w:t>
        </w:r>
        <w:r>
          <w:rPr>
            <w:noProof/>
            <w:webHidden/>
          </w:rPr>
          <w:tab/>
        </w:r>
        <w:r>
          <w:rPr>
            <w:noProof/>
            <w:webHidden/>
          </w:rPr>
          <w:fldChar w:fldCharType="begin"/>
        </w:r>
        <w:r>
          <w:rPr>
            <w:noProof/>
            <w:webHidden/>
          </w:rPr>
          <w:instrText xml:space="preserve"> PAGEREF _Toc193354065 \h </w:instrText>
        </w:r>
        <w:r>
          <w:rPr>
            <w:noProof/>
            <w:webHidden/>
          </w:rPr>
        </w:r>
        <w:r>
          <w:rPr>
            <w:noProof/>
            <w:webHidden/>
          </w:rPr>
          <w:fldChar w:fldCharType="separate"/>
        </w:r>
        <w:r>
          <w:rPr>
            <w:noProof/>
            <w:webHidden/>
          </w:rPr>
          <w:t>189</w:t>
        </w:r>
        <w:r>
          <w:rPr>
            <w:noProof/>
            <w:webHidden/>
          </w:rPr>
          <w:fldChar w:fldCharType="end"/>
        </w:r>
      </w:hyperlink>
    </w:p>
    <w:p w14:paraId="3C4D9C21" w14:textId="77777777" w:rsidR="00552AAE" w:rsidRDefault="00552AAE">
      <w:pPr>
        <w:pStyle w:val="TOC2"/>
        <w:rPr>
          <w:rFonts w:asciiTheme="minorHAnsi" w:eastAsiaTheme="minorEastAsia" w:hAnsiTheme="minorHAnsi" w:cstheme="minorBidi"/>
          <w:noProof/>
          <w:sz w:val="22"/>
          <w:szCs w:val="22"/>
          <w:lang w:val="en-US"/>
        </w:rPr>
      </w:pPr>
      <w:hyperlink w:anchor="_Toc193354066" w:history="1">
        <w:r w:rsidRPr="00335FC0">
          <w:rPr>
            <w:rStyle w:val="Hyperlink"/>
            <w:noProof/>
          </w:rPr>
          <w:t>6.8. Kanalizacioni mulj - Ciljevi i zadaci</w:t>
        </w:r>
        <w:r>
          <w:rPr>
            <w:noProof/>
            <w:webHidden/>
          </w:rPr>
          <w:tab/>
        </w:r>
        <w:r>
          <w:rPr>
            <w:noProof/>
            <w:webHidden/>
          </w:rPr>
          <w:fldChar w:fldCharType="begin"/>
        </w:r>
        <w:r>
          <w:rPr>
            <w:noProof/>
            <w:webHidden/>
          </w:rPr>
          <w:instrText xml:space="preserve"> PAGEREF _Toc193354066 \h </w:instrText>
        </w:r>
        <w:r>
          <w:rPr>
            <w:noProof/>
            <w:webHidden/>
          </w:rPr>
        </w:r>
        <w:r>
          <w:rPr>
            <w:noProof/>
            <w:webHidden/>
          </w:rPr>
          <w:fldChar w:fldCharType="separate"/>
        </w:r>
        <w:r>
          <w:rPr>
            <w:noProof/>
            <w:webHidden/>
          </w:rPr>
          <w:t>190</w:t>
        </w:r>
        <w:r>
          <w:rPr>
            <w:noProof/>
            <w:webHidden/>
          </w:rPr>
          <w:fldChar w:fldCharType="end"/>
        </w:r>
      </w:hyperlink>
    </w:p>
    <w:p w14:paraId="086B6B78" w14:textId="77777777" w:rsidR="00552AAE" w:rsidRDefault="00552AAE">
      <w:pPr>
        <w:pStyle w:val="TOC3"/>
        <w:rPr>
          <w:rFonts w:asciiTheme="minorHAnsi" w:eastAsiaTheme="minorEastAsia" w:hAnsiTheme="minorHAnsi" w:cstheme="minorBidi"/>
          <w:i w:val="0"/>
          <w:noProof/>
          <w:sz w:val="22"/>
          <w:szCs w:val="22"/>
          <w:lang w:val="en-US"/>
        </w:rPr>
      </w:pPr>
      <w:hyperlink w:anchor="_Toc193354067" w:history="1">
        <w:r w:rsidRPr="00335FC0">
          <w:rPr>
            <w:rStyle w:val="Hyperlink"/>
            <w:noProof/>
            <w:lang w:val="sq-AL"/>
          </w:rPr>
          <w:t>6.8.1. Tehnologija</w:t>
        </w:r>
        <w:r w:rsidRPr="00335FC0">
          <w:rPr>
            <w:rStyle w:val="Hyperlink"/>
            <w:noProof/>
            <w:spacing w:val="-12"/>
            <w:lang w:val="sq-AL"/>
          </w:rPr>
          <w:t xml:space="preserve"> </w:t>
        </w:r>
        <w:r w:rsidRPr="00335FC0">
          <w:rPr>
            <w:rStyle w:val="Hyperlink"/>
            <w:noProof/>
            <w:lang w:val="sq-AL"/>
          </w:rPr>
          <w:t>obrade</w:t>
        </w:r>
        <w:r w:rsidRPr="00335FC0">
          <w:rPr>
            <w:rStyle w:val="Hyperlink"/>
            <w:noProof/>
            <w:spacing w:val="-9"/>
            <w:lang w:val="sq-AL"/>
          </w:rPr>
          <w:t xml:space="preserve"> </w:t>
        </w:r>
        <w:r w:rsidRPr="00335FC0">
          <w:rPr>
            <w:rStyle w:val="Hyperlink"/>
            <w:noProof/>
            <w:spacing w:val="-2"/>
            <w:lang w:val="sq-AL"/>
          </w:rPr>
          <w:t>mulja</w:t>
        </w:r>
        <w:r>
          <w:rPr>
            <w:noProof/>
            <w:webHidden/>
          </w:rPr>
          <w:tab/>
        </w:r>
        <w:r>
          <w:rPr>
            <w:noProof/>
            <w:webHidden/>
          </w:rPr>
          <w:fldChar w:fldCharType="begin"/>
        </w:r>
        <w:r>
          <w:rPr>
            <w:noProof/>
            <w:webHidden/>
          </w:rPr>
          <w:instrText xml:space="preserve"> PAGEREF _Toc193354067 \h </w:instrText>
        </w:r>
        <w:r>
          <w:rPr>
            <w:noProof/>
            <w:webHidden/>
          </w:rPr>
        </w:r>
        <w:r>
          <w:rPr>
            <w:noProof/>
            <w:webHidden/>
          </w:rPr>
          <w:fldChar w:fldCharType="separate"/>
        </w:r>
        <w:r>
          <w:rPr>
            <w:noProof/>
            <w:webHidden/>
          </w:rPr>
          <w:t>191</w:t>
        </w:r>
        <w:r>
          <w:rPr>
            <w:noProof/>
            <w:webHidden/>
          </w:rPr>
          <w:fldChar w:fldCharType="end"/>
        </w:r>
      </w:hyperlink>
    </w:p>
    <w:p w14:paraId="1C068707" w14:textId="77777777" w:rsidR="00552AAE" w:rsidRDefault="00552AAE">
      <w:pPr>
        <w:pStyle w:val="TOC3"/>
        <w:rPr>
          <w:rFonts w:asciiTheme="minorHAnsi" w:eastAsiaTheme="minorEastAsia" w:hAnsiTheme="minorHAnsi" w:cstheme="minorBidi"/>
          <w:i w:val="0"/>
          <w:noProof/>
          <w:sz w:val="22"/>
          <w:szCs w:val="22"/>
          <w:lang w:val="en-US"/>
        </w:rPr>
      </w:pPr>
      <w:hyperlink w:anchor="_Toc193354068" w:history="1">
        <w:r w:rsidRPr="00335FC0">
          <w:rPr>
            <w:rStyle w:val="Hyperlink"/>
            <w:noProof/>
            <w:lang w:val="hr-HR"/>
          </w:rPr>
          <w:t>6.8.2. Primjena mulja</w:t>
        </w:r>
        <w:r>
          <w:rPr>
            <w:noProof/>
            <w:webHidden/>
          </w:rPr>
          <w:tab/>
        </w:r>
        <w:r>
          <w:rPr>
            <w:noProof/>
            <w:webHidden/>
          </w:rPr>
          <w:fldChar w:fldCharType="begin"/>
        </w:r>
        <w:r>
          <w:rPr>
            <w:noProof/>
            <w:webHidden/>
          </w:rPr>
          <w:instrText xml:space="preserve"> PAGEREF _Toc193354068 \h </w:instrText>
        </w:r>
        <w:r>
          <w:rPr>
            <w:noProof/>
            <w:webHidden/>
          </w:rPr>
        </w:r>
        <w:r>
          <w:rPr>
            <w:noProof/>
            <w:webHidden/>
          </w:rPr>
          <w:fldChar w:fldCharType="separate"/>
        </w:r>
        <w:r>
          <w:rPr>
            <w:noProof/>
            <w:webHidden/>
          </w:rPr>
          <w:t>194</w:t>
        </w:r>
        <w:r>
          <w:rPr>
            <w:noProof/>
            <w:webHidden/>
          </w:rPr>
          <w:fldChar w:fldCharType="end"/>
        </w:r>
      </w:hyperlink>
    </w:p>
    <w:p w14:paraId="4176E65E" w14:textId="77777777" w:rsidR="00552AAE" w:rsidRDefault="00552AAE">
      <w:pPr>
        <w:pStyle w:val="TOC2"/>
        <w:rPr>
          <w:rFonts w:asciiTheme="minorHAnsi" w:eastAsiaTheme="minorEastAsia" w:hAnsiTheme="minorHAnsi" w:cstheme="minorBidi"/>
          <w:noProof/>
          <w:sz w:val="22"/>
          <w:szCs w:val="22"/>
          <w:lang w:val="en-US"/>
        </w:rPr>
      </w:pPr>
      <w:hyperlink w:anchor="_Toc193354069" w:history="1">
        <w:r w:rsidRPr="00335FC0">
          <w:rPr>
            <w:rStyle w:val="Hyperlink"/>
            <w:noProof/>
          </w:rPr>
          <w:t>6.9. Medicinski i veterinarski otpad - Ciljevi i zadaci</w:t>
        </w:r>
        <w:r>
          <w:rPr>
            <w:noProof/>
            <w:webHidden/>
          </w:rPr>
          <w:tab/>
        </w:r>
        <w:r>
          <w:rPr>
            <w:noProof/>
            <w:webHidden/>
          </w:rPr>
          <w:fldChar w:fldCharType="begin"/>
        </w:r>
        <w:r>
          <w:rPr>
            <w:noProof/>
            <w:webHidden/>
          </w:rPr>
          <w:instrText xml:space="preserve"> PAGEREF _Toc193354069 \h </w:instrText>
        </w:r>
        <w:r>
          <w:rPr>
            <w:noProof/>
            <w:webHidden/>
          </w:rPr>
        </w:r>
        <w:r>
          <w:rPr>
            <w:noProof/>
            <w:webHidden/>
          </w:rPr>
          <w:fldChar w:fldCharType="separate"/>
        </w:r>
        <w:r>
          <w:rPr>
            <w:noProof/>
            <w:webHidden/>
          </w:rPr>
          <w:t>198</w:t>
        </w:r>
        <w:r>
          <w:rPr>
            <w:noProof/>
            <w:webHidden/>
          </w:rPr>
          <w:fldChar w:fldCharType="end"/>
        </w:r>
      </w:hyperlink>
    </w:p>
    <w:p w14:paraId="0970814A" w14:textId="77777777" w:rsidR="00552AAE" w:rsidRDefault="00552AAE">
      <w:pPr>
        <w:pStyle w:val="TOC2"/>
        <w:rPr>
          <w:rFonts w:asciiTheme="minorHAnsi" w:eastAsiaTheme="minorEastAsia" w:hAnsiTheme="minorHAnsi" w:cstheme="minorBidi"/>
          <w:noProof/>
          <w:sz w:val="22"/>
          <w:szCs w:val="22"/>
          <w:lang w:val="en-US"/>
        </w:rPr>
      </w:pPr>
      <w:hyperlink w:anchor="_Toc193354070" w:history="1">
        <w:r w:rsidRPr="00335FC0">
          <w:rPr>
            <w:rStyle w:val="Hyperlink"/>
            <w:noProof/>
          </w:rPr>
          <w:t>6.10. Industrijski neopasni otpad - Ciljevi i zadaci</w:t>
        </w:r>
        <w:r>
          <w:rPr>
            <w:noProof/>
            <w:webHidden/>
          </w:rPr>
          <w:tab/>
        </w:r>
        <w:r>
          <w:rPr>
            <w:noProof/>
            <w:webHidden/>
          </w:rPr>
          <w:fldChar w:fldCharType="begin"/>
        </w:r>
        <w:r>
          <w:rPr>
            <w:noProof/>
            <w:webHidden/>
          </w:rPr>
          <w:instrText xml:space="preserve"> PAGEREF _Toc193354070 \h </w:instrText>
        </w:r>
        <w:r>
          <w:rPr>
            <w:noProof/>
            <w:webHidden/>
          </w:rPr>
        </w:r>
        <w:r>
          <w:rPr>
            <w:noProof/>
            <w:webHidden/>
          </w:rPr>
          <w:fldChar w:fldCharType="separate"/>
        </w:r>
        <w:r>
          <w:rPr>
            <w:noProof/>
            <w:webHidden/>
          </w:rPr>
          <w:t>198</w:t>
        </w:r>
        <w:r>
          <w:rPr>
            <w:noProof/>
            <w:webHidden/>
          </w:rPr>
          <w:fldChar w:fldCharType="end"/>
        </w:r>
      </w:hyperlink>
    </w:p>
    <w:p w14:paraId="3C1C9EE4" w14:textId="77777777" w:rsidR="00552AAE" w:rsidRDefault="00552AAE">
      <w:pPr>
        <w:pStyle w:val="TOC2"/>
        <w:rPr>
          <w:rFonts w:asciiTheme="minorHAnsi" w:eastAsiaTheme="minorEastAsia" w:hAnsiTheme="minorHAnsi" w:cstheme="minorBidi"/>
          <w:noProof/>
          <w:sz w:val="22"/>
          <w:szCs w:val="22"/>
          <w:lang w:val="en-US"/>
        </w:rPr>
      </w:pPr>
      <w:hyperlink w:anchor="_Toc193354071" w:history="1">
        <w:r w:rsidRPr="00335FC0">
          <w:rPr>
            <w:rStyle w:val="Hyperlink"/>
            <w:noProof/>
          </w:rPr>
          <w:t>6.11. Rudarski otpad</w:t>
        </w:r>
        <w:r>
          <w:rPr>
            <w:noProof/>
            <w:webHidden/>
          </w:rPr>
          <w:tab/>
        </w:r>
        <w:r>
          <w:rPr>
            <w:noProof/>
            <w:webHidden/>
          </w:rPr>
          <w:fldChar w:fldCharType="begin"/>
        </w:r>
        <w:r>
          <w:rPr>
            <w:noProof/>
            <w:webHidden/>
          </w:rPr>
          <w:instrText xml:space="preserve"> PAGEREF _Toc193354071 \h </w:instrText>
        </w:r>
        <w:r>
          <w:rPr>
            <w:noProof/>
            <w:webHidden/>
          </w:rPr>
        </w:r>
        <w:r>
          <w:rPr>
            <w:noProof/>
            <w:webHidden/>
          </w:rPr>
          <w:fldChar w:fldCharType="separate"/>
        </w:r>
        <w:r>
          <w:rPr>
            <w:noProof/>
            <w:webHidden/>
          </w:rPr>
          <w:t>200</w:t>
        </w:r>
        <w:r>
          <w:rPr>
            <w:noProof/>
            <w:webHidden/>
          </w:rPr>
          <w:fldChar w:fldCharType="end"/>
        </w:r>
      </w:hyperlink>
    </w:p>
    <w:p w14:paraId="310874B5" w14:textId="77777777" w:rsidR="00552AAE" w:rsidRDefault="00552AAE">
      <w:pPr>
        <w:pStyle w:val="TOC2"/>
        <w:rPr>
          <w:rFonts w:asciiTheme="minorHAnsi" w:eastAsiaTheme="minorEastAsia" w:hAnsiTheme="minorHAnsi" w:cstheme="minorBidi"/>
          <w:noProof/>
          <w:sz w:val="22"/>
          <w:szCs w:val="22"/>
          <w:lang w:val="en-US"/>
        </w:rPr>
      </w:pPr>
      <w:hyperlink w:anchor="_Toc193354072" w:history="1">
        <w:r w:rsidRPr="00335FC0">
          <w:rPr>
            <w:rStyle w:val="Hyperlink"/>
            <w:noProof/>
          </w:rPr>
          <w:t>6.12. Strategija za opasan otpad - Ciljevi i zadaci</w:t>
        </w:r>
        <w:r>
          <w:rPr>
            <w:noProof/>
            <w:webHidden/>
          </w:rPr>
          <w:tab/>
        </w:r>
        <w:r>
          <w:rPr>
            <w:noProof/>
            <w:webHidden/>
          </w:rPr>
          <w:fldChar w:fldCharType="begin"/>
        </w:r>
        <w:r>
          <w:rPr>
            <w:noProof/>
            <w:webHidden/>
          </w:rPr>
          <w:instrText xml:space="preserve"> PAGEREF _Toc193354072 \h </w:instrText>
        </w:r>
        <w:r>
          <w:rPr>
            <w:noProof/>
            <w:webHidden/>
          </w:rPr>
        </w:r>
        <w:r>
          <w:rPr>
            <w:noProof/>
            <w:webHidden/>
          </w:rPr>
          <w:fldChar w:fldCharType="separate"/>
        </w:r>
        <w:r>
          <w:rPr>
            <w:noProof/>
            <w:webHidden/>
          </w:rPr>
          <w:t>203</w:t>
        </w:r>
        <w:r>
          <w:rPr>
            <w:noProof/>
            <w:webHidden/>
          </w:rPr>
          <w:fldChar w:fldCharType="end"/>
        </w:r>
      </w:hyperlink>
    </w:p>
    <w:p w14:paraId="2C722277" w14:textId="77777777" w:rsidR="00552AAE" w:rsidRDefault="00552AAE">
      <w:pPr>
        <w:pStyle w:val="TOC3"/>
        <w:rPr>
          <w:rFonts w:asciiTheme="minorHAnsi" w:eastAsiaTheme="minorEastAsia" w:hAnsiTheme="minorHAnsi" w:cstheme="minorBidi"/>
          <w:i w:val="0"/>
          <w:noProof/>
          <w:sz w:val="22"/>
          <w:szCs w:val="22"/>
          <w:lang w:val="en-US"/>
        </w:rPr>
      </w:pPr>
      <w:hyperlink w:anchor="_Toc193354073" w:history="1">
        <w:r w:rsidRPr="00335FC0">
          <w:rPr>
            <w:rStyle w:val="Hyperlink"/>
            <w:noProof/>
            <w:lang w:val="sq-AL"/>
          </w:rPr>
          <w:t>6.12.1. Otpad koji sadrži azbest</w:t>
        </w:r>
        <w:r>
          <w:rPr>
            <w:noProof/>
            <w:webHidden/>
          </w:rPr>
          <w:tab/>
        </w:r>
        <w:r>
          <w:rPr>
            <w:noProof/>
            <w:webHidden/>
          </w:rPr>
          <w:fldChar w:fldCharType="begin"/>
        </w:r>
        <w:r>
          <w:rPr>
            <w:noProof/>
            <w:webHidden/>
          </w:rPr>
          <w:instrText xml:space="preserve"> PAGEREF _Toc193354073 \h </w:instrText>
        </w:r>
        <w:r>
          <w:rPr>
            <w:noProof/>
            <w:webHidden/>
          </w:rPr>
        </w:r>
        <w:r>
          <w:rPr>
            <w:noProof/>
            <w:webHidden/>
          </w:rPr>
          <w:fldChar w:fldCharType="separate"/>
        </w:r>
        <w:r>
          <w:rPr>
            <w:noProof/>
            <w:webHidden/>
          </w:rPr>
          <w:t>203</w:t>
        </w:r>
        <w:r>
          <w:rPr>
            <w:noProof/>
            <w:webHidden/>
          </w:rPr>
          <w:fldChar w:fldCharType="end"/>
        </w:r>
      </w:hyperlink>
    </w:p>
    <w:p w14:paraId="31A0F97C" w14:textId="77777777" w:rsidR="00552AAE" w:rsidRDefault="00552AAE">
      <w:pPr>
        <w:pStyle w:val="TOC3"/>
        <w:rPr>
          <w:rFonts w:asciiTheme="minorHAnsi" w:eastAsiaTheme="minorEastAsia" w:hAnsiTheme="minorHAnsi" w:cstheme="minorBidi"/>
          <w:i w:val="0"/>
          <w:noProof/>
          <w:sz w:val="22"/>
          <w:szCs w:val="22"/>
          <w:lang w:val="en-US"/>
        </w:rPr>
      </w:pPr>
      <w:hyperlink w:anchor="_Toc193354074" w:history="1">
        <w:r w:rsidRPr="00335FC0">
          <w:rPr>
            <w:rStyle w:val="Hyperlink"/>
            <w:noProof/>
            <w:lang w:val="en-US"/>
          </w:rPr>
          <w:t>6.12.2. PCB otpad i otpad koji sadrži PCB</w:t>
        </w:r>
        <w:r>
          <w:rPr>
            <w:noProof/>
            <w:webHidden/>
          </w:rPr>
          <w:tab/>
        </w:r>
        <w:r>
          <w:rPr>
            <w:noProof/>
            <w:webHidden/>
          </w:rPr>
          <w:fldChar w:fldCharType="begin"/>
        </w:r>
        <w:r>
          <w:rPr>
            <w:noProof/>
            <w:webHidden/>
          </w:rPr>
          <w:instrText xml:space="preserve"> PAGEREF _Toc193354074 \h </w:instrText>
        </w:r>
        <w:r>
          <w:rPr>
            <w:noProof/>
            <w:webHidden/>
          </w:rPr>
        </w:r>
        <w:r>
          <w:rPr>
            <w:noProof/>
            <w:webHidden/>
          </w:rPr>
          <w:fldChar w:fldCharType="separate"/>
        </w:r>
        <w:r>
          <w:rPr>
            <w:noProof/>
            <w:webHidden/>
          </w:rPr>
          <w:t>205</w:t>
        </w:r>
        <w:r>
          <w:rPr>
            <w:noProof/>
            <w:webHidden/>
          </w:rPr>
          <w:fldChar w:fldCharType="end"/>
        </w:r>
      </w:hyperlink>
    </w:p>
    <w:p w14:paraId="078FE41D" w14:textId="77777777" w:rsidR="00552AAE" w:rsidRDefault="00552AAE">
      <w:pPr>
        <w:pStyle w:val="TOC3"/>
        <w:rPr>
          <w:rFonts w:asciiTheme="minorHAnsi" w:eastAsiaTheme="minorEastAsia" w:hAnsiTheme="minorHAnsi" w:cstheme="minorBidi"/>
          <w:i w:val="0"/>
          <w:noProof/>
          <w:sz w:val="22"/>
          <w:szCs w:val="22"/>
          <w:lang w:val="en-US"/>
        </w:rPr>
      </w:pPr>
      <w:hyperlink w:anchor="_Toc193354075" w:history="1">
        <w:r w:rsidRPr="00335FC0">
          <w:rPr>
            <w:rStyle w:val="Hyperlink"/>
            <w:noProof/>
            <w:lang w:val="sq-AL"/>
          </w:rPr>
          <w:t>6.12.3. POPs Otpad</w:t>
        </w:r>
        <w:r>
          <w:rPr>
            <w:noProof/>
            <w:webHidden/>
          </w:rPr>
          <w:tab/>
        </w:r>
        <w:r>
          <w:rPr>
            <w:noProof/>
            <w:webHidden/>
          </w:rPr>
          <w:fldChar w:fldCharType="begin"/>
        </w:r>
        <w:r>
          <w:rPr>
            <w:noProof/>
            <w:webHidden/>
          </w:rPr>
          <w:instrText xml:space="preserve"> PAGEREF _Toc193354075 \h </w:instrText>
        </w:r>
        <w:r>
          <w:rPr>
            <w:noProof/>
            <w:webHidden/>
          </w:rPr>
        </w:r>
        <w:r>
          <w:rPr>
            <w:noProof/>
            <w:webHidden/>
          </w:rPr>
          <w:fldChar w:fldCharType="separate"/>
        </w:r>
        <w:r>
          <w:rPr>
            <w:noProof/>
            <w:webHidden/>
          </w:rPr>
          <w:t>205</w:t>
        </w:r>
        <w:r>
          <w:rPr>
            <w:noProof/>
            <w:webHidden/>
          </w:rPr>
          <w:fldChar w:fldCharType="end"/>
        </w:r>
      </w:hyperlink>
    </w:p>
    <w:p w14:paraId="362EECC0" w14:textId="77777777" w:rsidR="00552AAE" w:rsidRDefault="00552AAE">
      <w:pPr>
        <w:pStyle w:val="TOC3"/>
        <w:rPr>
          <w:rFonts w:asciiTheme="minorHAnsi" w:eastAsiaTheme="minorEastAsia" w:hAnsiTheme="minorHAnsi" w:cstheme="minorBidi"/>
          <w:i w:val="0"/>
          <w:noProof/>
          <w:sz w:val="22"/>
          <w:szCs w:val="22"/>
          <w:lang w:val="en-US"/>
        </w:rPr>
      </w:pPr>
      <w:hyperlink w:anchor="_Toc193354076" w:history="1">
        <w:r w:rsidRPr="00335FC0">
          <w:rPr>
            <w:rStyle w:val="Hyperlink"/>
            <w:noProof/>
            <w:lang w:val="sq-AL"/>
          </w:rPr>
          <w:t>6.12.4. Otpad koji sadrži živu</w:t>
        </w:r>
        <w:r>
          <w:rPr>
            <w:noProof/>
            <w:webHidden/>
          </w:rPr>
          <w:tab/>
        </w:r>
        <w:r>
          <w:rPr>
            <w:noProof/>
            <w:webHidden/>
          </w:rPr>
          <w:fldChar w:fldCharType="begin"/>
        </w:r>
        <w:r>
          <w:rPr>
            <w:noProof/>
            <w:webHidden/>
          </w:rPr>
          <w:instrText xml:space="preserve"> PAGEREF _Toc193354076 \h </w:instrText>
        </w:r>
        <w:r>
          <w:rPr>
            <w:noProof/>
            <w:webHidden/>
          </w:rPr>
        </w:r>
        <w:r>
          <w:rPr>
            <w:noProof/>
            <w:webHidden/>
          </w:rPr>
          <w:fldChar w:fldCharType="separate"/>
        </w:r>
        <w:r>
          <w:rPr>
            <w:noProof/>
            <w:webHidden/>
          </w:rPr>
          <w:t>205</w:t>
        </w:r>
        <w:r>
          <w:rPr>
            <w:noProof/>
            <w:webHidden/>
          </w:rPr>
          <w:fldChar w:fldCharType="end"/>
        </w:r>
      </w:hyperlink>
    </w:p>
    <w:p w14:paraId="413D4EC7" w14:textId="77777777" w:rsidR="00552AAE" w:rsidRDefault="00552AAE">
      <w:pPr>
        <w:pStyle w:val="TOC2"/>
        <w:rPr>
          <w:rFonts w:asciiTheme="minorHAnsi" w:eastAsiaTheme="minorEastAsia" w:hAnsiTheme="minorHAnsi" w:cstheme="minorBidi"/>
          <w:noProof/>
          <w:sz w:val="22"/>
          <w:szCs w:val="22"/>
          <w:lang w:val="en-US"/>
        </w:rPr>
      </w:pPr>
      <w:hyperlink w:anchor="_Toc193354077" w:history="1">
        <w:r w:rsidRPr="00335FC0">
          <w:rPr>
            <w:rStyle w:val="Hyperlink"/>
            <w:noProof/>
          </w:rPr>
          <w:t>6.13. Sprečavanje stvaranja opasnog otpada</w:t>
        </w:r>
        <w:r>
          <w:rPr>
            <w:noProof/>
            <w:webHidden/>
          </w:rPr>
          <w:tab/>
        </w:r>
        <w:r>
          <w:rPr>
            <w:noProof/>
            <w:webHidden/>
          </w:rPr>
          <w:fldChar w:fldCharType="begin"/>
        </w:r>
        <w:r>
          <w:rPr>
            <w:noProof/>
            <w:webHidden/>
          </w:rPr>
          <w:instrText xml:space="preserve"> PAGEREF _Toc193354077 \h </w:instrText>
        </w:r>
        <w:r>
          <w:rPr>
            <w:noProof/>
            <w:webHidden/>
          </w:rPr>
        </w:r>
        <w:r>
          <w:rPr>
            <w:noProof/>
            <w:webHidden/>
          </w:rPr>
          <w:fldChar w:fldCharType="separate"/>
        </w:r>
        <w:r>
          <w:rPr>
            <w:noProof/>
            <w:webHidden/>
          </w:rPr>
          <w:t>206</w:t>
        </w:r>
        <w:r>
          <w:rPr>
            <w:noProof/>
            <w:webHidden/>
          </w:rPr>
          <w:fldChar w:fldCharType="end"/>
        </w:r>
      </w:hyperlink>
    </w:p>
    <w:p w14:paraId="6803F7A4" w14:textId="77777777" w:rsidR="00552AAE" w:rsidRDefault="00552AAE">
      <w:pPr>
        <w:pStyle w:val="TOC2"/>
        <w:rPr>
          <w:rFonts w:asciiTheme="minorHAnsi" w:eastAsiaTheme="minorEastAsia" w:hAnsiTheme="minorHAnsi" w:cstheme="minorBidi"/>
          <w:noProof/>
          <w:sz w:val="22"/>
          <w:szCs w:val="22"/>
          <w:lang w:val="en-US"/>
        </w:rPr>
      </w:pPr>
      <w:hyperlink w:anchor="_Toc193354078" w:history="1">
        <w:r w:rsidRPr="00335FC0">
          <w:rPr>
            <w:rStyle w:val="Hyperlink"/>
            <w:noProof/>
          </w:rPr>
          <w:t>6.14. Sakupljanje i skladištenje opasnog otpada</w:t>
        </w:r>
        <w:r>
          <w:rPr>
            <w:noProof/>
            <w:webHidden/>
          </w:rPr>
          <w:tab/>
        </w:r>
        <w:r>
          <w:rPr>
            <w:noProof/>
            <w:webHidden/>
          </w:rPr>
          <w:fldChar w:fldCharType="begin"/>
        </w:r>
        <w:r>
          <w:rPr>
            <w:noProof/>
            <w:webHidden/>
          </w:rPr>
          <w:instrText xml:space="preserve"> PAGEREF _Toc193354078 \h </w:instrText>
        </w:r>
        <w:r>
          <w:rPr>
            <w:noProof/>
            <w:webHidden/>
          </w:rPr>
        </w:r>
        <w:r>
          <w:rPr>
            <w:noProof/>
            <w:webHidden/>
          </w:rPr>
          <w:fldChar w:fldCharType="separate"/>
        </w:r>
        <w:r>
          <w:rPr>
            <w:noProof/>
            <w:webHidden/>
          </w:rPr>
          <w:t>206</w:t>
        </w:r>
        <w:r>
          <w:rPr>
            <w:noProof/>
            <w:webHidden/>
          </w:rPr>
          <w:fldChar w:fldCharType="end"/>
        </w:r>
      </w:hyperlink>
    </w:p>
    <w:p w14:paraId="7B403620" w14:textId="77777777" w:rsidR="00552AAE" w:rsidRDefault="00552AAE">
      <w:pPr>
        <w:pStyle w:val="TOC2"/>
        <w:rPr>
          <w:rFonts w:asciiTheme="minorHAnsi" w:eastAsiaTheme="minorEastAsia" w:hAnsiTheme="minorHAnsi" w:cstheme="minorBidi"/>
          <w:noProof/>
          <w:sz w:val="22"/>
          <w:szCs w:val="22"/>
          <w:lang w:val="en-US"/>
        </w:rPr>
      </w:pPr>
      <w:hyperlink w:anchor="_Toc193354079" w:history="1">
        <w:r w:rsidRPr="00335FC0">
          <w:rPr>
            <w:rStyle w:val="Hyperlink"/>
            <w:noProof/>
          </w:rPr>
          <w:t>6.15. Prerada  i odstranjivanje</w:t>
        </w:r>
        <w:r>
          <w:rPr>
            <w:noProof/>
            <w:webHidden/>
          </w:rPr>
          <w:tab/>
        </w:r>
        <w:r>
          <w:rPr>
            <w:noProof/>
            <w:webHidden/>
          </w:rPr>
          <w:fldChar w:fldCharType="begin"/>
        </w:r>
        <w:r>
          <w:rPr>
            <w:noProof/>
            <w:webHidden/>
          </w:rPr>
          <w:instrText xml:space="preserve"> PAGEREF _Toc193354079 \h </w:instrText>
        </w:r>
        <w:r>
          <w:rPr>
            <w:noProof/>
            <w:webHidden/>
          </w:rPr>
        </w:r>
        <w:r>
          <w:rPr>
            <w:noProof/>
            <w:webHidden/>
          </w:rPr>
          <w:fldChar w:fldCharType="separate"/>
        </w:r>
        <w:r>
          <w:rPr>
            <w:noProof/>
            <w:webHidden/>
          </w:rPr>
          <w:t>207</w:t>
        </w:r>
        <w:r>
          <w:rPr>
            <w:noProof/>
            <w:webHidden/>
          </w:rPr>
          <w:fldChar w:fldCharType="end"/>
        </w:r>
      </w:hyperlink>
    </w:p>
    <w:p w14:paraId="69696AE0" w14:textId="77777777" w:rsidR="00552AAE" w:rsidRDefault="00552AAE">
      <w:pPr>
        <w:pStyle w:val="TOC2"/>
        <w:rPr>
          <w:rFonts w:asciiTheme="minorHAnsi" w:eastAsiaTheme="minorEastAsia" w:hAnsiTheme="minorHAnsi" w:cstheme="minorBidi"/>
          <w:noProof/>
          <w:sz w:val="22"/>
          <w:szCs w:val="22"/>
          <w:lang w:val="en-US"/>
        </w:rPr>
      </w:pPr>
      <w:hyperlink w:anchor="_Toc193354080" w:history="1">
        <w:r w:rsidRPr="00335FC0">
          <w:rPr>
            <w:rStyle w:val="Hyperlink"/>
            <w:noProof/>
          </w:rPr>
          <w:t>6.16. Uloge i odgovornosti</w:t>
        </w:r>
        <w:r>
          <w:rPr>
            <w:noProof/>
            <w:webHidden/>
          </w:rPr>
          <w:tab/>
        </w:r>
        <w:r>
          <w:rPr>
            <w:noProof/>
            <w:webHidden/>
          </w:rPr>
          <w:fldChar w:fldCharType="begin"/>
        </w:r>
        <w:r>
          <w:rPr>
            <w:noProof/>
            <w:webHidden/>
          </w:rPr>
          <w:instrText xml:space="preserve"> PAGEREF _Toc193354080 \h </w:instrText>
        </w:r>
        <w:r>
          <w:rPr>
            <w:noProof/>
            <w:webHidden/>
          </w:rPr>
        </w:r>
        <w:r>
          <w:rPr>
            <w:noProof/>
            <w:webHidden/>
          </w:rPr>
          <w:fldChar w:fldCharType="separate"/>
        </w:r>
        <w:r>
          <w:rPr>
            <w:noProof/>
            <w:webHidden/>
          </w:rPr>
          <w:t>209</w:t>
        </w:r>
        <w:r>
          <w:rPr>
            <w:noProof/>
            <w:webHidden/>
          </w:rPr>
          <w:fldChar w:fldCharType="end"/>
        </w:r>
      </w:hyperlink>
    </w:p>
    <w:p w14:paraId="0C35F9F5" w14:textId="77777777" w:rsidR="00552AAE" w:rsidRDefault="00552AAE">
      <w:pPr>
        <w:pStyle w:val="TOC1"/>
        <w:rPr>
          <w:rFonts w:asciiTheme="minorHAnsi" w:eastAsiaTheme="minorEastAsia" w:hAnsiTheme="minorHAnsi" w:cstheme="minorBidi"/>
          <w:b w:val="0"/>
          <w:smallCaps w:val="0"/>
          <w:noProof/>
          <w:sz w:val="22"/>
          <w:szCs w:val="22"/>
          <w:lang w:val="en-US"/>
        </w:rPr>
      </w:pPr>
      <w:hyperlink w:anchor="_Toc193354081" w:history="1">
        <w:r w:rsidRPr="00335FC0">
          <w:rPr>
            <w:rStyle w:val="Hyperlink"/>
            <w:noProof/>
          </w:rPr>
          <w:t>7. Program za sprečavanje nastanka otpada</w:t>
        </w:r>
        <w:r>
          <w:rPr>
            <w:noProof/>
            <w:webHidden/>
          </w:rPr>
          <w:tab/>
        </w:r>
        <w:r>
          <w:rPr>
            <w:noProof/>
            <w:webHidden/>
          </w:rPr>
          <w:fldChar w:fldCharType="begin"/>
        </w:r>
        <w:r>
          <w:rPr>
            <w:noProof/>
            <w:webHidden/>
          </w:rPr>
          <w:instrText xml:space="preserve"> PAGEREF _Toc193354081 \h </w:instrText>
        </w:r>
        <w:r>
          <w:rPr>
            <w:noProof/>
            <w:webHidden/>
          </w:rPr>
        </w:r>
        <w:r>
          <w:rPr>
            <w:noProof/>
            <w:webHidden/>
          </w:rPr>
          <w:fldChar w:fldCharType="separate"/>
        </w:r>
        <w:r>
          <w:rPr>
            <w:noProof/>
            <w:webHidden/>
          </w:rPr>
          <w:t>210</w:t>
        </w:r>
        <w:r>
          <w:rPr>
            <w:noProof/>
            <w:webHidden/>
          </w:rPr>
          <w:fldChar w:fldCharType="end"/>
        </w:r>
      </w:hyperlink>
    </w:p>
    <w:p w14:paraId="0DC2D2AC" w14:textId="77777777" w:rsidR="00552AAE" w:rsidRDefault="00552AAE">
      <w:pPr>
        <w:pStyle w:val="TOC1"/>
        <w:rPr>
          <w:rFonts w:asciiTheme="minorHAnsi" w:eastAsiaTheme="minorEastAsia" w:hAnsiTheme="minorHAnsi" w:cstheme="minorBidi"/>
          <w:b w:val="0"/>
          <w:smallCaps w:val="0"/>
          <w:noProof/>
          <w:sz w:val="22"/>
          <w:szCs w:val="22"/>
          <w:lang w:val="en-US"/>
        </w:rPr>
      </w:pPr>
      <w:hyperlink w:anchor="_Toc193354082" w:history="1">
        <w:r w:rsidRPr="00335FC0">
          <w:rPr>
            <w:rStyle w:val="Hyperlink"/>
            <w:noProof/>
          </w:rPr>
          <w:t>8. Instrumenti za sprovođenje / Akcioni plan</w:t>
        </w:r>
        <w:r>
          <w:rPr>
            <w:noProof/>
            <w:webHidden/>
          </w:rPr>
          <w:tab/>
        </w:r>
        <w:r>
          <w:rPr>
            <w:noProof/>
            <w:webHidden/>
          </w:rPr>
          <w:fldChar w:fldCharType="begin"/>
        </w:r>
        <w:r>
          <w:rPr>
            <w:noProof/>
            <w:webHidden/>
          </w:rPr>
          <w:instrText xml:space="preserve"> PAGEREF _Toc193354082 \h </w:instrText>
        </w:r>
        <w:r>
          <w:rPr>
            <w:noProof/>
            <w:webHidden/>
          </w:rPr>
        </w:r>
        <w:r>
          <w:rPr>
            <w:noProof/>
            <w:webHidden/>
          </w:rPr>
          <w:fldChar w:fldCharType="separate"/>
        </w:r>
        <w:r>
          <w:rPr>
            <w:noProof/>
            <w:webHidden/>
          </w:rPr>
          <w:t>219</w:t>
        </w:r>
        <w:r>
          <w:rPr>
            <w:noProof/>
            <w:webHidden/>
          </w:rPr>
          <w:fldChar w:fldCharType="end"/>
        </w:r>
      </w:hyperlink>
    </w:p>
    <w:p w14:paraId="0618B979" w14:textId="77777777" w:rsidR="00552AAE" w:rsidRDefault="00552AAE">
      <w:pPr>
        <w:pStyle w:val="TOC2"/>
        <w:rPr>
          <w:rFonts w:asciiTheme="minorHAnsi" w:eastAsiaTheme="minorEastAsia" w:hAnsiTheme="minorHAnsi" w:cstheme="minorBidi"/>
          <w:noProof/>
          <w:sz w:val="22"/>
          <w:szCs w:val="22"/>
          <w:lang w:val="en-US"/>
        </w:rPr>
      </w:pPr>
      <w:hyperlink w:anchor="_Toc193354083" w:history="1">
        <w:r w:rsidRPr="00335FC0">
          <w:rPr>
            <w:rStyle w:val="Hyperlink"/>
            <w:noProof/>
          </w:rPr>
          <w:t>8.1.</w:t>
        </w:r>
        <w:r>
          <w:rPr>
            <w:rFonts w:asciiTheme="minorHAnsi" w:eastAsiaTheme="minorEastAsia" w:hAnsiTheme="minorHAnsi" w:cstheme="minorBidi"/>
            <w:noProof/>
            <w:sz w:val="22"/>
            <w:szCs w:val="22"/>
            <w:lang w:val="en-US"/>
          </w:rPr>
          <w:tab/>
        </w:r>
        <w:r w:rsidRPr="00335FC0">
          <w:rPr>
            <w:rStyle w:val="Hyperlink"/>
            <w:noProof/>
          </w:rPr>
          <w:t>SWOT analiza klju</w:t>
        </w:r>
        <w:r w:rsidRPr="00335FC0">
          <w:rPr>
            <w:rStyle w:val="Hyperlink"/>
            <w:noProof/>
            <w:lang w:val="sr-Latn-ME"/>
          </w:rPr>
          <w:t>čnih faktora</w:t>
        </w:r>
        <w:r w:rsidRPr="00335FC0">
          <w:rPr>
            <w:rStyle w:val="Hyperlink"/>
            <w:noProof/>
          </w:rPr>
          <w:t xml:space="preserve"> DPUO Crne Gore</w:t>
        </w:r>
        <w:r>
          <w:rPr>
            <w:noProof/>
            <w:webHidden/>
          </w:rPr>
          <w:tab/>
        </w:r>
        <w:r>
          <w:rPr>
            <w:noProof/>
            <w:webHidden/>
          </w:rPr>
          <w:fldChar w:fldCharType="begin"/>
        </w:r>
        <w:r>
          <w:rPr>
            <w:noProof/>
            <w:webHidden/>
          </w:rPr>
          <w:instrText xml:space="preserve"> PAGEREF _Toc193354083 \h </w:instrText>
        </w:r>
        <w:r>
          <w:rPr>
            <w:noProof/>
            <w:webHidden/>
          </w:rPr>
        </w:r>
        <w:r>
          <w:rPr>
            <w:noProof/>
            <w:webHidden/>
          </w:rPr>
          <w:fldChar w:fldCharType="separate"/>
        </w:r>
        <w:r>
          <w:rPr>
            <w:noProof/>
            <w:webHidden/>
          </w:rPr>
          <w:t>245</w:t>
        </w:r>
        <w:r>
          <w:rPr>
            <w:noProof/>
            <w:webHidden/>
          </w:rPr>
          <w:fldChar w:fldCharType="end"/>
        </w:r>
      </w:hyperlink>
    </w:p>
    <w:p w14:paraId="7D901824" w14:textId="77777777" w:rsidR="00552AAE" w:rsidRDefault="00552AAE">
      <w:pPr>
        <w:pStyle w:val="TOC2"/>
        <w:rPr>
          <w:rFonts w:asciiTheme="minorHAnsi" w:eastAsiaTheme="minorEastAsia" w:hAnsiTheme="minorHAnsi" w:cstheme="minorBidi"/>
          <w:noProof/>
          <w:sz w:val="22"/>
          <w:szCs w:val="22"/>
          <w:lang w:val="en-US"/>
        </w:rPr>
      </w:pPr>
      <w:hyperlink w:anchor="_Toc193354084" w:history="1">
        <w:r w:rsidRPr="00335FC0">
          <w:rPr>
            <w:rStyle w:val="Hyperlink"/>
            <w:noProof/>
          </w:rPr>
          <w:t>8.2.</w:t>
        </w:r>
        <w:r>
          <w:rPr>
            <w:rFonts w:asciiTheme="minorHAnsi" w:eastAsiaTheme="minorEastAsia" w:hAnsiTheme="minorHAnsi" w:cstheme="minorBidi"/>
            <w:noProof/>
            <w:sz w:val="22"/>
            <w:szCs w:val="22"/>
            <w:lang w:val="en-US"/>
          </w:rPr>
          <w:tab/>
        </w:r>
        <w:r w:rsidRPr="00335FC0">
          <w:rPr>
            <w:rStyle w:val="Hyperlink"/>
            <w:noProof/>
          </w:rPr>
          <w:t>Monitoring i evaluacija</w:t>
        </w:r>
        <w:r>
          <w:rPr>
            <w:noProof/>
            <w:webHidden/>
          </w:rPr>
          <w:tab/>
        </w:r>
        <w:r>
          <w:rPr>
            <w:noProof/>
            <w:webHidden/>
          </w:rPr>
          <w:fldChar w:fldCharType="begin"/>
        </w:r>
        <w:r>
          <w:rPr>
            <w:noProof/>
            <w:webHidden/>
          </w:rPr>
          <w:instrText xml:space="preserve"> PAGEREF _Toc193354084 \h </w:instrText>
        </w:r>
        <w:r>
          <w:rPr>
            <w:noProof/>
            <w:webHidden/>
          </w:rPr>
        </w:r>
        <w:r>
          <w:rPr>
            <w:noProof/>
            <w:webHidden/>
          </w:rPr>
          <w:fldChar w:fldCharType="separate"/>
        </w:r>
        <w:r>
          <w:rPr>
            <w:noProof/>
            <w:webHidden/>
          </w:rPr>
          <w:t>257</w:t>
        </w:r>
        <w:r>
          <w:rPr>
            <w:noProof/>
            <w:webHidden/>
          </w:rPr>
          <w:fldChar w:fldCharType="end"/>
        </w:r>
      </w:hyperlink>
    </w:p>
    <w:p w14:paraId="1BFB1E55" w14:textId="77777777" w:rsidR="00552AAE" w:rsidRDefault="00552AAE">
      <w:pPr>
        <w:pStyle w:val="TOC2"/>
        <w:rPr>
          <w:rFonts w:asciiTheme="minorHAnsi" w:eastAsiaTheme="minorEastAsia" w:hAnsiTheme="minorHAnsi" w:cstheme="minorBidi"/>
          <w:noProof/>
          <w:sz w:val="22"/>
          <w:szCs w:val="22"/>
          <w:lang w:val="en-US"/>
        </w:rPr>
      </w:pPr>
      <w:hyperlink w:anchor="_Toc193354085" w:history="1">
        <w:r w:rsidRPr="00335FC0">
          <w:rPr>
            <w:rStyle w:val="Hyperlink"/>
            <w:noProof/>
          </w:rPr>
          <w:t>8.3.</w:t>
        </w:r>
        <w:r>
          <w:rPr>
            <w:rFonts w:asciiTheme="minorHAnsi" w:eastAsiaTheme="minorEastAsia" w:hAnsiTheme="minorHAnsi" w:cstheme="minorBidi"/>
            <w:noProof/>
            <w:sz w:val="22"/>
            <w:szCs w:val="22"/>
            <w:lang w:val="en-US"/>
          </w:rPr>
          <w:tab/>
        </w:r>
        <w:r w:rsidRPr="00335FC0">
          <w:rPr>
            <w:rStyle w:val="Hyperlink"/>
            <w:noProof/>
          </w:rPr>
          <w:t>Preliminarna procjena rizika</w:t>
        </w:r>
        <w:r>
          <w:rPr>
            <w:noProof/>
            <w:webHidden/>
          </w:rPr>
          <w:tab/>
        </w:r>
        <w:r>
          <w:rPr>
            <w:noProof/>
            <w:webHidden/>
          </w:rPr>
          <w:fldChar w:fldCharType="begin"/>
        </w:r>
        <w:r>
          <w:rPr>
            <w:noProof/>
            <w:webHidden/>
          </w:rPr>
          <w:instrText xml:space="preserve"> PAGEREF _Toc193354085 \h </w:instrText>
        </w:r>
        <w:r>
          <w:rPr>
            <w:noProof/>
            <w:webHidden/>
          </w:rPr>
        </w:r>
        <w:r>
          <w:rPr>
            <w:noProof/>
            <w:webHidden/>
          </w:rPr>
          <w:fldChar w:fldCharType="separate"/>
        </w:r>
        <w:r>
          <w:rPr>
            <w:noProof/>
            <w:webHidden/>
          </w:rPr>
          <w:t>257</w:t>
        </w:r>
        <w:r>
          <w:rPr>
            <w:noProof/>
            <w:webHidden/>
          </w:rPr>
          <w:fldChar w:fldCharType="end"/>
        </w:r>
      </w:hyperlink>
    </w:p>
    <w:p w14:paraId="0BC76319" w14:textId="77777777" w:rsidR="00552AAE" w:rsidRDefault="00552AAE">
      <w:pPr>
        <w:pStyle w:val="TOC2"/>
        <w:rPr>
          <w:rFonts w:asciiTheme="minorHAnsi" w:eastAsiaTheme="minorEastAsia" w:hAnsiTheme="minorHAnsi" w:cstheme="minorBidi"/>
          <w:noProof/>
          <w:sz w:val="22"/>
          <w:szCs w:val="22"/>
          <w:lang w:val="en-US"/>
        </w:rPr>
      </w:pPr>
      <w:hyperlink w:anchor="_Toc193354086" w:history="1">
        <w:r w:rsidRPr="00335FC0">
          <w:rPr>
            <w:rStyle w:val="Hyperlink"/>
            <w:noProof/>
          </w:rPr>
          <w:t>8.4.</w:t>
        </w:r>
        <w:r>
          <w:rPr>
            <w:rFonts w:asciiTheme="minorHAnsi" w:eastAsiaTheme="minorEastAsia" w:hAnsiTheme="minorHAnsi" w:cstheme="minorBidi"/>
            <w:noProof/>
            <w:sz w:val="22"/>
            <w:szCs w:val="22"/>
            <w:lang w:val="en-US"/>
          </w:rPr>
          <w:tab/>
        </w:r>
        <w:r w:rsidRPr="00335FC0">
          <w:rPr>
            <w:rStyle w:val="Hyperlink"/>
            <w:noProof/>
          </w:rPr>
          <w:t>Upravljanje podacima i izvještavanje</w:t>
        </w:r>
        <w:r>
          <w:rPr>
            <w:noProof/>
            <w:webHidden/>
          </w:rPr>
          <w:tab/>
        </w:r>
        <w:r>
          <w:rPr>
            <w:noProof/>
            <w:webHidden/>
          </w:rPr>
          <w:fldChar w:fldCharType="begin"/>
        </w:r>
        <w:r>
          <w:rPr>
            <w:noProof/>
            <w:webHidden/>
          </w:rPr>
          <w:instrText xml:space="preserve"> PAGEREF _Toc193354086 \h </w:instrText>
        </w:r>
        <w:r>
          <w:rPr>
            <w:noProof/>
            <w:webHidden/>
          </w:rPr>
        </w:r>
        <w:r>
          <w:rPr>
            <w:noProof/>
            <w:webHidden/>
          </w:rPr>
          <w:fldChar w:fldCharType="separate"/>
        </w:r>
        <w:r>
          <w:rPr>
            <w:noProof/>
            <w:webHidden/>
          </w:rPr>
          <w:t>260</w:t>
        </w:r>
        <w:r>
          <w:rPr>
            <w:noProof/>
            <w:webHidden/>
          </w:rPr>
          <w:fldChar w:fldCharType="end"/>
        </w:r>
      </w:hyperlink>
    </w:p>
    <w:p w14:paraId="7B315CBE" w14:textId="77777777" w:rsidR="00552AAE" w:rsidRDefault="00552AAE">
      <w:pPr>
        <w:pStyle w:val="TOC2"/>
        <w:rPr>
          <w:rFonts w:asciiTheme="minorHAnsi" w:eastAsiaTheme="minorEastAsia" w:hAnsiTheme="minorHAnsi" w:cstheme="minorBidi"/>
          <w:noProof/>
          <w:sz w:val="22"/>
          <w:szCs w:val="22"/>
          <w:lang w:val="en-US"/>
        </w:rPr>
      </w:pPr>
      <w:hyperlink w:anchor="_Toc193354087" w:history="1">
        <w:r w:rsidRPr="00335FC0">
          <w:rPr>
            <w:rStyle w:val="Hyperlink"/>
            <w:noProof/>
          </w:rPr>
          <w:t>8.5.</w:t>
        </w:r>
        <w:r>
          <w:rPr>
            <w:rFonts w:asciiTheme="minorHAnsi" w:eastAsiaTheme="minorEastAsia" w:hAnsiTheme="minorHAnsi" w:cstheme="minorBidi"/>
            <w:noProof/>
            <w:sz w:val="22"/>
            <w:szCs w:val="22"/>
            <w:lang w:val="en-US"/>
          </w:rPr>
          <w:tab/>
        </w:r>
        <w:r w:rsidRPr="00335FC0">
          <w:rPr>
            <w:rStyle w:val="Hyperlink"/>
            <w:noProof/>
          </w:rPr>
          <w:t>Instrumenti za sprovođenje</w:t>
        </w:r>
        <w:r>
          <w:rPr>
            <w:noProof/>
            <w:webHidden/>
          </w:rPr>
          <w:tab/>
        </w:r>
        <w:r>
          <w:rPr>
            <w:noProof/>
            <w:webHidden/>
          </w:rPr>
          <w:fldChar w:fldCharType="begin"/>
        </w:r>
        <w:r>
          <w:rPr>
            <w:noProof/>
            <w:webHidden/>
          </w:rPr>
          <w:instrText xml:space="preserve"> PAGEREF _Toc193354087 \h </w:instrText>
        </w:r>
        <w:r>
          <w:rPr>
            <w:noProof/>
            <w:webHidden/>
          </w:rPr>
        </w:r>
        <w:r>
          <w:rPr>
            <w:noProof/>
            <w:webHidden/>
          </w:rPr>
          <w:fldChar w:fldCharType="separate"/>
        </w:r>
        <w:r>
          <w:rPr>
            <w:noProof/>
            <w:webHidden/>
          </w:rPr>
          <w:t>265</w:t>
        </w:r>
        <w:r>
          <w:rPr>
            <w:noProof/>
            <w:webHidden/>
          </w:rPr>
          <w:fldChar w:fldCharType="end"/>
        </w:r>
      </w:hyperlink>
    </w:p>
    <w:p w14:paraId="2FBFDABD" w14:textId="77777777" w:rsidR="00552AAE" w:rsidRDefault="00552AAE">
      <w:pPr>
        <w:pStyle w:val="TOC2"/>
        <w:rPr>
          <w:rFonts w:asciiTheme="minorHAnsi" w:eastAsiaTheme="minorEastAsia" w:hAnsiTheme="minorHAnsi" w:cstheme="minorBidi"/>
          <w:noProof/>
          <w:sz w:val="22"/>
          <w:szCs w:val="22"/>
          <w:lang w:val="en-US"/>
        </w:rPr>
      </w:pPr>
      <w:hyperlink w:anchor="_Toc193354088" w:history="1">
        <w:r w:rsidRPr="00335FC0">
          <w:rPr>
            <w:rStyle w:val="Hyperlink"/>
            <w:noProof/>
          </w:rPr>
          <w:t>8.6.</w:t>
        </w:r>
        <w:r>
          <w:rPr>
            <w:rFonts w:asciiTheme="minorHAnsi" w:eastAsiaTheme="minorEastAsia" w:hAnsiTheme="minorHAnsi" w:cstheme="minorBidi"/>
            <w:noProof/>
            <w:sz w:val="22"/>
            <w:szCs w:val="22"/>
            <w:lang w:val="en-US"/>
          </w:rPr>
          <w:tab/>
        </w:r>
        <w:r w:rsidRPr="00335FC0">
          <w:rPr>
            <w:rStyle w:val="Hyperlink"/>
            <w:noProof/>
          </w:rPr>
          <w:t>Strateška procjena uticaja na životnu sredinu i javna rasprava</w:t>
        </w:r>
        <w:r>
          <w:rPr>
            <w:noProof/>
            <w:webHidden/>
          </w:rPr>
          <w:tab/>
        </w:r>
        <w:r>
          <w:rPr>
            <w:noProof/>
            <w:webHidden/>
          </w:rPr>
          <w:fldChar w:fldCharType="begin"/>
        </w:r>
        <w:r>
          <w:rPr>
            <w:noProof/>
            <w:webHidden/>
          </w:rPr>
          <w:instrText xml:space="preserve"> PAGEREF _Toc193354088 \h </w:instrText>
        </w:r>
        <w:r>
          <w:rPr>
            <w:noProof/>
            <w:webHidden/>
          </w:rPr>
        </w:r>
        <w:r>
          <w:rPr>
            <w:noProof/>
            <w:webHidden/>
          </w:rPr>
          <w:fldChar w:fldCharType="separate"/>
        </w:r>
        <w:r>
          <w:rPr>
            <w:noProof/>
            <w:webHidden/>
          </w:rPr>
          <w:t>265</w:t>
        </w:r>
        <w:r>
          <w:rPr>
            <w:noProof/>
            <w:webHidden/>
          </w:rPr>
          <w:fldChar w:fldCharType="end"/>
        </w:r>
      </w:hyperlink>
    </w:p>
    <w:p w14:paraId="6E3745EC" w14:textId="77777777" w:rsidR="00552AAE" w:rsidRDefault="00552AAE">
      <w:pPr>
        <w:pStyle w:val="TOC2"/>
        <w:rPr>
          <w:rFonts w:asciiTheme="minorHAnsi" w:eastAsiaTheme="minorEastAsia" w:hAnsiTheme="minorHAnsi" w:cstheme="minorBidi"/>
          <w:noProof/>
          <w:sz w:val="22"/>
          <w:szCs w:val="22"/>
          <w:lang w:val="en-US"/>
        </w:rPr>
      </w:pPr>
      <w:hyperlink w:anchor="_Toc193354089" w:history="1">
        <w:r w:rsidRPr="00335FC0">
          <w:rPr>
            <w:rStyle w:val="Hyperlink"/>
            <w:noProof/>
          </w:rPr>
          <w:t>8.7.</w:t>
        </w:r>
        <w:r>
          <w:rPr>
            <w:rFonts w:asciiTheme="minorHAnsi" w:eastAsiaTheme="minorEastAsia" w:hAnsiTheme="minorHAnsi" w:cstheme="minorBidi"/>
            <w:noProof/>
            <w:sz w:val="22"/>
            <w:szCs w:val="22"/>
            <w:lang w:val="en-US"/>
          </w:rPr>
          <w:tab/>
        </w:r>
        <w:r w:rsidRPr="00335FC0">
          <w:rPr>
            <w:rStyle w:val="Hyperlink"/>
            <w:noProof/>
          </w:rPr>
          <w:t>Institucionalni instrumenti</w:t>
        </w:r>
        <w:r>
          <w:rPr>
            <w:noProof/>
            <w:webHidden/>
          </w:rPr>
          <w:tab/>
        </w:r>
        <w:r>
          <w:rPr>
            <w:noProof/>
            <w:webHidden/>
          </w:rPr>
          <w:fldChar w:fldCharType="begin"/>
        </w:r>
        <w:r>
          <w:rPr>
            <w:noProof/>
            <w:webHidden/>
          </w:rPr>
          <w:instrText xml:space="preserve"> PAGEREF _Toc193354089 \h </w:instrText>
        </w:r>
        <w:r>
          <w:rPr>
            <w:noProof/>
            <w:webHidden/>
          </w:rPr>
        </w:r>
        <w:r>
          <w:rPr>
            <w:noProof/>
            <w:webHidden/>
          </w:rPr>
          <w:fldChar w:fldCharType="separate"/>
        </w:r>
        <w:r>
          <w:rPr>
            <w:noProof/>
            <w:webHidden/>
          </w:rPr>
          <w:t>266</w:t>
        </w:r>
        <w:r>
          <w:rPr>
            <w:noProof/>
            <w:webHidden/>
          </w:rPr>
          <w:fldChar w:fldCharType="end"/>
        </w:r>
      </w:hyperlink>
    </w:p>
    <w:p w14:paraId="59825097" w14:textId="77777777" w:rsidR="00552AAE" w:rsidRDefault="00552AAE">
      <w:pPr>
        <w:pStyle w:val="TOC2"/>
        <w:rPr>
          <w:rFonts w:asciiTheme="minorHAnsi" w:eastAsiaTheme="minorEastAsia" w:hAnsiTheme="minorHAnsi" w:cstheme="minorBidi"/>
          <w:noProof/>
          <w:sz w:val="22"/>
          <w:szCs w:val="22"/>
          <w:lang w:val="en-US"/>
        </w:rPr>
      </w:pPr>
      <w:hyperlink w:anchor="_Toc193354090" w:history="1">
        <w:r w:rsidRPr="00335FC0">
          <w:rPr>
            <w:rStyle w:val="Hyperlink"/>
            <w:noProof/>
          </w:rPr>
          <w:t>8.8.</w:t>
        </w:r>
        <w:r>
          <w:rPr>
            <w:rFonts w:asciiTheme="minorHAnsi" w:eastAsiaTheme="minorEastAsia" w:hAnsiTheme="minorHAnsi" w:cstheme="minorBidi"/>
            <w:noProof/>
            <w:sz w:val="22"/>
            <w:szCs w:val="22"/>
            <w:lang w:val="en-US"/>
          </w:rPr>
          <w:tab/>
        </w:r>
        <w:r w:rsidRPr="00335FC0">
          <w:rPr>
            <w:rStyle w:val="Hyperlink"/>
            <w:noProof/>
          </w:rPr>
          <w:t>Uključivanje javnosti i edukacija o upravljanju otpadom</w:t>
        </w:r>
        <w:r>
          <w:rPr>
            <w:noProof/>
            <w:webHidden/>
          </w:rPr>
          <w:tab/>
        </w:r>
        <w:r>
          <w:rPr>
            <w:noProof/>
            <w:webHidden/>
          </w:rPr>
          <w:fldChar w:fldCharType="begin"/>
        </w:r>
        <w:r>
          <w:rPr>
            <w:noProof/>
            <w:webHidden/>
          </w:rPr>
          <w:instrText xml:space="preserve"> PAGEREF _Toc193354090 \h </w:instrText>
        </w:r>
        <w:r>
          <w:rPr>
            <w:noProof/>
            <w:webHidden/>
          </w:rPr>
        </w:r>
        <w:r>
          <w:rPr>
            <w:noProof/>
            <w:webHidden/>
          </w:rPr>
          <w:fldChar w:fldCharType="separate"/>
        </w:r>
        <w:r>
          <w:rPr>
            <w:noProof/>
            <w:webHidden/>
          </w:rPr>
          <w:t>267</w:t>
        </w:r>
        <w:r>
          <w:rPr>
            <w:noProof/>
            <w:webHidden/>
          </w:rPr>
          <w:fldChar w:fldCharType="end"/>
        </w:r>
      </w:hyperlink>
    </w:p>
    <w:p w14:paraId="775A9362" w14:textId="77777777" w:rsidR="00552AAE" w:rsidRDefault="00552AAE">
      <w:pPr>
        <w:pStyle w:val="TOC2"/>
        <w:rPr>
          <w:rFonts w:asciiTheme="minorHAnsi" w:eastAsiaTheme="minorEastAsia" w:hAnsiTheme="minorHAnsi" w:cstheme="minorBidi"/>
          <w:noProof/>
          <w:sz w:val="22"/>
          <w:szCs w:val="22"/>
          <w:lang w:val="en-US"/>
        </w:rPr>
      </w:pPr>
      <w:hyperlink w:anchor="_Toc193354091" w:history="1">
        <w:r w:rsidRPr="00335FC0">
          <w:rPr>
            <w:rStyle w:val="Hyperlink"/>
            <w:noProof/>
          </w:rPr>
          <w:t>8.9.</w:t>
        </w:r>
        <w:r>
          <w:rPr>
            <w:rFonts w:asciiTheme="minorHAnsi" w:eastAsiaTheme="minorEastAsia" w:hAnsiTheme="minorHAnsi" w:cstheme="minorBidi"/>
            <w:noProof/>
            <w:sz w:val="22"/>
            <w:szCs w:val="22"/>
            <w:lang w:val="en-US"/>
          </w:rPr>
          <w:tab/>
        </w:r>
        <w:r w:rsidRPr="00335FC0">
          <w:rPr>
            <w:rStyle w:val="Hyperlink"/>
            <w:noProof/>
          </w:rPr>
          <w:t>Finansijski i ekonomski instrumenti</w:t>
        </w:r>
        <w:r>
          <w:rPr>
            <w:noProof/>
            <w:webHidden/>
          </w:rPr>
          <w:tab/>
        </w:r>
        <w:r>
          <w:rPr>
            <w:noProof/>
            <w:webHidden/>
          </w:rPr>
          <w:fldChar w:fldCharType="begin"/>
        </w:r>
        <w:r>
          <w:rPr>
            <w:noProof/>
            <w:webHidden/>
          </w:rPr>
          <w:instrText xml:space="preserve"> PAGEREF _Toc193354091 \h </w:instrText>
        </w:r>
        <w:r>
          <w:rPr>
            <w:noProof/>
            <w:webHidden/>
          </w:rPr>
        </w:r>
        <w:r>
          <w:rPr>
            <w:noProof/>
            <w:webHidden/>
          </w:rPr>
          <w:fldChar w:fldCharType="separate"/>
        </w:r>
        <w:r>
          <w:rPr>
            <w:noProof/>
            <w:webHidden/>
          </w:rPr>
          <w:t>269</w:t>
        </w:r>
        <w:r>
          <w:rPr>
            <w:noProof/>
            <w:webHidden/>
          </w:rPr>
          <w:fldChar w:fldCharType="end"/>
        </w:r>
      </w:hyperlink>
    </w:p>
    <w:p w14:paraId="302A8C2B" w14:textId="3BEFBB3F" w:rsidR="00C232D7" w:rsidRPr="002A6F4E" w:rsidRDefault="00C232D7" w:rsidP="00227C2D">
      <w:pPr>
        <w:pStyle w:val="TOC2"/>
        <w:spacing w:line="360" w:lineRule="auto"/>
        <w:ind w:left="0" w:firstLine="0"/>
        <w:jc w:val="both"/>
      </w:pPr>
      <w:r w:rsidRPr="002A6F4E">
        <w:fldChar w:fldCharType="end"/>
      </w:r>
    </w:p>
    <w:p w14:paraId="7827ADB6" w14:textId="596F2C04" w:rsidR="00C232D7" w:rsidRPr="002A6F4E" w:rsidRDefault="00C232D7" w:rsidP="00C232D7">
      <w:pPr>
        <w:rPr>
          <w:rFonts w:ascii="Arial" w:hAnsi="Arial" w:cs="Arial"/>
          <w:lang w:val="sq-AL"/>
        </w:rPr>
      </w:pPr>
    </w:p>
    <w:p w14:paraId="2540065F" w14:textId="77777777" w:rsidR="00C232D7" w:rsidRPr="002A6F4E" w:rsidRDefault="00C232D7" w:rsidP="00227C2D">
      <w:pPr>
        <w:pStyle w:val="TOC2"/>
        <w:spacing w:line="360" w:lineRule="auto"/>
        <w:jc w:val="both"/>
      </w:pPr>
    </w:p>
    <w:p w14:paraId="54A1D5B9" w14:textId="18F88181" w:rsidR="00C232D7" w:rsidRDefault="00C232D7" w:rsidP="00227C2D">
      <w:pPr>
        <w:pStyle w:val="TOC2"/>
        <w:spacing w:line="360" w:lineRule="auto"/>
        <w:ind w:left="0" w:firstLine="0"/>
        <w:jc w:val="both"/>
      </w:pPr>
    </w:p>
    <w:p w14:paraId="4A3B2156" w14:textId="77777777" w:rsidR="00B14F37" w:rsidRDefault="00B14F37" w:rsidP="00B14F37">
      <w:pPr>
        <w:rPr>
          <w:lang w:val="sq-AL"/>
        </w:rPr>
      </w:pPr>
    </w:p>
    <w:p w14:paraId="597AC698" w14:textId="77777777" w:rsidR="00B14F37" w:rsidRDefault="00B14F37" w:rsidP="00B14F37">
      <w:pPr>
        <w:rPr>
          <w:lang w:val="sq-AL"/>
        </w:rPr>
      </w:pPr>
    </w:p>
    <w:p w14:paraId="562193B4" w14:textId="77777777" w:rsidR="00B14F37" w:rsidRDefault="00B14F37" w:rsidP="00B14F37">
      <w:pPr>
        <w:rPr>
          <w:lang w:val="sq-AL"/>
        </w:rPr>
      </w:pPr>
    </w:p>
    <w:p w14:paraId="4B79D471" w14:textId="77777777" w:rsidR="00941BA6" w:rsidRDefault="00941BA6" w:rsidP="00B14F37">
      <w:pPr>
        <w:rPr>
          <w:lang w:val="sq-AL"/>
        </w:rPr>
      </w:pPr>
    </w:p>
    <w:p w14:paraId="790A97DE" w14:textId="77777777" w:rsidR="00B14F37" w:rsidRPr="00B14F37" w:rsidRDefault="00B14F37" w:rsidP="00B14F37">
      <w:pPr>
        <w:rPr>
          <w:lang w:val="sq-AL"/>
        </w:rPr>
      </w:pPr>
    </w:p>
    <w:p w14:paraId="5F90EA27" w14:textId="77777777" w:rsidR="00C232D7" w:rsidRPr="002A6F4E" w:rsidRDefault="00C232D7" w:rsidP="00C232D7">
      <w:pPr>
        <w:spacing w:line="360" w:lineRule="auto"/>
        <w:contextualSpacing/>
        <w:rPr>
          <w:rFonts w:ascii="Arial" w:eastAsia="Times New Roman" w:hAnsi="Arial" w:cs="Arial"/>
          <w:lang w:val="sq-AL"/>
        </w:rPr>
      </w:pPr>
      <w:r w:rsidRPr="002A6F4E">
        <w:rPr>
          <w:rFonts w:ascii="Arial" w:hAnsi="Arial" w:cs="Arial"/>
          <w:b/>
          <w:bCs/>
          <w:color w:val="1F497D"/>
          <w:u w:val="single"/>
          <w:lang w:val="sq-AL"/>
        </w:rPr>
        <w:lastRenderedPageBreak/>
        <w:t>SPISAK SKRAĆENICA</w:t>
      </w:r>
    </w:p>
    <w:p w14:paraId="5573D31A" w14:textId="77777777" w:rsidR="00C232D7" w:rsidRPr="002A6F4E" w:rsidRDefault="00C232D7" w:rsidP="00C232D7">
      <w:pPr>
        <w:spacing w:line="360" w:lineRule="auto"/>
        <w:contextualSpacing/>
        <w:rPr>
          <w:rFonts w:ascii="Arial" w:hAnsi="Arial" w:cs="Arial"/>
          <w:color w:val="000000"/>
          <w:lang w:val="sq-AL"/>
        </w:rPr>
      </w:pPr>
    </w:p>
    <w:tbl>
      <w:tblPr>
        <w:tblW w:w="9893" w:type="dxa"/>
        <w:jc w:val="center"/>
        <w:tblBorders>
          <w:top w:val="single" w:sz="4" w:space="0" w:color="FF9900"/>
          <w:left w:val="single" w:sz="4" w:space="0" w:color="FF9900"/>
          <w:bottom w:val="single" w:sz="4" w:space="0" w:color="FF9900"/>
          <w:right w:val="single" w:sz="4" w:space="0" w:color="FF9900"/>
          <w:insideH w:val="single" w:sz="4" w:space="0" w:color="FF9900"/>
          <w:insideV w:val="single" w:sz="4" w:space="0" w:color="FF9900"/>
        </w:tblBorders>
        <w:tblLook w:val="04A0" w:firstRow="1" w:lastRow="0" w:firstColumn="1" w:lastColumn="0" w:noHBand="0" w:noVBand="1"/>
      </w:tblPr>
      <w:tblGrid>
        <w:gridCol w:w="2109"/>
        <w:gridCol w:w="7784"/>
      </w:tblGrid>
      <w:tr w:rsidR="00C232D7" w:rsidRPr="002A6F4E" w14:paraId="346D53CA" w14:textId="77777777" w:rsidTr="00C232D7">
        <w:trPr>
          <w:trHeight w:val="367"/>
          <w:tblHeader/>
          <w:jc w:val="center"/>
        </w:trPr>
        <w:tc>
          <w:tcPr>
            <w:tcW w:w="2109" w:type="dxa"/>
            <w:tcBorders>
              <w:left w:val="single" w:sz="24" w:space="0" w:color="FF9900"/>
              <w:bottom w:val="single" w:sz="4" w:space="0" w:color="FF9900"/>
            </w:tcBorders>
            <w:shd w:val="clear" w:color="auto" w:fill="333399"/>
            <w:vAlign w:val="center"/>
          </w:tcPr>
          <w:p w14:paraId="57766CBA" w14:textId="77777777" w:rsidR="00C232D7" w:rsidRPr="002A6F4E" w:rsidRDefault="00C232D7" w:rsidP="00C232D7">
            <w:pPr>
              <w:spacing w:line="360" w:lineRule="auto"/>
              <w:ind w:left="-1" w:firstLine="1"/>
              <w:contextualSpacing/>
              <w:rPr>
                <w:rFonts w:ascii="Arial" w:hAnsi="Arial" w:cs="Arial"/>
                <w:b/>
                <w:color w:val="FFFFFF"/>
                <w:lang w:val="sq-AL" w:eastAsia="it-IT"/>
              </w:rPr>
            </w:pPr>
            <w:r w:rsidRPr="002A6F4E">
              <w:rPr>
                <w:rFonts w:ascii="Arial" w:hAnsi="Arial" w:cs="Arial"/>
                <w:b/>
                <w:color w:val="FFFFFF"/>
                <w:lang w:val="sq-AL" w:eastAsia="it-IT"/>
              </w:rPr>
              <w:t>Akronim</w:t>
            </w:r>
          </w:p>
        </w:tc>
        <w:tc>
          <w:tcPr>
            <w:tcW w:w="7784" w:type="dxa"/>
            <w:tcBorders>
              <w:bottom w:val="single" w:sz="4" w:space="0" w:color="FF9900"/>
            </w:tcBorders>
            <w:shd w:val="clear" w:color="auto" w:fill="333399"/>
            <w:vAlign w:val="center"/>
          </w:tcPr>
          <w:p w14:paraId="75360511" w14:textId="77777777" w:rsidR="00C232D7" w:rsidRPr="002A6F4E" w:rsidRDefault="00C232D7" w:rsidP="00C232D7">
            <w:pPr>
              <w:spacing w:line="360" w:lineRule="auto"/>
              <w:ind w:left="-8" w:firstLine="1"/>
              <w:contextualSpacing/>
              <w:rPr>
                <w:rFonts w:ascii="Arial" w:hAnsi="Arial" w:cs="Arial"/>
                <w:b/>
                <w:color w:val="FFFFFF"/>
                <w:lang w:val="sq-AL" w:eastAsia="it-IT"/>
              </w:rPr>
            </w:pPr>
            <w:r w:rsidRPr="002A6F4E">
              <w:rPr>
                <w:rFonts w:ascii="Arial" w:hAnsi="Arial" w:cs="Arial"/>
                <w:b/>
                <w:color w:val="FFFFFF"/>
                <w:lang w:val="sq-AL" w:eastAsia="it-IT"/>
              </w:rPr>
              <w:t>Značenje</w:t>
            </w:r>
          </w:p>
        </w:tc>
      </w:tr>
      <w:tr w:rsidR="00C232D7" w:rsidRPr="002A6F4E" w14:paraId="1855266F"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61343489" w14:textId="77777777" w:rsidR="00C232D7" w:rsidRPr="002A6F4E" w:rsidRDefault="00C232D7" w:rsidP="00C232D7">
            <w:pPr>
              <w:spacing w:line="360" w:lineRule="auto"/>
              <w:ind w:left="-1" w:firstLine="1"/>
              <w:contextualSpacing/>
              <w:rPr>
                <w:rFonts w:ascii="Arial" w:hAnsi="Arial" w:cs="Arial"/>
                <w:b/>
                <w:bCs/>
                <w:lang w:val="sq-AL"/>
              </w:rPr>
            </w:pPr>
            <w:r w:rsidRPr="002A6F4E">
              <w:rPr>
                <w:rFonts w:ascii="Arial" w:hAnsi="Arial" w:cs="Arial"/>
                <w:b/>
                <w:bCs/>
                <w:lang w:val="sq-AL"/>
              </w:rPr>
              <w:t>ACM</w:t>
            </w:r>
          </w:p>
        </w:tc>
        <w:tc>
          <w:tcPr>
            <w:tcW w:w="7784" w:type="dxa"/>
            <w:tcBorders>
              <w:top w:val="dotted" w:sz="4" w:space="0" w:color="FF9900"/>
              <w:bottom w:val="dotted" w:sz="4" w:space="0" w:color="FF9900"/>
            </w:tcBorders>
            <w:vAlign w:val="center"/>
          </w:tcPr>
          <w:p w14:paraId="2AD068E7"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Materijali koji sadrže azbest</w:t>
            </w:r>
          </w:p>
        </w:tc>
      </w:tr>
      <w:tr w:rsidR="00C232D7" w:rsidRPr="002A6F4E" w14:paraId="33CB25DB"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15B032DD"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BAT</w:t>
            </w:r>
          </w:p>
        </w:tc>
        <w:tc>
          <w:tcPr>
            <w:tcW w:w="7784" w:type="dxa"/>
            <w:tcBorders>
              <w:top w:val="dotted" w:sz="4" w:space="0" w:color="FF9900"/>
              <w:bottom w:val="dotted" w:sz="4" w:space="0" w:color="FF9900"/>
            </w:tcBorders>
          </w:tcPr>
          <w:p w14:paraId="239C0727"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rPr>
              <w:t>Najbolja raspoloživa tehnika</w:t>
            </w:r>
          </w:p>
        </w:tc>
      </w:tr>
      <w:tr w:rsidR="00C232D7" w:rsidRPr="002A6F4E" w14:paraId="06582DFD"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13780F5D" w14:textId="77777777" w:rsidR="00C232D7" w:rsidRPr="002A6F4E" w:rsidRDefault="00C232D7" w:rsidP="00C232D7">
            <w:pPr>
              <w:spacing w:line="360" w:lineRule="auto"/>
              <w:ind w:left="-1" w:firstLine="1"/>
              <w:contextualSpacing/>
              <w:rPr>
                <w:rFonts w:ascii="Arial" w:hAnsi="Arial" w:cs="Arial"/>
                <w:b/>
                <w:bCs/>
                <w:lang w:val="sq-AL"/>
              </w:rPr>
            </w:pPr>
            <w:r w:rsidRPr="002A6F4E">
              <w:rPr>
                <w:rFonts w:ascii="Arial" w:hAnsi="Arial" w:cs="Arial"/>
                <w:b/>
                <w:bCs/>
                <w:lang w:val="sq-AL"/>
              </w:rPr>
              <w:t>BMW</w:t>
            </w:r>
          </w:p>
        </w:tc>
        <w:tc>
          <w:tcPr>
            <w:tcW w:w="7784" w:type="dxa"/>
            <w:tcBorders>
              <w:top w:val="dotted" w:sz="4" w:space="0" w:color="FF9900"/>
              <w:bottom w:val="dotted" w:sz="4" w:space="0" w:color="FF9900"/>
            </w:tcBorders>
          </w:tcPr>
          <w:p w14:paraId="7FF21D3A"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rPr>
              <w:t>Biorazgradivi komunalni otpad</w:t>
            </w:r>
          </w:p>
        </w:tc>
      </w:tr>
      <w:tr w:rsidR="00C232D7" w:rsidRPr="002A6F4E" w14:paraId="048217C2"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7FE8F662"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rPr>
              <w:t>CA</w:t>
            </w:r>
          </w:p>
        </w:tc>
        <w:tc>
          <w:tcPr>
            <w:tcW w:w="7784" w:type="dxa"/>
            <w:tcBorders>
              <w:top w:val="dotted" w:sz="4" w:space="0" w:color="FF9900"/>
              <w:bottom w:val="dotted" w:sz="4" w:space="0" w:color="FF9900"/>
            </w:tcBorders>
            <w:vAlign w:val="center"/>
          </w:tcPr>
          <w:p w14:paraId="274105A3"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Fonts w:ascii="Arial" w:hAnsi="Arial" w:cs="Arial"/>
              </w:rPr>
              <w:t>Ugovorno tijelo</w:t>
            </w:r>
          </w:p>
        </w:tc>
      </w:tr>
      <w:tr w:rsidR="00C232D7" w:rsidRPr="002A6F4E" w14:paraId="7DDB630F"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0DD62347"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CSO</w:t>
            </w:r>
          </w:p>
        </w:tc>
        <w:tc>
          <w:tcPr>
            <w:tcW w:w="7784" w:type="dxa"/>
            <w:tcBorders>
              <w:top w:val="dotted" w:sz="4" w:space="0" w:color="FF9900"/>
              <w:bottom w:val="dotted" w:sz="4" w:space="0" w:color="FF9900"/>
            </w:tcBorders>
            <w:vAlign w:val="center"/>
          </w:tcPr>
          <w:p w14:paraId="6B141E4D"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Centar za sakupljanje otpada</w:t>
            </w:r>
          </w:p>
        </w:tc>
      </w:tr>
      <w:tr w:rsidR="00C232D7" w:rsidRPr="002A6F4E" w14:paraId="0B08A0DF"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647436A6" w14:textId="77777777" w:rsidR="00C232D7" w:rsidRPr="002A6F4E" w:rsidRDefault="00C232D7" w:rsidP="00C232D7">
            <w:pPr>
              <w:spacing w:line="360" w:lineRule="auto"/>
              <w:contextualSpacing/>
              <w:rPr>
                <w:rFonts w:ascii="Arial" w:hAnsi="Arial" w:cs="Arial"/>
                <w:b/>
                <w:lang w:val="sq-AL"/>
              </w:rPr>
            </w:pPr>
            <w:r w:rsidRPr="002A6F4E">
              <w:rPr>
                <w:rFonts w:ascii="Arial" w:hAnsi="Arial" w:cs="Arial"/>
                <w:b/>
                <w:lang w:val="sq-AL"/>
              </w:rPr>
              <w:t>LSO</w:t>
            </w:r>
          </w:p>
        </w:tc>
        <w:tc>
          <w:tcPr>
            <w:tcW w:w="7784" w:type="dxa"/>
            <w:tcBorders>
              <w:top w:val="dotted" w:sz="4" w:space="0" w:color="FF9900"/>
              <w:bottom w:val="dotted" w:sz="4" w:space="0" w:color="FF9900"/>
            </w:tcBorders>
            <w:vAlign w:val="center"/>
          </w:tcPr>
          <w:p w14:paraId="5961766A"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Lokacija za sakupljanje otpada</w:t>
            </w:r>
          </w:p>
        </w:tc>
      </w:tr>
      <w:tr w:rsidR="00C232D7" w:rsidRPr="002A6F4E" w14:paraId="483808FB"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65102EC0" w14:textId="77777777" w:rsidR="00C232D7" w:rsidRPr="002A6F4E" w:rsidRDefault="00C232D7" w:rsidP="00C232D7">
            <w:pPr>
              <w:spacing w:line="360" w:lineRule="auto"/>
              <w:ind w:left="-1" w:firstLine="1"/>
              <w:contextualSpacing/>
              <w:rPr>
                <w:rFonts w:ascii="Arial" w:hAnsi="Arial" w:cs="Arial"/>
                <w:b/>
                <w:bCs/>
                <w:lang w:val="sq-AL"/>
              </w:rPr>
            </w:pPr>
            <w:r w:rsidRPr="002A6F4E">
              <w:rPr>
                <w:rFonts w:ascii="Arial" w:hAnsi="Arial" w:cs="Arial"/>
                <w:b/>
                <w:bCs/>
                <w:lang w:val="sq-AL"/>
              </w:rPr>
              <w:t>CDW</w:t>
            </w:r>
          </w:p>
        </w:tc>
        <w:tc>
          <w:tcPr>
            <w:tcW w:w="7784" w:type="dxa"/>
            <w:tcBorders>
              <w:top w:val="dotted" w:sz="4" w:space="0" w:color="FF9900"/>
              <w:bottom w:val="dotted" w:sz="4" w:space="0" w:color="FF9900"/>
            </w:tcBorders>
            <w:vAlign w:val="center"/>
          </w:tcPr>
          <w:p w14:paraId="38DE6E3E"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 xml:space="preserve">Građevinski otpad </w:t>
            </w:r>
          </w:p>
        </w:tc>
      </w:tr>
      <w:tr w:rsidR="00C232D7" w:rsidRPr="002A6F4E" w14:paraId="2D5CB860"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28BD5176"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rPr>
              <w:t>CE</w:t>
            </w:r>
          </w:p>
        </w:tc>
        <w:tc>
          <w:tcPr>
            <w:tcW w:w="7784" w:type="dxa"/>
            <w:tcBorders>
              <w:top w:val="dotted" w:sz="4" w:space="0" w:color="FF9900"/>
              <w:bottom w:val="dotted" w:sz="4" w:space="0" w:color="FF9900"/>
            </w:tcBorders>
            <w:vAlign w:val="center"/>
          </w:tcPr>
          <w:p w14:paraId="01EAF243" w14:textId="2CE3B984" w:rsidR="00C232D7" w:rsidRPr="002A6F4E" w:rsidRDefault="00C232D7" w:rsidP="00C232D7">
            <w:pPr>
              <w:spacing w:line="360" w:lineRule="auto"/>
              <w:ind w:left="-8" w:firstLine="1"/>
              <w:contextualSpacing/>
              <w:rPr>
                <w:rStyle w:val="st"/>
                <w:rFonts w:ascii="Arial" w:hAnsi="Arial" w:cs="Arial"/>
                <w:lang w:val="sq-AL"/>
              </w:rPr>
            </w:pPr>
            <w:r w:rsidRPr="002A6F4E">
              <w:rPr>
                <w:rFonts w:ascii="Arial" w:hAnsi="Arial" w:cs="Arial"/>
                <w:lang w:val="sq-AL"/>
              </w:rPr>
              <w:t>Cir</w:t>
            </w:r>
            <w:r w:rsidR="005C4142">
              <w:rPr>
                <w:rFonts w:ascii="Arial" w:hAnsi="Arial" w:cs="Arial"/>
                <w:lang w:val="sq-AL"/>
              </w:rPr>
              <w:t>k</w:t>
            </w:r>
            <w:r w:rsidRPr="002A6F4E">
              <w:rPr>
                <w:rFonts w:ascii="Arial" w:hAnsi="Arial" w:cs="Arial"/>
                <w:lang w:val="sq-AL"/>
              </w:rPr>
              <w:t>ularna ekonomija</w:t>
            </w:r>
          </w:p>
        </w:tc>
      </w:tr>
      <w:tr w:rsidR="00C232D7" w:rsidRPr="002A6F4E" w14:paraId="15AE7FCB"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591A1205"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CEAP</w:t>
            </w:r>
          </w:p>
        </w:tc>
        <w:tc>
          <w:tcPr>
            <w:tcW w:w="7784" w:type="dxa"/>
            <w:tcBorders>
              <w:top w:val="dotted" w:sz="4" w:space="0" w:color="FF9900"/>
              <w:bottom w:val="dotted" w:sz="4" w:space="0" w:color="FF9900"/>
            </w:tcBorders>
            <w:vAlign w:val="center"/>
          </w:tcPr>
          <w:p w14:paraId="58321DCF"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Akcioni plan cirkularne ekonomije</w:t>
            </w:r>
          </w:p>
        </w:tc>
      </w:tr>
      <w:tr w:rsidR="00C232D7" w:rsidRPr="00552AAE" w14:paraId="519A6412"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6269504E"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rPr>
              <w:t>CFCU</w:t>
            </w:r>
          </w:p>
        </w:tc>
        <w:tc>
          <w:tcPr>
            <w:tcW w:w="7784" w:type="dxa"/>
            <w:tcBorders>
              <w:top w:val="dotted" w:sz="4" w:space="0" w:color="FF9900"/>
              <w:bottom w:val="dotted" w:sz="4" w:space="0" w:color="FF9900"/>
            </w:tcBorders>
            <w:vAlign w:val="center"/>
          </w:tcPr>
          <w:p w14:paraId="7D3ABE10" w14:textId="77777777" w:rsidR="00C232D7" w:rsidRPr="002A6F4E" w:rsidRDefault="00C232D7" w:rsidP="00C232D7">
            <w:pPr>
              <w:pStyle w:val="TableText"/>
              <w:spacing w:line="360" w:lineRule="auto"/>
              <w:jc w:val="both"/>
              <w:rPr>
                <w:rStyle w:val="st"/>
                <w:rFonts w:cs="Arial"/>
                <w:sz w:val="20"/>
                <w:szCs w:val="20"/>
                <w:lang w:val="sq-AL"/>
              </w:rPr>
            </w:pPr>
            <w:r w:rsidRPr="002A6F4E">
              <w:rPr>
                <w:rFonts w:cs="Arial"/>
                <w:sz w:val="20"/>
                <w:szCs w:val="20"/>
                <w:lang w:val="sq-AL"/>
              </w:rPr>
              <w:t>Direktorat za finansiranje i ugovaranje sredstava EU pomoći  (Ugovorno tijelo)</w:t>
            </w:r>
          </w:p>
        </w:tc>
      </w:tr>
      <w:tr w:rsidR="00C232D7" w:rsidRPr="002A6F4E" w14:paraId="5A8DAC13"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2AFDF4E9"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CPUO</w:t>
            </w:r>
          </w:p>
        </w:tc>
        <w:tc>
          <w:tcPr>
            <w:tcW w:w="7784" w:type="dxa"/>
            <w:tcBorders>
              <w:top w:val="dotted" w:sz="4" w:space="0" w:color="FF9900"/>
              <w:bottom w:val="dotted" w:sz="4" w:space="0" w:color="FF9900"/>
            </w:tcBorders>
            <w:vAlign w:val="center"/>
          </w:tcPr>
          <w:p w14:paraId="6BA95779"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Centralno postrojenje za upravljanje otpadom</w:t>
            </w:r>
          </w:p>
        </w:tc>
      </w:tr>
      <w:tr w:rsidR="00C232D7" w:rsidRPr="002A6F4E" w14:paraId="29D3F110"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080F3D22"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rPr>
              <w:t>EK</w:t>
            </w:r>
          </w:p>
        </w:tc>
        <w:tc>
          <w:tcPr>
            <w:tcW w:w="7784" w:type="dxa"/>
            <w:tcBorders>
              <w:top w:val="dotted" w:sz="4" w:space="0" w:color="FF9900"/>
              <w:bottom w:val="dotted" w:sz="4" w:space="0" w:color="FF9900"/>
            </w:tcBorders>
          </w:tcPr>
          <w:p w14:paraId="4BA8E7DD"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Fonts w:ascii="Arial" w:hAnsi="Arial" w:cs="Arial"/>
                <w:lang w:val="sq-AL"/>
              </w:rPr>
              <w:t>Evropska komisija</w:t>
            </w:r>
          </w:p>
        </w:tc>
      </w:tr>
      <w:tr w:rsidR="00C232D7" w:rsidRPr="002A6F4E" w14:paraId="4993F0F0"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42D3BC3E"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rPr>
              <w:t>EIA</w:t>
            </w:r>
          </w:p>
        </w:tc>
        <w:tc>
          <w:tcPr>
            <w:tcW w:w="7784" w:type="dxa"/>
            <w:tcBorders>
              <w:top w:val="dotted" w:sz="4" w:space="0" w:color="FF9900"/>
              <w:bottom w:val="dotted" w:sz="4" w:space="0" w:color="FF9900"/>
            </w:tcBorders>
          </w:tcPr>
          <w:p w14:paraId="4FE970A9"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Fonts w:ascii="Arial" w:hAnsi="Arial" w:cs="Arial"/>
                <w:lang w:val="sq-AL"/>
              </w:rPr>
              <w:t>Procjena uticaja na životnu sredinu</w:t>
            </w:r>
          </w:p>
        </w:tc>
      </w:tr>
      <w:tr w:rsidR="00C232D7" w:rsidRPr="002A6F4E" w14:paraId="56C1D319"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4B8F1675"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ELVs</w:t>
            </w:r>
          </w:p>
        </w:tc>
        <w:tc>
          <w:tcPr>
            <w:tcW w:w="7784" w:type="dxa"/>
            <w:tcBorders>
              <w:top w:val="dotted" w:sz="4" w:space="0" w:color="FF9900"/>
              <w:bottom w:val="dotted" w:sz="4" w:space="0" w:color="FF9900"/>
            </w:tcBorders>
          </w:tcPr>
          <w:p w14:paraId="4B5D563A"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Otpadna vozila</w:t>
            </w:r>
          </w:p>
        </w:tc>
      </w:tr>
      <w:tr w:rsidR="00C232D7" w:rsidRPr="00552AAE" w14:paraId="3181CBBA"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64CC52BA" w14:textId="77777777" w:rsidR="00C232D7" w:rsidRPr="002A6F4E" w:rsidRDefault="00C232D7" w:rsidP="00C232D7">
            <w:pPr>
              <w:spacing w:line="360" w:lineRule="auto"/>
              <w:contextualSpacing/>
              <w:rPr>
                <w:rFonts w:ascii="Arial" w:hAnsi="Arial" w:cs="Arial"/>
                <w:b/>
                <w:lang w:val="sq-AL" w:eastAsia="it-IT"/>
              </w:rPr>
            </w:pPr>
            <w:r w:rsidRPr="002A6F4E">
              <w:rPr>
                <w:rFonts w:ascii="Arial" w:hAnsi="Arial" w:cs="Arial"/>
                <w:b/>
                <w:lang w:val="sq-AL"/>
              </w:rPr>
              <w:t>AZŽS</w:t>
            </w:r>
          </w:p>
        </w:tc>
        <w:tc>
          <w:tcPr>
            <w:tcW w:w="7784" w:type="dxa"/>
            <w:tcBorders>
              <w:top w:val="dotted" w:sz="4" w:space="0" w:color="FF9900"/>
              <w:bottom w:val="dotted" w:sz="4" w:space="0" w:color="FF9900"/>
            </w:tcBorders>
          </w:tcPr>
          <w:p w14:paraId="0D8E91F3"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Fonts w:ascii="Arial" w:hAnsi="Arial" w:cs="Arial"/>
                <w:lang w:val="sq-AL"/>
              </w:rPr>
              <w:t>Agencija za zaštitu životne sredine</w:t>
            </w:r>
          </w:p>
        </w:tc>
      </w:tr>
      <w:tr w:rsidR="00C232D7" w:rsidRPr="002A6F4E" w14:paraId="08100C02"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5B717E1A" w14:textId="4A9B826D" w:rsidR="00C232D7" w:rsidRPr="002A6F4E" w:rsidRDefault="001F7452" w:rsidP="00C232D7">
            <w:pPr>
              <w:spacing w:line="360" w:lineRule="auto"/>
              <w:ind w:left="-1" w:firstLine="1"/>
              <w:contextualSpacing/>
              <w:rPr>
                <w:rFonts w:ascii="Arial" w:hAnsi="Arial" w:cs="Arial"/>
                <w:b/>
                <w:lang w:val="sq-AL"/>
              </w:rPr>
            </w:pPr>
            <w:r>
              <w:rPr>
                <w:rFonts w:ascii="Arial" w:hAnsi="Arial" w:cs="Arial"/>
                <w:b/>
                <w:lang w:val="sq-AL"/>
              </w:rPr>
              <w:t>EPR</w:t>
            </w:r>
          </w:p>
        </w:tc>
        <w:tc>
          <w:tcPr>
            <w:tcW w:w="7784" w:type="dxa"/>
            <w:tcBorders>
              <w:top w:val="dotted" w:sz="4" w:space="0" w:color="FF9900"/>
              <w:bottom w:val="dotted" w:sz="4" w:space="0" w:color="FF9900"/>
            </w:tcBorders>
          </w:tcPr>
          <w:p w14:paraId="2BFF9BFD"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Proširena odgovornost proizvođača</w:t>
            </w:r>
          </w:p>
        </w:tc>
      </w:tr>
      <w:tr w:rsidR="00C232D7" w:rsidRPr="002A6F4E" w14:paraId="588F671A"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6AA96D0F"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rPr>
              <w:t xml:space="preserve">EU </w:t>
            </w:r>
          </w:p>
        </w:tc>
        <w:tc>
          <w:tcPr>
            <w:tcW w:w="7784" w:type="dxa"/>
            <w:tcBorders>
              <w:top w:val="dotted" w:sz="4" w:space="0" w:color="FF9900"/>
              <w:bottom w:val="dotted" w:sz="4" w:space="0" w:color="FF9900"/>
            </w:tcBorders>
          </w:tcPr>
          <w:p w14:paraId="00C9CB78"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Fonts w:ascii="Arial" w:hAnsi="Arial" w:cs="Arial"/>
                <w:lang w:val="sq-AL"/>
              </w:rPr>
              <w:t>Evropska unija</w:t>
            </w:r>
          </w:p>
        </w:tc>
      </w:tr>
      <w:tr w:rsidR="00C232D7" w:rsidRPr="002A6F4E" w14:paraId="223730F8"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1D9D755A" w14:textId="77777777" w:rsidR="00C232D7" w:rsidRPr="002A6F4E" w:rsidRDefault="00C232D7" w:rsidP="00C232D7">
            <w:pPr>
              <w:spacing w:line="360" w:lineRule="auto"/>
              <w:ind w:left="-1" w:firstLine="1"/>
              <w:contextualSpacing/>
              <w:rPr>
                <w:rFonts w:ascii="Arial" w:hAnsi="Arial" w:cs="Arial"/>
                <w:b/>
                <w:bCs/>
                <w:lang w:val="sq-AL"/>
              </w:rPr>
            </w:pPr>
            <w:r w:rsidRPr="002A6F4E">
              <w:rPr>
                <w:rFonts w:ascii="Arial" w:hAnsi="Arial" w:cs="Arial"/>
                <w:b/>
                <w:bCs/>
                <w:lang w:val="sq-AL"/>
              </w:rPr>
              <w:t>EVK</w:t>
            </w:r>
          </w:p>
        </w:tc>
        <w:tc>
          <w:tcPr>
            <w:tcW w:w="7784" w:type="dxa"/>
            <w:tcBorders>
              <w:top w:val="dotted" w:sz="4" w:space="0" w:color="FF9900"/>
              <w:bottom w:val="dotted" w:sz="4" w:space="0" w:color="FF9900"/>
            </w:tcBorders>
          </w:tcPr>
          <w:p w14:paraId="3CABB478"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Evropski katalog otpada</w:t>
            </w:r>
          </w:p>
        </w:tc>
      </w:tr>
      <w:tr w:rsidR="00C232D7" w:rsidRPr="002A6F4E" w14:paraId="3BEDABDB"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3A5E579C" w14:textId="77777777" w:rsidR="00C232D7" w:rsidRPr="002A6F4E" w:rsidRDefault="00C232D7" w:rsidP="00C232D7">
            <w:pPr>
              <w:spacing w:line="360" w:lineRule="auto"/>
              <w:ind w:left="-1" w:firstLine="1"/>
              <w:contextualSpacing/>
              <w:rPr>
                <w:rFonts w:ascii="Arial" w:hAnsi="Arial" w:cs="Arial"/>
                <w:b/>
                <w:bCs/>
                <w:lang w:val="sq-AL"/>
              </w:rPr>
            </w:pPr>
            <w:r w:rsidRPr="002A6F4E">
              <w:rPr>
                <w:rFonts w:ascii="Arial" w:hAnsi="Arial" w:cs="Arial"/>
                <w:b/>
                <w:bCs/>
                <w:lang w:val="sq-AL"/>
              </w:rPr>
              <w:t>FM</w:t>
            </w:r>
          </w:p>
        </w:tc>
        <w:tc>
          <w:tcPr>
            <w:tcW w:w="7784" w:type="dxa"/>
            <w:tcBorders>
              <w:top w:val="dotted" w:sz="4" w:space="0" w:color="FF9900"/>
              <w:bottom w:val="dotted" w:sz="4" w:space="0" w:color="FF9900"/>
            </w:tcBorders>
          </w:tcPr>
          <w:p w14:paraId="5053DA61"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Finansijske mjere</w:t>
            </w:r>
          </w:p>
        </w:tc>
      </w:tr>
      <w:tr w:rsidR="00C232D7" w:rsidRPr="002A6F4E" w14:paraId="586402A1"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27E6CAA0"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H&amp;S</w:t>
            </w:r>
          </w:p>
        </w:tc>
        <w:tc>
          <w:tcPr>
            <w:tcW w:w="7784" w:type="dxa"/>
            <w:tcBorders>
              <w:top w:val="dotted" w:sz="4" w:space="0" w:color="FF9900"/>
              <w:bottom w:val="dotted" w:sz="4" w:space="0" w:color="FF9900"/>
            </w:tcBorders>
          </w:tcPr>
          <w:p w14:paraId="5BF81C56"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Zdravlje i bezbjednost</w:t>
            </w:r>
          </w:p>
        </w:tc>
      </w:tr>
      <w:tr w:rsidR="00C232D7" w:rsidRPr="002A6F4E" w14:paraId="1B2F0628"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0FC5D034"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TDPE</w:t>
            </w:r>
          </w:p>
        </w:tc>
        <w:tc>
          <w:tcPr>
            <w:tcW w:w="7784" w:type="dxa"/>
            <w:tcBorders>
              <w:top w:val="dotted" w:sz="4" w:space="0" w:color="FF9900"/>
              <w:bottom w:val="dotted" w:sz="4" w:space="0" w:color="FF9900"/>
            </w:tcBorders>
          </w:tcPr>
          <w:p w14:paraId="32D11C14"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bidi="ar-AE"/>
              </w:rPr>
              <w:t>Termička dezintegracije i proizvodnja energije</w:t>
            </w:r>
          </w:p>
        </w:tc>
      </w:tr>
      <w:tr w:rsidR="00C232D7" w:rsidRPr="002A6F4E" w14:paraId="4182D00B"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760BECAB"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IM</w:t>
            </w:r>
          </w:p>
        </w:tc>
        <w:tc>
          <w:tcPr>
            <w:tcW w:w="7784" w:type="dxa"/>
            <w:tcBorders>
              <w:top w:val="dotted" w:sz="4" w:space="0" w:color="FF9900"/>
              <w:bottom w:val="dotted" w:sz="4" w:space="0" w:color="FF9900"/>
            </w:tcBorders>
          </w:tcPr>
          <w:p w14:paraId="4283488B" w14:textId="77777777" w:rsidR="00C232D7" w:rsidRPr="002A6F4E" w:rsidRDefault="00C232D7" w:rsidP="00C232D7">
            <w:pPr>
              <w:spacing w:line="360" w:lineRule="auto"/>
              <w:ind w:left="-1" w:firstLine="1"/>
              <w:contextualSpacing/>
              <w:rPr>
                <w:rFonts w:ascii="Arial" w:hAnsi="Arial" w:cs="Arial"/>
                <w:bCs/>
                <w:lang w:val="sq-AL"/>
              </w:rPr>
            </w:pPr>
            <w:r w:rsidRPr="002A6F4E">
              <w:rPr>
                <w:rFonts w:ascii="Arial" w:hAnsi="Arial" w:cs="Arial"/>
                <w:lang w:val="sq-AL"/>
              </w:rPr>
              <w:t>Infrastrukturne mjere</w:t>
            </w:r>
          </w:p>
        </w:tc>
      </w:tr>
      <w:tr w:rsidR="00C232D7" w:rsidRPr="002A6F4E" w14:paraId="71064A3F"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5273FDC7"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IPA</w:t>
            </w:r>
          </w:p>
        </w:tc>
        <w:tc>
          <w:tcPr>
            <w:tcW w:w="7784" w:type="dxa"/>
            <w:tcBorders>
              <w:top w:val="dotted" w:sz="4" w:space="0" w:color="FF9900"/>
              <w:bottom w:val="dotted" w:sz="4" w:space="0" w:color="FF9900"/>
            </w:tcBorders>
          </w:tcPr>
          <w:p w14:paraId="46DB9595"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Instrument za pretpristupanje</w:t>
            </w:r>
          </w:p>
        </w:tc>
      </w:tr>
      <w:tr w:rsidR="00C232D7" w:rsidRPr="002A6F4E" w14:paraId="5FA1A98A"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195B39EA" w14:textId="77777777" w:rsidR="00C232D7" w:rsidRPr="002A6F4E" w:rsidRDefault="00C232D7" w:rsidP="00C232D7">
            <w:pPr>
              <w:spacing w:line="360" w:lineRule="auto"/>
              <w:contextualSpacing/>
              <w:rPr>
                <w:rFonts w:ascii="Arial" w:hAnsi="Arial" w:cs="Arial"/>
                <w:b/>
                <w:bCs/>
                <w:lang w:val="sq-AL"/>
              </w:rPr>
            </w:pPr>
            <w:r w:rsidRPr="002A6F4E">
              <w:rPr>
                <w:rFonts w:ascii="Arial" w:hAnsi="Arial" w:cs="Arial"/>
                <w:b/>
                <w:bCs/>
                <w:lang w:val="sq-AL"/>
              </w:rPr>
              <w:t>RCUO</w:t>
            </w:r>
          </w:p>
        </w:tc>
        <w:tc>
          <w:tcPr>
            <w:tcW w:w="7784" w:type="dxa"/>
            <w:tcBorders>
              <w:top w:val="dotted" w:sz="4" w:space="0" w:color="FF9900"/>
              <w:bottom w:val="dotted" w:sz="4" w:space="0" w:color="FF9900"/>
            </w:tcBorders>
          </w:tcPr>
          <w:p w14:paraId="5BC9968E"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Regionalni centar upravljanja otpadom</w:t>
            </w:r>
          </w:p>
        </w:tc>
      </w:tr>
      <w:tr w:rsidR="00C232D7" w:rsidRPr="002A6F4E" w14:paraId="38F7CC1A"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57F1F8CF" w14:textId="77777777" w:rsidR="00C232D7" w:rsidRPr="002A6F4E" w:rsidRDefault="00C232D7" w:rsidP="00C232D7">
            <w:pPr>
              <w:spacing w:line="360" w:lineRule="auto"/>
              <w:ind w:left="-1" w:firstLine="1"/>
              <w:contextualSpacing/>
              <w:rPr>
                <w:rFonts w:ascii="Arial" w:hAnsi="Arial" w:cs="Arial"/>
                <w:b/>
                <w:bCs/>
                <w:lang w:val="sq-AL"/>
              </w:rPr>
            </w:pPr>
            <w:r w:rsidRPr="002A6F4E">
              <w:rPr>
                <w:rFonts w:ascii="Arial" w:hAnsi="Arial" w:cs="Arial"/>
                <w:b/>
                <w:bCs/>
                <w:lang w:val="sq-AL"/>
              </w:rPr>
              <w:t>ISUO</w:t>
            </w:r>
          </w:p>
        </w:tc>
        <w:tc>
          <w:tcPr>
            <w:tcW w:w="7784" w:type="dxa"/>
            <w:tcBorders>
              <w:top w:val="dotted" w:sz="4" w:space="0" w:color="FF9900"/>
              <w:bottom w:val="dotted" w:sz="4" w:space="0" w:color="FF9900"/>
            </w:tcBorders>
            <w:vAlign w:val="center"/>
          </w:tcPr>
          <w:p w14:paraId="78E309B1"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Integrisani sistem upravljanja otpadom</w:t>
            </w:r>
          </w:p>
        </w:tc>
      </w:tr>
      <w:tr w:rsidR="00C232D7" w:rsidRPr="002A6F4E" w14:paraId="59FCE8A2"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155DE494" w14:textId="77777777" w:rsidR="00C232D7" w:rsidRPr="002A6F4E" w:rsidRDefault="00C232D7" w:rsidP="00C232D7">
            <w:pPr>
              <w:spacing w:line="360" w:lineRule="auto"/>
              <w:ind w:left="-1" w:firstLine="1"/>
              <w:contextualSpacing/>
              <w:rPr>
                <w:rFonts w:ascii="Arial" w:hAnsi="Arial" w:cs="Arial"/>
                <w:b/>
                <w:bCs/>
                <w:lang w:val="sq-AL"/>
              </w:rPr>
            </w:pPr>
            <w:r w:rsidRPr="002A6F4E">
              <w:rPr>
                <w:rFonts w:ascii="Arial" w:hAnsi="Arial" w:cs="Arial"/>
                <w:b/>
                <w:bCs/>
                <w:lang w:val="sq-AL"/>
              </w:rPr>
              <w:t>PM</w:t>
            </w:r>
          </w:p>
        </w:tc>
        <w:tc>
          <w:tcPr>
            <w:tcW w:w="7784" w:type="dxa"/>
            <w:tcBorders>
              <w:top w:val="dotted" w:sz="4" w:space="0" w:color="FF9900"/>
              <w:bottom w:val="dotted" w:sz="4" w:space="0" w:color="FF9900"/>
            </w:tcBorders>
          </w:tcPr>
          <w:p w14:paraId="4E16C128"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Pravne mjere</w:t>
            </w:r>
          </w:p>
        </w:tc>
      </w:tr>
      <w:tr w:rsidR="00C232D7" w:rsidRPr="002A6F4E" w14:paraId="386FFBFC"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5675652B" w14:textId="77777777" w:rsidR="00C232D7" w:rsidRPr="002A6F4E" w:rsidRDefault="00C232D7" w:rsidP="00C232D7">
            <w:pPr>
              <w:spacing w:line="360" w:lineRule="auto"/>
              <w:contextualSpacing/>
              <w:rPr>
                <w:rFonts w:ascii="Arial" w:hAnsi="Arial" w:cs="Arial"/>
                <w:b/>
                <w:bCs/>
                <w:lang w:val="sq-AL"/>
              </w:rPr>
            </w:pPr>
            <w:r w:rsidRPr="002A6F4E">
              <w:rPr>
                <w:rFonts w:ascii="Arial" w:hAnsi="Arial" w:cs="Arial"/>
                <w:b/>
                <w:bCs/>
                <w:lang w:val="sq-AL"/>
              </w:rPr>
              <w:t>JLU</w:t>
            </w:r>
          </w:p>
        </w:tc>
        <w:tc>
          <w:tcPr>
            <w:tcW w:w="7784" w:type="dxa"/>
            <w:tcBorders>
              <w:top w:val="dotted" w:sz="4" w:space="0" w:color="FF9900"/>
              <w:bottom w:val="dotted" w:sz="4" w:space="0" w:color="FF9900"/>
            </w:tcBorders>
          </w:tcPr>
          <w:p w14:paraId="70B7060C"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Jedinica lokalne samouprave</w:t>
            </w:r>
          </w:p>
        </w:tc>
      </w:tr>
      <w:tr w:rsidR="00C232D7" w:rsidRPr="00552AAE" w14:paraId="4C04680C"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3B22D5AD" w14:textId="77777777" w:rsidR="00C232D7" w:rsidRPr="002A6F4E" w:rsidRDefault="00C232D7" w:rsidP="00C232D7">
            <w:pPr>
              <w:spacing w:line="360" w:lineRule="auto"/>
              <w:ind w:left="-1" w:firstLine="1"/>
              <w:contextualSpacing/>
              <w:rPr>
                <w:rFonts w:ascii="Arial" w:hAnsi="Arial" w:cs="Arial"/>
                <w:b/>
                <w:bCs/>
                <w:lang w:val="sq-AL"/>
              </w:rPr>
            </w:pPr>
            <w:r w:rsidRPr="002A6F4E">
              <w:rPr>
                <w:rFonts w:ascii="Arial" w:hAnsi="Arial" w:cs="Arial"/>
                <w:b/>
                <w:bCs/>
                <w:lang w:val="sq-AL"/>
              </w:rPr>
              <w:t>PTOV</w:t>
            </w:r>
          </w:p>
        </w:tc>
        <w:tc>
          <w:tcPr>
            <w:tcW w:w="7784" w:type="dxa"/>
            <w:tcBorders>
              <w:top w:val="dotted" w:sz="4" w:space="0" w:color="FF9900"/>
              <w:bottom w:val="dotted" w:sz="4" w:space="0" w:color="FF9900"/>
            </w:tcBorders>
          </w:tcPr>
          <w:p w14:paraId="426C339A" w14:textId="2108259A"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Postrojenje za tretman ocjednih voda</w:t>
            </w:r>
          </w:p>
        </w:tc>
      </w:tr>
      <w:tr w:rsidR="00C232D7" w:rsidRPr="00552AAE" w14:paraId="4A7E490E"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60186AAD"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LPUO</w:t>
            </w:r>
          </w:p>
        </w:tc>
        <w:tc>
          <w:tcPr>
            <w:tcW w:w="7784" w:type="dxa"/>
            <w:tcBorders>
              <w:top w:val="dotted" w:sz="4" w:space="0" w:color="FF9900"/>
              <w:bottom w:val="dotted" w:sz="4" w:space="0" w:color="FF9900"/>
            </w:tcBorders>
          </w:tcPr>
          <w:p w14:paraId="23C15248"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Lokalna postrojenja za upravljanje otpadom</w:t>
            </w:r>
          </w:p>
        </w:tc>
      </w:tr>
      <w:tr w:rsidR="00C232D7" w:rsidRPr="002A6F4E" w14:paraId="53CB259E"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69C58110"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rPr>
              <w:t>LPUO</w:t>
            </w:r>
          </w:p>
        </w:tc>
        <w:tc>
          <w:tcPr>
            <w:tcW w:w="7784" w:type="dxa"/>
            <w:tcBorders>
              <w:top w:val="dotted" w:sz="4" w:space="0" w:color="FF9900"/>
              <w:bottom w:val="dotted" w:sz="4" w:space="0" w:color="FF9900"/>
            </w:tcBorders>
          </w:tcPr>
          <w:p w14:paraId="58F540FE"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Fonts w:ascii="Arial" w:hAnsi="Arial" w:cs="Arial"/>
                <w:lang w:val="sq-AL"/>
              </w:rPr>
              <w:t>Lokalni planovi upravljanja otpadom</w:t>
            </w:r>
          </w:p>
        </w:tc>
      </w:tr>
      <w:tr w:rsidR="00C232D7" w:rsidRPr="002A6F4E" w14:paraId="7E0FE9FF"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336EF3F8"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eastAsia="it-IT"/>
              </w:rPr>
              <w:t xml:space="preserve">CG </w:t>
            </w:r>
          </w:p>
        </w:tc>
        <w:tc>
          <w:tcPr>
            <w:tcW w:w="7784" w:type="dxa"/>
            <w:tcBorders>
              <w:top w:val="dotted" w:sz="4" w:space="0" w:color="FF9900"/>
              <w:bottom w:val="dotted" w:sz="4" w:space="0" w:color="FF9900"/>
            </w:tcBorders>
          </w:tcPr>
          <w:p w14:paraId="42923534" w14:textId="77777777" w:rsidR="00C232D7" w:rsidRPr="002A6F4E" w:rsidRDefault="00C232D7" w:rsidP="00C232D7">
            <w:pPr>
              <w:spacing w:line="360" w:lineRule="auto"/>
              <w:ind w:left="-8" w:firstLine="1"/>
              <w:contextualSpacing/>
              <w:rPr>
                <w:rFonts w:ascii="Arial" w:hAnsi="Arial" w:cs="Arial"/>
                <w:lang w:val="sq-AL" w:eastAsia="it-IT"/>
              </w:rPr>
            </w:pPr>
            <w:r w:rsidRPr="002A6F4E">
              <w:rPr>
                <w:rFonts w:ascii="Arial" w:hAnsi="Arial" w:cs="Arial"/>
                <w:lang w:val="sq-AL"/>
              </w:rPr>
              <w:t>crnogorski (jezik)</w:t>
            </w:r>
          </w:p>
        </w:tc>
      </w:tr>
      <w:tr w:rsidR="00C232D7" w:rsidRPr="002A6F4E" w14:paraId="11188BAF"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4390E13C"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eastAsia="it-IT"/>
              </w:rPr>
              <w:t>MBT</w:t>
            </w:r>
          </w:p>
        </w:tc>
        <w:tc>
          <w:tcPr>
            <w:tcW w:w="7784" w:type="dxa"/>
            <w:tcBorders>
              <w:top w:val="dotted" w:sz="4" w:space="0" w:color="FF9900"/>
              <w:bottom w:val="dotted" w:sz="4" w:space="0" w:color="FF9900"/>
            </w:tcBorders>
          </w:tcPr>
          <w:p w14:paraId="281D8F8B"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Mehaničko biološki tretman</w:t>
            </w:r>
          </w:p>
        </w:tc>
      </w:tr>
      <w:tr w:rsidR="00C232D7" w:rsidRPr="00552AAE" w14:paraId="326F07AE"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75B37749"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rPr>
              <w:t>MERS</w:t>
            </w:r>
          </w:p>
        </w:tc>
        <w:tc>
          <w:tcPr>
            <w:tcW w:w="7784" w:type="dxa"/>
            <w:tcBorders>
              <w:top w:val="dotted" w:sz="4" w:space="0" w:color="FF9900"/>
              <w:bottom w:val="dotted" w:sz="4" w:space="0" w:color="FF9900"/>
            </w:tcBorders>
            <w:vAlign w:val="center"/>
          </w:tcPr>
          <w:p w14:paraId="00F42D00" w14:textId="77777777" w:rsidR="00C232D7" w:rsidRPr="002A6F4E" w:rsidRDefault="00C232D7" w:rsidP="00C232D7">
            <w:pPr>
              <w:spacing w:line="360" w:lineRule="auto"/>
              <w:ind w:left="-8" w:firstLine="1"/>
              <w:contextualSpacing/>
              <w:rPr>
                <w:rFonts w:ascii="Arial" w:hAnsi="Arial" w:cs="Arial"/>
                <w:lang w:val="sq-AL" w:eastAsia="it-IT"/>
              </w:rPr>
            </w:pPr>
            <w:r w:rsidRPr="002A6F4E">
              <w:rPr>
                <w:rFonts w:ascii="Arial" w:hAnsi="Arial" w:cs="Arial"/>
                <w:lang w:val="sq-AL" w:eastAsia="it-IT"/>
              </w:rPr>
              <w:t>Ministarstvo ekologije, održivog razvoja i razvoja sjevera (korisnik)</w:t>
            </w:r>
          </w:p>
        </w:tc>
      </w:tr>
      <w:tr w:rsidR="00C232D7" w:rsidRPr="002A6F4E" w14:paraId="434AF931"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68867E45"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rPr>
              <w:t>MONSTAT</w:t>
            </w:r>
          </w:p>
        </w:tc>
        <w:tc>
          <w:tcPr>
            <w:tcW w:w="7784" w:type="dxa"/>
            <w:tcBorders>
              <w:top w:val="dotted" w:sz="4" w:space="0" w:color="FF9900"/>
              <w:bottom w:val="dotted" w:sz="4" w:space="0" w:color="FF9900"/>
            </w:tcBorders>
          </w:tcPr>
          <w:p w14:paraId="0AA6FD2A"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Fonts w:ascii="Arial" w:hAnsi="Arial" w:cs="Arial"/>
                <w:lang w:val="sq-AL" w:eastAsia="it-IT"/>
              </w:rPr>
              <w:t>Uprava za statistiku Crne Gore</w:t>
            </w:r>
          </w:p>
        </w:tc>
      </w:tr>
      <w:tr w:rsidR="00C232D7" w:rsidRPr="002A6F4E" w14:paraId="7C17A183"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2E46AAD6"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CPUM</w:t>
            </w:r>
          </w:p>
        </w:tc>
        <w:tc>
          <w:tcPr>
            <w:tcW w:w="7784" w:type="dxa"/>
            <w:tcBorders>
              <w:top w:val="dotted" w:sz="4" w:space="0" w:color="FF9900"/>
              <w:bottom w:val="dotted" w:sz="4" w:space="0" w:color="FF9900"/>
            </w:tcBorders>
          </w:tcPr>
          <w:p w14:paraId="6814AC01"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eastAsia="it-IT"/>
              </w:rPr>
              <w:t>Centri za ponovnu upotrebu materijala</w:t>
            </w:r>
          </w:p>
        </w:tc>
      </w:tr>
      <w:tr w:rsidR="00C232D7" w:rsidRPr="00552AAE" w14:paraId="54FB4D98"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319C2829"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MRF</w:t>
            </w:r>
          </w:p>
        </w:tc>
        <w:tc>
          <w:tcPr>
            <w:tcW w:w="7784" w:type="dxa"/>
            <w:tcBorders>
              <w:top w:val="dotted" w:sz="4" w:space="0" w:color="FF9900"/>
              <w:bottom w:val="dotted" w:sz="4" w:space="0" w:color="FF9900"/>
            </w:tcBorders>
          </w:tcPr>
          <w:p w14:paraId="4EBD7340" w14:textId="3750C629"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eastAsia="it-IT"/>
              </w:rPr>
              <w:t>Postrojenje za preradu (recikliranje) materijala</w:t>
            </w:r>
          </w:p>
        </w:tc>
      </w:tr>
      <w:tr w:rsidR="00C232D7" w:rsidRPr="002A6F4E" w14:paraId="446A363E"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47DC96E9" w14:textId="2918C516"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rPr>
              <w:lastRenderedPageBreak/>
              <w:t>KO</w:t>
            </w:r>
          </w:p>
        </w:tc>
        <w:tc>
          <w:tcPr>
            <w:tcW w:w="7784" w:type="dxa"/>
            <w:tcBorders>
              <w:top w:val="dotted" w:sz="4" w:space="0" w:color="FF9900"/>
              <w:bottom w:val="dotted" w:sz="4" w:space="0" w:color="FF9900"/>
            </w:tcBorders>
          </w:tcPr>
          <w:p w14:paraId="7496488D" w14:textId="71E9957D" w:rsidR="00C232D7" w:rsidRPr="002A6F4E" w:rsidRDefault="005F75F8" w:rsidP="00C232D7">
            <w:pPr>
              <w:spacing w:line="360" w:lineRule="auto"/>
              <w:ind w:left="-8" w:firstLine="1"/>
              <w:contextualSpacing/>
              <w:rPr>
                <w:rStyle w:val="st"/>
                <w:rFonts w:ascii="Arial" w:hAnsi="Arial" w:cs="Arial"/>
                <w:lang w:val="sq-AL"/>
              </w:rPr>
            </w:pPr>
            <w:r>
              <w:rPr>
                <w:rFonts w:ascii="Arial" w:hAnsi="Arial" w:cs="Arial"/>
                <w:lang w:val="sq-AL" w:eastAsia="it-IT"/>
              </w:rPr>
              <w:t>K</w:t>
            </w:r>
            <w:r w:rsidR="00C232D7" w:rsidRPr="002A6F4E">
              <w:rPr>
                <w:rFonts w:ascii="Arial" w:hAnsi="Arial" w:cs="Arial"/>
                <w:lang w:val="sq-AL" w:eastAsia="it-IT"/>
              </w:rPr>
              <w:t>omunalni otpad</w:t>
            </w:r>
          </w:p>
        </w:tc>
      </w:tr>
      <w:tr w:rsidR="00C232D7" w:rsidRPr="002A6F4E" w14:paraId="786B08B5"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39AFCD74"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rPr>
              <w:t>NVO</w:t>
            </w:r>
          </w:p>
        </w:tc>
        <w:tc>
          <w:tcPr>
            <w:tcW w:w="7784" w:type="dxa"/>
            <w:tcBorders>
              <w:top w:val="dotted" w:sz="4" w:space="0" w:color="FF9900"/>
              <w:bottom w:val="dotted" w:sz="4" w:space="0" w:color="FF9900"/>
            </w:tcBorders>
          </w:tcPr>
          <w:p w14:paraId="2869A852"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Fonts w:ascii="Arial" w:hAnsi="Arial" w:cs="Arial"/>
                <w:lang w:val="sq-AL" w:eastAsia="it-IT"/>
              </w:rPr>
              <w:t xml:space="preserve">Nevladina organizacija </w:t>
            </w:r>
          </w:p>
        </w:tc>
      </w:tr>
      <w:tr w:rsidR="00C232D7" w:rsidRPr="002A6F4E" w14:paraId="6B23DF41"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3D3A0D6D"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rPr>
              <w:t>DPUO</w:t>
            </w:r>
          </w:p>
        </w:tc>
        <w:tc>
          <w:tcPr>
            <w:tcW w:w="7784" w:type="dxa"/>
            <w:tcBorders>
              <w:top w:val="dotted" w:sz="4" w:space="0" w:color="FF9900"/>
              <w:bottom w:val="dotted" w:sz="4" w:space="0" w:color="FF9900"/>
            </w:tcBorders>
            <w:vAlign w:val="center"/>
          </w:tcPr>
          <w:p w14:paraId="7721EA3B"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Fonts w:ascii="Arial" w:hAnsi="Arial" w:cs="Arial"/>
                <w:lang w:val="sq-AL"/>
              </w:rPr>
              <w:t>Državni plan upravljanja otpadom</w:t>
            </w:r>
          </w:p>
        </w:tc>
      </w:tr>
      <w:tr w:rsidR="00C232D7" w:rsidRPr="002A6F4E" w14:paraId="492C06A5"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5A38AA56" w14:textId="0FD1BCA2" w:rsidR="00C232D7" w:rsidRPr="002A6F4E" w:rsidRDefault="002B2DAA" w:rsidP="00C232D7">
            <w:pPr>
              <w:spacing w:line="360" w:lineRule="auto"/>
              <w:ind w:left="-1" w:firstLine="1"/>
              <w:contextualSpacing/>
              <w:rPr>
                <w:rFonts w:ascii="Arial" w:hAnsi="Arial" w:cs="Arial"/>
                <w:b/>
                <w:bCs/>
                <w:lang w:val="sq-AL"/>
              </w:rPr>
            </w:pPr>
            <w:r>
              <w:rPr>
                <w:rFonts w:ascii="Arial" w:hAnsi="Arial" w:cs="Arial"/>
                <w:b/>
                <w:bCs/>
                <w:lang w:val="sq-AL"/>
              </w:rPr>
              <w:t>D</w:t>
            </w:r>
            <w:r w:rsidR="00C232D7" w:rsidRPr="002A6F4E">
              <w:rPr>
                <w:rFonts w:ascii="Arial" w:hAnsi="Arial" w:cs="Arial"/>
                <w:b/>
                <w:bCs/>
                <w:lang w:val="sq-AL"/>
              </w:rPr>
              <w:t>SUO</w:t>
            </w:r>
          </w:p>
        </w:tc>
        <w:tc>
          <w:tcPr>
            <w:tcW w:w="7784" w:type="dxa"/>
            <w:tcBorders>
              <w:top w:val="dotted" w:sz="4" w:space="0" w:color="FF9900"/>
              <w:bottom w:val="dotted" w:sz="4" w:space="0" w:color="FF9900"/>
            </w:tcBorders>
          </w:tcPr>
          <w:p w14:paraId="4AEB8A78" w14:textId="125ECAAB" w:rsidR="00C232D7" w:rsidRPr="002A6F4E" w:rsidRDefault="002B2DAA" w:rsidP="00C232D7">
            <w:pPr>
              <w:spacing w:line="360" w:lineRule="auto"/>
              <w:ind w:left="-8" w:firstLine="1"/>
              <w:contextualSpacing/>
              <w:rPr>
                <w:rFonts w:ascii="Arial" w:hAnsi="Arial" w:cs="Arial"/>
                <w:lang w:val="sq-AL"/>
              </w:rPr>
            </w:pPr>
            <w:r>
              <w:rPr>
                <w:rFonts w:ascii="Arial" w:hAnsi="Arial" w:cs="Arial"/>
                <w:lang w:val="sq-AL"/>
              </w:rPr>
              <w:t xml:space="preserve">Državni </w:t>
            </w:r>
            <w:r w:rsidR="00C232D7" w:rsidRPr="002A6F4E">
              <w:rPr>
                <w:rFonts w:ascii="Arial" w:hAnsi="Arial" w:cs="Arial"/>
                <w:lang w:val="sq-AL"/>
              </w:rPr>
              <w:t>sistem upravljanja otpadom</w:t>
            </w:r>
          </w:p>
        </w:tc>
      </w:tr>
      <w:tr w:rsidR="00C232D7" w:rsidRPr="002A6F4E" w14:paraId="5F5861EE"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3907B4BE" w14:textId="29AEDA29" w:rsidR="00C232D7" w:rsidRPr="002A6F4E" w:rsidRDefault="000D7745" w:rsidP="00C232D7">
            <w:pPr>
              <w:spacing w:line="360" w:lineRule="auto"/>
              <w:ind w:left="-1" w:firstLine="1"/>
              <w:contextualSpacing/>
              <w:rPr>
                <w:rFonts w:ascii="Arial" w:hAnsi="Arial" w:cs="Arial"/>
                <w:b/>
                <w:lang w:val="sq-AL"/>
              </w:rPr>
            </w:pPr>
            <w:r>
              <w:rPr>
                <w:rFonts w:ascii="Arial" w:hAnsi="Arial" w:cs="Arial"/>
                <w:b/>
                <w:lang w:val="sq-AL"/>
              </w:rPr>
              <w:t>PSNO</w:t>
            </w:r>
          </w:p>
        </w:tc>
        <w:tc>
          <w:tcPr>
            <w:tcW w:w="7784" w:type="dxa"/>
            <w:tcBorders>
              <w:top w:val="dotted" w:sz="4" w:space="0" w:color="FF9900"/>
              <w:bottom w:val="dotted" w:sz="4" w:space="0" w:color="FF9900"/>
            </w:tcBorders>
          </w:tcPr>
          <w:p w14:paraId="77ADBDD4" w14:textId="5991B106" w:rsidR="00C232D7" w:rsidRPr="000D7745" w:rsidRDefault="000D7745" w:rsidP="00C232D7">
            <w:pPr>
              <w:spacing w:line="360" w:lineRule="auto"/>
              <w:ind w:left="-8" w:firstLine="1"/>
              <w:contextualSpacing/>
              <w:rPr>
                <w:rFonts w:ascii="Arial" w:hAnsi="Arial" w:cs="Arial"/>
                <w:lang w:val="sq-AL"/>
              </w:rPr>
            </w:pPr>
            <w:bookmarkStart w:id="2" w:name="_Hlk190770662"/>
            <w:r w:rsidRPr="000D7745">
              <w:rPr>
                <w:rFonts w:ascii="Arial" w:hAnsi="Arial" w:cs="Arial"/>
                <w:lang w:val="sr-Cyrl-ME"/>
              </w:rPr>
              <w:t>Program za sprečavanje nastanka otpada</w:t>
            </w:r>
            <w:bookmarkEnd w:id="2"/>
          </w:p>
        </w:tc>
      </w:tr>
      <w:tr w:rsidR="00C232D7" w:rsidRPr="002A6F4E" w14:paraId="128E2B55"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5CB1C14C"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OAM</w:t>
            </w:r>
          </w:p>
        </w:tc>
        <w:tc>
          <w:tcPr>
            <w:tcW w:w="7784" w:type="dxa"/>
            <w:tcBorders>
              <w:top w:val="dotted" w:sz="4" w:space="0" w:color="FF9900"/>
              <w:bottom w:val="dotted" w:sz="4" w:space="0" w:color="FF9900"/>
            </w:tcBorders>
          </w:tcPr>
          <w:p w14:paraId="2A5178A5"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Organizaciono – administrativne mjere</w:t>
            </w:r>
          </w:p>
        </w:tc>
      </w:tr>
      <w:tr w:rsidR="00C232D7" w:rsidRPr="002A6F4E" w14:paraId="3EFF9E21"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6F4158A2"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rPr>
              <w:t>ES</w:t>
            </w:r>
          </w:p>
        </w:tc>
        <w:tc>
          <w:tcPr>
            <w:tcW w:w="7784" w:type="dxa"/>
            <w:tcBorders>
              <w:top w:val="dotted" w:sz="4" w:space="0" w:color="FF9900"/>
              <w:bottom w:val="dotted" w:sz="4" w:space="0" w:color="FF9900"/>
            </w:tcBorders>
          </w:tcPr>
          <w:p w14:paraId="38F2359D"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Ekvivalent stanovništva</w:t>
            </w:r>
          </w:p>
        </w:tc>
      </w:tr>
      <w:tr w:rsidR="00C232D7" w:rsidRPr="002A6F4E" w14:paraId="0E5ABAEA"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6F622683"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eastAsia="it-IT"/>
              </w:rPr>
              <w:t>PSSSS</w:t>
            </w:r>
          </w:p>
        </w:tc>
        <w:tc>
          <w:tcPr>
            <w:tcW w:w="7784" w:type="dxa"/>
            <w:tcBorders>
              <w:top w:val="dotted" w:sz="4" w:space="0" w:color="FF9900"/>
              <w:bottom w:val="dotted" w:sz="4" w:space="0" w:color="FF9900"/>
            </w:tcBorders>
            <w:vAlign w:val="center"/>
          </w:tcPr>
          <w:p w14:paraId="236C5738"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Planovi – Smjernice – Specifikacije – Standardi – Studije</w:t>
            </w:r>
          </w:p>
        </w:tc>
      </w:tr>
      <w:tr w:rsidR="00C232D7" w:rsidRPr="002A6F4E" w14:paraId="18EE9F9A"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49C165FE"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eastAsia="it-IT"/>
              </w:rPr>
              <w:t>JIP</w:t>
            </w:r>
          </w:p>
        </w:tc>
        <w:tc>
          <w:tcPr>
            <w:tcW w:w="7784" w:type="dxa"/>
            <w:tcBorders>
              <w:top w:val="dotted" w:sz="4" w:space="0" w:color="FF9900"/>
              <w:bottom w:val="dotted" w:sz="4" w:space="0" w:color="FF9900"/>
            </w:tcBorders>
          </w:tcPr>
          <w:p w14:paraId="1B72A9F3"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Jedinica za implementaciju projekta</w:t>
            </w:r>
          </w:p>
        </w:tc>
      </w:tr>
      <w:tr w:rsidR="00C232D7" w:rsidRPr="002A6F4E" w14:paraId="6FD42F6F"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156DA5FF"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eastAsia="it-IT"/>
              </w:rPr>
              <w:t>UOP</w:t>
            </w:r>
          </w:p>
        </w:tc>
        <w:tc>
          <w:tcPr>
            <w:tcW w:w="7784" w:type="dxa"/>
            <w:tcBorders>
              <w:top w:val="dotted" w:sz="4" w:space="0" w:color="FF9900"/>
              <w:bottom w:val="dotted" w:sz="4" w:space="0" w:color="FF9900"/>
            </w:tcBorders>
          </w:tcPr>
          <w:p w14:paraId="2A85F351"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Upravni odbor projekta</w:t>
            </w:r>
          </w:p>
        </w:tc>
      </w:tr>
      <w:tr w:rsidR="00C232D7" w:rsidRPr="002A6F4E" w14:paraId="39D4988F"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3A2C9A54"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eastAsia="it-IT"/>
              </w:rPr>
              <w:t>OOP</w:t>
            </w:r>
          </w:p>
        </w:tc>
        <w:tc>
          <w:tcPr>
            <w:tcW w:w="7784" w:type="dxa"/>
            <w:tcBorders>
              <w:top w:val="dotted" w:sz="4" w:space="0" w:color="FF9900"/>
              <w:bottom w:val="dotted" w:sz="4" w:space="0" w:color="FF9900"/>
            </w:tcBorders>
          </w:tcPr>
          <w:p w14:paraId="5C295CA9"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Organizacija za odgovornost proizvođača</w:t>
            </w:r>
          </w:p>
        </w:tc>
      </w:tr>
      <w:tr w:rsidR="00C232D7" w:rsidRPr="00552AAE" w14:paraId="0DD047F3"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2BED85A2" w14:textId="77777777" w:rsidR="00C232D7" w:rsidRPr="002A6F4E" w:rsidRDefault="00C232D7" w:rsidP="00C232D7">
            <w:pPr>
              <w:spacing w:line="360" w:lineRule="auto"/>
              <w:ind w:left="-1" w:firstLine="1"/>
              <w:contextualSpacing/>
              <w:rPr>
                <w:rStyle w:val="st"/>
                <w:rFonts w:ascii="Arial" w:hAnsi="Arial" w:cs="Arial"/>
                <w:b/>
                <w:bCs/>
                <w:lang w:val="sq-AL"/>
              </w:rPr>
            </w:pPr>
            <w:r w:rsidRPr="002A6F4E">
              <w:rPr>
                <w:rStyle w:val="st"/>
                <w:rFonts w:ascii="Arial" w:hAnsi="Arial" w:cs="Arial"/>
                <w:b/>
                <w:bCs/>
                <w:lang w:val="sq-AL"/>
              </w:rPr>
              <w:t>P</w:t>
            </w:r>
            <w:r w:rsidRPr="002A6F4E">
              <w:rPr>
                <w:rStyle w:val="st"/>
                <w:rFonts w:ascii="Arial" w:hAnsi="Arial" w:cs="Arial"/>
                <w:b/>
                <w:bCs/>
              </w:rPr>
              <w:t>SIOM</w:t>
            </w:r>
          </w:p>
        </w:tc>
        <w:tc>
          <w:tcPr>
            <w:tcW w:w="7784" w:type="dxa"/>
            <w:tcBorders>
              <w:top w:val="dotted" w:sz="4" w:space="0" w:color="FF9900"/>
              <w:bottom w:val="dotted" w:sz="4" w:space="0" w:color="FF9900"/>
            </w:tcBorders>
          </w:tcPr>
          <w:p w14:paraId="522C6FF7"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Fonts w:ascii="Arial" w:hAnsi="Arial" w:cs="Arial"/>
                <w:lang w:val="sq-AL"/>
              </w:rPr>
              <w:t>Podizanje svijesti – Informisanje – Obrazovne mjere</w:t>
            </w:r>
          </w:p>
        </w:tc>
      </w:tr>
      <w:tr w:rsidR="00C232D7" w:rsidRPr="002A6F4E" w14:paraId="2687FDB7"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0A64FA5D"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RDF</w:t>
            </w:r>
          </w:p>
        </w:tc>
        <w:tc>
          <w:tcPr>
            <w:tcW w:w="7784" w:type="dxa"/>
            <w:tcBorders>
              <w:top w:val="dotted" w:sz="4" w:space="0" w:color="FF9900"/>
              <w:bottom w:val="dotted" w:sz="4" w:space="0" w:color="FF9900"/>
            </w:tcBorders>
            <w:vAlign w:val="center"/>
          </w:tcPr>
          <w:p w14:paraId="5EE58764"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Gorivo dobijeno iz otpada</w:t>
            </w:r>
          </w:p>
        </w:tc>
      </w:tr>
      <w:tr w:rsidR="00C232D7" w:rsidRPr="002A6F4E" w14:paraId="41C296B2"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4A1D2F05"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RSUO</w:t>
            </w:r>
          </w:p>
        </w:tc>
        <w:tc>
          <w:tcPr>
            <w:tcW w:w="7784" w:type="dxa"/>
            <w:tcBorders>
              <w:top w:val="dotted" w:sz="4" w:space="0" w:color="FF9900"/>
              <w:bottom w:val="dotted" w:sz="4" w:space="0" w:color="FF9900"/>
            </w:tcBorders>
            <w:vAlign w:val="center"/>
          </w:tcPr>
          <w:p w14:paraId="5CA1AEFA"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Regionalni sistem upravljanja otpadom</w:t>
            </w:r>
          </w:p>
        </w:tc>
      </w:tr>
      <w:tr w:rsidR="00C232D7" w:rsidRPr="002A6F4E" w14:paraId="4343F04B"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611BF764" w14:textId="77777777" w:rsidR="00C232D7" w:rsidRPr="002A6F4E" w:rsidRDefault="00C232D7" w:rsidP="00C232D7">
            <w:pPr>
              <w:spacing w:line="360" w:lineRule="auto"/>
              <w:ind w:left="-1" w:firstLine="1"/>
              <w:contextualSpacing/>
              <w:rPr>
                <w:rFonts w:ascii="Arial" w:hAnsi="Arial" w:cs="Arial"/>
                <w:b/>
                <w:highlight w:val="yellow"/>
                <w:lang w:val="sq-AL"/>
              </w:rPr>
            </w:pPr>
            <w:r w:rsidRPr="002A6F4E">
              <w:rPr>
                <w:rFonts w:ascii="Arial" w:hAnsi="Arial" w:cs="Arial"/>
                <w:b/>
                <w:lang w:val="sq-AL"/>
              </w:rPr>
              <w:t>SaS</w:t>
            </w:r>
          </w:p>
        </w:tc>
        <w:tc>
          <w:tcPr>
            <w:tcW w:w="7784" w:type="dxa"/>
            <w:tcBorders>
              <w:top w:val="dotted" w:sz="4" w:space="0" w:color="FF9900"/>
              <w:bottom w:val="dotted" w:sz="4" w:space="0" w:color="FF9900"/>
            </w:tcBorders>
            <w:vAlign w:val="center"/>
          </w:tcPr>
          <w:p w14:paraId="08EE912C" w14:textId="77777777"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Separacija na izvoru</w:t>
            </w:r>
          </w:p>
        </w:tc>
      </w:tr>
      <w:tr w:rsidR="00C232D7" w:rsidRPr="002A6F4E" w14:paraId="2A611FCE"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206646A3" w14:textId="77777777" w:rsidR="00C232D7" w:rsidRPr="002A6F4E" w:rsidRDefault="00C232D7" w:rsidP="00C232D7">
            <w:pPr>
              <w:spacing w:line="360" w:lineRule="auto"/>
              <w:ind w:left="-1" w:firstLine="1"/>
              <w:contextualSpacing/>
              <w:rPr>
                <w:rFonts w:ascii="Arial" w:hAnsi="Arial" w:cs="Arial"/>
                <w:b/>
                <w:bCs/>
                <w:lang w:val="sq-AL" w:eastAsia="it-IT"/>
              </w:rPr>
            </w:pPr>
            <w:r w:rsidRPr="002A6F4E">
              <w:rPr>
                <w:rStyle w:val="st"/>
                <w:rFonts w:ascii="Arial" w:hAnsi="Arial" w:cs="Arial"/>
                <w:b/>
                <w:bCs/>
                <w:lang w:val="sq-AL"/>
              </w:rPr>
              <w:t>SBR</w:t>
            </w:r>
          </w:p>
        </w:tc>
        <w:tc>
          <w:tcPr>
            <w:tcW w:w="7784" w:type="dxa"/>
            <w:tcBorders>
              <w:top w:val="dotted" w:sz="4" w:space="0" w:color="FF9900"/>
              <w:bottom w:val="dotted" w:sz="4" w:space="0" w:color="FF9900"/>
            </w:tcBorders>
            <w:vAlign w:val="center"/>
          </w:tcPr>
          <w:p w14:paraId="0EB0A971"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Style w:val="st"/>
                <w:rFonts w:ascii="Arial" w:hAnsi="Arial" w:cs="Arial"/>
                <w:lang w:val="sq-AL"/>
              </w:rPr>
              <w:t xml:space="preserve">Sekvencioni </w:t>
            </w:r>
            <w:r w:rsidRPr="00895B11">
              <w:rPr>
                <w:rStyle w:val="st"/>
                <w:rFonts w:ascii="Arial" w:hAnsi="Arial" w:cs="Arial"/>
                <w:lang w:val="sq-AL"/>
              </w:rPr>
              <w:t>šaržni</w:t>
            </w:r>
            <w:r w:rsidRPr="002A6F4E">
              <w:rPr>
                <w:rStyle w:val="st"/>
                <w:rFonts w:ascii="Arial" w:hAnsi="Arial" w:cs="Arial"/>
                <w:lang w:val="sq-AL"/>
              </w:rPr>
              <w:t xml:space="preserve"> reaktori </w:t>
            </w:r>
          </w:p>
        </w:tc>
      </w:tr>
      <w:tr w:rsidR="00C232D7" w:rsidRPr="002A6F4E" w14:paraId="2CCE5B02"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6B0DEDD0" w14:textId="73ABA610"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eastAsia="it-IT"/>
              </w:rPr>
              <w:t>SEA</w:t>
            </w:r>
            <w:r w:rsidR="00895B11">
              <w:rPr>
                <w:rFonts w:ascii="Arial" w:hAnsi="Arial" w:cs="Arial"/>
                <w:b/>
                <w:lang w:val="sq-AL" w:eastAsia="it-IT"/>
              </w:rPr>
              <w:t>/SPU</w:t>
            </w:r>
          </w:p>
        </w:tc>
        <w:tc>
          <w:tcPr>
            <w:tcW w:w="7784" w:type="dxa"/>
            <w:tcBorders>
              <w:top w:val="dotted" w:sz="4" w:space="0" w:color="FF9900"/>
              <w:bottom w:val="dotted" w:sz="4" w:space="0" w:color="FF9900"/>
            </w:tcBorders>
            <w:vAlign w:val="center"/>
          </w:tcPr>
          <w:p w14:paraId="10692573"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Fonts w:ascii="Arial" w:hAnsi="Arial" w:cs="Arial"/>
                <w:lang w:val="sq-AL"/>
              </w:rPr>
              <w:t>Strateška procjena uticaja na životnu sredinu</w:t>
            </w:r>
          </w:p>
        </w:tc>
      </w:tr>
      <w:tr w:rsidR="00C232D7" w:rsidRPr="00552AAE" w14:paraId="6C1CF6AC"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03863858" w14:textId="77777777" w:rsidR="00C232D7" w:rsidRPr="002A6F4E" w:rsidRDefault="00C232D7" w:rsidP="00C232D7">
            <w:pPr>
              <w:spacing w:line="360" w:lineRule="auto"/>
              <w:contextualSpacing/>
              <w:rPr>
                <w:rFonts w:ascii="Arial" w:hAnsi="Arial" w:cs="Arial"/>
                <w:b/>
                <w:lang w:val="sq-AL" w:eastAsia="it-IT"/>
              </w:rPr>
            </w:pPr>
            <w:r w:rsidRPr="002A6F4E">
              <w:rPr>
                <w:rFonts w:ascii="Arial" w:hAnsi="Arial" w:cs="Arial"/>
                <w:b/>
                <w:lang w:val="sq-AL" w:eastAsia="it-IT"/>
              </w:rPr>
              <w:t>PPJU</w:t>
            </w:r>
          </w:p>
        </w:tc>
        <w:tc>
          <w:tcPr>
            <w:tcW w:w="7784" w:type="dxa"/>
            <w:tcBorders>
              <w:top w:val="dotted" w:sz="4" w:space="0" w:color="FF9900"/>
              <w:bottom w:val="dotted" w:sz="4" w:space="0" w:color="FF9900"/>
            </w:tcBorders>
          </w:tcPr>
          <w:p w14:paraId="4F2C2890"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Fonts w:ascii="Arial" w:hAnsi="Arial" w:cs="Arial"/>
                <w:lang w:val="sq-AL"/>
              </w:rPr>
              <w:t>Plastični proizvodi za jednokratnu upotrebu</w:t>
            </w:r>
          </w:p>
        </w:tc>
      </w:tr>
      <w:tr w:rsidR="00C232D7" w:rsidRPr="00AF012C" w14:paraId="604A93A6"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2E3026F0" w14:textId="3D4C5D09"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PJU</w:t>
            </w:r>
          </w:p>
        </w:tc>
        <w:tc>
          <w:tcPr>
            <w:tcW w:w="7784" w:type="dxa"/>
            <w:tcBorders>
              <w:top w:val="dotted" w:sz="4" w:space="0" w:color="FF9900"/>
              <w:bottom w:val="dotted" w:sz="4" w:space="0" w:color="FF9900"/>
            </w:tcBorders>
          </w:tcPr>
          <w:p w14:paraId="085281CF" w14:textId="24D34066"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Plastika za jednokratnu upotrebu</w:t>
            </w:r>
          </w:p>
        </w:tc>
      </w:tr>
      <w:tr w:rsidR="00C232D7" w:rsidRPr="00552AAE" w14:paraId="1D1BDA82"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280F4303"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SRF</w:t>
            </w:r>
          </w:p>
        </w:tc>
        <w:tc>
          <w:tcPr>
            <w:tcW w:w="7784" w:type="dxa"/>
            <w:tcBorders>
              <w:top w:val="dotted" w:sz="4" w:space="0" w:color="FF9900"/>
              <w:bottom w:val="dotted" w:sz="4" w:space="0" w:color="FF9900"/>
            </w:tcBorders>
            <w:vAlign w:val="center"/>
          </w:tcPr>
          <w:p w14:paraId="6C8A9FA8" w14:textId="5DF8973E" w:rsidR="00C232D7" w:rsidRPr="002A6F4E" w:rsidRDefault="00C232D7" w:rsidP="00C232D7">
            <w:pPr>
              <w:spacing w:line="360" w:lineRule="auto"/>
              <w:ind w:left="-8" w:firstLine="1"/>
              <w:contextualSpacing/>
              <w:rPr>
                <w:rFonts w:ascii="Arial" w:hAnsi="Arial" w:cs="Arial"/>
                <w:lang w:val="sq-AL"/>
              </w:rPr>
            </w:pPr>
            <w:r w:rsidRPr="002A6F4E">
              <w:rPr>
                <w:rFonts w:ascii="Arial" w:hAnsi="Arial" w:cs="Arial"/>
                <w:lang w:val="sq-AL"/>
              </w:rPr>
              <w:t>Čvrsta goriva dobijena iz otpada</w:t>
            </w:r>
          </w:p>
        </w:tc>
      </w:tr>
      <w:tr w:rsidR="00C232D7" w:rsidRPr="002A6F4E" w14:paraId="30CED438"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6863EAE0"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eastAsia="it-IT"/>
              </w:rPr>
              <w:t>SWOT</w:t>
            </w:r>
          </w:p>
        </w:tc>
        <w:tc>
          <w:tcPr>
            <w:tcW w:w="7784" w:type="dxa"/>
            <w:tcBorders>
              <w:top w:val="dotted" w:sz="4" w:space="0" w:color="FF9900"/>
              <w:bottom w:val="dotted" w:sz="4" w:space="0" w:color="FF9900"/>
            </w:tcBorders>
          </w:tcPr>
          <w:p w14:paraId="5C36790D"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Style w:val="st"/>
                <w:rFonts w:ascii="Arial" w:hAnsi="Arial" w:cs="Arial"/>
                <w:lang w:val="sq-AL"/>
              </w:rPr>
              <w:t>Prednosti, slabosti, mogućnosti i pri</w:t>
            </w:r>
            <w:r w:rsidRPr="002A6F4E">
              <w:rPr>
                <w:rStyle w:val="st"/>
                <w:rFonts w:ascii="Arial" w:hAnsi="Arial" w:cs="Arial"/>
              </w:rPr>
              <w:t>j</w:t>
            </w:r>
            <w:r w:rsidRPr="002A6F4E">
              <w:rPr>
                <w:rStyle w:val="st"/>
                <w:rFonts w:ascii="Arial" w:hAnsi="Arial" w:cs="Arial"/>
                <w:lang w:val="sq-AL"/>
              </w:rPr>
              <w:t>etnje</w:t>
            </w:r>
          </w:p>
        </w:tc>
      </w:tr>
      <w:tr w:rsidR="00C232D7" w:rsidRPr="002A6F4E" w14:paraId="505985E7"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09B042C9"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eastAsia="it-IT"/>
              </w:rPr>
              <w:t>PZ</w:t>
            </w:r>
          </w:p>
        </w:tc>
        <w:tc>
          <w:tcPr>
            <w:tcW w:w="7784" w:type="dxa"/>
            <w:tcBorders>
              <w:top w:val="dotted" w:sz="4" w:space="0" w:color="FF9900"/>
              <w:bottom w:val="dotted" w:sz="4" w:space="0" w:color="FF9900"/>
            </w:tcBorders>
          </w:tcPr>
          <w:p w14:paraId="49FED5B6"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Style w:val="st"/>
                <w:rFonts w:ascii="Arial" w:hAnsi="Arial" w:cs="Arial"/>
                <w:lang w:val="sq-AL"/>
              </w:rPr>
              <w:t>Projektni zadatak</w:t>
            </w:r>
          </w:p>
        </w:tc>
      </w:tr>
      <w:tr w:rsidR="00C232D7" w:rsidRPr="002A6F4E" w14:paraId="7447D5C4"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1572C025" w14:textId="77777777" w:rsidR="00C232D7" w:rsidRPr="002A6F4E" w:rsidRDefault="00C232D7" w:rsidP="00C232D7">
            <w:pPr>
              <w:spacing w:line="360" w:lineRule="auto"/>
              <w:ind w:left="-1" w:firstLine="1"/>
              <w:contextualSpacing/>
              <w:rPr>
                <w:rFonts w:ascii="Arial" w:hAnsi="Arial" w:cs="Arial"/>
                <w:b/>
                <w:lang w:val="sq-AL"/>
              </w:rPr>
            </w:pPr>
            <w:r w:rsidRPr="002A6F4E">
              <w:rPr>
                <w:rFonts w:ascii="Arial" w:hAnsi="Arial" w:cs="Arial"/>
                <w:b/>
                <w:lang w:val="sq-AL"/>
              </w:rPr>
              <w:t>TS</w:t>
            </w:r>
          </w:p>
        </w:tc>
        <w:tc>
          <w:tcPr>
            <w:tcW w:w="7784" w:type="dxa"/>
            <w:tcBorders>
              <w:top w:val="dotted" w:sz="4" w:space="0" w:color="FF9900"/>
              <w:bottom w:val="dotted" w:sz="4" w:space="0" w:color="FF9900"/>
            </w:tcBorders>
          </w:tcPr>
          <w:p w14:paraId="6E41FB05" w14:textId="77777777" w:rsidR="00C232D7" w:rsidRPr="002A6F4E" w:rsidRDefault="00C232D7" w:rsidP="00C232D7">
            <w:pPr>
              <w:spacing w:line="360" w:lineRule="auto"/>
              <w:ind w:left="-8" w:firstLine="1"/>
              <w:contextualSpacing/>
              <w:rPr>
                <w:rFonts w:ascii="Arial" w:hAnsi="Arial" w:cs="Arial"/>
                <w:lang w:val="sq-AL"/>
              </w:rPr>
            </w:pPr>
            <w:r w:rsidRPr="002A6F4E">
              <w:rPr>
                <w:rStyle w:val="st"/>
                <w:rFonts w:ascii="Arial" w:hAnsi="Arial" w:cs="Arial"/>
                <w:lang w:val="sq-AL"/>
              </w:rPr>
              <w:t>Transfer stanica</w:t>
            </w:r>
          </w:p>
        </w:tc>
      </w:tr>
      <w:tr w:rsidR="00C232D7" w:rsidRPr="00552AAE" w14:paraId="1089EE06"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02E0B03A"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rPr>
              <w:t>OEEP</w:t>
            </w:r>
          </w:p>
        </w:tc>
        <w:tc>
          <w:tcPr>
            <w:tcW w:w="7784" w:type="dxa"/>
            <w:tcBorders>
              <w:top w:val="dotted" w:sz="4" w:space="0" w:color="FF9900"/>
              <w:bottom w:val="dotted" w:sz="4" w:space="0" w:color="FF9900"/>
            </w:tcBorders>
          </w:tcPr>
          <w:p w14:paraId="00D54377"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Style w:val="st"/>
                <w:rFonts w:ascii="Arial" w:hAnsi="Arial" w:cs="Arial"/>
                <w:lang w:val="sq-AL"/>
              </w:rPr>
              <w:t>Otpad od električnih i elektronskih proizvoda</w:t>
            </w:r>
          </w:p>
        </w:tc>
      </w:tr>
      <w:tr w:rsidR="00C232D7" w:rsidRPr="002A6F4E" w14:paraId="69966085"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167D12B9"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eastAsia="it-IT"/>
              </w:rPr>
              <w:t>ODO</w:t>
            </w:r>
          </w:p>
        </w:tc>
        <w:tc>
          <w:tcPr>
            <w:tcW w:w="7784" w:type="dxa"/>
            <w:tcBorders>
              <w:top w:val="dotted" w:sz="4" w:space="0" w:color="FF9900"/>
              <w:bottom w:val="dotted" w:sz="4" w:space="0" w:color="FF9900"/>
            </w:tcBorders>
          </w:tcPr>
          <w:p w14:paraId="574412E9"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Style w:val="st"/>
                <w:rFonts w:ascii="Arial" w:hAnsi="Arial" w:cs="Arial"/>
                <w:lang w:val="sq-AL"/>
              </w:rPr>
              <w:t>Okvirna direktiva o otpadu</w:t>
            </w:r>
          </w:p>
        </w:tc>
      </w:tr>
      <w:tr w:rsidR="00C232D7" w:rsidRPr="002A6F4E" w14:paraId="6937AB4F"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4901C59A"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eastAsia="it-IT"/>
              </w:rPr>
              <w:t>UO</w:t>
            </w:r>
          </w:p>
        </w:tc>
        <w:tc>
          <w:tcPr>
            <w:tcW w:w="7784" w:type="dxa"/>
            <w:tcBorders>
              <w:top w:val="dotted" w:sz="4" w:space="0" w:color="FF9900"/>
              <w:bottom w:val="dotted" w:sz="4" w:space="0" w:color="FF9900"/>
            </w:tcBorders>
          </w:tcPr>
          <w:p w14:paraId="64068560"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Style w:val="st"/>
                <w:rFonts w:ascii="Arial" w:hAnsi="Arial" w:cs="Arial"/>
                <w:lang w:val="sq-AL"/>
              </w:rPr>
              <w:t>Upravljanje otpadom</w:t>
            </w:r>
          </w:p>
        </w:tc>
      </w:tr>
      <w:tr w:rsidR="00C232D7" w:rsidRPr="002A6F4E" w14:paraId="438EB844"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17B3E412"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eastAsia="it-IT"/>
              </w:rPr>
              <w:t>PO</w:t>
            </w:r>
          </w:p>
        </w:tc>
        <w:tc>
          <w:tcPr>
            <w:tcW w:w="7784" w:type="dxa"/>
            <w:tcBorders>
              <w:top w:val="dotted" w:sz="4" w:space="0" w:color="FF9900"/>
              <w:bottom w:val="dotted" w:sz="4" w:space="0" w:color="FF9900"/>
            </w:tcBorders>
          </w:tcPr>
          <w:p w14:paraId="6B414F5E" w14:textId="23A6CE2D" w:rsidR="00C232D7" w:rsidRPr="002A6F4E" w:rsidRDefault="00C232D7" w:rsidP="00C232D7">
            <w:pPr>
              <w:spacing w:line="360" w:lineRule="auto"/>
              <w:ind w:left="-8" w:firstLine="1"/>
              <w:contextualSpacing/>
              <w:rPr>
                <w:rStyle w:val="st"/>
                <w:rFonts w:ascii="Arial" w:hAnsi="Arial" w:cs="Arial"/>
                <w:lang w:val="sq-AL"/>
              </w:rPr>
            </w:pPr>
            <w:r w:rsidRPr="002A6F4E">
              <w:rPr>
                <w:rStyle w:val="st"/>
                <w:rFonts w:ascii="Arial" w:hAnsi="Arial" w:cs="Arial"/>
                <w:lang w:val="sq-AL"/>
              </w:rPr>
              <w:t>Prevencija otpada</w:t>
            </w:r>
          </w:p>
        </w:tc>
      </w:tr>
      <w:tr w:rsidR="00C232D7" w:rsidRPr="002A6F4E" w14:paraId="60C27604"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553FF0ED" w14:textId="77777777" w:rsidR="00C232D7" w:rsidRPr="002A6F4E" w:rsidRDefault="00C232D7" w:rsidP="00C232D7">
            <w:pPr>
              <w:spacing w:line="360" w:lineRule="auto"/>
              <w:ind w:left="-1" w:firstLine="1"/>
              <w:contextualSpacing/>
              <w:rPr>
                <w:rFonts w:ascii="Arial" w:hAnsi="Arial" w:cs="Arial"/>
                <w:b/>
                <w:lang w:val="sq-AL" w:eastAsia="it-IT"/>
              </w:rPr>
            </w:pPr>
            <w:r w:rsidRPr="002A6F4E">
              <w:rPr>
                <w:rFonts w:ascii="Arial" w:hAnsi="Arial" w:cs="Arial"/>
                <w:b/>
                <w:lang w:val="sq-AL" w:eastAsia="it-IT"/>
              </w:rPr>
              <w:t>OuE</w:t>
            </w:r>
          </w:p>
        </w:tc>
        <w:tc>
          <w:tcPr>
            <w:tcW w:w="7784" w:type="dxa"/>
            <w:tcBorders>
              <w:top w:val="dotted" w:sz="4" w:space="0" w:color="FF9900"/>
              <w:bottom w:val="dotted" w:sz="4" w:space="0" w:color="FF9900"/>
            </w:tcBorders>
          </w:tcPr>
          <w:p w14:paraId="110AA757" w14:textId="53D9650D" w:rsidR="00C232D7" w:rsidRPr="002A6F4E" w:rsidRDefault="00C232D7" w:rsidP="00C232D7">
            <w:pPr>
              <w:spacing w:line="360" w:lineRule="auto"/>
              <w:ind w:left="-8" w:firstLine="1"/>
              <w:contextualSpacing/>
              <w:rPr>
                <w:rStyle w:val="st"/>
                <w:rFonts w:ascii="Arial" w:hAnsi="Arial" w:cs="Arial"/>
                <w:lang w:val="sq-AL"/>
              </w:rPr>
            </w:pPr>
            <w:r w:rsidRPr="002A6F4E">
              <w:rPr>
                <w:rStyle w:val="st"/>
                <w:rFonts w:ascii="Arial" w:hAnsi="Arial" w:cs="Arial"/>
                <w:lang w:val="sq-AL"/>
              </w:rPr>
              <w:t>Otpad u energij</w:t>
            </w:r>
            <w:r w:rsidR="0053588E">
              <w:rPr>
                <w:rStyle w:val="st"/>
                <w:rFonts w:ascii="Arial" w:hAnsi="Arial" w:cs="Arial"/>
                <w:lang w:val="sq-AL"/>
              </w:rPr>
              <w:t>u</w:t>
            </w:r>
          </w:p>
        </w:tc>
      </w:tr>
      <w:tr w:rsidR="00C232D7" w:rsidRPr="00552AAE" w14:paraId="460AF1BA"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1F366740" w14:textId="77777777" w:rsidR="00C232D7" w:rsidRPr="002A6F4E" w:rsidRDefault="00C232D7" w:rsidP="00C232D7">
            <w:pPr>
              <w:spacing w:line="360" w:lineRule="auto"/>
              <w:ind w:left="-1" w:firstLine="1"/>
              <w:contextualSpacing/>
              <w:rPr>
                <w:rFonts w:ascii="Arial" w:hAnsi="Arial" w:cs="Arial"/>
                <w:b/>
                <w:bCs/>
                <w:lang w:val="sq-AL" w:eastAsia="it-IT"/>
              </w:rPr>
            </w:pPr>
            <w:r w:rsidRPr="002A6F4E">
              <w:rPr>
                <w:rStyle w:val="st"/>
                <w:rFonts w:ascii="Arial" w:hAnsi="Arial" w:cs="Arial"/>
                <w:b/>
                <w:bCs/>
              </w:rPr>
              <w:t>PPOV</w:t>
            </w:r>
          </w:p>
        </w:tc>
        <w:tc>
          <w:tcPr>
            <w:tcW w:w="7784" w:type="dxa"/>
            <w:tcBorders>
              <w:top w:val="dotted" w:sz="4" w:space="0" w:color="FF9900"/>
              <w:bottom w:val="dotted" w:sz="4" w:space="0" w:color="FF9900"/>
            </w:tcBorders>
          </w:tcPr>
          <w:p w14:paraId="0523B608" w14:textId="77777777" w:rsidR="00C232D7" w:rsidRPr="002A6F4E" w:rsidRDefault="00C232D7" w:rsidP="00C232D7">
            <w:pPr>
              <w:spacing w:line="360" w:lineRule="auto"/>
              <w:ind w:left="-8" w:firstLine="1"/>
              <w:contextualSpacing/>
              <w:rPr>
                <w:rStyle w:val="st"/>
                <w:rFonts w:ascii="Arial" w:hAnsi="Arial" w:cs="Arial"/>
                <w:lang w:val="sq-AL"/>
              </w:rPr>
            </w:pPr>
            <w:r w:rsidRPr="002A6F4E">
              <w:rPr>
                <w:rStyle w:val="st"/>
                <w:rFonts w:ascii="Arial" w:hAnsi="Arial" w:cs="Arial"/>
                <w:lang w:val="sq-AL"/>
              </w:rPr>
              <w:t>Postrojenje za prečišćavanje otpadnih voda</w:t>
            </w:r>
          </w:p>
        </w:tc>
      </w:tr>
      <w:tr w:rsidR="008C2119" w:rsidRPr="00156696" w14:paraId="36B6B4BB"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72C425C1" w14:textId="2D6E9487" w:rsidR="008C2119" w:rsidRPr="002A6F4E" w:rsidRDefault="008C2119" w:rsidP="00C232D7">
            <w:pPr>
              <w:spacing w:line="360" w:lineRule="auto"/>
              <w:ind w:left="-1" w:firstLine="1"/>
              <w:contextualSpacing/>
              <w:rPr>
                <w:rStyle w:val="st"/>
                <w:rFonts w:ascii="Arial" w:hAnsi="Arial" w:cs="Arial"/>
                <w:b/>
                <w:bCs/>
              </w:rPr>
            </w:pPr>
            <w:r>
              <w:rPr>
                <w:rStyle w:val="st"/>
                <w:rFonts w:ascii="Arial" w:hAnsi="Arial" w:cs="Arial"/>
                <w:b/>
                <w:bCs/>
              </w:rPr>
              <w:t>WMIS</w:t>
            </w:r>
          </w:p>
        </w:tc>
        <w:tc>
          <w:tcPr>
            <w:tcW w:w="7784" w:type="dxa"/>
            <w:tcBorders>
              <w:top w:val="dotted" w:sz="4" w:space="0" w:color="FF9900"/>
              <w:bottom w:val="dotted" w:sz="4" w:space="0" w:color="FF9900"/>
            </w:tcBorders>
          </w:tcPr>
          <w:p w14:paraId="69E95033" w14:textId="03549A21" w:rsidR="008C2119" w:rsidRPr="002A6F4E" w:rsidRDefault="008C2119" w:rsidP="00C232D7">
            <w:pPr>
              <w:spacing w:line="360" w:lineRule="auto"/>
              <w:ind w:left="-8" w:firstLine="1"/>
              <w:contextualSpacing/>
              <w:rPr>
                <w:rStyle w:val="st"/>
                <w:rFonts w:ascii="Arial" w:hAnsi="Arial" w:cs="Arial"/>
                <w:lang w:val="sq-AL"/>
              </w:rPr>
            </w:pPr>
            <w:r w:rsidRPr="002A6F4E">
              <w:rPr>
                <w:rFonts w:ascii="Arial" w:hAnsi="Arial" w:cs="Arial"/>
                <w:lang w:val="sq-AL"/>
              </w:rPr>
              <w:t>Informacion</w:t>
            </w:r>
            <w:r>
              <w:rPr>
                <w:rFonts w:ascii="Arial" w:hAnsi="Arial" w:cs="Arial"/>
                <w:lang w:val="sq-AL"/>
              </w:rPr>
              <w:t>i</w:t>
            </w:r>
            <w:r w:rsidRPr="002A6F4E">
              <w:rPr>
                <w:rFonts w:ascii="Arial" w:hAnsi="Arial" w:cs="Arial"/>
                <w:lang w:val="sq-AL"/>
              </w:rPr>
              <w:t xml:space="preserve"> sistem upravljanja otpadom</w:t>
            </w:r>
          </w:p>
        </w:tc>
      </w:tr>
      <w:tr w:rsidR="008661C5" w:rsidRPr="00156696" w14:paraId="3A2D5E9F" w14:textId="77777777" w:rsidTr="00C232D7">
        <w:trPr>
          <w:trHeight w:val="224"/>
          <w:jc w:val="center"/>
        </w:trPr>
        <w:tc>
          <w:tcPr>
            <w:tcW w:w="2109" w:type="dxa"/>
            <w:tcBorders>
              <w:top w:val="dotted" w:sz="4" w:space="0" w:color="FF9900"/>
              <w:bottom w:val="dotted" w:sz="4" w:space="0" w:color="FF9900"/>
            </w:tcBorders>
            <w:shd w:val="clear" w:color="auto" w:fill="DBE5F1"/>
            <w:vAlign w:val="center"/>
          </w:tcPr>
          <w:p w14:paraId="60E7200D" w14:textId="6F8E9077" w:rsidR="008661C5" w:rsidRPr="008661C5" w:rsidRDefault="008661C5" w:rsidP="00C232D7">
            <w:pPr>
              <w:spacing w:line="360" w:lineRule="auto"/>
              <w:ind w:left="-1" w:firstLine="1"/>
              <w:contextualSpacing/>
              <w:rPr>
                <w:rStyle w:val="st"/>
                <w:rFonts w:ascii="Arial" w:hAnsi="Arial" w:cs="Arial"/>
                <w:b/>
                <w:bCs/>
              </w:rPr>
            </w:pPr>
            <w:r w:rsidRPr="008661C5">
              <w:rPr>
                <w:b/>
                <w:lang w:val="sq-AL" w:eastAsia="it-IT"/>
              </w:rPr>
              <w:t>KP</w:t>
            </w:r>
          </w:p>
        </w:tc>
        <w:tc>
          <w:tcPr>
            <w:tcW w:w="7784" w:type="dxa"/>
            <w:tcBorders>
              <w:top w:val="dotted" w:sz="4" w:space="0" w:color="FF9900"/>
              <w:bottom w:val="dotted" w:sz="4" w:space="0" w:color="FF9900"/>
            </w:tcBorders>
          </w:tcPr>
          <w:p w14:paraId="1DC56E83" w14:textId="480BE340" w:rsidR="008661C5" w:rsidRPr="002A6F4E" w:rsidRDefault="008661C5" w:rsidP="00C232D7">
            <w:pPr>
              <w:spacing w:line="360" w:lineRule="auto"/>
              <w:ind w:left="-8" w:firstLine="1"/>
              <w:contextualSpacing/>
              <w:rPr>
                <w:rFonts w:ascii="Arial" w:hAnsi="Arial" w:cs="Arial"/>
                <w:lang w:val="sq-AL"/>
              </w:rPr>
            </w:pPr>
            <w:r>
              <w:rPr>
                <w:rFonts w:ascii="Arial" w:hAnsi="Arial" w:cs="Arial"/>
                <w:lang w:val="sq-AL"/>
              </w:rPr>
              <w:t>Komunalno preduzeće</w:t>
            </w:r>
          </w:p>
        </w:tc>
      </w:tr>
    </w:tbl>
    <w:p w14:paraId="2CE8357A" w14:textId="77777777" w:rsidR="00C232D7" w:rsidRPr="002A6F4E" w:rsidRDefault="00C232D7" w:rsidP="00C232D7">
      <w:pPr>
        <w:rPr>
          <w:rFonts w:ascii="Arial" w:hAnsi="Arial" w:cs="Arial"/>
          <w:lang w:val="sq-AL"/>
        </w:rPr>
      </w:pPr>
      <w:bookmarkStart w:id="3" w:name="_Toc235290510"/>
      <w:bookmarkStart w:id="4" w:name="_Toc235290949"/>
      <w:bookmarkStart w:id="5" w:name="_Toc240252190"/>
      <w:bookmarkStart w:id="6" w:name="_Toc235118011"/>
      <w:bookmarkStart w:id="7" w:name="_Toc235098424"/>
      <w:bookmarkStart w:id="8" w:name="_Toc235118751"/>
      <w:bookmarkStart w:id="9" w:name="_Toc235154872"/>
      <w:bookmarkStart w:id="10" w:name="_Toc235160884"/>
      <w:bookmarkStart w:id="11" w:name="_Toc235178880"/>
      <w:bookmarkStart w:id="12" w:name="_Toc235189933"/>
      <w:bookmarkStart w:id="13" w:name="_Toc235190650"/>
    </w:p>
    <w:p w14:paraId="6358590B" w14:textId="77777777" w:rsidR="00C232D7" w:rsidRDefault="00C232D7" w:rsidP="00C232D7">
      <w:pPr>
        <w:rPr>
          <w:rFonts w:ascii="Arial" w:hAnsi="Arial" w:cs="Arial"/>
          <w:lang w:val="sq-AL"/>
        </w:rPr>
      </w:pPr>
    </w:p>
    <w:p w14:paraId="26712B77" w14:textId="72F38A7D" w:rsidR="00B14F37" w:rsidRDefault="00B14F37" w:rsidP="00C232D7">
      <w:pPr>
        <w:rPr>
          <w:rFonts w:ascii="Arial" w:hAnsi="Arial" w:cs="Arial"/>
          <w:lang w:val="sq-AL"/>
        </w:rPr>
      </w:pPr>
    </w:p>
    <w:p w14:paraId="0414CFAE" w14:textId="0E5FEF7B" w:rsidR="000D7745" w:rsidRDefault="000D7745" w:rsidP="00C232D7">
      <w:pPr>
        <w:rPr>
          <w:rFonts w:ascii="Arial" w:hAnsi="Arial" w:cs="Arial"/>
          <w:lang w:val="sq-AL"/>
        </w:rPr>
      </w:pPr>
    </w:p>
    <w:p w14:paraId="117306B2" w14:textId="0AC28430" w:rsidR="00CC102C" w:rsidRDefault="00CC102C" w:rsidP="00C232D7">
      <w:pPr>
        <w:rPr>
          <w:rFonts w:ascii="Arial" w:hAnsi="Arial" w:cs="Arial"/>
          <w:lang w:val="sq-AL"/>
        </w:rPr>
      </w:pPr>
    </w:p>
    <w:p w14:paraId="4F5CDF06" w14:textId="77777777" w:rsidR="00C232D7" w:rsidRPr="002A6F4E" w:rsidRDefault="00C232D7" w:rsidP="00C232D7">
      <w:pPr>
        <w:rPr>
          <w:rFonts w:ascii="Arial" w:hAnsi="Arial" w:cs="Arial"/>
          <w:lang w:val="sq-AL"/>
        </w:rPr>
      </w:pPr>
    </w:p>
    <w:p w14:paraId="1E312F5C" w14:textId="4CCC3697" w:rsidR="00C232D7" w:rsidRPr="00FB78D5" w:rsidRDefault="00C232D7" w:rsidP="00FB78D5">
      <w:pPr>
        <w:pStyle w:val="Heading1"/>
        <w:numPr>
          <w:ilvl w:val="0"/>
          <w:numId w:val="0"/>
        </w:numPr>
        <w:ind w:left="396"/>
        <w:rPr>
          <w:sz w:val="20"/>
          <w:szCs w:val="20"/>
        </w:rPr>
      </w:pPr>
      <w:bookmarkStart w:id="14" w:name="_Toc186019836"/>
      <w:bookmarkStart w:id="15" w:name="_Toc193353958"/>
      <w:r w:rsidRPr="002A6F4E">
        <w:rPr>
          <w:sz w:val="20"/>
          <w:szCs w:val="20"/>
        </w:rPr>
        <w:lastRenderedPageBreak/>
        <w:t>R</w:t>
      </w:r>
      <w:bookmarkEnd w:id="14"/>
      <w:r w:rsidRPr="002A6F4E">
        <w:rPr>
          <w:sz w:val="20"/>
          <w:szCs w:val="20"/>
        </w:rPr>
        <w:t>ezime</w:t>
      </w:r>
      <w:bookmarkEnd w:id="15"/>
    </w:p>
    <w:p w14:paraId="5FF29597" w14:textId="19AFF1D7" w:rsidR="00C232D7" w:rsidRPr="002A6F4E" w:rsidRDefault="00C232D7" w:rsidP="00C232D7">
      <w:pPr>
        <w:spacing w:before="120" w:after="120" w:line="360" w:lineRule="auto"/>
        <w:rPr>
          <w:rFonts w:ascii="Arial" w:hAnsi="Arial" w:cs="Arial"/>
          <w:lang w:val="sq-AL"/>
        </w:rPr>
      </w:pPr>
      <w:bookmarkStart w:id="16" w:name="_Toc121758984"/>
      <w:r w:rsidRPr="002A6F4E">
        <w:rPr>
          <w:rFonts w:ascii="Arial" w:hAnsi="Arial" w:cs="Arial"/>
          <w:lang w:val="sq-AL"/>
        </w:rPr>
        <w:t>Državni plan upravljanja otpadom za period 2025-2029</w:t>
      </w:r>
      <w:r w:rsidR="00B84D62">
        <w:rPr>
          <w:rFonts w:ascii="Arial" w:hAnsi="Arial" w:cs="Arial"/>
          <w:lang w:val="sq-AL"/>
        </w:rPr>
        <w:t>. godina</w:t>
      </w:r>
      <w:r w:rsidRPr="002A6F4E">
        <w:rPr>
          <w:rFonts w:ascii="Arial" w:hAnsi="Arial" w:cs="Arial"/>
          <w:lang w:val="sq-AL"/>
        </w:rPr>
        <w:t>,</w:t>
      </w:r>
      <w:r w:rsidR="003D7619">
        <w:rPr>
          <w:rFonts w:ascii="Arial" w:hAnsi="Arial" w:cs="Arial"/>
          <w:lang w:val="sq-AL"/>
        </w:rPr>
        <w:t xml:space="preserve"> (u daljem tekstu: DPUO 2025-2029)</w:t>
      </w:r>
      <w:r w:rsidRPr="002A6F4E">
        <w:rPr>
          <w:rFonts w:ascii="Arial" w:hAnsi="Arial" w:cs="Arial"/>
          <w:lang w:val="sq-AL"/>
        </w:rPr>
        <w:t xml:space="preserve"> sastoji se od strateškog planiranja zemlje u pogledu održivog upravljanj</w:t>
      </w:r>
      <w:r w:rsidR="00FF5DB2">
        <w:rPr>
          <w:rFonts w:ascii="Arial" w:hAnsi="Arial" w:cs="Arial"/>
          <w:lang w:val="sq-AL"/>
        </w:rPr>
        <w:t>a</w:t>
      </w:r>
      <w:r w:rsidRPr="002A6F4E">
        <w:rPr>
          <w:rFonts w:ascii="Arial" w:hAnsi="Arial" w:cs="Arial"/>
          <w:lang w:val="sq-AL"/>
        </w:rPr>
        <w:t xml:space="preserve"> otpadom. Crna Gora, kao zemlja kandidat za članstvo u EU, ima obavezu da uspostavi funkcionalan Integrisani sistem upravljanja otpadom (ISUO) i ovaj cilj se smatra jednim od prioriteta na putu pristupanja EU. Izrada planova upravljanja otpadom je obaveza država članica EU i proizilazi iz člana 28 Direktive 2008/98/EC o otpadu.</w:t>
      </w:r>
    </w:p>
    <w:p w14:paraId="7861B265" w14:textId="0644CFBF"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DPUO 2025-2029</w:t>
      </w:r>
      <w:r w:rsidR="00186CBC">
        <w:rPr>
          <w:rFonts w:ascii="Arial" w:hAnsi="Arial" w:cs="Arial"/>
          <w:lang w:val="sq-AL"/>
        </w:rPr>
        <w:t xml:space="preserve">. </w:t>
      </w:r>
      <w:r w:rsidR="00E27D77">
        <w:rPr>
          <w:rFonts w:ascii="Arial" w:hAnsi="Arial" w:cs="Arial"/>
          <w:lang w:val="sq-AL"/>
        </w:rPr>
        <w:t>g</w:t>
      </w:r>
      <w:r w:rsidR="00186CBC">
        <w:rPr>
          <w:rFonts w:ascii="Arial" w:hAnsi="Arial" w:cs="Arial"/>
          <w:lang w:val="sq-AL"/>
        </w:rPr>
        <w:t>odina</w:t>
      </w:r>
      <w:r w:rsidR="00E27D77">
        <w:rPr>
          <w:rFonts w:ascii="Arial" w:hAnsi="Arial" w:cs="Arial"/>
          <w:lang w:val="sq-AL"/>
        </w:rPr>
        <w:t xml:space="preserve"> je pripremljen</w:t>
      </w:r>
      <w:r w:rsidRPr="002A6F4E">
        <w:rPr>
          <w:rFonts w:ascii="Arial" w:hAnsi="Arial" w:cs="Arial"/>
          <w:lang w:val="sq-AL"/>
        </w:rPr>
        <w:t xml:space="preserve"> na osnovu odredbi člana 26</w:t>
      </w:r>
      <w:r w:rsidR="00271D95">
        <w:rPr>
          <w:rFonts w:ascii="Arial" w:hAnsi="Arial" w:cs="Arial"/>
          <w:lang w:val="sq-AL"/>
        </w:rPr>
        <w:t xml:space="preserve"> </w:t>
      </w:r>
      <w:r w:rsidRPr="002A6F4E">
        <w:rPr>
          <w:rFonts w:ascii="Arial" w:hAnsi="Arial" w:cs="Arial"/>
          <w:lang w:val="sq-AL"/>
        </w:rPr>
        <w:t>Zakona o upravljanju otpadom (</w:t>
      </w:r>
      <w:r w:rsidR="00E616C1" w:rsidRPr="0035491B">
        <w:rPr>
          <w:rFonts w:ascii="Arial" w:hAnsi="Arial" w:cs="Arial"/>
          <w:bCs/>
          <w:lang w:val="sq-AL"/>
        </w:rPr>
        <w:t>"Službeni list Crne Gore",</w:t>
      </w:r>
      <w:r w:rsidR="00E616C1">
        <w:rPr>
          <w:rFonts w:ascii="Arial" w:hAnsi="Arial" w:cs="Arial"/>
          <w:bCs/>
          <w:lang w:val="sq-AL"/>
        </w:rPr>
        <w:t xml:space="preserve"> br.</w:t>
      </w:r>
      <w:r w:rsidRPr="00E616C1">
        <w:rPr>
          <w:rFonts w:ascii="Arial" w:hAnsi="Arial" w:cs="Arial"/>
          <w:lang w:val="sq-AL"/>
        </w:rPr>
        <w:t xml:space="preserve"> 34/24</w:t>
      </w:r>
      <w:r w:rsidR="00E616C1" w:rsidRPr="00271D95">
        <w:rPr>
          <w:rFonts w:ascii="Arial" w:hAnsi="Arial" w:cs="Arial"/>
          <w:lang w:val="sq-AL"/>
        </w:rPr>
        <w:t>, 92/24</w:t>
      </w:r>
      <w:r w:rsidRPr="00E616C1">
        <w:rPr>
          <w:rFonts w:ascii="Arial" w:hAnsi="Arial" w:cs="Arial"/>
          <w:lang w:val="sq-AL"/>
        </w:rPr>
        <w:t>),</w:t>
      </w:r>
      <w:r w:rsidRPr="002A6F4E">
        <w:rPr>
          <w:rFonts w:ascii="Arial" w:hAnsi="Arial" w:cs="Arial"/>
          <w:lang w:val="sq-AL"/>
        </w:rPr>
        <w:t xml:space="preserve"> koji propisuje sadržaj DPUO. Nakon konsultacija, DPUO će biti predložen od strane MERS</w:t>
      </w:r>
      <w:r w:rsidR="00186CBC">
        <w:rPr>
          <w:rFonts w:ascii="Arial" w:hAnsi="Arial" w:cs="Arial"/>
          <w:lang w:val="sq-AL"/>
        </w:rPr>
        <w:t>,</w:t>
      </w:r>
      <w:r w:rsidRPr="002A6F4E">
        <w:rPr>
          <w:rFonts w:ascii="Arial" w:hAnsi="Arial" w:cs="Arial"/>
          <w:lang w:val="sq-AL"/>
        </w:rPr>
        <w:t xml:space="preserve"> Vladi Crne Gore i odobren na period do </w:t>
      </w:r>
      <w:r w:rsidR="002160F7">
        <w:rPr>
          <w:rFonts w:ascii="Arial" w:hAnsi="Arial" w:cs="Arial"/>
          <w:lang w:val="sq-AL"/>
        </w:rPr>
        <w:t>pet</w:t>
      </w:r>
      <w:r w:rsidRPr="002A6F4E">
        <w:rPr>
          <w:rFonts w:ascii="Arial" w:hAnsi="Arial" w:cs="Arial"/>
          <w:lang w:val="sq-AL"/>
        </w:rPr>
        <w:t xml:space="preserve"> (</w:t>
      </w:r>
      <w:r w:rsidR="002160F7">
        <w:rPr>
          <w:rFonts w:ascii="Arial" w:hAnsi="Arial" w:cs="Arial"/>
          <w:lang w:val="sq-AL"/>
        </w:rPr>
        <w:t>5</w:t>
      </w:r>
      <w:r w:rsidRPr="002A6F4E">
        <w:rPr>
          <w:rFonts w:ascii="Arial" w:hAnsi="Arial" w:cs="Arial"/>
          <w:lang w:val="sq-AL"/>
        </w:rPr>
        <w:t>) godin</w:t>
      </w:r>
      <w:r w:rsidR="002160F7">
        <w:rPr>
          <w:rFonts w:ascii="Arial" w:hAnsi="Arial" w:cs="Arial"/>
          <w:lang w:val="sq-AL"/>
        </w:rPr>
        <w:t>a</w:t>
      </w:r>
      <w:r w:rsidRPr="002A6F4E">
        <w:rPr>
          <w:rFonts w:ascii="Arial" w:hAnsi="Arial" w:cs="Arial"/>
          <w:lang w:val="sq-AL"/>
        </w:rPr>
        <w:t>.</w:t>
      </w:r>
    </w:p>
    <w:bookmarkEnd w:id="16"/>
    <w:p w14:paraId="5705C626" w14:textId="0FBC7B1A"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Novi DPUO 2025-2029</w:t>
      </w:r>
      <w:r w:rsidR="00186CBC">
        <w:rPr>
          <w:rFonts w:ascii="Arial" w:hAnsi="Arial" w:cs="Arial"/>
          <w:lang w:val="sq-AL"/>
        </w:rPr>
        <w:t>. godina</w:t>
      </w:r>
      <w:r w:rsidRPr="002A6F4E">
        <w:rPr>
          <w:rFonts w:ascii="Arial" w:hAnsi="Arial" w:cs="Arial"/>
          <w:lang w:val="sq-AL"/>
        </w:rPr>
        <w:t xml:space="preserve"> uključuje  odredbe člana 28 Direktive 2008/98/EC, istovremeno pokrivajući sve nove obaveze i elemente uvedene u ovom članu kroz Direktivu EU 2018/851. Plan daje ciljeve i mjere za upravljanje ambalažom i ambalažnim otpadom, u skladu sa odredbama člana 14. Direktive 94/62/EC, neophodne mjere iz člana 5 Direktive 1999/31/EC o deponijama otpada</w:t>
      </w:r>
      <w:r w:rsidR="00C279F7">
        <w:rPr>
          <w:rFonts w:ascii="Arial" w:hAnsi="Arial" w:cs="Arial"/>
          <w:lang w:val="sq-AL"/>
        </w:rPr>
        <w:t>,</w:t>
      </w:r>
      <w:r w:rsidRPr="002A6F4E">
        <w:rPr>
          <w:rFonts w:ascii="Arial" w:hAnsi="Arial" w:cs="Arial"/>
          <w:lang w:val="sq-AL"/>
        </w:rPr>
        <w:t xml:space="preserve"> koja je izm</w:t>
      </w:r>
      <w:r w:rsidR="00C279F7">
        <w:rPr>
          <w:rFonts w:ascii="Arial" w:hAnsi="Arial" w:cs="Arial"/>
          <w:lang w:val="sq-AL"/>
        </w:rPr>
        <w:t>i</w:t>
      </w:r>
      <w:r w:rsidRPr="002A6F4E">
        <w:rPr>
          <w:rFonts w:ascii="Arial" w:hAnsi="Arial" w:cs="Arial"/>
          <w:lang w:val="sq-AL"/>
        </w:rPr>
        <w:t xml:space="preserve">jenjena i na snazi,  kao i osnovna uputstva koja će se primjenjivati za </w:t>
      </w:r>
      <w:r w:rsidR="00482F3C">
        <w:rPr>
          <w:rFonts w:ascii="Arial" w:hAnsi="Arial" w:cs="Arial"/>
          <w:lang w:val="sq-AL"/>
        </w:rPr>
        <w:t xml:space="preserve">plastične proizvode </w:t>
      </w:r>
      <w:r w:rsidRPr="002A6F4E">
        <w:rPr>
          <w:rFonts w:ascii="Arial" w:hAnsi="Arial" w:cs="Arial"/>
          <w:lang w:val="sq-AL"/>
        </w:rPr>
        <w:t>za jednokratnu upotrebu, prema članu 11</w:t>
      </w:r>
      <w:r w:rsidR="00482F3C">
        <w:rPr>
          <w:rFonts w:ascii="Arial" w:hAnsi="Arial" w:cs="Arial"/>
          <w:lang w:val="sq-AL"/>
        </w:rPr>
        <w:t>.</w:t>
      </w:r>
      <w:r w:rsidRPr="002A6F4E">
        <w:rPr>
          <w:rFonts w:ascii="Arial" w:hAnsi="Arial" w:cs="Arial"/>
          <w:lang w:val="sq-AL"/>
        </w:rPr>
        <w:t xml:space="preserve"> Direktive EU 2019/904.</w:t>
      </w:r>
    </w:p>
    <w:p w14:paraId="138F8A95" w14:textId="32E51181" w:rsidR="00C232D7" w:rsidRPr="002A6F4E" w:rsidRDefault="00482F3C" w:rsidP="00C232D7">
      <w:pPr>
        <w:spacing w:before="120" w:after="120" w:line="360" w:lineRule="auto"/>
        <w:rPr>
          <w:rFonts w:ascii="Arial" w:hAnsi="Arial" w:cs="Arial"/>
          <w:lang w:val="sq-AL"/>
        </w:rPr>
      </w:pPr>
      <w:r>
        <w:rPr>
          <w:rFonts w:ascii="Arial" w:hAnsi="Arial" w:cs="Arial"/>
          <w:lang w:val="sq-AL"/>
        </w:rPr>
        <w:t>U skladu sa Zakonom o upravljanju otpadom DPUO sadrži</w:t>
      </w:r>
      <w:r w:rsidR="00C232D7" w:rsidRPr="002A6F4E">
        <w:rPr>
          <w:rFonts w:ascii="Arial" w:hAnsi="Arial" w:cs="Arial"/>
          <w:lang w:val="sq-AL"/>
        </w:rPr>
        <w:t xml:space="preserve"> </w:t>
      </w:r>
      <w:r w:rsidR="000D7745" w:rsidRPr="000D7745">
        <w:rPr>
          <w:rFonts w:ascii="Arial" w:hAnsi="Arial" w:cs="Arial"/>
          <w:lang w:val="sr-Cyrl-ME"/>
        </w:rPr>
        <w:t>Program za sprečavanje nastanka otpada</w:t>
      </w:r>
      <w:r w:rsidR="000D7745" w:rsidRPr="002A6F4E">
        <w:rPr>
          <w:rFonts w:ascii="Arial" w:hAnsi="Arial" w:cs="Arial"/>
          <w:lang w:val="sq-AL"/>
        </w:rPr>
        <w:t xml:space="preserve"> </w:t>
      </w:r>
      <w:r w:rsidR="00C232D7" w:rsidRPr="002A6F4E">
        <w:rPr>
          <w:rFonts w:ascii="Arial" w:hAnsi="Arial" w:cs="Arial"/>
          <w:lang w:val="sq-AL"/>
        </w:rPr>
        <w:t>(</w:t>
      </w:r>
      <w:r w:rsidR="000D7745">
        <w:rPr>
          <w:rFonts w:ascii="Arial" w:hAnsi="Arial" w:cs="Arial"/>
          <w:lang w:val="sq-AL"/>
        </w:rPr>
        <w:t>PSNO</w:t>
      </w:r>
      <w:r w:rsidR="00C232D7" w:rsidRPr="002A6F4E">
        <w:rPr>
          <w:rFonts w:ascii="Arial" w:hAnsi="Arial" w:cs="Arial"/>
          <w:lang w:val="sq-AL"/>
        </w:rPr>
        <w:t xml:space="preserve">). </w:t>
      </w:r>
    </w:p>
    <w:p w14:paraId="04C42364" w14:textId="55C27F90"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 cilju implementacije politika i uputstava DPUO, jedinic</w:t>
      </w:r>
      <w:r w:rsidR="006241A7">
        <w:rPr>
          <w:rFonts w:ascii="Arial" w:hAnsi="Arial" w:cs="Arial"/>
          <w:lang w:val="sq-AL"/>
        </w:rPr>
        <w:t>e</w:t>
      </w:r>
      <w:r w:rsidRPr="002A6F4E">
        <w:rPr>
          <w:rFonts w:ascii="Arial" w:hAnsi="Arial" w:cs="Arial"/>
          <w:lang w:val="sq-AL"/>
        </w:rPr>
        <w:t xml:space="preserve"> lokalne samouprave</w:t>
      </w:r>
      <w:r w:rsidR="00751035">
        <w:rPr>
          <w:rFonts w:ascii="Arial" w:hAnsi="Arial" w:cs="Arial"/>
          <w:lang w:val="sq-AL"/>
        </w:rPr>
        <w:t xml:space="preserve"> izrađuju Lokalne planove</w:t>
      </w:r>
      <w:r w:rsidR="006241A7">
        <w:rPr>
          <w:rFonts w:ascii="Arial" w:hAnsi="Arial" w:cs="Arial"/>
          <w:lang w:val="sq-AL"/>
        </w:rPr>
        <w:t xml:space="preserve"> upravljanja komunalnim i neop</w:t>
      </w:r>
      <w:r w:rsidR="00751035">
        <w:rPr>
          <w:rFonts w:ascii="Arial" w:hAnsi="Arial" w:cs="Arial"/>
          <w:lang w:val="sq-AL"/>
        </w:rPr>
        <w:t>a</w:t>
      </w:r>
      <w:r w:rsidR="006241A7">
        <w:rPr>
          <w:rFonts w:ascii="Arial" w:hAnsi="Arial" w:cs="Arial"/>
          <w:lang w:val="sq-AL"/>
        </w:rPr>
        <w:t>sanim građevinskim otpadom (u daljem tekstu: lokalni plan)</w:t>
      </w:r>
      <w:r w:rsidRPr="002A6F4E">
        <w:rPr>
          <w:rFonts w:ascii="Arial" w:hAnsi="Arial" w:cs="Arial"/>
          <w:lang w:val="sq-AL"/>
        </w:rPr>
        <w:t>. Lokalni planovi moraju biti usaglašeni sa DPUO i usvojeni za period za koji se DPUO donosi.</w:t>
      </w:r>
    </w:p>
    <w:p w14:paraId="738E5BB6" w14:textId="5171092A"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Državni plan upravljanja otpadom 2025-2029</w:t>
      </w:r>
      <w:r w:rsidR="00356223">
        <w:rPr>
          <w:rFonts w:ascii="Arial" w:hAnsi="Arial" w:cs="Arial"/>
          <w:lang w:val="sq-AL"/>
        </w:rPr>
        <w:t>. godina</w:t>
      </w:r>
      <w:r w:rsidRPr="002A6F4E">
        <w:rPr>
          <w:rFonts w:ascii="Arial" w:hAnsi="Arial" w:cs="Arial"/>
          <w:lang w:val="sq-AL"/>
        </w:rPr>
        <w:t xml:space="preserve"> predstavlja značajan korak u tranziciji ka cirkularnoj ekonomiji, a izgrađen je na principima odgovorne potrošnje prirodnih resursa, optimizacije životnih ciklusa proizvoda, mogućnosti ponovne upotrebe ili ukoliko do toga ne dođe, reciklaže otpada. Generalno, ključni principi na kojima se zasniva DPUO sastoje se od:</w:t>
      </w:r>
    </w:p>
    <w:p w14:paraId="376151A6" w14:textId="7D805CD8" w:rsidR="00C232D7" w:rsidRPr="002A6F4E" w:rsidRDefault="00C232D7" w:rsidP="00A23ED0">
      <w:pPr>
        <w:pStyle w:val="ListParagraph"/>
        <w:numPr>
          <w:ilvl w:val="0"/>
          <w:numId w:val="13"/>
        </w:numPr>
        <w:tabs>
          <w:tab w:val="left" w:pos="720"/>
        </w:tabs>
        <w:spacing w:before="120" w:after="120" w:line="360" w:lineRule="auto"/>
        <w:contextualSpacing w:val="0"/>
        <w:rPr>
          <w:rFonts w:ascii="Arial" w:hAnsi="Arial" w:cs="Arial"/>
          <w:lang w:val="sq-AL"/>
        </w:rPr>
      </w:pPr>
      <w:r w:rsidRPr="002A6F4E">
        <w:rPr>
          <w:rFonts w:ascii="Arial" w:hAnsi="Arial" w:cs="Arial"/>
          <w:lang w:val="sq-AL"/>
        </w:rPr>
        <w:t>Promocije integrisanog upravljanja otpadom iz domaćinstava;</w:t>
      </w:r>
    </w:p>
    <w:p w14:paraId="2B8622F3" w14:textId="77777777" w:rsidR="00C232D7" w:rsidRPr="002A6F4E" w:rsidRDefault="00C232D7" w:rsidP="00A23ED0">
      <w:pPr>
        <w:pStyle w:val="ListParagraph"/>
        <w:numPr>
          <w:ilvl w:val="0"/>
          <w:numId w:val="13"/>
        </w:numPr>
        <w:tabs>
          <w:tab w:val="left" w:pos="720"/>
        </w:tabs>
        <w:spacing w:before="120" w:after="120" w:line="360" w:lineRule="auto"/>
        <w:contextualSpacing w:val="0"/>
        <w:rPr>
          <w:rFonts w:ascii="Arial" w:hAnsi="Arial" w:cs="Arial"/>
          <w:lang w:val="sq-AL"/>
        </w:rPr>
      </w:pPr>
      <w:r w:rsidRPr="002A6F4E">
        <w:rPr>
          <w:rFonts w:ascii="Arial" w:hAnsi="Arial" w:cs="Arial"/>
          <w:lang w:val="sq-AL"/>
        </w:rPr>
        <w:t>Principa hijerarhije za upravljanje otpadom;</w:t>
      </w:r>
    </w:p>
    <w:p w14:paraId="53F78F5B" w14:textId="7C8BD14C" w:rsidR="00C232D7" w:rsidRPr="002A6F4E" w:rsidRDefault="00C232D7" w:rsidP="00A23ED0">
      <w:pPr>
        <w:pStyle w:val="ListParagraph"/>
        <w:numPr>
          <w:ilvl w:val="0"/>
          <w:numId w:val="13"/>
        </w:numPr>
        <w:tabs>
          <w:tab w:val="left" w:pos="720"/>
        </w:tabs>
        <w:spacing w:before="120" w:after="120" w:line="360" w:lineRule="auto"/>
        <w:contextualSpacing w:val="0"/>
        <w:rPr>
          <w:rFonts w:ascii="Arial" w:hAnsi="Arial" w:cs="Arial"/>
          <w:lang w:val="sq-AL"/>
        </w:rPr>
      </w:pPr>
      <w:r w:rsidRPr="002A6F4E">
        <w:rPr>
          <w:rFonts w:ascii="Arial" w:hAnsi="Arial" w:cs="Arial"/>
          <w:lang w:val="sq-AL"/>
        </w:rPr>
        <w:t>Prioriteta u pogledu smanjenju otpada, ponovnoj upotrebi i recikl</w:t>
      </w:r>
      <w:r w:rsidR="00E91ABE">
        <w:rPr>
          <w:rFonts w:ascii="Arial" w:hAnsi="Arial" w:cs="Arial"/>
          <w:lang w:val="sq-AL"/>
        </w:rPr>
        <w:t>iranju</w:t>
      </w:r>
      <w:r w:rsidRPr="002A6F4E">
        <w:rPr>
          <w:rFonts w:ascii="Arial" w:hAnsi="Arial" w:cs="Arial"/>
          <w:lang w:val="sq-AL"/>
        </w:rPr>
        <w:t>;</w:t>
      </w:r>
    </w:p>
    <w:p w14:paraId="5B43700C" w14:textId="77777777" w:rsidR="00C232D7" w:rsidRPr="002A6F4E" w:rsidRDefault="00C232D7" w:rsidP="00A23ED0">
      <w:pPr>
        <w:pStyle w:val="ListParagraph"/>
        <w:numPr>
          <w:ilvl w:val="0"/>
          <w:numId w:val="13"/>
        </w:numPr>
        <w:tabs>
          <w:tab w:val="left" w:pos="720"/>
        </w:tabs>
        <w:spacing w:before="120" w:after="120" w:line="360" w:lineRule="auto"/>
        <w:contextualSpacing w:val="0"/>
        <w:rPr>
          <w:rFonts w:ascii="Arial" w:hAnsi="Arial" w:cs="Arial"/>
          <w:lang w:val="sq-AL"/>
        </w:rPr>
      </w:pPr>
      <w:r w:rsidRPr="002A6F4E">
        <w:rPr>
          <w:rFonts w:ascii="Arial" w:hAnsi="Arial" w:cs="Arial"/>
          <w:lang w:val="sq-AL"/>
        </w:rPr>
        <w:t>Principa održivosti;</w:t>
      </w:r>
    </w:p>
    <w:p w14:paraId="452E5BF8" w14:textId="21A4A3BC" w:rsidR="00C232D7" w:rsidRPr="002A6F4E" w:rsidRDefault="00C232D7" w:rsidP="00A23ED0">
      <w:pPr>
        <w:pStyle w:val="ListParagraph"/>
        <w:numPr>
          <w:ilvl w:val="0"/>
          <w:numId w:val="13"/>
        </w:numPr>
        <w:tabs>
          <w:tab w:val="left" w:pos="720"/>
        </w:tabs>
        <w:spacing w:before="120" w:after="120" w:line="360" w:lineRule="auto"/>
        <w:contextualSpacing w:val="0"/>
        <w:rPr>
          <w:rFonts w:ascii="Arial" w:hAnsi="Arial" w:cs="Arial"/>
          <w:lang w:val="sq-AL"/>
        </w:rPr>
      </w:pPr>
      <w:r w:rsidRPr="002A6F4E">
        <w:rPr>
          <w:rFonts w:ascii="Arial" w:hAnsi="Arial" w:cs="Arial"/>
          <w:lang w:val="sq-AL"/>
        </w:rPr>
        <w:t xml:space="preserve">Principa blizine i </w:t>
      </w:r>
      <w:r w:rsidR="00E91ABE">
        <w:rPr>
          <w:rFonts w:ascii="Arial" w:hAnsi="Arial" w:cs="Arial"/>
          <w:lang w:val="sq-AL"/>
        </w:rPr>
        <w:t>regionalnog upravljanja otpadom</w:t>
      </w:r>
      <w:r w:rsidRPr="002A6F4E">
        <w:rPr>
          <w:rFonts w:ascii="Arial" w:hAnsi="Arial" w:cs="Arial"/>
          <w:lang w:val="sq-AL"/>
        </w:rPr>
        <w:t>;</w:t>
      </w:r>
    </w:p>
    <w:p w14:paraId="1E8B0A3E" w14:textId="77777777" w:rsidR="00C232D7" w:rsidRPr="002A6F4E" w:rsidRDefault="00C232D7" w:rsidP="00A23ED0">
      <w:pPr>
        <w:pStyle w:val="ListParagraph"/>
        <w:numPr>
          <w:ilvl w:val="0"/>
          <w:numId w:val="13"/>
        </w:numPr>
        <w:tabs>
          <w:tab w:val="left" w:pos="720"/>
        </w:tabs>
        <w:spacing w:before="120" w:after="120" w:line="360" w:lineRule="auto"/>
        <w:contextualSpacing w:val="0"/>
        <w:rPr>
          <w:rFonts w:ascii="Arial" w:hAnsi="Arial" w:cs="Arial"/>
          <w:lang w:val="sq-AL"/>
        </w:rPr>
      </w:pPr>
      <w:r w:rsidRPr="002A6F4E">
        <w:rPr>
          <w:rFonts w:ascii="Arial" w:hAnsi="Arial" w:cs="Arial"/>
          <w:lang w:val="sq-AL"/>
        </w:rPr>
        <w:t>Principa predostrožnosti;</w:t>
      </w:r>
    </w:p>
    <w:p w14:paraId="5714BB7F" w14:textId="4F91360B" w:rsidR="00C232D7" w:rsidRPr="002A6F4E" w:rsidRDefault="00C232D7" w:rsidP="00A23ED0">
      <w:pPr>
        <w:pStyle w:val="ListParagraph"/>
        <w:numPr>
          <w:ilvl w:val="0"/>
          <w:numId w:val="13"/>
        </w:numPr>
        <w:tabs>
          <w:tab w:val="left" w:pos="720"/>
        </w:tabs>
        <w:spacing w:before="120" w:after="120" w:line="360" w:lineRule="auto"/>
        <w:contextualSpacing w:val="0"/>
        <w:rPr>
          <w:rFonts w:ascii="Arial" w:hAnsi="Arial" w:cs="Arial"/>
          <w:lang w:val="sq-AL"/>
        </w:rPr>
      </w:pPr>
      <w:r w:rsidRPr="002A6F4E">
        <w:rPr>
          <w:rFonts w:ascii="Arial" w:hAnsi="Arial" w:cs="Arial"/>
          <w:lang w:val="sq-AL"/>
        </w:rPr>
        <w:t>Potpune prevencij</w:t>
      </w:r>
      <w:r w:rsidR="005C4142">
        <w:rPr>
          <w:rFonts w:ascii="Arial" w:hAnsi="Arial" w:cs="Arial"/>
          <w:lang w:val="sq-AL"/>
        </w:rPr>
        <w:t>e</w:t>
      </w:r>
      <w:r w:rsidRPr="002A6F4E">
        <w:rPr>
          <w:rFonts w:ascii="Arial" w:hAnsi="Arial" w:cs="Arial"/>
          <w:lang w:val="sq-AL"/>
        </w:rPr>
        <w:t xml:space="preserve"> nelegalnog odlaganja, deponovanja i spaljivanja otpada;</w:t>
      </w:r>
    </w:p>
    <w:p w14:paraId="5169E235" w14:textId="754FAC42" w:rsidR="00C232D7" w:rsidRPr="002A6F4E" w:rsidRDefault="00C232D7" w:rsidP="00A23ED0">
      <w:pPr>
        <w:pStyle w:val="ListParagraph"/>
        <w:numPr>
          <w:ilvl w:val="0"/>
          <w:numId w:val="13"/>
        </w:numPr>
        <w:tabs>
          <w:tab w:val="left" w:pos="720"/>
        </w:tabs>
        <w:spacing w:before="120" w:after="120" w:line="360" w:lineRule="auto"/>
        <w:contextualSpacing w:val="0"/>
        <w:rPr>
          <w:rFonts w:ascii="Arial" w:hAnsi="Arial" w:cs="Arial"/>
          <w:lang w:val="sq-AL"/>
        </w:rPr>
      </w:pPr>
      <w:r w:rsidRPr="002A6F4E">
        <w:rPr>
          <w:rFonts w:ascii="Arial" w:hAnsi="Arial" w:cs="Arial"/>
          <w:lang w:val="sq-AL"/>
        </w:rPr>
        <w:t xml:space="preserve">Principa </w:t>
      </w:r>
      <w:r w:rsidR="00FB5884">
        <w:rPr>
          <w:rFonts w:ascii="Arial" w:hAnsi="Arial" w:cs="Arial"/>
          <w:lang w:val="sq-AL"/>
        </w:rPr>
        <w:t>“zagađivač plaća”</w:t>
      </w:r>
      <w:r w:rsidRPr="002A6F4E">
        <w:rPr>
          <w:rFonts w:ascii="Arial" w:hAnsi="Arial" w:cs="Arial"/>
          <w:lang w:val="sq-AL"/>
        </w:rPr>
        <w:t>;</w:t>
      </w:r>
    </w:p>
    <w:p w14:paraId="6617FABF" w14:textId="0830B52A" w:rsidR="00C232D7" w:rsidRPr="002A6F4E" w:rsidRDefault="00C232D7" w:rsidP="00A23ED0">
      <w:pPr>
        <w:pStyle w:val="ListParagraph"/>
        <w:numPr>
          <w:ilvl w:val="0"/>
          <w:numId w:val="13"/>
        </w:numPr>
        <w:tabs>
          <w:tab w:val="left" w:pos="720"/>
        </w:tabs>
        <w:spacing w:before="120" w:after="120" w:line="360" w:lineRule="auto"/>
        <w:contextualSpacing w:val="0"/>
        <w:rPr>
          <w:rFonts w:ascii="Arial" w:hAnsi="Arial" w:cs="Arial"/>
          <w:lang w:val="sq-AL"/>
        </w:rPr>
      </w:pPr>
      <w:r w:rsidRPr="002A6F4E">
        <w:rPr>
          <w:rFonts w:ascii="Arial" w:hAnsi="Arial" w:cs="Arial"/>
          <w:lang w:val="sq-AL"/>
        </w:rPr>
        <w:t>Proširene odgovornost</w:t>
      </w:r>
      <w:r w:rsidR="005C4142">
        <w:rPr>
          <w:rFonts w:ascii="Arial" w:hAnsi="Arial" w:cs="Arial"/>
          <w:lang w:val="sq-AL"/>
        </w:rPr>
        <w:t>i</w:t>
      </w:r>
      <w:r w:rsidRPr="002A6F4E">
        <w:rPr>
          <w:rFonts w:ascii="Arial" w:hAnsi="Arial" w:cs="Arial"/>
          <w:lang w:val="sq-AL"/>
        </w:rPr>
        <w:t xml:space="preserve"> proizvođača;</w:t>
      </w:r>
    </w:p>
    <w:p w14:paraId="40FB5604" w14:textId="77777777" w:rsidR="00C232D7" w:rsidRPr="002A6F4E" w:rsidRDefault="00C232D7" w:rsidP="00A23ED0">
      <w:pPr>
        <w:pStyle w:val="ListParagraph"/>
        <w:numPr>
          <w:ilvl w:val="0"/>
          <w:numId w:val="13"/>
        </w:numPr>
        <w:tabs>
          <w:tab w:val="left" w:pos="720"/>
        </w:tabs>
        <w:spacing w:before="120" w:after="120" w:line="360" w:lineRule="auto"/>
        <w:contextualSpacing w:val="0"/>
        <w:rPr>
          <w:rFonts w:ascii="Arial" w:hAnsi="Arial" w:cs="Arial"/>
          <w:lang w:val="sq-AL"/>
        </w:rPr>
      </w:pPr>
      <w:r w:rsidRPr="002A6F4E">
        <w:rPr>
          <w:rFonts w:ascii="Arial" w:hAnsi="Arial" w:cs="Arial"/>
          <w:lang w:val="sq-AL"/>
        </w:rPr>
        <w:lastRenderedPageBreak/>
        <w:t>Principa podizanja svijesti, pristupa informacijama i transparentnosti.</w:t>
      </w:r>
    </w:p>
    <w:p w14:paraId="051FAF20" w14:textId="6ED737DB" w:rsidR="00C232D7" w:rsidRPr="002A6F4E" w:rsidRDefault="00C232D7" w:rsidP="00C232D7">
      <w:pPr>
        <w:spacing w:before="120" w:after="120" w:line="360" w:lineRule="auto"/>
        <w:rPr>
          <w:rFonts w:ascii="Arial" w:hAnsi="Arial" w:cs="Arial"/>
          <w:iCs/>
          <w:lang w:val="sq-AL"/>
        </w:rPr>
      </w:pPr>
      <w:r w:rsidRPr="002A6F4E">
        <w:rPr>
          <w:rFonts w:ascii="Arial" w:hAnsi="Arial" w:cs="Arial"/>
          <w:iCs/>
          <w:lang w:val="sq-AL"/>
        </w:rPr>
        <w:t>Tačnije, glavne promjene koje uvodi novi DPUO 2025-2029</w:t>
      </w:r>
      <w:r w:rsidR="00356223">
        <w:rPr>
          <w:rFonts w:ascii="Arial" w:hAnsi="Arial" w:cs="Arial"/>
          <w:iCs/>
          <w:lang w:val="sq-AL"/>
        </w:rPr>
        <w:t>. godina</w:t>
      </w:r>
      <w:r w:rsidRPr="002A6F4E">
        <w:rPr>
          <w:rFonts w:ascii="Arial" w:hAnsi="Arial" w:cs="Arial"/>
          <w:iCs/>
          <w:lang w:val="sq-AL"/>
        </w:rPr>
        <w:t xml:space="preserve"> uključuju sljedeće:</w:t>
      </w:r>
    </w:p>
    <w:p w14:paraId="2B8DFFAC" w14:textId="58EF7F24" w:rsidR="00C232D7" w:rsidRPr="002A6F4E" w:rsidRDefault="00C232D7" w:rsidP="00A23ED0">
      <w:pPr>
        <w:pStyle w:val="ListParagraph"/>
        <w:numPr>
          <w:ilvl w:val="0"/>
          <w:numId w:val="14"/>
        </w:numPr>
        <w:spacing w:before="120" w:after="120" w:line="360" w:lineRule="auto"/>
        <w:contextualSpacing w:val="0"/>
        <w:rPr>
          <w:rFonts w:ascii="Arial" w:hAnsi="Arial" w:cs="Arial"/>
          <w:lang w:val="sq-AL"/>
        </w:rPr>
      </w:pPr>
      <w:r w:rsidRPr="002A6F4E">
        <w:rPr>
          <w:rFonts w:ascii="Arial" w:hAnsi="Arial" w:cs="Arial"/>
          <w:iCs/>
          <w:lang w:val="sq-AL"/>
        </w:rPr>
        <w:t xml:space="preserve">Državni plan upravljanja otpadom je zasnovan </w:t>
      </w:r>
      <w:r w:rsidRPr="002A6F4E">
        <w:rPr>
          <w:rFonts w:ascii="Arial" w:hAnsi="Arial" w:cs="Arial"/>
          <w:lang w:val="sq-AL"/>
        </w:rPr>
        <w:t>na principima hijerarhije otpada, cirkularne ekonomije i održivog razvoja. Ovim planom nastoji se unaprijediti upravljanje otpadom u Crnoj Gori kako bi se postigli ciljev</w:t>
      </w:r>
      <w:r w:rsidR="0035491B">
        <w:rPr>
          <w:rFonts w:ascii="Arial" w:hAnsi="Arial" w:cs="Arial"/>
          <w:lang w:val="sq-AL"/>
        </w:rPr>
        <w:t>i cirkularne ekonomije usvojeni</w:t>
      </w:r>
      <w:r w:rsidRPr="002A6F4E">
        <w:rPr>
          <w:rFonts w:ascii="Arial" w:hAnsi="Arial" w:cs="Arial"/>
          <w:lang w:val="sq-AL"/>
        </w:rPr>
        <w:t xml:space="preserve"> u EU. </w:t>
      </w:r>
      <w:r w:rsidR="00E91ABE">
        <w:rPr>
          <w:rFonts w:ascii="Arial" w:hAnsi="Arial" w:cs="Arial"/>
          <w:lang w:val="sq-AL"/>
        </w:rPr>
        <w:t>Fokus je na</w:t>
      </w:r>
      <w:r w:rsidRPr="002A6F4E">
        <w:rPr>
          <w:rFonts w:ascii="Arial" w:hAnsi="Arial" w:cs="Arial"/>
          <w:lang w:val="sq-AL"/>
        </w:rPr>
        <w:t xml:space="preserve"> odvojeno</w:t>
      </w:r>
      <w:r w:rsidR="00792052">
        <w:rPr>
          <w:rFonts w:ascii="Arial" w:hAnsi="Arial" w:cs="Arial"/>
          <w:lang w:val="sq-AL"/>
        </w:rPr>
        <w:t>m</w:t>
      </w:r>
      <w:r w:rsidRPr="002A6F4E">
        <w:rPr>
          <w:rFonts w:ascii="Arial" w:hAnsi="Arial" w:cs="Arial"/>
          <w:lang w:val="sq-AL"/>
        </w:rPr>
        <w:t xml:space="preserve"> sakupljanj</w:t>
      </w:r>
      <w:r w:rsidR="00792052">
        <w:rPr>
          <w:rFonts w:ascii="Arial" w:hAnsi="Arial" w:cs="Arial"/>
          <w:lang w:val="sq-AL"/>
        </w:rPr>
        <w:t>u</w:t>
      </w:r>
      <w:r w:rsidRPr="002A6F4E">
        <w:rPr>
          <w:rFonts w:ascii="Arial" w:hAnsi="Arial" w:cs="Arial"/>
          <w:lang w:val="sq-AL"/>
        </w:rPr>
        <w:t xml:space="preserve"> otpada kako bi se povećalo korišćenje materijala i smanjile potrebe za </w:t>
      </w:r>
      <w:r w:rsidR="00D2717E">
        <w:rPr>
          <w:rFonts w:ascii="Arial" w:hAnsi="Arial" w:cs="Arial"/>
          <w:lang w:val="sq-AL"/>
        </w:rPr>
        <w:t>odstranjivanjem</w:t>
      </w:r>
      <w:r w:rsidRPr="002A6F4E">
        <w:rPr>
          <w:rFonts w:ascii="Arial" w:hAnsi="Arial" w:cs="Arial"/>
          <w:lang w:val="sq-AL"/>
        </w:rPr>
        <w:t>.</w:t>
      </w:r>
    </w:p>
    <w:p w14:paraId="019620EF" w14:textId="797F5942"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U okviru ambiciozne politike upravljanja otpadom EU i Crne Gore, DPUO postavlja dugoročni cilj smanjenja odlaganja</w:t>
      </w:r>
      <w:r w:rsidR="00CC102C">
        <w:rPr>
          <w:rFonts w:ascii="Arial" w:hAnsi="Arial" w:cs="Arial"/>
          <w:iCs/>
          <w:lang w:val="sq-AL"/>
        </w:rPr>
        <w:t xml:space="preserve"> </w:t>
      </w:r>
      <w:r w:rsidRPr="002A6F4E">
        <w:rPr>
          <w:rFonts w:ascii="Arial" w:hAnsi="Arial" w:cs="Arial"/>
          <w:iCs/>
          <w:lang w:val="sq-AL"/>
        </w:rPr>
        <w:t>komunalnog otpada, koj</w:t>
      </w:r>
      <w:r w:rsidR="00E91ABE">
        <w:rPr>
          <w:rFonts w:ascii="Arial" w:hAnsi="Arial" w:cs="Arial"/>
          <w:iCs/>
          <w:lang w:val="sq-AL"/>
        </w:rPr>
        <w:t>i je</w:t>
      </w:r>
      <w:r w:rsidRPr="002A6F4E">
        <w:rPr>
          <w:rFonts w:ascii="Arial" w:hAnsi="Arial" w:cs="Arial"/>
          <w:iCs/>
          <w:lang w:val="sq-AL"/>
        </w:rPr>
        <w:t xml:space="preserve"> najniž</w:t>
      </w:r>
      <w:r w:rsidR="00166414">
        <w:rPr>
          <w:rFonts w:ascii="Arial" w:hAnsi="Arial" w:cs="Arial"/>
          <w:iCs/>
          <w:lang w:val="sq-AL"/>
        </w:rPr>
        <w:t>i</w:t>
      </w:r>
      <w:r w:rsidRPr="002A6F4E">
        <w:rPr>
          <w:rFonts w:ascii="Arial" w:hAnsi="Arial" w:cs="Arial"/>
          <w:iCs/>
          <w:lang w:val="sq-AL"/>
        </w:rPr>
        <w:t xml:space="preserve"> nivo upravljanja u hijerarhij</w:t>
      </w:r>
      <w:r w:rsidR="00281FDC">
        <w:rPr>
          <w:rFonts w:ascii="Arial" w:hAnsi="Arial" w:cs="Arial"/>
          <w:iCs/>
          <w:lang w:val="sq-AL"/>
        </w:rPr>
        <w:t xml:space="preserve">i </w:t>
      </w:r>
      <w:r w:rsidRPr="002A6F4E">
        <w:rPr>
          <w:rFonts w:ascii="Arial" w:hAnsi="Arial" w:cs="Arial"/>
          <w:iCs/>
          <w:lang w:val="sq-AL"/>
        </w:rPr>
        <w:t>otpada.</w:t>
      </w:r>
    </w:p>
    <w:p w14:paraId="777A342F" w14:textId="442A36C4"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Ostvarivanje ciljeva DPUO sprovodiće se nizom mjera za spr</w:t>
      </w:r>
      <w:r w:rsidR="00166414">
        <w:rPr>
          <w:rFonts w:ascii="Arial" w:hAnsi="Arial" w:cs="Arial"/>
          <w:iCs/>
          <w:lang w:val="sq-AL"/>
        </w:rPr>
        <w:t>j</w:t>
      </w:r>
      <w:r w:rsidRPr="002A6F4E">
        <w:rPr>
          <w:rFonts w:ascii="Arial" w:hAnsi="Arial" w:cs="Arial"/>
          <w:iCs/>
          <w:lang w:val="sq-AL"/>
        </w:rPr>
        <w:t>ečavanje stvaranja otpada, poput uvođenja novih odvojenih tokova otpada i jačanja postojećih, promocije ponovne upotrebe, jačanja stope reciklaže, promocije nabavke sekundarnih materijala, informisanja i podizanja svijesti građana, brzog razvoja mreže sakupljanja biootpada i materijala koji se mogu reciklirati, stvaranja savremenih objekata za upravljanje otpadom i biootpadom, nadogradnje i povećanja kapaciteta za recikl</w:t>
      </w:r>
      <w:r w:rsidR="00166414">
        <w:rPr>
          <w:rFonts w:ascii="Arial" w:hAnsi="Arial" w:cs="Arial"/>
          <w:iCs/>
          <w:lang w:val="sq-AL"/>
        </w:rPr>
        <w:t>iranje</w:t>
      </w:r>
      <w:r w:rsidRPr="002A6F4E">
        <w:rPr>
          <w:rFonts w:ascii="Arial" w:hAnsi="Arial" w:cs="Arial"/>
          <w:iCs/>
          <w:lang w:val="sq-AL"/>
        </w:rPr>
        <w:t xml:space="preserve"> materijala, kao i energetsko korišćenje alternativnih (sekundarnih) goriva i prerade ostataka.</w:t>
      </w:r>
    </w:p>
    <w:p w14:paraId="2630D43B" w14:textId="2283E462"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Smanjenje stvaranj</w:t>
      </w:r>
      <w:r w:rsidR="005C4142">
        <w:rPr>
          <w:rFonts w:ascii="Arial" w:hAnsi="Arial" w:cs="Arial"/>
          <w:iCs/>
          <w:lang w:val="sq-AL"/>
        </w:rPr>
        <w:t>a</w:t>
      </w:r>
      <w:r w:rsidRPr="002A6F4E">
        <w:rPr>
          <w:rFonts w:ascii="Arial" w:hAnsi="Arial" w:cs="Arial"/>
          <w:iCs/>
          <w:lang w:val="sq-AL"/>
        </w:rPr>
        <w:t xml:space="preserve"> otpada i promovisanje cirkularne potrošnje kroz implementaciju </w:t>
      </w:r>
      <w:r w:rsidR="00A35FA9" w:rsidRPr="000D7745">
        <w:rPr>
          <w:rFonts w:ascii="Arial" w:hAnsi="Arial" w:cs="Arial"/>
          <w:lang w:val="sr-Cyrl-ME"/>
        </w:rPr>
        <w:t>Program</w:t>
      </w:r>
      <w:r w:rsidR="00A35FA9">
        <w:rPr>
          <w:rFonts w:ascii="Arial" w:hAnsi="Arial" w:cs="Arial"/>
          <w:lang w:val="sr-Latn-ME"/>
        </w:rPr>
        <w:t>a</w:t>
      </w:r>
      <w:r w:rsidR="00A35FA9" w:rsidRPr="000D7745">
        <w:rPr>
          <w:rFonts w:ascii="Arial" w:hAnsi="Arial" w:cs="Arial"/>
          <w:lang w:val="sr-Cyrl-ME"/>
        </w:rPr>
        <w:t xml:space="preserve"> za sprečavanje nastanka otpada</w:t>
      </w:r>
      <w:r w:rsidRPr="002A6F4E">
        <w:rPr>
          <w:rFonts w:ascii="Arial" w:hAnsi="Arial" w:cs="Arial"/>
          <w:iCs/>
          <w:lang w:val="sq-AL"/>
        </w:rPr>
        <w:t>. Za period 2025-2029</w:t>
      </w:r>
      <w:r w:rsidR="00356223">
        <w:rPr>
          <w:rFonts w:ascii="Arial" w:hAnsi="Arial" w:cs="Arial"/>
          <w:iCs/>
          <w:lang w:val="sq-AL"/>
        </w:rPr>
        <w:t>. godina</w:t>
      </w:r>
      <w:r w:rsidRPr="002A6F4E">
        <w:rPr>
          <w:rFonts w:ascii="Arial" w:hAnsi="Arial" w:cs="Arial"/>
          <w:iCs/>
          <w:lang w:val="sq-AL"/>
        </w:rPr>
        <w:t xml:space="preserve">, prioritetni tokovi za prevenciju otpada su sljedeći </w:t>
      </w:r>
      <w:r w:rsidR="0011435A">
        <w:rPr>
          <w:rFonts w:ascii="Arial" w:hAnsi="Arial" w:cs="Arial"/>
          <w:iCs/>
          <w:lang w:val="sq-AL"/>
        </w:rPr>
        <w:t>I</w:t>
      </w:r>
      <w:r w:rsidRPr="002A6F4E">
        <w:rPr>
          <w:rFonts w:ascii="Arial" w:hAnsi="Arial" w:cs="Arial"/>
          <w:iCs/>
          <w:lang w:val="sq-AL"/>
        </w:rPr>
        <w:t xml:space="preserve">) otpad od hrane, </w:t>
      </w:r>
      <w:r w:rsidR="0011435A">
        <w:rPr>
          <w:rFonts w:ascii="Arial" w:hAnsi="Arial" w:cs="Arial"/>
          <w:iCs/>
          <w:lang w:val="sq-AL"/>
        </w:rPr>
        <w:t>II</w:t>
      </w:r>
      <w:r w:rsidRPr="002A6F4E">
        <w:rPr>
          <w:rFonts w:ascii="Arial" w:hAnsi="Arial" w:cs="Arial"/>
          <w:iCs/>
          <w:lang w:val="sq-AL"/>
        </w:rPr>
        <w:t>) papir</w:t>
      </w:r>
      <w:r w:rsidR="00166414">
        <w:rPr>
          <w:rFonts w:ascii="Arial" w:hAnsi="Arial" w:cs="Arial"/>
          <w:iCs/>
          <w:lang w:val="sq-AL"/>
        </w:rPr>
        <w:t>,</w:t>
      </w:r>
      <w:r w:rsidRPr="002A6F4E">
        <w:rPr>
          <w:rFonts w:ascii="Arial" w:hAnsi="Arial" w:cs="Arial"/>
          <w:iCs/>
          <w:lang w:val="sq-AL"/>
        </w:rPr>
        <w:t xml:space="preserve"> </w:t>
      </w:r>
      <w:r w:rsidR="0011435A">
        <w:rPr>
          <w:rFonts w:ascii="Arial" w:hAnsi="Arial" w:cs="Arial"/>
          <w:iCs/>
          <w:lang w:val="sq-AL"/>
        </w:rPr>
        <w:t>III</w:t>
      </w:r>
      <w:r w:rsidRPr="002A6F4E">
        <w:rPr>
          <w:rFonts w:ascii="Arial" w:hAnsi="Arial" w:cs="Arial"/>
          <w:iCs/>
          <w:lang w:val="sq-AL"/>
        </w:rPr>
        <w:t>) ambalaža</w:t>
      </w:r>
      <w:r w:rsidR="00166414">
        <w:rPr>
          <w:rFonts w:ascii="Arial" w:hAnsi="Arial" w:cs="Arial"/>
          <w:iCs/>
          <w:lang w:val="sq-AL"/>
        </w:rPr>
        <w:t>,</w:t>
      </w:r>
      <w:r w:rsidRPr="002A6F4E">
        <w:rPr>
          <w:rFonts w:ascii="Arial" w:hAnsi="Arial" w:cs="Arial"/>
          <w:iCs/>
          <w:lang w:val="sq-AL"/>
        </w:rPr>
        <w:t xml:space="preserve"> </w:t>
      </w:r>
      <w:r w:rsidR="0011435A">
        <w:rPr>
          <w:rFonts w:ascii="Arial" w:hAnsi="Arial" w:cs="Arial"/>
          <w:iCs/>
          <w:lang w:val="sq-AL"/>
        </w:rPr>
        <w:t>IV</w:t>
      </w:r>
      <w:r w:rsidRPr="002A6F4E">
        <w:rPr>
          <w:rFonts w:ascii="Arial" w:hAnsi="Arial" w:cs="Arial"/>
          <w:iCs/>
          <w:lang w:val="sq-AL"/>
        </w:rPr>
        <w:t xml:space="preserve">) specijalni plastični otpad i </w:t>
      </w:r>
      <w:r w:rsidR="0011435A">
        <w:rPr>
          <w:rFonts w:ascii="Arial" w:hAnsi="Arial" w:cs="Arial"/>
          <w:iCs/>
          <w:lang w:val="sq-AL"/>
        </w:rPr>
        <w:t>V</w:t>
      </w:r>
      <w:r w:rsidRPr="002A6F4E">
        <w:rPr>
          <w:rFonts w:ascii="Arial" w:hAnsi="Arial" w:cs="Arial"/>
          <w:iCs/>
          <w:lang w:val="sq-AL"/>
        </w:rPr>
        <w:t>) otpad od električnih i elektronskih proizvoda.</w:t>
      </w:r>
    </w:p>
    <w:p w14:paraId="3A4AA2B1" w14:textId="680893D6"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Državni plan upravljanja otpadom predviđa da će se Crna Gora progresivno kretati ka društvu „cirkularne ekonomije“, kako bi se ostvarile mogućnosti povrata resursa i povećale investicije i radna mjesta u sektoru reciklaže. Shodno tome, glavni ciljevi kvantitativnog upravljanja otpadom su kao što slijedi:</w:t>
      </w:r>
    </w:p>
    <w:p w14:paraId="5C50302C" w14:textId="250EBE75"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t xml:space="preserve">Najmanje 30% </w:t>
      </w:r>
      <w:r w:rsidR="00C279F7" w:rsidRPr="002A6F4E">
        <w:rPr>
          <w:rFonts w:ascii="Arial" w:hAnsi="Arial" w:cs="Arial"/>
          <w:iCs/>
          <w:lang w:val="sq-AL"/>
        </w:rPr>
        <w:t>do 2028</w:t>
      </w:r>
      <w:r w:rsidR="00C279F7">
        <w:rPr>
          <w:rFonts w:ascii="Arial" w:hAnsi="Arial" w:cs="Arial"/>
          <w:iCs/>
          <w:lang w:val="sq-AL"/>
        </w:rPr>
        <w:t>.</w:t>
      </w:r>
      <w:r w:rsidR="00356223">
        <w:rPr>
          <w:rFonts w:ascii="Arial" w:hAnsi="Arial" w:cs="Arial"/>
          <w:iCs/>
          <w:lang w:val="sq-AL"/>
        </w:rPr>
        <w:t xml:space="preserve"> </w:t>
      </w:r>
      <w:r w:rsidR="00C279F7">
        <w:rPr>
          <w:rFonts w:ascii="Arial" w:hAnsi="Arial" w:cs="Arial"/>
          <w:iCs/>
          <w:lang w:val="sq-AL"/>
        </w:rPr>
        <w:t>go</w:t>
      </w:r>
      <w:r w:rsidR="00356223">
        <w:rPr>
          <w:rFonts w:ascii="Arial" w:hAnsi="Arial" w:cs="Arial"/>
          <w:iCs/>
          <w:lang w:val="sq-AL"/>
        </w:rPr>
        <w:t>dine</w:t>
      </w:r>
      <w:r w:rsidR="00C279F7">
        <w:rPr>
          <w:rFonts w:ascii="Arial" w:hAnsi="Arial" w:cs="Arial"/>
          <w:iCs/>
          <w:lang w:val="sq-AL"/>
        </w:rPr>
        <w:t xml:space="preserve"> </w:t>
      </w:r>
      <w:r w:rsidRPr="002A6F4E">
        <w:rPr>
          <w:rFonts w:ascii="Arial" w:hAnsi="Arial" w:cs="Arial"/>
          <w:iCs/>
          <w:lang w:val="sq-AL"/>
        </w:rPr>
        <w:t>i 50% otpadnih materijala</w:t>
      </w:r>
      <w:r w:rsidR="00C279F7">
        <w:rPr>
          <w:rFonts w:ascii="Arial" w:hAnsi="Arial" w:cs="Arial"/>
          <w:iCs/>
          <w:lang w:val="sq-AL"/>
        </w:rPr>
        <w:t xml:space="preserve"> do 2030. god</w:t>
      </w:r>
      <w:r w:rsidR="00356223">
        <w:rPr>
          <w:rFonts w:ascii="Arial" w:hAnsi="Arial" w:cs="Arial"/>
          <w:iCs/>
          <w:lang w:val="sq-AL"/>
        </w:rPr>
        <w:t>ine</w:t>
      </w:r>
      <w:r w:rsidRPr="002A6F4E">
        <w:rPr>
          <w:rFonts w:ascii="Arial" w:hAnsi="Arial" w:cs="Arial"/>
          <w:iCs/>
          <w:lang w:val="sq-AL"/>
        </w:rPr>
        <w:t>, kao što su papir, metal, plastika i staklo, iz domaćinstava i drugih izvora u kojima su tokovi otpada slični tokovima otpada iz domaćinstava, pripremiti za ponovnu upotrebu i reciklažu</w:t>
      </w:r>
      <w:r w:rsidR="00AD58C8">
        <w:rPr>
          <w:rFonts w:ascii="Arial" w:hAnsi="Arial" w:cs="Arial"/>
          <w:iCs/>
          <w:lang w:val="sq-AL"/>
        </w:rPr>
        <w:t>,</w:t>
      </w:r>
    </w:p>
    <w:p w14:paraId="0B54F9F4" w14:textId="3AAF2DED"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t>25% ambalažnog otpada će se reciklirati do 2028. godine i 35% do 2030. godine</w:t>
      </w:r>
      <w:r w:rsidR="00AD58C8">
        <w:rPr>
          <w:rFonts w:ascii="Arial" w:hAnsi="Arial" w:cs="Arial"/>
          <w:iCs/>
          <w:lang w:val="sq-AL"/>
        </w:rPr>
        <w:t>,</w:t>
      </w:r>
    </w:p>
    <w:p w14:paraId="5605C3AE" w14:textId="41AD4248" w:rsidR="00C232D7" w:rsidRPr="002A6F4E" w:rsidRDefault="00C232D7" w:rsidP="00A23ED0">
      <w:pPr>
        <w:pStyle w:val="ListParagraph"/>
        <w:numPr>
          <w:ilvl w:val="1"/>
          <w:numId w:val="15"/>
        </w:numPr>
        <w:spacing w:before="120" w:after="120" w:line="360" w:lineRule="auto"/>
        <w:ind w:left="1440"/>
        <w:contextualSpacing w:val="0"/>
        <w:rPr>
          <w:rFonts w:ascii="Arial" w:hAnsi="Arial" w:cs="Arial"/>
          <w:iCs/>
          <w:lang w:val="sq-AL"/>
        </w:rPr>
      </w:pPr>
      <w:r w:rsidRPr="002A6F4E">
        <w:rPr>
          <w:rFonts w:ascii="Arial" w:hAnsi="Arial" w:cs="Arial"/>
          <w:iCs/>
          <w:lang w:val="sq-AL"/>
        </w:rPr>
        <w:t>Reciklaža 30% mase staklene ambalaže, 30% mase papirne i kartonske ambalaže, 40% mase metalne ambalaže, 15% mase plastične ambalaže i 5% drvne mase, do 2028. godine</w:t>
      </w:r>
      <w:r w:rsidR="00AD58C8">
        <w:rPr>
          <w:rFonts w:ascii="Arial" w:hAnsi="Arial" w:cs="Arial"/>
          <w:iCs/>
          <w:lang w:val="sq-AL"/>
        </w:rPr>
        <w:t>,</w:t>
      </w:r>
    </w:p>
    <w:p w14:paraId="3630D356" w14:textId="2ED48B57"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t>Reciklaža 40% mase staklene ambalaže, 40% mase papirne i kartonske ambalaže, 50% mase metalne ambalaže, 22,5% mase plastične ambalaže i 10% drvne mase, do 2030. godine</w:t>
      </w:r>
      <w:r w:rsidR="00AD58C8">
        <w:rPr>
          <w:rFonts w:ascii="Arial" w:hAnsi="Arial" w:cs="Arial"/>
          <w:iCs/>
          <w:lang w:val="sq-AL"/>
        </w:rPr>
        <w:t>.</w:t>
      </w:r>
    </w:p>
    <w:p w14:paraId="0A285E04" w14:textId="77777777"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Postavljeni su specifični ciljevi za sakupljanje (uključujući odvojeno sakupljanje otpada), koji osiguravaju ekonomičnost i ekonomiju obima:</w:t>
      </w:r>
    </w:p>
    <w:p w14:paraId="49AB75C7" w14:textId="38DD3BA6"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lastRenderedPageBreak/>
        <w:t>Stanovnici Crne Gore biće povezani na organizovane usluge sakupljanja otpada (~100% do 202</w:t>
      </w:r>
      <w:r w:rsidR="00A35FA9">
        <w:rPr>
          <w:rFonts w:ascii="Arial" w:hAnsi="Arial" w:cs="Arial"/>
          <w:iCs/>
          <w:lang w:val="sq-AL"/>
        </w:rPr>
        <w:t>6</w:t>
      </w:r>
      <w:r w:rsidRPr="002A6F4E">
        <w:rPr>
          <w:rFonts w:ascii="Arial" w:hAnsi="Arial" w:cs="Arial"/>
          <w:iCs/>
          <w:lang w:val="sq-AL"/>
        </w:rPr>
        <w:t>. godine)</w:t>
      </w:r>
      <w:r w:rsidR="00AD58C8">
        <w:rPr>
          <w:rFonts w:ascii="Arial" w:hAnsi="Arial" w:cs="Arial"/>
          <w:iCs/>
          <w:lang w:val="sq-AL"/>
        </w:rPr>
        <w:t>,</w:t>
      </w:r>
    </w:p>
    <w:p w14:paraId="51D22138" w14:textId="0F3F0CFD"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t>15%, 25% i 40% reciklažnih materijala će se odvojeno sakupljati do 202</w:t>
      </w:r>
      <w:r w:rsidR="00A35FA9">
        <w:rPr>
          <w:rFonts w:ascii="Arial" w:hAnsi="Arial" w:cs="Arial"/>
          <w:iCs/>
          <w:lang w:val="sq-AL"/>
        </w:rPr>
        <w:t>6</w:t>
      </w:r>
      <w:r w:rsidRPr="002A6F4E">
        <w:rPr>
          <w:rFonts w:ascii="Arial" w:hAnsi="Arial" w:cs="Arial"/>
          <w:iCs/>
          <w:lang w:val="sq-AL"/>
        </w:rPr>
        <w:t xml:space="preserve">, 2028, odnosno 2030. godine, </w:t>
      </w:r>
    </w:p>
    <w:p w14:paraId="05513797" w14:textId="13146A61"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t xml:space="preserve">35% i 50% ambalažnog otpada će se odvojeno sakupljati do  2028. </w:t>
      </w:r>
      <w:r w:rsidR="00A35FA9">
        <w:rPr>
          <w:rFonts w:ascii="Arial" w:hAnsi="Arial" w:cs="Arial"/>
          <w:iCs/>
          <w:lang w:val="sq-AL"/>
        </w:rPr>
        <w:t>odnosno</w:t>
      </w:r>
      <w:r w:rsidRPr="002A6F4E">
        <w:rPr>
          <w:rFonts w:ascii="Arial" w:hAnsi="Arial" w:cs="Arial"/>
          <w:iCs/>
          <w:lang w:val="sq-AL"/>
        </w:rPr>
        <w:t xml:space="preserve"> 2030. godine i 50% ambalažnog otpada će se odvojeno sakupljati za preradu, uključujući povrat energije do 2030. godine</w:t>
      </w:r>
      <w:r w:rsidR="00AD58C8">
        <w:rPr>
          <w:rFonts w:ascii="Arial" w:hAnsi="Arial" w:cs="Arial"/>
          <w:iCs/>
          <w:lang w:val="sq-AL"/>
        </w:rPr>
        <w:t>,</w:t>
      </w:r>
    </w:p>
    <w:p w14:paraId="17CE51F5" w14:textId="1A46240D"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t>50% i 60% zelenog otpada će se odvojeno sakupljati do 202</w:t>
      </w:r>
      <w:r w:rsidR="00A35FA9">
        <w:rPr>
          <w:rFonts w:ascii="Arial" w:hAnsi="Arial" w:cs="Arial"/>
          <w:iCs/>
          <w:lang w:val="sq-AL"/>
        </w:rPr>
        <w:t>6</w:t>
      </w:r>
      <w:r w:rsidRPr="002A6F4E">
        <w:rPr>
          <w:rFonts w:ascii="Arial" w:hAnsi="Arial" w:cs="Arial"/>
          <w:iCs/>
          <w:lang w:val="sq-AL"/>
        </w:rPr>
        <w:t>. odnosno 2030. godine</w:t>
      </w:r>
      <w:r w:rsidR="00AD58C8">
        <w:rPr>
          <w:rFonts w:ascii="Arial" w:hAnsi="Arial" w:cs="Arial"/>
          <w:iCs/>
          <w:lang w:val="sq-AL"/>
        </w:rPr>
        <w:t>,</w:t>
      </w:r>
    </w:p>
    <w:p w14:paraId="612ADD06" w14:textId="0FE1CAE9"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t xml:space="preserve">17% i 27% biootpada će se odvojeno sakupljati </w:t>
      </w:r>
      <w:r w:rsidRPr="002A6F4E">
        <w:rPr>
          <w:rFonts w:ascii="Arial" w:hAnsi="Arial" w:cs="Arial"/>
          <w:iCs/>
          <w:color w:val="000000" w:themeColor="text1"/>
          <w:lang w:val="sq-AL"/>
        </w:rPr>
        <w:t>do 31. dec</w:t>
      </w:r>
      <w:r w:rsidR="00444690" w:rsidRPr="002A6F4E">
        <w:rPr>
          <w:rFonts w:ascii="Arial" w:hAnsi="Arial" w:cs="Arial"/>
          <w:iCs/>
          <w:color w:val="000000" w:themeColor="text1"/>
          <w:lang w:val="sq-AL"/>
        </w:rPr>
        <w:t>e</w:t>
      </w:r>
      <w:r w:rsidRPr="002A6F4E">
        <w:rPr>
          <w:rFonts w:ascii="Arial" w:hAnsi="Arial" w:cs="Arial"/>
          <w:iCs/>
          <w:color w:val="000000" w:themeColor="text1"/>
          <w:lang w:val="sq-AL"/>
        </w:rPr>
        <w:t>mbra 202</w:t>
      </w:r>
      <w:r w:rsidR="00A35FA9">
        <w:rPr>
          <w:rFonts w:ascii="Arial" w:hAnsi="Arial" w:cs="Arial"/>
          <w:iCs/>
          <w:color w:val="000000" w:themeColor="text1"/>
          <w:lang w:val="sq-AL"/>
        </w:rPr>
        <w:t>6</w:t>
      </w:r>
      <w:r w:rsidRPr="002A6F4E">
        <w:rPr>
          <w:rFonts w:ascii="Arial" w:hAnsi="Arial" w:cs="Arial"/>
          <w:iCs/>
          <w:lang w:val="sq-AL"/>
        </w:rPr>
        <w:t>. odnosno 2030. godine</w:t>
      </w:r>
      <w:r w:rsidR="00AD58C8">
        <w:rPr>
          <w:rFonts w:ascii="Arial" w:hAnsi="Arial" w:cs="Arial"/>
          <w:iCs/>
          <w:lang w:val="sq-AL"/>
        </w:rPr>
        <w:t>,</w:t>
      </w:r>
    </w:p>
    <w:p w14:paraId="446E11C9" w14:textId="64320B5C"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t xml:space="preserve">10% i 20% tekstila će se odvojeno sakupljati </w:t>
      </w:r>
      <w:r w:rsidRPr="002A6F4E">
        <w:rPr>
          <w:rFonts w:ascii="Arial" w:hAnsi="Arial" w:cs="Arial"/>
          <w:iCs/>
          <w:color w:val="000000" w:themeColor="text1"/>
          <w:lang w:val="sq-AL"/>
        </w:rPr>
        <w:t>do 31. dec</w:t>
      </w:r>
      <w:r w:rsidR="0011435A">
        <w:rPr>
          <w:rFonts w:ascii="Arial" w:hAnsi="Arial" w:cs="Arial"/>
          <w:iCs/>
          <w:color w:val="000000" w:themeColor="text1"/>
          <w:lang w:val="sq-AL"/>
        </w:rPr>
        <w:t>e</w:t>
      </w:r>
      <w:r w:rsidRPr="002A6F4E">
        <w:rPr>
          <w:rFonts w:ascii="Arial" w:hAnsi="Arial" w:cs="Arial"/>
          <w:iCs/>
          <w:color w:val="000000" w:themeColor="text1"/>
          <w:lang w:val="sq-AL"/>
        </w:rPr>
        <w:t>mbra 202</w:t>
      </w:r>
      <w:r w:rsidR="008C63F4">
        <w:rPr>
          <w:rFonts w:ascii="Arial" w:hAnsi="Arial" w:cs="Arial"/>
          <w:iCs/>
          <w:color w:val="000000" w:themeColor="text1"/>
          <w:lang w:val="sq-AL"/>
        </w:rPr>
        <w:t>6</w:t>
      </w:r>
      <w:r w:rsidRPr="002A6F4E">
        <w:rPr>
          <w:rFonts w:ascii="Arial" w:hAnsi="Arial" w:cs="Arial"/>
          <w:iCs/>
          <w:lang w:val="sq-AL"/>
        </w:rPr>
        <w:t>. odnosno 2030. godine</w:t>
      </w:r>
      <w:r w:rsidR="00AD58C8">
        <w:rPr>
          <w:rFonts w:ascii="Arial" w:hAnsi="Arial" w:cs="Arial"/>
          <w:iCs/>
          <w:lang w:val="sq-AL"/>
        </w:rPr>
        <w:t>,</w:t>
      </w:r>
    </w:p>
    <w:p w14:paraId="4DAD275B" w14:textId="6EEAA388"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t xml:space="preserve">15% i 25% kabastog otpada će se odvojeno sakupljati </w:t>
      </w:r>
      <w:r w:rsidRPr="002A6F4E">
        <w:rPr>
          <w:rFonts w:ascii="Arial" w:hAnsi="Arial" w:cs="Arial"/>
          <w:iCs/>
          <w:color w:val="000000" w:themeColor="text1"/>
          <w:lang w:val="sq-AL"/>
        </w:rPr>
        <w:t>do 31. dec</w:t>
      </w:r>
      <w:r w:rsidR="0017233F" w:rsidRPr="002A6F4E">
        <w:rPr>
          <w:rFonts w:ascii="Arial" w:hAnsi="Arial" w:cs="Arial"/>
          <w:iCs/>
          <w:color w:val="000000" w:themeColor="text1"/>
          <w:lang w:val="sq-AL"/>
        </w:rPr>
        <w:t>e</w:t>
      </w:r>
      <w:r w:rsidRPr="002A6F4E">
        <w:rPr>
          <w:rFonts w:ascii="Arial" w:hAnsi="Arial" w:cs="Arial"/>
          <w:iCs/>
          <w:color w:val="000000" w:themeColor="text1"/>
          <w:lang w:val="sq-AL"/>
        </w:rPr>
        <w:t>mbra 202</w:t>
      </w:r>
      <w:r w:rsidR="008C63F4">
        <w:rPr>
          <w:rFonts w:ascii="Arial" w:hAnsi="Arial" w:cs="Arial"/>
          <w:iCs/>
          <w:color w:val="000000" w:themeColor="text1"/>
          <w:lang w:val="sq-AL"/>
        </w:rPr>
        <w:t>6</w:t>
      </w:r>
      <w:r w:rsidRPr="002A6F4E">
        <w:rPr>
          <w:rFonts w:ascii="Arial" w:hAnsi="Arial" w:cs="Arial"/>
          <w:iCs/>
          <w:lang w:val="sq-AL"/>
        </w:rPr>
        <w:t>. odnosno 2030. godine</w:t>
      </w:r>
      <w:r w:rsidR="00AD58C8">
        <w:rPr>
          <w:rFonts w:ascii="Arial" w:hAnsi="Arial" w:cs="Arial"/>
          <w:iCs/>
          <w:lang w:val="sq-AL"/>
        </w:rPr>
        <w:t>,</w:t>
      </w:r>
    </w:p>
    <w:p w14:paraId="06CBB803" w14:textId="63DB4E34"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t>Promovisanje kućnog kompostiranja na minimalno 4% biootpada za kućno kompostiranje do 31. dec</w:t>
      </w:r>
      <w:r w:rsidR="0017233F" w:rsidRPr="002A6F4E">
        <w:rPr>
          <w:rFonts w:ascii="Arial" w:hAnsi="Arial" w:cs="Arial"/>
          <w:iCs/>
          <w:lang w:val="sq-AL"/>
        </w:rPr>
        <w:t>e</w:t>
      </w:r>
      <w:r w:rsidRPr="002A6F4E">
        <w:rPr>
          <w:rFonts w:ascii="Arial" w:hAnsi="Arial" w:cs="Arial"/>
          <w:iCs/>
          <w:lang w:val="sq-AL"/>
        </w:rPr>
        <w:t xml:space="preserve">mbra </w:t>
      </w:r>
      <w:r w:rsidRPr="002A6F4E">
        <w:rPr>
          <w:rFonts w:ascii="Arial" w:hAnsi="Arial" w:cs="Arial"/>
          <w:iCs/>
          <w:color w:val="000000" w:themeColor="text1"/>
          <w:lang w:val="sq-AL"/>
        </w:rPr>
        <w:t>202</w:t>
      </w:r>
      <w:r w:rsidR="003B7E4C">
        <w:rPr>
          <w:rFonts w:ascii="Arial" w:hAnsi="Arial" w:cs="Arial"/>
          <w:iCs/>
          <w:color w:val="000000" w:themeColor="text1"/>
          <w:lang w:val="sq-AL"/>
        </w:rPr>
        <w:t>6</w:t>
      </w:r>
      <w:r w:rsidRPr="002A6F4E">
        <w:rPr>
          <w:rFonts w:ascii="Arial" w:hAnsi="Arial" w:cs="Arial"/>
          <w:iCs/>
          <w:lang w:val="sq-AL"/>
        </w:rPr>
        <w:t>. godine</w:t>
      </w:r>
      <w:r w:rsidR="00AD58C8">
        <w:rPr>
          <w:rFonts w:ascii="Arial" w:hAnsi="Arial" w:cs="Arial"/>
          <w:iCs/>
          <w:lang w:val="sq-AL"/>
        </w:rPr>
        <w:t>.</w:t>
      </w:r>
    </w:p>
    <w:p w14:paraId="505EF86C" w14:textId="3F663DD8"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Da bi se postigli gore na</w:t>
      </w:r>
      <w:r w:rsidR="00792052">
        <w:rPr>
          <w:rFonts w:ascii="Arial" w:hAnsi="Arial" w:cs="Arial"/>
          <w:iCs/>
          <w:lang w:val="sq-AL"/>
        </w:rPr>
        <w:t>vedeni ciljevi sakupljanja, DPUO</w:t>
      </w:r>
      <w:r w:rsidRPr="002A6F4E">
        <w:rPr>
          <w:rFonts w:ascii="Arial" w:hAnsi="Arial" w:cs="Arial"/>
          <w:iCs/>
          <w:lang w:val="sq-AL"/>
        </w:rPr>
        <w:t xml:space="preserve"> predviđa modernizaciju sistema sakupljanja i transporta otpada, reorganizaciju uslužnih područja sakupljanja, novi dizajn zoniranja i poboljšanje planova ruta, optimizaciju logistike kroz razvoj mreže transfer stanica, razvoj mreže reciklažnih centara  i jačanje odvojenog sakupljanja </w:t>
      </w:r>
      <w:r w:rsidRPr="00AF0045">
        <w:rPr>
          <w:rFonts w:ascii="Arial" w:hAnsi="Arial" w:cs="Arial"/>
          <w:iCs/>
          <w:lang w:val="sq-AL"/>
        </w:rPr>
        <w:t>otpadnih jestivih ulja i masti</w:t>
      </w:r>
      <w:r w:rsidRPr="002A6F4E">
        <w:rPr>
          <w:rFonts w:ascii="Arial" w:hAnsi="Arial" w:cs="Arial"/>
          <w:iCs/>
          <w:lang w:val="sq-AL"/>
        </w:rPr>
        <w:t>.</w:t>
      </w:r>
    </w:p>
    <w:p w14:paraId="666D1CF3" w14:textId="7F4A8906"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 xml:space="preserve">Državni plan upravljanja otpadom predviđa </w:t>
      </w:r>
      <w:r w:rsidR="0006376C">
        <w:rPr>
          <w:rFonts w:ascii="Arial" w:hAnsi="Arial" w:cs="Arial"/>
          <w:iCs/>
          <w:lang w:val="sq-AL"/>
        </w:rPr>
        <w:t>da</w:t>
      </w:r>
      <w:r w:rsidRPr="002A6F4E">
        <w:rPr>
          <w:rFonts w:ascii="Arial" w:hAnsi="Arial" w:cs="Arial"/>
          <w:iCs/>
          <w:lang w:val="sq-AL"/>
        </w:rPr>
        <w:t>:</w:t>
      </w:r>
    </w:p>
    <w:p w14:paraId="02FC8EB1" w14:textId="505F6A60"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t xml:space="preserve">Maksimalna deponovana količina biorazgradivog otpada do 2025, 2029. i 2033. godine u procentima iznosi 75%, 50% i 35% </w:t>
      </w:r>
      <w:r w:rsidR="0052649B">
        <w:rPr>
          <w:rFonts w:ascii="Arial" w:hAnsi="Arial" w:cs="Arial"/>
          <w:iCs/>
          <w:lang w:val="sq-AL"/>
        </w:rPr>
        <w:t>u odnosu na</w:t>
      </w:r>
      <w:r w:rsidRPr="002A6F4E">
        <w:rPr>
          <w:rFonts w:ascii="Arial" w:hAnsi="Arial" w:cs="Arial"/>
          <w:iCs/>
          <w:lang w:val="sq-AL"/>
        </w:rPr>
        <w:t xml:space="preserve"> količin</w:t>
      </w:r>
      <w:r w:rsidR="0052649B">
        <w:rPr>
          <w:rFonts w:ascii="Arial" w:hAnsi="Arial" w:cs="Arial"/>
          <w:iCs/>
          <w:lang w:val="sq-AL"/>
        </w:rPr>
        <w:t>e</w:t>
      </w:r>
      <w:r w:rsidRPr="002A6F4E">
        <w:rPr>
          <w:rFonts w:ascii="Arial" w:hAnsi="Arial" w:cs="Arial"/>
          <w:iCs/>
          <w:lang w:val="sq-AL"/>
        </w:rPr>
        <w:t xml:space="preserve"> generisan</w:t>
      </w:r>
      <w:r w:rsidR="0052649B">
        <w:rPr>
          <w:rFonts w:ascii="Arial" w:hAnsi="Arial" w:cs="Arial"/>
          <w:iCs/>
          <w:lang w:val="sq-AL"/>
        </w:rPr>
        <w:t>e</w:t>
      </w:r>
      <w:r w:rsidRPr="002A6F4E">
        <w:rPr>
          <w:rFonts w:ascii="Arial" w:hAnsi="Arial" w:cs="Arial"/>
          <w:iCs/>
          <w:lang w:val="sq-AL"/>
        </w:rPr>
        <w:t xml:space="preserve"> u 2010. godini</w:t>
      </w:r>
      <w:r w:rsidR="00A370BD">
        <w:rPr>
          <w:rFonts w:ascii="Arial" w:hAnsi="Arial" w:cs="Arial"/>
          <w:iCs/>
          <w:lang w:val="sq-AL"/>
        </w:rPr>
        <w:t>,</w:t>
      </w:r>
    </w:p>
    <w:p w14:paraId="2DFACBCF" w14:textId="1FC853AC"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t xml:space="preserve">45%, 72% i 100% preostalog otpada </w:t>
      </w:r>
      <w:r w:rsidR="0085441D">
        <w:rPr>
          <w:rFonts w:ascii="Arial" w:hAnsi="Arial" w:cs="Arial"/>
          <w:iCs/>
          <w:lang w:val="sq-AL"/>
        </w:rPr>
        <w:t>obrađuje</w:t>
      </w:r>
      <w:r w:rsidR="0085441D" w:rsidRPr="002A6F4E">
        <w:rPr>
          <w:rFonts w:ascii="Arial" w:hAnsi="Arial" w:cs="Arial"/>
          <w:iCs/>
          <w:lang w:val="sq-AL"/>
        </w:rPr>
        <w:t xml:space="preserve"> </w:t>
      </w:r>
      <w:r w:rsidR="00792052">
        <w:rPr>
          <w:rFonts w:ascii="Arial" w:hAnsi="Arial" w:cs="Arial"/>
          <w:iCs/>
          <w:lang w:val="sq-AL"/>
        </w:rPr>
        <w:t>prije odlaganja do 2025</w:t>
      </w:r>
      <w:r w:rsidRPr="002A6F4E">
        <w:rPr>
          <w:rFonts w:ascii="Arial" w:hAnsi="Arial" w:cs="Arial"/>
          <w:iCs/>
          <w:lang w:val="sq-AL"/>
        </w:rPr>
        <w:t>, 2029. i 2033. godine</w:t>
      </w:r>
      <w:r w:rsidR="00A370BD">
        <w:rPr>
          <w:rFonts w:ascii="Arial" w:hAnsi="Arial" w:cs="Arial"/>
          <w:iCs/>
          <w:lang w:val="sq-AL"/>
        </w:rPr>
        <w:t>.</w:t>
      </w:r>
    </w:p>
    <w:p w14:paraId="09697DD3" w14:textId="4E80E22D"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DPUO predviđa uspostavljanje četiri (4) regionalna centra upravljanja otpadom: centralni</w:t>
      </w:r>
      <w:r w:rsidR="0011435A">
        <w:rPr>
          <w:rFonts w:ascii="Arial" w:hAnsi="Arial" w:cs="Arial"/>
          <w:iCs/>
          <w:lang w:val="sq-AL"/>
        </w:rPr>
        <w:t xml:space="preserve"> I</w:t>
      </w:r>
      <w:r w:rsidRPr="002A6F4E">
        <w:rPr>
          <w:rFonts w:ascii="Arial" w:hAnsi="Arial" w:cs="Arial"/>
          <w:iCs/>
          <w:lang w:val="sq-AL"/>
        </w:rPr>
        <w:t xml:space="preserve"> (sa C</w:t>
      </w:r>
      <w:r w:rsidRPr="00AF0045">
        <w:rPr>
          <w:rFonts w:ascii="Arial" w:hAnsi="Arial" w:cs="Arial"/>
          <w:iCs/>
          <w:lang w:val="sq-AL"/>
        </w:rPr>
        <w:t>P</w:t>
      </w:r>
      <w:r w:rsidRPr="002A6F4E">
        <w:rPr>
          <w:rFonts w:ascii="Arial" w:hAnsi="Arial" w:cs="Arial"/>
          <w:iCs/>
          <w:lang w:val="sq-AL"/>
        </w:rPr>
        <w:t xml:space="preserve">UO u Podgorici), centralni </w:t>
      </w:r>
      <w:r w:rsidR="0011435A">
        <w:rPr>
          <w:rFonts w:ascii="Arial" w:hAnsi="Arial" w:cs="Arial"/>
          <w:iCs/>
          <w:lang w:val="sq-AL"/>
        </w:rPr>
        <w:t>II</w:t>
      </w:r>
      <w:r w:rsidRPr="002A6F4E">
        <w:rPr>
          <w:rFonts w:ascii="Arial" w:hAnsi="Arial" w:cs="Arial"/>
          <w:iCs/>
          <w:lang w:val="sq-AL"/>
        </w:rPr>
        <w:t xml:space="preserve"> (sa CPUO u Nikšiću), sjeverni </w:t>
      </w:r>
      <w:r w:rsidR="0011435A">
        <w:rPr>
          <w:rFonts w:ascii="Arial" w:hAnsi="Arial" w:cs="Arial"/>
          <w:iCs/>
          <w:lang w:val="sq-AL"/>
        </w:rPr>
        <w:t xml:space="preserve">III </w:t>
      </w:r>
      <w:r w:rsidRPr="002A6F4E">
        <w:rPr>
          <w:rFonts w:ascii="Arial" w:hAnsi="Arial" w:cs="Arial"/>
          <w:iCs/>
          <w:lang w:val="sq-AL"/>
        </w:rPr>
        <w:t xml:space="preserve">(sa CPUO u Bijelom Polju) i primorski </w:t>
      </w:r>
      <w:r w:rsidR="0011435A">
        <w:rPr>
          <w:rFonts w:ascii="Arial" w:hAnsi="Arial" w:cs="Arial"/>
          <w:iCs/>
          <w:lang w:val="sq-AL"/>
        </w:rPr>
        <w:t xml:space="preserve">IV </w:t>
      </w:r>
      <w:r w:rsidRPr="002A6F4E">
        <w:rPr>
          <w:rFonts w:ascii="Arial" w:hAnsi="Arial" w:cs="Arial"/>
          <w:iCs/>
          <w:lang w:val="sq-AL"/>
        </w:rPr>
        <w:t>(sa CPUO u Baru).</w:t>
      </w:r>
    </w:p>
    <w:p w14:paraId="1811A00A" w14:textId="1E378B64"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Osnovna infrastruktura za upravljanje komunalnim otpadom će uključivati:</w:t>
      </w:r>
    </w:p>
    <w:p w14:paraId="77356709" w14:textId="76CFB82F"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t>MRF</w:t>
      </w:r>
      <w:r w:rsidR="0085441D">
        <w:rPr>
          <w:rFonts w:ascii="Arial" w:hAnsi="Arial" w:cs="Arial"/>
          <w:iCs/>
          <w:lang w:val="sq-AL"/>
        </w:rPr>
        <w:t xml:space="preserve"> </w:t>
      </w:r>
      <w:r w:rsidRPr="002A6F4E">
        <w:rPr>
          <w:rFonts w:ascii="Arial" w:hAnsi="Arial" w:cs="Arial"/>
          <w:iCs/>
          <w:lang w:val="sq-AL"/>
        </w:rPr>
        <w:t>(</w:t>
      </w:r>
      <w:r w:rsidR="00DD5368">
        <w:rPr>
          <w:rFonts w:ascii="Arial" w:hAnsi="Arial" w:cs="Arial"/>
          <w:lang w:val="sq-AL" w:eastAsia="it-IT"/>
        </w:rPr>
        <w:t>postrojenje za pre</w:t>
      </w:r>
      <w:r w:rsidRPr="002A6F4E">
        <w:rPr>
          <w:rFonts w:ascii="Arial" w:hAnsi="Arial" w:cs="Arial"/>
          <w:lang w:val="sq-AL" w:eastAsia="it-IT"/>
        </w:rPr>
        <w:t>radu (recikliranje) materijala)</w:t>
      </w:r>
      <w:r w:rsidRPr="002A6F4E">
        <w:rPr>
          <w:rFonts w:ascii="Arial" w:hAnsi="Arial" w:cs="Arial"/>
          <w:iCs/>
          <w:lang w:val="sq-AL"/>
        </w:rPr>
        <w:t xml:space="preserve"> postrojenja ukupnog kapaciteta od </w:t>
      </w:r>
      <w:r w:rsidRPr="0090031B">
        <w:rPr>
          <w:rFonts w:ascii="Arial" w:hAnsi="Arial" w:cs="Arial"/>
          <w:iCs/>
          <w:lang w:val="sq-AL"/>
        </w:rPr>
        <w:t>~70.000</w:t>
      </w:r>
      <w:r w:rsidRPr="002A6F4E">
        <w:rPr>
          <w:rFonts w:ascii="Arial" w:hAnsi="Arial" w:cs="Arial"/>
          <w:iCs/>
          <w:lang w:val="sq-AL"/>
        </w:rPr>
        <w:t xml:space="preserve"> t/god</w:t>
      </w:r>
      <w:r w:rsidR="0011435A">
        <w:rPr>
          <w:rFonts w:ascii="Arial" w:hAnsi="Arial" w:cs="Arial"/>
          <w:iCs/>
          <w:lang w:val="sq-AL"/>
        </w:rPr>
        <w:t>.</w:t>
      </w:r>
      <w:r w:rsidRPr="002A6F4E">
        <w:rPr>
          <w:rFonts w:ascii="Arial" w:hAnsi="Arial" w:cs="Arial"/>
          <w:iCs/>
          <w:lang w:val="sq-AL"/>
        </w:rPr>
        <w:t xml:space="preserve"> gdje će odvojeno sakupljeni miješani otpad koji može da se reciklira biti povraćen i očišćen kako bi se proslijedio na ponovnu upotrebu/reciklažu. Postojeća mreža MRF biće proširena na cijelu zemlju</w:t>
      </w:r>
      <w:r w:rsidR="00A370BD">
        <w:rPr>
          <w:rFonts w:ascii="Arial" w:hAnsi="Arial" w:cs="Arial"/>
          <w:iCs/>
          <w:lang w:val="sq-AL"/>
        </w:rPr>
        <w:t>,</w:t>
      </w:r>
    </w:p>
    <w:p w14:paraId="56BEC871" w14:textId="17010E15"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t xml:space="preserve">Postrojenja za </w:t>
      </w:r>
      <w:r w:rsidR="004D5C92">
        <w:rPr>
          <w:rFonts w:ascii="Arial" w:hAnsi="Arial" w:cs="Arial"/>
          <w:iCs/>
          <w:lang w:val="sq-AL"/>
        </w:rPr>
        <w:t>obradu</w:t>
      </w:r>
      <w:r w:rsidR="004D5C92" w:rsidRPr="002A6F4E">
        <w:rPr>
          <w:rFonts w:ascii="Arial" w:hAnsi="Arial" w:cs="Arial"/>
          <w:iCs/>
          <w:lang w:val="sq-AL"/>
        </w:rPr>
        <w:t xml:space="preserve"> </w:t>
      </w:r>
      <w:r w:rsidRPr="002A6F4E">
        <w:rPr>
          <w:rFonts w:ascii="Arial" w:hAnsi="Arial" w:cs="Arial"/>
          <w:iCs/>
          <w:lang w:val="sq-AL"/>
        </w:rPr>
        <w:t xml:space="preserve">otpada ukupnog kapaciteta od </w:t>
      </w:r>
      <w:r w:rsidRPr="0090031B">
        <w:rPr>
          <w:rFonts w:ascii="Arial" w:hAnsi="Arial" w:cs="Arial"/>
          <w:iCs/>
          <w:lang w:val="sq-AL"/>
        </w:rPr>
        <w:t>~170.000 t/god</w:t>
      </w:r>
      <w:r w:rsidR="0011435A" w:rsidRPr="0090031B">
        <w:rPr>
          <w:rFonts w:ascii="Arial" w:hAnsi="Arial" w:cs="Arial"/>
          <w:iCs/>
          <w:lang w:val="sq-AL"/>
        </w:rPr>
        <w:t>.</w:t>
      </w:r>
      <w:r w:rsidRPr="002A6F4E">
        <w:rPr>
          <w:rFonts w:ascii="Arial" w:hAnsi="Arial" w:cs="Arial"/>
          <w:iCs/>
          <w:lang w:val="sq-AL"/>
        </w:rPr>
        <w:t xml:space="preserve">, gdje će se rezidualni otpad mehanički prethodno </w:t>
      </w:r>
      <w:r w:rsidR="004D5C92">
        <w:rPr>
          <w:rFonts w:ascii="Arial" w:hAnsi="Arial" w:cs="Arial"/>
          <w:iCs/>
          <w:lang w:val="sq-AL"/>
        </w:rPr>
        <w:t>obraditi</w:t>
      </w:r>
      <w:r w:rsidR="004D5C92" w:rsidRPr="002A6F4E">
        <w:rPr>
          <w:rFonts w:ascii="Arial" w:hAnsi="Arial" w:cs="Arial"/>
          <w:iCs/>
          <w:lang w:val="sq-AL"/>
        </w:rPr>
        <w:t xml:space="preserve"> </w:t>
      </w:r>
      <w:r w:rsidRPr="002A6F4E">
        <w:rPr>
          <w:rFonts w:ascii="Arial" w:hAnsi="Arial" w:cs="Arial"/>
          <w:iCs/>
          <w:lang w:val="sq-AL"/>
        </w:rPr>
        <w:t xml:space="preserve">kako bi se povratili dodatni reciklažni </w:t>
      </w:r>
      <w:r w:rsidRPr="002A6F4E">
        <w:rPr>
          <w:rFonts w:ascii="Arial" w:hAnsi="Arial" w:cs="Arial"/>
          <w:iCs/>
          <w:lang w:val="sq-AL"/>
        </w:rPr>
        <w:lastRenderedPageBreak/>
        <w:t xml:space="preserve">materijali i proizvelo sekundarno gorivo, dok će se organska frakcija </w:t>
      </w:r>
      <w:r w:rsidR="004D5C92">
        <w:rPr>
          <w:rFonts w:ascii="Arial" w:hAnsi="Arial" w:cs="Arial"/>
          <w:iCs/>
          <w:lang w:val="sq-AL"/>
        </w:rPr>
        <w:t xml:space="preserve">obraditi </w:t>
      </w:r>
      <w:r w:rsidRPr="002A6F4E">
        <w:rPr>
          <w:rFonts w:ascii="Arial" w:hAnsi="Arial" w:cs="Arial"/>
          <w:iCs/>
          <w:lang w:val="sq-AL"/>
        </w:rPr>
        <w:t>kako bi se proizvela energija i/ili biostabilizovala</w:t>
      </w:r>
      <w:r w:rsidR="00A370BD">
        <w:rPr>
          <w:rFonts w:ascii="Arial" w:hAnsi="Arial" w:cs="Arial"/>
          <w:iCs/>
          <w:lang w:val="sq-AL"/>
        </w:rPr>
        <w:t>,</w:t>
      </w:r>
    </w:p>
    <w:p w14:paraId="701C80C6" w14:textId="16436D2D" w:rsidR="00C232D7" w:rsidRPr="002A6F4E" w:rsidRDefault="00C232D7" w:rsidP="00A23ED0">
      <w:pPr>
        <w:pStyle w:val="ListParagraph"/>
        <w:numPr>
          <w:ilvl w:val="1"/>
          <w:numId w:val="15"/>
        </w:numPr>
        <w:spacing w:before="120" w:after="120" w:line="360" w:lineRule="auto"/>
        <w:contextualSpacing w:val="0"/>
        <w:rPr>
          <w:rFonts w:ascii="Arial" w:hAnsi="Arial" w:cs="Arial"/>
          <w:iCs/>
          <w:lang w:val="sq-AL"/>
        </w:rPr>
      </w:pPr>
      <w:r w:rsidRPr="002A6F4E">
        <w:rPr>
          <w:rFonts w:ascii="Arial" w:hAnsi="Arial" w:cs="Arial"/>
          <w:iCs/>
          <w:lang w:val="sq-AL"/>
        </w:rPr>
        <w:t>Odlaganje otpada koji se odnosi na odlaganje ostataka ili m</w:t>
      </w:r>
      <w:r w:rsidR="004D5C92">
        <w:rPr>
          <w:rFonts w:ascii="Arial" w:hAnsi="Arial" w:cs="Arial"/>
          <w:iCs/>
          <w:lang w:val="sq-AL"/>
        </w:rPr>
        <w:t>iješanog</w:t>
      </w:r>
      <w:r w:rsidRPr="002A6F4E">
        <w:rPr>
          <w:rFonts w:ascii="Arial" w:hAnsi="Arial" w:cs="Arial"/>
          <w:iCs/>
          <w:lang w:val="sq-AL"/>
        </w:rPr>
        <w:t xml:space="preserve"> otpada. Postojeće deponije u Podgoric</w:t>
      </w:r>
      <w:r w:rsidR="00B14F37">
        <w:rPr>
          <w:rFonts w:ascii="Arial" w:hAnsi="Arial" w:cs="Arial"/>
          <w:iCs/>
          <w:lang w:val="sq-AL"/>
        </w:rPr>
        <w:t>i i Baru biće dopunjene dodatni</w:t>
      </w:r>
      <w:r w:rsidRPr="002A6F4E">
        <w:rPr>
          <w:rFonts w:ascii="Arial" w:hAnsi="Arial" w:cs="Arial"/>
          <w:iCs/>
          <w:lang w:val="sq-AL"/>
        </w:rPr>
        <w:t xml:space="preserve">m </w:t>
      </w:r>
      <w:r w:rsidR="00B14F37">
        <w:rPr>
          <w:rFonts w:ascii="Arial" w:hAnsi="Arial" w:cs="Arial"/>
          <w:iCs/>
          <w:lang w:val="sq-AL"/>
        </w:rPr>
        <w:t>postrojenjima</w:t>
      </w:r>
      <w:r w:rsidRPr="002A6F4E">
        <w:rPr>
          <w:rFonts w:ascii="Arial" w:hAnsi="Arial" w:cs="Arial"/>
          <w:iCs/>
          <w:lang w:val="sq-AL"/>
        </w:rPr>
        <w:t>. Ukupne potrebe za deponovanjem biće ~205.000 t/god</w:t>
      </w:r>
      <w:r w:rsidR="00A370BD">
        <w:rPr>
          <w:rFonts w:ascii="Arial" w:hAnsi="Arial" w:cs="Arial"/>
          <w:iCs/>
          <w:lang w:val="sq-AL"/>
        </w:rPr>
        <w:t>,</w:t>
      </w:r>
    </w:p>
    <w:p w14:paraId="10851116" w14:textId="7BE8900A" w:rsidR="00C232D7" w:rsidRPr="002C1063" w:rsidRDefault="00C232D7" w:rsidP="00A23ED0">
      <w:pPr>
        <w:pStyle w:val="ListParagraph"/>
        <w:numPr>
          <w:ilvl w:val="1"/>
          <w:numId w:val="15"/>
        </w:numPr>
        <w:spacing w:before="120" w:after="120" w:line="360" w:lineRule="auto"/>
        <w:contextualSpacing w:val="0"/>
        <w:rPr>
          <w:rFonts w:ascii="Arial" w:hAnsi="Arial" w:cs="Arial"/>
          <w:b/>
          <w:iCs/>
          <w:lang w:val="sq-AL"/>
        </w:rPr>
      </w:pPr>
      <w:r w:rsidRPr="002C1063">
        <w:rPr>
          <w:rFonts w:ascii="Arial" w:hAnsi="Arial" w:cs="Arial"/>
          <w:b/>
          <w:iCs/>
          <w:lang w:val="sq-AL"/>
        </w:rPr>
        <w:t>Predviđeni investicioni troškovi predložene infrastrukture za upravljanje otpadom su ~400 mil</w:t>
      </w:r>
      <w:r w:rsidR="00A370BD" w:rsidRPr="002C1063">
        <w:rPr>
          <w:rFonts w:ascii="Arial" w:hAnsi="Arial" w:cs="Arial"/>
          <w:b/>
          <w:iCs/>
          <w:lang w:val="sq-AL"/>
        </w:rPr>
        <w:t>iona</w:t>
      </w:r>
      <w:r w:rsidRPr="002C1063">
        <w:rPr>
          <w:rFonts w:ascii="Arial" w:hAnsi="Arial" w:cs="Arial"/>
          <w:b/>
          <w:iCs/>
          <w:lang w:val="sq-AL"/>
        </w:rPr>
        <w:t xml:space="preserve"> EUR</w:t>
      </w:r>
      <w:r w:rsidR="00A370BD" w:rsidRPr="002C1063">
        <w:rPr>
          <w:rFonts w:ascii="Arial" w:hAnsi="Arial" w:cs="Arial"/>
          <w:b/>
          <w:iCs/>
          <w:lang w:val="sq-AL"/>
        </w:rPr>
        <w:t>.</w:t>
      </w:r>
    </w:p>
    <w:p w14:paraId="5BED34DC" w14:textId="20D4659C" w:rsidR="00C232D7" w:rsidRPr="0090031B" w:rsidRDefault="00C232D7" w:rsidP="00A23ED0">
      <w:pPr>
        <w:pStyle w:val="ListParagraph"/>
        <w:numPr>
          <w:ilvl w:val="0"/>
          <w:numId w:val="14"/>
        </w:numPr>
        <w:spacing w:before="120" w:after="120" w:line="360" w:lineRule="auto"/>
        <w:contextualSpacing w:val="0"/>
        <w:rPr>
          <w:rFonts w:ascii="Arial" w:hAnsi="Arial" w:cs="Arial"/>
          <w:lang w:val="sq-AL"/>
        </w:rPr>
      </w:pPr>
      <w:r w:rsidRPr="0090031B">
        <w:rPr>
          <w:rFonts w:ascii="Arial" w:hAnsi="Arial" w:cs="Arial"/>
          <w:lang w:val="sq-AL"/>
        </w:rPr>
        <w:t>Crna Gora će se pretvoriti u društvo sa „nula deponija“ zabranom stvaranja novih deponija, zatvaranjem postojećih deponija i sanacijom odlagališta otpada (po prioritetu) i sanacijom svih deponija do 2030. godine.</w:t>
      </w:r>
    </w:p>
    <w:p w14:paraId="3611BAC8" w14:textId="774CC582" w:rsidR="00C232D7" w:rsidRPr="002A6F4E" w:rsidRDefault="00CA1A31" w:rsidP="00A23ED0">
      <w:pPr>
        <w:pStyle w:val="ListParagraph"/>
        <w:numPr>
          <w:ilvl w:val="0"/>
          <w:numId w:val="14"/>
        </w:numPr>
        <w:spacing w:before="120" w:after="120" w:line="360" w:lineRule="auto"/>
        <w:contextualSpacing w:val="0"/>
        <w:rPr>
          <w:rFonts w:ascii="Arial" w:hAnsi="Arial" w:cs="Arial"/>
          <w:lang w:val="sq-AL"/>
        </w:rPr>
      </w:pPr>
      <w:r>
        <w:rPr>
          <w:rFonts w:ascii="Arial" w:hAnsi="Arial" w:cs="Arial"/>
          <w:lang w:val="sq-AL"/>
        </w:rPr>
        <w:t>Za posebne tokove otpada, DPUO</w:t>
      </w:r>
      <w:r w:rsidR="00C232D7" w:rsidRPr="002A6F4E">
        <w:rPr>
          <w:rFonts w:ascii="Arial" w:hAnsi="Arial" w:cs="Arial"/>
          <w:lang w:val="sq-AL"/>
        </w:rPr>
        <w:t xml:space="preserve"> predviđa odgovarajuću organizaciju sakupljanja otpada, privremenog skladištenja i odvoza </w:t>
      </w:r>
      <w:r w:rsidR="004B03AF">
        <w:rPr>
          <w:rFonts w:ascii="Arial" w:hAnsi="Arial" w:cs="Arial"/>
          <w:lang w:val="sq-AL"/>
        </w:rPr>
        <w:t>privrednim društvima</w:t>
      </w:r>
      <w:r w:rsidR="004B03AF" w:rsidRPr="004B03AF">
        <w:rPr>
          <w:rFonts w:ascii="Arial" w:hAnsi="Arial" w:cs="Arial"/>
          <w:lang w:val="sq-AL"/>
        </w:rPr>
        <w:t xml:space="preserve"> </w:t>
      </w:r>
      <w:r w:rsidR="004B03AF" w:rsidRPr="002A6F4E">
        <w:rPr>
          <w:rFonts w:ascii="Arial" w:hAnsi="Arial" w:cs="Arial"/>
          <w:lang w:val="sq-AL"/>
        </w:rPr>
        <w:t>ovlašćenim</w:t>
      </w:r>
      <w:r w:rsidR="004B03AF">
        <w:rPr>
          <w:rFonts w:ascii="Arial" w:hAnsi="Arial" w:cs="Arial"/>
          <w:lang w:val="sq-AL"/>
        </w:rPr>
        <w:t xml:space="preserve"> od strane Agencije za zaštitu životne sredine za upravljanje otpadom</w:t>
      </w:r>
      <w:r w:rsidR="00C232D7" w:rsidRPr="002A6F4E">
        <w:rPr>
          <w:rFonts w:ascii="Arial" w:hAnsi="Arial" w:cs="Arial"/>
          <w:lang w:val="sq-AL"/>
        </w:rPr>
        <w:t>. Uspostaviće se odgovarajući sistem upravljanja i izvještavanje o količini generisanog otpada. Poseban naglasak stavlja na preuzimanje odgovornosti koje se pripisuju proizvođačima u kontekstu proširene odgovornosti proizvođača (uključujući organizacije za odgovornost proizvođača).</w:t>
      </w:r>
    </w:p>
    <w:p w14:paraId="613762D8" w14:textId="77777777" w:rsidR="00C232D7" w:rsidRPr="002A6F4E" w:rsidRDefault="00C232D7" w:rsidP="00C232D7">
      <w:pPr>
        <w:spacing w:before="120" w:after="120" w:line="360" w:lineRule="auto"/>
        <w:rPr>
          <w:rFonts w:ascii="Arial" w:hAnsi="Arial" w:cs="Arial"/>
          <w:iCs/>
          <w:lang w:val="sq-AL"/>
        </w:rPr>
      </w:pPr>
      <w:r w:rsidRPr="002A6F4E">
        <w:rPr>
          <w:rFonts w:ascii="Arial" w:hAnsi="Arial" w:cs="Arial"/>
          <w:iCs/>
          <w:lang w:val="sq-AL"/>
        </w:rPr>
        <w:t>Plan uspostavlja sljedeće strateške osnove:</w:t>
      </w:r>
    </w:p>
    <w:p w14:paraId="24D7F0A8" w14:textId="61035FFD"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Osnova A: Politika, zakonodavstvo i sprovođenje</w:t>
      </w:r>
      <w:r w:rsidR="00E1670E">
        <w:rPr>
          <w:rFonts w:ascii="Arial" w:hAnsi="Arial" w:cs="Arial"/>
          <w:iCs/>
          <w:lang w:val="sq-AL"/>
        </w:rPr>
        <w:t>,</w:t>
      </w:r>
    </w:p>
    <w:p w14:paraId="0B381DFF" w14:textId="598665C5"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Osnova B: Održivo finansiranje</w:t>
      </w:r>
      <w:r w:rsidR="00E1670E">
        <w:rPr>
          <w:rFonts w:ascii="Arial" w:hAnsi="Arial" w:cs="Arial"/>
          <w:iCs/>
          <w:lang w:val="sq-AL"/>
        </w:rPr>
        <w:t>,</w:t>
      </w:r>
    </w:p>
    <w:p w14:paraId="02E385A0" w14:textId="13FB0FE2"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Osnova C: Razvoj kapaciteta</w:t>
      </w:r>
      <w:r w:rsidR="00E1670E">
        <w:rPr>
          <w:rFonts w:ascii="Arial" w:hAnsi="Arial" w:cs="Arial"/>
          <w:iCs/>
          <w:lang w:val="sq-AL"/>
        </w:rPr>
        <w:t>,</w:t>
      </w:r>
    </w:p>
    <w:p w14:paraId="6D89F143" w14:textId="22BC514C"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Osnova D: Održivo integrisano upravljanje otpadom</w:t>
      </w:r>
      <w:r w:rsidR="00E1670E">
        <w:rPr>
          <w:rFonts w:ascii="Arial" w:hAnsi="Arial" w:cs="Arial"/>
          <w:iCs/>
          <w:lang w:val="sq-AL"/>
        </w:rPr>
        <w:t>,</w:t>
      </w:r>
    </w:p>
    <w:p w14:paraId="5FF982A3" w14:textId="219D185C"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Osnova E: Javna svijest / konsultacije</w:t>
      </w:r>
      <w:r w:rsidR="00E1670E">
        <w:rPr>
          <w:rFonts w:ascii="Arial" w:hAnsi="Arial" w:cs="Arial"/>
          <w:iCs/>
          <w:lang w:val="sq-AL"/>
        </w:rPr>
        <w:t>.</w:t>
      </w:r>
    </w:p>
    <w:p w14:paraId="02159C55" w14:textId="55056294" w:rsidR="00C232D7" w:rsidRPr="0090031B" w:rsidRDefault="00C232D7" w:rsidP="00C232D7">
      <w:pPr>
        <w:spacing w:before="120" w:after="120" w:line="360" w:lineRule="auto"/>
        <w:rPr>
          <w:rFonts w:ascii="Arial" w:hAnsi="Arial" w:cs="Arial"/>
          <w:i/>
          <w:iCs/>
          <w:lang w:val="sq-AL"/>
        </w:rPr>
      </w:pPr>
      <w:r w:rsidRPr="002A6F4E">
        <w:rPr>
          <w:rFonts w:ascii="Arial" w:hAnsi="Arial" w:cs="Arial"/>
          <w:lang w:val="sq-AL"/>
        </w:rPr>
        <w:t xml:space="preserve">Na ovim osnovama, kao i na analizi postojećeg stanja i analizi potražnje, razvijene su opcije upravljanja otpadom za svaki od tokova otpada što je rezultiralo izradom </w:t>
      </w:r>
      <w:r w:rsidRPr="002A6F4E">
        <w:rPr>
          <w:rFonts w:ascii="Arial" w:hAnsi="Arial" w:cs="Arial"/>
          <w:bCs/>
          <w:lang w:val="sq-AL"/>
        </w:rPr>
        <w:t xml:space="preserve">Akcionog plana posebnih </w:t>
      </w:r>
      <w:r w:rsidRPr="004D5C92">
        <w:rPr>
          <w:rFonts w:ascii="Arial" w:hAnsi="Arial" w:cs="Arial"/>
          <w:bCs/>
          <w:lang w:val="sq-AL"/>
        </w:rPr>
        <w:t>mjera</w:t>
      </w:r>
      <w:r w:rsidR="004D5C92">
        <w:rPr>
          <w:rFonts w:ascii="Arial" w:hAnsi="Arial" w:cs="Arial"/>
          <w:bCs/>
          <w:lang w:val="sq-AL"/>
        </w:rPr>
        <w:t>,</w:t>
      </w:r>
      <w:r w:rsidRPr="004D5C92">
        <w:rPr>
          <w:rFonts w:ascii="Arial" w:hAnsi="Arial" w:cs="Arial"/>
          <w:lang w:val="sq-AL"/>
        </w:rPr>
        <w:t xml:space="preserve"> </w:t>
      </w:r>
      <w:r w:rsidRPr="0090031B">
        <w:rPr>
          <w:rFonts w:ascii="Arial" w:hAnsi="Arial" w:cs="Arial"/>
          <w:i/>
          <w:iCs/>
          <w:lang w:val="sq-AL"/>
        </w:rPr>
        <w:t xml:space="preserve"> </w:t>
      </w:r>
      <w:r w:rsidRPr="0090031B">
        <w:rPr>
          <w:rFonts w:ascii="Arial" w:hAnsi="Arial" w:cs="Arial"/>
          <w:iCs/>
          <w:lang w:val="sq-AL"/>
        </w:rPr>
        <w:t>uključuju</w:t>
      </w:r>
      <w:r w:rsidR="0090031B">
        <w:rPr>
          <w:rFonts w:ascii="Arial" w:hAnsi="Arial" w:cs="Arial"/>
          <w:iCs/>
          <w:lang w:val="sq-AL"/>
        </w:rPr>
        <w:t>ć</w:t>
      </w:r>
      <w:r w:rsidRPr="0090031B">
        <w:rPr>
          <w:rFonts w:ascii="Arial" w:hAnsi="Arial" w:cs="Arial"/>
          <w:iCs/>
          <w:lang w:val="sq-AL"/>
        </w:rPr>
        <w:t>i:</w:t>
      </w:r>
    </w:p>
    <w:p w14:paraId="121B18B0" w14:textId="33C0243A" w:rsidR="00C232D7" w:rsidRPr="002A6F4E" w:rsidRDefault="00C232D7" w:rsidP="00A23ED0">
      <w:pPr>
        <w:pStyle w:val="ListParagraph"/>
        <w:numPr>
          <w:ilvl w:val="0"/>
          <w:numId w:val="15"/>
        </w:numPr>
        <w:spacing w:before="120" w:after="120" w:line="360" w:lineRule="auto"/>
        <w:contextualSpacing w:val="0"/>
        <w:rPr>
          <w:rFonts w:ascii="Arial" w:hAnsi="Arial" w:cs="Arial"/>
          <w:lang w:val="sq-AL" w:bidi="ar-AE"/>
        </w:rPr>
      </w:pPr>
      <w:r w:rsidRPr="002A6F4E">
        <w:rPr>
          <w:rFonts w:ascii="Arial" w:hAnsi="Arial" w:cs="Arial"/>
          <w:lang w:val="sq-AL" w:bidi="ar-AE"/>
        </w:rPr>
        <w:t xml:space="preserve">Zakonske mjere (ZM): </w:t>
      </w:r>
      <w:r w:rsidR="00397934">
        <w:rPr>
          <w:rFonts w:ascii="Arial" w:hAnsi="Arial" w:cs="Arial"/>
          <w:lang w:val="sq-AL" w:bidi="ar-AE"/>
        </w:rPr>
        <w:t xml:space="preserve">donošenje svih propisa neophodnih </w:t>
      </w:r>
      <w:r w:rsidRPr="002A6F4E">
        <w:rPr>
          <w:rFonts w:ascii="Arial" w:hAnsi="Arial" w:cs="Arial"/>
          <w:lang w:val="sq-AL" w:bidi="ar-AE"/>
        </w:rPr>
        <w:t>za nesmetan rad sistema upravljanja otpadom;</w:t>
      </w:r>
    </w:p>
    <w:p w14:paraId="348EC712" w14:textId="78C26276" w:rsidR="00C232D7" w:rsidRPr="002A6F4E" w:rsidRDefault="00C232D7" w:rsidP="00A23ED0">
      <w:pPr>
        <w:pStyle w:val="ListParagraph"/>
        <w:numPr>
          <w:ilvl w:val="0"/>
          <w:numId w:val="15"/>
        </w:numPr>
        <w:spacing w:before="120" w:after="120" w:line="360" w:lineRule="auto"/>
        <w:contextualSpacing w:val="0"/>
        <w:rPr>
          <w:rFonts w:ascii="Arial" w:hAnsi="Arial" w:cs="Arial"/>
          <w:lang w:val="sq-AL" w:bidi="ar-AE"/>
        </w:rPr>
      </w:pPr>
      <w:r w:rsidRPr="002A6F4E">
        <w:rPr>
          <w:rFonts w:ascii="Arial" w:hAnsi="Arial" w:cs="Arial"/>
          <w:lang w:val="sq-AL" w:bidi="ar-AE"/>
        </w:rPr>
        <w:t>Organizaciono – Administrativne m</w:t>
      </w:r>
      <w:r w:rsidR="00397934">
        <w:rPr>
          <w:rFonts w:ascii="Arial" w:hAnsi="Arial" w:cs="Arial"/>
          <w:lang w:val="sq-AL" w:bidi="ar-AE"/>
        </w:rPr>
        <w:t>j</w:t>
      </w:r>
      <w:r w:rsidRPr="002A6F4E">
        <w:rPr>
          <w:rFonts w:ascii="Arial" w:hAnsi="Arial" w:cs="Arial"/>
          <w:lang w:val="sq-AL" w:bidi="ar-AE"/>
        </w:rPr>
        <w:t>ere (OAM): aktivnosti izgradnje kapaciteta, radnje za jačanje organizacije, monitoringa i kontrole operacija upravljanja otpadom;</w:t>
      </w:r>
    </w:p>
    <w:p w14:paraId="6477D1AE" w14:textId="518DBCAE" w:rsidR="00C232D7" w:rsidRPr="002A6F4E" w:rsidRDefault="00C232D7" w:rsidP="00A23ED0">
      <w:pPr>
        <w:pStyle w:val="ListParagraph"/>
        <w:numPr>
          <w:ilvl w:val="0"/>
          <w:numId w:val="15"/>
        </w:numPr>
        <w:spacing w:before="120" w:after="120" w:line="360" w:lineRule="auto"/>
        <w:contextualSpacing w:val="0"/>
        <w:rPr>
          <w:rFonts w:ascii="Arial" w:hAnsi="Arial" w:cs="Arial"/>
          <w:lang w:val="sq-AL" w:bidi="ar-AE"/>
        </w:rPr>
      </w:pPr>
      <w:r w:rsidRPr="002A6F4E">
        <w:rPr>
          <w:rFonts w:ascii="Arial" w:hAnsi="Arial" w:cs="Arial"/>
          <w:lang w:val="sq-AL" w:bidi="ar-AE"/>
        </w:rPr>
        <w:t>Infrastrukturne m</w:t>
      </w:r>
      <w:r w:rsidR="0011435A">
        <w:rPr>
          <w:rFonts w:ascii="Arial" w:hAnsi="Arial" w:cs="Arial"/>
          <w:lang w:val="sq-AL" w:bidi="ar-AE"/>
        </w:rPr>
        <w:t>j</w:t>
      </w:r>
      <w:r w:rsidRPr="002A6F4E">
        <w:rPr>
          <w:rFonts w:ascii="Arial" w:hAnsi="Arial" w:cs="Arial"/>
          <w:lang w:val="sq-AL" w:bidi="ar-AE"/>
        </w:rPr>
        <w:t>ere (IM): razvoj infrastrukture, nabavka opreme, zatvaranje odlagališta otpada (uključujući</w:t>
      </w:r>
      <w:r w:rsidR="00397934">
        <w:rPr>
          <w:rFonts w:ascii="Arial" w:hAnsi="Arial" w:cs="Arial"/>
          <w:lang w:val="sq-AL" w:bidi="ar-AE"/>
        </w:rPr>
        <w:t>,</w:t>
      </w:r>
      <w:r w:rsidRPr="002A6F4E">
        <w:rPr>
          <w:rFonts w:ascii="Arial" w:hAnsi="Arial" w:cs="Arial"/>
          <w:lang w:val="sq-AL" w:bidi="ar-AE"/>
        </w:rPr>
        <w:t xml:space="preserve"> neophodne tehničke studije);</w:t>
      </w:r>
    </w:p>
    <w:p w14:paraId="63B3FFBD" w14:textId="77777777" w:rsidR="00C232D7" w:rsidRPr="002A6F4E" w:rsidRDefault="00C232D7" w:rsidP="00A23ED0">
      <w:pPr>
        <w:pStyle w:val="ListParagraph"/>
        <w:numPr>
          <w:ilvl w:val="0"/>
          <w:numId w:val="15"/>
        </w:numPr>
        <w:spacing w:before="120" w:after="120" w:line="360" w:lineRule="auto"/>
        <w:contextualSpacing w:val="0"/>
        <w:rPr>
          <w:rFonts w:ascii="Arial" w:hAnsi="Arial" w:cs="Arial"/>
          <w:lang w:val="sq-AL" w:bidi="ar-AE"/>
        </w:rPr>
      </w:pPr>
      <w:r w:rsidRPr="002A6F4E">
        <w:rPr>
          <w:rFonts w:ascii="Arial" w:hAnsi="Arial" w:cs="Arial"/>
          <w:lang w:val="sq-AL" w:bidi="ar-AE"/>
        </w:rPr>
        <w:t>Finansijske mjere (FM): sprovođenje ekonomskih instrumenata, određivanje tarifa, sistemi potpunog povrata troškova;</w:t>
      </w:r>
    </w:p>
    <w:p w14:paraId="0B66D559" w14:textId="3AEE295C" w:rsidR="00C232D7" w:rsidRPr="002A6F4E" w:rsidRDefault="00C232D7" w:rsidP="00A23ED0">
      <w:pPr>
        <w:pStyle w:val="ListParagraph"/>
        <w:numPr>
          <w:ilvl w:val="0"/>
          <w:numId w:val="15"/>
        </w:numPr>
        <w:spacing w:before="120" w:after="120" w:line="360" w:lineRule="auto"/>
        <w:contextualSpacing w:val="0"/>
        <w:rPr>
          <w:rFonts w:ascii="Arial" w:hAnsi="Arial" w:cs="Arial"/>
          <w:lang w:val="sq-AL" w:bidi="ar-AE"/>
        </w:rPr>
      </w:pPr>
      <w:r w:rsidRPr="002A6F4E">
        <w:rPr>
          <w:rFonts w:ascii="Arial" w:hAnsi="Arial" w:cs="Arial"/>
          <w:lang w:val="sq-AL" w:bidi="ar-AE"/>
        </w:rPr>
        <w:t>Podizanje svijesti – Informisanje – Obrazovne mjere (PSIOM)</w:t>
      </w:r>
      <w:r w:rsidR="003B5CC5">
        <w:rPr>
          <w:rFonts w:ascii="Arial" w:hAnsi="Arial" w:cs="Arial"/>
          <w:lang w:val="sq-AL" w:bidi="ar-AE"/>
        </w:rPr>
        <w:t>;</w:t>
      </w:r>
    </w:p>
    <w:p w14:paraId="03136917" w14:textId="77777777" w:rsidR="00C232D7" w:rsidRPr="002A6F4E" w:rsidRDefault="00C232D7" w:rsidP="00A23ED0">
      <w:pPr>
        <w:pStyle w:val="ListParagraph"/>
        <w:numPr>
          <w:ilvl w:val="0"/>
          <w:numId w:val="15"/>
        </w:numPr>
        <w:spacing w:before="120" w:after="120" w:line="360" w:lineRule="auto"/>
        <w:contextualSpacing w:val="0"/>
        <w:rPr>
          <w:rFonts w:ascii="Arial" w:hAnsi="Arial" w:cs="Arial"/>
          <w:lang w:val="sq-AL" w:bidi="ar-AE"/>
        </w:rPr>
      </w:pPr>
      <w:r w:rsidRPr="002A6F4E">
        <w:rPr>
          <w:rFonts w:ascii="Arial" w:hAnsi="Arial" w:cs="Arial"/>
          <w:lang w:val="sq-AL" w:bidi="ar-AE"/>
        </w:rPr>
        <w:t>Planovi – Smjernice – Specifikacije – Standardi – Studije (PSSSS).</w:t>
      </w:r>
    </w:p>
    <w:p w14:paraId="1AB33BD9"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lastRenderedPageBreak/>
        <w:t>Pored opisa konkretnih mjera, Akcioni plan daje i odgovornog subjekta, period implementacije i izvore finansiranja, a prate ga i odgovarajući indikatori koji će se koristiti za praćenje njegovog sprovođenja. Monitoring otpada i upravljanje podacima su takođe predstavljeni u DPUO, kao važni elementi za efikasno upravljanje otpadom, kroz uspostavljanje Informacionog sistema upravljanja otpadom (</w:t>
      </w:r>
      <w:r w:rsidRPr="007E5138">
        <w:rPr>
          <w:rFonts w:ascii="Arial" w:hAnsi="Arial" w:cs="Arial"/>
          <w:lang w:val="sq-AL"/>
        </w:rPr>
        <w:t>WMIS</w:t>
      </w:r>
      <w:r w:rsidRPr="002A6F4E">
        <w:rPr>
          <w:rFonts w:ascii="Arial" w:hAnsi="Arial" w:cs="Arial"/>
          <w:lang w:val="sq-AL"/>
        </w:rPr>
        <w:t>), koji će uključivati procese i alate za prikupljanje, upravljanje i odlaganje podataka i  pružiće razmjenu informacija o sektoru otpada.</w:t>
      </w:r>
    </w:p>
    <w:p w14:paraId="690BB8EB" w14:textId="7540694C" w:rsidR="00C232D7" w:rsidRPr="002A6F4E" w:rsidRDefault="0011435A" w:rsidP="00C232D7">
      <w:pPr>
        <w:spacing w:before="120" w:after="120" w:line="360" w:lineRule="auto"/>
        <w:rPr>
          <w:rFonts w:ascii="Arial" w:hAnsi="Arial" w:cs="Arial"/>
          <w:lang w:val="sq-AL"/>
        </w:rPr>
      </w:pPr>
      <w:r>
        <w:rPr>
          <w:rFonts w:ascii="Arial" w:hAnsi="Arial" w:cs="Arial"/>
          <w:lang w:val="sq-AL"/>
        </w:rPr>
        <w:t>U k</w:t>
      </w:r>
      <w:r w:rsidR="00C232D7" w:rsidRPr="002A6F4E">
        <w:rPr>
          <w:rFonts w:ascii="Arial" w:hAnsi="Arial" w:cs="Arial"/>
          <w:lang w:val="sq-AL"/>
        </w:rPr>
        <w:t>onačno</w:t>
      </w:r>
      <w:r>
        <w:rPr>
          <w:rFonts w:ascii="Arial" w:hAnsi="Arial" w:cs="Arial"/>
          <w:lang w:val="sq-AL"/>
        </w:rPr>
        <w:t>m</w:t>
      </w:r>
      <w:r w:rsidR="00C232D7" w:rsidRPr="002A6F4E">
        <w:rPr>
          <w:rFonts w:ascii="Arial" w:hAnsi="Arial" w:cs="Arial"/>
          <w:lang w:val="sq-AL"/>
        </w:rPr>
        <w:t xml:space="preserve">, </w:t>
      </w:r>
      <w:r w:rsidR="001633E2">
        <w:rPr>
          <w:rFonts w:ascii="Arial" w:hAnsi="Arial" w:cs="Arial"/>
          <w:lang w:val="sq-AL"/>
        </w:rPr>
        <w:t>potrebno je obezbijediti</w:t>
      </w:r>
      <w:r w:rsidR="00C232D7" w:rsidRPr="002A6F4E">
        <w:rPr>
          <w:rFonts w:ascii="Arial" w:hAnsi="Arial" w:cs="Arial"/>
          <w:lang w:val="sq-AL"/>
        </w:rPr>
        <w:t xml:space="preserve"> sredstva i podsticaje koji treba da podrže sprovođenje</w:t>
      </w:r>
      <w:r w:rsidR="001633E2">
        <w:rPr>
          <w:rFonts w:ascii="Arial" w:hAnsi="Arial" w:cs="Arial"/>
          <w:lang w:val="sq-AL"/>
        </w:rPr>
        <w:t xml:space="preserve"> DPUO</w:t>
      </w:r>
      <w:r w:rsidR="00C232D7" w:rsidRPr="002A6F4E">
        <w:rPr>
          <w:rFonts w:ascii="Arial" w:hAnsi="Arial" w:cs="Arial"/>
          <w:lang w:val="sq-AL"/>
        </w:rPr>
        <w:t>, uključujući zakonodavne, institucionalne, obrazovne, finansijske i ekonomske instrumente i instrumente javne svijesti, istovremeno predstavljajući i naglašavajući važnost alata politike proširene odgovornosti proizvođača.</w:t>
      </w:r>
    </w:p>
    <w:p w14:paraId="5DB8D43A" w14:textId="77777777" w:rsidR="00C232D7" w:rsidRPr="002A6F4E" w:rsidRDefault="00C232D7" w:rsidP="00C232D7">
      <w:pPr>
        <w:pBdr>
          <w:top w:val="single" w:sz="4" w:space="0" w:color="auto"/>
          <w:left w:val="single" w:sz="4" w:space="4" w:color="auto"/>
          <w:bottom w:val="single" w:sz="4" w:space="1" w:color="auto"/>
          <w:right w:val="single" w:sz="4" w:space="4" w:color="auto"/>
        </w:pBdr>
        <w:spacing w:before="120" w:after="120" w:line="360" w:lineRule="auto"/>
        <w:rPr>
          <w:rFonts w:ascii="Arial" w:hAnsi="Arial" w:cs="Arial"/>
          <w:b/>
          <w:bCs/>
          <w:lang w:val="sq-AL"/>
        </w:rPr>
      </w:pPr>
      <w:r w:rsidRPr="002A6F4E">
        <w:rPr>
          <w:rFonts w:ascii="Arial" w:hAnsi="Arial" w:cs="Arial"/>
          <w:b/>
          <w:bCs/>
          <w:lang w:val="sq-AL"/>
        </w:rPr>
        <w:t>VIZIJA I CILJEVI DRŽAVNOG PLANA UPRAVLJANJA OTPADOM</w:t>
      </w:r>
    </w:p>
    <w:p w14:paraId="16B2A827" w14:textId="1B5F8E84" w:rsidR="00C232D7" w:rsidRPr="002A6F4E" w:rsidRDefault="00C232D7" w:rsidP="00C232D7">
      <w:pPr>
        <w:pBdr>
          <w:top w:val="single" w:sz="4" w:space="0" w:color="auto"/>
          <w:left w:val="single" w:sz="4" w:space="4" w:color="auto"/>
          <w:bottom w:val="single" w:sz="4" w:space="1" w:color="auto"/>
          <w:right w:val="single" w:sz="4" w:space="4" w:color="auto"/>
        </w:pBdr>
        <w:spacing w:before="120" w:after="120" w:line="360" w:lineRule="auto"/>
        <w:rPr>
          <w:rFonts w:ascii="Arial" w:hAnsi="Arial" w:cs="Arial"/>
          <w:lang w:val="sq-AL"/>
        </w:rPr>
      </w:pPr>
      <w:r w:rsidRPr="002A6F4E">
        <w:rPr>
          <w:rFonts w:ascii="Arial" w:hAnsi="Arial" w:cs="Arial"/>
          <w:lang w:val="sq-AL"/>
        </w:rPr>
        <w:t xml:space="preserve">Vizija </w:t>
      </w:r>
      <w:r w:rsidR="001633E2">
        <w:rPr>
          <w:rFonts w:ascii="Arial" w:hAnsi="Arial" w:cs="Arial"/>
          <w:lang w:val="sq-AL"/>
        </w:rPr>
        <w:t>D</w:t>
      </w:r>
      <w:r w:rsidRPr="002A6F4E">
        <w:rPr>
          <w:rFonts w:ascii="Arial" w:hAnsi="Arial" w:cs="Arial"/>
          <w:lang w:val="sq-AL"/>
        </w:rPr>
        <w:t xml:space="preserve">ržavnog plana upravljanja otpadom je da </w:t>
      </w:r>
      <w:r w:rsidRPr="007E5138">
        <w:rPr>
          <w:rFonts w:ascii="Arial" w:hAnsi="Arial" w:cs="Arial"/>
          <w:lang w:val="sq-AL"/>
        </w:rPr>
        <w:t>do 2029. godine</w:t>
      </w:r>
      <w:r w:rsidRPr="002A6F4E">
        <w:rPr>
          <w:rFonts w:ascii="Arial" w:hAnsi="Arial" w:cs="Arial"/>
          <w:lang w:val="sq-AL"/>
        </w:rPr>
        <w:t xml:space="preserve"> obezbijedi tranziciju Crne Gore na ekološki održivu cirkularnu ekonomiju i obezbijedi efektivno i efikasno upravljanje otpadom.</w:t>
      </w:r>
    </w:p>
    <w:p w14:paraId="5EE9AAB8" w14:textId="4FD02AD3" w:rsidR="00C232D7" w:rsidRPr="002A6F4E" w:rsidRDefault="00C232D7" w:rsidP="00C232D7">
      <w:pPr>
        <w:pBdr>
          <w:top w:val="single" w:sz="4" w:space="0" w:color="auto"/>
          <w:left w:val="single" w:sz="4" w:space="4" w:color="auto"/>
          <w:bottom w:val="single" w:sz="4" w:space="1" w:color="auto"/>
          <w:right w:val="single" w:sz="4" w:space="4" w:color="auto"/>
        </w:pBdr>
        <w:spacing w:before="120" w:after="120" w:line="360" w:lineRule="auto"/>
        <w:rPr>
          <w:rFonts w:ascii="Arial" w:hAnsi="Arial" w:cs="Arial"/>
          <w:lang w:val="sq-AL"/>
        </w:rPr>
      </w:pPr>
      <w:r w:rsidRPr="002A6F4E">
        <w:rPr>
          <w:rFonts w:ascii="Arial" w:hAnsi="Arial" w:cs="Arial"/>
          <w:lang w:val="sq-AL"/>
        </w:rPr>
        <w:t>Glavni cilj DPU</w:t>
      </w:r>
      <w:r w:rsidR="001633E2">
        <w:rPr>
          <w:rFonts w:ascii="Arial" w:hAnsi="Arial" w:cs="Arial"/>
          <w:lang w:val="sq-AL"/>
        </w:rPr>
        <w:t>O</w:t>
      </w:r>
      <w:r w:rsidRPr="002A6F4E">
        <w:rPr>
          <w:rFonts w:ascii="Arial" w:hAnsi="Arial" w:cs="Arial"/>
          <w:lang w:val="sq-AL"/>
        </w:rPr>
        <w:t xml:space="preserve"> je razvoj strategije, politike, ciljeva, pravaca i odgovarajućih mjera u cilju zaštite životne sredine i zdravlja ljudi.</w:t>
      </w:r>
    </w:p>
    <w:p w14:paraId="45474AC8" w14:textId="6D3A867B" w:rsidR="00C232D7" w:rsidRPr="002A6F4E" w:rsidRDefault="005D79E0" w:rsidP="00C232D7">
      <w:pPr>
        <w:pBdr>
          <w:top w:val="single" w:sz="4" w:space="0" w:color="auto"/>
          <w:left w:val="single" w:sz="4" w:space="4" w:color="auto"/>
          <w:bottom w:val="single" w:sz="4" w:space="1" w:color="auto"/>
          <w:right w:val="single" w:sz="4" w:space="4" w:color="auto"/>
        </w:pBdr>
        <w:spacing w:before="120" w:after="120" w:line="360" w:lineRule="auto"/>
        <w:rPr>
          <w:rFonts w:ascii="Arial" w:hAnsi="Arial" w:cs="Arial"/>
          <w:lang w:val="sq-AL"/>
        </w:rPr>
      </w:pPr>
      <w:r>
        <w:rPr>
          <w:rFonts w:ascii="Arial" w:hAnsi="Arial" w:cs="Arial"/>
          <w:lang w:val="sq-AL"/>
        </w:rPr>
        <w:t>Kako bi se</w:t>
      </w:r>
      <w:r w:rsidR="00C232D7" w:rsidRPr="002A6F4E">
        <w:rPr>
          <w:rFonts w:ascii="Arial" w:hAnsi="Arial" w:cs="Arial"/>
          <w:lang w:val="sq-AL"/>
        </w:rPr>
        <w:t xml:space="preserve"> posti</w:t>
      </w:r>
      <w:r>
        <w:rPr>
          <w:rFonts w:ascii="Arial" w:hAnsi="Arial" w:cs="Arial"/>
          <w:lang w:val="sq-AL"/>
        </w:rPr>
        <w:t>gao</w:t>
      </w:r>
      <w:r w:rsidR="00C232D7" w:rsidRPr="002A6F4E">
        <w:rPr>
          <w:rFonts w:ascii="Arial" w:hAnsi="Arial" w:cs="Arial"/>
          <w:lang w:val="sq-AL"/>
        </w:rPr>
        <w:t xml:space="preserve"> ov</w:t>
      </w:r>
      <w:r>
        <w:rPr>
          <w:rFonts w:ascii="Arial" w:hAnsi="Arial" w:cs="Arial"/>
          <w:lang w:val="sq-AL"/>
        </w:rPr>
        <w:t>aj</w:t>
      </w:r>
      <w:r w:rsidR="00C232D7" w:rsidRPr="002A6F4E">
        <w:rPr>
          <w:rFonts w:ascii="Arial" w:hAnsi="Arial" w:cs="Arial"/>
          <w:lang w:val="sq-AL"/>
        </w:rPr>
        <w:t xml:space="preserve"> cilj, akcenat je stavljen na najnovije odredbe zakonodavstva EU o upravljanju otpadom. Konkretnije, DPUO promoviše prevenciju i smanjenje generisanja otpada, racionalno korišćenje prirodnih resursa kroz poboljšanje njihove efikasnosti i fokusira se na odvajanje otpada na izvoru, razvoj programa recikl</w:t>
      </w:r>
      <w:r w:rsidR="00897C2F">
        <w:rPr>
          <w:rFonts w:ascii="Arial" w:hAnsi="Arial" w:cs="Arial"/>
          <w:lang w:val="sq-AL"/>
        </w:rPr>
        <w:t>iranja</w:t>
      </w:r>
      <w:r w:rsidR="00C232D7" w:rsidRPr="002A6F4E">
        <w:rPr>
          <w:rFonts w:ascii="Arial" w:hAnsi="Arial" w:cs="Arial"/>
          <w:lang w:val="sq-AL"/>
        </w:rPr>
        <w:t xml:space="preserve"> i prelazak na cirkularnu ekonomiju.</w:t>
      </w:r>
    </w:p>
    <w:p w14:paraId="10E58447" w14:textId="7223AFDE" w:rsidR="00C232D7" w:rsidRPr="002A6F4E" w:rsidRDefault="00C232D7" w:rsidP="00FF67C3">
      <w:pPr>
        <w:pBdr>
          <w:top w:val="single" w:sz="4" w:space="0" w:color="auto"/>
          <w:left w:val="single" w:sz="4" w:space="4" w:color="auto"/>
          <w:bottom w:val="single" w:sz="4" w:space="1" w:color="auto"/>
          <w:right w:val="single" w:sz="4" w:space="4" w:color="auto"/>
        </w:pBdr>
        <w:spacing w:before="120" w:after="120" w:line="360" w:lineRule="auto"/>
        <w:rPr>
          <w:rFonts w:ascii="Arial" w:hAnsi="Arial" w:cs="Arial"/>
          <w:lang w:val="sq-AL"/>
        </w:rPr>
      </w:pPr>
      <w:r w:rsidRPr="002A6F4E">
        <w:rPr>
          <w:rFonts w:ascii="Arial" w:hAnsi="Arial" w:cs="Arial"/>
          <w:lang w:val="sq-AL"/>
        </w:rPr>
        <w:t>U cilju obezbjeđivanja dugoročne konkurentnosti, promovisanja održivog ekonomskog rasta i kreiranja novih radnih mjesta, DPUO uzima u obzir druge politike i planove za životnu sredinu, energiju i klimu, u ukupnom kontekstu prelaska na kli</w:t>
      </w:r>
      <w:r w:rsidR="00FF67C3" w:rsidRPr="002A6F4E">
        <w:rPr>
          <w:rFonts w:ascii="Arial" w:hAnsi="Arial" w:cs="Arial"/>
          <w:lang w:val="sq-AL"/>
        </w:rPr>
        <w:t>matski neutralnu Evropu do 2050</w:t>
      </w:r>
      <w:r w:rsidR="001633E2">
        <w:rPr>
          <w:rFonts w:ascii="Arial" w:hAnsi="Arial" w:cs="Arial"/>
          <w:lang w:val="sq-AL"/>
        </w:rPr>
        <w:t>. godine.</w:t>
      </w:r>
    </w:p>
    <w:p w14:paraId="75FDB64B" w14:textId="6133F47E" w:rsidR="00AB7063" w:rsidRPr="002A1003" w:rsidRDefault="00AB7063" w:rsidP="00C04E86">
      <w:pPr>
        <w:spacing w:before="120" w:after="120" w:line="360" w:lineRule="auto"/>
        <w:rPr>
          <w:lang w:val="sq-AL"/>
        </w:rPr>
      </w:pPr>
      <w:bookmarkStart w:id="17" w:name="_Toc130832613"/>
      <w:bookmarkStart w:id="18" w:name="_Toc132733770"/>
    </w:p>
    <w:p w14:paraId="21377BCA" w14:textId="6894AB14" w:rsidR="00C04E86" w:rsidRPr="002A1003" w:rsidRDefault="00C04E86" w:rsidP="00C04E86">
      <w:pPr>
        <w:spacing w:before="120" w:after="120" w:line="360" w:lineRule="auto"/>
        <w:rPr>
          <w:lang w:val="sq-AL"/>
        </w:rPr>
      </w:pPr>
    </w:p>
    <w:p w14:paraId="2A740F09" w14:textId="00E8D447" w:rsidR="00C04E86" w:rsidRPr="002A1003" w:rsidRDefault="00C04E86" w:rsidP="00C04E86">
      <w:pPr>
        <w:spacing w:before="120" w:after="120" w:line="360" w:lineRule="auto"/>
        <w:rPr>
          <w:lang w:val="sq-AL"/>
        </w:rPr>
      </w:pPr>
    </w:p>
    <w:p w14:paraId="7F2445D6" w14:textId="2D981CBA" w:rsidR="00D22B47" w:rsidRPr="002A1003" w:rsidRDefault="00D22B47" w:rsidP="00C04E86">
      <w:pPr>
        <w:spacing w:before="120" w:after="120" w:line="360" w:lineRule="auto"/>
        <w:rPr>
          <w:lang w:val="sq-AL"/>
        </w:rPr>
      </w:pPr>
    </w:p>
    <w:p w14:paraId="2AC0C3FC" w14:textId="77777777" w:rsidR="00BE1134" w:rsidRPr="002A1003" w:rsidRDefault="00BE1134" w:rsidP="00C04E86">
      <w:pPr>
        <w:spacing w:before="120" w:after="120" w:line="360" w:lineRule="auto"/>
        <w:rPr>
          <w:lang w:val="sq-AL"/>
        </w:rPr>
      </w:pPr>
    </w:p>
    <w:p w14:paraId="402B59A3" w14:textId="77777777" w:rsidR="00BE1134" w:rsidRPr="002A1003" w:rsidRDefault="00BE1134" w:rsidP="00C04E86">
      <w:pPr>
        <w:spacing w:before="120" w:after="120" w:line="360" w:lineRule="auto"/>
        <w:rPr>
          <w:lang w:val="sq-AL"/>
        </w:rPr>
      </w:pPr>
    </w:p>
    <w:p w14:paraId="5A1A99CE" w14:textId="22059532" w:rsidR="00BE1134" w:rsidRPr="002A1003" w:rsidRDefault="00BE1134" w:rsidP="00C04E86">
      <w:pPr>
        <w:spacing w:before="120" w:after="120" w:line="360" w:lineRule="auto"/>
        <w:rPr>
          <w:lang w:val="sq-AL"/>
        </w:rPr>
      </w:pPr>
    </w:p>
    <w:p w14:paraId="4B395EED" w14:textId="77777777" w:rsidR="001E3D9B" w:rsidRPr="002A1003" w:rsidRDefault="001E3D9B" w:rsidP="00C04E86">
      <w:pPr>
        <w:spacing w:before="120" w:after="120" w:line="360" w:lineRule="auto"/>
        <w:rPr>
          <w:lang w:val="sq-AL"/>
        </w:rPr>
      </w:pPr>
    </w:p>
    <w:p w14:paraId="3F92E5DC" w14:textId="0188FE0B" w:rsidR="00D22B47" w:rsidRPr="002A1003" w:rsidRDefault="00D22B47" w:rsidP="00C04E86">
      <w:pPr>
        <w:spacing w:before="120" w:after="120" w:line="360" w:lineRule="auto"/>
        <w:rPr>
          <w:lang w:val="sq-AL"/>
        </w:rPr>
      </w:pPr>
    </w:p>
    <w:p w14:paraId="76F628A7" w14:textId="77777777" w:rsidR="00C04E86" w:rsidRPr="002A1003" w:rsidRDefault="00C04E86" w:rsidP="00C04E86">
      <w:pPr>
        <w:spacing w:before="120" w:after="120" w:line="360" w:lineRule="auto"/>
        <w:rPr>
          <w:lang w:val="sq-AL"/>
        </w:rPr>
      </w:pPr>
    </w:p>
    <w:p w14:paraId="5010590E" w14:textId="5B480BE8" w:rsidR="00C232D7" w:rsidRPr="002A6F4E" w:rsidRDefault="00C232D7" w:rsidP="00A23ED0">
      <w:pPr>
        <w:pStyle w:val="Heading1"/>
        <w:numPr>
          <w:ilvl w:val="0"/>
          <w:numId w:val="16"/>
        </w:numPr>
        <w:rPr>
          <w:sz w:val="20"/>
          <w:szCs w:val="20"/>
        </w:rPr>
      </w:pPr>
      <w:bookmarkStart w:id="19" w:name="_Toc193353959"/>
      <w:r w:rsidRPr="002A6F4E">
        <w:rPr>
          <w:sz w:val="20"/>
          <w:szCs w:val="20"/>
        </w:rPr>
        <w:lastRenderedPageBreak/>
        <w:t>Uvod</w:t>
      </w:r>
      <w:bookmarkEnd w:id="19"/>
      <w:r w:rsidRPr="002A6F4E">
        <w:rPr>
          <w:sz w:val="20"/>
          <w:szCs w:val="20"/>
        </w:rPr>
        <w:t xml:space="preserve"> </w:t>
      </w:r>
      <w:bookmarkEnd w:id="17"/>
      <w:bookmarkEnd w:id="18"/>
    </w:p>
    <w:p w14:paraId="1E354FF2" w14:textId="34A8370B" w:rsidR="00C232D7" w:rsidRPr="002A6F4E" w:rsidRDefault="00C232D7" w:rsidP="00C232D7">
      <w:pPr>
        <w:spacing w:before="120" w:after="120" w:line="360" w:lineRule="auto"/>
        <w:rPr>
          <w:rFonts w:ascii="Arial" w:hAnsi="Arial" w:cs="Arial"/>
          <w:lang w:val="de-DE"/>
        </w:rPr>
      </w:pPr>
      <w:r w:rsidRPr="002A6F4E">
        <w:rPr>
          <w:rFonts w:ascii="Arial" w:hAnsi="Arial" w:cs="Arial"/>
          <w:lang w:val="de-DE"/>
        </w:rPr>
        <w:t>Vlada Crne Gore je u februaru 2020. godine usvojila Program pristupanja EU 2020-2022.</w:t>
      </w:r>
      <w:r w:rsidR="00582304">
        <w:rPr>
          <w:rFonts w:ascii="Arial" w:hAnsi="Arial" w:cs="Arial"/>
          <w:lang w:val="de-DE"/>
        </w:rPr>
        <w:t xml:space="preserve"> godina.</w:t>
      </w:r>
      <w:r w:rsidRPr="002A6F4E">
        <w:rPr>
          <w:rFonts w:ascii="Arial" w:hAnsi="Arial" w:cs="Arial"/>
          <w:lang w:val="de-DE"/>
        </w:rPr>
        <w:t xml:space="preserve"> Ovaj program postavlja prioritete za usklađivanje u različitim pregovaračkim poglavljima. Što se tiče poglavlja 27, program identifikuje ključne prioritete za proces pristupanja u smislu strategija, pravnog okvira i administrativnih kapaciteta.</w:t>
      </w:r>
    </w:p>
    <w:p w14:paraId="7E48B2EE" w14:textId="77777777" w:rsidR="00C232D7" w:rsidRPr="002A6F4E" w:rsidRDefault="00C232D7" w:rsidP="00C232D7">
      <w:pPr>
        <w:spacing w:before="120" w:after="120" w:line="360" w:lineRule="auto"/>
        <w:rPr>
          <w:rFonts w:ascii="Arial" w:hAnsi="Arial" w:cs="Arial"/>
          <w:highlight w:val="cyan"/>
          <w:lang w:val="de-DE"/>
        </w:rPr>
      </w:pPr>
      <w:r w:rsidRPr="002A6F4E">
        <w:rPr>
          <w:rFonts w:ascii="Arial" w:hAnsi="Arial" w:cs="Arial"/>
          <w:lang w:val="de-DE"/>
        </w:rPr>
        <w:t>Vlada Crne Gore je 18. februara 2021. godine usvojila Akcioni plan za zatvaranje konačnih mjerila u Poglavlju 27 – Životna sredina i klimatske promjene. Akcionim planom definisana je ukupno 251 obaveza za realizaciju, od čega je zaduženo 25 institucija. Sprovođenjem aktivnosti definisanih ovim Akcionim planom biće ispunjene sve obaveze koje je EU definisala u Poglavlju 27.</w:t>
      </w:r>
    </w:p>
    <w:p w14:paraId="46054142" w14:textId="5462802A"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Na nivou EU u toku poslednje decenije donijeto je više dokumenata kojima su definisane zajedničke politike u pogledu daljeg razvoja u pravedno i prosperitetno društvo, sa modernom, resursno efikasnom i konkurentnom ekonomijom, kojima se štite prirodna bogatstva i zdravlje građana i štiti i unapređuje životna sredina.</w:t>
      </w:r>
    </w:p>
    <w:p w14:paraId="52A550ED" w14:textId="7363A848"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Strateški okvir daljeg razvoja politike u oblasti zaštite životne sredine EU je postavila u toku 2013. godine usvajanjem Sedmog akcionog programa EU za životnu sredinu do 2020</w:t>
      </w:r>
      <w:r w:rsidRPr="00942717">
        <w:rPr>
          <w:rFonts w:ascii="Arial" w:hAnsi="Arial" w:cs="Arial"/>
          <w:iCs/>
          <w:color w:val="000000" w:themeColor="text1"/>
          <w:lang w:val="sq-AL"/>
        </w:rPr>
        <w:t>.</w:t>
      </w:r>
      <w:r w:rsidR="00847AE4">
        <w:rPr>
          <w:rFonts w:ascii="Arial" w:hAnsi="Arial" w:cs="Arial"/>
          <w:iCs/>
          <w:color w:val="000000" w:themeColor="text1"/>
          <w:lang w:val="sq-AL"/>
        </w:rPr>
        <w:t xml:space="preserve"> godine</w:t>
      </w:r>
      <w:r w:rsidRPr="00942717">
        <w:rPr>
          <w:rFonts w:ascii="Arial" w:hAnsi="Arial" w:cs="Arial"/>
          <w:iCs/>
          <w:color w:val="000000" w:themeColor="text1"/>
          <w:lang w:val="sq-AL"/>
        </w:rPr>
        <w:t xml:space="preserve"> (Odluka 1386/2013/EU).</w:t>
      </w:r>
      <w:r w:rsidRPr="002A6F4E">
        <w:rPr>
          <w:rFonts w:ascii="Arial" w:hAnsi="Arial" w:cs="Arial"/>
          <w:iCs/>
          <w:color w:val="000000" w:themeColor="text1"/>
          <w:lang w:val="sq-AL"/>
        </w:rPr>
        <w:t xml:space="preserve"> Ovaj program je za zemlje članice postavio sl</w:t>
      </w:r>
      <w:r w:rsidR="00DE4250">
        <w:rPr>
          <w:rFonts w:ascii="Arial" w:hAnsi="Arial" w:cs="Arial"/>
          <w:iCs/>
          <w:color w:val="000000" w:themeColor="text1"/>
          <w:lang w:val="sq-AL"/>
        </w:rPr>
        <w:t>j</w:t>
      </w:r>
      <w:r w:rsidRPr="002A6F4E">
        <w:rPr>
          <w:rFonts w:ascii="Arial" w:hAnsi="Arial" w:cs="Arial"/>
          <w:iCs/>
          <w:color w:val="000000" w:themeColor="text1"/>
          <w:lang w:val="sq-AL"/>
        </w:rPr>
        <w:t>edeće prioritetne ciljeve u oblasti upravljanja otpadom: pretvaranje otpada u resurs koji je zasnovan na strogoj primjeni principa hijerarhije upravljanja otpadom; smanjenju stvaranja otpada po stanovniku i ukupnog stvaranja otpada; postepenom smanjenju odlaganja otpada koji se može reciklirati i ponovno iskoristiti; obezb</w:t>
      </w:r>
      <w:r w:rsidR="00DE4250">
        <w:rPr>
          <w:rFonts w:ascii="Arial" w:hAnsi="Arial" w:cs="Arial"/>
          <w:iCs/>
          <w:color w:val="000000" w:themeColor="text1"/>
          <w:lang w:val="sq-AL"/>
        </w:rPr>
        <w:t>j</w:t>
      </w:r>
      <w:r w:rsidRPr="002A6F4E">
        <w:rPr>
          <w:rFonts w:ascii="Arial" w:hAnsi="Arial" w:cs="Arial"/>
          <w:iCs/>
          <w:color w:val="000000" w:themeColor="text1"/>
          <w:lang w:val="sq-AL"/>
        </w:rPr>
        <w:t>eđenju visokokvalitetnog recikliranja</w:t>
      </w:r>
      <w:r w:rsidR="00DE4250">
        <w:rPr>
          <w:rFonts w:ascii="Arial" w:hAnsi="Arial" w:cs="Arial"/>
          <w:iCs/>
          <w:color w:val="000000" w:themeColor="text1"/>
          <w:lang w:val="sq-AL"/>
        </w:rPr>
        <w:t>,</w:t>
      </w:r>
      <w:r w:rsidRPr="002A6F4E">
        <w:rPr>
          <w:rFonts w:ascii="Arial" w:hAnsi="Arial" w:cs="Arial"/>
          <w:iCs/>
          <w:color w:val="000000" w:themeColor="text1"/>
          <w:lang w:val="sq-AL"/>
        </w:rPr>
        <w:t xml:space="preserve"> uključujući </w:t>
      </w:r>
      <w:r w:rsidR="00721307">
        <w:rPr>
          <w:rFonts w:ascii="Arial" w:hAnsi="Arial" w:cs="Arial"/>
          <w:iCs/>
          <w:color w:val="000000" w:themeColor="text1"/>
          <w:lang w:val="sq-AL"/>
        </w:rPr>
        <w:t>proširenu</w:t>
      </w:r>
      <w:r w:rsidRPr="002A6F4E">
        <w:rPr>
          <w:rFonts w:ascii="Arial" w:hAnsi="Arial" w:cs="Arial"/>
          <w:iCs/>
          <w:color w:val="000000" w:themeColor="text1"/>
          <w:lang w:val="sq-AL"/>
        </w:rPr>
        <w:t xml:space="preserve"> odgovornost proizvođača i razvijanja tržišta sekundarnih sirovina. U tom smislu, </w:t>
      </w:r>
      <w:r w:rsidR="00E02F9A">
        <w:rPr>
          <w:rFonts w:ascii="Arial" w:hAnsi="Arial" w:cs="Arial"/>
          <w:iCs/>
          <w:color w:val="000000" w:themeColor="text1"/>
          <w:lang w:val="sq-AL"/>
        </w:rPr>
        <w:t xml:space="preserve">pomenutim </w:t>
      </w:r>
      <w:r w:rsidRPr="002A6F4E">
        <w:rPr>
          <w:rFonts w:ascii="Arial" w:hAnsi="Arial" w:cs="Arial"/>
          <w:iCs/>
          <w:color w:val="000000" w:themeColor="text1"/>
          <w:lang w:val="sq-AL"/>
        </w:rPr>
        <w:t xml:space="preserve">programom je definisana potreba preispitivanja postojećih ciljeva kako bi se podstakao model cirkularne ekonomije zasnovan na životnom ciklusu proizvoda. </w:t>
      </w:r>
    </w:p>
    <w:p w14:paraId="2B1E66AC" w14:textId="2C7BAFD5"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 xml:space="preserve">Prvim akcionim planom za cirkularnu </w:t>
      </w:r>
      <w:r w:rsidRPr="00847AE4">
        <w:rPr>
          <w:rFonts w:ascii="Arial" w:hAnsi="Arial" w:cs="Arial"/>
          <w:iCs/>
          <w:color w:val="000000" w:themeColor="text1"/>
          <w:lang w:val="sq-AL"/>
        </w:rPr>
        <w:t>ekonomiju Zatvaranje kruga - Akcioni plan za cirkularnu ekonomiju (COM(2015)614) Evropska komisija je usvojila mjere koje su se odnosile na unapređenje upravljanja otpadom: smanjenje odlaganja otpada na deponijama</w:t>
      </w:r>
      <w:r w:rsidRPr="002A6F4E">
        <w:rPr>
          <w:rFonts w:ascii="Arial" w:hAnsi="Arial" w:cs="Arial"/>
          <w:iCs/>
          <w:color w:val="000000" w:themeColor="text1"/>
          <w:lang w:val="sq-AL"/>
        </w:rPr>
        <w:t xml:space="preserve"> i povećanje pripreme za ponovnu upotrebu i reciklažu ključnih tokova otpada, kao što su komunalni otpad i ambalažni otpad, podsticanje neophodnih ulaganja u upravljanje otpadom, promocija ekonomskih podsticaja i poboljšanje šeme </w:t>
      </w:r>
      <w:r w:rsidR="0079476A">
        <w:rPr>
          <w:rFonts w:ascii="Arial" w:hAnsi="Arial" w:cs="Arial"/>
          <w:iCs/>
          <w:color w:val="000000" w:themeColor="text1"/>
          <w:lang w:val="sq-AL"/>
        </w:rPr>
        <w:t>proširene</w:t>
      </w:r>
      <w:r w:rsidRPr="002A6F4E">
        <w:rPr>
          <w:rFonts w:ascii="Arial" w:hAnsi="Arial" w:cs="Arial"/>
          <w:iCs/>
          <w:color w:val="000000" w:themeColor="text1"/>
          <w:lang w:val="sq-AL"/>
        </w:rPr>
        <w:t xml:space="preserve"> odgovornosti proizvođača. Na osnovu ovog plana usvojen je paket direktiva za cirkularnu ekonomiju u oblasti upravljanja otpadom, kojima su pored određenih izmjena propisani i novi ciljevi do 2035. godine za zemlje članice.</w:t>
      </w:r>
    </w:p>
    <w:p w14:paraId="48558E67" w14:textId="594E651A"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Evropska strategija za plastiku u cirkularnoj ekonomiji (COM/2018/028),</w:t>
      </w:r>
      <w:r w:rsidR="00DE4250">
        <w:rPr>
          <w:rFonts w:ascii="Arial" w:hAnsi="Arial" w:cs="Arial"/>
          <w:iCs/>
          <w:color w:val="000000" w:themeColor="text1"/>
          <w:lang w:val="sq-AL"/>
        </w:rPr>
        <w:t xml:space="preserve"> </w:t>
      </w:r>
      <w:r w:rsidRPr="002A6F4E">
        <w:rPr>
          <w:rFonts w:ascii="Arial" w:hAnsi="Arial" w:cs="Arial"/>
          <w:iCs/>
          <w:color w:val="000000" w:themeColor="text1"/>
          <w:lang w:val="sq-AL"/>
        </w:rPr>
        <w:t>prema ovom programu do 2030. godine, ima za cilj da se sva ambalaža od plastike reciklira. Strategija podstiče cirkularni pristup kojim se daje prednost korišćenju održivih i netoksičnih proizvoda koji se mogu ponovo upotrebiti u odnosu na plastične proizvode za jednokratnu upotrebu. Takođe se ovom direktivom postavljaju posebni zahtjevi u smislu potpune zabrane proizvodnje i stavljanja na tržište određenih proizvoda; smanjenja nastajanja ovog otpada, razvoja sistema upravljanja plastičnim otpadom i sprečavanja zagađenja i rješavanja problema morskog otpada.</w:t>
      </w:r>
    </w:p>
    <w:p w14:paraId="108E7D9F" w14:textId="34547D75"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lastRenderedPageBreak/>
        <w:t>Novi akcioni plan EU o cirkularnoj ekonomiji - Za čistiju i konkurentniju Evropu (COM/2020/98) iz 2020. godine postavlja ambiciozne mjere kako bi se stimulisao prelazak na cirkularnu ekonomiju, odnosno razvila efikasna i konkurentna ekonomija kojom bi se obezb</w:t>
      </w:r>
      <w:r w:rsidR="00582304">
        <w:rPr>
          <w:rFonts w:ascii="Arial" w:hAnsi="Arial" w:cs="Arial"/>
          <w:iCs/>
          <w:color w:val="000000" w:themeColor="text1"/>
          <w:lang w:val="sq-AL"/>
        </w:rPr>
        <w:t>i</w:t>
      </w:r>
      <w:r w:rsidRPr="002A6F4E">
        <w:rPr>
          <w:rFonts w:ascii="Arial" w:hAnsi="Arial" w:cs="Arial"/>
          <w:iCs/>
          <w:color w:val="000000" w:themeColor="text1"/>
          <w:lang w:val="sq-AL"/>
        </w:rPr>
        <w:t>jedilo da do 2050. godine na nivou zajednice nema emisija gasova staklene bašte. Posebna pažnja je posvećena sektorima tekstila, građevinarstva, elektronike, baterija i vozila, ambalaže, otpada od hrane i plastike.</w:t>
      </w:r>
      <w:r w:rsidR="00DE4250">
        <w:rPr>
          <w:rFonts w:ascii="Arial" w:hAnsi="Arial" w:cs="Arial"/>
          <w:iCs/>
          <w:color w:val="000000" w:themeColor="text1"/>
          <w:lang w:val="sq-AL"/>
        </w:rPr>
        <w:t xml:space="preserve"> </w:t>
      </w:r>
      <w:r w:rsidRPr="002A6F4E">
        <w:rPr>
          <w:rFonts w:ascii="Arial" w:hAnsi="Arial" w:cs="Arial"/>
          <w:iCs/>
          <w:color w:val="000000" w:themeColor="text1"/>
          <w:lang w:val="sq-AL"/>
        </w:rPr>
        <w:t>Fokus mjera u upravljanju otpadom je usmjeren ka potpunom izbjegavanju nastajanja otpada odnosno njegovoj transformaciji u visokokvalitetne sekundarne sirovine i dobrom funkcionisanju tržišta sekundarnih sirovina. Akcioni plan takođe predlaže niz akcija za smanjenje izvoza otpada iz EU i borbu protiv ilegalnih pošiljki. Generalno, predložene aktivnosti treba da doprinesu zatvaranju životnog ciklusa proizvoda kroz povećan stepen recikl</w:t>
      </w:r>
      <w:r w:rsidR="00AF73CB">
        <w:rPr>
          <w:rFonts w:ascii="Arial" w:hAnsi="Arial" w:cs="Arial"/>
          <w:iCs/>
          <w:color w:val="000000" w:themeColor="text1"/>
          <w:lang w:val="sq-AL"/>
        </w:rPr>
        <w:t>iranja</w:t>
      </w:r>
      <w:r w:rsidRPr="002A6F4E">
        <w:rPr>
          <w:rFonts w:ascii="Arial" w:hAnsi="Arial" w:cs="Arial"/>
          <w:iCs/>
          <w:color w:val="000000" w:themeColor="text1"/>
          <w:lang w:val="sq-AL"/>
        </w:rPr>
        <w:t xml:space="preserve"> i ponovne upotrebe, ostvarenju koristi za privredu i zaštitu životne sredine. </w:t>
      </w:r>
    </w:p>
    <w:p w14:paraId="457604D8" w14:textId="14762354"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Sofijskom deklaracijom o Zelenoj agendi za Zapadni Balkan iz 2020. godine, zemlje Zapadnog Balkana obavezale su se da će sprovoditi m</w:t>
      </w:r>
      <w:r w:rsidR="00DE4250">
        <w:rPr>
          <w:rFonts w:ascii="Arial" w:hAnsi="Arial" w:cs="Arial"/>
          <w:iCs/>
          <w:color w:val="000000" w:themeColor="text1"/>
          <w:lang w:val="sq-AL"/>
        </w:rPr>
        <w:t>j</w:t>
      </w:r>
      <w:r w:rsidRPr="002A6F4E">
        <w:rPr>
          <w:rFonts w:ascii="Arial" w:hAnsi="Arial" w:cs="Arial"/>
          <w:iCs/>
          <w:color w:val="000000" w:themeColor="text1"/>
          <w:lang w:val="sq-AL"/>
        </w:rPr>
        <w:t>ere u oblasti sprečavanja klimatskih promjena i zagađenja, razvoja energije, saobraćaja i cirkularne ekonomije, kao i razvoja biodiverziteta, održive poljoprivrede i proizvodnje hrane. Zemlje Zapadnog Balkana treba da izrade stratešk</w:t>
      </w:r>
      <w:r w:rsidR="00DE4250">
        <w:rPr>
          <w:rFonts w:ascii="Arial" w:hAnsi="Arial" w:cs="Arial"/>
          <w:iCs/>
          <w:color w:val="000000" w:themeColor="text1"/>
          <w:lang w:val="sq-AL"/>
        </w:rPr>
        <w:t>u</w:t>
      </w:r>
      <w:r w:rsidRPr="002A6F4E">
        <w:rPr>
          <w:rFonts w:ascii="Arial" w:hAnsi="Arial" w:cs="Arial"/>
          <w:iCs/>
          <w:color w:val="000000" w:themeColor="text1"/>
          <w:lang w:val="sq-AL"/>
        </w:rPr>
        <w:t xml:space="preserve"> dokumenta</w:t>
      </w:r>
      <w:r w:rsidR="00DE4250">
        <w:rPr>
          <w:rFonts w:ascii="Arial" w:hAnsi="Arial" w:cs="Arial"/>
          <w:iCs/>
          <w:color w:val="000000" w:themeColor="text1"/>
          <w:lang w:val="sq-AL"/>
        </w:rPr>
        <w:t>ciju</w:t>
      </w:r>
      <w:r w:rsidRPr="002A6F4E">
        <w:rPr>
          <w:rFonts w:ascii="Arial" w:hAnsi="Arial" w:cs="Arial"/>
          <w:iCs/>
          <w:color w:val="000000" w:themeColor="text1"/>
          <w:lang w:val="sq-AL"/>
        </w:rPr>
        <w:t xml:space="preserve"> za cirkularnu ekonomiju, uzimajući u obzir prevenciju nastajanja otpada, cio životni ciklus proizvoda, moderno upravljanje otpadom i recikl</w:t>
      </w:r>
      <w:r w:rsidR="00AF73CB">
        <w:rPr>
          <w:rFonts w:ascii="Arial" w:hAnsi="Arial" w:cs="Arial"/>
          <w:iCs/>
          <w:color w:val="000000" w:themeColor="text1"/>
          <w:lang w:val="sq-AL"/>
        </w:rPr>
        <w:t>iranje</w:t>
      </w:r>
      <w:r w:rsidRPr="002A6F4E">
        <w:rPr>
          <w:rFonts w:ascii="Arial" w:hAnsi="Arial" w:cs="Arial"/>
          <w:iCs/>
          <w:color w:val="000000" w:themeColor="text1"/>
          <w:lang w:val="sq-AL"/>
        </w:rPr>
        <w:t xml:space="preserve"> otpada, ponovnu upotrebu, popravku i ponovnu proizvodnju; ostvare dalji napredak u izgradnji i održavanju infrastrukture za upravljanje otpadom za gradove i regione, osmisle i sprovedu programe podizanja svijesti građana o otpadu, odvojenom sakupljanju i održivoj potrošnji kao i da zaključe i sprovedu regionalni sporazum o prevenciji zagađivanja plastikom.</w:t>
      </w:r>
    </w:p>
    <w:p w14:paraId="5BA4A244" w14:textId="77777777"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U skladu sa navedenim strateškim dokumentima u EU je izvršena izmjena postojećeg zakonodavnog okvira EU u oblasti upravljanja otpadom koje su obuhvaćene opisom ključnih zahtjeva relevantnih direktiva.</w:t>
      </w:r>
    </w:p>
    <w:p w14:paraId="55F1F5B3" w14:textId="6CF1D902"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Direktiva 2008/98/E</w:t>
      </w:r>
      <w:r w:rsidR="00847AE4">
        <w:rPr>
          <w:rFonts w:ascii="Arial" w:hAnsi="Arial" w:cs="Arial"/>
          <w:iCs/>
          <w:color w:val="000000" w:themeColor="text1"/>
          <w:lang w:val="sq-AL"/>
        </w:rPr>
        <w:t>C</w:t>
      </w:r>
      <w:r w:rsidRPr="002A6F4E">
        <w:rPr>
          <w:rFonts w:ascii="Arial" w:hAnsi="Arial" w:cs="Arial"/>
          <w:iCs/>
          <w:color w:val="000000" w:themeColor="text1"/>
          <w:lang w:val="sq-AL"/>
        </w:rPr>
        <w:t xml:space="preserve"> Evropskog Parlamenta i Savjeta o otpadu - Okvirna direktiva o otpadu je stavila određene, ranije usvojene, direktive van snage i propisala sl</w:t>
      </w:r>
      <w:r w:rsidR="00DE4250">
        <w:rPr>
          <w:rFonts w:ascii="Arial" w:hAnsi="Arial" w:cs="Arial"/>
          <w:iCs/>
          <w:color w:val="000000" w:themeColor="text1"/>
          <w:lang w:val="sq-AL"/>
        </w:rPr>
        <w:t>j</w:t>
      </w:r>
      <w:r w:rsidRPr="002A6F4E">
        <w:rPr>
          <w:rFonts w:ascii="Arial" w:hAnsi="Arial" w:cs="Arial"/>
          <w:iCs/>
          <w:color w:val="000000" w:themeColor="text1"/>
          <w:lang w:val="sq-AL"/>
        </w:rPr>
        <w:t>edeće odredbe od značaja za dalji razvoj u upravljanju otpadom:</w:t>
      </w:r>
    </w:p>
    <w:p w14:paraId="3E6BBC8D" w14:textId="77777777"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1) hijerarhiju upravljanja otpadom;</w:t>
      </w:r>
    </w:p>
    <w:p w14:paraId="462D55F9" w14:textId="77777777"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2)  definisanje statusa nusproizvoda;</w:t>
      </w:r>
    </w:p>
    <w:p w14:paraId="544808BF" w14:textId="77777777"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3)  definisanje prestanka statusa otpada;</w:t>
      </w:r>
    </w:p>
    <w:p w14:paraId="6A8478AD" w14:textId="3C63C9CF"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 xml:space="preserve">4) </w:t>
      </w:r>
      <w:r w:rsidR="0079476A">
        <w:rPr>
          <w:rFonts w:ascii="Arial" w:hAnsi="Arial" w:cs="Arial"/>
          <w:iCs/>
          <w:color w:val="000000" w:themeColor="text1"/>
          <w:lang w:val="sq-AL"/>
        </w:rPr>
        <w:t>proširenu</w:t>
      </w:r>
      <w:r w:rsidRPr="002A6F4E">
        <w:rPr>
          <w:rFonts w:ascii="Arial" w:hAnsi="Arial" w:cs="Arial"/>
          <w:iCs/>
          <w:color w:val="000000" w:themeColor="text1"/>
          <w:lang w:val="sq-AL"/>
        </w:rPr>
        <w:t xml:space="preserve"> odgovornost proizvođača;</w:t>
      </w:r>
    </w:p>
    <w:p w14:paraId="77167743" w14:textId="77777777"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5)  prevenciju nastajanja otpada;</w:t>
      </w:r>
    </w:p>
    <w:p w14:paraId="33EA2D31" w14:textId="77777777"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6)  ciljeve koje je na nivou EU trebalo dostići do 2020. godine u pogledu ponovne upotrebe i reciklaže;</w:t>
      </w:r>
    </w:p>
    <w:p w14:paraId="39D48159" w14:textId="77777777"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7)  upravljanje opasnim otpadom, otpadnim uljima i biootpadom;</w:t>
      </w:r>
    </w:p>
    <w:p w14:paraId="2873174A" w14:textId="7C2C18A6"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8)  obavezu pribavljanja dozvole za upravljanje otpadom i vođenja registra izdatih dozvola uz moguće izuzetke za odlaganje sopstvenog neopasnog otpada na mjestu proizvodnje i za</w:t>
      </w:r>
      <w:r w:rsidR="00C845F6">
        <w:rPr>
          <w:rFonts w:ascii="Arial" w:hAnsi="Arial" w:cs="Arial"/>
          <w:iCs/>
          <w:color w:val="000000" w:themeColor="text1"/>
          <w:lang w:val="sq-AL"/>
        </w:rPr>
        <w:t xml:space="preserve"> samu</w:t>
      </w:r>
      <w:r w:rsidRPr="002A6F4E">
        <w:rPr>
          <w:rFonts w:ascii="Arial" w:hAnsi="Arial" w:cs="Arial"/>
          <w:iCs/>
          <w:color w:val="000000" w:themeColor="text1"/>
          <w:lang w:val="sq-AL"/>
        </w:rPr>
        <w:t xml:space="preserve"> </w:t>
      </w:r>
      <w:r w:rsidRPr="0079476A">
        <w:rPr>
          <w:rFonts w:ascii="Arial" w:hAnsi="Arial" w:cs="Arial"/>
          <w:iCs/>
          <w:color w:val="000000" w:themeColor="text1"/>
          <w:lang w:val="sq-AL"/>
        </w:rPr>
        <w:t>is</w:t>
      </w:r>
      <w:r w:rsidRPr="002A6F4E">
        <w:rPr>
          <w:rFonts w:ascii="Arial" w:hAnsi="Arial" w:cs="Arial"/>
          <w:iCs/>
          <w:color w:val="000000" w:themeColor="text1"/>
          <w:lang w:val="sq-AL"/>
        </w:rPr>
        <w:t>korišćen</w:t>
      </w:r>
      <w:r w:rsidR="00C845F6">
        <w:rPr>
          <w:rFonts w:ascii="Arial" w:hAnsi="Arial" w:cs="Arial"/>
          <w:iCs/>
          <w:color w:val="000000" w:themeColor="text1"/>
          <w:lang w:val="sq-AL"/>
        </w:rPr>
        <w:t>ost</w:t>
      </w:r>
      <w:r w:rsidRPr="002A6F4E">
        <w:rPr>
          <w:rFonts w:ascii="Arial" w:hAnsi="Arial" w:cs="Arial"/>
          <w:iCs/>
          <w:color w:val="000000" w:themeColor="text1"/>
          <w:lang w:val="sq-AL"/>
        </w:rPr>
        <w:t xml:space="preserve"> otpada;</w:t>
      </w:r>
    </w:p>
    <w:p w14:paraId="62513132" w14:textId="1335FADA" w:rsidR="00C232D7" w:rsidRPr="002A6F4E"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9) minimalne tehničke zaht</w:t>
      </w:r>
      <w:r w:rsidR="00C845F6">
        <w:rPr>
          <w:rFonts w:ascii="Arial" w:hAnsi="Arial" w:cs="Arial"/>
          <w:iCs/>
          <w:color w:val="000000" w:themeColor="text1"/>
          <w:lang w:val="sq-AL"/>
        </w:rPr>
        <w:t>j</w:t>
      </w:r>
      <w:r w:rsidRPr="002A6F4E">
        <w:rPr>
          <w:rFonts w:ascii="Arial" w:hAnsi="Arial" w:cs="Arial"/>
          <w:iCs/>
          <w:color w:val="000000" w:themeColor="text1"/>
          <w:lang w:val="sq-AL"/>
        </w:rPr>
        <w:t xml:space="preserve">eve za </w:t>
      </w:r>
      <w:r w:rsidR="000A114E">
        <w:rPr>
          <w:rFonts w:ascii="Arial" w:hAnsi="Arial" w:cs="Arial"/>
          <w:iCs/>
          <w:color w:val="000000" w:themeColor="text1"/>
          <w:lang w:val="sq-AL"/>
        </w:rPr>
        <w:t>obradu</w:t>
      </w:r>
      <w:r w:rsidR="000A114E" w:rsidRPr="002A6F4E">
        <w:rPr>
          <w:rFonts w:ascii="Arial" w:hAnsi="Arial" w:cs="Arial"/>
          <w:iCs/>
          <w:color w:val="000000" w:themeColor="text1"/>
          <w:lang w:val="sq-AL"/>
        </w:rPr>
        <w:t xml:space="preserve"> </w:t>
      </w:r>
      <w:r w:rsidRPr="002A6F4E">
        <w:rPr>
          <w:rFonts w:ascii="Arial" w:hAnsi="Arial" w:cs="Arial"/>
          <w:iCs/>
          <w:color w:val="000000" w:themeColor="text1"/>
          <w:lang w:val="sq-AL"/>
        </w:rPr>
        <w:t xml:space="preserve">otpada; </w:t>
      </w:r>
    </w:p>
    <w:p w14:paraId="5FD937A9" w14:textId="4277CF12" w:rsidR="00C232D7" w:rsidRPr="002A6F4E" w:rsidRDefault="00731AEE" w:rsidP="00C232D7">
      <w:pPr>
        <w:spacing w:before="120" w:after="120" w:line="360" w:lineRule="auto"/>
        <w:rPr>
          <w:rFonts w:ascii="Arial" w:hAnsi="Arial" w:cs="Arial"/>
          <w:iCs/>
          <w:color w:val="000000" w:themeColor="text1"/>
          <w:lang w:val="sq-AL"/>
        </w:rPr>
      </w:pPr>
      <w:r>
        <w:rPr>
          <w:rFonts w:ascii="Arial" w:hAnsi="Arial" w:cs="Arial"/>
          <w:iCs/>
          <w:color w:val="000000" w:themeColor="text1"/>
          <w:lang w:val="sq-AL"/>
        </w:rPr>
        <w:lastRenderedPageBreak/>
        <w:t xml:space="preserve">10) </w:t>
      </w:r>
      <w:r w:rsidR="00C232D7" w:rsidRPr="002A6F4E">
        <w:rPr>
          <w:rFonts w:ascii="Arial" w:hAnsi="Arial" w:cs="Arial"/>
          <w:iCs/>
          <w:color w:val="000000" w:themeColor="text1"/>
          <w:lang w:val="sq-AL"/>
        </w:rPr>
        <w:t xml:space="preserve">obavezu izrade planova za upravljanje otpadom i programa prevencije nastajanja otpada na </w:t>
      </w:r>
      <w:r w:rsidR="0079476A">
        <w:rPr>
          <w:rFonts w:ascii="Arial" w:hAnsi="Arial" w:cs="Arial"/>
          <w:iCs/>
          <w:color w:val="000000" w:themeColor="text1"/>
          <w:lang w:val="sq-AL"/>
        </w:rPr>
        <w:t>državnom</w:t>
      </w:r>
      <w:r w:rsidR="00C232D7" w:rsidRPr="002A6F4E">
        <w:rPr>
          <w:rFonts w:ascii="Arial" w:hAnsi="Arial" w:cs="Arial"/>
          <w:iCs/>
          <w:color w:val="000000" w:themeColor="text1"/>
          <w:lang w:val="sq-AL"/>
        </w:rPr>
        <w:t xml:space="preserve"> nivou.</w:t>
      </w:r>
    </w:p>
    <w:p w14:paraId="1B60BF1C" w14:textId="11156C70" w:rsidR="00C232D7" w:rsidRPr="000D1011" w:rsidRDefault="00C232D7" w:rsidP="00C232D7">
      <w:pPr>
        <w:spacing w:before="120" w:after="120" w:line="360" w:lineRule="auto"/>
        <w:rPr>
          <w:rFonts w:ascii="Arial" w:hAnsi="Arial" w:cs="Arial"/>
          <w:iCs/>
          <w:color w:val="000000" w:themeColor="text1"/>
          <w:lang w:val="sq-AL"/>
        </w:rPr>
      </w:pPr>
      <w:r w:rsidRPr="002A6F4E">
        <w:rPr>
          <w:rFonts w:ascii="Arial" w:hAnsi="Arial" w:cs="Arial"/>
          <w:iCs/>
          <w:color w:val="000000" w:themeColor="text1"/>
          <w:lang w:val="sq-AL"/>
        </w:rPr>
        <w:t>Pored ovih odredbi potrebno je istaći i druge odredbe u pogledu učešća javnosti, inspekcijskog nadzora, obaveze vođenja i čuvanja evidencije o otpadu kao i načina izv</w:t>
      </w:r>
      <w:r w:rsidR="00C845F6">
        <w:rPr>
          <w:rFonts w:ascii="Arial" w:hAnsi="Arial" w:cs="Arial"/>
          <w:iCs/>
          <w:color w:val="000000" w:themeColor="text1"/>
          <w:lang w:val="sq-AL"/>
        </w:rPr>
        <w:t>j</w:t>
      </w:r>
      <w:r w:rsidRPr="002A6F4E">
        <w:rPr>
          <w:rFonts w:ascii="Arial" w:hAnsi="Arial" w:cs="Arial"/>
          <w:iCs/>
          <w:color w:val="000000" w:themeColor="text1"/>
          <w:lang w:val="sq-AL"/>
        </w:rPr>
        <w:t>eštavanja i sprovođenja kaznene politike.</w:t>
      </w:r>
      <w:r w:rsidR="000D1011">
        <w:rPr>
          <w:rFonts w:ascii="Arial" w:hAnsi="Arial" w:cs="Arial"/>
          <w:iCs/>
          <w:color w:val="000000" w:themeColor="text1"/>
          <w:lang w:val="sq-AL"/>
        </w:rPr>
        <w:t xml:space="preserve"> </w:t>
      </w:r>
      <w:r w:rsidRPr="002A6F4E">
        <w:rPr>
          <w:rFonts w:ascii="Arial" w:hAnsi="Arial" w:cs="Arial"/>
          <w:iCs/>
          <w:color w:val="000000" w:themeColor="text1"/>
          <w:lang w:val="sq-AL"/>
        </w:rPr>
        <w:t xml:space="preserve">Ključne odredbe uvedene ovom direktivom odnose se na „nusproizvode” kojima je omogućeno da se </w:t>
      </w:r>
      <w:r w:rsidRPr="002A6F4E">
        <w:rPr>
          <w:rFonts w:ascii="Arial" w:hAnsi="Arial" w:cs="Arial"/>
          <w:iCs/>
          <w:lang w:val="sq-AL"/>
        </w:rPr>
        <w:t>supstanca ili predmet koji nastaje u procesu proizvodnje čiji glavni</w:t>
      </w:r>
      <w:r w:rsidR="00C845F6">
        <w:rPr>
          <w:rFonts w:ascii="Arial" w:hAnsi="Arial" w:cs="Arial"/>
          <w:iCs/>
          <w:lang w:val="sq-AL"/>
        </w:rPr>
        <w:t xml:space="preserve"> </w:t>
      </w:r>
      <w:r w:rsidRPr="0079476A">
        <w:rPr>
          <w:rFonts w:ascii="Arial" w:hAnsi="Arial" w:cs="Arial"/>
          <w:iCs/>
          <w:lang w:val="sq-AL"/>
        </w:rPr>
        <w:t>cilj</w:t>
      </w:r>
      <w:r w:rsidRPr="002A6F4E">
        <w:rPr>
          <w:rFonts w:ascii="Arial" w:hAnsi="Arial" w:cs="Arial"/>
          <w:iCs/>
          <w:lang w:val="sq-AL"/>
        </w:rPr>
        <w:t xml:space="preserve"> nije proizvodnja tog konkretnog proizvoda mogu smatrati supstancom ili predmetom koji nije otpad pod definisanim uslovima.</w:t>
      </w:r>
    </w:p>
    <w:p w14:paraId="69906664" w14:textId="77777777" w:rsidR="00C232D7" w:rsidRPr="002A6F4E" w:rsidRDefault="00C232D7" w:rsidP="00C232D7">
      <w:pPr>
        <w:spacing w:before="120" w:after="120" w:line="360" w:lineRule="auto"/>
        <w:rPr>
          <w:rFonts w:ascii="Arial" w:hAnsi="Arial" w:cs="Arial"/>
          <w:iCs/>
          <w:lang w:val="sq-AL"/>
        </w:rPr>
      </w:pPr>
      <w:r w:rsidRPr="002A6F4E">
        <w:rPr>
          <w:rFonts w:ascii="Arial" w:hAnsi="Arial" w:cs="Arial"/>
          <w:iCs/>
          <w:lang w:val="sq-AL"/>
        </w:rPr>
        <w:t>Pored toga, ključnim odredbama smatraju se i zahtjevi za „prestanak statusa otpada”, kojima su definisani uslovi pod kojima određeni otpad prestaje da bude otpad.</w:t>
      </w:r>
    </w:p>
    <w:p w14:paraId="64EAB757" w14:textId="758C55F4" w:rsidR="00C232D7" w:rsidRPr="000D1011" w:rsidRDefault="00C232D7" w:rsidP="00C232D7">
      <w:pPr>
        <w:spacing w:before="120" w:after="120" w:line="360" w:lineRule="auto"/>
        <w:rPr>
          <w:rFonts w:ascii="Arial" w:hAnsi="Arial" w:cs="Arial"/>
          <w:iCs/>
          <w:lang w:val="sq-AL"/>
        </w:rPr>
      </w:pPr>
      <w:r w:rsidRPr="002A6F4E">
        <w:rPr>
          <w:rFonts w:ascii="Arial" w:hAnsi="Arial" w:cs="Arial"/>
          <w:iCs/>
          <w:lang w:val="sq-AL"/>
        </w:rPr>
        <w:t xml:space="preserve">Definisana je i </w:t>
      </w:r>
      <w:r w:rsidR="0079476A">
        <w:rPr>
          <w:rFonts w:ascii="Arial" w:hAnsi="Arial" w:cs="Arial"/>
          <w:iCs/>
          <w:lang w:val="sq-AL"/>
        </w:rPr>
        <w:t>proširena</w:t>
      </w:r>
      <w:r w:rsidRPr="002A6F4E">
        <w:rPr>
          <w:rFonts w:ascii="Arial" w:hAnsi="Arial" w:cs="Arial"/>
          <w:iCs/>
          <w:lang w:val="sq-AL"/>
        </w:rPr>
        <w:t xml:space="preserve"> odgovornost proizvođača, prema kojoj države članice mogu preduzeti mjere kako bi osigurale da svako fizičko ili pravno lice koje profesionalno razvija, proizvodi, prerađuje, </w:t>
      </w:r>
      <w:r w:rsidR="000A114E">
        <w:rPr>
          <w:rFonts w:ascii="Arial" w:hAnsi="Arial" w:cs="Arial"/>
          <w:iCs/>
          <w:lang w:val="sq-AL"/>
        </w:rPr>
        <w:t>obrađuje</w:t>
      </w:r>
      <w:r w:rsidRPr="002A6F4E">
        <w:rPr>
          <w:rFonts w:ascii="Arial" w:hAnsi="Arial" w:cs="Arial"/>
          <w:iCs/>
          <w:lang w:val="sq-AL"/>
        </w:rPr>
        <w:t>, prodaje ili uvozi proizvode (proizvođač) preuzima odgovornost za upravljanje otpadom.</w:t>
      </w:r>
      <w:r w:rsidR="000D1011">
        <w:rPr>
          <w:rFonts w:ascii="Arial" w:hAnsi="Arial" w:cs="Arial"/>
          <w:iCs/>
          <w:lang w:val="sq-AL"/>
        </w:rPr>
        <w:t xml:space="preserve"> </w:t>
      </w:r>
      <w:r w:rsidRPr="002A6F4E">
        <w:rPr>
          <w:rFonts w:ascii="Arial" w:hAnsi="Arial" w:cs="Arial"/>
          <w:iCs/>
          <w:lang w:val="sq-AL"/>
        </w:rPr>
        <w:t xml:space="preserve">U skladu sa principom </w:t>
      </w:r>
      <w:r w:rsidR="00A53BF6">
        <w:rPr>
          <w:rFonts w:ascii="Arial" w:hAnsi="Arial" w:cs="Arial"/>
          <w:iCs/>
          <w:lang w:val="sq-AL"/>
        </w:rPr>
        <w:t>“</w:t>
      </w:r>
      <w:r w:rsidRPr="002A6F4E">
        <w:rPr>
          <w:rFonts w:ascii="Arial" w:hAnsi="Arial" w:cs="Arial"/>
          <w:iCs/>
          <w:lang w:val="sq-AL"/>
        </w:rPr>
        <w:t>zagađivač plaća</w:t>
      </w:r>
      <w:r w:rsidR="00A53BF6">
        <w:rPr>
          <w:rFonts w:ascii="Arial" w:hAnsi="Arial" w:cs="Arial"/>
          <w:iCs/>
          <w:lang w:val="sq-AL"/>
        </w:rPr>
        <w:t>”</w:t>
      </w:r>
      <w:r w:rsidRPr="002A6F4E">
        <w:rPr>
          <w:rFonts w:ascii="Arial" w:hAnsi="Arial" w:cs="Arial"/>
          <w:iCs/>
          <w:lang w:val="sq-AL"/>
        </w:rPr>
        <w:t>, troškove upravljanja otpadom snosi proizvođač otpada ili aktuelni ili prethodni vlasnik otpada.</w:t>
      </w:r>
      <w:r w:rsidR="000D1011">
        <w:rPr>
          <w:rFonts w:ascii="Arial" w:hAnsi="Arial" w:cs="Arial"/>
          <w:iCs/>
          <w:lang w:val="sq-AL"/>
        </w:rPr>
        <w:t xml:space="preserve"> </w:t>
      </w:r>
      <w:r w:rsidR="00792052">
        <w:rPr>
          <w:rFonts w:ascii="Arial" w:hAnsi="Arial" w:cs="Arial"/>
          <w:lang w:val="sq-AL"/>
        </w:rPr>
        <w:t>DP</w:t>
      </w:r>
      <w:r w:rsidRPr="002A6F4E">
        <w:rPr>
          <w:rFonts w:ascii="Arial" w:hAnsi="Arial" w:cs="Arial"/>
          <w:lang w:val="sq-AL"/>
        </w:rPr>
        <w:t>U</w:t>
      </w:r>
      <w:r w:rsidR="00792052">
        <w:rPr>
          <w:rFonts w:ascii="Arial" w:hAnsi="Arial" w:cs="Arial"/>
          <w:lang w:val="sq-AL"/>
        </w:rPr>
        <w:t>O</w:t>
      </w:r>
      <w:r w:rsidRPr="002A6F4E">
        <w:rPr>
          <w:rFonts w:ascii="Arial" w:hAnsi="Arial" w:cs="Arial"/>
          <w:lang w:val="sq-AL"/>
        </w:rPr>
        <w:t xml:space="preserve"> 2025-2029</w:t>
      </w:r>
      <w:r w:rsidR="000D1011">
        <w:rPr>
          <w:rFonts w:ascii="Arial" w:hAnsi="Arial" w:cs="Arial"/>
          <w:lang w:val="sq-AL"/>
        </w:rPr>
        <w:t xml:space="preserve">. godina </w:t>
      </w:r>
      <w:r w:rsidRPr="002A6F4E">
        <w:rPr>
          <w:rFonts w:ascii="Arial" w:hAnsi="Arial" w:cs="Arial"/>
          <w:lang w:val="sq-AL"/>
        </w:rPr>
        <w:t>predstavlja trenutnu situaciju u pogledu upravljanja otpadom u Crnoj Gori, identifikuje vrste otpada i navodi mjere koje će se preduzeti da bi se obezbijedila prevencija, ponovna upotreba, recikla</w:t>
      </w:r>
      <w:r w:rsidR="000A114E">
        <w:rPr>
          <w:rFonts w:ascii="Arial" w:hAnsi="Arial" w:cs="Arial"/>
          <w:lang w:val="sq-AL"/>
        </w:rPr>
        <w:t>iranje</w:t>
      </w:r>
      <w:r w:rsidRPr="002A6F4E">
        <w:rPr>
          <w:rFonts w:ascii="Arial" w:hAnsi="Arial" w:cs="Arial"/>
          <w:lang w:val="sq-AL"/>
        </w:rPr>
        <w:t>, povraćaj materijala, transport i odlaganje otpada u uslovima koji su u najvećoj mogućoj mjeri ekološki prihvatlji</w:t>
      </w:r>
      <w:r w:rsidR="00C845F6">
        <w:rPr>
          <w:rFonts w:ascii="Arial" w:hAnsi="Arial" w:cs="Arial"/>
          <w:lang w:val="sq-AL"/>
        </w:rPr>
        <w:t>vi</w:t>
      </w:r>
      <w:r w:rsidRPr="002A6F4E">
        <w:rPr>
          <w:rFonts w:ascii="Arial" w:hAnsi="Arial" w:cs="Arial"/>
          <w:lang w:val="sq-AL"/>
        </w:rPr>
        <w:t>, ostajući u skladu sa zakonodavnim kontekstom EU</w:t>
      </w:r>
      <w:r w:rsidR="000A114E">
        <w:rPr>
          <w:rFonts w:ascii="Arial" w:hAnsi="Arial" w:cs="Arial"/>
          <w:lang w:val="sq-AL"/>
        </w:rPr>
        <w:t xml:space="preserve"> i Crne Gore</w:t>
      </w:r>
      <w:r w:rsidRPr="002A6F4E">
        <w:rPr>
          <w:rFonts w:ascii="Arial" w:hAnsi="Arial" w:cs="Arial"/>
          <w:lang w:val="sq-AL"/>
        </w:rPr>
        <w:t>.</w:t>
      </w:r>
    </w:p>
    <w:p w14:paraId="5AB2E08A" w14:textId="21EBD600" w:rsidR="00C232D7" w:rsidRPr="000D1011" w:rsidRDefault="00C232D7" w:rsidP="00C232D7">
      <w:pPr>
        <w:spacing w:before="120" w:after="120" w:line="360" w:lineRule="auto"/>
        <w:rPr>
          <w:rFonts w:ascii="Arial" w:hAnsi="Arial" w:cs="Arial"/>
          <w:lang w:val="sq-AL"/>
        </w:rPr>
      </w:pPr>
      <w:r w:rsidRPr="002A6F4E">
        <w:rPr>
          <w:rFonts w:ascii="Arial" w:hAnsi="Arial" w:cs="Arial"/>
          <w:lang w:val="sq-AL"/>
        </w:rPr>
        <w:t xml:space="preserve">Pravilno upravljanje otpadom je od suštinske važnosti za izgradnju održivih gradova koji su  pogodni za život, ali to i dalje predstavlja izazov za mnoge zemlje u razvoju. Efikasno upravljanje otpadom </w:t>
      </w:r>
      <w:r w:rsidR="00792052">
        <w:rPr>
          <w:rFonts w:ascii="Arial" w:hAnsi="Arial" w:cs="Arial"/>
          <w:lang w:val="sq-AL"/>
        </w:rPr>
        <w:t>iziskuje velika finansijska izdvajanja</w:t>
      </w:r>
      <w:r w:rsidRPr="002A6F4E">
        <w:rPr>
          <w:rFonts w:ascii="Arial" w:hAnsi="Arial" w:cs="Arial"/>
          <w:lang w:val="sq-AL"/>
        </w:rPr>
        <w:t>, često obuhvata 20–50% budžeta opštine. Funkcionisanje ove osnovne opštinske usluge zahtijeva integrisane sisteme koji su efikasni, održivi i društveno podržani.</w:t>
      </w:r>
      <w:r w:rsidR="000D1011">
        <w:rPr>
          <w:rFonts w:ascii="Arial" w:hAnsi="Arial" w:cs="Arial"/>
          <w:lang w:val="sq-AL"/>
        </w:rPr>
        <w:t xml:space="preserve"> </w:t>
      </w:r>
      <w:r w:rsidRPr="002A6F4E">
        <w:rPr>
          <w:rFonts w:ascii="Arial" w:hAnsi="Arial" w:cs="Arial"/>
          <w:lang w:val="sq-AL"/>
        </w:rPr>
        <w:t>Razmatranja DPUO 2025-2029</w:t>
      </w:r>
      <w:r w:rsidR="000D1011">
        <w:rPr>
          <w:rFonts w:ascii="Arial" w:hAnsi="Arial" w:cs="Arial"/>
          <w:lang w:val="sq-AL"/>
        </w:rPr>
        <w:t>. godina,</w:t>
      </w:r>
      <w:r w:rsidRPr="002A6F4E">
        <w:rPr>
          <w:rFonts w:ascii="Arial" w:hAnsi="Arial" w:cs="Arial"/>
          <w:lang w:val="sq-AL"/>
        </w:rPr>
        <w:t xml:space="preserve"> </w:t>
      </w:r>
      <w:r w:rsidR="00C845F6">
        <w:rPr>
          <w:rFonts w:ascii="Arial" w:hAnsi="Arial" w:cs="Arial"/>
          <w:lang w:val="sq-AL"/>
        </w:rPr>
        <w:t>odnose</w:t>
      </w:r>
      <w:r w:rsidR="00C845F6" w:rsidRPr="002A6F4E">
        <w:rPr>
          <w:rFonts w:ascii="Arial" w:hAnsi="Arial" w:cs="Arial"/>
          <w:lang w:val="sq-AL"/>
        </w:rPr>
        <w:t xml:space="preserve"> </w:t>
      </w:r>
      <w:r w:rsidRPr="002A6F4E">
        <w:rPr>
          <w:rFonts w:ascii="Arial" w:hAnsi="Arial" w:cs="Arial"/>
          <w:lang w:val="sq-AL"/>
        </w:rPr>
        <w:t xml:space="preserve">se na zaštitu životne sredine, kulturnih dobara i zdravlja ljudi  sprečavanjem i smanjenjem štetnih efekata otpada. Pored toga, upravljanje otpadom ima dugoročne ciljeve, uključujući očuvanje resursa, zaštitu klime i uticaje na buduće generacije. </w:t>
      </w:r>
      <w:r w:rsidRPr="002A6F4E">
        <w:rPr>
          <w:rFonts w:ascii="Arial" w:hAnsi="Arial" w:cs="Arial"/>
        </w:rPr>
        <w:t>Planski period je određen na 5 godina i odnosi se na period 202</w:t>
      </w:r>
      <w:r w:rsidR="00FE289C" w:rsidRPr="002A6F4E">
        <w:rPr>
          <w:rFonts w:ascii="Arial" w:hAnsi="Arial" w:cs="Arial"/>
        </w:rPr>
        <w:t>5</w:t>
      </w:r>
      <w:r w:rsidRPr="002A6F4E">
        <w:rPr>
          <w:rFonts w:ascii="Arial" w:hAnsi="Arial" w:cs="Arial"/>
        </w:rPr>
        <w:t>-2029</w:t>
      </w:r>
      <w:r w:rsidR="000D1011">
        <w:rPr>
          <w:rFonts w:ascii="Arial" w:hAnsi="Arial" w:cs="Arial"/>
        </w:rPr>
        <w:t>. godina</w:t>
      </w:r>
      <w:r w:rsidRPr="002A6F4E">
        <w:rPr>
          <w:rFonts w:ascii="Arial" w:hAnsi="Arial" w:cs="Arial"/>
        </w:rPr>
        <w:t xml:space="preserve">. </w:t>
      </w:r>
      <w:r w:rsidR="000D1011" w:rsidRPr="002A1003">
        <w:rPr>
          <w:rFonts w:ascii="Arial" w:hAnsi="Arial" w:cs="Arial"/>
          <w:lang w:val="de-DE"/>
        </w:rPr>
        <w:t>P</w:t>
      </w:r>
      <w:r w:rsidRPr="002A1003">
        <w:rPr>
          <w:rFonts w:ascii="Arial" w:hAnsi="Arial" w:cs="Arial"/>
          <w:lang w:val="de-DE"/>
        </w:rPr>
        <w:t>roc</w:t>
      </w:r>
      <w:r w:rsidR="00C845F6" w:rsidRPr="002A1003">
        <w:rPr>
          <w:rFonts w:ascii="Arial" w:hAnsi="Arial" w:cs="Arial"/>
          <w:lang w:val="de-DE"/>
        </w:rPr>
        <w:t>j</w:t>
      </w:r>
      <w:r w:rsidRPr="002A1003">
        <w:rPr>
          <w:rFonts w:ascii="Arial" w:hAnsi="Arial" w:cs="Arial"/>
          <w:lang w:val="de-DE"/>
        </w:rPr>
        <w:t xml:space="preserve">ena kapaciteta za novu infrastrukturu otpada urađena </w:t>
      </w:r>
      <w:r w:rsidR="000D1011" w:rsidRPr="002A1003">
        <w:rPr>
          <w:rFonts w:ascii="Arial" w:hAnsi="Arial" w:cs="Arial"/>
          <w:lang w:val="de-DE"/>
        </w:rPr>
        <w:t xml:space="preserve">je </w:t>
      </w:r>
      <w:r w:rsidRPr="002A1003">
        <w:rPr>
          <w:rFonts w:ascii="Arial" w:hAnsi="Arial" w:cs="Arial"/>
          <w:lang w:val="de-DE"/>
        </w:rPr>
        <w:t>za period 2025-2029</w:t>
      </w:r>
      <w:r w:rsidR="000D1011" w:rsidRPr="002A1003">
        <w:rPr>
          <w:rFonts w:ascii="Arial" w:hAnsi="Arial" w:cs="Arial"/>
          <w:lang w:val="de-DE"/>
        </w:rPr>
        <w:t>. godina</w:t>
      </w:r>
      <w:r w:rsidRPr="002A1003">
        <w:rPr>
          <w:rFonts w:ascii="Arial" w:hAnsi="Arial" w:cs="Arial"/>
          <w:lang w:val="de-DE"/>
        </w:rPr>
        <w:t>.</w:t>
      </w:r>
    </w:p>
    <w:p w14:paraId="1B5CFDC7" w14:textId="3C8B665F"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Državni plan upravljanja otpadom razmatra sve vrste otpada, kao što </w:t>
      </w:r>
      <w:r w:rsidR="00C845F6">
        <w:rPr>
          <w:rFonts w:ascii="Arial" w:hAnsi="Arial" w:cs="Arial"/>
          <w:lang w:val="sq-AL"/>
        </w:rPr>
        <w:t>je</w:t>
      </w:r>
      <w:r w:rsidR="00C845F6" w:rsidRPr="002A6F4E">
        <w:rPr>
          <w:rFonts w:ascii="Arial" w:hAnsi="Arial" w:cs="Arial"/>
          <w:lang w:val="sq-AL"/>
        </w:rPr>
        <w:t xml:space="preserve"> </w:t>
      </w:r>
      <w:r w:rsidRPr="002A6F4E">
        <w:rPr>
          <w:rFonts w:ascii="Arial" w:hAnsi="Arial" w:cs="Arial"/>
          <w:lang w:val="sq-AL"/>
        </w:rPr>
        <w:t xml:space="preserve">propisano Okvirnom direktivom o otpadu EU i </w:t>
      </w:r>
      <w:r w:rsidRPr="002A6F4E">
        <w:rPr>
          <w:rFonts w:ascii="Arial" w:hAnsi="Arial" w:cs="Arial"/>
          <w:iCs/>
          <w:lang w:val="sq-AL"/>
        </w:rPr>
        <w:t>Zakonom o upravljanju otpadom,</w:t>
      </w:r>
      <w:r w:rsidRPr="002A6F4E">
        <w:rPr>
          <w:rFonts w:ascii="Arial" w:hAnsi="Arial" w:cs="Arial"/>
          <w:lang w:val="sq-AL"/>
        </w:rPr>
        <w:t xml:space="preserve"> uključujući:</w:t>
      </w:r>
    </w:p>
    <w:p w14:paraId="5980877E" w14:textId="3D0D2D6D"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Komunalni otpad</w:t>
      </w:r>
      <w:r w:rsidR="000D1011">
        <w:rPr>
          <w:rFonts w:ascii="Arial" w:hAnsi="Arial" w:cs="Arial"/>
          <w:iCs/>
          <w:lang w:val="sq-AL"/>
        </w:rPr>
        <w:t>,</w:t>
      </w:r>
    </w:p>
    <w:p w14:paraId="32DAE290" w14:textId="3D948ECE"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Otpad iz domaćinstva, komercijalni i industrijski otpad sličan otpadu iz domaćinstva, i otpad iz djelatnosti turizma (uključujući ambalažu i biorazgradivi otpad)</w:t>
      </w:r>
      <w:r w:rsidR="000D1011">
        <w:rPr>
          <w:rFonts w:ascii="Arial" w:hAnsi="Arial" w:cs="Arial"/>
          <w:iCs/>
          <w:lang w:val="sq-AL"/>
        </w:rPr>
        <w:t>,</w:t>
      </w:r>
    </w:p>
    <w:p w14:paraId="12327679" w14:textId="77777777"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Posebni tokovi otpada:</w:t>
      </w:r>
    </w:p>
    <w:p w14:paraId="34F7B05D" w14:textId="1E0C0559" w:rsidR="00C232D7" w:rsidRPr="002A6F4E" w:rsidRDefault="00C232D7" w:rsidP="00A23ED0">
      <w:pPr>
        <w:pStyle w:val="ListParagraph"/>
        <w:numPr>
          <w:ilvl w:val="0"/>
          <w:numId w:val="17"/>
        </w:numPr>
        <w:spacing w:before="120" w:after="120" w:line="360" w:lineRule="auto"/>
        <w:contextualSpacing w:val="0"/>
        <w:rPr>
          <w:rFonts w:ascii="Arial" w:hAnsi="Arial" w:cs="Arial"/>
          <w:iCs/>
          <w:lang w:val="sq-AL"/>
        </w:rPr>
      </w:pPr>
      <w:r w:rsidRPr="002A6F4E">
        <w:rPr>
          <w:rFonts w:ascii="Arial" w:hAnsi="Arial" w:cs="Arial"/>
          <w:iCs/>
          <w:lang w:val="sq-AL"/>
        </w:rPr>
        <w:t xml:space="preserve">Građevinski otpad i otpad od rušenja </w:t>
      </w:r>
      <w:r w:rsidR="000D1011">
        <w:rPr>
          <w:rFonts w:ascii="Arial" w:hAnsi="Arial" w:cs="Arial"/>
          <w:iCs/>
          <w:lang w:val="sq-AL"/>
        </w:rPr>
        <w:t>,</w:t>
      </w:r>
    </w:p>
    <w:p w14:paraId="1D35A04D" w14:textId="2A279B9D" w:rsidR="00C232D7" w:rsidRPr="002A6F4E" w:rsidRDefault="00C232D7" w:rsidP="00A23ED0">
      <w:pPr>
        <w:pStyle w:val="ListParagraph"/>
        <w:numPr>
          <w:ilvl w:val="0"/>
          <w:numId w:val="17"/>
        </w:numPr>
        <w:spacing w:before="120" w:after="120" w:line="360" w:lineRule="auto"/>
        <w:contextualSpacing w:val="0"/>
        <w:rPr>
          <w:rFonts w:ascii="Arial" w:hAnsi="Arial" w:cs="Arial"/>
          <w:iCs/>
          <w:lang w:val="sq-AL"/>
        </w:rPr>
      </w:pPr>
      <w:r w:rsidRPr="002A6F4E">
        <w:rPr>
          <w:rFonts w:ascii="Arial" w:hAnsi="Arial" w:cs="Arial"/>
          <w:iCs/>
          <w:lang w:val="sq-AL"/>
        </w:rPr>
        <w:t>Otpad od električnih i elektronskih proizvoda</w:t>
      </w:r>
      <w:r w:rsidR="000D1011">
        <w:rPr>
          <w:rFonts w:ascii="Arial" w:hAnsi="Arial" w:cs="Arial"/>
          <w:iCs/>
          <w:lang w:val="sq-AL"/>
        </w:rPr>
        <w:t>,</w:t>
      </w:r>
    </w:p>
    <w:p w14:paraId="2D536C83" w14:textId="4AE32314" w:rsidR="00C232D7" w:rsidRPr="002A6F4E" w:rsidRDefault="00C232D7" w:rsidP="00A23ED0">
      <w:pPr>
        <w:pStyle w:val="ListParagraph"/>
        <w:numPr>
          <w:ilvl w:val="0"/>
          <w:numId w:val="17"/>
        </w:numPr>
        <w:spacing w:before="120" w:after="120" w:line="360" w:lineRule="auto"/>
        <w:contextualSpacing w:val="0"/>
        <w:rPr>
          <w:rFonts w:ascii="Arial" w:hAnsi="Arial" w:cs="Arial"/>
          <w:iCs/>
          <w:lang w:val="sq-AL"/>
        </w:rPr>
      </w:pPr>
      <w:r w:rsidRPr="002A6F4E">
        <w:rPr>
          <w:rFonts w:ascii="Arial" w:hAnsi="Arial" w:cs="Arial"/>
          <w:iCs/>
          <w:lang w:val="sq-AL"/>
        </w:rPr>
        <w:t>Otpadna vozila</w:t>
      </w:r>
      <w:r w:rsidR="000D1011">
        <w:rPr>
          <w:rFonts w:ascii="Arial" w:hAnsi="Arial" w:cs="Arial"/>
          <w:iCs/>
          <w:lang w:val="sq-AL"/>
        </w:rPr>
        <w:t>,</w:t>
      </w:r>
    </w:p>
    <w:p w14:paraId="74769C74" w14:textId="17FC370D" w:rsidR="00C232D7" w:rsidRPr="002A6F4E" w:rsidRDefault="00456190" w:rsidP="00A23ED0">
      <w:pPr>
        <w:pStyle w:val="ListParagraph"/>
        <w:numPr>
          <w:ilvl w:val="0"/>
          <w:numId w:val="17"/>
        </w:numPr>
        <w:spacing w:before="120" w:after="120" w:line="360" w:lineRule="auto"/>
        <w:contextualSpacing w:val="0"/>
        <w:rPr>
          <w:rFonts w:ascii="Arial" w:hAnsi="Arial" w:cs="Arial"/>
          <w:iCs/>
          <w:lang w:val="sq-AL"/>
        </w:rPr>
      </w:pPr>
      <w:r>
        <w:rPr>
          <w:rFonts w:ascii="Arial" w:hAnsi="Arial" w:cs="Arial"/>
          <w:iCs/>
          <w:lang w:val="sq-AL"/>
        </w:rPr>
        <w:t>Otpadne b</w:t>
      </w:r>
      <w:r w:rsidR="00C232D7" w:rsidRPr="002A6F4E">
        <w:rPr>
          <w:rFonts w:ascii="Arial" w:hAnsi="Arial" w:cs="Arial"/>
          <w:iCs/>
          <w:lang w:val="sq-AL"/>
        </w:rPr>
        <w:t>aterije i akumulatori</w:t>
      </w:r>
      <w:r w:rsidR="000D1011">
        <w:rPr>
          <w:rFonts w:ascii="Arial" w:hAnsi="Arial" w:cs="Arial"/>
          <w:iCs/>
          <w:lang w:val="sq-AL"/>
        </w:rPr>
        <w:t>,</w:t>
      </w:r>
    </w:p>
    <w:p w14:paraId="055CF732" w14:textId="41D89AAE" w:rsidR="00C232D7" w:rsidRPr="002A6F4E" w:rsidRDefault="00C232D7" w:rsidP="00A23ED0">
      <w:pPr>
        <w:pStyle w:val="ListParagraph"/>
        <w:numPr>
          <w:ilvl w:val="0"/>
          <w:numId w:val="17"/>
        </w:numPr>
        <w:spacing w:before="120" w:after="120" w:line="360" w:lineRule="auto"/>
        <w:contextualSpacing w:val="0"/>
        <w:rPr>
          <w:rFonts w:ascii="Arial" w:hAnsi="Arial" w:cs="Arial"/>
          <w:iCs/>
          <w:lang w:val="sq-AL"/>
        </w:rPr>
      </w:pPr>
      <w:r w:rsidRPr="002A6F4E">
        <w:rPr>
          <w:rFonts w:ascii="Arial" w:hAnsi="Arial" w:cs="Arial"/>
          <w:iCs/>
          <w:lang w:val="sq-AL"/>
        </w:rPr>
        <w:lastRenderedPageBreak/>
        <w:t>Otpadne gume</w:t>
      </w:r>
      <w:r w:rsidR="000D1011">
        <w:rPr>
          <w:rFonts w:ascii="Arial" w:hAnsi="Arial" w:cs="Arial"/>
          <w:iCs/>
          <w:lang w:val="sq-AL"/>
        </w:rPr>
        <w:t>,</w:t>
      </w:r>
    </w:p>
    <w:p w14:paraId="5A83DFC0" w14:textId="7498743C" w:rsidR="00C232D7" w:rsidRDefault="00C232D7" w:rsidP="00A23ED0">
      <w:pPr>
        <w:pStyle w:val="ListParagraph"/>
        <w:numPr>
          <w:ilvl w:val="0"/>
          <w:numId w:val="17"/>
        </w:numPr>
        <w:spacing w:before="120" w:after="120" w:line="360" w:lineRule="auto"/>
        <w:contextualSpacing w:val="0"/>
        <w:rPr>
          <w:rFonts w:ascii="Arial" w:hAnsi="Arial" w:cs="Arial"/>
          <w:iCs/>
          <w:lang w:val="sq-AL"/>
        </w:rPr>
      </w:pPr>
      <w:r w:rsidRPr="002A6F4E">
        <w:rPr>
          <w:rFonts w:ascii="Arial" w:hAnsi="Arial" w:cs="Arial"/>
          <w:iCs/>
          <w:lang w:val="sq-AL"/>
        </w:rPr>
        <w:t>Otpadna ulja</w:t>
      </w:r>
      <w:r w:rsidR="000D1011">
        <w:rPr>
          <w:rFonts w:ascii="Arial" w:hAnsi="Arial" w:cs="Arial"/>
          <w:iCs/>
          <w:lang w:val="sq-AL"/>
        </w:rPr>
        <w:t>,</w:t>
      </w:r>
    </w:p>
    <w:p w14:paraId="17B01FE7" w14:textId="5B4645F8" w:rsidR="000A114E" w:rsidRPr="002A6F4E" w:rsidRDefault="000A114E" w:rsidP="00A23ED0">
      <w:pPr>
        <w:pStyle w:val="ListParagraph"/>
        <w:numPr>
          <w:ilvl w:val="0"/>
          <w:numId w:val="17"/>
        </w:numPr>
        <w:spacing w:before="120" w:after="120" w:line="360" w:lineRule="auto"/>
        <w:contextualSpacing w:val="0"/>
        <w:rPr>
          <w:rFonts w:ascii="Arial" w:hAnsi="Arial" w:cs="Arial"/>
          <w:iCs/>
          <w:lang w:val="sq-AL"/>
        </w:rPr>
      </w:pPr>
      <w:r>
        <w:rPr>
          <w:rFonts w:ascii="Arial" w:hAnsi="Arial" w:cs="Arial"/>
          <w:iCs/>
          <w:lang w:val="sq-AL"/>
        </w:rPr>
        <w:t>Otpadna jestiva ulja i masti,</w:t>
      </w:r>
    </w:p>
    <w:p w14:paraId="102BB77F" w14:textId="420CC86E" w:rsidR="00C232D7" w:rsidRPr="002A6F4E" w:rsidRDefault="00C232D7" w:rsidP="00A23ED0">
      <w:pPr>
        <w:pStyle w:val="ListParagraph"/>
        <w:numPr>
          <w:ilvl w:val="0"/>
          <w:numId w:val="17"/>
        </w:numPr>
        <w:spacing w:before="120" w:after="120" w:line="360" w:lineRule="auto"/>
        <w:contextualSpacing w:val="0"/>
        <w:rPr>
          <w:rFonts w:ascii="Arial" w:hAnsi="Arial" w:cs="Arial"/>
          <w:iCs/>
          <w:lang w:val="sq-AL"/>
        </w:rPr>
      </w:pPr>
      <w:r w:rsidRPr="002A6F4E">
        <w:rPr>
          <w:rFonts w:ascii="Arial" w:hAnsi="Arial" w:cs="Arial"/>
          <w:iCs/>
          <w:lang w:val="sq-AL"/>
        </w:rPr>
        <w:t>Poljoprivredni ostaci</w:t>
      </w:r>
      <w:r w:rsidR="000D1011">
        <w:rPr>
          <w:rFonts w:ascii="Arial" w:hAnsi="Arial" w:cs="Arial"/>
          <w:iCs/>
          <w:lang w:val="sq-AL"/>
        </w:rPr>
        <w:t>,</w:t>
      </w:r>
    </w:p>
    <w:p w14:paraId="782B4871" w14:textId="2C65E8CA" w:rsidR="00C232D7" w:rsidRPr="002A6F4E" w:rsidRDefault="001946A2" w:rsidP="00A23ED0">
      <w:pPr>
        <w:pStyle w:val="ListParagraph"/>
        <w:numPr>
          <w:ilvl w:val="0"/>
          <w:numId w:val="17"/>
        </w:numPr>
        <w:spacing w:before="120" w:after="120" w:line="360" w:lineRule="auto"/>
        <w:contextualSpacing w:val="0"/>
        <w:rPr>
          <w:rFonts w:ascii="Arial" w:hAnsi="Arial" w:cs="Arial"/>
          <w:iCs/>
          <w:lang w:val="sq-AL"/>
        </w:rPr>
      </w:pPr>
      <w:r>
        <w:rPr>
          <w:rFonts w:ascii="Arial" w:hAnsi="Arial" w:cs="Arial"/>
          <w:iCs/>
          <w:lang w:val="sq-AL"/>
        </w:rPr>
        <w:t>Kanalizacioni mulj</w:t>
      </w:r>
      <w:r w:rsidR="000D1011">
        <w:rPr>
          <w:rFonts w:ascii="Arial" w:hAnsi="Arial" w:cs="Arial"/>
          <w:iCs/>
          <w:lang w:val="sq-AL"/>
        </w:rPr>
        <w:t>,</w:t>
      </w:r>
    </w:p>
    <w:p w14:paraId="2F8717EE" w14:textId="5CA05F47" w:rsidR="00C232D7" w:rsidRPr="002A6F4E" w:rsidRDefault="00C232D7" w:rsidP="00A23ED0">
      <w:pPr>
        <w:pStyle w:val="ListParagraph"/>
        <w:numPr>
          <w:ilvl w:val="0"/>
          <w:numId w:val="17"/>
        </w:numPr>
        <w:spacing w:before="120" w:after="120" w:line="360" w:lineRule="auto"/>
        <w:contextualSpacing w:val="0"/>
        <w:rPr>
          <w:rFonts w:ascii="Arial" w:hAnsi="Arial" w:cs="Arial"/>
          <w:iCs/>
          <w:lang w:val="sq-AL"/>
        </w:rPr>
      </w:pPr>
      <w:r w:rsidRPr="002A6F4E">
        <w:rPr>
          <w:rFonts w:ascii="Arial" w:hAnsi="Arial" w:cs="Arial"/>
          <w:iCs/>
          <w:lang w:val="sq-AL"/>
        </w:rPr>
        <w:t>Medicinski i veterinarski otpad</w:t>
      </w:r>
      <w:r w:rsidR="000D1011">
        <w:rPr>
          <w:rFonts w:ascii="Arial" w:hAnsi="Arial" w:cs="Arial"/>
          <w:iCs/>
          <w:lang w:val="sq-AL"/>
        </w:rPr>
        <w:t>,</w:t>
      </w:r>
    </w:p>
    <w:p w14:paraId="223D49D9" w14:textId="30109A07" w:rsidR="00C232D7" w:rsidRDefault="00C232D7" w:rsidP="00A23ED0">
      <w:pPr>
        <w:pStyle w:val="ListParagraph"/>
        <w:numPr>
          <w:ilvl w:val="0"/>
          <w:numId w:val="17"/>
        </w:numPr>
        <w:spacing w:before="120" w:after="120" w:line="360" w:lineRule="auto"/>
        <w:contextualSpacing w:val="0"/>
        <w:rPr>
          <w:rFonts w:ascii="Arial" w:hAnsi="Arial" w:cs="Arial"/>
          <w:iCs/>
          <w:lang w:val="sq-AL"/>
        </w:rPr>
      </w:pPr>
      <w:r w:rsidRPr="002A6F4E">
        <w:rPr>
          <w:rFonts w:ascii="Arial" w:hAnsi="Arial" w:cs="Arial"/>
          <w:iCs/>
          <w:lang w:val="sq-AL"/>
        </w:rPr>
        <w:t>Industrijski neopasni otpad</w:t>
      </w:r>
      <w:r w:rsidR="000D1011">
        <w:rPr>
          <w:rFonts w:ascii="Arial" w:hAnsi="Arial" w:cs="Arial"/>
          <w:iCs/>
          <w:lang w:val="sq-AL"/>
        </w:rPr>
        <w:t>.</w:t>
      </w:r>
      <w:bookmarkStart w:id="20" w:name="_Toc132408873"/>
      <w:bookmarkStart w:id="21" w:name="_Toc132409745"/>
      <w:bookmarkStart w:id="22" w:name="_Toc132540650"/>
      <w:bookmarkStart w:id="23" w:name="_Toc132541676"/>
      <w:bookmarkStart w:id="24" w:name="_Toc132544672"/>
      <w:bookmarkStart w:id="25" w:name="_Toc132402531"/>
      <w:bookmarkStart w:id="26" w:name="_Toc132546700"/>
      <w:bookmarkStart w:id="27" w:name="_Toc132405191"/>
      <w:bookmarkStart w:id="28" w:name="_Toc132410161"/>
      <w:bookmarkStart w:id="29" w:name="_Toc132550131"/>
      <w:bookmarkStart w:id="30" w:name="_Toc132551572"/>
      <w:bookmarkStart w:id="31" w:name="_Toc132556352"/>
      <w:bookmarkStart w:id="32" w:name="_Toc132625322"/>
      <w:bookmarkStart w:id="33" w:name="_Toc132408874"/>
      <w:bookmarkStart w:id="34" w:name="_Toc132544674"/>
      <w:bookmarkStart w:id="35" w:name="_Toc132546701"/>
      <w:bookmarkStart w:id="36" w:name="_Toc132554606"/>
      <w:bookmarkStart w:id="37" w:name="_Toc132557211"/>
      <w:bookmarkStart w:id="38" w:name="_Toc132726403"/>
      <w:bookmarkStart w:id="39" w:name="_Toc132402532"/>
      <w:bookmarkStart w:id="40" w:name="_Toc132405192"/>
      <w:bookmarkStart w:id="41" w:name="_Toc132410162"/>
      <w:bookmarkStart w:id="42" w:name="_Toc132544673"/>
      <w:bookmarkStart w:id="43" w:name="_Toc132554607"/>
      <w:bookmarkStart w:id="44" w:name="_Toc132405193"/>
      <w:bookmarkStart w:id="45" w:name="_Toc132408875"/>
      <w:bookmarkStart w:id="46" w:name="_Toc132402533"/>
      <w:bookmarkStart w:id="47" w:name="_Toc132541678"/>
      <w:bookmarkStart w:id="48" w:name="_Toc132550132"/>
      <w:bookmarkStart w:id="49" w:name="_Toc132726404"/>
      <w:bookmarkStart w:id="50" w:name="_Toc132409747"/>
      <w:bookmarkStart w:id="51" w:name="_Toc132551573"/>
      <w:bookmarkStart w:id="52" w:name="_Toc132541677"/>
      <w:bookmarkStart w:id="53" w:name="_Toc132625323"/>
      <w:bookmarkStart w:id="54" w:name="_Toc132733775"/>
      <w:bookmarkStart w:id="55" w:name="_Toc132410163"/>
      <w:bookmarkStart w:id="56" w:name="_Toc132557212"/>
      <w:bookmarkStart w:id="57" w:name="_Toc132540652"/>
      <w:bookmarkStart w:id="58" w:name="_Toc132733774"/>
      <w:bookmarkStart w:id="59" w:name="_Toc132556351"/>
      <w:bookmarkStart w:id="60" w:name="_Toc132409746"/>
      <w:bookmarkStart w:id="61" w:name="_Toc132540651"/>
      <w:bookmarkStart w:id="62" w:name="_Toc132726405"/>
      <w:bookmarkStart w:id="63" w:name="_Toc132541679"/>
      <w:bookmarkStart w:id="64" w:name="_Toc132625324"/>
      <w:bookmarkStart w:id="65" w:name="_Toc132546703"/>
      <w:bookmarkStart w:id="66" w:name="_Toc132551575"/>
      <w:bookmarkStart w:id="67" w:name="_Toc132733776"/>
      <w:bookmarkStart w:id="68" w:name="_Toc132554609"/>
      <w:bookmarkStart w:id="69" w:name="_Toc132557214"/>
      <w:bookmarkStart w:id="70" w:name="_Toc132726406"/>
      <w:bookmarkStart w:id="71" w:name="_Toc132733777"/>
      <w:bookmarkStart w:id="72" w:name="_Toc132402535"/>
      <w:bookmarkStart w:id="73" w:name="_Toc132408877"/>
      <w:bookmarkStart w:id="74" w:name="_Toc132405195"/>
      <w:bookmarkStart w:id="75" w:name="_Toc132550134"/>
      <w:bookmarkStart w:id="76" w:name="_Toc132409749"/>
      <w:bookmarkStart w:id="77" w:name="_Toc132410165"/>
      <w:bookmarkStart w:id="78" w:name="_Toc132540654"/>
      <w:bookmarkStart w:id="79" w:name="_Toc132556354"/>
      <w:bookmarkStart w:id="80" w:name="_Toc132625325"/>
      <w:bookmarkStart w:id="81" w:name="_Toc132540653"/>
      <w:bookmarkStart w:id="82" w:name="_Toc132554608"/>
      <w:bookmarkStart w:id="83" w:name="_Toc132410164"/>
      <w:bookmarkStart w:id="84" w:name="_Toc132544675"/>
      <w:bookmarkStart w:id="85" w:name="_Toc132408876"/>
      <w:bookmarkStart w:id="86" w:name="_Toc132546702"/>
      <w:bookmarkStart w:id="87" w:name="_Toc132556353"/>
      <w:bookmarkStart w:id="88" w:name="_Toc132405194"/>
      <w:bookmarkStart w:id="89" w:name="_Toc132557213"/>
      <w:bookmarkStart w:id="90" w:name="_Toc132551574"/>
      <w:bookmarkStart w:id="91" w:name="_Toc132409748"/>
      <w:bookmarkStart w:id="92" w:name="_Toc132550133"/>
      <w:bookmarkStart w:id="93" w:name="_Toc132402534"/>
      <w:bookmarkStart w:id="94" w:name="_Toc132544676"/>
      <w:bookmarkStart w:id="95" w:name="_Toc132726407"/>
      <w:bookmarkStart w:id="96" w:name="_Toc132541681"/>
      <w:bookmarkStart w:id="97" w:name="_Toc132546705"/>
      <w:bookmarkStart w:id="98" w:name="_Toc132557216"/>
      <w:bookmarkStart w:id="99" w:name="_Toc132540655"/>
      <w:bookmarkStart w:id="100" w:name="_Toc132625327"/>
      <w:bookmarkStart w:id="101" w:name="_Toc132733779"/>
      <w:bookmarkStart w:id="102" w:name="_Toc132409750"/>
      <w:bookmarkStart w:id="103" w:name="_Toc132410166"/>
      <w:bookmarkStart w:id="104" w:name="_Toc132402537"/>
      <w:bookmarkStart w:id="105" w:name="_Toc132408879"/>
      <w:bookmarkStart w:id="106" w:name="_Toc132551577"/>
      <w:bookmarkStart w:id="107" w:name="_Toc132409751"/>
      <w:bookmarkStart w:id="108" w:name="_Toc132405197"/>
      <w:bookmarkStart w:id="109" w:name="_Toc132557215"/>
      <w:bookmarkStart w:id="110" w:name="_Toc132546704"/>
      <w:bookmarkStart w:id="111" w:name="_Toc132405196"/>
      <w:bookmarkStart w:id="112" w:name="_Toc132544677"/>
      <w:bookmarkStart w:id="113" w:name="_Toc132726408"/>
      <w:bookmarkStart w:id="114" w:name="_Toc132556355"/>
      <w:bookmarkStart w:id="115" w:name="_Toc132408878"/>
      <w:bookmarkStart w:id="116" w:name="_Toc132550136"/>
      <w:bookmarkStart w:id="117" w:name="_Toc132554610"/>
      <w:bookmarkStart w:id="118" w:name="_Toc132550135"/>
      <w:bookmarkStart w:id="119" w:name="_Toc132551576"/>
      <w:bookmarkStart w:id="120" w:name="_Toc132625326"/>
      <w:bookmarkStart w:id="121" w:name="_Toc132554611"/>
      <w:bookmarkStart w:id="122" w:name="_Toc132733778"/>
      <w:bookmarkStart w:id="123" w:name="_Toc132556356"/>
      <w:bookmarkStart w:id="124" w:name="_Toc132402536"/>
      <w:bookmarkStart w:id="125" w:name="_Toc132541680"/>
      <w:bookmarkStart w:id="126" w:name="_Toc132625328"/>
      <w:bookmarkStart w:id="127" w:name="_Toc132726410"/>
      <w:bookmarkStart w:id="128" w:name="_Toc132546706"/>
      <w:bookmarkStart w:id="129" w:name="_Toc132540656"/>
      <w:bookmarkStart w:id="130" w:name="_Toc132550137"/>
      <w:bookmarkStart w:id="131" w:name="_Toc132556357"/>
      <w:bookmarkStart w:id="132" w:name="_Toc132405198"/>
      <w:bookmarkStart w:id="133" w:name="_Toc132410168"/>
      <w:bookmarkStart w:id="134" w:name="_Toc132541683"/>
      <w:bookmarkStart w:id="135" w:name="_Toc132550138"/>
      <w:bookmarkStart w:id="136" w:name="_Toc132546707"/>
      <w:bookmarkStart w:id="137" w:name="_Toc132551579"/>
      <w:bookmarkStart w:id="138" w:name="_Toc132544679"/>
      <w:bookmarkStart w:id="139" w:name="_Toc132544678"/>
      <w:bookmarkStart w:id="140" w:name="_Toc132557218"/>
      <w:bookmarkStart w:id="141" w:name="_Toc132557217"/>
      <w:bookmarkStart w:id="142" w:name="_Toc132625329"/>
      <w:bookmarkStart w:id="143" w:name="_Toc132410167"/>
      <w:bookmarkStart w:id="144" w:name="_Toc132554612"/>
      <w:bookmarkStart w:id="145" w:name="_Toc132726409"/>
      <w:bookmarkStart w:id="146" w:name="_Toc132409752"/>
      <w:bookmarkStart w:id="147" w:name="_Toc132733780"/>
      <w:bookmarkStart w:id="148" w:name="_Toc132554613"/>
      <w:bookmarkStart w:id="149" w:name="_Toc132402539"/>
      <w:bookmarkStart w:id="150" w:name="_Toc132540657"/>
      <w:bookmarkStart w:id="151" w:name="_Toc132733781"/>
      <w:bookmarkStart w:id="152" w:name="_Toc132556358"/>
      <w:bookmarkStart w:id="153" w:name="_Toc132405199"/>
      <w:bookmarkStart w:id="154" w:name="_Toc132551578"/>
      <w:bookmarkStart w:id="155" w:name="_Toc132541682"/>
      <w:bookmarkStart w:id="156" w:name="_Toc132408880"/>
      <w:bookmarkStart w:id="157" w:name="_Toc132402538"/>
      <w:bookmarkStart w:id="158" w:name="_Toc132409754"/>
      <w:bookmarkStart w:id="159" w:name="_Toc132546708"/>
      <w:bookmarkStart w:id="160" w:name="_Toc132550140"/>
      <w:bookmarkStart w:id="161" w:name="_Toc132554615"/>
      <w:bookmarkStart w:id="162" w:name="_Toc132550139"/>
      <w:bookmarkStart w:id="163" w:name="_Toc132544681"/>
      <w:bookmarkStart w:id="164" w:name="_Toc132556359"/>
      <w:bookmarkStart w:id="165" w:name="_Toc132410170"/>
      <w:bookmarkStart w:id="166" w:name="_Toc132408882"/>
      <w:bookmarkStart w:id="167" w:name="_Toc132402540"/>
      <w:bookmarkStart w:id="168" w:name="_Toc132540659"/>
      <w:bookmarkStart w:id="169" w:name="_Toc132625331"/>
      <w:bookmarkStart w:id="170" w:name="_Toc132405200"/>
      <w:bookmarkStart w:id="171" w:name="_Toc132556360"/>
      <w:bookmarkStart w:id="172" w:name="_Toc132557220"/>
      <w:bookmarkStart w:id="173" w:name="_Toc132554614"/>
      <w:bookmarkStart w:id="174" w:name="_Toc132733782"/>
      <w:bookmarkStart w:id="175" w:name="_Toc132546709"/>
      <w:bookmarkStart w:id="176" w:name="_Toc132408881"/>
      <w:bookmarkStart w:id="177" w:name="_Toc132726412"/>
      <w:bookmarkStart w:id="178" w:name="_Toc132551580"/>
      <w:bookmarkStart w:id="179" w:name="_Toc132557219"/>
      <w:bookmarkStart w:id="180" w:name="_Toc132409753"/>
      <w:bookmarkStart w:id="181" w:name="_Toc132726411"/>
      <w:bookmarkStart w:id="182" w:name="_Toc132625330"/>
      <w:bookmarkStart w:id="183" w:name="_Toc132541685"/>
      <w:bookmarkStart w:id="184" w:name="_Toc132551581"/>
      <w:bookmarkStart w:id="185" w:name="_Toc132540658"/>
      <w:bookmarkStart w:id="186" w:name="_Toc132733783"/>
      <w:bookmarkStart w:id="187" w:name="_Toc132544680"/>
      <w:bookmarkStart w:id="188" w:name="_Toc132410169"/>
      <w:bookmarkStart w:id="189" w:name="_Toc132541684"/>
      <w:bookmarkStart w:id="190" w:name="_Toc132408883"/>
      <w:bookmarkStart w:id="191" w:name="_Toc132551582"/>
      <w:bookmarkStart w:id="192" w:name="_Toc132733784"/>
      <w:bookmarkStart w:id="193" w:name="_Toc132402542"/>
      <w:bookmarkStart w:id="194" w:name="_Toc132409756"/>
      <w:bookmarkStart w:id="195" w:name="_Toc132540661"/>
      <w:bookmarkStart w:id="196" w:name="_Toc132546711"/>
      <w:bookmarkStart w:id="197" w:name="_Toc132551583"/>
      <w:bookmarkStart w:id="198" w:name="_Toc132550142"/>
      <w:bookmarkStart w:id="199" w:name="_Toc132554617"/>
      <w:bookmarkStart w:id="200" w:name="_Toc132556362"/>
      <w:bookmarkStart w:id="201" w:name="_Toc132557222"/>
      <w:bookmarkStart w:id="202" w:name="_Toc132541687"/>
      <w:bookmarkStart w:id="203" w:name="_Toc132554616"/>
      <w:bookmarkStart w:id="204" w:name="_Toc132405202"/>
      <w:bookmarkStart w:id="205" w:name="_Toc132546710"/>
      <w:bookmarkStart w:id="206" w:name="_Toc132409755"/>
      <w:bookmarkStart w:id="207" w:name="_Toc132410172"/>
      <w:bookmarkStart w:id="208" w:name="_Toc132556361"/>
      <w:bookmarkStart w:id="209" w:name="_Toc132726413"/>
      <w:bookmarkStart w:id="210" w:name="_Toc132544682"/>
      <w:bookmarkStart w:id="211" w:name="_Toc132544683"/>
      <w:bookmarkStart w:id="212" w:name="_Toc132625333"/>
      <w:bookmarkStart w:id="213" w:name="_Toc132541686"/>
      <w:bookmarkStart w:id="214" w:name="_Toc132410171"/>
      <w:bookmarkStart w:id="215" w:name="_Toc132540660"/>
      <w:bookmarkStart w:id="216" w:name="_Toc132402541"/>
      <w:bookmarkStart w:id="217" w:name="_Toc132550141"/>
      <w:bookmarkStart w:id="218" w:name="_Toc132557221"/>
      <w:bookmarkStart w:id="219" w:name="_Toc132625332"/>
      <w:bookmarkStart w:id="220" w:name="_Toc132408884"/>
      <w:bookmarkStart w:id="221" w:name="_Toc132405201"/>
      <w:bookmarkStart w:id="222" w:name="_Toc132408886"/>
      <w:bookmarkStart w:id="223" w:name="_Toc132541689"/>
      <w:bookmarkStart w:id="224" w:name="_Toc132541688"/>
      <w:bookmarkStart w:id="225" w:name="_Toc132540663"/>
      <w:bookmarkStart w:id="226" w:name="_Toc132546713"/>
      <w:bookmarkStart w:id="227" w:name="_Toc132540662"/>
      <w:bookmarkStart w:id="228" w:name="_Toc132550144"/>
      <w:bookmarkStart w:id="229" w:name="_Toc132551585"/>
      <w:bookmarkStart w:id="230" w:name="_Toc132409757"/>
      <w:bookmarkStart w:id="231" w:name="_Toc132410173"/>
      <w:bookmarkStart w:id="232" w:name="_Toc132556364"/>
      <w:bookmarkStart w:id="233" w:name="_Toc132726414"/>
      <w:bookmarkStart w:id="234" w:name="_Toc132551584"/>
      <w:bookmarkStart w:id="235" w:name="_Toc132544685"/>
      <w:bookmarkStart w:id="236" w:name="_Toc132405204"/>
      <w:bookmarkStart w:id="237" w:name="_Toc132405203"/>
      <w:bookmarkStart w:id="238" w:name="_Toc132726415"/>
      <w:bookmarkStart w:id="239" w:name="_Toc132544684"/>
      <w:bookmarkStart w:id="240" w:name="_Toc132733786"/>
      <w:bookmarkStart w:id="241" w:name="_Toc132410174"/>
      <w:bookmarkStart w:id="242" w:name="_Toc132550143"/>
      <w:bookmarkStart w:id="243" w:name="_Toc132408885"/>
      <w:bookmarkStart w:id="244" w:name="_Toc132554618"/>
      <w:bookmarkStart w:id="245" w:name="_Toc132554619"/>
      <w:bookmarkStart w:id="246" w:name="_Toc132556363"/>
      <w:bookmarkStart w:id="247" w:name="_Toc132557223"/>
      <w:bookmarkStart w:id="248" w:name="_Toc132625334"/>
      <w:bookmarkStart w:id="249" w:name="_Toc132409758"/>
      <w:bookmarkStart w:id="250" w:name="_Toc132733785"/>
      <w:bookmarkStart w:id="251" w:name="_Toc132402544"/>
      <w:bookmarkStart w:id="252" w:name="_Toc132402543"/>
      <w:bookmarkStart w:id="253" w:name="_Toc132546712"/>
      <w:bookmarkStart w:id="254" w:name="_Toc132625335"/>
      <w:bookmarkStart w:id="255" w:name="_Toc132726417"/>
      <w:bookmarkStart w:id="256" w:name="_Toc132410175"/>
      <w:bookmarkStart w:id="257" w:name="_Toc132551586"/>
      <w:bookmarkStart w:id="258" w:name="_Toc132405205"/>
      <w:bookmarkStart w:id="259" w:name="_Toc132550145"/>
      <w:bookmarkStart w:id="260" w:name="_Toc132557225"/>
      <w:bookmarkStart w:id="261" w:name="_Toc132541690"/>
      <w:bookmarkStart w:id="262" w:name="_Toc132409760"/>
      <w:bookmarkStart w:id="263" w:name="_Toc132546715"/>
      <w:bookmarkStart w:id="264" w:name="_Toc132546714"/>
      <w:bookmarkStart w:id="265" w:name="_Toc132544687"/>
      <w:bookmarkStart w:id="266" w:name="_Toc132544686"/>
      <w:bookmarkStart w:id="267" w:name="_Toc132410176"/>
      <w:bookmarkStart w:id="268" w:name="_Toc132625336"/>
      <w:bookmarkStart w:id="269" w:name="_Toc132557224"/>
      <w:bookmarkStart w:id="270" w:name="_Toc132402546"/>
      <w:bookmarkStart w:id="271" w:name="_Toc132409759"/>
      <w:bookmarkStart w:id="272" w:name="_Toc132540665"/>
      <w:bookmarkStart w:id="273" w:name="_Toc132726416"/>
      <w:bookmarkStart w:id="274" w:name="_Toc132554620"/>
      <w:bookmarkStart w:id="275" w:name="_Toc132733787"/>
      <w:bookmarkStart w:id="276" w:name="_Toc132408888"/>
      <w:bookmarkStart w:id="277" w:name="_Toc132550146"/>
      <w:bookmarkStart w:id="278" w:name="_Toc132540664"/>
      <w:bookmarkStart w:id="279" w:name="_Toc132733788"/>
      <w:bookmarkStart w:id="280" w:name="_Toc132556365"/>
      <w:bookmarkStart w:id="281" w:name="_Toc132551587"/>
      <w:bookmarkStart w:id="282" w:name="_Toc132408887"/>
      <w:bookmarkStart w:id="283" w:name="_Toc132405206"/>
      <w:bookmarkStart w:id="284" w:name="_Toc132541691"/>
      <w:bookmarkStart w:id="285" w:name="_Toc132402545"/>
      <w:bookmarkStart w:id="286" w:name="_Toc132733790"/>
      <w:bookmarkStart w:id="287" w:name="_Toc132408890"/>
      <w:bookmarkStart w:id="288" w:name="_Toc132405208"/>
      <w:bookmarkStart w:id="289" w:name="_Toc132554622"/>
      <w:bookmarkStart w:id="290" w:name="_Toc132410178"/>
      <w:bookmarkStart w:id="291" w:name="_Toc132556366"/>
      <w:bookmarkStart w:id="292" w:name="_Toc132554621"/>
      <w:bookmarkStart w:id="293" w:name="_Toc132726418"/>
      <w:bookmarkStart w:id="294" w:name="_Toc132540666"/>
      <w:bookmarkStart w:id="295" w:name="_Toc132541692"/>
      <w:bookmarkStart w:id="296" w:name="_Toc132551588"/>
      <w:bookmarkStart w:id="297" w:name="_Toc132409762"/>
      <w:bookmarkStart w:id="298" w:name="_Toc132540667"/>
      <w:bookmarkStart w:id="299" w:name="_Toc132541693"/>
      <w:bookmarkStart w:id="300" w:name="_Toc132544689"/>
      <w:bookmarkStart w:id="301" w:name="_Toc132546717"/>
      <w:bookmarkStart w:id="302" w:name="_Toc132410177"/>
      <w:bookmarkStart w:id="303" w:name="_Toc132402548"/>
      <w:bookmarkStart w:id="304" w:name="_Toc132557226"/>
      <w:bookmarkStart w:id="305" w:name="_Toc132408889"/>
      <w:bookmarkStart w:id="306" w:name="_Toc132544688"/>
      <w:bookmarkStart w:id="307" w:name="_Toc132625337"/>
      <w:bookmarkStart w:id="308" w:name="_Toc132405207"/>
      <w:bookmarkStart w:id="309" w:name="_Toc132409761"/>
      <w:bookmarkStart w:id="310" w:name="_Toc132546716"/>
      <w:bookmarkStart w:id="311" w:name="_Toc132550147"/>
      <w:bookmarkStart w:id="312" w:name="_Toc132402547"/>
      <w:bookmarkStart w:id="313" w:name="_Toc132556367"/>
      <w:bookmarkStart w:id="314" w:name="_Toc132733789"/>
      <w:bookmarkStart w:id="315" w:name="_Toc132625338"/>
      <w:bookmarkStart w:id="316" w:name="_Toc132557227"/>
      <w:bookmarkStart w:id="317" w:name="_Toc132726419"/>
      <w:bookmarkStart w:id="318" w:name="_Toc132551589"/>
      <w:bookmarkStart w:id="319" w:name="_Toc132409764"/>
      <w:bookmarkStart w:id="320" w:name="_Toc132625339"/>
      <w:bookmarkStart w:id="321" w:name="_Toc132409763"/>
      <w:bookmarkStart w:id="322" w:name="_Toc132726421"/>
      <w:bookmarkStart w:id="323" w:name="_Toc132410179"/>
      <w:bookmarkStart w:id="324" w:name="_Toc132540668"/>
      <w:bookmarkStart w:id="325" w:name="_Toc132550148"/>
      <w:bookmarkStart w:id="326" w:name="_Toc132726420"/>
      <w:bookmarkStart w:id="327" w:name="_Toc132733792"/>
      <w:bookmarkStart w:id="328" w:name="_Toc132733791"/>
      <w:bookmarkStart w:id="329" w:name="_Toc132554623"/>
      <w:bookmarkStart w:id="330" w:name="_Toc132405209"/>
      <w:bookmarkStart w:id="331" w:name="_Toc132557229"/>
      <w:bookmarkStart w:id="332" w:name="_Toc132402550"/>
      <w:bookmarkStart w:id="333" w:name="_Toc132402549"/>
      <w:bookmarkStart w:id="334" w:name="_Toc132551590"/>
      <w:bookmarkStart w:id="335" w:name="_Toc132546718"/>
      <w:bookmarkStart w:id="336" w:name="_Toc132408891"/>
      <w:bookmarkStart w:id="337" w:name="_Toc132556368"/>
      <w:bookmarkStart w:id="338" w:name="_Toc132557228"/>
      <w:bookmarkStart w:id="339" w:name="_Toc132541694"/>
      <w:bookmarkStart w:id="340" w:name="_Toc132550149"/>
      <w:bookmarkStart w:id="341" w:name="_Toc132405210"/>
      <w:bookmarkStart w:id="342" w:name="_Toc132408892"/>
      <w:bookmarkStart w:id="343" w:name="_Toc132410180"/>
      <w:bookmarkStart w:id="344" w:name="_Toc132625340"/>
      <w:bookmarkStart w:id="345" w:name="_Toc132556369"/>
      <w:bookmarkStart w:id="346" w:name="_Toc132544690"/>
      <w:bookmarkStart w:id="347" w:name="_Toc132540669"/>
      <w:bookmarkStart w:id="348" w:name="_Toc132541695"/>
      <w:bookmarkStart w:id="349" w:name="_Toc132554624"/>
      <w:bookmarkStart w:id="350" w:name="_Toc132625341"/>
      <w:bookmarkStart w:id="351" w:name="_Toc132408894"/>
      <w:bookmarkStart w:id="352" w:name="_Toc132409766"/>
      <w:bookmarkStart w:id="353" w:name="_Toc132405212"/>
      <w:bookmarkStart w:id="354" w:name="_Toc132410182"/>
      <w:bookmarkStart w:id="355" w:name="_Toc132551591"/>
      <w:bookmarkStart w:id="356" w:name="_Toc132726422"/>
      <w:bookmarkStart w:id="357" w:name="_Toc132546719"/>
      <w:bookmarkStart w:id="358" w:name="_Toc132405211"/>
      <w:bookmarkStart w:id="359" w:name="_Toc132408893"/>
      <w:bookmarkStart w:id="360" w:name="_Toc132540670"/>
      <w:bookmarkStart w:id="361" w:name="_Toc132402551"/>
      <w:bookmarkStart w:id="362" w:name="_Toc132556370"/>
      <w:bookmarkStart w:id="363" w:name="_Toc132556371"/>
      <w:bookmarkStart w:id="364" w:name="_Toc132544691"/>
      <w:bookmarkStart w:id="365" w:name="_Toc132557231"/>
      <w:bookmarkStart w:id="366" w:name="_Toc132554625"/>
      <w:bookmarkStart w:id="367" w:name="_Toc132554626"/>
      <w:bookmarkStart w:id="368" w:name="_Toc132409765"/>
      <w:bookmarkStart w:id="369" w:name="_Toc132550151"/>
      <w:bookmarkStart w:id="370" w:name="_Toc132625342"/>
      <w:bookmarkStart w:id="371" w:name="_Toc132410181"/>
      <w:bookmarkStart w:id="372" w:name="_Toc132546720"/>
      <w:bookmarkStart w:id="373" w:name="_Toc132551592"/>
      <w:bookmarkStart w:id="374" w:name="_Toc132726423"/>
      <w:bookmarkStart w:id="375" w:name="_Toc132733794"/>
      <w:bookmarkStart w:id="376" w:name="_Toc132544692"/>
      <w:bookmarkStart w:id="377" w:name="_Toc132402552"/>
      <w:bookmarkStart w:id="378" w:name="_Toc132541696"/>
      <w:bookmarkStart w:id="379" w:name="_Toc132550150"/>
      <w:bookmarkStart w:id="380" w:name="_Toc132557230"/>
      <w:bookmarkStart w:id="381" w:name="_Toc132733793"/>
      <w:bookmarkStart w:id="382" w:name="_Toc132402553"/>
      <w:bookmarkStart w:id="383" w:name="_Toc132556372"/>
      <w:bookmarkStart w:id="384" w:name="_Toc132546721"/>
      <w:bookmarkStart w:id="385" w:name="_Toc132410183"/>
      <w:bookmarkStart w:id="386" w:name="_Toc132625343"/>
      <w:bookmarkStart w:id="387" w:name="_Toc132551594"/>
      <w:bookmarkStart w:id="388" w:name="_Toc132551593"/>
      <w:bookmarkStart w:id="389" w:name="_Toc132733795"/>
      <w:bookmarkStart w:id="390" w:name="_Toc132540672"/>
      <w:bookmarkStart w:id="391" w:name="_Toc132554628"/>
      <w:bookmarkStart w:id="392" w:name="_Toc132541698"/>
      <w:bookmarkStart w:id="393" w:name="_Toc132405213"/>
      <w:bookmarkStart w:id="394" w:name="_Toc132546722"/>
      <w:bookmarkStart w:id="395" w:name="_Toc132556373"/>
      <w:bookmarkStart w:id="396" w:name="_Toc132408896"/>
      <w:bookmarkStart w:id="397" w:name="_Toc132544694"/>
      <w:bookmarkStart w:id="398" w:name="_Toc132544693"/>
      <w:bookmarkStart w:id="399" w:name="_Toc132550152"/>
      <w:bookmarkStart w:id="400" w:name="_Toc132554627"/>
      <w:bookmarkStart w:id="401" w:name="_Toc132408895"/>
      <w:bookmarkStart w:id="402" w:name="_Toc132540671"/>
      <w:bookmarkStart w:id="403" w:name="_Toc132726424"/>
      <w:bookmarkStart w:id="404" w:name="_Toc132541697"/>
      <w:bookmarkStart w:id="405" w:name="_Toc132409767"/>
      <w:bookmarkStart w:id="406" w:name="_Toc132550153"/>
      <w:bookmarkStart w:id="407" w:name="_Toc132557233"/>
      <w:bookmarkStart w:id="408" w:name="_Toc132726425"/>
      <w:bookmarkStart w:id="409" w:name="_Toc132733796"/>
      <w:bookmarkStart w:id="410" w:name="_Toc132557232"/>
      <w:bookmarkStart w:id="411" w:name="_Toc132625344"/>
      <w:bookmarkStart w:id="412" w:name="_Toc132402554"/>
      <w:bookmarkStart w:id="413" w:name="_Toc132405214"/>
      <w:bookmarkStart w:id="414" w:name="_Toc132540673"/>
      <w:bookmarkStart w:id="415" w:name="_Toc132541699"/>
      <w:bookmarkStart w:id="416" w:name="_Toc132544695"/>
      <w:bookmarkStart w:id="417" w:name="_Toc132726426"/>
      <w:bookmarkStart w:id="418" w:name="_Toc132409768"/>
      <w:bookmarkStart w:id="419" w:name="_Toc132625345"/>
      <w:bookmarkStart w:id="420" w:name="_Toc132557234"/>
      <w:bookmarkStart w:id="421" w:name="_Toc132556374"/>
      <w:bookmarkStart w:id="422" w:name="_Toc132550154"/>
      <w:bookmarkStart w:id="423" w:name="_Toc132546723"/>
      <w:bookmarkStart w:id="424" w:name="_Toc132554629"/>
      <w:bookmarkStart w:id="425" w:name="_Toc132410184"/>
      <w:bookmarkStart w:id="426" w:name="_Toc132733797"/>
      <w:bookmarkStart w:id="427" w:name="_Toc132551595"/>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07F1DD7B" w14:textId="26ADD452" w:rsidR="00582304" w:rsidRDefault="00582304" w:rsidP="00582304">
      <w:pPr>
        <w:spacing w:before="120" w:after="120" w:line="360" w:lineRule="auto"/>
        <w:rPr>
          <w:rFonts w:ascii="Arial" w:hAnsi="Arial" w:cs="Arial"/>
          <w:iCs/>
          <w:lang w:val="sq-AL"/>
        </w:rPr>
      </w:pPr>
    </w:p>
    <w:p w14:paraId="75B71A37" w14:textId="5F84719F" w:rsidR="00582304" w:rsidRDefault="00582304" w:rsidP="00582304">
      <w:pPr>
        <w:spacing w:before="120" w:after="120" w:line="360" w:lineRule="auto"/>
        <w:rPr>
          <w:rFonts w:ascii="Arial" w:hAnsi="Arial" w:cs="Arial"/>
          <w:iCs/>
          <w:lang w:val="sq-AL"/>
        </w:rPr>
      </w:pPr>
    </w:p>
    <w:p w14:paraId="7707DB1E" w14:textId="4F6A289C" w:rsidR="00582304" w:rsidRDefault="00582304" w:rsidP="00582304">
      <w:pPr>
        <w:spacing w:before="120" w:after="120" w:line="360" w:lineRule="auto"/>
        <w:rPr>
          <w:rFonts w:ascii="Arial" w:hAnsi="Arial" w:cs="Arial"/>
          <w:iCs/>
          <w:lang w:val="sq-AL"/>
        </w:rPr>
      </w:pPr>
    </w:p>
    <w:p w14:paraId="36A4BA92" w14:textId="37BB2AAB" w:rsidR="00582304" w:rsidRDefault="00582304" w:rsidP="00582304">
      <w:pPr>
        <w:spacing w:before="120" w:after="120" w:line="360" w:lineRule="auto"/>
        <w:rPr>
          <w:rFonts w:ascii="Arial" w:hAnsi="Arial" w:cs="Arial"/>
          <w:iCs/>
          <w:lang w:val="sq-AL"/>
        </w:rPr>
      </w:pPr>
    </w:p>
    <w:p w14:paraId="2260A389" w14:textId="557CF560" w:rsidR="00582304" w:rsidRDefault="00582304" w:rsidP="00582304">
      <w:pPr>
        <w:spacing w:before="120" w:after="120" w:line="360" w:lineRule="auto"/>
        <w:rPr>
          <w:rFonts w:ascii="Arial" w:hAnsi="Arial" w:cs="Arial"/>
          <w:iCs/>
          <w:lang w:val="sq-AL"/>
        </w:rPr>
      </w:pPr>
    </w:p>
    <w:p w14:paraId="35DE5A1D" w14:textId="578B2506" w:rsidR="00582304" w:rsidRDefault="00582304" w:rsidP="00582304">
      <w:pPr>
        <w:spacing w:before="120" w:after="120" w:line="360" w:lineRule="auto"/>
        <w:rPr>
          <w:rFonts w:ascii="Arial" w:hAnsi="Arial" w:cs="Arial"/>
          <w:iCs/>
          <w:lang w:val="sq-AL"/>
        </w:rPr>
      </w:pPr>
    </w:p>
    <w:p w14:paraId="10182AF4" w14:textId="24EBB847" w:rsidR="00582304" w:rsidRDefault="00582304" w:rsidP="00582304">
      <w:pPr>
        <w:spacing w:before="120" w:after="120" w:line="360" w:lineRule="auto"/>
        <w:rPr>
          <w:rFonts w:ascii="Arial" w:hAnsi="Arial" w:cs="Arial"/>
          <w:iCs/>
          <w:lang w:val="sq-AL"/>
        </w:rPr>
      </w:pPr>
    </w:p>
    <w:p w14:paraId="020931E5" w14:textId="32971E0C" w:rsidR="00582304" w:rsidRDefault="00582304" w:rsidP="00582304">
      <w:pPr>
        <w:spacing w:before="120" w:after="120" w:line="360" w:lineRule="auto"/>
        <w:rPr>
          <w:rFonts w:ascii="Arial" w:hAnsi="Arial" w:cs="Arial"/>
          <w:iCs/>
          <w:lang w:val="sq-AL"/>
        </w:rPr>
      </w:pPr>
    </w:p>
    <w:p w14:paraId="6A68933D" w14:textId="3FCE43A8" w:rsidR="00582304" w:rsidRDefault="00582304" w:rsidP="00582304">
      <w:pPr>
        <w:spacing w:before="120" w:after="120" w:line="360" w:lineRule="auto"/>
        <w:rPr>
          <w:rFonts w:ascii="Arial" w:hAnsi="Arial" w:cs="Arial"/>
          <w:iCs/>
          <w:lang w:val="sq-AL"/>
        </w:rPr>
      </w:pPr>
    </w:p>
    <w:p w14:paraId="67065E05" w14:textId="2C08E970" w:rsidR="00582304" w:rsidRDefault="00582304" w:rsidP="00582304">
      <w:pPr>
        <w:spacing w:before="120" w:after="120" w:line="360" w:lineRule="auto"/>
        <w:rPr>
          <w:rFonts w:ascii="Arial" w:hAnsi="Arial" w:cs="Arial"/>
          <w:iCs/>
          <w:lang w:val="sq-AL"/>
        </w:rPr>
      </w:pPr>
    </w:p>
    <w:p w14:paraId="6CF0395D" w14:textId="07B0C2CA" w:rsidR="00582304" w:rsidRDefault="00582304" w:rsidP="00582304">
      <w:pPr>
        <w:spacing w:before="120" w:after="120" w:line="360" w:lineRule="auto"/>
        <w:rPr>
          <w:rFonts w:ascii="Arial" w:hAnsi="Arial" w:cs="Arial"/>
          <w:iCs/>
          <w:lang w:val="sq-AL"/>
        </w:rPr>
      </w:pPr>
    </w:p>
    <w:p w14:paraId="232D6E11" w14:textId="300C4CEC" w:rsidR="00582304" w:rsidRDefault="00582304" w:rsidP="00582304">
      <w:pPr>
        <w:spacing w:before="120" w:after="120" w:line="360" w:lineRule="auto"/>
        <w:rPr>
          <w:rFonts w:ascii="Arial" w:hAnsi="Arial" w:cs="Arial"/>
          <w:iCs/>
          <w:lang w:val="sq-AL"/>
        </w:rPr>
      </w:pPr>
    </w:p>
    <w:p w14:paraId="62EFC0B1" w14:textId="29314260" w:rsidR="00582304" w:rsidRDefault="00582304" w:rsidP="00582304">
      <w:pPr>
        <w:spacing w:before="120" w:after="120" w:line="360" w:lineRule="auto"/>
        <w:rPr>
          <w:rFonts w:ascii="Arial" w:hAnsi="Arial" w:cs="Arial"/>
          <w:iCs/>
          <w:lang w:val="sq-AL"/>
        </w:rPr>
      </w:pPr>
    </w:p>
    <w:p w14:paraId="61CC2DB9" w14:textId="6AF8ACEA" w:rsidR="00582304" w:rsidRDefault="00582304" w:rsidP="00582304">
      <w:pPr>
        <w:spacing w:before="120" w:after="120" w:line="360" w:lineRule="auto"/>
        <w:rPr>
          <w:rFonts w:ascii="Arial" w:hAnsi="Arial" w:cs="Arial"/>
          <w:iCs/>
          <w:lang w:val="sq-AL"/>
        </w:rPr>
      </w:pPr>
    </w:p>
    <w:p w14:paraId="610E86B1" w14:textId="665AEC03" w:rsidR="00582304" w:rsidRDefault="00582304" w:rsidP="00582304">
      <w:pPr>
        <w:spacing w:before="120" w:after="120" w:line="360" w:lineRule="auto"/>
        <w:rPr>
          <w:rFonts w:ascii="Arial" w:hAnsi="Arial" w:cs="Arial"/>
          <w:iCs/>
          <w:lang w:val="sq-AL"/>
        </w:rPr>
      </w:pPr>
    </w:p>
    <w:p w14:paraId="491D20AE" w14:textId="0C61A8AE" w:rsidR="00582304" w:rsidRDefault="00582304" w:rsidP="00582304">
      <w:pPr>
        <w:spacing w:before="120" w:after="120" w:line="360" w:lineRule="auto"/>
        <w:rPr>
          <w:rFonts w:ascii="Arial" w:hAnsi="Arial" w:cs="Arial"/>
          <w:iCs/>
          <w:lang w:val="sq-AL"/>
        </w:rPr>
      </w:pPr>
    </w:p>
    <w:p w14:paraId="1990CAB8" w14:textId="63BE2A4A" w:rsidR="00582304" w:rsidRDefault="00582304" w:rsidP="00582304">
      <w:pPr>
        <w:spacing w:before="120" w:after="120" w:line="360" w:lineRule="auto"/>
        <w:rPr>
          <w:rFonts w:ascii="Arial" w:hAnsi="Arial" w:cs="Arial"/>
          <w:iCs/>
          <w:lang w:val="sq-AL"/>
        </w:rPr>
      </w:pPr>
    </w:p>
    <w:p w14:paraId="116945D5" w14:textId="205AA4EC" w:rsidR="00582304" w:rsidRDefault="00582304" w:rsidP="00582304">
      <w:pPr>
        <w:spacing w:before="120" w:after="120" w:line="360" w:lineRule="auto"/>
        <w:rPr>
          <w:rFonts w:ascii="Arial" w:hAnsi="Arial" w:cs="Arial"/>
          <w:iCs/>
          <w:lang w:val="sq-AL"/>
        </w:rPr>
      </w:pPr>
    </w:p>
    <w:p w14:paraId="5075ADE7" w14:textId="03A1FD2E" w:rsidR="00582304" w:rsidRDefault="00582304" w:rsidP="00582304">
      <w:pPr>
        <w:spacing w:before="120" w:after="120" w:line="360" w:lineRule="auto"/>
        <w:rPr>
          <w:rFonts w:ascii="Arial" w:hAnsi="Arial" w:cs="Arial"/>
          <w:iCs/>
          <w:lang w:val="sq-AL"/>
        </w:rPr>
      </w:pPr>
    </w:p>
    <w:p w14:paraId="787A8096" w14:textId="06C58492" w:rsidR="00582304" w:rsidRDefault="00582304" w:rsidP="00582304">
      <w:pPr>
        <w:spacing w:before="120" w:after="120" w:line="360" w:lineRule="auto"/>
        <w:rPr>
          <w:rFonts w:ascii="Arial" w:hAnsi="Arial" w:cs="Arial"/>
          <w:iCs/>
          <w:lang w:val="sq-AL"/>
        </w:rPr>
      </w:pPr>
    </w:p>
    <w:p w14:paraId="627B8165" w14:textId="371FEDE9" w:rsidR="007E5138" w:rsidRDefault="007E5138" w:rsidP="00582304">
      <w:pPr>
        <w:spacing w:before="120" w:after="120" w:line="360" w:lineRule="auto"/>
        <w:rPr>
          <w:rFonts w:ascii="Arial" w:hAnsi="Arial" w:cs="Arial"/>
          <w:iCs/>
          <w:lang w:val="sq-AL"/>
        </w:rPr>
      </w:pPr>
    </w:p>
    <w:p w14:paraId="5EF6E4E6" w14:textId="40B842EA" w:rsidR="007E5138" w:rsidRDefault="007E5138" w:rsidP="00582304">
      <w:pPr>
        <w:spacing w:before="120" w:after="120" w:line="360" w:lineRule="auto"/>
        <w:rPr>
          <w:rFonts w:ascii="Arial" w:hAnsi="Arial" w:cs="Arial"/>
          <w:iCs/>
          <w:lang w:val="sq-AL"/>
        </w:rPr>
      </w:pPr>
    </w:p>
    <w:p w14:paraId="7D08D589" w14:textId="77777777" w:rsidR="00582304" w:rsidRPr="00582304" w:rsidRDefault="00582304" w:rsidP="00582304">
      <w:pPr>
        <w:spacing w:before="120" w:after="120" w:line="360" w:lineRule="auto"/>
        <w:rPr>
          <w:rFonts w:ascii="Arial" w:hAnsi="Arial" w:cs="Arial"/>
          <w:iCs/>
          <w:lang w:val="sq-AL"/>
        </w:rPr>
      </w:pPr>
    </w:p>
    <w:p w14:paraId="2446C3D4" w14:textId="2CD0CE11" w:rsidR="00C232D7" w:rsidRPr="002A6F4E" w:rsidRDefault="0089003A" w:rsidP="00A23ED0">
      <w:pPr>
        <w:pStyle w:val="Heading1"/>
        <w:numPr>
          <w:ilvl w:val="0"/>
          <w:numId w:val="16"/>
        </w:numPr>
        <w:rPr>
          <w:sz w:val="20"/>
          <w:szCs w:val="20"/>
        </w:rPr>
      </w:pPr>
      <w:bookmarkStart w:id="428" w:name="_Toc132544698"/>
      <w:bookmarkStart w:id="429" w:name="_Toc132550157"/>
      <w:bookmarkStart w:id="430" w:name="_Toc132410187"/>
      <w:bookmarkStart w:id="431" w:name="_Toc132408899"/>
      <w:bookmarkStart w:id="432" w:name="_Toc132551598"/>
      <w:bookmarkStart w:id="433" w:name="_Toc132402557"/>
      <w:bookmarkStart w:id="434" w:name="_Toc132554632"/>
      <w:bookmarkStart w:id="435" w:name="_Toc132540676"/>
      <w:bookmarkStart w:id="436" w:name="_Toc132556377"/>
      <w:bookmarkStart w:id="437" w:name="_Toc132557237"/>
      <w:bookmarkStart w:id="438" w:name="_Toc132625348"/>
      <w:bookmarkStart w:id="439" w:name="_Toc132409771"/>
      <w:bookmarkStart w:id="440" w:name="_Toc132541702"/>
      <w:bookmarkStart w:id="441" w:name="_Toc132726429"/>
      <w:bookmarkStart w:id="442" w:name="_Toc132546726"/>
      <w:bookmarkStart w:id="443" w:name="_Toc132405217"/>
      <w:bookmarkStart w:id="444" w:name="_Toc132409773"/>
      <w:bookmarkStart w:id="445" w:name="_Toc132625349"/>
      <w:bookmarkStart w:id="446" w:name="_Toc132540678"/>
      <w:bookmarkStart w:id="447" w:name="_Toc132554634"/>
      <w:bookmarkStart w:id="448" w:name="_Toc132551599"/>
      <w:bookmarkStart w:id="449" w:name="_Toc132410189"/>
      <w:bookmarkStart w:id="450" w:name="_Toc132544699"/>
      <w:bookmarkStart w:id="451" w:name="_Toc132556379"/>
      <w:bookmarkStart w:id="452" w:name="_Toc132540677"/>
      <w:bookmarkStart w:id="453" w:name="_Toc132409772"/>
      <w:bookmarkStart w:id="454" w:name="_Toc132546727"/>
      <w:bookmarkStart w:id="455" w:name="_Toc132405219"/>
      <w:bookmarkStart w:id="456" w:name="_Toc132410188"/>
      <w:bookmarkStart w:id="457" w:name="_Toc132726430"/>
      <w:bookmarkStart w:id="458" w:name="_Toc132733801"/>
      <w:bookmarkStart w:id="459" w:name="_Toc132408901"/>
      <w:bookmarkStart w:id="460" w:name="_Toc132408900"/>
      <w:bookmarkStart w:id="461" w:name="_Toc132554633"/>
      <w:bookmarkStart w:id="462" w:name="_Toc132557239"/>
      <w:bookmarkStart w:id="463" w:name="_Toc132551600"/>
      <w:bookmarkStart w:id="464" w:name="_Toc132550159"/>
      <w:bookmarkStart w:id="465" w:name="_Toc132733800"/>
      <w:bookmarkStart w:id="466" w:name="_Toc132405218"/>
      <w:bookmarkStart w:id="467" w:name="_Toc132550158"/>
      <w:bookmarkStart w:id="468" w:name="_Toc132402558"/>
      <w:bookmarkStart w:id="469" w:name="_Toc132557238"/>
      <w:bookmarkStart w:id="470" w:name="_Toc132541704"/>
      <w:bookmarkStart w:id="471" w:name="_Toc132544700"/>
      <w:bookmarkStart w:id="472" w:name="_Toc132546728"/>
      <w:bookmarkStart w:id="473" w:name="_Toc132556378"/>
      <w:bookmarkStart w:id="474" w:name="_Toc132402559"/>
      <w:bookmarkStart w:id="475" w:name="_Toc132541703"/>
      <w:bookmarkStart w:id="476" w:name="_Toc132556380"/>
      <w:bookmarkStart w:id="477" w:name="_Toc132408903"/>
      <w:bookmarkStart w:id="478" w:name="_Toc132409775"/>
      <w:bookmarkStart w:id="479" w:name="_Toc132540680"/>
      <w:bookmarkStart w:id="480" w:name="_Toc132409774"/>
      <w:bookmarkStart w:id="481" w:name="_Toc132541706"/>
      <w:bookmarkStart w:id="482" w:name="_Toc132544701"/>
      <w:bookmarkStart w:id="483" w:name="_Toc132550160"/>
      <w:bookmarkStart w:id="484" w:name="_Toc132544702"/>
      <w:bookmarkStart w:id="485" w:name="_Toc132546730"/>
      <w:bookmarkStart w:id="486" w:name="_Toc132550161"/>
      <w:bookmarkStart w:id="487" w:name="_Toc132551602"/>
      <w:bookmarkStart w:id="488" w:name="_Toc132554636"/>
      <w:bookmarkStart w:id="489" w:name="_Toc132625350"/>
      <w:bookmarkStart w:id="490" w:name="_Toc132410191"/>
      <w:bookmarkStart w:id="491" w:name="_Toc132405221"/>
      <w:bookmarkStart w:id="492" w:name="_Toc132557240"/>
      <w:bookmarkStart w:id="493" w:name="_Toc132402560"/>
      <w:bookmarkStart w:id="494" w:name="_Toc132408902"/>
      <w:bookmarkStart w:id="495" w:name="_Toc132733802"/>
      <w:bookmarkStart w:id="496" w:name="_Toc132410190"/>
      <w:bookmarkStart w:id="497" w:name="_Toc132541705"/>
      <w:bookmarkStart w:id="498" w:name="_Toc132546729"/>
      <w:bookmarkStart w:id="499" w:name="_Toc132733803"/>
      <w:bookmarkStart w:id="500" w:name="_Toc132726431"/>
      <w:bookmarkStart w:id="501" w:name="_Toc132405220"/>
      <w:bookmarkStart w:id="502" w:name="_Toc132551601"/>
      <w:bookmarkStart w:id="503" w:name="_Toc132625351"/>
      <w:bookmarkStart w:id="504" w:name="_Toc132540679"/>
      <w:bookmarkStart w:id="505" w:name="_Toc132726432"/>
      <w:bookmarkStart w:id="506" w:name="_Toc132402561"/>
      <w:bookmarkStart w:id="507" w:name="_Toc132554635"/>
      <w:bookmarkStart w:id="508" w:name="_Toc132540681"/>
      <w:bookmarkStart w:id="509" w:name="_Toc132541707"/>
      <w:bookmarkStart w:id="510" w:name="_Toc132733805"/>
      <w:bookmarkStart w:id="511" w:name="_Toc132544703"/>
      <w:bookmarkStart w:id="512" w:name="_Toc132405223"/>
      <w:bookmarkStart w:id="513" w:name="_Toc132726434"/>
      <w:bookmarkStart w:id="514" w:name="_Toc132540682"/>
      <w:bookmarkStart w:id="515" w:name="_Toc132541708"/>
      <w:bookmarkStart w:id="516" w:name="_Toc132408904"/>
      <w:bookmarkStart w:id="517" w:name="_Toc132557242"/>
      <w:bookmarkStart w:id="518" w:name="_Toc132625353"/>
      <w:bookmarkStart w:id="519" w:name="_Toc132546731"/>
      <w:bookmarkStart w:id="520" w:name="_Toc132733804"/>
      <w:bookmarkStart w:id="521" w:name="_Toc132409777"/>
      <w:bookmarkStart w:id="522" w:name="_Toc132544704"/>
      <w:bookmarkStart w:id="523" w:name="_Toc132625352"/>
      <w:bookmarkStart w:id="524" w:name="_Toc132554637"/>
      <w:bookmarkStart w:id="525" w:name="_Toc132402563"/>
      <w:bookmarkStart w:id="526" w:name="_Toc132546732"/>
      <w:bookmarkStart w:id="527" w:name="_Toc132550163"/>
      <w:bookmarkStart w:id="528" w:name="_Toc132408905"/>
      <w:bookmarkStart w:id="529" w:name="_Toc132402562"/>
      <w:bookmarkStart w:id="530" w:name="_Toc132556382"/>
      <w:bookmarkStart w:id="531" w:name="_Toc132410192"/>
      <w:bookmarkStart w:id="532" w:name="_Toc132556381"/>
      <w:bookmarkStart w:id="533" w:name="_Toc132557241"/>
      <w:bookmarkStart w:id="534" w:name="_Toc132726433"/>
      <w:bookmarkStart w:id="535" w:name="_Toc132405222"/>
      <w:bookmarkStart w:id="536" w:name="_Toc132550162"/>
      <w:bookmarkStart w:id="537" w:name="_Toc132410193"/>
      <w:bookmarkStart w:id="538" w:name="_Toc132551603"/>
      <w:bookmarkStart w:id="539" w:name="_Toc132409776"/>
      <w:bookmarkStart w:id="540" w:name="_Toc132556383"/>
      <w:bookmarkStart w:id="541" w:name="_Toc132625355"/>
      <w:bookmarkStart w:id="542" w:name="_Toc132405224"/>
      <w:bookmarkStart w:id="543" w:name="_Toc132726435"/>
      <w:bookmarkStart w:id="544" w:name="_Toc132408906"/>
      <w:bookmarkStart w:id="545" w:name="_Toc132546733"/>
      <w:bookmarkStart w:id="546" w:name="_Toc132726436"/>
      <w:bookmarkStart w:id="547" w:name="_Toc132402565"/>
      <w:bookmarkStart w:id="548" w:name="_Toc132557244"/>
      <w:bookmarkStart w:id="549" w:name="_Toc132405225"/>
      <w:bookmarkStart w:id="550" w:name="_Toc132408907"/>
      <w:bookmarkStart w:id="551" w:name="_Toc132409779"/>
      <w:bookmarkStart w:id="552" w:name="_Toc132733807"/>
      <w:bookmarkStart w:id="553" w:name="_Toc132402564"/>
      <w:bookmarkStart w:id="554" w:name="_Toc132554638"/>
      <w:bookmarkStart w:id="555" w:name="_Toc132544705"/>
      <w:bookmarkStart w:id="556" w:name="_Toc132551605"/>
      <w:bookmarkStart w:id="557" w:name="_Toc132625354"/>
      <w:bookmarkStart w:id="558" w:name="_Toc132554639"/>
      <w:bookmarkStart w:id="559" w:name="_Toc132410195"/>
      <w:bookmarkStart w:id="560" w:name="_Toc132541710"/>
      <w:bookmarkStart w:id="561" w:name="_Toc132540684"/>
      <w:bookmarkStart w:id="562" w:name="_Toc132544706"/>
      <w:bookmarkStart w:id="563" w:name="_Toc132410194"/>
      <w:bookmarkStart w:id="564" w:name="_Toc132541709"/>
      <w:bookmarkStart w:id="565" w:name="_Toc132409778"/>
      <w:bookmarkStart w:id="566" w:name="_Toc132557243"/>
      <w:bookmarkStart w:id="567" w:name="_Toc132550164"/>
      <w:bookmarkStart w:id="568" w:name="_Toc132551604"/>
      <w:bookmarkStart w:id="569" w:name="_Toc132733806"/>
      <w:bookmarkStart w:id="570" w:name="_Toc132540683"/>
      <w:bookmarkStart w:id="571" w:name="_Toc132556384"/>
      <w:bookmarkStart w:id="572" w:name="_Toc132551606"/>
      <w:bookmarkStart w:id="573" w:name="_Toc132554641"/>
      <w:bookmarkStart w:id="574" w:name="_Toc132550165"/>
      <w:bookmarkStart w:id="575" w:name="_Toc132556386"/>
      <w:bookmarkStart w:id="576" w:name="_Toc132551607"/>
      <w:bookmarkStart w:id="577" w:name="_Toc132554640"/>
      <w:bookmarkStart w:id="578" w:name="_Toc132557246"/>
      <w:bookmarkStart w:id="579" w:name="_Toc132625357"/>
      <w:bookmarkStart w:id="580" w:name="_Toc132726438"/>
      <w:bookmarkStart w:id="581" w:name="_Toc132733809"/>
      <w:bookmarkStart w:id="582" w:name="_Toc132402567"/>
      <w:bookmarkStart w:id="583" w:name="_Toc132405227"/>
      <w:bookmarkStart w:id="584" w:name="_Toc132408909"/>
      <w:bookmarkStart w:id="585" w:name="_Toc132410196"/>
      <w:bookmarkStart w:id="586" w:name="_Toc132410197"/>
      <w:bookmarkStart w:id="587" w:name="_Toc132540686"/>
      <w:bookmarkStart w:id="588" w:name="_Toc132409781"/>
      <w:bookmarkStart w:id="589" w:name="_Toc132544707"/>
      <w:bookmarkStart w:id="590" w:name="_Toc132550166"/>
      <w:bookmarkStart w:id="591" w:name="_Toc132402566"/>
      <w:bookmarkStart w:id="592" w:name="_Toc132733808"/>
      <w:bookmarkStart w:id="593" w:name="_Toc132408908"/>
      <w:bookmarkStart w:id="594" w:name="_Toc132541711"/>
      <w:bookmarkStart w:id="595" w:name="_Toc132625356"/>
      <w:bookmarkStart w:id="596" w:name="_Toc132540685"/>
      <w:bookmarkStart w:id="597" w:name="_Toc132557245"/>
      <w:bookmarkStart w:id="598" w:name="_Toc132409780"/>
      <w:bookmarkStart w:id="599" w:name="_Toc132546734"/>
      <w:bookmarkStart w:id="600" w:name="_Toc132726437"/>
      <w:bookmarkStart w:id="601" w:name="_Toc132546735"/>
      <w:bookmarkStart w:id="602" w:name="_Toc132556385"/>
      <w:bookmarkStart w:id="603" w:name="_Toc132405226"/>
      <w:bookmarkStart w:id="604" w:name="_Toc132402569"/>
      <w:bookmarkStart w:id="605" w:name="_Toc132551608"/>
      <w:bookmarkStart w:id="606" w:name="_Toc132733810"/>
      <w:bookmarkStart w:id="607" w:name="_Toc132402568"/>
      <w:bookmarkStart w:id="608" w:name="_Toc132541713"/>
      <w:bookmarkStart w:id="609" w:name="_Toc132551609"/>
      <w:bookmarkStart w:id="610" w:name="_Toc132733811"/>
      <w:bookmarkStart w:id="611" w:name="_Toc132405229"/>
      <w:bookmarkStart w:id="612" w:name="_Toc132726440"/>
      <w:bookmarkStart w:id="613" w:name="_Toc132408911"/>
      <w:bookmarkStart w:id="614" w:name="_Toc132409783"/>
      <w:bookmarkStart w:id="615" w:name="_Toc132540687"/>
      <w:bookmarkStart w:id="616" w:name="_Toc132625359"/>
      <w:bookmarkStart w:id="617" w:name="_Toc132554642"/>
      <w:bookmarkStart w:id="618" w:name="_Toc132405228"/>
      <w:bookmarkStart w:id="619" w:name="_Toc132546736"/>
      <w:bookmarkStart w:id="620" w:name="_Toc132410198"/>
      <w:bookmarkStart w:id="621" w:name="_Toc132544709"/>
      <w:bookmarkStart w:id="622" w:name="_Toc132556387"/>
      <w:bookmarkStart w:id="623" w:name="_Toc132726439"/>
      <w:bookmarkStart w:id="624" w:name="_Toc132544708"/>
      <w:bookmarkStart w:id="625" w:name="_Toc132554643"/>
      <w:bookmarkStart w:id="626" w:name="_Toc132550168"/>
      <w:bookmarkStart w:id="627" w:name="_Toc132541712"/>
      <w:bookmarkStart w:id="628" w:name="_Toc132408910"/>
      <w:bookmarkStart w:id="629" w:name="_Toc132409782"/>
      <w:bookmarkStart w:id="630" w:name="_Toc132550167"/>
      <w:bookmarkStart w:id="631" w:name="_Toc132557247"/>
      <w:bookmarkStart w:id="632" w:name="_Toc132625358"/>
      <w:bookmarkStart w:id="633" w:name="_Toc132546737"/>
      <w:bookmarkStart w:id="634" w:name="_Toc132556388"/>
      <w:bookmarkStart w:id="635" w:name="_Toc132557248"/>
      <w:bookmarkStart w:id="636" w:name="_Toc132540688"/>
      <w:bookmarkStart w:id="637" w:name="_Toc132550169"/>
      <w:bookmarkStart w:id="638" w:name="_Toc132726441"/>
      <w:bookmarkStart w:id="639" w:name="_Toc132410199"/>
      <w:bookmarkStart w:id="640" w:name="_Toc132551610"/>
      <w:bookmarkStart w:id="641" w:name="_Toc132554644"/>
      <w:bookmarkStart w:id="642" w:name="_Toc132541714"/>
      <w:bookmarkStart w:id="643" w:name="_Toc132557249"/>
      <w:bookmarkStart w:id="644" w:name="_Toc132556389"/>
      <w:bookmarkStart w:id="645" w:name="_Toc132625360"/>
      <w:bookmarkStart w:id="646" w:name="_Toc132544710"/>
      <w:bookmarkStart w:id="647" w:name="_Toc132546738"/>
      <w:bookmarkStart w:id="648" w:name="_Toc132733812"/>
      <w:bookmarkStart w:id="649" w:name="_Toc193353960"/>
      <w:bookmarkEnd w:id="3"/>
      <w:bookmarkEnd w:id="4"/>
      <w:bookmarkEnd w:id="5"/>
      <w:bookmarkEnd w:id="6"/>
      <w:bookmarkEnd w:id="7"/>
      <w:bookmarkEnd w:id="8"/>
      <w:bookmarkEnd w:id="9"/>
      <w:bookmarkEnd w:id="10"/>
      <w:bookmarkEnd w:id="11"/>
      <w:bookmarkEnd w:id="12"/>
      <w:bookmarkEnd w:id="13"/>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r w:rsidRPr="002A6F4E">
        <w:rPr>
          <w:sz w:val="20"/>
          <w:szCs w:val="20"/>
        </w:rPr>
        <w:lastRenderedPageBreak/>
        <w:t>Pravni i institu</w:t>
      </w:r>
      <w:r w:rsidR="00C232D7" w:rsidRPr="002A6F4E">
        <w:rPr>
          <w:sz w:val="20"/>
          <w:szCs w:val="20"/>
        </w:rPr>
        <w:t>cionalni okvir</w:t>
      </w:r>
      <w:bookmarkEnd w:id="649"/>
    </w:p>
    <w:p w14:paraId="49D3661F" w14:textId="77777777" w:rsidR="00C232D7" w:rsidRPr="002A6F4E" w:rsidRDefault="00C232D7" w:rsidP="00F57909">
      <w:pPr>
        <w:pStyle w:val="Heading2"/>
      </w:pPr>
      <w:bookmarkStart w:id="650" w:name="_Toc193353961"/>
      <w:r w:rsidRPr="002A6F4E">
        <w:rPr>
          <w:lang w:val="en-US"/>
        </w:rPr>
        <w:t xml:space="preserve">2.1. </w:t>
      </w:r>
      <w:r w:rsidRPr="002A6F4E">
        <w:t>Pravni i politički kontekst</w:t>
      </w:r>
      <w:bookmarkEnd w:id="650"/>
    </w:p>
    <w:p w14:paraId="4E017F63" w14:textId="7F562852"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Crna Gora, kao zemlja kandidat za članstvo u EU, ima obavezu da uspostavi funkcionalan Integrisani sistem upravljanja otpadom i prema mišljenju Evropske komisije, ovaj cilj se smatra jednim od prioriteta na putu pristupanja. U cilju uspostavljanja ovakvog sistema, Crna Gora je usvojila </w:t>
      </w:r>
      <w:r w:rsidR="000F6F2C">
        <w:rPr>
          <w:rFonts w:ascii="Arial" w:hAnsi="Arial" w:cs="Arial"/>
          <w:lang w:val="sq-AL"/>
        </w:rPr>
        <w:t xml:space="preserve">novi </w:t>
      </w:r>
      <w:r w:rsidRPr="002A6F4E">
        <w:rPr>
          <w:rFonts w:ascii="Arial" w:hAnsi="Arial" w:cs="Arial"/>
          <w:lang w:val="sq-AL"/>
        </w:rPr>
        <w:t>Zakon o upravljanju otpadom i set relevantnih podzakonskih akata. Ovaj set propisa biće blagovremeno usklađen sa svim promjenama na nivou EU.</w:t>
      </w:r>
    </w:p>
    <w:p w14:paraId="2A80E7C9" w14:textId="77777777" w:rsidR="00C232D7" w:rsidRPr="002A6F4E" w:rsidRDefault="00C232D7" w:rsidP="00F57909">
      <w:pPr>
        <w:pStyle w:val="Heading2"/>
      </w:pPr>
      <w:bookmarkStart w:id="651" w:name="_Toc193353962"/>
      <w:r w:rsidRPr="002A6F4E">
        <w:t>2.2. Zakonodavstvo EU o upravljanju otpadom</w:t>
      </w:r>
      <w:bookmarkEnd w:id="651"/>
    </w:p>
    <w:p w14:paraId="2E48D64C" w14:textId="7C6CD01E"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Politika Evropske unije (EU) o životnoj sredini zasniva se na članovima </w:t>
      </w:r>
      <w:r w:rsidRPr="00731C72">
        <w:rPr>
          <w:rFonts w:ascii="Arial" w:hAnsi="Arial" w:cs="Arial"/>
          <w:lang w:val="sq-AL"/>
        </w:rPr>
        <w:t>11</w:t>
      </w:r>
      <w:r w:rsidRPr="002A6F4E">
        <w:rPr>
          <w:rFonts w:ascii="Arial" w:hAnsi="Arial" w:cs="Arial"/>
          <w:lang w:val="sq-AL"/>
        </w:rPr>
        <w:t xml:space="preserve"> i </w:t>
      </w:r>
      <w:r w:rsidRPr="00731C72">
        <w:rPr>
          <w:rFonts w:ascii="Arial" w:hAnsi="Arial" w:cs="Arial"/>
          <w:lang w:val="sq-AL"/>
        </w:rPr>
        <w:t>191-193</w:t>
      </w:r>
      <w:r w:rsidRPr="002A6F4E">
        <w:rPr>
          <w:rFonts w:ascii="Arial" w:hAnsi="Arial" w:cs="Arial"/>
          <w:lang w:val="sq-AL"/>
        </w:rPr>
        <w:t xml:space="preserve"> Ugovora o funkcionisanju EU. Ima za cilj očuvanje, zaštitu i unapređenje kvaliteta životne sredine i zaštitu ljudskog zdravlja. Takođe se fokusira na pažljivo i racionalno korišćenje prirodnih resursa i borbu protiv klimatskih promjena. Zasnovana je na principima predostrožnosti, preventivnog djelovanja, korekcije na izvoru problema i principu da ‘’zagađivač plaća’’.</w:t>
      </w:r>
    </w:p>
    <w:p w14:paraId="3B51F801" w14:textId="251E176B"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Implementacija ekoloških politika, posebno u pogledu otpada, jedan je od ključnih prioriteta Evropske komisije (EK), što je potvrđeno njenim predlogom za 7. Akcioni program za životnu sredinu (EK, 2012) i za Putokaz ka Evropi sa efikasnom upotrebom resursa (EK, 2011).</w:t>
      </w:r>
    </w:p>
    <w:p w14:paraId="52A40266" w14:textId="23CA5F30"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Zakonodavni okvir za upravljanje otpadom</w:t>
      </w:r>
      <w:r w:rsidR="00E63905">
        <w:rPr>
          <w:rFonts w:ascii="Arial" w:hAnsi="Arial" w:cs="Arial"/>
          <w:lang w:val="sq-AL"/>
        </w:rPr>
        <w:t xml:space="preserve"> </w:t>
      </w:r>
      <w:r w:rsidRPr="002A6F4E">
        <w:rPr>
          <w:rFonts w:ascii="Arial" w:hAnsi="Arial" w:cs="Arial"/>
          <w:lang w:val="sq-AL"/>
        </w:rPr>
        <w:t>je prvi put uveden 1975.</w:t>
      </w:r>
      <w:r w:rsidR="0056316B">
        <w:rPr>
          <w:rFonts w:ascii="Arial" w:hAnsi="Arial" w:cs="Arial"/>
          <w:lang w:val="sq-AL"/>
        </w:rPr>
        <w:t xml:space="preserve"> </w:t>
      </w:r>
      <w:r w:rsidR="00456190">
        <w:rPr>
          <w:rFonts w:ascii="Arial" w:hAnsi="Arial" w:cs="Arial"/>
          <w:lang w:val="sq-AL"/>
        </w:rPr>
        <w:t xml:space="preserve">godine i </w:t>
      </w:r>
      <w:r w:rsidRPr="002A6F4E">
        <w:rPr>
          <w:rFonts w:ascii="Arial" w:hAnsi="Arial" w:cs="Arial"/>
          <w:lang w:val="sq-AL"/>
        </w:rPr>
        <w:t xml:space="preserve"> bio je predmet nekoliko izmjena i dopuna 1991, 2006. i 2008.</w:t>
      </w:r>
      <w:r w:rsidR="00456190">
        <w:rPr>
          <w:rFonts w:ascii="Arial" w:hAnsi="Arial" w:cs="Arial"/>
          <w:lang w:val="sq-AL"/>
        </w:rPr>
        <w:t xml:space="preserve"> godine,</w:t>
      </w:r>
      <w:r w:rsidRPr="002A6F4E">
        <w:rPr>
          <w:rFonts w:ascii="Arial" w:hAnsi="Arial" w:cs="Arial"/>
          <w:lang w:val="sq-AL"/>
        </w:rPr>
        <w:t xml:space="preserve"> uvođenjem ,,Nove okvirne direktive o otpadu’’. Okvirna direktiva EU o otpadu (EU, 2008) i Direktiva o deponijama (EU, 1999) su postavile obavezujuće ciljeve za recikl</w:t>
      </w:r>
      <w:r w:rsidR="000F6F2C">
        <w:rPr>
          <w:rFonts w:ascii="Arial" w:hAnsi="Arial" w:cs="Arial"/>
          <w:lang w:val="sq-AL"/>
        </w:rPr>
        <w:t>iranje</w:t>
      </w:r>
      <w:r w:rsidRPr="002A6F4E">
        <w:rPr>
          <w:rFonts w:ascii="Arial" w:hAnsi="Arial" w:cs="Arial"/>
          <w:lang w:val="sq-AL"/>
        </w:rPr>
        <w:t xml:space="preserve"> komunalnog otpada i preusmjeravanje biorazgradivog komunalnog otpada sa deponija.</w:t>
      </w:r>
    </w:p>
    <w:p w14:paraId="174B9386" w14:textId="75790B80"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Period između 2015-2020</w:t>
      </w:r>
      <w:r w:rsidR="0056316B">
        <w:rPr>
          <w:rFonts w:ascii="Arial" w:hAnsi="Arial" w:cs="Arial"/>
          <w:lang w:val="sq-AL"/>
        </w:rPr>
        <w:t>. godine</w:t>
      </w:r>
      <w:r w:rsidRPr="002A6F4E">
        <w:rPr>
          <w:rFonts w:ascii="Arial" w:hAnsi="Arial" w:cs="Arial"/>
          <w:lang w:val="sq-AL"/>
        </w:rPr>
        <w:t xml:space="preserve"> je bio prekretnica za Evropsku uniju u oblasti upravljanja otpadom, jer je donijeta odluka da se sa postojećeg linearnog modela pređe na cirkularnu ekonomiju, u kojoj su proizvodi dizajnirani na način da se krajnji otpad svede na minimum, kako bi se lako i efikasno ponovo koristili ili reciklirali, čime bi se sačuvali resursi kroz potpunu eksploataciju njihovog viška vrijednosti.</w:t>
      </w:r>
      <w:r w:rsidR="0056316B">
        <w:rPr>
          <w:rFonts w:ascii="Arial" w:hAnsi="Arial" w:cs="Arial"/>
          <w:lang w:val="sq-AL"/>
        </w:rPr>
        <w:t xml:space="preserve"> Cilj je </w:t>
      </w:r>
      <w:r w:rsidRPr="002A6F4E">
        <w:rPr>
          <w:rFonts w:ascii="Arial" w:hAnsi="Arial" w:cs="Arial"/>
          <w:lang w:val="sq-AL"/>
        </w:rPr>
        <w:t>da se upravljanje otpadom pretvori u održivo upravljanje materijalima kako bi se obezb</w:t>
      </w:r>
      <w:r w:rsidR="00E63905">
        <w:rPr>
          <w:rFonts w:ascii="Arial" w:hAnsi="Arial" w:cs="Arial"/>
          <w:lang w:val="sq-AL"/>
        </w:rPr>
        <w:t>ij</w:t>
      </w:r>
      <w:r w:rsidRPr="002A6F4E">
        <w:rPr>
          <w:rFonts w:ascii="Arial" w:hAnsi="Arial" w:cs="Arial"/>
          <w:lang w:val="sq-AL"/>
        </w:rPr>
        <w:t>edila zaštita i unapređenje životne sredine i javnog zdravlja, razumno korišćenje resursa, prelazak na samoodrživ model razvoja i stvaranje novih održivih ekonomskih prilika i poslova. Istovremeno, prelazak na cirkularnu ekonomiju će se sastojati od jednog od glavnih stubova za postizanje klimatske neutralnosti do 2050. godine, uglavnom kroz razdvajanje ekonomskog rasta od korišćenja resursa.</w:t>
      </w:r>
    </w:p>
    <w:p w14:paraId="496729C3" w14:textId="5B1691BD"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U 2018</w:t>
      </w:r>
      <w:r w:rsidR="00684163">
        <w:rPr>
          <w:rFonts w:ascii="Arial" w:hAnsi="Arial" w:cs="Arial"/>
          <w:lang w:val="sq-AL"/>
        </w:rPr>
        <w:t>.</w:t>
      </w:r>
      <w:r w:rsidRPr="002A6F4E">
        <w:rPr>
          <w:rFonts w:ascii="Arial" w:hAnsi="Arial" w:cs="Arial"/>
          <w:lang w:val="sq-AL"/>
        </w:rPr>
        <w:t xml:space="preserve"> godini, prateći razvoj hijerarhije otpada i koncepta nultog otpada, kao i glavnih komponenti politike cirkularne ekonomije, ključne direktive EU o otpadu (Okvirna direktiva o otpadu, Direktiva o ambalaži i ambalažnom otpadu, Direktiva o deponijama, Direktiva o </w:t>
      </w:r>
      <w:r w:rsidR="000F6F2C">
        <w:rPr>
          <w:rFonts w:ascii="Arial" w:hAnsi="Arial" w:cs="Arial"/>
          <w:lang w:val="sq-AL"/>
        </w:rPr>
        <w:t xml:space="preserve">otpadnim </w:t>
      </w:r>
      <w:r w:rsidRPr="002A6F4E">
        <w:rPr>
          <w:rFonts w:ascii="Arial" w:hAnsi="Arial" w:cs="Arial"/>
          <w:lang w:val="sq-AL"/>
        </w:rPr>
        <w:t>baterijama i akumulatorima, Direktiva o otpadnoj električnoj i elektronskoj opremi i Direktiva o otpadnim vozilima) su revidirane putem Direktiva EU pod brojevima 849, 850, 851 i 852</w:t>
      </w:r>
      <w:r w:rsidR="00E63905">
        <w:rPr>
          <w:rFonts w:ascii="Arial" w:hAnsi="Arial" w:cs="Arial"/>
          <w:lang w:val="sq-AL"/>
        </w:rPr>
        <w:t>.</w:t>
      </w:r>
    </w:p>
    <w:p w14:paraId="15B9EC84" w14:textId="41D57928"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Dopunjene i izm</w:t>
      </w:r>
      <w:r w:rsidR="002333E7">
        <w:rPr>
          <w:rFonts w:ascii="Arial" w:hAnsi="Arial" w:cs="Arial"/>
          <w:lang w:val="sq-AL"/>
        </w:rPr>
        <w:t>i</w:t>
      </w:r>
      <w:r w:rsidRPr="002A6F4E">
        <w:rPr>
          <w:rFonts w:ascii="Arial" w:hAnsi="Arial" w:cs="Arial"/>
          <w:lang w:val="sq-AL"/>
        </w:rPr>
        <w:t>jenjene  direktive povećavaju nivo ambicija za recikl</w:t>
      </w:r>
      <w:r w:rsidR="000F6F2C">
        <w:rPr>
          <w:rFonts w:ascii="Arial" w:hAnsi="Arial" w:cs="Arial"/>
          <w:lang w:val="sq-AL"/>
        </w:rPr>
        <w:t>iranje</w:t>
      </w:r>
      <w:r w:rsidRPr="002A6F4E">
        <w:rPr>
          <w:rFonts w:ascii="Arial" w:hAnsi="Arial" w:cs="Arial"/>
          <w:lang w:val="sq-AL"/>
        </w:rPr>
        <w:t xml:space="preserve"> komunalnog i ambalažnog otpada, dok deponije komunalnog otpada treba dodatno smanjiti. </w:t>
      </w:r>
      <w:r w:rsidRPr="00735E44">
        <w:rPr>
          <w:rFonts w:ascii="Arial" w:hAnsi="Arial" w:cs="Arial"/>
          <w:lang w:val="sq-AL"/>
        </w:rPr>
        <w:t xml:space="preserve">Prehrambeni otpad treba biti prepolovljen </w:t>
      </w:r>
      <w:r w:rsidRPr="00735E44">
        <w:rPr>
          <w:rFonts w:ascii="Arial" w:hAnsi="Arial" w:cs="Arial"/>
          <w:lang w:val="sq-AL"/>
        </w:rPr>
        <w:lastRenderedPageBreak/>
        <w:t>do 2030.</w:t>
      </w:r>
      <w:r w:rsidR="00FF67C3" w:rsidRPr="00735E44">
        <w:rPr>
          <w:rFonts w:ascii="Arial" w:hAnsi="Arial" w:cs="Arial"/>
          <w:lang w:val="sq-AL"/>
        </w:rPr>
        <w:t xml:space="preserve"> </w:t>
      </w:r>
      <w:r w:rsidR="00735E44">
        <w:rPr>
          <w:rFonts w:ascii="Arial" w:hAnsi="Arial" w:cs="Arial"/>
          <w:lang w:val="sq-AL"/>
        </w:rPr>
        <w:t>g</w:t>
      </w:r>
      <w:r w:rsidRPr="00735E44">
        <w:rPr>
          <w:rFonts w:ascii="Arial" w:hAnsi="Arial" w:cs="Arial"/>
          <w:lang w:val="sq-AL"/>
        </w:rPr>
        <w:t>odine</w:t>
      </w:r>
      <w:r w:rsidRPr="002A6F4E">
        <w:rPr>
          <w:rFonts w:ascii="Arial" w:hAnsi="Arial" w:cs="Arial"/>
          <w:lang w:val="sq-AL"/>
        </w:rPr>
        <w:t xml:space="preserve">, dok će opasni otpad, biološki otpad i tekstil iz domaćinstava morati da se </w:t>
      </w:r>
      <w:r w:rsidR="008734B1">
        <w:rPr>
          <w:rFonts w:ascii="Arial" w:hAnsi="Arial" w:cs="Arial"/>
          <w:lang w:val="sq-AL"/>
        </w:rPr>
        <w:t>sa</w:t>
      </w:r>
      <w:r w:rsidR="008734B1" w:rsidRPr="002A6F4E">
        <w:rPr>
          <w:rFonts w:ascii="Arial" w:hAnsi="Arial" w:cs="Arial"/>
          <w:lang w:val="sq-AL"/>
        </w:rPr>
        <w:t>kuplja</w:t>
      </w:r>
      <w:r w:rsidR="008734B1">
        <w:rPr>
          <w:rFonts w:ascii="Arial" w:hAnsi="Arial" w:cs="Arial"/>
          <w:lang w:val="sq-AL"/>
        </w:rPr>
        <w:t>ju</w:t>
      </w:r>
      <w:r w:rsidR="008734B1" w:rsidRPr="002A6F4E">
        <w:rPr>
          <w:rFonts w:ascii="Arial" w:hAnsi="Arial" w:cs="Arial"/>
          <w:lang w:val="sq-AL"/>
        </w:rPr>
        <w:t xml:space="preserve"> </w:t>
      </w:r>
      <w:r w:rsidRPr="002A6F4E">
        <w:rPr>
          <w:rFonts w:ascii="Arial" w:hAnsi="Arial" w:cs="Arial"/>
          <w:lang w:val="sq-AL"/>
        </w:rPr>
        <w:t>odvojeno. Štaviše, nova pravila predviđaju veću upotrebu efikasnih ekonomskih instrumenata, kao što su šeme proširene odgovornosti proizvođača (EPR)</w:t>
      </w:r>
      <w:r w:rsidR="005253B6">
        <w:rPr>
          <w:rStyle w:val="FootnoteReference"/>
          <w:rFonts w:cs="Arial"/>
        </w:rPr>
        <w:footnoteReference w:id="1"/>
      </w:r>
      <w:r w:rsidR="008734B1">
        <w:rPr>
          <w:rFonts w:ascii="Arial" w:hAnsi="Arial" w:cs="Arial"/>
          <w:lang w:val="sq-AL"/>
        </w:rPr>
        <w:t>.</w:t>
      </w:r>
      <w:r w:rsidRPr="002A6F4E">
        <w:rPr>
          <w:rFonts w:ascii="Arial" w:hAnsi="Arial" w:cs="Arial"/>
          <w:lang w:val="sq-AL"/>
        </w:rPr>
        <w:t xml:space="preserve"> </w:t>
      </w:r>
    </w:p>
    <w:p w14:paraId="3289D8C9" w14:textId="3595C8BA"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Postoji veliki broj EU regulativa u oblasti otpada</w:t>
      </w:r>
      <w:r w:rsidR="008734B1">
        <w:rPr>
          <w:rFonts w:ascii="Arial" w:hAnsi="Arial" w:cs="Arial"/>
          <w:lang w:val="sq-AL"/>
        </w:rPr>
        <w:t xml:space="preserve"> i</w:t>
      </w:r>
      <w:r w:rsidR="00D94655">
        <w:rPr>
          <w:rFonts w:ascii="Arial" w:hAnsi="Arial" w:cs="Arial"/>
          <w:lang w:val="sq-AL"/>
        </w:rPr>
        <w:t xml:space="preserve"> z</w:t>
      </w:r>
      <w:r w:rsidRPr="002A6F4E">
        <w:rPr>
          <w:rFonts w:ascii="Arial" w:hAnsi="Arial" w:cs="Arial"/>
          <w:lang w:val="sq-AL"/>
        </w:rPr>
        <w:t>akonodavni okvir EU u oblasti životne sredine ima za cilj da uspostavi ravnotežu između potrebe za visokim stepenom zaštite životne sredine i potrebe za odgovarajućim propisima kako bi se obezb</w:t>
      </w:r>
      <w:r w:rsidR="00E63905">
        <w:rPr>
          <w:rFonts w:ascii="Arial" w:hAnsi="Arial" w:cs="Arial"/>
          <w:lang w:val="sq-AL"/>
        </w:rPr>
        <w:t>i</w:t>
      </w:r>
      <w:r w:rsidRPr="002A6F4E">
        <w:rPr>
          <w:rFonts w:ascii="Arial" w:hAnsi="Arial" w:cs="Arial"/>
          <w:lang w:val="sq-AL"/>
        </w:rPr>
        <w:t xml:space="preserve">jedilo </w:t>
      </w:r>
      <w:r w:rsidR="00E63905">
        <w:rPr>
          <w:rFonts w:ascii="Arial" w:hAnsi="Arial" w:cs="Arial"/>
          <w:lang w:val="sq-AL"/>
        </w:rPr>
        <w:t xml:space="preserve">nesmetano </w:t>
      </w:r>
      <w:r w:rsidRPr="002A6F4E">
        <w:rPr>
          <w:rFonts w:ascii="Arial" w:hAnsi="Arial" w:cs="Arial"/>
          <w:lang w:val="sq-AL"/>
        </w:rPr>
        <w:t>funkcionisanje unutrašnjeg tržišta. Postavljeno je pet osnovnih principa: hijerahija upravljanja otpadom, samoodrživost postrojenja za odlaganje otpada, najbolje dostupne tehnike, blizina mjesta za odlaganje i odgovornost proizvođača (tj, obaveza proizvođača).</w:t>
      </w:r>
    </w:p>
    <w:p w14:paraId="6D4E53C9" w14:textId="77A51E4A" w:rsidR="00C232D7" w:rsidRDefault="00C232D7" w:rsidP="00C232D7">
      <w:pPr>
        <w:widowControl w:val="0"/>
        <w:spacing w:before="120" w:after="120" w:line="360" w:lineRule="auto"/>
        <w:rPr>
          <w:rFonts w:ascii="Arial" w:hAnsi="Arial" w:cs="Arial"/>
          <w:lang w:val="sq-AL"/>
        </w:rPr>
      </w:pPr>
      <w:r w:rsidRPr="002A6F4E">
        <w:rPr>
          <w:rFonts w:ascii="Arial" w:hAnsi="Arial" w:cs="Arial"/>
          <w:lang w:val="sq-AL"/>
        </w:rPr>
        <w:t>Okvirna direktiva o otpadu obezbjeđuje pravni okvir za tretman otpada u sklopu EU. O</w:t>
      </w:r>
      <w:r w:rsidR="008734B1">
        <w:rPr>
          <w:rFonts w:ascii="Arial" w:hAnsi="Arial" w:cs="Arial"/>
          <w:lang w:val="sq-AL"/>
        </w:rPr>
        <w:t>v</w:t>
      </w:r>
      <w:r w:rsidRPr="002A6F4E">
        <w:rPr>
          <w:rFonts w:ascii="Arial" w:hAnsi="Arial" w:cs="Arial"/>
          <w:lang w:val="sq-AL"/>
        </w:rPr>
        <w:t>a</w:t>
      </w:r>
      <w:r w:rsidR="008734B1">
        <w:rPr>
          <w:rFonts w:ascii="Arial" w:hAnsi="Arial" w:cs="Arial"/>
          <w:lang w:val="sq-AL"/>
        </w:rPr>
        <w:t xml:space="preserve"> direktiva</w:t>
      </w:r>
      <w:r w:rsidRPr="002A6F4E">
        <w:rPr>
          <w:rFonts w:ascii="Arial" w:hAnsi="Arial" w:cs="Arial"/>
          <w:lang w:val="sq-AL"/>
        </w:rPr>
        <w:t xml:space="preserve"> postavlja osnovne koncepte i definicije povezane sa upravljanjem otpadom i postavlja principe upravljanja otpadom za sva ostala zakonodavstva EU koja se odnose na otpad, kao što je princip </w:t>
      </w:r>
      <w:r w:rsidR="00A53BF6">
        <w:rPr>
          <w:rFonts w:ascii="Arial" w:hAnsi="Arial" w:cs="Arial"/>
          <w:lang w:val="sq-AL"/>
        </w:rPr>
        <w:t>“</w:t>
      </w:r>
      <w:r w:rsidRPr="002A6F4E">
        <w:rPr>
          <w:rFonts w:ascii="Arial" w:hAnsi="Arial" w:cs="Arial"/>
          <w:lang w:val="sq-AL"/>
        </w:rPr>
        <w:t>zagađivač plaća’’ i proširena odgovornost proizvođača. Ono što je najvažnije, uspostavlja sljedeću hijerarhiju upravljanja otpadom</w:t>
      </w:r>
      <w:r w:rsidR="004F7D89">
        <w:rPr>
          <w:rFonts w:ascii="Arial" w:hAnsi="Arial" w:cs="Arial"/>
          <w:lang w:val="sq-AL"/>
        </w:rPr>
        <w:t>:</w:t>
      </w:r>
    </w:p>
    <w:p w14:paraId="0B290B24" w14:textId="77777777" w:rsidR="00120369" w:rsidRPr="00120369" w:rsidRDefault="00120369" w:rsidP="00A23ED0">
      <w:pPr>
        <w:pStyle w:val="ListParagraph"/>
        <w:widowControl w:val="0"/>
        <w:numPr>
          <w:ilvl w:val="0"/>
          <w:numId w:val="146"/>
        </w:numPr>
        <w:spacing w:before="120" w:after="120" w:line="360" w:lineRule="auto"/>
        <w:rPr>
          <w:rFonts w:ascii="Arial" w:hAnsi="Arial" w:cs="Arial"/>
          <w:lang w:val="sq-AL"/>
        </w:rPr>
      </w:pPr>
      <w:r w:rsidRPr="00120369">
        <w:rPr>
          <w:rFonts w:ascii="Arial" w:hAnsi="Arial" w:cs="Arial"/>
          <w:lang w:val="sq-AL"/>
        </w:rPr>
        <w:t>Prevencija,</w:t>
      </w:r>
    </w:p>
    <w:p w14:paraId="409D10BC" w14:textId="77777777" w:rsidR="00120369" w:rsidRPr="00120369" w:rsidRDefault="00120369" w:rsidP="00A23ED0">
      <w:pPr>
        <w:pStyle w:val="ListParagraph"/>
        <w:widowControl w:val="0"/>
        <w:numPr>
          <w:ilvl w:val="0"/>
          <w:numId w:val="146"/>
        </w:numPr>
        <w:spacing w:before="120" w:after="120" w:line="360" w:lineRule="auto"/>
        <w:rPr>
          <w:rFonts w:ascii="Arial" w:hAnsi="Arial" w:cs="Arial"/>
          <w:lang w:val="sq-AL"/>
        </w:rPr>
      </w:pPr>
      <w:r w:rsidRPr="00120369">
        <w:rPr>
          <w:rFonts w:ascii="Arial" w:hAnsi="Arial" w:cs="Arial"/>
          <w:lang w:val="sq-AL"/>
        </w:rPr>
        <w:t>Priprema za ponovnu upotrebu,</w:t>
      </w:r>
    </w:p>
    <w:p w14:paraId="6497E006" w14:textId="77777777" w:rsidR="00120369" w:rsidRPr="00120369" w:rsidRDefault="00120369" w:rsidP="00A23ED0">
      <w:pPr>
        <w:pStyle w:val="ListParagraph"/>
        <w:widowControl w:val="0"/>
        <w:numPr>
          <w:ilvl w:val="0"/>
          <w:numId w:val="146"/>
        </w:numPr>
        <w:spacing w:before="120" w:after="120" w:line="360" w:lineRule="auto"/>
        <w:rPr>
          <w:rFonts w:ascii="Arial" w:hAnsi="Arial" w:cs="Arial"/>
          <w:lang w:val="sq-AL"/>
        </w:rPr>
      </w:pPr>
      <w:r w:rsidRPr="00120369">
        <w:rPr>
          <w:rFonts w:ascii="Arial" w:hAnsi="Arial" w:cs="Arial"/>
          <w:lang w:val="sq-AL"/>
        </w:rPr>
        <w:t>Recikliranje,</w:t>
      </w:r>
    </w:p>
    <w:p w14:paraId="317A3D51" w14:textId="187941B4" w:rsidR="00120369" w:rsidRPr="00120369" w:rsidRDefault="00120369" w:rsidP="00A23ED0">
      <w:pPr>
        <w:pStyle w:val="ListParagraph"/>
        <w:widowControl w:val="0"/>
        <w:numPr>
          <w:ilvl w:val="0"/>
          <w:numId w:val="146"/>
        </w:numPr>
        <w:spacing w:before="120" w:after="120" w:line="360" w:lineRule="auto"/>
        <w:rPr>
          <w:rFonts w:ascii="Arial" w:hAnsi="Arial" w:cs="Arial"/>
          <w:lang w:val="sq-AL"/>
        </w:rPr>
      </w:pPr>
      <w:r w:rsidRPr="00120369">
        <w:rPr>
          <w:rFonts w:ascii="Arial" w:hAnsi="Arial" w:cs="Arial"/>
          <w:lang w:val="sq-AL"/>
        </w:rPr>
        <w:t>Druge obnovljive operacije (npr</w:t>
      </w:r>
      <w:r w:rsidR="008734B1">
        <w:rPr>
          <w:rFonts w:ascii="Arial" w:hAnsi="Arial" w:cs="Arial"/>
          <w:lang w:val="sq-AL"/>
        </w:rPr>
        <w:t>.</w:t>
      </w:r>
      <w:r w:rsidRPr="00120369">
        <w:rPr>
          <w:rFonts w:ascii="Arial" w:hAnsi="Arial" w:cs="Arial"/>
          <w:lang w:val="sq-AL"/>
        </w:rPr>
        <w:t xml:space="preserve"> obnavljanje energije)</w:t>
      </w:r>
      <w:r w:rsidR="00F57973">
        <w:rPr>
          <w:rFonts w:ascii="Arial" w:hAnsi="Arial" w:cs="Arial"/>
          <w:lang w:val="sq-AL"/>
        </w:rPr>
        <w:t>,</w:t>
      </w:r>
    </w:p>
    <w:p w14:paraId="5D8D8A7D" w14:textId="57A3EEA2" w:rsidR="00120369" w:rsidRPr="00120369" w:rsidRDefault="00120369" w:rsidP="00A23ED0">
      <w:pPr>
        <w:pStyle w:val="ListParagraph"/>
        <w:widowControl w:val="0"/>
        <w:numPr>
          <w:ilvl w:val="0"/>
          <w:numId w:val="146"/>
        </w:numPr>
        <w:spacing w:before="120" w:after="120" w:line="360" w:lineRule="auto"/>
        <w:rPr>
          <w:rFonts w:ascii="Arial" w:hAnsi="Arial" w:cs="Arial"/>
          <w:lang w:val="sq-AL"/>
        </w:rPr>
      </w:pPr>
      <w:r w:rsidRPr="00120369">
        <w:rPr>
          <w:rFonts w:ascii="Arial" w:hAnsi="Arial" w:cs="Arial"/>
          <w:lang w:val="sq-AL"/>
        </w:rPr>
        <w:t>Odlaganje otpada</w:t>
      </w:r>
      <w:r w:rsidR="00F57973">
        <w:rPr>
          <w:rFonts w:ascii="Arial" w:hAnsi="Arial" w:cs="Arial"/>
          <w:lang w:val="sq-AL"/>
        </w:rPr>
        <w:t>.</w:t>
      </w:r>
    </w:p>
    <w:p w14:paraId="09A3CE4F" w14:textId="77777777" w:rsidR="00C232D7" w:rsidRPr="002A6F4E" w:rsidRDefault="00C232D7" w:rsidP="00F57909">
      <w:pPr>
        <w:pStyle w:val="Heading2"/>
      </w:pPr>
      <w:bookmarkStart w:id="652" w:name="_Toc130832621"/>
      <w:bookmarkStart w:id="653" w:name="_Toc193353963"/>
      <w:r w:rsidRPr="00D94655">
        <w:t xml:space="preserve">2.3.  </w:t>
      </w:r>
      <w:r w:rsidRPr="002A6F4E">
        <w:t>Obaveze i ciljevi zakonodavstva EU u oblasti upravljanja otpadom</w:t>
      </w:r>
      <w:bookmarkEnd w:id="652"/>
      <w:bookmarkEnd w:id="653"/>
    </w:p>
    <w:p w14:paraId="6C2E7574" w14:textId="545CA761"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Rezime obaveza i ciljeva nedavno uvedenih u zakonodavstvo EU, u vezi sa upravljanjem otpada, predstavljen je u </w:t>
      </w:r>
      <w:r w:rsidR="00F57973">
        <w:rPr>
          <w:rFonts w:ascii="Arial" w:hAnsi="Arial" w:cs="Arial"/>
          <w:lang w:val="sq-AL"/>
        </w:rPr>
        <w:t xml:space="preserve">sljedećoj </w:t>
      </w:r>
      <w:r w:rsidRPr="002A6F4E">
        <w:rPr>
          <w:rFonts w:ascii="Arial" w:hAnsi="Arial" w:cs="Arial"/>
          <w:lang w:val="sq-AL"/>
        </w:rPr>
        <w:t>tabeli.</w:t>
      </w:r>
    </w:p>
    <w:p w14:paraId="6574F724" w14:textId="77777777" w:rsidR="00731AEE" w:rsidRPr="00731AEE" w:rsidRDefault="00731AEE" w:rsidP="00731AEE">
      <w:pPr>
        <w:rPr>
          <w:lang w:val="sq-AL"/>
        </w:rPr>
      </w:pPr>
    </w:p>
    <w:p w14:paraId="7BEFC24D" w14:textId="6FE2ABFB" w:rsidR="00C232D7" w:rsidRPr="00F57973" w:rsidRDefault="00C232D7" w:rsidP="00C232D7">
      <w:pPr>
        <w:pStyle w:val="Caption"/>
        <w:rPr>
          <w:rFonts w:ascii="Arial" w:hAnsi="Arial" w:cs="Arial"/>
          <w:szCs w:val="20"/>
          <w:lang w:val="sq-AL"/>
        </w:rPr>
      </w:pPr>
      <w:bookmarkStart w:id="654" w:name="_Toc190160691"/>
      <w:r w:rsidRPr="00F57973">
        <w:rPr>
          <w:rFonts w:ascii="Arial" w:hAnsi="Arial" w:cs="Arial"/>
          <w:b w:val="0"/>
          <w:szCs w:val="20"/>
          <w:lang w:val="sq-AL"/>
        </w:rPr>
        <w:t xml:space="preserve">Tabela </w:t>
      </w:r>
      <w:r w:rsidRPr="00F57973">
        <w:rPr>
          <w:rFonts w:ascii="Arial" w:hAnsi="Arial" w:cs="Arial"/>
          <w:b w:val="0"/>
          <w:szCs w:val="20"/>
        </w:rPr>
        <w:fldChar w:fldCharType="begin"/>
      </w:r>
      <w:r w:rsidRPr="00F57973">
        <w:rPr>
          <w:rFonts w:ascii="Arial" w:hAnsi="Arial" w:cs="Arial"/>
          <w:b w:val="0"/>
          <w:szCs w:val="20"/>
          <w:lang w:val="sq-AL"/>
        </w:rPr>
        <w:instrText xml:space="preserve"> SEQ Tabela \* ARABIC </w:instrText>
      </w:r>
      <w:r w:rsidRPr="00F57973">
        <w:rPr>
          <w:rFonts w:ascii="Arial" w:hAnsi="Arial" w:cs="Arial"/>
          <w:b w:val="0"/>
          <w:szCs w:val="20"/>
        </w:rPr>
        <w:fldChar w:fldCharType="separate"/>
      </w:r>
      <w:r w:rsidR="007274DA">
        <w:rPr>
          <w:rFonts w:ascii="Arial" w:hAnsi="Arial" w:cs="Arial"/>
          <w:b w:val="0"/>
          <w:noProof/>
          <w:szCs w:val="20"/>
          <w:lang w:val="sq-AL"/>
        </w:rPr>
        <w:t>1</w:t>
      </w:r>
      <w:r w:rsidRPr="00F57973">
        <w:rPr>
          <w:rFonts w:ascii="Arial" w:hAnsi="Arial" w:cs="Arial"/>
          <w:b w:val="0"/>
          <w:szCs w:val="20"/>
        </w:rPr>
        <w:fldChar w:fldCharType="end"/>
      </w:r>
      <w:r w:rsidRPr="00F57973">
        <w:rPr>
          <w:rFonts w:ascii="Arial" w:hAnsi="Arial" w:cs="Arial"/>
          <w:b w:val="0"/>
          <w:szCs w:val="20"/>
          <w:lang w:val="sq-AL"/>
        </w:rPr>
        <w:t xml:space="preserve"> </w:t>
      </w:r>
      <w:r w:rsidR="00D94655">
        <w:rPr>
          <w:rFonts w:ascii="Arial" w:hAnsi="Arial" w:cs="Arial"/>
          <w:b w:val="0"/>
          <w:szCs w:val="20"/>
          <w:lang w:val="sq-AL"/>
        </w:rPr>
        <w:t>O</w:t>
      </w:r>
      <w:r w:rsidRPr="00F57973">
        <w:rPr>
          <w:rFonts w:ascii="Arial" w:hAnsi="Arial" w:cs="Arial"/>
          <w:b w:val="0"/>
          <w:szCs w:val="20"/>
          <w:lang w:val="sq-AL"/>
        </w:rPr>
        <w:t>baveze i ciljevi u zakonodavstvu EU o upravljanju otpadom (i odstupanja za njihovo ispunjavanje, gdje je primjenjivo</w:t>
      </w:r>
      <w:bookmarkEnd w:id="654"/>
      <w:r w:rsidR="00E63905" w:rsidRPr="00F57973">
        <w:rPr>
          <w:rFonts w:ascii="Arial" w:hAnsi="Arial" w:cs="Arial"/>
          <w:b w:val="0"/>
          <w:szCs w:val="20"/>
          <w:lang w:val="sq-AL"/>
        </w:rPr>
        <w:t>)</w:t>
      </w:r>
      <w:r w:rsidR="00F9467F">
        <w:rPr>
          <w:rStyle w:val="FootnoteReference"/>
          <w:rFonts w:cs="Arial"/>
          <w:b w:val="0"/>
        </w:rPr>
        <w:footnoteReference w:id="2"/>
      </w:r>
    </w:p>
    <w:tbl>
      <w:tblPr>
        <w:tblW w:w="10435" w:type="dxa"/>
        <w:jc w:val="center"/>
        <w:tblLook w:val="04A0" w:firstRow="1" w:lastRow="0" w:firstColumn="1" w:lastColumn="0" w:noHBand="0" w:noVBand="1"/>
      </w:tblPr>
      <w:tblGrid>
        <w:gridCol w:w="1950"/>
        <w:gridCol w:w="2340"/>
        <w:gridCol w:w="3535"/>
        <w:gridCol w:w="2610"/>
      </w:tblGrid>
      <w:tr w:rsidR="00C232D7" w:rsidRPr="002A6F4E" w14:paraId="31B4F07A" w14:textId="77777777" w:rsidTr="00342252">
        <w:trPr>
          <w:tblHeader/>
          <w:jc w:val="center"/>
        </w:trPr>
        <w:tc>
          <w:tcPr>
            <w:tcW w:w="1950" w:type="dxa"/>
            <w:shd w:val="clear" w:color="auto" w:fill="D9D9D9"/>
          </w:tcPr>
          <w:p w14:paraId="37FDFDCF" w14:textId="77777777" w:rsidR="00C232D7" w:rsidRPr="00F6198B" w:rsidRDefault="00C232D7" w:rsidP="00C232D7">
            <w:pPr>
              <w:spacing w:line="360" w:lineRule="auto"/>
              <w:rPr>
                <w:rFonts w:ascii="Arial" w:eastAsia="Times New Roman" w:hAnsi="Arial" w:cs="Arial"/>
                <w:b/>
                <w:bCs/>
                <w:sz w:val="18"/>
                <w:lang w:val="sq-AL"/>
              </w:rPr>
            </w:pPr>
            <w:r w:rsidRPr="00F6198B">
              <w:rPr>
                <w:rFonts w:ascii="Arial" w:eastAsia="Times New Roman" w:hAnsi="Arial" w:cs="Arial"/>
                <w:b/>
                <w:sz w:val="18"/>
                <w:lang w:val="sq-AL"/>
              </w:rPr>
              <w:t>Preporuka</w:t>
            </w:r>
          </w:p>
        </w:tc>
        <w:tc>
          <w:tcPr>
            <w:tcW w:w="2340" w:type="dxa"/>
            <w:shd w:val="clear" w:color="auto" w:fill="D9D9D9"/>
          </w:tcPr>
          <w:p w14:paraId="25FEAF2A" w14:textId="77777777" w:rsidR="00C232D7" w:rsidRPr="00F6198B" w:rsidRDefault="00C232D7" w:rsidP="00C232D7">
            <w:pPr>
              <w:spacing w:line="360" w:lineRule="auto"/>
              <w:rPr>
                <w:rFonts w:ascii="Arial" w:eastAsia="Times New Roman" w:hAnsi="Arial" w:cs="Arial"/>
                <w:b/>
                <w:bCs/>
                <w:sz w:val="18"/>
                <w:lang w:val="sq-AL"/>
              </w:rPr>
            </w:pPr>
            <w:r w:rsidRPr="00F6198B">
              <w:rPr>
                <w:rFonts w:ascii="Arial" w:eastAsia="Times New Roman" w:hAnsi="Arial" w:cs="Arial"/>
                <w:b/>
                <w:sz w:val="18"/>
                <w:lang w:val="sq-AL"/>
              </w:rPr>
              <w:t>Tema</w:t>
            </w:r>
          </w:p>
        </w:tc>
        <w:tc>
          <w:tcPr>
            <w:tcW w:w="3535" w:type="dxa"/>
            <w:shd w:val="clear" w:color="auto" w:fill="D9D9D9"/>
          </w:tcPr>
          <w:p w14:paraId="3692A43E" w14:textId="77777777" w:rsidR="00C232D7" w:rsidRPr="00F6198B" w:rsidRDefault="00C232D7" w:rsidP="00C232D7">
            <w:pPr>
              <w:spacing w:line="360" w:lineRule="auto"/>
              <w:rPr>
                <w:rFonts w:ascii="Arial" w:eastAsia="Times New Roman" w:hAnsi="Arial" w:cs="Arial"/>
                <w:b/>
                <w:bCs/>
                <w:sz w:val="18"/>
                <w:lang w:val="sq-AL"/>
              </w:rPr>
            </w:pPr>
            <w:r w:rsidRPr="00F6198B">
              <w:rPr>
                <w:rFonts w:ascii="Arial" w:hAnsi="Arial" w:cs="Arial"/>
                <w:b/>
                <w:sz w:val="18"/>
                <w:lang w:val="sq-AL"/>
              </w:rPr>
              <w:t>Cilj</w:t>
            </w:r>
          </w:p>
        </w:tc>
        <w:tc>
          <w:tcPr>
            <w:tcW w:w="2610" w:type="dxa"/>
            <w:shd w:val="clear" w:color="auto" w:fill="D9D9D9"/>
          </w:tcPr>
          <w:p w14:paraId="32B3AB07" w14:textId="77777777" w:rsidR="00C232D7" w:rsidRPr="00F6198B" w:rsidRDefault="00C232D7" w:rsidP="00C232D7">
            <w:pPr>
              <w:spacing w:line="360" w:lineRule="auto"/>
              <w:rPr>
                <w:rFonts w:ascii="Arial" w:eastAsia="Times New Roman" w:hAnsi="Arial" w:cs="Arial"/>
                <w:b/>
                <w:bCs/>
                <w:sz w:val="18"/>
                <w:lang w:val="sq-AL"/>
              </w:rPr>
            </w:pPr>
            <w:r w:rsidRPr="00F6198B">
              <w:rPr>
                <w:rFonts w:ascii="Arial" w:hAnsi="Arial" w:cs="Arial"/>
                <w:b/>
                <w:sz w:val="18"/>
                <w:lang w:val="sq-AL"/>
              </w:rPr>
              <w:t>Rok</w:t>
            </w:r>
          </w:p>
        </w:tc>
      </w:tr>
      <w:tr w:rsidR="00C232D7" w:rsidRPr="002A6F4E" w14:paraId="4F1A1D63" w14:textId="77777777" w:rsidTr="00342252">
        <w:trPr>
          <w:jc w:val="center"/>
        </w:trPr>
        <w:tc>
          <w:tcPr>
            <w:tcW w:w="1950" w:type="dxa"/>
            <w:tcBorders>
              <w:bottom w:val="single" w:sz="4" w:space="0" w:color="auto"/>
              <w:right w:val="single" w:sz="4" w:space="0" w:color="auto"/>
            </w:tcBorders>
            <w:shd w:val="clear" w:color="auto" w:fill="E2EFD9" w:themeFill="accent6" w:themeFillTint="33"/>
          </w:tcPr>
          <w:p w14:paraId="057A565C" w14:textId="77777777" w:rsidR="00C232D7" w:rsidRPr="00F6198B" w:rsidRDefault="00C232D7" w:rsidP="00C232D7">
            <w:pPr>
              <w:spacing w:line="360" w:lineRule="auto"/>
              <w:rPr>
                <w:rFonts w:ascii="Arial" w:eastAsia="Times New Roman" w:hAnsi="Arial" w:cs="Arial"/>
                <w:bCs/>
                <w:sz w:val="18"/>
                <w:lang w:val="sq-AL"/>
              </w:rPr>
            </w:pPr>
            <w:r w:rsidRPr="00F6198B">
              <w:rPr>
                <w:rFonts w:ascii="Arial" w:eastAsia="Times New Roman" w:hAnsi="Arial" w:cs="Arial"/>
                <w:sz w:val="18"/>
                <w:lang w:val="sq-AL"/>
              </w:rPr>
              <w:t>Okvirna direktiva o otpadu (</w:t>
            </w:r>
            <w:r w:rsidRPr="00735E44">
              <w:rPr>
                <w:rFonts w:ascii="Arial" w:eastAsia="Times New Roman" w:hAnsi="Arial" w:cs="Arial"/>
                <w:lang w:val="sq-AL"/>
              </w:rPr>
              <w:t>WFD</w:t>
            </w:r>
            <w:r w:rsidRPr="00F6198B">
              <w:rPr>
                <w:rFonts w:ascii="Arial" w:eastAsia="Times New Roman" w:hAnsi="Arial" w:cs="Arial"/>
                <w:sz w:val="18"/>
                <w:lang w:val="sq-AL"/>
              </w:rPr>
              <w:t>), Član 11</w:t>
            </w:r>
          </w:p>
        </w:tc>
        <w:tc>
          <w:tcPr>
            <w:tcW w:w="2340" w:type="dxa"/>
            <w:tcBorders>
              <w:left w:val="single" w:sz="4" w:space="0" w:color="auto"/>
              <w:bottom w:val="single" w:sz="4" w:space="0" w:color="auto"/>
              <w:right w:val="single" w:sz="4" w:space="0" w:color="auto"/>
            </w:tcBorders>
            <w:shd w:val="clear" w:color="auto" w:fill="E2EFD9" w:themeFill="accent6" w:themeFillTint="33"/>
          </w:tcPr>
          <w:p w14:paraId="414FB953" w14:textId="77777777" w:rsidR="00C232D7" w:rsidRPr="00F6198B" w:rsidRDefault="00C232D7" w:rsidP="00C232D7">
            <w:pPr>
              <w:spacing w:line="360" w:lineRule="auto"/>
              <w:rPr>
                <w:rFonts w:ascii="Arial" w:eastAsia="Times New Roman" w:hAnsi="Arial" w:cs="Arial"/>
                <w:sz w:val="18"/>
                <w:lang w:val="sq-AL"/>
              </w:rPr>
            </w:pPr>
            <w:r w:rsidRPr="00F6198B">
              <w:rPr>
                <w:rFonts w:ascii="Arial" w:eastAsia="Times New Roman" w:hAnsi="Arial" w:cs="Arial"/>
                <w:sz w:val="18"/>
                <w:lang w:val="sq-AL"/>
              </w:rPr>
              <w:t>Priprema za ponovnu upotrebu i reciklažu komunalnog otpada</w:t>
            </w:r>
          </w:p>
          <w:p w14:paraId="2A857DF2" w14:textId="77777777" w:rsidR="00C232D7" w:rsidRPr="00F6198B" w:rsidRDefault="00C232D7" w:rsidP="00C232D7">
            <w:pPr>
              <w:spacing w:line="360" w:lineRule="auto"/>
              <w:rPr>
                <w:rFonts w:ascii="Arial" w:eastAsia="Times New Roman" w:hAnsi="Arial" w:cs="Arial"/>
                <w:sz w:val="18"/>
                <w:lang w:val="sq-AL"/>
              </w:rPr>
            </w:pPr>
          </w:p>
        </w:tc>
        <w:tc>
          <w:tcPr>
            <w:tcW w:w="3535" w:type="dxa"/>
            <w:tcBorders>
              <w:left w:val="single" w:sz="4" w:space="0" w:color="auto"/>
              <w:bottom w:val="single" w:sz="4" w:space="0" w:color="auto"/>
              <w:right w:val="single" w:sz="4" w:space="0" w:color="auto"/>
            </w:tcBorders>
            <w:shd w:val="clear" w:color="auto" w:fill="E2EFD9" w:themeFill="accent6" w:themeFillTint="33"/>
          </w:tcPr>
          <w:p w14:paraId="750EFDD5" w14:textId="26C27C22" w:rsidR="00C232D7" w:rsidRPr="00F6198B" w:rsidRDefault="00C232D7" w:rsidP="00C232D7">
            <w:pPr>
              <w:pStyle w:val="Normal-10pt-Table"/>
              <w:spacing w:before="0" w:after="0" w:line="360" w:lineRule="auto"/>
              <w:jc w:val="both"/>
              <w:rPr>
                <w:rFonts w:ascii="Arial" w:eastAsia="Times New Roman" w:hAnsi="Arial" w:cs="Arial"/>
                <w:sz w:val="18"/>
                <w:szCs w:val="20"/>
                <w:lang w:val="sq-AL"/>
              </w:rPr>
            </w:pPr>
            <w:r w:rsidRPr="00F6198B">
              <w:rPr>
                <w:rFonts w:ascii="Arial" w:eastAsia="Times New Roman" w:hAnsi="Arial" w:cs="Arial"/>
                <w:sz w:val="18"/>
                <w:szCs w:val="20"/>
                <w:lang w:val="sq-AL"/>
              </w:rPr>
              <w:t>minimum 50% težine</w:t>
            </w:r>
          </w:p>
          <w:p w14:paraId="5B2CC3B9" w14:textId="77777777" w:rsidR="00C232D7" w:rsidRPr="00F6198B" w:rsidRDefault="00C232D7" w:rsidP="00C232D7">
            <w:pPr>
              <w:pStyle w:val="Normal-10pt-Table"/>
              <w:spacing w:before="0" w:after="0" w:line="360" w:lineRule="auto"/>
              <w:jc w:val="both"/>
              <w:rPr>
                <w:rFonts w:ascii="Arial" w:eastAsia="Times New Roman" w:hAnsi="Arial" w:cs="Arial"/>
                <w:sz w:val="18"/>
                <w:szCs w:val="20"/>
                <w:lang w:val="sq-AL"/>
              </w:rPr>
            </w:pPr>
            <w:r w:rsidRPr="00F6198B">
              <w:rPr>
                <w:rFonts w:ascii="Arial" w:eastAsia="Times New Roman" w:hAnsi="Arial" w:cs="Arial"/>
                <w:sz w:val="18"/>
                <w:szCs w:val="20"/>
                <w:lang w:val="sq-AL"/>
              </w:rPr>
              <w:t>minimum 55% težine</w:t>
            </w:r>
          </w:p>
          <w:p w14:paraId="5F5D670C" w14:textId="77777777" w:rsidR="00C232D7" w:rsidRPr="00F6198B" w:rsidRDefault="00C232D7" w:rsidP="00C232D7">
            <w:pPr>
              <w:pStyle w:val="Normal-10pt-Table"/>
              <w:spacing w:before="0" w:after="0" w:line="360" w:lineRule="auto"/>
              <w:jc w:val="both"/>
              <w:rPr>
                <w:rFonts w:ascii="Arial" w:eastAsia="Times New Roman" w:hAnsi="Arial" w:cs="Arial"/>
                <w:sz w:val="18"/>
                <w:szCs w:val="20"/>
                <w:lang w:val="sq-AL"/>
              </w:rPr>
            </w:pPr>
            <w:r w:rsidRPr="00F6198B">
              <w:rPr>
                <w:rFonts w:ascii="Arial" w:eastAsia="Times New Roman" w:hAnsi="Arial" w:cs="Arial"/>
                <w:sz w:val="18"/>
                <w:szCs w:val="20"/>
                <w:lang w:val="sq-AL"/>
              </w:rPr>
              <w:t>minimum 60% težine</w:t>
            </w:r>
          </w:p>
          <w:p w14:paraId="1D472535" w14:textId="77777777" w:rsidR="00C232D7" w:rsidRPr="00F6198B" w:rsidRDefault="00C232D7" w:rsidP="00C232D7">
            <w:pPr>
              <w:spacing w:line="360" w:lineRule="auto"/>
              <w:rPr>
                <w:rFonts w:ascii="Arial" w:eastAsia="Times New Roman" w:hAnsi="Arial" w:cs="Arial"/>
                <w:sz w:val="18"/>
                <w:lang w:val="sq-AL"/>
              </w:rPr>
            </w:pPr>
            <w:r w:rsidRPr="00F6198B">
              <w:rPr>
                <w:rFonts w:ascii="Arial" w:eastAsia="Times New Roman" w:hAnsi="Arial" w:cs="Arial"/>
                <w:sz w:val="18"/>
                <w:lang w:val="sq-AL"/>
              </w:rPr>
              <w:t>minimum 65% težine</w:t>
            </w:r>
          </w:p>
        </w:tc>
        <w:tc>
          <w:tcPr>
            <w:tcW w:w="2610" w:type="dxa"/>
            <w:tcBorders>
              <w:left w:val="single" w:sz="4" w:space="0" w:color="auto"/>
              <w:bottom w:val="single" w:sz="4" w:space="0" w:color="auto"/>
            </w:tcBorders>
            <w:shd w:val="clear" w:color="auto" w:fill="E2EFD9" w:themeFill="accent6" w:themeFillTint="33"/>
          </w:tcPr>
          <w:p w14:paraId="4D6B20AB" w14:textId="63F347BE" w:rsidR="00C232D7" w:rsidRPr="00F6198B" w:rsidRDefault="00C232D7" w:rsidP="00C232D7">
            <w:pPr>
              <w:spacing w:line="360" w:lineRule="auto"/>
              <w:rPr>
                <w:rFonts w:ascii="Arial" w:eastAsia="Times New Roman" w:hAnsi="Arial" w:cs="Arial"/>
                <w:bCs/>
                <w:sz w:val="18"/>
                <w:lang w:val="sq-AL"/>
              </w:rPr>
            </w:pPr>
            <w:r w:rsidRPr="00F6198B">
              <w:rPr>
                <w:rFonts w:ascii="Arial" w:eastAsia="Times New Roman" w:hAnsi="Arial" w:cs="Arial"/>
                <w:bCs/>
                <w:sz w:val="18"/>
                <w:lang w:val="sq-AL"/>
              </w:rPr>
              <w:t>2020</w:t>
            </w:r>
            <w:r w:rsidR="00462407" w:rsidRPr="00F6198B">
              <w:rPr>
                <w:rFonts w:ascii="Arial" w:eastAsia="Times New Roman" w:hAnsi="Arial" w:cs="Arial"/>
                <w:bCs/>
                <w:sz w:val="18"/>
                <w:lang w:val="sq-AL"/>
              </w:rPr>
              <w:t>.</w:t>
            </w:r>
            <w:r w:rsidRPr="00F6198B">
              <w:rPr>
                <w:rFonts w:ascii="Arial" w:eastAsia="Times New Roman" w:hAnsi="Arial" w:cs="Arial"/>
                <w:bCs/>
                <w:sz w:val="18"/>
                <w:lang w:val="sq-AL"/>
              </w:rPr>
              <w:t xml:space="preserve"> (odstupanje: do 2030,</w:t>
            </w:r>
            <w:r w:rsidRPr="00F6198B">
              <w:rPr>
                <w:rFonts w:ascii="Arial" w:hAnsi="Arial" w:cs="Arial"/>
                <w:sz w:val="18"/>
                <w:lang w:val="sq-AL"/>
              </w:rPr>
              <w:t xml:space="preserve"> </w:t>
            </w:r>
            <w:r w:rsidRPr="00F6198B">
              <w:rPr>
                <w:rFonts w:ascii="Arial" w:eastAsia="Times New Roman" w:hAnsi="Arial" w:cs="Arial"/>
                <w:bCs/>
                <w:sz w:val="18"/>
                <w:lang w:val="sq-AL"/>
              </w:rPr>
              <w:t>prema članu 21 Zakona  o upravljanju otpadom)</w:t>
            </w:r>
          </w:p>
          <w:p w14:paraId="21D125BA" w14:textId="07143F22" w:rsidR="00C232D7" w:rsidRPr="00F6198B" w:rsidRDefault="00C232D7" w:rsidP="00C232D7">
            <w:pPr>
              <w:spacing w:line="360" w:lineRule="auto"/>
              <w:rPr>
                <w:rFonts w:ascii="Arial" w:eastAsia="Times New Roman" w:hAnsi="Arial" w:cs="Arial"/>
                <w:bCs/>
                <w:sz w:val="18"/>
                <w:lang w:val="sq-AL"/>
              </w:rPr>
            </w:pPr>
            <w:r w:rsidRPr="00F6198B">
              <w:rPr>
                <w:rFonts w:ascii="Arial" w:eastAsia="Times New Roman" w:hAnsi="Arial" w:cs="Arial"/>
                <w:bCs/>
                <w:sz w:val="18"/>
                <w:lang w:val="sq-AL"/>
              </w:rPr>
              <w:t>2025</w:t>
            </w:r>
            <w:r w:rsidR="00462407" w:rsidRPr="00F6198B">
              <w:rPr>
                <w:rFonts w:ascii="Arial" w:eastAsia="Times New Roman" w:hAnsi="Arial" w:cs="Arial"/>
                <w:bCs/>
                <w:sz w:val="18"/>
                <w:lang w:val="sq-AL"/>
              </w:rPr>
              <w:t>.</w:t>
            </w:r>
          </w:p>
          <w:p w14:paraId="6FA10FBB" w14:textId="2EC6BF8A" w:rsidR="00C232D7" w:rsidRPr="00F6198B" w:rsidRDefault="00C232D7" w:rsidP="00C232D7">
            <w:pPr>
              <w:spacing w:line="360" w:lineRule="auto"/>
              <w:rPr>
                <w:rFonts w:ascii="Arial" w:eastAsia="Times New Roman" w:hAnsi="Arial" w:cs="Arial"/>
                <w:bCs/>
                <w:sz w:val="18"/>
                <w:lang w:val="sq-AL"/>
              </w:rPr>
            </w:pPr>
            <w:r w:rsidRPr="00F6198B">
              <w:rPr>
                <w:rFonts w:ascii="Arial" w:eastAsia="Times New Roman" w:hAnsi="Arial" w:cs="Arial"/>
                <w:bCs/>
                <w:sz w:val="18"/>
                <w:lang w:val="sq-AL"/>
              </w:rPr>
              <w:t>2030</w:t>
            </w:r>
            <w:r w:rsidR="00462407" w:rsidRPr="00F6198B">
              <w:rPr>
                <w:rFonts w:ascii="Arial" w:eastAsia="Times New Roman" w:hAnsi="Arial" w:cs="Arial"/>
                <w:bCs/>
                <w:sz w:val="18"/>
                <w:lang w:val="sq-AL"/>
              </w:rPr>
              <w:t>.</w:t>
            </w:r>
          </w:p>
          <w:p w14:paraId="10E57DDC" w14:textId="19AECFDA" w:rsidR="00C232D7" w:rsidRPr="00F6198B" w:rsidRDefault="00C232D7" w:rsidP="00C232D7">
            <w:pPr>
              <w:spacing w:line="360" w:lineRule="auto"/>
              <w:rPr>
                <w:rFonts w:ascii="Arial" w:eastAsia="Times New Roman" w:hAnsi="Arial" w:cs="Arial"/>
                <w:b/>
                <w:sz w:val="18"/>
                <w:lang w:val="sq-AL"/>
              </w:rPr>
            </w:pPr>
            <w:r w:rsidRPr="00F6198B">
              <w:rPr>
                <w:rFonts w:ascii="Arial" w:eastAsia="Times New Roman" w:hAnsi="Arial" w:cs="Arial"/>
                <w:bCs/>
                <w:sz w:val="18"/>
                <w:lang w:val="sq-AL"/>
              </w:rPr>
              <w:t>2035</w:t>
            </w:r>
            <w:r w:rsidR="00462407" w:rsidRPr="00F6198B">
              <w:rPr>
                <w:rFonts w:ascii="Arial" w:eastAsia="Times New Roman" w:hAnsi="Arial" w:cs="Arial"/>
                <w:bCs/>
                <w:sz w:val="18"/>
                <w:lang w:val="sq-AL"/>
              </w:rPr>
              <w:t>.</w:t>
            </w:r>
          </w:p>
        </w:tc>
      </w:tr>
      <w:tr w:rsidR="00C232D7" w:rsidRPr="002A6F4E" w14:paraId="72BF1C34" w14:textId="77777777" w:rsidTr="00342252">
        <w:trPr>
          <w:jc w:val="center"/>
        </w:trPr>
        <w:tc>
          <w:tcPr>
            <w:tcW w:w="1950" w:type="dxa"/>
            <w:tcBorders>
              <w:top w:val="single" w:sz="4" w:space="0" w:color="auto"/>
              <w:bottom w:val="single" w:sz="4" w:space="0" w:color="auto"/>
              <w:right w:val="single" w:sz="4" w:space="0" w:color="auto"/>
            </w:tcBorders>
          </w:tcPr>
          <w:p w14:paraId="37E64F35" w14:textId="77777777" w:rsidR="00C232D7" w:rsidRPr="00F6198B" w:rsidRDefault="00C232D7" w:rsidP="00C232D7">
            <w:pPr>
              <w:spacing w:line="360" w:lineRule="auto"/>
              <w:rPr>
                <w:rFonts w:ascii="Arial" w:eastAsia="Times New Roman" w:hAnsi="Arial" w:cs="Arial"/>
                <w:bCs/>
                <w:sz w:val="18"/>
                <w:lang w:val="sq-AL"/>
              </w:rPr>
            </w:pPr>
            <w:r w:rsidRPr="00F6198B">
              <w:rPr>
                <w:rFonts w:ascii="Arial" w:eastAsia="Times New Roman" w:hAnsi="Arial" w:cs="Arial"/>
                <w:sz w:val="18"/>
                <w:lang w:val="sq-AL"/>
              </w:rPr>
              <w:t>Okvirna direktiva o otpadu, Član 11</w:t>
            </w:r>
          </w:p>
        </w:tc>
        <w:tc>
          <w:tcPr>
            <w:tcW w:w="2340" w:type="dxa"/>
            <w:tcBorders>
              <w:top w:val="single" w:sz="4" w:space="0" w:color="auto"/>
              <w:left w:val="single" w:sz="4" w:space="0" w:color="auto"/>
              <w:bottom w:val="single" w:sz="4" w:space="0" w:color="auto"/>
              <w:right w:val="single" w:sz="4" w:space="0" w:color="auto"/>
            </w:tcBorders>
          </w:tcPr>
          <w:p w14:paraId="197981D8" w14:textId="77777777" w:rsidR="00C232D7" w:rsidRPr="00F6198B" w:rsidRDefault="00C232D7" w:rsidP="00C232D7">
            <w:pPr>
              <w:spacing w:line="360" w:lineRule="auto"/>
              <w:rPr>
                <w:rFonts w:ascii="Arial" w:eastAsia="Times New Roman" w:hAnsi="Arial" w:cs="Arial"/>
                <w:sz w:val="18"/>
                <w:lang w:val="sq-AL"/>
              </w:rPr>
            </w:pPr>
            <w:r w:rsidRPr="00F6198B">
              <w:rPr>
                <w:rFonts w:ascii="Arial" w:eastAsia="Times New Roman" w:hAnsi="Arial" w:cs="Arial"/>
                <w:sz w:val="18"/>
                <w:lang w:val="sq-AL"/>
              </w:rPr>
              <w:t>Odvojeno sakupljanje tekstila</w:t>
            </w:r>
          </w:p>
        </w:tc>
        <w:tc>
          <w:tcPr>
            <w:tcW w:w="3535" w:type="dxa"/>
            <w:tcBorders>
              <w:top w:val="single" w:sz="4" w:space="0" w:color="auto"/>
              <w:left w:val="single" w:sz="4" w:space="0" w:color="auto"/>
              <w:bottom w:val="single" w:sz="4" w:space="0" w:color="auto"/>
              <w:right w:val="single" w:sz="4" w:space="0" w:color="auto"/>
            </w:tcBorders>
          </w:tcPr>
          <w:p w14:paraId="6576E9EC" w14:textId="77777777" w:rsidR="00C232D7" w:rsidRPr="00F6198B" w:rsidRDefault="00C232D7" w:rsidP="00C232D7">
            <w:pPr>
              <w:pStyle w:val="Normal-10pt-Table"/>
              <w:spacing w:before="0" w:after="0" w:line="360" w:lineRule="auto"/>
              <w:jc w:val="both"/>
              <w:rPr>
                <w:rFonts w:ascii="Arial" w:eastAsia="Times New Roman" w:hAnsi="Arial" w:cs="Arial"/>
                <w:sz w:val="18"/>
                <w:szCs w:val="20"/>
                <w:lang w:val="sq-AL"/>
              </w:rPr>
            </w:pPr>
            <w:r w:rsidRPr="00F6198B">
              <w:rPr>
                <w:rFonts w:ascii="Arial" w:eastAsia="Times New Roman" w:hAnsi="Arial" w:cs="Arial"/>
                <w:sz w:val="18"/>
                <w:szCs w:val="20"/>
                <w:lang w:val="sq-AL"/>
              </w:rPr>
              <w:t>Za tekstil je predviđeno odvojeno sakupljanje.</w:t>
            </w:r>
          </w:p>
        </w:tc>
        <w:tc>
          <w:tcPr>
            <w:tcW w:w="2610" w:type="dxa"/>
            <w:tcBorders>
              <w:top w:val="single" w:sz="4" w:space="0" w:color="auto"/>
              <w:left w:val="single" w:sz="4" w:space="0" w:color="auto"/>
              <w:bottom w:val="single" w:sz="4" w:space="0" w:color="auto"/>
            </w:tcBorders>
          </w:tcPr>
          <w:p w14:paraId="1DF8F441" w14:textId="7E8DA10C" w:rsidR="00C232D7" w:rsidRPr="00F6198B" w:rsidRDefault="00C232D7" w:rsidP="00C232D7">
            <w:pPr>
              <w:spacing w:line="360" w:lineRule="auto"/>
              <w:rPr>
                <w:rFonts w:ascii="Arial" w:eastAsia="Times New Roman" w:hAnsi="Arial" w:cs="Arial"/>
                <w:sz w:val="18"/>
                <w:lang w:val="sq-AL"/>
              </w:rPr>
            </w:pPr>
            <w:r w:rsidRPr="00F6198B">
              <w:rPr>
                <w:rFonts w:ascii="Arial" w:eastAsia="Times New Roman" w:hAnsi="Arial" w:cs="Arial"/>
                <w:sz w:val="18"/>
                <w:lang w:val="sq-AL"/>
              </w:rPr>
              <w:t>01.</w:t>
            </w:r>
            <w:r w:rsidR="004F058C" w:rsidRPr="00F6198B">
              <w:rPr>
                <w:rFonts w:ascii="Arial" w:eastAsia="Times New Roman" w:hAnsi="Arial" w:cs="Arial"/>
                <w:sz w:val="18"/>
                <w:lang w:val="sq-AL"/>
              </w:rPr>
              <w:t xml:space="preserve"> </w:t>
            </w:r>
            <w:r w:rsidRPr="00F6198B">
              <w:rPr>
                <w:rFonts w:ascii="Arial" w:eastAsia="Times New Roman" w:hAnsi="Arial" w:cs="Arial"/>
                <w:sz w:val="18"/>
                <w:lang w:val="sq-AL"/>
              </w:rPr>
              <w:t>januar 2026.</w:t>
            </w:r>
          </w:p>
        </w:tc>
      </w:tr>
      <w:tr w:rsidR="00C232D7" w:rsidRPr="002A6F4E" w14:paraId="1DE5ED89" w14:textId="77777777" w:rsidTr="00342252">
        <w:trPr>
          <w:jc w:val="center"/>
        </w:trPr>
        <w:tc>
          <w:tcPr>
            <w:tcW w:w="1950" w:type="dxa"/>
            <w:tcBorders>
              <w:top w:val="single" w:sz="4" w:space="0" w:color="auto"/>
              <w:bottom w:val="single" w:sz="4" w:space="0" w:color="auto"/>
              <w:right w:val="single" w:sz="4" w:space="0" w:color="auto"/>
            </w:tcBorders>
            <w:shd w:val="clear" w:color="auto" w:fill="E2EFD9" w:themeFill="accent6" w:themeFillTint="33"/>
          </w:tcPr>
          <w:p w14:paraId="28A9F8BE" w14:textId="56AE3715" w:rsidR="00C232D7" w:rsidRPr="00F6198B" w:rsidRDefault="00C232D7" w:rsidP="00C232D7">
            <w:pPr>
              <w:spacing w:line="360" w:lineRule="auto"/>
              <w:rPr>
                <w:rFonts w:ascii="Arial" w:eastAsia="Times New Roman" w:hAnsi="Arial" w:cs="Arial"/>
                <w:bCs/>
                <w:sz w:val="18"/>
                <w:lang w:val="sq-AL"/>
              </w:rPr>
            </w:pPr>
            <w:r w:rsidRPr="00F6198B">
              <w:rPr>
                <w:rFonts w:ascii="Arial" w:eastAsia="Times New Roman" w:hAnsi="Arial" w:cs="Arial"/>
                <w:sz w:val="18"/>
                <w:lang w:val="sq-AL"/>
              </w:rPr>
              <w:t xml:space="preserve">Okvirna direktiva o otpadu, </w:t>
            </w:r>
            <w:r w:rsidR="00462407" w:rsidRPr="00F6198B">
              <w:rPr>
                <w:rFonts w:ascii="Arial" w:eastAsia="Times New Roman" w:hAnsi="Arial" w:cs="Arial"/>
                <w:sz w:val="18"/>
                <w:lang w:val="sq-AL"/>
              </w:rPr>
              <w:t>Č</w:t>
            </w:r>
            <w:r w:rsidRPr="00F6198B">
              <w:rPr>
                <w:rFonts w:ascii="Arial" w:eastAsia="Times New Roman" w:hAnsi="Arial" w:cs="Arial"/>
                <w:sz w:val="18"/>
                <w:lang w:val="sq-AL"/>
              </w:rPr>
              <w:t>lan 22</w:t>
            </w:r>
          </w:p>
        </w:tc>
        <w:tc>
          <w:tcPr>
            <w:tcW w:w="234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B8629F" w14:textId="77777777" w:rsidR="00C232D7" w:rsidRPr="00F6198B" w:rsidRDefault="00C232D7" w:rsidP="00C232D7">
            <w:pPr>
              <w:spacing w:line="360" w:lineRule="auto"/>
              <w:rPr>
                <w:rFonts w:ascii="Arial" w:eastAsia="Times New Roman" w:hAnsi="Arial" w:cs="Arial"/>
                <w:sz w:val="18"/>
                <w:lang w:val="sq-AL"/>
              </w:rPr>
            </w:pPr>
            <w:r w:rsidRPr="00F6198B">
              <w:rPr>
                <w:rFonts w:ascii="Arial" w:eastAsia="Times New Roman" w:hAnsi="Arial" w:cs="Arial"/>
                <w:sz w:val="18"/>
                <w:lang w:val="sq-AL"/>
              </w:rPr>
              <w:t>Odvojeno sakupljanje biootpada</w:t>
            </w:r>
          </w:p>
        </w:tc>
        <w:tc>
          <w:tcPr>
            <w:tcW w:w="353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271D6B" w14:textId="4F16A03A" w:rsidR="00C232D7" w:rsidRPr="00F6198B" w:rsidRDefault="00C232D7" w:rsidP="00C232D7">
            <w:pPr>
              <w:pStyle w:val="Normal-10pt-Table"/>
              <w:spacing w:before="0" w:after="0" w:line="360" w:lineRule="auto"/>
              <w:jc w:val="both"/>
              <w:rPr>
                <w:rFonts w:ascii="Arial" w:eastAsia="Times New Roman" w:hAnsi="Arial" w:cs="Arial"/>
                <w:sz w:val="18"/>
                <w:szCs w:val="20"/>
                <w:lang w:val="sq-AL"/>
              </w:rPr>
            </w:pPr>
            <w:r w:rsidRPr="00F6198B">
              <w:rPr>
                <w:rFonts w:ascii="Arial" w:eastAsia="Times New Roman" w:hAnsi="Arial" w:cs="Arial"/>
                <w:sz w:val="18"/>
                <w:szCs w:val="20"/>
                <w:lang w:val="sq-AL"/>
              </w:rPr>
              <w:t>Biootpad se odvaja ili reciklira na mjestu porijekla ili se sakuplja odvojeno i ne miješa se sa drugim vrstama otpada.</w:t>
            </w:r>
          </w:p>
        </w:tc>
        <w:tc>
          <w:tcPr>
            <w:tcW w:w="2610" w:type="dxa"/>
            <w:tcBorders>
              <w:top w:val="single" w:sz="4" w:space="0" w:color="auto"/>
              <w:left w:val="single" w:sz="4" w:space="0" w:color="auto"/>
              <w:bottom w:val="single" w:sz="4" w:space="0" w:color="auto"/>
            </w:tcBorders>
            <w:shd w:val="clear" w:color="auto" w:fill="E2EFD9" w:themeFill="accent6" w:themeFillTint="33"/>
          </w:tcPr>
          <w:p w14:paraId="79A0839C" w14:textId="0A757175" w:rsidR="00C232D7" w:rsidRPr="00F6198B" w:rsidRDefault="00C232D7" w:rsidP="00C232D7">
            <w:pPr>
              <w:spacing w:line="360" w:lineRule="auto"/>
              <w:rPr>
                <w:rFonts w:ascii="Arial" w:eastAsia="Times New Roman" w:hAnsi="Arial" w:cs="Arial"/>
                <w:sz w:val="18"/>
                <w:lang w:val="sq-AL"/>
              </w:rPr>
            </w:pPr>
            <w:r w:rsidRPr="00F6198B">
              <w:rPr>
                <w:rFonts w:ascii="Arial" w:eastAsia="Times New Roman" w:hAnsi="Arial" w:cs="Arial"/>
                <w:sz w:val="18"/>
                <w:lang w:val="sq-AL"/>
              </w:rPr>
              <w:t>31.</w:t>
            </w:r>
            <w:r w:rsidR="004F058C" w:rsidRPr="00F6198B">
              <w:rPr>
                <w:rFonts w:ascii="Arial" w:eastAsia="Times New Roman" w:hAnsi="Arial" w:cs="Arial"/>
                <w:sz w:val="18"/>
                <w:lang w:val="sq-AL"/>
              </w:rPr>
              <w:t xml:space="preserve"> </w:t>
            </w:r>
            <w:r w:rsidRPr="00F6198B">
              <w:rPr>
                <w:rFonts w:ascii="Arial" w:eastAsia="Times New Roman" w:hAnsi="Arial" w:cs="Arial"/>
                <w:sz w:val="18"/>
                <w:lang w:val="sq-AL"/>
              </w:rPr>
              <w:t>decembar 2023.</w:t>
            </w:r>
          </w:p>
        </w:tc>
      </w:tr>
      <w:tr w:rsidR="00C232D7" w:rsidRPr="002A6F4E" w14:paraId="158B54C1" w14:textId="77777777" w:rsidTr="00342252">
        <w:trPr>
          <w:jc w:val="center"/>
        </w:trPr>
        <w:tc>
          <w:tcPr>
            <w:tcW w:w="1950" w:type="dxa"/>
            <w:tcBorders>
              <w:top w:val="single" w:sz="4" w:space="0" w:color="auto"/>
              <w:bottom w:val="single" w:sz="4" w:space="0" w:color="auto"/>
              <w:right w:val="single" w:sz="4" w:space="0" w:color="auto"/>
            </w:tcBorders>
          </w:tcPr>
          <w:p w14:paraId="18D66FF9" w14:textId="69123700" w:rsidR="00C232D7" w:rsidRPr="002A6F4E" w:rsidRDefault="00C232D7" w:rsidP="00C232D7">
            <w:pPr>
              <w:spacing w:line="360" w:lineRule="auto"/>
              <w:rPr>
                <w:rFonts w:ascii="Arial" w:eastAsia="Times New Roman" w:hAnsi="Arial" w:cs="Arial"/>
                <w:bCs/>
                <w:lang w:val="sq-AL"/>
              </w:rPr>
            </w:pPr>
            <w:r w:rsidRPr="002A6F4E">
              <w:rPr>
                <w:rFonts w:ascii="Arial" w:eastAsia="Times New Roman" w:hAnsi="Arial" w:cs="Arial"/>
                <w:lang w:val="sq-AL"/>
              </w:rPr>
              <w:lastRenderedPageBreak/>
              <w:t xml:space="preserve">Okvirna direktiva o otpadu, </w:t>
            </w:r>
            <w:r w:rsidR="00731AEE">
              <w:rPr>
                <w:rFonts w:ascii="Arial" w:eastAsia="Times New Roman" w:hAnsi="Arial" w:cs="Arial"/>
                <w:lang w:val="sr-Latn-ME"/>
              </w:rPr>
              <w:t>Č</w:t>
            </w:r>
            <w:r w:rsidR="00DC41AD" w:rsidRPr="002A6F4E">
              <w:rPr>
                <w:rFonts w:ascii="Arial" w:eastAsia="Times New Roman" w:hAnsi="Arial" w:cs="Arial"/>
                <w:lang w:val="sr-Latn-ME"/>
              </w:rPr>
              <w:t>lan</w:t>
            </w:r>
            <w:r w:rsidRPr="002A6F4E">
              <w:rPr>
                <w:rFonts w:ascii="Arial" w:eastAsia="Times New Roman" w:hAnsi="Arial" w:cs="Arial"/>
                <w:lang w:val="sq-AL"/>
              </w:rPr>
              <w:t xml:space="preserve"> 22</w:t>
            </w:r>
          </w:p>
        </w:tc>
        <w:tc>
          <w:tcPr>
            <w:tcW w:w="2340" w:type="dxa"/>
            <w:tcBorders>
              <w:top w:val="single" w:sz="4" w:space="0" w:color="auto"/>
              <w:left w:val="single" w:sz="4" w:space="0" w:color="auto"/>
              <w:bottom w:val="single" w:sz="4" w:space="0" w:color="auto"/>
              <w:right w:val="single" w:sz="4" w:space="0" w:color="auto"/>
            </w:tcBorders>
          </w:tcPr>
          <w:p w14:paraId="759256B4" w14:textId="77777777" w:rsidR="00C232D7" w:rsidRPr="002A6F4E" w:rsidRDefault="00C232D7" w:rsidP="00C232D7">
            <w:pPr>
              <w:spacing w:line="360" w:lineRule="auto"/>
              <w:rPr>
                <w:rFonts w:ascii="Arial" w:eastAsia="Times New Roman" w:hAnsi="Arial" w:cs="Arial"/>
                <w:lang w:val="sq-AL"/>
              </w:rPr>
            </w:pPr>
            <w:r w:rsidRPr="002A6F4E">
              <w:rPr>
                <w:rFonts w:ascii="Arial" w:eastAsia="Times New Roman" w:hAnsi="Arial" w:cs="Arial"/>
                <w:lang w:val="sq-AL"/>
              </w:rPr>
              <w:t>Brojanje rezultata tretmana biootpada ka reciklaži</w:t>
            </w:r>
          </w:p>
        </w:tc>
        <w:tc>
          <w:tcPr>
            <w:tcW w:w="3535" w:type="dxa"/>
            <w:tcBorders>
              <w:top w:val="single" w:sz="4" w:space="0" w:color="auto"/>
              <w:left w:val="single" w:sz="4" w:space="0" w:color="auto"/>
              <w:bottom w:val="single" w:sz="4" w:space="0" w:color="auto"/>
              <w:right w:val="single" w:sz="4" w:space="0" w:color="auto"/>
            </w:tcBorders>
          </w:tcPr>
          <w:p w14:paraId="0A1540E3" w14:textId="01072FF5" w:rsidR="00C232D7" w:rsidRPr="002A6F4E" w:rsidRDefault="00C232D7" w:rsidP="00C232D7">
            <w:pPr>
              <w:spacing w:line="360" w:lineRule="auto"/>
              <w:rPr>
                <w:rFonts w:ascii="Arial" w:eastAsia="Times New Roman" w:hAnsi="Arial" w:cs="Arial"/>
                <w:lang w:val="sq-AL"/>
              </w:rPr>
            </w:pPr>
            <w:r w:rsidRPr="002A6F4E">
              <w:rPr>
                <w:rFonts w:ascii="Arial" w:eastAsia="Times New Roman" w:hAnsi="Arial" w:cs="Arial"/>
                <w:lang w:val="sq-AL"/>
              </w:rPr>
              <w:t>Države članice mogu ubrajati komunalni biootpad koji ulazi u aerobn</w:t>
            </w:r>
            <w:r w:rsidR="009754D7">
              <w:rPr>
                <w:rFonts w:ascii="Arial" w:eastAsia="Times New Roman" w:hAnsi="Arial" w:cs="Arial"/>
                <w:lang w:val="sq-AL"/>
              </w:rPr>
              <w:t>u</w:t>
            </w:r>
            <w:r w:rsidRPr="002A6F4E">
              <w:rPr>
                <w:rFonts w:ascii="Arial" w:eastAsia="Times New Roman" w:hAnsi="Arial" w:cs="Arial"/>
                <w:lang w:val="sq-AL"/>
              </w:rPr>
              <w:t xml:space="preserve"> ili anaerobn</w:t>
            </w:r>
            <w:r w:rsidR="009754D7">
              <w:rPr>
                <w:rFonts w:ascii="Arial" w:eastAsia="Times New Roman" w:hAnsi="Arial" w:cs="Arial"/>
                <w:lang w:val="sq-AL"/>
              </w:rPr>
              <w:t>u</w:t>
            </w:r>
            <w:r w:rsidRPr="002A6F4E">
              <w:rPr>
                <w:rFonts w:ascii="Arial" w:eastAsia="Times New Roman" w:hAnsi="Arial" w:cs="Arial"/>
                <w:lang w:val="sq-AL"/>
              </w:rPr>
              <w:t xml:space="preserve"> </w:t>
            </w:r>
            <w:r w:rsidR="009754D7">
              <w:rPr>
                <w:rFonts w:ascii="Arial" w:eastAsia="Times New Roman" w:hAnsi="Arial" w:cs="Arial"/>
                <w:lang w:val="sq-AL"/>
              </w:rPr>
              <w:t>obradu</w:t>
            </w:r>
            <w:r w:rsidR="009754D7" w:rsidRPr="002A6F4E">
              <w:rPr>
                <w:rFonts w:ascii="Arial" w:eastAsia="Times New Roman" w:hAnsi="Arial" w:cs="Arial"/>
                <w:lang w:val="sq-AL"/>
              </w:rPr>
              <w:t xml:space="preserve"> </w:t>
            </w:r>
            <w:r w:rsidRPr="002A6F4E">
              <w:rPr>
                <w:rFonts w:ascii="Arial" w:eastAsia="Times New Roman" w:hAnsi="Arial" w:cs="Arial"/>
                <w:lang w:val="sq-AL"/>
              </w:rPr>
              <w:t>kao recikliran samo ako je, u skladu sa članom 22, sakupljen odvojeno ili odvojen na mjestu porijekla.</w:t>
            </w:r>
          </w:p>
          <w:p w14:paraId="6C6703ED" w14:textId="77777777" w:rsidR="00C232D7" w:rsidRPr="002A6F4E" w:rsidRDefault="00C232D7" w:rsidP="00C232D7">
            <w:pPr>
              <w:spacing w:line="360" w:lineRule="auto"/>
              <w:rPr>
                <w:rFonts w:ascii="Arial" w:eastAsia="Times New Roman" w:hAnsi="Arial" w:cs="Arial"/>
                <w:lang w:val="sq-AL"/>
              </w:rPr>
            </w:pPr>
          </w:p>
        </w:tc>
        <w:tc>
          <w:tcPr>
            <w:tcW w:w="2610" w:type="dxa"/>
            <w:tcBorders>
              <w:top w:val="single" w:sz="4" w:space="0" w:color="auto"/>
              <w:left w:val="single" w:sz="4" w:space="0" w:color="auto"/>
              <w:bottom w:val="single" w:sz="4" w:space="0" w:color="auto"/>
            </w:tcBorders>
          </w:tcPr>
          <w:p w14:paraId="470E9588" w14:textId="506589B2" w:rsidR="00C232D7" w:rsidRPr="002A6F4E" w:rsidRDefault="00C232D7" w:rsidP="00C232D7">
            <w:pPr>
              <w:spacing w:line="360" w:lineRule="auto"/>
              <w:rPr>
                <w:rFonts w:ascii="Arial" w:eastAsia="Times New Roman" w:hAnsi="Arial" w:cs="Arial"/>
                <w:lang w:val="sq-AL"/>
              </w:rPr>
            </w:pPr>
            <w:r w:rsidRPr="002A6F4E">
              <w:rPr>
                <w:rFonts w:ascii="Arial" w:eastAsia="Times New Roman" w:hAnsi="Arial" w:cs="Arial"/>
                <w:lang w:val="sq-AL"/>
              </w:rPr>
              <w:t>01.</w:t>
            </w:r>
            <w:r w:rsidR="00462407">
              <w:rPr>
                <w:rFonts w:ascii="Arial" w:eastAsia="Times New Roman" w:hAnsi="Arial" w:cs="Arial"/>
                <w:lang w:val="sq-AL"/>
              </w:rPr>
              <w:t xml:space="preserve"> </w:t>
            </w:r>
            <w:r w:rsidRPr="002A6F4E">
              <w:rPr>
                <w:rFonts w:ascii="Arial" w:eastAsia="Times New Roman" w:hAnsi="Arial" w:cs="Arial"/>
                <w:lang w:val="sq-AL"/>
              </w:rPr>
              <w:t>januar 2027.</w:t>
            </w:r>
          </w:p>
        </w:tc>
      </w:tr>
      <w:tr w:rsidR="00C232D7" w:rsidRPr="002A6F4E" w14:paraId="1D08E7E6" w14:textId="77777777" w:rsidTr="00342252">
        <w:trPr>
          <w:jc w:val="center"/>
        </w:trPr>
        <w:tc>
          <w:tcPr>
            <w:tcW w:w="1950" w:type="dxa"/>
            <w:tcBorders>
              <w:top w:val="single" w:sz="4" w:space="0" w:color="auto"/>
              <w:bottom w:val="single" w:sz="4" w:space="0" w:color="auto"/>
              <w:right w:val="single" w:sz="4" w:space="0" w:color="auto"/>
            </w:tcBorders>
            <w:shd w:val="clear" w:color="auto" w:fill="FBE4D5" w:themeFill="accent2" w:themeFillTint="33"/>
          </w:tcPr>
          <w:p w14:paraId="1D3F3B7E" w14:textId="54E44C06" w:rsidR="00C232D7" w:rsidRPr="002A6F4E" w:rsidRDefault="00C232D7" w:rsidP="00731AEE">
            <w:pPr>
              <w:spacing w:line="360" w:lineRule="auto"/>
              <w:rPr>
                <w:rFonts w:ascii="Arial" w:eastAsia="Times New Roman" w:hAnsi="Arial" w:cs="Arial"/>
                <w:b/>
                <w:bCs/>
                <w:lang w:val="sq-AL"/>
              </w:rPr>
            </w:pPr>
            <w:r w:rsidRPr="002A6F4E">
              <w:rPr>
                <w:rFonts w:ascii="Arial" w:eastAsia="Times New Roman" w:hAnsi="Arial" w:cs="Arial"/>
                <w:lang w:val="en-US"/>
              </w:rPr>
              <w:t xml:space="preserve">Direktiva o deponijama, </w:t>
            </w:r>
            <w:r w:rsidR="00731AEE">
              <w:rPr>
                <w:rFonts w:ascii="Arial" w:eastAsia="Times New Roman" w:hAnsi="Arial" w:cs="Arial"/>
                <w:lang w:val="en-US"/>
              </w:rPr>
              <w:t>Č</w:t>
            </w:r>
            <w:r w:rsidRPr="002A6F4E">
              <w:rPr>
                <w:rFonts w:ascii="Arial" w:eastAsia="Times New Roman" w:hAnsi="Arial" w:cs="Arial"/>
                <w:lang w:val="en-US"/>
              </w:rPr>
              <w:t>lan 5</w:t>
            </w:r>
          </w:p>
        </w:tc>
        <w:tc>
          <w:tcPr>
            <w:tcW w:w="234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DDA2046" w14:textId="77777777" w:rsidR="00C232D7" w:rsidRPr="002A6F4E" w:rsidRDefault="00C232D7" w:rsidP="00C232D7">
            <w:pPr>
              <w:spacing w:line="360" w:lineRule="auto"/>
              <w:rPr>
                <w:rFonts w:ascii="Arial" w:eastAsia="Times New Roman" w:hAnsi="Arial" w:cs="Arial"/>
                <w:lang w:val="sq-AL"/>
              </w:rPr>
            </w:pPr>
            <w:r w:rsidRPr="002A6F4E">
              <w:rPr>
                <w:rFonts w:ascii="Arial" w:eastAsia="Times New Roman" w:hAnsi="Arial" w:cs="Arial"/>
                <w:lang w:val="sq-AL"/>
              </w:rPr>
              <w:t>Količina biorazgradivog otpada odloženog na deponiju</w:t>
            </w:r>
          </w:p>
        </w:tc>
        <w:tc>
          <w:tcPr>
            <w:tcW w:w="353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414EC8E" w14:textId="77777777" w:rsidR="00C232D7" w:rsidRPr="002A6F4E" w:rsidRDefault="00C232D7" w:rsidP="00C232D7">
            <w:pPr>
              <w:spacing w:line="360" w:lineRule="auto"/>
              <w:rPr>
                <w:rFonts w:ascii="Arial" w:eastAsia="Times New Roman" w:hAnsi="Arial" w:cs="Arial"/>
                <w:lang w:val="sq-AL"/>
              </w:rPr>
            </w:pPr>
            <w:r w:rsidRPr="002A6F4E">
              <w:rPr>
                <w:rFonts w:ascii="Arial" w:eastAsia="Times New Roman" w:hAnsi="Arial" w:cs="Arial"/>
                <w:lang w:val="sq-AL"/>
              </w:rPr>
              <w:t>Maksimalna odložena količina od 75% biorazgradivog otpada generisanog u 2010.</w:t>
            </w:r>
          </w:p>
          <w:p w14:paraId="41C3D63B" w14:textId="77777777" w:rsidR="00C232D7" w:rsidRPr="002A6F4E" w:rsidRDefault="00C232D7" w:rsidP="00C232D7">
            <w:pPr>
              <w:spacing w:line="360" w:lineRule="auto"/>
              <w:rPr>
                <w:rFonts w:ascii="Arial" w:eastAsia="Times New Roman" w:hAnsi="Arial" w:cs="Arial"/>
                <w:lang w:val="sq-AL"/>
              </w:rPr>
            </w:pPr>
            <w:r w:rsidRPr="002A6F4E">
              <w:rPr>
                <w:rFonts w:ascii="Arial" w:eastAsia="Times New Roman" w:hAnsi="Arial" w:cs="Arial"/>
                <w:lang w:val="sq-AL"/>
              </w:rPr>
              <w:t>Maksimalna odložena količina od 50% biorazgradivog otpada generisanog u 2010.</w:t>
            </w:r>
          </w:p>
          <w:p w14:paraId="10FE7CB0" w14:textId="77777777" w:rsidR="00C232D7" w:rsidRPr="002A6F4E" w:rsidRDefault="00C232D7" w:rsidP="00C232D7">
            <w:pPr>
              <w:spacing w:line="360" w:lineRule="auto"/>
              <w:rPr>
                <w:rFonts w:ascii="Arial" w:eastAsia="Times New Roman" w:hAnsi="Arial" w:cs="Arial"/>
                <w:lang w:val="sq-AL"/>
              </w:rPr>
            </w:pPr>
            <w:r w:rsidRPr="002A6F4E">
              <w:rPr>
                <w:rFonts w:ascii="Arial" w:eastAsia="Times New Roman" w:hAnsi="Arial" w:cs="Arial"/>
                <w:lang w:val="sq-AL"/>
              </w:rPr>
              <w:t>Maksimalna odložena količina od 35% biorazgradivog otpada generisanog u 2010.</w:t>
            </w:r>
          </w:p>
        </w:tc>
        <w:tc>
          <w:tcPr>
            <w:tcW w:w="2610" w:type="dxa"/>
            <w:tcBorders>
              <w:top w:val="single" w:sz="4" w:space="0" w:color="auto"/>
              <w:left w:val="single" w:sz="4" w:space="0" w:color="auto"/>
              <w:bottom w:val="single" w:sz="4" w:space="0" w:color="auto"/>
            </w:tcBorders>
            <w:shd w:val="clear" w:color="auto" w:fill="FBE4D5" w:themeFill="accent2" w:themeFillTint="33"/>
          </w:tcPr>
          <w:p w14:paraId="0E022AF5" w14:textId="77777777" w:rsidR="00C232D7" w:rsidRPr="002A6F4E" w:rsidRDefault="00C232D7" w:rsidP="00C232D7">
            <w:pPr>
              <w:spacing w:line="360" w:lineRule="auto"/>
              <w:rPr>
                <w:rFonts w:ascii="Arial" w:eastAsia="Times New Roman" w:hAnsi="Arial" w:cs="Arial"/>
                <w:lang w:val="en-US"/>
              </w:rPr>
            </w:pPr>
            <w:r w:rsidRPr="002A6F4E">
              <w:rPr>
                <w:rFonts w:ascii="Arial" w:eastAsia="Times New Roman" w:hAnsi="Arial" w:cs="Arial"/>
                <w:lang w:val="en-US"/>
              </w:rPr>
              <w:t>2010. (odstupanje: do 2025. prema čl. 27 Zakona o UO)</w:t>
            </w:r>
          </w:p>
          <w:p w14:paraId="0436A344" w14:textId="77777777" w:rsidR="00C232D7" w:rsidRPr="002A6F4E" w:rsidRDefault="00C232D7" w:rsidP="00C232D7">
            <w:pPr>
              <w:spacing w:line="360" w:lineRule="auto"/>
              <w:rPr>
                <w:rFonts w:ascii="Arial" w:eastAsia="Times New Roman" w:hAnsi="Arial" w:cs="Arial"/>
                <w:lang w:val="en-US"/>
              </w:rPr>
            </w:pPr>
            <w:r w:rsidRPr="002A6F4E">
              <w:rPr>
                <w:rFonts w:ascii="Arial" w:eastAsia="Times New Roman" w:hAnsi="Arial" w:cs="Arial"/>
                <w:lang w:val="en-US"/>
              </w:rPr>
              <w:t>2013. (odstupanje: do 2029. prema čl. 27 Zakona o UO)</w:t>
            </w:r>
          </w:p>
          <w:p w14:paraId="3F222C43" w14:textId="77777777" w:rsidR="00C232D7" w:rsidRPr="002A6F4E" w:rsidRDefault="00C232D7" w:rsidP="00C232D7">
            <w:pPr>
              <w:spacing w:line="360" w:lineRule="auto"/>
              <w:rPr>
                <w:rFonts w:ascii="Arial" w:eastAsia="Times New Roman" w:hAnsi="Arial" w:cs="Arial"/>
                <w:lang w:val="sq-AL"/>
              </w:rPr>
            </w:pPr>
            <w:r w:rsidRPr="002A6F4E">
              <w:rPr>
                <w:rFonts w:ascii="Arial" w:eastAsia="Times New Roman" w:hAnsi="Arial" w:cs="Arial"/>
                <w:lang w:val="en-US"/>
              </w:rPr>
              <w:t>2020. (odstupanje: do 2033. prema čl. 27 Zakona o UO)</w:t>
            </w:r>
          </w:p>
        </w:tc>
      </w:tr>
      <w:tr w:rsidR="00C232D7" w:rsidRPr="002A6F4E" w14:paraId="5D159CB8" w14:textId="77777777" w:rsidTr="00342252">
        <w:trPr>
          <w:jc w:val="center"/>
        </w:trPr>
        <w:tc>
          <w:tcPr>
            <w:tcW w:w="1950" w:type="dxa"/>
            <w:tcBorders>
              <w:top w:val="single" w:sz="4" w:space="0" w:color="auto"/>
              <w:bottom w:val="single" w:sz="4" w:space="0" w:color="auto"/>
              <w:right w:val="single" w:sz="4" w:space="0" w:color="auto"/>
            </w:tcBorders>
            <w:shd w:val="clear" w:color="auto" w:fill="E2EFD9" w:themeFill="accent6" w:themeFillTint="33"/>
          </w:tcPr>
          <w:p w14:paraId="79B5290F" w14:textId="77777777" w:rsidR="00C232D7" w:rsidRPr="002A6F4E" w:rsidRDefault="00C232D7" w:rsidP="00C232D7">
            <w:pPr>
              <w:spacing w:line="360" w:lineRule="auto"/>
              <w:rPr>
                <w:rFonts w:ascii="Arial" w:eastAsia="Times New Roman" w:hAnsi="Arial" w:cs="Arial"/>
                <w:bCs/>
                <w:lang w:val="sq-AL"/>
              </w:rPr>
            </w:pPr>
          </w:p>
        </w:tc>
        <w:tc>
          <w:tcPr>
            <w:tcW w:w="2340"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5F521BB" w14:textId="77777777" w:rsidR="00C232D7" w:rsidRPr="002A6F4E" w:rsidRDefault="00C232D7" w:rsidP="00C232D7">
            <w:pPr>
              <w:spacing w:line="360" w:lineRule="auto"/>
              <w:rPr>
                <w:rFonts w:ascii="Arial" w:eastAsia="Times New Roman" w:hAnsi="Arial" w:cs="Arial"/>
                <w:lang w:val="sq-AL"/>
              </w:rPr>
            </w:pPr>
            <w:r w:rsidRPr="002A6F4E">
              <w:rPr>
                <w:rFonts w:ascii="Arial" w:eastAsia="Times New Roman" w:hAnsi="Arial" w:cs="Arial"/>
                <w:lang w:val="sq-AL"/>
              </w:rPr>
              <w:t>Količina deponovanog otpada</w:t>
            </w:r>
          </w:p>
        </w:tc>
        <w:tc>
          <w:tcPr>
            <w:tcW w:w="353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81BD163" w14:textId="77777777" w:rsidR="00C232D7" w:rsidRPr="002A6F4E" w:rsidRDefault="00C232D7" w:rsidP="00C232D7">
            <w:pPr>
              <w:spacing w:line="360" w:lineRule="auto"/>
              <w:rPr>
                <w:rFonts w:ascii="Arial" w:eastAsia="Times New Roman" w:hAnsi="Arial" w:cs="Arial"/>
                <w:lang w:val="sq-AL"/>
              </w:rPr>
            </w:pPr>
            <w:r w:rsidRPr="002A6F4E">
              <w:rPr>
                <w:rFonts w:ascii="Arial" w:eastAsia="Times New Roman" w:hAnsi="Arial" w:cs="Arial"/>
                <w:lang w:val="sq-AL"/>
              </w:rPr>
              <w:t>Države članice treba da preduzmu neophodne mjere kako bi osigurale da se količina komunalnog otpada smanji na 10% ili manje od ukupne količine proizvedenog komunalnog otpada (po težini).</w:t>
            </w:r>
          </w:p>
          <w:p w14:paraId="7E3C7D41" w14:textId="77777777" w:rsidR="00C232D7" w:rsidRPr="002A6F4E" w:rsidRDefault="00C232D7" w:rsidP="00C232D7">
            <w:pPr>
              <w:spacing w:line="360" w:lineRule="auto"/>
              <w:rPr>
                <w:rFonts w:ascii="Arial" w:eastAsia="Times New Roman" w:hAnsi="Arial" w:cs="Arial"/>
                <w:lang w:val="sq-AL"/>
              </w:rPr>
            </w:pPr>
          </w:p>
        </w:tc>
        <w:tc>
          <w:tcPr>
            <w:tcW w:w="2610" w:type="dxa"/>
            <w:tcBorders>
              <w:top w:val="single" w:sz="4" w:space="0" w:color="auto"/>
              <w:left w:val="single" w:sz="4" w:space="0" w:color="auto"/>
              <w:bottom w:val="single" w:sz="4" w:space="0" w:color="auto"/>
            </w:tcBorders>
            <w:shd w:val="clear" w:color="auto" w:fill="E2EFD9" w:themeFill="accent6" w:themeFillTint="33"/>
          </w:tcPr>
          <w:p w14:paraId="719E32F4" w14:textId="62605C6F" w:rsidR="00C232D7" w:rsidRPr="002A6F4E" w:rsidRDefault="00C232D7" w:rsidP="00C232D7">
            <w:pPr>
              <w:spacing w:line="360" w:lineRule="auto"/>
              <w:rPr>
                <w:rFonts w:ascii="Arial" w:eastAsia="Times New Roman" w:hAnsi="Arial" w:cs="Arial"/>
                <w:lang w:val="sq-AL"/>
              </w:rPr>
            </w:pPr>
            <w:r w:rsidRPr="002A6F4E">
              <w:rPr>
                <w:rFonts w:ascii="Arial" w:eastAsia="Times New Roman" w:hAnsi="Arial" w:cs="Arial"/>
                <w:lang w:val="sq-AL"/>
              </w:rPr>
              <w:t>2035</w:t>
            </w:r>
            <w:r w:rsidR="00462407">
              <w:rPr>
                <w:rFonts w:ascii="Arial" w:eastAsia="Times New Roman" w:hAnsi="Arial" w:cs="Arial"/>
                <w:lang w:val="sq-AL"/>
              </w:rPr>
              <w:t>.</w:t>
            </w:r>
          </w:p>
        </w:tc>
      </w:tr>
      <w:tr w:rsidR="00C232D7" w:rsidRPr="00552AAE" w14:paraId="6FF2EBB2" w14:textId="77777777" w:rsidTr="00342252">
        <w:trPr>
          <w:jc w:val="center"/>
        </w:trPr>
        <w:tc>
          <w:tcPr>
            <w:tcW w:w="1950" w:type="dxa"/>
            <w:tcBorders>
              <w:top w:val="single" w:sz="4" w:space="0" w:color="auto"/>
              <w:right w:val="single" w:sz="4" w:space="0" w:color="auto"/>
            </w:tcBorders>
            <w:shd w:val="clear" w:color="auto" w:fill="FBE4D5" w:themeFill="accent2" w:themeFillTint="33"/>
          </w:tcPr>
          <w:p w14:paraId="212A3635" w14:textId="60A30097" w:rsidR="00C232D7" w:rsidRPr="002A6F4E" w:rsidRDefault="00C232D7" w:rsidP="00C232D7">
            <w:pPr>
              <w:spacing w:line="360" w:lineRule="auto"/>
              <w:rPr>
                <w:rFonts w:ascii="Arial" w:eastAsia="Times New Roman" w:hAnsi="Arial" w:cs="Arial"/>
                <w:bCs/>
                <w:lang w:val="sq-AL"/>
              </w:rPr>
            </w:pPr>
            <w:r w:rsidRPr="002A6F4E">
              <w:rPr>
                <w:rFonts w:ascii="Arial" w:eastAsia="Times New Roman" w:hAnsi="Arial" w:cs="Arial"/>
                <w:lang w:val="sq-AL"/>
              </w:rPr>
              <w:t xml:space="preserve">Direktiva o ambalaži i ambalažnom otpadu (PPWD), </w:t>
            </w:r>
            <w:r w:rsidR="00731AEE">
              <w:rPr>
                <w:rFonts w:ascii="Arial" w:eastAsia="Times New Roman" w:hAnsi="Arial" w:cs="Arial"/>
                <w:lang w:val="sq-AL"/>
              </w:rPr>
              <w:t>Č</w:t>
            </w:r>
            <w:r w:rsidRPr="002A6F4E">
              <w:rPr>
                <w:rFonts w:ascii="Arial" w:eastAsia="Times New Roman" w:hAnsi="Arial" w:cs="Arial"/>
                <w:lang w:val="sq-AL"/>
              </w:rPr>
              <w:t>lan 6</w:t>
            </w:r>
          </w:p>
        </w:tc>
        <w:tc>
          <w:tcPr>
            <w:tcW w:w="2340" w:type="dxa"/>
            <w:tcBorders>
              <w:top w:val="single" w:sz="4" w:space="0" w:color="auto"/>
              <w:left w:val="single" w:sz="4" w:space="0" w:color="auto"/>
              <w:right w:val="single" w:sz="4" w:space="0" w:color="auto"/>
            </w:tcBorders>
            <w:shd w:val="clear" w:color="auto" w:fill="FBE4D5" w:themeFill="accent2" w:themeFillTint="33"/>
          </w:tcPr>
          <w:p w14:paraId="6B6E504A" w14:textId="77777777" w:rsidR="00C232D7" w:rsidRPr="002A6F4E" w:rsidRDefault="00C232D7" w:rsidP="00C232D7">
            <w:pPr>
              <w:spacing w:line="360" w:lineRule="auto"/>
              <w:rPr>
                <w:rFonts w:ascii="Arial" w:eastAsia="Times New Roman" w:hAnsi="Arial" w:cs="Arial"/>
                <w:lang w:val="sq-AL"/>
              </w:rPr>
            </w:pPr>
            <w:r w:rsidRPr="002A6F4E">
              <w:rPr>
                <w:rFonts w:ascii="Arial" w:eastAsia="Times New Roman" w:hAnsi="Arial" w:cs="Arial"/>
                <w:lang w:val="sq-AL"/>
              </w:rPr>
              <w:t>Cilj reciklaže ambalaže</w:t>
            </w:r>
          </w:p>
        </w:tc>
        <w:tc>
          <w:tcPr>
            <w:tcW w:w="3535" w:type="dxa"/>
            <w:tcBorders>
              <w:top w:val="single" w:sz="4" w:space="0" w:color="auto"/>
              <w:left w:val="single" w:sz="4" w:space="0" w:color="auto"/>
              <w:right w:val="single" w:sz="4" w:space="0" w:color="auto"/>
            </w:tcBorders>
            <w:shd w:val="clear" w:color="auto" w:fill="FBE4D5" w:themeFill="accent2" w:themeFillTint="33"/>
          </w:tcPr>
          <w:p w14:paraId="020B1A34" w14:textId="77777777" w:rsidR="00C232D7" w:rsidRPr="002A6F4E" w:rsidRDefault="00C232D7" w:rsidP="00C232D7">
            <w:pPr>
              <w:pStyle w:val="Normal-10pt-Table"/>
              <w:spacing w:before="0" w:after="0" w:line="360" w:lineRule="auto"/>
              <w:jc w:val="both"/>
              <w:rPr>
                <w:rFonts w:ascii="Arial" w:eastAsia="Times New Roman" w:hAnsi="Arial" w:cs="Arial"/>
                <w:sz w:val="20"/>
                <w:szCs w:val="20"/>
                <w:lang w:val="sq-AL"/>
              </w:rPr>
            </w:pPr>
            <w:r w:rsidRPr="002A6F4E">
              <w:rPr>
                <w:rFonts w:ascii="Arial" w:eastAsia="Times New Roman" w:hAnsi="Arial" w:cs="Arial"/>
                <w:sz w:val="20"/>
                <w:szCs w:val="20"/>
                <w:lang w:val="sq-AL"/>
              </w:rPr>
              <w:t>Papir i karton: 60-75-85%</w:t>
            </w:r>
          </w:p>
          <w:p w14:paraId="7EF8DEFB" w14:textId="77777777" w:rsidR="00C232D7" w:rsidRPr="002A6F4E" w:rsidRDefault="00C232D7" w:rsidP="00C232D7">
            <w:pPr>
              <w:pStyle w:val="Normal-10pt-Table"/>
              <w:spacing w:before="0" w:after="0" w:line="360" w:lineRule="auto"/>
              <w:jc w:val="both"/>
              <w:rPr>
                <w:rFonts w:ascii="Arial" w:eastAsia="Times New Roman" w:hAnsi="Arial" w:cs="Arial"/>
                <w:sz w:val="20"/>
                <w:szCs w:val="20"/>
                <w:lang w:val="sq-AL"/>
              </w:rPr>
            </w:pPr>
            <w:r w:rsidRPr="002A6F4E">
              <w:rPr>
                <w:rFonts w:ascii="Arial" w:eastAsia="Times New Roman" w:hAnsi="Arial" w:cs="Arial"/>
                <w:sz w:val="20"/>
                <w:szCs w:val="20"/>
                <w:lang w:val="sq-AL"/>
              </w:rPr>
              <w:t>Staklo: 60-70-75%</w:t>
            </w:r>
          </w:p>
          <w:p w14:paraId="2C8F35D4" w14:textId="77777777" w:rsidR="00C232D7" w:rsidRPr="002A6F4E" w:rsidRDefault="00C232D7" w:rsidP="00C232D7">
            <w:pPr>
              <w:pStyle w:val="Normal-10pt-Table"/>
              <w:spacing w:before="0" w:after="0" w:line="360" w:lineRule="auto"/>
              <w:jc w:val="both"/>
              <w:rPr>
                <w:rFonts w:ascii="Arial" w:eastAsia="Times New Roman" w:hAnsi="Arial" w:cs="Arial"/>
                <w:sz w:val="20"/>
                <w:szCs w:val="20"/>
                <w:lang w:val="sq-AL"/>
              </w:rPr>
            </w:pPr>
            <w:r w:rsidRPr="002A6F4E">
              <w:rPr>
                <w:rFonts w:ascii="Arial" w:eastAsia="Times New Roman" w:hAnsi="Arial" w:cs="Arial"/>
                <w:sz w:val="20"/>
                <w:szCs w:val="20"/>
                <w:lang w:val="sq-AL"/>
              </w:rPr>
              <w:t xml:space="preserve">Metal: 50% (2020) </w:t>
            </w:r>
          </w:p>
          <w:p w14:paraId="0D10CD20" w14:textId="77777777" w:rsidR="00C232D7" w:rsidRPr="002A6F4E" w:rsidRDefault="00C232D7" w:rsidP="00C232D7">
            <w:pPr>
              <w:pStyle w:val="Normal-10pt-Table"/>
              <w:spacing w:before="0" w:after="0" w:line="360" w:lineRule="auto"/>
              <w:jc w:val="both"/>
              <w:rPr>
                <w:rFonts w:ascii="Arial" w:eastAsia="Times New Roman" w:hAnsi="Arial" w:cs="Arial"/>
                <w:sz w:val="20"/>
                <w:szCs w:val="20"/>
                <w:lang w:val="sq-AL"/>
              </w:rPr>
            </w:pPr>
            <w:r w:rsidRPr="002A6F4E">
              <w:rPr>
                <w:rFonts w:ascii="Arial" w:eastAsia="Times New Roman" w:hAnsi="Arial" w:cs="Arial"/>
                <w:sz w:val="20"/>
                <w:szCs w:val="20"/>
                <w:lang w:val="sq-AL"/>
              </w:rPr>
              <w:t>Crni Metal: 70-75% (2025-2030)</w:t>
            </w:r>
          </w:p>
          <w:p w14:paraId="589A0690" w14:textId="77777777" w:rsidR="00C232D7" w:rsidRPr="002A6F4E" w:rsidRDefault="00C232D7" w:rsidP="00C232D7">
            <w:pPr>
              <w:pStyle w:val="Normal-10pt-Table"/>
              <w:spacing w:before="0" w:after="0" w:line="360" w:lineRule="auto"/>
              <w:jc w:val="both"/>
              <w:rPr>
                <w:rFonts w:ascii="Arial" w:eastAsia="Times New Roman" w:hAnsi="Arial" w:cs="Arial"/>
                <w:sz w:val="20"/>
                <w:szCs w:val="20"/>
                <w:lang w:val="sq-AL"/>
              </w:rPr>
            </w:pPr>
            <w:r w:rsidRPr="002A6F4E">
              <w:rPr>
                <w:rFonts w:ascii="Arial" w:eastAsia="Times New Roman" w:hAnsi="Arial" w:cs="Arial"/>
                <w:sz w:val="20"/>
                <w:szCs w:val="20"/>
                <w:lang w:val="sq-AL"/>
              </w:rPr>
              <w:t>Aluminijum: 50-60% (2025-2030)</w:t>
            </w:r>
          </w:p>
          <w:p w14:paraId="27FA9629" w14:textId="77777777" w:rsidR="00C232D7" w:rsidRPr="002A6F4E" w:rsidRDefault="00C232D7" w:rsidP="00C232D7">
            <w:pPr>
              <w:pStyle w:val="Normal-10pt-Table"/>
              <w:spacing w:before="0" w:after="0" w:line="360" w:lineRule="auto"/>
              <w:jc w:val="both"/>
              <w:rPr>
                <w:rFonts w:ascii="Arial" w:eastAsia="Times New Roman" w:hAnsi="Arial" w:cs="Arial"/>
                <w:sz w:val="20"/>
                <w:szCs w:val="20"/>
                <w:lang w:val="sq-AL"/>
              </w:rPr>
            </w:pPr>
            <w:r w:rsidRPr="002A6F4E">
              <w:rPr>
                <w:rFonts w:ascii="Arial" w:eastAsia="Times New Roman" w:hAnsi="Arial" w:cs="Arial"/>
                <w:sz w:val="20"/>
                <w:szCs w:val="20"/>
                <w:lang w:val="sq-AL"/>
              </w:rPr>
              <w:t>Plastika: 22.5-50-55%</w:t>
            </w:r>
          </w:p>
          <w:p w14:paraId="535F602F" w14:textId="77777777" w:rsidR="00C232D7" w:rsidRPr="002A6F4E" w:rsidRDefault="00C232D7" w:rsidP="00C232D7">
            <w:pPr>
              <w:pStyle w:val="Normal-10pt-Table"/>
              <w:spacing w:before="0" w:after="0" w:line="360" w:lineRule="auto"/>
              <w:jc w:val="both"/>
              <w:rPr>
                <w:rFonts w:ascii="Arial" w:eastAsia="Times New Roman" w:hAnsi="Arial" w:cs="Arial"/>
                <w:sz w:val="20"/>
                <w:szCs w:val="20"/>
                <w:lang w:val="sq-AL"/>
              </w:rPr>
            </w:pPr>
            <w:r w:rsidRPr="002A6F4E">
              <w:rPr>
                <w:rFonts w:ascii="Arial" w:eastAsia="Times New Roman" w:hAnsi="Arial" w:cs="Arial"/>
                <w:sz w:val="20"/>
                <w:szCs w:val="20"/>
                <w:lang w:val="sq-AL"/>
              </w:rPr>
              <w:t>Drvo: 15-25-30%</w:t>
            </w:r>
          </w:p>
          <w:p w14:paraId="0CF9DB3F" w14:textId="77777777" w:rsidR="00C232D7" w:rsidRPr="002A6F4E" w:rsidRDefault="00C232D7" w:rsidP="00C232D7">
            <w:pPr>
              <w:pStyle w:val="Normal-10pt-Table"/>
              <w:spacing w:before="0" w:after="0" w:line="360" w:lineRule="auto"/>
              <w:jc w:val="both"/>
              <w:rPr>
                <w:rFonts w:ascii="Arial" w:eastAsia="Times New Roman" w:hAnsi="Arial" w:cs="Arial"/>
                <w:sz w:val="20"/>
                <w:szCs w:val="20"/>
                <w:lang w:val="sq-AL"/>
              </w:rPr>
            </w:pPr>
            <w:r w:rsidRPr="002A6F4E">
              <w:rPr>
                <w:rFonts w:ascii="Arial" w:eastAsia="Times New Roman" w:hAnsi="Arial" w:cs="Arial"/>
                <w:sz w:val="20"/>
                <w:szCs w:val="20"/>
                <w:lang w:val="sq-AL"/>
              </w:rPr>
              <w:t>Ukupno recikliranje/kompostiranje: 55% (2020)</w:t>
            </w:r>
          </w:p>
          <w:p w14:paraId="685CB023" w14:textId="77777777" w:rsidR="00C232D7" w:rsidRPr="002A6F4E" w:rsidRDefault="00C232D7" w:rsidP="00C232D7">
            <w:pPr>
              <w:spacing w:line="360" w:lineRule="auto"/>
              <w:rPr>
                <w:rFonts w:ascii="Arial" w:eastAsia="Times New Roman" w:hAnsi="Arial" w:cs="Arial"/>
                <w:lang w:val="sq-AL"/>
              </w:rPr>
            </w:pPr>
            <w:r w:rsidRPr="002A6F4E">
              <w:rPr>
                <w:rFonts w:ascii="Arial" w:eastAsia="Times New Roman" w:hAnsi="Arial" w:cs="Arial"/>
                <w:lang w:val="sq-AL"/>
              </w:rPr>
              <w:t>Ukupno pripremljeno za ponovnu upotrebu/recikliranje: 65-70% (2025-2030)</w:t>
            </w:r>
          </w:p>
        </w:tc>
        <w:tc>
          <w:tcPr>
            <w:tcW w:w="2610" w:type="dxa"/>
            <w:tcBorders>
              <w:top w:val="single" w:sz="4" w:space="0" w:color="auto"/>
              <w:left w:val="single" w:sz="4" w:space="0" w:color="auto"/>
            </w:tcBorders>
            <w:shd w:val="clear" w:color="auto" w:fill="FBE4D5" w:themeFill="accent2" w:themeFillTint="33"/>
          </w:tcPr>
          <w:p w14:paraId="46DE2E05" w14:textId="2DBD4AF2" w:rsidR="00C232D7" w:rsidRPr="002A6F4E" w:rsidRDefault="00C232D7" w:rsidP="00C232D7">
            <w:pPr>
              <w:spacing w:line="360" w:lineRule="auto"/>
              <w:rPr>
                <w:rFonts w:ascii="Arial" w:eastAsia="Times New Roman" w:hAnsi="Arial" w:cs="Arial"/>
                <w:lang w:val="sq-AL"/>
              </w:rPr>
            </w:pPr>
            <w:r w:rsidRPr="002A6F4E">
              <w:rPr>
                <w:rFonts w:ascii="Arial" w:eastAsia="Times New Roman" w:hAnsi="Arial" w:cs="Arial"/>
                <w:lang w:val="sq-AL"/>
              </w:rPr>
              <w:t>2020</w:t>
            </w:r>
            <w:r w:rsidR="00462407">
              <w:rPr>
                <w:rFonts w:ascii="Arial" w:eastAsia="Times New Roman" w:hAnsi="Arial" w:cs="Arial"/>
                <w:lang w:val="sq-AL"/>
              </w:rPr>
              <w:t>.</w:t>
            </w:r>
            <w:r w:rsidRPr="002A6F4E">
              <w:rPr>
                <w:rFonts w:ascii="Arial" w:eastAsia="Times New Roman" w:hAnsi="Arial" w:cs="Arial"/>
                <w:lang w:val="sq-AL"/>
              </w:rPr>
              <w:t>-2025</w:t>
            </w:r>
            <w:r w:rsidR="00462407">
              <w:rPr>
                <w:rFonts w:ascii="Arial" w:eastAsia="Times New Roman" w:hAnsi="Arial" w:cs="Arial"/>
                <w:lang w:val="sq-AL"/>
              </w:rPr>
              <w:t>.</w:t>
            </w:r>
            <w:r w:rsidRPr="002A6F4E">
              <w:rPr>
                <w:rFonts w:ascii="Arial" w:eastAsia="Times New Roman" w:hAnsi="Arial" w:cs="Arial"/>
                <w:lang w:val="sq-AL"/>
              </w:rPr>
              <w:t>-2030</w:t>
            </w:r>
            <w:r w:rsidR="00462407">
              <w:rPr>
                <w:rFonts w:ascii="Arial" w:eastAsia="Times New Roman" w:hAnsi="Arial" w:cs="Arial"/>
                <w:lang w:val="sq-AL"/>
              </w:rPr>
              <w:t>.</w:t>
            </w:r>
          </w:p>
          <w:p w14:paraId="54984098" w14:textId="244D4E1C" w:rsidR="00C232D7" w:rsidRPr="002A6F4E" w:rsidRDefault="00C232D7" w:rsidP="00C232D7">
            <w:pPr>
              <w:spacing w:line="360" w:lineRule="auto"/>
              <w:rPr>
                <w:rFonts w:ascii="Arial" w:eastAsia="Times New Roman" w:hAnsi="Arial" w:cs="Arial"/>
                <w:lang w:val="sq-AL"/>
              </w:rPr>
            </w:pPr>
            <w:r w:rsidRPr="002A6F4E">
              <w:rPr>
                <w:rFonts w:ascii="Arial" w:eastAsia="Times New Roman" w:hAnsi="Arial" w:cs="Arial"/>
                <w:lang w:val="sq-AL"/>
              </w:rPr>
              <w:t>(odstupanje: do 2030, prema članu 62 Zakona o upravljanju otpadom / ciljevi su takođe različiti)</w:t>
            </w:r>
          </w:p>
        </w:tc>
      </w:tr>
    </w:tbl>
    <w:p w14:paraId="5548FBC1" w14:textId="5108C35D"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Zakonske obaveze za upravljanje komunalnim otpadom (otpad iz domaćinstava i sličnog otpada), koje su prikazane u </w:t>
      </w:r>
      <w:r w:rsidRPr="00731AEE">
        <w:rPr>
          <w:rFonts w:ascii="Arial" w:hAnsi="Arial" w:cs="Arial"/>
          <w:color w:val="000000" w:themeColor="text1"/>
          <w:lang w:val="sq-AL"/>
        </w:rPr>
        <w:t>Tabel</w:t>
      </w:r>
      <w:r w:rsidR="00DC41AD" w:rsidRPr="002A6F4E">
        <w:rPr>
          <w:rFonts w:ascii="Arial" w:hAnsi="Arial" w:cs="Arial"/>
          <w:color w:val="000000" w:themeColor="text1"/>
          <w:lang w:val="sq-AL"/>
        </w:rPr>
        <w:t>i</w:t>
      </w:r>
      <w:r w:rsidRPr="00731AEE">
        <w:rPr>
          <w:rFonts w:ascii="Arial" w:hAnsi="Arial" w:cs="Arial"/>
          <w:color w:val="000000" w:themeColor="text1"/>
          <w:lang w:val="sq-AL"/>
        </w:rPr>
        <w:t xml:space="preserve"> 1</w:t>
      </w:r>
      <w:r w:rsidRPr="002A6F4E">
        <w:rPr>
          <w:rFonts w:ascii="Arial" w:hAnsi="Arial" w:cs="Arial"/>
          <w:lang w:val="sq-AL"/>
        </w:rPr>
        <w:t>, propisane su Okvirnom direktivom o otpadu. To uključuje cilj od 50% komunalnog otpada pripremljenog za ponovnu upotrebu/reciklažu i koji treba da se ostvari do 2020.</w:t>
      </w:r>
      <w:r w:rsidR="00E1670E">
        <w:rPr>
          <w:rFonts w:ascii="Arial" w:hAnsi="Arial" w:cs="Arial"/>
          <w:lang w:val="sq-AL"/>
        </w:rPr>
        <w:t xml:space="preserve"> </w:t>
      </w:r>
      <w:r w:rsidRPr="002A6F4E">
        <w:rPr>
          <w:rFonts w:ascii="Arial" w:hAnsi="Arial" w:cs="Arial"/>
          <w:lang w:val="sq-AL"/>
        </w:rPr>
        <w:t>god</w:t>
      </w:r>
      <w:r w:rsidR="00E1670E">
        <w:rPr>
          <w:rFonts w:ascii="Arial" w:hAnsi="Arial" w:cs="Arial"/>
          <w:lang w:val="sq-AL"/>
        </w:rPr>
        <w:t>ine</w:t>
      </w:r>
      <w:r w:rsidRPr="002A6F4E">
        <w:rPr>
          <w:rFonts w:ascii="Arial" w:hAnsi="Arial" w:cs="Arial"/>
          <w:lang w:val="sq-AL"/>
        </w:rPr>
        <w:t xml:space="preserve"> Direktiva je </w:t>
      </w:r>
      <w:r w:rsidRPr="002A6F4E">
        <w:rPr>
          <w:rFonts w:ascii="Arial" w:hAnsi="Arial" w:cs="Arial"/>
          <w:lang w:val="sq-AL"/>
        </w:rPr>
        <w:lastRenderedPageBreak/>
        <w:t>izmjenjena 2018.</w:t>
      </w:r>
      <w:r w:rsidR="00E1670E">
        <w:rPr>
          <w:rFonts w:ascii="Arial" w:hAnsi="Arial" w:cs="Arial"/>
          <w:lang w:val="sq-AL"/>
        </w:rPr>
        <w:t xml:space="preserve"> </w:t>
      </w:r>
      <w:r w:rsidRPr="002A6F4E">
        <w:rPr>
          <w:rFonts w:ascii="Arial" w:hAnsi="Arial" w:cs="Arial"/>
          <w:lang w:val="sq-AL"/>
        </w:rPr>
        <w:t>godine kako bi uključila nove i ambicioznije ciljeve: 55% koje treba ostvariti do 2025. godine, 60% do 2030. i 65% do 2035. godine.</w:t>
      </w:r>
    </w:p>
    <w:p w14:paraId="6BEF111F"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Osim kvantitavnih ciljeva, novi zakonodavni okvir uključuje skup ključnih elemenata koji će podržati njegovu implementaciju, kao što su:</w:t>
      </w:r>
    </w:p>
    <w:p w14:paraId="4D70D5AF" w14:textId="583BA412"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Zabrana odlaganja odvojeno prikupljenog otpada</w:t>
      </w:r>
      <w:r w:rsidR="00E1670E">
        <w:rPr>
          <w:rFonts w:ascii="Arial" w:hAnsi="Arial" w:cs="Arial"/>
          <w:lang w:val="sq-AL"/>
        </w:rPr>
        <w:t>,</w:t>
      </w:r>
    </w:p>
    <w:p w14:paraId="7CC28B7D" w14:textId="7DFD96AC"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 xml:space="preserve">Promocija ekonomskih instrumenata za </w:t>
      </w:r>
      <w:r w:rsidR="009754D7">
        <w:rPr>
          <w:rFonts w:ascii="Arial" w:hAnsi="Arial" w:cs="Arial"/>
          <w:lang w:val="sq-AL"/>
        </w:rPr>
        <w:t xml:space="preserve">smanjenje količina </w:t>
      </w:r>
      <w:r w:rsidRPr="002A6F4E">
        <w:rPr>
          <w:rFonts w:ascii="Arial" w:hAnsi="Arial" w:cs="Arial"/>
          <w:lang w:val="sq-AL"/>
        </w:rPr>
        <w:t>deponov</w:t>
      </w:r>
      <w:r w:rsidR="009754D7">
        <w:rPr>
          <w:rFonts w:ascii="Arial" w:hAnsi="Arial" w:cs="Arial"/>
          <w:lang w:val="sq-AL"/>
        </w:rPr>
        <w:t>ovanog otpada</w:t>
      </w:r>
      <w:r w:rsidR="00E1670E">
        <w:rPr>
          <w:rFonts w:ascii="Arial" w:hAnsi="Arial" w:cs="Arial"/>
          <w:lang w:val="sq-AL"/>
        </w:rPr>
        <w:t>,</w:t>
      </w:r>
    </w:p>
    <w:p w14:paraId="4E6E3059" w14:textId="6A42D178"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Pojednostavljene i poboljšane definicije i usklađene metode obračuna stope reciklaže širom EU</w:t>
      </w:r>
      <w:r w:rsidR="00E1670E">
        <w:rPr>
          <w:rFonts w:ascii="Arial" w:hAnsi="Arial" w:cs="Arial"/>
          <w:lang w:val="sq-AL"/>
        </w:rPr>
        <w:t>,</w:t>
      </w:r>
    </w:p>
    <w:p w14:paraId="74419C92" w14:textId="6B118442"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 xml:space="preserve">Konkretne mjere za promovisanje ponovne upotrebe i za stimulisanje </w:t>
      </w:r>
      <w:r w:rsidR="00D94655">
        <w:rPr>
          <w:rFonts w:ascii="Arial" w:hAnsi="Arial" w:cs="Arial"/>
          <w:lang w:val="sq-AL"/>
        </w:rPr>
        <w:t>pretvaranja</w:t>
      </w:r>
      <w:r w:rsidRPr="002A6F4E">
        <w:rPr>
          <w:rFonts w:ascii="Arial" w:hAnsi="Arial" w:cs="Arial"/>
          <w:lang w:val="sq-AL"/>
        </w:rPr>
        <w:t xml:space="preserve"> nusproizvoda jedne industrije u sirovine </w:t>
      </w:r>
      <w:r w:rsidR="009754D7">
        <w:rPr>
          <w:rFonts w:ascii="Arial" w:hAnsi="Arial" w:cs="Arial"/>
          <w:lang w:val="sq-AL"/>
        </w:rPr>
        <w:t xml:space="preserve">za  primjenu u </w:t>
      </w:r>
      <w:r w:rsidRPr="002A6F4E">
        <w:rPr>
          <w:rFonts w:ascii="Arial" w:hAnsi="Arial" w:cs="Arial"/>
          <w:lang w:val="sq-AL"/>
        </w:rPr>
        <w:t>druge industrije</w:t>
      </w:r>
      <w:r w:rsidR="00E1670E">
        <w:rPr>
          <w:rFonts w:ascii="Arial" w:hAnsi="Arial" w:cs="Arial"/>
          <w:lang w:val="sq-AL"/>
        </w:rPr>
        <w:t>,</w:t>
      </w:r>
    </w:p>
    <w:p w14:paraId="14208FDE" w14:textId="3F2DC4A8"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 xml:space="preserve">Ekonomski podsticaji za proizvođače da plasiraju zelenije proizvode na tržište i podrže šeme </w:t>
      </w:r>
      <w:r w:rsidR="009754D7">
        <w:rPr>
          <w:rFonts w:ascii="Arial" w:hAnsi="Arial" w:cs="Arial"/>
          <w:lang w:val="sq-AL"/>
        </w:rPr>
        <w:t>ponovne upotrebe</w:t>
      </w:r>
      <w:r w:rsidR="009754D7" w:rsidRPr="002A6F4E">
        <w:rPr>
          <w:rFonts w:ascii="Arial" w:hAnsi="Arial" w:cs="Arial"/>
          <w:lang w:val="sq-AL"/>
        </w:rPr>
        <w:t xml:space="preserve"> </w:t>
      </w:r>
      <w:r w:rsidRPr="002A6F4E">
        <w:rPr>
          <w:rFonts w:ascii="Arial" w:hAnsi="Arial" w:cs="Arial"/>
          <w:lang w:val="sq-AL"/>
        </w:rPr>
        <w:t>i recikl</w:t>
      </w:r>
      <w:r w:rsidR="009754D7">
        <w:rPr>
          <w:rFonts w:ascii="Arial" w:hAnsi="Arial" w:cs="Arial"/>
          <w:lang w:val="sq-AL"/>
        </w:rPr>
        <w:t>iranja</w:t>
      </w:r>
      <w:r w:rsidRPr="002A6F4E">
        <w:rPr>
          <w:rFonts w:ascii="Arial" w:hAnsi="Arial" w:cs="Arial"/>
          <w:lang w:val="sq-AL"/>
        </w:rPr>
        <w:t xml:space="preserve"> (npr</w:t>
      </w:r>
      <w:r w:rsidR="009754D7">
        <w:rPr>
          <w:rFonts w:ascii="Arial" w:hAnsi="Arial" w:cs="Arial"/>
          <w:lang w:val="sq-AL"/>
        </w:rPr>
        <w:t>.</w:t>
      </w:r>
      <w:r w:rsidRPr="002A6F4E">
        <w:rPr>
          <w:rFonts w:ascii="Arial" w:hAnsi="Arial" w:cs="Arial"/>
          <w:lang w:val="sq-AL"/>
        </w:rPr>
        <w:t xml:space="preserve"> za ambalažu, baterije, električku i elektronsku opremu, vozila</w:t>
      </w:r>
      <w:r w:rsidR="00D94655">
        <w:rPr>
          <w:rFonts w:ascii="Arial" w:hAnsi="Arial" w:cs="Arial"/>
          <w:lang w:val="sq-AL"/>
        </w:rPr>
        <w:t xml:space="preserve"> i dr</w:t>
      </w:r>
      <w:r w:rsidRPr="002A6F4E">
        <w:rPr>
          <w:rFonts w:ascii="Arial" w:hAnsi="Arial" w:cs="Arial"/>
          <w:lang w:val="sq-AL"/>
        </w:rPr>
        <w:t>)</w:t>
      </w:r>
      <w:r w:rsidR="00E1670E">
        <w:rPr>
          <w:rFonts w:ascii="Arial" w:hAnsi="Arial" w:cs="Arial"/>
          <w:lang w:val="sq-AL"/>
        </w:rPr>
        <w:t>.</w:t>
      </w:r>
    </w:p>
    <w:p w14:paraId="403BF0D2" w14:textId="4B85286F"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 novembru 2022. godine, Evropska komisija je predložila nova pravila širom EU vezana za ambalažu, koja imaju za cilj prevenciju ambalažnog otpada, povećanje ponovne upotrebe i ponovnog punjenja i mogućnost recikl</w:t>
      </w:r>
      <w:r w:rsidR="009754D7">
        <w:rPr>
          <w:rFonts w:ascii="Arial" w:hAnsi="Arial" w:cs="Arial"/>
          <w:lang w:val="sq-AL"/>
        </w:rPr>
        <w:t>iranja</w:t>
      </w:r>
      <w:r w:rsidRPr="002A6F4E">
        <w:rPr>
          <w:rFonts w:ascii="Arial" w:hAnsi="Arial" w:cs="Arial"/>
          <w:lang w:val="sq-AL"/>
        </w:rPr>
        <w:t xml:space="preserve"> ambalaže do 2030.</w:t>
      </w:r>
      <w:r w:rsidR="00AF3EE4">
        <w:rPr>
          <w:rFonts w:ascii="Arial" w:hAnsi="Arial" w:cs="Arial"/>
          <w:lang w:val="sq-AL"/>
        </w:rPr>
        <w:t xml:space="preserve"> godine.</w:t>
      </w:r>
      <w:r w:rsidRPr="002A6F4E">
        <w:rPr>
          <w:rFonts w:ascii="Arial" w:hAnsi="Arial" w:cs="Arial"/>
          <w:lang w:val="sq-AL"/>
        </w:rPr>
        <w:t xml:space="preserve"> Predložena izmjena zakonodavstva EU o ambalaži i ambalažnom otpadu ima tri glavna cilja. Prvi, da spriječi stvaranje ambalažnog otpada: smanjiti njegovu količinu, ograničiti nepotrebnu ambalažu i promovisati rješenja za ponovnu upotrebu. Drugi, da se podstakne visokokvalitetna ambalaža: da se napravi da se sva ambalaža na tržištu EU može reciklirati na e</w:t>
      </w:r>
      <w:r w:rsidR="00D2384E">
        <w:rPr>
          <w:rFonts w:ascii="Arial" w:hAnsi="Arial" w:cs="Arial"/>
          <w:lang w:val="sq-AL"/>
        </w:rPr>
        <w:t xml:space="preserve">konomski održiv način do 2030. </w:t>
      </w:r>
      <w:r w:rsidR="00AF3EE4">
        <w:rPr>
          <w:rFonts w:ascii="Arial" w:hAnsi="Arial" w:cs="Arial"/>
          <w:lang w:val="sq-AL"/>
        </w:rPr>
        <w:t xml:space="preserve">godine </w:t>
      </w:r>
      <w:r w:rsidR="00D2384E">
        <w:rPr>
          <w:rFonts w:ascii="Arial" w:hAnsi="Arial" w:cs="Arial"/>
          <w:lang w:val="sq-AL"/>
        </w:rPr>
        <w:t>i</w:t>
      </w:r>
      <w:r w:rsidRPr="002A6F4E">
        <w:rPr>
          <w:rFonts w:ascii="Arial" w:hAnsi="Arial" w:cs="Arial"/>
          <w:lang w:val="sq-AL"/>
        </w:rPr>
        <w:t xml:space="preserve"> konačno, da se smanji potreba za primarnim prirodnim resursima i da se stvori dobro funkcionalno tržište za sekundarne sirovine, povećavajući upotrebu reciklirane plastike u ambalaži kroz obavezne ciljeve. Glavni cilj je smanjenje ambalažnog otpada </w:t>
      </w:r>
      <w:r w:rsidR="00716B5F" w:rsidRPr="002A6F4E">
        <w:rPr>
          <w:rFonts w:ascii="Arial" w:hAnsi="Arial" w:cs="Arial"/>
          <w:lang w:val="sq-AL"/>
        </w:rPr>
        <w:t>u poređenju sa 2018</w:t>
      </w:r>
      <w:r w:rsidR="00716B5F">
        <w:rPr>
          <w:rFonts w:ascii="Arial" w:hAnsi="Arial" w:cs="Arial"/>
          <w:lang w:val="sq-AL"/>
        </w:rPr>
        <w:t>. godinom</w:t>
      </w:r>
      <w:r w:rsidR="00716B5F" w:rsidRPr="002A6F4E">
        <w:rPr>
          <w:rFonts w:ascii="Arial" w:hAnsi="Arial" w:cs="Arial"/>
          <w:lang w:val="sq-AL"/>
        </w:rPr>
        <w:t xml:space="preserve"> </w:t>
      </w:r>
      <w:r w:rsidRPr="002A6F4E">
        <w:rPr>
          <w:rFonts w:ascii="Arial" w:hAnsi="Arial" w:cs="Arial"/>
          <w:lang w:val="sq-AL"/>
        </w:rPr>
        <w:t xml:space="preserve">za 15% do 2040. godine po glavi </w:t>
      </w:r>
      <w:r w:rsidR="00792052">
        <w:rPr>
          <w:rFonts w:ascii="Arial" w:hAnsi="Arial" w:cs="Arial"/>
          <w:lang w:val="sq-AL"/>
        </w:rPr>
        <w:t>stanovnika u državama članicama</w:t>
      </w:r>
      <w:r w:rsidRPr="002A6F4E">
        <w:rPr>
          <w:rFonts w:ascii="Arial" w:hAnsi="Arial" w:cs="Arial"/>
          <w:lang w:val="sq-AL"/>
        </w:rPr>
        <w:t xml:space="preserve">. </w:t>
      </w:r>
    </w:p>
    <w:p w14:paraId="56927278" w14:textId="76D6D50A" w:rsidR="00C232D7" w:rsidRPr="002A6F4E" w:rsidRDefault="00C232D7" w:rsidP="00F57909">
      <w:pPr>
        <w:pStyle w:val="Heading2"/>
      </w:pPr>
      <w:bookmarkStart w:id="655" w:name="_Toc132410204"/>
      <w:bookmarkStart w:id="656" w:name="_Toc132540693"/>
      <w:bookmarkStart w:id="657" w:name="_Toc132625365"/>
      <w:bookmarkStart w:id="658" w:name="_Toc132544715"/>
      <w:bookmarkStart w:id="659" w:name="_Toc132550174"/>
      <w:bookmarkStart w:id="660" w:name="_Toc132554649"/>
      <w:bookmarkStart w:id="661" w:name="_Toc132541719"/>
      <w:bookmarkStart w:id="662" w:name="_Toc132546743"/>
      <w:bookmarkStart w:id="663" w:name="_Toc132402574"/>
      <w:bookmarkStart w:id="664" w:name="_Toc132409788"/>
      <w:bookmarkStart w:id="665" w:name="_Toc132556394"/>
      <w:bookmarkStart w:id="666" w:name="_Toc132733817"/>
      <w:bookmarkStart w:id="667" w:name="_Toc132557254"/>
      <w:bookmarkStart w:id="668" w:name="_Toc132405234"/>
      <w:bookmarkStart w:id="669" w:name="_Toc132408916"/>
      <w:bookmarkStart w:id="670" w:name="_Toc132551615"/>
      <w:bookmarkStart w:id="671" w:name="_Toc132726446"/>
      <w:bookmarkStart w:id="672" w:name="_Toc19335396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r w:rsidRPr="002A6F4E">
        <w:t xml:space="preserve">2.4. </w:t>
      </w:r>
      <w:r w:rsidR="0064770A">
        <w:t>P</w:t>
      </w:r>
      <w:r w:rsidRPr="002A6F4E">
        <w:t>ravni okvir za upravljanje otpadom</w:t>
      </w:r>
      <w:r w:rsidR="0064770A">
        <w:t xml:space="preserve"> u Crnoj Gori</w:t>
      </w:r>
      <w:bookmarkEnd w:id="672"/>
    </w:p>
    <w:p w14:paraId="4B3E38B0" w14:textId="22DF4B4F"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Upravljanje otpadom u Crnoj Gori definisan</w:t>
      </w:r>
      <w:r w:rsidR="00E63905">
        <w:rPr>
          <w:rFonts w:ascii="Arial" w:hAnsi="Arial" w:cs="Arial"/>
          <w:lang w:val="sq-AL"/>
        </w:rPr>
        <w:t>o</w:t>
      </w:r>
      <w:r w:rsidRPr="002A6F4E">
        <w:rPr>
          <w:rFonts w:ascii="Arial" w:hAnsi="Arial" w:cs="Arial"/>
          <w:lang w:val="sq-AL"/>
        </w:rPr>
        <w:t xml:space="preserve"> je 2004. godine usvajanjem dokumenta Nacionalne politike za integrisano i održivo upravljanje otpadom. U ovom dokumentu je precizirano da je njegova svrha “predlaganje ciljeva i strategija za smanjenje, kontrolu i upravljanje otpadom i njegovim zagađenjem, što je od suštinskog značaja za održivi, ekološki i ekonomski razvoj Crne Gore”. </w:t>
      </w:r>
    </w:p>
    <w:p w14:paraId="2D11A2A3" w14:textId="05FC9503"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Od tada su preduzeti značajni koraci u oblasti politike i regulative upravljanja otpadom. Kratka analiza data</w:t>
      </w:r>
      <w:r w:rsidR="00792052">
        <w:rPr>
          <w:rFonts w:ascii="Arial" w:hAnsi="Arial" w:cs="Arial"/>
          <w:lang w:val="sq-AL"/>
        </w:rPr>
        <w:t xml:space="preserve"> je</w:t>
      </w:r>
      <w:r w:rsidRPr="002A6F4E">
        <w:rPr>
          <w:rFonts w:ascii="Arial" w:hAnsi="Arial" w:cs="Arial"/>
          <w:lang w:val="sq-AL"/>
        </w:rPr>
        <w:t xml:space="preserve"> u narednim poglavljima.</w:t>
      </w:r>
    </w:p>
    <w:p w14:paraId="189913DF" w14:textId="77777777" w:rsidR="00C232D7" w:rsidRPr="002A6F4E" w:rsidRDefault="00C232D7" w:rsidP="00F57909">
      <w:pPr>
        <w:pStyle w:val="Heading2"/>
      </w:pPr>
      <w:bookmarkStart w:id="673" w:name="_Toc193353965"/>
      <w:r w:rsidRPr="002A6F4E">
        <w:t>2.5. Zakon o upravljanju otpadom</w:t>
      </w:r>
      <w:bookmarkEnd w:id="673"/>
    </w:p>
    <w:p w14:paraId="439BFE85" w14:textId="35A5BCF3" w:rsidR="00C232D7" w:rsidRPr="00A657E5" w:rsidRDefault="00C232D7" w:rsidP="00C232D7">
      <w:pPr>
        <w:spacing w:before="120" w:after="120" w:line="360" w:lineRule="auto"/>
        <w:rPr>
          <w:rFonts w:ascii="Arial" w:hAnsi="Arial" w:cs="Arial"/>
          <w:lang w:val="sq-AL"/>
        </w:rPr>
      </w:pPr>
      <w:r w:rsidRPr="002A6F4E">
        <w:rPr>
          <w:rFonts w:ascii="Arial" w:hAnsi="Arial" w:cs="Arial"/>
          <w:lang w:val="sq-AL"/>
        </w:rPr>
        <w:t>Pravni okvir</w:t>
      </w:r>
      <w:r w:rsidR="00A657E5">
        <w:rPr>
          <w:rFonts w:ascii="Arial" w:hAnsi="Arial" w:cs="Arial"/>
          <w:lang w:val="sq-AL"/>
        </w:rPr>
        <w:t xml:space="preserve"> </w:t>
      </w:r>
      <w:r w:rsidRPr="002A6F4E">
        <w:rPr>
          <w:rFonts w:ascii="Arial" w:hAnsi="Arial" w:cs="Arial"/>
          <w:lang w:val="sq-AL"/>
        </w:rPr>
        <w:t xml:space="preserve">u Crnoj Gori </w:t>
      </w:r>
      <w:r w:rsidR="00A657E5" w:rsidRPr="00A657E5">
        <w:rPr>
          <w:rFonts w:ascii="Arial" w:hAnsi="Arial" w:cs="Arial"/>
          <w:lang w:val="sq-AL"/>
        </w:rPr>
        <w:t xml:space="preserve">oslanja </w:t>
      </w:r>
      <w:r w:rsidR="002516F1">
        <w:rPr>
          <w:rFonts w:ascii="Arial" w:hAnsi="Arial" w:cs="Arial"/>
          <w:lang w:val="sq-AL"/>
        </w:rPr>
        <w:t xml:space="preserve">se </w:t>
      </w:r>
      <w:r w:rsidR="00A657E5" w:rsidRPr="00A657E5">
        <w:rPr>
          <w:rFonts w:ascii="Arial" w:hAnsi="Arial" w:cs="Arial"/>
          <w:lang w:val="sq-AL"/>
        </w:rPr>
        <w:t xml:space="preserve">na </w:t>
      </w:r>
      <w:r w:rsidR="00716B5F">
        <w:rPr>
          <w:rFonts w:ascii="Arial" w:hAnsi="Arial" w:cs="Arial"/>
          <w:lang w:val="sq-AL"/>
        </w:rPr>
        <w:t xml:space="preserve">novi </w:t>
      </w:r>
      <w:r w:rsidRPr="00A657E5">
        <w:rPr>
          <w:rFonts w:ascii="Arial" w:hAnsi="Arial" w:cs="Arial"/>
          <w:lang w:val="sq-AL"/>
        </w:rPr>
        <w:t xml:space="preserve">Zakon </w:t>
      </w:r>
      <w:bookmarkStart w:id="674" w:name="_Hlk191286903"/>
      <w:r w:rsidRPr="00A657E5">
        <w:rPr>
          <w:rFonts w:ascii="Arial" w:hAnsi="Arial" w:cs="Arial"/>
          <w:lang w:val="sq-AL"/>
        </w:rPr>
        <w:t>o upravljanju otpadom</w:t>
      </w:r>
      <w:bookmarkEnd w:id="674"/>
      <w:r w:rsidRPr="00A657E5">
        <w:rPr>
          <w:rFonts w:ascii="Arial" w:hAnsi="Arial" w:cs="Arial"/>
          <w:lang w:val="sq-AL"/>
        </w:rPr>
        <w:t>, koji ima za cilj transponovanje zakonodavstva EU o otpadu</w:t>
      </w:r>
      <w:r w:rsidR="00716B5F">
        <w:rPr>
          <w:rFonts w:ascii="Arial" w:hAnsi="Arial" w:cs="Arial"/>
          <w:lang w:val="sq-AL"/>
        </w:rPr>
        <w:t xml:space="preserve"> i otklanjanju </w:t>
      </w:r>
      <w:r w:rsidRPr="00A657E5">
        <w:rPr>
          <w:rFonts w:ascii="Arial" w:hAnsi="Arial" w:cs="Arial"/>
          <w:lang w:val="sq-AL"/>
        </w:rPr>
        <w:t>nedostataka u njegovoj primjeni. Prema Zakonu</w:t>
      </w:r>
      <w:r w:rsidR="00716B5F" w:rsidRPr="00D94655">
        <w:rPr>
          <w:lang w:val="sq-AL"/>
        </w:rPr>
        <w:t xml:space="preserve"> </w:t>
      </w:r>
      <w:r w:rsidR="00716B5F" w:rsidRPr="00716B5F">
        <w:rPr>
          <w:rFonts w:ascii="Arial" w:hAnsi="Arial" w:cs="Arial"/>
          <w:lang w:val="sq-AL"/>
        </w:rPr>
        <w:t>o upravljanju otpadom</w:t>
      </w:r>
      <w:r w:rsidRPr="00A657E5">
        <w:rPr>
          <w:rFonts w:ascii="Arial" w:hAnsi="Arial" w:cs="Arial"/>
          <w:lang w:val="sq-AL"/>
        </w:rPr>
        <w:t xml:space="preserve"> (član 3), otpad se odnosi na „svaku materiju ili predmet koju je imalac odbacio, namjerava da odbaci ili je dužan da odbaci u skladu sa zakonom;”.</w:t>
      </w:r>
      <w:r w:rsidR="00FA4935">
        <w:rPr>
          <w:rFonts w:ascii="Arial" w:hAnsi="Arial" w:cs="Arial"/>
          <w:lang w:val="sq-AL"/>
        </w:rPr>
        <w:t xml:space="preserve"> </w:t>
      </w:r>
      <w:r w:rsidRPr="00A657E5">
        <w:rPr>
          <w:rFonts w:ascii="Arial" w:hAnsi="Arial" w:cs="Arial"/>
          <w:lang w:val="sq-AL"/>
        </w:rPr>
        <w:t>Vrste otpada su:</w:t>
      </w:r>
    </w:p>
    <w:p w14:paraId="52800A1C" w14:textId="77777777"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A657E5">
        <w:rPr>
          <w:rFonts w:ascii="Arial" w:hAnsi="Arial" w:cs="Arial"/>
          <w:lang w:val="sq-AL"/>
        </w:rPr>
        <w:lastRenderedPageBreak/>
        <w:t>Komunalni otpad – otpad koji nastaje</w:t>
      </w:r>
      <w:r w:rsidRPr="002A6F4E">
        <w:rPr>
          <w:rFonts w:ascii="Arial" w:hAnsi="Arial" w:cs="Arial"/>
          <w:lang w:val="sq-AL"/>
        </w:rPr>
        <w:t xml:space="preserve"> u domaćinstvima (kućni otpad), kao i otpad koji nastaje obavljanjem određenih djelatnosti i koji je, po svojoj prirodi i sastavu, sličan otpadu iz domaćinstava;</w:t>
      </w:r>
    </w:p>
    <w:p w14:paraId="1510AD31" w14:textId="54B0062D"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Otpad koji nastaje u privrednim subjektima, ustanovama i drugim organizacijama, k</w:t>
      </w:r>
      <w:r w:rsidR="009E69E7">
        <w:rPr>
          <w:rFonts w:ascii="Arial" w:hAnsi="Arial" w:cs="Arial"/>
          <w:lang w:val="sq-AL"/>
        </w:rPr>
        <w:t>oji se u potpunosti ili djelimič</w:t>
      </w:r>
      <w:r w:rsidRPr="002A6F4E">
        <w:rPr>
          <w:rFonts w:ascii="Arial" w:hAnsi="Arial" w:cs="Arial"/>
          <w:lang w:val="sq-AL"/>
        </w:rPr>
        <w:t>no bave trgovinom, uslužnim djelatnostima, kancelarijskim poslovima, sportom</w:t>
      </w:r>
      <w:r w:rsidR="00716B5F">
        <w:rPr>
          <w:rFonts w:ascii="Arial" w:hAnsi="Arial" w:cs="Arial"/>
          <w:lang w:val="sq-AL"/>
        </w:rPr>
        <w:t xml:space="preserve"> i</w:t>
      </w:r>
      <w:r w:rsidRPr="002A6F4E">
        <w:rPr>
          <w:rFonts w:ascii="Arial" w:hAnsi="Arial" w:cs="Arial"/>
          <w:lang w:val="sq-AL"/>
        </w:rPr>
        <w:t xml:space="preserve"> rekreacijom, ne uključujući otpad iz domaćinstava i industrijski otpad</w:t>
      </w:r>
      <w:r w:rsidR="00FA4935">
        <w:rPr>
          <w:rFonts w:ascii="Arial" w:hAnsi="Arial" w:cs="Arial"/>
          <w:lang w:val="sq-AL"/>
        </w:rPr>
        <w:t>;</w:t>
      </w:r>
    </w:p>
    <w:p w14:paraId="3BD0DC2F" w14:textId="7FE9C1B0"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Industrijski otpad – otpad koji nastaje u bilo kom industrijskom objektu, kao i na lokacijama na kojima se nalaze i koji se po svom sastavu i karakteristikama razlikuje od komunalnog otpada.</w:t>
      </w:r>
    </w:p>
    <w:p w14:paraId="569BD76E"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 zavisnosti od opasnih karakteristika koje mogu uticati na zdravlje ljudi i životnu sredinu, otpad može biti:</w:t>
      </w:r>
    </w:p>
    <w:p w14:paraId="33A4876E" w14:textId="07D43162"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neopasan – otpad koji ne ugrožava zdravlje ili životnu sredinu i nema karakteristike opasnog otpada</w:t>
      </w:r>
      <w:r w:rsidR="00FA4935">
        <w:rPr>
          <w:rFonts w:ascii="Arial" w:hAnsi="Arial" w:cs="Arial"/>
          <w:iCs/>
          <w:lang w:val="sq-AL"/>
        </w:rPr>
        <w:t>,</w:t>
      </w:r>
    </w:p>
    <w:p w14:paraId="49EC5316" w14:textId="72774115"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inertan – otpad koji nije podložan bilo kakvim fizičkim, hemijskim ili biološkim promjenama</w:t>
      </w:r>
      <w:r w:rsidR="00FA4935">
        <w:rPr>
          <w:rFonts w:ascii="Arial" w:hAnsi="Arial" w:cs="Arial"/>
          <w:iCs/>
          <w:lang w:val="sq-AL"/>
        </w:rPr>
        <w:t>,</w:t>
      </w:r>
    </w:p>
    <w:p w14:paraId="0A3C61D1" w14:textId="6408C394"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opasan – otpad koji zbog svog porijekla, sastava ili koncentracije opasnih supstanci, može izazvati opasnost po životnu sredinu i zdravlje ljudi</w:t>
      </w:r>
      <w:r w:rsidR="00FA4935">
        <w:rPr>
          <w:rFonts w:ascii="Arial" w:hAnsi="Arial" w:cs="Arial"/>
          <w:iCs/>
          <w:lang w:val="sq-AL"/>
        </w:rPr>
        <w:t>.</w:t>
      </w:r>
    </w:p>
    <w:p w14:paraId="498134D7" w14:textId="1F407CD6"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Prema Zakonu</w:t>
      </w:r>
      <w:r w:rsidR="00716B5F">
        <w:rPr>
          <w:rFonts w:ascii="Arial" w:hAnsi="Arial" w:cs="Arial"/>
          <w:lang w:val="sq-AL"/>
        </w:rPr>
        <w:t xml:space="preserve"> o upravljanju otapdom</w:t>
      </w:r>
      <w:r w:rsidRPr="002A6F4E">
        <w:rPr>
          <w:rFonts w:ascii="Arial" w:hAnsi="Arial" w:cs="Arial"/>
          <w:lang w:val="sq-AL"/>
        </w:rPr>
        <w:t>, upravljanje otpadom se odnosi na smanjenje količine nastalog otpada, ponovnom upotrebom i sl., kao i na njegovo sakupljanje, transport, preradu i odlaganje. Takođe uključuje i upravljanje nadzorom ovih procedura i naknadnim održavanjem stvorenih deponija, uključujuči i aktivnosti trgovaca i posrednika za otpad.</w:t>
      </w:r>
    </w:p>
    <w:p w14:paraId="7CD4F27F" w14:textId="3A977A95" w:rsidR="00C232D7" w:rsidRPr="002A6F4E" w:rsidRDefault="00C232D7" w:rsidP="00C232D7">
      <w:pPr>
        <w:spacing w:before="120" w:after="120" w:line="360" w:lineRule="auto"/>
        <w:rPr>
          <w:rFonts w:ascii="Arial" w:hAnsi="Arial" w:cs="Arial"/>
          <w:bCs/>
          <w:iCs/>
          <w:lang w:val="sq-AL"/>
        </w:rPr>
      </w:pPr>
      <w:r w:rsidRPr="002A6F4E">
        <w:rPr>
          <w:rFonts w:ascii="Arial" w:hAnsi="Arial" w:cs="Arial"/>
          <w:lang w:val="sq-AL"/>
        </w:rPr>
        <w:t>Kao osnov za uspostavljanje sistema upravljanja otpado</w:t>
      </w:r>
      <w:r w:rsidR="00792052">
        <w:rPr>
          <w:rFonts w:ascii="Arial" w:hAnsi="Arial" w:cs="Arial"/>
          <w:lang w:val="sq-AL"/>
        </w:rPr>
        <w:t xml:space="preserve">m, Zakon o upravljanju otpadom </w:t>
      </w:r>
      <w:r w:rsidRPr="002A6F4E">
        <w:rPr>
          <w:rFonts w:ascii="Arial" w:hAnsi="Arial" w:cs="Arial"/>
          <w:bCs/>
          <w:iCs/>
          <w:lang w:val="sq-AL"/>
        </w:rPr>
        <w:t xml:space="preserve">predviđa izradu </w:t>
      </w:r>
      <w:r w:rsidR="00716B5F">
        <w:rPr>
          <w:rFonts w:ascii="Arial" w:hAnsi="Arial" w:cs="Arial"/>
          <w:bCs/>
          <w:iCs/>
          <w:lang w:val="sq-AL"/>
        </w:rPr>
        <w:t xml:space="preserve">Državnog </w:t>
      </w:r>
      <w:r w:rsidRPr="002A6F4E">
        <w:rPr>
          <w:rFonts w:ascii="Arial" w:hAnsi="Arial" w:cs="Arial"/>
          <w:bCs/>
          <w:iCs/>
          <w:lang w:val="sq-AL"/>
        </w:rPr>
        <w:t>plana za upravljanje otpadom, kojim se definiše planirani sistem, ali i svi ciljevi, mjere i aktivnosti koje je potrebno ostvariti i preduzeti da bi se uspostavio</w:t>
      </w:r>
      <w:r w:rsidR="002F47D3">
        <w:rPr>
          <w:rFonts w:ascii="Arial" w:hAnsi="Arial" w:cs="Arial"/>
          <w:bCs/>
          <w:iCs/>
          <w:lang w:val="sq-AL"/>
        </w:rPr>
        <w:t xml:space="preserve"> ovaj sistem</w:t>
      </w:r>
      <w:r w:rsidRPr="002A6F4E">
        <w:rPr>
          <w:rFonts w:ascii="Arial" w:hAnsi="Arial" w:cs="Arial"/>
          <w:bCs/>
          <w:iCs/>
          <w:lang w:val="sq-AL"/>
        </w:rPr>
        <w:t>.</w:t>
      </w:r>
    </w:p>
    <w:p w14:paraId="1067DC8A" w14:textId="708CF44B" w:rsidR="00C232D7" w:rsidRPr="00735E44" w:rsidRDefault="00C232D7" w:rsidP="00C232D7">
      <w:pPr>
        <w:spacing w:before="120" w:after="120" w:line="360" w:lineRule="auto"/>
        <w:rPr>
          <w:rFonts w:ascii="Arial" w:hAnsi="Arial" w:cs="Arial"/>
          <w:lang w:val="sq-AL"/>
        </w:rPr>
      </w:pPr>
      <w:r w:rsidRPr="00735E44">
        <w:rPr>
          <w:rFonts w:ascii="Arial" w:hAnsi="Arial" w:cs="Arial"/>
          <w:lang w:val="sq-AL"/>
        </w:rPr>
        <w:t>Upravljanje otpadom se zasniva na sl</w:t>
      </w:r>
      <w:r w:rsidR="009E69E7" w:rsidRPr="00735E44">
        <w:rPr>
          <w:rFonts w:ascii="Arial" w:hAnsi="Arial" w:cs="Arial"/>
          <w:lang w:val="sq-AL"/>
        </w:rPr>
        <w:t>j</w:t>
      </w:r>
      <w:r w:rsidRPr="00735E44">
        <w:rPr>
          <w:rFonts w:ascii="Arial" w:hAnsi="Arial" w:cs="Arial"/>
          <w:lang w:val="sq-AL"/>
        </w:rPr>
        <w:t>edećim osnovnim principima:</w:t>
      </w:r>
    </w:p>
    <w:p w14:paraId="7B844AE8" w14:textId="77777777" w:rsidR="00C232D7" w:rsidRPr="00735E44" w:rsidRDefault="00C232D7" w:rsidP="00A23ED0">
      <w:pPr>
        <w:pStyle w:val="ListParagraph"/>
        <w:numPr>
          <w:ilvl w:val="0"/>
          <w:numId w:val="19"/>
        </w:numPr>
        <w:spacing w:before="120" w:after="120" w:line="360" w:lineRule="auto"/>
        <w:contextualSpacing w:val="0"/>
        <w:rPr>
          <w:rFonts w:ascii="Arial" w:hAnsi="Arial" w:cs="Arial"/>
          <w:lang w:val="sq-AL"/>
        </w:rPr>
      </w:pPr>
      <w:r w:rsidRPr="00735E44">
        <w:rPr>
          <w:rFonts w:ascii="Arial" w:hAnsi="Arial" w:cs="Arial"/>
          <w:lang w:val="sq-AL"/>
        </w:rPr>
        <w:t>princip održivog razvoja – obezbjeđuje upravljanje otpadom na način koji doprinosi ostvarivanju ciljeva održivog razvoja kroz efikasniju upotrebu resursa i smanjenje korišćenja otpada. Održivi razvoj je usklađeni sistem tehničko-tehnoloških, ekonomskih i drusštvenih aktivnosti u ukupnom razvoju u kome se na principima ekonomičnosti i razumnosti koriste prirodni resursi, u cilju očuvanja i poboljšanja kvaliteta životne sredine za sadašnje i buduće generacije;</w:t>
      </w:r>
    </w:p>
    <w:p w14:paraId="1D3AB000" w14:textId="77777777" w:rsidR="00C232D7" w:rsidRPr="00735E44" w:rsidRDefault="00C232D7" w:rsidP="00A23ED0">
      <w:pPr>
        <w:pStyle w:val="ListParagraph"/>
        <w:numPr>
          <w:ilvl w:val="0"/>
          <w:numId w:val="19"/>
        </w:numPr>
        <w:spacing w:before="120" w:after="120" w:line="360" w:lineRule="auto"/>
        <w:contextualSpacing w:val="0"/>
        <w:rPr>
          <w:rFonts w:ascii="Arial" w:hAnsi="Arial" w:cs="Arial"/>
          <w:lang w:val="sq-AL"/>
        </w:rPr>
      </w:pPr>
      <w:r w:rsidRPr="00735E44">
        <w:rPr>
          <w:rFonts w:ascii="Arial" w:hAnsi="Arial" w:cs="Arial"/>
          <w:lang w:val="sq-AL"/>
        </w:rPr>
        <w:t>princip blizine i regionalnog upravljanja otpadom – obezbjeđuje tretman otpada na najbližem mogućem mjestu nastanka u skladu sa ekonomskom opravdanošću izbora lokacije, dok je regionalno upravljanje otpadom obezbjeđeno jasno definisanim regionalnim strateškim planovima zasnovanim na nacionalnoj politici o upravljanju otpadom;</w:t>
      </w:r>
    </w:p>
    <w:p w14:paraId="6F7EC471" w14:textId="14535E95" w:rsidR="00C232D7" w:rsidRPr="00735E44" w:rsidRDefault="00C232D7" w:rsidP="00A23ED0">
      <w:pPr>
        <w:pStyle w:val="ListParagraph"/>
        <w:numPr>
          <w:ilvl w:val="0"/>
          <w:numId w:val="19"/>
        </w:numPr>
        <w:spacing w:before="120" w:after="120" w:line="360" w:lineRule="auto"/>
        <w:contextualSpacing w:val="0"/>
        <w:rPr>
          <w:rFonts w:ascii="Arial" w:hAnsi="Arial" w:cs="Arial"/>
          <w:lang w:val="sq-AL"/>
        </w:rPr>
      </w:pPr>
      <w:r w:rsidRPr="00735E44">
        <w:rPr>
          <w:rFonts w:ascii="Arial" w:hAnsi="Arial" w:cs="Arial"/>
          <w:lang w:val="sq-AL"/>
        </w:rPr>
        <w:t>princip predostrožnosti – obezbjeđuje preventivno djelovanje preduzimanjem mjera za sprečavanje negativnih uticaja na životnu sredinu i zdravlje ljudi i u nedostatku naučnih i stručnih  podataka;</w:t>
      </w:r>
    </w:p>
    <w:p w14:paraId="6D431816" w14:textId="4783B804" w:rsidR="00C232D7" w:rsidRPr="00735E44" w:rsidRDefault="00C232D7" w:rsidP="00A23ED0">
      <w:pPr>
        <w:pStyle w:val="ListParagraph"/>
        <w:numPr>
          <w:ilvl w:val="0"/>
          <w:numId w:val="19"/>
        </w:numPr>
        <w:spacing w:before="120" w:after="120" w:line="360" w:lineRule="auto"/>
        <w:contextualSpacing w:val="0"/>
        <w:rPr>
          <w:rFonts w:ascii="Arial" w:hAnsi="Arial" w:cs="Arial"/>
          <w:lang w:val="sq-AL"/>
        </w:rPr>
      </w:pPr>
      <w:r w:rsidRPr="00735E44">
        <w:rPr>
          <w:rFonts w:ascii="Arial" w:hAnsi="Arial" w:cs="Arial"/>
          <w:lang w:val="sq-AL"/>
        </w:rPr>
        <w:t xml:space="preserve">princip </w:t>
      </w:r>
      <w:r w:rsidR="00023A48" w:rsidRPr="00735E44">
        <w:rPr>
          <w:rFonts w:ascii="Arial" w:hAnsi="Arial" w:cs="Arial"/>
          <w:lang w:val="sq-AL"/>
        </w:rPr>
        <w:t>“</w:t>
      </w:r>
      <w:r w:rsidRPr="00735E44">
        <w:rPr>
          <w:rFonts w:ascii="Arial" w:hAnsi="Arial" w:cs="Arial"/>
          <w:lang w:val="sq-AL"/>
        </w:rPr>
        <w:t>zagađivač plaća</w:t>
      </w:r>
      <w:r w:rsidR="00023A48" w:rsidRPr="00735E44">
        <w:rPr>
          <w:rFonts w:ascii="Arial" w:hAnsi="Arial" w:cs="Arial"/>
          <w:lang w:val="sq-AL"/>
        </w:rPr>
        <w:t>”</w:t>
      </w:r>
      <w:r w:rsidRPr="00735E44">
        <w:rPr>
          <w:rFonts w:ascii="Arial" w:hAnsi="Arial" w:cs="Arial"/>
          <w:lang w:val="sq-AL"/>
        </w:rPr>
        <w:t xml:space="preserve"> – obezbjeđuje da proizvođač otpada snosi troškove upravljanja otpadom i preventivnog djelovanja i troškove sanacijskih mjera usl</w:t>
      </w:r>
      <w:r w:rsidR="0079476A" w:rsidRPr="00735E44">
        <w:rPr>
          <w:rFonts w:ascii="Arial" w:hAnsi="Arial" w:cs="Arial"/>
          <w:lang w:val="sq-AL"/>
        </w:rPr>
        <w:t>j</w:t>
      </w:r>
      <w:r w:rsidRPr="00735E44">
        <w:rPr>
          <w:rFonts w:ascii="Arial" w:hAnsi="Arial" w:cs="Arial"/>
          <w:lang w:val="sq-AL"/>
        </w:rPr>
        <w:t>ed negativnih uticaja na životnu sredinu i ljudsko zdravlje;</w:t>
      </w:r>
    </w:p>
    <w:p w14:paraId="41FFF9B4" w14:textId="6FED9C60" w:rsidR="00C232D7" w:rsidRPr="00735E44" w:rsidRDefault="00C232D7" w:rsidP="00A23ED0">
      <w:pPr>
        <w:pStyle w:val="ListParagraph"/>
        <w:numPr>
          <w:ilvl w:val="0"/>
          <w:numId w:val="19"/>
        </w:numPr>
        <w:spacing w:before="120" w:after="120" w:line="360" w:lineRule="auto"/>
        <w:contextualSpacing w:val="0"/>
        <w:rPr>
          <w:rFonts w:ascii="Arial" w:hAnsi="Arial" w:cs="Arial"/>
          <w:lang w:val="sq-AL"/>
        </w:rPr>
      </w:pPr>
      <w:r w:rsidRPr="00735E44">
        <w:rPr>
          <w:rFonts w:ascii="Arial" w:hAnsi="Arial" w:cs="Arial"/>
          <w:lang w:val="sq-AL"/>
        </w:rPr>
        <w:lastRenderedPageBreak/>
        <w:t>princip hijerarhije – predstavlja redosl</w:t>
      </w:r>
      <w:r w:rsidR="0079476A" w:rsidRPr="00735E44">
        <w:rPr>
          <w:rFonts w:ascii="Arial" w:hAnsi="Arial" w:cs="Arial"/>
          <w:lang w:val="sq-AL"/>
        </w:rPr>
        <w:t>ij</w:t>
      </w:r>
      <w:r w:rsidRPr="00735E44">
        <w:rPr>
          <w:rFonts w:ascii="Arial" w:hAnsi="Arial" w:cs="Arial"/>
          <w:lang w:val="sq-AL"/>
        </w:rPr>
        <w:t>ed prioriteta u praksi upravljanja otpadom:</w:t>
      </w:r>
    </w:p>
    <w:p w14:paraId="141B5605" w14:textId="5D6047C1" w:rsidR="00C232D7" w:rsidRPr="00735E44" w:rsidRDefault="00C232D7" w:rsidP="00A23ED0">
      <w:pPr>
        <w:pStyle w:val="ListParagraph"/>
        <w:numPr>
          <w:ilvl w:val="0"/>
          <w:numId w:val="20"/>
        </w:numPr>
        <w:spacing w:before="120" w:after="120" w:line="360" w:lineRule="auto"/>
        <w:ind w:left="1170" w:hanging="450"/>
        <w:contextualSpacing w:val="0"/>
        <w:rPr>
          <w:rFonts w:ascii="Arial" w:hAnsi="Arial" w:cs="Arial"/>
          <w:lang w:val="sq-AL"/>
        </w:rPr>
      </w:pPr>
      <w:r w:rsidRPr="00735E44">
        <w:rPr>
          <w:rFonts w:ascii="Arial" w:hAnsi="Arial" w:cs="Arial"/>
          <w:lang w:val="sq-AL"/>
        </w:rPr>
        <w:t>sprečavanje stvaranja i smanjenje otpada , odnosno smanjenje korišćenja resursa i smanjenje količina ili opasnih karakteristika nastalog otpada;</w:t>
      </w:r>
    </w:p>
    <w:p w14:paraId="77BFB94E" w14:textId="77777777" w:rsidR="00C232D7" w:rsidRPr="00735E44" w:rsidRDefault="00C232D7" w:rsidP="00A23ED0">
      <w:pPr>
        <w:pStyle w:val="ListParagraph"/>
        <w:numPr>
          <w:ilvl w:val="0"/>
          <w:numId w:val="20"/>
        </w:numPr>
        <w:spacing w:before="120" w:after="120" w:line="360" w:lineRule="auto"/>
        <w:ind w:left="1170" w:hanging="450"/>
        <w:contextualSpacing w:val="0"/>
        <w:rPr>
          <w:rFonts w:ascii="Arial" w:hAnsi="Arial" w:cs="Arial"/>
          <w:lang w:val="sq-AL"/>
        </w:rPr>
      </w:pPr>
      <w:r w:rsidRPr="00735E44">
        <w:rPr>
          <w:rFonts w:ascii="Arial" w:hAnsi="Arial" w:cs="Arial"/>
          <w:lang w:val="sq-AL"/>
        </w:rPr>
        <w:t>priprema za ponovnu upotrebu proizvoda;</w:t>
      </w:r>
    </w:p>
    <w:p w14:paraId="1134EE15" w14:textId="77777777" w:rsidR="00C232D7" w:rsidRPr="00735E44" w:rsidRDefault="00C232D7" w:rsidP="00A23ED0">
      <w:pPr>
        <w:pStyle w:val="ListParagraph"/>
        <w:numPr>
          <w:ilvl w:val="0"/>
          <w:numId w:val="20"/>
        </w:numPr>
        <w:spacing w:before="120" w:after="120" w:line="360" w:lineRule="auto"/>
        <w:ind w:left="1170" w:hanging="450"/>
        <w:contextualSpacing w:val="0"/>
        <w:rPr>
          <w:rFonts w:ascii="Arial" w:hAnsi="Arial" w:cs="Arial"/>
          <w:lang w:val="sq-AL"/>
        </w:rPr>
      </w:pPr>
      <w:r w:rsidRPr="00735E44">
        <w:rPr>
          <w:rFonts w:ascii="Arial" w:hAnsi="Arial" w:cs="Arial"/>
          <w:lang w:val="sq-AL"/>
        </w:rPr>
        <w:t>reciklaža, odnosno tretman otpada u cilju dobijanja sirovina za proizvodnju istog ili drugog proizvoda;</w:t>
      </w:r>
    </w:p>
    <w:p w14:paraId="369E6223" w14:textId="77777777" w:rsidR="00C232D7" w:rsidRPr="00735E44" w:rsidRDefault="00C232D7" w:rsidP="00A23ED0">
      <w:pPr>
        <w:pStyle w:val="ListParagraph"/>
        <w:numPr>
          <w:ilvl w:val="0"/>
          <w:numId w:val="20"/>
        </w:numPr>
        <w:spacing w:before="120" w:after="120" w:line="360" w:lineRule="auto"/>
        <w:ind w:left="1170" w:hanging="450"/>
        <w:contextualSpacing w:val="0"/>
        <w:rPr>
          <w:rFonts w:ascii="Arial" w:hAnsi="Arial" w:cs="Arial"/>
          <w:lang w:val="sq-AL"/>
        </w:rPr>
      </w:pPr>
      <w:r w:rsidRPr="00735E44">
        <w:rPr>
          <w:rFonts w:ascii="Arial" w:hAnsi="Arial" w:cs="Arial"/>
          <w:lang w:val="sq-AL"/>
        </w:rPr>
        <w:t>povraćaj vrijednosti otpada (kompostiranje, spaljivanje sa energetskim povratom, itd);</w:t>
      </w:r>
    </w:p>
    <w:p w14:paraId="7527AFA1" w14:textId="77777777" w:rsidR="00C232D7" w:rsidRPr="00735E44" w:rsidRDefault="00C232D7" w:rsidP="00A23ED0">
      <w:pPr>
        <w:pStyle w:val="ListParagraph"/>
        <w:numPr>
          <w:ilvl w:val="0"/>
          <w:numId w:val="20"/>
        </w:numPr>
        <w:spacing w:before="120" w:after="120" w:line="360" w:lineRule="auto"/>
        <w:ind w:left="1170" w:hanging="450"/>
        <w:contextualSpacing w:val="0"/>
        <w:rPr>
          <w:rFonts w:ascii="Arial" w:hAnsi="Arial" w:cs="Arial"/>
          <w:lang w:val="sq-AL"/>
        </w:rPr>
      </w:pPr>
      <w:r w:rsidRPr="00735E44">
        <w:rPr>
          <w:rFonts w:ascii="Arial" w:hAnsi="Arial" w:cs="Arial"/>
          <w:lang w:val="sq-AL"/>
        </w:rPr>
        <w:t xml:space="preserve">odlaganje otpada na regulisane deponije.   </w:t>
      </w:r>
    </w:p>
    <w:p w14:paraId="0E89A84E"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Upravljanje otpadom se obavlja na način koji ne stvara negativan uticaj na životnu sredinu i zdravlje ljudi, a posebno:</w:t>
      </w:r>
    </w:p>
    <w:p w14:paraId="520A72B4" w14:textId="77777777"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vodu, vazduh, zemlju, biljke i životinje;</w:t>
      </w:r>
    </w:p>
    <w:p w14:paraId="75DF5055" w14:textId="77777777"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u pogledu buke i mirisa;</w:t>
      </w:r>
    </w:p>
    <w:p w14:paraId="1319D121" w14:textId="7C74E838" w:rsidR="00C232D7" w:rsidRPr="002A6F4E" w:rsidRDefault="00C232D7" w:rsidP="00A23ED0">
      <w:pPr>
        <w:pStyle w:val="ListParagraph"/>
        <w:numPr>
          <w:ilvl w:val="0"/>
          <w:numId w:val="14"/>
        </w:numPr>
        <w:spacing w:before="120" w:after="120" w:line="360" w:lineRule="auto"/>
        <w:contextualSpacing w:val="0"/>
        <w:rPr>
          <w:rFonts w:ascii="Arial" w:hAnsi="Arial" w:cs="Arial"/>
          <w:iCs/>
          <w:lang w:val="sq-AL"/>
        </w:rPr>
      </w:pPr>
      <w:r w:rsidRPr="002A6F4E">
        <w:rPr>
          <w:rFonts w:ascii="Arial" w:hAnsi="Arial" w:cs="Arial"/>
          <w:iCs/>
          <w:lang w:val="sq-AL"/>
        </w:rPr>
        <w:t>u oblastima od posebnog inter</w:t>
      </w:r>
      <w:r w:rsidR="00792052">
        <w:rPr>
          <w:rFonts w:ascii="Arial" w:hAnsi="Arial" w:cs="Arial"/>
          <w:iCs/>
          <w:lang w:val="sq-AL"/>
        </w:rPr>
        <w:t>esa (zaštićena prirodna i kultur</w:t>
      </w:r>
      <w:r w:rsidRPr="002A6F4E">
        <w:rPr>
          <w:rFonts w:ascii="Arial" w:hAnsi="Arial" w:cs="Arial"/>
          <w:iCs/>
          <w:lang w:val="sq-AL"/>
        </w:rPr>
        <w:t>na dobra).</w:t>
      </w:r>
    </w:p>
    <w:p w14:paraId="6078A964" w14:textId="7BBF182F" w:rsidR="00C232D7" w:rsidRPr="002A6F4E" w:rsidRDefault="00C232D7" w:rsidP="00C232D7">
      <w:pPr>
        <w:spacing w:before="120" w:after="120" w:line="360" w:lineRule="auto"/>
        <w:rPr>
          <w:rFonts w:ascii="Arial" w:hAnsi="Arial" w:cs="Arial"/>
          <w:lang w:val="sq-AL"/>
        </w:rPr>
      </w:pPr>
      <w:r w:rsidRPr="00735E44">
        <w:rPr>
          <w:rFonts w:ascii="Arial" w:hAnsi="Arial" w:cs="Arial"/>
          <w:lang w:val="sq-AL"/>
        </w:rPr>
        <w:t xml:space="preserve">Uspostavljanje funkcionalnog integrisanog sistema upravljanja otpadom je preduslov za članstvo u EU koji Crna Gora mora da ispuni. Stoga je Crna Gora usvojila osnovni Zakon o upravljanju otpadom i set relevantnih podzakonskih akata i propisa, čime je uspostavljen konkretan pravni okvir za </w:t>
      </w:r>
      <w:r w:rsidR="00735E44">
        <w:rPr>
          <w:rFonts w:ascii="Arial" w:hAnsi="Arial" w:cs="Arial"/>
          <w:lang w:val="sq-AL"/>
        </w:rPr>
        <w:t xml:space="preserve">Državni </w:t>
      </w:r>
      <w:r w:rsidRPr="00735E44">
        <w:rPr>
          <w:rFonts w:ascii="Arial" w:hAnsi="Arial" w:cs="Arial"/>
          <w:lang w:val="sq-AL"/>
        </w:rPr>
        <w:t>sistem upravljanja otpadom (</w:t>
      </w:r>
      <w:r w:rsidR="00735E44">
        <w:rPr>
          <w:rFonts w:ascii="Arial" w:hAnsi="Arial" w:cs="Arial"/>
          <w:lang w:val="sq-AL"/>
        </w:rPr>
        <w:t>DS</w:t>
      </w:r>
      <w:r w:rsidRPr="00735E44">
        <w:rPr>
          <w:rFonts w:ascii="Arial" w:hAnsi="Arial" w:cs="Arial"/>
          <w:lang w:val="sq-AL"/>
        </w:rPr>
        <w:t>UO). Ovaj set propisa biće blagovremeno usklađen sa svim promjenama koje će se dešavati na nivou EU.</w:t>
      </w:r>
    </w:p>
    <w:p w14:paraId="10074955" w14:textId="3F43F5D5"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Zakon o upravljanju otpadom, ima za cilj dalje usaglašavanje crnogorskog zakonodavstva o otpadu sa zakonodavstvom EU, tačnije sa Direktivom o cirkularnoj ekonomiji EU 2018/851 o otpadu. U tom pogledu, ima za cilj promovisanje održivog razvoja kroz efikasnije korišćenje resursa i smanjenje otpada.</w:t>
      </w:r>
    </w:p>
    <w:p w14:paraId="0294F9DB" w14:textId="4F04919B"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Zakon o upravljanju otpadom, pruža principe za uspostavljanje sistema proširene odgovornos</w:t>
      </w:r>
      <w:r w:rsidR="00D94655">
        <w:rPr>
          <w:rFonts w:ascii="Arial" w:hAnsi="Arial" w:cs="Arial"/>
          <w:lang w:val="sq-AL"/>
        </w:rPr>
        <w:t xml:space="preserve">ti proizvođača ( uključujući i </w:t>
      </w:r>
      <w:r w:rsidR="002F47D3">
        <w:rPr>
          <w:rFonts w:ascii="Arial" w:hAnsi="Arial" w:cs="Arial"/>
          <w:lang w:val="sq-AL"/>
        </w:rPr>
        <w:t>o</w:t>
      </w:r>
      <w:r w:rsidRPr="002A6F4E">
        <w:rPr>
          <w:rFonts w:ascii="Arial" w:hAnsi="Arial" w:cs="Arial"/>
          <w:lang w:val="sq-AL"/>
        </w:rPr>
        <w:t xml:space="preserve">rganizacije za odgovornost proizvođača), kao i zahtjeve proizvođača (čl. 14-17). Uvode se ciljevi za otpad od električne i elektronske opreme (WEEE) (čl.54) za prikupljanje 45% i 65% prosječne godišnje mase električne i elektronske opreme plasirane na tržištu, u poslednje tri godine. Utvrđuju se i </w:t>
      </w:r>
      <w:r w:rsidRPr="005E5272">
        <w:rPr>
          <w:rFonts w:ascii="Arial" w:hAnsi="Arial" w:cs="Arial"/>
          <w:lang w:val="sq-AL"/>
        </w:rPr>
        <w:t>količinski</w:t>
      </w:r>
      <w:r w:rsidRPr="002A6F4E">
        <w:rPr>
          <w:rFonts w:ascii="Arial" w:hAnsi="Arial" w:cs="Arial"/>
          <w:lang w:val="sq-AL"/>
        </w:rPr>
        <w:t xml:space="preserve"> ciljevi </w:t>
      </w:r>
      <w:r w:rsidR="008200FE">
        <w:rPr>
          <w:rFonts w:ascii="Arial" w:hAnsi="Arial" w:cs="Arial"/>
          <w:lang w:val="sq-AL"/>
        </w:rPr>
        <w:t xml:space="preserve">i uslovi </w:t>
      </w:r>
      <w:r w:rsidRPr="002A6F4E">
        <w:rPr>
          <w:rFonts w:ascii="Arial" w:hAnsi="Arial" w:cs="Arial"/>
          <w:lang w:val="sq-AL"/>
        </w:rPr>
        <w:t xml:space="preserve">za tokove otpadnih vozila, otpadnih guma, otpadnih baterija i akumulatora, </w:t>
      </w:r>
      <w:r w:rsidRPr="00722004">
        <w:rPr>
          <w:rFonts w:ascii="Arial" w:hAnsi="Arial" w:cs="Arial"/>
          <w:lang w:val="sq-AL"/>
        </w:rPr>
        <w:t>otpadnih ulja, otpadnih jestivih ulja</w:t>
      </w:r>
      <w:r w:rsidRPr="002A6F4E">
        <w:rPr>
          <w:rFonts w:ascii="Arial" w:hAnsi="Arial" w:cs="Arial"/>
          <w:lang w:val="sq-AL"/>
        </w:rPr>
        <w:t xml:space="preserve"> i ambalažnog otpada, u skladu sa zakonodavstvom EU</w:t>
      </w:r>
      <w:r w:rsidR="002F47D3">
        <w:rPr>
          <w:rFonts w:ascii="Arial" w:hAnsi="Arial" w:cs="Arial"/>
          <w:lang w:val="sq-AL"/>
        </w:rPr>
        <w:t xml:space="preserve"> </w:t>
      </w:r>
      <w:r w:rsidRPr="002A6F4E">
        <w:rPr>
          <w:rFonts w:ascii="Arial" w:hAnsi="Arial" w:cs="Arial"/>
          <w:lang w:val="sq-AL"/>
        </w:rPr>
        <w:t xml:space="preserve">(čl. 56-63). </w:t>
      </w:r>
      <w:r w:rsidR="000538DF">
        <w:rPr>
          <w:rFonts w:ascii="Arial" w:hAnsi="Arial" w:cs="Arial"/>
          <w:lang w:val="sq-AL"/>
        </w:rPr>
        <w:t>Posebni zahtjevi su definisani</w:t>
      </w:r>
      <w:r w:rsidRPr="002A6F4E">
        <w:rPr>
          <w:rFonts w:ascii="Arial" w:hAnsi="Arial" w:cs="Arial"/>
          <w:lang w:val="sq-AL"/>
        </w:rPr>
        <w:t xml:space="preserve"> i za </w:t>
      </w:r>
      <w:r w:rsidR="008200FE">
        <w:rPr>
          <w:rFonts w:ascii="Arial" w:hAnsi="Arial" w:cs="Arial"/>
          <w:lang w:val="sq-AL"/>
        </w:rPr>
        <w:t xml:space="preserve">plastične </w:t>
      </w:r>
      <w:r w:rsidRPr="002A6F4E">
        <w:rPr>
          <w:rFonts w:ascii="Arial" w:hAnsi="Arial" w:cs="Arial"/>
          <w:lang w:val="sq-AL"/>
        </w:rPr>
        <w:t xml:space="preserve">proizvode i za otpad od plastičnih proizvoda za jednokratnu upotrebu (čl.64 i 65). </w:t>
      </w:r>
    </w:p>
    <w:p w14:paraId="2841EDF9" w14:textId="1AED3B61" w:rsidR="00C232D7" w:rsidRPr="002A6F4E" w:rsidRDefault="00C232D7" w:rsidP="00C232D7">
      <w:pPr>
        <w:keepNext/>
        <w:autoSpaceDE w:val="0"/>
        <w:autoSpaceDN w:val="0"/>
        <w:adjustRightInd w:val="0"/>
        <w:spacing w:before="120" w:after="120" w:line="360" w:lineRule="auto"/>
        <w:rPr>
          <w:rFonts w:ascii="Arial" w:hAnsi="Arial" w:cs="Arial"/>
          <w:b/>
          <w:lang w:val="sq-AL"/>
        </w:rPr>
      </w:pPr>
      <w:r w:rsidRPr="002A6F4E">
        <w:rPr>
          <w:rFonts w:ascii="Arial" w:hAnsi="Arial" w:cs="Arial"/>
          <w:lang w:val="sq-AL"/>
        </w:rPr>
        <w:t xml:space="preserve">Papir, metal, plastika, staklo i biootpad </w:t>
      </w:r>
      <w:r w:rsidR="008200FE">
        <w:rPr>
          <w:rFonts w:ascii="Arial" w:hAnsi="Arial" w:cs="Arial"/>
          <w:lang w:val="sq-AL"/>
        </w:rPr>
        <w:t>sa</w:t>
      </w:r>
      <w:r w:rsidRPr="002A6F4E">
        <w:rPr>
          <w:rFonts w:ascii="Arial" w:hAnsi="Arial" w:cs="Arial"/>
          <w:lang w:val="sq-AL"/>
        </w:rPr>
        <w:t xml:space="preserve">kupljaju se odvojeno (član 20). Tekstilni otpad koji nastaje u domaćinstvima takođe se </w:t>
      </w:r>
      <w:r w:rsidR="008200FE">
        <w:rPr>
          <w:rFonts w:ascii="Arial" w:hAnsi="Arial" w:cs="Arial"/>
          <w:lang w:val="sq-AL"/>
        </w:rPr>
        <w:t>sa</w:t>
      </w:r>
      <w:r w:rsidRPr="002A6F4E">
        <w:rPr>
          <w:rFonts w:ascii="Arial" w:hAnsi="Arial" w:cs="Arial"/>
          <w:lang w:val="sq-AL"/>
        </w:rPr>
        <w:t xml:space="preserve">kuplja odvojeno. Biootpad se odvaja i reciklira na mjestu nastanka ili se </w:t>
      </w:r>
      <w:r w:rsidR="008200FE">
        <w:rPr>
          <w:rFonts w:ascii="Arial" w:hAnsi="Arial" w:cs="Arial"/>
          <w:lang w:val="sq-AL"/>
        </w:rPr>
        <w:t>sa</w:t>
      </w:r>
      <w:r w:rsidRPr="002A6F4E">
        <w:rPr>
          <w:rFonts w:ascii="Arial" w:hAnsi="Arial" w:cs="Arial"/>
          <w:lang w:val="sq-AL"/>
        </w:rPr>
        <w:t>kuplja odvojeno. (član 51).</w:t>
      </w:r>
    </w:p>
    <w:p w14:paraId="045331C5" w14:textId="4E0C2E8A"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Zakon o upravljanju otpadom</w:t>
      </w:r>
      <w:r w:rsidR="008200FE">
        <w:rPr>
          <w:rFonts w:ascii="Arial" w:hAnsi="Arial" w:cs="Arial"/>
          <w:lang w:val="sq-AL"/>
        </w:rPr>
        <w:t>,</w:t>
      </w:r>
      <w:r w:rsidRPr="002A6F4E">
        <w:rPr>
          <w:rFonts w:ascii="Arial" w:hAnsi="Arial" w:cs="Arial"/>
          <w:lang w:val="sq-AL"/>
        </w:rPr>
        <w:t xml:space="preserve"> takođe pokriva pitanja spaljivanja otpada i uspostavlja odredbe za </w:t>
      </w:r>
      <w:r w:rsidR="008200FE">
        <w:rPr>
          <w:rFonts w:ascii="Arial" w:hAnsi="Arial" w:cs="Arial"/>
          <w:lang w:val="sq-AL"/>
        </w:rPr>
        <w:t>us</w:t>
      </w:r>
      <w:r w:rsidRPr="002A6F4E">
        <w:rPr>
          <w:rFonts w:ascii="Arial" w:hAnsi="Arial" w:cs="Arial"/>
          <w:lang w:val="sq-AL"/>
        </w:rPr>
        <w:t xml:space="preserve">postavljanje šema proširene odgovornosti proizvođača, definišući kao ‘proizvođača’ svako fizičko ili pravno lice koje profesionalno razvija, proizvodi, prerađuje, prodaje ili uvozi proizvode i predviđa da je ovaj </w:t>
      </w:r>
      <w:r w:rsidRPr="002A6F4E">
        <w:rPr>
          <w:rFonts w:ascii="Arial" w:hAnsi="Arial" w:cs="Arial"/>
          <w:lang w:val="sq-AL"/>
        </w:rPr>
        <w:lastRenderedPageBreak/>
        <w:t xml:space="preserve">proizvođač odgovoran za upravljanje otpadom koji ostaje nakon što je proizvod upotrebljen, uključujući sve povezane aktivnosti - </w:t>
      </w:r>
      <w:r w:rsidR="008200FE">
        <w:rPr>
          <w:rFonts w:ascii="Arial" w:hAnsi="Arial" w:cs="Arial"/>
          <w:lang w:val="sq-AL"/>
        </w:rPr>
        <w:t>sa</w:t>
      </w:r>
      <w:r w:rsidRPr="002A6F4E">
        <w:rPr>
          <w:rFonts w:ascii="Arial" w:hAnsi="Arial" w:cs="Arial"/>
          <w:lang w:val="sq-AL"/>
        </w:rPr>
        <w:t>kupljanje, recikl</w:t>
      </w:r>
      <w:r w:rsidR="008200FE">
        <w:rPr>
          <w:rFonts w:ascii="Arial" w:hAnsi="Arial" w:cs="Arial"/>
          <w:lang w:val="sq-AL"/>
        </w:rPr>
        <w:t>iranja</w:t>
      </w:r>
      <w:r w:rsidRPr="002A6F4E">
        <w:rPr>
          <w:rFonts w:ascii="Arial" w:hAnsi="Arial" w:cs="Arial"/>
          <w:lang w:val="sq-AL"/>
        </w:rPr>
        <w:t xml:space="preserve"> i odlaganje otpada.</w:t>
      </w:r>
    </w:p>
    <w:p w14:paraId="06A9018D" w14:textId="0712F51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Jedinice lokalne samouprave treba da pripreme lokalne planove koji su u skladu sa </w:t>
      </w:r>
      <w:r w:rsidR="008200FE">
        <w:rPr>
          <w:rFonts w:ascii="Arial" w:hAnsi="Arial" w:cs="Arial"/>
          <w:lang w:val="sq-AL"/>
        </w:rPr>
        <w:t>Državnim</w:t>
      </w:r>
      <w:r w:rsidR="008200FE" w:rsidRPr="002A6F4E">
        <w:rPr>
          <w:rFonts w:ascii="Arial" w:hAnsi="Arial" w:cs="Arial"/>
          <w:lang w:val="sq-AL"/>
        </w:rPr>
        <w:t xml:space="preserve"> </w:t>
      </w:r>
      <w:r w:rsidRPr="002A6F4E">
        <w:rPr>
          <w:rFonts w:ascii="Arial" w:hAnsi="Arial" w:cs="Arial"/>
          <w:lang w:val="sq-AL"/>
        </w:rPr>
        <w:t xml:space="preserve">planom za </w:t>
      </w:r>
      <w:r w:rsidR="008200FE">
        <w:rPr>
          <w:rFonts w:ascii="Arial" w:hAnsi="Arial" w:cs="Arial"/>
          <w:lang w:val="sq-AL"/>
        </w:rPr>
        <w:t>upravlja</w:t>
      </w:r>
      <w:r w:rsidR="008200FE" w:rsidRPr="002A6F4E">
        <w:rPr>
          <w:rFonts w:ascii="Arial" w:hAnsi="Arial" w:cs="Arial"/>
          <w:lang w:val="sq-AL"/>
        </w:rPr>
        <w:t xml:space="preserve">nje </w:t>
      </w:r>
      <w:r w:rsidRPr="002A6F4E">
        <w:rPr>
          <w:rFonts w:ascii="Arial" w:hAnsi="Arial" w:cs="Arial"/>
          <w:lang w:val="sq-AL"/>
        </w:rPr>
        <w:t>otpadom.</w:t>
      </w:r>
    </w:p>
    <w:p w14:paraId="1CAD2D6E" w14:textId="6350F099"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Takođe, Zakon o upravljanju otpadom, navodi da se upravljanje otpadom obavlja u skladu sa </w:t>
      </w:r>
      <w:r w:rsidR="008200FE">
        <w:rPr>
          <w:rFonts w:ascii="Arial" w:hAnsi="Arial" w:cs="Arial"/>
          <w:lang w:val="sq-AL"/>
        </w:rPr>
        <w:t xml:space="preserve">Državnim </w:t>
      </w:r>
      <w:r w:rsidRPr="002A6F4E">
        <w:rPr>
          <w:rFonts w:ascii="Arial" w:hAnsi="Arial" w:cs="Arial"/>
          <w:lang w:val="sq-AL"/>
        </w:rPr>
        <w:t xml:space="preserve">planom za upravljanje otpadom i lokalnim planovima upravljanja komunalnim otpadom i neopasnim građevinskim otpadom i definiše sadržaj </w:t>
      </w:r>
      <w:r w:rsidR="008200FE">
        <w:rPr>
          <w:rFonts w:ascii="Arial" w:hAnsi="Arial" w:cs="Arial"/>
          <w:lang w:val="sq-AL"/>
        </w:rPr>
        <w:t>Državnog</w:t>
      </w:r>
      <w:r w:rsidR="008200FE" w:rsidRPr="002A6F4E">
        <w:rPr>
          <w:rFonts w:ascii="Arial" w:hAnsi="Arial" w:cs="Arial"/>
          <w:lang w:val="sq-AL"/>
        </w:rPr>
        <w:t xml:space="preserve"> </w:t>
      </w:r>
      <w:r w:rsidRPr="002A6F4E">
        <w:rPr>
          <w:rFonts w:ascii="Arial" w:hAnsi="Arial" w:cs="Arial"/>
          <w:lang w:val="sq-AL"/>
        </w:rPr>
        <w:t xml:space="preserve">plana za upravljanje otpadom. Takođe predviđa da </w:t>
      </w:r>
      <w:r w:rsidR="00A35FA9" w:rsidRPr="00A35FA9">
        <w:rPr>
          <w:rFonts w:ascii="Arial" w:hAnsi="Arial" w:cs="Arial"/>
          <w:lang w:val="sq-AL"/>
        </w:rPr>
        <w:t>Program za sprečavanje nastanka otpada</w:t>
      </w:r>
      <w:r w:rsidRPr="002A6F4E">
        <w:rPr>
          <w:rFonts w:ascii="Arial" w:hAnsi="Arial" w:cs="Arial"/>
          <w:lang w:val="sq-AL"/>
        </w:rPr>
        <w:t xml:space="preserve"> bude dio </w:t>
      </w:r>
      <w:r w:rsidR="00A35FA9">
        <w:rPr>
          <w:rFonts w:ascii="Arial" w:hAnsi="Arial" w:cs="Arial"/>
          <w:lang w:val="sq-AL"/>
        </w:rPr>
        <w:t>Državnog</w:t>
      </w:r>
      <w:r w:rsidRPr="002A6F4E">
        <w:rPr>
          <w:rFonts w:ascii="Arial" w:hAnsi="Arial" w:cs="Arial"/>
          <w:lang w:val="sq-AL"/>
        </w:rPr>
        <w:t xml:space="preserve"> plana za upravljanje otpadom</w:t>
      </w:r>
      <w:r w:rsidRPr="002A6F4E">
        <w:rPr>
          <w:rStyle w:val="FootnoteReference"/>
          <w:rFonts w:ascii="Arial" w:hAnsi="Arial" w:cs="Arial"/>
          <w:sz w:val="20"/>
          <w:szCs w:val="20"/>
        </w:rPr>
        <w:footnoteReference w:id="3"/>
      </w:r>
      <w:r w:rsidRPr="002A6F4E">
        <w:rPr>
          <w:rFonts w:ascii="Arial" w:hAnsi="Arial" w:cs="Arial"/>
          <w:lang w:val="sq-AL"/>
        </w:rPr>
        <w:t xml:space="preserve">  i predstavlja odredbe koje se odnose na taj program.</w:t>
      </w:r>
      <w:r w:rsidR="00A35FA9">
        <w:rPr>
          <w:rFonts w:ascii="Arial" w:hAnsi="Arial" w:cs="Arial"/>
          <w:lang w:val="sq-AL"/>
        </w:rPr>
        <w:t xml:space="preserve"> </w:t>
      </w:r>
    </w:p>
    <w:p w14:paraId="3AB49912" w14:textId="77777777" w:rsidR="00C232D7" w:rsidRPr="002A6F4E" w:rsidRDefault="00C232D7" w:rsidP="00F57909">
      <w:pPr>
        <w:pStyle w:val="Heading2"/>
      </w:pPr>
      <w:bookmarkStart w:id="675" w:name="_Toc193353966"/>
      <w:r w:rsidRPr="002A6F4E">
        <w:t>2.6. Drugi propisi koji se odnose na upravljanje otpadom</w:t>
      </w:r>
      <w:bookmarkEnd w:id="675"/>
    </w:p>
    <w:p w14:paraId="3D6125A6" w14:textId="77777777" w:rsidR="00C232D7" w:rsidRPr="002A6F4E" w:rsidRDefault="00C232D7" w:rsidP="00C232D7">
      <w:pPr>
        <w:spacing w:before="120" w:after="120" w:line="360" w:lineRule="auto"/>
        <w:rPr>
          <w:rFonts w:ascii="Arial" w:hAnsi="Arial" w:cs="Arial"/>
          <w:bCs/>
          <w:i/>
          <w:u w:val="single"/>
          <w:lang w:val="sq-AL"/>
        </w:rPr>
      </w:pPr>
      <w:r w:rsidRPr="002A6F4E">
        <w:rPr>
          <w:rFonts w:ascii="Arial" w:hAnsi="Arial" w:cs="Arial"/>
          <w:bCs/>
          <w:i/>
          <w:u w:val="single"/>
          <w:lang w:val="sq-AL"/>
        </w:rPr>
        <w:t>Zakon o životnoj sredini</w:t>
      </w:r>
    </w:p>
    <w:p w14:paraId="52EE308A" w14:textId="73F4E5BD" w:rsidR="00C232D7" w:rsidRPr="002A6F4E" w:rsidRDefault="00C232D7" w:rsidP="00C232D7">
      <w:pPr>
        <w:spacing w:before="120" w:after="120" w:line="360" w:lineRule="auto"/>
        <w:rPr>
          <w:rFonts w:ascii="Arial" w:hAnsi="Arial" w:cs="Arial"/>
          <w:color w:val="000000" w:themeColor="text1"/>
          <w:shd w:val="clear" w:color="auto" w:fill="FFFFFF"/>
          <w:lang w:val="sq-AL"/>
        </w:rPr>
      </w:pPr>
      <w:r w:rsidRPr="002A6F4E">
        <w:rPr>
          <w:rFonts w:ascii="Arial" w:hAnsi="Arial" w:cs="Arial"/>
          <w:lang w:val="sq-AL"/>
        </w:rPr>
        <w:t>Zakonom o životnoj sredini (</w:t>
      </w:r>
      <w:r w:rsidR="00702DAF" w:rsidRPr="0035491B">
        <w:rPr>
          <w:rFonts w:ascii="Arial" w:hAnsi="Arial" w:cs="Arial"/>
          <w:bCs/>
          <w:lang w:val="sq-AL"/>
        </w:rPr>
        <w:t>"Službeni list Crne Gore",</w:t>
      </w:r>
      <w:r w:rsidR="00702DAF">
        <w:rPr>
          <w:rFonts w:ascii="Arial" w:hAnsi="Arial" w:cs="Arial"/>
          <w:bCs/>
          <w:lang w:val="sq-AL"/>
        </w:rPr>
        <w:t xml:space="preserve"> br.</w:t>
      </w:r>
      <w:r w:rsidRPr="002A6F4E">
        <w:rPr>
          <w:rFonts w:ascii="Arial" w:hAnsi="Arial" w:cs="Arial"/>
          <w:lang w:val="sq-AL"/>
        </w:rPr>
        <w:t xml:space="preserve"> 052/16, 073/19, 073/19, </w:t>
      </w:r>
      <w:r w:rsidR="00A14EC3">
        <w:rPr>
          <w:rFonts w:ascii="Arial" w:hAnsi="Arial" w:cs="Arial"/>
          <w:lang w:val="sq-AL"/>
        </w:rPr>
        <w:t>0</w:t>
      </w:r>
      <w:r w:rsidRPr="002A6F4E">
        <w:rPr>
          <w:rFonts w:ascii="Arial" w:hAnsi="Arial" w:cs="Arial"/>
          <w:lang w:val="sq-AL"/>
        </w:rPr>
        <w:t xml:space="preserve">84/24) državna </w:t>
      </w:r>
      <w:r w:rsidRPr="002A6F4E">
        <w:rPr>
          <w:rFonts w:ascii="Arial" w:hAnsi="Arial" w:cs="Arial"/>
          <w:color w:val="000000" w:themeColor="text1"/>
          <w:shd w:val="clear" w:color="auto" w:fill="FFFFFF"/>
          <w:lang w:val="sq-AL"/>
        </w:rPr>
        <w:t xml:space="preserve">politika Crne Gore i njen ekonomski </w:t>
      </w:r>
      <w:r w:rsidRPr="009A51D1">
        <w:rPr>
          <w:rFonts w:ascii="Arial" w:hAnsi="Arial" w:cs="Arial"/>
          <w:color w:val="000000" w:themeColor="text1"/>
          <w:shd w:val="clear" w:color="auto" w:fill="FFFFFF"/>
          <w:lang w:val="sq-AL"/>
        </w:rPr>
        <w:t>i društveni razvoj</w:t>
      </w:r>
      <w:r w:rsidRPr="002A6F4E">
        <w:rPr>
          <w:rFonts w:ascii="Arial" w:hAnsi="Arial" w:cs="Arial"/>
          <w:color w:val="000000" w:themeColor="text1"/>
          <w:shd w:val="clear" w:color="auto" w:fill="FFFFFF"/>
          <w:lang w:val="sq-AL"/>
        </w:rPr>
        <w:t xml:space="preserve"> usklađuju se sa međunarodnim principima zaštite životne sredine.</w:t>
      </w:r>
    </w:p>
    <w:p w14:paraId="16C8F2CE" w14:textId="451AE09D" w:rsidR="00C232D7" w:rsidRPr="002A6F4E" w:rsidRDefault="00C232D7" w:rsidP="00C232D7">
      <w:pPr>
        <w:spacing w:before="120" w:after="120" w:line="360" w:lineRule="auto"/>
        <w:rPr>
          <w:rFonts w:ascii="Arial" w:hAnsi="Arial" w:cs="Arial"/>
          <w:color w:val="000000" w:themeColor="text1"/>
          <w:shd w:val="clear" w:color="auto" w:fill="FFFFFF"/>
          <w:lang w:val="sq-AL"/>
        </w:rPr>
      </w:pPr>
      <w:r w:rsidRPr="002A6F4E">
        <w:rPr>
          <w:rFonts w:ascii="Arial" w:hAnsi="Arial" w:cs="Arial"/>
          <w:color w:val="000000" w:themeColor="text1"/>
          <w:shd w:val="clear" w:color="auto" w:fill="FFFFFF"/>
          <w:lang w:val="sq-AL"/>
        </w:rPr>
        <w:t>Životna sredina, u smislu ovog zakona, je prirodna sredina, koja obuhvata: vazduh, zemljište, vodu i more, životinjski svijet; ekološki relevantne događaje i/ili aktivnosti: klimu, jonizovana i nejonizovana zračenja, buku i vibracije, emisije u vazduhu, odlaganje otpada, kao i životna sredina koju stvara čovjek, gradovi i druga naselja, kulturno-istorijsko nasljeđe, infrastrukturne, industrijske i druge ustanove prisutne na teriroriji Crne Gore.</w:t>
      </w:r>
    </w:p>
    <w:p w14:paraId="3617860E" w14:textId="0BA7266B" w:rsidR="00C232D7" w:rsidRPr="002A6F4E" w:rsidRDefault="00C232D7" w:rsidP="00C232D7">
      <w:pPr>
        <w:spacing w:before="120" w:after="120" w:line="360" w:lineRule="auto"/>
        <w:rPr>
          <w:rFonts w:ascii="Arial" w:hAnsi="Arial" w:cs="Arial"/>
          <w:color w:val="000000" w:themeColor="text1"/>
          <w:shd w:val="clear" w:color="auto" w:fill="FFFFFF"/>
          <w:lang w:val="sq-AL"/>
        </w:rPr>
      </w:pPr>
      <w:r w:rsidRPr="002A6F4E">
        <w:rPr>
          <w:rFonts w:ascii="Arial" w:hAnsi="Arial" w:cs="Arial"/>
          <w:color w:val="000000" w:themeColor="text1"/>
          <w:shd w:val="clear" w:color="auto" w:fill="FFFFFF"/>
          <w:lang w:val="sq-AL"/>
        </w:rPr>
        <w:t>Ovim zakonom, Crna Gora obezbjeđuje očuvanje prirodnih resursa i unapređenje kvaliteta životne sredine, smanjenjem rizika po život i zdravlje ljudi, otklanjanjem i sprečavanjem štetnih uticaja na životnu sredinu u cilju obezbjeđenja i poboljšanja cijelokupnog kvaliteta života na nacionalnom nivou.</w:t>
      </w:r>
    </w:p>
    <w:p w14:paraId="3F7E89EC" w14:textId="77777777" w:rsidR="00C232D7" w:rsidRPr="002A6F4E" w:rsidRDefault="00C232D7" w:rsidP="00C232D7">
      <w:pPr>
        <w:spacing w:before="120" w:after="120" w:line="360" w:lineRule="auto"/>
        <w:rPr>
          <w:rFonts w:ascii="Arial" w:hAnsi="Arial" w:cs="Arial"/>
          <w:color w:val="000000" w:themeColor="text1"/>
          <w:lang w:val="sq-AL"/>
        </w:rPr>
      </w:pPr>
      <w:r w:rsidRPr="002A6F4E">
        <w:rPr>
          <w:rFonts w:ascii="Arial" w:hAnsi="Arial" w:cs="Arial"/>
          <w:color w:val="000000" w:themeColor="text1"/>
          <w:shd w:val="clear" w:color="auto" w:fill="FFFFFF"/>
          <w:lang w:val="sq-AL"/>
        </w:rPr>
        <w:t>Prirodni resursi se koriste u skladu sa principima Zakona o životnoj sredini i iz njega proisteklim politikama razvoja životne sredine, u cilju obezbjeđivanja održive i bezbjedne razvojne politike.</w:t>
      </w:r>
    </w:p>
    <w:p w14:paraId="747DFD78" w14:textId="26798E65" w:rsidR="00C232D7" w:rsidRPr="002A6F4E" w:rsidRDefault="00C232D7" w:rsidP="00C232D7">
      <w:pPr>
        <w:spacing w:before="120" w:after="120" w:line="360" w:lineRule="auto"/>
        <w:rPr>
          <w:rFonts w:ascii="Arial" w:hAnsi="Arial" w:cs="Arial"/>
          <w:color w:val="000000" w:themeColor="text1"/>
          <w:shd w:val="clear" w:color="auto" w:fill="FFFFFF"/>
          <w:lang w:val="sq-AL"/>
        </w:rPr>
      </w:pPr>
      <w:r w:rsidRPr="002A6F4E">
        <w:rPr>
          <w:rFonts w:ascii="Arial" w:hAnsi="Arial" w:cs="Arial"/>
          <w:color w:val="000000" w:themeColor="text1"/>
          <w:shd w:val="clear" w:color="auto" w:fill="FFFFFF"/>
          <w:lang w:val="sq-AL"/>
        </w:rPr>
        <w:t>Osnovni ciljevi životne sredine su očuvanje i zaštita zdravlja ljudi, integriteta, biodiverziteta i kvaliteta ekosistema, genetskih resursa, životinjskih i biljnih vrsta, plodnosti zemljišta, prirodnih ljepota i fizičkih vrijednosti, kulturnog nasljeđa i resursa koje je stvorio čovjek; da obezbjedi uslove za ograničeno, razumno i održivo upravljanje živom i neživom prirodom i ekonomskom stabilnošću prirode, količinom i kvalitetom prirodnih resursa i sprečavanje opasnosti i mogućih rizika po životnu sredinu.</w:t>
      </w:r>
    </w:p>
    <w:p w14:paraId="2071E386" w14:textId="77777777" w:rsidR="00C232D7" w:rsidRPr="002A6F4E" w:rsidRDefault="00C232D7" w:rsidP="00C232D7">
      <w:pPr>
        <w:spacing w:before="120" w:after="120" w:line="360" w:lineRule="auto"/>
        <w:rPr>
          <w:rFonts w:ascii="Arial" w:hAnsi="Arial" w:cs="Arial"/>
          <w:b/>
          <w:bCs/>
          <w:lang w:val="sq-AL"/>
        </w:rPr>
      </w:pPr>
      <w:r w:rsidRPr="002A6F4E">
        <w:rPr>
          <w:rFonts w:ascii="Arial" w:hAnsi="Arial" w:cs="Arial"/>
          <w:lang w:val="sq-AL"/>
        </w:rPr>
        <w:t>Prema Zakonu o životnoj sredini:</w:t>
      </w:r>
    </w:p>
    <w:p w14:paraId="4C325A21" w14:textId="5A674D0C"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Otpad je svaka supstanca ili predmet koji je vlasnik odbacio ili namjerava ili je dužan da odbaci u skladu sa Zakonom o upravljanju otpadom (</w:t>
      </w:r>
      <w:r w:rsidR="00702DAF" w:rsidRPr="0035491B">
        <w:rPr>
          <w:rFonts w:ascii="Arial" w:hAnsi="Arial" w:cs="Arial"/>
          <w:bCs/>
          <w:lang w:val="sq-AL"/>
        </w:rPr>
        <w:t>"Službeni list Crne Gore",</w:t>
      </w:r>
      <w:r w:rsidR="00702DAF">
        <w:rPr>
          <w:rFonts w:ascii="Arial" w:hAnsi="Arial" w:cs="Arial"/>
          <w:bCs/>
          <w:lang w:val="sq-AL"/>
        </w:rPr>
        <w:t xml:space="preserve"> br.</w:t>
      </w:r>
      <w:r w:rsidRPr="002A6F4E">
        <w:rPr>
          <w:rFonts w:ascii="Arial" w:hAnsi="Arial" w:cs="Arial"/>
          <w:lang w:val="sq-AL"/>
        </w:rPr>
        <w:t>34/24</w:t>
      </w:r>
      <w:r w:rsidR="00E616C1">
        <w:rPr>
          <w:rFonts w:ascii="Arial" w:hAnsi="Arial" w:cs="Arial"/>
          <w:lang w:val="sq-AL"/>
        </w:rPr>
        <w:t>, 92/24</w:t>
      </w:r>
      <w:r w:rsidRPr="002A6F4E">
        <w:rPr>
          <w:rFonts w:ascii="Arial" w:hAnsi="Arial" w:cs="Arial"/>
          <w:lang w:val="sq-AL"/>
        </w:rPr>
        <w:t>).</w:t>
      </w:r>
    </w:p>
    <w:p w14:paraId="42B884A5" w14:textId="77777777"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 xml:space="preserve">Monitoring se sprovodi sistematskim mjerenjem, testiranjem i procjenom indikatora stanja i zagađenja životne sredine koje obuhvata praćenje stanja otpada, ranu najavu slučajnog </w:t>
      </w:r>
      <w:r w:rsidRPr="002A6F4E">
        <w:rPr>
          <w:rFonts w:ascii="Arial" w:hAnsi="Arial" w:cs="Arial"/>
          <w:lang w:val="sq-AL"/>
        </w:rPr>
        <w:lastRenderedPageBreak/>
        <w:t>zagađenja, kao i preuzetih obaveza iz međunarodnih ugovora opterećenja i uticaja na životnu sredinu, i posebno podataka o otpadu i upravljanju otpadom.</w:t>
      </w:r>
    </w:p>
    <w:p w14:paraId="3BC593EB" w14:textId="77777777"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Registar zagađivača životne sredine sadrži podatke o izvorima, vrsti, količini, načinu i mjestu ispuštanja, prenosa i odlaganja zagađujućih materija i otpada u životnu sredinu.</w:t>
      </w:r>
    </w:p>
    <w:p w14:paraId="25C88061" w14:textId="094F12EE"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EKO stopa je utvrđena za proizvode nam</w:t>
      </w:r>
      <w:r w:rsidR="00781F16">
        <w:rPr>
          <w:rFonts w:ascii="Arial" w:hAnsi="Arial" w:cs="Arial"/>
          <w:lang w:val="sq-AL"/>
        </w:rPr>
        <w:t>i</w:t>
      </w:r>
      <w:r w:rsidRPr="002A6F4E">
        <w:rPr>
          <w:rFonts w:ascii="Arial" w:hAnsi="Arial" w:cs="Arial"/>
          <w:lang w:val="sq-AL"/>
        </w:rPr>
        <w:t>jenjene opštoj potrošnji koji su dobijeni reciklažom otpada.</w:t>
      </w:r>
    </w:p>
    <w:p w14:paraId="17F1D332" w14:textId="77777777" w:rsidR="00C232D7" w:rsidRPr="002A6F4E" w:rsidRDefault="00C232D7" w:rsidP="00C232D7">
      <w:pPr>
        <w:spacing w:before="120" w:after="120" w:line="360" w:lineRule="auto"/>
        <w:rPr>
          <w:rFonts w:ascii="Arial" w:hAnsi="Arial" w:cs="Arial"/>
          <w:bCs/>
          <w:i/>
          <w:u w:val="single"/>
          <w:lang w:val="sq-AL"/>
        </w:rPr>
      </w:pPr>
      <w:r w:rsidRPr="002A6F4E">
        <w:rPr>
          <w:rFonts w:ascii="Arial" w:hAnsi="Arial" w:cs="Arial"/>
          <w:bCs/>
          <w:i/>
          <w:u w:val="single"/>
          <w:lang w:val="sq-AL"/>
        </w:rPr>
        <w:t>Zakon o komunalnim djelatnostima</w:t>
      </w:r>
    </w:p>
    <w:p w14:paraId="333FE35B" w14:textId="7C3B713B"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Zakonom o komunalnim djelatnostima (</w:t>
      </w:r>
      <w:r w:rsidR="00702DAF" w:rsidRPr="0035491B">
        <w:rPr>
          <w:rFonts w:ascii="Arial" w:hAnsi="Arial" w:cs="Arial"/>
          <w:bCs/>
          <w:lang w:val="sq-AL"/>
        </w:rPr>
        <w:t>"Službeni list Crne Gore",</w:t>
      </w:r>
      <w:r w:rsidR="00702DAF">
        <w:rPr>
          <w:rFonts w:ascii="Arial" w:hAnsi="Arial" w:cs="Arial"/>
          <w:bCs/>
          <w:lang w:val="sq-AL"/>
        </w:rPr>
        <w:t xml:space="preserve"> br.</w:t>
      </w:r>
      <w:r w:rsidR="00A14EC3">
        <w:rPr>
          <w:rFonts w:ascii="Arial" w:hAnsi="Arial" w:cs="Arial"/>
          <w:bCs/>
          <w:lang w:val="sq-AL"/>
        </w:rPr>
        <w:t xml:space="preserve"> </w:t>
      </w:r>
      <w:r w:rsidRPr="002A6F4E">
        <w:rPr>
          <w:rFonts w:ascii="Arial" w:hAnsi="Arial" w:cs="Arial"/>
          <w:lang w:val="sq-AL"/>
        </w:rPr>
        <w:t>055/16, 074/16, 002/18, 066/19,140/22, 84</w:t>
      </w:r>
      <w:r w:rsidR="00781F16">
        <w:rPr>
          <w:rFonts w:ascii="Arial" w:hAnsi="Arial" w:cs="Arial"/>
          <w:lang w:val="sq-AL"/>
        </w:rPr>
        <w:t>/</w:t>
      </w:r>
      <w:r w:rsidRPr="002A6F4E">
        <w:rPr>
          <w:rFonts w:ascii="Arial" w:hAnsi="Arial" w:cs="Arial"/>
          <w:lang w:val="sq-AL"/>
        </w:rPr>
        <w:t>24) definisane su komunalne djelatnosti i obezb</w:t>
      </w:r>
      <w:r w:rsidR="00A5167F">
        <w:rPr>
          <w:rFonts w:ascii="Arial" w:hAnsi="Arial" w:cs="Arial"/>
          <w:lang w:val="sq-AL"/>
        </w:rPr>
        <w:t>ij</w:t>
      </w:r>
      <w:r w:rsidRPr="002A6F4E">
        <w:rPr>
          <w:rFonts w:ascii="Arial" w:hAnsi="Arial" w:cs="Arial"/>
          <w:lang w:val="sq-AL"/>
        </w:rPr>
        <w:t>eđeni propisi i uslovi za njihovo obavljanje zajedno sa važnim povezanim pitanjima.</w:t>
      </w:r>
    </w:p>
    <w:p w14:paraId="3501EAC2"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Komunalne djelatnosti, u smislu ovog zakona, su pružanje komunalnih usluga koje su nezamjenljiv uslov života i rada građana, privrednih subjekata i drugih subjekata na teritoriji jedinice lokalne samouprave i održavanje komunalne infrastrukture, opreme i sredstava za obavljanje tih djelatnosti.</w:t>
      </w:r>
    </w:p>
    <w:p w14:paraId="2597E002" w14:textId="0994F0BC"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Zakon propisuje sl</w:t>
      </w:r>
      <w:r w:rsidR="0079476A">
        <w:rPr>
          <w:rFonts w:ascii="Arial" w:hAnsi="Arial" w:cs="Arial"/>
          <w:lang w:val="sq-AL"/>
        </w:rPr>
        <w:t>j</w:t>
      </w:r>
      <w:r w:rsidRPr="002A6F4E">
        <w:rPr>
          <w:rFonts w:ascii="Arial" w:hAnsi="Arial" w:cs="Arial"/>
          <w:lang w:val="sq-AL"/>
        </w:rPr>
        <w:t xml:space="preserve">edeće: </w:t>
      </w:r>
    </w:p>
    <w:p w14:paraId="4E7963CC" w14:textId="77777777"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Upravljanje komunalnim otpadom je komunalna djelatnost.</w:t>
      </w:r>
    </w:p>
    <w:p w14:paraId="21F6765B" w14:textId="628C6EC0"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 xml:space="preserve">Upravljanje komunalnim otpadom se sastoji od </w:t>
      </w:r>
      <w:r w:rsidR="00A14EC3">
        <w:rPr>
          <w:rFonts w:ascii="Arial" w:hAnsi="Arial" w:cs="Arial"/>
          <w:lang w:val="sq-AL"/>
        </w:rPr>
        <w:t>sa</w:t>
      </w:r>
      <w:r w:rsidRPr="002A6F4E">
        <w:rPr>
          <w:rFonts w:ascii="Arial" w:hAnsi="Arial" w:cs="Arial"/>
          <w:lang w:val="sq-AL"/>
        </w:rPr>
        <w:t>kupljanja, transporta</w:t>
      </w:r>
      <w:r w:rsidR="005E5272">
        <w:rPr>
          <w:rFonts w:ascii="Arial" w:hAnsi="Arial" w:cs="Arial"/>
          <w:lang w:val="sq-AL"/>
        </w:rPr>
        <w:t xml:space="preserve">, </w:t>
      </w:r>
      <w:r w:rsidRPr="002A6F4E">
        <w:rPr>
          <w:rFonts w:ascii="Arial" w:hAnsi="Arial" w:cs="Arial"/>
          <w:lang w:val="sq-AL"/>
        </w:rPr>
        <w:t>obrade i</w:t>
      </w:r>
      <w:r w:rsidR="005E5272">
        <w:rPr>
          <w:rFonts w:ascii="Arial" w:hAnsi="Arial" w:cs="Arial"/>
          <w:lang w:val="sq-AL"/>
        </w:rPr>
        <w:t>/</w:t>
      </w:r>
      <w:r w:rsidRPr="002A6F4E">
        <w:rPr>
          <w:rFonts w:ascii="Arial" w:hAnsi="Arial" w:cs="Arial"/>
          <w:lang w:val="sq-AL"/>
        </w:rPr>
        <w:t>ili bilo koje druge procedure –</w:t>
      </w:r>
      <w:r w:rsidR="00CC102C">
        <w:rPr>
          <w:rFonts w:ascii="Arial" w:hAnsi="Arial" w:cs="Arial"/>
          <w:lang w:val="sq-AL"/>
        </w:rPr>
        <w:t xml:space="preserve"> </w:t>
      </w:r>
      <w:r w:rsidRPr="002A6F4E">
        <w:rPr>
          <w:rFonts w:ascii="Arial" w:hAnsi="Arial" w:cs="Arial"/>
          <w:lang w:val="sq-AL"/>
        </w:rPr>
        <w:t xml:space="preserve">komunalnog otpada </w:t>
      </w:r>
      <w:r w:rsidRPr="005E5272">
        <w:rPr>
          <w:rFonts w:ascii="Arial" w:hAnsi="Arial" w:cs="Arial"/>
          <w:lang w:val="sq-AL"/>
        </w:rPr>
        <w:t>(MSW)</w:t>
      </w:r>
      <w:r w:rsidRPr="002A6F4E">
        <w:rPr>
          <w:rFonts w:ascii="Arial" w:hAnsi="Arial" w:cs="Arial"/>
          <w:lang w:val="sq-AL"/>
        </w:rPr>
        <w:t xml:space="preserve">. </w:t>
      </w:r>
    </w:p>
    <w:p w14:paraId="07275475" w14:textId="77777777"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Zabranjeno je odlaganje komunalnog i drugog otpada van mjesta predviđenih za tu namjenu, na obalama i pored vodotoka, stajaćih voda, na putevima i pored puteva;</w:t>
      </w:r>
    </w:p>
    <w:p w14:paraId="0ADFC65A" w14:textId="4081AD58"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 xml:space="preserve">Lokalne samouprave su odgovorne za sakupljanje i uklanjanje </w:t>
      </w:r>
      <w:r w:rsidRPr="005E5272">
        <w:rPr>
          <w:rFonts w:ascii="Arial" w:hAnsi="Arial" w:cs="Arial"/>
          <w:lang w:val="sq-AL"/>
        </w:rPr>
        <w:t>komunalnog otpada</w:t>
      </w:r>
      <w:r w:rsidRPr="002A6F4E">
        <w:rPr>
          <w:rFonts w:ascii="Arial" w:hAnsi="Arial" w:cs="Arial"/>
          <w:lang w:val="sq-AL"/>
        </w:rPr>
        <w:t xml:space="preserve">. Proceduru i usluge </w:t>
      </w:r>
      <w:r w:rsidR="00A14EC3">
        <w:rPr>
          <w:rFonts w:ascii="Arial" w:hAnsi="Arial" w:cs="Arial"/>
          <w:lang w:val="sq-AL"/>
        </w:rPr>
        <w:t>sa</w:t>
      </w:r>
      <w:r w:rsidRPr="002A6F4E">
        <w:rPr>
          <w:rFonts w:ascii="Arial" w:hAnsi="Arial" w:cs="Arial"/>
          <w:lang w:val="sq-AL"/>
        </w:rPr>
        <w:t>kupljanja komunalnog otpada određuje nadležni organ jedinice lokalne samouprave.</w:t>
      </w:r>
    </w:p>
    <w:p w14:paraId="45C926DD" w14:textId="14EA760D"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Obavezno je da korisnici, a to mogu biti i pravna i fizička lica, koriste komunalne usluge koje pruža jedinica lokalne samouprave zadužena za prikupljanje, transport, pripremu, preradu i odlaganje komunalnog otpada koji proizvedu</w:t>
      </w:r>
      <w:r w:rsidR="00C67E8E">
        <w:rPr>
          <w:rFonts w:ascii="Arial" w:hAnsi="Arial" w:cs="Arial"/>
          <w:lang w:val="sq-AL"/>
        </w:rPr>
        <w:t>.</w:t>
      </w:r>
    </w:p>
    <w:p w14:paraId="50E4C0A7" w14:textId="2050EBD6"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 xml:space="preserve">Komunalna policija je ovlašćena da kontroliše upravljanje komunalnim otpadom i nalaže građanima, privrednim i drugim subjektima da uklone komunalni otpad sa mjesta koja </w:t>
      </w:r>
      <w:r w:rsidR="00951F47">
        <w:rPr>
          <w:rFonts w:ascii="Arial" w:hAnsi="Arial" w:cs="Arial"/>
          <w:lang w:val="sq-AL" w:eastAsia="pl-PL"/>
        </w:rPr>
        <w:t>nijesu</w:t>
      </w:r>
      <w:r w:rsidRPr="002A6F4E">
        <w:rPr>
          <w:rFonts w:ascii="Arial" w:hAnsi="Arial" w:cs="Arial"/>
          <w:lang w:val="sq-AL"/>
        </w:rPr>
        <w:t xml:space="preserve"> predviđena za tu namjenu.</w:t>
      </w:r>
    </w:p>
    <w:p w14:paraId="72BFB4BC" w14:textId="2BA125CE"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Zakonom o komunalnim djelatnostima (član 2 i 10) navodi se da je upravljanje komunalnim otpadom isključiva obaveza jedinice lokalne samouprave koja je nadležna za njegovo sakupljanje, </w:t>
      </w:r>
      <w:r w:rsidR="006A1729">
        <w:rPr>
          <w:rFonts w:ascii="Arial" w:hAnsi="Arial" w:cs="Arial"/>
          <w:lang w:val="sq-AL"/>
        </w:rPr>
        <w:t>preradu</w:t>
      </w:r>
      <w:r w:rsidR="006A1729" w:rsidRPr="002A6F4E">
        <w:rPr>
          <w:rFonts w:ascii="Arial" w:hAnsi="Arial" w:cs="Arial"/>
          <w:lang w:val="sq-AL"/>
        </w:rPr>
        <w:t xml:space="preserve"> </w:t>
      </w:r>
      <w:r w:rsidRPr="002A6F4E">
        <w:rPr>
          <w:rFonts w:ascii="Arial" w:hAnsi="Arial" w:cs="Arial"/>
          <w:lang w:val="sq-AL"/>
        </w:rPr>
        <w:t>i odlaganje. Ova obaveza je dodatno precizirana lokalnim komunalnim uredbama. Kao takvo, sakupljanje (kao dio ili upravljanje komunalnim otpadom) se delegira registrovanim preduzećima za upravljanje otpadom (obično komunalnim preduzećima u vlasništvu jedinice lokalne samouprave).</w:t>
      </w:r>
    </w:p>
    <w:p w14:paraId="3F8589FB" w14:textId="688ED42D" w:rsidR="00C232D7" w:rsidRPr="002A6F4E" w:rsidRDefault="00C232D7" w:rsidP="00C232D7">
      <w:pPr>
        <w:spacing w:before="120" w:after="120" w:line="360" w:lineRule="auto"/>
        <w:rPr>
          <w:rFonts w:ascii="Arial" w:hAnsi="Arial" w:cs="Arial"/>
          <w:lang w:val="sq-AL"/>
        </w:rPr>
      </w:pPr>
      <w:r w:rsidRPr="002A6F4E">
        <w:rPr>
          <w:rFonts w:ascii="Arial" w:hAnsi="Arial" w:cs="Arial"/>
          <w:bCs/>
          <w:i/>
          <w:u w:val="single"/>
          <w:lang w:val="sq-AL"/>
        </w:rPr>
        <w:t>Zakonom o zaštiti prirode</w:t>
      </w:r>
      <w:r w:rsidRPr="002A6F4E">
        <w:rPr>
          <w:rFonts w:ascii="Arial" w:hAnsi="Arial" w:cs="Arial"/>
          <w:lang w:val="sq-AL"/>
        </w:rPr>
        <w:t xml:space="preserve"> (</w:t>
      </w:r>
      <w:r w:rsidR="00702DAF" w:rsidRPr="0035491B">
        <w:rPr>
          <w:rFonts w:ascii="Arial" w:hAnsi="Arial" w:cs="Arial"/>
          <w:bCs/>
          <w:lang w:val="sq-AL"/>
        </w:rPr>
        <w:t>"Službeni list Crne Gore",</w:t>
      </w:r>
      <w:r w:rsidR="00702DAF">
        <w:rPr>
          <w:rFonts w:ascii="Arial" w:hAnsi="Arial" w:cs="Arial"/>
          <w:bCs/>
          <w:lang w:val="sq-AL"/>
        </w:rPr>
        <w:t xml:space="preserve"> br.</w:t>
      </w:r>
      <w:r w:rsidR="006A1729">
        <w:rPr>
          <w:rFonts w:ascii="Arial" w:hAnsi="Arial" w:cs="Arial"/>
          <w:bCs/>
          <w:lang w:val="sq-AL"/>
        </w:rPr>
        <w:t xml:space="preserve"> </w:t>
      </w:r>
      <w:r w:rsidRPr="002A6F4E">
        <w:rPr>
          <w:rFonts w:ascii="Arial" w:hAnsi="Arial" w:cs="Arial"/>
          <w:lang w:val="sq-AL"/>
        </w:rPr>
        <w:t xml:space="preserve">054/16, </w:t>
      </w:r>
      <w:r w:rsidR="006A1729">
        <w:rPr>
          <w:rFonts w:ascii="Arial" w:hAnsi="Arial" w:cs="Arial"/>
          <w:lang w:val="sq-AL"/>
        </w:rPr>
        <w:t>0</w:t>
      </w:r>
      <w:r w:rsidRPr="002A6F4E">
        <w:rPr>
          <w:rFonts w:ascii="Arial" w:hAnsi="Arial" w:cs="Arial"/>
          <w:lang w:val="sq-AL"/>
        </w:rPr>
        <w:t xml:space="preserve">18/19, </w:t>
      </w:r>
      <w:r w:rsidR="006A1729">
        <w:rPr>
          <w:rFonts w:ascii="Arial" w:hAnsi="Arial" w:cs="Arial"/>
          <w:lang w:val="sq-AL"/>
        </w:rPr>
        <w:t>0</w:t>
      </w:r>
      <w:r w:rsidRPr="002A6F4E">
        <w:rPr>
          <w:rFonts w:ascii="Arial" w:hAnsi="Arial" w:cs="Arial"/>
          <w:lang w:val="sq-AL"/>
        </w:rPr>
        <w:t xml:space="preserve">84/24) definisano je šta se može uspostaviti u okviru zaštićenog područja kako bi se spriječili ili ublažili spoljni faktori koji mogu negativno uticati na zaštićeno područje uključujući otpad. Takođe se u članu 69 navodi da je odlaganje otpada </w:t>
      </w:r>
      <w:r w:rsidRPr="002A6F4E">
        <w:rPr>
          <w:rFonts w:ascii="Arial" w:hAnsi="Arial" w:cs="Arial"/>
          <w:lang w:val="sq-AL"/>
        </w:rPr>
        <w:lastRenderedPageBreak/>
        <w:t>zabranjeno u speleološkim objektima i njihovom okruženju. Pored toga, zakonom je propisano da će se za prekršaj iz navedenih zabrana pravno lice kazniti novčanom kaznom u iznosu od 2</w:t>
      </w:r>
      <w:r w:rsidR="006A1729">
        <w:rPr>
          <w:rFonts w:ascii="Arial" w:hAnsi="Arial" w:cs="Arial"/>
          <w:lang w:val="sq-AL"/>
        </w:rPr>
        <w:t>.</w:t>
      </w:r>
      <w:r w:rsidRPr="002A6F4E">
        <w:rPr>
          <w:rFonts w:ascii="Arial" w:hAnsi="Arial" w:cs="Arial"/>
          <w:lang w:val="sq-AL"/>
        </w:rPr>
        <w:t>000 do 40</w:t>
      </w:r>
      <w:r w:rsidR="006A1729">
        <w:rPr>
          <w:rFonts w:ascii="Arial" w:hAnsi="Arial" w:cs="Arial"/>
          <w:lang w:val="sq-AL"/>
        </w:rPr>
        <w:t>.</w:t>
      </w:r>
      <w:r w:rsidRPr="002A6F4E">
        <w:rPr>
          <w:rFonts w:ascii="Arial" w:hAnsi="Arial" w:cs="Arial"/>
          <w:lang w:val="sq-AL"/>
        </w:rPr>
        <w:t>000 eura.</w:t>
      </w:r>
    </w:p>
    <w:p w14:paraId="010B3B6D" w14:textId="4A6EAB79" w:rsidR="00C232D7" w:rsidRPr="002A6F4E" w:rsidRDefault="00C232D7" w:rsidP="00C232D7">
      <w:pPr>
        <w:spacing w:before="120" w:after="120" w:line="360" w:lineRule="auto"/>
        <w:rPr>
          <w:rFonts w:ascii="Arial" w:hAnsi="Arial" w:cs="Arial"/>
          <w:iCs/>
          <w:lang w:val="sq-AL"/>
        </w:rPr>
      </w:pPr>
      <w:r w:rsidRPr="002A6F4E">
        <w:rPr>
          <w:rFonts w:ascii="Arial" w:hAnsi="Arial" w:cs="Arial"/>
          <w:bCs/>
          <w:i/>
          <w:u w:val="single"/>
          <w:lang w:val="sq-AL"/>
        </w:rPr>
        <w:t>Zakonom o lokalnoj samoupravi</w:t>
      </w:r>
      <w:r w:rsidRPr="002A6F4E">
        <w:rPr>
          <w:rFonts w:ascii="Arial" w:hAnsi="Arial" w:cs="Arial"/>
          <w:bCs/>
          <w:iCs/>
          <w:lang w:val="sq-AL"/>
        </w:rPr>
        <w:t xml:space="preserve"> (</w:t>
      </w:r>
      <w:r w:rsidR="00702DAF" w:rsidRPr="0035491B">
        <w:rPr>
          <w:rFonts w:ascii="Arial" w:hAnsi="Arial" w:cs="Arial"/>
          <w:bCs/>
          <w:lang w:val="sq-AL"/>
        </w:rPr>
        <w:t>"Službeni list Crne Gore",</w:t>
      </w:r>
      <w:r w:rsidR="00702DAF">
        <w:rPr>
          <w:rFonts w:ascii="Arial" w:hAnsi="Arial" w:cs="Arial"/>
          <w:bCs/>
          <w:lang w:val="sq-AL"/>
        </w:rPr>
        <w:t xml:space="preserve"> br.</w:t>
      </w:r>
      <w:r w:rsidR="006A1729">
        <w:rPr>
          <w:rFonts w:ascii="Arial" w:hAnsi="Arial" w:cs="Arial"/>
          <w:bCs/>
          <w:lang w:val="sq-AL"/>
        </w:rPr>
        <w:t xml:space="preserve"> 0</w:t>
      </w:r>
      <w:r w:rsidRPr="002A6F4E">
        <w:rPr>
          <w:rFonts w:ascii="Arial" w:hAnsi="Arial" w:cs="Arial"/>
          <w:bCs/>
          <w:iCs/>
          <w:lang w:val="sq-AL"/>
        </w:rPr>
        <w:t xml:space="preserve">2/18, </w:t>
      </w:r>
      <w:r w:rsidR="006A1729">
        <w:rPr>
          <w:rFonts w:ascii="Arial" w:hAnsi="Arial" w:cs="Arial"/>
          <w:bCs/>
          <w:iCs/>
          <w:lang w:val="sq-AL"/>
        </w:rPr>
        <w:t>0</w:t>
      </w:r>
      <w:r w:rsidRPr="002A6F4E">
        <w:rPr>
          <w:rFonts w:ascii="Arial" w:hAnsi="Arial" w:cs="Arial"/>
          <w:bCs/>
          <w:iCs/>
          <w:lang w:val="sq-AL"/>
        </w:rPr>
        <w:t xml:space="preserve">34/19, </w:t>
      </w:r>
      <w:r w:rsidR="006A1729">
        <w:rPr>
          <w:rFonts w:ascii="Arial" w:hAnsi="Arial" w:cs="Arial"/>
          <w:bCs/>
          <w:iCs/>
          <w:lang w:val="sq-AL"/>
        </w:rPr>
        <w:t>0</w:t>
      </w:r>
      <w:r w:rsidRPr="002A6F4E">
        <w:rPr>
          <w:rFonts w:ascii="Arial" w:hAnsi="Arial" w:cs="Arial"/>
          <w:bCs/>
          <w:iCs/>
          <w:lang w:val="sq-AL"/>
        </w:rPr>
        <w:t xml:space="preserve">38/20, </w:t>
      </w:r>
      <w:r w:rsidR="006A1729">
        <w:rPr>
          <w:rFonts w:ascii="Arial" w:hAnsi="Arial" w:cs="Arial"/>
          <w:bCs/>
          <w:iCs/>
          <w:lang w:val="sq-AL"/>
        </w:rPr>
        <w:t>0</w:t>
      </w:r>
      <w:r w:rsidRPr="002A6F4E">
        <w:rPr>
          <w:rFonts w:ascii="Arial" w:hAnsi="Arial" w:cs="Arial"/>
          <w:bCs/>
          <w:iCs/>
          <w:lang w:val="sq-AL"/>
        </w:rPr>
        <w:t xml:space="preserve">50/22, </w:t>
      </w:r>
      <w:r w:rsidR="006A1729">
        <w:rPr>
          <w:rFonts w:ascii="Arial" w:hAnsi="Arial" w:cs="Arial"/>
          <w:bCs/>
          <w:iCs/>
          <w:lang w:val="sq-AL"/>
        </w:rPr>
        <w:t>0</w:t>
      </w:r>
      <w:r w:rsidRPr="002A6F4E">
        <w:rPr>
          <w:rFonts w:ascii="Arial" w:hAnsi="Arial" w:cs="Arial"/>
          <w:bCs/>
          <w:iCs/>
          <w:lang w:val="sq-AL"/>
        </w:rPr>
        <w:t>84/22)</w:t>
      </w:r>
      <w:r w:rsidRPr="002A6F4E">
        <w:rPr>
          <w:rFonts w:ascii="Arial" w:hAnsi="Arial" w:cs="Arial"/>
          <w:iCs/>
          <w:lang w:val="sq-AL"/>
        </w:rPr>
        <w:t xml:space="preserve"> definisano je da </w:t>
      </w:r>
      <w:r w:rsidRPr="002A6F4E">
        <w:rPr>
          <w:rFonts w:ascii="Arial" w:hAnsi="Arial" w:cs="Arial"/>
          <w:lang w:val="sq-AL"/>
        </w:rPr>
        <w:t>jedinica lokalne samouprave</w:t>
      </w:r>
      <w:r w:rsidRPr="002A6F4E">
        <w:rPr>
          <w:rFonts w:ascii="Arial" w:hAnsi="Arial" w:cs="Arial"/>
          <w:iCs/>
          <w:lang w:val="sq-AL"/>
        </w:rPr>
        <w:t>, između ostalog, obezbjeđuju uslove i vode računa o zaštiti životne sredine i njenih djelova (kvalitet vazduha, zaštita od buke, upravljanje otpadom</w:t>
      </w:r>
      <w:r w:rsidR="006A1729">
        <w:rPr>
          <w:rFonts w:ascii="Arial" w:hAnsi="Arial" w:cs="Arial"/>
          <w:iCs/>
          <w:lang w:val="sq-AL"/>
        </w:rPr>
        <w:t>,</w:t>
      </w:r>
      <w:r w:rsidRPr="002A6F4E">
        <w:rPr>
          <w:rFonts w:ascii="Arial" w:hAnsi="Arial" w:cs="Arial"/>
          <w:iCs/>
          <w:lang w:val="sq-AL"/>
        </w:rPr>
        <w:t xml:space="preserve"> itd).</w:t>
      </w:r>
    </w:p>
    <w:p w14:paraId="26F384E3" w14:textId="47E90042" w:rsidR="00C232D7" w:rsidRPr="002A6F4E" w:rsidRDefault="00C232D7" w:rsidP="00C232D7">
      <w:pPr>
        <w:spacing w:before="120" w:after="120" w:line="360" w:lineRule="auto"/>
        <w:rPr>
          <w:rFonts w:ascii="Arial" w:hAnsi="Arial" w:cs="Arial"/>
          <w:lang w:val="sq-AL"/>
        </w:rPr>
      </w:pPr>
      <w:r w:rsidRPr="002A6F4E">
        <w:rPr>
          <w:rFonts w:ascii="Arial" w:hAnsi="Arial" w:cs="Arial"/>
          <w:bCs/>
          <w:i/>
          <w:u w:val="single"/>
          <w:lang w:val="sq-AL"/>
        </w:rPr>
        <w:t>Zakonom o uređenju prostora i izgradnji objekata</w:t>
      </w:r>
      <w:r w:rsidRPr="002A6F4E">
        <w:rPr>
          <w:rFonts w:ascii="Arial" w:hAnsi="Arial" w:cs="Arial"/>
          <w:bCs/>
          <w:iCs/>
          <w:lang w:val="sq-AL"/>
        </w:rPr>
        <w:t xml:space="preserve"> (</w:t>
      </w:r>
      <w:r w:rsidR="00702DAF" w:rsidRPr="0035491B">
        <w:rPr>
          <w:rFonts w:ascii="Arial" w:hAnsi="Arial" w:cs="Arial"/>
          <w:bCs/>
          <w:lang w:val="sq-AL"/>
        </w:rPr>
        <w:t>"Službeni list Crne Gore",</w:t>
      </w:r>
      <w:r w:rsidR="00702DAF">
        <w:rPr>
          <w:rFonts w:ascii="Arial" w:hAnsi="Arial" w:cs="Arial"/>
          <w:bCs/>
          <w:lang w:val="sq-AL"/>
        </w:rPr>
        <w:t xml:space="preserve"> br.</w:t>
      </w:r>
      <w:r w:rsidR="006A1729">
        <w:rPr>
          <w:rFonts w:ascii="Arial" w:hAnsi="Arial" w:cs="Arial"/>
          <w:bCs/>
          <w:lang w:val="sq-AL"/>
        </w:rPr>
        <w:t xml:space="preserve"> </w:t>
      </w:r>
      <w:r w:rsidRPr="002A6F4E">
        <w:rPr>
          <w:rFonts w:ascii="Arial" w:hAnsi="Arial" w:cs="Arial"/>
          <w:bCs/>
          <w:iCs/>
          <w:lang w:val="sq-AL"/>
        </w:rPr>
        <w:t>64/17)</w:t>
      </w:r>
      <w:r w:rsidRPr="002A6F4E">
        <w:rPr>
          <w:rFonts w:ascii="Arial" w:hAnsi="Arial" w:cs="Arial"/>
          <w:lang w:val="sq-AL"/>
        </w:rPr>
        <w:t xml:space="preserve"> definisane su mjere za sprečavanje svakog uticaja otpada na higijenu, zdravlje ljudi i zaštitu životne sredine, što podrazumijeva da struktura objekata za upravljanje otpadom mora biti projektovana i izgrađena na način da neće predstavljati prijetnju za higijenu ili zdravlje i bezbjednost </w:t>
      </w:r>
      <w:r w:rsidR="006A1729">
        <w:rPr>
          <w:rFonts w:ascii="Arial" w:hAnsi="Arial" w:cs="Arial"/>
          <w:lang w:val="sq-AL"/>
        </w:rPr>
        <w:t>ljudi</w:t>
      </w:r>
      <w:r w:rsidRPr="002A6F4E">
        <w:rPr>
          <w:rFonts w:ascii="Arial" w:hAnsi="Arial" w:cs="Arial"/>
          <w:lang w:val="sq-AL"/>
        </w:rPr>
        <w:t>, niti prouzrokovati prekoračenje dozvoljenih graničnih vrijednosti uticaja na životnu sredinu ili klimu tokom njihove izgradnje, korišćenja i rušenja, ili tokom njihove radne službe.</w:t>
      </w:r>
    </w:p>
    <w:p w14:paraId="673DCC75" w14:textId="2FB399A8"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bCs/>
          <w:i/>
          <w:u w:val="single"/>
          <w:lang w:val="sq-AL"/>
        </w:rPr>
        <w:t>Zakonom o bezbjednosti hrane</w:t>
      </w:r>
      <w:r w:rsidRPr="002A6F4E">
        <w:rPr>
          <w:rFonts w:ascii="Arial" w:hAnsi="Arial" w:cs="Arial"/>
          <w:bCs/>
          <w:iCs/>
          <w:lang w:val="sq-AL"/>
        </w:rPr>
        <w:t xml:space="preserve"> (</w:t>
      </w:r>
      <w:r w:rsidR="00702DAF" w:rsidRPr="0035491B">
        <w:rPr>
          <w:rFonts w:ascii="Arial" w:hAnsi="Arial" w:cs="Arial"/>
          <w:bCs/>
          <w:lang w:val="sq-AL"/>
        </w:rPr>
        <w:t>"Službeni list Crne Gore",</w:t>
      </w:r>
      <w:r w:rsidR="00702DAF">
        <w:rPr>
          <w:rFonts w:ascii="Arial" w:hAnsi="Arial" w:cs="Arial"/>
          <w:bCs/>
          <w:lang w:val="sq-AL"/>
        </w:rPr>
        <w:t xml:space="preserve"> br.</w:t>
      </w:r>
      <w:r w:rsidR="006A1729">
        <w:rPr>
          <w:rFonts w:ascii="Arial" w:hAnsi="Arial" w:cs="Arial"/>
          <w:bCs/>
          <w:lang w:val="sq-AL"/>
        </w:rPr>
        <w:t xml:space="preserve"> </w:t>
      </w:r>
      <w:r w:rsidRPr="002A6F4E">
        <w:rPr>
          <w:rFonts w:ascii="Arial" w:hAnsi="Arial" w:cs="Arial"/>
          <w:bCs/>
          <w:iCs/>
          <w:lang w:val="sq-AL"/>
        </w:rPr>
        <w:t>57/15)</w:t>
      </w:r>
      <w:r w:rsidRPr="002A6F4E">
        <w:rPr>
          <w:rFonts w:ascii="Arial" w:hAnsi="Arial" w:cs="Arial"/>
          <w:lang w:val="sq-AL"/>
        </w:rPr>
        <w:t xml:space="preserve"> regulisane su obaveze i odgovornosti subjekata u poslovanju sa hranom radi zaštite života i zdravlja ljudi i životne sredine. Crna Gora je izradila Studiju izvodljivosti koja sadrži podatke o količini životinjskog otpada koji nastaje u postrojenjima za držanje i uzgajivanje životinja i prilikom klanja životinja i prerade i </w:t>
      </w:r>
      <w:r w:rsidR="006A1729">
        <w:rPr>
          <w:rFonts w:ascii="Arial" w:hAnsi="Arial" w:cs="Arial"/>
          <w:lang w:val="sq-AL"/>
        </w:rPr>
        <w:t>obrade</w:t>
      </w:r>
      <w:r w:rsidR="006A1729" w:rsidRPr="002A6F4E">
        <w:rPr>
          <w:rFonts w:ascii="Arial" w:hAnsi="Arial" w:cs="Arial"/>
          <w:lang w:val="sq-AL"/>
        </w:rPr>
        <w:t xml:space="preserve"> </w:t>
      </w:r>
      <w:r w:rsidRPr="002A6F4E">
        <w:rPr>
          <w:rFonts w:ascii="Arial" w:hAnsi="Arial" w:cs="Arial"/>
          <w:lang w:val="sq-AL"/>
        </w:rPr>
        <w:t xml:space="preserve">životinjskih proizvoda. Smatra se da predloženi modeli pronalaze najprihvatljivije rješenje za upravljanje ovom vrstom otpada za koje su postavljeni specifični zahtjevi u pogledu </w:t>
      </w:r>
      <w:r w:rsidR="006A1729">
        <w:rPr>
          <w:rFonts w:ascii="Arial" w:hAnsi="Arial" w:cs="Arial"/>
          <w:lang w:val="sq-AL"/>
        </w:rPr>
        <w:t>sa</w:t>
      </w:r>
      <w:r w:rsidRPr="002A6F4E">
        <w:rPr>
          <w:rFonts w:ascii="Arial" w:hAnsi="Arial" w:cs="Arial"/>
          <w:lang w:val="sq-AL"/>
        </w:rPr>
        <w:t>kupljanja</w:t>
      </w:r>
      <w:r w:rsidR="006A1729">
        <w:rPr>
          <w:rFonts w:ascii="Arial" w:hAnsi="Arial" w:cs="Arial"/>
          <w:lang w:val="sq-AL"/>
        </w:rPr>
        <w:t xml:space="preserve"> i</w:t>
      </w:r>
      <w:r w:rsidRPr="002A6F4E">
        <w:rPr>
          <w:rFonts w:ascii="Arial" w:hAnsi="Arial" w:cs="Arial"/>
          <w:lang w:val="sq-AL"/>
        </w:rPr>
        <w:t xml:space="preserve"> obrade. Regulisanje ovih oblasti zahtijeva znatna finansijska ulaganja i za sada se radi na obezbjeđivanju potencijalnih zainteresovanih investitora.</w:t>
      </w:r>
    </w:p>
    <w:p w14:paraId="48D9A199" w14:textId="2BADD7C7"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bCs/>
          <w:i/>
          <w:u w:val="single"/>
          <w:lang w:val="sq-AL"/>
        </w:rPr>
        <w:t>Zakonom o veterinarstvu</w:t>
      </w:r>
      <w:r w:rsidRPr="002A6F4E">
        <w:rPr>
          <w:rFonts w:ascii="Arial" w:hAnsi="Arial" w:cs="Arial"/>
          <w:bCs/>
          <w:iCs/>
          <w:lang w:val="sq-AL"/>
        </w:rPr>
        <w:t xml:space="preserve"> (</w:t>
      </w:r>
      <w:r w:rsidR="00702DAF" w:rsidRPr="0035491B">
        <w:rPr>
          <w:rFonts w:ascii="Arial" w:hAnsi="Arial" w:cs="Arial"/>
          <w:bCs/>
          <w:lang w:val="sq-AL"/>
        </w:rPr>
        <w:t>"Službeni list Crne Gore",</w:t>
      </w:r>
      <w:r w:rsidR="00702DAF">
        <w:rPr>
          <w:rFonts w:ascii="Arial" w:hAnsi="Arial" w:cs="Arial"/>
          <w:bCs/>
          <w:lang w:val="sq-AL"/>
        </w:rPr>
        <w:t xml:space="preserve"> br.</w:t>
      </w:r>
      <w:r w:rsidR="006A1729">
        <w:rPr>
          <w:rFonts w:ascii="Arial" w:hAnsi="Arial" w:cs="Arial"/>
          <w:bCs/>
          <w:lang w:val="sq-AL"/>
        </w:rPr>
        <w:t xml:space="preserve"> 0</w:t>
      </w:r>
      <w:r w:rsidRPr="002A6F4E">
        <w:rPr>
          <w:rFonts w:ascii="Arial" w:hAnsi="Arial" w:cs="Arial"/>
          <w:bCs/>
          <w:iCs/>
          <w:lang w:val="sq-AL"/>
        </w:rPr>
        <w:t xml:space="preserve">30/12, </w:t>
      </w:r>
      <w:r w:rsidR="006A1729">
        <w:rPr>
          <w:rFonts w:ascii="Arial" w:hAnsi="Arial" w:cs="Arial"/>
          <w:bCs/>
          <w:iCs/>
          <w:lang w:val="sq-AL"/>
        </w:rPr>
        <w:t>0</w:t>
      </w:r>
      <w:r w:rsidRPr="002A6F4E">
        <w:rPr>
          <w:rFonts w:ascii="Arial" w:hAnsi="Arial" w:cs="Arial"/>
          <w:bCs/>
          <w:iCs/>
          <w:lang w:val="sq-AL"/>
        </w:rPr>
        <w:t xml:space="preserve">48/15, </w:t>
      </w:r>
      <w:r w:rsidR="006A1729">
        <w:rPr>
          <w:rFonts w:ascii="Arial" w:hAnsi="Arial" w:cs="Arial"/>
          <w:bCs/>
          <w:iCs/>
          <w:lang w:val="sq-AL"/>
        </w:rPr>
        <w:t>0</w:t>
      </w:r>
      <w:r w:rsidRPr="002A6F4E">
        <w:rPr>
          <w:rFonts w:ascii="Arial" w:hAnsi="Arial" w:cs="Arial"/>
          <w:bCs/>
          <w:iCs/>
          <w:lang w:val="sq-AL"/>
        </w:rPr>
        <w:t xml:space="preserve">57/15, </w:t>
      </w:r>
      <w:r w:rsidR="006A1729">
        <w:rPr>
          <w:rFonts w:ascii="Arial" w:hAnsi="Arial" w:cs="Arial"/>
          <w:bCs/>
          <w:iCs/>
          <w:lang w:val="sq-AL"/>
        </w:rPr>
        <w:t>0</w:t>
      </w:r>
      <w:r w:rsidRPr="002A6F4E">
        <w:rPr>
          <w:rFonts w:ascii="Arial" w:hAnsi="Arial" w:cs="Arial"/>
          <w:bCs/>
          <w:iCs/>
          <w:lang w:val="sq-AL"/>
        </w:rPr>
        <w:t xml:space="preserve">52/16, </w:t>
      </w:r>
      <w:r w:rsidR="006A1729">
        <w:rPr>
          <w:rFonts w:ascii="Arial" w:hAnsi="Arial" w:cs="Arial"/>
          <w:bCs/>
          <w:iCs/>
          <w:lang w:val="sq-AL"/>
        </w:rPr>
        <w:t>0</w:t>
      </w:r>
      <w:r w:rsidRPr="002A6F4E">
        <w:rPr>
          <w:rFonts w:ascii="Arial" w:hAnsi="Arial" w:cs="Arial"/>
          <w:bCs/>
          <w:iCs/>
          <w:lang w:val="sq-AL"/>
        </w:rPr>
        <w:t xml:space="preserve">43/18, </w:t>
      </w:r>
      <w:r w:rsidR="006A1729">
        <w:rPr>
          <w:rFonts w:ascii="Arial" w:hAnsi="Arial" w:cs="Arial"/>
          <w:bCs/>
          <w:iCs/>
          <w:lang w:val="sq-AL"/>
        </w:rPr>
        <w:t>0</w:t>
      </w:r>
      <w:r w:rsidRPr="002A6F4E">
        <w:rPr>
          <w:rFonts w:ascii="Arial" w:hAnsi="Arial" w:cs="Arial"/>
          <w:bCs/>
          <w:iCs/>
          <w:lang w:val="sq-AL"/>
        </w:rPr>
        <w:t>84/24)</w:t>
      </w:r>
      <w:r w:rsidRPr="002A6F4E">
        <w:rPr>
          <w:rFonts w:ascii="Arial" w:hAnsi="Arial" w:cs="Arial"/>
          <w:lang w:val="sq-AL"/>
        </w:rPr>
        <w:t xml:space="preserve"> regulisana je, između ostalog, veterinarska zaštita životne sredine. </w:t>
      </w:r>
      <w:r w:rsidR="006A1729">
        <w:rPr>
          <w:rFonts w:ascii="Arial" w:hAnsi="Arial" w:cs="Arial"/>
          <w:lang w:val="sq-AL"/>
        </w:rPr>
        <w:t>Ovim z</w:t>
      </w:r>
      <w:r w:rsidRPr="002A6F4E">
        <w:rPr>
          <w:rFonts w:ascii="Arial" w:hAnsi="Arial" w:cs="Arial"/>
          <w:lang w:val="sq-AL"/>
        </w:rPr>
        <w:t>akonom je definisano da se svako lice bavi nusproizvodima, životinjskim otpadom i upravljanjem otpadnim vodama u skladu sa ovim zakonom i propisima o bezbjednosti hrane i zaštiti životne sredine.</w:t>
      </w:r>
    </w:p>
    <w:p w14:paraId="60193AC1" w14:textId="38B15BEA"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bCs/>
          <w:i/>
          <w:u w:val="single"/>
          <w:lang w:val="sq-AL"/>
        </w:rPr>
        <w:t>Zakonom o finansiranju lokalne samouprave</w:t>
      </w:r>
      <w:r w:rsidRPr="002A6F4E">
        <w:rPr>
          <w:rFonts w:ascii="Arial" w:hAnsi="Arial" w:cs="Arial"/>
          <w:bCs/>
          <w:iCs/>
          <w:lang w:val="sq-AL"/>
        </w:rPr>
        <w:t xml:space="preserve"> (</w:t>
      </w:r>
      <w:r w:rsidR="00702DAF" w:rsidRPr="0035491B">
        <w:rPr>
          <w:rFonts w:ascii="Arial" w:hAnsi="Arial" w:cs="Arial"/>
          <w:bCs/>
          <w:lang w:val="sq-AL"/>
        </w:rPr>
        <w:t>"Službeni list Crne Gore",</w:t>
      </w:r>
      <w:r w:rsidR="00702DAF">
        <w:rPr>
          <w:rFonts w:ascii="Arial" w:hAnsi="Arial" w:cs="Arial"/>
          <w:bCs/>
          <w:lang w:val="sq-AL"/>
        </w:rPr>
        <w:t xml:space="preserve"> br.</w:t>
      </w:r>
      <w:r w:rsidRPr="002A6F4E">
        <w:rPr>
          <w:rFonts w:ascii="Arial" w:hAnsi="Arial" w:cs="Arial"/>
          <w:bCs/>
          <w:iCs/>
          <w:lang w:val="sq-AL"/>
        </w:rPr>
        <w:t xml:space="preserve">03/19, </w:t>
      </w:r>
      <w:r w:rsidR="006A1729">
        <w:rPr>
          <w:rFonts w:ascii="Arial" w:hAnsi="Arial" w:cs="Arial"/>
          <w:bCs/>
          <w:iCs/>
          <w:lang w:val="sq-AL"/>
        </w:rPr>
        <w:t>0</w:t>
      </w:r>
      <w:r w:rsidRPr="002A6F4E">
        <w:rPr>
          <w:rFonts w:ascii="Arial" w:hAnsi="Arial" w:cs="Arial"/>
          <w:bCs/>
          <w:iCs/>
          <w:lang w:val="sq-AL"/>
        </w:rPr>
        <w:t xml:space="preserve">86/22, </w:t>
      </w:r>
      <w:r w:rsidR="006A1729">
        <w:rPr>
          <w:rFonts w:ascii="Arial" w:hAnsi="Arial" w:cs="Arial"/>
          <w:bCs/>
          <w:iCs/>
          <w:lang w:val="sq-AL"/>
        </w:rPr>
        <w:t>0</w:t>
      </w:r>
      <w:r w:rsidRPr="002A6F4E">
        <w:rPr>
          <w:rFonts w:ascii="Arial" w:hAnsi="Arial" w:cs="Arial"/>
          <w:bCs/>
          <w:iCs/>
          <w:lang w:val="sq-AL"/>
        </w:rPr>
        <w:t xml:space="preserve">5/24, </w:t>
      </w:r>
      <w:r w:rsidR="006A1729">
        <w:rPr>
          <w:rFonts w:ascii="Arial" w:hAnsi="Arial" w:cs="Arial"/>
          <w:bCs/>
          <w:iCs/>
          <w:lang w:val="sq-AL"/>
        </w:rPr>
        <w:t>0</w:t>
      </w:r>
      <w:r w:rsidRPr="002A6F4E">
        <w:rPr>
          <w:rFonts w:ascii="Arial" w:hAnsi="Arial" w:cs="Arial"/>
          <w:bCs/>
          <w:iCs/>
          <w:lang w:val="sq-AL"/>
        </w:rPr>
        <w:t>7/24)</w:t>
      </w:r>
      <w:r w:rsidRPr="002A6F4E">
        <w:rPr>
          <w:rFonts w:ascii="Arial" w:hAnsi="Arial" w:cs="Arial"/>
          <w:lang w:val="sq-AL"/>
        </w:rPr>
        <w:t xml:space="preserve"> definisani su dostupni izvori finansiranja lokalnih samouprava, uključujući i izvore iz komunalnih preduzeća.</w:t>
      </w:r>
    </w:p>
    <w:p w14:paraId="571F8EEE" w14:textId="77777777" w:rsidR="00E63905" w:rsidRDefault="00C232D7" w:rsidP="00F57909">
      <w:pPr>
        <w:pStyle w:val="Heading2"/>
      </w:pPr>
      <w:bookmarkStart w:id="676" w:name="_Toc121758997"/>
      <w:bookmarkStart w:id="677" w:name="_Toc193353967"/>
      <w:r w:rsidRPr="0035491B">
        <w:t xml:space="preserve">2.7. </w:t>
      </w:r>
      <w:r w:rsidRPr="002A6F4E">
        <w:t>Strateški dokumenti</w:t>
      </w:r>
      <w:bookmarkEnd w:id="677"/>
      <w:r w:rsidRPr="002A6F4E">
        <w:t xml:space="preserve">  </w:t>
      </w:r>
      <w:bookmarkEnd w:id="676"/>
    </w:p>
    <w:p w14:paraId="0847A5C7" w14:textId="4EF66207" w:rsidR="00C232D7" w:rsidRPr="002C4689" w:rsidRDefault="00E63905" w:rsidP="002C4689">
      <w:pPr>
        <w:spacing w:before="120" w:after="120" w:line="360" w:lineRule="auto"/>
        <w:rPr>
          <w:rFonts w:ascii="Arial" w:hAnsi="Arial" w:cs="Arial"/>
          <w:b/>
          <w:lang w:val="sq-AL"/>
        </w:rPr>
      </w:pPr>
      <w:r w:rsidRPr="002C4689">
        <w:rPr>
          <w:rFonts w:ascii="Arial" w:hAnsi="Arial" w:cs="Arial"/>
          <w:b/>
          <w:lang w:val="sq-AL"/>
        </w:rPr>
        <w:t>S</w:t>
      </w:r>
      <w:r w:rsidR="00C232D7" w:rsidRPr="002C4689">
        <w:rPr>
          <w:rFonts w:ascii="Arial" w:hAnsi="Arial" w:cs="Arial"/>
          <w:b/>
          <w:lang w:val="sq-AL"/>
        </w:rPr>
        <w:t>trategija upravljanja otpadom Crne Gore do 2030.</w:t>
      </w:r>
      <w:r w:rsidR="009D14D4">
        <w:rPr>
          <w:rFonts w:ascii="Arial" w:hAnsi="Arial" w:cs="Arial"/>
          <w:b/>
          <w:lang w:val="sq-AL"/>
        </w:rPr>
        <w:t xml:space="preserve"> </w:t>
      </w:r>
      <w:r w:rsidR="00C232D7" w:rsidRPr="002C4689">
        <w:rPr>
          <w:rFonts w:ascii="Arial" w:hAnsi="Arial" w:cs="Arial"/>
          <w:b/>
          <w:lang w:val="sq-AL"/>
        </w:rPr>
        <w:t>godine</w:t>
      </w:r>
    </w:p>
    <w:p w14:paraId="3FAF878E" w14:textId="16489B2B" w:rsidR="00C232D7" w:rsidRPr="00E1670E" w:rsidRDefault="00C232D7" w:rsidP="00C232D7">
      <w:pPr>
        <w:spacing w:before="120" w:after="120" w:line="360" w:lineRule="auto"/>
        <w:rPr>
          <w:rFonts w:ascii="Arial" w:hAnsi="Arial" w:cs="Arial"/>
          <w:lang w:val="sq-AL"/>
        </w:rPr>
      </w:pPr>
      <w:r w:rsidRPr="002A6F4E">
        <w:rPr>
          <w:rFonts w:ascii="Arial" w:hAnsi="Arial" w:cs="Arial"/>
          <w:lang w:val="sq-AL"/>
        </w:rPr>
        <w:t xml:space="preserve">Osnovni politički </w:t>
      </w:r>
      <w:r w:rsidRPr="00E1670E">
        <w:rPr>
          <w:rFonts w:ascii="Arial" w:hAnsi="Arial" w:cs="Arial"/>
          <w:lang w:val="sq-AL"/>
        </w:rPr>
        <w:t>dokument koji integriše pristup upravljanju otpadom je Nacionalna strategija održivog razvoja (NSSD) koju je Vlada Crne Gore usvojila 2007.godine. Strategija upravljanja otpadom Crne Gore do 2030.</w:t>
      </w:r>
      <w:r w:rsidR="009D14D4">
        <w:rPr>
          <w:rFonts w:ascii="Arial" w:hAnsi="Arial" w:cs="Arial"/>
          <w:lang w:val="sq-AL"/>
        </w:rPr>
        <w:t xml:space="preserve"> </w:t>
      </w:r>
      <w:r w:rsidRPr="00E1670E">
        <w:rPr>
          <w:rFonts w:ascii="Arial" w:hAnsi="Arial" w:cs="Arial"/>
          <w:lang w:val="sq-AL"/>
        </w:rPr>
        <w:t>usvojena je 2015.</w:t>
      </w:r>
      <w:r w:rsidR="009D14D4">
        <w:rPr>
          <w:rFonts w:ascii="Arial" w:hAnsi="Arial" w:cs="Arial"/>
          <w:lang w:val="sq-AL"/>
        </w:rPr>
        <w:t xml:space="preserve"> godine.</w:t>
      </w:r>
      <w:r w:rsidRPr="00E1670E">
        <w:rPr>
          <w:rFonts w:ascii="Arial" w:hAnsi="Arial" w:cs="Arial"/>
          <w:lang w:val="sq-AL"/>
        </w:rPr>
        <w:t xml:space="preserve"> To je bila osnova za pripremu Državnog plana za upravljanje otpadom za period od 2015-2020.</w:t>
      </w:r>
      <w:r w:rsidR="00E1670E">
        <w:rPr>
          <w:rFonts w:ascii="Arial" w:hAnsi="Arial" w:cs="Arial"/>
          <w:lang w:val="sq-AL"/>
        </w:rPr>
        <w:t xml:space="preserve"> </w:t>
      </w:r>
      <w:r w:rsidRPr="00E1670E">
        <w:rPr>
          <w:rFonts w:ascii="Arial" w:hAnsi="Arial" w:cs="Arial"/>
          <w:lang w:val="sq-AL"/>
        </w:rPr>
        <w:t>god</w:t>
      </w:r>
      <w:r w:rsidR="00E1670E">
        <w:rPr>
          <w:rFonts w:ascii="Arial" w:hAnsi="Arial" w:cs="Arial"/>
          <w:lang w:val="sq-AL"/>
        </w:rPr>
        <w:t>ina</w:t>
      </w:r>
      <w:r w:rsidRPr="00E1670E">
        <w:rPr>
          <w:rFonts w:ascii="Arial" w:hAnsi="Arial" w:cs="Arial"/>
          <w:lang w:val="sq-AL"/>
        </w:rPr>
        <w:t xml:space="preserve"> i sa njim su usklađeni Lokalni planovi za upravljanje otpadom. Ukratko, Strategija  definiše ciljeve, ograničenja, smjernice i neophodne mjere za uspostavljanje održivog sistema za upravljanje otpadom u državi.</w:t>
      </w:r>
    </w:p>
    <w:p w14:paraId="4BF01845" w14:textId="5AB51C23"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 tom cilju, Nacionalna strategija je definisala recikl</w:t>
      </w:r>
      <w:r w:rsidR="00EC2770">
        <w:rPr>
          <w:rFonts w:ascii="Arial" w:hAnsi="Arial" w:cs="Arial"/>
          <w:lang w:val="sq-AL"/>
        </w:rPr>
        <w:t>iranje</w:t>
      </w:r>
      <w:r w:rsidRPr="002A6F4E">
        <w:rPr>
          <w:rFonts w:ascii="Arial" w:hAnsi="Arial" w:cs="Arial"/>
          <w:lang w:val="sq-AL"/>
        </w:rPr>
        <w:t xml:space="preserve"> (‘Unapređenje upravljanja otpadom primjenom pristupa zasnovanog na cirkularnoj ekonomiji) kao svoj prvi strateški prioritet, koji treba da se ostvari kroz sljedeće mjere:</w:t>
      </w:r>
    </w:p>
    <w:p w14:paraId="54DFE60F" w14:textId="0AFBA654"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Podsticati aktivnosti u cilju smanjenja otpada koji nastaje u Crnoj Gori</w:t>
      </w:r>
      <w:r w:rsidR="009D14D4">
        <w:rPr>
          <w:rFonts w:ascii="Arial" w:hAnsi="Arial" w:cs="Arial"/>
          <w:lang w:val="sq-AL"/>
        </w:rPr>
        <w:t>,</w:t>
      </w:r>
    </w:p>
    <w:p w14:paraId="2C89A2DE" w14:textId="79CE60C0"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lastRenderedPageBreak/>
        <w:t>Primjeniti primarnu selekciju otpada što efikasnije, kao preduslov za postizanje jasno definisanih ciljeva u oblasti ponovne upotrebe i reciklaže odbačenih materijala</w:t>
      </w:r>
      <w:r w:rsidR="009D14D4">
        <w:rPr>
          <w:rFonts w:ascii="Arial" w:hAnsi="Arial" w:cs="Arial"/>
          <w:lang w:val="sq-AL"/>
        </w:rPr>
        <w:t>,</w:t>
      </w:r>
    </w:p>
    <w:p w14:paraId="3739FB30" w14:textId="71054094"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 xml:space="preserve">Uspostaviti efikasnu selekciju i reciklažu otpada (sakupljanje, odvajanje, </w:t>
      </w:r>
      <w:r w:rsidR="00EC2770">
        <w:rPr>
          <w:rFonts w:ascii="Arial" w:hAnsi="Arial" w:cs="Arial"/>
          <w:lang w:val="sq-AL"/>
        </w:rPr>
        <w:t>obradu</w:t>
      </w:r>
      <w:r w:rsidRPr="002A6F4E">
        <w:rPr>
          <w:rFonts w:ascii="Arial" w:hAnsi="Arial" w:cs="Arial"/>
          <w:lang w:val="sq-AL"/>
        </w:rPr>
        <w:t>, ponovnu upotrebu recikliranih materijala), kao i sistem za prevenciju otpada – uključujući podsticaje za razvoj reciklažnih aktivnosti, stimulisati tržište sekundarnih sirovina i potražnju za recikliranim materijalom</w:t>
      </w:r>
      <w:r w:rsidR="009D14D4">
        <w:rPr>
          <w:rFonts w:ascii="Arial" w:hAnsi="Arial" w:cs="Arial"/>
          <w:lang w:val="sq-AL"/>
        </w:rPr>
        <w:t>,</w:t>
      </w:r>
    </w:p>
    <w:p w14:paraId="4666206D" w14:textId="2B917685"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Razviti sistem za upravljanje posebnim tokovima otpada</w:t>
      </w:r>
      <w:r w:rsidR="009D14D4">
        <w:rPr>
          <w:rFonts w:ascii="Arial" w:hAnsi="Arial" w:cs="Arial"/>
          <w:lang w:val="sq-AL"/>
        </w:rPr>
        <w:t>,</w:t>
      </w:r>
    </w:p>
    <w:p w14:paraId="56F6D415" w14:textId="75782FCA"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 xml:space="preserve">Uvođenje postepeno </w:t>
      </w:r>
      <w:r w:rsidRPr="00C67E8E">
        <w:rPr>
          <w:rFonts w:ascii="Arial" w:hAnsi="Arial" w:cs="Arial"/>
          <w:u w:val="single"/>
          <w:lang w:val="sq-AL"/>
        </w:rPr>
        <w:t>pristupa cirkularne ekonomije</w:t>
      </w:r>
      <w:r w:rsidRPr="002A6F4E">
        <w:rPr>
          <w:rFonts w:ascii="Arial" w:hAnsi="Arial" w:cs="Arial"/>
          <w:lang w:val="sq-AL"/>
        </w:rPr>
        <w:t xml:space="preserve"> u postojeći sistem upravljanja otpadom sa prelaskom sa ‘sistema deponije’ na kružni sistem upravljanja otpadom</w:t>
      </w:r>
      <w:r w:rsidR="009D14D4">
        <w:rPr>
          <w:rFonts w:ascii="Arial" w:hAnsi="Arial" w:cs="Arial"/>
          <w:lang w:val="sq-AL"/>
        </w:rPr>
        <w:t>,</w:t>
      </w:r>
    </w:p>
    <w:p w14:paraId="56330557" w14:textId="77777777" w:rsidR="00C232D7" w:rsidRPr="002A6F4E" w:rsidRDefault="00C232D7" w:rsidP="00A23ED0">
      <w:pPr>
        <w:pStyle w:val="ListParagraph"/>
        <w:numPr>
          <w:ilvl w:val="0"/>
          <w:numId w:val="19"/>
        </w:numPr>
        <w:spacing w:before="120" w:after="120" w:line="360" w:lineRule="auto"/>
        <w:contextualSpacing w:val="0"/>
        <w:rPr>
          <w:rFonts w:ascii="Arial" w:hAnsi="Arial" w:cs="Arial"/>
          <w:lang w:val="sq-AL"/>
        </w:rPr>
      </w:pPr>
      <w:r w:rsidRPr="002A6F4E">
        <w:rPr>
          <w:rFonts w:ascii="Arial" w:hAnsi="Arial" w:cs="Arial"/>
          <w:lang w:val="sq-AL"/>
        </w:rPr>
        <w:t>Poboljšati primjenu kazni u upravljanju otpadom i podići svijest o važnosti i prednostima održivog upravljanja otpadom.</w:t>
      </w:r>
    </w:p>
    <w:p w14:paraId="7E60C107" w14:textId="77777777" w:rsidR="00C232D7" w:rsidRPr="002A6F4E" w:rsidRDefault="00C232D7" w:rsidP="00C232D7">
      <w:pPr>
        <w:widowControl w:val="0"/>
        <w:spacing w:before="120" w:after="120" w:line="360" w:lineRule="auto"/>
        <w:rPr>
          <w:rFonts w:ascii="Arial" w:hAnsi="Arial" w:cs="Arial"/>
          <w:lang w:val="sq-AL"/>
        </w:rPr>
      </w:pPr>
    </w:p>
    <w:p w14:paraId="60DA355C" w14:textId="77777777" w:rsidR="00C232D7" w:rsidRPr="002A6F4E" w:rsidRDefault="00C232D7" w:rsidP="00F57909">
      <w:pPr>
        <w:pStyle w:val="Heading2"/>
      </w:pPr>
      <w:bookmarkStart w:id="678" w:name="_Toc121758998"/>
      <w:bookmarkStart w:id="679" w:name="_Toc193353968"/>
      <w:r w:rsidRPr="002A6F4E">
        <w:t>2.8. Ostala strateška dokumenta iz oblasti upravljanja otpad</w:t>
      </w:r>
      <w:bookmarkEnd w:id="678"/>
      <w:r w:rsidRPr="002A6F4E">
        <w:t>om</w:t>
      </w:r>
      <w:bookmarkEnd w:id="679"/>
    </w:p>
    <w:p w14:paraId="2E3DE22A" w14:textId="77777777" w:rsidR="00C232D7" w:rsidRPr="002A6F4E" w:rsidRDefault="00C232D7" w:rsidP="00C232D7">
      <w:pPr>
        <w:widowControl w:val="0"/>
        <w:spacing w:before="120" w:after="120" w:line="360" w:lineRule="auto"/>
        <w:rPr>
          <w:rFonts w:ascii="Arial" w:hAnsi="Arial" w:cs="Arial"/>
          <w:lang w:val="bs-Latn-BA"/>
        </w:rPr>
      </w:pPr>
      <w:r w:rsidRPr="002A6F4E">
        <w:rPr>
          <w:rFonts w:ascii="Arial" w:hAnsi="Arial" w:cs="Arial"/>
          <w:i/>
          <w:u w:val="single"/>
          <w:lang w:val="bs-Latn-BA"/>
        </w:rPr>
        <w:t>Nacionalna strategija o klimatskim promjenama (NSKP) do 2030. godine</w:t>
      </w:r>
      <w:r w:rsidRPr="002A6F4E">
        <w:rPr>
          <w:rFonts w:ascii="Arial" w:hAnsi="Arial" w:cs="Arial"/>
          <w:lang w:val="bs-Latn-BA"/>
        </w:rPr>
        <w:t>, koju je Vlada Crne Gore usvojila 17. septembra 2015. godine (izrađena je i procjena uticaja na životnu sredinu), ima sveobuhvatan Akcioni plan sa prioritetnim programima i aktivnostima koji će, kada se implementiraju, dovesti do značajnih smanjenje emisija gasova s efektom staklene bašte, poboljšanja tržišne konkurentnosti i drugih netržišnih koristi.</w:t>
      </w:r>
    </w:p>
    <w:p w14:paraId="171A33A3" w14:textId="4CCFAB7F" w:rsidR="00C232D7" w:rsidRPr="002A6F4E" w:rsidRDefault="00C232D7" w:rsidP="00C232D7">
      <w:pPr>
        <w:widowControl w:val="0"/>
        <w:spacing w:before="120" w:after="120" w:line="360" w:lineRule="auto"/>
        <w:rPr>
          <w:rFonts w:ascii="Arial" w:hAnsi="Arial" w:cs="Arial"/>
          <w:lang w:val="bs-Latn-BA"/>
        </w:rPr>
      </w:pPr>
      <w:r w:rsidRPr="00D77518">
        <w:rPr>
          <w:rFonts w:ascii="Arial" w:hAnsi="Arial" w:cs="Arial"/>
          <w:lang w:val="bs-Latn-BA"/>
        </w:rPr>
        <w:t>Namjeravani nacionalno utvrđeni doprinos (NNUD/INDC) za smanjenje emisije gasova s  efektom staklene bašte pripremljen je kao dio NSKP i dostavljen Sekretarijatu UNFCCC. Ovaj dokument propisuje obavezu smanjenja emisije gasova s efektom staklene bašte za 3</w:t>
      </w:r>
      <w:r w:rsidR="00E63327" w:rsidRPr="00D77518">
        <w:rPr>
          <w:rFonts w:ascii="Arial" w:hAnsi="Arial" w:cs="Arial"/>
          <w:lang w:val="bs-Latn-BA"/>
        </w:rPr>
        <w:t>5</w:t>
      </w:r>
      <w:r w:rsidRPr="00D77518">
        <w:rPr>
          <w:rFonts w:ascii="Arial" w:hAnsi="Arial" w:cs="Arial"/>
          <w:lang w:val="bs-Latn-BA"/>
        </w:rPr>
        <w:t xml:space="preserve">% do 2030. godine u odnosu na nivo </w:t>
      </w:r>
      <w:r w:rsidR="00621BEF" w:rsidRPr="00D77518">
        <w:rPr>
          <w:rFonts w:ascii="Arial" w:hAnsi="Arial" w:cs="Arial"/>
          <w:lang w:val="bs-Latn-BA"/>
        </w:rPr>
        <w:t xml:space="preserve">emisija iz 1990. godine, koja se smatra referentnom. </w:t>
      </w:r>
      <w:r w:rsidRPr="00D77518">
        <w:rPr>
          <w:rFonts w:ascii="Arial" w:hAnsi="Arial" w:cs="Arial"/>
          <w:lang w:val="bs-Latn-BA"/>
        </w:rPr>
        <w:t xml:space="preserve">Da bi se postigao ovaj cilj, mora se poboljšati upravljanje otpadom uz poboljšanje izgradnje potrebne infrastrukture, </w:t>
      </w:r>
      <w:r w:rsidR="00EC2770" w:rsidRPr="00D77518">
        <w:rPr>
          <w:rFonts w:ascii="Arial" w:hAnsi="Arial" w:cs="Arial"/>
          <w:lang w:val="bs-Latn-BA"/>
        </w:rPr>
        <w:t xml:space="preserve">sanacije </w:t>
      </w:r>
      <w:r w:rsidRPr="00D77518">
        <w:rPr>
          <w:rFonts w:ascii="Arial" w:hAnsi="Arial" w:cs="Arial"/>
          <w:lang w:val="bs-Latn-BA"/>
        </w:rPr>
        <w:t xml:space="preserve">i zatvaranje postojećih </w:t>
      </w:r>
      <w:r w:rsidR="00EC2770" w:rsidRPr="00D77518">
        <w:rPr>
          <w:rFonts w:ascii="Arial" w:hAnsi="Arial" w:cs="Arial"/>
          <w:lang w:val="bs-Latn-BA"/>
        </w:rPr>
        <w:t xml:space="preserve">odlagališta </w:t>
      </w:r>
      <w:r w:rsidRPr="00D77518">
        <w:rPr>
          <w:rFonts w:ascii="Arial" w:hAnsi="Arial" w:cs="Arial"/>
          <w:lang w:val="bs-Latn-BA"/>
        </w:rPr>
        <w:t xml:space="preserve">i što je najvažnije, razvoj modernog sistema </w:t>
      </w:r>
      <w:r w:rsidR="00EC2770" w:rsidRPr="00D77518">
        <w:rPr>
          <w:rFonts w:ascii="Arial" w:hAnsi="Arial" w:cs="Arial"/>
          <w:lang w:val="bs-Latn-BA"/>
        </w:rPr>
        <w:t>sa</w:t>
      </w:r>
      <w:r w:rsidRPr="00D77518">
        <w:rPr>
          <w:rFonts w:ascii="Arial" w:hAnsi="Arial" w:cs="Arial"/>
          <w:lang w:val="bs-Latn-BA"/>
        </w:rPr>
        <w:t>kupljanja</w:t>
      </w:r>
      <w:r w:rsidR="00727244" w:rsidRPr="00D77518">
        <w:rPr>
          <w:rFonts w:ascii="Arial" w:hAnsi="Arial" w:cs="Arial"/>
          <w:lang w:val="bs-Latn-BA"/>
        </w:rPr>
        <w:t xml:space="preserve">, </w:t>
      </w:r>
      <w:r w:rsidRPr="00D77518">
        <w:rPr>
          <w:rFonts w:ascii="Arial" w:hAnsi="Arial" w:cs="Arial"/>
          <w:lang w:val="bs-Latn-BA"/>
        </w:rPr>
        <w:t>transporta</w:t>
      </w:r>
      <w:r w:rsidR="00EC2770" w:rsidRPr="00D77518">
        <w:rPr>
          <w:rFonts w:ascii="Arial" w:hAnsi="Arial" w:cs="Arial"/>
          <w:lang w:val="bs-Latn-BA"/>
        </w:rPr>
        <w:t xml:space="preserve"> i</w:t>
      </w:r>
      <w:r w:rsidRPr="00D77518">
        <w:rPr>
          <w:rFonts w:ascii="Arial" w:hAnsi="Arial" w:cs="Arial"/>
          <w:lang w:val="bs-Latn-BA"/>
        </w:rPr>
        <w:t xml:space="preserve"> </w:t>
      </w:r>
      <w:r w:rsidR="00EC2770" w:rsidRPr="00D77518">
        <w:rPr>
          <w:rFonts w:ascii="Arial" w:hAnsi="Arial" w:cs="Arial"/>
          <w:lang w:val="bs-Latn-BA"/>
        </w:rPr>
        <w:t xml:space="preserve">obrade </w:t>
      </w:r>
      <w:r w:rsidRPr="00D77518">
        <w:rPr>
          <w:rFonts w:ascii="Arial" w:hAnsi="Arial" w:cs="Arial"/>
          <w:lang w:val="bs-Latn-BA"/>
        </w:rPr>
        <w:t>otpada.</w:t>
      </w:r>
    </w:p>
    <w:p w14:paraId="633BA78A" w14:textId="77777777" w:rsidR="00C232D7" w:rsidRPr="00727244" w:rsidRDefault="00C232D7" w:rsidP="00C232D7">
      <w:pPr>
        <w:widowControl w:val="0"/>
        <w:spacing w:before="120" w:after="120" w:line="360" w:lineRule="auto"/>
        <w:rPr>
          <w:rFonts w:ascii="Arial" w:hAnsi="Arial" w:cs="Arial"/>
          <w:lang w:val="bs-Latn-BA"/>
        </w:rPr>
      </w:pPr>
      <w:r w:rsidRPr="00727244">
        <w:rPr>
          <w:rStyle w:val="rynqvb"/>
          <w:rFonts w:ascii="Arial" w:hAnsi="Arial" w:cs="Arial"/>
          <w:i/>
          <w:u w:val="single"/>
          <w:lang w:val="bs-Latn-BA"/>
        </w:rPr>
        <w:t>Nacionalna strategija održivog razvoja</w:t>
      </w:r>
      <w:r w:rsidRPr="00727244">
        <w:rPr>
          <w:rStyle w:val="rynqvb"/>
          <w:rFonts w:ascii="Arial" w:hAnsi="Arial" w:cs="Arial"/>
          <w:lang w:val="bs-Latn-BA"/>
        </w:rPr>
        <w:t xml:space="preserve"> fokusirala se na deponije kao glavni alat za upravljanje komunalnim otpadom, ali ovaj pristup nije u skladu sa zahtjevima EU zakonodavstva.</w:t>
      </w:r>
    </w:p>
    <w:p w14:paraId="0297433C" w14:textId="49D5B7D0" w:rsidR="00C232D7" w:rsidRPr="002A6F4E" w:rsidRDefault="00C232D7" w:rsidP="00C232D7">
      <w:pPr>
        <w:widowControl w:val="0"/>
        <w:spacing w:before="120" w:after="120" w:line="360" w:lineRule="auto"/>
        <w:rPr>
          <w:rFonts w:ascii="Arial" w:hAnsi="Arial" w:cs="Arial"/>
          <w:lang w:val="bs-Latn-BA"/>
        </w:rPr>
      </w:pPr>
      <w:r w:rsidRPr="00727244">
        <w:rPr>
          <w:rStyle w:val="rynqvb"/>
          <w:rFonts w:ascii="Arial" w:hAnsi="Arial" w:cs="Arial"/>
          <w:i/>
          <w:u w:val="single"/>
          <w:lang w:val="bs-Latn-BA"/>
        </w:rPr>
        <w:t>Prostorni plan Crne Gore do 2020. godine</w:t>
      </w:r>
      <w:r w:rsidRPr="00727244">
        <w:rPr>
          <w:rStyle w:val="rynqvb"/>
          <w:rFonts w:ascii="Arial" w:hAnsi="Arial" w:cs="Arial"/>
          <w:lang w:val="bs-Latn-BA"/>
        </w:rPr>
        <w:t xml:space="preserve"> sadrži „Prostorn</w:t>
      </w:r>
      <w:r w:rsidR="00D77518">
        <w:rPr>
          <w:rStyle w:val="rynqvb"/>
          <w:rFonts w:ascii="Arial" w:hAnsi="Arial" w:cs="Arial"/>
          <w:lang w:val="bs-Latn-BA"/>
        </w:rPr>
        <w:t xml:space="preserve">i koncept upravljanja otpadom" </w:t>
      </w:r>
      <w:r w:rsidRPr="00727244">
        <w:rPr>
          <w:rStyle w:val="rynqvb"/>
          <w:rFonts w:ascii="Arial" w:hAnsi="Arial" w:cs="Arial"/>
          <w:lang w:val="bs-Latn-BA"/>
        </w:rPr>
        <w:t>kojim su određene lokacije brojnih objekata za upravljanje otpadom.</w:t>
      </w:r>
    </w:p>
    <w:p w14:paraId="7FFB1010" w14:textId="5BBC7B81" w:rsidR="00C232D7" w:rsidRPr="002A6F4E" w:rsidRDefault="00C232D7" w:rsidP="00C232D7">
      <w:pPr>
        <w:widowControl w:val="0"/>
        <w:spacing w:before="120" w:after="120" w:line="360" w:lineRule="auto"/>
        <w:rPr>
          <w:rFonts w:ascii="Arial" w:hAnsi="Arial" w:cs="Arial"/>
          <w:lang w:val="bs-Latn-BA"/>
        </w:rPr>
      </w:pPr>
      <w:r w:rsidRPr="00727244">
        <w:rPr>
          <w:rStyle w:val="rynqvb"/>
          <w:rFonts w:ascii="Arial" w:hAnsi="Arial" w:cs="Arial"/>
          <w:i/>
          <w:u w:val="single"/>
          <w:lang w:val="bs-Latn-BA"/>
        </w:rPr>
        <w:t>Strategija razvoja energetike Crne Gore do 2030. godine</w:t>
      </w:r>
      <w:r w:rsidR="00F76007" w:rsidRPr="00727244">
        <w:rPr>
          <w:rStyle w:val="rynqvb"/>
          <w:rFonts w:ascii="Arial" w:hAnsi="Arial" w:cs="Arial"/>
          <w:i/>
          <w:u w:val="single"/>
          <w:lang w:val="bs-Latn-BA"/>
        </w:rPr>
        <w:t xml:space="preserve"> </w:t>
      </w:r>
      <w:r w:rsidRPr="00727244">
        <w:rPr>
          <w:rStyle w:val="rynqvb"/>
          <w:rFonts w:ascii="Arial" w:hAnsi="Arial" w:cs="Arial"/>
          <w:i/>
          <w:u w:val="single"/>
          <w:lang w:val="bs-Latn-BA"/>
        </w:rPr>
        <w:t>- Bijela knjiga</w:t>
      </w:r>
      <w:r w:rsidRPr="00727244">
        <w:rPr>
          <w:rStyle w:val="rynqvb"/>
          <w:rFonts w:ascii="Arial" w:hAnsi="Arial" w:cs="Arial"/>
          <w:lang w:val="bs-Latn-BA"/>
        </w:rPr>
        <w:t xml:space="preserve"> ukazuje na mogućnost korišćenja komunalnog otpada za proizvodnju energije.</w:t>
      </w:r>
    </w:p>
    <w:p w14:paraId="5DA429A7" w14:textId="77777777" w:rsidR="00C232D7" w:rsidRPr="002A6F4E" w:rsidRDefault="00C232D7" w:rsidP="00C232D7">
      <w:pPr>
        <w:widowControl w:val="0"/>
        <w:spacing w:before="120" w:after="120" w:line="360" w:lineRule="auto"/>
        <w:rPr>
          <w:rFonts w:ascii="Arial" w:hAnsi="Arial" w:cs="Arial"/>
          <w:lang w:val="bs-Latn-BA"/>
        </w:rPr>
      </w:pPr>
      <w:r w:rsidRPr="002A6F4E">
        <w:rPr>
          <w:rStyle w:val="rynqvb"/>
          <w:rFonts w:ascii="Arial" w:hAnsi="Arial" w:cs="Arial"/>
          <w:i/>
          <w:u w:val="single"/>
          <w:lang w:val="bs-Latn-BA"/>
        </w:rPr>
        <w:t>Strategija razvoja turizma u Crnoj Gori do 2020. godine</w:t>
      </w:r>
      <w:r w:rsidRPr="002A6F4E">
        <w:rPr>
          <w:rStyle w:val="rynqvb"/>
          <w:rFonts w:ascii="Arial" w:hAnsi="Arial" w:cs="Arial"/>
          <w:lang w:val="bs-Latn-BA"/>
        </w:rPr>
        <w:t xml:space="preserve"> postavlja smjernice za dugoročni razvoj sektora turizma i predviđa set odgovarajućih mjera koje treba implementirati, uključujući mjere koje se odnose na upravljanje komunalnim otpadom na lokalnom nivou.</w:t>
      </w:r>
    </w:p>
    <w:p w14:paraId="7DDED58A" w14:textId="75EF1887" w:rsidR="00C232D7" w:rsidRPr="002A6F4E" w:rsidRDefault="00C232D7" w:rsidP="00C232D7">
      <w:pPr>
        <w:widowControl w:val="0"/>
        <w:spacing w:before="120" w:after="120" w:line="360" w:lineRule="auto"/>
        <w:rPr>
          <w:rFonts w:ascii="Arial" w:hAnsi="Arial" w:cs="Arial"/>
          <w:lang w:val="bs-Latn-BA"/>
        </w:rPr>
      </w:pPr>
      <w:r w:rsidRPr="002A6F4E">
        <w:rPr>
          <w:rStyle w:val="rynqvb"/>
          <w:rFonts w:ascii="Arial" w:hAnsi="Arial" w:cs="Arial"/>
          <w:i/>
          <w:u w:val="single"/>
          <w:lang w:val="bs-Latn-BA"/>
        </w:rPr>
        <w:t>Strateška planska dokumenta</w:t>
      </w:r>
      <w:r w:rsidRPr="002A6F4E">
        <w:rPr>
          <w:rStyle w:val="rynqvb"/>
          <w:rFonts w:ascii="Arial" w:hAnsi="Arial" w:cs="Arial"/>
          <w:lang w:val="bs-Latn-BA"/>
        </w:rPr>
        <w:t xml:space="preserve">, kao i </w:t>
      </w:r>
      <w:r w:rsidRPr="002A6F4E">
        <w:rPr>
          <w:rStyle w:val="rynqvb"/>
          <w:rFonts w:ascii="Arial" w:hAnsi="Arial" w:cs="Arial"/>
          <w:i/>
          <w:u w:val="single"/>
          <w:lang w:val="bs-Latn-BA"/>
        </w:rPr>
        <w:t>Lokalne planove upravljanja otpadom</w:t>
      </w:r>
      <w:r w:rsidRPr="002A6F4E">
        <w:rPr>
          <w:rStyle w:val="rynqvb"/>
          <w:rFonts w:ascii="Arial" w:hAnsi="Arial" w:cs="Arial"/>
          <w:lang w:val="bs-Latn-BA"/>
        </w:rPr>
        <w:t xml:space="preserve">, potrebno je revidirati, jer je vremenski period za koji su izrađeni istekao ili ističe. Planove nižeg </w:t>
      </w:r>
      <w:r w:rsidR="00727244">
        <w:rPr>
          <w:rStyle w:val="rynqvb"/>
          <w:rFonts w:ascii="Arial" w:hAnsi="Arial" w:cs="Arial"/>
          <w:lang w:val="bs-Latn-BA"/>
        </w:rPr>
        <w:t>reda</w:t>
      </w:r>
      <w:r w:rsidRPr="002A6F4E">
        <w:rPr>
          <w:rStyle w:val="rynqvb"/>
          <w:rFonts w:ascii="Arial" w:hAnsi="Arial" w:cs="Arial"/>
          <w:lang w:val="bs-Latn-BA"/>
        </w:rPr>
        <w:t xml:space="preserve"> potrebno je uskladiti sa novim </w:t>
      </w:r>
      <w:r w:rsidR="00F76007">
        <w:rPr>
          <w:rStyle w:val="rynqvb"/>
          <w:rFonts w:ascii="Arial" w:hAnsi="Arial" w:cs="Arial"/>
          <w:lang w:val="bs-Latn-BA"/>
        </w:rPr>
        <w:t xml:space="preserve">Državnim </w:t>
      </w:r>
      <w:r w:rsidRPr="002A6F4E">
        <w:rPr>
          <w:rStyle w:val="rynqvb"/>
          <w:rFonts w:ascii="Arial" w:hAnsi="Arial" w:cs="Arial"/>
          <w:lang w:val="bs-Latn-BA"/>
        </w:rPr>
        <w:t xml:space="preserve">planom upravljanja otpadom </w:t>
      </w:r>
    </w:p>
    <w:p w14:paraId="68B30238" w14:textId="3F34C016" w:rsidR="00C232D7" w:rsidRPr="002A6F4E" w:rsidRDefault="00C232D7" w:rsidP="00F57909">
      <w:pPr>
        <w:pStyle w:val="Heading2"/>
      </w:pPr>
      <w:bookmarkStart w:id="680" w:name="_Toc121758999"/>
      <w:bookmarkStart w:id="681" w:name="_Toc193353969"/>
      <w:r w:rsidRPr="002A6F4E">
        <w:rPr>
          <w:lang w:val="en-US"/>
        </w:rPr>
        <w:lastRenderedPageBreak/>
        <w:t xml:space="preserve">2.9. </w:t>
      </w:r>
      <w:r w:rsidRPr="002A6F4E">
        <w:t>Ciljevi i zadaci predviđeni zakonskom regul</w:t>
      </w:r>
      <w:r w:rsidR="00902A9B">
        <w:t>a</w:t>
      </w:r>
      <w:r w:rsidRPr="002A6F4E">
        <w:t>tivom</w:t>
      </w:r>
      <w:bookmarkEnd w:id="680"/>
      <w:bookmarkEnd w:id="681"/>
    </w:p>
    <w:p w14:paraId="5FED9AF9" w14:textId="26F988CC" w:rsidR="001E3D9B"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Novi ciljevi upravljanja otpadom i odredbe koje se odnose na </w:t>
      </w:r>
      <w:r w:rsidR="00A35FA9" w:rsidRPr="000D7745">
        <w:rPr>
          <w:rFonts w:ascii="Arial" w:hAnsi="Arial" w:cs="Arial"/>
          <w:lang w:val="sr-Cyrl-ME"/>
        </w:rPr>
        <w:t>Program za sprečavanje nastanka otpada</w:t>
      </w:r>
      <w:r w:rsidR="00A35FA9" w:rsidRPr="002A6F4E">
        <w:rPr>
          <w:rFonts w:ascii="Arial" w:hAnsi="Arial" w:cs="Arial"/>
          <w:lang w:val="sq-AL"/>
        </w:rPr>
        <w:t xml:space="preserve"> </w:t>
      </w:r>
      <w:r w:rsidRPr="002A6F4E">
        <w:rPr>
          <w:rFonts w:ascii="Arial" w:hAnsi="Arial" w:cs="Arial"/>
          <w:lang w:val="sq-AL"/>
        </w:rPr>
        <w:t>predložene u</w:t>
      </w:r>
      <w:r w:rsidR="00F75D49" w:rsidRPr="00F75D49">
        <w:rPr>
          <w:rFonts w:ascii="Arial" w:hAnsi="Arial" w:cs="Arial"/>
          <w:lang w:val="sq-AL"/>
        </w:rPr>
        <w:t xml:space="preserve"> </w:t>
      </w:r>
      <w:r w:rsidR="00F75D49" w:rsidRPr="009D14D4">
        <w:rPr>
          <w:rFonts w:ascii="Arial" w:hAnsi="Arial" w:cs="Arial"/>
          <w:lang w:val="sq-AL"/>
        </w:rPr>
        <w:t>Zakonu</w:t>
      </w:r>
      <w:r w:rsidRPr="009D14D4">
        <w:rPr>
          <w:rFonts w:ascii="Arial" w:hAnsi="Arial" w:cs="Arial"/>
          <w:lang w:val="sq-AL"/>
        </w:rPr>
        <w:t xml:space="preserve"> o upravljanju otpadom,</w:t>
      </w:r>
      <w:r w:rsidR="009D14D4" w:rsidRPr="009D14D4">
        <w:rPr>
          <w:rFonts w:ascii="Arial" w:hAnsi="Arial" w:cs="Arial"/>
          <w:lang w:val="sq-AL"/>
        </w:rPr>
        <w:t xml:space="preserve"> </w:t>
      </w:r>
      <w:r w:rsidRPr="009D14D4">
        <w:rPr>
          <w:rFonts w:ascii="Arial" w:hAnsi="Arial" w:cs="Arial"/>
          <w:lang w:val="sq-AL"/>
        </w:rPr>
        <w:t>prikazani</w:t>
      </w:r>
      <w:r w:rsidRPr="002A6F4E">
        <w:rPr>
          <w:rFonts w:ascii="Arial" w:hAnsi="Arial" w:cs="Arial"/>
          <w:lang w:val="sq-AL"/>
        </w:rPr>
        <w:t xml:space="preserve"> su u </w:t>
      </w:r>
      <w:r w:rsidR="009D14D4" w:rsidRPr="009D14D4">
        <w:rPr>
          <w:rFonts w:ascii="Arial" w:hAnsi="Arial" w:cs="Arial"/>
          <w:lang w:val="sq-AL"/>
        </w:rPr>
        <w:t>sljedećoj tabeli.</w:t>
      </w:r>
    </w:p>
    <w:p w14:paraId="79C5B287" w14:textId="5D3E436A" w:rsidR="00C232D7" w:rsidRPr="002A6F4E" w:rsidRDefault="00C232D7" w:rsidP="00C232D7">
      <w:pPr>
        <w:spacing w:after="200"/>
        <w:rPr>
          <w:rFonts w:ascii="Arial" w:hAnsi="Arial" w:cs="Arial"/>
          <w:b/>
          <w:bCs/>
          <w:color w:val="4F81BD"/>
          <w:lang w:val="sq-AL"/>
        </w:rPr>
      </w:pPr>
      <w:bookmarkStart w:id="682" w:name="_Toc190160692"/>
      <w:r w:rsidRPr="00FA71A9">
        <w:rPr>
          <w:rFonts w:ascii="Arial" w:hAnsi="Arial" w:cs="Arial"/>
          <w:bCs/>
          <w:color w:val="4F81BD"/>
          <w:sz w:val="18"/>
          <w:lang w:val="sq-AL"/>
        </w:rPr>
        <w:t xml:space="preserve">Tabela </w:t>
      </w:r>
      <w:r w:rsidRPr="00FA71A9">
        <w:rPr>
          <w:rFonts w:ascii="Arial" w:hAnsi="Arial" w:cs="Arial"/>
          <w:bCs/>
          <w:color w:val="4F81BD"/>
          <w:sz w:val="18"/>
        </w:rPr>
        <w:fldChar w:fldCharType="begin"/>
      </w:r>
      <w:r w:rsidRPr="00FA71A9">
        <w:rPr>
          <w:rFonts w:ascii="Arial" w:hAnsi="Arial" w:cs="Arial"/>
          <w:bCs/>
          <w:color w:val="4F81BD"/>
          <w:sz w:val="18"/>
          <w:lang w:val="sq-AL"/>
        </w:rPr>
        <w:instrText xml:space="preserve"> SEQ Tabela \* ARABIC </w:instrText>
      </w:r>
      <w:r w:rsidRPr="00FA71A9">
        <w:rPr>
          <w:rFonts w:ascii="Arial" w:hAnsi="Arial" w:cs="Arial"/>
          <w:bCs/>
          <w:color w:val="4F81BD"/>
          <w:sz w:val="18"/>
        </w:rPr>
        <w:fldChar w:fldCharType="separate"/>
      </w:r>
      <w:r w:rsidR="007274DA">
        <w:rPr>
          <w:rFonts w:ascii="Arial" w:hAnsi="Arial" w:cs="Arial"/>
          <w:bCs/>
          <w:noProof/>
          <w:color w:val="4F81BD"/>
          <w:sz w:val="18"/>
          <w:lang w:val="sq-AL"/>
        </w:rPr>
        <w:t>2</w:t>
      </w:r>
      <w:r w:rsidRPr="00FA71A9">
        <w:rPr>
          <w:rFonts w:ascii="Arial" w:hAnsi="Arial" w:cs="Arial"/>
          <w:bCs/>
          <w:color w:val="4F81BD"/>
          <w:sz w:val="18"/>
        </w:rPr>
        <w:fldChar w:fldCharType="end"/>
      </w:r>
      <w:r w:rsidRPr="00FA71A9">
        <w:rPr>
          <w:rFonts w:ascii="Arial" w:hAnsi="Arial" w:cs="Arial"/>
          <w:bCs/>
          <w:color w:val="4F81BD"/>
          <w:sz w:val="18"/>
          <w:lang w:val="sq-AL"/>
        </w:rPr>
        <w:t xml:space="preserve"> Ciljevi upravljanja komunalnim otpadom prema </w:t>
      </w:r>
      <w:r w:rsidR="00F914AB">
        <w:rPr>
          <w:rFonts w:ascii="Arial" w:hAnsi="Arial" w:cs="Arial"/>
          <w:bCs/>
          <w:color w:val="4F81BD"/>
          <w:sz w:val="18"/>
          <w:lang w:val="sq-AL"/>
        </w:rPr>
        <w:t xml:space="preserve"> Zakonu o upravljanju otpadom</w:t>
      </w:r>
      <w:bookmarkEnd w:id="682"/>
      <w:r w:rsidR="009D14D4">
        <w:rPr>
          <w:rStyle w:val="FootnoteReference"/>
          <w:rFonts w:cs="Arial"/>
          <w:bCs/>
          <w:color w:val="4F81BD"/>
        </w:rPr>
        <w:footnoteReference w:id="4"/>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4053"/>
        <w:gridCol w:w="1366"/>
        <w:gridCol w:w="2245"/>
      </w:tblGrid>
      <w:tr w:rsidR="00C232D7" w:rsidRPr="002A6F4E" w14:paraId="56F1141E" w14:textId="77777777" w:rsidTr="00C232D7">
        <w:trPr>
          <w:trHeight w:val="395"/>
          <w:tblHeader/>
          <w:jc w:val="center"/>
        </w:trPr>
        <w:tc>
          <w:tcPr>
            <w:tcW w:w="2321" w:type="dxa"/>
            <w:shd w:val="clear" w:color="auto" w:fill="BFBFBF"/>
            <w:noWrap/>
            <w:vAlign w:val="center"/>
          </w:tcPr>
          <w:p w14:paraId="305EE4CC" w14:textId="77777777" w:rsidR="00C232D7" w:rsidRPr="00F6198B" w:rsidRDefault="00C232D7" w:rsidP="00C232D7">
            <w:pPr>
              <w:spacing w:before="60" w:after="60" w:line="360" w:lineRule="auto"/>
              <w:rPr>
                <w:rFonts w:ascii="Arial" w:hAnsi="Arial" w:cs="Arial"/>
                <w:b/>
                <w:bCs/>
                <w:sz w:val="18"/>
                <w:lang w:val="sq-AL"/>
              </w:rPr>
            </w:pPr>
            <w:bookmarkStart w:id="683" w:name="_Hlk109143742"/>
            <w:r w:rsidRPr="00F6198B">
              <w:rPr>
                <w:rFonts w:ascii="Arial" w:hAnsi="Arial" w:cs="Arial"/>
                <w:b/>
                <w:bCs/>
                <w:sz w:val="18"/>
                <w:lang w:val="sq-AL"/>
              </w:rPr>
              <w:t>Vrsta otpada</w:t>
            </w:r>
          </w:p>
        </w:tc>
        <w:tc>
          <w:tcPr>
            <w:tcW w:w="4053" w:type="dxa"/>
            <w:shd w:val="clear" w:color="auto" w:fill="BFBFBF"/>
            <w:noWrap/>
            <w:vAlign w:val="center"/>
          </w:tcPr>
          <w:p w14:paraId="437C3469" w14:textId="77777777" w:rsidR="00C232D7" w:rsidRPr="00F6198B" w:rsidRDefault="00C232D7" w:rsidP="00C232D7">
            <w:pPr>
              <w:spacing w:before="60" w:after="60" w:line="360" w:lineRule="auto"/>
              <w:rPr>
                <w:rFonts w:ascii="Arial" w:hAnsi="Arial" w:cs="Arial"/>
                <w:b/>
                <w:bCs/>
                <w:sz w:val="18"/>
                <w:lang w:val="sq-AL"/>
              </w:rPr>
            </w:pPr>
            <w:r w:rsidRPr="00F6198B">
              <w:rPr>
                <w:rFonts w:ascii="Arial" w:hAnsi="Arial" w:cs="Arial"/>
                <w:b/>
                <w:bCs/>
                <w:sz w:val="18"/>
                <w:lang w:val="sq-AL"/>
              </w:rPr>
              <w:t>Opis cilja</w:t>
            </w:r>
          </w:p>
        </w:tc>
        <w:tc>
          <w:tcPr>
            <w:tcW w:w="1366" w:type="dxa"/>
            <w:shd w:val="clear" w:color="auto" w:fill="BFBFBF"/>
            <w:vAlign w:val="center"/>
          </w:tcPr>
          <w:p w14:paraId="0EF372DE" w14:textId="77777777" w:rsidR="00C232D7" w:rsidRPr="002A6F4E" w:rsidRDefault="00C232D7" w:rsidP="00C232D7">
            <w:pPr>
              <w:spacing w:before="60" w:after="60" w:line="360" w:lineRule="auto"/>
              <w:rPr>
                <w:rFonts w:ascii="Arial" w:hAnsi="Arial" w:cs="Arial"/>
                <w:b/>
                <w:bCs/>
                <w:lang w:val="sq-AL"/>
              </w:rPr>
            </w:pPr>
            <w:r w:rsidRPr="002A6F4E">
              <w:rPr>
                <w:rFonts w:ascii="Arial" w:hAnsi="Arial" w:cs="Arial"/>
                <w:b/>
                <w:bCs/>
                <w:lang w:val="sq-AL"/>
              </w:rPr>
              <w:t>Ciljna godina</w:t>
            </w:r>
          </w:p>
        </w:tc>
        <w:tc>
          <w:tcPr>
            <w:tcW w:w="2245" w:type="dxa"/>
            <w:shd w:val="clear" w:color="auto" w:fill="BFBFBF"/>
            <w:vAlign w:val="center"/>
          </w:tcPr>
          <w:p w14:paraId="2C8A7682" w14:textId="77777777" w:rsidR="00C232D7" w:rsidRPr="002A6F4E" w:rsidRDefault="00C232D7" w:rsidP="00C232D7">
            <w:pPr>
              <w:spacing w:before="60" w:after="60" w:line="360" w:lineRule="auto"/>
              <w:rPr>
                <w:rFonts w:ascii="Arial" w:hAnsi="Arial" w:cs="Arial"/>
                <w:b/>
                <w:bCs/>
                <w:lang w:val="sq-AL"/>
              </w:rPr>
            </w:pPr>
            <w:r w:rsidRPr="002A6F4E">
              <w:rPr>
                <w:rFonts w:ascii="Arial" w:hAnsi="Arial" w:cs="Arial"/>
                <w:b/>
                <w:bCs/>
                <w:lang w:val="sq-AL"/>
              </w:rPr>
              <w:t>Komentar</w:t>
            </w:r>
          </w:p>
        </w:tc>
      </w:tr>
      <w:tr w:rsidR="00C232D7" w:rsidRPr="00552AAE" w14:paraId="35BCC762" w14:textId="77777777" w:rsidTr="00C232D7">
        <w:trPr>
          <w:trHeight w:val="540"/>
          <w:jc w:val="center"/>
        </w:trPr>
        <w:tc>
          <w:tcPr>
            <w:tcW w:w="2321" w:type="dxa"/>
            <w:vMerge w:val="restart"/>
            <w:shd w:val="clear" w:color="auto" w:fill="FDE9D9"/>
            <w:noWrap/>
            <w:vAlign w:val="center"/>
          </w:tcPr>
          <w:p w14:paraId="799DBA42" w14:textId="77777777" w:rsidR="00C232D7" w:rsidRPr="00F6198B" w:rsidRDefault="00C232D7" w:rsidP="00C232D7">
            <w:pPr>
              <w:spacing w:before="60" w:after="60" w:line="360" w:lineRule="auto"/>
              <w:rPr>
                <w:rFonts w:ascii="Arial" w:hAnsi="Arial" w:cs="Arial"/>
                <w:sz w:val="18"/>
                <w:lang w:val="sq-AL"/>
              </w:rPr>
            </w:pPr>
            <w:r w:rsidRPr="00F6198B">
              <w:rPr>
                <w:rFonts w:ascii="Arial" w:hAnsi="Arial" w:cs="Arial"/>
                <w:sz w:val="18"/>
                <w:lang w:val="sq-AL"/>
              </w:rPr>
              <w:t>Biorazgradivi otpad</w:t>
            </w:r>
          </w:p>
        </w:tc>
        <w:tc>
          <w:tcPr>
            <w:tcW w:w="4053" w:type="dxa"/>
            <w:shd w:val="clear" w:color="auto" w:fill="FDE9D9"/>
            <w:noWrap/>
            <w:vAlign w:val="center"/>
          </w:tcPr>
          <w:p w14:paraId="32FF5D61" w14:textId="0672A59C" w:rsidR="00C232D7" w:rsidRPr="00F6198B" w:rsidRDefault="00C232D7" w:rsidP="00C232D7">
            <w:pPr>
              <w:spacing w:before="60" w:after="60" w:line="360" w:lineRule="auto"/>
              <w:rPr>
                <w:rFonts w:ascii="Arial" w:hAnsi="Arial" w:cs="Arial"/>
                <w:sz w:val="18"/>
                <w:lang w:val="sq-AL"/>
              </w:rPr>
            </w:pPr>
            <w:r w:rsidRPr="00F6198B">
              <w:rPr>
                <w:rFonts w:ascii="Arial" w:hAnsi="Arial" w:cs="Arial"/>
                <w:sz w:val="18"/>
                <w:lang w:val="sq-AL"/>
              </w:rPr>
              <w:t>Maksimalna odložena količina od 75% biorazgradivog otpada sakupljenog 2010.</w:t>
            </w:r>
            <w:r w:rsidR="00F914AB" w:rsidRPr="00F6198B">
              <w:rPr>
                <w:rFonts w:ascii="Arial" w:hAnsi="Arial" w:cs="Arial"/>
                <w:sz w:val="18"/>
                <w:lang w:val="sq-AL"/>
              </w:rPr>
              <w:t xml:space="preserve"> </w:t>
            </w:r>
            <w:r w:rsidRPr="00F6198B">
              <w:rPr>
                <w:rFonts w:ascii="Arial" w:hAnsi="Arial" w:cs="Arial"/>
                <w:sz w:val="18"/>
                <w:lang w:val="sq-AL"/>
              </w:rPr>
              <w:t>god</w:t>
            </w:r>
            <w:r w:rsidR="00F914AB" w:rsidRPr="00F6198B">
              <w:rPr>
                <w:rFonts w:ascii="Arial" w:hAnsi="Arial" w:cs="Arial"/>
                <w:sz w:val="18"/>
                <w:lang w:val="sq-AL"/>
              </w:rPr>
              <w:t>ina</w:t>
            </w:r>
            <w:r w:rsidRPr="00F6198B">
              <w:rPr>
                <w:rFonts w:ascii="Arial" w:hAnsi="Arial" w:cs="Arial"/>
                <w:sz w:val="18"/>
                <w:lang w:val="sq-AL"/>
              </w:rPr>
              <w:t xml:space="preserve"> (146,000 t) </w:t>
            </w:r>
            <w:r w:rsidRPr="00F6198B">
              <w:rPr>
                <w:rFonts w:ascii="Arial" w:hAnsi="Arial" w:cs="Arial"/>
                <w:smallCaps/>
                <w:sz w:val="18"/>
                <w:vertAlign w:val="superscript"/>
                <w:lang w:val="pl-PL" w:eastAsia="pl-PL"/>
              </w:rPr>
              <w:footnoteReference w:id="5"/>
            </w:r>
          </w:p>
        </w:tc>
        <w:tc>
          <w:tcPr>
            <w:tcW w:w="1366" w:type="dxa"/>
            <w:shd w:val="clear" w:color="auto" w:fill="FDE9D9"/>
            <w:vAlign w:val="center"/>
          </w:tcPr>
          <w:p w14:paraId="09AE1F31" w14:textId="1C792088" w:rsidR="00C232D7" w:rsidRPr="002A6F4E" w:rsidRDefault="00C232D7" w:rsidP="00C232D7">
            <w:pPr>
              <w:spacing w:before="60" w:after="60" w:line="360" w:lineRule="auto"/>
              <w:rPr>
                <w:rFonts w:ascii="Arial" w:hAnsi="Arial" w:cs="Arial"/>
                <w:lang w:val="sq-AL"/>
              </w:rPr>
            </w:pPr>
            <w:r w:rsidRPr="002A6F4E">
              <w:rPr>
                <w:rFonts w:ascii="Arial" w:hAnsi="Arial" w:cs="Arial"/>
                <w:lang w:val="sq-AL"/>
              </w:rPr>
              <w:t>2025</w:t>
            </w:r>
            <w:r w:rsidR="00F9008C">
              <w:rPr>
                <w:rFonts w:ascii="Arial" w:hAnsi="Arial" w:cs="Arial"/>
                <w:lang w:val="sq-AL"/>
              </w:rPr>
              <w:t>.</w:t>
            </w:r>
          </w:p>
        </w:tc>
        <w:tc>
          <w:tcPr>
            <w:tcW w:w="2245" w:type="dxa"/>
            <w:shd w:val="clear" w:color="auto" w:fill="FDE9D9"/>
            <w:vAlign w:val="center"/>
          </w:tcPr>
          <w:p w14:paraId="77EF632E" w14:textId="77777777" w:rsidR="00C232D7" w:rsidRPr="002A6F4E" w:rsidRDefault="00C232D7" w:rsidP="00C232D7">
            <w:pPr>
              <w:spacing w:before="60" w:after="60" w:line="360" w:lineRule="auto"/>
              <w:rPr>
                <w:rFonts w:ascii="Arial" w:hAnsi="Arial" w:cs="Arial"/>
                <w:lang w:val="sq-AL"/>
              </w:rPr>
            </w:pPr>
            <w:r w:rsidRPr="002A6F4E">
              <w:rPr>
                <w:rFonts w:ascii="Arial" w:hAnsi="Arial" w:cs="Arial"/>
                <w:lang w:val="sq-AL"/>
              </w:rPr>
              <w:t xml:space="preserve">Prema članu 27 Zakona o upravljanju otpadom </w:t>
            </w:r>
          </w:p>
        </w:tc>
      </w:tr>
      <w:tr w:rsidR="00C232D7" w:rsidRPr="00552AAE" w14:paraId="22B53AAF" w14:textId="77777777" w:rsidTr="00C232D7">
        <w:trPr>
          <w:trHeight w:val="540"/>
          <w:jc w:val="center"/>
        </w:trPr>
        <w:tc>
          <w:tcPr>
            <w:tcW w:w="2321" w:type="dxa"/>
            <w:vMerge/>
            <w:shd w:val="clear" w:color="auto" w:fill="FDE9D9"/>
            <w:noWrap/>
            <w:vAlign w:val="center"/>
          </w:tcPr>
          <w:p w14:paraId="2639D531" w14:textId="77777777" w:rsidR="00C232D7" w:rsidRPr="00F6198B" w:rsidRDefault="00C232D7" w:rsidP="00C232D7">
            <w:pPr>
              <w:spacing w:before="60" w:after="60" w:line="360" w:lineRule="auto"/>
              <w:rPr>
                <w:rFonts w:ascii="Arial" w:hAnsi="Arial" w:cs="Arial"/>
                <w:sz w:val="18"/>
                <w:lang w:val="sq-AL"/>
              </w:rPr>
            </w:pPr>
          </w:p>
        </w:tc>
        <w:tc>
          <w:tcPr>
            <w:tcW w:w="4053" w:type="dxa"/>
            <w:shd w:val="clear" w:color="auto" w:fill="FDE9D9"/>
            <w:noWrap/>
            <w:vAlign w:val="center"/>
          </w:tcPr>
          <w:p w14:paraId="13B4836F" w14:textId="2D875E71" w:rsidR="00C232D7" w:rsidRPr="00F6198B" w:rsidRDefault="00C232D7" w:rsidP="00C232D7">
            <w:pPr>
              <w:spacing w:before="60" w:after="60" w:line="360" w:lineRule="auto"/>
              <w:rPr>
                <w:rFonts w:ascii="Arial" w:hAnsi="Arial" w:cs="Arial"/>
                <w:sz w:val="18"/>
                <w:lang w:val="sq-AL"/>
              </w:rPr>
            </w:pPr>
            <w:r w:rsidRPr="00F6198B">
              <w:rPr>
                <w:rFonts w:ascii="Arial" w:hAnsi="Arial" w:cs="Arial"/>
                <w:sz w:val="18"/>
                <w:lang w:val="sq-AL"/>
              </w:rPr>
              <w:t>Maksimalna odložena količina od 50% biorazgradivog otpada sakupljenog 2010.</w:t>
            </w:r>
            <w:r w:rsidR="00F914AB" w:rsidRPr="00F6198B">
              <w:rPr>
                <w:rFonts w:ascii="Arial" w:hAnsi="Arial" w:cs="Arial"/>
                <w:sz w:val="18"/>
                <w:lang w:val="sq-AL"/>
              </w:rPr>
              <w:t xml:space="preserve"> </w:t>
            </w:r>
            <w:r w:rsidRPr="00F6198B">
              <w:rPr>
                <w:rFonts w:ascii="Arial" w:hAnsi="Arial" w:cs="Arial"/>
                <w:sz w:val="18"/>
                <w:lang w:val="sq-AL"/>
              </w:rPr>
              <w:t>god</w:t>
            </w:r>
            <w:r w:rsidR="00F914AB" w:rsidRPr="00F6198B">
              <w:rPr>
                <w:rFonts w:ascii="Arial" w:hAnsi="Arial" w:cs="Arial"/>
                <w:sz w:val="18"/>
                <w:lang w:val="sq-AL"/>
              </w:rPr>
              <w:t>ina</w:t>
            </w:r>
          </w:p>
          <w:p w14:paraId="0F22E982" w14:textId="77777777" w:rsidR="00C232D7" w:rsidRPr="00F6198B" w:rsidRDefault="00C232D7" w:rsidP="00C232D7">
            <w:pPr>
              <w:spacing w:before="60" w:after="60" w:line="360" w:lineRule="auto"/>
              <w:rPr>
                <w:rFonts w:ascii="Arial" w:hAnsi="Arial" w:cs="Arial"/>
                <w:sz w:val="18"/>
                <w:lang w:val="sq-AL"/>
              </w:rPr>
            </w:pPr>
            <w:r w:rsidRPr="00F6198B">
              <w:rPr>
                <w:rFonts w:ascii="Arial" w:hAnsi="Arial" w:cs="Arial"/>
                <w:sz w:val="18"/>
              </w:rPr>
              <w:t>(146,000 t)</w:t>
            </w:r>
          </w:p>
        </w:tc>
        <w:tc>
          <w:tcPr>
            <w:tcW w:w="1366" w:type="dxa"/>
            <w:shd w:val="clear" w:color="auto" w:fill="FDE9D9"/>
            <w:vAlign w:val="center"/>
          </w:tcPr>
          <w:p w14:paraId="4964CBD6" w14:textId="6DE1B8B4" w:rsidR="00C232D7" w:rsidRPr="002A6F4E" w:rsidRDefault="00C232D7" w:rsidP="00C232D7">
            <w:pPr>
              <w:spacing w:before="60" w:after="60" w:line="360" w:lineRule="auto"/>
              <w:rPr>
                <w:rFonts w:ascii="Arial" w:hAnsi="Arial" w:cs="Arial"/>
                <w:lang w:val="sq-AL"/>
              </w:rPr>
            </w:pPr>
            <w:r w:rsidRPr="002A6F4E">
              <w:rPr>
                <w:rFonts w:ascii="Arial" w:hAnsi="Arial" w:cs="Arial"/>
                <w:lang w:val="sq-AL"/>
              </w:rPr>
              <w:t>2029</w:t>
            </w:r>
            <w:r w:rsidR="00F9008C">
              <w:rPr>
                <w:rFonts w:ascii="Arial" w:hAnsi="Arial" w:cs="Arial"/>
                <w:lang w:val="sq-AL"/>
              </w:rPr>
              <w:t>.</w:t>
            </w:r>
          </w:p>
        </w:tc>
        <w:tc>
          <w:tcPr>
            <w:tcW w:w="2245" w:type="dxa"/>
            <w:shd w:val="clear" w:color="auto" w:fill="FDE9D9"/>
            <w:vAlign w:val="center"/>
          </w:tcPr>
          <w:p w14:paraId="3AEC9FA4" w14:textId="77777777" w:rsidR="00C232D7" w:rsidRPr="002A6F4E" w:rsidRDefault="00C232D7" w:rsidP="00C232D7">
            <w:pPr>
              <w:spacing w:before="60" w:after="60" w:line="360" w:lineRule="auto"/>
              <w:rPr>
                <w:rFonts w:ascii="Arial" w:hAnsi="Arial" w:cs="Arial"/>
                <w:lang w:val="sq-AL"/>
              </w:rPr>
            </w:pPr>
            <w:r w:rsidRPr="002A6F4E">
              <w:rPr>
                <w:rFonts w:ascii="Arial" w:hAnsi="Arial" w:cs="Arial"/>
                <w:lang w:val="sq-AL"/>
              </w:rPr>
              <w:t>Prema članu 27 Zakona o upravljanju otpadom</w:t>
            </w:r>
          </w:p>
        </w:tc>
      </w:tr>
      <w:tr w:rsidR="00C232D7" w:rsidRPr="00552AAE" w14:paraId="108D87DC" w14:textId="77777777" w:rsidTr="00C232D7">
        <w:trPr>
          <w:trHeight w:val="540"/>
          <w:jc w:val="center"/>
        </w:trPr>
        <w:tc>
          <w:tcPr>
            <w:tcW w:w="2321" w:type="dxa"/>
            <w:vMerge/>
            <w:shd w:val="clear" w:color="auto" w:fill="FDE9D9"/>
            <w:noWrap/>
            <w:vAlign w:val="center"/>
          </w:tcPr>
          <w:p w14:paraId="1D9918D4" w14:textId="77777777" w:rsidR="00C232D7" w:rsidRPr="00F6198B" w:rsidRDefault="00C232D7" w:rsidP="00C232D7">
            <w:pPr>
              <w:spacing w:before="60" w:after="60" w:line="360" w:lineRule="auto"/>
              <w:rPr>
                <w:rFonts w:ascii="Arial" w:hAnsi="Arial" w:cs="Arial"/>
                <w:sz w:val="18"/>
                <w:lang w:val="sq-AL"/>
              </w:rPr>
            </w:pPr>
          </w:p>
        </w:tc>
        <w:tc>
          <w:tcPr>
            <w:tcW w:w="4053" w:type="dxa"/>
            <w:shd w:val="clear" w:color="auto" w:fill="FDE9D9"/>
            <w:noWrap/>
            <w:vAlign w:val="center"/>
          </w:tcPr>
          <w:p w14:paraId="155A3AE9" w14:textId="060AED56" w:rsidR="00C232D7" w:rsidRPr="00F6198B" w:rsidRDefault="00C232D7" w:rsidP="00C232D7">
            <w:pPr>
              <w:spacing w:before="60" w:after="60" w:line="360" w:lineRule="auto"/>
              <w:rPr>
                <w:rFonts w:ascii="Arial" w:hAnsi="Arial" w:cs="Arial"/>
                <w:sz w:val="18"/>
                <w:lang w:val="sq-AL"/>
              </w:rPr>
            </w:pPr>
            <w:r w:rsidRPr="00F6198B">
              <w:rPr>
                <w:rFonts w:ascii="Arial" w:hAnsi="Arial" w:cs="Arial"/>
                <w:sz w:val="18"/>
                <w:lang w:val="sq-AL"/>
              </w:rPr>
              <w:t>Maksimalna odložena količina od 35% biorazgradivog otpada sakupljenog 2010.</w:t>
            </w:r>
            <w:r w:rsidR="00F914AB" w:rsidRPr="00F6198B">
              <w:rPr>
                <w:rFonts w:ascii="Arial" w:hAnsi="Arial" w:cs="Arial"/>
                <w:sz w:val="18"/>
                <w:lang w:val="sq-AL"/>
              </w:rPr>
              <w:t xml:space="preserve"> </w:t>
            </w:r>
            <w:r w:rsidRPr="00F6198B">
              <w:rPr>
                <w:rFonts w:ascii="Arial" w:hAnsi="Arial" w:cs="Arial"/>
                <w:sz w:val="18"/>
                <w:lang w:val="sq-AL"/>
              </w:rPr>
              <w:t>god</w:t>
            </w:r>
            <w:r w:rsidR="00F914AB" w:rsidRPr="00F6198B">
              <w:rPr>
                <w:rFonts w:ascii="Arial" w:hAnsi="Arial" w:cs="Arial"/>
                <w:sz w:val="18"/>
                <w:lang w:val="sq-AL"/>
              </w:rPr>
              <w:t>ina</w:t>
            </w:r>
          </w:p>
          <w:p w14:paraId="4192B178" w14:textId="77777777" w:rsidR="00C232D7" w:rsidRPr="00F6198B" w:rsidRDefault="00C232D7" w:rsidP="00C232D7">
            <w:pPr>
              <w:spacing w:before="60" w:after="60" w:line="360" w:lineRule="auto"/>
              <w:rPr>
                <w:rFonts w:ascii="Arial" w:hAnsi="Arial" w:cs="Arial"/>
                <w:sz w:val="18"/>
                <w:lang w:val="sq-AL"/>
              </w:rPr>
            </w:pPr>
            <w:r w:rsidRPr="00F6198B">
              <w:rPr>
                <w:rFonts w:ascii="Arial" w:hAnsi="Arial" w:cs="Arial"/>
                <w:sz w:val="18"/>
              </w:rPr>
              <w:t>(146,000 t)</w:t>
            </w:r>
          </w:p>
        </w:tc>
        <w:tc>
          <w:tcPr>
            <w:tcW w:w="1366" w:type="dxa"/>
            <w:shd w:val="clear" w:color="auto" w:fill="FDE9D9"/>
            <w:vAlign w:val="center"/>
          </w:tcPr>
          <w:p w14:paraId="33AF249B" w14:textId="0777B8AF" w:rsidR="00C232D7" w:rsidRPr="002A6F4E" w:rsidRDefault="00C232D7" w:rsidP="00C232D7">
            <w:pPr>
              <w:spacing w:before="60" w:after="60" w:line="360" w:lineRule="auto"/>
              <w:rPr>
                <w:rFonts w:ascii="Arial" w:hAnsi="Arial" w:cs="Arial"/>
                <w:lang w:val="sq-AL"/>
              </w:rPr>
            </w:pPr>
            <w:r w:rsidRPr="002A6F4E">
              <w:rPr>
                <w:rFonts w:ascii="Arial" w:hAnsi="Arial" w:cs="Arial"/>
                <w:lang w:val="sq-AL"/>
              </w:rPr>
              <w:t>2033</w:t>
            </w:r>
            <w:r w:rsidR="00F9008C">
              <w:rPr>
                <w:rFonts w:ascii="Arial" w:hAnsi="Arial" w:cs="Arial"/>
                <w:lang w:val="sq-AL"/>
              </w:rPr>
              <w:t>.</w:t>
            </w:r>
          </w:p>
        </w:tc>
        <w:tc>
          <w:tcPr>
            <w:tcW w:w="2245" w:type="dxa"/>
            <w:shd w:val="clear" w:color="auto" w:fill="FDE9D9"/>
            <w:vAlign w:val="center"/>
          </w:tcPr>
          <w:p w14:paraId="611C2A3E" w14:textId="77777777" w:rsidR="00C232D7" w:rsidRPr="002A6F4E" w:rsidRDefault="00C232D7" w:rsidP="00C232D7">
            <w:pPr>
              <w:spacing w:before="60" w:after="60" w:line="360" w:lineRule="auto"/>
              <w:rPr>
                <w:rFonts w:ascii="Arial" w:hAnsi="Arial" w:cs="Arial"/>
                <w:lang w:val="sq-AL"/>
              </w:rPr>
            </w:pPr>
            <w:r w:rsidRPr="002A6F4E">
              <w:rPr>
                <w:rFonts w:ascii="Arial" w:hAnsi="Arial" w:cs="Arial"/>
                <w:lang w:val="sq-AL"/>
              </w:rPr>
              <w:t>Prema članu 27 Zakona o upravljanju otpadom</w:t>
            </w:r>
          </w:p>
        </w:tc>
      </w:tr>
      <w:tr w:rsidR="00C232D7" w:rsidRPr="00552AAE" w14:paraId="2237B827" w14:textId="77777777" w:rsidTr="00C232D7">
        <w:trPr>
          <w:trHeight w:val="300"/>
          <w:jc w:val="center"/>
        </w:trPr>
        <w:tc>
          <w:tcPr>
            <w:tcW w:w="2321" w:type="dxa"/>
            <w:shd w:val="clear" w:color="auto" w:fill="DEEAF6" w:themeFill="accent1" w:themeFillTint="33"/>
            <w:noWrap/>
            <w:vAlign w:val="center"/>
          </w:tcPr>
          <w:p w14:paraId="20A1B5A7" w14:textId="77777777" w:rsidR="00C232D7" w:rsidRPr="00F6198B" w:rsidRDefault="00C232D7" w:rsidP="00C232D7">
            <w:pPr>
              <w:spacing w:before="60" w:after="60" w:line="360" w:lineRule="auto"/>
              <w:rPr>
                <w:rFonts w:ascii="Arial" w:hAnsi="Arial" w:cs="Arial"/>
                <w:sz w:val="18"/>
                <w:lang w:val="sq-AL"/>
              </w:rPr>
            </w:pPr>
            <w:r w:rsidRPr="00F6198B">
              <w:rPr>
                <w:rFonts w:ascii="Arial" w:hAnsi="Arial" w:cs="Arial"/>
                <w:sz w:val="18"/>
                <w:lang w:val="sq-AL"/>
              </w:rPr>
              <w:t>Komunalni otpad</w:t>
            </w:r>
          </w:p>
        </w:tc>
        <w:tc>
          <w:tcPr>
            <w:tcW w:w="4053" w:type="dxa"/>
            <w:shd w:val="clear" w:color="auto" w:fill="DEEAF6" w:themeFill="accent1" w:themeFillTint="33"/>
            <w:noWrap/>
            <w:vAlign w:val="center"/>
          </w:tcPr>
          <w:p w14:paraId="76C27A04" w14:textId="77777777" w:rsidR="00C232D7" w:rsidRPr="00F6198B" w:rsidRDefault="00C232D7" w:rsidP="00C232D7">
            <w:pPr>
              <w:spacing w:before="60" w:after="60" w:line="360" w:lineRule="auto"/>
              <w:rPr>
                <w:rFonts w:ascii="Arial" w:hAnsi="Arial" w:cs="Arial"/>
                <w:sz w:val="18"/>
                <w:lang w:val="sq-AL"/>
              </w:rPr>
            </w:pPr>
            <w:r w:rsidRPr="00F6198B">
              <w:rPr>
                <w:rFonts w:ascii="Arial" w:hAnsi="Arial" w:cs="Arial"/>
                <w:sz w:val="18"/>
                <w:lang w:val="sq-AL"/>
              </w:rPr>
              <w:t>Najmanje 50% otpadnih materijala, kao što su papir, metal, plastika i staklo, iz domaćinstava i drugih izvora u kojima su tokovi otpada slični tokovima kućnog otpada, treba pripremiti za ponovnu upotrebu i reciklažu</w:t>
            </w:r>
            <w:r w:rsidRPr="00F6198B">
              <w:rPr>
                <w:rFonts w:ascii="Arial" w:hAnsi="Arial" w:cs="Arial"/>
                <w:smallCaps/>
                <w:sz w:val="18"/>
                <w:vertAlign w:val="superscript"/>
                <w:lang w:val="pl-PL" w:eastAsia="pl-PL"/>
              </w:rPr>
              <w:footnoteReference w:id="6"/>
            </w:r>
            <w:r w:rsidRPr="00F6198B">
              <w:rPr>
                <w:rFonts w:ascii="Arial" w:hAnsi="Arial" w:cs="Arial"/>
                <w:sz w:val="18"/>
                <w:lang w:val="sq-AL"/>
              </w:rPr>
              <w:t xml:space="preserve"> </w:t>
            </w:r>
          </w:p>
        </w:tc>
        <w:tc>
          <w:tcPr>
            <w:tcW w:w="1366" w:type="dxa"/>
            <w:shd w:val="clear" w:color="auto" w:fill="DEEAF6" w:themeFill="accent1" w:themeFillTint="33"/>
            <w:vAlign w:val="center"/>
          </w:tcPr>
          <w:p w14:paraId="1DCFEE0E" w14:textId="16F4C102" w:rsidR="00C232D7" w:rsidRPr="002A6F4E" w:rsidRDefault="00C232D7" w:rsidP="00C232D7">
            <w:pPr>
              <w:spacing w:before="60" w:after="60" w:line="360" w:lineRule="auto"/>
              <w:rPr>
                <w:rFonts w:ascii="Arial" w:hAnsi="Arial" w:cs="Arial"/>
                <w:lang w:val="sq-AL"/>
              </w:rPr>
            </w:pPr>
            <w:r w:rsidRPr="002A6F4E">
              <w:rPr>
                <w:rFonts w:ascii="Arial" w:hAnsi="Arial" w:cs="Arial"/>
                <w:lang w:val="sq-AL"/>
              </w:rPr>
              <w:t>2030</w:t>
            </w:r>
            <w:r w:rsidR="00F9008C">
              <w:rPr>
                <w:rFonts w:ascii="Arial" w:hAnsi="Arial" w:cs="Arial"/>
                <w:lang w:val="sq-AL"/>
              </w:rPr>
              <w:t>.</w:t>
            </w:r>
          </w:p>
        </w:tc>
        <w:tc>
          <w:tcPr>
            <w:tcW w:w="2245" w:type="dxa"/>
            <w:shd w:val="clear" w:color="auto" w:fill="DEEAF6" w:themeFill="accent1" w:themeFillTint="33"/>
            <w:vAlign w:val="center"/>
          </w:tcPr>
          <w:p w14:paraId="4CEC59A4" w14:textId="77777777" w:rsidR="00C232D7" w:rsidRPr="002A6F4E" w:rsidRDefault="00C232D7" w:rsidP="00C232D7">
            <w:pPr>
              <w:spacing w:before="60" w:after="60" w:line="360" w:lineRule="auto"/>
              <w:rPr>
                <w:rFonts w:ascii="Arial" w:hAnsi="Arial" w:cs="Arial"/>
                <w:lang w:val="sq-AL"/>
              </w:rPr>
            </w:pPr>
            <w:r w:rsidRPr="002A6F4E">
              <w:rPr>
                <w:rFonts w:ascii="Arial" w:hAnsi="Arial" w:cs="Arial"/>
                <w:lang w:val="sq-AL"/>
              </w:rPr>
              <w:t>Prema članu 21 Zakona o upravljanju otpadom</w:t>
            </w:r>
          </w:p>
        </w:tc>
      </w:tr>
      <w:tr w:rsidR="00C232D7" w:rsidRPr="00552AAE" w14:paraId="0EC497C1" w14:textId="77777777" w:rsidTr="00C232D7">
        <w:trPr>
          <w:trHeight w:val="300"/>
          <w:jc w:val="center"/>
        </w:trPr>
        <w:tc>
          <w:tcPr>
            <w:tcW w:w="2321" w:type="dxa"/>
            <w:shd w:val="clear" w:color="auto" w:fill="FDE9D9"/>
            <w:noWrap/>
            <w:vAlign w:val="center"/>
          </w:tcPr>
          <w:p w14:paraId="4EA08643" w14:textId="77777777" w:rsidR="00C232D7" w:rsidRPr="00F6198B" w:rsidRDefault="00C232D7" w:rsidP="00C232D7">
            <w:pPr>
              <w:spacing w:before="60" w:after="60" w:line="360" w:lineRule="auto"/>
              <w:rPr>
                <w:rFonts w:ascii="Arial" w:hAnsi="Arial" w:cs="Arial"/>
                <w:sz w:val="18"/>
                <w:lang w:val="sq-AL"/>
              </w:rPr>
            </w:pPr>
            <w:r w:rsidRPr="00F6198B">
              <w:rPr>
                <w:rFonts w:ascii="Arial" w:hAnsi="Arial" w:cs="Arial"/>
                <w:sz w:val="18"/>
                <w:lang w:val="sq-AL"/>
              </w:rPr>
              <w:t>Ambalažni otpad</w:t>
            </w:r>
          </w:p>
        </w:tc>
        <w:tc>
          <w:tcPr>
            <w:tcW w:w="4053" w:type="dxa"/>
            <w:shd w:val="clear" w:color="auto" w:fill="FDE9D9"/>
            <w:noWrap/>
            <w:vAlign w:val="center"/>
          </w:tcPr>
          <w:p w14:paraId="51AB9345" w14:textId="77777777" w:rsidR="00C232D7" w:rsidRPr="00F6198B" w:rsidRDefault="00C232D7" w:rsidP="00C232D7">
            <w:pPr>
              <w:spacing w:before="60" w:after="60" w:line="360" w:lineRule="auto"/>
              <w:rPr>
                <w:rFonts w:ascii="Arial" w:hAnsi="Arial" w:cs="Arial"/>
                <w:sz w:val="18"/>
                <w:lang w:val="sq-AL"/>
              </w:rPr>
            </w:pPr>
            <w:r w:rsidRPr="00F6198B">
              <w:rPr>
                <w:rFonts w:ascii="Arial" w:hAnsi="Arial" w:cs="Arial"/>
                <w:sz w:val="18"/>
                <w:lang w:val="sq-AL"/>
              </w:rPr>
              <w:t>50% ambalažnog otpada koji se stvara za prikupljanje za preradu, uključujući i energetsku obnovu</w:t>
            </w:r>
          </w:p>
          <w:p w14:paraId="3E3D9402" w14:textId="77777777" w:rsidR="00902A9B" w:rsidRPr="00F6198B" w:rsidRDefault="00902A9B" w:rsidP="00902A9B">
            <w:pPr>
              <w:spacing w:before="60" w:after="60" w:line="360" w:lineRule="auto"/>
              <w:rPr>
                <w:rFonts w:ascii="Arial" w:hAnsi="Arial" w:cs="Arial"/>
                <w:sz w:val="18"/>
                <w:lang w:val="sq-AL"/>
              </w:rPr>
            </w:pPr>
            <w:r w:rsidRPr="00F6198B">
              <w:rPr>
                <w:rFonts w:ascii="Arial" w:hAnsi="Arial" w:cs="Arial"/>
                <w:sz w:val="18"/>
                <w:lang w:val="sq-AL"/>
              </w:rPr>
              <w:t xml:space="preserve">35% ambalažnog otpada se reciklira </w:t>
            </w:r>
          </w:p>
          <w:p w14:paraId="5B63F7AD" w14:textId="77777777" w:rsidR="00902A9B" w:rsidRPr="00F6198B" w:rsidRDefault="00902A9B" w:rsidP="00902A9B">
            <w:pPr>
              <w:spacing w:before="60" w:after="60" w:line="360" w:lineRule="auto"/>
              <w:rPr>
                <w:rFonts w:ascii="Arial" w:hAnsi="Arial" w:cs="Arial"/>
                <w:sz w:val="18"/>
                <w:lang w:val="sq-AL"/>
              </w:rPr>
            </w:pPr>
            <w:r w:rsidRPr="00F6198B">
              <w:rPr>
                <w:rFonts w:ascii="Arial" w:hAnsi="Arial" w:cs="Arial"/>
                <w:sz w:val="18"/>
                <w:lang w:val="sq-AL"/>
              </w:rPr>
              <w:t>Recikliranje 40% mase staklene ambalaže</w:t>
            </w:r>
          </w:p>
          <w:p w14:paraId="252197B8" w14:textId="77777777" w:rsidR="00902A9B" w:rsidRPr="00F6198B" w:rsidRDefault="00902A9B" w:rsidP="00902A9B">
            <w:pPr>
              <w:spacing w:before="60" w:after="60" w:line="360" w:lineRule="auto"/>
              <w:rPr>
                <w:rFonts w:ascii="Arial" w:hAnsi="Arial" w:cs="Arial"/>
                <w:sz w:val="18"/>
                <w:lang w:val="sq-AL"/>
              </w:rPr>
            </w:pPr>
            <w:r w:rsidRPr="00F6198B">
              <w:rPr>
                <w:rFonts w:ascii="Arial" w:hAnsi="Arial" w:cs="Arial"/>
                <w:sz w:val="18"/>
                <w:lang w:val="sq-AL"/>
              </w:rPr>
              <w:t>Recikliranje 40% mase papirne i kartonske ambalaže</w:t>
            </w:r>
          </w:p>
          <w:p w14:paraId="14C62897" w14:textId="77777777" w:rsidR="00902A9B" w:rsidRPr="00F6198B" w:rsidRDefault="00902A9B" w:rsidP="00902A9B">
            <w:pPr>
              <w:spacing w:before="60" w:after="60" w:line="360" w:lineRule="auto"/>
              <w:rPr>
                <w:rFonts w:ascii="Arial" w:hAnsi="Arial" w:cs="Arial"/>
                <w:sz w:val="18"/>
                <w:lang w:val="sq-AL"/>
              </w:rPr>
            </w:pPr>
            <w:r w:rsidRPr="00F6198B">
              <w:rPr>
                <w:rFonts w:ascii="Arial" w:hAnsi="Arial" w:cs="Arial"/>
                <w:sz w:val="18"/>
                <w:lang w:val="sq-AL"/>
              </w:rPr>
              <w:t>Recikliranje 50% mase metalne ambalaže</w:t>
            </w:r>
          </w:p>
          <w:p w14:paraId="110FEBEB" w14:textId="77777777" w:rsidR="00902A9B" w:rsidRPr="00F6198B" w:rsidRDefault="00902A9B" w:rsidP="00902A9B">
            <w:pPr>
              <w:spacing w:before="60" w:after="60" w:line="360" w:lineRule="auto"/>
              <w:rPr>
                <w:rFonts w:ascii="Arial" w:hAnsi="Arial" w:cs="Arial"/>
                <w:sz w:val="18"/>
                <w:lang w:val="sq-AL"/>
              </w:rPr>
            </w:pPr>
            <w:r w:rsidRPr="00F6198B">
              <w:rPr>
                <w:rFonts w:ascii="Arial" w:hAnsi="Arial" w:cs="Arial"/>
                <w:sz w:val="18"/>
                <w:lang w:val="sq-AL"/>
              </w:rPr>
              <w:t>Recikliranje 22.5% mase plastične ambalaže</w:t>
            </w:r>
          </w:p>
          <w:p w14:paraId="7F4B86DC" w14:textId="2ADA5FA7" w:rsidR="00902A9B" w:rsidRPr="00F6198B" w:rsidRDefault="00902A9B" w:rsidP="00902A9B">
            <w:pPr>
              <w:spacing w:before="60" w:after="60" w:line="360" w:lineRule="auto"/>
              <w:rPr>
                <w:rFonts w:ascii="Arial" w:hAnsi="Arial" w:cs="Arial"/>
                <w:sz w:val="18"/>
                <w:lang w:val="sq-AL"/>
              </w:rPr>
            </w:pPr>
            <w:r w:rsidRPr="00F6198B">
              <w:rPr>
                <w:rFonts w:ascii="Arial" w:hAnsi="Arial" w:cs="Arial"/>
                <w:sz w:val="18"/>
                <w:lang w:val="sq-AL"/>
              </w:rPr>
              <w:t>Recikliranje 10% drvne mase</w:t>
            </w:r>
          </w:p>
        </w:tc>
        <w:tc>
          <w:tcPr>
            <w:tcW w:w="1366" w:type="dxa"/>
            <w:shd w:val="clear" w:color="auto" w:fill="FDE9D9"/>
            <w:vAlign w:val="center"/>
          </w:tcPr>
          <w:p w14:paraId="0F81B3EA" w14:textId="469D1C61" w:rsidR="00C232D7" w:rsidRPr="002A6F4E" w:rsidRDefault="00C232D7" w:rsidP="00C232D7">
            <w:pPr>
              <w:spacing w:before="60" w:after="60" w:line="360" w:lineRule="auto"/>
              <w:rPr>
                <w:rFonts w:ascii="Arial" w:hAnsi="Arial" w:cs="Arial"/>
                <w:lang w:val="sq-AL"/>
              </w:rPr>
            </w:pPr>
            <w:r w:rsidRPr="002A6F4E">
              <w:rPr>
                <w:rFonts w:ascii="Arial" w:hAnsi="Arial" w:cs="Arial"/>
                <w:lang w:val="sq-AL"/>
              </w:rPr>
              <w:t>2030</w:t>
            </w:r>
            <w:r w:rsidR="00F9008C">
              <w:rPr>
                <w:rFonts w:ascii="Arial" w:hAnsi="Arial" w:cs="Arial"/>
                <w:lang w:val="sq-AL"/>
              </w:rPr>
              <w:t>.</w:t>
            </w:r>
          </w:p>
        </w:tc>
        <w:tc>
          <w:tcPr>
            <w:tcW w:w="2245" w:type="dxa"/>
            <w:shd w:val="clear" w:color="auto" w:fill="FDE9D9"/>
            <w:vAlign w:val="center"/>
          </w:tcPr>
          <w:p w14:paraId="7DDFD393" w14:textId="77777777" w:rsidR="00C232D7" w:rsidRPr="002A6F4E" w:rsidRDefault="00C232D7" w:rsidP="00C232D7">
            <w:pPr>
              <w:spacing w:before="60" w:after="60" w:line="360" w:lineRule="auto"/>
              <w:rPr>
                <w:rFonts w:ascii="Arial" w:hAnsi="Arial" w:cs="Arial"/>
                <w:lang w:val="sq-AL"/>
              </w:rPr>
            </w:pPr>
            <w:r w:rsidRPr="002A6F4E">
              <w:rPr>
                <w:rFonts w:ascii="Arial" w:hAnsi="Arial" w:cs="Arial"/>
                <w:lang w:val="sq-AL"/>
              </w:rPr>
              <w:t>Prema članu 62 Zakona o upravljanju otpadom</w:t>
            </w:r>
          </w:p>
        </w:tc>
      </w:tr>
    </w:tbl>
    <w:bookmarkEnd w:id="683"/>
    <w:p w14:paraId="45EFE0DF" w14:textId="4986136B" w:rsidR="00BF215B" w:rsidRPr="00F75D49" w:rsidRDefault="00C232D7" w:rsidP="00C232D7">
      <w:pPr>
        <w:widowControl w:val="0"/>
        <w:spacing w:before="120" w:after="120" w:line="360" w:lineRule="auto"/>
        <w:rPr>
          <w:rFonts w:ascii="Arial" w:hAnsi="Arial" w:cs="Arial"/>
          <w:color w:val="000000" w:themeColor="text1"/>
          <w:lang w:val="sq-AL"/>
        </w:rPr>
      </w:pPr>
      <w:r w:rsidRPr="00F75D49">
        <w:rPr>
          <w:rFonts w:ascii="Arial" w:hAnsi="Arial" w:cs="Arial"/>
          <w:color w:val="000000" w:themeColor="text1"/>
          <w:lang w:val="sq-AL"/>
        </w:rPr>
        <w:t>Napominje se da je prema Izvještaju EK za 2024</w:t>
      </w:r>
      <w:r w:rsidRPr="00F75D49">
        <w:rPr>
          <w:rStyle w:val="FootnoteReference"/>
          <w:rFonts w:ascii="Arial" w:hAnsi="Arial" w:cs="Arial"/>
          <w:color w:val="000000" w:themeColor="text1"/>
          <w:sz w:val="20"/>
          <w:szCs w:val="20"/>
        </w:rPr>
        <w:footnoteReference w:id="7"/>
      </w:r>
      <w:r w:rsidRPr="00F75D49">
        <w:rPr>
          <w:rFonts w:ascii="Arial" w:hAnsi="Arial" w:cs="Arial"/>
          <w:color w:val="000000" w:themeColor="text1"/>
          <w:lang w:val="sq-AL"/>
        </w:rPr>
        <w:t>.</w:t>
      </w:r>
      <w:r w:rsidR="00B610C4">
        <w:rPr>
          <w:rFonts w:ascii="Arial" w:hAnsi="Arial" w:cs="Arial"/>
          <w:color w:val="000000" w:themeColor="text1"/>
          <w:lang w:val="sq-AL"/>
        </w:rPr>
        <w:t xml:space="preserve"> godinu</w:t>
      </w:r>
      <w:r w:rsidRPr="00F75D49">
        <w:rPr>
          <w:rFonts w:ascii="Arial" w:hAnsi="Arial" w:cs="Arial"/>
          <w:color w:val="000000" w:themeColor="text1"/>
          <w:lang w:val="sq-AL"/>
        </w:rPr>
        <w:t xml:space="preserve"> ostvaren napredak u daljem usklađivanju sa pravnom tekovinom EU, o zaštiti prirode i razvoja Nacionalnog energetskog i klimatskog plana. Još uvijek su potrebni značajni napori u implementaciji i sprovođenju, posebno u dijelu upravljanja otpadom, kvalitetu </w:t>
      </w:r>
      <w:r w:rsidRPr="00F75D49">
        <w:rPr>
          <w:rFonts w:ascii="Arial" w:hAnsi="Arial" w:cs="Arial"/>
          <w:color w:val="000000" w:themeColor="text1"/>
          <w:lang w:val="sq-AL"/>
        </w:rPr>
        <w:lastRenderedPageBreak/>
        <w:t>vode, zaštiti prirode i klimatskim promjenama. U narednim godinama, Crna Gora treba značajno da inte</w:t>
      </w:r>
      <w:r w:rsidR="00BF215B">
        <w:rPr>
          <w:rFonts w:ascii="Arial" w:hAnsi="Arial" w:cs="Arial"/>
          <w:color w:val="000000" w:themeColor="text1"/>
          <w:lang w:val="sq-AL"/>
        </w:rPr>
        <w:t>n</w:t>
      </w:r>
      <w:r w:rsidRPr="00F75D49">
        <w:rPr>
          <w:rFonts w:ascii="Arial" w:hAnsi="Arial" w:cs="Arial"/>
          <w:color w:val="000000" w:themeColor="text1"/>
          <w:lang w:val="sq-AL"/>
        </w:rPr>
        <w:t>zivira ambiciozne ciljeve ka zelenoj tranziciji.</w:t>
      </w:r>
    </w:p>
    <w:p w14:paraId="02E7667B" w14:textId="143466F5" w:rsidR="00BF215B" w:rsidRPr="00BF215B" w:rsidRDefault="00C232D7" w:rsidP="00C232D7">
      <w:pPr>
        <w:widowControl w:val="0"/>
        <w:spacing w:before="120" w:after="120" w:line="360" w:lineRule="auto"/>
        <w:rPr>
          <w:rFonts w:ascii="Arial" w:hAnsi="Arial" w:cs="Arial"/>
          <w:color w:val="000000" w:themeColor="text1"/>
          <w:lang w:val="sq-AL"/>
        </w:rPr>
      </w:pPr>
      <w:r w:rsidRPr="00F75D49">
        <w:rPr>
          <w:rFonts w:ascii="Arial" w:hAnsi="Arial" w:cs="Arial"/>
          <w:color w:val="000000" w:themeColor="text1"/>
          <w:lang w:val="sq-AL"/>
        </w:rPr>
        <w:t xml:space="preserve">U Izvještaju EK se dalje navodi da </w:t>
      </w:r>
      <w:r w:rsidR="00BF215B">
        <w:rPr>
          <w:rFonts w:ascii="Arial" w:hAnsi="Arial" w:cs="Arial"/>
          <w:color w:val="000000" w:themeColor="text1"/>
          <w:lang w:val="sq-AL"/>
        </w:rPr>
        <w:t>je p</w:t>
      </w:r>
      <w:r w:rsidR="00BF215B">
        <w:rPr>
          <w:rFonts w:ascii="Arial" w:hAnsi="Arial" w:cs="Arial"/>
          <w:color w:val="222222"/>
          <w:shd w:val="clear" w:color="auto" w:fill="FFFFFF"/>
          <w:lang w:val="sq-AL"/>
        </w:rPr>
        <w:t>ostignut</w:t>
      </w:r>
      <w:r w:rsidR="00BF215B" w:rsidRPr="00BF215B">
        <w:rPr>
          <w:rFonts w:ascii="Arial" w:hAnsi="Arial" w:cs="Arial"/>
          <w:color w:val="222222"/>
          <w:shd w:val="clear" w:color="auto" w:fill="FFFFFF"/>
          <w:lang w:val="sq-AL"/>
        </w:rPr>
        <w:t xml:space="preserve"> određeni napredak u daljem usklađivanju zakonodavstva</w:t>
      </w:r>
      <w:r w:rsidR="00EE1AD3">
        <w:rPr>
          <w:rFonts w:ascii="Arial" w:hAnsi="Arial" w:cs="Arial"/>
          <w:color w:val="222222"/>
          <w:shd w:val="clear" w:color="auto" w:fill="FFFFFF"/>
          <w:lang w:val="sq-AL"/>
        </w:rPr>
        <w:t xml:space="preserve"> Crne Gore</w:t>
      </w:r>
      <w:r w:rsidR="00BF215B" w:rsidRPr="00BF215B">
        <w:rPr>
          <w:rFonts w:ascii="Arial" w:hAnsi="Arial" w:cs="Arial"/>
          <w:color w:val="222222"/>
          <w:shd w:val="clear" w:color="auto" w:fill="FFFFFF"/>
          <w:lang w:val="sq-AL"/>
        </w:rPr>
        <w:t xml:space="preserve"> sa pravnom tekovinom EU, donošenjem Zakona o upravljanju otpadom</w:t>
      </w:r>
      <w:r w:rsidR="00BF215B" w:rsidRPr="00727244">
        <w:rPr>
          <w:rFonts w:ascii="Arial" w:hAnsi="Arial" w:cs="Arial"/>
          <w:color w:val="222222"/>
          <w:shd w:val="clear" w:color="auto" w:fill="FFFFFF"/>
          <w:lang w:val="sq-AL"/>
        </w:rPr>
        <w:t>, Zakona o biocidnim proizvodima, te, u oblasti civilne zaštite, potpunim povezivanjem sa Zajedničkim komunikacionim i informacionim sistemom EU za hitne situacije.</w:t>
      </w:r>
    </w:p>
    <w:p w14:paraId="585A8EE0" w14:textId="3459E06F" w:rsidR="00C232D7" w:rsidRPr="002A6F4E" w:rsidRDefault="0075331B" w:rsidP="00C232D7">
      <w:pPr>
        <w:widowControl w:val="0"/>
        <w:spacing w:before="120" w:after="120" w:line="360" w:lineRule="auto"/>
        <w:rPr>
          <w:rFonts w:ascii="Arial" w:hAnsi="Arial" w:cs="Arial"/>
          <w:lang w:val="sq-AL"/>
        </w:rPr>
      </w:pPr>
      <w:r>
        <w:rPr>
          <w:rFonts w:ascii="Arial" w:hAnsi="Arial" w:cs="Arial"/>
          <w:lang w:val="sq-AL"/>
        </w:rPr>
        <w:t>Jedan od o</w:t>
      </w:r>
      <w:r w:rsidR="00C232D7" w:rsidRPr="002A6F4E">
        <w:rPr>
          <w:rFonts w:ascii="Arial" w:hAnsi="Arial" w:cs="Arial"/>
          <w:lang w:val="sq-AL"/>
        </w:rPr>
        <w:t>snovni</w:t>
      </w:r>
      <w:r>
        <w:rPr>
          <w:rFonts w:ascii="Arial" w:hAnsi="Arial" w:cs="Arial"/>
          <w:lang w:val="sq-AL"/>
        </w:rPr>
        <w:t>h</w:t>
      </w:r>
      <w:r w:rsidR="00C232D7" w:rsidRPr="002A6F4E">
        <w:rPr>
          <w:rFonts w:ascii="Arial" w:hAnsi="Arial" w:cs="Arial"/>
          <w:lang w:val="sq-AL"/>
        </w:rPr>
        <w:t xml:space="preserve"> cilj</w:t>
      </w:r>
      <w:r>
        <w:rPr>
          <w:rFonts w:ascii="Arial" w:hAnsi="Arial" w:cs="Arial"/>
          <w:lang w:val="sq-AL"/>
        </w:rPr>
        <w:t>eva</w:t>
      </w:r>
      <w:r w:rsidR="00C232D7" w:rsidRPr="002A6F4E">
        <w:rPr>
          <w:rFonts w:ascii="Arial" w:hAnsi="Arial" w:cs="Arial"/>
          <w:lang w:val="sq-AL"/>
        </w:rPr>
        <w:t xml:space="preserve"> Zakona o upravljanju otpadom je implementacija režima proširene odgovornosti proizvođača. </w:t>
      </w:r>
    </w:p>
    <w:p w14:paraId="25281CA4" w14:textId="77777777" w:rsidR="00C232D7" w:rsidRPr="002A6F4E" w:rsidRDefault="00C232D7" w:rsidP="00F57909">
      <w:pPr>
        <w:pStyle w:val="Heading2"/>
      </w:pPr>
      <w:bookmarkStart w:id="684" w:name="_Toc121759000"/>
      <w:bookmarkStart w:id="685" w:name="_Toc193353970"/>
      <w:r w:rsidRPr="002A6F4E">
        <w:t>2.10.  Institu</w:t>
      </w:r>
      <w:bookmarkEnd w:id="684"/>
      <w:r w:rsidRPr="002A6F4E">
        <w:t>cionalni okvir</w:t>
      </w:r>
      <w:bookmarkEnd w:id="685"/>
    </w:p>
    <w:p w14:paraId="0EDF7D53" w14:textId="65D25197"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Vlada Crne Gore je najviši organ izvršne vlasti u zemlji. Odgovorna je za usvajanje i odobravanje dokumenata i akata koje dostavljaju nadležna ministarstva i donošenje odre</w:t>
      </w:r>
      <w:r w:rsidRPr="002A6F4E">
        <w:rPr>
          <w:rFonts w:ascii="Arial" w:hAnsi="Arial" w:cs="Arial"/>
          <w:lang w:val="bs-Latn-BA"/>
        </w:rPr>
        <w:t>đenih</w:t>
      </w:r>
      <w:r w:rsidRPr="002A6F4E">
        <w:rPr>
          <w:rFonts w:ascii="Arial" w:hAnsi="Arial" w:cs="Arial"/>
          <w:lang w:val="sq-AL"/>
        </w:rPr>
        <w:t xml:space="preserve"> odluka na državnom nivou u oblasti upravljanja otpadom. Ima nadležnosti za usvajanje strateških i planskih dokumenata na </w:t>
      </w:r>
      <w:r w:rsidR="00EE1AD3">
        <w:rPr>
          <w:rFonts w:ascii="Arial" w:hAnsi="Arial" w:cs="Arial"/>
          <w:lang w:val="sq-AL"/>
        </w:rPr>
        <w:t>državnom</w:t>
      </w:r>
      <w:r w:rsidR="00EE1AD3" w:rsidRPr="002A6F4E">
        <w:rPr>
          <w:rFonts w:ascii="Arial" w:hAnsi="Arial" w:cs="Arial"/>
          <w:lang w:val="sq-AL"/>
        </w:rPr>
        <w:t xml:space="preserve"> </w:t>
      </w:r>
      <w:r w:rsidRPr="002A6F4E">
        <w:rPr>
          <w:rFonts w:ascii="Arial" w:hAnsi="Arial" w:cs="Arial"/>
          <w:lang w:val="sq-AL"/>
        </w:rPr>
        <w:t xml:space="preserve">nivou (kao DPUO). </w:t>
      </w:r>
    </w:p>
    <w:p w14:paraId="2ED7800B" w14:textId="77777777"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Odgovornost, organizacija i kapaciteti institucija javne uprave regulisani su zakonskim odredbama i potrebama vezanim za ekonomsku i društvenu tranziciju ka krajnjem cilju pridruživanja EU.</w:t>
      </w:r>
    </w:p>
    <w:p w14:paraId="1C57E3E4" w14:textId="77777777"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Na </w:t>
      </w:r>
      <w:r w:rsidRPr="002A6F4E">
        <w:rPr>
          <w:rFonts w:ascii="Arial" w:hAnsi="Arial" w:cs="Arial"/>
          <w:i/>
          <w:u w:val="single"/>
          <w:lang w:val="sq-AL"/>
        </w:rPr>
        <w:t>državnom nivou</w:t>
      </w:r>
      <w:r w:rsidRPr="002A6F4E">
        <w:rPr>
          <w:rFonts w:ascii="Arial" w:hAnsi="Arial" w:cs="Arial"/>
          <w:lang w:val="sq-AL"/>
        </w:rPr>
        <w:t>, za upravljanje otpadom u Crnoj Gori direktno su nadležni:</w:t>
      </w:r>
    </w:p>
    <w:p w14:paraId="72CE56A6" w14:textId="7B9F318E"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i/>
          <w:u w:val="single"/>
          <w:lang w:val="sq-AL"/>
        </w:rPr>
        <w:t>Ministarstvo ekologije, održivog razvoja i razvoja sjevera (</w:t>
      </w:r>
      <w:bookmarkStart w:id="686" w:name="_Hlk185571804"/>
      <w:r w:rsidRPr="002A6F4E">
        <w:rPr>
          <w:rFonts w:ascii="Arial" w:hAnsi="Arial" w:cs="Arial"/>
          <w:i/>
          <w:u w:val="single"/>
          <w:lang w:val="sq-AL"/>
        </w:rPr>
        <w:t>MERS</w:t>
      </w:r>
      <w:bookmarkEnd w:id="686"/>
      <w:r w:rsidRPr="002A6F4E">
        <w:rPr>
          <w:rFonts w:ascii="Arial" w:hAnsi="Arial" w:cs="Arial"/>
          <w:i/>
          <w:u w:val="single"/>
          <w:lang w:val="sq-AL"/>
        </w:rPr>
        <w:t>),</w:t>
      </w:r>
      <w:r w:rsidRPr="002A6F4E">
        <w:rPr>
          <w:rFonts w:ascii="Arial" w:hAnsi="Arial" w:cs="Arial"/>
          <w:lang w:val="sq-AL"/>
        </w:rPr>
        <w:t xml:space="preserve"> nadležno je za razvoj </w:t>
      </w:r>
      <w:r w:rsidR="004C1F42">
        <w:rPr>
          <w:rFonts w:ascii="Arial" w:hAnsi="Arial" w:cs="Arial"/>
          <w:lang w:val="sq-AL"/>
        </w:rPr>
        <w:t xml:space="preserve">državnog </w:t>
      </w:r>
      <w:r w:rsidRPr="002A6F4E">
        <w:rPr>
          <w:rFonts w:ascii="Arial" w:hAnsi="Arial" w:cs="Arial"/>
          <w:lang w:val="sq-AL"/>
        </w:rPr>
        <w:t>zakonodavnog i strateškog okvira u oblasti upravljanja otpadom. Direktorat za ekologiju u okviru ovog ministarstva odgovoran je za upravljanje životnom sredinom, otpadom, hemikalijama, radijacijom, industrijskim zagađenjem, bukom i vibracijama. U okviru Direktorata, upravljanje otpadom je u nadležnosti Direkcije za komunalne poslove:</w:t>
      </w:r>
    </w:p>
    <w:p w14:paraId="70DF20AD" w14:textId="4B99068D" w:rsidR="00C232D7" w:rsidRPr="00727244" w:rsidRDefault="00C232D7" w:rsidP="00A23ED0">
      <w:pPr>
        <w:pStyle w:val="ListParagraph"/>
        <w:numPr>
          <w:ilvl w:val="0"/>
          <w:numId w:val="19"/>
        </w:numPr>
        <w:spacing w:before="120" w:after="120" w:line="360" w:lineRule="auto"/>
        <w:contextualSpacing w:val="0"/>
        <w:rPr>
          <w:rFonts w:ascii="Arial" w:hAnsi="Arial" w:cs="Arial"/>
          <w:lang w:val="sq-AL"/>
        </w:rPr>
      </w:pPr>
      <w:r w:rsidRPr="00727244">
        <w:rPr>
          <w:rFonts w:ascii="Arial" w:hAnsi="Arial" w:cs="Arial"/>
          <w:i/>
          <w:u w:val="single"/>
          <w:lang w:val="sq-AL"/>
        </w:rPr>
        <w:t>Direktorat za ekologiju</w:t>
      </w:r>
      <w:r w:rsidRPr="00727244">
        <w:rPr>
          <w:rFonts w:ascii="Arial" w:hAnsi="Arial" w:cs="Arial"/>
          <w:lang w:val="sq-AL"/>
        </w:rPr>
        <w:t xml:space="preserve"> vrši poslove koji se odnose na: predlaganje, praćenje i usmjeravanje politike u oblastima upravljanja otpadom i komunalnih djelatnosti; usklađivanje domaćeg zakonodavstva sa zakonodavstvom EU iz oblasti upravljanja otpadom i komunalnog razvoja, uključujući izradu nacrta i predloga zakona, podzakonskih akata i drugih propisa iz djelokruga rada ovog direktorata; davanje mišljenja i sugestija u procesu njihovog sprovođenja; predlaganje, izbor i praćenje sprovođenja sistemskih mjera za sprovođenje strateških dokumenata, planova, programa i akcionih planova iz oblasti upravljanja otpadom, kao i drugih komunalnih djelatnosti; učešće u planiranju i programiranju sredstava iz državnog budžeta i drugih izvora u skladu sa posebnim propisima iz oblasti upravljanja otpadom i komunalnih djelatnosti; učešće u međunarodnoj i regionalnoj saradnji, saradnji sa međunarodnim organizacijama i učešće u pripremi i sprovođenju međunarodnih bilateralnih ugovora i sporazuma iz delokruga rada Direktorata; učešće u pripremi i realizaciji projekata koji se djelimično ili u potpunosti finansiraju iz fondova EU i drugih fondova.</w:t>
      </w:r>
    </w:p>
    <w:p w14:paraId="3AF58F26" w14:textId="3FBB3066" w:rsidR="00C232D7" w:rsidRPr="00727244" w:rsidRDefault="00C232D7" w:rsidP="00A23ED0">
      <w:pPr>
        <w:pStyle w:val="ListParagraph"/>
        <w:numPr>
          <w:ilvl w:val="0"/>
          <w:numId w:val="19"/>
        </w:numPr>
        <w:spacing w:before="120" w:after="120" w:line="360" w:lineRule="auto"/>
        <w:contextualSpacing w:val="0"/>
        <w:rPr>
          <w:rFonts w:ascii="Arial" w:hAnsi="Arial" w:cs="Arial"/>
          <w:lang w:val="sq-AL"/>
        </w:rPr>
      </w:pPr>
      <w:r w:rsidRPr="00727244">
        <w:rPr>
          <w:rFonts w:ascii="Arial" w:hAnsi="Arial" w:cs="Arial"/>
          <w:i/>
          <w:u w:val="single"/>
          <w:lang w:val="sq-AL"/>
        </w:rPr>
        <w:t>Direkcija za komunalne poslove</w:t>
      </w:r>
      <w:r w:rsidRPr="00727244">
        <w:rPr>
          <w:rFonts w:ascii="Arial" w:hAnsi="Arial" w:cs="Arial"/>
          <w:lang w:val="sq-AL"/>
        </w:rPr>
        <w:t xml:space="preserve"> u okviru ovog Direktorata obavlja poslove koji se odnose na: predlaganje, praćenje i usmjeravanje politike u oblasti upravljanja otpadom; predlaganje strateških, planskih i programskih dokumenata iz nadležnosti Direkcije; izbor sistemskih mjera za sprovođenje i praćenje realizacije strateških dokumenata, planova i programa iz oblasti upravljanja otpadom; </w:t>
      </w:r>
      <w:r w:rsidRPr="00727244">
        <w:rPr>
          <w:rFonts w:ascii="Arial" w:hAnsi="Arial" w:cs="Arial"/>
          <w:lang w:val="sq-AL"/>
        </w:rPr>
        <w:lastRenderedPageBreak/>
        <w:t>pripremu predloga državnog plana upravljanja otpadom i pripremu godišnjih izvještaja o realizaciji državnog plana upravljanja otpadom; pripremu nacrta i predloga zakona i drugih propisa iz djelokruga rada Direkcije, posebno u kontekstu procesa harmonizacije nacionalnog i evropskog zakonodavstva u oblasti upravljanja otpadom; praćenje sprovođenja zakona i drugih propisa i davanje stručnih mišljenja u vezi sa primjenom važećih propisa iz oblasti upravljanja otpadom; praćenje najbolje međunarodne prakse u oblasti upravljanja otpadom i shodno tome, predlaganje mjera; praćenje i unapređenje ljudskih resursa; praćenje i predlaganje mjera za unapređenje rada privrednih subjekata u ovoj oblasti; učešće u izradi bilateralnih i multilateralnih sporazuma; praćenje i sprovođenje aktivnosti međunarodne saradnje u oblasti upravljanja otpadom; sprovođenje obaveza iz relevantnih međunarodnih ugovora i saradnja sa relevantnim međunarodnim organizacijama, te priprema izvještaja o implementaciji međunarodnih sporayuma iz oblasti upravljanja otpadom; priprema odgovora i izjašnjavanja nadležnim organima.</w:t>
      </w:r>
    </w:p>
    <w:p w14:paraId="798179D8" w14:textId="67DAE6DC" w:rsidR="00C232D7" w:rsidRPr="00727244" w:rsidRDefault="00C232D7" w:rsidP="00A23ED0">
      <w:pPr>
        <w:pStyle w:val="ListParagraph"/>
        <w:numPr>
          <w:ilvl w:val="0"/>
          <w:numId w:val="19"/>
        </w:numPr>
        <w:spacing w:before="120" w:after="120" w:line="360" w:lineRule="auto"/>
        <w:contextualSpacing w:val="0"/>
        <w:rPr>
          <w:rFonts w:ascii="Arial" w:hAnsi="Arial" w:cs="Arial"/>
          <w:lang w:val="sq-AL"/>
        </w:rPr>
      </w:pPr>
      <w:r w:rsidRPr="00727244">
        <w:rPr>
          <w:rFonts w:ascii="Arial" w:hAnsi="Arial" w:cs="Arial"/>
          <w:lang w:val="sq-AL"/>
        </w:rPr>
        <w:t>Direkcija za međunarodnu saradnju i EU integracije ima važnu ulogu u međunarodnoj i bilateralnoj saradnji i saradnji sa međunarodnim organizacijama, kao i u pripremi i implementaciji relevantnih međunarodnih sporazuma.</w:t>
      </w:r>
    </w:p>
    <w:p w14:paraId="772C59E3" w14:textId="020A80B0"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i/>
          <w:u w:val="single"/>
          <w:lang w:val="sq-AL"/>
        </w:rPr>
        <w:t>Ministarstvo poljoprivrede, šumarstva i vodoprivrede</w:t>
      </w:r>
      <w:r w:rsidRPr="002A6F4E">
        <w:rPr>
          <w:rFonts w:ascii="Arial" w:hAnsi="Arial" w:cs="Arial"/>
          <w:lang w:val="sq-AL"/>
        </w:rPr>
        <w:t xml:space="preserve"> nadležno je za zaštitu i korišćenje poljoprivrednog zemljišta</w:t>
      </w:r>
      <w:r w:rsidR="004C1F42">
        <w:rPr>
          <w:rFonts w:ascii="Arial" w:hAnsi="Arial" w:cs="Arial"/>
          <w:lang w:val="sq-AL"/>
        </w:rPr>
        <w:t>,</w:t>
      </w:r>
      <w:r w:rsidRPr="002A6F4E">
        <w:rPr>
          <w:rFonts w:ascii="Arial" w:hAnsi="Arial" w:cs="Arial"/>
          <w:lang w:val="sq-AL"/>
        </w:rPr>
        <w:t xml:space="preserve"> kontrolu otpada životinjskog porijekla</w:t>
      </w:r>
      <w:r w:rsidR="004C1F42">
        <w:rPr>
          <w:rFonts w:ascii="Arial" w:hAnsi="Arial" w:cs="Arial"/>
          <w:lang w:val="sq-AL"/>
        </w:rPr>
        <w:t>,</w:t>
      </w:r>
      <w:r w:rsidRPr="002A6F4E">
        <w:rPr>
          <w:rFonts w:ascii="Arial" w:hAnsi="Arial" w:cs="Arial"/>
          <w:lang w:val="sq-AL"/>
        </w:rPr>
        <w:t xml:space="preserve"> vodni režim</w:t>
      </w:r>
      <w:r w:rsidR="004C1F42">
        <w:rPr>
          <w:rFonts w:ascii="Arial" w:hAnsi="Arial" w:cs="Arial"/>
          <w:lang w:val="sq-AL"/>
        </w:rPr>
        <w:t>,</w:t>
      </w:r>
      <w:r w:rsidRPr="002A6F4E">
        <w:rPr>
          <w:rFonts w:ascii="Arial" w:hAnsi="Arial" w:cs="Arial"/>
          <w:lang w:val="sq-AL"/>
        </w:rPr>
        <w:t xml:space="preserve"> zaštitu voda.</w:t>
      </w:r>
    </w:p>
    <w:p w14:paraId="7B815492" w14:textId="77777777"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i/>
          <w:u w:val="single"/>
          <w:lang w:val="sq-AL"/>
        </w:rPr>
        <w:t>Ministarstvo zdravlja</w:t>
      </w:r>
      <w:r w:rsidRPr="002A6F4E">
        <w:rPr>
          <w:rFonts w:ascii="Arial" w:hAnsi="Arial" w:cs="Arial"/>
          <w:lang w:val="sq-AL"/>
        </w:rPr>
        <w:t xml:space="preserve"> nadležno je za zdravstvenu zaštitu, uključujući upravljanje medicinskim otpadom, sanitarne standarde, sanitarnu kontrolu i inspekciju;</w:t>
      </w:r>
    </w:p>
    <w:p w14:paraId="2B964FAA" w14:textId="3FC60D20"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i/>
          <w:u w:val="single"/>
          <w:lang w:val="sq-AL"/>
        </w:rPr>
        <w:t xml:space="preserve">Ministarstvo </w:t>
      </w:r>
      <w:r w:rsidR="00792052">
        <w:rPr>
          <w:rFonts w:ascii="Arial" w:hAnsi="Arial" w:cs="Arial"/>
          <w:i/>
          <w:u w:val="single"/>
          <w:lang w:val="sq-AL"/>
        </w:rPr>
        <w:t>saobra</w:t>
      </w:r>
      <w:r w:rsidR="00792052">
        <w:rPr>
          <w:rFonts w:ascii="Arial" w:hAnsi="Arial" w:cs="Arial"/>
          <w:i/>
          <w:u w:val="single"/>
          <w:lang w:val="sr-Latn-ME"/>
        </w:rPr>
        <w:t>ćaja i Ministarstvo pomorstva</w:t>
      </w:r>
      <w:r w:rsidR="00A57F94">
        <w:rPr>
          <w:rFonts w:ascii="Arial" w:hAnsi="Arial" w:cs="Arial"/>
          <w:lang w:val="sq-AL"/>
        </w:rPr>
        <w:t xml:space="preserve"> su nadležna za</w:t>
      </w:r>
      <w:r w:rsidRPr="002A6F4E">
        <w:rPr>
          <w:rFonts w:ascii="Arial" w:hAnsi="Arial" w:cs="Arial"/>
          <w:lang w:val="sq-AL"/>
        </w:rPr>
        <w:t xml:space="preserve"> drumski, pomorski, vazdušni i željeznički saobraćaj, kako u zemlji tako i vezano za prekogranični saobraćaj;</w:t>
      </w:r>
    </w:p>
    <w:p w14:paraId="407AF284" w14:textId="77777777"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i/>
          <w:u w:val="single"/>
          <w:lang w:val="sq-AL"/>
        </w:rPr>
        <w:t>Ministarstvo finansija</w:t>
      </w:r>
      <w:r w:rsidRPr="002A6F4E">
        <w:rPr>
          <w:rFonts w:ascii="Arial" w:hAnsi="Arial" w:cs="Arial"/>
          <w:lang w:val="sq-AL"/>
        </w:rPr>
        <w:t xml:space="preserve"> nadležno je za donošenje budžeta, poreskog sistema i politike, za strane investicije, donacije i pomoć iz inostranstva;</w:t>
      </w:r>
    </w:p>
    <w:p w14:paraId="47B68FEA" w14:textId="41D875FE"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i/>
          <w:u w:val="single"/>
          <w:lang w:val="sq-AL"/>
        </w:rPr>
        <w:t>Agencija za zaštitu životne sredine (AZŽS)</w:t>
      </w:r>
      <w:r w:rsidRPr="002A6F4E">
        <w:rPr>
          <w:rFonts w:ascii="Arial" w:hAnsi="Arial" w:cs="Arial"/>
          <w:lang w:val="sq-AL"/>
        </w:rPr>
        <w:t xml:space="preserve"> izvršni je organ Ministarstva ekologije, održivog razvoja i razvoja sjevera, zadužen za izdavanje dozvola, nacionalni monitoring životne sredine, upravljanje bazama podataka, izvještavanje, komunikaciju i saradnju sa relevantnim domaćim i međunarodnim organima i organizacijama, kao i saradnju sa javnošću. Agencija je centralni dio sistema u kojem se prikupljaju podaci o tokovima otpada, posebno u dijelu količina izvezenog i uvezenog otpada, kao i otpada u tranzitu preko teritorije Crne Gore tokom godine, kojim upravljaju svi subjekti nadležni za upravljanje otpadom. Izdavanje dozvola za upravljanje otpadom, prekogranično kretanje otpada i dozvola za preradu i/ili odlaganje otpada je u nadležnosti sektora zaduženog za licenciranje. Takođe, </w:t>
      </w:r>
      <w:r w:rsidR="003273E1">
        <w:rPr>
          <w:rFonts w:ascii="Arial" w:hAnsi="Arial" w:cs="Arial"/>
          <w:lang w:val="sq-AL"/>
        </w:rPr>
        <w:t>AZ</w:t>
      </w:r>
      <w:r w:rsidR="00344D21">
        <w:rPr>
          <w:rFonts w:ascii="Arial" w:hAnsi="Arial" w:cs="Arial"/>
          <w:lang w:val="sq-AL"/>
        </w:rPr>
        <w:t>ŽS</w:t>
      </w:r>
      <w:r w:rsidRPr="002A6F4E">
        <w:rPr>
          <w:rFonts w:ascii="Arial" w:hAnsi="Arial" w:cs="Arial"/>
          <w:lang w:val="sq-AL"/>
        </w:rPr>
        <w:t xml:space="preserve"> je jedan od organa koji daje saglasnost na planove upravljanja otpadom proizvođača otpada.</w:t>
      </w:r>
    </w:p>
    <w:p w14:paraId="4BAAC9B7" w14:textId="02C5A6D5"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i/>
          <w:u w:val="single"/>
          <w:lang w:val="sq-AL"/>
        </w:rPr>
        <w:t>PROCON d.o.o.</w:t>
      </w:r>
      <w:r w:rsidRPr="002A6F4E">
        <w:rPr>
          <w:rFonts w:ascii="Arial" w:hAnsi="Arial" w:cs="Arial"/>
          <w:lang w:val="sq-AL"/>
        </w:rPr>
        <w:t xml:space="preserve"> (Project-Consulting) je </w:t>
      </w:r>
      <w:r w:rsidR="00A57F94">
        <w:rPr>
          <w:rFonts w:ascii="Arial" w:hAnsi="Arial" w:cs="Arial"/>
          <w:lang w:val="sq-AL"/>
        </w:rPr>
        <w:t>privredno društvo</w:t>
      </w:r>
      <w:r w:rsidRPr="002A6F4E">
        <w:rPr>
          <w:rFonts w:ascii="Arial" w:hAnsi="Arial" w:cs="Arial"/>
          <w:lang w:val="sq-AL"/>
        </w:rPr>
        <w:t xml:space="preserve"> čiji je osnivač Vlada Crne Gore, a zaduženo je za vođenje projekata iz oblasti komunalnih djelatnosti i zaštite životne sredine. PROCON, u okviru svoje osnovne djelatnosti, obavlja sljedeće poslove: vrši analizu projekata sa stanovišta izvodljivosti, održivosti i usklađenosti sa strateškim planskim dokumentima; priprema potrebnu dokumentaciju i podloge za pokretanje realizacije projekta, a u vezi sa tim priprema potrebne tenderske dokumentacije i pokretanje postupka za nabavku robe, usluga i radova i sl. PROCON se uglavnom bavi poslovima vezanim za otpad </w:t>
      </w:r>
      <w:r w:rsidRPr="002A6F4E">
        <w:rPr>
          <w:rFonts w:ascii="Arial" w:hAnsi="Arial" w:cs="Arial"/>
          <w:lang w:val="sq-AL"/>
        </w:rPr>
        <w:lastRenderedPageBreak/>
        <w:t>i upravljanje otpadnim vodama, nadzor nad sprovođenjem infrastrukturnih projekata. PROCON u svom radu sprovodi tenderske procedure, evaluacije tendera i druge aktivnosti predviđene ugovorom o finansiranju projekata iz oblasti komunalnih djelatnosti i zaštite životne sredine i pruža stručnu pomoć u pripremi ugovorne dokumentacije i izradi izvještaja o realizaciji projekata finansiranih od strane međunarodnih finansijskih institucija.</w:t>
      </w:r>
    </w:p>
    <w:p w14:paraId="720961B8" w14:textId="77777777"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Pored navedenih, od velikog značaja u oblasti upravljanja otpadom u Crnoj Gori su sljedeće institucije i organizacije:</w:t>
      </w:r>
    </w:p>
    <w:p w14:paraId="6CF6D3CA" w14:textId="77777777"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i/>
          <w:u w:val="single"/>
          <w:lang w:val="sq-AL"/>
        </w:rPr>
        <w:t>Uprava za statistiku Crne Gore (MONSTAT)</w:t>
      </w:r>
      <w:r w:rsidRPr="002A6F4E">
        <w:rPr>
          <w:rFonts w:ascii="Arial" w:hAnsi="Arial" w:cs="Arial"/>
          <w:lang w:val="sq-AL"/>
        </w:rPr>
        <w:t xml:space="preserve"> je organ nadležan za proizvodnju zvanične statistike. Statistički podaci o otpadu dobijaju se sprovođenjem godišnjih istraživanja o stvaranju, sakupljanju i obradi komunalnog otpada. Podaci o komunalnom otpadu prikupljaju se putem ankete, gdje su komunalna preduzeća izvještajne jedinice koje dobijaju dozvolu Sekretarijata jedinica lokalnih samouprava za obavljanje poslova sakupljanja i transporta komunalnog otpada.</w:t>
      </w:r>
    </w:p>
    <w:p w14:paraId="5427E7A4" w14:textId="45921554"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i/>
          <w:u w:val="single"/>
          <w:lang w:val="sq-AL"/>
        </w:rPr>
        <w:t>Privredna komora</w:t>
      </w:r>
      <w:r w:rsidRPr="002A6F4E">
        <w:rPr>
          <w:rFonts w:ascii="Arial" w:hAnsi="Arial" w:cs="Arial"/>
          <w:lang w:val="sq-AL"/>
        </w:rPr>
        <w:t xml:space="preserve"> formirala je komisije za različite oblasti, kao što su Odbor za preduzeća i Odbor za životnu sredinu, i ovo tijelo predstavlja odgovarajuću platformu za rješavanje potreba saradnje.</w:t>
      </w:r>
    </w:p>
    <w:p w14:paraId="19EE50C7" w14:textId="77777777"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i/>
          <w:u w:val="single"/>
          <w:lang w:val="sq-AL"/>
        </w:rPr>
        <w:t>Laboratorije</w:t>
      </w:r>
      <w:r w:rsidRPr="002A6F4E">
        <w:rPr>
          <w:rFonts w:ascii="Arial" w:hAnsi="Arial" w:cs="Arial"/>
          <w:lang w:val="sq-AL"/>
        </w:rPr>
        <w:t xml:space="preserve"> u Crnoj Gori u kojima se vrše određena ispitivanja i kontrole otpada, kao što su: laboratorija Centra za ekotoksikološka ispitivanja, laboratorija Instituta za javno zdravlje, laboratorija Biotehničkog fakulteta.</w:t>
      </w:r>
    </w:p>
    <w:p w14:paraId="669D9FBB" w14:textId="0B3C9F7C"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i/>
          <w:u w:val="single"/>
          <w:lang w:val="sq-AL"/>
        </w:rPr>
        <w:t>Zajednica opština</w:t>
      </w:r>
      <w:r w:rsidRPr="002A6F4E">
        <w:rPr>
          <w:rFonts w:ascii="Arial" w:hAnsi="Arial" w:cs="Arial"/>
          <w:lang w:val="sq-AL"/>
        </w:rPr>
        <w:t xml:space="preserve"> je asocijacija lokalnih samouprava u Crnoj Gori. Misija Zajednice opština Crne Gore je unapređenje funkcionisanja lokalne samouprave i stvaranje uslova za razvoj različitih oblika saradnje u svim oblastima rada lokalnih zajednica u Crnoj Gori.</w:t>
      </w:r>
    </w:p>
    <w:p w14:paraId="4805C70A" w14:textId="65FA332E"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i/>
          <w:u w:val="single"/>
          <w:lang w:val="sq-AL"/>
        </w:rPr>
        <w:t>Udruženja građana i druga udruženja civilnog društva</w:t>
      </w:r>
      <w:r w:rsidRPr="002A6F4E">
        <w:rPr>
          <w:rFonts w:ascii="Arial" w:hAnsi="Arial" w:cs="Arial"/>
          <w:lang w:val="sq-AL"/>
        </w:rPr>
        <w:t xml:space="preserve"> (nevladine organizacije i dr</w:t>
      </w:r>
      <w:r w:rsidR="0005065E">
        <w:rPr>
          <w:rFonts w:ascii="Arial" w:hAnsi="Arial" w:cs="Arial"/>
          <w:lang w:val="sq-AL"/>
        </w:rPr>
        <w:t>.</w:t>
      </w:r>
      <w:r w:rsidRPr="002A6F4E">
        <w:rPr>
          <w:rFonts w:ascii="Arial" w:hAnsi="Arial" w:cs="Arial"/>
          <w:lang w:val="sq-AL"/>
        </w:rPr>
        <w:t>) aktivno učestvuju u promociji zaštite životne sredine i pokretanju lokalnih aktivnosti u cilju očuvanja životne sredine i upravljanja otpadom.</w:t>
      </w:r>
    </w:p>
    <w:p w14:paraId="20B19903" w14:textId="63DBE884"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i/>
          <w:u w:val="single"/>
          <w:lang w:val="sq-AL"/>
        </w:rPr>
        <w:t>Fond za zaštitu životne sredine (Eko fond)</w:t>
      </w:r>
      <w:r w:rsidRPr="002A6F4E">
        <w:rPr>
          <w:rFonts w:ascii="Arial" w:hAnsi="Arial" w:cs="Arial"/>
          <w:lang w:val="sq-AL"/>
        </w:rPr>
        <w:t xml:space="preserve"> </w:t>
      </w:r>
      <w:r w:rsidR="00A57F94">
        <w:rPr>
          <w:rFonts w:ascii="Arial" w:hAnsi="Arial" w:cs="Arial"/>
          <w:lang w:val="sq-AL"/>
        </w:rPr>
        <w:t>privredno društvo</w:t>
      </w:r>
      <w:r w:rsidR="00A57F94" w:rsidRPr="002A6F4E">
        <w:rPr>
          <w:rFonts w:ascii="Arial" w:hAnsi="Arial" w:cs="Arial"/>
          <w:lang w:val="sq-AL"/>
        </w:rPr>
        <w:t xml:space="preserve"> </w:t>
      </w:r>
      <w:r w:rsidRPr="002A6F4E">
        <w:rPr>
          <w:rFonts w:ascii="Arial" w:hAnsi="Arial" w:cs="Arial"/>
          <w:lang w:val="sq-AL"/>
        </w:rPr>
        <w:t xml:space="preserve">koje je osnovala Vlada Crne Gore aktivno u finansiranju pripreme, realizacije i razvoja programa, projekata i sličnih aktivnosti u oblasti očuvanja, održivog korišćenja, zaštite i unapređenja životne sredine, energetske efikasnosti i korišćenja obnovljivih izvora energije na </w:t>
      </w:r>
      <w:r w:rsidR="0005065E">
        <w:rPr>
          <w:rFonts w:ascii="Arial" w:hAnsi="Arial" w:cs="Arial"/>
          <w:lang w:val="sq-AL"/>
        </w:rPr>
        <w:t>državnom</w:t>
      </w:r>
      <w:r w:rsidR="0005065E" w:rsidRPr="002A6F4E">
        <w:rPr>
          <w:rFonts w:ascii="Arial" w:hAnsi="Arial" w:cs="Arial"/>
          <w:lang w:val="sq-AL"/>
        </w:rPr>
        <w:t xml:space="preserve"> </w:t>
      </w:r>
      <w:r w:rsidRPr="002A6F4E">
        <w:rPr>
          <w:rFonts w:ascii="Arial" w:hAnsi="Arial" w:cs="Arial"/>
          <w:lang w:val="sq-AL"/>
        </w:rPr>
        <w:t>i lokalnom nivou, uključujući projekte upravljanja otpadom. Eko fond</w:t>
      </w:r>
      <w:r w:rsidR="00A35641">
        <w:rPr>
          <w:rFonts w:ascii="Arial" w:hAnsi="Arial" w:cs="Arial"/>
          <w:lang w:val="sq-AL"/>
        </w:rPr>
        <w:t xml:space="preserve"> </w:t>
      </w:r>
      <w:r w:rsidRPr="002A6F4E">
        <w:rPr>
          <w:rFonts w:ascii="Arial" w:hAnsi="Arial" w:cs="Arial"/>
          <w:lang w:val="sq-AL"/>
        </w:rPr>
        <w:t>upravlja naknadama koje</w:t>
      </w:r>
      <w:r w:rsidR="00A35641">
        <w:rPr>
          <w:rFonts w:ascii="Arial" w:hAnsi="Arial" w:cs="Arial"/>
          <w:lang w:val="sq-AL"/>
        </w:rPr>
        <w:t xml:space="preserve"> su</w:t>
      </w:r>
      <w:r w:rsidRPr="002A6F4E">
        <w:rPr>
          <w:rFonts w:ascii="Arial" w:hAnsi="Arial" w:cs="Arial"/>
          <w:lang w:val="sq-AL"/>
        </w:rPr>
        <w:t xml:space="preserve"> uvedene za korišćenje plastičnih kesa</w:t>
      </w:r>
      <w:r w:rsidR="00A35641">
        <w:rPr>
          <w:rFonts w:ascii="Arial" w:hAnsi="Arial" w:cs="Arial"/>
          <w:lang w:val="sq-AL"/>
        </w:rPr>
        <w:t xml:space="preserve"> debljine zida preko 50 mikrona, shodno </w:t>
      </w:r>
      <w:r w:rsidRPr="002A6F4E">
        <w:rPr>
          <w:rFonts w:ascii="Arial" w:hAnsi="Arial" w:cs="Arial"/>
          <w:lang w:val="sq-AL"/>
        </w:rPr>
        <w:t xml:space="preserve"> </w:t>
      </w:r>
      <w:r w:rsidR="00A35641">
        <w:rPr>
          <w:rFonts w:ascii="Arial" w:hAnsi="Arial" w:cs="Arial"/>
          <w:lang w:val="sq-AL"/>
        </w:rPr>
        <w:t>Z</w:t>
      </w:r>
      <w:r w:rsidRPr="002A6F4E">
        <w:rPr>
          <w:rFonts w:ascii="Arial" w:hAnsi="Arial" w:cs="Arial"/>
          <w:lang w:val="sq-AL"/>
        </w:rPr>
        <w:t>akon</w:t>
      </w:r>
      <w:r w:rsidR="00A35641">
        <w:rPr>
          <w:rFonts w:ascii="Arial" w:hAnsi="Arial" w:cs="Arial"/>
          <w:lang w:val="sq-AL"/>
        </w:rPr>
        <w:t>u</w:t>
      </w:r>
      <w:r w:rsidRPr="002A6F4E">
        <w:rPr>
          <w:rFonts w:ascii="Arial" w:hAnsi="Arial" w:cs="Arial"/>
          <w:lang w:val="sq-AL"/>
        </w:rPr>
        <w:t xml:space="preserve"> o upravljanju otpadom</w:t>
      </w:r>
      <w:r w:rsidR="00A35641">
        <w:rPr>
          <w:rFonts w:ascii="Arial" w:hAnsi="Arial" w:cs="Arial"/>
          <w:lang w:val="sq-AL"/>
        </w:rPr>
        <w:t>.</w:t>
      </w:r>
    </w:p>
    <w:p w14:paraId="5847BB6A" w14:textId="77777777"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Na </w:t>
      </w:r>
      <w:r w:rsidRPr="002A6F4E">
        <w:rPr>
          <w:rFonts w:ascii="Arial" w:hAnsi="Arial" w:cs="Arial"/>
          <w:i/>
          <w:u w:val="single"/>
          <w:lang w:val="sq-AL"/>
        </w:rPr>
        <w:t>lokalnom nivou</w:t>
      </w:r>
      <w:r w:rsidRPr="002A6F4E">
        <w:rPr>
          <w:rFonts w:ascii="Arial" w:hAnsi="Arial" w:cs="Arial"/>
          <w:lang w:val="sq-AL"/>
        </w:rPr>
        <w:t>, za upravljanje otpadom su odgovorni:</w:t>
      </w:r>
    </w:p>
    <w:p w14:paraId="52EDBB9B" w14:textId="31F4AAE9"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i/>
          <w:u w:val="single"/>
          <w:lang w:val="sq-AL"/>
        </w:rPr>
        <w:t>Jedinice lokalne samouprave</w:t>
      </w:r>
      <w:r w:rsidRPr="002A6F4E">
        <w:rPr>
          <w:rFonts w:ascii="Arial" w:hAnsi="Arial" w:cs="Arial"/>
          <w:lang w:val="sq-AL"/>
        </w:rPr>
        <w:t xml:space="preserve"> odgovorne su za razvoj i sprovođenje politike upravljanja otpadom na lokalnom nivou kroz: donošenje planova upravljanja otpadom na svojoj teritoriji; pridruživanje međuopštinskim programima koji uključuju dvije ili više opština; procjenu proizvodnje otpada; unapređenje ili izgradnju kapaciteta komunalnih preduzeća; </w:t>
      </w:r>
      <w:r w:rsidRPr="0058517C">
        <w:rPr>
          <w:rFonts w:ascii="Arial" w:hAnsi="Arial" w:cs="Arial"/>
          <w:lang w:val="sq-AL"/>
        </w:rPr>
        <w:t>regulisanje rada privatnih preduzetnika u oblasti prikupljanja, transporta i odlaganja otpada</w:t>
      </w:r>
      <w:r w:rsidRPr="002A6F4E">
        <w:rPr>
          <w:rFonts w:ascii="Arial" w:hAnsi="Arial" w:cs="Arial"/>
          <w:lang w:val="sq-AL"/>
        </w:rPr>
        <w:t xml:space="preserve">; izdavanje građevinske dozvole za postavljanje postrojenja za upravljanje otpadom; poboljšanje sistema licenciranja. </w:t>
      </w:r>
      <w:r w:rsidRPr="0058517C">
        <w:rPr>
          <w:rFonts w:ascii="Arial" w:hAnsi="Arial" w:cs="Arial"/>
          <w:lang w:val="sq-AL"/>
        </w:rPr>
        <w:t xml:space="preserve">Prema postojećim zakonskim rješenjima, lokalne samouprave nijesu u obavezi da vrše monitoring, ali ako to rade dužne su da podatke o monitoringu dostave Agenciji </w:t>
      </w:r>
      <w:r w:rsidRPr="0058517C">
        <w:rPr>
          <w:rFonts w:ascii="Arial" w:hAnsi="Arial" w:cs="Arial"/>
          <w:lang w:val="sq-AL"/>
        </w:rPr>
        <w:lastRenderedPageBreak/>
        <w:t>za zaštitu životne sredinu.</w:t>
      </w:r>
      <w:r w:rsidRPr="002A6F4E">
        <w:rPr>
          <w:rFonts w:ascii="Arial" w:hAnsi="Arial" w:cs="Arial"/>
          <w:lang w:val="sq-AL"/>
        </w:rPr>
        <w:t xml:space="preserve"> Lokalne samouprave su uključene u pripremu zakonskih rješenja u ovoj oblasti. </w:t>
      </w:r>
      <w:r w:rsidRPr="0058517C">
        <w:rPr>
          <w:rFonts w:ascii="Arial" w:hAnsi="Arial" w:cs="Arial"/>
          <w:lang w:val="sq-AL"/>
        </w:rPr>
        <w:t>Takođe, Direktorat za</w:t>
      </w:r>
      <w:r w:rsidR="0012238F" w:rsidRPr="0058517C">
        <w:rPr>
          <w:rFonts w:ascii="Arial" w:hAnsi="Arial" w:cs="Arial"/>
          <w:lang w:val="sq-AL"/>
        </w:rPr>
        <w:t xml:space="preserve"> ekologiju</w:t>
      </w:r>
      <w:r w:rsidRPr="0058517C">
        <w:rPr>
          <w:rFonts w:ascii="Arial" w:hAnsi="Arial" w:cs="Arial"/>
          <w:lang w:val="sq-AL"/>
        </w:rPr>
        <w:t xml:space="preserve"> aktivno sarađuje sa lokalnim samoupravama u izboru tehnologija u ovoj oblasti.</w:t>
      </w:r>
    </w:p>
    <w:p w14:paraId="05430AF2" w14:textId="63F77052" w:rsidR="00C232D7" w:rsidRPr="002A6F4E" w:rsidRDefault="0012238F" w:rsidP="00C232D7">
      <w:pPr>
        <w:widowControl w:val="0"/>
        <w:spacing w:before="120" w:after="120" w:line="360" w:lineRule="auto"/>
        <w:rPr>
          <w:rFonts w:ascii="Arial" w:hAnsi="Arial" w:cs="Arial"/>
          <w:lang w:val="sq-AL"/>
        </w:rPr>
      </w:pPr>
      <w:r>
        <w:rPr>
          <w:rFonts w:ascii="Arial" w:hAnsi="Arial" w:cs="Arial"/>
          <w:i/>
          <w:u w:val="single"/>
          <w:lang w:val="sq-AL"/>
        </w:rPr>
        <w:t>K</w:t>
      </w:r>
      <w:r w:rsidR="00C232D7" w:rsidRPr="002A6F4E">
        <w:rPr>
          <w:rFonts w:ascii="Arial" w:hAnsi="Arial" w:cs="Arial"/>
          <w:i/>
          <w:u w:val="single"/>
          <w:lang w:val="sq-AL"/>
        </w:rPr>
        <w:t>omunalna preduzeća (KP)</w:t>
      </w:r>
      <w:r w:rsidR="00C232D7" w:rsidRPr="002A6F4E">
        <w:rPr>
          <w:rFonts w:ascii="Arial" w:hAnsi="Arial" w:cs="Arial"/>
          <w:lang w:val="sq-AL"/>
        </w:rPr>
        <w:t xml:space="preserve"> izvršavaju propise koje donosi država, obezbjeđuju finansijske uslove za obavljanje svoje djelatnosti, donose kratkoročne i dugoročne programe rada i obezbjeđuju dio sredstava za njihovu realizaciju, </w:t>
      </w:r>
      <w:r w:rsidR="00C232D7" w:rsidRPr="0058517C">
        <w:rPr>
          <w:rFonts w:ascii="Arial" w:hAnsi="Arial" w:cs="Arial"/>
          <w:lang w:val="sq-AL"/>
        </w:rPr>
        <w:t>a utvrđuju i cijene komunalnih usluga</w:t>
      </w:r>
      <w:r w:rsidR="00C232D7" w:rsidRPr="002A6F4E">
        <w:rPr>
          <w:rFonts w:ascii="Arial" w:hAnsi="Arial" w:cs="Arial"/>
          <w:lang w:val="sq-AL"/>
        </w:rPr>
        <w:t>.</w:t>
      </w:r>
    </w:p>
    <w:p w14:paraId="78078D06" w14:textId="77777777"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i/>
          <w:u w:val="single"/>
          <w:lang w:val="sq-AL"/>
        </w:rPr>
        <w:t>Komunalna inspekcija</w:t>
      </w:r>
      <w:r w:rsidRPr="002A6F4E">
        <w:rPr>
          <w:rFonts w:ascii="Arial" w:hAnsi="Arial" w:cs="Arial"/>
          <w:lang w:val="sq-AL"/>
        </w:rPr>
        <w:t xml:space="preserve"> vrši nadzor nad primjenom zakona i propisa, kontroliše stanje komunalnih objekata i obavlja druge poslove propisane zakonima ili aktima lokalne samouprave.</w:t>
      </w:r>
    </w:p>
    <w:p w14:paraId="54BA1856" w14:textId="73944BB4" w:rsidR="00C232D7" w:rsidRPr="008C4B6C" w:rsidRDefault="00C232D7" w:rsidP="00C232D7">
      <w:pPr>
        <w:widowControl w:val="0"/>
        <w:spacing w:before="120" w:after="120" w:line="360" w:lineRule="auto"/>
        <w:rPr>
          <w:rFonts w:ascii="Arial" w:hAnsi="Arial" w:cs="Arial"/>
          <w:lang w:val="sq-AL"/>
        </w:rPr>
      </w:pPr>
      <w:r w:rsidRPr="008C4B6C">
        <w:rPr>
          <w:rFonts w:ascii="Arial" w:hAnsi="Arial" w:cs="Arial"/>
          <w:i/>
          <w:u w:val="single"/>
          <w:lang w:val="sq-AL"/>
        </w:rPr>
        <w:t>Međuopštinska preduzeća za upravljanje otpadom</w:t>
      </w:r>
      <w:r w:rsidRPr="008C4B6C">
        <w:rPr>
          <w:rFonts w:ascii="Arial" w:hAnsi="Arial" w:cs="Arial"/>
          <w:lang w:val="sq-AL"/>
        </w:rPr>
        <w:t>, koja su osnovana u cilju efikasnijeg upravljanja otpadom, a u skladu sa preporukama iz Strateškog master plana upravljanja otpadom</w:t>
      </w:r>
      <w:r w:rsidR="0012238F">
        <w:rPr>
          <w:rFonts w:ascii="Arial" w:hAnsi="Arial" w:cs="Arial"/>
          <w:lang w:val="sq-AL"/>
        </w:rPr>
        <w:t xml:space="preserve"> (2005. godine)</w:t>
      </w:r>
      <w:r w:rsidRPr="008C4B6C">
        <w:rPr>
          <w:rFonts w:ascii="Arial" w:hAnsi="Arial" w:cs="Arial"/>
          <w:lang w:val="sq-AL"/>
        </w:rPr>
        <w:t>. Do sada su osnovana sljedeća međuopštinska preduzeća:</w:t>
      </w:r>
    </w:p>
    <w:p w14:paraId="02449082" w14:textId="02502AA9" w:rsidR="00C232D7" w:rsidRPr="008C4B6C" w:rsidRDefault="00C232D7" w:rsidP="00A23ED0">
      <w:pPr>
        <w:pStyle w:val="ListParagraph"/>
        <w:numPr>
          <w:ilvl w:val="0"/>
          <w:numId w:val="14"/>
        </w:numPr>
        <w:spacing w:before="120" w:after="120" w:line="360" w:lineRule="auto"/>
        <w:contextualSpacing w:val="0"/>
        <w:rPr>
          <w:rFonts w:ascii="Arial" w:hAnsi="Arial" w:cs="Arial"/>
          <w:iCs/>
          <w:lang w:val="sq-AL"/>
        </w:rPr>
      </w:pPr>
      <w:r w:rsidRPr="008C4B6C">
        <w:rPr>
          <w:rFonts w:ascii="Arial" w:hAnsi="Arial" w:cs="Arial"/>
          <w:iCs/>
          <w:lang w:val="sq-AL"/>
        </w:rPr>
        <w:t xml:space="preserve">Jedinice lokalne samouprave Budva, Kotor i Tivat osnovale su </w:t>
      </w:r>
      <w:r w:rsidR="00732B7D">
        <w:rPr>
          <w:rFonts w:ascii="Arial" w:hAnsi="Arial" w:cs="Arial"/>
          <w:lang w:val="sq-AL"/>
        </w:rPr>
        <w:t>privredno društvo</w:t>
      </w:r>
      <w:r w:rsidR="00732B7D" w:rsidRPr="002A6F4E">
        <w:rPr>
          <w:rFonts w:ascii="Arial" w:hAnsi="Arial" w:cs="Arial"/>
          <w:lang w:val="sq-AL"/>
        </w:rPr>
        <w:t xml:space="preserve"> </w:t>
      </w:r>
      <w:r w:rsidRPr="008C4B6C">
        <w:rPr>
          <w:rFonts w:ascii="Arial" w:hAnsi="Arial" w:cs="Arial"/>
          <w:iCs/>
          <w:lang w:val="sq-AL"/>
        </w:rPr>
        <w:t>„Lovanja“ d.o.o., kojoj su povjereni radovi na izgradnji, a nakon toga i održavanju i upravljanju zajedničkom deponijom za ove tri opštine. Deponija Lovanja je zatvorena.</w:t>
      </w:r>
    </w:p>
    <w:p w14:paraId="1B6888F8" w14:textId="425CFBB9" w:rsidR="00C232D7" w:rsidRPr="008C4B6C" w:rsidRDefault="00C232D7" w:rsidP="00A23ED0">
      <w:pPr>
        <w:pStyle w:val="ListParagraph"/>
        <w:numPr>
          <w:ilvl w:val="0"/>
          <w:numId w:val="14"/>
        </w:numPr>
        <w:spacing w:before="120" w:after="120" w:line="360" w:lineRule="auto"/>
        <w:contextualSpacing w:val="0"/>
        <w:rPr>
          <w:rFonts w:ascii="Arial" w:hAnsi="Arial" w:cs="Arial"/>
          <w:iCs/>
          <w:lang w:val="sq-AL"/>
        </w:rPr>
      </w:pPr>
      <w:r w:rsidRPr="008C4B6C">
        <w:rPr>
          <w:rFonts w:ascii="Arial" w:hAnsi="Arial" w:cs="Arial"/>
          <w:iCs/>
          <w:lang w:val="sq-AL"/>
        </w:rPr>
        <w:t xml:space="preserve">Jedinice lokalne samouprave Bar i Ulcinj osnovale su međuopštinsko </w:t>
      </w:r>
      <w:r w:rsidR="00732B7D">
        <w:rPr>
          <w:rFonts w:ascii="Arial" w:hAnsi="Arial" w:cs="Arial"/>
          <w:lang w:val="sq-AL"/>
        </w:rPr>
        <w:t>privredno društvo</w:t>
      </w:r>
      <w:r w:rsidR="00732B7D" w:rsidRPr="002A6F4E">
        <w:rPr>
          <w:rFonts w:ascii="Arial" w:hAnsi="Arial" w:cs="Arial"/>
          <w:lang w:val="sq-AL"/>
        </w:rPr>
        <w:t xml:space="preserve"> </w:t>
      </w:r>
      <w:r w:rsidRPr="008C4B6C">
        <w:rPr>
          <w:rFonts w:ascii="Arial" w:hAnsi="Arial" w:cs="Arial"/>
          <w:iCs/>
          <w:lang w:val="sq-AL"/>
        </w:rPr>
        <w:t>„Možura“ d.o.o. koje upravlja sanitarnom deponijom Možura u Baru.</w:t>
      </w:r>
    </w:p>
    <w:p w14:paraId="1065AE3B" w14:textId="64B1960E" w:rsidR="00C232D7" w:rsidRPr="008C4B6C" w:rsidRDefault="00C232D7" w:rsidP="00A23ED0">
      <w:pPr>
        <w:pStyle w:val="ListParagraph"/>
        <w:numPr>
          <w:ilvl w:val="0"/>
          <w:numId w:val="14"/>
        </w:numPr>
        <w:spacing w:before="120" w:after="120" w:line="360" w:lineRule="auto"/>
        <w:contextualSpacing w:val="0"/>
        <w:rPr>
          <w:rFonts w:ascii="Arial" w:hAnsi="Arial" w:cs="Arial"/>
          <w:iCs/>
          <w:lang w:val="sq-AL"/>
        </w:rPr>
      </w:pPr>
      <w:r w:rsidRPr="008C4B6C">
        <w:rPr>
          <w:rFonts w:ascii="Arial" w:hAnsi="Arial" w:cs="Arial"/>
          <w:iCs/>
          <w:lang w:val="sq-AL"/>
        </w:rPr>
        <w:t xml:space="preserve">Jedinica lokalne samouprave Podgorica osnovala je sopstveno </w:t>
      </w:r>
      <w:r w:rsidR="00732B7D">
        <w:rPr>
          <w:rFonts w:ascii="Arial" w:hAnsi="Arial" w:cs="Arial"/>
          <w:lang w:val="sq-AL"/>
        </w:rPr>
        <w:t>privredno društvo</w:t>
      </w:r>
      <w:r w:rsidR="00732B7D" w:rsidRPr="002A6F4E">
        <w:rPr>
          <w:rFonts w:ascii="Arial" w:hAnsi="Arial" w:cs="Arial"/>
          <w:lang w:val="sq-AL"/>
        </w:rPr>
        <w:t xml:space="preserve"> </w:t>
      </w:r>
      <w:r w:rsidRPr="008C4B6C">
        <w:rPr>
          <w:rFonts w:ascii="Arial" w:hAnsi="Arial" w:cs="Arial"/>
          <w:iCs/>
          <w:lang w:val="sq-AL"/>
        </w:rPr>
        <w:t xml:space="preserve">„Deponija“ d.o.o. koje upravlja deponijom na lokaciji „Livade“ i ima zaključene ugovore o uslovima prerade otpada </w:t>
      </w:r>
      <w:r w:rsidR="006665A0">
        <w:rPr>
          <w:rFonts w:ascii="Arial" w:hAnsi="Arial" w:cs="Arial"/>
          <w:iCs/>
          <w:lang w:val="sq-AL"/>
        </w:rPr>
        <w:t>sa</w:t>
      </w:r>
      <w:r w:rsidRPr="008C4B6C">
        <w:rPr>
          <w:rFonts w:ascii="Arial" w:hAnsi="Arial" w:cs="Arial"/>
          <w:iCs/>
          <w:lang w:val="sq-AL"/>
        </w:rPr>
        <w:t xml:space="preserve">kupljenog sa </w:t>
      </w:r>
      <w:r w:rsidR="006665A0">
        <w:rPr>
          <w:rFonts w:ascii="Arial" w:hAnsi="Arial" w:cs="Arial"/>
          <w:iCs/>
          <w:lang w:val="sq-AL"/>
        </w:rPr>
        <w:t>teritorija</w:t>
      </w:r>
      <w:r w:rsidR="006665A0" w:rsidRPr="008C4B6C">
        <w:rPr>
          <w:rFonts w:ascii="Arial" w:hAnsi="Arial" w:cs="Arial"/>
          <w:iCs/>
          <w:lang w:val="sq-AL"/>
        </w:rPr>
        <w:t xml:space="preserve"> </w:t>
      </w:r>
      <w:r w:rsidRPr="008C4B6C">
        <w:rPr>
          <w:rFonts w:ascii="Arial" w:hAnsi="Arial" w:cs="Arial"/>
          <w:iCs/>
          <w:lang w:val="sq-AL"/>
        </w:rPr>
        <w:t>opštine Danilovgrad i Prijestonice Cetinje.</w:t>
      </w:r>
    </w:p>
    <w:p w14:paraId="27D9B932" w14:textId="77777777" w:rsidR="00C232D7" w:rsidRDefault="00C232D7" w:rsidP="00C232D7">
      <w:pPr>
        <w:spacing w:before="120" w:after="120" w:line="360" w:lineRule="auto"/>
        <w:rPr>
          <w:rFonts w:ascii="Arial" w:hAnsi="Arial" w:cs="Arial"/>
          <w:lang w:val="sq-AL"/>
        </w:rPr>
      </w:pPr>
      <w:r w:rsidRPr="00E650B1">
        <w:rPr>
          <w:rFonts w:ascii="Arial" w:hAnsi="Arial" w:cs="Arial"/>
          <w:lang w:val="sq-AL"/>
        </w:rPr>
        <w:t>U sljedećoj tabeli su predstavljene institucije koje su uglavnom odgovorne za upravljanje otpadom u Crnoj Gori.</w:t>
      </w:r>
    </w:p>
    <w:p w14:paraId="4E01B29B" w14:textId="77777777" w:rsidR="00D77518" w:rsidRDefault="00D77518" w:rsidP="00C232D7">
      <w:pPr>
        <w:spacing w:before="120" w:after="120" w:line="360" w:lineRule="auto"/>
        <w:rPr>
          <w:rFonts w:ascii="Arial" w:hAnsi="Arial" w:cs="Arial"/>
          <w:lang w:val="sq-AL"/>
        </w:rPr>
      </w:pPr>
    </w:p>
    <w:p w14:paraId="322DBC80" w14:textId="77777777" w:rsidR="00D77518" w:rsidRDefault="00D77518" w:rsidP="00C232D7">
      <w:pPr>
        <w:spacing w:before="120" w:after="120" w:line="360" w:lineRule="auto"/>
        <w:rPr>
          <w:rFonts w:ascii="Arial" w:hAnsi="Arial" w:cs="Arial"/>
          <w:lang w:val="sq-AL"/>
        </w:rPr>
      </w:pPr>
    </w:p>
    <w:p w14:paraId="4662BDE2" w14:textId="77777777" w:rsidR="00D77518" w:rsidRDefault="00D77518" w:rsidP="00C232D7">
      <w:pPr>
        <w:spacing w:before="120" w:after="120" w:line="360" w:lineRule="auto"/>
        <w:rPr>
          <w:rFonts w:ascii="Arial" w:hAnsi="Arial" w:cs="Arial"/>
          <w:lang w:val="sq-AL"/>
        </w:rPr>
      </w:pPr>
    </w:p>
    <w:p w14:paraId="3ABEF68F" w14:textId="77777777" w:rsidR="00D77518" w:rsidRDefault="00D77518" w:rsidP="00C232D7">
      <w:pPr>
        <w:spacing w:before="120" w:after="120" w:line="360" w:lineRule="auto"/>
        <w:rPr>
          <w:rFonts w:ascii="Arial" w:hAnsi="Arial" w:cs="Arial"/>
          <w:lang w:val="sq-AL"/>
        </w:rPr>
      </w:pPr>
    </w:p>
    <w:p w14:paraId="00992AC7" w14:textId="77777777" w:rsidR="00D77518" w:rsidRDefault="00D77518" w:rsidP="00C232D7">
      <w:pPr>
        <w:spacing w:before="120" w:after="120" w:line="360" w:lineRule="auto"/>
        <w:rPr>
          <w:rFonts w:ascii="Arial" w:hAnsi="Arial" w:cs="Arial"/>
          <w:lang w:val="sq-AL"/>
        </w:rPr>
      </w:pPr>
    </w:p>
    <w:p w14:paraId="003F577C" w14:textId="77777777" w:rsidR="00D77518" w:rsidRDefault="00D77518" w:rsidP="00C232D7">
      <w:pPr>
        <w:spacing w:before="120" w:after="120" w:line="360" w:lineRule="auto"/>
        <w:rPr>
          <w:rFonts w:ascii="Arial" w:hAnsi="Arial" w:cs="Arial"/>
          <w:lang w:val="sq-AL"/>
        </w:rPr>
      </w:pPr>
    </w:p>
    <w:p w14:paraId="3457C434" w14:textId="77777777" w:rsidR="00D77518" w:rsidRDefault="00D77518" w:rsidP="00C232D7">
      <w:pPr>
        <w:spacing w:before="120" w:after="120" w:line="360" w:lineRule="auto"/>
        <w:rPr>
          <w:rFonts w:ascii="Arial" w:hAnsi="Arial" w:cs="Arial"/>
          <w:lang w:val="sq-AL"/>
        </w:rPr>
      </w:pPr>
    </w:p>
    <w:p w14:paraId="72D9BFC7" w14:textId="77777777" w:rsidR="00D77518" w:rsidRDefault="00D77518" w:rsidP="00C232D7">
      <w:pPr>
        <w:spacing w:before="120" w:after="120" w:line="360" w:lineRule="auto"/>
        <w:rPr>
          <w:rFonts w:ascii="Arial" w:hAnsi="Arial" w:cs="Arial"/>
          <w:lang w:val="sq-AL"/>
        </w:rPr>
      </w:pPr>
    </w:p>
    <w:p w14:paraId="102228C2" w14:textId="77777777" w:rsidR="00D77518" w:rsidRDefault="00D77518" w:rsidP="00C232D7">
      <w:pPr>
        <w:spacing w:before="120" w:after="120" w:line="360" w:lineRule="auto"/>
        <w:rPr>
          <w:rFonts w:ascii="Arial" w:hAnsi="Arial" w:cs="Arial"/>
          <w:lang w:val="sq-AL"/>
        </w:rPr>
      </w:pPr>
    </w:p>
    <w:p w14:paraId="1EFCC28C" w14:textId="77777777" w:rsidR="00D77518" w:rsidRDefault="00D77518" w:rsidP="00C232D7">
      <w:pPr>
        <w:spacing w:before="120" w:after="120" w:line="360" w:lineRule="auto"/>
        <w:rPr>
          <w:rFonts w:ascii="Arial" w:hAnsi="Arial" w:cs="Arial"/>
          <w:lang w:val="sq-AL"/>
        </w:rPr>
      </w:pPr>
    </w:p>
    <w:p w14:paraId="7816B2D4" w14:textId="77777777" w:rsidR="00D77518" w:rsidRDefault="00D77518" w:rsidP="00C232D7">
      <w:pPr>
        <w:spacing w:before="120" w:after="120" w:line="360" w:lineRule="auto"/>
        <w:rPr>
          <w:rFonts w:ascii="Arial" w:hAnsi="Arial" w:cs="Arial"/>
          <w:lang w:val="sq-AL"/>
        </w:rPr>
      </w:pPr>
    </w:p>
    <w:p w14:paraId="0CF990C6" w14:textId="77777777" w:rsidR="00D77518" w:rsidRPr="00E650B1" w:rsidRDefault="00D77518" w:rsidP="00C232D7">
      <w:pPr>
        <w:spacing w:before="120" w:after="120" w:line="360" w:lineRule="auto"/>
        <w:rPr>
          <w:rFonts w:ascii="Arial" w:hAnsi="Arial" w:cs="Arial"/>
          <w:iCs/>
          <w:lang w:val="sq-AL"/>
        </w:rPr>
      </w:pPr>
    </w:p>
    <w:p w14:paraId="66A269A3" w14:textId="7C4126D3" w:rsidR="00C232D7" w:rsidRPr="00E650B1" w:rsidRDefault="00C232D7" w:rsidP="00C232D7">
      <w:pPr>
        <w:pStyle w:val="Caption"/>
        <w:rPr>
          <w:rFonts w:ascii="Arial" w:hAnsi="Arial" w:cs="Arial"/>
          <w:b w:val="0"/>
          <w:szCs w:val="20"/>
          <w:lang w:val="sq-AL"/>
        </w:rPr>
      </w:pPr>
      <w:bookmarkStart w:id="687" w:name="_Toc189515596"/>
      <w:bookmarkStart w:id="688" w:name="_Toc190160693"/>
      <w:r w:rsidRPr="00E650B1">
        <w:rPr>
          <w:rFonts w:ascii="Arial" w:hAnsi="Arial" w:cs="Arial"/>
          <w:b w:val="0"/>
          <w:szCs w:val="20"/>
          <w:lang w:val="sq-AL"/>
        </w:rPr>
        <w:lastRenderedPageBreak/>
        <w:t xml:space="preserve">Tabela </w:t>
      </w:r>
      <w:r w:rsidRPr="00E650B1">
        <w:rPr>
          <w:rFonts w:ascii="Arial" w:hAnsi="Arial" w:cs="Arial"/>
          <w:b w:val="0"/>
          <w:szCs w:val="20"/>
        </w:rPr>
        <w:fldChar w:fldCharType="begin"/>
      </w:r>
      <w:r w:rsidRPr="00E650B1">
        <w:rPr>
          <w:rFonts w:ascii="Arial" w:hAnsi="Arial" w:cs="Arial"/>
          <w:b w:val="0"/>
          <w:szCs w:val="20"/>
          <w:lang w:val="sq-AL"/>
        </w:rPr>
        <w:instrText xml:space="preserve"> SEQ Tabela \* ARABIC </w:instrText>
      </w:r>
      <w:r w:rsidRPr="00E650B1">
        <w:rPr>
          <w:rFonts w:ascii="Arial" w:hAnsi="Arial" w:cs="Arial"/>
          <w:b w:val="0"/>
          <w:szCs w:val="20"/>
        </w:rPr>
        <w:fldChar w:fldCharType="separate"/>
      </w:r>
      <w:r w:rsidR="007274DA">
        <w:rPr>
          <w:rFonts w:ascii="Arial" w:hAnsi="Arial" w:cs="Arial"/>
          <w:b w:val="0"/>
          <w:noProof/>
          <w:szCs w:val="20"/>
          <w:lang w:val="sq-AL"/>
        </w:rPr>
        <w:t>3</w:t>
      </w:r>
      <w:r w:rsidRPr="00E650B1">
        <w:rPr>
          <w:rFonts w:ascii="Arial" w:hAnsi="Arial" w:cs="Arial"/>
          <w:b w:val="0"/>
          <w:szCs w:val="20"/>
        </w:rPr>
        <w:fldChar w:fldCharType="end"/>
      </w:r>
      <w:r w:rsidRPr="00E650B1">
        <w:rPr>
          <w:rFonts w:ascii="Arial" w:hAnsi="Arial" w:cs="Arial"/>
          <w:b w:val="0"/>
          <w:szCs w:val="20"/>
          <w:lang w:val="sq-AL"/>
        </w:rPr>
        <w:t xml:space="preserve"> Glavne institucije odgovorne za upravljanje otpadom u Crnoj Gori</w:t>
      </w:r>
      <w:bookmarkEnd w:id="687"/>
      <w:bookmarkEnd w:id="688"/>
    </w:p>
    <w:tbl>
      <w:tblPr>
        <w:tblW w:w="9567" w:type="dxa"/>
        <w:jc w:val="center"/>
        <w:tblLayout w:type="fixed"/>
        <w:tblCellMar>
          <w:left w:w="40" w:type="dxa"/>
          <w:right w:w="40" w:type="dxa"/>
        </w:tblCellMar>
        <w:tblLook w:val="04A0" w:firstRow="1" w:lastRow="0" w:firstColumn="1" w:lastColumn="0" w:noHBand="0" w:noVBand="1"/>
      </w:tblPr>
      <w:tblGrid>
        <w:gridCol w:w="2786"/>
        <w:gridCol w:w="6781"/>
      </w:tblGrid>
      <w:tr w:rsidR="00C232D7" w:rsidRPr="006665A0" w14:paraId="04A1E4FE" w14:textId="77777777" w:rsidTr="00C232D7">
        <w:trPr>
          <w:tblHeader/>
          <w:jc w:val="center"/>
        </w:trPr>
        <w:tc>
          <w:tcPr>
            <w:tcW w:w="2786" w:type="dxa"/>
            <w:tcBorders>
              <w:top w:val="single" w:sz="6" w:space="0" w:color="auto"/>
              <w:left w:val="single" w:sz="6" w:space="0" w:color="auto"/>
              <w:bottom w:val="single" w:sz="6" w:space="0" w:color="auto"/>
              <w:right w:val="single" w:sz="6" w:space="0" w:color="auto"/>
            </w:tcBorders>
            <w:shd w:val="clear" w:color="auto" w:fill="BFBFBF"/>
          </w:tcPr>
          <w:p w14:paraId="7FBB6E13" w14:textId="77777777" w:rsidR="00C232D7" w:rsidRPr="00D77518" w:rsidRDefault="00C232D7" w:rsidP="00C232D7">
            <w:pPr>
              <w:spacing w:before="40" w:after="40" w:line="360" w:lineRule="auto"/>
              <w:ind w:right="45"/>
              <w:rPr>
                <w:rFonts w:ascii="Arial" w:eastAsia="Times New Roman" w:hAnsi="Arial" w:cs="Arial"/>
                <w:b/>
                <w:bCs/>
                <w:sz w:val="18"/>
                <w:lang w:val="sq-AL"/>
              </w:rPr>
            </w:pPr>
            <w:r w:rsidRPr="00D77518">
              <w:rPr>
                <w:rFonts w:ascii="Arial" w:eastAsia="Times New Roman" w:hAnsi="Arial" w:cs="Arial"/>
                <w:b/>
                <w:bCs/>
                <w:sz w:val="18"/>
                <w:lang w:val="sq-AL"/>
              </w:rPr>
              <w:t>Institucija</w:t>
            </w:r>
          </w:p>
        </w:tc>
        <w:tc>
          <w:tcPr>
            <w:tcW w:w="6781" w:type="dxa"/>
            <w:tcBorders>
              <w:top w:val="single" w:sz="6" w:space="0" w:color="auto"/>
              <w:left w:val="single" w:sz="6" w:space="0" w:color="auto"/>
              <w:bottom w:val="single" w:sz="6" w:space="0" w:color="auto"/>
              <w:right w:val="single" w:sz="6" w:space="0" w:color="auto"/>
            </w:tcBorders>
            <w:shd w:val="clear" w:color="auto" w:fill="BFBFBF"/>
          </w:tcPr>
          <w:p w14:paraId="547AC344" w14:textId="77777777" w:rsidR="00C232D7" w:rsidRPr="00D77518" w:rsidRDefault="00C232D7" w:rsidP="00C232D7">
            <w:pPr>
              <w:spacing w:before="40" w:after="40" w:line="360" w:lineRule="auto"/>
              <w:ind w:right="45"/>
              <w:rPr>
                <w:rFonts w:ascii="Arial" w:eastAsia="Times New Roman" w:hAnsi="Arial" w:cs="Arial"/>
                <w:b/>
                <w:bCs/>
                <w:sz w:val="18"/>
                <w:lang w:val="sq-AL"/>
              </w:rPr>
            </w:pPr>
            <w:r w:rsidRPr="00D77518">
              <w:rPr>
                <w:rFonts w:ascii="Arial" w:eastAsia="Times New Roman" w:hAnsi="Arial" w:cs="Arial"/>
                <w:b/>
                <w:bCs/>
                <w:sz w:val="18"/>
                <w:lang w:val="sq-AL"/>
              </w:rPr>
              <w:t>Nadležnosti</w:t>
            </w:r>
          </w:p>
        </w:tc>
      </w:tr>
      <w:tr w:rsidR="00C232D7" w:rsidRPr="006665A0" w14:paraId="62887242" w14:textId="77777777" w:rsidTr="00C232D7">
        <w:trPr>
          <w:jc w:val="center"/>
        </w:trPr>
        <w:tc>
          <w:tcPr>
            <w:tcW w:w="2786" w:type="dxa"/>
            <w:tcBorders>
              <w:top w:val="single" w:sz="6" w:space="0" w:color="auto"/>
              <w:left w:val="single" w:sz="6" w:space="0" w:color="auto"/>
              <w:bottom w:val="single" w:sz="6" w:space="0" w:color="auto"/>
              <w:right w:val="single" w:sz="6" w:space="0" w:color="auto"/>
            </w:tcBorders>
          </w:tcPr>
          <w:p w14:paraId="51DA9D38" w14:textId="77777777" w:rsidR="00C232D7" w:rsidRPr="00D77518" w:rsidRDefault="00C232D7" w:rsidP="00C232D7">
            <w:pPr>
              <w:spacing w:before="40" w:after="40" w:line="360" w:lineRule="auto"/>
              <w:ind w:right="43"/>
              <w:rPr>
                <w:rFonts w:ascii="Arial" w:eastAsia="Times New Roman" w:hAnsi="Arial" w:cs="Arial"/>
                <w:sz w:val="18"/>
                <w:lang w:val="sq-AL"/>
              </w:rPr>
            </w:pPr>
            <w:r w:rsidRPr="00D77518">
              <w:rPr>
                <w:rFonts w:ascii="Arial" w:eastAsia="Times New Roman" w:hAnsi="Arial" w:cs="Arial"/>
                <w:sz w:val="18"/>
                <w:lang w:val="sr-Latn-ME"/>
              </w:rPr>
              <w:t>Ministarstvo ekologije, održivog razvoja i razvoja sjevera (</w:t>
            </w:r>
            <w:r w:rsidRPr="00D77518">
              <w:rPr>
                <w:rFonts w:ascii="Arial" w:hAnsi="Arial" w:cs="Arial"/>
                <w:sz w:val="18"/>
                <w:lang w:val="sq-AL"/>
              </w:rPr>
              <w:t>MERS</w:t>
            </w:r>
            <w:r w:rsidRPr="00D77518">
              <w:rPr>
                <w:rFonts w:ascii="Arial" w:eastAsia="Times New Roman" w:hAnsi="Arial" w:cs="Arial"/>
                <w:sz w:val="18"/>
                <w:lang w:val="sq-AL"/>
              </w:rPr>
              <w:t xml:space="preserve">) </w:t>
            </w:r>
          </w:p>
          <w:p w14:paraId="4ACE48FB" w14:textId="77777777" w:rsidR="00C232D7" w:rsidRPr="00D77518" w:rsidRDefault="00C232D7" w:rsidP="00C232D7">
            <w:pPr>
              <w:spacing w:before="40" w:after="40" w:line="360" w:lineRule="auto"/>
              <w:ind w:right="43"/>
              <w:rPr>
                <w:rFonts w:ascii="Arial" w:eastAsia="Times New Roman" w:hAnsi="Arial" w:cs="Arial"/>
                <w:sz w:val="18"/>
                <w:lang w:val="sq-AL"/>
              </w:rPr>
            </w:pPr>
            <w:r w:rsidRPr="00D77518">
              <w:rPr>
                <w:rFonts w:ascii="Arial" w:eastAsia="Times New Roman" w:hAnsi="Arial" w:cs="Arial"/>
                <w:sz w:val="18"/>
                <w:lang w:val="sq-AL"/>
              </w:rPr>
              <w:t xml:space="preserve">&amp; </w:t>
            </w:r>
          </w:p>
          <w:p w14:paraId="66D2A4A4" w14:textId="149320E4" w:rsidR="00C232D7" w:rsidRPr="00D77518" w:rsidRDefault="00C232D7" w:rsidP="00C232D7">
            <w:pPr>
              <w:spacing w:before="40" w:after="40" w:line="360" w:lineRule="auto"/>
              <w:ind w:right="43"/>
              <w:rPr>
                <w:rFonts w:ascii="Arial" w:eastAsia="Times New Roman" w:hAnsi="Arial" w:cs="Arial"/>
                <w:sz w:val="18"/>
                <w:lang w:val="sq-AL"/>
              </w:rPr>
            </w:pPr>
            <w:r w:rsidRPr="00D77518">
              <w:rPr>
                <w:rFonts w:ascii="Arial" w:eastAsia="Times New Roman" w:hAnsi="Arial" w:cs="Arial"/>
                <w:sz w:val="18"/>
                <w:lang w:val="sq-AL"/>
              </w:rPr>
              <w:t>Agencija za zaštitu životne sredine (AZŽS)</w:t>
            </w:r>
          </w:p>
        </w:tc>
        <w:tc>
          <w:tcPr>
            <w:tcW w:w="6781" w:type="dxa"/>
            <w:tcBorders>
              <w:top w:val="single" w:sz="6" w:space="0" w:color="auto"/>
              <w:left w:val="single" w:sz="6" w:space="0" w:color="auto"/>
              <w:bottom w:val="single" w:sz="6" w:space="0" w:color="auto"/>
              <w:right w:val="single" w:sz="6" w:space="0" w:color="auto"/>
            </w:tcBorders>
          </w:tcPr>
          <w:p w14:paraId="3A031127"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Uspostavljanje zakona, uredbi, pravilnika, standarda i uputstava o upravljanju otpadom</w:t>
            </w:r>
          </w:p>
          <w:p w14:paraId="22B5DC63" w14:textId="02EAA9D6"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 xml:space="preserve">Izrada Nacionalne strategije i Državnog plana za upravljanje otpadom </w:t>
            </w:r>
          </w:p>
          <w:p w14:paraId="35D485ED"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Odobrenje za EIA i SEA (procjenu uticaja i stratešku procjenu uticaja na životnu sredinu)</w:t>
            </w:r>
          </w:p>
          <w:p w14:paraId="3522A546"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Autorizacija objekata za upravljanje otpadom  i proizvođača otpada</w:t>
            </w:r>
          </w:p>
          <w:p w14:paraId="0D2B2F8C"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Ekološke dozvole</w:t>
            </w:r>
          </w:p>
          <w:p w14:paraId="4CCBBB6A"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Uspostavljanje/sprovođenje programa upravljanja otpadom</w:t>
            </w:r>
          </w:p>
          <w:p w14:paraId="3EE1BC22"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Upravljanje informacijama – Prikupljanje podataka – Procedure za izvještavanje</w:t>
            </w:r>
          </w:p>
          <w:p w14:paraId="74FB2A08" w14:textId="77777777" w:rsidR="00C232D7" w:rsidRPr="00D77518" w:rsidRDefault="00C232D7" w:rsidP="00A23ED0">
            <w:pPr>
              <w:numPr>
                <w:ilvl w:val="0"/>
                <w:numId w:val="21"/>
              </w:numPr>
              <w:spacing w:before="40" w:after="40" w:line="360" w:lineRule="auto"/>
              <w:ind w:right="45"/>
              <w:rPr>
                <w:rFonts w:ascii="Arial" w:eastAsia="Times New Roman" w:hAnsi="Arial" w:cs="Arial"/>
                <w:bCs/>
                <w:sz w:val="18"/>
                <w:lang w:val="sq-AL"/>
              </w:rPr>
            </w:pPr>
            <w:r w:rsidRPr="00D77518">
              <w:rPr>
                <w:rFonts w:ascii="Arial" w:eastAsia="Times New Roman" w:hAnsi="Arial" w:cs="Arial"/>
                <w:sz w:val="18"/>
                <w:lang w:val="sq-AL"/>
              </w:rPr>
              <w:t>Nadzor  i provjera usklađenosti</w:t>
            </w:r>
          </w:p>
        </w:tc>
      </w:tr>
      <w:tr w:rsidR="00C232D7" w:rsidRPr="00552AAE" w14:paraId="255BE756" w14:textId="77777777" w:rsidTr="00C232D7">
        <w:trPr>
          <w:jc w:val="center"/>
        </w:trPr>
        <w:tc>
          <w:tcPr>
            <w:tcW w:w="2786" w:type="dxa"/>
            <w:tcBorders>
              <w:top w:val="single" w:sz="6" w:space="0" w:color="auto"/>
              <w:left w:val="single" w:sz="6" w:space="0" w:color="auto"/>
              <w:bottom w:val="single" w:sz="6" w:space="0" w:color="auto"/>
              <w:right w:val="single" w:sz="6" w:space="0" w:color="auto"/>
            </w:tcBorders>
          </w:tcPr>
          <w:p w14:paraId="279449D6" w14:textId="77777777" w:rsidR="00C232D7" w:rsidRPr="00D77518" w:rsidRDefault="00C232D7" w:rsidP="00C232D7">
            <w:p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Ministarstvo finansija</w:t>
            </w:r>
          </w:p>
        </w:tc>
        <w:tc>
          <w:tcPr>
            <w:tcW w:w="6781" w:type="dxa"/>
            <w:tcBorders>
              <w:top w:val="single" w:sz="6" w:space="0" w:color="auto"/>
              <w:left w:val="single" w:sz="6" w:space="0" w:color="auto"/>
              <w:bottom w:val="single" w:sz="6" w:space="0" w:color="auto"/>
              <w:right w:val="single" w:sz="6" w:space="0" w:color="auto"/>
            </w:tcBorders>
          </w:tcPr>
          <w:p w14:paraId="7EE153E1"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Priprema strateških i operativnih dokumenata za obezbjeđivanje pretpristupnih fondova EU</w:t>
            </w:r>
          </w:p>
        </w:tc>
      </w:tr>
      <w:tr w:rsidR="00C232D7" w:rsidRPr="006665A0" w14:paraId="43715EE8" w14:textId="77777777" w:rsidTr="00C232D7">
        <w:trPr>
          <w:jc w:val="center"/>
        </w:trPr>
        <w:tc>
          <w:tcPr>
            <w:tcW w:w="2786" w:type="dxa"/>
            <w:tcBorders>
              <w:top w:val="single" w:sz="6" w:space="0" w:color="auto"/>
              <w:left w:val="single" w:sz="6" w:space="0" w:color="auto"/>
              <w:bottom w:val="single" w:sz="6" w:space="0" w:color="auto"/>
              <w:right w:val="single" w:sz="6" w:space="0" w:color="auto"/>
            </w:tcBorders>
          </w:tcPr>
          <w:p w14:paraId="51C686D0" w14:textId="77777777" w:rsidR="00C232D7" w:rsidRPr="00D77518" w:rsidRDefault="00C232D7" w:rsidP="00C232D7">
            <w:pPr>
              <w:spacing w:before="40" w:after="40" w:line="360" w:lineRule="auto"/>
              <w:ind w:right="43"/>
              <w:rPr>
                <w:rFonts w:ascii="Arial" w:eastAsia="Times New Roman" w:hAnsi="Arial" w:cs="Arial"/>
                <w:sz w:val="18"/>
                <w:lang w:val="sq-AL"/>
              </w:rPr>
            </w:pPr>
            <w:r w:rsidRPr="00D77518">
              <w:rPr>
                <w:rFonts w:ascii="Arial" w:eastAsia="Times New Roman" w:hAnsi="Arial" w:cs="Arial"/>
                <w:sz w:val="18"/>
                <w:lang w:val="sq-AL"/>
              </w:rPr>
              <w:t>Ministarstvo poljoprivrede, šumarstva i vodoprivrede</w:t>
            </w:r>
          </w:p>
        </w:tc>
        <w:tc>
          <w:tcPr>
            <w:tcW w:w="6781" w:type="dxa"/>
            <w:tcBorders>
              <w:top w:val="single" w:sz="6" w:space="0" w:color="auto"/>
              <w:left w:val="single" w:sz="6" w:space="0" w:color="auto"/>
              <w:bottom w:val="single" w:sz="6" w:space="0" w:color="auto"/>
              <w:right w:val="single" w:sz="6" w:space="0" w:color="auto"/>
            </w:tcBorders>
          </w:tcPr>
          <w:p w14:paraId="482EB8B9" w14:textId="77777777" w:rsidR="00C232D7" w:rsidRPr="00D77518" w:rsidRDefault="00C232D7" w:rsidP="00A23ED0">
            <w:pPr>
              <w:numPr>
                <w:ilvl w:val="0"/>
                <w:numId w:val="21"/>
              </w:numPr>
              <w:spacing w:before="40" w:after="40" w:line="360" w:lineRule="auto"/>
              <w:ind w:right="43"/>
              <w:rPr>
                <w:rFonts w:ascii="Arial" w:eastAsia="Times New Roman" w:hAnsi="Arial" w:cs="Arial"/>
                <w:sz w:val="18"/>
                <w:lang w:val="sq-AL"/>
              </w:rPr>
            </w:pPr>
            <w:r w:rsidRPr="00D77518">
              <w:rPr>
                <w:rFonts w:ascii="Arial" w:eastAsia="Times New Roman" w:hAnsi="Arial" w:cs="Arial"/>
                <w:sz w:val="18"/>
                <w:lang w:val="sq-AL"/>
              </w:rPr>
              <w:t>Kontrola životinjskog i veterinarskog otpada</w:t>
            </w:r>
          </w:p>
        </w:tc>
      </w:tr>
      <w:tr w:rsidR="00C232D7" w:rsidRPr="006665A0" w14:paraId="779EF20F" w14:textId="77777777" w:rsidTr="00C232D7">
        <w:trPr>
          <w:jc w:val="center"/>
        </w:trPr>
        <w:tc>
          <w:tcPr>
            <w:tcW w:w="2786" w:type="dxa"/>
            <w:tcBorders>
              <w:top w:val="single" w:sz="6" w:space="0" w:color="auto"/>
              <w:left w:val="single" w:sz="6" w:space="0" w:color="auto"/>
              <w:bottom w:val="single" w:sz="6" w:space="0" w:color="auto"/>
              <w:right w:val="single" w:sz="6" w:space="0" w:color="auto"/>
            </w:tcBorders>
          </w:tcPr>
          <w:p w14:paraId="6F52D1FB" w14:textId="77777777" w:rsidR="00C232D7" w:rsidRPr="00D77518" w:rsidRDefault="00C232D7" w:rsidP="00C232D7">
            <w:p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 xml:space="preserve">Ministarstvo zdravlja </w:t>
            </w:r>
          </w:p>
        </w:tc>
        <w:tc>
          <w:tcPr>
            <w:tcW w:w="6781" w:type="dxa"/>
            <w:tcBorders>
              <w:top w:val="single" w:sz="6" w:space="0" w:color="auto"/>
              <w:left w:val="single" w:sz="6" w:space="0" w:color="auto"/>
              <w:bottom w:val="single" w:sz="6" w:space="0" w:color="auto"/>
              <w:right w:val="single" w:sz="6" w:space="0" w:color="auto"/>
            </w:tcBorders>
          </w:tcPr>
          <w:p w14:paraId="574E7302"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Upravljanje medicinskim otpadom, sanitarni standardi, sanitarna kontrola i inspekcija</w:t>
            </w:r>
          </w:p>
        </w:tc>
      </w:tr>
      <w:tr w:rsidR="00C232D7" w:rsidRPr="006665A0" w14:paraId="364CB357" w14:textId="77777777" w:rsidTr="00C232D7">
        <w:trPr>
          <w:jc w:val="center"/>
        </w:trPr>
        <w:tc>
          <w:tcPr>
            <w:tcW w:w="2786" w:type="dxa"/>
            <w:tcBorders>
              <w:top w:val="single" w:sz="6" w:space="0" w:color="auto"/>
              <w:left w:val="single" w:sz="6" w:space="0" w:color="auto"/>
              <w:bottom w:val="single" w:sz="6" w:space="0" w:color="auto"/>
              <w:right w:val="single" w:sz="6" w:space="0" w:color="auto"/>
            </w:tcBorders>
          </w:tcPr>
          <w:p w14:paraId="27B91D97" w14:textId="77777777" w:rsidR="00C232D7" w:rsidRPr="00D77518" w:rsidRDefault="00C232D7" w:rsidP="00C232D7">
            <w:p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Ministarstvo unutrašnjih poslova</w:t>
            </w:r>
          </w:p>
        </w:tc>
        <w:tc>
          <w:tcPr>
            <w:tcW w:w="6781" w:type="dxa"/>
            <w:tcBorders>
              <w:top w:val="single" w:sz="6" w:space="0" w:color="auto"/>
              <w:left w:val="single" w:sz="6" w:space="0" w:color="auto"/>
              <w:bottom w:val="single" w:sz="6" w:space="0" w:color="auto"/>
              <w:right w:val="single" w:sz="6" w:space="0" w:color="auto"/>
            </w:tcBorders>
          </w:tcPr>
          <w:p w14:paraId="03B0F251"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Nadzor nad lokalnom samoupravom</w:t>
            </w:r>
          </w:p>
        </w:tc>
      </w:tr>
      <w:tr w:rsidR="00C232D7" w:rsidRPr="00552AAE" w14:paraId="59D1C369" w14:textId="77777777" w:rsidTr="00C232D7">
        <w:trPr>
          <w:jc w:val="center"/>
        </w:trPr>
        <w:tc>
          <w:tcPr>
            <w:tcW w:w="2786" w:type="dxa"/>
            <w:tcBorders>
              <w:top w:val="single" w:sz="6" w:space="0" w:color="auto"/>
              <w:left w:val="single" w:sz="6" w:space="0" w:color="auto"/>
              <w:bottom w:val="single" w:sz="6" w:space="0" w:color="auto"/>
              <w:right w:val="single" w:sz="6" w:space="0" w:color="auto"/>
            </w:tcBorders>
          </w:tcPr>
          <w:p w14:paraId="3788E700" w14:textId="77777777" w:rsidR="00C232D7" w:rsidRPr="00D77518" w:rsidRDefault="00C232D7" w:rsidP="00C232D7">
            <w:p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 xml:space="preserve">Uprava za statistiku (MONSTAT) </w:t>
            </w:r>
          </w:p>
        </w:tc>
        <w:tc>
          <w:tcPr>
            <w:tcW w:w="6781" w:type="dxa"/>
            <w:tcBorders>
              <w:top w:val="single" w:sz="6" w:space="0" w:color="auto"/>
              <w:left w:val="single" w:sz="6" w:space="0" w:color="auto"/>
              <w:bottom w:val="single" w:sz="6" w:space="0" w:color="auto"/>
              <w:right w:val="single" w:sz="6" w:space="0" w:color="auto"/>
            </w:tcBorders>
          </w:tcPr>
          <w:p w14:paraId="1A12AF0A"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Prikupljanje i izvještavanje o podacima o otpadu</w:t>
            </w:r>
          </w:p>
        </w:tc>
      </w:tr>
      <w:tr w:rsidR="00C232D7" w:rsidRPr="00552AAE" w14:paraId="1C64B2DA" w14:textId="77777777" w:rsidTr="00C232D7">
        <w:trPr>
          <w:jc w:val="center"/>
        </w:trPr>
        <w:tc>
          <w:tcPr>
            <w:tcW w:w="2786" w:type="dxa"/>
            <w:tcBorders>
              <w:top w:val="single" w:sz="6" w:space="0" w:color="auto"/>
              <w:left w:val="single" w:sz="6" w:space="0" w:color="auto"/>
              <w:bottom w:val="single" w:sz="6" w:space="0" w:color="auto"/>
              <w:right w:val="single" w:sz="6" w:space="0" w:color="auto"/>
            </w:tcBorders>
          </w:tcPr>
          <w:p w14:paraId="5F42767F" w14:textId="283366B2" w:rsidR="00C232D7" w:rsidRPr="00D77518" w:rsidRDefault="00C232D7" w:rsidP="00C232D7">
            <w:p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de-DE"/>
              </w:rPr>
              <w:t>Fond za zaštitu životne sredine (Eko fond</w:t>
            </w:r>
            <w:r w:rsidR="00344D21" w:rsidRPr="00D77518">
              <w:rPr>
                <w:rFonts w:ascii="Arial" w:eastAsia="Times New Roman" w:hAnsi="Arial" w:cs="Arial"/>
                <w:sz w:val="18"/>
                <w:lang w:val="de-DE"/>
              </w:rPr>
              <w:t>)</w:t>
            </w:r>
          </w:p>
        </w:tc>
        <w:tc>
          <w:tcPr>
            <w:tcW w:w="6781" w:type="dxa"/>
            <w:tcBorders>
              <w:top w:val="single" w:sz="6" w:space="0" w:color="auto"/>
              <w:left w:val="single" w:sz="6" w:space="0" w:color="auto"/>
              <w:bottom w:val="single" w:sz="6" w:space="0" w:color="auto"/>
              <w:right w:val="single" w:sz="6" w:space="0" w:color="auto"/>
            </w:tcBorders>
          </w:tcPr>
          <w:p w14:paraId="13C8E0CC"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Upravljanje sredstvima povezanim, između ostalog, sa projektima upravljanja otpadom</w:t>
            </w:r>
          </w:p>
        </w:tc>
      </w:tr>
      <w:tr w:rsidR="00C232D7" w:rsidRPr="00552AAE" w14:paraId="74247BF8" w14:textId="77777777" w:rsidTr="00C232D7">
        <w:trPr>
          <w:jc w:val="center"/>
        </w:trPr>
        <w:tc>
          <w:tcPr>
            <w:tcW w:w="2786" w:type="dxa"/>
            <w:tcBorders>
              <w:top w:val="single" w:sz="6" w:space="0" w:color="auto"/>
              <w:left w:val="single" w:sz="6" w:space="0" w:color="auto"/>
              <w:bottom w:val="single" w:sz="6" w:space="0" w:color="auto"/>
              <w:right w:val="single" w:sz="6" w:space="0" w:color="auto"/>
            </w:tcBorders>
          </w:tcPr>
          <w:p w14:paraId="5E2E0646" w14:textId="77777777" w:rsidR="00C232D7" w:rsidRPr="00D77518" w:rsidRDefault="00C232D7" w:rsidP="00C232D7">
            <w:p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Jedinice lokalne samouprave –komunalna preduzeća</w:t>
            </w:r>
          </w:p>
        </w:tc>
        <w:tc>
          <w:tcPr>
            <w:tcW w:w="6781" w:type="dxa"/>
            <w:tcBorders>
              <w:top w:val="single" w:sz="6" w:space="0" w:color="auto"/>
              <w:left w:val="single" w:sz="6" w:space="0" w:color="auto"/>
              <w:bottom w:val="single" w:sz="6" w:space="0" w:color="auto"/>
              <w:right w:val="single" w:sz="6" w:space="0" w:color="auto"/>
            </w:tcBorders>
          </w:tcPr>
          <w:p w14:paraId="26B3844C"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Predlaganje, implementacija i monitoring lokalnih planova upravljanja otpadom</w:t>
            </w:r>
          </w:p>
          <w:p w14:paraId="4FE71B6B"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Prikupljanje podataka o otpadu i izvještavanje</w:t>
            </w:r>
          </w:p>
          <w:p w14:paraId="7013C078"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Uspostavljanje/sprovođenje programa upravljanja otpadom</w:t>
            </w:r>
          </w:p>
          <w:p w14:paraId="40CBAB50"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Aktivnosti upravljanja otpadom (prikupljanje do odlaganja)</w:t>
            </w:r>
          </w:p>
          <w:p w14:paraId="6077EF4E"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Uspostavljanje međuopštinskih sistema upravljanja otpadom</w:t>
            </w:r>
          </w:p>
        </w:tc>
      </w:tr>
      <w:tr w:rsidR="00C232D7" w:rsidRPr="002A6F4E" w14:paraId="2FBD9767" w14:textId="77777777" w:rsidTr="00C232D7">
        <w:trPr>
          <w:trHeight w:val="59"/>
          <w:jc w:val="center"/>
        </w:trPr>
        <w:tc>
          <w:tcPr>
            <w:tcW w:w="2786" w:type="dxa"/>
            <w:tcBorders>
              <w:top w:val="single" w:sz="6" w:space="0" w:color="auto"/>
              <w:left w:val="single" w:sz="6" w:space="0" w:color="auto"/>
              <w:bottom w:val="single" w:sz="6" w:space="0" w:color="auto"/>
              <w:right w:val="single" w:sz="6" w:space="0" w:color="auto"/>
            </w:tcBorders>
          </w:tcPr>
          <w:p w14:paraId="36B4C3DE" w14:textId="77777777" w:rsidR="00C232D7" w:rsidRPr="00D77518" w:rsidRDefault="00C232D7" w:rsidP="00C232D7">
            <w:p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Privatni sektor / javnost</w:t>
            </w:r>
          </w:p>
        </w:tc>
        <w:tc>
          <w:tcPr>
            <w:tcW w:w="6781" w:type="dxa"/>
            <w:tcBorders>
              <w:top w:val="single" w:sz="6" w:space="0" w:color="auto"/>
              <w:left w:val="single" w:sz="6" w:space="0" w:color="auto"/>
              <w:bottom w:val="single" w:sz="6" w:space="0" w:color="auto"/>
              <w:right w:val="single" w:sz="6" w:space="0" w:color="auto"/>
            </w:tcBorders>
          </w:tcPr>
          <w:p w14:paraId="4FCAEF58"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Poštovanje zakona, uredbi i smjernica o upravljanju otpadom</w:t>
            </w:r>
          </w:p>
          <w:p w14:paraId="374CD8B0"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Sprovođenje aktivnosti upravljanja otpadom</w:t>
            </w:r>
          </w:p>
          <w:p w14:paraId="1A21A9FD"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Zabrana bacanja smeća, nelegalnog odlaganja i spaljivanja</w:t>
            </w:r>
          </w:p>
          <w:p w14:paraId="1882FE6B"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Učešće u izradi i sprovođenju lokalnih planova upravljanja otpadom</w:t>
            </w:r>
          </w:p>
          <w:p w14:paraId="7467087D" w14:textId="77777777" w:rsidR="00C232D7" w:rsidRPr="00D77518" w:rsidRDefault="00C232D7" w:rsidP="00A23ED0">
            <w:pPr>
              <w:numPr>
                <w:ilvl w:val="0"/>
                <w:numId w:val="21"/>
              </w:numPr>
              <w:spacing w:before="40" w:after="40" w:line="360" w:lineRule="auto"/>
              <w:ind w:right="45"/>
              <w:rPr>
                <w:rFonts w:ascii="Arial" w:eastAsia="Times New Roman" w:hAnsi="Arial" w:cs="Arial"/>
                <w:sz w:val="18"/>
                <w:lang w:val="sq-AL"/>
              </w:rPr>
            </w:pPr>
            <w:r w:rsidRPr="00D77518">
              <w:rPr>
                <w:rFonts w:ascii="Arial" w:eastAsia="Times New Roman" w:hAnsi="Arial" w:cs="Arial"/>
                <w:sz w:val="18"/>
                <w:lang w:val="sq-AL"/>
              </w:rPr>
              <w:t>Učešće u planiranju upravljanja postrojenjem i generatorom</w:t>
            </w:r>
          </w:p>
        </w:tc>
      </w:tr>
    </w:tbl>
    <w:p w14:paraId="176604CA" w14:textId="2A51AF8A" w:rsidR="00C232D7" w:rsidRDefault="00C232D7" w:rsidP="00C232D7">
      <w:pPr>
        <w:widowControl w:val="0"/>
        <w:spacing w:after="120" w:line="360" w:lineRule="auto"/>
        <w:rPr>
          <w:rFonts w:ascii="Arial" w:hAnsi="Arial" w:cs="Arial"/>
          <w:lang w:val="sq-AL"/>
        </w:rPr>
      </w:pPr>
    </w:p>
    <w:p w14:paraId="1467F199" w14:textId="77777777" w:rsidR="00D77518" w:rsidRPr="002A6F4E" w:rsidRDefault="00D77518" w:rsidP="00C232D7">
      <w:pPr>
        <w:widowControl w:val="0"/>
        <w:spacing w:after="120" w:line="360" w:lineRule="auto"/>
        <w:rPr>
          <w:rFonts w:ascii="Arial" w:hAnsi="Arial" w:cs="Arial"/>
          <w:lang w:val="sq-AL"/>
        </w:rPr>
      </w:pPr>
    </w:p>
    <w:p w14:paraId="3FD27FF7" w14:textId="77777777" w:rsidR="00C232D7" w:rsidRPr="002A6F4E" w:rsidRDefault="00C232D7" w:rsidP="00A23ED0">
      <w:pPr>
        <w:pStyle w:val="Heading1"/>
        <w:numPr>
          <w:ilvl w:val="0"/>
          <w:numId w:val="16"/>
        </w:numPr>
        <w:rPr>
          <w:sz w:val="20"/>
          <w:szCs w:val="20"/>
        </w:rPr>
      </w:pPr>
      <w:bookmarkStart w:id="689" w:name="_Toc121758989"/>
      <w:bookmarkStart w:id="690" w:name="_Toc193353971"/>
      <w:r w:rsidRPr="002A6F4E">
        <w:rPr>
          <w:sz w:val="20"/>
          <w:szCs w:val="20"/>
        </w:rPr>
        <w:lastRenderedPageBreak/>
        <w:t>Metodologija</w:t>
      </w:r>
      <w:bookmarkEnd w:id="689"/>
      <w:bookmarkEnd w:id="690"/>
      <w:r w:rsidRPr="002A6F4E">
        <w:rPr>
          <w:sz w:val="20"/>
          <w:szCs w:val="20"/>
        </w:rPr>
        <w:t xml:space="preserve"> </w:t>
      </w:r>
    </w:p>
    <w:p w14:paraId="0984049F" w14:textId="68DD706B"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Državni plan upravljanja otpadom za period 2025-2029.</w:t>
      </w:r>
      <w:r w:rsidR="00F11511">
        <w:rPr>
          <w:rFonts w:ascii="Arial" w:hAnsi="Arial" w:cs="Arial"/>
          <w:lang w:val="sq-AL"/>
        </w:rPr>
        <w:t xml:space="preserve"> godine</w:t>
      </w:r>
      <w:r w:rsidRPr="002A6F4E">
        <w:rPr>
          <w:rFonts w:ascii="Arial" w:hAnsi="Arial" w:cs="Arial"/>
          <w:lang w:val="sq-AL"/>
        </w:rPr>
        <w:t xml:space="preserve"> je pripremljen </w:t>
      </w:r>
      <w:r w:rsidRPr="00E650B1">
        <w:rPr>
          <w:rFonts w:ascii="Arial" w:hAnsi="Arial" w:cs="Arial"/>
          <w:lang w:val="sq-AL"/>
        </w:rPr>
        <w:t>u skladu sa odredbama Poglavlja V (Planovi i programi) Okvirne direktive o otpadu, izm</w:t>
      </w:r>
      <w:r w:rsidR="00F11511" w:rsidRPr="00E650B1">
        <w:rPr>
          <w:rFonts w:ascii="Arial" w:hAnsi="Arial" w:cs="Arial"/>
          <w:lang w:val="sq-AL"/>
        </w:rPr>
        <w:t>i</w:t>
      </w:r>
      <w:r w:rsidRPr="00E650B1">
        <w:rPr>
          <w:rFonts w:ascii="Arial" w:hAnsi="Arial" w:cs="Arial"/>
          <w:lang w:val="sq-AL"/>
        </w:rPr>
        <w:t>jenjene Direktivom 851/2018, i „Metodologijom razvijanja politika, izrade i praćenja sprovođenja strateških dokumenata”</w:t>
      </w:r>
      <w:r w:rsidRPr="002A6F4E">
        <w:rPr>
          <w:rFonts w:ascii="Arial" w:hAnsi="Arial" w:cs="Arial"/>
          <w:lang w:val="sq-AL"/>
        </w:rPr>
        <w:t xml:space="preserve"> (UNDP/Generalni sekretarijat Vlade Crne Gore, 2. izdanje, 2020. godina).</w:t>
      </w:r>
    </w:p>
    <w:p w14:paraId="28B1EBBB" w14:textId="5B10B0A3" w:rsidR="00C232D7" w:rsidRPr="002A6F4E" w:rsidRDefault="00732B7D" w:rsidP="00C232D7">
      <w:pPr>
        <w:spacing w:before="120" w:after="120" w:line="360" w:lineRule="auto"/>
        <w:rPr>
          <w:rFonts w:ascii="Arial" w:hAnsi="Arial" w:cs="Arial"/>
          <w:lang w:val="sq-AL"/>
        </w:rPr>
      </w:pPr>
      <w:r>
        <w:rPr>
          <w:rFonts w:ascii="Arial" w:hAnsi="Arial" w:cs="Arial"/>
          <w:lang w:val="sq-AL"/>
        </w:rPr>
        <w:t>Zasnovan je na Uredbi o n</w:t>
      </w:r>
      <w:r w:rsidR="00C232D7" w:rsidRPr="002A6F4E">
        <w:rPr>
          <w:rFonts w:ascii="Arial" w:hAnsi="Arial" w:cs="Arial"/>
          <w:lang w:val="sq-AL"/>
        </w:rPr>
        <w:t>ačin</w:t>
      </w:r>
      <w:r>
        <w:rPr>
          <w:rFonts w:ascii="Arial" w:hAnsi="Arial" w:cs="Arial"/>
          <w:lang w:val="sq-AL"/>
        </w:rPr>
        <w:t>u i postupku</w:t>
      </w:r>
      <w:r w:rsidR="00C232D7" w:rsidRPr="002A6F4E">
        <w:rPr>
          <w:rFonts w:ascii="Arial" w:hAnsi="Arial" w:cs="Arial"/>
          <w:lang w:val="sq-AL"/>
        </w:rPr>
        <w:t xml:space="preserve"> izrade, uskla</w:t>
      </w:r>
      <w:r w:rsidR="00C232D7" w:rsidRPr="002A6F4E">
        <w:rPr>
          <w:rFonts w:ascii="Arial" w:hAnsi="Arial" w:cs="Arial"/>
          <w:lang w:val="sr-Latn-ME"/>
        </w:rPr>
        <w:t>đivanja i praćenja  sprovođenja</w:t>
      </w:r>
      <w:r w:rsidR="00C232D7" w:rsidRPr="002A6F4E">
        <w:rPr>
          <w:rFonts w:ascii="Arial" w:hAnsi="Arial" w:cs="Arial"/>
          <w:lang w:val="sq-AL"/>
        </w:rPr>
        <w:t xml:space="preserve"> strateških </w:t>
      </w:r>
      <w:r>
        <w:rPr>
          <w:rFonts w:ascii="Arial" w:hAnsi="Arial" w:cs="Arial"/>
          <w:lang w:val="sq-AL"/>
        </w:rPr>
        <w:t>dokumenata</w:t>
      </w:r>
      <w:r w:rsidR="00C232D7" w:rsidRPr="002A6F4E">
        <w:rPr>
          <w:rFonts w:ascii="Arial" w:hAnsi="Arial" w:cs="Arial"/>
          <w:lang w:val="sq-AL"/>
        </w:rPr>
        <w:t xml:space="preserve"> (</w:t>
      </w:r>
      <w:r w:rsidR="00702DAF" w:rsidRPr="0035491B">
        <w:rPr>
          <w:rFonts w:ascii="Arial" w:hAnsi="Arial" w:cs="Arial"/>
          <w:bCs/>
          <w:lang w:val="sq-AL"/>
        </w:rPr>
        <w:t>"Službeni list Crne Gore",</w:t>
      </w:r>
      <w:r w:rsidR="00702DAF">
        <w:rPr>
          <w:rFonts w:ascii="Arial" w:hAnsi="Arial" w:cs="Arial"/>
          <w:bCs/>
          <w:lang w:val="sq-AL"/>
        </w:rPr>
        <w:t xml:space="preserve"> br.</w:t>
      </w:r>
      <w:r w:rsidR="00BD6B48">
        <w:rPr>
          <w:rFonts w:ascii="Arial" w:hAnsi="Arial" w:cs="Arial"/>
          <w:bCs/>
          <w:lang w:val="sq-AL"/>
        </w:rPr>
        <w:t xml:space="preserve"> </w:t>
      </w:r>
      <w:r w:rsidR="00C232D7" w:rsidRPr="002A6F4E">
        <w:rPr>
          <w:rFonts w:ascii="Arial" w:hAnsi="Arial" w:cs="Arial"/>
          <w:lang w:val="sq-AL"/>
        </w:rPr>
        <w:t>054/18).</w:t>
      </w:r>
    </w:p>
    <w:p w14:paraId="4CAD1F9A" w14:textId="2A553ED9" w:rsidR="00C232D7" w:rsidRPr="002A6F4E" w:rsidRDefault="00C232D7" w:rsidP="00C232D7">
      <w:pPr>
        <w:spacing w:before="120" w:after="120" w:line="360" w:lineRule="auto"/>
        <w:rPr>
          <w:rFonts w:ascii="Arial" w:hAnsi="Arial" w:cs="Arial"/>
          <w:lang w:val="sq-AL"/>
        </w:rPr>
      </w:pPr>
      <w:r w:rsidRPr="00E650B1">
        <w:rPr>
          <w:rFonts w:ascii="Arial" w:hAnsi="Arial" w:cs="Arial"/>
          <w:lang w:val="sq-AL"/>
        </w:rPr>
        <w:t>Pored toga, korišćeno je „Metodološko uputstvo – Priprema plana upravljanja otpadom“ (EC-DG Environment, 2012), jer pruža opštu pomoć u planiranju upravljanja otpadom i promoviše razvoj koherentnije i prikladnije prakse planiranja u državama članicama EU, u skladu sa zahtjevima relevantnog zakonodavstva EU.</w:t>
      </w:r>
    </w:p>
    <w:p w14:paraId="28A23967" w14:textId="549D46C9"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Struktura i sadržaj Državnog plana upravljanja otpadom su pripremljeni u skladu sa odredbama Zakona o upravljanju otpadom (član 26)</w:t>
      </w:r>
      <w:r w:rsidR="0012238F">
        <w:rPr>
          <w:rFonts w:ascii="Arial" w:hAnsi="Arial" w:cs="Arial"/>
          <w:lang w:val="sq-AL"/>
        </w:rPr>
        <w:t>.</w:t>
      </w:r>
    </w:p>
    <w:p w14:paraId="7280F1D1" w14:textId="77777777" w:rsidR="00C232D7" w:rsidRPr="002A6F4E" w:rsidRDefault="00C232D7" w:rsidP="00F57909">
      <w:pPr>
        <w:pStyle w:val="Heading2"/>
      </w:pPr>
      <w:bookmarkStart w:id="691" w:name="_Toc121758990"/>
      <w:bookmarkStart w:id="692" w:name="_Toc193353972"/>
      <w:r w:rsidRPr="002A6F4E">
        <w:t>3.1. Izvori podataka</w:t>
      </w:r>
      <w:bookmarkEnd w:id="691"/>
      <w:bookmarkEnd w:id="692"/>
    </w:p>
    <w:p w14:paraId="57C9D11E" w14:textId="30BD24B0" w:rsidR="00C232D7" w:rsidRPr="002A6F4E" w:rsidRDefault="00C232D7" w:rsidP="00C232D7">
      <w:pPr>
        <w:spacing w:before="120" w:after="120" w:line="360" w:lineRule="auto"/>
        <w:rPr>
          <w:rFonts w:ascii="Arial" w:hAnsi="Arial" w:cs="Arial"/>
          <w:iCs/>
          <w:lang w:val="sq-AL"/>
        </w:rPr>
      </w:pPr>
      <w:r w:rsidRPr="002A6F4E">
        <w:rPr>
          <w:rFonts w:ascii="Arial" w:hAnsi="Arial" w:cs="Arial"/>
          <w:iCs/>
          <w:lang w:val="sq-AL"/>
        </w:rPr>
        <w:t>Prikupljanje podataka obavljeno je i iz primarnih i iz sekundarnih izvora. Primarni izvori podataka uključivali su ključne informatore iz ministarstava, jedinica lokalnih samouprava  i sl. Sekundarni izvori podataka uglavnom su se sastojali od publikacija koje se odnose na upravljanje otpadom. Kao takav, priprema DPUO 2025-2029</w:t>
      </w:r>
      <w:r w:rsidR="002E740E">
        <w:rPr>
          <w:rFonts w:ascii="Arial" w:hAnsi="Arial" w:cs="Arial"/>
          <w:iCs/>
          <w:lang w:val="sq-AL"/>
        </w:rPr>
        <w:t>. godina</w:t>
      </w:r>
      <w:r w:rsidRPr="002A6F4E">
        <w:rPr>
          <w:rFonts w:ascii="Arial" w:hAnsi="Arial" w:cs="Arial"/>
          <w:iCs/>
          <w:lang w:val="sq-AL"/>
        </w:rPr>
        <w:t xml:space="preserve"> zasnivala se na sljedećim informacijama:</w:t>
      </w:r>
    </w:p>
    <w:p w14:paraId="74683ED7" w14:textId="1AC7F9C8" w:rsidR="00C232D7" w:rsidRPr="002A6F4E" w:rsidRDefault="00C232D7" w:rsidP="00A23ED0">
      <w:pPr>
        <w:pStyle w:val="ListParagraph"/>
        <w:numPr>
          <w:ilvl w:val="0"/>
          <w:numId w:val="14"/>
        </w:numPr>
        <w:spacing w:before="120" w:after="120" w:line="360" w:lineRule="auto"/>
        <w:ind w:left="810"/>
        <w:contextualSpacing w:val="0"/>
        <w:rPr>
          <w:rFonts w:ascii="Arial" w:hAnsi="Arial" w:cs="Arial"/>
          <w:iCs/>
          <w:lang w:val="sq-AL"/>
        </w:rPr>
      </w:pPr>
      <w:r w:rsidRPr="002A6F4E">
        <w:rPr>
          <w:rFonts w:ascii="Arial" w:hAnsi="Arial" w:cs="Arial"/>
          <w:iCs/>
          <w:lang w:val="sq-AL"/>
        </w:rPr>
        <w:t xml:space="preserve">Regulatorni pregled: strateški i planski dokumenti koji se odnose na upravljanje otpadom, izvještaji sa drugih sprovedenih i tekućih projekata, dokumenti </w:t>
      </w:r>
      <w:r w:rsidRPr="002A6F4E">
        <w:rPr>
          <w:rFonts w:ascii="Arial" w:hAnsi="Arial" w:cs="Arial"/>
          <w:lang w:val="sq-AL"/>
        </w:rPr>
        <w:t>MERS</w:t>
      </w:r>
      <w:r w:rsidRPr="002A6F4E">
        <w:rPr>
          <w:rFonts w:ascii="Arial" w:hAnsi="Arial" w:cs="Arial"/>
          <w:iCs/>
          <w:lang w:val="sq-AL"/>
        </w:rPr>
        <w:t>, Agencije za zaštitu životne sredine i sl.</w:t>
      </w:r>
      <w:r w:rsidR="00613AF0">
        <w:rPr>
          <w:rFonts w:ascii="Arial" w:hAnsi="Arial" w:cs="Arial"/>
          <w:iCs/>
          <w:lang w:val="sq-AL"/>
        </w:rPr>
        <w:t>,</w:t>
      </w:r>
    </w:p>
    <w:p w14:paraId="5E3FC13A" w14:textId="710FDA75" w:rsidR="00C232D7" w:rsidRPr="002A6F4E" w:rsidRDefault="00C232D7" w:rsidP="00A23ED0">
      <w:pPr>
        <w:pStyle w:val="ListParagraph"/>
        <w:numPr>
          <w:ilvl w:val="0"/>
          <w:numId w:val="14"/>
        </w:numPr>
        <w:spacing w:before="120" w:after="120" w:line="360" w:lineRule="auto"/>
        <w:ind w:left="810"/>
        <w:contextualSpacing w:val="0"/>
        <w:rPr>
          <w:rFonts w:ascii="Arial" w:hAnsi="Arial" w:cs="Arial"/>
          <w:iCs/>
          <w:lang w:val="sq-AL"/>
        </w:rPr>
      </w:pPr>
      <w:r w:rsidRPr="002A6F4E">
        <w:rPr>
          <w:rFonts w:ascii="Arial" w:hAnsi="Arial" w:cs="Arial"/>
          <w:iCs/>
          <w:lang w:val="sq-AL"/>
        </w:rPr>
        <w:t>Prikupljanje podataka od jedinica lokalnih samouprava</w:t>
      </w:r>
      <w:r w:rsidR="00613AF0">
        <w:rPr>
          <w:rFonts w:ascii="Arial" w:hAnsi="Arial" w:cs="Arial"/>
          <w:iCs/>
          <w:lang w:val="sq-AL"/>
        </w:rPr>
        <w:t>,</w:t>
      </w:r>
    </w:p>
    <w:p w14:paraId="4EE4C97A" w14:textId="4ACBBCAF" w:rsidR="00C232D7" w:rsidRPr="002A6F4E" w:rsidRDefault="00C232D7" w:rsidP="00A23ED0">
      <w:pPr>
        <w:pStyle w:val="ListParagraph"/>
        <w:numPr>
          <w:ilvl w:val="0"/>
          <w:numId w:val="14"/>
        </w:numPr>
        <w:spacing w:before="120" w:after="120" w:line="360" w:lineRule="auto"/>
        <w:ind w:left="810"/>
        <w:contextualSpacing w:val="0"/>
        <w:rPr>
          <w:rFonts w:ascii="Arial" w:hAnsi="Arial" w:cs="Arial"/>
          <w:iCs/>
          <w:lang w:val="sq-AL"/>
        </w:rPr>
      </w:pPr>
      <w:r w:rsidRPr="002A6F4E">
        <w:rPr>
          <w:rFonts w:ascii="Arial" w:hAnsi="Arial" w:cs="Arial"/>
          <w:iCs/>
          <w:lang w:val="sq-AL"/>
        </w:rPr>
        <w:t>Podaci dobijeni od MONSTAT</w:t>
      </w:r>
      <w:r w:rsidR="00613AF0">
        <w:rPr>
          <w:rFonts w:ascii="Arial" w:hAnsi="Arial" w:cs="Arial"/>
          <w:iCs/>
          <w:lang w:val="sq-AL"/>
        </w:rPr>
        <w:t>,</w:t>
      </w:r>
    </w:p>
    <w:p w14:paraId="3A122D61" w14:textId="635480A3" w:rsidR="00C232D7" w:rsidRPr="002A6F4E" w:rsidRDefault="00C232D7" w:rsidP="00A23ED0">
      <w:pPr>
        <w:pStyle w:val="ListParagraph"/>
        <w:numPr>
          <w:ilvl w:val="0"/>
          <w:numId w:val="14"/>
        </w:numPr>
        <w:spacing w:before="120" w:after="120" w:line="360" w:lineRule="auto"/>
        <w:ind w:left="810"/>
        <w:contextualSpacing w:val="0"/>
        <w:rPr>
          <w:rFonts w:ascii="Arial" w:hAnsi="Arial" w:cs="Arial"/>
          <w:iCs/>
          <w:lang w:val="sq-AL"/>
        </w:rPr>
      </w:pPr>
      <w:r w:rsidRPr="002A6F4E">
        <w:rPr>
          <w:rFonts w:ascii="Arial" w:hAnsi="Arial" w:cs="Arial"/>
          <w:iCs/>
          <w:lang w:val="sq-AL"/>
        </w:rPr>
        <w:t>Interakcija projektnog tima (razgovori sa ekspertima projekta, timski sastanci itd.), internet istraživanje</w:t>
      </w:r>
      <w:r w:rsidR="00BD6B48">
        <w:rPr>
          <w:rFonts w:ascii="Arial" w:hAnsi="Arial" w:cs="Arial"/>
          <w:iCs/>
          <w:lang w:val="sq-AL"/>
        </w:rPr>
        <w:t>,</w:t>
      </w:r>
      <w:r w:rsidRPr="002A6F4E">
        <w:rPr>
          <w:rFonts w:ascii="Arial" w:hAnsi="Arial" w:cs="Arial"/>
          <w:iCs/>
          <w:lang w:val="sq-AL"/>
        </w:rPr>
        <w:t xml:space="preserve"> itd.</w:t>
      </w:r>
    </w:p>
    <w:p w14:paraId="6663B6D5"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r-Latn-ME"/>
        </w:rPr>
        <w:t xml:space="preserve">Ministarstvo ekologije, održivog razvoja i razvoja sjevera </w:t>
      </w:r>
      <w:r w:rsidRPr="002A6F4E">
        <w:rPr>
          <w:rFonts w:ascii="Arial" w:hAnsi="Arial" w:cs="Arial"/>
          <w:lang w:val="sq-AL"/>
        </w:rPr>
        <w:t>je pružilo dokumentaciju kao što slijedi:</w:t>
      </w:r>
    </w:p>
    <w:p w14:paraId="1A69E5FE" w14:textId="51BC7623" w:rsidR="00C232D7" w:rsidRPr="001F3885" w:rsidRDefault="00C232D7" w:rsidP="00A23ED0">
      <w:pPr>
        <w:pStyle w:val="ListParagraph"/>
        <w:widowControl w:val="0"/>
        <w:numPr>
          <w:ilvl w:val="0"/>
          <w:numId w:val="147"/>
        </w:numPr>
        <w:spacing w:before="120" w:after="120" w:line="360" w:lineRule="auto"/>
        <w:rPr>
          <w:rFonts w:ascii="Arial" w:hAnsi="Arial" w:cs="Arial"/>
          <w:lang w:val="sq-AL"/>
        </w:rPr>
      </w:pPr>
      <w:r w:rsidRPr="001F3885">
        <w:rPr>
          <w:rFonts w:ascii="Arial" w:hAnsi="Arial" w:cs="Arial"/>
          <w:lang w:val="sq-AL"/>
        </w:rPr>
        <w:t>Zakon o upravljanju otpadom</w:t>
      </w:r>
      <w:r w:rsidR="00613AF0">
        <w:rPr>
          <w:rFonts w:ascii="Arial" w:hAnsi="Arial" w:cs="Arial"/>
          <w:lang w:val="sq-AL"/>
        </w:rPr>
        <w:t>,</w:t>
      </w:r>
    </w:p>
    <w:p w14:paraId="532E6391" w14:textId="77777777" w:rsidR="00F11511" w:rsidRDefault="00C232D7" w:rsidP="00A23ED0">
      <w:pPr>
        <w:pStyle w:val="ListParagraph"/>
        <w:widowControl w:val="0"/>
        <w:numPr>
          <w:ilvl w:val="0"/>
          <w:numId w:val="147"/>
        </w:numPr>
        <w:spacing w:before="120" w:after="120" w:line="360" w:lineRule="auto"/>
        <w:contextualSpacing w:val="0"/>
        <w:rPr>
          <w:rFonts w:ascii="Arial" w:hAnsi="Arial" w:cs="Arial"/>
          <w:lang w:val="sq-AL"/>
        </w:rPr>
      </w:pPr>
      <w:r w:rsidRPr="002A6F4E">
        <w:rPr>
          <w:rFonts w:ascii="Arial" w:hAnsi="Arial" w:cs="Arial"/>
          <w:lang w:val="sq-AL"/>
        </w:rPr>
        <w:t>Državni plan upravljanja otpadom za Crnu Goru za period 2015-2020</w:t>
      </w:r>
      <w:r w:rsidR="000830BA">
        <w:rPr>
          <w:rFonts w:ascii="Arial" w:hAnsi="Arial" w:cs="Arial"/>
          <w:lang w:val="sq-AL"/>
        </w:rPr>
        <w:t xml:space="preserve">. </w:t>
      </w:r>
      <w:r w:rsidR="001F3885">
        <w:rPr>
          <w:rFonts w:ascii="Arial" w:hAnsi="Arial" w:cs="Arial"/>
          <w:lang w:val="sq-AL"/>
        </w:rPr>
        <w:t>godina</w:t>
      </w:r>
      <w:r w:rsidR="00613AF0">
        <w:rPr>
          <w:rFonts w:ascii="Arial" w:hAnsi="Arial" w:cs="Arial"/>
          <w:lang w:val="sq-AL"/>
        </w:rPr>
        <w:t>,</w:t>
      </w:r>
    </w:p>
    <w:p w14:paraId="73B57332" w14:textId="15BF1A01" w:rsidR="00F11511" w:rsidRDefault="00C232D7" w:rsidP="00A23ED0">
      <w:pPr>
        <w:pStyle w:val="ListParagraph"/>
        <w:widowControl w:val="0"/>
        <w:numPr>
          <w:ilvl w:val="0"/>
          <w:numId w:val="147"/>
        </w:numPr>
        <w:spacing w:before="120" w:after="120" w:line="360" w:lineRule="auto"/>
        <w:contextualSpacing w:val="0"/>
        <w:rPr>
          <w:rFonts w:ascii="Arial" w:hAnsi="Arial" w:cs="Arial"/>
          <w:lang w:val="sq-AL"/>
        </w:rPr>
      </w:pPr>
      <w:r w:rsidRPr="00F11511">
        <w:rPr>
          <w:rFonts w:ascii="Arial" w:hAnsi="Arial" w:cs="Arial"/>
          <w:lang w:val="sq-AL"/>
        </w:rPr>
        <w:t>Odluka o izmjenama i dopunama Državnog plana upravljanja otpadom u Crnoj Gori za period 2015-2020.</w:t>
      </w:r>
      <w:r w:rsidR="00F11511">
        <w:rPr>
          <w:rFonts w:ascii="Arial" w:hAnsi="Arial" w:cs="Arial"/>
          <w:lang w:val="sq-AL"/>
        </w:rPr>
        <w:t xml:space="preserve"> </w:t>
      </w:r>
      <w:r w:rsidR="000830BA" w:rsidRPr="00F11511">
        <w:rPr>
          <w:rFonts w:ascii="Arial" w:hAnsi="Arial" w:cs="Arial"/>
          <w:lang w:val="sq-AL"/>
        </w:rPr>
        <w:t>god</w:t>
      </w:r>
      <w:r w:rsidR="001F3885" w:rsidRPr="00F11511">
        <w:rPr>
          <w:rFonts w:ascii="Arial" w:hAnsi="Arial" w:cs="Arial"/>
          <w:lang w:val="sq-AL"/>
        </w:rPr>
        <w:t>ina</w:t>
      </w:r>
      <w:r w:rsidR="00164090" w:rsidRPr="00F11511">
        <w:rPr>
          <w:rFonts w:ascii="Arial" w:hAnsi="Arial" w:cs="Arial"/>
          <w:lang w:val="sq-AL"/>
        </w:rPr>
        <w:t xml:space="preserve"> (2018. godina)</w:t>
      </w:r>
      <w:r w:rsidR="00F11511">
        <w:rPr>
          <w:rFonts w:ascii="Arial" w:hAnsi="Arial" w:cs="Arial"/>
          <w:lang w:val="sq-AL"/>
        </w:rPr>
        <w:t>,</w:t>
      </w:r>
    </w:p>
    <w:p w14:paraId="536BFE3F" w14:textId="77777777" w:rsidR="00F11511" w:rsidRDefault="00C232D7" w:rsidP="00A23ED0">
      <w:pPr>
        <w:pStyle w:val="ListParagraph"/>
        <w:widowControl w:val="0"/>
        <w:numPr>
          <w:ilvl w:val="0"/>
          <w:numId w:val="147"/>
        </w:numPr>
        <w:spacing w:before="120" w:after="120" w:line="360" w:lineRule="auto"/>
        <w:contextualSpacing w:val="0"/>
        <w:rPr>
          <w:rFonts w:ascii="Arial" w:hAnsi="Arial" w:cs="Arial"/>
          <w:lang w:val="sq-AL"/>
        </w:rPr>
      </w:pPr>
      <w:r w:rsidRPr="00F11511">
        <w:rPr>
          <w:rFonts w:ascii="Arial" w:hAnsi="Arial" w:cs="Arial"/>
          <w:lang w:val="sq-AL"/>
        </w:rPr>
        <w:t>Izvještaj o sprovođenju Državnog plana upravljanja otpadom za 2023. godinu</w:t>
      </w:r>
      <w:r w:rsidR="00613AF0" w:rsidRPr="00F11511">
        <w:rPr>
          <w:rFonts w:ascii="Arial" w:hAnsi="Arial" w:cs="Arial"/>
          <w:lang w:val="sq-AL"/>
        </w:rPr>
        <w:t>,</w:t>
      </w:r>
    </w:p>
    <w:p w14:paraId="03EE59A7" w14:textId="75D05AE0" w:rsidR="0047528A" w:rsidRPr="004C1159" w:rsidRDefault="00C232D7" w:rsidP="00A23ED0">
      <w:pPr>
        <w:pStyle w:val="ListParagraph"/>
        <w:widowControl w:val="0"/>
        <w:numPr>
          <w:ilvl w:val="0"/>
          <w:numId w:val="147"/>
        </w:numPr>
        <w:spacing w:before="120" w:after="120" w:line="360" w:lineRule="auto"/>
        <w:contextualSpacing w:val="0"/>
        <w:rPr>
          <w:rFonts w:ascii="Arial" w:hAnsi="Arial" w:cs="Arial"/>
          <w:lang w:val="sq-AL"/>
        </w:rPr>
      </w:pPr>
      <w:r w:rsidRPr="00F11511">
        <w:rPr>
          <w:rFonts w:ascii="Arial" w:hAnsi="Arial" w:cs="Arial"/>
          <w:lang w:val="sq-AL"/>
        </w:rPr>
        <w:t>Lokalni planovi upravljanja otpadom</w:t>
      </w:r>
      <w:r w:rsidR="00613AF0" w:rsidRPr="00F11511">
        <w:rPr>
          <w:rFonts w:ascii="Arial" w:hAnsi="Arial" w:cs="Arial"/>
          <w:lang w:val="sq-AL"/>
        </w:rPr>
        <w:t>.</w:t>
      </w:r>
    </w:p>
    <w:p w14:paraId="08D099AD" w14:textId="645BD5B1" w:rsidR="00C232D7" w:rsidRPr="002A6F4E" w:rsidRDefault="00C232D7" w:rsidP="00A50C9E">
      <w:pPr>
        <w:pStyle w:val="Heading1"/>
        <w:numPr>
          <w:ilvl w:val="0"/>
          <w:numId w:val="0"/>
        </w:numPr>
        <w:ind w:left="360"/>
        <w:rPr>
          <w:sz w:val="20"/>
          <w:szCs w:val="20"/>
        </w:rPr>
      </w:pPr>
      <w:bookmarkStart w:id="693" w:name="_Toc193353973"/>
      <w:r w:rsidRPr="002A6F4E">
        <w:rPr>
          <w:sz w:val="20"/>
          <w:szCs w:val="20"/>
        </w:rPr>
        <w:lastRenderedPageBreak/>
        <w:t xml:space="preserve">4. </w:t>
      </w:r>
      <w:bookmarkStart w:id="694" w:name="_Toc121759011"/>
      <w:r w:rsidRPr="002A6F4E">
        <w:rPr>
          <w:sz w:val="20"/>
          <w:szCs w:val="20"/>
        </w:rPr>
        <w:t>O</w:t>
      </w:r>
      <w:r w:rsidR="00A27DDD" w:rsidRPr="002A6F4E">
        <w:rPr>
          <w:sz w:val="20"/>
          <w:szCs w:val="20"/>
        </w:rPr>
        <w:t>pis postojećeg stanja u oblasti upravljanja otpadom</w:t>
      </w:r>
      <w:bookmarkEnd w:id="693"/>
    </w:p>
    <w:p w14:paraId="45A44762" w14:textId="77777777" w:rsidR="00C232D7" w:rsidRPr="002A6F4E" w:rsidRDefault="00C232D7" w:rsidP="00F57909">
      <w:pPr>
        <w:pStyle w:val="Heading2"/>
      </w:pPr>
      <w:bookmarkStart w:id="695" w:name="_Toc193353974"/>
      <w:bookmarkEnd w:id="694"/>
      <w:r w:rsidRPr="002A6F4E">
        <w:t>4.1. Komunalni otpad</w:t>
      </w:r>
      <w:bookmarkEnd w:id="695"/>
      <w:r w:rsidRPr="002A6F4E">
        <w:t xml:space="preserve"> </w:t>
      </w:r>
    </w:p>
    <w:p w14:paraId="775761B0" w14:textId="5818AF15" w:rsidR="00C232D7" w:rsidRPr="002A6F4E" w:rsidRDefault="00C232D7" w:rsidP="00725EA2">
      <w:pPr>
        <w:spacing w:before="120" w:after="120" w:line="360" w:lineRule="auto"/>
        <w:rPr>
          <w:rFonts w:ascii="Arial" w:hAnsi="Arial" w:cs="Arial"/>
          <w:lang w:val="sq-AL"/>
        </w:rPr>
      </w:pPr>
      <w:r w:rsidRPr="002A6F4E">
        <w:rPr>
          <w:rFonts w:ascii="Arial" w:hAnsi="Arial" w:cs="Arial"/>
          <w:lang w:val="sq-AL"/>
        </w:rPr>
        <w:t xml:space="preserve">Komunalni otpad je prvenstveno kategorisan u poglavljima 15 01 i 20 Evropskog kataloga otpada (EVC). </w:t>
      </w:r>
      <w:r w:rsidRPr="00E650B1">
        <w:rPr>
          <w:rFonts w:ascii="Arial" w:hAnsi="Arial" w:cs="Arial"/>
          <w:lang w:val="sq-AL"/>
        </w:rPr>
        <w:t>Otpad koji nastaje nakon obrade otpada (otpad iz postrojenja za upravljanje otpadom, otpad iz postrojenja za prečišćavanje otpadnih voda i pripreme vode za ljudsku upotrebu i vode za industrijsku upotrebu) može se tretirati kao komunalni otpad u</w:t>
      </w:r>
      <w:r w:rsidR="00725EA2">
        <w:rPr>
          <w:rFonts w:ascii="Arial" w:hAnsi="Arial" w:cs="Arial"/>
          <w:lang w:val="sq-AL"/>
        </w:rPr>
        <w:t xml:space="preserve"> zavisnosti od njihove prirode. </w:t>
      </w:r>
      <w:r w:rsidRPr="002A6F4E">
        <w:rPr>
          <w:rFonts w:ascii="Arial" w:hAnsi="Arial" w:cs="Arial"/>
          <w:lang w:val="sq-AL"/>
        </w:rPr>
        <w:t>Prema Zakonu o upravljanju otpadom, komunalni otpad se odnosi na:</w:t>
      </w:r>
    </w:p>
    <w:p w14:paraId="6E4B9F16" w14:textId="1914DF1C" w:rsidR="00C232D7" w:rsidRPr="002A6F4E" w:rsidRDefault="00C232D7" w:rsidP="00A23ED0">
      <w:pPr>
        <w:pStyle w:val="ListParagraph"/>
        <w:numPr>
          <w:ilvl w:val="0"/>
          <w:numId w:val="22"/>
        </w:numPr>
        <w:spacing w:before="120" w:after="120" w:line="360" w:lineRule="auto"/>
        <w:rPr>
          <w:rFonts w:ascii="Arial" w:hAnsi="Arial" w:cs="Arial"/>
          <w:lang w:val="sq-AL"/>
        </w:rPr>
      </w:pPr>
      <w:r w:rsidRPr="002A6F4E">
        <w:rPr>
          <w:rFonts w:ascii="Arial" w:hAnsi="Arial" w:cs="Arial"/>
          <w:lang w:val="sq-AL"/>
        </w:rPr>
        <w:t>miješani otpad i odvojeno sakupljeni otpad iz domaćinstava, uključujući papir i karton, staklo, metal, plastiku, biootpad, drvo, tekstil, ambalažu, otpadnu električnu i elektronsku opremu, otpadne baterij</w:t>
      </w:r>
      <w:r w:rsidR="00D94655">
        <w:rPr>
          <w:rFonts w:ascii="Arial" w:hAnsi="Arial" w:cs="Arial"/>
          <w:lang w:val="sq-AL"/>
        </w:rPr>
        <w:t>e i akumulatore i kabasti otpad</w:t>
      </w:r>
      <w:r w:rsidRPr="002A6F4E">
        <w:rPr>
          <w:rFonts w:ascii="Arial" w:hAnsi="Arial" w:cs="Arial"/>
          <w:lang w:val="sq-AL"/>
        </w:rPr>
        <w:t>;</w:t>
      </w:r>
    </w:p>
    <w:p w14:paraId="6622FC76" w14:textId="77777777" w:rsidR="00C232D7" w:rsidRPr="002A6F4E" w:rsidRDefault="00C232D7" w:rsidP="00A23ED0">
      <w:pPr>
        <w:pStyle w:val="ListParagraph"/>
        <w:numPr>
          <w:ilvl w:val="0"/>
          <w:numId w:val="22"/>
        </w:numPr>
        <w:spacing w:before="120" w:after="120" w:line="360" w:lineRule="auto"/>
        <w:rPr>
          <w:rFonts w:ascii="Arial" w:hAnsi="Arial" w:cs="Arial"/>
          <w:lang w:val="sq-AL"/>
        </w:rPr>
      </w:pPr>
      <w:r w:rsidRPr="002A6F4E">
        <w:rPr>
          <w:rFonts w:ascii="Arial" w:hAnsi="Arial" w:cs="Arial"/>
          <w:lang w:val="sq-AL"/>
        </w:rPr>
        <w:t>miješani otpad i odvojeno sakupljeni otpad iz drugih izvora koji je po svojstvima sličan komunalnom otpadu.</w:t>
      </w:r>
    </w:p>
    <w:p w14:paraId="673C233D" w14:textId="79BC93CA"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Korišćeni su podaci MONSTAT o generisanju i sakupljanju komunalnog otpada. Kako se ovi podaci odnose na cijelu zemlju, kao i za urbana/ruralna područja i turiste korišćeni su sljedeći fa</w:t>
      </w:r>
      <w:r w:rsidR="00725EA2">
        <w:rPr>
          <w:rFonts w:ascii="Arial" w:hAnsi="Arial" w:cs="Arial"/>
          <w:lang w:val="sq-AL"/>
        </w:rPr>
        <w:t>ktori generisanja otpada</w:t>
      </w:r>
      <w:r w:rsidRPr="002A6F4E">
        <w:rPr>
          <w:rFonts w:ascii="Arial" w:hAnsi="Arial" w:cs="Arial"/>
          <w:lang w:val="sq-AL"/>
        </w:rPr>
        <w:t>:</w:t>
      </w:r>
      <w:r w:rsidR="000D4EBC">
        <w:rPr>
          <w:rStyle w:val="FootnoteReference"/>
          <w:rFonts w:cs="Arial"/>
        </w:rPr>
        <w:footnoteReference w:id="8"/>
      </w:r>
    </w:p>
    <w:p w14:paraId="0920DC57" w14:textId="3083344E" w:rsidR="00C232D7" w:rsidRPr="002A6F4E" w:rsidRDefault="00C232D7" w:rsidP="00A23ED0">
      <w:pPr>
        <w:pStyle w:val="ListParagraph"/>
        <w:numPr>
          <w:ilvl w:val="0"/>
          <w:numId w:val="14"/>
        </w:numPr>
        <w:spacing w:before="120" w:after="120" w:line="360" w:lineRule="auto"/>
        <w:rPr>
          <w:rFonts w:ascii="Arial" w:hAnsi="Arial" w:cs="Arial"/>
          <w:iCs/>
          <w:lang w:val="sq-AL"/>
        </w:rPr>
      </w:pPr>
      <w:r w:rsidRPr="002A6F4E">
        <w:rPr>
          <w:rFonts w:ascii="Arial" w:hAnsi="Arial" w:cs="Arial"/>
          <w:iCs/>
          <w:lang w:val="sq-AL"/>
        </w:rPr>
        <w:t xml:space="preserve">Faktor stvaranja otpada u urbanim sredinama smatra se da iznosi </w:t>
      </w:r>
      <w:r w:rsidRPr="002A6F4E">
        <w:rPr>
          <w:rFonts w:ascii="Arial" w:hAnsi="Arial" w:cs="Arial"/>
          <w:iCs/>
          <w:lang w:val="sr-Latn-ME"/>
        </w:rPr>
        <w:t xml:space="preserve">548.8 </w:t>
      </w:r>
      <w:r w:rsidRPr="002A6F4E">
        <w:rPr>
          <w:rFonts w:ascii="Arial" w:hAnsi="Arial" w:cs="Arial"/>
          <w:iCs/>
          <w:lang w:val="sq-AL"/>
        </w:rPr>
        <w:t>kg/</w:t>
      </w:r>
      <w:r w:rsidRPr="002A6F4E">
        <w:rPr>
          <w:rFonts w:ascii="Arial" w:hAnsi="Arial" w:cs="Arial"/>
          <w:lang w:val="sq-AL"/>
        </w:rPr>
        <w:t>po glavi stanovnika godišnje</w:t>
      </w:r>
      <w:r w:rsidRPr="002A6F4E">
        <w:rPr>
          <w:rFonts w:ascii="Arial" w:hAnsi="Arial" w:cs="Arial"/>
          <w:iCs/>
          <w:lang w:val="sq-AL"/>
        </w:rPr>
        <w:t xml:space="preserve"> (2023)</w:t>
      </w:r>
      <w:r w:rsidR="00837CE8">
        <w:rPr>
          <w:rFonts w:ascii="Arial" w:hAnsi="Arial" w:cs="Arial"/>
          <w:iCs/>
          <w:lang w:val="sq-AL"/>
        </w:rPr>
        <w:t>;</w:t>
      </w:r>
    </w:p>
    <w:p w14:paraId="4CB1AEC6" w14:textId="77777777" w:rsidR="00C232D7" w:rsidRPr="002A6F4E" w:rsidRDefault="00C232D7" w:rsidP="00A23ED0">
      <w:pPr>
        <w:pStyle w:val="ListParagraph"/>
        <w:numPr>
          <w:ilvl w:val="0"/>
          <w:numId w:val="14"/>
        </w:numPr>
        <w:spacing w:before="120" w:after="120" w:line="360" w:lineRule="auto"/>
        <w:rPr>
          <w:rFonts w:ascii="Arial" w:hAnsi="Arial" w:cs="Arial"/>
          <w:iCs/>
          <w:lang w:val="sq-AL"/>
        </w:rPr>
      </w:pPr>
      <w:r w:rsidRPr="002A6F4E">
        <w:rPr>
          <w:rFonts w:ascii="Arial" w:hAnsi="Arial" w:cs="Arial"/>
          <w:iCs/>
          <w:lang w:val="sq-AL"/>
        </w:rPr>
        <w:t>Faktor stvaranja otpada u ruralnim područjima smatra se da je 70% od količina u urbanim sredinama, odnosno da iznosi 374,1 kg/</w:t>
      </w:r>
      <w:r w:rsidRPr="002A6F4E">
        <w:rPr>
          <w:rFonts w:ascii="Arial" w:hAnsi="Arial" w:cs="Arial"/>
          <w:lang w:val="sq-AL"/>
        </w:rPr>
        <w:t xml:space="preserve"> po glavi stanovnika godišnje</w:t>
      </w:r>
      <w:r w:rsidRPr="002A6F4E">
        <w:rPr>
          <w:rFonts w:ascii="Arial" w:hAnsi="Arial" w:cs="Arial"/>
          <w:iCs/>
          <w:lang w:val="sq-AL"/>
        </w:rPr>
        <w:t xml:space="preserve"> (2023);</w:t>
      </w:r>
    </w:p>
    <w:p w14:paraId="578AD279" w14:textId="77777777" w:rsidR="00C232D7" w:rsidRPr="002A6F4E" w:rsidRDefault="00C232D7" w:rsidP="00A23ED0">
      <w:pPr>
        <w:pStyle w:val="ListParagraph"/>
        <w:numPr>
          <w:ilvl w:val="0"/>
          <w:numId w:val="14"/>
        </w:numPr>
        <w:spacing w:before="120" w:after="120" w:line="360" w:lineRule="auto"/>
        <w:rPr>
          <w:rFonts w:ascii="Arial" w:hAnsi="Arial" w:cs="Arial"/>
          <w:iCs/>
          <w:lang w:val="sq-AL"/>
        </w:rPr>
      </w:pPr>
      <w:r w:rsidRPr="002A6F4E">
        <w:rPr>
          <w:rFonts w:ascii="Arial" w:hAnsi="Arial" w:cs="Arial"/>
          <w:iCs/>
          <w:lang w:val="sq-AL"/>
        </w:rPr>
        <w:t>Faktor generisanja otpada od turista smatra se da je 30% više od količina u urbanim sredinama, odnosno da iznosi 694,7 kg/</w:t>
      </w:r>
      <w:r w:rsidRPr="002A6F4E">
        <w:rPr>
          <w:rFonts w:ascii="Arial" w:hAnsi="Arial" w:cs="Arial"/>
          <w:lang w:val="sq-AL"/>
        </w:rPr>
        <w:t>po glavi stanovnika godišnje</w:t>
      </w:r>
      <w:r w:rsidRPr="002A6F4E">
        <w:rPr>
          <w:rFonts w:ascii="Arial" w:hAnsi="Arial" w:cs="Arial"/>
          <w:iCs/>
          <w:lang w:val="sq-AL"/>
        </w:rPr>
        <w:t xml:space="preserve"> (2023).</w:t>
      </w:r>
    </w:p>
    <w:p w14:paraId="7FB5DDF2" w14:textId="310B3372" w:rsidR="0047528A" w:rsidRPr="002A6F4E" w:rsidRDefault="00C232D7" w:rsidP="00C232D7">
      <w:pPr>
        <w:spacing w:before="120" w:after="120" w:line="360" w:lineRule="auto"/>
        <w:rPr>
          <w:rFonts w:ascii="Arial" w:hAnsi="Arial" w:cs="Arial"/>
          <w:iCs/>
          <w:lang w:val="sq-AL"/>
        </w:rPr>
      </w:pPr>
      <w:r w:rsidRPr="002A6F4E">
        <w:rPr>
          <w:rFonts w:ascii="Arial" w:hAnsi="Arial" w:cs="Arial"/>
          <w:iCs/>
          <w:lang w:val="sq-AL"/>
        </w:rPr>
        <w:t>Napominje se da se navedeni pokazatelji stvaranja otpada odnose na ukup</w:t>
      </w:r>
      <w:r w:rsidR="00C02354">
        <w:rPr>
          <w:rFonts w:ascii="Arial" w:hAnsi="Arial" w:cs="Arial"/>
          <w:iCs/>
          <w:lang w:val="sq-AL"/>
        </w:rPr>
        <w:t>n</w:t>
      </w:r>
      <w:r w:rsidRPr="002A6F4E">
        <w:rPr>
          <w:rFonts w:ascii="Arial" w:hAnsi="Arial" w:cs="Arial"/>
          <w:iCs/>
          <w:lang w:val="sq-AL"/>
        </w:rPr>
        <w:t>o</w:t>
      </w:r>
      <w:r w:rsidR="00725EA2">
        <w:rPr>
          <w:rFonts w:ascii="Arial" w:hAnsi="Arial" w:cs="Arial"/>
          <w:iCs/>
          <w:lang w:val="sq-AL"/>
        </w:rPr>
        <w:t xml:space="preserve"> generisanje komunalnog otpada.</w:t>
      </w:r>
    </w:p>
    <w:p w14:paraId="20A286E8" w14:textId="58DA6C8F" w:rsidR="00C232D7" w:rsidRPr="002A6F4E" w:rsidRDefault="00C232D7" w:rsidP="00C232D7">
      <w:pPr>
        <w:spacing w:before="120" w:after="120" w:line="360" w:lineRule="auto"/>
        <w:rPr>
          <w:rFonts w:ascii="Arial" w:hAnsi="Arial" w:cs="Arial"/>
          <w:iCs/>
          <w:lang w:val="sq-AL"/>
        </w:rPr>
      </w:pPr>
      <w:bookmarkStart w:id="696" w:name="_Toc190160694"/>
      <w:r w:rsidRPr="00FA71A9">
        <w:rPr>
          <w:rFonts w:ascii="Arial" w:hAnsi="Arial" w:cs="Arial"/>
          <w:bCs/>
          <w:color w:val="4F81BD"/>
          <w:sz w:val="18"/>
          <w:szCs w:val="18"/>
          <w:lang w:val="de-DE"/>
        </w:rPr>
        <w:t xml:space="preserve">Tabela </w:t>
      </w:r>
      <w:r w:rsidRPr="00FA71A9">
        <w:rPr>
          <w:rFonts w:ascii="Arial" w:hAnsi="Arial" w:cs="Arial"/>
          <w:bCs/>
          <w:color w:val="4F81BD"/>
          <w:sz w:val="18"/>
          <w:szCs w:val="18"/>
        </w:rPr>
        <w:fldChar w:fldCharType="begin"/>
      </w:r>
      <w:r w:rsidRPr="00FA71A9">
        <w:rPr>
          <w:rFonts w:ascii="Arial" w:hAnsi="Arial" w:cs="Arial"/>
          <w:bCs/>
          <w:color w:val="4F81BD"/>
          <w:sz w:val="18"/>
          <w:szCs w:val="18"/>
          <w:lang w:val="de-DE"/>
        </w:rPr>
        <w:instrText xml:space="preserve"> SEQ Tabela \* ARABIC </w:instrText>
      </w:r>
      <w:r w:rsidRPr="00FA71A9">
        <w:rPr>
          <w:rFonts w:ascii="Arial" w:hAnsi="Arial" w:cs="Arial"/>
          <w:bCs/>
          <w:color w:val="4F81BD"/>
          <w:sz w:val="18"/>
          <w:szCs w:val="18"/>
        </w:rPr>
        <w:fldChar w:fldCharType="separate"/>
      </w:r>
      <w:r w:rsidR="007274DA">
        <w:rPr>
          <w:rFonts w:ascii="Arial" w:hAnsi="Arial" w:cs="Arial"/>
          <w:bCs/>
          <w:noProof/>
          <w:color w:val="4F81BD"/>
          <w:sz w:val="18"/>
          <w:szCs w:val="18"/>
          <w:lang w:val="de-DE"/>
        </w:rPr>
        <w:t>4</w:t>
      </w:r>
      <w:r w:rsidRPr="00FA71A9">
        <w:rPr>
          <w:rFonts w:ascii="Arial" w:hAnsi="Arial" w:cs="Arial"/>
          <w:bCs/>
          <w:color w:val="4F81BD"/>
          <w:sz w:val="18"/>
          <w:szCs w:val="18"/>
        </w:rPr>
        <w:fldChar w:fldCharType="end"/>
      </w:r>
      <w:r w:rsidRPr="00FA71A9">
        <w:rPr>
          <w:rFonts w:ascii="Arial" w:hAnsi="Arial" w:cs="Arial"/>
          <w:bCs/>
          <w:color w:val="4F81BD"/>
          <w:sz w:val="18"/>
          <w:szCs w:val="18"/>
          <w:lang w:val="de-DE"/>
        </w:rPr>
        <w:t xml:space="preserve"> Sakupljene i stvorene količine komunalnog otpada, 2021-2023</w:t>
      </w:r>
      <w:bookmarkEnd w:id="696"/>
      <w:r w:rsidR="000830BA" w:rsidRPr="00FA71A9">
        <w:rPr>
          <w:rFonts w:ascii="Arial" w:hAnsi="Arial" w:cs="Arial"/>
          <w:bCs/>
          <w:color w:val="4F81BD"/>
          <w:sz w:val="18"/>
          <w:szCs w:val="18"/>
          <w:lang w:val="de-DE"/>
        </w:rPr>
        <w:t>. god</w:t>
      </w:r>
      <w:r w:rsidR="00E1670E" w:rsidRPr="00FA71A9">
        <w:rPr>
          <w:rFonts w:ascii="Arial" w:hAnsi="Arial" w:cs="Arial"/>
          <w:bCs/>
          <w:color w:val="4F81BD"/>
          <w:sz w:val="18"/>
          <w:szCs w:val="18"/>
          <w:lang w:val="de-DE"/>
        </w:rPr>
        <w:t>ina</w:t>
      </w:r>
      <w:r w:rsidR="006F1E43">
        <w:rPr>
          <w:rStyle w:val="FootnoteReference"/>
          <w:rFonts w:cs="Arial"/>
          <w:bCs/>
          <w:color w:val="4F81BD"/>
        </w:rPr>
        <w:footnoteReference w:id="9"/>
      </w:r>
    </w:p>
    <w:tbl>
      <w:tblPr>
        <w:tblStyle w:val="TableGrid5"/>
        <w:tblW w:w="8360" w:type="dxa"/>
        <w:tblInd w:w="984" w:type="dxa"/>
        <w:tblLook w:val="04A0" w:firstRow="1" w:lastRow="0" w:firstColumn="1" w:lastColumn="0" w:noHBand="0" w:noVBand="1"/>
      </w:tblPr>
      <w:tblGrid>
        <w:gridCol w:w="4295"/>
        <w:gridCol w:w="1355"/>
        <w:gridCol w:w="1355"/>
        <w:gridCol w:w="1355"/>
      </w:tblGrid>
      <w:tr w:rsidR="00C232D7" w:rsidRPr="00552AAE" w14:paraId="229D5B79" w14:textId="77777777" w:rsidTr="00C232D7">
        <w:trPr>
          <w:trHeight w:val="348"/>
        </w:trPr>
        <w:tc>
          <w:tcPr>
            <w:tcW w:w="8360" w:type="dxa"/>
            <w:gridSpan w:val="4"/>
            <w:noWrap/>
            <w:hideMark/>
          </w:tcPr>
          <w:p w14:paraId="161E472E" w14:textId="79B5AFBF" w:rsidR="00C232D7" w:rsidRPr="00F6198B" w:rsidRDefault="00C232D7" w:rsidP="00C232D7">
            <w:pPr>
              <w:rPr>
                <w:rFonts w:ascii="Arial" w:hAnsi="Arial" w:cs="Arial"/>
                <w:b/>
                <w:bCs/>
                <w:sz w:val="18"/>
                <w:lang w:val="sr-Latn-ME"/>
              </w:rPr>
            </w:pPr>
            <w:bookmarkStart w:id="697" w:name="_Hlk185587380"/>
            <w:bookmarkStart w:id="698" w:name="_Hlk109252500"/>
            <w:r w:rsidRPr="00F6198B">
              <w:rPr>
                <w:rFonts w:ascii="Arial" w:hAnsi="Arial" w:cs="Arial"/>
                <w:b/>
                <w:bCs/>
                <w:sz w:val="18"/>
                <w:lang w:val="sr-Latn-ME"/>
              </w:rPr>
              <w:t>Sakupljene i stvorene količine komunalnog otpada, 2021 - 2023.</w:t>
            </w:r>
          </w:p>
        </w:tc>
      </w:tr>
      <w:tr w:rsidR="00C232D7" w:rsidRPr="002A6F4E" w14:paraId="77631D13" w14:textId="77777777" w:rsidTr="00C232D7">
        <w:trPr>
          <w:trHeight w:val="312"/>
        </w:trPr>
        <w:tc>
          <w:tcPr>
            <w:tcW w:w="4295" w:type="dxa"/>
            <w:noWrap/>
            <w:hideMark/>
          </w:tcPr>
          <w:p w14:paraId="09CAE76F" w14:textId="77777777" w:rsidR="00C232D7" w:rsidRPr="00F6198B" w:rsidRDefault="00C232D7" w:rsidP="00C232D7">
            <w:pPr>
              <w:jc w:val="center"/>
              <w:rPr>
                <w:rFonts w:ascii="Arial" w:hAnsi="Arial" w:cs="Arial"/>
                <w:b/>
                <w:bCs/>
                <w:sz w:val="18"/>
                <w:lang w:val="sr-Latn-ME"/>
              </w:rPr>
            </w:pPr>
          </w:p>
        </w:tc>
        <w:tc>
          <w:tcPr>
            <w:tcW w:w="1355" w:type="dxa"/>
            <w:noWrap/>
            <w:hideMark/>
          </w:tcPr>
          <w:p w14:paraId="481D42D3" w14:textId="77777777" w:rsidR="00C232D7" w:rsidRPr="00F6198B" w:rsidRDefault="00C232D7" w:rsidP="00C232D7">
            <w:pPr>
              <w:jc w:val="center"/>
              <w:rPr>
                <w:rFonts w:ascii="Arial" w:hAnsi="Arial" w:cs="Arial"/>
                <w:sz w:val="18"/>
                <w:lang w:val="de-DE"/>
              </w:rPr>
            </w:pPr>
          </w:p>
        </w:tc>
        <w:tc>
          <w:tcPr>
            <w:tcW w:w="1355" w:type="dxa"/>
            <w:noWrap/>
            <w:hideMark/>
          </w:tcPr>
          <w:p w14:paraId="259966A8" w14:textId="77777777" w:rsidR="00C232D7" w:rsidRPr="00F6198B" w:rsidRDefault="00C232D7" w:rsidP="00C232D7">
            <w:pPr>
              <w:jc w:val="center"/>
              <w:rPr>
                <w:rFonts w:ascii="Arial" w:hAnsi="Arial" w:cs="Arial"/>
                <w:sz w:val="18"/>
                <w:lang w:val="de-DE"/>
              </w:rPr>
            </w:pPr>
          </w:p>
        </w:tc>
        <w:tc>
          <w:tcPr>
            <w:tcW w:w="1355" w:type="dxa"/>
            <w:noWrap/>
            <w:hideMark/>
          </w:tcPr>
          <w:p w14:paraId="0903F1E2" w14:textId="77777777" w:rsidR="00C232D7" w:rsidRPr="00F6198B" w:rsidRDefault="00C232D7" w:rsidP="00C232D7">
            <w:pPr>
              <w:jc w:val="center"/>
              <w:rPr>
                <w:rFonts w:ascii="Arial" w:hAnsi="Arial" w:cs="Arial"/>
                <w:sz w:val="18"/>
              </w:rPr>
            </w:pPr>
            <w:r w:rsidRPr="00F6198B">
              <w:rPr>
                <w:rFonts w:ascii="Arial" w:hAnsi="Arial" w:cs="Arial"/>
                <w:sz w:val="18"/>
              </w:rPr>
              <w:t>tone</w:t>
            </w:r>
          </w:p>
        </w:tc>
      </w:tr>
      <w:tr w:rsidR="00C232D7" w:rsidRPr="002A6F4E" w14:paraId="69C75A5F" w14:textId="77777777" w:rsidTr="00C232D7">
        <w:trPr>
          <w:trHeight w:val="276"/>
        </w:trPr>
        <w:tc>
          <w:tcPr>
            <w:tcW w:w="4295" w:type="dxa"/>
            <w:noWrap/>
            <w:hideMark/>
          </w:tcPr>
          <w:p w14:paraId="305F6806" w14:textId="77777777" w:rsidR="00C232D7" w:rsidRPr="00F6198B" w:rsidRDefault="00C232D7" w:rsidP="00C232D7">
            <w:pPr>
              <w:jc w:val="center"/>
              <w:rPr>
                <w:rFonts w:ascii="Arial" w:hAnsi="Arial" w:cs="Arial"/>
                <w:b/>
                <w:bCs/>
                <w:sz w:val="18"/>
                <w:lang w:val="sr-Latn-ME"/>
              </w:rPr>
            </w:pPr>
          </w:p>
        </w:tc>
        <w:tc>
          <w:tcPr>
            <w:tcW w:w="1355" w:type="dxa"/>
            <w:noWrap/>
            <w:hideMark/>
          </w:tcPr>
          <w:p w14:paraId="57268D6A" w14:textId="77777777" w:rsidR="00C232D7" w:rsidRPr="00F6198B" w:rsidRDefault="00C232D7" w:rsidP="00C232D7">
            <w:pPr>
              <w:jc w:val="center"/>
              <w:rPr>
                <w:rFonts w:ascii="Arial" w:hAnsi="Arial" w:cs="Arial"/>
                <w:b/>
                <w:bCs/>
                <w:sz w:val="18"/>
              </w:rPr>
            </w:pPr>
            <w:r w:rsidRPr="00F6198B">
              <w:rPr>
                <w:rFonts w:ascii="Arial" w:hAnsi="Arial" w:cs="Arial"/>
                <w:b/>
                <w:bCs/>
                <w:sz w:val="18"/>
              </w:rPr>
              <w:t>2021</w:t>
            </w:r>
          </w:p>
        </w:tc>
        <w:tc>
          <w:tcPr>
            <w:tcW w:w="1355" w:type="dxa"/>
            <w:noWrap/>
            <w:hideMark/>
          </w:tcPr>
          <w:p w14:paraId="7D0BF02C" w14:textId="77777777" w:rsidR="00C232D7" w:rsidRPr="00F6198B" w:rsidRDefault="00C232D7" w:rsidP="00C232D7">
            <w:pPr>
              <w:jc w:val="center"/>
              <w:rPr>
                <w:rFonts w:ascii="Arial" w:hAnsi="Arial" w:cs="Arial"/>
                <w:b/>
                <w:bCs/>
                <w:sz w:val="18"/>
              </w:rPr>
            </w:pPr>
            <w:r w:rsidRPr="00F6198B">
              <w:rPr>
                <w:rFonts w:ascii="Arial" w:hAnsi="Arial" w:cs="Arial"/>
                <w:b/>
                <w:bCs/>
                <w:sz w:val="18"/>
              </w:rPr>
              <w:t>2022</w:t>
            </w:r>
          </w:p>
        </w:tc>
        <w:tc>
          <w:tcPr>
            <w:tcW w:w="1355" w:type="dxa"/>
            <w:noWrap/>
            <w:hideMark/>
          </w:tcPr>
          <w:p w14:paraId="4E09D1ED" w14:textId="77777777" w:rsidR="00C232D7" w:rsidRPr="00F6198B" w:rsidRDefault="00C232D7" w:rsidP="00C232D7">
            <w:pPr>
              <w:jc w:val="center"/>
              <w:rPr>
                <w:rFonts w:ascii="Arial" w:hAnsi="Arial" w:cs="Arial"/>
                <w:b/>
                <w:bCs/>
                <w:sz w:val="18"/>
              </w:rPr>
            </w:pPr>
            <w:r w:rsidRPr="00F6198B">
              <w:rPr>
                <w:rFonts w:ascii="Arial" w:hAnsi="Arial" w:cs="Arial"/>
                <w:b/>
                <w:bCs/>
                <w:sz w:val="18"/>
              </w:rPr>
              <w:t>2023</w:t>
            </w:r>
          </w:p>
        </w:tc>
      </w:tr>
      <w:tr w:rsidR="00C232D7" w:rsidRPr="002A6F4E" w14:paraId="474E6BEB" w14:textId="77777777" w:rsidTr="00C232D7">
        <w:trPr>
          <w:trHeight w:val="468"/>
        </w:trPr>
        <w:tc>
          <w:tcPr>
            <w:tcW w:w="4295" w:type="dxa"/>
            <w:hideMark/>
          </w:tcPr>
          <w:p w14:paraId="1FE2D038" w14:textId="50BFF16A" w:rsidR="00C232D7" w:rsidRPr="00F6198B" w:rsidRDefault="00C232D7" w:rsidP="00C232D7">
            <w:pPr>
              <w:jc w:val="center"/>
              <w:rPr>
                <w:rFonts w:ascii="Arial" w:hAnsi="Arial" w:cs="Arial"/>
                <w:sz w:val="18"/>
                <w:lang w:val="sr-Latn-ME"/>
              </w:rPr>
            </w:pPr>
            <w:r w:rsidRPr="00F6198B">
              <w:rPr>
                <w:rFonts w:ascii="Arial" w:hAnsi="Arial" w:cs="Arial"/>
                <w:sz w:val="18"/>
                <w:lang w:val="sr-Latn-ME"/>
              </w:rPr>
              <w:t>Komunalni otpad sakupljen od strane komunalnih preduzeća</w:t>
            </w:r>
          </w:p>
        </w:tc>
        <w:tc>
          <w:tcPr>
            <w:tcW w:w="1355" w:type="dxa"/>
            <w:noWrap/>
            <w:hideMark/>
          </w:tcPr>
          <w:p w14:paraId="5B5AC8C9" w14:textId="77777777" w:rsidR="00C232D7" w:rsidRPr="00F6198B" w:rsidRDefault="00C232D7" w:rsidP="00C232D7">
            <w:pPr>
              <w:jc w:val="center"/>
              <w:rPr>
                <w:rFonts w:ascii="Arial" w:hAnsi="Arial" w:cs="Arial"/>
                <w:sz w:val="18"/>
              </w:rPr>
            </w:pPr>
            <w:r w:rsidRPr="00F6198B">
              <w:rPr>
                <w:rFonts w:ascii="Arial" w:hAnsi="Arial" w:cs="Arial"/>
                <w:sz w:val="18"/>
              </w:rPr>
              <w:t>293,294.3</w:t>
            </w:r>
          </w:p>
        </w:tc>
        <w:tc>
          <w:tcPr>
            <w:tcW w:w="1355" w:type="dxa"/>
            <w:noWrap/>
            <w:hideMark/>
          </w:tcPr>
          <w:p w14:paraId="44D5BC0F" w14:textId="77777777" w:rsidR="00C232D7" w:rsidRPr="00F6198B" w:rsidRDefault="00C232D7" w:rsidP="00C232D7">
            <w:pPr>
              <w:jc w:val="center"/>
              <w:rPr>
                <w:rFonts w:ascii="Arial" w:hAnsi="Arial" w:cs="Arial"/>
                <w:sz w:val="18"/>
              </w:rPr>
            </w:pPr>
            <w:r w:rsidRPr="00F6198B">
              <w:rPr>
                <w:rFonts w:ascii="Arial" w:hAnsi="Arial" w:cs="Arial"/>
                <w:sz w:val="18"/>
              </w:rPr>
              <w:t>314,612.4</w:t>
            </w:r>
          </w:p>
        </w:tc>
        <w:tc>
          <w:tcPr>
            <w:tcW w:w="1355" w:type="dxa"/>
            <w:noWrap/>
            <w:hideMark/>
          </w:tcPr>
          <w:p w14:paraId="569C5AA6" w14:textId="77777777" w:rsidR="00C232D7" w:rsidRPr="00F6198B" w:rsidRDefault="00C232D7" w:rsidP="00C232D7">
            <w:pPr>
              <w:jc w:val="center"/>
              <w:rPr>
                <w:rFonts w:ascii="Arial" w:hAnsi="Arial" w:cs="Arial"/>
                <w:sz w:val="18"/>
              </w:rPr>
            </w:pPr>
            <w:r w:rsidRPr="00F6198B">
              <w:rPr>
                <w:rFonts w:ascii="Arial" w:hAnsi="Arial" w:cs="Arial"/>
                <w:sz w:val="18"/>
              </w:rPr>
              <w:t>330,844.2</w:t>
            </w:r>
          </w:p>
        </w:tc>
      </w:tr>
      <w:tr w:rsidR="00C232D7" w:rsidRPr="002A6F4E" w14:paraId="0554768B" w14:textId="77777777" w:rsidTr="00C232D7">
        <w:trPr>
          <w:trHeight w:val="924"/>
        </w:trPr>
        <w:tc>
          <w:tcPr>
            <w:tcW w:w="4295" w:type="dxa"/>
            <w:hideMark/>
          </w:tcPr>
          <w:p w14:paraId="268EF981" w14:textId="77777777" w:rsidR="00C232D7" w:rsidRPr="00F6198B" w:rsidRDefault="00C232D7" w:rsidP="00C232D7">
            <w:pPr>
              <w:jc w:val="center"/>
              <w:rPr>
                <w:rFonts w:ascii="Arial" w:hAnsi="Arial" w:cs="Arial"/>
                <w:sz w:val="18"/>
                <w:lang w:val="sr-Latn-ME"/>
              </w:rPr>
            </w:pPr>
            <w:r w:rsidRPr="00F6198B">
              <w:rPr>
                <w:rFonts w:ascii="Arial" w:hAnsi="Arial" w:cs="Arial"/>
                <w:sz w:val="18"/>
                <w:lang w:val="sr-Latn-ME"/>
              </w:rPr>
              <w:t>Komunalni otpad sakupljen od strane sakupljača otpada, otpad dovezen na deponije od strane fizičkih lica i direktno izvezen od izvornih proizvođača</w:t>
            </w:r>
          </w:p>
        </w:tc>
        <w:tc>
          <w:tcPr>
            <w:tcW w:w="1355" w:type="dxa"/>
            <w:noWrap/>
            <w:hideMark/>
          </w:tcPr>
          <w:p w14:paraId="56068940" w14:textId="77777777" w:rsidR="00C232D7" w:rsidRPr="00F6198B" w:rsidRDefault="00C232D7" w:rsidP="00C232D7">
            <w:pPr>
              <w:jc w:val="center"/>
              <w:rPr>
                <w:rFonts w:ascii="Arial" w:hAnsi="Arial" w:cs="Arial"/>
                <w:sz w:val="18"/>
              </w:rPr>
            </w:pPr>
            <w:r w:rsidRPr="00F6198B">
              <w:rPr>
                <w:rFonts w:ascii="Arial" w:hAnsi="Arial" w:cs="Arial"/>
                <w:sz w:val="18"/>
              </w:rPr>
              <w:t>15,609.9</w:t>
            </w:r>
          </w:p>
        </w:tc>
        <w:tc>
          <w:tcPr>
            <w:tcW w:w="1355" w:type="dxa"/>
            <w:noWrap/>
            <w:hideMark/>
          </w:tcPr>
          <w:p w14:paraId="53CC4FB7" w14:textId="77777777" w:rsidR="00C232D7" w:rsidRPr="00F6198B" w:rsidRDefault="00C232D7" w:rsidP="00C232D7">
            <w:pPr>
              <w:jc w:val="center"/>
              <w:rPr>
                <w:rFonts w:ascii="Arial" w:hAnsi="Arial" w:cs="Arial"/>
                <w:sz w:val="18"/>
              </w:rPr>
            </w:pPr>
            <w:r w:rsidRPr="00F6198B">
              <w:rPr>
                <w:rFonts w:ascii="Arial" w:hAnsi="Arial" w:cs="Arial"/>
                <w:sz w:val="18"/>
              </w:rPr>
              <w:t>6,527.1</w:t>
            </w:r>
          </w:p>
        </w:tc>
        <w:tc>
          <w:tcPr>
            <w:tcW w:w="1355" w:type="dxa"/>
            <w:noWrap/>
            <w:hideMark/>
          </w:tcPr>
          <w:p w14:paraId="601AF5CC" w14:textId="77777777" w:rsidR="00C232D7" w:rsidRPr="00F6198B" w:rsidRDefault="00C232D7" w:rsidP="00C232D7">
            <w:pPr>
              <w:jc w:val="center"/>
              <w:rPr>
                <w:rFonts w:ascii="Arial" w:hAnsi="Arial" w:cs="Arial"/>
                <w:sz w:val="18"/>
              </w:rPr>
            </w:pPr>
            <w:r w:rsidRPr="00F6198B">
              <w:rPr>
                <w:rFonts w:ascii="Arial" w:hAnsi="Arial" w:cs="Arial"/>
                <w:sz w:val="18"/>
              </w:rPr>
              <w:t>11,386.7</w:t>
            </w:r>
          </w:p>
        </w:tc>
      </w:tr>
      <w:tr w:rsidR="00C232D7" w:rsidRPr="002A6F4E" w14:paraId="3FD2B9FF" w14:textId="77777777" w:rsidTr="00C232D7">
        <w:trPr>
          <w:trHeight w:val="276"/>
        </w:trPr>
        <w:tc>
          <w:tcPr>
            <w:tcW w:w="4295" w:type="dxa"/>
            <w:hideMark/>
          </w:tcPr>
          <w:p w14:paraId="14546766" w14:textId="77777777" w:rsidR="00C232D7" w:rsidRPr="00F6198B" w:rsidRDefault="00C232D7" w:rsidP="00C232D7">
            <w:pPr>
              <w:jc w:val="center"/>
              <w:rPr>
                <w:rFonts w:ascii="Arial" w:hAnsi="Arial" w:cs="Arial"/>
                <w:b/>
                <w:bCs/>
                <w:sz w:val="18"/>
                <w:lang w:val="sr-Latn-ME"/>
              </w:rPr>
            </w:pPr>
            <w:r w:rsidRPr="00F6198B">
              <w:rPr>
                <w:rFonts w:ascii="Arial" w:hAnsi="Arial" w:cs="Arial"/>
                <w:b/>
                <w:bCs/>
                <w:sz w:val="18"/>
                <w:lang w:val="sr-Latn-ME"/>
              </w:rPr>
              <w:t>Ukupno sakupljene količine komunalnog otpada</w:t>
            </w:r>
          </w:p>
        </w:tc>
        <w:tc>
          <w:tcPr>
            <w:tcW w:w="1355" w:type="dxa"/>
            <w:noWrap/>
            <w:hideMark/>
          </w:tcPr>
          <w:p w14:paraId="050F70AD" w14:textId="77777777" w:rsidR="00C232D7" w:rsidRPr="00F6198B" w:rsidRDefault="00C232D7" w:rsidP="00C232D7">
            <w:pPr>
              <w:jc w:val="center"/>
              <w:rPr>
                <w:rFonts w:ascii="Arial" w:hAnsi="Arial" w:cs="Arial"/>
                <w:b/>
                <w:bCs/>
                <w:sz w:val="18"/>
              </w:rPr>
            </w:pPr>
            <w:r w:rsidRPr="00F6198B">
              <w:rPr>
                <w:rFonts w:ascii="Arial" w:hAnsi="Arial" w:cs="Arial"/>
                <w:b/>
                <w:bCs/>
                <w:sz w:val="18"/>
              </w:rPr>
              <w:t>308,904.2</w:t>
            </w:r>
          </w:p>
        </w:tc>
        <w:tc>
          <w:tcPr>
            <w:tcW w:w="1355" w:type="dxa"/>
            <w:noWrap/>
            <w:hideMark/>
          </w:tcPr>
          <w:p w14:paraId="3C624E4D" w14:textId="77777777" w:rsidR="00C232D7" w:rsidRPr="00F6198B" w:rsidRDefault="00C232D7" w:rsidP="00C232D7">
            <w:pPr>
              <w:jc w:val="center"/>
              <w:rPr>
                <w:rFonts w:ascii="Arial" w:hAnsi="Arial" w:cs="Arial"/>
                <w:b/>
                <w:bCs/>
                <w:sz w:val="18"/>
              </w:rPr>
            </w:pPr>
            <w:r w:rsidRPr="00F6198B">
              <w:rPr>
                <w:rFonts w:ascii="Arial" w:hAnsi="Arial" w:cs="Arial"/>
                <w:b/>
                <w:bCs/>
                <w:sz w:val="18"/>
              </w:rPr>
              <w:t>321,139.5</w:t>
            </w:r>
          </w:p>
        </w:tc>
        <w:tc>
          <w:tcPr>
            <w:tcW w:w="1355" w:type="dxa"/>
            <w:noWrap/>
            <w:hideMark/>
          </w:tcPr>
          <w:p w14:paraId="2262B551" w14:textId="77777777" w:rsidR="00C232D7" w:rsidRPr="00F6198B" w:rsidRDefault="00C232D7" w:rsidP="00C232D7">
            <w:pPr>
              <w:jc w:val="center"/>
              <w:rPr>
                <w:rFonts w:ascii="Arial" w:hAnsi="Arial" w:cs="Arial"/>
                <w:b/>
                <w:bCs/>
                <w:sz w:val="18"/>
              </w:rPr>
            </w:pPr>
            <w:r w:rsidRPr="00F6198B">
              <w:rPr>
                <w:rFonts w:ascii="Arial" w:hAnsi="Arial" w:cs="Arial"/>
                <w:b/>
                <w:bCs/>
                <w:sz w:val="18"/>
              </w:rPr>
              <w:t>342,230.9</w:t>
            </w:r>
          </w:p>
        </w:tc>
      </w:tr>
      <w:tr w:rsidR="00C232D7" w:rsidRPr="002A6F4E" w14:paraId="2EA32471" w14:textId="77777777" w:rsidTr="00C232D7">
        <w:trPr>
          <w:trHeight w:val="468"/>
        </w:trPr>
        <w:tc>
          <w:tcPr>
            <w:tcW w:w="4295" w:type="dxa"/>
            <w:hideMark/>
          </w:tcPr>
          <w:p w14:paraId="12362FC0" w14:textId="6E9D4AD8" w:rsidR="00C232D7" w:rsidRPr="00F6198B" w:rsidRDefault="00C232D7" w:rsidP="00C232D7">
            <w:pPr>
              <w:jc w:val="center"/>
              <w:rPr>
                <w:rFonts w:ascii="Arial" w:hAnsi="Arial" w:cs="Arial"/>
                <w:sz w:val="18"/>
                <w:lang w:val="sr-Latn-ME"/>
              </w:rPr>
            </w:pPr>
            <w:r w:rsidRPr="00F6198B">
              <w:rPr>
                <w:rFonts w:ascii="Arial" w:hAnsi="Arial" w:cs="Arial"/>
                <w:sz w:val="18"/>
                <w:lang w:val="sr-Latn-ME"/>
              </w:rPr>
              <w:t>Količine otpada od građana koji nijesu uključeni u sistem odvoza komunalnog otpada</w:t>
            </w:r>
          </w:p>
        </w:tc>
        <w:tc>
          <w:tcPr>
            <w:tcW w:w="1355" w:type="dxa"/>
            <w:noWrap/>
            <w:hideMark/>
          </w:tcPr>
          <w:p w14:paraId="43D2907F" w14:textId="77777777" w:rsidR="00C232D7" w:rsidRPr="00F6198B" w:rsidRDefault="00C232D7" w:rsidP="00C232D7">
            <w:pPr>
              <w:jc w:val="center"/>
              <w:rPr>
                <w:rFonts w:ascii="Arial" w:hAnsi="Arial" w:cs="Arial"/>
                <w:sz w:val="18"/>
              </w:rPr>
            </w:pPr>
            <w:r w:rsidRPr="00F6198B">
              <w:rPr>
                <w:rFonts w:ascii="Arial" w:hAnsi="Arial" w:cs="Arial"/>
                <w:sz w:val="18"/>
              </w:rPr>
              <w:t>16,803.3</w:t>
            </w:r>
          </w:p>
        </w:tc>
        <w:tc>
          <w:tcPr>
            <w:tcW w:w="1355" w:type="dxa"/>
            <w:noWrap/>
            <w:hideMark/>
          </w:tcPr>
          <w:p w14:paraId="7FFE375E" w14:textId="77777777" w:rsidR="00C232D7" w:rsidRPr="00F6198B" w:rsidRDefault="00C232D7" w:rsidP="00C232D7">
            <w:pPr>
              <w:jc w:val="center"/>
              <w:rPr>
                <w:rFonts w:ascii="Arial" w:hAnsi="Arial" w:cs="Arial"/>
                <w:sz w:val="18"/>
              </w:rPr>
            </w:pPr>
            <w:r w:rsidRPr="00F6198B">
              <w:rPr>
                <w:rFonts w:ascii="Arial" w:hAnsi="Arial" w:cs="Arial"/>
                <w:sz w:val="18"/>
              </w:rPr>
              <w:t>14,658.1</w:t>
            </w:r>
          </w:p>
        </w:tc>
        <w:tc>
          <w:tcPr>
            <w:tcW w:w="1355" w:type="dxa"/>
            <w:noWrap/>
            <w:hideMark/>
          </w:tcPr>
          <w:p w14:paraId="569F0C2E" w14:textId="77777777" w:rsidR="00C232D7" w:rsidRPr="00F6198B" w:rsidRDefault="00C232D7" w:rsidP="00C232D7">
            <w:pPr>
              <w:jc w:val="center"/>
              <w:rPr>
                <w:rFonts w:ascii="Arial" w:hAnsi="Arial" w:cs="Arial"/>
                <w:sz w:val="18"/>
              </w:rPr>
            </w:pPr>
            <w:r w:rsidRPr="00F6198B">
              <w:rPr>
                <w:rFonts w:ascii="Arial" w:hAnsi="Arial" w:cs="Arial"/>
                <w:sz w:val="18"/>
              </w:rPr>
              <w:t>17,905.9</w:t>
            </w:r>
          </w:p>
        </w:tc>
      </w:tr>
      <w:tr w:rsidR="00C232D7" w:rsidRPr="002A6F4E" w14:paraId="7F6B9530" w14:textId="77777777" w:rsidTr="00C232D7">
        <w:trPr>
          <w:trHeight w:val="276"/>
        </w:trPr>
        <w:tc>
          <w:tcPr>
            <w:tcW w:w="4295" w:type="dxa"/>
            <w:noWrap/>
            <w:hideMark/>
          </w:tcPr>
          <w:p w14:paraId="43B9D3D3" w14:textId="77777777" w:rsidR="00C232D7" w:rsidRPr="00F6198B" w:rsidRDefault="00C232D7" w:rsidP="00C232D7">
            <w:pPr>
              <w:jc w:val="center"/>
              <w:rPr>
                <w:rFonts w:ascii="Arial" w:hAnsi="Arial" w:cs="Arial"/>
                <w:b/>
                <w:bCs/>
                <w:sz w:val="18"/>
                <w:lang w:val="sr-Latn-ME"/>
              </w:rPr>
            </w:pPr>
            <w:r w:rsidRPr="00F6198B">
              <w:rPr>
                <w:rFonts w:ascii="Arial" w:hAnsi="Arial" w:cs="Arial"/>
                <w:b/>
                <w:bCs/>
                <w:sz w:val="18"/>
                <w:lang w:val="sr-Latn-ME"/>
              </w:rPr>
              <w:t>UKUPNO</w:t>
            </w:r>
          </w:p>
        </w:tc>
        <w:tc>
          <w:tcPr>
            <w:tcW w:w="1355" w:type="dxa"/>
            <w:noWrap/>
            <w:hideMark/>
          </w:tcPr>
          <w:p w14:paraId="4B001826" w14:textId="77777777" w:rsidR="00C232D7" w:rsidRPr="00F6198B" w:rsidRDefault="00C232D7" w:rsidP="00C232D7">
            <w:pPr>
              <w:jc w:val="center"/>
              <w:rPr>
                <w:rFonts w:ascii="Arial" w:hAnsi="Arial" w:cs="Arial"/>
                <w:b/>
                <w:bCs/>
                <w:sz w:val="18"/>
              </w:rPr>
            </w:pPr>
            <w:r w:rsidRPr="00F6198B">
              <w:rPr>
                <w:rFonts w:ascii="Arial" w:hAnsi="Arial" w:cs="Arial"/>
                <w:b/>
                <w:bCs/>
                <w:sz w:val="18"/>
              </w:rPr>
              <w:t>325,707.5</w:t>
            </w:r>
          </w:p>
        </w:tc>
        <w:tc>
          <w:tcPr>
            <w:tcW w:w="1355" w:type="dxa"/>
            <w:noWrap/>
            <w:hideMark/>
          </w:tcPr>
          <w:p w14:paraId="5DAB431E" w14:textId="77777777" w:rsidR="00C232D7" w:rsidRPr="00F6198B" w:rsidRDefault="00C232D7" w:rsidP="00C232D7">
            <w:pPr>
              <w:jc w:val="center"/>
              <w:rPr>
                <w:rFonts w:ascii="Arial" w:hAnsi="Arial" w:cs="Arial"/>
                <w:b/>
                <w:bCs/>
                <w:sz w:val="18"/>
              </w:rPr>
            </w:pPr>
            <w:r w:rsidRPr="00F6198B">
              <w:rPr>
                <w:rFonts w:ascii="Arial" w:hAnsi="Arial" w:cs="Arial"/>
                <w:b/>
                <w:bCs/>
                <w:sz w:val="18"/>
              </w:rPr>
              <w:t>335,797.6</w:t>
            </w:r>
          </w:p>
        </w:tc>
        <w:tc>
          <w:tcPr>
            <w:tcW w:w="1355" w:type="dxa"/>
            <w:noWrap/>
            <w:hideMark/>
          </w:tcPr>
          <w:p w14:paraId="0E3AC386" w14:textId="77777777" w:rsidR="00C232D7" w:rsidRPr="00F6198B" w:rsidRDefault="00C232D7" w:rsidP="00C232D7">
            <w:pPr>
              <w:jc w:val="center"/>
              <w:rPr>
                <w:rFonts w:ascii="Arial" w:hAnsi="Arial" w:cs="Arial"/>
                <w:b/>
                <w:bCs/>
                <w:sz w:val="18"/>
              </w:rPr>
            </w:pPr>
            <w:r w:rsidRPr="00F6198B">
              <w:rPr>
                <w:rFonts w:ascii="Arial" w:hAnsi="Arial" w:cs="Arial"/>
                <w:b/>
                <w:bCs/>
                <w:sz w:val="18"/>
              </w:rPr>
              <w:t>360,136.8</w:t>
            </w:r>
          </w:p>
        </w:tc>
      </w:tr>
    </w:tbl>
    <w:p w14:paraId="121807E6" w14:textId="2E55C6B6" w:rsidR="00C232D7" w:rsidRDefault="00C232D7" w:rsidP="00C232D7">
      <w:pPr>
        <w:pStyle w:val="Caption"/>
        <w:rPr>
          <w:rFonts w:ascii="Arial" w:hAnsi="Arial" w:cs="Arial"/>
          <w:b w:val="0"/>
          <w:szCs w:val="20"/>
          <w:lang w:val="sq-AL"/>
        </w:rPr>
      </w:pPr>
      <w:bookmarkStart w:id="699" w:name="_Toc190160695"/>
      <w:bookmarkEnd w:id="697"/>
      <w:r w:rsidRPr="00F6198B">
        <w:rPr>
          <w:rFonts w:ascii="Arial" w:hAnsi="Arial" w:cs="Arial"/>
          <w:b w:val="0"/>
          <w:szCs w:val="20"/>
          <w:lang w:val="sq-AL"/>
        </w:rPr>
        <w:lastRenderedPageBreak/>
        <w:t xml:space="preserve">Tabela </w:t>
      </w:r>
      <w:r w:rsidRPr="00F6198B">
        <w:rPr>
          <w:rFonts w:ascii="Arial" w:hAnsi="Arial" w:cs="Arial"/>
          <w:b w:val="0"/>
          <w:szCs w:val="20"/>
        </w:rPr>
        <w:fldChar w:fldCharType="begin"/>
      </w:r>
      <w:r w:rsidRPr="00F6198B">
        <w:rPr>
          <w:rFonts w:ascii="Arial" w:hAnsi="Arial" w:cs="Arial"/>
          <w:b w:val="0"/>
          <w:szCs w:val="20"/>
          <w:lang w:val="sq-AL"/>
        </w:rPr>
        <w:instrText xml:space="preserve"> SEQ Tabela \* ARABIC </w:instrText>
      </w:r>
      <w:r w:rsidRPr="00F6198B">
        <w:rPr>
          <w:rFonts w:ascii="Arial" w:hAnsi="Arial" w:cs="Arial"/>
          <w:b w:val="0"/>
          <w:szCs w:val="20"/>
        </w:rPr>
        <w:fldChar w:fldCharType="separate"/>
      </w:r>
      <w:r w:rsidR="007274DA">
        <w:rPr>
          <w:rFonts w:ascii="Arial" w:hAnsi="Arial" w:cs="Arial"/>
          <w:b w:val="0"/>
          <w:noProof/>
          <w:szCs w:val="20"/>
          <w:lang w:val="sq-AL"/>
        </w:rPr>
        <w:t>5</w:t>
      </w:r>
      <w:r w:rsidRPr="00F6198B">
        <w:rPr>
          <w:rFonts w:ascii="Arial" w:hAnsi="Arial" w:cs="Arial"/>
          <w:b w:val="0"/>
          <w:szCs w:val="20"/>
        </w:rPr>
        <w:fldChar w:fldCharType="end"/>
      </w:r>
      <w:r w:rsidRPr="00F6198B">
        <w:rPr>
          <w:rFonts w:ascii="Arial" w:hAnsi="Arial" w:cs="Arial"/>
          <w:b w:val="0"/>
          <w:szCs w:val="20"/>
          <w:lang w:val="sq-AL"/>
        </w:rPr>
        <w:t xml:space="preserve"> Sastav proizvedenog komunalnog otpada, 2021-2023</w:t>
      </w:r>
      <w:bookmarkEnd w:id="699"/>
      <w:r w:rsidR="00E1670E" w:rsidRPr="00F6198B">
        <w:rPr>
          <w:rFonts w:ascii="Arial" w:hAnsi="Arial" w:cs="Arial"/>
          <w:b w:val="0"/>
          <w:szCs w:val="20"/>
          <w:lang w:val="sq-AL"/>
        </w:rPr>
        <w:t xml:space="preserve">. </w:t>
      </w:r>
      <w:r w:rsidR="00725EA2">
        <w:rPr>
          <w:rFonts w:ascii="Arial" w:hAnsi="Arial" w:cs="Arial"/>
          <w:b w:val="0"/>
          <w:szCs w:val="20"/>
          <w:lang w:val="sq-AL"/>
        </w:rPr>
        <w:t>g</w:t>
      </w:r>
      <w:r w:rsidR="00E1670E" w:rsidRPr="00F6198B">
        <w:rPr>
          <w:rFonts w:ascii="Arial" w:hAnsi="Arial" w:cs="Arial"/>
          <w:b w:val="0"/>
          <w:szCs w:val="20"/>
          <w:lang w:val="sq-AL"/>
        </w:rPr>
        <w:t>odina</w:t>
      </w:r>
    </w:p>
    <w:p w14:paraId="1F303C0E" w14:textId="77777777" w:rsidR="00725EA2" w:rsidRPr="00725EA2" w:rsidRDefault="00725EA2" w:rsidP="00725EA2">
      <w:pPr>
        <w:rPr>
          <w:lang w:val="sq-AL"/>
        </w:rPr>
      </w:pPr>
    </w:p>
    <w:tbl>
      <w:tblPr>
        <w:tblStyle w:val="TableGrid4"/>
        <w:tblW w:w="6309" w:type="dxa"/>
        <w:tblInd w:w="1811" w:type="dxa"/>
        <w:tblLook w:val="04A0" w:firstRow="1" w:lastRow="0" w:firstColumn="1" w:lastColumn="0" w:noHBand="0" w:noVBand="1"/>
      </w:tblPr>
      <w:tblGrid>
        <w:gridCol w:w="2304"/>
        <w:gridCol w:w="1335"/>
        <w:gridCol w:w="1335"/>
        <w:gridCol w:w="1335"/>
      </w:tblGrid>
      <w:tr w:rsidR="00C232D7" w:rsidRPr="00F6198B" w14:paraId="29F0DC2C" w14:textId="77777777" w:rsidTr="00C232D7">
        <w:trPr>
          <w:trHeight w:val="336"/>
        </w:trPr>
        <w:tc>
          <w:tcPr>
            <w:tcW w:w="6309" w:type="dxa"/>
            <w:gridSpan w:val="4"/>
            <w:noWrap/>
          </w:tcPr>
          <w:p w14:paraId="3EF3CC49" w14:textId="77777777" w:rsidR="00C232D7" w:rsidRPr="00F6198B" w:rsidRDefault="00C232D7" w:rsidP="00C232D7">
            <w:pPr>
              <w:spacing w:line="360" w:lineRule="auto"/>
              <w:rPr>
                <w:rFonts w:ascii="Arial" w:hAnsi="Arial" w:cs="Arial"/>
                <w:b/>
                <w:bCs/>
                <w:sz w:val="18"/>
                <w:lang w:val="sr-Latn-ME"/>
              </w:rPr>
            </w:pPr>
            <w:r w:rsidRPr="00F6198B">
              <w:rPr>
                <w:rFonts w:ascii="Arial" w:hAnsi="Arial" w:cs="Arial"/>
                <w:b/>
                <w:bCs/>
                <w:sz w:val="18"/>
                <w:lang w:val="sr-Latn-ME"/>
              </w:rPr>
              <w:t>Sastav proizvedenog komunalnog otpada, 2021 – 2023</w:t>
            </w:r>
          </w:p>
        </w:tc>
      </w:tr>
      <w:tr w:rsidR="00C232D7" w:rsidRPr="00F6198B" w14:paraId="12C13CE7" w14:textId="77777777" w:rsidTr="00C232D7">
        <w:trPr>
          <w:trHeight w:val="288"/>
        </w:trPr>
        <w:tc>
          <w:tcPr>
            <w:tcW w:w="2304" w:type="dxa"/>
            <w:noWrap/>
          </w:tcPr>
          <w:p w14:paraId="183B3AAF" w14:textId="77777777" w:rsidR="00C232D7" w:rsidRPr="00F6198B" w:rsidRDefault="00C232D7" w:rsidP="00C232D7">
            <w:pPr>
              <w:spacing w:line="360" w:lineRule="auto"/>
              <w:rPr>
                <w:rFonts w:ascii="Arial" w:hAnsi="Arial" w:cs="Arial"/>
                <w:b/>
                <w:bCs/>
                <w:sz w:val="18"/>
                <w:lang w:val="sr-Latn-ME"/>
              </w:rPr>
            </w:pPr>
          </w:p>
        </w:tc>
        <w:tc>
          <w:tcPr>
            <w:tcW w:w="1335" w:type="dxa"/>
            <w:noWrap/>
          </w:tcPr>
          <w:p w14:paraId="334715FB" w14:textId="77777777" w:rsidR="00C232D7" w:rsidRPr="00F6198B" w:rsidRDefault="00C232D7" w:rsidP="00C232D7">
            <w:pPr>
              <w:spacing w:line="360" w:lineRule="auto"/>
              <w:rPr>
                <w:rFonts w:ascii="Arial" w:hAnsi="Arial" w:cs="Arial"/>
                <w:sz w:val="18"/>
                <w:lang w:val="sr-Latn-ME"/>
              </w:rPr>
            </w:pPr>
          </w:p>
        </w:tc>
        <w:tc>
          <w:tcPr>
            <w:tcW w:w="1335" w:type="dxa"/>
            <w:noWrap/>
          </w:tcPr>
          <w:p w14:paraId="4922FFD2" w14:textId="77777777" w:rsidR="00C232D7" w:rsidRPr="00F6198B" w:rsidRDefault="00C232D7" w:rsidP="00C232D7">
            <w:pPr>
              <w:spacing w:line="360" w:lineRule="auto"/>
              <w:rPr>
                <w:rFonts w:ascii="Arial" w:hAnsi="Arial" w:cs="Arial"/>
                <w:sz w:val="18"/>
                <w:lang w:val="sr-Latn-ME"/>
              </w:rPr>
            </w:pPr>
          </w:p>
        </w:tc>
        <w:tc>
          <w:tcPr>
            <w:tcW w:w="1335" w:type="dxa"/>
            <w:noWrap/>
          </w:tcPr>
          <w:p w14:paraId="5EBCF99F" w14:textId="77777777" w:rsidR="00C232D7" w:rsidRPr="00F6198B" w:rsidRDefault="00C232D7" w:rsidP="00C232D7">
            <w:pPr>
              <w:spacing w:line="360" w:lineRule="auto"/>
              <w:rPr>
                <w:rFonts w:ascii="Arial" w:hAnsi="Arial" w:cs="Arial"/>
                <w:sz w:val="18"/>
                <w:lang w:val="sr-Latn-ME"/>
              </w:rPr>
            </w:pPr>
            <w:r w:rsidRPr="00F6198B">
              <w:rPr>
                <w:rFonts w:ascii="Arial" w:hAnsi="Arial" w:cs="Arial"/>
                <w:sz w:val="18"/>
                <w:lang w:val="sr-Latn-ME"/>
              </w:rPr>
              <w:t>Tone</w:t>
            </w:r>
          </w:p>
        </w:tc>
      </w:tr>
      <w:tr w:rsidR="00C232D7" w:rsidRPr="00F6198B" w14:paraId="7273D1BC" w14:textId="77777777" w:rsidTr="00C232D7">
        <w:trPr>
          <w:trHeight w:val="288"/>
        </w:trPr>
        <w:tc>
          <w:tcPr>
            <w:tcW w:w="2304" w:type="dxa"/>
            <w:noWrap/>
          </w:tcPr>
          <w:p w14:paraId="1A4A323A" w14:textId="77777777" w:rsidR="00C232D7" w:rsidRPr="00F6198B" w:rsidRDefault="00C232D7" w:rsidP="00C232D7">
            <w:pPr>
              <w:spacing w:line="360" w:lineRule="auto"/>
              <w:rPr>
                <w:rFonts w:ascii="Arial" w:hAnsi="Arial" w:cs="Arial"/>
                <w:b/>
                <w:bCs/>
                <w:sz w:val="18"/>
                <w:lang w:val="sr-Latn-ME"/>
              </w:rPr>
            </w:pPr>
          </w:p>
        </w:tc>
        <w:tc>
          <w:tcPr>
            <w:tcW w:w="1335" w:type="dxa"/>
            <w:noWrap/>
          </w:tcPr>
          <w:p w14:paraId="2B75996A" w14:textId="77777777" w:rsidR="00C232D7" w:rsidRPr="00F6198B" w:rsidRDefault="00C232D7" w:rsidP="00C232D7">
            <w:pPr>
              <w:spacing w:line="360" w:lineRule="auto"/>
              <w:rPr>
                <w:rFonts w:ascii="Arial" w:hAnsi="Arial" w:cs="Arial"/>
                <w:b/>
                <w:bCs/>
                <w:sz w:val="18"/>
                <w:lang w:val="sr-Latn-ME"/>
              </w:rPr>
            </w:pPr>
            <w:r w:rsidRPr="00F6198B">
              <w:rPr>
                <w:rFonts w:ascii="Arial" w:hAnsi="Arial" w:cs="Arial"/>
                <w:b/>
                <w:bCs/>
                <w:sz w:val="18"/>
                <w:lang w:val="sr-Latn-ME"/>
              </w:rPr>
              <w:t>2021</w:t>
            </w:r>
          </w:p>
        </w:tc>
        <w:tc>
          <w:tcPr>
            <w:tcW w:w="1335" w:type="dxa"/>
            <w:noWrap/>
          </w:tcPr>
          <w:p w14:paraId="598B2FC7" w14:textId="77777777" w:rsidR="00C232D7" w:rsidRPr="00F6198B" w:rsidRDefault="00C232D7" w:rsidP="00C232D7">
            <w:pPr>
              <w:spacing w:line="360" w:lineRule="auto"/>
              <w:rPr>
                <w:rFonts w:ascii="Arial" w:hAnsi="Arial" w:cs="Arial"/>
                <w:b/>
                <w:bCs/>
                <w:sz w:val="18"/>
                <w:lang w:val="sr-Latn-ME"/>
              </w:rPr>
            </w:pPr>
            <w:r w:rsidRPr="00F6198B">
              <w:rPr>
                <w:rFonts w:ascii="Arial" w:hAnsi="Arial" w:cs="Arial"/>
                <w:b/>
                <w:bCs/>
                <w:sz w:val="18"/>
                <w:lang w:val="sr-Latn-ME"/>
              </w:rPr>
              <w:t>2022</w:t>
            </w:r>
          </w:p>
        </w:tc>
        <w:tc>
          <w:tcPr>
            <w:tcW w:w="1335" w:type="dxa"/>
            <w:noWrap/>
          </w:tcPr>
          <w:p w14:paraId="4BB4CEF1" w14:textId="77777777" w:rsidR="00C232D7" w:rsidRPr="00F6198B" w:rsidRDefault="00C232D7" w:rsidP="00C232D7">
            <w:pPr>
              <w:spacing w:line="360" w:lineRule="auto"/>
              <w:rPr>
                <w:rFonts w:ascii="Arial" w:hAnsi="Arial" w:cs="Arial"/>
                <w:b/>
                <w:bCs/>
                <w:sz w:val="18"/>
                <w:lang w:val="sr-Latn-ME"/>
              </w:rPr>
            </w:pPr>
            <w:r w:rsidRPr="00F6198B">
              <w:rPr>
                <w:rFonts w:ascii="Arial" w:hAnsi="Arial" w:cs="Arial"/>
                <w:b/>
                <w:bCs/>
                <w:sz w:val="18"/>
                <w:lang w:val="sr-Latn-ME"/>
              </w:rPr>
              <w:t>2023</w:t>
            </w:r>
          </w:p>
        </w:tc>
      </w:tr>
      <w:tr w:rsidR="00C232D7" w:rsidRPr="00F6198B" w14:paraId="4289B328" w14:textId="77777777" w:rsidTr="00C232D7">
        <w:trPr>
          <w:trHeight w:val="456"/>
        </w:trPr>
        <w:tc>
          <w:tcPr>
            <w:tcW w:w="2304" w:type="dxa"/>
          </w:tcPr>
          <w:p w14:paraId="6041FF7F" w14:textId="42E43623" w:rsidR="00C232D7" w:rsidRPr="00F6198B" w:rsidRDefault="0064304A" w:rsidP="00C232D7">
            <w:pPr>
              <w:spacing w:line="360" w:lineRule="auto"/>
              <w:rPr>
                <w:rFonts w:ascii="Arial" w:hAnsi="Arial" w:cs="Arial"/>
                <w:sz w:val="18"/>
                <w:lang w:val="sr-Latn-ME"/>
              </w:rPr>
            </w:pPr>
            <w:r w:rsidRPr="00F6198B">
              <w:rPr>
                <w:rFonts w:ascii="Arial" w:hAnsi="Arial" w:cs="Arial"/>
                <w:sz w:val="18"/>
                <w:lang w:val="sr-Latn-ME"/>
              </w:rPr>
              <w:t xml:space="preserve">Otpadna </w:t>
            </w:r>
            <w:r w:rsidR="00C232D7" w:rsidRPr="00F6198B">
              <w:rPr>
                <w:rFonts w:ascii="Arial" w:hAnsi="Arial" w:cs="Arial"/>
                <w:sz w:val="18"/>
                <w:lang w:val="sr-Latn-ME"/>
              </w:rPr>
              <w:t>električna i elektronska oprema (20 01 35*, 20 01 36)</w:t>
            </w:r>
          </w:p>
        </w:tc>
        <w:tc>
          <w:tcPr>
            <w:tcW w:w="1335" w:type="dxa"/>
            <w:noWrap/>
          </w:tcPr>
          <w:p w14:paraId="5EF3A20C" w14:textId="77777777" w:rsidR="00C232D7" w:rsidRPr="00F6198B" w:rsidRDefault="00C232D7" w:rsidP="00C232D7">
            <w:pPr>
              <w:spacing w:line="360" w:lineRule="auto"/>
              <w:rPr>
                <w:rFonts w:ascii="Arial" w:hAnsi="Arial" w:cs="Arial"/>
                <w:sz w:val="18"/>
                <w:lang w:val="sr-Latn-ME"/>
              </w:rPr>
            </w:pPr>
            <w:r w:rsidRPr="00F6198B">
              <w:rPr>
                <w:rFonts w:ascii="Arial" w:hAnsi="Arial" w:cs="Arial"/>
                <w:sz w:val="18"/>
                <w:lang w:val="sr-Latn-ME"/>
              </w:rPr>
              <w:t>254.3</w:t>
            </w:r>
          </w:p>
        </w:tc>
        <w:tc>
          <w:tcPr>
            <w:tcW w:w="1335" w:type="dxa"/>
            <w:noWrap/>
          </w:tcPr>
          <w:p w14:paraId="439C8A50" w14:textId="77777777" w:rsidR="00C232D7" w:rsidRPr="00F6198B" w:rsidRDefault="00C232D7" w:rsidP="00C232D7">
            <w:pPr>
              <w:spacing w:line="360" w:lineRule="auto"/>
              <w:rPr>
                <w:rFonts w:ascii="Arial" w:hAnsi="Arial" w:cs="Arial"/>
                <w:sz w:val="18"/>
                <w:lang w:val="sr-Latn-ME"/>
              </w:rPr>
            </w:pPr>
            <w:r w:rsidRPr="00F6198B">
              <w:rPr>
                <w:rFonts w:ascii="Arial" w:hAnsi="Arial" w:cs="Arial"/>
                <w:sz w:val="18"/>
                <w:lang w:val="sr-Latn-ME"/>
              </w:rPr>
              <w:t>97.5</w:t>
            </w:r>
          </w:p>
        </w:tc>
        <w:tc>
          <w:tcPr>
            <w:tcW w:w="1335" w:type="dxa"/>
            <w:noWrap/>
          </w:tcPr>
          <w:p w14:paraId="677304BD" w14:textId="77777777" w:rsidR="00C232D7" w:rsidRPr="00F6198B" w:rsidRDefault="00C232D7" w:rsidP="00C232D7">
            <w:pPr>
              <w:spacing w:line="360" w:lineRule="auto"/>
              <w:rPr>
                <w:rFonts w:ascii="Arial" w:hAnsi="Arial" w:cs="Arial"/>
                <w:sz w:val="18"/>
                <w:lang w:val="sr-Latn-ME"/>
              </w:rPr>
            </w:pPr>
            <w:r w:rsidRPr="00F6198B">
              <w:rPr>
                <w:rFonts w:ascii="Arial" w:hAnsi="Arial" w:cs="Arial"/>
                <w:sz w:val="18"/>
                <w:lang w:val="sr-Latn-ME"/>
              </w:rPr>
              <w:t>206.6</w:t>
            </w:r>
          </w:p>
        </w:tc>
      </w:tr>
      <w:tr w:rsidR="00C232D7" w:rsidRPr="00F6198B" w14:paraId="0B1A9F36" w14:textId="77777777" w:rsidTr="00C232D7">
        <w:trPr>
          <w:trHeight w:val="288"/>
        </w:trPr>
        <w:tc>
          <w:tcPr>
            <w:tcW w:w="2304" w:type="dxa"/>
          </w:tcPr>
          <w:p w14:paraId="37AADFF8" w14:textId="77777777" w:rsidR="00C232D7" w:rsidRPr="00F6198B" w:rsidRDefault="00C232D7" w:rsidP="00C232D7">
            <w:pPr>
              <w:spacing w:line="360" w:lineRule="auto"/>
              <w:rPr>
                <w:rFonts w:ascii="Arial" w:hAnsi="Arial" w:cs="Arial"/>
                <w:sz w:val="18"/>
                <w:lang w:val="sr-Latn-ME"/>
              </w:rPr>
            </w:pPr>
            <w:r w:rsidRPr="00F6198B">
              <w:rPr>
                <w:rFonts w:ascii="Arial" w:hAnsi="Arial" w:cs="Arial"/>
                <w:sz w:val="18"/>
                <w:lang w:val="sr-Latn-ME"/>
              </w:rPr>
              <w:t>Kabasti otpad (20 03 07)</w:t>
            </w:r>
          </w:p>
        </w:tc>
        <w:tc>
          <w:tcPr>
            <w:tcW w:w="1335" w:type="dxa"/>
            <w:noWrap/>
          </w:tcPr>
          <w:p w14:paraId="315F1026" w14:textId="77777777" w:rsidR="00C232D7" w:rsidRPr="00F6198B" w:rsidRDefault="00C232D7" w:rsidP="00C232D7">
            <w:pPr>
              <w:spacing w:line="360" w:lineRule="auto"/>
              <w:rPr>
                <w:rFonts w:ascii="Arial" w:hAnsi="Arial" w:cs="Arial"/>
                <w:sz w:val="18"/>
                <w:lang w:val="sr-Latn-ME"/>
              </w:rPr>
            </w:pPr>
            <w:r w:rsidRPr="00F6198B">
              <w:rPr>
                <w:rFonts w:ascii="Arial" w:hAnsi="Arial" w:cs="Arial"/>
                <w:sz w:val="18"/>
                <w:lang w:val="sr-Latn-ME"/>
              </w:rPr>
              <w:t>36,997.4</w:t>
            </w:r>
          </w:p>
        </w:tc>
        <w:tc>
          <w:tcPr>
            <w:tcW w:w="1335" w:type="dxa"/>
            <w:noWrap/>
          </w:tcPr>
          <w:p w14:paraId="26FB6097" w14:textId="77777777" w:rsidR="00C232D7" w:rsidRPr="00F6198B" w:rsidRDefault="00C232D7" w:rsidP="00C232D7">
            <w:pPr>
              <w:spacing w:line="360" w:lineRule="auto"/>
              <w:rPr>
                <w:rFonts w:ascii="Arial" w:hAnsi="Arial" w:cs="Arial"/>
                <w:sz w:val="18"/>
                <w:lang w:val="sr-Latn-ME"/>
              </w:rPr>
            </w:pPr>
            <w:r w:rsidRPr="00F6198B">
              <w:rPr>
                <w:rFonts w:ascii="Arial" w:hAnsi="Arial" w:cs="Arial"/>
                <w:sz w:val="18"/>
                <w:lang w:val="sr-Latn-ME"/>
              </w:rPr>
              <w:t>40,523.1</w:t>
            </w:r>
          </w:p>
        </w:tc>
        <w:tc>
          <w:tcPr>
            <w:tcW w:w="1335" w:type="dxa"/>
            <w:noWrap/>
          </w:tcPr>
          <w:p w14:paraId="14B55215" w14:textId="77777777" w:rsidR="00C232D7" w:rsidRPr="00F6198B" w:rsidRDefault="00C232D7" w:rsidP="00C232D7">
            <w:pPr>
              <w:spacing w:line="360" w:lineRule="auto"/>
              <w:rPr>
                <w:rFonts w:ascii="Arial" w:hAnsi="Arial" w:cs="Arial"/>
                <w:sz w:val="18"/>
                <w:lang w:val="sr-Latn-ME"/>
              </w:rPr>
            </w:pPr>
            <w:r w:rsidRPr="00F6198B">
              <w:rPr>
                <w:rFonts w:ascii="Arial" w:hAnsi="Arial" w:cs="Arial"/>
                <w:sz w:val="18"/>
                <w:lang w:val="sr-Latn-ME"/>
              </w:rPr>
              <w:t>45,442.8</w:t>
            </w:r>
          </w:p>
        </w:tc>
      </w:tr>
      <w:tr w:rsidR="00C232D7" w:rsidRPr="00F6198B" w14:paraId="376131DE" w14:textId="77777777" w:rsidTr="00C232D7">
        <w:trPr>
          <w:trHeight w:val="288"/>
        </w:trPr>
        <w:tc>
          <w:tcPr>
            <w:tcW w:w="2304" w:type="dxa"/>
          </w:tcPr>
          <w:p w14:paraId="175A9B35" w14:textId="77777777" w:rsidR="00C232D7" w:rsidRPr="00F6198B" w:rsidRDefault="00C232D7" w:rsidP="00C232D7">
            <w:pPr>
              <w:spacing w:line="360" w:lineRule="auto"/>
              <w:rPr>
                <w:rFonts w:ascii="Arial" w:hAnsi="Arial" w:cs="Arial"/>
                <w:sz w:val="18"/>
                <w:lang w:val="sr-Latn-ME"/>
              </w:rPr>
            </w:pPr>
            <w:r w:rsidRPr="00F6198B">
              <w:rPr>
                <w:rFonts w:ascii="Arial" w:hAnsi="Arial" w:cs="Arial"/>
                <w:sz w:val="18"/>
                <w:lang w:val="sr-Latn-ME"/>
              </w:rPr>
              <w:t>Ostali komunalni otpad (20, 15 01)</w:t>
            </w:r>
          </w:p>
        </w:tc>
        <w:tc>
          <w:tcPr>
            <w:tcW w:w="1335" w:type="dxa"/>
            <w:noWrap/>
          </w:tcPr>
          <w:p w14:paraId="0A0109C3" w14:textId="77777777" w:rsidR="00C232D7" w:rsidRPr="00F6198B" w:rsidRDefault="00C232D7" w:rsidP="00C232D7">
            <w:pPr>
              <w:spacing w:line="360" w:lineRule="auto"/>
              <w:rPr>
                <w:rFonts w:ascii="Arial" w:hAnsi="Arial" w:cs="Arial"/>
                <w:sz w:val="18"/>
                <w:lang w:val="sr-Latn-ME"/>
              </w:rPr>
            </w:pPr>
            <w:r w:rsidRPr="00F6198B">
              <w:rPr>
                <w:rFonts w:ascii="Arial" w:hAnsi="Arial" w:cs="Arial"/>
                <w:sz w:val="18"/>
                <w:lang w:val="sr-Latn-ME"/>
              </w:rPr>
              <w:t>288,455.8</w:t>
            </w:r>
          </w:p>
        </w:tc>
        <w:tc>
          <w:tcPr>
            <w:tcW w:w="1335" w:type="dxa"/>
            <w:noWrap/>
          </w:tcPr>
          <w:p w14:paraId="64E03895" w14:textId="77777777" w:rsidR="00C232D7" w:rsidRPr="00F6198B" w:rsidRDefault="00C232D7" w:rsidP="00C232D7">
            <w:pPr>
              <w:spacing w:line="360" w:lineRule="auto"/>
              <w:rPr>
                <w:rFonts w:ascii="Arial" w:hAnsi="Arial" w:cs="Arial"/>
                <w:sz w:val="18"/>
                <w:lang w:val="sr-Latn-ME"/>
              </w:rPr>
            </w:pPr>
            <w:r w:rsidRPr="00F6198B">
              <w:rPr>
                <w:rFonts w:ascii="Arial" w:hAnsi="Arial" w:cs="Arial"/>
                <w:sz w:val="18"/>
                <w:lang w:val="sr-Latn-ME"/>
              </w:rPr>
              <w:t>295,177.0</w:t>
            </w:r>
          </w:p>
        </w:tc>
        <w:tc>
          <w:tcPr>
            <w:tcW w:w="1335" w:type="dxa"/>
            <w:noWrap/>
          </w:tcPr>
          <w:p w14:paraId="08E7958F" w14:textId="77777777" w:rsidR="00C232D7" w:rsidRPr="00F6198B" w:rsidRDefault="00C232D7" w:rsidP="00C232D7">
            <w:pPr>
              <w:spacing w:line="360" w:lineRule="auto"/>
              <w:rPr>
                <w:rFonts w:ascii="Arial" w:hAnsi="Arial" w:cs="Arial"/>
                <w:sz w:val="18"/>
                <w:lang w:val="sr-Latn-ME"/>
              </w:rPr>
            </w:pPr>
            <w:r w:rsidRPr="00F6198B">
              <w:rPr>
                <w:rFonts w:ascii="Arial" w:hAnsi="Arial" w:cs="Arial"/>
                <w:sz w:val="18"/>
                <w:lang w:val="sr-Latn-ME"/>
              </w:rPr>
              <w:t>314,487.4</w:t>
            </w:r>
          </w:p>
        </w:tc>
      </w:tr>
      <w:tr w:rsidR="00C232D7" w:rsidRPr="00F6198B" w14:paraId="61FCBD97" w14:textId="77777777" w:rsidTr="00C232D7">
        <w:trPr>
          <w:trHeight w:val="288"/>
        </w:trPr>
        <w:tc>
          <w:tcPr>
            <w:tcW w:w="2304" w:type="dxa"/>
          </w:tcPr>
          <w:p w14:paraId="26C2DDDA" w14:textId="77777777" w:rsidR="00C232D7" w:rsidRPr="00F6198B" w:rsidRDefault="00C232D7" w:rsidP="00C232D7">
            <w:pPr>
              <w:spacing w:line="360" w:lineRule="auto"/>
              <w:rPr>
                <w:rFonts w:ascii="Arial" w:hAnsi="Arial" w:cs="Arial"/>
                <w:b/>
                <w:bCs/>
                <w:sz w:val="18"/>
                <w:lang w:val="sr-Latn-ME"/>
              </w:rPr>
            </w:pPr>
            <w:r w:rsidRPr="00F6198B">
              <w:rPr>
                <w:rFonts w:ascii="Arial" w:hAnsi="Arial" w:cs="Arial"/>
                <w:b/>
                <w:bCs/>
                <w:sz w:val="18"/>
                <w:lang w:val="sr-Latn-ME"/>
              </w:rPr>
              <w:t>UKUPNO</w:t>
            </w:r>
          </w:p>
        </w:tc>
        <w:tc>
          <w:tcPr>
            <w:tcW w:w="1335" w:type="dxa"/>
            <w:noWrap/>
          </w:tcPr>
          <w:p w14:paraId="1CC5C39F" w14:textId="77777777" w:rsidR="00C232D7" w:rsidRPr="00F6198B" w:rsidRDefault="00C232D7" w:rsidP="00C232D7">
            <w:pPr>
              <w:spacing w:line="360" w:lineRule="auto"/>
              <w:rPr>
                <w:rFonts w:ascii="Arial" w:hAnsi="Arial" w:cs="Arial"/>
                <w:b/>
                <w:bCs/>
                <w:sz w:val="18"/>
                <w:lang w:val="sr-Latn-ME"/>
              </w:rPr>
            </w:pPr>
            <w:r w:rsidRPr="00F6198B">
              <w:rPr>
                <w:rFonts w:ascii="Arial" w:hAnsi="Arial" w:cs="Arial"/>
                <w:b/>
                <w:bCs/>
                <w:sz w:val="18"/>
                <w:lang w:val="sr-Latn-ME"/>
              </w:rPr>
              <w:t>325,707.5</w:t>
            </w:r>
          </w:p>
        </w:tc>
        <w:tc>
          <w:tcPr>
            <w:tcW w:w="1335" w:type="dxa"/>
            <w:noWrap/>
          </w:tcPr>
          <w:p w14:paraId="69EE72EA" w14:textId="77777777" w:rsidR="00C232D7" w:rsidRPr="00F6198B" w:rsidRDefault="00C232D7" w:rsidP="00C232D7">
            <w:pPr>
              <w:spacing w:line="360" w:lineRule="auto"/>
              <w:rPr>
                <w:rFonts w:ascii="Arial" w:hAnsi="Arial" w:cs="Arial"/>
                <w:b/>
                <w:bCs/>
                <w:sz w:val="18"/>
                <w:lang w:val="sr-Latn-ME"/>
              </w:rPr>
            </w:pPr>
            <w:r w:rsidRPr="00F6198B">
              <w:rPr>
                <w:rFonts w:ascii="Arial" w:hAnsi="Arial" w:cs="Arial"/>
                <w:b/>
                <w:bCs/>
                <w:sz w:val="18"/>
                <w:lang w:val="sr-Latn-ME"/>
              </w:rPr>
              <w:t>335,797.6</w:t>
            </w:r>
          </w:p>
        </w:tc>
        <w:tc>
          <w:tcPr>
            <w:tcW w:w="1335" w:type="dxa"/>
            <w:noWrap/>
          </w:tcPr>
          <w:p w14:paraId="7BBB7822" w14:textId="77777777" w:rsidR="00C232D7" w:rsidRPr="00F6198B" w:rsidRDefault="00C232D7" w:rsidP="00C232D7">
            <w:pPr>
              <w:spacing w:line="360" w:lineRule="auto"/>
              <w:rPr>
                <w:rFonts w:ascii="Arial" w:hAnsi="Arial" w:cs="Arial"/>
                <w:b/>
                <w:bCs/>
                <w:sz w:val="18"/>
                <w:lang w:val="sr-Latn-ME"/>
              </w:rPr>
            </w:pPr>
            <w:r w:rsidRPr="00F6198B">
              <w:rPr>
                <w:rFonts w:ascii="Arial" w:hAnsi="Arial" w:cs="Arial"/>
                <w:b/>
                <w:bCs/>
                <w:sz w:val="18"/>
                <w:lang w:val="sr-Latn-ME"/>
              </w:rPr>
              <w:t>360,136.8</w:t>
            </w:r>
          </w:p>
        </w:tc>
      </w:tr>
    </w:tbl>
    <w:p w14:paraId="23D5CDBE" w14:textId="77777777" w:rsidR="001E3D9B" w:rsidRPr="001E3D9B" w:rsidRDefault="001E3D9B" w:rsidP="001E3D9B">
      <w:pPr>
        <w:rPr>
          <w:lang w:val="de-DE"/>
        </w:rPr>
      </w:pPr>
    </w:p>
    <w:p w14:paraId="2BB4F9A7" w14:textId="77777777" w:rsidR="00725EA2" w:rsidRDefault="00725EA2" w:rsidP="00C232D7">
      <w:pPr>
        <w:pStyle w:val="Caption"/>
        <w:rPr>
          <w:rFonts w:ascii="Arial" w:hAnsi="Arial" w:cs="Arial"/>
          <w:b w:val="0"/>
          <w:szCs w:val="20"/>
          <w:lang w:val="de-DE"/>
        </w:rPr>
      </w:pPr>
      <w:bookmarkStart w:id="700" w:name="_Toc190160696"/>
    </w:p>
    <w:p w14:paraId="4764DB36" w14:textId="1058B877" w:rsidR="00C232D7" w:rsidRDefault="00C232D7" w:rsidP="00C232D7">
      <w:pPr>
        <w:pStyle w:val="Caption"/>
        <w:rPr>
          <w:rFonts w:ascii="Arial" w:hAnsi="Arial" w:cs="Arial"/>
          <w:b w:val="0"/>
          <w:szCs w:val="20"/>
          <w:lang w:val="de-DE"/>
        </w:rPr>
      </w:pPr>
      <w:r w:rsidRPr="00F6198B">
        <w:rPr>
          <w:rFonts w:ascii="Arial" w:hAnsi="Arial" w:cs="Arial"/>
          <w:b w:val="0"/>
          <w:szCs w:val="20"/>
          <w:lang w:val="de-DE"/>
        </w:rPr>
        <w:t xml:space="preserve">Tabela </w:t>
      </w:r>
      <w:r w:rsidRPr="00F6198B">
        <w:rPr>
          <w:rFonts w:ascii="Arial" w:hAnsi="Arial" w:cs="Arial"/>
          <w:b w:val="0"/>
          <w:szCs w:val="20"/>
        </w:rPr>
        <w:fldChar w:fldCharType="begin"/>
      </w:r>
      <w:r w:rsidRPr="00F6198B">
        <w:rPr>
          <w:rFonts w:ascii="Arial" w:hAnsi="Arial" w:cs="Arial"/>
          <w:b w:val="0"/>
          <w:szCs w:val="20"/>
          <w:lang w:val="de-DE"/>
        </w:rPr>
        <w:instrText xml:space="preserve"> SEQ Tabela \* ARABIC </w:instrText>
      </w:r>
      <w:r w:rsidRPr="00F6198B">
        <w:rPr>
          <w:rFonts w:ascii="Arial" w:hAnsi="Arial" w:cs="Arial"/>
          <w:b w:val="0"/>
          <w:szCs w:val="20"/>
        </w:rPr>
        <w:fldChar w:fldCharType="separate"/>
      </w:r>
      <w:r w:rsidR="007274DA">
        <w:rPr>
          <w:rFonts w:ascii="Arial" w:hAnsi="Arial" w:cs="Arial"/>
          <w:b w:val="0"/>
          <w:noProof/>
          <w:szCs w:val="20"/>
          <w:lang w:val="de-DE"/>
        </w:rPr>
        <w:t>6</w:t>
      </w:r>
      <w:r w:rsidRPr="00F6198B">
        <w:rPr>
          <w:rFonts w:ascii="Arial" w:hAnsi="Arial" w:cs="Arial"/>
          <w:b w:val="0"/>
          <w:szCs w:val="20"/>
        </w:rPr>
        <w:fldChar w:fldCharType="end"/>
      </w:r>
      <w:r w:rsidRPr="00F6198B">
        <w:rPr>
          <w:rFonts w:ascii="Arial" w:hAnsi="Arial" w:cs="Arial"/>
          <w:b w:val="0"/>
          <w:szCs w:val="20"/>
          <w:lang w:val="de-DE"/>
        </w:rPr>
        <w:t xml:space="preserve"> Komunalni otpad po glavi stanovnika, 2021- 2023</w:t>
      </w:r>
      <w:bookmarkEnd w:id="700"/>
    </w:p>
    <w:p w14:paraId="58DA44B9" w14:textId="77777777" w:rsidR="00725EA2" w:rsidRPr="00725EA2" w:rsidRDefault="00725EA2" w:rsidP="00725EA2">
      <w:pPr>
        <w:rPr>
          <w:lang w:val="de-DE"/>
        </w:rPr>
      </w:pPr>
    </w:p>
    <w:tbl>
      <w:tblPr>
        <w:tblStyle w:val="TableGrid6"/>
        <w:tblpPr w:leftFromText="180" w:rightFromText="180" w:vertAnchor="text" w:tblpY="1"/>
        <w:tblOverlap w:val="never"/>
        <w:tblW w:w="8480" w:type="dxa"/>
        <w:tblLook w:val="04A0" w:firstRow="1" w:lastRow="0" w:firstColumn="1" w:lastColumn="0" w:noHBand="0" w:noVBand="1"/>
      </w:tblPr>
      <w:tblGrid>
        <w:gridCol w:w="4460"/>
        <w:gridCol w:w="1330"/>
        <w:gridCol w:w="1330"/>
        <w:gridCol w:w="1360"/>
      </w:tblGrid>
      <w:tr w:rsidR="00C232D7" w:rsidRPr="00552AAE" w14:paraId="709A018E" w14:textId="77777777" w:rsidTr="00C232D7">
        <w:trPr>
          <w:trHeight w:val="276"/>
        </w:trPr>
        <w:tc>
          <w:tcPr>
            <w:tcW w:w="7120" w:type="dxa"/>
            <w:gridSpan w:val="3"/>
            <w:noWrap/>
            <w:hideMark/>
          </w:tcPr>
          <w:p w14:paraId="033A8B8D" w14:textId="77777777" w:rsidR="00C232D7" w:rsidRPr="00F6198B" w:rsidRDefault="00C232D7" w:rsidP="00C232D7">
            <w:pPr>
              <w:jc w:val="left"/>
              <w:rPr>
                <w:rFonts w:ascii="Arial" w:hAnsi="Arial" w:cs="Arial"/>
                <w:b/>
                <w:bCs/>
                <w:sz w:val="18"/>
                <w:lang w:val="sr-Latn-ME"/>
              </w:rPr>
            </w:pPr>
            <w:r w:rsidRPr="00F6198B">
              <w:rPr>
                <w:rFonts w:ascii="Arial" w:hAnsi="Arial" w:cs="Arial"/>
                <w:b/>
                <w:bCs/>
                <w:sz w:val="18"/>
                <w:lang w:val="sr-Latn-ME"/>
              </w:rPr>
              <w:t>Komunalni otpad po glavi stanovnika, 2021- 2023</w:t>
            </w:r>
          </w:p>
        </w:tc>
        <w:tc>
          <w:tcPr>
            <w:tcW w:w="1360" w:type="dxa"/>
            <w:noWrap/>
            <w:hideMark/>
          </w:tcPr>
          <w:p w14:paraId="78084708" w14:textId="77777777" w:rsidR="00C232D7" w:rsidRPr="00F6198B" w:rsidRDefault="00C232D7" w:rsidP="00C232D7">
            <w:pPr>
              <w:jc w:val="left"/>
              <w:rPr>
                <w:rFonts w:ascii="Arial" w:hAnsi="Arial" w:cs="Arial"/>
                <w:b/>
                <w:bCs/>
                <w:sz w:val="18"/>
                <w:lang w:val="de-DE"/>
              </w:rPr>
            </w:pPr>
          </w:p>
        </w:tc>
      </w:tr>
      <w:tr w:rsidR="00C232D7" w:rsidRPr="00F6198B" w14:paraId="7E1F612E" w14:textId="77777777" w:rsidTr="00C232D7">
        <w:trPr>
          <w:trHeight w:val="276"/>
        </w:trPr>
        <w:tc>
          <w:tcPr>
            <w:tcW w:w="4460" w:type="dxa"/>
            <w:noWrap/>
            <w:hideMark/>
          </w:tcPr>
          <w:p w14:paraId="5F3A9AE5" w14:textId="77777777" w:rsidR="00C232D7" w:rsidRPr="00F6198B" w:rsidRDefault="00C232D7" w:rsidP="00C232D7">
            <w:pPr>
              <w:jc w:val="left"/>
              <w:rPr>
                <w:rFonts w:ascii="Arial" w:hAnsi="Arial" w:cs="Arial"/>
                <w:b/>
                <w:bCs/>
                <w:sz w:val="18"/>
                <w:lang w:val="de-DE"/>
              </w:rPr>
            </w:pPr>
            <w:r w:rsidRPr="00F6198B">
              <w:rPr>
                <w:rFonts w:ascii="Arial" w:hAnsi="Arial" w:cs="Arial"/>
                <w:b/>
                <w:bCs/>
                <w:sz w:val="18"/>
                <w:lang w:val="de-DE"/>
              </w:rPr>
              <w:t> </w:t>
            </w:r>
          </w:p>
        </w:tc>
        <w:tc>
          <w:tcPr>
            <w:tcW w:w="1330" w:type="dxa"/>
            <w:noWrap/>
            <w:hideMark/>
          </w:tcPr>
          <w:p w14:paraId="66553C33" w14:textId="77777777" w:rsidR="00C232D7" w:rsidRPr="00F6198B" w:rsidRDefault="00C232D7" w:rsidP="00C232D7">
            <w:pPr>
              <w:jc w:val="left"/>
              <w:rPr>
                <w:rFonts w:ascii="Arial" w:hAnsi="Arial" w:cs="Arial"/>
                <w:b/>
                <w:bCs/>
                <w:sz w:val="18"/>
                <w:lang w:val="en-US"/>
              </w:rPr>
            </w:pPr>
            <w:r w:rsidRPr="00F6198B">
              <w:rPr>
                <w:rFonts w:ascii="Arial" w:hAnsi="Arial" w:cs="Arial"/>
                <w:b/>
                <w:bCs/>
                <w:sz w:val="18"/>
                <w:lang w:val="en-US"/>
              </w:rPr>
              <w:t>2021</w:t>
            </w:r>
          </w:p>
        </w:tc>
        <w:tc>
          <w:tcPr>
            <w:tcW w:w="1330" w:type="dxa"/>
            <w:noWrap/>
            <w:hideMark/>
          </w:tcPr>
          <w:p w14:paraId="6EF357C7" w14:textId="77777777" w:rsidR="00C232D7" w:rsidRPr="00F6198B" w:rsidRDefault="00C232D7" w:rsidP="00C232D7">
            <w:pPr>
              <w:jc w:val="left"/>
              <w:rPr>
                <w:rFonts w:ascii="Arial" w:hAnsi="Arial" w:cs="Arial"/>
                <w:b/>
                <w:bCs/>
                <w:sz w:val="18"/>
                <w:lang w:val="en-US"/>
              </w:rPr>
            </w:pPr>
            <w:r w:rsidRPr="00F6198B">
              <w:rPr>
                <w:rFonts w:ascii="Arial" w:hAnsi="Arial" w:cs="Arial"/>
                <w:b/>
                <w:bCs/>
                <w:sz w:val="18"/>
                <w:lang w:val="en-US"/>
              </w:rPr>
              <w:t>2022</w:t>
            </w:r>
          </w:p>
        </w:tc>
        <w:tc>
          <w:tcPr>
            <w:tcW w:w="1360" w:type="dxa"/>
            <w:noWrap/>
            <w:hideMark/>
          </w:tcPr>
          <w:p w14:paraId="087B52AD" w14:textId="77777777" w:rsidR="00C232D7" w:rsidRPr="00F6198B" w:rsidRDefault="00C232D7" w:rsidP="00C232D7">
            <w:pPr>
              <w:jc w:val="left"/>
              <w:rPr>
                <w:rFonts w:ascii="Arial" w:hAnsi="Arial" w:cs="Arial"/>
                <w:b/>
                <w:bCs/>
                <w:sz w:val="18"/>
                <w:lang w:val="en-US"/>
              </w:rPr>
            </w:pPr>
            <w:r w:rsidRPr="00F6198B">
              <w:rPr>
                <w:rFonts w:ascii="Arial" w:hAnsi="Arial" w:cs="Arial"/>
                <w:b/>
                <w:bCs/>
                <w:sz w:val="18"/>
                <w:lang w:val="en-US"/>
              </w:rPr>
              <w:t>2023</w:t>
            </w:r>
          </w:p>
        </w:tc>
      </w:tr>
      <w:tr w:rsidR="00C232D7" w:rsidRPr="00F6198B" w14:paraId="093A3501" w14:textId="77777777" w:rsidTr="00C232D7">
        <w:trPr>
          <w:trHeight w:val="276"/>
        </w:trPr>
        <w:tc>
          <w:tcPr>
            <w:tcW w:w="4460" w:type="dxa"/>
            <w:hideMark/>
          </w:tcPr>
          <w:p w14:paraId="14E0139B" w14:textId="77777777" w:rsidR="00C232D7" w:rsidRPr="00F6198B" w:rsidRDefault="00C232D7" w:rsidP="00C232D7">
            <w:pPr>
              <w:jc w:val="left"/>
              <w:rPr>
                <w:rFonts w:ascii="Arial" w:hAnsi="Arial" w:cs="Arial"/>
                <w:sz w:val="18"/>
                <w:lang w:val="sr-Latn-ME"/>
              </w:rPr>
            </w:pPr>
            <w:r w:rsidRPr="00F6198B">
              <w:rPr>
                <w:rFonts w:ascii="Arial" w:hAnsi="Arial" w:cs="Arial"/>
                <w:sz w:val="18"/>
                <w:lang w:val="sr-Latn-ME"/>
              </w:rPr>
              <w:t>Procijenjeni broj stanovnika sredinom godine</w:t>
            </w:r>
          </w:p>
        </w:tc>
        <w:tc>
          <w:tcPr>
            <w:tcW w:w="1330" w:type="dxa"/>
            <w:noWrap/>
            <w:hideMark/>
          </w:tcPr>
          <w:p w14:paraId="735CD861" w14:textId="77777777" w:rsidR="00C232D7" w:rsidRPr="00F6198B" w:rsidRDefault="00C232D7" w:rsidP="00C232D7">
            <w:pPr>
              <w:jc w:val="left"/>
              <w:rPr>
                <w:rFonts w:ascii="Arial" w:hAnsi="Arial" w:cs="Arial"/>
                <w:sz w:val="18"/>
                <w:lang w:val="en-US"/>
              </w:rPr>
            </w:pPr>
            <w:r w:rsidRPr="00F6198B">
              <w:rPr>
                <w:rFonts w:ascii="Arial" w:hAnsi="Arial" w:cs="Arial"/>
                <w:sz w:val="18"/>
                <w:lang w:val="en-US"/>
              </w:rPr>
              <w:t>619,211</w:t>
            </w:r>
          </w:p>
        </w:tc>
        <w:tc>
          <w:tcPr>
            <w:tcW w:w="1330" w:type="dxa"/>
            <w:noWrap/>
            <w:hideMark/>
          </w:tcPr>
          <w:p w14:paraId="4BE5EE7C" w14:textId="77777777" w:rsidR="00C232D7" w:rsidRPr="00F6198B" w:rsidRDefault="00C232D7" w:rsidP="00C232D7">
            <w:pPr>
              <w:jc w:val="left"/>
              <w:rPr>
                <w:rFonts w:ascii="Arial" w:hAnsi="Arial" w:cs="Arial"/>
                <w:sz w:val="18"/>
                <w:lang w:val="en-US"/>
              </w:rPr>
            </w:pPr>
            <w:r w:rsidRPr="00F6198B">
              <w:rPr>
                <w:rFonts w:ascii="Arial" w:hAnsi="Arial" w:cs="Arial"/>
                <w:sz w:val="18"/>
                <w:lang w:val="en-US"/>
              </w:rPr>
              <w:t>617,213</w:t>
            </w:r>
          </w:p>
        </w:tc>
        <w:tc>
          <w:tcPr>
            <w:tcW w:w="1360" w:type="dxa"/>
            <w:noWrap/>
            <w:hideMark/>
          </w:tcPr>
          <w:p w14:paraId="4EFADE97" w14:textId="3B17EF47" w:rsidR="00C232D7" w:rsidRPr="00F6198B" w:rsidRDefault="00B65831" w:rsidP="00C232D7">
            <w:pPr>
              <w:jc w:val="left"/>
              <w:rPr>
                <w:rFonts w:ascii="Arial" w:hAnsi="Arial" w:cs="Arial"/>
                <w:sz w:val="18"/>
                <w:lang w:val="en-US"/>
              </w:rPr>
            </w:pPr>
            <w:r>
              <w:rPr>
                <w:rFonts w:ascii="Arial" w:hAnsi="Arial" w:cs="Arial"/>
                <w:sz w:val="18"/>
                <w:lang w:val="en-US"/>
              </w:rPr>
              <w:t>623,</w:t>
            </w:r>
            <w:r w:rsidR="00C232D7" w:rsidRPr="00F6198B">
              <w:rPr>
                <w:rFonts w:ascii="Arial" w:hAnsi="Arial" w:cs="Arial"/>
                <w:sz w:val="18"/>
                <w:lang w:val="en-US"/>
              </w:rPr>
              <w:t>633</w:t>
            </w:r>
          </w:p>
        </w:tc>
      </w:tr>
      <w:tr w:rsidR="00C232D7" w:rsidRPr="00F6198B" w14:paraId="276BC571" w14:textId="77777777" w:rsidTr="00C232D7">
        <w:trPr>
          <w:trHeight w:val="276"/>
        </w:trPr>
        <w:tc>
          <w:tcPr>
            <w:tcW w:w="4460" w:type="dxa"/>
            <w:hideMark/>
          </w:tcPr>
          <w:p w14:paraId="19101B4B" w14:textId="77777777" w:rsidR="00C232D7" w:rsidRPr="00F6198B" w:rsidRDefault="00C232D7" w:rsidP="00C232D7">
            <w:pPr>
              <w:jc w:val="left"/>
              <w:rPr>
                <w:rFonts w:ascii="Arial" w:hAnsi="Arial" w:cs="Arial"/>
                <w:sz w:val="18"/>
                <w:lang w:val="sr-Latn-ME"/>
              </w:rPr>
            </w:pPr>
            <w:r w:rsidRPr="00F6198B">
              <w:rPr>
                <w:rFonts w:ascii="Arial" w:hAnsi="Arial" w:cs="Arial"/>
                <w:sz w:val="18"/>
                <w:lang w:val="sr-Latn-ME"/>
              </w:rPr>
              <w:t>Broj dana u toku godine</w:t>
            </w:r>
          </w:p>
        </w:tc>
        <w:tc>
          <w:tcPr>
            <w:tcW w:w="1330" w:type="dxa"/>
            <w:noWrap/>
            <w:hideMark/>
          </w:tcPr>
          <w:p w14:paraId="19F3BB01" w14:textId="77777777" w:rsidR="00C232D7" w:rsidRPr="00F6198B" w:rsidRDefault="00C232D7" w:rsidP="00C232D7">
            <w:pPr>
              <w:jc w:val="left"/>
              <w:rPr>
                <w:rFonts w:ascii="Arial" w:hAnsi="Arial" w:cs="Arial"/>
                <w:sz w:val="18"/>
                <w:lang w:val="en-US"/>
              </w:rPr>
            </w:pPr>
            <w:r w:rsidRPr="00F6198B">
              <w:rPr>
                <w:rFonts w:ascii="Arial" w:hAnsi="Arial" w:cs="Arial"/>
                <w:sz w:val="18"/>
                <w:lang w:val="en-US"/>
              </w:rPr>
              <w:t>365</w:t>
            </w:r>
          </w:p>
        </w:tc>
        <w:tc>
          <w:tcPr>
            <w:tcW w:w="1330" w:type="dxa"/>
            <w:noWrap/>
            <w:hideMark/>
          </w:tcPr>
          <w:p w14:paraId="3659D607" w14:textId="77777777" w:rsidR="00C232D7" w:rsidRPr="00F6198B" w:rsidRDefault="00C232D7" w:rsidP="00C232D7">
            <w:pPr>
              <w:jc w:val="left"/>
              <w:rPr>
                <w:rFonts w:ascii="Arial" w:hAnsi="Arial" w:cs="Arial"/>
                <w:sz w:val="18"/>
                <w:lang w:val="en-US"/>
              </w:rPr>
            </w:pPr>
            <w:r w:rsidRPr="00F6198B">
              <w:rPr>
                <w:rFonts w:ascii="Arial" w:hAnsi="Arial" w:cs="Arial"/>
                <w:sz w:val="18"/>
                <w:lang w:val="en-US"/>
              </w:rPr>
              <w:t>365</w:t>
            </w:r>
          </w:p>
        </w:tc>
        <w:tc>
          <w:tcPr>
            <w:tcW w:w="1360" w:type="dxa"/>
            <w:noWrap/>
            <w:hideMark/>
          </w:tcPr>
          <w:p w14:paraId="2F749B04" w14:textId="77777777" w:rsidR="00C232D7" w:rsidRPr="00F6198B" w:rsidRDefault="00C232D7" w:rsidP="00C232D7">
            <w:pPr>
              <w:jc w:val="left"/>
              <w:rPr>
                <w:rFonts w:ascii="Arial" w:hAnsi="Arial" w:cs="Arial"/>
                <w:sz w:val="18"/>
                <w:lang w:val="en-US"/>
              </w:rPr>
            </w:pPr>
            <w:r w:rsidRPr="00F6198B">
              <w:rPr>
                <w:rFonts w:ascii="Arial" w:hAnsi="Arial" w:cs="Arial"/>
                <w:sz w:val="18"/>
                <w:lang w:val="en-US"/>
              </w:rPr>
              <w:t>365</w:t>
            </w:r>
          </w:p>
        </w:tc>
      </w:tr>
      <w:tr w:rsidR="00C232D7" w:rsidRPr="00F6198B" w14:paraId="67D54C8C" w14:textId="77777777" w:rsidTr="00C232D7">
        <w:trPr>
          <w:trHeight w:val="468"/>
        </w:trPr>
        <w:tc>
          <w:tcPr>
            <w:tcW w:w="4460" w:type="dxa"/>
            <w:hideMark/>
          </w:tcPr>
          <w:p w14:paraId="6C82437C" w14:textId="68EA12EE" w:rsidR="00C232D7" w:rsidRPr="00F6198B" w:rsidRDefault="00C232D7" w:rsidP="00C232D7">
            <w:pPr>
              <w:jc w:val="left"/>
              <w:rPr>
                <w:rFonts w:ascii="Arial" w:hAnsi="Arial" w:cs="Arial"/>
                <w:sz w:val="18"/>
                <w:lang w:val="sr-Latn-ME"/>
              </w:rPr>
            </w:pPr>
            <w:r w:rsidRPr="00F6198B">
              <w:rPr>
                <w:rFonts w:ascii="Arial" w:hAnsi="Arial" w:cs="Arial"/>
                <w:sz w:val="18"/>
                <w:lang w:val="sr-Latn-ME"/>
              </w:rPr>
              <w:t xml:space="preserve">Ukupno sakupljene količine komunalnog otpada, </w:t>
            </w:r>
            <w:r w:rsidR="003C3822" w:rsidRPr="00F6198B">
              <w:rPr>
                <w:rFonts w:ascii="Arial" w:hAnsi="Arial" w:cs="Arial"/>
                <w:sz w:val="18"/>
                <w:lang w:val="sr-Latn-ME"/>
              </w:rPr>
              <w:t>(t)</w:t>
            </w:r>
          </w:p>
        </w:tc>
        <w:tc>
          <w:tcPr>
            <w:tcW w:w="1330" w:type="dxa"/>
            <w:noWrap/>
            <w:hideMark/>
          </w:tcPr>
          <w:p w14:paraId="5C63D82B" w14:textId="77777777" w:rsidR="00C232D7" w:rsidRPr="00F6198B" w:rsidRDefault="00C232D7" w:rsidP="00C232D7">
            <w:pPr>
              <w:jc w:val="left"/>
              <w:rPr>
                <w:rFonts w:ascii="Arial" w:hAnsi="Arial" w:cs="Arial"/>
                <w:sz w:val="18"/>
                <w:lang w:val="sr-Latn-ME"/>
              </w:rPr>
            </w:pPr>
            <w:r w:rsidRPr="00F6198B">
              <w:rPr>
                <w:rFonts w:ascii="Arial" w:hAnsi="Arial" w:cs="Arial"/>
                <w:sz w:val="18"/>
                <w:lang w:val="sr-Latn-ME"/>
              </w:rPr>
              <w:t>308,904.2</w:t>
            </w:r>
          </w:p>
        </w:tc>
        <w:tc>
          <w:tcPr>
            <w:tcW w:w="1330" w:type="dxa"/>
            <w:noWrap/>
            <w:hideMark/>
          </w:tcPr>
          <w:p w14:paraId="7D68C7A7" w14:textId="77777777" w:rsidR="00C232D7" w:rsidRPr="00F6198B" w:rsidRDefault="00C232D7" w:rsidP="00C232D7">
            <w:pPr>
              <w:jc w:val="left"/>
              <w:rPr>
                <w:rFonts w:ascii="Arial" w:hAnsi="Arial" w:cs="Arial"/>
                <w:sz w:val="18"/>
                <w:lang w:val="sr-Latn-ME"/>
              </w:rPr>
            </w:pPr>
            <w:r w:rsidRPr="00F6198B">
              <w:rPr>
                <w:rFonts w:ascii="Arial" w:hAnsi="Arial" w:cs="Arial"/>
                <w:sz w:val="18"/>
                <w:lang w:val="sr-Latn-ME"/>
              </w:rPr>
              <w:t>321,139.5</w:t>
            </w:r>
          </w:p>
        </w:tc>
        <w:tc>
          <w:tcPr>
            <w:tcW w:w="1360" w:type="dxa"/>
            <w:noWrap/>
            <w:hideMark/>
          </w:tcPr>
          <w:p w14:paraId="37C0504C" w14:textId="77777777" w:rsidR="00C232D7" w:rsidRPr="00F6198B" w:rsidRDefault="00C232D7" w:rsidP="00C232D7">
            <w:pPr>
              <w:jc w:val="left"/>
              <w:rPr>
                <w:rFonts w:ascii="Arial" w:hAnsi="Arial" w:cs="Arial"/>
                <w:sz w:val="18"/>
                <w:lang w:val="sr-Latn-ME"/>
              </w:rPr>
            </w:pPr>
            <w:r w:rsidRPr="00F6198B">
              <w:rPr>
                <w:rFonts w:ascii="Arial" w:hAnsi="Arial" w:cs="Arial"/>
                <w:sz w:val="18"/>
                <w:lang w:val="sr-Latn-ME"/>
              </w:rPr>
              <w:t>342,230.9</w:t>
            </w:r>
          </w:p>
        </w:tc>
      </w:tr>
      <w:tr w:rsidR="00C232D7" w:rsidRPr="00F6198B" w14:paraId="035A637D" w14:textId="77777777" w:rsidTr="00C232D7">
        <w:trPr>
          <w:trHeight w:val="468"/>
        </w:trPr>
        <w:tc>
          <w:tcPr>
            <w:tcW w:w="4460" w:type="dxa"/>
            <w:hideMark/>
          </w:tcPr>
          <w:p w14:paraId="7CE687FF" w14:textId="76E533C3" w:rsidR="00C232D7" w:rsidRPr="00F6198B" w:rsidRDefault="00C232D7" w:rsidP="00C232D7">
            <w:pPr>
              <w:jc w:val="left"/>
              <w:rPr>
                <w:rFonts w:ascii="Arial" w:hAnsi="Arial" w:cs="Arial"/>
                <w:sz w:val="18"/>
                <w:lang w:val="sr-Latn-ME"/>
              </w:rPr>
            </w:pPr>
            <w:r w:rsidRPr="00F6198B">
              <w:rPr>
                <w:rFonts w:ascii="Arial" w:hAnsi="Arial" w:cs="Arial"/>
                <w:sz w:val="18"/>
                <w:lang w:val="sr-Latn-ME"/>
              </w:rPr>
              <w:t>Ukupno sakupljeni komunalni otpad po glavi stanovnika godišnje</w:t>
            </w:r>
            <w:r w:rsidR="003C3822" w:rsidRPr="00F6198B">
              <w:rPr>
                <w:rFonts w:ascii="Arial" w:hAnsi="Arial" w:cs="Arial"/>
                <w:sz w:val="18"/>
                <w:lang w:val="sr-Latn-ME"/>
              </w:rPr>
              <w:t>(</w:t>
            </w:r>
            <w:r w:rsidRPr="00F6198B">
              <w:rPr>
                <w:rFonts w:ascii="Arial" w:hAnsi="Arial" w:cs="Arial"/>
                <w:sz w:val="18"/>
                <w:lang w:val="sr-Latn-ME"/>
              </w:rPr>
              <w:t>kg</w:t>
            </w:r>
            <w:r w:rsidR="003C3822" w:rsidRPr="00F6198B">
              <w:rPr>
                <w:rFonts w:ascii="Arial" w:hAnsi="Arial" w:cs="Arial"/>
                <w:sz w:val="18"/>
                <w:lang w:val="sr-Latn-ME"/>
              </w:rPr>
              <w:t>)</w:t>
            </w:r>
          </w:p>
        </w:tc>
        <w:tc>
          <w:tcPr>
            <w:tcW w:w="1330" w:type="dxa"/>
            <w:noWrap/>
            <w:hideMark/>
          </w:tcPr>
          <w:p w14:paraId="32FC4C7B" w14:textId="77777777" w:rsidR="00C232D7" w:rsidRPr="00F6198B" w:rsidRDefault="00C232D7" w:rsidP="00C232D7">
            <w:pPr>
              <w:jc w:val="left"/>
              <w:rPr>
                <w:rFonts w:ascii="Arial" w:hAnsi="Arial" w:cs="Arial"/>
                <w:sz w:val="18"/>
                <w:lang w:val="sr-Latn-ME"/>
              </w:rPr>
            </w:pPr>
            <w:r w:rsidRPr="00F6198B">
              <w:rPr>
                <w:rFonts w:ascii="Arial" w:hAnsi="Arial" w:cs="Arial"/>
                <w:sz w:val="18"/>
                <w:lang w:val="sr-Latn-ME"/>
              </w:rPr>
              <w:t>498.9</w:t>
            </w:r>
          </w:p>
        </w:tc>
        <w:tc>
          <w:tcPr>
            <w:tcW w:w="1330" w:type="dxa"/>
            <w:noWrap/>
            <w:hideMark/>
          </w:tcPr>
          <w:p w14:paraId="140ED47E" w14:textId="77777777" w:rsidR="00C232D7" w:rsidRPr="00F6198B" w:rsidRDefault="00C232D7" w:rsidP="00C232D7">
            <w:pPr>
              <w:jc w:val="left"/>
              <w:rPr>
                <w:rFonts w:ascii="Arial" w:hAnsi="Arial" w:cs="Arial"/>
                <w:sz w:val="18"/>
                <w:lang w:val="sr-Latn-ME"/>
              </w:rPr>
            </w:pPr>
            <w:r w:rsidRPr="00F6198B">
              <w:rPr>
                <w:rFonts w:ascii="Arial" w:hAnsi="Arial" w:cs="Arial"/>
                <w:sz w:val="18"/>
                <w:lang w:val="sr-Latn-ME"/>
              </w:rPr>
              <w:t>520.3</w:t>
            </w:r>
          </w:p>
        </w:tc>
        <w:tc>
          <w:tcPr>
            <w:tcW w:w="1360" w:type="dxa"/>
            <w:noWrap/>
            <w:hideMark/>
          </w:tcPr>
          <w:p w14:paraId="17FA9608" w14:textId="77777777" w:rsidR="00C232D7" w:rsidRPr="00F6198B" w:rsidRDefault="00C232D7" w:rsidP="00C232D7">
            <w:pPr>
              <w:jc w:val="left"/>
              <w:rPr>
                <w:rFonts w:ascii="Arial" w:hAnsi="Arial" w:cs="Arial"/>
                <w:sz w:val="18"/>
                <w:lang w:val="sr-Latn-ME"/>
              </w:rPr>
            </w:pPr>
            <w:r w:rsidRPr="00F6198B">
              <w:rPr>
                <w:rFonts w:ascii="Arial" w:hAnsi="Arial" w:cs="Arial"/>
                <w:sz w:val="18"/>
                <w:lang w:val="sr-Latn-ME"/>
              </w:rPr>
              <w:t>548.8</w:t>
            </w:r>
          </w:p>
        </w:tc>
      </w:tr>
      <w:tr w:rsidR="00C232D7" w:rsidRPr="00F6198B" w14:paraId="1193B8DB" w14:textId="77777777" w:rsidTr="00C232D7">
        <w:trPr>
          <w:trHeight w:val="468"/>
        </w:trPr>
        <w:tc>
          <w:tcPr>
            <w:tcW w:w="4460" w:type="dxa"/>
            <w:hideMark/>
          </w:tcPr>
          <w:p w14:paraId="3DA756D3" w14:textId="77777777" w:rsidR="00C232D7" w:rsidRPr="00F6198B" w:rsidRDefault="00C232D7" w:rsidP="00C232D7">
            <w:pPr>
              <w:jc w:val="left"/>
              <w:rPr>
                <w:rFonts w:ascii="Arial" w:hAnsi="Arial" w:cs="Arial"/>
                <w:b/>
                <w:bCs/>
                <w:sz w:val="18"/>
                <w:lang w:val="sr-Latn-ME"/>
              </w:rPr>
            </w:pPr>
            <w:r w:rsidRPr="00F6198B">
              <w:rPr>
                <w:rFonts w:ascii="Arial" w:hAnsi="Arial" w:cs="Arial"/>
                <w:b/>
                <w:bCs/>
                <w:sz w:val="18"/>
                <w:lang w:val="sr-Latn-ME"/>
              </w:rPr>
              <w:t>Ukupno sakupljeni komunalni otpad po glavi stanovnika po danu, u kilogramima</w:t>
            </w:r>
          </w:p>
        </w:tc>
        <w:tc>
          <w:tcPr>
            <w:tcW w:w="1330" w:type="dxa"/>
            <w:noWrap/>
            <w:hideMark/>
          </w:tcPr>
          <w:p w14:paraId="57BAC121" w14:textId="77777777" w:rsidR="00C232D7" w:rsidRPr="00F6198B" w:rsidRDefault="00C232D7" w:rsidP="00C232D7">
            <w:pPr>
              <w:jc w:val="left"/>
              <w:rPr>
                <w:rFonts w:ascii="Arial" w:hAnsi="Arial" w:cs="Arial"/>
                <w:b/>
                <w:bCs/>
                <w:sz w:val="18"/>
                <w:lang w:val="sr-Latn-ME"/>
              </w:rPr>
            </w:pPr>
            <w:r w:rsidRPr="00F6198B">
              <w:rPr>
                <w:rFonts w:ascii="Arial" w:hAnsi="Arial" w:cs="Arial"/>
                <w:b/>
                <w:bCs/>
                <w:sz w:val="18"/>
                <w:lang w:val="sr-Latn-ME"/>
              </w:rPr>
              <w:t>1.4</w:t>
            </w:r>
          </w:p>
        </w:tc>
        <w:tc>
          <w:tcPr>
            <w:tcW w:w="1330" w:type="dxa"/>
            <w:noWrap/>
            <w:hideMark/>
          </w:tcPr>
          <w:p w14:paraId="328FFF15" w14:textId="77777777" w:rsidR="00C232D7" w:rsidRPr="00F6198B" w:rsidRDefault="00C232D7" w:rsidP="00C232D7">
            <w:pPr>
              <w:jc w:val="left"/>
              <w:rPr>
                <w:rFonts w:ascii="Arial" w:hAnsi="Arial" w:cs="Arial"/>
                <w:b/>
                <w:bCs/>
                <w:sz w:val="18"/>
                <w:lang w:val="sr-Latn-ME"/>
              </w:rPr>
            </w:pPr>
            <w:r w:rsidRPr="00F6198B">
              <w:rPr>
                <w:rFonts w:ascii="Arial" w:hAnsi="Arial" w:cs="Arial"/>
                <w:b/>
                <w:bCs/>
                <w:sz w:val="18"/>
                <w:lang w:val="sr-Latn-ME"/>
              </w:rPr>
              <w:t>1.4</w:t>
            </w:r>
          </w:p>
        </w:tc>
        <w:tc>
          <w:tcPr>
            <w:tcW w:w="1360" w:type="dxa"/>
            <w:noWrap/>
            <w:hideMark/>
          </w:tcPr>
          <w:p w14:paraId="59399847" w14:textId="77777777" w:rsidR="00C232D7" w:rsidRPr="00F6198B" w:rsidRDefault="00C232D7" w:rsidP="00C232D7">
            <w:pPr>
              <w:jc w:val="left"/>
              <w:rPr>
                <w:rFonts w:ascii="Arial" w:hAnsi="Arial" w:cs="Arial"/>
                <w:b/>
                <w:bCs/>
                <w:sz w:val="18"/>
                <w:lang w:val="sr-Latn-ME"/>
              </w:rPr>
            </w:pPr>
            <w:r w:rsidRPr="00F6198B">
              <w:rPr>
                <w:rFonts w:ascii="Arial" w:hAnsi="Arial" w:cs="Arial"/>
                <w:b/>
                <w:bCs/>
                <w:sz w:val="18"/>
                <w:lang w:val="sr-Latn-ME"/>
              </w:rPr>
              <w:t>1.5</w:t>
            </w:r>
          </w:p>
        </w:tc>
      </w:tr>
      <w:tr w:rsidR="00C232D7" w:rsidRPr="00F6198B" w14:paraId="5BC7511B" w14:textId="77777777" w:rsidTr="00C232D7">
        <w:trPr>
          <w:trHeight w:val="276"/>
        </w:trPr>
        <w:tc>
          <w:tcPr>
            <w:tcW w:w="4460" w:type="dxa"/>
            <w:hideMark/>
          </w:tcPr>
          <w:p w14:paraId="6B2773F6" w14:textId="68017FF9" w:rsidR="00C232D7" w:rsidRPr="00F6198B" w:rsidRDefault="00C232D7" w:rsidP="00C232D7">
            <w:pPr>
              <w:jc w:val="left"/>
              <w:rPr>
                <w:rFonts w:ascii="Arial" w:hAnsi="Arial" w:cs="Arial"/>
                <w:sz w:val="18"/>
                <w:lang w:val="sr-Latn-ME"/>
              </w:rPr>
            </w:pPr>
            <w:r w:rsidRPr="00F6198B">
              <w:rPr>
                <w:rFonts w:ascii="Arial" w:hAnsi="Arial" w:cs="Arial"/>
                <w:sz w:val="18"/>
                <w:lang w:val="sr-Latn-ME"/>
              </w:rPr>
              <w:t xml:space="preserve">Ukupno proizvedene količine komunalnog otpada, </w:t>
            </w:r>
            <w:r w:rsidR="00C637D7" w:rsidRPr="00F6198B">
              <w:rPr>
                <w:rFonts w:ascii="Arial" w:hAnsi="Arial" w:cs="Arial"/>
                <w:sz w:val="18"/>
                <w:lang w:val="sr-Latn-ME"/>
              </w:rPr>
              <w:t>(</w:t>
            </w:r>
            <w:r w:rsidRPr="00F6198B">
              <w:rPr>
                <w:rFonts w:ascii="Arial" w:hAnsi="Arial" w:cs="Arial"/>
                <w:sz w:val="18"/>
                <w:lang w:val="sr-Latn-ME"/>
              </w:rPr>
              <w:t>t</w:t>
            </w:r>
            <w:r w:rsidR="00C637D7" w:rsidRPr="00F6198B">
              <w:rPr>
                <w:rFonts w:ascii="Arial" w:hAnsi="Arial" w:cs="Arial"/>
                <w:sz w:val="18"/>
                <w:lang w:val="sr-Latn-ME"/>
              </w:rPr>
              <w:t>)</w:t>
            </w:r>
          </w:p>
        </w:tc>
        <w:tc>
          <w:tcPr>
            <w:tcW w:w="1330" w:type="dxa"/>
            <w:noWrap/>
            <w:hideMark/>
          </w:tcPr>
          <w:p w14:paraId="63988C5E" w14:textId="77777777" w:rsidR="00C232D7" w:rsidRPr="00F6198B" w:rsidRDefault="00C232D7" w:rsidP="00C232D7">
            <w:pPr>
              <w:jc w:val="left"/>
              <w:rPr>
                <w:rFonts w:ascii="Arial" w:hAnsi="Arial" w:cs="Arial"/>
                <w:sz w:val="18"/>
                <w:lang w:val="sr-Latn-ME"/>
              </w:rPr>
            </w:pPr>
            <w:r w:rsidRPr="00F6198B">
              <w:rPr>
                <w:rFonts w:ascii="Arial" w:hAnsi="Arial" w:cs="Arial"/>
                <w:sz w:val="18"/>
                <w:lang w:val="sr-Latn-ME"/>
              </w:rPr>
              <w:t>325,707.5</w:t>
            </w:r>
          </w:p>
        </w:tc>
        <w:tc>
          <w:tcPr>
            <w:tcW w:w="1330" w:type="dxa"/>
            <w:noWrap/>
            <w:hideMark/>
          </w:tcPr>
          <w:p w14:paraId="6E4DD07B" w14:textId="77777777" w:rsidR="00C232D7" w:rsidRPr="00F6198B" w:rsidRDefault="00C232D7" w:rsidP="00C232D7">
            <w:pPr>
              <w:jc w:val="left"/>
              <w:rPr>
                <w:rFonts w:ascii="Arial" w:hAnsi="Arial" w:cs="Arial"/>
                <w:sz w:val="18"/>
                <w:lang w:val="sr-Latn-ME"/>
              </w:rPr>
            </w:pPr>
            <w:r w:rsidRPr="00F6198B">
              <w:rPr>
                <w:rFonts w:ascii="Arial" w:hAnsi="Arial" w:cs="Arial"/>
                <w:sz w:val="18"/>
                <w:lang w:val="sr-Latn-ME"/>
              </w:rPr>
              <w:t>335,797.6</w:t>
            </w:r>
          </w:p>
        </w:tc>
        <w:tc>
          <w:tcPr>
            <w:tcW w:w="1360" w:type="dxa"/>
            <w:noWrap/>
            <w:hideMark/>
          </w:tcPr>
          <w:p w14:paraId="3A43F2D3" w14:textId="77777777" w:rsidR="00C232D7" w:rsidRPr="00F6198B" w:rsidRDefault="00C232D7" w:rsidP="00C232D7">
            <w:pPr>
              <w:jc w:val="left"/>
              <w:rPr>
                <w:rFonts w:ascii="Arial" w:hAnsi="Arial" w:cs="Arial"/>
                <w:sz w:val="18"/>
                <w:lang w:val="sr-Latn-ME"/>
              </w:rPr>
            </w:pPr>
            <w:r w:rsidRPr="00F6198B">
              <w:rPr>
                <w:rFonts w:ascii="Arial" w:hAnsi="Arial" w:cs="Arial"/>
                <w:sz w:val="18"/>
                <w:lang w:val="sr-Latn-ME"/>
              </w:rPr>
              <w:t>360,136.8</w:t>
            </w:r>
          </w:p>
        </w:tc>
      </w:tr>
      <w:tr w:rsidR="00C232D7" w:rsidRPr="00F6198B" w14:paraId="143E0970" w14:textId="77777777" w:rsidTr="00C232D7">
        <w:trPr>
          <w:trHeight w:val="468"/>
        </w:trPr>
        <w:tc>
          <w:tcPr>
            <w:tcW w:w="4460" w:type="dxa"/>
            <w:hideMark/>
          </w:tcPr>
          <w:p w14:paraId="087F6B74" w14:textId="51FFB0FB" w:rsidR="00C232D7" w:rsidRPr="00F6198B" w:rsidRDefault="00C232D7" w:rsidP="00C232D7">
            <w:pPr>
              <w:jc w:val="left"/>
              <w:rPr>
                <w:rFonts w:ascii="Arial" w:hAnsi="Arial" w:cs="Arial"/>
                <w:sz w:val="18"/>
                <w:lang w:val="sr-Latn-ME"/>
              </w:rPr>
            </w:pPr>
            <w:r w:rsidRPr="00F6198B">
              <w:rPr>
                <w:rFonts w:ascii="Arial" w:hAnsi="Arial" w:cs="Arial"/>
                <w:sz w:val="18"/>
                <w:lang w:val="sr-Latn-ME"/>
              </w:rPr>
              <w:t>Ukupno proizvedeni komunalni otpad po glavi stanovnika godišnje</w:t>
            </w:r>
            <w:r w:rsidR="003C3822" w:rsidRPr="00F6198B">
              <w:rPr>
                <w:rFonts w:ascii="Arial" w:hAnsi="Arial" w:cs="Arial"/>
                <w:sz w:val="18"/>
                <w:lang w:val="sr-Latn-ME"/>
              </w:rPr>
              <w:t xml:space="preserve"> (</w:t>
            </w:r>
            <w:r w:rsidRPr="00F6198B">
              <w:rPr>
                <w:rFonts w:ascii="Arial" w:hAnsi="Arial" w:cs="Arial"/>
                <w:sz w:val="18"/>
                <w:lang w:val="sr-Latn-ME"/>
              </w:rPr>
              <w:t>kg</w:t>
            </w:r>
            <w:r w:rsidR="003C3822" w:rsidRPr="00F6198B">
              <w:rPr>
                <w:rFonts w:ascii="Arial" w:hAnsi="Arial" w:cs="Arial"/>
                <w:sz w:val="18"/>
                <w:lang w:val="sr-Latn-ME"/>
              </w:rPr>
              <w:t>)</w:t>
            </w:r>
          </w:p>
        </w:tc>
        <w:tc>
          <w:tcPr>
            <w:tcW w:w="1330" w:type="dxa"/>
            <w:noWrap/>
            <w:hideMark/>
          </w:tcPr>
          <w:p w14:paraId="1B49F12C" w14:textId="77777777" w:rsidR="00C232D7" w:rsidRPr="00F6198B" w:rsidRDefault="00C232D7" w:rsidP="00C232D7">
            <w:pPr>
              <w:jc w:val="left"/>
              <w:rPr>
                <w:rFonts w:ascii="Arial" w:hAnsi="Arial" w:cs="Arial"/>
                <w:sz w:val="18"/>
                <w:lang w:val="sr-Latn-ME"/>
              </w:rPr>
            </w:pPr>
            <w:r w:rsidRPr="00F6198B">
              <w:rPr>
                <w:rFonts w:ascii="Arial" w:hAnsi="Arial" w:cs="Arial"/>
                <w:sz w:val="18"/>
                <w:lang w:val="sr-Latn-ME"/>
              </w:rPr>
              <w:t>526.0</w:t>
            </w:r>
          </w:p>
        </w:tc>
        <w:tc>
          <w:tcPr>
            <w:tcW w:w="1330" w:type="dxa"/>
            <w:noWrap/>
            <w:hideMark/>
          </w:tcPr>
          <w:p w14:paraId="7EB5E904" w14:textId="77777777" w:rsidR="00C232D7" w:rsidRPr="00F6198B" w:rsidRDefault="00C232D7" w:rsidP="00C232D7">
            <w:pPr>
              <w:jc w:val="left"/>
              <w:rPr>
                <w:rFonts w:ascii="Arial" w:hAnsi="Arial" w:cs="Arial"/>
                <w:sz w:val="18"/>
                <w:lang w:val="sr-Latn-ME"/>
              </w:rPr>
            </w:pPr>
            <w:r w:rsidRPr="00F6198B">
              <w:rPr>
                <w:rFonts w:ascii="Arial" w:hAnsi="Arial" w:cs="Arial"/>
                <w:sz w:val="18"/>
                <w:lang w:val="sr-Latn-ME"/>
              </w:rPr>
              <w:t>544.1</w:t>
            </w:r>
          </w:p>
        </w:tc>
        <w:tc>
          <w:tcPr>
            <w:tcW w:w="1360" w:type="dxa"/>
            <w:noWrap/>
            <w:hideMark/>
          </w:tcPr>
          <w:p w14:paraId="23B93BF6" w14:textId="77777777" w:rsidR="00C232D7" w:rsidRPr="00F6198B" w:rsidRDefault="00C232D7" w:rsidP="00C232D7">
            <w:pPr>
              <w:jc w:val="left"/>
              <w:rPr>
                <w:rFonts w:ascii="Arial" w:hAnsi="Arial" w:cs="Arial"/>
                <w:sz w:val="18"/>
                <w:lang w:val="sr-Latn-ME"/>
              </w:rPr>
            </w:pPr>
            <w:r w:rsidRPr="00F6198B">
              <w:rPr>
                <w:rFonts w:ascii="Arial" w:hAnsi="Arial" w:cs="Arial"/>
                <w:sz w:val="18"/>
                <w:lang w:val="sr-Latn-ME"/>
              </w:rPr>
              <w:t>577.5</w:t>
            </w:r>
          </w:p>
        </w:tc>
      </w:tr>
      <w:tr w:rsidR="00C232D7" w:rsidRPr="00F6198B" w14:paraId="1295E400" w14:textId="77777777" w:rsidTr="00C232D7">
        <w:trPr>
          <w:trHeight w:val="468"/>
        </w:trPr>
        <w:tc>
          <w:tcPr>
            <w:tcW w:w="4460" w:type="dxa"/>
            <w:hideMark/>
          </w:tcPr>
          <w:p w14:paraId="2AFCC297" w14:textId="593571D0" w:rsidR="00C232D7" w:rsidRPr="00F6198B" w:rsidRDefault="00C232D7" w:rsidP="00C232D7">
            <w:pPr>
              <w:jc w:val="left"/>
              <w:rPr>
                <w:rFonts w:ascii="Arial" w:hAnsi="Arial" w:cs="Arial"/>
                <w:b/>
                <w:bCs/>
                <w:sz w:val="18"/>
                <w:lang w:val="sr-Latn-ME"/>
              </w:rPr>
            </w:pPr>
            <w:r w:rsidRPr="00F6198B">
              <w:rPr>
                <w:rFonts w:ascii="Arial" w:hAnsi="Arial" w:cs="Arial"/>
                <w:b/>
                <w:bCs/>
                <w:sz w:val="18"/>
                <w:lang w:val="sr-Latn-ME"/>
              </w:rPr>
              <w:t>Ukupno proizvedeni komunalni otpad po glavi stanovnika po danu</w:t>
            </w:r>
            <w:r w:rsidR="003C3822" w:rsidRPr="00F6198B">
              <w:rPr>
                <w:rFonts w:ascii="Arial" w:hAnsi="Arial" w:cs="Arial"/>
                <w:b/>
                <w:bCs/>
                <w:sz w:val="18"/>
                <w:lang w:val="sr-Latn-ME"/>
              </w:rPr>
              <w:t xml:space="preserve"> (kg)</w:t>
            </w:r>
          </w:p>
        </w:tc>
        <w:tc>
          <w:tcPr>
            <w:tcW w:w="1330" w:type="dxa"/>
            <w:noWrap/>
            <w:hideMark/>
          </w:tcPr>
          <w:p w14:paraId="3DC1D779" w14:textId="77777777" w:rsidR="00C232D7" w:rsidRPr="00F6198B" w:rsidRDefault="00C232D7" w:rsidP="00C232D7">
            <w:pPr>
              <w:jc w:val="left"/>
              <w:rPr>
                <w:rFonts w:ascii="Arial" w:hAnsi="Arial" w:cs="Arial"/>
                <w:b/>
                <w:bCs/>
                <w:sz w:val="18"/>
                <w:lang w:val="sr-Latn-ME"/>
              </w:rPr>
            </w:pPr>
            <w:r w:rsidRPr="00F6198B">
              <w:rPr>
                <w:rFonts w:ascii="Arial" w:hAnsi="Arial" w:cs="Arial"/>
                <w:b/>
                <w:bCs/>
                <w:sz w:val="18"/>
                <w:lang w:val="sr-Latn-ME"/>
              </w:rPr>
              <w:t>1.4</w:t>
            </w:r>
          </w:p>
        </w:tc>
        <w:tc>
          <w:tcPr>
            <w:tcW w:w="1330" w:type="dxa"/>
            <w:noWrap/>
            <w:hideMark/>
          </w:tcPr>
          <w:p w14:paraId="507414C6" w14:textId="77777777" w:rsidR="00C232D7" w:rsidRPr="00F6198B" w:rsidRDefault="00C232D7" w:rsidP="00C232D7">
            <w:pPr>
              <w:jc w:val="left"/>
              <w:rPr>
                <w:rFonts w:ascii="Arial" w:hAnsi="Arial" w:cs="Arial"/>
                <w:b/>
                <w:bCs/>
                <w:sz w:val="18"/>
                <w:lang w:val="sr-Latn-ME"/>
              </w:rPr>
            </w:pPr>
            <w:r w:rsidRPr="00F6198B">
              <w:rPr>
                <w:rFonts w:ascii="Arial" w:hAnsi="Arial" w:cs="Arial"/>
                <w:b/>
                <w:bCs/>
                <w:sz w:val="18"/>
                <w:lang w:val="sr-Latn-ME"/>
              </w:rPr>
              <w:t>1.5</w:t>
            </w:r>
          </w:p>
        </w:tc>
        <w:tc>
          <w:tcPr>
            <w:tcW w:w="1360" w:type="dxa"/>
            <w:noWrap/>
            <w:hideMark/>
          </w:tcPr>
          <w:p w14:paraId="104DC547" w14:textId="77777777" w:rsidR="00C232D7" w:rsidRPr="00F6198B" w:rsidRDefault="00C232D7" w:rsidP="00C232D7">
            <w:pPr>
              <w:jc w:val="left"/>
              <w:rPr>
                <w:rFonts w:ascii="Arial" w:hAnsi="Arial" w:cs="Arial"/>
                <w:b/>
                <w:bCs/>
                <w:sz w:val="18"/>
                <w:lang w:val="sr-Latn-ME"/>
              </w:rPr>
            </w:pPr>
            <w:r w:rsidRPr="00F6198B">
              <w:rPr>
                <w:rFonts w:ascii="Arial" w:hAnsi="Arial" w:cs="Arial"/>
                <w:b/>
                <w:bCs/>
                <w:sz w:val="18"/>
                <w:lang w:val="sr-Latn-ME"/>
              </w:rPr>
              <w:t>1.6</w:t>
            </w:r>
          </w:p>
        </w:tc>
      </w:tr>
      <w:tr w:rsidR="00C232D7" w:rsidRPr="00F6198B" w14:paraId="6DD7C337" w14:textId="77777777" w:rsidTr="00C232D7">
        <w:trPr>
          <w:trHeight w:val="468"/>
        </w:trPr>
        <w:tc>
          <w:tcPr>
            <w:tcW w:w="4460" w:type="dxa"/>
            <w:hideMark/>
          </w:tcPr>
          <w:p w14:paraId="1B58981D" w14:textId="77777777" w:rsidR="00C232D7" w:rsidRPr="00F6198B" w:rsidRDefault="00C232D7" w:rsidP="00C232D7">
            <w:pPr>
              <w:jc w:val="left"/>
              <w:rPr>
                <w:rFonts w:ascii="Arial" w:hAnsi="Arial" w:cs="Arial"/>
                <w:b/>
                <w:bCs/>
                <w:sz w:val="18"/>
                <w:lang w:val="sr-Latn-ME"/>
              </w:rPr>
            </w:pPr>
            <w:r w:rsidRPr="00F6198B">
              <w:rPr>
                <w:rFonts w:ascii="Arial" w:hAnsi="Arial" w:cs="Arial"/>
                <w:b/>
                <w:bCs/>
                <w:sz w:val="18"/>
                <w:lang w:val="sr-Latn-ME"/>
              </w:rPr>
              <w:t>Procenat pokrivenosti stanovništva uslugama odvoza komunalnog otpada</w:t>
            </w:r>
          </w:p>
        </w:tc>
        <w:tc>
          <w:tcPr>
            <w:tcW w:w="1330" w:type="dxa"/>
            <w:noWrap/>
            <w:hideMark/>
          </w:tcPr>
          <w:p w14:paraId="30D04848" w14:textId="77777777" w:rsidR="00C232D7" w:rsidRPr="00F6198B" w:rsidRDefault="00C232D7" w:rsidP="00C232D7">
            <w:pPr>
              <w:jc w:val="left"/>
              <w:rPr>
                <w:rFonts w:ascii="Arial" w:hAnsi="Arial" w:cs="Arial"/>
                <w:b/>
                <w:bCs/>
                <w:sz w:val="18"/>
                <w:lang w:val="sr-Latn-ME"/>
              </w:rPr>
            </w:pPr>
            <w:r w:rsidRPr="00F6198B">
              <w:rPr>
                <w:rFonts w:ascii="Arial" w:hAnsi="Arial" w:cs="Arial"/>
                <w:b/>
                <w:bCs/>
                <w:sz w:val="18"/>
                <w:lang w:val="sr-Latn-ME"/>
              </w:rPr>
              <w:t>87.6</w:t>
            </w:r>
          </w:p>
        </w:tc>
        <w:tc>
          <w:tcPr>
            <w:tcW w:w="1330" w:type="dxa"/>
            <w:noWrap/>
            <w:hideMark/>
          </w:tcPr>
          <w:p w14:paraId="4171D164" w14:textId="77777777" w:rsidR="00C232D7" w:rsidRPr="00F6198B" w:rsidRDefault="00C232D7" w:rsidP="00C232D7">
            <w:pPr>
              <w:jc w:val="left"/>
              <w:rPr>
                <w:rFonts w:ascii="Arial" w:hAnsi="Arial" w:cs="Arial"/>
                <w:b/>
                <w:bCs/>
                <w:sz w:val="18"/>
                <w:lang w:val="sr-Latn-ME"/>
              </w:rPr>
            </w:pPr>
            <w:r w:rsidRPr="00F6198B">
              <w:rPr>
                <w:rFonts w:ascii="Arial" w:hAnsi="Arial" w:cs="Arial"/>
                <w:b/>
                <w:bCs/>
                <w:sz w:val="18"/>
                <w:lang w:val="sr-Latn-ME"/>
              </w:rPr>
              <w:t>87.7</w:t>
            </w:r>
          </w:p>
        </w:tc>
        <w:tc>
          <w:tcPr>
            <w:tcW w:w="1360" w:type="dxa"/>
            <w:noWrap/>
            <w:hideMark/>
          </w:tcPr>
          <w:p w14:paraId="467ABDFF" w14:textId="77777777" w:rsidR="00C232D7" w:rsidRPr="00F6198B" w:rsidRDefault="00C232D7" w:rsidP="00C232D7">
            <w:pPr>
              <w:jc w:val="left"/>
              <w:rPr>
                <w:rFonts w:ascii="Arial" w:hAnsi="Arial" w:cs="Arial"/>
                <w:b/>
                <w:bCs/>
                <w:sz w:val="18"/>
                <w:lang w:val="sr-Latn-ME"/>
              </w:rPr>
            </w:pPr>
            <w:r w:rsidRPr="00F6198B">
              <w:rPr>
                <w:rFonts w:ascii="Arial" w:hAnsi="Arial" w:cs="Arial"/>
                <w:b/>
                <w:bCs/>
                <w:sz w:val="18"/>
                <w:lang w:val="sr-Latn-ME"/>
              </w:rPr>
              <w:t>88.1</w:t>
            </w:r>
          </w:p>
        </w:tc>
      </w:tr>
    </w:tbl>
    <w:p w14:paraId="0968FE2F" w14:textId="77777777" w:rsidR="00C232D7" w:rsidRPr="002A6F4E" w:rsidRDefault="00C232D7" w:rsidP="00C232D7">
      <w:pPr>
        <w:pStyle w:val="NoSpacing"/>
        <w:rPr>
          <w:rFonts w:ascii="Arial" w:hAnsi="Arial" w:cs="Arial"/>
          <w:lang w:val="sr-Latn-ME"/>
        </w:rPr>
      </w:pPr>
    </w:p>
    <w:p w14:paraId="1BEC0574" w14:textId="77777777" w:rsidR="00C232D7" w:rsidRPr="002A6F4E" w:rsidRDefault="00C232D7" w:rsidP="00C232D7">
      <w:pPr>
        <w:pStyle w:val="NoSpacing"/>
        <w:spacing w:line="360" w:lineRule="auto"/>
        <w:jc w:val="center"/>
        <w:rPr>
          <w:rFonts w:ascii="Arial" w:hAnsi="Arial" w:cs="Arial"/>
          <w:i/>
          <w:lang w:val="sq-AL"/>
        </w:rPr>
      </w:pPr>
    </w:p>
    <w:p w14:paraId="4899E558" w14:textId="77777777" w:rsidR="00C232D7" w:rsidRPr="002A6F4E" w:rsidRDefault="00C232D7" w:rsidP="00C232D7">
      <w:pPr>
        <w:pStyle w:val="NoSpacing"/>
        <w:spacing w:line="360" w:lineRule="auto"/>
        <w:jc w:val="center"/>
        <w:rPr>
          <w:rFonts w:ascii="Arial" w:hAnsi="Arial" w:cs="Arial"/>
          <w:i/>
          <w:lang w:val="sq-AL"/>
        </w:rPr>
      </w:pPr>
    </w:p>
    <w:p w14:paraId="53002F45" w14:textId="77777777" w:rsidR="00C232D7" w:rsidRPr="002A6F4E" w:rsidRDefault="00C232D7" w:rsidP="00C232D7">
      <w:pPr>
        <w:pStyle w:val="NoSpacing"/>
        <w:spacing w:line="360" w:lineRule="auto"/>
        <w:jc w:val="center"/>
        <w:rPr>
          <w:rFonts w:ascii="Arial" w:hAnsi="Arial" w:cs="Arial"/>
          <w:i/>
          <w:lang w:val="sq-AL"/>
        </w:rPr>
      </w:pPr>
    </w:p>
    <w:p w14:paraId="49223CC9" w14:textId="77777777" w:rsidR="00C232D7" w:rsidRPr="002A6F4E" w:rsidRDefault="00C232D7" w:rsidP="00C232D7">
      <w:pPr>
        <w:pStyle w:val="NoSpacing"/>
        <w:spacing w:line="360" w:lineRule="auto"/>
        <w:jc w:val="center"/>
        <w:rPr>
          <w:rFonts w:ascii="Arial" w:hAnsi="Arial" w:cs="Arial"/>
          <w:i/>
          <w:lang w:val="sq-AL"/>
        </w:rPr>
      </w:pPr>
    </w:p>
    <w:p w14:paraId="4182D93D" w14:textId="77777777" w:rsidR="00C232D7" w:rsidRPr="002A6F4E" w:rsidRDefault="00C232D7" w:rsidP="00C232D7">
      <w:pPr>
        <w:pStyle w:val="NoSpacing"/>
        <w:spacing w:line="360" w:lineRule="auto"/>
        <w:jc w:val="center"/>
        <w:rPr>
          <w:rFonts w:ascii="Arial" w:hAnsi="Arial" w:cs="Arial"/>
          <w:i/>
          <w:lang w:val="sq-AL"/>
        </w:rPr>
      </w:pPr>
    </w:p>
    <w:p w14:paraId="53D4DA6B" w14:textId="77777777" w:rsidR="00C232D7" w:rsidRPr="002A6F4E" w:rsidRDefault="00C232D7" w:rsidP="00C232D7">
      <w:pPr>
        <w:pStyle w:val="NoSpacing1"/>
        <w:rPr>
          <w:rFonts w:ascii="Arial" w:hAnsi="Arial" w:cs="Arial"/>
          <w:i/>
          <w:sz w:val="20"/>
          <w:szCs w:val="20"/>
        </w:rPr>
      </w:pPr>
    </w:p>
    <w:p w14:paraId="3708A068" w14:textId="77777777" w:rsidR="0047528A" w:rsidRDefault="0047528A" w:rsidP="00C232D7">
      <w:pPr>
        <w:pStyle w:val="NoSpacing1"/>
        <w:jc w:val="center"/>
        <w:rPr>
          <w:rFonts w:ascii="Arial" w:hAnsi="Arial" w:cs="Arial"/>
          <w:i/>
          <w:sz w:val="20"/>
          <w:szCs w:val="20"/>
        </w:rPr>
      </w:pPr>
    </w:p>
    <w:p w14:paraId="60FE929E" w14:textId="77777777" w:rsidR="0047528A" w:rsidRDefault="0047528A" w:rsidP="00C232D7">
      <w:pPr>
        <w:pStyle w:val="NoSpacing1"/>
        <w:jc w:val="center"/>
        <w:rPr>
          <w:rFonts w:ascii="Arial" w:hAnsi="Arial" w:cs="Arial"/>
          <w:i/>
          <w:sz w:val="20"/>
          <w:szCs w:val="20"/>
        </w:rPr>
      </w:pPr>
    </w:p>
    <w:p w14:paraId="214B9343" w14:textId="77777777" w:rsidR="0047528A" w:rsidRDefault="0047528A" w:rsidP="00C232D7">
      <w:pPr>
        <w:pStyle w:val="NoSpacing1"/>
        <w:jc w:val="center"/>
        <w:rPr>
          <w:rFonts w:ascii="Arial" w:hAnsi="Arial" w:cs="Arial"/>
          <w:i/>
          <w:sz w:val="20"/>
          <w:szCs w:val="20"/>
        </w:rPr>
      </w:pPr>
    </w:p>
    <w:p w14:paraId="6B5D3F56" w14:textId="77777777" w:rsidR="0047528A" w:rsidRDefault="0047528A" w:rsidP="00C232D7">
      <w:pPr>
        <w:pStyle w:val="NoSpacing1"/>
        <w:jc w:val="center"/>
        <w:rPr>
          <w:rFonts w:ascii="Arial" w:hAnsi="Arial" w:cs="Arial"/>
          <w:i/>
          <w:sz w:val="20"/>
          <w:szCs w:val="20"/>
        </w:rPr>
      </w:pPr>
    </w:p>
    <w:p w14:paraId="7353C9D0" w14:textId="77777777" w:rsidR="0047528A" w:rsidRDefault="0047528A" w:rsidP="00C232D7">
      <w:pPr>
        <w:pStyle w:val="NoSpacing1"/>
        <w:jc w:val="center"/>
        <w:rPr>
          <w:rFonts w:ascii="Arial" w:hAnsi="Arial" w:cs="Arial"/>
          <w:i/>
          <w:sz w:val="20"/>
          <w:szCs w:val="20"/>
        </w:rPr>
      </w:pPr>
    </w:p>
    <w:p w14:paraId="70722F43" w14:textId="77777777" w:rsidR="0047528A" w:rsidRDefault="0047528A" w:rsidP="00C232D7">
      <w:pPr>
        <w:pStyle w:val="NoSpacing1"/>
        <w:jc w:val="center"/>
        <w:rPr>
          <w:rFonts w:ascii="Arial" w:hAnsi="Arial" w:cs="Arial"/>
          <w:i/>
          <w:sz w:val="20"/>
          <w:szCs w:val="20"/>
        </w:rPr>
      </w:pPr>
    </w:p>
    <w:p w14:paraId="678C2389" w14:textId="77777777" w:rsidR="0047528A" w:rsidRDefault="0047528A" w:rsidP="00C232D7">
      <w:pPr>
        <w:pStyle w:val="NoSpacing1"/>
        <w:jc w:val="center"/>
        <w:rPr>
          <w:rFonts w:ascii="Arial" w:hAnsi="Arial" w:cs="Arial"/>
          <w:i/>
          <w:sz w:val="20"/>
          <w:szCs w:val="20"/>
        </w:rPr>
      </w:pPr>
    </w:p>
    <w:p w14:paraId="063C24E7" w14:textId="77777777" w:rsidR="0047528A" w:rsidRDefault="0047528A" w:rsidP="00C232D7">
      <w:pPr>
        <w:pStyle w:val="NoSpacing1"/>
        <w:jc w:val="center"/>
        <w:rPr>
          <w:rFonts w:ascii="Arial" w:hAnsi="Arial" w:cs="Arial"/>
          <w:i/>
          <w:sz w:val="20"/>
          <w:szCs w:val="20"/>
        </w:rPr>
      </w:pPr>
    </w:p>
    <w:p w14:paraId="58075E9D" w14:textId="77777777" w:rsidR="00725EA2" w:rsidRDefault="00725EA2" w:rsidP="0047528A">
      <w:pPr>
        <w:spacing w:before="120" w:after="120" w:line="360" w:lineRule="auto"/>
        <w:rPr>
          <w:rFonts w:ascii="Arial" w:hAnsi="Arial" w:cs="Arial"/>
          <w:i/>
          <w:lang w:val="en-US"/>
        </w:rPr>
      </w:pPr>
    </w:p>
    <w:p w14:paraId="222CDB3B" w14:textId="3F46C768" w:rsidR="00C232D7" w:rsidRDefault="00C232D7" w:rsidP="0047528A">
      <w:pPr>
        <w:spacing w:before="120" w:after="120" w:line="360" w:lineRule="auto"/>
        <w:rPr>
          <w:rFonts w:ascii="Arial" w:hAnsi="Arial" w:cs="Arial"/>
          <w:iCs/>
          <w:lang w:val="sq-AL"/>
        </w:rPr>
      </w:pPr>
      <w:r w:rsidRPr="0047528A">
        <w:rPr>
          <w:rFonts w:ascii="Arial" w:hAnsi="Arial" w:cs="Arial"/>
          <w:iCs/>
          <w:lang w:val="sq-AL"/>
        </w:rPr>
        <w:t>Više od 75% otpada nastaje u urbanim i turističkim sredinama, dok u ruralnim područjima nastaje ~25% ukupnog komunalnog otpada.</w:t>
      </w:r>
      <w:r w:rsidR="00F53484">
        <w:rPr>
          <w:rFonts w:ascii="Arial" w:hAnsi="Arial" w:cs="Arial"/>
          <w:iCs/>
          <w:lang w:val="sq-AL"/>
        </w:rPr>
        <w:t>Na sljedećoj</w:t>
      </w:r>
      <w:r w:rsidRPr="0047528A">
        <w:rPr>
          <w:rFonts w:ascii="Arial" w:hAnsi="Arial" w:cs="Arial"/>
          <w:iCs/>
          <w:lang w:val="sq-AL"/>
        </w:rPr>
        <w:t xml:space="preserve"> </w:t>
      </w:r>
      <w:r w:rsidR="00F53484">
        <w:rPr>
          <w:rFonts w:ascii="Arial" w:hAnsi="Arial" w:cs="Arial"/>
          <w:iCs/>
          <w:lang w:val="sq-AL"/>
        </w:rPr>
        <w:t>slici</w:t>
      </w:r>
      <w:r w:rsidRPr="0047528A">
        <w:rPr>
          <w:rFonts w:ascii="Arial" w:hAnsi="Arial" w:cs="Arial"/>
          <w:iCs/>
          <w:lang w:val="sq-AL"/>
        </w:rPr>
        <w:t xml:space="preserve"> je  doprinos svake opštine ukupnom generisanju otpada.</w:t>
      </w:r>
    </w:p>
    <w:p w14:paraId="2B23CD72" w14:textId="77777777" w:rsidR="00725EA2" w:rsidRDefault="00725EA2" w:rsidP="0047528A">
      <w:pPr>
        <w:spacing w:before="120" w:after="120" w:line="360" w:lineRule="auto"/>
        <w:rPr>
          <w:rFonts w:ascii="Arial" w:hAnsi="Arial" w:cs="Arial"/>
          <w:iCs/>
          <w:lang w:val="sq-AL"/>
        </w:rPr>
      </w:pPr>
    </w:p>
    <w:p w14:paraId="178D4723" w14:textId="77777777" w:rsidR="00725EA2" w:rsidRDefault="00725EA2" w:rsidP="0047528A">
      <w:pPr>
        <w:spacing w:before="120" w:after="120" w:line="360" w:lineRule="auto"/>
        <w:rPr>
          <w:rFonts w:ascii="Arial" w:hAnsi="Arial" w:cs="Arial"/>
          <w:iCs/>
          <w:lang w:val="sq-AL"/>
        </w:rPr>
      </w:pPr>
    </w:p>
    <w:p w14:paraId="21EED073" w14:textId="77777777" w:rsidR="00725EA2" w:rsidRDefault="00725EA2" w:rsidP="0047528A">
      <w:pPr>
        <w:spacing w:before="120" w:after="120" w:line="360" w:lineRule="auto"/>
        <w:rPr>
          <w:rFonts w:ascii="Arial" w:hAnsi="Arial" w:cs="Arial"/>
          <w:iCs/>
          <w:lang w:val="sq-AL"/>
        </w:rPr>
      </w:pPr>
    </w:p>
    <w:p w14:paraId="61BF913C" w14:textId="77777777" w:rsidR="00725EA2" w:rsidRDefault="00725EA2" w:rsidP="0047528A">
      <w:pPr>
        <w:spacing w:before="120" w:after="120" w:line="360" w:lineRule="auto"/>
        <w:rPr>
          <w:rFonts w:ascii="Arial" w:hAnsi="Arial" w:cs="Arial"/>
          <w:iCs/>
          <w:lang w:val="sq-AL"/>
        </w:rPr>
      </w:pPr>
    </w:p>
    <w:p w14:paraId="0D339340" w14:textId="77777777" w:rsidR="00725EA2" w:rsidRDefault="00725EA2" w:rsidP="0047528A">
      <w:pPr>
        <w:spacing w:before="120" w:after="120" w:line="360" w:lineRule="auto"/>
        <w:rPr>
          <w:rFonts w:ascii="Arial" w:hAnsi="Arial" w:cs="Arial"/>
          <w:iCs/>
          <w:lang w:val="sq-AL"/>
        </w:rPr>
      </w:pPr>
    </w:p>
    <w:p w14:paraId="0EA4B9AC" w14:textId="77777777" w:rsidR="00725EA2" w:rsidRDefault="00725EA2" w:rsidP="0047528A">
      <w:pPr>
        <w:spacing w:before="120" w:after="120" w:line="360" w:lineRule="auto"/>
        <w:rPr>
          <w:rFonts w:ascii="Arial" w:hAnsi="Arial" w:cs="Arial"/>
          <w:iCs/>
          <w:lang w:val="sq-AL"/>
        </w:rPr>
      </w:pPr>
    </w:p>
    <w:p w14:paraId="6073B088" w14:textId="77777777" w:rsidR="00725EA2" w:rsidRDefault="00725EA2" w:rsidP="0047528A">
      <w:pPr>
        <w:spacing w:before="120" w:after="120" w:line="360" w:lineRule="auto"/>
        <w:rPr>
          <w:rFonts w:ascii="Arial" w:hAnsi="Arial" w:cs="Arial"/>
          <w:iCs/>
          <w:lang w:val="sq-AL"/>
        </w:rPr>
      </w:pPr>
    </w:p>
    <w:p w14:paraId="00AB55CA" w14:textId="30161AFE" w:rsidR="00725EA2" w:rsidRDefault="00725EA2" w:rsidP="00725EA2">
      <w:pPr>
        <w:spacing w:before="120" w:after="120" w:line="360" w:lineRule="auto"/>
        <w:rPr>
          <w:rFonts w:ascii="Arial" w:hAnsi="Arial" w:cs="Arial"/>
          <w:lang w:val="sq-AL"/>
        </w:rPr>
      </w:pPr>
      <w:r>
        <w:rPr>
          <w:rFonts w:ascii="Arial" w:hAnsi="Arial" w:cs="Arial"/>
          <w:iCs/>
          <w:noProof/>
          <w:lang w:val="en-US"/>
        </w:rPr>
        <w:lastRenderedPageBreak/>
        <w:drawing>
          <wp:inline distT="0" distB="0" distL="0" distR="0" wp14:anchorId="727021E5" wp14:editId="52D13B96">
            <wp:extent cx="4486910" cy="2127885"/>
            <wp:effectExtent l="0" t="0" r="8890" b="5715"/>
            <wp:docPr id="922432" name="Picture 92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6910" cy="2127885"/>
                    </a:xfrm>
                    <a:prstGeom prst="rect">
                      <a:avLst/>
                    </a:prstGeom>
                    <a:noFill/>
                  </pic:spPr>
                </pic:pic>
              </a:graphicData>
            </a:graphic>
          </wp:inline>
        </w:drawing>
      </w:r>
      <w:bookmarkEnd w:id="698"/>
      <w:r w:rsidR="00C232D7" w:rsidRPr="002A6F4E">
        <w:rPr>
          <w:rFonts w:ascii="Arial" w:hAnsi="Arial" w:cs="Arial"/>
          <w:lang w:val="sq-AL"/>
        </w:rPr>
        <w:t xml:space="preserve"> </w:t>
      </w:r>
    </w:p>
    <w:p w14:paraId="4CB26F1E" w14:textId="4806E70C" w:rsidR="00C232D7" w:rsidRPr="0047528A" w:rsidRDefault="00C232D7" w:rsidP="00C232D7">
      <w:pPr>
        <w:pStyle w:val="Caption"/>
        <w:rPr>
          <w:rFonts w:ascii="Arial" w:hAnsi="Arial" w:cs="Arial"/>
          <w:b w:val="0"/>
          <w:sz w:val="20"/>
          <w:szCs w:val="20"/>
          <w:lang w:val="sq-AL"/>
        </w:rPr>
      </w:pPr>
      <w:r w:rsidRPr="002A6F4E">
        <w:rPr>
          <w:rFonts w:ascii="Arial" w:hAnsi="Arial" w:cs="Arial"/>
          <w:sz w:val="20"/>
          <w:szCs w:val="20"/>
          <w:lang w:val="sq-AL"/>
        </w:rPr>
        <w:t xml:space="preserve"> </w:t>
      </w:r>
      <w:bookmarkStart w:id="701" w:name="_Toc190160834"/>
      <w:r w:rsidRPr="009205D7">
        <w:rPr>
          <w:rFonts w:ascii="Arial" w:hAnsi="Arial" w:cs="Arial"/>
          <w:b w:val="0"/>
          <w:szCs w:val="20"/>
          <w:lang w:val="sq-AL"/>
        </w:rPr>
        <w:t xml:space="preserve">Slika </w:t>
      </w:r>
      <w:r w:rsidRPr="009205D7">
        <w:rPr>
          <w:rFonts w:ascii="Arial" w:hAnsi="Arial" w:cs="Arial"/>
          <w:b w:val="0"/>
          <w:szCs w:val="20"/>
        </w:rPr>
        <w:fldChar w:fldCharType="begin"/>
      </w:r>
      <w:r w:rsidRPr="009205D7">
        <w:rPr>
          <w:rFonts w:ascii="Arial" w:hAnsi="Arial" w:cs="Arial"/>
          <w:b w:val="0"/>
          <w:szCs w:val="20"/>
          <w:lang w:val="sq-AL"/>
        </w:rPr>
        <w:instrText xml:space="preserve"> SEQ Slika \* ARABIC </w:instrText>
      </w:r>
      <w:r w:rsidRPr="009205D7">
        <w:rPr>
          <w:rFonts w:ascii="Arial" w:hAnsi="Arial" w:cs="Arial"/>
          <w:b w:val="0"/>
          <w:szCs w:val="20"/>
        </w:rPr>
        <w:fldChar w:fldCharType="separate"/>
      </w:r>
      <w:r w:rsidR="008C782A" w:rsidRPr="009205D7">
        <w:rPr>
          <w:rFonts w:ascii="Arial" w:hAnsi="Arial" w:cs="Arial"/>
          <w:b w:val="0"/>
          <w:noProof/>
          <w:szCs w:val="20"/>
          <w:lang w:val="sq-AL"/>
        </w:rPr>
        <w:t>1</w:t>
      </w:r>
      <w:r w:rsidRPr="009205D7">
        <w:rPr>
          <w:rFonts w:ascii="Arial" w:hAnsi="Arial" w:cs="Arial"/>
          <w:b w:val="0"/>
          <w:szCs w:val="20"/>
        </w:rPr>
        <w:fldChar w:fldCharType="end"/>
      </w:r>
      <w:r w:rsidRPr="009205D7">
        <w:rPr>
          <w:rFonts w:ascii="Arial" w:hAnsi="Arial" w:cs="Arial"/>
          <w:b w:val="0"/>
          <w:szCs w:val="20"/>
          <w:lang w:val="sq-AL"/>
        </w:rPr>
        <w:t xml:space="preserve"> Doprinos opština ukupnom generisanju otpada, 2023</w:t>
      </w:r>
      <w:bookmarkEnd w:id="701"/>
      <w:r w:rsidR="00FD3C0A">
        <w:rPr>
          <w:rStyle w:val="FootnoteReference"/>
          <w:rFonts w:cs="Arial"/>
          <w:b w:val="0"/>
        </w:rPr>
        <w:footnoteReference w:id="10"/>
      </w:r>
    </w:p>
    <w:p w14:paraId="745DB926" w14:textId="4AFDA40D"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Kao što je gore prikazano, </w:t>
      </w:r>
      <w:r w:rsidR="003C3822">
        <w:rPr>
          <w:rFonts w:ascii="Arial" w:hAnsi="Arial" w:cs="Arial"/>
          <w:lang w:val="sq-AL"/>
        </w:rPr>
        <w:t xml:space="preserve"> Glavni grad </w:t>
      </w:r>
      <w:r w:rsidRPr="002A6F4E">
        <w:rPr>
          <w:rFonts w:ascii="Arial" w:hAnsi="Arial" w:cs="Arial"/>
          <w:lang w:val="sq-AL"/>
        </w:rPr>
        <w:t xml:space="preserve">Podgorica generiše ~28% ukupnog otpada, zatim slijedi </w:t>
      </w:r>
      <w:r w:rsidR="003C3822">
        <w:rPr>
          <w:rFonts w:ascii="Arial" w:hAnsi="Arial" w:cs="Arial"/>
          <w:lang w:val="sq-AL"/>
        </w:rPr>
        <w:t xml:space="preserve">Opština </w:t>
      </w:r>
      <w:r w:rsidRPr="002A6F4E">
        <w:rPr>
          <w:rFonts w:ascii="Arial" w:hAnsi="Arial" w:cs="Arial"/>
          <w:lang w:val="sq-AL"/>
        </w:rPr>
        <w:t>Nikšić. Pored toga, opštine u primorskom dijelu zemlje (Bar, Budva, Herceg Novi, Kotor, Tivat i Ulcinj) čine 31% ukupnog stvaranja otpada.</w:t>
      </w:r>
    </w:p>
    <w:p w14:paraId="4A94CC2F"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Što se tiče vrsta komunalnog otpada, iste su prikazane u sljedećoj tabeli.</w:t>
      </w:r>
    </w:p>
    <w:p w14:paraId="4969F7C6" w14:textId="54E5BC60" w:rsidR="00C232D7" w:rsidRDefault="00C232D7" w:rsidP="00C232D7">
      <w:pPr>
        <w:pStyle w:val="Caption"/>
        <w:rPr>
          <w:rFonts w:ascii="Arial" w:hAnsi="Arial" w:cs="Arial"/>
          <w:b w:val="0"/>
          <w:szCs w:val="20"/>
          <w:lang w:val="de-DE"/>
        </w:rPr>
      </w:pPr>
      <w:bookmarkStart w:id="702" w:name="_Toc190160697"/>
      <w:r w:rsidRPr="00D019F3">
        <w:rPr>
          <w:rFonts w:ascii="Arial" w:hAnsi="Arial" w:cs="Arial"/>
          <w:b w:val="0"/>
          <w:szCs w:val="20"/>
          <w:lang w:val="de-DE"/>
        </w:rPr>
        <w:t xml:space="preserve">Tabela </w:t>
      </w:r>
      <w:r w:rsidRPr="00D019F3">
        <w:rPr>
          <w:rFonts w:ascii="Arial" w:hAnsi="Arial" w:cs="Arial"/>
          <w:b w:val="0"/>
          <w:szCs w:val="20"/>
        </w:rPr>
        <w:fldChar w:fldCharType="begin"/>
      </w:r>
      <w:r w:rsidRPr="00D019F3">
        <w:rPr>
          <w:rFonts w:ascii="Arial" w:hAnsi="Arial" w:cs="Arial"/>
          <w:b w:val="0"/>
          <w:szCs w:val="20"/>
          <w:lang w:val="de-DE"/>
        </w:rPr>
        <w:instrText xml:space="preserve"> SEQ Tabela \* ARABIC </w:instrText>
      </w:r>
      <w:r w:rsidRPr="00D019F3">
        <w:rPr>
          <w:rFonts w:ascii="Arial" w:hAnsi="Arial" w:cs="Arial"/>
          <w:b w:val="0"/>
          <w:szCs w:val="20"/>
        </w:rPr>
        <w:fldChar w:fldCharType="separate"/>
      </w:r>
      <w:r w:rsidR="007274DA">
        <w:rPr>
          <w:rFonts w:ascii="Arial" w:hAnsi="Arial" w:cs="Arial"/>
          <w:b w:val="0"/>
          <w:noProof/>
          <w:szCs w:val="20"/>
          <w:lang w:val="de-DE"/>
        </w:rPr>
        <w:t>7</w:t>
      </w:r>
      <w:r w:rsidRPr="00D019F3">
        <w:rPr>
          <w:rFonts w:ascii="Arial" w:hAnsi="Arial" w:cs="Arial"/>
          <w:b w:val="0"/>
          <w:szCs w:val="20"/>
        </w:rPr>
        <w:fldChar w:fldCharType="end"/>
      </w:r>
      <w:r w:rsidRPr="00D019F3">
        <w:rPr>
          <w:rFonts w:ascii="Arial" w:hAnsi="Arial" w:cs="Arial"/>
          <w:b w:val="0"/>
          <w:szCs w:val="20"/>
          <w:lang w:val="de-DE"/>
        </w:rPr>
        <w:t xml:space="preserve"> Obrađene količine otpada po postupcima obrade, 2021- 2023</w:t>
      </w:r>
      <w:bookmarkEnd w:id="702"/>
      <w:r w:rsidR="004465D9">
        <w:rPr>
          <w:rStyle w:val="FootnoteReference"/>
          <w:rFonts w:cs="Arial"/>
          <w:b w:val="0"/>
        </w:rPr>
        <w:footnoteReference w:id="11"/>
      </w:r>
    </w:p>
    <w:tbl>
      <w:tblPr>
        <w:tblStyle w:val="TableGrid7"/>
        <w:tblpPr w:leftFromText="180" w:rightFromText="180" w:vertAnchor="text" w:horzAnchor="margin" w:tblpY="56"/>
        <w:tblW w:w="8500" w:type="dxa"/>
        <w:tblLook w:val="04A0" w:firstRow="1" w:lastRow="0" w:firstColumn="1" w:lastColumn="0" w:noHBand="0" w:noVBand="1"/>
      </w:tblPr>
      <w:tblGrid>
        <w:gridCol w:w="4248"/>
        <w:gridCol w:w="1276"/>
        <w:gridCol w:w="1275"/>
        <w:gridCol w:w="1701"/>
      </w:tblGrid>
      <w:tr w:rsidR="001E3D9B" w:rsidRPr="00552AAE" w14:paraId="6AFC4C05" w14:textId="77777777" w:rsidTr="001E3D9B">
        <w:trPr>
          <w:trHeight w:val="276"/>
        </w:trPr>
        <w:tc>
          <w:tcPr>
            <w:tcW w:w="8500" w:type="dxa"/>
            <w:gridSpan w:val="4"/>
            <w:noWrap/>
            <w:hideMark/>
          </w:tcPr>
          <w:p w14:paraId="296D8E64" w14:textId="77777777" w:rsidR="001E3D9B" w:rsidRPr="00F6198B" w:rsidRDefault="001E3D9B" w:rsidP="001E3D9B">
            <w:pPr>
              <w:jc w:val="left"/>
              <w:rPr>
                <w:rFonts w:ascii="Arial" w:hAnsi="Arial" w:cs="Arial"/>
                <w:b/>
                <w:bCs/>
                <w:sz w:val="18"/>
                <w:lang w:val="sr-Latn-ME"/>
              </w:rPr>
            </w:pPr>
            <w:r w:rsidRPr="00F6198B">
              <w:rPr>
                <w:rFonts w:ascii="Arial" w:hAnsi="Arial" w:cs="Arial"/>
                <w:b/>
                <w:bCs/>
                <w:sz w:val="18"/>
                <w:lang w:val="sr-Latn-ME"/>
              </w:rPr>
              <w:t>Obrađene količine otpada po postupcima obrade, 2021- 2023</w:t>
            </w:r>
          </w:p>
        </w:tc>
      </w:tr>
      <w:tr w:rsidR="001E3D9B" w:rsidRPr="002A6F4E" w14:paraId="56ED27EA" w14:textId="77777777" w:rsidTr="001E3D9B">
        <w:trPr>
          <w:trHeight w:val="312"/>
        </w:trPr>
        <w:tc>
          <w:tcPr>
            <w:tcW w:w="4248" w:type="dxa"/>
            <w:noWrap/>
            <w:hideMark/>
          </w:tcPr>
          <w:p w14:paraId="6BFD56C5" w14:textId="77777777" w:rsidR="001E3D9B" w:rsidRPr="00F6198B" w:rsidRDefault="001E3D9B" w:rsidP="001E3D9B">
            <w:pPr>
              <w:jc w:val="left"/>
              <w:rPr>
                <w:rFonts w:ascii="Arial" w:hAnsi="Arial" w:cs="Arial"/>
                <w:b/>
                <w:bCs/>
                <w:sz w:val="18"/>
                <w:lang w:val="sr-Latn-ME"/>
              </w:rPr>
            </w:pPr>
          </w:p>
        </w:tc>
        <w:tc>
          <w:tcPr>
            <w:tcW w:w="1276" w:type="dxa"/>
            <w:noWrap/>
            <w:hideMark/>
          </w:tcPr>
          <w:p w14:paraId="70F6C69D" w14:textId="77777777" w:rsidR="001E3D9B" w:rsidRPr="00F6198B" w:rsidRDefault="001E3D9B" w:rsidP="001E3D9B">
            <w:pPr>
              <w:jc w:val="left"/>
              <w:rPr>
                <w:rFonts w:ascii="Arial" w:hAnsi="Arial" w:cs="Arial"/>
                <w:sz w:val="18"/>
                <w:lang w:val="sq-AL"/>
              </w:rPr>
            </w:pPr>
          </w:p>
        </w:tc>
        <w:tc>
          <w:tcPr>
            <w:tcW w:w="1275" w:type="dxa"/>
            <w:noWrap/>
            <w:hideMark/>
          </w:tcPr>
          <w:p w14:paraId="462E6966" w14:textId="77777777" w:rsidR="001E3D9B" w:rsidRPr="00F6198B" w:rsidRDefault="001E3D9B" w:rsidP="001E3D9B">
            <w:pPr>
              <w:jc w:val="left"/>
              <w:rPr>
                <w:rFonts w:ascii="Arial" w:hAnsi="Arial" w:cs="Arial"/>
                <w:sz w:val="18"/>
                <w:lang w:val="sq-AL"/>
              </w:rPr>
            </w:pPr>
          </w:p>
        </w:tc>
        <w:tc>
          <w:tcPr>
            <w:tcW w:w="1701" w:type="dxa"/>
            <w:noWrap/>
            <w:hideMark/>
          </w:tcPr>
          <w:p w14:paraId="7D8E4B56"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Tona</w:t>
            </w:r>
          </w:p>
        </w:tc>
      </w:tr>
      <w:tr w:rsidR="001E3D9B" w:rsidRPr="002A6F4E" w14:paraId="7CD5A4B6" w14:textId="77777777" w:rsidTr="001E3D9B">
        <w:trPr>
          <w:trHeight w:val="276"/>
        </w:trPr>
        <w:tc>
          <w:tcPr>
            <w:tcW w:w="4248" w:type="dxa"/>
            <w:noWrap/>
            <w:hideMark/>
          </w:tcPr>
          <w:p w14:paraId="632117A5" w14:textId="77777777" w:rsidR="001E3D9B" w:rsidRPr="00F6198B" w:rsidRDefault="001E3D9B" w:rsidP="001E3D9B">
            <w:pPr>
              <w:jc w:val="left"/>
              <w:rPr>
                <w:rFonts w:ascii="Arial" w:hAnsi="Arial" w:cs="Arial"/>
                <w:b/>
                <w:bCs/>
                <w:sz w:val="18"/>
                <w:lang w:val="sr-Latn-ME"/>
              </w:rPr>
            </w:pPr>
            <w:r w:rsidRPr="00F6198B">
              <w:rPr>
                <w:rFonts w:ascii="Arial" w:hAnsi="Arial" w:cs="Arial"/>
                <w:b/>
                <w:bCs/>
                <w:sz w:val="18"/>
                <w:lang w:val="sr-Latn-ME"/>
              </w:rPr>
              <w:t> </w:t>
            </w:r>
          </w:p>
        </w:tc>
        <w:tc>
          <w:tcPr>
            <w:tcW w:w="1276" w:type="dxa"/>
            <w:noWrap/>
            <w:hideMark/>
          </w:tcPr>
          <w:p w14:paraId="0794F467" w14:textId="77777777" w:rsidR="001E3D9B" w:rsidRPr="00F6198B" w:rsidRDefault="001E3D9B" w:rsidP="001E3D9B">
            <w:pPr>
              <w:jc w:val="left"/>
              <w:rPr>
                <w:rFonts w:ascii="Arial" w:hAnsi="Arial" w:cs="Arial"/>
                <w:b/>
                <w:bCs/>
                <w:sz w:val="18"/>
                <w:lang w:val="en-US"/>
              </w:rPr>
            </w:pPr>
            <w:r w:rsidRPr="00F6198B">
              <w:rPr>
                <w:rFonts w:ascii="Arial" w:hAnsi="Arial" w:cs="Arial"/>
                <w:b/>
                <w:bCs/>
                <w:sz w:val="18"/>
                <w:lang w:val="en-US"/>
              </w:rPr>
              <w:t>2021</w:t>
            </w:r>
          </w:p>
        </w:tc>
        <w:tc>
          <w:tcPr>
            <w:tcW w:w="1275" w:type="dxa"/>
            <w:noWrap/>
            <w:hideMark/>
          </w:tcPr>
          <w:p w14:paraId="7870D6A0" w14:textId="77777777" w:rsidR="001E3D9B" w:rsidRPr="00F6198B" w:rsidRDefault="001E3D9B" w:rsidP="001E3D9B">
            <w:pPr>
              <w:jc w:val="left"/>
              <w:rPr>
                <w:rFonts w:ascii="Arial" w:hAnsi="Arial" w:cs="Arial"/>
                <w:b/>
                <w:bCs/>
                <w:sz w:val="18"/>
                <w:lang w:val="en-US"/>
              </w:rPr>
            </w:pPr>
            <w:r w:rsidRPr="00F6198B">
              <w:rPr>
                <w:rFonts w:ascii="Arial" w:hAnsi="Arial" w:cs="Arial"/>
                <w:b/>
                <w:bCs/>
                <w:sz w:val="18"/>
                <w:lang w:val="en-US"/>
              </w:rPr>
              <w:t>2022</w:t>
            </w:r>
          </w:p>
        </w:tc>
        <w:tc>
          <w:tcPr>
            <w:tcW w:w="1701" w:type="dxa"/>
            <w:noWrap/>
            <w:hideMark/>
          </w:tcPr>
          <w:p w14:paraId="1BE6B5B5" w14:textId="77777777" w:rsidR="001E3D9B" w:rsidRPr="00F6198B" w:rsidRDefault="001E3D9B" w:rsidP="001E3D9B">
            <w:pPr>
              <w:jc w:val="left"/>
              <w:rPr>
                <w:rFonts w:ascii="Arial" w:hAnsi="Arial" w:cs="Arial"/>
                <w:b/>
                <w:bCs/>
                <w:sz w:val="18"/>
                <w:lang w:val="en-US"/>
              </w:rPr>
            </w:pPr>
            <w:r w:rsidRPr="00F6198B">
              <w:rPr>
                <w:rFonts w:ascii="Arial" w:hAnsi="Arial" w:cs="Arial"/>
                <w:b/>
                <w:bCs/>
                <w:sz w:val="18"/>
                <w:lang w:val="en-US"/>
              </w:rPr>
              <w:t>2023</w:t>
            </w:r>
          </w:p>
        </w:tc>
      </w:tr>
      <w:tr w:rsidR="001E3D9B" w:rsidRPr="002A6F4E" w14:paraId="4185A373" w14:textId="77777777" w:rsidTr="001E3D9B">
        <w:trPr>
          <w:trHeight w:val="276"/>
        </w:trPr>
        <w:tc>
          <w:tcPr>
            <w:tcW w:w="4248" w:type="dxa"/>
            <w:hideMark/>
          </w:tcPr>
          <w:p w14:paraId="2B1CD0A8" w14:textId="77777777" w:rsidR="001E3D9B" w:rsidRPr="00F6198B" w:rsidRDefault="001E3D9B" w:rsidP="001E3D9B">
            <w:pPr>
              <w:jc w:val="left"/>
              <w:rPr>
                <w:rFonts w:ascii="Arial" w:hAnsi="Arial" w:cs="Arial"/>
                <w:b/>
                <w:bCs/>
                <w:sz w:val="18"/>
                <w:lang w:val="sr-Latn-ME"/>
              </w:rPr>
            </w:pPr>
            <w:r w:rsidRPr="00F6198B">
              <w:rPr>
                <w:rFonts w:ascii="Arial" w:hAnsi="Arial" w:cs="Arial"/>
                <w:b/>
                <w:bCs/>
                <w:sz w:val="18"/>
                <w:lang w:val="sr-Latn-ME"/>
              </w:rPr>
              <w:t>Prerada otpada (R1-R11)</w:t>
            </w:r>
          </w:p>
        </w:tc>
        <w:tc>
          <w:tcPr>
            <w:tcW w:w="1276" w:type="dxa"/>
            <w:noWrap/>
            <w:hideMark/>
          </w:tcPr>
          <w:p w14:paraId="0B7D7E4C"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114,141.9</w:t>
            </w:r>
          </w:p>
        </w:tc>
        <w:tc>
          <w:tcPr>
            <w:tcW w:w="1275" w:type="dxa"/>
            <w:noWrap/>
            <w:hideMark/>
          </w:tcPr>
          <w:p w14:paraId="6862E51A"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152,889.9</w:t>
            </w:r>
          </w:p>
        </w:tc>
        <w:tc>
          <w:tcPr>
            <w:tcW w:w="1701" w:type="dxa"/>
            <w:noWrap/>
            <w:hideMark/>
          </w:tcPr>
          <w:p w14:paraId="34FBF8D4"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186,396.9</w:t>
            </w:r>
          </w:p>
        </w:tc>
      </w:tr>
      <w:tr w:rsidR="001E3D9B" w:rsidRPr="002A6F4E" w14:paraId="5CD360FB" w14:textId="77777777" w:rsidTr="001E3D9B">
        <w:trPr>
          <w:trHeight w:val="276"/>
        </w:trPr>
        <w:tc>
          <w:tcPr>
            <w:tcW w:w="4248" w:type="dxa"/>
            <w:hideMark/>
          </w:tcPr>
          <w:p w14:paraId="3EDC42BA" w14:textId="77777777" w:rsidR="001E3D9B" w:rsidRPr="00F6198B" w:rsidRDefault="001E3D9B" w:rsidP="001E3D9B">
            <w:pPr>
              <w:jc w:val="left"/>
              <w:rPr>
                <w:rFonts w:ascii="Arial" w:hAnsi="Arial" w:cs="Arial"/>
                <w:sz w:val="18"/>
                <w:lang w:val="sr-Latn-ME"/>
              </w:rPr>
            </w:pPr>
            <w:r w:rsidRPr="00F6198B">
              <w:rPr>
                <w:rFonts w:ascii="Arial" w:hAnsi="Arial" w:cs="Arial"/>
                <w:sz w:val="18"/>
                <w:lang w:val="sr-Latn-ME"/>
              </w:rPr>
              <w:t xml:space="preserve">      od čega recikliranje otpada (R2-R11)</w:t>
            </w:r>
          </w:p>
        </w:tc>
        <w:tc>
          <w:tcPr>
            <w:tcW w:w="1276" w:type="dxa"/>
            <w:noWrap/>
            <w:hideMark/>
          </w:tcPr>
          <w:p w14:paraId="22F8AC25"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112,537.0</w:t>
            </w:r>
          </w:p>
        </w:tc>
        <w:tc>
          <w:tcPr>
            <w:tcW w:w="1275" w:type="dxa"/>
            <w:noWrap/>
            <w:hideMark/>
          </w:tcPr>
          <w:p w14:paraId="38F0C15D"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152,094.6</w:t>
            </w:r>
          </w:p>
        </w:tc>
        <w:tc>
          <w:tcPr>
            <w:tcW w:w="1701" w:type="dxa"/>
            <w:noWrap/>
            <w:hideMark/>
          </w:tcPr>
          <w:p w14:paraId="0736CFED"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185,719.8</w:t>
            </w:r>
          </w:p>
        </w:tc>
      </w:tr>
      <w:tr w:rsidR="001E3D9B" w:rsidRPr="002A6F4E" w14:paraId="1F221F13" w14:textId="77777777" w:rsidTr="001E3D9B">
        <w:trPr>
          <w:trHeight w:val="276"/>
        </w:trPr>
        <w:tc>
          <w:tcPr>
            <w:tcW w:w="4248" w:type="dxa"/>
            <w:hideMark/>
          </w:tcPr>
          <w:p w14:paraId="343C6BA1" w14:textId="77777777" w:rsidR="001E3D9B" w:rsidRPr="00F6198B" w:rsidRDefault="001E3D9B" w:rsidP="001E3D9B">
            <w:pPr>
              <w:jc w:val="left"/>
              <w:rPr>
                <w:rFonts w:ascii="Arial" w:hAnsi="Arial" w:cs="Arial"/>
                <w:b/>
                <w:bCs/>
                <w:sz w:val="18"/>
                <w:lang w:val="sr-Latn-ME"/>
              </w:rPr>
            </w:pPr>
            <w:r w:rsidRPr="00F6198B">
              <w:rPr>
                <w:rFonts w:ascii="Arial" w:hAnsi="Arial" w:cs="Arial"/>
                <w:b/>
                <w:bCs/>
                <w:sz w:val="18"/>
                <w:lang w:val="sr-Latn-ME"/>
              </w:rPr>
              <w:t>Zbrinjavanje otpada (D1-D7, D10-D12)</w:t>
            </w:r>
          </w:p>
        </w:tc>
        <w:tc>
          <w:tcPr>
            <w:tcW w:w="1276" w:type="dxa"/>
            <w:noWrap/>
            <w:hideMark/>
          </w:tcPr>
          <w:p w14:paraId="0CF9CF4A"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1,049,277.4</w:t>
            </w:r>
          </w:p>
        </w:tc>
        <w:tc>
          <w:tcPr>
            <w:tcW w:w="1275" w:type="dxa"/>
            <w:noWrap/>
            <w:hideMark/>
          </w:tcPr>
          <w:p w14:paraId="66920E84"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935,540.5</w:t>
            </w:r>
          </w:p>
        </w:tc>
        <w:tc>
          <w:tcPr>
            <w:tcW w:w="1701" w:type="dxa"/>
            <w:noWrap/>
            <w:hideMark/>
          </w:tcPr>
          <w:p w14:paraId="0C43C67B"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1,028,506.1</w:t>
            </w:r>
          </w:p>
        </w:tc>
      </w:tr>
      <w:tr w:rsidR="001E3D9B" w:rsidRPr="002A6F4E" w14:paraId="601F2058" w14:textId="77777777" w:rsidTr="001E3D9B">
        <w:trPr>
          <w:trHeight w:val="276"/>
        </w:trPr>
        <w:tc>
          <w:tcPr>
            <w:tcW w:w="4248" w:type="dxa"/>
            <w:hideMark/>
          </w:tcPr>
          <w:p w14:paraId="7B0ECCD4" w14:textId="77777777" w:rsidR="001E3D9B" w:rsidRPr="00F6198B" w:rsidRDefault="001E3D9B" w:rsidP="001E3D9B">
            <w:pPr>
              <w:jc w:val="left"/>
              <w:rPr>
                <w:rFonts w:ascii="Arial" w:hAnsi="Arial" w:cs="Arial"/>
                <w:sz w:val="18"/>
                <w:lang w:val="sr-Latn-ME"/>
              </w:rPr>
            </w:pPr>
            <w:r w:rsidRPr="00F6198B">
              <w:rPr>
                <w:rFonts w:ascii="Arial" w:hAnsi="Arial" w:cs="Arial"/>
                <w:sz w:val="18"/>
                <w:lang w:val="sr-Latn-ME"/>
              </w:rPr>
              <w:t xml:space="preserve">      od čega spaljivanje (D10)</w:t>
            </w:r>
          </w:p>
        </w:tc>
        <w:tc>
          <w:tcPr>
            <w:tcW w:w="1276" w:type="dxa"/>
            <w:noWrap/>
            <w:hideMark/>
          </w:tcPr>
          <w:p w14:paraId="01D4D250"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0.4</w:t>
            </w:r>
          </w:p>
        </w:tc>
        <w:tc>
          <w:tcPr>
            <w:tcW w:w="1275" w:type="dxa"/>
            <w:noWrap/>
            <w:hideMark/>
          </w:tcPr>
          <w:p w14:paraId="5C94ECC0"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w:t>
            </w:r>
          </w:p>
        </w:tc>
        <w:tc>
          <w:tcPr>
            <w:tcW w:w="1701" w:type="dxa"/>
            <w:noWrap/>
            <w:hideMark/>
          </w:tcPr>
          <w:p w14:paraId="584B699A"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0.4</w:t>
            </w:r>
          </w:p>
        </w:tc>
      </w:tr>
      <w:tr w:rsidR="001E3D9B" w:rsidRPr="002A6F4E" w14:paraId="29D74327" w14:textId="77777777" w:rsidTr="001E3D9B">
        <w:trPr>
          <w:trHeight w:val="276"/>
        </w:trPr>
        <w:tc>
          <w:tcPr>
            <w:tcW w:w="4248" w:type="dxa"/>
            <w:hideMark/>
          </w:tcPr>
          <w:p w14:paraId="2528C349" w14:textId="77777777" w:rsidR="001E3D9B" w:rsidRPr="00F6198B" w:rsidRDefault="001E3D9B" w:rsidP="001E3D9B">
            <w:pPr>
              <w:jc w:val="left"/>
              <w:rPr>
                <w:rFonts w:ascii="Arial" w:hAnsi="Arial" w:cs="Arial"/>
                <w:sz w:val="18"/>
                <w:lang w:val="sr-Latn-ME"/>
              </w:rPr>
            </w:pPr>
            <w:r w:rsidRPr="00F6198B">
              <w:rPr>
                <w:rFonts w:ascii="Arial" w:hAnsi="Arial" w:cs="Arial"/>
                <w:sz w:val="18"/>
                <w:lang w:val="sr-Latn-ME"/>
              </w:rPr>
              <w:t xml:space="preserve">      od čega deponovanje (D1)</w:t>
            </w:r>
          </w:p>
        </w:tc>
        <w:tc>
          <w:tcPr>
            <w:tcW w:w="1276" w:type="dxa"/>
            <w:noWrap/>
            <w:hideMark/>
          </w:tcPr>
          <w:p w14:paraId="27D88FE7"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733,132.4</w:t>
            </w:r>
          </w:p>
        </w:tc>
        <w:tc>
          <w:tcPr>
            <w:tcW w:w="1275" w:type="dxa"/>
            <w:noWrap/>
            <w:hideMark/>
          </w:tcPr>
          <w:p w14:paraId="3A15563A"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645,715.3</w:t>
            </w:r>
          </w:p>
        </w:tc>
        <w:tc>
          <w:tcPr>
            <w:tcW w:w="1701" w:type="dxa"/>
            <w:noWrap/>
            <w:hideMark/>
          </w:tcPr>
          <w:p w14:paraId="5F99C995"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699,872.1</w:t>
            </w:r>
          </w:p>
        </w:tc>
      </w:tr>
      <w:tr w:rsidR="001E3D9B" w:rsidRPr="002A6F4E" w14:paraId="55DCB863" w14:textId="77777777" w:rsidTr="001E3D9B">
        <w:trPr>
          <w:trHeight w:val="276"/>
        </w:trPr>
        <w:tc>
          <w:tcPr>
            <w:tcW w:w="4248" w:type="dxa"/>
            <w:hideMark/>
          </w:tcPr>
          <w:p w14:paraId="423809D5" w14:textId="77777777" w:rsidR="001E3D9B" w:rsidRPr="00F6198B" w:rsidRDefault="001E3D9B" w:rsidP="001E3D9B">
            <w:pPr>
              <w:jc w:val="left"/>
              <w:rPr>
                <w:rFonts w:ascii="Arial" w:hAnsi="Arial" w:cs="Arial"/>
                <w:b/>
                <w:bCs/>
                <w:sz w:val="18"/>
                <w:lang w:val="sr-Latn-ME"/>
              </w:rPr>
            </w:pPr>
            <w:r w:rsidRPr="00F6198B">
              <w:rPr>
                <w:rFonts w:ascii="Arial" w:hAnsi="Arial" w:cs="Arial"/>
                <w:b/>
                <w:bCs/>
                <w:sz w:val="18"/>
                <w:lang w:val="sr-Latn-ME"/>
              </w:rPr>
              <w:t>Izvoz otpada</w:t>
            </w:r>
          </w:p>
        </w:tc>
        <w:tc>
          <w:tcPr>
            <w:tcW w:w="1276" w:type="dxa"/>
            <w:noWrap/>
            <w:hideMark/>
          </w:tcPr>
          <w:p w14:paraId="7ADE01F9"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101,736.3</w:t>
            </w:r>
          </w:p>
        </w:tc>
        <w:tc>
          <w:tcPr>
            <w:tcW w:w="1275" w:type="dxa"/>
            <w:noWrap/>
            <w:hideMark/>
          </w:tcPr>
          <w:p w14:paraId="31FEA63E"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86,315.3</w:t>
            </w:r>
          </w:p>
        </w:tc>
        <w:tc>
          <w:tcPr>
            <w:tcW w:w="1701" w:type="dxa"/>
            <w:noWrap/>
            <w:hideMark/>
          </w:tcPr>
          <w:p w14:paraId="113C6ADF"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78,383.9</w:t>
            </w:r>
          </w:p>
        </w:tc>
      </w:tr>
      <w:tr w:rsidR="001E3D9B" w:rsidRPr="002A6F4E" w14:paraId="69DBB3E1" w14:textId="77777777" w:rsidTr="001E3D9B">
        <w:trPr>
          <w:trHeight w:val="276"/>
        </w:trPr>
        <w:tc>
          <w:tcPr>
            <w:tcW w:w="4248" w:type="dxa"/>
            <w:hideMark/>
          </w:tcPr>
          <w:p w14:paraId="0F9AA3D5" w14:textId="77777777" w:rsidR="001E3D9B" w:rsidRPr="00F6198B" w:rsidRDefault="001E3D9B" w:rsidP="001E3D9B">
            <w:pPr>
              <w:jc w:val="left"/>
              <w:rPr>
                <w:rFonts w:ascii="Arial" w:hAnsi="Arial" w:cs="Arial"/>
                <w:sz w:val="18"/>
                <w:lang w:val="sr-Latn-ME"/>
              </w:rPr>
            </w:pPr>
            <w:r w:rsidRPr="00F6198B">
              <w:rPr>
                <w:rFonts w:ascii="Arial" w:hAnsi="Arial" w:cs="Arial"/>
                <w:sz w:val="18"/>
                <w:lang w:val="sr-Latn-ME"/>
              </w:rPr>
              <w:t xml:space="preserve">UKUPNO (R) + (D) </w:t>
            </w:r>
          </w:p>
        </w:tc>
        <w:tc>
          <w:tcPr>
            <w:tcW w:w="1276" w:type="dxa"/>
            <w:noWrap/>
            <w:hideMark/>
          </w:tcPr>
          <w:p w14:paraId="3A8BCB24"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1,163,419.3</w:t>
            </w:r>
          </w:p>
        </w:tc>
        <w:tc>
          <w:tcPr>
            <w:tcW w:w="1275" w:type="dxa"/>
            <w:noWrap/>
            <w:hideMark/>
          </w:tcPr>
          <w:p w14:paraId="1FFCF6BA"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1,088,430.4</w:t>
            </w:r>
          </w:p>
        </w:tc>
        <w:tc>
          <w:tcPr>
            <w:tcW w:w="1701" w:type="dxa"/>
            <w:noWrap/>
            <w:hideMark/>
          </w:tcPr>
          <w:p w14:paraId="4691FE75" w14:textId="77777777" w:rsidR="001E3D9B" w:rsidRPr="00F6198B" w:rsidRDefault="001E3D9B" w:rsidP="001E3D9B">
            <w:pPr>
              <w:jc w:val="left"/>
              <w:rPr>
                <w:rFonts w:ascii="Arial" w:hAnsi="Arial" w:cs="Arial"/>
                <w:sz w:val="18"/>
                <w:lang w:val="en-US"/>
              </w:rPr>
            </w:pPr>
            <w:r w:rsidRPr="00F6198B">
              <w:rPr>
                <w:rFonts w:ascii="Arial" w:hAnsi="Arial" w:cs="Arial"/>
                <w:sz w:val="18"/>
                <w:lang w:val="en-US"/>
              </w:rPr>
              <w:t>1,214,903.1</w:t>
            </w:r>
          </w:p>
        </w:tc>
      </w:tr>
      <w:tr w:rsidR="001E3D9B" w:rsidRPr="002A6F4E" w14:paraId="7EABAE10" w14:textId="77777777" w:rsidTr="001E3D9B">
        <w:trPr>
          <w:trHeight w:val="58"/>
        </w:trPr>
        <w:tc>
          <w:tcPr>
            <w:tcW w:w="4248" w:type="dxa"/>
            <w:noWrap/>
            <w:hideMark/>
          </w:tcPr>
          <w:p w14:paraId="2C90B5BA" w14:textId="77777777" w:rsidR="001E3D9B" w:rsidRPr="00F6198B" w:rsidRDefault="001E3D9B" w:rsidP="001E3D9B">
            <w:pPr>
              <w:jc w:val="left"/>
              <w:rPr>
                <w:rFonts w:ascii="Arial" w:hAnsi="Arial" w:cs="Arial"/>
                <w:b/>
                <w:bCs/>
                <w:sz w:val="18"/>
                <w:lang w:val="sr-Latn-ME"/>
              </w:rPr>
            </w:pPr>
            <w:r w:rsidRPr="00F6198B">
              <w:rPr>
                <w:rFonts w:ascii="Arial" w:hAnsi="Arial" w:cs="Arial"/>
                <w:b/>
                <w:bCs/>
                <w:sz w:val="18"/>
                <w:lang w:val="sr-Latn-ME"/>
              </w:rPr>
              <w:t>UKUPNO (R) + (D) + izvoz</w:t>
            </w:r>
          </w:p>
        </w:tc>
        <w:tc>
          <w:tcPr>
            <w:tcW w:w="1276" w:type="dxa"/>
            <w:noWrap/>
            <w:hideMark/>
          </w:tcPr>
          <w:p w14:paraId="46986521" w14:textId="77777777" w:rsidR="001E3D9B" w:rsidRPr="00F6198B" w:rsidRDefault="001E3D9B" w:rsidP="001E3D9B">
            <w:pPr>
              <w:jc w:val="left"/>
              <w:rPr>
                <w:rFonts w:ascii="Arial" w:hAnsi="Arial" w:cs="Arial"/>
                <w:b/>
                <w:bCs/>
                <w:sz w:val="18"/>
                <w:lang w:val="en-US"/>
              </w:rPr>
            </w:pPr>
            <w:r w:rsidRPr="00F6198B">
              <w:rPr>
                <w:rFonts w:ascii="Arial" w:hAnsi="Arial" w:cs="Arial"/>
                <w:b/>
                <w:bCs/>
                <w:sz w:val="18"/>
                <w:lang w:val="en-US"/>
              </w:rPr>
              <w:t>1,265,155.6</w:t>
            </w:r>
          </w:p>
        </w:tc>
        <w:tc>
          <w:tcPr>
            <w:tcW w:w="1275" w:type="dxa"/>
            <w:noWrap/>
            <w:hideMark/>
          </w:tcPr>
          <w:p w14:paraId="5F6C848B" w14:textId="77777777" w:rsidR="001E3D9B" w:rsidRPr="00F6198B" w:rsidRDefault="001E3D9B" w:rsidP="001E3D9B">
            <w:pPr>
              <w:jc w:val="left"/>
              <w:rPr>
                <w:rFonts w:ascii="Arial" w:hAnsi="Arial" w:cs="Arial"/>
                <w:b/>
                <w:bCs/>
                <w:sz w:val="18"/>
                <w:lang w:val="en-US"/>
              </w:rPr>
            </w:pPr>
            <w:r w:rsidRPr="00F6198B">
              <w:rPr>
                <w:rFonts w:ascii="Arial" w:hAnsi="Arial" w:cs="Arial"/>
                <w:b/>
                <w:bCs/>
                <w:sz w:val="18"/>
                <w:lang w:val="en-US"/>
              </w:rPr>
              <w:t>1,174,745.7</w:t>
            </w:r>
          </w:p>
        </w:tc>
        <w:tc>
          <w:tcPr>
            <w:tcW w:w="1701" w:type="dxa"/>
            <w:noWrap/>
            <w:hideMark/>
          </w:tcPr>
          <w:p w14:paraId="6125B55D" w14:textId="77777777" w:rsidR="001E3D9B" w:rsidRPr="00F6198B" w:rsidRDefault="001E3D9B" w:rsidP="001E3D9B">
            <w:pPr>
              <w:jc w:val="left"/>
              <w:rPr>
                <w:rFonts w:ascii="Arial" w:hAnsi="Arial" w:cs="Arial"/>
                <w:b/>
                <w:bCs/>
                <w:sz w:val="18"/>
                <w:lang w:val="en-US"/>
              </w:rPr>
            </w:pPr>
            <w:r w:rsidRPr="00F6198B">
              <w:rPr>
                <w:rFonts w:ascii="Arial" w:hAnsi="Arial" w:cs="Arial"/>
                <w:b/>
                <w:bCs/>
                <w:sz w:val="18"/>
                <w:lang w:val="en-US"/>
              </w:rPr>
              <w:t>1,293,286.9</w:t>
            </w:r>
          </w:p>
        </w:tc>
      </w:tr>
    </w:tbl>
    <w:p w14:paraId="0C788605" w14:textId="06BA2AD0" w:rsidR="001E3D9B" w:rsidRDefault="001E3D9B" w:rsidP="001E3D9B">
      <w:pPr>
        <w:rPr>
          <w:lang w:val="de-DE"/>
        </w:rPr>
      </w:pPr>
    </w:p>
    <w:p w14:paraId="2F091B7F" w14:textId="0B7097E1" w:rsidR="001E3D9B" w:rsidRDefault="001E3D9B" w:rsidP="001E3D9B">
      <w:pPr>
        <w:rPr>
          <w:lang w:val="de-DE"/>
        </w:rPr>
      </w:pPr>
    </w:p>
    <w:p w14:paraId="797F43D0" w14:textId="77777777" w:rsidR="001E3D9B" w:rsidRPr="001E3D9B" w:rsidRDefault="001E3D9B" w:rsidP="001E3D9B">
      <w:pPr>
        <w:rPr>
          <w:lang w:val="de-DE"/>
        </w:rPr>
      </w:pPr>
    </w:p>
    <w:p w14:paraId="1A3F2E15" w14:textId="04D7A763" w:rsidR="001E3D9B" w:rsidRDefault="001E3D9B" w:rsidP="001E3D9B">
      <w:pPr>
        <w:rPr>
          <w:lang w:val="de-DE"/>
        </w:rPr>
      </w:pPr>
    </w:p>
    <w:p w14:paraId="603D2694" w14:textId="24FDDCA6" w:rsidR="001E3D9B" w:rsidRDefault="001E3D9B" w:rsidP="001E3D9B">
      <w:pPr>
        <w:rPr>
          <w:lang w:val="de-DE"/>
        </w:rPr>
      </w:pPr>
    </w:p>
    <w:p w14:paraId="3A06A0D3" w14:textId="2B54944C" w:rsidR="001E3D9B" w:rsidRDefault="001E3D9B" w:rsidP="001E3D9B">
      <w:pPr>
        <w:rPr>
          <w:lang w:val="de-DE"/>
        </w:rPr>
      </w:pPr>
    </w:p>
    <w:p w14:paraId="66C9F2AF" w14:textId="6C7023ED" w:rsidR="001E3D9B" w:rsidRDefault="001E3D9B" w:rsidP="001E3D9B">
      <w:pPr>
        <w:rPr>
          <w:lang w:val="de-DE"/>
        </w:rPr>
      </w:pPr>
    </w:p>
    <w:p w14:paraId="251F1AB5" w14:textId="355062E7" w:rsidR="001E3D9B" w:rsidRDefault="001E3D9B" w:rsidP="001E3D9B">
      <w:pPr>
        <w:rPr>
          <w:lang w:val="de-DE"/>
        </w:rPr>
      </w:pPr>
    </w:p>
    <w:p w14:paraId="67EF06E4" w14:textId="57E843E6" w:rsidR="001E3D9B" w:rsidRDefault="001E3D9B" w:rsidP="001E3D9B">
      <w:pPr>
        <w:rPr>
          <w:lang w:val="de-DE"/>
        </w:rPr>
      </w:pPr>
    </w:p>
    <w:p w14:paraId="0481BE0D" w14:textId="0064B6FE" w:rsidR="001E3D9B" w:rsidRDefault="001E3D9B" w:rsidP="001E3D9B">
      <w:pPr>
        <w:rPr>
          <w:lang w:val="de-DE"/>
        </w:rPr>
      </w:pPr>
    </w:p>
    <w:p w14:paraId="32CCDF94" w14:textId="77777777" w:rsidR="001E3D9B" w:rsidRPr="001E3D9B" w:rsidRDefault="001E3D9B" w:rsidP="001E3D9B">
      <w:pPr>
        <w:rPr>
          <w:lang w:val="de-DE"/>
        </w:rPr>
      </w:pPr>
    </w:p>
    <w:p w14:paraId="077F8633" w14:textId="424C0E65" w:rsidR="001E3D9B" w:rsidRDefault="001E3D9B" w:rsidP="001E3D9B">
      <w:pPr>
        <w:rPr>
          <w:lang w:val="de-DE"/>
        </w:rPr>
      </w:pPr>
    </w:p>
    <w:p w14:paraId="7AD1178C" w14:textId="4281546A" w:rsidR="001E3D9B" w:rsidRDefault="001E3D9B" w:rsidP="001E3D9B">
      <w:pPr>
        <w:rPr>
          <w:lang w:val="de-DE"/>
        </w:rPr>
      </w:pPr>
    </w:p>
    <w:p w14:paraId="76903867" w14:textId="15D0B5B7" w:rsidR="001E3D9B" w:rsidRDefault="001E3D9B" w:rsidP="001E3D9B">
      <w:pPr>
        <w:rPr>
          <w:lang w:val="de-DE"/>
        </w:rPr>
      </w:pPr>
    </w:p>
    <w:p w14:paraId="02D7EF59" w14:textId="1B4190A1" w:rsidR="001E3D9B" w:rsidRDefault="001E3D9B" w:rsidP="001E3D9B">
      <w:pPr>
        <w:rPr>
          <w:lang w:val="de-DE"/>
        </w:rPr>
      </w:pPr>
    </w:p>
    <w:p w14:paraId="3D562ADC" w14:textId="5AD1602A" w:rsidR="001E3D9B" w:rsidRDefault="001E3D9B" w:rsidP="001E3D9B">
      <w:pPr>
        <w:rPr>
          <w:lang w:val="de-DE"/>
        </w:rPr>
      </w:pPr>
    </w:p>
    <w:p w14:paraId="2D630818" w14:textId="4B3A5C95" w:rsidR="001E3D9B" w:rsidRDefault="001E3D9B" w:rsidP="001E3D9B">
      <w:pPr>
        <w:rPr>
          <w:lang w:val="de-DE"/>
        </w:rPr>
      </w:pPr>
    </w:p>
    <w:p w14:paraId="18FE8E22" w14:textId="789F6532" w:rsidR="001E3D9B" w:rsidRDefault="001E3D9B" w:rsidP="001E3D9B">
      <w:pPr>
        <w:rPr>
          <w:lang w:val="de-DE"/>
        </w:rPr>
      </w:pPr>
    </w:p>
    <w:p w14:paraId="15FA2DDF" w14:textId="39BE7D7C" w:rsidR="001E3D9B" w:rsidRDefault="001E3D9B" w:rsidP="001E3D9B">
      <w:pPr>
        <w:rPr>
          <w:lang w:val="de-DE"/>
        </w:rPr>
      </w:pPr>
    </w:p>
    <w:p w14:paraId="5BE0BDBC" w14:textId="57DBBE45" w:rsidR="001E3D9B" w:rsidRDefault="001E3D9B" w:rsidP="001E3D9B">
      <w:pPr>
        <w:rPr>
          <w:lang w:val="de-DE"/>
        </w:rPr>
      </w:pPr>
    </w:p>
    <w:p w14:paraId="241F4944" w14:textId="5F4A7444" w:rsidR="001E3D9B" w:rsidRDefault="001E3D9B" w:rsidP="001E3D9B">
      <w:pPr>
        <w:rPr>
          <w:lang w:val="de-DE"/>
        </w:rPr>
      </w:pPr>
    </w:p>
    <w:p w14:paraId="465B483E" w14:textId="36EF4FCF" w:rsidR="001E3D9B" w:rsidRDefault="001E3D9B" w:rsidP="001E3D9B">
      <w:pPr>
        <w:rPr>
          <w:lang w:val="de-DE"/>
        </w:rPr>
      </w:pPr>
    </w:p>
    <w:p w14:paraId="15D59783" w14:textId="3E2231DD" w:rsidR="001E3D9B" w:rsidRDefault="001E3D9B" w:rsidP="001E3D9B">
      <w:pPr>
        <w:rPr>
          <w:lang w:val="de-DE"/>
        </w:rPr>
      </w:pPr>
    </w:p>
    <w:p w14:paraId="40DFCABE" w14:textId="6471C498" w:rsidR="001E3D9B" w:rsidRDefault="001E3D9B" w:rsidP="001E3D9B">
      <w:pPr>
        <w:rPr>
          <w:lang w:val="de-DE"/>
        </w:rPr>
      </w:pPr>
    </w:p>
    <w:p w14:paraId="7B8FF8CC" w14:textId="5D48946E" w:rsidR="001E3D9B" w:rsidRDefault="001E3D9B" w:rsidP="001E3D9B">
      <w:pPr>
        <w:rPr>
          <w:lang w:val="de-DE"/>
        </w:rPr>
      </w:pPr>
    </w:p>
    <w:p w14:paraId="44733693" w14:textId="13016D7D" w:rsidR="001E3D9B" w:rsidRDefault="001E3D9B" w:rsidP="001E3D9B">
      <w:pPr>
        <w:rPr>
          <w:lang w:val="de-DE"/>
        </w:rPr>
      </w:pPr>
    </w:p>
    <w:p w14:paraId="38D1FDD9" w14:textId="6B043277" w:rsidR="001E3D9B" w:rsidRDefault="001E3D9B" w:rsidP="001E3D9B">
      <w:pPr>
        <w:rPr>
          <w:lang w:val="de-DE"/>
        </w:rPr>
      </w:pPr>
    </w:p>
    <w:p w14:paraId="1B10E7C2" w14:textId="7297BFEF" w:rsidR="001E3D9B" w:rsidRDefault="001E3D9B" w:rsidP="001E3D9B">
      <w:pPr>
        <w:rPr>
          <w:lang w:val="de-DE"/>
        </w:rPr>
      </w:pPr>
    </w:p>
    <w:p w14:paraId="42AB3873" w14:textId="3DA15ABC" w:rsidR="001E3D9B" w:rsidRDefault="001E3D9B" w:rsidP="001E3D9B">
      <w:pPr>
        <w:rPr>
          <w:lang w:val="de-DE"/>
        </w:rPr>
      </w:pPr>
    </w:p>
    <w:p w14:paraId="247FC643" w14:textId="54F08B7B" w:rsidR="001E3D9B" w:rsidRPr="00725EA2" w:rsidRDefault="001E3D9B" w:rsidP="00725EA2">
      <w:pPr>
        <w:pStyle w:val="Caption"/>
        <w:rPr>
          <w:rFonts w:ascii="Arial" w:hAnsi="Arial" w:cs="Arial"/>
          <w:b w:val="0"/>
          <w:i/>
          <w:szCs w:val="20"/>
          <w:lang w:val="sq-AL"/>
        </w:rPr>
      </w:pPr>
      <w:r w:rsidRPr="00D019F3">
        <w:rPr>
          <w:rFonts w:ascii="Arial" w:hAnsi="Arial" w:cs="Arial"/>
          <w:b w:val="0"/>
          <w:szCs w:val="20"/>
          <w:lang w:val="de-DE"/>
        </w:rPr>
        <w:lastRenderedPageBreak/>
        <w:t xml:space="preserve">Tabela </w:t>
      </w:r>
      <w:r w:rsidRPr="00D019F3">
        <w:rPr>
          <w:rFonts w:ascii="Arial" w:hAnsi="Arial" w:cs="Arial"/>
          <w:b w:val="0"/>
          <w:szCs w:val="20"/>
        </w:rPr>
        <w:fldChar w:fldCharType="begin"/>
      </w:r>
      <w:r w:rsidRPr="00D019F3">
        <w:rPr>
          <w:rFonts w:ascii="Arial" w:hAnsi="Arial" w:cs="Arial"/>
          <w:b w:val="0"/>
          <w:szCs w:val="20"/>
          <w:lang w:val="de-DE"/>
        </w:rPr>
        <w:instrText xml:space="preserve"> SEQ Tabela \* ARABIC </w:instrText>
      </w:r>
      <w:r w:rsidRPr="00D019F3">
        <w:rPr>
          <w:rFonts w:ascii="Arial" w:hAnsi="Arial" w:cs="Arial"/>
          <w:b w:val="0"/>
          <w:szCs w:val="20"/>
        </w:rPr>
        <w:fldChar w:fldCharType="separate"/>
      </w:r>
      <w:r w:rsidR="007274DA">
        <w:rPr>
          <w:rFonts w:ascii="Arial" w:hAnsi="Arial" w:cs="Arial"/>
          <w:b w:val="0"/>
          <w:noProof/>
          <w:szCs w:val="20"/>
          <w:lang w:val="de-DE"/>
        </w:rPr>
        <w:t>8</w:t>
      </w:r>
      <w:r w:rsidRPr="00D019F3">
        <w:rPr>
          <w:rFonts w:ascii="Arial" w:hAnsi="Arial" w:cs="Arial"/>
          <w:b w:val="0"/>
          <w:szCs w:val="20"/>
        </w:rPr>
        <w:fldChar w:fldCharType="end"/>
      </w:r>
      <w:r w:rsidRPr="00D019F3">
        <w:rPr>
          <w:rFonts w:ascii="Arial" w:hAnsi="Arial" w:cs="Arial"/>
          <w:b w:val="0"/>
          <w:szCs w:val="20"/>
          <w:lang w:val="de-DE"/>
        </w:rPr>
        <w:t xml:space="preserve"> Obrađene količine otpada po grupi otpada, 2021- 2023.</w:t>
      </w:r>
      <w:r>
        <w:rPr>
          <w:rFonts w:ascii="Arial" w:hAnsi="Arial" w:cs="Arial"/>
          <w:b w:val="0"/>
          <w:szCs w:val="20"/>
          <w:lang w:val="de-DE"/>
        </w:rPr>
        <w:t xml:space="preserve"> godina</w:t>
      </w:r>
    </w:p>
    <w:p w14:paraId="4A6630B4" w14:textId="10303577" w:rsidR="00C232D7" w:rsidRPr="00D019F3" w:rsidRDefault="00C232D7" w:rsidP="00C232D7">
      <w:pPr>
        <w:spacing w:line="360" w:lineRule="auto"/>
        <w:rPr>
          <w:rFonts w:ascii="Arial" w:hAnsi="Arial" w:cs="Arial"/>
          <w:lang w:val="sq-AL"/>
        </w:rPr>
      </w:pPr>
      <w:r w:rsidRPr="002A6F4E">
        <w:rPr>
          <w:rFonts w:ascii="Arial" w:hAnsi="Arial" w:cs="Arial"/>
          <w:noProof/>
          <w:lang w:val="en-US"/>
        </w:rPr>
        <w:drawing>
          <wp:inline distT="0" distB="0" distL="0" distR="0" wp14:anchorId="00491427" wp14:editId="11F4E000">
            <wp:extent cx="5528945" cy="669628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2442"/>
                    <a:stretch/>
                  </pic:blipFill>
                  <pic:spPr bwMode="auto">
                    <a:xfrm>
                      <a:off x="0" y="0"/>
                      <a:ext cx="5529533" cy="6696997"/>
                    </a:xfrm>
                    <a:prstGeom prst="rect">
                      <a:avLst/>
                    </a:prstGeom>
                    <a:noFill/>
                    <a:ln>
                      <a:noFill/>
                    </a:ln>
                    <a:extLst>
                      <a:ext uri="{53640926-AAD7-44D8-BBD7-CCE9431645EC}">
                        <a14:shadowObscured xmlns:a14="http://schemas.microsoft.com/office/drawing/2010/main"/>
                      </a:ext>
                    </a:extLst>
                  </pic:spPr>
                </pic:pic>
              </a:graphicData>
            </a:graphic>
          </wp:inline>
        </w:drawing>
      </w:r>
    </w:p>
    <w:p w14:paraId="105C7FA6" w14:textId="77777777" w:rsidR="00C232D7" w:rsidRPr="002A6F4E" w:rsidRDefault="00C232D7" w:rsidP="00C232D7">
      <w:pPr>
        <w:spacing w:line="360" w:lineRule="auto"/>
        <w:rPr>
          <w:rFonts w:ascii="Arial" w:hAnsi="Arial" w:cs="Arial"/>
          <w:lang w:val="de-DE"/>
        </w:rPr>
      </w:pPr>
    </w:p>
    <w:p w14:paraId="4799B7C1" w14:textId="77777777" w:rsidR="00C232D7" w:rsidRPr="002A6F4E" w:rsidRDefault="00C232D7" w:rsidP="00C232D7">
      <w:pPr>
        <w:spacing w:line="360" w:lineRule="auto"/>
        <w:rPr>
          <w:rFonts w:ascii="Arial" w:hAnsi="Arial" w:cs="Arial"/>
          <w:lang w:val="sq-AL"/>
        </w:rPr>
      </w:pPr>
    </w:p>
    <w:p w14:paraId="6F2B46A5" w14:textId="77777777" w:rsidR="00C232D7" w:rsidRPr="002A6F4E" w:rsidRDefault="00C232D7" w:rsidP="00C232D7">
      <w:pPr>
        <w:spacing w:line="360" w:lineRule="auto"/>
        <w:rPr>
          <w:rFonts w:ascii="Arial" w:hAnsi="Arial" w:cs="Arial"/>
          <w:lang w:val="sq-AL"/>
        </w:rPr>
      </w:pPr>
      <w:r w:rsidRPr="002A6F4E">
        <w:rPr>
          <w:rFonts w:ascii="Arial" w:hAnsi="Arial" w:cs="Arial"/>
          <w:noProof/>
          <w:lang w:val="en-US"/>
        </w:rPr>
        <w:lastRenderedPageBreak/>
        <w:drawing>
          <wp:inline distT="0" distB="0" distL="0" distR="0" wp14:anchorId="48DFB32D" wp14:editId="48E9B02D">
            <wp:extent cx="7376795" cy="5982970"/>
            <wp:effectExtent l="0" t="7937" r="6667" b="6668"/>
            <wp:docPr id="5" name="Picture 5" descr="C:\Users\Win\Desktop\grupa otp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Users\Win\Desktop\grupa otpad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rot="5400000">
                      <a:off x="0" y="0"/>
                      <a:ext cx="7389071" cy="5992626"/>
                    </a:xfrm>
                    <a:prstGeom prst="rect">
                      <a:avLst/>
                    </a:prstGeom>
                    <a:noFill/>
                    <a:ln>
                      <a:noFill/>
                    </a:ln>
                  </pic:spPr>
                </pic:pic>
              </a:graphicData>
            </a:graphic>
          </wp:inline>
        </w:drawing>
      </w:r>
    </w:p>
    <w:p w14:paraId="408DAF85" w14:textId="33D4BFC5" w:rsidR="00C232D7" w:rsidRPr="00244360" w:rsidRDefault="000043E9" w:rsidP="00532AE1">
      <w:pPr>
        <w:pStyle w:val="Caption"/>
        <w:rPr>
          <w:rFonts w:ascii="Arial" w:hAnsi="Arial" w:cs="Arial"/>
          <w:b w:val="0"/>
          <w:lang w:val="sq-AL"/>
        </w:rPr>
      </w:pPr>
      <w:bookmarkStart w:id="703" w:name="_Toc190160835"/>
      <w:r w:rsidRPr="00244360">
        <w:rPr>
          <w:rFonts w:ascii="Arial" w:hAnsi="Arial" w:cs="Arial"/>
          <w:b w:val="0"/>
          <w:lang w:val="sq-AL"/>
        </w:rPr>
        <w:t xml:space="preserve">Slika </w:t>
      </w:r>
      <w:r w:rsidRPr="00244360">
        <w:rPr>
          <w:rFonts w:ascii="Arial" w:hAnsi="Arial" w:cs="Arial"/>
          <w:b w:val="0"/>
        </w:rPr>
        <w:fldChar w:fldCharType="begin"/>
      </w:r>
      <w:r w:rsidRPr="00244360">
        <w:rPr>
          <w:rFonts w:ascii="Arial" w:hAnsi="Arial" w:cs="Arial"/>
          <w:b w:val="0"/>
          <w:lang w:val="sq-AL"/>
        </w:rPr>
        <w:instrText xml:space="preserve"> SEQ Slika \* ARABIC </w:instrText>
      </w:r>
      <w:r w:rsidRPr="00244360">
        <w:rPr>
          <w:rFonts w:ascii="Arial" w:hAnsi="Arial" w:cs="Arial"/>
          <w:b w:val="0"/>
        </w:rPr>
        <w:fldChar w:fldCharType="separate"/>
      </w:r>
      <w:r w:rsidR="008C782A" w:rsidRPr="00244360">
        <w:rPr>
          <w:rFonts w:ascii="Arial" w:hAnsi="Arial" w:cs="Arial"/>
          <w:b w:val="0"/>
          <w:noProof/>
          <w:lang w:val="sq-AL"/>
        </w:rPr>
        <w:t>2</w:t>
      </w:r>
      <w:r w:rsidRPr="00244360">
        <w:rPr>
          <w:rFonts w:ascii="Arial" w:hAnsi="Arial" w:cs="Arial"/>
          <w:b w:val="0"/>
        </w:rPr>
        <w:fldChar w:fldCharType="end"/>
      </w:r>
      <w:r w:rsidRPr="00244360">
        <w:rPr>
          <w:rFonts w:ascii="Arial" w:hAnsi="Arial" w:cs="Arial"/>
          <w:b w:val="0"/>
          <w:lang w:val="sq-AL"/>
        </w:rPr>
        <w:t xml:space="preserve"> Obrada količina otpada po grupama (2021-2023)</w:t>
      </w:r>
      <w:bookmarkEnd w:id="703"/>
    </w:p>
    <w:p w14:paraId="169345BB" w14:textId="7A720CA8" w:rsidR="00C232D7" w:rsidRPr="002A6F4E" w:rsidRDefault="00C232D7" w:rsidP="00C232D7">
      <w:pPr>
        <w:spacing w:line="360" w:lineRule="auto"/>
        <w:rPr>
          <w:rFonts w:ascii="Arial" w:hAnsi="Arial" w:cs="Arial"/>
          <w:lang w:val="sq-AL"/>
        </w:rPr>
      </w:pPr>
      <w:r w:rsidRPr="002A6F4E">
        <w:rPr>
          <w:rFonts w:ascii="Arial" w:hAnsi="Arial" w:cs="Arial"/>
          <w:lang w:val="sq-AL"/>
        </w:rPr>
        <w:t>Što se tiče otpadnih jestivih ulja i masti, u skladu sa Zakonom o upravljanju otpadom</w:t>
      </w:r>
      <w:r w:rsidRPr="002A6F4E">
        <w:rPr>
          <w:rFonts w:ascii="Arial" w:hAnsi="Arial" w:cs="Arial"/>
          <w:i/>
          <w:lang w:val="sq-AL"/>
        </w:rPr>
        <w:t>,</w:t>
      </w:r>
      <w:r w:rsidRPr="002A6F4E">
        <w:rPr>
          <w:rFonts w:ascii="Arial" w:hAnsi="Arial" w:cs="Arial"/>
          <w:lang w:val="sq-AL"/>
        </w:rPr>
        <w:t xml:space="preserve"> njihov imalac je dužan da ih sakupi odvojeno od ostalih vrsta otpada i da ih preda ovlašćenom sakupljaču. Trenutna situacija sa otpadnim jestivim uljima i mastima prikazana je u tabeli ispod.</w:t>
      </w:r>
    </w:p>
    <w:p w14:paraId="2AE6C431" w14:textId="77777777" w:rsidR="00C232D7" w:rsidRDefault="00C232D7" w:rsidP="00C232D7">
      <w:pPr>
        <w:spacing w:line="360" w:lineRule="auto"/>
        <w:rPr>
          <w:rFonts w:ascii="Arial" w:hAnsi="Arial" w:cs="Arial"/>
          <w:lang w:val="sq-AL"/>
        </w:rPr>
      </w:pPr>
    </w:p>
    <w:p w14:paraId="7A421259" w14:textId="77777777" w:rsidR="000043E9" w:rsidRPr="002A6F4E" w:rsidRDefault="000043E9" w:rsidP="00C232D7">
      <w:pPr>
        <w:spacing w:line="360" w:lineRule="auto"/>
        <w:rPr>
          <w:rFonts w:ascii="Arial" w:hAnsi="Arial" w:cs="Arial"/>
          <w:lang w:val="sq-AL"/>
        </w:rPr>
      </w:pPr>
    </w:p>
    <w:p w14:paraId="72015A8C" w14:textId="4FF92442" w:rsidR="00C232D7" w:rsidRPr="00532AE1" w:rsidRDefault="00C232D7" w:rsidP="00C232D7">
      <w:pPr>
        <w:pStyle w:val="Caption"/>
        <w:rPr>
          <w:rFonts w:ascii="Arial" w:hAnsi="Arial" w:cs="Arial"/>
          <w:b w:val="0"/>
          <w:szCs w:val="20"/>
          <w:lang w:val="sq-AL"/>
        </w:rPr>
      </w:pPr>
      <w:bookmarkStart w:id="704" w:name="_Toc190160699"/>
      <w:r w:rsidRPr="00532AE1">
        <w:rPr>
          <w:rFonts w:ascii="Arial" w:hAnsi="Arial" w:cs="Arial"/>
          <w:b w:val="0"/>
          <w:szCs w:val="20"/>
          <w:lang w:val="sq-AL"/>
        </w:rPr>
        <w:lastRenderedPageBreak/>
        <w:t xml:space="preserve">Tabela </w:t>
      </w:r>
      <w:r w:rsidRPr="00532AE1">
        <w:rPr>
          <w:rFonts w:ascii="Arial" w:hAnsi="Arial" w:cs="Arial"/>
          <w:b w:val="0"/>
          <w:szCs w:val="20"/>
        </w:rPr>
        <w:fldChar w:fldCharType="begin"/>
      </w:r>
      <w:r w:rsidRPr="00532AE1">
        <w:rPr>
          <w:rFonts w:ascii="Arial" w:hAnsi="Arial" w:cs="Arial"/>
          <w:b w:val="0"/>
          <w:szCs w:val="20"/>
          <w:lang w:val="sq-AL"/>
        </w:rPr>
        <w:instrText xml:space="preserve"> SEQ Tabela \* ARABIC </w:instrText>
      </w:r>
      <w:r w:rsidRPr="00532AE1">
        <w:rPr>
          <w:rFonts w:ascii="Arial" w:hAnsi="Arial" w:cs="Arial"/>
          <w:b w:val="0"/>
          <w:szCs w:val="20"/>
        </w:rPr>
        <w:fldChar w:fldCharType="separate"/>
      </w:r>
      <w:r w:rsidR="007274DA">
        <w:rPr>
          <w:rFonts w:ascii="Arial" w:hAnsi="Arial" w:cs="Arial"/>
          <w:b w:val="0"/>
          <w:noProof/>
          <w:szCs w:val="20"/>
          <w:lang w:val="sq-AL"/>
        </w:rPr>
        <w:t>9</w:t>
      </w:r>
      <w:r w:rsidRPr="00532AE1">
        <w:rPr>
          <w:rFonts w:ascii="Arial" w:hAnsi="Arial" w:cs="Arial"/>
          <w:b w:val="0"/>
          <w:szCs w:val="20"/>
        </w:rPr>
        <w:fldChar w:fldCharType="end"/>
      </w:r>
      <w:r w:rsidRPr="00532AE1">
        <w:rPr>
          <w:rFonts w:ascii="Arial" w:hAnsi="Arial" w:cs="Arial"/>
          <w:b w:val="0"/>
          <w:szCs w:val="20"/>
          <w:lang w:val="sq-AL"/>
        </w:rPr>
        <w:t xml:space="preserve"> Količina otpadnih jestivih ulja i masti (t) za 2021, prema Izvještaju </w:t>
      </w:r>
      <w:bookmarkEnd w:id="704"/>
      <w:r w:rsidR="00532AE1" w:rsidRPr="00532AE1">
        <w:rPr>
          <w:rFonts w:ascii="Arial" w:hAnsi="Arial" w:cs="Arial"/>
          <w:b w:val="0"/>
          <w:szCs w:val="20"/>
          <w:lang w:val="sq-AL"/>
        </w:rPr>
        <w:t>AZŽS</w:t>
      </w:r>
      <w:r w:rsidR="00B7490D">
        <w:rPr>
          <w:rStyle w:val="FootnoteReference"/>
          <w:rFonts w:cs="Arial"/>
          <w:b w:val="0"/>
        </w:rPr>
        <w:footnoteReference w:id="12"/>
      </w:r>
    </w:p>
    <w:tbl>
      <w:tblPr>
        <w:tblStyle w:val="TableGrid"/>
        <w:tblW w:w="9621" w:type="dxa"/>
        <w:tblLook w:val="04A0" w:firstRow="1" w:lastRow="0" w:firstColumn="1" w:lastColumn="0" w:noHBand="0" w:noVBand="1"/>
      </w:tblPr>
      <w:tblGrid>
        <w:gridCol w:w="1402"/>
        <w:gridCol w:w="1471"/>
        <w:gridCol w:w="1253"/>
        <w:gridCol w:w="1460"/>
        <w:gridCol w:w="1426"/>
        <w:gridCol w:w="1293"/>
        <w:gridCol w:w="1316"/>
      </w:tblGrid>
      <w:tr w:rsidR="00C232D7" w:rsidRPr="002A6F4E" w14:paraId="6126B6CB" w14:textId="77777777" w:rsidTr="00C232D7">
        <w:tc>
          <w:tcPr>
            <w:tcW w:w="1402" w:type="dxa"/>
          </w:tcPr>
          <w:p w14:paraId="38FBA964" w14:textId="235D0AF5" w:rsidR="00C232D7" w:rsidRPr="00F6198B" w:rsidRDefault="00C232D7" w:rsidP="00C232D7">
            <w:pPr>
              <w:spacing w:before="40" w:after="40"/>
              <w:ind w:left="0"/>
              <w:rPr>
                <w:rFonts w:ascii="Arial" w:hAnsi="Arial" w:cs="Arial"/>
                <w:b/>
                <w:sz w:val="18"/>
                <w:lang w:val="sq-AL"/>
              </w:rPr>
            </w:pPr>
            <w:r w:rsidRPr="00F6198B">
              <w:rPr>
                <w:rFonts w:ascii="Arial" w:hAnsi="Arial" w:cs="Arial"/>
                <w:b/>
                <w:sz w:val="18"/>
                <w:lang w:val="sq-AL"/>
              </w:rPr>
              <w:t xml:space="preserve">Količina sakupljenog i </w:t>
            </w:r>
            <w:r w:rsidR="003C3822" w:rsidRPr="00F6198B">
              <w:rPr>
                <w:rFonts w:ascii="Arial" w:hAnsi="Arial" w:cs="Arial"/>
                <w:b/>
                <w:sz w:val="18"/>
                <w:lang w:val="sq-AL"/>
              </w:rPr>
              <w:t xml:space="preserve">obrađenog </w:t>
            </w:r>
            <w:r w:rsidRPr="00F6198B">
              <w:rPr>
                <w:rFonts w:ascii="Arial" w:hAnsi="Arial" w:cs="Arial"/>
                <w:b/>
                <w:sz w:val="18"/>
                <w:lang w:val="sq-AL"/>
              </w:rPr>
              <w:t>otpada</w:t>
            </w:r>
          </w:p>
        </w:tc>
        <w:tc>
          <w:tcPr>
            <w:tcW w:w="1471" w:type="dxa"/>
          </w:tcPr>
          <w:p w14:paraId="299E36F9" w14:textId="77777777"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Količina otpada uskladištenog unutar objekata (približno)</w:t>
            </w:r>
          </w:p>
        </w:tc>
        <w:tc>
          <w:tcPr>
            <w:tcW w:w="1253" w:type="dxa"/>
          </w:tcPr>
          <w:p w14:paraId="35AFB989" w14:textId="437A2129"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 xml:space="preserve">Količina otpada koji se </w:t>
            </w:r>
            <w:r w:rsidR="003C3822" w:rsidRPr="00F6198B">
              <w:rPr>
                <w:rFonts w:ascii="Arial" w:hAnsi="Arial" w:cs="Arial"/>
                <w:b/>
                <w:sz w:val="18"/>
                <w:lang w:val="sq-AL"/>
              </w:rPr>
              <w:t xml:space="preserve">obrađuje </w:t>
            </w:r>
            <w:r w:rsidRPr="00F6198B">
              <w:rPr>
                <w:rFonts w:ascii="Arial" w:hAnsi="Arial" w:cs="Arial"/>
                <w:b/>
                <w:sz w:val="18"/>
                <w:lang w:val="sq-AL"/>
              </w:rPr>
              <w:t>unutar objekata</w:t>
            </w:r>
          </w:p>
        </w:tc>
        <w:tc>
          <w:tcPr>
            <w:tcW w:w="1460" w:type="dxa"/>
          </w:tcPr>
          <w:p w14:paraId="316D96C2" w14:textId="77777777"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Količina otpada predata sakupljačima otpada</w:t>
            </w:r>
          </w:p>
        </w:tc>
        <w:tc>
          <w:tcPr>
            <w:tcW w:w="1426" w:type="dxa"/>
          </w:tcPr>
          <w:p w14:paraId="543D7016" w14:textId="3F56F8A9"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 xml:space="preserve">Količina otpada dostavljenog u objekte za </w:t>
            </w:r>
            <w:r w:rsidR="003C3822" w:rsidRPr="00F6198B">
              <w:rPr>
                <w:rFonts w:ascii="Arial" w:hAnsi="Arial" w:cs="Arial"/>
                <w:b/>
                <w:sz w:val="18"/>
                <w:lang w:val="sq-AL"/>
              </w:rPr>
              <w:t xml:space="preserve">obradu </w:t>
            </w:r>
            <w:r w:rsidRPr="00F6198B">
              <w:rPr>
                <w:rFonts w:ascii="Arial" w:hAnsi="Arial" w:cs="Arial"/>
                <w:b/>
                <w:sz w:val="18"/>
                <w:lang w:val="sq-AL"/>
              </w:rPr>
              <w:t>otpada</w:t>
            </w:r>
          </w:p>
        </w:tc>
        <w:tc>
          <w:tcPr>
            <w:tcW w:w="1293" w:type="dxa"/>
          </w:tcPr>
          <w:p w14:paraId="5401CD23" w14:textId="77777777" w:rsidR="00C232D7" w:rsidRPr="00F6198B" w:rsidRDefault="00C232D7" w:rsidP="00C232D7">
            <w:pPr>
              <w:spacing w:before="40" w:after="40"/>
              <w:ind w:left="0"/>
              <w:jc w:val="center"/>
              <w:rPr>
                <w:rFonts w:ascii="Arial" w:eastAsia="Times New Roman" w:hAnsi="Arial" w:cs="Arial"/>
                <w:b/>
                <w:bCs/>
                <w:sz w:val="18"/>
                <w:lang w:val="sq-AL" w:eastAsia="en-GB"/>
              </w:rPr>
            </w:pPr>
            <w:r w:rsidRPr="00F6198B">
              <w:rPr>
                <w:rFonts w:ascii="Arial" w:eastAsia="Times New Roman" w:hAnsi="Arial" w:cs="Arial"/>
                <w:b/>
                <w:bCs/>
                <w:sz w:val="18"/>
                <w:lang w:val="sq-AL" w:eastAsia="en-GB"/>
              </w:rPr>
              <w:t>Količina otpada izvezenog u druge zemlje</w:t>
            </w:r>
          </w:p>
        </w:tc>
        <w:tc>
          <w:tcPr>
            <w:tcW w:w="1316" w:type="dxa"/>
          </w:tcPr>
          <w:p w14:paraId="6427AD0D" w14:textId="77777777"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Količina otpada prodata trgovcima otpadom</w:t>
            </w:r>
          </w:p>
        </w:tc>
      </w:tr>
      <w:tr w:rsidR="00C232D7" w:rsidRPr="002A6F4E" w14:paraId="0590D97E" w14:textId="77777777" w:rsidTr="00C232D7">
        <w:tc>
          <w:tcPr>
            <w:tcW w:w="1402" w:type="dxa"/>
          </w:tcPr>
          <w:p w14:paraId="253F793E" w14:textId="77777777" w:rsidR="00C232D7" w:rsidRPr="00F6198B" w:rsidRDefault="00C232D7" w:rsidP="00C232D7">
            <w:pPr>
              <w:spacing w:after="120" w:line="276" w:lineRule="auto"/>
              <w:ind w:left="0"/>
              <w:jc w:val="right"/>
              <w:rPr>
                <w:rFonts w:ascii="Arial" w:eastAsia="Times New Roman" w:hAnsi="Arial" w:cs="Arial"/>
                <w:sz w:val="18"/>
                <w:lang w:val="sq-AL" w:eastAsia="en-GB"/>
              </w:rPr>
            </w:pPr>
            <w:r w:rsidRPr="00F6198B">
              <w:rPr>
                <w:rFonts w:ascii="Arial" w:eastAsia="Times New Roman" w:hAnsi="Arial" w:cs="Arial"/>
                <w:sz w:val="18"/>
                <w:lang w:val="sq-AL" w:eastAsia="en-GB"/>
              </w:rPr>
              <w:t>272,99</w:t>
            </w:r>
          </w:p>
        </w:tc>
        <w:tc>
          <w:tcPr>
            <w:tcW w:w="1471" w:type="dxa"/>
          </w:tcPr>
          <w:p w14:paraId="0F1AFDCB" w14:textId="77777777" w:rsidR="00C232D7" w:rsidRPr="00F6198B" w:rsidRDefault="00C232D7" w:rsidP="00C232D7">
            <w:pPr>
              <w:spacing w:after="120" w:line="276" w:lineRule="auto"/>
              <w:ind w:left="0"/>
              <w:jc w:val="right"/>
              <w:rPr>
                <w:rFonts w:ascii="Arial" w:eastAsia="Times New Roman" w:hAnsi="Arial" w:cs="Arial"/>
                <w:sz w:val="18"/>
                <w:lang w:val="sq-AL" w:eastAsia="en-GB"/>
              </w:rPr>
            </w:pPr>
            <w:r w:rsidRPr="00F6198B">
              <w:rPr>
                <w:rFonts w:ascii="Arial" w:eastAsia="Times New Roman" w:hAnsi="Arial" w:cs="Arial"/>
                <w:sz w:val="18"/>
                <w:lang w:val="sq-AL" w:eastAsia="en-GB"/>
              </w:rPr>
              <w:t>86,50</w:t>
            </w:r>
          </w:p>
        </w:tc>
        <w:tc>
          <w:tcPr>
            <w:tcW w:w="1253" w:type="dxa"/>
          </w:tcPr>
          <w:p w14:paraId="1987060D" w14:textId="77777777" w:rsidR="00C232D7" w:rsidRPr="00F6198B" w:rsidRDefault="00C232D7" w:rsidP="00C232D7">
            <w:pPr>
              <w:spacing w:after="120" w:line="276" w:lineRule="auto"/>
              <w:ind w:left="0"/>
              <w:jc w:val="right"/>
              <w:rPr>
                <w:rFonts w:ascii="Arial" w:eastAsia="Times New Roman" w:hAnsi="Arial" w:cs="Arial"/>
                <w:sz w:val="18"/>
                <w:lang w:val="sq-AL" w:eastAsia="en-GB"/>
              </w:rPr>
            </w:pPr>
            <w:r w:rsidRPr="00F6198B">
              <w:rPr>
                <w:rFonts w:ascii="Arial" w:eastAsia="Times New Roman" w:hAnsi="Arial" w:cs="Arial"/>
                <w:sz w:val="18"/>
                <w:lang w:val="sq-AL" w:eastAsia="en-GB"/>
              </w:rPr>
              <w:t>6,2</w:t>
            </w:r>
          </w:p>
        </w:tc>
        <w:tc>
          <w:tcPr>
            <w:tcW w:w="1460" w:type="dxa"/>
          </w:tcPr>
          <w:p w14:paraId="6BFFE821" w14:textId="77777777" w:rsidR="00C232D7" w:rsidRPr="00F6198B" w:rsidRDefault="00C232D7" w:rsidP="00C232D7">
            <w:pPr>
              <w:spacing w:after="120" w:line="276" w:lineRule="auto"/>
              <w:ind w:left="0"/>
              <w:jc w:val="right"/>
              <w:rPr>
                <w:rFonts w:ascii="Arial" w:eastAsia="Times New Roman" w:hAnsi="Arial" w:cs="Arial"/>
                <w:sz w:val="18"/>
                <w:lang w:val="sq-AL" w:eastAsia="en-GB"/>
              </w:rPr>
            </w:pPr>
            <w:r w:rsidRPr="00F6198B">
              <w:rPr>
                <w:rFonts w:ascii="Arial" w:eastAsia="Times New Roman" w:hAnsi="Arial" w:cs="Arial"/>
                <w:sz w:val="18"/>
                <w:lang w:val="sq-AL" w:eastAsia="en-GB"/>
              </w:rPr>
              <w:t>5,9</w:t>
            </w:r>
          </w:p>
        </w:tc>
        <w:tc>
          <w:tcPr>
            <w:tcW w:w="1426" w:type="dxa"/>
          </w:tcPr>
          <w:p w14:paraId="537917CC" w14:textId="77777777" w:rsidR="00C232D7" w:rsidRPr="00F6198B" w:rsidRDefault="00C232D7" w:rsidP="00C232D7">
            <w:pPr>
              <w:spacing w:after="120" w:line="276" w:lineRule="auto"/>
              <w:ind w:left="0"/>
              <w:jc w:val="right"/>
              <w:rPr>
                <w:rFonts w:ascii="Arial" w:eastAsia="Times New Roman" w:hAnsi="Arial" w:cs="Arial"/>
                <w:sz w:val="18"/>
                <w:lang w:val="sq-AL" w:eastAsia="en-GB"/>
              </w:rPr>
            </w:pPr>
            <w:r w:rsidRPr="00F6198B">
              <w:rPr>
                <w:rFonts w:ascii="Arial" w:eastAsia="Times New Roman" w:hAnsi="Arial" w:cs="Arial"/>
                <w:sz w:val="18"/>
                <w:lang w:val="sq-AL" w:eastAsia="en-GB"/>
              </w:rPr>
              <w:t>Nema podataka</w:t>
            </w:r>
          </w:p>
        </w:tc>
        <w:tc>
          <w:tcPr>
            <w:tcW w:w="1293" w:type="dxa"/>
          </w:tcPr>
          <w:p w14:paraId="6792D6D5" w14:textId="77777777" w:rsidR="00C232D7" w:rsidRPr="00F6198B" w:rsidRDefault="00C232D7" w:rsidP="00C232D7">
            <w:pPr>
              <w:spacing w:after="120" w:line="276" w:lineRule="auto"/>
              <w:ind w:left="0"/>
              <w:jc w:val="right"/>
              <w:rPr>
                <w:rFonts w:ascii="Arial" w:eastAsia="Times New Roman" w:hAnsi="Arial" w:cs="Arial"/>
                <w:sz w:val="18"/>
                <w:lang w:val="sq-AL" w:eastAsia="en-GB"/>
              </w:rPr>
            </w:pPr>
            <w:r w:rsidRPr="00F6198B">
              <w:rPr>
                <w:rFonts w:ascii="Arial" w:eastAsia="Times New Roman" w:hAnsi="Arial" w:cs="Arial"/>
                <w:sz w:val="18"/>
                <w:lang w:val="sq-AL" w:eastAsia="en-GB"/>
              </w:rPr>
              <w:t>188,79</w:t>
            </w:r>
          </w:p>
        </w:tc>
        <w:tc>
          <w:tcPr>
            <w:tcW w:w="1316" w:type="dxa"/>
          </w:tcPr>
          <w:p w14:paraId="07488E89" w14:textId="77777777" w:rsidR="00C232D7" w:rsidRPr="00F6198B" w:rsidRDefault="00C232D7" w:rsidP="00C232D7">
            <w:pPr>
              <w:spacing w:after="120" w:line="276" w:lineRule="auto"/>
              <w:ind w:left="0"/>
              <w:jc w:val="right"/>
              <w:rPr>
                <w:rFonts w:ascii="Arial" w:eastAsia="Times New Roman" w:hAnsi="Arial" w:cs="Arial"/>
                <w:sz w:val="18"/>
                <w:lang w:val="sq-AL" w:eastAsia="en-GB"/>
              </w:rPr>
            </w:pPr>
            <w:r w:rsidRPr="00F6198B">
              <w:rPr>
                <w:rFonts w:ascii="Arial" w:eastAsia="Times New Roman" w:hAnsi="Arial" w:cs="Arial"/>
                <w:sz w:val="18"/>
                <w:lang w:val="sq-AL" w:eastAsia="en-GB"/>
              </w:rPr>
              <w:t>Nema podataka</w:t>
            </w:r>
          </w:p>
        </w:tc>
      </w:tr>
    </w:tbl>
    <w:p w14:paraId="5A46DA4F" w14:textId="0019D0FD" w:rsidR="00C232D7" w:rsidRPr="002A6F4E" w:rsidRDefault="00477168" w:rsidP="00F57909">
      <w:pPr>
        <w:pStyle w:val="Heading2"/>
      </w:pPr>
      <w:bookmarkStart w:id="705" w:name="_Toc121759012"/>
      <w:bookmarkStart w:id="706" w:name="_Toc193353975"/>
      <w:r w:rsidRPr="002A6F4E">
        <w:t>4.2</w:t>
      </w:r>
      <w:r w:rsidR="00C232D7" w:rsidRPr="002A6F4E">
        <w:t>. Sastav otpada</w:t>
      </w:r>
      <w:bookmarkEnd w:id="705"/>
      <w:bookmarkEnd w:id="706"/>
    </w:p>
    <w:p w14:paraId="6B320022" w14:textId="681D28FB" w:rsidR="00C232D7" w:rsidRPr="002A6F4E" w:rsidRDefault="00C232D7" w:rsidP="00C232D7">
      <w:pPr>
        <w:spacing w:before="120" w:after="120" w:line="360" w:lineRule="auto"/>
        <w:rPr>
          <w:rFonts w:ascii="Arial" w:hAnsi="Arial" w:cs="Arial"/>
          <w:bCs/>
          <w:lang w:val="sq-AL"/>
        </w:rPr>
      </w:pPr>
      <w:r w:rsidRPr="002A6F4E">
        <w:rPr>
          <w:rFonts w:ascii="Arial" w:hAnsi="Arial" w:cs="Arial"/>
          <w:bCs/>
          <w:lang w:val="sq-AL"/>
        </w:rPr>
        <w:t>Osnovne frakcije koje čine komunalni otpad kategorisane su na sljedeći način:</w:t>
      </w:r>
    </w:p>
    <w:p w14:paraId="783C06B8" w14:textId="436DB751" w:rsidR="00C232D7" w:rsidRPr="002A6F4E" w:rsidRDefault="00C232D7" w:rsidP="00A23ED0">
      <w:pPr>
        <w:pStyle w:val="ListParagraph"/>
        <w:numPr>
          <w:ilvl w:val="0"/>
          <w:numId w:val="23"/>
        </w:numPr>
        <w:spacing w:before="120" w:after="120" w:line="360" w:lineRule="auto"/>
        <w:rPr>
          <w:rFonts w:ascii="Arial" w:hAnsi="Arial" w:cs="Arial"/>
          <w:bCs/>
          <w:lang w:val="sq-AL"/>
        </w:rPr>
      </w:pPr>
      <w:r w:rsidRPr="002A6F4E">
        <w:rPr>
          <w:rFonts w:ascii="Arial" w:hAnsi="Arial" w:cs="Arial"/>
          <w:b/>
          <w:bCs/>
          <w:lang w:val="sq-AL"/>
        </w:rPr>
        <w:t>Organska frakcija:</w:t>
      </w:r>
      <w:r w:rsidRPr="002A6F4E">
        <w:rPr>
          <w:rFonts w:ascii="Arial" w:hAnsi="Arial" w:cs="Arial"/>
          <w:bCs/>
          <w:lang w:val="sq-AL"/>
        </w:rPr>
        <w:t xml:space="preserve"> uključuje biorazgradivi materijal biljnog i životinjskog porijekla, kao što su kuhinjski i baštenski otpad (voće – povrće, ostaci hrane, zeleni otpad, itd);</w:t>
      </w:r>
    </w:p>
    <w:p w14:paraId="31DAB01D" w14:textId="77777777" w:rsidR="00C232D7" w:rsidRPr="002A6F4E" w:rsidRDefault="00C232D7" w:rsidP="00A23ED0">
      <w:pPr>
        <w:pStyle w:val="ListParagraph"/>
        <w:numPr>
          <w:ilvl w:val="0"/>
          <w:numId w:val="23"/>
        </w:numPr>
        <w:spacing w:before="120" w:after="120" w:line="360" w:lineRule="auto"/>
        <w:rPr>
          <w:rFonts w:ascii="Arial" w:hAnsi="Arial" w:cs="Arial"/>
          <w:bCs/>
          <w:lang w:val="sq-AL"/>
        </w:rPr>
      </w:pPr>
      <w:r w:rsidRPr="002A6F4E">
        <w:rPr>
          <w:rFonts w:ascii="Arial" w:hAnsi="Arial" w:cs="Arial"/>
          <w:b/>
          <w:bCs/>
          <w:lang w:val="sq-AL"/>
        </w:rPr>
        <w:t>Papir – Karton:</w:t>
      </w:r>
      <w:r w:rsidRPr="002A6F4E">
        <w:rPr>
          <w:rFonts w:ascii="Arial" w:hAnsi="Arial" w:cs="Arial"/>
          <w:bCs/>
          <w:lang w:val="sq-AL"/>
        </w:rPr>
        <w:t xml:space="preserve"> obuhvata sve proizvode napravljene od papira (uglavnom štampanog papira i ambalaže) i kartona različitih veličina (ne uključuje toalet papir, kuhinjski papir i maramice);</w:t>
      </w:r>
    </w:p>
    <w:p w14:paraId="2DA31856" w14:textId="1CF709F8" w:rsidR="00C232D7" w:rsidRPr="002A6F4E" w:rsidRDefault="00C232D7" w:rsidP="00A23ED0">
      <w:pPr>
        <w:pStyle w:val="ListParagraph"/>
        <w:numPr>
          <w:ilvl w:val="0"/>
          <w:numId w:val="23"/>
        </w:numPr>
        <w:spacing w:before="120" w:after="120" w:line="360" w:lineRule="auto"/>
        <w:rPr>
          <w:rFonts w:ascii="Arial" w:hAnsi="Arial" w:cs="Arial"/>
          <w:bCs/>
          <w:lang w:val="sq-AL"/>
        </w:rPr>
      </w:pPr>
      <w:r w:rsidRPr="002A6F4E">
        <w:rPr>
          <w:rFonts w:ascii="Arial" w:hAnsi="Arial" w:cs="Arial"/>
          <w:b/>
          <w:bCs/>
          <w:lang w:val="sq-AL"/>
        </w:rPr>
        <w:t>Metali:</w:t>
      </w:r>
      <w:r w:rsidRPr="002A6F4E">
        <w:rPr>
          <w:rFonts w:ascii="Arial" w:hAnsi="Arial" w:cs="Arial"/>
          <w:bCs/>
          <w:lang w:val="sq-AL"/>
        </w:rPr>
        <w:t xml:space="preserve"> obuhvataju sve metale, predmete od crnih i </w:t>
      </w:r>
      <w:r w:rsidR="003C3822">
        <w:rPr>
          <w:rFonts w:ascii="Arial" w:hAnsi="Arial" w:cs="Arial"/>
          <w:bCs/>
          <w:lang w:val="sq-AL"/>
        </w:rPr>
        <w:t>obojenih</w:t>
      </w:r>
      <w:r w:rsidRPr="002A6F4E">
        <w:rPr>
          <w:rFonts w:ascii="Arial" w:hAnsi="Arial" w:cs="Arial"/>
          <w:bCs/>
          <w:lang w:val="sq-AL"/>
        </w:rPr>
        <w:t xml:space="preserve"> metala, kao što su limenke, kontejneri, itd.;</w:t>
      </w:r>
    </w:p>
    <w:p w14:paraId="64E95FE0" w14:textId="74C71FB7" w:rsidR="00C232D7" w:rsidRPr="002A6F4E" w:rsidRDefault="00C232D7" w:rsidP="00A23ED0">
      <w:pPr>
        <w:pStyle w:val="ListParagraph"/>
        <w:numPr>
          <w:ilvl w:val="0"/>
          <w:numId w:val="23"/>
        </w:numPr>
        <w:spacing w:before="120" w:after="120" w:line="360" w:lineRule="auto"/>
        <w:rPr>
          <w:rFonts w:ascii="Arial" w:hAnsi="Arial" w:cs="Arial"/>
          <w:bCs/>
          <w:lang w:val="sq-AL"/>
        </w:rPr>
      </w:pPr>
      <w:r w:rsidRPr="002A6F4E">
        <w:rPr>
          <w:rFonts w:ascii="Arial" w:hAnsi="Arial" w:cs="Arial"/>
          <w:b/>
          <w:bCs/>
          <w:lang w:val="sq-AL"/>
        </w:rPr>
        <w:t>Staklo:</w:t>
      </w:r>
      <w:r w:rsidRPr="002A6F4E">
        <w:rPr>
          <w:rFonts w:ascii="Arial" w:hAnsi="Arial" w:cs="Arial"/>
          <w:bCs/>
          <w:lang w:val="sq-AL"/>
        </w:rPr>
        <w:t xml:space="preserve"> obuhvata sve proizvode od stakla bilo koje boje i oblika (flaše, čaše, ogledala, itd). Razdvajanje prema bijelom, braon i zelenom staklu povezano je sa činjenicom da je za ponovnu proizvodnju braon i bijelog stakla potrebna </w:t>
      </w:r>
      <w:r w:rsidRPr="00E650B1">
        <w:rPr>
          <w:rFonts w:ascii="Arial" w:hAnsi="Arial" w:cs="Arial"/>
          <w:bCs/>
          <w:lang w:val="sq-AL"/>
        </w:rPr>
        <w:t>frita</w:t>
      </w:r>
      <w:r w:rsidRPr="002A6F4E">
        <w:rPr>
          <w:rFonts w:ascii="Arial" w:hAnsi="Arial" w:cs="Arial"/>
          <w:bCs/>
          <w:lang w:val="sq-AL"/>
        </w:rPr>
        <w:t xml:space="preserve"> iste boje;</w:t>
      </w:r>
    </w:p>
    <w:p w14:paraId="680FFCE6" w14:textId="77777777" w:rsidR="00C232D7" w:rsidRPr="002A6F4E" w:rsidRDefault="00C232D7" w:rsidP="00A23ED0">
      <w:pPr>
        <w:pStyle w:val="ListParagraph"/>
        <w:numPr>
          <w:ilvl w:val="0"/>
          <w:numId w:val="23"/>
        </w:numPr>
        <w:spacing w:before="120" w:after="120" w:line="360" w:lineRule="auto"/>
        <w:rPr>
          <w:rFonts w:ascii="Arial" w:hAnsi="Arial" w:cs="Arial"/>
          <w:bCs/>
          <w:lang w:val="sq-AL"/>
        </w:rPr>
      </w:pPr>
      <w:r w:rsidRPr="002A6F4E">
        <w:rPr>
          <w:rFonts w:ascii="Arial" w:hAnsi="Arial" w:cs="Arial"/>
          <w:b/>
          <w:bCs/>
          <w:lang w:val="sq-AL"/>
        </w:rPr>
        <w:t>Plastika:</w:t>
      </w:r>
      <w:r w:rsidRPr="002A6F4E">
        <w:rPr>
          <w:rFonts w:ascii="Arial" w:hAnsi="Arial" w:cs="Arial"/>
          <w:bCs/>
          <w:lang w:val="sq-AL"/>
        </w:rPr>
        <w:t xml:space="preserve"> uključuje sve vrste plastike i polimernih materijala koji se nalaze u otpadu kao što su boce, kese, ambalaža, cijevi, tetrapak, omoti, itd.;</w:t>
      </w:r>
    </w:p>
    <w:p w14:paraId="4865EC4E" w14:textId="045C8557" w:rsidR="00C232D7" w:rsidRPr="002A6F4E" w:rsidRDefault="00C232D7" w:rsidP="00A23ED0">
      <w:pPr>
        <w:pStyle w:val="ListParagraph"/>
        <w:numPr>
          <w:ilvl w:val="0"/>
          <w:numId w:val="23"/>
        </w:numPr>
        <w:spacing w:before="120" w:after="120" w:line="360" w:lineRule="auto"/>
        <w:rPr>
          <w:rFonts w:ascii="Arial" w:hAnsi="Arial" w:cs="Arial"/>
          <w:bCs/>
          <w:lang w:val="sq-AL"/>
        </w:rPr>
      </w:pPr>
      <w:r w:rsidRPr="002A6F4E">
        <w:rPr>
          <w:rFonts w:ascii="Arial" w:hAnsi="Arial" w:cs="Arial"/>
          <w:b/>
          <w:bCs/>
          <w:lang w:val="sq-AL"/>
        </w:rPr>
        <w:t>Drvo:</w:t>
      </w:r>
      <w:r w:rsidRPr="002A6F4E">
        <w:rPr>
          <w:rFonts w:ascii="Arial" w:hAnsi="Arial" w:cs="Arial"/>
          <w:bCs/>
          <w:lang w:val="sq-AL"/>
        </w:rPr>
        <w:t xml:space="preserve"> uključuje sve vrste drvenog materijala koji se nalazi u otpadu kao što su palete, kutije, grane itd;</w:t>
      </w:r>
    </w:p>
    <w:p w14:paraId="092743A2" w14:textId="4C462DF5" w:rsidR="00C232D7" w:rsidRPr="002A6F4E" w:rsidRDefault="00C232D7" w:rsidP="00A23ED0">
      <w:pPr>
        <w:pStyle w:val="ListParagraph"/>
        <w:numPr>
          <w:ilvl w:val="0"/>
          <w:numId w:val="23"/>
        </w:numPr>
        <w:spacing w:before="120" w:after="120" w:line="360" w:lineRule="auto"/>
        <w:contextualSpacing w:val="0"/>
        <w:rPr>
          <w:rFonts w:ascii="Arial" w:hAnsi="Arial" w:cs="Arial"/>
          <w:bCs/>
          <w:lang w:val="sq-AL"/>
        </w:rPr>
      </w:pPr>
      <w:r w:rsidRPr="002A6F4E">
        <w:rPr>
          <w:rFonts w:ascii="Arial" w:hAnsi="Arial" w:cs="Arial"/>
          <w:b/>
          <w:bCs/>
          <w:lang w:val="sq-AL"/>
        </w:rPr>
        <w:t>Ostalo:</w:t>
      </w:r>
      <w:r w:rsidRPr="002A6F4E">
        <w:rPr>
          <w:rFonts w:ascii="Arial" w:hAnsi="Arial" w:cs="Arial"/>
          <w:bCs/>
          <w:lang w:val="sq-AL"/>
        </w:rPr>
        <w:t xml:space="preserve"> uključuje materijale koji ne spadaju u gore navedene kategorije kao što su kabasti otpad (npr. dušeci, namještaj), otpad od električne i elektronske opreme, </w:t>
      </w:r>
      <w:r w:rsidR="00D62490">
        <w:rPr>
          <w:rFonts w:ascii="Arial" w:hAnsi="Arial" w:cs="Arial"/>
          <w:bCs/>
          <w:lang w:val="sq-AL"/>
        </w:rPr>
        <w:t xml:space="preserve">otpadne </w:t>
      </w:r>
      <w:r w:rsidRPr="002A6F4E">
        <w:rPr>
          <w:rFonts w:ascii="Arial" w:hAnsi="Arial" w:cs="Arial"/>
          <w:bCs/>
          <w:lang w:val="sq-AL"/>
        </w:rPr>
        <w:t xml:space="preserve">baterije, </w:t>
      </w:r>
      <w:r w:rsidR="00D62490">
        <w:rPr>
          <w:rFonts w:ascii="Arial" w:hAnsi="Arial" w:cs="Arial"/>
          <w:bCs/>
          <w:lang w:val="sq-AL"/>
        </w:rPr>
        <w:t xml:space="preserve">otpad od </w:t>
      </w:r>
      <w:r w:rsidRPr="002A6F4E">
        <w:rPr>
          <w:rFonts w:ascii="Arial" w:hAnsi="Arial" w:cs="Arial"/>
          <w:bCs/>
          <w:lang w:val="sq-AL"/>
        </w:rPr>
        <w:t>tekstil</w:t>
      </w:r>
      <w:r w:rsidR="00D62490">
        <w:rPr>
          <w:rFonts w:ascii="Arial" w:hAnsi="Arial" w:cs="Arial"/>
          <w:bCs/>
          <w:lang w:val="sq-AL"/>
        </w:rPr>
        <w:t>a</w:t>
      </w:r>
      <w:r w:rsidRPr="002A6F4E">
        <w:rPr>
          <w:rFonts w:ascii="Arial" w:hAnsi="Arial" w:cs="Arial"/>
          <w:bCs/>
          <w:lang w:val="sq-AL"/>
        </w:rPr>
        <w:t xml:space="preserve">, </w:t>
      </w:r>
      <w:r w:rsidR="00D62490">
        <w:rPr>
          <w:rFonts w:ascii="Arial" w:hAnsi="Arial" w:cs="Arial"/>
          <w:bCs/>
          <w:lang w:val="sq-AL"/>
        </w:rPr>
        <w:t xml:space="preserve">otpadne </w:t>
      </w:r>
      <w:r w:rsidRPr="002A6F4E">
        <w:rPr>
          <w:rFonts w:ascii="Arial" w:hAnsi="Arial" w:cs="Arial"/>
          <w:bCs/>
          <w:lang w:val="sq-AL"/>
        </w:rPr>
        <w:t>gum</w:t>
      </w:r>
      <w:r w:rsidR="00D62490">
        <w:rPr>
          <w:rFonts w:ascii="Arial" w:hAnsi="Arial" w:cs="Arial"/>
          <w:bCs/>
          <w:lang w:val="sq-AL"/>
        </w:rPr>
        <w:t>e</w:t>
      </w:r>
      <w:r w:rsidRPr="002A6F4E">
        <w:rPr>
          <w:rFonts w:ascii="Arial" w:hAnsi="Arial" w:cs="Arial"/>
          <w:bCs/>
          <w:lang w:val="sq-AL"/>
        </w:rPr>
        <w:t xml:space="preserve"> itd.</w:t>
      </w:r>
    </w:p>
    <w:p w14:paraId="425A426B" w14:textId="7DE9D706"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Prethodni DPUO 2015-2020</w:t>
      </w:r>
      <w:r w:rsidR="00F3264D">
        <w:rPr>
          <w:rFonts w:ascii="Arial" w:hAnsi="Arial" w:cs="Arial"/>
          <w:lang w:val="sq-AL"/>
        </w:rPr>
        <w:t>. godina</w:t>
      </w:r>
      <w:r w:rsidR="002E740E">
        <w:rPr>
          <w:rFonts w:ascii="Arial" w:hAnsi="Arial" w:cs="Arial"/>
          <w:lang w:val="sq-AL"/>
        </w:rPr>
        <w:t xml:space="preserve"> </w:t>
      </w:r>
      <w:r w:rsidRPr="002A6F4E">
        <w:rPr>
          <w:rFonts w:ascii="Arial" w:hAnsi="Arial" w:cs="Arial"/>
          <w:lang w:val="sq-AL"/>
        </w:rPr>
        <w:t>daje podatke analize sastava otpada u odabranim opštinama Crne Gore (Podgorica, Nikšić, Kotor, Tivat i Kolašin) koja je rađena 2013. godine. Za procjenu trenutnog sastava komunalnog otpada korišćene su postojeće informacije iz različitih studija, kao i informacije iz sličnih oblasti (regioni Sjeverne Makedonije, Srbije, Bugarske i Grčke):</w:t>
      </w:r>
    </w:p>
    <w:p w14:paraId="1BB2CEED" w14:textId="0D1AA631" w:rsidR="00C232D7" w:rsidRPr="002A6F4E" w:rsidRDefault="00C232D7" w:rsidP="00A23ED0">
      <w:pPr>
        <w:pStyle w:val="ListParagraph"/>
        <w:numPr>
          <w:ilvl w:val="0"/>
          <w:numId w:val="23"/>
        </w:numPr>
        <w:spacing w:before="120" w:after="120" w:line="360" w:lineRule="auto"/>
        <w:contextualSpacing w:val="0"/>
        <w:rPr>
          <w:rFonts w:ascii="Arial" w:hAnsi="Arial" w:cs="Arial"/>
          <w:bCs/>
          <w:lang w:val="sq-AL"/>
        </w:rPr>
      </w:pPr>
      <w:r w:rsidRPr="002A6F4E">
        <w:rPr>
          <w:rFonts w:ascii="Arial" w:hAnsi="Arial" w:cs="Arial"/>
          <w:bCs/>
          <w:lang w:val="sq-AL"/>
        </w:rPr>
        <w:t>Državni plan upravljanja otpadom Crne Gore za period 2015–2020</w:t>
      </w:r>
      <w:r w:rsidR="00F3264D">
        <w:rPr>
          <w:rFonts w:ascii="Arial" w:hAnsi="Arial" w:cs="Arial"/>
          <w:bCs/>
          <w:lang w:val="sq-AL"/>
        </w:rPr>
        <w:t>. godina</w:t>
      </w:r>
      <w:r w:rsidRPr="002A6F4E">
        <w:rPr>
          <w:rFonts w:ascii="Arial" w:hAnsi="Arial" w:cs="Arial"/>
          <w:bCs/>
          <w:lang w:val="sq-AL"/>
        </w:rPr>
        <w:t>;</w:t>
      </w:r>
    </w:p>
    <w:p w14:paraId="35B91B96" w14:textId="20434B64" w:rsidR="00C232D7" w:rsidRPr="00EA6522" w:rsidRDefault="00C232D7" w:rsidP="00A23ED0">
      <w:pPr>
        <w:pStyle w:val="ListParagraph"/>
        <w:numPr>
          <w:ilvl w:val="0"/>
          <w:numId w:val="23"/>
        </w:numPr>
        <w:spacing w:before="120" w:after="120" w:line="360" w:lineRule="auto"/>
        <w:contextualSpacing w:val="0"/>
        <w:rPr>
          <w:rFonts w:ascii="Arial" w:hAnsi="Arial" w:cs="Arial"/>
          <w:bCs/>
          <w:lang w:val="sq-AL"/>
        </w:rPr>
      </w:pPr>
      <w:r w:rsidRPr="00EA6522">
        <w:rPr>
          <w:rFonts w:ascii="Arial" w:hAnsi="Arial" w:cs="Arial"/>
          <w:bCs/>
          <w:lang w:val="sq-AL"/>
        </w:rPr>
        <w:t xml:space="preserve">Regionalni projekat upravljanja otpadom Crne </w:t>
      </w:r>
      <w:r w:rsidR="004C6260" w:rsidRPr="001E3D9B">
        <w:rPr>
          <w:rFonts w:ascii="Arial" w:hAnsi="Arial" w:cs="Arial"/>
          <w:bCs/>
          <w:lang w:val="sq-AL"/>
        </w:rPr>
        <w:t>Gore Bijelo Polje, studija pred</w:t>
      </w:r>
      <w:r w:rsidRPr="001E3D9B">
        <w:rPr>
          <w:rFonts w:ascii="Arial" w:hAnsi="Arial" w:cs="Arial"/>
          <w:bCs/>
          <w:lang w:val="sq-AL"/>
        </w:rPr>
        <w:t>izvodljivosti</w:t>
      </w:r>
      <w:r w:rsidRPr="00EA6522">
        <w:rPr>
          <w:rFonts w:ascii="Arial" w:hAnsi="Arial" w:cs="Arial"/>
          <w:bCs/>
          <w:lang w:val="sq-AL"/>
        </w:rPr>
        <w:t xml:space="preserve"> i izvodljivosti, EBRD, 2022;</w:t>
      </w:r>
    </w:p>
    <w:p w14:paraId="196419E5" w14:textId="35247092" w:rsidR="00C232D7" w:rsidRPr="002A6F4E" w:rsidRDefault="00C232D7" w:rsidP="00A23ED0">
      <w:pPr>
        <w:pStyle w:val="ListParagraph"/>
        <w:numPr>
          <w:ilvl w:val="0"/>
          <w:numId w:val="23"/>
        </w:numPr>
        <w:spacing w:before="120" w:after="120" w:line="360" w:lineRule="auto"/>
        <w:contextualSpacing w:val="0"/>
        <w:rPr>
          <w:rFonts w:ascii="Arial" w:hAnsi="Arial" w:cs="Arial"/>
          <w:bCs/>
          <w:lang w:val="sq-AL"/>
        </w:rPr>
      </w:pPr>
      <w:r w:rsidRPr="002A6F4E">
        <w:rPr>
          <w:rFonts w:ascii="Arial" w:hAnsi="Arial" w:cs="Arial"/>
          <w:bCs/>
          <w:lang w:val="sq-AL"/>
        </w:rPr>
        <w:t>Državni plan upravljanja otpadom Srbije za period 2022–2031, 2018;</w:t>
      </w:r>
    </w:p>
    <w:p w14:paraId="304215D9" w14:textId="4F0A4788" w:rsidR="00C232D7" w:rsidRPr="002A6F4E" w:rsidRDefault="00C232D7" w:rsidP="00A23ED0">
      <w:pPr>
        <w:pStyle w:val="ListParagraph"/>
        <w:numPr>
          <w:ilvl w:val="0"/>
          <w:numId w:val="23"/>
        </w:numPr>
        <w:spacing w:before="120" w:after="120" w:line="360" w:lineRule="auto"/>
        <w:contextualSpacing w:val="0"/>
        <w:rPr>
          <w:rFonts w:ascii="Arial" w:hAnsi="Arial" w:cs="Arial"/>
          <w:bCs/>
          <w:lang w:val="sq-AL"/>
        </w:rPr>
      </w:pPr>
      <w:r w:rsidRPr="002A6F4E">
        <w:rPr>
          <w:rFonts w:ascii="Arial" w:hAnsi="Arial" w:cs="Arial"/>
          <w:bCs/>
          <w:lang w:val="sq-AL"/>
        </w:rPr>
        <w:t>Uzorkovanje i analiza u Sjevernoj Makedoniji (Regije Vardar, Istok, Sjeveroistok, Pelagonija, Jugozapad i Skoplje), 2014–2016;</w:t>
      </w:r>
    </w:p>
    <w:p w14:paraId="0C3BDAB7" w14:textId="020E8015" w:rsidR="00C232D7" w:rsidRPr="002A7BBF" w:rsidRDefault="00C232D7" w:rsidP="00A23ED0">
      <w:pPr>
        <w:pStyle w:val="ListParagraph"/>
        <w:numPr>
          <w:ilvl w:val="0"/>
          <w:numId w:val="23"/>
        </w:numPr>
        <w:spacing w:before="120" w:after="120" w:line="360" w:lineRule="auto"/>
        <w:contextualSpacing w:val="0"/>
        <w:rPr>
          <w:rFonts w:ascii="Arial" w:hAnsi="Arial" w:cs="Arial"/>
          <w:bCs/>
          <w:lang w:val="sq-AL"/>
        </w:rPr>
      </w:pPr>
      <w:r w:rsidRPr="002A6F4E">
        <w:rPr>
          <w:rFonts w:ascii="Arial" w:hAnsi="Arial" w:cs="Arial"/>
          <w:bCs/>
          <w:lang w:val="sq-AL"/>
        </w:rPr>
        <w:lastRenderedPageBreak/>
        <w:t>Državni plan upravljanja otpadom Grčke za period 2020–2030, 2020.</w:t>
      </w:r>
    </w:p>
    <w:p w14:paraId="6F4259BF" w14:textId="0B4B2E87" w:rsidR="00C232D7" w:rsidRPr="000043E9" w:rsidRDefault="00C232D7" w:rsidP="00C232D7">
      <w:pPr>
        <w:pStyle w:val="Caption"/>
        <w:rPr>
          <w:rFonts w:ascii="Arial" w:hAnsi="Arial" w:cs="Arial"/>
          <w:b w:val="0"/>
          <w:sz w:val="20"/>
          <w:szCs w:val="20"/>
          <w:lang w:val="sq-AL"/>
        </w:rPr>
      </w:pPr>
      <w:bookmarkStart w:id="707" w:name="_Toc189515597"/>
      <w:bookmarkStart w:id="708" w:name="_Toc190160700"/>
      <w:bookmarkStart w:id="709" w:name="_Toc44934088"/>
      <w:bookmarkStart w:id="710" w:name="_Toc53574915"/>
      <w:bookmarkStart w:id="711" w:name="_Ref108017033"/>
      <w:bookmarkStart w:id="712" w:name="_Toc44934030"/>
      <w:r w:rsidRPr="000043E9">
        <w:rPr>
          <w:rFonts w:ascii="Arial" w:hAnsi="Arial" w:cs="Arial"/>
          <w:b w:val="0"/>
          <w:sz w:val="20"/>
          <w:szCs w:val="20"/>
          <w:lang w:val="sq-AL"/>
        </w:rPr>
        <w:t xml:space="preserve">Tabela </w:t>
      </w:r>
      <w:r w:rsidRPr="000043E9">
        <w:rPr>
          <w:rFonts w:ascii="Arial" w:hAnsi="Arial" w:cs="Arial"/>
          <w:b w:val="0"/>
          <w:sz w:val="20"/>
          <w:szCs w:val="20"/>
        </w:rPr>
        <w:fldChar w:fldCharType="begin"/>
      </w:r>
      <w:r w:rsidRPr="000043E9">
        <w:rPr>
          <w:rFonts w:ascii="Arial" w:hAnsi="Arial" w:cs="Arial"/>
          <w:b w:val="0"/>
          <w:sz w:val="20"/>
          <w:szCs w:val="20"/>
          <w:lang w:val="sq-AL"/>
        </w:rPr>
        <w:instrText xml:space="preserve"> SEQ Tabela \* ARABIC </w:instrText>
      </w:r>
      <w:r w:rsidRPr="000043E9">
        <w:rPr>
          <w:rFonts w:ascii="Arial" w:hAnsi="Arial" w:cs="Arial"/>
          <w:b w:val="0"/>
          <w:sz w:val="20"/>
          <w:szCs w:val="20"/>
        </w:rPr>
        <w:fldChar w:fldCharType="separate"/>
      </w:r>
      <w:r w:rsidR="007274DA">
        <w:rPr>
          <w:rFonts w:ascii="Arial" w:hAnsi="Arial" w:cs="Arial"/>
          <w:b w:val="0"/>
          <w:noProof/>
          <w:sz w:val="20"/>
          <w:szCs w:val="20"/>
          <w:lang w:val="sq-AL"/>
        </w:rPr>
        <w:t>10</w:t>
      </w:r>
      <w:r w:rsidRPr="000043E9">
        <w:rPr>
          <w:rFonts w:ascii="Arial" w:hAnsi="Arial" w:cs="Arial"/>
          <w:b w:val="0"/>
          <w:sz w:val="20"/>
          <w:szCs w:val="20"/>
        </w:rPr>
        <w:fldChar w:fldCharType="end"/>
      </w:r>
      <w:r w:rsidRPr="000043E9">
        <w:rPr>
          <w:rFonts w:ascii="Arial" w:hAnsi="Arial" w:cs="Arial"/>
          <w:b w:val="0"/>
          <w:sz w:val="20"/>
          <w:szCs w:val="20"/>
          <w:lang w:val="sq-AL"/>
        </w:rPr>
        <w:t xml:space="preserve"> Sastav komunalnog otpada, 2023</w:t>
      </w:r>
      <w:bookmarkEnd w:id="707"/>
      <w:bookmarkEnd w:id="708"/>
      <w:r w:rsidR="00164090">
        <w:rPr>
          <w:rFonts w:ascii="Arial" w:hAnsi="Arial" w:cs="Arial"/>
          <w:b w:val="0"/>
          <w:sz w:val="20"/>
          <w:szCs w:val="20"/>
          <w:lang w:val="sq-AL"/>
        </w:rPr>
        <w:t>. godina</w:t>
      </w: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2430"/>
        <w:gridCol w:w="2340"/>
        <w:gridCol w:w="2011"/>
      </w:tblGrid>
      <w:tr w:rsidR="00C232D7" w:rsidRPr="002A6F4E" w14:paraId="6B9B8F7E" w14:textId="77777777" w:rsidTr="00C232D7">
        <w:trPr>
          <w:trHeight w:val="315"/>
          <w:jc w:val="center"/>
        </w:trPr>
        <w:tc>
          <w:tcPr>
            <w:tcW w:w="3055" w:type="dxa"/>
            <w:shd w:val="clear" w:color="auto" w:fill="F2F2F2" w:themeFill="background1" w:themeFillShade="F2"/>
            <w:vAlign w:val="center"/>
          </w:tcPr>
          <w:p w14:paraId="5F79E839" w14:textId="77777777" w:rsidR="00C232D7" w:rsidRPr="00F6198B" w:rsidRDefault="00C232D7" w:rsidP="00C232D7">
            <w:pPr>
              <w:spacing w:line="360" w:lineRule="auto"/>
              <w:rPr>
                <w:rFonts w:ascii="Arial" w:hAnsi="Arial" w:cs="Arial"/>
                <w:b/>
                <w:color w:val="000000"/>
                <w:sz w:val="18"/>
                <w:lang w:val="sq-AL"/>
              </w:rPr>
            </w:pPr>
            <w:bookmarkStart w:id="713" w:name="_Hlk114139557"/>
            <w:bookmarkEnd w:id="709"/>
            <w:bookmarkEnd w:id="710"/>
            <w:bookmarkEnd w:id="711"/>
            <w:bookmarkEnd w:id="712"/>
            <w:r w:rsidRPr="00F6198B">
              <w:rPr>
                <w:rFonts w:ascii="Arial" w:hAnsi="Arial" w:cs="Arial"/>
                <w:b/>
                <w:sz w:val="18"/>
                <w:lang w:val="sq-AL"/>
              </w:rPr>
              <w:t>Frakcije otpada</w:t>
            </w:r>
          </w:p>
        </w:tc>
        <w:tc>
          <w:tcPr>
            <w:tcW w:w="2430" w:type="dxa"/>
            <w:shd w:val="clear" w:color="auto" w:fill="F2F2F2" w:themeFill="background1" w:themeFillShade="F2"/>
            <w:vAlign w:val="center"/>
          </w:tcPr>
          <w:p w14:paraId="62CECC04" w14:textId="0200B5F6" w:rsidR="00C232D7" w:rsidRPr="00F6198B" w:rsidRDefault="00C232D7" w:rsidP="00C232D7">
            <w:pPr>
              <w:spacing w:line="360" w:lineRule="auto"/>
              <w:rPr>
                <w:rFonts w:ascii="Arial" w:hAnsi="Arial" w:cs="Arial"/>
                <w:b/>
                <w:color w:val="000000"/>
                <w:sz w:val="18"/>
                <w:lang w:val="sq-AL"/>
              </w:rPr>
            </w:pPr>
            <w:r w:rsidRPr="00F6198B">
              <w:rPr>
                <w:rFonts w:ascii="Arial" w:hAnsi="Arial" w:cs="Arial"/>
                <w:b/>
                <w:color w:val="000000"/>
                <w:sz w:val="18"/>
                <w:lang w:val="sq-AL"/>
              </w:rPr>
              <w:t>% u KO</w:t>
            </w:r>
          </w:p>
        </w:tc>
        <w:tc>
          <w:tcPr>
            <w:tcW w:w="2340" w:type="dxa"/>
            <w:shd w:val="clear" w:color="auto" w:fill="F2F2F2" w:themeFill="background1" w:themeFillShade="F2"/>
            <w:vAlign w:val="center"/>
          </w:tcPr>
          <w:p w14:paraId="32759237" w14:textId="70513FEF" w:rsidR="00C232D7" w:rsidRPr="00F6198B" w:rsidRDefault="00C232D7" w:rsidP="00C232D7">
            <w:pPr>
              <w:spacing w:line="360" w:lineRule="auto"/>
              <w:rPr>
                <w:rFonts w:ascii="Arial" w:hAnsi="Arial" w:cs="Arial"/>
                <w:b/>
                <w:color w:val="000000"/>
                <w:sz w:val="18"/>
                <w:lang w:val="sq-AL"/>
              </w:rPr>
            </w:pPr>
            <w:r w:rsidRPr="00F6198B">
              <w:rPr>
                <w:rFonts w:ascii="Arial" w:hAnsi="Arial" w:cs="Arial"/>
                <w:b/>
                <w:color w:val="000000"/>
                <w:sz w:val="18"/>
                <w:lang w:val="sq-AL"/>
              </w:rPr>
              <w:t xml:space="preserve">t/god </w:t>
            </w:r>
          </w:p>
        </w:tc>
        <w:tc>
          <w:tcPr>
            <w:tcW w:w="2011" w:type="dxa"/>
            <w:shd w:val="clear" w:color="auto" w:fill="F2F2F2" w:themeFill="background1" w:themeFillShade="F2"/>
            <w:vAlign w:val="center"/>
          </w:tcPr>
          <w:p w14:paraId="63771CDF" w14:textId="77777777" w:rsidR="00C232D7" w:rsidRPr="00F6198B" w:rsidRDefault="00C232D7" w:rsidP="00C232D7">
            <w:pPr>
              <w:spacing w:line="360" w:lineRule="auto"/>
              <w:rPr>
                <w:rFonts w:ascii="Arial" w:hAnsi="Arial" w:cs="Arial"/>
                <w:b/>
                <w:color w:val="000000"/>
                <w:sz w:val="18"/>
                <w:lang w:val="sq-AL"/>
              </w:rPr>
            </w:pPr>
            <w:r w:rsidRPr="00F6198B">
              <w:rPr>
                <w:rFonts w:ascii="Arial" w:hAnsi="Arial" w:cs="Arial"/>
                <w:b/>
                <w:color w:val="000000"/>
                <w:sz w:val="18"/>
                <w:lang w:val="sq-AL"/>
              </w:rPr>
              <w:t xml:space="preserve">Kg/po glavi stanovnika godišnje </w:t>
            </w:r>
          </w:p>
        </w:tc>
      </w:tr>
      <w:tr w:rsidR="00C232D7" w:rsidRPr="002A6F4E" w14:paraId="5FFCBBC3" w14:textId="77777777" w:rsidTr="00C232D7">
        <w:trPr>
          <w:trHeight w:val="315"/>
          <w:jc w:val="center"/>
        </w:trPr>
        <w:tc>
          <w:tcPr>
            <w:tcW w:w="3055" w:type="dxa"/>
            <w:vAlign w:val="center"/>
          </w:tcPr>
          <w:p w14:paraId="49DCD7F9"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Organski otpad</w:t>
            </w:r>
          </w:p>
        </w:tc>
        <w:tc>
          <w:tcPr>
            <w:tcW w:w="2430" w:type="dxa"/>
            <w:vAlign w:val="center"/>
          </w:tcPr>
          <w:p w14:paraId="38564765" w14:textId="77777777" w:rsidR="00C232D7" w:rsidRPr="00F6198B" w:rsidRDefault="00C232D7" w:rsidP="00C232D7">
            <w:pPr>
              <w:spacing w:line="360" w:lineRule="auto"/>
              <w:rPr>
                <w:rFonts w:ascii="Arial" w:hAnsi="Arial" w:cs="Arial"/>
                <w:sz w:val="18"/>
                <w:lang w:val="sq-AL"/>
              </w:rPr>
            </w:pPr>
            <w:r w:rsidRPr="00F6198B">
              <w:rPr>
                <w:rFonts w:ascii="Arial" w:hAnsi="Arial" w:cs="Arial"/>
                <w:color w:val="000000"/>
                <w:sz w:val="18"/>
                <w:lang w:val="sq-AL"/>
              </w:rPr>
              <w:t>40.7%</w:t>
            </w:r>
          </w:p>
        </w:tc>
        <w:tc>
          <w:tcPr>
            <w:tcW w:w="2340" w:type="dxa"/>
            <w:vAlign w:val="center"/>
          </w:tcPr>
          <w:p w14:paraId="60FDC2A9"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 </w:t>
            </w:r>
            <w:r w:rsidRPr="00F6198B">
              <w:rPr>
                <w:rFonts w:ascii="Arial" w:hAnsi="Arial" w:cs="Arial"/>
                <w:color w:val="000000"/>
                <w:sz w:val="18"/>
              </w:rPr>
              <w:t>132,447</w:t>
            </w:r>
          </w:p>
        </w:tc>
        <w:tc>
          <w:tcPr>
            <w:tcW w:w="2011" w:type="dxa"/>
            <w:vAlign w:val="center"/>
          </w:tcPr>
          <w:p w14:paraId="0221A67D"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rPr>
              <w:t>200.44</w:t>
            </w:r>
          </w:p>
        </w:tc>
      </w:tr>
      <w:tr w:rsidR="00C232D7" w:rsidRPr="002A6F4E" w14:paraId="7F2433B2" w14:textId="77777777" w:rsidTr="00C232D7">
        <w:trPr>
          <w:trHeight w:val="315"/>
          <w:jc w:val="center"/>
        </w:trPr>
        <w:tc>
          <w:tcPr>
            <w:tcW w:w="3055" w:type="dxa"/>
            <w:vAlign w:val="center"/>
          </w:tcPr>
          <w:p w14:paraId="7DBC0413"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Otpad iz kuhinja/pijaca</w:t>
            </w:r>
          </w:p>
        </w:tc>
        <w:tc>
          <w:tcPr>
            <w:tcW w:w="2430" w:type="dxa"/>
            <w:vAlign w:val="center"/>
          </w:tcPr>
          <w:p w14:paraId="30F554C0" w14:textId="77777777" w:rsidR="00C232D7" w:rsidRPr="00F6198B" w:rsidRDefault="00C232D7" w:rsidP="00C232D7">
            <w:pPr>
              <w:spacing w:line="360" w:lineRule="auto"/>
              <w:rPr>
                <w:rFonts w:ascii="Arial" w:hAnsi="Arial" w:cs="Arial"/>
                <w:sz w:val="18"/>
                <w:lang w:val="sq-AL"/>
              </w:rPr>
            </w:pPr>
            <w:r w:rsidRPr="00F6198B">
              <w:rPr>
                <w:rFonts w:ascii="Arial" w:hAnsi="Arial" w:cs="Arial"/>
                <w:color w:val="000000"/>
                <w:sz w:val="18"/>
                <w:lang w:val="sq-AL"/>
              </w:rPr>
              <w:t>33.3%</w:t>
            </w:r>
          </w:p>
        </w:tc>
        <w:tc>
          <w:tcPr>
            <w:tcW w:w="2340" w:type="dxa"/>
            <w:vAlign w:val="center"/>
          </w:tcPr>
          <w:p w14:paraId="4EC1095D"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 </w:t>
            </w:r>
            <w:r w:rsidRPr="00F6198B">
              <w:rPr>
                <w:rFonts w:ascii="Arial" w:hAnsi="Arial" w:cs="Arial"/>
                <w:color w:val="000000"/>
                <w:sz w:val="18"/>
              </w:rPr>
              <w:t xml:space="preserve">108.488 </w:t>
            </w:r>
          </w:p>
        </w:tc>
        <w:tc>
          <w:tcPr>
            <w:tcW w:w="2011" w:type="dxa"/>
            <w:vAlign w:val="center"/>
          </w:tcPr>
          <w:p w14:paraId="5E9116CA"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rPr>
              <w:t>164.18</w:t>
            </w:r>
          </w:p>
        </w:tc>
      </w:tr>
      <w:tr w:rsidR="00C232D7" w:rsidRPr="002A6F4E" w14:paraId="4B73A6DA" w14:textId="77777777" w:rsidTr="00C232D7">
        <w:trPr>
          <w:trHeight w:val="315"/>
          <w:jc w:val="center"/>
        </w:trPr>
        <w:tc>
          <w:tcPr>
            <w:tcW w:w="3055" w:type="dxa"/>
            <w:vAlign w:val="center"/>
          </w:tcPr>
          <w:p w14:paraId="2AE03E95"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Otpad iz vrtova i parkova</w:t>
            </w:r>
          </w:p>
        </w:tc>
        <w:tc>
          <w:tcPr>
            <w:tcW w:w="2430" w:type="dxa"/>
            <w:vAlign w:val="center"/>
          </w:tcPr>
          <w:p w14:paraId="77CDAAF9" w14:textId="77777777" w:rsidR="00C232D7" w:rsidRPr="00F6198B" w:rsidRDefault="00C232D7" w:rsidP="00C232D7">
            <w:pPr>
              <w:spacing w:line="360" w:lineRule="auto"/>
              <w:rPr>
                <w:rFonts w:ascii="Arial" w:hAnsi="Arial" w:cs="Arial"/>
                <w:sz w:val="18"/>
                <w:lang w:val="sq-AL"/>
              </w:rPr>
            </w:pPr>
            <w:r w:rsidRPr="00F6198B">
              <w:rPr>
                <w:rFonts w:ascii="Arial" w:hAnsi="Arial" w:cs="Arial"/>
                <w:color w:val="000000"/>
                <w:sz w:val="18"/>
                <w:lang w:val="sq-AL"/>
              </w:rPr>
              <w:t>7.4%</w:t>
            </w:r>
          </w:p>
        </w:tc>
        <w:tc>
          <w:tcPr>
            <w:tcW w:w="2340" w:type="dxa"/>
            <w:vAlign w:val="center"/>
          </w:tcPr>
          <w:p w14:paraId="28251249"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 </w:t>
            </w:r>
            <w:r w:rsidRPr="00F6198B">
              <w:rPr>
                <w:rFonts w:ascii="Arial" w:hAnsi="Arial" w:cs="Arial"/>
                <w:color w:val="000000"/>
                <w:sz w:val="18"/>
              </w:rPr>
              <w:t xml:space="preserve">23.959 </w:t>
            </w:r>
          </w:p>
        </w:tc>
        <w:tc>
          <w:tcPr>
            <w:tcW w:w="2011" w:type="dxa"/>
            <w:vAlign w:val="center"/>
          </w:tcPr>
          <w:p w14:paraId="313B4FDD"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rPr>
              <w:t xml:space="preserve">36.26 </w:t>
            </w:r>
          </w:p>
        </w:tc>
      </w:tr>
      <w:tr w:rsidR="00C232D7" w:rsidRPr="002A6F4E" w14:paraId="7A17FC1C" w14:textId="77777777" w:rsidTr="00C232D7">
        <w:trPr>
          <w:trHeight w:val="315"/>
          <w:jc w:val="center"/>
        </w:trPr>
        <w:tc>
          <w:tcPr>
            <w:tcW w:w="3055" w:type="dxa"/>
            <w:vAlign w:val="center"/>
          </w:tcPr>
          <w:p w14:paraId="2ED4E3AB"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Plastika</w:t>
            </w:r>
          </w:p>
        </w:tc>
        <w:tc>
          <w:tcPr>
            <w:tcW w:w="2430" w:type="dxa"/>
            <w:vAlign w:val="center"/>
          </w:tcPr>
          <w:p w14:paraId="382EF53B" w14:textId="77777777" w:rsidR="00C232D7" w:rsidRPr="00F6198B" w:rsidRDefault="00C232D7" w:rsidP="00C232D7">
            <w:pPr>
              <w:spacing w:line="360" w:lineRule="auto"/>
              <w:rPr>
                <w:rFonts w:ascii="Arial" w:hAnsi="Arial" w:cs="Arial"/>
                <w:sz w:val="18"/>
                <w:lang w:val="sq-AL"/>
              </w:rPr>
            </w:pPr>
            <w:r w:rsidRPr="00F6198B">
              <w:rPr>
                <w:rFonts w:ascii="Arial" w:hAnsi="Arial" w:cs="Arial"/>
                <w:color w:val="000000"/>
                <w:sz w:val="18"/>
                <w:lang w:val="sq-AL"/>
              </w:rPr>
              <w:t>15.3%</w:t>
            </w:r>
          </w:p>
        </w:tc>
        <w:tc>
          <w:tcPr>
            <w:tcW w:w="2340" w:type="dxa"/>
            <w:vAlign w:val="center"/>
          </w:tcPr>
          <w:p w14:paraId="7C82B7AA"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 </w:t>
            </w:r>
            <w:r w:rsidRPr="00F6198B">
              <w:rPr>
                <w:rFonts w:ascii="Arial" w:hAnsi="Arial" w:cs="Arial"/>
                <w:color w:val="000000"/>
                <w:sz w:val="18"/>
              </w:rPr>
              <w:t>49.986</w:t>
            </w:r>
          </w:p>
        </w:tc>
        <w:tc>
          <w:tcPr>
            <w:tcW w:w="2011" w:type="dxa"/>
            <w:vAlign w:val="center"/>
          </w:tcPr>
          <w:p w14:paraId="3DCCEFCA"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rPr>
              <w:t>75.65</w:t>
            </w:r>
          </w:p>
        </w:tc>
      </w:tr>
      <w:tr w:rsidR="00C232D7" w:rsidRPr="002A6F4E" w14:paraId="727A2FE7" w14:textId="77777777" w:rsidTr="00C232D7">
        <w:trPr>
          <w:trHeight w:val="315"/>
          <w:jc w:val="center"/>
        </w:trPr>
        <w:tc>
          <w:tcPr>
            <w:tcW w:w="3055" w:type="dxa"/>
          </w:tcPr>
          <w:p w14:paraId="052FB550"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Papir/karton</w:t>
            </w:r>
          </w:p>
        </w:tc>
        <w:tc>
          <w:tcPr>
            <w:tcW w:w="2430" w:type="dxa"/>
            <w:vAlign w:val="center"/>
          </w:tcPr>
          <w:p w14:paraId="124B6A59"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15.1%</w:t>
            </w:r>
          </w:p>
        </w:tc>
        <w:tc>
          <w:tcPr>
            <w:tcW w:w="2340" w:type="dxa"/>
            <w:vAlign w:val="center"/>
          </w:tcPr>
          <w:p w14:paraId="723B9938"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 </w:t>
            </w:r>
            <w:r w:rsidRPr="00F6198B">
              <w:rPr>
                <w:rFonts w:ascii="Arial" w:hAnsi="Arial" w:cs="Arial"/>
                <w:color w:val="000000"/>
                <w:sz w:val="18"/>
              </w:rPr>
              <w:t>49.024</w:t>
            </w:r>
          </w:p>
        </w:tc>
        <w:tc>
          <w:tcPr>
            <w:tcW w:w="2011" w:type="dxa"/>
            <w:vAlign w:val="center"/>
          </w:tcPr>
          <w:p w14:paraId="7371DEB8"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rPr>
              <w:t>74.19</w:t>
            </w:r>
          </w:p>
        </w:tc>
      </w:tr>
      <w:tr w:rsidR="00C232D7" w:rsidRPr="002A6F4E" w14:paraId="75C0DA2C" w14:textId="77777777" w:rsidTr="00C232D7">
        <w:trPr>
          <w:trHeight w:val="315"/>
          <w:jc w:val="center"/>
        </w:trPr>
        <w:tc>
          <w:tcPr>
            <w:tcW w:w="3055" w:type="dxa"/>
          </w:tcPr>
          <w:p w14:paraId="548CA2E2"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Kompozitno pakovanje</w:t>
            </w:r>
          </w:p>
        </w:tc>
        <w:tc>
          <w:tcPr>
            <w:tcW w:w="2430" w:type="dxa"/>
            <w:vAlign w:val="center"/>
          </w:tcPr>
          <w:p w14:paraId="32519C95"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2.6%</w:t>
            </w:r>
          </w:p>
        </w:tc>
        <w:tc>
          <w:tcPr>
            <w:tcW w:w="2340" w:type="dxa"/>
            <w:vAlign w:val="center"/>
          </w:tcPr>
          <w:p w14:paraId="7FF0C9DB"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 </w:t>
            </w:r>
            <w:r w:rsidRPr="00F6198B">
              <w:rPr>
                <w:rFonts w:ascii="Arial" w:hAnsi="Arial" w:cs="Arial"/>
                <w:color w:val="000000"/>
                <w:sz w:val="18"/>
              </w:rPr>
              <w:t>8.425</w:t>
            </w:r>
          </w:p>
        </w:tc>
        <w:tc>
          <w:tcPr>
            <w:tcW w:w="2011" w:type="dxa"/>
            <w:vAlign w:val="center"/>
          </w:tcPr>
          <w:p w14:paraId="537CCC92"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rPr>
              <w:t>12.75</w:t>
            </w:r>
          </w:p>
        </w:tc>
      </w:tr>
      <w:tr w:rsidR="00C232D7" w:rsidRPr="002A6F4E" w14:paraId="283CB7E5" w14:textId="77777777" w:rsidTr="00C232D7">
        <w:trPr>
          <w:trHeight w:val="315"/>
          <w:jc w:val="center"/>
        </w:trPr>
        <w:tc>
          <w:tcPr>
            <w:tcW w:w="3055" w:type="dxa"/>
          </w:tcPr>
          <w:p w14:paraId="027EC1B9"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Metali</w:t>
            </w:r>
          </w:p>
        </w:tc>
        <w:tc>
          <w:tcPr>
            <w:tcW w:w="2430" w:type="dxa"/>
            <w:vAlign w:val="center"/>
          </w:tcPr>
          <w:p w14:paraId="53DA93DF"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3.3%</w:t>
            </w:r>
          </w:p>
        </w:tc>
        <w:tc>
          <w:tcPr>
            <w:tcW w:w="2340" w:type="dxa"/>
            <w:vAlign w:val="center"/>
          </w:tcPr>
          <w:p w14:paraId="0367BEAA"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rPr>
              <w:t>10.789</w:t>
            </w:r>
          </w:p>
        </w:tc>
        <w:tc>
          <w:tcPr>
            <w:tcW w:w="2011" w:type="dxa"/>
            <w:vAlign w:val="center"/>
          </w:tcPr>
          <w:p w14:paraId="3E0A3269"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rPr>
              <w:t>16.33</w:t>
            </w:r>
          </w:p>
        </w:tc>
      </w:tr>
      <w:tr w:rsidR="00C232D7" w:rsidRPr="002A6F4E" w14:paraId="28BA8768" w14:textId="77777777" w:rsidTr="00C232D7">
        <w:trPr>
          <w:trHeight w:val="315"/>
          <w:jc w:val="center"/>
        </w:trPr>
        <w:tc>
          <w:tcPr>
            <w:tcW w:w="3055" w:type="dxa"/>
          </w:tcPr>
          <w:p w14:paraId="3C678630"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Crni metali</w:t>
            </w:r>
          </w:p>
        </w:tc>
        <w:tc>
          <w:tcPr>
            <w:tcW w:w="2430" w:type="dxa"/>
            <w:vAlign w:val="center"/>
          </w:tcPr>
          <w:p w14:paraId="6A93A98A"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1.8%</w:t>
            </w:r>
          </w:p>
        </w:tc>
        <w:tc>
          <w:tcPr>
            <w:tcW w:w="2340" w:type="dxa"/>
            <w:vAlign w:val="center"/>
          </w:tcPr>
          <w:p w14:paraId="3DDC05A0"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rPr>
              <w:t>6.024</w:t>
            </w:r>
          </w:p>
        </w:tc>
        <w:tc>
          <w:tcPr>
            <w:tcW w:w="2011" w:type="dxa"/>
            <w:vAlign w:val="center"/>
          </w:tcPr>
          <w:p w14:paraId="3CD09395"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9.12 </w:t>
            </w:r>
          </w:p>
        </w:tc>
      </w:tr>
      <w:tr w:rsidR="00C232D7" w:rsidRPr="002A6F4E" w14:paraId="1FC0B0AF" w14:textId="77777777" w:rsidTr="00C232D7">
        <w:trPr>
          <w:trHeight w:val="315"/>
          <w:jc w:val="center"/>
        </w:trPr>
        <w:tc>
          <w:tcPr>
            <w:tcW w:w="3055" w:type="dxa"/>
          </w:tcPr>
          <w:p w14:paraId="16E9772D"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Obojeni metali</w:t>
            </w:r>
          </w:p>
        </w:tc>
        <w:tc>
          <w:tcPr>
            <w:tcW w:w="2430" w:type="dxa"/>
            <w:vAlign w:val="center"/>
          </w:tcPr>
          <w:p w14:paraId="158DBD63"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1.5%</w:t>
            </w:r>
          </w:p>
        </w:tc>
        <w:tc>
          <w:tcPr>
            <w:tcW w:w="2340" w:type="dxa"/>
            <w:vAlign w:val="center"/>
          </w:tcPr>
          <w:p w14:paraId="79A72FBD"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rPr>
              <w:t>4.765</w:t>
            </w:r>
          </w:p>
        </w:tc>
        <w:tc>
          <w:tcPr>
            <w:tcW w:w="2011" w:type="dxa"/>
            <w:vAlign w:val="center"/>
          </w:tcPr>
          <w:p w14:paraId="1DDF6F61"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7.21 </w:t>
            </w:r>
          </w:p>
        </w:tc>
      </w:tr>
      <w:tr w:rsidR="00C232D7" w:rsidRPr="002A6F4E" w14:paraId="41506442" w14:textId="77777777" w:rsidTr="00C232D7">
        <w:trPr>
          <w:trHeight w:val="315"/>
          <w:jc w:val="center"/>
        </w:trPr>
        <w:tc>
          <w:tcPr>
            <w:tcW w:w="3055" w:type="dxa"/>
          </w:tcPr>
          <w:p w14:paraId="3E46F840"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Staklo</w:t>
            </w:r>
          </w:p>
        </w:tc>
        <w:tc>
          <w:tcPr>
            <w:tcW w:w="2430" w:type="dxa"/>
            <w:vAlign w:val="center"/>
          </w:tcPr>
          <w:p w14:paraId="43AE7E73"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5.7%</w:t>
            </w:r>
          </w:p>
        </w:tc>
        <w:tc>
          <w:tcPr>
            <w:tcW w:w="2340" w:type="dxa"/>
            <w:vAlign w:val="center"/>
          </w:tcPr>
          <w:p w14:paraId="1835DB65"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18.433</w:t>
            </w:r>
          </w:p>
        </w:tc>
        <w:tc>
          <w:tcPr>
            <w:tcW w:w="2011" w:type="dxa"/>
            <w:vAlign w:val="center"/>
          </w:tcPr>
          <w:p w14:paraId="652E6E75"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27.90 </w:t>
            </w:r>
          </w:p>
        </w:tc>
      </w:tr>
      <w:tr w:rsidR="00C232D7" w:rsidRPr="002A6F4E" w14:paraId="30F1EC99" w14:textId="77777777" w:rsidTr="00C232D7">
        <w:trPr>
          <w:trHeight w:val="315"/>
          <w:jc w:val="center"/>
        </w:trPr>
        <w:tc>
          <w:tcPr>
            <w:tcW w:w="3055" w:type="dxa"/>
          </w:tcPr>
          <w:p w14:paraId="44230514"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Drvo</w:t>
            </w:r>
          </w:p>
        </w:tc>
        <w:tc>
          <w:tcPr>
            <w:tcW w:w="2430" w:type="dxa"/>
            <w:vAlign w:val="center"/>
          </w:tcPr>
          <w:p w14:paraId="0E86A696"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2.5%</w:t>
            </w:r>
          </w:p>
        </w:tc>
        <w:tc>
          <w:tcPr>
            <w:tcW w:w="2340" w:type="dxa"/>
            <w:vAlign w:val="center"/>
          </w:tcPr>
          <w:p w14:paraId="5EB1858F"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8.179</w:t>
            </w:r>
          </w:p>
        </w:tc>
        <w:tc>
          <w:tcPr>
            <w:tcW w:w="2011" w:type="dxa"/>
            <w:vAlign w:val="center"/>
          </w:tcPr>
          <w:p w14:paraId="5B5D9A36"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12.38 </w:t>
            </w:r>
          </w:p>
        </w:tc>
      </w:tr>
      <w:tr w:rsidR="00C232D7" w:rsidRPr="002A6F4E" w14:paraId="1F9756E9" w14:textId="77777777" w:rsidTr="00C232D7">
        <w:trPr>
          <w:trHeight w:val="315"/>
          <w:jc w:val="center"/>
        </w:trPr>
        <w:tc>
          <w:tcPr>
            <w:tcW w:w="3055" w:type="dxa"/>
          </w:tcPr>
          <w:p w14:paraId="4C0E8166"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Tekstil</w:t>
            </w:r>
          </w:p>
        </w:tc>
        <w:tc>
          <w:tcPr>
            <w:tcW w:w="2430" w:type="dxa"/>
            <w:vAlign w:val="center"/>
          </w:tcPr>
          <w:p w14:paraId="6386FB65"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3.3%</w:t>
            </w:r>
          </w:p>
        </w:tc>
        <w:tc>
          <w:tcPr>
            <w:tcW w:w="2340" w:type="dxa"/>
            <w:vAlign w:val="center"/>
          </w:tcPr>
          <w:p w14:paraId="4C674D9F"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10757 </w:t>
            </w:r>
          </w:p>
        </w:tc>
        <w:tc>
          <w:tcPr>
            <w:tcW w:w="2011" w:type="dxa"/>
            <w:vAlign w:val="center"/>
          </w:tcPr>
          <w:p w14:paraId="3219B73C"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16.28 </w:t>
            </w:r>
          </w:p>
        </w:tc>
      </w:tr>
      <w:tr w:rsidR="00C232D7" w:rsidRPr="002A6F4E" w14:paraId="69B20F92" w14:textId="77777777" w:rsidTr="00C232D7">
        <w:trPr>
          <w:trHeight w:val="315"/>
          <w:jc w:val="center"/>
        </w:trPr>
        <w:tc>
          <w:tcPr>
            <w:tcW w:w="3055" w:type="dxa"/>
          </w:tcPr>
          <w:p w14:paraId="0BEDE185"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Ostalo</w:t>
            </w:r>
          </w:p>
        </w:tc>
        <w:tc>
          <w:tcPr>
            <w:tcW w:w="2430" w:type="dxa"/>
            <w:vAlign w:val="center"/>
          </w:tcPr>
          <w:p w14:paraId="3FF1599F"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11.6%</w:t>
            </w:r>
          </w:p>
        </w:tc>
        <w:tc>
          <w:tcPr>
            <w:tcW w:w="2340" w:type="dxa"/>
            <w:vAlign w:val="center"/>
          </w:tcPr>
          <w:p w14:paraId="29080C58"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37.667</w:t>
            </w:r>
          </w:p>
        </w:tc>
        <w:tc>
          <w:tcPr>
            <w:tcW w:w="2011" w:type="dxa"/>
            <w:vAlign w:val="center"/>
          </w:tcPr>
          <w:p w14:paraId="34CE4ECE"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57.00 </w:t>
            </w:r>
          </w:p>
        </w:tc>
      </w:tr>
      <w:tr w:rsidR="00C232D7" w:rsidRPr="002A6F4E" w14:paraId="33A223EF" w14:textId="77777777" w:rsidTr="00C232D7">
        <w:trPr>
          <w:trHeight w:val="315"/>
          <w:jc w:val="center"/>
        </w:trPr>
        <w:tc>
          <w:tcPr>
            <w:tcW w:w="3055" w:type="dxa"/>
            <w:vAlign w:val="center"/>
          </w:tcPr>
          <w:p w14:paraId="6F0C52F7"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Inertni otpad</w:t>
            </w:r>
          </w:p>
        </w:tc>
        <w:tc>
          <w:tcPr>
            <w:tcW w:w="2430" w:type="dxa"/>
            <w:vAlign w:val="center"/>
          </w:tcPr>
          <w:p w14:paraId="46D7C265"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1.6%</w:t>
            </w:r>
          </w:p>
        </w:tc>
        <w:tc>
          <w:tcPr>
            <w:tcW w:w="2340" w:type="dxa"/>
            <w:vAlign w:val="center"/>
          </w:tcPr>
          <w:p w14:paraId="5E496F7C"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5.180 </w:t>
            </w:r>
          </w:p>
        </w:tc>
        <w:tc>
          <w:tcPr>
            <w:tcW w:w="2011" w:type="dxa"/>
            <w:vAlign w:val="center"/>
          </w:tcPr>
          <w:p w14:paraId="4246DD3C"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7.84 </w:t>
            </w:r>
          </w:p>
        </w:tc>
      </w:tr>
      <w:tr w:rsidR="00C232D7" w:rsidRPr="002A6F4E" w14:paraId="2C0FC9AF" w14:textId="77777777" w:rsidTr="00C232D7">
        <w:trPr>
          <w:trHeight w:val="315"/>
          <w:jc w:val="center"/>
        </w:trPr>
        <w:tc>
          <w:tcPr>
            <w:tcW w:w="3055" w:type="dxa"/>
            <w:vAlign w:val="center"/>
          </w:tcPr>
          <w:p w14:paraId="6E495932"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Kabasti otpad</w:t>
            </w:r>
          </w:p>
        </w:tc>
        <w:tc>
          <w:tcPr>
            <w:tcW w:w="2430" w:type="dxa"/>
            <w:vAlign w:val="center"/>
          </w:tcPr>
          <w:p w14:paraId="0EEFB70C"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1.6%</w:t>
            </w:r>
          </w:p>
        </w:tc>
        <w:tc>
          <w:tcPr>
            <w:tcW w:w="2340" w:type="dxa"/>
            <w:vAlign w:val="center"/>
          </w:tcPr>
          <w:p w14:paraId="1D4DFFC8"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5.328 </w:t>
            </w:r>
          </w:p>
        </w:tc>
        <w:tc>
          <w:tcPr>
            <w:tcW w:w="2011" w:type="dxa"/>
            <w:vAlign w:val="center"/>
          </w:tcPr>
          <w:p w14:paraId="545A6CE1"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8.06 </w:t>
            </w:r>
          </w:p>
        </w:tc>
      </w:tr>
      <w:tr w:rsidR="00C232D7" w:rsidRPr="002A6F4E" w14:paraId="4B11A9A5" w14:textId="77777777" w:rsidTr="00C232D7">
        <w:trPr>
          <w:trHeight w:val="315"/>
          <w:jc w:val="center"/>
        </w:trPr>
        <w:tc>
          <w:tcPr>
            <w:tcW w:w="3055" w:type="dxa"/>
            <w:vAlign w:val="center"/>
          </w:tcPr>
          <w:p w14:paraId="74B8FF29"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Otpad od električne i elektronske opreme</w:t>
            </w:r>
          </w:p>
        </w:tc>
        <w:tc>
          <w:tcPr>
            <w:tcW w:w="2430" w:type="dxa"/>
            <w:vAlign w:val="center"/>
          </w:tcPr>
          <w:p w14:paraId="7821B7C2"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4.3%</w:t>
            </w:r>
          </w:p>
        </w:tc>
        <w:tc>
          <w:tcPr>
            <w:tcW w:w="2340" w:type="dxa"/>
            <w:vAlign w:val="center"/>
          </w:tcPr>
          <w:p w14:paraId="40939506"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14.110 </w:t>
            </w:r>
          </w:p>
        </w:tc>
        <w:tc>
          <w:tcPr>
            <w:tcW w:w="2011" w:type="dxa"/>
            <w:vAlign w:val="center"/>
          </w:tcPr>
          <w:p w14:paraId="78C8D148"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21.35 </w:t>
            </w:r>
          </w:p>
        </w:tc>
      </w:tr>
      <w:tr w:rsidR="00C232D7" w:rsidRPr="002A6F4E" w14:paraId="77654513" w14:textId="77777777" w:rsidTr="00C232D7">
        <w:trPr>
          <w:trHeight w:val="315"/>
          <w:jc w:val="center"/>
        </w:trPr>
        <w:tc>
          <w:tcPr>
            <w:tcW w:w="3055" w:type="dxa"/>
            <w:vAlign w:val="center"/>
          </w:tcPr>
          <w:p w14:paraId="7FA60DC2"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Opasni otpad</w:t>
            </w:r>
          </w:p>
        </w:tc>
        <w:tc>
          <w:tcPr>
            <w:tcW w:w="2430" w:type="dxa"/>
            <w:vAlign w:val="center"/>
          </w:tcPr>
          <w:p w14:paraId="206ABE1E"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0.4%</w:t>
            </w:r>
          </w:p>
        </w:tc>
        <w:tc>
          <w:tcPr>
            <w:tcW w:w="2340" w:type="dxa"/>
            <w:vAlign w:val="center"/>
          </w:tcPr>
          <w:p w14:paraId="3A0C5B71"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1.352 </w:t>
            </w:r>
          </w:p>
        </w:tc>
        <w:tc>
          <w:tcPr>
            <w:tcW w:w="2011" w:type="dxa"/>
            <w:vAlign w:val="center"/>
          </w:tcPr>
          <w:p w14:paraId="071CD007"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2.05 </w:t>
            </w:r>
          </w:p>
        </w:tc>
      </w:tr>
      <w:tr w:rsidR="00C232D7" w:rsidRPr="002A6F4E" w14:paraId="2E710597" w14:textId="77777777" w:rsidTr="00C232D7">
        <w:trPr>
          <w:trHeight w:val="315"/>
          <w:jc w:val="center"/>
        </w:trPr>
        <w:tc>
          <w:tcPr>
            <w:tcW w:w="3055" w:type="dxa"/>
            <w:vAlign w:val="center"/>
          </w:tcPr>
          <w:p w14:paraId="0317F460" w14:textId="77777777" w:rsidR="00C232D7" w:rsidRPr="00F6198B" w:rsidRDefault="00C232D7" w:rsidP="00C232D7">
            <w:pPr>
              <w:spacing w:line="360" w:lineRule="auto"/>
              <w:rPr>
                <w:rFonts w:ascii="Arial" w:hAnsi="Arial" w:cs="Arial"/>
                <w:sz w:val="18"/>
                <w:lang w:val="sq-AL"/>
              </w:rPr>
            </w:pPr>
            <w:r w:rsidRPr="00F6198B">
              <w:rPr>
                <w:rFonts w:ascii="Arial" w:hAnsi="Arial" w:cs="Arial"/>
                <w:sz w:val="18"/>
                <w:lang w:val="sq-AL"/>
              </w:rPr>
              <w:t>Ostalo</w:t>
            </w:r>
          </w:p>
        </w:tc>
        <w:tc>
          <w:tcPr>
            <w:tcW w:w="2430" w:type="dxa"/>
            <w:vAlign w:val="center"/>
          </w:tcPr>
          <w:p w14:paraId="4906ADC3"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3.6%</w:t>
            </w:r>
          </w:p>
        </w:tc>
        <w:tc>
          <w:tcPr>
            <w:tcW w:w="2340" w:type="dxa"/>
            <w:vAlign w:val="center"/>
          </w:tcPr>
          <w:p w14:paraId="2044F619"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11,679 </w:t>
            </w:r>
          </w:p>
        </w:tc>
        <w:tc>
          <w:tcPr>
            <w:tcW w:w="2011" w:type="dxa"/>
            <w:vAlign w:val="center"/>
          </w:tcPr>
          <w:p w14:paraId="10A1E8EA"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color w:val="000000"/>
                <w:sz w:val="18"/>
                <w:lang w:val="sq-AL"/>
              </w:rPr>
              <w:t xml:space="preserve">17.70 </w:t>
            </w:r>
          </w:p>
        </w:tc>
      </w:tr>
      <w:tr w:rsidR="00C232D7" w:rsidRPr="002A6F4E" w14:paraId="54B7887C" w14:textId="77777777" w:rsidTr="00C232D7">
        <w:trPr>
          <w:trHeight w:val="436"/>
          <w:jc w:val="center"/>
        </w:trPr>
        <w:tc>
          <w:tcPr>
            <w:tcW w:w="3055" w:type="dxa"/>
            <w:vAlign w:val="center"/>
          </w:tcPr>
          <w:p w14:paraId="40F04E9E" w14:textId="77777777" w:rsidR="00C232D7" w:rsidRPr="00F6198B" w:rsidRDefault="00C232D7" w:rsidP="00C232D7">
            <w:pPr>
              <w:spacing w:line="360" w:lineRule="auto"/>
              <w:rPr>
                <w:rFonts w:ascii="Arial" w:hAnsi="Arial" w:cs="Arial"/>
                <w:b/>
                <w:bCs/>
                <w:sz w:val="18"/>
                <w:lang w:val="sq-AL"/>
              </w:rPr>
            </w:pPr>
            <w:r w:rsidRPr="00F6198B">
              <w:rPr>
                <w:rFonts w:ascii="Arial" w:hAnsi="Arial" w:cs="Arial"/>
                <w:b/>
                <w:bCs/>
                <w:sz w:val="18"/>
                <w:lang w:val="sq-AL"/>
              </w:rPr>
              <w:t>Ukupno</w:t>
            </w:r>
          </w:p>
        </w:tc>
        <w:tc>
          <w:tcPr>
            <w:tcW w:w="2430" w:type="dxa"/>
            <w:vAlign w:val="center"/>
          </w:tcPr>
          <w:p w14:paraId="5E04D84A" w14:textId="77777777" w:rsidR="00C232D7" w:rsidRPr="00F6198B" w:rsidRDefault="00C232D7" w:rsidP="00C232D7">
            <w:pPr>
              <w:spacing w:line="360" w:lineRule="auto"/>
              <w:rPr>
                <w:rFonts w:ascii="Arial" w:hAnsi="Arial" w:cs="Arial"/>
                <w:color w:val="000000"/>
                <w:sz w:val="18"/>
                <w:lang w:val="sq-AL"/>
              </w:rPr>
            </w:pPr>
            <w:r w:rsidRPr="00F6198B">
              <w:rPr>
                <w:rFonts w:ascii="Arial" w:hAnsi="Arial" w:cs="Arial"/>
                <w:b/>
                <w:bCs/>
                <w:color w:val="000000"/>
                <w:sz w:val="18"/>
                <w:lang w:val="sq-AL"/>
              </w:rPr>
              <w:t>100.00%</w:t>
            </w:r>
          </w:p>
        </w:tc>
        <w:tc>
          <w:tcPr>
            <w:tcW w:w="2340" w:type="dxa"/>
            <w:vAlign w:val="center"/>
          </w:tcPr>
          <w:p w14:paraId="7AEA875D" w14:textId="77777777" w:rsidR="00C232D7" w:rsidRPr="00F6198B" w:rsidRDefault="00C232D7" w:rsidP="00C232D7">
            <w:pPr>
              <w:spacing w:line="360" w:lineRule="auto"/>
              <w:rPr>
                <w:rFonts w:ascii="Arial" w:hAnsi="Arial" w:cs="Arial"/>
                <w:b/>
                <w:bCs/>
                <w:color w:val="000000"/>
                <w:sz w:val="18"/>
                <w:lang w:val="sq-AL"/>
              </w:rPr>
            </w:pPr>
            <w:r w:rsidRPr="00F6198B">
              <w:rPr>
                <w:rFonts w:ascii="Arial" w:hAnsi="Arial" w:cs="Arial"/>
                <w:b/>
                <w:bCs/>
                <w:color w:val="000000"/>
                <w:sz w:val="18"/>
                <w:lang w:val="sq-AL"/>
              </w:rPr>
              <w:t xml:space="preserve">325,708 </w:t>
            </w:r>
          </w:p>
        </w:tc>
        <w:tc>
          <w:tcPr>
            <w:tcW w:w="2011" w:type="dxa"/>
            <w:vAlign w:val="center"/>
          </w:tcPr>
          <w:p w14:paraId="1257FDFD" w14:textId="77777777" w:rsidR="00C232D7" w:rsidRPr="00F6198B" w:rsidRDefault="00C232D7" w:rsidP="00C232D7">
            <w:pPr>
              <w:spacing w:line="360" w:lineRule="auto"/>
              <w:rPr>
                <w:rFonts w:ascii="Arial" w:hAnsi="Arial" w:cs="Arial"/>
                <w:b/>
                <w:bCs/>
                <w:color w:val="000000"/>
                <w:sz w:val="18"/>
                <w:lang w:val="sq-AL"/>
              </w:rPr>
            </w:pPr>
            <w:r w:rsidRPr="00F6198B">
              <w:rPr>
                <w:rFonts w:ascii="Arial" w:hAnsi="Arial" w:cs="Arial"/>
                <w:b/>
                <w:bCs/>
                <w:color w:val="000000"/>
                <w:sz w:val="18"/>
                <w:lang w:val="sq-AL"/>
              </w:rPr>
              <w:t xml:space="preserve">492,92 </w:t>
            </w:r>
          </w:p>
        </w:tc>
      </w:tr>
      <w:bookmarkEnd w:id="713"/>
    </w:tbl>
    <w:p w14:paraId="1AB4BC8C" w14:textId="77777777" w:rsidR="00C232D7" w:rsidRPr="001C42E5" w:rsidRDefault="00C232D7" w:rsidP="00C232D7">
      <w:pPr>
        <w:spacing w:line="360" w:lineRule="auto"/>
        <w:rPr>
          <w:rFonts w:ascii="Arial" w:hAnsi="Arial" w:cs="Arial"/>
          <w:lang w:val="sq-AL"/>
        </w:rPr>
      </w:pPr>
    </w:p>
    <w:p w14:paraId="22B1F937" w14:textId="77777777" w:rsidR="00C232D7" w:rsidRPr="002A6F4E" w:rsidRDefault="00C232D7" w:rsidP="00C232D7">
      <w:pPr>
        <w:spacing w:line="360" w:lineRule="auto"/>
        <w:rPr>
          <w:rFonts w:ascii="Arial" w:hAnsi="Arial" w:cs="Arial"/>
          <w:lang w:val="sq-AL"/>
        </w:rPr>
      </w:pPr>
      <w:r w:rsidRPr="002A6F4E">
        <w:rPr>
          <w:rFonts w:ascii="Arial" w:hAnsi="Arial" w:cs="Arial"/>
          <w:noProof/>
          <w:lang w:val="en-US"/>
        </w:rPr>
        <w:lastRenderedPageBreak/>
        <w:drawing>
          <wp:inline distT="0" distB="0" distL="0" distR="0" wp14:anchorId="481890CE" wp14:editId="28EEEEB7">
            <wp:extent cx="6047105" cy="4002142"/>
            <wp:effectExtent l="0" t="0" r="10795"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2BC79DD" w14:textId="77777777" w:rsidR="00E62109" w:rsidRDefault="00E62109" w:rsidP="00B85793">
      <w:pPr>
        <w:pStyle w:val="Caption"/>
        <w:rPr>
          <w:rFonts w:ascii="Arial" w:hAnsi="Arial" w:cs="Arial"/>
          <w:b w:val="0"/>
          <w:szCs w:val="20"/>
          <w:lang w:val="sq-AL"/>
        </w:rPr>
      </w:pPr>
      <w:bookmarkStart w:id="714" w:name="_Toc189548752"/>
      <w:bookmarkStart w:id="715" w:name="_Toc190160836"/>
    </w:p>
    <w:p w14:paraId="776D6409" w14:textId="437FF598" w:rsidR="00C232D7" w:rsidRDefault="00C232D7" w:rsidP="00B85793">
      <w:pPr>
        <w:pStyle w:val="Caption"/>
        <w:rPr>
          <w:rFonts w:ascii="Arial" w:eastAsia="Times New Roman" w:hAnsi="Arial" w:cs="Arial"/>
          <w:b w:val="0"/>
          <w:szCs w:val="20"/>
          <w:lang w:val="sq-AL" w:eastAsia="el-GR"/>
        </w:rPr>
      </w:pPr>
      <w:r w:rsidRPr="00B85793">
        <w:rPr>
          <w:rFonts w:ascii="Arial" w:hAnsi="Arial" w:cs="Arial"/>
          <w:b w:val="0"/>
          <w:szCs w:val="20"/>
          <w:lang w:val="sq-AL"/>
        </w:rPr>
        <w:t xml:space="preserve">Slika </w:t>
      </w:r>
      <w:r w:rsidRPr="00B85793">
        <w:rPr>
          <w:rFonts w:ascii="Arial" w:hAnsi="Arial" w:cs="Arial"/>
          <w:b w:val="0"/>
          <w:szCs w:val="20"/>
        </w:rPr>
        <w:fldChar w:fldCharType="begin"/>
      </w:r>
      <w:r w:rsidRPr="00B85793">
        <w:rPr>
          <w:rFonts w:ascii="Arial" w:hAnsi="Arial" w:cs="Arial"/>
          <w:b w:val="0"/>
          <w:szCs w:val="20"/>
          <w:lang w:val="sq-AL"/>
        </w:rPr>
        <w:instrText xml:space="preserve"> SEQ Slika \* ARABIC </w:instrText>
      </w:r>
      <w:r w:rsidRPr="00B85793">
        <w:rPr>
          <w:rFonts w:ascii="Arial" w:hAnsi="Arial" w:cs="Arial"/>
          <w:b w:val="0"/>
          <w:szCs w:val="20"/>
        </w:rPr>
        <w:fldChar w:fldCharType="separate"/>
      </w:r>
      <w:r w:rsidR="008C782A" w:rsidRPr="00B85793">
        <w:rPr>
          <w:rFonts w:ascii="Arial" w:hAnsi="Arial" w:cs="Arial"/>
          <w:b w:val="0"/>
          <w:noProof/>
          <w:szCs w:val="20"/>
          <w:lang w:val="sq-AL"/>
        </w:rPr>
        <w:t>3</w:t>
      </w:r>
      <w:r w:rsidRPr="00B85793">
        <w:rPr>
          <w:rFonts w:ascii="Arial" w:hAnsi="Arial" w:cs="Arial"/>
          <w:b w:val="0"/>
          <w:szCs w:val="20"/>
        </w:rPr>
        <w:fldChar w:fldCharType="end"/>
      </w:r>
      <w:r w:rsidRPr="00B85793">
        <w:rPr>
          <w:rFonts w:ascii="Arial" w:eastAsia="Times New Roman" w:hAnsi="Arial" w:cs="Arial"/>
          <w:b w:val="0"/>
          <w:szCs w:val="20"/>
          <w:lang w:val="sq-AL" w:eastAsia="el-GR"/>
        </w:rPr>
        <w:t xml:space="preserve"> Sastav komunalnog otpada u Crnoj Gori, 2023</w:t>
      </w:r>
      <w:bookmarkEnd w:id="714"/>
      <w:bookmarkEnd w:id="715"/>
      <w:r w:rsidR="001E1997" w:rsidRPr="00B85793">
        <w:rPr>
          <w:rFonts w:ascii="Arial" w:eastAsia="Times New Roman" w:hAnsi="Arial" w:cs="Arial"/>
          <w:b w:val="0"/>
          <w:szCs w:val="20"/>
          <w:lang w:val="sq-AL" w:eastAsia="el-GR"/>
        </w:rPr>
        <w:t xml:space="preserve">. </w:t>
      </w:r>
      <w:r w:rsidR="00E62109" w:rsidRPr="00B85793">
        <w:rPr>
          <w:rFonts w:ascii="Arial" w:eastAsia="Times New Roman" w:hAnsi="Arial" w:cs="Arial"/>
          <w:b w:val="0"/>
          <w:szCs w:val="20"/>
          <w:lang w:val="sq-AL" w:eastAsia="el-GR"/>
        </w:rPr>
        <w:t>G</w:t>
      </w:r>
      <w:r w:rsidR="001E1997" w:rsidRPr="00B85793">
        <w:rPr>
          <w:rFonts w:ascii="Arial" w:eastAsia="Times New Roman" w:hAnsi="Arial" w:cs="Arial"/>
          <w:b w:val="0"/>
          <w:szCs w:val="20"/>
          <w:lang w:val="sq-AL" w:eastAsia="el-GR"/>
        </w:rPr>
        <w:t>odina</w:t>
      </w:r>
    </w:p>
    <w:p w14:paraId="139BCDE2" w14:textId="77777777" w:rsidR="00E62109" w:rsidRPr="00E62109" w:rsidRDefault="00E62109" w:rsidP="00E62109">
      <w:pPr>
        <w:rPr>
          <w:lang w:val="sq-AL" w:eastAsia="el-GR"/>
        </w:rPr>
      </w:pPr>
    </w:p>
    <w:p w14:paraId="3AA39C3D" w14:textId="77777777" w:rsidR="00C232D7" w:rsidRDefault="00C232D7" w:rsidP="00C232D7">
      <w:pPr>
        <w:spacing w:before="120" w:after="120" w:line="360" w:lineRule="auto"/>
        <w:rPr>
          <w:rFonts w:ascii="Arial" w:hAnsi="Arial" w:cs="Arial"/>
          <w:lang w:val="sq-AL"/>
        </w:rPr>
      </w:pPr>
      <w:r w:rsidRPr="002A6F4E">
        <w:rPr>
          <w:rFonts w:ascii="Arial" w:hAnsi="Arial" w:cs="Arial"/>
          <w:lang w:val="sq-AL"/>
        </w:rPr>
        <w:t>U sljedećoj tabeli prikazane su količine frakcija otpada koje su povezane sa specifičnim kvantitativnim ciljevima upravljanja otpadom, u okviru nacionalne politike i zakonodavstva EU.</w:t>
      </w:r>
    </w:p>
    <w:p w14:paraId="71489EA6" w14:textId="77777777" w:rsidR="00E62109" w:rsidRDefault="00E62109" w:rsidP="00C232D7">
      <w:pPr>
        <w:spacing w:before="120" w:after="120" w:line="360" w:lineRule="auto"/>
        <w:rPr>
          <w:rFonts w:ascii="Arial" w:hAnsi="Arial" w:cs="Arial"/>
          <w:lang w:val="sq-AL"/>
        </w:rPr>
      </w:pPr>
    </w:p>
    <w:p w14:paraId="09FB31AE" w14:textId="77777777" w:rsidR="00E62109" w:rsidRDefault="00E62109" w:rsidP="00C232D7">
      <w:pPr>
        <w:spacing w:before="120" w:after="120" w:line="360" w:lineRule="auto"/>
        <w:rPr>
          <w:rFonts w:ascii="Arial" w:hAnsi="Arial" w:cs="Arial"/>
          <w:lang w:val="sq-AL"/>
        </w:rPr>
      </w:pPr>
    </w:p>
    <w:p w14:paraId="04AD9EEE" w14:textId="77777777" w:rsidR="00E62109" w:rsidRDefault="00E62109" w:rsidP="00C232D7">
      <w:pPr>
        <w:spacing w:before="120" w:after="120" w:line="360" w:lineRule="auto"/>
        <w:rPr>
          <w:rFonts w:ascii="Arial" w:hAnsi="Arial" w:cs="Arial"/>
          <w:lang w:val="sq-AL"/>
        </w:rPr>
      </w:pPr>
    </w:p>
    <w:p w14:paraId="13B6C537" w14:textId="77777777" w:rsidR="00E62109" w:rsidRDefault="00E62109" w:rsidP="00C232D7">
      <w:pPr>
        <w:spacing w:before="120" w:after="120" w:line="360" w:lineRule="auto"/>
        <w:rPr>
          <w:rFonts w:ascii="Arial" w:hAnsi="Arial" w:cs="Arial"/>
          <w:lang w:val="sq-AL"/>
        </w:rPr>
      </w:pPr>
    </w:p>
    <w:p w14:paraId="65B87DA9" w14:textId="77777777" w:rsidR="00E62109" w:rsidRDefault="00E62109" w:rsidP="00C232D7">
      <w:pPr>
        <w:spacing w:before="120" w:after="120" w:line="360" w:lineRule="auto"/>
        <w:rPr>
          <w:rFonts w:ascii="Arial" w:hAnsi="Arial" w:cs="Arial"/>
          <w:lang w:val="sq-AL"/>
        </w:rPr>
      </w:pPr>
    </w:p>
    <w:p w14:paraId="71B99C73" w14:textId="77777777" w:rsidR="00E62109" w:rsidRDefault="00E62109" w:rsidP="00C232D7">
      <w:pPr>
        <w:spacing w:before="120" w:after="120" w:line="360" w:lineRule="auto"/>
        <w:rPr>
          <w:rFonts w:ascii="Arial" w:hAnsi="Arial" w:cs="Arial"/>
          <w:lang w:val="sq-AL"/>
        </w:rPr>
      </w:pPr>
    </w:p>
    <w:p w14:paraId="78B3E2BB" w14:textId="77777777" w:rsidR="00E62109" w:rsidRDefault="00E62109" w:rsidP="00C232D7">
      <w:pPr>
        <w:spacing w:before="120" w:after="120" w:line="360" w:lineRule="auto"/>
        <w:rPr>
          <w:rFonts w:ascii="Arial" w:hAnsi="Arial" w:cs="Arial"/>
          <w:lang w:val="sq-AL"/>
        </w:rPr>
      </w:pPr>
    </w:p>
    <w:p w14:paraId="280E22FC" w14:textId="77777777" w:rsidR="00E62109" w:rsidRDefault="00E62109" w:rsidP="00C232D7">
      <w:pPr>
        <w:spacing w:before="120" w:after="120" w:line="360" w:lineRule="auto"/>
        <w:rPr>
          <w:rFonts w:ascii="Arial" w:hAnsi="Arial" w:cs="Arial"/>
          <w:lang w:val="sq-AL"/>
        </w:rPr>
      </w:pPr>
    </w:p>
    <w:p w14:paraId="4160EB8C" w14:textId="77777777" w:rsidR="00E62109" w:rsidRDefault="00E62109" w:rsidP="00C232D7">
      <w:pPr>
        <w:spacing w:before="120" w:after="120" w:line="360" w:lineRule="auto"/>
        <w:rPr>
          <w:rFonts w:ascii="Arial" w:hAnsi="Arial" w:cs="Arial"/>
          <w:lang w:val="sq-AL"/>
        </w:rPr>
      </w:pPr>
    </w:p>
    <w:p w14:paraId="3E393712" w14:textId="77777777" w:rsidR="00E62109" w:rsidRDefault="00E62109" w:rsidP="00C232D7">
      <w:pPr>
        <w:spacing w:before="120" w:after="120" w:line="360" w:lineRule="auto"/>
        <w:rPr>
          <w:rFonts w:ascii="Arial" w:hAnsi="Arial" w:cs="Arial"/>
          <w:lang w:val="sq-AL"/>
        </w:rPr>
      </w:pPr>
    </w:p>
    <w:p w14:paraId="340285E1" w14:textId="77777777" w:rsidR="00E62109" w:rsidRDefault="00E62109" w:rsidP="00C232D7">
      <w:pPr>
        <w:spacing w:before="120" w:after="120" w:line="360" w:lineRule="auto"/>
        <w:rPr>
          <w:rFonts w:ascii="Arial" w:hAnsi="Arial" w:cs="Arial"/>
          <w:lang w:val="sq-AL"/>
        </w:rPr>
      </w:pPr>
    </w:p>
    <w:p w14:paraId="5C0F4BAD" w14:textId="77777777" w:rsidR="00E62109" w:rsidRDefault="00E62109" w:rsidP="00C232D7">
      <w:pPr>
        <w:pStyle w:val="Caption"/>
        <w:rPr>
          <w:rFonts w:ascii="Arial" w:hAnsi="Arial" w:cs="Arial"/>
          <w:b w:val="0"/>
          <w:bCs w:val="0"/>
          <w:color w:val="auto"/>
          <w:sz w:val="20"/>
          <w:szCs w:val="20"/>
          <w:lang w:val="sq-AL"/>
        </w:rPr>
      </w:pPr>
      <w:bookmarkStart w:id="716" w:name="_Toc189515598"/>
      <w:bookmarkStart w:id="717" w:name="_Toc190160701"/>
      <w:bookmarkStart w:id="718" w:name="_Toc44934089"/>
      <w:bookmarkStart w:id="719" w:name="_Toc44934031"/>
      <w:bookmarkStart w:id="720" w:name="_Toc53574916"/>
    </w:p>
    <w:p w14:paraId="31ADAA73" w14:textId="4C5453C8" w:rsidR="00C232D7" w:rsidRPr="00B85793" w:rsidRDefault="00C232D7" w:rsidP="00C232D7">
      <w:pPr>
        <w:pStyle w:val="Caption"/>
        <w:rPr>
          <w:rFonts w:ascii="Arial" w:hAnsi="Arial" w:cs="Arial"/>
          <w:b w:val="0"/>
          <w:szCs w:val="20"/>
          <w:lang w:val="sq-AL"/>
        </w:rPr>
      </w:pPr>
      <w:r w:rsidRPr="00245B58">
        <w:rPr>
          <w:rFonts w:ascii="Arial" w:hAnsi="Arial" w:cs="Arial"/>
          <w:b w:val="0"/>
          <w:szCs w:val="20"/>
          <w:lang w:val="de-DE"/>
        </w:rPr>
        <w:lastRenderedPageBreak/>
        <w:t xml:space="preserve">Tabela </w:t>
      </w:r>
      <w:r w:rsidRPr="00B85793">
        <w:rPr>
          <w:rFonts w:ascii="Arial" w:hAnsi="Arial" w:cs="Arial"/>
          <w:b w:val="0"/>
          <w:szCs w:val="20"/>
        </w:rPr>
        <w:fldChar w:fldCharType="begin"/>
      </w:r>
      <w:r w:rsidRPr="00245B58">
        <w:rPr>
          <w:rFonts w:ascii="Arial" w:hAnsi="Arial" w:cs="Arial"/>
          <w:b w:val="0"/>
          <w:szCs w:val="20"/>
          <w:lang w:val="de-DE"/>
        </w:rPr>
        <w:instrText xml:space="preserve"> SEQ Tabela \* ARABIC </w:instrText>
      </w:r>
      <w:r w:rsidRPr="00B85793">
        <w:rPr>
          <w:rFonts w:ascii="Arial" w:hAnsi="Arial" w:cs="Arial"/>
          <w:b w:val="0"/>
          <w:szCs w:val="20"/>
        </w:rPr>
        <w:fldChar w:fldCharType="separate"/>
      </w:r>
      <w:r w:rsidR="007274DA">
        <w:rPr>
          <w:rFonts w:ascii="Arial" w:hAnsi="Arial" w:cs="Arial"/>
          <w:b w:val="0"/>
          <w:noProof/>
          <w:szCs w:val="20"/>
          <w:lang w:val="de-DE"/>
        </w:rPr>
        <w:t>11</w:t>
      </w:r>
      <w:r w:rsidRPr="00B85793">
        <w:rPr>
          <w:rFonts w:ascii="Arial" w:hAnsi="Arial" w:cs="Arial"/>
          <w:b w:val="0"/>
          <w:szCs w:val="20"/>
        </w:rPr>
        <w:fldChar w:fldCharType="end"/>
      </w:r>
      <w:r w:rsidRPr="00B85793">
        <w:rPr>
          <w:rFonts w:ascii="Arial" w:hAnsi="Arial" w:cs="Arial"/>
          <w:b w:val="0"/>
          <w:szCs w:val="20"/>
          <w:lang w:val="sq-AL"/>
        </w:rPr>
        <w:t xml:space="preserve"> Generisanje specijalnih frakcija, 2021</w:t>
      </w:r>
      <w:bookmarkEnd w:id="716"/>
      <w:bookmarkEnd w:id="717"/>
      <w:r w:rsidR="00CE41F3" w:rsidRPr="00B85793">
        <w:rPr>
          <w:rFonts w:ascii="Arial" w:hAnsi="Arial" w:cs="Arial"/>
          <w:b w:val="0"/>
          <w:szCs w:val="20"/>
          <w:lang w:val="sq-AL"/>
        </w:rPr>
        <w:t>. god</w:t>
      </w:r>
      <w:r w:rsidR="001E1997" w:rsidRPr="00B85793">
        <w:rPr>
          <w:rFonts w:ascii="Arial" w:hAnsi="Arial" w:cs="Arial"/>
          <w:b w:val="0"/>
          <w:szCs w:val="20"/>
          <w:lang w:val="sq-AL"/>
        </w:rPr>
        <w:t>ina</w:t>
      </w:r>
    </w:p>
    <w:tbl>
      <w:tblPr>
        <w:tblW w:w="8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7"/>
        <w:gridCol w:w="1778"/>
        <w:gridCol w:w="1800"/>
      </w:tblGrid>
      <w:tr w:rsidR="00C232D7" w:rsidRPr="002A6F4E" w14:paraId="764A04DB" w14:textId="77777777" w:rsidTr="00C232D7">
        <w:trPr>
          <w:trHeight w:val="315"/>
          <w:tblHeader/>
          <w:jc w:val="center"/>
        </w:trPr>
        <w:tc>
          <w:tcPr>
            <w:tcW w:w="5057" w:type="dxa"/>
            <w:shd w:val="clear" w:color="auto" w:fill="D9D9D9" w:themeFill="background1" w:themeFillShade="D9"/>
          </w:tcPr>
          <w:bookmarkEnd w:id="718"/>
          <w:bookmarkEnd w:id="719"/>
          <w:bookmarkEnd w:id="720"/>
          <w:p w14:paraId="6E70D2E5" w14:textId="77777777" w:rsidR="00C232D7" w:rsidRPr="00245B58" w:rsidRDefault="00C232D7" w:rsidP="00C232D7">
            <w:pPr>
              <w:spacing w:before="40" w:after="40" w:line="360" w:lineRule="auto"/>
              <w:rPr>
                <w:rFonts w:ascii="Arial" w:hAnsi="Arial" w:cs="Arial"/>
                <w:b/>
                <w:color w:val="000000"/>
                <w:sz w:val="18"/>
                <w:szCs w:val="18"/>
                <w:lang w:val="sq-AL"/>
              </w:rPr>
            </w:pPr>
            <w:r w:rsidRPr="00245B58">
              <w:rPr>
                <w:rFonts w:ascii="Arial" w:hAnsi="Arial" w:cs="Arial"/>
                <w:b/>
                <w:sz w:val="18"/>
                <w:szCs w:val="18"/>
                <w:lang w:val="sq-AL"/>
              </w:rPr>
              <w:t>Frakcija otpada</w:t>
            </w:r>
          </w:p>
        </w:tc>
        <w:tc>
          <w:tcPr>
            <w:tcW w:w="1778" w:type="dxa"/>
            <w:shd w:val="clear" w:color="auto" w:fill="D9D9D9" w:themeFill="background1" w:themeFillShade="D9"/>
          </w:tcPr>
          <w:p w14:paraId="79578237" w14:textId="4C9EA3BF" w:rsidR="00C232D7" w:rsidRPr="00245B58" w:rsidRDefault="00C232D7" w:rsidP="00C232D7">
            <w:pPr>
              <w:spacing w:before="40" w:after="40" w:line="360" w:lineRule="auto"/>
              <w:rPr>
                <w:rFonts w:ascii="Arial" w:hAnsi="Arial" w:cs="Arial"/>
                <w:b/>
                <w:color w:val="000000"/>
                <w:sz w:val="18"/>
                <w:szCs w:val="18"/>
                <w:lang w:val="sq-AL"/>
              </w:rPr>
            </w:pPr>
            <w:r w:rsidRPr="00245B58">
              <w:rPr>
                <w:rFonts w:ascii="Arial" w:hAnsi="Arial" w:cs="Arial"/>
                <w:b/>
                <w:color w:val="000000"/>
                <w:sz w:val="18"/>
                <w:szCs w:val="18"/>
                <w:lang w:val="sq-AL"/>
              </w:rPr>
              <w:t xml:space="preserve">t/god </w:t>
            </w:r>
          </w:p>
        </w:tc>
        <w:tc>
          <w:tcPr>
            <w:tcW w:w="1800" w:type="dxa"/>
            <w:shd w:val="clear" w:color="auto" w:fill="D9D9D9" w:themeFill="background1" w:themeFillShade="D9"/>
          </w:tcPr>
          <w:p w14:paraId="2D2B6EE5" w14:textId="77777777" w:rsidR="00C232D7" w:rsidRPr="00245B58" w:rsidRDefault="00C232D7" w:rsidP="00C232D7">
            <w:pPr>
              <w:spacing w:before="40" w:after="40" w:line="360" w:lineRule="auto"/>
              <w:rPr>
                <w:rFonts w:ascii="Arial" w:hAnsi="Arial" w:cs="Arial"/>
                <w:b/>
                <w:color w:val="000000"/>
                <w:sz w:val="18"/>
                <w:szCs w:val="18"/>
                <w:lang w:val="sq-AL"/>
              </w:rPr>
            </w:pPr>
            <w:r w:rsidRPr="00245B58">
              <w:rPr>
                <w:rFonts w:ascii="Arial" w:hAnsi="Arial" w:cs="Arial"/>
                <w:b/>
                <w:color w:val="000000"/>
                <w:sz w:val="18"/>
                <w:szCs w:val="18"/>
                <w:lang w:val="sq-AL"/>
              </w:rPr>
              <w:t>Kg/po glavi stanovnika godišnje</w:t>
            </w:r>
          </w:p>
        </w:tc>
      </w:tr>
      <w:tr w:rsidR="00C232D7" w:rsidRPr="002A6F4E" w14:paraId="0B73FF46" w14:textId="77777777" w:rsidTr="00C232D7">
        <w:trPr>
          <w:trHeight w:val="315"/>
          <w:jc w:val="center"/>
        </w:trPr>
        <w:tc>
          <w:tcPr>
            <w:tcW w:w="5057" w:type="dxa"/>
            <w:vAlign w:val="center"/>
          </w:tcPr>
          <w:p w14:paraId="10A93235" w14:textId="77777777" w:rsidR="00C232D7" w:rsidRPr="00245B58" w:rsidRDefault="00C232D7" w:rsidP="00C232D7">
            <w:pPr>
              <w:spacing w:before="40" w:after="40" w:line="360" w:lineRule="auto"/>
              <w:rPr>
                <w:rFonts w:ascii="Arial" w:hAnsi="Arial" w:cs="Arial"/>
                <w:b/>
                <w:bCs/>
                <w:sz w:val="18"/>
                <w:szCs w:val="18"/>
                <w:lang w:val="sq-AL"/>
              </w:rPr>
            </w:pPr>
            <w:r w:rsidRPr="00245B58">
              <w:rPr>
                <w:rFonts w:ascii="Arial" w:hAnsi="Arial" w:cs="Arial"/>
                <w:b/>
                <w:bCs/>
                <w:color w:val="000000"/>
                <w:sz w:val="18"/>
                <w:szCs w:val="18"/>
                <w:lang w:val="sq-AL"/>
              </w:rPr>
              <w:t>Biorazgradivi otpad</w:t>
            </w:r>
          </w:p>
        </w:tc>
        <w:tc>
          <w:tcPr>
            <w:tcW w:w="1778" w:type="dxa"/>
            <w:vAlign w:val="center"/>
          </w:tcPr>
          <w:p w14:paraId="45F7DD6A" w14:textId="77777777" w:rsidR="00C232D7" w:rsidRPr="00245B58" w:rsidRDefault="00C232D7" w:rsidP="00C232D7">
            <w:pPr>
              <w:spacing w:before="40" w:after="40" w:line="360" w:lineRule="auto"/>
              <w:rPr>
                <w:rFonts w:ascii="Arial" w:hAnsi="Arial" w:cs="Arial"/>
                <w:b/>
                <w:bCs/>
                <w:sz w:val="18"/>
                <w:szCs w:val="18"/>
                <w:highlight w:val="yellow"/>
                <w:lang w:val="sq-AL"/>
              </w:rPr>
            </w:pPr>
            <w:r w:rsidRPr="00245B58">
              <w:rPr>
                <w:rFonts w:ascii="Arial" w:hAnsi="Arial" w:cs="Arial"/>
                <w:b/>
                <w:bCs/>
                <w:color w:val="000000"/>
                <w:sz w:val="18"/>
                <w:szCs w:val="18"/>
              </w:rPr>
              <w:t>189.650</w:t>
            </w:r>
          </w:p>
        </w:tc>
        <w:tc>
          <w:tcPr>
            <w:tcW w:w="1800" w:type="dxa"/>
            <w:vAlign w:val="center"/>
          </w:tcPr>
          <w:p w14:paraId="50F61442" w14:textId="77777777" w:rsidR="00C232D7" w:rsidRPr="00245B58" w:rsidRDefault="00C232D7" w:rsidP="00C232D7">
            <w:pPr>
              <w:spacing w:before="40" w:after="40" w:line="360" w:lineRule="auto"/>
              <w:rPr>
                <w:rFonts w:ascii="Arial" w:hAnsi="Arial" w:cs="Arial"/>
                <w:b/>
                <w:bCs/>
                <w:color w:val="000000"/>
                <w:sz w:val="18"/>
                <w:szCs w:val="18"/>
                <w:highlight w:val="yellow"/>
                <w:lang w:val="sq-AL"/>
              </w:rPr>
            </w:pPr>
            <w:r w:rsidRPr="00245B58">
              <w:rPr>
                <w:rFonts w:ascii="Arial" w:hAnsi="Arial" w:cs="Arial"/>
                <w:b/>
                <w:bCs/>
                <w:color w:val="000000"/>
                <w:sz w:val="18"/>
                <w:szCs w:val="18"/>
              </w:rPr>
              <w:t>287.01</w:t>
            </w:r>
          </w:p>
        </w:tc>
      </w:tr>
      <w:tr w:rsidR="00C232D7" w:rsidRPr="002A6F4E" w14:paraId="000B26A8" w14:textId="77777777" w:rsidTr="00C232D7">
        <w:trPr>
          <w:trHeight w:val="315"/>
          <w:jc w:val="center"/>
        </w:trPr>
        <w:tc>
          <w:tcPr>
            <w:tcW w:w="5057" w:type="dxa"/>
            <w:vAlign w:val="center"/>
          </w:tcPr>
          <w:p w14:paraId="7C14C4FE" w14:textId="77777777" w:rsidR="00C232D7" w:rsidRPr="00245B58" w:rsidRDefault="00C232D7" w:rsidP="00C232D7">
            <w:pPr>
              <w:spacing w:before="40" w:after="40" w:line="360" w:lineRule="auto"/>
              <w:rPr>
                <w:rFonts w:ascii="Arial" w:hAnsi="Arial" w:cs="Arial"/>
                <w:color w:val="000000"/>
                <w:sz w:val="18"/>
                <w:szCs w:val="18"/>
                <w:lang w:val="sq-AL"/>
              </w:rPr>
            </w:pPr>
            <w:r w:rsidRPr="00245B58">
              <w:rPr>
                <w:rFonts w:ascii="Arial" w:hAnsi="Arial" w:cs="Arial"/>
                <w:color w:val="000000"/>
                <w:sz w:val="18"/>
                <w:szCs w:val="18"/>
                <w:lang w:val="sq-AL"/>
              </w:rPr>
              <w:t>Organski otpad</w:t>
            </w:r>
          </w:p>
        </w:tc>
        <w:tc>
          <w:tcPr>
            <w:tcW w:w="1778" w:type="dxa"/>
            <w:vAlign w:val="center"/>
          </w:tcPr>
          <w:p w14:paraId="43D636B0" w14:textId="77777777" w:rsidR="00C232D7" w:rsidRPr="00245B58" w:rsidRDefault="00C232D7" w:rsidP="00C232D7">
            <w:pPr>
              <w:spacing w:before="40" w:after="40" w:line="360" w:lineRule="auto"/>
              <w:rPr>
                <w:rFonts w:ascii="Arial" w:hAnsi="Arial" w:cs="Arial"/>
                <w:sz w:val="18"/>
                <w:szCs w:val="18"/>
                <w:highlight w:val="yellow"/>
                <w:lang w:val="sq-AL"/>
              </w:rPr>
            </w:pPr>
            <w:r w:rsidRPr="00245B58">
              <w:rPr>
                <w:rFonts w:ascii="Arial" w:hAnsi="Arial" w:cs="Arial"/>
                <w:color w:val="000000"/>
                <w:sz w:val="18"/>
                <w:szCs w:val="18"/>
              </w:rPr>
              <w:t>132.447</w:t>
            </w:r>
          </w:p>
        </w:tc>
        <w:tc>
          <w:tcPr>
            <w:tcW w:w="1800" w:type="dxa"/>
            <w:vAlign w:val="center"/>
          </w:tcPr>
          <w:p w14:paraId="0BFCE5DE"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200.44</w:t>
            </w:r>
          </w:p>
        </w:tc>
      </w:tr>
      <w:tr w:rsidR="00C232D7" w:rsidRPr="002A6F4E" w14:paraId="024C271D" w14:textId="77777777" w:rsidTr="00C232D7">
        <w:trPr>
          <w:trHeight w:val="315"/>
          <w:jc w:val="center"/>
        </w:trPr>
        <w:tc>
          <w:tcPr>
            <w:tcW w:w="5057" w:type="dxa"/>
            <w:vAlign w:val="center"/>
          </w:tcPr>
          <w:p w14:paraId="46D6A691" w14:textId="77777777" w:rsidR="00C232D7" w:rsidRPr="00245B58" w:rsidRDefault="00C232D7" w:rsidP="00C232D7">
            <w:pPr>
              <w:spacing w:before="40" w:after="40" w:line="360" w:lineRule="auto"/>
              <w:rPr>
                <w:rFonts w:ascii="Arial" w:hAnsi="Arial" w:cs="Arial"/>
                <w:sz w:val="18"/>
                <w:szCs w:val="18"/>
                <w:lang w:val="sq-AL"/>
              </w:rPr>
            </w:pPr>
            <w:r w:rsidRPr="00245B58">
              <w:rPr>
                <w:rFonts w:ascii="Arial" w:hAnsi="Arial" w:cs="Arial"/>
                <w:sz w:val="18"/>
                <w:szCs w:val="18"/>
                <w:lang w:val="sq-AL"/>
              </w:rPr>
              <w:t>Papir/karton</w:t>
            </w:r>
          </w:p>
        </w:tc>
        <w:tc>
          <w:tcPr>
            <w:tcW w:w="1778" w:type="dxa"/>
            <w:vAlign w:val="center"/>
          </w:tcPr>
          <w:p w14:paraId="33C0D09C" w14:textId="77777777" w:rsidR="00C232D7" w:rsidRPr="00245B58" w:rsidRDefault="00C232D7" w:rsidP="00C232D7">
            <w:pPr>
              <w:spacing w:before="40" w:after="40" w:line="360" w:lineRule="auto"/>
              <w:rPr>
                <w:rFonts w:ascii="Arial" w:hAnsi="Arial" w:cs="Arial"/>
                <w:sz w:val="18"/>
                <w:szCs w:val="18"/>
                <w:highlight w:val="yellow"/>
                <w:lang w:val="sq-AL"/>
              </w:rPr>
            </w:pPr>
            <w:r w:rsidRPr="00245B58">
              <w:rPr>
                <w:rFonts w:ascii="Arial" w:hAnsi="Arial" w:cs="Arial"/>
                <w:color w:val="000000"/>
                <w:sz w:val="18"/>
                <w:szCs w:val="18"/>
              </w:rPr>
              <w:t>49,024</w:t>
            </w:r>
          </w:p>
        </w:tc>
        <w:tc>
          <w:tcPr>
            <w:tcW w:w="1800" w:type="dxa"/>
            <w:vAlign w:val="center"/>
          </w:tcPr>
          <w:p w14:paraId="070FC02D"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74.19</w:t>
            </w:r>
          </w:p>
        </w:tc>
      </w:tr>
      <w:tr w:rsidR="00C232D7" w:rsidRPr="002A6F4E" w14:paraId="640F0B7D" w14:textId="77777777" w:rsidTr="00C232D7">
        <w:trPr>
          <w:trHeight w:val="315"/>
          <w:jc w:val="center"/>
        </w:trPr>
        <w:tc>
          <w:tcPr>
            <w:tcW w:w="5057" w:type="dxa"/>
            <w:vAlign w:val="center"/>
          </w:tcPr>
          <w:p w14:paraId="3E852FD1" w14:textId="77777777" w:rsidR="00C232D7" w:rsidRPr="00245B58" w:rsidRDefault="00C232D7" w:rsidP="00C232D7">
            <w:pPr>
              <w:spacing w:before="40" w:after="40" w:line="360" w:lineRule="auto"/>
              <w:rPr>
                <w:rFonts w:ascii="Arial" w:hAnsi="Arial" w:cs="Arial"/>
                <w:sz w:val="18"/>
                <w:szCs w:val="18"/>
                <w:lang w:val="sq-AL"/>
              </w:rPr>
            </w:pPr>
            <w:r w:rsidRPr="00245B58">
              <w:rPr>
                <w:rFonts w:ascii="Arial" w:hAnsi="Arial" w:cs="Arial"/>
                <w:sz w:val="18"/>
                <w:szCs w:val="18"/>
                <w:lang w:val="sq-AL"/>
              </w:rPr>
              <w:t>Drvo</w:t>
            </w:r>
          </w:p>
        </w:tc>
        <w:tc>
          <w:tcPr>
            <w:tcW w:w="1778" w:type="dxa"/>
            <w:vAlign w:val="center"/>
          </w:tcPr>
          <w:p w14:paraId="16884C2F"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8,179</w:t>
            </w:r>
          </w:p>
        </w:tc>
        <w:tc>
          <w:tcPr>
            <w:tcW w:w="1800" w:type="dxa"/>
            <w:vAlign w:val="center"/>
          </w:tcPr>
          <w:p w14:paraId="05DF56BC"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12.38</w:t>
            </w:r>
          </w:p>
        </w:tc>
      </w:tr>
      <w:tr w:rsidR="00C232D7" w:rsidRPr="002A6F4E" w14:paraId="40190150" w14:textId="77777777" w:rsidTr="00C232D7">
        <w:trPr>
          <w:trHeight w:val="315"/>
          <w:jc w:val="center"/>
        </w:trPr>
        <w:tc>
          <w:tcPr>
            <w:tcW w:w="5057" w:type="dxa"/>
            <w:vAlign w:val="center"/>
          </w:tcPr>
          <w:p w14:paraId="3038A629" w14:textId="77777777" w:rsidR="00C232D7" w:rsidRPr="00245B58" w:rsidRDefault="00C232D7" w:rsidP="00C232D7">
            <w:pPr>
              <w:spacing w:before="40" w:after="40" w:line="360" w:lineRule="auto"/>
              <w:rPr>
                <w:rFonts w:ascii="Arial" w:hAnsi="Arial" w:cs="Arial"/>
                <w:b/>
                <w:bCs/>
                <w:sz w:val="18"/>
                <w:szCs w:val="18"/>
                <w:lang w:val="sq-AL"/>
              </w:rPr>
            </w:pPr>
            <w:r w:rsidRPr="00245B58">
              <w:rPr>
                <w:rFonts w:ascii="Arial" w:hAnsi="Arial" w:cs="Arial"/>
                <w:b/>
                <w:bCs/>
                <w:color w:val="000000"/>
                <w:sz w:val="18"/>
                <w:szCs w:val="18"/>
                <w:lang w:val="sq-AL"/>
              </w:rPr>
              <w:t>Reciklažni otpad</w:t>
            </w:r>
          </w:p>
        </w:tc>
        <w:tc>
          <w:tcPr>
            <w:tcW w:w="1778" w:type="dxa"/>
            <w:vAlign w:val="center"/>
          </w:tcPr>
          <w:p w14:paraId="084B2E04" w14:textId="77777777" w:rsidR="00C232D7" w:rsidRPr="00245B58" w:rsidRDefault="00C232D7" w:rsidP="00C232D7">
            <w:pPr>
              <w:spacing w:before="40" w:after="40" w:line="360" w:lineRule="auto"/>
              <w:rPr>
                <w:rFonts w:ascii="Arial" w:hAnsi="Arial" w:cs="Arial"/>
                <w:b/>
                <w:bCs/>
                <w:sz w:val="18"/>
                <w:szCs w:val="18"/>
                <w:highlight w:val="yellow"/>
                <w:lang w:val="sq-AL"/>
              </w:rPr>
            </w:pPr>
            <w:r w:rsidRPr="00245B58">
              <w:rPr>
                <w:rFonts w:ascii="Arial" w:hAnsi="Arial" w:cs="Arial"/>
                <w:b/>
                <w:bCs/>
                <w:color w:val="000000"/>
                <w:sz w:val="18"/>
                <w:szCs w:val="18"/>
              </w:rPr>
              <w:t>144,837</w:t>
            </w:r>
          </w:p>
        </w:tc>
        <w:tc>
          <w:tcPr>
            <w:tcW w:w="1800" w:type="dxa"/>
            <w:vAlign w:val="center"/>
          </w:tcPr>
          <w:p w14:paraId="47310EFE" w14:textId="77777777" w:rsidR="00C232D7" w:rsidRPr="00245B58" w:rsidRDefault="00C232D7" w:rsidP="00C232D7">
            <w:pPr>
              <w:spacing w:before="40" w:after="40" w:line="360" w:lineRule="auto"/>
              <w:rPr>
                <w:rFonts w:ascii="Arial" w:hAnsi="Arial" w:cs="Arial"/>
                <w:b/>
                <w:bCs/>
                <w:color w:val="000000"/>
                <w:sz w:val="18"/>
                <w:szCs w:val="18"/>
                <w:highlight w:val="yellow"/>
                <w:lang w:val="sq-AL"/>
              </w:rPr>
            </w:pPr>
            <w:r w:rsidRPr="00245B58">
              <w:rPr>
                <w:rFonts w:ascii="Arial" w:hAnsi="Arial" w:cs="Arial"/>
                <w:b/>
                <w:bCs/>
                <w:color w:val="000000"/>
                <w:sz w:val="18"/>
                <w:szCs w:val="18"/>
              </w:rPr>
              <w:t>219.19</w:t>
            </w:r>
          </w:p>
        </w:tc>
      </w:tr>
      <w:tr w:rsidR="00C232D7" w:rsidRPr="002A6F4E" w14:paraId="37F68747" w14:textId="77777777" w:rsidTr="00C232D7">
        <w:trPr>
          <w:trHeight w:val="315"/>
          <w:jc w:val="center"/>
        </w:trPr>
        <w:tc>
          <w:tcPr>
            <w:tcW w:w="5057" w:type="dxa"/>
            <w:vAlign w:val="center"/>
          </w:tcPr>
          <w:p w14:paraId="1A542824" w14:textId="77777777" w:rsidR="00C232D7" w:rsidRPr="00245B58" w:rsidRDefault="00C232D7" w:rsidP="00C232D7">
            <w:pPr>
              <w:spacing w:before="40" w:after="40" w:line="360" w:lineRule="auto"/>
              <w:rPr>
                <w:rFonts w:ascii="Arial" w:hAnsi="Arial" w:cs="Arial"/>
                <w:sz w:val="18"/>
                <w:szCs w:val="18"/>
                <w:lang w:val="sq-AL"/>
              </w:rPr>
            </w:pPr>
            <w:r w:rsidRPr="00245B58">
              <w:rPr>
                <w:rFonts w:ascii="Arial" w:hAnsi="Arial" w:cs="Arial"/>
                <w:color w:val="000000"/>
                <w:sz w:val="18"/>
                <w:szCs w:val="18"/>
                <w:lang w:val="sq-AL"/>
              </w:rPr>
              <w:t>Plastika</w:t>
            </w:r>
          </w:p>
        </w:tc>
        <w:tc>
          <w:tcPr>
            <w:tcW w:w="1778" w:type="dxa"/>
            <w:vAlign w:val="center"/>
          </w:tcPr>
          <w:p w14:paraId="2994AAE5" w14:textId="77777777" w:rsidR="00C232D7" w:rsidRPr="00245B58" w:rsidRDefault="00C232D7" w:rsidP="00C232D7">
            <w:pPr>
              <w:spacing w:before="40" w:after="40" w:line="360" w:lineRule="auto"/>
              <w:rPr>
                <w:rFonts w:ascii="Arial" w:hAnsi="Arial" w:cs="Arial"/>
                <w:sz w:val="18"/>
                <w:szCs w:val="18"/>
                <w:highlight w:val="yellow"/>
                <w:lang w:val="sq-AL"/>
              </w:rPr>
            </w:pPr>
            <w:r w:rsidRPr="00245B58">
              <w:rPr>
                <w:rFonts w:ascii="Arial" w:hAnsi="Arial" w:cs="Arial"/>
                <w:color w:val="000000"/>
                <w:sz w:val="18"/>
                <w:szCs w:val="18"/>
              </w:rPr>
              <w:t>49,986</w:t>
            </w:r>
          </w:p>
        </w:tc>
        <w:tc>
          <w:tcPr>
            <w:tcW w:w="1800" w:type="dxa"/>
            <w:vAlign w:val="center"/>
          </w:tcPr>
          <w:p w14:paraId="476CE769"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75.65</w:t>
            </w:r>
          </w:p>
        </w:tc>
      </w:tr>
      <w:tr w:rsidR="00C232D7" w:rsidRPr="002A6F4E" w14:paraId="68BFAB6D" w14:textId="77777777" w:rsidTr="00C232D7">
        <w:trPr>
          <w:trHeight w:val="315"/>
          <w:jc w:val="center"/>
        </w:trPr>
        <w:tc>
          <w:tcPr>
            <w:tcW w:w="5057" w:type="dxa"/>
            <w:vAlign w:val="center"/>
          </w:tcPr>
          <w:p w14:paraId="07B08A5C" w14:textId="77777777" w:rsidR="00C232D7" w:rsidRPr="00245B58" w:rsidRDefault="00C232D7" w:rsidP="00C232D7">
            <w:pPr>
              <w:spacing w:before="40" w:after="40" w:line="360" w:lineRule="auto"/>
              <w:rPr>
                <w:rFonts w:ascii="Arial" w:hAnsi="Arial" w:cs="Arial"/>
                <w:sz w:val="18"/>
                <w:szCs w:val="18"/>
                <w:lang w:val="sq-AL"/>
              </w:rPr>
            </w:pPr>
            <w:r w:rsidRPr="00245B58">
              <w:rPr>
                <w:rFonts w:ascii="Arial" w:hAnsi="Arial" w:cs="Arial"/>
                <w:sz w:val="18"/>
                <w:szCs w:val="18"/>
                <w:lang w:val="sq-AL"/>
              </w:rPr>
              <w:t>Papir/karton</w:t>
            </w:r>
          </w:p>
        </w:tc>
        <w:tc>
          <w:tcPr>
            <w:tcW w:w="1778" w:type="dxa"/>
            <w:vAlign w:val="center"/>
          </w:tcPr>
          <w:p w14:paraId="1AB89D8D"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49,024</w:t>
            </w:r>
          </w:p>
        </w:tc>
        <w:tc>
          <w:tcPr>
            <w:tcW w:w="1800" w:type="dxa"/>
            <w:vAlign w:val="center"/>
          </w:tcPr>
          <w:p w14:paraId="3780F18E"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74.19</w:t>
            </w:r>
          </w:p>
        </w:tc>
      </w:tr>
      <w:tr w:rsidR="00C232D7" w:rsidRPr="002A6F4E" w14:paraId="76FDE9EC" w14:textId="77777777" w:rsidTr="00C232D7">
        <w:trPr>
          <w:trHeight w:val="315"/>
          <w:jc w:val="center"/>
        </w:trPr>
        <w:tc>
          <w:tcPr>
            <w:tcW w:w="5057" w:type="dxa"/>
          </w:tcPr>
          <w:p w14:paraId="1C206272" w14:textId="77777777" w:rsidR="00C232D7" w:rsidRPr="00245B58" w:rsidRDefault="00C232D7" w:rsidP="00C232D7">
            <w:pPr>
              <w:spacing w:before="40" w:after="40" w:line="360" w:lineRule="auto"/>
              <w:rPr>
                <w:rFonts w:ascii="Arial" w:hAnsi="Arial" w:cs="Arial"/>
                <w:sz w:val="18"/>
                <w:szCs w:val="18"/>
                <w:lang w:val="sq-AL"/>
              </w:rPr>
            </w:pPr>
            <w:r w:rsidRPr="00245B58">
              <w:rPr>
                <w:rFonts w:ascii="Arial" w:hAnsi="Arial" w:cs="Arial"/>
                <w:sz w:val="18"/>
                <w:szCs w:val="18"/>
                <w:lang w:val="sq-AL"/>
              </w:rPr>
              <w:t>Kompozitno pakovanje</w:t>
            </w:r>
          </w:p>
        </w:tc>
        <w:tc>
          <w:tcPr>
            <w:tcW w:w="1778" w:type="dxa"/>
            <w:vAlign w:val="center"/>
          </w:tcPr>
          <w:p w14:paraId="216D6DD5"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8,425</w:t>
            </w:r>
          </w:p>
        </w:tc>
        <w:tc>
          <w:tcPr>
            <w:tcW w:w="1800" w:type="dxa"/>
            <w:vAlign w:val="center"/>
          </w:tcPr>
          <w:p w14:paraId="7E1B439D"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12.74</w:t>
            </w:r>
          </w:p>
        </w:tc>
      </w:tr>
      <w:tr w:rsidR="00C232D7" w:rsidRPr="002A6F4E" w14:paraId="03B74129" w14:textId="77777777" w:rsidTr="00C232D7">
        <w:trPr>
          <w:trHeight w:val="315"/>
          <w:jc w:val="center"/>
        </w:trPr>
        <w:tc>
          <w:tcPr>
            <w:tcW w:w="5057" w:type="dxa"/>
          </w:tcPr>
          <w:p w14:paraId="060407BC" w14:textId="77777777" w:rsidR="00C232D7" w:rsidRPr="00245B58" w:rsidRDefault="00C232D7" w:rsidP="00C232D7">
            <w:pPr>
              <w:spacing w:before="40" w:after="40" w:line="360" w:lineRule="auto"/>
              <w:rPr>
                <w:rFonts w:ascii="Arial" w:hAnsi="Arial" w:cs="Arial"/>
                <w:sz w:val="18"/>
                <w:szCs w:val="18"/>
                <w:lang w:val="sq-AL"/>
              </w:rPr>
            </w:pPr>
            <w:r w:rsidRPr="00245B58">
              <w:rPr>
                <w:rFonts w:ascii="Arial" w:hAnsi="Arial" w:cs="Arial"/>
                <w:sz w:val="18"/>
                <w:szCs w:val="18"/>
                <w:lang w:val="sq-AL"/>
              </w:rPr>
              <w:t>Metali</w:t>
            </w:r>
          </w:p>
        </w:tc>
        <w:tc>
          <w:tcPr>
            <w:tcW w:w="1778" w:type="dxa"/>
            <w:vAlign w:val="center"/>
          </w:tcPr>
          <w:p w14:paraId="63A97AA8"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10,789</w:t>
            </w:r>
          </w:p>
        </w:tc>
        <w:tc>
          <w:tcPr>
            <w:tcW w:w="1800" w:type="dxa"/>
            <w:vAlign w:val="center"/>
          </w:tcPr>
          <w:p w14:paraId="77D3642E"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16.33</w:t>
            </w:r>
          </w:p>
        </w:tc>
      </w:tr>
      <w:tr w:rsidR="00C232D7" w:rsidRPr="002A6F4E" w14:paraId="3F78C69B" w14:textId="77777777" w:rsidTr="00C232D7">
        <w:trPr>
          <w:trHeight w:val="315"/>
          <w:jc w:val="center"/>
        </w:trPr>
        <w:tc>
          <w:tcPr>
            <w:tcW w:w="5057" w:type="dxa"/>
          </w:tcPr>
          <w:p w14:paraId="284B6C88" w14:textId="77777777" w:rsidR="00C232D7" w:rsidRPr="00245B58" w:rsidRDefault="00C232D7" w:rsidP="00C232D7">
            <w:pPr>
              <w:spacing w:before="40" w:after="40" w:line="360" w:lineRule="auto"/>
              <w:rPr>
                <w:rFonts w:ascii="Arial" w:hAnsi="Arial" w:cs="Arial"/>
                <w:sz w:val="18"/>
                <w:szCs w:val="18"/>
                <w:lang w:val="sq-AL"/>
              </w:rPr>
            </w:pPr>
            <w:r w:rsidRPr="00245B58">
              <w:rPr>
                <w:rFonts w:ascii="Arial" w:hAnsi="Arial" w:cs="Arial"/>
                <w:sz w:val="18"/>
                <w:szCs w:val="18"/>
                <w:lang w:val="sq-AL"/>
              </w:rPr>
              <w:t>Staklo</w:t>
            </w:r>
          </w:p>
        </w:tc>
        <w:tc>
          <w:tcPr>
            <w:tcW w:w="1778" w:type="dxa"/>
            <w:vAlign w:val="center"/>
          </w:tcPr>
          <w:p w14:paraId="708F5E71"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18,433</w:t>
            </w:r>
          </w:p>
        </w:tc>
        <w:tc>
          <w:tcPr>
            <w:tcW w:w="1800" w:type="dxa"/>
            <w:vAlign w:val="center"/>
          </w:tcPr>
          <w:p w14:paraId="4727085E"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27.90</w:t>
            </w:r>
          </w:p>
        </w:tc>
      </w:tr>
      <w:tr w:rsidR="00C232D7" w:rsidRPr="002A6F4E" w14:paraId="454041A4" w14:textId="77777777" w:rsidTr="00C232D7">
        <w:trPr>
          <w:trHeight w:val="315"/>
          <w:jc w:val="center"/>
        </w:trPr>
        <w:tc>
          <w:tcPr>
            <w:tcW w:w="5057" w:type="dxa"/>
          </w:tcPr>
          <w:p w14:paraId="1767F497" w14:textId="77777777" w:rsidR="00C232D7" w:rsidRPr="00245B58" w:rsidRDefault="00C232D7" w:rsidP="00C232D7">
            <w:pPr>
              <w:spacing w:before="40" w:after="40" w:line="360" w:lineRule="auto"/>
              <w:rPr>
                <w:rFonts w:ascii="Arial" w:hAnsi="Arial" w:cs="Arial"/>
                <w:sz w:val="18"/>
                <w:szCs w:val="18"/>
                <w:lang w:val="sq-AL"/>
              </w:rPr>
            </w:pPr>
            <w:r w:rsidRPr="00245B58">
              <w:rPr>
                <w:rFonts w:ascii="Arial" w:hAnsi="Arial" w:cs="Arial"/>
                <w:sz w:val="18"/>
                <w:szCs w:val="18"/>
                <w:lang w:val="sq-AL"/>
              </w:rPr>
              <w:t>Drvo</w:t>
            </w:r>
          </w:p>
        </w:tc>
        <w:tc>
          <w:tcPr>
            <w:tcW w:w="1778" w:type="dxa"/>
            <w:vAlign w:val="center"/>
          </w:tcPr>
          <w:p w14:paraId="0A1EF4E3"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8,180</w:t>
            </w:r>
          </w:p>
        </w:tc>
        <w:tc>
          <w:tcPr>
            <w:tcW w:w="1800" w:type="dxa"/>
            <w:vAlign w:val="center"/>
          </w:tcPr>
          <w:p w14:paraId="60A56C80"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12.38</w:t>
            </w:r>
          </w:p>
        </w:tc>
      </w:tr>
      <w:tr w:rsidR="00C232D7" w:rsidRPr="002A6F4E" w14:paraId="750CD170" w14:textId="77777777" w:rsidTr="00C232D7">
        <w:trPr>
          <w:trHeight w:val="315"/>
          <w:jc w:val="center"/>
        </w:trPr>
        <w:tc>
          <w:tcPr>
            <w:tcW w:w="5057" w:type="dxa"/>
            <w:vAlign w:val="center"/>
          </w:tcPr>
          <w:p w14:paraId="4D2313EF" w14:textId="2021050C" w:rsidR="00C232D7" w:rsidRPr="00245B58" w:rsidRDefault="00C232D7" w:rsidP="00C232D7">
            <w:pPr>
              <w:spacing w:before="40" w:after="40" w:line="360" w:lineRule="auto"/>
              <w:rPr>
                <w:rFonts w:ascii="Arial" w:hAnsi="Arial" w:cs="Arial"/>
                <w:b/>
                <w:bCs/>
                <w:sz w:val="18"/>
                <w:szCs w:val="18"/>
                <w:lang w:val="sq-AL"/>
              </w:rPr>
            </w:pPr>
            <w:r w:rsidRPr="00245B58">
              <w:rPr>
                <w:rFonts w:ascii="Arial" w:hAnsi="Arial" w:cs="Arial"/>
                <w:b/>
                <w:bCs/>
                <w:color w:val="000000"/>
                <w:sz w:val="18"/>
                <w:szCs w:val="18"/>
                <w:lang w:val="sq-AL"/>
              </w:rPr>
              <w:t xml:space="preserve">…od čega pakovanje </w:t>
            </w:r>
            <w:r w:rsidRPr="00245B58">
              <w:rPr>
                <w:rFonts w:ascii="Arial" w:hAnsi="Arial" w:cs="Arial"/>
                <w:b/>
                <w:bCs/>
                <w:color w:val="000000"/>
                <w:sz w:val="18"/>
                <w:szCs w:val="18"/>
              </w:rPr>
              <w:t>(iz domaćinstava, industrije i trgovine)</w:t>
            </w:r>
          </w:p>
        </w:tc>
        <w:tc>
          <w:tcPr>
            <w:tcW w:w="1778" w:type="dxa"/>
            <w:vAlign w:val="center"/>
          </w:tcPr>
          <w:p w14:paraId="55C08C1E" w14:textId="77777777" w:rsidR="00C232D7" w:rsidRPr="00245B58" w:rsidRDefault="00C232D7" w:rsidP="00C232D7">
            <w:pPr>
              <w:spacing w:before="40" w:after="40" w:line="360" w:lineRule="auto"/>
              <w:rPr>
                <w:rFonts w:ascii="Arial" w:hAnsi="Arial" w:cs="Arial"/>
                <w:b/>
                <w:bCs/>
                <w:sz w:val="18"/>
                <w:szCs w:val="18"/>
                <w:highlight w:val="yellow"/>
                <w:lang w:val="sq-AL"/>
              </w:rPr>
            </w:pPr>
            <w:r w:rsidRPr="00245B58">
              <w:rPr>
                <w:rFonts w:ascii="Arial" w:hAnsi="Arial" w:cs="Arial"/>
                <w:b/>
                <w:bCs/>
                <w:color w:val="000000"/>
                <w:sz w:val="18"/>
                <w:szCs w:val="18"/>
              </w:rPr>
              <w:t>84,638</w:t>
            </w:r>
          </w:p>
        </w:tc>
        <w:tc>
          <w:tcPr>
            <w:tcW w:w="1800" w:type="dxa"/>
            <w:vAlign w:val="center"/>
          </w:tcPr>
          <w:p w14:paraId="56CC4200" w14:textId="77777777" w:rsidR="00C232D7" w:rsidRPr="00245B58" w:rsidRDefault="00C232D7" w:rsidP="00C232D7">
            <w:pPr>
              <w:spacing w:before="40" w:after="40" w:line="360" w:lineRule="auto"/>
              <w:rPr>
                <w:rFonts w:ascii="Arial" w:hAnsi="Arial" w:cs="Arial"/>
                <w:b/>
                <w:bCs/>
                <w:color w:val="000000"/>
                <w:sz w:val="18"/>
                <w:szCs w:val="18"/>
                <w:highlight w:val="yellow"/>
                <w:lang w:val="sq-AL"/>
              </w:rPr>
            </w:pPr>
            <w:r w:rsidRPr="00245B58">
              <w:rPr>
                <w:rFonts w:ascii="Arial" w:hAnsi="Arial" w:cs="Arial"/>
                <w:b/>
                <w:bCs/>
                <w:color w:val="000000"/>
                <w:sz w:val="18"/>
                <w:szCs w:val="18"/>
              </w:rPr>
              <w:t>128.09</w:t>
            </w:r>
          </w:p>
        </w:tc>
      </w:tr>
      <w:tr w:rsidR="00C232D7" w:rsidRPr="002A6F4E" w14:paraId="6FDAAA32" w14:textId="77777777" w:rsidTr="00C232D7">
        <w:trPr>
          <w:trHeight w:val="315"/>
          <w:jc w:val="center"/>
        </w:trPr>
        <w:tc>
          <w:tcPr>
            <w:tcW w:w="5057" w:type="dxa"/>
            <w:vAlign w:val="center"/>
          </w:tcPr>
          <w:p w14:paraId="07CBB4EB" w14:textId="77777777" w:rsidR="00C232D7" w:rsidRPr="00245B58" w:rsidRDefault="00C232D7" w:rsidP="00C232D7">
            <w:pPr>
              <w:spacing w:before="40" w:after="40" w:line="360" w:lineRule="auto"/>
              <w:rPr>
                <w:rFonts w:ascii="Arial" w:hAnsi="Arial" w:cs="Arial"/>
                <w:sz w:val="18"/>
                <w:szCs w:val="18"/>
                <w:lang w:val="sq-AL"/>
              </w:rPr>
            </w:pPr>
            <w:r w:rsidRPr="00245B58">
              <w:rPr>
                <w:rFonts w:ascii="Arial" w:hAnsi="Arial" w:cs="Arial"/>
                <w:color w:val="000000"/>
                <w:sz w:val="18"/>
                <w:szCs w:val="18"/>
                <w:lang w:val="sq-AL"/>
              </w:rPr>
              <w:t>Plastika (70% ukupne plastike)</w:t>
            </w:r>
          </w:p>
        </w:tc>
        <w:tc>
          <w:tcPr>
            <w:tcW w:w="1778" w:type="dxa"/>
            <w:vAlign w:val="center"/>
          </w:tcPr>
          <w:p w14:paraId="2CE85F55"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29,992</w:t>
            </w:r>
          </w:p>
        </w:tc>
        <w:tc>
          <w:tcPr>
            <w:tcW w:w="1800" w:type="dxa"/>
            <w:vAlign w:val="center"/>
          </w:tcPr>
          <w:p w14:paraId="699E100D"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45.39</w:t>
            </w:r>
          </w:p>
        </w:tc>
      </w:tr>
      <w:tr w:rsidR="00C232D7" w:rsidRPr="002A6F4E" w14:paraId="77252D6A" w14:textId="77777777" w:rsidTr="00C232D7">
        <w:trPr>
          <w:trHeight w:val="315"/>
          <w:jc w:val="center"/>
        </w:trPr>
        <w:tc>
          <w:tcPr>
            <w:tcW w:w="5057" w:type="dxa"/>
          </w:tcPr>
          <w:p w14:paraId="32C03A73" w14:textId="77777777" w:rsidR="00C232D7" w:rsidRPr="00245B58" w:rsidRDefault="00C232D7" w:rsidP="00C232D7">
            <w:pPr>
              <w:spacing w:before="40" w:after="40" w:line="360" w:lineRule="auto"/>
              <w:rPr>
                <w:rFonts w:ascii="Arial" w:hAnsi="Arial" w:cs="Arial"/>
                <w:sz w:val="18"/>
                <w:szCs w:val="18"/>
                <w:lang w:val="sq-AL"/>
              </w:rPr>
            </w:pPr>
            <w:r w:rsidRPr="00245B58">
              <w:rPr>
                <w:rFonts w:ascii="Arial" w:hAnsi="Arial" w:cs="Arial"/>
                <w:sz w:val="18"/>
                <w:szCs w:val="18"/>
                <w:lang w:val="de-DE"/>
              </w:rPr>
              <w:t>Papir/karton (50% ukupnog papira/kartona)</w:t>
            </w:r>
          </w:p>
        </w:tc>
        <w:tc>
          <w:tcPr>
            <w:tcW w:w="1778" w:type="dxa"/>
            <w:vAlign w:val="center"/>
          </w:tcPr>
          <w:p w14:paraId="138F120A"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24,512</w:t>
            </w:r>
          </w:p>
        </w:tc>
        <w:tc>
          <w:tcPr>
            <w:tcW w:w="1800" w:type="dxa"/>
            <w:vAlign w:val="center"/>
          </w:tcPr>
          <w:p w14:paraId="72B3CF50"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37.10</w:t>
            </w:r>
          </w:p>
        </w:tc>
      </w:tr>
      <w:tr w:rsidR="00C232D7" w:rsidRPr="002A6F4E" w14:paraId="5C4ED449" w14:textId="77777777" w:rsidTr="00C232D7">
        <w:trPr>
          <w:trHeight w:val="315"/>
          <w:jc w:val="center"/>
        </w:trPr>
        <w:tc>
          <w:tcPr>
            <w:tcW w:w="5057" w:type="dxa"/>
          </w:tcPr>
          <w:p w14:paraId="684C375D" w14:textId="77777777" w:rsidR="00C232D7" w:rsidRPr="00245B58" w:rsidRDefault="00C232D7" w:rsidP="00C232D7">
            <w:pPr>
              <w:spacing w:before="40" w:after="40" w:line="360" w:lineRule="auto"/>
              <w:rPr>
                <w:rFonts w:ascii="Arial" w:hAnsi="Arial" w:cs="Arial"/>
                <w:sz w:val="18"/>
                <w:szCs w:val="18"/>
                <w:lang w:val="sq-AL"/>
              </w:rPr>
            </w:pPr>
            <w:r w:rsidRPr="00245B58">
              <w:rPr>
                <w:rFonts w:ascii="Arial" w:hAnsi="Arial" w:cs="Arial"/>
                <w:sz w:val="18"/>
                <w:szCs w:val="18"/>
              </w:rPr>
              <w:t>Kompozitno pakovanje (100%)</w:t>
            </w:r>
          </w:p>
        </w:tc>
        <w:tc>
          <w:tcPr>
            <w:tcW w:w="1778" w:type="dxa"/>
            <w:vAlign w:val="center"/>
          </w:tcPr>
          <w:p w14:paraId="4EF4CE5D"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8,425</w:t>
            </w:r>
          </w:p>
        </w:tc>
        <w:tc>
          <w:tcPr>
            <w:tcW w:w="1800" w:type="dxa"/>
            <w:vAlign w:val="center"/>
          </w:tcPr>
          <w:p w14:paraId="209DAEFD"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12.75</w:t>
            </w:r>
          </w:p>
        </w:tc>
      </w:tr>
      <w:tr w:rsidR="00C232D7" w:rsidRPr="002A6F4E" w14:paraId="6925CFF3" w14:textId="77777777" w:rsidTr="00C232D7">
        <w:trPr>
          <w:trHeight w:val="315"/>
          <w:jc w:val="center"/>
        </w:trPr>
        <w:tc>
          <w:tcPr>
            <w:tcW w:w="5057" w:type="dxa"/>
          </w:tcPr>
          <w:p w14:paraId="5732CD15" w14:textId="77777777" w:rsidR="00C232D7" w:rsidRPr="00245B58" w:rsidRDefault="00C232D7" w:rsidP="00C232D7">
            <w:pPr>
              <w:spacing w:before="40" w:after="40" w:line="360" w:lineRule="auto"/>
              <w:rPr>
                <w:rFonts w:ascii="Arial" w:hAnsi="Arial" w:cs="Arial"/>
                <w:sz w:val="18"/>
                <w:szCs w:val="18"/>
                <w:lang w:val="sq-AL"/>
              </w:rPr>
            </w:pPr>
            <w:r w:rsidRPr="00245B58">
              <w:rPr>
                <w:rFonts w:ascii="Arial" w:hAnsi="Arial" w:cs="Arial"/>
                <w:sz w:val="18"/>
                <w:szCs w:val="18"/>
              </w:rPr>
              <w:t>Metali (95% ukupnih metala)</w:t>
            </w:r>
          </w:p>
        </w:tc>
        <w:tc>
          <w:tcPr>
            <w:tcW w:w="1778" w:type="dxa"/>
            <w:vAlign w:val="center"/>
          </w:tcPr>
          <w:p w14:paraId="52F2934B"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8,092</w:t>
            </w:r>
          </w:p>
        </w:tc>
        <w:tc>
          <w:tcPr>
            <w:tcW w:w="1800" w:type="dxa"/>
            <w:vAlign w:val="center"/>
          </w:tcPr>
          <w:p w14:paraId="3F0976F8"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12.24</w:t>
            </w:r>
          </w:p>
        </w:tc>
      </w:tr>
      <w:tr w:rsidR="00C232D7" w:rsidRPr="002A6F4E" w14:paraId="1CBF0343" w14:textId="77777777" w:rsidTr="00C232D7">
        <w:trPr>
          <w:trHeight w:val="315"/>
          <w:jc w:val="center"/>
        </w:trPr>
        <w:tc>
          <w:tcPr>
            <w:tcW w:w="5057" w:type="dxa"/>
          </w:tcPr>
          <w:p w14:paraId="6AA77E88" w14:textId="77777777" w:rsidR="00C232D7" w:rsidRPr="00245B58" w:rsidRDefault="00C232D7" w:rsidP="00C232D7">
            <w:pPr>
              <w:spacing w:before="40" w:after="40" w:line="360" w:lineRule="auto"/>
              <w:rPr>
                <w:rFonts w:ascii="Arial" w:hAnsi="Arial" w:cs="Arial"/>
                <w:sz w:val="18"/>
                <w:szCs w:val="18"/>
                <w:lang w:val="sq-AL"/>
              </w:rPr>
            </w:pPr>
            <w:r w:rsidRPr="00245B58">
              <w:rPr>
                <w:rFonts w:ascii="Arial" w:hAnsi="Arial" w:cs="Arial"/>
                <w:sz w:val="18"/>
                <w:szCs w:val="18"/>
              </w:rPr>
              <w:t>Staklo (95% ukupnog stakla)</w:t>
            </w:r>
          </w:p>
        </w:tc>
        <w:tc>
          <w:tcPr>
            <w:tcW w:w="1778" w:type="dxa"/>
            <w:vAlign w:val="center"/>
          </w:tcPr>
          <w:p w14:paraId="36AE1EC5"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11,981</w:t>
            </w:r>
          </w:p>
        </w:tc>
        <w:tc>
          <w:tcPr>
            <w:tcW w:w="1800" w:type="dxa"/>
            <w:vAlign w:val="center"/>
          </w:tcPr>
          <w:p w14:paraId="50DF2C9A"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18.13</w:t>
            </w:r>
          </w:p>
        </w:tc>
      </w:tr>
      <w:tr w:rsidR="00C232D7" w:rsidRPr="002A6F4E" w14:paraId="2B7F1441" w14:textId="77777777" w:rsidTr="00C232D7">
        <w:trPr>
          <w:trHeight w:val="315"/>
          <w:jc w:val="center"/>
        </w:trPr>
        <w:tc>
          <w:tcPr>
            <w:tcW w:w="5057" w:type="dxa"/>
          </w:tcPr>
          <w:p w14:paraId="66ECE9B8" w14:textId="77777777" w:rsidR="00C232D7" w:rsidRPr="00245B58" w:rsidRDefault="00C232D7" w:rsidP="00C232D7">
            <w:pPr>
              <w:spacing w:before="40" w:after="40" w:line="360" w:lineRule="auto"/>
              <w:rPr>
                <w:rFonts w:ascii="Arial" w:hAnsi="Arial" w:cs="Arial"/>
                <w:sz w:val="18"/>
                <w:szCs w:val="18"/>
                <w:lang w:val="sq-AL"/>
              </w:rPr>
            </w:pPr>
            <w:r w:rsidRPr="00245B58">
              <w:rPr>
                <w:rFonts w:ascii="Arial" w:hAnsi="Arial" w:cs="Arial"/>
                <w:sz w:val="18"/>
                <w:szCs w:val="18"/>
              </w:rPr>
              <w:t>Drvo (20% ukupnog drveta)</w:t>
            </w:r>
          </w:p>
        </w:tc>
        <w:tc>
          <w:tcPr>
            <w:tcW w:w="1778" w:type="dxa"/>
            <w:vAlign w:val="center"/>
          </w:tcPr>
          <w:p w14:paraId="29CF2384"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1,636</w:t>
            </w:r>
          </w:p>
        </w:tc>
        <w:tc>
          <w:tcPr>
            <w:tcW w:w="1800" w:type="dxa"/>
            <w:vAlign w:val="center"/>
          </w:tcPr>
          <w:p w14:paraId="0A925978" w14:textId="77777777" w:rsidR="00C232D7" w:rsidRPr="00245B58" w:rsidRDefault="00C232D7" w:rsidP="00C232D7">
            <w:pPr>
              <w:spacing w:before="40" w:after="40" w:line="360" w:lineRule="auto"/>
              <w:rPr>
                <w:rFonts w:ascii="Arial" w:hAnsi="Arial" w:cs="Arial"/>
                <w:color w:val="000000"/>
                <w:sz w:val="18"/>
                <w:szCs w:val="18"/>
                <w:highlight w:val="yellow"/>
                <w:lang w:val="sq-AL"/>
              </w:rPr>
            </w:pPr>
            <w:r w:rsidRPr="00245B58">
              <w:rPr>
                <w:rFonts w:ascii="Arial" w:hAnsi="Arial" w:cs="Arial"/>
                <w:color w:val="000000"/>
                <w:sz w:val="18"/>
                <w:szCs w:val="18"/>
              </w:rPr>
              <w:t>2.48</w:t>
            </w:r>
          </w:p>
        </w:tc>
      </w:tr>
      <w:tr w:rsidR="00C232D7" w:rsidRPr="002A6F4E" w14:paraId="109F9719" w14:textId="77777777" w:rsidTr="00C232D7">
        <w:trPr>
          <w:trHeight w:val="315"/>
          <w:jc w:val="center"/>
        </w:trPr>
        <w:tc>
          <w:tcPr>
            <w:tcW w:w="5057" w:type="dxa"/>
            <w:vAlign w:val="center"/>
          </w:tcPr>
          <w:p w14:paraId="4538DC47" w14:textId="77777777" w:rsidR="00C232D7" w:rsidRPr="00245B58" w:rsidRDefault="00C232D7" w:rsidP="00C232D7">
            <w:pPr>
              <w:spacing w:before="40" w:after="40" w:line="360" w:lineRule="auto"/>
              <w:rPr>
                <w:rFonts w:ascii="Arial" w:hAnsi="Arial" w:cs="Arial"/>
                <w:sz w:val="18"/>
                <w:szCs w:val="18"/>
                <w:lang w:val="sq-AL"/>
              </w:rPr>
            </w:pPr>
            <w:r w:rsidRPr="00245B58">
              <w:rPr>
                <w:rFonts w:ascii="Arial" w:hAnsi="Arial" w:cs="Arial"/>
                <w:b/>
                <w:bCs/>
                <w:color w:val="000000"/>
                <w:sz w:val="18"/>
                <w:szCs w:val="18"/>
                <w:lang w:val="sq-AL"/>
              </w:rPr>
              <w:t>Kabasti otpad</w:t>
            </w:r>
          </w:p>
        </w:tc>
        <w:tc>
          <w:tcPr>
            <w:tcW w:w="1778" w:type="dxa"/>
            <w:vAlign w:val="center"/>
          </w:tcPr>
          <w:p w14:paraId="31676164" w14:textId="77777777" w:rsidR="00C232D7" w:rsidRPr="00245B58" w:rsidRDefault="00C232D7" w:rsidP="00C232D7">
            <w:pPr>
              <w:spacing w:before="40" w:after="40" w:line="360" w:lineRule="auto"/>
              <w:rPr>
                <w:rFonts w:ascii="Arial" w:hAnsi="Arial" w:cs="Arial"/>
                <w:b/>
                <w:bCs/>
                <w:color w:val="000000"/>
                <w:sz w:val="18"/>
                <w:szCs w:val="18"/>
                <w:highlight w:val="yellow"/>
                <w:lang w:val="sq-AL"/>
              </w:rPr>
            </w:pPr>
            <w:r w:rsidRPr="00245B58">
              <w:rPr>
                <w:rFonts w:ascii="Arial" w:hAnsi="Arial" w:cs="Arial"/>
                <w:b/>
                <w:bCs/>
                <w:color w:val="000000"/>
                <w:sz w:val="18"/>
                <w:szCs w:val="18"/>
              </w:rPr>
              <w:t>5,328</w:t>
            </w:r>
          </w:p>
        </w:tc>
        <w:tc>
          <w:tcPr>
            <w:tcW w:w="1800" w:type="dxa"/>
            <w:vAlign w:val="center"/>
          </w:tcPr>
          <w:p w14:paraId="66100BBF" w14:textId="77777777" w:rsidR="00C232D7" w:rsidRPr="00245B58" w:rsidRDefault="00C232D7" w:rsidP="00C232D7">
            <w:pPr>
              <w:spacing w:before="40" w:after="40" w:line="360" w:lineRule="auto"/>
              <w:rPr>
                <w:rFonts w:ascii="Arial" w:hAnsi="Arial" w:cs="Arial"/>
                <w:b/>
                <w:bCs/>
                <w:color w:val="000000"/>
                <w:sz w:val="18"/>
                <w:szCs w:val="18"/>
                <w:highlight w:val="yellow"/>
                <w:lang w:val="sq-AL"/>
              </w:rPr>
            </w:pPr>
            <w:r w:rsidRPr="00245B58">
              <w:rPr>
                <w:rFonts w:ascii="Arial" w:hAnsi="Arial" w:cs="Arial"/>
                <w:b/>
                <w:bCs/>
                <w:color w:val="000000"/>
                <w:sz w:val="18"/>
                <w:szCs w:val="18"/>
              </w:rPr>
              <w:t>8.06</w:t>
            </w:r>
          </w:p>
        </w:tc>
      </w:tr>
    </w:tbl>
    <w:p w14:paraId="6D652F5D" w14:textId="77777777" w:rsidR="00C232D7" w:rsidRPr="002A6F4E" w:rsidRDefault="00C232D7" w:rsidP="00C232D7">
      <w:pPr>
        <w:spacing w:line="360" w:lineRule="auto"/>
        <w:rPr>
          <w:rFonts w:ascii="Arial" w:hAnsi="Arial" w:cs="Arial"/>
          <w:i/>
          <w:lang w:val="sq-AL"/>
        </w:rPr>
      </w:pPr>
      <w:bookmarkStart w:id="721" w:name="_Hlk114131576"/>
    </w:p>
    <w:p w14:paraId="5DD6F845" w14:textId="521706D8" w:rsidR="00C232D7" w:rsidRPr="002A6F4E" w:rsidRDefault="00893A9C" w:rsidP="00F57909">
      <w:pPr>
        <w:pStyle w:val="Heading2"/>
      </w:pPr>
      <w:bookmarkStart w:id="722" w:name="_Toc121759013"/>
      <w:bookmarkStart w:id="723" w:name="_Toc193353976"/>
      <w:bookmarkEnd w:id="721"/>
      <w:r w:rsidRPr="002A6F4E">
        <w:t>4.</w:t>
      </w:r>
      <w:r w:rsidR="00477168" w:rsidRPr="002A6F4E">
        <w:t>3</w:t>
      </w:r>
      <w:r w:rsidR="00C232D7" w:rsidRPr="002A6F4E">
        <w:t>. Sakupljanje otpada</w:t>
      </w:r>
      <w:bookmarkEnd w:id="722"/>
      <w:bookmarkEnd w:id="723"/>
    </w:p>
    <w:p w14:paraId="1AFF6814" w14:textId="5BE03CB9"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Ukupnu količinu sakupljenog komunalnog otpada čini otpad iz domaćinstva koji je direktno sakupljen od proizvođača (stanovnika i privrednika) od strane komunalnih preduzeća (KP), što čini 94,9% ukupne količine sakupljenog otpada i smatraju se privrednim subjektima upisanim u Registar organizovanih sistema preuzimanja, sakupljanja i obrade otpada, kao i sve ono što su građani donijeli direktno na deponije.</w:t>
      </w:r>
    </w:p>
    <w:p w14:paraId="53488827" w14:textId="129BB522" w:rsidR="00C232D7" w:rsidRDefault="00C232D7" w:rsidP="00C232D7">
      <w:pPr>
        <w:spacing w:before="120" w:after="120" w:line="360" w:lineRule="auto"/>
        <w:rPr>
          <w:rFonts w:ascii="Arial" w:hAnsi="Arial" w:cs="Arial"/>
          <w:color w:val="000000" w:themeColor="text1"/>
          <w:lang w:val="sq-AL"/>
        </w:rPr>
      </w:pPr>
      <w:r w:rsidRPr="002A6F4E">
        <w:rPr>
          <w:rFonts w:ascii="Arial" w:hAnsi="Arial" w:cs="Arial"/>
          <w:lang w:val="sq-AL"/>
        </w:rPr>
        <w:t xml:space="preserve">U sljedećoj tabeli prikazani su podaci o sakupljenim količinama komunalnog otpada u Crnoj Gori, </w:t>
      </w:r>
      <w:r w:rsidRPr="002A6F4E">
        <w:rPr>
          <w:rFonts w:ascii="Arial" w:hAnsi="Arial" w:cs="Arial"/>
          <w:color w:val="000000" w:themeColor="text1"/>
          <w:lang w:val="sq-AL"/>
        </w:rPr>
        <w:t>za 2023. godin</w:t>
      </w:r>
      <w:r w:rsidR="001873D5">
        <w:rPr>
          <w:rFonts w:ascii="Arial" w:hAnsi="Arial" w:cs="Arial"/>
          <w:color w:val="000000" w:themeColor="text1"/>
          <w:lang w:val="sq-AL"/>
        </w:rPr>
        <w:t>u</w:t>
      </w:r>
      <w:r w:rsidRPr="002A6F4E">
        <w:rPr>
          <w:rFonts w:ascii="Arial" w:hAnsi="Arial" w:cs="Arial"/>
          <w:color w:val="000000" w:themeColor="text1"/>
          <w:lang w:val="sq-AL"/>
        </w:rPr>
        <w:t>.</w:t>
      </w:r>
    </w:p>
    <w:p w14:paraId="51D70DA1" w14:textId="77777777" w:rsidR="00E62109" w:rsidRPr="002A6F4E" w:rsidRDefault="00E62109" w:rsidP="00C232D7">
      <w:pPr>
        <w:spacing w:before="120" w:after="120" w:line="360" w:lineRule="auto"/>
        <w:rPr>
          <w:rFonts w:ascii="Arial" w:hAnsi="Arial" w:cs="Arial"/>
          <w:color w:val="FF0000"/>
          <w:lang w:val="sq-AL"/>
        </w:rPr>
      </w:pPr>
    </w:p>
    <w:p w14:paraId="209C258C" w14:textId="193A8D8E" w:rsidR="00C232D7" w:rsidRPr="00D8640F" w:rsidRDefault="00C232D7" w:rsidP="00C232D7">
      <w:pPr>
        <w:pStyle w:val="Caption"/>
        <w:rPr>
          <w:rFonts w:ascii="Arial" w:hAnsi="Arial" w:cs="Arial"/>
          <w:b w:val="0"/>
          <w:lang w:val="sq-AL"/>
        </w:rPr>
      </w:pPr>
      <w:bookmarkStart w:id="724" w:name="_Toc189515599"/>
      <w:bookmarkStart w:id="725" w:name="_Toc190160702"/>
      <w:r w:rsidRPr="00D8640F">
        <w:rPr>
          <w:rFonts w:ascii="Arial" w:hAnsi="Arial" w:cs="Arial"/>
          <w:b w:val="0"/>
          <w:lang w:val="sq-AL"/>
        </w:rPr>
        <w:lastRenderedPageBreak/>
        <w:t xml:space="preserve">Tabela </w:t>
      </w:r>
      <w:r w:rsidRPr="00D8640F">
        <w:rPr>
          <w:rFonts w:ascii="Arial" w:hAnsi="Arial" w:cs="Arial"/>
          <w:b w:val="0"/>
        </w:rPr>
        <w:fldChar w:fldCharType="begin"/>
      </w:r>
      <w:r w:rsidRPr="00D8640F">
        <w:rPr>
          <w:rFonts w:ascii="Arial" w:hAnsi="Arial" w:cs="Arial"/>
          <w:b w:val="0"/>
          <w:lang w:val="sq-AL"/>
        </w:rPr>
        <w:instrText xml:space="preserve"> SEQ Tabela \* ARABIC </w:instrText>
      </w:r>
      <w:r w:rsidRPr="00D8640F">
        <w:rPr>
          <w:rFonts w:ascii="Arial" w:hAnsi="Arial" w:cs="Arial"/>
          <w:b w:val="0"/>
        </w:rPr>
        <w:fldChar w:fldCharType="separate"/>
      </w:r>
      <w:r w:rsidR="007274DA" w:rsidRPr="00D8640F">
        <w:rPr>
          <w:rFonts w:ascii="Arial" w:hAnsi="Arial" w:cs="Arial"/>
          <w:b w:val="0"/>
          <w:noProof/>
          <w:lang w:val="sq-AL"/>
        </w:rPr>
        <w:t>12</w:t>
      </w:r>
      <w:r w:rsidRPr="00D8640F">
        <w:rPr>
          <w:rFonts w:ascii="Arial" w:hAnsi="Arial" w:cs="Arial"/>
          <w:b w:val="0"/>
        </w:rPr>
        <w:fldChar w:fldCharType="end"/>
      </w:r>
      <w:r w:rsidRPr="00D8640F">
        <w:rPr>
          <w:rFonts w:ascii="Arial" w:hAnsi="Arial" w:cs="Arial"/>
          <w:b w:val="0"/>
          <w:lang w:val="sq-AL"/>
        </w:rPr>
        <w:t xml:space="preserve"> Količine sakupljenog komunalnog otpada u Crnoj Gori, 2023</w:t>
      </w:r>
      <w:bookmarkEnd w:id="724"/>
      <w:bookmarkEnd w:id="725"/>
      <w:r w:rsidR="00E41716" w:rsidRPr="00D8640F">
        <w:rPr>
          <w:rStyle w:val="FootnoteReference"/>
          <w:rFonts w:cs="Arial"/>
          <w:b w:val="0"/>
          <w:sz w:val="18"/>
          <w:szCs w:val="18"/>
        </w:rPr>
        <w:footnoteReference w:id="13"/>
      </w:r>
    </w:p>
    <w:tbl>
      <w:tblPr>
        <w:tblStyle w:val="TableGrid10"/>
        <w:tblW w:w="9540" w:type="dxa"/>
        <w:jc w:val="center"/>
        <w:tblInd w:w="0" w:type="dxa"/>
        <w:tblCellMar>
          <w:top w:w="40" w:type="dxa"/>
        </w:tblCellMar>
        <w:tblLook w:val="04A0" w:firstRow="1" w:lastRow="0" w:firstColumn="1" w:lastColumn="0" w:noHBand="0" w:noVBand="1"/>
      </w:tblPr>
      <w:tblGrid>
        <w:gridCol w:w="402"/>
        <w:gridCol w:w="1331"/>
        <w:gridCol w:w="771"/>
        <w:gridCol w:w="801"/>
        <w:gridCol w:w="898"/>
        <w:gridCol w:w="536"/>
        <w:gridCol w:w="671"/>
        <w:gridCol w:w="541"/>
        <w:gridCol w:w="537"/>
        <w:gridCol w:w="646"/>
        <w:gridCol w:w="820"/>
        <w:gridCol w:w="731"/>
        <w:gridCol w:w="855"/>
      </w:tblGrid>
      <w:tr w:rsidR="00C232D7" w:rsidRPr="00E62109" w14:paraId="25EA5164" w14:textId="77777777" w:rsidTr="00C232D7">
        <w:trPr>
          <w:trHeight w:val="207"/>
          <w:jc w:val="center"/>
        </w:trPr>
        <w:tc>
          <w:tcPr>
            <w:tcW w:w="405"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21593C7C"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Red br</w:t>
            </w:r>
          </w:p>
        </w:tc>
        <w:tc>
          <w:tcPr>
            <w:tcW w:w="1351"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7772259A"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JLS</w:t>
            </w:r>
          </w:p>
        </w:tc>
        <w:tc>
          <w:tcPr>
            <w:tcW w:w="1596" w:type="dxa"/>
            <w:gridSpan w:val="2"/>
            <w:tcBorders>
              <w:top w:val="single" w:sz="4" w:space="0" w:color="000000"/>
              <w:left w:val="single" w:sz="4" w:space="0" w:color="000000"/>
              <w:bottom w:val="single" w:sz="2" w:space="0" w:color="000000"/>
              <w:right w:val="single" w:sz="2" w:space="0" w:color="000000"/>
            </w:tcBorders>
            <w:shd w:val="clear" w:color="auto" w:fill="DBE5F1"/>
          </w:tcPr>
          <w:p w14:paraId="71198CDD"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Odloženo na deponijama</w:t>
            </w:r>
          </w:p>
        </w:tc>
        <w:tc>
          <w:tcPr>
            <w:tcW w:w="852" w:type="dxa"/>
            <w:vMerge w:val="restart"/>
            <w:tcBorders>
              <w:top w:val="single" w:sz="4" w:space="0" w:color="000000"/>
              <w:left w:val="single" w:sz="2" w:space="0" w:color="000000"/>
              <w:bottom w:val="single" w:sz="4" w:space="0" w:color="000000"/>
              <w:right w:val="single" w:sz="4" w:space="0" w:color="000000"/>
            </w:tcBorders>
            <w:shd w:val="clear" w:color="auto" w:fill="DBE5F1"/>
            <w:vAlign w:val="center"/>
          </w:tcPr>
          <w:p w14:paraId="7C3DE74D"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Privremeno uskladišteno čl.78</w:t>
            </w:r>
          </w:p>
        </w:tc>
        <w:tc>
          <w:tcPr>
            <w:tcW w:w="2306" w:type="dxa"/>
            <w:gridSpan w:val="4"/>
            <w:vMerge w:val="restart"/>
            <w:tcBorders>
              <w:top w:val="single" w:sz="4" w:space="0" w:color="000000"/>
              <w:left w:val="single" w:sz="4" w:space="0" w:color="000000"/>
              <w:bottom w:val="single" w:sz="4" w:space="0" w:color="000000"/>
              <w:right w:val="single" w:sz="4" w:space="0" w:color="000000"/>
            </w:tcBorders>
            <w:shd w:val="clear" w:color="auto" w:fill="DBE5F1"/>
          </w:tcPr>
          <w:p w14:paraId="6DDF8043"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Odvojeno za ponovnu upotrebu ili reciklažu</w:t>
            </w:r>
          </w:p>
          <w:p w14:paraId="32487DF5"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(reciklabilna frakcija)</w:t>
            </w:r>
          </w:p>
        </w:tc>
        <w:tc>
          <w:tcPr>
            <w:tcW w:w="1488"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2214DDF9"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Odvojeno sakupljeni kabasti i zeleni otpad</w:t>
            </w:r>
          </w:p>
        </w:tc>
        <w:tc>
          <w:tcPr>
            <w:tcW w:w="683"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tcPr>
          <w:p w14:paraId="15945541"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Nelegalno odloženo </w:t>
            </w:r>
          </w:p>
        </w:tc>
        <w:tc>
          <w:tcPr>
            <w:tcW w:w="859" w:type="dxa"/>
            <w:vMerge w:val="restart"/>
            <w:tcBorders>
              <w:top w:val="single" w:sz="4" w:space="0" w:color="000000"/>
              <w:left w:val="single" w:sz="4" w:space="0" w:color="000000"/>
              <w:bottom w:val="single" w:sz="4" w:space="0" w:color="000000"/>
              <w:right w:val="single" w:sz="2" w:space="0" w:color="000000"/>
            </w:tcBorders>
            <w:shd w:val="clear" w:color="auto" w:fill="DBE5F1"/>
            <w:vAlign w:val="center"/>
          </w:tcPr>
          <w:p w14:paraId="76975023"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Svega sakupljeno</w:t>
            </w:r>
          </w:p>
        </w:tc>
      </w:tr>
      <w:tr w:rsidR="00C232D7" w:rsidRPr="00E62109" w14:paraId="38CD336E" w14:textId="77777777" w:rsidTr="00C232D7">
        <w:trPr>
          <w:trHeight w:val="379"/>
          <w:jc w:val="center"/>
        </w:trPr>
        <w:tc>
          <w:tcPr>
            <w:tcW w:w="0" w:type="auto"/>
            <w:vMerge/>
            <w:tcBorders>
              <w:top w:val="nil"/>
              <w:left w:val="single" w:sz="4" w:space="0" w:color="000000"/>
              <w:bottom w:val="nil"/>
              <w:right w:val="single" w:sz="4" w:space="0" w:color="000000"/>
            </w:tcBorders>
          </w:tcPr>
          <w:p w14:paraId="29413AC7" w14:textId="77777777" w:rsidR="00C232D7" w:rsidRPr="00E62109" w:rsidRDefault="00C232D7" w:rsidP="00C232D7">
            <w:pPr>
              <w:spacing w:line="360" w:lineRule="auto"/>
              <w:rPr>
                <w:rFonts w:ascii="Arial" w:hAnsi="Arial" w:cs="Arial"/>
                <w:sz w:val="16"/>
                <w:szCs w:val="18"/>
                <w:lang w:val="sr-Latn-RS"/>
              </w:rPr>
            </w:pPr>
          </w:p>
        </w:tc>
        <w:tc>
          <w:tcPr>
            <w:tcW w:w="0" w:type="auto"/>
            <w:vMerge/>
            <w:tcBorders>
              <w:top w:val="nil"/>
              <w:left w:val="single" w:sz="4" w:space="0" w:color="000000"/>
              <w:bottom w:val="nil"/>
              <w:right w:val="single" w:sz="4" w:space="0" w:color="000000"/>
            </w:tcBorders>
          </w:tcPr>
          <w:p w14:paraId="4678A8C7" w14:textId="77777777" w:rsidR="00C232D7" w:rsidRPr="00E62109" w:rsidRDefault="00C232D7" w:rsidP="00C232D7">
            <w:pPr>
              <w:spacing w:line="360" w:lineRule="auto"/>
              <w:rPr>
                <w:rFonts w:ascii="Arial" w:hAnsi="Arial" w:cs="Arial"/>
                <w:sz w:val="16"/>
                <w:szCs w:val="18"/>
                <w:lang w:val="sr-Latn-RS"/>
              </w:rPr>
            </w:pPr>
          </w:p>
        </w:tc>
        <w:tc>
          <w:tcPr>
            <w:tcW w:w="781" w:type="dxa"/>
            <w:vMerge w:val="restart"/>
            <w:tcBorders>
              <w:top w:val="single" w:sz="2" w:space="0" w:color="000000"/>
              <w:left w:val="single" w:sz="4" w:space="0" w:color="000000"/>
              <w:bottom w:val="single" w:sz="4" w:space="0" w:color="000000"/>
              <w:right w:val="single" w:sz="4" w:space="0" w:color="000000"/>
            </w:tcBorders>
            <w:shd w:val="clear" w:color="auto" w:fill="DBE5F1"/>
            <w:vAlign w:val="center"/>
          </w:tcPr>
          <w:p w14:paraId="1DEFB4E2"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Možura</w:t>
            </w:r>
          </w:p>
        </w:tc>
        <w:tc>
          <w:tcPr>
            <w:tcW w:w="815" w:type="dxa"/>
            <w:vMerge w:val="restart"/>
            <w:tcBorders>
              <w:top w:val="single" w:sz="2" w:space="0" w:color="000000"/>
              <w:left w:val="single" w:sz="4" w:space="0" w:color="000000"/>
              <w:bottom w:val="single" w:sz="4" w:space="0" w:color="000000"/>
              <w:right w:val="single" w:sz="2" w:space="0" w:color="000000"/>
            </w:tcBorders>
            <w:shd w:val="clear" w:color="auto" w:fill="DBE5F1"/>
            <w:vAlign w:val="center"/>
          </w:tcPr>
          <w:p w14:paraId="0FFB0CBC"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Livade</w:t>
            </w:r>
          </w:p>
        </w:tc>
        <w:tc>
          <w:tcPr>
            <w:tcW w:w="0" w:type="auto"/>
            <w:vMerge/>
            <w:tcBorders>
              <w:top w:val="nil"/>
              <w:left w:val="single" w:sz="2" w:space="0" w:color="000000"/>
              <w:bottom w:val="nil"/>
              <w:right w:val="single" w:sz="4" w:space="0" w:color="000000"/>
            </w:tcBorders>
          </w:tcPr>
          <w:p w14:paraId="2D24387A" w14:textId="77777777" w:rsidR="00C232D7" w:rsidRPr="00E62109" w:rsidRDefault="00C232D7" w:rsidP="00C232D7">
            <w:pPr>
              <w:spacing w:line="360" w:lineRule="auto"/>
              <w:rPr>
                <w:rFonts w:ascii="Arial" w:hAnsi="Arial" w:cs="Arial"/>
                <w:sz w:val="16"/>
                <w:szCs w:val="18"/>
                <w:lang w:val="sr-Latn-RS"/>
              </w:rPr>
            </w:pPr>
          </w:p>
        </w:tc>
        <w:tc>
          <w:tcPr>
            <w:tcW w:w="0" w:type="auto"/>
            <w:gridSpan w:val="4"/>
            <w:vMerge/>
            <w:tcBorders>
              <w:top w:val="nil"/>
              <w:left w:val="single" w:sz="4" w:space="0" w:color="000000"/>
              <w:bottom w:val="single" w:sz="4" w:space="0" w:color="000000"/>
              <w:right w:val="single" w:sz="4" w:space="0" w:color="000000"/>
            </w:tcBorders>
          </w:tcPr>
          <w:p w14:paraId="6197724A" w14:textId="77777777" w:rsidR="00C232D7" w:rsidRPr="00E62109" w:rsidRDefault="00C232D7" w:rsidP="00C232D7">
            <w:pPr>
              <w:spacing w:line="360" w:lineRule="auto"/>
              <w:rPr>
                <w:rFonts w:ascii="Arial" w:hAnsi="Arial" w:cs="Arial"/>
                <w:sz w:val="16"/>
                <w:szCs w:val="18"/>
                <w:lang w:val="sr-Latn-RS"/>
              </w:rPr>
            </w:pPr>
          </w:p>
        </w:tc>
        <w:tc>
          <w:tcPr>
            <w:tcW w:w="0" w:type="auto"/>
            <w:gridSpan w:val="2"/>
            <w:vMerge/>
            <w:tcBorders>
              <w:top w:val="nil"/>
              <w:left w:val="single" w:sz="4" w:space="0" w:color="000000"/>
              <w:bottom w:val="single" w:sz="4" w:space="0" w:color="000000"/>
              <w:right w:val="single" w:sz="4" w:space="0" w:color="000000"/>
            </w:tcBorders>
          </w:tcPr>
          <w:p w14:paraId="0A087626" w14:textId="77777777" w:rsidR="00C232D7" w:rsidRPr="00E62109" w:rsidRDefault="00C232D7" w:rsidP="00C232D7">
            <w:pPr>
              <w:spacing w:line="360" w:lineRule="auto"/>
              <w:rPr>
                <w:rFonts w:ascii="Arial" w:hAnsi="Arial" w:cs="Arial"/>
                <w:sz w:val="16"/>
                <w:szCs w:val="18"/>
                <w:lang w:val="sr-Latn-RS"/>
              </w:rPr>
            </w:pPr>
          </w:p>
        </w:tc>
        <w:tc>
          <w:tcPr>
            <w:tcW w:w="0" w:type="auto"/>
            <w:vMerge/>
            <w:tcBorders>
              <w:top w:val="nil"/>
              <w:left w:val="single" w:sz="4" w:space="0" w:color="000000"/>
              <w:bottom w:val="nil"/>
              <w:right w:val="single" w:sz="4" w:space="0" w:color="000000"/>
            </w:tcBorders>
          </w:tcPr>
          <w:p w14:paraId="01A94D8D" w14:textId="77777777" w:rsidR="00C232D7" w:rsidRPr="00E62109" w:rsidRDefault="00C232D7" w:rsidP="00C232D7">
            <w:pPr>
              <w:spacing w:line="360" w:lineRule="auto"/>
              <w:rPr>
                <w:rFonts w:ascii="Arial" w:hAnsi="Arial" w:cs="Arial"/>
                <w:sz w:val="16"/>
                <w:szCs w:val="18"/>
                <w:lang w:val="sr-Latn-RS"/>
              </w:rPr>
            </w:pPr>
          </w:p>
        </w:tc>
        <w:tc>
          <w:tcPr>
            <w:tcW w:w="859" w:type="dxa"/>
            <w:vMerge/>
            <w:tcBorders>
              <w:top w:val="nil"/>
              <w:left w:val="single" w:sz="4" w:space="0" w:color="000000"/>
              <w:bottom w:val="nil"/>
              <w:right w:val="single" w:sz="2" w:space="0" w:color="000000"/>
            </w:tcBorders>
          </w:tcPr>
          <w:p w14:paraId="5710C11C" w14:textId="77777777" w:rsidR="00C232D7" w:rsidRPr="00E62109" w:rsidRDefault="00C232D7" w:rsidP="00C232D7">
            <w:pPr>
              <w:spacing w:line="360" w:lineRule="auto"/>
              <w:rPr>
                <w:rFonts w:ascii="Arial" w:hAnsi="Arial" w:cs="Arial"/>
                <w:sz w:val="16"/>
                <w:szCs w:val="18"/>
                <w:lang w:val="sr-Latn-RS"/>
              </w:rPr>
            </w:pPr>
          </w:p>
        </w:tc>
      </w:tr>
      <w:tr w:rsidR="00C232D7" w:rsidRPr="00E62109" w14:paraId="7C623E61" w14:textId="77777777" w:rsidTr="00C232D7">
        <w:trPr>
          <w:trHeight w:val="137"/>
          <w:jc w:val="center"/>
        </w:trPr>
        <w:tc>
          <w:tcPr>
            <w:tcW w:w="0" w:type="auto"/>
            <w:vMerge/>
            <w:tcBorders>
              <w:top w:val="nil"/>
              <w:left w:val="single" w:sz="4" w:space="0" w:color="000000"/>
              <w:bottom w:val="single" w:sz="4" w:space="0" w:color="000000"/>
              <w:right w:val="single" w:sz="4" w:space="0" w:color="000000"/>
            </w:tcBorders>
          </w:tcPr>
          <w:p w14:paraId="333AC340" w14:textId="77777777" w:rsidR="00C232D7" w:rsidRPr="00E62109" w:rsidRDefault="00C232D7" w:rsidP="00C232D7">
            <w:pPr>
              <w:spacing w:line="360" w:lineRule="auto"/>
              <w:rPr>
                <w:rFonts w:ascii="Arial" w:hAnsi="Arial" w:cs="Arial"/>
                <w:sz w:val="16"/>
                <w:szCs w:val="18"/>
                <w:lang w:val="sr-Latn-RS"/>
              </w:rPr>
            </w:pPr>
          </w:p>
        </w:tc>
        <w:tc>
          <w:tcPr>
            <w:tcW w:w="0" w:type="auto"/>
            <w:vMerge/>
            <w:tcBorders>
              <w:top w:val="nil"/>
              <w:left w:val="single" w:sz="4" w:space="0" w:color="000000"/>
              <w:bottom w:val="single" w:sz="4" w:space="0" w:color="000000"/>
              <w:right w:val="single" w:sz="4" w:space="0" w:color="000000"/>
            </w:tcBorders>
          </w:tcPr>
          <w:p w14:paraId="7061423E" w14:textId="77777777" w:rsidR="00C232D7" w:rsidRPr="00E62109" w:rsidRDefault="00C232D7" w:rsidP="00C232D7">
            <w:pPr>
              <w:spacing w:line="360" w:lineRule="auto"/>
              <w:rPr>
                <w:rFonts w:ascii="Arial" w:hAnsi="Arial" w:cs="Arial"/>
                <w:sz w:val="16"/>
                <w:szCs w:val="18"/>
                <w:lang w:val="sr-Latn-RS"/>
              </w:rPr>
            </w:pPr>
          </w:p>
        </w:tc>
        <w:tc>
          <w:tcPr>
            <w:tcW w:w="0" w:type="auto"/>
            <w:vMerge/>
            <w:tcBorders>
              <w:top w:val="nil"/>
              <w:left w:val="single" w:sz="4" w:space="0" w:color="000000"/>
              <w:bottom w:val="single" w:sz="4" w:space="0" w:color="000000"/>
              <w:right w:val="single" w:sz="4" w:space="0" w:color="000000"/>
            </w:tcBorders>
          </w:tcPr>
          <w:p w14:paraId="5E37361D" w14:textId="77777777" w:rsidR="00C232D7" w:rsidRPr="00E62109" w:rsidRDefault="00C232D7" w:rsidP="00C232D7">
            <w:pPr>
              <w:spacing w:line="360" w:lineRule="auto"/>
              <w:rPr>
                <w:rFonts w:ascii="Arial" w:hAnsi="Arial" w:cs="Arial"/>
                <w:sz w:val="16"/>
                <w:szCs w:val="18"/>
                <w:lang w:val="sr-Latn-RS"/>
              </w:rPr>
            </w:pPr>
          </w:p>
        </w:tc>
        <w:tc>
          <w:tcPr>
            <w:tcW w:w="0" w:type="auto"/>
            <w:vMerge/>
            <w:tcBorders>
              <w:top w:val="nil"/>
              <w:left w:val="single" w:sz="4" w:space="0" w:color="000000"/>
              <w:bottom w:val="single" w:sz="4" w:space="0" w:color="000000"/>
              <w:right w:val="single" w:sz="2" w:space="0" w:color="000000"/>
            </w:tcBorders>
          </w:tcPr>
          <w:p w14:paraId="0723DE77" w14:textId="77777777" w:rsidR="00C232D7" w:rsidRPr="00E62109" w:rsidRDefault="00C232D7" w:rsidP="00C232D7">
            <w:pPr>
              <w:spacing w:line="360" w:lineRule="auto"/>
              <w:rPr>
                <w:rFonts w:ascii="Arial" w:hAnsi="Arial" w:cs="Arial"/>
                <w:sz w:val="16"/>
                <w:szCs w:val="18"/>
                <w:lang w:val="sr-Latn-RS"/>
              </w:rPr>
            </w:pPr>
          </w:p>
        </w:tc>
        <w:tc>
          <w:tcPr>
            <w:tcW w:w="0" w:type="auto"/>
            <w:vMerge/>
            <w:tcBorders>
              <w:top w:val="nil"/>
              <w:left w:val="single" w:sz="2" w:space="0" w:color="000000"/>
              <w:bottom w:val="single" w:sz="4" w:space="0" w:color="000000"/>
              <w:right w:val="single" w:sz="4" w:space="0" w:color="000000"/>
            </w:tcBorders>
          </w:tcPr>
          <w:p w14:paraId="061A2C3D" w14:textId="77777777" w:rsidR="00C232D7" w:rsidRPr="00E62109" w:rsidRDefault="00C232D7" w:rsidP="00C232D7">
            <w:pPr>
              <w:spacing w:line="360" w:lineRule="auto"/>
              <w:rPr>
                <w:rFonts w:ascii="Arial" w:hAnsi="Arial" w:cs="Arial"/>
                <w:sz w:val="16"/>
                <w:szCs w:val="18"/>
                <w:lang w:val="sr-Latn-RS"/>
              </w:rPr>
            </w:pPr>
          </w:p>
        </w:tc>
        <w:tc>
          <w:tcPr>
            <w:tcW w:w="542" w:type="dxa"/>
            <w:tcBorders>
              <w:top w:val="single" w:sz="4" w:space="0" w:color="000000"/>
              <w:left w:val="single" w:sz="4" w:space="0" w:color="000000"/>
              <w:bottom w:val="single" w:sz="4" w:space="0" w:color="000000"/>
              <w:right w:val="single" w:sz="4" w:space="0" w:color="000000"/>
            </w:tcBorders>
            <w:shd w:val="clear" w:color="auto" w:fill="65FFFF"/>
            <w:vAlign w:val="center"/>
          </w:tcPr>
          <w:p w14:paraId="351FCBB2"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Papir</w:t>
            </w:r>
          </w:p>
        </w:tc>
        <w:tc>
          <w:tcPr>
            <w:tcW w:w="676" w:type="dxa"/>
            <w:tcBorders>
              <w:top w:val="single" w:sz="4" w:space="0" w:color="000000"/>
              <w:left w:val="single" w:sz="4" w:space="0" w:color="000000"/>
              <w:bottom w:val="single" w:sz="4" w:space="0" w:color="000000"/>
              <w:right w:val="single" w:sz="4" w:space="0" w:color="000000"/>
            </w:tcBorders>
            <w:shd w:val="clear" w:color="auto" w:fill="65FFFF"/>
            <w:vAlign w:val="center"/>
          </w:tcPr>
          <w:p w14:paraId="1FD63399"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Plastika</w:t>
            </w:r>
          </w:p>
        </w:tc>
        <w:tc>
          <w:tcPr>
            <w:tcW w:w="545" w:type="dxa"/>
            <w:tcBorders>
              <w:top w:val="single" w:sz="4" w:space="0" w:color="000000"/>
              <w:left w:val="single" w:sz="4" w:space="0" w:color="000000"/>
              <w:bottom w:val="single" w:sz="4" w:space="0" w:color="000000"/>
              <w:right w:val="single" w:sz="4" w:space="0" w:color="000000"/>
            </w:tcBorders>
            <w:shd w:val="clear" w:color="auto" w:fill="65FFFF"/>
            <w:vAlign w:val="center"/>
          </w:tcPr>
          <w:p w14:paraId="77863671"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Staklo</w:t>
            </w:r>
          </w:p>
        </w:tc>
        <w:tc>
          <w:tcPr>
            <w:tcW w:w="543" w:type="dxa"/>
            <w:tcBorders>
              <w:top w:val="single" w:sz="4" w:space="0" w:color="000000"/>
              <w:left w:val="single" w:sz="4" w:space="0" w:color="000000"/>
              <w:bottom w:val="single" w:sz="4" w:space="0" w:color="000000"/>
              <w:right w:val="single" w:sz="4" w:space="0" w:color="000000"/>
            </w:tcBorders>
            <w:shd w:val="clear" w:color="auto" w:fill="65FFFF"/>
            <w:vAlign w:val="center"/>
          </w:tcPr>
          <w:p w14:paraId="72E3804A"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Metal</w:t>
            </w:r>
          </w:p>
        </w:tc>
        <w:tc>
          <w:tcPr>
            <w:tcW w:w="651"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CBD7ED0"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Kabasti</w:t>
            </w:r>
          </w:p>
        </w:tc>
        <w:tc>
          <w:tcPr>
            <w:tcW w:w="837"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2CB6A2A4"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Zeleni  otpad</w:t>
            </w:r>
          </w:p>
        </w:tc>
        <w:tc>
          <w:tcPr>
            <w:tcW w:w="0" w:type="auto"/>
            <w:vMerge/>
            <w:tcBorders>
              <w:top w:val="nil"/>
              <w:left w:val="single" w:sz="4" w:space="0" w:color="000000"/>
              <w:bottom w:val="single" w:sz="4" w:space="0" w:color="000000"/>
              <w:right w:val="single" w:sz="4" w:space="0" w:color="000000"/>
            </w:tcBorders>
          </w:tcPr>
          <w:p w14:paraId="758A4671" w14:textId="77777777" w:rsidR="00C232D7" w:rsidRPr="00E62109" w:rsidRDefault="00C232D7" w:rsidP="00C232D7">
            <w:pPr>
              <w:spacing w:line="360" w:lineRule="auto"/>
              <w:rPr>
                <w:rFonts w:ascii="Arial" w:hAnsi="Arial" w:cs="Arial"/>
                <w:sz w:val="16"/>
                <w:szCs w:val="18"/>
                <w:lang w:val="sr-Latn-RS"/>
              </w:rPr>
            </w:pPr>
          </w:p>
        </w:tc>
        <w:tc>
          <w:tcPr>
            <w:tcW w:w="859" w:type="dxa"/>
            <w:vMerge/>
            <w:tcBorders>
              <w:top w:val="nil"/>
              <w:left w:val="single" w:sz="4" w:space="0" w:color="000000"/>
              <w:bottom w:val="single" w:sz="4" w:space="0" w:color="000000"/>
              <w:right w:val="single" w:sz="2" w:space="0" w:color="000000"/>
            </w:tcBorders>
          </w:tcPr>
          <w:p w14:paraId="54BD4739" w14:textId="77777777" w:rsidR="00C232D7" w:rsidRPr="00E62109" w:rsidRDefault="00C232D7" w:rsidP="00C232D7">
            <w:pPr>
              <w:spacing w:line="360" w:lineRule="auto"/>
              <w:rPr>
                <w:rFonts w:ascii="Arial" w:hAnsi="Arial" w:cs="Arial"/>
                <w:sz w:val="16"/>
                <w:szCs w:val="18"/>
                <w:lang w:val="sr-Latn-RS"/>
              </w:rPr>
            </w:pPr>
          </w:p>
        </w:tc>
      </w:tr>
      <w:tr w:rsidR="00C232D7" w:rsidRPr="00E62109" w14:paraId="752FEB2B" w14:textId="77777777" w:rsidTr="00C232D7">
        <w:trPr>
          <w:trHeight w:val="195"/>
          <w:jc w:val="center"/>
        </w:trPr>
        <w:tc>
          <w:tcPr>
            <w:tcW w:w="405" w:type="dxa"/>
            <w:tcBorders>
              <w:top w:val="single" w:sz="4" w:space="0" w:color="000000"/>
              <w:left w:val="single" w:sz="4" w:space="0" w:color="000000"/>
              <w:bottom w:val="single" w:sz="2" w:space="0" w:color="000000"/>
              <w:right w:val="single" w:sz="4" w:space="0" w:color="000000"/>
            </w:tcBorders>
          </w:tcPr>
          <w:p w14:paraId="600005EC"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w:t>
            </w:r>
          </w:p>
        </w:tc>
        <w:tc>
          <w:tcPr>
            <w:tcW w:w="1351" w:type="dxa"/>
            <w:tcBorders>
              <w:top w:val="single" w:sz="4" w:space="0" w:color="000000"/>
              <w:left w:val="single" w:sz="4" w:space="0" w:color="000000"/>
              <w:bottom w:val="single" w:sz="2" w:space="0" w:color="000000"/>
              <w:right w:val="single" w:sz="4" w:space="0" w:color="000000"/>
            </w:tcBorders>
            <w:shd w:val="clear" w:color="auto" w:fill="auto"/>
          </w:tcPr>
          <w:p w14:paraId="7BF02425"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Andrijevica </w:t>
            </w:r>
          </w:p>
        </w:tc>
        <w:tc>
          <w:tcPr>
            <w:tcW w:w="781" w:type="dxa"/>
            <w:tcBorders>
              <w:top w:val="single" w:sz="4" w:space="0" w:color="000000"/>
              <w:left w:val="single" w:sz="4" w:space="0" w:color="000000"/>
              <w:bottom w:val="single" w:sz="2" w:space="0" w:color="000000"/>
              <w:right w:val="single" w:sz="4" w:space="0" w:color="000000"/>
            </w:tcBorders>
          </w:tcPr>
          <w:p w14:paraId="46A7917B"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4" w:space="0" w:color="000000"/>
              <w:left w:val="single" w:sz="4" w:space="0" w:color="000000"/>
              <w:bottom w:val="single" w:sz="2" w:space="0" w:color="000000"/>
              <w:right w:val="single" w:sz="2" w:space="0" w:color="000000"/>
            </w:tcBorders>
          </w:tcPr>
          <w:p w14:paraId="25850735"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4" w:space="0" w:color="000000"/>
              <w:left w:val="single" w:sz="2" w:space="0" w:color="000000"/>
              <w:bottom w:val="single" w:sz="2" w:space="0" w:color="000000"/>
              <w:right w:val="single" w:sz="4" w:space="0" w:color="000000"/>
            </w:tcBorders>
          </w:tcPr>
          <w:p w14:paraId="7B7248D4"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280</w:t>
            </w:r>
          </w:p>
        </w:tc>
        <w:tc>
          <w:tcPr>
            <w:tcW w:w="542" w:type="dxa"/>
            <w:tcBorders>
              <w:top w:val="single" w:sz="4" w:space="0" w:color="000000"/>
              <w:left w:val="single" w:sz="4" w:space="0" w:color="000000"/>
              <w:bottom w:val="single" w:sz="2" w:space="0" w:color="000000"/>
              <w:right w:val="single" w:sz="4" w:space="0" w:color="000000"/>
            </w:tcBorders>
            <w:shd w:val="clear" w:color="auto" w:fill="FBE183"/>
          </w:tcPr>
          <w:p w14:paraId="6A60DF47"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4" w:space="0" w:color="000000"/>
              <w:left w:val="single" w:sz="4" w:space="0" w:color="000000"/>
              <w:bottom w:val="single" w:sz="2" w:space="0" w:color="000000"/>
              <w:right w:val="single" w:sz="4" w:space="0" w:color="000000"/>
            </w:tcBorders>
            <w:shd w:val="clear" w:color="auto" w:fill="FBE183"/>
          </w:tcPr>
          <w:p w14:paraId="2162A726"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2" w:space="0" w:color="000000"/>
              <w:right w:val="single" w:sz="4" w:space="0" w:color="000000"/>
            </w:tcBorders>
            <w:shd w:val="clear" w:color="auto" w:fill="FBE183"/>
          </w:tcPr>
          <w:p w14:paraId="60B3160C"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2" w:space="0" w:color="000000"/>
              <w:right w:val="single" w:sz="4" w:space="0" w:color="000000"/>
            </w:tcBorders>
            <w:shd w:val="clear" w:color="auto" w:fill="FBE183"/>
          </w:tcPr>
          <w:p w14:paraId="5161C1DF"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4" w:space="0" w:color="000000"/>
              <w:left w:val="single" w:sz="4" w:space="0" w:color="000000"/>
              <w:bottom w:val="single" w:sz="2" w:space="0" w:color="000000"/>
              <w:right w:val="single" w:sz="4" w:space="0" w:color="000000"/>
            </w:tcBorders>
          </w:tcPr>
          <w:p w14:paraId="2E5756FD"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4" w:space="0" w:color="000000"/>
              <w:left w:val="single" w:sz="4" w:space="0" w:color="000000"/>
              <w:bottom w:val="single" w:sz="2" w:space="0" w:color="000000"/>
              <w:right w:val="single" w:sz="4" w:space="0" w:color="000000"/>
            </w:tcBorders>
          </w:tcPr>
          <w:p w14:paraId="67B0EC9E"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4" w:space="0" w:color="000000"/>
              <w:left w:val="single" w:sz="4" w:space="0" w:color="000000"/>
              <w:bottom w:val="single" w:sz="2" w:space="0" w:color="000000"/>
              <w:right w:val="single" w:sz="4" w:space="0" w:color="000000"/>
            </w:tcBorders>
          </w:tcPr>
          <w:p w14:paraId="097258E5"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2" w:space="0" w:color="000000"/>
              <w:right w:val="single" w:sz="2" w:space="0" w:color="000000"/>
            </w:tcBorders>
          </w:tcPr>
          <w:p w14:paraId="02C90776"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280</w:t>
            </w:r>
          </w:p>
        </w:tc>
      </w:tr>
      <w:tr w:rsidR="00C232D7" w:rsidRPr="00E62109" w14:paraId="09BBE7D2" w14:textId="77777777" w:rsidTr="00C232D7">
        <w:trPr>
          <w:trHeight w:val="225"/>
          <w:jc w:val="center"/>
        </w:trPr>
        <w:tc>
          <w:tcPr>
            <w:tcW w:w="405" w:type="dxa"/>
            <w:tcBorders>
              <w:top w:val="single" w:sz="2" w:space="0" w:color="000000"/>
              <w:left w:val="single" w:sz="4" w:space="0" w:color="000000"/>
              <w:bottom w:val="single" w:sz="4" w:space="0" w:color="000000"/>
              <w:right w:val="single" w:sz="4" w:space="0" w:color="000000"/>
            </w:tcBorders>
            <w:shd w:val="clear" w:color="auto" w:fill="F2F2F2"/>
          </w:tcPr>
          <w:p w14:paraId="4A5DBE65"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2.</w:t>
            </w:r>
          </w:p>
        </w:tc>
        <w:tc>
          <w:tcPr>
            <w:tcW w:w="1351" w:type="dxa"/>
            <w:tcBorders>
              <w:top w:val="single" w:sz="2" w:space="0" w:color="000000"/>
              <w:left w:val="single" w:sz="4" w:space="0" w:color="000000"/>
              <w:bottom w:val="single" w:sz="4" w:space="0" w:color="000000"/>
              <w:right w:val="single" w:sz="4" w:space="0" w:color="000000"/>
            </w:tcBorders>
            <w:shd w:val="clear" w:color="auto" w:fill="auto"/>
          </w:tcPr>
          <w:p w14:paraId="095DF725"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Bar </w:t>
            </w:r>
          </w:p>
        </w:tc>
        <w:tc>
          <w:tcPr>
            <w:tcW w:w="781" w:type="dxa"/>
            <w:tcBorders>
              <w:top w:val="single" w:sz="2" w:space="0" w:color="000000"/>
              <w:left w:val="single" w:sz="4" w:space="0" w:color="000000"/>
              <w:bottom w:val="single" w:sz="4" w:space="0" w:color="000000"/>
              <w:right w:val="single" w:sz="4" w:space="0" w:color="000000"/>
            </w:tcBorders>
            <w:shd w:val="clear" w:color="auto" w:fill="F2F2F2"/>
          </w:tcPr>
          <w:p w14:paraId="74DF00BC"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25.734</w:t>
            </w:r>
          </w:p>
        </w:tc>
        <w:tc>
          <w:tcPr>
            <w:tcW w:w="815" w:type="dxa"/>
            <w:tcBorders>
              <w:top w:val="single" w:sz="2" w:space="0" w:color="000000"/>
              <w:left w:val="single" w:sz="4" w:space="0" w:color="000000"/>
              <w:bottom w:val="single" w:sz="4" w:space="0" w:color="000000"/>
              <w:right w:val="single" w:sz="2" w:space="0" w:color="000000"/>
            </w:tcBorders>
            <w:shd w:val="clear" w:color="auto" w:fill="F2F2F2"/>
          </w:tcPr>
          <w:p w14:paraId="2A2C1247"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2" w:space="0" w:color="000000"/>
              <w:left w:val="single" w:sz="2" w:space="0" w:color="000000"/>
              <w:bottom w:val="single" w:sz="4" w:space="0" w:color="000000"/>
              <w:right w:val="single" w:sz="4" w:space="0" w:color="000000"/>
            </w:tcBorders>
            <w:shd w:val="clear" w:color="auto" w:fill="F2F2F2"/>
          </w:tcPr>
          <w:p w14:paraId="77C5E982" w14:textId="77777777" w:rsidR="00C232D7" w:rsidRPr="00E62109" w:rsidRDefault="00C232D7" w:rsidP="00C232D7">
            <w:pPr>
              <w:spacing w:line="360" w:lineRule="auto"/>
              <w:rPr>
                <w:rFonts w:ascii="Arial" w:hAnsi="Arial" w:cs="Arial"/>
                <w:sz w:val="16"/>
                <w:szCs w:val="18"/>
                <w:lang w:val="sr-Latn-RS"/>
              </w:rPr>
            </w:pPr>
          </w:p>
        </w:tc>
        <w:tc>
          <w:tcPr>
            <w:tcW w:w="542" w:type="dxa"/>
            <w:tcBorders>
              <w:top w:val="single" w:sz="2" w:space="0" w:color="000000"/>
              <w:left w:val="single" w:sz="4" w:space="0" w:color="000000"/>
              <w:bottom w:val="single" w:sz="4" w:space="0" w:color="000000"/>
              <w:right w:val="single" w:sz="4" w:space="0" w:color="000000"/>
            </w:tcBorders>
            <w:shd w:val="clear" w:color="auto" w:fill="F2F2F2"/>
          </w:tcPr>
          <w:p w14:paraId="7E9C1782"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210</w:t>
            </w:r>
          </w:p>
        </w:tc>
        <w:tc>
          <w:tcPr>
            <w:tcW w:w="676" w:type="dxa"/>
            <w:tcBorders>
              <w:top w:val="single" w:sz="2" w:space="0" w:color="000000"/>
              <w:left w:val="single" w:sz="4" w:space="0" w:color="000000"/>
              <w:bottom w:val="single" w:sz="4" w:space="0" w:color="000000"/>
              <w:right w:val="single" w:sz="4" w:space="0" w:color="000000"/>
            </w:tcBorders>
            <w:shd w:val="clear" w:color="auto" w:fill="F2F2F2"/>
          </w:tcPr>
          <w:p w14:paraId="453EDD06" w14:textId="77777777" w:rsidR="00C232D7" w:rsidRPr="00E62109" w:rsidRDefault="00C232D7" w:rsidP="00C232D7">
            <w:pPr>
              <w:spacing w:line="360" w:lineRule="auto"/>
              <w:rPr>
                <w:rFonts w:ascii="Arial" w:hAnsi="Arial" w:cs="Arial"/>
                <w:sz w:val="16"/>
                <w:szCs w:val="18"/>
                <w:highlight w:val="yellow"/>
                <w:lang w:val="sr-Latn-RS"/>
              </w:rPr>
            </w:pPr>
          </w:p>
        </w:tc>
        <w:tc>
          <w:tcPr>
            <w:tcW w:w="545" w:type="dxa"/>
            <w:tcBorders>
              <w:top w:val="single" w:sz="2" w:space="0" w:color="000000"/>
              <w:left w:val="single" w:sz="4" w:space="0" w:color="000000"/>
              <w:bottom w:val="single" w:sz="4" w:space="0" w:color="000000"/>
              <w:right w:val="single" w:sz="4" w:space="0" w:color="000000"/>
            </w:tcBorders>
            <w:shd w:val="clear" w:color="auto" w:fill="F2F2F2"/>
          </w:tcPr>
          <w:p w14:paraId="17B20054" w14:textId="77777777" w:rsidR="00C232D7" w:rsidRPr="00E62109" w:rsidRDefault="00C232D7" w:rsidP="00C232D7">
            <w:pPr>
              <w:spacing w:line="360" w:lineRule="auto"/>
              <w:rPr>
                <w:rFonts w:ascii="Arial" w:hAnsi="Arial" w:cs="Arial"/>
                <w:sz w:val="16"/>
                <w:szCs w:val="18"/>
                <w:highlight w:val="yellow"/>
                <w:lang w:val="sr-Latn-RS"/>
              </w:rPr>
            </w:pPr>
          </w:p>
        </w:tc>
        <w:tc>
          <w:tcPr>
            <w:tcW w:w="543" w:type="dxa"/>
            <w:tcBorders>
              <w:top w:val="single" w:sz="2" w:space="0" w:color="000000"/>
              <w:left w:val="single" w:sz="4" w:space="0" w:color="000000"/>
              <w:bottom w:val="single" w:sz="4" w:space="0" w:color="000000"/>
              <w:right w:val="single" w:sz="4" w:space="0" w:color="000000"/>
            </w:tcBorders>
            <w:shd w:val="clear" w:color="auto" w:fill="F2F2F2"/>
          </w:tcPr>
          <w:p w14:paraId="22C3657E" w14:textId="77777777" w:rsidR="00C232D7" w:rsidRPr="00E62109" w:rsidRDefault="00C232D7" w:rsidP="00C232D7">
            <w:pPr>
              <w:spacing w:line="360" w:lineRule="auto"/>
              <w:rPr>
                <w:rFonts w:ascii="Arial" w:hAnsi="Arial" w:cs="Arial"/>
                <w:sz w:val="16"/>
                <w:szCs w:val="18"/>
                <w:highlight w:val="yellow"/>
                <w:lang w:val="sr-Latn-RS"/>
              </w:rPr>
            </w:pPr>
          </w:p>
        </w:tc>
        <w:tc>
          <w:tcPr>
            <w:tcW w:w="651" w:type="dxa"/>
            <w:tcBorders>
              <w:top w:val="single" w:sz="2" w:space="0" w:color="000000"/>
              <w:left w:val="single" w:sz="4" w:space="0" w:color="000000"/>
              <w:bottom w:val="single" w:sz="4" w:space="0" w:color="000000"/>
              <w:right w:val="single" w:sz="4" w:space="0" w:color="000000"/>
            </w:tcBorders>
            <w:shd w:val="clear" w:color="auto" w:fill="F2F2F2"/>
          </w:tcPr>
          <w:p w14:paraId="3D19577C"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3.256</w:t>
            </w:r>
          </w:p>
        </w:tc>
        <w:tc>
          <w:tcPr>
            <w:tcW w:w="837" w:type="dxa"/>
            <w:tcBorders>
              <w:top w:val="single" w:sz="2" w:space="0" w:color="000000"/>
              <w:left w:val="single" w:sz="4" w:space="0" w:color="000000"/>
              <w:bottom w:val="single" w:sz="4" w:space="0" w:color="000000"/>
              <w:right w:val="single" w:sz="4" w:space="0" w:color="000000"/>
            </w:tcBorders>
            <w:shd w:val="clear" w:color="auto" w:fill="F2F2F2"/>
          </w:tcPr>
          <w:p w14:paraId="103DF92E"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936</w:t>
            </w:r>
          </w:p>
        </w:tc>
        <w:tc>
          <w:tcPr>
            <w:tcW w:w="683" w:type="dxa"/>
            <w:tcBorders>
              <w:top w:val="single" w:sz="2" w:space="0" w:color="000000"/>
              <w:left w:val="single" w:sz="4" w:space="0" w:color="000000"/>
              <w:bottom w:val="single" w:sz="4" w:space="0" w:color="000000"/>
              <w:right w:val="single" w:sz="4" w:space="0" w:color="000000"/>
            </w:tcBorders>
            <w:shd w:val="clear" w:color="auto" w:fill="F2F2F2"/>
          </w:tcPr>
          <w:p w14:paraId="348D17FA"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2" w:space="0" w:color="000000"/>
              <w:left w:val="single" w:sz="4" w:space="0" w:color="000000"/>
              <w:bottom w:val="single" w:sz="4" w:space="0" w:color="000000"/>
              <w:right w:val="single" w:sz="2" w:space="0" w:color="000000"/>
            </w:tcBorders>
            <w:shd w:val="clear" w:color="auto" w:fill="F2F2F2"/>
          </w:tcPr>
          <w:p w14:paraId="23DDA97D"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30.136</w:t>
            </w:r>
          </w:p>
        </w:tc>
      </w:tr>
      <w:tr w:rsidR="00C232D7" w:rsidRPr="00E62109" w14:paraId="60FEBA43" w14:textId="77777777" w:rsidTr="00C232D7">
        <w:trPr>
          <w:trHeight w:val="234"/>
          <w:jc w:val="center"/>
        </w:trPr>
        <w:tc>
          <w:tcPr>
            <w:tcW w:w="405" w:type="dxa"/>
            <w:tcBorders>
              <w:top w:val="single" w:sz="4" w:space="0" w:color="000000"/>
              <w:left w:val="single" w:sz="4" w:space="0" w:color="000000"/>
              <w:bottom w:val="single" w:sz="4" w:space="0" w:color="000000"/>
              <w:right w:val="single" w:sz="4" w:space="0" w:color="000000"/>
            </w:tcBorders>
          </w:tcPr>
          <w:p w14:paraId="08B91ABD"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3.</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Pr>
          <w:p w14:paraId="40438805"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Berane (80,31%) </w:t>
            </w:r>
          </w:p>
        </w:tc>
        <w:tc>
          <w:tcPr>
            <w:tcW w:w="781" w:type="dxa"/>
            <w:tcBorders>
              <w:top w:val="single" w:sz="4" w:space="0" w:color="000000"/>
              <w:left w:val="single" w:sz="4" w:space="0" w:color="000000"/>
              <w:bottom w:val="single" w:sz="4" w:space="0" w:color="000000"/>
              <w:right w:val="single" w:sz="4" w:space="0" w:color="000000"/>
            </w:tcBorders>
          </w:tcPr>
          <w:p w14:paraId="79C60CF7"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4" w:space="0" w:color="000000"/>
              <w:left w:val="single" w:sz="4" w:space="0" w:color="000000"/>
              <w:bottom w:val="single" w:sz="4" w:space="0" w:color="000000"/>
              <w:right w:val="single" w:sz="2" w:space="0" w:color="000000"/>
            </w:tcBorders>
          </w:tcPr>
          <w:p w14:paraId="3DEC682D"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4" w:space="0" w:color="000000"/>
              <w:left w:val="single" w:sz="2" w:space="0" w:color="000000"/>
              <w:bottom w:val="single" w:sz="4" w:space="0" w:color="000000"/>
              <w:right w:val="single" w:sz="4" w:space="0" w:color="000000"/>
            </w:tcBorders>
          </w:tcPr>
          <w:p w14:paraId="31655759"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7.450</w:t>
            </w:r>
          </w:p>
        </w:tc>
        <w:tc>
          <w:tcPr>
            <w:tcW w:w="542" w:type="dxa"/>
            <w:tcBorders>
              <w:top w:val="single" w:sz="4" w:space="0" w:color="000000"/>
              <w:left w:val="single" w:sz="4" w:space="0" w:color="000000"/>
              <w:bottom w:val="single" w:sz="4" w:space="0" w:color="000000"/>
              <w:right w:val="single" w:sz="4" w:space="0" w:color="000000"/>
            </w:tcBorders>
            <w:shd w:val="clear" w:color="auto" w:fill="FFE599"/>
          </w:tcPr>
          <w:p w14:paraId="17D4B25F"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FE599"/>
          </w:tcPr>
          <w:p w14:paraId="55CBB376"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FE599"/>
          </w:tcPr>
          <w:p w14:paraId="02B0A49E"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FE599"/>
          </w:tcPr>
          <w:p w14:paraId="4DA7E058"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4" w:space="0" w:color="000000"/>
              <w:left w:val="single" w:sz="4" w:space="0" w:color="000000"/>
              <w:bottom w:val="single" w:sz="4" w:space="0" w:color="000000"/>
              <w:right w:val="single" w:sz="4" w:space="0" w:color="000000"/>
            </w:tcBorders>
          </w:tcPr>
          <w:p w14:paraId="3C566A7C"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150</w:t>
            </w:r>
          </w:p>
        </w:tc>
        <w:tc>
          <w:tcPr>
            <w:tcW w:w="837" w:type="dxa"/>
            <w:tcBorders>
              <w:top w:val="single" w:sz="4" w:space="0" w:color="000000"/>
              <w:left w:val="single" w:sz="4" w:space="0" w:color="000000"/>
              <w:bottom w:val="single" w:sz="4" w:space="0" w:color="000000"/>
              <w:right w:val="single" w:sz="4" w:space="0" w:color="000000"/>
            </w:tcBorders>
          </w:tcPr>
          <w:p w14:paraId="5A3FF1B5"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900</w:t>
            </w:r>
          </w:p>
        </w:tc>
        <w:tc>
          <w:tcPr>
            <w:tcW w:w="683" w:type="dxa"/>
            <w:tcBorders>
              <w:top w:val="single" w:sz="4" w:space="0" w:color="000000"/>
              <w:left w:val="single" w:sz="4" w:space="0" w:color="000000"/>
              <w:bottom w:val="single" w:sz="4" w:space="0" w:color="000000"/>
              <w:right w:val="single" w:sz="4" w:space="0" w:color="000000"/>
            </w:tcBorders>
          </w:tcPr>
          <w:p w14:paraId="6228A4B6"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4" w:space="0" w:color="000000"/>
              <w:right w:val="single" w:sz="2" w:space="0" w:color="000000"/>
            </w:tcBorders>
          </w:tcPr>
          <w:p w14:paraId="4C43D2E7"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8.500</w:t>
            </w:r>
          </w:p>
        </w:tc>
      </w:tr>
      <w:tr w:rsidR="00C232D7" w:rsidRPr="00E62109" w14:paraId="40875317" w14:textId="77777777" w:rsidTr="00C232D7">
        <w:trPr>
          <w:trHeight w:val="227"/>
          <w:jc w:val="center"/>
        </w:trPr>
        <w:tc>
          <w:tcPr>
            <w:tcW w:w="405" w:type="dxa"/>
            <w:tcBorders>
              <w:top w:val="single" w:sz="4" w:space="0" w:color="000000"/>
              <w:left w:val="single" w:sz="4" w:space="0" w:color="000000"/>
              <w:bottom w:val="single" w:sz="4" w:space="0" w:color="000000"/>
              <w:right w:val="single" w:sz="4" w:space="0" w:color="000000"/>
            </w:tcBorders>
            <w:shd w:val="clear" w:color="auto" w:fill="F2F2F2"/>
          </w:tcPr>
          <w:p w14:paraId="273C8E15"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4.</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14:paraId="59238B20" w14:textId="2C8D4E4B"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B</w:t>
            </w:r>
            <w:r w:rsidR="00722136" w:rsidRPr="00E62109">
              <w:rPr>
                <w:rFonts w:ascii="Arial" w:hAnsi="Arial" w:cs="Arial"/>
                <w:sz w:val="16"/>
                <w:szCs w:val="18"/>
                <w:lang w:val="sr-Latn-RS"/>
              </w:rPr>
              <w:t>ijelo</w:t>
            </w:r>
            <w:r w:rsidRPr="00E62109">
              <w:rPr>
                <w:rFonts w:ascii="Arial" w:hAnsi="Arial" w:cs="Arial"/>
                <w:sz w:val="16"/>
                <w:szCs w:val="18"/>
                <w:lang w:val="sr-Latn-RS"/>
              </w:rPr>
              <w:t xml:space="preserve"> Polje </w:t>
            </w:r>
          </w:p>
        </w:tc>
        <w:tc>
          <w:tcPr>
            <w:tcW w:w="781" w:type="dxa"/>
            <w:tcBorders>
              <w:top w:val="single" w:sz="4" w:space="0" w:color="000000"/>
              <w:left w:val="single" w:sz="4" w:space="0" w:color="000000"/>
              <w:bottom w:val="single" w:sz="4" w:space="0" w:color="000000"/>
              <w:right w:val="single" w:sz="4" w:space="0" w:color="000000"/>
            </w:tcBorders>
            <w:shd w:val="clear" w:color="auto" w:fill="F2F2F2"/>
          </w:tcPr>
          <w:p w14:paraId="439D401D"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4" w:space="0" w:color="000000"/>
              <w:left w:val="single" w:sz="4" w:space="0" w:color="000000"/>
              <w:bottom w:val="single" w:sz="4" w:space="0" w:color="000000"/>
              <w:right w:val="single" w:sz="2" w:space="0" w:color="000000"/>
            </w:tcBorders>
            <w:shd w:val="clear" w:color="auto" w:fill="F2F2F2"/>
          </w:tcPr>
          <w:p w14:paraId="02B16B2F"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4" w:space="0" w:color="000000"/>
              <w:left w:val="single" w:sz="2" w:space="0" w:color="000000"/>
              <w:bottom w:val="single" w:sz="4" w:space="0" w:color="000000"/>
              <w:right w:val="single" w:sz="4" w:space="0" w:color="000000"/>
            </w:tcBorders>
            <w:shd w:val="clear" w:color="auto" w:fill="F2F2F2"/>
          </w:tcPr>
          <w:p w14:paraId="6B69AAF6"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14.275</w:t>
            </w: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14:paraId="4FD084BF"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14:paraId="0D817B04"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14:paraId="3B5903F2"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14:paraId="60F93D4B"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4" w:space="0" w:color="000000"/>
              <w:left w:val="single" w:sz="4" w:space="0" w:color="000000"/>
              <w:bottom w:val="single" w:sz="4" w:space="0" w:color="000000"/>
              <w:right w:val="single" w:sz="4" w:space="0" w:color="000000"/>
            </w:tcBorders>
            <w:shd w:val="clear" w:color="auto" w:fill="F2F2F2"/>
          </w:tcPr>
          <w:p w14:paraId="54B1530B"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4" w:space="0" w:color="000000"/>
              <w:left w:val="single" w:sz="4" w:space="0" w:color="000000"/>
              <w:bottom w:val="single" w:sz="4" w:space="0" w:color="000000"/>
              <w:right w:val="single" w:sz="4" w:space="0" w:color="000000"/>
            </w:tcBorders>
            <w:shd w:val="clear" w:color="auto" w:fill="F2F2F2"/>
          </w:tcPr>
          <w:p w14:paraId="31CB9CF2"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4" w:space="0" w:color="000000"/>
              <w:left w:val="single" w:sz="4" w:space="0" w:color="000000"/>
              <w:bottom w:val="single" w:sz="4" w:space="0" w:color="000000"/>
              <w:right w:val="single" w:sz="4" w:space="0" w:color="000000"/>
            </w:tcBorders>
            <w:shd w:val="clear" w:color="auto" w:fill="F2F2F2"/>
          </w:tcPr>
          <w:p w14:paraId="6B50C27C"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4" w:space="0" w:color="000000"/>
              <w:right w:val="single" w:sz="2" w:space="0" w:color="000000"/>
            </w:tcBorders>
            <w:shd w:val="clear" w:color="auto" w:fill="F2F2F2"/>
          </w:tcPr>
          <w:p w14:paraId="1441EF55"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14.275</w:t>
            </w:r>
          </w:p>
        </w:tc>
      </w:tr>
      <w:tr w:rsidR="00C232D7" w:rsidRPr="00E62109" w14:paraId="5DB3BC7A" w14:textId="77777777" w:rsidTr="00C232D7">
        <w:trPr>
          <w:trHeight w:val="221"/>
          <w:jc w:val="center"/>
        </w:trPr>
        <w:tc>
          <w:tcPr>
            <w:tcW w:w="405" w:type="dxa"/>
            <w:tcBorders>
              <w:top w:val="single" w:sz="4" w:space="0" w:color="000000"/>
              <w:left w:val="single" w:sz="4" w:space="0" w:color="000000"/>
              <w:bottom w:val="single" w:sz="4" w:space="0" w:color="000000"/>
              <w:right w:val="single" w:sz="4" w:space="0" w:color="000000"/>
            </w:tcBorders>
          </w:tcPr>
          <w:p w14:paraId="228B7093"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5.</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14:paraId="5A6A7B5C"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Budva </w:t>
            </w:r>
          </w:p>
        </w:tc>
        <w:tc>
          <w:tcPr>
            <w:tcW w:w="781" w:type="dxa"/>
            <w:tcBorders>
              <w:top w:val="single" w:sz="4" w:space="0" w:color="000000"/>
              <w:left w:val="single" w:sz="4" w:space="0" w:color="000000"/>
              <w:bottom w:val="single" w:sz="4" w:space="0" w:color="000000"/>
              <w:right w:val="single" w:sz="4" w:space="0" w:color="000000"/>
            </w:tcBorders>
          </w:tcPr>
          <w:p w14:paraId="420B6EF5"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26.876</w:t>
            </w:r>
          </w:p>
        </w:tc>
        <w:tc>
          <w:tcPr>
            <w:tcW w:w="815" w:type="dxa"/>
            <w:tcBorders>
              <w:top w:val="single" w:sz="4" w:space="0" w:color="000000"/>
              <w:left w:val="single" w:sz="4" w:space="0" w:color="000000"/>
              <w:bottom w:val="single" w:sz="4" w:space="0" w:color="000000"/>
              <w:right w:val="single" w:sz="2" w:space="0" w:color="000000"/>
            </w:tcBorders>
          </w:tcPr>
          <w:p w14:paraId="4BAC947B"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4" w:space="0" w:color="000000"/>
              <w:left w:val="single" w:sz="2" w:space="0" w:color="000000"/>
              <w:bottom w:val="single" w:sz="4" w:space="0" w:color="000000"/>
              <w:right w:val="single" w:sz="4" w:space="0" w:color="000000"/>
            </w:tcBorders>
          </w:tcPr>
          <w:p w14:paraId="36C9069B" w14:textId="77777777" w:rsidR="00C232D7" w:rsidRPr="00E62109" w:rsidRDefault="00C232D7" w:rsidP="00C232D7">
            <w:pPr>
              <w:spacing w:line="360" w:lineRule="auto"/>
              <w:rPr>
                <w:rFonts w:ascii="Arial" w:hAnsi="Arial" w:cs="Arial"/>
                <w:sz w:val="16"/>
                <w:szCs w:val="18"/>
                <w:lang w:val="sr-Latn-RS"/>
              </w:rPr>
            </w:pPr>
          </w:p>
        </w:tc>
        <w:tc>
          <w:tcPr>
            <w:tcW w:w="542" w:type="dxa"/>
            <w:tcBorders>
              <w:top w:val="single" w:sz="4" w:space="0" w:color="000000"/>
              <w:left w:val="single" w:sz="4" w:space="0" w:color="000000"/>
              <w:bottom w:val="single" w:sz="4" w:space="0" w:color="000000"/>
              <w:right w:val="single" w:sz="4" w:space="0" w:color="000000"/>
            </w:tcBorders>
          </w:tcPr>
          <w:p w14:paraId="590F2C91"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4" w:space="0" w:color="000000"/>
              <w:left w:val="single" w:sz="4" w:space="0" w:color="000000"/>
              <w:bottom w:val="single" w:sz="4" w:space="0" w:color="000000"/>
              <w:right w:val="single" w:sz="4" w:space="0" w:color="000000"/>
            </w:tcBorders>
          </w:tcPr>
          <w:p w14:paraId="362DA2B9"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4" w:space="0" w:color="000000"/>
              <w:right w:val="single" w:sz="4" w:space="0" w:color="000000"/>
            </w:tcBorders>
          </w:tcPr>
          <w:p w14:paraId="0FC86A34"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4" w:space="0" w:color="000000"/>
              <w:right w:val="single" w:sz="4" w:space="0" w:color="000000"/>
            </w:tcBorders>
          </w:tcPr>
          <w:p w14:paraId="169EFBF3"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4" w:space="0" w:color="000000"/>
              <w:left w:val="single" w:sz="4" w:space="0" w:color="000000"/>
              <w:bottom w:val="single" w:sz="4" w:space="0" w:color="000000"/>
              <w:right w:val="single" w:sz="4" w:space="0" w:color="000000"/>
            </w:tcBorders>
          </w:tcPr>
          <w:p w14:paraId="6C344F73"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4" w:space="0" w:color="000000"/>
              <w:left w:val="single" w:sz="4" w:space="0" w:color="000000"/>
              <w:bottom w:val="single" w:sz="4" w:space="0" w:color="000000"/>
              <w:right w:val="single" w:sz="4" w:space="0" w:color="000000"/>
            </w:tcBorders>
          </w:tcPr>
          <w:p w14:paraId="2DD8D521"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4" w:space="0" w:color="000000"/>
              <w:left w:val="single" w:sz="4" w:space="0" w:color="000000"/>
              <w:bottom w:val="single" w:sz="4" w:space="0" w:color="000000"/>
              <w:right w:val="single" w:sz="4" w:space="0" w:color="000000"/>
            </w:tcBorders>
          </w:tcPr>
          <w:p w14:paraId="7275319F"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4" w:space="0" w:color="000000"/>
              <w:right w:val="single" w:sz="2" w:space="0" w:color="000000"/>
            </w:tcBorders>
          </w:tcPr>
          <w:p w14:paraId="14FD8A6A"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26.876</w:t>
            </w:r>
          </w:p>
        </w:tc>
      </w:tr>
      <w:tr w:rsidR="00C232D7" w:rsidRPr="00E62109" w14:paraId="483B2AA6" w14:textId="77777777" w:rsidTr="00C232D7">
        <w:trPr>
          <w:trHeight w:val="271"/>
          <w:jc w:val="center"/>
        </w:trPr>
        <w:tc>
          <w:tcPr>
            <w:tcW w:w="405" w:type="dxa"/>
            <w:tcBorders>
              <w:top w:val="single" w:sz="4" w:space="0" w:color="000000"/>
              <w:left w:val="single" w:sz="4" w:space="0" w:color="000000"/>
              <w:bottom w:val="single" w:sz="2" w:space="0" w:color="000000"/>
              <w:right w:val="single" w:sz="4" w:space="0" w:color="000000"/>
            </w:tcBorders>
            <w:shd w:val="clear" w:color="auto" w:fill="F2F2F2"/>
          </w:tcPr>
          <w:p w14:paraId="53528875"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6.</w:t>
            </w:r>
          </w:p>
        </w:tc>
        <w:tc>
          <w:tcPr>
            <w:tcW w:w="1351" w:type="dxa"/>
            <w:tcBorders>
              <w:top w:val="single" w:sz="4" w:space="0" w:color="000000"/>
              <w:left w:val="single" w:sz="4" w:space="0" w:color="000000"/>
              <w:bottom w:val="single" w:sz="2" w:space="0" w:color="000000"/>
              <w:right w:val="single" w:sz="4" w:space="0" w:color="000000"/>
            </w:tcBorders>
            <w:shd w:val="clear" w:color="auto" w:fill="FFFFFF"/>
          </w:tcPr>
          <w:p w14:paraId="2049DF2D"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Podgorica (93,5%) </w:t>
            </w:r>
          </w:p>
        </w:tc>
        <w:tc>
          <w:tcPr>
            <w:tcW w:w="781" w:type="dxa"/>
            <w:tcBorders>
              <w:top w:val="single" w:sz="4" w:space="0" w:color="000000"/>
              <w:left w:val="single" w:sz="4" w:space="0" w:color="000000"/>
              <w:bottom w:val="single" w:sz="2" w:space="0" w:color="000000"/>
              <w:right w:val="single" w:sz="4" w:space="0" w:color="000000"/>
            </w:tcBorders>
            <w:shd w:val="clear" w:color="auto" w:fill="F2F2F2"/>
          </w:tcPr>
          <w:p w14:paraId="4D037FB0"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4" w:space="0" w:color="000000"/>
              <w:left w:val="single" w:sz="4" w:space="0" w:color="000000"/>
              <w:bottom w:val="single" w:sz="2" w:space="0" w:color="000000"/>
              <w:right w:val="single" w:sz="2" w:space="0" w:color="000000"/>
            </w:tcBorders>
            <w:shd w:val="clear" w:color="auto" w:fill="F2F2F2"/>
          </w:tcPr>
          <w:p w14:paraId="1A466193"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82.514</w:t>
            </w:r>
          </w:p>
        </w:tc>
        <w:tc>
          <w:tcPr>
            <w:tcW w:w="852" w:type="dxa"/>
            <w:tcBorders>
              <w:top w:val="single" w:sz="4" w:space="0" w:color="000000"/>
              <w:left w:val="single" w:sz="2" w:space="0" w:color="000000"/>
              <w:bottom w:val="single" w:sz="2" w:space="0" w:color="000000"/>
              <w:right w:val="single" w:sz="4" w:space="0" w:color="000000"/>
            </w:tcBorders>
            <w:shd w:val="clear" w:color="auto" w:fill="F2F2F2"/>
          </w:tcPr>
          <w:p w14:paraId="191A07B1" w14:textId="77777777" w:rsidR="00C232D7" w:rsidRPr="00E62109" w:rsidRDefault="00C232D7" w:rsidP="00C232D7">
            <w:pPr>
              <w:spacing w:line="360" w:lineRule="auto"/>
              <w:rPr>
                <w:rFonts w:ascii="Arial" w:hAnsi="Arial" w:cs="Arial"/>
                <w:sz w:val="16"/>
                <w:szCs w:val="18"/>
                <w:lang w:val="sr-Latn-RS"/>
              </w:rPr>
            </w:pPr>
          </w:p>
        </w:tc>
        <w:tc>
          <w:tcPr>
            <w:tcW w:w="542" w:type="dxa"/>
            <w:tcBorders>
              <w:top w:val="single" w:sz="4" w:space="0" w:color="000000"/>
              <w:left w:val="single" w:sz="4" w:space="0" w:color="000000"/>
              <w:bottom w:val="single" w:sz="2" w:space="0" w:color="000000"/>
              <w:right w:val="single" w:sz="4" w:space="0" w:color="000000"/>
            </w:tcBorders>
            <w:shd w:val="clear" w:color="auto" w:fill="F2F2F2"/>
          </w:tcPr>
          <w:p w14:paraId="16A5C920"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1.199</w:t>
            </w:r>
          </w:p>
        </w:tc>
        <w:tc>
          <w:tcPr>
            <w:tcW w:w="676" w:type="dxa"/>
            <w:tcBorders>
              <w:top w:val="single" w:sz="4" w:space="0" w:color="000000"/>
              <w:left w:val="single" w:sz="4" w:space="0" w:color="000000"/>
              <w:bottom w:val="single" w:sz="2" w:space="0" w:color="000000"/>
              <w:right w:val="single" w:sz="4" w:space="0" w:color="000000"/>
            </w:tcBorders>
            <w:shd w:val="clear" w:color="auto" w:fill="F2F2F2"/>
          </w:tcPr>
          <w:p w14:paraId="71219076"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599</w:t>
            </w:r>
          </w:p>
        </w:tc>
        <w:tc>
          <w:tcPr>
            <w:tcW w:w="545" w:type="dxa"/>
            <w:tcBorders>
              <w:top w:val="single" w:sz="4" w:space="0" w:color="000000"/>
              <w:left w:val="single" w:sz="4" w:space="0" w:color="000000"/>
              <w:bottom w:val="single" w:sz="2" w:space="0" w:color="000000"/>
              <w:right w:val="single" w:sz="4" w:space="0" w:color="000000"/>
            </w:tcBorders>
            <w:shd w:val="clear" w:color="auto" w:fill="F2F2F2"/>
          </w:tcPr>
          <w:p w14:paraId="2FAFF5C8"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85</w:t>
            </w:r>
          </w:p>
        </w:tc>
        <w:tc>
          <w:tcPr>
            <w:tcW w:w="543" w:type="dxa"/>
            <w:tcBorders>
              <w:top w:val="single" w:sz="4" w:space="0" w:color="000000"/>
              <w:left w:val="single" w:sz="4" w:space="0" w:color="000000"/>
              <w:bottom w:val="single" w:sz="2" w:space="0" w:color="000000"/>
              <w:right w:val="single" w:sz="4" w:space="0" w:color="000000"/>
            </w:tcBorders>
            <w:shd w:val="clear" w:color="auto" w:fill="F2F2F2"/>
          </w:tcPr>
          <w:p w14:paraId="0C74B753"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22</w:t>
            </w:r>
          </w:p>
        </w:tc>
        <w:tc>
          <w:tcPr>
            <w:tcW w:w="651" w:type="dxa"/>
            <w:tcBorders>
              <w:top w:val="single" w:sz="4" w:space="0" w:color="000000"/>
              <w:left w:val="single" w:sz="4" w:space="0" w:color="000000"/>
              <w:bottom w:val="single" w:sz="2" w:space="0" w:color="000000"/>
              <w:right w:val="single" w:sz="4" w:space="0" w:color="000000"/>
            </w:tcBorders>
            <w:shd w:val="clear" w:color="auto" w:fill="F2F2F2"/>
          </w:tcPr>
          <w:p w14:paraId="74A9B16F"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32.715</w:t>
            </w:r>
          </w:p>
        </w:tc>
        <w:tc>
          <w:tcPr>
            <w:tcW w:w="837" w:type="dxa"/>
            <w:tcBorders>
              <w:top w:val="single" w:sz="4" w:space="0" w:color="000000"/>
              <w:left w:val="single" w:sz="4" w:space="0" w:color="000000"/>
              <w:bottom w:val="single" w:sz="2" w:space="0" w:color="000000"/>
              <w:right w:val="single" w:sz="4" w:space="0" w:color="000000"/>
            </w:tcBorders>
            <w:shd w:val="clear" w:color="auto" w:fill="F2F2F2"/>
          </w:tcPr>
          <w:p w14:paraId="2D08D7B3"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1.865</w:t>
            </w:r>
          </w:p>
        </w:tc>
        <w:tc>
          <w:tcPr>
            <w:tcW w:w="683" w:type="dxa"/>
            <w:tcBorders>
              <w:top w:val="single" w:sz="4" w:space="0" w:color="000000"/>
              <w:left w:val="single" w:sz="4" w:space="0" w:color="000000"/>
              <w:bottom w:val="single" w:sz="2" w:space="0" w:color="000000"/>
              <w:right w:val="single" w:sz="4" w:space="0" w:color="000000"/>
            </w:tcBorders>
            <w:shd w:val="clear" w:color="auto" w:fill="F2F2F2"/>
          </w:tcPr>
          <w:p w14:paraId="4747C8EA"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2" w:space="0" w:color="000000"/>
              <w:right w:val="single" w:sz="2" w:space="0" w:color="000000"/>
            </w:tcBorders>
            <w:shd w:val="clear" w:color="auto" w:fill="F2F2F2"/>
          </w:tcPr>
          <w:p w14:paraId="27F39F83"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118.999</w:t>
            </w:r>
          </w:p>
        </w:tc>
      </w:tr>
      <w:tr w:rsidR="00C232D7" w:rsidRPr="00E62109" w14:paraId="76F7E906" w14:textId="77777777" w:rsidTr="00C232D7">
        <w:trPr>
          <w:trHeight w:val="225"/>
          <w:jc w:val="center"/>
        </w:trPr>
        <w:tc>
          <w:tcPr>
            <w:tcW w:w="405" w:type="dxa"/>
            <w:tcBorders>
              <w:top w:val="single" w:sz="2" w:space="0" w:color="000000"/>
              <w:left w:val="single" w:sz="4" w:space="0" w:color="000000"/>
              <w:bottom w:val="single" w:sz="4" w:space="0" w:color="000000"/>
              <w:right w:val="single" w:sz="4" w:space="0" w:color="000000"/>
            </w:tcBorders>
          </w:tcPr>
          <w:p w14:paraId="20DFF5C7"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7.</w:t>
            </w:r>
          </w:p>
        </w:tc>
        <w:tc>
          <w:tcPr>
            <w:tcW w:w="1351" w:type="dxa"/>
            <w:tcBorders>
              <w:top w:val="single" w:sz="2" w:space="0" w:color="000000"/>
              <w:left w:val="single" w:sz="4" w:space="0" w:color="000000"/>
              <w:bottom w:val="single" w:sz="4" w:space="0" w:color="000000"/>
              <w:right w:val="single" w:sz="4" w:space="0" w:color="000000"/>
            </w:tcBorders>
            <w:shd w:val="clear" w:color="auto" w:fill="auto"/>
          </w:tcPr>
          <w:p w14:paraId="4AE4941B"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Danilovgrad </w:t>
            </w:r>
          </w:p>
        </w:tc>
        <w:tc>
          <w:tcPr>
            <w:tcW w:w="781" w:type="dxa"/>
            <w:tcBorders>
              <w:top w:val="single" w:sz="2" w:space="0" w:color="000000"/>
              <w:left w:val="single" w:sz="4" w:space="0" w:color="000000"/>
              <w:bottom w:val="single" w:sz="4" w:space="0" w:color="000000"/>
              <w:right w:val="single" w:sz="4" w:space="0" w:color="000000"/>
            </w:tcBorders>
          </w:tcPr>
          <w:p w14:paraId="3E12AE38"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2" w:space="0" w:color="000000"/>
              <w:left w:val="single" w:sz="4" w:space="0" w:color="000000"/>
              <w:bottom w:val="single" w:sz="4" w:space="0" w:color="000000"/>
              <w:right w:val="single" w:sz="2" w:space="0" w:color="000000"/>
            </w:tcBorders>
          </w:tcPr>
          <w:p w14:paraId="6DB26F16"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5.382</w:t>
            </w:r>
          </w:p>
        </w:tc>
        <w:tc>
          <w:tcPr>
            <w:tcW w:w="852" w:type="dxa"/>
            <w:tcBorders>
              <w:top w:val="single" w:sz="2" w:space="0" w:color="000000"/>
              <w:left w:val="single" w:sz="2" w:space="0" w:color="000000"/>
              <w:bottom w:val="single" w:sz="4" w:space="0" w:color="000000"/>
              <w:right w:val="single" w:sz="4" w:space="0" w:color="000000"/>
            </w:tcBorders>
          </w:tcPr>
          <w:p w14:paraId="715C898A" w14:textId="77777777" w:rsidR="00C232D7" w:rsidRPr="00E62109" w:rsidRDefault="00C232D7" w:rsidP="00C232D7">
            <w:pPr>
              <w:spacing w:line="360" w:lineRule="auto"/>
              <w:rPr>
                <w:rFonts w:ascii="Arial" w:hAnsi="Arial" w:cs="Arial"/>
                <w:sz w:val="16"/>
                <w:szCs w:val="18"/>
                <w:lang w:val="sr-Latn-RS"/>
              </w:rPr>
            </w:pPr>
          </w:p>
        </w:tc>
        <w:tc>
          <w:tcPr>
            <w:tcW w:w="542" w:type="dxa"/>
            <w:tcBorders>
              <w:top w:val="single" w:sz="2" w:space="0" w:color="000000"/>
              <w:left w:val="single" w:sz="4" w:space="0" w:color="000000"/>
              <w:bottom w:val="single" w:sz="4" w:space="0" w:color="000000"/>
              <w:right w:val="single" w:sz="4" w:space="0" w:color="000000"/>
            </w:tcBorders>
            <w:shd w:val="clear" w:color="auto" w:fill="FBE183"/>
          </w:tcPr>
          <w:p w14:paraId="0615585D"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2" w:space="0" w:color="000000"/>
              <w:left w:val="single" w:sz="4" w:space="0" w:color="000000"/>
              <w:bottom w:val="single" w:sz="4" w:space="0" w:color="000000"/>
              <w:right w:val="single" w:sz="4" w:space="0" w:color="000000"/>
            </w:tcBorders>
            <w:shd w:val="clear" w:color="auto" w:fill="FBE183"/>
          </w:tcPr>
          <w:p w14:paraId="7BEBAA8B"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2" w:space="0" w:color="000000"/>
              <w:left w:val="single" w:sz="4" w:space="0" w:color="000000"/>
              <w:bottom w:val="single" w:sz="4" w:space="0" w:color="000000"/>
              <w:right w:val="single" w:sz="4" w:space="0" w:color="000000"/>
            </w:tcBorders>
            <w:shd w:val="clear" w:color="auto" w:fill="FBE183"/>
          </w:tcPr>
          <w:p w14:paraId="1AFA90A2"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2" w:space="0" w:color="000000"/>
              <w:left w:val="single" w:sz="4" w:space="0" w:color="000000"/>
              <w:bottom w:val="single" w:sz="4" w:space="0" w:color="000000"/>
              <w:right w:val="single" w:sz="4" w:space="0" w:color="000000"/>
            </w:tcBorders>
            <w:shd w:val="clear" w:color="auto" w:fill="FBE183"/>
          </w:tcPr>
          <w:p w14:paraId="198B4D54"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2" w:space="0" w:color="000000"/>
              <w:left w:val="single" w:sz="4" w:space="0" w:color="000000"/>
              <w:bottom w:val="single" w:sz="4" w:space="0" w:color="000000"/>
              <w:right w:val="single" w:sz="4" w:space="0" w:color="000000"/>
            </w:tcBorders>
          </w:tcPr>
          <w:p w14:paraId="10224505"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1.381</w:t>
            </w:r>
          </w:p>
        </w:tc>
        <w:tc>
          <w:tcPr>
            <w:tcW w:w="837" w:type="dxa"/>
            <w:tcBorders>
              <w:top w:val="single" w:sz="2" w:space="0" w:color="000000"/>
              <w:left w:val="single" w:sz="4" w:space="0" w:color="000000"/>
              <w:bottom w:val="single" w:sz="4" w:space="0" w:color="000000"/>
              <w:right w:val="single" w:sz="4" w:space="0" w:color="000000"/>
            </w:tcBorders>
          </w:tcPr>
          <w:p w14:paraId="0DBE7875"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2" w:space="0" w:color="000000"/>
              <w:left w:val="single" w:sz="4" w:space="0" w:color="000000"/>
              <w:bottom w:val="single" w:sz="4" w:space="0" w:color="000000"/>
              <w:right w:val="single" w:sz="4" w:space="0" w:color="000000"/>
            </w:tcBorders>
          </w:tcPr>
          <w:p w14:paraId="5F1FD75A"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2" w:space="0" w:color="000000"/>
              <w:left w:val="single" w:sz="4" w:space="0" w:color="000000"/>
              <w:bottom w:val="single" w:sz="4" w:space="0" w:color="000000"/>
              <w:right w:val="single" w:sz="2" w:space="0" w:color="000000"/>
            </w:tcBorders>
          </w:tcPr>
          <w:p w14:paraId="63957009"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6.763</w:t>
            </w:r>
          </w:p>
        </w:tc>
      </w:tr>
      <w:tr w:rsidR="00C232D7" w:rsidRPr="00E62109" w14:paraId="4E05F575" w14:textId="77777777" w:rsidTr="00C232D7">
        <w:trPr>
          <w:trHeight w:val="225"/>
          <w:jc w:val="center"/>
        </w:trPr>
        <w:tc>
          <w:tcPr>
            <w:tcW w:w="405" w:type="dxa"/>
            <w:tcBorders>
              <w:top w:val="single" w:sz="4" w:space="0" w:color="000000"/>
              <w:left w:val="single" w:sz="4" w:space="0" w:color="000000"/>
              <w:bottom w:val="single" w:sz="2" w:space="0" w:color="000000"/>
              <w:right w:val="single" w:sz="4" w:space="0" w:color="000000"/>
            </w:tcBorders>
            <w:shd w:val="clear" w:color="auto" w:fill="F2F2F2"/>
          </w:tcPr>
          <w:p w14:paraId="1FB390A1"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8.</w:t>
            </w:r>
          </w:p>
        </w:tc>
        <w:tc>
          <w:tcPr>
            <w:tcW w:w="1351" w:type="dxa"/>
            <w:tcBorders>
              <w:top w:val="single" w:sz="4" w:space="0" w:color="000000"/>
              <w:left w:val="single" w:sz="4" w:space="0" w:color="000000"/>
              <w:bottom w:val="single" w:sz="2" w:space="0" w:color="000000"/>
              <w:right w:val="single" w:sz="4" w:space="0" w:color="000000"/>
            </w:tcBorders>
            <w:shd w:val="clear" w:color="auto" w:fill="auto"/>
          </w:tcPr>
          <w:p w14:paraId="46C0374C"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Žabljak </w:t>
            </w:r>
          </w:p>
        </w:tc>
        <w:tc>
          <w:tcPr>
            <w:tcW w:w="781" w:type="dxa"/>
            <w:tcBorders>
              <w:top w:val="single" w:sz="4" w:space="0" w:color="000000"/>
              <w:left w:val="single" w:sz="4" w:space="0" w:color="000000"/>
              <w:bottom w:val="single" w:sz="2" w:space="0" w:color="000000"/>
              <w:right w:val="single" w:sz="4" w:space="0" w:color="000000"/>
            </w:tcBorders>
            <w:shd w:val="clear" w:color="auto" w:fill="F2F2F2"/>
          </w:tcPr>
          <w:p w14:paraId="57162B09"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4" w:space="0" w:color="000000"/>
              <w:left w:val="single" w:sz="4" w:space="0" w:color="000000"/>
              <w:bottom w:val="single" w:sz="2" w:space="0" w:color="000000"/>
              <w:right w:val="single" w:sz="2" w:space="0" w:color="000000"/>
            </w:tcBorders>
            <w:shd w:val="clear" w:color="auto" w:fill="F2F2F2"/>
          </w:tcPr>
          <w:p w14:paraId="087DDC9A"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4" w:space="0" w:color="000000"/>
              <w:left w:val="single" w:sz="2" w:space="0" w:color="000000"/>
              <w:bottom w:val="single" w:sz="2" w:space="0" w:color="000000"/>
              <w:right w:val="single" w:sz="4" w:space="0" w:color="000000"/>
            </w:tcBorders>
            <w:shd w:val="clear" w:color="auto" w:fill="F2F2F2"/>
          </w:tcPr>
          <w:p w14:paraId="5F84BBBD"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1.600</w:t>
            </w:r>
          </w:p>
        </w:tc>
        <w:tc>
          <w:tcPr>
            <w:tcW w:w="542" w:type="dxa"/>
            <w:tcBorders>
              <w:top w:val="single" w:sz="4" w:space="0" w:color="000000"/>
              <w:left w:val="single" w:sz="4" w:space="0" w:color="000000"/>
              <w:bottom w:val="single" w:sz="2" w:space="0" w:color="000000"/>
              <w:right w:val="single" w:sz="4" w:space="0" w:color="000000"/>
            </w:tcBorders>
            <w:shd w:val="clear" w:color="auto" w:fill="FBE183"/>
          </w:tcPr>
          <w:p w14:paraId="0223198E"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4" w:space="0" w:color="000000"/>
              <w:left w:val="single" w:sz="4" w:space="0" w:color="000000"/>
              <w:bottom w:val="single" w:sz="2" w:space="0" w:color="000000"/>
              <w:right w:val="single" w:sz="4" w:space="0" w:color="000000"/>
            </w:tcBorders>
            <w:shd w:val="clear" w:color="auto" w:fill="FBE183"/>
          </w:tcPr>
          <w:p w14:paraId="17981289"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2" w:space="0" w:color="000000"/>
              <w:right w:val="single" w:sz="4" w:space="0" w:color="000000"/>
            </w:tcBorders>
            <w:shd w:val="clear" w:color="auto" w:fill="FBE183"/>
          </w:tcPr>
          <w:p w14:paraId="400BE338"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2" w:space="0" w:color="000000"/>
              <w:right w:val="single" w:sz="4" w:space="0" w:color="000000"/>
            </w:tcBorders>
            <w:shd w:val="clear" w:color="auto" w:fill="FBE183"/>
          </w:tcPr>
          <w:p w14:paraId="2318B6D5"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4" w:space="0" w:color="000000"/>
              <w:left w:val="single" w:sz="4" w:space="0" w:color="000000"/>
              <w:bottom w:val="single" w:sz="2" w:space="0" w:color="000000"/>
              <w:right w:val="single" w:sz="4" w:space="0" w:color="000000"/>
            </w:tcBorders>
            <w:shd w:val="clear" w:color="auto" w:fill="F2F2F2"/>
          </w:tcPr>
          <w:p w14:paraId="062ADAE8"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4" w:space="0" w:color="000000"/>
              <w:left w:val="single" w:sz="4" w:space="0" w:color="000000"/>
              <w:bottom w:val="single" w:sz="2" w:space="0" w:color="000000"/>
              <w:right w:val="single" w:sz="4" w:space="0" w:color="000000"/>
            </w:tcBorders>
            <w:shd w:val="clear" w:color="auto" w:fill="F2F2F2"/>
          </w:tcPr>
          <w:p w14:paraId="351C9B5F"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4" w:space="0" w:color="000000"/>
              <w:left w:val="single" w:sz="4" w:space="0" w:color="000000"/>
              <w:bottom w:val="single" w:sz="2" w:space="0" w:color="000000"/>
              <w:right w:val="single" w:sz="4" w:space="0" w:color="000000"/>
            </w:tcBorders>
            <w:shd w:val="clear" w:color="auto" w:fill="F2F2F2"/>
          </w:tcPr>
          <w:p w14:paraId="258161FB"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2" w:space="0" w:color="000000"/>
              <w:right w:val="single" w:sz="2" w:space="0" w:color="000000"/>
            </w:tcBorders>
            <w:shd w:val="clear" w:color="auto" w:fill="F2F2F2"/>
          </w:tcPr>
          <w:p w14:paraId="6F98A52F"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1.600</w:t>
            </w:r>
          </w:p>
        </w:tc>
      </w:tr>
      <w:tr w:rsidR="00C232D7" w:rsidRPr="00E62109" w14:paraId="305ED4E5" w14:textId="77777777" w:rsidTr="00C232D7">
        <w:trPr>
          <w:trHeight w:val="227"/>
          <w:jc w:val="center"/>
        </w:trPr>
        <w:tc>
          <w:tcPr>
            <w:tcW w:w="405" w:type="dxa"/>
            <w:tcBorders>
              <w:top w:val="single" w:sz="2" w:space="0" w:color="000000"/>
              <w:left w:val="single" w:sz="4" w:space="0" w:color="000000"/>
              <w:bottom w:val="single" w:sz="4" w:space="0" w:color="000000"/>
              <w:right w:val="single" w:sz="4" w:space="0" w:color="000000"/>
            </w:tcBorders>
          </w:tcPr>
          <w:p w14:paraId="55A66D3C"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9.</w:t>
            </w:r>
          </w:p>
        </w:tc>
        <w:tc>
          <w:tcPr>
            <w:tcW w:w="1351" w:type="dxa"/>
            <w:tcBorders>
              <w:top w:val="single" w:sz="2" w:space="0" w:color="000000"/>
              <w:left w:val="single" w:sz="4" w:space="0" w:color="000000"/>
              <w:bottom w:val="single" w:sz="4" w:space="0" w:color="000000"/>
              <w:right w:val="single" w:sz="4" w:space="0" w:color="000000"/>
            </w:tcBorders>
            <w:shd w:val="clear" w:color="auto" w:fill="FFFFFF"/>
          </w:tcPr>
          <w:p w14:paraId="6CB96791"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Kolašin </w:t>
            </w:r>
          </w:p>
        </w:tc>
        <w:tc>
          <w:tcPr>
            <w:tcW w:w="781" w:type="dxa"/>
            <w:tcBorders>
              <w:top w:val="single" w:sz="2" w:space="0" w:color="000000"/>
              <w:left w:val="single" w:sz="4" w:space="0" w:color="000000"/>
              <w:bottom w:val="single" w:sz="4" w:space="0" w:color="000000"/>
              <w:right w:val="single" w:sz="4" w:space="0" w:color="000000"/>
            </w:tcBorders>
          </w:tcPr>
          <w:p w14:paraId="1FC71E8A"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2" w:space="0" w:color="000000"/>
              <w:left w:val="single" w:sz="4" w:space="0" w:color="000000"/>
              <w:bottom w:val="single" w:sz="4" w:space="0" w:color="000000"/>
              <w:right w:val="single" w:sz="2" w:space="0" w:color="000000"/>
            </w:tcBorders>
          </w:tcPr>
          <w:p w14:paraId="34EB4729"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2" w:space="0" w:color="000000"/>
              <w:left w:val="single" w:sz="2" w:space="0" w:color="000000"/>
              <w:bottom w:val="single" w:sz="4" w:space="0" w:color="000000"/>
              <w:right w:val="single" w:sz="4" w:space="0" w:color="000000"/>
            </w:tcBorders>
          </w:tcPr>
          <w:p w14:paraId="4115BE1F"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1.550</w:t>
            </w:r>
          </w:p>
        </w:tc>
        <w:tc>
          <w:tcPr>
            <w:tcW w:w="542" w:type="dxa"/>
            <w:tcBorders>
              <w:top w:val="single" w:sz="2" w:space="0" w:color="000000"/>
              <w:left w:val="single" w:sz="4" w:space="0" w:color="000000"/>
              <w:bottom w:val="single" w:sz="4" w:space="0" w:color="000000"/>
              <w:right w:val="single" w:sz="4" w:space="0" w:color="000000"/>
            </w:tcBorders>
          </w:tcPr>
          <w:p w14:paraId="7A2B7703"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30</w:t>
            </w:r>
          </w:p>
        </w:tc>
        <w:tc>
          <w:tcPr>
            <w:tcW w:w="676" w:type="dxa"/>
            <w:tcBorders>
              <w:top w:val="single" w:sz="2" w:space="0" w:color="000000"/>
              <w:left w:val="single" w:sz="4" w:space="0" w:color="000000"/>
              <w:bottom w:val="single" w:sz="4" w:space="0" w:color="000000"/>
              <w:right w:val="single" w:sz="4" w:space="0" w:color="000000"/>
            </w:tcBorders>
          </w:tcPr>
          <w:p w14:paraId="7081A06E"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20</w:t>
            </w:r>
          </w:p>
        </w:tc>
        <w:tc>
          <w:tcPr>
            <w:tcW w:w="545" w:type="dxa"/>
            <w:tcBorders>
              <w:top w:val="single" w:sz="2" w:space="0" w:color="000000"/>
              <w:left w:val="single" w:sz="4" w:space="0" w:color="000000"/>
              <w:bottom w:val="single" w:sz="4" w:space="0" w:color="000000"/>
              <w:right w:val="single" w:sz="4" w:space="0" w:color="000000"/>
            </w:tcBorders>
          </w:tcPr>
          <w:p w14:paraId="37F47CFE"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2" w:space="0" w:color="000000"/>
              <w:left w:val="single" w:sz="4" w:space="0" w:color="000000"/>
              <w:bottom w:val="single" w:sz="4" w:space="0" w:color="000000"/>
              <w:right w:val="single" w:sz="4" w:space="0" w:color="000000"/>
            </w:tcBorders>
          </w:tcPr>
          <w:p w14:paraId="396BFECE"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150</w:t>
            </w:r>
          </w:p>
        </w:tc>
        <w:tc>
          <w:tcPr>
            <w:tcW w:w="651" w:type="dxa"/>
            <w:tcBorders>
              <w:top w:val="single" w:sz="2" w:space="0" w:color="000000"/>
              <w:left w:val="single" w:sz="4" w:space="0" w:color="000000"/>
              <w:bottom w:val="single" w:sz="4" w:space="0" w:color="000000"/>
              <w:right w:val="single" w:sz="4" w:space="0" w:color="000000"/>
            </w:tcBorders>
          </w:tcPr>
          <w:p w14:paraId="7F1AF934"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2" w:space="0" w:color="000000"/>
              <w:left w:val="single" w:sz="4" w:space="0" w:color="000000"/>
              <w:bottom w:val="single" w:sz="4" w:space="0" w:color="000000"/>
              <w:right w:val="single" w:sz="4" w:space="0" w:color="000000"/>
            </w:tcBorders>
          </w:tcPr>
          <w:p w14:paraId="48D72DF6"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2" w:space="0" w:color="000000"/>
              <w:left w:val="single" w:sz="4" w:space="0" w:color="000000"/>
              <w:bottom w:val="single" w:sz="4" w:space="0" w:color="000000"/>
              <w:right w:val="single" w:sz="4" w:space="0" w:color="000000"/>
            </w:tcBorders>
          </w:tcPr>
          <w:p w14:paraId="020B09C4"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2" w:space="0" w:color="000000"/>
              <w:left w:val="single" w:sz="4" w:space="0" w:color="000000"/>
              <w:bottom w:val="single" w:sz="4" w:space="0" w:color="000000"/>
              <w:right w:val="single" w:sz="2" w:space="0" w:color="000000"/>
            </w:tcBorders>
          </w:tcPr>
          <w:p w14:paraId="7C825E0B"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1.750</w:t>
            </w:r>
          </w:p>
        </w:tc>
      </w:tr>
      <w:tr w:rsidR="00C232D7" w:rsidRPr="00E62109" w14:paraId="054D4D29" w14:textId="77777777" w:rsidTr="00C232D7">
        <w:trPr>
          <w:trHeight w:val="221"/>
          <w:jc w:val="center"/>
        </w:trPr>
        <w:tc>
          <w:tcPr>
            <w:tcW w:w="405" w:type="dxa"/>
            <w:tcBorders>
              <w:top w:val="single" w:sz="4" w:space="0" w:color="000000"/>
              <w:left w:val="single" w:sz="4" w:space="0" w:color="000000"/>
              <w:bottom w:val="single" w:sz="4" w:space="0" w:color="000000"/>
              <w:right w:val="single" w:sz="4" w:space="0" w:color="000000"/>
            </w:tcBorders>
            <w:shd w:val="clear" w:color="auto" w:fill="F2F2F2"/>
          </w:tcPr>
          <w:p w14:paraId="411A1A33"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10.</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Pr>
          <w:p w14:paraId="216BFB88"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Kotor  </w:t>
            </w:r>
          </w:p>
        </w:tc>
        <w:tc>
          <w:tcPr>
            <w:tcW w:w="781" w:type="dxa"/>
            <w:tcBorders>
              <w:top w:val="single" w:sz="4" w:space="0" w:color="000000"/>
              <w:left w:val="single" w:sz="4" w:space="0" w:color="000000"/>
              <w:bottom w:val="single" w:sz="4" w:space="0" w:color="000000"/>
              <w:right w:val="single" w:sz="4" w:space="0" w:color="000000"/>
            </w:tcBorders>
            <w:shd w:val="clear" w:color="auto" w:fill="F2F2F2"/>
          </w:tcPr>
          <w:p w14:paraId="469D648D"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18.294</w:t>
            </w:r>
          </w:p>
        </w:tc>
        <w:tc>
          <w:tcPr>
            <w:tcW w:w="815" w:type="dxa"/>
            <w:tcBorders>
              <w:top w:val="single" w:sz="4" w:space="0" w:color="000000"/>
              <w:left w:val="single" w:sz="4" w:space="0" w:color="000000"/>
              <w:bottom w:val="single" w:sz="4" w:space="0" w:color="000000"/>
              <w:right w:val="single" w:sz="2" w:space="0" w:color="000000"/>
            </w:tcBorders>
            <w:shd w:val="clear" w:color="auto" w:fill="F2F2F2"/>
          </w:tcPr>
          <w:p w14:paraId="1F274E64"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4" w:space="0" w:color="000000"/>
              <w:left w:val="single" w:sz="2" w:space="0" w:color="000000"/>
              <w:bottom w:val="single" w:sz="4" w:space="0" w:color="000000"/>
              <w:right w:val="single" w:sz="4" w:space="0" w:color="000000"/>
            </w:tcBorders>
            <w:shd w:val="clear" w:color="auto" w:fill="F2F2F2"/>
          </w:tcPr>
          <w:p w14:paraId="41F70BA6" w14:textId="77777777" w:rsidR="00C232D7" w:rsidRPr="00E62109" w:rsidRDefault="00C232D7" w:rsidP="00C232D7">
            <w:pPr>
              <w:spacing w:line="360" w:lineRule="auto"/>
              <w:rPr>
                <w:rFonts w:ascii="Arial" w:hAnsi="Arial" w:cs="Arial"/>
                <w:sz w:val="16"/>
                <w:szCs w:val="18"/>
                <w:lang w:val="sr-Latn-RS"/>
              </w:rPr>
            </w:pPr>
          </w:p>
        </w:tc>
        <w:tc>
          <w:tcPr>
            <w:tcW w:w="542" w:type="dxa"/>
            <w:tcBorders>
              <w:top w:val="single" w:sz="4" w:space="0" w:color="000000"/>
              <w:left w:val="single" w:sz="4" w:space="0" w:color="000000"/>
              <w:bottom w:val="single" w:sz="4" w:space="0" w:color="000000"/>
              <w:right w:val="single" w:sz="4" w:space="0" w:color="000000"/>
            </w:tcBorders>
            <w:shd w:val="clear" w:color="auto" w:fill="F2F2F2"/>
          </w:tcPr>
          <w:p w14:paraId="3D86B76C"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759</w:t>
            </w:r>
          </w:p>
        </w:tc>
        <w:tc>
          <w:tcPr>
            <w:tcW w:w="676" w:type="dxa"/>
            <w:tcBorders>
              <w:top w:val="single" w:sz="4" w:space="0" w:color="000000"/>
              <w:left w:val="single" w:sz="4" w:space="0" w:color="000000"/>
              <w:bottom w:val="single" w:sz="4" w:space="0" w:color="000000"/>
              <w:right w:val="single" w:sz="4" w:space="0" w:color="000000"/>
            </w:tcBorders>
            <w:shd w:val="clear" w:color="auto" w:fill="F2F2F2"/>
          </w:tcPr>
          <w:p w14:paraId="74377516"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145</w:t>
            </w:r>
          </w:p>
        </w:tc>
        <w:tc>
          <w:tcPr>
            <w:tcW w:w="545" w:type="dxa"/>
            <w:tcBorders>
              <w:top w:val="single" w:sz="4" w:space="0" w:color="000000"/>
              <w:left w:val="single" w:sz="4" w:space="0" w:color="000000"/>
              <w:bottom w:val="single" w:sz="4" w:space="0" w:color="000000"/>
              <w:right w:val="single" w:sz="4" w:space="0" w:color="000000"/>
            </w:tcBorders>
            <w:shd w:val="clear" w:color="auto" w:fill="F2F2F2"/>
          </w:tcPr>
          <w:p w14:paraId="0E93B871"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176</w:t>
            </w:r>
          </w:p>
        </w:tc>
        <w:tc>
          <w:tcPr>
            <w:tcW w:w="543" w:type="dxa"/>
            <w:tcBorders>
              <w:top w:val="single" w:sz="4" w:space="0" w:color="000000"/>
              <w:left w:val="single" w:sz="4" w:space="0" w:color="000000"/>
              <w:bottom w:val="single" w:sz="4" w:space="0" w:color="000000"/>
              <w:right w:val="single" w:sz="4" w:space="0" w:color="000000"/>
            </w:tcBorders>
            <w:shd w:val="clear" w:color="auto" w:fill="F2F2F2"/>
          </w:tcPr>
          <w:p w14:paraId="54178CCF"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835</w:t>
            </w:r>
          </w:p>
        </w:tc>
        <w:tc>
          <w:tcPr>
            <w:tcW w:w="651" w:type="dxa"/>
            <w:tcBorders>
              <w:top w:val="single" w:sz="4" w:space="0" w:color="000000"/>
              <w:left w:val="single" w:sz="4" w:space="0" w:color="000000"/>
              <w:bottom w:val="single" w:sz="4" w:space="0" w:color="000000"/>
              <w:right w:val="single" w:sz="4" w:space="0" w:color="000000"/>
            </w:tcBorders>
            <w:shd w:val="clear" w:color="auto" w:fill="F2F2F2"/>
          </w:tcPr>
          <w:p w14:paraId="2681BF29"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2.620</w:t>
            </w:r>
          </w:p>
        </w:tc>
        <w:tc>
          <w:tcPr>
            <w:tcW w:w="837" w:type="dxa"/>
            <w:tcBorders>
              <w:top w:val="single" w:sz="4" w:space="0" w:color="000000"/>
              <w:left w:val="single" w:sz="4" w:space="0" w:color="000000"/>
              <w:bottom w:val="single" w:sz="4" w:space="0" w:color="000000"/>
              <w:right w:val="single" w:sz="4" w:space="0" w:color="000000"/>
            </w:tcBorders>
            <w:shd w:val="clear" w:color="auto" w:fill="auto"/>
          </w:tcPr>
          <w:p w14:paraId="5A8F5931"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1.054 </w:t>
            </w:r>
          </w:p>
        </w:tc>
        <w:tc>
          <w:tcPr>
            <w:tcW w:w="683" w:type="dxa"/>
            <w:tcBorders>
              <w:top w:val="single" w:sz="4" w:space="0" w:color="000000"/>
              <w:left w:val="single" w:sz="4" w:space="0" w:color="000000"/>
              <w:bottom w:val="single" w:sz="4" w:space="0" w:color="000000"/>
              <w:right w:val="single" w:sz="4" w:space="0" w:color="000000"/>
            </w:tcBorders>
            <w:shd w:val="clear" w:color="auto" w:fill="F2F2F2"/>
          </w:tcPr>
          <w:p w14:paraId="485D89B6"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4" w:space="0" w:color="000000"/>
              <w:right w:val="single" w:sz="2" w:space="0" w:color="000000"/>
            </w:tcBorders>
            <w:shd w:val="clear" w:color="auto" w:fill="F2F2F2"/>
          </w:tcPr>
          <w:p w14:paraId="4778EDF3"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23.883</w:t>
            </w:r>
          </w:p>
        </w:tc>
      </w:tr>
      <w:tr w:rsidR="00C232D7" w:rsidRPr="00E62109" w14:paraId="40BEAB69" w14:textId="77777777" w:rsidTr="00C232D7">
        <w:trPr>
          <w:trHeight w:val="225"/>
          <w:jc w:val="center"/>
        </w:trPr>
        <w:tc>
          <w:tcPr>
            <w:tcW w:w="405" w:type="dxa"/>
            <w:tcBorders>
              <w:top w:val="single" w:sz="4" w:space="0" w:color="000000"/>
              <w:left w:val="single" w:sz="4" w:space="0" w:color="000000"/>
              <w:bottom w:val="single" w:sz="4" w:space="0" w:color="000000"/>
              <w:right w:val="single" w:sz="4" w:space="0" w:color="000000"/>
            </w:tcBorders>
          </w:tcPr>
          <w:p w14:paraId="0195D51F"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11.</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14:paraId="6C1DB4B7"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Mojkovac </w:t>
            </w:r>
          </w:p>
        </w:tc>
        <w:tc>
          <w:tcPr>
            <w:tcW w:w="781" w:type="dxa"/>
            <w:tcBorders>
              <w:top w:val="single" w:sz="4" w:space="0" w:color="000000"/>
              <w:left w:val="single" w:sz="4" w:space="0" w:color="000000"/>
              <w:bottom w:val="single" w:sz="4" w:space="0" w:color="000000"/>
              <w:right w:val="single" w:sz="4" w:space="0" w:color="000000"/>
            </w:tcBorders>
          </w:tcPr>
          <w:p w14:paraId="4AAAC1FF"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4" w:space="0" w:color="000000"/>
              <w:left w:val="single" w:sz="4" w:space="0" w:color="000000"/>
              <w:bottom w:val="single" w:sz="4" w:space="0" w:color="000000"/>
              <w:right w:val="single" w:sz="2" w:space="0" w:color="000000"/>
            </w:tcBorders>
          </w:tcPr>
          <w:p w14:paraId="13E14036"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4" w:space="0" w:color="000000"/>
              <w:left w:val="single" w:sz="2" w:space="0" w:color="000000"/>
              <w:bottom w:val="single" w:sz="4" w:space="0" w:color="000000"/>
              <w:right w:val="single" w:sz="4" w:space="0" w:color="000000"/>
            </w:tcBorders>
          </w:tcPr>
          <w:p w14:paraId="436912A9"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2.032</w:t>
            </w:r>
          </w:p>
        </w:tc>
        <w:tc>
          <w:tcPr>
            <w:tcW w:w="542" w:type="dxa"/>
            <w:tcBorders>
              <w:top w:val="single" w:sz="4" w:space="0" w:color="000000"/>
              <w:left w:val="single" w:sz="4" w:space="0" w:color="000000"/>
              <w:bottom w:val="single" w:sz="4" w:space="0" w:color="000000"/>
              <w:right w:val="single" w:sz="4" w:space="0" w:color="000000"/>
            </w:tcBorders>
            <w:shd w:val="clear" w:color="auto" w:fill="FFE599"/>
          </w:tcPr>
          <w:p w14:paraId="30FDBC54"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FE599"/>
          </w:tcPr>
          <w:p w14:paraId="112EC1AE"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FE599"/>
          </w:tcPr>
          <w:p w14:paraId="49C8D78C"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FE599"/>
          </w:tcPr>
          <w:p w14:paraId="3901FD90"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4" w:space="0" w:color="000000"/>
              <w:left w:val="single" w:sz="4" w:space="0" w:color="000000"/>
              <w:bottom w:val="single" w:sz="4" w:space="0" w:color="000000"/>
              <w:right w:val="single" w:sz="4" w:space="0" w:color="000000"/>
            </w:tcBorders>
          </w:tcPr>
          <w:p w14:paraId="1C693FC7"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4" w:space="0" w:color="000000"/>
              <w:left w:val="single" w:sz="4" w:space="0" w:color="000000"/>
              <w:bottom w:val="single" w:sz="4" w:space="0" w:color="000000"/>
              <w:right w:val="single" w:sz="4" w:space="0" w:color="000000"/>
            </w:tcBorders>
          </w:tcPr>
          <w:p w14:paraId="0CC06D31"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4" w:space="0" w:color="000000"/>
              <w:left w:val="single" w:sz="4" w:space="0" w:color="000000"/>
              <w:bottom w:val="single" w:sz="4" w:space="0" w:color="000000"/>
              <w:right w:val="single" w:sz="4" w:space="0" w:color="000000"/>
            </w:tcBorders>
          </w:tcPr>
          <w:p w14:paraId="4D29B79C"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4" w:space="0" w:color="000000"/>
              <w:right w:val="single" w:sz="2" w:space="0" w:color="000000"/>
            </w:tcBorders>
          </w:tcPr>
          <w:p w14:paraId="5475A819"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2.032</w:t>
            </w:r>
          </w:p>
        </w:tc>
      </w:tr>
      <w:tr w:rsidR="00C232D7" w:rsidRPr="00E62109" w14:paraId="053B765D" w14:textId="77777777" w:rsidTr="00C232D7">
        <w:trPr>
          <w:trHeight w:val="225"/>
          <w:jc w:val="center"/>
        </w:trPr>
        <w:tc>
          <w:tcPr>
            <w:tcW w:w="405" w:type="dxa"/>
            <w:tcBorders>
              <w:top w:val="single" w:sz="4" w:space="0" w:color="000000"/>
              <w:left w:val="single" w:sz="4" w:space="0" w:color="000000"/>
              <w:bottom w:val="single" w:sz="4" w:space="0" w:color="000000"/>
              <w:right w:val="single" w:sz="4" w:space="0" w:color="000000"/>
            </w:tcBorders>
            <w:shd w:val="clear" w:color="auto" w:fill="F2F2F2"/>
          </w:tcPr>
          <w:p w14:paraId="6DC2BD4C"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12.</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14:paraId="62E50ADD"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Nikšić </w:t>
            </w:r>
          </w:p>
        </w:tc>
        <w:tc>
          <w:tcPr>
            <w:tcW w:w="781" w:type="dxa"/>
            <w:tcBorders>
              <w:top w:val="single" w:sz="4" w:space="0" w:color="000000"/>
              <w:left w:val="single" w:sz="4" w:space="0" w:color="000000"/>
              <w:bottom w:val="single" w:sz="4" w:space="0" w:color="000000"/>
              <w:right w:val="single" w:sz="4" w:space="0" w:color="000000"/>
            </w:tcBorders>
            <w:shd w:val="clear" w:color="auto" w:fill="F2F2F2"/>
          </w:tcPr>
          <w:p w14:paraId="07DE9CAD"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4" w:space="0" w:color="000000"/>
              <w:left w:val="single" w:sz="4" w:space="0" w:color="000000"/>
              <w:bottom w:val="single" w:sz="4" w:space="0" w:color="000000"/>
              <w:right w:val="single" w:sz="2" w:space="0" w:color="000000"/>
            </w:tcBorders>
            <w:shd w:val="clear" w:color="auto" w:fill="F2F2F2"/>
          </w:tcPr>
          <w:p w14:paraId="022D4AE7"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4" w:space="0" w:color="000000"/>
              <w:left w:val="single" w:sz="2" w:space="0" w:color="000000"/>
              <w:bottom w:val="single" w:sz="4" w:space="0" w:color="000000"/>
              <w:right w:val="single" w:sz="4" w:space="0" w:color="000000"/>
            </w:tcBorders>
            <w:shd w:val="clear" w:color="auto" w:fill="F2F2F2"/>
          </w:tcPr>
          <w:p w14:paraId="1E9F4049" w14:textId="77777777" w:rsidR="00C232D7" w:rsidRPr="00E62109" w:rsidRDefault="00C232D7" w:rsidP="00C232D7">
            <w:pPr>
              <w:spacing w:line="360" w:lineRule="auto"/>
              <w:rPr>
                <w:rFonts w:ascii="Arial" w:hAnsi="Arial" w:cs="Arial"/>
                <w:sz w:val="16"/>
                <w:szCs w:val="18"/>
                <w:lang w:val="sr-Latn-RS"/>
              </w:rPr>
            </w:pP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14:paraId="5E71E51F"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14:paraId="526FB45F"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14:paraId="22677FBF"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14:paraId="779C970D"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4" w:space="0" w:color="000000"/>
              <w:left w:val="single" w:sz="4" w:space="0" w:color="000000"/>
              <w:bottom w:val="single" w:sz="4" w:space="0" w:color="000000"/>
              <w:right w:val="single" w:sz="4" w:space="0" w:color="000000"/>
            </w:tcBorders>
            <w:shd w:val="clear" w:color="auto" w:fill="F2F2F2"/>
          </w:tcPr>
          <w:p w14:paraId="4D5BD7AA"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4" w:space="0" w:color="000000"/>
              <w:left w:val="single" w:sz="4" w:space="0" w:color="000000"/>
              <w:bottom w:val="single" w:sz="4" w:space="0" w:color="000000"/>
              <w:right w:val="single" w:sz="4" w:space="0" w:color="000000"/>
            </w:tcBorders>
            <w:shd w:val="clear" w:color="auto" w:fill="F2F2F2"/>
          </w:tcPr>
          <w:p w14:paraId="576D7E08"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4" w:space="0" w:color="000000"/>
              <w:left w:val="single" w:sz="4" w:space="0" w:color="000000"/>
              <w:bottom w:val="single" w:sz="4" w:space="0" w:color="000000"/>
              <w:right w:val="single" w:sz="4" w:space="0" w:color="000000"/>
            </w:tcBorders>
            <w:shd w:val="clear" w:color="auto" w:fill="F2F2F2"/>
          </w:tcPr>
          <w:p w14:paraId="1E88DA9D"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20.000</w:t>
            </w:r>
          </w:p>
        </w:tc>
        <w:tc>
          <w:tcPr>
            <w:tcW w:w="859" w:type="dxa"/>
            <w:tcBorders>
              <w:top w:val="single" w:sz="4" w:space="0" w:color="000000"/>
              <w:left w:val="single" w:sz="4" w:space="0" w:color="000000"/>
              <w:bottom w:val="single" w:sz="4" w:space="0" w:color="000000"/>
              <w:right w:val="single" w:sz="2" w:space="0" w:color="000000"/>
            </w:tcBorders>
            <w:shd w:val="clear" w:color="auto" w:fill="F2F2F2"/>
          </w:tcPr>
          <w:p w14:paraId="03378D7C"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20.000</w:t>
            </w:r>
          </w:p>
        </w:tc>
      </w:tr>
      <w:tr w:rsidR="00C232D7" w:rsidRPr="00E62109" w14:paraId="0C72379A" w14:textId="77777777" w:rsidTr="00C232D7">
        <w:trPr>
          <w:trHeight w:val="227"/>
          <w:jc w:val="center"/>
        </w:trPr>
        <w:tc>
          <w:tcPr>
            <w:tcW w:w="405" w:type="dxa"/>
            <w:tcBorders>
              <w:top w:val="single" w:sz="4" w:space="0" w:color="000000"/>
              <w:left w:val="single" w:sz="4" w:space="0" w:color="000000"/>
              <w:bottom w:val="single" w:sz="4" w:space="0" w:color="000000"/>
              <w:right w:val="single" w:sz="4" w:space="0" w:color="000000"/>
            </w:tcBorders>
          </w:tcPr>
          <w:p w14:paraId="5538769F"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13.</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Pr>
          <w:p w14:paraId="722BA25E"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Plav (70%) </w:t>
            </w:r>
          </w:p>
        </w:tc>
        <w:tc>
          <w:tcPr>
            <w:tcW w:w="781" w:type="dxa"/>
            <w:tcBorders>
              <w:top w:val="single" w:sz="4" w:space="0" w:color="000000"/>
              <w:left w:val="single" w:sz="4" w:space="0" w:color="000000"/>
              <w:bottom w:val="single" w:sz="4" w:space="0" w:color="000000"/>
              <w:right w:val="single" w:sz="4" w:space="0" w:color="000000"/>
            </w:tcBorders>
            <w:vAlign w:val="bottom"/>
          </w:tcPr>
          <w:p w14:paraId="0F00E14B"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4" w:space="0" w:color="000000"/>
              <w:left w:val="single" w:sz="4" w:space="0" w:color="000000"/>
              <w:bottom w:val="single" w:sz="4" w:space="0" w:color="000000"/>
              <w:right w:val="single" w:sz="2" w:space="0" w:color="000000"/>
            </w:tcBorders>
          </w:tcPr>
          <w:p w14:paraId="2FCFB883"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4" w:space="0" w:color="000000"/>
              <w:left w:val="single" w:sz="2" w:space="0" w:color="000000"/>
              <w:bottom w:val="single" w:sz="4" w:space="0" w:color="000000"/>
              <w:right w:val="single" w:sz="4" w:space="0" w:color="000000"/>
            </w:tcBorders>
          </w:tcPr>
          <w:p w14:paraId="4EE65141"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750</w:t>
            </w: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14:paraId="74C81861"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14:paraId="3B5C456A"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14:paraId="5DDFB6DE"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14:paraId="6A7747CD"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4" w:space="0" w:color="000000"/>
              <w:left w:val="single" w:sz="4" w:space="0" w:color="000000"/>
              <w:bottom w:val="single" w:sz="4" w:space="0" w:color="000000"/>
              <w:right w:val="single" w:sz="4" w:space="0" w:color="000000"/>
            </w:tcBorders>
          </w:tcPr>
          <w:p w14:paraId="7D0A658D"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4" w:space="0" w:color="000000"/>
              <w:left w:val="single" w:sz="4" w:space="0" w:color="000000"/>
              <w:bottom w:val="single" w:sz="4" w:space="0" w:color="000000"/>
              <w:right w:val="single" w:sz="4" w:space="0" w:color="000000"/>
            </w:tcBorders>
          </w:tcPr>
          <w:p w14:paraId="12E6C983"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4" w:space="0" w:color="000000"/>
              <w:left w:val="single" w:sz="4" w:space="0" w:color="000000"/>
              <w:bottom w:val="single" w:sz="4" w:space="0" w:color="000000"/>
              <w:right w:val="single" w:sz="4" w:space="0" w:color="000000"/>
            </w:tcBorders>
          </w:tcPr>
          <w:p w14:paraId="3ACD60A9"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4" w:space="0" w:color="000000"/>
              <w:right w:val="single" w:sz="2" w:space="0" w:color="000000"/>
            </w:tcBorders>
          </w:tcPr>
          <w:p w14:paraId="74020477"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750</w:t>
            </w:r>
          </w:p>
        </w:tc>
      </w:tr>
      <w:tr w:rsidR="00C232D7" w:rsidRPr="00E62109" w14:paraId="6DBDF595" w14:textId="77777777" w:rsidTr="00C232D7">
        <w:trPr>
          <w:trHeight w:val="221"/>
          <w:jc w:val="center"/>
        </w:trPr>
        <w:tc>
          <w:tcPr>
            <w:tcW w:w="405" w:type="dxa"/>
            <w:tcBorders>
              <w:top w:val="single" w:sz="4" w:space="0" w:color="000000"/>
              <w:left w:val="single" w:sz="4" w:space="0" w:color="000000"/>
              <w:bottom w:val="single" w:sz="4" w:space="0" w:color="000000"/>
              <w:right w:val="single" w:sz="4" w:space="0" w:color="000000"/>
            </w:tcBorders>
            <w:shd w:val="clear" w:color="auto" w:fill="F2F2F2"/>
          </w:tcPr>
          <w:p w14:paraId="14CBD7DA"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 xml:space="preserve">14. </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14:paraId="6B2495EB"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Gusinje (30%) </w:t>
            </w:r>
          </w:p>
        </w:tc>
        <w:tc>
          <w:tcPr>
            <w:tcW w:w="781" w:type="dxa"/>
            <w:tcBorders>
              <w:top w:val="single" w:sz="4" w:space="0" w:color="000000"/>
              <w:left w:val="single" w:sz="4" w:space="0" w:color="000000"/>
              <w:bottom w:val="single" w:sz="4" w:space="0" w:color="000000"/>
              <w:right w:val="single" w:sz="4" w:space="0" w:color="000000"/>
            </w:tcBorders>
            <w:shd w:val="clear" w:color="auto" w:fill="F2F2F2"/>
          </w:tcPr>
          <w:p w14:paraId="75983C66"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4" w:space="0" w:color="000000"/>
              <w:left w:val="single" w:sz="4" w:space="0" w:color="000000"/>
              <w:bottom w:val="single" w:sz="4" w:space="0" w:color="000000"/>
              <w:right w:val="single" w:sz="2" w:space="0" w:color="000000"/>
            </w:tcBorders>
            <w:shd w:val="clear" w:color="auto" w:fill="F2F2F2"/>
          </w:tcPr>
          <w:p w14:paraId="6C5201C6"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4" w:space="0" w:color="000000"/>
              <w:left w:val="single" w:sz="2" w:space="0" w:color="000000"/>
              <w:bottom w:val="single" w:sz="4" w:space="0" w:color="000000"/>
              <w:right w:val="single" w:sz="4" w:space="0" w:color="000000"/>
            </w:tcBorders>
            <w:shd w:val="clear" w:color="auto" w:fill="F2F2F2"/>
          </w:tcPr>
          <w:p w14:paraId="211AF85A"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403</w:t>
            </w: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14:paraId="22B64C12"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14:paraId="46910AEE"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14:paraId="455D35BC"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14:paraId="23E34F01"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4" w:space="0" w:color="000000"/>
              <w:left w:val="single" w:sz="4" w:space="0" w:color="000000"/>
              <w:bottom w:val="single" w:sz="4" w:space="0" w:color="000000"/>
              <w:right w:val="single" w:sz="4" w:space="0" w:color="000000"/>
            </w:tcBorders>
            <w:shd w:val="clear" w:color="auto" w:fill="F2F2F2"/>
          </w:tcPr>
          <w:p w14:paraId="625AADCE"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4" w:space="0" w:color="000000"/>
              <w:left w:val="single" w:sz="4" w:space="0" w:color="000000"/>
              <w:bottom w:val="single" w:sz="4" w:space="0" w:color="000000"/>
              <w:right w:val="single" w:sz="4" w:space="0" w:color="000000"/>
            </w:tcBorders>
            <w:shd w:val="clear" w:color="auto" w:fill="F2F2F2"/>
          </w:tcPr>
          <w:p w14:paraId="4BCAACE0"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4" w:space="0" w:color="000000"/>
              <w:left w:val="single" w:sz="4" w:space="0" w:color="000000"/>
              <w:bottom w:val="single" w:sz="4" w:space="0" w:color="000000"/>
              <w:right w:val="single" w:sz="4" w:space="0" w:color="000000"/>
            </w:tcBorders>
            <w:shd w:val="clear" w:color="auto" w:fill="F2F2F2"/>
          </w:tcPr>
          <w:p w14:paraId="3956DC93"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4" w:space="0" w:color="000000"/>
              <w:right w:val="single" w:sz="2" w:space="0" w:color="000000"/>
            </w:tcBorders>
            <w:shd w:val="clear" w:color="auto" w:fill="F2F2F2"/>
          </w:tcPr>
          <w:p w14:paraId="5458CD04"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403</w:t>
            </w:r>
          </w:p>
        </w:tc>
      </w:tr>
      <w:tr w:rsidR="00C232D7" w:rsidRPr="00E62109" w14:paraId="7CE04440" w14:textId="77777777" w:rsidTr="00C232D7">
        <w:trPr>
          <w:trHeight w:val="225"/>
          <w:jc w:val="center"/>
        </w:trPr>
        <w:tc>
          <w:tcPr>
            <w:tcW w:w="405" w:type="dxa"/>
            <w:tcBorders>
              <w:top w:val="single" w:sz="4" w:space="0" w:color="000000"/>
              <w:left w:val="single" w:sz="4" w:space="0" w:color="000000"/>
              <w:bottom w:val="single" w:sz="4" w:space="0" w:color="000000"/>
              <w:right w:val="single" w:sz="4" w:space="0" w:color="000000"/>
            </w:tcBorders>
          </w:tcPr>
          <w:p w14:paraId="2B833AE2"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15.</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Pr>
          <w:p w14:paraId="6476BD5A"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Pljevlja </w:t>
            </w:r>
          </w:p>
        </w:tc>
        <w:tc>
          <w:tcPr>
            <w:tcW w:w="781" w:type="dxa"/>
            <w:tcBorders>
              <w:top w:val="single" w:sz="4" w:space="0" w:color="000000"/>
              <w:left w:val="single" w:sz="4" w:space="0" w:color="000000"/>
              <w:bottom w:val="single" w:sz="4" w:space="0" w:color="000000"/>
              <w:right w:val="single" w:sz="4" w:space="0" w:color="000000"/>
            </w:tcBorders>
          </w:tcPr>
          <w:p w14:paraId="3A4B09F3"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4" w:space="0" w:color="000000"/>
              <w:left w:val="single" w:sz="4" w:space="0" w:color="000000"/>
              <w:bottom w:val="single" w:sz="4" w:space="0" w:color="000000"/>
              <w:right w:val="single" w:sz="2" w:space="0" w:color="000000"/>
            </w:tcBorders>
          </w:tcPr>
          <w:p w14:paraId="6BC98A76"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4" w:space="0" w:color="000000"/>
              <w:left w:val="single" w:sz="2" w:space="0" w:color="000000"/>
              <w:bottom w:val="single" w:sz="4" w:space="0" w:color="000000"/>
              <w:right w:val="single" w:sz="4" w:space="0" w:color="000000"/>
            </w:tcBorders>
          </w:tcPr>
          <w:p w14:paraId="2DD1D33E"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8.229</w:t>
            </w: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14:paraId="65A1CD75"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14:paraId="0B53FCD7"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14:paraId="301776D5"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14:paraId="0F36A219"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4" w:space="0" w:color="000000"/>
              <w:left w:val="single" w:sz="4" w:space="0" w:color="000000"/>
              <w:bottom w:val="single" w:sz="4" w:space="0" w:color="000000"/>
              <w:right w:val="single" w:sz="4" w:space="0" w:color="000000"/>
            </w:tcBorders>
          </w:tcPr>
          <w:p w14:paraId="3DF54EF5"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4" w:space="0" w:color="000000"/>
              <w:left w:val="single" w:sz="4" w:space="0" w:color="000000"/>
              <w:bottom w:val="single" w:sz="4" w:space="0" w:color="000000"/>
              <w:right w:val="single" w:sz="4" w:space="0" w:color="000000"/>
            </w:tcBorders>
          </w:tcPr>
          <w:p w14:paraId="06E2D77D"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4" w:space="0" w:color="000000"/>
              <w:left w:val="single" w:sz="4" w:space="0" w:color="000000"/>
              <w:bottom w:val="single" w:sz="4" w:space="0" w:color="000000"/>
              <w:right w:val="single" w:sz="4" w:space="0" w:color="000000"/>
            </w:tcBorders>
          </w:tcPr>
          <w:p w14:paraId="477178A7"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4" w:space="0" w:color="000000"/>
              <w:right w:val="single" w:sz="2" w:space="0" w:color="000000"/>
            </w:tcBorders>
          </w:tcPr>
          <w:p w14:paraId="672E78E1"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8.229</w:t>
            </w:r>
          </w:p>
        </w:tc>
      </w:tr>
      <w:tr w:rsidR="00C232D7" w:rsidRPr="00E62109" w14:paraId="4EEF7188" w14:textId="77777777" w:rsidTr="00C232D7">
        <w:trPr>
          <w:trHeight w:val="225"/>
          <w:jc w:val="center"/>
        </w:trPr>
        <w:tc>
          <w:tcPr>
            <w:tcW w:w="405" w:type="dxa"/>
            <w:tcBorders>
              <w:top w:val="single" w:sz="4" w:space="0" w:color="000000"/>
              <w:left w:val="single" w:sz="4" w:space="0" w:color="000000"/>
              <w:bottom w:val="single" w:sz="4" w:space="0" w:color="000000"/>
              <w:right w:val="single" w:sz="4" w:space="0" w:color="000000"/>
            </w:tcBorders>
            <w:shd w:val="clear" w:color="auto" w:fill="F2F2F2"/>
          </w:tcPr>
          <w:p w14:paraId="42A73666"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16.</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14:paraId="23DEB74E"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Plužine </w:t>
            </w:r>
          </w:p>
        </w:tc>
        <w:tc>
          <w:tcPr>
            <w:tcW w:w="781" w:type="dxa"/>
            <w:tcBorders>
              <w:top w:val="single" w:sz="4" w:space="0" w:color="000000"/>
              <w:left w:val="single" w:sz="4" w:space="0" w:color="000000"/>
              <w:bottom w:val="single" w:sz="4" w:space="0" w:color="000000"/>
              <w:right w:val="single" w:sz="4" w:space="0" w:color="000000"/>
            </w:tcBorders>
            <w:shd w:val="clear" w:color="auto" w:fill="F2F2F2"/>
          </w:tcPr>
          <w:p w14:paraId="322AF36B"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4" w:space="0" w:color="000000"/>
              <w:left w:val="single" w:sz="4" w:space="0" w:color="000000"/>
              <w:bottom w:val="single" w:sz="4" w:space="0" w:color="000000"/>
              <w:right w:val="single" w:sz="2" w:space="0" w:color="000000"/>
            </w:tcBorders>
            <w:shd w:val="clear" w:color="auto" w:fill="F2F2F2"/>
          </w:tcPr>
          <w:p w14:paraId="34C91FAC"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539</w:t>
            </w:r>
          </w:p>
        </w:tc>
        <w:tc>
          <w:tcPr>
            <w:tcW w:w="852" w:type="dxa"/>
            <w:tcBorders>
              <w:top w:val="single" w:sz="4" w:space="0" w:color="000000"/>
              <w:left w:val="single" w:sz="2" w:space="0" w:color="000000"/>
              <w:bottom w:val="single" w:sz="4" w:space="0" w:color="000000"/>
              <w:right w:val="single" w:sz="4" w:space="0" w:color="000000"/>
            </w:tcBorders>
            <w:shd w:val="clear" w:color="auto" w:fill="F2F2F2"/>
          </w:tcPr>
          <w:p w14:paraId="22D0CE1F" w14:textId="77777777" w:rsidR="00C232D7" w:rsidRPr="00E62109" w:rsidRDefault="00C232D7" w:rsidP="00C232D7">
            <w:pPr>
              <w:spacing w:line="360" w:lineRule="auto"/>
              <w:rPr>
                <w:rFonts w:ascii="Arial" w:hAnsi="Arial" w:cs="Arial"/>
                <w:sz w:val="16"/>
                <w:szCs w:val="18"/>
                <w:lang w:val="sr-Latn-RS"/>
              </w:rPr>
            </w:pP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14:paraId="3F803D6C"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14:paraId="35C140FC"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14:paraId="51E6DAD6"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14:paraId="20663509"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4" w:space="0" w:color="000000"/>
              <w:left w:val="single" w:sz="4" w:space="0" w:color="000000"/>
              <w:bottom w:val="single" w:sz="4" w:space="0" w:color="000000"/>
              <w:right w:val="single" w:sz="4" w:space="0" w:color="000000"/>
            </w:tcBorders>
            <w:shd w:val="clear" w:color="auto" w:fill="F2F2F2"/>
          </w:tcPr>
          <w:p w14:paraId="0C0D6653"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4" w:space="0" w:color="000000"/>
              <w:left w:val="single" w:sz="4" w:space="0" w:color="000000"/>
              <w:bottom w:val="single" w:sz="4" w:space="0" w:color="000000"/>
              <w:right w:val="single" w:sz="4" w:space="0" w:color="000000"/>
            </w:tcBorders>
            <w:shd w:val="clear" w:color="auto" w:fill="F2F2F2"/>
          </w:tcPr>
          <w:p w14:paraId="791B3FA3"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4" w:space="0" w:color="000000"/>
              <w:left w:val="single" w:sz="4" w:space="0" w:color="000000"/>
              <w:bottom w:val="single" w:sz="4" w:space="0" w:color="000000"/>
              <w:right w:val="single" w:sz="4" w:space="0" w:color="000000"/>
            </w:tcBorders>
            <w:shd w:val="clear" w:color="auto" w:fill="F2F2F2"/>
          </w:tcPr>
          <w:p w14:paraId="256546FA"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4" w:space="0" w:color="000000"/>
              <w:right w:val="single" w:sz="2" w:space="0" w:color="000000"/>
            </w:tcBorders>
            <w:shd w:val="clear" w:color="auto" w:fill="F2F2F2"/>
          </w:tcPr>
          <w:p w14:paraId="3960BAEA"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539</w:t>
            </w:r>
          </w:p>
        </w:tc>
      </w:tr>
      <w:tr w:rsidR="00C232D7" w:rsidRPr="00E62109" w14:paraId="6994B18B" w14:textId="77777777" w:rsidTr="00C232D7">
        <w:trPr>
          <w:trHeight w:val="225"/>
          <w:jc w:val="center"/>
        </w:trPr>
        <w:tc>
          <w:tcPr>
            <w:tcW w:w="405" w:type="dxa"/>
            <w:tcBorders>
              <w:top w:val="single" w:sz="4" w:space="0" w:color="000000"/>
              <w:left w:val="single" w:sz="4" w:space="0" w:color="000000"/>
              <w:bottom w:val="single" w:sz="2" w:space="0" w:color="000000"/>
              <w:right w:val="single" w:sz="4" w:space="0" w:color="000000"/>
            </w:tcBorders>
          </w:tcPr>
          <w:p w14:paraId="52E35608"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17.</w:t>
            </w:r>
          </w:p>
        </w:tc>
        <w:tc>
          <w:tcPr>
            <w:tcW w:w="1351" w:type="dxa"/>
            <w:tcBorders>
              <w:top w:val="single" w:sz="4" w:space="0" w:color="000000"/>
              <w:left w:val="single" w:sz="4" w:space="0" w:color="000000"/>
              <w:bottom w:val="single" w:sz="2" w:space="0" w:color="000000"/>
              <w:right w:val="single" w:sz="4" w:space="0" w:color="000000"/>
            </w:tcBorders>
            <w:shd w:val="clear" w:color="auto" w:fill="auto"/>
          </w:tcPr>
          <w:p w14:paraId="766852C2"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Cetinje </w:t>
            </w:r>
          </w:p>
        </w:tc>
        <w:tc>
          <w:tcPr>
            <w:tcW w:w="781" w:type="dxa"/>
            <w:tcBorders>
              <w:top w:val="single" w:sz="4" w:space="0" w:color="000000"/>
              <w:left w:val="single" w:sz="4" w:space="0" w:color="000000"/>
              <w:bottom w:val="single" w:sz="2" w:space="0" w:color="000000"/>
              <w:right w:val="single" w:sz="4" w:space="0" w:color="000000"/>
            </w:tcBorders>
          </w:tcPr>
          <w:p w14:paraId="1B3BE539"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4" w:space="0" w:color="000000"/>
              <w:left w:val="single" w:sz="4" w:space="0" w:color="000000"/>
              <w:bottom w:val="single" w:sz="2" w:space="0" w:color="000000"/>
              <w:right w:val="single" w:sz="2" w:space="0" w:color="000000"/>
            </w:tcBorders>
          </w:tcPr>
          <w:p w14:paraId="63D58236"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5.527</w:t>
            </w:r>
          </w:p>
        </w:tc>
        <w:tc>
          <w:tcPr>
            <w:tcW w:w="852" w:type="dxa"/>
            <w:tcBorders>
              <w:top w:val="single" w:sz="4" w:space="0" w:color="000000"/>
              <w:left w:val="single" w:sz="2" w:space="0" w:color="000000"/>
              <w:bottom w:val="single" w:sz="2" w:space="0" w:color="000000"/>
              <w:right w:val="single" w:sz="4" w:space="0" w:color="000000"/>
            </w:tcBorders>
          </w:tcPr>
          <w:p w14:paraId="10F14EE7" w14:textId="77777777" w:rsidR="00C232D7" w:rsidRPr="00E62109" w:rsidRDefault="00C232D7" w:rsidP="00C232D7">
            <w:pPr>
              <w:spacing w:line="360" w:lineRule="auto"/>
              <w:rPr>
                <w:rFonts w:ascii="Arial" w:hAnsi="Arial" w:cs="Arial"/>
                <w:sz w:val="16"/>
                <w:szCs w:val="18"/>
                <w:lang w:val="sr-Latn-RS"/>
              </w:rPr>
            </w:pPr>
          </w:p>
        </w:tc>
        <w:tc>
          <w:tcPr>
            <w:tcW w:w="542" w:type="dxa"/>
            <w:tcBorders>
              <w:top w:val="single" w:sz="4" w:space="0" w:color="000000"/>
              <w:left w:val="single" w:sz="4" w:space="0" w:color="000000"/>
              <w:bottom w:val="single" w:sz="2" w:space="0" w:color="000000"/>
              <w:right w:val="single" w:sz="4" w:space="0" w:color="000000"/>
            </w:tcBorders>
            <w:shd w:val="clear" w:color="auto" w:fill="FBE183"/>
          </w:tcPr>
          <w:p w14:paraId="146C9C02"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4" w:space="0" w:color="000000"/>
              <w:left w:val="single" w:sz="4" w:space="0" w:color="000000"/>
              <w:bottom w:val="single" w:sz="2" w:space="0" w:color="000000"/>
              <w:right w:val="single" w:sz="4" w:space="0" w:color="000000"/>
            </w:tcBorders>
            <w:shd w:val="clear" w:color="auto" w:fill="FBE183"/>
          </w:tcPr>
          <w:p w14:paraId="25A9B306"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2" w:space="0" w:color="000000"/>
              <w:right w:val="single" w:sz="4" w:space="0" w:color="000000"/>
            </w:tcBorders>
            <w:shd w:val="clear" w:color="auto" w:fill="FBE183"/>
          </w:tcPr>
          <w:p w14:paraId="7A45ACCA"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2" w:space="0" w:color="000000"/>
              <w:right w:val="single" w:sz="4" w:space="0" w:color="000000"/>
            </w:tcBorders>
            <w:shd w:val="clear" w:color="auto" w:fill="FBE183"/>
          </w:tcPr>
          <w:p w14:paraId="5E02C9C0"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4" w:space="0" w:color="000000"/>
              <w:left w:val="single" w:sz="4" w:space="0" w:color="000000"/>
              <w:bottom w:val="single" w:sz="2" w:space="0" w:color="000000"/>
              <w:right w:val="single" w:sz="4" w:space="0" w:color="000000"/>
            </w:tcBorders>
          </w:tcPr>
          <w:p w14:paraId="2C02BB12"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4" w:space="0" w:color="000000"/>
              <w:left w:val="single" w:sz="4" w:space="0" w:color="000000"/>
              <w:bottom w:val="single" w:sz="2" w:space="0" w:color="000000"/>
              <w:right w:val="single" w:sz="4" w:space="0" w:color="000000"/>
            </w:tcBorders>
          </w:tcPr>
          <w:p w14:paraId="7FCF5FBA"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4" w:space="0" w:color="000000"/>
              <w:left w:val="single" w:sz="4" w:space="0" w:color="000000"/>
              <w:bottom w:val="single" w:sz="2" w:space="0" w:color="000000"/>
              <w:right w:val="single" w:sz="4" w:space="0" w:color="000000"/>
            </w:tcBorders>
          </w:tcPr>
          <w:p w14:paraId="519859A1"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2" w:space="0" w:color="000000"/>
              <w:right w:val="single" w:sz="2" w:space="0" w:color="000000"/>
            </w:tcBorders>
          </w:tcPr>
          <w:p w14:paraId="5CB36774"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5.527</w:t>
            </w:r>
          </w:p>
        </w:tc>
      </w:tr>
      <w:tr w:rsidR="00C232D7" w:rsidRPr="00E62109" w14:paraId="58245567" w14:textId="77777777" w:rsidTr="00C232D7">
        <w:trPr>
          <w:trHeight w:val="225"/>
          <w:jc w:val="center"/>
        </w:trPr>
        <w:tc>
          <w:tcPr>
            <w:tcW w:w="405" w:type="dxa"/>
            <w:tcBorders>
              <w:top w:val="single" w:sz="2" w:space="0" w:color="000000"/>
              <w:left w:val="single" w:sz="4" w:space="0" w:color="000000"/>
              <w:bottom w:val="single" w:sz="4" w:space="0" w:color="000000"/>
              <w:right w:val="single" w:sz="4" w:space="0" w:color="000000"/>
            </w:tcBorders>
            <w:shd w:val="clear" w:color="auto" w:fill="F2F2F2"/>
          </w:tcPr>
          <w:p w14:paraId="086C0AA0"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18.</w:t>
            </w:r>
          </w:p>
        </w:tc>
        <w:tc>
          <w:tcPr>
            <w:tcW w:w="1351" w:type="dxa"/>
            <w:tcBorders>
              <w:top w:val="single" w:sz="2" w:space="0" w:color="000000"/>
              <w:left w:val="single" w:sz="4" w:space="0" w:color="000000"/>
              <w:bottom w:val="single" w:sz="4" w:space="0" w:color="000000"/>
              <w:right w:val="single" w:sz="4" w:space="0" w:color="000000"/>
            </w:tcBorders>
            <w:shd w:val="clear" w:color="auto" w:fill="auto"/>
          </w:tcPr>
          <w:p w14:paraId="33E04988"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Rožaje </w:t>
            </w:r>
          </w:p>
        </w:tc>
        <w:tc>
          <w:tcPr>
            <w:tcW w:w="781" w:type="dxa"/>
            <w:tcBorders>
              <w:top w:val="single" w:sz="2" w:space="0" w:color="000000"/>
              <w:left w:val="single" w:sz="4" w:space="0" w:color="000000"/>
              <w:bottom w:val="single" w:sz="4" w:space="0" w:color="000000"/>
              <w:right w:val="single" w:sz="4" w:space="0" w:color="000000"/>
            </w:tcBorders>
            <w:shd w:val="clear" w:color="auto" w:fill="F2F2F2"/>
          </w:tcPr>
          <w:p w14:paraId="3E71C318"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2" w:space="0" w:color="000000"/>
              <w:left w:val="single" w:sz="4" w:space="0" w:color="000000"/>
              <w:bottom w:val="single" w:sz="4" w:space="0" w:color="000000"/>
              <w:right w:val="single" w:sz="2" w:space="0" w:color="000000"/>
            </w:tcBorders>
            <w:shd w:val="clear" w:color="auto" w:fill="F2F2F2"/>
          </w:tcPr>
          <w:p w14:paraId="2D563DA5"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2" w:space="0" w:color="000000"/>
              <w:left w:val="single" w:sz="2" w:space="0" w:color="000000"/>
              <w:bottom w:val="single" w:sz="4" w:space="0" w:color="000000"/>
              <w:right w:val="single" w:sz="4" w:space="0" w:color="000000"/>
            </w:tcBorders>
            <w:shd w:val="clear" w:color="auto" w:fill="F2F2F2"/>
          </w:tcPr>
          <w:p w14:paraId="6087B92F"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6.441</w:t>
            </w:r>
          </w:p>
        </w:tc>
        <w:tc>
          <w:tcPr>
            <w:tcW w:w="542" w:type="dxa"/>
            <w:tcBorders>
              <w:top w:val="single" w:sz="2" w:space="0" w:color="000000"/>
              <w:left w:val="single" w:sz="4" w:space="0" w:color="000000"/>
              <w:bottom w:val="single" w:sz="4" w:space="0" w:color="000000"/>
              <w:right w:val="single" w:sz="4" w:space="0" w:color="000000"/>
            </w:tcBorders>
            <w:shd w:val="clear" w:color="auto" w:fill="FFE599"/>
          </w:tcPr>
          <w:p w14:paraId="51D81C89"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2" w:space="0" w:color="000000"/>
              <w:left w:val="single" w:sz="4" w:space="0" w:color="000000"/>
              <w:bottom w:val="single" w:sz="4" w:space="0" w:color="000000"/>
              <w:right w:val="single" w:sz="4" w:space="0" w:color="000000"/>
            </w:tcBorders>
            <w:shd w:val="clear" w:color="auto" w:fill="FFE599"/>
          </w:tcPr>
          <w:p w14:paraId="6ACB9327"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2" w:space="0" w:color="000000"/>
              <w:left w:val="single" w:sz="4" w:space="0" w:color="000000"/>
              <w:bottom w:val="single" w:sz="4" w:space="0" w:color="000000"/>
              <w:right w:val="single" w:sz="4" w:space="0" w:color="000000"/>
            </w:tcBorders>
            <w:shd w:val="clear" w:color="auto" w:fill="FFE599"/>
          </w:tcPr>
          <w:p w14:paraId="1ED921C7"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2" w:space="0" w:color="000000"/>
              <w:left w:val="single" w:sz="4" w:space="0" w:color="000000"/>
              <w:bottom w:val="single" w:sz="4" w:space="0" w:color="000000"/>
              <w:right w:val="single" w:sz="4" w:space="0" w:color="000000"/>
            </w:tcBorders>
            <w:shd w:val="clear" w:color="auto" w:fill="FFE599"/>
          </w:tcPr>
          <w:p w14:paraId="0AF18445"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58</w:t>
            </w:r>
          </w:p>
        </w:tc>
        <w:tc>
          <w:tcPr>
            <w:tcW w:w="651" w:type="dxa"/>
            <w:tcBorders>
              <w:top w:val="single" w:sz="2" w:space="0" w:color="000000"/>
              <w:left w:val="single" w:sz="4" w:space="0" w:color="000000"/>
              <w:bottom w:val="single" w:sz="4" w:space="0" w:color="000000"/>
              <w:right w:val="single" w:sz="4" w:space="0" w:color="000000"/>
            </w:tcBorders>
            <w:shd w:val="clear" w:color="auto" w:fill="F2F2F2"/>
          </w:tcPr>
          <w:p w14:paraId="6E6C0EA6"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2" w:space="0" w:color="000000"/>
              <w:left w:val="single" w:sz="4" w:space="0" w:color="000000"/>
              <w:bottom w:val="single" w:sz="4" w:space="0" w:color="000000"/>
              <w:right w:val="single" w:sz="4" w:space="0" w:color="000000"/>
            </w:tcBorders>
            <w:shd w:val="clear" w:color="auto" w:fill="F2F2F2"/>
          </w:tcPr>
          <w:p w14:paraId="427AF05D"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2" w:space="0" w:color="000000"/>
              <w:left w:val="single" w:sz="4" w:space="0" w:color="000000"/>
              <w:bottom w:val="single" w:sz="4" w:space="0" w:color="000000"/>
              <w:right w:val="single" w:sz="4" w:space="0" w:color="000000"/>
            </w:tcBorders>
            <w:shd w:val="clear" w:color="auto" w:fill="F2F2F2"/>
          </w:tcPr>
          <w:p w14:paraId="0163F595"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2" w:space="0" w:color="000000"/>
              <w:left w:val="single" w:sz="4" w:space="0" w:color="000000"/>
              <w:bottom w:val="single" w:sz="4" w:space="0" w:color="000000"/>
              <w:right w:val="single" w:sz="2" w:space="0" w:color="000000"/>
            </w:tcBorders>
            <w:shd w:val="clear" w:color="auto" w:fill="F2F2F2"/>
          </w:tcPr>
          <w:p w14:paraId="72D107C7"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6.499</w:t>
            </w:r>
          </w:p>
        </w:tc>
      </w:tr>
      <w:tr w:rsidR="00C232D7" w:rsidRPr="00E62109" w14:paraId="2F558F3F" w14:textId="77777777" w:rsidTr="00C232D7">
        <w:trPr>
          <w:trHeight w:val="225"/>
          <w:jc w:val="center"/>
        </w:trPr>
        <w:tc>
          <w:tcPr>
            <w:tcW w:w="405" w:type="dxa"/>
            <w:tcBorders>
              <w:top w:val="single" w:sz="4" w:space="0" w:color="000000"/>
              <w:left w:val="single" w:sz="4" w:space="0" w:color="000000"/>
              <w:bottom w:val="single" w:sz="2" w:space="0" w:color="000000"/>
              <w:right w:val="single" w:sz="4" w:space="0" w:color="000000"/>
            </w:tcBorders>
          </w:tcPr>
          <w:p w14:paraId="04ED3C65"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19.</w:t>
            </w:r>
          </w:p>
        </w:tc>
        <w:tc>
          <w:tcPr>
            <w:tcW w:w="1351" w:type="dxa"/>
            <w:tcBorders>
              <w:top w:val="single" w:sz="4" w:space="0" w:color="000000"/>
              <w:left w:val="single" w:sz="4" w:space="0" w:color="000000"/>
              <w:bottom w:val="single" w:sz="2" w:space="0" w:color="000000"/>
              <w:right w:val="single" w:sz="4" w:space="0" w:color="000000"/>
            </w:tcBorders>
            <w:shd w:val="clear" w:color="auto" w:fill="auto"/>
          </w:tcPr>
          <w:p w14:paraId="1C32985B"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Tivat </w:t>
            </w:r>
          </w:p>
        </w:tc>
        <w:tc>
          <w:tcPr>
            <w:tcW w:w="781" w:type="dxa"/>
            <w:tcBorders>
              <w:top w:val="single" w:sz="4" w:space="0" w:color="000000"/>
              <w:left w:val="single" w:sz="4" w:space="0" w:color="000000"/>
              <w:bottom w:val="single" w:sz="2" w:space="0" w:color="000000"/>
              <w:right w:val="single" w:sz="4" w:space="0" w:color="000000"/>
            </w:tcBorders>
          </w:tcPr>
          <w:p w14:paraId="5C0B8E3C"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10.672</w:t>
            </w:r>
          </w:p>
        </w:tc>
        <w:tc>
          <w:tcPr>
            <w:tcW w:w="815" w:type="dxa"/>
            <w:tcBorders>
              <w:top w:val="single" w:sz="4" w:space="0" w:color="000000"/>
              <w:left w:val="single" w:sz="4" w:space="0" w:color="000000"/>
              <w:bottom w:val="single" w:sz="2" w:space="0" w:color="000000"/>
              <w:right w:val="single" w:sz="2" w:space="0" w:color="000000"/>
            </w:tcBorders>
          </w:tcPr>
          <w:p w14:paraId="425C6FF5"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4" w:space="0" w:color="000000"/>
              <w:left w:val="single" w:sz="2" w:space="0" w:color="000000"/>
              <w:bottom w:val="single" w:sz="2" w:space="0" w:color="000000"/>
              <w:right w:val="single" w:sz="4" w:space="0" w:color="000000"/>
            </w:tcBorders>
          </w:tcPr>
          <w:p w14:paraId="6F3FF3E0" w14:textId="77777777" w:rsidR="00C232D7" w:rsidRPr="00E62109" w:rsidRDefault="00C232D7" w:rsidP="00C232D7">
            <w:pPr>
              <w:spacing w:line="360" w:lineRule="auto"/>
              <w:rPr>
                <w:rFonts w:ascii="Arial" w:hAnsi="Arial" w:cs="Arial"/>
                <w:sz w:val="16"/>
                <w:szCs w:val="18"/>
                <w:lang w:val="sr-Latn-RS"/>
              </w:rPr>
            </w:pPr>
          </w:p>
        </w:tc>
        <w:tc>
          <w:tcPr>
            <w:tcW w:w="542" w:type="dxa"/>
            <w:tcBorders>
              <w:top w:val="single" w:sz="4" w:space="0" w:color="000000"/>
              <w:left w:val="single" w:sz="4" w:space="0" w:color="000000"/>
              <w:bottom w:val="single" w:sz="2" w:space="0" w:color="000000"/>
              <w:right w:val="single" w:sz="4" w:space="0" w:color="000000"/>
            </w:tcBorders>
          </w:tcPr>
          <w:p w14:paraId="037BCB78"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239</w:t>
            </w:r>
          </w:p>
        </w:tc>
        <w:tc>
          <w:tcPr>
            <w:tcW w:w="676" w:type="dxa"/>
            <w:tcBorders>
              <w:top w:val="single" w:sz="4" w:space="0" w:color="000000"/>
              <w:left w:val="single" w:sz="4" w:space="0" w:color="000000"/>
              <w:bottom w:val="single" w:sz="2" w:space="0" w:color="000000"/>
              <w:right w:val="single" w:sz="4" w:space="0" w:color="000000"/>
            </w:tcBorders>
          </w:tcPr>
          <w:p w14:paraId="3F396E12"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7</w:t>
            </w:r>
          </w:p>
        </w:tc>
        <w:tc>
          <w:tcPr>
            <w:tcW w:w="545" w:type="dxa"/>
            <w:tcBorders>
              <w:top w:val="single" w:sz="4" w:space="0" w:color="000000"/>
              <w:left w:val="single" w:sz="4" w:space="0" w:color="000000"/>
              <w:bottom w:val="single" w:sz="2" w:space="0" w:color="000000"/>
              <w:right w:val="single" w:sz="4" w:space="0" w:color="000000"/>
            </w:tcBorders>
          </w:tcPr>
          <w:p w14:paraId="19407A37"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2" w:space="0" w:color="000000"/>
              <w:right w:val="single" w:sz="4" w:space="0" w:color="000000"/>
            </w:tcBorders>
          </w:tcPr>
          <w:p w14:paraId="599D4301"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3</w:t>
            </w:r>
          </w:p>
        </w:tc>
        <w:tc>
          <w:tcPr>
            <w:tcW w:w="651" w:type="dxa"/>
            <w:tcBorders>
              <w:top w:val="single" w:sz="4" w:space="0" w:color="000000"/>
              <w:left w:val="single" w:sz="4" w:space="0" w:color="000000"/>
              <w:bottom w:val="single" w:sz="2" w:space="0" w:color="000000"/>
              <w:right w:val="single" w:sz="4" w:space="0" w:color="000000"/>
            </w:tcBorders>
          </w:tcPr>
          <w:p w14:paraId="012071F5"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1.660</w:t>
            </w:r>
          </w:p>
        </w:tc>
        <w:tc>
          <w:tcPr>
            <w:tcW w:w="837" w:type="dxa"/>
            <w:tcBorders>
              <w:top w:val="single" w:sz="4" w:space="0" w:color="000000"/>
              <w:left w:val="single" w:sz="4" w:space="0" w:color="000000"/>
              <w:bottom w:val="single" w:sz="2" w:space="0" w:color="000000"/>
              <w:right w:val="single" w:sz="4" w:space="0" w:color="000000"/>
            </w:tcBorders>
          </w:tcPr>
          <w:p w14:paraId="54C06964"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3.752  </w:t>
            </w:r>
          </w:p>
        </w:tc>
        <w:tc>
          <w:tcPr>
            <w:tcW w:w="683" w:type="dxa"/>
            <w:tcBorders>
              <w:top w:val="single" w:sz="4" w:space="0" w:color="000000"/>
              <w:left w:val="single" w:sz="4" w:space="0" w:color="000000"/>
              <w:bottom w:val="single" w:sz="2" w:space="0" w:color="000000"/>
              <w:right w:val="single" w:sz="4" w:space="0" w:color="000000"/>
            </w:tcBorders>
          </w:tcPr>
          <w:p w14:paraId="749813AB"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2" w:space="0" w:color="000000"/>
              <w:right w:val="single" w:sz="2" w:space="0" w:color="000000"/>
            </w:tcBorders>
          </w:tcPr>
          <w:p w14:paraId="09377379"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16.333</w:t>
            </w:r>
          </w:p>
        </w:tc>
      </w:tr>
      <w:tr w:rsidR="00C232D7" w:rsidRPr="00E62109" w14:paraId="3BCFF44F" w14:textId="77777777" w:rsidTr="00C232D7">
        <w:trPr>
          <w:trHeight w:val="225"/>
          <w:jc w:val="center"/>
        </w:trPr>
        <w:tc>
          <w:tcPr>
            <w:tcW w:w="405" w:type="dxa"/>
            <w:tcBorders>
              <w:top w:val="single" w:sz="2" w:space="0" w:color="000000"/>
              <w:left w:val="single" w:sz="4" w:space="0" w:color="000000"/>
              <w:bottom w:val="single" w:sz="4" w:space="0" w:color="000000"/>
              <w:right w:val="single" w:sz="4" w:space="0" w:color="000000"/>
            </w:tcBorders>
            <w:shd w:val="clear" w:color="auto" w:fill="F2F2F2"/>
          </w:tcPr>
          <w:p w14:paraId="006536C3"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20.</w:t>
            </w:r>
          </w:p>
        </w:tc>
        <w:tc>
          <w:tcPr>
            <w:tcW w:w="1351" w:type="dxa"/>
            <w:tcBorders>
              <w:top w:val="single" w:sz="2" w:space="0" w:color="000000"/>
              <w:left w:val="single" w:sz="4" w:space="0" w:color="000000"/>
              <w:bottom w:val="single" w:sz="4" w:space="0" w:color="000000"/>
              <w:right w:val="single" w:sz="4" w:space="0" w:color="000000"/>
            </w:tcBorders>
            <w:shd w:val="clear" w:color="auto" w:fill="auto"/>
          </w:tcPr>
          <w:p w14:paraId="45F28645"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Ulcinj </w:t>
            </w:r>
          </w:p>
        </w:tc>
        <w:tc>
          <w:tcPr>
            <w:tcW w:w="781" w:type="dxa"/>
            <w:tcBorders>
              <w:top w:val="single" w:sz="2" w:space="0" w:color="000000"/>
              <w:left w:val="single" w:sz="4" w:space="0" w:color="000000"/>
              <w:bottom w:val="single" w:sz="4" w:space="0" w:color="000000"/>
              <w:right w:val="single" w:sz="4" w:space="0" w:color="000000"/>
            </w:tcBorders>
            <w:shd w:val="clear" w:color="auto" w:fill="F2F2F2"/>
          </w:tcPr>
          <w:p w14:paraId="0415DE16"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15.175</w:t>
            </w:r>
          </w:p>
        </w:tc>
        <w:tc>
          <w:tcPr>
            <w:tcW w:w="815" w:type="dxa"/>
            <w:tcBorders>
              <w:top w:val="single" w:sz="2" w:space="0" w:color="000000"/>
              <w:left w:val="single" w:sz="4" w:space="0" w:color="000000"/>
              <w:bottom w:val="single" w:sz="4" w:space="0" w:color="000000"/>
              <w:right w:val="single" w:sz="2" w:space="0" w:color="000000"/>
            </w:tcBorders>
            <w:shd w:val="clear" w:color="auto" w:fill="F2F2F2"/>
          </w:tcPr>
          <w:p w14:paraId="55F5ABC3"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2" w:space="0" w:color="000000"/>
              <w:left w:val="single" w:sz="2" w:space="0" w:color="000000"/>
              <w:bottom w:val="single" w:sz="4" w:space="0" w:color="000000"/>
              <w:right w:val="single" w:sz="4" w:space="0" w:color="000000"/>
            </w:tcBorders>
            <w:shd w:val="clear" w:color="auto" w:fill="F2F2F2"/>
          </w:tcPr>
          <w:p w14:paraId="4CCB3367" w14:textId="77777777" w:rsidR="00C232D7" w:rsidRPr="00E62109" w:rsidRDefault="00C232D7" w:rsidP="00C232D7">
            <w:pPr>
              <w:spacing w:line="360" w:lineRule="auto"/>
              <w:rPr>
                <w:rFonts w:ascii="Arial" w:hAnsi="Arial" w:cs="Arial"/>
                <w:sz w:val="16"/>
                <w:szCs w:val="18"/>
                <w:lang w:val="sr-Latn-RS"/>
              </w:rPr>
            </w:pPr>
          </w:p>
        </w:tc>
        <w:tc>
          <w:tcPr>
            <w:tcW w:w="542" w:type="dxa"/>
            <w:tcBorders>
              <w:top w:val="single" w:sz="2" w:space="0" w:color="000000"/>
              <w:left w:val="single" w:sz="4" w:space="0" w:color="000000"/>
              <w:bottom w:val="single" w:sz="4" w:space="0" w:color="000000"/>
              <w:right w:val="single" w:sz="4" w:space="0" w:color="000000"/>
            </w:tcBorders>
            <w:shd w:val="clear" w:color="auto" w:fill="FBE183"/>
          </w:tcPr>
          <w:p w14:paraId="2A7FCEE9"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2" w:space="0" w:color="000000"/>
              <w:left w:val="single" w:sz="4" w:space="0" w:color="000000"/>
              <w:bottom w:val="single" w:sz="4" w:space="0" w:color="000000"/>
              <w:right w:val="single" w:sz="4" w:space="0" w:color="000000"/>
            </w:tcBorders>
            <w:shd w:val="clear" w:color="auto" w:fill="FBE183"/>
          </w:tcPr>
          <w:p w14:paraId="043187FB"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2" w:space="0" w:color="000000"/>
              <w:left w:val="single" w:sz="4" w:space="0" w:color="000000"/>
              <w:bottom w:val="single" w:sz="4" w:space="0" w:color="000000"/>
              <w:right w:val="single" w:sz="4" w:space="0" w:color="000000"/>
            </w:tcBorders>
            <w:shd w:val="clear" w:color="auto" w:fill="FBE183"/>
          </w:tcPr>
          <w:p w14:paraId="7B3A58A9"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2" w:space="0" w:color="000000"/>
              <w:left w:val="single" w:sz="4" w:space="0" w:color="000000"/>
              <w:bottom w:val="single" w:sz="4" w:space="0" w:color="000000"/>
              <w:right w:val="single" w:sz="4" w:space="0" w:color="000000"/>
            </w:tcBorders>
            <w:shd w:val="clear" w:color="auto" w:fill="FBE183"/>
          </w:tcPr>
          <w:p w14:paraId="0868393E"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2" w:space="0" w:color="000000"/>
              <w:left w:val="single" w:sz="4" w:space="0" w:color="000000"/>
              <w:bottom w:val="single" w:sz="4" w:space="0" w:color="000000"/>
              <w:right w:val="single" w:sz="4" w:space="0" w:color="000000"/>
            </w:tcBorders>
            <w:shd w:val="clear" w:color="auto" w:fill="F2F2F2"/>
          </w:tcPr>
          <w:p w14:paraId="2168BE17"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2" w:space="0" w:color="000000"/>
              <w:left w:val="single" w:sz="4" w:space="0" w:color="000000"/>
              <w:bottom w:val="single" w:sz="4" w:space="0" w:color="000000"/>
              <w:right w:val="single" w:sz="4" w:space="0" w:color="000000"/>
            </w:tcBorders>
            <w:shd w:val="clear" w:color="auto" w:fill="F2F2F2"/>
          </w:tcPr>
          <w:p w14:paraId="4A514588"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2" w:space="0" w:color="000000"/>
              <w:left w:val="single" w:sz="4" w:space="0" w:color="000000"/>
              <w:bottom w:val="single" w:sz="4" w:space="0" w:color="000000"/>
              <w:right w:val="single" w:sz="4" w:space="0" w:color="000000"/>
            </w:tcBorders>
            <w:shd w:val="clear" w:color="auto" w:fill="F2F2F2"/>
          </w:tcPr>
          <w:p w14:paraId="2AE54FB2"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2" w:space="0" w:color="000000"/>
              <w:left w:val="single" w:sz="4" w:space="0" w:color="000000"/>
              <w:bottom w:val="single" w:sz="4" w:space="0" w:color="000000"/>
              <w:right w:val="single" w:sz="2" w:space="0" w:color="000000"/>
            </w:tcBorders>
            <w:shd w:val="clear" w:color="auto" w:fill="F2F2F2"/>
          </w:tcPr>
          <w:p w14:paraId="3A2F189C"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15.175</w:t>
            </w:r>
          </w:p>
        </w:tc>
      </w:tr>
      <w:tr w:rsidR="00C232D7" w:rsidRPr="00E62109" w14:paraId="6102C0FA" w14:textId="77777777" w:rsidTr="00C232D7">
        <w:trPr>
          <w:trHeight w:val="225"/>
          <w:jc w:val="center"/>
        </w:trPr>
        <w:tc>
          <w:tcPr>
            <w:tcW w:w="405" w:type="dxa"/>
            <w:tcBorders>
              <w:top w:val="single" w:sz="4" w:space="0" w:color="000000"/>
              <w:left w:val="single" w:sz="4" w:space="0" w:color="000000"/>
              <w:bottom w:val="single" w:sz="2" w:space="0" w:color="000000"/>
              <w:right w:val="single" w:sz="4" w:space="0" w:color="000000"/>
            </w:tcBorders>
          </w:tcPr>
          <w:p w14:paraId="33DC5A29"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21.</w:t>
            </w:r>
          </w:p>
        </w:tc>
        <w:tc>
          <w:tcPr>
            <w:tcW w:w="1351" w:type="dxa"/>
            <w:tcBorders>
              <w:top w:val="single" w:sz="4" w:space="0" w:color="000000"/>
              <w:left w:val="single" w:sz="4" w:space="0" w:color="000000"/>
              <w:bottom w:val="single" w:sz="2" w:space="0" w:color="000000"/>
              <w:right w:val="single" w:sz="4" w:space="0" w:color="000000"/>
            </w:tcBorders>
            <w:shd w:val="clear" w:color="auto" w:fill="FFFFFF"/>
          </w:tcPr>
          <w:p w14:paraId="277B9A1B" w14:textId="7B3EC4BE" w:rsidR="00C232D7" w:rsidRPr="00E62109" w:rsidRDefault="00C232D7" w:rsidP="00F6198B">
            <w:pPr>
              <w:spacing w:line="360" w:lineRule="auto"/>
              <w:rPr>
                <w:rFonts w:ascii="Arial" w:hAnsi="Arial" w:cs="Arial"/>
                <w:sz w:val="16"/>
                <w:szCs w:val="18"/>
                <w:lang w:val="sr-Latn-RS"/>
              </w:rPr>
            </w:pPr>
            <w:r w:rsidRPr="00E62109">
              <w:rPr>
                <w:rFonts w:ascii="Arial" w:hAnsi="Arial" w:cs="Arial"/>
                <w:sz w:val="16"/>
                <w:szCs w:val="18"/>
                <w:lang w:val="sr-Latn-RS"/>
              </w:rPr>
              <w:t>H</w:t>
            </w:r>
            <w:r w:rsidR="00F6198B" w:rsidRPr="00E62109">
              <w:rPr>
                <w:rFonts w:ascii="Arial" w:hAnsi="Arial" w:cs="Arial"/>
                <w:sz w:val="16"/>
                <w:szCs w:val="18"/>
                <w:lang w:val="sr-Latn-RS"/>
              </w:rPr>
              <w:t xml:space="preserve">erceg </w:t>
            </w:r>
            <w:r w:rsidRPr="00E62109">
              <w:rPr>
                <w:rFonts w:ascii="Arial" w:hAnsi="Arial" w:cs="Arial"/>
                <w:sz w:val="16"/>
                <w:szCs w:val="18"/>
                <w:lang w:val="sr-Latn-RS"/>
              </w:rPr>
              <w:t xml:space="preserve">Novi </w:t>
            </w:r>
          </w:p>
        </w:tc>
        <w:tc>
          <w:tcPr>
            <w:tcW w:w="781" w:type="dxa"/>
            <w:tcBorders>
              <w:top w:val="single" w:sz="4" w:space="0" w:color="000000"/>
              <w:left w:val="single" w:sz="4" w:space="0" w:color="000000"/>
              <w:bottom w:val="single" w:sz="2" w:space="0" w:color="000000"/>
              <w:right w:val="single" w:sz="4" w:space="0" w:color="000000"/>
            </w:tcBorders>
          </w:tcPr>
          <w:p w14:paraId="4BD3D506"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4" w:space="0" w:color="000000"/>
              <w:left w:val="single" w:sz="4" w:space="0" w:color="000000"/>
              <w:bottom w:val="single" w:sz="2" w:space="0" w:color="000000"/>
              <w:right w:val="single" w:sz="2" w:space="0" w:color="000000"/>
            </w:tcBorders>
          </w:tcPr>
          <w:p w14:paraId="18A03181"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4" w:space="0" w:color="000000"/>
              <w:left w:val="single" w:sz="2" w:space="0" w:color="000000"/>
              <w:bottom w:val="single" w:sz="2" w:space="0" w:color="000000"/>
              <w:right w:val="single" w:sz="4" w:space="0" w:color="000000"/>
            </w:tcBorders>
          </w:tcPr>
          <w:p w14:paraId="5497F209"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24.054</w:t>
            </w:r>
          </w:p>
        </w:tc>
        <w:tc>
          <w:tcPr>
            <w:tcW w:w="542" w:type="dxa"/>
            <w:tcBorders>
              <w:top w:val="single" w:sz="4" w:space="0" w:color="000000"/>
              <w:left w:val="single" w:sz="4" w:space="0" w:color="000000"/>
              <w:bottom w:val="single" w:sz="2" w:space="0" w:color="000000"/>
              <w:right w:val="single" w:sz="4" w:space="0" w:color="000000"/>
            </w:tcBorders>
          </w:tcPr>
          <w:p w14:paraId="642D2ABE"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667</w:t>
            </w:r>
          </w:p>
        </w:tc>
        <w:tc>
          <w:tcPr>
            <w:tcW w:w="676" w:type="dxa"/>
            <w:tcBorders>
              <w:top w:val="single" w:sz="4" w:space="0" w:color="000000"/>
              <w:left w:val="single" w:sz="4" w:space="0" w:color="000000"/>
              <w:bottom w:val="single" w:sz="2" w:space="0" w:color="000000"/>
              <w:right w:val="single" w:sz="4" w:space="0" w:color="000000"/>
            </w:tcBorders>
          </w:tcPr>
          <w:p w14:paraId="33CDB54F"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2" w:space="0" w:color="000000"/>
              <w:right w:val="single" w:sz="4" w:space="0" w:color="000000"/>
            </w:tcBorders>
          </w:tcPr>
          <w:p w14:paraId="75B15BF5"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2" w:space="0" w:color="000000"/>
              <w:right w:val="single" w:sz="4" w:space="0" w:color="000000"/>
            </w:tcBorders>
          </w:tcPr>
          <w:p w14:paraId="3021B20D"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53</w:t>
            </w:r>
          </w:p>
        </w:tc>
        <w:tc>
          <w:tcPr>
            <w:tcW w:w="651" w:type="dxa"/>
            <w:tcBorders>
              <w:top w:val="single" w:sz="4" w:space="0" w:color="000000"/>
              <w:left w:val="single" w:sz="4" w:space="0" w:color="000000"/>
              <w:bottom w:val="single" w:sz="2" w:space="0" w:color="000000"/>
              <w:right w:val="single" w:sz="4" w:space="0" w:color="000000"/>
            </w:tcBorders>
          </w:tcPr>
          <w:p w14:paraId="17B873DE"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835</w:t>
            </w:r>
          </w:p>
        </w:tc>
        <w:tc>
          <w:tcPr>
            <w:tcW w:w="837" w:type="dxa"/>
            <w:tcBorders>
              <w:top w:val="single" w:sz="4" w:space="0" w:color="000000"/>
              <w:left w:val="single" w:sz="4" w:space="0" w:color="000000"/>
              <w:bottom w:val="single" w:sz="2" w:space="0" w:color="000000"/>
              <w:right w:val="single" w:sz="4" w:space="0" w:color="000000"/>
            </w:tcBorders>
          </w:tcPr>
          <w:p w14:paraId="1A41C8A5"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596</w:t>
            </w:r>
          </w:p>
        </w:tc>
        <w:tc>
          <w:tcPr>
            <w:tcW w:w="683" w:type="dxa"/>
            <w:tcBorders>
              <w:top w:val="single" w:sz="4" w:space="0" w:color="000000"/>
              <w:left w:val="single" w:sz="4" w:space="0" w:color="000000"/>
              <w:bottom w:val="single" w:sz="2" w:space="0" w:color="000000"/>
              <w:right w:val="single" w:sz="4" w:space="0" w:color="000000"/>
            </w:tcBorders>
          </w:tcPr>
          <w:p w14:paraId="68BB0FDF"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2" w:space="0" w:color="000000"/>
              <w:right w:val="single" w:sz="2" w:space="0" w:color="000000"/>
            </w:tcBorders>
          </w:tcPr>
          <w:p w14:paraId="6B5CC51C"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26.205</w:t>
            </w:r>
          </w:p>
        </w:tc>
      </w:tr>
      <w:tr w:rsidR="00C232D7" w:rsidRPr="00E62109" w14:paraId="2EEBC738" w14:textId="77777777" w:rsidTr="00C232D7">
        <w:trPr>
          <w:trHeight w:val="225"/>
          <w:jc w:val="center"/>
        </w:trPr>
        <w:tc>
          <w:tcPr>
            <w:tcW w:w="405" w:type="dxa"/>
            <w:tcBorders>
              <w:top w:val="single" w:sz="2" w:space="0" w:color="000000"/>
              <w:left w:val="single" w:sz="4" w:space="0" w:color="000000"/>
              <w:bottom w:val="single" w:sz="4" w:space="0" w:color="000000"/>
              <w:right w:val="single" w:sz="4" w:space="0" w:color="000000"/>
            </w:tcBorders>
            <w:shd w:val="clear" w:color="auto" w:fill="F2F2F2"/>
          </w:tcPr>
          <w:p w14:paraId="41B20FC3"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22.</w:t>
            </w:r>
          </w:p>
        </w:tc>
        <w:tc>
          <w:tcPr>
            <w:tcW w:w="1351" w:type="dxa"/>
            <w:tcBorders>
              <w:top w:val="single" w:sz="2" w:space="0" w:color="000000"/>
              <w:left w:val="single" w:sz="4" w:space="0" w:color="000000"/>
              <w:bottom w:val="single" w:sz="4" w:space="0" w:color="000000"/>
              <w:right w:val="single" w:sz="4" w:space="0" w:color="000000"/>
            </w:tcBorders>
            <w:shd w:val="clear" w:color="auto" w:fill="auto"/>
          </w:tcPr>
          <w:p w14:paraId="6713769E"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Šavnik </w:t>
            </w:r>
          </w:p>
        </w:tc>
        <w:tc>
          <w:tcPr>
            <w:tcW w:w="781" w:type="dxa"/>
            <w:tcBorders>
              <w:top w:val="single" w:sz="2" w:space="0" w:color="000000"/>
              <w:left w:val="single" w:sz="4" w:space="0" w:color="000000"/>
              <w:bottom w:val="single" w:sz="4" w:space="0" w:color="000000"/>
              <w:right w:val="single" w:sz="4" w:space="0" w:color="000000"/>
            </w:tcBorders>
            <w:shd w:val="clear" w:color="auto" w:fill="F2F2F2"/>
          </w:tcPr>
          <w:p w14:paraId="70BA6FE0"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2" w:space="0" w:color="000000"/>
              <w:left w:val="single" w:sz="4" w:space="0" w:color="000000"/>
              <w:bottom w:val="single" w:sz="4" w:space="0" w:color="000000"/>
              <w:right w:val="single" w:sz="2" w:space="0" w:color="000000"/>
            </w:tcBorders>
            <w:shd w:val="clear" w:color="auto" w:fill="F2F2F2"/>
          </w:tcPr>
          <w:p w14:paraId="3B62D478"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299</w:t>
            </w:r>
          </w:p>
        </w:tc>
        <w:tc>
          <w:tcPr>
            <w:tcW w:w="852" w:type="dxa"/>
            <w:tcBorders>
              <w:top w:val="single" w:sz="2" w:space="0" w:color="000000"/>
              <w:left w:val="single" w:sz="2" w:space="0" w:color="000000"/>
              <w:bottom w:val="single" w:sz="4" w:space="0" w:color="000000"/>
              <w:right w:val="single" w:sz="4" w:space="0" w:color="000000"/>
            </w:tcBorders>
            <w:shd w:val="clear" w:color="auto" w:fill="F2F2F2"/>
          </w:tcPr>
          <w:p w14:paraId="597DCF3E" w14:textId="77777777" w:rsidR="00C232D7" w:rsidRPr="00E62109" w:rsidRDefault="00C232D7" w:rsidP="00C232D7">
            <w:pPr>
              <w:spacing w:line="360" w:lineRule="auto"/>
              <w:rPr>
                <w:rFonts w:ascii="Arial" w:hAnsi="Arial" w:cs="Arial"/>
                <w:sz w:val="16"/>
                <w:szCs w:val="18"/>
                <w:lang w:val="sr-Latn-RS"/>
              </w:rPr>
            </w:pPr>
          </w:p>
        </w:tc>
        <w:tc>
          <w:tcPr>
            <w:tcW w:w="542" w:type="dxa"/>
            <w:tcBorders>
              <w:top w:val="single" w:sz="2" w:space="0" w:color="000000"/>
              <w:left w:val="single" w:sz="4" w:space="0" w:color="000000"/>
              <w:bottom w:val="single" w:sz="4" w:space="0" w:color="000000"/>
              <w:right w:val="single" w:sz="4" w:space="0" w:color="000000"/>
            </w:tcBorders>
            <w:shd w:val="clear" w:color="auto" w:fill="FBE183"/>
          </w:tcPr>
          <w:p w14:paraId="4A845A96"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2" w:space="0" w:color="000000"/>
              <w:left w:val="single" w:sz="4" w:space="0" w:color="000000"/>
              <w:bottom w:val="single" w:sz="4" w:space="0" w:color="000000"/>
              <w:right w:val="single" w:sz="4" w:space="0" w:color="000000"/>
            </w:tcBorders>
            <w:shd w:val="clear" w:color="auto" w:fill="FBE183"/>
          </w:tcPr>
          <w:p w14:paraId="5293F6E5"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2" w:space="0" w:color="000000"/>
              <w:left w:val="single" w:sz="4" w:space="0" w:color="000000"/>
              <w:bottom w:val="single" w:sz="4" w:space="0" w:color="000000"/>
              <w:right w:val="single" w:sz="4" w:space="0" w:color="000000"/>
            </w:tcBorders>
            <w:shd w:val="clear" w:color="auto" w:fill="FBE183"/>
          </w:tcPr>
          <w:p w14:paraId="11739732"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2" w:space="0" w:color="000000"/>
              <w:left w:val="single" w:sz="4" w:space="0" w:color="000000"/>
              <w:bottom w:val="single" w:sz="4" w:space="0" w:color="000000"/>
              <w:right w:val="single" w:sz="4" w:space="0" w:color="000000"/>
            </w:tcBorders>
            <w:shd w:val="clear" w:color="auto" w:fill="FBE183"/>
          </w:tcPr>
          <w:p w14:paraId="1A7C1123"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2" w:space="0" w:color="000000"/>
              <w:left w:val="single" w:sz="4" w:space="0" w:color="000000"/>
              <w:bottom w:val="single" w:sz="4" w:space="0" w:color="000000"/>
              <w:right w:val="single" w:sz="4" w:space="0" w:color="000000"/>
            </w:tcBorders>
            <w:shd w:val="clear" w:color="auto" w:fill="F2F2F2"/>
          </w:tcPr>
          <w:p w14:paraId="24AA397E"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2" w:space="0" w:color="000000"/>
              <w:left w:val="single" w:sz="4" w:space="0" w:color="000000"/>
              <w:bottom w:val="single" w:sz="4" w:space="0" w:color="000000"/>
              <w:right w:val="single" w:sz="4" w:space="0" w:color="000000"/>
            </w:tcBorders>
            <w:shd w:val="clear" w:color="auto" w:fill="F2F2F2"/>
          </w:tcPr>
          <w:p w14:paraId="316C5F15"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2" w:space="0" w:color="000000"/>
              <w:left w:val="single" w:sz="4" w:space="0" w:color="000000"/>
              <w:bottom w:val="single" w:sz="4" w:space="0" w:color="000000"/>
              <w:right w:val="single" w:sz="4" w:space="0" w:color="000000"/>
            </w:tcBorders>
            <w:shd w:val="clear" w:color="auto" w:fill="F2F2F2"/>
          </w:tcPr>
          <w:p w14:paraId="258866F9"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2" w:space="0" w:color="000000"/>
              <w:left w:val="single" w:sz="4" w:space="0" w:color="000000"/>
              <w:bottom w:val="single" w:sz="4" w:space="0" w:color="000000"/>
              <w:right w:val="single" w:sz="2" w:space="0" w:color="000000"/>
            </w:tcBorders>
            <w:shd w:val="clear" w:color="auto" w:fill="F2F2F2"/>
          </w:tcPr>
          <w:p w14:paraId="7CE316BA"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299</w:t>
            </w:r>
          </w:p>
        </w:tc>
      </w:tr>
      <w:tr w:rsidR="00C232D7" w:rsidRPr="00E62109" w14:paraId="612C7028" w14:textId="77777777" w:rsidTr="00C232D7">
        <w:trPr>
          <w:trHeight w:val="221"/>
          <w:jc w:val="center"/>
        </w:trPr>
        <w:tc>
          <w:tcPr>
            <w:tcW w:w="405" w:type="dxa"/>
            <w:tcBorders>
              <w:top w:val="single" w:sz="4" w:space="0" w:color="000000"/>
              <w:left w:val="single" w:sz="4" w:space="0" w:color="000000"/>
              <w:bottom w:val="single" w:sz="4" w:space="0" w:color="000000"/>
              <w:right w:val="single" w:sz="4" w:space="0" w:color="000000"/>
            </w:tcBorders>
          </w:tcPr>
          <w:p w14:paraId="26468DAE"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23.</w:t>
            </w:r>
          </w:p>
        </w:tc>
        <w:tc>
          <w:tcPr>
            <w:tcW w:w="1351" w:type="dxa"/>
            <w:tcBorders>
              <w:top w:val="single" w:sz="4" w:space="0" w:color="000000"/>
              <w:left w:val="single" w:sz="4" w:space="0" w:color="000000"/>
              <w:bottom w:val="single" w:sz="4" w:space="0" w:color="000000"/>
              <w:right w:val="single" w:sz="4" w:space="0" w:color="000000"/>
            </w:tcBorders>
            <w:shd w:val="clear" w:color="auto" w:fill="FFFFFF"/>
          </w:tcPr>
          <w:p w14:paraId="7BB619FC"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Petnjica (19,69%) </w:t>
            </w:r>
          </w:p>
        </w:tc>
        <w:tc>
          <w:tcPr>
            <w:tcW w:w="781" w:type="dxa"/>
            <w:tcBorders>
              <w:top w:val="single" w:sz="4" w:space="0" w:color="000000"/>
              <w:left w:val="single" w:sz="4" w:space="0" w:color="000000"/>
              <w:bottom w:val="single" w:sz="4" w:space="0" w:color="000000"/>
              <w:right w:val="single" w:sz="4" w:space="0" w:color="000000"/>
            </w:tcBorders>
          </w:tcPr>
          <w:p w14:paraId="140FC738"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4" w:space="0" w:color="000000"/>
              <w:left w:val="single" w:sz="4" w:space="0" w:color="000000"/>
              <w:bottom w:val="single" w:sz="4" w:space="0" w:color="000000"/>
              <w:right w:val="single" w:sz="2" w:space="0" w:color="000000"/>
            </w:tcBorders>
          </w:tcPr>
          <w:p w14:paraId="3C5A6DC2" w14:textId="77777777" w:rsidR="00C232D7" w:rsidRPr="00E62109" w:rsidRDefault="00C232D7" w:rsidP="00C232D7">
            <w:pPr>
              <w:spacing w:line="360" w:lineRule="auto"/>
              <w:rPr>
                <w:rFonts w:ascii="Arial" w:hAnsi="Arial" w:cs="Arial"/>
                <w:sz w:val="16"/>
                <w:szCs w:val="18"/>
                <w:lang w:val="sr-Latn-RS"/>
              </w:rPr>
            </w:pPr>
          </w:p>
        </w:tc>
        <w:tc>
          <w:tcPr>
            <w:tcW w:w="852" w:type="dxa"/>
            <w:tcBorders>
              <w:top w:val="single" w:sz="4" w:space="0" w:color="000000"/>
              <w:left w:val="single" w:sz="2" w:space="0" w:color="000000"/>
              <w:bottom w:val="single" w:sz="4" w:space="0" w:color="000000"/>
              <w:right w:val="single" w:sz="4" w:space="0" w:color="000000"/>
            </w:tcBorders>
          </w:tcPr>
          <w:p w14:paraId="74319114"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274</w:t>
            </w: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14:paraId="2C9791CC"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14:paraId="4DC0F761"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14:paraId="7EDF2DE2"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14:paraId="52F03BA6"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4" w:space="0" w:color="000000"/>
              <w:left w:val="single" w:sz="4" w:space="0" w:color="000000"/>
              <w:bottom w:val="single" w:sz="4" w:space="0" w:color="000000"/>
              <w:right w:val="single" w:sz="4" w:space="0" w:color="000000"/>
            </w:tcBorders>
          </w:tcPr>
          <w:p w14:paraId="652D3594"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4" w:space="0" w:color="000000"/>
              <w:left w:val="single" w:sz="4" w:space="0" w:color="000000"/>
              <w:bottom w:val="single" w:sz="4" w:space="0" w:color="000000"/>
              <w:right w:val="single" w:sz="4" w:space="0" w:color="000000"/>
            </w:tcBorders>
          </w:tcPr>
          <w:p w14:paraId="126D6CA6"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4" w:space="0" w:color="000000"/>
              <w:left w:val="single" w:sz="4" w:space="0" w:color="000000"/>
              <w:bottom w:val="single" w:sz="4" w:space="0" w:color="000000"/>
              <w:right w:val="single" w:sz="4" w:space="0" w:color="000000"/>
            </w:tcBorders>
          </w:tcPr>
          <w:p w14:paraId="0AEDD5C7"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4" w:space="0" w:color="000000"/>
              <w:right w:val="single" w:sz="2" w:space="0" w:color="000000"/>
            </w:tcBorders>
          </w:tcPr>
          <w:p w14:paraId="612EF2FB"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275</w:t>
            </w:r>
          </w:p>
        </w:tc>
      </w:tr>
      <w:tr w:rsidR="00C232D7" w:rsidRPr="00E62109" w14:paraId="7A166666" w14:textId="77777777" w:rsidTr="00C232D7">
        <w:trPr>
          <w:trHeight w:val="169"/>
          <w:jc w:val="center"/>
        </w:trPr>
        <w:tc>
          <w:tcPr>
            <w:tcW w:w="405" w:type="dxa"/>
            <w:tcBorders>
              <w:top w:val="single" w:sz="4" w:space="0" w:color="000000"/>
              <w:left w:val="single" w:sz="4" w:space="0" w:color="000000"/>
              <w:bottom w:val="single" w:sz="4" w:space="0" w:color="000000"/>
              <w:right w:val="single" w:sz="4" w:space="0" w:color="000000"/>
            </w:tcBorders>
          </w:tcPr>
          <w:p w14:paraId="00D79ABB"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sz w:val="16"/>
                <w:szCs w:val="18"/>
                <w:lang w:val="sr-Latn-RS"/>
              </w:rPr>
              <w:t>24.</w:t>
            </w:r>
          </w:p>
        </w:tc>
        <w:tc>
          <w:tcPr>
            <w:tcW w:w="1351" w:type="dxa"/>
            <w:tcBorders>
              <w:top w:val="single" w:sz="4" w:space="0" w:color="000000"/>
              <w:left w:val="single" w:sz="4" w:space="0" w:color="000000"/>
              <w:bottom w:val="single" w:sz="4" w:space="0" w:color="000000"/>
              <w:right w:val="single" w:sz="4" w:space="0" w:color="000000"/>
            </w:tcBorders>
            <w:shd w:val="clear" w:color="auto" w:fill="auto"/>
          </w:tcPr>
          <w:p w14:paraId="6A57B67F"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 xml:space="preserve">Tuzi (6,5% 12.096) </w:t>
            </w:r>
          </w:p>
        </w:tc>
        <w:tc>
          <w:tcPr>
            <w:tcW w:w="781" w:type="dxa"/>
            <w:tcBorders>
              <w:top w:val="single" w:sz="4" w:space="0" w:color="000000"/>
              <w:left w:val="single" w:sz="4" w:space="0" w:color="000000"/>
              <w:bottom w:val="single" w:sz="4" w:space="0" w:color="000000"/>
              <w:right w:val="single" w:sz="4" w:space="0" w:color="000000"/>
            </w:tcBorders>
          </w:tcPr>
          <w:p w14:paraId="420119AD" w14:textId="77777777" w:rsidR="00C232D7" w:rsidRPr="00E62109" w:rsidRDefault="00C232D7" w:rsidP="00C232D7">
            <w:pPr>
              <w:spacing w:line="360" w:lineRule="auto"/>
              <w:rPr>
                <w:rFonts w:ascii="Arial" w:hAnsi="Arial" w:cs="Arial"/>
                <w:sz w:val="16"/>
                <w:szCs w:val="18"/>
                <w:lang w:val="sr-Latn-RS"/>
              </w:rPr>
            </w:pPr>
          </w:p>
        </w:tc>
        <w:tc>
          <w:tcPr>
            <w:tcW w:w="815" w:type="dxa"/>
            <w:tcBorders>
              <w:top w:val="single" w:sz="4" w:space="0" w:color="000000"/>
              <w:left w:val="single" w:sz="4" w:space="0" w:color="000000"/>
              <w:bottom w:val="single" w:sz="4" w:space="0" w:color="000000"/>
              <w:right w:val="single" w:sz="2" w:space="0" w:color="000000"/>
            </w:tcBorders>
          </w:tcPr>
          <w:p w14:paraId="3F42EA99"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3.759</w:t>
            </w:r>
          </w:p>
        </w:tc>
        <w:tc>
          <w:tcPr>
            <w:tcW w:w="852" w:type="dxa"/>
            <w:tcBorders>
              <w:top w:val="single" w:sz="4" w:space="0" w:color="000000"/>
              <w:left w:val="single" w:sz="2" w:space="0" w:color="000000"/>
              <w:bottom w:val="single" w:sz="4" w:space="0" w:color="000000"/>
              <w:right w:val="single" w:sz="4" w:space="0" w:color="000000"/>
            </w:tcBorders>
          </w:tcPr>
          <w:p w14:paraId="052EC6E1" w14:textId="77777777" w:rsidR="00C232D7" w:rsidRPr="00E62109" w:rsidRDefault="00C232D7" w:rsidP="00C232D7">
            <w:pPr>
              <w:spacing w:line="360" w:lineRule="auto"/>
              <w:rPr>
                <w:rFonts w:ascii="Arial" w:hAnsi="Arial" w:cs="Arial"/>
                <w:sz w:val="16"/>
                <w:szCs w:val="18"/>
                <w:lang w:val="sr-Latn-RS"/>
              </w:rPr>
            </w:pPr>
          </w:p>
        </w:tc>
        <w:tc>
          <w:tcPr>
            <w:tcW w:w="542" w:type="dxa"/>
            <w:tcBorders>
              <w:top w:val="single" w:sz="4" w:space="0" w:color="000000"/>
              <w:left w:val="single" w:sz="4" w:space="0" w:color="000000"/>
              <w:bottom w:val="single" w:sz="4" w:space="0" w:color="000000"/>
              <w:right w:val="single" w:sz="4" w:space="0" w:color="000000"/>
            </w:tcBorders>
            <w:shd w:val="clear" w:color="auto" w:fill="FBE183"/>
          </w:tcPr>
          <w:p w14:paraId="6E904A4D"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183"/>
          </w:tcPr>
          <w:p w14:paraId="307F5E64"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183"/>
          </w:tcPr>
          <w:p w14:paraId="2154E3E5"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183"/>
          </w:tcPr>
          <w:p w14:paraId="50B77932"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4" w:space="0" w:color="000000"/>
              <w:left w:val="single" w:sz="4" w:space="0" w:color="000000"/>
              <w:bottom w:val="single" w:sz="4" w:space="0" w:color="000000"/>
              <w:right w:val="single" w:sz="4" w:space="0" w:color="000000"/>
            </w:tcBorders>
          </w:tcPr>
          <w:p w14:paraId="29B14510"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4" w:space="0" w:color="000000"/>
              <w:left w:val="single" w:sz="4" w:space="0" w:color="000000"/>
              <w:bottom w:val="single" w:sz="4" w:space="0" w:color="000000"/>
              <w:right w:val="single" w:sz="4" w:space="0" w:color="000000"/>
            </w:tcBorders>
          </w:tcPr>
          <w:p w14:paraId="10B33EBF"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4" w:space="0" w:color="000000"/>
              <w:left w:val="single" w:sz="4" w:space="0" w:color="000000"/>
              <w:bottom w:val="single" w:sz="4" w:space="0" w:color="000000"/>
              <w:right w:val="single" w:sz="4" w:space="0" w:color="000000"/>
            </w:tcBorders>
          </w:tcPr>
          <w:p w14:paraId="477AE740"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4" w:space="0" w:color="000000"/>
              <w:right w:val="single" w:sz="2" w:space="0" w:color="000000"/>
            </w:tcBorders>
          </w:tcPr>
          <w:p w14:paraId="51064F20"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3.759</w:t>
            </w:r>
          </w:p>
        </w:tc>
      </w:tr>
      <w:tr w:rsidR="00C232D7" w:rsidRPr="00E62109" w14:paraId="100367EE" w14:textId="77777777" w:rsidTr="00C232D7">
        <w:trPr>
          <w:trHeight w:val="178"/>
          <w:jc w:val="center"/>
        </w:trPr>
        <w:tc>
          <w:tcPr>
            <w:tcW w:w="405"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486346D9"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25</w:t>
            </w:r>
          </w:p>
        </w:tc>
        <w:tc>
          <w:tcPr>
            <w:tcW w:w="2947" w:type="dxa"/>
            <w:gridSpan w:val="3"/>
            <w:tcBorders>
              <w:top w:val="single" w:sz="4" w:space="0" w:color="000000"/>
              <w:left w:val="single" w:sz="4" w:space="0" w:color="000000"/>
              <w:bottom w:val="single" w:sz="4" w:space="0" w:color="000000"/>
              <w:right w:val="single" w:sz="2" w:space="0" w:color="000000"/>
            </w:tcBorders>
            <w:shd w:val="clear" w:color="auto" w:fill="FBE4D5"/>
            <w:vAlign w:val="center"/>
          </w:tcPr>
          <w:p w14:paraId="23A1CCF9"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Zeta (podaci su dati u okviru Glavnog grada)</w:t>
            </w:r>
          </w:p>
        </w:tc>
        <w:tc>
          <w:tcPr>
            <w:tcW w:w="852" w:type="dxa"/>
            <w:tcBorders>
              <w:top w:val="single" w:sz="4" w:space="0" w:color="000000"/>
              <w:left w:val="single" w:sz="2" w:space="0" w:color="000000"/>
              <w:bottom w:val="single" w:sz="4" w:space="0" w:color="000000"/>
              <w:right w:val="single" w:sz="4" w:space="0" w:color="000000"/>
            </w:tcBorders>
            <w:shd w:val="clear" w:color="auto" w:fill="FBE4D5"/>
            <w:vAlign w:val="center"/>
          </w:tcPr>
          <w:p w14:paraId="114133A4" w14:textId="77777777" w:rsidR="00C232D7" w:rsidRPr="00E62109" w:rsidRDefault="00C232D7" w:rsidP="00C232D7">
            <w:pPr>
              <w:spacing w:line="360" w:lineRule="auto"/>
              <w:rPr>
                <w:rFonts w:ascii="Arial" w:hAnsi="Arial" w:cs="Arial"/>
                <w:sz w:val="16"/>
                <w:szCs w:val="18"/>
                <w:lang w:val="sr-Latn-RS"/>
              </w:rPr>
            </w:pPr>
          </w:p>
        </w:tc>
        <w:tc>
          <w:tcPr>
            <w:tcW w:w="542"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0D66E37D" w14:textId="77777777" w:rsidR="00C232D7" w:rsidRPr="00E62109" w:rsidRDefault="00C232D7" w:rsidP="00C232D7">
            <w:pPr>
              <w:spacing w:line="360" w:lineRule="auto"/>
              <w:rPr>
                <w:rFonts w:ascii="Arial" w:hAnsi="Arial" w:cs="Arial"/>
                <w:sz w:val="16"/>
                <w:szCs w:val="18"/>
                <w:lang w:val="sr-Latn-RS"/>
              </w:rPr>
            </w:pPr>
          </w:p>
        </w:tc>
        <w:tc>
          <w:tcPr>
            <w:tcW w:w="676"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3F31DBC5" w14:textId="77777777" w:rsidR="00C232D7" w:rsidRPr="00E62109" w:rsidRDefault="00C232D7" w:rsidP="00C232D7">
            <w:pPr>
              <w:spacing w:line="360" w:lineRule="auto"/>
              <w:rPr>
                <w:rFonts w:ascii="Arial" w:hAnsi="Arial" w:cs="Arial"/>
                <w:sz w:val="16"/>
                <w:szCs w:val="18"/>
                <w:lang w:val="sr-Latn-RS"/>
              </w:rPr>
            </w:pPr>
          </w:p>
        </w:tc>
        <w:tc>
          <w:tcPr>
            <w:tcW w:w="545"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76C8F898" w14:textId="77777777" w:rsidR="00C232D7" w:rsidRPr="00E62109" w:rsidRDefault="00C232D7" w:rsidP="00C232D7">
            <w:pPr>
              <w:spacing w:line="360" w:lineRule="auto"/>
              <w:rPr>
                <w:rFonts w:ascii="Arial" w:hAnsi="Arial" w:cs="Arial"/>
                <w:sz w:val="16"/>
                <w:szCs w:val="18"/>
                <w:lang w:val="sr-Latn-RS"/>
              </w:rPr>
            </w:pPr>
          </w:p>
        </w:tc>
        <w:tc>
          <w:tcPr>
            <w:tcW w:w="543"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16F5CBDE" w14:textId="77777777" w:rsidR="00C232D7" w:rsidRPr="00E62109" w:rsidRDefault="00C232D7" w:rsidP="00C232D7">
            <w:pPr>
              <w:spacing w:line="360" w:lineRule="auto"/>
              <w:rPr>
                <w:rFonts w:ascii="Arial" w:hAnsi="Arial" w:cs="Arial"/>
                <w:sz w:val="16"/>
                <w:szCs w:val="18"/>
                <w:lang w:val="sr-Latn-RS"/>
              </w:rPr>
            </w:pPr>
          </w:p>
        </w:tc>
        <w:tc>
          <w:tcPr>
            <w:tcW w:w="651"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6E9AC5CF" w14:textId="77777777" w:rsidR="00C232D7" w:rsidRPr="00E62109" w:rsidRDefault="00C232D7" w:rsidP="00C232D7">
            <w:pPr>
              <w:spacing w:line="360" w:lineRule="auto"/>
              <w:rPr>
                <w:rFonts w:ascii="Arial" w:hAnsi="Arial" w:cs="Arial"/>
                <w:sz w:val="16"/>
                <w:szCs w:val="18"/>
                <w:lang w:val="sr-Latn-RS"/>
              </w:rPr>
            </w:pPr>
          </w:p>
        </w:tc>
        <w:tc>
          <w:tcPr>
            <w:tcW w:w="837"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42A37EF3" w14:textId="77777777" w:rsidR="00C232D7" w:rsidRPr="00E62109" w:rsidRDefault="00C232D7" w:rsidP="00C232D7">
            <w:pPr>
              <w:spacing w:line="360" w:lineRule="auto"/>
              <w:rPr>
                <w:rFonts w:ascii="Arial" w:hAnsi="Arial" w:cs="Arial"/>
                <w:sz w:val="16"/>
                <w:szCs w:val="18"/>
                <w:lang w:val="sr-Latn-RS"/>
              </w:rPr>
            </w:pPr>
          </w:p>
        </w:tc>
        <w:tc>
          <w:tcPr>
            <w:tcW w:w="683" w:type="dxa"/>
            <w:tcBorders>
              <w:top w:val="single" w:sz="4" w:space="0" w:color="000000"/>
              <w:left w:val="single" w:sz="4" w:space="0" w:color="000000"/>
              <w:bottom w:val="single" w:sz="4" w:space="0" w:color="000000"/>
              <w:right w:val="single" w:sz="4" w:space="0" w:color="000000"/>
            </w:tcBorders>
            <w:shd w:val="clear" w:color="auto" w:fill="FBE4D5"/>
            <w:vAlign w:val="center"/>
          </w:tcPr>
          <w:p w14:paraId="154A07B9" w14:textId="77777777" w:rsidR="00C232D7" w:rsidRPr="00E62109" w:rsidRDefault="00C232D7" w:rsidP="00C232D7">
            <w:pPr>
              <w:spacing w:line="360" w:lineRule="auto"/>
              <w:rPr>
                <w:rFonts w:ascii="Arial" w:hAnsi="Arial" w:cs="Arial"/>
                <w:sz w:val="16"/>
                <w:szCs w:val="18"/>
                <w:lang w:val="sr-Latn-RS"/>
              </w:rPr>
            </w:pPr>
          </w:p>
        </w:tc>
        <w:tc>
          <w:tcPr>
            <w:tcW w:w="859" w:type="dxa"/>
            <w:tcBorders>
              <w:top w:val="single" w:sz="4" w:space="0" w:color="000000"/>
              <w:left w:val="single" w:sz="4" w:space="0" w:color="000000"/>
              <w:bottom w:val="single" w:sz="4" w:space="0" w:color="000000"/>
              <w:right w:val="single" w:sz="2" w:space="0" w:color="000000"/>
            </w:tcBorders>
            <w:shd w:val="clear" w:color="auto" w:fill="FBE4D5"/>
            <w:vAlign w:val="center"/>
          </w:tcPr>
          <w:p w14:paraId="5416F6B5" w14:textId="77777777" w:rsidR="00C232D7" w:rsidRPr="00E62109" w:rsidRDefault="00C232D7" w:rsidP="00C232D7">
            <w:pPr>
              <w:spacing w:line="360" w:lineRule="auto"/>
              <w:rPr>
                <w:rFonts w:ascii="Arial" w:hAnsi="Arial" w:cs="Arial"/>
                <w:sz w:val="16"/>
                <w:szCs w:val="18"/>
                <w:lang w:val="sr-Latn-RS"/>
              </w:rPr>
            </w:pPr>
            <w:r w:rsidRPr="00E62109">
              <w:rPr>
                <w:rFonts w:ascii="Arial" w:hAnsi="Arial" w:cs="Arial"/>
                <w:sz w:val="16"/>
                <w:szCs w:val="18"/>
                <w:lang w:val="sr-Latn-RS"/>
              </w:rPr>
              <w:t>---</w:t>
            </w:r>
          </w:p>
        </w:tc>
      </w:tr>
      <w:tr w:rsidR="00C232D7" w:rsidRPr="00E62109" w14:paraId="1229A798" w14:textId="77777777" w:rsidTr="00C232D7">
        <w:trPr>
          <w:trHeight w:val="227"/>
          <w:jc w:val="center"/>
        </w:trPr>
        <w:tc>
          <w:tcPr>
            <w:tcW w:w="1756" w:type="dxa"/>
            <w:gridSpan w:val="2"/>
            <w:vMerge w:val="restart"/>
            <w:tcBorders>
              <w:top w:val="single" w:sz="4" w:space="0" w:color="000000"/>
              <w:left w:val="single" w:sz="4" w:space="0" w:color="000000"/>
              <w:right w:val="single" w:sz="4" w:space="0" w:color="000000"/>
            </w:tcBorders>
            <w:shd w:val="clear" w:color="auto" w:fill="FFFFFF"/>
            <w:vAlign w:val="center"/>
          </w:tcPr>
          <w:p w14:paraId="6DB6D7B2"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b/>
                <w:sz w:val="16"/>
                <w:szCs w:val="18"/>
                <w:lang w:val="sr-Latn-RS"/>
              </w:rPr>
              <w:t>UKUPNO</w:t>
            </w:r>
          </w:p>
        </w:tc>
        <w:tc>
          <w:tcPr>
            <w:tcW w:w="781" w:type="dxa"/>
            <w:vMerge w:val="restart"/>
            <w:tcBorders>
              <w:top w:val="single" w:sz="4" w:space="0" w:color="000000"/>
              <w:left w:val="single" w:sz="4" w:space="0" w:color="000000"/>
              <w:bottom w:val="single" w:sz="2" w:space="0" w:color="000000"/>
              <w:right w:val="single" w:sz="4" w:space="0" w:color="000000"/>
            </w:tcBorders>
            <w:shd w:val="clear" w:color="auto" w:fill="FFFFFF"/>
          </w:tcPr>
          <w:p w14:paraId="1A7DB763" w14:textId="77777777" w:rsidR="00C232D7" w:rsidRPr="00E62109" w:rsidRDefault="00C232D7" w:rsidP="00C232D7">
            <w:pPr>
              <w:spacing w:line="360" w:lineRule="auto"/>
              <w:rPr>
                <w:rFonts w:ascii="Arial" w:hAnsi="Arial" w:cs="Arial"/>
                <w:b/>
                <w:sz w:val="16"/>
                <w:szCs w:val="18"/>
                <w:highlight w:val="yellow"/>
                <w:lang w:val="sr-Latn-RS"/>
              </w:rPr>
            </w:pPr>
            <w:r w:rsidRPr="00E62109">
              <w:rPr>
                <w:rFonts w:ascii="Arial" w:hAnsi="Arial" w:cs="Arial"/>
                <w:b/>
                <w:sz w:val="16"/>
                <w:szCs w:val="18"/>
                <w:lang w:val="sr-Latn-RS"/>
              </w:rPr>
              <w:t>96.751</w:t>
            </w:r>
          </w:p>
        </w:tc>
        <w:tc>
          <w:tcPr>
            <w:tcW w:w="815" w:type="dxa"/>
            <w:vMerge w:val="restart"/>
            <w:tcBorders>
              <w:top w:val="single" w:sz="4" w:space="0" w:color="000000"/>
              <w:left w:val="single" w:sz="4" w:space="0" w:color="000000"/>
              <w:bottom w:val="single" w:sz="2" w:space="0" w:color="000000"/>
              <w:right w:val="single" w:sz="2" w:space="0" w:color="000000"/>
            </w:tcBorders>
            <w:shd w:val="clear" w:color="auto" w:fill="FFFFFF"/>
          </w:tcPr>
          <w:p w14:paraId="63F0FDD8" w14:textId="77777777" w:rsidR="00C232D7" w:rsidRPr="00E62109" w:rsidRDefault="00C232D7" w:rsidP="00C232D7">
            <w:pPr>
              <w:spacing w:line="360" w:lineRule="auto"/>
              <w:rPr>
                <w:rFonts w:ascii="Arial" w:hAnsi="Arial" w:cs="Arial"/>
                <w:b/>
                <w:sz w:val="16"/>
                <w:szCs w:val="18"/>
                <w:highlight w:val="yellow"/>
                <w:lang w:val="sr-Latn-RS"/>
              </w:rPr>
            </w:pPr>
            <w:r w:rsidRPr="00E62109">
              <w:rPr>
                <w:rFonts w:ascii="Arial" w:hAnsi="Arial" w:cs="Arial"/>
                <w:b/>
                <w:sz w:val="16"/>
                <w:szCs w:val="18"/>
                <w:lang w:val="sr-Latn-RS"/>
              </w:rPr>
              <w:t>98.020</w:t>
            </w:r>
          </w:p>
        </w:tc>
        <w:tc>
          <w:tcPr>
            <w:tcW w:w="852" w:type="dxa"/>
            <w:vMerge w:val="restart"/>
            <w:tcBorders>
              <w:top w:val="single" w:sz="4" w:space="0" w:color="000000"/>
              <w:left w:val="single" w:sz="2" w:space="0" w:color="000000"/>
              <w:bottom w:val="single" w:sz="4" w:space="0" w:color="000000"/>
              <w:right w:val="single" w:sz="4" w:space="0" w:color="000000"/>
            </w:tcBorders>
            <w:shd w:val="clear" w:color="auto" w:fill="FFFFFF"/>
          </w:tcPr>
          <w:p w14:paraId="2F47401B"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b/>
                <w:sz w:val="16"/>
                <w:szCs w:val="18"/>
                <w:lang w:val="sr-Latn-RS"/>
              </w:rPr>
              <w:t>67.338</w:t>
            </w:r>
          </w:p>
        </w:tc>
        <w:tc>
          <w:tcPr>
            <w:tcW w:w="542" w:type="dxa"/>
            <w:tcBorders>
              <w:top w:val="single" w:sz="4" w:space="0" w:color="000000"/>
              <w:left w:val="single" w:sz="4" w:space="0" w:color="000000"/>
              <w:bottom w:val="single" w:sz="2" w:space="0" w:color="000000"/>
              <w:right w:val="single" w:sz="4" w:space="0" w:color="000000"/>
            </w:tcBorders>
            <w:shd w:val="clear" w:color="auto" w:fill="FFFFFF"/>
          </w:tcPr>
          <w:p w14:paraId="5B731037"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b/>
                <w:sz w:val="16"/>
                <w:szCs w:val="18"/>
                <w:lang w:val="sr-Latn-RS"/>
              </w:rPr>
              <w:t>3.104</w:t>
            </w:r>
          </w:p>
        </w:tc>
        <w:tc>
          <w:tcPr>
            <w:tcW w:w="676" w:type="dxa"/>
            <w:tcBorders>
              <w:top w:val="single" w:sz="4" w:space="0" w:color="000000"/>
              <w:left w:val="single" w:sz="4" w:space="0" w:color="000000"/>
              <w:bottom w:val="single" w:sz="2" w:space="0" w:color="000000"/>
              <w:right w:val="single" w:sz="4" w:space="0" w:color="000000"/>
            </w:tcBorders>
            <w:shd w:val="clear" w:color="auto" w:fill="FFFFFF"/>
          </w:tcPr>
          <w:p w14:paraId="684207F6" w14:textId="77777777" w:rsidR="00C232D7" w:rsidRPr="00E62109" w:rsidRDefault="00C232D7" w:rsidP="00C232D7">
            <w:pPr>
              <w:spacing w:line="360" w:lineRule="auto"/>
              <w:rPr>
                <w:rFonts w:ascii="Arial" w:hAnsi="Arial" w:cs="Arial"/>
                <w:b/>
                <w:sz w:val="16"/>
                <w:szCs w:val="18"/>
                <w:highlight w:val="yellow"/>
                <w:lang w:val="sr-Latn-RS"/>
              </w:rPr>
            </w:pPr>
            <w:r w:rsidRPr="00E62109">
              <w:rPr>
                <w:rFonts w:ascii="Arial" w:hAnsi="Arial" w:cs="Arial"/>
                <w:b/>
                <w:sz w:val="16"/>
                <w:szCs w:val="18"/>
                <w:lang w:val="sr-Latn-RS"/>
              </w:rPr>
              <w:t>771</w:t>
            </w:r>
          </w:p>
        </w:tc>
        <w:tc>
          <w:tcPr>
            <w:tcW w:w="545" w:type="dxa"/>
            <w:tcBorders>
              <w:top w:val="single" w:sz="4" w:space="0" w:color="000000"/>
              <w:left w:val="single" w:sz="4" w:space="0" w:color="000000"/>
              <w:bottom w:val="single" w:sz="2" w:space="0" w:color="000000"/>
              <w:right w:val="single" w:sz="4" w:space="0" w:color="000000"/>
            </w:tcBorders>
            <w:shd w:val="clear" w:color="auto" w:fill="FFFFFF"/>
          </w:tcPr>
          <w:p w14:paraId="48385D7B" w14:textId="77777777" w:rsidR="00C232D7" w:rsidRPr="00E62109" w:rsidRDefault="00C232D7" w:rsidP="00C232D7">
            <w:pPr>
              <w:spacing w:line="360" w:lineRule="auto"/>
              <w:rPr>
                <w:rFonts w:ascii="Arial" w:hAnsi="Arial" w:cs="Arial"/>
                <w:b/>
                <w:sz w:val="16"/>
                <w:szCs w:val="18"/>
                <w:highlight w:val="yellow"/>
                <w:lang w:val="sr-Latn-RS"/>
              </w:rPr>
            </w:pPr>
            <w:r w:rsidRPr="00E62109">
              <w:rPr>
                <w:rFonts w:ascii="Arial" w:hAnsi="Arial" w:cs="Arial"/>
                <w:b/>
                <w:sz w:val="16"/>
                <w:szCs w:val="18"/>
                <w:lang w:val="sr-Latn-RS"/>
              </w:rPr>
              <w:t>261</w:t>
            </w:r>
          </w:p>
        </w:tc>
        <w:tc>
          <w:tcPr>
            <w:tcW w:w="543" w:type="dxa"/>
            <w:vMerge w:val="restart"/>
            <w:tcBorders>
              <w:top w:val="single" w:sz="4" w:space="0" w:color="000000"/>
              <w:left w:val="single" w:sz="4" w:space="0" w:color="000000"/>
              <w:bottom w:val="single" w:sz="2" w:space="0" w:color="000000"/>
              <w:right w:val="single" w:sz="4" w:space="0" w:color="000000"/>
            </w:tcBorders>
            <w:shd w:val="clear" w:color="auto" w:fill="FFFFFF"/>
          </w:tcPr>
          <w:p w14:paraId="35670DDA"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b/>
                <w:sz w:val="16"/>
                <w:szCs w:val="18"/>
                <w:lang w:val="sr-Latn-RS"/>
              </w:rPr>
              <w:t>1.121</w:t>
            </w:r>
          </w:p>
        </w:tc>
        <w:tc>
          <w:tcPr>
            <w:tcW w:w="651"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D8B39B0" w14:textId="77777777" w:rsidR="00C232D7" w:rsidRPr="00E62109" w:rsidRDefault="00C232D7" w:rsidP="00C232D7">
            <w:pPr>
              <w:spacing w:line="360" w:lineRule="auto"/>
              <w:rPr>
                <w:rFonts w:ascii="Arial" w:hAnsi="Arial" w:cs="Arial"/>
                <w:b/>
                <w:sz w:val="16"/>
                <w:szCs w:val="18"/>
                <w:highlight w:val="yellow"/>
                <w:lang w:val="sr-Latn-RS"/>
              </w:rPr>
            </w:pPr>
            <w:r w:rsidRPr="00E62109">
              <w:rPr>
                <w:rFonts w:ascii="Arial" w:hAnsi="Arial" w:cs="Arial"/>
                <w:b/>
                <w:sz w:val="16"/>
                <w:szCs w:val="18"/>
                <w:lang w:val="sr-Latn-RS"/>
              </w:rPr>
              <w:t>42.617</w:t>
            </w:r>
          </w:p>
        </w:tc>
        <w:tc>
          <w:tcPr>
            <w:tcW w:w="837"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130F871" w14:textId="77777777" w:rsidR="00C232D7" w:rsidRPr="00E62109" w:rsidRDefault="00C232D7" w:rsidP="00C232D7">
            <w:pPr>
              <w:spacing w:line="360" w:lineRule="auto"/>
              <w:rPr>
                <w:rFonts w:ascii="Arial" w:hAnsi="Arial" w:cs="Arial"/>
                <w:b/>
                <w:sz w:val="16"/>
                <w:szCs w:val="18"/>
                <w:highlight w:val="yellow"/>
                <w:lang w:val="sr-Latn-RS"/>
              </w:rPr>
            </w:pPr>
            <w:r w:rsidRPr="00E62109">
              <w:rPr>
                <w:rFonts w:ascii="Arial" w:hAnsi="Arial" w:cs="Arial"/>
                <w:b/>
                <w:sz w:val="16"/>
                <w:szCs w:val="18"/>
                <w:lang w:val="sr-Latn-RS"/>
              </w:rPr>
              <w:t>9.103</w:t>
            </w:r>
          </w:p>
        </w:tc>
        <w:tc>
          <w:tcPr>
            <w:tcW w:w="683"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EB7E947" w14:textId="77777777" w:rsidR="00C232D7" w:rsidRPr="00E62109" w:rsidRDefault="00C232D7" w:rsidP="00C232D7">
            <w:pPr>
              <w:spacing w:line="360" w:lineRule="auto"/>
              <w:rPr>
                <w:rFonts w:ascii="Arial" w:hAnsi="Arial" w:cs="Arial"/>
                <w:sz w:val="16"/>
                <w:szCs w:val="18"/>
                <w:highlight w:val="yellow"/>
                <w:lang w:val="sr-Latn-RS"/>
              </w:rPr>
            </w:pPr>
            <w:r w:rsidRPr="00E62109">
              <w:rPr>
                <w:rFonts w:ascii="Arial" w:hAnsi="Arial" w:cs="Arial"/>
                <w:b/>
                <w:sz w:val="16"/>
                <w:szCs w:val="18"/>
                <w:lang w:val="sr-Latn-RS"/>
              </w:rPr>
              <w:t>20.000</w:t>
            </w:r>
          </w:p>
        </w:tc>
        <w:tc>
          <w:tcPr>
            <w:tcW w:w="859" w:type="dxa"/>
            <w:vMerge w:val="restart"/>
            <w:tcBorders>
              <w:top w:val="single" w:sz="4" w:space="0" w:color="000000"/>
              <w:left w:val="single" w:sz="4" w:space="0" w:color="000000"/>
              <w:bottom w:val="single" w:sz="4" w:space="0" w:color="000000"/>
              <w:right w:val="single" w:sz="2" w:space="0" w:color="000000"/>
            </w:tcBorders>
            <w:shd w:val="clear" w:color="auto" w:fill="FFFFFF"/>
          </w:tcPr>
          <w:p w14:paraId="707D4E16" w14:textId="77777777" w:rsidR="00C232D7" w:rsidRPr="00E62109" w:rsidRDefault="00C232D7" w:rsidP="00C232D7">
            <w:pPr>
              <w:spacing w:line="360" w:lineRule="auto"/>
              <w:ind w:right="33"/>
              <w:rPr>
                <w:rFonts w:ascii="Arial" w:hAnsi="Arial" w:cs="Arial"/>
                <w:b/>
                <w:sz w:val="16"/>
                <w:szCs w:val="18"/>
                <w:highlight w:val="yellow"/>
                <w:lang w:val="sr-Latn-RS"/>
              </w:rPr>
            </w:pPr>
            <w:r w:rsidRPr="00E62109">
              <w:rPr>
                <w:rFonts w:ascii="Arial" w:hAnsi="Arial" w:cs="Arial"/>
                <w:b/>
                <w:sz w:val="16"/>
                <w:szCs w:val="18"/>
                <w:lang w:val="sr-Latn-RS"/>
              </w:rPr>
              <w:t>339.087</w:t>
            </w:r>
          </w:p>
        </w:tc>
      </w:tr>
      <w:tr w:rsidR="00C232D7" w:rsidRPr="00E62109" w14:paraId="14AE126E" w14:textId="77777777" w:rsidTr="00C232D7">
        <w:trPr>
          <w:trHeight w:val="21"/>
          <w:jc w:val="center"/>
        </w:trPr>
        <w:tc>
          <w:tcPr>
            <w:tcW w:w="0" w:type="auto"/>
            <w:gridSpan w:val="2"/>
            <w:vMerge/>
            <w:tcBorders>
              <w:left w:val="single" w:sz="4" w:space="0" w:color="000000"/>
              <w:right w:val="single" w:sz="4" w:space="0" w:color="000000"/>
            </w:tcBorders>
          </w:tcPr>
          <w:p w14:paraId="630F2099" w14:textId="77777777" w:rsidR="00C232D7" w:rsidRPr="00E62109" w:rsidRDefault="00C232D7" w:rsidP="00C232D7">
            <w:pPr>
              <w:spacing w:line="360" w:lineRule="auto"/>
              <w:rPr>
                <w:rFonts w:ascii="Arial" w:hAnsi="Arial" w:cs="Arial"/>
                <w:sz w:val="16"/>
                <w:szCs w:val="18"/>
                <w:highlight w:val="yellow"/>
                <w:lang w:val="sr-Latn-RS"/>
              </w:rPr>
            </w:pPr>
          </w:p>
        </w:tc>
        <w:tc>
          <w:tcPr>
            <w:tcW w:w="0" w:type="auto"/>
            <w:vMerge/>
            <w:tcBorders>
              <w:top w:val="nil"/>
              <w:left w:val="single" w:sz="4" w:space="0" w:color="000000"/>
              <w:bottom w:val="single" w:sz="2" w:space="0" w:color="000000"/>
              <w:right w:val="single" w:sz="4" w:space="0" w:color="000000"/>
            </w:tcBorders>
            <w:shd w:val="clear" w:color="auto" w:fill="FFFF00"/>
          </w:tcPr>
          <w:p w14:paraId="56627821" w14:textId="77777777" w:rsidR="00C232D7" w:rsidRPr="00E62109" w:rsidRDefault="00C232D7" w:rsidP="00C232D7">
            <w:pPr>
              <w:spacing w:line="360" w:lineRule="auto"/>
              <w:rPr>
                <w:rFonts w:ascii="Arial" w:hAnsi="Arial" w:cs="Arial"/>
                <w:sz w:val="16"/>
                <w:szCs w:val="18"/>
                <w:highlight w:val="yellow"/>
                <w:lang w:val="sr-Latn-RS"/>
              </w:rPr>
            </w:pPr>
          </w:p>
        </w:tc>
        <w:tc>
          <w:tcPr>
            <w:tcW w:w="0" w:type="auto"/>
            <w:vMerge/>
            <w:tcBorders>
              <w:top w:val="nil"/>
              <w:left w:val="single" w:sz="4" w:space="0" w:color="000000"/>
              <w:bottom w:val="single" w:sz="2" w:space="0" w:color="000000"/>
              <w:right w:val="single" w:sz="2" w:space="0" w:color="000000"/>
            </w:tcBorders>
            <w:shd w:val="clear" w:color="auto" w:fill="FFFF00"/>
          </w:tcPr>
          <w:p w14:paraId="1AA76F12" w14:textId="77777777" w:rsidR="00C232D7" w:rsidRPr="00E62109" w:rsidRDefault="00C232D7" w:rsidP="00C232D7">
            <w:pPr>
              <w:spacing w:line="360" w:lineRule="auto"/>
              <w:rPr>
                <w:rFonts w:ascii="Arial" w:hAnsi="Arial" w:cs="Arial"/>
                <w:sz w:val="16"/>
                <w:szCs w:val="18"/>
                <w:highlight w:val="yellow"/>
                <w:lang w:val="sr-Latn-RS"/>
              </w:rPr>
            </w:pPr>
          </w:p>
        </w:tc>
        <w:tc>
          <w:tcPr>
            <w:tcW w:w="0" w:type="auto"/>
            <w:vMerge/>
            <w:tcBorders>
              <w:top w:val="nil"/>
              <w:left w:val="single" w:sz="2" w:space="0" w:color="000000"/>
              <w:bottom w:val="nil"/>
              <w:right w:val="single" w:sz="4" w:space="0" w:color="000000"/>
            </w:tcBorders>
            <w:shd w:val="clear" w:color="auto" w:fill="FFE599"/>
          </w:tcPr>
          <w:p w14:paraId="245CBA4A" w14:textId="77777777" w:rsidR="00C232D7" w:rsidRPr="00E62109" w:rsidRDefault="00C232D7" w:rsidP="00C232D7">
            <w:pPr>
              <w:spacing w:line="360" w:lineRule="auto"/>
              <w:rPr>
                <w:rFonts w:ascii="Arial" w:hAnsi="Arial" w:cs="Arial"/>
                <w:sz w:val="16"/>
                <w:szCs w:val="18"/>
                <w:highlight w:val="yellow"/>
                <w:lang w:val="sr-Latn-RS"/>
              </w:rPr>
            </w:pPr>
          </w:p>
        </w:tc>
        <w:tc>
          <w:tcPr>
            <w:tcW w:w="1763" w:type="dxa"/>
            <w:gridSpan w:val="3"/>
            <w:tcBorders>
              <w:top w:val="single" w:sz="2" w:space="0" w:color="000000"/>
              <w:left w:val="single" w:sz="4" w:space="0" w:color="000000"/>
              <w:bottom w:val="single" w:sz="2" w:space="0" w:color="000000"/>
              <w:right w:val="single" w:sz="4" w:space="0" w:color="000000"/>
            </w:tcBorders>
            <w:shd w:val="clear" w:color="auto" w:fill="FFFFFF"/>
          </w:tcPr>
          <w:p w14:paraId="14637DEE" w14:textId="77777777" w:rsidR="00C232D7" w:rsidRPr="00E62109" w:rsidRDefault="00C232D7" w:rsidP="00C232D7">
            <w:pPr>
              <w:spacing w:line="360" w:lineRule="auto"/>
              <w:rPr>
                <w:rFonts w:ascii="Arial" w:hAnsi="Arial" w:cs="Arial"/>
                <w:b/>
                <w:sz w:val="16"/>
                <w:szCs w:val="18"/>
                <w:highlight w:val="yellow"/>
                <w:lang w:val="sr-Latn-RS"/>
              </w:rPr>
            </w:pPr>
            <w:r w:rsidRPr="00E62109">
              <w:rPr>
                <w:rFonts w:ascii="Arial" w:hAnsi="Arial" w:cs="Arial"/>
                <w:b/>
                <w:sz w:val="16"/>
                <w:szCs w:val="18"/>
                <w:lang w:val="sr-Latn-RS"/>
              </w:rPr>
              <w:t>4.136</w:t>
            </w:r>
          </w:p>
        </w:tc>
        <w:tc>
          <w:tcPr>
            <w:tcW w:w="0" w:type="auto"/>
            <w:vMerge/>
            <w:tcBorders>
              <w:top w:val="nil"/>
              <w:left w:val="single" w:sz="4" w:space="0" w:color="000000"/>
              <w:bottom w:val="single" w:sz="2" w:space="0" w:color="000000"/>
              <w:right w:val="single" w:sz="4" w:space="0" w:color="000000"/>
            </w:tcBorders>
            <w:shd w:val="clear" w:color="auto" w:fill="FFFFFF"/>
          </w:tcPr>
          <w:p w14:paraId="47E2CD28" w14:textId="77777777" w:rsidR="00C232D7" w:rsidRPr="00E62109" w:rsidRDefault="00C232D7" w:rsidP="00C232D7">
            <w:pPr>
              <w:spacing w:line="360" w:lineRule="auto"/>
              <w:rPr>
                <w:rFonts w:ascii="Arial" w:hAnsi="Arial" w:cs="Arial"/>
                <w:sz w:val="16"/>
                <w:szCs w:val="18"/>
                <w:highlight w:val="yellow"/>
                <w:lang w:val="sr-Latn-RS"/>
              </w:rPr>
            </w:pPr>
          </w:p>
        </w:tc>
        <w:tc>
          <w:tcPr>
            <w:tcW w:w="0" w:type="auto"/>
            <w:vMerge/>
            <w:tcBorders>
              <w:top w:val="nil"/>
              <w:left w:val="single" w:sz="4" w:space="0" w:color="000000"/>
              <w:bottom w:val="nil"/>
              <w:right w:val="single" w:sz="4" w:space="0" w:color="000000"/>
            </w:tcBorders>
            <w:shd w:val="clear" w:color="auto" w:fill="FFFFFF"/>
          </w:tcPr>
          <w:p w14:paraId="62E54C20" w14:textId="77777777" w:rsidR="00C232D7" w:rsidRPr="00E62109" w:rsidRDefault="00C232D7" w:rsidP="00C232D7">
            <w:pPr>
              <w:spacing w:line="360" w:lineRule="auto"/>
              <w:rPr>
                <w:rFonts w:ascii="Arial" w:hAnsi="Arial" w:cs="Arial"/>
                <w:sz w:val="16"/>
                <w:szCs w:val="18"/>
                <w:highlight w:val="yellow"/>
                <w:lang w:val="sr-Latn-RS"/>
              </w:rPr>
            </w:pPr>
          </w:p>
        </w:tc>
        <w:tc>
          <w:tcPr>
            <w:tcW w:w="0" w:type="auto"/>
            <w:vMerge/>
            <w:tcBorders>
              <w:top w:val="nil"/>
              <w:left w:val="single" w:sz="4" w:space="0" w:color="000000"/>
              <w:bottom w:val="nil"/>
              <w:right w:val="single" w:sz="4" w:space="0" w:color="000000"/>
            </w:tcBorders>
            <w:shd w:val="clear" w:color="auto" w:fill="FFFFFF"/>
          </w:tcPr>
          <w:p w14:paraId="11A6443D" w14:textId="77777777" w:rsidR="00C232D7" w:rsidRPr="00E62109" w:rsidRDefault="00C232D7" w:rsidP="00C232D7">
            <w:pPr>
              <w:spacing w:line="360" w:lineRule="auto"/>
              <w:rPr>
                <w:rFonts w:ascii="Arial" w:hAnsi="Arial" w:cs="Arial"/>
                <w:sz w:val="16"/>
                <w:szCs w:val="18"/>
                <w:highlight w:val="yellow"/>
                <w:lang w:val="sr-Latn-RS"/>
              </w:rPr>
            </w:pPr>
          </w:p>
        </w:tc>
        <w:tc>
          <w:tcPr>
            <w:tcW w:w="0" w:type="auto"/>
            <w:vMerge/>
            <w:tcBorders>
              <w:top w:val="nil"/>
              <w:left w:val="single" w:sz="4" w:space="0" w:color="000000"/>
              <w:bottom w:val="nil"/>
              <w:right w:val="single" w:sz="4" w:space="0" w:color="000000"/>
            </w:tcBorders>
            <w:shd w:val="clear" w:color="auto" w:fill="FFFF00"/>
          </w:tcPr>
          <w:p w14:paraId="32949F1E" w14:textId="77777777" w:rsidR="00C232D7" w:rsidRPr="00E62109" w:rsidRDefault="00C232D7" w:rsidP="00C232D7">
            <w:pPr>
              <w:spacing w:line="360" w:lineRule="auto"/>
              <w:rPr>
                <w:rFonts w:ascii="Arial" w:hAnsi="Arial" w:cs="Arial"/>
                <w:sz w:val="16"/>
                <w:szCs w:val="18"/>
                <w:highlight w:val="yellow"/>
                <w:lang w:val="sr-Latn-RS"/>
              </w:rPr>
            </w:pPr>
          </w:p>
        </w:tc>
        <w:tc>
          <w:tcPr>
            <w:tcW w:w="859" w:type="dxa"/>
            <w:vMerge/>
            <w:tcBorders>
              <w:top w:val="nil"/>
              <w:left w:val="single" w:sz="4" w:space="0" w:color="000000"/>
              <w:bottom w:val="nil"/>
              <w:right w:val="single" w:sz="2" w:space="0" w:color="000000"/>
            </w:tcBorders>
            <w:shd w:val="clear" w:color="auto" w:fill="FFE599"/>
          </w:tcPr>
          <w:p w14:paraId="0AA91C44" w14:textId="77777777" w:rsidR="00C232D7" w:rsidRPr="00E62109" w:rsidRDefault="00C232D7" w:rsidP="00C232D7">
            <w:pPr>
              <w:spacing w:line="360" w:lineRule="auto"/>
              <w:rPr>
                <w:rFonts w:ascii="Arial" w:hAnsi="Arial" w:cs="Arial"/>
                <w:sz w:val="16"/>
                <w:szCs w:val="18"/>
                <w:highlight w:val="yellow"/>
                <w:lang w:val="sr-Latn-RS"/>
              </w:rPr>
            </w:pPr>
          </w:p>
        </w:tc>
      </w:tr>
      <w:tr w:rsidR="00C232D7" w:rsidRPr="00E62109" w14:paraId="18B4EE5A" w14:textId="77777777" w:rsidTr="00C232D7">
        <w:trPr>
          <w:trHeight w:val="176"/>
          <w:jc w:val="center"/>
        </w:trPr>
        <w:tc>
          <w:tcPr>
            <w:tcW w:w="0" w:type="auto"/>
            <w:gridSpan w:val="2"/>
            <w:vMerge/>
            <w:tcBorders>
              <w:left w:val="single" w:sz="4" w:space="0" w:color="000000"/>
              <w:right w:val="single" w:sz="4" w:space="0" w:color="000000"/>
            </w:tcBorders>
            <w:vAlign w:val="bottom"/>
          </w:tcPr>
          <w:p w14:paraId="7505C280" w14:textId="77777777" w:rsidR="00C232D7" w:rsidRPr="00E62109" w:rsidRDefault="00C232D7" w:rsidP="00C232D7">
            <w:pPr>
              <w:spacing w:line="360" w:lineRule="auto"/>
              <w:rPr>
                <w:rFonts w:ascii="Arial" w:hAnsi="Arial" w:cs="Arial"/>
                <w:sz w:val="16"/>
                <w:szCs w:val="18"/>
                <w:highlight w:val="yellow"/>
                <w:lang w:val="sr-Latn-RS"/>
              </w:rPr>
            </w:pPr>
          </w:p>
        </w:tc>
        <w:tc>
          <w:tcPr>
            <w:tcW w:w="1596" w:type="dxa"/>
            <w:gridSpan w:val="2"/>
            <w:vMerge w:val="restart"/>
            <w:tcBorders>
              <w:top w:val="single" w:sz="2" w:space="0" w:color="000000"/>
              <w:left w:val="single" w:sz="4" w:space="0" w:color="000000"/>
              <w:bottom w:val="single" w:sz="4" w:space="0" w:color="000000"/>
              <w:right w:val="single" w:sz="2" w:space="0" w:color="000000"/>
            </w:tcBorders>
            <w:shd w:val="clear" w:color="auto" w:fill="FFFFFF"/>
          </w:tcPr>
          <w:p w14:paraId="79039FB5" w14:textId="77777777" w:rsidR="00C232D7" w:rsidRPr="00E62109" w:rsidRDefault="00C232D7" w:rsidP="00C232D7">
            <w:pPr>
              <w:spacing w:line="360" w:lineRule="auto"/>
              <w:rPr>
                <w:rFonts w:ascii="Arial" w:hAnsi="Arial" w:cs="Arial"/>
                <w:b/>
                <w:sz w:val="16"/>
                <w:szCs w:val="18"/>
                <w:highlight w:val="yellow"/>
                <w:lang w:val="sr-Latn-RS"/>
              </w:rPr>
            </w:pPr>
            <w:r w:rsidRPr="00E62109">
              <w:rPr>
                <w:rFonts w:ascii="Arial" w:hAnsi="Arial" w:cs="Arial"/>
                <w:b/>
                <w:sz w:val="16"/>
                <w:szCs w:val="18"/>
                <w:lang w:val="sr-Latn-RS"/>
              </w:rPr>
              <w:t>194.771</w:t>
            </w:r>
          </w:p>
        </w:tc>
        <w:tc>
          <w:tcPr>
            <w:tcW w:w="0" w:type="auto"/>
            <w:vMerge/>
            <w:tcBorders>
              <w:top w:val="nil"/>
              <w:left w:val="single" w:sz="2" w:space="0" w:color="000000"/>
              <w:bottom w:val="nil"/>
              <w:right w:val="single" w:sz="4" w:space="0" w:color="000000"/>
            </w:tcBorders>
            <w:shd w:val="clear" w:color="auto" w:fill="FFF2CC"/>
          </w:tcPr>
          <w:p w14:paraId="1B12E2A9" w14:textId="77777777" w:rsidR="00C232D7" w:rsidRPr="00E62109" w:rsidRDefault="00C232D7" w:rsidP="00C232D7">
            <w:pPr>
              <w:spacing w:line="360" w:lineRule="auto"/>
              <w:rPr>
                <w:rFonts w:ascii="Arial" w:hAnsi="Arial" w:cs="Arial"/>
                <w:sz w:val="16"/>
                <w:szCs w:val="18"/>
                <w:highlight w:val="yellow"/>
                <w:lang w:val="sr-Latn-RS"/>
              </w:rPr>
            </w:pPr>
          </w:p>
        </w:tc>
        <w:tc>
          <w:tcPr>
            <w:tcW w:w="2306" w:type="dxa"/>
            <w:gridSpan w:val="4"/>
            <w:tcBorders>
              <w:top w:val="single" w:sz="2" w:space="0" w:color="000000"/>
              <w:left w:val="single" w:sz="4" w:space="0" w:color="000000"/>
              <w:bottom w:val="single" w:sz="4" w:space="0" w:color="000000"/>
              <w:right w:val="single" w:sz="4" w:space="0" w:color="000000"/>
            </w:tcBorders>
            <w:shd w:val="clear" w:color="auto" w:fill="FFFFFF"/>
          </w:tcPr>
          <w:p w14:paraId="3E8E2345" w14:textId="77777777" w:rsidR="00C232D7" w:rsidRPr="00E62109" w:rsidRDefault="00C232D7" w:rsidP="00C232D7">
            <w:pPr>
              <w:spacing w:line="360" w:lineRule="auto"/>
              <w:rPr>
                <w:rFonts w:ascii="Arial" w:hAnsi="Arial" w:cs="Arial"/>
                <w:b/>
                <w:sz w:val="16"/>
                <w:szCs w:val="18"/>
                <w:highlight w:val="yellow"/>
                <w:lang w:val="sr-Latn-RS"/>
              </w:rPr>
            </w:pPr>
            <w:r w:rsidRPr="00E62109">
              <w:rPr>
                <w:rFonts w:ascii="Arial" w:hAnsi="Arial" w:cs="Arial"/>
                <w:b/>
                <w:sz w:val="16"/>
                <w:szCs w:val="18"/>
                <w:lang w:val="sr-Latn-RS"/>
              </w:rPr>
              <w:t>5.257</w:t>
            </w:r>
          </w:p>
        </w:tc>
        <w:tc>
          <w:tcPr>
            <w:tcW w:w="0" w:type="auto"/>
            <w:vMerge/>
            <w:tcBorders>
              <w:top w:val="nil"/>
              <w:left w:val="single" w:sz="4" w:space="0" w:color="000000"/>
              <w:bottom w:val="single" w:sz="4" w:space="0" w:color="000000"/>
              <w:right w:val="single" w:sz="4" w:space="0" w:color="000000"/>
            </w:tcBorders>
            <w:shd w:val="clear" w:color="auto" w:fill="FFF2CC"/>
          </w:tcPr>
          <w:p w14:paraId="6DEBD88B" w14:textId="77777777" w:rsidR="00C232D7" w:rsidRPr="00E62109" w:rsidRDefault="00C232D7" w:rsidP="00C232D7">
            <w:pPr>
              <w:spacing w:line="360" w:lineRule="auto"/>
              <w:rPr>
                <w:rFonts w:ascii="Arial" w:hAnsi="Arial" w:cs="Arial"/>
                <w:sz w:val="16"/>
                <w:szCs w:val="18"/>
                <w:highlight w:val="yellow"/>
                <w:lang w:val="sr-Latn-RS"/>
              </w:rPr>
            </w:pPr>
          </w:p>
        </w:tc>
        <w:tc>
          <w:tcPr>
            <w:tcW w:w="0" w:type="auto"/>
            <w:vMerge/>
            <w:tcBorders>
              <w:top w:val="nil"/>
              <w:left w:val="single" w:sz="4" w:space="0" w:color="000000"/>
              <w:bottom w:val="single" w:sz="4" w:space="0" w:color="000000"/>
              <w:right w:val="single" w:sz="4" w:space="0" w:color="000000"/>
            </w:tcBorders>
            <w:shd w:val="clear" w:color="auto" w:fill="FFF2CC"/>
          </w:tcPr>
          <w:p w14:paraId="0BDF3B78" w14:textId="77777777" w:rsidR="00C232D7" w:rsidRPr="00E62109" w:rsidRDefault="00C232D7" w:rsidP="00C232D7">
            <w:pPr>
              <w:spacing w:line="360" w:lineRule="auto"/>
              <w:rPr>
                <w:rFonts w:ascii="Arial" w:hAnsi="Arial" w:cs="Arial"/>
                <w:sz w:val="16"/>
                <w:szCs w:val="18"/>
                <w:highlight w:val="yellow"/>
                <w:lang w:val="sr-Latn-RS"/>
              </w:rPr>
            </w:pPr>
          </w:p>
        </w:tc>
        <w:tc>
          <w:tcPr>
            <w:tcW w:w="0" w:type="auto"/>
            <w:vMerge/>
            <w:tcBorders>
              <w:top w:val="nil"/>
              <w:left w:val="single" w:sz="4" w:space="0" w:color="000000"/>
              <w:bottom w:val="nil"/>
              <w:right w:val="single" w:sz="4" w:space="0" w:color="000000"/>
            </w:tcBorders>
            <w:shd w:val="clear" w:color="auto" w:fill="FFFF00"/>
          </w:tcPr>
          <w:p w14:paraId="0DF91E86" w14:textId="77777777" w:rsidR="00C232D7" w:rsidRPr="00E62109" w:rsidRDefault="00C232D7" w:rsidP="00C232D7">
            <w:pPr>
              <w:spacing w:line="360" w:lineRule="auto"/>
              <w:rPr>
                <w:rFonts w:ascii="Arial" w:hAnsi="Arial" w:cs="Arial"/>
                <w:sz w:val="16"/>
                <w:szCs w:val="18"/>
                <w:highlight w:val="yellow"/>
                <w:lang w:val="sr-Latn-RS"/>
              </w:rPr>
            </w:pPr>
          </w:p>
        </w:tc>
        <w:tc>
          <w:tcPr>
            <w:tcW w:w="859" w:type="dxa"/>
            <w:vMerge/>
            <w:tcBorders>
              <w:top w:val="nil"/>
              <w:left w:val="single" w:sz="4" w:space="0" w:color="000000"/>
              <w:bottom w:val="nil"/>
              <w:right w:val="single" w:sz="2" w:space="0" w:color="000000"/>
            </w:tcBorders>
            <w:shd w:val="clear" w:color="auto" w:fill="FFE599"/>
          </w:tcPr>
          <w:p w14:paraId="2914A970" w14:textId="77777777" w:rsidR="00C232D7" w:rsidRPr="00E62109" w:rsidRDefault="00C232D7" w:rsidP="00C232D7">
            <w:pPr>
              <w:spacing w:line="360" w:lineRule="auto"/>
              <w:rPr>
                <w:rFonts w:ascii="Arial" w:hAnsi="Arial" w:cs="Arial"/>
                <w:sz w:val="16"/>
                <w:szCs w:val="18"/>
                <w:highlight w:val="yellow"/>
                <w:lang w:val="sr-Latn-RS"/>
              </w:rPr>
            </w:pPr>
          </w:p>
        </w:tc>
      </w:tr>
      <w:tr w:rsidR="00C232D7" w:rsidRPr="00E62109" w14:paraId="22AA55D7" w14:textId="77777777" w:rsidTr="00C232D7">
        <w:trPr>
          <w:trHeight w:val="54"/>
          <w:jc w:val="center"/>
        </w:trPr>
        <w:tc>
          <w:tcPr>
            <w:tcW w:w="0" w:type="auto"/>
            <w:gridSpan w:val="2"/>
            <w:vMerge/>
            <w:tcBorders>
              <w:left w:val="single" w:sz="4" w:space="0" w:color="000000"/>
              <w:bottom w:val="single" w:sz="4" w:space="0" w:color="000000"/>
              <w:right w:val="single" w:sz="4" w:space="0" w:color="000000"/>
            </w:tcBorders>
          </w:tcPr>
          <w:p w14:paraId="7028C32A" w14:textId="77777777" w:rsidR="00C232D7" w:rsidRPr="00E62109" w:rsidRDefault="00C232D7" w:rsidP="00C232D7">
            <w:pPr>
              <w:spacing w:line="360" w:lineRule="auto"/>
              <w:rPr>
                <w:rFonts w:ascii="Arial" w:hAnsi="Arial" w:cs="Arial"/>
                <w:sz w:val="16"/>
                <w:szCs w:val="18"/>
                <w:highlight w:val="yellow"/>
                <w:lang w:val="sr-Latn-RS"/>
              </w:rPr>
            </w:pPr>
          </w:p>
        </w:tc>
        <w:tc>
          <w:tcPr>
            <w:tcW w:w="0" w:type="auto"/>
            <w:gridSpan w:val="2"/>
            <w:vMerge/>
            <w:tcBorders>
              <w:top w:val="nil"/>
              <w:left w:val="single" w:sz="4" w:space="0" w:color="000000"/>
              <w:bottom w:val="single" w:sz="4" w:space="0" w:color="000000"/>
              <w:right w:val="single" w:sz="2" w:space="0" w:color="000000"/>
            </w:tcBorders>
            <w:shd w:val="clear" w:color="auto" w:fill="FFFFFF"/>
          </w:tcPr>
          <w:p w14:paraId="66D4259B" w14:textId="77777777" w:rsidR="00C232D7" w:rsidRPr="00E62109" w:rsidRDefault="00C232D7" w:rsidP="00C232D7">
            <w:pPr>
              <w:spacing w:line="360" w:lineRule="auto"/>
              <w:rPr>
                <w:rFonts w:ascii="Arial" w:hAnsi="Arial" w:cs="Arial"/>
                <w:sz w:val="16"/>
                <w:szCs w:val="18"/>
                <w:highlight w:val="yellow"/>
                <w:lang w:val="sr-Latn-RS"/>
              </w:rPr>
            </w:pPr>
          </w:p>
        </w:tc>
        <w:tc>
          <w:tcPr>
            <w:tcW w:w="0" w:type="auto"/>
            <w:vMerge/>
            <w:tcBorders>
              <w:top w:val="nil"/>
              <w:left w:val="single" w:sz="2" w:space="0" w:color="000000"/>
              <w:bottom w:val="single" w:sz="4" w:space="0" w:color="000000"/>
              <w:right w:val="single" w:sz="4" w:space="0" w:color="000000"/>
            </w:tcBorders>
            <w:shd w:val="clear" w:color="auto" w:fill="FFF2CC"/>
          </w:tcPr>
          <w:p w14:paraId="73B3952E" w14:textId="77777777" w:rsidR="00C232D7" w:rsidRPr="00E62109" w:rsidRDefault="00C232D7" w:rsidP="00C232D7">
            <w:pPr>
              <w:spacing w:line="360" w:lineRule="auto"/>
              <w:rPr>
                <w:rFonts w:ascii="Arial" w:hAnsi="Arial" w:cs="Arial"/>
                <w:sz w:val="16"/>
                <w:szCs w:val="18"/>
                <w:highlight w:val="yellow"/>
                <w:lang w:val="sr-Latn-RS"/>
              </w:rPr>
            </w:pPr>
          </w:p>
        </w:tc>
        <w:tc>
          <w:tcPr>
            <w:tcW w:w="3794" w:type="dxa"/>
            <w:gridSpan w:val="6"/>
            <w:tcBorders>
              <w:top w:val="single" w:sz="4" w:space="0" w:color="000000"/>
              <w:left w:val="single" w:sz="4" w:space="0" w:color="000000"/>
              <w:bottom w:val="single" w:sz="4" w:space="0" w:color="000000"/>
              <w:right w:val="single" w:sz="4" w:space="0" w:color="000000"/>
            </w:tcBorders>
            <w:shd w:val="clear" w:color="auto" w:fill="FFFFFF"/>
          </w:tcPr>
          <w:p w14:paraId="4B6EF8CD" w14:textId="77777777" w:rsidR="00C232D7" w:rsidRPr="00E62109" w:rsidRDefault="00C232D7" w:rsidP="00C232D7">
            <w:pPr>
              <w:spacing w:line="360" w:lineRule="auto"/>
              <w:rPr>
                <w:rFonts w:ascii="Arial" w:hAnsi="Arial" w:cs="Arial"/>
                <w:b/>
                <w:sz w:val="16"/>
                <w:szCs w:val="18"/>
                <w:lang w:val="sr-Latn-RS"/>
              </w:rPr>
            </w:pPr>
            <w:r w:rsidRPr="00E62109">
              <w:rPr>
                <w:rFonts w:ascii="Arial" w:hAnsi="Arial" w:cs="Arial"/>
                <w:b/>
                <w:sz w:val="16"/>
                <w:szCs w:val="18"/>
                <w:lang w:val="sr-Latn-RS"/>
              </w:rPr>
              <w:t>56.977</w:t>
            </w:r>
          </w:p>
        </w:tc>
        <w:tc>
          <w:tcPr>
            <w:tcW w:w="0" w:type="auto"/>
            <w:vMerge/>
            <w:tcBorders>
              <w:top w:val="nil"/>
              <w:left w:val="single" w:sz="4" w:space="0" w:color="000000"/>
              <w:bottom w:val="single" w:sz="4" w:space="0" w:color="000000"/>
              <w:right w:val="single" w:sz="4" w:space="0" w:color="000000"/>
            </w:tcBorders>
            <w:shd w:val="clear" w:color="auto" w:fill="FFFF00"/>
          </w:tcPr>
          <w:p w14:paraId="7B4BAA4F" w14:textId="77777777" w:rsidR="00C232D7" w:rsidRPr="00E62109" w:rsidRDefault="00C232D7" w:rsidP="00C232D7">
            <w:pPr>
              <w:spacing w:line="360" w:lineRule="auto"/>
              <w:rPr>
                <w:rFonts w:ascii="Arial" w:hAnsi="Arial" w:cs="Arial"/>
                <w:sz w:val="16"/>
                <w:szCs w:val="18"/>
                <w:lang w:val="sr-Latn-RS"/>
              </w:rPr>
            </w:pPr>
          </w:p>
        </w:tc>
        <w:tc>
          <w:tcPr>
            <w:tcW w:w="859" w:type="dxa"/>
            <w:vMerge/>
            <w:tcBorders>
              <w:top w:val="nil"/>
              <w:left w:val="single" w:sz="4" w:space="0" w:color="000000"/>
              <w:bottom w:val="single" w:sz="4" w:space="0" w:color="000000"/>
              <w:right w:val="single" w:sz="2" w:space="0" w:color="000000"/>
            </w:tcBorders>
            <w:shd w:val="clear" w:color="auto" w:fill="FFE599"/>
          </w:tcPr>
          <w:p w14:paraId="20D190BD" w14:textId="77777777" w:rsidR="00C232D7" w:rsidRPr="00E62109" w:rsidRDefault="00C232D7" w:rsidP="00C232D7">
            <w:pPr>
              <w:spacing w:line="360" w:lineRule="auto"/>
              <w:rPr>
                <w:rFonts w:ascii="Arial" w:hAnsi="Arial" w:cs="Arial"/>
                <w:sz w:val="16"/>
                <w:szCs w:val="18"/>
                <w:lang w:val="sr-Latn-RS"/>
              </w:rPr>
            </w:pPr>
          </w:p>
        </w:tc>
      </w:tr>
    </w:tbl>
    <w:p w14:paraId="092D5DCC" w14:textId="0A5928D8" w:rsidR="00C232D7" w:rsidRPr="00F6198B" w:rsidRDefault="00C232D7" w:rsidP="00C232D7">
      <w:pPr>
        <w:spacing w:line="360" w:lineRule="auto"/>
        <w:rPr>
          <w:rFonts w:ascii="Arial" w:hAnsi="Arial" w:cs="Arial"/>
          <w:i/>
          <w:color w:val="FF0000"/>
          <w:sz w:val="18"/>
          <w:szCs w:val="18"/>
          <w:lang w:val="sq-AL"/>
        </w:rPr>
      </w:pPr>
      <w:r w:rsidRPr="00F6198B">
        <w:rPr>
          <w:rFonts w:ascii="Arial" w:hAnsi="Arial" w:cs="Arial"/>
          <w:i/>
          <w:sz w:val="18"/>
          <w:szCs w:val="18"/>
          <w:lang w:val="sq-AL"/>
        </w:rPr>
        <w:t xml:space="preserve">  </w:t>
      </w:r>
    </w:p>
    <w:p w14:paraId="2C74018D" w14:textId="77777777" w:rsidR="00C232D7" w:rsidRPr="00D96B7D" w:rsidRDefault="00C232D7" w:rsidP="00C232D7">
      <w:pPr>
        <w:widowControl w:val="0"/>
        <w:spacing w:before="120" w:after="120" w:line="360" w:lineRule="auto"/>
        <w:rPr>
          <w:rFonts w:ascii="Arial" w:hAnsi="Arial" w:cs="Arial"/>
          <w:color w:val="000000" w:themeColor="text1"/>
          <w:lang w:val="sq-AL"/>
        </w:rPr>
      </w:pPr>
      <w:r w:rsidRPr="00D96B7D">
        <w:rPr>
          <w:rFonts w:ascii="Arial" w:hAnsi="Arial" w:cs="Arial"/>
          <w:color w:val="000000" w:themeColor="text1"/>
          <w:lang w:val="sq-AL"/>
        </w:rPr>
        <w:t xml:space="preserve">Tokom 2023. godine pripremljeno je 56.977 t ambalažnog otpada za ponovnu upotrebu i reciklažu. </w:t>
      </w:r>
    </w:p>
    <w:p w14:paraId="796C38AA" w14:textId="213D5502" w:rsidR="00C232D7" w:rsidRPr="002A6F4E" w:rsidRDefault="00893A9C" w:rsidP="00F57909">
      <w:pPr>
        <w:pStyle w:val="Heading2"/>
      </w:pPr>
      <w:bookmarkStart w:id="726" w:name="_Toc121759014"/>
      <w:bookmarkStart w:id="727" w:name="_Toc193353977"/>
      <w:r w:rsidRPr="002A6F4E">
        <w:lastRenderedPageBreak/>
        <w:t>4.</w:t>
      </w:r>
      <w:r w:rsidR="00477168" w:rsidRPr="002A6F4E">
        <w:t>4</w:t>
      </w:r>
      <w:r w:rsidR="00C232D7" w:rsidRPr="002A6F4E">
        <w:t>. Transfer stanice</w:t>
      </w:r>
      <w:bookmarkEnd w:id="726"/>
      <w:bookmarkEnd w:id="727"/>
    </w:p>
    <w:p w14:paraId="47C6C5AC" w14:textId="44016CC9"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Glavni razlog za korišćenje transfer stanica je smanjenje troškova transporta otpada do postrojenja za </w:t>
      </w:r>
      <w:r w:rsidR="009929C0">
        <w:rPr>
          <w:rFonts w:ascii="Arial" w:hAnsi="Arial" w:cs="Arial"/>
          <w:lang w:val="sq-AL"/>
        </w:rPr>
        <w:t>obradu</w:t>
      </w:r>
      <w:r w:rsidRPr="002A6F4E">
        <w:rPr>
          <w:rFonts w:ascii="Arial" w:hAnsi="Arial" w:cs="Arial"/>
          <w:lang w:val="sq-AL"/>
        </w:rPr>
        <w:t>. Konsolidacijom manjih tereta iz vozila za sakupljanje u veća transportna vozila, troškovi se smanjuju budući da se manje vremena troši na putovanje do udaljenih deponija i više je vremena za  sakupljanje otpada. Ovo takođe smanjuje potrošnju goriva i troškove održavanja vozila za sakupljanje otpada, a istovremeno utiče na smanjenje ukupnog saobraćaja, emisije u vazduh i habanje puta. Izbor direktnog transporta ili preko transfer stanice zavisi od faktora kao što su udaljenost do deponije i količina otpada.</w:t>
      </w:r>
    </w:p>
    <w:p w14:paraId="2F9A3153"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 Crnoj Gori postoje 3 transfer stanice (TS) koje se nalaze u Kotoru, Herceg Novom i Mojkovcu. Napominje se da transfer stanica u opštini Mojkovac nije u funkciji od juna 2022. godine.</w:t>
      </w:r>
    </w:p>
    <w:p w14:paraId="49630ED3" w14:textId="2A48C775" w:rsidR="00C232D7" w:rsidRPr="002A6F4E" w:rsidRDefault="00893A9C" w:rsidP="00F57909">
      <w:pPr>
        <w:pStyle w:val="Heading2"/>
      </w:pPr>
      <w:bookmarkStart w:id="728" w:name="_Toc193353978"/>
      <w:r w:rsidRPr="002A6F4E">
        <w:t>4.</w:t>
      </w:r>
      <w:r w:rsidR="00477168" w:rsidRPr="002A6F4E">
        <w:t>5</w:t>
      </w:r>
      <w:r w:rsidR="00C232D7" w:rsidRPr="002A6F4E">
        <w:t>. Programi sakupljanja otpada</w:t>
      </w:r>
      <w:bookmarkEnd w:id="728"/>
      <w:r w:rsidR="00C232D7" w:rsidRPr="002A6F4E">
        <w:t xml:space="preserve"> </w:t>
      </w:r>
    </w:p>
    <w:p w14:paraId="783C8E0A" w14:textId="17A6DB75"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Jedinice lokalne samouprave imaju pravo da upravljaju i organizuju sakupljanje otpada na svojoj teritoriji. Opštine su odgovorne da organizuju cjelokupan proces sakupljanja i odlaganja otpada, uključujući naplatu naknade za pokrivanje svih troškova. Obično se to radi preko komunalnih preduzeća (KP), čiji su osnivači lokalne samouprave. Iako su ta preduzeća u vlasništvu njihovih jedinica lokalne samouprave, ista funkcionišu kao posebna pravna lica.</w:t>
      </w:r>
    </w:p>
    <w:p w14:paraId="46220A39" w14:textId="39707825" w:rsidR="00C232D7" w:rsidRPr="002A6F4E" w:rsidRDefault="0012238F" w:rsidP="00C232D7">
      <w:pPr>
        <w:widowControl w:val="0"/>
        <w:spacing w:before="120" w:after="120" w:line="360" w:lineRule="auto"/>
        <w:rPr>
          <w:rFonts w:ascii="Arial" w:hAnsi="Arial" w:cs="Arial"/>
          <w:lang w:val="sq-AL"/>
        </w:rPr>
      </w:pPr>
      <w:r>
        <w:rPr>
          <w:rFonts w:ascii="Arial" w:hAnsi="Arial" w:cs="Arial"/>
          <w:lang w:val="sq-AL"/>
        </w:rPr>
        <w:t>K</w:t>
      </w:r>
      <w:r w:rsidR="00C232D7" w:rsidRPr="002A6F4E">
        <w:rPr>
          <w:rFonts w:ascii="Arial" w:hAnsi="Arial" w:cs="Arial"/>
          <w:lang w:val="sq-AL"/>
        </w:rPr>
        <w:t>omunalna preduzeća u Crnoj Gori se bave djelatnostima sakupljanja, odvoza i odlaganja komunalnog otpada, ali i čišćenjem ulica, trotoara, trgova, parkova, uređenjem javnih površina, čišćenjem gradskih, prigradskih i lokalnih puteva od leda i snijega, održavanjem pijaca i djelatnostima pogrebnih usluga. Sakupljanje otpada sa UNESCO lokaliteta i nacionalnih parkova vrši se u saradnji sa KP na čijoj teritoriji se nalaze ovi lokaliteti.</w:t>
      </w:r>
    </w:p>
    <w:p w14:paraId="22EEF876" w14:textId="06F158D4" w:rsidR="00C232D7" w:rsidRPr="002A6F4E" w:rsidRDefault="0012238F" w:rsidP="00C232D7">
      <w:pPr>
        <w:widowControl w:val="0"/>
        <w:spacing w:before="120" w:after="120" w:line="360" w:lineRule="auto"/>
        <w:rPr>
          <w:rFonts w:ascii="Arial" w:hAnsi="Arial" w:cs="Arial"/>
          <w:lang w:val="sq-AL"/>
        </w:rPr>
      </w:pPr>
      <w:r>
        <w:rPr>
          <w:rFonts w:ascii="Arial" w:hAnsi="Arial" w:cs="Arial"/>
          <w:lang w:val="sq-AL"/>
        </w:rPr>
        <w:t>K</w:t>
      </w:r>
      <w:r w:rsidR="00C232D7" w:rsidRPr="002A6F4E">
        <w:rPr>
          <w:rFonts w:ascii="Arial" w:hAnsi="Arial" w:cs="Arial"/>
          <w:lang w:val="sq-AL"/>
        </w:rPr>
        <w:t>omunalna preduzeća obavljaju svoje poslove u skladu sa propisima koje donosi država</w:t>
      </w:r>
      <w:r w:rsidR="007D05E3">
        <w:rPr>
          <w:rFonts w:ascii="Arial" w:hAnsi="Arial" w:cs="Arial"/>
          <w:lang w:val="sq-AL"/>
        </w:rPr>
        <w:t xml:space="preserve"> i</w:t>
      </w:r>
      <w:r w:rsidR="00C232D7" w:rsidRPr="002A6F4E">
        <w:rPr>
          <w:rFonts w:ascii="Arial" w:hAnsi="Arial" w:cs="Arial"/>
          <w:lang w:val="sq-AL"/>
        </w:rPr>
        <w:t xml:space="preserve"> naplaćuju domaćinstvima i preduzećima naknade za usluge odvoza otpada kako bi pokrili troškove sakupljanja,</w:t>
      </w:r>
      <w:r w:rsidR="00245B58">
        <w:rPr>
          <w:rFonts w:ascii="Arial" w:hAnsi="Arial" w:cs="Arial"/>
          <w:lang w:val="sq-AL"/>
        </w:rPr>
        <w:t xml:space="preserve"> transporta i obrade</w:t>
      </w:r>
      <w:r w:rsidR="00C232D7" w:rsidRPr="002A6F4E">
        <w:rPr>
          <w:rFonts w:ascii="Arial" w:hAnsi="Arial" w:cs="Arial"/>
          <w:lang w:val="sq-AL"/>
        </w:rPr>
        <w:t xml:space="preserve"> otpada. Ova preduzeća donose kratkoročne i dugoročne programe aktivnosti upravljanja otpadom na lokalnom nivou, obezbijeđuju dio sredstava za njihovu realizaciju i odlučuju o visini naknade za komunalne usluge.</w:t>
      </w:r>
    </w:p>
    <w:p w14:paraId="44BE92D8" w14:textId="77777777"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Učestalost sakupljanja otpada se razlikuje u regionima i opštinama, odnosno sakupljanje vrši se jednom nedeljno do više puta dnevno, što je slučaj za primorske turističke opštine tokom ljetnje sezone. Odvoz otpada od vrata do vrata nije uobičajen, ali se sprovodi u nekim opštinama.</w:t>
      </w:r>
    </w:p>
    <w:p w14:paraId="5E144959" w14:textId="78250EBE"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Većina lokalnih samouprava ima mehanizaciju i vozila za sakupljanje otpada. Međutim, nedostaje odgovarajuća oprema, jer se za sakupljanje koriste različiti tipovi vozila: od kamiona za sakupljanje otpada opremljenih kompaktorom do kipera sa kukom za podizanje velikih kontejnera, i od kamiona sa prikolicom do običnih kamiona i traktora sa prikolicom. Takođe, jedinice lokalne samouprave nemaju informacione sisteme koji bi im omogućili da prate sakupljanje i </w:t>
      </w:r>
      <w:r w:rsidR="00E54F13">
        <w:rPr>
          <w:rFonts w:ascii="Arial" w:hAnsi="Arial" w:cs="Arial"/>
          <w:lang w:val="sq-AL"/>
        </w:rPr>
        <w:t>obradu</w:t>
      </w:r>
      <w:r w:rsidR="00E54F13" w:rsidRPr="002A6F4E">
        <w:rPr>
          <w:rFonts w:ascii="Arial" w:hAnsi="Arial" w:cs="Arial"/>
          <w:lang w:val="sq-AL"/>
        </w:rPr>
        <w:t xml:space="preserve"> </w:t>
      </w:r>
      <w:r w:rsidRPr="002A6F4E">
        <w:rPr>
          <w:rFonts w:ascii="Arial" w:hAnsi="Arial" w:cs="Arial"/>
          <w:lang w:val="sq-AL"/>
        </w:rPr>
        <w:t>otpada i da optimizuju zaposlene u svojim KP.</w:t>
      </w:r>
    </w:p>
    <w:p w14:paraId="4B4ED637" w14:textId="4E25C11F"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Zakon o upravljanju otpadom</w:t>
      </w:r>
      <w:r w:rsidRPr="002A6F4E">
        <w:rPr>
          <w:rFonts w:ascii="Arial" w:hAnsi="Arial" w:cs="Arial"/>
          <w:bCs/>
          <w:iCs/>
          <w:lang w:val="sq-AL"/>
        </w:rPr>
        <w:t xml:space="preserve">, </w:t>
      </w:r>
      <w:r w:rsidRPr="002A6F4E">
        <w:rPr>
          <w:rFonts w:ascii="Arial" w:hAnsi="Arial" w:cs="Arial"/>
          <w:lang w:val="sq-AL"/>
        </w:rPr>
        <w:t xml:space="preserve">definiše da se papir, metal, plastika, staklo i biootpad moraju odvojeno sakupljati i reciklirati. Uprkos odredbama Zakona, trenutno stanje nije zadovoljavajuće. To je uglavnom zbog nedostatka informacija i obrazovanja, ali i infrastrukture, a prije svega finansiranja. U određenim </w:t>
      </w:r>
      <w:r w:rsidRPr="002A6F4E">
        <w:rPr>
          <w:rFonts w:ascii="Arial" w:hAnsi="Arial" w:cs="Arial"/>
          <w:lang w:val="sq-AL"/>
        </w:rPr>
        <w:lastRenderedPageBreak/>
        <w:t xml:space="preserve">opštinama postoje programi odvojeno sakupljanje materijala koji se može reciklirati. </w:t>
      </w:r>
    </w:p>
    <w:p w14:paraId="2A7CD1A0" w14:textId="7EEF3BEA"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Kada je u pitanju infrastruktura za reciklažu i obradu otpada, neke jedinice lokalne samouprave (Podgorica, Herceg Novi, Kotor, Budva i Mojkovac) imaju reciklažna dvorišta koja su u vlasništvu K</w:t>
      </w:r>
      <w:r w:rsidR="00082604">
        <w:rPr>
          <w:rFonts w:ascii="Arial" w:hAnsi="Arial" w:cs="Arial"/>
          <w:lang w:val="sq-AL"/>
        </w:rPr>
        <w:t>P</w:t>
      </w:r>
      <w:r w:rsidRPr="002A6F4E">
        <w:rPr>
          <w:rFonts w:ascii="Arial" w:hAnsi="Arial" w:cs="Arial"/>
          <w:lang w:val="sq-AL"/>
        </w:rPr>
        <w:t xml:space="preserve"> i u kojima rade zaposleni u ovim preduzećima. Građani mogu ostaviti određene vrste sekundarnih sirovina, ali bez naknade, što se smatra demotivacionim faktorom.</w:t>
      </w:r>
    </w:p>
    <w:p w14:paraId="1182B235" w14:textId="1F44C084" w:rsidR="00C232D7" w:rsidRPr="00F57909" w:rsidRDefault="00C232D7" w:rsidP="00F57909">
      <w:pPr>
        <w:widowControl w:val="0"/>
        <w:spacing w:before="120" w:after="120" w:line="360" w:lineRule="auto"/>
        <w:rPr>
          <w:rFonts w:ascii="Arial" w:hAnsi="Arial" w:cs="Arial"/>
          <w:lang w:val="sq-AL"/>
        </w:rPr>
      </w:pPr>
      <w:r w:rsidRPr="00F57909">
        <w:rPr>
          <w:rFonts w:ascii="Arial" w:hAnsi="Arial" w:cs="Arial"/>
          <w:lang w:val="sq-AL"/>
        </w:rPr>
        <w:t xml:space="preserve">Konačno, KP koja su zadužena za komunalne usluge su takođe odgovorna za postavljanje i servisiranje „usputnih“ </w:t>
      </w:r>
      <w:r w:rsidR="007B1545" w:rsidRPr="00F57909">
        <w:rPr>
          <w:rFonts w:ascii="Arial" w:hAnsi="Arial" w:cs="Arial"/>
          <w:lang w:val="sq-AL"/>
        </w:rPr>
        <w:t>posuda</w:t>
      </w:r>
      <w:r w:rsidRPr="00F57909">
        <w:rPr>
          <w:rFonts w:ascii="Arial" w:hAnsi="Arial" w:cs="Arial"/>
          <w:lang w:val="sq-AL"/>
        </w:rPr>
        <w:t xml:space="preserve"> (tj. </w:t>
      </w:r>
      <w:r w:rsidR="007B1545" w:rsidRPr="00F57909">
        <w:rPr>
          <w:rFonts w:ascii="Arial" w:hAnsi="Arial" w:cs="Arial"/>
          <w:lang w:val="sq-AL"/>
        </w:rPr>
        <w:t>posuda</w:t>
      </w:r>
      <w:r w:rsidRPr="00F57909">
        <w:rPr>
          <w:rFonts w:ascii="Arial" w:hAnsi="Arial" w:cs="Arial"/>
          <w:lang w:val="sq-AL"/>
        </w:rPr>
        <w:t xml:space="preserve"> na javnim površinama koje koriste pješaci za odlaganje otpada). Te </w:t>
      </w:r>
      <w:r w:rsidR="005C4A0C" w:rsidRPr="00F57909">
        <w:rPr>
          <w:rFonts w:ascii="Arial" w:hAnsi="Arial" w:cs="Arial"/>
          <w:lang w:val="sq-AL"/>
        </w:rPr>
        <w:t>posude</w:t>
      </w:r>
      <w:r w:rsidRPr="00F57909">
        <w:rPr>
          <w:rFonts w:ascii="Arial" w:hAnsi="Arial" w:cs="Arial"/>
          <w:lang w:val="sq-AL"/>
        </w:rPr>
        <w:t xml:space="preserve"> se uglavnom postavljaju na gradskim javnim površinama, kao što su parkovi i ulice, ispred javnih zgrada, u turističkim zonama, zaštićenim prirodnim i kulturnim područjima, ski centrima, plažama itd.</w:t>
      </w:r>
    </w:p>
    <w:p w14:paraId="414E811B" w14:textId="17D4CF67" w:rsidR="00C232D7" w:rsidRPr="002A6F4E" w:rsidRDefault="003D1C94" w:rsidP="00F57909">
      <w:pPr>
        <w:pStyle w:val="Heading2"/>
      </w:pPr>
      <w:bookmarkStart w:id="729" w:name="_Toc193353979"/>
      <w:r w:rsidRPr="002A6F4E">
        <w:t>4.</w:t>
      </w:r>
      <w:r w:rsidR="00181ED4">
        <w:t>6</w:t>
      </w:r>
      <w:r w:rsidR="00C232D7" w:rsidRPr="002A6F4E">
        <w:t xml:space="preserve">.  </w:t>
      </w:r>
      <w:r w:rsidR="006932AF">
        <w:t xml:space="preserve">Prerada </w:t>
      </w:r>
      <w:r w:rsidR="00550B8B">
        <w:t xml:space="preserve">i recikliranje </w:t>
      </w:r>
      <w:r w:rsidR="006932AF">
        <w:t>otpada</w:t>
      </w:r>
      <w:bookmarkEnd w:id="729"/>
    </w:p>
    <w:p w14:paraId="279F108D" w14:textId="00A65DE7" w:rsidR="00D96B7D" w:rsidRPr="002A6F4E" w:rsidRDefault="00C232D7" w:rsidP="00A50C9E">
      <w:pPr>
        <w:widowControl w:val="0"/>
        <w:spacing w:before="120" w:after="120" w:line="360" w:lineRule="auto"/>
        <w:rPr>
          <w:rFonts w:ascii="Arial" w:hAnsi="Arial" w:cs="Arial"/>
          <w:lang w:val="sq-AL"/>
        </w:rPr>
      </w:pPr>
      <w:r w:rsidRPr="002A6F4E">
        <w:rPr>
          <w:rFonts w:ascii="Arial" w:hAnsi="Arial" w:cs="Arial"/>
          <w:lang w:val="sq-AL"/>
        </w:rPr>
        <w:t xml:space="preserve">U Crnoj Gori postoje </w:t>
      </w:r>
      <w:r w:rsidRPr="002A6F4E">
        <w:rPr>
          <w:rFonts w:ascii="Arial" w:hAnsi="Arial" w:cs="Arial"/>
          <w:u w:val="single"/>
          <w:lang w:val="sq-AL"/>
        </w:rPr>
        <w:t>4 centra za reciklažu otpada</w:t>
      </w:r>
      <w:r w:rsidRPr="002A6F4E">
        <w:rPr>
          <w:rFonts w:ascii="Arial" w:hAnsi="Arial" w:cs="Arial"/>
          <w:lang w:val="sq-AL"/>
        </w:rPr>
        <w:t xml:space="preserve">, kao što je prikazano u tabeli u nastavku. Regionalni reciklažni centar u Podgorici, na deponiji „Livade“, je sistem za predselekciju i selekciju reciklažnog otpada (karton, papir, plastika, metal, guma i dr.). Ostala 3 centra za reciklažu otpada nalaze se u Herceg Novom, Žabljaku i Kotoru. </w:t>
      </w:r>
      <w:bookmarkStart w:id="730" w:name="_Toc189515600"/>
    </w:p>
    <w:p w14:paraId="4844BB7F" w14:textId="5C3F16EA" w:rsidR="00C232D7" w:rsidRPr="00F6198B" w:rsidRDefault="00C232D7" w:rsidP="00C232D7">
      <w:pPr>
        <w:pStyle w:val="Caption"/>
        <w:rPr>
          <w:rFonts w:ascii="Arial" w:hAnsi="Arial" w:cs="Arial"/>
          <w:b w:val="0"/>
          <w:szCs w:val="20"/>
          <w:lang w:val="sq-AL"/>
        </w:rPr>
      </w:pPr>
      <w:bookmarkStart w:id="731" w:name="_Toc190160703"/>
      <w:r w:rsidRPr="00F6198B">
        <w:rPr>
          <w:rFonts w:ascii="Arial" w:hAnsi="Arial" w:cs="Arial"/>
          <w:b w:val="0"/>
          <w:szCs w:val="20"/>
          <w:lang w:val="sq-AL"/>
        </w:rPr>
        <w:t xml:space="preserve">Tabela </w:t>
      </w:r>
      <w:r w:rsidRPr="00F6198B">
        <w:rPr>
          <w:rFonts w:ascii="Arial" w:hAnsi="Arial" w:cs="Arial"/>
          <w:b w:val="0"/>
          <w:szCs w:val="20"/>
        </w:rPr>
        <w:fldChar w:fldCharType="begin"/>
      </w:r>
      <w:r w:rsidRPr="00F6198B">
        <w:rPr>
          <w:rFonts w:ascii="Arial" w:hAnsi="Arial" w:cs="Arial"/>
          <w:b w:val="0"/>
          <w:szCs w:val="20"/>
          <w:lang w:val="sq-AL"/>
        </w:rPr>
        <w:instrText xml:space="preserve"> SEQ Tabela \* ARABIC </w:instrText>
      </w:r>
      <w:r w:rsidRPr="00F6198B">
        <w:rPr>
          <w:rFonts w:ascii="Arial" w:hAnsi="Arial" w:cs="Arial"/>
          <w:b w:val="0"/>
          <w:szCs w:val="20"/>
        </w:rPr>
        <w:fldChar w:fldCharType="separate"/>
      </w:r>
      <w:r w:rsidR="007274DA">
        <w:rPr>
          <w:rFonts w:ascii="Arial" w:hAnsi="Arial" w:cs="Arial"/>
          <w:b w:val="0"/>
          <w:noProof/>
          <w:szCs w:val="20"/>
          <w:lang w:val="sq-AL"/>
        </w:rPr>
        <w:t>13</w:t>
      </w:r>
      <w:r w:rsidRPr="00F6198B">
        <w:rPr>
          <w:rFonts w:ascii="Arial" w:hAnsi="Arial" w:cs="Arial"/>
          <w:b w:val="0"/>
          <w:szCs w:val="20"/>
        </w:rPr>
        <w:fldChar w:fldCharType="end"/>
      </w:r>
      <w:r w:rsidRPr="00F6198B">
        <w:rPr>
          <w:rFonts w:ascii="Arial" w:hAnsi="Arial" w:cs="Arial"/>
          <w:b w:val="0"/>
          <w:szCs w:val="20"/>
          <w:lang w:val="sq-AL"/>
        </w:rPr>
        <w:t xml:space="preserve"> Centri za reciklažu otpada u Crnoj Gori</w:t>
      </w:r>
      <w:bookmarkEnd w:id="730"/>
      <w:bookmarkEnd w:id="731"/>
    </w:p>
    <w:tbl>
      <w:tblPr>
        <w:tblW w:w="10345" w:type="dxa"/>
        <w:jc w:val="center"/>
        <w:tblLook w:val="04A0" w:firstRow="1" w:lastRow="0" w:firstColumn="1" w:lastColumn="0" w:noHBand="0" w:noVBand="1"/>
      </w:tblPr>
      <w:tblGrid>
        <w:gridCol w:w="1337"/>
        <w:gridCol w:w="1134"/>
        <w:gridCol w:w="1640"/>
        <w:gridCol w:w="1440"/>
        <w:gridCol w:w="1350"/>
        <w:gridCol w:w="990"/>
        <w:gridCol w:w="959"/>
        <w:gridCol w:w="1561"/>
      </w:tblGrid>
      <w:tr w:rsidR="00C232D7" w:rsidRPr="002A6F4E" w14:paraId="4F2C1E24" w14:textId="77777777" w:rsidTr="00C232D7">
        <w:trPr>
          <w:trHeight w:val="300"/>
          <w:jc w:val="center"/>
        </w:trPr>
        <w:tc>
          <w:tcPr>
            <w:tcW w:w="127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FD9D0D4" w14:textId="77777777" w:rsidR="00C232D7" w:rsidRPr="00F6198B" w:rsidRDefault="00C232D7" w:rsidP="00C232D7">
            <w:pPr>
              <w:spacing w:line="360" w:lineRule="auto"/>
              <w:rPr>
                <w:rFonts w:ascii="Arial" w:eastAsia="Times New Roman" w:hAnsi="Arial" w:cs="Arial"/>
                <w:b/>
                <w:bCs/>
                <w:color w:val="000000"/>
                <w:sz w:val="18"/>
                <w:szCs w:val="18"/>
                <w:lang w:val="sq-AL" w:eastAsia="el-GR"/>
              </w:rPr>
            </w:pPr>
            <w:r w:rsidRPr="00F6198B">
              <w:rPr>
                <w:rFonts w:ascii="Arial" w:eastAsia="Times New Roman" w:hAnsi="Arial" w:cs="Arial"/>
                <w:b/>
                <w:bCs/>
                <w:color w:val="000000"/>
                <w:sz w:val="18"/>
                <w:szCs w:val="18"/>
                <w:lang w:val="sq-AL" w:eastAsia="el-GR"/>
              </w:rPr>
              <w:t xml:space="preserve">Naziv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22D18C1" w14:textId="77777777" w:rsidR="00C232D7" w:rsidRPr="00F6198B" w:rsidRDefault="00C232D7" w:rsidP="00C232D7">
            <w:pPr>
              <w:spacing w:line="360" w:lineRule="auto"/>
              <w:rPr>
                <w:rFonts w:ascii="Arial" w:eastAsia="Times New Roman" w:hAnsi="Arial" w:cs="Arial"/>
                <w:b/>
                <w:bCs/>
                <w:color w:val="000000"/>
                <w:sz w:val="18"/>
                <w:szCs w:val="18"/>
                <w:lang w:val="sq-AL" w:eastAsia="el-GR"/>
              </w:rPr>
            </w:pPr>
            <w:r w:rsidRPr="00F6198B">
              <w:rPr>
                <w:rFonts w:ascii="Arial" w:eastAsia="Times New Roman" w:hAnsi="Arial" w:cs="Arial"/>
                <w:b/>
                <w:bCs/>
                <w:color w:val="000000"/>
                <w:sz w:val="18"/>
                <w:szCs w:val="18"/>
                <w:lang w:val="sq-AL" w:eastAsia="el-GR"/>
              </w:rPr>
              <w:t>Lokacija</w:t>
            </w:r>
          </w:p>
        </w:tc>
        <w:tc>
          <w:tcPr>
            <w:tcW w:w="164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71B5F63" w14:textId="77777777" w:rsidR="00C232D7" w:rsidRPr="00F6198B" w:rsidRDefault="00C232D7" w:rsidP="00C232D7">
            <w:pPr>
              <w:spacing w:line="360" w:lineRule="auto"/>
              <w:rPr>
                <w:rFonts w:ascii="Arial" w:eastAsia="Times New Roman" w:hAnsi="Arial" w:cs="Arial"/>
                <w:b/>
                <w:bCs/>
                <w:color w:val="000000"/>
                <w:sz w:val="18"/>
                <w:szCs w:val="18"/>
                <w:lang w:val="sq-AL" w:eastAsia="el-GR"/>
              </w:rPr>
            </w:pPr>
            <w:r w:rsidRPr="00F6198B">
              <w:rPr>
                <w:rFonts w:ascii="Arial" w:eastAsia="Times New Roman" w:hAnsi="Arial" w:cs="Arial"/>
                <w:b/>
                <w:bCs/>
                <w:color w:val="000000"/>
                <w:sz w:val="18"/>
                <w:szCs w:val="18"/>
                <w:lang w:val="sq-AL" w:eastAsia="el-GR"/>
              </w:rPr>
              <w:t>Vrsta postrojenja</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270014" w14:textId="380EB433" w:rsidR="00C232D7" w:rsidRPr="00F6198B" w:rsidRDefault="00C232D7" w:rsidP="00C232D7">
            <w:pPr>
              <w:spacing w:line="360" w:lineRule="auto"/>
              <w:rPr>
                <w:rFonts w:ascii="Arial" w:eastAsia="Times New Roman" w:hAnsi="Arial" w:cs="Arial"/>
                <w:b/>
                <w:bCs/>
                <w:color w:val="000000"/>
                <w:sz w:val="18"/>
                <w:szCs w:val="18"/>
                <w:lang w:val="sq-AL" w:eastAsia="el-GR"/>
              </w:rPr>
            </w:pPr>
            <w:r w:rsidRPr="00F6198B">
              <w:rPr>
                <w:rFonts w:ascii="Arial" w:eastAsia="Times New Roman" w:hAnsi="Arial" w:cs="Arial"/>
                <w:b/>
                <w:bCs/>
                <w:color w:val="000000"/>
                <w:sz w:val="18"/>
                <w:szCs w:val="18"/>
                <w:lang w:val="sq-AL" w:eastAsia="el-GR"/>
              </w:rPr>
              <w:t>Projektovani kapacitet (t/god)</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33AD210" w14:textId="77777777" w:rsidR="00C232D7" w:rsidRPr="00F6198B" w:rsidRDefault="00C232D7" w:rsidP="00C232D7">
            <w:pPr>
              <w:spacing w:line="360" w:lineRule="auto"/>
              <w:rPr>
                <w:rFonts w:ascii="Arial" w:eastAsia="Times New Roman" w:hAnsi="Arial" w:cs="Arial"/>
                <w:b/>
                <w:bCs/>
                <w:color w:val="000000"/>
                <w:sz w:val="18"/>
                <w:szCs w:val="18"/>
                <w:lang w:val="sq-AL" w:eastAsia="el-GR"/>
              </w:rPr>
            </w:pPr>
            <w:r w:rsidRPr="00F6198B">
              <w:rPr>
                <w:rFonts w:ascii="Arial" w:eastAsia="Times New Roman" w:hAnsi="Arial" w:cs="Arial"/>
                <w:b/>
                <w:bCs/>
                <w:color w:val="000000"/>
                <w:sz w:val="18"/>
                <w:szCs w:val="18"/>
                <w:lang w:val="sq-AL" w:eastAsia="el-GR"/>
              </w:rPr>
              <w:t>Status</w:t>
            </w:r>
          </w:p>
        </w:tc>
        <w:tc>
          <w:tcPr>
            <w:tcW w:w="1949"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2997EA2" w14:textId="56D26897" w:rsidR="00C232D7" w:rsidRPr="00F6198B" w:rsidRDefault="00C232D7" w:rsidP="00C232D7">
            <w:pPr>
              <w:spacing w:line="360" w:lineRule="auto"/>
              <w:rPr>
                <w:rFonts w:ascii="Arial" w:eastAsia="Times New Roman" w:hAnsi="Arial" w:cs="Arial"/>
                <w:b/>
                <w:bCs/>
                <w:color w:val="000000"/>
                <w:sz w:val="18"/>
                <w:szCs w:val="18"/>
                <w:lang w:val="sq-AL" w:eastAsia="el-GR"/>
              </w:rPr>
            </w:pPr>
            <w:r w:rsidRPr="00F6198B">
              <w:rPr>
                <w:rFonts w:ascii="Arial" w:eastAsia="Times New Roman" w:hAnsi="Arial" w:cs="Arial"/>
                <w:b/>
                <w:bCs/>
                <w:color w:val="000000"/>
                <w:sz w:val="18"/>
                <w:szCs w:val="18"/>
                <w:lang w:val="sq-AL" w:eastAsia="el-GR"/>
              </w:rPr>
              <w:t>Tretirani otpad (t/god)</w:t>
            </w:r>
          </w:p>
        </w:tc>
        <w:tc>
          <w:tcPr>
            <w:tcW w:w="156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59C105B" w14:textId="77777777" w:rsidR="00C232D7" w:rsidRPr="00F6198B" w:rsidRDefault="00C232D7" w:rsidP="00C232D7">
            <w:pPr>
              <w:spacing w:line="360" w:lineRule="auto"/>
              <w:rPr>
                <w:rFonts w:ascii="Arial" w:eastAsia="Times New Roman" w:hAnsi="Arial" w:cs="Arial"/>
                <w:b/>
                <w:bCs/>
                <w:color w:val="000000"/>
                <w:sz w:val="18"/>
                <w:szCs w:val="18"/>
                <w:lang w:val="sq-AL" w:eastAsia="el-GR"/>
              </w:rPr>
            </w:pPr>
            <w:r w:rsidRPr="00F6198B">
              <w:rPr>
                <w:rFonts w:ascii="Arial" w:eastAsia="Times New Roman" w:hAnsi="Arial" w:cs="Arial"/>
                <w:b/>
                <w:bCs/>
                <w:color w:val="000000"/>
                <w:sz w:val="18"/>
                <w:szCs w:val="18"/>
                <w:lang w:val="sq-AL" w:eastAsia="el-GR"/>
              </w:rPr>
              <w:t>Uslužena područja</w:t>
            </w:r>
          </w:p>
        </w:tc>
      </w:tr>
      <w:tr w:rsidR="00C232D7" w:rsidRPr="002A6F4E" w14:paraId="6D080852" w14:textId="77777777" w:rsidTr="00C232D7">
        <w:trPr>
          <w:trHeight w:val="300"/>
          <w:jc w:val="center"/>
        </w:trPr>
        <w:tc>
          <w:tcPr>
            <w:tcW w:w="1271" w:type="dxa"/>
            <w:vMerge/>
            <w:tcBorders>
              <w:top w:val="single" w:sz="4" w:space="0" w:color="auto"/>
              <w:left w:val="single" w:sz="4" w:space="0" w:color="auto"/>
              <w:bottom w:val="single" w:sz="4" w:space="0" w:color="auto"/>
              <w:right w:val="single" w:sz="4" w:space="0" w:color="auto"/>
            </w:tcBorders>
            <w:vAlign w:val="center"/>
          </w:tcPr>
          <w:p w14:paraId="6A8D35EC" w14:textId="77777777" w:rsidR="00C232D7" w:rsidRPr="00F6198B" w:rsidRDefault="00C232D7" w:rsidP="00C232D7">
            <w:pPr>
              <w:spacing w:line="360" w:lineRule="auto"/>
              <w:rPr>
                <w:rFonts w:ascii="Arial" w:eastAsia="Times New Roman" w:hAnsi="Arial" w:cs="Arial"/>
                <w:b/>
                <w:bCs/>
                <w:color w:val="000000"/>
                <w:sz w:val="18"/>
                <w:szCs w:val="18"/>
                <w:lang w:val="sq-AL" w:eastAsia="el-GR"/>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465A9FB0" w14:textId="77777777" w:rsidR="00C232D7" w:rsidRPr="00F6198B" w:rsidRDefault="00C232D7" w:rsidP="00C232D7">
            <w:pPr>
              <w:spacing w:line="360" w:lineRule="auto"/>
              <w:rPr>
                <w:rFonts w:ascii="Arial" w:eastAsia="Times New Roman" w:hAnsi="Arial" w:cs="Arial"/>
                <w:b/>
                <w:bCs/>
                <w:color w:val="000000"/>
                <w:sz w:val="18"/>
                <w:szCs w:val="18"/>
                <w:lang w:val="sq-AL" w:eastAsia="el-GR"/>
              </w:rPr>
            </w:pPr>
          </w:p>
        </w:tc>
        <w:tc>
          <w:tcPr>
            <w:tcW w:w="1640" w:type="dxa"/>
            <w:vMerge/>
            <w:tcBorders>
              <w:top w:val="single" w:sz="4" w:space="0" w:color="auto"/>
              <w:left w:val="single" w:sz="4" w:space="0" w:color="auto"/>
              <w:bottom w:val="single" w:sz="4" w:space="0" w:color="auto"/>
              <w:right w:val="single" w:sz="4" w:space="0" w:color="auto"/>
            </w:tcBorders>
            <w:vAlign w:val="center"/>
          </w:tcPr>
          <w:p w14:paraId="1DACED92" w14:textId="77777777" w:rsidR="00C232D7" w:rsidRPr="00F6198B" w:rsidRDefault="00C232D7" w:rsidP="00C232D7">
            <w:pPr>
              <w:spacing w:line="360" w:lineRule="auto"/>
              <w:rPr>
                <w:rFonts w:ascii="Arial" w:eastAsia="Times New Roman" w:hAnsi="Arial" w:cs="Arial"/>
                <w:b/>
                <w:bCs/>
                <w:color w:val="000000"/>
                <w:sz w:val="18"/>
                <w:szCs w:val="18"/>
                <w:lang w:val="sq-AL" w:eastAsia="el-GR"/>
              </w:rPr>
            </w:pPr>
          </w:p>
        </w:tc>
        <w:tc>
          <w:tcPr>
            <w:tcW w:w="1440" w:type="dxa"/>
            <w:vMerge/>
            <w:tcBorders>
              <w:top w:val="single" w:sz="4" w:space="0" w:color="auto"/>
              <w:left w:val="single" w:sz="4" w:space="0" w:color="auto"/>
              <w:bottom w:val="single" w:sz="4" w:space="0" w:color="auto"/>
              <w:right w:val="single" w:sz="4" w:space="0" w:color="auto"/>
            </w:tcBorders>
            <w:vAlign w:val="center"/>
          </w:tcPr>
          <w:p w14:paraId="0E22AA39" w14:textId="77777777" w:rsidR="00C232D7" w:rsidRPr="00F6198B" w:rsidRDefault="00C232D7" w:rsidP="00C232D7">
            <w:pPr>
              <w:spacing w:line="360" w:lineRule="auto"/>
              <w:rPr>
                <w:rFonts w:ascii="Arial" w:eastAsia="Times New Roman" w:hAnsi="Arial" w:cs="Arial"/>
                <w:b/>
                <w:bCs/>
                <w:color w:val="000000"/>
                <w:sz w:val="18"/>
                <w:szCs w:val="18"/>
                <w:lang w:val="sq-AL" w:eastAsia="el-GR"/>
              </w:rPr>
            </w:pPr>
          </w:p>
        </w:tc>
        <w:tc>
          <w:tcPr>
            <w:tcW w:w="1350" w:type="dxa"/>
            <w:vMerge/>
            <w:tcBorders>
              <w:top w:val="single" w:sz="4" w:space="0" w:color="auto"/>
              <w:left w:val="single" w:sz="4" w:space="0" w:color="auto"/>
              <w:bottom w:val="single" w:sz="4" w:space="0" w:color="auto"/>
              <w:right w:val="single" w:sz="4" w:space="0" w:color="auto"/>
            </w:tcBorders>
            <w:vAlign w:val="center"/>
          </w:tcPr>
          <w:p w14:paraId="62E8F850" w14:textId="77777777" w:rsidR="00C232D7" w:rsidRPr="00F6198B" w:rsidRDefault="00C232D7" w:rsidP="00C232D7">
            <w:pPr>
              <w:spacing w:line="360" w:lineRule="auto"/>
              <w:rPr>
                <w:rFonts w:ascii="Arial" w:eastAsia="Times New Roman" w:hAnsi="Arial" w:cs="Arial"/>
                <w:b/>
                <w:bCs/>
                <w:color w:val="000000"/>
                <w:sz w:val="18"/>
                <w:szCs w:val="18"/>
                <w:lang w:val="sq-AL" w:eastAsia="el-GR"/>
              </w:rPr>
            </w:pPr>
          </w:p>
        </w:tc>
        <w:tc>
          <w:tcPr>
            <w:tcW w:w="990" w:type="dxa"/>
            <w:tcBorders>
              <w:top w:val="nil"/>
              <w:left w:val="nil"/>
              <w:bottom w:val="single" w:sz="4" w:space="0" w:color="auto"/>
              <w:right w:val="single" w:sz="4" w:space="0" w:color="auto"/>
            </w:tcBorders>
            <w:shd w:val="clear" w:color="auto" w:fill="F2F2F2" w:themeFill="background1" w:themeFillShade="F2"/>
            <w:noWrap/>
            <w:vAlign w:val="center"/>
          </w:tcPr>
          <w:p w14:paraId="1E8B0A54" w14:textId="77777777" w:rsidR="00C232D7" w:rsidRPr="00F6198B" w:rsidRDefault="00C232D7" w:rsidP="00C232D7">
            <w:pPr>
              <w:spacing w:line="360" w:lineRule="auto"/>
              <w:rPr>
                <w:rFonts w:ascii="Arial" w:eastAsia="Times New Roman" w:hAnsi="Arial" w:cs="Arial"/>
                <w:b/>
                <w:bCs/>
                <w:color w:val="000000"/>
                <w:sz w:val="18"/>
                <w:szCs w:val="18"/>
                <w:lang w:val="sq-AL" w:eastAsia="el-GR"/>
              </w:rPr>
            </w:pPr>
            <w:r w:rsidRPr="00F6198B">
              <w:rPr>
                <w:rFonts w:ascii="Arial" w:eastAsia="Times New Roman" w:hAnsi="Arial" w:cs="Arial"/>
                <w:b/>
                <w:bCs/>
                <w:color w:val="000000"/>
                <w:sz w:val="18"/>
                <w:szCs w:val="18"/>
                <w:lang w:val="sq-AL" w:eastAsia="el-GR"/>
              </w:rPr>
              <w:t>2020</w:t>
            </w:r>
          </w:p>
        </w:tc>
        <w:tc>
          <w:tcPr>
            <w:tcW w:w="959" w:type="dxa"/>
            <w:tcBorders>
              <w:top w:val="nil"/>
              <w:left w:val="nil"/>
              <w:bottom w:val="single" w:sz="4" w:space="0" w:color="auto"/>
              <w:right w:val="single" w:sz="4" w:space="0" w:color="auto"/>
            </w:tcBorders>
            <w:shd w:val="clear" w:color="auto" w:fill="F2F2F2" w:themeFill="background1" w:themeFillShade="F2"/>
            <w:noWrap/>
            <w:vAlign w:val="center"/>
          </w:tcPr>
          <w:p w14:paraId="5717F641" w14:textId="77777777" w:rsidR="00C232D7" w:rsidRPr="00F6198B" w:rsidRDefault="00C232D7" w:rsidP="00C232D7">
            <w:pPr>
              <w:spacing w:line="360" w:lineRule="auto"/>
              <w:rPr>
                <w:rFonts w:ascii="Arial" w:eastAsia="Times New Roman" w:hAnsi="Arial" w:cs="Arial"/>
                <w:b/>
                <w:bCs/>
                <w:color w:val="000000"/>
                <w:sz w:val="18"/>
                <w:szCs w:val="18"/>
                <w:lang w:val="sq-AL" w:eastAsia="el-GR"/>
              </w:rPr>
            </w:pPr>
            <w:r w:rsidRPr="00F6198B">
              <w:rPr>
                <w:rFonts w:ascii="Arial" w:eastAsia="Times New Roman" w:hAnsi="Arial" w:cs="Arial"/>
                <w:b/>
                <w:bCs/>
                <w:color w:val="000000"/>
                <w:sz w:val="18"/>
                <w:szCs w:val="18"/>
                <w:lang w:val="sq-AL" w:eastAsia="el-GR"/>
              </w:rPr>
              <w:t>2021</w:t>
            </w:r>
          </w:p>
        </w:tc>
        <w:tc>
          <w:tcPr>
            <w:tcW w:w="1561" w:type="dxa"/>
            <w:vMerge/>
            <w:tcBorders>
              <w:top w:val="single" w:sz="4" w:space="0" w:color="auto"/>
              <w:left w:val="single" w:sz="4" w:space="0" w:color="auto"/>
              <w:bottom w:val="single" w:sz="4" w:space="0" w:color="auto"/>
              <w:right w:val="single" w:sz="4" w:space="0" w:color="auto"/>
            </w:tcBorders>
            <w:vAlign w:val="center"/>
          </w:tcPr>
          <w:p w14:paraId="4D4F0F3A" w14:textId="77777777" w:rsidR="00C232D7" w:rsidRPr="00F6198B" w:rsidRDefault="00C232D7" w:rsidP="00C232D7">
            <w:pPr>
              <w:spacing w:line="360" w:lineRule="auto"/>
              <w:rPr>
                <w:rFonts w:ascii="Arial" w:eastAsia="Times New Roman" w:hAnsi="Arial" w:cs="Arial"/>
                <w:b/>
                <w:bCs/>
                <w:color w:val="000000"/>
                <w:sz w:val="18"/>
                <w:szCs w:val="18"/>
                <w:lang w:val="sq-AL" w:eastAsia="el-GR"/>
              </w:rPr>
            </w:pPr>
          </w:p>
        </w:tc>
      </w:tr>
      <w:tr w:rsidR="00C232D7" w:rsidRPr="002A6F4E" w14:paraId="5C947A6A" w14:textId="77777777" w:rsidTr="00C232D7">
        <w:trPr>
          <w:trHeight w:val="9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68343357" w14:textId="77777777" w:rsidR="00C232D7" w:rsidRPr="00F6198B" w:rsidRDefault="00C232D7" w:rsidP="00C232D7">
            <w:pPr>
              <w:spacing w:line="360" w:lineRule="auto"/>
              <w:rPr>
                <w:rFonts w:ascii="Arial" w:eastAsia="Times New Roman" w:hAnsi="Arial" w:cs="Arial"/>
                <w:color w:val="000000"/>
                <w:sz w:val="18"/>
                <w:szCs w:val="18"/>
                <w:lang w:val="sq-AL" w:eastAsia="el-GR"/>
              </w:rPr>
            </w:pPr>
            <w:bookmarkStart w:id="732" w:name="_Hlk123488707"/>
            <w:r w:rsidRPr="00F6198B">
              <w:rPr>
                <w:rFonts w:ascii="Arial" w:hAnsi="Arial" w:cs="Arial"/>
                <w:sz w:val="18"/>
                <w:szCs w:val="18"/>
              </w:rPr>
              <w:t>Reciklažni centar Podgorica</w:t>
            </w:r>
          </w:p>
        </w:tc>
        <w:tc>
          <w:tcPr>
            <w:tcW w:w="1134" w:type="dxa"/>
            <w:tcBorders>
              <w:top w:val="nil"/>
              <w:left w:val="nil"/>
              <w:bottom w:val="single" w:sz="4" w:space="0" w:color="auto"/>
              <w:right w:val="single" w:sz="4" w:space="0" w:color="auto"/>
            </w:tcBorders>
            <w:shd w:val="clear" w:color="auto" w:fill="auto"/>
            <w:noWrap/>
            <w:vAlign w:val="center"/>
          </w:tcPr>
          <w:p w14:paraId="35A26CB1"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Livade, Podgorica</w:t>
            </w:r>
          </w:p>
        </w:tc>
        <w:tc>
          <w:tcPr>
            <w:tcW w:w="1640" w:type="dxa"/>
            <w:tcBorders>
              <w:top w:val="nil"/>
              <w:left w:val="nil"/>
              <w:bottom w:val="single" w:sz="4" w:space="0" w:color="auto"/>
              <w:right w:val="single" w:sz="4" w:space="0" w:color="auto"/>
            </w:tcBorders>
            <w:shd w:val="clear" w:color="auto" w:fill="auto"/>
            <w:vAlign w:val="center"/>
          </w:tcPr>
          <w:p w14:paraId="3330A535"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hAnsi="Arial" w:cs="Arial"/>
                <w:sz w:val="18"/>
                <w:szCs w:val="18"/>
                <w:lang w:val="de-DE"/>
              </w:rPr>
              <w:t>Postrojenje za povrat materijala (MRF)</w:t>
            </w:r>
          </w:p>
        </w:tc>
        <w:tc>
          <w:tcPr>
            <w:tcW w:w="1440" w:type="dxa"/>
            <w:tcBorders>
              <w:top w:val="nil"/>
              <w:left w:val="nil"/>
              <w:bottom w:val="single" w:sz="4" w:space="0" w:color="auto"/>
              <w:right w:val="single" w:sz="4" w:space="0" w:color="auto"/>
            </w:tcBorders>
            <w:shd w:val="clear" w:color="auto" w:fill="auto"/>
            <w:noWrap/>
            <w:vAlign w:val="center"/>
          </w:tcPr>
          <w:p w14:paraId="6C3EB319"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90.000</w:t>
            </w:r>
          </w:p>
        </w:tc>
        <w:tc>
          <w:tcPr>
            <w:tcW w:w="1350" w:type="dxa"/>
            <w:tcBorders>
              <w:top w:val="nil"/>
              <w:left w:val="nil"/>
              <w:bottom w:val="single" w:sz="4" w:space="0" w:color="auto"/>
              <w:right w:val="single" w:sz="4" w:space="0" w:color="auto"/>
            </w:tcBorders>
            <w:shd w:val="clear" w:color="auto" w:fill="auto"/>
            <w:vAlign w:val="center"/>
          </w:tcPr>
          <w:p w14:paraId="3C69C5E9"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hAnsi="Arial" w:cs="Arial"/>
                <w:sz w:val="18"/>
                <w:szCs w:val="18"/>
              </w:rPr>
              <w:t>Djelimično operativno - sa manjim kapacitetom</w:t>
            </w:r>
          </w:p>
        </w:tc>
        <w:tc>
          <w:tcPr>
            <w:tcW w:w="990" w:type="dxa"/>
            <w:tcBorders>
              <w:top w:val="nil"/>
              <w:left w:val="nil"/>
              <w:bottom w:val="single" w:sz="4" w:space="0" w:color="auto"/>
              <w:right w:val="single" w:sz="4" w:space="0" w:color="auto"/>
            </w:tcBorders>
            <w:shd w:val="clear" w:color="auto" w:fill="auto"/>
            <w:noWrap/>
            <w:vAlign w:val="center"/>
          </w:tcPr>
          <w:p w14:paraId="40DA50FD"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14.925</w:t>
            </w:r>
          </w:p>
        </w:tc>
        <w:tc>
          <w:tcPr>
            <w:tcW w:w="959" w:type="dxa"/>
            <w:tcBorders>
              <w:top w:val="nil"/>
              <w:left w:val="nil"/>
              <w:bottom w:val="single" w:sz="4" w:space="0" w:color="auto"/>
              <w:right w:val="single" w:sz="4" w:space="0" w:color="auto"/>
            </w:tcBorders>
            <w:shd w:val="clear" w:color="auto" w:fill="auto"/>
            <w:noWrap/>
            <w:vAlign w:val="center"/>
          </w:tcPr>
          <w:p w14:paraId="1261CF7B"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12.977</w:t>
            </w:r>
          </w:p>
        </w:tc>
        <w:tc>
          <w:tcPr>
            <w:tcW w:w="1561" w:type="dxa"/>
            <w:tcBorders>
              <w:top w:val="nil"/>
              <w:left w:val="nil"/>
              <w:bottom w:val="single" w:sz="4" w:space="0" w:color="auto"/>
              <w:right w:val="single" w:sz="4" w:space="0" w:color="auto"/>
            </w:tcBorders>
            <w:shd w:val="clear" w:color="auto" w:fill="auto"/>
            <w:vAlign w:val="center"/>
          </w:tcPr>
          <w:p w14:paraId="4D6165CB"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 xml:space="preserve">Podgorica, </w:t>
            </w:r>
          </w:p>
          <w:p w14:paraId="2C8AFADC"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Zeta,</w:t>
            </w:r>
          </w:p>
          <w:p w14:paraId="6AC682CA"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 xml:space="preserve">Plužine, </w:t>
            </w:r>
            <w:r w:rsidRPr="00F6198B">
              <w:rPr>
                <w:rFonts w:ascii="Arial" w:eastAsia="Times New Roman" w:hAnsi="Arial" w:cs="Arial"/>
                <w:color w:val="000000"/>
                <w:sz w:val="18"/>
                <w:szCs w:val="18"/>
                <w:lang w:val="sq-AL" w:eastAsia="el-GR"/>
              </w:rPr>
              <w:br/>
              <w:t xml:space="preserve">Cetinje, </w:t>
            </w:r>
            <w:r w:rsidRPr="00F6198B">
              <w:rPr>
                <w:rFonts w:ascii="Arial" w:eastAsia="Times New Roman" w:hAnsi="Arial" w:cs="Arial"/>
                <w:color w:val="000000"/>
                <w:sz w:val="18"/>
                <w:szCs w:val="18"/>
                <w:lang w:val="sq-AL" w:eastAsia="el-GR"/>
              </w:rPr>
              <w:br/>
              <w:t>Tuzi, i Danilovgrad i Šavnik</w:t>
            </w:r>
          </w:p>
        </w:tc>
      </w:tr>
      <w:tr w:rsidR="00C232D7" w:rsidRPr="002A6F4E" w14:paraId="186219CE" w14:textId="77777777" w:rsidTr="00C232D7">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4729183D"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hAnsi="Arial" w:cs="Arial"/>
                <w:sz w:val="18"/>
                <w:szCs w:val="18"/>
              </w:rPr>
              <w:t>Reciklažni centar Meljine</w:t>
            </w:r>
          </w:p>
        </w:tc>
        <w:tc>
          <w:tcPr>
            <w:tcW w:w="1134" w:type="dxa"/>
            <w:tcBorders>
              <w:top w:val="nil"/>
              <w:left w:val="nil"/>
              <w:bottom w:val="single" w:sz="4" w:space="0" w:color="auto"/>
              <w:right w:val="single" w:sz="4" w:space="0" w:color="auto"/>
            </w:tcBorders>
            <w:shd w:val="clear" w:color="auto" w:fill="auto"/>
            <w:noWrap/>
            <w:vAlign w:val="center"/>
          </w:tcPr>
          <w:p w14:paraId="0E93ACF0"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Meljine, Herceg Novi</w:t>
            </w:r>
          </w:p>
        </w:tc>
        <w:tc>
          <w:tcPr>
            <w:tcW w:w="1640" w:type="dxa"/>
            <w:tcBorders>
              <w:top w:val="nil"/>
              <w:left w:val="nil"/>
              <w:bottom w:val="single" w:sz="4" w:space="0" w:color="auto"/>
              <w:right w:val="single" w:sz="4" w:space="0" w:color="auto"/>
            </w:tcBorders>
            <w:shd w:val="clear" w:color="auto" w:fill="auto"/>
            <w:noWrap/>
            <w:vAlign w:val="center"/>
          </w:tcPr>
          <w:p w14:paraId="525E1F52"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hAnsi="Arial" w:cs="Arial"/>
                <w:sz w:val="18"/>
                <w:szCs w:val="18"/>
              </w:rPr>
              <w:t>Postrojenje za reciklažu i transfer stanica</w:t>
            </w:r>
          </w:p>
        </w:tc>
        <w:tc>
          <w:tcPr>
            <w:tcW w:w="1440" w:type="dxa"/>
            <w:tcBorders>
              <w:top w:val="nil"/>
              <w:left w:val="nil"/>
              <w:bottom w:val="single" w:sz="4" w:space="0" w:color="auto"/>
              <w:right w:val="single" w:sz="4" w:space="0" w:color="auto"/>
            </w:tcBorders>
            <w:shd w:val="clear" w:color="auto" w:fill="auto"/>
            <w:noWrap/>
            <w:vAlign w:val="center"/>
          </w:tcPr>
          <w:p w14:paraId="7FE4661A"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15.000</w:t>
            </w:r>
          </w:p>
        </w:tc>
        <w:tc>
          <w:tcPr>
            <w:tcW w:w="1350" w:type="dxa"/>
            <w:tcBorders>
              <w:top w:val="nil"/>
              <w:left w:val="nil"/>
              <w:bottom w:val="single" w:sz="4" w:space="0" w:color="auto"/>
              <w:right w:val="single" w:sz="4" w:space="0" w:color="auto"/>
            </w:tcBorders>
            <w:shd w:val="clear" w:color="auto" w:fill="auto"/>
            <w:noWrap/>
            <w:vAlign w:val="center"/>
          </w:tcPr>
          <w:p w14:paraId="782DE110"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hAnsi="Arial" w:cs="Arial"/>
                <w:sz w:val="18"/>
                <w:szCs w:val="18"/>
                <w:lang w:val="sq-AL"/>
              </w:rPr>
              <w:t>Postrojenje za reciklažu neaktivno - radi samo TS</w:t>
            </w:r>
          </w:p>
        </w:tc>
        <w:tc>
          <w:tcPr>
            <w:tcW w:w="990" w:type="dxa"/>
            <w:tcBorders>
              <w:top w:val="nil"/>
              <w:left w:val="nil"/>
              <w:bottom w:val="single" w:sz="4" w:space="0" w:color="auto"/>
              <w:right w:val="single" w:sz="4" w:space="0" w:color="auto"/>
            </w:tcBorders>
            <w:shd w:val="clear" w:color="auto" w:fill="auto"/>
            <w:noWrap/>
            <w:vAlign w:val="center"/>
          </w:tcPr>
          <w:p w14:paraId="13201921"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w:t>
            </w:r>
          </w:p>
        </w:tc>
        <w:tc>
          <w:tcPr>
            <w:tcW w:w="959" w:type="dxa"/>
            <w:tcBorders>
              <w:top w:val="nil"/>
              <w:left w:val="nil"/>
              <w:bottom w:val="single" w:sz="4" w:space="0" w:color="auto"/>
              <w:right w:val="single" w:sz="4" w:space="0" w:color="auto"/>
            </w:tcBorders>
            <w:shd w:val="clear" w:color="auto" w:fill="auto"/>
            <w:noWrap/>
            <w:vAlign w:val="center"/>
          </w:tcPr>
          <w:p w14:paraId="5170B345"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w:t>
            </w:r>
          </w:p>
        </w:tc>
        <w:tc>
          <w:tcPr>
            <w:tcW w:w="1561" w:type="dxa"/>
            <w:tcBorders>
              <w:top w:val="nil"/>
              <w:left w:val="nil"/>
              <w:bottom w:val="single" w:sz="4" w:space="0" w:color="auto"/>
              <w:right w:val="single" w:sz="4" w:space="0" w:color="auto"/>
            </w:tcBorders>
            <w:shd w:val="clear" w:color="auto" w:fill="auto"/>
            <w:noWrap/>
            <w:vAlign w:val="center"/>
          </w:tcPr>
          <w:p w14:paraId="6B9A4551"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Herceg Novi</w:t>
            </w:r>
          </w:p>
        </w:tc>
      </w:tr>
      <w:tr w:rsidR="00C232D7" w:rsidRPr="002A6F4E" w14:paraId="6CF992E3" w14:textId="77777777" w:rsidTr="00C232D7">
        <w:trPr>
          <w:trHeight w:val="6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0684C48A"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hAnsi="Arial" w:cs="Arial"/>
                <w:sz w:val="18"/>
                <w:szCs w:val="18"/>
              </w:rPr>
              <w:t>Reciklažni centar Kotor</w:t>
            </w:r>
          </w:p>
        </w:tc>
        <w:tc>
          <w:tcPr>
            <w:tcW w:w="1134" w:type="dxa"/>
            <w:vMerge w:val="restart"/>
            <w:tcBorders>
              <w:top w:val="nil"/>
              <w:left w:val="nil"/>
              <w:right w:val="single" w:sz="4" w:space="0" w:color="auto"/>
            </w:tcBorders>
            <w:shd w:val="clear" w:color="auto" w:fill="auto"/>
            <w:noWrap/>
            <w:vAlign w:val="center"/>
          </w:tcPr>
          <w:p w14:paraId="2E74874C"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Kotor</w:t>
            </w:r>
          </w:p>
        </w:tc>
        <w:tc>
          <w:tcPr>
            <w:tcW w:w="1640" w:type="dxa"/>
            <w:tcBorders>
              <w:top w:val="nil"/>
              <w:left w:val="nil"/>
              <w:bottom w:val="single" w:sz="4" w:space="0" w:color="auto"/>
              <w:right w:val="single" w:sz="4" w:space="0" w:color="auto"/>
            </w:tcBorders>
            <w:shd w:val="clear" w:color="auto" w:fill="auto"/>
            <w:noWrap/>
            <w:vAlign w:val="center"/>
          </w:tcPr>
          <w:p w14:paraId="47774C0B"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hAnsi="Arial" w:cs="Arial"/>
                <w:sz w:val="18"/>
                <w:szCs w:val="18"/>
              </w:rPr>
              <w:t>Postrojenje za reciklažu i transfer stanica</w:t>
            </w:r>
          </w:p>
        </w:tc>
        <w:tc>
          <w:tcPr>
            <w:tcW w:w="1440" w:type="dxa"/>
            <w:tcBorders>
              <w:top w:val="nil"/>
              <w:left w:val="nil"/>
              <w:bottom w:val="single" w:sz="4" w:space="0" w:color="auto"/>
              <w:right w:val="single" w:sz="4" w:space="0" w:color="auto"/>
            </w:tcBorders>
            <w:shd w:val="clear" w:color="auto" w:fill="auto"/>
            <w:noWrap/>
            <w:vAlign w:val="center"/>
          </w:tcPr>
          <w:p w14:paraId="46AD2F3E"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15.000</w:t>
            </w:r>
          </w:p>
        </w:tc>
        <w:tc>
          <w:tcPr>
            <w:tcW w:w="1350" w:type="dxa"/>
            <w:tcBorders>
              <w:top w:val="nil"/>
              <w:left w:val="nil"/>
              <w:bottom w:val="single" w:sz="4" w:space="0" w:color="auto"/>
              <w:right w:val="single" w:sz="4" w:space="0" w:color="auto"/>
            </w:tcBorders>
            <w:shd w:val="clear" w:color="auto" w:fill="auto"/>
            <w:vAlign w:val="center"/>
          </w:tcPr>
          <w:p w14:paraId="7CFA30EA"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hAnsi="Arial" w:cs="Arial"/>
                <w:sz w:val="18"/>
                <w:szCs w:val="18"/>
              </w:rPr>
              <w:t>Operativno</w:t>
            </w:r>
          </w:p>
        </w:tc>
        <w:tc>
          <w:tcPr>
            <w:tcW w:w="990" w:type="dxa"/>
            <w:tcBorders>
              <w:top w:val="nil"/>
              <w:left w:val="nil"/>
              <w:bottom w:val="single" w:sz="4" w:space="0" w:color="auto"/>
              <w:right w:val="single" w:sz="4" w:space="0" w:color="auto"/>
            </w:tcBorders>
            <w:shd w:val="clear" w:color="auto" w:fill="auto"/>
            <w:noWrap/>
            <w:vAlign w:val="center"/>
          </w:tcPr>
          <w:p w14:paraId="25338795"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15.300</w:t>
            </w:r>
          </w:p>
        </w:tc>
        <w:tc>
          <w:tcPr>
            <w:tcW w:w="959" w:type="dxa"/>
            <w:tcBorders>
              <w:top w:val="nil"/>
              <w:left w:val="nil"/>
              <w:bottom w:val="single" w:sz="4" w:space="0" w:color="auto"/>
              <w:right w:val="single" w:sz="4" w:space="0" w:color="auto"/>
            </w:tcBorders>
            <w:shd w:val="clear" w:color="auto" w:fill="auto"/>
            <w:noWrap/>
            <w:vAlign w:val="center"/>
          </w:tcPr>
          <w:p w14:paraId="44E51B4C"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17.245</w:t>
            </w:r>
          </w:p>
        </w:tc>
        <w:tc>
          <w:tcPr>
            <w:tcW w:w="1561" w:type="dxa"/>
            <w:tcBorders>
              <w:top w:val="nil"/>
              <w:left w:val="nil"/>
              <w:bottom w:val="single" w:sz="4" w:space="0" w:color="auto"/>
              <w:right w:val="single" w:sz="4" w:space="0" w:color="auto"/>
            </w:tcBorders>
            <w:shd w:val="clear" w:color="auto" w:fill="auto"/>
            <w:noWrap/>
            <w:vAlign w:val="center"/>
          </w:tcPr>
          <w:p w14:paraId="245506FB"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Budva i</w:t>
            </w:r>
            <w:r w:rsidRPr="00F6198B">
              <w:rPr>
                <w:rFonts w:ascii="Arial" w:eastAsia="Times New Roman" w:hAnsi="Arial" w:cs="Arial"/>
                <w:color w:val="000000"/>
                <w:sz w:val="18"/>
                <w:szCs w:val="18"/>
                <w:lang w:val="sq-AL" w:eastAsia="el-GR"/>
              </w:rPr>
              <w:br/>
              <w:t xml:space="preserve">Tivat </w:t>
            </w:r>
          </w:p>
        </w:tc>
      </w:tr>
      <w:tr w:rsidR="00C232D7" w:rsidRPr="002A6F4E" w14:paraId="69FA2D8E" w14:textId="77777777" w:rsidTr="00C232D7">
        <w:trPr>
          <w:trHeight w:val="300"/>
          <w:jc w:val="center"/>
        </w:trPr>
        <w:tc>
          <w:tcPr>
            <w:tcW w:w="1271" w:type="dxa"/>
            <w:tcBorders>
              <w:top w:val="nil"/>
              <w:left w:val="single" w:sz="4" w:space="0" w:color="auto"/>
              <w:bottom w:val="single" w:sz="4" w:space="0" w:color="auto"/>
              <w:right w:val="single" w:sz="4" w:space="0" w:color="auto"/>
            </w:tcBorders>
            <w:shd w:val="clear" w:color="auto" w:fill="auto"/>
            <w:noWrap/>
            <w:vAlign w:val="center"/>
          </w:tcPr>
          <w:p w14:paraId="3D850826"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 xml:space="preserve">Postrojenje za kompostiranje Kotor </w:t>
            </w:r>
          </w:p>
        </w:tc>
        <w:tc>
          <w:tcPr>
            <w:tcW w:w="1134" w:type="dxa"/>
            <w:vMerge/>
            <w:tcBorders>
              <w:left w:val="nil"/>
              <w:bottom w:val="single" w:sz="4" w:space="0" w:color="auto"/>
              <w:right w:val="single" w:sz="4" w:space="0" w:color="auto"/>
            </w:tcBorders>
            <w:shd w:val="clear" w:color="auto" w:fill="auto"/>
            <w:noWrap/>
            <w:vAlign w:val="center"/>
          </w:tcPr>
          <w:p w14:paraId="3396730C" w14:textId="77777777" w:rsidR="00C232D7" w:rsidRPr="00F6198B" w:rsidRDefault="00C232D7" w:rsidP="00C232D7">
            <w:pPr>
              <w:spacing w:line="360" w:lineRule="auto"/>
              <w:rPr>
                <w:rFonts w:ascii="Arial" w:eastAsia="Times New Roman" w:hAnsi="Arial" w:cs="Arial"/>
                <w:color w:val="000000"/>
                <w:sz w:val="18"/>
                <w:szCs w:val="18"/>
                <w:lang w:val="sq-AL" w:eastAsia="el-GR"/>
              </w:rPr>
            </w:pPr>
          </w:p>
        </w:tc>
        <w:tc>
          <w:tcPr>
            <w:tcW w:w="1640" w:type="dxa"/>
            <w:tcBorders>
              <w:top w:val="nil"/>
              <w:left w:val="nil"/>
              <w:bottom w:val="single" w:sz="4" w:space="0" w:color="auto"/>
              <w:right w:val="single" w:sz="4" w:space="0" w:color="auto"/>
            </w:tcBorders>
            <w:shd w:val="clear" w:color="auto" w:fill="auto"/>
            <w:noWrap/>
            <w:vAlign w:val="center"/>
          </w:tcPr>
          <w:p w14:paraId="2DC853A6"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Postrojenje za kompostiranje</w:t>
            </w:r>
          </w:p>
        </w:tc>
        <w:tc>
          <w:tcPr>
            <w:tcW w:w="1440" w:type="dxa"/>
            <w:tcBorders>
              <w:top w:val="nil"/>
              <w:left w:val="nil"/>
              <w:bottom w:val="single" w:sz="4" w:space="0" w:color="auto"/>
              <w:right w:val="single" w:sz="4" w:space="0" w:color="auto"/>
            </w:tcBorders>
            <w:shd w:val="clear" w:color="auto" w:fill="auto"/>
            <w:noWrap/>
            <w:vAlign w:val="center"/>
          </w:tcPr>
          <w:p w14:paraId="793DDB4C"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700 (izlaz)</w:t>
            </w:r>
          </w:p>
        </w:tc>
        <w:tc>
          <w:tcPr>
            <w:tcW w:w="1350" w:type="dxa"/>
            <w:tcBorders>
              <w:top w:val="nil"/>
              <w:left w:val="nil"/>
              <w:bottom w:val="single" w:sz="4" w:space="0" w:color="auto"/>
              <w:right w:val="single" w:sz="4" w:space="0" w:color="auto"/>
            </w:tcBorders>
            <w:shd w:val="clear" w:color="auto" w:fill="auto"/>
            <w:noWrap/>
            <w:vAlign w:val="center"/>
          </w:tcPr>
          <w:p w14:paraId="5512E433"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hAnsi="Arial" w:cs="Arial"/>
                <w:sz w:val="18"/>
                <w:szCs w:val="18"/>
              </w:rPr>
              <w:t>Operativno</w:t>
            </w:r>
            <w:r w:rsidRPr="00F6198B">
              <w:rPr>
                <w:rFonts w:ascii="Arial" w:eastAsia="Times New Roman" w:hAnsi="Arial" w:cs="Arial"/>
                <w:color w:val="000000"/>
                <w:sz w:val="18"/>
                <w:szCs w:val="18"/>
                <w:lang w:val="sq-AL" w:eastAsia="el-GR"/>
              </w:rPr>
              <w:t xml:space="preserve"> </w:t>
            </w:r>
          </w:p>
        </w:tc>
        <w:tc>
          <w:tcPr>
            <w:tcW w:w="990" w:type="dxa"/>
            <w:tcBorders>
              <w:top w:val="nil"/>
              <w:left w:val="nil"/>
              <w:bottom w:val="single" w:sz="4" w:space="0" w:color="auto"/>
              <w:right w:val="single" w:sz="4" w:space="0" w:color="auto"/>
            </w:tcBorders>
            <w:shd w:val="clear" w:color="auto" w:fill="auto"/>
            <w:noWrap/>
            <w:vAlign w:val="center"/>
          </w:tcPr>
          <w:p w14:paraId="50C96074"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786 (izlaz)</w:t>
            </w:r>
          </w:p>
        </w:tc>
        <w:tc>
          <w:tcPr>
            <w:tcW w:w="959" w:type="dxa"/>
            <w:tcBorders>
              <w:top w:val="nil"/>
              <w:left w:val="nil"/>
              <w:bottom w:val="single" w:sz="4" w:space="0" w:color="auto"/>
              <w:right w:val="single" w:sz="4" w:space="0" w:color="auto"/>
            </w:tcBorders>
            <w:shd w:val="clear" w:color="auto" w:fill="auto"/>
            <w:noWrap/>
            <w:vAlign w:val="center"/>
          </w:tcPr>
          <w:p w14:paraId="58861981"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816 (izlaz)</w:t>
            </w:r>
          </w:p>
        </w:tc>
        <w:tc>
          <w:tcPr>
            <w:tcW w:w="1561" w:type="dxa"/>
            <w:tcBorders>
              <w:top w:val="nil"/>
              <w:left w:val="nil"/>
              <w:bottom w:val="single" w:sz="4" w:space="0" w:color="auto"/>
              <w:right w:val="single" w:sz="4" w:space="0" w:color="auto"/>
            </w:tcBorders>
            <w:shd w:val="clear" w:color="auto" w:fill="auto"/>
            <w:noWrap/>
            <w:vAlign w:val="center"/>
          </w:tcPr>
          <w:p w14:paraId="2B8D6220"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Budva i</w:t>
            </w:r>
            <w:r w:rsidRPr="00F6198B">
              <w:rPr>
                <w:rFonts w:ascii="Arial" w:eastAsia="Times New Roman" w:hAnsi="Arial" w:cs="Arial"/>
                <w:color w:val="000000"/>
                <w:sz w:val="18"/>
                <w:szCs w:val="18"/>
                <w:lang w:val="sq-AL" w:eastAsia="el-GR"/>
              </w:rPr>
              <w:br/>
              <w:t xml:space="preserve">Tivat </w:t>
            </w:r>
          </w:p>
        </w:tc>
      </w:tr>
      <w:tr w:rsidR="00C232D7" w:rsidRPr="002A6F4E" w14:paraId="61E5DCA8" w14:textId="77777777" w:rsidTr="00C232D7">
        <w:trPr>
          <w:trHeight w:val="30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288D0"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Reciklažni centar Žabljak</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5376071"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Žabljak</w:t>
            </w:r>
          </w:p>
        </w:tc>
        <w:tc>
          <w:tcPr>
            <w:tcW w:w="1640" w:type="dxa"/>
            <w:tcBorders>
              <w:top w:val="single" w:sz="4" w:space="0" w:color="auto"/>
              <w:left w:val="nil"/>
              <w:bottom w:val="single" w:sz="4" w:space="0" w:color="auto"/>
              <w:right w:val="single" w:sz="4" w:space="0" w:color="auto"/>
            </w:tcBorders>
            <w:shd w:val="clear" w:color="auto" w:fill="auto"/>
            <w:noWrap/>
            <w:vAlign w:val="center"/>
          </w:tcPr>
          <w:p w14:paraId="387B9077"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Reciklažno postrojenje i transfer stanica Žabljak</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7761EEA8" w14:textId="77777777" w:rsidR="00C232D7" w:rsidRPr="00F6198B" w:rsidRDefault="00C232D7" w:rsidP="00C232D7">
            <w:pPr>
              <w:spacing w:line="360" w:lineRule="auto"/>
              <w:rPr>
                <w:rFonts w:ascii="Arial" w:eastAsia="Times New Roman" w:hAnsi="Arial" w:cs="Arial"/>
                <w:color w:val="000000"/>
                <w:sz w:val="18"/>
                <w:szCs w:val="18"/>
                <w:lang w:val="sq-AL" w:eastAsia="el-GR"/>
              </w:rPr>
            </w:pP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030DA38A"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Neaktivno</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3D478607"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w:t>
            </w:r>
          </w:p>
        </w:tc>
        <w:tc>
          <w:tcPr>
            <w:tcW w:w="959" w:type="dxa"/>
            <w:tcBorders>
              <w:top w:val="single" w:sz="4" w:space="0" w:color="auto"/>
              <w:left w:val="nil"/>
              <w:bottom w:val="single" w:sz="4" w:space="0" w:color="auto"/>
              <w:right w:val="single" w:sz="4" w:space="0" w:color="auto"/>
            </w:tcBorders>
            <w:shd w:val="clear" w:color="auto" w:fill="auto"/>
            <w:noWrap/>
            <w:vAlign w:val="center"/>
          </w:tcPr>
          <w:p w14:paraId="7BED8A6A"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w:t>
            </w:r>
          </w:p>
        </w:tc>
        <w:tc>
          <w:tcPr>
            <w:tcW w:w="1561" w:type="dxa"/>
            <w:tcBorders>
              <w:top w:val="single" w:sz="4" w:space="0" w:color="auto"/>
              <w:left w:val="nil"/>
              <w:bottom w:val="single" w:sz="4" w:space="0" w:color="auto"/>
              <w:right w:val="single" w:sz="4" w:space="0" w:color="auto"/>
            </w:tcBorders>
            <w:shd w:val="clear" w:color="auto" w:fill="auto"/>
            <w:noWrap/>
            <w:vAlign w:val="center"/>
          </w:tcPr>
          <w:p w14:paraId="62E40D7A" w14:textId="77777777" w:rsidR="00C232D7" w:rsidRPr="00F6198B" w:rsidRDefault="00C232D7" w:rsidP="00C232D7">
            <w:pPr>
              <w:spacing w:line="360" w:lineRule="auto"/>
              <w:rPr>
                <w:rFonts w:ascii="Arial" w:eastAsia="Times New Roman" w:hAnsi="Arial" w:cs="Arial"/>
                <w:color w:val="000000"/>
                <w:sz w:val="18"/>
                <w:szCs w:val="18"/>
                <w:lang w:val="sq-AL" w:eastAsia="el-GR"/>
              </w:rPr>
            </w:pPr>
            <w:r w:rsidRPr="00F6198B">
              <w:rPr>
                <w:rFonts w:ascii="Arial" w:eastAsia="Times New Roman" w:hAnsi="Arial" w:cs="Arial"/>
                <w:color w:val="000000"/>
                <w:sz w:val="18"/>
                <w:szCs w:val="18"/>
                <w:lang w:val="sq-AL" w:eastAsia="el-GR"/>
              </w:rPr>
              <w:t>Žabljak</w:t>
            </w:r>
          </w:p>
        </w:tc>
      </w:tr>
    </w:tbl>
    <w:bookmarkEnd w:id="732"/>
    <w:p w14:paraId="4A4F02FB" w14:textId="01545477"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lastRenderedPageBreak/>
        <w:t xml:space="preserve">U Podgorici postoji </w:t>
      </w:r>
      <w:r w:rsidRPr="00EA6522">
        <w:rPr>
          <w:rFonts w:ascii="Arial" w:hAnsi="Arial" w:cs="Arial"/>
          <w:u w:val="single"/>
          <w:lang w:val="sq-AL"/>
        </w:rPr>
        <w:t>6 reciklažnih dvorišta</w:t>
      </w:r>
      <w:r w:rsidRPr="002A6F4E">
        <w:rPr>
          <w:rFonts w:ascii="Arial" w:hAnsi="Arial" w:cs="Arial"/>
          <w:lang w:val="sq-AL"/>
        </w:rPr>
        <w:t xml:space="preserve">, koja </w:t>
      </w:r>
      <w:r w:rsidRPr="00DD20F4">
        <w:rPr>
          <w:rFonts w:ascii="Arial" w:hAnsi="Arial" w:cs="Arial"/>
          <w:lang w:val="sq-AL"/>
        </w:rPr>
        <w:t>rade 7 dana u ned</w:t>
      </w:r>
      <w:r w:rsidR="00B65831">
        <w:rPr>
          <w:rFonts w:ascii="Arial" w:hAnsi="Arial" w:cs="Arial"/>
          <w:lang w:val="sq-AL"/>
        </w:rPr>
        <w:t>j</w:t>
      </w:r>
      <w:r w:rsidRPr="00DD20F4">
        <w:rPr>
          <w:rFonts w:ascii="Arial" w:hAnsi="Arial" w:cs="Arial"/>
          <w:lang w:val="sq-AL"/>
        </w:rPr>
        <w:t>elji od 7:00 do 21:00</w:t>
      </w:r>
      <w:r w:rsidR="00617781">
        <w:rPr>
          <w:rFonts w:ascii="Arial" w:hAnsi="Arial" w:cs="Arial"/>
          <w:lang w:val="sq-AL"/>
        </w:rPr>
        <w:t>h</w:t>
      </w:r>
      <w:r w:rsidRPr="00DD20F4">
        <w:rPr>
          <w:rFonts w:ascii="Arial" w:hAnsi="Arial" w:cs="Arial"/>
          <w:lang w:val="sq-AL"/>
        </w:rPr>
        <w:t>: Zlat</w:t>
      </w:r>
      <w:r w:rsidRPr="002A6F4E">
        <w:rPr>
          <w:rFonts w:ascii="Arial" w:hAnsi="Arial" w:cs="Arial"/>
          <w:lang w:val="sq-AL"/>
        </w:rPr>
        <w:t>ica, Zabjelo, Tološi, Konik, Donja Gorica i Golubovci (nalaze se u novoosnovanoj opštini Zeta).</w:t>
      </w:r>
    </w:p>
    <w:p w14:paraId="54322AE1" w14:textId="77777777"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Pored toga, 4 </w:t>
      </w:r>
      <w:r w:rsidRPr="002A6F4E">
        <w:rPr>
          <w:rFonts w:ascii="Arial" w:hAnsi="Arial" w:cs="Arial"/>
          <w:u w:val="single"/>
          <w:lang w:val="sq-AL"/>
        </w:rPr>
        <w:t>reciklažna dvorišta</w:t>
      </w:r>
      <w:r w:rsidRPr="002A6F4E">
        <w:rPr>
          <w:rFonts w:ascii="Arial" w:hAnsi="Arial" w:cs="Arial"/>
          <w:lang w:val="sq-AL"/>
        </w:rPr>
        <w:t xml:space="preserve"> nalaze se u Herceg Novom, Kotoru, Budvi i Mojkovcu. Sakupljaju se sljedeći materijali koji se mogu reciklirati:</w:t>
      </w:r>
    </w:p>
    <w:p w14:paraId="23A3CF75" w14:textId="096D069E"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papir</w:t>
      </w:r>
      <w:r w:rsidR="001566B5">
        <w:rPr>
          <w:rFonts w:ascii="Arial" w:hAnsi="Arial" w:cs="Arial"/>
          <w:iCs/>
          <w:lang w:val="sq-AL"/>
        </w:rPr>
        <w:t>,</w:t>
      </w:r>
    </w:p>
    <w:p w14:paraId="5E5A8D8D" w14:textId="36A38882"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kartonska ambalaža</w:t>
      </w:r>
      <w:r w:rsidR="001566B5">
        <w:rPr>
          <w:rFonts w:ascii="Arial" w:hAnsi="Arial" w:cs="Arial"/>
          <w:iCs/>
          <w:lang w:val="sq-AL"/>
        </w:rPr>
        <w:t>,</w:t>
      </w:r>
    </w:p>
    <w:p w14:paraId="52F53017" w14:textId="3AB8AF8B"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PET ambalaža</w:t>
      </w:r>
      <w:r w:rsidR="001566B5">
        <w:rPr>
          <w:rFonts w:ascii="Arial" w:hAnsi="Arial" w:cs="Arial"/>
          <w:iCs/>
          <w:lang w:val="sq-AL"/>
        </w:rPr>
        <w:t>,</w:t>
      </w:r>
    </w:p>
    <w:p w14:paraId="2342C257" w14:textId="5A332E3A"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aluminijumske limenke</w:t>
      </w:r>
      <w:r w:rsidR="001566B5">
        <w:rPr>
          <w:rFonts w:ascii="Arial" w:hAnsi="Arial" w:cs="Arial"/>
          <w:iCs/>
          <w:lang w:val="sq-AL"/>
        </w:rPr>
        <w:t>,</w:t>
      </w:r>
    </w:p>
    <w:p w14:paraId="5326513B" w14:textId="788152E4"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polietilenska folija</w:t>
      </w:r>
      <w:r w:rsidR="001566B5">
        <w:rPr>
          <w:rFonts w:ascii="Arial" w:hAnsi="Arial" w:cs="Arial"/>
          <w:iCs/>
          <w:lang w:val="sq-AL"/>
        </w:rPr>
        <w:t>,</w:t>
      </w:r>
    </w:p>
    <w:p w14:paraId="0007252C" w14:textId="1455DD48"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staklena ambalaža</w:t>
      </w:r>
      <w:r w:rsidR="001566B5">
        <w:rPr>
          <w:rFonts w:ascii="Arial" w:hAnsi="Arial" w:cs="Arial"/>
          <w:iCs/>
          <w:lang w:val="sq-AL"/>
        </w:rPr>
        <w:t>,</w:t>
      </w:r>
    </w:p>
    <w:p w14:paraId="2D29A934" w14:textId="3D16CEBA"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ravno staklo (prozori)</w:t>
      </w:r>
      <w:r w:rsidR="001566B5">
        <w:rPr>
          <w:rFonts w:ascii="Arial" w:hAnsi="Arial" w:cs="Arial"/>
          <w:iCs/>
          <w:lang w:val="sq-AL"/>
        </w:rPr>
        <w:t>,</w:t>
      </w:r>
    </w:p>
    <w:p w14:paraId="324D0DC7" w14:textId="4AAA221D"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gume</w:t>
      </w:r>
      <w:r w:rsidR="00617781">
        <w:rPr>
          <w:rFonts w:ascii="Arial" w:hAnsi="Arial" w:cs="Arial"/>
          <w:iCs/>
          <w:lang w:val="sq-AL"/>
        </w:rPr>
        <w:t>,</w:t>
      </w:r>
    </w:p>
    <w:p w14:paraId="51166342" w14:textId="7BEB8002"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drvo</w:t>
      </w:r>
      <w:r w:rsidR="00617781">
        <w:rPr>
          <w:rFonts w:ascii="Arial" w:hAnsi="Arial" w:cs="Arial"/>
          <w:iCs/>
          <w:lang w:val="sq-AL"/>
        </w:rPr>
        <w:t>,</w:t>
      </w:r>
    </w:p>
    <w:p w14:paraId="62EABE41" w14:textId="1B8F1F50"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metal</w:t>
      </w:r>
      <w:r w:rsidR="00617781">
        <w:rPr>
          <w:rFonts w:ascii="Arial" w:hAnsi="Arial" w:cs="Arial"/>
          <w:iCs/>
          <w:lang w:val="sq-AL"/>
        </w:rPr>
        <w:t>,</w:t>
      </w:r>
    </w:p>
    <w:p w14:paraId="6291B74D" w14:textId="5A6527E3"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plastični materijal</w:t>
      </w:r>
      <w:r w:rsidR="00617781">
        <w:rPr>
          <w:rFonts w:ascii="Arial" w:hAnsi="Arial" w:cs="Arial"/>
          <w:iCs/>
          <w:lang w:val="sq-AL"/>
        </w:rPr>
        <w:t>,</w:t>
      </w:r>
    </w:p>
    <w:p w14:paraId="0B31F033" w14:textId="75B82314"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otpad od električne i elektronske opreme</w:t>
      </w:r>
      <w:r w:rsidR="00617781">
        <w:rPr>
          <w:rFonts w:ascii="Arial" w:hAnsi="Arial" w:cs="Arial"/>
          <w:iCs/>
          <w:lang w:val="sq-AL"/>
        </w:rPr>
        <w:t>,</w:t>
      </w:r>
    </w:p>
    <w:p w14:paraId="15D8853C" w14:textId="34269A85"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jestiva ulja</w:t>
      </w:r>
      <w:r w:rsidR="00617781">
        <w:rPr>
          <w:rFonts w:ascii="Arial" w:hAnsi="Arial" w:cs="Arial"/>
          <w:iCs/>
          <w:lang w:val="sq-AL"/>
        </w:rPr>
        <w:t>,</w:t>
      </w:r>
    </w:p>
    <w:p w14:paraId="2E7C04D2" w14:textId="4802BBA7"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motorna ulja</w:t>
      </w:r>
      <w:r w:rsidR="00617781">
        <w:rPr>
          <w:rFonts w:ascii="Arial" w:hAnsi="Arial" w:cs="Arial"/>
          <w:iCs/>
          <w:lang w:val="sq-AL"/>
        </w:rPr>
        <w:t>,</w:t>
      </w:r>
    </w:p>
    <w:p w14:paraId="66D1C4B4" w14:textId="2BE5DF9E"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boje i lakovi</w:t>
      </w:r>
      <w:r w:rsidR="00617781">
        <w:rPr>
          <w:rFonts w:ascii="Arial" w:hAnsi="Arial" w:cs="Arial"/>
          <w:iCs/>
          <w:lang w:val="sq-AL"/>
        </w:rPr>
        <w:t>,</w:t>
      </w:r>
    </w:p>
    <w:p w14:paraId="1874141F" w14:textId="2CC08418"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stare baterije</w:t>
      </w:r>
      <w:r w:rsidR="00617781">
        <w:rPr>
          <w:rFonts w:ascii="Arial" w:hAnsi="Arial" w:cs="Arial"/>
          <w:iCs/>
          <w:lang w:val="sq-AL"/>
        </w:rPr>
        <w:t>,</w:t>
      </w:r>
    </w:p>
    <w:p w14:paraId="38349DDD" w14:textId="7098626F"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filteri za ulje</w:t>
      </w:r>
      <w:r w:rsidR="00617781">
        <w:rPr>
          <w:rFonts w:ascii="Arial" w:hAnsi="Arial" w:cs="Arial"/>
          <w:iCs/>
          <w:lang w:val="sq-AL"/>
        </w:rPr>
        <w:t>,</w:t>
      </w:r>
    </w:p>
    <w:p w14:paraId="5598EE64" w14:textId="210534BC"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fluorescentne cijevi</w:t>
      </w:r>
      <w:r w:rsidR="00617781">
        <w:rPr>
          <w:rFonts w:ascii="Arial" w:hAnsi="Arial" w:cs="Arial"/>
          <w:iCs/>
          <w:lang w:val="sq-AL"/>
        </w:rPr>
        <w:t>,</w:t>
      </w:r>
    </w:p>
    <w:p w14:paraId="66FE5AA0" w14:textId="5FC4E63D"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e-otpad</w:t>
      </w:r>
      <w:r w:rsidR="00617781">
        <w:rPr>
          <w:rFonts w:ascii="Arial" w:hAnsi="Arial" w:cs="Arial"/>
          <w:iCs/>
          <w:lang w:val="sq-AL"/>
        </w:rPr>
        <w:t>,</w:t>
      </w:r>
    </w:p>
    <w:p w14:paraId="46E7A655" w14:textId="1FC1991D" w:rsidR="00C232D7" w:rsidRPr="002A6F4E" w:rsidRDefault="00C232D7" w:rsidP="00A23ED0">
      <w:pPr>
        <w:pStyle w:val="ListParagraph"/>
        <w:numPr>
          <w:ilvl w:val="0"/>
          <w:numId w:val="14"/>
        </w:numPr>
        <w:spacing w:before="120" w:after="120" w:line="360" w:lineRule="auto"/>
        <w:ind w:left="2340"/>
        <w:rPr>
          <w:rFonts w:ascii="Arial" w:hAnsi="Arial" w:cs="Arial"/>
          <w:iCs/>
          <w:lang w:val="sq-AL"/>
        </w:rPr>
      </w:pPr>
      <w:r w:rsidRPr="002A6F4E">
        <w:rPr>
          <w:rFonts w:ascii="Arial" w:hAnsi="Arial" w:cs="Arial"/>
          <w:iCs/>
          <w:lang w:val="sq-AL"/>
        </w:rPr>
        <w:t>stiropor</w:t>
      </w:r>
      <w:r w:rsidR="00617781">
        <w:rPr>
          <w:rFonts w:ascii="Arial" w:hAnsi="Arial" w:cs="Arial"/>
          <w:iCs/>
          <w:lang w:val="sq-AL"/>
        </w:rPr>
        <w:t>,</w:t>
      </w:r>
    </w:p>
    <w:p w14:paraId="3FE4EE89" w14:textId="7F49DBBD" w:rsidR="00C232D7" w:rsidRPr="002A6F4E" w:rsidRDefault="00C232D7" w:rsidP="00A23ED0">
      <w:pPr>
        <w:pStyle w:val="ListParagraph"/>
        <w:numPr>
          <w:ilvl w:val="0"/>
          <w:numId w:val="14"/>
        </w:numPr>
        <w:spacing w:before="120" w:after="120" w:line="360" w:lineRule="auto"/>
        <w:ind w:left="2340"/>
        <w:contextualSpacing w:val="0"/>
        <w:rPr>
          <w:rFonts w:ascii="Arial" w:hAnsi="Arial" w:cs="Arial"/>
          <w:iCs/>
          <w:lang w:val="sq-AL"/>
        </w:rPr>
      </w:pPr>
      <w:r w:rsidRPr="002A6F4E">
        <w:rPr>
          <w:rFonts w:ascii="Arial" w:hAnsi="Arial" w:cs="Arial"/>
          <w:iCs/>
          <w:lang w:val="sq-AL"/>
        </w:rPr>
        <w:t>ljekovi i farmaceutski proizvodi sa isteklim rokom trajanja</w:t>
      </w:r>
      <w:r w:rsidR="00617781">
        <w:rPr>
          <w:rFonts w:ascii="Arial" w:hAnsi="Arial" w:cs="Arial"/>
          <w:iCs/>
          <w:lang w:val="sq-AL"/>
        </w:rPr>
        <w:t>.</w:t>
      </w:r>
    </w:p>
    <w:p w14:paraId="4C9FC793" w14:textId="3E893EBC" w:rsidR="00C232D7" w:rsidRPr="002A6F4E" w:rsidRDefault="00181ED4" w:rsidP="00C232D7">
      <w:pPr>
        <w:widowControl w:val="0"/>
        <w:spacing w:before="120" w:after="120" w:line="360" w:lineRule="auto"/>
        <w:rPr>
          <w:rFonts w:ascii="Arial" w:hAnsi="Arial" w:cs="Arial"/>
          <w:lang w:val="sq-AL"/>
        </w:rPr>
      </w:pPr>
      <w:r>
        <w:rPr>
          <w:rFonts w:ascii="Arial" w:hAnsi="Arial" w:cs="Arial"/>
          <w:lang w:val="sq-AL"/>
        </w:rPr>
        <w:t xml:space="preserve">U Podgorici postoji postrojenje za preradu otpadnih vozila. </w:t>
      </w:r>
    </w:p>
    <w:p w14:paraId="28B82905" w14:textId="4B0516A7"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U Baru postoji </w:t>
      </w:r>
      <w:r w:rsidRPr="002A6F4E">
        <w:rPr>
          <w:rFonts w:ascii="Arial" w:hAnsi="Arial" w:cs="Arial"/>
          <w:u w:val="single"/>
          <w:lang w:val="sq-AL"/>
        </w:rPr>
        <w:t>postrojenje za obradu električnog i elektronskog otpada</w:t>
      </w:r>
      <w:r w:rsidRPr="002A6F4E">
        <w:rPr>
          <w:rFonts w:ascii="Arial" w:hAnsi="Arial" w:cs="Arial"/>
          <w:lang w:val="sq-AL"/>
        </w:rPr>
        <w:t xml:space="preserve">, a u Podgorici i Beranama postoje postrojenja za </w:t>
      </w:r>
      <w:r w:rsidRPr="002A6F4E">
        <w:rPr>
          <w:rFonts w:ascii="Arial" w:hAnsi="Arial" w:cs="Arial"/>
          <w:u w:val="single"/>
          <w:lang w:val="sq-AL"/>
        </w:rPr>
        <w:t>obradu medicinskog otpada</w:t>
      </w:r>
      <w:r w:rsidRPr="002A6F4E">
        <w:rPr>
          <w:rFonts w:ascii="Arial" w:hAnsi="Arial" w:cs="Arial"/>
          <w:lang w:val="sq-AL"/>
        </w:rPr>
        <w:t>.</w:t>
      </w:r>
      <w:r w:rsidR="00181ED4">
        <w:rPr>
          <w:rStyle w:val="FootnoteReference"/>
          <w:rFonts w:cs="Arial"/>
        </w:rPr>
        <w:footnoteReference w:id="14"/>
      </w:r>
    </w:p>
    <w:p w14:paraId="3C0A7DC2" w14:textId="77777777"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Uprava javnih radova od 23.12.2021. godine realizuje sljedeće projekte upravljanja reciklažnim otpadom:</w:t>
      </w:r>
    </w:p>
    <w:p w14:paraId="79874640" w14:textId="1D42F4B0" w:rsidR="00C232D7" w:rsidRPr="002A6F4E" w:rsidRDefault="00C232D7" w:rsidP="00A23ED0">
      <w:pPr>
        <w:pStyle w:val="ListParagraph"/>
        <w:widowControl w:val="0"/>
        <w:numPr>
          <w:ilvl w:val="0"/>
          <w:numId w:val="24"/>
        </w:numPr>
        <w:spacing w:before="120" w:after="120" w:line="360" w:lineRule="auto"/>
        <w:contextualSpacing w:val="0"/>
        <w:rPr>
          <w:rFonts w:ascii="Arial" w:hAnsi="Arial" w:cs="Arial"/>
          <w:lang w:val="sq-AL"/>
        </w:rPr>
      </w:pPr>
      <w:r w:rsidRPr="002A6F4E">
        <w:rPr>
          <w:rFonts w:ascii="Arial" w:hAnsi="Arial" w:cs="Arial"/>
          <w:lang w:val="sq-AL"/>
        </w:rPr>
        <w:t>Izgradnja reciklažnog centra sa linijom za sortiranje u opštini Berane</w:t>
      </w:r>
      <w:r w:rsidR="00970569">
        <w:rPr>
          <w:rFonts w:ascii="Arial" w:hAnsi="Arial" w:cs="Arial"/>
          <w:lang w:val="sq-AL"/>
        </w:rPr>
        <w:t>,</w:t>
      </w:r>
    </w:p>
    <w:p w14:paraId="559F1017" w14:textId="2E7CE733" w:rsidR="00C232D7" w:rsidRPr="002A6F4E" w:rsidRDefault="00C232D7" w:rsidP="00A23ED0">
      <w:pPr>
        <w:pStyle w:val="ListParagraph"/>
        <w:widowControl w:val="0"/>
        <w:numPr>
          <w:ilvl w:val="0"/>
          <w:numId w:val="24"/>
        </w:numPr>
        <w:spacing w:before="120" w:after="120" w:line="360" w:lineRule="auto"/>
        <w:contextualSpacing w:val="0"/>
        <w:rPr>
          <w:rFonts w:ascii="Arial" w:hAnsi="Arial" w:cs="Arial"/>
          <w:lang w:val="sq-AL"/>
        </w:rPr>
      </w:pPr>
      <w:r w:rsidRPr="002A6F4E">
        <w:rPr>
          <w:rFonts w:ascii="Arial" w:hAnsi="Arial" w:cs="Arial"/>
          <w:lang w:val="sq-AL"/>
        </w:rPr>
        <w:t xml:space="preserve">Izgradnja reciklažnog </w:t>
      </w:r>
      <w:r w:rsidR="007556A5">
        <w:rPr>
          <w:rFonts w:ascii="Arial" w:hAnsi="Arial" w:cs="Arial"/>
          <w:lang w:val="sq-AL"/>
        </w:rPr>
        <w:t>dvorišta</w:t>
      </w:r>
      <w:r w:rsidR="00EA6522">
        <w:rPr>
          <w:rFonts w:ascii="Arial" w:hAnsi="Arial" w:cs="Arial"/>
          <w:lang w:val="sq-AL"/>
        </w:rPr>
        <w:t xml:space="preserve"> u</w:t>
      </w:r>
      <w:r w:rsidR="007556A5">
        <w:rPr>
          <w:rFonts w:ascii="Arial" w:hAnsi="Arial" w:cs="Arial"/>
          <w:lang w:val="sq-AL"/>
        </w:rPr>
        <w:t xml:space="preserve"> </w:t>
      </w:r>
      <w:r w:rsidRPr="002A6F4E">
        <w:rPr>
          <w:rFonts w:ascii="Arial" w:hAnsi="Arial" w:cs="Arial"/>
          <w:lang w:val="sq-AL"/>
        </w:rPr>
        <w:t>opštini Kolašin</w:t>
      </w:r>
      <w:r w:rsidR="00970569">
        <w:rPr>
          <w:rFonts w:ascii="Arial" w:hAnsi="Arial" w:cs="Arial"/>
          <w:lang w:val="sq-AL"/>
        </w:rPr>
        <w:t>,</w:t>
      </w:r>
    </w:p>
    <w:p w14:paraId="52393286" w14:textId="32F5E9D5" w:rsidR="00C232D7" w:rsidRPr="002A6F4E" w:rsidRDefault="00C232D7" w:rsidP="00A23ED0">
      <w:pPr>
        <w:pStyle w:val="ListParagraph"/>
        <w:widowControl w:val="0"/>
        <w:numPr>
          <w:ilvl w:val="0"/>
          <w:numId w:val="24"/>
        </w:numPr>
        <w:spacing w:before="120" w:after="120" w:line="360" w:lineRule="auto"/>
        <w:contextualSpacing w:val="0"/>
        <w:rPr>
          <w:rFonts w:ascii="Arial" w:hAnsi="Arial" w:cs="Arial"/>
          <w:lang w:val="sq-AL"/>
        </w:rPr>
      </w:pPr>
      <w:r w:rsidRPr="002A6F4E">
        <w:rPr>
          <w:rFonts w:ascii="Arial" w:hAnsi="Arial" w:cs="Arial"/>
          <w:lang w:val="sq-AL"/>
        </w:rPr>
        <w:t>Izgradnja reciklažnog centra sa linijom za sortiranje i transfer stanicom u opštini Pljevlja</w:t>
      </w:r>
      <w:r w:rsidR="00970569">
        <w:rPr>
          <w:rFonts w:ascii="Arial" w:hAnsi="Arial" w:cs="Arial"/>
          <w:lang w:val="sq-AL"/>
        </w:rPr>
        <w:t>,</w:t>
      </w:r>
    </w:p>
    <w:p w14:paraId="7754154B" w14:textId="7F0A5B2D" w:rsidR="00C232D7" w:rsidRPr="002A6F4E" w:rsidRDefault="00C232D7" w:rsidP="00A23ED0">
      <w:pPr>
        <w:pStyle w:val="ListParagraph"/>
        <w:widowControl w:val="0"/>
        <w:numPr>
          <w:ilvl w:val="0"/>
          <w:numId w:val="24"/>
        </w:numPr>
        <w:spacing w:before="120" w:after="120" w:line="360" w:lineRule="auto"/>
        <w:contextualSpacing w:val="0"/>
        <w:rPr>
          <w:rFonts w:ascii="Arial" w:hAnsi="Arial" w:cs="Arial"/>
          <w:lang w:val="sq-AL"/>
        </w:rPr>
      </w:pPr>
      <w:r w:rsidRPr="002A6F4E">
        <w:rPr>
          <w:rFonts w:ascii="Arial" w:hAnsi="Arial" w:cs="Arial"/>
          <w:lang w:val="sq-AL"/>
        </w:rPr>
        <w:t>Izgradnja transfer stanice u Andrijevici</w:t>
      </w:r>
      <w:r w:rsidR="00970569">
        <w:rPr>
          <w:rFonts w:ascii="Arial" w:hAnsi="Arial" w:cs="Arial"/>
          <w:lang w:val="sq-AL"/>
        </w:rPr>
        <w:t>.</w:t>
      </w:r>
    </w:p>
    <w:p w14:paraId="6FC1DD8C" w14:textId="6953B636" w:rsidR="00C232D7" w:rsidRPr="00EA6522" w:rsidRDefault="003D1C94" w:rsidP="00F57909">
      <w:pPr>
        <w:pStyle w:val="Heading2"/>
      </w:pPr>
      <w:bookmarkStart w:id="733" w:name="_Toc121759018"/>
      <w:bookmarkStart w:id="734" w:name="_Toc193353980"/>
      <w:r w:rsidRPr="002A1003">
        <w:t>4.</w:t>
      </w:r>
      <w:r w:rsidR="00181ED4" w:rsidRPr="002A1003">
        <w:t>7</w:t>
      </w:r>
      <w:r w:rsidR="00C232D7" w:rsidRPr="002A1003">
        <w:t xml:space="preserve">. </w:t>
      </w:r>
      <w:r w:rsidR="00C232D7" w:rsidRPr="00EA6522">
        <w:t>Odlaganje otpada</w:t>
      </w:r>
      <w:bookmarkEnd w:id="733"/>
      <w:bookmarkEnd w:id="734"/>
    </w:p>
    <w:p w14:paraId="7B5D3513" w14:textId="1767CA29" w:rsidR="00C232D7" w:rsidRPr="002A6F4E" w:rsidRDefault="00C232D7" w:rsidP="00C232D7">
      <w:pPr>
        <w:widowControl w:val="0"/>
        <w:spacing w:before="120" w:after="120" w:line="360" w:lineRule="auto"/>
        <w:rPr>
          <w:rFonts w:ascii="Arial" w:hAnsi="Arial" w:cs="Arial"/>
          <w:lang w:val="sq-AL"/>
        </w:rPr>
      </w:pPr>
      <w:r w:rsidRPr="00EA6522">
        <w:rPr>
          <w:rFonts w:ascii="Arial" w:hAnsi="Arial" w:cs="Arial"/>
          <w:lang w:val="sq-AL"/>
        </w:rPr>
        <w:t xml:space="preserve">U Crnoj Gori postoje </w:t>
      </w:r>
      <w:r w:rsidR="00557D02" w:rsidRPr="00EA6522">
        <w:rPr>
          <w:rFonts w:ascii="Arial" w:hAnsi="Arial" w:cs="Arial"/>
          <w:lang w:val="sq-AL"/>
        </w:rPr>
        <w:t xml:space="preserve">dvije </w:t>
      </w:r>
      <w:r w:rsidR="0093442F" w:rsidRPr="00EA6522">
        <w:rPr>
          <w:rFonts w:ascii="Arial" w:hAnsi="Arial" w:cs="Arial"/>
          <w:lang w:val="sq-AL"/>
        </w:rPr>
        <w:t>(</w:t>
      </w:r>
      <w:r w:rsidRPr="00EA6522">
        <w:rPr>
          <w:rFonts w:ascii="Arial" w:hAnsi="Arial" w:cs="Arial"/>
          <w:lang w:val="sq-AL"/>
        </w:rPr>
        <w:t>2</w:t>
      </w:r>
      <w:r w:rsidR="0093442F" w:rsidRPr="00EA6522">
        <w:rPr>
          <w:rFonts w:ascii="Arial" w:hAnsi="Arial" w:cs="Arial"/>
          <w:lang w:val="sq-AL"/>
        </w:rPr>
        <w:t>)</w:t>
      </w:r>
      <w:r w:rsidRPr="00EA6522">
        <w:rPr>
          <w:rFonts w:ascii="Arial" w:hAnsi="Arial" w:cs="Arial"/>
          <w:lang w:val="sq-AL"/>
        </w:rPr>
        <w:t xml:space="preserve"> deponije za neopasan otpad, koje se nalaze u Podgorici (Livade) i u Baru </w:t>
      </w:r>
      <w:r w:rsidRPr="00EA6522">
        <w:rPr>
          <w:rFonts w:ascii="Arial" w:hAnsi="Arial" w:cs="Arial"/>
          <w:lang w:val="sq-AL"/>
        </w:rPr>
        <w:lastRenderedPageBreak/>
        <w:t>(Možura).</w:t>
      </w:r>
    </w:p>
    <w:p w14:paraId="41CA056D" w14:textId="57FC68A6" w:rsidR="00C232D7" w:rsidRPr="002A6F4E" w:rsidRDefault="003D1C94" w:rsidP="00F57909">
      <w:pPr>
        <w:pStyle w:val="Heading2"/>
      </w:pPr>
      <w:bookmarkStart w:id="735" w:name="_Toc193353981"/>
      <w:r w:rsidRPr="002A6F4E">
        <w:t>4.</w:t>
      </w:r>
      <w:r w:rsidR="00181ED4">
        <w:t>8</w:t>
      </w:r>
      <w:r w:rsidR="00C232D7" w:rsidRPr="002A6F4E">
        <w:t>. Privremeno skladištenje komunalnog otpada</w:t>
      </w:r>
      <w:bookmarkEnd w:id="735"/>
    </w:p>
    <w:p w14:paraId="7E3EF33F" w14:textId="1B38FA81"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Prema članu 92 </w:t>
      </w:r>
      <w:r w:rsidRPr="002A6F4E">
        <w:rPr>
          <w:rFonts w:ascii="Arial" w:hAnsi="Arial" w:cs="Arial"/>
          <w:iCs/>
          <w:lang w:val="sq-AL"/>
        </w:rPr>
        <w:t>Zakona o upravljanju otpadom,</w:t>
      </w:r>
      <w:r w:rsidRPr="002A6F4E">
        <w:rPr>
          <w:rFonts w:ascii="Arial" w:hAnsi="Arial" w:cs="Arial"/>
          <w:lang w:val="sq-AL"/>
        </w:rPr>
        <w:t xml:space="preserve"> jedinice lokalne samouprave koje nemaju izgrađenu deponiju mogu privremeno skladištiti  komunalni otpad, na period od godinu dana od dana prijema otpada, na posebno određenim lokacijama.</w:t>
      </w:r>
    </w:p>
    <w:p w14:paraId="5006B11F" w14:textId="6465C82D"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Odabrana lokacija mora  da bude ograđena, kako bi se spriječilo prisustvo neovlašćenih lica, domaćih i divljih životinja i nelegalno odlaganje otpada. Mora da bude opremljena vagom za mjerenje količine otpada koji se privremeno skladišti i mora da ima organizovanu čuvarsku službu i službu za prijem otpada i održavanje privremenog skladišta. Pored toga odabrana lokacija mora da ispunjava i druge uslove radi obezbjedjivanja da privremeno skladištenje ne doprinosi dodatnom ugrožavanju životne sredine i zdravlja ljudi.</w:t>
      </w:r>
    </w:p>
    <w:p w14:paraId="2BC5C835" w14:textId="22D87222" w:rsidR="00C232D7" w:rsidRPr="002A6F4E" w:rsidRDefault="003D1C94" w:rsidP="00F57909">
      <w:pPr>
        <w:pStyle w:val="Heading2"/>
      </w:pPr>
      <w:bookmarkStart w:id="736" w:name="_Toc193353982"/>
      <w:r w:rsidRPr="002A6F4E">
        <w:t>4.</w:t>
      </w:r>
      <w:r w:rsidR="00181ED4">
        <w:t>9</w:t>
      </w:r>
      <w:r w:rsidR="00C232D7" w:rsidRPr="002A6F4E">
        <w:t>. Odlagališta otpada</w:t>
      </w:r>
      <w:bookmarkEnd w:id="736"/>
    </w:p>
    <w:p w14:paraId="5D9E59D7" w14:textId="00DEE069"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Pored dvije deponije za odlaganje komunalnog otpada u Podgorici (Livade) i Baru (Možura),  skoro svaki grad u Crnoj Gori ima </w:t>
      </w:r>
      <w:r w:rsidR="000D27E1">
        <w:rPr>
          <w:rFonts w:ascii="Arial" w:hAnsi="Arial" w:cs="Arial"/>
          <w:lang w:val="sq-AL"/>
        </w:rPr>
        <w:t>neuređeno</w:t>
      </w:r>
      <w:r w:rsidR="000D27E1" w:rsidRPr="002A6F4E">
        <w:rPr>
          <w:rFonts w:ascii="Arial" w:hAnsi="Arial" w:cs="Arial"/>
          <w:lang w:val="sq-AL"/>
        </w:rPr>
        <w:t xml:space="preserve">  </w:t>
      </w:r>
      <w:r w:rsidRPr="002A6F4E">
        <w:rPr>
          <w:rFonts w:ascii="Arial" w:hAnsi="Arial" w:cs="Arial"/>
          <w:lang w:val="sq-AL"/>
        </w:rPr>
        <w:t>odlagalište  otpada i ova  odlagališta predstavljaju veliki pritisak na životnu sredinu.</w:t>
      </w:r>
    </w:p>
    <w:p w14:paraId="1EE97CFA" w14:textId="77777777" w:rsidR="00C232D7" w:rsidRPr="002A6F4E" w:rsidRDefault="00C232D7" w:rsidP="00C232D7">
      <w:pPr>
        <w:widowControl w:val="0"/>
        <w:spacing w:before="120" w:after="120" w:line="360" w:lineRule="auto"/>
        <w:rPr>
          <w:rFonts w:ascii="Arial" w:hAnsi="Arial" w:cs="Arial"/>
          <w:lang w:val="sq-AL"/>
        </w:rPr>
      </w:pPr>
      <w:r w:rsidRPr="00EA6522">
        <w:rPr>
          <w:rFonts w:ascii="Arial" w:hAnsi="Arial" w:cs="Arial"/>
          <w:lang w:val="sq-AL"/>
        </w:rPr>
        <w:t>U Crnoj Gori postoji 18 kontrolisanih odlagališta, od kojih su 2 namijenjene samo za odlaganje građevinskog otpada (lokacija Dragalj u Kotoru i lokacija Brajići u Budvi).</w:t>
      </w:r>
      <w:r w:rsidRPr="002A6F4E">
        <w:rPr>
          <w:rFonts w:ascii="Arial" w:hAnsi="Arial" w:cs="Arial"/>
          <w:lang w:val="sq-AL"/>
        </w:rPr>
        <w:t xml:space="preserve"> </w:t>
      </w:r>
    </w:p>
    <w:p w14:paraId="7E6C3D90" w14:textId="0153D70B"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Prema </w:t>
      </w:r>
      <w:bookmarkStart w:id="737" w:name="_Hlk185571837"/>
      <w:r w:rsidRPr="002A6F4E">
        <w:rPr>
          <w:rFonts w:ascii="Arial" w:hAnsi="Arial" w:cs="Arial"/>
          <w:lang w:val="sq-AL"/>
        </w:rPr>
        <w:t>MERS-</w:t>
      </w:r>
      <w:bookmarkEnd w:id="737"/>
      <w:r w:rsidRPr="002A6F4E">
        <w:rPr>
          <w:rFonts w:ascii="Arial" w:hAnsi="Arial" w:cs="Arial"/>
          <w:lang w:val="sq-AL"/>
        </w:rPr>
        <w:t>u, u Crnoj Gori postoje 33</w:t>
      </w:r>
      <w:r w:rsidR="000E3B08">
        <w:rPr>
          <w:rFonts w:ascii="Arial" w:hAnsi="Arial" w:cs="Arial"/>
          <w:lang w:val="sq-AL"/>
        </w:rPr>
        <w:t>4</w:t>
      </w:r>
      <w:r w:rsidRPr="002A6F4E">
        <w:rPr>
          <w:rFonts w:ascii="Arial" w:hAnsi="Arial" w:cs="Arial"/>
          <w:lang w:val="sq-AL"/>
        </w:rPr>
        <w:t xml:space="preserve"> nezakonita odlagališta otpada</w:t>
      </w:r>
      <w:r w:rsidRPr="002A6F4E">
        <w:rPr>
          <w:rFonts w:ascii="Arial" w:eastAsia="Times New Roman" w:hAnsi="Arial" w:cs="Arial"/>
          <w:vertAlign w:val="superscript"/>
          <w:lang w:val="sq-AL" w:eastAsia="el-GR"/>
        </w:rPr>
        <w:footnoteReference w:id="15"/>
      </w:r>
      <w:r w:rsidRPr="002A6F4E">
        <w:rPr>
          <w:rFonts w:ascii="Arial" w:hAnsi="Arial" w:cs="Arial"/>
          <w:lang w:val="sq-AL"/>
        </w:rPr>
        <w:t>. Tabela ispod prikazuje broj ne</w:t>
      </w:r>
      <w:r w:rsidR="000D27E1">
        <w:rPr>
          <w:rFonts w:ascii="Arial" w:hAnsi="Arial" w:cs="Arial"/>
          <w:lang w:val="sq-AL"/>
        </w:rPr>
        <w:t>uređenih</w:t>
      </w:r>
      <w:r w:rsidRPr="002A6F4E">
        <w:rPr>
          <w:rFonts w:ascii="Arial" w:hAnsi="Arial" w:cs="Arial"/>
          <w:lang w:val="sq-AL"/>
        </w:rPr>
        <w:t xml:space="preserve"> odlagališta po opštini.</w:t>
      </w:r>
    </w:p>
    <w:p w14:paraId="44436A04" w14:textId="57D463EE" w:rsidR="00C232D7" w:rsidRPr="00F6198B" w:rsidRDefault="005335B5" w:rsidP="00902526">
      <w:pPr>
        <w:pStyle w:val="Caption"/>
        <w:rPr>
          <w:rFonts w:ascii="Arial" w:hAnsi="Arial" w:cs="Arial"/>
          <w:b w:val="0"/>
          <w:sz w:val="20"/>
          <w:szCs w:val="20"/>
          <w:lang w:val="sq-AL"/>
        </w:rPr>
      </w:pPr>
      <w:bookmarkStart w:id="738" w:name="_Toc189515601"/>
      <w:bookmarkStart w:id="739" w:name="_Toc190160704"/>
      <w:r w:rsidRPr="00F6198B">
        <w:rPr>
          <w:rFonts w:ascii="Arial" w:hAnsi="Arial" w:cs="Arial"/>
          <w:b w:val="0"/>
          <w:lang w:val="sq-AL"/>
        </w:rPr>
        <w:t xml:space="preserve">Tabela </w:t>
      </w:r>
      <w:r w:rsidRPr="00F6198B">
        <w:rPr>
          <w:rFonts w:ascii="Arial" w:hAnsi="Arial" w:cs="Arial"/>
          <w:b w:val="0"/>
        </w:rPr>
        <w:fldChar w:fldCharType="begin"/>
      </w:r>
      <w:r w:rsidRPr="00F6198B">
        <w:rPr>
          <w:rFonts w:ascii="Arial" w:hAnsi="Arial" w:cs="Arial"/>
          <w:b w:val="0"/>
          <w:lang w:val="sq-AL"/>
        </w:rPr>
        <w:instrText xml:space="preserve"> SEQ Tabela \* ARABIC </w:instrText>
      </w:r>
      <w:r w:rsidRPr="00F6198B">
        <w:rPr>
          <w:rFonts w:ascii="Arial" w:hAnsi="Arial" w:cs="Arial"/>
          <w:b w:val="0"/>
        </w:rPr>
        <w:fldChar w:fldCharType="separate"/>
      </w:r>
      <w:r w:rsidR="007274DA">
        <w:rPr>
          <w:rFonts w:ascii="Arial" w:hAnsi="Arial" w:cs="Arial"/>
          <w:b w:val="0"/>
          <w:noProof/>
          <w:lang w:val="sq-AL"/>
        </w:rPr>
        <w:t>14</w:t>
      </w:r>
      <w:r w:rsidRPr="00F6198B">
        <w:rPr>
          <w:rFonts w:ascii="Arial" w:hAnsi="Arial" w:cs="Arial"/>
          <w:b w:val="0"/>
        </w:rPr>
        <w:fldChar w:fldCharType="end"/>
      </w:r>
      <w:r w:rsidRPr="00F6198B">
        <w:rPr>
          <w:rFonts w:ascii="Arial" w:hAnsi="Arial" w:cs="Arial"/>
          <w:b w:val="0"/>
          <w:lang w:val="sq-AL"/>
        </w:rPr>
        <w:t xml:space="preserve"> Ne</w:t>
      </w:r>
      <w:r w:rsidR="000D27E1" w:rsidRPr="00F6198B">
        <w:rPr>
          <w:rFonts w:ascii="Arial" w:hAnsi="Arial" w:cs="Arial"/>
          <w:b w:val="0"/>
          <w:lang w:val="sq-AL"/>
        </w:rPr>
        <w:t>uređena</w:t>
      </w:r>
      <w:r w:rsidR="00F6198B" w:rsidRPr="00F6198B">
        <w:rPr>
          <w:rFonts w:ascii="Arial" w:hAnsi="Arial" w:cs="Arial"/>
          <w:b w:val="0"/>
          <w:lang w:val="sq-AL"/>
        </w:rPr>
        <w:t xml:space="preserve"> </w:t>
      </w:r>
      <w:r w:rsidRPr="00F6198B">
        <w:rPr>
          <w:rFonts w:ascii="Arial" w:hAnsi="Arial" w:cs="Arial"/>
          <w:b w:val="0"/>
          <w:lang w:val="sq-AL"/>
        </w:rPr>
        <w:t>odlagališta u opštinama 2023</w:t>
      </w:r>
      <w:bookmarkEnd w:id="738"/>
      <w:bookmarkEnd w:id="739"/>
      <w:r w:rsidR="00902526" w:rsidRPr="00F6198B">
        <w:rPr>
          <w:rStyle w:val="FootnoteReference"/>
          <w:rFonts w:cs="Arial"/>
          <w:b w:val="0"/>
          <w:sz w:val="14"/>
        </w:rPr>
        <w:footnoteReference w:id="16"/>
      </w:r>
    </w:p>
    <w:tbl>
      <w:tblPr>
        <w:tblStyle w:val="TableGrid20"/>
        <w:tblW w:w="9371" w:type="dxa"/>
        <w:tblInd w:w="-147" w:type="dxa"/>
        <w:tblLayout w:type="fixed"/>
        <w:tblCellMar>
          <w:top w:w="41" w:type="dxa"/>
          <w:left w:w="65" w:type="dxa"/>
        </w:tblCellMar>
        <w:tblLook w:val="04A0" w:firstRow="1" w:lastRow="0" w:firstColumn="1" w:lastColumn="0" w:noHBand="0" w:noVBand="1"/>
      </w:tblPr>
      <w:tblGrid>
        <w:gridCol w:w="266"/>
        <w:gridCol w:w="15"/>
        <w:gridCol w:w="16"/>
        <w:gridCol w:w="554"/>
        <w:gridCol w:w="284"/>
        <w:gridCol w:w="141"/>
        <w:gridCol w:w="142"/>
        <w:gridCol w:w="22"/>
        <w:gridCol w:w="252"/>
        <w:gridCol w:w="10"/>
        <w:gridCol w:w="2866"/>
        <w:gridCol w:w="252"/>
        <w:gridCol w:w="2677"/>
        <w:gridCol w:w="31"/>
        <w:gridCol w:w="902"/>
        <w:gridCol w:w="941"/>
      </w:tblGrid>
      <w:tr w:rsidR="00C232D7" w:rsidRPr="00F6198B" w14:paraId="089CDCC5" w14:textId="77777777" w:rsidTr="00C232D7">
        <w:trPr>
          <w:trHeight w:val="595"/>
        </w:trPr>
        <w:tc>
          <w:tcPr>
            <w:tcW w:w="851" w:type="dxa"/>
            <w:gridSpan w:val="4"/>
            <w:tcBorders>
              <w:top w:val="single" w:sz="4" w:space="0" w:color="000000"/>
              <w:left w:val="single" w:sz="4" w:space="0" w:color="000000"/>
              <w:bottom w:val="single" w:sz="2" w:space="0" w:color="000000"/>
              <w:right w:val="single" w:sz="4" w:space="0" w:color="000000"/>
            </w:tcBorders>
            <w:vAlign w:val="center"/>
          </w:tcPr>
          <w:p w14:paraId="6946EE9F"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JLS </w:t>
            </w:r>
          </w:p>
        </w:tc>
        <w:tc>
          <w:tcPr>
            <w:tcW w:w="3969" w:type="dxa"/>
            <w:gridSpan w:val="8"/>
            <w:tcBorders>
              <w:top w:val="single" w:sz="4" w:space="0" w:color="000000"/>
              <w:left w:val="single" w:sz="4" w:space="0" w:color="000000"/>
              <w:bottom w:val="single" w:sz="2" w:space="0" w:color="000000"/>
              <w:right w:val="single" w:sz="4" w:space="0" w:color="000000"/>
            </w:tcBorders>
            <w:vAlign w:val="center"/>
          </w:tcPr>
          <w:p w14:paraId="613D3B6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Lokacija </w:t>
            </w:r>
          </w:p>
        </w:tc>
        <w:tc>
          <w:tcPr>
            <w:tcW w:w="2677" w:type="dxa"/>
            <w:tcBorders>
              <w:top w:val="single" w:sz="4" w:space="0" w:color="000000"/>
              <w:left w:val="single" w:sz="4" w:space="0" w:color="000000"/>
              <w:bottom w:val="single" w:sz="2" w:space="0" w:color="000000"/>
              <w:right w:val="single" w:sz="4" w:space="0" w:color="000000"/>
            </w:tcBorders>
            <w:vAlign w:val="center"/>
          </w:tcPr>
          <w:p w14:paraId="051DB37F"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Opis otpada </w:t>
            </w:r>
          </w:p>
        </w:tc>
        <w:tc>
          <w:tcPr>
            <w:tcW w:w="933" w:type="dxa"/>
            <w:gridSpan w:val="2"/>
            <w:tcBorders>
              <w:top w:val="single" w:sz="4" w:space="0" w:color="000000"/>
              <w:left w:val="single" w:sz="4" w:space="0" w:color="000000"/>
              <w:bottom w:val="single" w:sz="2" w:space="0" w:color="000000"/>
              <w:right w:val="single" w:sz="2" w:space="0" w:color="000000"/>
            </w:tcBorders>
          </w:tcPr>
          <w:p w14:paraId="5F7BBC04"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Količina otpada (m</w:t>
            </w:r>
            <w:r w:rsidRPr="00F6198B">
              <w:rPr>
                <w:rFonts w:ascii="Arial" w:hAnsi="Arial" w:cs="Arial"/>
                <w:color w:val="000000"/>
                <w:sz w:val="18"/>
                <w:szCs w:val="18"/>
                <w:vertAlign w:val="superscript"/>
                <w:lang w:val="sr-Latn-RS"/>
              </w:rPr>
              <w:t>3</w:t>
            </w:r>
            <w:r w:rsidRPr="00F6198B">
              <w:rPr>
                <w:rFonts w:ascii="Arial" w:hAnsi="Arial" w:cs="Arial"/>
                <w:color w:val="000000"/>
                <w:sz w:val="18"/>
                <w:szCs w:val="18"/>
                <w:lang w:val="sr-Latn-RS"/>
              </w:rPr>
              <w:t xml:space="preserve">) procjena </w:t>
            </w:r>
          </w:p>
        </w:tc>
        <w:tc>
          <w:tcPr>
            <w:tcW w:w="941" w:type="dxa"/>
            <w:tcBorders>
              <w:top w:val="single" w:sz="4" w:space="0" w:color="000000"/>
              <w:left w:val="single" w:sz="2" w:space="0" w:color="000000"/>
              <w:bottom w:val="single" w:sz="2" w:space="0" w:color="000000"/>
              <w:right w:val="single" w:sz="4" w:space="0" w:color="000000"/>
            </w:tcBorders>
            <w:vAlign w:val="center"/>
          </w:tcPr>
          <w:p w14:paraId="28E8DE17" w14:textId="77777777" w:rsidR="00C232D7" w:rsidRPr="00F6198B" w:rsidRDefault="00C232D7" w:rsidP="00C232D7">
            <w:pPr>
              <w:spacing w:line="360" w:lineRule="auto"/>
              <w:ind w:left="31"/>
              <w:rPr>
                <w:rFonts w:ascii="Arial" w:hAnsi="Arial" w:cs="Arial"/>
                <w:color w:val="000000"/>
                <w:sz w:val="18"/>
                <w:szCs w:val="18"/>
                <w:lang w:val="sr-Latn-RS"/>
              </w:rPr>
            </w:pPr>
            <w:r w:rsidRPr="00F6198B">
              <w:rPr>
                <w:rFonts w:ascii="Arial" w:hAnsi="Arial" w:cs="Arial"/>
                <w:color w:val="000000"/>
                <w:sz w:val="18"/>
                <w:szCs w:val="18"/>
                <w:lang w:val="sr-Latn-RS"/>
              </w:rPr>
              <w:t>broj</w:t>
            </w:r>
            <w:r w:rsidRPr="00F6198B">
              <w:rPr>
                <w:rFonts w:ascii="Arial" w:hAnsi="Arial" w:cs="Arial"/>
                <w:color w:val="C00000"/>
                <w:sz w:val="18"/>
                <w:szCs w:val="18"/>
                <w:lang w:val="sr-Latn-RS"/>
              </w:rPr>
              <w:t xml:space="preserve"> </w:t>
            </w:r>
          </w:p>
        </w:tc>
      </w:tr>
      <w:tr w:rsidR="00C232D7" w:rsidRPr="00F6198B" w14:paraId="0647E5CC" w14:textId="77777777" w:rsidTr="00C232D7">
        <w:trPr>
          <w:trHeight w:val="241"/>
        </w:trPr>
        <w:tc>
          <w:tcPr>
            <w:tcW w:w="1702" w:type="dxa"/>
            <w:gridSpan w:val="10"/>
            <w:tcBorders>
              <w:top w:val="single" w:sz="2" w:space="0" w:color="000000"/>
              <w:left w:val="single" w:sz="4" w:space="0" w:color="000000"/>
              <w:bottom w:val="single" w:sz="4" w:space="0" w:color="000000"/>
              <w:right w:val="single" w:sz="4" w:space="0" w:color="000000"/>
            </w:tcBorders>
            <w:shd w:val="clear" w:color="auto" w:fill="EAF1DD"/>
          </w:tcPr>
          <w:p w14:paraId="04CE1ED4" w14:textId="77777777" w:rsidR="00C232D7" w:rsidRPr="00F6198B" w:rsidRDefault="00C232D7" w:rsidP="00C232D7">
            <w:pPr>
              <w:spacing w:line="360" w:lineRule="auto"/>
              <w:rPr>
                <w:rFonts w:ascii="Arial" w:hAnsi="Arial" w:cs="Arial"/>
                <w:color w:val="000000"/>
                <w:sz w:val="18"/>
                <w:szCs w:val="18"/>
                <w:lang w:val="sr-Latn-RS"/>
              </w:rPr>
            </w:pPr>
          </w:p>
          <w:p w14:paraId="72815366"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1. ANDRIJEVICA </w:t>
            </w:r>
          </w:p>
        </w:tc>
        <w:tc>
          <w:tcPr>
            <w:tcW w:w="6728" w:type="dxa"/>
            <w:gridSpan w:val="5"/>
            <w:tcBorders>
              <w:top w:val="single" w:sz="2" w:space="0" w:color="000000"/>
              <w:left w:val="single" w:sz="4" w:space="0" w:color="000000"/>
              <w:bottom w:val="single" w:sz="4" w:space="0" w:color="000000"/>
              <w:right w:val="nil"/>
            </w:tcBorders>
            <w:shd w:val="clear" w:color="auto" w:fill="EAF1DD"/>
          </w:tcPr>
          <w:p w14:paraId="66696C95"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41" w:type="dxa"/>
            <w:tcBorders>
              <w:top w:val="single" w:sz="2" w:space="0" w:color="000000"/>
              <w:left w:val="nil"/>
              <w:bottom w:val="single" w:sz="4" w:space="0" w:color="000000"/>
              <w:right w:val="single" w:sz="4" w:space="0" w:color="000000"/>
            </w:tcBorders>
            <w:shd w:val="clear" w:color="auto" w:fill="EAF1DD"/>
          </w:tcPr>
          <w:p w14:paraId="75778C22"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4A687D83" w14:textId="77777777" w:rsidTr="00C232D7">
        <w:trPr>
          <w:trHeight w:val="29"/>
        </w:trPr>
        <w:tc>
          <w:tcPr>
            <w:tcW w:w="281" w:type="dxa"/>
            <w:gridSpan w:val="2"/>
            <w:vMerge w:val="restart"/>
            <w:tcBorders>
              <w:top w:val="single" w:sz="4" w:space="0" w:color="000000"/>
              <w:left w:val="single" w:sz="4" w:space="0" w:color="000000"/>
              <w:bottom w:val="single" w:sz="4" w:space="0" w:color="000000"/>
              <w:right w:val="single" w:sz="4" w:space="0" w:color="000000"/>
            </w:tcBorders>
            <w:shd w:val="clear" w:color="auto" w:fill="EAF1DD"/>
            <w:vAlign w:val="center"/>
          </w:tcPr>
          <w:p w14:paraId="0F4776E3" w14:textId="77777777" w:rsidR="00C232D7" w:rsidRPr="00F6198B" w:rsidRDefault="00C232D7" w:rsidP="00C232D7">
            <w:pPr>
              <w:spacing w:line="360" w:lineRule="auto"/>
              <w:ind w:right="41"/>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70" w:type="dxa"/>
            <w:gridSpan w:val="2"/>
            <w:tcBorders>
              <w:top w:val="single" w:sz="4" w:space="0" w:color="000000"/>
              <w:left w:val="single" w:sz="4" w:space="0" w:color="000000"/>
              <w:bottom w:val="single" w:sz="4" w:space="0" w:color="000000"/>
              <w:right w:val="single" w:sz="4" w:space="0" w:color="000000"/>
            </w:tcBorders>
          </w:tcPr>
          <w:p w14:paraId="43A8A9A6" w14:textId="77777777" w:rsidR="00C232D7" w:rsidRPr="00F6198B" w:rsidRDefault="00C232D7" w:rsidP="00C232D7">
            <w:pPr>
              <w:spacing w:line="360" w:lineRule="auto"/>
              <w:ind w:left="40" w:hanging="4"/>
              <w:rPr>
                <w:rFonts w:ascii="Arial" w:hAnsi="Arial" w:cs="Arial"/>
                <w:color w:val="000000"/>
                <w:sz w:val="18"/>
                <w:szCs w:val="18"/>
                <w:lang w:val="sr-Latn-RS"/>
              </w:rPr>
            </w:pPr>
            <w:r w:rsidRPr="00F6198B">
              <w:rPr>
                <w:rFonts w:ascii="Arial" w:hAnsi="Arial" w:cs="Arial"/>
                <w:color w:val="000000"/>
                <w:sz w:val="18"/>
                <w:szCs w:val="18"/>
                <w:lang w:val="sr-Latn-RS"/>
              </w:rPr>
              <w:t>1.</w:t>
            </w:r>
          </w:p>
        </w:tc>
        <w:tc>
          <w:tcPr>
            <w:tcW w:w="3969" w:type="dxa"/>
            <w:gridSpan w:val="8"/>
            <w:tcBorders>
              <w:top w:val="single" w:sz="4" w:space="0" w:color="000000"/>
              <w:left w:val="single" w:sz="4" w:space="0" w:color="000000"/>
              <w:bottom w:val="single" w:sz="4" w:space="0" w:color="000000"/>
              <w:right w:val="single" w:sz="4" w:space="0" w:color="000000"/>
            </w:tcBorders>
          </w:tcPr>
          <w:p w14:paraId="38810E3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Stanjevo brdo  – Trešnjevo </w:t>
            </w:r>
          </w:p>
        </w:tc>
        <w:tc>
          <w:tcPr>
            <w:tcW w:w="2677" w:type="dxa"/>
            <w:tcBorders>
              <w:top w:val="single" w:sz="4" w:space="0" w:color="000000"/>
              <w:left w:val="single" w:sz="4" w:space="0" w:color="000000"/>
              <w:bottom w:val="single" w:sz="4" w:space="0" w:color="000000"/>
              <w:right w:val="single" w:sz="6" w:space="0" w:color="000000"/>
            </w:tcBorders>
          </w:tcPr>
          <w:p w14:paraId="4A0AFD57"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6" w:space="0" w:color="000000"/>
              <w:bottom w:val="single" w:sz="4" w:space="0" w:color="000000"/>
              <w:right w:val="single" w:sz="2" w:space="0" w:color="000000"/>
            </w:tcBorders>
          </w:tcPr>
          <w:p w14:paraId="22A5D6A3"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350</w:t>
            </w:r>
          </w:p>
        </w:tc>
        <w:tc>
          <w:tcPr>
            <w:tcW w:w="941" w:type="dxa"/>
            <w:tcBorders>
              <w:top w:val="single" w:sz="4" w:space="0" w:color="000000"/>
              <w:left w:val="single" w:sz="2" w:space="0" w:color="000000"/>
              <w:bottom w:val="single" w:sz="4" w:space="0" w:color="000000"/>
              <w:right w:val="single" w:sz="4" w:space="0" w:color="000000"/>
            </w:tcBorders>
            <w:shd w:val="clear" w:color="auto" w:fill="40FAF6"/>
          </w:tcPr>
          <w:p w14:paraId="4F27F17F"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17A17900" w14:textId="77777777" w:rsidTr="00C232D7">
        <w:trPr>
          <w:trHeight w:val="202"/>
        </w:trPr>
        <w:tc>
          <w:tcPr>
            <w:tcW w:w="281" w:type="dxa"/>
            <w:gridSpan w:val="2"/>
            <w:vMerge/>
            <w:tcBorders>
              <w:top w:val="nil"/>
              <w:left w:val="single" w:sz="4" w:space="0" w:color="000000"/>
              <w:bottom w:val="nil"/>
              <w:right w:val="single" w:sz="4" w:space="0" w:color="000000"/>
            </w:tcBorders>
          </w:tcPr>
          <w:p w14:paraId="25A3E568"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1BA47FF4" w14:textId="77777777" w:rsidR="00C232D7" w:rsidRPr="00F6198B" w:rsidRDefault="00C232D7" w:rsidP="00C232D7">
            <w:pPr>
              <w:spacing w:line="360" w:lineRule="auto"/>
              <w:ind w:left="40" w:hanging="4"/>
              <w:rPr>
                <w:rFonts w:ascii="Arial" w:hAnsi="Arial" w:cs="Arial"/>
                <w:color w:val="000000"/>
                <w:sz w:val="18"/>
                <w:szCs w:val="18"/>
                <w:lang w:val="sr-Latn-RS"/>
              </w:rPr>
            </w:pPr>
            <w:r w:rsidRPr="00F6198B">
              <w:rPr>
                <w:rFonts w:ascii="Arial" w:hAnsi="Arial" w:cs="Arial"/>
                <w:color w:val="000000"/>
                <w:sz w:val="18"/>
                <w:szCs w:val="18"/>
                <w:lang w:val="sr-Latn-RS"/>
              </w:rPr>
              <w:t>2.</w:t>
            </w:r>
          </w:p>
        </w:tc>
        <w:tc>
          <w:tcPr>
            <w:tcW w:w="3969" w:type="dxa"/>
            <w:gridSpan w:val="8"/>
            <w:tcBorders>
              <w:top w:val="single" w:sz="4" w:space="0" w:color="000000"/>
              <w:left w:val="single" w:sz="4" w:space="0" w:color="000000"/>
              <w:bottom w:val="single" w:sz="4" w:space="0" w:color="000000"/>
              <w:right w:val="single" w:sz="4" w:space="0" w:color="000000"/>
            </w:tcBorders>
          </w:tcPr>
          <w:p w14:paraId="10CD7DD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Deponija kod Mana Vukićevića Trešnjevo </w:t>
            </w:r>
          </w:p>
        </w:tc>
        <w:tc>
          <w:tcPr>
            <w:tcW w:w="2677" w:type="dxa"/>
            <w:tcBorders>
              <w:top w:val="single" w:sz="4" w:space="0" w:color="000000"/>
              <w:left w:val="single" w:sz="4" w:space="0" w:color="000000"/>
              <w:bottom w:val="single" w:sz="4" w:space="0" w:color="000000"/>
              <w:right w:val="single" w:sz="6" w:space="0" w:color="000000"/>
            </w:tcBorders>
          </w:tcPr>
          <w:p w14:paraId="3660B463"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6" w:space="0" w:color="000000"/>
              <w:bottom w:val="single" w:sz="4" w:space="0" w:color="000000"/>
              <w:right w:val="single" w:sz="2" w:space="0" w:color="000000"/>
            </w:tcBorders>
          </w:tcPr>
          <w:p w14:paraId="36F4FE4D"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41" w:type="dxa"/>
            <w:tcBorders>
              <w:top w:val="single" w:sz="4" w:space="0" w:color="000000"/>
              <w:left w:val="single" w:sz="2" w:space="0" w:color="000000"/>
              <w:bottom w:val="single" w:sz="4" w:space="0" w:color="000000"/>
              <w:right w:val="single" w:sz="4" w:space="0" w:color="000000"/>
            </w:tcBorders>
            <w:shd w:val="clear" w:color="auto" w:fill="40FAF6"/>
          </w:tcPr>
          <w:p w14:paraId="6FCC9C9F"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5CA49420" w14:textId="77777777" w:rsidTr="00C232D7">
        <w:trPr>
          <w:trHeight w:val="206"/>
        </w:trPr>
        <w:tc>
          <w:tcPr>
            <w:tcW w:w="281" w:type="dxa"/>
            <w:gridSpan w:val="2"/>
            <w:vMerge/>
            <w:tcBorders>
              <w:top w:val="nil"/>
              <w:left w:val="single" w:sz="4" w:space="0" w:color="000000"/>
              <w:bottom w:val="nil"/>
              <w:right w:val="single" w:sz="4" w:space="0" w:color="000000"/>
            </w:tcBorders>
          </w:tcPr>
          <w:p w14:paraId="28ABA495"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5BD5A8B7" w14:textId="77777777" w:rsidR="00C232D7" w:rsidRPr="00F6198B" w:rsidRDefault="00C232D7" w:rsidP="00C232D7">
            <w:pPr>
              <w:spacing w:line="360" w:lineRule="auto"/>
              <w:ind w:left="40" w:hanging="4"/>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3969" w:type="dxa"/>
            <w:gridSpan w:val="8"/>
            <w:tcBorders>
              <w:top w:val="single" w:sz="4" w:space="0" w:color="000000"/>
              <w:left w:val="single" w:sz="4" w:space="0" w:color="000000"/>
              <w:bottom w:val="single" w:sz="4" w:space="0" w:color="000000"/>
              <w:right w:val="single" w:sz="4" w:space="0" w:color="000000"/>
            </w:tcBorders>
          </w:tcPr>
          <w:p w14:paraId="2EB6645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Rasojački potok „stari put“ – Trešnjevo </w:t>
            </w:r>
          </w:p>
        </w:tc>
        <w:tc>
          <w:tcPr>
            <w:tcW w:w="2677" w:type="dxa"/>
            <w:tcBorders>
              <w:top w:val="single" w:sz="4" w:space="0" w:color="000000"/>
              <w:left w:val="single" w:sz="4" w:space="0" w:color="000000"/>
              <w:bottom w:val="single" w:sz="4" w:space="0" w:color="000000"/>
              <w:right w:val="single" w:sz="6" w:space="0" w:color="000000"/>
            </w:tcBorders>
          </w:tcPr>
          <w:p w14:paraId="26348B71"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6" w:space="0" w:color="000000"/>
              <w:bottom w:val="single" w:sz="4" w:space="0" w:color="000000"/>
              <w:right w:val="single" w:sz="2" w:space="0" w:color="000000"/>
            </w:tcBorders>
          </w:tcPr>
          <w:p w14:paraId="48D6311D"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150</w:t>
            </w:r>
          </w:p>
        </w:tc>
        <w:tc>
          <w:tcPr>
            <w:tcW w:w="941" w:type="dxa"/>
            <w:tcBorders>
              <w:top w:val="single" w:sz="4" w:space="0" w:color="000000"/>
              <w:left w:val="single" w:sz="2" w:space="0" w:color="000000"/>
              <w:bottom w:val="single" w:sz="4" w:space="0" w:color="000000"/>
              <w:right w:val="single" w:sz="4" w:space="0" w:color="000000"/>
            </w:tcBorders>
            <w:shd w:val="clear" w:color="auto" w:fill="40FAF6"/>
          </w:tcPr>
          <w:p w14:paraId="5C26EED0"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187E685F" w14:textId="77777777" w:rsidTr="00C232D7">
        <w:trPr>
          <w:trHeight w:val="202"/>
        </w:trPr>
        <w:tc>
          <w:tcPr>
            <w:tcW w:w="281" w:type="dxa"/>
            <w:gridSpan w:val="2"/>
            <w:vMerge/>
            <w:tcBorders>
              <w:top w:val="nil"/>
              <w:left w:val="single" w:sz="4" w:space="0" w:color="000000"/>
              <w:bottom w:val="nil"/>
              <w:right w:val="single" w:sz="4" w:space="0" w:color="000000"/>
            </w:tcBorders>
          </w:tcPr>
          <w:p w14:paraId="30D3856A"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3DB1FBAA" w14:textId="77777777" w:rsidR="00C232D7" w:rsidRPr="00F6198B" w:rsidRDefault="00C232D7" w:rsidP="00C232D7">
            <w:pPr>
              <w:spacing w:line="360" w:lineRule="auto"/>
              <w:ind w:left="40" w:hanging="4"/>
              <w:rPr>
                <w:rFonts w:ascii="Arial" w:hAnsi="Arial" w:cs="Arial"/>
                <w:color w:val="000000"/>
                <w:sz w:val="18"/>
                <w:szCs w:val="18"/>
                <w:lang w:val="sr-Latn-RS"/>
              </w:rPr>
            </w:pPr>
            <w:r w:rsidRPr="00F6198B">
              <w:rPr>
                <w:rFonts w:ascii="Arial" w:hAnsi="Arial" w:cs="Arial"/>
                <w:color w:val="000000"/>
                <w:sz w:val="18"/>
                <w:szCs w:val="18"/>
                <w:lang w:val="sr-Latn-RS"/>
              </w:rPr>
              <w:t>4.</w:t>
            </w:r>
          </w:p>
        </w:tc>
        <w:tc>
          <w:tcPr>
            <w:tcW w:w="3969" w:type="dxa"/>
            <w:gridSpan w:val="8"/>
            <w:tcBorders>
              <w:top w:val="single" w:sz="4" w:space="0" w:color="000000"/>
              <w:left w:val="single" w:sz="4" w:space="0" w:color="000000"/>
              <w:bottom w:val="single" w:sz="4" w:space="0" w:color="000000"/>
              <w:right w:val="single" w:sz="4" w:space="0" w:color="000000"/>
            </w:tcBorders>
          </w:tcPr>
          <w:p w14:paraId="70107F8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Deponija u zaseoku Navotina </w:t>
            </w:r>
          </w:p>
        </w:tc>
        <w:tc>
          <w:tcPr>
            <w:tcW w:w="2677" w:type="dxa"/>
            <w:tcBorders>
              <w:top w:val="single" w:sz="4" w:space="0" w:color="000000"/>
              <w:left w:val="single" w:sz="4" w:space="0" w:color="000000"/>
              <w:bottom w:val="single" w:sz="4" w:space="0" w:color="000000"/>
              <w:right w:val="single" w:sz="6" w:space="0" w:color="000000"/>
            </w:tcBorders>
          </w:tcPr>
          <w:p w14:paraId="43F91E8E"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6" w:space="0" w:color="000000"/>
              <w:bottom w:val="single" w:sz="4" w:space="0" w:color="000000"/>
              <w:right w:val="single" w:sz="2" w:space="0" w:color="000000"/>
            </w:tcBorders>
          </w:tcPr>
          <w:p w14:paraId="4716168F"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200</w:t>
            </w:r>
          </w:p>
        </w:tc>
        <w:tc>
          <w:tcPr>
            <w:tcW w:w="941" w:type="dxa"/>
            <w:tcBorders>
              <w:top w:val="single" w:sz="4" w:space="0" w:color="000000"/>
              <w:left w:val="single" w:sz="2" w:space="0" w:color="000000"/>
              <w:bottom w:val="single" w:sz="4" w:space="0" w:color="000000"/>
              <w:right w:val="single" w:sz="4" w:space="0" w:color="000000"/>
            </w:tcBorders>
            <w:shd w:val="clear" w:color="auto" w:fill="40FAF6"/>
          </w:tcPr>
          <w:p w14:paraId="356C5826"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6C2704EE" w14:textId="77777777" w:rsidTr="00C232D7">
        <w:trPr>
          <w:trHeight w:val="205"/>
        </w:trPr>
        <w:tc>
          <w:tcPr>
            <w:tcW w:w="281" w:type="dxa"/>
            <w:gridSpan w:val="2"/>
            <w:vMerge/>
            <w:tcBorders>
              <w:top w:val="nil"/>
              <w:left w:val="single" w:sz="4" w:space="0" w:color="000000"/>
              <w:bottom w:val="nil"/>
              <w:right w:val="single" w:sz="4" w:space="0" w:color="000000"/>
            </w:tcBorders>
          </w:tcPr>
          <w:p w14:paraId="4476D1B0"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1D572A3A" w14:textId="77777777" w:rsidR="00C232D7" w:rsidRPr="00F6198B" w:rsidRDefault="00C232D7" w:rsidP="00C232D7">
            <w:pPr>
              <w:spacing w:line="360" w:lineRule="auto"/>
              <w:ind w:left="40" w:hanging="4"/>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3969" w:type="dxa"/>
            <w:gridSpan w:val="8"/>
            <w:tcBorders>
              <w:top w:val="single" w:sz="4" w:space="0" w:color="000000"/>
              <w:left w:val="single" w:sz="4" w:space="0" w:color="000000"/>
              <w:bottom w:val="single" w:sz="4" w:space="0" w:color="000000"/>
              <w:right w:val="single" w:sz="4" w:space="0" w:color="000000"/>
            </w:tcBorders>
          </w:tcPr>
          <w:p w14:paraId="33FBAC04"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Đurački potok – Kralje </w:t>
            </w:r>
          </w:p>
        </w:tc>
        <w:tc>
          <w:tcPr>
            <w:tcW w:w="2677" w:type="dxa"/>
            <w:tcBorders>
              <w:top w:val="single" w:sz="4" w:space="0" w:color="000000"/>
              <w:left w:val="single" w:sz="4" w:space="0" w:color="000000"/>
              <w:bottom w:val="single" w:sz="4" w:space="0" w:color="000000"/>
              <w:right w:val="single" w:sz="6" w:space="0" w:color="000000"/>
            </w:tcBorders>
          </w:tcPr>
          <w:p w14:paraId="5902F117"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6" w:space="0" w:color="000000"/>
              <w:bottom w:val="single" w:sz="4" w:space="0" w:color="000000"/>
              <w:right w:val="single" w:sz="2" w:space="0" w:color="000000"/>
            </w:tcBorders>
          </w:tcPr>
          <w:p w14:paraId="60E7DED0"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900</w:t>
            </w:r>
          </w:p>
        </w:tc>
        <w:tc>
          <w:tcPr>
            <w:tcW w:w="941" w:type="dxa"/>
            <w:tcBorders>
              <w:top w:val="single" w:sz="4" w:space="0" w:color="000000"/>
              <w:left w:val="single" w:sz="2" w:space="0" w:color="000000"/>
              <w:bottom w:val="single" w:sz="4" w:space="0" w:color="000000"/>
              <w:right w:val="single" w:sz="4" w:space="0" w:color="000000"/>
            </w:tcBorders>
            <w:shd w:val="clear" w:color="auto" w:fill="40FAF6"/>
          </w:tcPr>
          <w:p w14:paraId="3A5BBB23"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4EBA3CBA" w14:textId="77777777" w:rsidTr="00C232D7">
        <w:trPr>
          <w:trHeight w:val="204"/>
        </w:trPr>
        <w:tc>
          <w:tcPr>
            <w:tcW w:w="281" w:type="dxa"/>
            <w:gridSpan w:val="2"/>
            <w:vMerge/>
            <w:tcBorders>
              <w:top w:val="nil"/>
              <w:left w:val="single" w:sz="4" w:space="0" w:color="000000"/>
              <w:bottom w:val="nil"/>
              <w:right w:val="single" w:sz="4" w:space="0" w:color="000000"/>
            </w:tcBorders>
          </w:tcPr>
          <w:p w14:paraId="2FF508C9"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665ED74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3969" w:type="dxa"/>
            <w:gridSpan w:val="8"/>
            <w:tcBorders>
              <w:top w:val="single" w:sz="4" w:space="0" w:color="000000"/>
              <w:left w:val="single" w:sz="4" w:space="0" w:color="000000"/>
              <w:bottom w:val="single" w:sz="2" w:space="0" w:color="000000"/>
              <w:right w:val="single" w:sz="4" w:space="0" w:color="000000"/>
            </w:tcBorders>
          </w:tcPr>
          <w:p w14:paraId="5F753A25"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Javorov potok – Kralje  </w:t>
            </w:r>
          </w:p>
        </w:tc>
        <w:tc>
          <w:tcPr>
            <w:tcW w:w="2677" w:type="dxa"/>
            <w:tcBorders>
              <w:top w:val="single" w:sz="4" w:space="0" w:color="000000"/>
              <w:left w:val="single" w:sz="4" w:space="0" w:color="000000"/>
              <w:bottom w:val="single" w:sz="2" w:space="0" w:color="000000"/>
              <w:right w:val="single" w:sz="6" w:space="0" w:color="000000"/>
            </w:tcBorders>
          </w:tcPr>
          <w:p w14:paraId="2F44939B"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6" w:space="0" w:color="000000"/>
              <w:bottom w:val="single" w:sz="2" w:space="0" w:color="000000"/>
              <w:right w:val="single" w:sz="2" w:space="0" w:color="000000"/>
            </w:tcBorders>
          </w:tcPr>
          <w:p w14:paraId="74DF65F1"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300</w:t>
            </w:r>
          </w:p>
        </w:tc>
        <w:tc>
          <w:tcPr>
            <w:tcW w:w="941" w:type="dxa"/>
            <w:tcBorders>
              <w:top w:val="single" w:sz="4" w:space="0" w:color="000000"/>
              <w:left w:val="single" w:sz="2" w:space="0" w:color="000000"/>
              <w:bottom w:val="single" w:sz="2" w:space="0" w:color="000000"/>
              <w:right w:val="single" w:sz="4" w:space="0" w:color="000000"/>
            </w:tcBorders>
            <w:shd w:val="clear" w:color="auto" w:fill="40FAF6"/>
          </w:tcPr>
          <w:p w14:paraId="3956B714"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380520E9" w14:textId="77777777" w:rsidTr="00C232D7">
        <w:trPr>
          <w:trHeight w:val="204"/>
        </w:trPr>
        <w:tc>
          <w:tcPr>
            <w:tcW w:w="281" w:type="dxa"/>
            <w:gridSpan w:val="2"/>
            <w:vMerge/>
            <w:tcBorders>
              <w:top w:val="nil"/>
              <w:left w:val="single" w:sz="4" w:space="0" w:color="000000"/>
              <w:bottom w:val="nil"/>
              <w:right w:val="single" w:sz="4" w:space="0" w:color="000000"/>
            </w:tcBorders>
          </w:tcPr>
          <w:p w14:paraId="59B889D4"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178C773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7.</w:t>
            </w:r>
          </w:p>
        </w:tc>
        <w:tc>
          <w:tcPr>
            <w:tcW w:w="3969" w:type="dxa"/>
            <w:gridSpan w:val="8"/>
            <w:tcBorders>
              <w:top w:val="single" w:sz="4" w:space="0" w:color="000000"/>
              <w:left w:val="single" w:sz="4" w:space="0" w:color="000000"/>
              <w:bottom w:val="single" w:sz="2" w:space="0" w:color="000000"/>
              <w:right w:val="single" w:sz="4" w:space="0" w:color="000000"/>
            </w:tcBorders>
          </w:tcPr>
          <w:p w14:paraId="02C538DE"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Dubokalj – Kralje </w:t>
            </w:r>
          </w:p>
        </w:tc>
        <w:tc>
          <w:tcPr>
            <w:tcW w:w="2677" w:type="dxa"/>
            <w:tcBorders>
              <w:top w:val="single" w:sz="4" w:space="0" w:color="000000"/>
              <w:left w:val="single" w:sz="4" w:space="0" w:color="000000"/>
              <w:bottom w:val="single" w:sz="2" w:space="0" w:color="000000"/>
              <w:right w:val="single" w:sz="6" w:space="0" w:color="000000"/>
            </w:tcBorders>
          </w:tcPr>
          <w:p w14:paraId="63235A9D"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6" w:space="0" w:color="000000"/>
              <w:bottom w:val="single" w:sz="2" w:space="0" w:color="000000"/>
              <w:right w:val="single" w:sz="2" w:space="0" w:color="000000"/>
            </w:tcBorders>
          </w:tcPr>
          <w:p w14:paraId="5E581B31"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300</w:t>
            </w:r>
          </w:p>
        </w:tc>
        <w:tc>
          <w:tcPr>
            <w:tcW w:w="941" w:type="dxa"/>
            <w:tcBorders>
              <w:top w:val="single" w:sz="4" w:space="0" w:color="000000"/>
              <w:left w:val="single" w:sz="2" w:space="0" w:color="000000"/>
              <w:bottom w:val="single" w:sz="2" w:space="0" w:color="000000"/>
              <w:right w:val="single" w:sz="4" w:space="0" w:color="000000"/>
            </w:tcBorders>
            <w:shd w:val="clear" w:color="auto" w:fill="40FAF6"/>
          </w:tcPr>
          <w:p w14:paraId="751815B1"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20C168C8" w14:textId="77777777" w:rsidTr="00C232D7">
        <w:trPr>
          <w:trHeight w:val="203"/>
        </w:trPr>
        <w:tc>
          <w:tcPr>
            <w:tcW w:w="281" w:type="dxa"/>
            <w:gridSpan w:val="2"/>
            <w:vMerge/>
            <w:tcBorders>
              <w:top w:val="nil"/>
              <w:left w:val="single" w:sz="4" w:space="0" w:color="000000"/>
              <w:bottom w:val="nil"/>
              <w:right w:val="single" w:sz="4" w:space="0" w:color="000000"/>
            </w:tcBorders>
          </w:tcPr>
          <w:p w14:paraId="37CC5CFE"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2" w:space="0" w:color="000000"/>
              <w:left w:val="single" w:sz="4" w:space="0" w:color="000000"/>
              <w:bottom w:val="single" w:sz="4" w:space="0" w:color="000000"/>
              <w:right w:val="single" w:sz="4" w:space="0" w:color="000000"/>
            </w:tcBorders>
          </w:tcPr>
          <w:p w14:paraId="361847A7" w14:textId="77777777" w:rsidR="00C232D7" w:rsidRPr="00F6198B" w:rsidRDefault="00C232D7" w:rsidP="00C232D7">
            <w:pPr>
              <w:spacing w:line="360" w:lineRule="auto"/>
              <w:ind w:left="10" w:hanging="10"/>
              <w:rPr>
                <w:rFonts w:ascii="Arial" w:hAnsi="Arial" w:cs="Arial"/>
                <w:color w:val="000000"/>
                <w:sz w:val="18"/>
                <w:szCs w:val="18"/>
                <w:lang w:val="sr-Latn-RS"/>
              </w:rPr>
            </w:pPr>
            <w:r w:rsidRPr="00F6198B">
              <w:rPr>
                <w:rFonts w:ascii="Arial" w:hAnsi="Arial" w:cs="Arial"/>
                <w:color w:val="000000"/>
                <w:sz w:val="18"/>
                <w:szCs w:val="18"/>
                <w:lang w:val="sr-Latn-RS"/>
              </w:rPr>
              <w:t>8.</w:t>
            </w:r>
          </w:p>
        </w:tc>
        <w:tc>
          <w:tcPr>
            <w:tcW w:w="3969" w:type="dxa"/>
            <w:gridSpan w:val="8"/>
            <w:tcBorders>
              <w:top w:val="single" w:sz="2" w:space="0" w:color="000000"/>
              <w:left w:val="single" w:sz="4" w:space="0" w:color="000000"/>
              <w:bottom w:val="single" w:sz="4" w:space="0" w:color="000000"/>
              <w:right w:val="single" w:sz="4" w:space="0" w:color="000000"/>
            </w:tcBorders>
          </w:tcPr>
          <w:p w14:paraId="5C81A12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Šeremetski potok – Ulotina </w:t>
            </w:r>
          </w:p>
        </w:tc>
        <w:tc>
          <w:tcPr>
            <w:tcW w:w="2677" w:type="dxa"/>
            <w:tcBorders>
              <w:top w:val="single" w:sz="2" w:space="0" w:color="000000"/>
              <w:left w:val="single" w:sz="4" w:space="0" w:color="000000"/>
              <w:bottom w:val="single" w:sz="4" w:space="0" w:color="000000"/>
              <w:right w:val="single" w:sz="6" w:space="0" w:color="000000"/>
            </w:tcBorders>
          </w:tcPr>
          <w:p w14:paraId="7410BDBE"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2" w:space="0" w:color="000000"/>
              <w:left w:val="single" w:sz="6" w:space="0" w:color="000000"/>
              <w:bottom w:val="single" w:sz="4" w:space="0" w:color="000000"/>
              <w:right w:val="single" w:sz="2" w:space="0" w:color="000000"/>
            </w:tcBorders>
          </w:tcPr>
          <w:p w14:paraId="414C1B08"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500</w:t>
            </w:r>
          </w:p>
        </w:tc>
        <w:tc>
          <w:tcPr>
            <w:tcW w:w="941" w:type="dxa"/>
            <w:tcBorders>
              <w:top w:val="single" w:sz="2" w:space="0" w:color="000000"/>
              <w:left w:val="single" w:sz="2" w:space="0" w:color="000000"/>
              <w:bottom w:val="single" w:sz="4" w:space="0" w:color="000000"/>
              <w:right w:val="single" w:sz="4" w:space="0" w:color="000000"/>
            </w:tcBorders>
            <w:shd w:val="clear" w:color="auto" w:fill="40FAF6"/>
          </w:tcPr>
          <w:p w14:paraId="1FB5E93C"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7BD8036E" w14:textId="77777777" w:rsidTr="00C232D7">
        <w:trPr>
          <w:trHeight w:val="206"/>
        </w:trPr>
        <w:tc>
          <w:tcPr>
            <w:tcW w:w="281" w:type="dxa"/>
            <w:gridSpan w:val="2"/>
            <w:vMerge/>
            <w:tcBorders>
              <w:top w:val="nil"/>
              <w:left w:val="single" w:sz="4" w:space="0" w:color="000000"/>
              <w:bottom w:val="nil"/>
              <w:right w:val="single" w:sz="4" w:space="0" w:color="000000"/>
            </w:tcBorders>
          </w:tcPr>
          <w:p w14:paraId="36DD8D29"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6C7D22D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9.</w:t>
            </w:r>
          </w:p>
        </w:tc>
        <w:tc>
          <w:tcPr>
            <w:tcW w:w="3969" w:type="dxa"/>
            <w:gridSpan w:val="8"/>
            <w:tcBorders>
              <w:top w:val="single" w:sz="4" w:space="0" w:color="000000"/>
              <w:left w:val="single" w:sz="4" w:space="0" w:color="000000"/>
              <w:bottom w:val="single" w:sz="4" w:space="0" w:color="000000"/>
              <w:right w:val="single" w:sz="4" w:space="0" w:color="000000"/>
            </w:tcBorders>
          </w:tcPr>
          <w:p w14:paraId="17ADFD0E"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Mehov potok</w:t>
            </w:r>
          </w:p>
        </w:tc>
        <w:tc>
          <w:tcPr>
            <w:tcW w:w="2677" w:type="dxa"/>
            <w:tcBorders>
              <w:top w:val="single" w:sz="4" w:space="0" w:color="000000"/>
              <w:left w:val="single" w:sz="4" w:space="0" w:color="000000"/>
              <w:bottom w:val="single" w:sz="4" w:space="0" w:color="000000"/>
              <w:right w:val="single" w:sz="6" w:space="0" w:color="000000"/>
            </w:tcBorders>
          </w:tcPr>
          <w:p w14:paraId="08D1B411"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6" w:space="0" w:color="000000"/>
              <w:bottom w:val="single" w:sz="4" w:space="0" w:color="000000"/>
              <w:right w:val="single" w:sz="2" w:space="0" w:color="000000"/>
            </w:tcBorders>
          </w:tcPr>
          <w:p w14:paraId="6FF5A991"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200</w:t>
            </w:r>
          </w:p>
        </w:tc>
        <w:tc>
          <w:tcPr>
            <w:tcW w:w="941" w:type="dxa"/>
            <w:tcBorders>
              <w:top w:val="single" w:sz="4" w:space="0" w:color="000000"/>
              <w:left w:val="single" w:sz="2" w:space="0" w:color="000000"/>
              <w:bottom w:val="single" w:sz="4" w:space="0" w:color="000000"/>
              <w:right w:val="single" w:sz="4" w:space="0" w:color="000000"/>
            </w:tcBorders>
            <w:shd w:val="clear" w:color="auto" w:fill="40FAF6"/>
          </w:tcPr>
          <w:p w14:paraId="3E772520"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028B2BB4" w14:textId="77777777" w:rsidTr="00C232D7">
        <w:trPr>
          <w:trHeight w:val="202"/>
        </w:trPr>
        <w:tc>
          <w:tcPr>
            <w:tcW w:w="281" w:type="dxa"/>
            <w:gridSpan w:val="2"/>
            <w:vMerge/>
            <w:tcBorders>
              <w:top w:val="nil"/>
              <w:left w:val="single" w:sz="4" w:space="0" w:color="000000"/>
              <w:bottom w:val="nil"/>
              <w:right w:val="single" w:sz="4" w:space="0" w:color="000000"/>
            </w:tcBorders>
          </w:tcPr>
          <w:p w14:paraId="290885C1"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46FFFB1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3969" w:type="dxa"/>
            <w:gridSpan w:val="8"/>
            <w:tcBorders>
              <w:top w:val="single" w:sz="4" w:space="0" w:color="000000"/>
              <w:left w:val="single" w:sz="4" w:space="0" w:color="000000"/>
              <w:bottom w:val="single" w:sz="4" w:space="0" w:color="000000"/>
              <w:right w:val="single" w:sz="4" w:space="0" w:color="000000"/>
            </w:tcBorders>
          </w:tcPr>
          <w:p w14:paraId="6550106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Potok u selu Zabrđe</w:t>
            </w:r>
          </w:p>
        </w:tc>
        <w:tc>
          <w:tcPr>
            <w:tcW w:w="2677" w:type="dxa"/>
            <w:tcBorders>
              <w:top w:val="single" w:sz="4" w:space="0" w:color="000000"/>
              <w:left w:val="single" w:sz="4" w:space="0" w:color="000000"/>
              <w:bottom w:val="single" w:sz="4" w:space="0" w:color="000000"/>
              <w:right w:val="single" w:sz="6" w:space="0" w:color="000000"/>
            </w:tcBorders>
          </w:tcPr>
          <w:p w14:paraId="4B92D720"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6" w:space="0" w:color="000000"/>
              <w:bottom w:val="single" w:sz="4" w:space="0" w:color="000000"/>
              <w:right w:val="single" w:sz="2" w:space="0" w:color="000000"/>
            </w:tcBorders>
          </w:tcPr>
          <w:p w14:paraId="5B53C2EF"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200</w:t>
            </w:r>
          </w:p>
        </w:tc>
        <w:tc>
          <w:tcPr>
            <w:tcW w:w="941" w:type="dxa"/>
            <w:tcBorders>
              <w:top w:val="single" w:sz="4" w:space="0" w:color="000000"/>
              <w:left w:val="single" w:sz="2" w:space="0" w:color="000000"/>
              <w:bottom w:val="single" w:sz="4" w:space="0" w:color="000000"/>
              <w:right w:val="single" w:sz="4" w:space="0" w:color="000000"/>
            </w:tcBorders>
            <w:shd w:val="clear" w:color="auto" w:fill="40FAF6"/>
          </w:tcPr>
          <w:p w14:paraId="376A42A3"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2FDE98C1" w14:textId="77777777" w:rsidTr="00C232D7">
        <w:trPr>
          <w:trHeight w:val="206"/>
        </w:trPr>
        <w:tc>
          <w:tcPr>
            <w:tcW w:w="281" w:type="dxa"/>
            <w:gridSpan w:val="2"/>
            <w:vMerge/>
            <w:tcBorders>
              <w:top w:val="nil"/>
              <w:left w:val="single" w:sz="4" w:space="0" w:color="000000"/>
              <w:bottom w:val="nil"/>
              <w:right w:val="single" w:sz="4" w:space="0" w:color="000000"/>
            </w:tcBorders>
          </w:tcPr>
          <w:p w14:paraId="30184C9E"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2F401408"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11.</w:t>
            </w:r>
          </w:p>
        </w:tc>
        <w:tc>
          <w:tcPr>
            <w:tcW w:w="3969" w:type="dxa"/>
            <w:gridSpan w:val="8"/>
            <w:tcBorders>
              <w:top w:val="single" w:sz="4" w:space="0" w:color="000000"/>
              <w:left w:val="single" w:sz="4" w:space="0" w:color="000000"/>
              <w:bottom w:val="single" w:sz="4" w:space="0" w:color="000000"/>
              <w:right w:val="single" w:sz="4" w:space="0" w:color="000000"/>
            </w:tcBorders>
          </w:tcPr>
          <w:p w14:paraId="484D3E17"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Deponiji u selu Prisoja</w:t>
            </w:r>
          </w:p>
        </w:tc>
        <w:tc>
          <w:tcPr>
            <w:tcW w:w="2677" w:type="dxa"/>
            <w:tcBorders>
              <w:top w:val="single" w:sz="4" w:space="0" w:color="000000"/>
              <w:left w:val="single" w:sz="4" w:space="0" w:color="000000"/>
              <w:bottom w:val="single" w:sz="4" w:space="0" w:color="000000"/>
              <w:right w:val="single" w:sz="6" w:space="0" w:color="000000"/>
            </w:tcBorders>
          </w:tcPr>
          <w:p w14:paraId="5653C142"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6" w:space="0" w:color="000000"/>
              <w:bottom w:val="single" w:sz="4" w:space="0" w:color="000000"/>
              <w:right w:val="single" w:sz="2" w:space="0" w:color="000000"/>
            </w:tcBorders>
          </w:tcPr>
          <w:p w14:paraId="6629F710"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200</w:t>
            </w:r>
          </w:p>
        </w:tc>
        <w:tc>
          <w:tcPr>
            <w:tcW w:w="941" w:type="dxa"/>
            <w:tcBorders>
              <w:top w:val="single" w:sz="4" w:space="0" w:color="000000"/>
              <w:left w:val="single" w:sz="2" w:space="0" w:color="000000"/>
              <w:bottom w:val="single" w:sz="4" w:space="0" w:color="000000"/>
              <w:right w:val="single" w:sz="4" w:space="0" w:color="000000"/>
            </w:tcBorders>
            <w:shd w:val="clear" w:color="auto" w:fill="40FAF6"/>
          </w:tcPr>
          <w:p w14:paraId="72F804D7"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2DA19E5C" w14:textId="77777777" w:rsidTr="00C232D7">
        <w:trPr>
          <w:trHeight w:val="264"/>
        </w:trPr>
        <w:tc>
          <w:tcPr>
            <w:tcW w:w="281" w:type="dxa"/>
            <w:gridSpan w:val="2"/>
            <w:vMerge/>
            <w:tcBorders>
              <w:top w:val="nil"/>
              <w:left w:val="single" w:sz="4" w:space="0" w:color="000000"/>
              <w:bottom w:val="nil"/>
              <w:right w:val="single" w:sz="4" w:space="0" w:color="000000"/>
            </w:tcBorders>
          </w:tcPr>
          <w:p w14:paraId="0996E647"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right w:val="single" w:sz="4" w:space="0" w:color="000000"/>
            </w:tcBorders>
          </w:tcPr>
          <w:p w14:paraId="7D0CF42D"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12.</w:t>
            </w:r>
          </w:p>
        </w:tc>
        <w:tc>
          <w:tcPr>
            <w:tcW w:w="3969" w:type="dxa"/>
            <w:gridSpan w:val="8"/>
            <w:tcBorders>
              <w:top w:val="single" w:sz="4" w:space="0" w:color="000000"/>
              <w:left w:val="single" w:sz="4" w:space="0" w:color="000000"/>
              <w:right w:val="single" w:sz="4" w:space="0" w:color="000000"/>
            </w:tcBorders>
          </w:tcPr>
          <w:p w14:paraId="75006000"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Deponiji u selu Božiće</w:t>
            </w:r>
          </w:p>
        </w:tc>
        <w:tc>
          <w:tcPr>
            <w:tcW w:w="2677" w:type="dxa"/>
            <w:tcBorders>
              <w:top w:val="single" w:sz="4" w:space="0" w:color="000000"/>
              <w:left w:val="single" w:sz="4" w:space="0" w:color="000000"/>
              <w:right w:val="single" w:sz="6" w:space="0" w:color="000000"/>
            </w:tcBorders>
          </w:tcPr>
          <w:p w14:paraId="2A6FD15E"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6" w:space="0" w:color="000000"/>
              <w:right w:val="single" w:sz="2" w:space="0" w:color="000000"/>
            </w:tcBorders>
          </w:tcPr>
          <w:p w14:paraId="1EBFD63F"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150</w:t>
            </w:r>
          </w:p>
        </w:tc>
        <w:tc>
          <w:tcPr>
            <w:tcW w:w="941" w:type="dxa"/>
            <w:tcBorders>
              <w:top w:val="single" w:sz="4" w:space="0" w:color="000000"/>
              <w:left w:val="single" w:sz="2" w:space="0" w:color="000000"/>
              <w:right w:val="single" w:sz="4" w:space="0" w:color="000000"/>
            </w:tcBorders>
            <w:shd w:val="clear" w:color="auto" w:fill="40FAF6"/>
          </w:tcPr>
          <w:p w14:paraId="408AF339"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34DC9615" w14:textId="77777777" w:rsidTr="00C232D7">
        <w:trPr>
          <w:trHeight w:val="204"/>
        </w:trPr>
        <w:tc>
          <w:tcPr>
            <w:tcW w:w="851" w:type="dxa"/>
            <w:gridSpan w:val="4"/>
            <w:tcBorders>
              <w:top w:val="single" w:sz="4" w:space="0" w:color="000000"/>
              <w:left w:val="single" w:sz="4" w:space="0" w:color="000000"/>
              <w:bottom w:val="single" w:sz="4" w:space="0" w:color="000000"/>
              <w:right w:val="single" w:sz="4" w:space="0" w:color="000000"/>
            </w:tcBorders>
            <w:shd w:val="clear" w:color="auto" w:fill="EAF1DD"/>
          </w:tcPr>
          <w:p w14:paraId="2C45024B" w14:textId="77777777" w:rsidR="00C232D7" w:rsidRPr="00F6198B" w:rsidRDefault="00C232D7" w:rsidP="00C232D7">
            <w:pPr>
              <w:spacing w:line="360" w:lineRule="auto"/>
              <w:ind w:left="36"/>
              <w:rPr>
                <w:rFonts w:ascii="Arial" w:hAnsi="Arial" w:cs="Arial"/>
                <w:color w:val="000000"/>
                <w:sz w:val="18"/>
                <w:szCs w:val="18"/>
                <w:lang w:val="sr-Latn-RS"/>
              </w:rPr>
            </w:pPr>
          </w:p>
          <w:p w14:paraId="6E75CD09"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2. BAR </w:t>
            </w:r>
          </w:p>
        </w:tc>
        <w:tc>
          <w:tcPr>
            <w:tcW w:w="7579" w:type="dxa"/>
            <w:gridSpan w:val="11"/>
            <w:tcBorders>
              <w:top w:val="single" w:sz="4" w:space="0" w:color="000000"/>
              <w:left w:val="single" w:sz="4" w:space="0" w:color="000000"/>
              <w:bottom w:val="single" w:sz="4" w:space="0" w:color="000000"/>
              <w:right w:val="nil"/>
            </w:tcBorders>
            <w:shd w:val="clear" w:color="auto" w:fill="EAF1DD"/>
          </w:tcPr>
          <w:p w14:paraId="3847D1A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41" w:type="dxa"/>
            <w:tcBorders>
              <w:top w:val="single" w:sz="4" w:space="0" w:color="000000"/>
              <w:left w:val="nil"/>
              <w:bottom w:val="single" w:sz="4" w:space="0" w:color="000000"/>
              <w:right w:val="single" w:sz="4" w:space="0" w:color="000000"/>
            </w:tcBorders>
            <w:shd w:val="clear" w:color="auto" w:fill="EAF1DD"/>
          </w:tcPr>
          <w:p w14:paraId="36429F0D"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1AA93407" w14:textId="77777777" w:rsidTr="00C232D7">
        <w:trPr>
          <w:trHeight w:val="205"/>
        </w:trPr>
        <w:tc>
          <w:tcPr>
            <w:tcW w:w="281" w:type="dxa"/>
            <w:gridSpan w:val="2"/>
            <w:vMerge w:val="restart"/>
            <w:tcBorders>
              <w:top w:val="single" w:sz="4" w:space="0" w:color="000000"/>
              <w:left w:val="single" w:sz="4" w:space="0" w:color="000000"/>
              <w:bottom w:val="single" w:sz="4" w:space="0" w:color="000000"/>
              <w:right w:val="single" w:sz="4" w:space="0" w:color="000000"/>
            </w:tcBorders>
            <w:shd w:val="clear" w:color="auto" w:fill="EAF1DD"/>
            <w:vAlign w:val="center"/>
          </w:tcPr>
          <w:p w14:paraId="0D766DBD" w14:textId="77777777" w:rsidR="00C232D7" w:rsidRPr="00F6198B" w:rsidRDefault="00C232D7" w:rsidP="00C232D7">
            <w:pPr>
              <w:spacing w:line="360" w:lineRule="auto"/>
              <w:ind w:right="41"/>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70" w:type="dxa"/>
            <w:gridSpan w:val="2"/>
            <w:tcBorders>
              <w:top w:val="single" w:sz="4" w:space="0" w:color="000000"/>
              <w:left w:val="single" w:sz="4" w:space="0" w:color="000000"/>
              <w:bottom w:val="single" w:sz="2" w:space="0" w:color="000000"/>
              <w:right w:val="single" w:sz="4" w:space="0" w:color="000000"/>
            </w:tcBorders>
          </w:tcPr>
          <w:p w14:paraId="135C916D"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969" w:type="dxa"/>
            <w:gridSpan w:val="8"/>
            <w:tcBorders>
              <w:top w:val="single" w:sz="4" w:space="0" w:color="000000"/>
              <w:left w:val="single" w:sz="4" w:space="0" w:color="000000"/>
              <w:bottom w:val="single" w:sz="2" w:space="0" w:color="000000"/>
              <w:right w:val="single" w:sz="4" w:space="0" w:color="000000"/>
            </w:tcBorders>
          </w:tcPr>
          <w:p w14:paraId="6143CB0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Kufin </w:t>
            </w:r>
          </w:p>
        </w:tc>
        <w:tc>
          <w:tcPr>
            <w:tcW w:w="2677" w:type="dxa"/>
            <w:tcBorders>
              <w:top w:val="single" w:sz="4" w:space="0" w:color="000000"/>
              <w:left w:val="single" w:sz="4" w:space="0" w:color="000000"/>
              <w:bottom w:val="single" w:sz="2" w:space="0" w:color="000000"/>
              <w:right w:val="single" w:sz="4" w:space="0" w:color="000000"/>
            </w:tcBorders>
          </w:tcPr>
          <w:p w14:paraId="00D1A45E"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Građevinski  </w:t>
            </w:r>
          </w:p>
        </w:tc>
        <w:tc>
          <w:tcPr>
            <w:tcW w:w="933" w:type="dxa"/>
            <w:gridSpan w:val="2"/>
            <w:tcBorders>
              <w:top w:val="single" w:sz="4" w:space="0" w:color="000000"/>
              <w:left w:val="single" w:sz="4" w:space="0" w:color="000000"/>
              <w:bottom w:val="single" w:sz="2" w:space="0" w:color="000000"/>
              <w:right w:val="single" w:sz="2" w:space="0" w:color="000000"/>
            </w:tcBorders>
          </w:tcPr>
          <w:p w14:paraId="059B5A2E"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2000</w:t>
            </w:r>
          </w:p>
        </w:tc>
        <w:tc>
          <w:tcPr>
            <w:tcW w:w="941" w:type="dxa"/>
            <w:tcBorders>
              <w:top w:val="single" w:sz="4" w:space="0" w:color="000000"/>
              <w:left w:val="single" w:sz="2" w:space="0" w:color="000000"/>
              <w:bottom w:val="single" w:sz="2" w:space="0" w:color="000000"/>
              <w:right w:val="single" w:sz="4" w:space="0" w:color="000000"/>
            </w:tcBorders>
            <w:shd w:val="clear" w:color="auto" w:fill="40FAF6"/>
          </w:tcPr>
          <w:p w14:paraId="33DF5AC0"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28650A8E" w14:textId="77777777" w:rsidTr="00C232D7">
        <w:trPr>
          <w:trHeight w:val="227"/>
        </w:trPr>
        <w:tc>
          <w:tcPr>
            <w:tcW w:w="281" w:type="dxa"/>
            <w:gridSpan w:val="2"/>
            <w:vMerge/>
            <w:tcBorders>
              <w:top w:val="nil"/>
              <w:left w:val="single" w:sz="4" w:space="0" w:color="000000"/>
              <w:bottom w:val="nil"/>
              <w:right w:val="single" w:sz="4" w:space="0" w:color="000000"/>
            </w:tcBorders>
          </w:tcPr>
          <w:p w14:paraId="683DB48A"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2" w:space="0" w:color="000000"/>
              <w:left w:val="single" w:sz="4" w:space="0" w:color="000000"/>
              <w:right w:val="single" w:sz="4" w:space="0" w:color="000000"/>
            </w:tcBorders>
          </w:tcPr>
          <w:p w14:paraId="2243F8F9"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969" w:type="dxa"/>
            <w:gridSpan w:val="8"/>
            <w:tcBorders>
              <w:top w:val="single" w:sz="2" w:space="0" w:color="000000"/>
              <w:left w:val="single" w:sz="4" w:space="0" w:color="000000"/>
              <w:right w:val="single" w:sz="4" w:space="0" w:color="000000"/>
            </w:tcBorders>
          </w:tcPr>
          <w:p w14:paraId="24B33AB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Spičansko polje – Sutomore  </w:t>
            </w:r>
          </w:p>
        </w:tc>
        <w:tc>
          <w:tcPr>
            <w:tcW w:w="2677" w:type="dxa"/>
            <w:tcBorders>
              <w:top w:val="single" w:sz="2" w:space="0" w:color="000000"/>
              <w:left w:val="single" w:sz="4" w:space="0" w:color="000000"/>
              <w:right w:val="single" w:sz="4" w:space="0" w:color="000000"/>
            </w:tcBorders>
          </w:tcPr>
          <w:p w14:paraId="0AE0DC59"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i građevinski  </w:t>
            </w:r>
          </w:p>
        </w:tc>
        <w:tc>
          <w:tcPr>
            <w:tcW w:w="933" w:type="dxa"/>
            <w:gridSpan w:val="2"/>
            <w:tcBorders>
              <w:top w:val="single" w:sz="2" w:space="0" w:color="000000"/>
              <w:left w:val="single" w:sz="4" w:space="0" w:color="000000"/>
              <w:right w:val="single" w:sz="2" w:space="0" w:color="000000"/>
            </w:tcBorders>
          </w:tcPr>
          <w:p w14:paraId="6F71EF96"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200</w:t>
            </w:r>
          </w:p>
        </w:tc>
        <w:tc>
          <w:tcPr>
            <w:tcW w:w="941" w:type="dxa"/>
            <w:tcBorders>
              <w:top w:val="single" w:sz="2" w:space="0" w:color="000000"/>
              <w:left w:val="single" w:sz="2" w:space="0" w:color="000000"/>
              <w:right w:val="single" w:sz="4" w:space="0" w:color="000000"/>
            </w:tcBorders>
            <w:shd w:val="clear" w:color="auto" w:fill="40FAF6"/>
          </w:tcPr>
          <w:p w14:paraId="0101429C"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5C492E09" w14:textId="77777777" w:rsidTr="00C232D7">
        <w:trPr>
          <w:trHeight w:val="204"/>
        </w:trPr>
        <w:tc>
          <w:tcPr>
            <w:tcW w:w="281" w:type="dxa"/>
            <w:gridSpan w:val="2"/>
            <w:vMerge/>
            <w:tcBorders>
              <w:top w:val="nil"/>
              <w:left w:val="single" w:sz="4" w:space="0" w:color="000000"/>
              <w:bottom w:val="nil"/>
              <w:right w:val="single" w:sz="4" w:space="0" w:color="000000"/>
            </w:tcBorders>
          </w:tcPr>
          <w:p w14:paraId="47529FAF"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47C4E77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969" w:type="dxa"/>
            <w:gridSpan w:val="8"/>
            <w:tcBorders>
              <w:top w:val="single" w:sz="4" w:space="0" w:color="000000"/>
              <w:left w:val="single" w:sz="4" w:space="0" w:color="000000"/>
              <w:bottom w:val="single" w:sz="4" w:space="0" w:color="000000"/>
              <w:right w:val="single" w:sz="4" w:space="0" w:color="000000"/>
            </w:tcBorders>
          </w:tcPr>
          <w:p w14:paraId="67F064C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Đuričine vode – Sutomore </w:t>
            </w:r>
          </w:p>
        </w:tc>
        <w:tc>
          <w:tcPr>
            <w:tcW w:w="2677" w:type="dxa"/>
            <w:tcBorders>
              <w:top w:val="single" w:sz="4" w:space="0" w:color="000000"/>
              <w:left w:val="single" w:sz="4" w:space="0" w:color="000000"/>
              <w:bottom w:val="single" w:sz="4" w:space="0" w:color="000000"/>
              <w:right w:val="single" w:sz="4" w:space="0" w:color="000000"/>
            </w:tcBorders>
          </w:tcPr>
          <w:p w14:paraId="0C57B22A"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i građevinski  </w:t>
            </w:r>
          </w:p>
        </w:tc>
        <w:tc>
          <w:tcPr>
            <w:tcW w:w="933" w:type="dxa"/>
            <w:gridSpan w:val="2"/>
            <w:tcBorders>
              <w:top w:val="single" w:sz="4" w:space="0" w:color="000000"/>
              <w:left w:val="single" w:sz="4" w:space="0" w:color="000000"/>
              <w:bottom w:val="single" w:sz="4" w:space="0" w:color="000000"/>
              <w:right w:val="single" w:sz="2" w:space="0" w:color="000000"/>
            </w:tcBorders>
          </w:tcPr>
          <w:p w14:paraId="1B5AB6BF"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41" w:type="dxa"/>
            <w:tcBorders>
              <w:top w:val="single" w:sz="4" w:space="0" w:color="000000"/>
              <w:left w:val="single" w:sz="2" w:space="0" w:color="000000"/>
              <w:bottom w:val="single" w:sz="4" w:space="0" w:color="000000"/>
              <w:right w:val="single" w:sz="4" w:space="0" w:color="000000"/>
            </w:tcBorders>
            <w:shd w:val="clear" w:color="auto" w:fill="40FAF6"/>
          </w:tcPr>
          <w:p w14:paraId="02218DCA"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1177C906" w14:textId="77777777" w:rsidTr="00C232D7">
        <w:trPr>
          <w:trHeight w:val="204"/>
        </w:trPr>
        <w:tc>
          <w:tcPr>
            <w:tcW w:w="281" w:type="dxa"/>
            <w:gridSpan w:val="2"/>
            <w:vMerge/>
            <w:tcBorders>
              <w:top w:val="nil"/>
              <w:left w:val="single" w:sz="4" w:space="0" w:color="000000"/>
              <w:bottom w:val="nil"/>
              <w:right w:val="single" w:sz="4" w:space="0" w:color="000000"/>
            </w:tcBorders>
          </w:tcPr>
          <w:p w14:paraId="7E77FD30"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5C391D3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 </w:t>
            </w:r>
          </w:p>
        </w:tc>
        <w:tc>
          <w:tcPr>
            <w:tcW w:w="3969" w:type="dxa"/>
            <w:gridSpan w:val="8"/>
            <w:tcBorders>
              <w:top w:val="single" w:sz="4" w:space="0" w:color="000000"/>
              <w:left w:val="single" w:sz="4" w:space="0" w:color="000000"/>
              <w:bottom w:val="single" w:sz="4" w:space="0" w:color="000000"/>
              <w:right w:val="single" w:sz="4" w:space="0" w:color="000000"/>
            </w:tcBorders>
          </w:tcPr>
          <w:p w14:paraId="162192EE"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Tuđemili kod spomenika </w:t>
            </w:r>
          </w:p>
        </w:tc>
        <w:tc>
          <w:tcPr>
            <w:tcW w:w="2677" w:type="dxa"/>
            <w:tcBorders>
              <w:top w:val="single" w:sz="4" w:space="0" w:color="000000"/>
              <w:left w:val="single" w:sz="4" w:space="0" w:color="000000"/>
              <w:bottom w:val="single" w:sz="4" w:space="0" w:color="000000"/>
              <w:right w:val="single" w:sz="4" w:space="0" w:color="000000"/>
            </w:tcBorders>
          </w:tcPr>
          <w:p w14:paraId="210E7BCB"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i građevinski  </w:t>
            </w:r>
          </w:p>
        </w:tc>
        <w:tc>
          <w:tcPr>
            <w:tcW w:w="933" w:type="dxa"/>
            <w:gridSpan w:val="2"/>
            <w:tcBorders>
              <w:top w:val="single" w:sz="4" w:space="0" w:color="000000"/>
              <w:left w:val="single" w:sz="4" w:space="0" w:color="000000"/>
              <w:bottom w:val="single" w:sz="4" w:space="0" w:color="000000"/>
              <w:right w:val="single" w:sz="2" w:space="0" w:color="000000"/>
            </w:tcBorders>
          </w:tcPr>
          <w:p w14:paraId="43AFF197"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41" w:type="dxa"/>
            <w:tcBorders>
              <w:top w:val="single" w:sz="4" w:space="0" w:color="000000"/>
              <w:left w:val="single" w:sz="2" w:space="0" w:color="000000"/>
              <w:bottom w:val="single" w:sz="4" w:space="0" w:color="000000"/>
              <w:right w:val="single" w:sz="4" w:space="0" w:color="000000"/>
            </w:tcBorders>
            <w:shd w:val="clear" w:color="auto" w:fill="40FAF6"/>
          </w:tcPr>
          <w:p w14:paraId="4FD3F556"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72DBDEE6" w14:textId="77777777" w:rsidTr="00C232D7">
        <w:trPr>
          <w:trHeight w:val="204"/>
        </w:trPr>
        <w:tc>
          <w:tcPr>
            <w:tcW w:w="281" w:type="dxa"/>
            <w:gridSpan w:val="2"/>
            <w:vMerge/>
            <w:tcBorders>
              <w:top w:val="nil"/>
              <w:left w:val="single" w:sz="4" w:space="0" w:color="000000"/>
              <w:bottom w:val="nil"/>
              <w:right w:val="single" w:sz="4" w:space="0" w:color="000000"/>
            </w:tcBorders>
          </w:tcPr>
          <w:p w14:paraId="3B67AA6B"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1301B06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6. </w:t>
            </w:r>
          </w:p>
        </w:tc>
        <w:tc>
          <w:tcPr>
            <w:tcW w:w="3969" w:type="dxa"/>
            <w:gridSpan w:val="8"/>
            <w:tcBorders>
              <w:top w:val="single" w:sz="4" w:space="0" w:color="000000"/>
              <w:left w:val="single" w:sz="4" w:space="0" w:color="000000"/>
              <w:bottom w:val="single" w:sz="4" w:space="0" w:color="000000"/>
              <w:right w:val="single" w:sz="4" w:space="0" w:color="000000"/>
            </w:tcBorders>
          </w:tcPr>
          <w:p w14:paraId="42D9179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Zabes – Virpazar kod kamenoloma </w:t>
            </w:r>
          </w:p>
        </w:tc>
        <w:tc>
          <w:tcPr>
            <w:tcW w:w="2677" w:type="dxa"/>
            <w:tcBorders>
              <w:top w:val="single" w:sz="4" w:space="0" w:color="000000"/>
              <w:left w:val="single" w:sz="4" w:space="0" w:color="000000"/>
              <w:bottom w:val="single" w:sz="4" w:space="0" w:color="000000"/>
              <w:right w:val="single" w:sz="4" w:space="0" w:color="000000"/>
            </w:tcBorders>
          </w:tcPr>
          <w:p w14:paraId="1D6BC4B8"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4A6682C9"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41" w:type="dxa"/>
            <w:tcBorders>
              <w:top w:val="single" w:sz="4" w:space="0" w:color="000000"/>
              <w:left w:val="single" w:sz="2" w:space="0" w:color="000000"/>
              <w:bottom w:val="single" w:sz="4" w:space="0" w:color="000000"/>
              <w:right w:val="single" w:sz="4" w:space="0" w:color="000000"/>
            </w:tcBorders>
            <w:shd w:val="clear" w:color="auto" w:fill="40FAF6"/>
          </w:tcPr>
          <w:p w14:paraId="59B43ED9"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3EDB1ADD" w14:textId="77777777" w:rsidTr="00C232D7">
        <w:trPr>
          <w:trHeight w:val="204"/>
        </w:trPr>
        <w:tc>
          <w:tcPr>
            <w:tcW w:w="281" w:type="dxa"/>
            <w:gridSpan w:val="2"/>
            <w:vMerge/>
            <w:tcBorders>
              <w:top w:val="nil"/>
              <w:left w:val="single" w:sz="4" w:space="0" w:color="000000"/>
              <w:bottom w:val="nil"/>
              <w:right w:val="single" w:sz="4" w:space="0" w:color="000000"/>
            </w:tcBorders>
          </w:tcPr>
          <w:p w14:paraId="7803161C"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29743A6B"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7. </w:t>
            </w:r>
          </w:p>
        </w:tc>
        <w:tc>
          <w:tcPr>
            <w:tcW w:w="3969" w:type="dxa"/>
            <w:gridSpan w:val="8"/>
            <w:tcBorders>
              <w:top w:val="single" w:sz="4" w:space="0" w:color="000000"/>
              <w:left w:val="single" w:sz="4" w:space="0" w:color="000000"/>
              <w:bottom w:val="single" w:sz="4" w:space="0" w:color="000000"/>
              <w:right w:val="single" w:sz="4" w:space="0" w:color="000000"/>
            </w:tcBorders>
          </w:tcPr>
          <w:p w14:paraId="6AF1D34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Sveti Ivan </w:t>
            </w:r>
          </w:p>
        </w:tc>
        <w:tc>
          <w:tcPr>
            <w:tcW w:w="2677" w:type="dxa"/>
            <w:tcBorders>
              <w:top w:val="single" w:sz="4" w:space="0" w:color="000000"/>
              <w:left w:val="single" w:sz="4" w:space="0" w:color="000000"/>
              <w:bottom w:val="single" w:sz="4" w:space="0" w:color="000000"/>
              <w:right w:val="single" w:sz="4" w:space="0" w:color="000000"/>
            </w:tcBorders>
          </w:tcPr>
          <w:p w14:paraId="5A43B578"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72959289"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200</w:t>
            </w:r>
          </w:p>
        </w:tc>
        <w:tc>
          <w:tcPr>
            <w:tcW w:w="941" w:type="dxa"/>
            <w:tcBorders>
              <w:top w:val="single" w:sz="4" w:space="0" w:color="000000"/>
              <w:left w:val="single" w:sz="2" w:space="0" w:color="000000"/>
              <w:bottom w:val="single" w:sz="4" w:space="0" w:color="000000"/>
              <w:right w:val="single" w:sz="4" w:space="0" w:color="000000"/>
            </w:tcBorders>
            <w:shd w:val="clear" w:color="auto" w:fill="40FAF6"/>
          </w:tcPr>
          <w:p w14:paraId="6F2378B8"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25DCC4AD" w14:textId="77777777" w:rsidTr="00C232D7">
        <w:trPr>
          <w:trHeight w:val="205"/>
        </w:trPr>
        <w:tc>
          <w:tcPr>
            <w:tcW w:w="281" w:type="dxa"/>
            <w:gridSpan w:val="2"/>
            <w:vMerge/>
            <w:tcBorders>
              <w:top w:val="nil"/>
              <w:left w:val="single" w:sz="4" w:space="0" w:color="000000"/>
              <w:bottom w:val="nil"/>
              <w:right w:val="single" w:sz="4" w:space="0" w:color="000000"/>
            </w:tcBorders>
          </w:tcPr>
          <w:p w14:paraId="76A2590A"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4D3EBCC8"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8. </w:t>
            </w:r>
          </w:p>
        </w:tc>
        <w:tc>
          <w:tcPr>
            <w:tcW w:w="3969" w:type="dxa"/>
            <w:gridSpan w:val="8"/>
            <w:tcBorders>
              <w:top w:val="single" w:sz="4" w:space="0" w:color="000000"/>
              <w:left w:val="single" w:sz="4" w:space="0" w:color="000000"/>
              <w:bottom w:val="single" w:sz="2" w:space="0" w:color="000000"/>
              <w:right w:val="single" w:sz="4" w:space="0" w:color="000000"/>
            </w:tcBorders>
          </w:tcPr>
          <w:p w14:paraId="7ADD311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Ilino – Rijeka Željeznica </w:t>
            </w:r>
          </w:p>
        </w:tc>
        <w:tc>
          <w:tcPr>
            <w:tcW w:w="2677" w:type="dxa"/>
            <w:tcBorders>
              <w:top w:val="single" w:sz="4" w:space="0" w:color="000000"/>
              <w:left w:val="single" w:sz="4" w:space="0" w:color="000000"/>
              <w:bottom w:val="single" w:sz="2" w:space="0" w:color="000000"/>
              <w:right w:val="single" w:sz="4" w:space="0" w:color="000000"/>
            </w:tcBorders>
          </w:tcPr>
          <w:p w14:paraId="12B09FBD"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Građevinski  </w:t>
            </w:r>
          </w:p>
        </w:tc>
        <w:tc>
          <w:tcPr>
            <w:tcW w:w="933" w:type="dxa"/>
            <w:gridSpan w:val="2"/>
            <w:tcBorders>
              <w:top w:val="single" w:sz="4" w:space="0" w:color="000000"/>
              <w:left w:val="single" w:sz="4" w:space="0" w:color="000000"/>
              <w:bottom w:val="single" w:sz="2" w:space="0" w:color="000000"/>
              <w:right w:val="single" w:sz="2" w:space="0" w:color="000000"/>
            </w:tcBorders>
          </w:tcPr>
          <w:p w14:paraId="1CECD6A0"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41" w:type="dxa"/>
            <w:tcBorders>
              <w:top w:val="single" w:sz="4" w:space="0" w:color="000000"/>
              <w:left w:val="single" w:sz="2" w:space="0" w:color="000000"/>
              <w:bottom w:val="single" w:sz="2" w:space="0" w:color="000000"/>
              <w:right w:val="single" w:sz="4" w:space="0" w:color="000000"/>
            </w:tcBorders>
            <w:shd w:val="clear" w:color="auto" w:fill="40FAF6"/>
          </w:tcPr>
          <w:p w14:paraId="44F27E1C"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65761856" w14:textId="77777777" w:rsidTr="00C232D7">
        <w:trPr>
          <w:trHeight w:val="203"/>
        </w:trPr>
        <w:tc>
          <w:tcPr>
            <w:tcW w:w="281" w:type="dxa"/>
            <w:gridSpan w:val="2"/>
            <w:vMerge/>
            <w:tcBorders>
              <w:top w:val="nil"/>
              <w:left w:val="single" w:sz="4" w:space="0" w:color="000000"/>
              <w:bottom w:val="nil"/>
              <w:right w:val="single" w:sz="4" w:space="0" w:color="000000"/>
            </w:tcBorders>
          </w:tcPr>
          <w:p w14:paraId="2171E5C9"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2" w:space="0" w:color="000000"/>
              <w:left w:val="single" w:sz="4" w:space="0" w:color="000000"/>
              <w:bottom w:val="single" w:sz="4" w:space="0" w:color="000000"/>
              <w:right w:val="single" w:sz="4" w:space="0" w:color="000000"/>
            </w:tcBorders>
          </w:tcPr>
          <w:p w14:paraId="298907B1"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9. </w:t>
            </w:r>
          </w:p>
        </w:tc>
        <w:tc>
          <w:tcPr>
            <w:tcW w:w="3969" w:type="dxa"/>
            <w:gridSpan w:val="8"/>
            <w:tcBorders>
              <w:top w:val="single" w:sz="2" w:space="0" w:color="000000"/>
              <w:left w:val="single" w:sz="4" w:space="0" w:color="000000"/>
              <w:bottom w:val="single" w:sz="4" w:space="0" w:color="000000"/>
              <w:right w:val="single" w:sz="4" w:space="0" w:color="000000"/>
            </w:tcBorders>
          </w:tcPr>
          <w:p w14:paraId="08F8E992"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Stegvaš – Ostros  </w:t>
            </w:r>
          </w:p>
        </w:tc>
        <w:tc>
          <w:tcPr>
            <w:tcW w:w="2677" w:type="dxa"/>
            <w:tcBorders>
              <w:top w:val="single" w:sz="2" w:space="0" w:color="000000"/>
              <w:left w:val="single" w:sz="4" w:space="0" w:color="000000"/>
              <w:bottom w:val="single" w:sz="4" w:space="0" w:color="000000"/>
              <w:right w:val="single" w:sz="4" w:space="0" w:color="000000"/>
            </w:tcBorders>
          </w:tcPr>
          <w:p w14:paraId="50253877"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2" w:space="0" w:color="000000"/>
              <w:left w:val="single" w:sz="4" w:space="0" w:color="000000"/>
              <w:bottom w:val="single" w:sz="4" w:space="0" w:color="000000"/>
              <w:right w:val="single" w:sz="2" w:space="0" w:color="000000"/>
            </w:tcBorders>
          </w:tcPr>
          <w:p w14:paraId="3EF41070"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41" w:type="dxa"/>
            <w:tcBorders>
              <w:top w:val="single" w:sz="2" w:space="0" w:color="000000"/>
              <w:left w:val="single" w:sz="2" w:space="0" w:color="000000"/>
              <w:bottom w:val="single" w:sz="4" w:space="0" w:color="000000"/>
              <w:right w:val="single" w:sz="4" w:space="0" w:color="000000"/>
            </w:tcBorders>
            <w:shd w:val="clear" w:color="auto" w:fill="40FAF6"/>
          </w:tcPr>
          <w:p w14:paraId="34275F0C"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6F114FE3" w14:textId="77777777" w:rsidTr="00C232D7">
        <w:trPr>
          <w:trHeight w:val="204"/>
        </w:trPr>
        <w:tc>
          <w:tcPr>
            <w:tcW w:w="281" w:type="dxa"/>
            <w:gridSpan w:val="2"/>
            <w:vMerge/>
            <w:tcBorders>
              <w:top w:val="nil"/>
              <w:left w:val="single" w:sz="4" w:space="0" w:color="000000"/>
              <w:bottom w:val="nil"/>
              <w:right w:val="single" w:sz="4" w:space="0" w:color="000000"/>
            </w:tcBorders>
          </w:tcPr>
          <w:p w14:paraId="7E90984B"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0C2F7B85"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11. </w:t>
            </w:r>
          </w:p>
        </w:tc>
        <w:tc>
          <w:tcPr>
            <w:tcW w:w="3969" w:type="dxa"/>
            <w:gridSpan w:val="8"/>
            <w:tcBorders>
              <w:top w:val="single" w:sz="4" w:space="0" w:color="000000"/>
              <w:left w:val="single" w:sz="4" w:space="0" w:color="000000"/>
              <w:bottom w:val="single" w:sz="4" w:space="0" w:color="000000"/>
              <w:right w:val="single" w:sz="4" w:space="0" w:color="000000"/>
            </w:tcBorders>
          </w:tcPr>
          <w:p w14:paraId="14A263F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Bukovik – kod magistarle </w:t>
            </w:r>
          </w:p>
        </w:tc>
        <w:tc>
          <w:tcPr>
            <w:tcW w:w="2677" w:type="dxa"/>
            <w:tcBorders>
              <w:top w:val="single" w:sz="4" w:space="0" w:color="000000"/>
              <w:left w:val="single" w:sz="4" w:space="0" w:color="000000"/>
              <w:bottom w:val="single" w:sz="4" w:space="0" w:color="000000"/>
              <w:right w:val="single" w:sz="4" w:space="0" w:color="000000"/>
            </w:tcBorders>
          </w:tcPr>
          <w:p w14:paraId="34E22C50"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63CABF45"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41" w:type="dxa"/>
            <w:tcBorders>
              <w:top w:val="single" w:sz="4" w:space="0" w:color="000000"/>
              <w:left w:val="single" w:sz="2" w:space="0" w:color="000000"/>
              <w:bottom w:val="single" w:sz="4" w:space="0" w:color="000000"/>
              <w:right w:val="single" w:sz="4" w:space="0" w:color="000000"/>
            </w:tcBorders>
            <w:shd w:val="clear" w:color="auto" w:fill="40FAF6"/>
          </w:tcPr>
          <w:p w14:paraId="74189B78"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121535FA" w14:textId="77777777" w:rsidTr="00C232D7">
        <w:trPr>
          <w:trHeight w:val="397"/>
        </w:trPr>
        <w:tc>
          <w:tcPr>
            <w:tcW w:w="281" w:type="dxa"/>
            <w:gridSpan w:val="2"/>
            <w:vMerge/>
            <w:tcBorders>
              <w:top w:val="nil"/>
              <w:left w:val="single" w:sz="4" w:space="0" w:color="000000"/>
              <w:bottom w:val="nil"/>
              <w:right w:val="single" w:sz="4" w:space="0" w:color="000000"/>
            </w:tcBorders>
          </w:tcPr>
          <w:p w14:paraId="0632BD11"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vAlign w:val="center"/>
          </w:tcPr>
          <w:p w14:paraId="638BE38E"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12. </w:t>
            </w:r>
          </w:p>
        </w:tc>
        <w:tc>
          <w:tcPr>
            <w:tcW w:w="3969" w:type="dxa"/>
            <w:gridSpan w:val="8"/>
            <w:tcBorders>
              <w:top w:val="single" w:sz="4" w:space="0" w:color="000000"/>
              <w:left w:val="single" w:sz="4" w:space="0" w:color="000000"/>
              <w:bottom w:val="single" w:sz="4" w:space="0" w:color="000000"/>
              <w:right w:val="single" w:sz="4" w:space="0" w:color="000000"/>
            </w:tcBorders>
            <w:vAlign w:val="center"/>
          </w:tcPr>
          <w:p w14:paraId="08A5A92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Bušat – 700m od magistrale Bar-Ulcinj ka selu Karasovići </w:t>
            </w:r>
          </w:p>
        </w:tc>
        <w:tc>
          <w:tcPr>
            <w:tcW w:w="2677" w:type="dxa"/>
            <w:tcBorders>
              <w:top w:val="single" w:sz="4" w:space="0" w:color="000000"/>
              <w:left w:val="single" w:sz="4" w:space="0" w:color="000000"/>
              <w:bottom w:val="single" w:sz="4" w:space="0" w:color="000000"/>
              <w:right w:val="single" w:sz="4" w:space="0" w:color="000000"/>
            </w:tcBorders>
            <w:vAlign w:val="center"/>
          </w:tcPr>
          <w:p w14:paraId="5656626E"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i građevinski  </w:t>
            </w:r>
          </w:p>
        </w:tc>
        <w:tc>
          <w:tcPr>
            <w:tcW w:w="933" w:type="dxa"/>
            <w:gridSpan w:val="2"/>
            <w:tcBorders>
              <w:top w:val="single" w:sz="4" w:space="0" w:color="000000"/>
              <w:left w:val="single" w:sz="4" w:space="0" w:color="000000"/>
              <w:bottom w:val="single" w:sz="4" w:space="0" w:color="000000"/>
              <w:right w:val="single" w:sz="2" w:space="0" w:color="000000"/>
            </w:tcBorders>
            <w:vAlign w:val="center"/>
          </w:tcPr>
          <w:p w14:paraId="4B0AF113"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200</w:t>
            </w:r>
          </w:p>
        </w:tc>
        <w:tc>
          <w:tcPr>
            <w:tcW w:w="941" w:type="dxa"/>
            <w:tcBorders>
              <w:top w:val="single" w:sz="4" w:space="0" w:color="000000"/>
              <w:left w:val="single" w:sz="2" w:space="0" w:color="000000"/>
              <w:bottom w:val="single" w:sz="4" w:space="0" w:color="000000"/>
              <w:right w:val="single" w:sz="4" w:space="0" w:color="000000"/>
            </w:tcBorders>
            <w:shd w:val="clear" w:color="auto" w:fill="40FAF6"/>
            <w:vAlign w:val="center"/>
          </w:tcPr>
          <w:p w14:paraId="7DCF3AF1" w14:textId="77777777" w:rsidR="00C232D7" w:rsidRPr="00F6198B" w:rsidRDefault="00C232D7" w:rsidP="00A23ED0">
            <w:pPr>
              <w:numPr>
                <w:ilvl w:val="0"/>
                <w:numId w:val="25"/>
              </w:numPr>
              <w:spacing w:after="5" w:line="360" w:lineRule="auto"/>
              <w:ind w:right="2"/>
              <w:contextualSpacing/>
              <w:rPr>
                <w:rFonts w:ascii="Arial" w:hAnsi="Arial" w:cs="Arial"/>
                <w:color w:val="000000"/>
                <w:sz w:val="18"/>
                <w:szCs w:val="18"/>
                <w:lang w:val="sr-Latn-RS"/>
              </w:rPr>
            </w:pPr>
          </w:p>
        </w:tc>
      </w:tr>
      <w:tr w:rsidR="00C232D7" w:rsidRPr="00F6198B" w14:paraId="26A246A8" w14:textId="77777777" w:rsidTr="00C232D7">
        <w:trPr>
          <w:trHeight w:val="96"/>
        </w:trPr>
        <w:tc>
          <w:tcPr>
            <w:tcW w:w="281" w:type="dxa"/>
            <w:gridSpan w:val="2"/>
            <w:vMerge/>
            <w:tcBorders>
              <w:top w:val="nil"/>
              <w:left w:val="single" w:sz="4" w:space="0" w:color="000000"/>
              <w:bottom w:val="single" w:sz="4" w:space="0" w:color="000000"/>
              <w:right w:val="single" w:sz="4" w:space="0" w:color="000000"/>
            </w:tcBorders>
          </w:tcPr>
          <w:p w14:paraId="52C46633" w14:textId="77777777" w:rsidR="00C232D7" w:rsidRPr="00F6198B" w:rsidRDefault="00C232D7" w:rsidP="00C232D7">
            <w:pPr>
              <w:spacing w:after="160" w:line="360" w:lineRule="auto"/>
              <w:rPr>
                <w:rFonts w:ascii="Arial" w:hAnsi="Arial" w:cs="Arial"/>
                <w:color w:val="000000"/>
                <w:sz w:val="18"/>
                <w:szCs w:val="18"/>
                <w:lang w:val="sr-Latn-RS"/>
              </w:rPr>
            </w:pPr>
          </w:p>
        </w:tc>
        <w:tc>
          <w:tcPr>
            <w:tcW w:w="7216" w:type="dxa"/>
            <w:gridSpan w:val="11"/>
            <w:tcBorders>
              <w:top w:val="single" w:sz="4" w:space="0" w:color="000000"/>
              <w:left w:val="single" w:sz="4" w:space="0" w:color="000000"/>
              <w:bottom w:val="single" w:sz="4" w:space="0" w:color="000000"/>
              <w:right w:val="single" w:sz="4" w:space="0" w:color="000000"/>
            </w:tcBorders>
          </w:tcPr>
          <w:p w14:paraId="53919D13" w14:textId="77777777" w:rsidR="00C232D7" w:rsidRPr="00F6198B" w:rsidRDefault="00C232D7" w:rsidP="00C232D7">
            <w:pPr>
              <w:spacing w:line="360" w:lineRule="auto"/>
              <w:rPr>
                <w:rFonts w:ascii="Arial" w:hAnsi="Arial" w:cs="Arial"/>
                <w:color w:val="000000"/>
                <w:sz w:val="18"/>
                <w:szCs w:val="18"/>
                <w:lang w:val="sr-Latn-RS"/>
              </w:rPr>
            </w:pPr>
          </w:p>
        </w:tc>
        <w:tc>
          <w:tcPr>
            <w:tcW w:w="933" w:type="dxa"/>
            <w:gridSpan w:val="2"/>
            <w:tcBorders>
              <w:top w:val="single" w:sz="4" w:space="0" w:color="000000"/>
              <w:left w:val="single" w:sz="4" w:space="0" w:color="000000"/>
              <w:bottom w:val="single" w:sz="4" w:space="0" w:color="000000"/>
              <w:right w:val="nil"/>
            </w:tcBorders>
          </w:tcPr>
          <w:p w14:paraId="1443C6FC" w14:textId="77777777" w:rsidR="00C232D7" w:rsidRPr="00F6198B" w:rsidRDefault="00C232D7" w:rsidP="00C232D7">
            <w:pPr>
              <w:spacing w:line="360" w:lineRule="auto"/>
              <w:rPr>
                <w:rFonts w:ascii="Arial" w:hAnsi="Arial" w:cs="Arial"/>
                <w:color w:val="000000"/>
                <w:sz w:val="18"/>
                <w:szCs w:val="18"/>
                <w:lang w:val="sr-Latn-RS"/>
              </w:rPr>
            </w:pPr>
          </w:p>
        </w:tc>
        <w:tc>
          <w:tcPr>
            <w:tcW w:w="941" w:type="dxa"/>
            <w:tcBorders>
              <w:top w:val="single" w:sz="4" w:space="0" w:color="000000"/>
              <w:left w:val="nil"/>
              <w:bottom w:val="single" w:sz="4" w:space="0" w:color="000000"/>
              <w:right w:val="single" w:sz="4" w:space="0" w:color="000000"/>
            </w:tcBorders>
          </w:tcPr>
          <w:p w14:paraId="0735664D"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329D8875" w14:textId="77777777" w:rsidTr="00C232D7">
        <w:trPr>
          <w:trHeight w:val="204"/>
        </w:trPr>
        <w:tc>
          <w:tcPr>
            <w:tcW w:w="1276" w:type="dxa"/>
            <w:gridSpan w:val="6"/>
            <w:tcBorders>
              <w:top w:val="single" w:sz="4" w:space="0" w:color="000000"/>
              <w:left w:val="single" w:sz="4" w:space="0" w:color="000000"/>
              <w:bottom w:val="single" w:sz="4" w:space="0" w:color="000000"/>
              <w:right w:val="single" w:sz="4" w:space="0" w:color="000000"/>
            </w:tcBorders>
            <w:shd w:val="clear" w:color="auto" w:fill="EAF1DD"/>
          </w:tcPr>
          <w:p w14:paraId="3A7D54BA" w14:textId="77777777" w:rsidR="00C232D7" w:rsidRPr="00F6198B" w:rsidRDefault="00C232D7" w:rsidP="00C232D7">
            <w:pPr>
              <w:spacing w:line="360" w:lineRule="auto"/>
              <w:rPr>
                <w:rFonts w:ascii="Arial" w:hAnsi="Arial" w:cs="Arial"/>
                <w:color w:val="000000"/>
                <w:sz w:val="18"/>
                <w:szCs w:val="18"/>
                <w:lang w:val="sr-Latn-RS"/>
              </w:rPr>
            </w:pPr>
          </w:p>
          <w:p w14:paraId="75283829"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3. BERANE </w:t>
            </w:r>
          </w:p>
        </w:tc>
        <w:tc>
          <w:tcPr>
            <w:tcW w:w="7154" w:type="dxa"/>
            <w:gridSpan w:val="9"/>
            <w:tcBorders>
              <w:top w:val="single" w:sz="4" w:space="0" w:color="000000"/>
              <w:left w:val="single" w:sz="4" w:space="0" w:color="000000"/>
              <w:bottom w:val="single" w:sz="4" w:space="0" w:color="000000"/>
              <w:right w:val="nil"/>
            </w:tcBorders>
            <w:shd w:val="clear" w:color="auto" w:fill="EAF1DD"/>
          </w:tcPr>
          <w:p w14:paraId="22FF7FDF"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41" w:type="dxa"/>
            <w:tcBorders>
              <w:top w:val="single" w:sz="4" w:space="0" w:color="000000"/>
              <w:left w:val="nil"/>
              <w:bottom w:val="single" w:sz="4" w:space="0" w:color="000000"/>
              <w:right w:val="single" w:sz="4" w:space="0" w:color="000000"/>
            </w:tcBorders>
            <w:shd w:val="clear" w:color="auto" w:fill="EAF1DD"/>
          </w:tcPr>
          <w:p w14:paraId="3ED954F8"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1213E9A3" w14:textId="77777777" w:rsidTr="00C232D7">
        <w:trPr>
          <w:trHeight w:val="202"/>
        </w:trPr>
        <w:tc>
          <w:tcPr>
            <w:tcW w:w="281" w:type="dxa"/>
            <w:gridSpan w:val="2"/>
            <w:vMerge w:val="restart"/>
            <w:tcBorders>
              <w:top w:val="single" w:sz="4" w:space="0" w:color="auto"/>
              <w:left w:val="single" w:sz="4" w:space="0" w:color="000000"/>
              <w:bottom w:val="single" w:sz="4" w:space="0" w:color="000000"/>
              <w:right w:val="single" w:sz="4" w:space="0" w:color="000000"/>
            </w:tcBorders>
            <w:shd w:val="clear" w:color="auto" w:fill="EAF1DD"/>
            <w:vAlign w:val="center"/>
          </w:tcPr>
          <w:p w14:paraId="6088CC97" w14:textId="77777777" w:rsidR="00C232D7" w:rsidRPr="00F6198B" w:rsidRDefault="00C232D7" w:rsidP="00C232D7">
            <w:pPr>
              <w:spacing w:line="360" w:lineRule="auto"/>
              <w:ind w:right="41"/>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p w14:paraId="7B1D9FC2" w14:textId="77777777" w:rsidR="00C232D7" w:rsidRPr="00F6198B" w:rsidRDefault="00C232D7" w:rsidP="00C232D7">
            <w:pPr>
              <w:spacing w:line="360" w:lineRule="auto"/>
              <w:ind w:right="41"/>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70" w:type="dxa"/>
            <w:gridSpan w:val="2"/>
            <w:tcBorders>
              <w:top w:val="single" w:sz="4" w:space="0" w:color="000000"/>
              <w:left w:val="single" w:sz="4" w:space="0" w:color="000000"/>
              <w:bottom w:val="single" w:sz="4" w:space="0" w:color="000000"/>
              <w:right w:val="single" w:sz="4" w:space="0" w:color="000000"/>
            </w:tcBorders>
          </w:tcPr>
          <w:p w14:paraId="3A86CCB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969" w:type="dxa"/>
            <w:gridSpan w:val="8"/>
            <w:tcBorders>
              <w:top w:val="single" w:sz="4" w:space="0" w:color="000000"/>
              <w:left w:val="single" w:sz="4" w:space="0" w:color="000000"/>
              <w:bottom w:val="single" w:sz="4" w:space="0" w:color="000000"/>
              <w:right w:val="single" w:sz="4" w:space="0" w:color="000000"/>
            </w:tcBorders>
          </w:tcPr>
          <w:p w14:paraId="6067557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BE-Lubnica, dužina 100m, Musića luka </w:t>
            </w:r>
          </w:p>
        </w:tc>
        <w:tc>
          <w:tcPr>
            <w:tcW w:w="2677" w:type="dxa"/>
            <w:tcBorders>
              <w:top w:val="single" w:sz="4" w:space="0" w:color="000000"/>
              <w:left w:val="single" w:sz="4" w:space="0" w:color="000000"/>
              <w:bottom w:val="single" w:sz="4" w:space="0" w:color="000000"/>
              <w:right w:val="single" w:sz="4" w:space="0" w:color="000000"/>
            </w:tcBorders>
          </w:tcPr>
          <w:p w14:paraId="7747057B"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7AAA298E"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6D091FC0"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7DD49BB7" w14:textId="77777777" w:rsidTr="00C232D7">
        <w:trPr>
          <w:trHeight w:val="202"/>
        </w:trPr>
        <w:tc>
          <w:tcPr>
            <w:tcW w:w="281" w:type="dxa"/>
            <w:gridSpan w:val="2"/>
            <w:vMerge/>
            <w:tcBorders>
              <w:top w:val="single" w:sz="4" w:space="0" w:color="000000"/>
              <w:left w:val="single" w:sz="4" w:space="0" w:color="000000"/>
              <w:bottom w:val="single" w:sz="4" w:space="0" w:color="000000"/>
              <w:right w:val="single" w:sz="4" w:space="0" w:color="000000"/>
            </w:tcBorders>
            <w:shd w:val="clear" w:color="auto" w:fill="EAF1DD"/>
            <w:vAlign w:val="center"/>
          </w:tcPr>
          <w:p w14:paraId="20F6C073" w14:textId="77777777" w:rsidR="00C232D7" w:rsidRPr="00F6198B" w:rsidRDefault="00C232D7" w:rsidP="00C232D7">
            <w:pPr>
              <w:spacing w:line="360" w:lineRule="auto"/>
              <w:ind w:right="41"/>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3541B20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2.</w:t>
            </w:r>
          </w:p>
        </w:tc>
        <w:tc>
          <w:tcPr>
            <w:tcW w:w="3969" w:type="dxa"/>
            <w:gridSpan w:val="8"/>
            <w:tcBorders>
              <w:top w:val="single" w:sz="4" w:space="0" w:color="000000"/>
              <w:left w:val="single" w:sz="4" w:space="0" w:color="000000"/>
              <w:bottom w:val="single" w:sz="4" w:space="0" w:color="000000"/>
              <w:right w:val="single" w:sz="4" w:space="0" w:color="000000"/>
            </w:tcBorders>
          </w:tcPr>
          <w:p w14:paraId="34577D80"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BE-Andrijevica Musića luka</w:t>
            </w:r>
          </w:p>
        </w:tc>
        <w:tc>
          <w:tcPr>
            <w:tcW w:w="2677" w:type="dxa"/>
            <w:tcBorders>
              <w:top w:val="single" w:sz="4" w:space="0" w:color="000000"/>
              <w:left w:val="single" w:sz="4" w:space="0" w:color="000000"/>
              <w:bottom w:val="single" w:sz="4" w:space="0" w:color="000000"/>
              <w:right w:val="single" w:sz="4" w:space="0" w:color="000000"/>
            </w:tcBorders>
          </w:tcPr>
          <w:p w14:paraId="1B7671DE"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Građevinski otpad</w:t>
            </w:r>
          </w:p>
        </w:tc>
        <w:tc>
          <w:tcPr>
            <w:tcW w:w="933" w:type="dxa"/>
            <w:gridSpan w:val="2"/>
            <w:tcBorders>
              <w:top w:val="single" w:sz="4" w:space="0" w:color="000000"/>
              <w:left w:val="single" w:sz="4" w:space="0" w:color="000000"/>
              <w:bottom w:val="single" w:sz="4" w:space="0" w:color="000000"/>
              <w:right w:val="single" w:sz="2" w:space="0" w:color="000000"/>
            </w:tcBorders>
          </w:tcPr>
          <w:p w14:paraId="29FB0760"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600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1E56AA6B"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2DA95161" w14:textId="77777777" w:rsidTr="00C232D7">
        <w:trPr>
          <w:trHeight w:val="202"/>
        </w:trPr>
        <w:tc>
          <w:tcPr>
            <w:tcW w:w="281" w:type="dxa"/>
            <w:gridSpan w:val="2"/>
            <w:vMerge/>
            <w:tcBorders>
              <w:top w:val="single" w:sz="4" w:space="0" w:color="000000"/>
              <w:left w:val="single" w:sz="4" w:space="0" w:color="000000"/>
              <w:bottom w:val="single" w:sz="4" w:space="0" w:color="000000"/>
              <w:right w:val="single" w:sz="4" w:space="0" w:color="000000"/>
            </w:tcBorders>
            <w:shd w:val="clear" w:color="auto" w:fill="EAF1DD"/>
            <w:vAlign w:val="center"/>
          </w:tcPr>
          <w:p w14:paraId="6066BB4E" w14:textId="77777777" w:rsidR="00C232D7" w:rsidRPr="00F6198B" w:rsidRDefault="00C232D7" w:rsidP="00C232D7">
            <w:pPr>
              <w:spacing w:line="360" w:lineRule="auto"/>
              <w:ind w:right="41"/>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602C9B0A"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3969" w:type="dxa"/>
            <w:gridSpan w:val="8"/>
            <w:tcBorders>
              <w:top w:val="single" w:sz="4" w:space="0" w:color="000000"/>
              <w:left w:val="single" w:sz="4" w:space="0" w:color="000000"/>
              <w:bottom w:val="single" w:sz="4" w:space="0" w:color="000000"/>
              <w:right w:val="single" w:sz="4" w:space="0" w:color="000000"/>
            </w:tcBorders>
          </w:tcPr>
          <w:p w14:paraId="2A44CA91"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MZ Pješca obilaznica sportsko igralište</w:t>
            </w:r>
          </w:p>
        </w:tc>
        <w:tc>
          <w:tcPr>
            <w:tcW w:w="2677" w:type="dxa"/>
            <w:tcBorders>
              <w:top w:val="single" w:sz="4" w:space="0" w:color="000000"/>
              <w:left w:val="single" w:sz="4" w:space="0" w:color="000000"/>
              <w:bottom w:val="single" w:sz="4" w:space="0" w:color="000000"/>
              <w:right w:val="single" w:sz="4" w:space="0" w:color="000000"/>
            </w:tcBorders>
          </w:tcPr>
          <w:p w14:paraId="2C1BE0CA"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448B5D21"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60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31809A39"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5152BF11" w14:textId="77777777" w:rsidTr="00C232D7">
        <w:trPr>
          <w:trHeight w:val="202"/>
        </w:trPr>
        <w:tc>
          <w:tcPr>
            <w:tcW w:w="281" w:type="dxa"/>
            <w:gridSpan w:val="2"/>
            <w:vMerge/>
            <w:tcBorders>
              <w:top w:val="single" w:sz="4" w:space="0" w:color="000000"/>
              <w:left w:val="single" w:sz="4" w:space="0" w:color="000000"/>
              <w:bottom w:val="single" w:sz="4" w:space="0" w:color="000000"/>
              <w:right w:val="single" w:sz="4" w:space="0" w:color="000000"/>
            </w:tcBorders>
            <w:shd w:val="clear" w:color="auto" w:fill="EAF1DD"/>
            <w:vAlign w:val="center"/>
          </w:tcPr>
          <w:p w14:paraId="53A3B374" w14:textId="77777777" w:rsidR="00C232D7" w:rsidRPr="00F6198B" w:rsidRDefault="00C232D7" w:rsidP="00C232D7">
            <w:pPr>
              <w:spacing w:line="360" w:lineRule="auto"/>
              <w:ind w:right="41"/>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4A28525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4.</w:t>
            </w:r>
          </w:p>
        </w:tc>
        <w:tc>
          <w:tcPr>
            <w:tcW w:w="3969" w:type="dxa"/>
            <w:gridSpan w:val="8"/>
            <w:tcBorders>
              <w:top w:val="single" w:sz="4" w:space="0" w:color="000000"/>
              <w:left w:val="single" w:sz="4" w:space="0" w:color="000000"/>
              <w:bottom w:val="single" w:sz="4" w:space="0" w:color="000000"/>
              <w:right w:val="single" w:sz="4" w:space="0" w:color="000000"/>
            </w:tcBorders>
          </w:tcPr>
          <w:p w14:paraId="07EBAE59" w14:textId="34883CD3"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MZ Pješca teniski tereni Popovi</w:t>
            </w:r>
            <w:r w:rsidR="00E40CD6" w:rsidRPr="00E40CD6">
              <w:rPr>
                <w:rFonts w:ascii="Arial" w:hAnsi="Arial" w:cs="Arial"/>
                <w:color w:val="000000"/>
                <w:sz w:val="18"/>
                <w:szCs w:val="18"/>
                <w:lang w:val="sr-Latn-RS"/>
              </w:rPr>
              <w:t>ć</w:t>
            </w:r>
          </w:p>
        </w:tc>
        <w:tc>
          <w:tcPr>
            <w:tcW w:w="2677" w:type="dxa"/>
            <w:tcBorders>
              <w:top w:val="single" w:sz="4" w:space="0" w:color="000000"/>
              <w:left w:val="single" w:sz="4" w:space="0" w:color="000000"/>
              <w:bottom w:val="single" w:sz="4" w:space="0" w:color="000000"/>
              <w:right w:val="single" w:sz="4" w:space="0" w:color="000000"/>
            </w:tcBorders>
          </w:tcPr>
          <w:p w14:paraId="778C3E88"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5A47DC11"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11D27157"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6CD89F2B" w14:textId="77777777" w:rsidTr="00C232D7">
        <w:trPr>
          <w:trHeight w:val="202"/>
        </w:trPr>
        <w:tc>
          <w:tcPr>
            <w:tcW w:w="281" w:type="dxa"/>
            <w:gridSpan w:val="2"/>
            <w:vMerge/>
            <w:tcBorders>
              <w:top w:val="single" w:sz="4" w:space="0" w:color="000000"/>
              <w:left w:val="single" w:sz="4" w:space="0" w:color="000000"/>
              <w:bottom w:val="single" w:sz="4" w:space="0" w:color="000000"/>
              <w:right w:val="single" w:sz="4" w:space="0" w:color="000000"/>
            </w:tcBorders>
            <w:shd w:val="clear" w:color="auto" w:fill="EAF1DD"/>
            <w:vAlign w:val="center"/>
          </w:tcPr>
          <w:p w14:paraId="6E78CC4F" w14:textId="77777777" w:rsidR="00C232D7" w:rsidRPr="00F6198B" w:rsidRDefault="00C232D7" w:rsidP="00C232D7">
            <w:pPr>
              <w:spacing w:line="360" w:lineRule="auto"/>
              <w:ind w:right="41"/>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2B42EA7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3969" w:type="dxa"/>
            <w:gridSpan w:val="8"/>
            <w:tcBorders>
              <w:top w:val="single" w:sz="4" w:space="0" w:color="000000"/>
              <w:left w:val="single" w:sz="4" w:space="0" w:color="000000"/>
              <w:bottom w:val="single" w:sz="4" w:space="0" w:color="000000"/>
              <w:right w:val="single" w:sz="4" w:space="0" w:color="000000"/>
            </w:tcBorders>
          </w:tcPr>
          <w:p w14:paraId="4128885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Obilaznica pored Lima </w:t>
            </w:r>
          </w:p>
        </w:tc>
        <w:tc>
          <w:tcPr>
            <w:tcW w:w="2677" w:type="dxa"/>
            <w:tcBorders>
              <w:top w:val="single" w:sz="4" w:space="0" w:color="000000"/>
              <w:left w:val="single" w:sz="4" w:space="0" w:color="000000"/>
              <w:bottom w:val="single" w:sz="4" w:space="0" w:color="000000"/>
              <w:right w:val="single" w:sz="4" w:space="0" w:color="000000"/>
            </w:tcBorders>
          </w:tcPr>
          <w:p w14:paraId="4B03D157"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6C82DEFA"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73B11DFE"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7233C3A1" w14:textId="77777777" w:rsidTr="00C232D7">
        <w:trPr>
          <w:trHeight w:val="202"/>
        </w:trPr>
        <w:tc>
          <w:tcPr>
            <w:tcW w:w="281" w:type="dxa"/>
            <w:gridSpan w:val="2"/>
            <w:vMerge/>
            <w:tcBorders>
              <w:top w:val="single" w:sz="4" w:space="0" w:color="000000"/>
              <w:left w:val="single" w:sz="4" w:space="0" w:color="000000"/>
              <w:bottom w:val="single" w:sz="4" w:space="0" w:color="000000"/>
              <w:right w:val="single" w:sz="4" w:space="0" w:color="000000"/>
            </w:tcBorders>
            <w:shd w:val="clear" w:color="auto" w:fill="EAF1DD"/>
            <w:vAlign w:val="center"/>
          </w:tcPr>
          <w:p w14:paraId="4D5F253D" w14:textId="77777777" w:rsidR="00C232D7" w:rsidRPr="00F6198B" w:rsidRDefault="00C232D7" w:rsidP="00C232D7">
            <w:pPr>
              <w:spacing w:line="360" w:lineRule="auto"/>
              <w:ind w:right="41"/>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56246F4C"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3969" w:type="dxa"/>
            <w:gridSpan w:val="8"/>
            <w:tcBorders>
              <w:top w:val="single" w:sz="4" w:space="0" w:color="000000"/>
              <w:left w:val="single" w:sz="4" w:space="0" w:color="000000"/>
              <w:bottom w:val="single" w:sz="4" w:space="0" w:color="000000"/>
              <w:right w:val="single" w:sz="4" w:space="0" w:color="000000"/>
            </w:tcBorders>
          </w:tcPr>
          <w:p w14:paraId="4ECEA427"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Obilaznica Vatrogasni dom</w:t>
            </w:r>
          </w:p>
        </w:tc>
        <w:tc>
          <w:tcPr>
            <w:tcW w:w="2677" w:type="dxa"/>
            <w:tcBorders>
              <w:top w:val="single" w:sz="4" w:space="0" w:color="000000"/>
              <w:left w:val="single" w:sz="4" w:space="0" w:color="000000"/>
              <w:bottom w:val="single" w:sz="4" w:space="0" w:color="000000"/>
              <w:right w:val="single" w:sz="4" w:space="0" w:color="000000"/>
            </w:tcBorders>
          </w:tcPr>
          <w:p w14:paraId="687C5B6F"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05CCA76A"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900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173F4B2D"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41039A52" w14:textId="77777777" w:rsidTr="00C232D7">
        <w:trPr>
          <w:trHeight w:val="202"/>
        </w:trPr>
        <w:tc>
          <w:tcPr>
            <w:tcW w:w="281" w:type="dxa"/>
            <w:gridSpan w:val="2"/>
            <w:vMerge/>
            <w:tcBorders>
              <w:top w:val="single" w:sz="4" w:space="0" w:color="000000"/>
              <w:left w:val="single" w:sz="4" w:space="0" w:color="000000"/>
              <w:bottom w:val="single" w:sz="4" w:space="0" w:color="000000"/>
              <w:right w:val="single" w:sz="4" w:space="0" w:color="000000"/>
            </w:tcBorders>
            <w:shd w:val="clear" w:color="auto" w:fill="EAF1DD"/>
            <w:vAlign w:val="center"/>
          </w:tcPr>
          <w:p w14:paraId="46E4DFDD" w14:textId="77777777" w:rsidR="00C232D7" w:rsidRPr="00F6198B" w:rsidRDefault="00C232D7" w:rsidP="00C232D7">
            <w:pPr>
              <w:spacing w:line="360" w:lineRule="auto"/>
              <w:ind w:right="41"/>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556CFC2C"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7.</w:t>
            </w:r>
          </w:p>
        </w:tc>
        <w:tc>
          <w:tcPr>
            <w:tcW w:w="3969" w:type="dxa"/>
            <w:gridSpan w:val="8"/>
            <w:tcBorders>
              <w:top w:val="single" w:sz="4" w:space="0" w:color="000000"/>
              <w:left w:val="single" w:sz="4" w:space="0" w:color="000000"/>
              <w:bottom w:val="single" w:sz="4" w:space="0" w:color="000000"/>
              <w:right w:val="single" w:sz="4" w:space="0" w:color="000000"/>
            </w:tcBorders>
          </w:tcPr>
          <w:p w14:paraId="51130A7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Obilaznica blizu kuce S.Mitrovića</w:t>
            </w:r>
          </w:p>
        </w:tc>
        <w:tc>
          <w:tcPr>
            <w:tcW w:w="2677" w:type="dxa"/>
            <w:tcBorders>
              <w:top w:val="single" w:sz="4" w:space="0" w:color="000000"/>
              <w:left w:val="single" w:sz="4" w:space="0" w:color="000000"/>
              <w:bottom w:val="single" w:sz="4" w:space="0" w:color="000000"/>
              <w:right w:val="single" w:sz="4" w:space="0" w:color="000000"/>
            </w:tcBorders>
          </w:tcPr>
          <w:p w14:paraId="62862377"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4F0B8610"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0822FAFE"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4D2DEA9D" w14:textId="77777777" w:rsidTr="00C232D7">
        <w:trPr>
          <w:trHeight w:val="202"/>
        </w:trPr>
        <w:tc>
          <w:tcPr>
            <w:tcW w:w="281" w:type="dxa"/>
            <w:gridSpan w:val="2"/>
            <w:vMerge/>
            <w:tcBorders>
              <w:top w:val="single" w:sz="4" w:space="0" w:color="000000"/>
              <w:left w:val="single" w:sz="4" w:space="0" w:color="000000"/>
              <w:bottom w:val="single" w:sz="4" w:space="0" w:color="000000"/>
              <w:right w:val="single" w:sz="4" w:space="0" w:color="000000"/>
            </w:tcBorders>
            <w:shd w:val="clear" w:color="auto" w:fill="EAF1DD"/>
            <w:vAlign w:val="center"/>
          </w:tcPr>
          <w:p w14:paraId="42441088" w14:textId="77777777" w:rsidR="00C232D7" w:rsidRPr="00F6198B" w:rsidRDefault="00C232D7" w:rsidP="00C232D7">
            <w:pPr>
              <w:spacing w:line="360" w:lineRule="auto"/>
              <w:ind w:right="41"/>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483B1BF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8.</w:t>
            </w:r>
          </w:p>
        </w:tc>
        <w:tc>
          <w:tcPr>
            <w:tcW w:w="3969" w:type="dxa"/>
            <w:gridSpan w:val="8"/>
            <w:tcBorders>
              <w:top w:val="single" w:sz="4" w:space="0" w:color="000000"/>
              <w:left w:val="single" w:sz="4" w:space="0" w:color="000000"/>
              <w:bottom w:val="single" w:sz="4" w:space="0" w:color="000000"/>
              <w:right w:val="single" w:sz="4" w:space="0" w:color="000000"/>
            </w:tcBorders>
          </w:tcPr>
          <w:p w14:paraId="1EAC44B9"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Obilaznica nekadašnji parking Šuntić</w:t>
            </w:r>
          </w:p>
        </w:tc>
        <w:tc>
          <w:tcPr>
            <w:tcW w:w="2677" w:type="dxa"/>
            <w:tcBorders>
              <w:top w:val="single" w:sz="4" w:space="0" w:color="000000"/>
              <w:left w:val="single" w:sz="4" w:space="0" w:color="000000"/>
              <w:bottom w:val="single" w:sz="4" w:space="0" w:color="000000"/>
              <w:right w:val="single" w:sz="4" w:space="0" w:color="000000"/>
            </w:tcBorders>
          </w:tcPr>
          <w:p w14:paraId="51D521F5"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Mješani komunalni i građevinski  </w:t>
            </w:r>
          </w:p>
        </w:tc>
        <w:tc>
          <w:tcPr>
            <w:tcW w:w="933" w:type="dxa"/>
            <w:gridSpan w:val="2"/>
            <w:tcBorders>
              <w:top w:val="single" w:sz="4" w:space="0" w:color="000000"/>
              <w:left w:val="single" w:sz="4" w:space="0" w:color="000000"/>
              <w:bottom w:val="single" w:sz="4" w:space="0" w:color="000000"/>
              <w:right w:val="single" w:sz="2" w:space="0" w:color="000000"/>
            </w:tcBorders>
          </w:tcPr>
          <w:p w14:paraId="7884890B"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2000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0F8A716C"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64B7A406" w14:textId="77777777" w:rsidTr="00C232D7">
        <w:trPr>
          <w:trHeight w:val="206"/>
        </w:trPr>
        <w:tc>
          <w:tcPr>
            <w:tcW w:w="281" w:type="dxa"/>
            <w:gridSpan w:val="2"/>
            <w:vMerge/>
            <w:tcBorders>
              <w:top w:val="nil"/>
              <w:left w:val="single" w:sz="4" w:space="0" w:color="000000"/>
              <w:bottom w:val="nil"/>
              <w:right w:val="single" w:sz="4" w:space="0" w:color="000000"/>
            </w:tcBorders>
          </w:tcPr>
          <w:p w14:paraId="758E7395"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74F5003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9. </w:t>
            </w:r>
          </w:p>
        </w:tc>
        <w:tc>
          <w:tcPr>
            <w:tcW w:w="3969" w:type="dxa"/>
            <w:gridSpan w:val="8"/>
            <w:tcBorders>
              <w:top w:val="single" w:sz="4" w:space="0" w:color="000000"/>
              <w:left w:val="single" w:sz="4" w:space="0" w:color="000000"/>
              <w:bottom w:val="single" w:sz="4" w:space="0" w:color="000000"/>
              <w:right w:val="single" w:sz="4" w:space="0" w:color="000000"/>
            </w:tcBorders>
          </w:tcPr>
          <w:p w14:paraId="7615CC70"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Beranselo korito rijeke Sušice</w:t>
            </w:r>
          </w:p>
        </w:tc>
        <w:tc>
          <w:tcPr>
            <w:tcW w:w="2677" w:type="dxa"/>
            <w:tcBorders>
              <w:top w:val="single" w:sz="4" w:space="0" w:color="000000"/>
              <w:left w:val="single" w:sz="4" w:space="0" w:color="000000"/>
              <w:bottom w:val="single" w:sz="4" w:space="0" w:color="000000"/>
              <w:right w:val="single" w:sz="4" w:space="0" w:color="000000"/>
            </w:tcBorders>
          </w:tcPr>
          <w:p w14:paraId="3D50E723"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63C00CB1"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80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59B3E07B"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r w:rsidRPr="00F6198B">
              <w:rPr>
                <w:rFonts w:ascii="Arial" w:eastAsia="Arial" w:hAnsi="Arial" w:cs="Arial"/>
                <w:sz w:val="18"/>
                <w:szCs w:val="18"/>
                <w:lang w:val="sr-Latn-RS"/>
              </w:rPr>
              <w:t xml:space="preserve"> </w:t>
            </w:r>
          </w:p>
        </w:tc>
      </w:tr>
      <w:tr w:rsidR="00C232D7" w:rsidRPr="00F6198B" w14:paraId="3067A6D1" w14:textId="77777777" w:rsidTr="00C232D7">
        <w:trPr>
          <w:trHeight w:val="203"/>
        </w:trPr>
        <w:tc>
          <w:tcPr>
            <w:tcW w:w="281" w:type="dxa"/>
            <w:gridSpan w:val="2"/>
            <w:vMerge/>
            <w:tcBorders>
              <w:top w:val="nil"/>
              <w:left w:val="single" w:sz="4" w:space="0" w:color="000000"/>
              <w:bottom w:val="nil"/>
              <w:right w:val="single" w:sz="4" w:space="0" w:color="000000"/>
            </w:tcBorders>
          </w:tcPr>
          <w:p w14:paraId="741C761C"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02EBFAA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10. </w:t>
            </w:r>
          </w:p>
        </w:tc>
        <w:tc>
          <w:tcPr>
            <w:tcW w:w="3969" w:type="dxa"/>
            <w:gridSpan w:val="8"/>
            <w:tcBorders>
              <w:top w:val="single" w:sz="4" w:space="0" w:color="000000"/>
              <w:left w:val="single" w:sz="4" w:space="0" w:color="000000"/>
              <w:bottom w:val="single" w:sz="2" w:space="0" w:color="000000"/>
              <w:right w:val="single" w:sz="4" w:space="0" w:color="000000"/>
            </w:tcBorders>
          </w:tcPr>
          <w:p w14:paraId="31FB6A21"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BE-Crni vrh iznad kuće Mila Labovića</w:t>
            </w:r>
          </w:p>
        </w:tc>
        <w:tc>
          <w:tcPr>
            <w:tcW w:w="2677" w:type="dxa"/>
            <w:tcBorders>
              <w:top w:val="single" w:sz="4" w:space="0" w:color="000000"/>
              <w:left w:val="single" w:sz="4" w:space="0" w:color="000000"/>
              <w:bottom w:val="single" w:sz="2" w:space="0" w:color="000000"/>
              <w:right w:val="single" w:sz="4" w:space="0" w:color="000000"/>
            </w:tcBorders>
          </w:tcPr>
          <w:p w14:paraId="152333D5"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02883392"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3E2F1C90"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r w:rsidRPr="00F6198B">
              <w:rPr>
                <w:rFonts w:ascii="Arial" w:eastAsia="Arial" w:hAnsi="Arial" w:cs="Arial"/>
                <w:sz w:val="18"/>
                <w:szCs w:val="18"/>
                <w:lang w:val="sr-Latn-RS"/>
              </w:rPr>
              <w:t xml:space="preserve"> </w:t>
            </w:r>
          </w:p>
        </w:tc>
      </w:tr>
      <w:tr w:rsidR="00C232D7" w:rsidRPr="00F6198B" w14:paraId="44BD7307" w14:textId="77777777" w:rsidTr="00C232D7">
        <w:trPr>
          <w:trHeight w:val="203"/>
        </w:trPr>
        <w:tc>
          <w:tcPr>
            <w:tcW w:w="281" w:type="dxa"/>
            <w:gridSpan w:val="2"/>
            <w:vMerge/>
            <w:tcBorders>
              <w:top w:val="nil"/>
              <w:left w:val="single" w:sz="4" w:space="0" w:color="000000"/>
              <w:bottom w:val="nil"/>
              <w:right w:val="single" w:sz="4" w:space="0" w:color="000000"/>
            </w:tcBorders>
          </w:tcPr>
          <w:p w14:paraId="13777CFD"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6A02C05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11.</w:t>
            </w:r>
          </w:p>
        </w:tc>
        <w:tc>
          <w:tcPr>
            <w:tcW w:w="3969" w:type="dxa"/>
            <w:gridSpan w:val="8"/>
            <w:tcBorders>
              <w:top w:val="single" w:sz="4" w:space="0" w:color="000000"/>
              <w:left w:val="single" w:sz="4" w:space="0" w:color="000000"/>
              <w:bottom w:val="single" w:sz="2" w:space="0" w:color="000000"/>
              <w:right w:val="single" w:sz="4" w:space="0" w:color="000000"/>
            </w:tcBorders>
          </w:tcPr>
          <w:p w14:paraId="0698A511"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BE-Crni vrh Klisura Gnionik</w:t>
            </w:r>
          </w:p>
        </w:tc>
        <w:tc>
          <w:tcPr>
            <w:tcW w:w="2677" w:type="dxa"/>
            <w:tcBorders>
              <w:top w:val="single" w:sz="4" w:space="0" w:color="000000"/>
              <w:left w:val="single" w:sz="4" w:space="0" w:color="000000"/>
              <w:bottom w:val="single" w:sz="2" w:space="0" w:color="000000"/>
              <w:right w:val="single" w:sz="4" w:space="0" w:color="000000"/>
            </w:tcBorders>
          </w:tcPr>
          <w:p w14:paraId="29013526"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2E60C095"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50C8DC6F"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437FA0B4" w14:textId="77777777" w:rsidTr="00C232D7">
        <w:trPr>
          <w:trHeight w:val="203"/>
        </w:trPr>
        <w:tc>
          <w:tcPr>
            <w:tcW w:w="281" w:type="dxa"/>
            <w:gridSpan w:val="2"/>
            <w:vMerge/>
            <w:tcBorders>
              <w:top w:val="nil"/>
              <w:left w:val="single" w:sz="4" w:space="0" w:color="000000"/>
              <w:bottom w:val="nil"/>
              <w:right w:val="single" w:sz="4" w:space="0" w:color="000000"/>
            </w:tcBorders>
          </w:tcPr>
          <w:p w14:paraId="32F2B22E"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23AA520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12.</w:t>
            </w:r>
          </w:p>
        </w:tc>
        <w:tc>
          <w:tcPr>
            <w:tcW w:w="3969" w:type="dxa"/>
            <w:gridSpan w:val="8"/>
            <w:tcBorders>
              <w:top w:val="single" w:sz="4" w:space="0" w:color="000000"/>
              <w:left w:val="single" w:sz="4" w:space="0" w:color="000000"/>
              <w:bottom w:val="single" w:sz="2" w:space="0" w:color="000000"/>
              <w:right w:val="single" w:sz="4" w:space="0" w:color="000000"/>
            </w:tcBorders>
          </w:tcPr>
          <w:p w14:paraId="581881D2"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BE_Crni vrh Šarene ploče</w:t>
            </w:r>
          </w:p>
        </w:tc>
        <w:tc>
          <w:tcPr>
            <w:tcW w:w="2677" w:type="dxa"/>
            <w:tcBorders>
              <w:top w:val="single" w:sz="4" w:space="0" w:color="000000"/>
              <w:left w:val="single" w:sz="4" w:space="0" w:color="000000"/>
              <w:bottom w:val="single" w:sz="2" w:space="0" w:color="000000"/>
              <w:right w:val="single" w:sz="4" w:space="0" w:color="000000"/>
            </w:tcBorders>
          </w:tcPr>
          <w:p w14:paraId="3F393B7E"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11AC2153"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13872ABF"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5E635AAE" w14:textId="77777777" w:rsidTr="00C232D7">
        <w:trPr>
          <w:trHeight w:val="203"/>
        </w:trPr>
        <w:tc>
          <w:tcPr>
            <w:tcW w:w="281" w:type="dxa"/>
            <w:gridSpan w:val="2"/>
            <w:vMerge/>
            <w:tcBorders>
              <w:top w:val="nil"/>
              <w:left w:val="single" w:sz="4" w:space="0" w:color="000000"/>
              <w:bottom w:val="nil"/>
              <w:right w:val="single" w:sz="4" w:space="0" w:color="000000"/>
            </w:tcBorders>
          </w:tcPr>
          <w:p w14:paraId="1244DF87"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773FF21D"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13.</w:t>
            </w:r>
          </w:p>
        </w:tc>
        <w:tc>
          <w:tcPr>
            <w:tcW w:w="3969" w:type="dxa"/>
            <w:gridSpan w:val="8"/>
            <w:tcBorders>
              <w:top w:val="single" w:sz="4" w:space="0" w:color="000000"/>
              <w:left w:val="single" w:sz="4" w:space="0" w:color="000000"/>
              <w:bottom w:val="single" w:sz="2" w:space="0" w:color="000000"/>
              <w:right w:val="single" w:sz="4" w:space="0" w:color="000000"/>
            </w:tcBorders>
          </w:tcPr>
          <w:p w14:paraId="6B384BF4"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MZ Pješca Bogavsko brdo</w:t>
            </w:r>
          </w:p>
        </w:tc>
        <w:tc>
          <w:tcPr>
            <w:tcW w:w="2677" w:type="dxa"/>
            <w:tcBorders>
              <w:top w:val="single" w:sz="4" w:space="0" w:color="000000"/>
              <w:left w:val="single" w:sz="4" w:space="0" w:color="000000"/>
              <w:bottom w:val="single" w:sz="2" w:space="0" w:color="000000"/>
              <w:right w:val="single" w:sz="4" w:space="0" w:color="000000"/>
            </w:tcBorders>
          </w:tcPr>
          <w:p w14:paraId="69C6AE93"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06241CA4"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326B6DE3"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5BCC6A11" w14:textId="77777777" w:rsidTr="00C232D7">
        <w:trPr>
          <w:trHeight w:val="203"/>
        </w:trPr>
        <w:tc>
          <w:tcPr>
            <w:tcW w:w="281" w:type="dxa"/>
            <w:gridSpan w:val="2"/>
            <w:vMerge/>
            <w:tcBorders>
              <w:top w:val="nil"/>
              <w:left w:val="single" w:sz="4" w:space="0" w:color="000000"/>
              <w:bottom w:val="nil"/>
              <w:right w:val="single" w:sz="4" w:space="0" w:color="000000"/>
            </w:tcBorders>
          </w:tcPr>
          <w:p w14:paraId="249AAE6A"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5D21CCE2"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14.</w:t>
            </w:r>
          </w:p>
        </w:tc>
        <w:tc>
          <w:tcPr>
            <w:tcW w:w="3969" w:type="dxa"/>
            <w:gridSpan w:val="8"/>
            <w:tcBorders>
              <w:top w:val="single" w:sz="4" w:space="0" w:color="000000"/>
              <w:left w:val="single" w:sz="4" w:space="0" w:color="000000"/>
              <w:bottom w:val="single" w:sz="2" w:space="0" w:color="000000"/>
              <w:right w:val="single" w:sz="4" w:space="0" w:color="000000"/>
            </w:tcBorders>
          </w:tcPr>
          <w:p w14:paraId="74BDD2A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MZ Pješca na pisti iznad stare pilane Bazen</w:t>
            </w:r>
          </w:p>
        </w:tc>
        <w:tc>
          <w:tcPr>
            <w:tcW w:w="2677" w:type="dxa"/>
            <w:tcBorders>
              <w:top w:val="single" w:sz="4" w:space="0" w:color="000000"/>
              <w:left w:val="single" w:sz="4" w:space="0" w:color="000000"/>
              <w:bottom w:val="single" w:sz="2" w:space="0" w:color="000000"/>
              <w:right w:val="single" w:sz="4" w:space="0" w:color="000000"/>
            </w:tcBorders>
          </w:tcPr>
          <w:p w14:paraId="3147B86C"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277ADA08"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2F0B33BB"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751D6E43" w14:textId="77777777" w:rsidTr="00C232D7">
        <w:trPr>
          <w:trHeight w:val="203"/>
        </w:trPr>
        <w:tc>
          <w:tcPr>
            <w:tcW w:w="281" w:type="dxa"/>
            <w:gridSpan w:val="2"/>
            <w:vMerge/>
            <w:tcBorders>
              <w:top w:val="nil"/>
              <w:left w:val="single" w:sz="4" w:space="0" w:color="000000"/>
              <w:bottom w:val="nil"/>
              <w:right w:val="single" w:sz="4" w:space="0" w:color="000000"/>
            </w:tcBorders>
          </w:tcPr>
          <w:p w14:paraId="4C0E05E9"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51059F8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3969" w:type="dxa"/>
            <w:gridSpan w:val="8"/>
            <w:tcBorders>
              <w:top w:val="single" w:sz="4" w:space="0" w:color="000000"/>
              <w:left w:val="single" w:sz="4" w:space="0" w:color="000000"/>
              <w:bottom w:val="single" w:sz="2" w:space="0" w:color="000000"/>
              <w:right w:val="single" w:sz="4" w:space="0" w:color="000000"/>
            </w:tcBorders>
          </w:tcPr>
          <w:p w14:paraId="5FC5B66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MZ Pješca na pisti pored kuće Pajkovića</w:t>
            </w:r>
          </w:p>
        </w:tc>
        <w:tc>
          <w:tcPr>
            <w:tcW w:w="2677" w:type="dxa"/>
            <w:tcBorders>
              <w:top w:val="single" w:sz="4" w:space="0" w:color="000000"/>
              <w:left w:val="single" w:sz="4" w:space="0" w:color="000000"/>
              <w:bottom w:val="single" w:sz="2" w:space="0" w:color="000000"/>
              <w:right w:val="single" w:sz="4" w:space="0" w:color="000000"/>
            </w:tcBorders>
          </w:tcPr>
          <w:p w14:paraId="3EF2E495"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07380232"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0AB8F862"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71443319" w14:textId="77777777" w:rsidTr="00C232D7">
        <w:trPr>
          <w:trHeight w:val="203"/>
        </w:trPr>
        <w:tc>
          <w:tcPr>
            <w:tcW w:w="281" w:type="dxa"/>
            <w:gridSpan w:val="2"/>
            <w:vMerge/>
            <w:tcBorders>
              <w:top w:val="nil"/>
              <w:left w:val="single" w:sz="4" w:space="0" w:color="000000"/>
              <w:bottom w:val="nil"/>
              <w:right w:val="single" w:sz="4" w:space="0" w:color="000000"/>
            </w:tcBorders>
          </w:tcPr>
          <w:p w14:paraId="051BF60E"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1CBB385A"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16.</w:t>
            </w:r>
          </w:p>
        </w:tc>
        <w:tc>
          <w:tcPr>
            <w:tcW w:w="3969" w:type="dxa"/>
            <w:gridSpan w:val="8"/>
            <w:tcBorders>
              <w:top w:val="single" w:sz="4" w:space="0" w:color="000000"/>
              <w:left w:val="single" w:sz="4" w:space="0" w:color="000000"/>
              <w:bottom w:val="single" w:sz="2" w:space="0" w:color="000000"/>
              <w:right w:val="single" w:sz="4" w:space="0" w:color="000000"/>
            </w:tcBorders>
          </w:tcPr>
          <w:p w14:paraId="556D9030"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Vinicka stari put BE-Andrijevica</w:t>
            </w:r>
          </w:p>
        </w:tc>
        <w:tc>
          <w:tcPr>
            <w:tcW w:w="2677" w:type="dxa"/>
            <w:tcBorders>
              <w:top w:val="single" w:sz="4" w:space="0" w:color="000000"/>
              <w:left w:val="single" w:sz="4" w:space="0" w:color="000000"/>
              <w:bottom w:val="single" w:sz="2" w:space="0" w:color="000000"/>
              <w:right w:val="single" w:sz="4" w:space="0" w:color="000000"/>
            </w:tcBorders>
          </w:tcPr>
          <w:p w14:paraId="674163D1"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529F35B9"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40DCCA28"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70820590" w14:textId="77777777" w:rsidTr="00C232D7">
        <w:trPr>
          <w:trHeight w:val="203"/>
        </w:trPr>
        <w:tc>
          <w:tcPr>
            <w:tcW w:w="281" w:type="dxa"/>
            <w:gridSpan w:val="2"/>
            <w:vMerge/>
            <w:tcBorders>
              <w:top w:val="nil"/>
              <w:left w:val="single" w:sz="4" w:space="0" w:color="000000"/>
              <w:bottom w:val="nil"/>
              <w:right w:val="single" w:sz="4" w:space="0" w:color="000000"/>
            </w:tcBorders>
          </w:tcPr>
          <w:p w14:paraId="60694CBA"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42B16525"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17.</w:t>
            </w:r>
          </w:p>
        </w:tc>
        <w:tc>
          <w:tcPr>
            <w:tcW w:w="3969" w:type="dxa"/>
            <w:gridSpan w:val="8"/>
            <w:tcBorders>
              <w:top w:val="single" w:sz="4" w:space="0" w:color="000000"/>
              <w:left w:val="single" w:sz="4" w:space="0" w:color="000000"/>
              <w:bottom w:val="single" w:sz="2" w:space="0" w:color="000000"/>
              <w:right w:val="single" w:sz="4" w:space="0" w:color="000000"/>
            </w:tcBorders>
          </w:tcPr>
          <w:p w14:paraId="2A8213A9"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Vinicka Lugovipored Lima</w:t>
            </w:r>
          </w:p>
        </w:tc>
        <w:tc>
          <w:tcPr>
            <w:tcW w:w="2677" w:type="dxa"/>
            <w:tcBorders>
              <w:top w:val="single" w:sz="4" w:space="0" w:color="000000"/>
              <w:left w:val="single" w:sz="4" w:space="0" w:color="000000"/>
              <w:bottom w:val="single" w:sz="2" w:space="0" w:color="000000"/>
              <w:right w:val="single" w:sz="4" w:space="0" w:color="000000"/>
            </w:tcBorders>
          </w:tcPr>
          <w:p w14:paraId="5B38FE5A"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3482B93C"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70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1608F3EA"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6EB648A2" w14:textId="77777777" w:rsidTr="00C232D7">
        <w:trPr>
          <w:trHeight w:val="203"/>
        </w:trPr>
        <w:tc>
          <w:tcPr>
            <w:tcW w:w="281" w:type="dxa"/>
            <w:gridSpan w:val="2"/>
            <w:vMerge/>
            <w:tcBorders>
              <w:top w:val="nil"/>
              <w:left w:val="single" w:sz="4" w:space="0" w:color="000000"/>
              <w:bottom w:val="nil"/>
              <w:right w:val="single" w:sz="4" w:space="0" w:color="000000"/>
            </w:tcBorders>
          </w:tcPr>
          <w:p w14:paraId="471C4FEF"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24336FF3"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18.</w:t>
            </w:r>
          </w:p>
        </w:tc>
        <w:tc>
          <w:tcPr>
            <w:tcW w:w="3969" w:type="dxa"/>
            <w:gridSpan w:val="8"/>
            <w:tcBorders>
              <w:top w:val="single" w:sz="4" w:space="0" w:color="000000"/>
              <w:left w:val="single" w:sz="4" w:space="0" w:color="000000"/>
              <w:bottom w:val="single" w:sz="2" w:space="0" w:color="000000"/>
              <w:right w:val="single" w:sz="4" w:space="0" w:color="000000"/>
            </w:tcBorders>
          </w:tcPr>
          <w:p w14:paraId="645A74DF"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Riversajd pored Lima</w:t>
            </w:r>
          </w:p>
        </w:tc>
        <w:tc>
          <w:tcPr>
            <w:tcW w:w="2677" w:type="dxa"/>
            <w:tcBorders>
              <w:top w:val="single" w:sz="4" w:space="0" w:color="000000"/>
              <w:left w:val="single" w:sz="4" w:space="0" w:color="000000"/>
              <w:bottom w:val="single" w:sz="2" w:space="0" w:color="000000"/>
              <w:right w:val="single" w:sz="4" w:space="0" w:color="000000"/>
            </w:tcBorders>
          </w:tcPr>
          <w:p w14:paraId="7D4286AB"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7C355164"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250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24807286"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19CE3753" w14:textId="77777777" w:rsidTr="00C232D7">
        <w:trPr>
          <w:trHeight w:val="203"/>
        </w:trPr>
        <w:tc>
          <w:tcPr>
            <w:tcW w:w="281" w:type="dxa"/>
            <w:gridSpan w:val="2"/>
            <w:vMerge/>
            <w:tcBorders>
              <w:top w:val="nil"/>
              <w:left w:val="single" w:sz="4" w:space="0" w:color="000000"/>
              <w:bottom w:val="nil"/>
              <w:right w:val="single" w:sz="4" w:space="0" w:color="000000"/>
            </w:tcBorders>
          </w:tcPr>
          <w:p w14:paraId="620D5367"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34458DA1"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19.</w:t>
            </w:r>
          </w:p>
        </w:tc>
        <w:tc>
          <w:tcPr>
            <w:tcW w:w="3969" w:type="dxa"/>
            <w:gridSpan w:val="8"/>
            <w:tcBorders>
              <w:top w:val="single" w:sz="4" w:space="0" w:color="000000"/>
              <w:left w:val="single" w:sz="4" w:space="0" w:color="000000"/>
              <w:bottom w:val="single" w:sz="2" w:space="0" w:color="000000"/>
              <w:right w:val="single" w:sz="4" w:space="0" w:color="000000"/>
            </w:tcBorders>
          </w:tcPr>
          <w:p w14:paraId="6B5732F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Donji Talum pored Lima</w:t>
            </w:r>
          </w:p>
        </w:tc>
        <w:tc>
          <w:tcPr>
            <w:tcW w:w="2677" w:type="dxa"/>
            <w:tcBorders>
              <w:top w:val="single" w:sz="4" w:space="0" w:color="000000"/>
              <w:left w:val="single" w:sz="4" w:space="0" w:color="000000"/>
              <w:bottom w:val="single" w:sz="2" w:space="0" w:color="000000"/>
              <w:right w:val="single" w:sz="4" w:space="0" w:color="000000"/>
            </w:tcBorders>
          </w:tcPr>
          <w:p w14:paraId="0B4A8FD6"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467CCC73"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3CBC2B19"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06AB10CC" w14:textId="77777777" w:rsidTr="00C232D7">
        <w:trPr>
          <w:trHeight w:val="203"/>
        </w:trPr>
        <w:tc>
          <w:tcPr>
            <w:tcW w:w="281" w:type="dxa"/>
            <w:gridSpan w:val="2"/>
            <w:vMerge/>
            <w:tcBorders>
              <w:top w:val="nil"/>
              <w:left w:val="single" w:sz="4" w:space="0" w:color="000000"/>
              <w:bottom w:val="nil"/>
              <w:right w:val="single" w:sz="4" w:space="0" w:color="000000"/>
            </w:tcBorders>
          </w:tcPr>
          <w:p w14:paraId="172D2B72"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3AE8620C"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3969" w:type="dxa"/>
            <w:gridSpan w:val="8"/>
            <w:tcBorders>
              <w:top w:val="single" w:sz="4" w:space="0" w:color="000000"/>
              <w:left w:val="single" w:sz="4" w:space="0" w:color="000000"/>
              <w:bottom w:val="single" w:sz="2" w:space="0" w:color="000000"/>
              <w:right w:val="single" w:sz="4" w:space="0" w:color="000000"/>
            </w:tcBorders>
          </w:tcPr>
          <w:p w14:paraId="00063197"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Ispod Limskog mosta put Harema</w:t>
            </w:r>
          </w:p>
        </w:tc>
        <w:tc>
          <w:tcPr>
            <w:tcW w:w="2677" w:type="dxa"/>
            <w:tcBorders>
              <w:top w:val="single" w:sz="4" w:space="0" w:color="000000"/>
              <w:left w:val="single" w:sz="4" w:space="0" w:color="000000"/>
              <w:bottom w:val="single" w:sz="2" w:space="0" w:color="000000"/>
              <w:right w:val="single" w:sz="4" w:space="0" w:color="000000"/>
            </w:tcBorders>
          </w:tcPr>
          <w:p w14:paraId="08A92F6C"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5D8CF33D"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035C4AB7"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77D287A5" w14:textId="77777777" w:rsidTr="00C232D7">
        <w:trPr>
          <w:trHeight w:val="203"/>
        </w:trPr>
        <w:tc>
          <w:tcPr>
            <w:tcW w:w="281" w:type="dxa"/>
            <w:gridSpan w:val="2"/>
            <w:vMerge/>
            <w:tcBorders>
              <w:top w:val="nil"/>
              <w:left w:val="single" w:sz="4" w:space="0" w:color="000000"/>
              <w:bottom w:val="nil"/>
              <w:right w:val="single" w:sz="4" w:space="0" w:color="000000"/>
            </w:tcBorders>
          </w:tcPr>
          <w:p w14:paraId="6BB00C11"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5BCBDD9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21.</w:t>
            </w:r>
          </w:p>
        </w:tc>
        <w:tc>
          <w:tcPr>
            <w:tcW w:w="3969" w:type="dxa"/>
            <w:gridSpan w:val="8"/>
            <w:tcBorders>
              <w:top w:val="single" w:sz="4" w:space="0" w:color="000000"/>
              <w:left w:val="single" w:sz="4" w:space="0" w:color="000000"/>
              <w:bottom w:val="single" w:sz="2" w:space="0" w:color="000000"/>
              <w:right w:val="single" w:sz="4" w:space="0" w:color="000000"/>
            </w:tcBorders>
          </w:tcPr>
          <w:p w14:paraId="3700B59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Harem pored Lima iza servisa Jašarović</w:t>
            </w:r>
          </w:p>
        </w:tc>
        <w:tc>
          <w:tcPr>
            <w:tcW w:w="2677" w:type="dxa"/>
            <w:tcBorders>
              <w:top w:val="single" w:sz="4" w:space="0" w:color="000000"/>
              <w:left w:val="single" w:sz="4" w:space="0" w:color="000000"/>
              <w:bottom w:val="single" w:sz="2" w:space="0" w:color="000000"/>
              <w:right w:val="single" w:sz="4" w:space="0" w:color="000000"/>
            </w:tcBorders>
          </w:tcPr>
          <w:p w14:paraId="3143EDA6"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1600DA31"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39BF37F5"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50BC0051" w14:textId="77777777" w:rsidTr="00C232D7">
        <w:trPr>
          <w:trHeight w:val="203"/>
        </w:trPr>
        <w:tc>
          <w:tcPr>
            <w:tcW w:w="281" w:type="dxa"/>
            <w:gridSpan w:val="2"/>
            <w:vMerge/>
            <w:tcBorders>
              <w:top w:val="nil"/>
              <w:left w:val="single" w:sz="4" w:space="0" w:color="000000"/>
              <w:bottom w:val="nil"/>
              <w:right w:val="single" w:sz="4" w:space="0" w:color="000000"/>
            </w:tcBorders>
          </w:tcPr>
          <w:p w14:paraId="62AAB662"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4A23A7BD"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22.</w:t>
            </w:r>
          </w:p>
        </w:tc>
        <w:tc>
          <w:tcPr>
            <w:tcW w:w="3969" w:type="dxa"/>
            <w:gridSpan w:val="8"/>
            <w:tcBorders>
              <w:top w:val="single" w:sz="4" w:space="0" w:color="000000"/>
              <w:left w:val="single" w:sz="4" w:space="0" w:color="000000"/>
              <w:bottom w:val="single" w:sz="2" w:space="0" w:color="000000"/>
              <w:right w:val="single" w:sz="4" w:space="0" w:color="000000"/>
            </w:tcBorders>
          </w:tcPr>
          <w:p w14:paraId="54E6EB34"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BE-Kaludra Donje Luge Prljaga</w:t>
            </w:r>
          </w:p>
        </w:tc>
        <w:tc>
          <w:tcPr>
            <w:tcW w:w="2677" w:type="dxa"/>
            <w:tcBorders>
              <w:top w:val="single" w:sz="4" w:space="0" w:color="000000"/>
              <w:left w:val="single" w:sz="4" w:space="0" w:color="000000"/>
              <w:bottom w:val="single" w:sz="2" w:space="0" w:color="000000"/>
              <w:right w:val="single" w:sz="4" w:space="0" w:color="000000"/>
            </w:tcBorders>
          </w:tcPr>
          <w:p w14:paraId="39DA1929"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7F04099D"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58F1D66D"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7154DA1A" w14:textId="77777777" w:rsidTr="00C232D7">
        <w:trPr>
          <w:trHeight w:val="203"/>
        </w:trPr>
        <w:tc>
          <w:tcPr>
            <w:tcW w:w="281" w:type="dxa"/>
            <w:gridSpan w:val="2"/>
            <w:vMerge/>
            <w:tcBorders>
              <w:top w:val="nil"/>
              <w:left w:val="single" w:sz="4" w:space="0" w:color="000000"/>
              <w:bottom w:val="nil"/>
              <w:right w:val="single" w:sz="4" w:space="0" w:color="000000"/>
            </w:tcBorders>
          </w:tcPr>
          <w:p w14:paraId="576512C5"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5B8DE642"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23.</w:t>
            </w:r>
          </w:p>
        </w:tc>
        <w:tc>
          <w:tcPr>
            <w:tcW w:w="3969" w:type="dxa"/>
            <w:gridSpan w:val="8"/>
            <w:tcBorders>
              <w:top w:val="single" w:sz="4" w:space="0" w:color="000000"/>
              <w:left w:val="single" w:sz="4" w:space="0" w:color="000000"/>
              <w:bottom w:val="single" w:sz="2" w:space="0" w:color="000000"/>
              <w:right w:val="single" w:sz="4" w:space="0" w:color="000000"/>
            </w:tcBorders>
          </w:tcPr>
          <w:p w14:paraId="6DC751E2"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BE-Kaludra korito Kalud rijeke kafana Oštri krš</w:t>
            </w:r>
          </w:p>
        </w:tc>
        <w:tc>
          <w:tcPr>
            <w:tcW w:w="2677" w:type="dxa"/>
            <w:tcBorders>
              <w:top w:val="single" w:sz="4" w:space="0" w:color="000000"/>
              <w:left w:val="single" w:sz="4" w:space="0" w:color="000000"/>
              <w:bottom w:val="single" w:sz="2" w:space="0" w:color="000000"/>
              <w:right w:val="single" w:sz="4" w:space="0" w:color="000000"/>
            </w:tcBorders>
          </w:tcPr>
          <w:p w14:paraId="129D3820"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347EE231"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02B83EFB"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517D81EA" w14:textId="77777777" w:rsidTr="00C232D7">
        <w:trPr>
          <w:trHeight w:val="203"/>
        </w:trPr>
        <w:tc>
          <w:tcPr>
            <w:tcW w:w="281" w:type="dxa"/>
            <w:gridSpan w:val="2"/>
            <w:vMerge/>
            <w:tcBorders>
              <w:top w:val="nil"/>
              <w:left w:val="single" w:sz="4" w:space="0" w:color="000000"/>
              <w:bottom w:val="nil"/>
              <w:right w:val="single" w:sz="4" w:space="0" w:color="000000"/>
            </w:tcBorders>
          </w:tcPr>
          <w:p w14:paraId="5F401D1E"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39A9FA9D"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24.</w:t>
            </w:r>
          </w:p>
        </w:tc>
        <w:tc>
          <w:tcPr>
            <w:tcW w:w="3969" w:type="dxa"/>
            <w:gridSpan w:val="8"/>
            <w:tcBorders>
              <w:top w:val="single" w:sz="4" w:space="0" w:color="000000"/>
              <w:left w:val="single" w:sz="4" w:space="0" w:color="000000"/>
              <w:bottom w:val="single" w:sz="2" w:space="0" w:color="000000"/>
              <w:right w:val="single" w:sz="4" w:space="0" w:color="000000"/>
            </w:tcBorders>
          </w:tcPr>
          <w:p w14:paraId="49003665" w14:textId="77777777" w:rsidR="00C232D7" w:rsidRPr="00F6198B" w:rsidRDefault="00C232D7" w:rsidP="00C232D7">
            <w:pPr>
              <w:spacing w:line="360" w:lineRule="auto"/>
              <w:ind w:left="35" w:right="-140"/>
              <w:rPr>
                <w:rFonts w:ascii="Arial" w:hAnsi="Arial" w:cs="Arial"/>
                <w:color w:val="000000"/>
                <w:sz w:val="18"/>
                <w:szCs w:val="18"/>
                <w:lang w:val="sr-Latn-RS"/>
              </w:rPr>
            </w:pPr>
            <w:r w:rsidRPr="00F6198B">
              <w:rPr>
                <w:rFonts w:ascii="Arial" w:hAnsi="Arial" w:cs="Arial"/>
                <w:color w:val="000000"/>
                <w:sz w:val="18"/>
                <w:szCs w:val="18"/>
                <w:lang w:val="sr-Latn-RS"/>
              </w:rPr>
              <w:t>BE-Kaludra Donja Ržanica Lisijevo polje pilan Jelić</w:t>
            </w:r>
          </w:p>
        </w:tc>
        <w:tc>
          <w:tcPr>
            <w:tcW w:w="2677" w:type="dxa"/>
            <w:tcBorders>
              <w:top w:val="single" w:sz="4" w:space="0" w:color="000000"/>
              <w:left w:val="single" w:sz="4" w:space="0" w:color="000000"/>
              <w:bottom w:val="single" w:sz="2" w:space="0" w:color="000000"/>
              <w:right w:val="single" w:sz="4" w:space="0" w:color="000000"/>
            </w:tcBorders>
          </w:tcPr>
          <w:p w14:paraId="2833A6F8"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60994F9C"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748FF381"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32FE4C26" w14:textId="77777777" w:rsidTr="00C232D7">
        <w:trPr>
          <w:trHeight w:val="203"/>
        </w:trPr>
        <w:tc>
          <w:tcPr>
            <w:tcW w:w="281" w:type="dxa"/>
            <w:gridSpan w:val="2"/>
            <w:vMerge/>
            <w:tcBorders>
              <w:top w:val="nil"/>
              <w:left w:val="single" w:sz="4" w:space="0" w:color="000000"/>
              <w:bottom w:val="nil"/>
              <w:right w:val="single" w:sz="4" w:space="0" w:color="000000"/>
            </w:tcBorders>
          </w:tcPr>
          <w:p w14:paraId="56EDD722"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7D63071E"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25.</w:t>
            </w:r>
          </w:p>
        </w:tc>
        <w:tc>
          <w:tcPr>
            <w:tcW w:w="3969" w:type="dxa"/>
            <w:gridSpan w:val="8"/>
            <w:tcBorders>
              <w:top w:val="single" w:sz="4" w:space="0" w:color="000000"/>
              <w:left w:val="single" w:sz="4" w:space="0" w:color="000000"/>
              <w:bottom w:val="single" w:sz="2" w:space="0" w:color="000000"/>
              <w:right w:val="single" w:sz="4" w:space="0" w:color="000000"/>
            </w:tcBorders>
          </w:tcPr>
          <w:p w14:paraId="5B150CF2"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Donja Ržanica Pobljenici kod Baze</w:t>
            </w:r>
          </w:p>
        </w:tc>
        <w:tc>
          <w:tcPr>
            <w:tcW w:w="2677" w:type="dxa"/>
            <w:tcBorders>
              <w:top w:val="single" w:sz="4" w:space="0" w:color="000000"/>
              <w:left w:val="single" w:sz="4" w:space="0" w:color="000000"/>
              <w:bottom w:val="single" w:sz="2" w:space="0" w:color="000000"/>
              <w:right w:val="single" w:sz="4" w:space="0" w:color="000000"/>
            </w:tcBorders>
          </w:tcPr>
          <w:p w14:paraId="519E9447" w14:textId="7DD1AB8B"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4BAB4501"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04830FB5"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3ACE822C" w14:textId="77777777" w:rsidTr="00C232D7">
        <w:trPr>
          <w:trHeight w:val="203"/>
        </w:trPr>
        <w:tc>
          <w:tcPr>
            <w:tcW w:w="281" w:type="dxa"/>
            <w:gridSpan w:val="2"/>
            <w:vMerge/>
            <w:tcBorders>
              <w:top w:val="nil"/>
              <w:left w:val="single" w:sz="4" w:space="0" w:color="000000"/>
              <w:bottom w:val="nil"/>
              <w:right w:val="single" w:sz="4" w:space="0" w:color="000000"/>
            </w:tcBorders>
          </w:tcPr>
          <w:p w14:paraId="60BC2CE3"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2E12ED9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26.</w:t>
            </w:r>
          </w:p>
        </w:tc>
        <w:tc>
          <w:tcPr>
            <w:tcW w:w="3969" w:type="dxa"/>
            <w:gridSpan w:val="8"/>
            <w:tcBorders>
              <w:top w:val="single" w:sz="4" w:space="0" w:color="000000"/>
              <w:left w:val="single" w:sz="4" w:space="0" w:color="000000"/>
              <w:bottom w:val="single" w:sz="2" w:space="0" w:color="000000"/>
              <w:right w:val="single" w:sz="4" w:space="0" w:color="000000"/>
            </w:tcBorders>
          </w:tcPr>
          <w:p w14:paraId="273072C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Donja Ržanica Pobljenici iznad Baze</w:t>
            </w:r>
          </w:p>
        </w:tc>
        <w:tc>
          <w:tcPr>
            <w:tcW w:w="2677" w:type="dxa"/>
            <w:tcBorders>
              <w:top w:val="single" w:sz="4" w:space="0" w:color="000000"/>
              <w:left w:val="single" w:sz="4" w:space="0" w:color="000000"/>
              <w:bottom w:val="single" w:sz="2" w:space="0" w:color="000000"/>
              <w:right w:val="single" w:sz="4" w:space="0" w:color="000000"/>
            </w:tcBorders>
          </w:tcPr>
          <w:p w14:paraId="08AFD805"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5CFEF33C"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3BC62036"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12C76AB2" w14:textId="77777777" w:rsidTr="00C232D7">
        <w:trPr>
          <w:trHeight w:val="203"/>
        </w:trPr>
        <w:tc>
          <w:tcPr>
            <w:tcW w:w="281" w:type="dxa"/>
            <w:gridSpan w:val="2"/>
            <w:vMerge/>
            <w:tcBorders>
              <w:top w:val="nil"/>
              <w:left w:val="single" w:sz="4" w:space="0" w:color="000000"/>
              <w:bottom w:val="nil"/>
              <w:right w:val="single" w:sz="4" w:space="0" w:color="000000"/>
            </w:tcBorders>
          </w:tcPr>
          <w:p w14:paraId="1F64A18F"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7296C10A"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27.</w:t>
            </w:r>
          </w:p>
        </w:tc>
        <w:tc>
          <w:tcPr>
            <w:tcW w:w="3969" w:type="dxa"/>
            <w:gridSpan w:val="8"/>
            <w:tcBorders>
              <w:top w:val="single" w:sz="4" w:space="0" w:color="000000"/>
              <w:left w:val="single" w:sz="4" w:space="0" w:color="000000"/>
              <w:bottom w:val="single" w:sz="2" w:space="0" w:color="000000"/>
              <w:right w:val="single" w:sz="4" w:space="0" w:color="000000"/>
            </w:tcBorders>
          </w:tcPr>
          <w:p w14:paraId="1C78918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Zagorje-Donje Luge Berotaš</w:t>
            </w:r>
          </w:p>
        </w:tc>
        <w:tc>
          <w:tcPr>
            <w:tcW w:w="2677" w:type="dxa"/>
            <w:tcBorders>
              <w:top w:val="single" w:sz="4" w:space="0" w:color="000000"/>
              <w:left w:val="single" w:sz="4" w:space="0" w:color="000000"/>
              <w:bottom w:val="single" w:sz="2" w:space="0" w:color="000000"/>
              <w:right w:val="single" w:sz="4" w:space="0" w:color="000000"/>
            </w:tcBorders>
          </w:tcPr>
          <w:p w14:paraId="587382F1"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62733968"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796E2D29"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10DB4960" w14:textId="77777777" w:rsidTr="00C232D7">
        <w:trPr>
          <w:trHeight w:val="203"/>
        </w:trPr>
        <w:tc>
          <w:tcPr>
            <w:tcW w:w="281" w:type="dxa"/>
            <w:gridSpan w:val="2"/>
            <w:vMerge/>
            <w:tcBorders>
              <w:top w:val="nil"/>
              <w:left w:val="single" w:sz="4" w:space="0" w:color="000000"/>
              <w:bottom w:val="nil"/>
              <w:right w:val="single" w:sz="4" w:space="0" w:color="000000"/>
            </w:tcBorders>
          </w:tcPr>
          <w:p w14:paraId="0754D841"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5CF8E1D2"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28.</w:t>
            </w:r>
          </w:p>
        </w:tc>
        <w:tc>
          <w:tcPr>
            <w:tcW w:w="3969" w:type="dxa"/>
            <w:gridSpan w:val="8"/>
            <w:tcBorders>
              <w:top w:val="single" w:sz="4" w:space="0" w:color="000000"/>
              <w:left w:val="single" w:sz="4" w:space="0" w:color="000000"/>
              <w:bottom w:val="single" w:sz="2" w:space="0" w:color="000000"/>
              <w:right w:val="single" w:sz="4" w:space="0" w:color="000000"/>
            </w:tcBorders>
          </w:tcPr>
          <w:p w14:paraId="52FC1592"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Fabrika celuloze i papira u krugu</w:t>
            </w:r>
          </w:p>
        </w:tc>
        <w:tc>
          <w:tcPr>
            <w:tcW w:w="2677" w:type="dxa"/>
            <w:tcBorders>
              <w:top w:val="single" w:sz="4" w:space="0" w:color="000000"/>
              <w:left w:val="single" w:sz="4" w:space="0" w:color="000000"/>
              <w:bottom w:val="single" w:sz="2" w:space="0" w:color="000000"/>
              <w:right w:val="single" w:sz="4" w:space="0" w:color="000000"/>
            </w:tcBorders>
          </w:tcPr>
          <w:p w14:paraId="2BD46B8A"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0F2E5D62"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150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00C140B0"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3C18C13B" w14:textId="77777777" w:rsidTr="00C232D7">
        <w:trPr>
          <w:trHeight w:val="203"/>
        </w:trPr>
        <w:tc>
          <w:tcPr>
            <w:tcW w:w="281" w:type="dxa"/>
            <w:gridSpan w:val="2"/>
            <w:vMerge/>
            <w:tcBorders>
              <w:top w:val="nil"/>
              <w:left w:val="single" w:sz="4" w:space="0" w:color="000000"/>
              <w:bottom w:val="nil"/>
              <w:right w:val="single" w:sz="4" w:space="0" w:color="000000"/>
            </w:tcBorders>
          </w:tcPr>
          <w:p w14:paraId="479AAC83"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13D8EB42"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29.</w:t>
            </w:r>
          </w:p>
        </w:tc>
        <w:tc>
          <w:tcPr>
            <w:tcW w:w="3969" w:type="dxa"/>
            <w:gridSpan w:val="8"/>
            <w:tcBorders>
              <w:top w:val="single" w:sz="4" w:space="0" w:color="000000"/>
              <w:left w:val="single" w:sz="4" w:space="0" w:color="000000"/>
              <w:bottom w:val="single" w:sz="2" w:space="0" w:color="000000"/>
              <w:right w:val="single" w:sz="4" w:space="0" w:color="000000"/>
            </w:tcBorders>
          </w:tcPr>
          <w:p w14:paraId="03C5EDB1"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Magistralni put Dapsice Lanište</w:t>
            </w:r>
          </w:p>
        </w:tc>
        <w:tc>
          <w:tcPr>
            <w:tcW w:w="2677" w:type="dxa"/>
            <w:tcBorders>
              <w:top w:val="single" w:sz="4" w:space="0" w:color="000000"/>
              <w:left w:val="single" w:sz="4" w:space="0" w:color="000000"/>
              <w:bottom w:val="single" w:sz="2" w:space="0" w:color="000000"/>
              <w:right w:val="single" w:sz="4" w:space="0" w:color="000000"/>
            </w:tcBorders>
          </w:tcPr>
          <w:p w14:paraId="5B3C40F1"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31944CBF"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150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21510425"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006243F2" w14:textId="77777777" w:rsidTr="00C232D7">
        <w:trPr>
          <w:trHeight w:val="203"/>
        </w:trPr>
        <w:tc>
          <w:tcPr>
            <w:tcW w:w="281" w:type="dxa"/>
            <w:gridSpan w:val="2"/>
            <w:vMerge/>
            <w:tcBorders>
              <w:top w:val="nil"/>
              <w:left w:val="single" w:sz="4" w:space="0" w:color="000000"/>
              <w:bottom w:val="nil"/>
              <w:right w:val="single" w:sz="4" w:space="0" w:color="000000"/>
            </w:tcBorders>
          </w:tcPr>
          <w:p w14:paraId="1CB9BA58"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1C2E8781"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3969" w:type="dxa"/>
            <w:gridSpan w:val="8"/>
            <w:tcBorders>
              <w:top w:val="single" w:sz="4" w:space="0" w:color="000000"/>
              <w:left w:val="single" w:sz="4" w:space="0" w:color="000000"/>
              <w:bottom w:val="single" w:sz="2" w:space="0" w:color="000000"/>
              <w:right w:val="single" w:sz="4" w:space="0" w:color="000000"/>
            </w:tcBorders>
          </w:tcPr>
          <w:p w14:paraId="401128E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Pored puta u Petnjiku Mršina</w:t>
            </w:r>
          </w:p>
        </w:tc>
        <w:tc>
          <w:tcPr>
            <w:tcW w:w="2677" w:type="dxa"/>
            <w:tcBorders>
              <w:top w:val="single" w:sz="4" w:space="0" w:color="000000"/>
              <w:left w:val="single" w:sz="4" w:space="0" w:color="000000"/>
              <w:bottom w:val="single" w:sz="2" w:space="0" w:color="000000"/>
              <w:right w:val="single" w:sz="4" w:space="0" w:color="000000"/>
            </w:tcBorders>
          </w:tcPr>
          <w:p w14:paraId="6D5B9D07"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6EA417B1"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70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282DCEC6"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5542A2C2" w14:textId="77777777" w:rsidTr="00C232D7">
        <w:trPr>
          <w:trHeight w:val="203"/>
        </w:trPr>
        <w:tc>
          <w:tcPr>
            <w:tcW w:w="281" w:type="dxa"/>
            <w:gridSpan w:val="2"/>
            <w:vMerge/>
            <w:tcBorders>
              <w:top w:val="nil"/>
              <w:left w:val="single" w:sz="4" w:space="0" w:color="000000"/>
              <w:bottom w:val="nil"/>
              <w:right w:val="single" w:sz="4" w:space="0" w:color="000000"/>
            </w:tcBorders>
          </w:tcPr>
          <w:p w14:paraId="54D54F5D"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16528253"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31.</w:t>
            </w:r>
          </w:p>
        </w:tc>
        <w:tc>
          <w:tcPr>
            <w:tcW w:w="3969" w:type="dxa"/>
            <w:gridSpan w:val="8"/>
            <w:tcBorders>
              <w:top w:val="single" w:sz="4" w:space="0" w:color="000000"/>
              <w:left w:val="single" w:sz="4" w:space="0" w:color="000000"/>
              <w:bottom w:val="single" w:sz="2" w:space="0" w:color="000000"/>
              <w:right w:val="single" w:sz="4" w:space="0" w:color="000000"/>
            </w:tcBorders>
          </w:tcPr>
          <w:p w14:paraId="765E5C5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Donja Ržanica Rovca</w:t>
            </w:r>
          </w:p>
        </w:tc>
        <w:tc>
          <w:tcPr>
            <w:tcW w:w="2677" w:type="dxa"/>
            <w:tcBorders>
              <w:top w:val="single" w:sz="4" w:space="0" w:color="000000"/>
              <w:left w:val="single" w:sz="4" w:space="0" w:color="000000"/>
              <w:bottom w:val="single" w:sz="2" w:space="0" w:color="000000"/>
              <w:right w:val="single" w:sz="4" w:space="0" w:color="000000"/>
            </w:tcBorders>
          </w:tcPr>
          <w:p w14:paraId="1D09DD5C"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1E7DE538"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35</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5ECF642B"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75EF3C38" w14:textId="77777777" w:rsidTr="00C232D7">
        <w:trPr>
          <w:trHeight w:val="203"/>
        </w:trPr>
        <w:tc>
          <w:tcPr>
            <w:tcW w:w="281" w:type="dxa"/>
            <w:gridSpan w:val="2"/>
            <w:vMerge/>
            <w:tcBorders>
              <w:top w:val="nil"/>
              <w:left w:val="single" w:sz="4" w:space="0" w:color="000000"/>
              <w:bottom w:val="nil"/>
              <w:right w:val="single" w:sz="4" w:space="0" w:color="000000"/>
            </w:tcBorders>
          </w:tcPr>
          <w:p w14:paraId="786ABDD8"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2" w:space="0" w:color="000000"/>
              <w:right w:val="single" w:sz="4" w:space="0" w:color="000000"/>
            </w:tcBorders>
          </w:tcPr>
          <w:p w14:paraId="320211B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32.</w:t>
            </w:r>
          </w:p>
        </w:tc>
        <w:tc>
          <w:tcPr>
            <w:tcW w:w="3969" w:type="dxa"/>
            <w:gridSpan w:val="8"/>
            <w:tcBorders>
              <w:top w:val="single" w:sz="4" w:space="0" w:color="000000"/>
              <w:left w:val="single" w:sz="4" w:space="0" w:color="000000"/>
              <w:bottom w:val="single" w:sz="2" w:space="0" w:color="000000"/>
              <w:right w:val="single" w:sz="4" w:space="0" w:color="000000"/>
            </w:tcBorders>
          </w:tcPr>
          <w:p w14:paraId="146E51E8"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MZ Polica Mašte prema Božovićimaa</w:t>
            </w:r>
          </w:p>
        </w:tc>
        <w:tc>
          <w:tcPr>
            <w:tcW w:w="2677" w:type="dxa"/>
            <w:tcBorders>
              <w:top w:val="single" w:sz="4" w:space="0" w:color="000000"/>
              <w:left w:val="single" w:sz="4" w:space="0" w:color="000000"/>
              <w:bottom w:val="single" w:sz="2" w:space="0" w:color="000000"/>
              <w:right w:val="single" w:sz="4" w:space="0" w:color="000000"/>
            </w:tcBorders>
          </w:tcPr>
          <w:p w14:paraId="6748DC23"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71322705"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2C0FD1C5"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7D5BDFAC" w14:textId="77777777" w:rsidTr="00C232D7">
        <w:trPr>
          <w:trHeight w:val="203"/>
        </w:trPr>
        <w:tc>
          <w:tcPr>
            <w:tcW w:w="281" w:type="dxa"/>
            <w:gridSpan w:val="2"/>
            <w:vMerge/>
            <w:tcBorders>
              <w:top w:val="nil"/>
              <w:left w:val="single" w:sz="4" w:space="0" w:color="000000"/>
              <w:bottom w:val="nil"/>
              <w:right w:val="single" w:sz="4" w:space="0" w:color="000000"/>
            </w:tcBorders>
          </w:tcPr>
          <w:p w14:paraId="75E61F62"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184EFA4D"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33.</w:t>
            </w:r>
          </w:p>
        </w:tc>
        <w:tc>
          <w:tcPr>
            <w:tcW w:w="3969" w:type="dxa"/>
            <w:gridSpan w:val="8"/>
            <w:tcBorders>
              <w:top w:val="single" w:sz="4" w:space="0" w:color="000000"/>
              <w:left w:val="single" w:sz="4" w:space="0" w:color="000000"/>
              <w:bottom w:val="single" w:sz="4" w:space="0" w:color="000000"/>
              <w:right w:val="single" w:sz="4" w:space="0" w:color="000000"/>
            </w:tcBorders>
          </w:tcPr>
          <w:p w14:paraId="28E50DA7"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MZ Polica OŠ Babino mjesto Krš</w:t>
            </w:r>
          </w:p>
        </w:tc>
        <w:tc>
          <w:tcPr>
            <w:tcW w:w="2677" w:type="dxa"/>
            <w:tcBorders>
              <w:top w:val="single" w:sz="4" w:space="0" w:color="000000"/>
              <w:left w:val="single" w:sz="4" w:space="0" w:color="000000"/>
              <w:bottom w:val="single" w:sz="4" w:space="0" w:color="000000"/>
              <w:right w:val="single" w:sz="4" w:space="0" w:color="000000"/>
            </w:tcBorders>
          </w:tcPr>
          <w:p w14:paraId="7649838D"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7D48A7CA"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6759DC0D"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56615B14" w14:textId="77777777" w:rsidTr="00C232D7">
        <w:trPr>
          <w:trHeight w:val="203"/>
        </w:trPr>
        <w:tc>
          <w:tcPr>
            <w:tcW w:w="281" w:type="dxa"/>
            <w:gridSpan w:val="2"/>
            <w:vMerge/>
            <w:tcBorders>
              <w:top w:val="nil"/>
              <w:left w:val="single" w:sz="4" w:space="0" w:color="000000"/>
              <w:bottom w:val="nil"/>
              <w:right w:val="single" w:sz="4" w:space="0" w:color="000000"/>
            </w:tcBorders>
          </w:tcPr>
          <w:p w14:paraId="48A0BA7A"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591EB0DC"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34.</w:t>
            </w:r>
          </w:p>
        </w:tc>
        <w:tc>
          <w:tcPr>
            <w:tcW w:w="3969" w:type="dxa"/>
            <w:gridSpan w:val="8"/>
            <w:tcBorders>
              <w:top w:val="single" w:sz="4" w:space="0" w:color="000000"/>
              <w:left w:val="single" w:sz="4" w:space="0" w:color="000000"/>
              <w:bottom w:val="single" w:sz="4" w:space="0" w:color="000000"/>
              <w:right w:val="single" w:sz="4" w:space="0" w:color="000000"/>
            </w:tcBorders>
          </w:tcPr>
          <w:p w14:paraId="0973E04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MZ Polica put prema Zagrađu mjesto Grablje</w:t>
            </w:r>
          </w:p>
        </w:tc>
        <w:tc>
          <w:tcPr>
            <w:tcW w:w="2677" w:type="dxa"/>
            <w:tcBorders>
              <w:top w:val="single" w:sz="4" w:space="0" w:color="000000"/>
              <w:left w:val="single" w:sz="4" w:space="0" w:color="000000"/>
              <w:bottom w:val="single" w:sz="4" w:space="0" w:color="000000"/>
              <w:right w:val="single" w:sz="4" w:space="0" w:color="000000"/>
            </w:tcBorders>
          </w:tcPr>
          <w:p w14:paraId="3D6F12E0"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6933FF7A"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300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0ADCDEF0"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485325AA" w14:textId="77777777" w:rsidTr="00C232D7">
        <w:trPr>
          <w:trHeight w:val="203"/>
        </w:trPr>
        <w:tc>
          <w:tcPr>
            <w:tcW w:w="281" w:type="dxa"/>
            <w:gridSpan w:val="2"/>
            <w:vMerge/>
            <w:tcBorders>
              <w:top w:val="nil"/>
              <w:left w:val="single" w:sz="4" w:space="0" w:color="000000"/>
              <w:bottom w:val="nil"/>
              <w:right w:val="single" w:sz="4" w:space="0" w:color="000000"/>
            </w:tcBorders>
          </w:tcPr>
          <w:p w14:paraId="6FEFE973"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61DBE32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35.</w:t>
            </w:r>
          </w:p>
        </w:tc>
        <w:tc>
          <w:tcPr>
            <w:tcW w:w="3969" w:type="dxa"/>
            <w:gridSpan w:val="8"/>
            <w:tcBorders>
              <w:top w:val="single" w:sz="4" w:space="0" w:color="000000"/>
              <w:left w:val="single" w:sz="4" w:space="0" w:color="000000"/>
              <w:bottom w:val="single" w:sz="4" w:space="0" w:color="000000"/>
              <w:right w:val="single" w:sz="4" w:space="0" w:color="000000"/>
            </w:tcBorders>
          </w:tcPr>
          <w:p w14:paraId="4BA62B1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MZ Polica prema Nenadovićima</w:t>
            </w:r>
          </w:p>
        </w:tc>
        <w:tc>
          <w:tcPr>
            <w:tcW w:w="2677" w:type="dxa"/>
            <w:tcBorders>
              <w:top w:val="single" w:sz="4" w:space="0" w:color="000000"/>
              <w:left w:val="single" w:sz="4" w:space="0" w:color="000000"/>
              <w:bottom w:val="single" w:sz="4" w:space="0" w:color="000000"/>
              <w:right w:val="single" w:sz="4" w:space="0" w:color="000000"/>
            </w:tcBorders>
          </w:tcPr>
          <w:p w14:paraId="40D07FC7"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19C2CE63"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61745E51"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5899AB86" w14:textId="77777777" w:rsidTr="00C232D7">
        <w:trPr>
          <w:trHeight w:val="203"/>
        </w:trPr>
        <w:tc>
          <w:tcPr>
            <w:tcW w:w="281" w:type="dxa"/>
            <w:gridSpan w:val="2"/>
            <w:vMerge/>
            <w:tcBorders>
              <w:top w:val="nil"/>
              <w:left w:val="single" w:sz="4" w:space="0" w:color="000000"/>
              <w:bottom w:val="nil"/>
              <w:right w:val="single" w:sz="4" w:space="0" w:color="000000"/>
            </w:tcBorders>
          </w:tcPr>
          <w:p w14:paraId="38D8B53D"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6CADADC3"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36.</w:t>
            </w:r>
          </w:p>
        </w:tc>
        <w:tc>
          <w:tcPr>
            <w:tcW w:w="3969" w:type="dxa"/>
            <w:gridSpan w:val="8"/>
            <w:tcBorders>
              <w:top w:val="single" w:sz="4" w:space="0" w:color="000000"/>
              <w:left w:val="single" w:sz="4" w:space="0" w:color="000000"/>
              <w:bottom w:val="single" w:sz="4" w:space="0" w:color="000000"/>
              <w:right w:val="single" w:sz="4" w:space="0" w:color="000000"/>
            </w:tcBorders>
          </w:tcPr>
          <w:p w14:paraId="5DF0126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MZ Polica Mašte put prema Jejevici</w:t>
            </w:r>
          </w:p>
        </w:tc>
        <w:tc>
          <w:tcPr>
            <w:tcW w:w="2677" w:type="dxa"/>
            <w:tcBorders>
              <w:top w:val="single" w:sz="4" w:space="0" w:color="000000"/>
              <w:left w:val="single" w:sz="4" w:space="0" w:color="000000"/>
              <w:bottom w:val="single" w:sz="4" w:space="0" w:color="000000"/>
              <w:right w:val="single" w:sz="4" w:space="0" w:color="000000"/>
            </w:tcBorders>
          </w:tcPr>
          <w:p w14:paraId="5DFF6105"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2939E7F7"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2D84BED5"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24A9B6BB" w14:textId="77777777" w:rsidTr="00C232D7">
        <w:trPr>
          <w:trHeight w:val="203"/>
        </w:trPr>
        <w:tc>
          <w:tcPr>
            <w:tcW w:w="281" w:type="dxa"/>
            <w:gridSpan w:val="2"/>
            <w:vMerge/>
            <w:tcBorders>
              <w:top w:val="nil"/>
              <w:left w:val="single" w:sz="4" w:space="0" w:color="000000"/>
              <w:bottom w:val="nil"/>
              <w:right w:val="single" w:sz="4" w:space="0" w:color="000000"/>
            </w:tcBorders>
          </w:tcPr>
          <w:p w14:paraId="1A560BB9"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720C7C1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37.</w:t>
            </w:r>
          </w:p>
        </w:tc>
        <w:tc>
          <w:tcPr>
            <w:tcW w:w="3969" w:type="dxa"/>
            <w:gridSpan w:val="8"/>
            <w:tcBorders>
              <w:top w:val="single" w:sz="4" w:space="0" w:color="000000"/>
              <w:left w:val="single" w:sz="4" w:space="0" w:color="000000"/>
              <w:bottom w:val="single" w:sz="4" w:space="0" w:color="000000"/>
              <w:right w:val="single" w:sz="4" w:space="0" w:color="000000"/>
            </w:tcBorders>
          </w:tcPr>
          <w:p w14:paraId="64016DE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MZ Štitari Drobnjački potok</w:t>
            </w:r>
          </w:p>
        </w:tc>
        <w:tc>
          <w:tcPr>
            <w:tcW w:w="2677" w:type="dxa"/>
            <w:tcBorders>
              <w:top w:val="single" w:sz="4" w:space="0" w:color="000000"/>
              <w:left w:val="single" w:sz="4" w:space="0" w:color="000000"/>
              <w:bottom w:val="single" w:sz="4" w:space="0" w:color="000000"/>
              <w:right w:val="single" w:sz="4" w:space="0" w:color="000000"/>
            </w:tcBorders>
          </w:tcPr>
          <w:p w14:paraId="25E2E269"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0C148A4C"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0B0A4946"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10AB1F98" w14:textId="77777777" w:rsidTr="00C232D7">
        <w:trPr>
          <w:trHeight w:val="203"/>
        </w:trPr>
        <w:tc>
          <w:tcPr>
            <w:tcW w:w="281" w:type="dxa"/>
            <w:gridSpan w:val="2"/>
            <w:vMerge/>
            <w:tcBorders>
              <w:top w:val="nil"/>
              <w:left w:val="single" w:sz="4" w:space="0" w:color="000000"/>
              <w:bottom w:val="nil"/>
              <w:right w:val="single" w:sz="4" w:space="0" w:color="000000"/>
            </w:tcBorders>
          </w:tcPr>
          <w:p w14:paraId="1DD3F588"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677F34D3"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38.</w:t>
            </w:r>
          </w:p>
        </w:tc>
        <w:tc>
          <w:tcPr>
            <w:tcW w:w="3969" w:type="dxa"/>
            <w:gridSpan w:val="8"/>
            <w:tcBorders>
              <w:top w:val="single" w:sz="4" w:space="0" w:color="000000"/>
              <w:left w:val="single" w:sz="4" w:space="0" w:color="000000"/>
              <w:bottom w:val="single" w:sz="4" w:space="0" w:color="000000"/>
              <w:right w:val="single" w:sz="4" w:space="0" w:color="000000"/>
            </w:tcBorders>
          </w:tcPr>
          <w:p w14:paraId="161A7B5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MZ Štitari blizu mljekare Zora</w:t>
            </w:r>
          </w:p>
        </w:tc>
        <w:tc>
          <w:tcPr>
            <w:tcW w:w="2677" w:type="dxa"/>
            <w:tcBorders>
              <w:top w:val="single" w:sz="4" w:space="0" w:color="000000"/>
              <w:left w:val="single" w:sz="4" w:space="0" w:color="000000"/>
              <w:bottom w:val="single" w:sz="4" w:space="0" w:color="000000"/>
              <w:right w:val="single" w:sz="4" w:space="0" w:color="000000"/>
            </w:tcBorders>
          </w:tcPr>
          <w:p w14:paraId="10FB6A2B"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18249CC2"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4F9E8D9A"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78918A46" w14:textId="77777777" w:rsidTr="00C232D7">
        <w:trPr>
          <w:trHeight w:val="203"/>
        </w:trPr>
        <w:tc>
          <w:tcPr>
            <w:tcW w:w="281" w:type="dxa"/>
            <w:gridSpan w:val="2"/>
            <w:vMerge/>
            <w:tcBorders>
              <w:top w:val="nil"/>
              <w:left w:val="single" w:sz="4" w:space="0" w:color="000000"/>
              <w:bottom w:val="single" w:sz="4" w:space="0" w:color="auto"/>
              <w:right w:val="single" w:sz="4" w:space="0" w:color="000000"/>
            </w:tcBorders>
          </w:tcPr>
          <w:p w14:paraId="0FE7CB1C" w14:textId="77777777" w:rsidR="00C232D7" w:rsidRPr="00F6198B" w:rsidRDefault="00C232D7" w:rsidP="00C232D7">
            <w:pPr>
              <w:spacing w:after="160" w:line="360" w:lineRule="auto"/>
              <w:rPr>
                <w:rFonts w:ascii="Arial" w:hAnsi="Arial" w:cs="Arial"/>
                <w:color w:val="000000"/>
                <w:sz w:val="18"/>
                <w:szCs w:val="18"/>
                <w:lang w:val="sr-Latn-RS"/>
              </w:rPr>
            </w:pPr>
          </w:p>
        </w:tc>
        <w:tc>
          <w:tcPr>
            <w:tcW w:w="570" w:type="dxa"/>
            <w:gridSpan w:val="2"/>
            <w:tcBorders>
              <w:top w:val="single" w:sz="4" w:space="0" w:color="000000"/>
              <w:left w:val="single" w:sz="4" w:space="0" w:color="000000"/>
              <w:bottom w:val="single" w:sz="4" w:space="0" w:color="000000"/>
              <w:right w:val="single" w:sz="4" w:space="0" w:color="000000"/>
            </w:tcBorders>
          </w:tcPr>
          <w:p w14:paraId="4A67B03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39.</w:t>
            </w:r>
          </w:p>
        </w:tc>
        <w:tc>
          <w:tcPr>
            <w:tcW w:w="3969" w:type="dxa"/>
            <w:gridSpan w:val="8"/>
            <w:tcBorders>
              <w:top w:val="single" w:sz="4" w:space="0" w:color="000000"/>
              <w:left w:val="single" w:sz="4" w:space="0" w:color="000000"/>
              <w:bottom w:val="single" w:sz="4" w:space="0" w:color="000000"/>
              <w:right w:val="single" w:sz="4" w:space="0" w:color="000000"/>
            </w:tcBorders>
          </w:tcPr>
          <w:p w14:paraId="06DEF210"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MZ Štitari kod česme pored Lima</w:t>
            </w:r>
          </w:p>
        </w:tc>
        <w:tc>
          <w:tcPr>
            <w:tcW w:w="2677" w:type="dxa"/>
            <w:tcBorders>
              <w:top w:val="single" w:sz="4" w:space="0" w:color="000000"/>
              <w:left w:val="single" w:sz="4" w:space="0" w:color="000000"/>
              <w:bottom w:val="single" w:sz="4" w:space="0" w:color="000000"/>
              <w:right w:val="single" w:sz="4" w:space="0" w:color="000000"/>
            </w:tcBorders>
          </w:tcPr>
          <w:p w14:paraId="31F91460"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3B8F6212" w14:textId="77777777" w:rsidR="00C232D7" w:rsidRPr="00F6198B" w:rsidRDefault="00C232D7" w:rsidP="00C232D7">
            <w:pPr>
              <w:spacing w:line="360" w:lineRule="auto"/>
              <w:ind w:left="33"/>
              <w:rPr>
                <w:rFonts w:ascii="Arial" w:hAnsi="Arial" w:cs="Arial"/>
                <w:color w:val="000000"/>
                <w:sz w:val="18"/>
                <w:szCs w:val="18"/>
                <w:lang w:val="sr-Latn-RS"/>
              </w:rPr>
            </w:pPr>
            <w:r w:rsidRPr="00F6198B">
              <w:rPr>
                <w:rFonts w:ascii="Arial" w:hAnsi="Arial" w:cs="Arial"/>
                <w:color w:val="000000"/>
                <w:sz w:val="18"/>
                <w:szCs w:val="18"/>
                <w:lang w:val="sr-Latn-RS"/>
              </w:rPr>
              <w:t>60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06B2130D" w14:textId="77777777" w:rsidR="00C232D7" w:rsidRPr="00F6198B" w:rsidRDefault="00C232D7" w:rsidP="00A23ED0">
            <w:pPr>
              <w:numPr>
                <w:ilvl w:val="0"/>
                <w:numId w:val="25"/>
              </w:numPr>
              <w:spacing w:after="5" w:line="360" w:lineRule="auto"/>
              <w:ind w:right="2"/>
              <w:contextualSpacing/>
              <w:rPr>
                <w:rFonts w:ascii="Arial" w:hAnsi="Arial" w:cs="Arial"/>
                <w:sz w:val="18"/>
                <w:szCs w:val="18"/>
                <w:lang w:val="sr-Latn-RS"/>
              </w:rPr>
            </w:pPr>
          </w:p>
        </w:tc>
      </w:tr>
      <w:tr w:rsidR="00C232D7" w:rsidRPr="00F6198B" w14:paraId="4AA17EDC" w14:textId="77777777" w:rsidTr="00C232D7">
        <w:tblPrEx>
          <w:tblCellMar>
            <w:top w:w="43" w:type="dxa"/>
            <w:right w:w="58" w:type="dxa"/>
          </w:tblCellMar>
        </w:tblPrEx>
        <w:trPr>
          <w:trHeight w:val="203"/>
        </w:trPr>
        <w:tc>
          <w:tcPr>
            <w:tcW w:w="1276" w:type="dxa"/>
            <w:gridSpan w:val="6"/>
            <w:tcBorders>
              <w:top w:val="single" w:sz="2" w:space="0" w:color="000000"/>
              <w:left w:val="single" w:sz="4" w:space="0" w:color="000000"/>
              <w:bottom w:val="single" w:sz="4" w:space="0" w:color="000000"/>
              <w:right w:val="single" w:sz="4" w:space="0" w:color="000000"/>
            </w:tcBorders>
            <w:shd w:val="clear" w:color="auto" w:fill="EAF1DD"/>
          </w:tcPr>
          <w:p w14:paraId="0272943F" w14:textId="77777777" w:rsidR="00C232D7" w:rsidRPr="00F6198B" w:rsidRDefault="00C232D7" w:rsidP="00C232D7">
            <w:pPr>
              <w:spacing w:line="360" w:lineRule="auto"/>
              <w:rPr>
                <w:rFonts w:ascii="Arial" w:hAnsi="Arial" w:cs="Arial"/>
                <w:i/>
                <w:color w:val="000000"/>
                <w:sz w:val="18"/>
                <w:szCs w:val="18"/>
                <w:lang w:val="sr-Latn-RS"/>
              </w:rPr>
            </w:pPr>
            <w:r w:rsidRPr="00F6198B">
              <w:rPr>
                <w:rFonts w:ascii="Arial" w:hAnsi="Arial" w:cs="Arial"/>
                <w:i/>
                <w:color w:val="000000"/>
                <w:sz w:val="18"/>
                <w:szCs w:val="18"/>
                <w:lang w:val="sr-Latn-RS"/>
              </w:rPr>
              <w:t xml:space="preserve"> </w:t>
            </w:r>
          </w:p>
          <w:p w14:paraId="00ADEF43" w14:textId="77777777" w:rsidR="00C232D7" w:rsidRPr="00F6198B" w:rsidRDefault="00C232D7" w:rsidP="00C232D7">
            <w:pPr>
              <w:spacing w:line="360" w:lineRule="auto"/>
              <w:rPr>
                <w:rFonts w:ascii="Arial" w:hAnsi="Arial" w:cs="Arial"/>
                <w:i/>
                <w:color w:val="000000"/>
                <w:sz w:val="18"/>
                <w:szCs w:val="18"/>
                <w:lang w:val="sr-Latn-RS"/>
              </w:rPr>
            </w:pPr>
          </w:p>
          <w:p w14:paraId="2BC07D90" w14:textId="697B6158"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4. B</w:t>
            </w:r>
            <w:r w:rsidR="001E5F12" w:rsidRPr="00F6198B">
              <w:rPr>
                <w:rFonts w:ascii="Arial" w:hAnsi="Arial" w:cs="Arial"/>
                <w:color w:val="000000"/>
                <w:sz w:val="18"/>
                <w:szCs w:val="18"/>
                <w:lang w:val="sr-Latn-RS"/>
              </w:rPr>
              <w:t>IJELO</w:t>
            </w:r>
            <w:r w:rsidRPr="00F6198B">
              <w:rPr>
                <w:rFonts w:ascii="Arial" w:hAnsi="Arial" w:cs="Arial"/>
                <w:color w:val="000000"/>
                <w:sz w:val="18"/>
                <w:szCs w:val="18"/>
                <w:lang w:val="sr-Latn-RS"/>
              </w:rPr>
              <w:t xml:space="preserve"> POLJE </w:t>
            </w:r>
          </w:p>
        </w:tc>
        <w:tc>
          <w:tcPr>
            <w:tcW w:w="8095" w:type="dxa"/>
            <w:gridSpan w:val="10"/>
            <w:tcBorders>
              <w:top w:val="single" w:sz="2" w:space="0" w:color="000000"/>
              <w:left w:val="single" w:sz="4" w:space="0" w:color="000000"/>
              <w:bottom w:val="single" w:sz="4" w:space="0" w:color="000000"/>
              <w:right w:val="single" w:sz="4" w:space="0" w:color="000000"/>
            </w:tcBorders>
            <w:shd w:val="clear" w:color="auto" w:fill="EAF1DD"/>
          </w:tcPr>
          <w:p w14:paraId="129DCBD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r>
      <w:tr w:rsidR="00C232D7" w:rsidRPr="00F6198B" w14:paraId="524FA373" w14:textId="77777777" w:rsidTr="00C232D7">
        <w:tblPrEx>
          <w:tblCellMar>
            <w:top w:w="43" w:type="dxa"/>
            <w:right w:w="58" w:type="dxa"/>
          </w:tblCellMar>
        </w:tblPrEx>
        <w:trPr>
          <w:trHeight w:val="204"/>
        </w:trPr>
        <w:tc>
          <w:tcPr>
            <w:tcW w:w="297" w:type="dxa"/>
            <w:gridSpan w:val="3"/>
            <w:vMerge w:val="restart"/>
            <w:tcBorders>
              <w:top w:val="single" w:sz="4" w:space="0" w:color="000000"/>
              <w:left w:val="single" w:sz="4" w:space="0" w:color="000000"/>
              <w:bottom w:val="single" w:sz="4" w:space="0" w:color="000000"/>
              <w:right w:val="single" w:sz="4" w:space="0" w:color="000000"/>
            </w:tcBorders>
            <w:shd w:val="clear" w:color="auto" w:fill="EAF1DD"/>
            <w:vAlign w:val="center"/>
          </w:tcPr>
          <w:p w14:paraId="308CA343" w14:textId="77777777" w:rsidR="00C232D7" w:rsidRPr="00F6198B" w:rsidRDefault="00C232D7" w:rsidP="00C232D7">
            <w:pPr>
              <w:spacing w:line="360" w:lineRule="auto"/>
              <w:ind w:left="17"/>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54" w:type="dxa"/>
            <w:tcBorders>
              <w:top w:val="single" w:sz="4" w:space="0" w:color="000000"/>
              <w:left w:val="single" w:sz="4" w:space="0" w:color="000000"/>
              <w:bottom w:val="single" w:sz="4" w:space="0" w:color="000000"/>
              <w:right w:val="single" w:sz="4" w:space="0" w:color="000000"/>
            </w:tcBorders>
          </w:tcPr>
          <w:p w14:paraId="1E6021B3"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969" w:type="dxa"/>
            <w:gridSpan w:val="8"/>
            <w:tcBorders>
              <w:top w:val="single" w:sz="4" w:space="0" w:color="000000"/>
              <w:left w:val="single" w:sz="4" w:space="0" w:color="000000"/>
              <w:bottom w:val="single" w:sz="4" w:space="0" w:color="000000"/>
              <w:right w:val="single" w:sz="4" w:space="0" w:color="000000"/>
            </w:tcBorders>
          </w:tcPr>
          <w:p w14:paraId="68F99A21"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Crkvice blizu izvora Ćehotine u Bliškovu </w:t>
            </w:r>
          </w:p>
        </w:tc>
        <w:tc>
          <w:tcPr>
            <w:tcW w:w="2708" w:type="dxa"/>
            <w:gridSpan w:val="2"/>
            <w:tcBorders>
              <w:top w:val="single" w:sz="4" w:space="0" w:color="000000"/>
              <w:left w:val="single" w:sz="4" w:space="0" w:color="000000"/>
              <w:bottom w:val="single" w:sz="4" w:space="0" w:color="000000"/>
              <w:right w:val="single" w:sz="4" w:space="0" w:color="000000"/>
            </w:tcBorders>
          </w:tcPr>
          <w:p w14:paraId="4A9AD67A" w14:textId="58ABA672"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3122F524"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2523325B"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7007D01B"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543E5D2D"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77895E7C"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969" w:type="dxa"/>
            <w:gridSpan w:val="8"/>
            <w:tcBorders>
              <w:top w:val="single" w:sz="4" w:space="0" w:color="000000"/>
              <w:left w:val="single" w:sz="4" w:space="0" w:color="000000"/>
              <w:bottom w:val="single" w:sz="4" w:space="0" w:color="000000"/>
              <w:right w:val="single" w:sz="4" w:space="0" w:color="000000"/>
            </w:tcBorders>
          </w:tcPr>
          <w:p w14:paraId="6BFAC4C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Vergaševići </w:t>
            </w:r>
          </w:p>
        </w:tc>
        <w:tc>
          <w:tcPr>
            <w:tcW w:w="2708" w:type="dxa"/>
            <w:gridSpan w:val="2"/>
            <w:tcBorders>
              <w:top w:val="single" w:sz="4" w:space="0" w:color="000000"/>
              <w:left w:val="single" w:sz="4" w:space="0" w:color="000000"/>
              <w:bottom w:val="single" w:sz="4" w:space="0" w:color="000000"/>
              <w:right w:val="single" w:sz="4" w:space="0" w:color="000000"/>
            </w:tcBorders>
          </w:tcPr>
          <w:p w14:paraId="0E5B67A7" w14:textId="4C1D3BAE"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63A41A0D"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29886141"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24C4E489"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76C77F4F"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5E6C024B"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 </w:t>
            </w:r>
          </w:p>
        </w:tc>
        <w:tc>
          <w:tcPr>
            <w:tcW w:w="3969" w:type="dxa"/>
            <w:gridSpan w:val="8"/>
            <w:tcBorders>
              <w:top w:val="single" w:sz="4" w:space="0" w:color="000000"/>
              <w:left w:val="single" w:sz="4" w:space="0" w:color="000000"/>
              <w:bottom w:val="single" w:sz="4" w:space="0" w:color="000000"/>
              <w:right w:val="single" w:sz="4" w:space="0" w:color="000000"/>
            </w:tcBorders>
          </w:tcPr>
          <w:p w14:paraId="70A0D62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Kovren kod skretanja ka Vergaševićima </w:t>
            </w:r>
          </w:p>
        </w:tc>
        <w:tc>
          <w:tcPr>
            <w:tcW w:w="2708" w:type="dxa"/>
            <w:gridSpan w:val="2"/>
            <w:tcBorders>
              <w:top w:val="single" w:sz="4" w:space="0" w:color="000000"/>
              <w:left w:val="single" w:sz="4" w:space="0" w:color="000000"/>
              <w:bottom w:val="single" w:sz="4" w:space="0" w:color="000000"/>
              <w:right w:val="single" w:sz="4" w:space="0" w:color="000000"/>
            </w:tcBorders>
          </w:tcPr>
          <w:p w14:paraId="654581DE" w14:textId="18875B01"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369415DD"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12</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6A178E8F"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10A8021" w14:textId="77777777" w:rsidTr="00C232D7">
        <w:tblPrEx>
          <w:tblCellMar>
            <w:top w:w="43" w:type="dxa"/>
            <w:right w:w="58" w:type="dxa"/>
          </w:tblCellMar>
        </w:tblPrEx>
        <w:trPr>
          <w:trHeight w:val="205"/>
        </w:trPr>
        <w:tc>
          <w:tcPr>
            <w:tcW w:w="297" w:type="dxa"/>
            <w:gridSpan w:val="3"/>
            <w:vMerge/>
            <w:tcBorders>
              <w:top w:val="nil"/>
              <w:left w:val="single" w:sz="4" w:space="0" w:color="000000"/>
              <w:bottom w:val="nil"/>
              <w:right w:val="single" w:sz="4" w:space="0" w:color="000000"/>
            </w:tcBorders>
          </w:tcPr>
          <w:p w14:paraId="3080146B"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3C9C0CA3"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969" w:type="dxa"/>
            <w:gridSpan w:val="8"/>
            <w:tcBorders>
              <w:top w:val="single" w:sz="4" w:space="0" w:color="000000"/>
              <w:left w:val="single" w:sz="4" w:space="0" w:color="000000"/>
              <w:bottom w:val="single" w:sz="2" w:space="0" w:color="000000"/>
              <w:right w:val="single" w:sz="4" w:space="0" w:color="000000"/>
            </w:tcBorders>
          </w:tcPr>
          <w:p w14:paraId="499D92C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Pavino polje - pored mosta na Grabskoj rijeci </w:t>
            </w:r>
          </w:p>
        </w:tc>
        <w:tc>
          <w:tcPr>
            <w:tcW w:w="2708" w:type="dxa"/>
            <w:gridSpan w:val="2"/>
            <w:tcBorders>
              <w:top w:val="single" w:sz="4" w:space="0" w:color="000000"/>
              <w:left w:val="single" w:sz="4" w:space="0" w:color="000000"/>
              <w:bottom w:val="single" w:sz="2" w:space="0" w:color="000000"/>
              <w:right w:val="single" w:sz="4" w:space="0" w:color="000000"/>
            </w:tcBorders>
          </w:tcPr>
          <w:p w14:paraId="3D155DD2" w14:textId="1BBAF235"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2" w:space="0" w:color="000000"/>
              <w:right w:val="single" w:sz="2" w:space="0" w:color="000000"/>
            </w:tcBorders>
          </w:tcPr>
          <w:p w14:paraId="77BD2697"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2E7E5EE0"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032DCD32"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tcPr>
          <w:p w14:paraId="4AE25A23"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68A8DCFC"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 </w:t>
            </w:r>
          </w:p>
        </w:tc>
        <w:tc>
          <w:tcPr>
            <w:tcW w:w="3969" w:type="dxa"/>
            <w:gridSpan w:val="8"/>
            <w:tcBorders>
              <w:top w:val="single" w:sz="2" w:space="0" w:color="000000"/>
              <w:left w:val="single" w:sz="4" w:space="0" w:color="000000"/>
              <w:bottom w:val="single" w:sz="4" w:space="0" w:color="000000"/>
              <w:right w:val="single" w:sz="4" w:space="0" w:color="000000"/>
            </w:tcBorders>
          </w:tcPr>
          <w:p w14:paraId="31329B72"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Pavino polje 2 </w:t>
            </w:r>
          </w:p>
        </w:tc>
        <w:tc>
          <w:tcPr>
            <w:tcW w:w="2708" w:type="dxa"/>
            <w:gridSpan w:val="2"/>
            <w:tcBorders>
              <w:top w:val="single" w:sz="2" w:space="0" w:color="000000"/>
              <w:left w:val="single" w:sz="4" w:space="0" w:color="000000"/>
              <w:bottom w:val="single" w:sz="4" w:space="0" w:color="000000"/>
              <w:right w:val="single" w:sz="4" w:space="0" w:color="000000"/>
            </w:tcBorders>
          </w:tcPr>
          <w:p w14:paraId="7D822D77" w14:textId="6DEAA19C"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2" w:space="0" w:color="000000"/>
              <w:left w:val="single" w:sz="4" w:space="0" w:color="000000"/>
              <w:bottom w:val="single" w:sz="4" w:space="0" w:color="000000"/>
              <w:right w:val="single" w:sz="2" w:space="0" w:color="000000"/>
            </w:tcBorders>
          </w:tcPr>
          <w:p w14:paraId="06173242"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42EFC38D"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C6CB700"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0F25A9E5"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32F3688C"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6. </w:t>
            </w:r>
          </w:p>
        </w:tc>
        <w:tc>
          <w:tcPr>
            <w:tcW w:w="3969" w:type="dxa"/>
            <w:gridSpan w:val="8"/>
            <w:tcBorders>
              <w:top w:val="single" w:sz="4" w:space="0" w:color="000000"/>
              <w:left w:val="single" w:sz="4" w:space="0" w:color="000000"/>
              <w:bottom w:val="single" w:sz="2" w:space="0" w:color="000000"/>
              <w:right w:val="single" w:sz="4" w:space="0" w:color="000000"/>
            </w:tcBorders>
          </w:tcPr>
          <w:p w14:paraId="3EFE8FB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Pavino polje 3 </w:t>
            </w:r>
          </w:p>
        </w:tc>
        <w:tc>
          <w:tcPr>
            <w:tcW w:w="2708" w:type="dxa"/>
            <w:gridSpan w:val="2"/>
            <w:tcBorders>
              <w:top w:val="single" w:sz="4" w:space="0" w:color="000000"/>
              <w:left w:val="single" w:sz="4" w:space="0" w:color="000000"/>
              <w:bottom w:val="single" w:sz="2" w:space="0" w:color="000000"/>
              <w:right w:val="single" w:sz="4" w:space="0" w:color="000000"/>
            </w:tcBorders>
          </w:tcPr>
          <w:p w14:paraId="46DD0713" w14:textId="5D46CD04"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2" w:space="0" w:color="000000"/>
              <w:right w:val="single" w:sz="2" w:space="0" w:color="000000"/>
            </w:tcBorders>
          </w:tcPr>
          <w:p w14:paraId="28652D55"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4C88F004"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AD85E56"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31B543E8"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11FAEB02"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7. </w:t>
            </w:r>
          </w:p>
        </w:tc>
        <w:tc>
          <w:tcPr>
            <w:tcW w:w="3969" w:type="dxa"/>
            <w:gridSpan w:val="8"/>
            <w:tcBorders>
              <w:top w:val="single" w:sz="2" w:space="0" w:color="000000"/>
              <w:left w:val="single" w:sz="4" w:space="0" w:color="000000"/>
              <w:bottom w:val="single" w:sz="4" w:space="0" w:color="000000"/>
              <w:right w:val="single" w:sz="4" w:space="0" w:color="000000"/>
            </w:tcBorders>
          </w:tcPr>
          <w:p w14:paraId="62166964"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Draškovina  </w:t>
            </w:r>
          </w:p>
        </w:tc>
        <w:tc>
          <w:tcPr>
            <w:tcW w:w="2708" w:type="dxa"/>
            <w:gridSpan w:val="2"/>
            <w:tcBorders>
              <w:top w:val="single" w:sz="2" w:space="0" w:color="000000"/>
              <w:left w:val="single" w:sz="4" w:space="0" w:color="000000"/>
              <w:bottom w:val="single" w:sz="4" w:space="0" w:color="000000"/>
              <w:right w:val="single" w:sz="4" w:space="0" w:color="000000"/>
            </w:tcBorders>
          </w:tcPr>
          <w:p w14:paraId="10D60DFA" w14:textId="0033E94D"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2" w:space="0" w:color="000000"/>
              <w:left w:val="single" w:sz="4" w:space="0" w:color="000000"/>
              <w:bottom w:val="single" w:sz="4" w:space="0" w:color="000000"/>
              <w:right w:val="single" w:sz="2" w:space="0" w:color="000000"/>
            </w:tcBorders>
          </w:tcPr>
          <w:p w14:paraId="7EE2F1D4"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63645331"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6523C62"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79A7D36B"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3666A955"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8. </w:t>
            </w:r>
          </w:p>
        </w:tc>
        <w:tc>
          <w:tcPr>
            <w:tcW w:w="3969" w:type="dxa"/>
            <w:gridSpan w:val="8"/>
            <w:tcBorders>
              <w:top w:val="single" w:sz="4" w:space="0" w:color="000000"/>
              <w:left w:val="single" w:sz="4" w:space="0" w:color="000000"/>
              <w:bottom w:val="single" w:sz="4" w:space="0" w:color="000000"/>
              <w:right w:val="single" w:sz="4" w:space="0" w:color="000000"/>
            </w:tcBorders>
          </w:tcPr>
          <w:p w14:paraId="1B7AE64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Draškovina Purin brijeg </w:t>
            </w:r>
          </w:p>
        </w:tc>
        <w:tc>
          <w:tcPr>
            <w:tcW w:w="2708" w:type="dxa"/>
            <w:gridSpan w:val="2"/>
            <w:tcBorders>
              <w:top w:val="single" w:sz="4" w:space="0" w:color="000000"/>
              <w:left w:val="single" w:sz="4" w:space="0" w:color="000000"/>
              <w:bottom w:val="single" w:sz="4" w:space="0" w:color="000000"/>
              <w:right w:val="single" w:sz="4" w:space="0" w:color="000000"/>
            </w:tcBorders>
          </w:tcPr>
          <w:p w14:paraId="54E17880" w14:textId="6289D01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68D8BB9C"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5DA24C34"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7F9C0434"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0BE35F1C"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2CC4710B"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9. </w:t>
            </w:r>
          </w:p>
        </w:tc>
        <w:tc>
          <w:tcPr>
            <w:tcW w:w="3969" w:type="dxa"/>
            <w:gridSpan w:val="8"/>
            <w:tcBorders>
              <w:top w:val="single" w:sz="4" w:space="0" w:color="000000"/>
              <w:left w:val="single" w:sz="4" w:space="0" w:color="000000"/>
              <w:bottom w:val="single" w:sz="4" w:space="0" w:color="000000"/>
              <w:right w:val="single" w:sz="4" w:space="0" w:color="000000"/>
            </w:tcBorders>
          </w:tcPr>
          <w:p w14:paraId="07316B7F"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Pental 1 </w:t>
            </w:r>
          </w:p>
        </w:tc>
        <w:tc>
          <w:tcPr>
            <w:tcW w:w="2708" w:type="dxa"/>
            <w:gridSpan w:val="2"/>
            <w:tcBorders>
              <w:top w:val="single" w:sz="4" w:space="0" w:color="000000"/>
              <w:left w:val="single" w:sz="4" w:space="0" w:color="000000"/>
              <w:bottom w:val="single" w:sz="4" w:space="0" w:color="000000"/>
              <w:right w:val="single" w:sz="4" w:space="0" w:color="000000"/>
            </w:tcBorders>
          </w:tcPr>
          <w:p w14:paraId="0DF598F8" w14:textId="5C00E722"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21FA0D8E"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60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10E6C18D"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89DC2E5"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1F5A31C2"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6233A47C"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10. </w:t>
            </w:r>
          </w:p>
        </w:tc>
        <w:tc>
          <w:tcPr>
            <w:tcW w:w="3969" w:type="dxa"/>
            <w:gridSpan w:val="8"/>
            <w:tcBorders>
              <w:top w:val="single" w:sz="4" w:space="0" w:color="000000"/>
              <w:left w:val="single" w:sz="4" w:space="0" w:color="000000"/>
              <w:bottom w:val="single" w:sz="4" w:space="0" w:color="000000"/>
              <w:right w:val="single" w:sz="4" w:space="0" w:color="000000"/>
            </w:tcBorders>
          </w:tcPr>
          <w:p w14:paraId="723A0E0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Pental 2 </w:t>
            </w:r>
          </w:p>
        </w:tc>
        <w:tc>
          <w:tcPr>
            <w:tcW w:w="2708" w:type="dxa"/>
            <w:gridSpan w:val="2"/>
            <w:tcBorders>
              <w:top w:val="single" w:sz="4" w:space="0" w:color="000000"/>
              <w:left w:val="single" w:sz="4" w:space="0" w:color="000000"/>
              <w:bottom w:val="single" w:sz="4" w:space="0" w:color="000000"/>
              <w:right w:val="single" w:sz="4" w:space="0" w:color="000000"/>
            </w:tcBorders>
          </w:tcPr>
          <w:p w14:paraId="3839DCDE" w14:textId="29AFF758"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1EDB09E4"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5417301E"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B2E1F46"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774A966B"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03796ECD"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11. </w:t>
            </w:r>
          </w:p>
        </w:tc>
        <w:tc>
          <w:tcPr>
            <w:tcW w:w="3969" w:type="dxa"/>
            <w:gridSpan w:val="8"/>
            <w:tcBorders>
              <w:top w:val="single" w:sz="4" w:space="0" w:color="000000"/>
              <w:left w:val="single" w:sz="4" w:space="0" w:color="000000"/>
              <w:bottom w:val="single" w:sz="2" w:space="0" w:color="000000"/>
              <w:right w:val="single" w:sz="4" w:space="0" w:color="000000"/>
            </w:tcBorders>
          </w:tcPr>
          <w:p w14:paraId="649C5F8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Mahala 1 </w:t>
            </w:r>
          </w:p>
        </w:tc>
        <w:tc>
          <w:tcPr>
            <w:tcW w:w="2708" w:type="dxa"/>
            <w:gridSpan w:val="2"/>
            <w:tcBorders>
              <w:top w:val="single" w:sz="4" w:space="0" w:color="000000"/>
              <w:left w:val="single" w:sz="4" w:space="0" w:color="000000"/>
              <w:bottom w:val="single" w:sz="2" w:space="0" w:color="000000"/>
              <w:right w:val="single" w:sz="4" w:space="0" w:color="000000"/>
            </w:tcBorders>
          </w:tcPr>
          <w:p w14:paraId="5E0A7D16" w14:textId="5EB0A556"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2" w:space="0" w:color="000000"/>
              <w:right w:val="single" w:sz="2" w:space="0" w:color="000000"/>
            </w:tcBorders>
          </w:tcPr>
          <w:p w14:paraId="536D9F2A"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25</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2F7FF6DC"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07EAA65"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1372B9F7"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33550409"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12. </w:t>
            </w:r>
          </w:p>
        </w:tc>
        <w:tc>
          <w:tcPr>
            <w:tcW w:w="3969" w:type="dxa"/>
            <w:gridSpan w:val="8"/>
            <w:tcBorders>
              <w:top w:val="single" w:sz="2" w:space="0" w:color="000000"/>
              <w:left w:val="single" w:sz="4" w:space="0" w:color="000000"/>
              <w:bottom w:val="single" w:sz="4" w:space="0" w:color="000000"/>
              <w:right w:val="single" w:sz="4" w:space="0" w:color="000000"/>
            </w:tcBorders>
          </w:tcPr>
          <w:p w14:paraId="5F8895C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Mahala 2 </w:t>
            </w:r>
          </w:p>
        </w:tc>
        <w:tc>
          <w:tcPr>
            <w:tcW w:w="2708" w:type="dxa"/>
            <w:gridSpan w:val="2"/>
            <w:tcBorders>
              <w:top w:val="single" w:sz="2" w:space="0" w:color="000000"/>
              <w:left w:val="single" w:sz="4" w:space="0" w:color="000000"/>
              <w:bottom w:val="single" w:sz="4" w:space="0" w:color="000000"/>
              <w:right w:val="single" w:sz="4" w:space="0" w:color="000000"/>
            </w:tcBorders>
          </w:tcPr>
          <w:p w14:paraId="15E7ACB9" w14:textId="39C3C130"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2" w:space="0" w:color="000000"/>
              <w:left w:val="single" w:sz="4" w:space="0" w:color="000000"/>
              <w:bottom w:val="single" w:sz="4" w:space="0" w:color="000000"/>
              <w:right w:val="single" w:sz="2" w:space="0" w:color="000000"/>
            </w:tcBorders>
          </w:tcPr>
          <w:p w14:paraId="73D9E11D"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089E0050"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0C9DB08"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065BBA6A"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080B2032"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13. </w:t>
            </w:r>
          </w:p>
        </w:tc>
        <w:tc>
          <w:tcPr>
            <w:tcW w:w="3969" w:type="dxa"/>
            <w:gridSpan w:val="8"/>
            <w:tcBorders>
              <w:top w:val="single" w:sz="4" w:space="0" w:color="000000"/>
              <w:left w:val="single" w:sz="4" w:space="0" w:color="000000"/>
              <w:bottom w:val="single" w:sz="4" w:space="0" w:color="000000"/>
              <w:right w:val="single" w:sz="4" w:space="0" w:color="000000"/>
            </w:tcBorders>
          </w:tcPr>
          <w:p w14:paraId="2DDECDA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Jagodina česma </w:t>
            </w:r>
          </w:p>
        </w:tc>
        <w:tc>
          <w:tcPr>
            <w:tcW w:w="2708" w:type="dxa"/>
            <w:gridSpan w:val="2"/>
            <w:tcBorders>
              <w:top w:val="single" w:sz="4" w:space="0" w:color="000000"/>
              <w:left w:val="single" w:sz="4" w:space="0" w:color="000000"/>
              <w:bottom w:val="single" w:sz="4" w:space="0" w:color="000000"/>
              <w:right w:val="single" w:sz="4" w:space="0" w:color="000000"/>
            </w:tcBorders>
          </w:tcPr>
          <w:p w14:paraId="5784F91A" w14:textId="25D72C53"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23554E70"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1AAED90F"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7BDCA9E3"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1AE49FCB"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4FD2F913"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14. </w:t>
            </w:r>
          </w:p>
        </w:tc>
        <w:tc>
          <w:tcPr>
            <w:tcW w:w="3969" w:type="dxa"/>
            <w:gridSpan w:val="8"/>
            <w:tcBorders>
              <w:top w:val="single" w:sz="4" w:space="0" w:color="000000"/>
              <w:left w:val="single" w:sz="4" w:space="0" w:color="000000"/>
              <w:bottom w:val="single" w:sz="4" w:space="0" w:color="000000"/>
              <w:right w:val="single" w:sz="4" w:space="0" w:color="000000"/>
            </w:tcBorders>
          </w:tcPr>
          <w:p w14:paraId="6BAA2EEF"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Jabučno  </w:t>
            </w:r>
          </w:p>
        </w:tc>
        <w:tc>
          <w:tcPr>
            <w:tcW w:w="2708" w:type="dxa"/>
            <w:gridSpan w:val="2"/>
            <w:tcBorders>
              <w:top w:val="single" w:sz="4" w:space="0" w:color="000000"/>
              <w:left w:val="single" w:sz="4" w:space="0" w:color="000000"/>
              <w:bottom w:val="single" w:sz="4" w:space="0" w:color="000000"/>
              <w:right w:val="single" w:sz="4" w:space="0" w:color="000000"/>
            </w:tcBorders>
          </w:tcPr>
          <w:p w14:paraId="7AD76947" w14:textId="4ACC367B"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34EEBCB5"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4</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45CA4598"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F370BEC"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5B6E6937"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35C757A5"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15. </w:t>
            </w:r>
          </w:p>
        </w:tc>
        <w:tc>
          <w:tcPr>
            <w:tcW w:w="3969" w:type="dxa"/>
            <w:gridSpan w:val="8"/>
            <w:tcBorders>
              <w:top w:val="single" w:sz="4" w:space="0" w:color="000000"/>
              <w:left w:val="single" w:sz="4" w:space="0" w:color="000000"/>
              <w:bottom w:val="single" w:sz="4" w:space="0" w:color="000000"/>
              <w:right w:val="single" w:sz="4" w:space="0" w:color="000000"/>
            </w:tcBorders>
          </w:tcPr>
          <w:p w14:paraId="3B7A27A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Slijepač most ispod škole </w:t>
            </w:r>
          </w:p>
        </w:tc>
        <w:tc>
          <w:tcPr>
            <w:tcW w:w="2708" w:type="dxa"/>
            <w:gridSpan w:val="2"/>
            <w:tcBorders>
              <w:top w:val="single" w:sz="4" w:space="0" w:color="000000"/>
              <w:left w:val="single" w:sz="4" w:space="0" w:color="000000"/>
              <w:bottom w:val="single" w:sz="4" w:space="0" w:color="000000"/>
              <w:right w:val="single" w:sz="4" w:space="0" w:color="000000"/>
            </w:tcBorders>
          </w:tcPr>
          <w:p w14:paraId="58506C9D"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Mješani komunalni </w:t>
            </w:r>
          </w:p>
        </w:tc>
        <w:tc>
          <w:tcPr>
            <w:tcW w:w="902" w:type="dxa"/>
            <w:tcBorders>
              <w:top w:val="single" w:sz="4" w:space="0" w:color="000000"/>
              <w:left w:val="single" w:sz="4" w:space="0" w:color="000000"/>
              <w:bottom w:val="single" w:sz="4" w:space="0" w:color="000000"/>
              <w:right w:val="single" w:sz="2" w:space="0" w:color="000000"/>
            </w:tcBorders>
          </w:tcPr>
          <w:p w14:paraId="2063A44B"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29A2A23F"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93ECD54"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tcPr>
          <w:p w14:paraId="5DD1500C"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41F8CB1B"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16. </w:t>
            </w:r>
          </w:p>
        </w:tc>
        <w:tc>
          <w:tcPr>
            <w:tcW w:w="3969" w:type="dxa"/>
            <w:gridSpan w:val="8"/>
            <w:tcBorders>
              <w:top w:val="single" w:sz="4" w:space="0" w:color="000000"/>
              <w:left w:val="single" w:sz="4" w:space="0" w:color="000000"/>
              <w:bottom w:val="single" w:sz="4" w:space="0" w:color="000000"/>
              <w:right w:val="single" w:sz="4" w:space="0" w:color="000000"/>
            </w:tcBorders>
          </w:tcPr>
          <w:p w14:paraId="0094901F"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Ravna rijeka ispod mosta na rijeci Ljuboviđi </w:t>
            </w:r>
          </w:p>
        </w:tc>
        <w:tc>
          <w:tcPr>
            <w:tcW w:w="2708" w:type="dxa"/>
            <w:gridSpan w:val="2"/>
            <w:tcBorders>
              <w:top w:val="single" w:sz="4" w:space="0" w:color="000000"/>
              <w:left w:val="single" w:sz="4" w:space="0" w:color="000000"/>
              <w:bottom w:val="single" w:sz="4" w:space="0" w:color="000000"/>
              <w:right w:val="single" w:sz="4" w:space="0" w:color="000000"/>
            </w:tcBorders>
          </w:tcPr>
          <w:p w14:paraId="5E69A969" w14:textId="1752EDB8"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16950B2C"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12</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6EDA56BF"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2D9DFF1" w14:textId="77777777" w:rsidTr="00C232D7">
        <w:tblPrEx>
          <w:tblCellMar>
            <w:top w:w="43" w:type="dxa"/>
            <w:right w:w="58" w:type="dxa"/>
          </w:tblCellMar>
        </w:tblPrEx>
        <w:trPr>
          <w:trHeight w:val="205"/>
        </w:trPr>
        <w:tc>
          <w:tcPr>
            <w:tcW w:w="297" w:type="dxa"/>
            <w:gridSpan w:val="3"/>
            <w:vMerge/>
            <w:tcBorders>
              <w:top w:val="nil"/>
              <w:left w:val="single" w:sz="4" w:space="0" w:color="000000"/>
              <w:bottom w:val="nil"/>
              <w:right w:val="single" w:sz="4" w:space="0" w:color="000000"/>
            </w:tcBorders>
          </w:tcPr>
          <w:p w14:paraId="0957F7BF"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0EC800E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17. </w:t>
            </w:r>
          </w:p>
        </w:tc>
        <w:tc>
          <w:tcPr>
            <w:tcW w:w="3969" w:type="dxa"/>
            <w:gridSpan w:val="8"/>
            <w:tcBorders>
              <w:top w:val="single" w:sz="4" w:space="0" w:color="000000"/>
              <w:left w:val="single" w:sz="4" w:space="0" w:color="000000"/>
              <w:bottom w:val="single" w:sz="4" w:space="0" w:color="000000"/>
              <w:right w:val="single" w:sz="4" w:space="0" w:color="000000"/>
            </w:tcBorders>
          </w:tcPr>
          <w:p w14:paraId="29D75F55"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Dugačka česma </w:t>
            </w:r>
          </w:p>
        </w:tc>
        <w:tc>
          <w:tcPr>
            <w:tcW w:w="2708" w:type="dxa"/>
            <w:gridSpan w:val="2"/>
            <w:tcBorders>
              <w:top w:val="single" w:sz="4" w:space="0" w:color="000000"/>
              <w:left w:val="single" w:sz="4" w:space="0" w:color="000000"/>
              <w:bottom w:val="single" w:sz="4" w:space="0" w:color="000000"/>
              <w:right w:val="single" w:sz="4" w:space="0" w:color="000000"/>
            </w:tcBorders>
          </w:tcPr>
          <w:p w14:paraId="4671094F" w14:textId="637667EF"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797EF5D6"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16AA004A"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76E2B4CE"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tcPr>
          <w:p w14:paraId="4B70D7D9"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43157B9F"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18. </w:t>
            </w:r>
          </w:p>
        </w:tc>
        <w:tc>
          <w:tcPr>
            <w:tcW w:w="3969" w:type="dxa"/>
            <w:gridSpan w:val="8"/>
            <w:tcBorders>
              <w:top w:val="single" w:sz="4" w:space="0" w:color="000000"/>
              <w:left w:val="single" w:sz="4" w:space="0" w:color="000000"/>
              <w:bottom w:val="single" w:sz="2" w:space="0" w:color="000000"/>
              <w:right w:val="single" w:sz="4" w:space="0" w:color="000000"/>
            </w:tcBorders>
          </w:tcPr>
          <w:p w14:paraId="2A3449C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Dugačka česma 1 </w:t>
            </w:r>
          </w:p>
        </w:tc>
        <w:tc>
          <w:tcPr>
            <w:tcW w:w="2708" w:type="dxa"/>
            <w:gridSpan w:val="2"/>
            <w:tcBorders>
              <w:top w:val="single" w:sz="4" w:space="0" w:color="000000"/>
              <w:left w:val="single" w:sz="4" w:space="0" w:color="000000"/>
              <w:bottom w:val="single" w:sz="2" w:space="0" w:color="000000"/>
              <w:right w:val="single" w:sz="4" w:space="0" w:color="000000"/>
            </w:tcBorders>
          </w:tcPr>
          <w:p w14:paraId="32FFD214" w14:textId="507E2F96"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2" w:space="0" w:color="000000"/>
              <w:right w:val="single" w:sz="2" w:space="0" w:color="000000"/>
            </w:tcBorders>
          </w:tcPr>
          <w:p w14:paraId="1B2B213C"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60A6B7B6"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A4BF374" w14:textId="77777777" w:rsidTr="00C232D7">
        <w:tblPrEx>
          <w:tblCellMar>
            <w:top w:w="43" w:type="dxa"/>
            <w:right w:w="58" w:type="dxa"/>
          </w:tblCellMar>
        </w:tblPrEx>
        <w:trPr>
          <w:trHeight w:val="205"/>
        </w:trPr>
        <w:tc>
          <w:tcPr>
            <w:tcW w:w="297" w:type="dxa"/>
            <w:gridSpan w:val="3"/>
            <w:vMerge/>
            <w:tcBorders>
              <w:top w:val="nil"/>
              <w:left w:val="single" w:sz="4" w:space="0" w:color="000000"/>
              <w:bottom w:val="nil"/>
              <w:right w:val="single" w:sz="4" w:space="0" w:color="000000"/>
            </w:tcBorders>
          </w:tcPr>
          <w:p w14:paraId="723F2E0E"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7CD6CC9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19. </w:t>
            </w:r>
          </w:p>
        </w:tc>
        <w:tc>
          <w:tcPr>
            <w:tcW w:w="3969" w:type="dxa"/>
            <w:gridSpan w:val="8"/>
            <w:tcBorders>
              <w:top w:val="single" w:sz="2" w:space="0" w:color="000000"/>
              <w:left w:val="single" w:sz="4" w:space="0" w:color="000000"/>
              <w:bottom w:val="single" w:sz="4" w:space="0" w:color="000000"/>
              <w:right w:val="single" w:sz="4" w:space="0" w:color="000000"/>
            </w:tcBorders>
          </w:tcPr>
          <w:p w14:paraId="5773A049"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Vranjski krš </w:t>
            </w:r>
          </w:p>
        </w:tc>
        <w:tc>
          <w:tcPr>
            <w:tcW w:w="2708" w:type="dxa"/>
            <w:gridSpan w:val="2"/>
            <w:tcBorders>
              <w:top w:val="single" w:sz="2" w:space="0" w:color="000000"/>
              <w:left w:val="single" w:sz="4" w:space="0" w:color="000000"/>
              <w:bottom w:val="single" w:sz="4" w:space="0" w:color="000000"/>
              <w:right w:val="single" w:sz="4" w:space="0" w:color="000000"/>
            </w:tcBorders>
          </w:tcPr>
          <w:p w14:paraId="09D8EBDC" w14:textId="13F47FB0"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2" w:space="0" w:color="000000"/>
              <w:left w:val="single" w:sz="4" w:space="0" w:color="000000"/>
              <w:bottom w:val="single" w:sz="4" w:space="0" w:color="000000"/>
              <w:right w:val="single" w:sz="2" w:space="0" w:color="000000"/>
            </w:tcBorders>
          </w:tcPr>
          <w:p w14:paraId="61DD1A81"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4</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7A4EC0EB"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7B3B2B2"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0EC77B31"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15CDB64F"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20. </w:t>
            </w:r>
          </w:p>
        </w:tc>
        <w:tc>
          <w:tcPr>
            <w:tcW w:w="3969" w:type="dxa"/>
            <w:gridSpan w:val="8"/>
            <w:tcBorders>
              <w:top w:val="single" w:sz="4" w:space="0" w:color="000000"/>
              <w:left w:val="single" w:sz="4" w:space="0" w:color="000000"/>
              <w:bottom w:val="single" w:sz="4" w:space="0" w:color="000000"/>
              <w:right w:val="single" w:sz="4" w:space="0" w:color="000000"/>
            </w:tcBorders>
          </w:tcPr>
          <w:p w14:paraId="0FD7AE5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Vranjski krš 1 </w:t>
            </w:r>
          </w:p>
        </w:tc>
        <w:tc>
          <w:tcPr>
            <w:tcW w:w="2708" w:type="dxa"/>
            <w:gridSpan w:val="2"/>
            <w:tcBorders>
              <w:top w:val="single" w:sz="4" w:space="0" w:color="000000"/>
              <w:left w:val="single" w:sz="4" w:space="0" w:color="000000"/>
              <w:bottom w:val="single" w:sz="4" w:space="0" w:color="000000"/>
              <w:right w:val="single" w:sz="4" w:space="0" w:color="000000"/>
            </w:tcBorders>
          </w:tcPr>
          <w:p w14:paraId="60474D6A" w14:textId="25D32F86"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2A71BC3E"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684F5D1B"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6CE134DE"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53DB20FE"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188D914F"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21. </w:t>
            </w:r>
          </w:p>
        </w:tc>
        <w:tc>
          <w:tcPr>
            <w:tcW w:w="3969" w:type="dxa"/>
            <w:gridSpan w:val="8"/>
            <w:tcBorders>
              <w:top w:val="single" w:sz="4" w:space="0" w:color="000000"/>
              <w:left w:val="single" w:sz="4" w:space="0" w:color="000000"/>
              <w:bottom w:val="single" w:sz="4" w:space="0" w:color="000000"/>
              <w:right w:val="single" w:sz="4" w:space="0" w:color="000000"/>
            </w:tcBorders>
          </w:tcPr>
          <w:p w14:paraId="0A0C3FC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Vranjski krš 2 </w:t>
            </w:r>
          </w:p>
        </w:tc>
        <w:tc>
          <w:tcPr>
            <w:tcW w:w="2708" w:type="dxa"/>
            <w:gridSpan w:val="2"/>
            <w:tcBorders>
              <w:top w:val="single" w:sz="4" w:space="0" w:color="000000"/>
              <w:left w:val="single" w:sz="4" w:space="0" w:color="000000"/>
              <w:bottom w:val="single" w:sz="4" w:space="0" w:color="000000"/>
              <w:right w:val="single" w:sz="4" w:space="0" w:color="000000"/>
            </w:tcBorders>
          </w:tcPr>
          <w:p w14:paraId="12F81C26" w14:textId="31D2DE14"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535CA9A2"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24E47ECD"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1634823"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16B623E9"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648C4D7A"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22. </w:t>
            </w:r>
          </w:p>
        </w:tc>
        <w:tc>
          <w:tcPr>
            <w:tcW w:w="3969" w:type="dxa"/>
            <w:gridSpan w:val="8"/>
            <w:tcBorders>
              <w:top w:val="single" w:sz="4" w:space="0" w:color="000000"/>
              <w:left w:val="single" w:sz="4" w:space="0" w:color="000000"/>
              <w:bottom w:val="single" w:sz="4" w:space="0" w:color="000000"/>
              <w:right w:val="single" w:sz="4" w:space="0" w:color="000000"/>
            </w:tcBorders>
          </w:tcPr>
          <w:p w14:paraId="7585251F"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Đapanov grob </w:t>
            </w:r>
          </w:p>
        </w:tc>
        <w:tc>
          <w:tcPr>
            <w:tcW w:w="2708" w:type="dxa"/>
            <w:gridSpan w:val="2"/>
            <w:tcBorders>
              <w:top w:val="single" w:sz="4" w:space="0" w:color="000000"/>
              <w:left w:val="single" w:sz="4" w:space="0" w:color="000000"/>
              <w:bottom w:val="single" w:sz="4" w:space="0" w:color="000000"/>
              <w:right w:val="single" w:sz="4" w:space="0" w:color="000000"/>
            </w:tcBorders>
          </w:tcPr>
          <w:p w14:paraId="0FEE145F" w14:textId="019E7A2A"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3B902899"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2472563E"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4C9F0D8"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tcPr>
          <w:p w14:paraId="68D348B8"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0C99AB2A"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23. </w:t>
            </w:r>
          </w:p>
        </w:tc>
        <w:tc>
          <w:tcPr>
            <w:tcW w:w="3969" w:type="dxa"/>
            <w:gridSpan w:val="8"/>
            <w:tcBorders>
              <w:top w:val="single" w:sz="4" w:space="0" w:color="000000"/>
              <w:left w:val="single" w:sz="4" w:space="0" w:color="000000"/>
              <w:bottom w:val="single" w:sz="2" w:space="0" w:color="000000"/>
              <w:right w:val="single" w:sz="4" w:space="0" w:color="000000"/>
            </w:tcBorders>
          </w:tcPr>
          <w:p w14:paraId="7E482872"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Magovac  </w:t>
            </w:r>
          </w:p>
        </w:tc>
        <w:tc>
          <w:tcPr>
            <w:tcW w:w="2708" w:type="dxa"/>
            <w:gridSpan w:val="2"/>
            <w:tcBorders>
              <w:top w:val="single" w:sz="4" w:space="0" w:color="000000"/>
              <w:left w:val="single" w:sz="4" w:space="0" w:color="000000"/>
              <w:bottom w:val="single" w:sz="2" w:space="0" w:color="000000"/>
              <w:right w:val="single" w:sz="4" w:space="0" w:color="000000"/>
            </w:tcBorders>
          </w:tcPr>
          <w:p w14:paraId="3144947A" w14:textId="37C14904"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2" w:space="0" w:color="000000"/>
              <w:right w:val="single" w:sz="2" w:space="0" w:color="000000"/>
            </w:tcBorders>
          </w:tcPr>
          <w:p w14:paraId="2F00D7ED"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4</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4E685D23"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0984C72" w14:textId="77777777" w:rsidTr="00C232D7">
        <w:tblPrEx>
          <w:tblCellMar>
            <w:top w:w="43" w:type="dxa"/>
            <w:right w:w="58" w:type="dxa"/>
          </w:tblCellMar>
        </w:tblPrEx>
        <w:trPr>
          <w:trHeight w:val="205"/>
        </w:trPr>
        <w:tc>
          <w:tcPr>
            <w:tcW w:w="297" w:type="dxa"/>
            <w:gridSpan w:val="3"/>
            <w:vMerge/>
            <w:tcBorders>
              <w:top w:val="nil"/>
              <w:left w:val="single" w:sz="4" w:space="0" w:color="000000"/>
              <w:bottom w:val="nil"/>
              <w:right w:val="single" w:sz="4" w:space="0" w:color="000000"/>
            </w:tcBorders>
          </w:tcPr>
          <w:p w14:paraId="22293BE1"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22EADD1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24. </w:t>
            </w:r>
          </w:p>
        </w:tc>
        <w:tc>
          <w:tcPr>
            <w:tcW w:w="3969" w:type="dxa"/>
            <w:gridSpan w:val="8"/>
            <w:tcBorders>
              <w:top w:val="single" w:sz="2" w:space="0" w:color="000000"/>
              <w:left w:val="single" w:sz="4" w:space="0" w:color="000000"/>
              <w:bottom w:val="single" w:sz="4" w:space="0" w:color="000000"/>
              <w:right w:val="single" w:sz="4" w:space="0" w:color="000000"/>
            </w:tcBorders>
          </w:tcPr>
          <w:p w14:paraId="272F7CB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Lipnica  </w:t>
            </w:r>
          </w:p>
        </w:tc>
        <w:tc>
          <w:tcPr>
            <w:tcW w:w="2708" w:type="dxa"/>
            <w:gridSpan w:val="2"/>
            <w:tcBorders>
              <w:top w:val="single" w:sz="2" w:space="0" w:color="000000"/>
              <w:left w:val="single" w:sz="4" w:space="0" w:color="000000"/>
              <w:bottom w:val="single" w:sz="4" w:space="0" w:color="000000"/>
              <w:right w:val="single" w:sz="4" w:space="0" w:color="000000"/>
            </w:tcBorders>
          </w:tcPr>
          <w:p w14:paraId="63D134E7" w14:textId="0D1AFB4B"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2" w:space="0" w:color="000000"/>
              <w:left w:val="single" w:sz="4" w:space="0" w:color="000000"/>
              <w:bottom w:val="single" w:sz="4" w:space="0" w:color="000000"/>
              <w:right w:val="single" w:sz="2" w:space="0" w:color="000000"/>
            </w:tcBorders>
          </w:tcPr>
          <w:p w14:paraId="6BE75E61"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261C8EA0"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6383F3F7"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tcPr>
          <w:p w14:paraId="5DB96D5B"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2DA521E3"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25. </w:t>
            </w:r>
          </w:p>
        </w:tc>
        <w:tc>
          <w:tcPr>
            <w:tcW w:w="3969" w:type="dxa"/>
            <w:gridSpan w:val="8"/>
            <w:tcBorders>
              <w:top w:val="single" w:sz="4" w:space="0" w:color="000000"/>
              <w:left w:val="single" w:sz="4" w:space="0" w:color="000000"/>
              <w:bottom w:val="single" w:sz="2" w:space="0" w:color="000000"/>
              <w:right w:val="single" w:sz="4" w:space="0" w:color="000000"/>
            </w:tcBorders>
          </w:tcPr>
          <w:p w14:paraId="3311D589"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Đafića brdo </w:t>
            </w:r>
          </w:p>
        </w:tc>
        <w:tc>
          <w:tcPr>
            <w:tcW w:w="2708" w:type="dxa"/>
            <w:gridSpan w:val="2"/>
            <w:tcBorders>
              <w:top w:val="single" w:sz="4" w:space="0" w:color="000000"/>
              <w:left w:val="single" w:sz="4" w:space="0" w:color="000000"/>
              <w:bottom w:val="single" w:sz="2" w:space="0" w:color="000000"/>
              <w:right w:val="single" w:sz="4" w:space="0" w:color="000000"/>
            </w:tcBorders>
          </w:tcPr>
          <w:p w14:paraId="4E39BAF7" w14:textId="5F272D35"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2" w:space="0" w:color="000000"/>
              <w:right w:val="single" w:sz="2" w:space="0" w:color="000000"/>
            </w:tcBorders>
          </w:tcPr>
          <w:p w14:paraId="17C6798A"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40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34315483"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83B9A11" w14:textId="77777777" w:rsidTr="00C232D7">
        <w:tblPrEx>
          <w:tblCellMar>
            <w:top w:w="43" w:type="dxa"/>
            <w:right w:w="58" w:type="dxa"/>
          </w:tblCellMar>
        </w:tblPrEx>
        <w:trPr>
          <w:trHeight w:val="205"/>
        </w:trPr>
        <w:tc>
          <w:tcPr>
            <w:tcW w:w="297" w:type="dxa"/>
            <w:gridSpan w:val="3"/>
            <w:vMerge/>
            <w:tcBorders>
              <w:top w:val="nil"/>
              <w:left w:val="single" w:sz="4" w:space="0" w:color="000000"/>
              <w:bottom w:val="nil"/>
              <w:right w:val="single" w:sz="4" w:space="0" w:color="000000"/>
            </w:tcBorders>
          </w:tcPr>
          <w:p w14:paraId="5833246B"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3D0906F8"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26. </w:t>
            </w:r>
          </w:p>
        </w:tc>
        <w:tc>
          <w:tcPr>
            <w:tcW w:w="3969" w:type="dxa"/>
            <w:gridSpan w:val="8"/>
            <w:tcBorders>
              <w:top w:val="single" w:sz="2" w:space="0" w:color="000000"/>
              <w:left w:val="single" w:sz="4" w:space="0" w:color="000000"/>
              <w:bottom w:val="single" w:sz="4" w:space="0" w:color="000000"/>
              <w:right w:val="single" w:sz="4" w:space="0" w:color="000000"/>
            </w:tcBorders>
          </w:tcPr>
          <w:p w14:paraId="1E5D39B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Šurevice  </w:t>
            </w:r>
          </w:p>
        </w:tc>
        <w:tc>
          <w:tcPr>
            <w:tcW w:w="2708" w:type="dxa"/>
            <w:gridSpan w:val="2"/>
            <w:tcBorders>
              <w:top w:val="single" w:sz="2" w:space="0" w:color="000000"/>
              <w:left w:val="single" w:sz="4" w:space="0" w:color="000000"/>
              <w:bottom w:val="single" w:sz="4" w:space="0" w:color="000000"/>
              <w:right w:val="single" w:sz="4" w:space="0" w:color="000000"/>
            </w:tcBorders>
          </w:tcPr>
          <w:p w14:paraId="797C620B"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Mješani komunalni </w:t>
            </w:r>
          </w:p>
        </w:tc>
        <w:tc>
          <w:tcPr>
            <w:tcW w:w="902" w:type="dxa"/>
            <w:tcBorders>
              <w:top w:val="single" w:sz="2" w:space="0" w:color="000000"/>
              <w:left w:val="single" w:sz="4" w:space="0" w:color="000000"/>
              <w:bottom w:val="single" w:sz="4" w:space="0" w:color="000000"/>
              <w:right w:val="single" w:sz="2" w:space="0" w:color="000000"/>
            </w:tcBorders>
          </w:tcPr>
          <w:p w14:paraId="33CA392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6FFF826E"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F16C6B0"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61924B6D"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446478DA"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27. </w:t>
            </w:r>
          </w:p>
        </w:tc>
        <w:tc>
          <w:tcPr>
            <w:tcW w:w="3969" w:type="dxa"/>
            <w:gridSpan w:val="8"/>
            <w:tcBorders>
              <w:top w:val="single" w:sz="4" w:space="0" w:color="000000"/>
              <w:left w:val="single" w:sz="4" w:space="0" w:color="000000"/>
              <w:bottom w:val="single" w:sz="4" w:space="0" w:color="000000"/>
              <w:right w:val="single" w:sz="4" w:space="0" w:color="000000"/>
            </w:tcBorders>
          </w:tcPr>
          <w:p w14:paraId="5D7D1E62"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Gornji Sutivan </w:t>
            </w:r>
          </w:p>
        </w:tc>
        <w:tc>
          <w:tcPr>
            <w:tcW w:w="2708" w:type="dxa"/>
            <w:gridSpan w:val="2"/>
            <w:tcBorders>
              <w:top w:val="single" w:sz="4" w:space="0" w:color="000000"/>
              <w:left w:val="single" w:sz="4" w:space="0" w:color="000000"/>
              <w:bottom w:val="single" w:sz="4" w:space="0" w:color="000000"/>
              <w:right w:val="single" w:sz="4" w:space="0" w:color="000000"/>
            </w:tcBorders>
          </w:tcPr>
          <w:p w14:paraId="2403719E" w14:textId="7CFE3699"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332A6FF9"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7E16786C"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2D21884"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vAlign w:val="bottom"/>
          </w:tcPr>
          <w:p w14:paraId="67D126BA"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5DC790C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28. </w:t>
            </w:r>
          </w:p>
        </w:tc>
        <w:tc>
          <w:tcPr>
            <w:tcW w:w="3969" w:type="dxa"/>
            <w:gridSpan w:val="8"/>
            <w:tcBorders>
              <w:top w:val="single" w:sz="4" w:space="0" w:color="000000"/>
              <w:left w:val="single" w:sz="4" w:space="0" w:color="000000"/>
              <w:bottom w:val="single" w:sz="4" w:space="0" w:color="000000"/>
              <w:right w:val="single" w:sz="4" w:space="0" w:color="000000"/>
            </w:tcBorders>
          </w:tcPr>
          <w:p w14:paraId="4C09E8A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Prestreke  </w:t>
            </w:r>
          </w:p>
        </w:tc>
        <w:tc>
          <w:tcPr>
            <w:tcW w:w="2708" w:type="dxa"/>
            <w:gridSpan w:val="2"/>
            <w:tcBorders>
              <w:top w:val="single" w:sz="4" w:space="0" w:color="000000"/>
              <w:left w:val="single" w:sz="4" w:space="0" w:color="000000"/>
              <w:bottom w:val="single" w:sz="4" w:space="0" w:color="000000"/>
              <w:right w:val="single" w:sz="4" w:space="0" w:color="000000"/>
            </w:tcBorders>
          </w:tcPr>
          <w:p w14:paraId="332F17A6" w14:textId="3F817E73"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30AB11FF"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2DDE438C"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3C37DAB" w14:textId="77777777" w:rsidTr="00C232D7">
        <w:tblPrEx>
          <w:tblCellMar>
            <w:top w:w="43" w:type="dxa"/>
            <w:right w:w="58" w:type="dxa"/>
          </w:tblCellMar>
        </w:tblPrEx>
        <w:trPr>
          <w:trHeight w:val="205"/>
        </w:trPr>
        <w:tc>
          <w:tcPr>
            <w:tcW w:w="297" w:type="dxa"/>
            <w:gridSpan w:val="3"/>
            <w:vMerge/>
            <w:tcBorders>
              <w:top w:val="nil"/>
              <w:left w:val="single" w:sz="4" w:space="0" w:color="000000"/>
              <w:bottom w:val="nil"/>
              <w:right w:val="single" w:sz="4" w:space="0" w:color="000000"/>
            </w:tcBorders>
          </w:tcPr>
          <w:p w14:paraId="110364CF"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4A3F1F68"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29. </w:t>
            </w:r>
          </w:p>
        </w:tc>
        <w:tc>
          <w:tcPr>
            <w:tcW w:w="3969" w:type="dxa"/>
            <w:gridSpan w:val="8"/>
            <w:tcBorders>
              <w:top w:val="single" w:sz="4" w:space="0" w:color="000000"/>
              <w:left w:val="single" w:sz="4" w:space="0" w:color="000000"/>
              <w:bottom w:val="single" w:sz="4" w:space="0" w:color="000000"/>
              <w:right w:val="single" w:sz="4" w:space="0" w:color="000000"/>
            </w:tcBorders>
          </w:tcPr>
          <w:p w14:paraId="72A4BA2F"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Kapela  </w:t>
            </w:r>
          </w:p>
        </w:tc>
        <w:tc>
          <w:tcPr>
            <w:tcW w:w="2708" w:type="dxa"/>
            <w:gridSpan w:val="2"/>
            <w:tcBorders>
              <w:top w:val="single" w:sz="4" w:space="0" w:color="000000"/>
              <w:left w:val="single" w:sz="4" w:space="0" w:color="000000"/>
              <w:bottom w:val="single" w:sz="4" w:space="0" w:color="000000"/>
              <w:right w:val="single" w:sz="4" w:space="0" w:color="000000"/>
            </w:tcBorders>
          </w:tcPr>
          <w:p w14:paraId="3487A25F"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Neopasni građevinski otpad </w:t>
            </w:r>
          </w:p>
        </w:tc>
        <w:tc>
          <w:tcPr>
            <w:tcW w:w="902" w:type="dxa"/>
            <w:tcBorders>
              <w:top w:val="single" w:sz="4" w:space="0" w:color="000000"/>
              <w:left w:val="single" w:sz="4" w:space="0" w:color="000000"/>
              <w:bottom w:val="single" w:sz="4" w:space="0" w:color="000000"/>
              <w:right w:val="single" w:sz="2" w:space="0" w:color="000000"/>
            </w:tcBorders>
          </w:tcPr>
          <w:p w14:paraId="526CF5BF"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391C750E"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334A2ED"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vAlign w:val="bottom"/>
          </w:tcPr>
          <w:p w14:paraId="4DB8CBF5"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457550BE"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30. </w:t>
            </w:r>
          </w:p>
        </w:tc>
        <w:tc>
          <w:tcPr>
            <w:tcW w:w="3969" w:type="dxa"/>
            <w:gridSpan w:val="8"/>
            <w:tcBorders>
              <w:top w:val="single" w:sz="4" w:space="0" w:color="000000"/>
              <w:left w:val="single" w:sz="4" w:space="0" w:color="000000"/>
              <w:bottom w:val="single" w:sz="2" w:space="0" w:color="000000"/>
              <w:right w:val="single" w:sz="4" w:space="0" w:color="000000"/>
            </w:tcBorders>
          </w:tcPr>
          <w:p w14:paraId="40A76197"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Bistrica  </w:t>
            </w:r>
          </w:p>
        </w:tc>
        <w:tc>
          <w:tcPr>
            <w:tcW w:w="2708" w:type="dxa"/>
            <w:gridSpan w:val="2"/>
            <w:tcBorders>
              <w:top w:val="single" w:sz="4" w:space="0" w:color="000000"/>
              <w:left w:val="single" w:sz="4" w:space="0" w:color="000000"/>
              <w:bottom w:val="single" w:sz="2" w:space="0" w:color="000000"/>
              <w:right w:val="single" w:sz="4" w:space="0" w:color="000000"/>
            </w:tcBorders>
          </w:tcPr>
          <w:p w14:paraId="7057AC27" w14:textId="65DCC6C9"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02" w:type="dxa"/>
            <w:tcBorders>
              <w:top w:val="single" w:sz="4" w:space="0" w:color="000000"/>
              <w:left w:val="single" w:sz="4" w:space="0" w:color="000000"/>
              <w:bottom w:val="single" w:sz="2" w:space="0" w:color="000000"/>
              <w:right w:val="single" w:sz="2" w:space="0" w:color="000000"/>
            </w:tcBorders>
          </w:tcPr>
          <w:p w14:paraId="6E744D40"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7EC47E77"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4EC7AFA" w14:textId="77777777" w:rsidTr="00C232D7">
        <w:tblPrEx>
          <w:tblCellMar>
            <w:top w:w="43" w:type="dxa"/>
            <w:right w:w="58" w:type="dxa"/>
          </w:tblCellMar>
        </w:tblPrEx>
        <w:trPr>
          <w:trHeight w:val="205"/>
        </w:trPr>
        <w:tc>
          <w:tcPr>
            <w:tcW w:w="297" w:type="dxa"/>
            <w:gridSpan w:val="3"/>
            <w:vMerge/>
            <w:tcBorders>
              <w:top w:val="nil"/>
              <w:left w:val="single" w:sz="4" w:space="0" w:color="000000"/>
              <w:bottom w:val="nil"/>
              <w:right w:val="single" w:sz="4" w:space="0" w:color="000000"/>
            </w:tcBorders>
          </w:tcPr>
          <w:p w14:paraId="255B3624"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3738C6F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31. </w:t>
            </w:r>
          </w:p>
        </w:tc>
        <w:tc>
          <w:tcPr>
            <w:tcW w:w="3969" w:type="dxa"/>
            <w:gridSpan w:val="8"/>
            <w:tcBorders>
              <w:top w:val="single" w:sz="2" w:space="0" w:color="000000"/>
              <w:left w:val="single" w:sz="4" w:space="0" w:color="000000"/>
              <w:bottom w:val="single" w:sz="4" w:space="0" w:color="000000"/>
              <w:right w:val="single" w:sz="4" w:space="0" w:color="000000"/>
            </w:tcBorders>
          </w:tcPr>
          <w:p w14:paraId="1835BAF0"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Prijeka blizu Srojtaničkog mosta </w:t>
            </w:r>
          </w:p>
        </w:tc>
        <w:tc>
          <w:tcPr>
            <w:tcW w:w="2708" w:type="dxa"/>
            <w:gridSpan w:val="2"/>
            <w:tcBorders>
              <w:top w:val="single" w:sz="2" w:space="0" w:color="000000"/>
              <w:left w:val="single" w:sz="4" w:space="0" w:color="000000"/>
              <w:bottom w:val="single" w:sz="4" w:space="0" w:color="000000"/>
              <w:right w:val="single" w:sz="4" w:space="0" w:color="000000"/>
            </w:tcBorders>
          </w:tcPr>
          <w:p w14:paraId="60514E6B" w14:textId="61C2F205"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02" w:type="dxa"/>
            <w:tcBorders>
              <w:top w:val="single" w:sz="2" w:space="0" w:color="000000"/>
              <w:left w:val="single" w:sz="4" w:space="0" w:color="000000"/>
              <w:bottom w:val="single" w:sz="4" w:space="0" w:color="000000"/>
              <w:right w:val="single" w:sz="2" w:space="0" w:color="000000"/>
            </w:tcBorders>
          </w:tcPr>
          <w:p w14:paraId="2A3A58C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40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1B6CB871"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6A4C863"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vAlign w:val="bottom"/>
          </w:tcPr>
          <w:p w14:paraId="6F369DF0"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1D55E73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32. </w:t>
            </w:r>
          </w:p>
        </w:tc>
        <w:tc>
          <w:tcPr>
            <w:tcW w:w="3969" w:type="dxa"/>
            <w:gridSpan w:val="8"/>
            <w:tcBorders>
              <w:top w:val="single" w:sz="4" w:space="0" w:color="000000"/>
              <w:left w:val="single" w:sz="4" w:space="0" w:color="000000"/>
              <w:bottom w:val="single" w:sz="2" w:space="0" w:color="000000"/>
              <w:right w:val="single" w:sz="4" w:space="0" w:color="000000"/>
            </w:tcBorders>
          </w:tcPr>
          <w:p w14:paraId="0393F988"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Put Trumbarine </w:t>
            </w:r>
          </w:p>
        </w:tc>
        <w:tc>
          <w:tcPr>
            <w:tcW w:w="2708" w:type="dxa"/>
            <w:gridSpan w:val="2"/>
            <w:tcBorders>
              <w:top w:val="single" w:sz="4" w:space="0" w:color="000000"/>
              <w:left w:val="single" w:sz="4" w:space="0" w:color="000000"/>
              <w:bottom w:val="single" w:sz="2" w:space="0" w:color="000000"/>
              <w:right w:val="single" w:sz="4" w:space="0" w:color="000000"/>
            </w:tcBorders>
          </w:tcPr>
          <w:p w14:paraId="5ED893FF" w14:textId="0ECBA454"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2" w:space="0" w:color="000000"/>
              <w:right w:val="single" w:sz="2" w:space="0" w:color="000000"/>
            </w:tcBorders>
          </w:tcPr>
          <w:p w14:paraId="35B28351"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1C648090"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68528A9F"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0AA86106"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789EDB99"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33. </w:t>
            </w:r>
          </w:p>
        </w:tc>
        <w:tc>
          <w:tcPr>
            <w:tcW w:w="3969" w:type="dxa"/>
            <w:gridSpan w:val="8"/>
            <w:tcBorders>
              <w:top w:val="single" w:sz="2" w:space="0" w:color="000000"/>
              <w:left w:val="single" w:sz="4" w:space="0" w:color="000000"/>
              <w:bottom w:val="single" w:sz="4" w:space="0" w:color="000000"/>
              <w:right w:val="single" w:sz="4" w:space="0" w:color="000000"/>
            </w:tcBorders>
          </w:tcPr>
          <w:p w14:paraId="015B742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Babića brijeg </w:t>
            </w:r>
          </w:p>
        </w:tc>
        <w:tc>
          <w:tcPr>
            <w:tcW w:w="2708" w:type="dxa"/>
            <w:gridSpan w:val="2"/>
            <w:tcBorders>
              <w:top w:val="single" w:sz="2" w:space="0" w:color="000000"/>
              <w:left w:val="single" w:sz="4" w:space="0" w:color="000000"/>
              <w:bottom w:val="single" w:sz="4" w:space="0" w:color="000000"/>
              <w:right w:val="single" w:sz="4" w:space="0" w:color="000000"/>
            </w:tcBorders>
          </w:tcPr>
          <w:p w14:paraId="2C846B91" w14:textId="356BDD51"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2" w:space="0" w:color="000000"/>
              <w:left w:val="single" w:sz="4" w:space="0" w:color="000000"/>
              <w:bottom w:val="single" w:sz="4" w:space="0" w:color="000000"/>
              <w:right w:val="single" w:sz="2" w:space="0" w:color="000000"/>
            </w:tcBorders>
          </w:tcPr>
          <w:p w14:paraId="6F1F5A43"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20D6B7B6"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2AF3D58" w14:textId="77777777" w:rsidTr="00C232D7">
        <w:tblPrEx>
          <w:tblCellMar>
            <w:top w:w="43" w:type="dxa"/>
            <w:right w:w="58" w:type="dxa"/>
          </w:tblCellMar>
        </w:tblPrEx>
        <w:trPr>
          <w:trHeight w:val="205"/>
        </w:trPr>
        <w:tc>
          <w:tcPr>
            <w:tcW w:w="297" w:type="dxa"/>
            <w:gridSpan w:val="3"/>
            <w:vMerge/>
            <w:tcBorders>
              <w:top w:val="nil"/>
              <w:left w:val="single" w:sz="4" w:space="0" w:color="000000"/>
              <w:bottom w:val="nil"/>
              <w:right w:val="single" w:sz="4" w:space="0" w:color="000000"/>
            </w:tcBorders>
          </w:tcPr>
          <w:p w14:paraId="419CD6DE"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38EBEC13"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34. </w:t>
            </w:r>
          </w:p>
        </w:tc>
        <w:tc>
          <w:tcPr>
            <w:tcW w:w="3969" w:type="dxa"/>
            <w:gridSpan w:val="8"/>
            <w:tcBorders>
              <w:top w:val="single" w:sz="4" w:space="0" w:color="000000"/>
              <w:left w:val="single" w:sz="4" w:space="0" w:color="000000"/>
              <w:bottom w:val="single" w:sz="4" w:space="0" w:color="000000"/>
              <w:right w:val="single" w:sz="4" w:space="0" w:color="000000"/>
            </w:tcBorders>
          </w:tcPr>
          <w:p w14:paraId="4DCC5E2F"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Put Cerovo </w:t>
            </w:r>
          </w:p>
        </w:tc>
        <w:tc>
          <w:tcPr>
            <w:tcW w:w="2708" w:type="dxa"/>
            <w:gridSpan w:val="2"/>
            <w:tcBorders>
              <w:top w:val="single" w:sz="4" w:space="0" w:color="000000"/>
              <w:left w:val="single" w:sz="4" w:space="0" w:color="000000"/>
              <w:bottom w:val="single" w:sz="4" w:space="0" w:color="000000"/>
              <w:right w:val="single" w:sz="4" w:space="0" w:color="000000"/>
            </w:tcBorders>
          </w:tcPr>
          <w:p w14:paraId="3445FD47" w14:textId="06164C1D"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02" w:type="dxa"/>
            <w:tcBorders>
              <w:top w:val="single" w:sz="4" w:space="0" w:color="000000"/>
              <w:left w:val="single" w:sz="4" w:space="0" w:color="000000"/>
              <w:bottom w:val="single" w:sz="4" w:space="0" w:color="000000"/>
              <w:right w:val="single" w:sz="2" w:space="0" w:color="000000"/>
            </w:tcBorders>
          </w:tcPr>
          <w:p w14:paraId="7C125C37"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6768987F"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773848B1" w14:textId="77777777" w:rsidTr="00C232D7">
        <w:tblPrEx>
          <w:tblCellMar>
            <w:top w:w="43" w:type="dxa"/>
            <w:right w:w="58" w:type="dxa"/>
          </w:tblCellMar>
        </w:tblPrEx>
        <w:trPr>
          <w:trHeight w:val="202"/>
        </w:trPr>
        <w:tc>
          <w:tcPr>
            <w:tcW w:w="297" w:type="dxa"/>
            <w:gridSpan w:val="3"/>
            <w:vMerge/>
            <w:tcBorders>
              <w:top w:val="nil"/>
              <w:left w:val="single" w:sz="4" w:space="0" w:color="000000"/>
              <w:bottom w:val="nil"/>
              <w:right w:val="single" w:sz="4" w:space="0" w:color="000000"/>
            </w:tcBorders>
          </w:tcPr>
          <w:p w14:paraId="07D12074"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7CD6C08D"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35. </w:t>
            </w:r>
          </w:p>
        </w:tc>
        <w:tc>
          <w:tcPr>
            <w:tcW w:w="3969" w:type="dxa"/>
            <w:gridSpan w:val="8"/>
            <w:tcBorders>
              <w:top w:val="single" w:sz="4" w:space="0" w:color="000000"/>
              <w:left w:val="single" w:sz="4" w:space="0" w:color="000000"/>
              <w:bottom w:val="single" w:sz="4" w:space="0" w:color="000000"/>
              <w:right w:val="single" w:sz="4" w:space="0" w:color="000000"/>
            </w:tcBorders>
          </w:tcPr>
          <w:p w14:paraId="55A5ED30"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Put Cerovo 1 </w:t>
            </w:r>
          </w:p>
        </w:tc>
        <w:tc>
          <w:tcPr>
            <w:tcW w:w="2708" w:type="dxa"/>
            <w:gridSpan w:val="2"/>
            <w:tcBorders>
              <w:top w:val="single" w:sz="4" w:space="0" w:color="000000"/>
              <w:left w:val="single" w:sz="4" w:space="0" w:color="000000"/>
              <w:bottom w:val="single" w:sz="4" w:space="0" w:color="000000"/>
              <w:right w:val="single" w:sz="4" w:space="0" w:color="000000"/>
            </w:tcBorders>
          </w:tcPr>
          <w:p w14:paraId="59892FF7" w14:textId="2072A64A"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7F01F549"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4</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092BFA91"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CD47AD7" w14:textId="77777777" w:rsidTr="00C232D7">
        <w:tblPrEx>
          <w:tblCellMar>
            <w:top w:w="43" w:type="dxa"/>
            <w:right w:w="58" w:type="dxa"/>
          </w:tblCellMar>
        </w:tblPrEx>
        <w:trPr>
          <w:trHeight w:val="206"/>
        </w:trPr>
        <w:tc>
          <w:tcPr>
            <w:tcW w:w="297" w:type="dxa"/>
            <w:gridSpan w:val="3"/>
            <w:vMerge/>
            <w:tcBorders>
              <w:top w:val="nil"/>
              <w:left w:val="single" w:sz="4" w:space="0" w:color="000000"/>
              <w:bottom w:val="nil"/>
              <w:right w:val="single" w:sz="4" w:space="0" w:color="000000"/>
            </w:tcBorders>
          </w:tcPr>
          <w:p w14:paraId="45499B19"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33CFDE08"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36. </w:t>
            </w:r>
          </w:p>
        </w:tc>
        <w:tc>
          <w:tcPr>
            <w:tcW w:w="3969" w:type="dxa"/>
            <w:gridSpan w:val="8"/>
            <w:tcBorders>
              <w:top w:val="single" w:sz="4" w:space="0" w:color="000000"/>
              <w:left w:val="single" w:sz="4" w:space="0" w:color="000000"/>
              <w:bottom w:val="single" w:sz="4" w:space="0" w:color="000000"/>
              <w:right w:val="single" w:sz="4" w:space="0" w:color="000000"/>
            </w:tcBorders>
          </w:tcPr>
          <w:p w14:paraId="4885AB7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Bogaz  </w:t>
            </w:r>
          </w:p>
        </w:tc>
        <w:tc>
          <w:tcPr>
            <w:tcW w:w="2708" w:type="dxa"/>
            <w:gridSpan w:val="2"/>
            <w:tcBorders>
              <w:top w:val="single" w:sz="4" w:space="0" w:color="000000"/>
              <w:left w:val="single" w:sz="4" w:space="0" w:color="000000"/>
              <w:bottom w:val="single" w:sz="4" w:space="0" w:color="000000"/>
              <w:right w:val="single" w:sz="4" w:space="0" w:color="000000"/>
            </w:tcBorders>
          </w:tcPr>
          <w:p w14:paraId="4B10479A" w14:textId="69622FBC"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02" w:type="dxa"/>
            <w:tcBorders>
              <w:top w:val="single" w:sz="4" w:space="0" w:color="000000"/>
              <w:left w:val="single" w:sz="4" w:space="0" w:color="000000"/>
              <w:bottom w:val="single" w:sz="4" w:space="0" w:color="000000"/>
              <w:right w:val="single" w:sz="2" w:space="0" w:color="000000"/>
            </w:tcBorders>
          </w:tcPr>
          <w:p w14:paraId="4A97C872"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3BF18DAA"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EBFD62E"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tcPr>
          <w:p w14:paraId="3E7959E8"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507ADDEA"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37. </w:t>
            </w:r>
          </w:p>
        </w:tc>
        <w:tc>
          <w:tcPr>
            <w:tcW w:w="3969" w:type="dxa"/>
            <w:gridSpan w:val="8"/>
            <w:tcBorders>
              <w:top w:val="single" w:sz="4" w:space="0" w:color="000000"/>
              <w:left w:val="single" w:sz="4" w:space="0" w:color="000000"/>
              <w:bottom w:val="single" w:sz="2" w:space="0" w:color="000000"/>
              <w:right w:val="single" w:sz="4" w:space="0" w:color="000000"/>
            </w:tcBorders>
          </w:tcPr>
          <w:p w14:paraId="14A04289"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Boljanina - škola </w:t>
            </w:r>
          </w:p>
        </w:tc>
        <w:tc>
          <w:tcPr>
            <w:tcW w:w="2708" w:type="dxa"/>
            <w:gridSpan w:val="2"/>
            <w:tcBorders>
              <w:top w:val="single" w:sz="4" w:space="0" w:color="000000"/>
              <w:left w:val="single" w:sz="4" w:space="0" w:color="000000"/>
              <w:bottom w:val="single" w:sz="2" w:space="0" w:color="000000"/>
              <w:right w:val="single" w:sz="4" w:space="0" w:color="000000"/>
            </w:tcBorders>
          </w:tcPr>
          <w:p w14:paraId="63254427"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Građevinski </w:t>
            </w:r>
          </w:p>
        </w:tc>
        <w:tc>
          <w:tcPr>
            <w:tcW w:w="902" w:type="dxa"/>
            <w:tcBorders>
              <w:top w:val="single" w:sz="4" w:space="0" w:color="000000"/>
              <w:left w:val="single" w:sz="4" w:space="0" w:color="000000"/>
              <w:bottom w:val="single" w:sz="2" w:space="0" w:color="000000"/>
              <w:right w:val="single" w:sz="2" w:space="0" w:color="000000"/>
            </w:tcBorders>
          </w:tcPr>
          <w:p w14:paraId="27B489D3"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54182E94"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77C31EE5"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60888A8F"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713886B5"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38. </w:t>
            </w:r>
          </w:p>
        </w:tc>
        <w:tc>
          <w:tcPr>
            <w:tcW w:w="3969" w:type="dxa"/>
            <w:gridSpan w:val="8"/>
            <w:tcBorders>
              <w:top w:val="single" w:sz="2" w:space="0" w:color="000000"/>
              <w:left w:val="single" w:sz="4" w:space="0" w:color="000000"/>
              <w:bottom w:val="single" w:sz="4" w:space="0" w:color="000000"/>
              <w:right w:val="single" w:sz="4" w:space="0" w:color="000000"/>
            </w:tcBorders>
          </w:tcPr>
          <w:p w14:paraId="2094CA2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Boljanina 1 </w:t>
            </w:r>
          </w:p>
        </w:tc>
        <w:tc>
          <w:tcPr>
            <w:tcW w:w="2708" w:type="dxa"/>
            <w:gridSpan w:val="2"/>
            <w:tcBorders>
              <w:top w:val="single" w:sz="2" w:space="0" w:color="000000"/>
              <w:left w:val="single" w:sz="4" w:space="0" w:color="000000"/>
              <w:bottom w:val="single" w:sz="4" w:space="0" w:color="000000"/>
              <w:right w:val="single" w:sz="4" w:space="0" w:color="000000"/>
            </w:tcBorders>
          </w:tcPr>
          <w:p w14:paraId="071B6846" w14:textId="76CE2ABE"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02" w:type="dxa"/>
            <w:tcBorders>
              <w:top w:val="single" w:sz="2" w:space="0" w:color="000000"/>
              <w:left w:val="single" w:sz="4" w:space="0" w:color="000000"/>
              <w:bottom w:val="single" w:sz="4" w:space="0" w:color="000000"/>
              <w:right w:val="single" w:sz="2" w:space="0" w:color="000000"/>
            </w:tcBorders>
          </w:tcPr>
          <w:p w14:paraId="417C0AD0"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4EB7AF0B"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49B66E5"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13853898"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78D8ED5E"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39. </w:t>
            </w:r>
          </w:p>
        </w:tc>
        <w:tc>
          <w:tcPr>
            <w:tcW w:w="3969" w:type="dxa"/>
            <w:gridSpan w:val="8"/>
            <w:tcBorders>
              <w:top w:val="single" w:sz="4" w:space="0" w:color="000000"/>
              <w:left w:val="single" w:sz="4" w:space="0" w:color="000000"/>
              <w:bottom w:val="single" w:sz="2" w:space="0" w:color="000000"/>
              <w:right w:val="single" w:sz="4" w:space="0" w:color="000000"/>
            </w:tcBorders>
          </w:tcPr>
          <w:p w14:paraId="35171A4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Boljanina 2 </w:t>
            </w:r>
          </w:p>
        </w:tc>
        <w:tc>
          <w:tcPr>
            <w:tcW w:w="2708" w:type="dxa"/>
            <w:gridSpan w:val="2"/>
            <w:tcBorders>
              <w:top w:val="single" w:sz="4" w:space="0" w:color="000000"/>
              <w:left w:val="single" w:sz="4" w:space="0" w:color="000000"/>
              <w:bottom w:val="single" w:sz="2" w:space="0" w:color="000000"/>
              <w:right w:val="single" w:sz="4" w:space="0" w:color="000000"/>
            </w:tcBorders>
          </w:tcPr>
          <w:p w14:paraId="5258A5DB" w14:textId="5E4AA6FE"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2" w:space="0" w:color="000000"/>
              <w:right w:val="single" w:sz="2" w:space="0" w:color="000000"/>
            </w:tcBorders>
          </w:tcPr>
          <w:p w14:paraId="2DDFB101"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79964329"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C75396C"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tcPr>
          <w:p w14:paraId="28C7215B"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7A576271"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40. </w:t>
            </w:r>
          </w:p>
        </w:tc>
        <w:tc>
          <w:tcPr>
            <w:tcW w:w="3969" w:type="dxa"/>
            <w:gridSpan w:val="8"/>
            <w:tcBorders>
              <w:top w:val="single" w:sz="2" w:space="0" w:color="000000"/>
              <w:left w:val="single" w:sz="4" w:space="0" w:color="000000"/>
              <w:bottom w:val="single" w:sz="4" w:space="0" w:color="000000"/>
              <w:right w:val="single" w:sz="4" w:space="0" w:color="000000"/>
            </w:tcBorders>
          </w:tcPr>
          <w:p w14:paraId="056886B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Tulevci 1 kod groblja </w:t>
            </w:r>
          </w:p>
        </w:tc>
        <w:tc>
          <w:tcPr>
            <w:tcW w:w="2708" w:type="dxa"/>
            <w:gridSpan w:val="2"/>
            <w:tcBorders>
              <w:top w:val="single" w:sz="2" w:space="0" w:color="000000"/>
              <w:left w:val="single" w:sz="4" w:space="0" w:color="000000"/>
              <w:bottom w:val="single" w:sz="4" w:space="0" w:color="000000"/>
              <w:right w:val="single" w:sz="4" w:space="0" w:color="000000"/>
            </w:tcBorders>
          </w:tcPr>
          <w:p w14:paraId="160498C3" w14:textId="70F554BB"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2" w:space="0" w:color="000000"/>
              <w:left w:val="single" w:sz="4" w:space="0" w:color="000000"/>
              <w:bottom w:val="single" w:sz="4" w:space="0" w:color="000000"/>
              <w:right w:val="single" w:sz="2" w:space="0" w:color="000000"/>
            </w:tcBorders>
          </w:tcPr>
          <w:p w14:paraId="49651D7F"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472974DE"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282A78F7" w14:textId="77777777" w:rsidTr="00C232D7">
        <w:tblPrEx>
          <w:tblCellMar>
            <w:top w:w="43" w:type="dxa"/>
            <w:right w:w="58" w:type="dxa"/>
          </w:tblCellMar>
        </w:tblPrEx>
        <w:trPr>
          <w:trHeight w:val="206"/>
        </w:trPr>
        <w:tc>
          <w:tcPr>
            <w:tcW w:w="297" w:type="dxa"/>
            <w:gridSpan w:val="3"/>
            <w:vMerge/>
            <w:tcBorders>
              <w:top w:val="nil"/>
              <w:left w:val="single" w:sz="4" w:space="0" w:color="000000"/>
              <w:bottom w:val="nil"/>
              <w:right w:val="single" w:sz="4" w:space="0" w:color="000000"/>
            </w:tcBorders>
          </w:tcPr>
          <w:p w14:paraId="5828B6BB"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2CF6FD4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41. </w:t>
            </w:r>
          </w:p>
        </w:tc>
        <w:tc>
          <w:tcPr>
            <w:tcW w:w="3969" w:type="dxa"/>
            <w:gridSpan w:val="8"/>
            <w:tcBorders>
              <w:top w:val="single" w:sz="4" w:space="0" w:color="000000"/>
              <w:left w:val="single" w:sz="4" w:space="0" w:color="000000"/>
              <w:bottom w:val="single" w:sz="4" w:space="0" w:color="000000"/>
              <w:right w:val="single" w:sz="4" w:space="0" w:color="000000"/>
            </w:tcBorders>
          </w:tcPr>
          <w:p w14:paraId="1A5E4782"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Tulevci 2 </w:t>
            </w:r>
          </w:p>
        </w:tc>
        <w:tc>
          <w:tcPr>
            <w:tcW w:w="2708" w:type="dxa"/>
            <w:gridSpan w:val="2"/>
            <w:tcBorders>
              <w:top w:val="single" w:sz="4" w:space="0" w:color="000000"/>
              <w:left w:val="single" w:sz="4" w:space="0" w:color="000000"/>
              <w:bottom w:val="single" w:sz="4" w:space="0" w:color="000000"/>
              <w:right w:val="single" w:sz="4" w:space="0" w:color="000000"/>
            </w:tcBorders>
          </w:tcPr>
          <w:p w14:paraId="2DEA161A" w14:textId="0EC090CF"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085EAF0D"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336E43C4"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A214604" w14:textId="77777777" w:rsidTr="00C232D7">
        <w:tblPrEx>
          <w:tblCellMar>
            <w:top w:w="43" w:type="dxa"/>
            <w:right w:w="58" w:type="dxa"/>
          </w:tblCellMar>
        </w:tblPrEx>
        <w:trPr>
          <w:trHeight w:val="202"/>
        </w:trPr>
        <w:tc>
          <w:tcPr>
            <w:tcW w:w="297" w:type="dxa"/>
            <w:gridSpan w:val="3"/>
            <w:vMerge/>
            <w:tcBorders>
              <w:top w:val="nil"/>
              <w:left w:val="single" w:sz="4" w:space="0" w:color="000000"/>
              <w:bottom w:val="nil"/>
              <w:right w:val="single" w:sz="4" w:space="0" w:color="000000"/>
            </w:tcBorders>
          </w:tcPr>
          <w:p w14:paraId="006F6F81"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4E155E3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42. </w:t>
            </w:r>
          </w:p>
        </w:tc>
        <w:tc>
          <w:tcPr>
            <w:tcW w:w="3969" w:type="dxa"/>
            <w:gridSpan w:val="8"/>
            <w:tcBorders>
              <w:top w:val="single" w:sz="4" w:space="0" w:color="000000"/>
              <w:left w:val="single" w:sz="4" w:space="0" w:color="000000"/>
              <w:bottom w:val="single" w:sz="4" w:space="0" w:color="000000"/>
              <w:right w:val="single" w:sz="4" w:space="0" w:color="000000"/>
            </w:tcBorders>
          </w:tcPr>
          <w:p w14:paraId="24CB255E"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Put Jasen </w:t>
            </w:r>
          </w:p>
        </w:tc>
        <w:tc>
          <w:tcPr>
            <w:tcW w:w="2708" w:type="dxa"/>
            <w:gridSpan w:val="2"/>
            <w:tcBorders>
              <w:top w:val="single" w:sz="4" w:space="0" w:color="000000"/>
              <w:left w:val="single" w:sz="4" w:space="0" w:color="000000"/>
              <w:bottom w:val="single" w:sz="4" w:space="0" w:color="000000"/>
              <w:right w:val="single" w:sz="4" w:space="0" w:color="000000"/>
            </w:tcBorders>
          </w:tcPr>
          <w:p w14:paraId="2065427E" w14:textId="0C8006E1"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67B4B037"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19D92305"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7FDDB82E" w14:textId="77777777" w:rsidTr="00C232D7">
        <w:tblPrEx>
          <w:tblCellMar>
            <w:top w:w="43" w:type="dxa"/>
            <w:right w:w="58" w:type="dxa"/>
          </w:tblCellMar>
        </w:tblPrEx>
        <w:trPr>
          <w:trHeight w:val="206"/>
        </w:trPr>
        <w:tc>
          <w:tcPr>
            <w:tcW w:w="297" w:type="dxa"/>
            <w:gridSpan w:val="3"/>
            <w:vMerge/>
            <w:tcBorders>
              <w:top w:val="nil"/>
              <w:left w:val="single" w:sz="4" w:space="0" w:color="000000"/>
              <w:bottom w:val="nil"/>
              <w:right w:val="single" w:sz="4" w:space="0" w:color="000000"/>
            </w:tcBorders>
          </w:tcPr>
          <w:p w14:paraId="2987E112"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5CD22C4E"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43. </w:t>
            </w:r>
          </w:p>
        </w:tc>
        <w:tc>
          <w:tcPr>
            <w:tcW w:w="3969" w:type="dxa"/>
            <w:gridSpan w:val="8"/>
            <w:tcBorders>
              <w:top w:val="single" w:sz="4" w:space="0" w:color="000000"/>
              <w:left w:val="single" w:sz="4" w:space="0" w:color="000000"/>
              <w:bottom w:val="single" w:sz="4" w:space="0" w:color="000000"/>
              <w:right w:val="single" w:sz="4" w:space="0" w:color="000000"/>
            </w:tcBorders>
          </w:tcPr>
          <w:p w14:paraId="05FA9218"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Put Stubo </w:t>
            </w:r>
          </w:p>
        </w:tc>
        <w:tc>
          <w:tcPr>
            <w:tcW w:w="2708" w:type="dxa"/>
            <w:gridSpan w:val="2"/>
            <w:tcBorders>
              <w:top w:val="single" w:sz="4" w:space="0" w:color="000000"/>
              <w:left w:val="single" w:sz="4" w:space="0" w:color="000000"/>
              <w:bottom w:val="single" w:sz="4" w:space="0" w:color="000000"/>
              <w:right w:val="single" w:sz="4" w:space="0" w:color="000000"/>
            </w:tcBorders>
          </w:tcPr>
          <w:p w14:paraId="78C34974" w14:textId="2694A9A0"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76E5E3D1"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6C61D2B7"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BC7FFF3"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tcPr>
          <w:p w14:paraId="77EFA6BB"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3FDC5509"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44. </w:t>
            </w:r>
          </w:p>
        </w:tc>
        <w:tc>
          <w:tcPr>
            <w:tcW w:w="3969" w:type="dxa"/>
            <w:gridSpan w:val="8"/>
            <w:tcBorders>
              <w:top w:val="single" w:sz="4" w:space="0" w:color="000000"/>
              <w:left w:val="single" w:sz="4" w:space="0" w:color="000000"/>
              <w:bottom w:val="single" w:sz="2" w:space="0" w:color="000000"/>
              <w:right w:val="single" w:sz="4" w:space="0" w:color="000000"/>
            </w:tcBorders>
          </w:tcPr>
          <w:p w14:paraId="02B712E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Crni Vrh </w:t>
            </w:r>
          </w:p>
        </w:tc>
        <w:tc>
          <w:tcPr>
            <w:tcW w:w="2708" w:type="dxa"/>
            <w:gridSpan w:val="2"/>
            <w:tcBorders>
              <w:top w:val="single" w:sz="4" w:space="0" w:color="000000"/>
              <w:left w:val="single" w:sz="4" w:space="0" w:color="000000"/>
              <w:bottom w:val="single" w:sz="2" w:space="0" w:color="000000"/>
              <w:right w:val="single" w:sz="4" w:space="0" w:color="000000"/>
            </w:tcBorders>
          </w:tcPr>
          <w:p w14:paraId="445D49EA" w14:textId="303C2855"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2" w:space="0" w:color="000000"/>
              <w:right w:val="single" w:sz="2" w:space="0" w:color="000000"/>
            </w:tcBorders>
          </w:tcPr>
          <w:p w14:paraId="49E9649C"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19C593E9"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6338E42"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tcPr>
          <w:p w14:paraId="52B2F0DB"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35CEEAC2"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45. </w:t>
            </w:r>
          </w:p>
        </w:tc>
        <w:tc>
          <w:tcPr>
            <w:tcW w:w="3969" w:type="dxa"/>
            <w:gridSpan w:val="8"/>
            <w:tcBorders>
              <w:top w:val="single" w:sz="2" w:space="0" w:color="000000"/>
              <w:left w:val="single" w:sz="4" w:space="0" w:color="000000"/>
              <w:bottom w:val="single" w:sz="4" w:space="0" w:color="000000"/>
              <w:right w:val="single" w:sz="4" w:space="0" w:color="000000"/>
            </w:tcBorders>
          </w:tcPr>
          <w:p w14:paraId="5E10EF37"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Gornji Vlah </w:t>
            </w:r>
          </w:p>
        </w:tc>
        <w:tc>
          <w:tcPr>
            <w:tcW w:w="2708" w:type="dxa"/>
            <w:gridSpan w:val="2"/>
            <w:tcBorders>
              <w:top w:val="single" w:sz="2" w:space="0" w:color="000000"/>
              <w:left w:val="single" w:sz="4" w:space="0" w:color="000000"/>
              <w:bottom w:val="single" w:sz="4" w:space="0" w:color="000000"/>
              <w:right w:val="single" w:sz="4" w:space="0" w:color="000000"/>
            </w:tcBorders>
          </w:tcPr>
          <w:p w14:paraId="4AB5E98C" w14:textId="0EE40A1E"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2" w:space="0" w:color="000000"/>
              <w:left w:val="single" w:sz="4" w:space="0" w:color="000000"/>
              <w:bottom w:val="single" w:sz="4" w:space="0" w:color="000000"/>
              <w:right w:val="single" w:sz="2" w:space="0" w:color="000000"/>
            </w:tcBorders>
          </w:tcPr>
          <w:p w14:paraId="3FCD6E29"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4707ED9E"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0DB371C2" w14:textId="77777777" w:rsidTr="00C232D7">
        <w:tblPrEx>
          <w:tblCellMar>
            <w:top w:w="43" w:type="dxa"/>
            <w:right w:w="58" w:type="dxa"/>
          </w:tblCellMar>
        </w:tblPrEx>
        <w:trPr>
          <w:trHeight w:val="205"/>
        </w:trPr>
        <w:tc>
          <w:tcPr>
            <w:tcW w:w="297" w:type="dxa"/>
            <w:gridSpan w:val="3"/>
            <w:vMerge/>
            <w:tcBorders>
              <w:top w:val="nil"/>
              <w:left w:val="single" w:sz="4" w:space="0" w:color="000000"/>
              <w:bottom w:val="nil"/>
              <w:right w:val="single" w:sz="4" w:space="0" w:color="000000"/>
            </w:tcBorders>
          </w:tcPr>
          <w:p w14:paraId="52E534DF"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3E2A2002"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46 </w:t>
            </w:r>
          </w:p>
        </w:tc>
        <w:tc>
          <w:tcPr>
            <w:tcW w:w="3969" w:type="dxa"/>
            <w:gridSpan w:val="8"/>
            <w:tcBorders>
              <w:top w:val="single" w:sz="4" w:space="0" w:color="000000"/>
              <w:left w:val="single" w:sz="4" w:space="0" w:color="000000"/>
              <w:bottom w:val="single" w:sz="2" w:space="0" w:color="000000"/>
              <w:right w:val="single" w:sz="4" w:space="0" w:color="000000"/>
            </w:tcBorders>
          </w:tcPr>
          <w:p w14:paraId="711AD420"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Gornji Vlah 1 </w:t>
            </w:r>
          </w:p>
        </w:tc>
        <w:tc>
          <w:tcPr>
            <w:tcW w:w="2708" w:type="dxa"/>
            <w:gridSpan w:val="2"/>
            <w:tcBorders>
              <w:top w:val="single" w:sz="4" w:space="0" w:color="000000"/>
              <w:left w:val="single" w:sz="4" w:space="0" w:color="000000"/>
              <w:bottom w:val="single" w:sz="2" w:space="0" w:color="000000"/>
              <w:right w:val="single" w:sz="4" w:space="0" w:color="000000"/>
            </w:tcBorders>
          </w:tcPr>
          <w:p w14:paraId="2D48C2F1" w14:textId="5D64CE14"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2" w:space="0" w:color="000000"/>
              <w:right w:val="single" w:sz="2" w:space="0" w:color="000000"/>
            </w:tcBorders>
          </w:tcPr>
          <w:p w14:paraId="5B6B6001"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414EF901"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C02C435"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tcPr>
          <w:p w14:paraId="381FE383"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3A67EFBB"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47. </w:t>
            </w:r>
          </w:p>
        </w:tc>
        <w:tc>
          <w:tcPr>
            <w:tcW w:w="3969" w:type="dxa"/>
            <w:gridSpan w:val="8"/>
            <w:tcBorders>
              <w:top w:val="single" w:sz="2" w:space="0" w:color="000000"/>
              <w:left w:val="single" w:sz="4" w:space="0" w:color="000000"/>
              <w:bottom w:val="single" w:sz="4" w:space="0" w:color="000000"/>
              <w:right w:val="single" w:sz="4" w:space="0" w:color="000000"/>
            </w:tcBorders>
          </w:tcPr>
          <w:p w14:paraId="4064BC4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Iznad zgrade MUP-a </w:t>
            </w:r>
          </w:p>
        </w:tc>
        <w:tc>
          <w:tcPr>
            <w:tcW w:w="2708" w:type="dxa"/>
            <w:gridSpan w:val="2"/>
            <w:tcBorders>
              <w:top w:val="single" w:sz="2" w:space="0" w:color="000000"/>
              <w:left w:val="single" w:sz="4" w:space="0" w:color="000000"/>
              <w:bottom w:val="single" w:sz="4" w:space="0" w:color="000000"/>
              <w:right w:val="single" w:sz="4" w:space="0" w:color="000000"/>
            </w:tcBorders>
          </w:tcPr>
          <w:p w14:paraId="7398372D" w14:textId="7F42C368"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2" w:space="0" w:color="000000"/>
              <w:left w:val="single" w:sz="4" w:space="0" w:color="000000"/>
              <w:bottom w:val="single" w:sz="4" w:space="0" w:color="000000"/>
              <w:right w:val="single" w:sz="2" w:space="0" w:color="000000"/>
            </w:tcBorders>
          </w:tcPr>
          <w:p w14:paraId="3189A073"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07DD3339"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3046377" w14:textId="77777777" w:rsidTr="00C232D7">
        <w:tblPrEx>
          <w:tblCellMar>
            <w:top w:w="43" w:type="dxa"/>
            <w:right w:w="58" w:type="dxa"/>
          </w:tblCellMar>
        </w:tblPrEx>
        <w:trPr>
          <w:trHeight w:val="206"/>
        </w:trPr>
        <w:tc>
          <w:tcPr>
            <w:tcW w:w="297" w:type="dxa"/>
            <w:gridSpan w:val="3"/>
            <w:vMerge/>
            <w:tcBorders>
              <w:top w:val="nil"/>
              <w:left w:val="single" w:sz="4" w:space="0" w:color="000000"/>
              <w:bottom w:val="nil"/>
              <w:right w:val="single" w:sz="4" w:space="0" w:color="000000"/>
            </w:tcBorders>
          </w:tcPr>
          <w:p w14:paraId="212E0F6E"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7F12B132"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48. </w:t>
            </w:r>
          </w:p>
        </w:tc>
        <w:tc>
          <w:tcPr>
            <w:tcW w:w="3969" w:type="dxa"/>
            <w:gridSpan w:val="8"/>
            <w:tcBorders>
              <w:top w:val="single" w:sz="4" w:space="0" w:color="000000"/>
              <w:left w:val="single" w:sz="4" w:space="0" w:color="000000"/>
              <w:bottom w:val="single" w:sz="4" w:space="0" w:color="000000"/>
              <w:right w:val="single" w:sz="4" w:space="0" w:color="000000"/>
            </w:tcBorders>
          </w:tcPr>
          <w:p w14:paraId="0B24BAE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Rastoka  </w:t>
            </w:r>
          </w:p>
        </w:tc>
        <w:tc>
          <w:tcPr>
            <w:tcW w:w="2708" w:type="dxa"/>
            <w:gridSpan w:val="2"/>
            <w:tcBorders>
              <w:top w:val="single" w:sz="4" w:space="0" w:color="000000"/>
              <w:left w:val="single" w:sz="4" w:space="0" w:color="000000"/>
              <w:bottom w:val="single" w:sz="4" w:space="0" w:color="000000"/>
              <w:right w:val="single" w:sz="4" w:space="0" w:color="000000"/>
            </w:tcBorders>
          </w:tcPr>
          <w:p w14:paraId="1B224359" w14:textId="3F4F6D6F"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02" w:type="dxa"/>
            <w:tcBorders>
              <w:top w:val="single" w:sz="4" w:space="0" w:color="000000"/>
              <w:left w:val="single" w:sz="4" w:space="0" w:color="000000"/>
              <w:bottom w:val="single" w:sz="4" w:space="0" w:color="000000"/>
              <w:right w:val="single" w:sz="2" w:space="0" w:color="000000"/>
            </w:tcBorders>
          </w:tcPr>
          <w:p w14:paraId="0C7E7F9B"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6BF221B7"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E57A917" w14:textId="77777777" w:rsidTr="00C232D7">
        <w:tblPrEx>
          <w:tblCellMar>
            <w:top w:w="43" w:type="dxa"/>
            <w:right w:w="58" w:type="dxa"/>
          </w:tblCellMar>
        </w:tblPrEx>
        <w:trPr>
          <w:trHeight w:val="202"/>
        </w:trPr>
        <w:tc>
          <w:tcPr>
            <w:tcW w:w="297" w:type="dxa"/>
            <w:gridSpan w:val="3"/>
            <w:vMerge/>
            <w:tcBorders>
              <w:top w:val="nil"/>
              <w:left w:val="single" w:sz="4" w:space="0" w:color="000000"/>
              <w:bottom w:val="nil"/>
              <w:right w:val="single" w:sz="4" w:space="0" w:color="000000"/>
            </w:tcBorders>
          </w:tcPr>
          <w:p w14:paraId="1A689AFC"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3A0E655A"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49. </w:t>
            </w:r>
          </w:p>
        </w:tc>
        <w:tc>
          <w:tcPr>
            <w:tcW w:w="3969" w:type="dxa"/>
            <w:gridSpan w:val="8"/>
            <w:tcBorders>
              <w:top w:val="single" w:sz="4" w:space="0" w:color="000000"/>
              <w:left w:val="single" w:sz="4" w:space="0" w:color="000000"/>
              <w:bottom w:val="single" w:sz="4" w:space="0" w:color="000000"/>
              <w:right w:val="single" w:sz="4" w:space="0" w:color="000000"/>
            </w:tcBorders>
          </w:tcPr>
          <w:p w14:paraId="55530330"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Obrov 1 </w:t>
            </w:r>
          </w:p>
        </w:tc>
        <w:tc>
          <w:tcPr>
            <w:tcW w:w="2708" w:type="dxa"/>
            <w:gridSpan w:val="2"/>
            <w:tcBorders>
              <w:top w:val="single" w:sz="4" w:space="0" w:color="000000"/>
              <w:left w:val="single" w:sz="4" w:space="0" w:color="000000"/>
              <w:bottom w:val="single" w:sz="4" w:space="0" w:color="000000"/>
              <w:right w:val="single" w:sz="4" w:space="0" w:color="000000"/>
            </w:tcBorders>
          </w:tcPr>
          <w:p w14:paraId="6CAE2BF1" w14:textId="65261084"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70D89EC7"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41503D97"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7A0D2B78" w14:textId="77777777" w:rsidTr="00C232D7">
        <w:tblPrEx>
          <w:tblCellMar>
            <w:top w:w="43" w:type="dxa"/>
            <w:right w:w="58" w:type="dxa"/>
          </w:tblCellMar>
        </w:tblPrEx>
        <w:trPr>
          <w:trHeight w:val="205"/>
        </w:trPr>
        <w:tc>
          <w:tcPr>
            <w:tcW w:w="297" w:type="dxa"/>
            <w:gridSpan w:val="3"/>
            <w:vMerge/>
            <w:tcBorders>
              <w:top w:val="nil"/>
              <w:left w:val="single" w:sz="4" w:space="0" w:color="000000"/>
              <w:bottom w:val="nil"/>
              <w:right w:val="single" w:sz="4" w:space="0" w:color="000000"/>
            </w:tcBorders>
          </w:tcPr>
          <w:p w14:paraId="43FEAC06"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1C1A45C3"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50. </w:t>
            </w:r>
          </w:p>
        </w:tc>
        <w:tc>
          <w:tcPr>
            <w:tcW w:w="3969" w:type="dxa"/>
            <w:gridSpan w:val="8"/>
            <w:tcBorders>
              <w:top w:val="single" w:sz="4" w:space="0" w:color="000000"/>
              <w:left w:val="single" w:sz="4" w:space="0" w:color="000000"/>
              <w:bottom w:val="single" w:sz="4" w:space="0" w:color="000000"/>
              <w:right w:val="single" w:sz="4" w:space="0" w:color="000000"/>
            </w:tcBorders>
          </w:tcPr>
          <w:p w14:paraId="36F30CA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Obrov 2 </w:t>
            </w:r>
          </w:p>
        </w:tc>
        <w:tc>
          <w:tcPr>
            <w:tcW w:w="2708" w:type="dxa"/>
            <w:gridSpan w:val="2"/>
            <w:tcBorders>
              <w:top w:val="single" w:sz="4" w:space="0" w:color="000000"/>
              <w:left w:val="single" w:sz="4" w:space="0" w:color="000000"/>
              <w:bottom w:val="single" w:sz="4" w:space="0" w:color="000000"/>
              <w:right w:val="single" w:sz="4" w:space="0" w:color="000000"/>
            </w:tcBorders>
          </w:tcPr>
          <w:p w14:paraId="253A2396" w14:textId="005485F4"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02" w:type="dxa"/>
            <w:tcBorders>
              <w:top w:val="single" w:sz="4" w:space="0" w:color="000000"/>
              <w:left w:val="single" w:sz="4" w:space="0" w:color="000000"/>
              <w:bottom w:val="single" w:sz="4" w:space="0" w:color="000000"/>
              <w:right w:val="single" w:sz="2" w:space="0" w:color="000000"/>
            </w:tcBorders>
          </w:tcPr>
          <w:p w14:paraId="42740A0F"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78B2AFBF"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57B70414"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664988D0"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2E1274E5"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51. </w:t>
            </w:r>
          </w:p>
        </w:tc>
        <w:tc>
          <w:tcPr>
            <w:tcW w:w="3969" w:type="dxa"/>
            <w:gridSpan w:val="8"/>
            <w:tcBorders>
              <w:top w:val="single" w:sz="4" w:space="0" w:color="000000"/>
              <w:left w:val="single" w:sz="4" w:space="0" w:color="000000"/>
              <w:bottom w:val="single" w:sz="2" w:space="0" w:color="000000"/>
              <w:right w:val="single" w:sz="4" w:space="0" w:color="000000"/>
            </w:tcBorders>
          </w:tcPr>
          <w:p w14:paraId="151B4D29"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Obrov 3 </w:t>
            </w:r>
          </w:p>
        </w:tc>
        <w:tc>
          <w:tcPr>
            <w:tcW w:w="2708" w:type="dxa"/>
            <w:gridSpan w:val="2"/>
            <w:tcBorders>
              <w:top w:val="single" w:sz="4" w:space="0" w:color="000000"/>
              <w:left w:val="single" w:sz="4" w:space="0" w:color="000000"/>
              <w:bottom w:val="single" w:sz="2" w:space="0" w:color="000000"/>
              <w:right w:val="single" w:sz="4" w:space="0" w:color="000000"/>
            </w:tcBorders>
          </w:tcPr>
          <w:p w14:paraId="536BDACF" w14:textId="45A387A1"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2" w:space="0" w:color="000000"/>
              <w:right w:val="single" w:sz="2" w:space="0" w:color="000000"/>
            </w:tcBorders>
          </w:tcPr>
          <w:p w14:paraId="6BB62AE3"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70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469831B0"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299D3D8A"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tcPr>
          <w:p w14:paraId="2324569F"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441BE60E"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52. </w:t>
            </w:r>
          </w:p>
        </w:tc>
        <w:tc>
          <w:tcPr>
            <w:tcW w:w="3969" w:type="dxa"/>
            <w:gridSpan w:val="8"/>
            <w:tcBorders>
              <w:top w:val="single" w:sz="2" w:space="0" w:color="000000"/>
              <w:left w:val="single" w:sz="4" w:space="0" w:color="000000"/>
              <w:bottom w:val="single" w:sz="4" w:space="0" w:color="000000"/>
              <w:right w:val="single" w:sz="4" w:space="0" w:color="000000"/>
            </w:tcBorders>
          </w:tcPr>
          <w:p w14:paraId="7D558E2F"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Obrov 4 </w:t>
            </w:r>
          </w:p>
        </w:tc>
        <w:tc>
          <w:tcPr>
            <w:tcW w:w="2708" w:type="dxa"/>
            <w:gridSpan w:val="2"/>
            <w:tcBorders>
              <w:top w:val="single" w:sz="2" w:space="0" w:color="000000"/>
              <w:left w:val="single" w:sz="4" w:space="0" w:color="000000"/>
              <w:bottom w:val="single" w:sz="4" w:space="0" w:color="000000"/>
              <w:right w:val="single" w:sz="4" w:space="0" w:color="000000"/>
            </w:tcBorders>
          </w:tcPr>
          <w:p w14:paraId="563C9EE1" w14:textId="2D9708DA"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2" w:space="0" w:color="000000"/>
              <w:left w:val="single" w:sz="4" w:space="0" w:color="000000"/>
              <w:bottom w:val="single" w:sz="4" w:space="0" w:color="000000"/>
              <w:right w:val="single" w:sz="2" w:space="0" w:color="000000"/>
            </w:tcBorders>
          </w:tcPr>
          <w:p w14:paraId="6EA7F6AD"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60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3CAF3BFD"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1F4FDC16" w14:textId="77777777" w:rsidTr="00C232D7">
        <w:tblPrEx>
          <w:tblCellMar>
            <w:top w:w="43" w:type="dxa"/>
            <w:right w:w="58" w:type="dxa"/>
          </w:tblCellMar>
        </w:tblPrEx>
        <w:trPr>
          <w:trHeight w:val="205"/>
        </w:trPr>
        <w:tc>
          <w:tcPr>
            <w:tcW w:w="297" w:type="dxa"/>
            <w:gridSpan w:val="3"/>
            <w:vMerge/>
            <w:tcBorders>
              <w:top w:val="nil"/>
              <w:left w:val="single" w:sz="4" w:space="0" w:color="000000"/>
              <w:bottom w:val="nil"/>
              <w:right w:val="single" w:sz="4" w:space="0" w:color="000000"/>
            </w:tcBorders>
          </w:tcPr>
          <w:p w14:paraId="104EAECD"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3594B5E1"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53. </w:t>
            </w:r>
          </w:p>
        </w:tc>
        <w:tc>
          <w:tcPr>
            <w:tcW w:w="3969" w:type="dxa"/>
            <w:gridSpan w:val="8"/>
            <w:tcBorders>
              <w:top w:val="single" w:sz="4" w:space="0" w:color="000000"/>
              <w:left w:val="single" w:sz="4" w:space="0" w:color="000000"/>
              <w:bottom w:val="single" w:sz="2" w:space="0" w:color="000000"/>
              <w:right w:val="single" w:sz="4" w:space="0" w:color="000000"/>
            </w:tcBorders>
          </w:tcPr>
          <w:p w14:paraId="2512568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Isovića vir </w:t>
            </w:r>
          </w:p>
        </w:tc>
        <w:tc>
          <w:tcPr>
            <w:tcW w:w="2708" w:type="dxa"/>
            <w:gridSpan w:val="2"/>
            <w:tcBorders>
              <w:top w:val="single" w:sz="4" w:space="0" w:color="000000"/>
              <w:left w:val="single" w:sz="4" w:space="0" w:color="000000"/>
              <w:bottom w:val="single" w:sz="2" w:space="0" w:color="000000"/>
              <w:right w:val="single" w:sz="4" w:space="0" w:color="000000"/>
            </w:tcBorders>
          </w:tcPr>
          <w:p w14:paraId="4B8F2295" w14:textId="163B6180"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02" w:type="dxa"/>
            <w:tcBorders>
              <w:top w:val="single" w:sz="4" w:space="0" w:color="000000"/>
              <w:left w:val="single" w:sz="4" w:space="0" w:color="000000"/>
              <w:bottom w:val="single" w:sz="2" w:space="0" w:color="000000"/>
              <w:right w:val="single" w:sz="2" w:space="0" w:color="000000"/>
            </w:tcBorders>
          </w:tcPr>
          <w:p w14:paraId="4D2E934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0ED5133E"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322BE4C3"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tcPr>
          <w:p w14:paraId="55BAF210"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7FE520E2"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54. </w:t>
            </w:r>
          </w:p>
        </w:tc>
        <w:tc>
          <w:tcPr>
            <w:tcW w:w="3969" w:type="dxa"/>
            <w:gridSpan w:val="8"/>
            <w:tcBorders>
              <w:top w:val="single" w:sz="2" w:space="0" w:color="000000"/>
              <w:left w:val="single" w:sz="4" w:space="0" w:color="000000"/>
              <w:bottom w:val="single" w:sz="4" w:space="0" w:color="000000"/>
              <w:right w:val="single" w:sz="4" w:space="0" w:color="000000"/>
            </w:tcBorders>
          </w:tcPr>
          <w:p w14:paraId="142B6C79"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Most Brzava </w:t>
            </w:r>
          </w:p>
        </w:tc>
        <w:tc>
          <w:tcPr>
            <w:tcW w:w="2708" w:type="dxa"/>
            <w:gridSpan w:val="2"/>
            <w:tcBorders>
              <w:top w:val="single" w:sz="2" w:space="0" w:color="000000"/>
              <w:left w:val="single" w:sz="4" w:space="0" w:color="000000"/>
              <w:bottom w:val="single" w:sz="4" w:space="0" w:color="000000"/>
              <w:right w:val="single" w:sz="4" w:space="0" w:color="000000"/>
            </w:tcBorders>
          </w:tcPr>
          <w:p w14:paraId="60ED26DC" w14:textId="7F1817DB"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02" w:type="dxa"/>
            <w:tcBorders>
              <w:top w:val="single" w:sz="2" w:space="0" w:color="000000"/>
              <w:left w:val="single" w:sz="4" w:space="0" w:color="000000"/>
              <w:bottom w:val="single" w:sz="4" w:space="0" w:color="000000"/>
              <w:right w:val="single" w:sz="2" w:space="0" w:color="000000"/>
            </w:tcBorders>
          </w:tcPr>
          <w:p w14:paraId="04F8BC03"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55517CC1"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23B13E1F" w14:textId="77777777" w:rsidTr="00C232D7">
        <w:tblPrEx>
          <w:tblCellMar>
            <w:top w:w="43" w:type="dxa"/>
            <w:right w:w="58" w:type="dxa"/>
          </w:tblCellMar>
        </w:tblPrEx>
        <w:trPr>
          <w:trHeight w:val="205"/>
        </w:trPr>
        <w:tc>
          <w:tcPr>
            <w:tcW w:w="297" w:type="dxa"/>
            <w:gridSpan w:val="3"/>
            <w:vMerge/>
            <w:tcBorders>
              <w:top w:val="nil"/>
              <w:left w:val="single" w:sz="4" w:space="0" w:color="000000"/>
              <w:bottom w:val="nil"/>
              <w:right w:val="single" w:sz="4" w:space="0" w:color="000000"/>
            </w:tcBorders>
          </w:tcPr>
          <w:p w14:paraId="58F3CEDA"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1C535C03"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55. </w:t>
            </w:r>
          </w:p>
        </w:tc>
        <w:tc>
          <w:tcPr>
            <w:tcW w:w="3969" w:type="dxa"/>
            <w:gridSpan w:val="8"/>
            <w:tcBorders>
              <w:top w:val="single" w:sz="4" w:space="0" w:color="000000"/>
              <w:left w:val="single" w:sz="4" w:space="0" w:color="000000"/>
              <w:bottom w:val="single" w:sz="4" w:space="0" w:color="000000"/>
              <w:right w:val="single" w:sz="4" w:space="0" w:color="000000"/>
            </w:tcBorders>
          </w:tcPr>
          <w:p w14:paraId="44FD984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Raskrsnica Žurena </w:t>
            </w:r>
          </w:p>
        </w:tc>
        <w:tc>
          <w:tcPr>
            <w:tcW w:w="2708" w:type="dxa"/>
            <w:gridSpan w:val="2"/>
            <w:tcBorders>
              <w:top w:val="single" w:sz="4" w:space="0" w:color="000000"/>
              <w:left w:val="single" w:sz="4" w:space="0" w:color="000000"/>
              <w:bottom w:val="single" w:sz="4" w:space="0" w:color="000000"/>
              <w:right w:val="single" w:sz="4" w:space="0" w:color="000000"/>
            </w:tcBorders>
          </w:tcPr>
          <w:p w14:paraId="4FC70C85" w14:textId="5A581AC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22381D6A"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7</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5DCD2FD7"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3171D96C"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tcPr>
          <w:p w14:paraId="61A8FE21"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2B2A3425"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56. </w:t>
            </w:r>
          </w:p>
        </w:tc>
        <w:tc>
          <w:tcPr>
            <w:tcW w:w="3969" w:type="dxa"/>
            <w:gridSpan w:val="8"/>
            <w:tcBorders>
              <w:top w:val="single" w:sz="4" w:space="0" w:color="000000"/>
              <w:left w:val="single" w:sz="4" w:space="0" w:color="000000"/>
              <w:bottom w:val="single" w:sz="4" w:space="0" w:color="000000"/>
              <w:right w:val="single" w:sz="4" w:space="0" w:color="000000"/>
            </w:tcBorders>
          </w:tcPr>
          <w:p w14:paraId="0D1F487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Brestovik  </w:t>
            </w:r>
          </w:p>
        </w:tc>
        <w:tc>
          <w:tcPr>
            <w:tcW w:w="2708" w:type="dxa"/>
            <w:gridSpan w:val="2"/>
            <w:tcBorders>
              <w:top w:val="single" w:sz="4" w:space="0" w:color="000000"/>
              <w:left w:val="single" w:sz="4" w:space="0" w:color="000000"/>
              <w:bottom w:val="single" w:sz="4" w:space="0" w:color="000000"/>
              <w:right w:val="single" w:sz="4" w:space="0" w:color="000000"/>
            </w:tcBorders>
          </w:tcPr>
          <w:p w14:paraId="042B8241" w14:textId="010825A1"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1430B19C"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2B1A77C7"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76A8B301"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77AECCB0"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07EF6E95"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57. </w:t>
            </w:r>
          </w:p>
        </w:tc>
        <w:tc>
          <w:tcPr>
            <w:tcW w:w="3969" w:type="dxa"/>
            <w:gridSpan w:val="8"/>
            <w:tcBorders>
              <w:top w:val="single" w:sz="4" w:space="0" w:color="000000"/>
              <w:left w:val="single" w:sz="4" w:space="0" w:color="000000"/>
              <w:bottom w:val="single" w:sz="4" w:space="0" w:color="000000"/>
              <w:right w:val="single" w:sz="4" w:space="0" w:color="000000"/>
            </w:tcBorders>
          </w:tcPr>
          <w:p w14:paraId="0771FA50"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Raskrsnica Žurena 1 </w:t>
            </w:r>
          </w:p>
        </w:tc>
        <w:tc>
          <w:tcPr>
            <w:tcW w:w="2708" w:type="dxa"/>
            <w:gridSpan w:val="2"/>
            <w:tcBorders>
              <w:top w:val="single" w:sz="4" w:space="0" w:color="000000"/>
              <w:left w:val="single" w:sz="4" w:space="0" w:color="000000"/>
              <w:bottom w:val="single" w:sz="4" w:space="0" w:color="000000"/>
              <w:right w:val="single" w:sz="4" w:space="0" w:color="000000"/>
            </w:tcBorders>
          </w:tcPr>
          <w:p w14:paraId="3A9C7AAC" w14:textId="30984318"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02" w:type="dxa"/>
            <w:tcBorders>
              <w:top w:val="single" w:sz="4" w:space="0" w:color="000000"/>
              <w:left w:val="single" w:sz="4" w:space="0" w:color="000000"/>
              <w:bottom w:val="single" w:sz="4" w:space="0" w:color="000000"/>
              <w:right w:val="single" w:sz="2" w:space="0" w:color="000000"/>
            </w:tcBorders>
          </w:tcPr>
          <w:p w14:paraId="201AE763"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4</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432B7EB5"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1B6AD7AF" w14:textId="77777777" w:rsidTr="00C232D7">
        <w:tblPrEx>
          <w:tblCellMar>
            <w:top w:w="43" w:type="dxa"/>
            <w:right w:w="58" w:type="dxa"/>
          </w:tblCellMar>
        </w:tblPrEx>
        <w:trPr>
          <w:trHeight w:val="205"/>
        </w:trPr>
        <w:tc>
          <w:tcPr>
            <w:tcW w:w="297" w:type="dxa"/>
            <w:gridSpan w:val="3"/>
            <w:vMerge/>
            <w:tcBorders>
              <w:top w:val="nil"/>
              <w:left w:val="single" w:sz="4" w:space="0" w:color="000000"/>
              <w:bottom w:val="nil"/>
              <w:right w:val="single" w:sz="4" w:space="0" w:color="000000"/>
            </w:tcBorders>
          </w:tcPr>
          <w:p w14:paraId="40E8119E"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21F8B5BD"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58. </w:t>
            </w:r>
          </w:p>
        </w:tc>
        <w:tc>
          <w:tcPr>
            <w:tcW w:w="3969" w:type="dxa"/>
            <w:gridSpan w:val="8"/>
            <w:tcBorders>
              <w:top w:val="single" w:sz="4" w:space="0" w:color="000000"/>
              <w:left w:val="single" w:sz="4" w:space="0" w:color="000000"/>
              <w:bottom w:val="single" w:sz="2" w:space="0" w:color="000000"/>
              <w:right w:val="single" w:sz="4" w:space="0" w:color="000000"/>
            </w:tcBorders>
          </w:tcPr>
          <w:p w14:paraId="5D60D73E"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Stara škola Zaton </w:t>
            </w:r>
          </w:p>
        </w:tc>
        <w:tc>
          <w:tcPr>
            <w:tcW w:w="2708" w:type="dxa"/>
            <w:gridSpan w:val="2"/>
            <w:tcBorders>
              <w:top w:val="single" w:sz="4" w:space="0" w:color="000000"/>
              <w:left w:val="single" w:sz="4" w:space="0" w:color="000000"/>
              <w:bottom w:val="single" w:sz="2" w:space="0" w:color="000000"/>
              <w:right w:val="single" w:sz="4" w:space="0" w:color="000000"/>
            </w:tcBorders>
          </w:tcPr>
          <w:p w14:paraId="672E5F94" w14:textId="5C52ACA3"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2" w:space="0" w:color="000000"/>
              <w:right w:val="single" w:sz="2" w:space="0" w:color="000000"/>
            </w:tcBorders>
          </w:tcPr>
          <w:p w14:paraId="7915ACD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4</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4F94D2E1"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58E893EA"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tcPr>
          <w:p w14:paraId="6CE11529"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11F5B5C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59. </w:t>
            </w:r>
          </w:p>
        </w:tc>
        <w:tc>
          <w:tcPr>
            <w:tcW w:w="3969" w:type="dxa"/>
            <w:gridSpan w:val="8"/>
            <w:tcBorders>
              <w:top w:val="single" w:sz="2" w:space="0" w:color="000000"/>
              <w:left w:val="single" w:sz="4" w:space="0" w:color="000000"/>
              <w:bottom w:val="single" w:sz="4" w:space="0" w:color="000000"/>
              <w:right w:val="single" w:sz="4" w:space="0" w:color="000000"/>
            </w:tcBorders>
          </w:tcPr>
          <w:p w14:paraId="1A4ADB0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Fabrika doo Zlajić </w:t>
            </w:r>
          </w:p>
        </w:tc>
        <w:tc>
          <w:tcPr>
            <w:tcW w:w="2708" w:type="dxa"/>
            <w:gridSpan w:val="2"/>
            <w:tcBorders>
              <w:top w:val="single" w:sz="2" w:space="0" w:color="000000"/>
              <w:left w:val="single" w:sz="4" w:space="0" w:color="000000"/>
              <w:bottom w:val="single" w:sz="4" w:space="0" w:color="000000"/>
              <w:right w:val="single" w:sz="4" w:space="0" w:color="000000"/>
            </w:tcBorders>
          </w:tcPr>
          <w:p w14:paraId="44C13F35" w14:textId="6AB5C20A"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2" w:space="0" w:color="000000"/>
              <w:left w:val="single" w:sz="4" w:space="0" w:color="000000"/>
              <w:bottom w:val="single" w:sz="4" w:space="0" w:color="000000"/>
              <w:right w:val="single" w:sz="2" w:space="0" w:color="000000"/>
            </w:tcBorders>
          </w:tcPr>
          <w:p w14:paraId="44A2BFC7"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32A401DF"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4334EDF6" w14:textId="77777777" w:rsidTr="00C232D7">
        <w:tblPrEx>
          <w:tblCellMar>
            <w:top w:w="43" w:type="dxa"/>
            <w:right w:w="58" w:type="dxa"/>
          </w:tblCellMar>
        </w:tblPrEx>
        <w:trPr>
          <w:trHeight w:val="205"/>
        </w:trPr>
        <w:tc>
          <w:tcPr>
            <w:tcW w:w="297" w:type="dxa"/>
            <w:gridSpan w:val="3"/>
            <w:vMerge/>
            <w:tcBorders>
              <w:top w:val="nil"/>
              <w:left w:val="single" w:sz="4" w:space="0" w:color="000000"/>
              <w:bottom w:val="nil"/>
              <w:right w:val="single" w:sz="4" w:space="0" w:color="000000"/>
            </w:tcBorders>
          </w:tcPr>
          <w:p w14:paraId="6D7F51EB"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4876A36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60. </w:t>
            </w:r>
          </w:p>
        </w:tc>
        <w:tc>
          <w:tcPr>
            <w:tcW w:w="3969" w:type="dxa"/>
            <w:gridSpan w:val="8"/>
            <w:tcBorders>
              <w:top w:val="single" w:sz="4" w:space="0" w:color="000000"/>
              <w:left w:val="single" w:sz="4" w:space="0" w:color="000000"/>
              <w:bottom w:val="single" w:sz="4" w:space="0" w:color="000000"/>
              <w:right w:val="single" w:sz="4" w:space="0" w:color="000000"/>
            </w:tcBorders>
          </w:tcPr>
          <w:p w14:paraId="0A666F39"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Godijevo 1 </w:t>
            </w:r>
          </w:p>
        </w:tc>
        <w:tc>
          <w:tcPr>
            <w:tcW w:w="2708" w:type="dxa"/>
            <w:gridSpan w:val="2"/>
            <w:tcBorders>
              <w:top w:val="single" w:sz="4" w:space="0" w:color="000000"/>
              <w:left w:val="single" w:sz="4" w:space="0" w:color="000000"/>
              <w:bottom w:val="single" w:sz="4" w:space="0" w:color="000000"/>
              <w:right w:val="single" w:sz="4" w:space="0" w:color="000000"/>
            </w:tcBorders>
          </w:tcPr>
          <w:p w14:paraId="16C58CEA" w14:textId="59E1F3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33BBB11E"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40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4286AA02"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4EF4A2C3" w14:textId="77777777" w:rsidTr="00C232D7">
        <w:tblPrEx>
          <w:tblCellMar>
            <w:top w:w="43" w:type="dxa"/>
            <w:right w:w="58" w:type="dxa"/>
          </w:tblCellMar>
        </w:tblPrEx>
        <w:trPr>
          <w:trHeight w:val="203"/>
        </w:trPr>
        <w:tc>
          <w:tcPr>
            <w:tcW w:w="297" w:type="dxa"/>
            <w:gridSpan w:val="3"/>
            <w:vMerge/>
            <w:tcBorders>
              <w:top w:val="nil"/>
              <w:left w:val="single" w:sz="4" w:space="0" w:color="000000"/>
              <w:bottom w:val="nil"/>
              <w:right w:val="single" w:sz="4" w:space="0" w:color="000000"/>
            </w:tcBorders>
          </w:tcPr>
          <w:p w14:paraId="6099CB09"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070EFBDA"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61. </w:t>
            </w:r>
          </w:p>
        </w:tc>
        <w:tc>
          <w:tcPr>
            <w:tcW w:w="3969" w:type="dxa"/>
            <w:gridSpan w:val="8"/>
            <w:tcBorders>
              <w:top w:val="single" w:sz="4" w:space="0" w:color="000000"/>
              <w:left w:val="single" w:sz="4" w:space="0" w:color="000000"/>
              <w:bottom w:val="single" w:sz="4" w:space="0" w:color="000000"/>
              <w:right w:val="single" w:sz="4" w:space="0" w:color="000000"/>
            </w:tcBorders>
          </w:tcPr>
          <w:p w14:paraId="64E09D08"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Put Ivanje </w:t>
            </w:r>
          </w:p>
        </w:tc>
        <w:tc>
          <w:tcPr>
            <w:tcW w:w="2708" w:type="dxa"/>
            <w:gridSpan w:val="2"/>
            <w:tcBorders>
              <w:top w:val="single" w:sz="4" w:space="0" w:color="000000"/>
              <w:left w:val="single" w:sz="4" w:space="0" w:color="000000"/>
              <w:bottom w:val="single" w:sz="4" w:space="0" w:color="000000"/>
              <w:right w:val="single" w:sz="4" w:space="0" w:color="000000"/>
            </w:tcBorders>
          </w:tcPr>
          <w:p w14:paraId="17F516A6" w14:textId="4C460368"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30729082"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4</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361E9987"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1CA08F20"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1A150110"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32D67DB5"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62. </w:t>
            </w:r>
          </w:p>
        </w:tc>
        <w:tc>
          <w:tcPr>
            <w:tcW w:w="3969" w:type="dxa"/>
            <w:gridSpan w:val="8"/>
            <w:tcBorders>
              <w:top w:val="single" w:sz="4" w:space="0" w:color="000000"/>
              <w:left w:val="single" w:sz="4" w:space="0" w:color="000000"/>
              <w:bottom w:val="single" w:sz="4" w:space="0" w:color="000000"/>
              <w:right w:val="single" w:sz="4" w:space="0" w:color="000000"/>
            </w:tcBorders>
          </w:tcPr>
          <w:p w14:paraId="69A159C0"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Put Ivanje 1 </w:t>
            </w:r>
          </w:p>
        </w:tc>
        <w:tc>
          <w:tcPr>
            <w:tcW w:w="2708" w:type="dxa"/>
            <w:gridSpan w:val="2"/>
            <w:tcBorders>
              <w:top w:val="single" w:sz="4" w:space="0" w:color="000000"/>
              <w:left w:val="single" w:sz="4" w:space="0" w:color="000000"/>
              <w:bottom w:val="single" w:sz="4" w:space="0" w:color="000000"/>
              <w:right w:val="single" w:sz="4" w:space="0" w:color="000000"/>
            </w:tcBorders>
          </w:tcPr>
          <w:p w14:paraId="6DFD0226" w14:textId="34FD8B31"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1E485F1F"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5975F0B7"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0FE1C5AF"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569F6EA7"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3D64E711"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63. </w:t>
            </w:r>
          </w:p>
        </w:tc>
        <w:tc>
          <w:tcPr>
            <w:tcW w:w="3969" w:type="dxa"/>
            <w:gridSpan w:val="8"/>
            <w:tcBorders>
              <w:top w:val="single" w:sz="4" w:space="0" w:color="000000"/>
              <w:left w:val="single" w:sz="4" w:space="0" w:color="000000"/>
              <w:bottom w:val="single" w:sz="4" w:space="0" w:color="000000"/>
              <w:right w:val="single" w:sz="4" w:space="0" w:color="000000"/>
            </w:tcBorders>
          </w:tcPr>
          <w:p w14:paraId="63014E51"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Gornja Crnča </w:t>
            </w:r>
          </w:p>
        </w:tc>
        <w:tc>
          <w:tcPr>
            <w:tcW w:w="2708" w:type="dxa"/>
            <w:gridSpan w:val="2"/>
            <w:tcBorders>
              <w:top w:val="single" w:sz="4" w:space="0" w:color="000000"/>
              <w:left w:val="single" w:sz="4" w:space="0" w:color="000000"/>
              <w:bottom w:val="single" w:sz="4" w:space="0" w:color="000000"/>
              <w:right w:val="single" w:sz="4" w:space="0" w:color="000000"/>
            </w:tcBorders>
          </w:tcPr>
          <w:p w14:paraId="44265CC8" w14:textId="6FAEDE0B"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02" w:type="dxa"/>
            <w:tcBorders>
              <w:top w:val="single" w:sz="4" w:space="0" w:color="000000"/>
              <w:left w:val="single" w:sz="4" w:space="0" w:color="000000"/>
              <w:bottom w:val="single" w:sz="4" w:space="0" w:color="000000"/>
              <w:right w:val="single" w:sz="2" w:space="0" w:color="000000"/>
            </w:tcBorders>
          </w:tcPr>
          <w:p w14:paraId="0EC238F4"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4C0FA961"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1E848F66" w14:textId="77777777" w:rsidTr="00C232D7">
        <w:tblPrEx>
          <w:tblCellMar>
            <w:top w:w="43" w:type="dxa"/>
            <w:right w:w="58" w:type="dxa"/>
          </w:tblCellMar>
        </w:tblPrEx>
        <w:trPr>
          <w:trHeight w:val="204"/>
        </w:trPr>
        <w:tc>
          <w:tcPr>
            <w:tcW w:w="297" w:type="dxa"/>
            <w:gridSpan w:val="3"/>
            <w:vMerge/>
            <w:tcBorders>
              <w:top w:val="nil"/>
              <w:left w:val="single" w:sz="4" w:space="0" w:color="000000"/>
              <w:bottom w:val="nil"/>
              <w:right w:val="single" w:sz="4" w:space="0" w:color="000000"/>
            </w:tcBorders>
          </w:tcPr>
          <w:p w14:paraId="63697D13"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4" w:space="0" w:color="000000"/>
              <w:right w:val="single" w:sz="4" w:space="0" w:color="000000"/>
            </w:tcBorders>
          </w:tcPr>
          <w:p w14:paraId="60F02C13"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64. </w:t>
            </w:r>
          </w:p>
        </w:tc>
        <w:tc>
          <w:tcPr>
            <w:tcW w:w="3969" w:type="dxa"/>
            <w:gridSpan w:val="8"/>
            <w:tcBorders>
              <w:top w:val="single" w:sz="4" w:space="0" w:color="000000"/>
              <w:left w:val="single" w:sz="4" w:space="0" w:color="000000"/>
              <w:bottom w:val="single" w:sz="4" w:space="0" w:color="000000"/>
              <w:right w:val="single" w:sz="4" w:space="0" w:color="000000"/>
            </w:tcBorders>
          </w:tcPr>
          <w:p w14:paraId="78D7BD80"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Poda  </w:t>
            </w:r>
          </w:p>
        </w:tc>
        <w:tc>
          <w:tcPr>
            <w:tcW w:w="2708" w:type="dxa"/>
            <w:gridSpan w:val="2"/>
            <w:tcBorders>
              <w:top w:val="single" w:sz="4" w:space="0" w:color="000000"/>
              <w:left w:val="single" w:sz="4" w:space="0" w:color="000000"/>
              <w:bottom w:val="single" w:sz="4" w:space="0" w:color="000000"/>
              <w:right w:val="single" w:sz="4" w:space="0" w:color="000000"/>
            </w:tcBorders>
          </w:tcPr>
          <w:p w14:paraId="078DC739" w14:textId="2289313A"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4" w:space="0" w:color="000000"/>
              <w:left w:val="single" w:sz="4" w:space="0" w:color="000000"/>
              <w:bottom w:val="single" w:sz="4" w:space="0" w:color="000000"/>
              <w:right w:val="single" w:sz="2" w:space="0" w:color="000000"/>
            </w:tcBorders>
          </w:tcPr>
          <w:p w14:paraId="65208296"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2B3EAD21"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4C2BEECA" w14:textId="77777777" w:rsidTr="00C232D7">
        <w:tblPrEx>
          <w:tblCellMar>
            <w:top w:w="43" w:type="dxa"/>
            <w:right w:w="58" w:type="dxa"/>
          </w:tblCellMar>
        </w:tblPrEx>
        <w:trPr>
          <w:trHeight w:val="205"/>
        </w:trPr>
        <w:tc>
          <w:tcPr>
            <w:tcW w:w="297" w:type="dxa"/>
            <w:gridSpan w:val="3"/>
            <w:vMerge/>
            <w:tcBorders>
              <w:top w:val="nil"/>
              <w:left w:val="single" w:sz="4" w:space="0" w:color="000000"/>
              <w:bottom w:val="nil"/>
              <w:right w:val="single" w:sz="4" w:space="0" w:color="000000"/>
            </w:tcBorders>
          </w:tcPr>
          <w:p w14:paraId="5E7E0FAC"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4" w:space="0" w:color="000000"/>
              <w:left w:val="single" w:sz="4" w:space="0" w:color="000000"/>
              <w:bottom w:val="single" w:sz="2" w:space="0" w:color="000000"/>
              <w:right w:val="single" w:sz="4" w:space="0" w:color="000000"/>
            </w:tcBorders>
          </w:tcPr>
          <w:p w14:paraId="252C2E99"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65. </w:t>
            </w:r>
          </w:p>
        </w:tc>
        <w:tc>
          <w:tcPr>
            <w:tcW w:w="3969" w:type="dxa"/>
            <w:gridSpan w:val="8"/>
            <w:tcBorders>
              <w:top w:val="single" w:sz="4" w:space="0" w:color="000000"/>
              <w:left w:val="single" w:sz="4" w:space="0" w:color="000000"/>
              <w:bottom w:val="single" w:sz="2" w:space="0" w:color="000000"/>
              <w:right w:val="single" w:sz="4" w:space="0" w:color="000000"/>
            </w:tcBorders>
          </w:tcPr>
          <w:p w14:paraId="2B0479C0"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Poda 1 </w:t>
            </w:r>
          </w:p>
        </w:tc>
        <w:tc>
          <w:tcPr>
            <w:tcW w:w="2708" w:type="dxa"/>
            <w:gridSpan w:val="2"/>
            <w:tcBorders>
              <w:top w:val="single" w:sz="4" w:space="0" w:color="000000"/>
              <w:left w:val="single" w:sz="4" w:space="0" w:color="000000"/>
              <w:bottom w:val="single" w:sz="2" w:space="0" w:color="000000"/>
              <w:right w:val="single" w:sz="4" w:space="0" w:color="000000"/>
            </w:tcBorders>
          </w:tcPr>
          <w:p w14:paraId="65BF903E" w14:textId="043240D6"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02" w:type="dxa"/>
            <w:tcBorders>
              <w:top w:val="single" w:sz="4" w:space="0" w:color="000000"/>
              <w:left w:val="single" w:sz="4" w:space="0" w:color="000000"/>
              <w:bottom w:val="single" w:sz="2" w:space="0" w:color="000000"/>
              <w:right w:val="single" w:sz="2" w:space="0" w:color="000000"/>
            </w:tcBorders>
          </w:tcPr>
          <w:p w14:paraId="010D7E0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7DA8B4C5"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45C3FF5A" w14:textId="77777777" w:rsidTr="00C232D7">
        <w:tblPrEx>
          <w:tblCellMar>
            <w:top w:w="43" w:type="dxa"/>
            <w:right w:w="58" w:type="dxa"/>
          </w:tblCellMar>
        </w:tblPrEx>
        <w:trPr>
          <w:trHeight w:val="202"/>
        </w:trPr>
        <w:tc>
          <w:tcPr>
            <w:tcW w:w="297" w:type="dxa"/>
            <w:gridSpan w:val="3"/>
            <w:vMerge/>
            <w:tcBorders>
              <w:top w:val="nil"/>
              <w:left w:val="single" w:sz="4" w:space="0" w:color="000000"/>
              <w:bottom w:val="single" w:sz="4" w:space="0" w:color="000000"/>
              <w:right w:val="single" w:sz="4" w:space="0" w:color="000000"/>
            </w:tcBorders>
          </w:tcPr>
          <w:p w14:paraId="4C749F1D" w14:textId="77777777" w:rsidR="00C232D7" w:rsidRPr="00F6198B" w:rsidRDefault="00C232D7" w:rsidP="00C232D7">
            <w:pPr>
              <w:spacing w:after="160" w:line="360" w:lineRule="auto"/>
              <w:rPr>
                <w:rFonts w:ascii="Arial" w:hAnsi="Arial" w:cs="Arial"/>
                <w:color w:val="000000"/>
                <w:sz w:val="18"/>
                <w:szCs w:val="18"/>
                <w:lang w:val="sr-Latn-RS"/>
              </w:rPr>
            </w:pPr>
          </w:p>
        </w:tc>
        <w:tc>
          <w:tcPr>
            <w:tcW w:w="554" w:type="dxa"/>
            <w:tcBorders>
              <w:top w:val="single" w:sz="2" w:space="0" w:color="000000"/>
              <w:left w:val="single" w:sz="4" w:space="0" w:color="000000"/>
              <w:bottom w:val="single" w:sz="4" w:space="0" w:color="000000"/>
              <w:right w:val="single" w:sz="4" w:space="0" w:color="000000"/>
            </w:tcBorders>
          </w:tcPr>
          <w:p w14:paraId="3108EC4F"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66. </w:t>
            </w:r>
          </w:p>
        </w:tc>
        <w:tc>
          <w:tcPr>
            <w:tcW w:w="3969" w:type="dxa"/>
            <w:gridSpan w:val="8"/>
            <w:tcBorders>
              <w:top w:val="single" w:sz="2" w:space="0" w:color="000000"/>
              <w:left w:val="single" w:sz="4" w:space="0" w:color="000000"/>
              <w:bottom w:val="single" w:sz="4" w:space="0" w:color="000000"/>
              <w:right w:val="single" w:sz="4" w:space="0" w:color="000000"/>
            </w:tcBorders>
          </w:tcPr>
          <w:p w14:paraId="3E5E6532"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Gojevići  </w:t>
            </w:r>
          </w:p>
        </w:tc>
        <w:tc>
          <w:tcPr>
            <w:tcW w:w="2708" w:type="dxa"/>
            <w:gridSpan w:val="2"/>
            <w:tcBorders>
              <w:top w:val="single" w:sz="2" w:space="0" w:color="000000"/>
              <w:left w:val="single" w:sz="4" w:space="0" w:color="000000"/>
              <w:bottom w:val="single" w:sz="4" w:space="0" w:color="000000"/>
              <w:right w:val="single" w:sz="4" w:space="0" w:color="000000"/>
            </w:tcBorders>
          </w:tcPr>
          <w:p w14:paraId="465D087B" w14:textId="16EDFF2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02" w:type="dxa"/>
            <w:tcBorders>
              <w:top w:val="single" w:sz="2" w:space="0" w:color="000000"/>
              <w:left w:val="single" w:sz="4" w:space="0" w:color="000000"/>
              <w:bottom w:val="single" w:sz="4" w:space="0" w:color="000000"/>
              <w:right w:val="single" w:sz="2" w:space="0" w:color="000000"/>
            </w:tcBorders>
          </w:tcPr>
          <w:p w14:paraId="7A1B1DF0"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7D58766C"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16BCB136" w14:textId="77777777" w:rsidTr="00C232D7">
        <w:tblPrEx>
          <w:tblCellMar>
            <w:top w:w="0" w:type="dxa"/>
            <w:left w:w="100" w:type="dxa"/>
            <w:right w:w="58" w:type="dxa"/>
          </w:tblCellMar>
        </w:tblPrEx>
        <w:trPr>
          <w:trHeight w:val="203"/>
        </w:trPr>
        <w:tc>
          <w:tcPr>
            <w:tcW w:w="266" w:type="dxa"/>
            <w:vMerge w:val="restart"/>
            <w:tcBorders>
              <w:top w:val="single" w:sz="2" w:space="0" w:color="000000"/>
              <w:left w:val="single" w:sz="4" w:space="0" w:color="000000"/>
              <w:bottom w:val="nil"/>
              <w:right w:val="single" w:sz="4" w:space="0" w:color="000000"/>
            </w:tcBorders>
            <w:shd w:val="clear" w:color="auto" w:fill="EAF1DD"/>
          </w:tcPr>
          <w:p w14:paraId="0B27EBC0"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158BE63E"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67. </w:t>
            </w:r>
          </w:p>
        </w:tc>
        <w:tc>
          <w:tcPr>
            <w:tcW w:w="3969" w:type="dxa"/>
            <w:gridSpan w:val="8"/>
            <w:tcBorders>
              <w:top w:val="single" w:sz="2" w:space="0" w:color="000000"/>
              <w:left w:val="single" w:sz="4" w:space="0" w:color="000000"/>
              <w:bottom w:val="single" w:sz="4" w:space="0" w:color="000000"/>
              <w:right w:val="single" w:sz="4" w:space="0" w:color="000000"/>
            </w:tcBorders>
          </w:tcPr>
          <w:p w14:paraId="330C828F"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Gojevići 1 </w:t>
            </w:r>
          </w:p>
        </w:tc>
        <w:tc>
          <w:tcPr>
            <w:tcW w:w="2677" w:type="dxa"/>
            <w:tcBorders>
              <w:top w:val="single" w:sz="2" w:space="0" w:color="000000"/>
              <w:left w:val="single" w:sz="4" w:space="0" w:color="000000"/>
              <w:bottom w:val="single" w:sz="4" w:space="0" w:color="000000"/>
              <w:right w:val="single" w:sz="4" w:space="0" w:color="000000"/>
            </w:tcBorders>
          </w:tcPr>
          <w:p w14:paraId="01F97DF9" w14:textId="4362317E"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2" w:space="0" w:color="000000"/>
              <w:left w:val="single" w:sz="4" w:space="0" w:color="000000"/>
              <w:bottom w:val="single" w:sz="4" w:space="0" w:color="000000"/>
              <w:right w:val="single" w:sz="2" w:space="0" w:color="000000"/>
            </w:tcBorders>
          </w:tcPr>
          <w:p w14:paraId="5B625AA6"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673C7E0D"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2CADE8C5"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tcPr>
          <w:p w14:paraId="5FE71B17"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40071D38"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68. </w:t>
            </w:r>
          </w:p>
        </w:tc>
        <w:tc>
          <w:tcPr>
            <w:tcW w:w="3969" w:type="dxa"/>
            <w:gridSpan w:val="8"/>
            <w:tcBorders>
              <w:top w:val="single" w:sz="4" w:space="0" w:color="000000"/>
              <w:left w:val="single" w:sz="4" w:space="0" w:color="000000"/>
              <w:bottom w:val="single" w:sz="4" w:space="0" w:color="000000"/>
              <w:right w:val="single" w:sz="4" w:space="0" w:color="000000"/>
            </w:tcBorders>
          </w:tcPr>
          <w:p w14:paraId="6BF8BB57"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Gojevići 2 </w:t>
            </w:r>
          </w:p>
        </w:tc>
        <w:tc>
          <w:tcPr>
            <w:tcW w:w="2677" w:type="dxa"/>
            <w:tcBorders>
              <w:top w:val="single" w:sz="4" w:space="0" w:color="000000"/>
              <w:left w:val="single" w:sz="4" w:space="0" w:color="000000"/>
              <w:bottom w:val="single" w:sz="4" w:space="0" w:color="000000"/>
              <w:right w:val="single" w:sz="4" w:space="0" w:color="000000"/>
            </w:tcBorders>
          </w:tcPr>
          <w:p w14:paraId="4037FC2E" w14:textId="29117CB3"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3ED2490D"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2449577C"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6CB37A03"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tcPr>
          <w:p w14:paraId="26C7944D"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5191136E"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69. </w:t>
            </w:r>
          </w:p>
        </w:tc>
        <w:tc>
          <w:tcPr>
            <w:tcW w:w="3969" w:type="dxa"/>
            <w:gridSpan w:val="8"/>
            <w:tcBorders>
              <w:top w:val="single" w:sz="4" w:space="0" w:color="000000"/>
              <w:left w:val="single" w:sz="4" w:space="0" w:color="000000"/>
              <w:bottom w:val="single" w:sz="4" w:space="0" w:color="000000"/>
              <w:right w:val="single" w:sz="4" w:space="0" w:color="000000"/>
            </w:tcBorders>
          </w:tcPr>
          <w:p w14:paraId="45A34B69"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Bioča  </w:t>
            </w:r>
          </w:p>
        </w:tc>
        <w:tc>
          <w:tcPr>
            <w:tcW w:w="2677" w:type="dxa"/>
            <w:tcBorders>
              <w:top w:val="single" w:sz="4" w:space="0" w:color="000000"/>
              <w:left w:val="single" w:sz="4" w:space="0" w:color="000000"/>
              <w:bottom w:val="single" w:sz="4" w:space="0" w:color="000000"/>
              <w:right w:val="single" w:sz="4" w:space="0" w:color="000000"/>
            </w:tcBorders>
          </w:tcPr>
          <w:p w14:paraId="2490DCEE" w14:textId="1EE9B546"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64784B82"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75F5AB24"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69A8780F"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tcPr>
          <w:p w14:paraId="3C5CC1B2"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4D7FA633"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70. </w:t>
            </w:r>
          </w:p>
        </w:tc>
        <w:tc>
          <w:tcPr>
            <w:tcW w:w="3969" w:type="dxa"/>
            <w:gridSpan w:val="8"/>
            <w:tcBorders>
              <w:top w:val="single" w:sz="4" w:space="0" w:color="000000"/>
              <w:left w:val="single" w:sz="4" w:space="0" w:color="000000"/>
              <w:bottom w:val="single" w:sz="4" w:space="0" w:color="000000"/>
              <w:right w:val="single" w:sz="4" w:space="0" w:color="000000"/>
            </w:tcBorders>
          </w:tcPr>
          <w:p w14:paraId="3517D8E1"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Srđevac  </w:t>
            </w:r>
          </w:p>
        </w:tc>
        <w:tc>
          <w:tcPr>
            <w:tcW w:w="2677" w:type="dxa"/>
            <w:tcBorders>
              <w:top w:val="single" w:sz="4" w:space="0" w:color="000000"/>
              <w:left w:val="single" w:sz="4" w:space="0" w:color="000000"/>
              <w:bottom w:val="single" w:sz="4" w:space="0" w:color="000000"/>
              <w:right w:val="single" w:sz="4" w:space="0" w:color="000000"/>
            </w:tcBorders>
          </w:tcPr>
          <w:p w14:paraId="6EE80E38" w14:textId="06DBF488"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57767C6B"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4</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778FFB4C"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18A171F8" w14:textId="77777777" w:rsidTr="00C232D7">
        <w:tblPrEx>
          <w:tblCellMar>
            <w:top w:w="0" w:type="dxa"/>
            <w:left w:w="100" w:type="dxa"/>
            <w:right w:w="58" w:type="dxa"/>
          </w:tblCellMar>
        </w:tblPrEx>
        <w:trPr>
          <w:trHeight w:val="205"/>
        </w:trPr>
        <w:tc>
          <w:tcPr>
            <w:tcW w:w="266" w:type="dxa"/>
            <w:vMerge/>
            <w:tcBorders>
              <w:top w:val="nil"/>
              <w:left w:val="single" w:sz="4" w:space="0" w:color="000000"/>
              <w:bottom w:val="nil"/>
              <w:right w:val="single" w:sz="4" w:space="0" w:color="000000"/>
            </w:tcBorders>
          </w:tcPr>
          <w:p w14:paraId="7F12D58D"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109776F7"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71. </w:t>
            </w:r>
          </w:p>
        </w:tc>
        <w:tc>
          <w:tcPr>
            <w:tcW w:w="3969" w:type="dxa"/>
            <w:gridSpan w:val="8"/>
            <w:tcBorders>
              <w:top w:val="single" w:sz="4" w:space="0" w:color="000000"/>
              <w:left w:val="single" w:sz="4" w:space="0" w:color="000000"/>
              <w:bottom w:val="single" w:sz="2" w:space="0" w:color="000000"/>
              <w:right w:val="single" w:sz="4" w:space="0" w:color="000000"/>
            </w:tcBorders>
          </w:tcPr>
          <w:p w14:paraId="1DBB9535"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Paločak  </w:t>
            </w:r>
          </w:p>
        </w:tc>
        <w:tc>
          <w:tcPr>
            <w:tcW w:w="2677" w:type="dxa"/>
            <w:tcBorders>
              <w:top w:val="single" w:sz="4" w:space="0" w:color="000000"/>
              <w:left w:val="single" w:sz="4" w:space="0" w:color="000000"/>
              <w:bottom w:val="single" w:sz="2" w:space="0" w:color="000000"/>
              <w:right w:val="single" w:sz="4" w:space="0" w:color="000000"/>
            </w:tcBorders>
          </w:tcPr>
          <w:p w14:paraId="4057E3ED" w14:textId="3F40BE6D"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2" w:space="0" w:color="000000"/>
              <w:right w:val="single" w:sz="2" w:space="0" w:color="000000"/>
            </w:tcBorders>
          </w:tcPr>
          <w:p w14:paraId="06CFD47E"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6E178DA2"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5645C32A" w14:textId="77777777" w:rsidTr="00C232D7">
        <w:tblPrEx>
          <w:tblCellMar>
            <w:top w:w="0" w:type="dxa"/>
            <w:left w:w="100" w:type="dxa"/>
            <w:right w:w="58" w:type="dxa"/>
          </w:tblCellMar>
        </w:tblPrEx>
        <w:trPr>
          <w:trHeight w:val="203"/>
        </w:trPr>
        <w:tc>
          <w:tcPr>
            <w:tcW w:w="266" w:type="dxa"/>
            <w:vMerge/>
            <w:tcBorders>
              <w:top w:val="nil"/>
              <w:left w:val="single" w:sz="4" w:space="0" w:color="000000"/>
              <w:bottom w:val="nil"/>
              <w:right w:val="single" w:sz="4" w:space="0" w:color="000000"/>
            </w:tcBorders>
          </w:tcPr>
          <w:p w14:paraId="049E0326"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3CEB8A4B"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72. </w:t>
            </w:r>
          </w:p>
        </w:tc>
        <w:tc>
          <w:tcPr>
            <w:tcW w:w="3969" w:type="dxa"/>
            <w:gridSpan w:val="8"/>
            <w:tcBorders>
              <w:top w:val="single" w:sz="2" w:space="0" w:color="000000"/>
              <w:left w:val="single" w:sz="4" w:space="0" w:color="000000"/>
              <w:bottom w:val="single" w:sz="4" w:space="0" w:color="000000"/>
              <w:right w:val="single" w:sz="4" w:space="0" w:color="000000"/>
            </w:tcBorders>
          </w:tcPr>
          <w:p w14:paraId="33252FA5"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Paločak 1 </w:t>
            </w:r>
          </w:p>
        </w:tc>
        <w:tc>
          <w:tcPr>
            <w:tcW w:w="2677" w:type="dxa"/>
            <w:tcBorders>
              <w:top w:val="single" w:sz="2" w:space="0" w:color="000000"/>
              <w:left w:val="single" w:sz="4" w:space="0" w:color="000000"/>
              <w:bottom w:val="single" w:sz="4" w:space="0" w:color="000000"/>
              <w:right w:val="single" w:sz="4" w:space="0" w:color="000000"/>
            </w:tcBorders>
          </w:tcPr>
          <w:p w14:paraId="34A1A2F6" w14:textId="31D63E34"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2" w:space="0" w:color="000000"/>
              <w:left w:val="single" w:sz="4" w:space="0" w:color="000000"/>
              <w:bottom w:val="single" w:sz="4" w:space="0" w:color="000000"/>
              <w:right w:val="single" w:sz="2" w:space="0" w:color="000000"/>
            </w:tcBorders>
          </w:tcPr>
          <w:p w14:paraId="37F57EED"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60130F7B"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13C5CF8F"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tcPr>
          <w:p w14:paraId="4D5D0829"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050EE7F0"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73. </w:t>
            </w:r>
          </w:p>
        </w:tc>
        <w:tc>
          <w:tcPr>
            <w:tcW w:w="3969" w:type="dxa"/>
            <w:gridSpan w:val="8"/>
            <w:tcBorders>
              <w:top w:val="single" w:sz="4" w:space="0" w:color="000000"/>
              <w:left w:val="single" w:sz="4" w:space="0" w:color="000000"/>
              <w:bottom w:val="single" w:sz="2" w:space="0" w:color="000000"/>
              <w:right w:val="single" w:sz="4" w:space="0" w:color="000000"/>
            </w:tcBorders>
          </w:tcPr>
          <w:p w14:paraId="27E489E7"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Lozna 1 </w:t>
            </w:r>
          </w:p>
        </w:tc>
        <w:tc>
          <w:tcPr>
            <w:tcW w:w="2677" w:type="dxa"/>
            <w:tcBorders>
              <w:top w:val="single" w:sz="4" w:space="0" w:color="000000"/>
              <w:left w:val="single" w:sz="4" w:space="0" w:color="000000"/>
              <w:bottom w:val="single" w:sz="2" w:space="0" w:color="000000"/>
              <w:right w:val="single" w:sz="4" w:space="0" w:color="000000"/>
            </w:tcBorders>
          </w:tcPr>
          <w:p w14:paraId="058B20BD" w14:textId="031D2C3B"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2" w:space="0" w:color="000000"/>
              <w:right w:val="single" w:sz="2" w:space="0" w:color="000000"/>
            </w:tcBorders>
          </w:tcPr>
          <w:p w14:paraId="4573A084"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7FE1C815"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3FC0D492" w14:textId="77777777" w:rsidTr="00C232D7">
        <w:tblPrEx>
          <w:tblCellMar>
            <w:top w:w="0" w:type="dxa"/>
            <w:left w:w="100" w:type="dxa"/>
            <w:right w:w="58" w:type="dxa"/>
          </w:tblCellMar>
        </w:tblPrEx>
        <w:trPr>
          <w:trHeight w:val="204"/>
        </w:trPr>
        <w:tc>
          <w:tcPr>
            <w:tcW w:w="266" w:type="dxa"/>
            <w:vMerge w:val="restart"/>
            <w:tcBorders>
              <w:top w:val="nil"/>
              <w:left w:val="single" w:sz="4" w:space="0" w:color="000000"/>
              <w:bottom w:val="nil"/>
              <w:right w:val="single" w:sz="4" w:space="0" w:color="000000"/>
            </w:tcBorders>
            <w:shd w:val="clear" w:color="auto" w:fill="EAF1DD"/>
          </w:tcPr>
          <w:p w14:paraId="26B8533A"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085DAD58"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74. </w:t>
            </w:r>
          </w:p>
        </w:tc>
        <w:tc>
          <w:tcPr>
            <w:tcW w:w="3969" w:type="dxa"/>
            <w:gridSpan w:val="8"/>
            <w:tcBorders>
              <w:top w:val="single" w:sz="2" w:space="0" w:color="000000"/>
              <w:left w:val="single" w:sz="4" w:space="0" w:color="000000"/>
              <w:bottom w:val="single" w:sz="4" w:space="0" w:color="000000"/>
              <w:right w:val="single" w:sz="4" w:space="0" w:color="000000"/>
            </w:tcBorders>
          </w:tcPr>
          <w:p w14:paraId="0CCFB135"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Lozna 2 </w:t>
            </w:r>
          </w:p>
        </w:tc>
        <w:tc>
          <w:tcPr>
            <w:tcW w:w="2677" w:type="dxa"/>
            <w:tcBorders>
              <w:top w:val="single" w:sz="2" w:space="0" w:color="000000"/>
              <w:left w:val="single" w:sz="4" w:space="0" w:color="000000"/>
              <w:bottom w:val="single" w:sz="4" w:space="0" w:color="000000"/>
              <w:right w:val="single" w:sz="4" w:space="0" w:color="000000"/>
            </w:tcBorders>
          </w:tcPr>
          <w:p w14:paraId="16CE067D" w14:textId="11369706"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2" w:space="0" w:color="000000"/>
              <w:left w:val="single" w:sz="4" w:space="0" w:color="000000"/>
              <w:bottom w:val="single" w:sz="4" w:space="0" w:color="000000"/>
              <w:right w:val="single" w:sz="2" w:space="0" w:color="000000"/>
            </w:tcBorders>
          </w:tcPr>
          <w:p w14:paraId="78DBA0C7"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1CB3FB6A"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68469A15"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tcPr>
          <w:p w14:paraId="63A7AE51"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32D74BFE"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75. </w:t>
            </w:r>
          </w:p>
        </w:tc>
        <w:tc>
          <w:tcPr>
            <w:tcW w:w="3969" w:type="dxa"/>
            <w:gridSpan w:val="8"/>
            <w:tcBorders>
              <w:top w:val="single" w:sz="4" w:space="0" w:color="000000"/>
              <w:left w:val="single" w:sz="4" w:space="0" w:color="000000"/>
              <w:bottom w:val="single" w:sz="4" w:space="0" w:color="000000"/>
              <w:right w:val="single" w:sz="4" w:space="0" w:color="000000"/>
            </w:tcBorders>
          </w:tcPr>
          <w:p w14:paraId="088B1EB3"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Stupice </w:t>
            </w:r>
          </w:p>
        </w:tc>
        <w:tc>
          <w:tcPr>
            <w:tcW w:w="2677" w:type="dxa"/>
            <w:tcBorders>
              <w:top w:val="single" w:sz="4" w:space="0" w:color="000000"/>
              <w:left w:val="single" w:sz="4" w:space="0" w:color="000000"/>
              <w:bottom w:val="single" w:sz="4" w:space="0" w:color="000000"/>
              <w:right w:val="single" w:sz="4" w:space="0" w:color="000000"/>
            </w:tcBorders>
          </w:tcPr>
          <w:p w14:paraId="5C25812F" w14:textId="764C6E83"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25D9BED8"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2D7B24FC"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7EBDB71C"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tcPr>
          <w:p w14:paraId="7791FCDB"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369E469C"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76. </w:t>
            </w:r>
          </w:p>
        </w:tc>
        <w:tc>
          <w:tcPr>
            <w:tcW w:w="3969" w:type="dxa"/>
            <w:gridSpan w:val="8"/>
            <w:tcBorders>
              <w:top w:val="single" w:sz="4" w:space="0" w:color="000000"/>
              <w:left w:val="single" w:sz="4" w:space="0" w:color="000000"/>
              <w:bottom w:val="single" w:sz="4" w:space="0" w:color="000000"/>
              <w:right w:val="single" w:sz="4" w:space="0" w:color="000000"/>
            </w:tcBorders>
          </w:tcPr>
          <w:p w14:paraId="71079B9F"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Petka  </w:t>
            </w:r>
          </w:p>
        </w:tc>
        <w:tc>
          <w:tcPr>
            <w:tcW w:w="2677" w:type="dxa"/>
            <w:tcBorders>
              <w:top w:val="single" w:sz="4" w:space="0" w:color="000000"/>
              <w:left w:val="single" w:sz="4" w:space="0" w:color="000000"/>
              <w:bottom w:val="single" w:sz="4" w:space="0" w:color="000000"/>
              <w:right w:val="single" w:sz="4" w:space="0" w:color="000000"/>
            </w:tcBorders>
          </w:tcPr>
          <w:p w14:paraId="4BEA1181" w14:textId="6D38844F"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6DAE6DAF"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57B2BB06"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536B8D53"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vAlign w:val="bottom"/>
          </w:tcPr>
          <w:p w14:paraId="4F269685"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16695525"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77. </w:t>
            </w:r>
          </w:p>
        </w:tc>
        <w:tc>
          <w:tcPr>
            <w:tcW w:w="3969" w:type="dxa"/>
            <w:gridSpan w:val="8"/>
            <w:tcBorders>
              <w:top w:val="single" w:sz="4" w:space="0" w:color="000000"/>
              <w:left w:val="single" w:sz="4" w:space="0" w:color="000000"/>
              <w:bottom w:val="single" w:sz="4" w:space="0" w:color="000000"/>
              <w:right w:val="single" w:sz="4" w:space="0" w:color="000000"/>
            </w:tcBorders>
          </w:tcPr>
          <w:p w14:paraId="61F42456"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Dijelovi  </w:t>
            </w:r>
          </w:p>
        </w:tc>
        <w:tc>
          <w:tcPr>
            <w:tcW w:w="2677" w:type="dxa"/>
            <w:tcBorders>
              <w:top w:val="single" w:sz="4" w:space="0" w:color="000000"/>
              <w:left w:val="single" w:sz="4" w:space="0" w:color="000000"/>
              <w:bottom w:val="single" w:sz="4" w:space="0" w:color="000000"/>
              <w:right w:val="single" w:sz="4" w:space="0" w:color="000000"/>
            </w:tcBorders>
          </w:tcPr>
          <w:p w14:paraId="6E22E469" w14:textId="2C38BA1E"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4BA182EF"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0E28EF28"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3E99AF09"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tcPr>
          <w:p w14:paraId="6019810B"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4D785F4F"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78. </w:t>
            </w:r>
          </w:p>
        </w:tc>
        <w:tc>
          <w:tcPr>
            <w:tcW w:w="3969" w:type="dxa"/>
            <w:gridSpan w:val="8"/>
            <w:tcBorders>
              <w:top w:val="single" w:sz="4" w:space="0" w:color="000000"/>
              <w:left w:val="single" w:sz="4" w:space="0" w:color="000000"/>
              <w:bottom w:val="single" w:sz="2" w:space="0" w:color="000000"/>
              <w:right w:val="single" w:sz="4" w:space="0" w:color="000000"/>
            </w:tcBorders>
          </w:tcPr>
          <w:p w14:paraId="1DED2B26"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Dijelovi 2 </w:t>
            </w:r>
          </w:p>
        </w:tc>
        <w:tc>
          <w:tcPr>
            <w:tcW w:w="2677" w:type="dxa"/>
            <w:tcBorders>
              <w:top w:val="single" w:sz="4" w:space="0" w:color="000000"/>
              <w:left w:val="single" w:sz="4" w:space="0" w:color="000000"/>
              <w:bottom w:val="single" w:sz="2" w:space="0" w:color="000000"/>
              <w:right w:val="single" w:sz="4" w:space="0" w:color="000000"/>
            </w:tcBorders>
          </w:tcPr>
          <w:p w14:paraId="2E9D154A" w14:textId="1748EEA3"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2" w:space="0" w:color="000000"/>
              <w:right w:val="single" w:sz="2" w:space="0" w:color="000000"/>
            </w:tcBorders>
          </w:tcPr>
          <w:p w14:paraId="5B469278"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3D6DF696"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4B6250C3" w14:textId="77777777" w:rsidTr="00C232D7">
        <w:tblPrEx>
          <w:tblCellMar>
            <w:top w:w="0" w:type="dxa"/>
            <w:left w:w="100" w:type="dxa"/>
            <w:right w:w="58" w:type="dxa"/>
          </w:tblCellMar>
        </w:tblPrEx>
        <w:trPr>
          <w:trHeight w:val="204"/>
        </w:trPr>
        <w:tc>
          <w:tcPr>
            <w:tcW w:w="266" w:type="dxa"/>
            <w:vMerge w:val="restart"/>
            <w:tcBorders>
              <w:top w:val="nil"/>
              <w:left w:val="single" w:sz="4" w:space="0" w:color="000000"/>
              <w:bottom w:val="nil"/>
              <w:right w:val="single" w:sz="4" w:space="0" w:color="000000"/>
            </w:tcBorders>
            <w:shd w:val="clear" w:color="auto" w:fill="EAF1DD"/>
          </w:tcPr>
          <w:p w14:paraId="28DCBE3E"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377B1F6C"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79 </w:t>
            </w:r>
          </w:p>
        </w:tc>
        <w:tc>
          <w:tcPr>
            <w:tcW w:w="3969" w:type="dxa"/>
            <w:gridSpan w:val="8"/>
            <w:tcBorders>
              <w:top w:val="single" w:sz="2" w:space="0" w:color="000000"/>
              <w:left w:val="single" w:sz="4" w:space="0" w:color="000000"/>
              <w:bottom w:val="single" w:sz="4" w:space="0" w:color="000000"/>
              <w:right w:val="single" w:sz="4" w:space="0" w:color="000000"/>
            </w:tcBorders>
          </w:tcPr>
          <w:p w14:paraId="09715658"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Kradenik  </w:t>
            </w:r>
          </w:p>
        </w:tc>
        <w:tc>
          <w:tcPr>
            <w:tcW w:w="2677" w:type="dxa"/>
            <w:tcBorders>
              <w:top w:val="single" w:sz="2" w:space="0" w:color="000000"/>
              <w:left w:val="single" w:sz="4" w:space="0" w:color="000000"/>
              <w:bottom w:val="single" w:sz="4" w:space="0" w:color="000000"/>
              <w:right w:val="single" w:sz="4" w:space="0" w:color="000000"/>
            </w:tcBorders>
          </w:tcPr>
          <w:p w14:paraId="5C0A14DB" w14:textId="63F79F9B"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2" w:space="0" w:color="000000"/>
              <w:left w:val="single" w:sz="4" w:space="0" w:color="000000"/>
              <w:bottom w:val="single" w:sz="4" w:space="0" w:color="000000"/>
              <w:right w:val="single" w:sz="2" w:space="0" w:color="000000"/>
            </w:tcBorders>
          </w:tcPr>
          <w:p w14:paraId="09CEF9D1"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64527BC0"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5A87CF90"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tcPr>
          <w:p w14:paraId="15C124C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2DACBB43"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80. </w:t>
            </w:r>
          </w:p>
        </w:tc>
        <w:tc>
          <w:tcPr>
            <w:tcW w:w="3969" w:type="dxa"/>
            <w:gridSpan w:val="8"/>
            <w:tcBorders>
              <w:top w:val="single" w:sz="4" w:space="0" w:color="000000"/>
              <w:left w:val="single" w:sz="4" w:space="0" w:color="000000"/>
              <w:bottom w:val="single" w:sz="4" w:space="0" w:color="000000"/>
              <w:right w:val="single" w:sz="4" w:space="0" w:color="000000"/>
            </w:tcBorders>
          </w:tcPr>
          <w:p w14:paraId="5698D26E"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Sipanje  </w:t>
            </w:r>
          </w:p>
        </w:tc>
        <w:tc>
          <w:tcPr>
            <w:tcW w:w="2677" w:type="dxa"/>
            <w:tcBorders>
              <w:top w:val="single" w:sz="4" w:space="0" w:color="000000"/>
              <w:left w:val="single" w:sz="4" w:space="0" w:color="000000"/>
              <w:bottom w:val="single" w:sz="4" w:space="0" w:color="000000"/>
              <w:right w:val="single" w:sz="4" w:space="0" w:color="000000"/>
            </w:tcBorders>
          </w:tcPr>
          <w:p w14:paraId="3FCD9EAD" w14:textId="2DB2E696"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4E4D2F15"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7</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0214297A"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2A017241"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tcPr>
          <w:p w14:paraId="2732A18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5C6B9D32"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81. </w:t>
            </w:r>
          </w:p>
        </w:tc>
        <w:tc>
          <w:tcPr>
            <w:tcW w:w="3969" w:type="dxa"/>
            <w:gridSpan w:val="8"/>
            <w:tcBorders>
              <w:top w:val="single" w:sz="4" w:space="0" w:color="000000"/>
              <w:left w:val="single" w:sz="4" w:space="0" w:color="000000"/>
              <w:bottom w:val="single" w:sz="4" w:space="0" w:color="000000"/>
              <w:right w:val="single" w:sz="4" w:space="0" w:color="000000"/>
            </w:tcBorders>
          </w:tcPr>
          <w:p w14:paraId="277A693F"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Sipanje 1 </w:t>
            </w:r>
          </w:p>
        </w:tc>
        <w:tc>
          <w:tcPr>
            <w:tcW w:w="2677" w:type="dxa"/>
            <w:tcBorders>
              <w:top w:val="single" w:sz="4" w:space="0" w:color="000000"/>
              <w:left w:val="single" w:sz="4" w:space="0" w:color="000000"/>
              <w:bottom w:val="single" w:sz="4" w:space="0" w:color="000000"/>
              <w:right w:val="single" w:sz="4" w:space="0" w:color="000000"/>
            </w:tcBorders>
          </w:tcPr>
          <w:p w14:paraId="1E2466D0" w14:textId="4344C3D6"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7588F3A1"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7</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21F75EED"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7953A63D"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tcPr>
          <w:p w14:paraId="1488FE62"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6693B61D"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82. </w:t>
            </w:r>
          </w:p>
        </w:tc>
        <w:tc>
          <w:tcPr>
            <w:tcW w:w="3969" w:type="dxa"/>
            <w:gridSpan w:val="8"/>
            <w:tcBorders>
              <w:top w:val="single" w:sz="4" w:space="0" w:color="000000"/>
              <w:left w:val="single" w:sz="4" w:space="0" w:color="000000"/>
              <w:bottom w:val="single" w:sz="4" w:space="0" w:color="000000"/>
              <w:right w:val="single" w:sz="4" w:space="0" w:color="000000"/>
            </w:tcBorders>
          </w:tcPr>
          <w:p w14:paraId="4BBE5F6F"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Smrdanj  </w:t>
            </w:r>
          </w:p>
        </w:tc>
        <w:tc>
          <w:tcPr>
            <w:tcW w:w="2677" w:type="dxa"/>
            <w:tcBorders>
              <w:top w:val="single" w:sz="4" w:space="0" w:color="000000"/>
              <w:left w:val="single" w:sz="4" w:space="0" w:color="000000"/>
              <w:bottom w:val="single" w:sz="4" w:space="0" w:color="000000"/>
              <w:right w:val="single" w:sz="4" w:space="0" w:color="000000"/>
            </w:tcBorders>
          </w:tcPr>
          <w:p w14:paraId="61600A8D" w14:textId="4019BD30"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3C81AC46"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40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55BAC63B"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020AECFB" w14:textId="77777777" w:rsidTr="00C232D7">
        <w:tblPrEx>
          <w:tblCellMar>
            <w:top w:w="0" w:type="dxa"/>
            <w:left w:w="100" w:type="dxa"/>
            <w:right w:w="58" w:type="dxa"/>
          </w:tblCellMar>
        </w:tblPrEx>
        <w:trPr>
          <w:trHeight w:val="203"/>
        </w:trPr>
        <w:tc>
          <w:tcPr>
            <w:tcW w:w="266" w:type="dxa"/>
            <w:vMerge/>
            <w:tcBorders>
              <w:top w:val="nil"/>
              <w:left w:val="single" w:sz="4" w:space="0" w:color="000000"/>
              <w:bottom w:val="nil"/>
              <w:right w:val="single" w:sz="4" w:space="0" w:color="000000"/>
            </w:tcBorders>
          </w:tcPr>
          <w:p w14:paraId="191D6614"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17E1C0BE"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83. </w:t>
            </w:r>
          </w:p>
        </w:tc>
        <w:tc>
          <w:tcPr>
            <w:tcW w:w="3969" w:type="dxa"/>
            <w:gridSpan w:val="8"/>
            <w:tcBorders>
              <w:top w:val="single" w:sz="4" w:space="0" w:color="000000"/>
              <w:left w:val="single" w:sz="4" w:space="0" w:color="000000"/>
              <w:bottom w:val="single" w:sz="4" w:space="0" w:color="000000"/>
              <w:right w:val="single" w:sz="4" w:space="0" w:color="000000"/>
            </w:tcBorders>
          </w:tcPr>
          <w:p w14:paraId="4AAC0AB2"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Smrdanj 1 </w:t>
            </w:r>
          </w:p>
        </w:tc>
        <w:tc>
          <w:tcPr>
            <w:tcW w:w="2677" w:type="dxa"/>
            <w:tcBorders>
              <w:top w:val="single" w:sz="4" w:space="0" w:color="000000"/>
              <w:left w:val="single" w:sz="4" w:space="0" w:color="000000"/>
              <w:bottom w:val="single" w:sz="4" w:space="0" w:color="000000"/>
              <w:right w:val="single" w:sz="4" w:space="0" w:color="000000"/>
            </w:tcBorders>
          </w:tcPr>
          <w:p w14:paraId="4523280E" w14:textId="367BA91D"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70C46F4F"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3AEF1BD1"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0A640BB3" w14:textId="77777777" w:rsidTr="00C232D7">
        <w:tblPrEx>
          <w:tblCellMar>
            <w:top w:w="0" w:type="dxa"/>
            <w:left w:w="100" w:type="dxa"/>
            <w:right w:w="58" w:type="dxa"/>
          </w:tblCellMar>
        </w:tblPrEx>
        <w:trPr>
          <w:trHeight w:val="205"/>
        </w:trPr>
        <w:tc>
          <w:tcPr>
            <w:tcW w:w="266" w:type="dxa"/>
            <w:vMerge w:val="restart"/>
            <w:tcBorders>
              <w:top w:val="nil"/>
              <w:left w:val="single" w:sz="4" w:space="0" w:color="000000"/>
              <w:bottom w:val="nil"/>
              <w:right w:val="single" w:sz="4" w:space="0" w:color="000000"/>
            </w:tcBorders>
            <w:shd w:val="clear" w:color="auto" w:fill="EAF1DD"/>
          </w:tcPr>
          <w:p w14:paraId="78321AAB"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353608E3"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84. </w:t>
            </w:r>
          </w:p>
        </w:tc>
        <w:tc>
          <w:tcPr>
            <w:tcW w:w="3969" w:type="dxa"/>
            <w:gridSpan w:val="8"/>
            <w:tcBorders>
              <w:top w:val="single" w:sz="4" w:space="0" w:color="000000"/>
              <w:left w:val="single" w:sz="4" w:space="0" w:color="000000"/>
              <w:bottom w:val="single" w:sz="4" w:space="0" w:color="000000"/>
              <w:right w:val="single" w:sz="4" w:space="0" w:color="000000"/>
            </w:tcBorders>
          </w:tcPr>
          <w:p w14:paraId="74FFB31F"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Smrdanj 2 </w:t>
            </w:r>
          </w:p>
        </w:tc>
        <w:tc>
          <w:tcPr>
            <w:tcW w:w="2677" w:type="dxa"/>
            <w:tcBorders>
              <w:top w:val="single" w:sz="4" w:space="0" w:color="000000"/>
              <w:left w:val="single" w:sz="4" w:space="0" w:color="000000"/>
              <w:bottom w:val="single" w:sz="4" w:space="0" w:color="000000"/>
              <w:right w:val="single" w:sz="4" w:space="0" w:color="000000"/>
            </w:tcBorders>
          </w:tcPr>
          <w:p w14:paraId="1087911E" w14:textId="41138CBC"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4" w:space="0" w:color="000000"/>
              <w:left w:val="single" w:sz="4" w:space="0" w:color="000000"/>
              <w:bottom w:val="single" w:sz="4" w:space="0" w:color="000000"/>
              <w:right w:val="single" w:sz="2" w:space="0" w:color="000000"/>
            </w:tcBorders>
          </w:tcPr>
          <w:p w14:paraId="3BD6F242"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401896F5"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4827AE5B" w14:textId="77777777" w:rsidTr="00C232D7">
        <w:tblPrEx>
          <w:tblCellMar>
            <w:top w:w="0" w:type="dxa"/>
            <w:left w:w="100" w:type="dxa"/>
            <w:right w:w="58" w:type="dxa"/>
          </w:tblCellMar>
        </w:tblPrEx>
        <w:trPr>
          <w:trHeight w:val="203"/>
        </w:trPr>
        <w:tc>
          <w:tcPr>
            <w:tcW w:w="266" w:type="dxa"/>
            <w:vMerge/>
            <w:tcBorders>
              <w:top w:val="nil"/>
              <w:left w:val="single" w:sz="4" w:space="0" w:color="000000"/>
              <w:bottom w:val="nil"/>
              <w:right w:val="single" w:sz="4" w:space="0" w:color="000000"/>
            </w:tcBorders>
          </w:tcPr>
          <w:p w14:paraId="3B218B9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10F44D10"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85. </w:t>
            </w:r>
          </w:p>
        </w:tc>
        <w:tc>
          <w:tcPr>
            <w:tcW w:w="3969" w:type="dxa"/>
            <w:gridSpan w:val="8"/>
            <w:tcBorders>
              <w:top w:val="single" w:sz="4" w:space="0" w:color="000000"/>
              <w:left w:val="single" w:sz="4" w:space="0" w:color="000000"/>
              <w:bottom w:val="single" w:sz="2" w:space="0" w:color="000000"/>
              <w:right w:val="single" w:sz="4" w:space="0" w:color="000000"/>
            </w:tcBorders>
          </w:tcPr>
          <w:p w14:paraId="073D1D4E"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Ličine  </w:t>
            </w:r>
          </w:p>
        </w:tc>
        <w:tc>
          <w:tcPr>
            <w:tcW w:w="2677" w:type="dxa"/>
            <w:tcBorders>
              <w:top w:val="single" w:sz="4" w:space="0" w:color="000000"/>
              <w:left w:val="single" w:sz="4" w:space="0" w:color="000000"/>
              <w:bottom w:val="single" w:sz="2" w:space="0" w:color="000000"/>
              <w:right w:val="single" w:sz="4" w:space="0" w:color="000000"/>
            </w:tcBorders>
          </w:tcPr>
          <w:p w14:paraId="4E99FF8B" w14:textId="260AE1EA"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2" w:space="0" w:color="000000"/>
              <w:right w:val="single" w:sz="2" w:space="0" w:color="000000"/>
            </w:tcBorders>
          </w:tcPr>
          <w:p w14:paraId="04ED58E8"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40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207874DB"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4933C7AF" w14:textId="77777777" w:rsidTr="00C232D7">
        <w:tblPrEx>
          <w:tblCellMar>
            <w:top w:w="0" w:type="dxa"/>
            <w:left w:w="100" w:type="dxa"/>
            <w:right w:w="58" w:type="dxa"/>
          </w:tblCellMar>
        </w:tblPrEx>
        <w:trPr>
          <w:trHeight w:val="205"/>
        </w:trPr>
        <w:tc>
          <w:tcPr>
            <w:tcW w:w="266" w:type="dxa"/>
            <w:vMerge/>
            <w:tcBorders>
              <w:top w:val="nil"/>
              <w:left w:val="single" w:sz="4" w:space="0" w:color="000000"/>
              <w:bottom w:val="nil"/>
              <w:right w:val="single" w:sz="4" w:space="0" w:color="000000"/>
            </w:tcBorders>
          </w:tcPr>
          <w:p w14:paraId="3558A6C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2502482E"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86. </w:t>
            </w:r>
          </w:p>
        </w:tc>
        <w:tc>
          <w:tcPr>
            <w:tcW w:w="3969" w:type="dxa"/>
            <w:gridSpan w:val="8"/>
            <w:tcBorders>
              <w:top w:val="single" w:sz="2" w:space="0" w:color="000000"/>
              <w:left w:val="single" w:sz="4" w:space="0" w:color="000000"/>
              <w:bottom w:val="single" w:sz="4" w:space="0" w:color="000000"/>
              <w:right w:val="single" w:sz="4" w:space="0" w:color="000000"/>
            </w:tcBorders>
          </w:tcPr>
          <w:p w14:paraId="6397CF2C"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Staro selo </w:t>
            </w:r>
          </w:p>
        </w:tc>
        <w:tc>
          <w:tcPr>
            <w:tcW w:w="2677" w:type="dxa"/>
            <w:tcBorders>
              <w:top w:val="single" w:sz="2" w:space="0" w:color="000000"/>
              <w:left w:val="single" w:sz="4" w:space="0" w:color="000000"/>
              <w:bottom w:val="single" w:sz="4" w:space="0" w:color="000000"/>
              <w:right w:val="single" w:sz="4" w:space="0" w:color="000000"/>
            </w:tcBorders>
          </w:tcPr>
          <w:p w14:paraId="51F3A93E" w14:textId="0A898AC7"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2" w:space="0" w:color="000000"/>
              <w:left w:val="single" w:sz="4" w:space="0" w:color="000000"/>
              <w:bottom w:val="single" w:sz="4" w:space="0" w:color="000000"/>
              <w:right w:val="single" w:sz="2" w:space="0" w:color="000000"/>
            </w:tcBorders>
          </w:tcPr>
          <w:p w14:paraId="0BB09CB3"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11782518"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7A23B1BE"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vAlign w:val="bottom"/>
          </w:tcPr>
          <w:p w14:paraId="628066BA"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72F1EBD2"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87. </w:t>
            </w:r>
          </w:p>
        </w:tc>
        <w:tc>
          <w:tcPr>
            <w:tcW w:w="3969" w:type="dxa"/>
            <w:gridSpan w:val="8"/>
            <w:tcBorders>
              <w:top w:val="single" w:sz="4" w:space="0" w:color="000000"/>
              <w:left w:val="single" w:sz="4" w:space="0" w:color="000000"/>
              <w:bottom w:val="single" w:sz="4" w:space="0" w:color="000000"/>
              <w:right w:val="single" w:sz="4" w:space="0" w:color="000000"/>
            </w:tcBorders>
          </w:tcPr>
          <w:p w14:paraId="45F0D9F7"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Petrovo brdo </w:t>
            </w:r>
          </w:p>
        </w:tc>
        <w:tc>
          <w:tcPr>
            <w:tcW w:w="2677" w:type="dxa"/>
            <w:tcBorders>
              <w:top w:val="single" w:sz="4" w:space="0" w:color="000000"/>
              <w:left w:val="single" w:sz="4" w:space="0" w:color="000000"/>
              <w:bottom w:val="single" w:sz="4" w:space="0" w:color="000000"/>
              <w:right w:val="single" w:sz="4" w:space="0" w:color="000000"/>
            </w:tcBorders>
          </w:tcPr>
          <w:p w14:paraId="43E6AA2D" w14:textId="1A307C2B"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031B6B33"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4DEC37C0"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2143C3AC"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tcPr>
          <w:p w14:paraId="4666B392"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6D03B117"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88. </w:t>
            </w:r>
          </w:p>
        </w:tc>
        <w:tc>
          <w:tcPr>
            <w:tcW w:w="3969" w:type="dxa"/>
            <w:gridSpan w:val="8"/>
            <w:tcBorders>
              <w:top w:val="single" w:sz="4" w:space="0" w:color="000000"/>
              <w:left w:val="single" w:sz="4" w:space="0" w:color="000000"/>
              <w:bottom w:val="single" w:sz="4" w:space="0" w:color="000000"/>
              <w:right w:val="single" w:sz="4" w:space="0" w:color="000000"/>
            </w:tcBorders>
          </w:tcPr>
          <w:p w14:paraId="41ADC361"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Sušica  </w:t>
            </w:r>
          </w:p>
        </w:tc>
        <w:tc>
          <w:tcPr>
            <w:tcW w:w="2677" w:type="dxa"/>
            <w:tcBorders>
              <w:top w:val="single" w:sz="4" w:space="0" w:color="000000"/>
              <w:left w:val="single" w:sz="4" w:space="0" w:color="000000"/>
              <w:bottom w:val="single" w:sz="4" w:space="0" w:color="000000"/>
              <w:right w:val="single" w:sz="4" w:space="0" w:color="000000"/>
            </w:tcBorders>
          </w:tcPr>
          <w:p w14:paraId="422D3C2D" w14:textId="51183AB0"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5C6A5F51"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77D77F83"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00CED55E"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tcPr>
          <w:p w14:paraId="3FB6535C"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50A8BAE6"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89. </w:t>
            </w:r>
          </w:p>
        </w:tc>
        <w:tc>
          <w:tcPr>
            <w:tcW w:w="3969" w:type="dxa"/>
            <w:gridSpan w:val="8"/>
            <w:tcBorders>
              <w:top w:val="single" w:sz="4" w:space="0" w:color="000000"/>
              <w:left w:val="single" w:sz="4" w:space="0" w:color="000000"/>
              <w:bottom w:val="single" w:sz="4" w:space="0" w:color="000000"/>
              <w:right w:val="single" w:sz="4" w:space="0" w:color="000000"/>
            </w:tcBorders>
          </w:tcPr>
          <w:p w14:paraId="7416F885"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Crhaljsko brdo </w:t>
            </w:r>
          </w:p>
        </w:tc>
        <w:tc>
          <w:tcPr>
            <w:tcW w:w="2677" w:type="dxa"/>
            <w:tcBorders>
              <w:top w:val="single" w:sz="4" w:space="0" w:color="000000"/>
              <w:left w:val="single" w:sz="4" w:space="0" w:color="000000"/>
              <w:bottom w:val="single" w:sz="4" w:space="0" w:color="000000"/>
              <w:right w:val="single" w:sz="4" w:space="0" w:color="000000"/>
            </w:tcBorders>
          </w:tcPr>
          <w:p w14:paraId="304906E5" w14:textId="29904D34"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7C9A4D57"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4695EDC1"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4151E06A" w14:textId="77777777" w:rsidTr="00C232D7">
        <w:tblPrEx>
          <w:tblCellMar>
            <w:top w:w="0" w:type="dxa"/>
            <w:left w:w="100" w:type="dxa"/>
            <w:right w:w="58" w:type="dxa"/>
          </w:tblCellMar>
        </w:tblPrEx>
        <w:trPr>
          <w:trHeight w:val="203"/>
        </w:trPr>
        <w:tc>
          <w:tcPr>
            <w:tcW w:w="266" w:type="dxa"/>
            <w:vMerge/>
            <w:tcBorders>
              <w:top w:val="nil"/>
              <w:left w:val="single" w:sz="4" w:space="0" w:color="000000"/>
              <w:bottom w:val="nil"/>
              <w:right w:val="single" w:sz="4" w:space="0" w:color="000000"/>
            </w:tcBorders>
          </w:tcPr>
          <w:p w14:paraId="19DC18DE"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2BB2CC73"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90. </w:t>
            </w:r>
          </w:p>
        </w:tc>
        <w:tc>
          <w:tcPr>
            <w:tcW w:w="3969" w:type="dxa"/>
            <w:gridSpan w:val="8"/>
            <w:tcBorders>
              <w:top w:val="single" w:sz="4" w:space="0" w:color="000000"/>
              <w:left w:val="single" w:sz="4" w:space="0" w:color="000000"/>
              <w:bottom w:val="single" w:sz="2" w:space="0" w:color="000000"/>
              <w:right w:val="single" w:sz="4" w:space="0" w:color="000000"/>
            </w:tcBorders>
          </w:tcPr>
          <w:p w14:paraId="055A27EB"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Put Goduša </w:t>
            </w:r>
          </w:p>
        </w:tc>
        <w:tc>
          <w:tcPr>
            <w:tcW w:w="2677" w:type="dxa"/>
            <w:tcBorders>
              <w:top w:val="single" w:sz="4" w:space="0" w:color="000000"/>
              <w:left w:val="single" w:sz="4" w:space="0" w:color="000000"/>
              <w:bottom w:val="single" w:sz="2" w:space="0" w:color="000000"/>
              <w:right w:val="single" w:sz="4" w:space="0" w:color="000000"/>
            </w:tcBorders>
          </w:tcPr>
          <w:p w14:paraId="6EBA0CD1" w14:textId="1FEE8083"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2" w:space="0" w:color="000000"/>
              <w:right w:val="single" w:sz="2" w:space="0" w:color="000000"/>
            </w:tcBorders>
          </w:tcPr>
          <w:p w14:paraId="728A9716"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49D31177"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6BBECDCA" w14:textId="77777777" w:rsidTr="00C232D7">
        <w:tblPrEx>
          <w:tblCellMar>
            <w:top w:w="0" w:type="dxa"/>
            <w:left w:w="100" w:type="dxa"/>
            <w:right w:w="58" w:type="dxa"/>
          </w:tblCellMar>
        </w:tblPrEx>
        <w:trPr>
          <w:trHeight w:val="205"/>
        </w:trPr>
        <w:tc>
          <w:tcPr>
            <w:tcW w:w="266" w:type="dxa"/>
            <w:vMerge/>
            <w:tcBorders>
              <w:top w:val="nil"/>
              <w:left w:val="single" w:sz="4" w:space="0" w:color="000000"/>
              <w:bottom w:val="nil"/>
              <w:right w:val="single" w:sz="4" w:space="0" w:color="000000"/>
            </w:tcBorders>
          </w:tcPr>
          <w:p w14:paraId="7D1B28B5"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15F59EAB"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91. </w:t>
            </w:r>
          </w:p>
        </w:tc>
        <w:tc>
          <w:tcPr>
            <w:tcW w:w="3969" w:type="dxa"/>
            <w:gridSpan w:val="8"/>
            <w:tcBorders>
              <w:top w:val="single" w:sz="2" w:space="0" w:color="000000"/>
              <w:left w:val="single" w:sz="4" w:space="0" w:color="000000"/>
              <w:bottom w:val="single" w:sz="4" w:space="0" w:color="000000"/>
              <w:right w:val="single" w:sz="4" w:space="0" w:color="000000"/>
            </w:tcBorders>
          </w:tcPr>
          <w:p w14:paraId="0AD4C3CA"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Kruge  </w:t>
            </w:r>
          </w:p>
        </w:tc>
        <w:tc>
          <w:tcPr>
            <w:tcW w:w="2677" w:type="dxa"/>
            <w:tcBorders>
              <w:top w:val="single" w:sz="2" w:space="0" w:color="000000"/>
              <w:left w:val="single" w:sz="4" w:space="0" w:color="000000"/>
              <w:bottom w:val="single" w:sz="4" w:space="0" w:color="000000"/>
              <w:right w:val="single" w:sz="4" w:space="0" w:color="000000"/>
            </w:tcBorders>
          </w:tcPr>
          <w:p w14:paraId="1F67E2AB" w14:textId="1BC4D30C"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2" w:space="0" w:color="000000"/>
              <w:left w:val="single" w:sz="4" w:space="0" w:color="000000"/>
              <w:bottom w:val="single" w:sz="4" w:space="0" w:color="000000"/>
              <w:right w:val="single" w:sz="2" w:space="0" w:color="000000"/>
            </w:tcBorders>
          </w:tcPr>
          <w:p w14:paraId="6F6F7C21"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22F9FF2B"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774A2A6C" w14:textId="77777777" w:rsidTr="00C232D7">
        <w:tblPrEx>
          <w:tblCellMar>
            <w:top w:w="0" w:type="dxa"/>
            <w:left w:w="100" w:type="dxa"/>
            <w:right w:w="58" w:type="dxa"/>
          </w:tblCellMar>
        </w:tblPrEx>
        <w:trPr>
          <w:trHeight w:val="203"/>
        </w:trPr>
        <w:tc>
          <w:tcPr>
            <w:tcW w:w="266" w:type="dxa"/>
            <w:vMerge/>
            <w:tcBorders>
              <w:top w:val="nil"/>
              <w:left w:val="single" w:sz="4" w:space="0" w:color="000000"/>
              <w:bottom w:val="nil"/>
              <w:right w:val="single" w:sz="4" w:space="0" w:color="000000"/>
            </w:tcBorders>
          </w:tcPr>
          <w:p w14:paraId="11E9AEEE"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4CE88D58"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92. </w:t>
            </w:r>
          </w:p>
        </w:tc>
        <w:tc>
          <w:tcPr>
            <w:tcW w:w="3969" w:type="dxa"/>
            <w:gridSpan w:val="8"/>
            <w:tcBorders>
              <w:top w:val="single" w:sz="4" w:space="0" w:color="000000"/>
              <w:left w:val="single" w:sz="4" w:space="0" w:color="000000"/>
              <w:bottom w:val="single" w:sz="2" w:space="0" w:color="000000"/>
              <w:right w:val="single" w:sz="4" w:space="0" w:color="000000"/>
            </w:tcBorders>
          </w:tcPr>
          <w:p w14:paraId="10833B3E"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Mulići  </w:t>
            </w:r>
          </w:p>
        </w:tc>
        <w:tc>
          <w:tcPr>
            <w:tcW w:w="2677" w:type="dxa"/>
            <w:tcBorders>
              <w:top w:val="single" w:sz="4" w:space="0" w:color="000000"/>
              <w:left w:val="single" w:sz="4" w:space="0" w:color="000000"/>
              <w:bottom w:val="single" w:sz="2" w:space="0" w:color="000000"/>
              <w:right w:val="single" w:sz="4" w:space="0" w:color="000000"/>
            </w:tcBorders>
          </w:tcPr>
          <w:p w14:paraId="15847DF0" w14:textId="68E12256"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2" w:space="0" w:color="000000"/>
              <w:right w:val="single" w:sz="2" w:space="0" w:color="000000"/>
            </w:tcBorders>
          </w:tcPr>
          <w:p w14:paraId="16E00D72"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2C709D2A"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05C6AD81" w14:textId="77777777" w:rsidTr="00C232D7">
        <w:tblPrEx>
          <w:tblCellMar>
            <w:top w:w="0" w:type="dxa"/>
            <w:left w:w="100" w:type="dxa"/>
            <w:right w:w="58" w:type="dxa"/>
          </w:tblCellMar>
        </w:tblPrEx>
        <w:trPr>
          <w:trHeight w:val="205"/>
        </w:trPr>
        <w:tc>
          <w:tcPr>
            <w:tcW w:w="266" w:type="dxa"/>
            <w:vMerge/>
            <w:tcBorders>
              <w:top w:val="nil"/>
              <w:left w:val="single" w:sz="4" w:space="0" w:color="000000"/>
              <w:bottom w:val="nil"/>
              <w:right w:val="single" w:sz="4" w:space="0" w:color="000000"/>
            </w:tcBorders>
          </w:tcPr>
          <w:p w14:paraId="734A6D17"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0947EEF0"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93. </w:t>
            </w:r>
          </w:p>
        </w:tc>
        <w:tc>
          <w:tcPr>
            <w:tcW w:w="3969" w:type="dxa"/>
            <w:gridSpan w:val="8"/>
            <w:tcBorders>
              <w:top w:val="single" w:sz="2" w:space="0" w:color="000000"/>
              <w:left w:val="single" w:sz="4" w:space="0" w:color="000000"/>
              <w:bottom w:val="single" w:sz="4" w:space="0" w:color="000000"/>
              <w:right w:val="single" w:sz="4" w:space="0" w:color="000000"/>
            </w:tcBorders>
          </w:tcPr>
          <w:p w14:paraId="27A6301A"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Most Brzava 1 </w:t>
            </w:r>
          </w:p>
        </w:tc>
        <w:tc>
          <w:tcPr>
            <w:tcW w:w="2677" w:type="dxa"/>
            <w:tcBorders>
              <w:top w:val="single" w:sz="2" w:space="0" w:color="000000"/>
              <w:left w:val="single" w:sz="4" w:space="0" w:color="000000"/>
              <w:bottom w:val="single" w:sz="4" w:space="0" w:color="000000"/>
              <w:right w:val="single" w:sz="4" w:space="0" w:color="000000"/>
            </w:tcBorders>
          </w:tcPr>
          <w:p w14:paraId="2D9010CA" w14:textId="1FEF392D"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2" w:space="0" w:color="000000"/>
              <w:left w:val="single" w:sz="4" w:space="0" w:color="000000"/>
              <w:bottom w:val="single" w:sz="4" w:space="0" w:color="000000"/>
              <w:right w:val="single" w:sz="2" w:space="0" w:color="000000"/>
            </w:tcBorders>
          </w:tcPr>
          <w:p w14:paraId="0AE0E9D5"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7</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717738B0"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3C8882B4"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tcPr>
          <w:p w14:paraId="31FAE131"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009DD88A"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94. </w:t>
            </w:r>
          </w:p>
        </w:tc>
        <w:tc>
          <w:tcPr>
            <w:tcW w:w="3969" w:type="dxa"/>
            <w:gridSpan w:val="8"/>
            <w:tcBorders>
              <w:top w:val="single" w:sz="4" w:space="0" w:color="000000"/>
              <w:left w:val="single" w:sz="4" w:space="0" w:color="000000"/>
              <w:bottom w:val="single" w:sz="4" w:space="0" w:color="000000"/>
              <w:right w:val="single" w:sz="4" w:space="0" w:color="000000"/>
            </w:tcBorders>
          </w:tcPr>
          <w:p w14:paraId="4288E167"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Prijelozi 1 </w:t>
            </w:r>
          </w:p>
        </w:tc>
        <w:tc>
          <w:tcPr>
            <w:tcW w:w="2677" w:type="dxa"/>
            <w:tcBorders>
              <w:top w:val="single" w:sz="4" w:space="0" w:color="000000"/>
              <w:left w:val="single" w:sz="4" w:space="0" w:color="000000"/>
              <w:bottom w:val="single" w:sz="4" w:space="0" w:color="000000"/>
              <w:right w:val="single" w:sz="4" w:space="0" w:color="000000"/>
            </w:tcBorders>
          </w:tcPr>
          <w:p w14:paraId="183BF9E6" w14:textId="37713775"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4FEEA473"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1127BCF3"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56A758A1" w14:textId="77777777" w:rsidTr="00C232D7">
        <w:tblPrEx>
          <w:tblCellMar>
            <w:top w:w="0" w:type="dxa"/>
            <w:left w:w="100" w:type="dxa"/>
            <w:right w:w="58" w:type="dxa"/>
          </w:tblCellMar>
        </w:tblPrEx>
        <w:trPr>
          <w:trHeight w:val="203"/>
        </w:trPr>
        <w:tc>
          <w:tcPr>
            <w:tcW w:w="266" w:type="dxa"/>
            <w:vMerge/>
            <w:tcBorders>
              <w:top w:val="nil"/>
              <w:left w:val="single" w:sz="4" w:space="0" w:color="000000"/>
              <w:bottom w:val="nil"/>
              <w:right w:val="single" w:sz="4" w:space="0" w:color="000000"/>
            </w:tcBorders>
            <w:vAlign w:val="bottom"/>
          </w:tcPr>
          <w:p w14:paraId="5C0B17B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3099D000"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95. </w:t>
            </w:r>
          </w:p>
        </w:tc>
        <w:tc>
          <w:tcPr>
            <w:tcW w:w="3969" w:type="dxa"/>
            <w:gridSpan w:val="8"/>
            <w:tcBorders>
              <w:top w:val="single" w:sz="4" w:space="0" w:color="000000"/>
              <w:left w:val="single" w:sz="4" w:space="0" w:color="000000"/>
              <w:bottom w:val="single" w:sz="4" w:space="0" w:color="000000"/>
              <w:right w:val="single" w:sz="4" w:space="0" w:color="000000"/>
            </w:tcBorders>
          </w:tcPr>
          <w:p w14:paraId="17CD67E5"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Prijelozi 2 </w:t>
            </w:r>
          </w:p>
        </w:tc>
        <w:tc>
          <w:tcPr>
            <w:tcW w:w="2677" w:type="dxa"/>
            <w:tcBorders>
              <w:top w:val="single" w:sz="4" w:space="0" w:color="000000"/>
              <w:left w:val="single" w:sz="4" w:space="0" w:color="000000"/>
              <w:bottom w:val="single" w:sz="4" w:space="0" w:color="000000"/>
              <w:right w:val="single" w:sz="4" w:space="0" w:color="000000"/>
            </w:tcBorders>
          </w:tcPr>
          <w:p w14:paraId="3E177224" w14:textId="0D69619E"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2482A087"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42551F87"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0E938D54" w14:textId="77777777" w:rsidTr="00C232D7">
        <w:tblPrEx>
          <w:tblCellMar>
            <w:top w:w="0" w:type="dxa"/>
            <w:left w:w="100" w:type="dxa"/>
            <w:right w:w="58" w:type="dxa"/>
          </w:tblCellMar>
        </w:tblPrEx>
        <w:trPr>
          <w:trHeight w:val="205"/>
        </w:trPr>
        <w:tc>
          <w:tcPr>
            <w:tcW w:w="266" w:type="dxa"/>
            <w:vMerge w:val="restart"/>
            <w:tcBorders>
              <w:top w:val="nil"/>
              <w:left w:val="single" w:sz="4" w:space="0" w:color="000000"/>
              <w:bottom w:val="nil"/>
              <w:right w:val="single" w:sz="4" w:space="0" w:color="000000"/>
            </w:tcBorders>
            <w:shd w:val="clear" w:color="auto" w:fill="EAF1DD"/>
          </w:tcPr>
          <w:p w14:paraId="6D00097A"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35788A3A"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96. </w:t>
            </w:r>
          </w:p>
        </w:tc>
        <w:tc>
          <w:tcPr>
            <w:tcW w:w="3969" w:type="dxa"/>
            <w:gridSpan w:val="8"/>
            <w:tcBorders>
              <w:top w:val="single" w:sz="4" w:space="0" w:color="000000"/>
              <w:left w:val="single" w:sz="4" w:space="0" w:color="000000"/>
              <w:bottom w:val="single" w:sz="4" w:space="0" w:color="000000"/>
              <w:right w:val="single" w:sz="4" w:space="0" w:color="000000"/>
            </w:tcBorders>
          </w:tcPr>
          <w:p w14:paraId="6C5BA51D"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Brzava  </w:t>
            </w:r>
          </w:p>
        </w:tc>
        <w:tc>
          <w:tcPr>
            <w:tcW w:w="2677" w:type="dxa"/>
            <w:tcBorders>
              <w:top w:val="single" w:sz="4" w:space="0" w:color="000000"/>
              <w:left w:val="single" w:sz="4" w:space="0" w:color="000000"/>
              <w:bottom w:val="single" w:sz="4" w:space="0" w:color="000000"/>
              <w:right w:val="single" w:sz="4" w:space="0" w:color="000000"/>
            </w:tcBorders>
          </w:tcPr>
          <w:p w14:paraId="12DA45C5" w14:textId="1ED2A345"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5AB35056"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2C1DCECE"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59781BFB" w14:textId="77777777" w:rsidTr="00C232D7">
        <w:tblPrEx>
          <w:tblCellMar>
            <w:top w:w="0" w:type="dxa"/>
            <w:left w:w="100" w:type="dxa"/>
            <w:right w:w="58" w:type="dxa"/>
          </w:tblCellMar>
        </w:tblPrEx>
        <w:trPr>
          <w:trHeight w:val="203"/>
        </w:trPr>
        <w:tc>
          <w:tcPr>
            <w:tcW w:w="266" w:type="dxa"/>
            <w:vMerge/>
            <w:tcBorders>
              <w:top w:val="nil"/>
              <w:left w:val="single" w:sz="4" w:space="0" w:color="000000"/>
              <w:bottom w:val="nil"/>
              <w:right w:val="single" w:sz="4" w:space="0" w:color="000000"/>
            </w:tcBorders>
          </w:tcPr>
          <w:p w14:paraId="4DA196D9"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4B24D9AC"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97. </w:t>
            </w:r>
          </w:p>
        </w:tc>
        <w:tc>
          <w:tcPr>
            <w:tcW w:w="3969" w:type="dxa"/>
            <w:gridSpan w:val="8"/>
            <w:tcBorders>
              <w:top w:val="single" w:sz="4" w:space="0" w:color="000000"/>
              <w:left w:val="single" w:sz="4" w:space="0" w:color="000000"/>
              <w:bottom w:val="single" w:sz="2" w:space="0" w:color="000000"/>
              <w:right w:val="single" w:sz="4" w:space="0" w:color="000000"/>
            </w:tcBorders>
          </w:tcPr>
          <w:p w14:paraId="5FBF8954"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Medaševine  </w:t>
            </w:r>
          </w:p>
        </w:tc>
        <w:tc>
          <w:tcPr>
            <w:tcW w:w="2677" w:type="dxa"/>
            <w:tcBorders>
              <w:top w:val="single" w:sz="4" w:space="0" w:color="000000"/>
              <w:left w:val="single" w:sz="4" w:space="0" w:color="000000"/>
              <w:bottom w:val="single" w:sz="2" w:space="0" w:color="000000"/>
              <w:right w:val="single" w:sz="4" w:space="0" w:color="000000"/>
            </w:tcBorders>
          </w:tcPr>
          <w:p w14:paraId="5204404B" w14:textId="11CE62BD"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2" w:space="0" w:color="000000"/>
              <w:right w:val="single" w:sz="2" w:space="0" w:color="000000"/>
            </w:tcBorders>
          </w:tcPr>
          <w:p w14:paraId="082362DA"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5094045C"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155630EE" w14:textId="77777777" w:rsidTr="00C232D7">
        <w:tblPrEx>
          <w:tblCellMar>
            <w:top w:w="0" w:type="dxa"/>
            <w:left w:w="100" w:type="dxa"/>
            <w:right w:w="58" w:type="dxa"/>
          </w:tblCellMar>
        </w:tblPrEx>
        <w:trPr>
          <w:trHeight w:val="205"/>
        </w:trPr>
        <w:tc>
          <w:tcPr>
            <w:tcW w:w="266" w:type="dxa"/>
            <w:vMerge/>
            <w:tcBorders>
              <w:top w:val="nil"/>
              <w:left w:val="single" w:sz="4" w:space="0" w:color="000000"/>
              <w:bottom w:val="nil"/>
              <w:right w:val="single" w:sz="4" w:space="0" w:color="000000"/>
            </w:tcBorders>
          </w:tcPr>
          <w:p w14:paraId="6FD64EDD"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0B9C5698"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98. </w:t>
            </w:r>
          </w:p>
        </w:tc>
        <w:tc>
          <w:tcPr>
            <w:tcW w:w="3969" w:type="dxa"/>
            <w:gridSpan w:val="8"/>
            <w:tcBorders>
              <w:top w:val="single" w:sz="2" w:space="0" w:color="000000"/>
              <w:left w:val="single" w:sz="4" w:space="0" w:color="000000"/>
              <w:bottom w:val="single" w:sz="4" w:space="0" w:color="000000"/>
              <w:right w:val="single" w:sz="4" w:space="0" w:color="000000"/>
            </w:tcBorders>
          </w:tcPr>
          <w:p w14:paraId="07B2C4B0"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Put Laholo  </w:t>
            </w:r>
          </w:p>
        </w:tc>
        <w:tc>
          <w:tcPr>
            <w:tcW w:w="2677" w:type="dxa"/>
            <w:tcBorders>
              <w:top w:val="single" w:sz="2" w:space="0" w:color="000000"/>
              <w:left w:val="single" w:sz="4" w:space="0" w:color="000000"/>
              <w:bottom w:val="single" w:sz="4" w:space="0" w:color="000000"/>
              <w:right w:val="single" w:sz="4" w:space="0" w:color="000000"/>
            </w:tcBorders>
          </w:tcPr>
          <w:p w14:paraId="703041A4" w14:textId="35AEA9E1"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2" w:space="0" w:color="000000"/>
              <w:left w:val="single" w:sz="4" w:space="0" w:color="000000"/>
              <w:bottom w:val="single" w:sz="4" w:space="0" w:color="000000"/>
              <w:right w:val="single" w:sz="2" w:space="0" w:color="000000"/>
            </w:tcBorders>
          </w:tcPr>
          <w:p w14:paraId="06532924"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3F5E0798"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2F1553A4" w14:textId="77777777" w:rsidTr="00C232D7">
        <w:tblPrEx>
          <w:tblCellMar>
            <w:top w:w="0" w:type="dxa"/>
            <w:left w:w="100" w:type="dxa"/>
            <w:right w:w="58" w:type="dxa"/>
          </w:tblCellMar>
        </w:tblPrEx>
        <w:trPr>
          <w:trHeight w:val="203"/>
        </w:trPr>
        <w:tc>
          <w:tcPr>
            <w:tcW w:w="266" w:type="dxa"/>
            <w:vMerge/>
            <w:tcBorders>
              <w:top w:val="nil"/>
              <w:left w:val="single" w:sz="4" w:space="0" w:color="000000"/>
              <w:bottom w:val="nil"/>
              <w:right w:val="single" w:sz="4" w:space="0" w:color="000000"/>
            </w:tcBorders>
          </w:tcPr>
          <w:p w14:paraId="269FE4B7"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5F161A8B"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99. </w:t>
            </w:r>
          </w:p>
        </w:tc>
        <w:tc>
          <w:tcPr>
            <w:tcW w:w="3969" w:type="dxa"/>
            <w:gridSpan w:val="8"/>
            <w:tcBorders>
              <w:top w:val="single" w:sz="4" w:space="0" w:color="000000"/>
              <w:left w:val="single" w:sz="4" w:space="0" w:color="000000"/>
              <w:bottom w:val="single" w:sz="2" w:space="0" w:color="000000"/>
              <w:right w:val="single" w:sz="4" w:space="0" w:color="000000"/>
            </w:tcBorders>
          </w:tcPr>
          <w:p w14:paraId="6E052D12"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Put Laholo 1 </w:t>
            </w:r>
          </w:p>
        </w:tc>
        <w:tc>
          <w:tcPr>
            <w:tcW w:w="2677" w:type="dxa"/>
            <w:tcBorders>
              <w:top w:val="single" w:sz="4" w:space="0" w:color="000000"/>
              <w:left w:val="single" w:sz="4" w:space="0" w:color="000000"/>
              <w:bottom w:val="single" w:sz="2" w:space="0" w:color="000000"/>
              <w:right w:val="single" w:sz="4" w:space="0" w:color="000000"/>
            </w:tcBorders>
          </w:tcPr>
          <w:p w14:paraId="579EFEED" w14:textId="08B7DF94"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2" w:space="0" w:color="000000"/>
              <w:right w:val="single" w:sz="2" w:space="0" w:color="000000"/>
            </w:tcBorders>
          </w:tcPr>
          <w:p w14:paraId="09A6BFD0"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5D194FC0"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608801B7" w14:textId="77777777" w:rsidTr="00C232D7">
        <w:tblPrEx>
          <w:tblCellMar>
            <w:top w:w="0" w:type="dxa"/>
            <w:left w:w="100" w:type="dxa"/>
            <w:right w:w="58" w:type="dxa"/>
          </w:tblCellMar>
        </w:tblPrEx>
        <w:trPr>
          <w:trHeight w:val="204"/>
        </w:trPr>
        <w:tc>
          <w:tcPr>
            <w:tcW w:w="266" w:type="dxa"/>
            <w:vMerge/>
            <w:tcBorders>
              <w:top w:val="nil"/>
              <w:left w:val="single" w:sz="4" w:space="0" w:color="000000"/>
              <w:bottom w:val="nil"/>
              <w:right w:val="single" w:sz="4" w:space="0" w:color="000000"/>
            </w:tcBorders>
          </w:tcPr>
          <w:p w14:paraId="60367AB7"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250EAAE7"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100. </w:t>
            </w:r>
          </w:p>
        </w:tc>
        <w:tc>
          <w:tcPr>
            <w:tcW w:w="3969" w:type="dxa"/>
            <w:gridSpan w:val="8"/>
            <w:tcBorders>
              <w:top w:val="single" w:sz="2" w:space="0" w:color="000000"/>
              <w:left w:val="single" w:sz="4" w:space="0" w:color="000000"/>
              <w:bottom w:val="single" w:sz="4" w:space="0" w:color="000000"/>
              <w:right w:val="single" w:sz="4" w:space="0" w:color="000000"/>
            </w:tcBorders>
          </w:tcPr>
          <w:p w14:paraId="3EBF3363"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Put Laholo 2 </w:t>
            </w:r>
          </w:p>
        </w:tc>
        <w:tc>
          <w:tcPr>
            <w:tcW w:w="2677" w:type="dxa"/>
            <w:tcBorders>
              <w:top w:val="single" w:sz="2" w:space="0" w:color="000000"/>
              <w:left w:val="single" w:sz="4" w:space="0" w:color="000000"/>
              <w:bottom w:val="single" w:sz="4" w:space="0" w:color="000000"/>
              <w:right w:val="single" w:sz="4" w:space="0" w:color="000000"/>
            </w:tcBorders>
          </w:tcPr>
          <w:p w14:paraId="48234424" w14:textId="1108E525"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2" w:space="0" w:color="000000"/>
              <w:left w:val="single" w:sz="4" w:space="0" w:color="000000"/>
              <w:bottom w:val="single" w:sz="4" w:space="0" w:color="000000"/>
              <w:right w:val="single" w:sz="2" w:space="0" w:color="000000"/>
            </w:tcBorders>
          </w:tcPr>
          <w:p w14:paraId="0BF9F77E"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0F984B28"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6E1E326B" w14:textId="77777777" w:rsidTr="00C232D7">
        <w:tblPrEx>
          <w:tblCellMar>
            <w:top w:w="0" w:type="dxa"/>
            <w:left w:w="100" w:type="dxa"/>
            <w:right w:w="58" w:type="dxa"/>
          </w:tblCellMar>
        </w:tblPrEx>
        <w:trPr>
          <w:trHeight w:val="205"/>
        </w:trPr>
        <w:tc>
          <w:tcPr>
            <w:tcW w:w="266" w:type="dxa"/>
            <w:vMerge w:val="restart"/>
            <w:tcBorders>
              <w:top w:val="nil"/>
              <w:left w:val="single" w:sz="4" w:space="0" w:color="000000"/>
              <w:right w:val="single" w:sz="4" w:space="0" w:color="000000"/>
            </w:tcBorders>
            <w:shd w:val="clear" w:color="auto" w:fill="EAF1DD"/>
          </w:tcPr>
          <w:p w14:paraId="5CB6AE8F"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67537F0F"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101. </w:t>
            </w:r>
          </w:p>
        </w:tc>
        <w:tc>
          <w:tcPr>
            <w:tcW w:w="3969" w:type="dxa"/>
            <w:gridSpan w:val="8"/>
            <w:tcBorders>
              <w:top w:val="single" w:sz="4" w:space="0" w:color="000000"/>
              <w:left w:val="single" w:sz="4" w:space="0" w:color="000000"/>
              <w:bottom w:val="single" w:sz="4" w:space="0" w:color="000000"/>
              <w:right w:val="single" w:sz="4" w:space="0" w:color="000000"/>
            </w:tcBorders>
          </w:tcPr>
          <w:p w14:paraId="093E5DDC"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Put Raklja  </w:t>
            </w:r>
          </w:p>
        </w:tc>
        <w:tc>
          <w:tcPr>
            <w:tcW w:w="2677" w:type="dxa"/>
            <w:tcBorders>
              <w:top w:val="single" w:sz="4" w:space="0" w:color="000000"/>
              <w:left w:val="single" w:sz="4" w:space="0" w:color="000000"/>
              <w:bottom w:val="single" w:sz="4" w:space="0" w:color="000000"/>
              <w:right w:val="single" w:sz="4" w:space="0" w:color="000000"/>
            </w:tcBorders>
          </w:tcPr>
          <w:p w14:paraId="38A37A9E" w14:textId="6F23ED47"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72A3D3FD"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7</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120893E3"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0C2D3C00" w14:textId="77777777" w:rsidTr="00C232D7">
        <w:tblPrEx>
          <w:tblCellMar>
            <w:top w:w="0" w:type="dxa"/>
            <w:left w:w="100" w:type="dxa"/>
            <w:right w:w="58" w:type="dxa"/>
          </w:tblCellMar>
        </w:tblPrEx>
        <w:trPr>
          <w:trHeight w:val="202"/>
        </w:trPr>
        <w:tc>
          <w:tcPr>
            <w:tcW w:w="266" w:type="dxa"/>
            <w:vMerge/>
            <w:tcBorders>
              <w:left w:val="single" w:sz="4" w:space="0" w:color="000000"/>
              <w:right w:val="single" w:sz="4" w:space="0" w:color="000000"/>
            </w:tcBorders>
            <w:vAlign w:val="bottom"/>
          </w:tcPr>
          <w:p w14:paraId="1781339A"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52A550D1"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102. </w:t>
            </w:r>
          </w:p>
        </w:tc>
        <w:tc>
          <w:tcPr>
            <w:tcW w:w="3969" w:type="dxa"/>
            <w:gridSpan w:val="8"/>
            <w:tcBorders>
              <w:top w:val="single" w:sz="4" w:space="0" w:color="000000"/>
              <w:left w:val="single" w:sz="4" w:space="0" w:color="000000"/>
              <w:bottom w:val="single" w:sz="4" w:space="0" w:color="000000"/>
              <w:right w:val="single" w:sz="4" w:space="0" w:color="000000"/>
            </w:tcBorders>
          </w:tcPr>
          <w:p w14:paraId="2B1A52C5"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Kljunača  </w:t>
            </w:r>
          </w:p>
        </w:tc>
        <w:tc>
          <w:tcPr>
            <w:tcW w:w="2677" w:type="dxa"/>
            <w:tcBorders>
              <w:top w:val="single" w:sz="4" w:space="0" w:color="000000"/>
              <w:left w:val="single" w:sz="4" w:space="0" w:color="000000"/>
              <w:bottom w:val="single" w:sz="4" w:space="0" w:color="000000"/>
              <w:right w:val="single" w:sz="4" w:space="0" w:color="000000"/>
            </w:tcBorders>
          </w:tcPr>
          <w:p w14:paraId="2BE6182C" w14:textId="71E07E3D"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353A2A33"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1371B4AE"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0CF60715" w14:textId="77777777" w:rsidTr="00C232D7">
        <w:tblPrEx>
          <w:tblCellMar>
            <w:top w:w="0" w:type="dxa"/>
            <w:left w:w="100" w:type="dxa"/>
            <w:right w:w="58" w:type="dxa"/>
          </w:tblCellMar>
        </w:tblPrEx>
        <w:trPr>
          <w:trHeight w:val="206"/>
        </w:trPr>
        <w:tc>
          <w:tcPr>
            <w:tcW w:w="266" w:type="dxa"/>
            <w:vMerge/>
            <w:tcBorders>
              <w:left w:val="single" w:sz="4" w:space="0" w:color="000000"/>
              <w:right w:val="single" w:sz="4" w:space="0" w:color="000000"/>
            </w:tcBorders>
          </w:tcPr>
          <w:p w14:paraId="3E6375BC"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08A88DCF"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103. </w:t>
            </w:r>
          </w:p>
        </w:tc>
        <w:tc>
          <w:tcPr>
            <w:tcW w:w="3969" w:type="dxa"/>
            <w:gridSpan w:val="8"/>
            <w:tcBorders>
              <w:top w:val="single" w:sz="4" w:space="0" w:color="000000"/>
              <w:left w:val="single" w:sz="4" w:space="0" w:color="000000"/>
              <w:bottom w:val="single" w:sz="4" w:space="0" w:color="000000"/>
              <w:right w:val="single" w:sz="4" w:space="0" w:color="000000"/>
            </w:tcBorders>
          </w:tcPr>
          <w:p w14:paraId="4554EFE0"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Kljunača 1 </w:t>
            </w:r>
          </w:p>
        </w:tc>
        <w:tc>
          <w:tcPr>
            <w:tcW w:w="2677" w:type="dxa"/>
            <w:tcBorders>
              <w:top w:val="single" w:sz="4" w:space="0" w:color="000000"/>
              <w:left w:val="single" w:sz="4" w:space="0" w:color="000000"/>
              <w:bottom w:val="single" w:sz="4" w:space="0" w:color="000000"/>
              <w:right w:val="single" w:sz="4" w:space="0" w:color="000000"/>
            </w:tcBorders>
          </w:tcPr>
          <w:p w14:paraId="66834E9F" w14:textId="4C57E33E"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566C1954"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0C14971E"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471B28BD" w14:textId="77777777" w:rsidTr="00C232D7">
        <w:tblPrEx>
          <w:tblCellMar>
            <w:top w:w="0" w:type="dxa"/>
            <w:left w:w="100" w:type="dxa"/>
            <w:right w:w="58" w:type="dxa"/>
          </w:tblCellMar>
        </w:tblPrEx>
        <w:trPr>
          <w:trHeight w:val="203"/>
        </w:trPr>
        <w:tc>
          <w:tcPr>
            <w:tcW w:w="266" w:type="dxa"/>
            <w:vMerge/>
            <w:tcBorders>
              <w:left w:val="single" w:sz="4" w:space="0" w:color="000000"/>
              <w:right w:val="single" w:sz="4" w:space="0" w:color="000000"/>
            </w:tcBorders>
            <w:vAlign w:val="bottom"/>
          </w:tcPr>
          <w:p w14:paraId="557A7869"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566A2E6F"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104. </w:t>
            </w:r>
          </w:p>
        </w:tc>
        <w:tc>
          <w:tcPr>
            <w:tcW w:w="3969" w:type="dxa"/>
            <w:gridSpan w:val="8"/>
            <w:tcBorders>
              <w:top w:val="single" w:sz="4" w:space="0" w:color="000000"/>
              <w:left w:val="single" w:sz="4" w:space="0" w:color="000000"/>
              <w:bottom w:val="single" w:sz="2" w:space="0" w:color="000000"/>
              <w:right w:val="single" w:sz="4" w:space="0" w:color="000000"/>
            </w:tcBorders>
          </w:tcPr>
          <w:p w14:paraId="42842D71"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Kljunača 2 </w:t>
            </w:r>
          </w:p>
        </w:tc>
        <w:tc>
          <w:tcPr>
            <w:tcW w:w="2677" w:type="dxa"/>
            <w:tcBorders>
              <w:top w:val="single" w:sz="4" w:space="0" w:color="000000"/>
              <w:left w:val="single" w:sz="4" w:space="0" w:color="000000"/>
              <w:bottom w:val="single" w:sz="2" w:space="0" w:color="000000"/>
              <w:right w:val="single" w:sz="4" w:space="0" w:color="000000"/>
            </w:tcBorders>
          </w:tcPr>
          <w:p w14:paraId="63D02F13" w14:textId="5052B427"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4" w:space="0" w:color="000000"/>
              <w:left w:val="single" w:sz="4" w:space="0" w:color="000000"/>
              <w:bottom w:val="single" w:sz="2" w:space="0" w:color="000000"/>
              <w:right w:val="single" w:sz="2" w:space="0" w:color="000000"/>
            </w:tcBorders>
          </w:tcPr>
          <w:p w14:paraId="44AAE2BD"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6AC949A5"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55A850F4" w14:textId="77777777" w:rsidTr="00C232D7">
        <w:tblPrEx>
          <w:tblCellMar>
            <w:top w:w="0" w:type="dxa"/>
            <w:left w:w="100" w:type="dxa"/>
            <w:right w:w="58" w:type="dxa"/>
          </w:tblCellMar>
        </w:tblPrEx>
        <w:trPr>
          <w:trHeight w:val="204"/>
        </w:trPr>
        <w:tc>
          <w:tcPr>
            <w:tcW w:w="266" w:type="dxa"/>
            <w:vMerge/>
            <w:tcBorders>
              <w:left w:val="single" w:sz="4" w:space="0" w:color="000000"/>
              <w:right w:val="single" w:sz="4" w:space="0" w:color="000000"/>
            </w:tcBorders>
          </w:tcPr>
          <w:p w14:paraId="77F6C6C7"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5134C49E"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105. </w:t>
            </w:r>
          </w:p>
        </w:tc>
        <w:tc>
          <w:tcPr>
            <w:tcW w:w="3969" w:type="dxa"/>
            <w:gridSpan w:val="8"/>
            <w:tcBorders>
              <w:top w:val="single" w:sz="2" w:space="0" w:color="000000"/>
              <w:left w:val="single" w:sz="4" w:space="0" w:color="000000"/>
              <w:bottom w:val="single" w:sz="4" w:space="0" w:color="000000"/>
              <w:right w:val="single" w:sz="4" w:space="0" w:color="000000"/>
            </w:tcBorders>
          </w:tcPr>
          <w:p w14:paraId="7067B2D8"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Kljunača 3 </w:t>
            </w:r>
          </w:p>
        </w:tc>
        <w:tc>
          <w:tcPr>
            <w:tcW w:w="2677" w:type="dxa"/>
            <w:tcBorders>
              <w:top w:val="single" w:sz="2" w:space="0" w:color="000000"/>
              <w:left w:val="single" w:sz="4" w:space="0" w:color="000000"/>
              <w:bottom w:val="single" w:sz="4" w:space="0" w:color="000000"/>
              <w:right w:val="single" w:sz="4" w:space="0" w:color="000000"/>
            </w:tcBorders>
          </w:tcPr>
          <w:p w14:paraId="5544F351" w14:textId="0FD623A6"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w:t>
            </w:r>
          </w:p>
        </w:tc>
        <w:tc>
          <w:tcPr>
            <w:tcW w:w="933" w:type="dxa"/>
            <w:gridSpan w:val="2"/>
            <w:tcBorders>
              <w:top w:val="single" w:sz="2" w:space="0" w:color="000000"/>
              <w:left w:val="single" w:sz="4" w:space="0" w:color="000000"/>
              <w:bottom w:val="single" w:sz="4" w:space="0" w:color="000000"/>
              <w:right w:val="single" w:sz="2" w:space="0" w:color="000000"/>
            </w:tcBorders>
          </w:tcPr>
          <w:p w14:paraId="5137452A"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8</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506534D3"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1ADC9F96" w14:textId="77777777" w:rsidTr="00C232D7">
        <w:tblPrEx>
          <w:tblCellMar>
            <w:top w:w="0" w:type="dxa"/>
            <w:left w:w="100" w:type="dxa"/>
            <w:right w:w="58" w:type="dxa"/>
          </w:tblCellMar>
        </w:tblPrEx>
        <w:trPr>
          <w:trHeight w:val="200"/>
        </w:trPr>
        <w:tc>
          <w:tcPr>
            <w:tcW w:w="266" w:type="dxa"/>
            <w:vMerge/>
            <w:tcBorders>
              <w:left w:val="single" w:sz="4" w:space="0" w:color="000000"/>
              <w:bottom w:val="single" w:sz="2" w:space="0" w:color="000000"/>
              <w:right w:val="single" w:sz="4" w:space="0" w:color="000000"/>
            </w:tcBorders>
            <w:shd w:val="clear" w:color="auto" w:fill="EAF1DD"/>
          </w:tcPr>
          <w:p w14:paraId="3536735D"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double" w:sz="2" w:space="0" w:color="000000"/>
              <w:right w:val="single" w:sz="4" w:space="0" w:color="000000"/>
            </w:tcBorders>
          </w:tcPr>
          <w:p w14:paraId="04F47EA5"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106. </w:t>
            </w:r>
          </w:p>
        </w:tc>
        <w:tc>
          <w:tcPr>
            <w:tcW w:w="3969" w:type="dxa"/>
            <w:gridSpan w:val="8"/>
            <w:tcBorders>
              <w:top w:val="single" w:sz="4" w:space="0" w:color="000000"/>
              <w:left w:val="single" w:sz="4" w:space="0" w:color="000000"/>
              <w:bottom w:val="double" w:sz="2" w:space="0" w:color="000000"/>
              <w:right w:val="single" w:sz="4" w:space="0" w:color="000000"/>
            </w:tcBorders>
          </w:tcPr>
          <w:p w14:paraId="32AB3AD6"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Kljunača 4 </w:t>
            </w:r>
          </w:p>
        </w:tc>
        <w:tc>
          <w:tcPr>
            <w:tcW w:w="2677" w:type="dxa"/>
            <w:tcBorders>
              <w:top w:val="single" w:sz="4" w:space="0" w:color="000000"/>
              <w:left w:val="single" w:sz="4" w:space="0" w:color="000000"/>
              <w:bottom w:val="double" w:sz="2" w:space="0" w:color="000000"/>
              <w:right w:val="single" w:sz="4" w:space="0" w:color="000000"/>
            </w:tcBorders>
          </w:tcPr>
          <w:p w14:paraId="6DFCF4BD" w14:textId="252244DD"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4" w:space="0" w:color="000000"/>
              <w:left w:val="single" w:sz="4" w:space="0" w:color="000000"/>
              <w:bottom w:val="double" w:sz="2" w:space="0" w:color="000000"/>
              <w:right w:val="single" w:sz="2" w:space="0" w:color="000000"/>
            </w:tcBorders>
          </w:tcPr>
          <w:p w14:paraId="1C45DE10"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2" w:space="0" w:color="000000"/>
              <w:bottom w:val="double" w:sz="2" w:space="0" w:color="000000"/>
              <w:right w:val="single" w:sz="4" w:space="0" w:color="000000"/>
            </w:tcBorders>
            <w:shd w:val="clear" w:color="auto" w:fill="00FFFF"/>
          </w:tcPr>
          <w:p w14:paraId="3F64D8C4"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003840B5" w14:textId="77777777" w:rsidTr="00C232D7">
        <w:tblPrEx>
          <w:tblCellMar>
            <w:top w:w="0" w:type="dxa"/>
            <w:left w:w="100" w:type="dxa"/>
            <w:right w:w="58" w:type="dxa"/>
          </w:tblCellMar>
        </w:tblPrEx>
        <w:trPr>
          <w:trHeight w:val="368"/>
        </w:trPr>
        <w:tc>
          <w:tcPr>
            <w:tcW w:w="1276" w:type="dxa"/>
            <w:gridSpan w:val="6"/>
            <w:tcBorders>
              <w:top w:val="double" w:sz="2" w:space="0" w:color="000000"/>
              <w:left w:val="single" w:sz="4" w:space="0" w:color="000000"/>
              <w:bottom w:val="single" w:sz="4" w:space="0" w:color="000000"/>
              <w:right w:val="single" w:sz="4" w:space="0" w:color="000000"/>
            </w:tcBorders>
            <w:shd w:val="clear" w:color="auto" w:fill="EAF1DD"/>
          </w:tcPr>
          <w:p w14:paraId="1CE302CE" w14:textId="77777777" w:rsidR="00C232D7" w:rsidRPr="00F6198B" w:rsidRDefault="00C232D7" w:rsidP="00C232D7">
            <w:pPr>
              <w:spacing w:after="174" w:line="360" w:lineRule="auto"/>
              <w:ind w:left="224"/>
              <w:rPr>
                <w:rFonts w:ascii="Arial" w:hAnsi="Arial" w:cs="Arial"/>
                <w:color w:val="000000"/>
                <w:sz w:val="18"/>
                <w:szCs w:val="18"/>
                <w:lang w:val="sr-Latn-RS"/>
              </w:rPr>
            </w:pPr>
          </w:p>
          <w:p w14:paraId="4BEF4CFC" w14:textId="77777777" w:rsidR="00C232D7" w:rsidRPr="00F6198B" w:rsidRDefault="00C232D7" w:rsidP="00C232D7">
            <w:pPr>
              <w:spacing w:after="174" w:line="360" w:lineRule="auto"/>
              <w:ind w:left="224"/>
              <w:rPr>
                <w:rFonts w:ascii="Arial" w:hAnsi="Arial" w:cs="Arial"/>
                <w:color w:val="000000"/>
                <w:sz w:val="18"/>
                <w:szCs w:val="18"/>
                <w:lang w:val="sr-Latn-RS"/>
              </w:rPr>
            </w:pPr>
            <w:r w:rsidRPr="00F6198B">
              <w:rPr>
                <w:rFonts w:ascii="Arial" w:hAnsi="Arial" w:cs="Arial"/>
                <w:color w:val="000000"/>
                <w:sz w:val="18"/>
                <w:szCs w:val="18"/>
                <w:lang w:val="sr-Latn-RS"/>
              </w:rPr>
              <w:t xml:space="preserve"> 5. BUDVA </w:t>
            </w:r>
          </w:p>
        </w:tc>
        <w:tc>
          <w:tcPr>
            <w:tcW w:w="8095" w:type="dxa"/>
            <w:gridSpan w:val="10"/>
            <w:tcBorders>
              <w:top w:val="double" w:sz="2" w:space="0" w:color="000000"/>
              <w:left w:val="single" w:sz="4" w:space="0" w:color="000000"/>
              <w:bottom w:val="single" w:sz="4" w:space="0" w:color="000000"/>
              <w:right w:val="single" w:sz="4" w:space="0" w:color="000000"/>
            </w:tcBorders>
            <w:shd w:val="clear" w:color="auto" w:fill="EAF1DD"/>
          </w:tcPr>
          <w:p w14:paraId="36694992" w14:textId="77777777" w:rsidR="00C232D7" w:rsidRPr="00F6198B" w:rsidRDefault="00C232D7" w:rsidP="00C232D7">
            <w:pPr>
              <w:spacing w:after="174" w:line="360" w:lineRule="auto"/>
              <w:ind w:left="4688"/>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r>
      <w:tr w:rsidR="00C232D7" w:rsidRPr="00F6198B" w14:paraId="08B0BD9E" w14:textId="77777777" w:rsidTr="00C232D7">
        <w:tblPrEx>
          <w:tblCellMar>
            <w:top w:w="0" w:type="dxa"/>
            <w:left w:w="100" w:type="dxa"/>
            <w:right w:w="58" w:type="dxa"/>
          </w:tblCellMar>
        </w:tblPrEx>
        <w:trPr>
          <w:trHeight w:val="397"/>
        </w:trPr>
        <w:tc>
          <w:tcPr>
            <w:tcW w:w="266" w:type="dxa"/>
            <w:vMerge w:val="restart"/>
            <w:tcBorders>
              <w:top w:val="single" w:sz="4" w:space="0" w:color="000000"/>
              <w:left w:val="single" w:sz="4" w:space="0" w:color="000000"/>
              <w:bottom w:val="single" w:sz="4" w:space="0" w:color="000000"/>
              <w:right w:val="single" w:sz="4" w:space="0" w:color="000000"/>
            </w:tcBorders>
            <w:shd w:val="clear" w:color="auto" w:fill="EAF1DD"/>
            <w:vAlign w:val="center"/>
          </w:tcPr>
          <w:p w14:paraId="09170AFE" w14:textId="77777777" w:rsidR="00C232D7" w:rsidRPr="00F6198B" w:rsidRDefault="00C232D7" w:rsidP="00C232D7">
            <w:pPr>
              <w:spacing w:line="360" w:lineRule="auto"/>
              <w:ind w:right="18"/>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gridSpan w:val="3"/>
            <w:tcBorders>
              <w:top w:val="single" w:sz="4" w:space="0" w:color="000000"/>
              <w:left w:val="single" w:sz="4" w:space="0" w:color="000000"/>
              <w:bottom w:val="single" w:sz="2" w:space="0" w:color="000000"/>
              <w:right w:val="single" w:sz="4" w:space="0" w:color="000000"/>
            </w:tcBorders>
            <w:vAlign w:val="center"/>
          </w:tcPr>
          <w:p w14:paraId="540D5E55"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969" w:type="dxa"/>
            <w:gridSpan w:val="8"/>
            <w:tcBorders>
              <w:top w:val="single" w:sz="4" w:space="0" w:color="000000"/>
              <w:left w:val="single" w:sz="4" w:space="0" w:color="000000"/>
              <w:bottom w:val="single" w:sz="2" w:space="0" w:color="000000"/>
              <w:right w:val="single" w:sz="4" w:space="0" w:color="000000"/>
            </w:tcBorders>
          </w:tcPr>
          <w:p w14:paraId="1FE8C39B"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Kruševice, pored objekta "Stara </w:t>
            </w:r>
          </w:p>
          <w:p w14:paraId="3FA4C89B"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škola" na putnom pravcu Petrovac-Podgorica </w:t>
            </w:r>
          </w:p>
        </w:tc>
        <w:tc>
          <w:tcPr>
            <w:tcW w:w="2677" w:type="dxa"/>
            <w:tcBorders>
              <w:top w:val="single" w:sz="4" w:space="0" w:color="000000"/>
              <w:left w:val="single" w:sz="4" w:space="0" w:color="000000"/>
              <w:bottom w:val="single" w:sz="2" w:space="0" w:color="000000"/>
              <w:right w:val="single" w:sz="4" w:space="0" w:color="000000"/>
            </w:tcBorders>
            <w:vAlign w:val="center"/>
          </w:tcPr>
          <w:p w14:paraId="2FB0BE19" w14:textId="77777777"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 xml:space="preserve">Građevinski otpad </w:t>
            </w:r>
          </w:p>
        </w:tc>
        <w:tc>
          <w:tcPr>
            <w:tcW w:w="933" w:type="dxa"/>
            <w:gridSpan w:val="2"/>
            <w:tcBorders>
              <w:top w:val="single" w:sz="4" w:space="0" w:color="000000"/>
              <w:left w:val="single" w:sz="4" w:space="0" w:color="000000"/>
              <w:bottom w:val="single" w:sz="2" w:space="0" w:color="000000"/>
              <w:right w:val="single" w:sz="2" w:space="0" w:color="000000"/>
            </w:tcBorders>
            <w:vAlign w:val="center"/>
          </w:tcPr>
          <w:p w14:paraId="2A798C1E"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1 500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140115DF"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61BFD97F" w14:textId="77777777" w:rsidTr="00C232D7">
        <w:tblPrEx>
          <w:tblCellMar>
            <w:top w:w="0" w:type="dxa"/>
            <w:left w:w="100" w:type="dxa"/>
            <w:right w:w="58" w:type="dxa"/>
          </w:tblCellMar>
        </w:tblPrEx>
        <w:trPr>
          <w:trHeight w:val="400"/>
        </w:trPr>
        <w:tc>
          <w:tcPr>
            <w:tcW w:w="266" w:type="dxa"/>
            <w:vMerge/>
            <w:tcBorders>
              <w:top w:val="nil"/>
              <w:left w:val="single" w:sz="4" w:space="0" w:color="000000"/>
              <w:bottom w:val="nil"/>
              <w:right w:val="single" w:sz="4" w:space="0" w:color="000000"/>
            </w:tcBorders>
          </w:tcPr>
          <w:p w14:paraId="7F671350"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vAlign w:val="center"/>
          </w:tcPr>
          <w:p w14:paraId="305CD7C1"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969" w:type="dxa"/>
            <w:gridSpan w:val="8"/>
            <w:tcBorders>
              <w:top w:val="single" w:sz="2" w:space="0" w:color="000000"/>
              <w:left w:val="single" w:sz="4" w:space="0" w:color="000000"/>
              <w:bottom w:val="single" w:sz="4" w:space="0" w:color="000000"/>
              <w:right w:val="single" w:sz="4" w:space="0" w:color="000000"/>
            </w:tcBorders>
          </w:tcPr>
          <w:p w14:paraId="74CDCBF8"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Blizikuće - Sveti Stefan, na putnom pravcu Sveti </w:t>
            </w:r>
          </w:p>
          <w:p w14:paraId="1616E687"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Stefan-Petrovac </w:t>
            </w:r>
          </w:p>
        </w:tc>
        <w:tc>
          <w:tcPr>
            <w:tcW w:w="2677" w:type="dxa"/>
            <w:tcBorders>
              <w:top w:val="single" w:sz="2" w:space="0" w:color="000000"/>
              <w:left w:val="single" w:sz="4" w:space="0" w:color="000000"/>
              <w:bottom w:val="single" w:sz="4" w:space="0" w:color="000000"/>
              <w:right w:val="single" w:sz="4" w:space="0" w:color="000000"/>
            </w:tcBorders>
            <w:vAlign w:val="center"/>
          </w:tcPr>
          <w:p w14:paraId="07967F38" w14:textId="77777777"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 xml:space="preserve">Građevinski otpad </w:t>
            </w:r>
          </w:p>
        </w:tc>
        <w:tc>
          <w:tcPr>
            <w:tcW w:w="933" w:type="dxa"/>
            <w:gridSpan w:val="2"/>
            <w:tcBorders>
              <w:top w:val="single" w:sz="2" w:space="0" w:color="000000"/>
              <w:left w:val="single" w:sz="4" w:space="0" w:color="000000"/>
              <w:bottom w:val="single" w:sz="4" w:space="0" w:color="000000"/>
              <w:right w:val="single" w:sz="2" w:space="0" w:color="000000"/>
            </w:tcBorders>
            <w:vAlign w:val="center"/>
          </w:tcPr>
          <w:p w14:paraId="339B4755"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2 500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670C665D"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5A0B70E3" w14:textId="77777777" w:rsidTr="00C232D7">
        <w:tblPrEx>
          <w:tblCellMar>
            <w:top w:w="0" w:type="dxa"/>
            <w:left w:w="100" w:type="dxa"/>
            <w:right w:w="58" w:type="dxa"/>
          </w:tblCellMar>
        </w:tblPrEx>
        <w:trPr>
          <w:trHeight w:val="130"/>
        </w:trPr>
        <w:tc>
          <w:tcPr>
            <w:tcW w:w="266" w:type="dxa"/>
            <w:vMerge/>
            <w:tcBorders>
              <w:top w:val="nil"/>
              <w:left w:val="single" w:sz="4" w:space="0" w:color="000000"/>
              <w:bottom w:val="single" w:sz="4" w:space="0" w:color="000000"/>
              <w:right w:val="single" w:sz="4" w:space="0" w:color="000000"/>
            </w:tcBorders>
          </w:tcPr>
          <w:p w14:paraId="1807C391"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double" w:sz="4" w:space="0" w:color="000000"/>
              <w:right w:val="single" w:sz="4" w:space="0" w:color="000000"/>
            </w:tcBorders>
            <w:vAlign w:val="center"/>
          </w:tcPr>
          <w:p w14:paraId="7CE650C3" w14:textId="77777777" w:rsidR="00C232D7" w:rsidRPr="00F6198B" w:rsidRDefault="00C232D7" w:rsidP="00C232D7">
            <w:pPr>
              <w:spacing w:line="360" w:lineRule="auto"/>
              <w:ind w:left="5"/>
              <w:rPr>
                <w:rFonts w:ascii="Arial" w:hAnsi="Arial" w:cs="Arial"/>
                <w:color w:val="000000"/>
                <w:sz w:val="18"/>
                <w:szCs w:val="18"/>
                <w:lang w:val="sr-Latn-RS"/>
              </w:rPr>
            </w:pPr>
            <w:r w:rsidRPr="00F6198B">
              <w:rPr>
                <w:rFonts w:ascii="Arial" w:hAnsi="Arial" w:cs="Arial"/>
                <w:color w:val="000000"/>
                <w:sz w:val="18"/>
                <w:szCs w:val="18"/>
                <w:lang w:val="sr-Latn-RS"/>
              </w:rPr>
              <w:t xml:space="preserve">3. </w:t>
            </w:r>
          </w:p>
        </w:tc>
        <w:tc>
          <w:tcPr>
            <w:tcW w:w="3969" w:type="dxa"/>
            <w:gridSpan w:val="8"/>
            <w:tcBorders>
              <w:top w:val="single" w:sz="4" w:space="0" w:color="000000"/>
              <w:left w:val="single" w:sz="4" w:space="0" w:color="000000"/>
              <w:bottom w:val="double" w:sz="4" w:space="0" w:color="000000"/>
              <w:right w:val="single" w:sz="4" w:space="0" w:color="000000"/>
            </w:tcBorders>
          </w:tcPr>
          <w:p w14:paraId="2AB546CC" w14:textId="58BD2BD5"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Iznad sela Mažići, na putnom pravcu Budva</w:t>
            </w:r>
            <w:r w:rsidR="00E62109">
              <w:rPr>
                <w:rFonts w:ascii="Arial" w:hAnsi="Arial" w:cs="Arial"/>
                <w:color w:val="000000"/>
                <w:sz w:val="18"/>
                <w:szCs w:val="18"/>
                <w:lang w:val="sr-Latn-RS"/>
              </w:rPr>
              <w:t>-</w:t>
            </w:r>
            <w:r w:rsidRPr="00F6198B">
              <w:rPr>
                <w:rFonts w:ascii="Arial" w:hAnsi="Arial" w:cs="Arial"/>
                <w:color w:val="000000"/>
                <w:sz w:val="18"/>
                <w:szCs w:val="18"/>
                <w:lang w:val="sr-Latn-RS"/>
              </w:rPr>
              <w:t xml:space="preserve">Markovići </w:t>
            </w:r>
          </w:p>
        </w:tc>
        <w:tc>
          <w:tcPr>
            <w:tcW w:w="2677" w:type="dxa"/>
            <w:tcBorders>
              <w:top w:val="single" w:sz="4" w:space="0" w:color="000000"/>
              <w:left w:val="single" w:sz="4" w:space="0" w:color="000000"/>
              <w:bottom w:val="double" w:sz="4" w:space="0" w:color="000000"/>
              <w:right w:val="single" w:sz="4" w:space="0" w:color="000000"/>
            </w:tcBorders>
            <w:vAlign w:val="center"/>
          </w:tcPr>
          <w:p w14:paraId="0769C0A0" w14:textId="77777777"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 xml:space="preserve">Građevinski otpad </w:t>
            </w:r>
          </w:p>
        </w:tc>
        <w:tc>
          <w:tcPr>
            <w:tcW w:w="933" w:type="dxa"/>
            <w:gridSpan w:val="2"/>
            <w:tcBorders>
              <w:top w:val="single" w:sz="4" w:space="0" w:color="000000"/>
              <w:left w:val="single" w:sz="4" w:space="0" w:color="000000"/>
              <w:bottom w:val="double" w:sz="4" w:space="0" w:color="000000"/>
              <w:right w:val="single" w:sz="2" w:space="0" w:color="000000"/>
            </w:tcBorders>
            <w:vAlign w:val="center"/>
          </w:tcPr>
          <w:p w14:paraId="7F0F7CA8"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2 500</w:t>
            </w:r>
          </w:p>
        </w:tc>
        <w:tc>
          <w:tcPr>
            <w:tcW w:w="941" w:type="dxa"/>
            <w:tcBorders>
              <w:top w:val="single" w:sz="4" w:space="0" w:color="000000"/>
              <w:left w:val="single" w:sz="2" w:space="0" w:color="000000"/>
              <w:bottom w:val="double" w:sz="4" w:space="0" w:color="000000"/>
              <w:right w:val="single" w:sz="4" w:space="0" w:color="000000"/>
            </w:tcBorders>
            <w:shd w:val="clear" w:color="auto" w:fill="00FFFF"/>
          </w:tcPr>
          <w:p w14:paraId="102E44A0" w14:textId="77777777" w:rsidR="00C232D7" w:rsidRPr="00F6198B" w:rsidRDefault="00C232D7" w:rsidP="00A23ED0">
            <w:pPr>
              <w:numPr>
                <w:ilvl w:val="0"/>
                <w:numId w:val="26"/>
              </w:numPr>
              <w:spacing w:after="5" w:line="360" w:lineRule="auto"/>
              <w:ind w:right="40"/>
              <w:contextualSpacing/>
              <w:rPr>
                <w:rFonts w:ascii="Arial" w:hAnsi="Arial" w:cs="Arial"/>
                <w:color w:val="000000"/>
                <w:sz w:val="18"/>
                <w:szCs w:val="18"/>
                <w:lang w:val="sr-Latn-RS"/>
              </w:rPr>
            </w:pPr>
          </w:p>
        </w:tc>
      </w:tr>
      <w:tr w:rsidR="00C232D7" w:rsidRPr="00F6198B" w14:paraId="37BBB97D" w14:textId="77777777" w:rsidTr="00C232D7">
        <w:tblPrEx>
          <w:tblCellMar>
            <w:top w:w="0" w:type="dxa"/>
            <w:left w:w="100" w:type="dxa"/>
            <w:right w:w="58" w:type="dxa"/>
          </w:tblCellMar>
        </w:tblPrEx>
        <w:trPr>
          <w:trHeight w:val="210"/>
        </w:trPr>
        <w:tc>
          <w:tcPr>
            <w:tcW w:w="1276" w:type="dxa"/>
            <w:gridSpan w:val="6"/>
            <w:tcBorders>
              <w:top w:val="double" w:sz="4" w:space="0" w:color="000000"/>
              <w:left w:val="single" w:sz="4" w:space="0" w:color="000000"/>
              <w:bottom w:val="single" w:sz="2" w:space="0" w:color="000000"/>
              <w:right w:val="single" w:sz="4" w:space="0" w:color="000000"/>
            </w:tcBorders>
            <w:shd w:val="clear" w:color="auto" w:fill="EAF1DD"/>
          </w:tcPr>
          <w:p w14:paraId="03F6883D" w14:textId="77777777" w:rsidR="00C232D7" w:rsidRPr="00F6198B" w:rsidRDefault="00C232D7" w:rsidP="00C232D7">
            <w:pPr>
              <w:spacing w:line="360" w:lineRule="auto"/>
              <w:ind w:left="1"/>
              <w:rPr>
                <w:rFonts w:ascii="Arial" w:hAnsi="Arial" w:cs="Arial"/>
                <w:color w:val="000000"/>
                <w:sz w:val="18"/>
                <w:szCs w:val="18"/>
                <w:lang w:val="sr-Latn-RS"/>
              </w:rPr>
            </w:pPr>
          </w:p>
          <w:p w14:paraId="23D5427C"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 xml:space="preserve">6. CETINJE </w:t>
            </w:r>
          </w:p>
        </w:tc>
        <w:tc>
          <w:tcPr>
            <w:tcW w:w="8095" w:type="dxa"/>
            <w:gridSpan w:val="10"/>
            <w:tcBorders>
              <w:top w:val="double" w:sz="4" w:space="0" w:color="000000"/>
              <w:left w:val="single" w:sz="4" w:space="0" w:color="000000"/>
              <w:bottom w:val="single" w:sz="2" w:space="0" w:color="000000"/>
              <w:right w:val="single" w:sz="4" w:space="0" w:color="000000"/>
            </w:tcBorders>
            <w:shd w:val="clear" w:color="auto" w:fill="EAF1DD"/>
          </w:tcPr>
          <w:p w14:paraId="47645CF9" w14:textId="77777777" w:rsidR="00C232D7" w:rsidRPr="00F6198B" w:rsidRDefault="00C232D7" w:rsidP="00C232D7">
            <w:pPr>
              <w:spacing w:after="177" w:line="360" w:lineRule="auto"/>
              <w:ind w:left="6394"/>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p w14:paraId="704F92B2"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FF0000"/>
                <w:sz w:val="18"/>
                <w:szCs w:val="18"/>
                <w:lang w:val="sr-Latn-RS"/>
              </w:rPr>
              <w:t xml:space="preserve"> </w:t>
            </w:r>
          </w:p>
        </w:tc>
      </w:tr>
      <w:tr w:rsidR="00C232D7" w:rsidRPr="00F6198B" w14:paraId="3D6A9AA1" w14:textId="77777777" w:rsidTr="00C232D7">
        <w:tblPrEx>
          <w:tblCellMar>
            <w:top w:w="0" w:type="dxa"/>
            <w:left w:w="100" w:type="dxa"/>
            <w:right w:w="58" w:type="dxa"/>
          </w:tblCellMar>
        </w:tblPrEx>
        <w:trPr>
          <w:trHeight w:val="190"/>
        </w:trPr>
        <w:tc>
          <w:tcPr>
            <w:tcW w:w="266" w:type="dxa"/>
            <w:vMerge w:val="restart"/>
            <w:tcBorders>
              <w:top w:val="single" w:sz="2" w:space="0" w:color="000000"/>
              <w:left w:val="single" w:sz="4" w:space="0" w:color="000000"/>
              <w:right w:val="single" w:sz="4" w:space="0" w:color="000000"/>
            </w:tcBorders>
            <w:shd w:val="clear" w:color="auto" w:fill="EAF1DD"/>
            <w:vAlign w:val="center"/>
          </w:tcPr>
          <w:p w14:paraId="37C7CFF2" w14:textId="77777777" w:rsidR="00C232D7" w:rsidRPr="00F6198B" w:rsidRDefault="00C232D7" w:rsidP="00C232D7">
            <w:pPr>
              <w:spacing w:line="360" w:lineRule="auto"/>
              <w:ind w:right="18"/>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p w14:paraId="07814119" w14:textId="77777777" w:rsidR="00C232D7" w:rsidRPr="00F6198B" w:rsidRDefault="00C232D7" w:rsidP="00C232D7">
            <w:pPr>
              <w:spacing w:line="360" w:lineRule="auto"/>
              <w:ind w:right="18"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gridSpan w:val="3"/>
            <w:tcBorders>
              <w:top w:val="single" w:sz="2" w:space="0" w:color="000000"/>
              <w:left w:val="single" w:sz="4" w:space="0" w:color="000000"/>
              <w:right w:val="single" w:sz="4" w:space="0" w:color="000000"/>
            </w:tcBorders>
          </w:tcPr>
          <w:p w14:paraId="04AB08D1" w14:textId="77777777" w:rsidR="00C232D7" w:rsidRPr="00F6198B" w:rsidRDefault="00C232D7" w:rsidP="00A23ED0">
            <w:pPr>
              <w:numPr>
                <w:ilvl w:val="0"/>
                <w:numId w:val="27"/>
              </w:numPr>
              <w:tabs>
                <w:tab w:val="left" w:pos="360"/>
              </w:tabs>
              <w:spacing w:after="5" w:line="360" w:lineRule="auto"/>
              <w:ind w:right="2"/>
              <w:contextualSpacing/>
              <w:rPr>
                <w:rFonts w:ascii="Arial" w:hAnsi="Arial" w:cs="Arial"/>
                <w:color w:val="000000"/>
                <w:sz w:val="18"/>
                <w:szCs w:val="18"/>
                <w:lang w:val="sr-Latn-RS"/>
              </w:rPr>
            </w:pPr>
          </w:p>
        </w:tc>
        <w:tc>
          <w:tcPr>
            <w:tcW w:w="3969" w:type="dxa"/>
            <w:gridSpan w:val="8"/>
            <w:tcBorders>
              <w:top w:val="single" w:sz="2" w:space="0" w:color="000000"/>
              <w:left w:val="single" w:sz="4" w:space="0" w:color="000000"/>
              <w:right w:val="single" w:sz="4" w:space="0" w:color="000000"/>
            </w:tcBorders>
          </w:tcPr>
          <w:p w14:paraId="307DFE43" w14:textId="77777777" w:rsidR="00C232D7" w:rsidRPr="00F6198B" w:rsidRDefault="00C232D7" w:rsidP="00C232D7">
            <w:pPr>
              <w:spacing w:line="360" w:lineRule="auto"/>
              <w:ind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CT-Ulići skretanje za Bokovo </w:t>
            </w:r>
          </w:p>
        </w:tc>
        <w:tc>
          <w:tcPr>
            <w:tcW w:w="2677" w:type="dxa"/>
            <w:tcBorders>
              <w:top w:val="single" w:sz="2" w:space="0" w:color="000000"/>
              <w:left w:val="single" w:sz="4" w:space="0" w:color="000000"/>
              <w:right w:val="single" w:sz="4" w:space="0" w:color="000000"/>
            </w:tcBorders>
          </w:tcPr>
          <w:p w14:paraId="6C901CFD" w14:textId="77777777" w:rsidR="00C232D7" w:rsidRPr="00F6198B" w:rsidRDefault="00C232D7" w:rsidP="00C232D7">
            <w:pPr>
              <w:spacing w:line="360" w:lineRule="auto"/>
              <w:ind w:left="4"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Neopasni građevinski otpad </w:t>
            </w:r>
          </w:p>
        </w:tc>
        <w:tc>
          <w:tcPr>
            <w:tcW w:w="933" w:type="dxa"/>
            <w:gridSpan w:val="2"/>
            <w:tcBorders>
              <w:top w:val="single" w:sz="2" w:space="0" w:color="000000"/>
              <w:left w:val="single" w:sz="4" w:space="0" w:color="000000"/>
              <w:right w:val="single" w:sz="2" w:space="0" w:color="000000"/>
            </w:tcBorders>
          </w:tcPr>
          <w:p w14:paraId="6FB50F24" w14:textId="77777777" w:rsidR="00C232D7" w:rsidRPr="00F6198B" w:rsidRDefault="00C232D7" w:rsidP="00C232D7">
            <w:pPr>
              <w:spacing w:line="360" w:lineRule="auto"/>
              <w:ind w:left="1" w:hanging="10"/>
              <w:rPr>
                <w:rFonts w:ascii="Arial" w:hAnsi="Arial" w:cs="Arial"/>
                <w:color w:val="000000"/>
                <w:sz w:val="18"/>
                <w:szCs w:val="18"/>
                <w:lang w:val="sr-Latn-RS"/>
              </w:rPr>
            </w:pPr>
            <w:r w:rsidRPr="00F6198B">
              <w:rPr>
                <w:rFonts w:ascii="Arial" w:hAnsi="Arial" w:cs="Arial"/>
                <w:color w:val="000000"/>
                <w:sz w:val="18"/>
                <w:szCs w:val="18"/>
                <w:lang w:val="sr-Latn-RS"/>
              </w:rPr>
              <w:t>12</w:t>
            </w:r>
          </w:p>
        </w:tc>
        <w:tc>
          <w:tcPr>
            <w:tcW w:w="941" w:type="dxa"/>
            <w:tcBorders>
              <w:top w:val="single" w:sz="2" w:space="0" w:color="000000"/>
              <w:left w:val="single" w:sz="2" w:space="0" w:color="000000"/>
              <w:right w:val="single" w:sz="4" w:space="0" w:color="000000"/>
            </w:tcBorders>
            <w:shd w:val="clear" w:color="auto" w:fill="00FFFF"/>
          </w:tcPr>
          <w:p w14:paraId="1012D463" w14:textId="77777777" w:rsidR="00C232D7" w:rsidRPr="00F6198B" w:rsidRDefault="00C232D7" w:rsidP="00A23ED0">
            <w:pPr>
              <w:numPr>
                <w:ilvl w:val="0"/>
                <w:numId w:val="26"/>
              </w:numPr>
              <w:spacing w:after="5" w:line="360" w:lineRule="auto"/>
              <w:ind w:right="40"/>
              <w:contextualSpacing/>
              <w:rPr>
                <w:rFonts w:ascii="Arial" w:hAnsi="Arial" w:cs="Arial"/>
                <w:sz w:val="18"/>
                <w:szCs w:val="18"/>
                <w:lang w:val="sr-Latn-RS"/>
              </w:rPr>
            </w:pPr>
          </w:p>
        </w:tc>
      </w:tr>
      <w:tr w:rsidR="00C232D7" w:rsidRPr="00F6198B" w14:paraId="1FE0F309" w14:textId="77777777" w:rsidTr="00C232D7">
        <w:tblPrEx>
          <w:tblCellMar>
            <w:top w:w="0" w:type="dxa"/>
            <w:left w:w="100" w:type="dxa"/>
            <w:right w:w="58" w:type="dxa"/>
          </w:tblCellMar>
        </w:tblPrEx>
        <w:trPr>
          <w:trHeight w:val="64"/>
        </w:trPr>
        <w:tc>
          <w:tcPr>
            <w:tcW w:w="266" w:type="dxa"/>
            <w:vMerge/>
            <w:tcBorders>
              <w:left w:val="single" w:sz="4" w:space="0" w:color="000000"/>
              <w:right w:val="single" w:sz="4" w:space="0" w:color="000000"/>
            </w:tcBorders>
          </w:tcPr>
          <w:p w14:paraId="3DBAE2F6" w14:textId="77777777" w:rsidR="00C232D7" w:rsidRPr="00F6198B" w:rsidRDefault="00C232D7" w:rsidP="00C232D7">
            <w:pPr>
              <w:spacing w:line="360" w:lineRule="auto"/>
              <w:ind w:right="18" w:hanging="10"/>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45A1D45A" w14:textId="77777777" w:rsidR="00C232D7" w:rsidRPr="00F6198B" w:rsidRDefault="00C232D7" w:rsidP="00A23ED0">
            <w:pPr>
              <w:numPr>
                <w:ilvl w:val="0"/>
                <w:numId w:val="27"/>
              </w:numPr>
              <w:tabs>
                <w:tab w:val="left" w:pos="360"/>
              </w:tabs>
              <w:spacing w:after="5" w:line="360" w:lineRule="auto"/>
              <w:ind w:right="2"/>
              <w:contextualSpacing/>
              <w:rPr>
                <w:rFonts w:ascii="Arial" w:hAnsi="Arial" w:cs="Arial"/>
                <w:color w:val="000000"/>
                <w:sz w:val="18"/>
                <w:szCs w:val="18"/>
                <w:lang w:val="sr-Latn-RS"/>
              </w:rPr>
            </w:pPr>
          </w:p>
        </w:tc>
        <w:tc>
          <w:tcPr>
            <w:tcW w:w="3969" w:type="dxa"/>
            <w:gridSpan w:val="8"/>
            <w:tcBorders>
              <w:top w:val="single" w:sz="4" w:space="0" w:color="000000"/>
              <w:left w:val="single" w:sz="4" w:space="0" w:color="000000"/>
              <w:bottom w:val="single" w:sz="2" w:space="0" w:color="000000"/>
              <w:right w:val="single" w:sz="4" w:space="0" w:color="000000"/>
            </w:tcBorders>
          </w:tcPr>
          <w:p w14:paraId="6C5C6A7E" w14:textId="77777777" w:rsidR="00C232D7" w:rsidRPr="00F6198B" w:rsidRDefault="00C232D7" w:rsidP="00C232D7">
            <w:pPr>
              <w:spacing w:line="360" w:lineRule="auto"/>
              <w:ind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CT-Čekanje Njeguši deponija Vrba </w:t>
            </w:r>
          </w:p>
        </w:tc>
        <w:tc>
          <w:tcPr>
            <w:tcW w:w="2677" w:type="dxa"/>
            <w:tcBorders>
              <w:top w:val="single" w:sz="4" w:space="0" w:color="000000"/>
              <w:left w:val="single" w:sz="4" w:space="0" w:color="000000"/>
              <w:bottom w:val="single" w:sz="2" w:space="0" w:color="000000"/>
              <w:right w:val="single" w:sz="4" w:space="0" w:color="000000"/>
            </w:tcBorders>
          </w:tcPr>
          <w:p w14:paraId="306E4FE5" w14:textId="2EB8968C" w:rsidR="00C232D7" w:rsidRPr="00F6198B" w:rsidRDefault="00C232D7" w:rsidP="00C232D7">
            <w:pPr>
              <w:spacing w:line="360" w:lineRule="auto"/>
              <w:ind w:left="4" w:hanging="10"/>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4" w:space="0" w:color="000000"/>
              <w:left w:val="single" w:sz="4" w:space="0" w:color="000000"/>
              <w:bottom w:val="single" w:sz="2" w:space="0" w:color="000000"/>
              <w:right w:val="single" w:sz="2" w:space="0" w:color="000000"/>
            </w:tcBorders>
          </w:tcPr>
          <w:p w14:paraId="12FBE23B" w14:textId="77777777" w:rsidR="00C232D7" w:rsidRPr="00F6198B" w:rsidRDefault="00C232D7" w:rsidP="00C232D7">
            <w:pPr>
              <w:spacing w:line="360" w:lineRule="auto"/>
              <w:ind w:left="1" w:hanging="10"/>
              <w:rPr>
                <w:rFonts w:ascii="Arial" w:hAnsi="Arial" w:cs="Arial"/>
                <w:color w:val="000000"/>
                <w:sz w:val="18"/>
                <w:szCs w:val="18"/>
                <w:lang w:val="sr-Latn-RS"/>
              </w:rPr>
            </w:pPr>
            <w:r w:rsidRPr="00F6198B">
              <w:rPr>
                <w:rFonts w:ascii="Arial" w:hAnsi="Arial" w:cs="Arial"/>
                <w:color w:val="000000"/>
                <w:sz w:val="18"/>
                <w:szCs w:val="18"/>
                <w:lang w:val="sr-Latn-RS"/>
              </w:rPr>
              <w:t>25</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6422A355" w14:textId="77777777" w:rsidR="00C232D7" w:rsidRPr="00F6198B" w:rsidRDefault="00C232D7" w:rsidP="00A23ED0">
            <w:pPr>
              <w:numPr>
                <w:ilvl w:val="0"/>
                <w:numId w:val="26"/>
              </w:numPr>
              <w:spacing w:after="5" w:line="360" w:lineRule="auto"/>
              <w:ind w:right="40"/>
              <w:contextualSpacing/>
              <w:rPr>
                <w:rFonts w:ascii="Arial" w:hAnsi="Arial" w:cs="Arial"/>
                <w:sz w:val="18"/>
                <w:szCs w:val="18"/>
                <w:lang w:val="sr-Latn-RS"/>
              </w:rPr>
            </w:pPr>
          </w:p>
        </w:tc>
      </w:tr>
      <w:tr w:rsidR="00C232D7" w:rsidRPr="00F6198B" w14:paraId="35F3D99D" w14:textId="77777777" w:rsidTr="00C232D7">
        <w:tblPrEx>
          <w:tblCellMar>
            <w:top w:w="0" w:type="dxa"/>
            <w:left w:w="100" w:type="dxa"/>
            <w:right w:w="58" w:type="dxa"/>
          </w:tblCellMar>
        </w:tblPrEx>
        <w:trPr>
          <w:trHeight w:val="64"/>
        </w:trPr>
        <w:tc>
          <w:tcPr>
            <w:tcW w:w="266" w:type="dxa"/>
            <w:vMerge/>
            <w:tcBorders>
              <w:left w:val="single" w:sz="4" w:space="0" w:color="000000"/>
              <w:right w:val="single" w:sz="4" w:space="0" w:color="000000"/>
            </w:tcBorders>
          </w:tcPr>
          <w:p w14:paraId="13D85D1D"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right w:val="single" w:sz="4" w:space="0" w:color="000000"/>
            </w:tcBorders>
          </w:tcPr>
          <w:p w14:paraId="6E78E7E4" w14:textId="77777777" w:rsidR="00C232D7" w:rsidRPr="00F6198B" w:rsidRDefault="00C232D7" w:rsidP="00A23ED0">
            <w:pPr>
              <w:numPr>
                <w:ilvl w:val="0"/>
                <w:numId w:val="27"/>
              </w:numPr>
              <w:tabs>
                <w:tab w:val="left" w:pos="360"/>
              </w:tabs>
              <w:spacing w:after="5" w:line="360" w:lineRule="auto"/>
              <w:ind w:right="2"/>
              <w:contextualSpacing/>
              <w:rPr>
                <w:rFonts w:ascii="Arial" w:hAnsi="Arial" w:cs="Arial"/>
                <w:color w:val="000000"/>
                <w:sz w:val="18"/>
                <w:szCs w:val="18"/>
                <w:lang w:val="sr-Latn-RS"/>
              </w:rPr>
            </w:pPr>
          </w:p>
        </w:tc>
        <w:tc>
          <w:tcPr>
            <w:tcW w:w="3969" w:type="dxa"/>
            <w:gridSpan w:val="8"/>
            <w:tcBorders>
              <w:top w:val="single" w:sz="4" w:space="0" w:color="000000"/>
              <w:left w:val="single" w:sz="4" w:space="0" w:color="000000"/>
              <w:right w:val="single" w:sz="4" w:space="0" w:color="000000"/>
            </w:tcBorders>
          </w:tcPr>
          <w:p w14:paraId="2F65052C"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CT-Čekanje 8km od CT iza vode Laza Andrijina </w:t>
            </w:r>
          </w:p>
        </w:tc>
        <w:tc>
          <w:tcPr>
            <w:tcW w:w="2677" w:type="dxa"/>
            <w:tcBorders>
              <w:top w:val="single" w:sz="4" w:space="0" w:color="000000"/>
              <w:left w:val="single" w:sz="4" w:space="0" w:color="000000"/>
              <w:right w:val="single" w:sz="4" w:space="0" w:color="000000"/>
            </w:tcBorders>
          </w:tcPr>
          <w:p w14:paraId="51843FD3" w14:textId="7A743E8A"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4" w:space="0" w:color="000000"/>
              <w:left w:val="single" w:sz="4" w:space="0" w:color="000000"/>
              <w:right w:val="single" w:sz="2" w:space="0" w:color="000000"/>
            </w:tcBorders>
          </w:tcPr>
          <w:p w14:paraId="59916F7F"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2" w:space="0" w:color="000000"/>
              <w:right w:val="single" w:sz="4" w:space="0" w:color="000000"/>
            </w:tcBorders>
            <w:shd w:val="clear" w:color="auto" w:fill="00FFFF"/>
          </w:tcPr>
          <w:p w14:paraId="3B6F3FEA" w14:textId="77777777" w:rsidR="00C232D7" w:rsidRPr="00F6198B" w:rsidRDefault="00C232D7" w:rsidP="00A23ED0">
            <w:pPr>
              <w:numPr>
                <w:ilvl w:val="0"/>
                <w:numId w:val="26"/>
              </w:numPr>
              <w:spacing w:after="5" w:line="360" w:lineRule="auto"/>
              <w:ind w:right="40"/>
              <w:contextualSpacing/>
              <w:rPr>
                <w:rFonts w:ascii="Arial" w:hAnsi="Arial" w:cs="Arial"/>
                <w:sz w:val="18"/>
                <w:szCs w:val="18"/>
                <w:lang w:val="sr-Latn-RS"/>
              </w:rPr>
            </w:pPr>
          </w:p>
        </w:tc>
      </w:tr>
      <w:tr w:rsidR="00C232D7" w:rsidRPr="00F6198B" w14:paraId="39931422" w14:textId="77777777" w:rsidTr="00C232D7">
        <w:tblPrEx>
          <w:tblCellMar>
            <w:top w:w="0" w:type="dxa"/>
            <w:left w:w="100" w:type="dxa"/>
            <w:right w:w="58" w:type="dxa"/>
          </w:tblCellMar>
        </w:tblPrEx>
        <w:trPr>
          <w:trHeight w:val="246"/>
        </w:trPr>
        <w:tc>
          <w:tcPr>
            <w:tcW w:w="266" w:type="dxa"/>
            <w:vMerge/>
            <w:tcBorders>
              <w:left w:val="single" w:sz="4" w:space="0" w:color="000000"/>
              <w:right w:val="single" w:sz="4" w:space="0" w:color="000000"/>
            </w:tcBorders>
          </w:tcPr>
          <w:p w14:paraId="66F01B3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right w:val="single" w:sz="4" w:space="0" w:color="000000"/>
            </w:tcBorders>
          </w:tcPr>
          <w:p w14:paraId="24505217" w14:textId="77777777" w:rsidR="00C232D7" w:rsidRPr="00F6198B" w:rsidRDefault="00C232D7" w:rsidP="00A23ED0">
            <w:pPr>
              <w:numPr>
                <w:ilvl w:val="0"/>
                <w:numId w:val="27"/>
              </w:numPr>
              <w:tabs>
                <w:tab w:val="left" w:pos="360"/>
              </w:tabs>
              <w:spacing w:after="5" w:line="360" w:lineRule="auto"/>
              <w:ind w:right="2"/>
              <w:contextualSpacing/>
              <w:rPr>
                <w:rFonts w:ascii="Arial" w:hAnsi="Arial" w:cs="Arial"/>
                <w:color w:val="000000"/>
                <w:sz w:val="18"/>
                <w:szCs w:val="18"/>
                <w:lang w:val="sr-Latn-RS"/>
              </w:rPr>
            </w:pPr>
          </w:p>
        </w:tc>
        <w:tc>
          <w:tcPr>
            <w:tcW w:w="3969" w:type="dxa"/>
            <w:gridSpan w:val="8"/>
            <w:tcBorders>
              <w:top w:val="single" w:sz="4" w:space="0" w:color="000000"/>
              <w:left w:val="single" w:sz="4" w:space="0" w:color="000000"/>
              <w:right w:val="single" w:sz="4" w:space="0" w:color="000000"/>
            </w:tcBorders>
          </w:tcPr>
          <w:p w14:paraId="3869F8AC" w14:textId="77777777" w:rsidR="00C232D7" w:rsidRPr="00F6198B" w:rsidRDefault="00C232D7" w:rsidP="00C232D7">
            <w:pPr>
              <w:spacing w:line="360" w:lineRule="auto"/>
              <w:ind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CT-Trešnjevo Trešnjevo kod trafostanice </w:t>
            </w:r>
          </w:p>
        </w:tc>
        <w:tc>
          <w:tcPr>
            <w:tcW w:w="2677" w:type="dxa"/>
            <w:tcBorders>
              <w:top w:val="single" w:sz="4" w:space="0" w:color="000000"/>
              <w:left w:val="single" w:sz="4" w:space="0" w:color="000000"/>
              <w:right w:val="single" w:sz="4" w:space="0" w:color="000000"/>
            </w:tcBorders>
          </w:tcPr>
          <w:p w14:paraId="5475C0CA" w14:textId="77777777" w:rsidR="00C232D7" w:rsidRPr="00F6198B" w:rsidRDefault="00C232D7" w:rsidP="00C232D7">
            <w:pPr>
              <w:spacing w:line="360" w:lineRule="auto"/>
              <w:ind w:left="4"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Neopasni građevinski otpad </w:t>
            </w:r>
          </w:p>
        </w:tc>
        <w:tc>
          <w:tcPr>
            <w:tcW w:w="933" w:type="dxa"/>
            <w:gridSpan w:val="2"/>
            <w:tcBorders>
              <w:top w:val="single" w:sz="4" w:space="0" w:color="000000"/>
              <w:left w:val="single" w:sz="4" w:space="0" w:color="000000"/>
              <w:right w:val="single" w:sz="2" w:space="0" w:color="000000"/>
            </w:tcBorders>
          </w:tcPr>
          <w:p w14:paraId="4471EB36" w14:textId="77777777" w:rsidR="00C232D7" w:rsidRPr="00F6198B" w:rsidRDefault="00C232D7" w:rsidP="00C232D7">
            <w:pPr>
              <w:spacing w:line="360" w:lineRule="auto"/>
              <w:ind w:left="1" w:hanging="10"/>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941" w:type="dxa"/>
            <w:tcBorders>
              <w:top w:val="single" w:sz="4" w:space="0" w:color="000000"/>
              <w:left w:val="single" w:sz="2" w:space="0" w:color="000000"/>
              <w:right w:val="single" w:sz="4" w:space="0" w:color="000000"/>
            </w:tcBorders>
            <w:shd w:val="clear" w:color="auto" w:fill="00FFFF"/>
          </w:tcPr>
          <w:p w14:paraId="61594AAF" w14:textId="77777777" w:rsidR="00C232D7" w:rsidRPr="00F6198B" w:rsidRDefault="00C232D7" w:rsidP="00A23ED0">
            <w:pPr>
              <w:numPr>
                <w:ilvl w:val="0"/>
                <w:numId w:val="26"/>
              </w:numPr>
              <w:spacing w:after="5" w:line="360" w:lineRule="auto"/>
              <w:ind w:right="40"/>
              <w:contextualSpacing/>
              <w:rPr>
                <w:rFonts w:ascii="Arial" w:hAnsi="Arial" w:cs="Arial"/>
                <w:sz w:val="18"/>
                <w:szCs w:val="18"/>
                <w:lang w:val="sr-Latn-RS"/>
              </w:rPr>
            </w:pPr>
          </w:p>
        </w:tc>
      </w:tr>
      <w:tr w:rsidR="00C232D7" w:rsidRPr="00F6198B" w14:paraId="52D4F793" w14:textId="77777777" w:rsidTr="00C232D7">
        <w:tblPrEx>
          <w:tblCellMar>
            <w:top w:w="0" w:type="dxa"/>
            <w:left w:w="100" w:type="dxa"/>
            <w:right w:w="58" w:type="dxa"/>
          </w:tblCellMar>
        </w:tblPrEx>
        <w:trPr>
          <w:trHeight w:val="206"/>
        </w:trPr>
        <w:tc>
          <w:tcPr>
            <w:tcW w:w="266" w:type="dxa"/>
            <w:vMerge/>
            <w:tcBorders>
              <w:left w:val="single" w:sz="4" w:space="0" w:color="000000"/>
              <w:right w:val="single" w:sz="4" w:space="0" w:color="000000"/>
            </w:tcBorders>
          </w:tcPr>
          <w:p w14:paraId="5A78402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52421646" w14:textId="77777777" w:rsidR="00C232D7" w:rsidRPr="00F6198B" w:rsidRDefault="00C232D7" w:rsidP="00A23ED0">
            <w:pPr>
              <w:numPr>
                <w:ilvl w:val="0"/>
                <w:numId w:val="27"/>
              </w:numPr>
              <w:tabs>
                <w:tab w:val="left" w:pos="360"/>
              </w:tabs>
              <w:spacing w:after="5" w:line="360" w:lineRule="auto"/>
              <w:ind w:right="2"/>
              <w:contextualSpacing/>
              <w:rPr>
                <w:rFonts w:ascii="Arial" w:hAnsi="Arial" w:cs="Arial"/>
                <w:color w:val="000000"/>
                <w:sz w:val="18"/>
                <w:szCs w:val="18"/>
                <w:lang w:val="sr-Latn-RS"/>
              </w:rPr>
            </w:pPr>
          </w:p>
        </w:tc>
        <w:tc>
          <w:tcPr>
            <w:tcW w:w="3969" w:type="dxa"/>
            <w:gridSpan w:val="8"/>
            <w:tcBorders>
              <w:top w:val="single" w:sz="4" w:space="0" w:color="000000"/>
              <w:left w:val="single" w:sz="4" w:space="0" w:color="000000"/>
              <w:bottom w:val="single" w:sz="4" w:space="0" w:color="000000"/>
              <w:right w:val="single" w:sz="4" w:space="0" w:color="000000"/>
            </w:tcBorders>
          </w:tcPr>
          <w:p w14:paraId="4C5D49CE"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CT-Trešnjevo Grahovo na 3km od Trešnjeva </w:t>
            </w:r>
          </w:p>
        </w:tc>
        <w:tc>
          <w:tcPr>
            <w:tcW w:w="2677" w:type="dxa"/>
            <w:tcBorders>
              <w:top w:val="single" w:sz="4" w:space="0" w:color="000000"/>
              <w:left w:val="single" w:sz="4" w:space="0" w:color="000000"/>
              <w:bottom w:val="single" w:sz="4" w:space="0" w:color="000000"/>
              <w:right w:val="single" w:sz="4" w:space="0" w:color="000000"/>
            </w:tcBorders>
          </w:tcPr>
          <w:p w14:paraId="31E53D87" w14:textId="5890317D"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4" w:space="0" w:color="000000"/>
              <w:left w:val="single" w:sz="4" w:space="0" w:color="000000"/>
              <w:bottom w:val="single" w:sz="4" w:space="0" w:color="000000"/>
              <w:right w:val="single" w:sz="2" w:space="0" w:color="000000"/>
            </w:tcBorders>
          </w:tcPr>
          <w:p w14:paraId="427627C7"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49E0DEED" w14:textId="77777777" w:rsidR="00C232D7" w:rsidRPr="00F6198B" w:rsidRDefault="00C232D7" w:rsidP="00A23ED0">
            <w:pPr>
              <w:numPr>
                <w:ilvl w:val="0"/>
                <w:numId w:val="26"/>
              </w:numPr>
              <w:spacing w:after="5" w:line="360" w:lineRule="auto"/>
              <w:ind w:right="40"/>
              <w:contextualSpacing/>
              <w:rPr>
                <w:rFonts w:ascii="Arial" w:hAnsi="Arial" w:cs="Arial"/>
                <w:sz w:val="18"/>
                <w:szCs w:val="18"/>
                <w:lang w:val="sr-Latn-RS"/>
              </w:rPr>
            </w:pPr>
          </w:p>
        </w:tc>
      </w:tr>
      <w:tr w:rsidR="00C232D7" w:rsidRPr="00F6198B" w14:paraId="68861BC7" w14:textId="77777777" w:rsidTr="00C232D7">
        <w:tblPrEx>
          <w:tblCellMar>
            <w:top w:w="0" w:type="dxa"/>
            <w:left w:w="100" w:type="dxa"/>
            <w:right w:w="58" w:type="dxa"/>
          </w:tblCellMar>
        </w:tblPrEx>
        <w:trPr>
          <w:trHeight w:val="203"/>
        </w:trPr>
        <w:tc>
          <w:tcPr>
            <w:tcW w:w="266" w:type="dxa"/>
            <w:vMerge/>
            <w:tcBorders>
              <w:left w:val="single" w:sz="4" w:space="0" w:color="000000"/>
              <w:right w:val="single" w:sz="4" w:space="0" w:color="000000"/>
            </w:tcBorders>
          </w:tcPr>
          <w:p w14:paraId="4F2A953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2FAA945A" w14:textId="77777777" w:rsidR="00C232D7" w:rsidRPr="00F6198B" w:rsidRDefault="00C232D7" w:rsidP="00A23ED0">
            <w:pPr>
              <w:numPr>
                <w:ilvl w:val="0"/>
                <w:numId w:val="27"/>
              </w:numPr>
              <w:tabs>
                <w:tab w:val="left" w:pos="360"/>
              </w:tabs>
              <w:spacing w:after="5" w:line="360" w:lineRule="auto"/>
              <w:ind w:right="2"/>
              <w:contextualSpacing/>
              <w:rPr>
                <w:rFonts w:ascii="Arial" w:hAnsi="Arial" w:cs="Arial"/>
                <w:color w:val="000000"/>
                <w:sz w:val="18"/>
                <w:szCs w:val="18"/>
                <w:lang w:val="sr-Latn-RS"/>
              </w:rPr>
            </w:pPr>
          </w:p>
        </w:tc>
        <w:tc>
          <w:tcPr>
            <w:tcW w:w="3969" w:type="dxa"/>
            <w:gridSpan w:val="8"/>
            <w:tcBorders>
              <w:top w:val="single" w:sz="4" w:space="0" w:color="000000"/>
              <w:left w:val="single" w:sz="4" w:space="0" w:color="000000"/>
              <w:bottom w:val="single" w:sz="2" w:space="0" w:color="000000"/>
              <w:right w:val="single" w:sz="4" w:space="0" w:color="000000"/>
            </w:tcBorders>
          </w:tcPr>
          <w:p w14:paraId="3E0A1DD5"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CT-Velestovo Raičev krš i Bobin keš </w:t>
            </w:r>
          </w:p>
        </w:tc>
        <w:tc>
          <w:tcPr>
            <w:tcW w:w="2677" w:type="dxa"/>
            <w:tcBorders>
              <w:top w:val="single" w:sz="4" w:space="0" w:color="000000"/>
              <w:left w:val="single" w:sz="4" w:space="0" w:color="000000"/>
              <w:bottom w:val="single" w:sz="2" w:space="0" w:color="000000"/>
              <w:right w:val="single" w:sz="4" w:space="0" w:color="000000"/>
            </w:tcBorders>
          </w:tcPr>
          <w:p w14:paraId="252745C1" w14:textId="2EC75DE8" w:rsidR="00C232D7" w:rsidRPr="00F6198B" w:rsidRDefault="00C232D7" w:rsidP="00C232D7">
            <w:pPr>
              <w:spacing w:line="360" w:lineRule="auto"/>
              <w:ind w:left="4"/>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4" w:space="0" w:color="000000"/>
              <w:left w:val="single" w:sz="4" w:space="0" w:color="000000"/>
              <w:bottom w:val="single" w:sz="2" w:space="0" w:color="000000"/>
              <w:right w:val="single" w:sz="4" w:space="0" w:color="auto"/>
            </w:tcBorders>
          </w:tcPr>
          <w:p w14:paraId="6EABBAA0" w14:textId="77777777" w:rsidR="00C232D7" w:rsidRPr="00F6198B" w:rsidRDefault="00C232D7" w:rsidP="00C232D7">
            <w:pPr>
              <w:spacing w:line="360" w:lineRule="auto"/>
              <w:ind w:left="1"/>
              <w:rPr>
                <w:rFonts w:ascii="Arial" w:hAnsi="Arial" w:cs="Arial"/>
                <w:color w:val="000000"/>
                <w:sz w:val="18"/>
                <w:szCs w:val="18"/>
                <w:lang w:val="sr-Latn-RS"/>
              </w:rPr>
            </w:pPr>
            <w:r w:rsidRPr="00F6198B">
              <w:rPr>
                <w:rFonts w:ascii="Arial" w:hAnsi="Arial" w:cs="Arial"/>
                <w:color w:val="000000"/>
                <w:sz w:val="18"/>
                <w:szCs w:val="18"/>
                <w:lang w:val="sr-Latn-RS"/>
              </w:rPr>
              <w:t>7</w:t>
            </w:r>
          </w:p>
        </w:tc>
        <w:tc>
          <w:tcPr>
            <w:tcW w:w="941" w:type="dxa"/>
            <w:tcBorders>
              <w:top w:val="single" w:sz="4" w:space="0" w:color="000000"/>
              <w:left w:val="single" w:sz="4" w:space="0" w:color="auto"/>
              <w:bottom w:val="single" w:sz="2" w:space="0" w:color="000000"/>
              <w:right w:val="single" w:sz="4" w:space="0" w:color="000000"/>
            </w:tcBorders>
            <w:shd w:val="clear" w:color="auto" w:fill="00FFFF"/>
          </w:tcPr>
          <w:p w14:paraId="4D239132" w14:textId="77777777" w:rsidR="00C232D7" w:rsidRPr="00F6198B" w:rsidRDefault="00C232D7" w:rsidP="00A23ED0">
            <w:pPr>
              <w:numPr>
                <w:ilvl w:val="0"/>
                <w:numId w:val="26"/>
              </w:numPr>
              <w:spacing w:after="5" w:line="360" w:lineRule="auto"/>
              <w:ind w:right="40"/>
              <w:contextualSpacing/>
              <w:rPr>
                <w:rFonts w:ascii="Arial" w:hAnsi="Arial" w:cs="Arial"/>
                <w:sz w:val="18"/>
                <w:szCs w:val="18"/>
                <w:lang w:val="sr-Latn-RS"/>
              </w:rPr>
            </w:pPr>
          </w:p>
        </w:tc>
      </w:tr>
      <w:tr w:rsidR="00C232D7" w:rsidRPr="00F6198B" w14:paraId="1B3AF55B" w14:textId="77777777" w:rsidTr="00C232D7">
        <w:tblPrEx>
          <w:tblCellMar>
            <w:top w:w="0" w:type="dxa"/>
            <w:left w:w="100" w:type="dxa"/>
            <w:right w:w="58" w:type="dxa"/>
          </w:tblCellMar>
        </w:tblPrEx>
        <w:trPr>
          <w:trHeight w:val="214"/>
        </w:trPr>
        <w:tc>
          <w:tcPr>
            <w:tcW w:w="266" w:type="dxa"/>
            <w:vMerge/>
            <w:tcBorders>
              <w:left w:val="single" w:sz="4" w:space="0" w:color="000000"/>
              <w:bottom w:val="single" w:sz="4" w:space="0" w:color="000000"/>
              <w:right w:val="single" w:sz="4" w:space="0" w:color="000000"/>
            </w:tcBorders>
          </w:tcPr>
          <w:p w14:paraId="7BE4A1B7"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nil"/>
              <w:right w:val="single" w:sz="4" w:space="0" w:color="000000"/>
            </w:tcBorders>
          </w:tcPr>
          <w:p w14:paraId="0D1CF66D" w14:textId="77777777" w:rsidR="00C232D7" w:rsidRPr="00F6198B" w:rsidRDefault="00C232D7" w:rsidP="00A23ED0">
            <w:pPr>
              <w:numPr>
                <w:ilvl w:val="0"/>
                <w:numId w:val="27"/>
              </w:numPr>
              <w:tabs>
                <w:tab w:val="left" w:pos="360"/>
              </w:tabs>
              <w:spacing w:after="5" w:line="360" w:lineRule="auto"/>
              <w:ind w:right="2"/>
              <w:rPr>
                <w:rFonts w:ascii="Arial" w:hAnsi="Arial" w:cs="Arial"/>
                <w:color w:val="000000"/>
                <w:sz w:val="18"/>
                <w:szCs w:val="18"/>
                <w:lang w:val="sr-Latn-RS"/>
              </w:rPr>
            </w:pPr>
          </w:p>
        </w:tc>
        <w:tc>
          <w:tcPr>
            <w:tcW w:w="3969" w:type="dxa"/>
            <w:gridSpan w:val="8"/>
            <w:tcBorders>
              <w:top w:val="single" w:sz="2" w:space="0" w:color="000000"/>
              <w:left w:val="single" w:sz="4" w:space="0" w:color="000000"/>
              <w:bottom w:val="nil"/>
              <w:right w:val="single" w:sz="4" w:space="0" w:color="000000"/>
            </w:tcBorders>
          </w:tcPr>
          <w:p w14:paraId="2B265A56"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CT-Čevo-Bijele poljane Čumanovice  </w:t>
            </w:r>
          </w:p>
        </w:tc>
        <w:tc>
          <w:tcPr>
            <w:tcW w:w="2677" w:type="dxa"/>
            <w:tcBorders>
              <w:top w:val="single" w:sz="2" w:space="0" w:color="000000"/>
              <w:left w:val="single" w:sz="4" w:space="0" w:color="000000"/>
              <w:bottom w:val="nil"/>
              <w:right w:val="single" w:sz="4" w:space="0" w:color="000000"/>
            </w:tcBorders>
          </w:tcPr>
          <w:p w14:paraId="79646B8E" w14:textId="316A4A6D"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2" w:space="0" w:color="000000"/>
              <w:left w:val="single" w:sz="4" w:space="0" w:color="000000"/>
              <w:bottom w:val="nil"/>
              <w:right w:val="single" w:sz="4" w:space="0" w:color="auto"/>
            </w:tcBorders>
            <w:vAlign w:val="center"/>
          </w:tcPr>
          <w:p w14:paraId="1C7F3062"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11</w:t>
            </w:r>
          </w:p>
        </w:tc>
        <w:tc>
          <w:tcPr>
            <w:tcW w:w="941" w:type="dxa"/>
            <w:tcBorders>
              <w:top w:val="single" w:sz="2" w:space="0" w:color="000000"/>
              <w:left w:val="single" w:sz="4" w:space="0" w:color="auto"/>
              <w:bottom w:val="nil"/>
              <w:right w:val="single" w:sz="4" w:space="0" w:color="000000"/>
            </w:tcBorders>
            <w:shd w:val="clear" w:color="auto" w:fill="00FFFF"/>
            <w:vAlign w:val="center"/>
          </w:tcPr>
          <w:p w14:paraId="566FD493" w14:textId="77777777" w:rsidR="00C232D7" w:rsidRPr="00F6198B" w:rsidRDefault="00C232D7" w:rsidP="00A23ED0">
            <w:pPr>
              <w:numPr>
                <w:ilvl w:val="0"/>
                <w:numId w:val="26"/>
              </w:numPr>
              <w:spacing w:after="5" w:line="360" w:lineRule="auto"/>
              <w:ind w:right="2"/>
              <w:rPr>
                <w:rFonts w:ascii="Arial" w:hAnsi="Arial" w:cs="Arial"/>
                <w:sz w:val="18"/>
                <w:szCs w:val="18"/>
                <w:lang w:val="sr-Latn-RS"/>
              </w:rPr>
            </w:pPr>
          </w:p>
        </w:tc>
      </w:tr>
      <w:tr w:rsidR="00C232D7" w:rsidRPr="00F6198B" w14:paraId="0E7937FA" w14:textId="77777777" w:rsidTr="00C232D7">
        <w:tblPrEx>
          <w:tblCellMar>
            <w:top w:w="0" w:type="dxa"/>
          </w:tblCellMar>
        </w:tblPrEx>
        <w:trPr>
          <w:trHeight w:val="337"/>
        </w:trPr>
        <w:tc>
          <w:tcPr>
            <w:tcW w:w="1692" w:type="dxa"/>
            <w:gridSpan w:val="9"/>
            <w:tcBorders>
              <w:top w:val="double" w:sz="2" w:space="0" w:color="000000"/>
              <w:left w:val="single" w:sz="4" w:space="0" w:color="000000"/>
              <w:bottom w:val="single" w:sz="4" w:space="0" w:color="000000"/>
              <w:right w:val="single" w:sz="4" w:space="0" w:color="000000"/>
            </w:tcBorders>
            <w:shd w:val="clear" w:color="auto" w:fill="EAF1DD"/>
          </w:tcPr>
          <w:p w14:paraId="3FE35164" w14:textId="77777777" w:rsidR="00C232D7" w:rsidRPr="00F6198B" w:rsidRDefault="00C232D7" w:rsidP="00C232D7">
            <w:pPr>
              <w:spacing w:line="360" w:lineRule="auto"/>
              <w:ind w:left="36"/>
              <w:rPr>
                <w:rFonts w:ascii="Arial" w:hAnsi="Arial" w:cs="Arial"/>
                <w:color w:val="000000"/>
                <w:sz w:val="18"/>
                <w:szCs w:val="18"/>
                <w:lang w:val="sr-Latn-RS"/>
              </w:rPr>
            </w:pPr>
          </w:p>
          <w:p w14:paraId="0EB63F0D"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lastRenderedPageBreak/>
              <w:t xml:space="preserve">7. DANILOVGRAD </w:t>
            </w:r>
          </w:p>
        </w:tc>
        <w:tc>
          <w:tcPr>
            <w:tcW w:w="5805" w:type="dxa"/>
            <w:gridSpan w:val="4"/>
            <w:tcBorders>
              <w:top w:val="double" w:sz="2" w:space="0" w:color="000000"/>
              <w:left w:val="single" w:sz="4" w:space="0" w:color="000000"/>
              <w:bottom w:val="single" w:sz="4" w:space="0" w:color="000000"/>
              <w:right w:val="nil"/>
            </w:tcBorders>
            <w:shd w:val="clear" w:color="auto" w:fill="EAF1DD"/>
          </w:tcPr>
          <w:p w14:paraId="009D8169"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C00000"/>
                <w:sz w:val="18"/>
                <w:szCs w:val="18"/>
                <w:lang w:val="sr-Latn-RS"/>
              </w:rPr>
              <w:lastRenderedPageBreak/>
              <w:t xml:space="preserve"> </w:t>
            </w:r>
          </w:p>
        </w:tc>
        <w:tc>
          <w:tcPr>
            <w:tcW w:w="933" w:type="dxa"/>
            <w:gridSpan w:val="2"/>
            <w:tcBorders>
              <w:top w:val="double" w:sz="2" w:space="0" w:color="000000"/>
              <w:left w:val="nil"/>
              <w:bottom w:val="single" w:sz="4" w:space="0" w:color="000000"/>
              <w:right w:val="nil"/>
            </w:tcBorders>
            <w:shd w:val="clear" w:color="auto" w:fill="EAF1DD"/>
          </w:tcPr>
          <w:p w14:paraId="357A48A6"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41" w:type="dxa"/>
            <w:tcBorders>
              <w:top w:val="double" w:sz="2" w:space="0" w:color="000000"/>
              <w:left w:val="nil"/>
              <w:bottom w:val="single" w:sz="4" w:space="0" w:color="000000"/>
              <w:right w:val="single" w:sz="4" w:space="0" w:color="000000"/>
            </w:tcBorders>
            <w:shd w:val="clear" w:color="auto" w:fill="EAF1DD"/>
          </w:tcPr>
          <w:p w14:paraId="2F41E84A"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01462A6E" w14:textId="77777777" w:rsidTr="00C232D7">
        <w:tblPrEx>
          <w:tblCellMar>
            <w:top w:w="0" w:type="dxa"/>
          </w:tblCellMar>
        </w:tblPrEx>
        <w:trPr>
          <w:trHeight w:val="257"/>
        </w:trPr>
        <w:tc>
          <w:tcPr>
            <w:tcW w:w="266" w:type="dxa"/>
            <w:vMerge w:val="restart"/>
            <w:tcBorders>
              <w:top w:val="single" w:sz="4" w:space="0" w:color="000000"/>
              <w:left w:val="single" w:sz="4" w:space="0" w:color="000000"/>
              <w:bottom w:val="single" w:sz="2" w:space="0" w:color="000000"/>
              <w:right w:val="single" w:sz="4" w:space="0" w:color="000000"/>
            </w:tcBorders>
            <w:shd w:val="clear" w:color="auto" w:fill="EAF1DD"/>
            <w:vAlign w:val="center"/>
          </w:tcPr>
          <w:p w14:paraId="5B65242C" w14:textId="77777777" w:rsidR="00C232D7" w:rsidRPr="00F6198B" w:rsidRDefault="00C232D7" w:rsidP="00C232D7">
            <w:pPr>
              <w:spacing w:line="360" w:lineRule="auto"/>
              <w:ind w:right="41"/>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gridSpan w:val="3"/>
            <w:tcBorders>
              <w:top w:val="single" w:sz="4" w:space="0" w:color="000000"/>
              <w:left w:val="single" w:sz="4" w:space="0" w:color="000000"/>
              <w:bottom w:val="single" w:sz="4" w:space="0" w:color="000000"/>
              <w:right w:val="single" w:sz="4" w:space="0" w:color="000000"/>
            </w:tcBorders>
          </w:tcPr>
          <w:p w14:paraId="52298838"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969" w:type="dxa"/>
            <w:gridSpan w:val="8"/>
            <w:tcBorders>
              <w:top w:val="single" w:sz="4" w:space="0" w:color="000000"/>
              <w:left w:val="single" w:sz="4" w:space="0" w:color="000000"/>
              <w:bottom w:val="single" w:sz="4" w:space="0" w:color="000000"/>
              <w:right w:val="single" w:sz="4" w:space="0" w:color="000000"/>
            </w:tcBorders>
          </w:tcPr>
          <w:p w14:paraId="1E5BBD30"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Klikovače 2 lokacije u blizini želj stanice u Spužu  </w:t>
            </w:r>
          </w:p>
        </w:tc>
        <w:tc>
          <w:tcPr>
            <w:tcW w:w="2677" w:type="dxa"/>
            <w:tcBorders>
              <w:top w:val="single" w:sz="4" w:space="0" w:color="000000"/>
              <w:left w:val="single" w:sz="4" w:space="0" w:color="000000"/>
              <w:bottom w:val="single" w:sz="4" w:space="0" w:color="000000"/>
              <w:right w:val="single" w:sz="4" w:space="0" w:color="000000"/>
            </w:tcBorders>
          </w:tcPr>
          <w:p w14:paraId="4075A30B" w14:textId="55B5F3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4" w:space="0" w:color="000000"/>
              <w:left w:val="single" w:sz="4" w:space="0" w:color="000000"/>
              <w:bottom w:val="single" w:sz="4" w:space="0" w:color="000000"/>
              <w:right w:val="single" w:sz="2" w:space="0" w:color="000000"/>
            </w:tcBorders>
          </w:tcPr>
          <w:p w14:paraId="7BFCB735"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290D60C5" w14:textId="77777777" w:rsidR="00C232D7" w:rsidRPr="00F6198B" w:rsidRDefault="00C232D7" w:rsidP="00A23ED0">
            <w:pPr>
              <w:numPr>
                <w:ilvl w:val="0"/>
                <w:numId w:val="26"/>
              </w:numPr>
              <w:spacing w:after="5" w:line="360" w:lineRule="auto"/>
              <w:ind w:right="95"/>
              <w:contextualSpacing/>
              <w:rPr>
                <w:rFonts w:ascii="Arial" w:hAnsi="Arial" w:cs="Arial"/>
                <w:sz w:val="18"/>
                <w:szCs w:val="18"/>
                <w:lang w:val="sr-Latn-RS"/>
              </w:rPr>
            </w:pPr>
          </w:p>
        </w:tc>
      </w:tr>
      <w:tr w:rsidR="00C232D7" w:rsidRPr="00F6198B" w14:paraId="6BCE0CDD" w14:textId="77777777" w:rsidTr="00C232D7">
        <w:tblPrEx>
          <w:tblCellMar>
            <w:top w:w="0" w:type="dxa"/>
          </w:tblCellMar>
        </w:tblPrEx>
        <w:trPr>
          <w:trHeight w:val="244"/>
        </w:trPr>
        <w:tc>
          <w:tcPr>
            <w:tcW w:w="266" w:type="dxa"/>
            <w:vMerge/>
            <w:tcBorders>
              <w:top w:val="nil"/>
              <w:left w:val="single" w:sz="4" w:space="0" w:color="000000"/>
              <w:bottom w:val="single" w:sz="2" w:space="0" w:color="000000"/>
              <w:right w:val="single" w:sz="4" w:space="0" w:color="000000"/>
            </w:tcBorders>
          </w:tcPr>
          <w:p w14:paraId="7BD66EA9"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double" w:sz="2" w:space="0" w:color="000000"/>
              <w:right w:val="single" w:sz="4" w:space="0" w:color="000000"/>
            </w:tcBorders>
          </w:tcPr>
          <w:p w14:paraId="6C604C25"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969" w:type="dxa"/>
            <w:gridSpan w:val="8"/>
            <w:tcBorders>
              <w:top w:val="single" w:sz="4" w:space="0" w:color="000000"/>
              <w:left w:val="single" w:sz="4" w:space="0" w:color="000000"/>
              <w:bottom w:val="double" w:sz="2" w:space="0" w:color="000000"/>
              <w:right w:val="single" w:sz="4" w:space="0" w:color="000000"/>
            </w:tcBorders>
          </w:tcPr>
          <w:p w14:paraId="45560B78"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Bogićevići </w:t>
            </w:r>
          </w:p>
        </w:tc>
        <w:tc>
          <w:tcPr>
            <w:tcW w:w="2677" w:type="dxa"/>
            <w:tcBorders>
              <w:top w:val="single" w:sz="4" w:space="0" w:color="000000"/>
              <w:left w:val="single" w:sz="4" w:space="0" w:color="000000"/>
              <w:bottom w:val="double" w:sz="2" w:space="0" w:color="000000"/>
              <w:right w:val="single" w:sz="4" w:space="0" w:color="000000"/>
            </w:tcBorders>
          </w:tcPr>
          <w:p w14:paraId="1102E751" w14:textId="4049FB1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4" w:space="0" w:color="000000"/>
              <w:left w:val="single" w:sz="4" w:space="0" w:color="000000"/>
              <w:bottom w:val="double" w:sz="2" w:space="0" w:color="000000"/>
              <w:right w:val="single" w:sz="2" w:space="0" w:color="000000"/>
            </w:tcBorders>
          </w:tcPr>
          <w:p w14:paraId="3770D76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4" w:space="0" w:color="000000"/>
              <w:left w:val="single" w:sz="2" w:space="0" w:color="000000"/>
              <w:bottom w:val="double" w:sz="2" w:space="0" w:color="000000"/>
              <w:right w:val="single" w:sz="4" w:space="0" w:color="000000"/>
            </w:tcBorders>
            <w:shd w:val="clear" w:color="auto" w:fill="00FFFF"/>
          </w:tcPr>
          <w:p w14:paraId="7F048778" w14:textId="77777777" w:rsidR="00C232D7" w:rsidRPr="00F6198B" w:rsidRDefault="00C232D7" w:rsidP="00A23ED0">
            <w:pPr>
              <w:numPr>
                <w:ilvl w:val="0"/>
                <w:numId w:val="26"/>
              </w:numPr>
              <w:spacing w:after="5" w:line="360" w:lineRule="auto"/>
              <w:ind w:right="95"/>
              <w:contextualSpacing/>
              <w:rPr>
                <w:rFonts w:ascii="Arial" w:hAnsi="Arial" w:cs="Arial"/>
                <w:sz w:val="18"/>
                <w:szCs w:val="18"/>
                <w:lang w:val="sr-Latn-RS"/>
              </w:rPr>
            </w:pPr>
          </w:p>
        </w:tc>
      </w:tr>
      <w:tr w:rsidR="00C232D7" w:rsidRPr="00F6198B" w14:paraId="51BEA080" w14:textId="77777777" w:rsidTr="00C232D7">
        <w:tblPrEx>
          <w:tblCellMar>
            <w:top w:w="0" w:type="dxa"/>
          </w:tblCellMar>
        </w:tblPrEx>
        <w:trPr>
          <w:trHeight w:val="237"/>
        </w:trPr>
        <w:tc>
          <w:tcPr>
            <w:tcW w:w="1276" w:type="dxa"/>
            <w:gridSpan w:val="6"/>
            <w:tcBorders>
              <w:top w:val="double" w:sz="2" w:space="0" w:color="000000"/>
              <w:left w:val="single" w:sz="4" w:space="0" w:color="000000"/>
              <w:bottom w:val="single" w:sz="4" w:space="0" w:color="000000"/>
              <w:right w:val="single" w:sz="4" w:space="0" w:color="000000"/>
            </w:tcBorders>
            <w:shd w:val="clear" w:color="auto" w:fill="EAF1DD"/>
          </w:tcPr>
          <w:p w14:paraId="5AD0674E" w14:textId="77777777" w:rsidR="00C232D7" w:rsidRPr="00F6198B" w:rsidRDefault="00C232D7" w:rsidP="00C232D7">
            <w:pPr>
              <w:spacing w:line="360" w:lineRule="auto"/>
              <w:ind w:left="36"/>
              <w:rPr>
                <w:rFonts w:ascii="Arial" w:hAnsi="Arial" w:cs="Arial"/>
                <w:color w:val="000000"/>
                <w:sz w:val="18"/>
                <w:szCs w:val="18"/>
                <w:lang w:val="sr-Latn-RS"/>
              </w:rPr>
            </w:pPr>
          </w:p>
          <w:p w14:paraId="08180045" w14:textId="77777777" w:rsidR="00C232D7" w:rsidRPr="00F6198B" w:rsidRDefault="00C232D7" w:rsidP="00C232D7">
            <w:pPr>
              <w:spacing w:line="360" w:lineRule="auto"/>
              <w:ind w:left="36"/>
              <w:rPr>
                <w:rFonts w:ascii="Arial" w:hAnsi="Arial" w:cs="Arial"/>
                <w:color w:val="000000"/>
                <w:sz w:val="18"/>
                <w:szCs w:val="18"/>
                <w:lang w:val="sr-Latn-RS"/>
              </w:rPr>
            </w:pPr>
          </w:p>
          <w:p w14:paraId="1BCEFDE2" w14:textId="77777777" w:rsidR="00C232D7" w:rsidRPr="00F6198B" w:rsidRDefault="00C232D7" w:rsidP="00C232D7">
            <w:pPr>
              <w:spacing w:line="360" w:lineRule="auto"/>
              <w:ind w:left="36"/>
              <w:rPr>
                <w:rFonts w:ascii="Arial" w:hAnsi="Arial" w:cs="Arial"/>
                <w:color w:val="000000"/>
                <w:sz w:val="18"/>
                <w:szCs w:val="18"/>
                <w:lang w:val="sr-Latn-RS"/>
              </w:rPr>
            </w:pPr>
          </w:p>
          <w:p w14:paraId="6EEE7E05"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8. GUSINJE </w:t>
            </w:r>
          </w:p>
        </w:tc>
        <w:tc>
          <w:tcPr>
            <w:tcW w:w="6221" w:type="dxa"/>
            <w:gridSpan w:val="7"/>
            <w:tcBorders>
              <w:top w:val="double" w:sz="2" w:space="0" w:color="000000"/>
              <w:left w:val="single" w:sz="4" w:space="0" w:color="000000"/>
              <w:bottom w:val="single" w:sz="4" w:space="0" w:color="000000"/>
              <w:right w:val="nil"/>
            </w:tcBorders>
            <w:shd w:val="clear" w:color="auto" w:fill="EAF1DD"/>
          </w:tcPr>
          <w:p w14:paraId="4E658B7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33" w:type="dxa"/>
            <w:gridSpan w:val="2"/>
            <w:tcBorders>
              <w:top w:val="double" w:sz="2" w:space="0" w:color="000000"/>
              <w:left w:val="nil"/>
              <w:bottom w:val="single" w:sz="4" w:space="0" w:color="000000"/>
              <w:right w:val="nil"/>
            </w:tcBorders>
            <w:shd w:val="clear" w:color="auto" w:fill="EAF1DD"/>
          </w:tcPr>
          <w:p w14:paraId="28A5160D"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41" w:type="dxa"/>
            <w:tcBorders>
              <w:top w:val="double" w:sz="2" w:space="0" w:color="000000"/>
              <w:left w:val="nil"/>
              <w:bottom w:val="single" w:sz="4" w:space="0" w:color="000000"/>
              <w:right w:val="single" w:sz="4" w:space="0" w:color="000000"/>
            </w:tcBorders>
            <w:shd w:val="clear" w:color="auto" w:fill="EAF1DD"/>
          </w:tcPr>
          <w:p w14:paraId="604BA9D1"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4E6F60E5" w14:textId="77777777" w:rsidTr="00C232D7">
        <w:tblPrEx>
          <w:tblCellMar>
            <w:top w:w="0" w:type="dxa"/>
          </w:tblCellMar>
        </w:tblPrEx>
        <w:trPr>
          <w:trHeight w:val="203"/>
        </w:trPr>
        <w:tc>
          <w:tcPr>
            <w:tcW w:w="266" w:type="dxa"/>
            <w:vMerge w:val="restart"/>
            <w:tcBorders>
              <w:top w:val="single" w:sz="4" w:space="0" w:color="000000"/>
              <w:left w:val="single" w:sz="4" w:space="0" w:color="000000"/>
              <w:bottom w:val="single" w:sz="4" w:space="0" w:color="000000"/>
              <w:right w:val="single" w:sz="4" w:space="0" w:color="000000"/>
            </w:tcBorders>
            <w:shd w:val="clear" w:color="auto" w:fill="EAF1DD"/>
            <w:vAlign w:val="center"/>
          </w:tcPr>
          <w:p w14:paraId="192025B8" w14:textId="77777777" w:rsidR="00C232D7" w:rsidRPr="00F6198B" w:rsidRDefault="00C232D7" w:rsidP="00C232D7">
            <w:pPr>
              <w:spacing w:line="360" w:lineRule="auto"/>
              <w:ind w:right="41"/>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gridSpan w:val="3"/>
            <w:tcBorders>
              <w:top w:val="single" w:sz="4" w:space="0" w:color="000000"/>
              <w:left w:val="single" w:sz="4" w:space="0" w:color="000000"/>
              <w:bottom w:val="single" w:sz="2" w:space="0" w:color="000000"/>
              <w:right w:val="single" w:sz="4" w:space="0" w:color="000000"/>
            </w:tcBorders>
          </w:tcPr>
          <w:p w14:paraId="0153C7CF"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969" w:type="dxa"/>
            <w:gridSpan w:val="8"/>
            <w:tcBorders>
              <w:top w:val="single" w:sz="4" w:space="0" w:color="000000"/>
              <w:left w:val="single" w:sz="4" w:space="0" w:color="000000"/>
              <w:bottom w:val="single" w:sz="2" w:space="0" w:color="000000"/>
              <w:right w:val="single" w:sz="4" w:space="0" w:color="000000"/>
            </w:tcBorders>
          </w:tcPr>
          <w:p w14:paraId="0624FA0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Korito Vusanjskog potoka </w:t>
            </w:r>
          </w:p>
        </w:tc>
        <w:tc>
          <w:tcPr>
            <w:tcW w:w="2677" w:type="dxa"/>
            <w:tcBorders>
              <w:top w:val="single" w:sz="4" w:space="0" w:color="000000"/>
              <w:left w:val="single" w:sz="4" w:space="0" w:color="000000"/>
              <w:bottom w:val="single" w:sz="2" w:space="0" w:color="000000"/>
              <w:right w:val="single" w:sz="4" w:space="0" w:color="000000"/>
            </w:tcBorders>
          </w:tcPr>
          <w:p w14:paraId="53980634"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4" w:space="0" w:color="000000"/>
              <w:bottom w:val="single" w:sz="2" w:space="0" w:color="000000"/>
              <w:right w:val="single" w:sz="2" w:space="0" w:color="000000"/>
            </w:tcBorders>
          </w:tcPr>
          <w:p w14:paraId="0A32D850"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5BA11A00"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602D8E6F"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21E50470"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69E80EF5"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969" w:type="dxa"/>
            <w:gridSpan w:val="8"/>
            <w:tcBorders>
              <w:top w:val="single" w:sz="2" w:space="0" w:color="000000"/>
              <w:left w:val="single" w:sz="4" w:space="0" w:color="000000"/>
              <w:bottom w:val="single" w:sz="4" w:space="0" w:color="000000"/>
              <w:right w:val="single" w:sz="4" w:space="0" w:color="000000"/>
            </w:tcBorders>
          </w:tcPr>
          <w:p w14:paraId="0692B7C8"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Izbjegličko naselje u Gusinju </w:t>
            </w:r>
          </w:p>
        </w:tc>
        <w:tc>
          <w:tcPr>
            <w:tcW w:w="2677" w:type="dxa"/>
            <w:tcBorders>
              <w:top w:val="single" w:sz="2" w:space="0" w:color="000000"/>
              <w:left w:val="single" w:sz="4" w:space="0" w:color="000000"/>
              <w:bottom w:val="single" w:sz="4" w:space="0" w:color="000000"/>
              <w:right w:val="single" w:sz="4" w:space="0" w:color="000000"/>
            </w:tcBorders>
          </w:tcPr>
          <w:p w14:paraId="45A120EA"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2" w:space="0" w:color="000000"/>
              <w:left w:val="single" w:sz="4" w:space="0" w:color="000000"/>
              <w:bottom w:val="single" w:sz="4" w:space="0" w:color="000000"/>
              <w:right w:val="single" w:sz="2" w:space="0" w:color="000000"/>
            </w:tcBorders>
          </w:tcPr>
          <w:p w14:paraId="51787FC2"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16CA0BA6"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2D4DAC71" w14:textId="77777777" w:rsidTr="00C232D7">
        <w:tblPrEx>
          <w:tblCellMar>
            <w:top w:w="0" w:type="dxa"/>
          </w:tblCellMar>
        </w:tblPrEx>
        <w:trPr>
          <w:trHeight w:val="204"/>
        </w:trPr>
        <w:tc>
          <w:tcPr>
            <w:tcW w:w="266" w:type="dxa"/>
            <w:vMerge/>
            <w:tcBorders>
              <w:top w:val="nil"/>
              <w:left w:val="single" w:sz="4" w:space="0" w:color="000000"/>
              <w:bottom w:val="nil"/>
              <w:right w:val="single" w:sz="4" w:space="0" w:color="000000"/>
            </w:tcBorders>
          </w:tcPr>
          <w:p w14:paraId="4EBE1BD4"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6E3E763E"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 </w:t>
            </w:r>
          </w:p>
        </w:tc>
        <w:tc>
          <w:tcPr>
            <w:tcW w:w="3969" w:type="dxa"/>
            <w:gridSpan w:val="8"/>
            <w:tcBorders>
              <w:top w:val="single" w:sz="4" w:space="0" w:color="000000"/>
              <w:left w:val="single" w:sz="4" w:space="0" w:color="000000"/>
              <w:bottom w:val="single" w:sz="4" w:space="0" w:color="000000"/>
              <w:right w:val="single" w:sz="4" w:space="0" w:color="000000"/>
            </w:tcBorders>
          </w:tcPr>
          <w:p w14:paraId="6D4B2DBE"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Korito rijeke Ljuče </w:t>
            </w:r>
          </w:p>
        </w:tc>
        <w:tc>
          <w:tcPr>
            <w:tcW w:w="2677" w:type="dxa"/>
            <w:tcBorders>
              <w:top w:val="single" w:sz="4" w:space="0" w:color="000000"/>
              <w:left w:val="single" w:sz="4" w:space="0" w:color="000000"/>
              <w:bottom w:val="single" w:sz="4" w:space="0" w:color="000000"/>
              <w:right w:val="single" w:sz="4" w:space="0" w:color="000000"/>
            </w:tcBorders>
          </w:tcPr>
          <w:p w14:paraId="7826D0B9"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i građevinski </w:t>
            </w:r>
          </w:p>
        </w:tc>
        <w:tc>
          <w:tcPr>
            <w:tcW w:w="933" w:type="dxa"/>
            <w:gridSpan w:val="2"/>
            <w:tcBorders>
              <w:top w:val="single" w:sz="4" w:space="0" w:color="000000"/>
              <w:left w:val="single" w:sz="4" w:space="0" w:color="000000"/>
              <w:bottom w:val="single" w:sz="4" w:space="0" w:color="000000"/>
              <w:right w:val="single" w:sz="2" w:space="0" w:color="000000"/>
            </w:tcBorders>
          </w:tcPr>
          <w:p w14:paraId="04224F6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334D088C"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72C530A5"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17DD2CC4"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1B0B1A25"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969" w:type="dxa"/>
            <w:gridSpan w:val="8"/>
            <w:tcBorders>
              <w:top w:val="single" w:sz="4" w:space="0" w:color="000000"/>
              <w:left w:val="single" w:sz="4" w:space="0" w:color="000000"/>
              <w:bottom w:val="single" w:sz="4" w:space="0" w:color="000000"/>
              <w:right w:val="single" w:sz="4" w:space="0" w:color="000000"/>
            </w:tcBorders>
          </w:tcPr>
          <w:p w14:paraId="13F6C719"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Korito potoka Martinoviće </w:t>
            </w:r>
          </w:p>
        </w:tc>
        <w:tc>
          <w:tcPr>
            <w:tcW w:w="2677" w:type="dxa"/>
            <w:tcBorders>
              <w:top w:val="single" w:sz="4" w:space="0" w:color="000000"/>
              <w:left w:val="single" w:sz="4" w:space="0" w:color="000000"/>
              <w:bottom w:val="single" w:sz="4" w:space="0" w:color="000000"/>
              <w:right w:val="single" w:sz="4" w:space="0" w:color="000000"/>
            </w:tcBorders>
          </w:tcPr>
          <w:p w14:paraId="7D40D2C2"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3AE26406"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2,5</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1A240449"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2C8E5502" w14:textId="77777777" w:rsidTr="00C232D7">
        <w:tblPrEx>
          <w:tblCellMar>
            <w:top w:w="0" w:type="dxa"/>
          </w:tblCellMar>
        </w:tblPrEx>
        <w:trPr>
          <w:trHeight w:val="246"/>
        </w:trPr>
        <w:tc>
          <w:tcPr>
            <w:tcW w:w="266" w:type="dxa"/>
            <w:vMerge/>
            <w:tcBorders>
              <w:top w:val="nil"/>
              <w:left w:val="single" w:sz="4" w:space="0" w:color="000000"/>
              <w:bottom w:val="single" w:sz="4" w:space="0" w:color="000000"/>
              <w:right w:val="single" w:sz="4" w:space="0" w:color="000000"/>
            </w:tcBorders>
          </w:tcPr>
          <w:p w14:paraId="11E818C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double" w:sz="4" w:space="0" w:color="000000"/>
              <w:right w:val="single" w:sz="4" w:space="0" w:color="000000"/>
            </w:tcBorders>
          </w:tcPr>
          <w:p w14:paraId="100ABD32"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 </w:t>
            </w:r>
          </w:p>
        </w:tc>
        <w:tc>
          <w:tcPr>
            <w:tcW w:w="3969" w:type="dxa"/>
            <w:gridSpan w:val="8"/>
            <w:tcBorders>
              <w:top w:val="single" w:sz="4" w:space="0" w:color="000000"/>
              <w:left w:val="single" w:sz="4" w:space="0" w:color="000000"/>
              <w:bottom w:val="double" w:sz="4" w:space="0" w:color="000000"/>
              <w:right w:val="single" w:sz="4" w:space="0" w:color="000000"/>
            </w:tcBorders>
          </w:tcPr>
          <w:p w14:paraId="0708DE2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Korito rijeke Grnčar </w:t>
            </w:r>
          </w:p>
        </w:tc>
        <w:tc>
          <w:tcPr>
            <w:tcW w:w="2677" w:type="dxa"/>
            <w:tcBorders>
              <w:top w:val="single" w:sz="4" w:space="0" w:color="000000"/>
              <w:left w:val="single" w:sz="4" w:space="0" w:color="000000"/>
              <w:bottom w:val="double" w:sz="4" w:space="0" w:color="000000"/>
              <w:right w:val="single" w:sz="4" w:space="0" w:color="000000"/>
            </w:tcBorders>
          </w:tcPr>
          <w:p w14:paraId="7A3FB12B"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otpad </w:t>
            </w:r>
          </w:p>
        </w:tc>
        <w:tc>
          <w:tcPr>
            <w:tcW w:w="933" w:type="dxa"/>
            <w:gridSpan w:val="2"/>
            <w:tcBorders>
              <w:top w:val="single" w:sz="4" w:space="0" w:color="000000"/>
              <w:left w:val="single" w:sz="4" w:space="0" w:color="000000"/>
              <w:bottom w:val="double" w:sz="4" w:space="0" w:color="000000"/>
              <w:right w:val="single" w:sz="2" w:space="0" w:color="000000"/>
            </w:tcBorders>
          </w:tcPr>
          <w:p w14:paraId="787CBC7F"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25 000</w:t>
            </w:r>
          </w:p>
        </w:tc>
        <w:tc>
          <w:tcPr>
            <w:tcW w:w="941" w:type="dxa"/>
            <w:tcBorders>
              <w:top w:val="single" w:sz="4" w:space="0" w:color="000000"/>
              <w:left w:val="single" w:sz="2" w:space="0" w:color="000000"/>
              <w:bottom w:val="double" w:sz="4" w:space="0" w:color="000000"/>
              <w:right w:val="single" w:sz="4" w:space="0" w:color="000000"/>
            </w:tcBorders>
            <w:shd w:val="clear" w:color="auto" w:fill="00FFFF"/>
          </w:tcPr>
          <w:p w14:paraId="64585A55"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64FD0BBF" w14:textId="77777777" w:rsidTr="00C232D7">
        <w:tblPrEx>
          <w:tblCellMar>
            <w:top w:w="0" w:type="dxa"/>
          </w:tblCellMar>
        </w:tblPrEx>
        <w:trPr>
          <w:trHeight w:val="244"/>
        </w:trPr>
        <w:tc>
          <w:tcPr>
            <w:tcW w:w="1276" w:type="dxa"/>
            <w:gridSpan w:val="6"/>
            <w:tcBorders>
              <w:top w:val="double" w:sz="4" w:space="0" w:color="000000"/>
              <w:left w:val="single" w:sz="4" w:space="0" w:color="000000"/>
              <w:bottom w:val="single" w:sz="4" w:space="0" w:color="000000"/>
              <w:right w:val="single" w:sz="4" w:space="0" w:color="000000"/>
            </w:tcBorders>
            <w:shd w:val="clear" w:color="auto" w:fill="EAF1DD"/>
          </w:tcPr>
          <w:p w14:paraId="6B5FF74E" w14:textId="77777777" w:rsidR="00C232D7" w:rsidRPr="00F6198B" w:rsidRDefault="00C232D7" w:rsidP="00C232D7">
            <w:pPr>
              <w:spacing w:after="172" w:line="360" w:lineRule="auto"/>
              <w:ind w:left="259"/>
              <w:rPr>
                <w:rFonts w:ascii="Arial" w:hAnsi="Arial" w:cs="Arial"/>
                <w:color w:val="000000"/>
                <w:sz w:val="18"/>
                <w:szCs w:val="18"/>
                <w:lang w:val="sr-Latn-RS"/>
              </w:rPr>
            </w:pPr>
          </w:p>
          <w:p w14:paraId="5B9F5369" w14:textId="5940CA3A" w:rsidR="00C232D7" w:rsidRPr="00F6198B" w:rsidRDefault="00C232D7" w:rsidP="00C232D7">
            <w:pPr>
              <w:spacing w:after="172" w:line="360" w:lineRule="auto"/>
              <w:ind w:left="259"/>
              <w:rPr>
                <w:rFonts w:ascii="Arial" w:hAnsi="Arial" w:cs="Arial"/>
                <w:color w:val="000000"/>
                <w:sz w:val="18"/>
                <w:szCs w:val="18"/>
                <w:lang w:val="sr-Latn-RS"/>
              </w:rPr>
            </w:pPr>
            <w:r w:rsidRPr="00F6198B">
              <w:rPr>
                <w:rFonts w:ascii="Arial" w:hAnsi="Arial" w:cs="Arial"/>
                <w:color w:val="000000"/>
                <w:sz w:val="18"/>
                <w:szCs w:val="18"/>
                <w:lang w:val="sr-Latn-RS"/>
              </w:rPr>
              <w:t xml:space="preserve"> 9. H</w:t>
            </w:r>
            <w:r w:rsidR="00FA57C6" w:rsidRPr="00F6198B">
              <w:rPr>
                <w:rFonts w:ascii="Arial" w:hAnsi="Arial" w:cs="Arial"/>
                <w:color w:val="000000"/>
                <w:sz w:val="18"/>
                <w:szCs w:val="18"/>
                <w:lang w:val="sr-Latn-RS"/>
              </w:rPr>
              <w:t>ERCEG</w:t>
            </w:r>
            <w:r w:rsidRPr="00F6198B">
              <w:rPr>
                <w:rFonts w:ascii="Arial" w:hAnsi="Arial" w:cs="Arial"/>
                <w:color w:val="000000"/>
                <w:sz w:val="18"/>
                <w:szCs w:val="18"/>
                <w:lang w:val="sr-Latn-RS"/>
              </w:rPr>
              <w:t xml:space="preserve"> NOVI </w:t>
            </w:r>
          </w:p>
        </w:tc>
        <w:tc>
          <w:tcPr>
            <w:tcW w:w="6221" w:type="dxa"/>
            <w:gridSpan w:val="7"/>
            <w:tcBorders>
              <w:top w:val="double" w:sz="4" w:space="0" w:color="000000"/>
              <w:left w:val="single" w:sz="4" w:space="0" w:color="000000"/>
              <w:bottom w:val="single" w:sz="4" w:space="0" w:color="000000"/>
              <w:right w:val="nil"/>
            </w:tcBorders>
            <w:shd w:val="clear" w:color="auto" w:fill="EAF1DD"/>
          </w:tcPr>
          <w:p w14:paraId="0A4FC887"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33" w:type="dxa"/>
            <w:gridSpan w:val="2"/>
            <w:tcBorders>
              <w:top w:val="double" w:sz="4" w:space="0" w:color="000000"/>
              <w:left w:val="nil"/>
              <w:bottom w:val="single" w:sz="4" w:space="0" w:color="000000"/>
              <w:right w:val="nil"/>
            </w:tcBorders>
            <w:shd w:val="clear" w:color="auto" w:fill="EAF1DD"/>
          </w:tcPr>
          <w:p w14:paraId="31CC8D4E" w14:textId="77777777" w:rsidR="00C232D7" w:rsidRPr="00F6198B" w:rsidRDefault="00C232D7" w:rsidP="00C232D7">
            <w:pPr>
              <w:spacing w:line="360" w:lineRule="auto"/>
              <w:ind w:left="430"/>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41" w:type="dxa"/>
            <w:tcBorders>
              <w:top w:val="double" w:sz="4" w:space="0" w:color="000000"/>
              <w:left w:val="nil"/>
              <w:bottom w:val="single" w:sz="4" w:space="0" w:color="000000"/>
              <w:right w:val="single" w:sz="4" w:space="0" w:color="000000"/>
            </w:tcBorders>
            <w:shd w:val="clear" w:color="auto" w:fill="EAF1DD"/>
          </w:tcPr>
          <w:p w14:paraId="0F55ADE6"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3B42A98F" w14:textId="77777777" w:rsidTr="00C232D7">
        <w:tblPrEx>
          <w:tblCellMar>
            <w:top w:w="0" w:type="dxa"/>
          </w:tblCellMar>
        </w:tblPrEx>
        <w:trPr>
          <w:trHeight w:val="205"/>
        </w:trPr>
        <w:tc>
          <w:tcPr>
            <w:tcW w:w="266" w:type="dxa"/>
            <w:vMerge w:val="restart"/>
            <w:tcBorders>
              <w:top w:val="single" w:sz="4" w:space="0" w:color="000000"/>
              <w:left w:val="single" w:sz="4" w:space="0" w:color="000000"/>
              <w:bottom w:val="double" w:sz="4" w:space="0" w:color="000000"/>
              <w:right w:val="single" w:sz="4" w:space="0" w:color="000000"/>
            </w:tcBorders>
            <w:shd w:val="clear" w:color="auto" w:fill="EAF1DD"/>
            <w:vAlign w:val="center"/>
          </w:tcPr>
          <w:p w14:paraId="5AB88B42" w14:textId="77777777" w:rsidR="00C232D7" w:rsidRPr="00F6198B" w:rsidRDefault="00C232D7" w:rsidP="00C232D7">
            <w:pPr>
              <w:spacing w:line="360" w:lineRule="auto"/>
              <w:ind w:right="41"/>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gridSpan w:val="3"/>
            <w:tcBorders>
              <w:top w:val="single" w:sz="4" w:space="0" w:color="000000"/>
              <w:left w:val="single" w:sz="4" w:space="0" w:color="000000"/>
              <w:bottom w:val="single" w:sz="4" w:space="0" w:color="000000"/>
              <w:right w:val="single" w:sz="4" w:space="0" w:color="000000"/>
            </w:tcBorders>
          </w:tcPr>
          <w:p w14:paraId="74C339E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969" w:type="dxa"/>
            <w:gridSpan w:val="8"/>
            <w:tcBorders>
              <w:top w:val="single" w:sz="4" w:space="0" w:color="000000"/>
              <w:left w:val="single" w:sz="4" w:space="0" w:color="000000"/>
              <w:bottom w:val="single" w:sz="4" w:space="0" w:color="000000"/>
              <w:right w:val="single" w:sz="4" w:space="0" w:color="000000"/>
            </w:tcBorders>
          </w:tcPr>
          <w:p w14:paraId="0090D4A5"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Žvinje-Igalo </w:t>
            </w:r>
          </w:p>
        </w:tc>
        <w:tc>
          <w:tcPr>
            <w:tcW w:w="2677" w:type="dxa"/>
            <w:tcBorders>
              <w:top w:val="single" w:sz="4" w:space="0" w:color="000000"/>
              <w:left w:val="single" w:sz="4" w:space="0" w:color="000000"/>
              <w:bottom w:val="single" w:sz="4" w:space="0" w:color="000000"/>
              <w:right w:val="single" w:sz="4" w:space="0" w:color="000000"/>
            </w:tcBorders>
          </w:tcPr>
          <w:p w14:paraId="4F3A784F" w14:textId="7132798B"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4" w:space="0" w:color="000000"/>
              <w:left w:val="single" w:sz="4" w:space="0" w:color="000000"/>
              <w:bottom w:val="single" w:sz="4" w:space="0" w:color="000000"/>
              <w:right w:val="single" w:sz="2" w:space="0" w:color="000000"/>
            </w:tcBorders>
          </w:tcPr>
          <w:p w14:paraId="11265BA6"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1 500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0796B24B"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4FC5B45B"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076FA347"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60D7837A"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969" w:type="dxa"/>
            <w:gridSpan w:val="8"/>
            <w:tcBorders>
              <w:top w:val="single" w:sz="4" w:space="0" w:color="000000"/>
              <w:left w:val="single" w:sz="4" w:space="0" w:color="000000"/>
              <w:bottom w:val="single" w:sz="2" w:space="0" w:color="000000"/>
              <w:right w:val="single" w:sz="4" w:space="0" w:color="000000"/>
            </w:tcBorders>
          </w:tcPr>
          <w:p w14:paraId="46DBD15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Sutorinska rijeka -Igalo </w:t>
            </w:r>
          </w:p>
        </w:tc>
        <w:tc>
          <w:tcPr>
            <w:tcW w:w="2677" w:type="dxa"/>
            <w:tcBorders>
              <w:top w:val="single" w:sz="4" w:space="0" w:color="000000"/>
              <w:left w:val="single" w:sz="4" w:space="0" w:color="000000"/>
              <w:bottom w:val="single" w:sz="2" w:space="0" w:color="000000"/>
              <w:right w:val="single" w:sz="4" w:space="0" w:color="000000"/>
            </w:tcBorders>
          </w:tcPr>
          <w:p w14:paraId="79FBA1CA" w14:textId="386DC1AF"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4" w:space="0" w:color="000000"/>
              <w:left w:val="single" w:sz="4" w:space="0" w:color="000000"/>
              <w:bottom w:val="single" w:sz="2" w:space="0" w:color="000000"/>
              <w:right w:val="single" w:sz="2" w:space="0" w:color="000000"/>
            </w:tcBorders>
          </w:tcPr>
          <w:p w14:paraId="457ACDC0"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150 000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133412E6"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107B4AB4"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6EA4E6BD"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4734DF2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 </w:t>
            </w:r>
          </w:p>
        </w:tc>
        <w:tc>
          <w:tcPr>
            <w:tcW w:w="3969" w:type="dxa"/>
            <w:gridSpan w:val="8"/>
            <w:tcBorders>
              <w:top w:val="single" w:sz="2" w:space="0" w:color="000000"/>
              <w:left w:val="single" w:sz="4" w:space="0" w:color="000000"/>
              <w:bottom w:val="single" w:sz="4" w:space="0" w:color="000000"/>
              <w:right w:val="single" w:sz="4" w:space="0" w:color="000000"/>
            </w:tcBorders>
          </w:tcPr>
          <w:p w14:paraId="526132EE"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Ubli kod motela Borići-Kameno </w:t>
            </w:r>
          </w:p>
        </w:tc>
        <w:tc>
          <w:tcPr>
            <w:tcW w:w="2677" w:type="dxa"/>
            <w:tcBorders>
              <w:top w:val="single" w:sz="2" w:space="0" w:color="000000"/>
              <w:left w:val="single" w:sz="4" w:space="0" w:color="000000"/>
              <w:bottom w:val="single" w:sz="4" w:space="0" w:color="000000"/>
              <w:right w:val="single" w:sz="4" w:space="0" w:color="000000"/>
            </w:tcBorders>
          </w:tcPr>
          <w:p w14:paraId="75EBBFE8" w14:textId="65AC1789"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2" w:space="0" w:color="000000"/>
              <w:left w:val="single" w:sz="4" w:space="0" w:color="000000"/>
              <w:bottom w:val="single" w:sz="4" w:space="0" w:color="000000"/>
              <w:right w:val="single" w:sz="2" w:space="0" w:color="000000"/>
            </w:tcBorders>
          </w:tcPr>
          <w:p w14:paraId="702E1340"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200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32A574B6"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590826A8"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64ED9409"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0955036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969" w:type="dxa"/>
            <w:gridSpan w:val="8"/>
            <w:tcBorders>
              <w:top w:val="single" w:sz="4" w:space="0" w:color="000000"/>
              <w:left w:val="single" w:sz="4" w:space="0" w:color="000000"/>
              <w:bottom w:val="single" w:sz="2" w:space="0" w:color="000000"/>
              <w:right w:val="single" w:sz="4" w:space="0" w:color="000000"/>
            </w:tcBorders>
          </w:tcPr>
          <w:p w14:paraId="1D7029A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Dizdarica selo Ubli </w:t>
            </w:r>
          </w:p>
        </w:tc>
        <w:tc>
          <w:tcPr>
            <w:tcW w:w="2677" w:type="dxa"/>
            <w:tcBorders>
              <w:top w:val="single" w:sz="4" w:space="0" w:color="000000"/>
              <w:left w:val="single" w:sz="4" w:space="0" w:color="000000"/>
              <w:bottom w:val="single" w:sz="2" w:space="0" w:color="000000"/>
              <w:right w:val="single" w:sz="4" w:space="0" w:color="000000"/>
            </w:tcBorders>
          </w:tcPr>
          <w:p w14:paraId="72FA13ED" w14:textId="160FCF1E"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4" w:space="0" w:color="000000"/>
              <w:left w:val="single" w:sz="4" w:space="0" w:color="000000"/>
              <w:bottom w:val="single" w:sz="2" w:space="0" w:color="000000"/>
              <w:right w:val="single" w:sz="2" w:space="0" w:color="000000"/>
            </w:tcBorders>
          </w:tcPr>
          <w:p w14:paraId="7EDB5066"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800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3EA84913"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23DA5F9A" w14:textId="77777777" w:rsidTr="00C232D7">
        <w:tblPrEx>
          <w:tblCellMar>
            <w:top w:w="0" w:type="dxa"/>
          </w:tblCellMar>
        </w:tblPrEx>
        <w:trPr>
          <w:trHeight w:val="245"/>
        </w:trPr>
        <w:tc>
          <w:tcPr>
            <w:tcW w:w="266" w:type="dxa"/>
            <w:vMerge/>
            <w:tcBorders>
              <w:top w:val="nil"/>
              <w:left w:val="single" w:sz="4" w:space="0" w:color="000000"/>
              <w:bottom w:val="double" w:sz="4" w:space="0" w:color="000000"/>
              <w:right w:val="single" w:sz="4" w:space="0" w:color="000000"/>
            </w:tcBorders>
          </w:tcPr>
          <w:p w14:paraId="28BFE32F"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double" w:sz="4" w:space="0" w:color="000000"/>
              <w:right w:val="single" w:sz="4" w:space="0" w:color="000000"/>
            </w:tcBorders>
          </w:tcPr>
          <w:p w14:paraId="647B47FB"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 </w:t>
            </w:r>
          </w:p>
        </w:tc>
        <w:tc>
          <w:tcPr>
            <w:tcW w:w="3969" w:type="dxa"/>
            <w:gridSpan w:val="8"/>
            <w:tcBorders>
              <w:top w:val="single" w:sz="2" w:space="0" w:color="000000"/>
              <w:left w:val="single" w:sz="4" w:space="0" w:color="000000"/>
              <w:bottom w:val="double" w:sz="4" w:space="0" w:color="000000"/>
              <w:right w:val="single" w:sz="4" w:space="0" w:color="000000"/>
            </w:tcBorders>
          </w:tcPr>
          <w:p w14:paraId="68855414" w14:textId="02AD41A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Ul. Manastirska H</w:t>
            </w:r>
            <w:r w:rsidR="008D0139" w:rsidRPr="00F6198B">
              <w:rPr>
                <w:rFonts w:ascii="Arial" w:hAnsi="Arial" w:cs="Arial"/>
                <w:color w:val="000000"/>
                <w:sz w:val="18"/>
                <w:szCs w:val="18"/>
                <w:lang w:val="sr-Latn-RS"/>
              </w:rPr>
              <w:t>erceg</w:t>
            </w:r>
            <w:r w:rsidRPr="00F6198B">
              <w:rPr>
                <w:rFonts w:ascii="Arial" w:hAnsi="Arial" w:cs="Arial"/>
                <w:color w:val="000000"/>
                <w:sz w:val="18"/>
                <w:szCs w:val="18"/>
                <w:lang w:val="sr-Latn-RS"/>
              </w:rPr>
              <w:t xml:space="preserve"> Novi </w:t>
            </w:r>
          </w:p>
        </w:tc>
        <w:tc>
          <w:tcPr>
            <w:tcW w:w="2677" w:type="dxa"/>
            <w:tcBorders>
              <w:top w:val="single" w:sz="2" w:space="0" w:color="000000"/>
              <w:left w:val="single" w:sz="4" w:space="0" w:color="000000"/>
              <w:bottom w:val="double" w:sz="4" w:space="0" w:color="000000"/>
              <w:right w:val="single" w:sz="4" w:space="0" w:color="000000"/>
            </w:tcBorders>
          </w:tcPr>
          <w:p w14:paraId="5DF772AF" w14:textId="77897E66"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w:t>
            </w:r>
            <w:r w:rsidR="002C3B40" w:rsidRPr="00F6198B">
              <w:rPr>
                <w:rFonts w:ascii="Arial" w:hAnsi="Arial" w:cs="Arial"/>
                <w:color w:val="000000"/>
                <w:sz w:val="18"/>
                <w:szCs w:val="18"/>
                <w:lang w:val="sr-Latn-RS"/>
              </w:rPr>
              <w:t>i</w:t>
            </w:r>
            <w:r w:rsidRPr="00F6198B">
              <w:rPr>
                <w:rFonts w:ascii="Arial" w:hAnsi="Arial" w:cs="Arial"/>
                <w:color w:val="000000"/>
                <w:sz w:val="18"/>
                <w:szCs w:val="18"/>
                <w:lang w:val="sr-Latn-RS"/>
              </w:rPr>
              <w:t xml:space="preserve">ješani komunalni i građevinski </w:t>
            </w:r>
          </w:p>
        </w:tc>
        <w:tc>
          <w:tcPr>
            <w:tcW w:w="933" w:type="dxa"/>
            <w:gridSpan w:val="2"/>
            <w:tcBorders>
              <w:top w:val="single" w:sz="2" w:space="0" w:color="000000"/>
              <w:left w:val="single" w:sz="4" w:space="0" w:color="000000"/>
              <w:bottom w:val="double" w:sz="4" w:space="0" w:color="000000"/>
              <w:right w:val="single" w:sz="2" w:space="0" w:color="000000"/>
            </w:tcBorders>
          </w:tcPr>
          <w:p w14:paraId="78F7813B"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300</w:t>
            </w:r>
          </w:p>
        </w:tc>
        <w:tc>
          <w:tcPr>
            <w:tcW w:w="941" w:type="dxa"/>
            <w:tcBorders>
              <w:top w:val="single" w:sz="2" w:space="0" w:color="000000"/>
              <w:left w:val="single" w:sz="2" w:space="0" w:color="000000"/>
              <w:bottom w:val="double" w:sz="4" w:space="0" w:color="000000"/>
              <w:right w:val="single" w:sz="4" w:space="0" w:color="000000"/>
            </w:tcBorders>
            <w:shd w:val="clear" w:color="auto" w:fill="00FFFF"/>
          </w:tcPr>
          <w:p w14:paraId="4A25B695"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18F29BEF" w14:textId="77777777" w:rsidTr="00C232D7">
        <w:tblPrEx>
          <w:tblCellMar>
            <w:top w:w="0" w:type="dxa"/>
          </w:tblCellMar>
        </w:tblPrEx>
        <w:trPr>
          <w:trHeight w:val="245"/>
        </w:trPr>
        <w:tc>
          <w:tcPr>
            <w:tcW w:w="1276" w:type="dxa"/>
            <w:gridSpan w:val="6"/>
            <w:tcBorders>
              <w:top w:val="double" w:sz="4" w:space="0" w:color="000000"/>
              <w:left w:val="single" w:sz="4" w:space="0" w:color="000000"/>
              <w:bottom w:val="single" w:sz="2" w:space="0" w:color="000000"/>
              <w:right w:val="single" w:sz="4" w:space="0" w:color="000000"/>
            </w:tcBorders>
            <w:shd w:val="clear" w:color="auto" w:fill="EAF1DD"/>
          </w:tcPr>
          <w:p w14:paraId="0B9258E3" w14:textId="77777777" w:rsidR="00C232D7" w:rsidRPr="00F6198B" w:rsidRDefault="00C232D7" w:rsidP="00C232D7">
            <w:pPr>
              <w:spacing w:after="177"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p w14:paraId="0868A9F3" w14:textId="77777777" w:rsidR="00C232D7" w:rsidRPr="00F6198B" w:rsidRDefault="00C232D7" w:rsidP="00C232D7">
            <w:pPr>
              <w:spacing w:after="177"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10. KOTOR </w:t>
            </w:r>
          </w:p>
        </w:tc>
        <w:tc>
          <w:tcPr>
            <w:tcW w:w="6221" w:type="dxa"/>
            <w:gridSpan w:val="7"/>
            <w:tcBorders>
              <w:top w:val="double" w:sz="4" w:space="0" w:color="000000"/>
              <w:left w:val="single" w:sz="4" w:space="0" w:color="000000"/>
              <w:bottom w:val="single" w:sz="2" w:space="0" w:color="000000"/>
              <w:right w:val="nil"/>
            </w:tcBorders>
            <w:shd w:val="clear" w:color="auto" w:fill="EAF1DD"/>
          </w:tcPr>
          <w:p w14:paraId="324C8C92"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933" w:type="dxa"/>
            <w:gridSpan w:val="2"/>
            <w:tcBorders>
              <w:top w:val="double" w:sz="4" w:space="0" w:color="000000"/>
              <w:left w:val="nil"/>
              <w:bottom w:val="single" w:sz="2" w:space="0" w:color="000000"/>
              <w:right w:val="single" w:sz="2" w:space="0" w:color="000000"/>
            </w:tcBorders>
            <w:shd w:val="clear" w:color="auto" w:fill="EAF1DD"/>
          </w:tcPr>
          <w:p w14:paraId="3DB986D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FF0000"/>
                <w:sz w:val="18"/>
                <w:szCs w:val="18"/>
                <w:lang w:val="sr-Latn-RS"/>
              </w:rPr>
              <w:t xml:space="preserve"> </w:t>
            </w:r>
          </w:p>
        </w:tc>
        <w:tc>
          <w:tcPr>
            <w:tcW w:w="941" w:type="dxa"/>
            <w:tcBorders>
              <w:top w:val="double" w:sz="4" w:space="0" w:color="000000"/>
              <w:left w:val="single" w:sz="2" w:space="0" w:color="000000"/>
              <w:bottom w:val="single" w:sz="2" w:space="0" w:color="000000"/>
              <w:right w:val="single" w:sz="4" w:space="0" w:color="000000"/>
            </w:tcBorders>
            <w:shd w:val="clear" w:color="auto" w:fill="EAF1DD"/>
          </w:tcPr>
          <w:p w14:paraId="1176E317" w14:textId="77777777" w:rsidR="00C232D7" w:rsidRPr="00F6198B" w:rsidRDefault="00C232D7" w:rsidP="00C232D7">
            <w:pPr>
              <w:spacing w:line="360" w:lineRule="auto"/>
              <w:ind w:left="37"/>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r>
      <w:tr w:rsidR="00C232D7" w:rsidRPr="00F6198B" w14:paraId="0BEDA259" w14:textId="77777777" w:rsidTr="00C232D7">
        <w:tblPrEx>
          <w:tblCellMar>
            <w:top w:w="0" w:type="dxa"/>
          </w:tblCellMar>
        </w:tblPrEx>
        <w:trPr>
          <w:trHeight w:val="594"/>
        </w:trPr>
        <w:tc>
          <w:tcPr>
            <w:tcW w:w="266" w:type="dxa"/>
            <w:vMerge w:val="restart"/>
            <w:tcBorders>
              <w:top w:val="single" w:sz="2" w:space="0" w:color="000000"/>
              <w:left w:val="single" w:sz="4" w:space="0" w:color="000000"/>
              <w:bottom w:val="single" w:sz="4" w:space="0" w:color="000000"/>
              <w:right w:val="single" w:sz="4" w:space="0" w:color="000000"/>
            </w:tcBorders>
            <w:vAlign w:val="center"/>
          </w:tcPr>
          <w:p w14:paraId="2E54EA9B" w14:textId="77777777" w:rsidR="00C232D7" w:rsidRPr="00F6198B" w:rsidRDefault="00C232D7" w:rsidP="00C232D7">
            <w:pPr>
              <w:spacing w:line="360" w:lineRule="auto"/>
              <w:ind w:right="41"/>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gridSpan w:val="3"/>
            <w:tcBorders>
              <w:top w:val="single" w:sz="2" w:space="0" w:color="000000"/>
              <w:left w:val="single" w:sz="4" w:space="0" w:color="000000"/>
              <w:bottom w:val="single" w:sz="4" w:space="0" w:color="000000"/>
              <w:right w:val="single" w:sz="4" w:space="0" w:color="000000"/>
            </w:tcBorders>
            <w:vAlign w:val="center"/>
          </w:tcPr>
          <w:p w14:paraId="0AB8FA6D"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969" w:type="dxa"/>
            <w:gridSpan w:val="8"/>
            <w:tcBorders>
              <w:top w:val="single" w:sz="2" w:space="0" w:color="000000"/>
              <w:left w:val="single" w:sz="4" w:space="0" w:color="000000"/>
              <w:bottom w:val="single" w:sz="4" w:space="0" w:color="000000"/>
              <w:right w:val="single" w:sz="4" w:space="0" w:color="000000"/>
            </w:tcBorders>
          </w:tcPr>
          <w:p w14:paraId="756BF15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Regionalni put Kotor – Njeguši, </w:t>
            </w:r>
          </w:p>
          <w:p w14:paraId="4915F32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Ispod mosta koji se nalazi između 10 i 11 krivine, sa lijeve i desne strane </w:t>
            </w:r>
          </w:p>
        </w:tc>
        <w:tc>
          <w:tcPr>
            <w:tcW w:w="2677" w:type="dxa"/>
            <w:tcBorders>
              <w:top w:val="single" w:sz="2" w:space="0" w:color="000000"/>
              <w:left w:val="single" w:sz="4" w:space="0" w:color="000000"/>
              <w:bottom w:val="single" w:sz="4" w:space="0" w:color="000000"/>
              <w:right w:val="single" w:sz="4" w:space="0" w:color="000000"/>
            </w:tcBorders>
            <w:vAlign w:val="center"/>
          </w:tcPr>
          <w:p w14:paraId="6A1E6F64" w14:textId="3978B00E" w:rsidR="00C232D7" w:rsidRPr="00F6198B" w:rsidRDefault="002C3B40"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w:t>
            </w:r>
            <w:r w:rsidR="00C232D7" w:rsidRPr="00F6198B">
              <w:rPr>
                <w:rFonts w:ascii="Arial" w:hAnsi="Arial" w:cs="Arial"/>
                <w:color w:val="000000"/>
                <w:sz w:val="18"/>
                <w:szCs w:val="18"/>
                <w:lang w:val="sr-Latn-RS"/>
              </w:rPr>
              <w:t xml:space="preserve"> komunalni otpad </w:t>
            </w:r>
          </w:p>
        </w:tc>
        <w:tc>
          <w:tcPr>
            <w:tcW w:w="933" w:type="dxa"/>
            <w:gridSpan w:val="2"/>
            <w:tcBorders>
              <w:top w:val="single" w:sz="2" w:space="0" w:color="000000"/>
              <w:left w:val="single" w:sz="4" w:space="0" w:color="000000"/>
              <w:bottom w:val="single" w:sz="4" w:space="0" w:color="000000"/>
              <w:right w:val="single" w:sz="2" w:space="0" w:color="000000"/>
            </w:tcBorders>
            <w:vAlign w:val="center"/>
          </w:tcPr>
          <w:p w14:paraId="2CA44711"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150</w:t>
            </w:r>
          </w:p>
          <w:p w14:paraId="354714B1" w14:textId="77777777" w:rsidR="00C232D7" w:rsidRPr="00F6198B" w:rsidRDefault="00C232D7" w:rsidP="00C232D7">
            <w:pPr>
              <w:spacing w:line="360" w:lineRule="auto"/>
              <w:ind w:left="36"/>
              <w:rPr>
                <w:rFonts w:ascii="Arial" w:hAnsi="Arial" w:cs="Arial"/>
                <w:color w:val="000000"/>
                <w:sz w:val="18"/>
                <w:szCs w:val="18"/>
                <w:lang w:val="sr-Latn-RS"/>
              </w:rPr>
            </w:pPr>
          </w:p>
        </w:tc>
        <w:tc>
          <w:tcPr>
            <w:tcW w:w="941" w:type="dxa"/>
            <w:tcBorders>
              <w:top w:val="single" w:sz="2" w:space="0" w:color="000000"/>
              <w:left w:val="single" w:sz="2" w:space="0" w:color="000000"/>
              <w:bottom w:val="single" w:sz="4" w:space="0" w:color="000000"/>
              <w:right w:val="single" w:sz="4" w:space="0" w:color="000000"/>
            </w:tcBorders>
            <w:shd w:val="clear" w:color="auto" w:fill="00FFFF"/>
            <w:vAlign w:val="center"/>
          </w:tcPr>
          <w:p w14:paraId="02F1A904"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51012B5A"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3679E409"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7D2E0479"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969" w:type="dxa"/>
            <w:gridSpan w:val="8"/>
            <w:tcBorders>
              <w:top w:val="single" w:sz="4" w:space="0" w:color="000000"/>
              <w:left w:val="single" w:sz="4" w:space="0" w:color="000000"/>
              <w:bottom w:val="single" w:sz="4" w:space="0" w:color="000000"/>
              <w:right w:val="single" w:sz="4" w:space="0" w:color="000000"/>
            </w:tcBorders>
          </w:tcPr>
          <w:p w14:paraId="696E975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Regionalni put Kotor – Njeguši, prije 10 krivine </w:t>
            </w:r>
          </w:p>
        </w:tc>
        <w:tc>
          <w:tcPr>
            <w:tcW w:w="2677" w:type="dxa"/>
            <w:tcBorders>
              <w:top w:val="single" w:sz="4" w:space="0" w:color="000000"/>
              <w:left w:val="single" w:sz="4" w:space="0" w:color="000000"/>
              <w:bottom w:val="single" w:sz="4" w:space="0" w:color="000000"/>
              <w:right w:val="single" w:sz="4" w:space="0" w:color="000000"/>
            </w:tcBorders>
          </w:tcPr>
          <w:p w14:paraId="52B17292"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933" w:type="dxa"/>
            <w:gridSpan w:val="2"/>
            <w:tcBorders>
              <w:top w:val="single" w:sz="4" w:space="0" w:color="000000"/>
              <w:left w:val="single" w:sz="4" w:space="0" w:color="000000"/>
              <w:bottom w:val="single" w:sz="4" w:space="0" w:color="000000"/>
              <w:right w:val="single" w:sz="2" w:space="0" w:color="000000"/>
            </w:tcBorders>
          </w:tcPr>
          <w:p w14:paraId="7C85362F"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1D7C9F8A"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751D872B" w14:textId="77777777" w:rsidTr="00C232D7">
        <w:tblPrEx>
          <w:tblCellMar>
            <w:top w:w="0" w:type="dxa"/>
          </w:tblCellMar>
        </w:tblPrEx>
        <w:trPr>
          <w:trHeight w:val="400"/>
        </w:trPr>
        <w:tc>
          <w:tcPr>
            <w:tcW w:w="266" w:type="dxa"/>
            <w:vMerge/>
            <w:tcBorders>
              <w:top w:val="nil"/>
              <w:left w:val="single" w:sz="4" w:space="0" w:color="000000"/>
              <w:bottom w:val="nil"/>
              <w:right w:val="single" w:sz="4" w:space="0" w:color="000000"/>
            </w:tcBorders>
          </w:tcPr>
          <w:p w14:paraId="34E8FAB5"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vAlign w:val="center"/>
          </w:tcPr>
          <w:p w14:paraId="68E6B18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 </w:t>
            </w:r>
          </w:p>
        </w:tc>
        <w:tc>
          <w:tcPr>
            <w:tcW w:w="3969" w:type="dxa"/>
            <w:gridSpan w:val="8"/>
            <w:tcBorders>
              <w:top w:val="single" w:sz="4" w:space="0" w:color="000000"/>
              <w:left w:val="single" w:sz="4" w:space="0" w:color="000000"/>
              <w:bottom w:val="single" w:sz="4" w:space="0" w:color="000000"/>
              <w:right w:val="single" w:sz="4" w:space="0" w:color="000000"/>
            </w:tcBorders>
          </w:tcPr>
          <w:p w14:paraId="753504E5"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Lokalni put ka Mircu, III krivina od skretanja sa regionalnog puta Kotor – Njeguši ka Mircu </w:t>
            </w:r>
          </w:p>
        </w:tc>
        <w:tc>
          <w:tcPr>
            <w:tcW w:w="2677" w:type="dxa"/>
            <w:tcBorders>
              <w:top w:val="single" w:sz="4" w:space="0" w:color="000000"/>
              <w:left w:val="single" w:sz="4" w:space="0" w:color="000000"/>
              <w:bottom w:val="single" w:sz="4" w:space="0" w:color="000000"/>
              <w:right w:val="single" w:sz="4" w:space="0" w:color="000000"/>
            </w:tcBorders>
            <w:vAlign w:val="center"/>
          </w:tcPr>
          <w:p w14:paraId="0E09AD45" w14:textId="4333B696" w:rsidR="00C232D7" w:rsidRPr="00F6198B" w:rsidRDefault="002C3B40"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2" w:space="0" w:color="000000"/>
            </w:tcBorders>
            <w:vAlign w:val="center"/>
          </w:tcPr>
          <w:p w14:paraId="2448EF15"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150</w:t>
            </w:r>
          </w:p>
        </w:tc>
        <w:tc>
          <w:tcPr>
            <w:tcW w:w="941" w:type="dxa"/>
            <w:tcBorders>
              <w:top w:val="single" w:sz="4" w:space="0" w:color="000000"/>
              <w:left w:val="single" w:sz="2" w:space="0" w:color="000000"/>
              <w:bottom w:val="single" w:sz="4" w:space="0" w:color="000000"/>
              <w:right w:val="single" w:sz="4" w:space="0" w:color="000000"/>
            </w:tcBorders>
            <w:shd w:val="clear" w:color="auto" w:fill="00FFFF"/>
            <w:vAlign w:val="center"/>
          </w:tcPr>
          <w:p w14:paraId="1D08C941"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2054E877" w14:textId="77777777" w:rsidTr="00C232D7">
        <w:tblPrEx>
          <w:tblCellMar>
            <w:top w:w="0" w:type="dxa"/>
          </w:tblCellMar>
        </w:tblPrEx>
        <w:trPr>
          <w:trHeight w:val="398"/>
        </w:trPr>
        <w:tc>
          <w:tcPr>
            <w:tcW w:w="266" w:type="dxa"/>
            <w:vMerge/>
            <w:tcBorders>
              <w:top w:val="nil"/>
              <w:left w:val="single" w:sz="4" w:space="0" w:color="000000"/>
              <w:bottom w:val="nil"/>
              <w:right w:val="single" w:sz="4" w:space="0" w:color="000000"/>
            </w:tcBorders>
            <w:vAlign w:val="center"/>
          </w:tcPr>
          <w:p w14:paraId="08D7848B"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vAlign w:val="center"/>
          </w:tcPr>
          <w:p w14:paraId="4F048F2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969" w:type="dxa"/>
            <w:gridSpan w:val="8"/>
            <w:tcBorders>
              <w:top w:val="single" w:sz="4" w:space="0" w:color="000000"/>
              <w:left w:val="single" w:sz="4" w:space="0" w:color="000000"/>
              <w:bottom w:val="single" w:sz="4" w:space="0" w:color="000000"/>
              <w:right w:val="single" w:sz="4" w:space="0" w:color="000000"/>
            </w:tcBorders>
          </w:tcPr>
          <w:p w14:paraId="7CF4B005"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Lokalni put ka Mircu, oko Tvrđave na Goraždu – Mirac </w:t>
            </w:r>
          </w:p>
        </w:tc>
        <w:tc>
          <w:tcPr>
            <w:tcW w:w="2677" w:type="dxa"/>
            <w:tcBorders>
              <w:top w:val="single" w:sz="4" w:space="0" w:color="000000"/>
              <w:left w:val="single" w:sz="4" w:space="0" w:color="000000"/>
              <w:bottom w:val="single" w:sz="4" w:space="0" w:color="000000"/>
              <w:right w:val="single" w:sz="4" w:space="0" w:color="000000"/>
            </w:tcBorders>
            <w:vAlign w:val="center"/>
          </w:tcPr>
          <w:p w14:paraId="52119C63" w14:textId="6EB86B8F" w:rsidR="00C232D7" w:rsidRPr="00F6198B" w:rsidRDefault="002C3B40"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2" w:space="0" w:color="000000"/>
            </w:tcBorders>
            <w:vAlign w:val="center"/>
          </w:tcPr>
          <w:p w14:paraId="08A96373"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4" w:space="0" w:color="000000"/>
              <w:left w:val="single" w:sz="2" w:space="0" w:color="000000"/>
              <w:bottom w:val="single" w:sz="4" w:space="0" w:color="000000"/>
              <w:right w:val="single" w:sz="4" w:space="0" w:color="000000"/>
            </w:tcBorders>
            <w:shd w:val="clear" w:color="auto" w:fill="00FFFF"/>
            <w:vAlign w:val="center"/>
          </w:tcPr>
          <w:p w14:paraId="6558F251"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71E0DF1F" w14:textId="77777777" w:rsidTr="00C232D7">
        <w:tblPrEx>
          <w:tblCellMar>
            <w:top w:w="0" w:type="dxa"/>
          </w:tblCellMar>
        </w:tblPrEx>
        <w:trPr>
          <w:trHeight w:val="204"/>
        </w:trPr>
        <w:tc>
          <w:tcPr>
            <w:tcW w:w="266" w:type="dxa"/>
            <w:vMerge/>
            <w:tcBorders>
              <w:top w:val="nil"/>
              <w:left w:val="single" w:sz="4" w:space="0" w:color="000000"/>
              <w:bottom w:val="nil"/>
              <w:right w:val="single" w:sz="4" w:space="0" w:color="000000"/>
            </w:tcBorders>
          </w:tcPr>
          <w:p w14:paraId="7466EB4E"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2B5DF38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 </w:t>
            </w:r>
          </w:p>
        </w:tc>
        <w:tc>
          <w:tcPr>
            <w:tcW w:w="3969" w:type="dxa"/>
            <w:gridSpan w:val="8"/>
            <w:tcBorders>
              <w:top w:val="single" w:sz="4" w:space="0" w:color="000000"/>
              <w:left w:val="single" w:sz="4" w:space="0" w:color="000000"/>
              <w:bottom w:val="single" w:sz="4" w:space="0" w:color="000000"/>
              <w:right w:val="single" w:sz="4" w:space="0" w:color="000000"/>
            </w:tcBorders>
          </w:tcPr>
          <w:p w14:paraId="4E53E33F"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Lok. put ka Vrmcu, prva oštra krivina ka Vrmcu </w:t>
            </w:r>
          </w:p>
        </w:tc>
        <w:tc>
          <w:tcPr>
            <w:tcW w:w="2677" w:type="dxa"/>
            <w:tcBorders>
              <w:top w:val="single" w:sz="4" w:space="0" w:color="000000"/>
              <w:left w:val="single" w:sz="4" w:space="0" w:color="000000"/>
              <w:bottom w:val="single" w:sz="4" w:space="0" w:color="000000"/>
              <w:right w:val="single" w:sz="4" w:space="0" w:color="000000"/>
            </w:tcBorders>
          </w:tcPr>
          <w:p w14:paraId="0341CEFE"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Zemlja sa kamenom </w:t>
            </w:r>
          </w:p>
        </w:tc>
        <w:tc>
          <w:tcPr>
            <w:tcW w:w="933" w:type="dxa"/>
            <w:gridSpan w:val="2"/>
            <w:tcBorders>
              <w:top w:val="single" w:sz="4" w:space="0" w:color="000000"/>
              <w:left w:val="single" w:sz="4" w:space="0" w:color="000000"/>
              <w:bottom w:val="single" w:sz="4" w:space="0" w:color="000000"/>
              <w:right w:val="single" w:sz="2" w:space="0" w:color="000000"/>
            </w:tcBorders>
          </w:tcPr>
          <w:p w14:paraId="0EAE975B"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5AF13090"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14164F" w14:paraId="00A27A84" w14:textId="77777777" w:rsidTr="00C232D7">
        <w:tblPrEx>
          <w:tblCellMar>
            <w:top w:w="0" w:type="dxa"/>
          </w:tblCellMar>
        </w:tblPrEx>
        <w:trPr>
          <w:trHeight w:val="204"/>
        </w:trPr>
        <w:tc>
          <w:tcPr>
            <w:tcW w:w="266" w:type="dxa"/>
            <w:vMerge/>
            <w:tcBorders>
              <w:top w:val="nil"/>
              <w:left w:val="single" w:sz="4" w:space="0" w:color="000000"/>
              <w:bottom w:val="nil"/>
              <w:right w:val="single" w:sz="4" w:space="0" w:color="000000"/>
            </w:tcBorders>
          </w:tcPr>
          <w:p w14:paraId="5ADCAE2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5F12252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6. </w:t>
            </w:r>
          </w:p>
        </w:tc>
        <w:tc>
          <w:tcPr>
            <w:tcW w:w="3969" w:type="dxa"/>
            <w:gridSpan w:val="8"/>
            <w:tcBorders>
              <w:top w:val="single" w:sz="4" w:space="0" w:color="000000"/>
              <w:left w:val="single" w:sz="4" w:space="0" w:color="000000"/>
              <w:bottom w:val="single" w:sz="4" w:space="0" w:color="000000"/>
              <w:right w:val="single" w:sz="4" w:space="0" w:color="000000"/>
            </w:tcBorders>
          </w:tcPr>
          <w:p w14:paraId="5627FCDE"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Trojica, III krivina na starom putu KO – Trojica </w:t>
            </w:r>
          </w:p>
        </w:tc>
        <w:tc>
          <w:tcPr>
            <w:tcW w:w="2677" w:type="dxa"/>
            <w:tcBorders>
              <w:top w:val="single" w:sz="4" w:space="0" w:color="000000"/>
              <w:left w:val="single" w:sz="4" w:space="0" w:color="000000"/>
              <w:bottom w:val="single" w:sz="4" w:space="0" w:color="000000"/>
              <w:right w:val="single" w:sz="4" w:space="0" w:color="000000"/>
            </w:tcBorders>
          </w:tcPr>
          <w:p w14:paraId="571CB739" w14:textId="44880D9A" w:rsidR="00C232D7" w:rsidRPr="00F6198B" w:rsidRDefault="002C3B40" w:rsidP="00A659F0">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komunalni i građevi</w:t>
            </w:r>
            <w:r w:rsidR="00A659F0">
              <w:rPr>
                <w:rFonts w:ascii="Arial" w:hAnsi="Arial" w:cs="Arial"/>
                <w:color w:val="000000"/>
                <w:sz w:val="18"/>
                <w:szCs w:val="18"/>
                <w:lang w:val="sr-Latn-RS"/>
              </w:rPr>
              <w:t>nski</w:t>
            </w:r>
            <w:r w:rsidR="00C232D7" w:rsidRPr="00F6198B">
              <w:rPr>
                <w:rFonts w:ascii="Arial" w:hAnsi="Arial" w:cs="Arial"/>
                <w:color w:val="000000"/>
                <w:sz w:val="18"/>
                <w:szCs w:val="18"/>
                <w:lang w:val="sr-Latn-RS"/>
              </w:rPr>
              <w:t xml:space="preserve"> otpad </w:t>
            </w:r>
          </w:p>
        </w:tc>
        <w:tc>
          <w:tcPr>
            <w:tcW w:w="933" w:type="dxa"/>
            <w:gridSpan w:val="2"/>
            <w:tcBorders>
              <w:top w:val="single" w:sz="4" w:space="0" w:color="000000"/>
              <w:left w:val="single" w:sz="4" w:space="0" w:color="000000"/>
              <w:bottom w:val="single" w:sz="4" w:space="0" w:color="000000"/>
              <w:right w:val="single" w:sz="2" w:space="0" w:color="000000"/>
            </w:tcBorders>
          </w:tcPr>
          <w:p w14:paraId="03ADF91A" w14:textId="77777777" w:rsidR="00C232D7" w:rsidRPr="00F6198B" w:rsidRDefault="00C232D7" w:rsidP="00C232D7">
            <w:pPr>
              <w:spacing w:line="360" w:lineRule="auto"/>
              <w:ind w:left="36"/>
              <w:rPr>
                <w:rFonts w:ascii="Arial" w:hAnsi="Arial" w:cs="Arial"/>
                <w:color w:val="000000"/>
                <w:sz w:val="18"/>
                <w:szCs w:val="18"/>
                <w:lang w:val="sr-Latn-RS"/>
              </w:rPr>
            </w:pP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443A036E"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674F68D8" w14:textId="77777777" w:rsidTr="00C232D7">
        <w:tblPrEx>
          <w:tblCellMar>
            <w:top w:w="0" w:type="dxa"/>
          </w:tblCellMar>
        </w:tblPrEx>
        <w:trPr>
          <w:trHeight w:val="398"/>
        </w:trPr>
        <w:tc>
          <w:tcPr>
            <w:tcW w:w="266" w:type="dxa"/>
            <w:vMerge/>
            <w:tcBorders>
              <w:top w:val="nil"/>
              <w:left w:val="single" w:sz="4" w:space="0" w:color="000000"/>
              <w:bottom w:val="nil"/>
              <w:right w:val="single" w:sz="4" w:space="0" w:color="000000"/>
            </w:tcBorders>
          </w:tcPr>
          <w:p w14:paraId="7442CE7A"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vAlign w:val="center"/>
          </w:tcPr>
          <w:p w14:paraId="41F804D3"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7. </w:t>
            </w:r>
          </w:p>
        </w:tc>
        <w:tc>
          <w:tcPr>
            <w:tcW w:w="3969" w:type="dxa"/>
            <w:gridSpan w:val="8"/>
            <w:tcBorders>
              <w:top w:val="single" w:sz="4" w:space="0" w:color="000000"/>
              <w:left w:val="single" w:sz="4" w:space="0" w:color="000000"/>
              <w:bottom w:val="single" w:sz="4" w:space="0" w:color="000000"/>
              <w:right w:val="single" w:sz="4" w:space="0" w:color="000000"/>
            </w:tcBorders>
          </w:tcPr>
          <w:p w14:paraId="62DDE43F" w14:textId="77777777" w:rsidR="00C232D7" w:rsidRPr="00F6198B" w:rsidRDefault="00C232D7" w:rsidP="00653F1C">
            <w:pPr>
              <w:spacing w:line="360" w:lineRule="auto"/>
              <w:ind w:left="35" w:right="90"/>
              <w:rPr>
                <w:rFonts w:ascii="Arial" w:hAnsi="Arial" w:cs="Arial"/>
                <w:color w:val="000000"/>
                <w:sz w:val="18"/>
                <w:szCs w:val="18"/>
                <w:lang w:val="sr-Latn-RS"/>
              </w:rPr>
            </w:pPr>
            <w:r w:rsidRPr="00F6198B">
              <w:rPr>
                <w:rFonts w:ascii="Arial" w:hAnsi="Arial" w:cs="Arial"/>
                <w:color w:val="000000"/>
                <w:sz w:val="18"/>
                <w:szCs w:val="18"/>
                <w:lang w:val="sr-Latn-RS"/>
              </w:rPr>
              <w:t>Privredna zona, “Stara deponija“ Javnog komunalnog preduzeća Kotor čija je sanacija u toku</w:t>
            </w:r>
          </w:p>
        </w:tc>
        <w:tc>
          <w:tcPr>
            <w:tcW w:w="2677" w:type="dxa"/>
            <w:tcBorders>
              <w:top w:val="single" w:sz="4" w:space="0" w:color="000000"/>
              <w:left w:val="single" w:sz="4" w:space="0" w:color="000000"/>
              <w:bottom w:val="single" w:sz="4" w:space="0" w:color="000000"/>
              <w:right w:val="single" w:sz="4" w:space="0" w:color="000000"/>
            </w:tcBorders>
          </w:tcPr>
          <w:p w14:paraId="758A3DAB" w14:textId="4186A261" w:rsidR="00C232D7" w:rsidRPr="00F6198B" w:rsidRDefault="002C3B40"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otpad </w:t>
            </w:r>
          </w:p>
        </w:tc>
        <w:tc>
          <w:tcPr>
            <w:tcW w:w="933" w:type="dxa"/>
            <w:gridSpan w:val="2"/>
            <w:tcBorders>
              <w:top w:val="single" w:sz="4" w:space="0" w:color="000000"/>
              <w:left w:val="single" w:sz="4" w:space="0" w:color="000000"/>
              <w:bottom w:val="single" w:sz="4" w:space="0" w:color="000000"/>
              <w:right w:val="single" w:sz="2" w:space="0" w:color="000000"/>
            </w:tcBorders>
            <w:vAlign w:val="center"/>
          </w:tcPr>
          <w:p w14:paraId="536CC1D4"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3 000</w:t>
            </w:r>
          </w:p>
        </w:tc>
        <w:tc>
          <w:tcPr>
            <w:tcW w:w="941" w:type="dxa"/>
            <w:tcBorders>
              <w:top w:val="single" w:sz="4" w:space="0" w:color="000000"/>
              <w:left w:val="single" w:sz="2" w:space="0" w:color="000000"/>
              <w:bottom w:val="single" w:sz="4" w:space="0" w:color="000000"/>
              <w:right w:val="single" w:sz="4" w:space="0" w:color="000000"/>
            </w:tcBorders>
            <w:shd w:val="clear" w:color="auto" w:fill="00FFFF"/>
            <w:vAlign w:val="center"/>
          </w:tcPr>
          <w:p w14:paraId="0E54D3D6"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14164F" w14:paraId="3817F076" w14:textId="77777777" w:rsidTr="00C232D7">
        <w:tblPrEx>
          <w:tblCellMar>
            <w:top w:w="0" w:type="dxa"/>
          </w:tblCellMar>
        </w:tblPrEx>
        <w:trPr>
          <w:trHeight w:val="398"/>
        </w:trPr>
        <w:tc>
          <w:tcPr>
            <w:tcW w:w="266" w:type="dxa"/>
            <w:vMerge/>
            <w:tcBorders>
              <w:top w:val="nil"/>
              <w:left w:val="single" w:sz="4" w:space="0" w:color="000000"/>
              <w:bottom w:val="nil"/>
              <w:right w:val="single" w:sz="4" w:space="0" w:color="000000"/>
            </w:tcBorders>
          </w:tcPr>
          <w:p w14:paraId="6C7617D5"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vAlign w:val="center"/>
          </w:tcPr>
          <w:p w14:paraId="097D3FC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8. </w:t>
            </w:r>
          </w:p>
        </w:tc>
        <w:tc>
          <w:tcPr>
            <w:tcW w:w="3969" w:type="dxa"/>
            <w:gridSpan w:val="8"/>
            <w:tcBorders>
              <w:top w:val="single" w:sz="4" w:space="0" w:color="000000"/>
              <w:left w:val="single" w:sz="4" w:space="0" w:color="000000"/>
              <w:bottom w:val="single" w:sz="4" w:space="0" w:color="000000"/>
              <w:right w:val="single" w:sz="4" w:space="0" w:color="000000"/>
            </w:tcBorders>
          </w:tcPr>
          <w:p w14:paraId="2503FF92"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Privredna zona, “Nova deponija“ šuta i kabastog otpada Javnog komunalnog preduzeća Kotor </w:t>
            </w:r>
          </w:p>
        </w:tc>
        <w:tc>
          <w:tcPr>
            <w:tcW w:w="2677" w:type="dxa"/>
            <w:tcBorders>
              <w:top w:val="single" w:sz="4" w:space="0" w:color="000000"/>
              <w:left w:val="single" w:sz="4" w:space="0" w:color="000000"/>
              <w:bottom w:val="single" w:sz="4" w:space="0" w:color="000000"/>
              <w:right w:val="single" w:sz="4" w:space="0" w:color="000000"/>
            </w:tcBorders>
          </w:tcPr>
          <w:p w14:paraId="257054D0" w14:textId="3D400034" w:rsidR="00C232D7" w:rsidRPr="00F6198B" w:rsidRDefault="002C3B40"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otpad </w:t>
            </w:r>
          </w:p>
        </w:tc>
        <w:tc>
          <w:tcPr>
            <w:tcW w:w="933" w:type="dxa"/>
            <w:gridSpan w:val="2"/>
            <w:tcBorders>
              <w:top w:val="single" w:sz="4" w:space="0" w:color="000000"/>
              <w:left w:val="single" w:sz="4" w:space="0" w:color="000000"/>
              <w:bottom w:val="single" w:sz="4" w:space="0" w:color="000000"/>
              <w:right w:val="single" w:sz="2" w:space="0" w:color="000000"/>
            </w:tcBorders>
            <w:vAlign w:val="center"/>
          </w:tcPr>
          <w:p w14:paraId="6172820F" w14:textId="77777777" w:rsidR="00C232D7" w:rsidRPr="00F6198B" w:rsidRDefault="00C232D7" w:rsidP="00C232D7">
            <w:pPr>
              <w:spacing w:line="360" w:lineRule="auto"/>
              <w:ind w:left="36"/>
              <w:rPr>
                <w:rFonts w:ascii="Arial" w:hAnsi="Arial" w:cs="Arial"/>
                <w:color w:val="000000"/>
                <w:sz w:val="18"/>
                <w:szCs w:val="18"/>
                <w:lang w:val="sr-Latn-RS"/>
              </w:rPr>
            </w:pPr>
          </w:p>
        </w:tc>
        <w:tc>
          <w:tcPr>
            <w:tcW w:w="941" w:type="dxa"/>
            <w:tcBorders>
              <w:top w:val="single" w:sz="4" w:space="0" w:color="000000"/>
              <w:left w:val="single" w:sz="2" w:space="0" w:color="000000"/>
              <w:bottom w:val="single" w:sz="4" w:space="0" w:color="000000"/>
              <w:right w:val="single" w:sz="4" w:space="0" w:color="000000"/>
            </w:tcBorders>
            <w:shd w:val="clear" w:color="auto" w:fill="00FFFF"/>
            <w:vAlign w:val="center"/>
          </w:tcPr>
          <w:p w14:paraId="00F452C5"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33475874" w14:textId="77777777" w:rsidTr="00C232D7">
        <w:tblPrEx>
          <w:tblCellMar>
            <w:top w:w="0" w:type="dxa"/>
          </w:tblCellMar>
        </w:tblPrEx>
        <w:trPr>
          <w:trHeight w:val="204"/>
        </w:trPr>
        <w:tc>
          <w:tcPr>
            <w:tcW w:w="266" w:type="dxa"/>
            <w:vMerge/>
            <w:tcBorders>
              <w:top w:val="nil"/>
              <w:left w:val="single" w:sz="4" w:space="0" w:color="000000"/>
              <w:bottom w:val="single" w:sz="4" w:space="0" w:color="000000"/>
              <w:right w:val="single" w:sz="4" w:space="0" w:color="000000"/>
            </w:tcBorders>
          </w:tcPr>
          <w:p w14:paraId="0970AEBF"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42EC861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9. </w:t>
            </w:r>
          </w:p>
        </w:tc>
        <w:tc>
          <w:tcPr>
            <w:tcW w:w="3969" w:type="dxa"/>
            <w:gridSpan w:val="8"/>
            <w:tcBorders>
              <w:top w:val="single" w:sz="4" w:space="0" w:color="000000"/>
              <w:left w:val="single" w:sz="4" w:space="0" w:color="000000"/>
              <w:bottom w:val="single" w:sz="4" w:space="0" w:color="000000"/>
              <w:right w:val="single" w:sz="4" w:space="0" w:color="000000"/>
            </w:tcBorders>
          </w:tcPr>
          <w:p w14:paraId="06E0FCBF" w14:textId="77777777" w:rsidR="00C232D7" w:rsidRPr="00F6198B" w:rsidRDefault="00C232D7" w:rsidP="00653F1C">
            <w:pPr>
              <w:spacing w:line="360" w:lineRule="auto"/>
              <w:ind w:left="35" w:right="90"/>
              <w:rPr>
                <w:rFonts w:ascii="Arial" w:hAnsi="Arial" w:cs="Arial"/>
                <w:color w:val="000000"/>
                <w:sz w:val="18"/>
                <w:szCs w:val="18"/>
                <w:lang w:val="sr-Latn-RS"/>
              </w:rPr>
            </w:pPr>
            <w:r w:rsidRPr="00F6198B">
              <w:rPr>
                <w:rFonts w:ascii="Arial" w:hAnsi="Arial" w:cs="Arial"/>
                <w:color w:val="000000"/>
                <w:sz w:val="18"/>
                <w:szCs w:val="18"/>
                <w:lang w:val="sr-Latn-RS"/>
              </w:rPr>
              <w:t xml:space="preserve">Gornji i Donji Grbalj, ispod mosta u Nalježićima </w:t>
            </w:r>
          </w:p>
        </w:tc>
        <w:tc>
          <w:tcPr>
            <w:tcW w:w="2677" w:type="dxa"/>
            <w:tcBorders>
              <w:top w:val="single" w:sz="4" w:space="0" w:color="000000"/>
              <w:left w:val="single" w:sz="4" w:space="0" w:color="000000"/>
              <w:bottom w:val="single" w:sz="4" w:space="0" w:color="000000"/>
              <w:right w:val="single" w:sz="4" w:space="0" w:color="000000"/>
            </w:tcBorders>
          </w:tcPr>
          <w:p w14:paraId="004CDD71" w14:textId="57046557" w:rsidR="00C232D7" w:rsidRPr="00F6198B" w:rsidRDefault="002C3B40"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1FD7F86B" w14:textId="77777777" w:rsidR="00C232D7" w:rsidRPr="00F6198B" w:rsidRDefault="00C232D7" w:rsidP="00C232D7">
            <w:pPr>
              <w:spacing w:line="360" w:lineRule="auto"/>
              <w:ind w:left="36"/>
              <w:rPr>
                <w:rFonts w:ascii="Arial" w:hAnsi="Arial" w:cs="Arial"/>
                <w:color w:val="000000"/>
                <w:sz w:val="18"/>
                <w:szCs w:val="18"/>
                <w:lang w:val="sr-Latn-RS"/>
              </w:rPr>
            </w:pP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3B61D579"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56183072" w14:textId="77777777" w:rsidTr="00C232D7">
        <w:tblPrEx>
          <w:tblCellMar>
            <w:top w:w="0" w:type="dxa"/>
          </w:tblCellMar>
        </w:tblPrEx>
        <w:trPr>
          <w:trHeight w:val="398"/>
        </w:trPr>
        <w:tc>
          <w:tcPr>
            <w:tcW w:w="266" w:type="dxa"/>
            <w:vMerge w:val="restart"/>
            <w:tcBorders>
              <w:top w:val="single" w:sz="4" w:space="0" w:color="000000"/>
              <w:left w:val="single" w:sz="4" w:space="0" w:color="000000"/>
              <w:bottom w:val="single" w:sz="4" w:space="0" w:color="000000"/>
              <w:right w:val="single" w:sz="4" w:space="0" w:color="000000"/>
            </w:tcBorders>
            <w:vAlign w:val="center"/>
          </w:tcPr>
          <w:p w14:paraId="53191748" w14:textId="77777777" w:rsidR="00C232D7" w:rsidRPr="00F6198B" w:rsidRDefault="00C232D7" w:rsidP="00C232D7">
            <w:pPr>
              <w:spacing w:line="360" w:lineRule="auto"/>
              <w:ind w:right="41"/>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gridSpan w:val="3"/>
            <w:tcBorders>
              <w:top w:val="single" w:sz="4" w:space="0" w:color="000000"/>
              <w:left w:val="single" w:sz="4" w:space="0" w:color="000000"/>
              <w:bottom w:val="single" w:sz="4" w:space="0" w:color="000000"/>
              <w:right w:val="single" w:sz="4" w:space="0" w:color="000000"/>
            </w:tcBorders>
            <w:vAlign w:val="center"/>
          </w:tcPr>
          <w:p w14:paraId="049F076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10. </w:t>
            </w:r>
          </w:p>
        </w:tc>
        <w:tc>
          <w:tcPr>
            <w:tcW w:w="3969" w:type="dxa"/>
            <w:gridSpan w:val="8"/>
            <w:tcBorders>
              <w:top w:val="single" w:sz="4" w:space="0" w:color="000000"/>
              <w:left w:val="single" w:sz="4" w:space="0" w:color="000000"/>
              <w:bottom w:val="single" w:sz="4" w:space="0" w:color="000000"/>
              <w:right w:val="single" w:sz="4" w:space="0" w:color="000000"/>
            </w:tcBorders>
          </w:tcPr>
          <w:p w14:paraId="1FACB1B0" w14:textId="77777777" w:rsidR="00653F1C"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Gornji i Donji Grbalj, Raskrsnica za </w:t>
            </w:r>
          </w:p>
          <w:p w14:paraId="52FC59D8" w14:textId="6C476125" w:rsidR="00C232D7" w:rsidRPr="00F6198B" w:rsidRDefault="00E62109" w:rsidP="00E62109">
            <w:pPr>
              <w:spacing w:line="360" w:lineRule="auto"/>
              <w:ind w:left="35"/>
              <w:rPr>
                <w:rFonts w:ascii="Arial" w:hAnsi="Arial" w:cs="Arial"/>
                <w:color w:val="000000"/>
                <w:sz w:val="18"/>
                <w:szCs w:val="18"/>
                <w:lang w:val="sr-Latn-RS"/>
              </w:rPr>
            </w:pPr>
            <w:r>
              <w:rPr>
                <w:rFonts w:ascii="Arial" w:hAnsi="Arial" w:cs="Arial"/>
                <w:color w:val="000000"/>
                <w:sz w:val="18"/>
                <w:szCs w:val="18"/>
                <w:lang w:val="sr-Latn-RS"/>
              </w:rPr>
              <w:lastRenderedPageBreak/>
              <w:t xml:space="preserve">izvor Grbalj </w:t>
            </w:r>
            <w:r w:rsidR="00C232D7" w:rsidRPr="00F6198B">
              <w:rPr>
                <w:rFonts w:ascii="Arial" w:hAnsi="Arial" w:cs="Arial"/>
                <w:color w:val="000000"/>
                <w:sz w:val="18"/>
                <w:szCs w:val="18"/>
                <w:lang w:val="sr-Latn-RS"/>
              </w:rPr>
              <w:t xml:space="preserve">– Pobrđe </w:t>
            </w:r>
          </w:p>
        </w:tc>
        <w:tc>
          <w:tcPr>
            <w:tcW w:w="2677" w:type="dxa"/>
            <w:tcBorders>
              <w:top w:val="single" w:sz="4" w:space="0" w:color="000000"/>
              <w:left w:val="single" w:sz="4" w:space="0" w:color="000000"/>
              <w:bottom w:val="single" w:sz="4" w:space="0" w:color="000000"/>
              <w:right w:val="single" w:sz="4" w:space="0" w:color="000000"/>
            </w:tcBorders>
            <w:vAlign w:val="center"/>
          </w:tcPr>
          <w:p w14:paraId="360F854B" w14:textId="395532E7" w:rsidR="00C232D7" w:rsidRPr="00F6198B" w:rsidRDefault="002C3B40"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lastRenderedPageBreak/>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2" w:space="0" w:color="000000"/>
            </w:tcBorders>
            <w:vAlign w:val="center"/>
          </w:tcPr>
          <w:p w14:paraId="0C794F36" w14:textId="77777777" w:rsidR="00C232D7" w:rsidRPr="00F6198B" w:rsidRDefault="00C232D7" w:rsidP="00C232D7">
            <w:pPr>
              <w:spacing w:line="360" w:lineRule="auto"/>
              <w:ind w:left="36"/>
              <w:rPr>
                <w:rFonts w:ascii="Arial" w:hAnsi="Arial" w:cs="Arial"/>
                <w:color w:val="000000"/>
                <w:sz w:val="18"/>
                <w:szCs w:val="18"/>
                <w:lang w:val="sr-Latn-RS"/>
              </w:rPr>
            </w:pPr>
          </w:p>
        </w:tc>
        <w:tc>
          <w:tcPr>
            <w:tcW w:w="941" w:type="dxa"/>
            <w:tcBorders>
              <w:top w:val="single" w:sz="4" w:space="0" w:color="000000"/>
              <w:left w:val="single" w:sz="2" w:space="0" w:color="000000"/>
              <w:bottom w:val="single" w:sz="4" w:space="0" w:color="000000"/>
              <w:right w:val="single" w:sz="4" w:space="0" w:color="000000"/>
            </w:tcBorders>
            <w:shd w:val="clear" w:color="auto" w:fill="00FFFF"/>
            <w:vAlign w:val="center"/>
          </w:tcPr>
          <w:p w14:paraId="24E0909A"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53AAFD4F" w14:textId="77777777" w:rsidTr="00C232D7">
        <w:tblPrEx>
          <w:tblCellMar>
            <w:top w:w="0" w:type="dxa"/>
          </w:tblCellMar>
        </w:tblPrEx>
        <w:trPr>
          <w:trHeight w:val="204"/>
        </w:trPr>
        <w:tc>
          <w:tcPr>
            <w:tcW w:w="266" w:type="dxa"/>
            <w:vMerge/>
            <w:tcBorders>
              <w:top w:val="nil"/>
              <w:left w:val="single" w:sz="4" w:space="0" w:color="000000"/>
              <w:bottom w:val="nil"/>
              <w:right w:val="single" w:sz="4" w:space="0" w:color="000000"/>
            </w:tcBorders>
            <w:vAlign w:val="bottom"/>
          </w:tcPr>
          <w:p w14:paraId="790770B5"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2D7BD42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11. </w:t>
            </w:r>
          </w:p>
        </w:tc>
        <w:tc>
          <w:tcPr>
            <w:tcW w:w="3969" w:type="dxa"/>
            <w:gridSpan w:val="8"/>
            <w:tcBorders>
              <w:top w:val="single" w:sz="4" w:space="0" w:color="000000"/>
              <w:left w:val="single" w:sz="4" w:space="0" w:color="000000"/>
              <w:bottom w:val="single" w:sz="4" w:space="0" w:color="000000"/>
              <w:right w:val="single" w:sz="4" w:space="0" w:color="000000"/>
            </w:tcBorders>
          </w:tcPr>
          <w:p w14:paraId="0286B48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Gornji i Donji Grbalj, ispod Majdana – Pobrđe </w:t>
            </w:r>
          </w:p>
        </w:tc>
        <w:tc>
          <w:tcPr>
            <w:tcW w:w="2677" w:type="dxa"/>
            <w:tcBorders>
              <w:top w:val="single" w:sz="4" w:space="0" w:color="000000"/>
              <w:left w:val="single" w:sz="4" w:space="0" w:color="000000"/>
              <w:bottom w:val="single" w:sz="4" w:space="0" w:color="000000"/>
              <w:right w:val="single" w:sz="4" w:space="0" w:color="000000"/>
            </w:tcBorders>
          </w:tcPr>
          <w:p w14:paraId="04C7BEFD" w14:textId="3E4DC7BF" w:rsidR="00C232D7" w:rsidRPr="00F6198B" w:rsidRDefault="002C3B40"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staro željezo </w:t>
            </w:r>
          </w:p>
        </w:tc>
        <w:tc>
          <w:tcPr>
            <w:tcW w:w="933" w:type="dxa"/>
            <w:gridSpan w:val="2"/>
            <w:tcBorders>
              <w:top w:val="single" w:sz="4" w:space="0" w:color="000000"/>
              <w:left w:val="single" w:sz="4" w:space="0" w:color="000000"/>
              <w:bottom w:val="single" w:sz="4" w:space="0" w:color="000000"/>
              <w:right w:val="single" w:sz="2" w:space="0" w:color="000000"/>
            </w:tcBorders>
          </w:tcPr>
          <w:p w14:paraId="7DF6A8A1" w14:textId="77777777" w:rsidR="00C232D7" w:rsidRPr="00F6198B" w:rsidRDefault="00C232D7" w:rsidP="00C232D7">
            <w:pPr>
              <w:spacing w:line="360" w:lineRule="auto"/>
              <w:ind w:left="36"/>
              <w:rPr>
                <w:rFonts w:ascii="Arial" w:hAnsi="Arial" w:cs="Arial"/>
                <w:color w:val="000000"/>
                <w:sz w:val="18"/>
                <w:szCs w:val="18"/>
                <w:lang w:val="sr-Latn-RS"/>
              </w:rPr>
            </w:pP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7AB02C93"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778450E2" w14:textId="77777777" w:rsidTr="00C232D7">
        <w:tblPrEx>
          <w:tblCellMar>
            <w:top w:w="0" w:type="dxa"/>
          </w:tblCellMar>
        </w:tblPrEx>
        <w:trPr>
          <w:trHeight w:val="204"/>
        </w:trPr>
        <w:tc>
          <w:tcPr>
            <w:tcW w:w="266" w:type="dxa"/>
            <w:vMerge/>
            <w:tcBorders>
              <w:top w:val="nil"/>
              <w:left w:val="single" w:sz="4" w:space="0" w:color="000000"/>
              <w:bottom w:val="nil"/>
              <w:right w:val="single" w:sz="4" w:space="0" w:color="000000"/>
            </w:tcBorders>
          </w:tcPr>
          <w:p w14:paraId="61C4ADEB"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5150F1A1"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12. </w:t>
            </w:r>
          </w:p>
        </w:tc>
        <w:tc>
          <w:tcPr>
            <w:tcW w:w="3969" w:type="dxa"/>
            <w:gridSpan w:val="8"/>
            <w:tcBorders>
              <w:top w:val="single" w:sz="4" w:space="0" w:color="000000"/>
              <w:left w:val="single" w:sz="4" w:space="0" w:color="000000"/>
              <w:bottom w:val="single" w:sz="4" w:space="0" w:color="000000"/>
              <w:right w:val="single" w:sz="4" w:space="0" w:color="000000"/>
            </w:tcBorders>
          </w:tcPr>
          <w:p w14:paraId="29527E7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Magistralni put Lipci – Knež Laz </w:t>
            </w:r>
          </w:p>
        </w:tc>
        <w:tc>
          <w:tcPr>
            <w:tcW w:w="2677" w:type="dxa"/>
            <w:tcBorders>
              <w:top w:val="single" w:sz="4" w:space="0" w:color="000000"/>
              <w:left w:val="single" w:sz="4" w:space="0" w:color="000000"/>
              <w:bottom w:val="single" w:sz="4" w:space="0" w:color="000000"/>
              <w:right w:val="single" w:sz="4" w:space="0" w:color="000000"/>
            </w:tcBorders>
          </w:tcPr>
          <w:p w14:paraId="5CCB4272"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Sitni pijesak </w:t>
            </w:r>
          </w:p>
        </w:tc>
        <w:tc>
          <w:tcPr>
            <w:tcW w:w="933" w:type="dxa"/>
            <w:gridSpan w:val="2"/>
            <w:tcBorders>
              <w:top w:val="single" w:sz="4" w:space="0" w:color="000000"/>
              <w:left w:val="single" w:sz="4" w:space="0" w:color="000000"/>
              <w:bottom w:val="single" w:sz="4" w:space="0" w:color="000000"/>
              <w:right w:val="single" w:sz="2" w:space="0" w:color="000000"/>
            </w:tcBorders>
          </w:tcPr>
          <w:p w14:paraId="7CC102BA" w14:textId="77777777" w:rsidR="00C232D7" w:rsidRPr="00F6198B" w:rsidRDefault="00C232D7" w:rsidP="00C232D7">
            <w:pPr>
              <w:spacing w:line="360" w:lineRule="auto"/>
              <w:ind w:left="36"/>
              <w:rPr>
                <w:rFonts w:ascii="Arial" w:hAnsi="Arial" w:cs="Arial"/>
                <w:color w:val="000000"/>
                <w:sz w:val="18"/>
                <w:szCs w:val="18"/>
                <w:lang w:val="sr-Latn-RS"/>
              </w:rPr>
            </w:pP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13928851"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593142C9" w14:textId="77777777" w:rsidTr="00C232D7">
        <w:tblPrEx>
          <w:tblCellMar>
            <w:top w:w="0" w:type="dxa"/>
          </w:tblCellMar>
        </w:tblPrEx>
        <w:trPr>
          <w:trHeight w:val="322"/>
        </w:trPr>
        <w:tc>
          <w:tcPr>
            <w:tcW w:w="266" w:type="dxa"/>
            <w:vMerge/>
            <w:tcBorders>
              <w:top w:val="nil"/>
              <w:left w:val="single" w:sz="4" w:space="0" w:color="000000"/>
              <w:bottom w:val="nil"/>
              <w:right w:val="single" w:sz="4" w:space="0" w:color="000000"/>
            </w:tcBorders>
          </w:tcPr>
          <w:p w14:paraId="2A1FD68E"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vAlign w:val="center"/>
          </w:tcPr>
          <w:p w14:paraId="2276C128"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13. </w:t>
            </w:r>
          </w:p>
        </w:tc>
        <w:tc>
          <w:tcPr>
            <w:tcW w:w="3969" w:type="dxa"/>
            <w:gridSpan w:val="8"/>
            <w:tcBorders>
              <w:top w:val="single" w:sz="4" w:space="0" w:color="000000"/>
              <w:left w:val="single" w:sz="4" w:space="0" w:color="000000"/>
              <w:bottom w:val="single" w:sz="2" w:space="0" w:color="000000"/>
              <w:right w:val="single" w:sz="4" w:space="0" w:color="000000"/>
            </w:tcBorders>
          </w:tcPr>
          <w:p w14:paraId="40DCDE84" w14:textId="77777777" w:rsidR="00C232D7" w:rsidRPr="00F6198B" w:rsidRDefault="00C232D7" w:rsidP="00C232D7">
            <w:pPr>
              <w:spacing w:line="360" w:lineRule="auto"/>
              <w:ind w:left="35" w:right="322"/>
              <w:rPr>
                <w:rFonts w:ascii="Arial" w:hAnsi="Arial" w:cs="Arial"/>
                <w:color w:val="000000"/>
                <w:sz w:val="18"/>
                <w:szCs w:val="18"/>
                <w:lang w:val="sr-Latn-RS"/>
              </w:rPr>
            </w:pPr>
            <w:r w:rsidRPr="00F6198B">
              <w:rPr>
                <w:rFonts w:ascii="Arial" w:hAnsi="Arial" w:cs="Arial"/>
                <w:color w:val="000000"/>
                <w:sz w:val="18"/>
                <w:szCs w:val="18"/>
                <w:lang w:val="sr-Latn-RS"/>
              </w:rPr>
              <w:t xml:space="preserve">Mag. put Lipci – Knež Laz, desno od mag. puta Lipci –Knež Laz, a naspram lokalnog puta Poljica </w:t>
            </w:r>
          </w:p>
        </w:tc>
        <w:tc>
          <w:tcPr>
            <w:tcW w:w="2677" w:type="dxa"/>
            <w:tcBorders>
              <w:top w:val="single" w:sz="4" w:space="0" w:color="000000"/>
              <w:left w:val="single" w:sz="4" w:space="0" w:color="000000"/>
              <w:bottom w:val="single" w:sz="2" w:space="0" w:color="000000"/>
              <w:right w:val="single" w:sz="4" w:space="0" w:color="000000"/>
            </w:tcBorders>
            <w:vAlign w:val="center"/>
          </w:tcPr>
          <w:p w14:paraId="745156A0" w14:textId="6E07FA0C" w:rsidR="00C232D7" w:rsidRPr="00F6198B" w:rsidRDefault="002C3B40"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3" w:type="dxa"/>
            <w:gridSpan w:val="2"/>
            <w:tcBorders>
              <w:top w:val="single" w:sz="4" w:space="0" w:color="000000"/>
              <w:left w:val="single" w:sz="4" w:space="0" w:color="000000"/>
              <w:bottom w:val="single" w:sz="2" w:space="0" w:color="000000"/>
              <w:right w:val="single" w:sz="2" w:space="0" w:color="000000"/>
            </w:tcBorders>
            <w:vAlign w:val="center"/>
          </w:tcPr>
          <w:p w14:paraId="6F752ECF" w14:textId="77777777" w:rsidR="00C232D7" w:rsidRPr="00F6198B" w:rsidRDefault="00C232D7" w:rsidP="00C232D7">
            <w:pPr>
              <w:spacing w:line="360" w:lineRule="auto"/>
              <w:ind w:left="36"/>
              <w:rPr>
                <w:rFonts w:ascii="Arial" w:hAnsi="Arial" w:cs="Arial"/>
                <w:color w:val="000000"/>
                <w:sz w:val="18"/>
                <w:szCs w:val="18"/>
                <w:lang w:val="sr-Latn-RS"/>
              </w:rPr>
            </w:pPr>
          </w:p>
        </w:tc>
        <w:tc>
          <w:tcPr>
            <w:tcW w:w="941" w:type="dxa"/>
            <w:tcBorders>
              <w:top w:val="single" w:sz="4" w:space="0" w:color="000000"/>
              <w:left w:val="single" w:sz="2" w:space="0" w:color="000000"/>
              <w:bottom w:val="single" w:sz="2" w:space="0" w:color="000000"/>
              <w:right w:val="single" w:sz="4" w:space="0" w:color="000000"/>
            </w:tcBorders>
            <w:shd w:val="clear" w:color="auto" w:fill="00FFFF"/>
            <w:vAlign w:val="center"/>
          </w:tcPr>
          <w:p w14:paraId="7D91B09C"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4CF96E91"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51DC0B6F"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01AF892E"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14. </w:t>
            </w:r>
          </w:p>
        </w:tc>
        <w:tc>
          <w:tcPr>
            <w:tcW w:w="3969" w:type="dxa"/>
            <w:gridSpan w:val="8"/>
            <w:tcBorders>
              <w:top w:val="single" w:sz="2" w:space="0" w:color="000000"/>
              <w:left w:val="single" w:sz="4" w:space="0" w:color="000000"/>
              <w:bottom w:val="single" w:sz="4" w:space="0" w:color="000000"/>
              <w:right w:val="single" w:sz="4" w:space="0" w:color="000000"/>
            </w:tcBorders>
          </w:tcPr>
          <w:p w14:paraId="462E53BF"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Magistralni put Lipci–Knež Laz, Metkova voda I </w:t>
            </w:r>
          </w:p>
        </w:tc>
        <w:tc>
          <w:tcPr>
            <w:tcW w:w="2677" w:type="dxa"/>
            <w:tcBorders>
              <w:top w:val="single" w:sz="2" w:space="0" w:color="000000"/>
              <w:left w:val="single" w:sz="4" w:space="0" w:color="000000"/>
              <w:bottom w:val="single" w:sz="4" w:space="0" w:color="000000"/>
              <w:right w:val="single" w:sz="4" w:space="0" w:color="000000"/>
            </w:tcBorders>
          </w:tcPr>
          <w:p w14:paraId="7A4F9C67" w14:textId="0C6EDD65" w:rsidR="00C232D7" w:rsidRPr="00F6198B" w:rsidRDefault="002C3B40"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3" w:type="dxa"/>
            <w:gridSpan w:val="2"/>
            <w:tcBorders>
              <w:top w:val="single" w:sz="2" w:space="0" w:color="000000"/>
              <w:left w:val="single" w:sz="4" w:space="0" w:color="000000"/>
              <w:bottom w:val="single" w:sz="4" w:space="0" w:color="000000"/>
              <w:right w:val="single" w:sz="2" w:space="0" w:color="000000"/>
            </w:tcBorders>
          </w:tcPr>
          <w:p w14:paraId="5B302057" w14:textId="77777777" w:rsidR="00C232D7" w:rsidRPr="00F6198B" w:rsidRDefault="00C232D7" w:rsidP="00C232D7">
            <w:pPr>
              <w:spacing w:line="360" w:lineRule="auto"/>
              <w:ind w:left="36"/>
              <w:rPr>
                <w:rFonts w:ascii="Arial" w:hAnsi="Arial" w:cs="Arial"/>
                <w:color w:val="000000"/>
                <w:sz w:val="18"/>
                <w:szCs w:val="18"/>
                <w:lang w:val="sr-Latn-RS"/>
              </w:rPr>
            </w:pP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60558C6F"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16E856DD" w14:textId="77777777" w:rsidTr="00C232D7">
        <w:tblPrEx>
          <w:tblCellMar>
            <w:top w:w="0" w:type="dxa"/>
          </w:tblCellMar>
        </w:tblPrEx>
        <w:trPr>
          <w:trHeight w:val="204"/>
        </w:trPr>
        <w:tc>
          <w:tcPr>
            <w:tcW w:w="266" w:type="dxa"/>
            <w:vMerge/>
            <w:tcBorders>
              <w:top w:val="nil"/>
              <w:left w:val="single" w:sz="4" w:space="0" w:color="000000"/>
              <w:bottom w:val="nil"/>
              <w:right w:val="single" w:sz="4" w:space="0" w:color="000000"/>
            </w:tcBorders>
          </w:tcPr>
          <w:p w14:paraId="18138E44"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41457529"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15. </w:t>
            </w:r>
          </w:p>
        </w:tc>
        <w:tc>
          <w:tcPr>
            <w:tcW w:w="3969" w:type="dxa"/>
            <w:gridSpan w:val="8"/>
            <w:tcBorders>
              <w:top w:val="single" w:sz="4" w:space="0" w:color="000000"/>
              <w:left w:val="single" w:sz="4" w:space="0" w:color="000000"/>
              <w:bottom w:val="single" w:sz="4" w:space="0" w:color="000000"/>
              <w:right w:val="single" w:sz="4" w:space="0" w:color="000000"/>
            </w:tcBorders>
          </w:tcPr>
          <w:p w14:paraId="20AC710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Magistralni put Lipci–Knež Laz, Metkova voda II </w:t>
            </w:r>
          </w:p>
        </w:tc>
        <w:tc>
          <w:tcPr>
            <w:tcW w:w="2677" w:type="dxa"/>
            <w:tcBorders>
              <w:top w:val="single" w:sz="4" w:space="0" w:color="000000"/>
              <w:left w:val="single" w:sz="4" w:space="0" w:color="000000"/>
              <w:bottom w:val="single" w:sz="4" w:space="0" w:color="000000"/>
              <w:right w:val="single" w:sz="4" w:space="0" w:color="000000"/>
            </w:tcBorders>
          </w:tcPr>
          <w:p w14:paraId="1279BA52" w14:textId="1F3CAE80" w:rsidR="00C232D7" w:rsidRPr="00F6198B" w:rsidRDefault="002C3B40"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w:t>
            </w:r>
            <w:r w:rsidR="00C232D7" w:rsidRPr="00F6198B">
              <w:rPr>
                <w:rFonts w:ascii="Arial" w:hAnsi="Arial" w:cs="Arial"/>
                <w:color w:val="000000"/>
                <w:sz w:val="18"/>
                <w:szCs w:val="18"/>
                <w:lang w:val="sr-Latn-RS"/>
              </w:rPr>
              <w:t xml:space="preserve"> komunalni otpad </w:t>
            </w:r>
          </w:p>
        </w:tc>
        <w:tc>
          <w:tcPr>
            <w:tcW w:w="933" w:type="dxa"/>
            <w:gridSpan w:val="2"/>
            <w:tcBorders>
              <w:top w:val="single" w:sz="4" w:space="0" w:color="000000"/>
              <w:left w:val="single" w:sz="4" w:space="0" w:color="000000"/>
              <w:bottom w:val="single" w:sz="4" w:space="0" w:color="000000"/>
              <w:right w:val="single" w:sz="2" w:space="0" w:color="000000"/>
            </w:tcBorders>
          </w:tcPr>
          <w:p w14:paraId="62ED90E9" w14:textId="77777777" w:rsidR="00C232D7" w:rsidRPr="00F6198B" w:rsidRDefault="00C232D7" w:rsidP="00C232D7">
            <w:pPr>
              <w:spacing w:line="360" w:lineRule="auto"/>
              <w:ind w:left="36"/>
              <w:rPr>
                <w:rFonts w:ascii="Arial" w:hAnsi="Arial" w:cs="Arial"/>
                <w:color w:val="000000"/>
                <w:sz w:val="18"/>
                <w:szCs w:val="18"/>
                <w:lang w:val="sr-Latn-RS"/>
              </w:rPr>
            </w:pP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4EDD3287"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5CFD3B56" w14:textId="77777777" w:rsidTr="00C232D7">
        <w:tblPrEx>
          <w:tblCellMar>
            <w:top w:w="0" w:type="dxa"/>
          </w:tblCellMar>
        </w:tblPrEx>
        <w:trPr>
          <w:trHeight w:val="204"/>
        </w:trPr>
        <w:tc>
          <w:tcPr>
            <w:tcW w:w="266" w:type="dxa"/>
            <w:vMerge/>
            <w:tcBorders>
              <w:top w:val="nil"/>
              <w:left w:val="single" w:sz="4" w:space="0" w:color="000000"/>
              <w:bottom w:val="nil"/>
              <w:right w:val="single" w:sz="4" w:space="0" w:color="000000"/>
            </w:tcBorders>
          </w:tcPr>
          <w:p w14:paraId="6A590C6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753D235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16. </w:t>
            </w:r>
          </w:p>
        </w:tc>
        <w:tc>
          <w:tcPr>
            <w:tcW w:w="3969" w:type="dxa"/>
            <w:gridSpan w:val="8"/>
            <w:tcBorders>
              <w:top w:val="single" w:sz="4" w:space="0" w:color="000000"/>
              <w:left w:val="single" w:sz="4" w:space="0" w:color="000000"/>
              <w:bottom w:val="single" w:sz="4" w:space="0" w:color="000000"/>
              <w:right w:val="single" w:sz="4" w:space="0" w:color="000000"/>
            </w:tcBorders>
          </w:tcPr>
          <w:p w14:paraId="458146E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Stari put Risan – NK, kod Peliničkog mosta </w:t>
            </w:r>
          </w:p>
        </w:tc>
        <w:tc>
          <w:tcPr>
            <w:tcW w:w="2677" w:type="dxa"/>
            <w:tcBorders>
              <w:top w:val="single" w:sz="4" w:space="0" w:color="000000"/>
              <w:left w:val="single" w:sz="4" w:space="0" w:color="000000"/>
              <w:bottom w:val="single" w:sz="4" w:space="0" w:color="000000"/>
              <w:right w:val="single" w:sz="4" w:space="0" w:color="000000"/>
            </w:tcBorders>
          </w:tcPr>
          <w:p w14:paraId="0B89C94A"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Otpadne gume </w:t>
            </w:r>
          </w:p>
        </w:tc>
        <w:tc>
          <w:tcPr>
            <w:tcW w:w="933" w:type="dxa"/>
            <w:gridSpan w:val="2"/>
            <w:tcBorders>
              <w:top w:val="single" w:sz="4" w:space="0" w:color="000000"/>
              <w:left w:val="single" w:sz="4" w:space="0" w:color="000000"/>
              <w:bottom w:val="single" w:sz="4" w:space="0" w:color="000000"/>
              <w:right w:val="single" w:sz="2" w:space="0" w:color="000000"/>
            </w:tcBorders>
          </w:tcPr>
          <w:p w14:paraId="3FFBC64B" w14:textId="77777777" w:rsidR="00C232D7" w:rsidRPr="00F6198B" w:rsidRDefault="00C232D7" w:rsidP="00C232D7">
            <w:pPr>
              <w:spacing w:line="360" w:lineRule="auto"/>
              <w:ind w:left="36"/>
              <w:rPr>
                <w:rFonts w:ascii="Arial" w:hAnsi="Arial" w:cs="Arial"/>
                <w:color w:val="000000"/>
                <w:sz w:val="18"/>
                <w:szCs w:val="18"/>
                <w:lang w:val="sr-Latn-RS"/>
              </w:rPr>
            </w:pP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38F2FDBE"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14164F" w14:paraId="73833DCF" w14:textId="77777777" w:rsidTr="00C232D7">
        <w:tblPrEx>
          <w:tblCellMar>
            <w:top w:w="0" w:type="dxa"/>
          </w:tblCellMar>
        </w:tblPrEx>
        <w:trPr>
          <w:trHeight w:val="64"/>
        </w:trPr>
        <w:tc>
          <w:tcPr>
            <w:tcW w:w="266" w:type="dxa"/>
            <w:vMerge/>
            <w:tcBorders>
              <w:top w:val="nil"/>
              <w:left w:val="single" w:sz="4" w:space="0" w:color="000000"/>
              <w:bottom w:val="nil"/>
              <w:right w:val="single" w:sz="4" w:space="0" w:color="000000"/>
            </w:tcBorders>
          </w:tcPr>
          <w:p w14:paraId="79DA3FDC"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44D0D129"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17. </w:t>
            </w:r>
          </w:p>
        </w:tc>
        <w:tc>
          <w:tcPr>
            <w:tcW w:w="3969" w:type="dxa"/>
            <w:gridSpan w:val="8"/>
            <w:tcBorders>
              <w:top w:val="single" w:sz="4" w:space="0" w:color="000000"/>
              <w:left w:val="single" w:sz="4" w:space="0" w:color="000000"/>
              <w:bottom w:val="single" w:sz="4" w:space="0" w:color="000000"/>
              <w:right w:val="single" w:sz="4" w:space="0" w:color="000000"/>
            </w:tcBorders>
          </w:tcPr>
          <w:p w14:paraId="19F4DDA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Stari put Risan – Nikšić, Smokovac </w:t>
            </w:r>
          </w:p>
        </w:tc>
        <w:tc>
          <w:tcPr>
            <w:tcW w:w="2677" w:type="dxa"/>
            <w:tcBorders>
              <w:top w:val="single" w:sz="4" w:space="0" w:color="000000"/>
              <w:left w:val="single" w:sz="4" w:space="0" w:color="000000"/>
              <w:bottom w:val="single" w:sz="4" w:space="0" w:color="000000"/>
              <w:right w:val="single" w:sz="4" w:space="0" w:color="000000"/>
            </w:tcBorders>
          </w:tcPr>
          <w:p w14:paraId="61E7F548"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Građevinski šut, zemlja sa kamenom </w:t>
            </w:r>
          </w:p>
        </w:tc>
        <w:tc>
          <w:tcPr>
            <w:tcW w:w="933" w:type="dxa"/>
            <w:gridSpan w:val="2"/>
            <w:tcBorders>
              <w:top w:val="single" w:sz="4" w:space="0" w:color="000000"/>
              <w:left w:val="single" w:sz="4" w:space="0" w:color="000000"/>
              <w:bottom w:val="single" w:sz="4" w:space="0" w:color="000000"/>
              <w:right w:val="single" w:sz="2" w:space="0" w:color="000000"/>
            </w:tcBorders>
          </w:tcPr>
          <w:p w14:paraId="1AB9AC0B" w14:textId="77777777" w:rsidR="00C232D7" w:rsidRPr="00F6198B" w:rsidRDefault="00C232D7" w:rsidP="00C232D7">
            <w:pPr>
              <w:spacing w:line="360" w:lineRule="auto"/>
              <w:ind w:left="36"/>
              <w:rPr>
                <w:rFonts w:ascii="Arial" w:hAnsi="Arial" w:cs="Arial"/>
                <w:color w:val="000000"/>
                <w:sz w:val="18"/>
                <w:szCs w:val="18"/>
                <w:lang w:val="sr-Latn-RS"/>
              </w:rPr>
            </w:pP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6009D026"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4D71E7B0" w14:textId="77777777" w:rsidTr="00C232D7">
        <w:tblPrEx>
          <w:tblCellMar>
            <w:top w:w="0" w:type="dxa"/>
          </w:tblCellMar>
        </w:tblPrEx>
        <w:trPr>
          <w:trHeight w:val="204"/>
        </w:trPr>
        <w:tc>
          <w:tcPr>
            <w:tcW w:w="266" w:type="dxa"/>
            <w:vMerge/>
            <w:tcBorders>
              <w:top w:val="nil"/>
              <w:left w:val="single" w:sz="4" w:space="0" w:color="000000"/>
              <w:bottom w:val="nil"/>
              <w:right w:val="single" w:sz="4" w:space="0" w:color="000000"/>
            </w:tcBorders>
          </w:tcPr>
          <w:p w14:paraId="0CE71FA5"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19B5B0B8"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18. </w:t>
            </w:r>
          </w:p>
        </w:tc>
        <w:tc>
          <w:tcPr>
            <w:tcW w:w="3969" w:type="dxa"/>
            <w:gridSpan w:val="8"/>
            <w:tcBorders>
              <w:top w:val="single" w:sz="4" w:space="0" w:color="000000"/>
              <w:left w:val="single" w:sz="4" w:space="0" w:color="000000"/>
              <w:bottom w:val="single" w:sz="4" w:space="0" w:color="000000"/>
              <w:right w:val="single" w:sz="4" w:space="0" w:color="000000"/>
            </w:tcBorders>
          </w:tcPr>
          <w:p w14:paraId="6A494A0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Stari put Risan – Nikšić, iznad Smokovca </w:t>
            </w:r>
          </w:p>
        </w:tc>
        <w:tc>
          <w:tcPr>
            <w:tcW w:w="2677" w:type="dxa"/>
            <w:tcBorders>
              <w:top w:val="single" w:sz="4" w:space="0" w:color="000000"/>
              <w:left w:val="single" w:sz="4" w:space="0" w:color="000000"/>
              <w:bottom w:val="single" w:sz="4" w:space="0" w:color="000000"/>
              <w:right w:val="single" w:sz="4" w:space="0" w:color="000000"/>
            </w:tcBorders>
          </w:tcPr>
          <w:p w14:paraId="18A9B773"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Različite vrste otpada </w:t>
            </w:r>
          </w:p>
        </w:tc>
        <w:tc>
          <w:tcPr>
            <w:tcW w:w="933" w:type="dxa"/>
            <w:gridSpan w:val="2"/>
            <w:tcBorders>
              <w:top w:val="single" w:sz="4" w:space="0" w:color="000000"/>
              <w:left w:val="single" w:sz="4" w:space="0" w:color="000000"/>
              <w:bottom w:val="single" w:sz="4" w:space="0" w:color="000000"/>
              <w:right w:val="single" w:sz="2" w:space="0" w:color="000000"/>
            </w:tcBorders>
          </w:tcPr>
          <w:p w14:paraId="41EF8680"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1D07C088"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71E7A5CF" w14:textId="77777777" w:rsidTr="00C232D7">
        <w:tblPrEx>
          <w:tblCellMar>
            <w:top w:w="0" w:type="dxa"/>
          </w:tblCellMar>
        </w:tblPrEx>
        <w:trPr>
          <w:trHeight w:val="398"/>
        </w:trPr>
        <w:tc>
          <w:tcPr>
            <w:tcW w:w="266" w:type="dxa"/>
            <w:vMerge/>
            <w:tcBorders>
              <w:top w:val="nil"/>
              <w:left w:val="single" w:sz="4" w:space="0" w:color="000000"/>
              <w:bottom w:val="nil"/>
              <w:right w:val="single" w:sz="4" w:space="0" w:color="000000"/>
            </w:tcBorders>
          </w:tcPr>
          <w:p w14:paraId="25D23351"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vAlign w:val="center"/>
          </w:tcPr>
          <w:p w14:paraId="0C075EE1"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19. </w:t>
            </w:r>
          </w:p>
        </w:tc>
        <w:tc>
          <w:tcPr>
            <w:tcW w:w="3969" w:type="dxa"/>
            <w:gridSpan w:val="8"/>
            <w:tcBorders>
              <w:top w:val="single" w:sz="4" w:space="0" w:color="000000"/>
              <w:left w:val="single" w:sz="4" w:space="0" w:color="000000"/>
              <w:bottom w:val="single" w:sz="4" w:space="0" w:color="000000"/>
              <w:right w:val="single" w:sz="4" w:space="0" w:color="000000"/>
            </w:tcBorders>
          </w:tcPr>
          <w:p w14:paraId="11CF96E9"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Stari put Risan – Nikšić, nakon </w:t>
            </w:r>
          </w:p>
          <w:p w14:paraId="63DD32D2" w14:textId="68C6F263" w:rsidR="00C232D7" w:rsidRPr="00F6198B" w:rsidRDefault="008D0139"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odlagališta</w:t>
            </w:r>
            <w:r w:rsidR="00C232D7" w:rsidRPr="00F6198B">
              <w:rPr>
                <w:rFonts w:ascii="Arial" w:hAnsi="Arial" w:cs="Arial"/>
                <w:color w:val="000000"/>
                <w:sz w:val="18"/>
                <w:szCs w:val="18"/>
                <w:lang w:val="sr-Latn-RS"/>
              </w:rPr>
              <w:t xml:space="preserve"> na Smokovcu i dvije manje </w:t>
            </w:r>
          </w:p>
        </w:tc>
        <w:tc>
          <w:tcPr>
            <w:tcW w:w="2677" w:type="dxa"/>
            <w:tcBorders>
              <w:top w:val="single" w:sz="4" w:space="0" w:color="000000"/>
              <w:left w:val="single" w:sz="4" w:space="0" w:color="000000"/>
              <w:bottom w:val="single" w:sz="4" w:space="0" w:color="000000"/>
              <w:right w:val="single" w:sz="4" w:space="0" w:color="000000"/>
            </w:tcBorders>
            <w:vAlign w:val="center"/>
          </w:tcPr>
          <w:p w14:paraId="37F39BC0"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Različite vrste otpada </w:t>
            </w:r>
          </w:p>
        </w:tc>
        <w:tc>
          <w:tcPr>
            <w:tcW w:w="933" w:type="dxa"/>
            <w:gridSpan w:val="2"/>
            <w:tcBorders>
              <w:top w:val="single" w:sz="4" w:space="0" w:color="000000"/>
              <w:left w:val="single" w:sz="4" w:space="0" w:color="000000"/>
              <w:bottom w:val="single" w:sz="4" w:space="0" w:color="000000"/>
              <w:right w:val="single" w:sz="2" w:space="0" w:color="000000"/>
            </w:tcBorders>
            <w:vAlign w:val="center"/>
          </w:tcPr>
          <w:p w14:paraId="17AAD916"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2" w:space="0" w:color="000000"/>
              <w:bottom w:val="single" w:sz="4" w:space="0" w:color="000000"/>
              <w:right w:val="single" w:sz="4" w:space="0" w:color="000000"/>
            </w:tcBorders>
            <w:shd w:val="clear" w:color="auto" w:fill="00FFFF"/>
            <w:vAlign w:val="center"/>
          </w:tcPr>
          <w:p w14:paraId="1056EDA6"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75647329" w14:textId="77777777" w:rsidTr="00C232D7">
        <w:tblPrEx>
          <w:tblCellMar>
            <w:top w:w="0" w:type="dxa"/>
          </w:tblCellMar>
        </w:tblPrEx>
        <w:trPr>
          <w:trHeight w:val="398"/>
        </w:trPr>
        <w:tc>
          <w:tcPr>
            <w:tcW w:w="266" w:type="dxa"/>
            <w:vMerge/>
            <w:tcBorders>
              <w:top w:val="nil"/>
              <w:left w:val="single" w:sz="4" w:space="0" w:color="000000"/>
              <w:bottom w:val="single" w:sz="4" w:space="0" w:color="000000"/>
              <w:right w:val="single" w:sz="4" w:space="0" w:color="000000"/>
            </w:tcBorders>
          </w:tcPr>
          <w:p w14:paraId="5ED0F25B"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vAlign w:val="center"/>
          </w:tcPr>
          <w:p w14:paraId="10EE662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20. </w:t>
            </w:r>
          </w:p>
        </w:tc>
        <w:tc>
          <w:tcPr>
            <w:tcW w:w="3969" w:type="dxa"/>
            <w:gridSpan w:val="8"/>
            <w:tcBorders>
              <w:top w:val="single" w:sz="4" w:space="0" w:color="000000"/>
              <w:left w:val="single" w:sz="4" w:space="0" w:color="000000"/>
              <w:bottom w:val="single" w:sz="4" w:space="0" w:color="000000"/>
              <w:right w:val="single" w:sz="4" w:space="0" w:color="000000"/>
            </w:tcBorders>
          </w:tcPr>
          <w:p w14:paraId="24D1988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Stari put Risan – Nikšić, kod bivšeg spomenika </w:t>
            </w:r>
          </w:p>
          <w:p w14:paraId="17D5028E"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Lazović, desna krivina </w:t>
            </w:r>
          </w:p>
        </w:tc>
        <w:tc>
          <w:tcPr>
            <w:tcW w:w="2677" w:type="dxa"/>
            <w:tcBorders>
              <w:top w:val="single" w:sz="4" w:space="0" w:color="000000"/>
              <w:left w:val="single" w:sz="4" w:space="0" w:color="000000"/>
              <w:bottom w:val="single" w:sz="4" w:space="0" w:color="000000"/>
              <w:right w:val="single" w:sz="4" w:space="0" w:color="000000"/>
            </w:tcBorders>
          </w:tcPr>
          <w:p w14:paraId="61CFCC10" w14:textId="5AC56FC3" w:rsidR="00C232D7" w:rsidRPr="00F6198B" w:rsidRDefault="002C3B40" w:rsidP="00C232D7">
            <w:pPr>
              <w:spacing w:line="360" w:lineRule="auto"/>
              <w:ind w:left="38" w:right="89"/>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građevinski otpad </w:t>
            </w:r>
          </w:p>
        </w:tc>
        <w:tc>
          <w:tcPr>
            <w:tcW w:w="933" w:type="dxa"/>
            <w:gridSpan w:val="2"/>
            <w:tcBorders>
              <w:top w:val="single" w:sz="4" w:space="0" w:color="000000"/>
              <w:left w:val="single" w:sz="4" w:space="0" w:color="000000"/>
              <w:bottom w:val="single" w:sz="4" w:space="0" w:color="000000"/>
              <w:right w:val="single" w:sz="2" w:space="0" w:color="000000"/>
            </w:tcBorders>
            <w:vAlign w:val="center"/>
          </w:tcPr>
          <w:p w14:paraId="7BD470C7"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41" w:type="dxa"/>
            <w:tcBorders>
              <w:top w:val="single" w:sz="4" w:space="0" w:color="000000"/>
              <w:left w:val="single" w:sz="2" w:space="0" w:color="000000"/>
              <w:bottom w:val="single" w:sz="4" w:space="0" w:color="000000"/>
              <w:right w:val="single" w:sz="4" w:space="0" w:color="000000"/>
            </w:tcBorders>
            <w:shd w:val="clear" w:color="auto" w:fill="00FFFF"/>
            <w:vAlign w:val="center"/>
          </w:tcPr>
          <w:p w14:paraId="1FF782DF" w14:textId="77777777" w:rsidR="00C232D7" w:rsidRPr="00F6198B" w:rsidRDefault="00C232D7" w:rsidP="00A23ED0">
            <w:pPr>
              <w:numPr>
                <w:ilvl w:val="0"/>
                <w:numId w:val="26"/>
              </w:numPr>
              <w:spacing w:after="5" w:line="360" w:lineRule="auto"/>
              <w:ind w:right="98"/>
              <w:contextualSpacing/>
              <w:rPr>
                <w:rFonts w:ascii="Arial" w:hAnsi="Arial" w:cs="Arial"/>
                <w:color w:val="000000"/>
                <w:sz w:val="18"/>
                <w:szCs w:val="18"/>
                <w:lang w:val="sr-Latn-RS"/>
              </w:rPr>
            </w:pPr>
          </w:p>
        </w:tc>
      </w:tr>
      <w:tr w:rsidR="00C232D7" w:rsidRPr="00F6198B" w14:paraId="7593222D" w14:textId="77777777" w:rsidTr="00C232D7">
        <w:tblPrEx>
          <w:tblCellMar>
            <w:top w:w="0" w:type="dxa"/>
          </w:tblCellMar>
        </w:tblPrEx>
        <w:trPr>
          <w:trHeight w:val="205"/>
        </w:trPr>
        <w:tc>
          <w:tcPr>
            <w:tcW w:w="1418" w:type="dxa"/>
            <w:gridSpan w:val="7"/>
            <w:tcBorders>
              <w:top w:val="single" w:sz="4" w:space="0" w:color="000000"/>
              <w:left w:val="single" w:sz="4" w:space="0" w:color="000000"/>
              <w:bottom w:val="single" w:sz="4" w:space="0" w:color="000000"/>
              <w:right w:val="single" w:sz="4" w:space="0" w:color="000000"/>
            </w:tcBorders>
            <w:shd w:val="clear" w:color="auto" w:fill="EAF1DD"/>
          </w:tcPr>
          <w:p w14:paraId="29A2D70B" w14:textId="77777777" w:rsidR="00C232D7" w:rsidRPr="00F6198B" w:rsidRDefault="00C232D7" w:rsidP="00C232D7">
            <w:pPr>
              <w:spacing w:line="360" w:lineRule="auto"/>
              <w:ind w:left="36"/>
              <w:rPr>
                <w:rFonts w:ascii="Arial" w:hAnsi="Arial" w:cs="Arial"/>
                <w:color w:val="000000"/>
                <w:sz w:val="18"/>
                <w:szCs w:val="18"/>
                <w:lang w:val="sr-Latn-RS"/>
              </w:rPr>
            </w:pPr>
          </w:p>
          <w:p w14:paraId="6720913E"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11. KOLAŠIN </w:t>
            </w:r>
          </w:p>
        </w:tc>
        <w:tc>
          <w:tcPr>
            <w:tcW w:w="6079" w:type="dxa"/>
            <w:gridSpan w:val="6"/>
            <w:tcBorders>
              <w:top w:val="single" w:sz="4" w:space="0" w:color="000000"/>
              <w:left w:val="single" w:sz="4" w:space="0" w:color="000000"/>
              <w:bottom w:val="single" w:sz="4" w:space="0" w:color="000000"/>
              <w:right w:val="nil"/>
            </w:tcBorders>
            <w:shd w:val="clear" w:color="auto" w:fill="EAF1DD"/>
          </w:tcPr>
          <w:p w14:paraId="6770E5F7"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933" w:type="dxa"/>
            <w:gridSpan w:val="2"/>
            <w:tcBorders>
              <w:top w:val="single" w:sz="4" w:space="0" w:color="000000"/>
              <w:left w:val="nil"/>
              <w:bottom w:val="single" w:sz="4" w:space="0" w:color="000000"/>
              <w:right w:val="single" w:sz="2" w:space="0" w:color="000000"/>
            </w:tcBorders>
            <w:shd w:val="clear" w:color="auto" w:fill="EAF1DD"/>
          </w:tcPr>
          <w:p w14:paraId="71332AE4" w14:textId="77777777" w:rsidR="00C232D7" w:rsidRPr="00F6198B" w:rsidRDefault="00C232D7" w:rsidP="00C232D7">
            <w:pPr>
              <w:spacing w:after="160" w:line="360" w:lineRule="auto"/>
              <w:rPr>
                <w:rFonts w:ascii="Arial" w:hAnsi="Arial" w:cs="Arial"/>
                <w:color w:val="000000"/>
                <w:sz w:val="18"/>
                <w:szCs w:val="18"/>
                <w:lang w:val="sr-Latn-RS"/>
              </w:rPr>
            </w:pPr>
          </w:p>
        </w:tc>
        <w:tc>
          <w:tcPr>
            <w:tcW w:w="941" w:type="dxa"/>
            <w:tcBorders>
              <w:top w:val="single" w:sz="4" w:space="0" w:color="000000"/>
              <w:left w:val="single" w:sz="2" w:space="0" w:color="000000"/>
              <w:bottom w:val="single" w:sz="4" w:space="0" w:color="000000"/>
              <w:right w:val="single" w:sz="4" w:space="0" w:color="000000"/>
            </w:tcBorders>
            <w:shd w:val="clear" w:color="auto" w:fill="EAF1DD"/>
          </w:tcPr>
          <w:p w14:paraId="530157D3" w14:textId="77777777" w:rsidR="00C232D7" w:rsidRPr="00F6198B" w:rsidRDefault="00C232D7" w:rsidP="00C232D7">
            <w:pPr>
              <w:spacing w:line="360" w:lineRule="auto"/>
              <w:ind w:left="37"/>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r>
      <w:tr w:rsidR="00C232D7" w:rsidRPr="00F6198B" w14:paraId="57D1938F" w14:textId="77777777" w:rsidTr="00C232D7">
        <w:tblPrEx>
          <w:tblCellMar>
            <w:top w:w="0" w:type="dxa"/>
          </w:tblCellMar>
        </w:tblPrEx>
        <w:trPr>
          <w:trHeight w:val="214"/>
        </w:trPr>
        <w:tc>
          <w:tcPr>
            <w:tcW w:w="266" w:type="dxa"/>
            <w:vMerge w:val="restart"/>
            <w:tcBorders>
              <w:top w:val="single" w:sz="4" w:space="0" w:color="000000"/>
              <w:left w:val="single" w:sz="4" w:space="0" w:color="000000"/>
              <w:bottom w:val="single" w:sz="4" w:space="0" w:color="000000"/>
              <w:right w:val="single" w:sz="4" w:space="0" w:color="000000"/>
            </w:tcBorders>
            <w:shd w:val="clear" w:color="auto" w:fill="EAF1DD"/>
            <w:vAlign w:val="center"/>
          </w:tcPr>
          <w:p w14:paraId="28930119" w14:textId="77777777" w:rsidR="00C232D7" w:rsidRPr="00F6198B" w:rsidRDefault="00C232D7" w:rsidP="00C232D7">
            <w:pPr>
              <w:spacing w:line="360" w:lineRule="auto"/>
              <w:ind w:right="41"/>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gridSpan w:val="3"/>
            <w:tcBorders>
              <w:top w:val="single" w:sz="4" w:space="0" w:color="000000"/>
              <w:left w:val="single" w:sz="4" w:space="0" w:color="000000"/>
              <w:bottom w:val="single" w:sz="4" w:space="0" w:color="000000"/>
              <w:right w:val="single" w:sz="4" w:space="0" w:color="000000"/>
            </w:tcBorders>
          </w:tcPr>
          <w:p w14:paraId="2A9DF38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717" w:type="dxa"/>
            <w:gridSpan w:val="7"/>
            <w:tcBorders>
              <w:top w:val="single" w:sz="4" w:space="0" w:color="000000"/>
              <w:left w:val="single" w:sz="4" w:space="0" w:color="000000"/>
              <w:bottom w:val="single" w:sz="4" w:space="0" w:color="000000"/>
              <w:right w:val="single" w:sz="4" w:space="0" w:color="000000"/>
            </w:tcBorders>
          </w:tcPr>
          <w:p w14:paraId="0894348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Odlagalište u mjestu Bakovići </w:t>
            </w:r>
          </w:p>
        </w:tc>
        <w:tc>
          <w:tcPr>
            <w:tcW w:w="2929" w:type="dxa"/>
            <w:gridSpan w:val="2"/>
            <w:tcBorders>
              <w:top w:val="single" w:sz="4" w:space="0" w:color="000000"/>
              <w:left w:val="single" w:sz="4" w:space="0" w:color="000000"/>
              <w:bottom w:val="single" w:sz="4" w:space="0" w:color="000000"/>
              <w:right w:val="single" w:sz="4" w:space="0" w:color="000000"/>
            </w:tcBorders>
          </w:tcPr>
          <w:p w14:paraId="38B0A2AC" w14:textId="208E01F8"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građevinski i drvni </w:t>
            </w:r>
          </w:p>
        </w:tc>
        <w:tc>
          <w:tcPr>
            <w:tcW w:w="933" w:type="dxa"/>
            <w:gridSpan w:val="2"/>
            <w:tcBorders>
              <w:top w:val="single" w:sz="4" w:space="0" w:color="000000"/>
              <w:left w:val="single" w:sz="4" w:space="0" w:color="000000"/>
              <w:bottom w:val="single" w:sz="4" w:space="0" w:color="000000"/>
              <w:right w:val="single" w:sz="2" w:space="0" w:color="000000"/>
            </w:tcBorders>
          </w:tcPr>
          <w:p w14:paraId="6B5D62B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300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78A11C8F" w14:textId="77777777" w:rsidR="00C232D7" w:rsidRPr="00F6198B" w:rsidRDefault="00C232D7" w:rsidP="00A23ED0">
            <w:pPr>
              <w:numPr>
                <w:ilvl w:val="0"/>
                <w:numId w:val="26"/>
              </w:numPr>
              <w:spacing w:after="5" w:line="360" w:lineRule="auto"/>
              <w:ind w:right="98"/>
              <w:contextualSpacing/>
              <w:rPr>
                <w:rFonts w:ascii="Arial" w:hAnsi="Arial" w:cs="Arial"/>
                <w:sz w:val="18"/>
                <w:szCs w:val="18"/>
                <w:lang w:val="sr-Latn-RS"/>
              </w:rPr>
            </w:pPr>
          </w:p>
        </w:tc>
      </w:tr>
      <w:tr w:rsidR="00C232D7" w:rsidRPr="00F6198B" w14:paraId="3CE52A87" w14:textId="77777777" w:rsidTr="00C232D7">
        <w:tblPrEx>
          <w:tblCellMar>
            <w:top w:w="0" w:type="dxa"/>
          </w:tblCellMar>
        </w:tblPrEx>
        <w:trPr>
          <w:trHeight w:val="230"/>
        </w:trPr>
        <w:tc>
          <w:tcPr>
            <w:tcW w:w="266" w:type="dxa"/>
            <w:vMerge/>
            <w:tcBorders>
              <w:top w:val="nil"/>
              <w:left w:val="single" w:sz="4" w:space="0" w:color="000000"/>
              <w:bottom w:val="nil"/>
              <w:right w:val="single" w:sz="4" w:space="0" w:color="000000"/>
            </w:tcBorders>
          </w:tcPr>
          <w:p w14:paraId="1E16A74C"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661CD9FC"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717" w:type="dxa"/>
            <w:gridSpan w:val="7"/>
            <w:tcBorders>
              <w:top w:val="single" w:sz="4" w:space="0" w:color="000000"/>
              <w:left w:val="single" w:sz="4" w:space="0" w:color="000000"/>
              <w:bottom w:val="single" w:sz="4" w:space="0" w:color="000000"/>
              <w:right w:val="single" w:sz="4" w:space="0" w:color="000000"/>
            </w:tcBorders>
          </w:tcPr>
          <w:p w14:paraId="7BE38E68"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Industrijska zona Bakovići </w:t>
            </w:r>
          </w:p>
        </w:tc>
        <w:tc>
          <w:tcPr>
            <w:tcW w:w="2929" w:type="dxa"/>
            <w:gridSpan w:val="2"/>
            <w:tcBorders>
              <w:top w:val="single" w:sz="4" w:space="0" w:color="000000"/>
              <w:left w:val="single" w:sz="4" w:space="0" w:color="000000"/>
              <w:bottom w:val="single" w:sz="4" w:space="0" w:color="000000"/>
              <w:right w:val="single" w:sz="4" w:space="0" w:color="000000"/>
            </w:tcBorders>
          </w:tcPr>
          <w:p w14:paraId="63DB2144"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Drvni otpad </w:t>
            </w:r>
          </w:p>
        </w:tc>
        <w:tc>
          <w:tcPr>
            <w:tcW w:w="933" w:type="dxa"/>
            <w:gridSpan w:val="2"/>
            <w:tcBorders>
              <w:top w:val="single" w:sz="4" w:space="0" w:color="000000"/>
              <w:left w:val="single" w:sz="4" w:space="0" w:color="000000"/>
              <w:bottom w:val="single" w:sz="4" w:space="0" w:color="000000"/>
              <w:right w:val="single" w:sz="2" w:space="0" w:color="000000"/>
            </w:tcBorders>
          </w:tcPr>
          <w:p w14:paraId="689826B6"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80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3011FB5F" w14:textId="77777777" w:rsidR="00C232D7" w:rsidRPr="00F6198B" w:rsidRDefault="00C232D7" w:rsidP="00A23ED0">
            <w:pPr>
              <w:numPr>
                <w:ilvl w:val="0"/>
                <w:numId w:val="26"/>
              </w:numPr>
              <w:spacing w:after="5" w:line="360" w:lineRule="auto"/>
              <w:ind w:right="98"/>
              <w:contextualSpacing/>
              <w:rPr>
                <w:rFonts w:ascii="Arial" w:hAnsi="Arial" w:cs="Arial"/>
                <w:sz w:val="18"/>
                <w:szCs w:val="18"/>
                <w:lang w:val="sr-Latn-RS"/>
              </w:rPr>
            </w:pPr>
          </w:p>
        </w:tc>
      </w:tr>
      <w:tr w:rsidR="00C232D7" w:rsidRPr="00F6198B" w14:paraId="3839D152" w14:textId="77777777" w:rsidTr="00C232D7">
        <w:tblPrEx>
          <w:tblCellMar>
            <w:top w:w="0" w:type="dxa"/>
          </w:tblCellMar>
        </w:tblPrEx>
        <w:trPr>
          <w:trHeight w:val="256"/>
        </w:trPr>
        <w:tc>
          <w:tcPr>
            <w:tcW w:w="266" w:type="dxa"/>
            <w:vMerge/>
            <w:tcBorders>
              <w:top w:val="nil"/>
              <w:left w:val="single" w:sz="4" w:space="0" w:color="000000"/>
              <w:bottom w:val="nil"/>
              <w:right w:val="single" w:sz="4" w:space="0" w:color="000000"/>
            </w:tcBorders>
          </w:tcPr>
          <w:p w14:paraId="3E9D4DAB"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33B95DAE"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 </w:t>
            </w:r>
          </w:p>
        </w:tc>
        <w:tc>
          <w:tcPr>
            <w:tcW w:w="3717" w:type="dxa"/>
            <w:gridSpan w:val="7"/>
            <w:tcBorders>
              <w:top w:val="single" w:sz="4" w:space="0" w:color="000000"/>
              <w:left w:val="single" w:sz="4" w:space="0" w:color="000000"/>
              <w:bottom w:val="single" w:sz="4" w:space="0" w:color="000000"/>
              <w:right w:val="single" w:sz="4" w:space="0" w:color="000000"/>
            </w:tcBorders>
          </w:tcPr>
          <w:p w14:paraId="694BBDC4"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Naselje Rovačko Trebaljevo </w:t>
            </w:r>
          </w:p>
        </w:tc>
        <w:tc>
          <w:tcPr>
            <w:tcW w:w="2929" w:type="dxa"/>
            <w:gridSpan w:val="2"/>
            <w:tcBorders>
              <w:top w:val="single" w:sz="4" w:space="0" w:color="000000"/>
              <w:left w:val="single" w:sz="4" w:space="0" w:color="000000"/>
              <w:bottom w:val="single" w:sz="4" w:space="0" w:color="000000"/>
              <w:right w:val="single" w:sz="4" w:space="0" w:color="000000"/>
            </w:tcBorders>
          </w:tcPr>
          <w:p w14:paraId="19BBF514" w14:textId="7C687142"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2" w:space="0" w:color="000000"/>
            </w:tcBorders>
          </w:tcPr>
          <w:p w14:paraId="5AB5B0D1"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80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074D36BE" w14:textId="77777777" w:rsidR="00C232D7" w:rsidRPr="00F6198B" w:rsidRDefault="00C232D7" w:rsidP="00A23ED0">
            <w:pPr>
              <w:numPr>
                <w:ilvl w:val="0"/>
                <w:numId w:val="26"/>
              </w:numPr>
              <w:spacing w:after="5" w:line="360" w:lineRule="auto"/>
              <w:ind w:right="98"/>
              <w:contextualSpacing/>
              <w:rPr>
                <w:rFonts w:ascii="Arial" w:hAnsi="Arial" w:cs="Arial"/>
                <w:sz w:val="18"/>
                <w:szCs w:val="18"/>
                <w:lang w:val="sr-Latn-RS"/>
              </w:rPr>
            </w:pPr>
          </w:p>
        </w:tc>
      </w:tr>
      <w:tr w:rsidR="00C232D7" w:rsidRPr="00F6198B" w14:paraId="3E0A121D"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1D1FF66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6E3CAF6C"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717" w:type="dxa"/>
            <w:gridSpan w:val="7"/>
            <w:tcBorders>
              <w:top w:val="single" w:sz="4" w:space="0" w:color="000000"/>
              <w:left w:val="single" w:sz="4" w:space="0" w:color="000000"/>
              <w:bottom w:val="single" w:sz="2" w:space="0" w:color="000000"/>
              <w:right w:val="single" w:sz="4" w:space="0" w:color="000000"/>
            </w:tcBorders>
          </w:tcPr>
          <w:p w14:paraId="2922B28E"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Naselje Sjerogošte </w:t>
            </w:r>
          </w:p>
        </w:tc>
        <w:tc>
          <w:tcPr>
            <w:tcW w:w="2929" w:type="dxa"/>
            <w:gridSpan w:val="2"/>
            <w:tcBorders>
              <w:top w:val="single" w:sz="4" w:space="0" w:color="000000"/>
              <w:left w:val="single" w:sz="4" w:space="0" w:color="000000"/>
              <w:bottom w:val="single" w:sz="2" w:space="0" w:color="000000"/>
              <w:right w:val="single" w:sz="4" w:space="0" w:color="000000"/>
            </w:tcBorders>
          </w:tcPr>
          <w:p w14:paraId="3328AFDA" w14:textId="3F673C47"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2" w:space="0" w:color="000000"/>
              <w:right w:val="single" w:sz="2" w:space="0" w:color="000000"/>
            </w:tcBorders>
          </w:tcPr>
          <w:p w14:paraId="3AEF15DD"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012686B2" w14:textId="77777777" w:rsidR="00C232D7" w:rsidRPr="00F6198B" w:rsidRDefault="00C232D7" w:rsidP="00A23ED0">
            <w:pPr>
              <w:numPr>
                <w:ilvl w:val="0"/>
                <w:numId w:val="26"/>
              </w:numPr>
              <w:spacing w:after="5" w:line="360" w:lineRule="auto"/>
              <w:ind w:right="98"/>
              <w:contextualSpacing/>
              <w:rPr>
                <w:rFonts w:ascii="Arial" w:hAnsi="Arial" w:cs="Arial"/>
                <w:sz w:val="18"/>
                <w:szCs w:val="18"/>
                <w:lang w:val="sr-Latn-RS"/>
              </w:rPr>
            </w:pPr>
          </w:p>
        </w:tc>
      </w:tr>
      <w:tr w:rsidR="00C232D7" w:rsidRPr="00F6198B" w14:paraId="1EC3A5DD"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2365A5E6"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0D9A32D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 </w:t>
            </w:r>
          </w:p>
        </w:tc>
        <w:tc>
          <w:tcPr>
            <w:tcW w:w="3717" w:type="dxa"/>
            <w:gridSpan w:val="7"/>
            <w:tcBorders>
              <w:top w:val="single" w:sz="2" w:space="0" w:color="000000"/>
              <w:left w:val="single" w:sz="4" w:space="0" w:color="000000"/>
              <w:bottom w:val="single" w:sz="4" w:space="0" w:color="000000"/>
              <w:right w:val="single" w:sz="4" w:space="0" w:color="000000"/>
            </w:tcBorders>
          </w:tcPr>
          <w:p w14:paraId="6F9C094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Naselje Lipovo, </w:t>
            </w:r>
          </w:p>
        </w:tc>
        <w:tc>
          <w:tcPr>
            <w:tcW w:w="2929" w:type="dxa"/>
            <w:gridSpan w:val="2"/>
            <w:tcBorders>
              <w:top w:val="single" w:sz="2" w:space="0" w:color="000000"/>
              <w:left w:val="single" w:sz="4" w:space="0" w:color="000000"/>
              <w:bottom w:val="single" w:sz="4" w:space="0" w:color="000000"/>
              <w:right w:val="single" w:sz="4" w:space="0" w:color="000000"/>
            </w:tcBorders>
          </w:tcPr>
          <w:p w14:paraId="501C35EB"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Komunalni otpad </w:t>
            </w:r>
          </w:p>
        </w:tc>
        <w:tc>
          <w:tcPr>
            <w:tcW w:w="933" w:type="dxa"/>
            <w:gridSpan w:val="2"/>
            <w:tcBorders>
              <w:top w:val="single" w:sz="2" w:space="0" w:color="000000"/>
              <w:left w:val="single" w:sz="4" w:space="0" w:color="000000"/>
              <w:bottom w:val="single" w:sz="4" w:space="0" w:color="000000"/>
              <w:right w:val="single" w:sz="2" w:space="0" w:color="000000"/>
            </w:tcBorders>
          </w:tcPr>
          <w:p w14:paraId="654D457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606F0946" w14:textId="77777777" w:rsidR="00C232D7" w:rsidRPr="00F6198B" w:rsidRDefault="00C232D7" w:rsidP="00A23ED0">
            <w:pPr>
              <w:numPr>
                <w:ilvl w:val="0"/>
                <w:numId w:val="26"/>
              </w:numPr>
              <w:spacing w:after="5" w:line="360" w:lineRule="auto"/>
              <w:ind w:right="98"/>
              <w:contextualSpacing/>
              <w:rPr>
                <w:rFonts w:ascii="Arial" w:hAnsi="Arial" w:cs="Arial"/>
                <w:sz w:val="18"/>
                <w:szCs w:val="18"/>
                <w:lang w:val="sr-Latn-RS"/>
              </w:rPr>
            </w:pPr>
          </w:p>
        </w:tc>
      </w:tr>
      <w:tr w:rsidR="00C232D7" w:rsidRPr="00F6198B" w14:paraId="62D22A43"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52BEC42F"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7B79220D"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6. </w:t>
            </w:r>
          </w:p>
        </w:tc>
        <w:tc>
          <w:tcPr>
            <w:tcW w:w="3717" w:type="dxa"/>
            <w:gridSpan w:val="7"/>
            <w:tcBorders>
              <w:top w:val="single" w:sz="4" w:space="0" w:color="000000"/>
              <w:left w:val="single" w:sz="4" w:space="0" w:color="000000"/>
              <w:bottom w:val="single" w:sz="4" w:space="0" w:color="000000"/>
              <w:right w:val="single" w:sz="4" w:space="0" w:color="000000"/>
            </w:tcBorders>
          </w:tcPr>
          <w:p w14:paraId="711C4AE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Uz Lokalni put Mateševo - Jabuka, </w:t>
            </w:r>
          </w:p>
        </w:tc>
        <w:tc>
          <w:tcPr>
            <w:tcW w:w="2929" w:type="dxa"/>
            <w:gridSpan w:val="2"/>
            <w:tcBorders>
              <w:top w:val="single" w:sz="4" w:space="0" w:color="000000"/>
              <w:left w:val="single" w:sz="4" w:space="0" w:color="000000"/>
              <w:bottom w:val="single" w:sz="4" w:space="0" w:color="000000"/>
              <w:right w:val="single" w:sz="4" w:space="0" w:color="000000"/>
            </w:tcBorders>
          </w:tcPr>
          <w:p w14:paraId="65725542"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Komunalni otpad </w:t>
            </w:r>
          </w:p>
        </w:tc>
        <w:tc>
          <w:tcPr>
            <w:tcW w:w="933" w:type="dxa"/>
            <w:gridSpan w:val="2"/>
            <w:tcBorders>
              <w:top w:val="single" w:sz="4" w:space="0" w:color="000000"/>
              <w:left w:val="single" w:sz="4" w:space="0" w:color="000000"/>
              <w:bottom w:val="single" w:sz="4" w:space="0" w:color="000000"/>
              <w:right w:val="single" w:sz="2" w:space="0" w:color="000000"/>
            </w:tcBorders>
          </w:tcPr>
          <w:p w14:paraId="6E3DC0FB"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52214EA0" w14:textId="77777777" w:rsidR="00C232D7" w:rsidRPr="00F6198B" w:rsidRDefault="00C232D7" w:rsidP="00A23ED0">
            <w:pPr>
              <w:numPr>
                <w:ilvl w:val="0"/>
                <w:numId w:val="26"/>
              </w:numPr>
              <w:spacing w:after="5" w:line="360" w:lineRule="auto"/>
              <w:ind w:right="98"/>
              <w:contextualSpacing/>
              <w:rPr>
                <w:rFonts w:ascii="Arial" w:hAnsi="Arial" w:cs="Arial"/>
                <w:sz w:val="18"/>
                <w:szCs w:val="18"/>
                <w:lang w:val="sr-Latn-RS"/>
              </w:rPr>
            </w:pPr>
          </w:p>
        </w:tc>
      </w:tr>
      <w:tr w:rsidR="00C232D7" w:rsidRPr="00F6198B" w14:paraId="06DF8B5D" w14:textId="77777777" w:rsidTr="00C232D7">
        <w:tblPrEx>
          <w:tblCellMar>
            <w:top w:w="0" w:type="dxa"/>
          </w:tblCellMar>
        </w:tblPrEx>
        <w:trPr>
          <w:trHeight w:val="202"/>
        </w:trPr>
        <w:tc>
          <w:tcPr>
            <w:tcW w:w="266" w:type="dxa"/>
            <w:vMerge/>
            <w:tcBorders>
              <w:top w:val="nil"/>
              <w:left w:val="single" w:sz="4" w:space="0" w:color="000000"/>
              <w:bottom w:val="nil"/>
              <w:right w:val="single" w:sz="4" w:space="0" w:color="000000"/>
            </w:tcBorders>
          </w:tcPr>
          <w:p w14:paraId="33AC39E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7135825E"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7. </w:t>
            </w:r>
          </w:p>
        </w:tc>
        <w:tc>
          <w:tcPr>
            <w:tcW w:w="3717" w:type="dxa"/>
            <w:gridSpan w:val="7"/>
            <w:tcBorders>
              <w:top w:val="single" w:sz="4" w:space="0" w:color="000000"/>
              <w:left w:val="single" w:sz="4" w:space="0" w:color="000000"/>
              <w:bottom w:val="single" w:sz="4" w:space="0" w:color="000000"/>
              <w:right w:val="single" w:sz="4" w:space="0" w:color="000000"/>
            </w:tcBorders>
          </w:tcPr>
          <w:p w14:paraId="2CD7463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Uz lokalni put ka ski centru Jezerine-KO 1450 </w:t>
            </w:r>
          </w:p>
        </w:tc>
        <w:tc>
          <w:tcPr>
            <w:tcW w:w="2929" w:type="dxa"/>
            <w:gridSpan w:val="2"/>
            <w:tcBorders>
              <w:top w:val="single" w:sz="4" w:space="0" w:color="000000"/>
              <w:left w:val="single" w:sz="4" w:space="0" w:color="000000"/>
              <w:bottom w:val="single" w:sz="4" w:space="0" w:color="000000"/>
              <w:right w:val="single" w:sz="4" w:space="0" w:color="000000"/>
            </w:tcBorders>
          </w:tcPr>
          <w:p w14:paraId="59AE4FD3"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Komunalni otpad </w:t>
            </w:r>
          </w:p>
        </w:tc>
        <w:tc>
          <w:tcPr>
            <w:tcW w:w="933" w:type="dxa"/>
            <w:gridSpan w:val="2"/>
            <w:tcBorders>
              <w:top w:val="single" w:sz="4" w:space="0" w:color="000000"/>
              <w:left w:val="single" w:sz="4" w:space="0" w:color="000000"/>
              <w:bottom w:val="single" w:sz="4" w:space="0" w:color="000000"/>
              <w:right w:val="single" w:sz="2" w:space="0" w:color="000000"/>
            </w:tcBorders>
          </w:tcPr>
          <w:p w14:paraId="0F393E4D"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2217D1FD" w14:textId="77777777" w:rsidR="00C232D7" w:rsidRPr="00F6198B" w:rsidRDefault="00C232D7" w:rsidP="00A23ED0">
            <w:pPr>
              <w:numPr>
                <w:ilvl w:val="0"/>
                <w:numId w:val="26"/>
              </w:numPr>
              <w:spacing w:after="5" w:line="360" w:lineRule="auto"/>
              <w:ind w:right="98"/>
              <w:contextualSpacing/>
              <w:rPr>
                <w:rFonts w:ascii="Arial" w:hAnsi="Arial" w:cs="Arial"/>
                <w:sz w:val="18"/>
                <w:szCs w:val="18"/>
                <w:lang w:val="sr-Latn-RS"/>
              </w:rPr>
            </w:pPr>
          </w:p>
        </w:tc>
      </w:tr>
      <w:tr w:rsidR="00C232D7" w:rsidRPr="00F6198B" w14:paraId="436B2C71" w14:textId="77777777" w:rsidTr="00C232D7">
        <w:tblPrEx>
          <w:tblCellMar>
            <w:top w:w="0" w:type="dxa"/>
          </w:tblCellMar>
        </w:tblPrEx>
        <w:trPr>
          <w:trHeight w:val="83"/>
        </w:trPr>
        <w:tc>
          <w:tcPr>
            <w:tcW w:w="266" w:type="dxa"/>
            <w:vMerge/>
            <w:tcBorders>
              <w:top w:val="nil"/>
              <w:left w:val="single" w:sz="4" w:space="0" w:color="000000"/>
              <w:bottom w:val="single" w:sz="4" w:space="0" w:color="000000"/>
              <w:right w:val="single" w:sz="4" w:space="0" w:color="000000"/>
            </w:tcBorders>
          </w:tcPr>
          <w:p w14:paraId="48F227F5" w14:textId="77777777" w:rsidR="00C232D7" w:rsidRPr="00F6198B" w:rsidRDefault="00C232D7" w:rsidP="00C232D7">
            <w:pPr>
              <w:spacing w:after="160" w:line="360" w:lineRule="auto"/>
              <w:rPr>
                <w:rFonts w:ascii="Arial" w:hAnsi="Arial" w:cs="Arial"/>
                <w:color w:val="000000"/>
                <w:sz w:val="18"/>
                <w:szCs w:val="18"/>
                <w:lang w:val="sr-Latn-RS"/>
              </w:rPr>
            </w:pPr>
          </w:p>
        </w:tc>
        <w:tc>
          <w:tcPr>
            <w:tcW w:w="7231" w:type="dxa"/>
            <w:gridSpan w:val="12"/>
            <w:tcBorders>
              <w:top w:val="single" w:sz="4" w:space="0" w:color="000000"/>
              <w:left w:val="single" w:sz="4" w:space="0" w:color="000000"/>
              <w:bottom w:val="single" w:sz="4" w:space="0" w:color="000000"/>
              <w:right w:val="single" w:sz="4" w:space="0" w:color="000000"/>
            </w:tcBorders>
          </w:tcPr>
          <w:p w14:paraId="0CF3AC3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933" w:type="dxa"/>
            <w:gridSpan w:val="2"/>
            <w:tcBorders>
              <w:top w:val="single" w:sz="4" w:space="0" w:color="000000"/>
              <w:left w:val="single" w:sz="4" w:space="0" w:color="000000"/>
              <w:bottom w:val="single" w:sz="4" w:space="0" w:color="000000"/>
              <w:right w:val="nil"/>
            </w:tcBorders>
          </w:tcPr>
          <w:p w14:paraId="7B215A2B"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41" w:type="dxa"/>
            <w:tcBorders>
              <w:top w:val="single" w:sz="4" w:space="0" w:color="000000"/>
              <w:left w:val="nil"/>
              <w:bottom w:val="single" w:sz="4" w:space="0" w:color="000000"/>
              <w:right w:val="single" w:sz="4" w:space="0" w:color="000000"/>
            </w:tcBorders>
          </w:tcPr>
          <w:p w14:paraId="498D0E52"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6694A70E" w14:textId="77777777" w:rsidTr="00C232D7">
        <w:tblPrEx>
          <w:tblCellMar>
            <w:top w:w="0" w:type="dxa"/>
          </w:tblCellMar>
        </w:tblPrEx>
        <w:trPr>
          <w:trHeight w:val="251"/>
        </w:trPr>
        <w:tc>
          <w:tcPr>
            <w:tcW w:w="1440" w:type="dxa"/>
            <w:gridSpan w:val="8"/>
            <w:tcBorders>
              <w:top w:val="single" w:sz="4" w:space="0" w:color="000000"/>
              <w:left w:val="single" w:sz="4" w:space="0" w:color="000000"/>
              <w:bottom w:val="single" w:sz="2" w:space="0" w:color="000000"/>
              <w:right w:val="single" w:sz="4" w:space="0" w:color="000000"/>
            </w:tcBorders>
            <w:shd w:val="clear" w:color="auto" w:fill="EAF1DD"/>
          </w:tcPr>
          <w:p w14:paraId="0194BDED" w14:textId="77777777" w:rsidR="00C232D7" w:rsidRPr="00F6198B" w:rsidRDefault="00C232D7" w:rsidP="00C232D7">
            <w:pPr>
              <w:spacing w:line="360" w:lineRule="auto"/>
              <w:rPr>
                <w:rFonts w:ascii="Arial" w:hAnsi="Arial" w:cs="Arial"/>
                <w:color w:val="000000"/>
                <w:sz w:val="18"/>
                <w:szCs w:val="18"/>
                <w:lang w:val="sr-Latn-RS"/>
              </w:rPr>
            </w:pPr>
          </w:p>
          <w:p w14:paraId="4246DC87"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12. MOJKOVAC  </w:t>
            </w:r>
          </w:p>
        </w:tc>
        <w:tc>
          <w:tcPr>
            <w:tcW w:w="6057" w:type="dxa"/>
            <w:gridSpan w:val="5"/>
            <w:tcBorders>
              <w:top w:val="single" w:sz="4" w:space="0" w:color="000000"/>
              <w:left w:val="single" w:sz="4" w:space="0" w:color="000000"/>
              <w:bottom w:val="single" w:sz="2" w:space="0" w:color="000000"/>
              <w:right w:val="nil"/>
            </w:tcBorders>
            <w:shd w:val="clear" w:color="auto" w:fill="EAF1DD"/>
          </w:tcPr>
          <w:p w14:paraId="3387000F"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33" w:type="dxa"/>
            <w:gridSpan w:val="2"/>
            <w:tcBorders>
              <w:top w:val="single" w:sz="4" w:space="0" w:color="000000"/>
              <w:left w:val="nil"/>
              <w:bottom w:val="single" w:sz="2" w:space="0" w:color="000000"/>
              <w:right w:val="nil"/>
            </w:tcBorders>
            <w:shd w:val="clear" w:color="auto" w:fill="EAF1DD"/>
          </w:tcPr>
          <w:p w14:paraId="5D1A1CA9" w14:textId="77777777" w:rsidR="00C232D7" w:rsidRPr="00F6198B" w:rsidRDefault="00C232D7" w:rsidP="00C232D7">
            <w:pPr>
              <w:spacing w:after="160" w:line="360" w:lineRule="auto"/>
              <w:rPr>
                <w:rFonts w:ascii="Arial" w:hAnsi="Arial" w:cs="Arial"/>
                <w:color w:val="000000"/>
                <w:sz w:val="18"/>
                <w:szCs w:val="18"/>
                <w:lang w:val="sr-Latn-RS"/>
              </w:rPr>
            </w:pPr>
          </w:p>
        </w:tc>
        <w:tc>
          <w:tcPr>
            <w:tcW w:w="941" w:type="dxa"/>
            <w:tcBorders>
              <w:top w:val="single" w:sz="4" w:space="0" w:color="000000"/>
              <w:left w:val="nil"/>
              <w:bottom w:val="single" w:sz="2" w:space="0" w:color="000000"/>
              <w:right w:val="single" w:sz="4" w:space="0" w:color="000000"/>
            </w:tcBorders>
            <w:shd w:val="clear" w:color="auto" w:fill="EAF1DD"/>
          </w:tcPr>
          <w:p w14:paraId="4DCA57BC"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54BE62FC" w14:textId="77777777" w:rsidTr="00C232D7">
        <w:tblPrEx>
          <w:tblCellMar>
            <w:top w:w="0" w:type="dxa"/>
          </w:tblCellMar>
        </w:tblPrEx>
        <w:trPr>
          <w:trHeight w:val="203"/>
        </w:trPr>
        <w:tc>
          <w:tcPr>
            <w:tcW w:w="266" w:type="dxa"/>
            <w:vMerge w:val="restart"/>
            <w:tcBorders>
              <w:top w:val="single" w:sz="2" w:space="0" w:color="000000"/>
              <w:left w:val="single" w:sz="4" w:space="0" w:color="000000"/>
              <w:bottom w:val="single" w:sz="4" w:space="0" w:color="000000"/>
              <w:right w:val="single" w:sz="4" w:space="0" w:color="000000"/>
            </w:tcBorders>
            <w:shd w:val="clear" w:color="auto" w:fill="EAF1DD"/>
            <w:vAlign w:val="center"/>
          </w:tcPr>
          <w:p w14:paraId="6FD9A32B" w14:textId="77777777" w:rsidR="00C232D7" w:rsidRPr="00F6198B" w:rsidRDefault="00C232D7" w:rsidP="00C232D7">
            <w:pPr>
              <w:spacing w:line="360" w:lineRule="auto"/>
              <w:ind w:right="41"/>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gridSpan w:val="3"/>
            <w:tcBorders>
              <w:top w:val="single" w:sz="2" w:space="0" w:color="000000"/>
              <w:left w:val="single" w:sz="4" w:space="0" w:color="000000"/>
              <w:bottom w:val="single" w:sz="4" w:space="0" w:color="000000"/>
              <w:right w:val="single" w:sz="4" w:space="0" w:color="000000"/>
            </w:tcBorders>
          </w:tcPr>
          <w:p w14:paraId="0B5595B8"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717" w:type="dxa"/>
            <w:gridSpan w:val="7"/>
            <w:tcBorders>
              <w:top w:val="single" w:sz="2" w:space="0" w:color="000000"/>
              <w:left w:val="single" w:sz="4" w:space="0" w:color="000000"/>
              <w:bottom w:val="single" w:sz="4" w:space="0" w:color="000000"/>
              <w:right w:val="single" w:sz="4" w:space="0" w:color="000000"/>
            </w:tcBorders>
          </w:tcPr>
          <w:p w14:paraId="6D5D794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Podbišće</w:t>
            </w:r>
          </w:p>
        </w:tc>
        <w:tc>
          <w:tcPr>
            <w:tcW w:w="2929" w:type="dxa"/>
            <w:gridSpan w:val="2"/>
            <w:tcBorders>
              <w:top w:val="single" w:sz="2" w:space="0" w:color="000000"/>
              <w:left w:val="single" w:sz="4" w:space="0" w:color="000000"/>
              <w:bottom w:val="single" w:sz="4" w:space="0" w:color="000000"/>
              <w:right w:val="single" w:sz="4" w:space="0" w:color="000000"/>
            </w:tcBorders>
          </w:tcPr>
          <w:p w14:paraId="3603676C"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2" w:space="0" w:color="000000"/>
              <w:left w:val="single" w:sz="4" w:space="0" w:color="000000"/>
              <w:bottom w:val="single" w:sz="4" w:space="0" w:color="000000"/>
              <w:right w:val="single" w:sz="2" w:space="0" w:color="000000"/>
            </w:tcBorders>
          </w:tcPr>
          <w:p w14:paraId="3BA37C2B"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09DF409C" w14:textId="77777777" w:rsidR="00C232D7" w:rsidRPr="00F6198B" w:rsidRDefault="00C232D7" w:rsidP="00A23ED0">
            <w:pPr>
              <w:numPr>
                <w:ilvl w:val="0"/>
                <w:numId w:val="26"/>
              </w:numPr>
              <w:spacing w:after="5" w:line="360" w:lineRule="auto"/>
              <w:ind w:right="98"/>
              <w:contextualSpacing/>
              <w:rPr>
                <w:rFonts w:ascii="Arial" w:hAnsi="Arial" w:cs="Arial"/>
                <w:sz w:val="18"/>
                <w:szCs w:val="18"/>
                <w:lang w:val="sr-Latn-RS"/>
              </w:rPr>
            </w:pPr>
          </w:p>
        </w:tc>
      </w:tr>
      <w:tr w:rsidR="00C232D7" w:rsidRPr="00F6198B" w14:paraId="40A48D5F" w14:textId="77777777" w:rsidTr="00C232D7">
        <w:tblPrEx>
          <w:tblCellMar>
            <w:top w:w="0" w:type="dxa"/>
          </w:tblCellMar>
        </w:tblPrEx>
        <w:trPr>
          <w:trHeight w:val="203"/>
        </w:trPr>
        <w:tc>
          <w:tcPr>
            <w:tcW w:w="266" w:type="dxa"/>
            <w:vMerge/>
            <w:tcBorders>
              <w:top w:val="single" w:sz="2" w:space="0" w:color="000000"/>
              <w:left w:val="single" w:sz="4" w:space="0" w:color="000000"/>
              <w:bottom w:val="single" w:sz="4" w:space="0" w:color="000000"/>
              <w:right w:val="single" w:sz="4" w:space="0" w:color="000000"/>
            </w:tcBorders>
            <w:shd w:val="clear" w:color="auto" w:fill="EAF1DD"/>
            <w:vAlign w:val="center"/>
          </w:tcPr>
          <w:p w14:paraId="26E82DDF" w14:textId="77777777" w:rsidR="00C232D7" w:rsidRPr="00F6198B" w:rsidRDefault="00C232D7" w:rsidP="00C232D7">
            <w:pPr>
              <w:spacing w:line="360" w:lineRule="auto"/>
              <w:ind w:right="41"/>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3434931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2.</w:t>
            </w:r>
          </w:p>
        </w:tc>
        <w:tc>
          <w:tcPr>
            <w:tcW w:w="3717" w:type="dxa"/>
            <w:gridSpan w:val="7"/>
            <w:tcBorders>
              <w:top w:val="single" w:sz="2" w:space="0" w:color="000000"/>
              <w:left w:val="single" w:sz="4" w:space="0" w:color="000000"/>
              <w:bottom w:val="single" w:sz="4" w:space="0" w:color="000000"/>
              <w:right w:val="single" w:sz="4" w:space="0" w:color="000000"/>
            </w:tcBorders>
          </w:tcPr>
          <w:p w14:paraId="5FFA987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Stevanovac 1</w:t>
            </w:r>
          </w:p>
        </w:tc>
        <w:tc>
          <w:tcPr>
            <w:tcW w:w="2929" w:type="dxa"/>
            <w:gridSpan w:val="2"/>
            <w:tcBorders>
              <w:top w:val="single" w:sz="2" w:space="0" w:color="000000"/>
              <w:left w:val="single" w:sz="4" w:space="0" w:color="000000"/>
              <w:bottom w:val="single" w:sz="4" w:space="0" w:color="000000"/>
              <w:right w:val="single" w:sz="4" w:space="0" w:color="000000"/>
            </w:tcBorders>
          </w:tcPr>
          <w:p w14:paraId="2BB8DEC9"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2" w:space="0" w:color="000000"/>
              <w:left w:val="single" w:sz="4" w:space="0" w:color="000000"/>
              <w:bottom w:val="single" w:sz="4" w:space="0" w:color="000000"/>
              <w:right w:val="single" w:sz="2" w:space="0" w:color="000000"/>
            </w:tcBorders>
          </w:tcPr>
          <w:p w14:paraId="6E4783A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4892BE8A" w14:textId="77777777" w:rsidR="00C232D7" w:rsidRPr="00F6198B" w:rsidRDefault="00C232D7" w:rsidP="00A23ED0">
            <w:pPr>
              <w:numPr>
                <w:ilvl w:val="0"/>
                <w:numId w:val="26"/>
              </w:numPr>
              <w:spacing w:after="5" w:line="360" w:lineRule="auto"/>
              <w:ind w:right="98"/>
              <w:contextualSpacing/>
              <w:rPr>
                <w:rFonts w:ascii="Arial" w:hAnsi="Arial" w:cs="Arial"/>
                <w:sz w:val="18"/>
                <w:szCs w:val="18"/>
                <w:lang w:val="sr-Latn-RS"/>
              </w:rPr>
            </w:pPr>
          </w:p>
        </w:tc>
      </w:tr>
      <w:tr w:rsidR="00C232D7" w:rsidRPr="00F6198B" w14:paraId="74480230" w14:textId="77777777" w:rsidTr="00C232D7">
        <w:tblPrEx>
          <w:tblCellMar>
            <w:top w:w="0" w:type="dxa"/>
          </w:tblCellMar>
        </w:tblPrEx>
        <w:trPr>
          <w:trHeight w:val="203"/>
        </w:trPr>
        <w:tc>
          <w:tcPr>
            <w:tcW w:w="266" w:type="dxa"/>
            <w:vMerge/>
            <w:tcBorders>
              <w:top w:val="single" w:sz="2" w:space="0" w:color="000000"/>
              <w:left w:val="single" w:sz="4" w:space="0" w:color="000000"/>
              <w:bottom w:val="single" w:sz="4" w:space="0" w:color="000000"/>
              <w:right w:val="single" w:sz="4" w:space="0" w:color="000000"/>
            </w:tcBorders>
            <w:shd w:val="clear" w:color="auto" w:fill="EAF1DD"/>
            <w:vAlign w:val="center"/>
          </w:tcPr>
          <w:p w14:paraId="03D05C2B" w14:textId="77777777" w:rsidR="00C232D7" w:rsidRPr="00F6198B" w:rsidRDefault="00C232D7" w:rsidP="00C232D7">
            <w:pPr>
              <w:spacing w:line="360" w:lineRule="auto"/>
              <w:ind w:right="41"/>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6B6C8B4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3717" w:type="dxa"/>
            <w:gridSpan w:val="7"/>
            <w:tcBorders>
              <w:top w:val="single" w:sz="2" w:space="0" w:color="000000"/>
              <w:left w:val="single" w:sz="4" w:space="0" w:color="000000"/>
              <w:bottom w:val="single" w:sz="4" w:space="0" w:color="000000"/>
              <w:right w:val="single" w:sz="4" w:space="0" w:color="000000"/>
            </w:tcBorders>
          </w:tcPr>
          <w:p w14:paraId="3E2707D7"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Stevanovac 2</w:t>
            </w:r>
          </w:p>
        </w:tc>
        <w:tc>
          <w:tcPr>
            <w:tcW w:w="2929" w:type="dxa"/>
            <w:gridSpan w:val="2"/>
            <w:tcBorders>
              <w:top w:val="single" w:sz="2" w:space="0" w:color="000000"/>
              <w:left w:val="single" w:sz="4" w:space="0" w:color="000000"/>
              <w:bottom w:val="single" w:sz="4" w:space="0" w:color="000000"/>
              <w:right w:val="single" w:sz="4" w:space="0" w:color="000000"/>
            </w:tcBorders>
          </w:tcPr>
          <w:p w14:paraId="7A64AB07"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2" w:space="0" w:color="000000"/>
              <w:left w:val="single" w:sz="4" w:space="0" w:color="000000"/>
              <w:bottom w:val="single" w:sz="4" w:space="0" w:color="000000"/>
              <w:right w:val="single" w:sz="2" w:space="0" w:color="000000"/>
            </w:tcBorders>
          </w:tcPr>
          <w:p w14:paraId="03022947"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04F6347B" w14:textId="77777777" w:rsidR="00C232D7" w:rsidRPr="00F6198B" w:rsidRDefault="00C232D7" w:rsidP="00A23ED0">
            <w:pPr>
              <w:numPr>
                <w:ilvl w:val="0"/>
                <w:numId w:val="26"/>
              </w:numPr>
              <w:spacing w:after="5" w:line="360" w:lineRule="auto"/>
              <w:ind w:right="98"/>
              <w:contextualSpacing/>
              <w:rPr>
                <w:rFonts w:ascii="Arial" w:hAnsi="Arial" w:cs="Arial"/>
                <w:sz w:val="18"/>
                <w:szCs w:val="18"/>
                <w:lang w:val="sr-Latn-RS"/>
              </w:rPr>
            </w:pPr>
          </w:p>
        </w:tc>
      </w:tr>
      <w:tr w:rsidR="00C232D7" w:rsidRPr="00F6198B" w14:paraId="19268CF8"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0988E26B"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6362D84B"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717" w:type="dxa"/>
            <w:gridSpan w:val="7"/>
            <w:tcBorders>
              <w:top w:val="single" w:sz="4" w:space="0" w:color="000000"/>
              <w:left w:val="single" w:sz="4" w:space="0" w:color="000000"/>
              <w:bottom w:val="single" w:sz="4" w:space="0" w:color="000000"/>
              <w:right w:val="single" w:sz="4" w:space="0" w:color="000000"/>
            </w:tcBorders>
          </w:tcPr>
          <w:p w14:paraId="6210A2A4"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Stevanovac 3 </w:t>
            </w:r>
          </w:p>
        </w:tc>
        <w:tc>
          <w:tcPr>
            <w:tcW w:w="2929" w:type="dxa"/>
            <w:gridSpan w:val="2"/>
            <w:tcBorders>
              <w:top w:val="single" w:sz="4" w:space="0" w:color="000000"/>
              <w:left w:val="single" w:sz="4" w:space="0" w:color="000000"/>
              <w:bottom w:val="single" w:sz="4" w:space="0" w:color="000000"/>
              <w:right w:val="single" w:sz="4" w:space="0" w:color="000000"/>
            </w:tcBorders>
          </w:tcPr>
          <w:p w14:paraId="333C4EE9"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2BAC189D"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0438FBF5" w14:textId="77777777" w:rsidR="00C232D7" w:rsidRPr="00F6198B" w:rsidRDefault="00C232D7" w:rsidP="00A23ED0">
            <w:pPr>
              <w:numPr>
                <w:ilvl w:val="0"/>
                <w:numId w:val="26"/>
              </w:numPr>
              <w:spacing w:after="5" w:line="360" w:lineRule="auto"/>
              <w:ind w:right="98"/>
              <w:contextualSpacing/>
              <w:rPr>
                <w:rFonts w:ascii="Arial" w:hAnsi="Arial" w:cs="Arial"/>
                <w:sz w:val="18"/>
                <w:szCs w:val="18"/>
                <w:lang w:val="sr-Latn-RS"/>
              </w:rPr>
            </w:pPr>
          </w:p>
        </w:tc>
      </w:tr>
      <w:tr w:rsidR="00C232D7" w:rsidRPr="00F6198B" w14:paraId="59FF9A13"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76FACAF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0E48C9B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3717" w:type="dxa"/>
            <w:gridSpan w:val="7"/>
            <w:tcBorders>
              <w:top w:val="single" w:sz="4" w:space="0" w:color="000000"/>
              <w:left w:val="single" w:sz="4" w:space="0" w:color="000000"/>
              <w:bottom w:val="single" w:sz="4" w:space="0" w:color="000000"/>
              <w:right w:val="single" w:sz="4" w:space="0" w:color="000000"/>
            </w:tcBorders>
          </w:tcPr>
          <w:p w14:paraId="196F014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Juškovic potok</w:t>
            </w:r>
          </w:p>
        </w:tc>
        <w:tc>
          <w:tcPr>
            <w:tcW w:w="2929" w:type="dxa"/>
            <w:gridSpan w:val="2"/>
            <w:tcBorders>
              <w:top w:val="single" w:sz="4" w:space="0" w:color="000000"/>
              <w:left w:val="single" w:sz="4" w:space="0" w:color="000000"/>
              <w:bottom w:val="single" w:sz="4" w:space="0" w:color="000000"/>
              <w:right w:val="single" w:sz="4" w:space="0" w:color="000000"/>
            </w:tcBorders>
          </w:tcPr>
          <w:p w14:paraId="52915A3C"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2D3F8E4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7A423BDE" w14:textId="77777777" w:rsidR="00C232D7" w:rsidRPr="00F6198B" w:rsidRDefault="00C232D7" w:rsidP="00A23ED0">
            <w:pPr>
              <w:numPr>
                <w:ilvl w:val="0"/>
                <w:numId w:val="26"/>
              </w:numPr>
              <w:spacing w:after="5" w:line="360" w:lineRule="auto"/>
              <w:ind w:right="98"/>
              <w:contextualSpacing/>
              <w:rPr>
                <w:rFonts w:ascii="Arial" w:hAnsi="Arial" w:cs="Arial"/>
                <w:sz w:val="18"/>
                <w:szCs w:val="18"/>
                <w:lang w:val="sr-Latn-RS"/>
              </w:rPr>
            </w:pPr>
          </w:p>
        </w:tc>
      </w:tr>
      <w:tr w:rsidR="00C232D7" w:rsidRPr="00F6198B" w14:paraId="197176C5"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3DC6B06E"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0A6B4A8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3717" w:type="dxa"/>
            <w:gridSpan w:val="7"/>
            <w:tcBorders>
              <w:top w:val="single" w:sz="4" w:space="0" w:color="000000"/>
              <w:left w:val="single" w:sz="4" w:space="0" w:color="000000"/>
              <w:bottom w:val="single" w:sz="4" w:space="0" w:color="000000"/>
              <w:right w:val="single" w:sz="4" w:space="0" w:color="000000"/>
            </w:tcBorders>
          </w:tcPr>
          <w:p w14:paraId="5116B2FF"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Polja – Most Baltića</w:t>
            </w:r>
          </w:p>
        </w:tc>
        <w:tc>
          <w:tcPr>
            <w:tcW w:w="2929" w:type="dxa"/>
            <w:gridSpan w:val="2"/>
            <w:tcBorders>
              <w:top w:val="single" w:sz="4" w:space="0" w:color="000000"/>
              <w:left w:val="single" w:sz="4" w:space="0" w:color="000000"/>
              <w:bottom w:val="single" w:sz="4" w:space="0" w:color="000000"/>
              <w:right w:val="single" w:sz="4" w:space="0" w:color="000000"/>
            </w:tcBorders>
          </w:tcPr>
          <w:p w14:paraId="6EDDC2F1"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4C8C7D61"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44B2C662" w14:textId="77777777" w:rsidR="00C232D7" w:rsidRPr="00F6198B" w:rsidRDefault="00C232D7" w:rsidP="00A23ED0">
            <w:pPr>
              <w:numPr>
                <w:ilvl w:val="0"/>
                <w:numId w:val="26"/>
              </w:numPr>
              <w:spacing w:after="5" w:line="360" w:lineRule="auto"/>
              <w:ind w:right="98"/>
              <w:contextualSpacing/>
              <w:rPr>
                <w:rFonts w:ascii="Arial" w:hAnsi="Arial" w:cs="Arial"/>
                <w:sz w:val="18"/>
                <w:szCs w:val="18"/>
                <w:lang w:val="sr-Latn-RS"/>
              </w:rPr>
            </w:pPr>
          </w:p>
        </w:tc>
      </w:tr>
      <w:tr w:rsidR="00C232D7" w:rsidRPr="00F6198B" w14:paraId="220DC45F" w14:textId="77777777" w:rsidTr="00C232D7">
        <w:tblPrEx>
          <w:tblCellMar>
            <w:top w:w="0" w:type="dxa"/>
          </w:tblCellMar>
        </w:tblPrEx>
        <w:trPr>
          <w:trHeight w:val="244"/>
        </w:trPr>
        <w:tc>
          <w:tcPr>
            <w:tcW w:w="266" w:type="dxa"/>
            <w:vMerge/>
            <w:tcBorders>
              <w:top w:val="nil"/>
              <w:left w:val="single" w:sz="4" w:space="0" w:color="000000"/>
              <w:bottom w:val="single" w:sz="4" w:space="0" w:color="000000"/>
              <w:right w:val="single" w:sz="4" w:space="0" w:color="000000"/>
            </w:tcBorders>
          </w:tcPr>
          <w:p w14:paraId="30E61CE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double" w:sz="4" w:space="0" w:color="000000"/>
              <w:right w:val="single" w:sz="4" w:space="0" w:color="000000"/>
            </w:tcBorders>
          </w:tcPr>
          <w:p w14:paraId="06EF089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7. </w:t>
            </w:r>
          </w:p>
        </w:tc>
        <w:tc>
          <w:tcPr>
            <w:tcW w:w="3717" w:type="dxa"/>
            <w:gridSpan w:val="7"/>
            <w:tcBorders>
              <w:top w:val="single" w:sz="4" w:space="0" w:color="000000"/>
              <w:left w:val="single" w:sz="4" w:space="0" w:color="000000"/>
              <w:bottom w:val="double" w:sz="4" w:space="0" w:color="000000"/>
              <w:right w:val="single" w:sz="4" w:space="0" w:color="000000"/>
            </w:tcBorders>
          </w:tcPr>
          <w:p w14:paraId="1B2906F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Lazina </w:t>
            </w:r>
          </w:p>
        </w:tc>
        <w:tc>
          <w:tcPr>
            <w:tcW w:w="2929" w:type="dxa"/>
            <w:gridSpan w:val="2"/>
            <w:tcBorders>
              <w:top w:val="single" w:sz="4" w:space="0" w:color="000000"/>
              <w:left w:val="single" w:sz="4" w:space="0" w:color="000000"/>
              <w:bottom w:val="double" w:sz="4" w:space="0" w:color="000000"/>
              <w:right w:val="single" w:sz="4" w:space="0" w:color="000000"/>
            </w:tcBorders>
          </w:tcPr>
          <w:p w14:paraId="0FFDB6A2"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double" w:sz="4" w:space="0" w:color="000000"/>
              <w:right w:val="single" w:sz="2" w:space="0" w:color="000000"/>
            </w:tcBorders>
          </w:tcPr>
          <w:p w14:paraId="13542A77"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7</w:t>
            </w:r>
          </w:p>
        </w:tc>
        <w:tc>
          <w:tcPr>
            <w:tcW w:w="941" w:type="dxa"/>
            <w:tcBorders>
              <w:top w:val="single" w:sz="4" w:space="0" w:color="000000"/>
              <w:left w:val="single" w:sz="2" w:space="0" w:color="000000"/>
              <w:bottom w:val="double" w:sz="4" w:space="0" w:color="000000"/>
              <w:right w:val="single" w:sz="4" w:space="0" w:color="000000"/>
            </w:tcBorders>
            <w:shd w:val="clear" w:color="auto" w:fill="00FFFF"/>
          </w:tcPr>
          <w:p w14:paraId="1EEDC0E5" w14:textId="77777777" w:rsidR="00C232D7" w:rsidRPr="00F6198B" w:rsidRDefault="00C232D7" w:rsidP="00A23ED0">
            <w:pPr>
              <w:numPr>
                <w:ilvl w:val="0"/>
                <w:numId w:val="26"/>
              </w:numPr>
              <w:spacing w:after="5" w:line="360" w:lineRule="auto"/>
              <w:ind w:right="98"/>
              <w:contextualSpacing/>
              <w:rPr>
                <w:rFonts w:ascii="Arial" w:hAnsi="Arial" w:cs="Arial"/>
                <w:sz w:val="18"/>
                <w:szCs w:val="18"/>
                <w:lang w:val="sr-Latn-RS"/>
              </w:rPr>
            </w:pPr>
          </w:p>
        </w:tc>
      </w:tr>
      <w:tr w:rsidR="00C232D7" w:rsidRPr="00F6198B" w14:paraId="337A2C54" w14:textId="77777777" w:rsidTr="00C232D7">
        <w:tblPrEx>
          <w:tblCellMar>
            <w:top w:w="0" w:type="dxa"/>
          </w:tblCellMar>
        </w:tblPrEx>
        <w:trPr>
          <w:trHeight w:val="348"/>
        </w:trPr>
        <w:tc>
          <w:tcPr>
            <w:tcW w:w="1418" w:type="dxa"/>
            <w:gridSpan w:val="7"/>
            <w:tcBorders>
              <w:top w:val="double" w:sz="4" w:space="0" w:color="000000"/>
              <w:left w:val="single" w:sz="4" w:space="0" w:color="000000"/>
              <w:bottom w:val="single" w:sz="4" w:space="0" w:color="000000"/>
              <w:right w:val="single" w:sz="4" w:space="0" w:color="000000"/>
            </w:tcBorders>
            <w:shd w:val="clear" w:color="auto" w:fill="EAF1DD"/>
          </w:tcPr>
          <w:p w14:paraId="05332650"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p w14:paraId="16518E93"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13. NIKŠIĆ </w:t>
            </w:r>
          </w:p>
        </w:tc>
        <w:tc>
          <w:tcPr>
            <w:tcW w:w="6079" w:type="dxa"/>
            <w:gridSpan w:val="6"/>
            <w:tcBorders>
              <w:top w:val="double" w:sz="4" w:space="0" w:color="000000"/>
              <w:left w:val="single" w:sz="4" w:space="0" w:color="000000"/>
              <w:bottom w:val="single" w:sz="4" w:space="0" w:color="000000"/>
              <w:right w:val="nil"/>
            </w:tcBorders>
            <w:shd w:val="clear" w:color="auto" w:fill="EAF1DD"/>
          </w:tcPr>
          <w:p w14:paraId="51D76A21"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933" w:type="dxa"/>
            <w:gridSpan w:val="2"/>
            <w:tcBorders>
              <w:top w:val="double" w:sz="4" w:space="0" w:color="000000"/>
              <w:left w:val="nil"/>
              <w:bottom w:val="single" w:sz="4" w:space="0" w:color="000000"/>
              <w:right w:val="single" w:sz="2" w:space="0" w:color="000000"/>
            </w:tcBorders>
            <w:shd w:val="clear" w:color="auto" w:fill="EAF1DD"/>
          </w:tcPr>
          <w:p w14:paraId="500F4DD4"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41" w:type="dxa"/>
            <w:tcBorders>
              <w:top w:val="double" w:sz="4" w:space="0" w:color="000000"/>
              <w:left w:val="single" w:sz="2" w:space="0" w:color="000000"/>
              <w:bottom w:val="single" w:sz="4" w:space="0" w:color="000000"/>
              <w:right w:val="single" w:sz="4" w:space="0" w:color="000000"/>
            </w:tcBorders>
            <w:shd w:val="clear" w:color="auto" w:fill="EAF1DD"/>
          </w:tcPr>
          <w:p w14:paraId="76298FAF" w14:textId="77777777" w:rsidR="00C232D7" w:rsidRPr="00F6198B" w:rsidRDefault="00C232D7" w:rsidP="00C232D7">
            <w:pPr>
              <w:spacing w:line="360" w:lineRule="auto"/>
              <w:ind w:left="37"/>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r>
      <w:tr w:rsidR="00C232D7" w:rsidRPr="00F6198B" w14:paraId="41FDF559" w14:textId="77777777" w:rsidTr="00C232D7">
        <w:tblPrEx>
          <w:tblCellMar>
            <w:top w:w="0" w:type="dxa"/>
          </w:tblCellMar>
        </w:tblPrEx>
        <w:trPr>
          <w:trHeight w:val="202"/>
        </w:trPr>
        <w:tc>
          <w:tcPr>
            <w:tcW w:w="266" w:type="dxa"/>
            <w:vMerge w:val="restart"/>
            <w:tcBorders>
              <w:top w:val="single" w:sz="4" w:space="0" w:color="000000"/>
              <w:left w:val="single" w:sz="4" w:space="0" w:color="000000"/>
              <w:right w:val="single" w:sz="4" w:space="0" w:color="000000"/>
            </w:tcBorders>
            <w:shd w:val="clear" w:color="auto" w:fill="EAF1DD"/>
          </w:tcPr>
          <w:p w14:paraId="710360D0" w14:textId="77777777" w:rsidR="00C232D7" w:rsidRPr="00F6198B" w:rsidRDefault="00C232D7" w:rsidP="00C232D7">
            <w:pPr>
              <w:spacing w:line="360" w:lineRule="auto"/>
              <w:ind w:right="41"/>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gridSpan w:val="3"/>
            <w:tcBorders>
              <w:top w:val="single" w:sz="4" w:space="0" w:color="000000"/>
              <w:left w:val="single" w:sz="4" w:space="0" w:color="000000"/>
              <w:bottom w:val="single" w:sz="4" w:space="0" w:color="000000"/>
              <w:right w:val="single" w:sz="4" w:space="0" w:color="000000"/>
            </w:tcBorders>
          </w:tcPr>
          <w:p w14:paraId="29A604A6"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717" w:type="dxa"/>
            <w:gridSpan w:val="7"/>
            <w:tcBorders>
              <w:top w:val="single" w:sz="4" w:space="0" w:color="000000"/>
              <w:left w:val="single" w:sz="4" w:space="0" w:color="000000"/>
              <w:bottom w:val="single" w:sz="4" w:space="0" w:color="000000"/>
              <w:right w:val="single" w:sz="4" w:space="0" w:color="000000"/>
            </w:tcBorders>
          </w:tcPr>
          <w:p w14:paraId="610D1C29"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Mislov do, Budoš, gradsko smetlište </w:t>
            </w:r>
          </w:p>
        </w:tc>
        <w:tc>
          <w:tcPr>
            <w:tcW w:w="2929" w:type="dxa"/>
            <w:gridSpan w:val="2"/>
            <w:tcBorders>
              <w:top w:val="single" w:sz="4" w:space="0" w:color="000000"/>
              <w:left w:val="single" w:sz="4" w:space="0" w:color="000000"/>
              <w:bottom w:val="single" w:sz="4" w:space="0" w:color="000000"/>
              <w:right w:val="single" w:sz="4" w:space="0" w:color="000000"/>
            </w:tcBorders>
          </w:tcPr>
          <w:p w14:paraId="4EFE3227"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08D6D32B"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300 000 t</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346FD9A9" w14:textId="77777777" w:rsidR="00C232D7" w:rsidRPr="00F6198B" w:rsidRDefault="00C232D7" w:rsidP="00A23ED0">
            <w:pPr>
              <w:numPr>
                <w:ilvl w:val="0"/>
                <w:numId w:val="26"/>
              </w:numPr>
              <w:spacing w:after="5" w:line="360" w:lineRule="auto"/>
              <w:ind w:right="2"/>
              <w:rPr>
                <w:rFonts w:ascii="Arial" w:hAnsi="Arial" w:cs="Arial"/>
                <w:color w:val="000000"/>
                <w:sz w:val="18"/>
                <w:szCs w:val="18"/>
                <w:lang w:val="sr-Latn-RS"/>
              </w:rPr>
            </w:pPr>
          </w:p>
        </w:tc>
      </w:tr>
      <w:tr w:rsidR="00C232D7" w:rsidRPr="00F6198B" w14:paraId="756129D9" w14:textId="77777777" w:rsidTr="00C232D7">
        <w:tblPrEx>
          <w:tblCellMar>
            <w:top w:w="0" w:type="dxa"/>
          </w:tblCellMar>
        </w:tblPrEx>
        <w:trPr>
          <w:trHeight w:val="251"/>
        </w:trPr>
        <w:tc>
          <w:tcPr>
            <w:tcW w:w="266" w:type="dxa"/>
            <w:vMerge/>
            <w:tcBorders>
              <w:left w:val="single" w:sz="4" w:space="0" w:color="000000"/>
              <w:right w:val="single" w:sz="4" w:space="0" w:color="000000"/>
            </w:tcBorders>
            <w:shd w:val="clear" w:color="auto" w:fill="EAF1DD"/>
          </w:tcPr>
          <w:p w14:paraId="46BA1FB6"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6D5F74C9"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717" w:type="dxa"/>
            <w:gridSpan w:val="7"/>
            <w:tcBorders>
              <w:top w:val="single" w:sz="2" w:space="0" w:color="000000"/>
              <w:left w:val="single" w:sz="4" w:space="0" w:color="000000"/>
              <w:bottom w:val="single" w:sz="4" w:space="0" w:color="000000"/>
              <w:right w:val="single" w:sz="4" w:space="0" w:color="000000"/>
            </w:tcBorders>
          </w:tcPr>
          <w:p w14:paraId="021043E6"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Halda, naselje Rubeža </w:t>
            </w:r>
          </w:p>
        </w:tc>
        <w:tc>
          <w:tcPr>
            <w:tcW w:w="2929" w:type="dxa"/>
            <w:gridSpan w:val="2"/>
            <w:tcBorders>
              <w:top w:val="single" w:sz="2" w:space="0" w:color="000000"/>
              <w:left w:val="single" w:sz="4" w:space="0" w:color="000000"/>
              <w:bottom w:val="single" w:sz="4" w:space="0" w:color="000000"/>
              <w:right w:val="single" w:sz="4" w:space="0" w:color="000000"/>
            </w:tcBorders>
          </w:tcPr>
          <w:p w14:paraId="45099237"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Industrijski otpad </w:t>
            </w:r>
          </w:p>
        </w:tc>
        <w:tc>
          <w:tcPr>
            <w:tcW w:w="933" w:type="dxa"/>
            <w:gridSpan w:val="2"/>
            <w:tcBorders>
              <w:top w:val="single" w:sz="2" w:space="0" w:color="000000"/>
              <w:left w:val="single" w:sz="4" w:space="0" w:color="000000"/>
              <w:bottom w:val="single" w:sz="4" w:space="0" w:color="000000"/>
              <w:right w:val="single" w:sz="2" w:space="0" w:color="000000"/>
            </w:tcBorders>
          </w:tcPr>
          <w:p w14:paraId="1B3B22A6"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600 000 t</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46ACFC8B" w14:textId="77777777" w:rsidR="00C232D7" w:rsidRPr="00F6198B" w:rsidRDefault="00C232D7" w:rsidP="00A23ED0">
            <w:pPr>
              <w:numPr>
                <w:ilvl w:val="0"/>
                <w:numId w:val="26"/>
              </w:numPr>
              <w:spacing w:after="5" w:line="360" w:lineRule="auto"/>
              <w:ind w:right="2"/>
              <w:rPr>
                <w:rFonts w:ascii="Arial" w:hAnsi="Arial" w:cs="Arial"/>
                <w:color w:val="000000"/>
                <w:sz w:val="18"/>
                <w:szCs w:val="18"/>
                <w:lang w:val="sr-Latn-RS"/>
              </w:rPr>
            </w:pPr>
          </w:p>
        </w:tc>
      </w:tr>
      <w:tr w:rsidR="00C232D7" w:rsidRPr="00F6198B" w14:paraId="7C3E6B30" w14:textId="77777777" w:rsidTr="00C232D7">
        <w:tblPrEx>
          <w:tblCellMar>
            <w:top w:w="0" w:type="dxa"/>
          </w:tblCellMar>
        </w:tblPrEx>
        <w:trPr>
          <w:trHeight w:val="56"/>
        </w:trPr>
        <w:tc>
          <w:tcPr>
            <w:tcW w:w="266" w:type="dxa"/>
            <w:vMerge/>
            <w:tcBorders>
              <w:left w:val="single" w:sz="4" w:space="0" w:color="000000"/>
              <w:right w:val="single" w:sz="4" w:space="0" w:color="000000"/>
            </w:tcBorders>
          </w:tcPr>
          <w:p w14:paraId="2B8F635E"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36E3D89A"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3. </w:t>
            </w:r>
          </w:p>
        </w:tc>
        <w:tc>
          <w:tcPr>
            <w:tcW w:w="3717" w:type="dxa"/>
            <w:gridSpan w:val="7"/>
            <w:tcBorders>
              <w:top w:val="single" w:sz="4" w:space="0" w:color="000000"/>
              <w:left w:val="single" w:sz="4" w:space="0" w:color="000000"/>
              <w:bottom w:val="single" w:sz="4" w:space="0" w:color="000000"/>
              <w:right w:val="single" w:sz="4" w:space="0" w:color="000000"/>
            </w:tcBorders>
          </w:tcPr>
          <w:p w14:paraId="5DF96269"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Naselje „Zverinjak“ Humci </w:t>
            </w:r>
          </w:p>
        </w:tc>
        <w:tc>
          <w:tcPr>
            <w:tcW w:w="2929" w:type="dxa"/>
            <w:gridSpan w:val="2"/>
            <w:tcBorders>
              <w:top w:val="single" w:sz="4" w:space="0" w:color="000000"/>
              <w:left w:val="single" w:sz="4" w:space="0" w:color="000000"/>
              <w:bottom w:val="single" w:sz="4" w:space="0" w:color="000000"/>
              <w:right w:val="single" w:sz="4" w:space="0" w:color="000000"/>
            </w:tcBorders>
          </w:tcPr>
          <w:p w14:paraId="43414783"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3A613F9C"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3FD22767" w14:textId="77777777" w:rsidR="00C232D7" w:rsidRPr="00F6198B" w:rsidRDefault="00C232D7" w:rsidP="00A23ED0">
            <w:pPr>
              <w:numPr>
                <w:ilvl w:val="0"/>
                <w:numId w:val="26"/>
              </w:numPr>
              <w:spacing w:after="5" w:line="360" w:lineRule="auto"/>
              <w:ind w:right="2"/>
              <w:rPr>
                <w:rFonts w:ascii="Arial" w:hAnsi="Arial" w:cs="Arial"/>
                <w:color w:val="000000"/>
                <w:sz w:val="18"/>
                <w:szCs w:val="18"/>
                <w:lang w:val="sr-Latn-RS"/>
              </w:rPr>
            </w:pPr>
          </w:p>
        </w:tc>
      </w:tr>
      <w:tr w:rsidR="00C232D7" w:rsidRPr="00F6198B" w14:paraId="4A898B0E" w14:textId="77777777" w:rsidTr="00C232D7">
        <w:tblPrEx>
          <w:tblCellMar>
            <w:top w:w="0" w:type="dxa"/>
          </w:tblCellMar>
        </w:tblPrEx>
        <w:trPr>
          <w:trHeight w:val="204"/>
        </w:trPr>
        <w:tc>
          <w:tcPr>
            <w:tcW w:w="266" w:type="dxa"/>
            <w:vMerge/>
            <w:tcBorders>
              <w:left w:val="single" w:sz="4" w:space="0" w:color="000000"/>
              <w:right w:val="single" w:sz="4" w:space="0" w:color="000000"/>
            </w:tcBorders>
          </w:tcPr>
          <w:p w14:paraId="01A3094D"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66A881FF"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717" w:type="dxa"/>
            <w:gridSpan w:val="7"/>
            <w:tcBorders>
              <w:top w:val="single" w:sz="4" w:space="0" w:color="000000"/>
              <w:left w:val="single" w:sz="4" w:space="0" w:color="000000"/>
              <w:bottom w:val="single" w:sz="4" w:space="0" w:color="000000"/>
              <w:right w:val="single" w:sz="4" w:space="0" w:color="000000"/>
            </w:tcBorders>
          </w:tcPr>
          <w:p w14:paraId="69900839"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Naselje „B.Tomović“ Humci </w:t>
            </w:r>
          </w:p>
        </w:tc>
        <w:tc>
          <w:tcPr>
            <w:tcW w:w="2929" w:type="dxa"/>
            <w:gridSpan w:val="2"/>
            <w:tcBorders>
              <w:top w:val="single" w:sz="4" w:space="0" w:color="000000"/>
              <w:left w:val="single" w:sz="4" w:space="0" w:color="000000"/>
              <w:bottom w:val="single" w:sz="4" w:space="0" w:color="000000"/>
              <w:right w:val="single" w:sz="4" w:space="0" w:color="000000"/>
            </w:tcBorders>
          </w:tcPr>
          <w:p w14:paraId="55987049"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54188AD8"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4C9350A4" w14:textId="77777777" w:rsidR="00C232D7" w:rsidRPr="00F6198B" w:rsidRDefault="00C232D7" w:rsidP="00A23ED0">
            <w:pPr>
              <w:numPr>
                <w:ilvl w:val="0"/>
                <w:numId w:val="26"/>
              </w:numPr>
              <w:spacing w:after="5" w:line="360" w:lineRule="auto"/>
              <w:ind w:right="2"/>
              <w:rPr>
                <w:rFonts w:ascii="Arial" w:hAnsi="Arial" w:cs="Arial"/>
                <w:color w:val="000000"/>
                <w:sz w:val="18"/>
                <w:szCs w:val="18"/>
                <w:lang w:val="sr-Latn-RS"/>
              </w:rPr>
            </w:pPr>
          </w:p>
        </w:tc>
      </w:tr>
      <w:tr w:rsidR="00C232D7" w:rsidRPr="00F6198B" w14:paraId="0F72565C" w14:textId="77777777" w:rsidTr="00C232D7">
        <w:tblPrEx>
          <w:tblCellMar>
            <w:top w:w="0" w:type="dxa"/>
          </w:tblCellMar>
        </w:tblPrEx>
        <w:trPr>
          <w:trHeight w:val="204"/>
        </w:trPr>
        <w:tc>
          <w:tcPr>
            <w:tcW w:w="266" w:type="dxa"/>
            <w:vMerge/>
            <w:tcBorders>
              <w:left w:val="single" w:sz="4" w:space="0" w:color="000000"/>
              <w:right w:val="single" w:sz="4" w:space="0" w:color="000000"/>
            </w:tcBorders>
          </w:tcPr>
          <w:p w14:paraId="19A86C02"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6D444CFC"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5. </w:t>
            </w:r>
          </w:p>
        </w:tc>
        <w:tc>
          <w:tcPr>
            <w:tcW w:w="3717" w:type="dxa"/>
            <w:gridSpan w:val="7"/>
            <w:tcBorders>
              <w:top w:val="single" w:sz="4" w:space="0" w:color="000000"/>
              <w:left w:val="single" w:sz="4" w:space="0" w:color="000000"/>
              <w:bottom w:val="single" w:sz="4" w:space="0" w:color="000000"/>
              <w:right w:val="single" w:sz="4" w:space="0" w:color="000000"/>
            </w:tcBorders>
          </w:tcPr>
          <w:p w14:paraId="704A4B97"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Obala rijeke Gračanice </w:t>
            </w:r>
          </w:p>
        </w:tc>
        <w:tc>
          <w:tcPr>
            <w:tcW w:w="2929" w:type="dxa"/>
            <w:gridSpan w:val="2"/>
            <w:tcBorders>
              <w:top w:val="single" w:sz="4" w:space="0" w:color="000000"/>
              <w:left w:val="single" w:sz="4" w:space="0" w:color="000000"/>
              <w:bottom w:val="single" w:sz="4" w:space="0" w:color="000000"/>
              <w:right w:val="single" w:sz="4" w:space="0" w:color="000000"/>
            </w:tcBorders>
          </w:tcPr>
          <w:p w14:paraId="6D42DD5C"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3932F5DA"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1 500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730E8788" w14:textId="77777777" w:rsidR="00C232D7" w:rsidRPr="00F6198B" w:rsidRDefault="00C232D7" w:rsidP="00A23ED0">
            <w:pPr>
              <w:numPr>
                <w:ilvl w:val="0"/>
                <w:numId w:val="26"/>
              </w:numPr>
              <w:spacing w:after="5" w:line="360" w:lineRule="auto"/>
              <w:ind w:right="2"/>
              <w:rPr>
                <w:rFonts w:ascii="Arial" w:hAnsi="Arial" w:cs="Arial"/>
                <w:color w:val="000000"/>
                <w:sz w:val="18"/>
                <w:szCs w:val="18"/>
                <w:lang w:val="sr-Latn-RS"/>
              </w:rPr>
            </w:pPr>
          </w:p>
        </w:tc>
      </w:tr>
      <w:tr w:rsidR="00C232D7" w:rsidRPr="00F6198B" w14:paraId="18D11C5A" w14:textId="77777777" w:rsidTr="00C232D7">
        <w:tblPrEx>
          <w:tblCellMar>
            <w:top w:w="0" w:type="dxa"/>
          </w:tblCellMar>
        </w:tblPrEx>
        <w:trPr>
          <w:trHeight w:val="205"/>
        </w:trPr>
        <w:tc>
          <w:tcPr>
            <w:tcW w:w="266" w:type="dxa"/>
            <w:vMerge/>
            <w:tcBorders>
              <w:left w:val="single" w:sz="4" w:space="0" w:color="000000"/>
              <w:right w:val="single" w:sz="4" w:space="0" w:color="000000"/>
            </w:tcBorders>
          </w:tcPr>
          <w:p w14:paraId="3067B4E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1593E593"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6. </w:t>
            </w:r>
          </w:p>
        </w:tc>
        <w:tc>
          <w:tcPr>
            <w:tcW w:w="3717" w:type="dxa"/>
            <w:gridSpan w:val="7"/>
            <w:tcBorders>
              <w:top w:val="single" w:sz="4" w:space="0" w:color="000000"/>
              <w:left w:val="single" w:sz="4" w:space="0" w:color="000000"/>
              <w:bottom w:val="single" w:sz="2" w:space="0" w:color="000000"/>
              <w:right w:val="single" w:sz="4" w:space="0" w:color="000000"/>
            </w:tcBorders>
          </w:tcPr>
          <w:p w14:paraId="65DB0234"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Obala rijeke Bistrice </w:t>
            </w:r>
          </w:p>
        </w:tc>
        <w:tc>
          <w:tcPr>
            <w:tcW w:w="2929" w:type="dxa"/>
            <w:gridSpan w:val="2"/>
            <w:tcBorders>
              <w:top w:val="single" w:sz="4" w:space="0" w:color="000000"/>
              <w:left w:val="single" w:sz="4" w:space="0" w:color="000000"/>
              <w:bottom w:val="single" w:sz="2" w:space="0" w:color="000000"/>
              <w:right w:val="single" w:sz="4" w:space="0" w:color="000000"/>
            </w:tcBorders>
          </w:tcPr>
          <w:p w14:paraId="1DF081E0"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2EB320F4"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500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2903FB6C" w14:textId="77777777" w:rsidR="00C232D7" w:rsidRPr="00F6198B" w:rsidRDefault="00C232D7" w:rsidP="00A23ED0">
            <w:pPr>
              <w:numPr>
                <w:ilvl w:val="0"/>
                <w:numId w:val="26"/>
              </w:numPr>
              <w:spacing w:after="5" w:line="360" w:lineRule="auto"/>
              <w:ind w:right="2"/>
              <w:rPr>
                <w:rFonts w:ascii="Arial" w:hAnsi="Arial" w:cs="Arial"/>
                <w:color w:val="000000"/>
                <w:sz w:val="18"/>
                <w:szCs w:val="18"/>
                <w:lang w:val="sr-Latn-RS"/>
              </w:rPr>
            </w:pPr>
          </w:p>
        </w:tc>
      </w:tr>
      <w:tr w:rsidR="00C232D7" w:rsidRPr="00F6198B" w14:paraId="0B3FB66B" w14:textId="77777777" w:rsidTr="00C232D7">
        <w:tblPrEx>
          <w:tblCellMar>
            <w:top w:w="0" w:type="dxa"/>
          </w:tblCellMar>
        </w:tblPrEx>
        <w:trPr>
          <w:trHeight w:val="203"/>
        </w:trPr>
        <w:tc>
          <w:tcPr>
            <w:tcW w:w="266" w:type="dxa"/>
            <w:vMerge/>
            <w:tcBorders>
              <w:left w:val="single" w:sz="4" w:space="0" w:color="000000"/>
              <w:right w:val="single" w:sz="4" w:space="0" w:color="000000"/>
            </w:tcBorders>
          </w:tcPr>
          <w:p w14:paraId="2939726D"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1BE78F40"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7. </w:t>
            </w:r>
          </w:p>
        </w:tc>
        <w:tc>
          <w:tcPr>
            <w:tcW w:w="3717" w:type="dxa"/>
            <w:gridSpan w:val="7"/>
            <w:tcBorders>
              <w:top w:val="single" w:sz="2" w:space="0" w:color="000000"/>
              <w:left w:val="single" w:sz="4" w:space="0" w:color="000000"/>
              <w:bottom w:val="single" w:sz="4" w:space="0" w:color="000000"/>
              <w:right w:val="single" w:sz="4" w:space="0" w:color="000000"/>
            </w:tcBorders>
          </w:tcPr>
          <w:p w14:paraId="1D6F40F3"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Obala rijeke Mrkošice </w:t>
            </w:r>
          </w:p>
        </w:tc>
        <w:tc>
          <w:tcPr>
            <w:tcW w:w="2929" w:type="dxa"/>
            <w:gridSpan w:val="2"/>
            <w:tcBorders>
              <w:top w:val="single" w:sz="2" w:space="0" w:color="000000"/>
              <w:left w:val="single" w:sz="4" w:space="0" w:color="000000"/>
              <w:bottom w:val="single" w:sz="4" w:space="0" w:color="000000"/>
              <w:right w:val="single" w:sz="4" w:space="0" w:color="000000"/>
            </w:tcBorders>
          </w:tcPr>
          <w:p w14:paraId="501B74AE"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2" w:space="0" w:color="000000"/>
              <w:left w:val="single" w:sz="4" w:space="0" w:color="000000"/>
              <w:bottom w:val="single" w:sz="4" w:space="0" w:color="000000"/>
              <w:right w:val="single" w:sz="2" w:space="0" w:color="000000"/>
            </w:tcBorders>
          </w:tcPr>
          <w:p w14:paraId="48581F36"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500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77B238F3" w14:textId="77777777" w:rsidR="00C232D7" w:rsidRPr="00F6198B" w:rsidRDefault="00C232D7" w:rsidP="00A23ED0">
            <w:pPr>
              <w:numPr>
                <w:ilvl w:val="0"/>
                <w:numId w:val="26"/>
              </w:numPr>
              <w:spacing w:after="5" w:line="360" w:lineRule="auto"/>
              <w:ind w:right="2"/>
              <w:rPr>
                <w:rFonts w:ascii="Arial" w:hAnsi="Arial" w:cs="Arial"/>
                <w:color w:val="000000"/>
                <w:sz w:val="18"/>
                <w:szCs w:val="18"/>
                <w:lang w:val="sr-Latn-RS"/>
              </w:rPr>
            </w:pPr>
          </w:p>
        </w:tc>
      </w:tr>
      <w:tr w:rsidR="00C232D7" w:rsidRPr="00F6198B" w14:paraId="24FCD630" w14:textId="77777777" w:rsidTr="00C232D7">
        <w:tblPrEx>
          <w:tblCellMar>
            <w:top w:w="0" w:type="dxa"/>
          </w:tblCellMar>
        </w:tblPrEx>
        <w:trPr>
          <w:trHeight w:val="204"/>
        </w:trPr>
        <w:tc>
          <w:tcPr>
            <w:tcW w:w="266" w:type="dxa"/>
            <w:vMerge/>
            <w:tcBorders>
              <w:left w:val="single" w:sz="4" w:space="0" w:color="000000"/>
              <w:bottom w:val="nil"/>
              <w:right w:val="single" w:sz="4" w:space="0" w:color="000000"/>
            </w:tcBorders>
          </w:tcPr>
          <w:p w14:paraId="2645EF54"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63FB35CA"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8. </w:t>
            </w:r>
          </w:p>
        </w:tc>
        <w:tc>
          <w:tcPr>
            <w:tcW w:w="3717" w:type="dxa"/>
            <w:gridSpan w:val="7"/>
            <w:tcBorders>
              <w:top w:val="single" w:sz="4" w:space="0" w:color="000000"/>
              <w:left w:val="single" w:sz="4" w:space="0" w:color="000000"/>
              <w:bottom w:val="single" w:sz="2" w:space="0" w:color="000000"/>
              <w:right w:val="single" w:sz="4" w:space="0" w:color="000000"/>
            </w:tcBorders>
          </w:tcPr>
          <w:p w14:paraId="374B8324"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Studenačke glavice-Sarajevski put, Stara Varoš </w:t>
            </w:r>
          </w:p>
        </w:tc>
        <w:tc>
          <w:tcPr>
            <w:tcW w:w="2929" w:type="dxa"/>
            <w:gridSpan w:val="2"/>
            <w:tcBorders>
              <w:top w:val="single" w:sz="4" w:space="0" w:color="000000"/>
              <w:left w:val="single" w:sz="4" w:space="0" w:color="000000"/>
              <w:bottom w:val="single" w:sz="2" w:space="0" w:color="000000"/>
              <w:right w:val="single" w:sz="4" w:space="0" w:color="000000"/>
            </w:tcBorders>
          </w:tcPr>
          <w:p w14:paraId="66F2C01C"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tcPr>
          <w:p w14:paraId="09C0EFAE"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4" w:space="0" w:color="000000"/>
              <w:left w:val="single" w:sz="2" w:space="0" w:color="000000"/>
              <w:bottom w:val="single" w:sz="2" w:space="0" w:color="000000"/>
              <w:right w:val="single" w:sz="4" w:space="0" w:color="000000"/>
            </w:tcBorders>
            <w:shd w:val="clear" w:color="auto" w:fill="00FFFF"/>
          </w:tcPr>
          <w:p w14:paraId="49B7A334" w14:textId="77777777" w:rsidR="00C232D7" w:rsidRPr="00F6198B" w:rsidRDefault="00C232D7" w:rsidP="00A23ED0">
            <w:pPr>
              <w:numPr>
                <w:ilvl w:val="0"/>
                <w:numId w:val="26"/>
              </w:numPr>
              <w:spacing w:after="5" w:line="360" w:lineRule="auto"/>
              <w:ind w:right="2"/>
              <w:rPr>
                <w:rFonts w:ascii="Arial" w:hAnsi="Arial" w:cs="Arial"/>
                <w:color w:val="000000"/>
                <w:sz w:val="18"/>
                <w:szCs w:val="18"/>
                <w:lang w:val="sr-Latn-RS"/>
              </w:rPr>
            </w:pPr>
          </w:p>
        </w:tc>
      </w:tr>
      <w:tr w:rsidR="00C232D7" w:rsidRPr="00F6198B" w14:paraId="0874F7F1" w14:textId="77777777" w:rsidTr="00C232D7">
        <w:tblPrEx>
          <w:tblCellMar>
            <w:top w:w="0" w:type="dxa"/>
          </w:tblCellMar>
        </w:tblPrEx>
        <w:trPr>
          <w:trHeight w:val="204"/>
        </w:trPr>
        <w:tc>
          <w:tcPr>
            <w:tcW w:w="266" w:type="dxa"/>
            <w:vMerge w:val="restart"/>
            <w:tcBorders>
              <w:top w:val="nil"/>
              <w:left w:val="single" w:sz="4" w:space="0" w:color="000000"/>
              <w:bottom w:val="nil"/>
              <w:right w:val="single" w:sz="4" w:space="0" w:color="000000"/>
            </w:tcBorders>
            <w:shd w:val="clear" w:color="auto" w:fill="EAF1DD"/>
          </w:tcPr>
          <w:p w14:paraId="12B1B02E"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45C085CA"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9. </w:t>
            </w:r>
          </w:p>
        </w:tc>
        <w:tc>
          <w:tcPr>
            <w:tcW w:w="3717" w:type="dxa"/>
            <w:gridSpan w:val="7"/>
            <w:tcBorders>
              <w:top w:val="single" w:sz="2" w:space="0" w:color="000000"/>
              <w:left w:val="single" w:sz="4" w:space="0" w:color="000000"/>
              <w:bottom w:val="single" w:sz="4" w:space="0" w:color="000000"/>
              <w:right w:val="single" w:sz="4" w:space="0" w:color="000000"/>
            </w:tcBorders>
          </w:tcPr>
          <w:p w14:paraId="05D96F40"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Grahovo </w:t>
            </w:r>
          </w:p>
        </w:tc>
        <w:tc>
          <w:tcPr>
            <w:tcW w:w="2929" w:type="dxa"/>
            <w:gridSpan w:val="2"/>
            <w:tcBorders>
              <w:top w:val="single" w:sz="2" w:space="0" w:color="000000"/>
              <w:left w:val="single" w:sz="4" w:space="0" w:color="000000"/>
              <w:bottom w:val="single" w:sz="4" w:space="0" w:color="000000"/>
              <w:right w:val="single" w:sz="4" w:space="0" w:color="000000"/>
            </w:tcBorders>
          </w:tcPr>
          <w:p w14:paraId="018DAE10"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2" w:space="0" w:color="000000"/>
              <w:left w:val="single" w:sz="4" w:space="0" w:color="000000"/>
              <w:bottom w:val="single" w:sz="4" w:space="0" w:color="000000"/>
              <w:right w:val="single" w:sz="2" w:space="0" w:color="000000"/>
            </w:tcBorders>
          </w:tcPr>
          <w:p w14:paraId="335B5E0D"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5333E214" w14:textId="77777777" w:rsidR="00C232D7" w:rsidRPr="00F6198B" w:rsidRDefault="00C232D7" w:rsidP="00A23ED0">
            <w:pPr>
              <w:numPr>
                <w:ilvl w:val="0"/>
                <w:numId w:val="26"/>
              </w:numPr>
              <w:spacing w:after="5" w:line="360" w:lineRule="auto"/>
              <w:ind w:right="2"/>
              <w:rPr>
                <w:rFonts w:ascii="Arial" w:hAnsi="Arial" w:cs="Arial"/>
                <w:color w:val="000000"/>
                <w:sz w:val="18"/>
                <w:szCs w:val="18"/>
                <w:lang w:val="sr-Latn-RS"/>
              </w:rPr>
            </w:pPr>
          </w:p>
        </w:tc>
      </w:tr>
      <w:tr w:rsidR="00C232D7" w:rsidRPr="00F6198B" w14:paraId="2D6A0164" w14:textId="77777777" w:rsidTr="00C232D7">
        <w:tblPrEx>
          <w:tblCellMar>
            <w:top w:w="0" w:type="dxa"/>
          </w:tblCellMar>
        </w:tblPrEx>
        <w:trPr>
          <w:trHeight w:val="398"/>
        </w:trPr>
        <w:tc>
          <w:tcPr>
            <w:tcW w:w="266" w:type="dxa"/>
            <w:vMerge/>
            <w:tcBorders>
              <w:top w:val="nil"/>
              <w:left w:val="single" w:sz="4" w:space="0" w:color="000000"/>
              <w:bottom w:val="nil"/>
              <w:right w:val="single" w:sz="4" w:space="0" w:color="000000"/>
            </w:tcBorders>
          </w:tcPr>
          <w:p w14:paraId="0A588C1B"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vAlign w:val="center"/>
          </w:tcPr>
          <w:p w14:paraId="02039A17"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10. </w:t>
            </w:r>
          </w:p>
        </w:tc>
        <w:tc>
          <w:tcPr>
            <w:tcW w:w="3717" w:type="dxa"/>
            <w:gridSpan w:val="7"/>
            <w:tcBorders>
              <w:top w:val="single" w:sz="4" w:space="0" w:color="000000"/>
              <w:left w:val="single" w:sz="4" w:space="0" w:color="000000"/>
              <w:bottom w:val="single" w:sz="2" w:space="0" w:color="000000"/>
              <w:right w:val="single" w:sz="4" w:space="0" w:color="000000"/>
            </w:tcBorders>
          </w:tcPr>
          <w:p w14:paraId="5F3B1342"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Lokacija između Gitanes petrola i Neckoma na Podgoričkom putu, Straševina </w:t>
            </w:r>
          </w:p>
        </w:tc>
        <w:tc>
          <w:tcPr>
            <w:tcW w:w="2929" w:type="dxa"/>
            <w:gridSpan w:val="2"/>
            <w:tcBorders>
              <w:top w:val="single" w:sz="4" w:space="0" w:color="000000"/>
              <w:left w:val="single" w:sz="4" w:space="0" w:color="000000"/>
              <w:bottom w:val="single" w:sz="2" w:space="0" w:color="000000"/>
              <w:right w:val="single" w:sz="4" w:space="0" w:color="000000"/>
            </w:tcBorders>
          </w:tcPr>
          <w:p w14:paraId="785EBFF0"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2" w:space="0" w:color="000000"/>
              <w:right w:val="single" w:sz="2" w:space="0" w:color="000000"/>
            </w:tcBorders>
            <w:vAlign w:val="center"/>
          </w:tcPr>
          <w:p w14:paraId="65F65FC8"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1 000</w:t>
            </w:r>
          </w:p>
        </w:tc>
        <w:tc>
          <w:tcPr>
            <w:tcW w:w="941" w:type="dxa"/>
            <w:tcBorders>
              <w:top w:val="single" w:sz="4" w:space="0" w:color="000000"/>
              <w:left w:val="single" w:sz="2" w:space="0" w:color="000000"/>
              <w:bottom w:val="single" w:sz="2" w:space="0" w:color="000000"/>
              <w:right w:val="single" w:sz="4" w:space="0" w:color="000000"/>
            </w:tcBorders>
            <w:shd w:val="clear" w:color="auto" w:fill="00FFFF"/>
            <w:vAlign w:val="center"/>
          </w:tcPr>
          <w:p w14:paraId="37C576C4" w14:textId="77777777" w:rsidR="00C232D7" w:rsidRPr="00F6198B" w:rsidRDefault="00C232D7" w:rsidP="00A23ED0">
            <w:pPr>
              <w:numPr>
                <w:ilvl w:val="0"/>
                <w:numId w:val="26"/>
              </w:numPr>
              <w:spacing w:after="5" w:line="360" w:lineRule="auto"/>
              <w:ind w:right="2"/>
              <w:rPr>
                <w:rFonts w:ascii="Arial" w:hAnsi="Arial" w:cs="Arial"/>
                <w:color w:val="000000"/>
                <w:sz w:val="18"/>
                <w:szCs w:val="18"/>
                <w:lang w:val="sr-Latn-RS"/>
              </w:rPr>
            </w:pPr>
          </w:p>
        </w:tc>
      </w:tr>
      <w:tr w:rsidR="00C232D7" w:rsidRPr="00F6198B" w14:paraId="5C8E3F88" w14:textId="77777777" w:rsidTr="00C232D7">
        <w:tblPrEx>
          <w:tblCellMar>
            <w:top w:w="0" w:type="dxa"/>
          </w:tblCellMar>
        </w:tblPrEx>
        <w:trPr>
          <w:trHeight w:val="204"/>
        </w:trPr>
        <w:tc>
          <w:tcPr>
            <w:tcW w:w="266" w:type="dxa"/>
            <w:vMerge w:val="restart"/>
            <w:tcBorders>
              <w:top w:val="nil"/>
              <w:left w:val="single" w:sz="4" w:space="0" w:color="000000"/>
              <w:bottom w:val="single" w:sz="4" w:space="0" w:color="000000"/>
              <w:right w:val="single" w:sz="4" w:space="0" w:color="000000"/>
            </w:tcBorders>
            <w:shd w:val="clear" w:color="auto" w:fill="EAF1DD"/>
          </w:tcPr>
          <w:p w14:paraId="56C4180B"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3BDB391C"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11. </w:t>
            </w:r>
          </w:p>
        </w:tc>
        <w:tc>
          <w:tcPr>
            <w:tcW w:w="3717" w:type="dxa"/>
            <w:gridSpan w:val="7"/>
            <w:tcBorders>
              <w:top w:val="single" w:sz="2" w:space="0" w:color="000000"/>
              <w:left w:val="single" w:sz="4" w:space="0" w:color="000000"/>
              <w:bottom w:val="single" w:sz="4" w:space="0" w:color="000000"/>
              <w:right w:val="single" w:sz="4" w:space="0" w:color="000000"/>
            </w:tcBorders>
          </w:tcPr>
          <w:p w14:paraId="642ABC37"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Kapino polje, Poljica </w:t>
            </w:r>
          </w:p>
        </w:tc>
        <w:tc>
          <w:tcPr>
            <w:tcW w:w="2929" w:type="dxa"/>
            <w:gridSpan w:val="2"/>
            <w:tcBorders>
              <w:top w:val="single" w:sz="2" w:space="0" w:color="000000"/>
              <w:left w:val="single" w:sz="4" w:space="0" w:color="000000"/>
              <w:bottom w:val="single" w:sz="4" w:space="0" w:color="000000"/>
              <w:right w:val="single" w:sz="4" w:space="0" w:color="000000"/>
            </w:tcBorders>
          </w:tcPr>
          <w:p w14:paraId="56836A0A"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2" w:space="0" w:color="000000"/>
              <w:left w:val="single" w:sz="4" w:space="0" w:color="000000"/>
              <w:bottom w:val="single" w:sz="4" w:space="0" w:color="000000"/>
              <w:right w:val="single" w:sz="2" w:space="0" w:color="000000"/>
            </w:tcBorders>
          </w:tcPr>
          <w:p w14:paraId="0A87D63B"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1 000</w:t>
            </w:r>
          </w:p>
        </w:tc>
        <w:tc>
          <w:tcPr>
            <w:tcW w:w="941" w:type="dxa"/>
            <w:tcBorders>
              <w:top w:val="single" w:sz="2" w:space="0" w:color="000000"/>
              <w:left w:val="single" w:sz="2" w:space="0" w:color="000000"/>
              <w:bottom w:val="single" w:sz="4" w:space="0" w:color="000000"/>
              <w:right w:val="single" w:sz="4" w:space="0" w:color="000000"/>
            </w:tcBorders>
            <w:shd w:val="clear" w:color="auto" w:fill="00FFFF"/>
          </w:tcPr>
          <w:p w14:paraId="18324BAF" w14:textId="77777777" w:rsidR="00C232D7" w:rsidRPr="00F6198B" w:rsidRDefault="00C232D7" w:rsidP="00A23ED0">
            <w:pPr>
              <w:numPr>
                <w:ilvl w:val="0"/>
                <w:numId w:val="26"/>
              </w:numPr>
              <w:spacing w:after="5" w:line="360" w:lineRule="auto"/>
              <w:ind w:right="2"/>
              <w:rPr>
                <w:rFonts w:ascii="Arial" w:hAnsi="Arial" w:cs="Arial"/>
                <w:color w:val="000000"/>
                <w:sz w:val="18"/>
                <w:szCs w:val="18"/>
                <w:lang w:val="sr-Latn-RS"/>
              </w:rPr>
            </w:pPr>
          </w:p>
        </w:tc>
      </w:tr>
      <w:tr w:rsidR="00C232D7" w:rsidRPr="00F6198B" w14:paraId="16E3D75F"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58281EC5"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163147A8"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12. </w:t>
            </w:r>
          </w:p>
        </w:tc>
        <w:tc>
          <w:tcPr>
            <w:tcW w:w="3717" w:type="dxa"/>
            <w:gridSpan w:val="7"/>
            <w:tcBorders>
              <w:top w:val="single" w:sz="4" w:space="0" w:color="000000"/>
              <w:left w:val="single" w:sz="4" w:space="0" w:color="000000"/>
              <w:bottom w:val="single" w:sz="4" w:space="0" w:color="000000"/>
              <w:right w:val="single" w:sz="4" w:space="0" w:color="000000"/>
            </w:tcBorders>
          </w:tcPr>
          <w:p w14:paraId="7B96B492"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Riđani, Poljica </w:t>
            </w:r>
          </w:p>
        </w:tc>
        <w:tc>
          <w:tcPr>
            <w:tcW w:w="2929" w:type="dxa"/>
            <w:gridSpan w:val="2"/>
            <w:tcBorders>
              <w:top w:val="single" w:sz="4" w:space="0" w:color="000000"/>
              <w:left w:val="single" w:sz="4" w:space="0" w:color="000000"/>
              <w:bottom w:val="single" w:sz="4" w:space="0" w:color="000000"/>
              <w:right w:val="single" w:sz="4" w:space="0" w:color="000000"/>
            </w:tcBorders>
          </w:tcPr>
          <w:p w14:paraId="5F9A3C40"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tc>
        <w:tc>
          <w:tcPr>
            <w:tcW w:w="933" w:type="dxa"/>
            <w:gridSpan w:val="2"/>
            <w:tcBorders>
              <w:top w:val="single" w:sz="4" w:space="0" w:color="000000"/>
              <w:left w:val="single" w:sz="4" w:space="0" w:color="000000"/>
              <w:bottom w:val="single" w:sz="4" w:space="0" w:color="000000"/>
              <w:right w:val="single" w:sz="2" w:space="0" w:color="000000"/>
            </w:tcBorders>
          </w:tcPr>
          <w:p w14:paraId="3B063CCA"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5 000</w:t>
            </w:r>
          </w:p>
        </w:tc>
        <w:tc>
          <w:tcPr>
            <w:tcW w:w="941" w:type="dxa"/>
            <w:tcBorders>
              <w:top w:val="single" w:sz="4" w:space="0" w:color="000000"/>
              <w:left w:val="single" w:sz="2" w:space="0" w:color="000000"/>
              <w:bottom w:val="single" w:sz="4" w:space="0" w:color="000000"/>
              <w:right w:val="single" w:sz="4" w:space="0" w:color="000000"/>
            </w:tcBorders>
            <w:shd w:val="clear" w:color="auto" w:fill="00FFFF"/>
          </w:tcPr>
          <w:p w14:paraId="7956ED8B" w14:textId="77777777" w:rsidR="00C232D7" w:rsidRPr="00F6198B" w:rsidRDefault="00C232D7" w:rsidP="00A23ED0">
            <w:pPr>
              <w:numPr>
                <w:ilvl w:val="0"/>
                <w:numId w:val="26"/>
              </w:numPr>
              <w:spacing w:after="5" w:line="360" w:lineRule="auto"/>
              <w:ind w:right="2"/>
              <w:rPr>
                <w:rFonts w:ascii="Arial" w:hAnsi="Arial" w:cs="Arial"/>
                <w:color w:val="000000"/>
                <w:sz w:val="18"/>
                <w:szCs w:val="18"/>
                <w:lang w:val="sr-Latn-RS"/>
              </w:rPr>
            </w:pPr>
          </w:p>
        </w:tc>
      </w:tr>
      <w:tr w:rsidR="00C232D7" w:rsidRPr="00F6198B" w14:paraId="28FDFF14" w14:textId="77777777" w:rsidTr="00C232D7">
        <w:tblPrEx>
          <w:tblCellMar>
            <w:top w:w="0" w:type="dxa"/>
          </w:tblCellMar>
        </w:tblPrEx>
        <w:trPr>
          <w:trHeight w:val="60"/>
        </w:trPr>
        <w:tc>
          <w:tcPr>
            <w:tcW w:w="266" w:type="dxa"/>
            <w:vMerge/>
            <w:tcBorders>
              <w:top w:val="nil"/>
              <w:left w:val="single" w:sz="4" w:space="0" w:color="000000"/>
              <w:bottom w:val="single" w:sz="4" w:space="0" w:color="000000"/>
              <w:right w:val="single" w:sz="4" w:space="0" w:color="000000"/>
            </w:tcBorders>
          </w:tcPr>
          <w:p w14:paraId="3DCA2450" w14:textId="77777777" w:rsidR="00C232D7" w:rsidRPr="00F6198B" w:rsidRDefault="00C232D7" w:rsidP="00C232D7">
            <w:pPr>
              <w:spacing w:after="160" w:line="360" w:lineRule="auto"/>
              <w:rPr>
                <w:rFonts w:ascii="Arial" w:hAnsi="Arial" w:cs="Arial"/>
                <w:color w:val="000000"/>
                <w:sz w:val="18"/>
                <w:szCs w:val="18"/>
                <w:lang w:val="sr-Latn-RS"/>
              </w:rPr>
            </w:pPr>
          </w:p>
        </w:tc>
        <w:tc>
          <w:tcPr>
            <w:tcW w:w="7231" w:type="dxa"/>
            <w:gridSpan w:val="12"/>
            <w:tcBorders>
              <w:top w:val="single" w:sz="4" w:space="0" w:color="000000"/>
              <w:left w:val="single" w:sz="4" w:space="0" w:color="000000"/>
              <w:bottom w:val="single" w:sz="4" w:space="0" w:color="000000"/>
              <w:right w:val="single" w:sz="4" w:space="0" w:color="000000"/>
            </w:tcBorders>
          </w:tcPr>
          <w:p w14:paraId="0EDFF1E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1874" w:type="dxa"/>
            <w:gridSpan w:val="3"/>
            <w:tcBorders>
              <w:top w:val="single" w:sz="4" w:space="0" w:color="000000"/>
              <w:left w:val="single" w:sz="4" w:space="0" w:color="000000"/>
              <w:bottom w:val="single" w:sz="4" w:space="0" w:color="000000"/>
              <w:right w:val="single" w:sz="4" w:space="0" w:color="000000"/>
            </w:tcBorders>
          </w:tcPr>
          <w:p w14:paraId="404EC590" w14:textId="77777777" w:rsidR="00C232D7" w:rsidRPr="00F6198B" w:rsidRDefault="00C232D7" w:rsidP="00C232D7">
            <w:pPr>
              <w:spacing w:after="160" w:line="360" w:lineRule="auto"/>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r>
      <w:tr w:rsidR="00C232D7" w:rsidRPr="00F6198B" w14:paraId="6319772B" w14:textId="77777777" w:rsidTr="00C232D7">
        <w:tblPrEx>
          <w:tblCellMar>
            <w:top w:w="0" w:type="dxa"/>
          </w:tblCellMar>
        </w:tblPrEx>
        <w:trPr>
          <w:trHeight w:val="264"/>
        </w:trPr>
        <w:tc>
          <w:tcPr>
            <w:tcW w:w="1440" w:type="dxa"/>
            <w:gridSpan w:val="8"/>
            <w:tcBorders>
              <w:top w:val="single" w:sz="4" w:space="0" w:color="000000"/>
              <w:left w:val="single" w:sz="4" w:space="0" w:color="000000"/>
              <w:bottom w:val="single" w:sz="4" w:space="0" w:color="000000"/>
              <w:right w:val="single" w:sz="4" w:space="0" w:color="000000"/>
            </w:tcBorders>
            <w:shd w:val="clear" w:color="auto" w:fill="EAF1DD"/>
          </w:tcPr>
          <w:p w14:paraId="332F6CF8" w14:textId="77777777" w:rsidR="00C232D7" w:rsidRPr="00F6198B" w:rsidRDefault="00C232D7" w:rsidP="00C232D7">
            <w:pPr>
              <w:spacing w:line="360" w:lineRule="auto"/>
              <w:rPr>
                <w:rFonts w:ascii="Arial" w:hAnsi="Arial" w:cs="Arial"/>
                <w:color w:val="000000"/>
                <w:sz w:val="18"/>
                <w:szCs w:val="18"/>
                <w:lang w:val="sr-Latn-RS"/>
              </w:rPr>
            </w:pPr>
          </w:p>
          <w:p w14:paraId="3D74439B" w14:textId="77777777" w:rsidR="00C232D7" w:rsidRPr="00F6198B" w:rsidRDefault="00C232D7" w:rsidP="00C232D7">
            <w:pPr>
              <w:spacing w:line="360" w:lineRule="auto"/>
              <w:rPr>
                <w:rFonts w:ascii="Arial" w:hAnsi="Arial" w:cs="Arial"/>
                <w:color w:val="000000"/>
                <w:sz w:val="18"/>
                <w:szCs w:val="18"/>
                <w:lang w:val="sr-Latn-RS"/>
              </w:rPr>
            </w:pPr>
            <w:r w:rsidRPr="00E62109">
              <w:rPr>
                <w:rFonts w:ascii="Arial" w:hAnsi="Arial" w:cs="Arial"/>
                <w:color w:val="000000"/>
                <w:sz w:val="16"/>
                <w:szCs w:val="18"/>
                <w:lang w:val="sr-Latn-RS"/>
              </w:rPr>
              <w:t xml:space="preserve">14. PODGORICA </w:t>
            </w:r>
          </w:p>
        </w:tc>
        <w:tc>
          <w:tcPr>
            <w:tcW w:w="7931" w:type="dxa"/>
            <w:gridSpan w:val="8"/>
            <w:tcBorders>
              <w:top w:val="single" w:sz="4" w:space="0" w:color="000000"/>
              <w:left w:val="single" w:sz="4" w:space="0" w:color="000000"/>
              <w:bottom w:val="single" w:sz="4" w:space="0" w:color="000000"/>
              <w:right w:val="single" w:sz="4" w:space="0" w:color="000000"/>
            </w:tcBorders>
            <w:shd w:val="clear" w:color="auto" w:fill="EAF1DD"/>
          </w:tcPr>
          <w:p w14:paraId="30525F29" w14:textId="77777777" w:rsidR="00C232D7" w:rsidRPr="00F6198B" w:rsidRDefault="00C232D7" w:rsidP="00C232D7">
            <w:pPr>
              <w:spacing w:after="160" w:line="360" w:lineRule="auto"/>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r>
      <w:tr w:rsidR="00C232D7" w:rsidRPr="00F6198B" w14:paraId="39BD6A3E" w14:textId="77777777" w:rsidTr="00C232D7">
        <w:tblPrEx>
          <w:tblCellMar>
            <w:top w:w="0" w:type="dxa"/>
          </w:tblCellMar>
        </w:tblPrEx>
        <w:trPr>
          <w:trHeight w:val="438"/>
        </w:trPr>
        <w:tc>
          <w:tcPr>
            <w:tcW w:w="266" w:type="dxa"/>
            <w:tcBorders>
              <w:top w:val="single" w:sz="4" w:space="0" w:color="000000"/>
              <w:left w:val="single" w:sz="4" w:space="0" w:color="000000"/>
              <w:bottom w:val="single" w:sz="4" w:space="0" w:color="000000"/>
              <w:right w:val="single" w:sz="4" w:space="0" w:color="000000"/>
            </w:tcBorders>
            <w:shd w:val="clear" w:color="auto" w:fill="EAF1DD"/>
            <w:vAlign w:val="center"/>
          </w:tcPr>
          <w:p w14:paraId="62FD8D34"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gridSpan w:val="3"/>
            <w:tcBorders>
              <w:top w:val="single" w:sz="4" w:space="0" w:color="000000"/>
              <w:left w:val="single" w:sz="4" w:space="0" w:color="000000"/>
              <w:bottom w:val="double" w:sz="4" w:space="0" w:color="000000"/>
              <w:right w:val="single" w:sz="4" w:space="0" w:color="000000"/>
            </w:tcBorders>
            <w:vAlign w:val="center"/>
          </w:tcPr>
          <w:p w14:paraId="341EE2E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3717" w:type="dxa"/>
            <w:gridSpan w:val="7"/>
            <w:tcBorders>
              <w:top w:val="single" w:sz="4" w:space="0" w:color="000000"/>
              <w:left w:val="single" w:sz="4" w:space="0" w:color="000000"/>
              <w:bottom w:val="double" w:sz="4" w:space="0" w:color="000000"/>
              <w:right w:val="single" w:sz="4" w:space="0" w:color="000000"/>
            </w:tcBorders>
          </w:tcPr>
          <w:p w14:paraId="1FF377AF"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Nijesu dostavljeni podaci iz Glavnog grada </w:t>
            </w:r>
          </w:p>
          <w:p w14:paraId="5A433E27" w14:textId="334DAAEF"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o postojećim neuređenim odlagalištima </w:t>
            </w:r>
          </w:p>
        </w:tc>
        <w:tc>
          <w:tcPr>
            <w:tcW w:w="2929" w:type="dxa"/>
            <w:gridSpan w:val="2"/>
            <w:tcBorders>
              <w:top w:val="single" w:sz="4" w:space="0" w:color="000000"/>
              <w:left w:val="single" w:sz="4" w:space="0" w:color="000000"/>
              <w:bottom w:val="double" w:sz="4" w:space="0" w:color="000000"/>
              <w:right w:val="single" w:sz="4" w:space="0" w:color="000000"/>
            </w:tcBorders>
            <w:vAlign w:val="center"/>
          </w:tcPr>
          <w:p w14:paraId="60B4463E"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933" w:type="dxa"/>
            <w:gridSpan w:val="2"/>
            <w:tcBorders>
              <w:top w:val="single" w:sz="4" w:space="0" w:color="000000"/>
              <w:left w:val="single" w:sz="4" w:space="0" w:color="000000"/>
              <w:bottom w:val="double" w:sz="4" w:space="0" w:color="000000"/>
              <w:right w:val="single" w:sz="4" w:space="0" w:color="000000"/>
            </w:tcBorders>
            <w:vAlign w:val="center"/>
          </w:tcPr>
          <w:p w14:paraId="7EF79DD3"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941" w:type="dxa"/>
            <w:tcBorders>
              <w:top w:val="single" w:sz="4" w:space="0" w:color="000000"/>
              <w:left w:val="single" w:sz="4" w:space="0" w:color="000000"/>
              <w:bottom w:val="double" w:sz="4" w:space="0" w:color="000000"/>
              <w:right w:val="single" w:sz="4" w:space="0" w:color="000000"/>
            </w:tcBorders>
            <w:shd w:val="clear" w:color="auto" w:fill="00FFFF"/>
            <w:vAlign w:val="center"/>
          </w:tcPr>
          <w:p w14:paraId="7C6E97AB" w14:textId="77777777" w:rsidR="00C232D7" w:rsidRPr="00F6198B" w:rsidRDefault="00C232D7" w:rsidP="00C232D7">
            <w:pPr>
              <w:spacing w:line="360" w:lineRule="auto"/>
              <w:ind w:right="73"/>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r>
      <w:tr w:rsidR="00C232D7" w:rsidRPr="00F6198B" w14:paraId="7890E29A" w14:textId="77777777" w:rsidTr="00C232D7">
        <w:tblPrEx>
          <w:tblCellMar>
            <w:top w:w="0" w:type="dxa"/>
          </w:tblCellMar>
        </w:tblPrEx>
        <w:trPr>
          <w:trHeight w:val="246"/>
        </w:trPr>
        <w:tc>
          <w:tcPr>
            <w:tcW w:w="1135" w:type="dxa"/>
            <w:gridSpan w:val="5"/>
            <w:tcBorders>
              <w:top w:val="double" w:sz="4" w:space="0" w:color="000000"/>
              <w:left w:val="single" w:sz="4" w:space="0" w:color="000000"/>
              <w:bottom w:val="single" w:sz="4" w:space="0" w:color="000000"/>
              <w:right w:val="single" w:sz="4" w:space="0" w:color="000000"/>
            </w:tcBorders>
            <w:shd w:val="clear" w:color="auto" w:fill="EAF1DD"/>
          </w:tcPr>
          <w:p w14:paraId="32A18E63" w14:textId="77777777" w:rsidR="00C232D7" w:rsidRPr="00F6198B" w:rsidRDefault="00C232D7" w:rsidP="00C232D7">
            <w:pPr>
              <w:spacing w:after="177" w:line="360" w:lineRule="auto"/>
              <w:ind w:left="259"/>
              <w:rPr>
                <w:rFonts w:ascii="Arial" w:hAnsi="Arial" w:cs="Arial"/>
                <w:color w:val="000000"/>
                <w:sz w:val="18"/>
                <w:szCs w:val="18"/>
                <w:lang w:val="sr-Latn-RS"/>
              </w:rPr>
            </w:pPr>
          </w:p>
          <w:p w14:paraId="7AE038D7" w14:textId="77777777" w:rsidR="00C232D7" w:rsidRPr="00F6198B" w:rsidRDefault="00C232D7" w:rsidP="00C232D7">
            <w:pPr>
              <w:spacing w:after="177" w:line="360" w:lineRule="auto"/>
              <w:ind w:left="259"/>
              <w:rPr>
                <w:rFonts w:ascii="Arial" w:hAnsi="Arial" w:cs="Arial"/>
                <w:color w:val="000000"/>
                <w:sz w:val="18"/>
                <w:szCs w:val="18"/>
                <w:lang w:val="sr-Latn-RS"/>
              </w:rPr>
            </w:pPr>
            <w:r w:rsidRPr="00F6198B">
              <w:rPr>
                <w:rFonts w:ascii="Arial" w:hAnsi="Arial" w:cs="Arial"/>
                <w:color w:val="000000"/>
                <w:sz w:val="18"/>
                <w:szCs w:val="18"/>
                <w:lang w:val="sr-Latn-RS"/>
              </w:rPr>
              <w:t xml:space="preserve"> 15. PLAV </w:t>
            </w:r>
          </w:p>
        </w:tc>
        <w:tc>
          <w:tcPr>
            <w:tcW w:w="8236" w:type="dxa"/>
            <w:gridSpan w:val="11"/>
            <w:tcBorders>
              <w:top w:val="double" w:sz="4" w:space="0" w:color="000000"/>
              <w:left w:val="single" w:sz="4" w:space="0" w:color="000000"/>
              <w:bottom w:val="single" w:sz="4" w:space="0" w:color="000000"/>
              <w:right w:val="single" w:sz="4" w:space="0" w:color="000000"/>
            </w:tcBorders>
            <w:shd w:val="clear" w:color="auto" w:fill="EAF1DD"/>
          </w:tcPr>
          <w:p w14:paraId="06F177E3" w14:textId="77777777" w:rsidR="00C232D7" w:rsidRPr="00F6198B" w:rsidRDefault="00C232D7" w:rsidP="00C232D7">
            <w:pPr>
              <w:spacing w:after="177" w:line="360" w:lineRule="auto"/>
              <w:ind w:right="730"/>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r>
      <w:tr w:rsidR="00C232D7" w:rsidRPr="00F6198B" w14:paraId="1EF338F1" w14:textId="77777777" w:rsidTr="00C232D7">
        <w:tblPrEx>
          <w:tblCellMar>
            <w:top w:w="0" w:type="dxa"/>
          </w:tblCellMar>
        </w:tblPrEx>
        <w:trPr>
          <w:trHeight w:val="203"/>
        </w:trPr>
        <w:tc>
          <w:tcPr>
            <w:tcW w:w="266" w:type="dxa"/>
            <w:vMerge w:val="restart"/>
            <w:tcBorders>
              <w:top w:val="single" w:sz="4" w:space="0" w:color="000000"/>
              <w:left w:val="single" w:sz="4" w:space="0" w:color="000000"/>
              <w:bottom w:val="single" w:sz="4" w:space="0" w:color="000000"/>
              <w:right w:val="single" w:sz="4" w:space="0" w:color="000000"/>
            </w:tcBorders>
            <w:shd w:val="clear" w:color="auto" w:fill="EAF1DD"/>
            <w:vAlign w:val="center"/>
          </w:tcPr>
          <w:p w14:paraId="6952356A"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gridSpan w:val="3"/>
            <w:tcBorders>
              <w:top w:val="single" w:sz="4" w:space="0" w:color="000000"/>
              <w:left w:val="single" w:sz="4" w:space="0" w:color="000000"/>
              <w:bottom w:val="single" w:sz="4" w:space="0" w:color="000000"/>
              <w:right w:val="single" w:sz="4" w:space="0" w:color="000000"/>
            </w:tcBorders>
          </w:tcPr>
          <w:p w14:paraId="11D80CEF"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717" w:type="dxa"/>
            <w:gridSpan w:val="7"/>
            <w:tcBorders>
              <w:top w:val="single" w:sz="4" w:space="0" w:color="000000"/>
              <w:left w:val="single" w:sz="4" w:space="0" w:color="000000"/>
              <w:bottom w:val="single" w:sz="4" w:space="0" w:color="000000"/>
              <w:right w:val="single" w:sz="4" w:space="0" w:color="000000"/>
            </w:tcBorders>
          </w:tcPr>
          <w:p w14:paraId="2874F61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Liješće  </w:t>
            </w:r>
          </w:p>
        </w:tc>
        <w:tc>
          <w:tcPr>
            <w:tcW w:w="2929" w:type="dxa"/>
            <w:gridSpan w:val="2"/>
            <w:tcBorders>
              <w:top w:val="single" w:sz="4" w:space="0" w:color="000000"/>
              <w:left w:val="single" w:sz="4" w:space="0" w:color="000000"/>
              <w:bottom w:val="single" w:sz="4" w:space="0" w:color="000000"/>
              <w:right w:val="single" w:sz="4" w:space="0" w:color="000000"/>
            </w:tcBorders>
          </w:tcPr>
          <w:p w14:paraId="2A123603" w14:textId="30C1129B"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3" w:type="dxa"/>
            <w:gridSpan w:val="2"/>
            <w:tcBorders>
              <w:top w:val="single" w:sz="4" w:space="0" w:color="000000"/>
              <w:left w:val="single" w:sz="4" w:space="0" w:color="000000"/>
              <w:bottom w:val="single" w:sz="4" w:space="0" w:color="000000"/>
              <w:right w:val="single" w:sz="4" w:space="0" w:color="000000"/>
            </w:tcBorders>
          </w:tcPr>
          <w:p w14:paraId="17AEE084"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4" w:space="0" w:color="000000"/>
              <w:bottom w:val="single" w:sz="4" w:space="0" w:color="000000"/>
              <w:right w:val="single" w:sz="4" w:space="0" w:color="000000"/>
            </w:tcBorders>
            <w:shd w:val="clear" w:color="auto" w:fill="38FAFA"/>
          </w:tcPr>
          <w:p w14:paraId="2AE7F01C"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6A6934AC" w14:textId="77777777" w:rsidTr="00C232D7">
        <w:tblPrEx>
          <w:tblCellMar>
            <w:top w:w="0" w:type="dxa"/>
          </w:tblCellMar>
        </w:tblPrEx>
        <w:trPr>
          <w:trHeight w:val="226"/>
        </w:trPr>
        <w:tc>
          <w:tcPr>
            <w:tcW w:w="266" w:type="dxa"/>
            <w:vMerge/>
            <w:tcBorders>
              <w:top w:val="nil"/>
              <w:left w:val="single" w:sz="4" w:space="0" w:color="000000"/>
              <w:bottom w:val="nil"/>
              <w:right w:val="single" w:sz="4" w:space="0" w:color="000000"/>
            </w:tcBorders>
          </w:tcPr>
          <w:p w14:paraId="73DC3610"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6212ECB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717" w:type="dxa"/>
            <w:gridSpan w:val="7"/>
            <w:tcBorders>
              <w:top w:val="single" w:sz="4" w:space="0" w:color="000000"/>
              <w:left w:val="single" w:sz="4" w:space="0" w:color="000000"/>
              <w:bottom w:val="single" w:sz="4" w:space="0" w:color="000000"/>
              <w:right w:val="single" w:sz="4" w:space="0" w:color="000000"/>
            </w:tcBorders>
          </w:tcPr>
          <w:p w14:paraId="0B0FE759"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Đuliće </w:t>
            </w:r>
          </w:p>
        </w:tc>
        <w:tc>
          <w:tcPr>
            <w:tcW w:w="2929" w:type="dxa"/>
            <w:gridSpan w:val="2"/>
            <w:tcBorders>
              <w:top w:val="single" w:sz="4" w:space="0" w:color="000000"/>
              <w:left w:val="single" w:sz="4" w:space="0" w:color="000000"/>
              <w:bottom w:val="single" w:sz="4" w:space="0" w:color="000000"/>
              <w:right w:val="single" w:sz="4" w:space="0" w:color="000000"/>
            </w:tcBorders>
          </w:tcPr>
          <w:p w14:paraId="7C2B0404" w14:textId="0F270A96"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3" w:type="dxa"/>
            <w:gridSpan w:val="2"/>
            <w:tcBorders>
              <w:top w:val="single" w:sz="4" w:space="0" w:color="000000"/>
              <w:left w:val="single" w:sz="4" w:space="0" w:color="000000"/>
              <w:bottom w:val="single" w:sz="4" w:space="0" w:color="000000"/>
              <w:right w:val="single" w:sz="4" w:space="0" w:color="000000"/>
            </w:tcBorders>
          </w:tcPr>
          <w:p w14:paraId="1946009F"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4" w:space="0" w:color="000000"/>
              <w:bottom w:val="single" w:sz="4" w:space="0" w:color="000000"/>
              <w:right w:val="single" w:sz="4" w:space="0" w:color="000000"/>
            </w:tcBorders>
            <w:shd w:val="clear" w:color="auto" w:fill="38FAFA"/>
          </w:tcPr>
          <w:p w14:paraId="2D928E48"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129EAAC9" w14:textId="77777777" w:rsidTr="00C232D7">
        <w:tblPrEx>
          <w:tblCellMar>
            <w:top w:w="0" w:type="dxa"/>
          </w:tblCellMar>
        </w:tblPrEx>
        <w:trPr>
          <w:trHeight w:val="226"/>
        </w:trPr>
        <w:tc>
          <w:tcPr>
            <w:tcW w:w="266" w:type="dxa"/>
            <w:vMerge/>
            <w:tcBorders>
              <w:top w:val="nil"/>
              <w:left w:val="single" w:sz="4" w:space="0" w:color="000000"/>
              <w:bottom w:val="nil"/>
              <w:right w:val="single" w:sz="4" w:space="0" w:color="000000"/>
            </w:tcBorders>
          </w:tcPr>
          <w:p w14:paraId="6116A67D"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3CFDFADA"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 </w:t>
            </w:r>
          </w:p>
        </w:tc>
        <w:tc>
          <w:tcPr>
            <w:tcW w:w="3717" w:type="dxa"/>
            <w:gridSpan w:val="7"/>
            <w:tcBorders>
              <w:top w:val="single" w:sz="4" w:space="0" w:color="000000"/>
              <w:left w:val="single" w:sz="4" w:space="0" w:color="000000"/>
              <w:bottom w:val="single" w:sz="4" w:space="0" w:color="000000"/>
              <w:right w:val="single" w:sz="4" w:space="0" w:color="000000"/>
            </w:tcBorders>
          </w:tcPr>
          <w:p w14:paraId="768D572E"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Vardište</w:t>
            </w:r>
          </w:p>
        </w:tc>
        <w:tc>
          <w:tcPr>
            <w:tcW w:w="2929" w:type="dxa"/>
            <w:gridSpan w:val="2"/>
            <w:tcBorders>
              <w:top w:val="single" w:sz="4" w:space="0" w:color="000000"/>
              <w:left w:val="single" w:sz="4" w:space="0" w:color="000000"/>
              <w:bottom w:val="single" w:sz="4" w:space="0" w:color="000000"/>
              <w:right w:val="single" w:sz="4" w:space="0" w:color="000000"/>
            </w:tcBorders>
          </w:tcPr>
          <w:p w14:paraId="275685AF" w14:textId="60848E2C"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3" w:type="dxa"/>
            <w:gridSpan w:val="2"/>
            <w:tcBorders>
              <w:top w:val="single" w:sz="4" w:space="0" w:color="000000"/>
              <w:left w:val="single" w:sz="4" w:space="0" w:color="000000"/>
              <w:bottom w:val="single" w:sz="4" w:space="0" w:color="000000"/>
              <w:right w:val="single" w:sz="4" w:space="0" w:color="000000"/>
            </w:tcBorders>
          </w:tcPr>
          <w:p w14:paraId="3D535BB9"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25</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41F2972F"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27D7CCDC" w14:textId="77777777" w:rsidTr="00C232D7">
        <w:tblPrEx>
          <w:tblCellMar>
            <w:top w:w="0" w:type="dxa"/>
          </w:tblCellMar>
        </w:tblPrEx>
        <w:trPr>
          <w:trHeight w:val="226"/>
        </w:trPr>
        <w:tc>
          <w:tcPr>
            <w:tcW w:w="266" w:type="dxa"/>
            <w:vMerge/>
            <w:tcBorders>
              <w:top w:val="nil"/>
              <w:left w:val="single" w:sz="4" w:space="0" w:color="000000"/>
              <w:bottom w:val="nil"/>
              <w:right w:val="single" w:sz="4" w:space="0" w:color="000000"/>
            </w:tcBorders>
          </w:tcPr>
          <w:p w14:paraId="6C0AAA26"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702E586E"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717" w:type="dxa"/>
            <w:gridSpan w:val="7"/>
            <w:tcBorders>
              <w:top w:val="single" w:sz="4" w:space="0" w:color="000000"/>
              <w:left w:val="single" w:sz="4" w:space="0" w:color="000000"/>
              <w:bottom w:val="single" w:sz="4" w:space="0" w:color="000000"/>
              <w:right w:val="single" w:sz="4" w:space="0" w:color="000000"/>
            </w:tcBorders>
          </w:tcPr>
          <w:p w14:paraId="3D037211"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Komarača</w:t>
            </w:r>
          </w:p>
        </w:tc>
        <w:tc>
          <w:tcPr>
            <w:tcW w:w="2929" w:type="dxa"/>
            <w:gridSpan w:val="2"/>
            <w:tcBorders>
              <w:top w:val="single" w:sz="4" w:space="0" w:color="000000"/>
              <w:left w:val="single" w:sz="4" w:space="0" w:color="000000"/>
              <w:bottom w:val="single" w:sz="4" w:space="0" w:color="000000"/>
              <w:right w:val="single" w:sz="4" w:space="0" w:color="000000"/>
            </w:tcBorders>
          </w:tcPr>
          <w:p w14:paraId="483BC4A0" w14:textId="7032FE8A"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3" w:type="dxa"/>
            <w:gridSpan w:val="2"/>
            <w:tcBorders>
              <w:top w:val="single" w:sz="4" w:space="0" w:color="000000"/>
              <w:left w:val="single" w:sz="4" w:space="0" w:color="000000"/>
              <w:bottom w:val="single" w:sz="4" w:space="0" w:color="000000"/>
              <w:right w:val="single" w:sz="4" w:space="0" w:color="000000"/>
            </w:tcBorders>
          </w:tcPr>
          <w:p w14:paraId="37F30EC9"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028AF4A3"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2E24CBD3" w14:textId="77777777" w:rsidTr="00C232D7">
        <w:tblPrEx>
          <w:tblCellMar>
            <w:top w:w="0" w:type="dxa"/>
          </w:tblCellMar>
        </w:tblPrEx>
        <w:trPr>
          <w:trHeight w:val="223"/>
        </w:trPr>
        <w:tc>
          <w:tcPr>
            <w:tcW w:w="266" w:type="dxa"/>
            <w:vMerge/>
            <w:tcBorders>
              <w:top w:val="nil"/>
              <w:left w:val="single" w:sz="4" w:space="0" w:color="000000"/>
              <w:bottom w:val="nil"/>
              <w:right w:val="single" w:sz="4" w:space="0" w:color="000000"/>
            </w:tcBorders>
          </w:tcPr>
          <w:p w14:paraId="1CDADDE2"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137ED5EF"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 </w:t>
            </w:r>
          </w:p>
        </w:tc>
        <w:tc>
          <w:tcPr>
            <w:tcW w:w="3717" w:type="dxa"/>
            <w:gridSpan w:val="7"/>
            <w:tcBorders>
              <w:top w:val="single" w:sz="4" w:space="0" w:color="000000"/>
              <w:left w:val="single" w:sz="4" w:space="0" w:color="000000"/>
              <w:bottom w:val="single" w:sz="4" w:space="0" w:color="000000"/>
              <w:right w:val="single" w:sz="4" w:space="0" w:color="000000"/>
            </w:tcBorders>
          </w:tcPr>
          <w:p w14:paraId="03E1F976" w14:textId="77777777" w:rsidR="00C232D7" w:rsidRPr="00F6198B" w:rsidRDefault="00C232D7" w:rsidP="00C232D7">
            <w:pPr>
              <w:spacing w:line="360" w:lineRule="auto"/>
              <w:ind w:left="10" w:hanging="10"/>
              <w:rPr>
                <w:rFonts w:ascii="Arial" w:hAnsi="Arial" w:cs="Arial"/>
                <w:color w:val="000000"/>
                <w:sz w:val="18"/>
                <w:szCs w:val="18"/>
                <w:lang w:val="sr-Latn-RS"/>
              </w:rPr>
            </w:pPr>
            <w:r w:rsidRPr="00F6198B">
              <w:rPr>
                <w:rFonts w:ascii="Arial" w:hAnsi="Arial" w:cs="Arial"/>
                <w:color w:val="000000"/>
                <w:sz w:val="18"/>
                <w:szCs w:val="18"/>
                <w:lang w:val="sr-Latn-RS"/>
              </w:rPr>
              <w:t>Kraljevac</w:t>
            </w:r>
          </w:p>
        </w:tc>
        <w:tc>
          <w:tcPr>
            <w:tcW w:w="2929" w:type="dxa"/>
            <w:gridSpan w:val="2"/>
            <w:tcBorders>
              <w:top w:val="single" w:sz="4" w:space="0" w:color="000000"/>
              <w:left w:val="single" w:sz="4" w:space="0" w:color="000000"/>
              <w:bottom w:val="single" w:sz="4" w:space="0" w:color="000000"/>
              <w:right w:val="single" w:sz="4" w:space="0" w:color="000000"/>
            </w:tcBorders>
          </w:tcPr>
          <w:p w14:paraId="0F2BC9DC" w14:textId="32D97A19"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3" w:type="dxa"/>
            <w:gridSpan w:val="2"/>
            <w:tcBorders>
              <w:top w:val="single" w:sz="4" w:space="0" w:color="000000"/>
              <w:left w:val="single" w:sz="4" w:space="0" w:color="000000"/>
              <w:bottom w:val="single" w:sz="4" w:space="0" w:color="000000"/>
              <w:right w:val="single" w:sz="4" w:space="0" w:color="000000"/>
            </w:tcBorders>
          </w:tcPr>
          <w:p w14:paraId="1DEBB3EC"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766224A5"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672C90D3" w14:textId="77777777" w:rsidTr="00C232D7">
        <w:tblPrEx>
          <w:tblCellMar>
            <w:top w:w="0" w:type="dxa"/>
          </w:tblCellMar>
        </w:tblPrEx>
        <w:trPr>
          <w:trHeight w:val="223"/>
        </w:trPr>
        <w:tc>
          <w:tcPr>
            <w:tcW w:w="266" w:type="dxa"/>
            <w:vMerge/>
            <w:tcBorders>
              <w:top w:val="nil"/>
              <w:left w:val="single" w:sz="4" w:space="0" w:color="000000"/>
              <w:bottom w:val="nil"/>
              <w:right w:val="single" w:sz="4" w:space="0" w:color="000000"/>
            </w:tcBorders>
          </w:tcPr>
          <w:p w14:paraId="54AC171F"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68FFE65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3717" w:type="dxa"/>
            <w:gridSpan w:val="7"/>
            <w:tcBorders>
              <w:top w:val="single" w:sz="4" w:space="0" w:color="000000"/>
              <w:left w:val="single" w:sz="4" w:space="0" w:color="000000"/>
              <w:bottom w:val="single" w:sz="4" w:space="0" w:color="000000"/>
              <w:right w:val="single" w:sz="4" w:space="0" w:color="000000"/>
            </w:tcBorders>
          </w:tcPr>
          <w:p w14:paraId="3C33740A" w14:textId="77777777" w:rsidR="00C232D7" w:rsidRPr="00F6198B" w:rsidRDefault="00C232D7" w:rsidP="00C232D7">
            <w:pPr>
              <w:spacing w:line="360" w:lineRule="auto"/>
              <w:ind w:left="10" w:hanging="10"/>
              <w:rPr>
                <w:rFonts w:ascii="Arial" w:hAnsi="Arial" w:cs="Arial"/>
                <w:color w:val="000000"/>
                <w:sz w:val="18"/>
                <w:szCs w:val="18"/>
                <w:lang w:val="sr-Latn-RS"/>
              </w:rPr>
            </w:pPr>
            <w:r w:rsidRPr="00F6198B">
              <w:rPr>
                <w:rFonts w:ascii="Arial" w:hAnsi="Arial" w:cs="Arial"/>
                <w:color w:val="000000"/>
                <w:sz w:val="18"/>
                <w:szCs w:val="18"/>
                <w:lang w:val="sr-Latn-RS"/>
              </w:rPr>
              <w:t>Murino pored groblja</w:t>
            </w:r>
          </w:p>
        </w:tc>
        <w:tc>
          <w:tcPr>
            <w:tcW w:w="2929" w:type="dxa"/>
            <w:gridSpan w:val="2"/>
            <w:tcBorders>
              <w:top w:val="single" w:sz="4" w:space="0" w:color="000000"/>
              <w:left w:val="single" w:sz="4" w:space="0" w:color="000000"/>
              <w:bottom w:val="single" w:sz="4" w:space="0" w:color="000000"/>
              <w:right w:val="single" w:sz="4" w:space="0" w:color="000000"/>
            </w:tcBorders>
          </w:tcPr>
          <w:p w14:paraId="1CF76978" w14:textId="66B74722"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komunalni i građevinski</w:t>
            </w:r>
          </w:p>
        </w:tc>
        <w:tc>
          <w:tcPr>
            <w:tcW w:w="933" w:type="dxa"/>
            <w:gridSpan w:val="2"/>
            <w:tcBorders>
              <w:top w:val="single" w:sz="4" w:space="0" w:color="000000"/>
              <w:left w:val="single" w:sz="4" w:space="0" w:color="000000"/>
              <w:bottom w:val="single" w:sz="4" w:space="0" w:color="000000"/>
              <w:right w:val="single" w:sz="4" w:space="0" w:color="000000"/>
            </w:tcBorders>
          </w:tcPr>
          <w:p w14:paraId="5A95DF2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429EF512"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4D2827F9" w14:textId="77777777" w:rsidTr="00C232D7">
        <w:tblPrEx>
          <w:tblCellMar>
            <w:top w:w="0" w:type="dxa"/>
          </w:tblCellMar>
        </w:tblPrEx>
        <w:trPr>
          <w:trHeight w:val="60"/>
        </w:trPr>
        <w:tc>
          <w:tcPr>
            <w:tcW w:w="266" w:type="dxa"/>
            <w:vMerge/>
            <w:tcBorders>
              <w:top w:val="nil"/>
              <w:left w:val="single" w:sz="4" w:space="0" w:color="000000"/>
              <w:bottom w:val="nil"/>
              <w:right w:val="single" w:sz="4" w:space="0" w:color="000000"/>
            </w:tcBorders>
          </w:tcPr>
          <w:p w14:paraId="33BCCDF6"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6D363201"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7.</w:t>
            </w:r>
          </w:p>
        </w:tc>
        <w:tc>
          <w:tcPr>
            <w:tcW w:w="3717" w:type="dxa"/>
            <w:gridSpan w:val="7"/>
            <w:tcBorders>
              <w:top w:val="single" w:sz="4" w:space="0" w:color="000000"/>
              <w:left w:val="single" w:sz="4" w:space="0" w:color="000000"/>
              <w:bottom w:val="single" w:sz="4" w:space="0" w:color="000000"/>
              <w:right w:val="single" w:sz="4" w:space="0" w:color="000000"/>
            </w:tcBorders>
          </w:tcPr>
          <w:p w14:paraId="53292FD2" w14:textId="77777777" w:rsidR="00C232D7" w:rsidRPr="00F6198B" w:rsidRDefault="00C232D7" w:rsidP="00C232D7">
            <w:pPr>
              <w:spacing w:line="360" w:lineRule="auto"/>
              <w:ind w:left="10"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Lugovi </w:t>
            </w:r>
          </w:p>
        </w:tc>
        <w:tc>
          <w:tcPr>
            <w:tcW w:w="2929" w:type="dxa"/>
            <w:gridSpan w:val="2"/>
            <w:tcBorders>
              <w:top w:val="single" w:sz="4" w:space="0" w:color="000000"/>
              <w:left w:val="single" w:sz="4" w:space="0" w:color="000000"/>
              <w:bottom w:val="single" w:sz="4" w:space="0" w:color="000000"/>
              <w:right w:val="single" w:sz="4" w:space="0" w:color="000000"/>
            </w:tcBorders>
          </w:tcPr>
          <w:p w14:paraId="6E1C7503" w14:textId="090A9026"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komunalni i građevinski</w:t>
            </w:r>
          </w:p>
        </w:tc>
        <w:tc>
          <w:tcPr>
            <w:tcW w:w="933" w:type="dxa"/>
            <w:gridSpan w:val="2"/>
            <w:tcBorders>
              <w:top w:val="single" w:sz="4" w:space="0" w:color="000000"/>
              <w:left w:val="single" w:sz="4" w:space="0" w:color="000000"/>
              <w:bottom w:val="single" w:sz="4" w:space="0" w:color="000000"/>
              <w:right w:val="single" w:sz="4" w:space="0" w:color="000000"/>
            </w:tcBorders>
          </w:tcPr>
          <w:p w14:paraId="54C1D93E"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2BB801C2"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441E9945" w14:textId="77777777" w:rsidTr="00C232D7">
        <w:tblPrEx>
          <w:tblCellMar>
            <w:top w:w="0" w:type="dxa"/>
          </w:tblCellMar>
        </w:tblPrEx>
        <w:trPr>
          <w:trHeight w:val="223"/>
        </w:trPr>
        <w:tc>
          <w:tcPr>
            <w:tcW w:w="266" w:type="dxa"/>
            <w:vMerge/>
            <w:tcBorders>
              <w:top w:val="nil"/>
              <w:left w:val="single" w:sz="4" w:space="0" w:color="000000"/>
              <w:bottom w:val="nil"/>
              <w:right w:val="single" w:sz="4" w:space="0" w:color="000000"/>
            </w:tcBorders>
          </w:tcPr>
          <w:p w14:paraId="189253A6"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409FD92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8.</w:t>
            </w:r>
          </w:p>
        </w:tc>
        <w:tc>
          <w:tcPr>
            <w:tcW w:w="3717" w:type="dxa"/>
            <w:gridSpan w:val="7"/>
            <w:tcBorders>
              <w:top w:val="single" w:sz="4" w:space="0" w:color="000000"/>
              <w:left w:val="single" w:sz="4" w:space="0" w:color="000000"/>
              <w:bottom w:val="single" w:sz="4" w:space="0" w:color="000000"/>
              <w:right w:val="single" w:sz="4" w:space="0" w:color="000000"/>
            </w:tcBorders>
          </w:tcPr>
          <w:p w14:paraId="4F5987F3" w14:textId="77777777" w:rsidR="00C232D7" w:rsidRPr="00F6198B" w:rsidRDefault="00C232D7" w:rsidP="00C232D7">
            <w:pPr>
              <w:spacing w:line="360" w:lineRule="auto"/>
              <w:ind w:left="10" w:hanging="10"/>
              <w:rPr>
                <w:rFonts w:ascii="Arial" w:hAnsi="Arial" w:cs="Arial"/>
                <w:color w:val="000000"/>
                <w:sz w:val="18"/>
                <w:szCs w:val="18"/>
                <w:lang w:val="sr-Latn-RS"/>
              </w:rPr>
            </w:pPr>
            <w:r w:rsidRPr="00F6198B">
              <w:rPr>
                <w:rFonts w:ascii="Arial" w:hAnsi="Arial" w:cs="Arial"/>
                <w:color w:val="000000"/>
                <w:sz w:val="18"/>
                <w:szCs w:val="18"/>
                <w:lang w:val="sr-Latn-RS"/>
              </w:rPr>
              <w:t>Gornja Rženica</w:t>
            </w:r>
          </w:p>
        </w:tc>
        <w:tc>
          <w:tcPr>
            <w:tcW w:w="2929" w:type="dxa"/>
            <w:gridSpan w:val="2"/>
            <w:tcBorders>
              <w:top w:val="single" w:sz="4" w:space="0" w:color="000000"/>
              <w:left w:val="single" w:sz="4" w:space="0" w:color="000000"/>
              <w:bottom w:val="single" w:sz="4" w:space="0" w:color="000000"/>
              <w:right w:val="single" w:sz="4" w:space="0" w:color="000000"/>
            </w:tcBorders>
          </w:tcPr>
          <w:p w14:paraId="38C161A0" w14:textId="01AFD936"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komunalni i građevinski</w:t>
            </w:r>
          </w:p>
        </w:tc>
        <w:tc>
          <w:tcPr>
            <w:tcW w:w="933" w:type="dxa"/>
            <w:gridSpan w:val="2"/>
            <w:tcBorders>
              <w:top w:val="single" w:sz="4" w:space="0" w:color="000000"/>
              <w:left w:val="single" w:sz="4" w:space="0" w:color="000000"/>
              <w:bottom w:val="single" w:sz="4" w:space="0" w:color="000000"/>
              <w:right w:val="single" w:sz="4" w:space="0" w:color="000000"/>
            </w:tcBorders>
          </w:tcPr>
          <w:p w14:paraId="6DCB03A0"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2056FC6D"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6066D866" w14:textId="77777777" w:rsidTr="00C232D7">
        <w:tblPrEx>
          <w:tblCellMar>
            <w:top w:w="0" w:type="dxa"/>
          </w:tblCellMar>
        </w:tblPrEx>
        <w:trPr>
          <w:trHeight w:val="223"/>
        </w:trPr>
        <w:tc>
          <w:tcPr>
            <w:tcW w:w="266" w:type="dxa"/>
            <w:vMerge/>
            <w:tcBorders>
              <w:top w:val="nil"/>
              <w:left w:val="single" w:sz="4" w:space="0" w:color="000000"/>
              <w:bottom w:val="nil"/>
              <w:right w:val="single" w:sz="4" w:space="0" w:color="000000"/>
            </w:tcBorders>
          </w:tcPr>
          <w:p w14:paraId="64EAC454"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1D7AC9AC"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9.</w:t>
            </w:r>
          </w:p>
        </w:tc>
        <w:tc>
          <w:tcPr>
            <w:tcW w:w="3717" w:type="dxa"/>
            <w:gridSpan w:val="7"/>
            <w:tcBorders>
              <w:top w:val="single" w:sz="4" w:space="0" w:color="000000"/>
              <w:left w:val="single" w:sz="4" w:space="0" w:color="000000"/>
              <w:bottom w:val="single" w:sz="4" w:space="0" w:color="000000"/>
              <w:right w:val="single" w:sz="4" w:space="0" w:color="000000"/>
            </w:tcBorders>
          </w:tcPr>
          <w:p w14:paraId="0A978854" w14:textId="77777777" w:rsidR="00C232D7" w:rsidRPr="00F6198B" w:rsidRDefault="00C232D7" w:rsidP="00C232D7">
            <w:pPr>
              <w:spacing w:line="360" w:lineRule="auto"/>
              <w:ind w:left="10"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Kruševo </w:t>
            </w:r>
          </w:p>
        </w:tc>
        <w:tc>
          <w:tcPr>
            <w:tcW w:w="2929" w:type="dxa"/>
            <w:gridSpan w:val="2"/>
            <w:tcBorders>
              <w:top w:val="single" w:sz="4" w:space="0" w:color="000000"/>
              <w:left w:val="single" w:sz="4" w:space="0" w:color="000000"/>
              <w:bottom w:val="single" w:sz="4" w:space="0" w:color="000000"/>
              <w:right w:val="single" w:sz="4" w:space="0" w:color="000000"/>
            </w:tcBorders>
          </w:tcPr>
          <w:p w14:paraId="7255C4DF" w14:textId="14EF8B6E"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komunalni i građevinski</w:t>
            </w:r>
          </w:p>
        </w:tc>
        <w:tc>
          <w:tcPr>
            <w:tcW w:w="933" w:type="dxa"/>
            <w:gridSpan w:val="2"/>
            <w:tcBorders>
              <w:top w:val="single" w:sz="4" w:space="0" w:color="000000"/>
              <w:left w:val="single" w:sz="4" w:space="0" w:color="000000"/>
              <w:bottom w:val="single" w:sz="4" w:space="0" w:color="000000"/>
              <w:right w:val="single" w:sz="4" w:space="0" w:color="000000"/>
            </w:tcBorders>
          </w:tcPr>
          <w:p w14:paraId="5F6E8E5B"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2F580FE7"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3907BA87" w14:textId="77777777" w:rsidTr="00C232D7">
        <w:tblPrEx>
          <w:tblCellMar>
            <w:top w:w="0" w:type="dxa"/>
          </w:tblCellMar>
        </w:tblPrEx>
        <w:trPr>
          <w:trHeight w:val="85"/>
        </w:trPr>
        <w:tc>
          <w:tcPr>
            <w:tcW w:w="266" w:type="dxa"/>
            <w:vMerge/>
            <w:tcBorders>
              <w:top w:val="nil"/>
              <w:left w:val="single" w:sz="4" w:space="0" w:color="000000"/>
              <w:bottom w:val="single" w:sz="4" w:space="0" w:color="000000"/>
              <w:right w:val="single" w:sz="4" w:space="0" w:color="000000"/>
            </w:tcBorders>
          </w:tcPr>
          <w:p w14:paraId="6488A5D5" w14:textId="77777777" w:rsidR="00C232D7" w:rsidRPr="00F6198B" w:rsidRDefault="00C232D7" w:rsidP="00C232D7">
            <w:pPr>
              <w:spacing w:after="160" w:line="360" w:lineRule="auto"/>
              <w:rPr>
                <w:rFonts w:ascii="Arial" w:hAnsi="Arial" w:cs="Arial"/>
                <w:color w:val="000000"/>
                <w:sz w:val="18"/>
                <w:szCs w:val="18"/>
                <w:lang w:val="sr-Latn-RS"/>
              </w:rPr>
            </w:pPr>
          </w:p>
        </w:tc>
        <w:tc>
          <w:tcPr>
            <w:tcW w:w="7231" w:type="dxa"/>
            <w:gridSpan w:val="12"/>
            <w:tcBorders>
              <w:top w:val="single" w:sz="4" w:space="0" w:color="000000"/>
              <w:left w:val="single" w:sz="4" w:space="0" w:color="000000"/>
              <w:bottom w:val="single" w:sz="4" w:space="0" w:color="000000"/>
              <w:right w:val="single" w:sz="4" w:space="0" w:color="000000"/>
            </w:tcBorders>
          </w:tcPr>
          <w:p w14:paraId="694EC1FB"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933" w:type="dxa"/>
            <w:gridSpan w:val="2"/>
            <w:tcBorders>
              <w:top w:val="single" w:sz="4" w:space="0" w:color="000000"/>
              <w:left w:val="single" w:sz="4" w:space="0" w:color="000000"/>
              <w:bottom w:val="single" w:sz="4" w:space="0" w:color="000000"/>
              <w:right w:val="nil"/>
            </w:tcBorders>
          </w:tcPr>
          <w:p w14:paraId="0D749FB7"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41" w:type="dxa"/>
            <w:tcBorders>
              <w:top w:val="single" w:sz="4" w:space="0" w:color="000000"/>
              <w:left w:val="nil"/>
              <w:bottom w:val="single" w:sz="4" w:space="0" w:color="000000"/>
              <w:right w:val="single" w:sz="4" w:space="0" w:color="000000"/>
            </w:tcBorders>
          </w:tcPr>
          <w:p w14:paraId="4E1FE7AD"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1301F5CC" w14:textId="77777777" w:rsidTr="00C232D7">
        <w:tblPrEx>
          <w:tblCellMar>
            <w:top w:w="0" w:type="dxa"/>
          </w:tblCellMar>
        </w:tblPrEx>
        <w:trPr>
          <w:trHeight w:val="204"/>
        </w:trPr>
        <w:tc>
          <w:tcPr>
            <w:tcW w:w="1135" w:type="dxa"/>
            <w:gridSpan w:val="5"/>
            <w:tcBorders>
              <w:top w:val="single" w:sz="4" w:space="0" w:color="000000"/>
              <w:left w:val="single" w:sz="4" w:space="0" w:color="000000"/>
              <w:bottom w:val="single" w:sz="4" w:space="0" w:color="000000"/>
              <w:right w:val="single" w:sz="4" w:space="0" w:color="000000"/>
            </w:tcBorders>
            <w:shd w:val="clear" w:color="auto" w:fill="EAF1DD"/>
          </w:tcPr>
          <w:p w14:paraId="788BAF59" w14:textId="77777777" w:rsidR="00C232D7" w:rsidRPr="00F6198B" w:rsidRDefault="00C232D7" w:rsidP="00C232D7">
            <w:pPr>
              <w:spacing w:line="360" w:lineRule="auto"/>
              <w:ind w:left="36"/>
              <w:rPr>
                <w:rFonts w:ascii="Arial" w:hAnsi="Arial" w:cs="Arial"/>
                <w:color w:val="000000"/>
                <w:sz w:val="18"/>
                <w:szCs w:val="18"/>
                <w:lang w:val="sr-Latn-RS"/>
              </w:rPr>
            </w:pPr>
          </w:p>
          <w:p w14:paraId="21D2CF29" w14:textId="77777777" w:rsidR="00C232D7" w:rsidRPr="00F6198B" w:rsidRDefault="00C232D7" w:rsidP="00C232D7">
            <w:pPr>
              <w:spacing w:line="360" w:lineRule="auto"/>
              <w:ind w:left="36"/>
              <w:rPr>
                <w:rFonts w:ascii="Arial" w:hAnsi="Arial" w:cs="Arial"/>
                <w:color w:val="000000"/>
                <w:sz w:val="18"/>
                <w:szCs w:val="18"/>
                <w:lang w:val="sr-Latn-RS"/>
              </w:rPr>
            </w:pPr>
            <w:r w:rsidRPr="00E62109">
              <w:rPr>
                <w:rFonts w:ascii="Arial" w:hAnsi="Arial" w:cs="Arial"/>
                <w:color w:val="000000"/>
                <w:sz w:val="16"/>
                <w:szCs w:val="18"/>
                <w:lang w:val="sr-Latn-RS"/>
              </w:rPr>
              <w:t>16. PLUŽINE</w:t>
            </w:r>
            <w:r w:rsidRPr="00E62109">
              <w:rPr>
                <w:rFonts w:ascii="Arial" w:hAnsi="Arial" w:cs="Arial"/>
                <w:color w:val="C00000"/>
                <w:sz w:val="16"/>
                <w:szCs w:val="18"/>
                <w:lang w:val="sr-Latn-RS"/>
              </w:rPr>
              <w:t xml:space="preserve"> </w:t>
            </w:r>
          </w:p>
        </w:tc>
        <w:tc>
          <w:tcPr>
            <w:tcW w:w="7295" w:type="dxa"/>
            <w:gridSpan w:val="10"/>
            <w:tcBorders>
              <w:top w:val="single" w:sz="4" w:space="0" w:color="000000"/>
              <w:left w:val="single" w:sz="4" w:space="0" w:color="000000"/>
              <w:bottom w:val="single" w:sz="4" w:space="0" w:color="000000"/>
              <w:right w:val="nil"/>
            </w:tcBorders>
            <w:shd w:val="clear" w:color="auto" w:fill="EAF1DD"/>
          </w:tcPr>
          <w:p w14:paraId="2F622C0A"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41" w:type="dxa"/>
            <w:tcBorders>
              <w:top w:val="single" w:sz="4" w:space="0" w:color="000000"/>
              <w:left w:val="nil"/>
              <w:bottom w:val="single" w:sz="4" w:space="0" w:color="000000"/>
              <w:right w:val="single" w:sz="4" w:space="0" w:color="000000"/>
            </w:tcBorders>
            <w:shd w:val="clear" w:color="auto" w:fill="EAF1DD"/>
          </w:tcPr>
          <w:p w14:paraId="644054CC"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456B8957" w14:textId="77777777" w:rsidTr="00C232D7">
        <w:tblPrEx>
          <w:tblCellMar>
            <w:top w:w="0" w:type="dxa"/>
          </w:tblCellMar>
        </w:tblPrEx>
        <w:trPr>
          <w:trHeight w:val="204"/>
        </w:trPr>
        <w:tc>
          <w:tcPr>
            <w:tcW w:w="266" w:type="dxa"/>
            <w:vMerge w:val="restart"/>
            <w:tcBorders>
              <w:top w:val="single" w:sz="4" w:space="0" w:color="000000"/>
              <w:left w:val="single" w:sz="4" w:space="0" w:color="000000"/>
              <w:bottom w:val="single" w:sz="2" w:space="0" w:color="000000"/>
              <w:right w:val="single" w:sz="4" w:space="0" w:color="000000"/>
            </w:tcBorders>
            <w:shd w:val="clear" w:color="auto" w:fill="EAF1DD"/>
            <w:vAlign w:val="center"/>
          </w:tcPr>
          <w:p w14:paraId="4D3F44DC"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gridSpan w:val="3"/>
            <w:tcBorders>
              <w:top w:val="single" w:sz="4" w:space="0" w:color="000000"/>
              <w:left w:val="single" w:sz="4" w:space="0" w:color="000000"/>
              <w:bottom w:val="single" w:sz="4" w:space="0" w:color="000000"/>
              <w:right w:val="single" w:sz="4" w:space="0" w:color="000000"/>
            </w:tcBorders>
          </w:tcPr>
          <w:p w14:paraId="0F419D2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717" w:type="dxa"/>
            <w:gridSpan w:val="7"/>
            <w:tcBorders>
              <w:top w:val="single" w:sz="4" w:space="0" w:color="000000"/>
              <w:left w:val="single" w:sz="4" w:space="0" w:color="000000"/>
              <w:bottom w:val="single" w:sz="4" w:space="0" w:color="000000"/>
              <w:right w:val="single" w:sz="4" w:space="0" w:color="000000"/>
            </w:tcBorders>
          </w:tcPr>
          <w:p w14:paraId="63363329"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Stabna-Orah kod kuće Panta Golubovića </w:t>
            </w:r>
          </w:p>
        </w:tc>
        <w:tc>
          <w:tcPr>
            <w:tcW w:w="2929" w:type="dxa"/>
            <w:gridSpan w:val="2"/>
            <w:tcBorders>
              <w:top w:val="single" w:sz="4" w:space="0" w:color="000000"/>
              <w:left w:val="single" w:sz="4" w:space="0" w:color="000000"/>
              <w:bottom w:val="single" w:sz="4" w:space="0" w:color="000000"/>
              <w:right w:val="single" w:sz="4" w:space="0" w:color="000000"/>
            </w:tcBorders>
          </w:tcPr>
          <w:p w14:paraId="315597DE" w14:textId="690EAD91"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3BAFEFAC"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678A7306"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20D2BC6F" w14:textId="77777777" w:rsidTr="00C232D7">
        <w:tblPrEx>
          <w:tblCellMar>
            <w:top w:w="0" w:type="dxa"/>
          </w:tblCellMar>
        </w:tblPrEx>
        <w:trPr>
          <w:trHeight w:val="204"/>
        </w:trPr>
        <w:tc>
          <w:tcPr>
            <w:tcW w:w="266" w:type="dxa"/>
            <w:vMerge/>
            <w:tcBorders>
              <w:top w:val="nil"/>
              <w:left w:val="single" w:sz="4" w:space="0" w:color="000000"/>
              <w:bottom w:val="nil"/>
              <w:right w:val="single" w:sz="4" w:space="0" w:color="000000"/>
            </w:tcBorders>
          </w:tcPr>
          <w:p w14:paraId="4980B87B"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6A321368"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717" w:type="dxa"/>
            <w:gridSpan w:val="7"/>
            <w:tcBorders>
              <w:top w:val="single" w:sz="4" w:space="0" w:color="000000"/>
              <w:left w:val="single" w:sz="4" w:space="0" w:color="000000"/>
              <w:bottom w:val="single" w:sz="4" w:space="0" w:color="000000"/>
              <w:right w:val="single" w:sz="4" w:space="0" w:color="000000"/>
            </w:tcBorders>
          </w:tcPr>
          <w:p w14:paraId="1E1F7CF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Selo Orah na raskrsnici </w:t>
            </w:r>
          </w:p>
        </w:tc>
        <w:tc>
          <w:tcPr>
            <w:tcW w:w="2929" w:type="dxa"/>
            <w:gridSpan w:val="2"/>
            <w:tcBorders>
              <w:top w:val="single" w:sz="4" w:space="0" w:color="000000"/>
              <w:left w:val="single" w:sz="4" w:space="0" w:color="000000"/>
              <w:bottom w:val="single" w:sz="4" w:space="0" w:color="000000"/>
              <w:right w:val="single" w:sz="4" w:space="0" w:color="000000"/>
            </w:tcBorders>
          </w:tcPr>
          <w:p w14:paraId="390AA138" w14:textId="7F0C656E"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67D7BABB"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5A238C85"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07B6D7C7" w14:textId="77777777" w:rsidTr="00C232D7">
        <w:tblPrEx>
          <w:tblCellMar>
            <w:top w:w="0" w:type="dxa"/>
          </w:tblCellMar>
        </w:tblPrEx>
        <w:trPr>
          <w:trHeight w:val="204"/>
        </w:trPr>
        <w:tc>
          <w:tcPr>
            <w:tcW w:w="266" w:type="dxa"/>
            <w:vMerge/>
            <w:tcBorders>
              <w:top w:val="nil"/>
              <w:left w:val="single" w:sz="4" w:space="0" w:color="000000"/>
              <w:bottom w:val="nil"/>
              <w:right w:val="single" w:sz="4" w:space="0" w:color="000000"/>
            </w:tcBorders>
          </w:tcPr>
          <w:p w14:paraId="4F93BA4D"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715EFCDA"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3717" w:type="dxa"/>
            <w:gridSpan w:val="7"/>
            <w:tcBorders>
              <w:top w:val="single" w:sz="4" w:space="0" w:color="000000"/>
              <w:left w:val="single" w:sz="4" w:space="0" w:color="000000"/>
              <w:bottom w:val="single" w:sz="4" w:space="0" w:color="000000"/>
              <w:right w:val="single" w:sz="4" w:space="0" w:color="000000"/>
            </w:tcBorders>
          </w:tcPr>
          <w:p w14:paraId="6417321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Selo Orah preko puta kuće Nenada Golubovića</w:t>
            </w:r>
          </w:p>
        </w:tc>
        <w:tc>
          <w:tcPr>
            <w:tcW w:w="2929" w:type="dxa"/>
            <w:gridSpan w:val="2"/>
            <w:tcBorders>
              <w:top w:val="single" w:sz="4" w:space="0" w:color="000000"/>
              <w:left w:val="single" w:sz="4" w:space="0" w:color="000000"/>
              <w:bottom w:val="single" w:sz="4" w:space="0" w:color="000000"/>
              <w:right w:val="single" w:sz="4" w:space="0" w:color="000000"/>
            </w:tcBorders>
          </w:tcPr>
          <w:p w14:paraId="68E8FEE8"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 xml:space="preserve">Miješani 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4D87FBB9"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74D0C231"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23F4B992"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0C809815"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3C57063E"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717" w:type="dxa"/>
            <w:gridSpan w:val="7"/>
            <w:tcBorders>
              <w:top w:val="single" w:sz="4" w:space="0" w:color="000000"/>
              <w:left w:val="single" w:sz="4" w:space="0" w:color="000000"/>
              <w:bottom w:val="single" w:sz="2" w:space="0" w:color="000000"/>
              <w:right w:val="single" w:sz="4" w:space="0" w:color="000000"/>
            </w:tcBorders>
          </w:tcPr>
          <w:p w14:paraId="71973D3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Ljuti na putu Plužine -Smriječno </w:t>
            </w:r>
          </w:p>
        </w:tc>
        <w:tc>
          <w:tcPr>
            <w:tcW w:w="2929" w:type="dxa"/>
            <w:gridSpan w:val="2"/>
            <w:tcBorders>
              <w:top w:val="single" w:sz="4" w:space="0" w:color="000000"/>
              <w:left w:val="single" w:sz="4" w:space="0" w:color="000000"/>
              <w:bottom w:val="single" w:sz="2" w:space="0" w:color="000000"/>
              <w:right w:val="single" w:sz="4" w:space="0" w:color="000000"/>
            </w:tcBorders>
          </w:tcPr>
          <w:p w14:paraId="5214EFED" w14:textId="17AB73F0"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2" w:space="0" w:color="000000"/>
              <w:right w:val="single" w:sz="4" w:space="0" w:color="000000"/>
            </w:tcBorders>
          </w:tcPr>
          <w:p w14:paraId="08453BBB"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2" w:space="0" w:color="000000"/>
              <w:right w:val="single" w:sz="4" w:space="0" w:color="000000"/>
            </w:tcBorders>
            <w:shd w:val="clear" w:color="auto" w:fill="00FFFF"/>
          </w:tcPr>
          <w:p w14:paraId="6311263C"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3D8995B1"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7E7FCD7C"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07FAF7C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 </w:t>
            </w:r>
          </w:p>
        </w:tc>
        <w:tc>
          <w:tcPr>
            <w:tcW w:w="3717" w:type="dxa"/>
            <w:gridSpan w:val="7"/>
            <w:tcBorders>
              <w:top w:val="single" w:sz="2" w:space="0" w:color="000000"/>
              <w:left w:val="single" w:sz="4" w:space="0" w:color="000000"/>
              <w:bottom w:val="single" w:sz="4" w:space="0" w:color="000000"/>
              <w:right w:val="single" w:sz="4" w:space="0" w:color="000000"/>
            </w:tcBorders>
          </w:tcPr>
          <w:p w14:paraId="420025C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Na mostu braće Gagovića </w:t>
            </w:r>
          </w:p>
        </w:tc>
        <w:tc>
          <w:tcPr>
            <w:tcW w:w="2929" w:type="dxa"/>
            <w:gridSpan w:val="2"/>
            <w:tcBorders>
              <w:top w:val="single" w:sz="2" w:space="0" w:color="000000"/>
              <w:left w:val="single" w:sz="4" w:space="0" w:color="000000"/>
              <w:bottom w:val="single" w:sz="4" w:space="0" w:color="000000"/>
              <w:right w:val="single" w:sz="4" w:space="0" w:color="000000"/>
            </w:tcBorders>
          </w:tcPr>
          <w:p w14:paraId="1AB6C5CC" w14:textId="2E2C5A8F"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2" w:space="0" w:color="000000"/>
              <w:left w:val="single" w:sz="4" w:space="0" w:color="000000"/>
              <w:bottom w:val="single" w:sz="4" w:space="0" w:color="000000"/>
              <w:right w:val="single" w:sz="4" w:space="0" w:color="000000"/>
            </w:tcBorders>
          </w:tcPr>
          <w:p w14:paraId="70CEEFE9"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2" w:space="0" w:color="000000"/>
              <w:left w:val="single" w:sz="4" w:space="0" w:color="000000"/>
              <w:bottom w:val="single" w:sz="4" w:space="0" w:color="000000"/>
              <w:right w:val="single" w:sz="4" w:space="0" w:color="000000"/>
            </w:tcBorders>
            <w:shd w:val="clear" w:color="auto" w:fill="00FFFF"/>
          </w:tcPr>
          <w:p w14:paraId="4DD69E74"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5C05346F"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62408110"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5FA433E1"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3717" w:type="dxa"/>
            <w:gridSpan w:val="7"/>
            <w:tcBorders>
              <w:top w:val="single" w:sz="2" w:space="0" w:color="000000"/>
              <w:left w:val="single" w:sz="4" w:space="0" w:color="000000"/>
              <w:bottom w:val="single" w:sz="4" w:space="0" w:color="000000"/>
              <w:right w:val="single" w:sz="4" w:space="0" w:color="000000"/>
            </w:tcBorders>
          </w:tcPr>
          <w:p w14:paraId="39671C40"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Plužine-Dubljevići 2km od mosta braće Gagovića</w:t>
            </w:r>
          </w:p>
        </w:tc>
        <w:tc>
          <w:tcPr>
            <w:tcW w:w="2929" w:type="dxa"/>
            <w:gridSpan w:val="2"/>
            <w:tcBorders>
              <w:top w:val="single" w:sz="2" w:space="0" w:color="000000"/>
              <w:left w:val="single" w:sz="4" w:space="0" w:color="000000"/>
              <w:bottom w:val="single" w:sz="4" w:space="0" w:color="000000"/>
              <w:right w:val="single" w:sz="4" w:space="0" w:color="000000"/>
            </w:tcBorders>
          </w:tcPr>
          <w:p w14:paraId="43B3911A" w14:textId="77777777" w:rsidR="00C232D7" w:rsidRPr="00F6198B" w:rsidRDefault="00C232D7" w:rsidP="00C232D7">
            <w:pPr>
              <w:spacing w:line="360" w:lineRule="auto"/>
              <w:ind w:left="38"/>
              <w:rPr>
                <w:rFonts w:ascii="Arial" w:hAnsi="Arial" w:cs="Arial"/>
                <w:color w:val="000000"/>
                <w:sz w:val="18"/>
                <w:szCs w:val="18"/>
                <w:lang w:val="sr-Latn-RS"/>
              </w:rPr>
            </w:pPr>
            <w:r w:rsidRPr="00F6198B">
              <w:rPr>
                <w:rFonts w:ascii="Arial" w:hAnsi="Arial" w:cs="Arial"/>
                <w:color w:val="000000"/>
                <w:sz w:val="18"/>
                <w:szCs w:val="18"/>
                <w:lang w:val="sr-Latn-RS"/>
              </w:rPr>
              <w:t>Miješani komunalni i građevinski</w:t>
            </w:r>
          </w:p>
          <w:p w14:paraId="5AD261B8" w14:textId="77777777" w:rsidR="00C232D7" w:rsidRPr="00F6198B" w:rsidRDefault="00C232D7" w:rsidP="00C232D7">
            <w:pPr>
              <w:spacing w:line="360" w:lineRule="auto"/>
              <w:ind w:left="36"/>
              <w:rPr>
                <w:rFonts w:ascii="Arial" w:hAnsi="Arial" w:cs="Arial"/>
                <w:color w:val="000000"/>
                <w:sz w:val="18"/>
                <w:szCs w:val="18"/>
                <w:lang w:val="sr-Latn-RS"/>
              </w:rPr>
            </w:pPr>
          </w:p>
        </w:tc>
        <w:tc>
          <w:tcPr>
            <w:tcW w:w="933" w:type="dxa"/>
            <w:gridSpan w:val="2"/>
            <w:tcBorders>
              <w:top w:val="single" w:sz="2" w:space="0" w:color="000000"/>
              <w:left w:val="single" w:sz="4" w:space="0" w:color="000000"/>
              <w:bottom w:val="single" w:sz="4" w:space="0" w:color="000000"/>
              <w:right w:val="single" w:sz="4" w:space="0" w:color="000000"/>
            </w:tcBorders>
          </w:tcPr>
          <w:p w14:paraId="53FBB06D"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2" w:space="0" w:color="000000"/>
              <w:left w:val="single" w:sz="4" w:space="0" w:color="000000"/>
              <w:bottom w:val="single" w:sz="4" w:space="0" w:color="000000"/>
              <w:right w:val="single" w:sz="4" w:space="0" w:color="000000"/>
            </w:tcBorders>
            <w:shd w:val="clear" w:color="auto" w:fill="00FFFF"/>
          </w:tcPr>
          <w:p w14:paraId="79AC249B"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37DFBA11"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4EB97657"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3BFDD6A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7. </w:t>
            </w:r>
          </w:p>
        </w:tc>
        <w:tc>
          <w:tcPr>
            <w:tcW w:w="3717" w:type="dxa"/>
            <w:gridSpan w:val="7"/>
            <w:tcBorders>
              <w:top w:val="single" w:sz="4" w:space="0" w:color="000000"/>
              <w:left w:val="single" w:sz="4" w:space="0" w:color="000000"/>
              <w:bottom w:val="single" w:sz="2" w:space="0" w:color="000000"/>
              <w:right w:val="single" w:sz="4" w:space="0" w:color="000000"/>
            </w:tcBorders>
          </w:tcPr>
          <w:p w14:paraId="14207F7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Plužine-Dubljevići selo Dubljevići  </w:t>
            </w:r>
          </w:p>
        </w:tc>
        <w:tc>
          <w:tcPr>
            <w:tcW w:w="2929" w:type="dxa"/>
            <w:gridSpan w:val="2"/>
            <w:tcBorders>
              <w:top w:val="single" w:sz="4" w:space="0" w:color="000000"/>
              <w:left w:val="single" w:sz="4" w:space="0" w:color="000000"/>
              <w:bottom w:val="single" w:sz="2" w:space="0" w:color="000000"/>
              <w:right w:val="single" w:sz="4" w:space="0" w:color="000000"/>
            </w:tcBorders>
          </w:tcPr>
          <w:p w14:paraId="3DC7A871" w14:textId="2DADA2C3"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2" w:space="0" w:color="000000"/>
              <w:right w:val="single" w:sz="4" w:space="0" w:color="000000"/>
            </w:tcBorders>
          </w:tcPr>
          <w:p w14:paraId="2F95BC36"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2" w:space="0" w:color="000000"/>
              <w:right w:val="single" w:sz="4" w:space="0" w:color="000000"/>
            </w:tcBorders>
            <w:shd w:val="clear" w:color="auto" w:fill="00FFFF"/>
          </w:tcPr>
          <w:p w14:paraId="1E623032"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1E2040CB"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1CF1F81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09C7630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8. </w:t>
            </w:r>
          </w:p>
        </w:tc>
        <w:tc>
          <w:tcPr>
            <w:tcW w:w="3717" w:type="dxa"/>
            <w:gridSpan w:val="7"/>
            <w:tcBorders>
              <w:top w:val="single" w:sz="2" w:space="0" w:color="000000"/>
              <w:left w:val="single" w:sz="4" w:space="0" w:color="000000"/>
              <w:bottom w:val="single" w:sz="4" w:space="0" w:color="000000"/>
              <w:right w:val="single" w:sz="4" w:space="0" w:color="000000"/>
            </w:tcBorders>
          </w:tcPr>
          <w:p w14:paraId="412DA5E8"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Plužine-</w:t>
            </w:r>
            <w:r w:rsidRPr="00E40CD6">
              <w:rPr>
                <w:rFonts w:ascii="Arial" w:hAnsi="Arial" w:cs="Arial"/>
                <w:color w:val="000000"/>
                <w:sz w:val="18"/>
                <w:szCs w:val="18"/>
                <w:lang w:val="sr-Latn-RS"/>
              </w:rPr>
              <w:t>Bezuje selo Bezuje</w:t>
            </w:r>
            <w:r w:rsidRPr="00F6198B">
              <w:rPr>
                <w:rFonts w:ascii="Arial" w:hAnsi="Arial" w:cs="Arial"/>
                <w:color w:val="000000"/>
                <w:sz w:val="18"/>
                <w:szCs w:val="18"/>
                <w:lang w:val="sr-Latn-RS"/>
              </w:rPr>
              <w:t xml:space="preserve">  </w:t>
            </w:r>
          </w:p>
        </w:tc>
        <w:tc>
          <w:tcPr>
            <w:tcW w:w="2929" w:type="dxa"/>
            <w:gridSpan w:val="2"/>
            <w:tcBorders>
              <w:top w:val="single" w:sz="2" w:space="0" w:color="000000"/>
              <w:left w:val="single" w:sz="4" w:space="0" w:color="000000"/>
              <w:bottom w:val="single" w:sz="4" w:space="0" w:color="000000"/>
              <w:right w:val="single" w:sz="4" w:space="0" w:color="000000"/>
            </w:tcBorders>
          </w:tcPr>
          <w:p w14:paraId="0F4283E2" w14:textId="20C246A6"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2" w:space="0" w:color="000000"/>
              <w:left w:val="single" w:sz="4" w:space="0" w:color="000000"/>
              <w:bottom w:val="single" w:sz="4" w:space="0" w:color="000000"/>
              <w:right w:val="single" w:sz="4" w:space="0" w:color="000000"/>
            </w:tcBorders>
          </w:tcPr>
          <w:p w14:paraId="05CA3D56"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2" w:space="0" w:color="000000"/>
              <w:left w:val="single" w:sz="4" w:space="0" w:color="000000"/>
              <w:bottom w:val="single" w:sz="4" w:space="0" w:color="000000"/>
              <w:right w:val="single" w:sz="4" w:space="0" w:color="000000"/>
            </w:tcBorders>
            <w:shd w:val="clear" w:color="auto" w:fill="00FFFF"/>
          </w:tcPr>
          <w:p w14:paraId="3A9FC39D"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781C44A1" w14:textId="77777777" w:rsidTr="00C232D7">
        <w:tblPrEx>
          <w:tblCellMar>
            <w:top w:w="0" w:type="dxa"/>
          </w:tblCellMar>
        </w:tblPrEx>
        <w:trPr>
          <w:trHeight w:val="204"/>
        </w:trPr>
        <w:tc>
          <w:tcPr>
            <w:tcW w:w="266" w:type="dxa"/>
            <w:vMerge/>
            <w:tcBorders>
              <w:top w:val="nil"/>
              <w:left w:val="single" w:sz="4" w:space="0" w:color="000000"/>
              <w:bottom w:val="nil"/>
              <w:right w:val="single" w:sz="4" w:space="0" w:color="000000"/>
            </w:tcBorders>
          </w:tcPr>
          <w:p w14:paraId="56626EA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193C04BE"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9. </w:t>
            </w:r>
          </w:p>
        </w:tc>
        <w:tc>
          <w:tcPr>
            <w:tcW w:w="3717" w:type="dxa"/>
            <w:gridSpan w:val="7"/>
            <w:tcBorders>
              <w:top w:val="single" w:sz="4" w:space="0" w:color="000000"/>
              <w:left w:val="single" w:sz="4" w:space="0" w:color="000000"/>
              <w:bottom w:val="single" w:sz="4" w:space="0" w:color="000000"/>
              <w:right w:val="single" w:sz="4" w:space="0" w:color="000000"/>
            </w:tcBorders>
          </w:tcPr>
          <w:p w14:paraId="2E8E9B1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Plužine-Nedajno na raskrsnici Nedajno</w:t>
            </w:r>
          </w:p>
        </w:tc>
        <w:tc>
          <w:tcPr>
            <w:tcW w:w="2929" w:type="dxa"/>
            <w:gridSpan w:val="2"/>
            <w:tcBorders>
              <w:top w:val="single" w:sz="4" w:space="0" w:color="000000"/>
              <w:left w:val="single" w:sz="4" w:space="0" w:color="000000"/>
              <w:bottom w:val="single" w:sz="4" w:space="0" w:color="000000"/>
              <w:right w:val="single" w:sz="4" w:space="0" w:color="000000"/>
            </w:tcBorders>
          </w:tcPr>
          <w:p w14:paraId="2FE1297C" w14:textId="6DEB0F88"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6C01493E"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0863CF81"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78160430"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6F81BA3D"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5ED2A9C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10. </w:t>
            </w:r>
          </w:p>
        </w:tc>
        <w:tc>
          <w:tcPr>
            <w:tcW w:w="3717" w:type="dxa"/>
            <w:gridSpan w:val="7"/>
            <w:tcBorders>
              <w:top w:val="single" w:sz="4" w:space="0" w:color="000000"/>
              <w:left w:val="single" w:sz="4" w:space="0" w:color="000000"/>
              <w:bottom w:val="single" w:sz="4" w:space="0" w:color="000000"/>
              <w:right w:val="single" w:sz="4" w:space="0" w:color="000000"/>
            </w:tcBorders>
          </w:tcPr>
          <w:p w14:paraId="52C7F542"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Plužine-Mratinje na ulazu u selo Mratinje </w:t>
            </w:r>
          </w:p>
        </w:tc>
        <w:tc>
          <w:tcPr>
            <w:tcW w:w="2929" w:type="dxa"/>
            <w:gridSpan w:val="2"/>
            <w:tcBorders>
              <w:top w:val="single" w:sz="4" w:space="0" w:color="000000"/>
              <w:left w:val="single" w:sz="4" w:space="0" w:color="000000"/>
              <w:bottom w:val="single" w:sz="4" w:space="0" w:color="000000"/>
              <w:right w:val="single" w:sz="4" w:space="0" w:color="000000"/>
            </w:tcBorders>
          </w:tcPr>
          <w:p w14:paraId="5C18C722" w14:textId="6ED429E3"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3D9C3B3E"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2D9995D6"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6CFF36A0"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7FAB904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73CB1B41"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11. </w:t>
            </w:r>
          </w:p>
        </w:tc>
        <w:tc>
          <w:tcPr>
            <w:tcW w:w="3717" w:type="dxa"/>
            <w:gridSpan w:val="7"/>
            <w:tcBorders>
              <w:top w:val="single" w:sz="4" w:space="0" w:color="000000"/>
              <w:left w:val="single" w:sz="4" w:space="0" w:color="000000"/>
              <w:bottom w:val="single" w:sz="4" w:space="0" w:color="000000"/>
              <w:right w:val="single" w:sz="4" w:space="0" w:color="000000"/>
            </w:tcBorders>
          </w:tcPr>
          <w:p w14:paraId="51E18B9E"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Donja Brezna pilana Brezna</w:t>
            </w:r>
          </w:p>
        </w:tc>
        <w:tc>
          <w:tcPr>
            <w:tcW w:w="2929" w:type="dxa"/>
            <w:gridSpan w:val="2"/>
            <w:tcBorders>
              <w:top w:val="single" w:sz="4" w:space="0" w:color="000000"/>
              <w:left w:val="single" w:sz="4" w:space="0" w:color="000000"/>
              <w:bottom w:val="single" w:sz="4" w:space="0" w:color="000000"/>
              <w:right w:val="single" w:sz="4" w:space="0" w:color="000000"/>
            </w:tcBorders>
          </w:tcPr>
          <w:p w14:paraId="54B601BE"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Drvni otpad </w:t>
            </w:r>
          </w:p>
        </w:tc>
        <w:tc>
          <w:tcPr>
            <w:tcW w:w="933" w:type="dxa"/>
            <w:gridSpan w:val="2"/>
            <w:tcBorders>
              <w:top w:val="single" w:sz="4" w:space="0" w:color="000000"/>
              <w:left w:val="single" w:sz="4" w:space="0" w:color="000000"/>
              <w:bottom w:val="single" w:sz="4" w:space="0" w:color="000000"/>
              <w:right w:val="single" w:sz="4" w:space="0" w:color="000000"/>
            </w:tcBorders>
          </w:tcPr>
          <w:p w14:paraId="656DAB97"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3500</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3B5CAA54"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4ACD2765"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15DF775D"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38F2D92B"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12. </w:t>
            </w:r>
          </w:p>
        </w:tc>
        <w:tc>
          <w:tcPr>
            <w:tcW w:w="3717" w:type="dxa"/>
            <w:gridSpan w:val="7"/>
            <w:tcBorders>
              <w:top w:val="single" w:sz="4" w:space="0" w:color="000000"/>
              <w:left w:val="single" w:sz="4" w:space="0" w:color="000000"/>
              <w:bottom w:val="single" w:sz="2" w:space="0" w:color="000000"/>
              <w:right w:val="single" w:sz="4" w:space="0" w:color="000000"/>
            </w:tcBorders>
          </w:tcPr>
          <w:p w14:paraId="57820ACE"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Plužine-Seoca  </w:t>
            </w:r>
          </w:p>
        </w:tc>
        <w:tc>
          <w:tcPr>
            <w:tcW w:w="2929" w:type="dxa"/>
            <w:gridSpan w:val="2"/>
            <w:tcBorders>
              <w:top w:val="single" w:sz="4" w:space="0" w:color="000000"/>
              <w:left w:val="single" w:sz="4" w:space="0" w:color="000000"/>
              <w:bottom w:val="single" w:sz="2" w:space="0" w:color="000000"/>
              <w:right w:val="single" w:sz="4" w:space="0" w:color="000000"/>
            </w:tcBorders>
          </w:tcPr>
          <w:p w14:paraId="32E565EA" w14:textId="333EDBC9" w:rsidR="00C232D7" w:rsidRPr="00F6198B" w:rsidRDefault="002C3B40" w:rsidP="002C3B40">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2" w:space="0" w:color="000000"/>
              <w:right w:val="single" w:sz="4" w:space="0" w:color="000000"/>
            </w:tcBorders>
          </w:tcPr>
          <w:p w14:paraId="25839D1F"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2" w:space="0" w:color="000000"/>
              <w:right w:val="single" w:sz="4" w:space="0" w:color="000000"/>
            </w:tcBorders>
            <w:shd w:val="clear" w:color="auto" w:fill="00FFFF"/>
          </w:tcPr>
          <w:p w14:paraId="452F834E" w14:textId="77777777" w:rsidR="00C232D7" w:rsidRPr="00F6198B" w:rsidRDefault="00C232D7" w:rsidP="00A23ED0">
            <w:pPr>
              <w:numPr>
                <w:ilvl w:val="0"/>
                <w:numId w:val="26"/>
              </w:numPr>
              <w:spacing w:after="5" w:line="360" w:lineRule="auto"/>
              <w:ind w:right="2"/>
              <w:contextualSpacing/>
              <w:rPr>
                <w:rFonts w:ascii="Arial" w:hAnsi="Arial" w:cs="Arial"/>
                <w:sz w:val="18"/>
                <w:szCs w:val="18"/>
                <w:lang w:val="sr-Latn-RS"/>
              </w:rPr>
            </w:pPr>
          </w:p>
        </w:tc>
      </w:tr>
      <w:tr w:rsidR="00C232D7" w:rsidRPr="00F6198B" w14:paraId="6B95D9B6" w14:textId="77777777" w:rsidTr="00C232D7">
        <w:tblPrEx>
          <w:tblCellMar>
            <w:top w:w="0" w:type="dxa"/>
          </w:tblCellMar>
        </w:tblPrEx>
        <w:trPr>
          <w:trHeight w:val="128"/>
        </w:trPr>
        <w:tc>
          <w:tcPr>
            <w:tcW w:w="266" w:type="dxa"/>
            <w:vMerge/>
            <w:tcBorders>
              <w:top w:val="nil"/>
              <w:left w:val="single" w:sz="4" w:space="0" w:color="000000"/>
              <w:bottom w:val="nil"/>
              <w:right w:val="single" w:sz="4" w:space="0" w:color="000000"/>
            </w:tcBorders>
          </w:tcPr>
          <w:p w14:paraId="3B6D2249"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right w:val="single" w:sz="4" w:space="0" w:color="000000"/>
            </w:tcBorders>
          </w:tcPr>
          <w:p w14:paraId="64C92721"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13. </w:t>
            </w:r>
          </w:p>
        </w:tc>
        <w:tc>
          <w:tcPr>
            <w:tcW w:w="3717" w:type="dxa"/>
            <w:gridSpan w:val="7"/>
            <w:tcBorders>
              <w:top w:val="single" w:sz="2" w:space="0" w:color="000000"/>
              <w:left w:val="single" w:sz="4" w:space="0" w:color="000000"/>
              <w:right w:val="single" w:sz="4" w:space="0" w:color="000000"/>
            </w:tcBorders>
          </w:tcPr>
          <w:p w14:paraId="13EF0A50"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Rudina  </w:t>
            </w:r>
          </w:p>
        </w:tc>
        <w:tc>
          <w:tcPr>
            <w:tcW w:w="2929" w:type="dxa"/>
            <w:gridSpan w:val="2"/>
            <w:tcBorders>
              <w:top w:val="single" w:sz="2" w:space="0" w:color="000000"/>
              <w:left w:val="single" w:sz="4" w:space="0" w:color="000000"/>
              <w:right w:val="single" w:sz="4" w:space="0" w:color="000000"/>
            </w:tcBorders>
          </w:tcPr>
          <w:p w14:paraId="546B5310" w14:textId="5F55E620" w:rsidR="00C232D7" w:rsidRPr="00F6198B" w:rsidRDefault="002C3B40"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2" w:space="0" w:color="000000"/>
              <w:left w:val="single" w:sz="4" w:space="0" w:color="000000"/>
              <w:right w:val="single" w:sz="4" w:space="0" w:color="000000"/>
            </w:tcBorders>
          </w:tcPr>
          <w:p w14:paraId="345E68E7" w14:textId="77777777" w:rsidR="00C232D7" w:rsidRPr="00F6198B" w:rsidRDefault="00C232D7" w:rsidP="00C232D7">
            <w:pPr>
              <w:spacing w:line="360" w:lineRule="auto"/>
              <w:ind w:left="10" w:right="2" w:hanging="10"/>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2" w:space="0" w:color="000000"/>
              <w:left w:val="single" w:sz="4" w:space="0" w:color="000000"/>
              <w:right w:val="single" w:sz="4" w:space="0" w:color="000000"/>
            </w:tcBorders>
            <w:shd w:val="clear" w:color="auto" w:fill="00FFFF"/>
          </w:tcPr>
          <w:p w14:paraId="24EB2276" w14:textId="77777777" w:rsidR="00C232D7" w:rsidRPr="00F6198B" w:rsidRDefault="00C232D7" w:rsidP="00A23ED0">
            <w:pPr>
              <w:numPr>
                <w:ilvl w:val="0"/>
                <w:numId w:val="26"/>
              </w:numPr>
              <w:spacing w:after="5" w:line="360" w:lineRule="auto"/>
              <w:ind w:right="2"/>
              <w:rPr>
                <w:rFonts w:ascii="Arial" w:hAnsi="Arial" w:cs="Arial"/>
                <w:sz w:val="18"/>
                <w:szCs w:val="18"/>
                <w:lang w:val="sr-Latn-RS"/>
              </w:rPr>
            </w:pPr>
          </w:p>
        </w:tc>
      </w:tr>
      <w:tr w:rsidR="00C232D7" w:rsidRPr="00F6198B" w14:paraId="1A944FF8" w14:textId="77777777" w:rsidTr="00C232D7">
        <w:tblPrEx>
          <w:tblCellMar>
            <w:top w:w="0" w:type="dxa"/>
          </w:tblCellMar>
        </w:tblPrEx>
        <w:trPr>
          <w:trHeight w:val="456"/>
        </w:trPr>
        <w:tc>
          <w:tcPr>
            <w:tcW w:w="1276" w:type="dxa"/>
            <w:gridSpan w:val="6"/>
            <w:tcBorders>
              <w:top w:val="double" w:sz="2" w:space="0" w:color="000000"/>
              <w:left w:val="single" w:sz="4" w:space="0" w:color="000000"/>
              <w:bottom w:val="single" w:sz="4" w:space="0" w:color="000000"/>
              <w:right w:val="single" w:sz="4" w:space="0" w:color="000000"/>
            </w:tcBorders>
            <w:shd w:val="clear" w:color="auto" w:fill="EAF1DD"/>
          </w:tcPr>
          <w:p w14:paraId="6ECE1AF1" w14:textId="77777777" w:rsidR="00C232D7" w:rsidRPr="00F6198B" w:rsidRDefault="00C232D7" w:rsidP="00C232D7">
            <w:pPr>
              <w:spacing w:line="360" w:lineRule="auto"/>
              <w:ind w:left="36"/>
              <w:rPr>
                <w:rFonts w:ascii="Arial" w:hAnsi="Arial" w:cs="Arial"/>
                <w:color w:val="000000"/>
                <w:sz w:val="18"/>
                <w:szCs w:val="18"/>
                <w:lang w:val="sr-Latn-RS"/>
              </w:rPr>
            </w:pPr>
          </w:p>
          <w:p w14:paraId="73EC8B41"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17. PETNjICA </w:t>
            </w:r>
          </w:p>
        </w:tc>
        <w:tc>
          <w:tcPr>
            <w:tcW w:w="7154" w:type="dxa"/>
            <w:gridSpan w:val="9"/>
            <w:tcBorders>
              <w:top w:val="double" w:sz="2" w:space="0" w:color="000000"/>
              <w:left w:val="single" w:sz="4" w:space="0" w:color="000000"/>
              <w:bottom w:val="single" w:sz="4" w:space="0" w:color="000000"/>
              <w:right w:val="nil"/>
            </w:tcBorders>
            <w:shd w:val="clear" w:color="auto" w:fill="EAF1DD"/>
          </w:tcPr>
          <w:p w14:paraId="54A7389E" w14:textId="77777777" w:rsidR="00C232D7" w:rsidRPr="00F6198B" w:rsidRDefault="00C232D7" w:rsidP="00C232D7">
            <w:pPr>
              <w:spacing w:after="174" w:line="360" w:lineRule="auto"/>
              <w:ind w:right="704"/>
              <w:rPr>
                <w:rFonts w:ascii="Arial" w:hAnsi="Arial" w:cs="Arial"/>
                <w:color w:val="000000"/>
                <w:sz w:val="18"/>
                <w:szCs w:val="18"/>
                <w:lang w:val="sr-Latn-RS"/>
              </w:rPr>
            </w:pPr>
            <w:r w:rsidRPr="00F6198B">
              <w:rPr>
                <w:rFonts w:ascii="Arial" w:hAnsi="Arial" w:cs="Arial"/>
                <w:color w:val="FF0000"/>
                <w:sz w:val="18"/>
                <w:szCs w:val="18"/>
                <w:lang w:val="sr-Latn-RS"/>
              </w:rPr>
              <w:t xml:space="preserve">               </w:t>
            </w:r>
            <w:r w:rsidRPr="00F6198B">
              <w:rPr>
                <w:rFonts w:ascii="Arial" w:hAnsi="Arial" w:cs="Arial"/>
                <w:color w:val="C00000"/>
                <w:sz w:val="18"/>
                <w:szCs w:val="18"/>
                <w:lang w:val="sr-Latn-RS"/>
              </w:rPr>
              <w:t xml:space="preserve"> </w:t>
            </w:r>
            <w:r w:rsidRPr="00F6198B">
              <w:rPr>
                <w:rFonts w:ascii="Arial" w:hAnsi="Arial" w:cs="Arial"/>
                <w:color w:val="000000"/>
                <w:sz w:val="18"/>
                <w:szCs w:val="18"/>
                <w:lang w:val="sr-Latn-RS"/>
              </w:rPr>
              <w:t xml:space="preserve"> </w:t>
            </w:r>
          </w:p>
        </w:tc>
        <w:tc>
          <w:tcPr>
            <w:tcW w:w="941" w:type="dxa"/>
            <w:tcBorders>
              <w:top w:val="double" w:sz="2" w:space="0" w:color="000000"/>
              <w:left w:val="nil"/>
              <w:bottom w:val="single" w:sz="4" w:space="0" w:color="000000"/>
              <w:right w:val="single" w:sz="4" w:space="0" w:color="000000"/>
            </w:tcBorders>
            <w:shd w:val="clear" w:color="auto" w:fill="EAF1DD"/>
          </w:tcPr>
          <w:p w14:paraId="2E33F6EB"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52E649E7" w14:textId="77777777" w:rsidTr="00C232D7">
        <w:tblPrEx>
          <w:tblCellMar>
            <w:top w:w="0" w:type="dxa"/>
          </w:tblCellMar>
        </w:tblPrEx>
        <w:trPr>
          <w:trHeight w:val="197"/>
        </w:trPr>
        <w:tc>
          <w:tcPr>
            <w:tcW w:w="266" w:type="dxa"/>
            <w:vMerge w:val="restart"/>
            <w:tcBorders>
              <w:top w:val="single" w:sz="4" w:space="0" w:color="000000"/>
              <w:left w:val="single" w:sz="4" w:space="0" w:color="000000"/>
              <w:bottom w:val="double" w:sz="4" w:space="0" w:color="000000"/>
              <w:right w:val="single" w:sz="4" w:space="0" w:color="000000"/>
            </w:tcBorders>
            <w:shd w:val="clear" w:color="auto" w:fill="EAF1DD"/>
            <w:vAlign w:val="center"/>
          </w:tcPr>
          <w:p w14:paraId="46CC9238"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gridSpan w:val="3"/>
            <w:tcBorders>
              <w:top w:val="single" w:sz="4" w:space="0" w:color="000000"/>
              <w:left w:val="single" w:sz="4" w:space="0" w:color="000000"/>
              <w:right w:val="single" w:sz="4" w:space="0" w:color="000000"/>
            </w:tcBorders>
          </w:tcPr>
          <w:p w14:paraId="31123FDE" w14:textId="77777777" w:rsidR="00C232D7" w:rsidRPr="00F6198B" w:rsidRDefault="00C232D7" w:rsidP="00C232D7">
            <w:pPr>
              <w:spacing w:line="360" w:lineRule="auto"/>
              <w:ind w:left="40"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717" w:type="dxa"/>
            <w:gridSpan w:val="7"/>
            <w:tcBorders>
              <w:top w:val="single" w:sz="4" w:space="0" w:color="000000"/>
              <w:left w:val="single" w:sz="4" w:space="0" w:color="000000"/>
              <w:right w:val="single" w:sz="4" w:space="0" w:color="000000"/>
            </w:tcBorders>
          </w:tcPr>
          <w:p w14:paraId="2428F31A" w14:textId="77777777" w:rsidR="00C232D7" w:rsidRPr="00F6198B" w:rsidRDefault="00C232D7" w:rsidP="00C232D7">
            <w:pPr>
              <w:spacing w:line="360" w:lineRule="auto"/>
              <w:ind w:left="35"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MZ Petnjica, Hodrovica </w:t>
            </w:r>
          </w:p>
        </w:tc>
        <w:tc>
          <w:tcPr>
            <w:tcW w:w="2929" w:type="dxa"/>
            <w:gridSpan w:val="2"/>
            <w:tcBorders>
              <w:top w:val="single" w:sz="4" w:space="0" w:color="000000"/>
              <w:left w:val="single" w:sz="4" w:space="0" w:color="000000"/>
              <w:right w:val="single" w:sz="4" w:space="0" w:color="000000"/>
            </w:tcBorders>
          </w:tcPr>
          <w:p w14:paraId="520302E9" w14:textId="6F05C53C" w:rsidR="00C232D7" w:rsidRPr="00F6198B" w:rsidRDefault="002C3B40" w:rsidP="00C232D7">
            <w:pPr>
              <w:spacing w:line="360" w:lineRule="auto"/>
              <w:ind w:left="36" w:hanging="10"/>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right w:val="single" w:sz="4" w:space="0" w:color="000000"/>
            </w:tcBorders>
          </w:tcPr>
          <w:p w14:paraId="58939603" w14:textId="77777777" w:rsidR="00C232D7" w:rsidRPr="00F6198B" w:rsidRDefault="00C232D7" w:rsidP="00C232D7">
            <w:pPr>
              <w:spacing w:line="360" w:lineRule="auto"/>
              <w:ind w:left="36" w:hanging="10"/>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41" w:type="dxa"/>
            <w:tcBorders>
              <w:top w:val="single" w:sz="4" w:space="0" w:color="000000"/>
              <w:left w:val="single" w:sz="4" w:space="0" w:color="000000"/>
              <w:right w:val="single" w:sz="4" w:space="0" w:color="000000"/>
            </w:tcBorders>
            <w:shd w:val="clear" w:color="auto" w:fill="00FFFF"/>
          </w:tcPr>
          <w:p w14:paraId="30EEC41D"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36FEE64"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67ADF3B0"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176A9FCD"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 </w:t>
            </w:r>
          </w:p>
        </w:tc>
        <w:tc>
          <w:tcPr>
            <w:tcW w:w="3717" w:type="dxa"/>
            <w:gridSpan w:val="7"/>
            <w:tcBorders>
              <w:top w:val="single" w:sz="4" w:space="0" w:color="000000"/>
              <w:left w:val="single" w:sz="4" w:space="0" w:color="000000"/>
              <w:bottom w:val="single" w:sz="4" w:space="0" w:color="000000"/>
              <w:right w:val="single" w:sz="4" w:space="0" w:color="000000"/>
            </w:tcBorders>
          </w:tcPr>
          <w:p w14:paraId="70812E6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Petnjica, Kofiljenik </w:t>
            </w:r>
          </w:p>
        </w:tc>
        <w:tc>
          <w:tcPr>
            <w:tcW w:w="2929" w:type="dxa"/>
            <w:gridSpan w:val="2"/>
            <w:tcBorders>
              <w:top w:val="single" w:sz="4" w:space="0" w:color="000000"/>
              <w:left w:val="single" w:sz="4" w:space="0" w:color="000000"/>
              <w:bottom w:val="single" w:sz="4" w:space="0" w:color="000000"/>
              <w:right w:val="single" w:sz="4" w:space="0" w:color="000000"/>
            </w:tcBorders>
          </w:tcPr>
          <w:p w14:paraId="26DED2DB" w14:textId="1D861275"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4D4BEB82"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7496ACCB"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2E17DCD0" w14:textId="77777777" w:rsidTr="00C232D7">
        <w:tblPrEx>
          <w:tblCellMar>
            <w:top w:w="0" w:type="dxa"/>
          </w:tblCellMar>
        </w:tblPrEx>
        <w:trPr>
          <w:trHeight w:val="202"/>
        </w:trPr>
        <w:tc>
          <w:tcPr>
            <w:tcW w:w="266" w:type="dxa"/>
            <w:vMerge/>
            <w:tcBorders>
              <w:top w:val="nil"/>
              <w:left w:val="single" w:sz="4" w:space="0" w:color="000000"/>
              <w:bottom w:val="nil"/>
              <w:right w:val="single" w:sz="4" w:space="0" w:color="000000"/>
            </w:tcBorders>
          </w:tcPr>
          <w:p w14:paraId="08195BE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4FE78422"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717" w:type="dxa"/>
            <w:gridSpan w:val="7"/>
            <w:tcBorders>
              <w:top w:val="single" w:sz="4" w:space="0" w:color="000000"/>
              <w:left w:val="single" w:sz="4" w:space="0" w:color="000000"/>
              <w:bottom w:val="single" w:sz="4" w:space="0" w:color="000000"/>
              <w:right w:val="single" w:sz="4" w:space="0" w:color="000000"/>
            </w:tcBorders>
          </w:tcPr>
          <w:p w14:paraId="7FC4F6AC"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Petnjica, Pecko </w:t>
            </w:r>
          </w:p>
        </w:tc>
        <w:tc>
          <w:tcPr>
            <w:tcW w:w="2929" w:type="dxa"/>
            <w:gridSpan w:val="2"/>
            <w:tcBorders>
              <w:top w:val="single" w:sz="4" w:space="0" w:color="000000"/>
              <w:left w:val="single" w:sz="4" w:space="0" w:color="000000"/>
              <w:bottom w:val="single" w:sz="4" w:space="0" w:color="000000"/>
              <w:right w:val="single" w:sz="4" w:space="0" w:color="000000"/>
            </w:tcBorders>
          </w:tcPr>
          <w:p w14:paraId="42381B05" w14:textId="0CB13B00"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7D717670"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04D9AEE9"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05F48008" w14:textId="77777777" w:rsidTr="00C232D7">
        <w:tblPrEx>
          <w:tblCellMar>
            <w:top w:w="0" w:type="dxa"/>
          </w:tblCellMar>
        </w:tblPrEx>
        <w:trPr>
          <w:trHeight w:val="206"/>
        </w:trPr>
        <w:tc>
          <w:tcPr>
            <w:tcW w:w="266" w:type="dxa"/>
            <w:vMerge/>
            <w:tcBorders>
              <w:top w:val="nil"/>
              <w:left w:val="single" w:sz="4" w:space="0" w:color="000000"/>
              <w:bottom w:val="nil"/>
              <w:right w:val="single" w:sz="4" w:space="0" w:color="000000"/>
            </w:tcBorders>
          </w:tcPr>
          <w:p w14:paraId="647EEBEE"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742DF78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5. </w:t>
            </w:r>
          </w:p>
        </w:tc>
        <w:tc>
          <w:tcPr>
            <w:tcW w:w="3717" w:type="dxa"/>
            <w:gridSpan w:val="7"/>
            <w:tcBorders>
              <w:top w:val="single" w:sz="4" w:space="0" w:color="000000"/>
              <w:left w:val="single" w:sz="4" w:space="0" w:color="000000"/>
              <w:bottom w:val="single" w:sz="4" w:space="0" w:color="000000"/>
              <w:right w:val="single" w:sz="4" w:space="0" w:color="000000"/>
            </w:tcBorders>
          </w:tcPr>
          <w:p w14:paraId="227DEFB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Petnjica, Mackovica 1 </w:t>
            </w:r>
          </w:p>
        </w:tc>
        <w:tc>
          <w:tcPr>
            <w:tcW w:w="2929" w:type="dxa"/>
            <w:gridSpan w:val="2"/>
            <w:tcBorders>
              <w:top w:val="single" w:sz="4" w:space="0" w:color="000000"/>
              <w:left w:val="single" w:sz="4" w:space="0" w:color="000000"/>
              <w:bottom w:val="single" w:sz="4" w:space="0" w:color="000000"/>
              <w:right w:val="single" w:sz="4" w:space="0" w:color="000000"/>
            </w:tcBorders>
          </w:tcPr>
          <w:p w14:paraId="54628BCF" w14:textId="28297B4B"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639A6AD9"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36020131"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813C501"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0FE07479"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30E0F6F6"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6. </w:t>
            </w:r>
          </w:p>
        </w:tc>
        <w:tc>
          <w:tcPr>
            <w:tcW w:w="3717" w:type="dxa"/>
            <w:gridSpan w:val="7"/>
            <w:tcBorders>
              <w:top w:val="single" w:sz="4" w:space="0" w:color="000000"/>
              <w:left w:val="single" w:sz="4" w:space="0" w:color="000000"/>
              <w:bottom w:val="single" w:sz="2" w:space="0" w:color="000000"/>
              <w:right w:val="single" w:sz="4" w:space="0" w:color="000000"/>
            </w:tcBorders>
          </w:tcPr>
          <w:p w14:paraId="416F0D44"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Petnjica, Mačkovica 2 </w:t>
            </w:r>
          </w:p>
        </w:tc>
        <w:tc>
          <w:tcPr>
            <w:tcW w:w="2929" w:type="dxa"/>
            <w:gridSpan w:val="2"/>
            <w:tcBorders>
              <w:top w:val="single" w:sz="4" w:space="0" w:color="000000"/>
              <w:left w:val="single" w:sz="4" w:space="0" w:color="000000"/>
              <w:bottom w:val="single" w:sz="2" w:space="0" w:color="000000"/>
              <w:right w:val="single" w:sz="4" w:space="0" w:color="000000"/>
            </w:tcBorders>
          </w:tcPr>
          <w:p w14:paraId="5C5CB1A2" w14:textId="70900EB5"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2" w:space="0" w:color="000000"/>
              <w:right w:val="single" w:sz="4" w:space="0" w:color="000000"/>
            </w:tcBorders>
          </w:tcPr>
          <w:p w14:paraId="6B177C13"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2" w:space="0" w:color="000000"/>
              <w:right w:val="single" w:sz="4" w:space="0" w:color="000000"/>
            </w:tcBorders>
            <w:shd w:val="clear" w:color="auto" w:fill="00FFFF"/>
          </w:tcPr>
          <w:p w14:paraId="7EFFD823"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2DAB2B7A"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69798ECD"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77684DB3"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7. </w:t>
            </w:r>
          </w:p>
        </w:tc>
        <w:tc>
          <w:tcPr>
            <w:tcW w:w="3717" w:type="dxa"/>
            <w:gridSpan w:val="7"/>
            <w:tcBorders>
              <w:top w:val="single" w:sz="2" w:space="0" w:color="000000"/>
              <w:left w:val="single" w:sz="4" w:space="0" w:color="000000"/>
              <w:bottom w:val="single" w:sz="4" w:space="0" w:color="000000"/>
              <w:right w:val="single" w:sz="4" w:space="0" w:color="000000"/>
            </w:tcBorders>
          </w:tcPr>
          <w:p w14:paraId="7779B63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Petnjica, Brod </w:t>
            </w:r>
          </w:p>
        </w:tc>
        <w:tc>
          <w:tcPr>
            <w:tcW w:w="2929" w:type="dxa"/>
            <w:gridSpan w:val="2"/>
            <w:tcBorders>
              <w:top w:val="single" w:sz="2" w:space="0" w:color="000000"/>
              <w:left w:val="single" w:sz="4" w:space="0" w:color="000000"/>
              <w:bottom w:val="single" w:sz="4" w:space="0" w:color="000000"/>
              <w:right w:val="single" w:sz="4" w:space="0" w:color="000000"/>
            </w:tcBorders>
          </w:tcPr>
          <w:p w14:paraId="134FAB35" w14:textId="1B62633C"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2" w:space="0" w:color="000000"/>
              <w:left w:val="single" w:sz="4" w:space="0" w:color="000000"/>
              <w:bottom w:val="single" w:sz="4" w:space="0" w:color="000000"/>
              <w:right w:val="single" w:sz="4" w:space="0" w:color="000000"/>
            </w:tcBorders>
          </w:tcPr>
          <w:p w14:paraId="7267BA49"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2" w:space="0" w:color="000000"/>
              <w:left w:val="single" w:sz="4" w:space="0" w:color="000000"/>
              <w:bottom w:val="single" w:sz="4" w:space="0" w:color="000000"/>
              <w:right w:val="single" w:sz="4" w:space="0" w:color="000000"/>
            </w:tcBorders>
            <w:shd w:val="clear" w:color="auto" w:fill="00FFFF"/>
          </w:tcPr>
          <w:p w14:paraId="10627EE7"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91A4B15" w14:textId="77777777" w:rsidTr="00C232D7">
        <w:tblPrEx>
          <w:tblCellMar>
            <w:top w:w="0" w:type="dxa"/>
          </w:tblCellMar>
        </w:tblPrEx>
        <w:trPr>
          <w:trHeight w:val="202"/>
        </w:trPr>
        <w:tc>
          <w:tcPr>
            <w:tcW w:w="266" w:type="dxa"/>
            <w:vMerge/>
            <w:tcBorders>
              <w:top w:val="nil"/>
              <w:left w:val="single" w:sz="4" w:space="0" w:color="000000"/>
              <w:bottom w:val="nil"/>
              <w:right w:val="single" w:sz="4" w:space="0" w:color="000000"/>
            </w:tcBorders>
          </w:tcPr>
          <w:p w14:paraId="1AAFACB5"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right w:val="single" w:sz="4" w:space="0" w:color="000000"/>
            </w:tcBorders>
          </w:tcPr>
          <w:p w14:paraId="608156DF"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8. </w:t>
            </w:r>
          </w:p>
        </w:tc>
        <w:tc>
          <w:tcPr>
            <w:tcW w:w="3717" w:type="dxa"/>
            <w:gridSpan w:val="7"/>
            <w:tcBorders>
              <w:top w:val="single" w:sz="4" w:space="0" w:color="000000"/>
              <w:left w:val="single" w:sz="4" w:space="0" w:color="000000"/>
              <w:right w:val="single" w:sz="4" w:space="0" w:color="000000"/>
            </w:tcBorders>
          </w:tcPr>
          <w:p w14:paraId="5CEE8EE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Tucanje, Vranjaci </w:t>
            </w:r>
          </w:p>
        </w:tc>
        <w:tc>
          <w:tcPr>
            <w:tcW w:w="2929" w:type="dxa"/>
            <w:gridSpan w:val="2"/>
            <w:tcBorders>
              <w:top w:val="single" w:sz="4" w:space="0" w:color="000000"/>
              <w:left w:val="single" w:sz="4" w:space="0" w:color="000000"/>
              <w:right w:val="single" w:sz="4" w:space="0" w:color="000000"/>
            </w:tcBorders>
          </w:tcPr>
          <w:p w14:paraId="46ED820C" w14:textId="29DA7F82"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right w:val="single" w:sz="4" w:space="0" w:color="000000"/>
            </w:tcBorders>
          </w:tcPr>
          <w:p w14:paraId="20A2D470"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w:t>
            </w:r>
          </w:p>
        </w:tc>
        <w:tc>
          <w:tcPr>
            <w:tcW w:w="941" w:type="dxa"/>
            <w:tcBorders>
              <w:top w:val="single" w:sz="4" w:space="0" w:color="000000"/>
              <w:left w:val="single" w:sz="4" w:space="0" w:color="000000"/>
              <w:right w:val="single" w:sz="4" w:space="0" w:color="000000"/>
            </w:tcBorders>
            <w:shd w:val="clear" w:color="auto" w:fill="00FFFF"/>
          </w:tcPr>
          <w:p w14:paraId="21BC8A81"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7868AEF0"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60BF44C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24BDC86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10. </w:t>
            </w:r>
          </w:p>
        </w:tc>
        <w:tc>
          <w:tcPr>
            <w:tcW w:w="3717" w:type="dxa"/>
            <w:gridSpan w:val="7"/>
            <w:tcBorders>
              <w:top w:val="single" w:sz="4" w:space="0" w:color="000000"/>
              <w:left w:val="single" w:sz="4" w:space="0" w:color="000000"/>
              <w:bottom w:val="single" w:sz="4" w:space="0" w:color="000000"/>
              <w:right w:val="single" w:sz="4" w:space="0" w:color="000000"/>
            </w:tcBorders>
          </w:tcPr>
          <w:p w14:paraId="1FBDEFE9"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Bor, Glavica </w:t>
            </w:r>
          </w:p>
        </w:tc>
        <w:tc>
          <w:tcPr>
            <w:tcW w:w="2929" w:type="dxa"/>
            <w:gridSpan w:val="2"/>
            <w:tcBorders>
              <w:top w:val="single" w:sz="4" w:space="0" w:color="000000"/>
              <w:left w:val="single" w:sz="4" w:space="0" w:color="000000"/>
              <w:bottom w:val="single" w:sz="4" w:space="0" w:color="000000"/>
              <w:right w:val="single" w:sz="4" w:space="0" w:color="000000"/>
            </w:tcBorders>
          </w:tcPr>
          <w:p w14:paraId="54A984FA" w14:textId="2F91D7CA"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065F41AB"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0F66DE3E"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258AA12" w14:textId="77777777" w:rsidTr="00C232D7">
        <w:tblPrEx>
          <w:tblCellMar>
            <w:top w:w="0" w:type="dxa"/>
          </w:tblCellMar>
        </w:tblPrEx>
        <w:trPr>
          <w:trHeight w:val="202"/>
        </w:trPr>
        <w:tc>
          <w:tcPr>
            <w:tcW w:w="266" w:type="dxa"/>
            <w:vMerge/>
            <w:tcBorders>
              <w:top w:val="nil"/>
              <w:left w:val="single" w:sz="4" w:space="0" w:color="000000"/>
              <w:bottom w:val="nil"/>
              <w:right w:val="single" w:sz="4" w:space="0" w:color="000000"/>
            </w:tcBorders>
          </w:tcPr>
          <w:p w14:paraId="630C12CA"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6139B4E9"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11. </w:t>
            </w:r>
          </w:p>
        </w:tc>
        <w:tc>
          <w:tcPr>
            <w:tcW w:w="3717" w:type="dxa"/>
            <w:gridSpan w:val="7"/>
            <w:tcBorders>
              <w:top w:val="single" w:sz="4" w:space="0" w:color="000000"/>
              <w:left w:val="single" w:sz="4" w:space="0" w:color="000000"/>
              <w:bottom w:val="single" w:sz="4" w:space="0" w:color="000000"/>
              <w:right w:val="single" w:sz="4" w:space="0" w:color="000000"/>
            </w:tcBorders>
          </w:tcPr>
          <w:p w14:paraId="7DDE2D3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Sbor, Cvenjača </w:t>
            </w:r>
          </w:p>
        </w:tc>
        <w:tc>
          <w:tcPr>
            <w:tcW w:w="2929" w:type="dxa"/>
            <w:gridSpan w:val="2"/>
            <w:tcBorders>
              <w:top w:val="single" w:sz="4" w:space="0" w:color="000000"/>
              <w:left w:val="single" w:sz="4" w:space="0" w:color="000000"/>
              <w:bottom w:val="single" w:sz="4" w:space="0" w:color="000000"/>
              <w:right w:val="single" w:sz="4" w:space="0" w:color="000000"/>
            </w:tcBorders>
          </w:tcPr>
          <w:p w14:paraId="4F790692" w14:textId="4C4928E4"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70FDF16B"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592382AA"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7AAB0BC" w14:textId="77777777" w:rsidTr="00C232D7">
        <w:tblPrEx>
          <w:tblCellMar>
            <w:top w:w="0" w:type="dxa"/>
          </w:tblCellMar>
        </w:tblPrEx>
        <w:trPr>
          <w:trHeight w:val="206"/>
        </w:trPr>
        <w:tc>
          <w:tcPr>
            <w:tcW w:w="266" w:type="dxa"/>
            <w:vMerge/>
            <w:tcBorders>
              <w:top w:val="nil"/>
              <w:left w:val="single" w:sz="4" w:space="0" w:color="000000"/>
              <w:bottom w:val="nil"/>
              <w:right w:val="single" w:sz="4" w:space="0" w:color="000000"/>
            </w:tcBorders>
          </w:tcPr>
          <w:p w14:paraId="5E81471C"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2091DD75"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12. </w:t>
            </w:r>
          </w:p>
        </w:tc>
        <w:tc>
          <w:tcPr>
            <w:tcW w:w="3717" w:type="dxa"/>
            <w:gridSpan w:val="7"/>
            <w:tcBorders>
              <w:top w:val="single" w:sz="4" w:space="0" w:color="000000"/>
              <w:left w:val="single" w:sz="4" w:space="0" w:color="000000"/>
              <w:bottom w:val="single" w:sz="4" w:space="0" w:color="000000"/>
              <w:right w:val="single" w:sz="4" w:space="0" w:color="000000"/>
            </w:tcBorders>
          </w:tcPr>
          <w:p w14:paraId="16E994A4"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Sbor, pored škole </w:t>
            </w:r>
          </w:p>
        </w:tc>
        <w:tc>
          <w:tcPr>
            <w:tcW w:w="2929" w:type="dxa"/>
            <w:gridSpan w:val="2"/>
            <w:tcBorders>
              <w:top w:val="single" w:sz="4" w:space="0" w:color="000000"/>
              <w:left w:val="single" w:sz="4" w:space="0" w:color="000000"/>
              <w:bottom w:val="single" w:sz="4" w:space="0" w:color="000000"/>
              <w:right w:val="single" w:sz="4" w:space="0" w:color="000000"/>
            </w:tcBorders>
          </w:tcPr>
          <w:p w14:paraId="19F827D4" w14:textId="35D9AD26"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601CB81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48CF66E1"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5339FF0"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4A4B04D2"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3B04D50A"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13. </w:t>
            </w:r>
          </w:p>
        </w:tc>
        <w:tc>
          <w:tcPr>
            <w:tcW w:w="3717" w:type="dxa"/>
            <w:gridSpan w:val="7"/>
            <w:tcBorders>
              <w:top w:val="single" w:sz="4" w:space="0" w:color="000000"/>
              <w:left w:val="single" w:sz="4" w:space="0" w:color="000000"/>
              <w:bottom w:val="single" w:sz="2" w:space="0" w:color="000000"/>
              <w:right w:val="single" w:sz="4" w:space="0" w:color="000000"/>
            </w:tcBorders>
          </w:tcPr>
          <w:p w14:paraId="436DB7E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Sbor, Zavoji </w:t>
            </w:r>
          </w:p>
        </w:tc>
        <w:tc>
          <w:tcPr>
            <w:tcW w:w="2929" w:type="dxa"/>
            <w:gridSpan w:val="2"/>
            <w:tcBorders>
              <w:top w:val="single" w:sz="4" w:space="0" w:color="000000"/>
              <w:left w:val="single" w:sz="4" w:space="0" w:color="000000"/>
              <w:bottom w:val="single" w:sz="2" w:space="0" w:color="000000"/>
              <w:right w:val="single" w:sz="4" w:space="0" w:color="000000"/>
            </w:tcBorders>
          </w:tcPr>
          <w:p w14:paraId="6335CA06" w14:textId="3DFE23F4"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2" w:space="0" w:color="000000"/>
              <w:right w:val="single" w:sz="4" w:space="0" w:color="000000"/>
            </w:tcBorders>
          </w:tcPr>
          <w:p w14:paraId="21943A99"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2" w:space="0" w:color="000000"/>
              <w:right w:val="single" w:sz="4" w:space="0" w:color="000000"/>
            </w:tcBorders>
            <w:shd w:val="clear" w:color="auto" w:fill="00FFFF"/>
          </w:tcPr>
          <w:p w14:paraId="4E98C112"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03AE50E" w14:textId="77777777" w:rsidTr="00C232D7">
        <w:tblPrEx>
          <w:tblCellMar>
            <w:top w:w="0" w:type="dxa"/>
          </w:tblCellMar>
        </w:tblPrEx>
        <w:trPr>
          <w:trHeight w:val="204"/>
        </w:trPr>
        <w:tc>
          <w:tcPr>
            <w:tcW w:w="266" w:type="dxa"/>
            <w:vMerge/>
            <w:tcBorders>
              <w:top w:val="nil"/>
              <w:left w:val="single" w:sz="4" w:space="0" w:color="000000"/>
              <w:bottom w:val="nil"/>
              <w:right w:val="single" w:sz="4" w:space="0" w:color="000000"/>
            </w:tcBorders>
          </w:tcPr>
          <w:p w14:paraId="388B9035"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5D2808CF"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14. </w:t>
            </w:r>
          </w:p>
        </w:tc>
        <w:tc>
          <w:tcPr>
            <w:tcW w:w="3717" w:type="dxa"/>
            <w:gridSpan w:val="7"/>
            <w:tcBorders>
              <w:top w:val="single" w:sz="2" w:space="0" w:color="000000"/>
              <w:left w:val="single" w:sz="4" w:space="0" w:color="000000"/>
              <w:bottom w:val="single" w:sz="4" w:space="0" w:color="000000"/>
              <w:right w:val="single" w:sz="4" w:space="0" w:color="000000"/>
            </w:tcBorders>
          </w:tcPr>
          <w:p w14:paraId="63E6D8F2"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Sbor, Sadrigaće </w:t>
            </w:r>
          </w:p>
        </w:tc>
        <w:tc>
          <w:tcPr>
            <w:tcW w:w="2929" w:type="dxa"/>
            <w:gridSpan w:val="2"/>
            <w:tcBorders>
              <w:top w:val="single" w:sz="2" w:space="0" w:color="000000"/>
              <w:left w:val="single" w:sz="4" w:space="0" w:color="000000"/>
              <w:bottom w:val="single" w:sz="4" w:space="0" w:color="000000"/>
              <w:right w:val="single" w:sz="4" w:space="0" w:color="000000"/>
            </w:tcBorders>
          </w:tcPr>
          <w:p w14:paraId="2A1D9D66" w14:textId="3C31F1B7"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2" w:space="0" w:color="000000"/>
              <w:left w:val="single" w:sz="4" w:space="0" w:color="000000"/>
              <w:bottom w:val="single" w:sz="4" w:space="0" w:color="000000"/>
              <w:right w:val="single" w:sz="4" w:space="0" w:color="000000"/>
            </w:tcBorders>
          </w:tcPr>
          <w:p w14:paraId="4D2C119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2" w:space="0" w:color="000000"/>
              <w:left w:val="single" w:sz="4" w:space="0" w:color="000000"/>
              <w:bottom w:val="single" w:sz="4" w:space="0" w:color="000000"/>
              <w:right w:val="single" w:sz="4" w:space="0" w:color="000000"/>
            </w:tcBorders>
            <w:shd w:val="clear" w:color="auto" w:fill="00FFFF"/>
          </w:tcPr>
          <w:p w14:paraId="2EABCF42"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4863468" w14:textId="77777777" w:rsidTr="00C232D7">
        <w:tblPrEx>
          <w:tblCellMar>
            <w:top w:w="0" w:type="dxa"/>
          </w:tblCellMar>
        </w:tblPrEx>
        <w:trPr>
          <w:trHeight w:val="204"/>
        </w:trPr>
        <w:tc>
          <w:tcPr>
            <w:tcW w:w="266" w:type="dxa"/>
            <w:vMerge/>
            <w:tcBorders>
              <w:top w:val="nil"/>
              <w:left w:val="single" w:sz="4" w:space="0" w:color="000000"/>
              <w:bottom w:val="nil"/>
              <w:right w:val="single" w:sz="4" w:space="0" w:color="000000"/>
            </w:tcBorders>
          </w:tcPr>
          <w:p w14:paraId="3E7207E7"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37A5FD23"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15. </w:t>
            </w:r>
          </w:p>
        </w:tc>
        <w:tc>
          <w:tcPr>
            <w:tcW w:w="3717" w:type="dxa"/>
            <w:gridSpan w:val="7"/>
            <w:tcBorders>
              <w:top w:val="single" w:sz="4" w:space="0" w:color="000000"/>
              <w:left w:val="single" w:sz="4" w:space="0" w:color="000000"/>
              <w:bottom w:val="single" w:sz="2" w:space="0" w:color="000000"/>
              <w:right w:val="single" w:sz="4" w:space="0" w:color="000000"/>
            </w:tcBorders>
          </w:tcPr>
          <w:p w14:paraId="75ED07D8"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Sbor, Komarev laz </w:t>
            </w:r>
          </w:p>
        </w:tc>
        <w:tc>
          <w:tcPr>
            <w:tcW w:w="2929" w:type="dxa"/>
            <w:gridSpan w:val="2"/>
            <w:tcBorders>
              <w:top w:val="single" w:sz="4" w:space="0" w:color="000000"/>
              <w:left w:val="single" w:sz="4" w:space="0" w:color="000000"/>
              <w:bottom w:val="single" w:sz="2" w:space="0" w:color="000000"/>
              <w:right w:val="single" w:sz="4" w:space="0" w:color="000000"/>
            </w:tcBorders>
          </w:tcPr>
          <w:p w14:paraId="2152EB66" w14:textId="66192D40"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2" w:space="0" w:color="000000"/>
              <w:right w:val="single" w:sz="4" w:space="0" w:color="000000"/>
            </w:tcBorders>
          </w:tcPr>
          <w:p w14:paraId="051D5A56"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2" w:space="0" w:color="000000"/>
              <w:right w:val="single" w:sz="4" w:space="0" w:color="000000"/>
            </w:tcBorders>
            <w:shd w:val="clear" w:color="auto" w:fill="00FFFF"/>
          </w:tcPr>
          <w:p w14:paraId="521F4426"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188D5D8"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7B954202"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28124AD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16. </w:t>
            </w:r>
          </w:p>
        </w:tc>
        <w:tc>
          <w:tcPr>
            <w:tcW w:w="3717" w:type="dxa"/>
            <w:gridSpan w:val="7"/>
            <w:tcBorders>
              <w:top w:val="single" w:sz="2" w:space="0" w:color="000000"/>
              <w:left w:val="single" w:sz="4" w:space="0" w:color="000000"/>
              <w:bottom w:val="single" w:sz="4" w:space="0" w:color="000000"/>
              <w:right w:val="single" w:sz="4" w:space="0" w:color="000000"/>
            </w:tcBorders>
          </w:tcPr>
          <w:p w14:paraId="60CD637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Vrbica, Lazovi </w:t>
            </w:r>
          </w:p>
        </w:tc>
        <w:tc>
          <w:tcPr>
            <w:tcW w:w="2929" w:type="dxa"/>
            <w:gridSpan w:val="2"/>
            <w:tcBorders>
              <w:top w:val="single" w:sz="2" w:space="0" w:color="000000"/>
              <w:left w:val="single" w:sz="4" w:space="0" w:color="000000"/>
              <w:bottom w:val="single" w:sz="4" w:space="0" w:color="000000"/>
              <w:right w:val="single" w:sz="4" w:space="0" w:color="000000"/>
            </w:tcBorders>
          </w:tcPr>
          <w:p w14:paraId="426E55ED" w14:textId="1C1CCD75"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2" w:space="0" w:color="000000"/>
              <w:left w:val="single" w:sz="4" w:space="0" w:color="000000"/>
              <w:bottom w:val="single" w:sz="4" w:space="0" w:color="000000"/>
              <w:right w:val="single" w:sz="4" w:space="0" w:color="000000"/>
            </w:tcBorders>
          </w:tcPr>
          <w:p w14:paraId="1DE342AF"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941" w:type="dxa"/>
            <w:tcBorders>
              <w:top w:val="single" w:sz="2" w:space="0" w:color="000000"/>
              <w:left w:val="single" w:sz="4" w:space="0" w:color="000000"/>
              <w:bottom w:val="single" w:sz="4" w:space="0" w:color="000000"/>
              <w:right w:val="single" w:sz="4" w:space="0" w:color="000000"/>
            </w:tcBorders>
            <w:shd w:val="clear" w:color="auto" w:fill="00FFFF"/>
          </w:tcPr>
          <w:p w14:paraId="32820865"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0CB07FB6" w14:textId="77777777" w:rsidTr="00C232D7">
        <w:tblPrEx>
          <w:tblCellMar>
            <w:top w:w="0" w:type="dxa"/>
          </w:tblCellMar>
        </w:tblPrEx>
        <w:trPr>
          <w:trHeight w:val="206"/>
        </w:trPr>
        <w:tc>
          <w:tcPr>
            <w:tcW w:w="266" w:type="dxa"/>
            <w:vMerge/>
            <w:tcBorders>
              <w:top w:val="nil"/>
              <w:left w:val="single" w:sz="4" w:space="0" w:color="000000"/>
              <w:bottom w:val="nil"/>
              <w:right w:val="single" w:sz="4" w:space="0" w:color="000000"/>
            </w:tcBorders>
          </w:tcPr>
          <w:p w14:paraId="3980A06D"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1697511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17. </w:t>
            </w:r>
          </w:p>
        </w:tc>
        <w:tc>
          <w:tcPr>
            <w:tcW w:w="3717" w:type="dxa"/>
            <w:gridSpan w:val="7"/>
            <w:tcBorders>
              <w:top w:val="single" w:sz="4" w:space="0" w:color="000000"/>
              <w:left w:val="single" w:sz="4" w:space="0" w:color="000000"/>
              <w:bottom w:val="single" w:sz="4" w:space="0" w:color="000000"/>
              <w:right w:val="single" w:sz="4" w:space="0" w:color="000000"/>
            </w:tcBorders>
          </w:tcPr>
          <w:p w14:paraId="460E8A84"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Vrbica, Ravnogorska rijeka </w:t>
            </w:r>
          </w:p>
        </w:tc>
        <w:tc>
          <w:tcPr>
            <w:tcW w:w="2929" w:type="dxa"/>
            <w:gridSpan w:val="2"/>
            <w:tcBorders>
              <w:top w:val="single" w:sz="4" w:space="0" w:color="000000"/>
              <w:left w:val="single" w:sz="4" w:space="0" w:color="000000"/>
              <w:bottom w:val="single" w:sz="4" w:space="0" w:color="000000"/>
              <w:right w:val="single" w:sz="4" w:space="0" w:color="000000"/>
            </w:tcBorders>
          </w:tcPr>
          <w:p w14:paraId="36E4B568" w14:textId="3E38AC93"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7F102D3F"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2AA4BB41"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EFED63F" w14:textId="77777777" w:rsidTr="00C232D7">
        <w:tblPrEx>
          <w:tblCellMar>
            <w:top w:w="0" w:type="dxa"/>
          </w:tblCellMar>
        </w:tblPrEx>
        <w:trPr>
          <w:trHeight w:val="202"/>
        </w:trPr>
        <w:tc>
          <w:tcPr>
            <w:tcW w:w="266" w:type="dxa"/>
            <w:vMerge/>
            <w:tcBorders>
              <w:top w:val="nil"/>
              <w:left w:val="single" w:sz="4" w:space="0" w:color="000000"/>
              <w:bottom w:val="nil"/>
              <w:right w:val="single" w:sz="4" w:space="0" w:color="000000"/>
            </w:tcBorders>
          </w:tcPr>
          <w:p w14:paraId="6A202D7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6F7C87CA"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18. </w:t>
            </w:r>
          </w:p>
        </w:tc>
        <w:tc>
          <w:tcPr>
            <w:tcW w:w="3717" w:type="dxa"/>
            <w:gridSpan w:val="7"/>
            <w:tcBorders>
              <w:top w:val="single" w:sz="4" w:space="0" w:color="000000"/>
              <w:left w:val="single" w:sz="4" w:space="0" w:color="000000"/>
              <w:bottom w:val="single" w:sz="4" w:space="0" w:color="000000"/>
              <w:right w:val="single" w:sz="4" w:space="0" w:color="000000"/>
            </w:tcBorders>
          </w:tcPr>
          <w:p w14:paraId="1772499F"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Vrbica, Hrašće </w:t>
            </w:r>
          </w:p>
        </w:tc>
        <w:tc>
          <w:tcPr>
            <w:tcW w:w="2929" w:type="dxa"/>
            <w:gridSpan w:val="2"/>
            <w:tcBorders>
              <w:top w:val="single" w:sz="4" w:space="0" w:color="000000"/>
              <w:left w:val="single" w:sz="4" w:space="0" w:color="000000"/>
              <w:bottom w:val="single" w:sz="4" w:space="0" w:color="000000"/>
              <w:right w:val="single" w:sz="4" w:space="0" w:color="000000"/>
            </w:tcBorders>
          </w:tcPr>
          <w:p w14:paraId="167F0858" w14:textId="2ABC9886"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226FD88F"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37D3AF74"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82722B0"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216E1850"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17A77E58"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19. </w:t>
            </w:r>
          </w:p>
        </w:tc>
        <w:tc>
          <w:tcPr>
            <w:tcW w:w="3717" w:type="dxa"/>
            <w:gridSpan w:val="7"/>
            <w:tcBorders>
              <w:top w:val="single" w:sz="4" w:space="0" w:color="000000"/>
              <w:left w:val="single" w:sz="4" w:space="0" w:color="000000"/>
              <w:bottom w:val="single" w:sz="4" w:space="0" w:color="000000"/>
              <w:right w:val="single" w:sz="4" w:space="0" w:color="000000"/>
            </w:tcBorders>
          </w:tcPr>
          <w:p w14:paraId="0FA6C22D"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Vrbica, Orahovački  potok </w:t>
            </w:r>
          </w:p>
        </w:tc>
        <w:tc>
          <w:tcPr>
            <w:tcW w:w="2929" w:type="dxa"/>
            <w:gridSpan w:val="2"/>
            <w:tcBorders>
              <w:top w:val="single" w:sz="4" w:space="0" w:color="000000"/>
              <w:left w:val="single" w:sz="4" w:space="0" w:color="000000"/>
              <w:bottom w:val="single" w:sz="4" w:space="0" w:color="000000"/>
              <w:right w:val="single" w:sz="4" w:space="0" w:color="000000"/>
            </w:tcBorders>
          </w:tcPr>
          <w:p w14:paraId="0B73E169" w14:textId="089D31B0" w:rsidR="00C232D7" w:rsidRPr="00F6198B" w:rsidRDefault="002C3B40"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779B414C"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3</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1A24FDBE"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7DFF4FCD" w14:textId="77777777" w:rsidTr="00C232D7">
        <w:tblPrEx>
          <w:tblCellMar>
            <w:top w:w="0" w:type="dxa"/>
          </w:tblCellMar>
        </w:tblPrEx>
        <w:trPr>
          <w:trHeight w:val="197"/>
        </w:trPr>
        <w:tc>
          <w:tcPr>
            <w:tcW w:w="266" w:type="dxa"/>
            <w:vMerge/>
            <w:tcBorders>
              <w:top w:val="nil"/>
              <w:left w:val="single" w:sz="4" w:space="0" w:color="000000"/>
              <w:bottom w:val="nil"/>
              <w:right w:val="single" w:sz="4" w:space="0" w:color="000000"/>
            </w:tcBorders>
          </w:tcPr>
          <w:p w14:paraId="306A8A69"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right w:val="single" w:sz="4" w:space="0" w:color="000000"/>
            </w:tcBorders>
          </w:tcPr>
          <w:p w14:paraId="024CBB22"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20. </w:t>
            </w:r>
          </w:p>
        </w:tc>
        <w:tc>
          <w:tcPr>
            <w:tcW w:w="3717" w:type="dxa"/>
            <w:gridSpan w:val="7"/>
            <w:tcBorders>
              <w:top w:val="single" w:sz="4" w:space="0" w:color="000000"/>
              <w:left w:val="single" w:sz="4" w:space="0" w:color="000000"/>
              <w:right w:val="single" w:sz="4" w:space="0" w:color="000000"/>
            </w:tcBorders>
          </w:tcPr>
          <w:p w14:paraId="54B3CAC9"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Trpeze, Livadak </w:t>
            </w:r>
          </w:p>
        </w:tc>
        <w:tc>
          <w:tcPr>
            <w:tcW w:w="2929" w:type="dxa"/>
            <w:gridSpan w:val="2"/>
            <w:tcBorders>
              <w:top w:val="single" w:sz="4" w:space="0" w:color="000000"/>
              <w:left w:val="single" w:sz="4" w:space="0" w:color="000000"/>
              <w:right w:val="single" w:sz="4" w:space="0" w:color="000000"/>
            </w:tcBorders>
          </w:tcPr>
          <w:p w14:paraId="10776D26" w14:textId="38B3F28A" w:rsidR="00C232D7" w:rsidRPr="00F6198B" w:rsidRDefault="001E5F12"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right w:val="single" w:sz="4" w:space="0" w:color="000000"/>
            </w:tcBorders>
          </w:tcPr>
          <w:p w14:paraId="50A2F30A"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right w:val="single" w:sz="4" w:space="0" w:color="000000"/>
            </w:tcBorders>
            <w:shd w:val="clear" w:color="auto" w:fill="00FFFF"/>
          </w:tcPr>
          <w:p w14:paraId="1652B53B"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0DC9F469"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46A57497"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5476AE47"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22. </w:t>
            </w:r>
          </w:p>
        </w:tc>
        <w:tc>
          <w:tcPr>
            <w:tcW w:w="3717" w:type="dxa"/>
            <w:gridSpan w:val="7"/>
            <w:tcBorders>
              <w:top w:val="single" w:sz="4" w:space="0" w:color="000000"/>
              <w:left w:val="single" w:sz="4" w:space="0" w:color="000000"/>
              <w:bottom w:val="single" w:sz="2" w:space="0" w:color="000000"/>
              <w:right w:val="single" w:sz="4" w:space="0" w:color="000000"/>
            </w:tcBorders>
          </w:tcPr>
          <w:p w14:paraId="6808C96F"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Trpeze, Treški potok </w:t>
            </w:r>
          </w:p>
        </w:tc>
        <w:tc>
          <w:tcPr>
            <w:tcW w:w="2929" w:type="dxa"/>
            <w:gridSpan w:val="2"/>
            <w:tcBorders>
              <w:top w:val="single" w:sz="4" w:space="0" w:color="000000"/>
              <w:left w:val="single" w:sz="4" w:space="0" w:color="000000"/>
              <w:bottom w:val="single" w:sz="2" w:space="0" w:color="000000"/>
              <w:right w:val="single" w:sz="4" w:space="0" w:color="000000"/>
            </w:tcBorders>
          </w:tcPr>
          <w:p w14:paraId="342499E4" w14:textId="5DF2A867" w:rsidR="00C232D7" w:rsidRPr="00F6198B" w:rsidRDefault="001E5F12"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2" w:space="0" w:color="000000"/>
              <w:right w:val="single" w:sz="4" w:space="0" w:color="000000"/>
            </w:tcBorders>
          </w:tcPr>
          <w:p w14:paraId="7B308F40"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2" w:space="0" w:color="000000"/>
              <w:right w:val="single" w:sz="4" w:space="0" w:color="000000"/>
            </w:tcBorders>
            <w:shd w:val="clear" w:color="auto" w:fill="00FFFF"/>
          </w:tcPr>
          <w:p w14:paraId="10F478C6"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706D4BC0"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17B227A1"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28A709E8"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23. </w:t>
            </w:r>
          </w:p>
        </w:tc>
        <w:tc>
          <w:tcPr>
            <w:tcW w:w="3717" w:type="dxa"/>
            <w:gridSpan w:val="7"/>
            <w:tcBorders>
              <w:top w:val="single" w:sz="2" w:space="0" w:color="000000"/>
              <w:left w:val="single" w:sz="4" w:space="0" w:color="000000"/>
              <w:bottom w:val="single" w:sz="4" w:space="0" w:color="000000"/>
              <w:right w:val="single" w:sz="4" w:space="0" w:color="000000"/>
            </w:tcBorders>
          </w:tcPr>
          <w:p w14:paraId="2B33C88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Kalica, pored regional. puta </w:t>
            </w:r>
          </w:p>
        </w:tc>
        <w:tc>
          <w:tcPr>
            <w:tcW w:w="2929" w:type="dxa"/>
            <w:gridSpan w:val="2"/>
            <w:tcBorders>
              <w:top w:val="single" w:sz="2" w:space="0" w:color="000000"/>
              <w:left w:val="single" w:sz="4" w:space="0" w:color="000000"/>
              <w:bottom w:val="single" w:sz="4" w:space="0" w:color="000000"/>
              <w:right w:val="single" w:sz="4" w:space="0" w:color="000000"/>
            </w:tcBorders>
          </w:tcPr>
          <w:p w14:paraId="7CA07BD7" w14:textId="6B114801" w:rsidR="00C232D7" w:rsidRPr="00F6198B" w:rsidRDefault="001E5F12"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2" w:space="0" w:color="000000"/>
              <w:left w:val="single" w:sz="4" w:space="0" w:color="000000"/>
              <w:bottom w:val="single" w:sz="4" w:space="0" w:color="000000"/>
              <w:right w:val="single" w:sz="4" w:space="0" w:color="000000"/>
            </w:tcBorders>
          </w:tcPr>
          <w:p w14:paraId="33BBEC08"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7</w:t>
            </w:r>
          </w:p>
        </w:tc>
        <w:tc>
          <w:tcPr>
            <w:tcW w:w="941" w:type="dxa"/>
            <w:tcBorders>
              <w:top w:val="single" w:sz="2" w:space="0" w:color="000000"/>
              <w:left w:val="single" w:sz="4" w:space="0" w:color="000000"/>
              <w:bottom w:val="single" w:sz="4" w:space="0" w:color="000000"/>
              <w:right w:val="single" w:sz="4" w:space="0" w:color="000000"/>
            </w:tcBorders>
            <w:shd w:val="clear" w:color="auto" w:fill="00FFFF"/>
          </w:tcPr>
          <w:p w14:paraId="4B5AAB5F"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1118EB4"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2C0008B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185A8FED"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24. </w:t>
            </w:r>
          </w:p>
        </w:tc>
        <w:tc>
          <w:tcPr>
            <w:tcW w:w="3717" w:type="dxa"/>
            <w:gridSpan w:val="7"/>
            <w:tcBorders>
              <w:top w:val="single" w:sz="4" w:space="0" w:color="000000"/>
              <w:left w:val="single" w:sz="4" w:space="0" w:color="000000"/>
              <w:bottom w:val="single" w:sz="4" w:space="0" w:color="000000"/>
              <w:right w:val="single" w:sz="4" w:space="0" w:color="000000"/>
            </w:tcBorders>
          </w:tcPr>
          <w:p w14:paraId="655022DB"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Kalica, pored škole </w:t>
            </w:r>
          </w:p>
        </w:tc>
        <w:tc>
          <w:tcPr>
            <w:tcW w:w="2929" w:type="dxa"/>
            <w:gridSpan w:val="2"/>
            <w:tcBorders>
              <w:top w:val="single" w:sz="4" w:space="0" w:color="000000"/>
              <w:left w:val="single" w:sz="4" w:space="0" w:color="000000"/>
              <w:bottom w:val="single" w:sz="4" w:space="0" w:color="000000"/>
              <w:right w:val="single" w:sz="4" w:space="0" w:color="000000"/>
            </w:tcBorders>
          </w:tcPr>
          <w:p w14:paraId="4E560865" w14:textId="6C77EBBB" w:rsidR="00C232D7" w:rsidRPr="00F6198B" w:rsidRDefault="001E5F12"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558CE68D"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1975A397"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66ED8C1E"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299C67BC"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704450B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25. </w:t>
            </w:r>
          </w:p>
        </w:tc>
        <w:tc>
          <w:tcPr>
            <w:tcW w:w="3717" w:type="dxa"/>
            <w:gridSpan w:val="7"/>
            <w:tcBorders>
              <w:top w:val="single" w:sz="4" w:space="0" w:color="000000"/>
              <w:left w:val="single" w:sz="4" w:space="0" w:color="000000"/>
              <w:bottom w:val="single" w:sz="4" w:space="0" w:color="000000"/>
              <w:right w:val="single" w:sz="4" w:space="0" w:color="000000"/>
            </w:tcBorders>
          </w:tcPr>
          <w:p w14:paraId="07D87563"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Javorovača, Izlasci </w:t>
            </w:r>
          </w:p>
        </w:tc>
        <w:tc>
          <w:tcPr>
            <w:tcW w:w="2929" w:type="dxa"/>
            <w:gridSpan w:val="2"/>
            <w:tcBorders>
              <w:top w:val="single" w:sz="4" w:space="0" w:color="000000"/>
              <w:left w:val="single" w:sz="4" w:space="0" w:color="000000"/>
              <w:bottom w:val="single" w:sz="4" w:space="0" w:color="000000"/>
              <w:right w:val="single" w:sz="4" w:space="0" w:color="000000"/>
            </w:tcBorders>
          </w:tcPr>
          <w:p w14:paraId="161C1DC6" w14:textId="16F6E7E0" w:rsidR="00C232D7" w:rsidRPr="00F6198B" w:rsidRDefault="001E5F12"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4FAF015B"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07D3E464"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07E489C6" w14:textId="77777777" w:rsidTr="00C232D7">
        <w:tblPrEx>
          <w:tblCellMar>
            <w:top w:w="0" w:type="dxa"/>
          </w:tblCellMar>
        </w:tblPrEx>
        <w:trPr>
          <w:trHeight w:val="204"/>
        </w:trPr>
        <w:tc>
          <w:tcPr>
            <w:tcW w:w="266" w:type="dxa"/>
            <w:vMerge/>
            <w:tcBorders>
              <w:top w:val="nil"/>
              <w:left w:val="single" w:sz="4" w:space="0" w:color="000000"/>
              <w:bottom w:val="nil"/>
              <w:right w:val="single" w:sz="4" w:space="0" w:color="000000"/>
            </w:tcBorders>
          </w:tcPr>
          <w:p w14:paraId="42255927"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4" w:space="0" w:color="000000"/>
              <w:right w:val="single" w:sz="4" w:space="0" w:color="000000"/>
            </w:tcBorders>
          </w:tcPr>
          <w:p w14:paraId="2DDA097B"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26. </w:t>
            </w:r>
          </w:p>
        </w:tc>
        <w:tc>
          <w:tcPr>
            <w:tcW w:w="3717" w:type="dxa"/>
            <w:gridSpan w:val="7"/>
            <w:tcBorders>
              <w:top w:val="single" w:sz="4" w:space="0" w:color="000000"/>
              <w:left w:val="single" w:sz="4" w:space="0" w:color="000000"/>
              <w:bottom w:val="single" w:sz="4" w:space="0" w:color="000000"/>
              <w:right w:val="single" w:sz="4" w:space="0" w:color="000000"/>
            </w:tcBorders>
          </w:tcPr>
          <w:p w14:paraId="20AA8522"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Javorovača, Kleča </w:t>
            </w:r>
          </w:p>
        </w:tc>
        <w:tc>
          <w:tcPr>
            <w:tcW w:w="2929" w:type="dxa"/>
            <w:gridSpan w:val="2"/>
            <w:tcBorders>
              <w:top w:val="single" w:sz="4" w:space="0" w:color="000000"/>
              <w:left w:val="single" w:sz="4" w:space="0" w:color="000000"/>
              <w:bottom w:val="single" w:sz="4" w:space="0" w:color="000000"/>
              <w:right w:val="single" w:sz="4" w:space="0" w:color="000000"/>
            </w:tcBorders>
          </w:tcPr>
          <w:p w14:paraId="48C22DD6" w14:textId="06040722" w:rsidR="00C232D7" w:rsidRPr="00F6198B" w:rsidRDefault="001E5F12"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4" w:space="0" w:color="000000"/>
              <w:right w:val="single" w:sz="4" w:space="0" w:color="000000"/>
            </w:tcBorders>
          </w:tcPr>
          <w:p w14:paraId="5C654554"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4" w:space="0" w:color="000000"/>
              <w:right w:val="single" w:sz="4" w:space="0" w:color="000000"/>
            </w:tcBorders>
            <w:shd w:val="clear" w:color="auto" w:fill="00FFFF"/>
          </w:tcPr>
          <w:p w14:paraId="34219882"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6206462F"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vAlign w:val="bottom"/>
          </w:tcPr>
          <w:p w14:paraId="65861C89"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6501A908"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27. </w:t>
            </w:r>
          </w:p>
        </w:tc>
        <w:tc>
          <w:tcPr>
            <w:tcW w:w="3717" w:type="dxa"/>
            <w:gridSpan w:val="7"/>
            <w:tcBorders>
              <w:top w:val="single" w:sz="4" w:space="0" w:color="000000"/>
              <w:left w:val="single" w:sz="4" w:space="0" w:color="000000"/>
              <w:bottom w:val="single" w:sz="2" w:space="0" w:color="000000"/>
              <w:right w:val="single" w:sz="4" w:space="0" w:color="000000"/>
            </w:tcBorders>
          </w:tcPr>
          <w:p w14:paraId="0BBE7C04"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Javorovača, Mali do </w:t>
            </w:r>
          </w:p>
        </w:tc>
        <w:tc>
          <w:tcPr>
            <w:tcW w:w="2929" w:type="dxa"/>
            <w:gridSpan w:val="2"/>
            <w:tcBorders>
              <w:top w:val="single" w:sz="4" w:space="0" w:color="000000"/>
              <w:left w:val="single" w:sz="4" w:space="0" w:color="000000"/>
              <w:bottom w:val="single" w:sz="2" w:space="0" w:color="000000"/>
              <w:right w:val="single" w:sz="4" w:space="0" w:color="000000"/>
            </w:tcBorders>
          </w:tcPr>
          <w:p w14:paraId="25A84C58" w14:textId="00F72ABC" w:rsidR="00C232D7" w:rsidRPr="00F6198B" w:rsidRDefault="001E5F12"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2" w:space="0" w:color="000000"/>
              <w:right w:val="single" w:sz="4" w:space="0" w:color="000000"/>
            </w:tcBorders>
          </w:tcPr>
          <w:p w14:paraId="448589DC"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2" w:space="0" w:color="000000"/>
              <w:right w:val="single" w:sz="4" w:space="0" w:color="000000"/>
            </w:tcBorders>
            <w:shd w:val="clear" w:color="auto" w:fill="00FFFF"/>
          </w:tcPr>
          <w:p w14:paraId="5206981C"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0B7456C" w14:textId="77777777" w:rsidTr="00C232D7">
        <w:tblPrEx>
          <w:tblCellMar>
            <w:top w:w="0" w:type="dxa"/>
          </w:tblCellMar>
        </w:tblPrEx>
        <w:trPr>
          <w:trHeight w:val="203"/>
        </w:trPr>
        <w:tc>
          <w:tcPr>
            <w:tcW w:w="266" w:type="dxa"/>
            <w:vMerge/>
            <w:tcBorders>
              <w:top w:val="nil"/>
              <w:left w:val="single" w:sz="4" w:space="0" w:color="000000"/>
              <w:bottom w:val="nil"/>
              <w:right w:val="single" w:sz="4" w:space="0" w:color="000000"/>
            </w:tcBorders>
          </w:tcPr>
          <w:p w14:paraId="25BF550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single" w:sz="4" w:space="0" w:color="000000"/>
              <w:right w:val="single" w:sz="4" w:space="0" w:color="000000"/>
            </w:tcBorders>
          </w:tcPr>
          <w:p w14:paraId="382D290F"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28. </w:t>
            </w:r>
          </w:p>
        </w:tc>
        <w:tc>
          <w:tcPr>
            <w:tcW w:w="3717" w:type="dxa"/>
            <w:gridSpan w:val="7"/>
            <w:tcBorders>
              <w:top w:val="single" w:sz="2" w:space="0" w:color="000000"/>
              <w:left w:val="single" w:sz="4" w:space="0" w:color="000000"/>
              <w:bottom w:val="single" w:sz="4" w:space="0" w:color="000000"/>
              <w:right w:val="single" w:sz="4" w:space="0" w:color="000000"/>
            </w:tcBorders>
          </w:tcPr>
          <w:p w14:paraId="378CFD8A"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Javorovača, Kočanska krivina </w:t>
            </w:r>
          </w:p>
        </w:tc>
        <w:tc>
          <w:tcPr>
            <w:tcW w:w="2929" w:type="dxa"/>
            <w:gridSpan w:val="2"/>
            <w:tcBorders>
              <w:top w:val="single" w:sz="2" w:space="0" w:color="000000"/>
              <w:left w:val="single" w:sz="4" w:space="0" w:color="000000"/>
              <w:bottom w:val="single" w:sz="4" w:space="0" w:color="000000"/>
              <w:right w:val="single" w:sz="4" w:space="0" w:color="000000"/>
            </w:tcBorders>
          </w:tcPr>
          <w:p w14:paraId="36E76FD9" w14:textId="1A8EAD5C" w:rsidR="00C232D7" w:rsidRPr="00F6198B" w:rsidRDefault="001E5F12"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2" w:space="0" w:color="000000"/>
              <w:left w:val="single" w:sz="4" w:space="0" w:color="000000"/>
              <w:bottom w:val="single" w:sz="4" w:space="0" w:color="000000"/>
              <w:right w:val="single" w:sz="4" w:space="0" w:color="000000"/>
            </w:tcBorders>
          </w:tcPr>
          <w:p w14:paraId="67BAB411"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2" w:space="0" w:color="000000"/>
              <w:left w:val="single" w:sz="4" w:space="0" w:color="000000"/>
              <w:bottom w:val="single" w:sz="4" w:space="0" w:color="000000"/>
              <w:right w:val="single" w:sz="4" w:space="0" w:color="000000"/>
            </w:tcBorders>
            <w:shd w:val="clear" w:color="auto" w:fill="00FFFF"/>
          </w:tcPr>
          <w:p w14:paraId="009AE106"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0F537BA8" w14:textId="77777777" w:rsidTr="00C232D7">
        <w:tblPrEx>
          <w:tblCellMar>
            <w:top w:w="0" w:type="dxa"/>
          </w:tblCellMar>
        </w:tblPrEx>
        <w:trPr>
          <w:trHeight w:val="205"/>
        </w:trPr>
        <w:tc>
          <w:tcPr>
            <w:tcW w:w="266" w:type="dxa"/>
            <w:vMerge/>
            <w:tcBorders>
              <w:top w:val="nil"/>
              <w:left w:val="single" w:sz="4" w:space="0" w:color="000000"/>
              <w:bottom w:val="nil"/>
              <w:right w:val="single" w:sz="4" w:space="0" w:color="000000"/>
            </w:tcBorders>
          </w:tcPr>
          <w:p w14:paraId="21EF1A74"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4" w:space="0" w:color="000000"/>
              <w:left w:val="single" w:sz="4" w:space="0" w:color="000000"/>
              <w:bottom w:val="single" w:sz="2" w:space="0" w:color="000000"/>
              <w:right w:val="single" w:sz="4" w:space="0" w:color="000000"/>
            </w:tcBorders>
          </w:tcPr>
          <w:p w14:paraId="6CD68764"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29. </w:t>
            </w:r>
          </w:p>
        </w:tc>
        <w:tc>
          <w:tcPr>
            <w:tcW w:w="3717" w:type="dxa"/>
            <w:gridSpan w:val="7"/>
            <w:tcBorders>
              <w:top w:val="single" w:sz="4" w:space="0" w:color="000000"/>
              <w:left w:val="single" w:sz="4" w:space="0" w:color="000000"/>
              <w:bottom w:val="single" w:sz="2" w:space="0" w:color="000000"/>
              <w:right w:val="single" w:sz="4" w:space="0" w:color="000000"/>
            </w:tcBorders>
          </w:tcPr>
          <w:p w14:paraId="7D14EA74"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Kruščica, Čuka 1 </w:t>
            </w:r>
          </w:p>
        </w:tc>
        <w:tc>
          <w:tcPr>
            <w:tcW w:w="2929" w:type="dxa"/>
            <w:gridSpan w:val="2"/>
            <w:tcBorders>
              <w:top w:val="single" w:sz="4" w:space="0" w:color="000000"/>
              <w:left w:val="single" w:sz="4" w:space="0" w:color="000000"/>
              <w:bottom w:val="single" w:sz="2" w:space="0" w:color="000000"/>
              <w:right w:val="single" w:sz="4" w:space="0" w:color="000000"/>
            </w:tcBorders>
          </w:tcPr>
          <w:p w14:paraId="26737055" w14:textId="242D6337" w:rsidR="00C232D7" w:rsidRPr="00F6198B" w:rsidRDefault="001E5F12"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4" w:space="0" w:color="000000"/>
              <w:left w:val="single" w:sz="4" w:space="0" w:color="000000"/>
              <w:bottom w:val="single" w:sz="2" w:space="0" w:color="000000"/>
              <w:right w:val="single" w:sz="4" w:space="0" w:color="000000"/>
            </w:tcBorders>
          </w:tcPr>
          <w:p w14:paraId="35A94106"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4" w:space="0" w:color="000000"/>
              <w:left w:val="single" w:sz="4" w:space="0" w:color="000000"/>
              <w:bottom w:val="single" w:sz="2" w:space="0" w:color="000000"/>
              <w:right w:val="single" w:sz="4" w:space="0" w:color="000000"/>
            </w:tcBorders>
            <w:shd w:val="clear" w:color="auto" w:fill="00FFFF"/>
          </w:tcPr>
          <w:p w14:paraId="39305C58"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A6A6863" w14:textId="77777777" w:rsidTr="00C232D7">
        <w:tblPrEx>
          <w:tblCellMar>
            <w:top w:w="0" w:type="dxa"/>
          </w:tblCellMar>
        </w:tblPrEx>
        <w:trPr>
          <w:trHeight w:val="242"/>
        </w:trPr>
        <w:tc>
          <w:tcPr>
            <w:tcW w:w="266" w:type="dxa"/>
            <w:vMerge/>
            <w:tcBorders>
              <w:top w:val="nil"/>
              <w:left w:val="single" w:sz="4" w:space="0" w:color="000000"/>
              <w:bottom w:val="double" w:sz="4" w:space="0" w:color="000000"/>
              <w:right w:val="single" w:sz="4" w:space="0" w:color="000000"/>
            </w:tcBorders>
          </w:tcPr>
          <w:p w14:paraId="10BB8DC9"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gridSpan w:val="3"/>
            <w:tcBorders>
              <w:top w:val="single" w:sz="2" w:space="0" w:color="000000"/>
              <w:left w:val="single" w:sz="4" w:space="0" w:color="000000"/>
              <w:bottom w:val="double" w:sz="4" w:space="0" w:color="000000"/>
              <w:right w:val="single" w:sz="4" w:space="0" w:color="000000"/>
            </w:tcBorders>
          </w:tcPr>
          <w:p w14:paraId="063B22E0" w14:textId="77777777" w:rsidR="00C232D7" w:rsidRPr="00F6198B" w:rsidRDefault="00C232D7" w:rsidP="00C232D7">
            <w:pPr>
              <w:spacing w:line="360" w:lineRule="auto"/>
              <w:ind w:left="40"/>
              <w:rPr>
                <w:rFonts w:ascii="Arial" w:hAnsi="Arial" w:cs="Arial"/>
                <w:color w:val="000000"/>
                <w:sz w:val="18"/>
                <w:szCs w:val="18"/>
                <w:lang w:val="sr-Latn-RS"/>
              </w:rPr>
            </w:pPr>
            <w:r w:rsidRPr="00F6198B">
              <w:rPr>
                <w:rFonts w:ascii="Arial" w:hAnsi="Arial" w:cs="Arial"/>
                <w:color w:val="000000"/>
                <w:sz w:val="18"/>
                <w:szCs w:val="18"/>
                <w:lang w:val="sr-Latn-RS"/>
              </w:rPr>
              <w:t xml:space="preserve">30. </w:t>
            </w:r>
          </w:p>
        </w:tc>
        <w:tc>
          <w:tcPr>
            <w:tcW w:w="3717" w:type="dxa"/>
            <w:gridSpan w:val="7"/>
            <w:tcBorders>
              <w:top w:val="single" w:sz="2" w:space="0" w:color="000000"/>
              <w:left w:val="single" w:sz="4" w:space="0" w:color="000000"/>
              <w:bottom w:val="double" w:sz="4" w:space="0" w:color="000000"/>
              <w:right w:val="single" w:sz="4" w:space="0" w:color="000000"/>
            </w:tcBorders>
          </w:tcPr>
          <w:p w14:paraId="25B5B076" w14:textId="77777777" w:rsidR="00C232D7" w:rsidRPr="00F6198B" w:rsidRDefault="00C232D7" w:rsidP="00C232D7">
            <w:pPr>
              <w:spacing w:line="360" w:lineRule="auto"/>
              <w:ind w:left="35"/>
              <w:rPr>
                <w:rFonts w:ascii="Arial" w:hAnsi="Arial" w:cs="Arial"/>
                <w:color w:val="000000"/>
                <w:sz w:val="18"/>
                <w:szCs w:val="18"/>
                <w:lang w:val="sr-Latn-RS"/>
              </w:rPr>
            </w:pPr>
            <w:r w:rsidRPr="00F6198B">
              <w:rPr>
                <w:rFonts w:ascii="Arial" w:hAnsi="Arial" w:cs="Arial"/>
                <w:color w:val="000000"/>
                <w:sz w:val="18"/>
                <w:szCs w:val="18"/>
                <w:lang w:val="sr-Latn-RS"/>
              </w:rPr>
              <w:t xml:space="preserve">MZ Kruščica, Čuka 2 </w:t>
            </w:r>
          </w:p>
        </w:tc>
        <w:tc>
          <w:tcPr>
            <w:tcW w:w="2929" w:type="dxa"/>
            <w:gridSpan w:val="2"/>
            <w:tcBorders>
              <w:top w:val="single" w:sz="2" w:space="0" w:color="000000"/>
              <w:left w:val="single" w:sz="4" w:space="0" w:color="000000"/>
              <w:bottom w:val="double" w:sz="4" w:space="0" w:color="000000"/>
              <w:right w:val="single" w:sz="4" w:space="0" w:color="000000"/>
            </w:tcBorders>
          </w:tcPr>
          <w:p w14:paraId="463F647A" w14:textId="59BA22CE" w:rsidR="00C232D7" w:rsidRPr="00F6198B" w:rsidRDefault="001E5F12"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3" w:type="dxa"/>
            <w:gridSpan w:val="2"/>
            <w:tcBorders>
              <w:top w:val="single" w:sz="2" w:space="0" w:color="000000"/>
              <w:left w:val="single" w:sz="4" w:space="0" w:color="000000"/>
              <w:bottom w:val="double" w:sz="4" w:space="0" w:color="000000"/>
              <w:right w:val="single" w:sz="4" w:space="0" w:color="000000"/>
            </w:tcBorders>
          </w:tcPr>
          <w:p w14:paraId="08FE6C59" w14:textId="77777777" w:rsidR="00C232D7" w:rsidRPr="00F6198B" w:rsidRDefault="00C232D7" w:rsidP="00C232D7">
            <w:pPr>
              <w:spacing w:line="360" w:lineRule="auto"/>
              <w:ind w:left="36"/>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41" w:type="dxa"/>
            <w:tcBorders>
              <w:top w:val="single" w:sz="2" w:space="0" w:color="000000"/>
              <w:left w:val="single" w:sz="4" w:space="0" w:color="000000"/>
              <w:bottom w:val="double" w:sz="4" w:space="0" w:color="000000"/>
              <w:right w:val="single" w:sz="4" w:space="0" w:color="000000"/>
            </w:tcBorders>
            <w:shd w:val="clear" w:color="auto" w:fill="00FFFF"/>
          </w:tcPr>
          <w:p w14:paraId="238F4583"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bl>
    <w:p w14:paraId="6F3387D6" w14:textId="77777777" w:rsidR="00C232D7" w:rsidRPr="00F6198B" w:rsidRDefault="00C232D7" w:rsidP="00C232D7">
      <w:pPr>
        <w:spacing w:line="360" w:lineRule="auto"/>
        <w:rPr>
          <w:rFonts w:ascii="Arial" w:eastAsia="Times New Roman" w:hAnsi="Arial" w:cs="Arial"/>
          <w:color w:val="000000"/>
          <w:sz w:val="18"/>
          <w:szCs w:val="18"/>
          <w:lang w:val="sr-Latn-RS"/>
        </w:rPr>
      </w:pPr>
      <w:r w:rsidRPr="00F6198B">
        <w:rPr>
          <w:rFonts w:ascii="Arial" w:eastAsia="Times New Roman" w:hAnsi="Arial" w:cs="Arial"/>
          <w:color w:val="000000"/>
          <w:sz w:val="18"/>
          <w:szCs w:val="18"/>
          <w:lang w:val="sr-Latn-RS"/>
        </w:rPr>
        <w:t xml:space="preserve"> </w:t>
      </w:r>
      <w:r w:rsidRPr="00F6198B">
        <w:rPr>
          <w:rFonts w:ascii="Arial" w:eastAsia="Times New Roman" w:hAnsi="Arial" w:cs="Arial"/>
          <w:color w:val="000000"/>
          <w:sz w:val="18"/>
          <w:szCs w:val="18"/>
          <w:lang w:val="sr-Latn-RS"/>
        </w:rPr>
        <w:tab/>
      </w:r>
      <w:r w:rsidRPr="00F6198B">
        <w:rPr>
          <w:rFonts w:ascii="Arial" w:eastAsia="Times New Roman" w:hAnsi="Arial" w:cs="Arial"/>
          <w:i/>
          <w:color w:val="C00000"/>
          <w:sz w:val="18"/>
          <w:szCs w:val="18"/>
          <w:lang w:val="sr-Latn-RS"/>
        </w:rPr>
        <w:t xml:space="preserve">   </w:t>
      </w:r>
      <w:r w:rsidRPr="00F6198B">
        <w:rPr>
          <w:rFonts w:ascii="Arial" w:eastAsia="Times New Roman" w:hAnsi="Arial" w:cs="Arial"/>
          <w:color w:val="C00000"/>
          <w:sz w:val="18"/>
          <w:szCs w:val="18"/>
          <w:lang w:val="sr-Latn-RS"/>
        </w:rPr>
        <w:t xml:space="preserve">  </w:t>
      </w:r>
    </w:p>
    <w:tbl>
      <w:tblPr>
        <w:tblStyle w:val="TableGrid20"/>
        <w:tblW w:w="9325" w:type="dxa"/>
        <w:tblInd w:w="-101" w:type="dxa"/>
        <w:tblCellMar>
          <w:left w:w="92" w:type="dxa"/>
          <w:right w:w="77" w:type="dxa"/>
        </w:tblCellMar>
        <w:tblLook w:val="04A0" w:firstRow="1" w:lastRow="0" w:firstColumn="1" w:lastColumn="0" w:noHBand="0" w:noVBand="1"/>
      </w:tblPr>
      <w:tblGrid>
        <w:gridCol w:w="220"/>
        <w:gridCol w:w="585"/>
        <w:gridCol w:w="455"/>
        <w:gridCol w:w="137"/>
        <w:gridCol w:w="129"/>
        <w:gridCol w:w="2997"/>
        <w:gridCol w:w="2934"/>
        <w:gridCol w:w="931"/>
        <w:gridCol w:w="937"/>
      </w:tblGrid>
      <w:tr w:rsidR="00C232D7" w:rsidRPr="00F6198B" w14:paraId="7F3C20D8" w14:textId="77777777" w:rsidTr="00C232D7">
        <w:trPr>
          <w:trHeight w:val="203"/>
        </w:trPr>
        <w:tc>
          <w:tcPr>
            <w:tcW w:w="1260" w:type="dxa"/>
            <w:gridSpan w:val="3"/>
            <w:tcBorders>
              <w:top w:val="single" w:sz="2" w:space="0" w:color="000000"/>
              <w:left w:val="single" w:sz="4" w:space="0" w:color="000000"/>
              <w:bottom w:val="single" w:sz="4" w:space="0" w:color="000000"/>
              <w:right w:val="single" w:sz="4" w:space="0" w:color="000000"/>
            </w:tcBorders>
            <w:shd w:val="clear" w:color="auto" w:fill="EAF1DD"/>
          </w:tcPr>
          <w:p w14:paraId="26EF0FD5" w14:textId="77777777" w:rsidR="00C232D7" w:rsidRPr="00F6198B" w:rsidRDefault="00C232D7" w:rsidP="00C232D7">
            <w:pPr>
              <w:spacing w:line="360" w:lineRule="auto"/>
              <w:ind w:left="8"/>
              <w:rPr>
                <w:rFonts w:ascii="Arial" w:hAnsi="Arial" w:cs="Arial"/>
                <w:color w:val="000000"/>
                <w:sz w:val="18"/>
                <w:szCs w:val="18"/>
                <w:lang w:val="sr-Latn-RS"/>
              </w:rPr>
            </w:pPr>
          </w:p>
          <w:p w14:paraId="3C3F3838" w14:textId="77777777" w:rsidR="00C232D7" w:rsidRPr="00F6198B" w:rsidRDefault="00C232D7" w:rsidP="00C232D7">
            <w:pPr>
              <w:spacing w:line="360" w:lineRule="auto"/>
              <w:ind w:left="8"/>
              <w:rPr>
                <w:rFonts w:ascii="Arial" w:hAnsi="Arial" w:cs="Arial"/>
                <w:color w:val="000000"/>
                <w:sz w:val="18"/>
                <w:szCs w:val="18"/>
                <w:lang w:val="sr-Latn-RS"/>
              </w:rPr>
            </w:pPr>
            <w:r w:rsidRPr="00E62109">
              <w:rPr>
                <w:rFonts w:ascii="Arial" w:hAnsi="Arial" w:cs="Arial"/>
                <w:color w:val="000000"/>
                <w:sz w:val="16"/>
                <w:szCs w:val="18"/>
                <w:lang w:val="sr-Latn-RS"/>
              </w:rPr>
              <w:t xml:space="preserve">18. PLJEVLJA </w:t>
            </w:r>
          </w:p>
        </w:tc>
        <w:tc>
          <w:tcPr>
            <w:tcW w:w="3263" w:type="dxa"/>
            <w:gridSpan w:val="3"/>
            <w:tcBorders>
              <w:top w:val="single" w:sz="2" w:space="0" w:color="000000"/>
              <w:left w:val="single" w:sz="4" w:space="0" w:color="000000"/>
              <w:bottom w:val="single" w:sz="4" w:space="0" w:color="000000"/>
              <w:right w:val="nil"/>
            </w:tcBorders>
            <w:shd w:val="clear" w:color="auto" w:fill="EAF1DD"/>
          </w:tcPr>
          <w:p w14:paraId="605C8E04"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2934" w:type="dxa"/>
            <w:tcBorders>
              <w:top w:val="single" w:sz="2" w:space="0" w:color="000000"/>
              <w:left w:val="nil"/>
              <w:bottom w:val="single" w:sz="4" w:space="0" w:color="000000"/>
              <w:right w:val="nil"/>
            </w:tcBorders>
            <w:shd w:val="clear" w:color="auto" w:fill="EAF1DD"/>
          </w:tcPr>
          <w:p w14:paraId="59C108D7" w14:textId="77777777" w:rsidR="00C232D7" w:rsidRPr="00F6198B" w:rsidRDefault="00C232D7" w:rsidP="00C232D7">
            <w:pPr>
              <w:spacing w:after="160" w:line="360" w:lineRule="auto"/>
              <w:rPr>
                <w:rFonts w:ascii="Arial" w:hAnsi="Arial" w:cs="Arial"/>
                <w:color w:val="000000"/>
                <w:sz w:val="18"/>
                <w:szCs w:val="18"/>
                <w:lang w:val="sr-Latn-RS"/>
              </w:rPr>
            </w:pPr>
          </w:p>
        </w:tc>
        <w:tc>
          <w:tcPr>
            <w:tcW w:w="931" w:type="dxa"/>
            <w:tcBorders>
              <w:top w:val="single" w:sz="2" w:space="0" w:color="000000"/>
              <w:left w:val="nil"/>
              <w:bottom w:val="single" w:sz="4" w:space="0" w:color="000000"/>
              <w:right w:val="single" w:sz="4" w:space="0" w:color="000000"/>
            </w:tcBorders>
            <w:shd w:val="clear" w:color="auto" w:fill="EAF1DD"/>
          </w:tcPr>
          <w:p w14:paraId="5D7D14B1" w14:textId="77777777" w:rsidR="00C232D7" w:rsidRPr="00F6198B" w:rsidRDefault="00C232D7" w:rsidP="00C232D7">
            <w:pPr>
              <w:spacing w:after="160" w:line="360" w:lineRule="auto"/>
              <w:rPr>
                <w:rFonts w:ascii="Arial" w:hAnsi="Arial" w:cs="Arial"/>
                <w:color w:val="000000"/>
                <w:sz w:val="18"/>
                <w:szCs w:val="18"/>
                <w:lang w:val="sr-Latn-RS"/>
              </w:rPr>
            </w:pPr>
          </w:p>
        </w:tc>
        <w:tc>
          <w:tcPr>
            <w:tcW w:w="937" w:type="dxa"/>
            <w:tcBorders>
              <w:top w:val="single" w:sz="2" w:space="0" w:color="000000"/>
              <w:left w:val="single" w:sz="4" w:space="0" w:color="000000"/>
              <w:bottom w:val="single" w:sz="4" w:space="0" w:color="000000"/>
              <w:right w:val="single" w:sz="4" w:space="0" w:color="000000"/>
            </w:tcBorders>
            <w:shd w:val="clear" w:color="auto" w:fill="EAF1DD"/>
          </w:tcPr>
          <w:p w14:paraId="228FBC6B"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r>
      <w:tr w:rsidR="00C232D7" w:rsidRPr="00F6198B" w14:paraId="55A2E25C" w14:textId="77777777" w:rsidTr="00C232D7">
        <w:trPr>
          <w:trHeight w:val="204"/>
        </w:trPr>
        <w:tc>
          <w:tcPr>
            <w:tcW w:w="220" w:type="dxa"/>
            <w:vMerge w:val="restart"/>
            <w:tcBorders>
              <w:top w:val="single" w:sz="4" w:space="0" w:color="000000"/>
              <w:left w:val="single" w:sz="4" w:space="0" w:color="000000"/>
              <w:bottom w:val="single" w:sz="2" w:space="0" w:color="000000"/>
              <w:right w:val="single" w:sz="4" w:space="0" w:color="000000"/>
            </w:tcBorders>
            <w:shd w:val="clear" w:color="auto" w:fill="EAF1DD"/>
            <w:vAlign w:val="center"/>
          </w:tcPr>
          <w:p w14:paraId="40C505B7"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tcBorders>
              <w:top w:val="single" w:sz="4" w:space="0" w:color="000000"/>
              <w:left w:val="single" w:sz="4" w:space="0" w:color="000000"/>
              <w:bottom w:val="single" w:sz="4" w:space="0" w:color="000000"/>
              <w:right w:val="single" w:sz="4" w:space="0" w:color="000000"/>
            </w:tcBorders>
          </w:tcPr>
          <w:p w14:paraId="61791213"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718" w:type="dxa"/>
            <w:gridSpan w:val="4"/>
            <w:tcBorders>
              <w:top w:val="single" w:sz="4" w:space="0" w:color="000000"/>
              <w:left w:val="single" w:sz="4" w:space="0" w:color="000000"/>
              <w:bottom w:val="single" w:sz="4" w:space="0" w:color="000000"/>
              <w:right w:val="single" w:sz="4" w:space="0" w:color="000000"/>
            </w:tcBorders>
          </w:tcPr>
          <w:p w14:paraId="7CB73F83"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Vrbica, pored puta Veznišnica-Bobovo </w:t>
            </w:r>
          </w:p>
        </w:tc>
        <w:tc>
          <w:tcPr>
            <w:tcW w:w="2934" w:type="dxa"/>
            <w:tcBorders>
              <w:top w:val="single" w:sz="4" w:space="0" w:color="000000"/>
              <w:left w:val="single" w:sz="4" w:space="0" w:color="000000"/>
              <w:bottom w:val="single" w:sz="4" w:space="0" w:color="000000"/>
              <w:right w:val="single" w:sz="4" w:space="0" w:color="000000"/>
            </w:tcBorders>
          </w:tcPr>
          <w:p w14:paraId="1D0C71EA" w14:textId="359CB13E"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4" w:space="0" w:color="000000"/>
              <w:right w:val="single" w:sz="4" w:space="0" w:color="000000"/>
            </w:tcBorders>
          </w:tcPr>
          <w:p w14:paraId="017AD216"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37" w:type="dxa"/>
            <w:tcBorders>
              <w:top w:val="single" w:sz="4" w:space="0" w:color="000000"/>
              <w:left w:val="single" w:sz="4" w:space="0" w:color="000000"/>
              <w:bottom w:val="single" w:sz="4" w:space="0" w:color="000000"/>
              <w:right w:val="single" w:sz="4" w:space="0" w:color="000000"/>
            </w:tcBorders>
            <w:shd w:val="clear" w:color="auto" w:fill="00FFFF"/>
          </w:tcPr>
          <w:p w14:paraId="5FDA52AF"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79E4D71" w14:textId="77777777" w:rsidTr="00C232D7">
        <w:trPr>
          <w:trHeight w:val="204"/>
        </w:trPr>
        <w:tc>
          <w:tcPr>
            <w:tcW w:w="0" w:type="auto"/>
            <w:vMerge/>
            <w:tcBorders>
              <w:top w:val="nil"/>
              <w:left w:val="single" w:sz="4" w:space="0" w:color="000000"/>
              <w:bottom w:val="nil"/>
              <w:right w:val="single" w:sz="4" w:space="0" w:color="000000"/>
            </w:tcBorders>
          </w:tcPr>
          <w:p w14:paraId="64D2C01B"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0420C01A"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718" w:type="dxa"/>
            <w:gridSpan w:val="4"/>
            <w:tcBorders>
              <w:top w:val="single" w:sz="4" w:space="0" w:color="000000"/>
              <w:left w:val="single" w:sz="4" w:space="0" w:color="000000"/>
              <w:bottom w:val="single" w:sz="4" w:space="0" w:color="000000"/>
              <w:right w:val="single" w:sz="4" w:space="0" w:color="000000"/>
            </w:tcBorders>
          </w:tcPr>
          <w:p w14:paraId="77765552"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Kraljeva gora, pored  puta Kruševo - Glibaći </w:t>
            </w:r>
          </w:p>
        </w:tc>
        <w:tc>
          <w:tcPr>
            <w:tcW w:w="2934" w:type="dxa"/>
            <w:tcBorders>
              <w:top w:val="single" w:sz="4" w:space="0" w:color="000000"/>
              <w:left w:val="single" w:sz="4" w:space="0" w:color="000000"/>
              <w:bottom w:val="single" w:sz="4" w:space="0" w:color="000000"/>
              <w:right w:val="single" w:sz="4" w:space="0" w:color="000000"/>
            </w:tcBorders>
          </w:tcPr>
          <w:p w14:paraId="11B42D9E" w14:textId="0F32257B"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4" w:space="0" w:color="000000"/>
              <w:right w:val="single" w:sz="4" w:space="0" w:color="000000"/>
            </w:tcBorders>
          </w:tcPr>
          <w:p w14:paraId="4846BF92"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37" w:type="dxa"/>
            <w:tcBorders>
              <w:top w:val="single" w:sz="4" w:space="0" w:color="000000"/>
              <w:left w:val="single" w:sz="4" w:space="0" w:color="000000"/>
              <w:bottom w:val="single" w:sz="4" w:space="0" w:color="000000"/>
              <w:right w:val="single" w:sz="4" w:space="0" w:color="000000"/>
            </w:tcBorders>
            <w:shd w:val="clear" w:color="auto" w:fill="00FFFF"/>
          </w:tcPr>
          <w:p w14:paraId="5D300E37"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F2B3512" w14:textId="77777777" w:rsidTr="00C232D7">
        <w:trPr>
          <w:trHeight w:val="204"/>
        </w:trPr>
        <w:tc>
          <w:tcPr>
            <w:tcW w:w="0" w:type="auto"/>
            <w:vMerge/>
            <w:tcBorders>
              <w:top w:val="nil"/>
              <w:left w:val="single" w:sz="4" w:space="0" w:color="000000"/>
              <w:bottom w:val="nil"/>
              <w:right w:val="single" w:sz="4" w:space="0" w:color="000000"/>
            </w:tcBorders>
          </w:tcPr>
          <w:p w14:paraId="2F0DAC6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3A9B1E9E"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3. </w:t>
            </w:r>
          </w:p>
        </w:tc>
        <w:tc>
          <w:tcPr>
            <w:tcW w:w="3718" w:type="dxa"/>
            <w:gridSpan w:val="4"/>
            <w:tcBorders>
              <w:top w:val="single" w:sz="4" w:space="0" w:color="000000"/>
              <w:left w:val="single" w:sz="4" w:space="0" w:color="000000"/>
              <w:bottom w:val="single" w:sz="4" w:space="0" w:color="000000"/>
              <w:right w:val="single" w:sz="4" w:space="0" w:color="000000"/>
            </w:tcBorders>
          </w:tcPr>
          <w:p w14:paraId="6BF26644"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Kruševo, Krvavci </w:t>
            </w:r>
          </w:p>
        </w:tc>
        <w:tc>
          <w:tcPr>
            <w:tcW w:w="2934" w:type="dxa"/>
            <w:tcBorders>
              <w:top w:val="single" w:sz="4" w:space="0" w:color="000000"/>
              <w:left w:val="single" w:sz="4" w:space="0" w:color="000000"/>
              <w:bottom w:val="single" w:sz="4" w:space="0" w:color="000000"/>
              <w:right w:val="single" w:sz="4" w:space="0" w:color="000000"/>
            </w:tcBorders>
          </w:tcPr>
          <w:p w14:paraId="4D4A3ADC" w14:textId="23BF5654"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4" w:space="0" w:color="000000"/>
              <w:right w:val="single" w:sz="4" w:space="0" w:color="000000"/>
            </w:tcBorders>
          </w:tcPr>
          <w:p w14:paraId="33C0E303"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37" w:type="dxa"/>
            <w:tcBorders>
              <w:top w:val="single" w:sz="4" w:space="0" w:color="000000"/>
              <w:left w:val="single" w:sz="4" w:space="0" w:color="000000"/>
              <w:bottom w:val="single" w:sz="4" w:space="0" w:color="000000"/>
              <w:right w:val="single" w:sz="4" w:space="0" w:color="000000"/>
            </w:tcBorders>
            <w:shd w:val="clear" w:color="auto" w:fill="00FFFF"/>
          </w:tcPr>
          <w:p w14:paraId="09D1C2CF"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08DAC008" w14:textId="77777777" w:rsidTr="00C232D7">
        <w:trPr>
          <w:trHeight w:val="205"/>
        </w:trPr>
        <w:tc>
          <w:tcPr>
            <w:tcW w:w="0" w:type="auto"/>
            <w:vMerge/>
            <w:tcBorders>
              <w:top w:val="nil"/>
              <w:left w:val="single" w:sz="4" w:space="0" w:color="000000"/>
              <w:bottom w:val="nil"/>
              <w:right w:val="single" w:sz="4" w:space="0" w:color="000000"/>
            </w:tcBorders>
          </w:tcPr>
          <w:p w14:paraId="479FE462"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2" w:space="0" w:color="000000"/>
              <w:right w:val="single" w:sz="4" w:space="0" w:color="000000"/>
            </w:tcBorders>
          </w:tcPr>
          <w:p w14:paraId="5C094C35"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718" w:type="dxa"/>
            <w:gridSpan w:val="4"/>
            <w:tcBorders>
              <w:top w:val="single" w:sz="4" w:space="0" w:color="000000"/>
              <w:left w:val="single" w:sz="4" w:space="0" w:color="000000"/>
              <w:bottom w:val="single" w:sz="2" w:space="0" w:color="000000"/>
              <w:right w:val="single" w:sz="4" w:space="0" w:color="000000"/>
            </w:tcBorders>
          </w:tcPr>
          <w:p w14:paraId="6BBD6777"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Jakupov grob </w:t>
            </w:r>
          </w:p>
        </w:tc>
        <w:tc>
          <w:tcPr>
            <w:tcW w:w="2934" w:type="dxa"/>
            <w:tcBorders>
              <w:top w:val="single" w:sz="4" w:space="0" w:color="000000"/>
              <w:left w:val="single" w:sz="4" w:space="0" w:color="000000"/>
              <w:bottom w:val="single" w:sz="2" w:space="0" w:color="000000"/>
              <w:right w:val="single" w:sz="4" w:space="0" w:color="000000"/>
            </w:tcBorders>
          </w:tcPr>
          <w:p w14:paraId="5C3734BE" w14:textId="31C8AEC2"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2" w:space="0" w:color="000000"/>
              <w:right w:val="single" w:sz="4" w:space="0" w:color="000000"/>
            </w:tcBorders>
          </w:tcPr>
          <w:p w14:paraId="4CEF483F"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37" w:type="dxa"/>
            <w:tcBorders>
              <w:top w:val="single" w:sz="4" w:space="0" w:color="000000"/>
              <w:left w:val="single" w:sz="4" w:space="0" w:color="000000"/>
              <w:bottom w:val="single" w:sz="2" w:space="0" w:color="000000"/>
              <w:right w:val="single" w:sz="4" w:space="0" w:color="000000"/>
            </w:tcBorders>
            <w:shd w:val="clear" w:color="auto" w:fill="00FFFF"/>
          </w:tcPr>
          <w:p w14:paraId="12B36FF5"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7CEFA4E1" w14:textId="77777777" w:rsidTr="00C232D7">
        <w:trPr>
          <w:trHeight w:val="203"/>
        </w:trPr>
        <w:tc>
          <w:tcPr>
            <w:tcW w:w="0" w:type="auto"/>
            <w:vMerge/>
            <w:tcBorders>
              <w:top w:val="nil"/>
              <w:left w:val="single" w:sz="4" w:space="0" w:color="000000"/>
              <w:bottom w:val="nil"/>
              <w:right w:val="single" w:sz="4" w:space="0" w:color="000000"/>
            </w:tcBorders>
          </w:tcPr>
          <w:p w14:paraId="4B05A4F5"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2" w:space="0" w:color="000000"/>
              <w:left w:val="single" w:sz="4" w:space="0" w:color="000000"/>
              <w:bottom w:val="single" w:sz="4" w:space="0" w:color="000000"/>
              <w:right w:val="single" w:sz="4" w:space="0" w:color="000000"/>
            </w:tcBorders>
          </w:tcPr>
          <w:p w14:paraId="329631BB"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5. </w:t>
            </w:r>
          </w:p>
        </w:tc>
        <w:tc>
          <w:tcPr>
            <w:tcW w:w="3718" w:type="dxa"/>
            <w:gridSpan w:val="4"/>
            <w:tcBorders>
              <w:top w:val="single" w:sz="2" w:space="0" w:color="000000"/>
              <w:left w:val="single" w:sz="4" w:space="0" w:color="000000"/>
              <w:bottom w:val="single" w:sz="4" w:space="0" w:color="000000"/>
              <w:right w:val="single" w:sz="4" w:space="0" w:color="000000"/>
            </w:tcBorders>
          </w:tcPr>
          <w:p w14:paraId="46FEADE5"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Lijeska, Mijakovići </w:t>
            </w:r>
          </w:p>
        </w:tc>
        <w:tc>
          <w:tcPr>
            <w:tcW w:w="2934" w:type="dxa"/>
            <w:tcBorders>
              <w:top w:val="single" w:sz="2" w:space="0" w:color="000000"/>
              <w:left w:val="single" w:sz="4" w:space="0" w:color="000000"/>
              <w:bottom w:val="single" w:sz="4" w:space="0" w:color="000000"/>
              <w:right w:val="single" w:sz="4" w:space="0" w:color="000000"/>
            </w:tcBorders>
          </w:tcPr>
          <w:p w14:paraId="336217AA" w14:textId="4076F0B9"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2" w:space="0" w:color="000000"/>
              <w:left w:val="single" w:sz="4" w:space="0" w:color="000000"/>
              <w:bottom w:val="single" w:sz="4" w:space="0" w:color="000000"/>
              <w:right w:val="single" w:sz="4" w:space="0" w:color="000000"/>
            </w:tcBorders>
          </w:tcPr>
          <w:p w14:paraId="553296B2"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37" w:type="dxa"/>
            <w:tcBorders>
              <w:top w:val="single" w:sz="2" w:space="0" w:color="000000"/>
              <w:left w:val="single" w:sz="4" w:space="0" w:color="000000"/>
              <w:bottom w:val="single" w:sz="4" w:space="0" w:color="000000"/>
              <w:right w:val="single" w:sz="4" w:space="0" w:color="000000"/>
            </w:tcBorders>
            <w:shd w:val="clear" w:color="auto" w:fill="00FFFF"/>
          </w:tcPr>
          <w:p w14:paraId="10CBFE83"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7D5DE4A1" w14:textId="77777777" w:rsidTr="00C232D7">
        <w:trPr>
          <w:trHeight w:val="202"/>
        </w:trPr>
        <w:tc>
          <w:tcPr>
            <w:tcW w:w="0" w:type="auto"/>
            <w:vMerge/>
            <w:tcBorders>
              <w:top w:val="nil"/>
              <w:left w:val="single" w:sz="4" w:space="0" w:color="000000"/>
              <w:bottom w:val="nil"/>
              <w:right w:val="single" w:sz="4" w:space="0" w:color="000000"/>
            </w:tcBorders>
          </w:tcPr>
          <w:p w14:paraId="10953BE9"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2" w:space="0" w:color="000000"/>
              <w:right w:val="single" w:sz="4" w:space="0" w:color="000000"/>
            </w:tcBorders>
          </w:tcPr>
          <w:p w14:paraId="482809F9"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6. </w:t>
            </w:r>
          </w:p>
        </w:tc>
        <w:tc>
          <w:tcPr>
            <w:tcW w:w="3718" w:type="dxa"/>
            <w:gridSpan w:val="4"/>
            <w:tcBorders>
              <w:top w:val="single" w:sz="4" w:space="0" w:color="000000"/>
              <w:left w:val="single" w:sz="4" w:space="0" w:color="000000"/>
              <w:bottom w:val="single" w:sz="2" w:space="0" w:color="000000"/>
              <w:right w:val="single" w:sz="4" w:space="0" w:color="000000"/>
            </w:tcBorders>
          </w:tcPr>
          <w:p w14:paraId="4313755E"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Krakalice </w:t>
            </w:r>
          </w:p>
        </w:tc>
        <w:tc>
          <w:tcPr>
            <w:tcW w:w="2934" w:type="dxa"/>
            <w:tcBorders>
              <w:top w:val="single" w:sz="4" w:space="0" w:color="000000"/>
              <w:left w:val="single" w:sz="4" w:space="0" w:color="000000"/>
              <w:bottom w:val="single" w:sz="2" w:space="0" w:color="000000"/>
              <w:right w:val="single" w:sz="4" w:space="0" w:color="000000"/>
            </w:tcBorders>
          </w:tcPr>
          <w:p w14:paraId="5C8A5DCE" w14:textId="7ABD7A33"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2" w:space="0" w:color="000000"/>
              <w:right w:val="single" w:sz="4" w:space="0" w:color="000000"/>
            </w:tcBorders>
          </w:tcPr>
          <w:p w14:paraId="433D8CB1"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37" w:type="dxa"/>
            <w:tcBorders>
              <w:top w:val="single" w:sz="4" w:space="0" w:color="000000"/>
              <w:left w:val="single" w:sz="4" w:space="0" w:color="000000"/>
              <w:bottom w:val="single" w:sz="2" w:space="0" w:color="000000"/>
              <w:right w:val="single" w:sz="4" w:space="0" w:color="000000"/>
            </w:tcBorders>
            <w:shd w:val="clear" w:color="auto" w:fill="00FFFF"/>
          </w:tcPr>
          <w:p w14:paraId="2B4B2883"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2943F5BF" w14:textId="77777777" w:rsidTr="00C232D7">
        <w:trPr>
          <w:trHeight w:val="85"/>
        </w:trPr>
        <w:tc>
          <w:tcPr>
            <w:tcW w:w="0" w:type="auto"/>
            <w:vMerge/>
            <w:tcBorders>
              <w:top w:val="nil"/>
              <w:left w:val="single" w:sz="4" w:space="0" w:color="000000"/>
              <w:bottom w:val="single" w:sz="2" w:space="0" w:color="000000"/>
              <w:right w:val="single" w:sz="4" w:space="0" w:color="000000"/>
            </w:tcBorders>
          </w:tcPr>
          <w:p w14:paraId="1618F9CA" w14:textId="77777777" w:rsidR="00C232D7" w:rsidRPr="00F6198B" w:rsidRDefault="00C232D7" w:rsidP="00C232D7">
            <w:pPr>
              <w:spacing w:after="160" w:line="360" w:lineRule="auto"/>
              <w:rPr>
                <w:rFonts w:ascii="Arial" w:hAnsi="Arial" w:cs="Arial"/>
                <w:color w:val="000000"/>
                <w:sz w:val="18"/>
                <w:szCs w:val="18"/>
                <w:lang w:val="sr-Latn-RS"/>
              </w:rPr>
            </w:pPr>
          </w:p>
        </w:tc>
        <w:tc>
          <w:tcPr>
            <w:tcW w:w="4303" w:type="dxa"/>
            <w:gridSpan w:val="5"/>
            <w:tcBorders>
              <w:top w:val="single" w:sz="2" w:space="0" w:color="000000"/>
              <w:left w:val="single" w:sz="4" w:space="0" w:color="000000"/>
              <w:bottom w:val="single" w:sz="2" w:space="0" w:color="000000"/>
              <w:right w:val="nil"/>
            </w:tcBorders>
          </w:tcPr>
          <w:p w14:paraId="57337341"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2934" w:type="dxa"/>
            <w:tcBorders>
              <w:top w:val="single" w:sz="2" w:space="0" w:color="000000"/>
              <w:left w:val="nil"/>
              <w:bottom w:val="single" w:sz="2" w:space="0" w:color="000000"/>
              <w:right w:val="single" w:sz="4" w:space="0" w:color="000000"/>
            </w:tcBorders>
          </w:tcPr>
          <w:p w14:paraId="6BD95948" w14:textId="77777777" w:rsidR="00C232D7" w:rsidRPr="00F6198B" w:rsidRDefault="00C232D7" w:rsidP="00C232D7">
            <w:pPr>
              <w:spacing w:after="160" w:line="360" w:lineRule="auto"/>
              <w:rPr>
                <w:rFonts w:ascii="Arial" w:hAnsi="Arial" w:cs="Arial"/>
                <w:color w:val="000000"/>
                <w:sz w:val="18"/>
                <w:szCs w:val="18"/>
                <w:lang w:val="sr-Latn-RS"/>
              </w:rPr>
            </w:pPr>
          </w:p>
        </w:tc>
        <w:tc>
          <w:tcPr>
            <w:tcW w:w="931" w:type="dxa"/>
            <w:tcBorders>
              <w:top w:val="single" w:sz="2" w:space="0" w:color="000000"/>
              <w:left w:val="single" w:sz="4" w:space="0" w:color="000000"/>
              <w:bottom w:val="single" w:sz="2" w:space="0" w:color="000000"/>
              <w:right w:val="nil"/>
            </w:tcBorders>
          </w:tcPr>
          <w:p w14:paraId="0C4302BD"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37" w:type="dxa"/>
            <w:tcBorders>
              <w:top w:val="single" w:sz="2" w:space="0" w:color="000000"/>
              <w:left w:val="nil"/>
              <w:bottom w:val="single" w:sz="2" w:space="0" w:color="000000"/>
              <w:right w:val="single" w:sz="4" w:space="0" w:color="000000"/>
            </w:tcBorders>
          </w:tcPr>
          <w:p w14:paraId="01CCCF93"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487B4911" w14:textId="77777777" w:rsidTr="00C232D7">
        <w:trPr>
          <w:trHeight w:val="204"/>
        </w:trPr>
        <w:tc>
          <w:tcPr>
            <w:tcW w:w="1526" w:type="dxa"/>
            <w:gridSpan w:val="5"/>
            <w:tcBorders>
              <w:top w:val="single" w:sz="2" w:space="0" w:color="000000"/>
              <w:left w:val="single" w:sz="4" w:space="0" w:color="000000"/>
              <w:bottom w:val="single" w:sz="4" w:space="0" w:color="000000"/>
              <w:right w:val="single" w:sz="2" w:space="0" w:color="000000"/>
            </w:tcBorders>
            <w:shd w:val="clear" w:color="auto" w:fill="EAF1DD"/>
          </w:tcPr>
          <w:p w14:paraId="2F3774D6" w14:textId="77777777" w:rsidR="00C232D7" w:rsidRPr="00F6198B" w:rsidRDefault="00C232D7" w:rsidP="00C232D7">
            <w:pPr>
              <w:spacing w:line="360" w:lineRule="auto"/>
              <w:ind w:left="8"/>
              <w:rPr>
                <w:rFonts w:ascii="Arial" w:hAnsi="Arial" w:cs="Arial"/>
                <w:color w:val="000000"/>
                <w:sz w:val="18"/>
                <w:szCs w:val="18"/>
                <w:lang w:val="sr-Latn-RS"/>
              </w:rPr>
            </w:pPr>
          </w:p>
          <w:p w14:paraId="7D89F50E"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19. ROŽAJE </w:t>
            </w:r>
          </w:p>
        </w:tc>
        <w:tc>
          <w:tcPr>
            <w:tcW w:w="2997" w:type="dxa"/>
            <w:tcBorders>
              <w:top w:val="single" w:sz="2" w:space="0" w:color="000000"/>
              <w:left w:val="single" w:sz="2" w:space="0" w:color="000000"/>
              <w:bottom w:val="single" w:sz="4" w:space="0" w:color="000000"/>
              <w:right w:val="nil"/>
            </w:tcBorders>
            <w:shd w:val="clear" w:color="auto" w:fill="EAF1DD"/>
          </w:tcPr>
          <w:p w14:paraId="308B0695"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2934" w:type="dxa"/>
            <w:tcBorders>
              <w:top w:val="single" w:sz="2" w:space="0" w:color="000000"/>
              <w:left w:val="nil"/>
              <w:bottom w:val="single" w:sz="4" w:space="0" w:color="000000"/>
              <w:right w:val="nil"/>
            </w:tcBorders>
            <w:shd w:val="clear" w:color="auto" w:fill="EAF1DD"/>
          </w:tcPr>
          <w:p w14:paraId="60885C91" w14:textId="77777777" w:rsidR="00C232D7" w:rsidRPr="00F6198B" w:rsidRDefault="00C232D7" w:rsidP="00C232D7">
            <w:pPr>
              <w:spacing w:after="160" w:line="360" w:lineRule="auto"/>
              <w:rPr>
                <w:rFonts w:ascii="Arial" w:hAnsi="Arial" w:cs="Arial"/>
                <w:color w:val="000000"/>
                <w:sz w:val="18"/>
                <w:szCs w:val="18"/>
                <w:lang w:val="sr-Latn-RS"/>
              </w:rPr>
            </w:pPr>
          </w:p>
        </w:tc>
        <w:tc>
          <w:tcPr>
            <w:tcW w:w="931" w:type="dxa"/>
            <w:tcBorders>
              <w:top w:val="single" w:sz="2" w:space="0" w:color="000000"/>
              <w:left w:val="nil"/>
              <w:bottom w:val="single" w:sz="4" w:space="0" w:color="000000"/>
              <w:right w:val="nil"/>
            </w:tcBorders>
            <w:shd w:val="clear" w:color="auto" w:fill="EAF1DD"/>
          </w:tcPr>
          <w:p w14:paraId="6A5409BB" w14:textId="77777777" w:rsidR="00C232D7" w:rsidRPr="00F6198B" w:rsidRDefault="00C232D7" w:rsidP="00C232D7">
            <w:pPr>
              <w:spacing w:after="160" w:line="360" w:lineRule="auto"/>
              <w:rPr>
                <w:rFonts w:ascii="Arial" w:hAnsi="Arial" w:cs="Arial"/>
                <w:color w:val="000000"/>
                <w:sz w:val="18"/>
                <w:szCs w:val="18"/>
                <w:lang w:val="sr-Latn-RS"/>
              </w:rPr>
            </w:pPr>
          </w:p>
        </w:tc>
        <w:tc>
          <w:tcPr>
            <w:tcW w:w="937" w:type="dxa"/>
            <w:tcBorders>
              <w:top w:val="single" w:sz="2" w:space="0" w:color="000000"/>
              <w:left w:val="nil"/>
              <w:bottom w:val="single" w:sz="4" w:space="0" w:color="000000"/>
              <w:right w:val="single" w:sz="4" w:space="0" w:color="000000"/>
            </w:tcBorders>
            <w:shd w:val="clear" w:color="auto" w:fill="EAF1DD"/>
          </w:tcPr>
          <w:p w14:paraId="350629B8"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00B833C2" w14:textId="77777777" w:rsidTr="00C232D7">
        <w:trPr>
          <w:trHeight w:val="204"/>
        </w:trPr>
        <w:tc>
          <w:tcPr>
            <w:tcW w:w="220" w:type="dxa"/>
            <w:vMerge w:val="restart"/>
            <w:tcBorders>
              <w:top w:val="single" w:sz="4" w:space="0" w:color="000000"/>
              <w:left w:val="single" w:sz="4" w:space="0" w:color="000000"/>
              <w:bottom w:val="single" w:sz="2" w:space="0" w:color="000000"/>
              <w:right w:val="single" w:sz="4" w:space="0" w:color="000000"/>
            </w:tcBorders>
            <w:shd w:val="clear" w:color="auto" w:fill="EAF1DD"/>
            <w:vAlign w:val="center"/>
          </w:tcPr>
          <w:p w14:paraId="3CAEE71E"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tcBorders>
              <w:top w:val="single" w:sz="4" w:space="0" w:color="000000"/>
              <w:left w:val="single" w:sz="4" w:space="0" w:color="000000"/>
              <w:bottom w:val="single" w:sz="2" w:space="0" w:color="000000"/>
              <w:right w:val="single" w:sz="4" w:space="0" w:color="000000"/>
            </w:tcBorders>
          </w:tcPr>
          <w:p w14:paraId="1CE550DA"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718" w:type="dxa"/>
            <w:gridSpan w:val="4"/>
            <w:tcBorders>
              <w:top w:val="single" w:sz="4" w:space="0" w:color="000000"/>
              <w:left w:val="single" w:sz="4" w:space="0" w:color="000000"/>
              <w:bottom w:val="single" w:sz="2" w:space="0" w:color="000000"/>
              <w:right w:val="single" w:sz="4" w:space="0" w:color="000000"/>
            </w:tcBorders>
          </w:tcPr>
          <w:p w14:paraId="245B84B4" w14:textId="69D1A320"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Pećka zaobilaznica prema Crnji </w:t>
            </w:r>
          </w:p>
        </w:tc>
        <w:tc>
          <w:tcPr>
            <w:tcW w:w="2934" w:type="dxa"/>
            <w:tcBorders>
              <w:top w:val="single" w:sz="4" w:space="0" w:color="000000"/>
              <w:left w:val="single" w:sz="4" w:space="0" w:color="000000"/>
              <w:bottom w:val="single" w:sz="2" w:space="0" w:color="000000"/>
              <w:right w:val="single" w:sz="4" w:space="0" w:color="000000"/>
            </w:tcBorders>
          </w:tcPr>
          <w:p w14:paraId="65FEA822" w14:textId="4B7AE2CC"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4" w:space="0" w:color="000000"/>
              <w:left w:val="single" w:sz="4" w:space="0" w:color="000000"/>
              <w:bottom w:val="single" w:sz="2" w:space="0" w:color="000000"/>
              <w:right w:val="single" w:sz="4" w:space="0" w:color="000000"/>
            </w:tcBorders>
          </w:tcPr>
          <w:p w14:paraId="758509C6"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37" w:type="dxa"/>
            <w:tcBorders>
              <w:top w:val="single" w:sz="4" w:space="0" w:color="000000"/>
              <w:left w:val="single" w:sz="4" w:space="0" w:color="000000"/>
              <w:bottom w:val="single" w:sz="2" w:space="0" w:color="000000"/>
              <w:right w:val="single" w:sz="4" w:space="0" w:color="000000"/>
            </w:tcBorders>
            <w:shd w:val="clear" w:color="auto" w:fill="00FFFF"/>
          </w:tcPr>
          <w:p w14:paraId="0BD4E094"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014ACAF2" w14:textId="77777777" w:rsidTr="00C232D7">
        <w:trPr>
          <w:trHeight w:val="204"/>
        </w:trPr>
        <w:tc>
          <w:tcPr>
            <w:tcW w:w="0" w:type="auto"/>
            <w:vMerge/>
            <w:tcBorders>
              <w:top w:val="nil"/>
              <w:left w:val="single" w:sz="4" w:space="0" w:color="000000"/>
              <w:bottom w:val="nil"/>
              <w:right w:val="single" w:sz="4" w:space="0" w:color="000000"/>
            </w:tcBorders>
          </w:tcPr>
          <w:p w14:paraId="35A6507A"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2" w:space="0" w:color="000000"/>
              <w:left w:val="single" w:sz="4" w:space="0" w:color="000000"/>
              <w:bottom w:val="single" w:sz="4" w:space="0" w:color="000000"/>
              <w:right w:val="single" w:sz="4" w:space="0" w:color="000000"/>
            </w:tcBorders>
          </w:tcPr>
          <w:p w14:paraId="486A183C"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718" w:type="dxa"/>
            <w:gridSpan w:val="4"/>
            <w:tcBorders>
              <w:top w:val="single" w:sz="2" w:space="0" w:color="000000"/>
              <w:left w:val="single" w:sz="4" w:space="0" w:color="000000"/>
              <w:bottom w:val="single" w:sz="4" w:space="0" w:color="000000"/>
              <w:right w:val="single" w:sz="4" w:space="0" w:color="000000"/>
            </w:tcBorders>
          </w:tcPr>
          <w:p w14:paraId="293098C7"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Kalače-Turjak put Petnjice  </w:t>
            </w:r>
          </w:p>
        </w:tc>
        <w:tc>
          <w:tcPr>
            <w:tcW w:w="2934" w:type="dxa"/>
            <w:tcBorders>
              <w:top w:val="single" w:sz="2" w:space="0" w:color="000000"/>
              <w:left w:val="single" w:sz="4" w:space="0" w:color="000000"/>
              <w:bottom w:val="single" w:sz="4" w:space="0" w:color="000000"/>
              <w:right w:val="single" w:sz="4" w:space="0" w:color="000000"/>
            </w:tcBorders>
          </w:tcPr>
          <w:p w14:paraId="4861E21C" w14:textId="08FA4CC0"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2" w:space="0" w:color="000000"/>
              <w:left w:val="single" w:sz="4" w:space="0" w:color="000000"/>
              <w:bottom w:val="single" w:sz="4" w:space="0" w:color="000000"/>
              <w:right w:val="single" w:sz="4" w:space="0" w:color="000000"/>
            </w:tcBorders>
          </w:tcPr>
          <w:p w14:paraId="6E2C2183"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130</w:t>
            </w:r>
          </w:p>
        </w:tc>
        <w:tc>
          <w:tcPr>
            <w:tcW w:w="937" w:type="dxa"/>
            <w:tcBorders>
              <w:top w:val="single" w:sz="2" w:space="0" w:color="000000"/>
              <w:left w:val="single" w:sz="4" w:space="0" w:color="000000"/>
              <w:bottom w:val="single" w:sz="4" w:space="0" w:color="000000"/>
              <w:right w:val="single" w:sz="4" w:space="0" w:color="000000"/>
            </w:tcBorders>
            <w:shd w:val="clear" w:color="auto" w:fill="00FFFF"/>
          </w:tcPr>
          <w:p w14:paraId="2E0E9A86"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D15DB70" w14:textId="77777777" w:rsidTr="00C232D7">
        <w:trPr>
          <w:trHeight w:val="204"/>
        </w:trPr>
        <w:tc>
          <w:tcPr>
            <w:tcW w:w="0" w:type="auto"/>
            <w:vMerge/>
            <w:tcBorders>
              <w:top w:val="nil"/>
              <w:left w:val="single" w:sz="4" w:space="0" w:color="000000"/>
              <w:bottom w:val="nil"/>
              <w:right w:val="single" w:sz="4" w:space="0" w:color="000000"/>
            </w:tcBorders>
          </w:tcPr>
          <w:p w14:paraId="2D58453C"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2E64E5CB"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3. </w:t>
            </w:r>
          </w:p>
        </w:tc>
        <w:tc>
          <w:tcPr>
            <w:tcW w:w="3718" w:type="dxa"/>
            <w:gridSpan w:val="4"/>
            <w:tcBorders>
              <w:top w:val="single" w:sz="4" w:space="0" w:color="000000"/>
              <w:left w:val="single" w:sz="4" w:space="0" w:color="000000"/>
              <w:bottom w:val="single" w:sz="4" w:space="0" w:color="000000"/>
              <w:right w:val="single" w:sz="4" w:space="0" w:color="000000"/>
            </w:tcBorders>
          </w:tcPr>
          <w:p w14:paraId="6FD0574D"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Baza   </w:t>
            </w:r>
          </w:p>
        </w:tc>
        <w:tc>
          <w:tcPr>
            <w:tcW w:w="2934" w:type="dxa"/>
            <w:tcBorders>
              <w:top w:val="single" w:sz="4" w:space="0" w:color="000000"/>
              <w:left w:val="single" w:sz="4" w:space="0" w:color="000000"/>
              <w:bottom w:val="single" w:sz="4" w:space="0" w:color="000000"/>
              <w:right w:val="single" w:sz="4" w:space="0" w:color="000000"/>
            </w:tcBorders>
          </w:tcPr>
          <w:p w14:paraId="26B21029" w14:textId="2D1FB3D6"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4" w:space="0" w:color="000000"/>
              <w:left w:val="single" w:sz="4" w:space="0" w:color="000000"/>
              <w:bottom w:val="single" w:sz="4" w:space="0" w:color="000000"/>
              <w:right w:val="single" w:sz="4" w:space="0" w:color="000000"/>
            </w:tcBorders>
          </w:tcPr>
          <w:p w14:paraId="1822B569"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37" w:type="dxa"/>
            <w:tcBorders>
              <w:top w:val="single" w:sz="4" w:space="0" w:color="000000"/>
              <w:left w:val="single" w:sz="4" w:space="0" w:color="000000"/>
              <w:bottom w:val="single" w:sz="4" w:space="0" w:color="000000"/>
              <w:right w:val="single" w:sz="4" w:space="0" w:color="000000"/>
            </w:tcBorders>
            <w:shd w:val="clear" w:color="auto" w:fill="00FFFF"/>
          </w:tcPr>
          <w:p w14:paraId="06963FAF"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030357D4" w14:textId="77777777" w:rsidTr="00C232D7">
        <w:trPr>
          <w:trHeight w:val="204"/>
        </w:trPr>
        <w:tc>
          <w:tcPr>
            <w:tcW w:w="0" w:type="auto"/>
            <w:vMerge/>
            <w:tcBorders>
              <w:top w:val="nil"/>
              <w:left w:val="single" w:sz="4" w:space="0" w:color="000000"/>
              <w:bottom w:val="nil"/>
              <w:right w:val="single" w:sz="4" w:space="0" w:color="000000"/>
            </w:tcBorders>
          </w:tcPr>
          <w:p w14:paraId="5A9040BC"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6B105F76"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718" w:type="dxa"/>
            <w:gridSpan w:val="4"/>
            <w:tcBorders>
              <w:top w:val="single" w:sz="4" w:space="0" w:color="000000"/>
              <w:left w:val="single" w:sz="4" w:space="0" w:color="000000"/>
              <w:bottom w:val="single" w:sz="4" w:space="0" w:color="000000"/>
              <w:right w:val="single" w:sz="4" w:space="0" w:color="000000"/>
            </w:tcBorders>
          </w:tcPr>
          <w:p w14:paraId="6E2B12AC" w14:textId="77777777" w:rsidR="00C232D7" w:rsidRPr="00F6198B" w:rsidRDefault="00C232D7"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Seošnica   </w:t>
            </w:r>
          </w:p>
        </w:tc>
        <w:tc>
          <w:tcPr>
            <w:tcW w:w="2934" w:type="dxa"/>
            <w:tcBorders>
              <w:top w:val="single" w:sz="4" w:space="0" w:color="000000"/>
              <w:left w:val="single" w:sz="4" w:space="0" w:color="000000"/>
              <w:bottom w:val="single" w:sz="4" w:space="0" w:color="000000"/>
              <w:right w:val="single" w:sz="4" w:space="0" w:color="000000"/>
            </w:tcBorders>
          </w:tcPr>
          <w:p w14:paraId="05784467" w14:textId="06167EAD"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4" w:space="0" w:color="000000"/>
              <w:left w:val="single" w:sz="4" w:space="0" w:color="000000"/>
              <w:bottom w:val="single" w:sz="4" w:space="0" w:color="000000"/>
              <w:right w:val="single" w:sz="4" w:space="0" w:color="000000"/>
            </w:tcBorders>
          </w:tcPr>
          <w:p w14:paraId="71E4D6E4"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37" w:type="dxa"/>
            <w:tcBorders>
              <w:top w:val="single" w:sz="4" w:space="0" w:color="000000"/>
              <w:left w:val="single" w:sz="4" w:space="0" w:color="000000"/>
              <w:bottom w:val="single" w:sz="4" w:space="0" w:color="000000"/>
              <w:right w:val="single" w:sz="4" w:space="0" w:color="000000"/>
            </w:tcBorders>
            <w:shd w:val="clear" w:color="auto" w:fill="00FFFF"/>
          </w:tcPr>
          <w:p w14:paraId="7314E0DC"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3265A85" w14:textId="77777777" w:rsidTr="00C232D7">
        <w:trPr>
          <w:trHeight w:val="143"/>
        </w:trPr>
        <w:tc>
          <w:tcPr>
            <w:tcW w:w="0" w:type="auto"/>
            <w:vMerge/>
            <w:tcBorders>
              <w:top w:val="nil"/>
              <w:left w:val="single" w:sz="4" w:space="0" w:color="000000"/>
              <w:bottom w:val="nil"/>
              <w:right w:val="single" w:sz="4" w:space="0" w:color="000000"/>
            </w:tcBorders>
          </w:tcPr>
          <w:p w14:paraId="324D15E4"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524D964F"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3718" w:type="dxa"/>
            <w:gridSpan w:val="4"/>
            <w:tcBorders>
              <w:top w:val="single" w:sz="4" w:space="0" w:color="000000"/>
              <w:left w:val="single" w:sz="4" w:space="0" w:color="000000"/>
              <w:bottom w:val="single" w:sz="4" w:space="0" w:color="000000"/>
              <w:right w:val="single" w:sz="4" w:space="0" w:color="000000"/>
            </w:tcBorders>
          </w:tcPr>
          <w:p w14:paraId="058C3450" w14:textId="2AA35AE3"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Kod tunela prije </w:t>
            </w:r>
            <w:r w:rsidR="000260C6" w:rsidRPr="00F6198B">
              <w:rPr>
                <w:rFonts w:ascii="Arial" w:hAnsi="Arial" w:cs="Arial"/>
                <w:color w:val="000000"/>
                <w:sz w:val="18"/>
                <w:szCs w:val="18"/>
                <w:lang w:val="sr-Latn-RS"/>
              </w:rPr>
              <w:t xml:space="preserve">odlagališta </w:t>
            </w:r>
            <w:r w:rsidRPr="00F6198B">
              <w:rPr>
                <w:rFonts w:ascii="Arial" w:hAnsi="Arial" w:cs="Arial"/>
                <w:color w:val="000000"/>
                <w:sz w:val="18"/>
                <w:szCs w:val="18"/>
                <w:lang w:val="sr-Latn-RS"/>
              </w:rPr>
              <w:t>Mostina</w:t>
            </w:r>
          </w:p>
        </w:tc>
        <w:tc>
          <w:tcPr>
            <w:tcW w:w="2934" w:type="dxa"/>
            <w:tcBorders>
              <w:top w:val="single" w:sz="4" w:space="0" w:color="000000"/>
              <w:left w:val="single" w:sz="4" w:space="0" w:color="000000"/>
              <w:bottom w:val="single" w:sz="4" w:space="0" w:color="000000"/>
              <w:right w:val="single" w:sz="4" w:space="0" w:color="000000"/>
            </w:tcBorders>
          </w:tcPr>
          <w:p w14:paraId="6EBF8BD8" w14:textId="1A875932"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komunalni i građevinski</w:t>
            </w:r>
          </w:p>
        </w:tc>
        <w:tc>
          <w:tcPr>
            <w:tcW w:w="931" w:type="dxa"/>
            <w:tcBorders>
              <w:top w:val="single" w:sz="4" w:space="0" w:color="000000"/>
              <w:left w:val="single" w:sz="4" w:space="0" w:color="000000"/>
              <w:bottom w:val="single" w:sz="4" w:space="0" w:color="000000"/>
              <w:right w:val="single" w:sz="4" w:space="0" w:color="000000"/>
            </w:tcBorders>
          </w:tcPr>
          <w:p w14:paraId="4564D2CE"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37" w:type="dxa"/>
            <w:tcBorders>
              <w:top w:val="single" w:sz="4" w:space="0" w:color="000000"/>
              <w:left w:val="single" w:sz="4" w:space="0" w:color="000000"/>
              <w:bottom w:val="single" w:sz="4" w:space="0" w:color="000000"/>
              <w:right w:val="single" w:sz="4" w:space="0" w:color="000000"/>
            </w:tcBorders>
            <w:shd w:val="clear" w:color="auto" w:fill="00FFFF"/>
          </w:tcPr>
          <w:p w14:paraId="47F8140F"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689E8C44" w14:textId="77777777" w:rsidTr="00C232D7">
        <w:trPr>
          <w:trHeight w:val="204"/>
        </w:trPr>
        <w:tc>
          <w:tcPr>
            <w:tcW w:w="0" w:type="auto"/>
            <w:vMerge/>
            <w:tcBorders>
              <w:top w:val="nil"/>
              <w:left w:val="single" w:sz="4" w:space="0" w:color="000000"/>
              <w:bottom w:val="nil"/>
              <w:right w:val="single" w:sz="4" w:space="0" w:color="000000"/>
            </w:tcBorders>
          </w:tcPr>
          <w:p w14:paraId="416B5657"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2" w:space="0" w:color="000000"/>
              <w:right w:val="single" w:sz="4" w:space="0" w:color="000000"/>
            </w:tcBorders>
          </w:tcPr>
          <w:p w14:paraId="4DDC2005"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3718" w:type="dxa"/>
            <w:gridSpan w:val="4"/>
            <w:tcBorders>
              <w:top w:val="single" w:sz="4" w:space="0" w:color="000000"/>
              <w:left w:val="single" w:sz="4" w:space="0" w:color="000000"/>
              <w:bottom w:val="single" w:sz="2" w:space="0" w:color="000000"/>
              <w:right w:val="single" w:sz="4" w:space="0" w:color="000000"/>
            </w:tcBorders>
          </w:tcPr>
          <w:p w14:paraId="10C5468C"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Biševo  </w:t>
            </w:r>
          </w:p>
        </w:tc>
        <w:tc>
          <w:tcPr>
            <w:tcW w:w="2934" w:type="dxa"/>
            <w:tcBorders>
              <w:top w:val="single" w:sz="4" w:space="0" w:color="000000"/>
              <w:left w:val="single" w:sz="4" w:space="0" w:color="000000"/>
              <w:bottom w:val="single" w:sz="2" w:space="0" w:color="000000"/>
              <w:right w:val="single" w:sz="4" w:space="0" w:color="000000"/>
            </w:tcBorders>
          </w:tcPr>
          <w:p w14:paraId="7B301D75" w14:textId="19D1E6B5"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4" w:space="0" w:color="000000"/>
              <w:left w:val="single" w:sz="4" w:space="0" w:color="000000"/>
              <w:bottom w:val="single" w:sz="2" w:space="0" w:color="000000"/>
              <w:right w:val="single" w:sz="4" w:space="0" w:color="000000"/>
            </w:tcBorders>
          </w:tcPr>
          <w:p w14:paraId="7FE6FEF8"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15</w:t>
            </w:r>
          </w:p>
        </w:tc>
        <w:tc>
          <w:tcPr>
            <w:tcW w:w="937" w:type="dxa"/>
            <w:tcBorders>
              <w:top w:val="single" w:sz="4" w:space="0" w:color="000000"/>
              <w:left w:val="single" w:sz="4" w:space="0" w:color="000000"/>
              <w:bottom w:val="single" w:sz="2" w:space="0" w:color="000000"/>
              <w:right w:val="single" w:sz="4" w:space="0" w:color="000000"/>
            </w:tcBorders>
            <w:shd w:val="clear" w:color="auto" w:fill="00FFFF"/>
          </w:tcPr>
          <w:p w14:paraId="5BD07ED5"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0AC35600" w14:textId="77777777" w:rsidTr="00C232D7">
        <w:trPr>
          <w:trHeight w:val="204"/>
        </w:trPr>
        <w:tc>
          <w:tcPr>
            <w:tcW w:w="0" w:type="auto"/>
            <w:vMerge/>
            <w:tcBorders>
              <w:top w:val="nil"/>
              <w:left w:val="single" w:sz="4" w:space="0" w:color="000000"/>
              <w:bottom w:val="nil"/>
              <w:right w:val="single" w:sz="4" w:space="0" w:color="000000"/>
            </w:tcBorders>
          </w:tcPr>
          <w:p w14:paraId="2577F335"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2" w:space="0" w:color="000000"/>
              <w:left w:val="single" w:sz="4" w:space="0" w:color="000000"/>
              <w:bottom w:val="single" w:sz="4" w:space="0" w:color="000000"/>
              <w:right w:val="single" w:sz="4" w:space="0" w:color="000000"/>
            </w:tcBorders>
          </w:tcPr>
          <w:p w14:paraId="05B9FE51"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7.</w:t>
            </w:r>
          </w:p>
        </w:tc>
        <w:tc>
          <w:tcPr>
            <w:tcW w:w="3718" w:type="dxa"/>
            <w:gridSpan w:val="4"/>
            <w:tcBorders>
              <w:top w:val="single" w:sz="2" w:space="0" w:color="000000"/>
              <w:left w:val="single" w:sz="4" w:space="0" w:color="000000"/>
              <w:bottom w:val="single" w:sz="4" w:space="0" w:color="000000"/>
              <w:right w:val="single" w:sz="4" w:space="0" w:color="000000"/>
            </w:tcBorders>
          </w:tcPr>
          <w:p w14:paraId="4B5E1688"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Grahovo pored lokalnog puta za Bašču</w:t>
            </w:r>
          </w:p>
        </w:tc>
        <w:tc>
          <w:tcPr>
            <w:tcW w:w="2934" w:type="dxa"/>
            <w:tcBorders>
              <w:top w:val="single" w:sz="2" w:space="0" w:color="000000"/>
              <w:left w:val="single" w:sz="4" w:space="0" w:color="000000"/>
              <w:bottom w:val="single" w:sz="4" w:space="0" w:color="000000"/>
              <w:right w:val="single" w:sz="4" w:space="0" w:color="000000"/>
            </w:tcBorders>
          </w:tcPr>
          <w:p w14:paraId="73934694" w14:textId="3BBF6079"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2" w:space="0" w:color="000000"/>
              <w:left w:val="single" w:sz="4" w:space="0" w:color="000000"/>
              <w:bottom w:val="single" w:sz="4" w:space="0" w:color="000000"/>
              <w:right w:val="single" w:sz="4" w:space="0" w:color="000000"/>
            </w:tcBorders>
          </w:tcPr>
          <w:p w14:paraId="7407A089"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37" w:type="dxa"/>
            <w:tcBorders>
              <w:top w:val="single" w:sz="2" w:space="0" w:color="000000"/>
              <w:left w:val="single" w:sz="4" w:space="0" w:color="000000"/>
              <w:bottom w:val="single" w:sz="4" w:space="0" w:color="000000"/>
              <w:right w:val="single" w:sz="4" w:space="0" w:color="000000"/>
            </w:tcBorders>
            <w:shd w:val="clear" w:color="auto" w:fill="00FFFF"/>
          </w:tcPr>
          <w:p w14:paraId="63A6A2E0"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0B0C50F2" w14:textId="77777777" w:rsidTr="00C232D7">
        <w:trPr>
          <w:trHeight w:val="70"/>
        </w:trPr>
        <w:tc>
          <w:tcPr>
            <w:tcW w:w="0" w:type="auto"/>
            <w:vMerge/>
            <w:tcBorders>
              <w:top w:val="nil"/>
              <w:left w:val="single" w:sz="4" w:space="0" w:color="000000"/>
              <w:bottom w:val="nil"/>
              <w:right w:val="single" w:sz="4" w:space="0" w:color="000000"/>
            </w:tcBorders>
          </w:tcPr>
          <w:p w14:paraId="02C703B0"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right w:val="single" w:sz="4" w:space="0" w:color="000000"/>
            </w:tcBorders>
          </w:tcPr>
          <w:p w14:paraId="27E52791"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8.</w:t>
            </w:r>
          </w:p>
        </w:tc>
        <w:tc>
          <w:tcPr>
            <w:tcW w:w="3718" w:type="dxa"/>
            <w:gridSpan w:val="4"/>
            <w:tcBorders>
              <w:top w:val="single" w:sz="4" w:space="0" w:color="000000"/>
              <w:left w:val="single" w:sz="4" w:space="0" w:color="000000"/>
              <w:right w:val="single" w:sz="4" w:space="0" w:color="000000"/>
            </w:tcBorders>
          </w:tcPr>
          <w:p w14:paraId="1D2BBB19"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Bać  tri odlagališta</w:t>
            </w:r>
          </w:p>
        </w:tc>
        <w:tc>
          <w:tcPr>
            <w:tcW w:w="2934" w:type="dxa"/>
            <w:tcBorders>
              <w:top w:val="single" w:sz="4" w:space="0" w:color="000000"/>
              <w:left w:val="single" w:sz="4" w:space="0" w:color="000000"/>
              <w:right w:val="single" w:sz="4" w:space="0" w:color="000000"/>
            </w:tcBorders>
          </w:tcPr>
          <w:p w14:paraId="31B57B42" w14:textId="604164C2"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4" w:space="0" w:color="000000"/>
              <w:left w:val="single" w:sz="4" w:space="0" w:color="000000"/>
              <w:right w:val="single" w:sz="4" w:space="0" w:color="000000"/>
            </w:tcBorders>
          </w:tcPr>
          <w:p w14:paraId="1A467044"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37" w:type="dxa"/>
            <w:tcBorders>
              <w:top w:val="single" w:sz="4" w:space="0" w:color="000000"/>
              <w:left w:val="single" w:sz="4" w:space="0" w:color="000000"/>
              <w:right w:val="single" w:sz="4" w:space="0" w:color="000000"/>
            </w:tcBorders>
            <w:shd w:val="clear" w:color="auto" w:fill="00FFFF"/>
          </w:tcPr>
          <w:p w14:paraId="1B4D99A7"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DF823F8" w14:textId="77777777" w:rsidTr="00C232D7">
        <w:trPr>
          <w:trHeight w:val="245"/>
        </w:trPr>
        <w:tc>
          <w:tcPr>
            <w:tcW w:w="1397" w:type="dxa"/>
            <w:gridSpan w:val="4"/>
            <w:tcBorders>
              <w:top w:val="double" w:sz="2" w:space="0" w:color="000000"/>
              <w:left w:val="single" w:sz="4" w:space="0" w:color="000000"/>
              <w:bottom w:val="single" w:sz="4" w:space="0" w:color="000000"/>
              <w:right w:val="single" w:sz="4" w:space="0" w:color="000000"/>
            </w:tcBorders>
            <w:shd w:val="clear" w:color="auto" w:fill="EAF1DD"/>
          </w:tcPr>
          <w:p w14:paraId="728A0D02" w14:textId="77777777" w:rsidR="00C232D7" w:rsidRPr="00F6198B" w:rsidRDefault="00C232D7" w:rsidP="00C232D7">
            <w:pPr>
              <w:spacing w:after="177" w:line="360" w:lineRule="auto"/>
              <w:ind w:left="232"/>
              <w:rPr>
                <w:rFonts w:ascii="Arial" w:hAnsi="Arial" w:cs="Arial"/>
                <w:color w:val="000000"/>
                <w:sz w:val="18"/>
                <w:szCs w:val="18"/>
                <w:lang w:val="sr-Latn-RS"/>
              </w:rPr>
            </w:pPr>
          </w:p>
          <w:p w14:paraId="3521EF4D" w14:textId="77777777" w:rsidR="00C232D7" w:rsidRPr="00F6198B" w:rsidRDefault="00C232D7" w:rsidP="00C232D7">
            <w:pPr>
              <w:spacing w:after="177" w:line="360" w:lineRule="auto"/>
              <w:ind w:left="232"/>
              <w:rPr>
                <w:rFonts w:ascii="Arial" w:hAnsi="Arial" w:cs="Arial"/>
                <w:color w:val="000000"/>
                <w:sz w:val="18"/>
                <w:szCs w:val="18"/>
                <w:lang w:val="sr-Latn-RS"/>
              </w:rPr>
            </w:pPr>
            <w:r w:rsidRPr="00F6198B">
              <w:rPr>
                <w:rFonts w:ascii="Arial" w:hAnsi="Arial" w:cs="Arial"/>
                <w:color w:val="000000"/>
                <w:sz w:val="18"/>
                <w:szCs w:val="18"/>
                <w:lang w:val="sr-Latn-RS"/>
              </w:rPr>
              <w:t xml:space="preserve"> </w:t>
            </w:r>
            <w:r w:rsidRPr="00E62109">
              <w:rPr>
                <w:rFonts w:ascii="Arial" w:hAnsi="Arial" w:cs="Arial"/>
                <w:color w:val="000000"/>
                <w:sz w:val="16"/>
                <w:szCs w:val="18"/>
                <w:lang w:val="sr-Latn-RS"/>
              </w:rPr>
              <w:t xml:space="preserve">20. ŠAVNIK   </w:t>
            </w:r>
          </w:p>
        </w:tc>
        <w:tc>
          <w:tcPr>
            <w:tcW w:w="3126" w:type="dxa"/>
            <w:gridSpan w:val="2"/>
            <w:tcBorders>
              <w:top w:val="double" w:sz="2" w:space="0" w:color="000000"/>
              <w:left w:val="single" w:sz="4" w:space="0" w:color="000000"/>
              <w:bottom w:val="single" w:sz="4" w:space="0" w:color="000000"/>
              <w:right w:val="nil"/>
            </w:tcBorders>
            <w:shd w:val="clear" w:color="auto" w:fill="EAF1DD"/>
          </w:tcPr>
          <w:p w14:paraId="71E63443"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2934" w:type="dxa"/>
            <w:tcBorders>
              <w:top w:val="double" w:sz="2" w:space="0" w:color="000000"/>
              <w:left w:val="nil"/>
              <w:bottom w:val="single" w:sz="4" w:space="0" w:color="000000"/>
              <w:right w:val="nil"/>
            </w:tcBorders>
            <w:shd w:val="clear" w:color="auto" w:fill="EAF1DD"/>
          </w:tcPr>
          <w:p w14:paraId="276FDFA2" w14:textId="77777777" w:rsidR="00C232D7" w:rsidRPr="00F6198B" w:rsidRDefault="00C232D7" w:rsidP="00C232D7">
            <w:pPr>
              <w:spacing w:after="160" w:line="360" w:lineRule="auto"/>
              <w:rPr>
                <w:rFonts w:ascii="Arial" w:hAnsi="Arial" w:cs="Arial"/>
                <w:color w:val="000000"/>
                <w:sz w:val="18"/>
                <w:szCs w:val="18"/>
                <w:lang w:val="sr-Latn-RS"/>
              </w:rPr>
            </w:pPr>
          </w:p>
        </w:tc>
        <w:tc>
          <w:tcPr>
            <w:tcW w:w="931" w:type="dxa"/>
            <w:tcBorders>
              <w:top w:val="double" w:sz="2" w:space="0" w:color="000000"/>
              <w:left w:val="nil"/>
              <w:bottom w:val="single" w:sz="4" w:space="0" w:color="000000"/>
              <w:right w:val="nil"/>
            </w:tcBorders>
            <w:shd w:val="clear" w:color="auto" w:fill="EAF1DD"/>
          </w:tcPr>
          <w:p w14:paraId="09E315E8"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37" w:type="dxa"/>
            <w:tcBorders>
              <w:top w:val="double" w:sz="2" w:space="0" w:color="000000"/>
              <w:left w:val="nil"/>
              <w:bottom w:val="single" w:sz="4" w:space="0" w:color="000000"/>
              <w:right w:val="single" w:sz="4" w:space="0" w:color="000000"/>
            </w:tcBorders>
            <w:shd w:val="clear" w:color="auto" w:fill="EAF1DD"/>
          </w:tcPr>
          <w:p w14:paraId="67CC26C4"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3DDE4C84" w14:textId="77777777" w:rsidTr="00C232D7">
        <w:trPr>
          <w:trHeight w:val="203"/>
        </w:trPr>
        <w:tc>
          <w:tcPr>
            <w:tcW w:w="220" w:type="dxa"/>
            <w:vMerge w:val="restart"/>
            <w:tcBorders>
              <w:top w:val="single" w:sz="4" w:space="0" w:color="000000"/>
              <w:left w:val="single" w:sz="4" w:space="0" w:color="000000"/>
              <w:bottom w:val="single" w:sz="2" w:space="0" w:color="000000"/>
              <w:right w:val="single" w:sz="4" w:space="0" w:color="000000"/>
            </w:tcBorders>
            <w:shd w:val="clear" w:color="auto" w:fill="EAF1DD"/>
            <w:vAlign w:val="center"/>
          </w:tcPr>
          <w:p w14:paraId="538890BF"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tcBorders>
              <w:top w:val="single" w:sz="4" w:space="0" w:color="000000"/>
              <w:left w:val="single" w:sz="4" w:space="0" w:color="000000"/>
              <w:bottom w:val="single" w:sz="2" w:space="0" w:color="000000"/>
              <w:right w:val="single" w:sz="4" w:space="0" w:color="000000"/>
            </w:tcBorders>
          </w:tcPr>
          <w:p w14:paraId="3925DD4F"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718" w:type="dxa"/>
            <w:gridSpan w:val="4"/>
            <w:tcBorders>
              <w:top w:val="single" w:sz="4" w:space="0" w:color="000000"/>
              <w:left w:val="single" w:sz="4" w:space="0" w:color="000000"/>
              <w:bottom w:val="single" w:sz="2" w:space="0" w:color="000000"/>
              <w:right w:val="single" w:sz="4" w:space="0" w:color="000000"/>
            </w:tcBorders>
          </w:tcPr>
          <w:p w14:paraId="7CA7E514"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Krnovo </w:t>
            </w:r>
          </w:p>
        </w:tc>
        <w:tc>
          <w:tcPr>
            <w:tcW w:w="2934" w:type="dxa"/>
            <w:tcBorders>
              <w:top w:val="single" w:sz="4" w:space="0" w:color="000000"/>
              <w:left w:val="single" w:sz="4" w:space="0" w:color="000000"/>
              <w:bottom w:val="single" w:sz="2" w:space="0" w:color="000000"/>
              <w:right w:val="single" w:sz="4" w:space="0" w:color="000000"/>
            </w:tcBorders>
          </w:tcPr>
          <w:p w14:paraId="500C381C" w14:textId="28115A67"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4" w:space="0" w:color="000000"/>
              <w:left w:val="single" w:sz="4" w:space="0" w:color="000000"/>
              <w:bottom w:val="single" w:sz="2" w:space="0" w:color="000000"/>
              <w:right w:val="single" w:sz="4" w:space="0" w:color="000000"/>
            </w:tcBorders>
          </w:tcPr>
          <w:p w14:paraId="7FD17025"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200</w:t>
            </w:r>
          </w:p>
        </w:tc>
        <w:tc>
          <w:tcPr>
            <w:tcW w:w="937" w:type="dxa"/>
            <w:tcBorders>
              <w:top w:val="single" w:sz="4" w:space="0" w:color="000000"/>
              <w:left w:val="single" w:sz="4" w:space="0" w:color="000000"/>
              <w:bottom w:val="single" w:sz="2" w:space="0" w:color="000000"/>
              <w:right w:val="single" w:sz="4" w:space="0" w:color="000000"/>
            </w:tcBorders>
            <w:shd w:val="clear" w:color="auto" w:fill="00FFFF"/>
          </w:tcPr>
          <w:p w14:paraId="20C843D0"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536573C" w14:textId="77777777" w:rsidTr="00C232D7">
        <w:trPr>
          <w:trHeight w:val="205"/>
        </w:trPr>
        <w:tc>
          <w:tcPr>
            <w:tcW w:w="0" w:type="auto"/>
            <w:vMerge/>
            <w:tcBorders>
              <w:top w:val="nil"/>
              <w:left w:val="single" w:sz="4" w:space="0" w:color="000000"/>
              <w:bottom w:val="nil"/>
              <w:right w:val="single" w:sz="4" w:space="0" w:color="000000"/>
            </w:tcBorders>
          </w:tcPr>
          <w:p w14:paraId="142A488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2" w:space="0" w:color="000000"/>
              <w:left w:val="single" w:sz="4" w:space="0" w:color="000000"/>
              <w:bottom w:val="single" w:sz="4" w:space="0" w:color="000000"/>
              <w:right w:val="single" w:sz="4" w:space="0" w:color="000000"/>
            </w:tcBorders>
          </w:tcPr>
          <w:p w14:paraId="352C73ED"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718" w:type="dxa"/>
            <w:gridSpan w:val="4"/>
            <w:tcBorders>
              <w:top w:val="single" w:sz="2" w:space="0" w:color="000000"/>
              <w:left w:val="single" w:sz="4" w:space="0" w:color="000000"/>
              <w:bottom w:val="single" w:sz="4" w:space="0" w:color="000000"/>
              <w:right w:val="single" w:sz="4" w:space="0" w:color="000000"/>
            </w:tcBorders>
          </w:tcPr>
          <w:p w14:paraId="056816A1"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Tvrdan, Mljetičak </w:t>
            </w:r>
          </w:p>
        </w:tc>
        <w:tc>
          <w:tcPr>
            <w:tcW w:w="2934" w:type="dxa"/>
            <w:tcBorders>
              <w:top w:val="single" w:sz="2" w:space="0" w:color="000000"/>
              <w:left w:val="single" w:sz="4" w:space="0" w:color="000000"/>
              <w:bottom w:val="single" w:sz="4" w:space="0" w:color="000000"/>
              <w:right w:val="single" w:sz="4" w:space="0" w:color="000000"/>
            </w:tcBorders>
          </w:tcPr>
          <w:p w14:paraId="0538D591" w14:textId="0EC6ECDF"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2" w:space="0" w:color="000000"/>
              <w:left w:val="single" w:sz="4" w:space="0" w:color="000000"/>
              <w:bottom w:val="single" w:sz="4" w:space="0" w:color="000000"/>
              <w:right w:val="single" w:sz="4" w:space="0" w:color="000000"/>
            </w:tcBorders>
          </w:tcPr>
          <w:p w14:paraId="7065BC31"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37" w:type="dxa"/>
            <w:tcBorders>
              <w:top w:val="single" w:sz="2" w:space="0" w:color="000000"/>
              <w:left w:val="single" w:sz="4" w:space="0" w:color="000000"/>
              <w:bottom w:val="single" w:sz="4" w:space="0" w:color="000000"/>
              <w:right w:val="single" w:sz="4" w:space="0" w:color="000000"/>
            </w:tcBorders>
            <w:shd w:val="clear" w:color="auto" w:fill="00FFFF"/>
          </w:tcPr>
          <w:p w14:paraId="09F19D90"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0973B5D" w14:textId="77777777" w:rsidTr="00C232D7">
        <w:trPr>
          <w:trHeight w:val="244"/>
        </w:trPr>
        <w:tc>
          <w:tcPr>
            <w:tcW w:w="0" w:type="auto"/>
            <w:vMerge/>
            <w:tcBorders>
              <w:top w:val="nil"/>
              <w:left w:val="single" w:sz="4" w:space="0" w:color="000000"/>
              <w:bottom w:val="single" w:sz="2" w:space="0" w:color="000000"/>
              <w:right w:val="single" w:sz="4" w:space="0" w:color="000000"/>
            </w:tcBorders>
          </w:tcPr>
          <w:p w14:paraId="60BD5BEE"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double" w:sz="2" w:space="0" w:color="000000"/>
              <w:right w:val="single" w:sz="4" w:space="0" w:color="000000"/>
            </w:tcBorders>
          </w:tcPr>
          <w:p w14:paraId="5B7CB012"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3. </w:t>
            </w:r>
          </w:p>
        </w:tc>
        <w:tc>
          <w:tcPr>
            <w:tcW w:w="3718" w:type="dxa"/>
            <w:gridSpan w:val="4"/>
            <w:tcBorders>
              <w:top w:val="single" w:sz="4" w:space="0" w:color="000000"/>
              <w:left w:val="single" w:sz="4" w:space="0" w:color="000000"/>
              <w:bottom w:val="double" w:sz="2" w:space="0" w:color="000000"/>
              <w:right w:val="single" w:sz="4" w:space="0" w:color="000000"/>
            </w:tcBorders>
          </w:tcPr>
          <w:p w14:paraId="597B90FB"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Salatanski potok, Između selo Tušinje </w:t>
            </w:r>
          </w:p>
        </w:tc>
        <w:tc>
          <w:tcPr>
            <w:tcW w:w="2934" w:type="dxa"/>
            <w:tcBorders>
              <w:top w:val="single" w:sz="4" w:space="0" w:color="000000"/>
              <w:left w:val="single" w:sz="4" w:space="0" w:color="000000"/>
              <w:bottom w:val="double" w:sz="2" w:space="0" w:color="000000"/>
              <w:right w:val="single" w:sz="4" w:space="0" w:color="000000"/>
            </w:tcBorders>
          </w:tcPr>
          <w:p w14:paraId="7475E358" w14:textId="600744D4" w:rsidR="00C232D7" w:rsidRPr="00F6198B" w:rsidRDefault="001E5F12" w:rsidP="00C232D7">
            <w:pPr>
              <w:spacing w:line="360" w:lineRule="auto"/>
              <w:ind w:left="14"/>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4" w:space="0" w:color="000000"/>
              <w:left w:val="single" w:sz="4" w:space="0" w:color="000000"/>
              <w:bottom w:val="double" w:sz="2" w:space="0" w:color="000000"/>
              <w:right w:val="single" w:sz="4" w:space="0" w:color="000000"/>
            </w:tcBorders>
          </w:tcPr>
          <w:p w14:paraId="699F91F7"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37" w:type="dxa"/>
            <w:tcBorders>
              <w:top w:val="single" w:sz="4" w:space="0" w:color="000000"/>
              <w:left w:val="single" w:sz="4" w:space="0" w:color="000000"/>
              <w:bottom w:val="double" w:sz="2" w:space="0" w:color="000000"/>
              <w:right w:val="single" w:sz="4" w:space="0" w:color="000000"/>
            </w:tcBorders>
            <w:shd w:val="clear" w:color="auto" w:fill="00FFFF"/>
          </w:tcPr>
          <w:p w14:paraId="29AF9942"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43E0A9E" w14:textId="77777777" w:rsidTr="00C232D7">
        <w:trPr>
          <w:trHeight w:val="246"/>
        </w:trPr>
        <w:tc>
          <w:tcPr>
            <w:tcW w:w="1397" w:type="dxa"/>
            <w:gridSpan w:val="4"/>
            <w:tcBorders>
              <w:top w:val="double" w:sz="2" w:space="0" w:color="000000"/>
              <w:left w:val="single" w:sz="4" w:space="0" w:color="000000"/>
              <w:bottom w:val="single" w:sz="4" w:space="0" w:color="000000"/>
              <w:right w:val="single" w:sz="4" w:space="0" w:color="000000"/>
            </w:tcBorders>
            <w:shd w:val="clear" w:color="auto" w:fill="EAF1DD"/>
          </w:tcPr>
          <w:p w14:paraId="54CD3613" w14:textId="77777777" w:rsidR="00C232D7" w:rsidRPr="00F6198B" w:rsidRDefault="00C232D7" w:rsidP="00C232D7">
            <w:pPr>
              <w:spacing w:after="174" w:line="360" w:lineRule="auto"/>
              <w:ind w:left="232"/>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p w14:paraId="5FA06831" w14:textId="77777777" w:rsidR="00C232D7" w:rsidRPr="00F6198B" w:rsidRDefault="00C232D7" w:rsidP="00C232D7">
            <w:pPr>
              <w:spacing w:after="174" w:line="360" w:lineRule="auto"/>
              <w:ind w:left="232"/>
              <w:rPr>
                <w:rFonts w:ascii="Arial" w:hAnsi="Arial" w:cs="Arial"/>
                <w:color w:val="000000"/>
                <w:sz w:val="18"/>
                <w:szCs w:val="18"/>
                <w:lang w:val="sr-Latn-RS"/>
              </w:rPr>
            </w:pPr>
            <w:r w:rsidRPr="00F6198B">
              <w:rPr>
                <w:rFonts w:ascii="Arial" w:hAnsi="Arial" w:cs="Arial"/>
                <w:color w:val="000000"/>
                <w:sz w:val="18"/>
                <w:szCs w:val="18"/>
                <w:lang w:val="sr-Latn-RS"/>
              </w:rPr>
              <w:t xml:space="preserve">21. TIVAT </w:t>
            </w:r>
          </w:p>
        </w:tc>
        <w:tc>
          <w:tcPr>
            <w:tcW w:w="3126" w:type="dxa"/>
            <w:gridSpan w:val="2"/>
            <w:tcBorders>
              <w:top w:val="double" w:sz="2" w:space="0" w:color="000000"/>
              <w:left w:val="single" w:sz="4" w:space="0" w:color="000000"/>
              <w:bottom w:val="single" w:sz="4" w:space="0" w:color="000000"/>
              <w:right w:val="nil"/>
            </w:tcBorders>
            <w:shd w:val="clear" w:color="auto" w:fill="EAF1DD"/>
          </w:tcPr>
          <w:p w14:paraId="27CA1238"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2934" w:type="dxa"/>
            <w:tcBorders>
              <w:top w:val="double" w:sz="2" w:space="0" w:color="000000"/>
              <w:left w:val="nil"/>
              <w:bottom w:val="single" w:sz="4" w:space="0" w:color="000000"/>
              <w:right w:val="nil"/>
            </w:tcBorders>
            <w:shd w:val="clear" w:color="auto" w:fill="EAF1DD"/>
          </w:tcPr>
          <w:p w14:paraId="0E29AFD6" w14:textId="77777777" w:rsidR="00C232D7" w:rsidRPr="00F6198B" w:rsidRDefault="00C232D7" w:rsidP="00C232D7">
            <w:pPr>
              <w:spacing w:after="160" w:line="360" w:lineRule="auto"/>
              <w:rPr>
                <w:rFonts w:ascii="Arial" w:hAnsi="Arial" w:cs="Arial"/>
                <w:color w:val="000000"/>
                <w:sz w:val="18"/>
                <w:szCs w:val="18"/>
                <w:lang w:val="sr-Latn-RS"/>
              </w:rPr>
            </w:pPr>
          </w:p>
        </w:tc>
        <w:tc>
          <w:tcPr>
            <w:tcW w:w="931" w:type="dxa"/>
            <w:tcBorders>
              <w:top w:val="double" w:sz="2" w:space="0" w:color="000000"/>
              <w:left w:val="nil"/>
              <w:bottom w:val="single" w:sz="4" w:space="0" w:color="000000"/>
              <w:right w:val="nil"/>
            </w:tcBorders>
            <w:shd w:val="clear" w:color="auto" w:fill="EAF1DD"/>
          </w:tcPr>
          <w:p w14:paraId="704B4EC6" w14:textId="77777777" w:rsidR="00C232D7" w:rsidRPr="00F6198B" w:rsidRDefault="00C232D7" w:rsidP="00C232D7">
            <w:pPr>
              <w:spacing w:after="160" w:line="360" w:lineRule="auto"/>
              <w:rPr>
                <w:rFonts w:ascii="Arial" w:hAnsi="Arial" w:cs="Arial"/>
                <w:color w:val="000000"/>
                <w:sz w:val="18"/>
                <w:szCs w:val="18"/>
                <w:lang w:val="sr-Latn-RS"/>
              </w:rPr>
            </w:pPr>
          </w:p>
        </w:tc>
        <w:tc>
          <w:tcPr>
            <w:tcW w:w="937" w:type="dxa"/>
            <w:tcBorders>
              <w:top w:val="double" w:sz="2" w:space="0" w:color="000000"/>
              <w:left w:val="nil"/>
              <w:bottom w:val="single" w:sz="4" w:space="0" w:color="000000"/>
              <w:right w:val="single" w:sz="4" w:space="0" w:color="000000"/>
            </w:tcBorders>
            <w:shd w:val="clear" w:color="auto" w:fill="EAF1DD"/>
          </w:tcPr>
          <w:p w14:paraId="1419FE50" w14:textId="77777777" w:rsidR="00C232D7" w:rsidRPr="00F6198B" w:rsidRDefault="00C232D7" w:rsidP="00C232D7">
            <w:pPr>
              <w:spacing w:line="360" w:lineRule="auto"/>
              <w:ind w:left="44"/>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r>
      <w:tr w:rsidR="00C232D7" w:rsidRPr="00F6198B" w14:paraId="05830432" w14:textId="77777777" w:rsidTr="00C232D7">
        <w:trPr>
          <w:trHeight w:val="595"/>
        </w:trPr>
        <w:tc>
          <w:tcPr>
            <w:tcW w:w="220" w:type="dxa"/>
            <w:vMerge w:val="restart"/>
            <w:tcBorders>
              <w:top w:val="single" w:sz="4" w:space="0" w:color="000000"/>
              <w:left w:val="single" w:sz="4" w:space="0" w:color="000000"/>
              <w:bottom w:val="single" w:sz="2" w:space="0" w:color="000000"/>
              <w:right w:val="single" w:sz="4" w:space="0" w:color="000000"/>
            </w:tcBorders>
            <w:shd w:val="clear" w:color="auto" w:fill="EAF1DD"/>
            <w:vAlign w:val="center"/>
          </w:tcPr>
          <w:p w14:paraId="1B2A3B26"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tcBorders>
              <w:top w:val="single" w:sz="4" w:space="0" w:color="000000"/>
              <w:left w:val="single" w:sz="4" w:space="0" w:color="000000"/>
              <w:bottom w:val="single" w:sz="4" w:space="0" w:color="000000"/>
              <w:right w:val="single" w:sz="4" w:space="0" w:color="000000"/>
            </w:tcBorders>
            <w:vAlign w:val="center"/>
          </w:tcPr>
          <w:p w14:paraId="3E2BDBEC"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718" w:type="dxa"/>
            <w:gridSpan w:val="4"/>
            <w:tcBorders>
              <w:top w:val="single" w:sz="4" w:space="0" w:color="000000"/>
              <w:left w:val="single" w:sz="4" w:space="0" w:color="000000"/>
              <w:bottom w:val="single" w:sz="4" w:space="0" w:color="000000"/>
              <w:right w:val="single" w:sz="4" w:space="0" w:color="000000"/>
            </w:tcBorders>
          </w:tcPr>
          <w:p w14:paraId="33A0D2A3"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Sinjarevo (tzv. Lovanja 1) većim dijelom obuhvata i teritoriju opštine Kotor (nekadašnje odlagalište za opštine Kotor,Tivat i Budva) </w:t>
            </w:r>
          </w:p>
        </w:tc>
        <w:tc>
          <w:tcPr>
            <w:tcW w:w="2934" w:type="dxa"/>
            <w:tcBorders>
              <w:top w:val="single" w:sz="4" w:space="0" w:color="000000"/>
              <w:left w:val="single" w:sz="4" w:space="0" w:color="000000"/>
              <w:bottom w:val="single" w:sz="4" w:space="0" w:color="000000"/>
              <w:right w:val="single" w:sz="4" w:space="0" w:color="000000"/>
            </w:tcBorders>
            <w:vAlign w:val="center"/>
          </w:tcPr>
          <w:p w14:paraId="3BBD9241" w14:textId="19CACCAB"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4" w:space="0" w:color="000000"/>
              <w:left w:val="single" w:sz="4" w:space="0" w:color="000000"/>
              <w:bottom w:val="single" w:sz="4" w:space="0" w:color="000000"/>
              <w:right w:val="single" w:sz="4" w:space="0" w:color="000000"/>
            </w:tcBorders>
            <w:vAlign w:val="center"/>
          </w:tcPr>
          <w:p w14:paraId="72A095B0"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150 000</w:t>
            </w:r>
          </w:p>
        </w:tc>
        <w:tc>
          <w:tcPr>
            <w:tcW w:w="937" w:type="dxa"/>
            <w:tcBorders>
              <w:top w:val="single" w:sz="4" w:space="0" w:color="000000"/>
              <w:left w:val="single" w:sz="4" w:space="0" w:color="000000"/>
              <w:bottom w:val="single" w:sz="4" w:space="0" w:color="000000"/>
              <w:right w:val="single" w:sz="4" w:space="0" w:color="000000"/>
            </w:tcBorders>
            <w:shd w:val="clear" w:color="auto" w:fill="00FFFF"/>
            <w:vAlign w:val="center"/>
          </w:tcPr>
          <w:p w14:paraId="159B651F"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541F102" w14:textId="77777777" w:rsidTr="00C232D7">
        <w:trPr>
          <w:trHeight w:val="70"/>
        </w:trPr>
        <w:tc>
          <w:tcPr>
            <w:tcW w:w="0" w:type="auto"/>
            <w:vMerge/>
            <w:tcBorders>
              <w:top w:val="nil"/>
              <w:left w:val="single" w:sz="4" w:space="0" w:color="000000"/>
              <w:bottom w:val="nil"/>
              <w:right w:val="single" w:sz="4" w:space="0" w:color="000000"/>
            </w:tcBorders>
          </w:tcPr>
          <w:p w14:paraId="0E44B2E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vAlign w:val="center"/>
          </w:tcPr>
          <w:p w14:paraId="7C901F5B"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718" w:type="dxa"/>
            <w:gridSpan w:val="4"/>
            <w:tcBorders>
              <w:top w:val="single" w:sz="4" w:space="0" w:color="000000"/>
              <w:left w:val="single" w:sz="4" w:space="0" w:color="000000"/>
              <w:bottom w:val="single" w:sz="4" w:space="0" w:color="000000"/>
              <w:right w:val="single" w:sz="4" w:space="0" w:color="000000"/>
            </w:tcBorders>
          </w:tcPr>
          <w:p w14:paraId="400FE54A"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Grabovac, gradsko odlagalište zatvoreno 2001.god </w:t>
            </w:r>
          </w:p>
        </w:tc>
        <w:tc>
          <w:tcPr>
            <w:tcW w:w="2934" w:type="dxa"/>
            <w:tcBorders>
              <w:top w:val="single" w:sz="4" w:space="0" w:color="000000"/>
              <w:left w:val="single" w:sz="4" w:space="0" w:color="000000"/>
              <w:bottom w:val="single" w:sz="4" w:space="0" w:color="000000"/>
              <w:right w:val="single" w:sz="4" w:space="0" w:color="000000"/>
            </w:tcBorders>
            <w:vAlign w:val="center"/>
          </w:tcPr>
          <w:p w14:paraId="3CDC0BD8" w14:textId="59C15E01"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4" w:space="0" w:color="000000"/>
              <w:left w:val="single" w:sz="4" w:space="0" w:color="000000"/>
              <w:bottom w:val="single" w:sz="4" w:space="0" w:color="000000"/>
              <w:right w:val="single" w:sz="4" w:space="0" w:color="000000"/>
            </w:tcBorders>
            <w:vAlign w:val="center"/>
          </w:tcPr>
          <w:p w14:paraId="60BF2DA4"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100 000</w:t>
            </w:r>
          </w:p>
        </w:tc>
        <w:tc>
          <w:tcPr>
            <w:tcW w:w="937" w:type="dxa"/>
            <w:tcBorders>
              <w:top w:val="single" w:sz="4" w:space="0" w:color="000000"/>
              <w:left w:val="single" w:sz="4" w:space="0" w:color="000000"/>
              <w:bottom w:val="single" w:sz="4" w:space="0" w:color="000000"/>
              <w:right w:val="single" w:sz="4" w:space="0" w:color="000000"/>
            </w:tcBorders>
            <w:shd w:val="clear" w:color="auto" w:fill="00FFFF"/>
            <w:vAlign w:val="center"/>
          </w:tcPr>
          <w:p w14:paraId="2146D40E"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53634EC" w14:textId="77777777" w:rsidTr="00C232D7">
        <w:trPr>
          <w:trHeight w:val="226"/>
        </w:trPr>
        <w:tc>
          <w:tcPr>
            <w:tcW w:w="0" w:type="auto"/>
            <w:vMerge/>
            <w:tcBorders>
              <w:top w:val="nil"/>
              <w:left w:val="single" w:sz="4" w:space="0" w:color="000000"/>
              <w:bottom w:val="nil"/>
              <w:right w:val="single" w:sz="4" w:space="0" w:color="000000"/>
            </w:tcBorders>
          </w:tcPr>
          <w:p w14:paraId="3DC79DFD"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2E04B898"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3. </w:t>
            </w:r>
          </w:p>
        </w:tc>
        <w:tc>
          <w:tcPr>
            <w:tcW w:w="3718" w:type="dxa"/>
            <w:gridSpan w:val="4"/>
            <w:tcBorders>
              <w:top w:val="single" w:sz="4" w:space="0" w:color="000000"/>
              <w:left w:val="single" w:sz="4" w:space="0" w:color="000000"/>
              <w:bottom w:val="single" w:sz="4" w:space="0" w:color="000000"/>
              <w:right w:val="single" w:sz="4" w:space="0" w:color="000000"/>
            </w:tcBorders>
          </w:tcPr>
          <w:p w14:paraId="062A7637"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Gornji Đuraševići </w:t>
            </w:r>
          </w:p>
        </w:tc>
        <w:tc>
          <w:tcPr>
            <w:tcW w:w="2934" w:type="dxa"/>
            <w:tcBorders>
              <w:top w:val="single" w:sz="4" w:space="0" w:color="000000"/>
              <w:left w:val="single" w:sz="4" w:space="0" w:color="000000"/>
              <w:bottom w:val="single" w:sz="4" w:space="0" w:color="000000"/>
              <w:right w:val="single" w:sz="4" w:space="0" w:color="000000"/>
            </w:tcBorders>
          </w:tcPr>
          <w:p w14:paraId="2605CB0A" w14:textId="3D6A8382"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4" w:space="0" w:color="000000"/>
              <w:left w:val="single" w:sz="4" w:space="0" w:color="000000"/>
              <w:bottom w:val="single" w:sz="4" w:space="0" w:color="000000"/>
              <w:right w:val="single" w:sz="4" w:space="0" w:color="000000"/>
            </w:tcBorders>
          </w:tcPr>
          <w:p w14:paraId="474AF4CE"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150</w:t>
            </w:r>
          </w:p>
        </w:tc>
        <w:tc>
          <w:tcPr>
            <w:tcW w:w="937" w:type="dxa"/>
            <w:tcBorders>
              <w:top w:val="single" w:sz="4" w:space="0" w:color="000000"/>
              <w:left w:val="single" w:sz="4" w:space="0" w:color="000000"/>
              <w:bottom w:val="single" w:sz="4" w:space="0" w:color="000000"/>
              <w:right w:val="single" w:sz="4" w:space="0" w:color="000000"/>
            </w:tcBorders>
            <w:shd w:val="clear" w:color="auto" w:fill="00FFFF"/>
          </w:tcPr>
          <w:p w14:paraId="219E6931"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093ED8A" w14:textId="77777777" w:rsidTr="00C232D7">
        <w:trPr>
          <w:trHeight w:val="203"/>
        </w:trPr>
        <w:tc>
          <w:tcPr>
            <w:tcW w:w="0" w:type="auto"/>
            <w:vMerge/>
            <w:tcBorders>
              <w:top w:val="nil"/>
              <w:left w:val="single" w:sz="4" w:space="0" w:color="000000"/>
              <w:bottom w:val="nil"/>
              <w:right w:val="single" w:sz="4" w:space="0" w:color="000000"/>
            </w:tcBorders>
          </w:tcPr>
          <w:p w14:paraId="1B991D7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5C0B84D7"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718" w:type="dxa"/>
            <w:gridSpan w:val="4"/>
            <w:tcBorders>
              <w:top w:val="single" w:sz="4" w:space="0" w:color="000000"/>
              <w:left w:val="single" w:sz="4" w:space="0" w:color="000000"/>
              <w:bottom w:val="single" w:sz="4" w:space="0" w:color="000000"/>
              <w:right w:val="single" w:sz="4" w:space="0" w:color="000000"/>
            </w:tcBorders>
          </w:tcPr>
          <w:p w14:paraId="40F4118F"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Put uz trasu cjevovoda Radović </w:t>
            </w:r>
          </w:p>
        </w:tc>
        <w:tc>
          <w:tcPr>
            <w:tcW w:w="2934" w:type="dxa"/>
            <w:tcBorders>
              <w:top w:val="single" w:sz="4" w:space="0" w:color="000000"/>
              <w:left w:val="single" w:sz="4" w:space="0" w:color="000000"/>
              <w:bottom w:val="single" w:sz="4" w:space="0" w:color="auto"/>
              <w:right w:val="single" w:sz="4" w:space="0" w:color="000000"/>
            </w:tcBorders>
          </w:tcPr>
          <w:p w14:paraId="6E52728A" w14:textId="582937DA"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4" w:space="0" w:color="000000"/>
              <w:left w:val="single" w:sz="4" w:space="0" w:color="000000"/>
              <w:bottom w:val="single" w:sz="4" w:space="0" w:color="000000"/>
              <w:right w:val="single" w:sz="4" w:space="0" w:color="000000"/>
            </w:tcBorders>
          </w:tcPr>
          <w:p w14:paraId="6C00FEEF"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300</w:t>
            </w:r>
          </w:p>
        </w:tc>
        <w:tc>
          <w:tcPr>
            <w:tcW w:w="937" w:type="dxa"/>
            <w:tcBorders>
              <w:top w:val="single" w:sz="4" w:space="0" w:color="000000"/>
              <w:left w:val="single" w:sz="4" w:space="0" w:color="000000"/>
              <w:bottom w:val="single" w:sz="4" w:space="0" w:color="000000"/>
              <w:right w:val="single" w:sz="4" w:space="0" w:color="000000"/>
            </w:tcBorders>
            <w:shd w:val="clear" w:color="auto" w:fill="00FFFF"/>
          </w:tcPr>
          <w:p w14:paraId="7D40F8C1"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D60EE95" w14:textId="77777777" w:rsidTr="00C232D7">
        <w:trPr>
          <w:trHeight w:val="70"/>
        </w:trPr>
        <w:tc>
          <w:tcPr>
            <w:tcW w:w="0" w:type="auto"/>
            <w:vMerge/>
            <w:tcBorders>
              <w:top w:val="nil"/>
              <w:left w:val="single" w:sz="4" w:space="0" w:color="000000"/>
              <w:bottom w:val="single" w:sz="2" w:space="0" w:color="000000"/>
              <w:right w:val="single" w:sz="4" w:space="0" w:color="000000"/>
            </w:tcBorders>
          </w:tcPr>
          <w:p w14:paraId="060C907E"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2" w:space="0" w:color="000000"/>
              <w:right w:val="single" w:sz="4" w:space="0" w:color="000000"/>
            </w:tcBorders>
            <w:vAlign w:val="center"/>
          </w:tcPr>
          <w:p w14:paraId="2B0FDE95"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5. </w:t>
            </w:r>
          </w:p>
        </w:tc>
        <w:tc>
          <w:tcPr>
            <w:tcW w:w="3718" w:type="dxa"/>
            <w:gridSpan w:val="4"/>
            <w:tcBorders>
              <w:top w:val="single" w:sz="4" w:space="0" w:color="000000"/>
              <w:left w:val="single" w:sz="4" w:space="0" w:color="000000"/>
              <w:bottom w:val="single" w:sz="2" w:space="0" w:color="000000"/>
              <w:right w:val="single" w:sz="4" w:space="0" w:color="auto"/>
            </w:tcBorders>
          </w:tcPr>
          <w:p w14:paraId="1ADAC56F" w14:textId="77777777" w:rsidR="00C232D7" w:rsidRPr="00F6198B" w:rsidRDefault="00C232D7" w:rsidP="00C232D7">
            <w:pPr>
              <w:spacing w:line="360" w:lineRule="auto"/>
              <w:ind w:left="6"/>
              <w:rPr>
                <w:rFonts w:ascii="Arial" w:hAnsi="Arial" w:cs="Arial"/>
                <w:color w:val="000000"/>
                <w:sz w:val="18"/>
                <w:szCs w:val="18"/>
                <w:lang w:val="sr-Latn-RS"/>
              </w:rPr>
            </w:pPr>
            <w:r w:rsidRPr="00F6198B">
              <w:rPr>
                <w:rFonts w:ascii="Arial" w:hAnsi="Arial" w:cs="Arial"/>
                <w:color w:val="000000"/>
                <w:sz w:val="18"/>
                <w:szCs w:val="18"/>
                <w:lang w:val="sr-Latn-RS"/>
              </w:rPr>
              <w:t xml:space="preserve">Trasa cjevov između ulica Novosadska i Pod-Kuk </w:t>
            </w:r>
          </w:p>
        </w:tc>
        <w:tc>
          <w:tcPr>
            <w:tcW w:w="2934" w:type="dxa"/>
            <w:tcBorders>
              <w:top w:val="single" w:sz="4" w:space="0" w:color="auto"/>
              <w:left w:val="single" w:sz="4" w:space="0" w:color="auto"/>
              <w:bottom w:val="single" w:sz="4" w:space="0" w:color="auto"/>
              <w:right w:val="single" w:sz="4" w:space="0" w:color="auto"/>
            </w:tcBorders>
          </w:tcPr>
          <w:p w14:paraId="55D4FBDB" w14:textId="6AC870E3"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4" w:space="0" w:color="000000"/>
              <w:left w:val="single" w:sz="4" w:space="0" w:color="auto"/>
              <w:bottom w:val="single" w:sz="2" w:space="0" w:color="000000"/>
              <w:right w:val="single" w:sz="4" w:space="0" w:color="000000"/>
            </w:tcBorders>
            <w:vAlign w:val="center"/>
          </w:tcPr>
          <w:p w14:paraId="66CED3CD"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200</w:t>
            </w:r>
          </w:p>
        </w:tc>
        <w:tc>
          <w:tcPr>
            <w:tcW w:w="937" w:type="dxa"/>
            <w:tcBorders>
              <w:top w:val="single" w:sz="4" w:space="0" w:color="000000"/>
              <w:left w:val="single" w:sz="4" w:space="0" w:color="000000"/>
              <w:bottom w:val="single" w:sz="2" w:space="0" w:color="000000"/>
              <w:right w:val="single" w:sz="4" w:space="0" w:color="000000"/>
            </w:tcBorders>
            <w:shd w:val="clear" w:color="auto" w:fill="00FFFF"/>
            <w:vAlign w:val="center"/>
          </w:tcPr>
          <w:p w14:paraId="27A0581C"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41F3EA5" w14:textId="77777777" w:rsidTr="00C232D7">
        <w:trPr>
          <w:trHeight w:val="246"/>
        </w:trPr>
        <w:tc>
          <w:tcPr>
            <w:tcW w:w="1260" w:type="dxa"/>
            <w:gridSpan w:val="3"/>
            <w:tcBorders>
              <w:top w:val="single" w:sz="2" w:space="0" w:color="000000"/>
              <w:left w:val="single" w:sz="4" w:space="0" w:color="000000"/>
              <w:bottom w:val="single" w:sz="4" w:space="0" w:color="000000"/>
              <w:right w:val="single" w:sz="4" w:space="0" w:color="000000"/>
            </w:tcBorders>
            <w:shd w:val="clear" w:color="auto" w:fill="EAF1DD"/>
          </w:tcPr>
          <w:p w14:paraId="1AAD9DC0" w14:textId="77777777" w:rsidR="00C232D7" w:rsidRPr="00F6198B" w:rsidRDefault="00C232D7" w:rsidP="00C232D7">
            <w:pPr>
              <w:spacing w:line="360" w:lineRule="auto"/>
              <w:ind w:left="8"/>
              <w:rPr>
                <w:rFonts w:ascii="Arial" w:hAnsi="Arial" w:cs="Arial"/>
                <w:color w:val="000000"/>
                <w:sz w:val="18"/>
                <w:szCs w:val="18"/>
                <w:lang w:val="sr-Latn-RS"/>
              </w:rPr>
            </w:pPr>
          </w:p>
          <w:p w14:paraId="11899D81"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22. ULCINJ </w:t>
            </w:r>
          </w:p>
        </w:tc>
        <w:tc>
          <w:tcPr>
            <w:tcW w:w="3263" w:type="dxa"/>
            <w:gridSpan w:val="3"/>
            <w:tcBorders>
              <w:top w:val="single" w:sz="2" w:space="0" w:color="000000"/>
              <w:left w:val="single" w:sz="4" w:space="0" w:color="000000"/>
              <w:bottom w:val="single" w:sz="4" w:space="0" w:color="000000"/>
              <w:right w:val="nil"/>
            </w:tcBorders>
            <w:shd w:val="clear" w:color="auto" w:fill="EAF1DD"/>
          </w:tcPr>
          <w:p w14:paraId="676C0DAA"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2934" w:type="dxa"/>
            <w:tcBorders>
              <w:top w:val="single" w:sz="4" w:space="0" w:color="auto"/>
              <w:left w:val="nil"/>
              <w:bottom w:val="single" w:sz="4" w:space="0" w:color="000000"/>
              <w:right w:val="nil"/>
            </w:tcBorders>
            <w:shd w:val="clear" w:color="auto" w:fill="EAF1DD"/>
          </w:tcPr>
          <w:p w14:paraId="37552E9D" w14:textId="77777777" w:rsidR="00C232D7" w:rsidRPr="00F6198B" w:rsidRDefault="00C232D7" w:rsidP="00C232D7">
            <w:pPr>
              <w:spacing w:after="160" w:line="360" w:lineRule="auto"/>
              <w:rPr>
                <w:rFonts w:ascii="Arial" w:hAnsi="Arial" w:cs="Arial"/>
                <w:color w:val="000000"/>
                <w:sz w:val="18"/>
                <w:szCs w:val="18"/>
                <w:lang w:val="sr-Latn-RS"/>
              </w:rPr>
            </w:pPr>
          </w:p>
        </w:tc>
        <w:tc>
          <w:tcPr>
            <w:tcW w:w="931" w:type="dxa"/>
            <w:tcBorders>
              <w:top w:val="single" w:sz="2" w:space="0" w:color="000000"/>
              <w:left w:val="nil"/>
              <w:bottom w:val="single" w:sz="4" w:space="0" w:color="000000"/>
              <w:right w:val="nil"/>
            </w:tcBorders>
            <w:shd w:val="clear" w:color="auto" w:fill="EAF1DD"/>
          </w:tcPr>
          <w:p w14:paraId="59EA208A"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37" w:type="dxa"/>
            <w:tcBorders>
              <w:top w:val="single" w:sz="2" w:space="0" w:color="000000"/>
              <w:left w:val="nil"/>
              <w:bottom w:val="single" w:sz="4" w:space="0" w:color="000000"/>
              <w:right w:val="single" w:sz="4" w:space="0" w:color="000000"/>
            </w:tcBorders>
            <w:shd w:val="clear" w:color="auto" w:fill="EAF1DD"/>
          </w:tcPr>
          <w:p w14:paraId="05EF305E"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04EF5D2A" w14:textId="77777777" w:rsidTr="00C232D7">
        <w:trPr>
          <w:trHeight w:val="204"/>
        </w:trPr>
        <w:tc>
          <w:tcPr>
            <w:tcW w:w="220" w:type="dxa"/>
            <w:vMerge w:val="restart"/>
            <w:tcBorders>
              <w:top w:val="single" w:sz="4" w:space="0" w:color="000000"/>
              <w:left w:val="single" w:sz="4" w:space="0" w:color="000000"/>
              <w:bottom w:val="single" w:sz="4" w:space="0" w:color="000000"/>
              <w:right w:val="single" w:sz="4" w:space="0" w:color="000000"/>
            </w:tcBorders>
            <w:shd w:val="clear" w:color="auto" w:fill="EAF1DD"/>
            <w:vAlign w:val="center"/>
          </w:tcPr>
          <w:p w14:paraId="7DB31821"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tcBorders>
              <w:top w:val="single" w:sz="4" w:space="0" w:color="000000"/>
              <w:left w:val="single" w:sz="4" w:space="0" w:color="000000"/>
              <w:bottom w:val="single" w:sz="4" w:space="0" w:color="000000"/>
              <w:right w:val="single" w:sz="4" w:space="0" w:color="000000"/>
            </w:tcBorders>
          </w:tcPr>
          <w:p w14:paraId="5AB1A22C"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718" w:type="dxa"/>
            <w:gridSpan w:val="4"/>
            <w:tcBorders>
              <w:top w:val="single" w:sz="4" w:space="0" w:color="000000"/>
              <w:left w:val="single" w:sz="4" w:space="0" w:color="000000"/>
              <w:bottom w:val="single" w:sz="4" w:space="0" w:color="000000"/>
              <w:right w:val="single" w:sz="4" w:space="0" w:color="000000"/>
            </w:tcBorders>
          </w:tcPr>
          <w:p w14:paraId="6BA7594F" w14:textId="431C7E44"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Lok</w:t>
            </w:r>
            <w:r w:rsidR="00653F1C" w:rsidRPr="00F6198B">
              <w:rPr>
                <w:rFonts w:ascii="Arial" w:hAnsi="Arial" w:cs="Arial"/>
                <w:color w:val="000000"/>
                <w:sz w:val="18"/>
                <w:szCs w:val="18"/>
                <w:lang w:val="sr-Latn-RS"/>
              </w:rPr>
              <w:t>acija</w:t>
            </w:r>
            <w:r w:rsidRPr="00F6198B">
              <w:rPr>
                <w:rFonts w:ascii="Arial" w:hAnsi="Arial" w:cs="Arial"/>
                <w:color w:val="000000"/>
                <w:sz w:val="18"/>
                <w:szCs w:val="18"/>
                <w:lang w:val="sr-Latn-RS"/>
              </w:rPr>
              <w:t xml:space="preserve"> 1, zaleđe plaže Saranda-Ferijalni </w:t>
            </w:r>
          </w:p>
        </w:tc>
        <w:tc>
          <w:tcPr>
            <w:tcW w:w="2934" w:type="dxa"/>
            <w:tcBorders>
              <w:top w:val="single" w:sz="4" w:space="0" w:color="000000"/>
              <w:left w:val="single" w:sz="4" w:space="0" w:color="000000"/>
              <w:bottom w:val="single" w:sz="4" w:space="0" w:color="000000"/>
              <w:right w:val="single" w:sz="4" w:space="0" w:color="000000"/>
            </w:tcBorders>
          </w:tcPr>
          <w:p w14:paraId="0E1A180D" w14:textId="577B5A86"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4" w:space="0" w:color="000000"/>
              <w:right w:val="single" w:sz="4" w:space="0" w:color="000000"/>
            </w:tcBorders>
          </w:tcPr>
          <w:p w14:paraId="1A195103"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37" w:type="dxa"/>
            <w:tcBorders>
              <w:top w:val="single" w:sz="4" w:space="0" w:color="000000"/>
              <w:left w:val="single" w:sz="4" w:space="0" w:color="000000"/>
              <w:bottom w:val="single" w:sz="4" w:space="0" w:color="000000"/>
              <w:right w:val="single" w:sz="4" w:space="0" w:color="000000"/>
            </w:tcBorders>
            <w:shd w:val="clear" w:color="auto" w:fill="00FFFF"/>
          </w:tcPr>
          <w:p w14:paraId="5845B2F6"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6964DF46" w14:textId="77777777" w:rsidTr="00C232D7">
        <w:trPr>
          <w:trHeight w:val="203"/>
        </w:trPr>
        <w:tc>
          <w:tcPr>
            <w:tcW w:w="0" w:type="auto"/>
            <w:vMerge/>
            <w:tcBorders>
              <w:top w:val="nil"/>
              <w:left w:val="single" w:sz="4" w:space="0" w:color="000000"/>
              <w:bottom w:val="nil"/>
              <w:right w:val="single" w:sz="4" w:space="0" w:color="000000"/>
            </w:tcBorders>
          </w:tcPr>
          <w:p w14:paraId="6DD5C6E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3D3CAA64"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718" w:type="dxa"/>
            <w:gridSpan w:val="4"/>
            <w:tcBorders>
              <w:top w:val="single" w:sz="4" w:space="0" w:color="000000"/>
              <w:left w:val="single" w:sz="4" w:space="0" w:color="000000"/>
              <w:bottom w:val="single" w:sz="4" w:space="0" w:color="000000"/>
              <w:right w:val="single" w:sz="4" w:space="0" w:color="000000"/>
            </w:tcBorders>
          </w:tcPr>
          <w:p w14:paraId="5B619EC2" w14:textId="38AEFF9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Lok</w:t>
            </w:r>
            <w:r w:rsidR="00653F1C" w:rsidRPr="00F6198B">
              <w:rPr>
                <w:rFonts w:ascii="Arial" w:hAnsi="Arial" w:cs="Arial"/>
                <w:color w:val="000000"/>
                <w:sz w:val="18"/>
                <w:szCs w:val="18"/>
                <w:lang w:val="sr-Latn-RS"/>
              </w:rPr>
              <w:t>acija</w:t>
            </w:r>
            <w:r w:rsidRPr="00F6198B">
              <w:rPr>
                <w:rFonts w:ascii="Arial" w:hAnsi="Arial" w:cs="Arial"/>
                <w:color w:val="000000"/>
                <w:sz w:val="18"/>
                <w:szCs w:val="18"/>
                <w:lang w:val="sr-Latn-RS"/>
              </w:rPr>
              <w:t xml:space="preserve"> 2, zaleđe plaže Safari- Imperijal </w:t>
            </w:r>
          </w:p>
        </w:tc>
        <w:tc>
          <w:tcPr>
            <w:tcW w:w="2934" w:type="dxa"/>
            <w:tcBorders>
              <w:top w:val="single" w:sz="4" w:space="0" w:color="000000"/>
              <w:left w:val="single" w:sz="4" w:space="0" w:color="000000"/>
              <w:bottom w:val="single" w:sz="4" w:space="0" w:color="000000"/>
              <w:right w:val="single" w:sz="4" w:space="0" w:color="000000"/>
            </w:tcBorders>
          </w:tcPr>
          <w:p w14:paraId="4B146FE9" w14:textId="40ED7D88"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4" w:space="0" w:color="000000"/>
              <w:right w:val="single" w:sz="4" w:space="0" w:color="000000"/>
            </w:tcBorders>
          </w:tcPr>
          <w:p w14:paraId="6A162C03"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37" w:type="dxa"/>
            <w:tcBorders>
              <w:top w:val="single" w:sz="4" w:space="0" w:color="000000"/>
              <w:left w:val="single" w:sz="4" w:space="0" w:color="000000"/>
              <w:bottom w:val="single" w:sz="4" w:space="0" w:color="000000"/>
              <w:right w:val="single" w:sz="4" w:space="0" w:color="000000"/>
            </w:tcBorders>
            <w:shd w:val="clear" w:color="auto" w:fill="00FFFF"/>
          </w:tcPr>
          <w:p w14:paraId="6FA35E48"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08306A4" w14:textId="77777777" w:rsidTr="00C232D7">
        <w:trPr>
          <w:trHeight w:val="205"/>
        </w:trPr>
        <w:tc>
          <w:tcPr>
            <w:tcW w:w="0" w:type="auto"/>
            <w:vMerge/>
            <w:tcBorders>
              <w:top w:val="nil"/>
              <w:left w:val="single" w:sz="4" w:space="0" w:color="000000"/>
              <w:bottom w:val="nil"/>
              <w:right w:val="single" w:sz="4" w:space="0" w:color="000000"/>
            </w:tcBorders>
          </w:tcPr>
          <w:p w14:paraId="5DD668A7"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0579C1E9"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3. </w:t>
            </w:r>
          </w:p>
        </w:tc>
        <w:tc>
          <w:tcPr>
            <w:tcW w:w="3718" w:type="dxa"/>
            <w:gridSpan w:val="4"/>
            <w:tcBorders>
              <w:top w:val="single" w:sz="4" w:space="0" w:color="000000"/>
              <w:left w:val="single" w:sz="4" w:space="0" w:color="000000"/>
              <w:bottom w:val="single" w:sz="4" w:space="0" w:color="000000"/>
              <w:right w:val="single" w:sz="4" w:space="0" w:color="000000"/>
            </w:tcBorders>
          </w:tcPr>
          <w:p w14:paraId="2B10C90F" w14:textId="0A0FFFC2"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Lok</w:t>
            </w:r>
            <w:r w:rsidR="00653F1C" w:rsidRPr="00F6198B">
              <w:rPr>
                <w:rFonts w:ascii="Arial" w:hAnsi="Arial" w:cs="Arial"/>
                <w:color w:val="000000"/>
                <w:sz w:val="18"/>
                <w:szCs w:val="18"/>
                <w:lang w:val="sr-Latn-RS"/>
              </w:rPr>
              <w:t>acija</w:t>
            </w:r>
            <w:r w:rsidRPr="00F6198B">
              <w:rPr>
                <w:rFonts w:ascii="Arial" w:hAnsi="Arial" w:cs="Arial"/>
                <w:color w:val="000000"/>
                <w:sz w:val="18"/>
                <w:szCs w:val="18"/>
                <w:lang w:val="sr-Latn-RS"/>
              </w:rPr>
              <w:t xml:space="preserve"> 3, zaleđe plaže Adriatic-II beogradsko </w:t>
            </w:r>
          </w:p>
        </w:tc>
        <w:tc>
          <w:tcPr>
            <w:tcW w:w="2934" w:type="dxa"/>
            <w:tcBorders>
              <w:top w:val="single" w:sz="4" w:space="0" w:color="000000"/>
              <w:left w:val="single" w:sz="4" w:space="0" w:color="000000"/>
              <w:bottom w:val="single" w:sz="4" w:space="0" w:color="000000"/>
              <w:right w:val="single" w:sz="4" w:space="0" w:color="000000"/>
            </w:tcBorders>
          </w:tcPr>
          <w:p w14:paraId="3DFE0DE1" w14:textId="775D3A0C"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4" w:space="0" w:color="000000"/>
              <w:right w:val="single" w:sz="4" w:space="0" w:color="000000"/>
            </w:tcBorders>
          </w:tcPr>
          <w:p w14:paraId="56674AE0"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37" w:type="dxa"/>
            <w:tcBorders>
              <w:top w:val="single" w:sz="4" w:space="0" w:color="000000"/>
              <w:left w:val="single" w:sz="4" w:space="0" w:color="000000"/>
              <w:bottom w:val="single" w:sz="4" w:space="0" w:color="000000"/>
              <w:right w:val="single" w:sz="4" w:space="0" w:color="000000"/>
            </w:tcBorders>
            <w:shd w:val="clear" w:color="auto" w:fill="00FFFF"/>
          </w:tcPr>
          <w:p w14:paraId="53B060EB"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9A0D0EB" w14:textId="77777777" w:rsidTr="00C232D7">
        <w:trPr>
          <w:trHeight w:val="202"/>
        </w:trPr>
        <w:tc>
          <w:tcPr>
            <w:tcW w:w="0" w:type="auto"/>
            <w:vMerge/>
            <w:tcBorders>
              <w:top w:val="nil"/>
              <w:left w:val="single" w:sz="4" w:space="0" w:color="000000"/>
              <w:bottom w:val="nil"/>
              <w:right w:val="single" w:sz="4" w:space="0" w:color="000000"/>
            </w:tcBorders>
          </w:tcPr>
          <w:p w14:paraId="2DA2914E"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50AD1B00"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718" w:type="dxa"/>
            <w:gridSpan w:val="4"/>
            <w:tcBorders>
              <w:top w:val="single" w:sz="4" w:space="0" w:color="000000"/>
              <w:left w:val="single" w:sz="4" w:space="0" w:color="000000"/>
              <w:bottom w:val="single" w:sz="4" w:space="0" w:color="000000"/>
              <w:right w:val="single" w:sz="4" w:space="0" w:color="000000"/>
            </w:tcBorders>
          </w:tcPr>
          <w:p w14:paraId="1BF1BBA6" w14:textId="5A50C5C4"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Lok</w:t>
            </w:r>
            <w:r w:rsidR="00653F1C" w:rsidRPr="00F6198B">
              <w:rPr>
                <w:rFonts w:ascii="Arial" w:hAnsi="Arial" w:cs="Arial"/>
                <w:color w:val="000000"/>
                <w:sz w:val="18"/>
                <w:szCs w:val="18"/>
                <w:lang w:val="sr-Latn-RS"/>
              </w:rPr>
              <w:t>acija</w:t>
            </w:r>
            <w:r w:rsidRPr="00F6198B">
              <w:rPr>
                <w:rFonts w:ascii="Arial" w:hAnsi="Arial" w:cs="Arial"/>
                <w:color w:val="000000"/>
                <w:sz w:val="18"/>
                <w:szCs w:val="18"/>
                <w:lang w:val="sr-Latn-RS"/>
              </w:rPr>
              <w:t xml:space="preserve"> 4, Ruga carit - desna strana </w:t>
            </w:r>
          </w:p>
        </w:tc>
        <w:tc>
          <w:tcPr>
            <w:tcW w:w="2934" w:type="dxa"/>
            <w:tcBorders>
              <w:top w:val="single" w:sz="4" w:space="0" w:color="000000"/>
              <w:left w:val="single" w:sz="4" w:space="0" w:color="000000"/>
              <w:bottom w:val="single" w:sz="4" w:space="0" w:color="000000"/>
              <w:right w:val="single" w:sz="4" w:space="0" w:color="000000"/>
            </w:tcBorders>
          </w:tcPr>
          <w:p w14:paraId="23B89152" w14:textId="732E134C"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4" w:space="0" w:color="000000"/>
              <w:right w:val="single" w:sz="4" w:space="0" w:color="000000"/>
            </w:tcBorders>
          </w:tcPr>
          <w:p w14:paraId="7AABAB3C"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35</w:t>
            </w:r>
          </w:p>
        </w:tc>
        <w:tc>
          <w:tcPr>
            <w:tcW w:w="937" w:type="dxa"/>
            <w:tcBorders>
              <w:top w:val="single" w:sz="4" w:space="0" w:color="000000"/>
              <w:left w:val="single" w:sz="4" w:space="0" w:color="000000"/>
              <w:bottom w:val="single" w:sz="4" w:space="0" w:color="000000"/>
              <w:right w:val="single" w:sz="4" w:space="0" w:color="000000"/>
            </w:tcBorders>
            <w:shd w:val="clear" w:color="auto" w:fill="00FFFF"/>
          </w:tcPr>
          <w:p w14:paraId="26D522B2"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62DE6FC" w14:textId="77777777" w:rsidTr="00C232D7">
        <w:trPr>
          <w:trHeight w:val="206"/>
        </w:trPr>
        <w:tc>
          <w:tcPr>
            <w:tcW w:w="0" w:type="auto"/>
            <w:vMerge/>
            <w:tcBorders>
              <w:top w:val="nil"/>
              <w:left w:val="single" w:sz="4" w:space="0" w:color="000000"/>
              <w:bottom w:val="nil"/>
              <w:right w:val="single" w:sz="4" w:space="0" w:color="000000"/>
            </w:tcBorders>
          </w:tcPr>
          <w:p w14:paraId="097BA170"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66ED05E6"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5. </w:t>
            </w:r>
          </w:p>
        </w:tc>
        <w:tc>
          <w:tcPr>
            <w:tcW w:w="3718" w:type="dxa"/>
            <w:gridSpan w:val="4"/>
            <w:tcBorders>
              <w:top w:val="single" w:sz="4" w:space="0" w:color="000000"/>
              <w:left w:val="single" w:sz="4" w:space="0" w:color="000000"/>
              <w:bottom w:val="single" w:sz="4" w:space="0" w:color="000000"/>
              <w:right w:val="single" w:sz="4" w:space="0" w:color="000000"/>
            </w:tcBorders>
          </w:tcPr>
          <w:p w14:paraId="2E083BF2" w14:textId="4302D481"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Lok</w:t>
            </w:r>
            <w:r w:rsidR="00653F1C" w:rsidRPr="00F6198B">
              <w:rPr>
                <w:rFonts w:ascii="Arial" w:hAnsi="Arial" w:cs="Arial"/>
                <w:color w:val="000000"/>
                <w:sz w:val="18"/>
                <w:szCs w:val="18"/>
                <w:lang w:val="sr-Latn-RS"/>
              </w:rPr>
              <w:t>acija</w:t>
            </w:r>
            <w:r w:rsidRPr="00F6198B">
              <w:rPr>
                <w:rFonts w:ascii="Arial" w:hAnsi="Arial" w:cs="Arial"/>
                <w:color w:val="000000"/>
                <w:sz w:val="18"/>
                <w:szCs w:val="18"/>
                <w:lang w:val="sr-Latn-RS"/>
              </w:rPr>
              <w:t xml:space="preserve"> 5, Ruga carit - lijeva strana </w:t>
            </w:r>
          </w:p>
        </w:tc>
        <w:tc>
          <w:tcPr>
            <w:tcW w:w="2934" w:type="dxa"/>
            <w:tcBorders>
              <w:top w:val="single" w:sz="4" w:space="0" w:color="000000"/>
              <w:left w:val="single" w:sz="4" w:space="0" w:color="000000"/>
              <w:bottom w:val="single" w:sz="4" w:space="0" w:color="000000"/>
              <w:right w:val="single" w:sz="4" w:space="0" w:color="000000"/>
            </w:tcBorders>
          </w:tcPr>
          <w:p w14:paraId="0CF08244" w14:textId="32FEF319"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4" w:space="0" w:color="000000"/>
              <w:right w:val="single" w:sz="4" w:space="0" w:color="000000"/>
            </w:tcBorders>
          </w:tcPr>
          <w:p w14:paraId="01C22BE5"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37" w:type="dxa"/>
            <w:tcBorders>
              <w:top w:val="single" w:sz="4" w:space="0" w:color="000000"/>
              <w:left w:val="single" w:sz="4" w:space="0" w:color="000000"/>
              <w:bottom w:val="single" w:sz="4" w:space="0" w:color="000000"/>
              <w:right w:val="single" w:sz="4" w:space="0" w:color="000000"/>
            </w:tcBorders>
            <w:shd w:val="clear" w:color="auto" w:fill="00FFFF"/>
          </w:tcPr>
          <w:p w14:paraId="111AA4B8"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44DFBA2" w14:textId="77777777" w:rsidTr="00C232D7">
        <w:trPr>
          <w:trHeight w:val="203"/>
        </w:trPr>
        <w:tc>
          <w:tcPr>
            <w:tcW w:w="0" w:type="auto"/>
            <w:vMerge/>
            <w:tcBorders>
              <w:top w:val="nil"/>
              <w:left w:val="single" w:sz="4" w:space="0" w:color="000000"/>
              <w:bottom w:val="nil"/>
              <w:right w:val="single" w:sz="4" w:space="0" w:color="000000"/>
            </w:tcBorders>
          </w:tcPr>
          <w:p w14:paraId="6A032E9B"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2" w:space="0" w:color="000000"/>
              <w:right w:val="single" w:sz="4" w:space="0" w:color="000000"/>
            </w:tcBorders>
          </w:tcPr>
          <w:p w14:paraId="171FE114"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6. </w:t>
            </w:r>
          </w:p>
        </w:tc>
        <w:tc>
          <w:tcPr>
            <w:tcW w:w="3718" w:type="dxa"/>
            <w:gridSpan w:val="4"/>
            <w:tcBorders>
              <w:top w:val="single" w:sz="4" w:space="0" w:color="000000"/>
              <w:left w:val="single" w:sz="4" w:space="0" w:color="000000"/>
              <w:bottom w:val="single" w:sz="2" w:space="0" w:color="000000"/>
              <w:right w:val="single" w:sz="4" w:space="0" w:color="000000"/>
            </w:tcBorders>
          </w:tcPr>
          <w:p w14:paraId="3D0A7DE7" w14:textId="55D440D5"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Lok</w:t>
            </w:r>
            <w:r w:rsidR="00653F1C" w:rsidRPr="00F6198B">
              <w:rPr>
                <w:rFonts w:ascii="Arial" w:hAnsi="Arial" w:cs="Arial"/>
                <w:color w:val="000000"/>
                <w:sz w:val="18"/>
                <w:szCs w:val="18"/>
                <w:lang w:val="sr-Latn-RS"/>
              </w:rPr>
              <w:t>acija</w:t>
            </w:r>
            <w:r w:rsidRPr="00F6198B">
              <w:rPr>
                <w:rFonts w:ascii="Arial" w:hAnsi="Arial" w:cs="Arial"/>
                <w:color w:val="000000"/>
                <w:sz w:val="18"/>
                <w:szCs w:val="18"/>
                <w:lang w:val="sr-Latn-RS"/>
              </w:rPr>
              <w:t xml:space="preserve"> 6, zaleđe plaže Kopakabana </w:t>
            </w:r>
          </w:p>
        </w:tc>
        <w:tc>
          <w:tcPr>
            <w:tcW w:w="2934" w:type="dxa"/>
            <w:tcBorders>
              <w:top w:val="single" w:sz="4" w:space="0" w:color="000000"/>
              <w:left w:val="single" w:sz="4" w:space="0" w:color="000000"/>
              <w:bottom w:val="single" w:sz="2" w:space="0" w:color="000000"/>
              <w:right w:val="single" w:sz="4" w:space="0" w:color="000000"/>
            </w:tcBorders>
          </w:tcPr>
          <w:p w14:paraId="568CE540" w14:textId="7832C8B4"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2" w:space="0" w:color="000000"/>
              <w:right w:val="single" w:sz="4" w:space="0" w:color="000000"/>
            </w:tcBorders>
          </w:tcPr>
          <w:p w14:paraId="7643BC63"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37" w:type="dxa"/>
            <w:tcBorders>
              <w:top w:val="single" w:sz="4" w:space="0" w:color="000000"/>
              <w:left w:val="single" w:sz="4" w:space="0" w:color="000000"/>
              <w:bottom w:val="single" w:sz="2" w:space="0" w:color="000000"/>
              <w:right w:val="single" w:sz="4" w:space="0" w:color="000000"/>
            </w:tcBorders>
            <w:shd w:val="clear" w:color="auto" w:fill="00FFFF"/>
          </w:tcPr>
          <w:p w14:paraId="1F9F10A3"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20C29B3" w14:textId="77777777" w:rsidTr="00C232D7">
        <w:trPr>
          <w:trHeight w:val="205"/>
        </w:trPr>
        <w:tc>
          <w:tcPr>
            <w:tcW w:w="0" w:type="auto"/>
            <w:vMerge/>
            <w:tcBorders>
              <w:top w:val="nil"/>
              <w:left w:val="single" w:sz="4" w:space="0" w:color="000000"/>
              <w:bottom w:val="nil"/>
              <w:right w:val="single" w:sz="4" w:space="0" w:color="000000"/>
            </w:tcBorders>
          </w:tcPr>
          <w:p w14:paraId="2EBB351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2" w:space="0" w:color="000000"/>
              <w:left w:val="single" w:sz="4" w:space="0" w:color="000000"/>
              <w:bottom w:val="single" w:sz="4" w:space="0" w:color="000000"/>
              <w:right w:val="single" w:sz="4" w:space="0" w:color="000000"/>
            </w:tcBorders>
          </w:tcPr>
          <w:p w14:paraId="5EF098E2"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7. </w:t>
            </w:r>
          </w:p>
        </w:tc>
        <w:tc>
          <w:tcPr>
            <w:tcW w:w="3718" w:type="dxa"/>
            <w:gridSpan w:val="4"/>
            <w:tcBorders>
              <w:top w:val="single" w:sz="2" w:space="0" w:color="000000"/>
              <w:left w:val="single" w:sz="4" w:space="0" w:color="000000"/>
              <w:bottom w:val="single" w:sz="4" w:space="0" w:color="000000"/>
              <w:right w:val="single" w:sz="4" w:space="0" w:color="000000"/>
            </w:tcBorders>
          </w:tcPr>
          <w:p w14:paraId="4F25F4A9" w14:textId="518231FC"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Lok</w:t>
            </w:r>
            <w:r w:rsidR="00653F1C" w:rsidRPr="00F6198B">
              <w:rPr>
                <w:rFonts w:ascii="Arial" w:hAnsi="Arial" w:cs="Arial"/>
                <w:color w:val="000000"/>
                <w:sz w:val="18"/>
                <w:szCs w:val="18"/>
                <w:lang w:val="sr-Latn-RS"/>
              </w:rPr>
              <w:t>acija</w:t>
            </w:r>
            <w:r w:rsidRPr="00F6198B">
              <w:rPr>
                <w:rFonts w:ascii="Arial" w:hAnsi="Arial" w:cs="Arial"/>
                <w:color w:val="000000"/>
                <w:sz w:val="18"/>
                <w:szCs w:val="18"/>
                <w:lang w:val="sr-Latn-RS"/>
              </w:rPr>
              <w:t xml:space="preserve"> 7, zaleđe plaže poslije plaže Kopakabana </w:t>
            </w:r>
          </w:p>
        </w:tc>
        <w:tc>
          <w:tcPr>
            <w:tcW w:w="2934" w:type="dxa"/>
            <w:tcBorders>
              <w:top w:val="single" w:sz="2" w:space="0" w:color="000000"/>
              <w:left w:val="single" w:sz="4" w:space="0" w:color="000000"/>
              <w:bottom w:val="single" w:sz="4" w:space="0" w:color="000000"/>
              <w:right w:val="single" w:sz="4" w:space="0" w:color="000000"/>
            </w:tcBorders>
          </w:tcPr>
          <w:p w14:paraId="7E27DA12" w14:textId="7CC45A5C"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2" w:space="0" w:color="000000"/>
              <w:left w:val="single" w:sz="4" w:space="0" w:color="000000"/>
              <w:bottom w:val="single" w:sz="4" w:space="0" w:color="000000"/>
              <w:right w:val="single" w:sz="4" w:space="0" w:color="000000"/>
            </w:tcBorders>
          </w:tcPr>
          <w:p w14:paraId="59E5ED35"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180</w:t>
            </w:r>
          </w:p>
        </w:tc>
        <w:tc>
          <w:tcPr>
            <w:tcW w:w="937" w:type="dxa"/>
            <w:tcBorders>
              <w:top w:val="single" w:sz="2" w:space="0" w:color="000000"/>
              <w:left w:val="single" w:sz="4" w:space="0" w:color="000000"/>
              <w:bottom w:val="single" w:sz="4" w:space="0" w:color="000000"/>
              <w:right w:val="single" w:sz="4" w:space="0" w:color="000000"/>
            </w:tcBorders>
            <w:shd w:val="clear" w:color="auto" w:fill="00FFFF"/>
            <w:vAlign w:val="center"/>
          </w:tcPr>
          <w:p w14:paraId="64C9F014"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7DF172C" w14:textId="77777777" w:rsidTr="00C232D7">
        <w:trPr>
          <w:trHeight w:val="204"/>
        </w:trPr>
        <w:tc>
          <w:tcPr>
            <w:tcW w:w="0" w:type="auto"/>
            <w:vMerge/>
            <w:tcBorders>
              <w:top w:val="nil"/>
              <w:left w:val="single" w:sz="4" w:space="0" w:color="000000"/>
              <w:bottom w:val="nil"/>
              <w:right w:val="single" w:sz="4" w:space="0" w:color="000000"/>
            </w:tcBorders>
          </w:tcPr>
          <w:p w14:paraId="17A88A3A"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37CB9083"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8. </w:t>
            </w:r>
          </w:p>
        </w:tc>
        <w:tc>
          <w:tcPr>
            <w:tcW w:w="3718" w:type="dxa"/>
            <w:gridSpan w:val="4"/>
            <w:tcBorders>
              <w:top w:val="single" w:sz="4" w:space="0" w:color="000000"/>
              <w:left w:val="single" w:sz="4" w:space="0" w:color="000000"/>
              <w:bottom w:val="single" w:sz="4" w:space="0" w:color="000000"/>
              <w:right w:val="single" w:sz="4" w:space="0" w:color="000000"/>
            </w:tcBorders>
          </w:tcPr>
          <w:p w14:paraId="1773C955" w14:textId="44D0D4D8"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Lok</w:t>
            </w:r>
            <w:r w:rsidR="00653F1C" w:rsidRPr="00F6198B">
              <w:rPr>
                <w:rFonts w:ascii="Arial" w:hAnsi="Arial" w:cs="Arial"/>
                <w:color w:val="000000"/>
                <w:sz w:val="18"/>
                <w:szCs w:val="18"/>
                <w:lang w:val="sr-Latn-RS"/>
              </w:rPr>
              <w:t>acija</w:t>
            </w:r>
            <w:r w:rsidRPr="00F6198B">
              <w:rPr>
                <w:rFonts w:ascii="Arial" w:hAnsi="Arial" w:cs="Arial"/>
                <w:color w:val="000000"/>
                <w:sz w:val="18"/>
                <w:szCs w:val="18"/>
                <w:lang w:val="sr-Latn-RS"/>
              </w:rPr>
              <w:t xml:space="preserve"> 8, zaleđe plaže Dolicijum </w:t>
            </w:r>
          </w:p>
        </w:tc>
        <w:tc>
          <w:tcPr>
            <w:tcW w:w="2934" w:type="dxa"/>
            <w:tcBorders>
              <w:top w:val="single" w:sz="4" w:space="0" w:color="000000"/>
              <w:left w:val="single" w:sz="4" w:space="0" w:color="000000"/>
              <w:bottom w:val="single" w:sz="4" w:space="0" w:color="000000"/>
              <w:right w:val="single" w:sz="4" w:space="0" w:color="000000"/>
            </w:tcBorders>
          </w:tcPr>
          <w:p w14:paraId="4FFF9041" w14:textId="7F4CE690"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4" w:space="0" w:color="000000"/>
              <w:right w:val="single" w:sz="4" w:space="0" w:color="000000"/>
            </w:tcBorders>
          </w:tcPr>
          <w:p w14:paraId="1A4DE74E"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37" w:type="dxa"/>
            <w:tcBorders>
              <w:top w:val="single" w:sz="4" w:space="0" w:color="000000"/>
              <w:left w:val="single" w:sz="4" w:space="0" w:color="000000"/>
              <w:bottom w:val="single" w:sz="4" w:space="0" w:color="000000"/>
              <w:right w:val="single" w:sz="4" w:space="0" w:color="000000"/>
            </w:tcBorders>
            <w:shd w:val="clear" w:color="auto" w:fill="00FFFF"/>
            <w:vAlign w:val="center"/>
          </w:tcPr>
          <w:p w14:paraId="39AF5F12"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CD99F5D" w14:textId="77777777" w:rsidTr="00C232D7">
        <w:trPr>
          <w:trHeight w:val="203"/>
        </w:trPr>
        <w:tc>
          <w:tcPr>
            <w:tcW w:w="0" w:type="auto"/>
            <w:vMerge/>
            <w:tcBorders>
              <w:top w:val="nil"/>
              <w:left w:val="single" w:sz="4" w:space="0" w:color="000000"/>
              <w:bottom w:val="nil"/>
              <w:right w:val="single" w:sz="4" w:space="0" w:color="000000"/>
            </w:tcBorders>
          </w:tcPr>
          <w:p w14:paraId="6488C075"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6D4C41A9"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9. </w:t>
            </w:r>
          </w:p>
        </w:tc>
        <w:tc>
          <w:tcPr>
            <w:tcW w:w="3718" w:type="dxa"/>
            <w:gridSpan w:val="4"/>
            <w:tcBorders>
              <w:top w:val="single" w:sz="4" w:space="0" w:color="000000"/>
              <w:left w:val="single" w:sz="4" w:space="0" w:color="000000"/>
              <w:bottom w:val="single" w:sz="4" w:space="0" w:color="000000"/>
              <w:right w:val="single" w:sz="4" w:space="0" w:color="000000"/>
            </w:tcBorders>
          </w:tcPr>
          <w:p w14:paraId="217FE596" w14:textId="11FCFC9D"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Lok</w:t>
            </w:r>
            <w:r w:rsidR="00EF0BCC" w:rsidRPr="00F6198B">
              <w:rPr>
                <w:rFonts w:ascii="Arial" w:hAnsi="Arial" w:cs="Arial"/>
                <w:color w:val="000000"/>
                <w:sz w:val="18"/>
                <w:szCs w:val="18"/>
                <w:lang w:val="sr-Latn-RS"/>
              </w:rPr>
              <w:t>acija</w:t>
            </w:r>
            <w:r w:rsidRPr="00F6198B">
              <w:rPr>
                <w:rFonts w:ascii="Arial" w:hAnsi="Arial" w:cs="Arial"/>
                <w:color w:val="000000"/>
                <w:sz w:val="18"/>
                <w:szCs w:val="18"/>
                <w:lang w:val="sr-Latn-RS"/>
              </w:rPr>
              <w:t xml:space="preserve"> 9, zaleđe plaže Kajf surf </w:t>
            </w:r>
          </w:p>
        </w:tc>
        <w:tc>
          <w:tcPr>
            <w:tcW w:w="2934" w:type="dxa"/>
            <w:tcBorders>
              <w:top w:val="single" w:sz="4" w:space="0" w:color="000000"/>
              <w:left w:val="single" w:sz="4" w:space="0" w:color="000000"/>
              <w:bottom w:val="single" w:sz="4" w:space="0" w:color="000000"/>
              <w:right w:val="single" w:sz="4" w:space="0" w:color="000000"/>
            </w:tcBorders>
          </w:tcPr>
          <w:p w14:paraId="42976244" w14:textId="6A7B236C"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4" w:space="0" w:color="000000"/>
              <w:right w:val="single" w:sz="4" w:space="0" w:color="000000"/>
            </w:tcBorders>
          </w:tcPr>
          <w:p w14:paraId="44A19C13"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200</w:t>
            </w:r>
          </w:p>
        </w:tc>
        <w:tc>
          <w:tcPr>
            <w:tcW w:w="937" w:type="dxa"/>
            <w:tcBorders>
              <w:top w:val="single" w:sz="4" w:space="0" w:color="000000"/>
              <w:left w:val="single" w:sz="4" w:space="0" w:color="000000"/>
              <w:bottom w:val="single" w:sz="4" w:space="0" w:color="000000"/>
              <w:right w:val="single" w:sz="4" w:space="0" w:color="000000"/>
            </w:tcBorders>
            <w:shd w:val="clear" w:color="auto" w:fill="00FFFF"/>
            <w:vAlign w:val="center"/>
          </w:tcPr>
          <w:p w14:paraId="06ED68C9"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3F1F2D3" w14:textId="77777777" w:rsidTr="00C232D7">
        <w:trPr>
          <w:trHeight w:val="205"/>
        </w:trPr>
        <w:tc>
          <w:tcPr>
            <w:tcW w:w="0" w:type="auto"/>
            <w:vMerge/>
            <w:tcBorders>
              <w:top w:val="nil"/>
              <w:left w:val="single" w:sz="4" w:space="0" w:color="000000"/>
              <w:bottom w:val="nil"/>
              <w:right w:val="single" w:sz="4" w:space="0" w:color="000000"/>
            </w:tcBorders>
          </w:tcPr>
          <w:p w14:paraId="23C3A36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2360807C"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10. </w:t>
            </w:r>
          </w:p>
        </w:tc>
        <w:tc>
          <w:tcPr>
            <w:tcW w:w="3718" w:type="dxa"/>
            <w:gridSpan w:val="4"/>
            <w:tcBorders>
              <w:top w:val="single" w:sz="4" w:space="0" w:color="000000"/>
              <w:left w:val="single" w:sz="4" w:space="0" w:color="000000"/>
              <w:bottom w:val="single" w:sz="4" w:space="0" w:color="000000"/>
              <w:right w:val="single" w:sz="4" w:space="0" w:color="000000"/>
            </w:tcBorders>
          </w:tcPr>
          <w:p w14:paraId="482DD543" w14:textId="076412F6"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Lok</w:t>
            </w:r>
            <w:r w:rsidR="00EF0BCC" w:rsidRPr="00F6198B">
              <w:rPr>
                <w:rFonts w:ascii="Arial" w:hAnsi="Arial" w:cs="Arial"/>
                <w:color w:val="000000"/>
                <w:sz w:val="18"/>
                <w:szCs w:val="18"/>
                <w:lang w:val="sr-Latn-RS"/>
              </w:rPr>
              <w:t>acija</w:t>
            </w:r>
            <w:r w:rsidRPr="00F6198B">
              <w:rPr>
                <w:rFonts w:ascii="Arial" w:hAnsi="Arial" w:cs="Arial"/>
                <w:color w:val="000000"/>
                <w:sz w:val="18"/>
                <w:szCs w:val="18"/>
                <w:lang w:val="sr-Latn-RS"/>
              </w:rPr>
              <w:t xml:space="preserve"> 10, Špatula </w:t>
            </w:r>
          </w:p>
        </w:tc>
        <w:tc>
          <w:tcPr>
            <w:tcW w:w="2934" w:type="dxa"/>
            <w:tcBorders>
              <w:top w:val="single" w:sz="4" w:space="0" w:color="000000"/>
              <w:left w:val="single" w:sz="4" w:space="0" w:color="000000"/>
              <w:bottom w:val="single" w:sz="4" w:space="0" w:color="000000"/>
              <w:right w:val="single" w:sz="4" w:space="0" w:color="000000"/>
            </w:tcBorders>
          </w:tcPr>
          <w:p w14:paraId="215B385E" w14:textId="6679F36C"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4" w:space="0" w:color="000000"/>
              <w:right w:val="single" w:sz="4" w:space="0" w:color="000000"/>
            </w:tcBorders>
          </w:tcPr>
          <w:p w14:paraId="438E3D7F"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100</w:t>
            </w:r>
          </w:p>
        </w:tc>
        <w:tc>
          <w:tcPr>
            <w:tcW w:w="937" w:type="dxa"/>
            <w:tcBorders>
              <w:top w:val="single" w:sz="4" w:space="0" w:color="000000"/>
              <w:left w:val="single" w:sz="4" w:space="0" w:color="000000"/>
              <w:bottom w:val="single" w:sz="4" w:space="0" w:color="000000"/>
              <w:right w:val="single" w:sz="4" w:space="0" w:color="000000"/>
            </w:tcBorders>
            <w:shd w:val="clear" w:color="auto" w:fill="00FFFF"/>
            <w:vAlign w:val="center"/>
          </w:tcPr>
          <w:p w14:paraId="42DA18B0"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62074A8B" w14:textId="77777777" w:rsidTr="00C232D7">
        <w:trPr>
          <w:trHeight w:val="203"/>
        </w:trPr>
        <w:tc>
          <w:tcPr>
            <w:tcW w:w="0" w:type="auto"/>
            <w:vMerge/>
            <w:tcBorders>
              <w:top w:val="nil"/>
              <w:left w:val="single" w:sz="4" w:space="0" w:color="000000"/>
              <w:bottom w:val="nil"/>
              <w:right w:val="single" w:sz="4" w:space="0" w:color="000000"/>
            </w:tcBorders>
          </w:tcPr>
          <w:p w14:paraId="33FD6F28"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2" w:space="0" w:color="000000"/>
              <w:right w:val="single" w:sz="4" w:space="0" w:color="000000"/>
            </w:tcBorders>
          </w:tcPr>
          <w:p w14:paraId="1C9E1797"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11. </w:t>
            </w:r>
          </w:p>
        </w:tc>
        <w:tc>
          <w:tcPr>
            <w:tcW w:w="3718" w:type="dxa"/>
            <w:gridSpan w:val="4"/>
            <w:tcBorders>
              <w:top w:val="single" w:sz="4" w:space="0" w:color="000000"/>
              <w:left w:val="single" w:sz="4" w:space="0" w:color="000000"/>
              <w:bottom w:val="single" w:sz="2" w:space="0" w:color="000000"/>
              <w:right w:val="single" w:sz="4" w:space="0" w:color="000000"/>
            </w:tcBorders>
          </w:tcPr>
          <w:p w14:paraId="77FBCF53" w14:textId="1D5E23DA"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Lok</w:t>
            </w:r>
            <w:r w:rsidR="00EF0BCC" w:rsidRPr="00F6198B">
              <w:rPr>
                <w:rFonts w:ascii="Arial" w:hAnsi="Arial" w:cs="Arial"/>
                <w:color w:val="000000"/>
                <w:sz w:val="18"/>
                <w:szCs w:val="18"/>
                <w:lang w:val="sr-Latn-RS"/>
              </w:rPr>
              <w:t>acija</w:t>
            </w:r>
            <w:r w:rsidRPr="00F6198B">
              <w:rPr>
                <w:rFonts w:ascii="Arial" w:hAnsi="Arial" w:cs="Arial"/>
                <w:color w:val="000000"/>
                <w:sz w:val="18"/>
                <w:szCs w:val="18"/>
                <w:lang w:val="sr-Latn-RS"/>
              </w:rPr>
              <w:t xml:space="preserve"> 11, Ada Bojana </w:t>
            </w:r>
          </w:p>
        </w:tc>
        <w:tc>
          <w:tcPr>
            <w:tcW w:w="2934" w:type="dxa"/>
            <w:tcBorders>
              <w:top w:val="single" w:sz="4" w:space="0" w:color="000000"/>
              <w:left w:val="single" w:sz="4" w:space="0" w:color="000000"/>
              <w:bottom w:val="single" w:sz="2" w:space="0" w:color="000000"/>
              <w:right w:val="single" w:sz="4" w:space="0" w:color="000000"/>
            </w:tcBorders>
          </w:tcPr>
          <w:p w14:paraId="124D8A55" w14:textId="1376E845"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2" w:space="0" w:color="000000"/>
              <w:right w:val="single" w:sz="4" w:space="0" w:color="000000"/>
            </w:tcBorders>
          </w:tcPr>
          <w:p w14:paraId="43C09700"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300</w:t>
            </w:r>
          </w:p>
        </w:tc>
        <w:tc>
          <w:tcPr>
            <w:tcW w:w="937" w:type="dxa"/>
            <w:tcBorders>
              <w:top w:val="single" w:sz="4" w:space="0" w:color="000000"/>
              <w:left w:val="single" w:sz="4" w:space="0" w:color="000000"/>
              <w:bottom w:val="single" w:sz="2" w:space="0" w:color="000000"/>
              <w:right w:val="single" w:sz="4" w:space="0" w:color="000000"/>
            </w:tcBorders>
            <w:shd w:val="clear" w:color="auto" w:fill="00FFFF"/>
            <w:vAlign w:val="center"/>
          </w:tcPr>
          <w:p w14:paraId="4E6DB6B6"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1A705896" w14:textId="77777777" w:rsidTr="00C232D7">
        <w:trPr>
          <w:trHeight w:val="205"/>
        </w:trPr>
        <w:tc>
          <w:tcPr>
            <w:tcW w:w="0" w:type="auto"/>
            <w:vMerge/>
            <w:tcBorders>
              <w:top w:val="nil"/>
              <w:left w:val="single" w:sz="4" w:space="0" w:color="000000"/>
              <w:bottom w:val="nil"/>
              <w:right w:val="single" w:sz="4" w:space="0" w:color="000000"/>
            </w:tcBorders>
          </w:tcPr>
          <w:p w14:paraId="4CC39BF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2" w:space="0" w:color="000000"/>
              <w:left w:val="single" w:sz="4" w:space="0" w:color="000000"/>
              <w:bottom w:val="single" w:sz="4" w:space="0" w:color="000000"/>
              <w:right w:val="single" w:sz="4" w:space="0" w:color="000000"/>
            </w:tcBorders>
          </w:tcPr>
          <w:p w14:paraId="074290DF"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12. </w:t>
            </w:r>
          </w:p>
        </w:tc>
        <w:tc>
          <w:tcPr>
            <w:tcW w:w="3718" w:type="dxa"/>
            <w:gridSpan w:val="4"/>
            <w:tcBorders>
              <w:top w:val="single" w:sz="2" w:space="0" w:color="000000"/>
              <w:left w:val="single" w:sz="4" w:space="0" w:color="000000"/>
              <w:bottom w:val="single" w:sz="4" w:space="0" w:color="000000"/>
              <w:right w:val="single" w:sz="4" w:space="0" w:color="000000"/>
            </w:tcBorders>
          </w:tcPr>
          <w:p w14:paraId="1FBC7B74"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Gač  </w:t>
            </w:r>
          </w:p>
        </w:tc>
        <w:tc>
          <w:tcPr>
            <w:tcW w:w="2934" w:type="dxa"/>
            <w:tcBorders>
              <w:top w:val="single" w:sz="2" w:space="0" w:color="000000"/>
              <w:left w:val="single" w:sz="4" w:space="0" w:color="000000"/>
              <w:bottom w:val="single" w:sz="4" w:space="0" w:color="000000"/>
              <w:right w:val="single" w:sz="4" w:space="0" w:color="000000"/>
            </w:tcBorders>
          </w:tcPr>
          <w:p w14:paraId="1CD8CCB6" w14:textId="08CB62B9"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2" w:space="0" w:color="000000"/>
              <w:left w:val="single" w:sz="4" w:space="0" w:color="000000"/>
              <w:bottom w:val="single" w:sz="4" w:space="0" w:color="000000"/>
              <w:right w:val="single" w:sz="4" w:space="0" w:color="000000"/>
            </w:tcBorders>
          </w:tcPr>
          <w:p w14:paraId="4432251A"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37" w:type="dxa"/>
            <w:tcBorders>
              <w:top w:val="single" w:sz="2" w:space="0" w:color="000000"/>
              <w:left w:val="single" w:sz="4" w:space="0" w:color="000000"/>
              <w:bottom w:val="single" w:sz="4" w:space="0" w:color="000000"/>
              <w:right w:val="single" w:sz="4" w:space="0" w:color="000000"/>
            </w:tcBorders>
            <w:shd w:val="clear" w:color="auto" w:fill="00FFFF"/>
            <w:vAlign w:val="center"/>
          </w:tcPr>
          <w:p w14:paraId="52C63F1F"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2DA7764E" w14:textId="77777777" w:rsidTr="00C232D7">
        <w:trPr>
          <w:trHeight w:val="203"/>
        </w:trPr>
        <w:tc>
          <w:tcPr>
            <w:tcW w:w="0" w:type="auto"/>
            <w:vMerge/>
            <w:tcBorders>
              <w:top w:val="nil"/>
              <w:left w:val="single" w:sz="4" w:space="0" w:color="000000"/>
              <w:bottom w:val="nil"/>
              <w:right w:val="single" w:sz="4" w:space="0" w:color="000000"/>
            </w:tcBorders>
          </w:tcPr>
          <w:p w14:paraId="6303418A"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2" w:space="0" w:color="000000"/>
              <w:right w:val="single" w:sz="4" w:space="0" w:color="000000"/>
            </w:tcBorders>
          </w:tcPr>
          <w:p w14:paraId="0EF63D2D"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13. </w:t>
            </w:r>
          </w:p>
        </w:tc>
        <w:tc>
          <w:tcPr>
            <w:tcW w:w="3718" w:type="dxa"/>
            <w:gridSpan w:val="4"/>
            <w:tcBorders>
              <w:top w:val="single" w:sz="4" w:space="0" w:color="000000"/>
              <w:left w:val="single" w:sz="4" w:space="0" w:color="000000"/>
              <w:bottom w:val="single" w:sz="2" w:space="0" w:color="000000"/>
              <w:right w:val="single" w:sz="4" w:space="0" w:color="000000"/>
            </w:tcBorders>
          </w:tcPr>
          <w:p w14:paraId="1795AC5C"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Slezna  </w:t>
            </w:r>
          </w:p>
        </w:tc>
        <w:tc>
          <w:tcPr>
            <w:tcW w:w="2934" w:type="dxa"/>
            <w:tcBorders>
              <w:top w:val="single" w:sz="4" w:space="0" w:color="000000"/>
              <w:left w:val="single" w:sz="4" w:space="0" w:color="000000"/>
              <w:bottom w:val="single" w:sz="2" w:space="0" w:color="000000"/>
              <w:right w:val="single" w:sz="4" w:space="0" w:color="000000"/>
            </w:tcBorders>
          </w:tcPr>
          <w:p w14:paraId="6402040F" w14:textId="24DA0568"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2" w:space="0" w:color="000000"/>
              <w:right w:val="single" w:sz="4" w:space="0" w:color="000000"/>
            </w:tcBorders>
          </w:tcPr>
          <w:p w14:paraId="3C62ADF5"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6</w:t>
            </w:r>
          </w:p>
        </w:tc>
        <w:tc>
          <w:tcPr>
            <w:tcW w:w="937" w:type="dxa"/>
            <w:tcBorders>
              <w:top w:val="single" w:sz="4" w:space="0" w:color="000000"/>
              <w:left w:val="single" w:sz="4" w:space="0" w:color="000000"/>
              <w:bottom w:val="single" w:sz="2" w:space="0" w:color="000000"/>
              <w:right w:val="single" w:sz="4" w:space="0" w:color="000000"/>
            </w:tcBorders>
            <w:shd w:val="clear" w:color="auto" w:fill="00FFFF"/>
            <w:vAlign w:val="center"/>
          </w:tcPr>
          <w:p w14:paraId="30B8692B"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4278116" w14:textId="77777777" w:rsidTr="00C232D7">
        <w:trPr>
          <w:trHeight w:val="204"/>
        </w:trPr>
        <w:tc>
          <w:tcPr>
            <w:tcW w:w="0" w:type="auto"/>
            <w:vMerge/>
            <w:tcBorders>
              <w:top w:val="nil"/>
              <w:left w:val="single" w:sz="4" w:space="0" w:color="000000"/>
              <w:bottom w:val="nil"/>
              <w:right w:val="single" w:sz="4" w:space="0" w:color="000000"/>
            </w:tcBorders>
          </w:tcPr>
          <w:p w14:paraId="0C726675"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2" w:space="0" w:color="000000"/>
              <w:left w:val="single" w:sz="4" w:space="0" w:color="000000"/>
              <w:bottom w:val="single" w:sz="4" w:space="0" w:color="000000"/>
              <w:right w:val="single" w:sz="4" w:space="0" w:color="000000"/>
            </w:tcBorders>
          </w:tcPr>
          <w:p w14:paraId="1BD13AFF"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14. </w:t>
            </w:r>
          </w:p>
        </w:tc>
        <w:tc>
          <w:tcPr>
            <w:tcW w:w="3718" w:type="dxa"/>
            <w:gridSpan w:val="4"/>
            <w:tcBorders>
              <w:top w:val="single" w:sz="2" w:space="0" w:color="000000"/>
              <w:left w:val="single" w:sz="4" w:space="0" w:color="000000"/>
              <w:bottom w:val="single" w:sz="4" w:space="0" w:color="000000"/>
              <w:right w:val="single" w:sz="4" w:space="0" w:color="000000"/>
            </w:tcBorders>
          </w:tcPr>
          <w:p w14:paraId="44D10DB8"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Velike Krute </w:t>
            </w:r>
          </w:p>
        </w:tc>
        <w:tc>
          <w:tcPr>
            <w:tcW w:w="2934" w:type="dxa"/>
            <w:tcBorders>
              <w:top w:val="single" w:sz="2" w:space="0" w:color="000000"/>
              <w:left w:val="single" w:sz="4" w:space="0" w:color="000000"/>
              <w:bottom w:val="single" w:sz="4" w:space="0" w:color="000000"/>
              <w:right w:val="single" w:sz="4" w:space="0" w:color="000000"/>
            </w:tcBorders>
          </w:tcPr>
          <w:p w14:paraId="230837D1" w14:textId="4790A1F5"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2" w:space="0" w:color="000000"/>
              <w:left w:val="single" w:sz="4" w:space="0" w:color="000000"/>
              <w:bottom w:val="single" w:sz="4" w:space="0" w:color="000000"/>
              <w:right w:val="single" w:sz="4" w:space="0" w:color="000000"/>
            </w:tcBorders>
          </w:tcPr>
          <w:p w14:paraId="0D521CF4"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50</w:t>
            </w:r>
          </w:p>
        </w:tc>
        <w:tc>
          <w:tcPr>
            <w:tcW w:w="937" w:type="dxa"/>
            <w:tcBorders>
              <w:top w:val="single" w:sz="2" w:space="0" w:color="000000"/>
              <w:left w:val="single" w:sz="4" w:space="0" w:color="000000"/>
              <w:bottom w:val="single" w:sz="4" w:space="0" w:color="000000"/>
              <w:right w:val="single" w:sz="4" w:space="0" w:color="000000"/>
            </w:tcBorders>
            <w:shd w:val="clear" w:color="auto" w:fill="00FFFF"/>
            <w:vAlign w:val="center"/>
          </w:tcPr>
          <w:p w14:paraId="222D6FD2"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7E320019" w14:textId="77777777" w:rsidTr="00C232D7">
        <w:trPr>
          <w:trHeight w:val="205"/>
        </w:trPr>
        <w:tc>
          <w:tcPr>
            <w:tcW w:w="0" w:type="auto"/>
            <w:vMerge/>
            <w:tcBorders>
              <w:top w:val="nil"/>
              <w:left w:val="single" w:sz="4" w:space="0" w:color="000000"/>
              <w:bottom w:val="nil"/>
              <w:right w:val="single" w:sz="4" w:space="0" w:color="000000"/>
            </w:tcBorders>
          </w:tcPr>
          <w:p w14:paraId="3A9012DE"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44309B60"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15. </w:t>
            </w:r>
          </w:p>
        </w:tc>
        <w:tc>
          <w:tcPr>
            <w:tcW w:w="3718" w:type="dxa"/>
            <w:gridSpan w:val="4"/>
            <w:tcBorders>
              <w:top w:val="single" w:sz="4" w:space="0" w:color="000000"/>
              <w:left w:val="single" w:sz="4" w:space="0" w:color="000000"/>
              <w:bottom w:val="single" w:sz="4" w:space="0" w:color="000000"/>
              <w:right w:val="single" w:sz="4" w:space="0" w:color="000000"/>
            </w:tcBorders>
          </w:tcPr>
          <w:p w14:paraId="17C58BB8"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Vladimir  </w:t>
            </w:r>
          </w:p>
        </w:tc>
        <w:tc>
          <w:tcPr>
            <w:tcW w:w="2934" w:type="dxa"/>
            <w:tcBorders>
              <w:top w:val="single" w:sz="4" w:space="0" w:color="000000"/>
              <w:left w:val="single" w:sz="4" w:space="0" w:color="000000"/>
              <w:bottom w:val="single" w:sz="4" w:space="0" w:color="000000"/>
              <w:right w:val="single" w:sz="4" w:space="0" w:color="000000"/>
            </w:tcBorders>
          </w:tcPr>
          <w:p w14:paraId="108DBD28" w14:textId="6F7B17CF"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4" w:space="0" w:color="000000"/>
              <w:right w:val="single" w:sz="4" w:space="0" w:color="000000"/>
            </w:tcBorders>
          </w:tcPr>
          <w:p w14:paraId="289E5A8F"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37" w:type="dxa"/>
            <w:tcBorders>
              <w:top w:val="single" w:sz="4" w:space="0" w:color="000000"/>
              <w:left w:val="single" w:sz="4" w:space="0" w:color="000000"/>
              <w:bottom w:val="single" w:sz="4" w:space="0" w:color="000000"/>
              <w:right w:val="single" w:sz="4" w:space="0" w:color="000000"/>
            </w:tcBorders>
            <w:shd w:val="clear" w:color="auto" w:fill="00FFFF"/>
            <w:vAlign w:val="center"/>
          </w:tcPr>
          <w:p w14:paraId="5E04EE2C"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4DFC1981" w14:textId="77777777" w:rsidTr="00C232D7">
        <w:trPr>
          <w:trHeight w:val="202"/>
        </w:trPr>
        <w:tc>
          <w:tcPr>
            <w:tcW w:w="0" w:type="auto"/>
            <w:vMerge/>
            <w:tcBorders>
              <w:top w:val="nil"/>
              <w:left w:val="single" w:sz="4" w:space="0" w:color="000000"/>
              <w:bottom w:val="nil"/>
              <w:right w:val="single" w:sz="4" w:space="0" w:color="000000"/>
            </w:tcBorders>
          </w:tcPr>
          <w:p w14:paraId="5F3AB16C"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69B55D44"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16. </w:t>
            </w:r>
          </w:p>
        </w:tc>
        <w:tc>
          <w:tcPr>
            <w:tcW w:w="3718" w:type="dxa"/>
            <w:gridSpan w:val="4"/>
            <w:tcBorders>
              <w:top w:val="single" w:sz="4" w:space="0" w:color="000000"/>
              <w:left w:val="single" w:sz="4" w:space="0" w:color="000000"/>
              <w:bottom w:val="single" w:sz="4" w:space="0" w:color="000000"/>
              <w:right w:val="single" w:sz="4" w:space="0" w:color="000000"/>
            </w:tcBorders>
          </w:tcPr>
          <w:p w14:paraId="6DC7DC28"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Put Ostros </w:t>
            </w:r>
          </w:p>
        </w:tc>
        <w:tc>
          <w:tcPr>
            <w:tcW w:w="2934" w:type="dxa"/>
            <w:tcBorders>
              <w:top w:val="single" w:sz="4" w:space="0" w:color="000000"/>
              <w:left w:val="single" w:sz="4" w:space="0" w:color="000000"/>
              <w:bottom w:val="single" w:sz="4" w:space="0" w:color="000000"/>
              <w:right w:val="single" w:sz="4" w:space="0" w:color="000000"/>
            </w:tcBorders>
          </w:tcPr>
          <w:p w14:paraId="2755DE4C" w14:textId="11223C11"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4" w:space="0" w:color="000000"/>
              <w:right w:val="single" w:sz="4" w:space="0" w:color="000000"/>
            </w:tcBorders>
          </w:tcPr>
          <w:p w14:paraId="243DD584"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37" w:type="dxa"/>
            <w:tcBorders>
              <w:top w:val="single" w:sz="4" w:space="0" w:color="000000"/>
              <w:left w:val="single" w:sz="4" w:space="0" w:color="000000"/>
              <w:bottom w:val="single" w:sz="4" w:space="0" w:color="000000"/>
              <w:right w:val="single" w:sz="4" w:space="0" w:color="000000"/>
            </w:tcBorders>
            <w:shd w:val="clear" w:color="auto" w:fill="00FFFF"/>
            <w:vAlign w:val="center"/>
          </w:tcPr>
          <w:p w14:paraId="7334DC80"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03F5DB8F" w14:textId="77777777" w:rsidTr="00C232D7">
        <w:trPr>
          <w:trHeight w:val="206"/>
        </w:trPr>
        <w:tc>
          <w:tcPr>
            <w:tcW w:w="0" w:type="auto"/>
            <w:vMerge/>
            <w:tcBorders>
              <w:top w:val="nil"/>
              <w:left w:val="single" w:sz="4" w:space="0" w:color="000000"/>
              <w:bottom w:val="nil"/>
              <w:right w:val="single" w:sz="4" w:space="0" w:color="000000"/>
            </w:tcBorders>
            <w:vAlign w:val="bottom"/>
          </w:tcPr>
          <w:p w14:paraId="5B6B3F35"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4" w:space="0" w:color="000000"/>
              <w:right w:val="single" w:sz="4" w:space="0" w:color="000000"/>
            </w:tcBorders>
          </w:tcPr>
          <w:p w14:paraId="3C64A9D3"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17. </w:t>
            </w:r>
          </w:p>
        </w:tc>
        <w:tc>
          <w:tcPr>
            <w:tcW w:w="3718" w:type="dxa"/>
            <w:gridSpan w:val="4"/>
            <w:tcBorders>
              <w:top w:val="single" w:sz="4" w:space="0" w:color="000000"/>
              <w:left w:val="single" w:sz="4" w:space="0" w:color="000000"/>
              <w:bottom w:val="single" w:sz="4" w:space="0" w:color="000000"/>
              <w:right w:val="single" w:sz="4" w:space="0" w:color="000000"/>
            </w:tcBorders>
          </w:tcPr>
          <w:p w14:paraId="7CD3C7C2"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Šas </w:t>
            </w:r>
          </w:p>
        </w:tc>
        <w:tc>
          <w:tcPr>
            <w:tcW w:w="2934" w:type="dxa"/>
            <w:tcBorders>
              <w:top w:val="single" w:sz="4" w:space="0" w:color="000000"/>
              <w:left w:val="single" w:sz="4" w:space="0" w:color="000000"/>
              <w:bottom w:val="single" w:sz="4" w:space="0" w:color="000000"/>
              <w:right w:val="single" w:sz="4" w:space="0" w:color="000000"/>
            </w:tcBorders>
          </w:tcPr>
          <w:p w14:paraId="63A361F3" w14:textId="342AD554"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4" w:space="0" w:color="000000"/>
              <w:right w:val="single" w:sz="4" w:space="0" w:color="000000"/>
            </w:tcBorders>
          </w:tcPr>
          <w:p w14:paraId="0DF18684"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37" w:type="dxa"/>
            <w:tcBorders>
              <w:top w:val="single" w:sz="4" w:space="0" w:color="000000"/>
              <w:left w:val="single" w:sz="4" w:space="0" w:color="000000"/>
              <w:bottom w:val="single" w:sz="4" w:space="0" w:color="000000"/>
              <w:right w:val="single" w:sz="4" w:space="0" w:color="000000"/>
            </w:tcBorders>
            <w:shd w:val="clear" w:color="auto" w:fill="66FFFF"/>
            <w:vAlign w:val="center"/>
          </w:tcPr>
          <w:p w14:paraId="05C22443"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084FB2A2" w14:textId="77777777" w:rsidTr="00C232D7">
        <w:trPr>
          <w:trHeight w:val="203"/>
        </w:trPr>
        <w:tc>
          <w:tcPr>
            <w:tcW w:w="0" w:type="auto"/>
            <w:vMerge/>
            <w:tcBorders>
              <w:top w:val="nil"/>
              <w:left w:val="single" w:sz="4" w:space="0" w:color="000000"/>
              <w:bottom w:val="nil"/>
              <w:right w:val="single" w:sz="4" w:space="0" w:color="000000"/>
            </w:tcBorders>
          </w:tcPr>
          <w:p w14:paraId="09F4BFCA"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000000"/>
              <w:left w:val="single" w:sz="4" w:space="0" w:color="000000"/>
              <w:bottom w:val="single" w:sz="2" w:space="0" w:color="000000"/>
              <w:right w:val="single" w:sz="4" w:space="0" w:color="000000"/>
            </w:tcBorders>
          </w:tcPr>
          <w:p w14:paraId="0D6E5CC3"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18. </w:t>
            </w:r>
          </w:p>
        </w:tc>
        <w:tc>
          <w:tcPr>
            <w:tcW w:w="3718" w:type="dxa"/>
            <w:gridSpan w:val="4"/>
            <w:tcBorders>
              <w:top w:val="single" w:sz="4" w:space="0" w:color="000000"/>
              <w:left w:val="single" w:sz="4" w:space="0" w:color="000000"/>
              <w:bottom w:val="single" w:sz="2" w:space="0" w:color="000000"/>
              <w:right w:val="single" w:sz="4" w:space="0" w:color="000000"/>
            </w:tcBorders>
          </w:tcPr>
          <w:p w14:paraId="5DE9570A"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Hije bivše gradsko odlagalište </w:t>
            </w:r>
          </w:p>
        </w:tc>
        <w:tc>
          <w:tcPr>
            <w:tcW w:w="2934" w:type="dxa"/>
            <w:tcBorders>
              <w:top w:val="single" w:sz="4" w:space="0" w:color="000000"/>
              <w:left w:val="single" w:sz="4" w:space="0" w:color="000000"/>
              <w:bottom w:val="single" w:sz="2" w:space="0" w:color="000000"/>
              <w:right w:val="single" w:sz="4" w:space="0" w:color="000000"/>
            </w:tcBorders>
          </w:tcPr>
          <w:p w14:paraId="5BBD0F4B" w14:textId="38565331"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000000"/>
              <w:left w:val="single" w:sz="4" w:space="0" w:color="000000"/>
              <w:bottom w:val="single" w:sz="2" w:space="0" w:color="000000"/>
              <w:right w:val="single" w:sz="4" w:space="0" w:color="000000"/>
            </w:tcBorders>
          </w:tcPr>
          <w:p w14:paraId="7F00A954"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100 000</w:t>
            </w:r>
          </w:p>
        </w:tc>
        <w:tc>
          <w:tcPr>
            <w:tcW w:w="937" w:type="dxa"/>
            <w:tcBorders>
              <w:top w:val="single" w:sz="4" w:space="0" w:color="000000"/>
              <w:left w:val="single" w:sz="4" w:space="0" w:color="000000"/>
              <w:bottom w:val="single" w:sz="2" w:space="0" w:color="000000"/>
              <w:right w:val="single" w:sz="4" w:space="0" w:color="000000"/>
            </w:tcBorders>
            <w:shd w:val="clear" w:color="auto" w:fill="66FFFF"/>
            <w:vAlign w:val="center"/>
          </w:tcPr>
          <w:p w14:paraId="576CE9BC"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2389681C" w14:textId="77777777" w:rsidTr="00C232D7">
        <w:trPr>
          <w:trHeight w:val="238"/>
        </w:trPr>
        <w:tc>
          <w:tcPr>
            <w:tcW w:w="0" w:type="auto"/>
            <w:vMerge/>
            <w:tcBorders>
              <w:top w:val="nil"/>
              <w:left w:val="single" w:sz="4" w:space="0" w:color="000000"/>
              <w:bottom w:val="single" w:sz="4" w:space="0" w:color="000000"/>
              <w:right w:val="single" w:sz="4" w:space="0" w:color="000000"/>
            </w:tcBorders>
          </w:tcPr>
          <w:p w14:paraId="7484A274"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2" w:space="0" w:color="000000"/>
              <w:left w:val="single" w:sz="4" w:space="0" w:color="000000"/>
              <w:bottom w:val="double" w:sz="4" w:space="0" w:color="000000"/>
              <w:right w:val="single" w:sz="4" w:space="0" w:color="000000"/>
            </w:tcBorders>
          </w:tcPr>
          <w:p w14:paraId="1F591F6C"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19. </w:t>
            </w:r>
          </w:p>
        </w:tc>
        <w:tc>
          <w:tcPr>
            <w:tcW w:w="3718" w:type="dxa"/>
            <w:gridSpan w:val="4"/>
            <w:tcBorders>
              <w:top w:val="single" w:sz="2" w:space="0" w:color="000000"/>
              <w:left w:val="single" w:sz="4" w:space="0" w:color="000000"/>
              <w:bottom w:val="double" w:sz="4" w:space="0" w:color="000000"/>
              <w:right w:val="single" w:sz="4" w:space="0" w:color="000000"/>
            </w:tcBorders>
          </w:tcPr>
          <w:p w14:paraId="39173FA3"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Bratica bivše gradsko odlagalište </w:t>
            </w:r>
          </w:p>
        </w:tc>
        <w:tc>
          <w:tcPr>
            <w:tcW w:w="2934" w:type="dxa"/>
            <w:tcBorders>
              <w:top w:val="single" w:sz="2" w:space="0" w:color="000000"/>
              <w:left w:val="single" w:sz="4" w:space="0" w:color="000000"/>
              <w:bottom w:val="double" w:sz="4" w:space="0" w:color="000000"/>
              <w:right w:val="single" w:sz="4" w:space="0" w:color="000000"/>
            </w:tcBorders>
          </w:tcPr>
          <w:p w14:paraId="4BF11C0B" w14:textId="51E11F01"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2" w:space="0" w:color="000000"/>
              <w:left w:val="single" w:sz="4" w:space="0" w:color="000000"/>
              <w:bottom w:val="double" w:sz="4" w:space="0" w:color="000000"/>
              <w:right w:val="single" w:sz="4" w:space="0" w:color="000000"/>
            </w:tcBorders>
          </w:tcPr>
          <w:p w14:paraId="7BCDA4F0"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50 000</w:t>
            </w:r>
          </w:p>
        </w:tc>
        <w:tc>
          <w:tcPr>
            <w:tcW w:w="937" w:type="dxa"/>
            <w:tcBorders>
              <w:top w:val="single" w:sz="2" w:space="0" w:color="000000"/>
              <w:left w:val="single" w:sz="4" w:space="0" w:color="000000"/>
              <w:bottom w:val="double" w:sz="4" w:space="0" w:color="000000"/>
              <w:right w:val="single" w:sz="4" w:space="0" w:color="000000"/>
            </w:tcBorders>
            <w:shd w:val="clear" w:color="auto" w:fill="66FFFF"/>
            <w:vAlign w:val="center"/>
          </w:tcPr>
          <w:p w14:paraId="1B3D8E51"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55FD8A6C" w14:textId="77777777" w:rsidTr="00C232D7">
        <w:trPr>
          <w:trHeight w:val="328"/>
        </w:trPr>
        <w:tc>
          <w:tcPr>
            <w:tcW w:w="1397" w:type="dxa"/>
            <w:gridSpan w:val="4"/>
            <w:tcBorders>
              <w:top w:val="double" w:sz="4" w:space="0" w:color="000000"/>
              <w:left w:val="single" w:sz="4" w:space="0" w:color="000000"/>
              <w:bottom w:val="single" w:sz="4" w:space="0" w:color="000000"/>
              <w:right w:val="single" w:sz="4" w:space="0" w:color="000000"/>
            </w:tcBorders>
            <w:shd w:val="clear" w:color="auto" w:fill="EAF1DD"/>
          </w:tcPr>
          <w:p w14:paraId="696BB3DD" w14:textId="77777777" w:rsidR="00C232D7" w:rsidRPr="00F6198B" w:rsidRDefault="00C232D7" w:rsidP="00C232D7">
            <w:pPr>
              <w:spacing w:line="360" w:lineRule="auto"/>
              <w:ind w:left="8"/>
              <w:rPr>
                <w:rFonts w:ascii="Arial" w:hAnsi="Arial" w:cs="Arial"/>
                <w:color w:val="000000"/>
                <w:sz w:val="18"/>
                <w:szCs w:val="18"/>
                <w:lang w:val="sr-Latn-RS"/>
              </w:rPr>
            </w:pPr>
          </w:p>
          <w:p w14:paraId="63E0203E" w14:textId="77777777" w:rsidR="00C232D7" w:rsidRPr="00F6198B" w:rsidRDefault="00C232D7" w:rsidP="00C232D7">
            <w:pPr>
              <w:spacing w:line="360" w:lineRule="auto"/>
              <w:ind w:left="8"/>
              <w:rPr>
                <w:rFonts w:ascii="Arial" w:hAnsi="Arial" w:cs="Arial"/>
                <w:color w:val="000000"/>
                <w:sz w:val="18"/>
                <w:szCs w:val="18"/>
                <w:lang w:val="sr-Latn-RS"/>
              </w:rPr>
            </w:pPr>
          </w:p>
          <w:p w14:paraId="2841C723"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23. ŽABLJAK </w:t>
            </w:r>
          </w:p>
        </w:tc>
        <w:tc>
          <w:tcPr>
            <w:tcW w:w="3126" w:type="dxa"/>
            <w:gridSpan w:val="2"/>
            <w:tcBorders>
              <w:top w:val="double" w:sz="4" w:space="0" w:color="000000"/>
              <w:left w:val="single" w:sz="4" w:space="0" w:color="000000"/>
              <w:bottom w:val="single" w:sz="4" w:space="0" w:color="000000"/>
              <w:right w:val="nil"/>
            </w:tcBorders>
            <w:shd w:val="clear" w:color="auto" w:fill="EAF1DD"/>
          </w:tcPr>
          <w:p w14:paraId="7E8150AB" w14:textId="77777777" w:rsidR="00C232D7" w:rsidRPr="00F6198B" w:rsidRDefault="00C232D7" w:rsidP="00C232D7">
            <w:pPr>
              <w:spacing w:after="167" w:line="360" w:lineRule="auto"/>
              <w:ind w:left="188"/>
              <w:rPr>
                <w:rFonts w:ascii="Arial" w:hAnsi="Arial" w:cs="Arial"/>
                <w:color w:val="000000"/>
                <w:sz w:val="18"/>
                <w:szCs w:val="18"/>
                <w:lang w:val="sr-Latn-RS"/>
              </w:rPr>
            </w:pPr>
          </w:p>
        </w:tc>
        <w:tc>
          <w:tcPr>
            <w:tcW w:w="2934" w:type="dxa"/>
            <w:tcBorders>
              <w:top w:val="double" w:sz="4" w:space="0" w:color="000000"/>
              <w:left w:val="nil"/>
              <w:bottom w:val="single" w:sz="4" w:space="0" w:color="000000"/>
              <w:right w:val="nil"/>
            </w:tcBorders>
            <w:shd w:val="clear" w:color="auto" w:fill="EAF1DD"/>
          </w:tcPr>
          <w:p w14:paraId="4200B0D9" w14:textId="77777777" w:rsidR="00C232D7" w:rsidRPr="00F6198B" w:rsidRDefault="00C232D7" w:rsidP="00C232D7">
            <w:pPr>
              <w:spacing w:after="160" w:line="360" w:lineRule="auto"/>
              <w:rPr>
                <w:rFonts w:ascii="Arial" w:hAnsi="Arial" w:cs="Arial"/>
                <w:color w:val="000000"/>
                <w:sz w:val="18"/>
                <w:szCs w:val="18"/>
                <w:lang w:val="sr-Latn-RS"/>
              </w:rPr>
            </w:pPr>
          </w:p>
        </w:tc>
        <w:tc>
          <w:tcPr>
            <w:tcW w:w="931" w:type="dxa"/>
            <w:tcBorders>
              <w:top w:val="double" w:sz="4" w:space="0" w:color="000000"/>
              <w:left w:val="nil"/>
              <w:bottom w:val="single" w:sz="4" w:space="0" w:color="000000"/>
              <w:right w:val="nil"/>
            </w:tcBorders>
            <w:shd w:val="clear" w:color="auto" w:fill="EAF1DD"/>
          </w:tcPr>
          <w:p w14:paraId="2F8D5112" w14:textId="77777777" w:rsidR="00C232D7" w:rsidRPr="00F6198B" w:rsidRDefault="00C232D7" w:rsidP="00C232D7">
            <w:pPr>
              <w:spacing w:line="360" w:lineRule="auto"/>
              <w:ind w:right="63"/>
              <w:rPr>
                <w:rFonts w:ascii="Arial" w:hAnsi="Arial" w:cs="Arial"/>
                <w:color w:val="000000"/>
                <w:sz w:val="18"/>
                <w:szCs w:val="18"/>
                <w:lang w:val="sr-Latn-RS"/>
              </w:rPr>
            </w:pPr>
            <w:r w:rsidRPr="00F6198B">
              <w:rPr>
                <w:rFonts w:ascii="Arial" w:hAnsi="Arial" w:cs="Arial"/>
                <w:color w:val="C00000"/>
                <w:sz w:val="18"/>
                <w:szCs w:val="18"/>
                <w:lang w:val="sr-Latn-RS"/>
              </w:rPr>
              <w:t xml:space="preserve">   </w:t>
            </w:r>
          </w:p>
        </w:tc>
        <w:tc>
          <w:tcPr>
            <w:tcW w:w="937" w:type="dxa"/>
            <w:tcBorders>
              <w:top w:val="double" w:sz="4" w:space="0" w:color="000000"/>
              <w:left w:val="nil"/>
              <w:bottom w:val="single" w:sz="4" w:space="0" w:color="000000"/>
              <w:right w:val="single" w:sz="4" w:space="0" w:color="000000"/>
            </w:tcBorders>
            <w:shd w:val="clear" w:color="auto" w:fill="EAF1DD"/>
            <w:vAlign w:val="center"/>
          </w:tcPr>
          <w:p w14:paraId="5B6BEA04" w14:textId="77777777" w:rsidR="00C232D7" w:rsidRPr="00F6198B" w:rsidRDefault="00C232D7" w:rsidP="00C232D7">
            <w:pPr>
              <w:spacing w:after="160" w:line="360" w:lineRule="auto"/>
              <w:rPr>
                <w:rFonts w:ascii="Arial" w:hAnsi="Arial" w:cs="Arial"/>
                <w:color w:val="000000"/>
                <w:sz w:val="18"/>
                <w:szCs w:val="18"/>
                <w:lang w:val="sr-Latn-RS"/>
              </w:rPr>
            </w:pPr>
          </w:p>
        </w:tc>
      </w:tr>
      <w:tr w:rsidR="00C232D7" w:rsidRPr="00F6198B" w14:paraId="00A45531" w14:textId="77777777" w:rsidTr="00C232D7">
        <w:trPr>
          <w:trHeight w:val="202"/>
        </w:trPr>
        <w:tc>
          <w:tcPr>
            <w:tcW w:w="220" w:type="dxa"/>
            <w:vMerge w:val="restart"/>
            <w:tcBorders>
              <w:top w:val="single" w:sz="4" w:space="0" w:color="auto"/>
              <w:left w:val="single" w:sz="4" w:space="0" w:color="auto"/>
              <w:bottom w:val="single" w:sz="4" w:space="0" w:color="auto"/>
              <w:right w:val="single" w:sz="4" w:space="0" w:color="auto"/>
            </w:tcBorders>
            <w:shd w:val="clear" w:color="auto" w:fill="EAF1DD"/>
            <w:vAlign w:val="center"/>
          </w:tcPr>
          <w:p w14:paraId="7AB42B72"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 </w:t>
            </w:r>
          </w:p>
        </w:tc>
        <w:tc>
          <w:tcPr>
            <w:tcW w:w="585" w:type="dxa"/>
            <w:tcBorders>
              <w:top w:val="single" w:sz="4" w:space="0" w:color="auto"/>
              <w:left w:val="single" w:sz="4" w:space="0" w:color="auto"/>
              <w:bottom w:val="single" w:sz="4" w:space="0" w:color="auto"/>
              <w:right w:val="single" w:sz="4" w:space="0" w:color="auto"/>
            </w:tcBorders>
          </w:tcPr>
          <w:p w14:paraId="6CF3A8ED"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1. </w:t>
            </w:r>
          </w:p>
        </w:tc>
        <w:tc>
          <w:tcPr>
            <w:tcW w:w="3718" w:type="dxa"/>
            <w:gridSpan w:val="4"/>
            <w:tcBorders>
              <w:top w:val="single" w:sz="4" w:space="0" w:color="auto"/>
              <w:left w:val="single" w:sz="4" w:space="0" w:color="auto"/>
              <w:bottom w:val="single" w:sz="4" w:space="0" w:color="auto"/>
              <w:right w:val="single" w:sz="4" w:space="0" w:color="auto"/>
            </w:tcBorders>
          </w:tcPr>
          <w:p w14:paraId="5AA47752"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Bosača, Uljara </w:t>
            </w:r>
          </w:p>
        </w:tc>
        <w:tc>
          <w:tcPr>
            <w:tcW w:w="2934" w:type="dxa"/>
            <w:tcBorders>
              <w:top w:val="single" w:sz="4" w:space="0" w:color="auto"/>
              <w:left w:val="single" w:sz="4" w:space="0" w:color="auto"/>
              <w:bottom w:val="single" w:sz="4" w:space="0" w:color="auto"/>
              <w:right w:val="single" w:sz="4" w:space="0" w:color="auto"/>
            </w:tcBorders>
          </w:tcPr>
          <w:p w14:paraId="72825BEE" w14:textId="7B9751E1"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i građevinski </w:t>
            </w:r>
          </w:p>
        </w:tc>
        <w:tc>
          <w:tcPr>
            <w:tcW w:w="931" w:type="dxa"/>
            <w:tcBorders>
              <w:top w:val="single" w:sz="4" w:space="0" w:color="auto"/>
              <w:left w:val="single" w:sz="4" w:space="0" w:color="auto"/>
              <w:bottom w:val="single" w:sz="4" w:space="0" w:color="auto"/>
              <w:right w:val="single" w:sz="4" w:space="0" w:color="auto"/>
            </w:tcBorders>
          </w:tcPr>
          <w:p w14:paraId="0E0D9CD2"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10</w:t>
            </w:r>
          </w:p>
        </w:tc>
        <w:tc>
          <w:tcPr>
            <w:tcW w:w="937" w:type="dxa"/>
            <w:tcBorders>
              <w:top w:val="single" w:sz="4" w:space="0" w:color="000000"/>
              <w:left w:val="single" w:sz="4" w:space="0" w:color="auto"/>
              <w:bottom w:val="single" w:sz="4" w:space="0" w:color="000000"/>
              <w:right w:val="single" w:sz="4" w:space="0" w:color="000000"/>
            </w:tcBorders>
            <w:shd w:val="clear" w:color="auto" w:fill="00FFFF"/>
            <w:vAlign w:val="center"/>
          </w:tcPr>
          <w:p w14:paraId="3B45D25F"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6C6F5697" w14:textId="77777777" w:rsidTr="00C232D7">
        <w:trPr>
          <w:trHeight w:val="255"/>
        </w:trPr>
        <w:tc>
          <w:tcPr>
            <w:tcW w:w="0" w:type="auto"/>
            <w:vMerge/>
            <w:tcBorders>
              <w:top w:val="single" w:sz="4" w:space="0" w:color="auto"/>
              <w:left w:val="single" w:sz="4" w:space="0" w:color="auto"/>
              <w:bottom w:val="single" w:sz="4" w:space="0" w:color="auto"/>
              <w:right w:val="single" w:sz="4" w:space="0" w:color="auto"/>
            </w:tcBorders>
          </w:tcPr>
          <w:p w14:paraId="3B64E1A3"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auto"/>
              <w:left w:val="single" w:sz="4" w:space="0" w:color="auto"/>
              <w:bottom w:val="single" w:sz="4" w:space="0" w:color="auto"/>
              <w:right w:val="single" w:sz="4" w:space="0" w:color="auto"/>
            </w:tcBorders>
          </w:tcPr>
          <w:p w14:paraId="283103D5"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2. </w:t>
            </w:r>
          </w:p>
        </w:tc>
        <w:tc>
          <w:tcPr>
            <w:tcW w:w="3718" w:type="dxa"/>
            <w:gridSpan w:val="4"/>
            <w:tcBorders>
              <w:top w:val="single" w:sz="4" w:space="0" w:color="auto"/>
              <w:left w:val="single" w:sz="4" w:space="0" w:color="auto"/>
              <w:bottom w:val="single" w:sz="4" w:space="0" w:color="auto"/>
              <w:right w:val="single" w:sz="4" w:space="0" w:color="auto"/>
            </w:tcBorders>
          </w:tcPr>
          <w:p w14:paraId="7B6CCA9B"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Bosača, Čolova Bosača </w:t>
            </w:r>
          </w:p>
        </w:tc>
        <w:tc>
          <w:tcPr>
            <w:tcW w:w="2934" w:type="dxa"/>
            <w:tcBorders>
              <w:top w:val="single" w:sz="4" w:space="0" w:color="auto"/>
              <w:left w:val="single" w:sz="4" w:space="0" w:color="auto"/>
              <w:bottom w:val="single" w:sz="4" w:space="0" w:color="auto"/>
              <w:right w:val="single" w:sz="4" w:space="0" w:color="auto"/>
            </w:tcBorders>
          </w:tcPr>
          <w:p w14:paraId="17A5A069" w14:textId="17963E68"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auto"/>
              <w:left w:val="single" w:sz="4" w:space="0" w:color="auto"/>
              <w:bottom w:val="single" w:sz="4" w:space="0" w:color="auto"/>
              <w:right w:val="single" w:sz="4" w:space="0" w:color="auto"/>
            </w:tcBorders>
          </w:tcPr>
          <w:p w14:paraId="4807989D"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20</w:t>
            </w:r>
          </w:p>
        </w:tc>
        <w:tc>
          <w:tcPr>
            <w:tcW w:w="937" w:type="dxa"/>
            <w:tcBorders>
              <w:top w:val="single" w:sz="4" w:space="0" w:color="000000"/>
              <w:left w:val="single" w:sz="4" w:space="0" w:color="auto"/>
              <w:right w:val="single" w:sz="4" w:space="0" w:color="000000"/>
            </w:tcBorders>
            <w:shd w:val="clear" w:color="auto" w:fill="00FFFF"/>
            <w:vAlign w:val="center"/>
          </w:tcPr>
          <w:p w14:paraId="667688EA"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7032B65C" w14:textId="77777777" w:rsidTr="00C232D7">
        <w:trPr>
          <w:trHeight w:val="203"/>
        </w:trPr>
        <w:tc>
          <w:tcPr>
            <w:tcW w:w="0" w:type="auto"/>
            <w:vMerge/>
            <w:tcBorders>
              <w:top w:val="single" w:sz="4" w:space="0" w:color="auto"/>
              <w:left w:val="single" w:sz="4" w:space="0" w:color="auto"/>
              <w:bottom w:val="single" w:sz="4" w:space="0" w:color="auto"/>
              <w:right w:val="single" w:sz="4" w:space="0" w:color="auto"/>
            </w:tcBorders>
          </w:tcPr>
          <w:p w14:paraId="0659DA0B"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auto"/>
              <w:left w:val="single" w:sz="4" w:space="0" w:color="auto"/>
              <w:bottom w:val="single" w:sz="4" w:space="0" w:color="auto"/>
              <w:right w:val="single" w:sz="4" w:space="0" w:color="000000"/>
            </w:tcBorders>
          </w:tcPr>
          <w:p w14:paraId="400E7CC9"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4. </w:t>
            </w:r>
          </w:p>
        </w:tc>
        <w:tc>
          <w:tcPr>
            <w:tcW w:w="3718" w:type="dxa"/>
            <w:gridSpan w:val="4"/>
            <w:tcBorders>
              <w:top w:val="single" w:sz="4" w:space="0" w:color="auto"/>
              <w:left w:val="single" w:sz="4" w:space="0" w:color="000000"/>
              <w:bottom w:val="single" w:sz="4" w:space="0" w:color="auto"/>
              <w:right w:val="single" w:sz="4" w:space="0" w:color="000000"/>
            </w:tcBorders>
          </w:tcPr>
          <w:p w14:paraId="06D60BFB"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Podnožje nekadašnje skakaonice, Žabljak </w:t>
            </w:r>
          </w:p>
        </w:tc>
        <w:tc>
          <w:tcPr>
            <w:tcW w:w="2934" w:type="dxa"/>
            <w:tcBorders>
              <w:top w:val="single" w:sz="4" w:space="0" w:color="auto"/>
              <w:left w:val="single" w:sz="4" w:space="0" w:color="000000"/>
              <w:bottom w:val="single" w:sz="4" w:space="0" w:color="auto"/>
              <w:right w:val="single" w:sz="4" w:space="0" w:color="000000"/>
            </w:tcBorders>
          </w:tcPr>
          <w:p w14:paraId="5C96514E" w14:textId="58D07594"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auto"/>
              <w:left w:val="single" w:sz="4" w:space="0" w:color="000000"/>
              <w:bottom w:val="single" w:sz="4" w:space="0" w:color="auto"/>
              <w:right w:val="single" w:sz="4" w:space="0" w:color="000000"/>
            </w:tcBorders>
          </w:tcPr>
          <w:p w14:paraId="0DBA1539"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5</w:t>
            </w:r>
          </w:p>
        </w:tc>
        <w:tc>
          <w:tcPr>
            <w:tcW w:w="937" w:type="dxa"/>
            <w:tcBorders>
              <w:top w:val="single" w:sz="2" w:space="0" w:color="000000"/>
              <w:left w:val="single" w:sz="4" w:space="0" w:color="000000"/>
              <w:bottom w:val="single" w:sz="4" w:space="0" w:color="auto"/>
              <w:right w:val="single" w:sz="4" w:space="0" w:color="000000"/>
            </w:tcBorders>
            <w:shd w:val="clear" w:color="auto" w:fill="00FFFF"/>
            <w:vAlign w:val="center"/>
          </w:tcPr>
          <w:p w14:paraId="36CCF729"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r w:rsidR="00C232D7" w:rsidRPr="00F6198B" w14:paraId="3455B516" w14:textId="77777777" w:rsidTr="00C232D7">
        <w:trPr>
          <w:trHeight w:val="70"/>
        </w:trPr>
        <w:tc>
          <w:tcPr>
            <w:tcW w:w="0" w:type="auto"/>
            <w:vMerge/>
            <w:tcBorders>
              <w:top w:val="single" w:sz="4" w:space="0" w:color="auto"/>
              <w:left w:val="single" w:sz="4" w:space="0" w:color="auto"/>
              <w:bottom w:val="single" w:sz="4" w:space="0" w:color="auto"/>
              <w:right w:val="single" w:sz="4" w:space="0" w:color="auto"/>
            </w:tcBorders>
          </w:tcPr>
          <w:p w14:paraId="648AD8C9" w14:textId="77777777" w:rsidR="00C232D7" w:rsidRPr="00F6198B" w:rsidRDefault="00C232D7" w:rsidP="00C232D7">
            <w:pPr>
              <w:spacing w:after="160" w:line="360" w:lineRule="auto"/>
              <w:rPr>
                <w:rFonts w:ascii="Arial" w:hAnsi="Arial" w:cs="Arial"/>
                <w:color w:val="000000"/>
                <w:sz w:val="18"/>
                <w:szCs w:val="18"/>
                <w:lang w:val="sr-Latn-RS"/>
              </w:rPr>
            </w:pPr>
          </w:p>
        </w:tc>
        <w:tc>
          <w:tcPr>
            <w:tcW w:w="585" w:type="dxa"/>
            <w:tcBorders>
              <w:top w:val="single" w:sz="4" w:space="0" w:color="auto"/>
              <w:left w:val="single" w:sz="4" w:space="0" w:color="auto"/>
              <w:bottom w:val="single" w:sz="4" w:space="0" w:color="auto"/>
              <w:right w:val="single" w:sz="4" w:space="0" w:color="auto"/>
            </w:tcBorders>
          </w:tcPr>
          <w:p w14:paraId="3DAB907B" w14:textId="77777777" w:rsidR="00C232D7" w:rsidRPr="00F6198B" w:rsidRDefault="00C232D7" w:rsidP="00C232D7">
            <w:pPr>
              <w:spacing w:line="360" w:lineRule="auto"/>
              <w:ind w:left="12"/>
              <w:rPr>
                <w:rFonts w:ascii="Arial" w:hAnsi="Arial" w:cs="Arial"/>
                <w:color w:val="000000"/>
                <w:sz w:val="18"/>
                <w:szCs w:val="18"/>
                <w:lang w:val="sr-Latn-RS"/>
              </w:rPr>
            </w:pPr>
            <w:r w:rsidRPr="00F6198B">
              <w:rPr>
                <w:rFonts w:ascii="Arial" w:hAnsi="Arial" w:cs="Arial"/>
                <w:color w:val="000000"/>
                <w:sz w:val="18"/>
                <w:szCs w:val="18"/>
                <w:lang w:val="sr-Latn-RS"/>
              </w:rPr>
              <w:t xml:space="preserve">5. </w:t>
            </w:r>
          </w:p>
        </w:tc>
        <w:tc>
          <w:tcPr>
            <w:tcW w:w="3718" w:type="dxa"/>
            <w:gridSpan w:val="4"/>
            <w:tcBorders>
              <w:top w:val="single" w:sz="4" w:space="0" w:color="auto"/>
              <w:left w:val="single" w:sz="4" w:space="0" w:color="auto"/>
              <w:bottom w:val="single" w:sz="4" w:space="0" w:color="auto"/>
              <w:right w:val="single" w:sz="4" w:space="0" w:color="auto"/>
            </w:tcBorders>
          </w:tcPr>
          <w:p w14:paraId="79D28304"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 xml:space="preserve">Razvršje  </w:t>
            </w:r>
          </w:p>
        </w:tc>
        <w:tc>
          <w:tcPr>
            <w:tcW w:w="2934" w:type="dxa"/>
            <w:tcBorders>
              <w:top w:val="single" w:sz="4" w:space="0" w:color="auto"/>
              <w:left w:val="single" w:sz="4" w:space="0" w:color="auto"/>
              <w:bottom w:val="single" w:sz="4" w:space="0" w:color="auto"/>
              <w:right w:val="single" w:sz="4" w:space="0" w:color="auto"/>
            </w:tcBorders>
          </w:tcPr>
          <w:p w14:paraId="1BF92378" w14:textId="1B2D435B" w:rsidR="00C232D7" w:rsidRPr="00F6198B" w:rsidRDefault="001E5F12" w:rsidP="00C232D7">
            <w:pPr>
              <w:spacing w:line="360" w:lineRule="auto"/>
              <w:rPr>
                <w:rFonts w:ascii="Arial" w:hAnsi="Arial" w:cs="Arial"/>
                <w:color w:val="000000"/>
                <w:sz w:val="18"/>
                <w:szCs w:val="18"/>
                <w:lang w:val="sr-Latn-RS"/>
              </w:rPr>
            </w:pPr>
            <w:r w:rsidRPr="00F6198B">
              <w:rPr>
                <w:rFonts w:ascii="Arial" w:hAnsi="Arial" w:cs="Arial"/>
                <w:color w:val="000000"/>
                <w:sz w:val="18"/>
                <w:szCs w:val="18"/>
                <w:lang w:val="sr-Latn-RS"/>
              </w:rPr>
              <w:t xml:space="preserve">Miješani </w:t>
            </w:r>
            <w:r w:rsidR="00C232D7" w:rsidRPr="00F6198B">
              <w:rPr>
                <w:rFonts w:ascii="Arial" w:hAnsi="Arial" w:cs="Arial"/>
                <w:color w:val="000000"/>
                <w:sz w:val="18"/>
                <w:szCs w:val="18"/>
                <w:lang w:val="sr-Latn-RS"/>
              </w:rPr>
              <w:t xml:space="preserve">komunalni </w:t>
            </w:r>
          </w:p>
        </w:tc>
        <w:tc>
          <w:tcPr>
            <w:tcW w:w="931" w:type="dxa"/>
            <w:tcBorders>
              <w:top w:val="single" w:sz="4" w:space="0" w:color="auto"/>
              <w:left w:val="single" w:sz="4" w:space="0" w:color="auto"/>
              <w:bottom w:val="single" w:sz="4" w:space="0" w:color="auto"/>
              <w:right w:val="single" w:sz="4" w:space="0" w:color="auto"/>
            </w:tcBorders>
          </w:tcPr>
          <w:p w14:paraId="3FD2858A" w14:textId="77777777" w:rsidR="00C232D7" w:rsidRPr="00F6198B" w:rsidRDefault="00C232D7" w:rsidP="00C232D7">
            <w:pPr>
              <w:spacing w:line="360" w:lineRule="auto"/>
              <w:ind w:left="8"/>
              <w:rPr>
                <w:rFonts w:ascii="Arial" w:hAnsi="Arial" w:cs="Arial"/>
                <w:color w:val="000000"/>
                <w:sz w:val="18"/>
                <w:szCs w:val="18"/>
                <w:lang w:val="sr-Latn-RS"/>
              </w:rPr>
            </w:pPr>
            <w:r w:rsidRPr="00F6198B">
              <w:rPr>
                <w:rFonts w:ascii="Arial" w:hAnsi="Arial" w:cs="Arial"/>
                <w:color w:val="000000"/>
                <w:sz w:val="18"/>
                <w:szCs w:val="18"/>
                <w:lang w:val="sr-Latn-RS"/>
              </w:rPr>
              <w:t>30</w:t>
            </w:r>
          </w:p>
        </w:tc>
        <w:tc>
          <w:tcPr>
            <w:tcW w:w="937" w:type="dxa"/>
            <w:tcBorders>
              <w:top w:val="single" w:sz="4" w:space="0" w:color="auto"/>
              <w:left w:val="single" w:sz="4" w:space="0" w:color="auto"/>
              <w:bottom w:val="single" w:sz="4" w:space="0" w:color="auto"/>
              <w:right w:val="single" w:sz="4" w:space="0" w:color="auto"/>
            </w:tcBorders>
            <w:shd w:val="clear" w:color="auto" w:fill="00FFFF"/>
          </w:tcPr>
          <w:p w14:paraId="0A59DBE6" w14:textId="77777777" w:rsidR="00C232D7" w:rsidRPr="00F6198B" w:rsidRDefault="00C232D7" w:rsidP="00A23ED0">
            <w:pPr>
              <w:numPr>
                <w:ilvl w:val="0"/>
                <w:numId w:val="26"/>
              </w:numPr>
              <w:spacing w:after="5" w:line="360" w:lineRule="auto"/>
              <w:ind w:right="2"/>
              <w:contextualSpacing/>
              <w:rPr>
                <w:rFonts w:ascii="Arial" w:hAnsi="Arial" w:cs="Arial"/>
                <w:color w:val="000000"/>
                <w:sz w:val="18"/>
                <w:szCs w:val="18"/>
                <w:lang w:val="sr-Latn-RS"/>
              </w:rPr>
            </w:pPr>
          </w:p>
        </w:tc>
      </w:tr>
    </w:tbl>
    <w:p w14:paraId="3FB0A1AA" w14:textId="77777777" w:rsidR="005335B5" w:rsidRDefault="00C232D7" w:rsidP="005335B5">
      <w:pPr>
        <w:pStyle w:val="Caption"/>
        <w:rPr>
          <w:rFonts w:ascii="Arial" w:eastAsia="Times New Roman" w:hAnsi="Arial" w:cs="Arial"/>
          <w:color w:val="000000"/>
          <w:lang w:val="sr-Latn-RS"/>
        </w:rPr>
      </w:pPr>
      <w:r w:rsidRPr="002A6F4E">
        <w:rPr>
          <w:rFonts w:ascii="Arial" w:eastAsia="Times New Roman" w:hAnsi="Arial" w:cs="Arial"/>
          <w:color w:val="000000"/>
          <w:lang w:val="sr-Latn-RS"/>
        </w:rPr>
        <w:t xml:space="preserve"> </w:t>
      </w:r>
      <w:r w:rsidRPr="002A6F4E">
        <w:rPr>
          <w:rFonts w:ascii="Arial" w:eastAsia="Times New Roman" w:hAnsi="Arial" w:cs="Arial"/>
          <w:color w:val="000000"/>
          <w:lang w:val="sr-Latn-RS"/>
        </w:rPr>
        <w:tab/>
      </w:r>
    </w:p>
    <w:p w14:paraId="50910D9D" w14:textId="00F26471" w:rsidR="00FD6E69" w:rsidRPr="00FD6E69" w:rsidRDefault="005335B5" w:rsidP="00FD6E69">
      <w:pPr>
        <w:pStyle w:val="Caption"/>
        <w:rPr>
          <w:rFonts w:ascii="Arial" w:hAnsi="Arial" w:cs="Arial"/>
          <w:szCs w:val="20"/>
          <w:lang w:val="de-DE"/>
        </w:rPr>
      </w:pPr>
      <w:bookmarkStart w:id="740" w:name="_Toc190160705"/>
      <w:r w:rsidRPr="001E5F12">
        <w:rPr>
          <w:rFonts w:ascii="Arial" w:hAnsi="Arial" w:cs="Arial"/>
          <w:b w:val="0"/>
          <w:szCs w:val="20"/>
          <w:lang w:val="de-DE"/>
        </w:rPr>
        <w:t xml:space="preserve">Tabela </w:t>
      </w:r>
      <w:r w:rsidRPr="001E5F12">
        <w:rPr>
          <w:rFonts w:ascii="Arial" w:hAnsi="Arial" w:cs="Arial"/>
          <w:b w:val="0"/>
          <w:szCs w:val="20"/>
        </w:rPr>
        <w:fldChar w:fldCharType="begin"/>
      </w:r>
      <w:r w:rsidRPr="001E5F12">
        <w:rPr>
          <w:rFonts w:ascii="Arial" w:hAnsi="Arial" w:cs="Arial"/>
          <w:b w:val="0"/>
          <w:szCs w:val="20"/>
          <w:lang w:val="de-DE"/>
        </w:rPr>
        <w:instrText xml:space="preserve"> SEQ Tabela \* ARABIC </w:instrText>
      </w:r>
      <w:r w:rsidRPr="001E5F12">
        <w:rPr>
          <w:rFonts w:ascii="Arial" w:hAnsi="Arial" w:cs="Arial"/>
          <w:b w:val="0"/>
          <w:szCs w:val="20"/>
        </w:rPr>
        <w:fldChar w:fldCharType="separate"/>
      </w:r>
      <w:r w:rsidR="007274DA">
        <w:rPr>
          <w:rFonts w:ascii="Arial" w:hAnsi="Arial" w:cs="Arial"/>
          <w:b w:val="0"/>
          <w:noProof/>
          <w:szCs w:val="20"/>
          <w:lang w:val="de-DE"/>
        </w:rPr>
        <w:t>15</w:t>
      </w:r>
      <w:r w:rsidRPr="001E5F12">
        <w:rPr>
          <w:rFonts w:ascii="Arial" w:hAnsi="Arial" w:cs="Arial"/>
          <w:b w:val="0"/>
          <w:szCs w:val="20"/>
        </w:rPr>
        <w:fldChar w:fldCharType="end"/>
      </w:r>
      <w:r w:rsidRPr="001E5F12">
        <w:rPr>
          <w:rFonts w:ascii="Arial" w:hAnsi="Arial" w:cs="Arial"/>
          <w:b w:val="0"/>
          <w:szCs w:val="20"/>
          <w:lang w:val="de-DE"/>
        </w:rPr>
        <w:t xml:space="preserve"> </w:t>
      </w:r>
      <w:r w:rsidRPr="001E5F12">
        <w:rPr>
          <w:rFonts w:ascii="Arial" w:hAnsi="Arial" w:cs="Arial"/>
          <w:b w:val="0"/>
          <w:bCs w:val="0"/>
          <w:szCs w:val="20"/>
          <w:lang w:val="de-DE"/>
        </w:rPr>
        <w:t>Sanirana neuređena odlagališta preko javnih konkursa Eko-fonda</w:t>
      </w:r>
      <w:bookmarkEnd w:id="740"/>
      <w:r w:rsidR="000D2632">
        <w:rPr>
          <w:rStyle w:val="FootnoteReference"/>
          <w:rFonts w:cs="Arial"/>
          <w:b w:val="0"/>
          <w:bCs w:val="0"/>
        </w:rPr>
        <w:footnoteReference w:id="17"/>
      </w:r>
    </w:p>
    <w:tbl>
      <w:tblPr>
        <w:tblW w:w="8930" w:type="dxa"/>
        <w:jc w:val="center"/>
        <w:tblLook w:val="04A0" w:firstRow="1" w:lastRow="0" w:firstColumn="1" w:lastColumn="0" w:noHBand="0" w:noVBand="1"/>
      </w:tblPr>
      <w:tblGrid>
        <w:gridCol w:w="1134"/>
        <w:gridCol w:w="2405"/>
        <w:gridCol w:w="5391"/>
      </w:tblGrid>
      <w:tr w:rsidR="00FD6E69" w:rsidRPr="0014164F" w14:paraId="6ABC858D" w14:textId="77777777" w:rsidTr="00FD6E69">
        <w:trPr>
          <w:trHeight w:val="381"/>
          <w:jc w:val="center"/>
        </w:trPr>
        <w:tc>
          <w:tcPr>
            <w:tcW w:w="8930" w:type="dxa"/>
            <w:gridSpan w:val="3"/>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C42496" w14:textId="77777777" w:rsidR="00FD6E69" w:rsidRPr="009F580D" w:rsidRDefault="00FD6E69" w:rsidP="00FD6E69">
            <w:pPr>
              <w:spacing w:line="360" w:lineRule="auto"/>
              <w:rPr>
                <w:rFonts w:ascii="Arial" w:hAnsi="Arial" w:cs="Arial"/>
                <w:b/>
                <w:bCs/>
                <w:sz w:val="18"/>
                <w:szCs w:val="18"/>
                <w:lang w:val="de-DE"/>
              </w:rPr>
            </w:pPr>
            <w:r w:rsidRPr="009F580D">
              <w:rPr>
                <w:rFonts w:ascii="Arial" w:hAnsi="Arial" w:cs="Arial"/>
                <w:b/>
                <w:bCs/>
                <w:sz w:val="18"/>
                <w:szCs w:val="18"/>
                <w:lang w:val="de-DE"/>
              </w:rPr>
              <w:t>Sanirana neuređena odlagališta preko javnih konkursa Eko-fonda</w:t>
            </w:r>
          </w:p>
        </w:tc>
      </w:tr>
      <w:tr w:rsidR="00FD6E69" w:rsidRPr="002A6F4E" w14:paraId="5847C900" w14:textId="77777777" w:rsidTr="00FD6E69">
        <w:trPr>
          <w:trHeight w:val="392"/>
          <w:jc w:val="center"/>
        </w:trPr>
        <w:tc>
          <w:tcPr>
            <w:tcW w:w="1134"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14:paraId="5D5C641D" w14:textId="77777777" w:rsidR="00FD6E69" w:rsidRPr="009F580D" w:rsidRDefault="00FD6E69" w:rsidP="00FD6E69">
            <w:pPr>
              <w:spacing w:line="360" w:lineRule="auto"/>
              <w:rPr>
                <w:rFonts w:ascii="Arial" w:hAnsi="Arial" w:cs="Arial"/>
                <w:b/>
                <w:bCs/>
                <w:sz w:val="18"/>
                <w:szCs w:val="18"/>
              </w:rPr>
            </w:pPr>
            <w:r w:rsidRPr="009F580D">
              <w:rPr>
                <w:rFonts w:ascii="Arial" w:hAnsi="Arial" w:cs="Arial"/>
                <w:b/>
                <w:bCs/>
                <w:sz w:val="18"/>
                <w:szCs w:val="18"/>
              </w:rPr>
              <w:t>JLS</w:t>
            </w:r>
          </w:p>
        </w:tc>
        <w:tc>
          <w:tcPr>
            <w:tcW w:w="2405" w:type="dxa"/>
            <w:tcBorders>
              <w:top w:val="single" w:sz="4" w:space="0" w:color="auto"/>
              <w:left w:val="nil"/>
              <w:bottom w:val="single" w:sz="4" w:space="0" w:color="auto"/>
              <w:right w:val="single" w:sz="4" w:space="0" w:color="auto"/>
            </w:tcBorders>
            <w:shd w:val="clear" w:color="auto" w:fill="FFF2CC" w:themeFill="accent4" w:themeFillTint="33"/>
            <w:noWrap/>
            <w:vAlign w:val="bottom"/>
          </w:tcPr>
          <w:p w14:paraId="3C7989F9" w14:textId="77777777" w:rsidR="00FD6E69" w:rsidRPr="009F580D" w:rsidRDefault="00FD6E69" w:rsidP="00FD6E69">
            <w:pPr>
              <w:spacing w:line="360" w:lineRule="auto"/>
              <w:rPr>
                <w:rFonts w:ascii="Arial" w:hAnsi="Arial" w:cs="Arial"/>
                <w:b/>
                <w:bCs/>
                <w:sz w:val="18"/>
                <w:szCs w:val="18"/>
              </w:rPr>
            </w:pPr>
            <w:r w:rsidRPr="009F580D">
              <w:rPr>
                <w:rFonts w:ascii="Arial" w:hAnsi="Arial" w:cs="Arial"/>
                <w:b/>
                <w:bCs/>
                <w:sz w:val="18"/>
                <w:szCs w:val="18"/>
              </w:rPr>
              <w:t xml:space="preserve">Broj saniranih neuređenih odlagališta </w:t>
            </w:r>
          </w:p>
        </w:tc>
        <w:tc>
          <w:tcPr>
            <w:tcW w:w="5391"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1DAEDC57" w14:textId="77777777" w:rsidR="00FD6E69" w:rsidRPr="009F580D" w:rsidRDefault="00FD6E69" w:rsidP="00FD6E69">
            <w:pPr>
              <w:spacing w:line="360" w:lineRule="auto"/>
              <w:rPr>
                <w:rFonts w:ascii="Arial" w:hAnsi="Arial" w:cs="Arial"/>
                <w:b/>
                <w:bCs/>
                <w:sz w:val="18"/>
                <w:szCs w:val="18"/>
              </w:rPr>
            </w:pPr>
            <w:r w:rsidRPr="009F580D">
              <w:rPr>
                <w:rFonts w:ascii="Arial" w:hAnsi="Arial" w:cs="Arial"/>
                <w:b/>
                <w:bCs/>
                <w:sz w:val="18"/>
                <w:szCs w:val="18"/>
              </w:rPr>
              <w:t>Lokacija</w:t>
            </w:r>
          </w:p>
        </w:tc>
      </w:tr>
      <w:tr w:rsidR="00FD6E69" w:rsidRPr="002A6F4E" w14:paraId="34A32F09" w14:textId="77777777" w:rsidTr="00FD6E69">
        <w:trPr>
          <w:trHeight w:val="392"/>
          <w:jc w:val="center"/>
        </w:trPr>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54F6E535" w14:textId="77777777" w:rsidR="00FD6E69" w:rsidRPr="009F580D" w:rsidRDefault="00FD6E69" w:rsidP="00FD6E69">
            <w:pPr>
              <w:spacing w:line="360" w:lineRule="auto"/>
              <w:ind w:firstLine="22"/>
              <w:rPr>
                <w:rFonts w:ascii="Arial" w:hAnsi="Arial" w:cs="Arial"/>
                <w:b/>
                <w:bCs/>
                <w:sz w:val="18"/>
                <w:szCs w:val="18"/>
              </w:rPr>
            </w:pPr>
            <w:r w:rsidRPr="009F580D">
              <w:rPr>
                <w:rFonts w:ascii="Arial" w:hAnsi="Arial" w:cs="Arial"/>
                <w:b/>
                <w:bCs/>
                <w:sz w:val="18"/>
                <w:szCs w:val="18"/>
              </w:rPr>
              <w:t>Bar</w:t>
            </w:r>
          </w:p>
        </w:tc>
        <w:tc>
          <w:tcPr>
            <w:tcW w:w="2405" w:type="dxa"/>
            <w:tcBorders>
              <w:top w:val="nil"/>
              <w:left w:val="nil"/>
              <w:bottom w:val="single" w:sz="4" w:space="0" w:color="auto"/>
              <w:right w:val="single" w:sz="4" w:space="0" w:color="auto"/>
            </w:tcBorders>
            <w:shd w:val="clear" w:color="auto" w:fill="FFFFFF" w:themeFill="background1"/>
            <w:vAlign w:val="center"/>
          </w:tcPr>
          <w:p w14:paraId="1EC404C9"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1</w:t>
            </w:r>
          </w:p>
        </w:tc>
        <w:tc>
          <w:tcPr>
            <w:tcW w:w="5391" w:type="dxa"/>
            <w:tcBorders>
              <w:top w:val="single" w:sz="4" w:space="0" w:color="auto"/>
              <w:left w:val="nil"/>
              <w:bottom w:val="single" w:sz="4" w:space="0" w:color="auto"/>
              <w:right w:val="single" w:sz="4" w:space="0" w:color="auto"/>
            </w:tcBorders>
            <w:shd w:val="clear" w:color="auto" w:fill="auto"/>
            <w:noWrap/>
            <w:vAlign w:val="center"/>
          </w:tcPr>
          <w:p w14:paraId="60F86763"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 xml:space="preserve">Vidikovac </w:t>
            </w:r>
          </w:p>
        </w:tc>
      </w:tr>
      <w:tr w:rsidR="00FD6E69" w:rsidRPr="002A6F4E" w14:paraId="47AC1860" w14:textId="77777777" w:rsidTr="00FD6E69">
        <w:trPr>
          <w:trHeight w:val="404"/>
          <w:jc w:val="center"/>
        </w:trPr>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73503F96" w14:textId="77777777" w:rsidR="00FD6E69" w:rsidRPr="009F580D" w:rsidRDefault="00FD6E69" w:rsidP="00FD6E69">
            <w:pPr>
              <w:spacing w:line="360" w:lineRule="auto"/>
              <w:ind w:firstLine="22"/>
              <w:rPr>
                <w:rFonts w:ascii="Arial" w:hAnsi="Arial" w:cs="Arial"/>
                <w:b/>
                <w:bCs/>
                <w:sz w:val="18"/>
                <w:szCs w:val="18"/>
              </w:rPr>
            </w:pPr>
            <w:r w:rsidRPr="009F580D">
              <w:rPr>
                <w:rFonts w:ascii="Arial" w:hAnsi="Arial" w:cs="Arial"/>
                <w:b/>
                <w:bCs/>
                <w:sz w:val="18"/>
                <w:szCs w:val="18"/>
              </w:rPr>
              <w:t>Mojkovac</w:t>
            </w:r>
          </w:p>
        </w:tc>
        <w:tc>
          <w:tcPr>
            <w:tcW w:w="2405" w:type="dxa"/>
            <w:tcBorders>
              <w:top w:val="nil"/>
              <w:left w:val="nil"/>
              <w:bottom w:val="single" w:sz="4" w:space="0" w:color="auto"/>
              <w:right w:val="single" w:sz="4" w:space="0" w:color="auto"/>
            </w:tcBorders>
            <w:shd w:val="clear" w:color="auto" w:fill="FFFFFF" w:themeFill="background1"/>
            <w:vAlign w:val="center"/>
          </w:tcPr>
          <w:p w14:paraId="68A45D18"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8</w:t>
            </w:r>
          </w:p>
        </w:tc>
        <w:tc>
          <w:tcPr>
            <w:tcW w:w="5391" w:type="dxa"/>
            <w:tcBorders>
              <w:top w:val="single" w:sz="4" w:space="0" w:color="auto"/>
              <w:left w:val="nil"/>
              <w:bottom w:val="single" w:sz="4" w:space="0" w:color="auto"/>
              <w:right w:val="single" w:sz="4" w:space="0" w:color="auto"/>
            </w:tcBorders>
            <w:shd w:val="clear" w:color="auto" w:fill="auto"/>
            <w:vAlign w:val="center"/>
          </w:tcPr>
          <w:p w14:paraId="04944873"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 xml:space="preserve">Varda, Podmartinski, Biznis zona, deponije kod Palevića, Gornja Polja 1, 2 i 3, Tutići                      </w:t>
            </w:r>
          </w:p>
        </w:tc>
      </w:tr>
      <w:tr w:rsidR="00FD6E69" w:rsidRPr="002A6F4E" w14:paraId="653B104C" w14:textId="77777777" w:rsidTr="00FD6E69">
        <w:trPr>
          <w:trHeight w:val="496"/>
          <w:jc w:val="center"/>
        </w:trPr>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30300859" w14:textId="77777777" w:rsidR="00FD6E69" w:rsidRPr="009F580D" w:rsidRDefault="00FD6E69" w:rsidP="00FD6E69">
            <w:pPr>
              <w:spacing w:line="360" w:lineRule="auto"/>
              <w:ind w:firstLine="22"/>
              <w:rPr>
                <w:rFonts w:ascii="Arial" w:hAnsi="Arial" w:cs="Arial"/>
                <w:b/>
                <w:bCs/>
                <w:sz w:val="18"/>
                <w:szCs w:val="18"/>
              </w:rPr>
            </w:pPr>
            <w:r w:rsidRPr="009F580D">
              <w:rPr>
                <w:rFonts w:ascii="Arial" w:hAnsi="Arial" w:cs="Arial"/>
                <w:b/>
                <w:bCs/>
                <w:sz w:val="18"/>
                <w:szCs w:val="18"/>
              </w:rPr>
              <w:t>Zeta</w:t>
            </w:r>
          </w:p>
        </w:tc>
        <w:tc>
          <w:tcPr>
            <w:tcW w:w="2405" w:type="dxa"/>
            <w:tcBorders>
              <w:top w:val="nil"/>
              <w:left w:val="nil"/>
              <w:bottom w:val="single" w:sz="4" w:space="0" w:color="auto"/>
              <w:right w:val="single" w:sz="4" w:space="0" w:color="auto"/>
            </w:tcBorders>
            <w:shd w:val="clear" w:color="auto" w:fill="FFFFFF" w:themeFill="background1"/>
            <w:vAlign w:val="center"/>
          </w:tcPr>
          <w:p w14:paraId="3DBD0045"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8</w:t>
            </w:r>
          </w:p>
        </w:tc>
        <w:tc>
          <w:tcPr>
            <w:tcW w:w="5391" w:type="dxa"/>
            <w:tcBorders>
              <w:top w:val="nil"/>
              <w:left w:val="nil"/>
              <w:bottom w:val="single" w:sz="4" w:space="0" w:color="auto"/>
              <w:right w:val="single" w:sz="4" w:space="0" w:color="auto"/>
            </w:tcBorders>
            <w:shd w:val="clear" w:color="auto" w:fill="auto"/>
            <w:vAlign w:val="center"/>
          </w:tcPr>
          <w:p w14:paraId="16C02AEA"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 xml:space="preserve">Korovića murva, Žaborovo, Pantovac, Ljajkovići, Botun, Lijeva i desna obala Morače                                                                                                                                                                           </w:t>
            </w:r>
          </w:p>
        </w:tc>
      </w:tr>
      <w:tr w:rsidR="00FD6E69" w:rsidRPr="002A6F4E" w14:paraId="16EEB346" w14:textId="77777777" w:rsidTr="00FD6E69">
        <w:trPr>
          <w:trHeight w:val="126"/>
          <w:jc w:val="center"/>
        </w:trPr>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14:paraId="25ED23C7" w14:textId="77777777" w:rsidR="00FD6E69" w:rsidRPr="009F580D" w:rsidRDefault="00FD6E69" w:rsidP="00FD6E69">
            <w:pPr>
              <w:spacing w:line="360" w:lineRule="auto"/>
              <w:ind w:firstLine="22"/>
              <w:rPr>
                <w:rFonts w:ascii="Arial" w:hAnsi="Arial" w:cs="Arial"/>
                <w:b/>
                <w:bCs/>
                <w:sz w:val="18"/>
                <w:szCs w:val="18"/>
              </w:rPr>
            </w:pPr>
            <w:r w:rsidRPr="009F580D">
              <w:rPr>
                <w:rFonts w:ascii="Arial" w:hAnsi="Arial" w:cs="Arial"/>
                <w:b/>
                <w:bCs/>
                <w:sz w:val="18"/>
                <w:szCs w:val="18"/>
              </w:rPr>
              <w:t>Plav</w:t>
            </w:r>
          </w:p>
        </w:tc>
        <w:tc>
          <w:tcPr>
            <w:tcW w:w="2405" w:type="dxa"/>
            <w:tcBorders>
              <w:top w:val="nil"/>
              <w:left w:val="nil"/>
              <w:bottom w:val="single" w:sz="4" w:space="0" w:color="auto"/>
              <w:right w:val="single" w:sz="4" w:space="0" w:color="auto"/>
            </w:tcBorders>
            <w:shd w:val="clear" w:color="auto" w:fill="FFFFFF" w:themeFill="background1"/>
            <w:noWrap/>
            <w:vAlign w:val="center"/>
          </w:tcPr>
          <w:p w14:paraId="15825FEA"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10</w:t>
            </w:r>
          </w:p>
        </w:tc>
        <w:tc>
          <w:tcPr>
            <w:tcW w:w="5391" w:type="dxa"/>
            <w:tcBorders>
              <w:top w:val="nil"/>
              <w:left w:val="nil"/>
              <w:bottom w:val="single" w:sz="4" w:space="0" w:color="auto"/>
              <w:right w:val="single" w:sz="4" w:space="0" w:color="auto"/>
            </w:tcBorders>
            <w:shd w:val="clear" w:color="auto" w:fill="auto"/>
            <w:vAlign w:val="center"/>
          </w:tcPr>
          <w:p w14:paraId="45A64696"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 xml:space="preserve">KO Hoti, KO Đurička Rijeka, KO Bogajići                                      </w:t>
            </w:r>
          </w:p>
        </w:tc>
      </w:tr>
      <w:tr w:rsidR="00FD6E69" w:rsidRPr="002A6F4E" w14:paraId="22480FED" w14:textId="77777777" w:rsidTr="00FD6E69">
        <w:trPr>
          <w:trHeight w:val="273"/>
          <w:jc w:val="center"/>
        </w:trPr>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5E60428B" w14:textId="77777777" w:rsidR="00FD6E69" w:rsidRPr="009F580D" w:rsidRDefault="00FD6E69" w:rsidP="00FD6E69">
            <w:pPr>
              <w:spacing w:line="360" w:lineRule="auto"/>
              <w:ind w:firstLine="22"/>
              <w:rPr>
                <w:rFonts w:ascii="Arial" w:hAnsi="Arial" w:cs="Arial"/>
                <w:b/>
                <w:bCs/>
                <w:sz w:val="18"/>
                <w:szCs w:val="18"/>
              </w:rPr>
            </w:pPr>
            <w:r w:rsidRPr="009F580D">
              <w:rPr>
                <w:rFonts w:ascii="Arial" w:hAnsi="Arial" w:cs="Arial"/>
                <w:b/>
                <w:bCs/>
                <w:sz w:val="18"/>
                <w:szCs w:val="18"/>
              </w:rPr>
              <w:t>Nikšić</w:t>
            </w:r>
          </w:p>
        </w:tc>
        <w:tc>
          <w:tcPr>
            <w:tcW w:w="2405" w:type="dxa"/>
            <w:tcBorders>
              <w:top w:val="nil"/>
              <w:left w:val="nil"/>
              <w:bottom w:val="single" w:sz="4" w:space="0" w:color="auto"/>
              <w:right w:val="single" w:sz="4" w:space="0" w:color="auto"/>
            </w:tcBorders>
            <w:shd w:val="clear" w:color="auto" w:fill="FFFFFF" w:themeFill="background1"/>
            <w:noWrap/>
            <w:vAlign w:val="center"/>
          </w:tcPr>
          <w:p w14:paraId="2DE5BE97"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3</w:t>
            </w:r>
          </w:p>
        </w:tc>
        <w:tc>
          <w:tcPr>
            <w:tcW w:w="5391" w:type="dxa"/>
            <w:tcBorders>
              <w:top w:val="nil"/>
              <w:left w:val="nil"/>
              <w:bottom w:val="single" w:sz="4" w:space="0" w:color="auto"/>
              <w:right w:val="single" w:sz="4" w:space="0" w:color="auto"/>
            </w:tcBorders>
            <w:shd w:val="clear" w:color="auto" w:fill="auto"/>
            <w:vAlign w:val="center"/>
          </w:tcPr>
          <w:p w14:paraId="61CD7681"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 xml:space="preserve">KO Nikšić, KO Ozrinići,  KO   Kličevo                                            </w:t>
            </w:r>
          </w:p>
        </w:tc>
      </w:tr>
      <w:tr w:rsidR="00FD6E69" w:rsidRPr="002A6F4E" w14:paraId="07C74699" w14:textId="77777777" w:rsidTr="00FD6E69">
        <w:trPr>
          <w:trHeight w:val="275"/>
          <w:jc w:val="center"/>
        </w:trPr>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4197C180" w14:textId="77777777" w:rsidR="00FD6E69" w:rsidRPr="009F580D" w:rsidRDefault="00FD6E69" w:rsidP="00FD6E69">
            <w:pPr>
              <w:spacing w:line="360" w:lineRule="auto"/>
              <w:ind w:firstLine="22"/>
              <w:rPr>
                <w:rFonts w:ascii="Arial" w:hAnsi="Arial" w:cs="Arial"/>
                <w:b/>
                <w:bCs/>
                <w:sz w:val="18"/>
                <w:szCs w:val="18"/>
              </w:rPr>
            </w:pPr>
            <w:r w:rsidRPr="009F580D">
              <w:rPr>
                <w:rFonts w:ascii="Arial" w:hAnsi="Arial" w:cs="Arial"/>
                <w:b/>
                <w:bCs/>
                <w:sz w:val="18"/>
                <w:szCs w:val="18"/>
              </w:rPr>
              <w:t>Tuzi</w:t>
            </w:r>
          </w:p>
        </w:tc>
        <w:tc>
          <w:tcPr>
            <w:tcW w:w="2405" w:type="dxa"/>
            <w:tcBorders>
              <w:top w:val="nil"/>
              <w:left w:val="nil"/>
              <w:bottom w:val="single" w:sz="4" w:space="0" w:color="auto"/>
              <w:right w:val="single" w:sz="4" w:space="0" w:color="auto"/>
            </w:tcBorders>
            <w:shd w:val="clear" w:color="auto" w:fill="FFFFFF" w:themeFill="background1"/>
            <w:noWrap/>
            <w:vAlign w:val="center"/>
          </w:tcPr>
          <w:p w14:paraId="75E7337F"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2</w:t>
            </w:r>
          </w:p>
        </w:tc>
        <w:tc>
          <w:tcPr>
            <w:tcW w:w="5391" w:type="dxa"/>
            <w:tcBorders>
              <w:top w:val="nil"/>
              <w:left w:val="nil"/>
              <w:bottom w:val="single" w:sz="4" w:space="0" w:color="auto"/>
              <w:right w:val="single" w:sz="4" w:space="0" w:color="auto"/>
            </w:tcBorders>
            <w:shd w:val="clear" w:color="auto" w:fill="auto"/>
            <w:noWrap/>
            <w:vAlign w:val="center"/>
          </w:tcPr>
          <w:p w14:paraId="41AF93D6"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KO Vuksan Lekić</w:t>
            </w:r>
          </w:p>
        </w:tc>
      </w:tr>
      <w:tr w:rsidR="00FD6E69" w:rsidRPr="002A6F4E" w14:paraId="1CE2294F" w14:textId="77777777" w:rsidTr="00FD6E69">
        <w:trPr>
          <w:trHeight w:val="131"/>
          <w:jc w:val="center"/>
        </w:trPr>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02EC047F" w14:textId="77777777" w:rsidR="00FD6E69" w:rsidRPr="009F580D" w:rsidRDefault="00FD6E69" w:rsidP="00FD6E69">
            <w:pPr>
              <w:spacing w:line="360" w:lineRule="auto"/>
              <w:ind w:firstLine="22"/>
              <w:rPr>
                <w:rFonts w:ascii="Arial" w:hAnsi="Arial" w:cs="Arial"/>
                <w:b/>
                <w:bCs/>
                <w:sz w:val="18"/>
                <w:szCs w:val="18"/>
              </w:rPr>
            </w:pPr>
            <w:r w:rsidRPr="009F580D">
              <w:rPr>
                <w:rFonts w:ascii="Arial" w:hAnsi="Arial" w:cs="Arial"/>
                <w:b/>
                <w:bCs/>
                <w:sz w:val="18"/>
                <w:szCs w:val="18"/>
              </w:rPr>
              <w:t>Rožaje</w:t>
            </w:r>
          </w:p>
        </w:tc>
        <w:tc>
          <w:tcPr>
            <w:tcW w:w="2405" w:type="dxa"/>
            <w:tcBorders>
              <w:top w:val="nil"/>
              <w:left w:val="nil"/>
              <w:bottom w:val="single" w:sz="4" w:space="0" w:color="auto"/>
              <w:right w:val="single" w:sz="4" w:space="0" w:color="auto"/>
            </w:tcBorders>
            <w:shd w:val="clear" w:color="auto" w:fill="FFFFFF" w:themeFill="background1"/>
            <w:noWrap/>
            <w:vAlign w:val="center"/>
          </w:tcPr>
          <w:p w14:paraId="3375365B"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2</w:t>
            </w:r>
          </w:p>
        </w:tc>
        <w:tc>
          <w:tcPr>
            <w:tcW w:w="5391" w:type="dxa"/>
            <w:tcBorders>
              <w:top w:val="nil"/>
              <w:left w:val="nil"/>
              <w:bottom w:val="single" w:sz="4" w:space="0" w:color="auto"/>
              <w:right w:val="single" w:sz="4" w:space="0" w:color="auto"/>
            </w:tcBorders>
            <w:shd w:val="clear" w:color="auto" w:fill="auto"/>
            <w:noWrap/>
            <w:vAlign w:val="center"/>
          </w:tcPr>
          <w:p w14:paraId="32B32012"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Bać i Bačevac</w:t>
            </w:r>
          </w:p>
        </w:tc>
      </w:tr>
      <w:tr w:rsidR="00FD6E69" w:rsidRPr="002A6F4E" w14:paraId="79B312C2" w14:textId="77777777" w:rsidTr="00FD6E69">
        <w:trPr>
          <w:trHeight w:val="494"/>
          <w:jc w:val="center"/>
        </w:trPr>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2B577C37" w14:textId="77777777" w:rsidR="00FD6E69" w:rsidRPr="009F580D" w:rsidRDefault="00FD6E69" w:rsidP="00FD6E69">
            <w:pPr>
              <w:spacing w:line="360" w:lineRule="auto"/>
              <w:ind w:firstLine="22"/>
              <w:rPr>
                <w:rFonts w:ascii="Arial" w:hAnsi="Arial" w:cs="Arial"/>
                <w:b/>
                <w:bCs/>
                <w:sz w:val="18"/>
                <w:szCs w:val="18"/>
              </w:rPr>
            </w:pPr>
            <w:r w:rsidRPr="009F580D">
              <w:rPr>
                <w:rFonts w:ascii="Arial" w:hAnsi="Arial" w:cs="Arial"/>
                <w:b/>
                <w:bCs/>
                <w:sz w:val="18"/>
                <w:szCs w:val="18"/>
              </w:rPr>
              <w:t>Gusinje</w:t>
            </w:r>
          </w:p>
        </w:tc>
        <w:tc>
          <w:tcPr>
            <w:tcW w:w="2405" w:type="dxa"/>
            <w:tcBorders>
              <w:top w:val="nil"/>
              <w:left w:val="nil"/>
              <w:bottom w:val="single" w:sz="4" w:space="0" w:color="auto"/>
              <w:right w:val="single" w:sz="4" w:space="0" w:color="auto"/>
            </w:tcBorders>
            <w:shd w:val="clear" w:color="auto" w:fill="FFFFFF" w:themeFill="background1"/>
            <w:noWrap/>
            <w:vAlign w:val="center"/>
          </w:tcPr>
          <w:p w14:paraId="56450C84"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6</w:t>
            </w:r>
          </w:p>
        </w:tc>
        <w:tc>
          <w:tcPr>
            <w:tcW w:w="5391" w:type="dxa"/>
            <w:tcBorders>
              <w:top w:val="nil"/>
              <w:left w:val="nil"/>
              <w:bottom w:val="single" w:sz="4" w:space="0" w:color="auto"/>
              <w:right w:val="single" w:sz="4" w:space="0" w:color="auto"/>
            </w:tcBorders>
            <w:shd w:val="clear" w:color="auto" w:fill="auto"/>
            <w:vAlign w:val="center"/>
          </w:tcPr>
          <w:p w14:paraId="31FE092F"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KO Gusinje, KO Kruševo II, KO Vusanje, Dolina Grebaje I Martinovići</w:t>
            </w:r>
          </w:p>
        </w:tc>
      </w:tr>
      <w:tr w:rsidR="00FD6E69" w:rsidRPr="002A6F4E" w14:paraId="21D9219C" w14:textId="77777777" w:rsidTr="00FD6E69">
        <w:trPr>
          <w:trHeight w:val="220"/>
          <w:jc w:val="center"/>
        </w:trPr>
        <w:tc>
          <w:tcPr>
            <w:tcW w:w="1134" w:type="dxa"/>
            <w:tcBorders>
              <w:top w:val="nil"/>
              <w:left w:val="single" w:sz="4" w:space="0" w:color="auto"/>
              <w:bottom w:val="single" w:sz="4" w:space="0" w:color="auto"/>
              <w:right w:val="single" w:sz="4" w:space="0" w:color="auto"/>
            </w:tcBorders>
            <w:shd w:val="clear" w:color="auto" w:fill="FFF2CC" w:themeFill="accent4" w:themeFillTint="33"/>
            <w:vAlign w:val="center"/>
          </w:tcPr>
          <w:p w14:paraId="65E38FA4" w14:textId="77777777" w:rsidR="00FD6E69" w:rsidRPr="009F580D" w:rsidRDefault="00FD6E69" w:rsidP="00FD6E69">
            <w:pPr>
              <w:spacing w:line="360" w:lineRule="auto"/>
              <w:rPr>
                <w:rFonts w:ascii="Arial" w:hAnsi="Arial" w:cs="Arial"/>
                <w:b/>
                <w:bCs/>
                <w:sz w:val="18"/>
                <w:szCs w:val="18"/>
              </w:rPr>
            </w:pPr>
            <w:r w:rsidRPr="009F580D">
              <w:rPr>
                <w:rFonts w:ascii="Arial" w:hAnsi="Arial" w:cs="Arial"/>
                <w:b/>
                <w:bCs/>
                <w:sz w:val="18"/>
                <w:szCs w:val="18"/>
              </w:rPr>
              <w:t>UKUPNO</w:t>
            </w:r>
          </w:p>
        </w:tc>
        <w:tc>
          <w:tcPr>
            <w:tcW w:w="2405"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660A6775" w14:textId="77777777" w:rsidR="00FD6E69" w:rsidRPr="009F580D" w:rsidRDefault="00FD6E69" w:rsidP="00FD6E69">
            <w:pPr>
              <w:spacing w:line="360" w:lineRule="auto"/>
              <w:rPr>
                <w:rFonts w:ascii="Arial" w:hAnsi="Arial" w:cs="Arial"/>
                <w:sz w:val="18"/>
                <w:szCs w:val="18"/>
              </w:rPr>
            </w:pPr>
            <w:r w:rsidRPr="009F580D">
              <w:rPr>
                <w:rFonts w:ascii="Arial" w:hAnsi="Arial" w:cs="Arial"/>
                <w:sz w:val="18"/>
                <w:szCs w:val="18"/>
              </w:rPr>
              <w:t>40</w:t>
            </w:r>
          </w:p>
        </w:tc>
        <w:tc>
          <w:tcPr>
            <w:tcW w:w="5391" w:type="dxa"/>
            <w:tcBorders>
              <w:top w:val="single" w:sz="4" w:space="0" w:color="auto"/>
              <w:left w:val="nil"/>
              <w:bottom w:val="single" w:sz="4" w:space="0" w:color="auto"/>
              <w:right w:val="single" w:sz="4" w:space="0" w:color="auto"/>
            </w:tcBorders>
            <w:shd w:val="clear" w:color="auto" w:fill="auto"/>
            <w:noWrap/>
            <w:vAlign w:val="bottom"/>
          </w:tcPr>
          <w:p w14:paraId="382FEE63" w14:textId="77777777" w:rsidR="00FD6E69" w:rsidRPr="009F580D" w:rsidRDefault="00FD6E69" w:rsidP="00FD6E69">
            <w:pPr>
              <w:keepNext/>
              <w:spacing w:line="360" w:lineRule="auto"/>
              <w:rPr>
                <w:rFonts w:ascii="Arial" w:hAnsi="Arial" w:cs="Arial"/>
                <w:sz w:val="18"/>
                <w:szCs w:val="18"/>
              </w:rPr>
            </w:pPr>
          </w:p>
        </w:tc>
      </w:tr>
    </w:tbl>
    <w:p w14:paraId="03A5FB0C" w14:textId="07E975E8"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Sanacija i zatvaranje odlagališta je odgovornost lokalnih samouprava, koje uopšteno nemaju dovoljno kapaciteta u pogledu infrastrukture i kadrova. Komunalna preduzeća ulažu napore da uklone otpad sa ovih odlagališta, ali se ubrzo na istim lokacijama pojavljuju nove količine otpada, najčešće kabasti, zeleni i građevinski otpad. Kako bi se riješio ovaj problem, u narednom periodu MERS planira da sprovede niz aktivnosti, u cilju efikasnijeg inspekcijskog nadzora (analiza broja i visine kazni u oblasti upravljanja </w:t>
      </w:r>
      <w:r w:rsidRPr="002A6F4E">
        <w:rPr>
          <w:rFonts w:ascii="Arial" w:hAnsi="Arial" w:cs="Arial"/>
          <w:lang w:val="sq-AL"/>
        </w:rPr>
        <w:lastRenderedPageBreak/>
        <w:t>otpadom, razmatranje uspostavljanja drugih modela inspekcija u odnosu na postojeće i sl).</w:t>
      </w:r>
    </w:p>
    <w:p w14:paraId="119CB342" w14:textId="4FB4E014" w:rsidR="00C232D7" w:rsidRPr="002A6F4E" w:rsidRDefault="003D1C94" w:rsidP="00F57909">
      <w:pPr>
        <w:pStyle w:val="Heading2"/>
      </w:pPr>
      <w:bookmarkStart w:id="741" w:name="_Toc132726474"/>
      <w:bookmarkStart w:id="742" w:name="_Toc132733845"/>
      <w:bookmarkStart w:id="743" w:name="_Toc193353983"/>
      <w:bookmarkEnd w:id="741"/>
      <w:bookmarkEnd w:id="742"/>
      <w:r w:rsidRPr="002A6F4E">
        <w:t>4.</w:t>
      </w:r>
      <w:r w:rsidR="00C232D7" w:rsidRPr="002A6F4E">
        <w:t>1</w:t>
      </w:r>
      <w:r w:rsidR="00181ED4">
        <w:t>0</w:t>
      </w:r>
      <w:r w:rsidR="00C232D7" w:rsidRPr="002A6F4E">
        <w:t>. Stanje tržišta upravljanja otpadom</w:t>
      </w:r>
      <w:bookmarkEnd w:id="743"/>
    </w:p>
    <w:p w14:paraId="4395B1C9" w14:textId="6E500336"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Tržište upravljanja otpadom nije značajno razvijeno u Crnoj Gori. Prema </w:t>
      </w:r>
      <w:r w:rsidRPr="002A6F4E">
        <w:rPr>
          <w:rFonts w:ascii="Arial" w:hAnsi="Arial" w:cs="Arial"/>
          <w:iCs/>
          <w:lang w:val="sq-AL"/>
        </w:rPr>
        <w:t xml:space="preserve">Zakonu o upravljanju otpadom, </w:t>
      </w:r>
      <w:r w:rsidRPr="002A6F4E">
        <w:rPr>
          <w:rFonts w:ascii="Arial" w:hAnsi="Arial" w:cs="Arial"/>
          <w:lang w:val="sq-AL"/>
        </w:rPr>
        <w:t>Agencija za zaštitu životne sredine (AZ</w:t>
      </w:r>
      <w:r w:rsidR="00C7161B">
        <w:rPr>
          <w:rFonts w:ascii="Arial" w:hAnsi="Arial" w:cs="Arial"/>
          <w:lang w:val="sq-AL"/>
        </w:rPr>
        <w:t>Ž</w:t>
      </w:r>
      <w:r w:rsidRPr="002A6F4E">
        <w:rPr>
          <w:rFonts w:ascii="Arial" w:hAnsi="Arial" w:cs="Arial"/>
          <w:lang w:val="sq-AL"/>
        </w:rPr>
        <w:t xml:space="preserve">S) je nadležna da provjerava ispunjenost uslova koja privredna društva ili preduzetnici treba da imaju za obavljanje djelatnosti </w:t>
      </w:r>
      <w:r w:rsidR="00295D3C">
        <w:rPr>
          <w:rFonts w:ascii="Arial" w:hAnsi="Arial" w:cs="Arial"/>
          <w:lang w:val="sq-AL"/>
        </w:rPr>
        <w:t>prerade</w:t>
      </w:r>
      <w:r w:rsidR="00295D3C" w:rsidRPr="002A6F4E">
        <w:rPr>
          <w:rFonts w:ascii="Arial" w:hAnsi="Arial" w:cs="Arial"/>
          <w:lang w:val="sq-AL"/>
        </w:rPr>
        <w:t xml:space="preserve"> </w:t>
      </w:r>
      <w:r w:rsidRPr="002A6F4E">
        <w:rPr>
          <w:rFonts w:ascii="Arial" w:hAnsi="Arial" w:cs="Arial"/>
          <w:lang w:val="sq-AL"/>
        </w:rPr>
        <w:t>i/ili od</w:t>
      </w:r>
      <w:r w:rsidR="00295D3C">
        <w:rPr>
          <w:rFonts w:ascii="Arial" w:hAnsi="Arial" w:cs="Arial"/>
          <w:lang w:val="sq-AL"/>
        </w:rPr>
        <w:t>stranjivanja</w:t>
      </w:r>
      <w:r w:rsidRPr="002A6F4E">
        <w:rPr>
          <w:rFonts w:ascii="Arial" w:hAnsi="Arial" w:cs="Arial"/>
          <w:lang w:val="sq-AL"/>
        </w:rPr>
        <w:t>, odnosno sakupljanja i transporta otpada.</w:t>
      </w:r>
    </w:p>
    <w:p w14:paraId="60D23872" w14:textId="1C834CD7" w:rsidR="00C232D7" w:rsidRPr="002A6F4E" w:rsidRDefault="003D1C94" w:rsidP="00F57909">
      <w:pPr>
        <w:pStyle w:val="Heading2"/>
      </w:pPr>
      <w:bookmarkStart w:id="744" w:name="_Toc193353984"/>
      <w:r w:rsidRPr="002A6F4E">
        <w:t>4.</w:t>
      </w:r>
      <w:r w:rsidR="00C232D7" w:rsidRPr="002A6F4E">
        <w:t>1</w:t>
      </w:r>
      <w:r w:rsidR="00181ED4">
        <w:t>1</w:t>
      </w:r>
      <w:r w:rsidR="00C232D7" w:rsidRPr="002A6F4E">
        <w:t>. Aktivnosti upravljanja otpadom (sakupljanje</w:t>
      </w:r>
      <w:r w:rsidR="00295D3C">
        <w:t xml:space="preserve"> i obrad</w:t>
      </w:r>
      <w:r w:rsidR="00E40CD6">
        <w:t>a</w:t>
      </w:r>
      <w:r w:rsidR="00295D3C">
        <w:t xml:space="preserve"> otpada</w:t>
      </w:r>
      <w:r w:rsidR="00C232D7" w:rsidRPr="002A6F4E">
        <w:t>, reciklaža</w:t>
      </w:r>
      <w:r w:rsidR="00E40CD6">
        <w:t xml:space="preserve"> i </w:t>
      </w:r>
      <w:r w:rsidR="00C232D7" w:rsidRPr="002A6F4E">
        <w:t>odlaganje)</w:t>
      </w:r>
      <w:bookmarkEnd w:id="744"/>
    </w:p>
    <w:p w14:paraId="7BCC51BD" w14:textId="4DBFC050" w:rsidR="00C232D7" w:rsidRPr="002A6F4E" w:rsidRDefault="0054084D" w:rsidP="00C232D7">
      <w:pPr>
        <w:spacing w:before="120" w:after="120" w:line="360" w:lineRule="auto"/>
        <w:rPr>
          <w:rFonts w:ascii="Arial" w:hAnsi="Arial" w:cs="Arial"/>
          <w:lang w:val="sq-AL" w:eastAsia="pl-PL"/>
        </w:rPr>
      </w:pPr>
      <w:r>
        <w:rPr>
          <w:rFonts w:ascii="Arial" w:hAnsi="Arial" w:cs="Arial"/>
          <w:lang w:val="sq-AL" w:eastAsia="pl-PL"/>
        </w:rPr>
        <w:t xml:space="preserve">Preradu i/ili odstranjivanje </w:t>
      </w:r>
      <w:r w:rsidR="00C232D7" w:rsidRPr="002A6F4E">
        <w:rPr>
          <w:rFonts w:ascii="Arial" w:hAnsi="Arial" w:cs="Arial"/>
          <w:lang w:val="sq-AL" w:eastAsia="pl-PL"/>
        </w:rPr>
        <w:t xml:space="preserve">otpada može da vrši privredno društvo ili preduzetnik koji posjeduje odgovarajuću opremu, postrojenje za </w:t>
      </w:r>
      <w:r>
        <w:rPr>
          <w:rFonts w:ascii="Arial" w:hAnsi="Arial" w:cs="Arial"/>
          <w:lang w:val="sq-AL" w:eastAsia="pl-PL"/>
        </w:rPr>
        <w:t>obradu</w:t>
      </w:r>
      <w:r w:rsidRPr="002A6F4E">
        <w:rPr>
          <w:rFonts w:ascii="Arial" w:hAnsi="Arial" w:cs="Arial"/>
          <w:lang w:val="sq-AL" w:eastAsia="pl-PL"/>
        </w:rPr>
        <w:t xml:space="preserve"> </w:t>
      </w:r>
      <w:r w:rsidR="00C232D7" w:rsidRPr="002A6F4E">
        <w:rPr>
          <w:rFonts w:ascii="Arial" w:hAnsi="Arial" w:cs="Arial"/>
          <w:lang w:val="sq-AL" w:eastAsia="pl-PL"/>
        </w:rPr>
        <w:t xml:space="preserve">otpada i potreban broj zaposlenih, na osnovu dozvole za </w:t>
      </w:r>
      <w:r>
        <w:rPr>
          <w:rFonts w:ascii="Arial" w:hAnsi="Arial" w:cs="Arial"/>
          <w:lang w:val="sq-AL" w:eastAsia="pl-PL"/>
        </w:rPr>
        <w:t>preradu,</w:t>
      </w:r>
      <w:r w:rsidR="00C232D7" w:rsidRPr="002A6F4E">
        <w:rPr>
          <w:rFonts w:ascii="Arial" w:hAnsi="Arial" w:cs="Arial"/>
          <w:lang w:val="sq-AL" w:eastAsia="pl-PL"/>
        </w:rPr>
        <w:t xml:space="preserve"> odnosno od</w:t>
      </w:r>
      <w:r>
        <w:rPr>
          <w:rFonts w:ascii="Arial" w:hAnsi="Arial" w:cs="Arial"/>
          <w:lang w:val="sq-AL" w:eastAsia="pl-PL"/>
        </w:rPr>
        <w:t>stranjivanje</w:t>
      </w:r>
      <w:r w:rsidR="00C232D7" w:rsidRPr="002A6F4E">
        <w:rPr>
          <w:rFonts w:ascii="Arial" w:hAnsi="Arial" w:cs="Arial"/>
          <w:lang w:val="sq-AL" w:eastAsia="pl-PL"/>
        </w:rPr>
        <w:t xml:space="preserve"> otpada. Privrednom društvu ili preduzetniku je zabranjeno da preuzima otpad od imaoca koji ne stvara otpad u toku obavljanja svojih djelatnosti ili aktivnosti.</w:t>
      </w:r>
    </w:p>
    <w:p w14:paraId="6868C82D" w14:textId="19E30575" w:rsidR="00C232D7" w:rsidRPr="002A6F4E" w:rsidRDefault="00C232D7" w:rsidP="00C232D7">
      <w:pPr>
        <w:spacing w:before="120" w:after="120" w:line="360" w:lineRule="auto"/>
        <w:rPr>
          <w:rFonts w:ascii="Arial" w:hAnsi="Arial" w:cs="Arial"/>
          <w:lang w:val="sq-AL" w:eastAsia="pl-PL"/>
        </w:rPr>
      </w:pPr>
      <w:r w:rsidRPr="002A6F4E">
        <w:rPr>
          <w:rFonts w:ascii="Arial" w:hAnsi="Arial" w:cs="Arial"/>
          <w:lang w:val="sq-AL" w:eastAsia="pl-PL"/>
        </w:rPr>
        <w:t xml:space="preserve">Upravljanje komunalnim otpadom je u nadležnosti jedinica lokalne samouprave i vrši se na način da se komunalni otpad odlaže na deponije, privremeno skladišti na lokacije za privremeno </w:t>
      </w:r>
      <w:r w:rsidR="0054084D">
        <w:rPr>
          <w:rFonts w:ascii="Arial" w:hAnsi="Arial" w:cs="Arial"/>
          <w:lang w:val="sq-AL" w:eastAsia="pl-PL"/>
        </w:rPr>
        <w:t xml:space="preserve">skladištenje </w:t>
      </w:r>
      <w:r w:rsidRPr="002A6F4E">
        <w:rPr>
          <w:rFonts w:ascii="Arial" w:hAnsi="Arial" w:cs="Arial"/>
          <w:lang w:val="sq-AL" w:eastAsia="pl-PL"/>
        </w:rPr>
        <w:t>komunalnog otpada, odlaže na neuređen</w:t>
      </w:r>
      <w:r w:rsidR="0054084D">
        <w:rPr>
          <w:rFonts w:ascii="Arial" w:hAnsi="Arial" w:cs="Arial"/>
          <w:lang w:val="sq-AL" w:eastAsia="pl-PL"/>
        </w:rPr>
        <w:t>a</w:t>
      </w:r>
      <w:r w:rsidRPr="002A6F4E">
        <w:rPr>
          <w:rFonts w:ascii="Arial" w:hAnsi="Arial" w:cs="Arial"/>
          <w:lang w:val="sq-AL" w:eastAsia="pl-PL"/>
        </w:rPr>
        <w:t xml:space="preserve"> gradsk</w:t>
      </w:r>
      <w:r w:rsidR="0054084D">
        <w:rPr>
          <w:rFonts w:ascii="Arial" w:hAnsi="Arial" w:cs="Arial"/>
          <w:lang w:val="sq-AL" w:eastAsia="pl-PL"/>
        </w:rPr>
        <w:t>a</w:t>
      </w:r>
      <w:r w:rsidRPr="002A6F4E">
        <w:rPr>
          <w:rFonts w:ascii="Arial" w:hAnsi="Arial" w:cs="Arial"/>
          <w:lang w:val="sq-AL" w:eastAsia="pl-PL"/>
        </w:rPr>
        <w:t xml:space="preserve"> </w:t>
      </w:r>
      <w:r w:rsidR="0054084D">
        <w:rPr>
          <w:rFonts w:ascii="Arial" w:hAnsi="Arial" w:cs="Arial"/>
          <w:lang w:val="sq-AL" w:eastAsia="pl-PL"/>
        </w:rPr>
        <w:t>odlagališta</w:t>
      </w:r>
      <w:r w:rsidR="0054084D" w:rsidRPr="002A6F4E">
        <w:rPr>
          <w:rFonts w:ascii="Arial" w:hAnsi="Arial" w:cs="Arial"/>
          <w:lang w:val="sq-AL" w:eastAsia="pl-PL"/>
        </w:rPr>
        <w:t xml:space="preserve"> </w:t>
      </w:r>
      <w:r w:rsidRPr="002A6F4E">
        <w:rPr>
          <w:rFonts w:ascii="Arial" w:hAnsi="Arial" w:cs="Arial"/>
          <w:lang w:val="sq-AL" w:eastAsia="pl-PL"/>
        </w:rPr>
        <w:t>i u manjoj mjeri selektivno odv</w:t>
      </w:r>
      <w:r w:rsidR="00245B58">
        <w:rPr>
          <w:rFonts w:ascii="Arial" w:hAnsi="Arial" w:cs="Arial"/>
          <w:lang w:val="sq-AL" w:eastAsia="pl-PL"/>
        </w:rPr>
        <w:t>a</w:t>
      </w:r>
      <w:r w:rsidRPr="002A6F4E">
        <w:rPr>
          <w:rFonts w:ascii="Arial" w:hAnsi="Arial" w:cs="Arial"/>
          <w:lang w:val="sq-AL" w:eastAsia="pl-PL"/>
        </w:rPr>
        <w:t>ja za ponovnu upotrebu i recikl</w:t>
      </w:r>
      <w:r w:rsidR="0054084D">
        <w:rPr>
          <w:rFonts w:ascii="Arial" w:hAnsi="Arial" w:cs="Arial"/>
          <w:lang w:val="sq-AL" w:eastAsia="pl-PL"/>
        </w:rPr>
        <w:t>iranje</w:t>
      </w:r>
      <w:r w:rsidRPr="002A6F4E">
        <w:rPr>
          <w:rFonts w:ascii="Arial" w:hAnsi="Arial" w:cs="Arial"/>
          <w:lang w:val="sq-AL" w:eastAsia="pl-PL"/>
        </w:rPr>
        <w:t>.</w:t>
      </w:r>
    </w:p>
    <w:p w14:paraId="16D464C1" w14:textId="77777777" w:rsidR="00C232D7" w:rsidRPr="002A6F4E" w:rsidRDefault="00C232D7" w:rsidP="00C232D7">
      <w:pPr>
        <w:spacing w:before="120" w:after="120" w:line="360" w:lineRule="auto"/>
        <w:rPr>
          <w:rFonts w:ascii="Arial" w:hAnsi="Arial" w:cs="Arial"/>
          <w:lang w:val="sq-AL" w:eastAsia="pl-PL"/>
        </w:rPr>
      </w:pPr>
      <w:r w:rsidRPr="002A6F4E">
        <w:rPr>
          <w:rFonts w:ascii="Arial" w:hAnsi="Arial" w:cs="Arial"/>
          <w:lang w:val="sq-AL" w:eastAsia="pl-PL"/>
        </w:rPr>
        <w:t>U skladu sa informacijama dobijenim od jedinica lokalne samouprave, na nivou jedinica lokalne samouprave ne postoji usaglašena metodologija za obračun stope pokrivenosti uslugama upravljanja komunalnim otpadom. Kapaciteti komunalnih preduzeća su ograničavajući faktor za uspješno sprovođenje lokalnih planova upravljanja otpadom. Odvojeno sakupljanje otpada nije na zadovoljavajućem nivou.</w:t>
      </w:r>
    </w:p>
    <w:p w14:paraId="6D2A03FF" w14:textId="09998824" w:rsidR="00C232D7" w:rsidRPr="002A6F4E" w:rsidRDefault="003D1C94" w:rsidP="00F57909">
      <w:pPr>
        <w:pStyle w:val="Heading2"/>
      </w:pPr>
      <w:bookmarkStart w:id="745" w:name="_Toc193353985"/>
      <w:r w:rsidRPr="002A6F4E">
        <w:t>4.</w:t>
      </w:r>
      <w:r w:rsidR="00C232D7" w:rsidRPr="002A6F4E">
        <w:t>1</w:t>
      </w:r>
      <w:r w:rsidR="00181ED4">
        <w:t>2</w:t>
      </w:r>
      <w:r w:rsidR="00C232D7" w:rsidRPr="002A6F4E">
        <w:t>. Tržište sekundarnih materijala (materijali za reciklažu, kompost, itd)</w:t>
      </w:r>
      <w:bookmarkEnd w:id="745"/>
    </w:p>
    <w:p w14:paraId="7FE83D34" w14:textId="12CA2695" w:rsidR="00C232D7" w:rsidRPr="002A6F4E" w:rsidRDefault="00C232D7" w:rsidP="00C232D7">
      <w:pPr>
        <w:spacing w:before="120" w:after="120" w:line="360" w:lineRule="auto"/>
        <w:rPr>
          <w:rFonts w:ascii="Arial" w:hAnsi="Arial" w:cs="Arial"/>
          <w:lang w:val="sq-AL"/>
        </w:rPr>
      </w:pPr>
      <w:bookmarkStart w:id="746" w:name="_Hlk185314545"/>
      <w:r w:rsidRPr="002A6F4E">
        <w:rPr>
          <w:rFonts w:ascii="Arial" w:hAnsi="Arial" w:cs="Arial"/>
          <w:lang w:val="sq-AL"/>
        </w:rPr>
        <w:t>Zakon o upravljanju otpadom</w:t>
      </w:r>
      <w:r w:rsidRPr="002A6F4E">
        <w:rPr>
          <w:rFonts w:ascii="Arial" w:hAnsi="Arial" w:cs="Arial"/>
          <w:iCs/>
          <w:lang w:val="sq-AL"/>
        </w:rPr>
        <w:t xml:space="preserve">, </w:t>
      </w:r>
      <w:bookmarkEnd w:id="746"/>
      <w:r w:rsidRPr="002A6F4E">
        <w:rPr>
          <w:rFonts w:ascii="Arial" w:hAnsi="Arial" w:cs="Arial"/>
          <w:lang w:val="sq-AL"/>
        </w:rPr>
        <w:t>zabranjuje sakupljanje otpada od lica/</w:t>
      </w:r>
      <w:r w:rsidR="00B65831">
        <w:rPr>
          <w:rFonts w:ascii="Arial" w:hAnsi="Arial" w:cs="Arial"/>
          <w:lang w:val="sq-AL"/>
        </w:rPr>
        <w:t>privredna društva</w:t>
      </w:r>
      <w:r w:rsidRPr="002A6F4E">
        <w:rPr>
          <w:rFonts w:ascii="Arial" w:hAnsi="Arial" w:cs="Arial"/>
          <w:lang w:val="sq-AL"/>
        </w:rPr>
        <w:t xml:space="preserve"> koja </w:t>
      </w:r>
      <w:r w:rsidR="00951F47">
        <w:rPr>
          <w:rFonts w:ascii="Arial" w:hAnsi="Arial" w:cs="Arial"/>
          <w:lang w:val="sq-AL" w:eastAsia="pl-PL"/>
        </w:rPr>
        <w:t>nijesu</w:t>
      </w:r>
      <w:r w:rsidRPr="002A6F4E">
        <w:rPr>
          <w:rFonts w:ascii="Arial" w:hAnsi="Arial" w:cs="Arial"/>
          <w:lang w:val="sq-AL"/>
        </w:rPr>
        <w:t xml:space="preserve"> registrovana za ovu djelatnost. Izražen je problem u primjeni zakona, budući da određena lica koja </w:t>
      </w:r>
      <w:r w:rsidR="00951F47">
        <w:rPr>
          <w:rFonts w:ascii="Arial" w:hAnsi="Arial" w:cs="Arial"/>
          <w:lang w:val="sq-AL" w:eastAsia="pl-PL"/>
        </w:rPr>
        <w:t>nijesu</w:t>
      </w:r>
      <w:r w:rsidRPr="002A6F4E">
        <w:rPr>
          <w:rFonts w:ascii="Arial" w:hAnsi="Arial" w:cs="Arial"/>
          <w:lang w:val="sq-AL"/>
        </w:rPr>
        <w:t xml:space="preserve"> upisana u registar sakupljača, nezakonito prikupljaju određene frakcije recikl</w:t>
      </w:r>
      <w:r w:rsidR="0054084D">
        <w:rPr>
          <w:rFonts w:ascii="Arial" w:hAnsi="Arial" w:cs="Arial"/>
          <w:lang w:val="sq-AL"/>
        </w:rPr>
        <w:t>iranog</w:t>
      </w:r>
      <w:r w:rsidRPr="002A6F4E">
        <w:rPr>
          <w:rFonts w:ascii="Arial" w:hAnsi="Arial" w:cs="Arial"/>
          <w:lang w:val="sq-AL"/>
        </w:rPr>
        <w:t xml:space="preserve"> otpada (posebno kartonsku ambalažu) iz kontejnera i na taj način smanjuju količinu otpada koju sakupljaju komunalna preduzeća. Dodatni problem je što se ove količine ne evidentiraju.</w:t>
      </w:r>
    </w:p>
    <w:p w14:paraId="0B80DF91" w14:textId="2EF078CF" w:rsidR="00C232D7" w:rsidRPr="002A6F4E" w:rsidRDefault="003D1C94" w:rsidP="00F57909">
      <w:pPr>
        <w:pStyle w:val="Heading2"/>
      </w:pPr>
      <w:bookmarkStart w:id="747" w:name="_Toc193353986"/>
      <w:r w:rsidRPr="002A6F4E">
        <w:t>4.</w:t>
      </w:r>
      <w:r w:rsidR="00C232D7" w:rsidRPr="002A6F4E">
        <w:t>1</w:t>
      </w:r>
      <w:r w:rsidR="00181ED4">
        <w:t>3</w:t>
      </w:r>
      <w:r w:rsidR="00C232D7" w:rsidRPr="002A6F4E">
        <w:t>. Monitoring  i sprovođenje</w:t>
      </w:r>
      <w:bookmarkEnd w:id="747"/>
    </w:p>
    <w:p w14:paraId="6A0D71E6" w14:textId="04231C2C"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Kada je riječ o kaznama za nezakonite radnje, </w:t>
      </w:r>
      <w:r w:rsidR="00B65831">
        <w:rPr>
          <w:rFonts w:ascii="Arial" w:hAnsi="Arial" w:cs="Arial"/>
          <w:iCs/>
          <w:lang w:val="sq-AL"/>
        </w:rPr>
        <w:t>Zakon o upravljanju otpadom</w:t>
      </w:r>
      <w:r w:rsidRPr="002A6F4E">
        <w:rPr>
          <w:rFonts w:ascii="Arial" w:hAnsi="Arial" w:cs="Arial"/>
          <w:iCs/>
          <w:lang w:val="sq-AL"/>
        </w:rPr>
        <w:t xml:space="preserve"> </w:t>
      </w:r>
      <w:r w:rsidRPr="002A6F4E">
        <w:rPr>
          <w:rFonts w:ascii="Arial" w:hAnsi="Arial" w:cs="Arial"/>
          <w:lang w:val="sq-AL"/>
        </w:rPr>
        <w:t>predviđa niz kazni za pojedi</w:t>
      </w:r>
      <w:r w:rsidR="009071F8">
        <w:rPr>
          <w:rFonts w:ascii="Arial" w:hAnsi="Arial" w:cs="Arial"/>
          <w:lang w:val="sq-AL"/>
        </w:rPr>
        <w:t xml:space="preserve">nce i organizacije u rasponu od 20 </w:t>
      </w:r>
      <w:r w:rsidRPr="009071F8">
        <w:rPr>
          <w:rFonts w:ascii="Arial" w:hAnsi="Arial" w:cs="Arial"/>
          <w:lang w:val="sq-AL"/>
        </w:rPr>
        <w:t>do 40.000 eura</w:t>
      </w:r>
      <w:r w:rsidRPr="008C68FF">
        <w:rPr>
          <w:rFonts w:ascii="Arial" w:hAnsi="Arial" w:cs="Arial"/>
          <w:color w:val="000000" w:themeColor="text1"/>
          <w:lang w:val="sq-AL"/>
        </w:rPr>
        <w:t>.</w:t>
      </w:r>
      <w:r w:rsidRPr="002A6F4E">
        <w:rPr>
          <w:rFonts w:ascii="Arial" w:hAnsi="Arial" w:cs="Arial"/>
          <w:color w:val="FF0000"/>
          <w:lang w:val="sq-AL"/>
        </w:rPr>
        <w:t xml:space="preserve"> </w:t>
      </w:r>
      <w:r w:rsidRPr="002A6F4E">
        <w:rPr>
          <w:rFonts w:ascii="Arial" w:hAnsi="Arial" w:cs="Arial"/>
          <w:lang w:val="sq-AL"/>
        </w:rPr>
        <w:t>Ove kazne su efikasnije kada ih prati potpuna primjena odgovarajućih zakona.</w:t>
      </w:r>
      <w:r w:rsidR="00F5482D">
        <w:rPr>
          <w:rFonts w:ascii="Arial" w:hAnsi="Arial" w:cs="Arial"/>
          <w:lang w:val="sq-AL"/>
        </w:rPr>
        <w:t xml:space="preserve"> </w:t>
      </w:r>
      <w:r w:rsidRPr="002A6F4E">
        <w:rPr>
          <w:rFonts w:ascii="Arial" w:hAnsi="Arial" w:cs="Arial"/>
          <w:lang w:val="sq-AL"/>
        </w:rPr>
        <w:t xml:space="preserve">Uspostavljanje informacionog sistema upravljanja otpadom je veoma važno za upravljanje otpadom. Bez sistema monitoringa i sprovođenja, veoma je teško pravilno upravljati otpadom. </w:t>
      </w:r>
    </w:p>
    <w:p w14:paraId="20D7758C" w14:textId="080A66BF"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Prema </w:t>
      </w:r>
      <w:r w:rsidRPr="002A6F4E">
        <w:rPr>
          <w:rFonts w:ascii="Arial" w:hAnsi="Arial" w:cs="Arial"/>
          <w:iCs/>
          <w:lang w:val="sq-AL"/>
        </w:rPr>
        <w:t>Zakonu o upravljanju otpadom,</w:t>
      </w:r>
      <w:r w:rsidRPr="002A6F4E">
        <w:rPr>
          <w:rFonts w:ascii="Arial" w:hAnsi="Arial" w:cs="Arial"/>
          <w:lang w:val="sq-AL"/>
        </w:rPr>
        <w:t xml:space="preserve"> godišnji izveštaj o sprovođenju DPUO Ministarstvo dostavlja Vladi </w:t>
      </w:r>
      <w:r w:rsidR="00712C74">
        <w:rPr>
          <w:rFonts w:ascii="Arial" w:hAnsi="Arial" w:cs="Arial"/>
          <w:lang w:val="sq-AL"/>
        </w:rPr>
        <w:t xml:space="preserve">najkasnije do 15. aprila </w:t>
      </w:r>
      <w:r w:rsidRPr="002A6F4E">
        <w:rPr>
          <w:rFonts w:ascii="Arial" w:hAnsi="Arial" w:cs="Arial"/>
          <w:lang w:val="sq-AL"/>
        </w:rPr>
        <w:t>tekuće za prethodnu godinu. Godišnji izvještaj sadrži dostignuti nivo povrata i recikl</w:t>
      </w:r>
      <w:r w:rsidR="00712C74">
        <w:rPr>
          <w:rFonts w:ascii="Arial" w:hAnsi="Arial" w:cs="Arial"/>
          <w:lang w:val="sq-AL"/>
        </w:rPr>
        <w:t>iranja</w:t>
      </w:r>
      <w:r w:rsidRPr="002A6F4E">
        <w:rPr>
          <w:rFonts w:ascii="Arial" w:hAnsi="Arial" w:cs="Arial"/>
          <w:lang w:val="sq-AL"/>
        </w:rPr>
        <w:t xml:space="preserve"> otpada. </w:t>
      </w:r>
    </w:p>
    <w:p w14:paraId="04C55268" w14:textId="3695B8BC"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Izvještaje pripremaju organi državne uprave nadležni za </w:t>
      </w:r>
      <w:r w:rsidR="00712C74">
        <w:rPr>
          <w:rFonts w:ascii="Arial" w:hAnsi="Arial" w:cs="Arial"/>
          <w:lang w:val="sq-AL"/>
        </w:rPr>
        <w:t xml:space="preserve">poslove zdravlja </w:t>
      </w:r>
      <w:r w:rsidRPr="002A6F4E">
        <w:rPr>
          <w:rFonts w:ascii="Arial" w:hAnsi="Arial" w:cs="Arial"/>
          <w:lang w:val="sq-AL"/>
        </w:rPr>
        <w:t xml:space="preserve"> i </w:t>
      </w:r>
      <w:r w:rsidR="00712C74">
        <w:rPr>
          <w:rFonts w:ascii="Arial" w:hAnsi="Arial" w:cs="Arial"/>
          <w:lang w:val="sq-AL"/>
        </w:rPr>
        <w:t xml:space="preserve">za poslove veterinarstva </w:t>
      </w:r>
      <w:r w:rsidRPr="002A6F4E">
        <w:rPr>
          <w:rFonts w:ascii="Arial" w:hAnsi="Arial" w:cs="Arial"/>
          <w:lang w:val="sq-AL"/>
        </w:rPr>
        <w:t xml:space="preserve"> i dostavljaju MERS.</w:t>
      </w:r>
    </w:p>
    <w:p w14:paraId="20F70B64" w14:textId="0A5F7CBC"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Sastavni dio godišnjeg izvještaja čini izvještaj o sprovođenju plana upravljanja kanalizacionim muljem koji </w:t>
      </w:r>
      <w:r w:rsidRPr="002A6F4E">
        <w:rPr>
          <w:rFonts w:ascii="Arial" w:hAnsi="Arial" w:cs="Arial"/>
          <w:lang w:val="sq-AL"/>
        </w:rPr>
        <w:lastRenderedPageBreak/>
        <w:t xml:space="preserve">sačinjava </w:t>
      </w:r>
      <w:r w:rsidR="00F5482D">
        <w:rPr>
          <w:rFonts w:ascii="Arial" w:hAnsi="Arial" w:cs="Arial"/>
          <w:lang w:val="sq-AL"/>
        </w:rPr>
        <w:t>m</w:t>
      </w:r>
      <w:r w:rsidRPr="002A6F4E">
        <w:rPr>
          <w:rFonts w:ascii="Arial" w:hAnsi="Arial" w:cs="Arial"/>
          <w:lang w:val="sq-AL"/>
        </w:rPr>
        <w:t>inistarstvo.</w:t>
      </w:r>
    </w:p>
    <w:p w14:paraId="407CCA3A" w14:textId="35EB4C65"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Godišnji izvještaj o sprovođenju lokalnog plana </w:t>
      </w:r>
      <w:r w:rsidR="00712C74">
        <w:rPr>
          <w:rFonts w:ascii="Arial" w:hAnsi="Arial" w:cs="Arial"/>
          <w:lang w:val="sq-AL"/>
        </w:rPr>
        <w:t>razmatra i usvaja skupština jedinice lokalne samouprave</w:t>
      </w:r>
      <w:r w:rsidR="00501D73">
        <w:rPr>
          <w:rFonts w:ascii="Arial" w:hAnsi="Arial" w:cs="Arial"/>
          <w:lang w:val="sq-AL"/>
        </w:rPr>
        <w:t xml:space="preserve"> najkasnije do 31. marta </w:t>
      </w:r>
      <w:r w:rsidRPr="002A6F4E">
        <w:rPr>
          <w:rFonts w:ascii="Arial" w:hAnsi="Arial" w:cs="Arial"/>
          <w:lang w:val="sq-AL"/>
        </w:rPr>
        <w:t>tekuće godine za prethodnu godinu.</w:t>
      </w:r>
    </w:p>
    <w:p w14:paraId="0E66F72E" w14:textId="070B5A6D"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S obzirom na veliki broj zakonitih i nezakonitih odlagališta u Crnoj Gori, njihovo zatvaranje i sanacija je u nadležnosti lokalnih samouprava, koje u najvećoj mjeri nemaju dovoljno infrastrukturnih i kadrovskih kapaciteta. Kao takav, glavni</w:t>
      </w:r>
      <w:r w:rsidR="00B65831">
        <w:rPr>
          <w:rFonts w:ascii="Arial" w:hAnsi="Arial" w:cs="Arial"/>
          <w:lang w:val="sq-AL"/>
        </w:rPr>
        <w:t xml:space="preserve"> grad Podgorica je implementirala</w:t>
      </w:r>
      <w:r w:rsidRPr="002A6F4E">
        <w:rPr>
          <w:rFonts w:ascii="Arial" w:hAnsi="Arial" w:cs="Arial"/>
          <w:lang w:val="sq-AL"/>
        </w:rPr>
        <w:t xml:space="preserve"> </w:t>
      </w:r>
      <w:r w:rsidR="00B65831">
        <w:rPr>
          <w:rFonts w:ascii="Arial" w:hAnsi="Arial" w:cs="Arial"/>
          <w:lang w:val="sq-AL"/>
        </w:rPr>
        <w:t>internet</w:t>
      </w:r>
      <w:r w:rsidRPr="002A6F4E">
        <w:rPr>
          <w:rFonts w:ascii="Arial" w:hAnsi="Arial" w:cs="Arial"/>
          <w:lang w:val="sq-AL"/>
        </w:rPr>
        <w:t xml:space="preserve"> aplikaciju koja omogućava građanima da prijave nezakonito </w:t>
      </w:r>
      <w:r w:rsidR="00501D73">
        <w:rPr>
          <w:rFonts w:ascii="Arial" w:hAnsi="Arial" w:cs="Arial"/>
          <w:lang w:val="sq-AL"/>
        </w:rPr>
        <w:t>od</w:t>
      </w:r>
      <w:r w:rsidRPr="002A6F4E">
        <w:rPr>
          <w:rFonts w:ascii="Arial" w:hAnsi="Arial" w:cs="Arial"/>
          <w:lang w:val="sq-AL"/>
        </w:rPr>
        <w:t xml:space="preserve">bačeni otpad na teritoriji Podgorice. Po prijemu i provjeri informacija, komunalno preduzeće izlazi na teren i čisti nezakonito </w:t>
      </w:r>
      <w:r w:rsidR="00501D73">
        <w:rPr>
          <w:rFonts w:ascii="Arial" w:hAnsi="Arial" w:cs="Arial"/>
          <w:lang w:val="sq-AL"/>
        </w:rPr>
        <w:t>od</w:t>
      </w:r>
      <w:r w:rsidRPr="002A6F4E">
        <w:rPr>
          <w:rFonts w:ascii="Arial" w:hAnsi="Arial" w:cs="Arial"/>
          <w:lang w:val="sq-AL"/>
        </w:rPr>
        <w:t>bačeni otpad, a podnosiocu zahtjeva šalje obavještenje sa fotografijom očišćene lokacije.</w:t>
      </w:r>
    </w:p>
    <w:p w14:paraId="1F25469A" w14:textId="64683B61" w:rsidR="00C232D7" w:rsidRPr="002A6F4E" w:rsidRDefault="00C232D7" w:rsidP="00F57909">
      <w:pPr>
        <w:pStyle w:val="Heading2"/>
      </w:pPr>
      <w:bookmarkStart w:id="748" w:name="_Toc193353987"/>
      <w:r w:rsidRPr="002A6F4E">
        <w:t>4.</w:t>
      </w:r>
      <w:r w:rsidR="003D1C94" w:rsidRPr="002A6F4E">
        <w:t>1</w:t>
      </w:r>
      <w:r w:rsidR="00181ED4">
        <w:t>4</w:t>
      </w:r>
      <w:r w:rsidRPr="002A6F4E">
        <w:t>.Medicinski i veterinarski otpad</w:t>
      </w:r>
      <w:bookmarkEnd w:id="748"/>
    </w:p>
    <w:p w14:paraId="74123FD5" w14:textId="1220F845" w:rsidR="00C232D7" w:rsidRPr="00E40CD6" w:rsidRDefault="003D1C94" w:rsidP="007378E8">
      <w:pPr>
        <w:pStyle w:val="Heading3"/>
        <w:rPr>
          <w:lang w:val="en-US"/>
        </w:rPr>
      </w:pPr>
      <w:bookmarkStart w:id="749" w:name="_Toc193353988"/>
      <w:r w:rsidRPr="00E40CD6">
        <w:rPr>
          <w:lang w:val="en-US"/>
        </w:rPr>
        <w:t>4.1</w:t>
      </w:r>
      <w:r w:rsidR="00181ED4" w:rsidRPr="00E40CD6">
        <w:rPr>
          <w:lang w:val="en-US"/>
        </w:rPr>
        <w:t>4</w:t>
      </w:r>
      <w:r w:rsidR="00C232D7" w:rsidRPr="00E40CD6">
        <w:rPr>
          <w:lang w:val="en-US"/>
        </w:rPr>
        <w:t>.1. Procjena postojećeg stanja</w:t>
      </w:r>
      <w:bookmarkEnd w:id="749"/>
      <w:r w:rsidR="00C232D7" w:rsidRPr="00E40CD6">
        <w:rPr>
          <w:lang w:val="en-US"/>
        </w:rPr>
        <w:t xml:space="preserve"> </w:t>
      </w:r>
    </w:p>
    <w:p w14:paraId="74DE8E83" w14:textId="77777777" w:rsidR="00501D73" w:rsidRDefault="00501D73" w:rsidP="00C232D7">
      <w:pPr>
        <w:autoSpaceDE w:val="0"/>
        <w:autoSpaceDN w:val="0"/>
        <w:adjustRightInd w:val="0"/>
        <w:spacing w:before="120" w:after="120" w:line="360" w:lineRule="auto"/>
        <w:rPr>
          <w:rFonts w:ascii="Arial" w:hAnsi="Arial" w:cs="Arial"/>
          <w:u w:val="single"/>
          <w:lang w:val="sq-AL"/>
        </w:rPr>
      </w:pPr>
    </w:p>
    <w:p w14:paraId="7B27CFED" w14:textId="7FEF194A"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u w:val="single"/>
          <w:lang w:val="sq-AL"/>
        </w:rPr>
        <w:t>Medicinski otpad</w:t>
      </w:r>
      <w:r w:rsidRPr="002A6F4E">
        <w:rPr>
          <w:rFonts w:ascii="Arial" w:hAnsi="Arial" w:cs="Arial"/>
          <w:lang w:val="sq-AL"/>
        </w:rPr>
        <w:t xml:space="preserve"> nastaje prilikom pružanja zdravstvenih usluga (prevencije, dijagnostike i liječenja) i sprovođenja naučnih istraživanja u oblasti humane i veterinarske medicine. Sve je to otpad koji nastaje u medicinskim ustanovama i medicinskim istraživačkim centrima ili laboratorijama. Uslovi upravljanja medicinskim otpadom propisani su Pravilnikom o uslovima, načinu i postupku obrade medicinskog otpada (</w:t>
      </w:r>
      <w:r w:rsidR="00702DAF" w:rsidRPr="0035491B">
        <w:rPr>
          <w:rFonts w:ascii="Arial" w:hAnsi="Arial" w:cs="Arial"/>
          <w:bCs/>
          <w:lang w:val="sq-AL"/>
        </w:rPr>
        <w:t>"Službeni list Crne Gore",</w:t>
      </w:r>
      <w:r w:rsidR="00702DAF">
        <w:rPr>
          <w:rFonts w:ascii="Arial" w:hAnsi="Arial" w:cs="Arial"/>
          <w:bCs/>
          <w:lang w:val="sq-AL"/>
        </w:rPr>
        <w:t xml:space="preserve"> br.</w:t>
      </w:r>
      <w:r w:rsidR="00F54B7E">
        <w:rPr>
          <w:rFonts w:ascii="Arial" w:hAnsi="Arial" w:cs="Arial"/>
          <w:bCs/>
          <w:lang w:val="sq-AL"/>
        </w:rPr>
        <w:t xml:space="preserve"> </w:t>
      </w:r>
      <w:r w:rsidRPr="002A6F4E">
        <w:rPr>
          <w:rFonts w:ascii="Arial" w:hAnsi="Arial" w:cs="Arial"/>
          <w:lang w:val="sq-AL"/>
        </w:rPr>
        <w:t xml:space="preserve">49/12). Medicinski obuhvata </w:t>
      </w:r>
      <w:r w:rsidR="00501D73">
        <w:rPr>
          <w:rFonts w:ascii="Arial" w:hAnsi="Arial" w:cs="Arial"/>
          <w:lang w:val="sq-AL"/>
        </w:rPr>
        <w:t xml:space="preserve">i </w:t>
      </w:r>
      <w:r w:rsidRPr="002A6F4E">
        <w:rPr>
          <w:rFonts w:ascii="Arial" w:hAnsi="Arial" w:cs="Arial"/>
          <w:lang w:val="sq-AL"/>
        </w:rPr>
        <w:t>anatomski otpad, koji je vrsta biomedicinskog ili infektivnog otpada koji se sastoji od ljudskih ili životinjskih tkiva, organa i dijelova tijela.</w:t>
      </w:r>
    </w:p>
    <w:p w14:paraId="4160B98C" w14:textId="77777777"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Osnovni izvori nastajanja medicinskog otpada su: bolnice, domovi zdravlja, stanice za dijalizu i centri za hemodijalizu (uključujući i kućnu hemodijalizu), medicinski istraživački instituti, jedinice za doniranje krvi i banke krvi, biohemijske, mikrobiološke i imunološke laboratorije, laboratorije za medicinsku genetiku, laboratorije za reprodukciju, instituti za patologiju, institucije za medicinsku prevenciju i rehabilitaciju, starački domovi, apoteke, zubne klinike i laboratorije za zubnu tehniku, privatne zdravstvene ustanove, centri za akupunkturu, mrtvačnice i dr.</w:t>
      </w:r>
    </w:p>
    <w:p w14:paraId="36BB12D7" w14:textId="3A51C633"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Prema podacima Svjetske zdravstvene organizacije, 75-80% ukupnog medicinskog otpada je neopasan (inertan) otpad, a 20-25% je opasan.</w:t>
      </w:r>
      <w:r w:rsidRPr="002A6F4E">
        <w:rPr>
          <w:rFonts w:ascii="Arial" w:eastAsia="Times New Roman" w:hAnsi="Arial" w:cs="Arial"/>
          <w:vertAlign w:val="superscript"/>
          <w:lang w:val="sq-AL" w:eastAsia="el-GR"/>
        </w:rPr>
        <w:t xml:space="preserve"> </w:t>
      </w:r>
      <w:r w:rsidRPr="002A6F4E">
        <w:rPr>
          <w:rFonts w:ascii="Arial" w:eastAsia="Times New Roman" w:hAnsi="Arial" w:cs="Arial"/>
          <w:vertAlign w:val="superscript"/>
          <w:lang w:val="sq-AL" w:eastAsia="el-GR"/>
        </w:rPr>
        <w:footnoteReference w:id="18"/>
      </w:r>
      <w:r w:rsidRPr="002A6F4E">
        <w:rPr>
          <w:rFonts w:ascii="Arial" w:hAnsi="Arial" w:cs="Arial"/>
          <w:lang w:val="sq-AL"/>
        </w:rPr>
        <w:t xml:space="preserve">  Najveći udio opasnog medicinskog otpada nastalog u državnim zdravstvenim ustanovama čini infektivni otpad (80%), slijede oštri predmeti (8%), hemijski otpad (5%), patološki otpad (3%) te farmaceutski otpad (osim citostatika) i citostatici sa ambalažom </w:t>
      </w:r>
      <w:r w:rsidR="0093442F">
        <w:rPr>
          <w:rFonts w:ascii="Arial" w:hAnsi="Arial" w:cs="Arial"/>
          <w:lang w:val="sq-AL"/>
        </w:rPr>
        <w:t>kontaminiranom</w:t>
      </w:r>
      <w:r w:rsidRPr="002A6F4E">
        <w:rPr>
          <w:rFonts w:ascii="Arial" w:hAnsi="Arial" w:cs="Arial"/>
          <w:lang w:val="sq-AL"/>
        </w:rPr>
        <w:t xml:space="preserve"> citostaticima (2%).</w:t>
      </w:r>
      <w:r w:rsidRPr="002A6F4E">
        <w:rPr>
          <w:rFonts w:ascii="Arial" w:eastAsia="Times New Roman" w:hAnsi="Arial" w:cs="Arial"/>
          <w:vertAlign w:val="superscript"/>
          <w:lang w:val="sq-AL" w:eastAsia="el-GR"/>
        </w:rPr>
        <w:footnoteReference w:id="19"/>
      </w:r>
    </w:p>
    <w:p w14:paraId="6F094661" w14:textId="03E8DC7B" w:rsidR="00C232D7" w:rsidRPr="00E40CD6" w:rsidRDefault="00C232D7" w:rsidP="00E40CD6">
      <w:pPr>
        <w:autoSpaceDE w:val="0"/>
        <w:autoSpaceDN w:val="0"/>
        <w:adjustRightInd w:val="0"/>
        <w:spacing w:before="120" w:after="120" w:line="360" w:lineRule="auto"/>
        <w:rPr>
          <w:rFonts w:ascii="Arial" w:hAnsi="Arial" w:cs="Arial"/>
          <w:bCs/>
          <w:lang w:val="sq-AL"/>
        </w:rPr>
      </w:pPr>
      <w:r w:rsidRPr="002A6F4E">
        <w:rPr>
          <w:rFonts w:ascii="Arial" w:hAnsi="Arial" w:cs="Arial"/>
          <w:lang w:val="sq-AL"/>
        </w:rPr>
        <w:t xml:space="preserve">Otpad iz zdravstvenih ustanova mora se na mjestu nastanka razvrstati na opasan i neopasan medicinski </w:t>
      </w:r>
      <w:r w:rsidRPr="00E40CD6">
        <w:rPr>
          <w:rFonts w:ascii="Arial" w:hAnsi="Arial" w:cs="Arial"/>
          <w:lang w:val="sq-AL"/>
        </w:rPr>
        <w:t>otpad</w:t>
      </w:r>
      <w:r w:rsidR="00E000E8" w:rsidRPr="00E40CD6">
        <w:rPr>
          <w:rFonts w:ascii="Arial" w:hAnsi="Arial" w:cs="Arial"/>
          <w:lang w:val="sq-AL"/>
        </w:rPr>
        <w:t>.</w:t>
      </w:r>
      <w:r w:rsidR="00E000E8" w:rsidRPr="00E40CD6">
        <w:rPr>
          <w:rStyle w:val="FootnoteReference"/>
          <w:rFonts w:cs="Arial"/>
        </w:rPr>
        <w:footnoteReference w:id="20"/>
      </w:r>
      <w:r w:rsidRPr="002A6F4E">
        <w:rPr>
          <w:rFonts w:ascii="Arial" w:hAnsi="Arial" w:cs="Arial"/>
          <w:bCs/>
          <w:lang w:val="sq-AL"/>
        </w:rPr>
        <w:t xml:space="preserve"> </w:t>
      </w:r>
    </w:p>
    <w:p w14:paraId="51DDDD71" w14:textId="7B41263C" w:rsidR="00C232D7" w:rsidRPr="002A6F4E" w:rsidRDefault="00F54B7E" w:rsidP="00C232D7">
      <w:pPr>
        <w:autoSpaceDE w:val="0"/>
        <w:autoSpaceDN w:val="0"/>
        <w:adjustRightInd w:val="0"/>
        <w:spacing w:before="120" w:after="120" w:line="360" w:lineRule="auto"/>
        <w:rPr>
          <w:rFonts w:ascii="Arial" w:hAnsi="Arial" w:cs="Arial"/>
          <w:lang w:val="sq-AL"/>
        </w:rPr>
      </w:pPr>
      <w:r>
        <w:rPr>
          <w:rFonts w:ascii="Arial" w:hAnsi="Arial" w:cs="Arial"/>
          <w:lang w:val="sq-AL"/>
        </w:rPr>
        <w:lastRenderedPageBreak/>
        <w:t>K</w:t>
      </w:r>
      <w:r w:rsidR="00C232D7" w:rsidRPr="002A6F4E">
        <w:rPr>
          <w:rFonts w:ascii="Arial" w:hAnsi="Arial" w:cs="Arial"/>
          <w:lang w:val="sq-AL"/>
        </w:rPr>
        <w:t xml:space="preserve">oncesionar je u obavezi da klasifikuje, na izvoru, </w:t>
      </w:r>
      <w:r w:rsidR="00E53073">
        <w:rPr>
          <w:rFonts w:ascii="Arial" w:hAnsi="Arial" w:cs="Arial"/>
          <w:lang w:val="sq-AL"/>
        </w:rPr>
        <w:t>sa</w:t>
      </w:r>
      <w:r w:rsidR="00C232D7" w:rsidRPr="002A6F4E">
        <w:rPr>
          <w:rFonts w:ascii="Arial" w:hAnsi="Arial" w:cs="Arial"/>
          <w:lang w:val="sq-AL"/>
        </w:rPr>
        <w:t xml:space="preserve">kuplja i </w:t>
      </w:r>
      <w:r w:rsidR="00E53073">
        <w:rPr>
          <w:rFonts w:ascii="Arial" w:hAnsi="Arial" w:cs="Arial"/>
          <w:lang w:val="sq-AL"/>
        </w:rPr>
        <w:t>obrađuje</w:t>
      </w:r>
      <w:r w:rsidR="00E53073" w:rsidRPr="002A6F4E">
        <w:rPr>
          <w:rFonts w:ascii="Arial" w:hAnsi="Arial" w:cs="Arial"/>
          <w:lang w:val="sq-AL"/>
        </w:rPr>
        <w:t xml:space="preserve"> </w:t>
      </w:r>
      <w:r w:rsidR="00C232D7" w:rsidRPr="002A6F4E">
        <w:rPr>
          <w:rFonts w:ascii="Arial" w:hAnsi="Arial" w:cs="Arial"/>
          <w:lang w:val="sq-AL"/>
        </w:rPr>
        <w:t>infektivni, potencijalno infektivn</w:t>
      </w:r>
      <w:r w:rsidR="00E000E8">
        <w:rPr>
          <w:rFonts w:ascii="Arial" w:hAnsi="Arial" w:cs="Arial"/>
          <w:lang w:val="sq-AL"/>
        </w:rPr>
        <w:t>i</w:t>
      </w:r>
      <w:r w:rsidR="00C232D7" w:rsidRPr="002A6F4E">
        <w:rPr>
          <w:rFonts w:ascii="Arial" w:hAnsi="Arial" w:cs="Arial"/>
          <w:lang w:val="sq-AL"/>
        </w:rPr>
        <w:t xml:space="preserve"> otpad i oštre predmete. Sterilizovan i samljeven otpad, je doveden u stanje koje zadovoljava sve uslove skladištenja, čime se sprečava rizik za životnu sredinu i zdravlje stanovništva. </w:t>
      </w:r>
      <w:r>
        <w:rPr>
          <w:rFonts w:ascii="Arial" w:hAnsi="Arial" w:cs="Arial"/>
          <w:lang w:val="sq-AL"/>
        </w:rPr>
        <w:t>O</w:t>
      </w:r>
      <w:r w:rsidR="00C232D7" w:rsidRPr="002A6F4E">
        <w:rPr>
          <w:rFonts w:ascii="Arial" w:hAnsi="Arial" w:cs="Arial"/>
          <w:lang w:val="sq-AL"/>
        </w:rPr>
        <w:t>brada medicinskog otpada vrši</w:t>
      </w:r>
      <w:r w:rsidR="002C1C65">
        <w:rPr>
          <w:rFonts w:ascii="Arial" w:hAnsi="Arial" w:cs="Arial"/>
          <w:lang w:val="sq-AL"/>
        </w:rPr>
        <w:t xml:space="preserve"> se</w:t>
      </w:r>
      <w:r w:rsidR="00C232D7" w:rsidRPr="002A6F4E">
        <w:rPr>
          <w:rFonts w:ascii="Arial" w:hAnsi="Arial" w:cs="Arial"/>
          <w:lang w:val="sq-AL"/>
        </w:rPr>
        <w:t xml:space="preserve"> u sljedećim </w:t>
      </w:r>
      <w:r w:rsidR="002C1C65">
        <w:rPr>
          <w:rFonts w:ascii="Arial" w:hAnsi="Arial" w:cs="Arial"/>
          <w:lang w:val="sq-AL"/>
        </w:rPr>
        <w:t>c</w:t>
      </w:r>
      <w:r w:rsidR="00C232D7" w:rsidRPr="002A6F4E">
        <w:rPr>
          <w:rFonts w:ascii="Arial" w:hAnsi="Arial" w:cs="Arial"/>
          <w:lang w:val="sq-AL"/>
        </w:rPr>
        <w:t>entrima:</w:t>
      </w:r>
    </w:p>
    <w:p w14:paraId="1E85A273" w14:textId="2E8998E9" w:rsidR="00C232D7" w:rsidRPr="002A6F4E" w:rsidRDefault="00C232D7" w:rsidP="00A23ED0">
      <w:pPr>
        <w:pStyle w:val="ListParagraph"/>
        <w:numPr>
          <w:ilvl w:val="0"/>
          <w:numId w:val="14"/>
        </w:numPr>
        <w:spacing w:before="120" w:after="120" w:line="360" w:lineRule="auto"/>
        <w:ind w:left="1530"/>
        <w:contextualSpacing w:val="0"/>
        <w:rPr>
          <w:rFonts w:ascii="Arial" w:hAnsi="Arial" w:cs="Arial"/>
          <w:iCs/>
          <w:lang w:val="sq-AL"/>
        </w:rPr>
      </w:pPr>
      <w:r w:rsidRPr="002A6F4E">
        <w:rPr>
          <w:rFonts w:ascii="Arial" w:hAnsi="Arial" w:cs="Arial"/>
          <w:iCs/>
          <w:lang w:val="sq-AL"/>
        </w:rPr>
        <w:t>Za</w:t>
      </w:r>
      <w:r w:rsidR="002C1C65">
        <w:rPr>
          <w:rFonts w:ascii="Arial" w:hAnsi="Arial" w:cs="Arial"/>
          <w:iCs/>
          <w:lang w:val="sq-AL"/>
        </w:rPr>
        <w:t xml:space="preserve"> </w:t>
      </w:r>
      <w:r w:rsidRPr="002A6F4E">
        <w:rPr>
          <w:rFonts w:ascii="Arial" w:hAnsi="Arial" w:cs="Arial"/>
          <w:iCs/>
          <w:lang w:val="sq-AL"/>
        </w:rPr>
        <w:t xml:space="preserve"> </w:t>
      </w:r>
      <w:r w:rsidR="002C1C65">
        <w:rPr>
          <w:rFonts w:ascii="Arial" w:hAnsi="Arial" w:cs="Arial"/>
          <w:iCs/>
          <w:lang w:val="sq-AL"/>
        </w:rPr>
        <w:t>sjeverni region</w:t>
      </w:r>
      <w:r w:rsidRPr="002A6F4E">
        <w:rPr>
          <w:rFonts w:ascii="Arial" w:hAnsi="Arial" w:cs="Arial"/>
          <w:iCs/>
          <w:lang w:val="sq-AL"/>
        </w:rPr>
        <w:t xml:space="preserve"> u krugu </w:t>
      </w:r>
      <w:r w:rsidR="002C1C65">
        <w:rPr>
          <w:rFonts w:ascii="Arial" w:hAnsi="Arial" w:cs="Arial"/>
          <w:iCs/>
          <w:lang w:val="sq-AL"/>
        </w:rPr>
        <w:t>KBC,</w:t>
      </w:r>
      <w:r w:rsidRPr="002A6F4E">
        <w:rPr>
          <w:rFonts w:ascii="Arial" w:hAnsi="Arial" w:cs="Arial"/>
          <w:iCs/>
          <w:lang w:val="sq-AL"/>
        </w:rPr>
        <w:t xml:space="preserve"> Berane,</w:t>
      </w:r>
    </w:p>
    <w:p w14:paraId="62C83EA4" w14:textId="6CA2C863" w:rsidR="00C232D7" w:rsidRPr="002A6F4E" w:rsidRDefault="005335B5" w:rsidP="00A23ED0">
      <w:pPr>
        <w:pStyle w:val="ListParagraph"/>
        <w:numPr>
          <w:ilvl w:val="0"/>
          <w:numId w:val="14"/>
        </w:numPr>
        <w:spacing w:before="120" w:after="120" w:line="360" w:lineRule="auto"/>
        <w:ind w:left="1530"/>
        <w:contextualSpacing w:val="0"/>
        <w:rPr>
          <w:rFonts w:ascii="Arial" w:hAnsi="Arial" w:cs="Arial"/>
          <w:iCs/>
          <w:lang w:val="sq-AL"/>
        </w:rPr>
      </w:pPr>
      <w:r>
        <w:rPr>
          <w:rFonts w:ascii="Arial" w:hAnsi="Arial" w:cs="Arial"/>
          <w:iCs/>
          <w:lang w:val="sq-AL"/>
        </w:rPr>
        <w:t xml:space="preserve">Za </w:t>
      </w:r>
      <w:r w:rsidR="002C1C65">
        <w:rPr>
          <w:rFonts w:ascii="Arial" w:hAnsi="Arial" w:cs="Arial"/>
          <w:iCs/>
          <w:lang w:val="sq-AL"/>
        </w:rPr>
        <w:t>ostatak Crne Gore</w:t>
      </w:r>
      <w:r w:rsidR="00C232D7" w:rsidRPr="002A6F4E">
        <w:rPr>
          <w:rFonts w:ascii="Arial" w:hAnsi="Arial" w:cs="Arial"/>
          <w:iCs/>
          <w:lang w:val="sq-AL"/>
        </w:rPr>
        <w:t xml:space="preserve"> u krugu </w:t>
      </w:r>
      <w:r w:rsidR="002C1C65">
        <w:rPr>
          <w:rFonts w:ascii="Arial" w:hAnsi="Arial" w:cs="Arial"/>
          <w:iCs/>
          <w:lang w:val="sq-AL"/>
        </w:rPr>
        <w:t>KBC,</w:t>
      </w:r>
      <w:r w:rsidR="00C232D7" w:rsidRPr="002A6F4E">
        <w:rPr>
          <w:rFonts w:ascii="Arial" w:hAnsi="Arial" w:cs="Arial"/>
          <w:iCs/>
          <w:lang w:val="sq-AL"/>
        </w:rPr>
        <w:t xml:space="preserve"> Podgorica</w:t>
      </w:r>
      <w:r w:rsidR="009B3B3C">
        <w:rPr>
          <w:rFonts w:ascii="Arial" w:hAnsi="Arial" w:cs="Arial"/>
          <w:iCs/>
          <w:lang w:val="sq-AL"/>
        </w:rPr>
        <w:t>.</w:t>
      </w:r>
    </w:p>
    <w:p w14:paraId="371815E3" w14:textId="4B91DCE3"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 xml:space="preserve">Projekcija potrebnih </w:t>
      </w:r>
      <w:r w:rsidR="009B3B3C">
        <w:rPr>
          <w:rFonts w:ascii="Arial" w:hAnsi="Arial" w:cs="Arial"/>
          <w:lang w:val="sq-AL"/>
        </w:rPr>
        <w:t>c</w:t>
      </w:r>
      <w:r w:rsidRPr="002A6F4E">
        <w:rPr>
          <w:rFonts w:ascii="Arial" w:hAnsi="Arial" w:cs="Arial"/>
          <w:lang w:val="sq-AL"/>
        </w:rPr>
        <w:t xml:space="preserve">entara za obradu otpada vršena je na osnovu procjene količine opasnog medicinskog otpada od 654 t/god, a na osnovu podataka dobijenih od zdravstvenih ustanova i priznatih metoda procjene u tom periodu. </w:t>
      </w:r>
    </w:p>
    <w:p w14:paraId="320C660E" w14:textId="63737680"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 xml:space="preserve">Nakon uspostavljanja sistema upravljanja otpadom u zdravstvenim ustanovama utvrđeno je da je količina medicinskog otpada koji zdravstvene ustanove predaju na obradu </w:t>
      </w:r>
      <w:r w:rsidR="00B65831">
        <w:rPr>
          <w:rFonts w:ascii="Arial" w:hAnsi="Arial" w:cs="Arial"/>
          <w:lang w:val="sq-AL"/>
        </w:rPr>
        <w:t>“</w:t>
      </w:r>
      <w:r w:rsidRPr="002A6F4E">
        <w:rPr>
          <w:rFonts w:ascii="Arial" w:hAnsi="Arial" w:cs="Arial"/>
          <w:lang w:val="sq-AL"/>
        </w:rPr>
        <w:t>Ekomedika</w:t>
      </w:r>
      <w:r w:rsidR="00B65831">
        <w:rPr>
          <w:rFonts w:ascii="Arial" w:hAnsi="Arial" w:cs="Arial"/>
          <w:lang w:val="sq-AL"/>
        </w:rPr>
        <w:t>”</w:t>
      </w:r>
      <w:r w:rsidRPr="002A6F4E">
        <w:rPr>
          <w:rFonts w:ascii="Arial" w:hAnsi="Arial" w:cs="Arial"/>
          <w:lang w:val="sq-AL"/>
        </w:rPr>
        <w:t xml:space="preserve"> </w:t>
      </w:r>
      <w:r w:rsidR="00655695">
        <w:rPr>
          <w:rFonts w:ascii="Arial" w:hAnsi="Arial" w:cs="Arial"/>
          <w:lang w:val="sq-AL"/>
        </w:rPr>
        <w:t>doo Podgorica</w:t>
      </w:r>
      <w:r w:rsidRPr="002A6F4E">
        <w:rPr>
          <w:rFonts w:ascii="Arial" w:hAnsi="Arial" w:cs="Arial"/>
          <w:lang w:val="sq-AL"/>
        </w:rPr>
        <w:t>, mnogo manja od projektovane i da se ukupno proizvedena količina može obraditi u centrima u Podgorici i Beranama. Za sada ne postoji potreba za izgradnj</w:t>
      </w:r>
      <w:r w:rsidR="001074D1">
        <w:rPr>
          <w:rFonts w:ascii="Arial" w:hAnsi="Arial" w:cs="Arial"/>
          <w:lang w:val="sq-AL"/>
        </w:rPr>
        <w:t>om</w:t>
      </w:r>
      <w:r w:rsidRPr="002A6F4E">
        <w:rPr>
          <w:rFonts w:ascii="Arial" w:hAnsi="Arial" w:cs="Arial"/>
          <w:lang w:val="sq-AL"/>
        </w:rPr>
        <w:t xml:space="preserve"> drugih centara za obradu.</w:t>
      </w:r>
    </w:p>
    <w:p w14:paraId="20B3F098" w14:textId="7C16D890"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Najveće evidentirane količine medicinskog otpada (za period 2016-2019</w:t>
      </w:r>
      <w:r w:rsidR="001074D1">
        <w:rPr>
          <w:rFonts w:ascii="Arial" w:hAnsi="Arial" w:cs="Arial"/>
          <w:lang w:val="sq-AL"/>
        </w:rPr>
        <w:t>. godina</w:t>
      </w:r>
      <w:r w:rsidRPr="002A6F4E">
        <w:rPr>
          <w:rFonts w:ascii="Arial" w:hAnsi="Arial" w:cs="Arial"/>
          <w:lang w:val="sq-AL"/>
        </w:rPr>
        <w:t xml:space="preserve">) odnose se na otpad koji </w:t>
      </w:r>
      <w:r w:rsidR="00741057">
        <w:rPr>
          <w:rFonts w:ascii="Arial" w:hAnsi="Arial" w:cs="Arial"/>
          <w:lang w:val="sq-AL"/>
        </w:rPr>
        <w:t>proizvode</w:t>
      </w:r>
      <w:r w:rsidRPr="002A6F4E">
        <w:rPr>
          <w:rFonts w:ascii="Arial" w:hAnsi="Arial" w:cs="Arial"/>
          <w:lang w:val="sq-AL"/>
        </w:rPr>
        <w:t xml:space="preserve"> javne ustan</w:t>
      </w:r>
      <w:r w:rsidR="0043706D">
        <w:rPr>
          <w:rFonts w:ascii="Arial" w:hAnsi="Arial" w:cs="Arial"/>
          <w:lang w:val="sq-AL"/>
        </w:rPr>
        <w:t>ove, i to: 18 domova zdravlja, 6</w:t>
      </w:r>
      <w:r w:rsidRPr="002A6F4E">
        <w:rPr>
          <w:rFonts w:ascii="Arial" w:hAnsi="Arial" w:cs="Arial"/>
          <w:lang w:val="sq-AL"/>
        </w:rPr>
        <w:t xml:space="preserve"> opštih </w:t>
      </w:r>
      <w:r w:rsidR="00B65831">
        <w:rPr>
          <w:rFonts w:ascii="Arial" w:hAnsi="Arial" w:cs="Arial"/>
          <w:lang w:val="sq-AL"/>
        </w:rPr>
        <w:t>bolnica, 3 specijalne bolnice, K</w:t>
      </w:r>
      <w:r w:rsidRPr="002A6F4E">
        <w:rPr>
          <w:rFonts w:ascii="Arial" w:hAnsi="Arial" w:cs="Arial"/>
          <w:lang w:val="sq-AL"/>
        </w:rPr>
        <w:t xml:space="preserve">linički centar Crne Gore, </w:t>
      </w:r>
      <w:r w:rsidR="0043706D">
        <w:rPr>
          <w:rFonts w:ascii="Arial" w:hAnsi="Arial" w:cs="Arial"/>
          <w:lang w:val="sq-AL"/>
        </w:rPr>
        <w:t xml:space="preserve">Kliničko bolnički centar Berane, </w:t>
      </w:r>
      <w:r w:rsidRPr="002A6F4E">
        <w:rPr>
          <w:rFonts w:ascii="Arial" w:hAnsi="Arial" w:cs="Arial"/>
          <w:lang w:val="sq-AL"/>
        </w:rPr>
        <w:t>Zavoda za hitnu medicinsku pomoć, Zavoda za transfuziju krvi, Instituta za javno zdravlje i apoteke „Montefarm“.</w:t>
      </w:r>
    </w:p>
    <w:p w14:paraId="5FE5FC80" w14:textId="63FEC136" w:rsidR="0078407F"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 xml:space="preserve">U sljedećoj tabeli prikazane su proizvedene količine medicinskog otpada u Crnoj Gori </w:t>
      </w:r>
      <w:bookmarkStart w:id="750" w:name="_Hlk191047975"/>
      <w:r w:rsidRPr="002A6F4E">
        <w:rPr>
          <w:rFonts w:ascii="Arial" w:hAnsi="Arial" w:cs="Arial"/>
          <w:lang w:val="sq-AL"/>
        </w:rPr>
        <w:t>(izvor: Podaci o stanju životne sredine, Agencija za zaštitu životne sredine, 2022).</w:t>
      </w:r>
    </w:p>
    <w:p w14:paraId="51B513CA" w14:textId="156CC895" w:rsidR="00C232D7" w:rsidRPr="009B3B3C" w:rsidRDefault="00C232D7" w:rsidP="00C232D7">
      <w:pPr>
        <w:pStyle w:val="Caption"/>
        <w:rPr>
          <w:rFonts w:ascii="Arial" w:hAnsi="Arial" w:cs="Arial"/>
          <w:b w:val="0"/>
          <w:lang w:val="sq-AL"/>
        </w:rPr>
      </w:pPr>
      <w:bookmarkStart w:id="751" w:name="_Toc190160706"/>
      <w:bookmarkEnd w:id="750"/>
      <w:r w:rsidRPr="009B3B3C">
        <w:rPr>
          <w:rFonts w:ascii="Arial" w:hAnsi="Arial" w:cs="Arial"/>
          <w:b w:val="0"/>
          <w:lang w:val="sq-AL"/>
        </w:rPr>
        <w:t xml:space="preserve">Tabela </w:t>
      </w:r>
      <w:r w:rsidRPr="009B3B3C">
        <w:rPr>
          <w:rFonts w:ascii="Arial" w:hAnsi="Arial" w:cs="Arial"/>
          <w:b w:val="0"/>
        </w:rPr>
        <w:fldChar w:fldCharType="begin"/>
      </w:r>
      <w:r w:rsidRPr="009B3B3C">
        <w:rPr>
          <w:rFonts w:ascii="Arial" w:hAnsi="Arial" w:cs="Arial"/>
          <w:b w:val="0"/>
          <w:lang w:val="sq-AL"/>
        </w:rPr>
        <w:instrText xml:space="preserve"> SEQ Tabela \* ARABIC </w:instrText>
      </w:r>
      <w:r w:rsidRPr="009B3B3C">
        <w:rPr>
          <w:rFonts w:ascii="Arial" w:hAnsi="Arial" w:cs="Arial"/>
          <w:b w:val="0"/>
        </w:rPr>
        <w:fldChar w:fldCharType="separate"/>
      </w:r>
      <w:r w:rsidR="007274DA">
        <w:rPr>
          <w:rFonts w:ascii="Arial" w:hAnsi="Arial" w:cs="Arial"/>
          <w:b w:val="0"/>
          <w:noProof/>
          <w:lang w:val="sq-AL"/>
        </w:rPr>
        <w:t>16</w:t>
      </w:r>
      <w:r w:rsidRPr="009B3B3C">
        <w:rPr>
          <w:rFonts w:ascii="Arial" w:hAnsi="Arial" w:cs="Arial"/>
          <w:b w:val="0"/>
        </w:rPr>
        <w:fldChar w:fldCharType="end"/>
      </w:r>
      <w:r w:rsidRPr="009B3B3C">
        <w:rPr>
          <w:rFonts w:ascii="Arial" w:hAnsi="Arial" w:cs="Arial"/>
          <w:b w:val="0"/>
          <w:lang w:val="sq-AL"/>
        </w:rPr>
        <w:t xml:space="preserve"> Količine medicinskog otpada u Crnoj Gori (u t</w:t>
      </w:r>
      <w:r w:rsidR="009B3B3C" w:rsidRPr="009B3B3C">
        <w:rPr>
          <w:rFonts w:ascii="Arial" w:hAnsi="Arial" w:cs="Arial"/>
          <w:b w:val="0"/>
          <w:lang w:val="sq-AL"/>
        </w:rPr>
        <w:t>)</w:t>
      </w:r>
      <w:r w:rsidRPr="009B3B3C">
        <w:rPr>
          <w:rFonts w:ascii="Arial" w:hAnsi="Arial" w:cs="Arial"/>
          <w:b w:val="0"/>
          <w:lang w:val="sq-AL"/>
        </w:rPr>
        <w:t>, 2018-2021</w:t>
      </w:r>
      <w:bookmarkEnd w:id="751"/>
      <w:r w:rsidR="00741057" w:rsidRPr="009B3B3C">
        <w:rPr>
          <w:rFonts w:ascii="Arial" w:hAnsi="Arial" w:cs="Arial"/>
          <w:b w:val="0"/>
          <w:lang w:val="sq-AL"/>
        </w:rPr>
        <w:t>. godina</w:t>
      </w:r>
      <w:r w:rsidR="00331340" w:rsidRPr="009B3B3C">
        <w:rPr>
          <w:rStyle w:val="FootnoteReference"/>
          <w:rFonts w:cs="Arial"/>
          <w:b w:val="0"/>
          <w:sz w:val="18"/>
          <w:szCs w:val="18"/>
        </w:rPr>
        <w:footnoteReference w:id="21"/>
      </w:r>
    </w:p>
    <w:tbl>
      <w:tblPr>
        <w:tblStyle w:val="MediumGrid3-Accent4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6"/>
        <w:gridCol w:w="1094"/>
        <w:gridCol w:w="1115"/>
        <w:gridCol w:w="1057"/>
        <w:gridCol w:w="1056"/>
      </w:tblGrid>
      <w:tr w:rsidR="00C232D7" w:rsidRPr="009B3B3C" w14:paraId="2653816C" w14:textId="77777777" w:rsidTr="00C232D7">
        <w:trPr>
          <w:cnfStyle w:val="100000000000" w:firstRow="1" w:lastRow="0" w:firstColumn="0" w:lastColumn="0" w:oddVBand="0" w:evenVBand="0" w:oddHBand="0"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5050" w:type="dxa"/>
            <w:tcBorders>
              <w:top w:val="single" w:sz="4" w:space="0" w:color="auto"/>
              <w:left w:val="single" w:sz="4" w:space="0" w:color="auto"/>
              <w:bottom w:val="nil"/>
              <w:right w:val="single" w:sz="8" w:space="0" w:color="FFFFFF"/>
            </w:tcBorders>
            <w:shd w:val="clear" w:color="auto" w:fill="F2F2F2" w:themeFill="background1" w:themeFillShade="F2"/>
            <w:vAlign w:val="center"/>
          </w:tcPr>
          <w:p w14:paraId="2AC51C07" w14:textId="77777777" w:rsidR="00C232D7" w:rsidRPr="009B3B3C" w:rsidRDefault="00C232D7" w:rsidP="00C232D7">
            <w:pPr>
              <w:autoSpaceDE w:val="0"/>
              <w:autoSpaceDN w:val="0"/>
              <w:adjustRightInd w:val="0"/>
              <w:spacing w:before="60" w:after="60" w:line="360" w:lineRule="auto"/>
              <w:rPr>
                <w:rFonts w:ascii="Arial" w:hAnsi="Arial" w:cs="Arial"/>
                <w:color w:val="000000" w:themeColor="text1"/>
                <w:sz w:val="18"/>
                <w:szCs w:val="18"/>
                <w:lang w:val="sq-AL"/>
              </w:rPr>
            </w:pPr>
          </w:p>
        </w:tc>
        <w:tc>
          <w:tcPr>
            <w:tcW w:w="1096" w:type="dxa"/>
            <w:tcBorders>
              <w:top w:val="single" w:sz="4" w:space="0" w:color="auto"/>
              <w:left w:val="single" w:sz="4" w:space="0" w:color="auto"/>
              <w:bottom w:val="single" w:sz="4" w:space="0" w:color="auto"/>
              <w:right w:val="single" w:sz="8" w:space="0" w:color="FFFFFF"/>
            </w:tcBorders>
            <w:shd w:val="clear" w:color="auto" w:fill="F2F2F2" w:themeFill="background1" w:themeFillShade="F2"/>
            <w:vAlign w:val="center"/>
          </w:tcPr>
          <w:p w14:paraId="66D104BE" w14:textId="77777777" w:rsidR="00C232D7" w:rsidRPr="009B3B3C" w:rsidRDefault="00C232D7" w:rsidP="00C232D7">
            <w:pPr>
              <w:autoSpaceDE w:val="0"/>
              <w:autoSpaceDN w:val="0"/>
              <w:adjustRightInd w:val="0"/>
              <w:spacing w:before="60" w:after="60"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8"/>
                <w:szCs w:val="18"/>
                <w:lang w:val="sq-AL"/>
              </w:rPr>
            </w:pPr>
            <w:r w:rsidRPr="009B3B3C">
              <w:rPr>
                <w:rFonts w:ascii="Arial" w:hAnsi="Arial" w:cs="Arial"/>
                <w:color w:val="000000" w:themeColor="text1"/>
                <w:sz w:val="18"/>
                <w:szCs w:val="18"/>
                <w:lang w:val="sq-AL"/>
              </w:rPr>
              <w:t>2018</w:t>
            </w:r>
          </w:p>
        </w:tc>
        <w:tc>
          <w:tcPr>
            <w:tcW w:w="1117" w:type="dxa"/>
            <w:tcBorders>
              <w:top w:val="single" w:sz="4" w:space="0" w:color="auto"/>
              <w:left w:val="single" w:sz="4" w:space="0" w:color="auto"/>
              <w:bottom w:val="single" w:sz="4" w:space="0" w:color="auto"/>
              <w:right w:val="single" w:sz="8" w:space="0" w:color="FFFFFF"/>
            </w:tcBorders>
            <w:shd w:val="clear" w:color="auto" w:fill="F2F2F2" w:themeFill="background1" w:themeFillShade="F2"/>
            <w:vAlign w:val="center"/>
          </w:tcPr>
          <w:p w14:paraId="7BAFE2CF" w14:textId="77777777" w:rsidR="00C232D7" w:rsidRPr="009B3B3C" w:rsidRDefault="00C232D7" w:rsidP="00C232D7">
            <w:pPr>
              <w:autoSpaceDE w:val="0"/>
              <w:autoSpaceDN w:val="0"/>
              <w:adjustRightInd w:val="0"/>
              <w:spacing w:before="60" w:after="60"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8"/>
                <w:szCs w:val="18"/>
                <w:lang w:val="sq-AL"/>
              </w:rPr>
            </w:pPr>
            <w:r w:rsidRPr="009B3B3C">
              <w:rPr>
                <w:rFonts w:ascii="Arial" w:hAnsi="Arial" w:cs="Arial"/>
                <w:color w:val="000000" w:themeColor="text1"/>
                <w:sz w:val="18"/>
                <w:szCs w:val="18"/>
                <w:lang w:val="sq-AL"/>
              </w:rPr>
              <w:t>2019</w:t>
            </w:r>
          </w:p>
        </w:tc>
        <w:tc>
          <w:tcPr>
            <w:tcW w:w="1058" w:type="dxa"/>
            <w:tcBorders>
              <w:top w:val="single" w:sz="4" w:space="0" w:color="auto"/>
              <w:left w:val="single" w:sz="4" w:space="0" w:color="auto"/>
              <w:bottom w:val="single" w:sz="4" w:space="0" w:color="auto"/>
              <w:right w:val="single" w:sz="8" w:space="0" w:color="FFFFFF"/>
            </w:tcBorders>
            <w:shd w:val="clear" w:color="auto" w:fill="F2F2F2" w:themeFill="background1" w:themeFillShade="F2"/>
            <w:vAlign w:val="center"/>
          </w:tcPr>
          <w:p w14:paraId="259D0DB8" w14:textId="77777777" w:rsidR="00C232D7" w:rsidRPr="009B3B3C" w:rsidRDefault="00C232D7" w:rsidP="00C232D7">
            <w:pPr>
              <w:autoSpaceDE w:val="0"/>
              <w:autoSpaceDN w:val="0"/>
              <w:adjustRightInd w:val="0"/>
              <w:spacing w:before="60" w:after="60"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8"/>
                <w:szCs w:val="18"/>
                <w:lang w:val="sq-AL"/>
              </w:rPr>
            </w:pPr>
            <w:r w:rsidRPr="009B3B3C">
              <w:rPr>
                <w:rFonts w:ascii="Arial" w:hAnsi="Arial" w:cs="Arial"/>
                <w:color w:val="000000" w:themeColor="text1"/>
                <w:sz w:val="18"/>
                <w:szCs w:val="18"/>
                <w:lang w:val="sq-AL"/>
              </w:rPr>
              <w:t>2020</w:t>
            </w:r>
          </w:p>
        </w:tc>
        <w:tc>
          <w:tcPr>
            <w:tcW w:w="105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2422B0" w14:textId="77777777" w:rsidR="00C232D7" w:rsidRPr="009B3B3C" w:rsidRDefault="00C232D7" w:rsidP="00C232D7">
            <w:pPr>
              <w:autoSpaceDE w:val="0"/>
              <w:autoSpaceDN w:val="0"/>
              <w:adjustRightInd w:val="0"/>
              <w:spacing w:before="60" w:after="60"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8"/>
                <w:szCs w:val="18"/>
                <w:lang w:val="sq-AL"/>
              </w:rPr>
            </w:pPr>
            <w:r w:rsidRPr="009B3B3C">
              <w:rPr>
                <w:rFonts w:ascii="Arial" w:hAnsi="Arial" w:cs="Arial"/>
                <w:color w:val="000000" w:themeColor="text1"/>
                <w:sz w:val="18"/>
                <w:szCs w:val="18"/>
                <w:lang w:val="sq-AL"/>
              </w:rPr>
              <w:t>2021</w:t>
            </w:r>
          </w:p>
        </w:tc>
      </w:tr>
      <w:tr w:rsidR="00C232D7" w:rsidRPr="009B3B3C" w14:paraId="619540D6" w14:textId="77777777" w:rsidTr="00C232D7">
        <w:trPr>
          <w:trHeight w:val="396"/>
          <w:jc w:val="center"/>
        </w:trPr>
        <w:tc>
          <w:tcPr>
            <w:cnfStyle w:val="001000000000" w:firstRow="0" w:lastRow="0" w:firstColumn="1" w:lastColumn="0" w:oddVBand="0" w:evenVBand="0" w:oddHBand="0" w:evenHBand="0" w:firstRowFirstColumn="0" w:firstRowLastColumn="0" w:lastRowFirstColumn="0" w:lastRowLastColumn="0"/>
            <w:tcW w:w="5050" w:type="dxa"/>
            <w:tcBorders>
              <w:top w:val="single" w:sz="4" w:space="0" w:color="auto"/>
              <w:left w:val="single" w:sz="4" w:space="0" w:color="auto"/>
              <w:right w:val="single" w:sz="8" w:space="0" w:color="FFFFFF"/>
            </w:tcBorders>
            <w:shd w:val="clear" w:color="auto" w:fill="auto"/>
          </w:tcPr>
          <w:p w14:paraId="6C98CAA6" w14:textId="77777777" w:rsidR="00C232D7" w:rsidRPr="009B3B3C" w:rsidRDefault="00C232D7" w:rsidP="00C232D7">
            <w:pPr>
              <w:autoSpaceDE w:val="0"/>
              <w:autoSpaceDN w:val="0"/>
              <w:adjustRightInd w:val="0"/>
              <w:spacing w:before="60" w:after="60" w:line="360" w:lineRule="auto"/>
              <w:rPr>
                <w:rFonts w:ascii="Arial" w:hAnsi="Arial" w:cs="Arial"/>
                <w:color w:val="000000" w:themeColor="text1"/>
                <w:sz w:val="18"/>
                <w:szCs w:val="18"/>
                <w:lang w:val="sq-AL"/>
              </w:rPr>
            </w:pPr>
            <w:r w:rsidRPr="009B3B3C">
              <w:rPr>
                <w:rFonts w:ascii="Arial" w:hAnsi="Arial" w:cs="Arial"/>
                <w:color w:val="000000" w:themeColor="text1"/>
                <w:sz w:val="18"/>
                <w:szCs w:val="18"/>
                <w:lang w:val="el-GR"/>
              </w:rPr>
              <w:t>Zdravstvene ustanove (javne / od strane Ministarstva zdravlja)</w:t>
            </w:r>
          </w:p>
        </w:tc>
        <w:tc>
          <w:tcPr>
            <w:tcW w:w="1096" w:type="dxa"/>
            <w:tcBorders>
              <w:top w:val="single" w:sz="4" w:space="0" w:color="auto"/>
              <w:left w:val="single" w:sz="4" w:space="0" w:color="auto"/>
              <w:bottom w:val="single" w:sz="4" w:space="0" w:color="auto"/>
              <w:right w:val="single" w:sz="8" w:space="0" w:color="FFFFFF"/>
            </w:tcBorders>
            <w:shd w:val="clear" w:color="auto" w:fill="auto"/>
            <w:vAlign w:val="center"/>
          </w:tcPr>
          <w:p w14:paraId="3CA327E8" w14:textId="77777777" w:rsidR="00C232D7" w:rsidRPr="009B3B3C"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q-AL"/>
              </w:rPr>
            </w:pPr>
            <w:r w:rsidRPr="009B3B3C">
              <w:rPr>
                <w:rFonts w:ascii="Arial" w:hAnsi="Arial" w:cs="Arial"/>
                <w:color w:val="000000" w:themeColor="text1"/>
                <w:sz w:val="18"/>
                <w:szCs w:val="18"/>
                <w:lang w:val="sq-AL"/>
              </w:rPr>
              <w:t>382,58</w:t>
            </w:r>
          </w:p>
        </w:tc>
        <w:tc>
          <w:tcPr>
            <w:tcW w:w="1117" w:type="dxa"/>
            <w:tcBorders>
              <w:top w:val="single" w:sz="4" w:space="0" w:color="auto"/>
              <w:left w:val="single" w:sz="4" w:space="0" w:color="auto"/>
              <w:bottom w:val="single" w:sz="4" w:space="0" w:color="auto"/>
              <w:right w:val="single" w:sz="8" w:space="0" w:color="FFFFFF"/>
            </w:tcBorders>
            <w:shd w:val="clear" w:color="auto" w:fill="auto"/>
            <w:vAlign w:val="center"/>
          </w:tcPr>
          <w:p w14:paraId="5A3ED4CF" w14:textId="77777777" w:rsidR="00C232D7" w:rsidRPr="009B3B3C"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q-AL"/>
              </w:rPr>
            </w:pPr>
            <w:r w:rsidRPr="009B3B3C">
              <w:rPr>
                <w:rFonts w:ascii="Arial" w:hAnsi="Arial" w:cs="Arial"/>
                <w:color w:val="000000" w:themeColor="text1"/>
                <w:sz w:val="18"/>
                <w:szCs w:val="18"/>
                <w:lang w:val="sq-AL"/>
              </w:rPr>
              <w:t>414,70</w:t>
            </w:r>
          </w:p>
        </w:tc>
        <w:tc>
          <w:tcPr>
            <w:tcW w:w="1058" w:type="dxa"/>
            <w:tcBorders>
              <w:top w:val="single" w:sz="4" w:space="0" w:color="auto"/>
              <w:left w:val="single" w:sz="4" w:space="0" w:color="auto"/>
              <w:bottom w:val="single" w:sz="4" w:space="0" w:color="auto"/>
              <w:right w:val="single" w:sz="8" w:space="0" w:color="FFFFFF"/>
            </w:tcBorders>
            <w:shd w:val="clear" w:color="auto" w:fill="auto"/>
            <w:vAlign w:val="center"/>
          </w:tcPr>
          <w:p w14:paraId="3776E7C2" w14:textId="77777777" w:rsidR="00C232D7" w:rsidRPr="009B3B3C"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q-AL"/>
              </w:rPr>
            </w:pPr>
            <w:r w:rsidRPr="009B3B3C">
              <w:rPr>
                <w:rFonts w:ascii="Arial" w:hAnsi="Arial" w:cs="Arial"/>
                <w:color w:val="000000" w:themeColor="text1"/>
                <w:sz w:val="18"/>
                <w:szCs w:val="18"/>
                <w:lang w:val="sq-AL"/>
              </w:rPr>
              <w:t>478,34</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67A5E028" w14:textId="77777777" w:rsidR="00C232D7" w:rsidRPr="009B3B3C"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q-AL"/>
              </w:rPr>
            </w:pPr>
            <w:r w:rsidRPr="009B3B3C">
              <w:rPr>
                <w:rFonts w:ascii="Arial" w:hAnsi="Arial" w:cs="Arial"/>
                <w:color w:val="000000" w:themeColor="text1"/>
                <w:sz w:val="18"/>
                <w:szCs w:val="18"/>
                <w:lang w:val="sq-AL"/>
              </w:rPr>
              <w:t>621,97</w:t>
            </w:r>
          </w:p>
        </w:tc>
      </w:tr>
      <w:tr w:rsidR="00C232D7" w:rsidRPr="009B3B3C" w14:paraId="42B68AFA" w14:textId="77777777" w:rsidTr="00C232D7">
        <w:trPr>
          <w:trHeight w:val="250"/>
          <w:jc w:val="center"/>
        </w:trPr>
        <w:tc>
          <w:tcPr>
            <w:cnfStyle w:val="001000000000" w:firstRow="0" w:lastRow="0" w:firstColumn="1" w:lastColumn="0" w:oddVBand="0" w:evenVBand="0" w:oddHBand="0" w:evenHBand="0" w:firstRowFirstColumn="0" w:firstRowLastColumn="0" w:lastRowFirstColumn="0" w:lastRowLastColumn="0"/>
            <w:tcW w:w="5050" w:type="dxa"/>
            <w:tcBorders>
              <w:top w:val="single" w:sz="4" w:space="0" w:color="auto"/>
              <w:left w:val="single" w:sz="4" w:space="0" w:color="auto"/>
              <w:right w:val="single" w:sz="4" w:space="0" w:color="auto"/>
            </w:tcBorders>
            <w:shd w:val="clear" w:color="auto" w:fill="auto"/>
          </w:tcPr>
          <w:p w14:paraId="35E53792" w14:textId="77777777" w:rsidR="00C232D7" w:rsidRPr="009B3B3C" w:rsidRDefault="00C232D7" w:rsidP="00C232D7">
            <w:pPr>
              <w:autoSpaceDE w:val="0"/>
              <w:autoSpaceDN w:val="0"/>
              <w:adjustRightInd w:val="0"/>
              <w:spacing w:before="60" w:after="60" w:line="360" w:lineRule="auto"/>
              <w:rPr>
                <w:rFonts w:ascii="Arial" w:hAnsi="Arial" w:cs="Arial"/>
                <w:color w:val="000000" w:themeColor="text1"/>
                <w:sz w:val="18"/>
                <w:szCs w:val="18"/>
                <w:lang w:val="sq-AL"/>
              </w:rPr>
            </w:pPr>
            <w:r w:rsidRPr="009B3B3C">
              <w:rPr>
                <w:rFonts w:ascii="Arial" w:hAnsi="Arial" w:cs="Arial"/>
                <w:color w:val="000000" w:themeColor="text1"/>
                <w:sz w:val="18"/>
                <w:szCs w:val="18"/>
                <w:lang w:val="el-GR"/>
              </w:rPr>
              <w:t>Privatne zdravstvene ustanove</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tcPr>
          <w:p w14:paraId="3591B01C" w14:textId="77777777" w:rsidR="00C232D7" w:rsidRPr="009B3B3C"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q-AL"/>
              </w:rPr>
            </w:pPr>
            <w:r w:rsidRPr="009B3B3C">
              <w:rPr>
                <w:rFonts w:ascii="Arial" w:hAnsi="Arial" w:cs="Arial"/>
                <w:color w:val="000000" w:themeColor="text1"/>
                <w:sz w:val="18"/>
                <w:szCs w:val="18"/>
                <w:lang w:val="sq-AL"/>
              </w:rPr>
              <w:t>18,30</w:t>
            </w:r>
          </w:p>
        </w:tc>
        <w:tc>
          <w:tcPr>
            <w:tcW w:w="1117" w:type="dxa"/>
            <w:tcBorders>
              <w:top w:val="single" w:sz="4" w:space="0" w:color="auto"/>
              <w:left w:val="single" w:sz="4" w:space="0" w:color="auto"/>
              <w:bottom w:val="single" w:sz="4" w:space="0" w:color="auto"/>
              <w:right w:val="single" w:sz="4" w:space="0" w:color="auto"/>
            </w:tcBorders>
            <w:shd w:val="clear" w:color="auto" w:fill="auto"/>
            <w:vAlign w:val="center"/>
          </w:tcPr>
          <w:p w14:paraId="311DF45F" w14:textId="77777777" w:rsidR="00C232D7" w:rsidRPr="009B3B3C"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q-AL"/>
              </w:rPr>
            </w:pPr>
            <w:r w:rsidRPr="009B3B3C">
              <w:rPr>
                <w:rFonts w:ascii="Arial" w:hAnsi="Arial" w:cs="Arial"/>
                <w:color w:val="000000" w:themeColor="text1"/>
                <w:sz w:val="18"/>
                <w:szCs w:val="18"/>
                <w:lang w:val="sq-AL"/>
              </w:rPr>
              <w:t>20,70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65349DF3" w14:textId="77777777" w:rsidR="00C232D7" w:rsidRPr="009B3B3C"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q-AL"/>
              </w:rPr>
            </w:pPr>
            <w:r w:rsidRPr="009B3B3C">
              <w:rPr>
                <w:rFonts w:ascii="Arial" w:hAnsi="Arial" w:cs="Arial"/>
                <w:color w:val="000000" w:themeColor="text1"/>
                <w:sz w:val="18"/>
                <w:szCs w:val="18"/>
                <w:lang w:val="sq-AL"/>
              </w:rPr>
              <w:t>35,00</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2E9C7162" w14:textId="77777777" w:rsidR="00C232D7" w:rsidRPr="009B3B3C"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lang w:val="sq-AL"/>
              </w:rPr>
            </w:pPr>
          </w:p>
        </w:tc>
      </w:tr>
      <w:tr w:rsidR="00C232D7" w:rsidRPr="009B3B3C" w14:paraId="2F31B1A6" w14:textId="77777777" w:rsidTr="00C232D7">
        <w:trPr>
          <w:trHeight w:val="250"/>
          <w:jc w:val="center"/>
        </w:trPr>
        <w:tc>
          <w:tcPr>
            <w:cnfStyle w:val="001000000000" w:firstRow="0" w:lastRow="0" w:firstColumn="1" w:lastColumn="0" w:oddVBand="0" w:evenVBand="0" w:oddHBand="0" w:evenHBand="0" w:firstRowFirstColumn="0" w:firstRowLastColumn="0" w:lastRowFirstColumn="0" w:lastRowLastColumn="0"/>
            <w:tcW w:w="5050" w:type="dxa"/>
            <w:tcBorders>
              <w:top w:val="single" w:sz="4" w:space="0" w:color="auto"/>
              <w:left w:val="single" w:sz="4" w:space="0" w:color="auto"/>
              <w:bottom w:val="single" w:sz="4" w:space="0" w:color="auto"/>
              <w:right w:val="single" w:sz="8" w:space="0" w:color="FFFFFF"/>
            </w:tcBorders>
            <w:shd w:val="clear" w:color="auto" w:fill="auto"/>
            <w:vAlign w:val="center"/>
          </w:tcPr>
          <w:p w14:paraId="6FFE7282" w14:textId="77777777" w:rsidR="00C232D7" w:rsidRPr="009B3B3C" w:rsidRDefault="00C232D7" w:rsidP="00C232D7">
            <w:pPr>
              <w:autoSpaceDE w:val="0"/>
              <w:autoSpaceDN w:val="0"/>
              <w:adjustRightInd w:val="0"/>
              <w:spacing w:before="60" w:after="60" w:line="360" w:lineRule="auto"/>
              <w:rPr>
                <w:rFonts w:ascii="Arial" w:hAnsi="Arial" w:cs="Arial"/>
                <w:b w:val="0"/>
                <w:bCs w:val="0"/>
                <w:color w:val="000000" w:themeColor="text1"/>
                <w:sz w:val="18"/>
                <w:szCs w:val="18"/>
                <w:lang w:val="sq-AL"/>
              </w:rPr>
            </w:pPr>
            <w:r w:rsidRPr="009B3B3C">
              <w:rPr>
                <w:rFonts w:ascii="Arial" w:hAnsi="Arial" w:cs="Arial"/>
                <w:color w:val="000000" w:themeColor="text1"/>
                <w:sz w:val="18"/>
                <w:szCs w:val="18"/>
                <w:lang w:val="sq-AL"/>
              </w:rPr>
              <w:t>Ukupno</w:t>
            </w:r>
          </w:p>
        </w:tc>
        <w:tc>
          <w:tcPr>
            <w:tcW w:w="1096" w:type="dxa"/>
            <w:tcBorders>
              <w:top w:val="single" w:sz="4" w:space="0" w:color="auto"/>
              <w:left w:val="single" w:sz="4" w:space="0" w:color="auto"/>
              <w:bottom w:val="single" w:sz="4" w:space="0" w:color="auto"/>
              <w:right w:val="single" w:sz="8" w:space="0" w:color="FFFFFF"/>
            </w:tcBorders>
            <w:shd w:val="clear" w:color="auto" w:fill="auto"/>
            <w:vAlign w:val="center"/>
          </w:tcPr>
          <w:p w14:paraId="0F7BCF54" w14:textId="77777777" w:rsidR="00C232D7" w:rsidRPr="009B3B3C"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9B3B3C">
              <w:rPr>
                <w:rFonts w:ascii="Arial" w:hAnsi="Arial" w:cs="Arial"/>
                <w:b/>
                <w:bCs/>
                <w:color w:val="000000" w:themeColor="text1"/>
                <w:sz w:val="18"/>
                <w:szCs w:val="18"/>
                <w:lang w:val="sq-AL"/>
              </w:rPr>
              <w:t>400,88</w:t>
            </w:r>
          </w:p>
        </w:tc>
        <w:tc>
          <w:tcPr>
            <w:tcW w:w="1117" w:type="dxa"/>
            <w:tcBorders>
              <w:top w:val="single" w:sz="4" w:space="0" w:color="auto"/>
              <w:left w:val="single" w:sz="4" w:space="0" w:color="auto"/>
              <w:bottom w:val="single" w:sz="4" w:space="0" w:color="auto"/>
              <w:right w:val="single" w:sz="8" w:space="0" w:color="FFFFFF"/>
            </w:tcBorders>
            <w:shd w:val="clear" w:color="auto" w:fill="auto"/>
            <w:vAlign w:val="center"/>
          </w:tcPr>
          <w:p w14:paraId="1BCD84C9" w14:textId="77777777" w:rsidR="00C232D7" w:rsidRPr="009B3B3C"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9B3B3C">
              <w:rPr>
                <w:rFonts w:ascii="Arial" w:hAnsi="Arial" w:cs="Arial"/>
                <w:b/>
                <w:bCs/>
                <w:color w:val="000000" w:themeColor="text1"/>
                <w:sz w:val="18"/>
                <w:szCs w:val="18"/>
                <w:lang w:val="sq-AL"/>
              </w:rPr>
              <w:t>435,40</w:t>
            </w:r>
          </w:p>
        </w:tc>
        <w:tc>
          <w:tcPr>
            <w:tcW w:w="1058" w:type="dxa"/>
            <w:tcBorders>
              <w:top w:val="single" w:sz="4" w:space="0" w:color="auto"/>
              <w:left w:val="single" w:sz="4" w:space="0" w:color="auto"/>
              <w:bottom w:val="single" w:sz="4" w:space="0" w:color="auto"/>
              <w:right w:val="single" w:sz="8" w:space="0" w:color="FFFFFF"/>
            </w:tcBorders>
            <w:shd w:val="clear" w:color="auto" w:fill="auto"/>
            <w:vAlign w:val="center"/>
          </w:tcPr>
          <w:p w14:paraId="366BE07F" w14:textId="77777777" w:rsidR="00C232D7" w:rsidRPr="009B3B3C"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9B3B3C">
              <w:rPr>
                <w:rFonts w:ascii="Arial" w:hAnsi="Arial" w:cs="Arial"/>
                <w:b/>
                <w:bCs/>
                <w:color w:val="000000" w:themeColor="text1"/>
                <w:sz w:val="18"/>
                <w:szCs w:val="18"/>
                <w:lang w:val="sq-AL"/>
              </w:rPr>
              <w:t>513,304</w:t>
            </w:r>
          </w:p>
        </w:tc>
        <w:tc>
          <w:tcPr>
            <w:tcW w:w="1058" w:type="dxa"/>
            <w:tcBorders>
              <w:top w:val="single" w:sz="4" w:space="0" w:color="auto"/>
              <w:left w:val="single" w:sz="4" w:space="0" w:color="auto"/>
              <w:bottom w:val="single" w:sz="4" w:space="0" w:color="auto"/>
              <w:right w:val="single" w:sz="4" w:space="0" w:color="auto"/>
            </w:tcBorders>
            <w:shd w:val="clear" w:color="auto" w:fill="auto"/>
            <w:vAlign w:val="center"/>
          </w:tcPr>
          <w:p w14:paraId="63903AEE" w14:textId="77777777" w:rsidR="00C232D7" w:rsidRPr="009B3B3C"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9B3B3C">
              <w:rPr>
                <w:rFonts w:ascii="Arial" w:hAnsi="Arial" w:cs="Arial"/>
                <w:b/>
                <w:bCs/>
                <w:color w:val="000000" w:themeColor="text1"/>
                <w:sz w:val="18"/>
                <w:szCs w:val="18"/>
                <w:lang w:val="sq-AL"/>
              </w:rPr>
              <w:t>621,97</w:t>
            </w:r>
          </w:p>
        </w:tc>
      </w:tr>
    </w:tbl>
    <w:p w14:paraId="5E92626C" w14:textId="3F471DAB" w:rsidR="00C232D7" w:rsidRDefault="00C232D7" w:rsidP="00C232D7">
      <w:pPr>
        <w:spacing w:before="120" w:after="120" w:line="360" w:lineRule="auto"/>
        <w:rPr>
          <w:rFonts w:ascii="Arial" w:hAnsi="Arial" w:cs="Arial"/>
          <w:lang w:val="sq-AL"/>
        </w:rPr>
      </w:pPr>
      <w:r w:rsidRPr="002A6F4E">
        <w:rPr>
          <w:rFonts w:ascii="Arial" w:hAnsi="Arial" w:cs="Arial"/>
          <w:lang w:val="sq-AL"/>
        </w:rPr>
        <w:t xml:space="preserve">Kao direktna posljedica pandemije virusa COVID-19, u 2021. godini došlo je do značajnog povećanja količine proizvedenog medicinskog otpada u odnosu na prethodne godine. Proizvedeno je 621,97 tona medicinskog otpada, od čega je 98,9% (oštri instrumenti, infektivni i potencijalno infektivni otpad) predato postrojenjima za </w:t>
      </w:r>
      <w:r w:rsidR="00332036">
        <w:rPr>
          <w:rFonts w:ascii="Arial" w:hAnsi="Arial" w:cs="Arial"/>
          <w:lang w:val="sq-AL"/>
        </w:rPr>
        <w:t>obradu</w:t>
      </w:r>
      <w:r w:rsidR="00332036" w:rsidRPr="002A6F4E">
        <w:rPr>
          <w:rFonts w:ascii="Arial" w:hAnsi="Arial" w:cs="Arial"/>
          <w:lang w:val="sq-AL"/>
        </w:rPr>
        <w:t xml:space="preserve"> </w:t>
      </w:r>
      <w:r w:rsidRPr="002A6F4E">
        <w:rPr>
          <w:rFonts w:ascii="Arial" w:hAnsi="Arial" w:cs="Arial"/>
          <w:lang w:val="sq-AL"/>
        </w:rPr>
        <w:t>medicinskog otpada, 0,5% (patoanatomski otpad) je predato lokalnim pogrebnim preduzećima. Citotoksični i farmaceutski otpad je predat preduzećima ovlašćenim za sakupljanje i izvoz opasnog otpada.</w:t>
      </w:r>
    </w:p>
    <w:p w14:paraId="0966C653" w14:textId="77777777" w:rsidR="00E62109" w:rsidRPr="002A6F4E" w:rsidRDefault="00E62109" w:rsidP="00C232D7">
      <w:pPr>
        <w:spacing w:before="120" w:after="120" w:line="360" w:lineRule="auto"/>
        <w:rPr>
          <w:rFonts w:ascii="Arial" w:hAnsi="Arial" w:cs="Arial"/>
          <w:lang w:val="sq-AL"/>
        </w:rPr>
      </w:pPr>
    </w:p>
    <w:p w14:paraId="30D6AD1D" w14:textId="115AEA26" w:rsidR="00C232D7" w:rsidRPr="00D258BB" w:rsidRDefault="00C232D7" w:rsidP="00C232D7">
      <w:pPr>
        <w:pStyle w:val="Caption"/>
        <w:rPr>
          <w:rFonts w:ascii="Arial" w:hAnsi="Arial" w:cs="Arial"/>
          <w:b w:val="0"/>
          <w:szCs w:val="20"/>
          <w:lang w:val="sq-AL"/>
        </w:rPr>
      </w:pPr>
      <w:bookmarkStart w:id="752" w:name="_Toc190160707"/>
      <w:r w:rsidRPr="00D258BB">
        <w:rPr>
          <w:rFonts w:ascii="Arial" w:hAnsi="Arial" w:cs="Arial"/>
          <w:b w:val="0"/>
          <w:szCs w:val="20"/>
          <w:lang w:val="sq-AL"/>
        </w:rPr>
        <w:lastRenderedPageBreak/>
        <w:t xml:space="preserve">Tabela </w:t>
      </w:r>
      <w:r w:rsidRPr="00D258BB">
        <w:rPr>
          <w:rFonts w:ascii="Arial" w:hAnsi="Arial" w:cs="Arial"/>
          <w:b w:val="0"/>
          <w:szCs w:val="20"/>
          <w:lang w:val="sq-AL"/>
        </w:rPr>
        <w:fldChar w:fldCharType="begin"/>
      </w:r>
      <w:r w:rsidRPr="00D258BB">
        <w:rPr>
          <w:rFonts w:ascii="Arial" w:hAnsi="Arial" w:cs="Arial"/>
          <w:b w:val="0"/>
          <w:szCs w:val="20"/>
          <w:lang w:val="sq-AL"/>
        </w:rPr>
        <w:instrText xml:space="preserve"> SEQ Tabela \* ARABIC </w:instrText>
      </w:r>
      <w:r w:rsidRPr="00D258BB">
        <w:rPr>
          <w:rFonts w:ascii="Arial" w:hAnsi="Arial" w:cs="Arial"/>
          <w:b w:val="0"/>
          <w:szCs w:val="20"/>
          <w:lang w:val="sq-AL"/>
        </w:rPr>
        <w:fldChar w:fldCharType="separate"/>
      </w:r>
      <w:r w:rsidR="007274DA">
        <w:rPr>
          <w:rFonts w:ascii="Arial" w:hAnsi="Arial" w:cs="Arial"/>
          <w:b w:val="0"/>
          <w:noProof/>
          <w:szCs w:val="20"/>
          <w:lang w:val="sq-AL"/>
        </w:rPr>
        <w:t>17</w:t>
      </w:r>
      <w:r w:rsidRPr="00D258BB">
        <w:rPr>
          <w:rFonts w:ascii="Arial" w:hAnsi="Arial" w:cs="Arial"/>
          <w:b w:val="0"/>
          <w:szCs w:val="20"/>
          <w:lang w:val="sq-AL"/>
        </w:rPr>
        <w:fldChar w:fldCharType="end"/>
      </w:r>
      <w:r w:rsidRPr="00D258BB">
        <w:rPr>
          <w:rFonts w:ascii="Arial" w:hAnsi="Arial" w:cs="Arial"/>
          <w:b w:val="0"/>
          <w:szCs w:val="20"/>
          <w:lang w:val="sq-AL"/>
        </w:rPr>
        <w:t xml:space="preserve"> Medicinski otpad iz zdravstvenih ustanova, čiji je osnivač Ministarstvo zdravlja, po vrstama, 2018-2021</w:t>
      </w:r>
      <w:r w:rsidRPr="00EB6AAE">
        <w:rPr>
          <w:rFonts w:ascii="Arial" w:hAnsi="Arial" w:cs="Arial"/>
          <w:b w:val="0"/>
          <w:szCs w:val="20"/>
          <w:lang w:val="sq-AL"/>
        </w:rPr>
        <w:t>.</w:t>
      </w:r>
      <w:bookmarkEnd w:id="752"/>
      <w:r w:rsidR="00D258BB" w:rsidRPr="00EB6AAE">
        <w:rPr>
          <w:rStyle w:val="FootnoteReference"/>
          <w:rFonts w:cs="Arial"/>
          <w:b w:val="0"/>
        </w:rPr>
        <w:footnoteReference w:id="22"/>
      </w:r>
    </w:p>
    <w:tbl>
      <w:tblPr>
        <w:tblStyle w:val="MediumGrid3-Accent41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9"/>
        <w:gridCol w:w="1689"/>
        <w:gridCol w:w="1134"/>
        <w:gridCol w:w="1424"/>
        <w:gridCol w:w="1424"/>
      </w:tblGrid>
      <w:tr w:rsidR="00C232D7" w:rsidRPr="002A6F4E" w14:paraId="1F04082D" w14:textId="77777777" w:rsidTr="00DF049D">
        <w:trPr>
          <w:cnfStyle w:val="100000000000" w:firstRow="1" w:lastRow="0" w:firstColumn="0" w:lastColumn="0" w:oddVBand="0" w:evenVBand="0" w:oddHBand="0"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3409"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36BC103F" w14:textId="77777777" w:rsidR="00C232D7" w:rsidRPr="00F6198B" w:rsidRDefault="00C232D7" w:rsidP="00C232D7">
            <w:pPr>
              <w:autoSpaceDE w:val="0"/>
              <w:autoSpaceDN w:val="0"/>
              <w:adjustRightInd w:val="0"/>
              <w:spacing w:before="60" w:after="60" w:line="360" w:lineRule="auto"/>
              <w:rPr>
                <w:rFonts w:ascii="Arial" w:hAnsi="Arial" w:cs="Arial"/>
                <w:b w:val="0"/>
                <w:bCs w:val="0"/>
                <w:color w:val="000000" w:themeColor="text1"/>
                <w:sz w:val="18"/>
                <w:szCs w:val="18"/>
                <w:lang w:val="sq-AL"/>
              </w:rPr>
            </w:pPr>
            <w:r w:rsidRPr="00F6198B">
              <w:rPr>
                <w:rFonts w:ascii="Arial" w:hAnsi="Arial" w:cs="Arial"/>
                <w:color w:val="000000" w:themeColor="text1"/>
                <w:sz w:val="18"/>
                <w:szCs w:val="18"/>
                <w:lang w:val="sq-AL"/>
              </w:rPr>
              <w:t>Vrsta otpada</w:t>
            </w:r>
          </w:p>
        </w:tc>
        <w:tc>
          <w:tcPr>
            <w:tcW w:w="1689"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67C80B23" w14:textId="77777777" w:rsidR="00C232D7" w:rsidRPr="00F6198B" w:rsidRDefault="00C232D7" w:rsidP="00C232D7">
            <w:pPr>
              <w:autoSpaceDE w:val="0"/>
              <w:autoSpaceDN w:val="0"/>
              <w:adjustRightInd w:val="0"/>
              <w:spacing w:before="60" w:after="60"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8"/>
                <w:szCs w:val="18"/>
                <w:lang w:val="sq-AL"/>
              </w:rPr>
            </w:pPr>
            <w:r w:rsidRPr="00F6198B">
              <w:rPr>
                <w:rFonts w:ascii="Arial" w:hAnsi="Arial" w:cs="Arial"/>
                <w:color w:val="000000" w:themeColor="text1"/>
                <w:sz w:val="18"/>
                <w:szCs w:val="18"/>
                <w:lang w:val="sq-AL"/>
              </w:rPr>
              <w:t>2018</w:t>
            </w:r>
          </w:p>
        </w:tc>
        <w:tc>
          <w:tcPr>
            <w:tcW w:w="1134"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0603E25" w14:textId="77777777" w:rsidR="00C232D7" w:rsidRPr="00F6198B" w:rsidRDefault="00C232D7" w:rsidP="00C232D7">
            <w:pPr>
              <w:autoSpaceDE w:val="0"/>
              <w:autoSpaceDN w:val="0"/>
              <w:adjustRightInd w:val="0"/>
              <w:spacing w:before="60" w:after="60"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8"/>
                <w:szCs w:val="18"/>
                <w:lang w:val="sq-AL"/>
              </w:rPr>
            </w:pPr>
            <w:r w:rsidRPr="00F6198B">
              <w:rPr>
                <w:rFonts w:ascii="Arial" w:hAnsi="Arial" w:cs="Arial"/>
                <w:color w:val="000000" w:themeColor="text1"/>
                <w:sz w:val="18"/>
                <w:szCs w:val="18"/>
                <w:lang w:val="sq-AL"/>
              </w:rPr>
              <w:t>2019</w:t>
            </w:r>
          </w:p>
        </w:tc>
        <w:tc>
          <w:tcPr>
            <w:tcW w:w="1424"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73CD1A9" w14:textId="77777777" w:rsidR="00C232D7" w:rsidRPr="00F6198B" w:rsidRDefault="00C232D7" w:rsidP="00C232D7">
            <w:pPr>
              <w:autoSpaceDE w:val="0"/>
              <w:autoSpaceDN w:val="0"/>
              <w:adjustRightInd w:val="0"/>
              <w:spacing w:before="60" w:after="60"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8"/>
                <w:szCs w:val="18"/>
                <w:lang w:val="sq-AL"/>
              </w:rPr>
            </w:pPr>
            <w:r w:rsidRPr="00F6198B">
              <w:rPr>
                <w:rFonts w:ascii="Arial" w:hAnsi="Arial" w:cs="Arial"/>
                <w:color w:val="000000" w:themeColor="text1"/>
                <w:sz w:val="18"/>
                <w:szCs w:val="18"/>
                <w:lang w:val="sq-AL"/>
              </w:rPr>
              <w:t>2020</w:t>
            </w:r>
          </w:p>
        </w:tc>
        <w:tc>
          <w:tcPr>
            <w:tcW w:w="1424"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4343E70F" w14:textId="77777777" w:rsidR="00C232D7" w:rsidRPr="00F6198B" w:rsidRDefault="00C232D7" w:rsidP="00C232D7">
            <w:pPr>
              <w:autoSpaceDE w:val="0"/>
              <w:autoSpaceDN w:val="0"/>
              <w:adjustRightInd w:val="0"/>
              <w:spacing w:before="60" w:after="60"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18"/>
                <w:szCs w:val="18"/>
                <w:lang w:val="sq-AL"/>
              </w:rPr>
            </w:pPr>
            <w:r w:rsidRPr="00F6198B">
              <w:rPr>
                <w:rFonts w:ascii="Arial" w:hAnsi="Arial" w:cs="Arial"/>
                <w:color w:val="000000" w:themeColor="text1"/>
                <w:sz w:val="18"/>
                <w:szCs w:val="18"/>
                <w:lang w:val="sq-AL"/>
              </w:rPr>
              <w:t>2021</w:t>
            </w:r>
          </w:p>
        </w:tc>
      </w:tr>
      <w:tr w:rsidR="00C232D7" w:rsidRPr="002A6F4E" w14:paraId="1FE3C08F" w14:textId="77777777" w:rsidTr="00DF049D">
        <w:trPr>
          <w:trHeight w:val="384"/>
          <w:jc w:val="center"/>
        </w:trPr>
        <w:tc>
          <w:tcPr>
            <w:cnfStyle w:val="001000000000" w:firstRow="0" w:lastRow="0" w:firstColumn="1" w:lastColumn="0" w:oddVBand="0" w:evenVBand="0" w:oddHBand="0" w:evenHBand="0" w:firstRowFirstColumn="0" w:firstRowLastColumn="0" w:lastRowFirstColumn="0" w:lastRowLastColumn="0"/>
            <w:tcW w:w="3409" w:type="dxa"/>
            <w:tcBorders>
              <w:top w:val="none" w:sz="0" w:space="0" w:color="auto"/>
              <w:left w:val="none" w:sz="0" w:space="0" w:color="auto"/>
              <w:bottom w:val="none" w:sz="0" w:space="0" w:color="auto"/>
              <w:right w:val="none" w:sz="0" w:space="0" w:color="auto"/>
            </w:tcBorders>
            <w:shd w:val="clear" w:color="auto" w:fill="auto"/>
          </w:tcPr>
          <w:p w14:paraId="475579EE" w14:textId="107A496B" w:rsidR="00C232D7" w:rsidRPr="00F6198B" w:rsidRDefault="00C232D7" w:rsidP="00C232D7">
            <w:pPr>
              <w:autoSpaceDE w:val="0"/>
              <w:autoSpaceDN w:val="0"/>
              <w:adjustRightInd w:val="0"/>
              <w:spacing w:before="60" w:after="60" w:line="360" w:lineRule="auto"/>
              <w:rPr>
                <w:rFonts w:ascii="Arial" w:hAnsi="Arial" w:cs="Arial"/>
                <w:color w:val="000000" w:themeColor="text1"/>
                <w:sz w:val="18"/>
                <w:szCs w:val="18"/>
                <w:lang w:val="sq-AL"/>
              </w:rPr>
            </w:pPr>
            <w:r w:rsidRPr="00F6198B">
              <w:rPr>
                <w:rFonts w:ascii="Arial" w:hAnsi="Arial" w:cs="Arial"/>
                <w:color w:val="000000" w:themeColor="text1"/>
                <w:sz w:val="18"/>
                <w:szCs w:val="18"/>
                <w:lang w:val="sq-AL"/>
              </w:rPr>
              <w:t>180101 – oštri instrumenti</w:t>
            </w:r>
          </w:p>
        </w:tc>
        <w:tc>
          <w:tcPr>
            <w:tcW w:w="1689" w:type="dxa"/>
            <w:shd w:val="clear" w:color="auto" w:fill="auto"/>
          </w:tcPr>
          <w:p w14:paraId="13092D6A" w14:textId="77D1F346"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val="sq-AL"/>
              </w:rPr>
            </w:pPr>
          </w:p>
        </w:tc>
        <w:tc>
          <w:tcPr>
            <w:tcW w:w="1134" w:type="dxa"/>
            <w:shd w:val="clear" w:color="auto" w:fill="auto"/>
          </w:tcPr>
          <w:p w14:paraId="7FDD972B" w14:textId="67E8F78A"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val="sq-AL"/>
              </w:rPr>
            </w:pPr>
          </w:p>
        </w:tc>
        <w:tc>
          <w:tcPr>
            <w:tcW w:w="1424" w:type="dxa"/>
            <w:shd w:val="clear" w:color="auto" w:fill="auto"/>
          </w:tcPr>
          <w:p w14:paraId="7C6A55F3" w14:textId="6EF752D8"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val="sq-AL"/>
              </w:rPr>
            </w:pPr>
          </w:p>
        </w:tc>
        <w:tc>
          <w:tcPr>
            <w:tcW w:w="1424" w:type="dxa"/>
            <w:shd w:val="clear" w:color="auto" w:fill="auto"/>
          </w:tcPr>
          <w:p w14:paraId="69A2A6BE" w14:textId="7664AD49"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val="sq-AL"/>
              </w:rPr>
            </w:pPr>
          </w:p>
        </w:tc>
      </w:tr>
      <w:tr w:rsidR="00F6198B" w:rsidRPr="002A6F4E" w14:paraId="13C9500A" w14:textId="77777777" w:rsidTr="00DF049D">
        <w:trPr>
          <w:trHeight w:val="324"/>
          <w:jc w:val="center"/>
        </w:trPr>
        <w:tc>
          <w:tcPr>
            <w:cnfStyle w:val="001000000000" w:firstRow="0" w:lastRow="0" w:firstColumn="1" w:lastColumn="0" w:oddVBand="0" w:evenVBand="0" w:oddHBand="0" w:evenHBand="0" w:firstRowFirstColumn="0" w:firstRowLastColumn="0" w:lastRowFirstColumn="0" w:lastRowLastColumn="0"/>
            <w:tcW w:w="3409" w:type="dxa"/>
            <w:tcBorders>
              <w:top w:val="none" w:sz="0" w:space="0" w:color="auto"/>
              <w:left w:val="none" w:sz="0" w:space="0" w:color="auto"/>
              <w:bottom w:val="none" w:sz="0" w:space="0" w:color="auto"/>
              <w:right w:val="none" w:sz="0" w:space="0" w:color="auto"/>
            </w:tcBorders>
            <w:shd w:val="clear" w:color="auto" w:fill="auto"/>
          </w:tcPr>
          <w:p w14:paraId="05F79A6B" w14:textId="7DBB146E" w:rsidR="00F6198B" w:rsidRPr="00F6198B" w:rsidRDefault="00F6198B" w:rsidP="00F6198B">
            <w:pPr>
              <w:autoSpaceDE w:val="0"/>
              <w:autoSpaceDN w:val="0"/>
              <w:adjustRightInd w:val="0"/>
              <w:spacing w:before="60" w:after="60" w:line="360" w:lineRule="auto"/>
              <w:rPr>
                <w:rFonts w:ascii="Arial" w:hAnsi="Arial" w:cs="Arial"/>
                <w:color w:val="000000" w:themeColor="text1"/>
                <w:sz w:val="18"/>
                <w:szCs w:val="18"/>
                <w:lang w:val="sq-AL"/>
              </w:rPr>
            </w:pPr>
            <w:r w:rsidRPr="00F6198B">
              <w:rPr>
                <w:rFonts w:ascii="Arial" w:hAnsi="Arial" w:cs="Arial"/>
                <w:color w:val="000000" w:themeColor="text1"/>
                <w:sz w:val="18"/>
                <w:szCs w:val="18"/>
                <w:lang w:val="sq-AL"/>
              </w:rPr>
              <w:t>180103</w:t>
            </w:r>
            <w:r w:rsidRPr="00F6198B">
              <w:rPr>
                <w:rFonts w:ascii="Arial" w:hAnsi="Arial" w:cs="Arial"/>
                <w:color w:val="000000" w:themeColor="text1"/>
                <w:sz w:val="18"/>
                <w:szCs w:val="18"/>
                <w:lang w:val="sq-AL"/>
              </w:rPr>
              <w:sym w:font="Symbol" w:char="F02A"/>
            </w:r>
            <w:r w:rsidRPr="00F6198B">
              <w:rPr>
                <w:rFonts w:ascii="Arial" w:hAnsi="Arial" w:cs="Arial"/>
                <w:color w:val="000000" w:themeColor="text1"/>
                <w:sz w:val="18"/>
                <w:szCs w:val="18"/>
                <w:lang w:val="sq-AL"/>
              </w:rPr>
              <w:t xml:space="preserve"> – infektivni otpad</w:t>
            </w:r>
          </w:p>
        </w:tc>
        <w:tc>
          <w:tcPr>
            <w:tcW w:w="1689" w:type="dxa"/>
            <w:shd w:val="clear" w:color="auto" w:fill="auto"/>
          </w:tcPr>
          <w:p w14:paraId="06EBB1B9" w14:textId="5E8D8FC9" w:rsidR="00F6198B" w:rsidRPr="00F6198B" w:rsidRDefault="00F6198B" w:rsidP="00F6198B">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val="sq-AL"/>
              </w:rPr>
            </w:pPr>
            <w:r w:rsidRPr="00F6198B">
              <w:rPr>
                <w:rFonts w:ascii="Arial" w:hAnsi="Arial" w:cs="Arial"/>
                <w:bCs/>
                <w:color w:val="000000" w:themeColor="text1"/>
                <w:sz w:val="18"/>
                <w:szCs w:val="18"/>
                <w:lang w:val="sq-AL"/>
              </w:rPr>
              <w:t>373.30</w:t>
            </w:r>
          </w:p>
        </w:tc>
        <w:tc>
          <w:tcPr>
            <w:tcW w:w="1134" w:type="dxa"/>
            <w:shd w:val="clear" w:color="auto" w:fill="auto"/>
          </w:tcPr>
          <w:p w14:paraId="1B0DB830" w14:textId="22490F9E" w:rsidR="00F6198B" w:rsidRPr="00F6198B" w:rsidRDefault="00F6198B" w:rsidP="00F6198B">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val="sq-AL"/>
              </w:rPr>
            </w:pPr>
            <w:r w:rsidRPr="00F6198B">
              <w:rPr>
                <w:rFonts w:ascii="Arial" w:hAnsi="Arial" w:cs="Arial"/>
                <w:bCs/>
                <w:color w:val="000000" w:themeColor="text1"/>
                <w:sz w:val="18"/>
                <w:szCs w:val="18"/>
                <w:lang w:val="sq-AL"/>
              </w:rPr>
              <w:t>396.70</w:t>
            </w:r>
          </w:p>
        </w:tc>
        <w:tc>
          <w:tcPr>
            <w:tcW w:w="1424" w:type="dxa"/>
            <w:shd w:val="clear" w:color="auto" w:fill="auto"/>
          </w:tcPr>
          <w:p w14:paraId="785FC2D4" w14:textId="7A2B6CBC" w:rsidR="00F6198B" w:rsidRPr="00F6198B" w:rsidRDefault="00F6198B" w:rsidP="00F6198B">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val="sq-AL"/>
              </w:rPr>
            </w:pPr>
            <w:r w:rsidRPr="00F6198B">
              <w:rPr>
                <w:rFonts w:ascii="Arial" w:hAnsi="Arial" w:cs="Arial"/>
                <w:bCs/>
                <w:color w:val="000000" w:themeColor="text1"/>
                <w:sz w:val="18"/>
                <w:szCs w:val="18"/>
                <w:lang w:val="sq-AL"/>
              </w:rPr>
              <w:t>466.10</w:t>
            </w:r>
          </w:p>
        </w:tc>
        <w:tc>
          <w:tcPr>
            <w:tcW w:w="1424" w:type="dxa"/>
            <w:shd w:val="clear" w:color="auto" w:fill="auto"/>
          </w:tcPr>
          <w:p w14:paraId="0CC24477" w14:textId="25422A7C" w:rsidR="00F6198B" w:rsidRPr="00F6198B" w:rsidRDefault="00F6198B" w:rsidP="00F6198B">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val="sq-AL"/>
              </w:rPr>
            </w:pPr>
            <w:r w:rsidRPr="00F6198B">
              <w:rPr>
                <w:rFonts w:ascii="Arial" w:hAnsi="Arial" w:cs="Arial"/>
                <w:bCs/>
                <w:color w:val="000000" w:themeColor="text1"/>
                <w:sz w:val="18"/>
                <w:szCs w:val="18"/>
                <w:lang w:val="sq-AL"/>
              </w:rPr>
              <w:t>615.00</w:t>
            </w:r>
          </w:p>
        </w:tc>
      </w:tr>
      <w:tr w:rsidR="00F6198B" w:rsidRPr="002A6F4E" w14:paraId="3E4D0669" w14:textId="77777777" w:rsidTr="00DF049D">
        <w:trPr>
          <w:trHeight w:val="504"/>
          <w:jc w:val="center"/>
        </w:trPr>
        <w:tc>
          <w:tcPr>
            <w:cnfStyle w:val="001000000000" w:firstRow="0" w:lastRow="0" w:firstColumn="1" w:lastColumn="0" w:oddVBand="0" w:evenVBand="0" w:oddHBand="0" w:evenHBand="0" w:firstRowFirstColumn="0" w:firstRowLastColumn="0" w:lastRowFirstColumn="0" w:lastRowLastColumn="0"/>
            <w:tcW w:w="3409" w:type="dxa"/>
            <w:tcBorders>
              <w:top w:val="none" w:sz="0" w:space="0" w:color="auto"/>
              <w:left w:val="none" w:sz="0" w:space="0" w:color="auto"/>
              <w:bottom w:val="none" w:sz="0" w:space="0" w:color="auto"/>
              <w:right w:val="none" w:sz="0" w:space="0" w:color="auto"/>
            </w:tcBorders>
            <w:shd w:val="clear" w:color="auto" w:fill="auto"/>
          </w:tcPr>
          <w:p w14:paraId="6D24D687" w14:textId="4558E0F6" w:rsidR="00F6198B" w:rsidRPr="00F6198B" w:rsidRDefault="00F6198B" w:rsidP="00F6198B">
            <w:pPr>
              <w:autoSpaceDE w:val="0"/>
              <w:autoSpaceDN w:val="0"/>
              <w:adjustRightInd w:val="0"/>
              <w:spacing w:before="60" w:after="60" w:line="360" w:lineRule="auto"/>
              <w:rPr>
                <w:rFonts w:ascii="Arial" w:hAnsi="Arial" w:cs="Arial"/>
                <w:color w:val="000000" w:themeColor="text1"/>
                <w:sz w:val="18"/>
                <w:szCs w:val="18"/>
                <w:lang w:val="sq-AL"/>
              </w:rPr>
            </w:pPr>
            <w:r w:rsidRPr="00F6198B">
              <w:rPr>
                <w:rFonts w:ascii="Arial" w:hAnsi="Arial" w:cs="Arial"/>
                <w:color w:val="000000" w:themeColor="text1"/>
                <w:sz w:val="18"/>
                <w:szCs w:val="18"/>
                <w:lang w:val="sq-AL"/>
              </w:rPr>
              <w:t>180104 – potencijalno infektivni otpad</w:t>
            </w:r>
          </w:p>
        </w:tc>
        <w:tc>
          <w:tcPr>
            <w:tcW w:w="1689" w:type="dxa"/>
            <w:shd w:val="clear" w:color="auto" w:fill="auto"/>
          </w:tcPr>
          <w:p w14:paraId="3946F533" w14:textId="77777777" w:rsidR="00F6198B" w:rsidRPr="00F6198B" w:rsidRDefault="00F6198B" w:rsidP="00F6198B">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val="sq-AL"/>
              </w:rPr>
            </w:pPr>
          </w:p>
        </w:tc>
        <w:tc>
          <w:tcPr>
            <w:tcW w:w="1134" w:type="dxa"/>
            <w:shd w:val="clear" w:color="auto" w:fill="auto"/>
          </w:tcPr>
          <w:p w14:paraId="72397E9D" w14:textId="77777777" w:rsidR="00F6198B" w:rsidRPr="00F6198B" w:rsidRDefault="00F6198B" w:rsidP="00F6198B">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val="sq-AL"/>
              </w:rPr>
            </w:pPr>
          </w:p>
        </w:tc>
        <w:tc>
          <w:tcPr>
            <w:tcW w:w="1424" w:type="dxa"/>
            <w:shd w:val="clear" w:color="auto" w:fill="auto"/>
          </w:tcPr>
          <w:p w14:paraId="22BB4C1E" w14:textId="77777777" w:rsidR="00F6198B" w:rsidRPr="00F6198B" w:rsidRDefault="00F6198B" w:rsidP="00F6198B">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val="sq-AL"/>
              </w:rPr>
            </w:pPr>
          </w:p>
        </w:tc>
        <w:tc>
          <w:tcPr>
            <w:tcW w:w="1424" w:type="dxa"/>
            <w:shd w:val="clear" w:color="auto" w:fill="auto"/>
          </w:tcPr>
          <w:p w14:paraId="0663D0C7" w14:textId="77777777" w:rsidR="00F6198B" w:rsidRPr="00F6198B" w:rsidRDefault="00F6198B" w:rsidP="00F6198B">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val="sq-AL"/>
              </w:rPr>
            </w:pPr>
          </w:p>
        </w:tc>
      </w:tr>
      <w:tr w:rsidR="00C232D7" w:rsidRPr="002A6F4E" w14:paraId="38223934" w14:textId="77777777" w:rsidTr="00DF049D">
        <w:trPr>
          <w:trHeight w:val="369"/>
          <w:jc w:val="center"/>
        </w:trPr>
        <w:tc>
          <w:tcPr>
            <w:cnfStyle w:val="001000000000" w:firstRow="0" w:lastRow="0" w:firstColumn="1" w:lastColumn="0" w:oddVBand="0" w:evenVBand="0" w:oddHBand="0" w:evenHBand="0" w:firstRowFirstColumn="0" w:firstRowLastColumn="0" w:lastRowFirstColumn="0" w:lastRowLastColumn="0"/>
            <w:tcW w:w="3409" w:type="dxa"/>
            <w:tcBorders>
              <w:top w:val="none" w:sz="0" w:space="0" w:color="auto"/>
              <w:left w:val="none" w:sz="0" w:space="0" w:color="auto"/>
              <w:bottom w:val="none" w:sz="0" w:space="0" w:color="auto"/>
              <w:right w:val="none" w:sz="0" w:space="0" w:color="auto"/>
            </w:tcBorders>
            <w:shd w:val="clear" w:color="auto" w:fill="auto"/>
          </w:tcPr>
          <w:p w14:paraId="7F5EF940" w14:textId="77777777" w:rsidR="00C232D7" w:rsidRPr="00F6198B" w:rsidRDefault="00C232D7" w:rsidP="00C232D7">
            <w:pPr>
              <w:autoSpaceDE w:val="0"/>
              <w:autoSpaceDN w:val="0"/>
              <w:adjustRightInd w:val="0"/>
              <w:spacing w:before="60" w:after="60" w:line="360" w:lineRule="auto"/>
              <w:rPr>
                <w:rFonts w:ascii="Arial" w:hAnsi="Arial" w:cs="Arial"/>
                <w:color w:val="000000" w:themeColor="text1"/>
                <w:sz w:val="18"/>
                <w:szCs w:val="18"/>
                <w:lang w:val="sq-AL"/>
              </w:rPr>
            </w:pPr>
            <w:r w:rsidRPr="00F6198B">
              <w:rPr>
                <w:rFonts w:ascii="Arial" w:hAnsi="Arial" w:cs="Arial"/>
                <w:color w:val="000000" w:themeColor="text1"/>
                <w:sz w:val="18"/>
                <w:szCs w:val="18"/>
                <w:lang w:val="sq-AL"/>
              </w:rPr>
              <w:t>180102 – patoanatomski otpad</w:t>
            </w:r>
          </w:p>
        </w:tc>
        <w:tc>
          <w:tcPr>
            <w:tcW w:w="1689" w:type="dxa"/>
            <w:shd w:val="clear" w:color="auto" w:fill="auto"/>
          </w:tcPr>
          <w:p w14:paraId="798CFB24"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F6198B">
              <w:rPr>
                <w:rFonts w:ascii="Arial" w:hAnsi="Arial" w:cs="Arial"/>
                <w:bCs/>
                <w:color w:val="000000" w:themeColor="text1"/>
                <w:sz w:val="18"/>
                <w:szCs w:val="18"/>
                <w:lang w:val="sq-AL"/>
              </w:rPr>
              <w:t>9.28</w:t>
            </w:r>
          </w:p>
        </w:tc>
        <w:tc>
          <w:tcPr>
            <w:tcW w:w="1134" w:type="dxa"/>
            <w:shd w:val="clear" w:color="auto" w:fill="auto"/>
          </w:tcPr>
          <w:p w14:paraId="308B8DB0"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F6198B">
              <w:rPr>
                <w:rFonts w:ascii="Arial" w:hAnsi="Arial" w:cs="Arial"/>
                <w:bCs/>
                <w:color w:val="000000" w:themeColor="text1"/>
                <w:sz w:val="18"/>
                <w:szCs w:val="18"/>
                <w:lang w:val="sq-AL"/>
              </w:rPr>
              <w:t>5.22</w:t>
            </w:r>
          </w:p>
        </w:tc>
        <w:tc>
          <w:tcPr>
            <w:tcW w:w="1424" w:type="dxa"/>
            <w:shd w:val="clear" w:color="auto" w:fill="auto"/>
          </w:tcPr>
          <w:p w14:paraId="74C76B48"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F6198B">
              <w:rPr>
                <w:rFonts w:ascii="Arial" w:hAnsi="Arial" w:cs="Arial"/>
                <w:bCs/>
                <w:color w:val="000000" w:themeColor="text1"/>
                <w:sz w:val="18"/>
                <w:szCs w:val="18"/>
                <w:lang w:val="sq-AL"/>
              </w:rPr>
              <w:t>8.89</w:t>
            </w:r>
          </w:p>
        </w:tc>
        <w:tc>
          <w:tcPr>
            <w:tcW w:w="1424" w:type="dxa"/>
            <w:shd w:val="clear" w:color="auto" w:fill="auto"/>
          </w:tcPr>
          <w:p w14:paraId="216B9AE6"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val="sq-AL"/>
              </w:rPr>
            </w:pPr>
            <w:r w:rsidRPr="00F6198B">
              <w:rPr>
                <w:rFonts w:ascii="Arial" w:hAnsi="Arial" w:cs="Arial"/>
                <w:bCs/>
                <w:color w:val="000000" w:themeColor="text1"/>
                <w:sz w:val="18"/>
                <w:szCs w:val="18"/>
                <w:lang w:val="sq-AL"/>
              </w:rPr>
              <w:t>3.04</w:t>
            </w:r>
          </w:p>
        </w:tc>
      </w:tr>
      <w:tr w:rsidR="00C232D7" w:rsidRPr="002A6F4E" w14:paraId="1A60981B" w14:textId="77777777" w:rsidTr="00DF049D">
        <w:trPr>
          <w:trHeight w:val="250"/>
          <w:jc w:val="center"/>
        </w:trPr>
        <w:tc>
          <w:tcPr>
            <w:cnfStyle w:val="001000000000" w:firstRow="0" w:lastRow="0" w:firstColumn="1" w:lastColumn="0" w:oddVBand="0" w:evenVBand="0" w:oddHBand="0" w:evenHBand="0" w:firstRowFirstColumn="0" w:firstRowLastColumn="0" w:lastRowFirstColumn="0" w:lastRowLastColumn="0"/>
            <w:tcW w:w="3409" w:type="dxa"/>
            <w:tcBorders>
              <w:top w:val="none" w:sz="0" w:space="0" w:color="auto"/>
              <w:left w:val="none" w:sz="0" w:space="0" w:color="auto"/>
              <w:bottom w:val="none" w:sz="0" w:space="0" w:color="auto"/>
              <w:right w:val="none" w:sz="0" w:space="0" w:color="auto"/>
            </w:tcBorders>
            <w:shd w:val="clear" w:color="auto" w:fill="auto"/>
          </w:tcPr>
          <w:p w14:paraId="13F95CF4" w14:textId="77777777" w:rsidR="00C232D7" w:rsidRPr="00F6198B" w:rsidRDefault="00C232D7" w:rsidP="00C232D7">
            <w:pPr>
              <w:autoSpaceDE w:val="0"/>
              <w:autoSpaceDN w:val="0"/>
              <w:adjustRightInd w:val="0"/>
              <w:spacing w:before="60" w:after="60" w:line="360" w:lineRule="auto"/>
              <w:rPr>
                <w:rFonts w:ascii="Arial" w:hAnsi="Arial" w:cs="Arial"/>
                <w:color w:val="000000" w:themeColor="text1"/>
                <w:sz w:val="18"/>
                <w:szCs w:val="18"/>
                <w:lang w:val="sq-AL"/>
              </w:rPr>
            </w:pPr>
            <w:r w:rsidRPr="00F6198B">
              <w:rPr>
                <w:rFonts w:ascii="Arial" w:hAnsi="Arial" w:cs="Arial"/>
                <w:color w:val="000000" w:themeColor="text1"/>
                <w:sz w:val="18"/>
                <w:szCs w:val="18"/>
                <w:lang w:val="sq-AL"/>
              </w:rPr>
              <w:t>180108</w:t>
            </w:r>
            <w:r w:rsidRPr="00F6198B">
              <w:rPr>
                <w:rFonts w:ascii="Arial" w:hAnsi="Arial" w:cs="Arial"/>
                <w:color w:val="000000" w:themeColor="text1"/>
                <w:sz w:val="18"/>
                <w:szCs w:val="18"/>
                <w:lang w:val="sq-AL"/>
              </w:rPr>
              <w:sym w:font="Symbol" w:char="F02A"/>
            </w:r>
            <w:r w:rsidRPr="00F6198B">
              <w:rPr>
                <w:rFonts w:ascii="Arial" w:hAnsi="Arial" w:cs="Arial"/>
                <w:color w:val="000000" w:themeColor="text1"/>
                <w:sz w:val="18"/>
                <w:szCs w:val="18"/>
                <w:lang w:val="sq-AL"/>
              </w:rPr>
              <w:t xml:space="preserve"> – citotoksični otpad</w:t>
            </w:r>
          </w:p>
        </w:tc>
        <w:tc>
          <w:tcPr>
            <w:tcW w:w="1689" w:type="dxa"/>
            <w:shd w:val="clear" w:color="auto" w:fill="auto"/>
          </w:tcPr>
          <w:p w14:paraId="606FC70B"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F6198B">
              <w:rPr>
                <w:rFonts w:ascii="Arial" w:hAnsi="Arial" w:cs="Arial"/>
                <w:bCs/>
                <w:color w:val="000000" w:themeColor="text1"/>
                <w:sz w:val="18"/>
                <w:szCs w:val="18"/>
                <w:lang w:val="sq-AL"/>
              </w:rPr>
              <w:t>---</w:t>
            </w:r>
          </w:p>
        </w:tc>
        <w:tc>
          <w:tcPr>
            <w:tcW w:w="1134" w:type="dxa"/>
            <w:shd w:val="clear" w:color="auto" w:fill="auto"/>
          </w:tcPr>
          <w:p w14:paraId="3B33D8FF"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F6198B">
              <w:rPr>
                <w:rFonts w:ascii="Arial" w:hAnsi="Arial" w:cs="Arial"/>
                <w:bCs/>
                <w:color w:val="000000" w:themeColor="text1"/>
                <w:sz w:val="18"/>
                <w:szCs w:val="18"/>
                <w:lang w:val="sq-AL"/>
              </w:rPr>
              <w:t>2.16</w:t>
            </w:r>
          </w:p>
        </w:tc>
        <w:tc>
          <w:tcPr>
            <w:tcW w:w="1424" w:type="dxa"/>
            <w:shd w:val="clear" w:color="auto" w:fill="auto"/>
          </w:tcPr>
          <w:p w14:paraId="4F188CF9"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F6198B">
              <w:rPr>
                <w:rFonts w:ascii="Arial" w:hAnsi="Arial" w:cs="Arial"/>
                <w:bCs/>
                <w:color w:val="000000" w:themeColor="text1"/>
                <w:sz w:val="18"/>
                <w:szCs w:val="18"/>
                <w:lang w:val="sq-AL"/>
              </w:rPr>
              <w:t>1.74</w:t>
            </w:r>
          </w:p>
        </w:tc>
        <w:tc>
          <w:tcPr>
            <w:tcW w:w="1424" w:type="dxa"/>
            <w:shd w:val="clear" w:color="auto" w:fill="auto"/>
          </w:tcPr>
          <w:p w14:paraId="7BE4FA3B"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val="sq-AL"/>
              </w:rPr>
            </w:pPr>
            <w:r w:rsidRPr="00F6198B">
              <w:rPr>
                <w:rFonts w:ascii="Arial" w:hAnsi="Arial" w:cs="Arial"/>
                <w:bCs/>
                <w:color w:val="000000" w:themeColor="text1"/>
                <w:sz w:val="18"/>
                <w:szCs w:val="18"/>
                <w:lang w:val="sq-AL"/>
              </w:rPr>
              <w:t>---</w:t>
            </w:r>
          </w:p>
        </w:tc>
      </w:tr>
      <w:tr w:rsidR="00C232D7" w:rsidRPr="002A6F4E" w14:paraId="1635A7EE" w14:textId="77777777" w:rsidTr="00DF049D">
        <w:trPr>
          <w:trHeight w:val="250"/>
          <w:jc w:val="center"/>
        </w:trPr>
        <w:tc>
          <w:tcPr>
            <w:cnfStyle w:val="001000000000" w:firstRow="0" w:lastRow="0" w:firstColumn="1" w:lastColumn="0" w:oddVBand="0" w:evenVBand="0" w:oddHBand="0" w:evenHBand="0" w:firstRowFirstColumn="0" w:firstRowLastColumn="0" w:lastRowFirstColumn="0" w:lastRowLastColumn="0"/>
            <w:tcW w:w="3409" w:type="dxa"/>
            <w:tcBorders>
              <w:top w:val="none" w:sz="0" w:space="0" w:color="auto"/>
              <w:left w:val="none" w:sz="0" w:space="0" w:color="auto"/>
              <w:bottom w:val="none" w:sz="0" w:space="0" w:color="auto"/>
              <w:right w:val="none" w:sz="0" w:space="0" w:color="auto"/>
            </w:tcBorders>
            <w:shd w:val="clear" w:color="auto" w:fill="auto"/>
          </w:tcPr>
          <w:p w14:paraId="06B8023A" w14:textId="77777777" w:rsidR="00C232D7" w:rsidRPr="00F6198B" w:rsidRDefault="00C232D7" w:rsidP="00C232D7">
            <w:pPr>
              <w:autoSpaceDE w:val="0"/>
              <w:autoSpaceDN w:val="0"/>
              <w:adjustRightInd w:val="0"/>
              <w:spacing w:before="60" w:after="60" w:line="360" w:lineRule="auto"/>
              <w:rPr>
                <w:rFonts w:ascii="Arial" w:hAnsi="Arial" w:cs="Arial"/>
                <w:color w:val="000000" w:themeColor="text1"/>
                <w:sz w:val="18"/>
                <w:szCs w:val="18"/>
                <w:lang w:val="sq-AL"/>
              </w:rPr>
            </w:pPr>
            <w:r w:rsidRPr="00F6198B">
              <w:rPr>
                <w:rFonts w:ascii="Arial" w:hAnsi="Arial" w:cs="Arial"/>
                <w:color w:val="000000" w:themeColor="text1"/>
                <w:sz w:val="18"/>
                <w:szCs w:val="18"/>
                <w:lang w:val="sq-AL"/>
              </w:rPr>
              <w:t>180109 – farmaceutski otpad</w:t>
            </w:r>
          </w:p>
        </w:tc>
        <w:tc>
          <w:tcPr>
            <w:tcW w:w="1689" w:type="dxa"/>
            <w:shd w:val="clear" w:color="auto" w:fill="auto"/>
          </w:tcPr>
          <w:p w14:paraId="5C3A2A4F"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F6198B">
              <w:rPr>
                <w:rFonts w:ascii="Arial" w:hAnsi="Arial" w:cs="Arial"/>
                <w:bCs/>
                <w:color w:val="000000" w:themeColor="text1"/>
                <w:sz w:val="18"/>
                <w:szCs w:val="18"/>
                <w:lang w:val="sq-AL"/>
              </w:rPr>
              <w:t>---</w:t>
            </w:r>
          </w:p>
        </w:tc>
        <w:tc>
          <w:tcPr>
            <w:tcW w:w="1134" w:type="dxa"/>
            <w:shd w:val="clear" w:color="auto" w:fill="auto"/>
          </w:tcPr>
          <w:p w14:paraId="3E75FE3A"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F6198B">
              <w:rPr>
                <w:rFonts w:ascii="Arial" w:hAnsi="Arial" w:cs="Arial"/>
                <w:bCs/>
                <w:color w:val="000000" w:themeColor="text1"/>
                <w:sz w:val="18"/>
                <w:szCs w:val="18"/>
                <w:lang w:val="sq-AL"/>
              </w:rPr>
              <w:t>0.62</w:t>
            </w:r>
          </w:p>
        </w:tc>
        <w:tc>
          <w:tcPr>
            <w:tcW w:w="1424" w:type="dxa"/>
            <w:shd w:val="clear" w:color="auto" w:fill="auto"/>
          </w:tcPr>
          <w:p w14:paraId="4FA6D5A1"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F6198B">
              <w:rPr>
                <w:rFonts w:ascii="Arial" w:hAnsi="Arial" w:cs="Arial"/>
                <w:bCs/>
                <w:color w:val="000000" w:themeColor="text1"/>
                <w:sz w:val="18"/>
                <w:szCs w:val="18"/>
                <w:lang w:val="sq-AL"/>
              </w:rPr>
              <w:t>1.61</w:t>
            </w:r>
          </w:p>
        </w:tc>
        <w:tc>
          <w:tcPr>
            <w:tcW w:w="1424" w:type="dxa"/>
            <w:shd w:val="clear" w:color="auto" w:fill="auto"/>
          </w:tcPr>
          <w:p w14:paraId="4E5E642B"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Cs/>
                <w:color w:val="000000" w:themeColor="text1"/>
                <w:sz w:val="18"/>
                <w:szCs w:val="18"/>
                <w:lang w:val="sq-AL"/>
              </w:rPr>
            </w:pPr>
            <w:r w:rsidRPr="00F6198B">
              <w:rPr>
                <w:rFonts w:ascii="Arial" w:hAnsi="Arial" w:cs="Arial"/>
                <w:bCs/>
                <w:color w:val="000000" w:themeColor="text1"/>
                <w:sz w:val="18"/>
                <w:szCs w:val="18"/>
                <w:lang w:val="sq-AL"/>
              </w:rPr>
              <w:t>---</w:t>
            </w:r>
          </w:p>
        </w:tc>
      </w:tr>
      <w:tr w:rsidR="00C232D7" w:rsidRPr="002A6F4E" w14:paraId="1D164C4D" w14:textId="77777777" w:rsidTr="00DF049D">
        <w:trPr>
          <w:trHeight w:val="250"/>
          <w:jc w:val="center"/>
        </w:trPr>
        <w:tc>
          <w:tcPr>
            <w:cnfStyle w:val="001000000000" w:firstRow="0" w:lastRow="0" w:firstColumn="1" w:lastColumn="0" w:oddVBand="0" w:evenVBand="0" w:oddHBand="0" w:evenHBand="0" w:firstRowFirstColumn="0" w:firstRowLastColumn="0" w:lastRowFirstColumn="0" w:lastRowLastColumn="0"/>
            <w:tcW w:w="3409" w:type="dxa"/>
            <w:tcBorders>
              <w:top w:val="none" w:sz="0" w:space="0" w:color="auto"/>
              <w:left w:val="none" w:sz="0" w:space="0" w:color="auto"/>
              <w:right w:val="none" w:sz="0" w:space="0" w:color="auto"/>
            </w:tcBorders>
            <w:shd w:val="clear" w:color="auto" w:fill="auto"/>
          </w:tcPr>
          <w:p w14:paraId="237814ED" w14:textId="77777777" w:rsidR="00C232D7" w:rsidRPr="00F6198B" w:rsidRDefault="00C232D7" w:rsidP="00C232D7">
            <w:pPr>
              <w:autoSpaceDE w:val="0"/>
              <w:autoSpaceDN w:val="0"/>
              <w:adjustRightInd w:val="0"/>
              <w:spacing w:before="60" w:after="60" w:line="360" w:lineRule="auto"/>
              <w:rPr>
                <w:rFonts w:ascii="Arial" w:hAnsi="Arial" w:cs="Arial"/>
                <w:b w:val="0"/>
                <w:bCs w:val="0"/>
                <w:color w:val="000000" w:themeColor="text1"/>
                <w:sz w:val="18"/>
                <w:szCs w:val="18"/>
                <w:lang w:val="sq-AL"/>
              </w:rPr>
            </w:pPr>
            <w:r w:rsidRPr="00F6198B">
              <w:rPr>
                <w:rFonts w:ascii="Arial" w:hAnsi="Arial" w:cs="Arial"/>
                <w:color w:val="000000" w:themeColor="text1"/>
                <w:sz w:val="18"/>
                <w:szCs w:val="18"/>
                <w:lang w:val="sq-AL"/>
              </w:rPr>
              <w:t>Ukupno (tona)</w:t>
            </w:r>
          </w:p>
        </w:tc>
        <w:tc>
          <w:tcPr>
            <w:tcW w:w="1689" w:type="dxa"/>
            <w:shd w:val="clear" w:color="auto" w:fill="auto"/>
          </w:tcPr>
          <w:p w14:paraId="50C79C2B"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F6198B">
              <w:rPr>
                <w:rFonts w:ascii="Arial" w:hAnsi="Arial" w:cs="Arial"/>
                <w:b/>
                <w:bCs/>
                <w:color w:val="000000" w:themeColor="text1"/>
                <w:sz w:val="18"/>
                <w:szCs w:val="18"/>
                <w:lang w:val="sq-AL"/>
              </w:rPr>
              <w:t>382.58</w:t>
            </w:r>
          </w:p>
        </w:tc>
        <w:tc>
          <w:tcPr>
            <w:tcW w:w="1134" w:type="dxa"/>
            <w:shd w:val="clear" w:color="auto" w:fill="auto"/>
          </w:tcPr>
          <w:p w14:paraId="14BEEFD2"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F6198B">
              <w:rPr>
                <w:rFonts w:ascii="Arial" w:hAnsi="Arial" w:cs="Arial"/>
                <w:b/>
                <w:bCs/>
                <w:color w:val="000000" w:themeColor="text1"/>
                <w:sz w:val="18"/>
                <w:szCs w:val="18"/>
                <w:lang w:val="sq-AL"/>
              </w:rPr>
              <w:t>414.70</w:t>
            </w:r>
          </w:p>
        </w:tc>
        <w:tc>
          <w:tcPr>
            <w:tcW w:w="1424" w:type="dxa"/>
            <w:shd w:val="clear" w:color="auto" w:fill="auto"/>
          </w:tcPr>
          <w:p w14:paraId="7C0308BA"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F6198B">
              <w:rPr>
                <w:rFonts w:ascii="Arial" w:hAnsi="Arial" w:cs="Arial"/>
                <w:b/>
                <w:bCs/>
                <w:color w:val="000000" w:themeColor="text1"/>
                <w:sz w:val="18"/>
                <w:szCs w:val="18"/>
                <w:lang w:val="sq-AL"/>
              </w:rPr>
              <w:t>478.34</w:t>
            </w:r>
          </w:p>
        </w:tc>
        <w:tc>
          <w:tcPr>
            <w:tcW w:w="1424" w:type="dxa"/>
            <w:shd w:val="clear" w:color="auto" w:fill="auto"/>
          </w:tcPr>
          <w:p w14:paraId="1B72C5AD" w14:textId="77777777" w:rsidR="00C232D7" w:rsidRPr="00F6198B" w:rsidRDefault="00C232D7" w:rsidP="00C232D7">
            <w:pPr>
              <w:autoSpaceDE w:val="0"/>
              <w:autoSpaceDN w:val="0"/>
              <w:adjustRightInd w:val="0"/>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b/>
                <w:bCs/>
                <w:color w:val="000000" w:themeColor="text1"/>
                <w:sz w:val="18"/>
                <w:szCs w:val="18"/>
                <w:lang w:val="sq-AL"/>
              </w:rPr>
            </w:pPr>
            <w:r w:rsidRPr="00F6198B">
              <w:rPr>
                <w:rFonts w:ascii="Arial" w:hAnsi="Arial" w:cs="Arial"/>
                <w:b/>
                <w:bCs/>
                <w:color w:val="000000" w:themeColor="text1"/>
                <w:sz w:val="18"/>
                <w:szCs w:val="18"/>
                <w:lang w:val="sq-AL"/>
              </w:rPr>
              <w:t>618.04</w:t>
            </w:r>
          </w:p>
        </w:tc>
      </w:tr>
    </w:tbl>
    <w:p w14:paraId="7B79E043" w14:textId="77777777"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Prema podacima o količinama medicinskog otpada, koje je predalo preduzeće „Ekomedika“ (ovlašćeno za preradu medicinskog otpada, čiji se objekti nalaze u Podgorici i Beranama), Ministarstvo zdravlja evidentiralo je da su privatne zdravstvene ustanove u 2020. godini sakupile i predale za preradu 35 tona medicinskog otpada. Ukupno 93% dolazi iz zdravstvenih ustanova čiji je osnivač Ministarstvo zdravlja, a 7% iz privatnih zdravstvenih ustanova.</w:t>
      </w:r>
    </w:p>
    <w:p w14:paraId="0D9D76AF" w14:textId="595BC74C"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Nakon obrade otpada kod koncesionara otpad koji nastaje ima karakteristike m</w:t>
      </w:r>
      <w:r w:rsidR="00DB7E96">
        <w:rPr>
          <w:rFonts w:ascii="Arial" w:hAnsi="Arial" w:cs="Arial"/>
          <w:lang w:val="sq-AL"/>
        </w:rPr>
        <w:t>ij</w:t>
      </w:r>
      <w:r w:rsidRPr="002A6F4E">
        <w:rPr>
          <w:rFonts w:ascii="Arial" w:hAnsi="Arial" w:cs="Arial"/>
          <w:lang w:val="sq-AL"/>
        </w:rPr>
        <w:t>eš</w:t>
      </w:r>
      <w:r w:rsidR="00DB7E96">
        <w:rPr>
          <w:rFonts w:ascii="Arial" w:hAnsi="Arial" w:cs="Arial"/>
          <w:lang w:val="sq-AL"/>
        </w:rPr>
        <w:t>anog</w:t>
      </w:r>
      <w:r w:rsidRPr="002A6F4E">
        <w:rPr>
          <w:rFonts w:ascii="Arial" w:hAnsi="Arial" w:cs="Arial"/>
          <w:lang w:val="sq-AL"/>
        </w:rPr>
        <w:t xml:space="preserve"> komunalnog otpada (prema Pravilniku o klasifikaciji otpada i katalogu otpada</w:t>
      </w:r>
      <w:r w:rsidR="00DB7E96">
        <w:rPr>
          <w:rFonts w:ascii="Arial" w:hAnsi="Arial" w:cs="Arial"/>
          <w:lang w:val="sq-AL"/>
        </w:rPr>
        <w:t>,</w:t>
      </w:r>
      <w:r w:rsidRPr="002A6F4E">
        <w:rPr>
          <w:rFonts w:ascii="Arial" w:hAnsi="Arial" w:cs="Arial"/>
          <w:lang w:val="sq-AL"/>
        </w:rPr>
        <w:t xml:space="preserve"> 20 03 01), koji se odlaže na deponiju, a koji se zbog svih karakteristika može adekvatno koristiti i kao jedna vrsta goriva (RDF prema normi </w:t>
      </w:r>
      <w:r w:rsidRPr="002A6F4E">
        <w:rPr>
          <w:rFonts w:ascii="Arial" w:hAnsi="Arial" w:cs="Arial"/>
          <w:i/>
          <w:iCs/>
          <w:lang w:val="sq-AL"/>
        </w:rPr>
        <w:t>EN15359:2012,</w:t>
      </w:r>
      <w:r w:rsidRPr="002A6F4E">
        <w:rPr>
          <w:rFonts w:ascii="Arial" w:hAnsi="Arial" w:cs="Arial"/>
          <w:lang w:val="sq-AL"/>
        </w:rPr>
        <w:t xml:space="preserve"> prema Pravilniku o klasifikaciji otpada i katalogu otpada 19 12 10), što je i krajnji cilj održivog upravljanja otpadom. Koncesionar dostavlja odgovarajuće Izvještaje Agenciji za zaštitu životne sredine, </w:t>
      </w:r>
      <w:r w:rsidR="00741057">
        <w:rPr>
          <w:rFonts w:ascii="Arial" w:hAnsi="Arial" w:cs="Arial"/>
          <w:lang w:val="sq-AL"/>
        </w:rPr>
        <w:t>Ekološkoj inspekciji</w:t>
      </w:r>
      <w:r w:rsidRPr="002A6F4E">
        <w:rPr>
          <w:rFonts w:ascii="Arial" w:hAnsi="Arial" w:cs="Arial"/>
          <w:lang w:val="sq-AL"/>
        </w:rPr>
        <w:t xml:space="preserve"> i Ministarstvu zdravlja.</w:t>
      </w:r>
    </w:p>
    <w:p w14:paraId="6CDED34A" w14:textId="7ABC50C4" w:rsidR="00C232D7" w:rsidRPr="002A6F4E" w:rsidRDefault="00C232D7" w:rsidP="00C232D7">
      <w:pPr>
        <w:spacing w:line="360" w:lineRule="auto"/>
        <w:rPr>
          <w:rFonts w:ascii="Arial" w:hAnsi="Arial" w:cs="Arial"/>
          <w:lang w:val="sq-AL"/>
        </w:rPr>
      </w:pPr>
      <w:r w:rsidRPr="002A6F4E">
        <w:rPr>
          <w:rFonts w:ascii="Arial" w:hAnsi="Arial" w:cs="Arial"/>
          <w:lang w:val="sq-AL"/>
        </w:rPr>
        <w:t xml:space="preserve">Prema </w:t>
      </w:r>
      <w:r w:rsidRPr="002A6F4E">
        <w:rPr>
          <w:rFonts w:ascii="Arial" w:hAnsi="Arial" w:cs="Arial"/>
          <w:iCs/>
          <w:lang w:val="sq-AL"/>
        </w:rPr>
        <w:t>Zakonu o upravljanju otpadom (</w:t>
      </w:r>
      <w:r w:rsidR="00702DAF" w:rsidRPr="0035491B">
        <w:rPr>
          <w:rFonts w:ascii="Arial" w:hAnsi="Arial" w:cs="Arial"/>
          <w:bCs/>
          <w:lang w:val="sq-AL"/>
        </w:rPr>
        <w:t>"Službeni list Crne Gore",</w:t>
      </w:r>
      <w:r w:rsidR="00702DAF">
        <w:rPr>
          <w:rFonts w:ascii="Arial" w:hAnsi="Arial" w:cs="Arial"/>
          <w:bCs/>
          <w:lang w:val="sq-AL"/>
        </w:rPr>
        <w:t xml:space="preserve"> br</w:t>
      </w:r>
      <w:r w:rsidRPr="002A6F4E">
        <w:rPr>
          <w:rFonts w:ascii="Arial" w:hAnsi="Arial" w:cs="Arial"/>
          <w:iCs/>
          <w:lang w:val="sq-AL"/>
        </w:rPr>
        <w:t>. 34/24</w:t>
      </w:r>
      <w:r w:rsidR="00E616C1">
        <w:rPr>
          <w:rFonts w:ascii="Arial" w:hAnsi="Arial" w:cs="Arial"/>
          <w:iCs/>
          <w:lang w:val="sq-AL"/>
        </w:rPr>
        <w:t>, 92/24</w:t>
      </w:r>
      <w:r w:rsidRPr="002A6F4E">
        <w:rPr>
          <w:rFonts w:ascii="Arial" w:hAnsi="Arial" w:cs="Arial"/>
          <w:iCs/>
          <w:lang w:val="sq-AL"/>
        </w:rPr>
        <w:t>),</w:t>
      </w:r>
      <w:r w:rsidRPr="002A6F4E">
        <w:rPr>
          <w:rFonts w:ascii="Arial" w:hAnsi="Arial" w:cs="Arial"/>
          <w:lang w:val="sq-AL"/>
        </w:rPr>
        <w:t xml:space="preserve"> </w:t>
      </w:r>
      <w:r w:rsidRPr="002A6F4E">
        <w:rPr>
          <w:rFonts w:ascii="Arial" w:hAnsi="Arial" w:cs="Arial"/>
          <w:u w:val="single"/>
          <w:lang w:val="sq-AL"/>
        </w:rPr>
        <w:t>veterinarski otpad</w:t>
      </w:r>
      <w:r w:rsidRPr="002A6F4E">
        <w:rPr>
          <w:rFonts w:ascii="Arial" w:hAnsi="Arial" w:cs="Arial"/>
          <w:lang w:val="sq-AL"/>
        </w:rPr>
        <w:t xml:space="preserve"> nastaje koji nastaje pružanjem veterinarskih usluga, kao i prilikom naučnih ispitivanja i eksperimenata na životinjama. Nusproizvodi životinjskog porijekla su cijela tijela ili djelovi životinja, proizvodi životinjskog porijekla i drugi proizvodi dobijeni od životinja koji nijesu namijenjeni ishrani ljudi, uključujući jajne ćelije, embrione i sjeme, koji ne ispunjavaju propisane veterinarske uslove.</w:t>
      </w:r>
    </w:p>
    <w:p w14:paraId="3B5CB52B" w14:textId="0CC87C1A"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Do sada se ovi nusproizvodi ne zbrinjavaju u potpunosti u skladu sa Zakonom o veterinarstvu</w:t>
      </w:r>
      <w:r w:rsidR="007C4D14">
        <w:rPr>
          <w:rFonts w:ascii="Arial" w:hAnsi="Arial" w:cs="Arial"/>
          <w:lang w:val="sq-AL"/>
        </w:rPr>
        <w:t xml:space="preserve"> </w:t>
      </w:r>
      <w:r w:rsidR="007C4D14" w:rsidRPr="002A6F4E">
        <w:rPr>
          <w:rFonts w:ascii="Arial" w:hAnsi="Arial" w:cs="Arial"/>
          <w:lang w:val="sq-AL"/>
        </w:rPr>
        <w:t>(</w:t>
      </w:r>
      <w:r w:rsidR="007C4D14" w:rsidRPr="0035491B">
        <w:rPr>
          <w:rFonts w:ascii="Arial" w:hAnsi="Arial" w:cs="Arial"/>
          <w:bCs/>
          <w:lang w:val="sq-AL"/>
        </w:rPr>
        <w:t>"Službeni list Crne Gore",</w:t>
      </w:r>
      <w:r w:rsidR="007C4D14">
        <w:rPr>
          <w:rFonts w:ascii="Arial" w:hAnsi="Arial" w:cs="Arial"/>
          <w:bCs/>
          <w:lang w:val="sq-AL"/>
        </w:rPr>
        <w:t xml:space="preserve"> br.</w:t>
      </w:r>
      <w:r w:rsidR="00DB7E96">
        <w:rPr>
          <w:rFonts w:ascii="Arial" w:hAnsi="Arial" w:cs="Arial"/>
          <w:bCs/>
          <w:lang w:val="sq-AL"/>
        </w:rPr>
        <w:t xml:space="preserve"> </w:t>
      </w:r>
      <w:r w:rsidR="007C4D14" w:rsidRPr="002A6F4E">
        <w:rPr>
          <w:rFonts w:ascii="Arial" w:hAnsi="Arial" w:cs="Arial"/>
          <w:lang w:val="sq-AL"/>
        </w:rPr>
        <w:t>30/12, 48/15, 52/16)</w:t>
      </w:r>
      <w:r w:rsidRPr="002A6F4E">
        <w:rPr>
          <w:rFonts w:ascii="Arial" w:hAnsi="Arial" w:cs="Arial"/>
          <w:lang w:val="sq-AL"/>
        </w:rPr>
        <w:t xml:space="preserve">. Sakupljanje i uništavanje nusproizvoda obavljaju komunalne službe lokalnih samouprava – komunalna preduzeća. U skladu sa </w:t>
      </w:r>
      <w:r w:rsidR="00DB7E96">
        <w:rPr>
          <w:rFonts w:ascii="Arial" w:hAnsi="Arial" w:cs="Arial"/>
          <w:lang w:val="sq-AL"/>
        </w:rPr>
        <w:t>pomenutim z</w:t>
      </w:r>
      <w:r w:rsidRPr="002A6F4E">
        <w:rPr>
          <w:rFonts w:ascii="Arial" w:hAnsi="Arial" w:cs="Arial"/>
          <w:lang w:val="sq-AL"/>
        </w:rPr>
        <w:t>akonom, leševi životinja i nusproizvodi životinjskog porijekla mogu se odlagati zakopavanjem ili spaljivanjem na predviđenim lokacijama (stočna groblja ili jame) koja ispunjava propisane uslove, odnosno na licu mjesta ili spaljivanjem. Ovo je trenutni način odlaganja</w:t>
      </w:r>
      <w:r w:rsidR="00DB7E96">
        <w:rPr>
          <w:rFonts w:ascii="Arial" w:hAnsi="Arial" w:cs="Arial"/>
          <w:lang w:val="sq-AL"/>
        </w:rPr>
        <w:t xml:space="preserve"> i</w:t>
      </w:r>
      <w:r w:rsidR="009B3B3C">
        <w:rPr>
          <w:rFonts w:ascii="Arial" w:hAnsi="Arial" w:cs="Arial"/>
          <w:lang w:val="sq-AL"/>
        </w:rPr>
        <w:t xml:space="preserve"> </w:t>
      </w:r>
      <w:r w:rsidR="00DB7E96">
        <w:rPr>
          <w:rFonts w:ascii="Arial" w:hAnsi="Arial" w:cs="Arial"/>
          <w:lang w:val="sq-AL"/>
        </w:rPr>
        <w:t>j</w:t>
      </w:r>
      <w:r w:rsidRPr="002A6F4E">
        <w:rPr>
          <w:rFonts w:ascii="Arial" w:hAnsi="Arial" w:cs="Arial"/>
          <w:lang w:val="sq-AL"/>
        </w:rPr>
        <w:t xml:space="preserve">edinica lokalne samouprave obezbjeđuje </w:t>
      </w:r>
      <w:r w:rsidR="00DB7E96">
        <w:rPr>
          <w:rFonts w:ascii="Arial" w:hAnsi="Arial" w:cs="Arial"/>
          <w:lang w:val="sq-AL"/>
        </w:rPr>
        <w:t>sa</w:t>
      </w:r>
      <w:r w:rsidRPr="002A6F4E">
        <w:rPr>
          <w:rFonts w:ascii="Arial" w:hAnsi="Arial" w:cs="Arial"/>
          <w:lang w:val="sq-AL"/>
        </w:rPr>
        <w:t xml:space="preserve">kupljanje leševa životinja sa javnih površina radi uništavanja, sahranjivanja u grobne jame ili posebno izdvojena mjesta koja ispunjavaju propisane uslove za ovu namjenu. </w:t>
      </w:r>
    </w:p>
    <w:p w14:paraId="6E9F130D" w14:textId="024D9BA2"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lastRenderedPageBreak/>
        <w:t xml:space="preserve">U pogledu </w:t>
      </w:r>
      <w:r w:rsidR="00DB7E96">
        <w:rPr>
          <w:rFonts w:ascii="Arial" w:hAnsi="Arial" w:cs="Arial"/>
          <w:lang w:val="sq-AL"/>
        </w:rPr>
        <w:t>sa</w:t>
      </w:r>
      <w:r w:rsidRPr="002A6F4E">
        <w:rPr>
          <w:rFonts w:ascii="Arial" w:hAnsi="Arial" w:cs="Arial"/>
          <w:lang w:val="sq-AL"/>
        </w:rPr>
        <w:t>kupljanja nusproizvoda iz objekata u kojima se obavlja proizvodnja proizvoda životinjskog porijekla, subjekti imaju zaključene ugovore sa lokalnim komunalnim preduzećima, kojima plaćaju usluge uklanjanja i uništavanja/odlaganja nusproizvoda.</w:t>
      </w:r>
    </w:p>
    <w:p w14:paraId="67AAD128" w14:textId="39757461"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Subjekti u poslovanju hranom životinjskog porekla, u skladu sa Pravilnikom o klasifikaciji i postupanju sa nusproizvodima životinjskog porijekla i metodama prerade nusproizvoda (</w:t>
      </w:r>
      <w:r w:rsidR="00702DAF" w:rsidRPr="0035491B">
        <w:rPr>
          <w:rFonts w:ascii="Arial" w:hAnsi="Arial" w:cs="Arial"/>
          <w:bCs/>
          <w:lang w:val="sq-AL"/>
        </w:rPr>
        <w:t>"Službeni list Crne Gore",</w:t>
      </w:r>
      <w:r w:rsidR="00702DAF">
        <w:rPr>
          <w:rFonts w:ascii="Arial" w:hAnsi="Arial" w:cs="Arial"/>
          <w:bCs/>
          <w:lang w:val="sq-AL"/>
        </w:rPr>
        <w:t xml:space="preserve"> br.</w:t>
      </w:r>
      <w:r w:rsidR="007C4D14">
        <w:rPr>
          <w:rFonts w:ascii="Arial" w:hAnsi="Arial" w:cs="Arial"/>
          <w:bCs/>
          <w:lang w:val="sq-AL"/>
        </w:rPr>
        <w:t xml:space="preserve"> </w:t>
      </w:r>
      <w:r w:rsidRPr="002A6F4E">
        <w:rPr>
          <w:rFonts w:ascii="Arial" w:hAnsi="Arial" w:cs="Arial"/>
          <w:lang w:val="sq-AL"/>
        </w:rPr>
        <w:t>45/15) imaju obavezu da izdvoje nusproizvodi po kategorijama - 1, 2 i 3.</w:t>
      </w:r>
    </w:p>
    <w:p w14:paraId="1F26DA0E" w14:textId="77777777"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Subjekti u poslovanju hranom, u skladu sa zakonom, odgovorni su za pravilnu separaciju i skladištenje nusproizvoda i dužni su da obezbijede njihov transfer u najbliži sabirni objekat ili objekat gdje se prerađuju ili uništavaju na neškodljiv način. U ovom trenutku, nusproizvode direktno preuzima lokalno komunalno preduzeća iz objekata u kojima se proizvode nusproizvodi, na osnovu potpisanih ugovora sa privrednim subjektima prehrambene industrije o zbrinjavanju nusproizvoda.</w:t>
      </w:r>
    </w:p>
    <w:p w14:paraId="3087FB7E" w14:textId="5B164315"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Planom je definisana prerada sterilizacijom nusproizvoda pod pritiskom kao najefikasnija metoda, u skladu sa Metodom 1 Pravilnika o kl</w:t>
      </w:r>
      <w:r w:rsidR="00C6664B">
        <w:rPr>
          <w:rFonts w:ascii="Arial" w:hAnsi="Arial" w:cs="Arial"/>
          <w:lang w:val="sq-AL"/>
        </w:rPr>
        <w:t>asifikaciji i postupanju sa nus</w:t>
      </w:r>
      <w:r w:rsidRPr="002A6F4E">
        <w:rPr>
          <w:rFonts w:ascii="Arial" w:hAnsi="Arial" w:cs="Arial"/>
          <w:lang w:val="sq-AL"/>
        </w:rPr>
        <w:t>proizvodima životinjskog porijekla i metodama prerade nusproizvoda.</w:t>
      </w:r>
    </w:p>
    <w:p w14:paraId="6BC7D149" w14:textId="6C7DABD9"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 xml:space="preserve">Kroz </w:t>
      </w:r>
      <w:r w:rsidRPr="002A6F4E">
        <w:rPr>
          <w:rFonts w:ascii="Arial" w:hAnsi="Arial" w:cs="Arial"/>
          <w:i/>
          <w:iCs/>
          <w:lang w:val="sq-AL"/>
        </w:rPr>
        <w:t>MIDAS projekat Svjetske banke</w:t>
      </w:r>
      <w:r w:rsidRPr="002A6F4E">
        <w:rPr>
          <w:rFonts w:ascii="Arial" w:hAnsi="Arial" w:cs="Arial"/>
          <w:lang w:val="sq-AL"/>
        </w:rPr>
        <w:t xml:space="preserve"> urađene su dvije studije izvodljivosti u okviru kojih su urađene procjene nusproizvoda. Ove dvije procjene dale su različite rezultate</w:t>
      </w:r>
      <w:r w:rsidR="00DB7E96">
        <w:rPr>
          <w:rFonts w:ascii="Arial" w:hAnsi="Arial" w:cs="Arial"/>
          <w:lang w:val="sq-AL"/>
        </w:rPr>
        <w:t xml:space="preserve"> i</w:t>
      </w:r>
      <w:r w:rsidR="009B3B3C">
        <w:rPr>
          <w:rFonts w:ascii="Arial" w:hAnsi="Arial" w:cs="Arial"/>
          <w:lang w:val="sq-AL"/>
        </w:rPr>
        <w:t xml:space="preserve"> </w:t>
      </w:r>
      <w:r w:rsidR="00DB7E96">
        <w:rPr>
          <w:rFonts w:ascii="Arial" w:hAnsi="Arial" w:cs="Arial"/>
          <w:lang w:val="sq-AL"/>
        </w:rPr>
        <w:t>p</w:t>
      </w:r>
      <w:r w:rsidRPr="002A6F4E">
        <w:rPr>
          <w:rFonts w:ascii="Arial" w:hAnsi="Arial" w:cs="Arial"/>
          <w:lang w:val="sq-AL"/>
        </w:rPr>
        <w:t xml:space="preserve">rema prvoj studiji, količine nusproizvoda životinjskog porijekla iznose </w:t>
      </w:r>
      <w:r w:rsidRPr="00E62109">
        <w:rPr>
          <w:rFonts w:ascii="Arial" w:hAnsi="Arial" w:cs="Arial"/>
          <w:lang w:val="sq-AL"/>
        </w:rPr>
        <w:t xml:space="preserve">između </w:t>
      </w:r>
      <w:r w:rsidRPr="0033753D">
        <w:rPr>
          <w:rFonts w:ascii="Arial" w:hAnsi="Arial" w:cs="Arial"/>
          <w:lang w:val="sq-AL"/>
        </w:rPr>
        <w:t>18-21.000</w:t>
      </w:r>
      <w:r w:rsidRPr="002A6F4E">
        <w:rPr>
          <w:rFonts w:ascii="Arial" w:hAnsi="Arial" w:cs="Arial"/>
          <w:lang w:val="sq-AL"/>
        </w:rPr>
        <w:t xml:space="preserve"> tona godišnje, a prema drugoj oko 6.000 tona godišnje.</w:t>
      </w:r>
      <w:r w:rsidR="0033753D">
        <w:rPr>
          <w:rFonts w:ascii="Arial" w:hAnsi="Arial" w:cs="Arial"/>
          <w:lang w:val="sq-AL"/>
        </w:rPr>
        <w:t xml:space="preserve"> Pored ovih radjeno je jo</w:t>
      </w:r>
      <w:r w:rsidR="0033753D" w:rsidRPr="002A6F4E">
        <w:rPr>
          <w:rFonts w:ascii="Arial" w:hAnsi="Arial" w:cs="Arial"/>
          <w:lang w:val="sq-AL"/>
        </w:rPr>
        <w:t>š</w:t>
      </w:r>
      <w:r w:rsidR="0033753D">
        <w:rPr>
          <w:rFonts w:ascii="Arial" w:hAnsi="Arial" w:cs="Arial"/>
          <w:lang w:val="sq-AL"/>
        </w:rPr>
        <w:t xml:space="preserve"> procjena od strane drugih me</w:t>
      </w:r>
      <w:r w:rsidR="00C6664B" w:rsidRPr="002A6F4E">
        <w:rPr>
          <w:rFonts w:ascii="Arial" w:hAnsi="Arial" w:cs="Arial"/>
          <w:lang w:val="sq-AL"/>
        </w:rPr>
        <w:t>đ</w:t>
      </w:r>
      <w:r w:rsidR="0033753D">
        <w:rPr>
          <w:rFonts w:ascii="Arial" w:hAnsi="Arial" w:cs="Arial"/>
          <w:lang w:val="sq-AL"/>
        </w:rPr>
        <w:t>unarodnih konsul</w:t>
      </w:r>
      <w:r w:rsidR="0034278A">
        <w:rPr>
          <w:rFonts w:ascii="Arial" w:hAnsi="Arial" w:cs="Arial"/>
          <w:lang w:val="sq-AL"/>
        </w:rPr>
        <w:t>tanata i prema procjeni Uprave za bez</w:t>
      </w:r>
      <w:r w:rsidR="0033753D">
        <w:rPr>
          <w:rFonts w:ascii="Arial" w:hAnsi="Arial" w:cs="Arial"/>
          <w:lang w:val="sq-AL"/>
        </w:rPr>
        <w:t>bjednost hrane optima</w:t>
      </w:r>
      <w:r w:rsidR="0034278A">
        <w:rPr>
          <w:rFonts w:ascii="Arial" w:hAnsi="Arial" w:cs="Arial"/>
          <w:lang w:val="sq-AL"/>
        </w:rPr>
        <w:t>lna koli</w:t>
      </w:r>
      <w:r w:rsidR="0034278A" w:rsidRPr="002A6F4E">
        <w:rPr>
          <w:rFonts w:ascii="Arial" w:hAnsi="Arial" w:cs="Arial"/>
          <w:lang w:val="sq-AL"/>
        </w:rPr>
        <w:t>č</w:t>
      </w:r>
      <w:r w:rsidR="0033753D">
        <w:rPr>
          <w:rFonts w:ascii="Arial" w:hAnsi="Arial" w:cs="Arial"/>
          <w:lang w:val="sq-AL"/>
        </w:rPr>
        <w:t>ina je 8-10.000 tona.</w:t>
      </w:r>
    </w:p>
    <w:p w14:paraId="6BB4C66B" w14:textId="73CC5B69"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 xml:space="preserve">Količine nusproizvoda proizvedenih u Crnoj Gori je teško procijeniti, s obzirom da još uvijek ne postoji podjela kategorija u svim objektima, ne postoji precizna evidencija uginuća životinja na farmama, lokalna komunalna preduzeća ne vode evidenciju uginulih životinja, i dalje je prisutna tradicija </w:t>
      </w:r>
      <w:r w:rsidR="00F57909">
        <w:rPr>
          <w:rFonts w:ascii="Arial" w:hAnsi="Arial" w:cs="Arial"/>
          <w:lang w:val="sq-AL"/>
        </w:rPr>
        <w:t>usmrćivanja životinja</w:t>
      </w:r>
      <w:r w:rsidRPr="002A6F4E">
        <w:rPr>
          <w:rFonts w:ascii="Arial" w:hAnsi="Arial" w:cs="Arial"/>
          <w:lang w:val="sq-AL"/>
        </w:rPr>
        <w:t xml:space="preserve"> na farma</w:t>
      </w:r>
      <w:r w:rsidR="00741057">
        <w:rPr>
          <w:rFonts w:ascii="Arial" w:hAnsi="Arial" w:cs="Arial"/>
          <w:lang w:val="sq-AL"/>
        </w:rPr>
        <w:t>ma</w:t>
      </w:r>
      <w:r w:rsidRPr="002A6F4E">
        <w:rPr>
          <w:rFonts w:ascii="Arial" w:hAnsi="Arial" w:cs="Arial"/>
          <w:lang w:val="sq-AL"/>
        </w:rPr>
        <w:t xml:space="preserve"> za sopstvene potrebe i sl.</w:t>
      </w:r>
    </w:p>
    <w:p w14:paraId="112CDC1A" w14:textId="121E4A04" w:rsidR="00C232D7" w:rsidRPr="002A6F4E" w:rsidRDefault="00C232D7" w:rsidP="00C232D7">
      <w:pPr>
        <w:autoSpaceDE w:val="0"/>
        <w:autoSpaceDN w:val="0"/>
        <w:adjustRightInd w:val="0"/>
        <w:spacing w:before="120" w:after="120" w:line="360" w:lineRule="auto"/>
        <w:rPr>
          <w:rFonts w:ascii="Arial" w:hAnsi="Arial" w:cs="Arial"/>
          <w:lang w:val="sq-AL"/>
        </w:rPr>
      </w:pPr>
      <w:r w:rsidRPr="007C4D14">
        <w:rPr>
          <w:rFonts w:ascii="Arial" w:hAnsi="Arial" w:cs="Arial"/>
          <w:iCs/>
          <w:lang w:val="sq-AL"/>
        </w:rPr>
        <w:t>Pravilnikom o klasifikaciji i postupanju sa nusproizvodima životinjskog porijekla i metodama prerade nusproizvoda</w:t>
      </w:r>
      <w:r w:rsidR="003561CC">
        <w:rPr>
          <w:rFonts w:ascii="Arial" w:hAnsi="Arial" w:cs="Arial"/>
          <w:iCs/>
          <w:lang w:val="sq-AL"/>
        </w:rPr>
        <w:t>,</w:t>
      </w:r>
      <w:r w:rsidRPr="007C4D14">
        <w:rPr>
          <w:rFonts w:ascii="Arial" w:hAnsi="Arial" w:cs="Arial"/>
          <w:lang w:val="sq-AL"/>
        </w:rPr>
        <w:t xml:space="preserve"> propisuje</w:t>
      </w:r>
      <w:r w:rsidRPr="002A6F4E">
        <w:rPr>
          <w:rFonts w:ascii="Arial" w:hAnsi="Arial" w:cs="Arial"/>
          <w:lang w:val="sq-AL"/>
        </w:rPr>
        <w:t xml:space="preserve"> odobrene metode za odlaganje nusproizvoda. Nakon sprovedenih analiza, brojnih konsultacija i studijskih posjeta, izabrana je metoda koja je primjerena za Crnu Goru, uzimajući u obzir količine nusproizvoda, kriterijume zaštite životne sredine, a to je metoda prerade nusproizvoda sterilizacijom pod pritiskom.</w:t>
      </w:r>
    </w:p>
    <w:p w14:paraId="01049436" w14:textId="361824DD"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 xml:space="preserve">U skladu sa Zakonom o veterinarstvu, Vlada Crne Gore je donijela Plan upravljanja nusproizvodima životinjskog porekla koji </w:t>
      </w:r>
      <w:r w:rsidR="00951F47">
        <w:rPr>
          <w:rFonts w:ascii="Arial" w:hAnsi="Arial" w:cs="Arial"/>
          <w:lang w:val="sq-AL" w:eastAsia="pl-PL"/>
        </w:rPr>
        <w:t>nijesu</w:t>
      </w:r>
      <w:r w:rsidRPr="002A6F4E">
        <w:rPr>
          <w:rFonts w:ascii="Arial" w:hAnsi="Arial" w:cs="Arial"/>
          <w:lang w:val="sq-AL"/>
        </w:rPr>
        <w:t xml:space="preserve"> namijenjeni za ishranu ljudi, za period od pet godina (Odluka Vlade Crne Gore</w:t>
      </w:r>
      <w:r w:rsidR="008B639C">
        <w:rPr>
          <w:rFonts w:ascii="Arial" w:hAnsi="Arial" w:cs="Arial"/>
          <w:lang w:val="sq-AL"/>
        </w:rPr>
        <w:t>,</w:t>
      </w:r>
      <w:r w:rsidRPr="002A6F4E">
        <w:rPr>
          <w:rFonts w:ascii="Arial" w:hAnsi="Arial" w:cs="Arial"/>
          <w:lang w:val="sq-AL"/>
        </w:rPr>
        <w:t xml:space="preserve"> br. </w:t>
      </w:r>
      <w:r w:rsidRPr="00F57909">
        <w:rPr>
          <w:rFonts w:ascii="Arial" w:hAnsi="Arial" w:cs="Arial"/>
          <w:lang w:val="sq-AL"/>
        </w:rPr>
        <w:t>07-3317 od 28.06.2018. godine</w:t>
      </w:r>
      <w:r w:rsidRPr="002A6F4E">
        <w:rPr>
          <w:rFonts w:ascii="Arial" w:hAnsi="Arial" w:cs="Arial"/>
          <w:lang w:val="sq-AL"/>
        </w:rPr>
        <w:t>). Za Crnu Goru, potrebna je izgradnja objekta za preradu nusproizvoda kapaciteta 10.000 tona godišnje, odnosno 30</w:t>
      </w:r>
      <w:r w:rsidR="008B639C">
        <w:rPr>
          <w:rFonts w:ascii="Arial" w:hAnsi="Arial" w:cs="Arial"/>
          <w:lang w:val="sq-AL"/>
        </w:rPr>
        <w:t xml:space="preserve"> </w:t>
      </w:r>
      <w:r w:rsidRPr="002A6F4E">
        <w:rPr>
          <w:rFonts w:ascii="Arial" w:hAnsi="Arial" w:cs="Arial"/>
          <w:lang w:val="sq-AL"/>
        </w:rPr>
        <w:t xml:space="preserve">t/dan. </w:t>
      </w:r>
    </w:p>
    <w:p w14:paraId="27B68907" w14:textId="70171211" w:rsidR="00C232D7" w:rsidRPr="002A6F4E" w:rsidRDefault="00C232D7" w:rsidP="00C232D7">
      <w:pPr>
        <w:autoSpaceDE w:val="0"/>
        <w:autoSpaceDN w:val="0"/>
        <w:adjustRightInd w:val="0"/>
        <w:spacing w:before="120" w:after="120" w:line="360" w:lineRule="auto"/>
        <w:rPr>
          <w:rFonts w:ascii="Arial" w:hAnsi="Arial" w:cs="Arial"/>
          <w:bCs/>
          <w:lang w:val="sq-AL"/>
        </w:rPr>
      </w:pPr>
      <w:r w:rsidRPr="002A6F4E">
        <w:rPr>
          <w:rFonts w:ascii="Arial" w:hAnsi="Arial" w:cs="Arial"/>
          <w:lang w:val="sq-AL"/>
        </w:rPr>
        <w:t>U prvoj fazi prerade nusproizvoda kao krajnji proizvod dobijalo bi se mesno-koštano brašno i tehnička mast. Obzirom da su ovi proizvodi rezultat prerade nerazdvojenih kategorija nusproizvoda, dobijeni proizvodi bi se smatrali kategorijom 1 i sa tim dobijenim proizvodima (mesno-koštano brašno) bi se postupalo na način propisan za mesno-koštano brašno dobijeno preradom kategorije 1 nusproizvoda, tako da ga je neophodno</w:t>
      </w:r>
      <w:r w:rsidRPr="002A6F4E">
        <w:rPr>
          <w:rFonts w:ascii="Arial" w:hAnsi="Arial" w:cs="Arial"/>
          <w:color w:val="111111"/>
          <w:shd w:val="clear" w:color="auto" w:fill="F7F7F7"/>
          <w:lang w:val="sq-AL"/>
        </w:rPr>
        <w:t xml:space="preserve"> </w:t>
      </w:r>
      <w:r w:rsidR="008B639C">
        <w:rPr>
          <w:rFonts w:ascii="Arial" w:hAnsi="Arial" w:cs="Arial"/>
          <w:color w:val="111111"/>
          <w:shd w:val="clear" w:color="auto" w:fill="F7F7F7"/>
          <w:lang w:val="sq-AL"/>
        </w:rPr>
        <w:t>obraditi</w:t>
      </w:r>
      <w:r w:rsidR="00741057">
        <w:rPr>
          <w:rFonts w:ascii="Arial" w:hAnsi="Arial" w:cs="Arial"/>
          <w:color w:val="111111"/>
          <w:shd w:val="clear" w:color="auto" w:fill="F7F7F7"/>
          <w:lang w:val="sq-AL"/>
        </w:rPr>
        <w:t>:</w:t>
      </w:r>
    </w:p>
    <w:p w14:paraId="20B387DF" w14:textId="385BB1FB" w:rsidR="00C232D7" w:rsidRPr="002A6F4E" w:rsidRDefault="00C232D7" w:rsidP="00A23ED0">
      <w:pPr>
        <w:pStyle w:val="ListParagraph"/>
        <w:numPr>
          <w:ilvl w:val="0"/>
          <w:numId w:val="71"/>
        </w:numPr>
        <w:tabs>
          <w:tab w:val="left" w:pos="284"/>
        </w:tabs>
        <w:spacing w:before="120" w:after="120" w:line="360" w:lineRule="auto"/>
        <w:contextualSpacing w:val="0"/>
        <w:rPr>
          <w:rFonts w:ascii="Arial" w:hAnsi="Arial" w:cs="Arial"/>
          <w:bCs/>
          <w:lang w:val="sq-AL"/>
        </w:rPr>
      </w:pPr>
      <w:r w:rsidRPr="002A6F4E">
        <w:rPr>
          <w:rFonts w:ascii="Arial" w:hAnsi="Arial" w:cs="Arial"/>
          <w:bCs/>
          <w:lang w:val="sq-AL"/>
        </w:rPr>
        <w:lastRenderedPageBreak/>
        <w:t>spaljivanjem u nekom od postojećih objekata za spaljivanje (termoelektrane, željezare, spalionice) u državi ili inostranstvu (mesno i koštano brašno se može koristiti kao e</w:t>
      </w:r>
      <w:r w:rsidR="003D499F">
        <w:rPr>
          <w:rFonts w:ascii="Arial" w:hAnsi="Arial" w:cs="Arial"/>
          <w:bCs/>
          <w:lang w:val="sq-AL"/>
        </w:rPr>
        <w:t>n</w:t>
      </w:r>
      <w:r w:rsidRPr="002A6F4E">
        <w:rPr>
          <w:rFonts w:ascii="Arial" w:hAnsi="Arial" w:cs="Arial"/>
          <w:bCs/>
          <w:lang w:val="sq-AL"/>
        </w:rPr>
        <w:t>er</w:t>
      </w:r>
      <w:r w:rsidR="003D499F">
        <w:rPr>
          <w:rFonts w:ascii="Arial" w:hAnsi="Arial" w:cs="Arial"/>
          <w:bCs/>
          <w:lang w:val="sq-AL"/>
        </w:rPr>
        <w:t>g</w:t>
      </w:r>
      <w:r w:rsidRPr="002A6F4E">
        <w:rPr>
          <w:rFonts w:ascii="Arial" w:hAnsi="Arial" w:cs="Arial"/>
          <w:bCs/>
          <w:lang w:val="sq-AL"/>
        </w:rPr>
        <w:t>ent visoke kalorične vrijednosti približno uglju), ili</w:t>
      </w:r>
    </w:p>
    <w:p w14:paraId="22702914" w14:textId="2D299099" w:rsidR="00C232D7" w:rsidRPr="002A6F4E" w:rsidRDefault="00C232D7" w:rsidP="00A23ED0">
      <w:pPr>
        <w:pStyle w:val="ListParagraph"/>
        <w:numPr>
          <w:ilvl w:val="0"/>
          <w:numId w:val="71"/>
        </w:numPr>
        <w:tabs>
          <w:tab w:val="left" w:pos="284"/>
        </w:tabs>
        <w:spacing w:before="120" w:after="120" w:line="360" w:lineRule="auto"/>
        <w:contextualSpacing w:val="0"/>
        <w:rPr>
          <w:rFonts w:ascii="Arial" w:hAnsi="Arial" w:cs="Arial"/>
          <w:bCs/>
          <w:lang w:val="sq-AL"/>
        </w:rPr>
      </w:pPr>
      <w:r w:rsidRPr="002A6F4E">
        <w:rPr>
          <w:rFonts w:ascii="Arial" w:hAnsi="Arial" w:cs="Arial"/>
          <w:bCs/>
          <w:lang w:val="sq-AL"/>
        </w:rPr>
        <w:t xml:space="preserve"> zakopavanjem </w:t>
      </w:r>
      <w:r w:rsidR="008B639C" w:rsidRPr="00F57909">
        <w:rPr>
          <w:rFonts w:ascii="Arial" w:hAnsi="Arial" w:cs="Arial"/>
          <w:bCs/>
          <w:lang w:val="sq-AL"/>
        </w:rPr>
        <w:t>na odlagalištu</w:t>
      </w:r>
      <w:r w:rsidRPr="002A6F4E">
        <w:rPr>
          <w:rFonts w:ascii="Arial" w:hAnsi="Arial" w:cs="Arial"/>
          <w:bCs/>
          <w:lang w:val="sq-AL"/>
        </w:rPr>
        <w:t xml:space="preserve"> po propisanim uslovima</w:t>
      </w:r>
      <w:r w:rsidR="00AC4003">
        <w:rPr>
          <w:rFonts w:ascii="Arial" w:hAnsi="Arial" w:cs="Arial"/>
          <w:bCs/>
          <w:lang w:val="sq-AL"/>
        </w:rPr>
        <w:t>.</w:t>
      </w:r>
    </w:p>
    <w:p w14:paraId="43E4A2CB" w14:textId="77777777"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Predviđeno je da objekat za preradu bude pod jednom krovnom konstrukcijom, ali sa dvije potpuno fizički odvojene cjeline, koje će nakon što se za to stvore uslovi (pravilno odvajanje nusporizvoda) biti pregrađen tako da će sa već ugrađenom opremom biti osposobljen za preradu kategorije 1 i 2 u jednom dijelu i kategorije 3 u drugom dijelu.</w:t>
      </w:r>
    </w:p>
    <w:p w14:paraId="3546229F" w14:textId="4110C0AD"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U prvoj fazi izgradio bi se objekat u kojem će se prerađivati ukupna količina sakupljenih nusproizvoda kapaciteta 10.000 tona godišnje sa svim pratećim objektima (biofiltersko postrojenje za prečišćavanje kontaminiranog vazduha i prečišćavanje otpadnih voda, postrojenje za predtretman – postr</w:t>
      </w:r>
      <w:r w:rsidR="008E46A3">
        <w:rPr>
          <w:rFonts w:ascii="Arial" w:hAnsi="Arial" w:cs="Arial"/>
          <w:lang w:val="sq-AL"/>
        </w:rPr>
        <w:t>o</w:t>
      </w:r>
      <w:r w:rsidRPr="002A6F4E">
        <w:rPr>
          <w:rFonts w:ascii="Arial" w:hAnsi="Arial" w:cs="Arial"/>
          <w:lang w:val="sq-AL"/>
        </w:rPr>
        <w:t xml:space="preserve">jenje za snabdijevanje električnom energijom - trafostanica). </w:t>
      </w:r>
    </w:p>
    <w:p w14:paraId="5EAAF9E3" w14:textId="6FA1676C"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Planirano je da se sva potrebna mehanička oprema za izgradnju objekta za preradu nusproizoda odmah obezbijedi, da se izgrade svi neophodni kapaciteti i da se prateći objekti - biofiltersko postrojenje za prečišćavanje kontaminiranog vazduha i prečišćavanje otpadnih voda, postrojenje za predtretman – postr</w:t>
      </w:r>
      <w:r w:rsidR="008E46A3">
        <w:rPr>
          <w:rFonts w:ascii="Arial" w:hAnsi="Arial" w:cs="Arial"/>
          <w:lang w:val="sq-AL"/>
        </w:rPr>
        <w:t>o</w:t>
      </w:r>
      <w:r w:rsidRPr="002A6F4E">
        <w:rPr>
          <w:rFonts w:ascii="Arial" w:hAnsi="Arial" w:cs="Arial"/>
          <w:lang w:val="sq-AL"/>
        </w:rPr>
        <w:t xml:space="preserve">jenje za snabdijevanje električnom energijom – trafostanica, grade odmah i za cijeli objekat. </w:t>
      </w:r>
    </w:p>
    <w:p w14:paraId="60416848" w14:textId="240425C7" w:rsidR="00C232D7" w:rsidRPr="007C58FB" w:rsidRDefault="003D1C94" w:rsidP="00F57909">
      <w:pPr>
        <w:pStyle w:val="Heading2"/>
      </w:pPr>
      <w:bookmarkStart w:id="753" w:name="_Toc193353989"/>
      <w:r w:rsidRPr="007C58FB">
        <w:t>4.1</w:t>
      </w:r>
      <w:r w:rsidR="00181ED4">
        <w:t>5</w:t>
      </w:r>
      <w:r w:rsidR="00C232D7" w:rsidRPr="007C58FB">
        <w:t>. Građevinski otpad i otpad od rušenja</w:t>
      </w:r>
      <w:bookmarkEnd w:id="753"/>
    </w:p>
    <w:p w14:paraId="484A84CC" w14:textId="03C50F1F"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Građevinski otpad i otpad od rušenja odnosi se na otpad koji nastaje iz građevinskih aktivnosti (</w:t>
      </w:r>
      <w:r w:rsidR="008B639C">
        <w:rPr>
          <w:rFonts w:ascii="Arial" w:hAnsi="Arial" w:cs="Arial"/>
          <w:lang w:val="sq-AL"/>
        </w:rPr>
        <w:t>gradnja</w:t>
      </w:r>
      <w:r w:rsidR="008B639C" w:rsidRPr="002A6F4E">
        <w:rPr>
          <w:rFonts w:ascii="Arial" w:hAnsi="Arial" w:cs="Arial"/>
          <w:lang w:val="sq-AL"/>
        </w:rPr>
        <w:t xml:space="preserve"> </w:t>
      </w:r>
      <w:r w:rsidRPr="002A6F4E">
        <w:rPr>
          <w:rFonts w:ascii="Arial" w:hAnsi="Arial" w:cs="Arial"/>
          <w:lang w:val="sq-AL"/>
        </w:rPr>
        <w:t xml:space="preserve">objekata, rušenje, renoviranje, popravke i sl), kao i iz infrastrukturnih tehničkih projekata (izgradnja, demontaža, obnova autoputeva ili željeznice, kanalizacione mreže, i </w:t>
      </w:r>
      <w:r w:rsidRPr="00F57909">
        <w:rPr>
          <w:rFonts w:ascii="Arial" w:hAnsi="Arial" w:cs="Arial"/>
          <w:lang w:val="sq-AL"/>
        </w:rPr>
        <w:t>sl</w:t>
      </w:r>
      <w:r w:rsidRPr="002A6F4E">
        <w:rPr>
          <w:rFonts w:ascii="Arial" w:hAnsi="Arial" w:cs="Arial"/>
          <w:lang w:val="sq-AL"/>
        </w:rPr>
        <w:t>), iskopavanja i elementarnih nepogoda. Građevinski otpad i otpad od rušenja su kategorisani u poglavlju 17 Evropskog kataloga otpada (EKO) uključujući:</w:t>
      </w:r>
    </w:p>
    <w:p w14:paraId="6DD55C80" w14:textId="77777777" w:rsidR="00C232D7" w:rsidRPr="002A6F4E" w:rsidRDefault="00C232D7" w:rsidP="00A23ED0">
      <w:pPr>
        <w:numPr>
          <w:ilvl w:val="0"/>
          <w:numId w:val="14"/>
        </w:numPr>
        <w:spacing w:before="120" w:after="120" w:line="360" w:lineRule="auto"/>
        <w:ind w:left="2340"/>
        <w:rPr>
          <w:rFonts w:ascii="Arial" w:hAnsi="Arial" w:cs="Arial"/>
          <w:iCs/>
          <w:lang w:val="sq-AL"/>
        </w:rPr>
      </w:pPr>
      <w:r w:rsidRPr="002A6F4E">
        <w:rPr>
          <w:rFonts w:ascii="Arial" w:hAnsi="Arial" w:cs="Arial"/>
          <w:iCs/>
          <w:lang w:val="sq-AL"/>
        </w:rPr>
        <w:t>17 01 – Beton, cigla, pločice i keramika;</w:t>
      </w:r>
    </w:p>
    <w:p w14:paraId="2D4A84E6" w14:textId="77777777" w:rsidR="00C232D7" w:rsidRPr="002A6F4E" w:rsidRDefault="00C232D7" w:rsidP="00A23ED0">
      <w:pPr>
        <w:numPr>
          <w:ilvl w:val="0"/>
          <w:numId w:val="14"/>
        </w:numPr>
        <w:spacing w:before="120" w:after="120" w:line="360" w:lineRule="auto"/>
        <w:ind w:left="2340"/>
        <w:rPr>
          <w:rFonts w:ascii="Arial" w:hAnsi="Arial" w:cs="Arial"/>
          <w:iCs/>
          <w:lang w:val="sq-AL"/>
        </w:rPr>
      </w:pPr>
      <w:r w:rsidRPr="002A6F4E">
        <w:rPr>
          <w:rFonts w:ascii="Arial" w:hAnsi="Arial" w:cs="Arial"/>
          <w:iCs/>
          <w:lang w:val="sq-AL"/>
        </w:rPr>
        <w:t>17 02 – Drvo, staklo i plastika;</w:t>
      </w:r>
    </w:p>
    <w:p w14:paraId="1ED942B3" w14:textId="77777777" w:rsidR="00C232D7" w:rsidRPr="002A6F4E" w:rsidRDefault="00C232D7" w:rsidP="00A23ED0">
      <w:pPr>
        <w:numPr>
          <w:ilvl w:val="0"/>
          <w:numId w:val="14"/>
        </w:numPr>
        <w:spacing w:before="120" w:after="120" w:line="360" w:lineRule="auto"/>
        <w:ind w:left="2340"/>
        <w:rPr>
          <w:rFonts w:ascii="Arial" w:hAnsi="Arial" w:cs="Arial"/>
          <w:iCs/>
          <w:lang w:val="sq-AL"/>
        </w:rPr>
      </w:pPr>
      <w:r w:rsidRPr="002A6F4E">
        <w:rPr>
          <w:rFonts w:ascii="Arial" w:hAnsi="Arial" w:cs="Arial"/>
          <w:iCs/>
          <w:lang w:val="sq-AL"/>
        </w:rPr>
        <w:t>17 03 – Bituminozna smješa, katran i proizvodi sa katranom;</w:t>
      </w:r>
    </w:p>
    <w:p w14:paraId="0FE08A06" w14:textId="77777777" w:rsidR="00C232D7" w:rsidRPr="002A6F4E" w:rsidRDefault="00C232D7" w:rsidP="00A23ED0">
      <w:pPr>
        <w:numPr>
          <w:ilvl w:val="0"/>
          <w:numId w:val="14"/>
        </w:numPr>
        <w:spacing w:before="120" w:after="120" w:line="360" w:lineRule="auto"/>
        <w:ind w:left="2340"/>
        <w:rPr>
          <w:rFonts w:ascii="Arial" w:hAnsi="Arial" w:cs="Arial"/>
          <w:iCs/>
          <w:lang w:val="sq-AL"/>
        </w:rPr>
      </w:pPr>
      <w:r w:rsidRPr="002A6F4E">
        <w:rPr>
          <w:rFonts w:ascii="Arial" w:hAnsi="Arial" w:cs="Arial"/>
          <w:iCs/>
          <w:lang w:val="sq-AL"/>
        </w:rPr>
        <w:t>17 04 – Metali (uključujući njihove legure);</w:t>
      </w:r>
    </w:p>
    <w:p w14:paraId="341BB61D" w14:textId="77777777" w:rsidR="00C232D7" w:rsidRPr="002A6F4E" w:rsidRDefault="00C232D7" w:rsidP="00A23ED0">
      <w:pPr>
        <w:numPr>
          <w:ilvl w:val="0"/>
          <w:numId w:val="14"/>
        </w:numPr>
        <w:spacing w:before="120" w:after="120" w:line="360" w:lineRule="auto"/>
        <w:ind w:left="2340"/>
        <w:rPr>
          <w:rFonts w:ascii="Arial" w:hAnsi="Arial" w:cs="Arial"/>
          <w:iCs/>
          <w:lang w:val="sq-AL"/>
        </w:rPr>
      </w:pPr>
      <w:r w:rsidRPr="002A6F4E">
        <w:rPr>
          <w:rFonts w:ascii="Arial" w:hAnsi="Arial" w:cs="Arial"/>
          <w:iCs/>
          <w:lang w:val="sq-AL"/>
        </w:rPr>
        <w:t>17 05 – Zemljište (uključujući zemljište sa kontaminiranih lokacija), kamen i iskopani muljeviti otpad;</w:t>
      </w:r>
    </w:p>
    <w:p w14:paraId="26263746" w14:textId="360AE05D" w:rsidR="00C232D7" w:rsidRPr="002A6F4E" w:rsidRDefault="009B3B3C" w:rsidP="00A23ED0">
      <w:pPr>
        <w:numPr>
          <w:ilvl w:val="0"/>
          <w:numId w:val="14"/>
        </w:numPr>
        <w:spacing w:before="120" w:after="120" w:line="360" w:lineRule="auto"/>
        <w:ind w:left="2340"/>
        <w:rPr>
          <w:rFonts w:ascii="Arial" w:hAnsi="Arial" w:cs="Arial"/>
          <w:iCs/>
          <w:lang w:val="sq-AL"/>
        </w:rPr>
      </w:pPr>
      <w:r>
        <w:rPr>
          <w:rFonts w:ascii="Arial" w:hAnsi="Arial" w:cs="Arial"/>
          <w:iCs/>
          <w:lang w:val="sq-AL"/>
        </w:rPr>
        <w:t>17 06 – I</w:t>
      </w:r>
      <w:r w:rsidR="00C232D7" w:rsidRPr="002A6F4E">
        <w:rPr>
          <w:rFonts w:ascii="Arial" w:hAnsi="Arial" w:cs="Arial"/>
          <w:iCs/>
          <w:lang w:val="sq-AL"/>
        </w:rPr>
        <w:t>zolacioni materijali i građevinski materijali koji sadrže azbest;</w:t>
      </w:r>
    </w:p>
    <w:p w14:paraId="23234FE0" w14:textId="77777777" w:rsidR="00C232D7" w:rsidRPr="002A6F4E" w:rsidRDefault="00C232D7" w:rsidP="00A23ED0">
      <w:pPr>
        <w:numPr>
          <w:ilvl w:val="0"/>
          <w:numId w:val="14"/>
        </w:numPr>
        <w:spacing w:before="120" w:after="120" w:line="360" w:lineRule="auto"/>
        <w:ind w:left="2340"/>
        <w:rPr>
          <w:rFonts w:ascii="Arial" w:hAnsi="Arial" w:cs="Arial"/>
          <w:iCs/>
          <w:lang w:val="sq-AL"/>
        </w:rPr>
      </w:pPr>
      <w:r w:rsidRPr="002A6F4E">
        <w:rPr>
          <w:rFonts w:ascii="Arial" w:hAnsi="Arial" w:cs="Arial"/>
          <w:iCs/>
          <w:lang w:val="sq-AL"/>
        </w:rPr>
        <w:t>17 07 – Građevinski materijal na bazi gipsa;</w:t>
      </w:r>
    </w:p>
    <w:p w14:paraId="1CBBF6E1" w14:textId="2B849FCD" w:rsidR="00C232D7" w:rsidRPr="002A6F4E" w:rsidRDefault="00C232D7" w:rsidP="00A23ED0">
      <w:pPr>
        <w:numPr>
          <w:ilvl w:val="0"/>
          <w:numId w:val="14"/>
        </w:numPr>
        <w:spacing w:before="120" w:after="120" w:line="360" w:lineRule="auto"/>
        <w:ind w:left="2340"/>
        <w:rPr>
          <w:rFonts w:ascii="Arial" w:hAnsi="Arial" w:cs="Arial"/>
          <w:iCs/>
          <w:lang w:val="sq-AL"/>
        </w:rPr>
      </w:pPr>
      <w:r w:rsidRPr="002A6F4E">
        <w:rPr>
          <w:rFonts w:ascii="Arial" w:hAnsi="Arial" w:cs="Arial"/>
          <w:iCs/>
          <w:lang w:val="sq-AL"/>
        </w:rPr>
        <w:t>17 08 – Ostali otpad od građenja i rušenja</w:t>
      </w:r>
      <w:r w:rsidR="00043AE5">
        <w:rPr>
          <w:rFonts w:ascii="Arial" w:hAnsi="Arial" w:cs="Arial"/>
          <w:iCs/>
          <w:lang w:val="sq-AL"/>
        </w:rPr>
        <w:t>.</w:t>
      </w:r>
    </w:p>
    <w:p w14:paraId="71FAD98C" w14:textId="4BE38C36"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Građevinski otpad </w:t>
      </w:r>
      <w:r w:rsidR="00F21F1A" w:rsidRPr="002A6F4E">
        <w:rPr>
          <w:rFonts w:ascii="Arial" w:hAnsi="Arial" w:cs="Arial"/>
          <w:lang w:val="sq-AL"/>
        </w:rPr>
        <w:t>se proizvodi u velikim količinama</w:t>
      </w:r>
      <w:r w:rsidR="00F21F1A" w:rsidRPr="002A6F4E" w:rsidDel="008B639C">
        <w:rPr>
          <w:rFonts w:ascii="Arial" w:hAnsi="Arial" w:cs="Arial"/>
          <w:lang w:val="sq-AL"/>
        </w:rPr>
        <w:t xml:space="preserve"> </w:t>
      </w:r>
      <w:r w:rsidRPr="002A6F4E">
        <w:rPr>
          <w:rFonts w:ascii="Arial" w:hAnsi="Arial" w:cs="Arial"/>
          <w:lang w:val="sq-AL"/>
        </w:rPr>
        <w:t xml:space="preserve">, ne samo </w:t>
      </w:r>
      <w:r w:rsidR="00F21F1A">
        <w:rPr>
          <w:rFonts w:ascii="Arial" w:hAnsi="Arial" w:cs="Arial"/>
          <w:lang w:val="sq-AL"/>
        </w:rPr>
        <w:t>u</w:t>
      </w:r>
      <w:r w:rsidR="00F21F1A" w:rsidRPr="002A6F4E">
        <w:rPr>
          <w:rFonts w:ascii="Arial" w:hAnsi="Arial" w:cs="Arial"/>
          <w:lang w:val="sq-AL"/>
        </w:rPr>
        <w:t xml:space="preserve"> </w:t>
      </w:r>
      <w:r w:rsidRPr="002A6F4E">
        <w:rPr>
          <w:rFonts w:ascii="Arial" w:hAnsi="Arial" w:cs="Arial"/>
          <w:lang w:val="sq-AL"/>
        </w:rPr>
        <w:t>Crn</w:t>
      </w:r>
      <w:r w:rsidR="00F21F1A">
        <w:rPr>
          <w:rFonts w:ascii="Arial" w:hAnsi="Arial" w:cs="Arial"/>
          <w:lang w:val="sq-AL"/>
        </w:rPr>
        <w:t>oj</w:t>
      </w:r>
      <w:r w:rsidRPr="002A6F4E">
        <w:rPr>
          <w:rFonts w:ascii="Arial" w:hAnsi="Arial" w:cs="Arial"/>
          <w:lang w:val="sq-AL"/>
        </w:rPr>
        <w:t xml:space="preserve"> Gor</w:t>
      </w:r>
      <w:r w:rsidR="006A36C3">
        <w:rPr>
          <w:rFonts w:ascii="Arial" w:hAnsi="Arial" w:cs="Arial"/>
          <w:lang w:val="sq-AL"/>
        </w:rPr>
        <w:t>i</w:t>
      </w:r>
      <w:r w:rsidRPr="002A6F4E">
        <w:rPr>
          <w:rFonts w:ascii="Arial" w:hAnsi="Arial" w:cs="Arial"/>
          <w:lang w:val="sq-AL"/>
        </w:rPr>
        <w:t xml:space="preserve">, već i širom Evrope, </w:t>
      </w:r>
      <w:r w:rsidR="00F21F1A">
        <w:rPr>
          <w:rFonts w:ascii="Arial" w:hAnsi="Arial" w:cs="Arial"/>
          <w:lang w:val="sq-AL"/>
        </w:rPr>
        <w:t xml:space="preserve"> i</w:t>
      </w:r>
      <w:r w:rsidRPr="002A6F4E">
        <w:rPr>
          <w:rFonts w:ascii="Arial" w:hAnsi="Arial" w:cs="Arial"/>
          <w:lang w:val="sq-AL"/>
        </w:rPr>
        <w:t xml:space="preserve"> ima opasne i neopasne </w:t>
      </w:r>
      <w:r w:rsidR="00F21F1A">
        <w:rPr>
          <w:rFonts w:ascii="Arial" w:hAnsi="Arial" w:cs="Arial"/>
          <w:lang w:val="sq-AL"/>
        </w:rPr>
        <w:t>frakcije</w:t>
      </w:r>
      <w:r w:rsidR="00F21F1A" w:rsidRPr="002A6F4E">
        <w:rPr>
          <w:rFonts w:ascii="Arial" w:hAnsi="Arial" w:cs="Arial"/>
          <w:lang w:val="sq-AL"/>
        </w:rPr>
        <w:t xml:space="preserve"> </w:t>
      </w:r>
      <w:r w:rsidRPr="002A6F4E">
        <w:rPr>
          <w:rFonts w:ascii="Arial" w:hAnsi="Arial" w:cs="Arial"/>
          <w:lang w:val="sq-AL"/>
        </w:rPr>
        <w:t>i zahtijeva odgovarajuć</w:t>
      </w:r>
      <w:r w:rsidR="00F21F1A">
        <w:rPr>
          <w:rFonts w:ascii="Arial" w:hAnsi="Arial" w:cs="Arial"/>
          <w:lang w:val="sq-AL"/>
        </w:rPr>
        <w:t>u</w:t>
      </w:r>
      <w:r w:rsidR="006A36C3">
        <w:rPr>
          <w:rFonts w:ascii="Arial" w:hAnsi="Arial" w:cs="Arial"/>
          <w:lang w:val="sq-AL"/>
        </w:rPr>
        <w:t xml:space="preserve"> </w:t>
      </w:r>
      <w:r w:rsidR="00F21F1A">
        <w:rPr>
          <w:rFonts w:ascii="Arial" w:hAnsi="Arial" w:cs="Arial"/>
          <w:lang w:val="sq-AL"/>
        </w:rPr>
        <w:t>obradu</w:t>
      </w:r>
      <w:r w:rsidRPr="002A6F4E">
        <w:rPr>
          <w:rFonts w:ascii="Arial" w:hAnsi="Arial" w:cs="Arial"/>
          <w:lang w:val="sq-AL"/>
        </w:rPr>
        <w:t>.</w:t>
      </w:r>
    </w:p>
    <w:p w14:paraId="3F78B876" w14:textId="5A46BCB7" w:rsidR="00C232D7" w:rsidRPr="002A6F4E" w:rsidRDefault="00C232D7" w:rsidP="00C232D7">
      <w:pPr>
        <w:spacing w:before="120" w:after="120" w:line="360" w:lineRule="auto"/>
        <w:rPr>
          <w:rFonts w:ascii="Arial" w:hAnsi="Arial" w:cs="Arial"/>
          <w:lang w:val="sq-AL"/>
        </w:rPr>
      </w:pPr>
      <w:r w:rsidRPr="002A6F4E">
        <w:rPr>
          <w:rFonts w:ascii="Arial" w:hAnsi="Arial" w:cs="Arial"/>
          <w:iCs/>
          <w:lang w:val="sq-AL"/>
        </w:rPr>
        <w:lastRenderedPageBreak/>
        <w:t xml:space="preserve">Zakonom o upravljanju otpadom </w:t>
      </w:r>
      <w:r w:rsidRPr="002A6F4E">
        <w:rPr>
          <w:rFonts w:ascii="Arial" w:hAnsi="Arial" w:cs="Arial"/>
          <w:lang w:val="sq-AL"/>
        </w:rPr>
        <w:t xml:space="preserve">propisana je obaveza da se najmanje 70% neopasnog građevinskog otpada pripremi za ponovnu upotrebu i recikliranje (član 14). Proizvođač neopasnog građevinskog otpada i otpada od rušenja može ovu vrstu otpada ili predati preduzeću koje poseduje dozvolu za </w:t>
      </w:r>
      <w:r w:rsidR="00F21F1A">
        <w:rPr>
          <w:rFonts w:ascii="Arial" w:hAnsi="Arial" w:cs="Arial"/>
          <w:lang w:val="sq-AL"/>
        </w:rPr>
        <w:t>preradu</w:t>
      </w:r>
      <w:r w:rsidRPr="002A6F4E">
        <w:rPr>
          <w:rFonts w:ascii="Arial" w:hAnsi="Arial" w:cs="Arial"/>
          <w:lang w:val="sq-AL"/>
        </w:rPr>
        <w:t xml:space="preserve"> i/ili od</w:t>
      </w:r>
      <w:r w:rsidR="00F21F1A">
        <w:rPr>
          <w:rFonts w:ascii="Arial" w:hAnsi="Arial" w:cs="Arial"/>
          <w:lang w:val="sq-AL"/>
        </w:rPr>
        <w:t>stranjivanje</w:t>
      </w:r>
      <w:r w:rsidRPr="002A6F4E">
        <w:rPr>
          <w:rFonts w:ascii="Arial" w:hAnsi="Arial" w:cs="Arial"/>
          <w:lang w:val="sq-AL"/>
        </w:rPr>
        <w:t xml:space="preserve"> ili ga privremeno skladištiti prije isporuke na </w:t>
      </w:r>
      <w:r w:rsidR="00F21F1A">
        <w:rPr>
          <w:rFonts w:ascii="Arial" w:hAnsi="Arial" w:cs="Arial"/>
          <w:lang w:val="sq-AL"/>
        </w:rPr>
        <w:t>obradu</w:t>
      </w:r>
      <w:r w:rsidR="00F21F1A" w:rsidRPr="002A6F4E">
        <w:rPr>
          <w:rFonts w:ascii="Arial" w:hAnsi="Arial" w:cs="Arial"/>
          <w:lang w:val="sq-AL"/>
        </w:rPr>
        <w:t xml:space="preserve"> </w:t>
      </w:r>
      <w:r w:rsidRPr="002A6F4E">
        <w:rPr>
          <w:rFonts w:ascii="Arial" w:hAnsi="Arial" w:cs="Arial"/>
          <w:lang w:val="sq-AL"/>
        </w:rPr>
        <w:t xml:space="preserve">u trajanju od najviše dvije godine. Uslovi za privremeno skladištenje neopasnog građevinskog otpada, kao i naknade za njih, propisani su u članu </w:t>
      </w:r>
      <w:r w:rsidR="00F21F1A">
        <w:rPr>
          <w:rFonts w:ascii="Arial" w:hAnsi="Arial" w:cs="Arial"/>
          <w:lang w:val="sq-AL"/>
        </w:rPr>
        <w:t>92</w:t>
      </w:r>
      <w:r w:rsidR="00F21F1A" w:rsidRPr="002A6F4E">
        <w:rPr>
          <w:rFonts w:ascii="Arial" w:hAnsi="Arial" w:cs="Arial"/>
          <w:lang w:val="sq-AL"/>
        </w:rPr>
        <w:t xml:space="preserve"> </w:t>
      </w:r>
      <w:r w:rsidRPr="002A6F4E">
        <w:rPr>
          <w:rFonts w:ascii="Arial" w:hAnsi="Arial" w:cs="Arial"/>
          <w:lang w:val="sq-AL"/>
        </w:rPr>
        <w:t xml:space="preserve">i </w:t>
      </w:r>
      <w:r w:rsidR="00F21F1A">
        <w:rPr>
          <w:rFonts w:ascii="Arial" w:hAnsi="Arial" w:cs="Arial"/>
          <w:lang w:val="sq-AL"/>
        </w:rPr>
        <w:t>93</w:t>
      </w:r>
      <w:r w:rsidR="00F21F1A" w:rsidRPr="002A6F4E">
        <w:rPr>
          <w:rFonts w:ascii="Arial" w:hAnsi="Arial" w:cs="Arial"/>
          <w:lang w:val="sq-AL"/>
        </w:rPr>
        <w:t xml:space="preserve"> </w:t>
      </w:r>
      <w:r w:rsidRPr="002A6F4E">
        <w:rPr>
          <w:rFonts w:ascii="Arial" w:hAnsi="Arial" w:cs="Arial"/>
          <w:lang w:val="sq-AL"/>
        </w:rPr>
        <w:t>Zakona</w:t>
      </w:r>
      <w:r w:rsidR="00F21F1A">
        <w:rPr>
          <w:rFonts w:ascii="Arial" w:hAnsi="Arial" w:cs="Arial"/>
          <w:lang w:val="sq-AL"/>
        </w:rPr>
        <w:t xml:space="preserve"> o upravljanju otpadom</w:t>
      </w:r>
      <w:r w:rsidRPr="002A6F4E">
        <w:rPr>
          <w:rFonts w:ascii="Arial" w:hAnsi="Arial" w:cs="Arial"/>
          <w:lang w:val="sq-AL"/>
        </w:rPr>
        <w:t>.</w:t>
      </w:r>
    </w:p>
    <w:p w14:paraId="1F91D772" w14:textId="0814ADEC" w:rsidR="001E3D9B"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Građevinski otpad i otpad od rušenja još uvijek nije adekvatno </w:t>
      </w:r>
      <w:r w:rsidR="00F21F1A">
        <w:rPr>
          <w:rFonts w:ascii="Arial" w:hAnsi="Arial" w:cs="Arial"/>
          <w:lang w:val="sq-AL"/>
        </w:rPr>
        <w:t>obrađen</w:t>
      </w:r>
      <w:r w:rsidR="00F21F1A" w:rsidRPr="002A6F4E">
        <w:rPr>
          <w:rFonts w:ascii="Arial" w:hAnsi="Arial" w:cs="Arial"/>
          <w:lang w:val="sq-AL"/>
        </w:rPr>
        <w:t xml:space="preserve"> </w:t>
      </w:r>
      <w:r w:rsidRPr="002A6F4E">
        <w:rPr>
          <w:rFonts w:ascii="Arial" w:hAnsi="Arial" w:cs="Arial"/>
          <w:lang w:val="sq-AL"/>
        </w:rPr>
        <w:t>na teritoriji Crne Gore i njegovo akumuliranje na neadekvatno odabranim lokacijama loše utiče na vizuelni izgled prostora. Trenutna situacija je prikazana u sljedećoj tabeli.</w:t>
      </w:r>
    </w:p>
    <w:p w14:paraId="38976DE1" w14:textId="3E652E50" w:rsidR="00C232D7" w:rsidRPr="002A6F4E" w:rsidRDefault="00C232D7" w:rsidP="00E40D72">
      <w:pPr>
        <w:pStyle w:val="Caption"/>
        <w:rPr>
          <w:rFonts w:ascii="Arial" w:hAnsi="Arial" w:cs="Arial"/>
          <w:b w:val="0"/>
          <w:sz w:val="20"/>
          <w:szCs w:val="20"/>
          <w:lang w:val="sq-AL"/>
        </w:rPr>
      </w:pPr>
      <w:bookmarkStart w:id="754" w:name="_Toc190160708"/>
      <w:r w:rsidRPr="00F6198B">
        <w:rPr>
          <w:rFonts w:ascii="Arial" w:hAnsi="Arial" w:cs="Arial"/>
          <w:b w:val="0"/>
          <w:szCs w:val="20"/>
          <w:lang w:val="sq-AL"/>
        </w:rPr>
        <w:t xml:space="preserve">Tabela </w:t>
      </w:r>
      <w:r w:rsidRPr="00F6198B">
        <w:rPr>
          <w:rFonts w:ascii="Arial" w:hAnsi="Arial" w:cs="Arial"/>
          <w:b w:val="0"/>
          <w:szCs w:val="20"/>
          <w:lang w:val="sq-AL"/>
        </w:rPr>
        <w:fldChar w:fldCharType="begin"/>
      </w:r>
      <w:r w:rsidRPr="00F6198B">
        <w:rPr>
          <w:rFonts w:ascii="Arial" w:hAnsi="Arial" w:cs="Arial"/>
          <w:b w:val="0"/>
          <w:szCs w:val="20"/>
          <w:lang w:val="sq-AL"/>
        </w:rPr>
        <w:instrText xml:space="preserve"> SEQ Tabela \* ARABIC </w:instrText>
      </w:r>
      <w:r w:rsidRPr="00F6198B">
        <w:rPr>
          <w:rFonts w:ascii="Arial" w:hAnsi="Arial" w:cs="Arial"/>
          <w:b w:val="0"/>
          <w:szCs w:val="20"/>
          <w:lang w:val="sq-AL"/>
        </w:rPr>
        <w:fldChar w:fldCharType="separate"/>
      </w:r>
      <w:r w:rsidR="007274DA">
        <w:rPr>
          <w:rFonts w:ascii="Arial" w:hAnsi="Arial" w:cs="Arial"/>
          <w:b w:val="0"/>
          <w:noProof/>
          <w:szCs w:val="20"/>
          <w:lang w:val="sq-AL"/>
        </w:rPr>
        <w:t>18</w:t>
      </w:r>
      <w:r w:rsidRPr="00F6198B">
        <w:rPr>
          <w:rFonts w:ascii="Arial" w:hAnsi="Arial" w:cs="Arial"/>
          <w:b w:val="0"/>
          <w:szCs w:val="20"/>
          <w:lang w:val="sq-AL"/>
        </w:rPr>
        <w:fldChar w:fldCharType="end"/>
      </w:r>
      <w:r w:rsidRPr="00F6198B">
        <w:rPr>
          <w:rFonts w:ascii="Arial" w:hAnsi="Arial" w:cs="Arial"/>
          <w:b w:val="0"/>
          <w:szCs w:val="20"/>
          <w:lang w:val="sq-AL"/>
        </w:rPr>
        <w:t xml:space="preserve"> Količine građevinskog otpada i otpada od rušenja (tone) za 2021. godinu</w:t>
      </w:r>
      <w:bookmarkEnd w:id="754"/>
    </w:p>
    <w:tbl>
      <w:tblPr>
        <w:tblStyle w:val="denkstatt1"/>
        <w:tblW w:w="9540" w:type="dxa"/>
        <w:jc w:val="center"/>
        <w:tblLook w:val="04A0" w:firstRow="1" w:lastRow="0" w:firstColumn="1" w:lastColumn="0" w:noHBand="0" w:noVBand="1"/>
      </w:tblPr>
      <w:tblGrid>
        <w:gridCol w:w="1435"/>
        <w:gridCol w:w="1350"/>
        <w:gridCol w:w="1260"/>
        <w:gridCol w:w="1350"/>
        <w:gridCol w:w="1440"/>
        <w:gridCol w:w="1350"/>
        <w:gridCol w:w="1355"/>
      </w:tblGrid>
      <w:tr w:rsidR="00C232D7" w:rsidRPr="002A6F4E" w14:paraId="332EF79E" w14:textId="77777777" w:rsidTr="00C232D7">
        <w:trPr>
          <w:jc w:val="center"/>
        </w:trPr>
        <w:tc>
          <w:tcPr>
            <w:tcW w:w="1435" w:type="dxa"/>
            <w:shd w:val="clear" w:color="auto" w:fill="F2F2F2" w:themeFill="background1" w:themeFillShade="F2"/>
            <w:vAlign w:val="center"/>
          </w:tcPr>
          <w:p w14:paraId="245F1C0B" w14:textId="45C0F984"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 xml:space="preserve">Količina sakupljenog i </w:t>
            </w:r>
            <w:r w:rsidR="00DC37B1" w:rsidRPr="00F6198B">
              <w:rPr>
                <w:rFonts w:ascii="Arial" w:hAnsi="Arial" w:cs="Arial"/>
                <w:b/>
                <w:sz w:val="18"/>
                <w:lang w:val="sq-AL"/>
              </w:rPr>
              <w:t>obrađenog</w:t>
            </w:r>
            <w:r w:rsidRPr="00F6198B">
              <w:rPr>
                <w:rFonts w:ascii="Arial" w:hAnsi="Arial" w:cs="Arial"/>
                <w:b/>
                <w:sz w:val="18"/>
                <w:lang w:val="sq-AL"/>
              </w:rPr>
              <w:t xml:space="preserve"> otpada</w:t>
            </w:r>
          </w:p>
        </w:tc>
        <w:tc>
          <w:tcPr>
            <w:tcW w:w="1350" w:type="dxa"/>
            <w:shd w:val="clear" w:color="auto" w:fill="F2F2F2" w:themeFill="background1" w:themeFillShade="F2"/>
            <w:vAlign w:val="center"/>
          </w:tcPr>
          <w:p w14:paraId="6FC39A86" w14:textId="341EFA02"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Količina otpada skladištenog unutar objekata (približno)</w:t>
            </w:r>
          </w:p>
        </w:tc>
        <w:tc>
          <w:tcPr>
            <w:tcW w:w="1260" w:type="dxa"/>
            <w:shd w:val="clear" w:color="auto" w:fill="F2F2F2" w:themeFill="background1" w:themeFillShade="F2"/>
            <w:vAlign w:val="center"/>
          </w:tcPr>
          <w:p w14:paraId="3E0C004A" w14:textId="2369F798"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 xml:space="preserve">Količina otpada koji se </w:t>
            </w:r>
            <w:r w:rsidR="0092550A" w:rsidRPr="00F6198B">
              <w:rPr>
                <w:rFonts w:ascii="Arial" w:hAnsi="Arial" w:cs="Arial"/>
                <w:b/>
                <w:sz w:val="18"/>
                <w:lang w:val="sq-AL"/>
              </w:rPr>
              <w:t xml:space="preserve">obrađuje </w:t>
            </w:r>
            <w:r w:rsidRPr="00F6198B">
              <w:rPr>
                <w:rFonts w:ascii="Arial" w:hAnsi="Arial" w:cs="Arial"/>
                <w:b/>
                <w:sz w:val="18"/>
                <w:lang w:val="sq-AL"/>
              </w:rPr>
              <w:t>unutar objekata</w:t>
            </w:r>
          </w:p>
        </w:tc>
        <w:tc>
          <w:tcPr>
            <w:tcW w:w="1350" w:type="dxa"/>
            <w:shd w:val="clear" w:color="auto" w:fill="F2F2F2" w:themeFill="background1" w:themeFillShade="F2"/>
            <w:vAlign w:val="center"/>
          </w:tcPr>
          <w:p w14:paraId="6D73E93A" w14:textId="77777777"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Količina otpada predata sakupljačima otpada</w:t>
            </w:r>
          </w:p>
        </w:tc>
        <w:tc>
          <w:tcPr>
            <w:tcW w:w="1440" w:type="dxa"/>
            <w:shd w:val="clear" w:color="auto" w:fill="F2F2F2" w:themeFill="background1" w:themeFillShade="F2"/>
            <w:vAlign w:val="center"/>
          </w:tcPr>
          <w:p w14:paraId="12C747D1" w14:textId="334C4608"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 xml:space="preserve">Količina otpada dostavljenog u objekte za </w:t>
            </w:r>
            <w:r w:rsidR="0092550A" w:rsidRPr="00F6198B">
              <w:rPr>
                <w:rFonts w:ascii="Arial" w:hAnsi="Arial" w:cs="Arial"/>
                <w:b/>
                <w:sz w:val="18"/>
                <w:lang w:val="sq-AL"/>
              </w:rPr>
              <w:t xml:space="preserve">obradu </w:t>
            </w:r>
            <w:r w:rsidRPr="00F6198B">
              <w:rPr>
                <w:rFonts w:ascii="Arial" w:hAnsi="Arial" w:cs="Arial"/>
                <w:b/>
                <w:sz w:val="18"/>
                <w:lang w:val="sq-AL"/>
              </w:rPr>
              <w:t>otpada</w:t>
            </w:r>
          </w:p>
        </w:tc>
        <w:tc>
          <w:tcPr>
            <w:tcW w:w="1350" w:type="dxa"/>
            <w:shd w:val="clear" w:color="auto" w:fill="F2F2F2" w:themeFill="background1" w:themeFillShade="F2"/>
            <w:vAlign w:val="center"/>
          </w:tcPr>
          <w:p w14:paraId="021AC637" w14:textId="77777777" w:rsidR="00C232D7" w:rsidRPr="00F6198B" w:rsidRDefault="00C232D7" w:rsidP="00C232D7">
            <w:pPr>
              <w:spacing w:before="40" w:after="40"/>
              <w:ind w:left="0"/>
              <w:jc w:val="center"/>
              <w:rPr>
                <w:rFonts w:ascii="Arial" w:hAnsi="Arial" w:cs="Arial"/>
                <w:b/>
                <w:bCs/>
                <w:sz w:val="18"/>
                <w:lang w:val="sq-AL"/>
              </w:rPr>
            </w:pPr>
            <w:r w:rsidRPr="00F6198B">
              <w:rPr>
                <w:rFonts w:ascii="Arial" w:hAnsi="Arial" w:cs="Arial"/>
                <w:b/>
                <w:bCs/>
                <w:sz w:val="18"/>
                <w:lang w:val="sq-AL"/>
              </w:rPr>
              <w:t>Količina otpada izvezenog u druge zemlje</w:t>
            </w:r>
          </w:p>
        </w:tc>
        <w:tc>
          <w:tcPr>
            <w:tcW w:w="1355" w:type="dxa"/>
            <w:shd w:val="clear" w:color="auto" w:fill="F2F2F2" w:themeFill="background1" w:themeFillShade="F2"/>
            <w:vAlign w:val="center"/>
          </w:tcPr>
          <w:p w14:paraId="5832E2AD" w14:textId="77777777"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Količina otpada prodata trgovcima otpadom</w:t>
            </w:r>
          </w:p>
        </w:tc>
      </w:tr>
      <w:tr w:rsidR="00C232D7" w:rsidRPr="002A6F4E" w14:paraId="3C21A0A4" w14:textId="77777777" w:rsidTr="00C232D7">
        <w:trPr>
          <w:jc w:val="center"/>
        </w:trPr>
        <w:tc>
          <w:tcPr>
            <w:tcW w:w="1435" w:type="dxa"/>
            <w:vAlign w:val="center"/>
          </w:tcPr>
          <w:p w14:paraId="2BDE410A"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156.462,09</w:t>
            </w:r>
          </w:p>
        </w:tc>
        <w:tc>
          <w:tcPr>
            <w:tcW w:w="1350" w:type="dxa"/>
            <w:vAlign w:val="center"/>
          </w:tcPr>
          <w:p w14:paraId="0871F1E8"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89.972,80</w:t>
            </w:r>
          </w:p>
        </w:tc>
        <w:tc>
          <w:tcPr>
            <w:tcW w:w="1260" w:type="dxa"/>
            <w:vAlign w:val="center"/>
          </w:tcPr>
          <w:p w14:paraId="1659F985"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1.301,19</w:t>
            </w:r>
          </w:p>
        </w:tc>
        <w:tc>
          <w:tcPr>
            <w:tcW w:w="1350" w:type="dxa"/>
            <w:vAlign w:val="center"/>
          </w:tcPr>
          <w:p w14:paraId="14C62B8D"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32.624,78</w:t>
            </w:r>
          </w:p>
        </w:tc>
        <w:tc>
          <w:tcPr>
            <w:tcW w:w="1440" w:type="dxa"/>
            <w:vAlign w:val="center"/>
          </w:tcPr>
          <w:p w14:paraId="11817799"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38.327,17</w:t>
            </w:r>
          </w:p>
        </w:tc>
        <w:tc>
          <w:tcPr>
            <w:tcW w:w="1350" w:type="dxa"/>
            <w:vAlign w:val="center"/>
          </w:tcPr>
          <w:p w14:paraId="2ED5E4FA"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58.782,77</w:t>
            </w:r>
          </w:p>
        </w:tc>
        <w:tc>
          <w:tcPr>
            <w:tcW w:w="1355" w:type="dxa"/>
            <w:vAlign w:val="center"/>
          </w:tcPr>
          <w:p w14:paraId="5EBE0DBB"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1.195,84</w:t>
            </w:r>
          </w:p>
        </w:tc>
      </w:tr>
    </w:tbl>
    <w:p w14:paraId="711C8805" w14:textId="77777777" w:rsidR="00C232D7" w:rsidRPr="002A6F4E" w:rsidRDefault="00C232D7" w:rsidP="00C232D7">
      <w:pPr>
        <w:spacing w:before="120" w:after="120" w:line="360" w:lineRule="auto"/>
        <w:rPr>
          <w:rFonts w:ascii="Arial" w:hAnsi="Arial" w:cs="Arial"/>
          <w:lang w:val="sq-AL"/>
        </w:rPr>
      </w:pPr>
    </w:p>
    <w:p w14:paraId="6E9B1CDA" w14:textId="2594E6F6" w:rsidR="00C232D7" w:rsidRPr="007C58FB" w:rsidRDefault="00C232D7" w:rsidP="00F57909">
      <w:pPr>
        <w:pStyle w:val="Heading2"/>
      </w:pPr>
      <w:bookmarkStart w:id="755" w:name="_Toc193353990"/>
      <w:r w:rsidRPr="007C58FB">
        <w:t>4.</w:t>
      </w:r>
      <w:r w:rsidR="003D1C94" w:rsidRPr="007C58FB">
        <w:t>1</w:t>
      </w:r>
      <w:r w:rsidR="00181ED4">
        <w:t>6</w:t>
      </w:r>
      <w:r w:rsidRPr="007C58FB">
        <w:t>. Otpad od električnih i elektronskih proizvoda</w:t>
      </w:r>
      <w:bookmarkEnd w:id="755"/>
    </w:p>
    <w:p w14:paraId="4FAECCE8" w14:textId="494FA448" w:rsidR="00C232D7" w:rsidRPr="006702EE" w:rsidRDefault="00C232D7" w:rsidP="00C232D7">
      <w:pPr>
        <w:spacing w:before="120" w:after="120" w:line="360" w:lineRule="auto"/>
        <w:rPr>
          <w:rFonts w:ascii="Arial" w:hAnsi="Arial" w:cs="Arial"/>
          <w:b/>
          <w:lang w:val="sq-AL"/>
        </w:rPr>
      </w:pPr>
      <w:r w:rsidRPr="006702EE">
        <w:rPr>
          <w:rFonts w:ascii="Arial" w:hAnsi="Arial" w:cs="Arial"/>
          <w:lang w:val="sq-AL"/>
        </w:rPr>
        <w:t xml:space="preserve">Prema izvještaju Agencije za zaštitu životne sredine za 2021. godinu, 380,52 tone otpada od električnih i elektronskih proizvoda je bilo proizvedeno ili sakupljeno ili obrađeno. U izvještaju Agencije za zaštitu životne sredine za 2020. godinu precizno se navodi da je ukupna količina </w:t>
      </w:r>
      <w:r w:rsidR="0092550A">
        <w:rPr>
          <w:rFonts w:ascii="Arial" w:hAnsi="Arial" w:cs="Arial"/>
          <w:lang w:val="sq-AL"/>
        </w:rPr>
        <w:t>obrađenog</w:t>
      </w:r>
      <w:r w:rsidR="0092550A" w:rsidRPr="006702EE">
        <w:rPr>
          <w:rFonts w:ascii="Arial" w:hAnsi="Arial" w:cs="Arial"/>
          <w:lang w:val="sq-AL"/>
        </w:rPr>
        <w:t xml:space="preserve"> </w:t>
      </w:r>
      <w:r w:rsidRPr="006702EE">
        <w:rPr>
          <w:rFonts w:ascii="Arial" w:hAnsi="Arial" w:cs="Arial"/>
          <w:lang w:val="sq-AL"/>
        </w:rPr>
        <w:t>otpada od električnih i elektronskih proizvoda u 2020. godini iznosila 368,85 tona, dok je sakupljeno 435,98 t. Ukupna količina generisanog otpada od električnih i elektronskih proizvoda u 2020. godini iznosila je 1.011,29 t.</w:t>
      </w:r>
    </w:p>
    <w:p w14:paraId="7FF7C7E7" w14:textId="4AAE7BCF" w:rsidR="00C232D7" w:rsidRPr="006702EE" w:rsidRDefault="00C232D7" w:rsidP="00E40D72">
      <w:pPr>
        <w:pStyle w:val="Caption"/>
        <w:rPr>
          <w:rFonts w:ascii="Arial" w:hAnsi="Arial" w:cs="Arial"/>
          <w:b w:val="0"/>
          <w:sz w:val="20"/>
          <w:szCs w:val="20"/>
          <w:lang w:val="sq-AL"/>
        </w:rPr>
      </w:pPr>
      <w:bookmarkStart w:id="756" w:name="_Toc190160709"/>
      <w:r w:rsidRPr="006702EE">
        <w:rPr>
          <w:rFonts w:ascii="Arial" w:hAnsi="Arial" w:cs="Arial"/>
          <w:b w:val="0"/>
          <w:szCs w:val="20"/>
          <w:lang w:val="sq-AL"/>
        </w:rPr>
        <w:t xml:space="preserve">Tabela </w:t>
      </w:r>
      <w:r w:rsidRPr="006702EE">
        <w:rPr>
          <w:rFonts w:ascii="Arial" w:hAnsi="Arial" w:cs="Arial"/>
          <w:b w:val="0"/>
          <w:szCs w:val="20"/>
          <w:lang w:val="sq-AL"/>
        </w:rPr>
        <w:fldChar w:fldCharType="begin"/>
      </w:r>
      <w:r w:rsidRPr="006702EE">
        <w:rPr>
          <w:rFonts w:ascii="Arial" w:hAnsi="Arial" w:cs="Arial"/>
          <w:b w:val="0"/>
          <w:szCs w:val="20"/>
          <w:lang w:val="sq-AL"/>
        </w:rPr>
        <w:instrText xml:space="preserve"> SEQ Tabela \* ARABIC </w:instrText>
      </w:r>
      <w:r w:rsidRPr="006702EE">
        <w:rPr>
          <w:rFonts w:ascii="Arial" w:hAnsi="Arial" w:cs="Arial"/>
          <w:b w:val="0"/>
          <w:szCs w:val="20"/>
          <w:lang w:val="sq-AL"/>
        </w:rPr>
        <w:fldChar w:fldCharType="separate"/>
      </w:r>
      <w:r w:rsidR="007274DA">
        <w:rPr>
          <w:rFonts w:ascii="Arial" w:hAnsi="Arial" w:cs="Arial"/>
          <w:b w:val="0"/>
          <w:noProof/>
          <w:szCs w:val="20"/>
          <w:lang w:val="sq-AL"/>
        </w:rPr>
        <w:t>19</w:t>
      </w:r>
      <w:r w:rsidRPr="006702EE">
        <w:rPr>
          <w:rFonts w:ascii="Arial" w:hAnsi="Arial" w:cs="Arial"/>
          <w:b w:val="0"/>
          <w:szCs w:val="20"/>
          <w:lang w:val="sq-AL"/>
        </w:rPr>
        <w:fldChar w:fldCharType="end"/>
      </w:r>
      <w:r w:rsidRPr="006702EE">
        <w:rPr>
          <w:rFonts w:ascii="Arial" w:hAnsi="Arial" w:cs="Arial"/>
          <w:b w:val="0"/>
          <w:szCs w:val="20"/>
          <w:lang w:val="sq-AL"/>
        </w:rPr>
        <w:t xml:space="preserve"> Količine otpada od električnih i elektronskih proizvoda (t) za 2021. godinu prema izvještaju Agencije za zaštitu životne sredine</w:t>
      </w:r>
      <w:bookmarkEnd w:id="756"/>
    </w:p>
    <w:tbl>
      <w:tblPr>
        <w:tblStyle w:val="denkstatt3"/>
        <w:tblW w:w="9540" w:type="dxa"/>
        <w:jc w:val="center"/>
        <w:tblLook w:val="04A0" w:firstRow="1" w:lastRow="0" w:firstColumn="1" w:lastColumn="0" w:noHBand="0" w:noVBand="1"/>
      </w:tblPr>
      <w:tblGrid>
        <w:gridCol w:w="1435"/>
        <w:gridCol w:w="1350"/>
        <w:gridCol w:w="1260"/>
        <w:gridCol w:w="1350"/>
        <w:gridCol w:w="1440"/>
        <w:gridCol w:w="1350"/>
        <w:gridCol w:w="1355"/>
      </w:tblGrid>
      <w:tr w:rsidR="00C232D7" w:rsidRPr="006702EE" w14:paraId="69D853C4" w14:textId="77777777" w:rsidTr="00C232D7">
        <w:trPr>
          <w:jc w:val="center"/>
        </w:trPr>
        <w:tc>
          <w:tcPr>
            <w:tcW w:w="1435" w:type="dxa"/>
            <w:shd w:val="clear" w:color="auto" w:fill="F2F2F2" w:themeFill="background1" w:themeFillShade="F2"/>
            <w:vAlign w:val="center"/>
          </w:tcPr>
          <w:p w14:paraId="5FBCF123" w14:textId="2A695C66"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 xml:space="preserve">Količina sakupljenog i </w:t>
            </w:r>
            <w:r w:rsidR="0092550A" w:rsidRPr="00F6198B">
              <w:rPr>
                <w:rFonts w:ascii="Arial" w:hAnsi="Arial" w:cs="Arial"/>
                <w:b/>
                <w:sz w:val="18"/>
                <w:lang w:val="sq-AL"/>
              </w:rPr>
              <w:t xml:space="preserve">obrađenog </w:t>
            </w:r>
            <w:r w:rsidRPr="00F6198B">
              <w:rPr>
                <w:rFonts w:ascii="Arial" w:hAnsi="Arial" w:cs="Arial"/>
                <w:b/>
                <w:sz w:val="18"/>
                <w:lang w:val="sq-AL"/>
              </w:rPr>
              <w:t>otpada</w:t>
            </w:r>
          </w:p>
        </w:tc>
        <w:tc>
          <w:tcPr>
            <w:tcW w:w="1350" w:type="dxa"/>
            <w:shd w:val="clear" w:color="auto" w:fill="F2F2F2" w:themeFill="background1" w:themeFillShade="F2"/>
            <w:vAlign w:val="center"/>
          </w:tcPr>
          <w:p w14:paraId="6E7BAE3E" w14:textId="270A884D"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Količina otpada skladištenog unutar objekata (približno)</w:t>
            </w:r>
          </w:p>
        </w:tc>
        <w:tc>
          <w:tcPr>
            <w:tcW w:w="1260" w:type="dxa"/>
            <w:shd w:val="clear" w:color="auto" w:fill="F2F2F2" w:themeFill="background1" w:themeFillShade="F2"/>
            <w:vAlign w:val="center"/>
          </w:tcPr>
          <w:p w14:paraId="19D87B42" w14:textId="5A1BC43E"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 xml:space="preserve">Količina otpada koji se </w:t>
            </w:r>
            <w:r w:rsidR="0092550A" w:rsidRPr="00F6198B">
              <w:rPr>
                <w:rFonts w:ascii="Arial" w:hAnsi="Arial" w:cs="Arial"/>
                <w:b/>
                <w:sz w:val="18"/>
                <w:lang w:val="sq-AL"/>
              </w:rPr>
              <w:t xml:space="preserve">obrađuje </w:t>
            </w:r>
            <w:r w:rsidRPr="00F6198B">
              <w:rPr>
                <w:rFonts w:ascii="Arial" w:hAnsi="Arial" w:cs="Arial"/>
                <w:b/>
                <w:sz w:val="18"/>
                <w:lang w:val="sq-AL"/>
              </w:rPr>
              <w:t>unutar objekata</w:t>
            </w:r>
          </w:p>
        </w:tc>
        <w:tc>
          <w:tcPr>
            <w:tcW w:w="1350" w:type="dxa"/>
            <w:shd w:val="clear" w:color="auto" w:fill="F2F2F2" w:themeFill="background1" w:themeFillShade="F2"/>
            <w:vAlign w:val="center"/>
          </w:tcPr>
          <w:p w14:paraId="20FD5AD6" w14:textId="77777777"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Količina otpada predata sakupljačima otpada</w:t>
            </w:r>
          </w:p>
        </w:tc>
        <w:tc>
          <w:tcPr>
            <w:tcW w:w="1440" w:type="dxa"/>
            <w:shd w:val="clear" w:color="auto" w:fill="F2F2F2" w:themeFill="background1" w:themeFillShade="F2"/>
            <w:vAlign w:val="center"/>
          </w:tcPr>
          <w:p w14:paraId="32927EA3" w14:textId="7644694B"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 xml:space="preserve">Količina otpada dostavljenog u objekte za </w:t>
            </w:r>
            <w:r w:rsidR="0092550A" w:rsidRPr="00F6198B">
              <w:rPr>
                <w:rFonts w:ascii="Arial" w:hAnsi="Arial" w:cs="Arial"/>
                <w:b/>
                <w:sz w:val="18"/>
                <w:lang w:val="sq-AL"/>
              </w:rPr>
              <w:t xml:space="preserve">obradu </w:t>
            </w:r>
            <w:r w:rsidRPr="00F6198B">
              <w:rPr>
                <w:rFonts w:ascii="Arial" w:hAnsi="Arial" w:cs="Arial"/>
                <w:b/>
                <w:sz w:val="18"/>
                <w:lang w:val="sq-AL"/>
              </w:rPr>
              <w:t>otpada</w:t>
            </w:r>
          </w:p>
        </w:tc>
        <w:tc>
          <w:tcPr>
            <w:tcW w:w="1350" w:type="dxa"/>
            <w:shd w:val="clear" w:color="auto" w:fill="F2F2F2" w:themeFill="background1" w:themeFillShade="F2"/>
            <w:vAlign w:val="center"/>
          </w:tcPr>
          <w:p w14:paraId="39110437" w14:textId="77777777" w:rsidR="00C232D7" w:rsidRPr="00F6198B" w:rsidRDefault="00C232D7" w:rsidP="00C232D7">
            <w:pPr>
              <w:spacing w:before="40" w:after="40"/>
              <w:ind w:left="0"/>
              <w:jc w:val="center"/>
              <w:rPr>
                <w:rFonts w:ascii="Arial" w:hAnsi="Arial" w:cs="Arial"/>
                <w:b/>
                <w:bCs/>
                <w:sz w:val="18"/>
                <w:lang w:val="sq-AL"/>
              </w:rPr>
            </w:pPr>
            <w:r w:rsidRPr="00F6198B">
              <w:rPr>
                <w:rFonts w:ascii="Arial" w:hAnsi="Arial" w:cs="Arial"/>
                <w:b/>
                <w:bCs/>
                <w:sz w:val="18"/>
                <w:lang w:val="sq-AL"/>
              </w:rPr>
              <w:t>Količina otpada izvezenog u druge zemlje</w:t>
            </w:r>
          </w:p>
        </w:tc>
        <w:tc>
          <w:tcPr>
            <w:tcW w:w="1355" w:type="dxa"/>
            <w:shd w:val="clear" w:color="auto" w:fill="F2F2F2" w:themeFill="background1" w:themeFillShade="F2"/>
            <w:vAlign w:val="center"/>
          </w:tcPr>
          <w:p w14:paraId="5CDB7304" w14:textId="77777777"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Količina otpada prodata trgovcima otpadom</w:t>
            </w:r>
          </w:p>
        </w:tc>
      </w:tr>
      <w:tr w:rsidR="00C232D7" w:rsidRPr="002A6F4E" w14:paraId="24ADC8BA" w14:textId="77777777" w:rsidTr="00C232D7">
        <w:trPr>
          <w:jc w:val="center"/>
        </w:trPr>
        <w:tc>
          <w:tcPr>
            <w:tcW w:w="1435" w:type="dxa"/>
          </w:tcPr>
          <w:p w14:paraId="2B1274F3"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380,52</w:t>
            </w:r>
          </w:p>
        </w:tc>
        <w:tc>
          <w:tcPr>
            <w:tcW w:w="1350" w:type="dxa"/>
          </w:tcPr>
          <w:p w14:paraId="7E1D5395"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172,70</w:t>
            </w:r>
          </w:p>
        </w:tc>
        <w:tc>
          <w:tcPr>
            <w:tcW w:w="1260" w:type="dxa"/>
          </w:tcPr>
          <w:p w14:paraId="461C7C01"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35,96</w:t>
            </w:r>
          </w:p>
        </w:tc>
        <w:tc>
          <w:tcPr>
            <w:tcW w:w="1350" w:type="dxa"/>
          </w:tcPr>
          <w:p w14:paraId="4DCE1C63"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43,67</w:t>
            </w:r>
          </w:p>
        </w:tc>
        <w:tc>
          <w:tcPr>
            <w:tcW w:w="1440" w:type="dxa"/>
          </w:tcPr>
          <w:p w14:paraId="7723DCA0"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0,12</w:t>
            </w:r>
          </w:p>
        </w:tc>
        <w:tc>
          <w:tcPr>
            <w:tcW w:w="1350" w:type="dxa"/>
          </w:tcPr>
          <w:p w14:paraId="35D3DE16"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134,63</w:t>
            </w:r>
          </w:p>
        </w:tc>
        <w:tc>
          <w:tcPr>
            <w:tcW w:w="1355" w:type="dxa"/>
          </w:tcPr>
          <w:p w14:paraId="1BFBC47E"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170,19</w:t>
            </w:r>
          </w:p>
        </w:tc>
      </w:tr>
    </w:tbl>
    <w:p w14:paraId="39FA4ED4" w14:textId="77777777" w:rsidR="00C232D7" w:rsidRPr="002A6F4E" w:rsidRDefault="00C232D7" w:rsidP="00C232D7">
      <w:pPr>
        <w:autoSpaceDE w:val="0"/>
        <w:autoSpaceDN w:val="0"/>
        <w:adjustRightInd w:val="0"/>
        <w:spacing w:before="120" w:after="120" w:line="360" w:lineRule="auto"/>
        <w:rPr>
          <w:rFonts w:ascii="Arial" w:hAnsi="Arial" w:cs="Arial"/>
          <w:lang w:val="sq-AL"/>
        </w:rPr>
      </w:pPr>
    </w:p>
    <w:p w14:paraId="52AEEAE3" w14:textId="628147EA" w:rsidR="00C232D7" w:rsidRPr="002E32CC" w:rsidRDefault="003D1C94" w:rsidP="00F57909">
      <w:pPr>
        <w:pStyle w:val="Heading2"/>
      </w:pPr>
      <w:bookmarkStart w:id="757" w:name="_Toc193353991"/>
      <w:r w:rsidRPr="002E32CC">
        <w:t>4.1</w:t>
      </w:r>
      <w:r w:rsidR="00181ED4">
        <w:t>7</w:t>
      </w:r>
      <w:r w:rsidRPr="002E32CC">
        <w:t>.</w:t>
      </w:r>
      <w:r w:rsidR="00C232D7" w:rsidRPr="002E32CC">
        <w:t xml:space="preserve"> Otpadna vozila</w:t>
      </w:r>
      <w:bookmarkEnd w:id="757"/>
    </w:p>
    <w:p w14:paraId="1B75F86F" w14:textId="19CD028B"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Prema </w:t>
      </w:r>
      <w:r w:rsidRPr="002A6F4E">
        <w:rPr>
          <w:rFonts w:ascii="Arial" w:hAnsi="Arial" w:cs="Arial"/>
          <w:iCs/>
          <w:lang w:val="sq-AL"/>
        </w:rPr>
        <w:t>Zakonu o upravljanju otpadom,</w:t>
      </w:r>
      <w:r w:rsidRPr="002A6F4E">
        <w:rPr>
          <w:rFonts w:ascii="Arial" w:hAnsi="Arial" w:cs="Arial"/>
          <w:lang w:val="sq-AL"/>
        </w:rPr>
        <w:t xml:space="preserve"> imalac otpadnog vozila dužan je da otpadno vozilo preda privrednom društvu ili preduzetniku koji ima dozvolu za preradu otpadnih vozila.</w:t>
      </w:r>
    </w:p>
    <w:p w14:paraId="17C8785E" w14:textId="3F47122F"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Pogon za reciklažu vozila van upotrebe pušten je u probni rad u septembru 2010. godine (u sklopu Reciklažnog centra Podgorica, Livade). Izgradnja ovog modernog pogona svojim kapacitetom zadovoljava </w:t>
      </w:r>
      <w:r w:rsidRPr="002A6F4E">
        <w:rPr>
          <w:rFonts w:ascii="Arial" w:hAnsi="Arial" w:cs="Arial"/>
          <w:lang w:val="sq-AL"/>
        </w:rPr>
        <w:lastRenderedPageBreak/>
        <w:t xml:space="preserve">potrebe ne samo </w:t>
      </w:r>
      <w:r w:rsidR="0092550A">
        <w:rPr>
          <w:rFonts w:ascii="Arial" w:hAnsi="Arial" w:cs="Arial"/>
          <w:lang w:val="sq-AL"/>
        </w:rPr>
        <w:t>G</w:t>
      </w:r>
      <w:r w:rsidRPr="002A6F4E">
        <w:rPr>
          <w:rFonts w:ascii="Arial" w:hAnsi="Arial" w:cs="Arial"/>
          <w:lang w:val="sq-AL"/>
        </w:rPr>
        <w:t>lavnog grada, već i cijele zemlje. To je bilo neophodno kako bi se naglašeni problem odlaganja ove posebne vrste otpada riješio na način propisan standardima EU.</w:t>
      </w:r>
    </w:p>
    <w:p w14:paraId="2DDA1898" w14:textId="28A81719"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Većina selektiranih materijala iz otpadnih vozila imaju svoju tržišnu vrijednost (gvožđe, čelik, aluminijum, bakar, dio plastike) i mogu se ekonomski valorizovati. Gume se </w:t>
      </w:r>
      <w:r w:rsidR="007243EF">
        <w:rPr>
          <w:rFonts w:ascii="Arial" w:hAnsi="Arial" w:cs="Arial"/>
          <w:lang w:val="sq-AL"/>
        </w:rPr>
        <w:t>skladište</w:t>
      </w:r>
      <w:r w:rsidRPr="002A6F4E">
        <w:rPr>
          <w:rFonts w:ascii="Arial" w:hAnsi="Arial" w:cs="Arial"/>
          <w:lang w:val="sq-AL"/>
        </w:rPr>
        <w:t>na posebno ograđenom prostoru, dok se tekstil i druge vrste materijala koje pripadaju komunalnom otpadu</w:t>
      </w:r>
      <w:r w:rsidR="005335B5">
        <w:rPr>
          <w:rFonts w:ascii="Arial" w:hAnsi="Arial" w:cs="Arial"/>
          <w:lang w:val="sq-AL"/>
        </w:rPr>
        <w:t xml:space="preserve"> </w:t>
      </w:r>
      <w:r w:rsidR="007243EF">
        <w:rPr>
          <w:rFonts w:ascii="Arial" w:hAnsi="Arial" w:cs="Arial"/>
          <w:lang w:val="sq-AL"/>
        </w:rPr>
        <w:t xml:space="preserve">obrađuju </w:t>
      </w:r>
      <w:r w:rsidR="005335B5">
        <w:rPr>
          <w:rFonts w:ascii="Arial" w:hAnsi="Arial" w:cs="Arial"/>
          <w:lang w:val="sq-AL"/>
        </w:rPr>
        <w:t xml:space="preserve">u </w:t>
      </w:r>
      <w:r w:rsidR="006A36C3">
        <w:rPr>
          <w:rFonts w:ascii="Arial" w:hAnsi="Arial" w:cs="Arial"/>
          <w:lang w:val="sq-AL"/>
        </w:rPr>
        <w:t>tijelu</w:t>
      </w:r>
      <w:r w:rsidR="007243EF">
        <w:rPr>
          <w:rFonts w:ascii="Arial" w:hAnsi="Arial" w:cs="Arial"/>
          <w:lang w:val="sq-AL"/>
        </w:rPr>
        <w:t xml:space="preserve"> deponije</w:t>
      </w:r>
      <w:r w:rsidR="005335B5">
        <w:rPr>
          <w:rFonts w:ascii="Arial" w:hAnsi="Arial" w:cs="Arial"/>
          <w:lang w:val="sq-AL"/>
        </w:rPr>
        <w:t xml:space="preserve">. </w:t>
      </w:r>
      <w:r w:rsidRPr="002A6F4E">
        <w:rPr>
          <w:rFonts w:ascii="Arial" w:hAnsi="Arial" w:cs="Arial"/>
          <w:lang w:val="sq-AL"/>
        </w:rPr>
        <w:t>Trenutna situacija je prikazana u sljedećoj tabeli</w:t>
      </w:r>
      <w:r w:rsidR="00B8135E">
        <w:rPr>
          <w:rFonts w:ascii="Arial" w:hAnsi="Arial" w:cs="Arial"/>
          <w:lang w:val="sq-AL"/>
        </w:rPr>
        <w:t>:</w:t>
      </w:r>
    </w:p>
    <w:p w14:paraId="22EE3DB6" w14:textId="22D08D11" w:rsidR="00C232D7" w:rsidRPr="002A6F4E" w:rsidRDefault="00C232D7" w:rsidP="00E40D72">
      <w:pPr>
        <w:pStyle w:val="Caption"/>
        <w:rPr>
          <w:rFonts w:ascii="Arial" w:hAnsi="Arial" w:cs="Arial"/>
          <w:b w:val="0"/>
          <w:sz w:val="20"/>
          <w:szCs w:val="20"/>
          <w:lang w:val="sq-AL"/>
        </w:rPr>
      </w:pPr>
      <w:bookmarkStart w:id="758" w:name="_Toc190160710"/>
      <w:r w:rsidRPr="00D91773">
        <w:rPr>
          <w:rFonts w:ascii="Arial" w:hAnsi="Arial" w:cs="Arial"/>
          <w:b w:val="0"/>
          <w:szCs w:val="20"/>
          <w:lang w:val="sq-AL"/>
        </w:rPr>
        <w:t xml:space="preserve">Tabela </w:t>
      </w:r>
      <w:r w:rsidRPr="00D91773">
        <w:rPr>
          <w:rFonts w:ascii="Arial" w:hAnsi="Arial" w:cs="Arial"/>
          <w:b w:val="0"/>
          <w:szCs w:val="20"/>
          <w:lang w:val="sq-AL"/>
        </w:rPr>
        <w:fldChar w:fldCharType="begin"/>
      </w:r>
      <w:r w:rsidRPr="00D91773">
        <w:rPr>
          <w:rFonts w:ascii="Arial" w:hAnsi="Arial" w:cs="Arial"/>
          <w:b w:val="0"/>
          <w:szCs w:val="20"/>
          <w:lang w:val="sq-AL"/>
        </w:rPr>
        <w:instrText xml:space="preserve"> SEQ Tabela \* ARABIC </w:instrText>
      </w:r>
      <w:r w:rsidRPr="00D91773">
        <w:rPr>
          <w:rFonts w:ascii="Arial" w:hAnsi="Arial" w:cs="Arial"/>
          <w:b w:val="0"/>
          <w:szCs w:val="20"/>
          <w:lang w:val="sq-AL"/>
        </w:rPr>
        <w:fldChar w:fldCharType="separate"/>
      </w:r>
      <w:r w:rsidR="007274DA">
        <w:rPr>
          <w:rFonts w:ascii="Arial" w:hAnsi="Arial" w:cs="Arial"/>
          <w:b w:val="0"/>
          <w:noProof/>
          <w:szCs w:val="20"/>
          <w:lang w:val="sq-AL"/>
        </w:rPr>
        <w:t>20</w:t>
      </w:r>
      <w:r w:rsidRPr="00D91773">
        <w:rPr>
          <w:rFonts w:ascii="Arial" w:hAnsi="Arial" w:cs="Arial"/>
          <w:b w:val="0"/>
          <w:szCs w:val="20"/>
          <w:lang w:val="sq-AL"/>
        </w:rPr>
        <w:fldChar w:fldCharType="end"/>
      </w:r>
      <w:r w:rsidRPr="00D91773">
        <w:rPr>
          <w:rFonts w:ascii="Arial" w:hAnsi="Arial" w:cs="Arial"/>
          <w:b w:val="0"/>
          <w:szCs w:val="20"/>
          <w:lang w:val="sq-AL"/>
        </w:rPr>
        <w:t xml:space="preserve"> Količine otpadnih vozila (t) za 2021. godinu</w:t>
      </w:r>
      <w:bookmarkEnd w:id="758"/>
    </w:p>
    <w:tbl>
      <w:tblPr>
        <w:tblStyle w:val="denkstatt5"/>
        <w:tblW w:w="9540" w:type="dxa"/>
        <w:jc w:val="center"/>
        <w:tblLook w:val="04A0" w:firstRow="1" w:lastRow="0" w:firstColumn="1" w:lastColumn="0" w:noHBand="0" w:noVBand="1"/>
      </w:tblPr>
      <w:tblGrid>
        <w:gridCol w:w="1435"/>
        <w:gridCol w:w="1350"/>
        <w:gridCol w:w="1260"/>
        <w:gridCol w:w="1350"/>
        <w:gridCol w:w="1440"/>
        <w:gridCol w:w="1350"/>
        <w:gridCol w:w="1355"/>
      </w:tblGrid>
      <w:tr w:rsidR="00C232D7" w:rsidRPr="002A6F4E" w14:paraId="0BD8CABB" w14:textId="77777777" w:rsidTr="00C232D7">
        <w:trPr>
          <w:jc w:val="center"/>
        </w:trPr>
        <w:tc>
          <w:tcPr>
            <w:tcW w:w="1435" w:type="dxa"/>
            <w:shd w:val="clear" w:color="auto" w:fill="F2F2F2" w:themeFill="background1" w:themeFillShade="F2"/>
            <w:vAlign w:val="center"/>
          </w:tcPr>
          <w:p w14:paraId="28C23554" w14:textId="124F9258"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 xml:space="preserve">Količina sakupljenog i </w:t>
            </w:r>
            <w:r w:rsidR="007243EF" w:rsidRPr="00F6198B">
              <w:rPr>
                <w:rFonts w:ascii="Arial" w:hAnsi="Arial" w:cs="Arial"/>
                <w:b/>
                <w:sz w:val="18"/>
                <w:lang w:val="sq-AL"/>
              </w:rPr>
              <w:t xml:space="preserve">obrađenog </w:t>
            </w:r>
            <w:r w:rsidRPr="00F6198B">
              <w:rPr>
                <w:rFonts w:ascii="Arial" w:hAnsi="Arial" w:cs="Arial"/>
                <w:b/>
                <w:sz w:val="18"/>
                <w:lang w:val="sq-AL"/>
              </w:rPr>
              <w:t>otpada</w:t>
            </w:r>
          </w:p>
        </w:tc>
        <w:tc>
          <w:tcPr>
            <w:tcW w:w="1350" w:type="dxa"/>
            <w:shd w:val="clear" w:color="auto" w:fill="F2F2F2" w:themeFill="background1" w:themeFillShade="F2"/>
            <w:vAlign w:val="center"/>
          </w:tcPr>
          <w:p w14:paraId="3D84928F" w14:textId="11ADF4CA"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Količina otpada skladištenog unutar objekata (približno)</w:t>
            </w:r>
          </w:p>
        </w:tc>
        <w:tc>
          <w:tcPr>
            <w:tcW w:w="1260" w:type="dxa"/>
            <w:shd w:val="clear" w:color="auto" w:fill="F2F2F2" w:themeFill="background1" w:themeFillShade="F2"/>
            <w:vAlign w:val="center"/>
          </w:tcPr>
          <w:p w14:paraId="21F756E3" w14:textId="5994B369"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 xml:space="preserve">Količina otpada koji se </w:t>
            </w:r>
            <w:r w:rsidR="007243EF" w:rsidRPr="00F6198B">
              <w:rPr>
                <w:rFonts w:ascii="Arial" w:hAnsi="Arial" w:cs="Arial"/>
                <w:b/>
                <w:sz w:val="18"/>
                <w:lang w:val="sq-AL"/>
              </w:rPr>
              <w:t xml:space="preserve">obrađuje </w:t>
            </w:r>
            <w:r w:rsidRPr="00F6198B">
              <w:rPr>
                <w:rFonts w:ascii="Arial" w:hAnsi="Arial" w:cs="Arial"/>
                <w:b/>
                <w:sz w:val="18"/>
                <w:lang w:val="sq-AL"/>
              </w:rPr>
              <w:t>unutar objekata</w:t>
            </w:r>
          </w:p>
        </w:tc>
        <w:tc>
          <w:tcPr>
            <w:tcW w:w="1350" w:type="dxa"/>
            <w:shd w:val="clear" w:color="auto" w:fill="F2F2F2" w:themeFill="background1" w:themeFillShade="F2"/>
            <w:vAlign w:val="center"/>
          </w:tcPr>
          <w:p w14:paraId="28CCFB43" w14:textId="77777777"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Količina otpada predata sakupljačima otpada</w:t>
            </w:r>
          </w:p>
        </w:tc>
        <w:tc>
          <w:tcPr>
            <w:tcW w:w="1440" w:type="dxa"/>
            <w:shd w:val="clear" w:color="auto" w:fill="F2F2F2" w:themeFill="background1" w:themeFillShade="F2"/>
            <w:vAlign w:val="center"/>
          </w:tcPr>
          <w:p w14:paraId="5AD0070A" w14:textId="38B3AEAB"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 xml:space="preserve">Količina otpada dostavljenog u objekte za </w:t>
            </w:r>
            <w:r w:rsidR="007243EF" w:rsidRPr="00F6198B">
              <w:rPr>
                <w:rFonts w:ascii="Arial" w:hAnsi="Arial" w:cs="Arial"/>
                <w:b/>
                <w:sz w:val="18"/>
                <w:lang w:val="sq-AL"/>
              </w:rPr>
              <w:t xml:space="preserve">obradu </w:t>
            </w:r>
            <w:r w:rsidRPr="00F6198B">
              <w:rPr>
                <w:rFonts w:ascii="Arial" w:hAnsi="Arial" w:cs="Arial"/>
                <w:b/>
                <w:sz w:val="18"/>
                <w:lang w:val="sq-AL"/>
              </w:rPr>
              <w:t>otpada</w:t>
            </w:r>
          </w:p>
        </w:tc>
        <w:tc>
          <w:tcPr>
            <w:tcW w:w="1350" w:type="dxa"/>
            <w:shd w:val="clear" w:color="auto" w:fill="F2F2F2" w:themeFill="background1" w:themeFillShade="F2"/>
            <w:vAlign w:val="center"/>
          </w:tcPr>
          <w:p w14:paraId="79AAF255" w14:textId="77777777" w:rsidR="00C232D7" w:rsidRPr="00F6198B" w:rsidRDefault="00C232D7" w:rsidP="00C232D7">
            <w:pPr>
              <w:spacing w:before="40" w:after="40"/>
              <w:ind w:left="0"/>
              <w:jc w:val="center"/>
              <w:rPr>
                <w:rFonts w:ascii="Arial" w:hAnsi="Arial" w:cs="Arial"/>
                <w:b/>
                <w:bCs/>
                <w:sz w:val="18"/>
                <w:lang w:val="sq-AL"/>
              </w:rPr>
            </w:pPr>
            <w:r w:rsidRPr="00F6198B">
              <w:rPr>
                <w:rFonts w:ascii="Arial" w:hAnsi="Arial" w:cs="Arial"/>
                <w:b/>
                <w:bCs/>
                <w:sz w:val="18"/>
                <w:lang w:val="sq-AL"/>
              </w:rPr>
              <w:t>Količina otpada izvezenog u druge zemlje</w:t>
            </w:r>
          </w:p>
        </w:tc>
        <w:tc>
          <w:tcPr>
            <w:tcW w:w="1355" w:type="dxa"/>
            <w:shd w:val="clear" w:color="auto" w:fill="F2F2F2" w:themeFill="background1" w:themeFillShade="F2"/>
            <w:vAlign w:val="center"/>
          </w:tcPr>
          <w:p w14:paraId="2E1F8FB4" w14:textId="77777777" w:rsidR="00C232D7" w:rsidRPr="00F6198B" w:rsidRDefault="00C232D7" w:rsidP="00C232D7">
            <w:pPr>
              <w:spacing w:before="40" w:after="40"/>
              <w:ind w:left="0"/>
              <w:jc w:val="center"/>
              <w:rPr>
                <w:rFonts w:ascii="Arial" w:hAnsi="Arial" w:cs="Arial"/>
                <w:b/>
                <w:sz w:val="18"/>
                <w:lang w:val="sq-AL"/>
              </w:rPr>
            </w:pPr>
            <w:r w:rsidRPr="00F6198B">
              <w:rPr>
                <w:rFonts w:ascii="Arial" w:hAnsi="Arial" w:cs="Arial"/>
                <w:b/>
                <w:sz w:val="18"/>
                <w:lang w:val="sq-AL"/>
              </w:rPr>
              <w:t>Količina otpada prodata trgovcima otpadom</w:t>
            </w:r>
          </w:p>
        </w:tc>
      </w:tr>
      <w:tr w:rsidR="00C232D7" w:rsidRPr="002A6F4E" w14:paraId="6A76E72E" w14:textId="77777777" w:rsidTr="00C232D7">
        <w:trPr>
          <w:jc w:val="center"/>
        </w:trPr>
        <w:tc>
          <w:tcPr>
            <w:tcW w:w="1435" w:type="dxa"/>
          </w:tcPr>
          <w:p w14:paraId="16E60F59"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234,16</w:t>
            </w:r>
          </w:p>
        </w:tc>
        <w:tc>
          <w:tcPr>
            <w:tcW w:w="1350" w:type="dxa"/>
          </w:tcPr>
          <w:p w14:paraId="12E791A4"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20,36</w:t>
            </w:r>
          </w:p>
        </w:tc>
        <w:tc>
          <w:tcPr>
            <w:tcW w:w="1260" w:type="dxa"/>
          </w:tcPr>
          <w:p w14:paraId="58CAFEEB"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212,78</w:t>
            </w:r>
          </w:p>
        </w:tc>
        <w:tc>
          <w:tcPr>
            <w:tcW w:w="1350" w:type="dxa"/>
          </w:tcPr>
          <w:p w14:paraId="7EA25C01"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212,78</w:t>
            </w:r>
          </w:p>
        </w:tc>
        <w:tc>
          <w:tcPr>
            <w:tcW w:w="1440" w:type="dxa"/>
          </w:tcPr>
          <w:p w14:paraId="35B07C03"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Nema podataka</w:t>
            </w:r>
          </w:p>
        </w:tc>
        <w:tc>
          <w:tcPr>
            <w:tcW w:w="1350" w:type="dxa"/>
          </w:tcPr>
          <w:p w14:paraId="4E925D6D"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Nema podataka</w:t>
            </w:r>
          </w:p>
        </w:tc>
        <w:tc>
          <w:tcPr>
            <w:tcW w:w="1355" w:type="dxa"/>
          </w:tcPr>
          <w:p w14:paraId="6016EC5F" w14:textId="77777777" w:rsidR="00C232D7" w:rsidRPr="00F6198B" w:rsidRDefault="00C232D7" w:rsidP="00C232D7">
            <w:pPr>
              <w:spacing w:after="120" w:line="276" w:lineRule="auto"/>
              <w:ind w:left="0"/>
              <w:jc w:val="right"/>
              <w:rPr>
                <w:rFonts w:ascii="Arial" w:hAnsi="Arial" w:cs="Arial"/>
                <w:color w:val="000000"/>
                <w:sz w:val="18"/>
                <w:lang w:val="sq-AL"/>
              </w:rPr>
            </w:pPr>
            <w:r w:rsidRPr="00F6198B">
              <w:rPr>
                <w:rFonts w:ascii="Arial" w:hAnsi="Arial" w:cs="Arial"/>
                <w:color w:val="000000"/>
                <w:sz w:val="18"/>
                <w:lang w:val="sq-AL"/>
              </w:rPr>
              <w:t>192,56</w:t>
            </w:r>
          </w:p>
        </w:tc>
      </w:tr>
    </w:tbl>
    <w:p w14:paraId="6E8FB469" w14:textId="7CA796E9"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Prema Izvještaju Agencije za zaštitu životne sredine za 2021. godinu, </w:t>
      </w:r>
      <w:r w:rsidR="0043706D">
        <w:rPr>
          <w:rFonts w:ascii="Arial" w:hAnsi="Arial" w:cs="Arial"/>
          <w:lang w:val="sq-AL"/>
        </w:rPr>
        <w:t>privredno društvo</w:t>
      </w:r>
      <w:r w:rsidRPr="002A6F4E">
        <w:rPr>
          <w:rFonts w:ascii="Arial" w:hAnsi="Arial" w:cs="Arial"/>
          <w:lang w:val="sq-AL"/>
        </w:rPr>
        <w:t xml:space="preserve"> </w:t>
      </w:r>
      <w:r w:rsidR="0043706D">
        <w:rPr>
          <w:rFonts w:ascii="Arial" w:hAnsi="Arial" w:cs="Arial"/>
          <w:lang w:val="sq-AL"/>
        </w:rPr>
        <w:t>“</w:t>
      </w:r>
      <w:r w:rsidRPr="00873ECA">
        <w:rPr>
          <w:rFonts w:ascii="Arial" w:hAnsi="Arial" w:cs="Arial"/>
          <w:lang w:val="sq-AL"/>
        </w:rPr>
        <w:t>SS Alga</w:t>
      </w:r>
      <w:r w:rsidR="0043706D">
        <w:rPr>
          <w:rFonts w:ascii="Arial" w:hAnsi="Arial" w:cs="Arial"/>
          <w:lang w:val="sq-AL"/>
        </w:rPr>
        <w:t>” doo</w:t>
      </w:r>
      <w:r w:rsidRPr="00873ECA">
        <w:rPr>
          <w:rFonts w:ascii="Arial" w:hAnsi="Arial" w:cs="Arial"/>
          <w:lang w:val="sq-AL"/>
        </w:rPr>
        <w:t xml:space="preserve"> iz Nikšića</w:t>
      </w:r>
      <w:r w:rsidRPr="002A6F4E">
        <w:rPr>
          <w:rFonts w:ascii="Arial" w:hAnsi="Arial" w:cs="Arial"/>
          <w:lang w:val="sq-AL"/>
        </w:rPr>
        <w:t xml:space="preserve"> je sakupilo i preradilo najveću količinu otpadnih vozila (203,6 tona otpadnih vozila).</w:t>
      </w:r>
    </w:p>
    <w:p w14:paraId="1A092525" w14:textId="6040A2B2"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Kao što je prikazano u tabeli u nastavku prema informacijama preduzeća Deponija DOO, Podgorica, tokom 2021. godine pripremljeno je 16,7 tona otpadnih vozila za ponovnu upotrebu i recikl</w:t>
      </w:r>
      <w:r w:rsidR="007243EF">
        <w:rPr>
          <w:rFonts w:ascii="Arial" w:hAnsi="Arial" w:cs="Arial"/>
          <w:lang w:val="sq-AL"/>
        </w:rPr>
        <w:t>iranje</w:t>
      </w:r>
      <w:r w:rsidRPr="002A6F4E">
        <w:rPr>
          <w:rFonts w:ascii="Arial" w:hAnsi="Arial" w:cs="Arial"/>
          <w:lang w:val="sq-AL"/>
        </w:rPr>
        <w:t>. Preduzeće Deponija DOO je prodalo 189,7 tona otpadnih vozila trgovcima otpadom.</w:t>
      </w:r>
    </w:p>
    <w:p w14:paraId="6BE2BFCD" w14:textId="35C088FD" w:rsidR="00C232D7" w:rsidRPr="002A6F4E" w:rsidRDefault="00C232D7" w:rsidP="00E40D72">
      <w:pPr>
        <w:pStyle w:val="Caption"/>
        <w:rPr>
          <w:rFonts w:ascii="Arial" w:hAnsi="Arial" w:cs="Arial"/>
          <w:b w:val="0"/>
          <w:sz w:val="20"/>
          <w:szCs w:val="20"/>
          <w:lang w:val="sq-AL"/>
        </w:rPr>
      </w:pPr>
      <w:bookmarkStart w:id="759" w:name="_Toc190160711"/>
      <w:r w:rsidRPr="00D91773">
        <w:rPr>
          <w:rFonts w:ascii="Arial" w:hAnsi="Arial" w:cs="Arial"/>
          <w:b w:val="0"/>
          <w:szCs w:val="20"/>
          <w:lang w:val="sq-AL"/>
        </w:rPr>
        <w:t xml:space="preserve">Tabela </w:t>
      </w:r>
      <w:r w:rsidRPr="00D91773">
        <w:rPr>
          <w:rFonts w:ascii="Arial" w:hAnsi="Arial" w:cs="Arial"/>
          <w:b w:val="0"/>
          <w:szCs w:val="20"/>
          <w:lang w:val="sq-AL"/>
        </w:rPr>
        <w:fldChar w:fldCharType="begin"/>
      </w:r>
      <w:r w:rsidRPr="00D91773">
        <w:rPr>
          <w:rFonts w:ascii="Arial" w:hAnsi="Arial" w:cs="Arial"/>
          <w:b w:val="0"/>
          <w:szCs w:val="20"/>
          <w:lang w:val="sq-AL"/>
        </w:rPr>
        <w:instrText xml:space="preserve"> SEQ Tabela \* ARABIC </w:instrText>
      </w:r>
      <w:r w:rsidRPr="00D91773">
        <w:rPr>
          <w:rFonts w:ascii="Arial" w:hAnsi="Arial" w:cs="Arial"/>
          <w:b w:val="0"/>
          <w:szCs w:val="20"/>
          <w:lang w:val="sq-AL"/>
        </w:rPr>
        <w:fldChar w:fldCharType="separate"/>
      </w:r>
      <w:r w:rsidR="007274DA">
        <w:rPr>
          <w:rFonts w:ascii="Arial" w:hAnsi="Arial" w:cs="Arial"/>
          <w:b w:val="0"/>
          <w:noProof/>
          <w:szCs w:val="20"/>
          <w:lang w:val="sq-AL"/>
        </w:rPr>
        <w:t>21</w:t>
      </w:r>
      <w:r w:rsidRPr="00D91773">
        <w:rPr>
          <w:rFonts w:ascii="Arial" w:hAnsi="Arial" w:cs="Arial"/>
          <w:b w:val="0"/>
          <w:szCs w:val="20"/>
          <w:lang w:val="sq-AL"/>
        </w:rPr>
        <w:fldChar w:fldCharType="end"/>
      </w:r>
      <w:r w:rsidRPr="00D91773">
        <w:rPr>
          <w:rFonts w:ascii="Arial" w:hAnsi="Arial" w:cs="Arial"/>
          <w:b w:val="0"/>
          <w:szCs w:val="20"/>
          <w:lang w:val="sq-AL"/>
        </w:rPr>
        <w:t xml:space="preserve"> Broj vozila </w:t>
      </w:r>
      <w:r w:rsidR="007243EF">
        <w:rPr>
          <w:rFonts w:ascii="Arial" w:hAnsi="Arial" w:cs="Arial"/>
          <w:b w:val="0"/>
          <w:szCs w:val="20"/>
          <w:lang w:val="sq-AL"/>
        </w:rPr>
        <w:t>obrađenih</w:t>
      </w:r>
      <w:r w:rsidR="007243EF" w:rsidRPr="00D91773">
        <w:rPr>
          <w:rFonts w:ascii="Arial" w:hAnsi="Arial" w:cs="Arial"/>
          <w:b w:val="0"/>
          <w:szCs w:val="20"/>
          <w:lang w:val="sq-AL"/>
        </w:rPr>
        <w:t xml:space="preserve"> </w:t>
      </w:r>
      <w:r w:rsidRPr="00D91773">
        <w:rPr>
          <w:rFonts w:ascii="Arial" w:hAnsi="Arial" w:cs="Arial"/>
          <w:b w:val="0"/>
          <w:szCs w:val="20"/>
          <w:lang w:val="sq-AL"/>
        </w:rPr>
        <w:t>u pogonu za recikl</w:t>
      </w:r>
      <w:r w:rsidR="007243EF">
        <w:rPr>
          <w:rFonts w:ascii="Arial" w:hAnsi="Arial" w:cs="Arial"/>
          <w:b w:val="0"/>
          <w:szCs w:val="20"/>
          <w:lang w:val="sq-AL"/>
        </w:rPr>
        <w:t>iranje</w:t>
      </w:r>
      <w:r w:rsidRPr="00D91773">
        <w:rPr>
          <w:rFonts w:ascii="Arial" w:hAnsi="Arial" w:cs="Arial"/>
          <w:b w:val="0"/>
          <w:szCs w:val="20"/>
          <w:lang w:val="sq-AL"/>
        </w:rPr>
        <w:t xml:space="preserve"> </w:t>
      </w:r>
      <w:r w:rsidR="007243EF">
        <w:rPr>
          <w:rFonts w:ascii="Arial" w:hAnsi="Arial" w:cs="Arial"/>
          <w:b w:val="0"/>
          <w:szCs w:val="20"/>
          <w:lang w:val="sq-AL"/>
        </w:rPr>
        <w:t xml:space="preserve">otpadnih </w:t>
      </w:r>
      <w:r w:rsidRPr="00D91773">
        <w:rPr>
          <w:rFonts w:ascii="Arial" w:hAnsi="Arial" w:cs="Arial"/>
          <w:b w:val="0"/>
          <w:szCs w:val="20"/>
          <w:lang w:val="sq-AL"/>
        </w:rPr>
        <w:t xml:space="preserve">vozila </w:t>
      </w:r>
      <w:r w:rsidR="007243EF">
        <w:rPr>
          <w:rFonts w:ascii="Arial" w:hAnsi="Arial" w:cs="Arial"/>
          <w:b w:val="0"/>
          <w:szCs w:val="20"/>
          <w:lang w:val="sq-AL"/>
        </w:rPr>
        <w:t xml:space="preserve"> na lokaciji“</w:t>
      </w:r>
      <w:r w:rsidRPr="00D91773">
        <w:rPr>
          <w:rFonts w:ascii="Arial" w:hAnsi="Arial" w:cs="Arial"/>
          <w:b w:val="0"/>
          <w:szCs w:val="20"/>
          <w:lang w:val="sq-AL"/>
        </w:rPr>
        <w:t>Livad</w:t>
      </w:r>
      <w:r w:rsidR="007243EF">
        <w:rPr>
          <w:rFonts w:ascii="Arial" w:hAnsi="Arial" w:cs="Arial"/>
          <w:b w:val="0"/>
          <w:szCs w:val="20"/>
          <w:lang w:val="sq-AL"/>
        </w:rPr>
        <w:t>e”</w:t>
      </w:r>
      <w:r w:rsidRPr="00D91773">
        <w:rPr>
          <w:rFonts w:ascii="Arial" w:hAnsi="Arial" w:cs="Arial"/>
          <w:b w:val="0"/>
          <w:szCs w:val="20"/>
          <w:lang w:val="sq-AL"/>
        </w:rPr>
        <w:t>, Podgorica</w:t>
      </w:r>
      <w:bookmarkEnd w:id="759"/>
    </w:p>
    <w:tbl>
      <w:tblPr>
        <w:tblW w:w="7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6"/>
        <w:gridCol w:w="1171"/>
        <w:gridCol w:w="1171"/>
        <w:gridCol w:w="1171"/>
        <w:gridCol w:w="1171"/>
      </w:tblGrid>
      <w:tr w:rsidR="00C232D7" w:rsidRPr="002A6F4E" w14:paraId="5DB1D806" w14:textId="77777777" w:rsidTr="00C232D7">
        <w:trPr>
          <w:trHeight w:val="300"/>
          <w:jc w:val="center"/>
        </w:trPr>
        <w:tc>
          <w:tcPr>
            <w:tcW w:w="3797" w:type="dxa"/>
            <w:gridSpan w:val="2"/>
            <w:tcBorders>
              <w:top w:val="single" w:sz="4" w:space="0" w:color="auto"/>
              <w:left w:val="single" w:sz="4" w:space="0" w:color="auto"/>
              <w:bottom w:val="nil"/>
              <w:right w:val="single" w:sz="4" w:space="0" w:color="auto"/>
            </w:tcBorders>
            <w:shd w:val="clear" w:color="auto" w:fill="D9D9D9" w:themeFill="background1" w:themeFillShade="D9"/>
            <w:vAlign w:val="center"/>
          </w:tcPr>
          <w:p w14:paraId="74E5009F" w14:textId="77777777" w:rsidR="00C232D7" w:rsidRPr="00F6198B" w:rsidRDefault="00C232D7" w:rsidP="00C232D7">
            <w:pPr>
              <w:spacing w:line="360" w:lineRule="auto"/>
              <w:rPr>
                <w:rFonts w:ascii="Arial" w:hAnsi="Arial" w:cs="Arial"/>
                <w:b/>
                <w:bCs/>
                <w:sz w:val="18"/>
                <w:lang w:val="sq-AL"/>
              </w:rPr>
            </w:pPr>
            <w:r w:rsidRPr="00F6198B">
              <w:rPr>
                <w:rFonts w:ascii="Arial" w:hAnsi="Arial" w:cs="Arial"/>
                <w:b/>
                <w:sz w:val="18"/>
                <w:lang w:val="sq-AL"/>
              </w:rPr>
              <w:t>Otpadna vozila</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55DC5C" w14:textId="77777777" w:rsidR="00C232D7" w:rsidRPr="00F6198B" w:rsidRDefault="00C232D7" w:rsidP="00C232D7">
            <w:pPr>
              <w:spacing w:line="360" w:lineRule="auto"/>
              <w:rPr>
                <w:rFonts w:ascii="Arial" w:hAnsi="Arial" w:cs="Arial"/>
                <w:b/>
                <w:bCs/>
                <w:sz w:val="18"/>
                <w:lang w:val="sq-AL"/>
              </w:rPr>
            </w:pPr>
            <w:r w:rsidRPr="00F6198B">
              <w:rPr>
                <w:rFonts w:ascii="Arial" w:hAnsi="Arial" w:cs="Arial"/>
                <w:b/>
                <w:bCs/>
                <w:sz w:val="18"/>
                <w:lang w:val="sq-AL"/>
              </w:rPr>
              <w:t>2020</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F36DFE" w14:textId="77777777" w:rsidR="00C232D7" w:rsidRPr="00F6198B" w:rsidRDefault="00C232D7" w:rsidP="00C232D7">
            <w:pPr>
              <w:spacing w:line="360" w:lineRule="auto"/>
              <w:rPr>
                <w:rFonts w:ascii="Arial" w:hAnsi="Arial" w:cs="Arial"/>
                <w:b/>
                <w:bCs/>
                <w:sz w:val="18"/>
                <w:lang w:val="sq-AL"/>
              </w:rPr>
            </w:pPr>
            <w:r w:rsidRPr="00F6198B">
              <w:rPr>
                <w:rFonts w:ascii="Arial" w:hAnsi="Arial" w:cs="Arial"/>
                <w:b/>
                <w:bCs/>
                <w:sz w:val="18"/>
                <w:lang w:val="sq-AL"/>
              </w:rPr>
              <w:t>2021</w:t>
            </w:r>
          </w:p>
        </w:tc>
        <w:tc>
          <w:tcPr>
            <w:tcW w:w="11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CF886F" w14:textId="77777777" w:rsidR="00C232D7" w:rsidRPr="00F6198B" w:rsidRDefault="00C232D7" w:rsidP="00C232D7">
            <w:pPr>
              <w:spacing w:line="360" w:lineRule="auto"/>
              <w:rPr>
                <w:rFonts w:ascii="Arial" w:hAnsi="Arial" w:cs="Arial"/>
                <w:b/>
                <w:bCs/>
                <w:sz w:val="18"/>
                <w:lang w:val="sq-AL"/>
              </w:rPr>
            </w:pPr>
            <w:r w:rsidRPr="00F6198B">
              <w:rPr>
                <w:rFonts w:ascii="Arial" w:hAnsi="Arial" w:cs="Arial"/>
                <w:b/>
                <w:bCs/>
                <w:sz w:val="18"/>
                <w:lang w:val="sq-AL"/>
              </w:rPr>
              <w:t>2022</w:t>
            </w:r>
          </w:p>
        </w:tc>
      </w:tr>
      <w:tr w:rsidR="00C232D7" w:rsidRPr="002A6F4E" w14:paraId="5D3DEB86" w14:textId="77777777" w:rsidTr="00C232D7">
        <w:trPr>
          <w:trHeight w:val="300"/>
          <w:jc w:val="center"/>
        </w:trPr>
        <w:tc>
          <w:tcPr>
            <w:tcW w:w="2626" w:type="dxa"/>
            <w:vMerge w:val="restart"/>
            <w:tcBorders>
              <w:top w:val="single" w:sz="4" w:space="0" w:color="auto"/>
              <w:left w:val="single" w:sz="4" w:space="0" w:color="auto"/>
              <w:bottom w:val="single" w:sz="4" w:space="0" w:color="auto"/>
              <w:right w:val="single" w:sz="4" w:space="0" w:color="auto"/>
            </w:tcBorders>
          </w:tcPr>
          <w:p w14:paraId="0AB945E2" w14:textId="77777777" w:rsidR="00C232D7" w:rsidRPr="00F6198B" w:rsidRDefault="00C232D7" w:rsidP="00C232D7">
            <w:pPr>
              <w:spacing w:line="360" w:lineRule="auto"/>
              <w:rPr>
                <w:rFonts w:ascii="Arial" w:hAnsi="Arial" w:cs="Arial"/>
                <w:b/>
                <w:sz w:val="18"/>
                <w:lang w:val="sq-AL"/>
              </w:rPr>
            </w:pPr>
            <w:r w:rsidRPr="00F6198B">
              <w:rPr>
                <w:rFonts w:ascii="Arial" w:hAnsi="Arial" w:cs="Arial"/>
                <w:b/>
                <w:sz w:val="18"/>
                <w:lang w:val="sq-AL"/>
              </w:rPr>
              <w:t>Kompletna vozila</w:t>
            </w:r>
          </w:p>
          <w:p w14:paraId="00BAB191" w14:textId="77777777" w:rsidR="00C232D7" w:rsidRPr="00F6198B" w:rsidRDefault="00C232D7" w:rsidP="00C232D7">
            <w:pPr>
              <w:spacing w:line="360" w:lineRule="auto"/>
              <w:rPr>
                <w:rFonts w:ascii="Arial" w:hAnsi="Arial" w:cs="Arial"/>
                <w:b/>
                <w:sz w:val="18"/>
                <w:lang w:val="sq-AL"/>
              </w:rPr>
            </w:pPr>
          </w:p>
        </w:tc>
        <w:tc>
          <w:tcPr>
            <w:tcW w:w="1171" w:type="dxa"/>
            <w:tcBorders>
              <w:top w:val="single" w:sz="4" w:space="0" w:color="auto"/>
              <w:left w:val="single" w:sz="4" w:space="0" w:color="auto"/>
              <w:bottom w:val="single" w:sz="4" w:space="0" w:color="auto"/>
              <w:right w:val="single" w:sz="4" w:space="0" w:color="auto"/>
            </w:tcBorders>
            <w:vAlign w:val="center"/>
          </w:tcPr>
          <w:p w14:paraId="153ABF93" w14:textId="06412A3D" w:rsidR="00C232D7" w:rsidRPr="00F6198B" w:rsidRDefault="00F6198B" w:rsidP="00F6198B">
            <w:pPr>
              <w:spacing w:line="360" w:lineRule="auto"/>
              <w:rPr>
                <w:rFonts w:ascii="Arial" w:hAnsi="Arial" w:cs="Arial"/>
                <w:b/>
                <w:sz w:val="18"/>
                <w:lang w:val="sq-AL"/>
              </w:rPr>
            </w:pPr>
            <w:r>
              <w:rPr>
                <w:rFonts w:ascii="Arial" w:hAnsi="Arial" w:cs="Arial"/>
                <w:b/>
                <w:lang w:val="sq-AL"/>
              </w:rPr>
              <w:t>br</w:t>
            </w:r>
            <w:r w:rsidR="00C232D7" w:rsidRPr="00F6198B">
              <w:rPr>
                <w:rFonts w:ascii="Arial" w:hAnsi="Arial" w:cs="Arial"/>
                <w:b/>
                <w:lang w:val="sq-AL"/>
              </w:rPr>
              <w:t>.</w:t>
            </w:r>
          </w:p>
        </w:tc>
        <w:tc>
          <w:tcPr>
            <w:tcW w:w="1171" w:type="dxa"/>
            <w:tcBorders>
              <w:top w:val="single" w:sz="4" w:space="0" w:color="auto"/>
              <w:left w:val="single" w:sz="4" w:space="0" w:color="auto"/>
              <w:bottom w:val="single" w:sz="4" w:space="0" w:color="auto"/>
              <w:right w:val="single" w:sz="4" w:space="0" w:color="auto"/>
            </w:tcBorders>
            <w:vAlign w:val="center"/>
          </w:tcPr>
          <w:p w14:paraId="09D43137" w14:textId="77777777" w:rsidR="00C232D7" w:rsidRPr="00F6198B" w:rsidRDefault="00C232D7" w:rsidP="00C232D7">
            <w:pPr>
              <w:spacing w:line="360" w:lineRule="auto"/>
              <w:rPr>
                <w:rFonts w:ascii="Arial" w:hAnsi="Arial" w:cs="Arial"/>
                <w:b/>
                <w:bCs/>
                <w:sz w:val="18"/>
              </w:rPr>
            </w:pPr>
            <w:r w:rsidRPr="00F6198B">
              <w:rPr>
                <w:rFonts w:ascii="Arial" w:hAnsi="Arial" w:cs="Arial"/>
                <w:b/>
                <w:bCs/>
                <w:sz w:val="18"/>
              </w:rPr>
              <w:t>45</w:t>
            </w:r>
          </w:p>
        </w:tc>
        <w:tc>
          <w:tcPr>
            <w:tcW w:w="1171" w:type="dxa"/>
            <w:tcBorders>
              <w:top w:val="single" w:sz="4" w:space="0" w:color="auto"/>
              <w:left w:val="single" w:sz="4" w:space="0" w:color="auto"/>
              <w:bottom w:val="single" w:sz="4" w:space="0" w:color="auto"/>
              <w:right w:val="single" w:sz="4" w:space="0" w:color="auto"/>
            </w:tcBorders>
            <w:vAlign w:val="center"/>
          </w:tcPr>
          <w:p w14:paraId="2C70BC8C" w14:textId="77777777" w:rsidR="00C232D7" w:rsidRPr="00F6198B" w:rsidRDefault="00C232D7" w:rsidP="00C232D7">
            <w:pPr>
              <w:spacing w:line="360" w:lineRule="auto"/>
              <w:rPr>
                <w:rFonts w:ascii="Arial" w:hAnsi="Arial" w:cs="Arial"/>
                <w:b/>
                <w:bCs/>
                <w:sz w:val="18"/>
              </w:rPr>
            </w:pPr>
            <w:r w:rsidRPr="00F6198B">
              <w:rPr>
                <w:rFonts w:ascii="Arial" w:hAnsi="Arial" w:cs="Arial"/>
                <w:b/>
                <w:bCs/>
                <w:sz w:val="18"/>
              </w:rPr>
              <w:t>18</w:t>
            </w:r>
          </w:p>
        </w:tc>
        <w:tc>
          <w:tcPr>
            <w:tcW w:w="1171" w:type="dxa"/>
            <w:tcBorders>
              <w:top w:val="single" w:sz="4" w:space="0" w:color="auto"/>
              <w:left w:val="single" w:sz="4" w:space="0" w:color="auto"/>
              <w:bottom w:val="single" w:sz="4" w:space="0" w:color="auto"/>
              <w:right w:val="single" w:sz="4" w:space="0" w:color="auto"/>
            </w:tcBorders>
            <w:vAlign w:val="center"/>
          </w:tcPr>
          <w:p w14:paraId="7BFE1378" w14:textId="77777777" w:rsidR="00C232D7" w:rsidRPr="00F6198B" w:rsidRDefault="00C232D7" w:rsidP="00C232D7">
            <w:pPr>
              <w:spacing w:line="360" w:lineRule="auto"/>
              <w:rPr>
                <w:rFonts w:ascii="Arial" w:hAnsi="Arial" w:cs="Arial"/>
                <w:b/>
                <w:sz w:val="18"/>
                <w:lang w:val="sq-AL"/>
              </w:rPr>
            </w:pPr>
            <w:r w:rsidRPr="00F6198B">
              <w:rPr>
                <w:rFonts w:ascii="Arial" w:hAnsi="Arial" w:cs="Arial"/>
                <w:b/>
                <w:bCs/>
                <w:sz w:val="18"/>
              </w:rPr>
              <w:t>47</w:t>
            </w:r>
          </w:p>
        </w:tc>
      </w:tr>
      <w:tr w:rsidR="00C232D7" w:rsidRPr="002A6F4E" w14:paraId="1A4A415C" w14:textId="77777777" w:rsidTr="00C232D7">
        <w:trPr>
          <w:trHeight w:val="300"/>
          <w:jc w:val="center"/>
        </w:trPr>
        <w:tc>
          <w:tcPr>
            <w:tcW w:w="2626" w:type="dxa"/>
            <w:vMerge/>
            <w:tcBorders>
              <w:top w:val="single" w:sz="4" w:space="0" w:color="auto"/>
              <w:left w:val="single" w:sz="4" w:space="0" w:color="auto"/>
              <w:bottom w:val="single" w:sz="4" w:space="0" w:color="auto"/>
              <w:right w:val="single" w:sz="4" w:space="0" w:color="auto"/>
            </w:tcBorders>
          </w:tcPr>
          <w:p w14:paraId="2B815EC1" w14:textId="77777777" w:rsidR="00C232D7" w:rsidRPr="00F6198B" w:rsidRDefault="00C232D7" w:rsidP="00C232D7">
            <w:pPr>
              <w:spacing w:line="360" w:lineRule="auto"/>
              <w:rPr>
                <w:rFonts w:ascii="Arial" w:hAnsi="Arial" w:cs="Arial"/>
                <w:b/>
                <w:sz w:val="18"/>
                <w:lang w:val="sq-AL"/>
              </w:rPr>
            </w:pPr>
          </w:p>
        </w:tc>
        <w:tc>
          <w:tcPr>
            <w:tcW w:w="1171" w:type="dxa"/>
            <w:tcBorders>
              <w:top w:val="single" w:sz="4" w:space="0" w:color="auto"/>
              <w:left w:val="single" w:sz="4" w:space="0" w:color="auto"/>
              <w:bottom w:val="single" w:sz="4" w:space="0" w:color="auto"/>
              <w:right w:val="single" w:sz="4" w:space="0" w:color="auto"/>
            </w:tcBorders>
            <w:vAlign w:val="center"/>
          </w:tcPr>
          <w:p w14:paraId="1D1CDB3F" w14:textId="77777777" w:rsidR="00C232D7" w:rsidRPr="00F6198B" w:rsidRDefault="00C232D7" w:rsidP="00C232D7">
            <w:pPr>
              <w:spacing w:line="360" w:lineRule="auto"/>
              <w:rPr>
                <w:rFonts w:ascii="Arial" w:hAnsi="Arial" w:cs="Arial"/>
                <w:b/>
                <w:sz w:val="18"/>
                <w:lang w:val="sq-AL"/>
              </w:rPr>
            </w:pPr>
            <w:r w:rsidRPr="00F6198B">
              <w:rPr>
                <w:rFonts w:ascii="Arial" w:hAnsi="Arial" w:cs="Arial"/>
                <w:b/>
                <w:sz w:val="18"/>
                <w:lang w:val="sq-AL"/>
              </w:rPr>
              <w:t>kg</w:t>
            </w:r>
          </w:p>
        </w:tc>
        <w:tc>
          <w:tcPr>
            <w:tcW w:w="1171" w:type="dxa"/>
            <w:tcBorders>
              <w:top w:val="single" w:sz="4" w:space="0" w:color="auto"/>
              <w:left w:val="single" w:sz="4" w:space="0" w:color="auto"/>
              <w:bottom w:val="single" w:sz="4" w:space="0" w:color="auto"/>
              <w:right w:val="single" w:sz="4" w:space="0" w:color="auto"/>
            </w:tcBorders>
            <w:vAlign w:val="center"/>
          </w:tcPr>
          <w:p w14:paraId="7713BE26" w14:textId="77777777" w:rsidR="00C232D7" w:rsidRPr="00F6198B" w:rsidRDefault="00C232D7" w:rsidP="00C232D7">
            <w:pPr>
              <w:spacing w:line="360" w:lineRule="auto"/>
              <w:rPr>
                <w:rFonts w:ascii="Arial" w:hAnsi="Arial" w:cs="Arial"/>
                <w:b/>
                <w:bCs/>
                <w:sz w:val="18"/>
              </w:rPr>
            </w:pPr>
            <w:r w:rsidRPr="00F6198B">
              <w:rPr>
                <w:rFonts w:ascii="Arial" w:hAnsi="Arial" w:cs="Arial"/>
                <w:b/>
                <w:bCs/>
                <w:sz w:val="18"/>
              </w:rPr>
              <w:t>85,100</w:t>
            </w:r>
          </w:p>
        </w:tc>
        <w:tc>
          <w:tcPr>
            <w:tcW w:w="1171" w:type="dxa"/>
            <w:tcBorders>
              <w:top w:val="single" w:sz="4" w:space="0" w:color="auto"/>
              <w:left w:val="single" w:sz="4" w:space="0" w:color="auto"/>
              <w:bottom w:val="single" w:sz="4" w:space="0" w:color="auto"/>
              <w:right w:val="single" w:sz="4" w:space="0" w:color="auto"/>
            </w:tcBorders>
            <w:vAlign w:val="center"/>
          </w:tcPr>
          <w:p w14:paraId="4B72B5D5" w14:textId="77777777" w:rsidR="00C232D7" w:rsidRPr="00F6198B" w:rsidRDefault="00C232D7" w:rsidP="00C232D7">
            <w:pPr>
              <w:spacing w:line="360" w:lineRule="auto"/>
              <w:rPr>
                <w:rFonts w:ascii="Arial" w:hAnsi="Arial" w:cs="Arial"/>
                <w:b/>
                <w:bCs/>
                <w:sz w:val="18"/>
              </w:rPr>
            </w:pPr>
            <w:r w:rsidRPr="00F6198B">
              <w:rPr>
                <w:rFonts w:ascii="Arial" w:hAnsi="Arial" w:cs="Arial"/>
                <w:b/>
                <w:bCs/>
                <w:sz w:val="18"/>
              </w:rPr>
              <w:t>16,740</w:t>
            </w:r>
          </w:p>
        </w:tc>
        <w:tc>
          <w:tcPr>
            <w:tcW w:w="1171" w:type="dxa"/>
            <w:tcBorders>
              <w:top w:val="single" w:sz="4" w:space="0" w:color="auto"/>
              <w:left w:val="single" w:sz="4" w:space="0" w:color="auto"/>
              <w:bottom w:val="single" w:sz="4" w:space="0" w:color="auto"/>
              <w:right w:val="single" w:sz="4" w:space="0" w:color="auto"/>
            </w:tcBorders>
            <w:vAlign w:val="center"/>
          </w:tcPr>
          <w:p w14:paraId="0AB69A4D" w14:textId="77777777" w:rsidR="00C232D7" w:rsidRPr="00F6198B" w:rsidRDefault="00C232D7" w:rsidP="00C232D7">
            <w:pPr>
              <w:spacing w:line="360" w:lineRule="auto"/>
              <w:rPr>
                <w:rFonts w:ascii="Arial" w:hAnsi="Arial" w:cs="Arial"/>
                <w:b/>
                <w:sz w:val="18"/>
                <w:lang w:val="sq-AL"/>
              </w:rPr>
            </w:pPr>
            <w:r w:rsidRPr="00F6198B">
              <w:rPr>
                <w:rFonts w:ascii="Arial" w:hAnsi="Arial" w:cs="Arial"/>
                <w:b/>
                <w:bCs/>
                <w:sz w:val="18"/>
              </w:rPr>
              <w:t>50,420</w:t>
            </w:r>
          </w:p>
        </w:tc>
      </w:tr>
      <w:tr w:rsidR="00C232D7" w:rsidRPr="002A6F4E" w14:paraId="36BD7F64" w14:textId="77777777" w:rsidTr="00C232D7">
        <w:trPr>
          <w:trHeight w:val="300"/>
          <w:jc w:val="center"/>
        </w:trPr>
        <w:tc>
          <w:tcPr>
            <w:tcW w:w="2626" w:type="dxa"/>
            <w:vMerge w:val="restart"/>
            <w:tcBorders>
              <w:top w:val="single" w:sz="4" w:space="0" w:color="auto"/>
              <w:left w:val="single" w:sz="4" w:space="0" w:color="auto"/>
              <w:bottom w:val="single" w:sz="4" w:space="0" w:color="auto"/>
              <w:right w:val="single" w:sz="4" w:space="0" w:color="auto"/>
            </w:tcBorders>
          </w:tcPr>
          <w:p w14:paraId="2DBA218B" w14:textId="77777777" w:rsidR="00C232D7" w:rsidRPr="00F6198B" w:rsidRDefault="00C232D7" w:rsidP="00C232D7">
            <w:pPr>
              <w:spacing w:line="360" w:lineRule="auto"/>
              <w:rPr>
                <w:rFonts w:ascii="Arial" w:hAnsi="Arial" w:cs="Arial"/>
                <w:b/>
                <w:sz w:val="18"/>
                <w:lang w:val="sq-AL"/>
              </w:rPr>
            </w:pPr>
            <w:r w:rsidRPr="00F6198B">
              <w:rPr>
                <w:rFonts w:ascii="Arial" w:hAnsi="Arial" w:cs="Arial"/>
                <w:b/>
                <w:sz w:val="18"/>
                <w:lang w:val="sq-AL"/>
              </w:rPr>
              <w:t>Nekompletna vozila</w:t>
            </w:r>
          </w:p>
        </w:tc>
        <w:tc>
          <w:tcPr>
            <w:tcW w:w="1171" w:type="dxa"/>
            <w:tcBorders>
              <w:top w:val="single" w:sz="4" w:space="0" w:color="auto"/>
              <w:left w:val="single" w:sz="4" w:space="0" w:color="auto"/>
              <w:bottom w:val="single" w:sz="4" w:space="0" w:color="auto"/>
              <w:right w:val="single" w:sz="4" w:space="0" w:color="auto"/>
            </w:tcBorders>
            <w:vAlign w:val="center"/>
          </w:tcPr>
          <w:p w14:paraId="58A59109" w14:textId="77777777" w:rsidR="00C232D7" w:rsidRPr="00F6198B" w:rsidRDefault="00C232D7" w:rsidP="00C232D7">
            <w:pPr>
              <w:spacing w:line="360" w:lineRule="auto"/>
              <w:rPr>
                <w:rFonts w:ascii="Arial" w:hAnsi="Arial" w:cs="Arial"/>
                <w:b/>
                <w:sz w:val="18"/>
                <w:lang w:val="sq-AL"/>
              </w:rPr>
            </w:pPr>
            <w:r w:rsidRPr="00F6198B">
              <w:rPr>
                <w:rFonts w:ascii="Arial" w:hAnsi="Arial" w:cs="Arial"/>
                <w:b/>
                <w:lang w:val="sq-AL"/>
              </w:rPr>
              <w:t>no.</w:t>
            </w:r>
          </w:p>
        </w:tc>
        <w:tc>
          <w:tcPr>
            <w:tcW w:w="1171" w:type="dxa"/>
            <w:tcBorders>
              <w:top w:val="single" w:sz="4" w:space="0" w:color="auto"/>
              <w:left w:val="single" w:sz="4" w:space="0" w:color="auto"/>
              <w:bottom w:val="single" w:sz="4" w:space="0" w:color="auto"/>
              <w:right w:val="single" w:sz="4" w:space="0" w:color="auto"/>
            </w:tcBorders>
            <w:vAlign w:val="center"/>
          </w:tcPr>
          <w:p w14:paraId="62B9E14E" w14:textId="77777777" w:rsidR="00C232D7" w:rsidRPr="00F6198B" w:rsidRDefault="00C232D7" w:rsidP="00C232D7">
            <w:pPr>
              <w:spacing w:line="360" w:lineRule="auto"/>
              <w:rPr>
                <w:rFonts w:ascii="Arial" w:hAnsi="Arial" w:cs="Arial"/>
                <w:b/>
                <w:sz w:val="18"/>
                <w:lang w:val="sq-AL"/>
              </w:rPr>
            </w:pPr>
            <w:r w:rsidRPr="00F6198B">
              <w:rPr>
                <w:rFonts w:ascii="Arial" w:hAnsi="Arial" w:cs="Arial"/>
                <w:b/>
                <w:sz w:val="18"/>
                <w:lang w:val="sq-AL"/>
              </w:rPr>
              <w:t>1</w:t>
            </w:r>
          </w:p>
        </w:tc>
        <w:tc>
          <w:tcPr>
            <w:tcW w:w="1171" w:type="dxa"/>
            <w:tcBorders>
              <w:top w:val="single" w:sz="4" w:space="0" w:color="auto"/>
              <w:left w:val="single" w:sz="4" w:space="0" w:color="auto"/>
              <w:bottom w:val="single" w:sz="4" w:space="0" w:color="auto"/>
              <w:right w:val="single" w:sz="4" w:space="0" w:color="auto"/>
            </w:tcBorders>
            <w:vAlign w:val="center"/>
          </w:tcPr>
          <w:p w14:paraId="100561C7" w14:textId="77777777" w:rsidR="00C232D7" w:rsidRPr="00F6198B" w:rsidRDefault="00C232D7" w:rsidP="00C232D7">
            <w:pPr>
              <w:spacing w:line="360" w:lineRule="auto"/>
              <w:rPr>
                <w:rFonts w:ascii="Arial" w:hAnsi="Arial" w:cs="Arial"/>
                <w:b/>
                <w:sz w:val="18"/>
                <w:lang w:val="sq-AL"/>
              </w:rPr>
            </w:pPr>
            <w:r w:rsidRPr="00F6198B">
              <w:rPr>
                <w:rFonts w:ascii="Arial" w:hAnsi="Arial" w:cs="Arial"/>
                <w:b/>
                <w:sz w:val="18"/>
                <w:lang w:val="sq-AL"/>
              </w:rPr>
              <w:t>7</w:t>
            </w:r>
          </w:p>
        </w:tc>
        <w:tc>
          <w:tcPr>
            <w:tcW w:w="1171" w:type="dxa"/>
            <w:tcBorders>
              <w:top w:val="single" w:sz="4" w:space="0" w:color="auto"/>
              <w:left w:val="single" w:sz="4" w:space="0" w:color="auto"/>
              <w:bottom w:val="single" w:sz="4" w:space="0" w:color="auto"/>
              <w:right w:val="single" w:sz="4" w:space="0" w:color="auto"/>
            </w:tcBorders>
            <w:vAlign w:val="center"/>
          </w:tcPr>
          <w:p w14:paraId="3984CD1C" w14:textId="77777777" w:rsidR="00C232D7" w:rsidRPr="00F6198B" w:rsidRDefault="00C232D7" w:rsidP="00C232D7">
            <w:pPr>
              <w:spacing w:line="360" w:lineRule="auto"/>
              <w:rPr>
                <w:rFonts w:ascii="Arial" w:hAnsi="Arial" w:cs="Arial"/>
                <w:b/>
                <w:sz w:val="18"/>
                <w:lang w:val="sq-AL"/>
              </w:rPr>
            </w:pPr>
            <w:r w:rsidRPr="00F6198B">
              <w:rPr>
                <w:rFonts w:ascii="Arial" w:hAnsi="Arial" w:cs="Arial"/>
                <w:b/>
                <w:sz w:val="18"/>
                <w:lang w:val="sq-AL"/>
              </w:rPr>
              <w:t>6</w:t>
            </w:r>
          </w:p>
        </w:tc>
      </w:tr>
      <w:tr w:rsidR="00C232D7" w:rsidRPr="002A6F4E" w14:paraId="6FE229F4" w14:textId="77777777" w:rsidTr="00C232D7">
        <w:trPr>
          <w:trHeight w:val="300"/>
          <w:jc w:val="center"/>
        </w:trPr>
        <w:tc>
          <w:tcPr>
            <w:tcW w:w="2626" w:type="dxa"/>
            <w:vMerge/>
            <w:tcBorders>
              <w:top w:val="single" w:sz="4" w:space="0" w:color="auto"/>
              <w:left w:val="single" w:sz="4" w:space="0" w:color="auto"/>
              <w:bottom w:val="single" w:sz="4" w:space="0" w:color="auto"/>
              <w:right w:val="single" w:sz="4" w:space="0" w:color="auto"/>
            </w:tcBorders>
            <w:vAlign w:val="center"/>
          </w:tcPr>
          <w:p w14:paraId="1ECCFF77" w14:textId="77777777" w:rsidR="00C232D7" w:rsidRPr="00F6198B" w:rsidRDefault="00C232D7" w:rsidP="00C232D7">
            <w:pPr>
              <w:spacing w:line="360" w:lineRule="auto"/>
              <w:rPr>
                <w:rFonts w:ascii="Arial" w:hAnsi="Arial" w:cs="Arial"/>
                <w:b/>
                <w:bCs/>
                <w:sz w:val="18"/>
                <w:lang w:val="sq-AL"/>
              </w:rPr>
            </w:pPr>
          </w:p>
        </w:tc>
        <w:tc>
          <w:tcPr>
            <w:tcW w:w="1171" w:type="dxa"/>
            <w:tcBorders>
              <w:top w:val="single" w:sz="4" w:space="0" w:color="auto"/>
              <w:left w:val="single" w:sz="4" w:space="0" w:color="auto"/>
              <w:bottom w:val="single" w:sz="4" w:space="0" w:color="auto"/>
              <w:right w:val="single" w:sz="4" w:space="0" w:color="auto"/>
            </w:tcBorders>
            <w:vAlign w:val="center"/>
          </w:tcPr>
          <w:p w14:paraId="39712D6E" w14:textId="2F719D31" w:rsidR="00C232D7" w:rsidRPr="00F6198B" w:rsidRDefault="00D94655" w:rsidP="00C232D7">
            <w:pPr>
              <w:spacing w:line="360" w:lineRule="auto"/>
              <w:rPr>
                <w:rFonts w:ascii="Arial" w:hAnsi="Arial" w:cs="Arial"/>
                <w:b/>
                <w:sz w:val="18"/>
                <w:lang w:val="sq-AL"/>
              </w:rPr>
            </w:pPr>
            <w:r>
              <w:rPr>
                <w:rFonts w:ascii="Arial" w:hAnsi="Arial" w:cs="Arial"/>
                <w:b/>
                <w:sz w:val="18"/>
                <w:lang w:val="sq-AL"/>
              </w:rPr>
              <w:t>B</w:t>
            </w:r>
            <w:r w:rsidR="00F6198B">
              <w:rPr>
                <w:rFonts w:ascii="Arial" w:hAnsi="Arial" w:cs="Arial"/>
                <w:b/>
                <w:sz w:val="18"/>
                <w:lang w:val="sq-AL"/>
              </w:rPr>
              <w:t>r</w:t>
            </w:r>
          </w:p>
        </w:tc>
        <w:tc>
          <w:tcPr>
            <w:tcW w:w="1171" w:type="dxa"/>
            <w:tcBorders>
              <w:top w:val="single" w:sz="4" w:space="0" w:color="auto"/>
              <w:left w:val="single" w:sz="4" w:space="0" w:color="auto"/>
              <w:bottom w:val="single" w:sz="4" w:space="0" w:color="auto"/>
              <w:right w:val="single" w:sz="4" w:space="0" w:color="auto"/>
            </w:tcBorders>
            <w:vAlign w:val="center"/>
          </w:tcPr>
          <w:p w14:paraId="45E8AD74" w14:textId="77777777" w:rsidR="00C232D7" w:rsidRPr="00F6198B" w:rsidRDefault="00C232D7" w:rsidP="00C232D7">
            <w:pPr>
              <w:spacing w:line="360" w:lineRule="auto"/>
              <w:rPr>
                <w:rFonts w:ascii="Arial" w:hAnsi="Arial" w:cs="Arial"/>
                <w:b/>
                <w:sz w:val="18"/>
                <w:lang w:val="sq-AL"/>
              </w:rPr>
            </w:pPr>
            <w:r w:rsidRPr="00F6198B">
              <w:rPr>
                <w:rFonts w:ascii="Arial" w:hAnsi="Arial" w:cs="Arial"/>
                <w:b/>
                <w:sz w:val="18"/>
                <w:lang w:val="sq-AL"/>
              </w:rPr>
              <w:t>420</w:t>
            </w:r>
          </w:p>
        </w:tc>
        <w:tc>
          <w:tcPr>
            <w:tcW w:w="1171" w:type="dxa"/>
            <w:tcBorders>
              <w:top w:val="single" w:sz="4" w:space="0" w:color="auto"/>
              <w:left w:val="single" w:sz="4" w:space="0" w:color="auto"/>
              <w:bottom w:val="single" w:sz="4" w:space="0" w:color="auto"/>
              <w:right w:val="single" w:sz="4" w:space="0" w:color="auto"/>
            </w:tcBorders>
            <w:vAlign w:val="center"/>
          </w:tcPr>
          <w:p w14:paraId="0A53027A" w14:textId="77777777" w:rsidR="00C232D7" w:rsidRPr="00F6198B" w:rsidRDefault="00C232D7" w:rsidP="00C232D7">
            <w:pPr>
              <w:spacing w:line="360" w:lineRule="auto"/>
              <w:rPr>
                <w:rFonts w:ascii="Arial" w:hAnsi="Arial" w:cs="Arial"/>
                <w:b/>
                <w:sz w:val="18"/>
                <w:lang w:val="sq-AL"/>
              </w:rPr>
            </w:pPr>
            <w:r w:rsidRPr="00F6198B">
              <w:rPr>
                <w:rFonts w:ascii="Arial" w:hAnsi="Arial" w:cs="Arial"/>
                <w:b/>
                <w:sz w:val="18"/>
                <w:lang w:val="sq-AL"/>
              </w:rPr>
              <w:t>8,600</w:t>
            </w:r>
          </w:p>
        </w:tc>
        <w:tc>
          <w:tcPr>
            <w:tcW w:w="1171" w:type="dxa"/>
            <w:tcBorders>
              <w:top w:val="single" w:sz="4" w:space="0" w:color="auto"/>
              <w:left w:val="single" w:sz="4" w:space="0" w:color="auto"/>
              <w:bottom w:val="single" w:sz="4" w:space="0" w:color="auto"/>
              <w:right w:val="single" w:sz="4" w:space="0" w:color="auto"/>
            </w:tcBorders>
            <w:vAlign w:val="center"/>
          </w:tcPr>
          <w:p w14:paraId="2D92B2CD" w14:textId="77777777" w:rsidR="00C232D7" w:rsidRPr="00F6198B" w:rsidRDefault="00C232D7" w:rsidP="00C232D7">
            <w:pPr>
              <w:spacing w:line="360" w:lineRule="auto"/>
              <w:rPr>
                <w:rFonts w:ascii="Arial" w:hAnsi="Arial" w:cs="Arial"/>
                <w:b/>
                <w:sz w:val="18"/>
                <w:lang w:val="sq-AL"/>
              </w:rPr>
            </w:pPr>
            <w:r w:rsidRPr="00F6198B">
              <w:rPr>
                <w:rFonts w:ascii="Arial" w:hAnsi="Arial" w:cs="Arial"/>
                <w:b/>
                <w:sz w:val="18"/>
                <w:lang w:val="sq-AL"/>
              </w:rPr>
              <w:t>7,500</w:t>
            </w:r>
          </w:p>
        </w:tc>
      </w:tr>
    </w:tbl>
    <w:p w14:paraId="52705A6B" w14:textId="77777777" w:rsidR="00C232D7" w:rsidRPr="002A6F4E" w:rsidRDefault="00C232D7" w:rsidP="00C232D7">
      <w:pPr>
        <w:widowControl w:val="0"/>
        <w:spacing w:before="120" w:after="120" w:line="360" w:lineRule="auto"/>
        <w:rPr>
          <w:rFonts w:ascii="Arial" w:hAnsi="Arial" w:cs="Arial"/>
          <w:lang w:val="sq-AL"/>
        </w:rPr>
      </w:pPr>
    </w:p>
    <w:p w14:paraId="3B49A08D" w14:textId="76708F38" w:rsidR="00C232D7" w:rsidRPr="002E32CC" w:rsidRDefault="003D1C94" w:rsidP="00F57909">
      <w:pPr>
        <w:pStyle w:val="Heading2"/>
      </w:pPr>
      <w:bookmarkStart w:id="760" w:name="_Toc193353992"/>
      <w:r w:rsidRPr="002E32CC">
        <w:t>4.1</w:t>
      </w:r>
      <w:r w:rsidR="0093442F">
        <w:t>8</w:t>
      </w:r>
      <w:r w:rsidRPr="002E32CC">
        <w:t>.</w:t>
      </w:r>
      <w:r w:rsidR="00C232D7" w:rsidRPr="002E32CC">
        <w:t xml:space="preserve"> </w:t>
      </w:r>
      <w:r w:rsidR="006932AF">
        <w:t>Otpadne b</w:t>
      </w:r>
      <w:r w:rsidR="00C232D7" w:rsidRPr="002E32CC">
        <w:t>aterije i akumulatori</w:t>
      </w:r>
      <w:bookmarkEnd w:id="760"/>
    </w:p>
    <w:p w14:paraId="12A1075C" w14:textId="0BCF1424"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 Crnoj Gori je tokom 2020. godine pripremljeno za ponovnu upotrebu i recikl</w:t>
      </w:r>
      <w:r w:rsidR="007243EF">
        <w:rPr>
          <w:rFonts w:ascii="Arial" w:hAnsi="Arial" w:cs="Arial"/>
          <w:lang w:val="sq-AL"/>
        </w:rPr>
        <w:t>iranje</w:t>
      </w:r>
      <w:r w:rsidRPr="002A6F4E">
        <w:rPr>
          <w:rFonts w:ascii="Arial" w:hAnsi="Arial" w:cs="Arial"/>
          <w:lang w:val="sq-AL"/>
        </w:rPr>
        <w:t xml:space="preserve"> 35 </w:t>
      </w:r>
      <w:r w:rsidR="00873ECA" w:rsidRPr="00873ECA">
        <w:rPr>
          <w:rFonts w:ascii="Arial" w:hAnsi="Arial" w:cs="Arial"/>
          <w:lang w:val="sq-AL"/>
        </w:rPr>
        <w:t>t</w:t>
      </w:r>
      <w:r w:rsidRPr="002A6F4E">
        <w:rPr>
          <w:rFonts w:ascii="Arial" w:hAnsi="Arial" w:cs="Arial"/>
          <w:lang w:val="sq-AL"/>
        </w:rPr>
        <w:t xml:space="preserve"> baterija i akumulatora. Ovom vrstom otpada upravljala su  preduzeća ili preduzetnici koji imaju dozvolu za sakupljanje, preradu  i/ili </w:t>
      </w:r>
      <w:r w:rsidR="00C366D7">
        <w:rPr>
          <w:rFonts w:ascii="Arial" w:hAnsi="Arial" w:cs="Arial"/>
          <w:lang w:val="sq-AL"/>
        </w:rPr>
        <w:t>odstranjivanje</w:t>
      </w:r>
      <w:r w:rsidR="00C366D7" w:rsidRPr="002A6F4E">
        <w:rPr>
          <w:rFonts w:ascii="Arial" w:hAnsi="Arial" w:cs="Arial"/>
          <w:lang w:val="sq-AL"/>
        </w:rPr>
        <w:t xml:space="preserve"> </w:t>
      </w:r>
      <w:r w:rsidRPr="002A6F4E">
        <w:rPr>
          <w:rFonts w:ascii="Arial" w:hAnsi="Arial" w:cs="Arial"/>
          <w:lang w:val="sq-AL"/>
        </w:rPr>
        <w:t>otpadnih baterija i akumulatora i dužni su da obezbijede da:</w:t>
      </w:r>
    </w:p>
    <w:p w14:paraId="46A4087F" w14:textId="77777777" w:rsidR="00C232D7" w:rsidRPr="002A6F4E" w:rsidRDefault="00C232D7" w:rsidP="007B42D0">
      <w:pPr>
        <w:numPr>
          <w:ilvl w:val="0"/>
          <w:numId w:val="14"/>
        </w:numPr>
        <w:spacing w:before="120" w:after="120" w:line="360" w:lineRule="auto"/>
        <w:ind w:left="709"/>
        <w:rPr>
          <w:rFonts w:ascii="Arial" w:hAnsi="Arial" w:cs="Arial"/>
          <w:iCs/>
          <w:lang w:val="sq-AL"/>
        </w:rPr>
      </w:pPr>
      <w:r w:rsidRPr="002A6F4E">
        <w:rPr>
          <w:rFonts w:ascii="Arial" w:hAnsi="Arial" w:cs="Arial"/>
          <w:iCs/>
          <w:lang w:val="sq-AL"/>
        </w:rPr>
        <w:t xml:space="preserve">Stepen sakupljanja otpadnih baterija i akumulatora iznosi 45% od ukupne godišnje mase baterija i akumulatora koja je stavljena na tržište; </w:t>
      </w:r>
    </w:p>
    <w:p w14:paraId="1DE6D332" w14:textId="77777777" w:rsidR="00C232D7" w:rsidRPr="002A6F4E" w:rsidRDefault="00C232D7" w:rsidP="007B42D0">
      <w:pPr>
        <w:numPr>
          <w:ilvl w:val="0"/>
          <w:numId w:val="14"/>
        </w:numPr>
        <w:spacing w:before="120" w:after="120" w:line="360" w:lineRule="auto"/>
        <w:ind w:left="709"/>
        <w:rPr>
          <w:rFonts w:ascii="Arial" w:hAnsi="Arial" w:cs="Arial"/>
          <w:iCs/>
          <w:lang w:val="sq-AL"/>
        </w:rPr>
      </w:pPr>
      <w:r w:rsidRPr="002A6F4E">
        <w:rPr>
          <w:rFonts w:ascii="Arial" w:hAnsi="Arial" w:cs="Arial"/>
          <w:iCs/>
          <w:lang w:val="sq-AL"/>
        </w:rPr>
        <w:t>Stepen recikliranja otpadnih baterija i akumulatora iznosi:</w:t>
      </w:r>
    </w:p>
    <w:p w14:paraId="3B40DD96" w14:textId="77777777" w:rsidR="00C232D7" w:rsidRPr="002A6F4E" w:rsidRDefault="00C232D7" w:rsidP="007B42D0">
      <w:pPr>
        <w:numPr>
          <w:ilvl w:val="0"/>
          <w:numId w:val="71"/>
        </w:numPr>
        <w:tabs>
          <w:tab w:val="left" w:pos="284"/>
        </w:tabs>
        <w:spacing w:before="120" w:after="120" w:line="360" w:lineRule="auto"/>
        <w:ind w:left="709" w:hanging="450"/>
        <w:rPr>
          <w:rFonts w:ascii="Arial" w:hAnsi="Arial" w:cs="Arial"/>
          <w:bCs/>
          <w:lang w:val="sq-AL"/>
        </w:rPr>
      </w:pPr>
      <w:r w:rsidRPr="002A6F4E">
        <w:rPr>
          <w:rFonts w:ascii="Arial" w:hAnsi="Arial" w:cs="Arial"/>
          <w:bCs/>
          <w:lang w:val="sq-AL"/>
        </w:rPr>
        <w:t xml:space="preserve">65% u odnosu na prosječnu masu preuzetih otpadnih olovnih baterija i akumulatora sa kisjelinom, uključujući recikliranje olova u baterijama i akumulatorima; </w:t>
      </w:r>
    </w:p>
    <w:p w14:paraId="428194B7" w14:textId="77777777" w:rsidR="00C232D7" w:rsidRPr="002A6F4E" w:rsidRDefault="00C232D7" w:rsidP="007B42D0">
      <w:pPr>
        <w:numPr>
          <w:ilvl w:val="0"/>
          <w:numId w:val="71"/>
        </w:numPr>
        <w:tabs>
          <w:tab w:val="left" w:pos="284"/>
        </w:tabs>
        <w:spacing w:before="120" w:after="120" w:line="360" w:lineRule="auto"/>
        <w:ind w:left="709" w:hanging="450"/>
        <w:rPr>
          <w:rFonts w:ascii="Arial" w:hAnsi="Arial" w:cs="Arial"/>
          <w:bCs/>
          <w:lang w:val="sq-AL"/>
        </w:rPr>
      </w:pPr>
      <w:r w:rsidRPr="002A6F4E">
        <w:rPr>
          <w:rFonts w:ascii="Arial" w:hAnsi="Arial" w:cs="Arial"/>
          <w:bCs/>
          <w:lang w:val="sq-AL"/>
        </w:rPr>
        <w:t>75% u odnosu na prosječnu masu preuzetih otpadnih nikl-kadmijumskih baterija i akumulatora;</w:t>
      </w:r>
    </w:p>
    <w:p w14:paraId="0033066D" w14:textId="77777777" w:rsidR="00C232D7" w:rsidRPr="002A6F4E" w:rsidRDefault="00C232D7" w:rsidP="007B42D0">
      <w:pPr>
        <w:numPr>
          <w:ilvl w:val="0"/>
          <w:numId w:val="71"/>
        </w:numPr>
        <w:tabs>
          <w:tab w:val="left" w:pos="284"/>
        </w:tabs>
        <w:spacing w:before="120" w:after="120" w:line="360" w:lineRule="auto"/>
        <w:ind w:left="709" w:hanging="450"/>
        <w:rPr>
          <w:rFonts w:ascii="Arial" w:hAnsi="Arial" w:cs="Arial"/>
          <w:bCs/>
          <w:lang w:val="sq-AL"/>
        </w:rPr>
      </w:pPr>
      <w:r w:rsidRPr="002A6F4E">
        <w:rPr>
          <w:rFonts w:ascii="Arial" w:hAnsi="Arial" w:cs="Arial"/>
          <w:bCs/>
          <w:lang w:val="sq-AL"/>
        </w:rPr>
        <w:lastRenderedPageBreak/>
        <w:t>50% u odnosu na prosječnu masu drugih preuzetih otpadnih baterija i akumulatora.</w:t>
      </w:r>
    </w:p>
    <w:p w14:paraId="408A4430" w14:textId="1BF8D84C"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Sakupljene </w:t>
      </w:r>
      <w:r w:rsidR="00C366D7">
        <w:rPr>
          <w:rFonts w:ascii="Arial" w:hAnsi="Arial" w:cs="Arial"/>
          <w:lang w:val="sq-AL"/>
        </w:rPr>
        <w:t xml:space="preserve">otpadne </w:t>
      </w:r>
      <w:r w:rsidRPr="002A6F4E">
        <w:rPr>
          <w:rFonts w:ascii="Arial" w:hAnsi="Arial" w:cs="Arial"/>
          <w:lang w:val="sq-AL"/>
        </w:rPr>
        <w:t>baterije i akumulatori su izvezeni</w:t>
      </w:r>
      <w:r w:rsidR="00C366D7">
        <w:rPr>
          <w:rFonts w:ascii="Arial" w:hAnsi="Arial" w:cs="Arial"/>
          <w:lang w:val="sq-AL"/>
        </w:rPr>
        <w:t xml:space="preserve"> i</w:t>
      </w:r>
      <w:r w:rsidR="004F15E3">
        <w:rPr>
          <w:rFonts w:ascii="Arial" w:hAnsi="Arial" w:cs="Arial"/>
          <w:lang w:val="sq-AL"/>
        </w:rPr>
        <w:t xml:space="preserve"> </w:t>
      </w:r>
      <w:r w:rsidR="00C366D7">
        <w:rPr>
          <w:rFonts w:ascii="Arial" w:hAnsi="Arial" w:cs="Arial"/>
          <w:lang w:val="sq-AL"/>
        </w:rPr>
        <w:t>u</w:t>
      </w:r>
      <w:r w:rsidRPr="002A6F4E">
        <w:rPr>
          <w:rFonts w:ascii="Arial" w:hAnsi="Arial" w:cs="Arial"/>
          <w:lang w:val="sq-AL"/>
        </w:rPr>
        <w:t xml:space="preserve"> skladu sa </w:t>
      </w:r>
      <w:r w:rsidRPr="002A6F4E">
        <w:rPr>
          <w:rFonts w:ascii="Arial" w:hAnsi="Arial" w:cs="Arial"/>
          <w:iCs/>
          <w:lang w:val="sq-AL"/>
        </w:rPr>
        <w:t xml:space="preserve">Zakonom o upravljanju otpadom, </w:t>
      </w:r>
      <w:r w:rsidRPr="002A6F4E">
        <w:rPr>
          <w:rFonts w:ascii="Arial" w:hAnsi="Arial" w:cs="Arial"/>
          <w:lang w:val="sq-AL"/>
        </w:rPr>
        <w:t xml:space="preserve">izvoznik mora imati dozvolu Agencije za zaštitu životne sredine. </w:t>
      </w:r>
      <w:r w:rsidR="00C366D7" w:rsidRPr="00C366D7">
        <w:rPr>
          <w:rFonts w:ascii="Arial" w:hAnsi="Arial" w:cs="Arial"/>
          <w:lang w:val="sq-AL"/>
        </w:rPr>
        <w:t>Količine otpadnih baterija i akumulatora (tone) za 2021. godinu</w:t>
      </w:r>
      <w:r w:rsidR="00C366D7" w:rsidRPr="00C366D7" w:rsidDel="00C366D7">
        <w:rPr>
          <w:rFonts w:ascii="Arial" w:hAnsi="Arial" w:cs="Arial"/>
          <w:lang w:val="sq-AL"/>
        </w:rPr>
        <w:t xml:space="preserve"> </w:t>
      </w:r>
      <w:r w:rsidRPr="002A6F4E">
        <w:rPr>
          <w:rFonts w:ascii="Arial" w:hAnsi="Arial" w:cs="Arial"/>
          <w:lang w:val="sq-AL"/>
        </w:rPr>
        <w:t>prikazan</w:t>
      </w:r>
      <w:r w:rsidR="00C366D7">
        <w:rPr>
          <w:rFonts w:ascii="Arial" w:hAnsi="Arial" w:cs="Arial"/>
          <w:lang w:val="sq-AL"/>
        </w:rPr>
        <w:t>e su</w:t>
      </w:r>
      <w:r w:rsidRPr="002A6F4E">
        <w:rPr>
          <w:rFonts w:ascii="Arial" w:hAnsi="Arial" w:cs="Arial"/>
          <w:lang w:val="sq-AL"/>
        </w:rPr>
        <w:t xml:space="preserve"> u sljedećoj tabeli</w:t>
      </w:r>
      <w:r w:rsidR="00BF47F9">
        <w:rPr>
          <w:rFonts w:ascii="Arial" w:hAnsi="Arial" w:cs="Arial"/>
          <w:lang w:val="sq-AL"/>
        </w:rPr>
        <w:t>:</w:t>
      </w:r>
    </w:p>
    <w:p w14:paraId="1366AEF2" w14:textId="36541426" w:rsidR="00C232D7" w:rsidRPr="002A6F4E" w:rsidRDefault="00C232D7" w:rsidP="00E40D72">
      <w:pPr>
        <w:pStyle w:val="Caption"/>
        <w:rPr>
          <w:rFonts w:ascii="Arial" w:hAnsi="Arial" w:cs="Arial"/>
          <w:b w:val="0"/>
          <w:sz w:val="20"/>
          <w:szCs w:val="20"/>
          <w:lang w:val="sq-AL"/>
        </w:rPr>
      </w:pPr>
      <w:bookmarkStart w:id="761" w:name="_Toc190160712"/>
      <w:r w:rsidRPr="00BF47F9">
        <w:rPr>
          <w:rFonts w:ascii="Arial" w:hAnsi="Arial" w:cs="Arial"/>
          <w:b w:val="0"/>
          <w:szCs w:val="20"/>
          <w:lang w:val="sq-AL"/>
        </w:rPr>
        <w:t xml:space="preserve">Tabela </w:t>
      </w:r>
      <w:r w:rsidRPr="00BF47F9">
        <w:rPr>
          <w:rFonts w:ascii="Arial" w:hAnsi="Arial" w:cs="Arial"/>
          <w:b w:val="0"/>
          <w:szCs w:val="20"/>
          <w:lang w:val="sq-AL"/>
        </w:rPr>
        <w:fldChar w:fldCharType="begin"/>
      </w:r>
      <w:r w:rsidRPr="00BF47F9">
        <w:rPr>
          <w:rFonts w:ascii="Arial" w:hAnsi="Arial" w:cs="Arial"/>
          <w:b w:val="0"/>
          <w:szCs w:val="20"/>
          <w:lang w:val="sq-AL"/>
        </w:rPr>
        <w:instrText xml:space="preserve"> SEQ Tabela \* ARABIC </w:instrText>
      </w:r>
      <w:r w:rsidRPr="00BF47F9">
        <w:rPr>
          <w:rFonts w:ascii="Arial" w:hAnsi="Arial" w:cs="Arial"/>
          <w:b w:val="0"/>
          <w:szCs w:val="20"/>
          <w:lang w:val="sq-AL"/>
        </w:rPr>
        <w:fldChar w:fldCharType="separate"/>
      </w:r>
      <w:r w:rsidR="007274DA">
        <w:rPr>
          <w:rFonts w:ascii="Arial" w:hAnsi="Arial" w:cs="Arial"/>
          <w:b w:val="0"/>
          <w:noProof/>
          <w:szCs w:val="20"/>
          <w:lang w:val="sq-AL"/>
        </w:rPr>
        <w:t>22</w:t>
      </w:r>
      <w:r w:rsidRPr="00BF47F9">
        <w:rPr>
          <w:rFonts w:ascii="Arial" w:hAnsi="Arial" w:cs="Arial"/>
          <w:b w:val="0"/>
          <w:szCs w:val="20"/>
          <w:lang w:val="sq-AL"/>
        </w:rPr>
        <w:fldChar w:fldCharType="end"/>
      </w:r>
      <w:r w:rsidRPr="00BF47F9">
        <w:rPr>
          <w:rFonts w:ascii="Arial" w:hAnsi="Arial" w:cs="Arial"/>
          <w:b w:val="0"/>
          <w:szCs w:val="20"/>
          <w:lang w:val="sq-AL"/>
        </w:rPr>
        <w:t xml:space="preserve"> Količine </w:t>
      </w:r>
      <w:r w:rsidR="00AD6910" w:rsidRPr="00BF47F9">
        <w:rPr>
          <w:rFonts w:ascii="Arial" w:hAnsi="Arial" w:cs="Arial"/>
          <w:b w:val="0"/>
          <w:szCs w:val="20"/>
          <w:lang w:val="sq-AL"/>
        </w:rPr>
        <w:t xml:space="preserve">otpadnih </w:t>
      </w:r>
      <w:r w:rsidRPr="00BF47F9">
        <w:rPr>
          <w:rFonts w:ascii="Arial" w:hAnsi="Arial" w:cs="Arial"/>
          <w:b w:val="0"/>
          <w:szCs w:val="20"/>
          <w:lang w:val="sq-AL"/>
        </w:rPr>
        <w:t>baterija i akumulatora (t) za 2021. godinu</w:t>
      </w:r>
      <w:bookmarkEnd w:id="761"/>
    </w:p>
    <w:tbl>
      <w:tblPr>
        <w:tblStyle w:val="denkstatt8"/>
        <w:tblW w:w="9540" w:type="dxa"/>
        <w:jc w:val="center"/>
        <w:tblLook w:val="04A0" w:firstRow="1" w:lastRow="0" w:firstColumn="1" w:lastColumn="0" w:noHBand="0" w:noVBand="1"/>
      </w:tblPr>
      <w:tblGrid>
        <w:gridCol w:w="1435"/>
        <w:gridCol w:w="1350"/>
        <w:gridCol w:w="1260"/>
        <w:gridCol w:w="1350"/>
        <w:gridCol w:w="1440"/>
        <w:gridCol w:w="1350"/>
        <w:gridCol w:w="1355"/>
      </w:tblGrid>
      <w:tr w:rsidR="00C232D7" w:rsidRPr="002A6F4E" w14:paraId="7861F988" w14:textId="77777777" w:rsidTr="00C232D7">
        <w:trPr>
          <w:jc w:val="center"/>
        </w:trPr>
        <w:tc>
          <w:tcPr>
            <w:tcW w:w="1435" w:type="dxa"/>
            <w:shd w:val="clear" w:color="auto" w:fill="F2F2F2" w:themeFill="background1" w:themeFillShade="F2"/>
            <w:vAlign w:val="center"/>
          </w:tcPr>
          <w:p w14:paraId="6552430B" w14:textId="3A15CC78" w:rsidR="00C232D7" w:rsidRPr="00287103" w:rsidRDefault="00C232D7" w:rsidP="00C232D7">
            <w:pPr>
              <w:spacing w:before="40" w:after="40"/>
              <w:ind w:left="0"/>
              <w:jc w:val="center"/>
              <w:rPr>
                <w:rFonts w:ascii="Arial" w:hAnsi="Arial" w:cs="Arial"/>
                <w:b/>
                <w:sz w:val="18"/>
                <w:szCs w:val="18"/>
                <w:lang w:val="sq-AL"/>
              </w:rPr>
            </w:pPr>
            <w:r w:rsidRPr="00287103">
              <w:rPr>
                <w:rFonts w:ascii="Arial" w:hAnsi="Arial" w:cs="Arial"/>
                <w:b/>
                <w:sz w:val="18"/>
                <w:szCs w:val="18"/>
                <w:lang w:val="sq-AL"/>
              </w:rPr>
              <w:t xml:space="preserve">Količina sakupljenog i </w:t>
            </w:r>
            <w:r w:rsidR="00AD6910" w:rsidRPr="00287103">
              <w:rPr>
                <w:rFonts w:ascii="Arial" w:hAnsi="Arial" w:cs="Arial"/>
                <w:b/>
                <w:sz w:val="18"/>
                <w:szCs w:val="18"/>
                <w:lang w:val="sq-AL"/>
              </w:rPr>
              <w:t>obrađenog</w:t>
            </w:r>
            <w:r w:rsidRPr="00287103">
              <w:rPr>
                <w:rFonts w:ascii="Arial" w:hAnsi="Arial" w:cs="Arial"/>
                <w:b/>
                <w:sz w:val="18"/>
                <w:szCs w:val="18"/>
                <w:lang w:val="sq-AL"/>
              </w:rPr>
              <w:t xml:space="preserve"> otpada</w:t>
            </w:r>
          </w:p>
        </w:tc>
        <w:tc>
          <w:tcPr>
            <w:tcW w:w="1350" w:type="dxa"/>
            <w:shd w:val="clear" w:color="auto" w:fill="F2F2F2" w:themeFill="background1" w:themeFillShade="F2"/>
            <w:vAlign w:val="center"/>
          </w:tcPr>
          <w:p w14:paraId="1FE2E1A1" w14:textId="27F18FBA" w:rsidR="00C232D7" w:rsidRPr="00287103" w:rsidRDefault="00C232D7" w:rsidP="00C232D7">
            <w:pPr>
              <w:spacing w:before="40" w:after="40"/>
              <w:ind w:left="0"/>
              <w:jc w:val="center"/>
              <w:rPr>
                <w:rFonts w:ascii="Arial" w:hAnsi="Arial" w:cs="Arial"/>
                <w:b/>
                <w:sz w:val="18"/>
                <w:szCs w:val="18"/>
                <w:lang w:val="sq-AL"/>
              </w:rPr>
            </w:pPr>
            <w:r w:rsidRPr="00287103">
              <w:rPr>
                <w:rFonts w:ascii="Arial" w:hAnsi="Arial" w:cs="Arial"/>
                <w:b/>
                <w:sz w:val="18"/>
                <w:szCs w:val="18"/>
                <w:lang w:val="sq-AL"/>
              </w:rPr>
              <w:t>Količina otpada skladištenog unutar objekata (približno)</w:t>
            </w:r>
          </w:p>
        </w:tc>
        <w:tc>
          <w:tcPr>
            <w:tcW w:w="1260" w:type="dxa"/>
            <w:shd w:val="clear" w:color="auto" w:fill="F2F2F2" w:themeFill="background1" w:themeFillShade="F2"/>
            <w:vAlign w:val="center"/>
          </w:tcPr>
          <w:p w14:paraId="5DF68ECA" w14:textId="2FE36212" w:rsidR="00C232D7" w:rsidRPr="00287103" w:rsidRDefault="00C232D7" w:rsidP="00C232D7">
            <w:pPr>
              <w:spacing w:before="40" w:after="40"/>
              <w:ind w:left="0"/>
              <w:jc w:val="center"/>
              <w:rPr>
                <w:rFonts w:ascii="Arial" w:hAnsi="Arial" w:cs="Arial"/>
                <w:b/>
                <w:sz w:val="18"/>
                <w:szCs w:val="18"/>
                <w:lang w:val="sq-AL"/>
              </w:rPr>
            </w:pPr>
            <w:r w:rsidRPr="00287103">
              <w:rPr>
                <w:rFonts w:ascii="Arial" w:hAnsi="Arial" w:cs="Arial"/>
                <w:b/>
                <w:sz w:val="18"/>
                <w:szCs w:val="18"/>
                <w:lang w:val="sq-AL"/>
              </w:rPr>
              <w:t xml:space="preserve">Količina otpada koji se </w:t>
            </w:r>
            <w:r w:rsidR="00514AD9" w:rsidRPr="00287103">
              <w:rPr>
                <w:rFonts w:ascii="Arial" w:hAnsi="Arial" w:cs="Arial"/>
                <w:b/>
                <w:sz w:val="18"/>
                <w:szCs w:val="18"/>
                <w:lang w:val="sq-AL"/>
              </w:rPr>
              <w:t>obrađuje</w:t>
            </w:r>
            <w:r w:rsidRPr="00287103">
              <w:rPr>
                <w:rFonts w:ascii="Arial" w:hAnsi="Arial" w:cs="Arial"/>
                <w:b/>
                <w:sz w:val="18"/>
                <w:szCs w:val="18"/>
                <w:lang w:val="sq-AL"/>
              </w:rPr>
              <w:t xml:space="preserve"> unutar objekata</w:t>
            </w:r>
          </w:p>
        </w:tc>
        <w:tc>
          <w:tcPr>
            <w:tcW w:w="1350" w:type="dxa"/>
            <w:shd w:val="clear" w:color="auto" w:fill="F2F2F2" w:themeFill="background1" w:themeFillShade="F2"/>
            <w:vAlign w:val="center"/>
          </w:tcPr>
          <w:p w14:paraId="56D0C927" w14:textId="77777777" w:rsidR="00C232D7" w:rsidRPr="00287103" w:rsidRDefault="00C232D7" w:rsidP="00C232D7">
            <w:pPr>
              <w:spacing w:before="40" w:after="40"/>
              <w:ind w:left="0"/>
              <w:jc w:val="center"/>
              <w:rPr>
                <w:rFonts w:ascii="Arial" w:hAnsi="Arial" w:cs="Arial"/>
                <w:b/>
                <w:sz w:val="18"/>
                <w:szCs w:val="18"/>
                <w:lang w:val="sq-AL"/>
              </w:rPr>
            </w:pPr>
            <w:r w:rsidRPr="00287103">
              <w:rPr>
                <w:rFonts w:ascii="Arial" w:hAnsi="Arial" w:cs="Arial"/>
                <w:b/>
                <w:sz w:val="18"/>
                <w:szCs w:val="18"/>
                <w:lang w:val="sq-AL"/>
              </w:rPr>
              <w:t>Količina otpada predata sakupljačima otpada</w:t>
            </w:r>
          </w:p>
        </w:tc>
        <w:tc>
          <w:tcPr>
            <w:tcW w:w="1440" w:type="dxa"/>
            <w:shd w:val="clear" w:color="auto" w:fill="F2F2F2" w:themeFill="background1" w:themeFillShade="F2"/>
            <w:vAlign w:val="center"/>
          </w:tcPr>
          <w:p w14:paraId="22C1BAFB" w14:textId="641AF7FB" w:rsidR="00C232D7" w:rsidRPr="00287103" w:rsidRDefault="00C232D7" w:rsidP="00C232D7">
            <w:pPr>
              <w:spacing w:before="40" w:after="40"/>
              <w:ind w:left="0"/>
              <w:jc w:val="center"/>
              <w:rPr>
                <w:rFonts w:ascii="Arial" w:hAnsi="Arial" w:cs="Arial"/>
                <w:b/>
                <w:sz w:val="18"/>
                <w:szCs w:val="18"/>
                <w:lang w:val="sq-AL"/>
              </w:rPr>
            </w:pPr>
            <w:r w:rsidRPr="00287103">
              <w:rPr>
                <w:rFonts w:ascii="Arial" w:hAnsi="Arial" w:cs="Arial"/>
                <w:b/>
                <w:sz w:val="18"/>
                <w:szCs w:val="18"/>
                <w:lang w:val="sq-AL"/>
              </w:rPr>
              <w:t xml:space="preserve">Količina otpada dostavljenog u objekte za </w:t>
            </w:r>
            <w:r w:rsidR="00514AD9" w:rsidRPr="00287103">
              <w:rPr>
                <w:rFonts w:ascii="Arial" w:hAnsi="Arial" w:cs="Arial"/>
                <w:b/>
                <w:sz w:val="18"/>
                <w:szCs w:val="18"/>
                <w:lang w:val="sq-AL"/>
              </w:rPr>
              <w:t>obradu</w:t>
            </w:r>
            <w:r w:rsidRPr="00287103">
              <w:rPr>
                <w:rFonts w:ascii="Arial" w:hAnsi="Arial" w:cs="Arial"/>
                <w:b/>
                <w:sz w:val="18"/>
                <w:szCs w:val="18"/>
                <w:lang w:val="sq-AL"/>
              </w:rPr>
              <w:t xml:space="preserve"> otpada</w:t>
            </w:r>
          </w:p>
        </w:tc>
        <w:tc>
          <w:tcPr>
            <w:tcW w:w="1350" w:type="dxa"/>
            <w:shd w:val="clear" w:color="auto" w:fill="F2F2F2" w:themeFill="background1" w:themeFillShade="F2"/>
            <w:vAlign w:val="center"/>
          </w:tcPr>
          <w:p w14:paraId="7D2EF28A" w14:textId="77777777" w:rsidR="00C232D7" w:rsidRPr="00287103" w:rsidRDefault="00C232D7" w:rsidP="00C232D7">
            <w:pPr>
              <w:spacing w:before="40" w:after="40"/>
              <w:ind w:left="0"/>
              <w:jc w:val="center"/>
              <w:rPr>
                <w:rFonts w:ascii="Arial" w:hAnsi="Arial" w:cs="Arial"/>
                <w:b/>
                <w:bCs/>
                <w:sz w:val="18"/>
                <w:szCs w:val="18"/>
                <w:lang w:val="sq-AL"/>
              </w:rPr>
            </w:pPr>
            <w:r w:rsidRPr="00287103">
              <w:rPr>
                <w:rFonts w:ascii="Arial" w:hAnsi="Arial" w:cs="Arial"/>
                <w:b/>
                <w:bCs/>
                <w:sz w:val="18"/>
                <w:szCs w:val="18"/>
                <w:lang w:val="sq-AL"/>
              </w:rPr>
              <w:t>Količina otpada izvezenog u druge zemlje</w:t>
            </w:r>
          </w:p>
        </w:tc>
        <w:tc>
          <w:tcPr>
            <w:tcW w:w="1355" w:type="dxa"/>
            <w:shd w:val="clear" w:color="auto" w:fill="F2F2F2" w:themeFill="background1" w:themeFillShade="F2"/>
            <w:vAlign w:val="center"/>
          </w:tcPr>
          <w:p w14:paraId="0D1BA3A7" w14:textId="77777777" w:rsidR="00C232D7" w:rsidRPr="00287103" w:rsidRDefault="00C232D7" w:rsidP="00C232D7">
            <w:pPr>
              <w:spacing w:before="40" w:after="40"/>
              <w:ind w:left="0"/>
              <w:jc w:val="center"/>
              <w:rPr>
                <w:rFonts w:ascii="Arial" w:hAnsi="Arial" w:cs="Arial"/>
                <w:b/>
                <w:sz w:val="18"/>
                <w:szCs w:val="18"/>
                <w:lang w:val="sq-AL"/>
              </w:rPr>
            </w:pPr>
            <w:r w:rsidRPr="00287103">
              <w:rPr>
                <w:rFonts w:ascii="Arial" w:hAnsi="Arial" w:cs="Arial"/>
                <w:b/>
                <w:sz w:val="18"/>
                <w:szCs w:val="18"/>
                <w:lang w:val="sq-AL"/>
              </w:rPr>
              <w:t>Količina otpada prodata trgovcima otpadom</w:t>
            </w:r>
          </w:p>
        </w:tc>
      </w:tr>
      <w:tr w:rsidR="00C232D7" w:rsidRPr="002A6F4E" w14:paraId="36C5AE5C" w14:textId="77777777" w:rsidTr="00C232D7">
        <w:trPr>
          <w:jc w:val="center"/>
        </w:trPr>
        <w:tc>
          <w:tcPr>
            <w:tcW w:w="1435" w:type="dxa"/>
          </w:tcPr>
          <w:p w14:paraId="61AEDBA1" w14:textId="6AE72112" w:rsidR="00C232D7" w:rsidRPr="00287103" w:rsidRDefault="00C232D7" w:rsidP="00C232D7">
            <w:pPr>
              <w:spacing w:after="120" w:line="276" w:lineRule="auto"/>
              <w:ind w:left="0"/>
              <w:jc w:val="right"/>
              <w:rPr>
                <w:rFonts w:ascii="Arial" w:hAnsi="Arial" w:cs="Arial"/>
                <w:color w:val="000000"/>
                <w:sz w:val="18"/>
                <w:szCs w:val="18"/>
                <w:lang w:val="sq-AL"/>
              </w:rPr>
            </w:pPr>
            <w:r w:rsidRPr="00287103">
              <w:rPr>
                <w:rFonts w:ascii="Arial" w:hAnsi="Arial" w:cs="Arial"/>
                <w:color w:val="000000"/>
                <w:sz w:val="18"/>
                <w:szCs w:val="18"/>
                <w:lang w:val="sq-AL"/>
              </w:rPr>
              <w:t>1.950,31</w:t>
            </w:r>
          </w:p>
        </w:tc>
        <w:tc>
          <w:tcPr>
            <w:tcW w:w="1350" w:type="dxa"/>
          </w:tcPr>
          <w:p w14:paraId="0C2C87D5" w14:textId="77777777" w:rsidR="00C232D7" w:rsidRPr="00287103" w:rsidRDefault="00C232D7" w:rsidP="00C232D7">
            <w:pPr>
              <w:spacing w:after="120" w:line="276" w:lineRule="auto"/>
              <w:ind w:left="0"/>
              <w:jc w:val="right"/>
              <w:rPr>
                <w:rFonts w:ascii="Arial" w:hAnsi="Arial" w:cs="Arial"/>
                <w:color w:val="000000"/>
                <w:sz w:val="18"/>
                <w:szCs w:val="18"/>
                <w:lang w:val="sq-AL"/>
              </w:rPr>
            </w:pPr>
            <w:r w:rsidRPr="00287103">
              <w:rPr>
                <w:rFonts w:ascii="Arial" w:hAnsi="Arial" w:cs="Arial"/>
                <w:color w:val="000000"/>
                <w:sz w:val="18"/>
                <w:szCs w:val="18"/>
                <w:lang w:val="sq-AL"/>
              </w:rPr>
              <w:t>133,33</w:t>
            </w:r>
          </w:p>
        </w:tc>
        <w:tc>
          <w:tcPr>
            <w:tcW w:w="1260" w:type="dxa"/>
          </w:tcPr>
          <w:p w14:paraId="2363AFC7" w14:textId="77777777" w:rsidR="00C232D7" w:rsidRPr="00287103" w:rsidRDefault="00C232D7" w:rsidP="00C232D7">
            <w:pPr>
              <w:spacing w:after="120" w:line="276" w:lineRule="auto"/>
              <w:ind w:left="0"/>
              <w:jc w:val="right"/>
              <w:rPr>
                <w:rFonts w:ascii="Arial" w:hAnsi="Arial" w:cs="Arial"/>
                <w:color w:val="000000"/>
                <w:sz w:val="18"/>
                <w:szCs w:val="18"/>
                <w:lang w:val="sq-AL"/>
              </w:rPr>
            </w:pPr>
            <w:r w:rsidRPr="00287103">
              <w:rPr>
                <w:rFonts w:ascii="Arial" w:hAnsi="Arial" w:cs="Arial"/>
                <w:color w:val="000000"/>
                <w:sz w:val="18"/>
                <w:szCs w:val="18"/>
                <w:lang w:val="sq-AL"/>
              </w:rPr>
              <w:t>Nema podataka</w:t>
            </w:r>
          </w:p>
        </w:tc>
        <w:tc>
          <w:tcPr>
            <w:tcW w:w="1350" w:type="dxa"/>
          </w:tcPr>
          <w:p w14:paraId="425B1E04" w14:textId="77777777" w:rsidR="00C232D7" w:rsidRPr="00287103" w:rsidRDefault="00C232D7" w:rsidP="00C232D7">
            <w:pPr>
              <w:spacing w:after="120" w:line="276" w:lineRule="auto"/>
              <w:ind w:left="0"/>
              <w:jc w:val="right"/>
              <w:rPr>
                <w:rFonts w:ascii="Arial" w:hAnsi="Arial" w:cs="Arial"/>
                <w:color w:val="000000"/>
                <w:sz w:val="18"/>
                <w:szCs w:val="18"/>
                <w:lang w:val="sq-AL"/>
              </w:rPr>
            </w:pPr>
            <w:r w:rsidRPr="00287103">
              <w:rPr>
                <w:rFonts w:ascii="Arial" w:hAnsi="Arial" w:cs="Arial"/>
                <w:color w:val="000000"/>
                <w:sz w:val="18"/>
                <w:szCs w:val="18"/>
                <w:lang w:val="sq-AL"/>
              </w:rPr>
              <w:t>102,53</w:t>
            </w:r>
          </w:p>
        </w:tc>
        <w:tc>
          <w:tcPr>
            <w:tcW w:w="1440" w:type="dxa"/>
          </w:tcPr>
          <w:p w14:paraId="3C9B4630" w14:textId="77777777" w:rsidR="00C232D7" w:rsidRPr="00287103" w:rsidRDefault="00C232D7" w:rsidP="00C232D7">
            <w:pPr>
              <w:spacing w:after="120" w:line="276" w:lineRule="auto"/>
              <w:ind w:left="0"/>
              <w:jc w:val="right"/>
              <w:rPr>
                <w:rFonts w:ascii="Arial" w:hAnsi="Arial" w:cs="Arial"/>
                <w:color w:val="000000"/>
                <w:sz w:val="18"/>
                <w:szCs w:val="18"/>
                <w:lang w:val="sq-AL"/>
              </w:rPr>
            </w:pPr>
            <w:r w:rsidRPr="00287103">
              <w:rPr>
                <w:rFonts w:ascii="Arial" w:hAnsi="Arial" w:cs="Arial"/>
                <w:color w:val="000000"/>
                <w:sz w:val="18"/>
                <w:szCs w:val="18"/>
                <w:lang w:val="sq-AL"/>
              </w:rPr>
              <w:t>26,40</w:t>
            </w:r>
          </w:p>
        </w:tc>
        <w:tc>
          <w:tcPr>
            <w:tcW w:w="1350" w:type="dxa"/>
          </w:tcPr>
          <w:p w14:paraId="2BE064E6" w14:textId="77777777" w:rsidR="00C232D7" w:rsidRPr="00287103" w:rsidRDefault="00C232D7" w:rsidP="00C232D7">
            <w:pPr>
              <w:spacing w:after="120" w:line="276" w:lineRule="auto"/>
              <w:ind w:left="0"/>
              <w:jc w:val="right"/>
              <w:rPr>
                <w:rFonts w:ascii="Arial" w:hAnsi="Arial" w:cs="Arial"/>
                <w:color w:val="000000"/>
                <w:sz w:val="18"/>
                <w:szCs w:val="18"/>
                <w:lang w:val="sq-AL"/>
              </w:rPr>
            </w:pPr>
            <w:r w:rsidRPr="00287103">
              <w:rPr>
                <w:rFonts w:ascii="Arial" w:hAnsi="Arial" w:cs="Arial"/>
                <w:color w:val="000000"/>
                <w:sz w:val="18"/>
                <w:szCs w:val="18"/>
                <w:lang w:val="sq-AL"/>
              </w:rPr>
              <w:t>17,98</w:t>
            </w:r>
          </w:p>
        </w:tc>
        <w:tc>
          <w:tcPr>
            <w:tcW w:w="1355" w:type="dxa"/>
          </w:tcPr>
          <w:p w14:paraId="5A8B8DA4" w14:textId="77777777" w:rsidR="00C232D7" w:rsidRPr="00287103" w:rsidRDefault="00C232D7" w:rsidP="00C232D7">
            <w:pPr>
              <w:spacing w:after="120" w:line="276" w:lineRule="auto"/>
              <w:ind w:left="0"/>
              <w:jc w:val="right"/>
              <w:rPr>
                <w:rFonts w:ascii="Arial" w:hAnsi="Arial" w:cs="Arial"/>
                <w:color w:val="000000"/>
                <w:sz w:val="18"/>
                <w:szCs w:val="18"/>
                <w:lang w:val="sq-AL"/>
              </w:rPr>
            </w:pPr>
            <w:r w:rsidRPr="00287103">
              <w:rPr>
                <w:rFonts w:ascii="Arial" w:hAnsi="Arial" w:cs="Arial"/>
                <w:color w:val="000000"/>
                <w:sz w:val="18"/>
                <w:szCs w:val="18"/>
                <w:lang w:val="sq-AL"/>
              </w:rPr>
              <w:t>14,94</w:t>
            </w:r>
          </w:p>
        </w:tc>
      </w:tr>
    </w:tbl>
    <w:p w14:paraId="58BEDAD5" w14:textId="7BB544F3" w:rsidR="00C232D7" w:rsidRDefault="00C232D7" w:rsidP="00C232D7">
      <w:pPr>
        <w:widowControl w:val="0"/>
        <w:spacing w:before="120" w:after="120" w:line="360" w:lineRule="auto"/>
        <w:rPr>
          <w:rFonts w:ascii="Arial" w:hAnsi="Arial" w:cs="Arial"/>
          <w:lang w:val="sq-AL"/>
        </w:rPr>
      </w:pPr>
      <w:r w:rsidRPr="002A6F4E">
        <w:rPr>
          <w:rFonts w:ascii="Arial" w:hAnsi="Arial" w:cs="Arial"/>
          <w:lang w:val="sq-AL"/>
        </w:rPr>
        <w:t>Prema izvještaju Agencije za zaštitu životne sredine za 2021. godinu, preduzeće One Crna Gora (mobilni operater) je sakupilo i preradilo najveću količinu ove vrste otpada, odnosno 9.200 tona otpada, što se razlikuje od izvještaja Agencije za 2020. godinu, kada je ista kompanija (tada poznata kao Telenor) predala sakupljaču 0,25 tona otpada P</w:t>
      </w:r>
      <w:r w:rsidR="00BF47F9">
        <w:rPr>
          <w:rFonts w:ascii="Arial" w:hAnsi="Arial" w:cs="Arial"/>
          <w:lang w:val="sq-AL"/>
        </w:rPr>
        <w:t xml:space="preserve">rema podacima koje je dostavilo </w:t>
      </w:r>
      <w:r w:rsidR="00AA15E6">
        <w:rPr>
          <w:rFonts w:ascii="Arial" w:hAnsi="Arial" w:cs="Arial"/>
          <w:lang w:val="sq-AL"/>
        </w:rPr>
        <w:t>privredno društvo</w:t>
      </w:r>
      <w:r w:rsidRPr="002A6F4E">
        <w:rPr>
          <w:rFonts w:ascii="Arial" w:hAnsi="Arial" w:cs="Arial"/>
          <w:lang w:val="sq-AL"/>
        </w:rPr>
        <w:t xml:space="preserve"> </w:t>
      </w:r>
      <w:r w:rsidR="00AA15E6">
        <w:rPr>
          <w:rFonts w:ascii="Arial" w:hAnsi="Arial" w:cs="Arial"/>
          <w:lang w:val="sq-AL"/>
        </w:rPr>
        <w:t>“</w:t>
      </w:r>
      <w:r w:rsidRPr="002A6F4E">
        <w:rPr>
          <w:rFonts w:ascii="Arial" w:hAnsi="Arial" w:cs="Arial"/>
          <w:lang w:val="sq-AL"/>
        </w:rPr>
        <w:t>SS Alga</w:t>
      </w:r>
      <w:r w:rsidR="00AA15E6">
        <w:rPr>
          <w:rFonts w:ascii="Arial" w:hAnsi="Arial" w:cs="Arial"/>
          <w:lang w:val="sq-AL"/>
        </w:rPr>
        <w:t>”</w:t>
      </w:r>
      <w:r w:rsidRPr="002A6F4E">
        <w:rPr>
          <w:rFonts w:ascii="Arial" w:hAnsi="Arial" w:cs="Arial"/>
          <w:lang w:val="sq-AL"/>
        </w:rPr>
        <w:t xml:space="preserve"> </w:t>
      </w:r>
      <w:r w:rsidR="00AA15E6">
        <w:rPr>
          <w:rFonts w:ascii="Arial" w:hAnsi="Arial" w:cs="Arial"/>
          <w:lang w:val="sq-AL"/>
        </w:rPr>
        <w:t>doo</w:t>
      </w:r>
      <w:r w:rsidRPr="002A6F4E">
        <w:rPr>
          <w:rFonts w:ascii="Arial" w:hAnsi="Arial" w:cs="Arial"/>
          <w:lang w:val="sq-AL"/>
        </w:rPr>
        <w:t xml:space="preserve"> Nikšić </w:t>
      </w:r>
      <w:r w:rsidR="00BF47F9">
        <w:rPr>
          <w:rFonts w:ascii="Arial" w:hAnsi="Arial" w:cs="Arial"/>
          <w:lang w:val="sq-AL"/>
        </w:rPr>
        <w:t>sakupljena količina</w:t>
      </w:r>
      <w:r w:rsidR="00C366D7">
        <w:rPr>
          <w:rFonts w:ascii="Arial" w:hAnsi="Arial" w:cs="Arial"/>
          <w:lang w:val="sq-AL"/>
        </w:rPr>
        <w:t xml:space="preserve"> otpadnih baterija i akumulatora</w:t>
      </w:r>
      <w:r w:rsidR="000E0ED4">
        <w:rPr>
          <w:rFonts w:ascii="Arial" w:hAnsi="Arial" w:cs="Arial"/>
          <w:lang w:val="sq-AL"/>
        </w:rPr>
        <w:t xml:space="preserve"> je</w:t>
      </w:r>
      <w:r w:rsidRPr="002A6F4E">
        <w:rPr>
          <w:rFonts w:ascii="Arial" w:hAnsi="Arial" w:cs="Arial"/>
          <w:lang w:val="sq-AL"/>
        </w:rPr>
        <w:t xml:space="preserve"> 1.798,25 tona otpada.</w:t>
      </w:r>
    </w:p>
    <w:p w14:paraId="73067BD2" w14:textId="72F379D9" w:rsidR="00D412C8" w:rsidRPr="007752CC" w:rsidRDefault="00A73244" w:rsidP="00A73244">
      <w:pPr>
        <w:pStyle w:val="Heading2"/>
      </w:pPr>
      <w:bookmarkStart w:id="762" w:name="_Toc185837852"/>
      <w:bookmarkStart w:id="763" w:name="_Toc193353993"/>
      <w:r>
        <w:t xml:space="preserve">4.19. </w:t>
      </w:r>
      <w:r w:rsidR="00D412C8" w:rsidRPr="007752CC">
        <w:t>Otpadne gume</w:t>
      </w:r>
      <w:bookmarkEnd w:id="762"/>
      <w:bookmarkEnd w:id="763"/>
    </w:p>
    <w:p w14:paraId="711CA89B" w14:textId="38B5412C" w:rsidR="00D412C8" w:rsidRPr="007752CC" w:rsidRDefault="00D412C8" w:rsidP="00D412C8">
      <w:pPr>
        <w:spacing w:before="120" w:after="120" w:line="360" w:lineRule="auto"/>
        <w:rPr>
          <w:rFonts w:ascii="Arial" w:hAnsi="Arial" w:cs="Arial"/>
          <w:lang w:val="sq-AL"/>
        </w:rPr>
      </w:pPr>
      <w:r w:rsidRPr="007752CC">
        <w:rPr>
          <w:rFonts w:ascii="Arial" w:hAnsi="Arial" w:cs="Arial"/>
          <w:lang w:val="sq-AL"/>
        </w:rPr>
        <w:t xml:space="preserve">Otpadne gume predstavljaju veliki problem u procesu upravljanja otpadom. U Crnoj Gori ne postoji adekvatan način odlaganja ove vrste otpada. Procjenjuje se da se na </w:t>
      </w:r>
      <w:r w:rsidR="00AA15E6">
        <w:rPr>
          <w:rFonts w:ascii="Arial" w:hAnsi="Arial" w:cs="Arial"/>
          <w:lang w:val="sq-AL"/>
        </w:rPr>
        <w:t>platou sanitarne deponije “Livade”</w:t>
      </w:r>
      <w:r w:rsidRPr="007752CC">
        <w:rPr>
          <w:rFonts w:ascii="Arial" w:hAnsi="Arial" w:cs="Arial"/>
          <w:lang w:val="sq-AL"/>
        </w:rPr>
        <w:t xml:space="preserve"> nalazi oko 1.000 tona otpadnih guma. </w:t>
      </w:r>
    </w:p>
    <w:p w14:paraId="24D56B23" w14:textId="423393D4" w:rsidR="00D412C8" w:rsidRPr="007752CC" w:rsidRDefault="00D412C8" w:rsidP="00D412C8">
      <w:pPr>
        <w:spacing w:line="360" w:lineRule="auto"/>
        <w:rPr>
          <w:rFonts w:ascii="Arial" w:hAnsi="Arial" w:cs="Arial"/>
          <w:lang w:val="sq-AL"/>
        </w:rPr>
      </w:pPr>
      <w:r w:rsidRPr="007752CC">
        <w:rPr>
          <w:rFonts w:ascii="Arial" w:hAnsi="Arial" w:cs="Arial"/>
          <w:lang w:val="sq-AL"/>
        </w:rPr>
        <w:t xml:space="preserve">Prema </w:t>
      </w:r>
      <w:r w:rsidRPr="007752CC">
        <w:rPr>
          <w:rFonts w:ascii="Arial" w:hAnsi="Arial" w:cs="Arial"/>
          <w:iCs/>
          <w:lang w:val="sq-AL"/>
        </w:rPr>
        <w:t>Zakonu o upravljanju otpadom</w:t>
      </w:r>
      <w:r w:rsidR="007B42D0" w:rsidRPr="007752CC">
        <w:rPr>
          <w:rFonts w:ascii="Arial" w:hAnsi="Arial" w:cs="Arial"/>
          <w:iCs/>
          <w:lang w:val="sq-AL"/>
        </w:rPr>
        <w:t>,</w:t>
      </w:r>
      <w:r w:rsidRPr="007752CC">
        <w:rPr>
          <w:rFonts w:ascii="Arial" w:hAnsi="Arial" w:cs="Arial"/>
          <w:iCs/>
          <w:lang w:val="sq-AL"/>
        </w:rPr>
        <w:t xml:space="preserve"> </w:t>
      </w:r>
      <w:r w:rsidRPr="007752CC">
        <w:rPr>
          <w:rFonts w:ascii="Arial" w:hAnsi="Arial" w:cs="Arial"/>
          <w:lang w:val="sq-AL"/>
        </w:rPr>
        <w:t>proizvođači i uvoznici guma se uključuju u organizovani sistem sakupljanja i tretmana otpadnih guma. U praksi se ova mjera ne sprovodi. U sljedećoj tabeli prikazano je stanje u Crnoj Gori.</w:t>
      </w:r>
    </w:p>
    <w:p w14:paraId="2A7BF010" w14:textId="7ACFCB73" w:rsidR="00D412C8" w:rsidRPr="007752CC" w:rsidRDefault="007B42D0" w:rsidP="007B42D0">
      <w:pPr>
        <w:pStyle w:val="Caption"/>
        <w:rPr>
          <w:rFonts w:ascii="Arial" w:hAnsi="Arial" w:cs="Arial"/>
          <w:b w:val="0"/>
          <w:noProof/>
          <w:szCs w:val="20"/>
          <w:lang w:val="sq-AL"/>
        </w:rPr>
      </w:pPr>
      <w:bookmarkStart w:id="764" w:name="_Toc151853848"/>
      <w:r w:rsidRPr="007752CC">
        <w:rPr>
          <w:rFonts w:ascii="Arial" w:hAnsi="Arial" w:cs="Arial"/>
          <w:b w:val="0"/>
          <w:noProof/>
          <w:szCs w:val="20"/>
          <w:lang w:val="sq-AL"/>
        </w:rPr>
        <w:t xml:space="preserve">Tabela </w:t>
      </w:r>
      <w:r w:rsidRPr="007752CC">
        <w:rPr>
          <w:rFonts w:ascii="Arial" w:hAnsi="Arial" w:cs="Arial"/>
          <w:b w:val="0"/>
          <w:noProof/>
          <w:szCs w:val="20"/>
          <w:lang w:val="sq-AL"/>
        </w:rPr>
        <w:fldChar w:fldCharType="begin"/>
      </w:r>
      <w:r w:rsidRPr="007752CC">
        <w:rPr>
          <w:rFonts w:ascii="Arial" w:hAnsi="Arial" w:cs="Arial"/>
          <w:b w:val="0"/>
          <w:noProof/>
          <w:szCs w:val="20"/>
          <w:lang w:val="sq-AL"/>
        </w:rPr>
        <w:instrText xml:space="preserve"> SEQ Tabela \* ARABIC </w:instrText>
      </w:r>
      <w:r w:rsidRPr="007752CC">
        <w:rPr>
          <w:rFonts w:ascii="Arial" w:hAnsi="Arial" w:cs="Arial"/>
          <w:b w:val="0"/>
          <w:noProof/>
          <w:szCs w:val="20"/>
          <w:lang w:val="sq-AL"/>
        </w:rPr>
        <w:fldChar w:fldCharType="separate"/>
      </w:r>
      <w:r w:rsidR="007274DA">
        <w:rPr>
          <w:rFonts w:ascii="Arial" w:hAnsi="Arial" w:cs="Arial"/>
          <w:b w:val="0"/>
          <w:noProof/>
          <w:szCs w:val="20"/>
          <w:lang w:val="sq-AL"/>
        </w:rPr>
        <w:t>23</w:t>
      </w:r>
      <w:r w:rsidRPr="007752CC">
        <w:rPr>
          <w:rFonts w:ascii="Arial" w:hAnsi="Arial" w:cs="Arial"/>
          <w:b w:val="0"/>
          <w:noProof/>
          <w:szCs w:val="20"/>
          <w:lang w:val="sq-AL"/>
        </w:rPr>
        <w:fldChar w:fldCharType="end"/>
      </w:r>
      <w:r w:rsidR="00D412C8" w:rsidRPr="007752CC">
        <w:rPr>
          <w:rFonts w:ascii="Arial" w:hAnsi="Arial" w:cs="Arial"/>
          <w:b w:val="0"/>
          <w:noProof/>
          <w:szCs w:val="20"/>
          <w:lang w:val="sq-AL"/>
        </w:rPr>
        <w:t xml:space="preserve"> Količine otpadnih guma (tone) za 2021. godinu prema izvještaju Agencije za zaštitu životne s</w:t>
      </w:r>
      <w:r w:rsidR="001708F6" w:rsidRPr="007752CC">
        <w:rPr>
          <w:rFonts w:ascii="Arial" w:hAnsi="Arial" w:cs="Arial"/>
          <w:b w:val="0"/>
          <w:noProof/>
          <w:szCs w:val="20"/>
          <w:lang w:val="sq-AL"/>
        </w:rPr>
        <w:t>redine</w:t>
      </w:r>
    </w:p>
    <w:tbl>
      <w:tblPr>
        <w:tblStyle w:val="denkstatt10"/>
        <w:tblW w:w="9540" w:type="dxa"/>
        <w:jc w:val="center"/>
        <w:tblLook w:val="04A0" w:firstRow="1" w:lastRow="0" w:firstColumn="1" w:lastColumn="0" w:noHBand="0" w:noVBand="1"/>
      </w:tblPr>
      <w:tblGrid>
        <w:gridCol w:w="1408"/>
        <w:gridCol w:w="1561"/>
        <w:gridCol w:w="1136"/>
        <w:gridCol w:w="1473"/>
        <w:gridCol w:w="1450"/>
        <w:gridCol w:w="1255"/>
        <w:gridCol w:w="1257"/>
      </w:tblGrid>
      <w:tr w:rsidR="00D412C8" w:rsidRPr="007752CC" w14:paraId="455BC3DA" w14:textId="77777777" w:rsidTr="006B1CCE">
        <w:trPr>
          <w:jc w:val="center"/>
        </w:trPr>
        <w:tc>
          <w:tcPr>
            <w:tcW w:w="1435" w:type="dxa"/>
            <w:shd w:val="clear" w:color="auto" w:fill="F2F2F2" w:themeFill="background1" w:themeFillShade="F2"/>
            <w:vAlign w:val="center"/>
          </w:tcPr>
          <w:p w14:paraId="6FB56130" w14:textId="77777777" w:rsidR="00D412C8" w:rsidRPr="007752CC" w:rsidRDefault="00D412C8" w:rsidP="006B1CCE">
            <w:pPr>
              <w:spacing w:before="40" w:after="40"/>
              <w:ind w:left="0"/>
              <w:jc w:val="center"/>
              <w:rPr>
                <w:rFonts w:ascii="Arial" w:hAnsi="Arial" w:cs="Arial"/>
                <w:b/>
                <w:lang w:val="sq-AL"/>
              </w:rPr>
            </w:pPr>
            <w:r w:rsidRPr="007752CC">
              <w:rPr>
                <w:rFonts w:ascii="Arial" w:hAnsi="Arial" w:cs="Arial"/>
                <w:b/>
                <w:lang w:val="sq-AL"/>
              </w:rPr>
              <w:t>Količina sakupljenog i tretiranog otpada</w:t>
            </w:r>
          </w:p>
        </w:tc>
        <w:tc>
          <w:tcPr>
            <w:tcW w:w="1350" w:type="dxa"/>
            <w:shd w:val="clear" w:color="auto" w:fill="F2F2F2" w:themeFill="background1" w:themeFillShade="F2"/>
            <w:vAlign w:val="center"/>
          </w:tcPr>
          <w:p w14:paraId="1C5E644D" w14:textId="77777777" w:rsidR="00D412C8" w:rsidRPr="007752CC" w:rsidRDefault="00D412C8" w:rsidP="006B1CCE">
            <w:pPr>
              <w:spacing w:before="40" w:after="40"/>
              <w:ind w:left="0"/>
              <w:jc w:val="center"/>
              <w:rPr>
                <w:rFonts w:ascii="Arial" w:hAnsi="Arial" w:cs="Arial"/>
                <w:b/>
                <w:lang w:val="sq-AL"/>
              </w:rPr>
            </w:pPr>
            <w:r w:rsidRPr="007752CC">
              <w:rPr>
                <w:rFonts w:ascii="Arial" w:hAnsi="Arial" w:cs="Arial"/>
                <w:b/>
                <w:lang w:val="sq-AL"/>
              </w:rPr>
              <w:t>Količina otpada uskladištenog unutar objekata (približno)</w:t>
            </w:r>
          </w:p>
        </w:tc>
        <w:tc>
          <w:tcPr>
            <w:tcW w:w="1260" w:type="dxa"/>
            <w:shd w:val="clear" w:color="auto" w:fill="F2F2F2" w:themeFill="background1" w:themeFillShade="F2"/>
            <w:vAlign w:val="center"/>
          </w:tcPr>
          <w:p w14:paraId="6C3AAD2B" w14:textId="77777777" w:rsidR="00D412C8" w:rsidRPr="007752CC" w:rsidRDefault="00D412C8" w:rsidP="006B1CCE">
            <w:pPr>
              <w:spacing w:before="40" w:after="40"/>
              <w:ind w:left="0"/>
              <w:jc w:val="center"/>
              <w:rPr>
                <w:rFonts w:ascii="Arial" w:hAnsi="Arial" w:cs="Arial"/>
                <w:b/>
                <w:lang w:val="sq-AL"/>
              </w:rPr>
            </w:pPr>
            <w:r w:rsidRPr="007752CC">
              <w:rPr>
                <w:rFonts w:ascii="Arial" w:hAnsi="Arial" w:cs="Arial"/>
                <w:b/>
                <w:lang w:val="sq-AL"/>
              </w:rPr>
              <w:t>Količina otpada koji se tretira unutar objekata</w:t>
            </w:r>
          </w:p>
        </w:tc>
        <w:tc>
          <w:tcPr>
            <w:tcW w:w="1350" w:type="dxa"/>
            <w:shd w:val="clear" w:color="auto" w:fill="F2F2F2" w:themeFill="background1" w:themeFillShade="F2"/>
            <w:vAlign w:val="center"/>
          </w:tcPr>
          <w:p w14:paraId="22124A9A" w14:textId="77777777" w:rsidR="00D412C8" w:rsidRPr="007752CC" w:rsidRDefault="00D412C8" w:rsidP="006B1CCE">
            <w:pPr>
              <w:spacing w:before="40" w:after="40"/>
              <w:ind w:left="0"/>
              <w:jc w:val="center"/>
              <w:rPr>
                <w:rFonts w:ascii="Arial" w:hAnsi="Arial" w:cs="Arial"/>
                <w:b/>
                <w:lang w:val="sq-AL"/>
              </w:rPr>
            </w:pPr>
            <w:r w:rsidRPr="007752CC">
              <w:rPr>
                <w:rFonts w:ascii="Arial" w:hAnsi="Arial" w:cs="Arial"/>
                <w:b/>
                <w:lang w:val="sq-AL"/>
              </w:rPr>
              <w:t>Količina otpada predata sakupljačima otpada</w:t>
            </w:r>
          </w:p>
        </w:tc>
        <w:tc>
          <w:tcPr>
            <w:tcW w:w="1440" w:type="dxa"/>
            <w:shd w:val="clear" w:color="auto" w:fill="F2F2F2" w:themeFill="background1" w:themeFillShade="F2"/>
            <w:vAlign w:val="center"/>
          </w:tcPr>
          <w:p w14:paraId="32C4B2B7" w14:textId="77777777" w:rsidR="00D412C8" w:rsidRPr="007752CC" w:rsidRDefault="00D412C8" w:rsidP="006B1CCE">
            <w:pPr>
              <w:spacing w:before="40" w:after="40"/>
              <w:ind w:left="0"/>
              <w:jc w:val="center"/>
              <w:rPr>
                <w:rFonts w:ascii="Arial" w:hAnsi="Arial" w:cs="Arial"/>
                <w:b/>
                <w:lang w:val="sq-AL"/>
              </w:rPr>
            </w:pPr>
            <w:r w:rsidRPr="007752CC">
              <w:rPr>
                <w:rFonts w:ascii="Arial" w:hAnsi="Arial" w:cs="Arial"/>
                <w:b/>
                <w:lang w:val="sq-AL"/>
              </w:rPr>
              <w:t>Količina otpada dostavljenog u objekte za tretman otpada</w:t>
            </w:r>
          </w:p>
        </w:tc>
        <w:tc>
          <w:tcPr>
            <w:tcW w:w="1350" w:type="dxa"/>
            <w:shd w:val="clear" w:color="auto" w:fill="F2F2F2" w:themeFill="background1" w:themeFillShade="F2"/>
            <w:vAlign w:val="center"/>
          </w:tcPr>
          <w:p w14:paraId="3F08D5DF" w14:textId="77777777" w:rsidR="00D412C8" w:rsidRPr="007752CC" w:rsidRDefault="00D412C8" w:rsidP="006B1CCE">
            <w:pPr>
              <w:spacing w:before="40" w:after="40"/>
              <w:ind w:left="0"/>
              <w:jc w:val="center"/>
              <w:rPr>
                <w:rFonts w:ascii="Arial" w:hAnsi="Arial" w:cs="Arial"/>
                <w:b/>
                <w:bCs/>
                <w:lang w:val="sq-AL"/>
              </w:rPr>
            </w:pPr>
            <w:r w:rsidRPr="007752CC">
              <w:rPr>
                <w:rFonts w:ascii="Arial" w:hAnsi="Arial" w:cs="Arial"/>
                <w:b/>
                <w:bCs/>
                <w:lang w:val="sq-AL"/>
              </w:rPr>
              <w:t>Količina otpada izvezenog u druge zemlje</w:t>
            </w:r>
          </w:p>
        </w:tc>
        <w:tc>
          <w:tcPr>
            <w:tcW w:w="1355" w:type="dxa"/>
            <w:shd w:val="clear" w:color="auto" w:fill="F2F2F2" w:themeFill="background1" w:themeFillShade="F2"/>
            <w:vAlign w:val="center"/>
          </w:tcPr>
          <w:p w14:paraId="5101991D" w14:textId="77777777" w:rsidR="00D412C8" w:rsidRPr="007752CC" w:rsidRDefault="00D412C8" w:rsidP="006B1CCE">
            <w:pPr>
              <w:spacing w:before="40" w:after="40"/>
              <w:ind w:left="0"/>
              <w:jc w:val="center"/>
              <w:rPr>
                <w:rFonts w:ascii="Arial" w:hAnsi="Arial" w:cs="Arial"/>
                <w:b/>
                <w:lang w:val="sq-AL"/>
              </w:rPr>
            </w:pPr>
            <w:r w:rsidRPr="007752CC">
              <w:rPr>
                <w:rFonts w:ascii="Arial" w:hAnsi="Arial" w:cs="Arial"/>
                <w:b/>
                <w:lang w:val="sq-AL"/>
              </w:rPr>
              <w:t>Količina otpada prodata trgovcima otpadom</w:t>
            </w:r>
          </w:p>
        </w:tc>
      </w:tr>
      <w:tr w:rsidR="00D412C8" w:rsidRPr="007752CC" w14:paraId="0BBE346F" w14:textId="77777777" w:rsidTr="006B1CCE">
        <w:trPr>
          <w:jc w:val="center"/>
        </w:trPr>
        <w:tc>
          <w:tcPr>
            <w:tcW w:w="1435" w:type="dxa"/>
          </w:tcPr>
          <w:p w14:paraId="6C75659F" w14:textId="77777777" w:rsidR="00D412C8" w:rsidRPr="007752CC" w:rsidRDefault="00D412C8" w:rsidP="006B1CCE">
            <w:pPr>
              <w:spacing w:after="120" w:line="276" w:lineRule="auto"/>
              <w:ind w:left="0"/>
              <w:jc w:val="right"/>
              <w:rPr>
                <w:rFonts w:ascii="Arial" w:hAnsi="Arial" w:cs="Arial"/>
                <w:color w:val="000000"/>
                <w:lang w:val="sq-AL"/>
              </w:rPr>
            </w:pPr>
            <w:r w:rsidRPr="007752CC">
              <w:rPr>
                <w:rFonts w:ascii="Arial" w:hAnsi="Arial" w:cs="Arial"/>
                <w:color w:val="000000"/>
                <w:lang w:val="sq-AL"/>
              </w:rPr>
              <w:t>230,69</w:t>
            </w:r>
          </w:p>
        </w:tc>
        <w:tc>
          <w:tcPr>
            <w:tcW w:w="1350" w:type="dxa"/>
          </w:tcPr>
          <w:p w14:paraId="6EC88663" w14:textId="77777777" w:rsidR="00D412C8" w:rsidRPr="007752CC" w:rsidRDefault="00D412C8" w:rsidP="006B1CCE">
            <w:pPr>
              <w:spacing w:after="120" w:line="276" w:lineRule="auto"/>
              <w:ind w:left="0"/>
              <w:jc w:val="right"/>
              <w:rPr>
                <w:rFonts w:ascii="Arial" w:hAnsi="Arial" w:cs="Arial"/>
                <w:color w:val="000000"/>
                <w:lang w:val="sq-AL"/>
              </w:rPr>
            </w:pPr>
            <w:r w:rsidRPr="007752CC">
              <w:rPr>
                <w:rFonts w:ascii="Arial" w:hAnsi="Arial" w:cs="Arial"/>
                <w:color w:val="000000"/>
                <w:lang w:val="sq-AL"/>
              </w:rPr>
              <w:t>1.024,53</w:t>
            </w:r>
          </w:p>
        </w:tc>
        <w:tc>
          <w:tcPr>
            <w:tcW w:w="1260" w:type="dxa"/>
          </w:tcPr>
          <w:p w14:paraId="1DD86719" w14:textId="77777777" w:rsidR="00D412C8" w:rsidRPr="007752CC" w:rsidRDefault="00D412C8" w:rsidP="006B1CCE">
            <w:pPr>
              <w:spacing w:after="120" w:line="276" w:lineRule="auto"/>
              <w:ind w:left="0"/>
              <w:jc w:val="right"/>
              <w:rPr>
                <w:rFonts w:ascii="Arial" w:hAnsi="Arial" w:cs="Arial"/>
                <w:color w:val="000000"/>
                <w:lang w:val="sq-AL"/>
              </w:rPr>
            </w:pPr>
            <w:r w:rsidRPr="007752CC">
              <w:rPr>
                <w:rFonts w:ascii="Arial" w:hAnsi="Arial" w:cs="Arial"/>
                <w:color w:val="000000"/>
                <w:lang w:val="sq-AL"/>
              </w:rPr>
              <w:t>4,74</w:t>
            </w:r>
          </w:p>
        </w:tc>
        <w:tc>
          <w:tcPr>
            <w:tcW w:w="1350" w:type="dxa"/>
          </w:tcPr>
          <w:p w14:paraId="11F7E98D" w14:textId="77777777" w:rsidR="00D412C8" w:rsidRPr="007752CC" w:rsidRDefault="00D412C8" w:rsidP="006B1CCE">
            <w:pPr>
              <w:spacing w:after="120" w:line="276" w:lineRule="auto"/>
              <w:ind w:left="0"/>
              <w:jc w:val="right"/>
              <w:rPr>
                <w:rFonts w:ascii="Arial" w:hAnsi="Arial" w:cs="Arial"/>
                <w:color w:val="000000"/>
                <w:lang w:val="sq-AL"/>
              </w:rPr>
            </w:pPr>
            <w:r w:rsidRPr="007752CC">
              <w:rPr>
                <w:rFonts w:ascii="Arial" w:hAnsi="Arial" w:cs="Arial"/>
                <w:color w:val="000000"/>
                <w:lang w:val="sq-AL"/>
              </w:rPr>
              <w:t>1,00</w:t>
            </w:r>
          </w:p>
        </w:tc>
        <w:tc>
          <w:tcPr>
            <w:tcW w:w="1440" w:type="dxa"/>
          </w:tcPr>
          <w:p w14:paraId="6EC773ED" w14:textId="77777777" w:rsidR="00D412C8" w:rsidRPr="007752CC" w:rsidRDefault="00D412C8" w:rsidP="006B1CCE">
            <w:pPr>
              <w:spacing w:after="120" w:line="276" w:lineRule="auto"/>
              <w:ind w:left="0"/>
              <w:jc w:val="right"/>
              <w:rPr>
                <w:rFonts w:ascii="Arial" w:hAnsi="Arial" w:cs="Arial"/>
                <w:color w:val="000000"/>
                <w:lang w:val="sq-AL"/>
              </w:rPr>
            </w:pPr>
            <w:r w:rsidRPr="007752CC">
              <w:rPr>
                <w:rFonts w:ascii="Arial" w:hAnsi="Arial" w:cs="Arial"/>
                <w:color w:val="000000"/>
                <w:lang w:val="sq-AL"/>
              </w:rPr>
              <w:t>38,70</w:t>
            </w:r>
          </w:p>
        </w:tc>
        <w:tc>
          <w:tcPr>
            <w:tcW w:w="1350" w:type="dxa"/>
          </w:tcPr>
          <w:p w14:paraId="74B743A8" w14:textId="77777777" w:rsidR="00D412C8" w:rsidRPr="007752CC" w:rsidRDefault="00D412C8" w:rsidP="006B1CCE">
            <w:pPr>
              <w:spacing w:after="120" w:line="276" w:lineRule="auto"/>
              <w:ind w:left="0"/>
              <w:jc w:val="right"/>
              <w:rPr>
                <w:rFonts w:ascii="Arial" w:hAnsi="Arial" w:cs="Arial"/>
                <w:color w:val="000000"/>
                <w:lang w:val="sq-AL"/>
              </w:rPr>
            </w:pPr>
            <w:r w:rsidRPr="007752CC">
              <w:rPr>
                <w:rFonts w:ascii="Arial" w:hAnsi="Arial" w:cs="Arial"/>
                <w:color w:val="000000"/>
                <w:lang w:val="sq-AL"/>
              </w:rPr>
              <w:t>Nema podataka</w:t>
            </w:r>
          </w:p>
        </w:tc>
        <w:tc>
          <w:tcPr>
            <w:tcW w:w="1355" w:type="dxa"/>
          </w:tcPr>
          <w:p w14:paraId="35AB67E9" w14:textId="77777777" w:rsidR="00D412C8" w:rsidRPr="007752CC" w:rsidRDefault="00D412C8" w:rsidP="006B1CCE">
            <w:pPr>
              <w:spacing w:after="120" w:line="276" w:lineRule="auto"/>
              <w:ind w:left="0"/>
              <w:jc w:val="right"/>
              <w:rPr>
                <w:rFonts w:ascii="Arial" w:hAnsi="Arial" w:cs="Arial"/>
                <w:color w:val="000000"/>
                <w:lang w:val="sq-AL"/>
              </w:rPr>
            </w:pPr>
            <w:r w:rsidRPr="007752CC">
              <w:rPr>
                <w:rFonts w:ascii="Arial" w:hAnsi="Arial" w:cs="Arial"/>
                <w:color w:val="000000"/>
                <w:lang w:val="sq-AL"/>
              </w:rPr>
              <w:t>Nema podataka</w:t>
            </w:r>
          </w:p>
        </w:tc>
      </w:tr>
      <w:bookmarkEnd w:id="764"/>
    </w:tbl>
    <w:p w14:paraId="3EE1AE04" w14:textId="77777777" w:rsidR="00D412C8" w:rsidRPr="007752CC" w:rsidRDefault="00D412C8" w:rsidP="00D412C8">
      <w:pPr>
        <w:keepNext/>
        <w:autoSpaceDE w:val="0"/>
        <w:autoSpaceDN w:val="0"/>
        <w:adjustRightInd w:val="0"/>
        <w:spacing w:before="120" w:after="120" w:line="360" w:lineRule="auto"/>
        <w:rPr>
          <w:rFonts w:ascii="Arial" w:hAnsi="Arial" w:cs="Arial"/>
          <w:b/>
          <w:lang w:val="sq-AL"/>
        </w:rPr>
      </w:pPr>
    </w:p>
    <w:p w14:paraId="2CDE0E4C" w14:textId="511F7430" w:rsidR="00C232D7" w:rsidRPr="002E32CC" w:rsidRDefault="00477168" w:rsidP="00F57909">
      <w:pPr>
        <w:pStyle w:val="Heading2"/>
      </w:pPr>
      <w:bookmarkStart w:id="765" w:name="_Toc193353994"/>
      <w:r w:rsidRPr="002E32CC">
        <w:t>4.</w:t>
      </w:r>
      <w:r w:rsidR="007752CC">
        <w:t>20</w:t>
      </w:r>
      <w:r w:rsidR="00A3668D" w:rsidRPr="002E32CC">
        <w:t>.</w:t>
      </w:r>
      <w:r w:rsidR="00C232D7" w:rsidRPr="002E32CC">
        <w:t xml:space="preserve"> Otpadna ulja</w:t>
      </w:r>
      <w:bookmarkEnd w:id="765"/>
      <w:r w:rsidR="00C232D7" w:rsidRPr="002E32CC">
        <w:t xml:space="preserve"> </w:t>
      </w:r>
    </w:p>
    <w:p w14:paraId="5DD7492F" w14:textId="054006F4"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Otpadna ulja proizvode/sakupljaju</w:t>
      </w:r>
      <w:r w:rsidR="00F52A1B">
        <w:rPr>
          <w:rFonts w:ascii="Arial" w:hAnsi="Arial" w:cs="Arial"/>
          <w:lang w:val="sq-AL"/>
        </w:rPr>
        <w:t>/obrađuju</w:t>
      </w:r>
      <w:r w:rsidRPr="002A6F4E">
        <w:rPr>
          <w:rFonts w:ascii="Arial" w:hAnsi="Arial" w:cs="Arial"/>
          <w:lang w:val="sq-AL"/>
        </w:rPr>
        <w:t xml:space="preserve"> uglavnom privatna preduzeća, a u manjoj mjeri nadležni organi u ime opština. U sljedećoj tabeli </w:t>
      </w:r>
      <w:r w:rsidR="00F52A1B">
        <w:rPr>
          <w:rFonts w:ascii="Arial" w:hAnsi="Arial" w:cs="Arial"/>
          <w:lang w:val="sq-AL"/>
        </w:rPr>
        <w:t xml:space="preserve">date su količine otpadnog ulja </w:t>
      </w:r>
      <w:r w:rsidRPr="002A6F4E">
        <w:rPr>
          <w:rFonts w:ascii="Arial" w:hAnsi="Arial" w:cs="Arial"/>
          <w:lang w:val="sq-AL"/>
        </w:rPr>
        <w:t xml:space="preserve"> u Crnoj Gori.</w:t>
      </w:r>
    </w:p>
    <w:p w14:paraId="271F662B" w14:textId="55D35B10" w:rsidR="00C232D7" w:rsidRPr="00287103" w:rsidRDefault="00C232D7" w:rsidP="00E40D72">
      <w:pPr>
        <w:pStyle w:val="Caption"/>
        <w:rPr>
          <w:rFonts w:ascii="Arial" w:hAnsi="Arial" w:cs="Arial"/>
          <w:b w:val="0"/>
          <w:lang w:val="sq-AL"/>
        </w:rPr>
      </w:pPr>
      <w:bookmarkStart w:id="766" w:name="_Toc190160713"/>
      <w:r w:rsidRPr="00287103">
        <w:rPr>
          <w:rFonts w:ascii="Arial" w:hAnsi="Arial" w:cs="Arial"/>
          <w:b w:val="0"/>
          <w:lang w:val="sq-AL"/>
        </w:rPr>
        <w:t xml:space="preserve">Tabela </w:t>
      </w:r>
      <w:r w:rsidRPr="00287103">
        <w:rPr>
          <w:rFonts w:ascii="Arial" w:hAnsi="Arial" w:cs="Arial"/>
          <w:b w:val="0"/>
          <w:lang w:val="sq-AL"/>
        </w:rPr>
        <w:fldChar w:fldCharType="begin"/>
      </w:r>
      <w:r w:rsidRPr="00287103">
        <w:rPr>
          <w:rFonts w:ascii="Arial" w:hAnsi="Arial" w:cs="Arial"/>
          <w:b w:val="0"/>
          <w:lang w:val="sq-AL"/>
        </w:rPr>
        <w:instrText xml:space="preserve"> SEQ Tabela \* ARABIC </w:instrText>
      </w:r>
      <w:r w:rsidRPr="00287103">
        <w:rPr>
          <w:rFonts w:ascii="Arial" w:hAnsi="Arial" w:cs="Arial"/>
          <w:b w:val="0"/>
          <w:lang w:val="sq-AL"/>
        </w:rPr>
        <w:fldChar w:fldCharType="separate"/>
      </w:r>
      <w:r w:rsidR="007274DA">
        <w:rPr>
          <w:rFonts w:ascii="Arial" w:hAnsi="Arial" w:cs="Arial"/>
          <w:b w:val="0"/>
          <w:noProof/>
          <w:lang w:val="sq-AL"/>
        </w:rPr>
        <w:t>24</w:t>
      </w:r>
      <w:r w:rsidRPr="00287103">
        <w:rPr>
          <w:rFonts w:ascii="Arial" w:hAnsi="Arial" w:cs="Arial"/>
          <w:b w:val="0"/>
          <w:lang w:val="sq-AL"/>
        </w:rPr>
        <w:fldChar w:fldCharType="end"/>
      </w:r>
      <w:r w:rsidRPr="00287103">
        <w:rPr>
          <w:rFonts w:ascii="Arial" w:hAnsi="Arial" w:cs="Arial"/>
          <w:b w:val="0"/>
          <w:lang w:val="sq-AL"/>
        </w:rPr>
        <w:t xml:space="preserve"> Količine otpadnog ulja (tone) za 2021. godinu</w:t>
      </w:r>
      <w:bookmarkEnd w:id="766"/>
    </w:p>
    <w:tbl>
      <w:tblPr>
        <w:tblStyle w:val="denkstatt12"/>
        <w:tblW w:w="9540" w:type="dxa"/>
        <w:jc w:val="center"/>
        <w:tblLook w:val="04A0" w:firstRow="1" w:lastRow="0" w:firstColumn="1" w:lastColumn="0" w:noHBand="0" w:noVBand="1"/>
      </w:tblPr>
      <w:tblGrid>
        <w:gridCol w:w="1423"/>
        <w:gridCol w:w="1427"/>
        <w:gridCol w:w="1241"/>
        <w:gridCol w:w="1350"/>
        <w:gridCol w:w="1432"/>
        <w:gridCol w:w="1331"/>
        <w:gridCol w:w="1336"/>
      </w:tblGrid>
      <w:tr w:rsidR="00C232D7" w:rsidRPr="00287103" w14:paraId="38C531AE" w14:textId="77777777" w:rsidTr="00C232D7">
        <w:trPr>
          <w:jc w:val="center"/>
        </w:trPr>
        <w:tc>
          <w:tcPr>
            <w:tcW w:w="1435" w:type="dxa"/>
            <w:shd w:val="clear" w:color="auto" w:fill="F2F2F2" w:themeFill="background1" w:themeFillShade="F2"/>
            <w:vAlign w:val="center"/>
          </w:tcPr>
          <w:p w14:paraId="7A9F4E25" w14:textId="3AB8A582" w:rsidR="00C232D7" w:rsidRPr="00287103" w:rsidRDefault="00C232D7" w:rsidP="00C232D7">
            <w:pPr>
              <w:spacing w:before="40" w:after="40"/>
              <w:ind w:left="0"/>
              <w:jc w:val="center"/>
              <w:rPr>
                <w:rFonts w:ascii="Arial" w:hAnsi="Arial" w:cs="Arial"/>
                <w:b/>
                <w:sz w:val="18"/>
                <w:szCs w:val="18"/>
                <w:lang w:val="sq-AL"/>
              </w:rPr>
            </w:pPr>
            <w:r w:rsidRPr="00287103">
              <w:rPr>
                <w:rFonts w:ascii="Arial" w:hAnsi="Arial" w:cs="Arial"/>
                <w:b/>
                <w:sz w:val="18"/>
                <w:szCs w:val="18"/>
                <w:lang w:val="sq-AL"/>
              </w:rPr>
              <w:lastRenderedPageBreak/>
              <w:t xml:space="preserve">Količina sakupljenog i </w:t>
            </w:r>
            <w:r w:rsidR="00514AD9" w:rsidRPr="00287103">
              <w:rPr>
                <w:rFonts w:ascii="Arial" w:hAnsi="Arial" w:cs="Arial"/>
                <w:b/>
                <w:sz w:val="18"/>
                <w:szCs w:val="18"/>
                <w:lang w:val="sq-AL"/>
              </w:rPr>
              <w:t>obrađenog</w:t>
            </w:r>
            <w:r w:rsidRPr="00287103">
              <w:rPr>
                <w:rFonts w:ascii="Arial" w:hAnsi="Arial" w:cs="Arial"/>
                <w:b/>
                <w:sz w:val="18"/>
                <w:szCs w:val="18"/>
                <w:lang w:val="sq-AL"/>
              </w:rPr>
              <w:t xml:space="preserve"> otpada</w:t>
            </w:r>
          </w:p>
        </w:tc>
        <w:tc>
          <w:tcPr>
            <w:tcW w:w="1350" w:type="dxa"/>
            <w:shd w:val="clear" w:color="auto" w:fill="F2F2F2" w:themeFill="background1" w:themeFillShade="F2"/>
            <w:vAlign w:val="center"/>
          </w:tcPr>
          <w:p w14:paraId="4C85C911" w14:textId="77777777" w:rsidR="00C232D7" w:rsidRPr="00287103" w:rsidRDefault="00C232D7" w:rsidP="00C232D7">
            <w:pPr>
              <w:spacing w:before="40" w:after="40"/>
              <w:ind w:left="0"/>
              <w:jc w:val="center"/>
              <w:rPr>
                <w:rFonts w:ascii="Arial" w:hAnsi="Arial" w:cs="Arial"/>
                <w:b/>
                <w:sz w:val="18"/>
                <w:szCs w:val="18"/>
                <w:lang w:val="sq-AL"/>
              </w:rPr>
            </w:pPr>
            <w:r w:rsidRPr="00287103">
              <w:rPr>
                <w:rFonts w:ascii="Arial" w:hAnsi="Arial" w:cs="Arial"/>
                <w:b/>
                <w:sz w:val="18"/>
                <w:szCs w:val="18"/>
                <w:lang w:val="sq-AL"/>
              </w:rPr>
              <w:t>Količina otpada uskladištenog unutar objekata (približno)</w:t>
            </w:r>
          </w:p>
        </w:tc>
        <w:tc>
          <w:tcPr>
            <w:tcW w:w="1260" w:type="dxa"/>
            <w:shd w:val="clear" w:color="auto" w:fill="F2F2F2" w:themeFill="background1" w:themeFillShade="F2"/>
            <w:vAlign w:val="center"/>
          </w:tcPr>
          <w:p w14:paraId="437F731B" w14:textId="715D7315" w:rsidR="00C232D7" w:rsidRPr="00287103" w:rsidRDefault="00C232D7" w:rsidP="00C232D7">
            <w:pPr>
              <w:spacing w:before="40" w:after="40"/>
              <w:ind w:left="0"/>
              <w:jc w:val="center"/>
              <w:rPr>
                <w:rFonts w:ascii="Arial" w:hAnsi="Arial" w:cs="Arial"/>
                <w:b/>
                <w:sz w:val="18"/>
                <w:szCs w:val="18"/>
                <w:lang w:val="sq-AL"/>
              </w:rPr>
            </w:pPr>
            <w:r w:rsidRPr="00287103">
              <w:rPr>
                <w:rFonts w:ascii="Arial" w:hAnsi="Arial" w:cs="Arial"/>
                <w:b/>
                <w:sz w:val="18"/>
                <w:szCs w:val="18"/>
                <w:lang w:val="sq-AL"/>
              </w:rPr>
              <w:t xml:space="preserve">Količina otpada koji se </w:t>
            </w:r>
            <w:r w:rsidR="00514AD9" w:rsidRPr="00287103">
              <w:rPr>
                <w:rFonts w:ascii="Arial" w:hAnsi="Arial" w:cs="Arial"/>
                <w:b/>
                <w:sz w:val="18"/>
                <w:szCs w:val="18"/>
                <w:lang w:val="sq-AL"/>
              </w:rPr>
              <w:t>obrađuje</w:t>
            </w:r>
            <w:r w:rsidRPr="00287103">
              <w:rPr>
                <w:rFonts w:ascii="Arial" w:hAnsi="Arial" w:cs="Arial"/>
                <w:b/>
                <w:sz w:val="18"/>
                <w:szCs w:val="18"/>
                <w:lang w:val="sq-AL"/>
              </w:rPr>
              <w:t xml:space="preserve"> unutar objekata</w:t>
            </w:r>
          </w:p>
        </w:tc>
        <w:tc>
          <w:tcPr>
            <w:tcW w:w="1350" w:type="dxa"/>
            <w:shd w:val="clear" w:color="auto" w:fill="F2F2F2" w:themeFill="background1" w:themeFillShade="F2"/>
            <w:vAlign w:val="center"/>
          </w:tcPr>
          <w:p w14:paraId="0B6FBC29" w14:textId="77777777" w:rsidR="00C232D7" w:rsidRPr="00287103" w:rsidRDefault="00C232D7" w:rsidP="00C232D7">
            <w:pPr>
              <w:spacing w:before="40" w:after="40"/>
              <w:ind w:left="0"/>
              <w:jc w:val="center"/>
              <w:rPr>
                <w:rFonts w:ascii="Arial" w:hAnsi="Arial" w:cs="Arial"/>
                <w:b/>
                <w:sz w:val="18"/>
                <w:szCs w:val="18"/>
                <w:lang w:val="sq-AL"/>
              </w:rPr>
            </w:pPr>
            <w:r w:rsidRPr="00287103">
              <w:rPr>
                <w:rFonts w:ascii="Arial" w:hAnsi="Arial" w:cs="Arial"/>
                <w:b/>
                <w:sz w:val="18"/>
                <w:szCs w:val="18"/>
                <w:lang w:val="sq-AL"/>
              </w:rPr>
              <w:t>Količina otpada predata sakupljačima otpada</w:t>
            </w:r>
          </w:p>
        </w:tc>
        <w:tc>
          <w:tcPr>
            <w:tcW w:w="1440" w:type="dxa"/>
            <w:shd w:val="clear" w:color="auto" w:fill="F2F2F2" w:themeFill="background1" w:themeFillShade="F2"/>
            <w:vAlign w:val="center"/>
          </w:tcPr>
          <w:p w14:paraId="58923334" w14:textId="07DCDC9A" w:rsidR="00C232D7" w:rsidRPr="00287103" w:rsidRDefault="00C232D7" w:rsidP="00C232D7">
            <w:pPr>
              <w:spacing w:before="40" w:after="40"/>
              <w:ind w:left="0"/>
              <w:jc w:val="center"/>
              <w:rPr>
                <w:rFonts w:ascii="Arial" w:hAnsi="Arial" w:cs="Arial"/>
                <w:b/>
                <w:sz w:val="18"/>
                <w:szCs w:val="18"/>
                <w:lang w:val="sq-AL"/>
              </w:rPr>
            </w:pPr>
            <w:r w:rsidRPr="00287103">
              <w:rPr>
                <w:rFonts w:ascii="Arial" w:hAnsi="Arial" w:cs="Arial"/>
                <w:b/>
                <w:sz w:val="18"/>
                <w:szCs w:val="18"/>
                <w:lang w:val="sq-AL"/>
              </w:rPr>
              <w:t xml:space="preserve">Količina otpada dostavljenog u objekte za </w:t>
            </w:r>
            <w:r w:rsidR="00514AD9" w:rsidRPr="00287103">
              <w:rPr>
                <w:rFonts w:ascii="Arial" w:hAnsi="Arial" w:cs="Arial"/>
                <w:b/>
                <w:sz w:val="18"/>
                <w:szCs w:val="18"/>
                <w:lang w:val="sq-AL"/>
              </w:rPr>
              <w:t>obradu</w:t>
            </w:r>
            <w:r w:rsidRPr="00287103">
              <w:rPr>
                <w:rFonts w:ascii="Arial" w:hAnsi="Arial" w:cs="Arial"/>
                <w:b/>
                <w:sz w:val="18"/>
                <w:szCs w:val="18"/>
                <w:lang w:val="sq-AL"/>
              </w:rPr>
              <w:t xml:space="preserve"> otpada</w:t>
            </w:r>
          </w:p>
        </w:tc>
        <w:tc>
          <w:tcPr>
            <w:tcW w:w="1350" w:type="dxa"/>
            <w:shd w:val="clear" w:color="auto" w:fill="F2F2F2" w:themeFill="background1" w:themeFillShade="F2"/>
            <w:vAlign w:val="center"/>
          </w:tcPr>
          <w:p w14:paraId="7BC34893" w14:textId="77777777" w:rsidR="00C232D7" w:rsidRPr="00287103" w:rsidRDefault="00C232D7" w:rsidP="00C232D7">
            <w:pPr>
              <w:spacing w:before="40" w:after="40"/>
              <w:ind w:left="0"/>
              <w:jc w:val="center"/>
              <w:rPr>
                <w:rFonts w:ascii="Arial" w:hAnsi="Arial" w:cs="Arial"/>
                <w:b/>
                <w:bCs/>
                <w:sz w:val="18"/>
                <w:szCs w:val="18"/>
                <w:lang w:val="sq-AL"/>
              </w:rPr>
            </w:pPr>
            <w:r w:rsidRPr="00287103">
              <w:rPr>
                <w:rFonts w:ascii="Arial" w:hAnsi="Arial" w:cs="Arial"/>
                <w:b/>
                <w:bCs/>
                <w:sz w:val="18"/>
                <w:szCs w:val="18"/>
                <w:lang w:val="sq-AL"/>
              </w:rPr>
              <w:t>Količina otpada izvezenog u druge zemlje</w:t>
            </w:r>
          </w:p>
        </w:tc>
        <w:tc>
          <w:tcPr>
            <w:tcW w:w="1355" w:type="dxa"/>
            <w:shd w:val="clear" w:color="auto" w:fill="F2F2F2" w:themeFill="background1" w:themeFillShade="F2"/>
            <w:vAlign w:val="center"/>
          </w:tcPr>
          <w:p w14:paraId="0DC424D2" w14:textId="77777777" w:rsidR="00C232D7" w:rsidRPr="00287103" w:rsidRDefault="00C232D7" w:rsidP="00C232D7">
            <w:pPr>
              <w:spacing w:before="40" w:after="40"/>
              <w:ind w:left="0"/>
              <w:jc w:val="center"/>
              <w:rPr>
                <w:rFonts w:ascii="Arial" w:hAnsi="Arial" w:cs="Arial"/>
                <w:b/>
                <w:sz w:val="18"/>
                <w:szCs w:val="18"/>
                <w:lang w:val="sq-AL"/>
              </w:rPr>
            </w:pPr>
            <w:r w:rsidRPr="00287103">
              <w:rPr>
                <w:rFonts w:ascii="Arial" w:hAnsi="Arial" w:cs="Arial"/>
                <w:b/>
                <w:sz w:val="18"/>
                <w:szCs w:val="18"/>
                <w:lang w:val="sq-AL"/>
              </w:rPr>
              <w:t>Količina otpada prodata trgovcima otpadom</w:t>
            </w:r>
          </w:p>
        </w:tc>
      </w:tr>
      <w:tr w:rsidR="00C232D7" w:rsidRPr="00287103" w14:paraId="566B4898" w14:textId="77777777" w:rsidTr="00C232D7">
        <w:trPr>
          <w:jc w:val="center"/>
        </w:trPr>
        <w:tc>
          <w:tcPr>
            <w:tcW w:w="1435" w:type="dxa"/>
          </w:tcPr>
          <w:p w14:paraId="000FAC31" w14:textId="77777777" w:rsidR="00C232D7" w:rsidRPr="00287103" w:rsidRDefault="00C232D7" w:rsidP="00C232D7">
            <w:pPr>
              <w:spacing w:after="120" w:line="276" w:lineRule="auto"/>
              <w:ind w:left="0"/>
              <w:jc w:val="right"/>
              <w:rPr>
                <w:rFonts w:ascii="Arial" w:hAnsi="Arial" w:cs="Arial"/>
                <w:color w:val="000000"/>
                <w:sz w:val="18"/>
                <w:szCs w:val="18"/>
                <w:lang w:val="sq-AL"/>
              </w:rPr>
            </w:pPr>
            <w:r w:rsidRPr="00287103">
              <w:rPr>
                <w:rFonts w:ascii="Arial" w:hAnsi="Arial" w:cs="Arial"/>
                <w:color w:val="000000"/>
                <w:sz w:val="18"/>
                <w:szCs w:val="18"/>
                <w:lang w:val="sq-AL"/>
              </w:rPr>
              <w:t>2.785,72</w:t>
            </w:r>
          </w:p>
        </w:tc>
        <w:tc>
          <w:tcPr>
            <w:tcW w:w="1350" w:type="dxa"/>
          </w:tcPr>
          <w:p w14:paraId="744D8E51" w14:textId="77777777" w:rsidR="00C232D7" w:rsidRPr="00287103" w:rsidRDefault="00C232D7" w:rsidP="00C232D7">
            <w:pPr>
              <w:spacing w:after="120" w:line="276" w:lineRule="auto"/>
              <w:ind w:left="0"/>
              <w:jc w:val="right"/>
              <w:rPr>
                <w:rFonts w:ascii="Arial" w:hAnsi="Arial" w:cs="Arial"/>
                <w:color w:val="000000"/>
                <w:sz w:val="18"/>
                <w:szCs w:val="18"/>
                <w:lang w:val="sq-AL"/>
              </w:rPr>
            </w:pPr>
            <w:r w:rsidRPr="00287103">
              <w:rPr>
                <w:rFonts w:ascii="Arial" w:hAnsi="Arial" w:cs="Arial"/>
                <w:color w:val="000000"/>
                <w:sz w:val="18"/>
                <w:szCs w:val="18"/>
                <w:lang w:val="sq-AL"/>
              </w:rPr>
              <w:t>375,80</w:t>
            </w:r>
          </w:p>
        </w:tc>
        <w:tc>
          <w:tcPr>
            <w:tcW w:w="1260" w:type="dxa"/>
          </w:tcPr>
          <w:p w14:paraId="5E59B44F" w14:textId="77777777" w:rsidR="00C232D7" w:rsidRPr="00287103" w:rsidRDefault="00C232D7" w:rsidP="00C232D7">
            <w:pPr>
              <w:spacing w:after="120" w:line="276" w:lineRule="auto"/>
              <w:ind w:left="0"/>
              <w:jc w:val="right"/>
              <w:rPr>
                <w:rFonts w:ascii="Arial" w:hAnsi="Arial" w:cs="Arial"/>
                <w:color w:val="000000"/>
                <w:sz w:val="18"/>
                <w:szCs w:val="18"/>
                <w:lang w:val="sq-AL"/>
              </w:rPr>
            </w:pPr>
            <w:r w:rsidRPr="00287103">
              <w:rPr>
                <w:rFonts w:ascii="Arial" w:hAnsi="Arial" w:cs="Arial"/>
                <w:color w:val="000000"/>
                <w:sz w:val="18"/>
                <w:szCs w:val="18"/>
                <w:lang w:val="sq-AL"/>
              </w:rPr>
              <w:t>2.062,07</w:t>
            </w:r>
          </w:p>
        </w:tc>
        <w:tc>
          <w:tcPr>
            <w:tcW w:w="1350" w:type="dxa"/>
          </w:tcPr>
          <w:p w14:paraId="32671E21" w14:textId="77777777" w:rsidR="00C232D7" w:rsidRPr="00287103" w:rsidRDefault="00C232D7" w:rsidP="00C232D7">
            <w:pPr>
              <w:spacing w:after="120" w:line="276" w:lineRule="auto"/>
              <w:ind w:left="0"/>
              <w:jc w:val="right"/>
              <w:rPr>
                <w:rFonts w:ascii="Arial" w:hAnsi="Arial" w:cs="Arial"/>
                <w:color w:val="000000"/>
                <w:sz w:val="18"/>
                <w:szCs w:val="18"/>
                <w:lang w:val="sq-AL"/>
              </w:rPr>
            </w:pPr>
            <w:r w:rsidRPr="00287103">
              <w:rPr>
                <w:rFonts w:ascii="Arial" w:hAnsi="Arial" w:cs="Arial"/>
                <w:color w:val="000000"/>
                <w:sz w:val="18"/>
                <w:szCs w:val="18"/>
                <w:lang w:val="sq-AL"/>
              </w:rPr>
              <w:t>183,43</w:t>
            </w:r>
          </w:p>
        </w:tc>
        <w:tc>
          <w:tcPr>
            <w:tcW w:w="1440" w:type="dxa"/>
          </w:tcPr>
          <w:p w14:paraId="38FBB340" w14:textId="77777777" w:rsidR="00C232D7" w:rsidRPr="00287103" w:rsidRDefault="00C232D7" w:rsidP="00C232D7">
            <w:pPr>
              <w:spacing w:after="120" w:line="276" w:lineRule="auto"/>
              <w:ind w:left="0"/>
              <w:jc w:val="right"/>
              <w:rPr>
                <w:rFonts w:ascii="Arial" w:hAnsi="Arial" w:cs="Arial"/>
                <w:color w:val="000000"/>
                <w:sz w:val="18"/>
                <w:szCs w:val="18"/>
                <w:lang w:val="sq-AL"/>
              </w:rPr>
            </w:pPr>
            <w:r w:rsidRPr="00287103">
              <w:rPr>
                <w:rFonts w:ascii="Arial" w:hAnsi="Arial" w:cs="Arial"/>
                <w:color w:val="000000"/>
                <w:sz w:val="18"/>
                <w:szCs w:val="18"/>
                <w:lang w:val="sq-AL"/>
              </w:rPr>
              <w:t>401,31</w:t>
            </w:r>
          </w:p>
        </w:tc>
        <w:tc>
          <w:tcPr>
            <w:tcW w:w="1350" w:type="dxa"/>
          </w:tcPr>
          <w:p w14:paraId="2B18813B" w14:textId="77777777" w:rsidR="00C232D7" w:rsidRPr="00287103" w:rsidRDefault="00C232D7" w:rsidP="00C232D7">
            <w:pPr>
              <w:spacing w:after="120" w:line="276" w:lineRule="auto"/>
              <w:ind w:left="0"/>
              <w:jc w:val="right"/>
              <w:rPr>
                <w:rFonts w:ascii="Arial" w:hAnsi="Arial" w:cs="Arial"/>
                <w:color w:val="000000"/>
                <w:sz w:val="18"/>
                <w:szCs w:val="18"/>
                <w:lang w:val="sq-AL"/>
              </w:rPr>
            </w:pPr>
            <w:r w:rsidRPr="00287103">
              <w:rPr>
                <w:rFonts w:ascii="Arial" w:hAnsi="Arial" w:cs="Arial"/>
                <w:color w:val="000000"/>
                <w:sz w:val="18"/>
                <w:szCs w:val="18"/>
                <w:lang w:val="sq-AL"/>
              </w:rPr>
              <w:t>Nema podataka</w:t>
            </w:r>
          </w:p>
        </w:tc>
        <w:tc>
          <w:tcPr>
            <w:tcW w:w="1355" w:type="dxa"/>
          </w:tcPr>
          <w:p w14:paraId="66228C3F" w14:textId="77777777" w:rsidR="00C232D7" w:rsidRPr="00287103" w:rsidRDefault="00C232D7" w:rsidP="00C232D7">
            <w:pPr>
              <w:spacing w:after="120" w:line="276" w:lineRule="auto"/>
              <w:ind w:left="0"/>
              <w:jc w:val="right"/>
              <w:rPr>
                <w:rFonts w:ascii="Arial" w:hAnsi="Arial" w:cs="Arial"/>
                <w:color w:val="000000"/>
                <w:sz w:val="18"/>
                <w:szCs w:val="18"/>
                <w:lang w:val="sq-AL"/>
              </w:rPr>
            </w:pPr>
            <w:r w:rsidRPr="00287103">
              <w:rPr>
                <w:rFonts w:ascii="Arial" w:hAnsi="Arial" w:cs="Arial"/>
                <w:color w:val="000000"/>
                <w:sz w:val="18"/>
                <w:szCs w:val="18"/>
                <w:lang w:val="sq-AL"/>
              </w:rPr>
              <w:t>9,87</w:t>
            </w:r>
          </w:p>
        </w:tc>
      </w:tr>
    </w:tbl>
    <w:p w14:paraId="416D1947" w14:textId="77777777" w:rsidR="00E40D72" w:rsidRPr="002A6F4E" w:rsidRDefault="00E40D72" w:rsidP="000E238F">
      <w:pPr>
        <w:pStyle w:val="Heading"/>
      </w:pPr>
    </w:p>
    <w:p w14:paraId="6CCCC4C9" w14:textId="7B22C7BE" w:rsidR="00C232D7" w:rsidRPr="002A6F4E" w:rsidRDefault="00E40D72" w:rsidP="00F57909">
      <w:pPr>
        <w:pStyle w:val="Heading2"/>
      </w:pPr>
      <w:bookmarkStart w:id="767" w:name="_Toc193353995"/>
      <w:r w:rsidRPr="002A6F4E">
        <w:t>4.2</w:t>
      </w:r>
      <w:r w:rsidR="001167D6">
        <w:t>1</w:t>
      </w:r>
      <w:r w:rsidRPr="002A6F4E">
        <w:t xml:space="preserve">. </w:t>
      </w:r>
      <w:r w:rsidR="00C232D7" w:rsidRPr="002A6F4E">
        <w:t>Otpad iz poljoprivrede</w:t>
      </w:r>
      <w:bookmarkEnd w:id="767"/>
    </w:p>
    <w:p w14:paraId="778353B4" w14:textId="1D44ACF0" w:rsidR="00B0371E" w:rsidRDefault="00C232D7" w:rsidP="00C232D7">
      <w:pPr>
        <w:keepNext/>
        <w:autoSpaceDE w:val="0"/>
        <w:autoSpaceDN w:val="0"/>
        <w:adjustRightInd w:val="0"/>
        <w:spacing w:before="120" w:after="120" w:line="360" w:lineRule="auto"/>
        <w:rPr>
          <w:rFonts w:ascii="Arial" w:hAnsi="Arial" w:cs="Arial"/>
          <w:lang w:val="sq-AL"/>
        </w:rPr>
      </w:pPr>
      <w:r w:rsidRPr="002A6F4E">
        <w:rPr>
          <w:rFonts w:ascii="Arial" w:hAnsi="Arial" w:cs="Arial"/>
          <w:lang w:val="sq-AL"/>
        </w:rPr>
        <w:t>U sljedećoj tabeli prikazano je stanje u Crnoj Gori, u pogledu poljoprivrednog otpada.</w:t>
      </w:r>
      <w:r w:rsidRPr="002A6F4E">
        <w:rPr>
          <w:rFonts w:ascii="Arial" w:hAnsi="Arial" w:cs="Arial"/>
          <w:lang w:val="hr-HR"/>
        </w:rPr>
        <w:t xml:space="preserve"> Otpad iz p</w:t>
      </w:r>
      <w:r w:rsidRPr="002A6F4E">
        <w:rPr>
          <w:rFonts w:ascii="Arial" w:hAnsi="Arial" w:cs="Arial"/>
          <w:lang w:val="sq-AL"/>
        </w:rPr>
        <w:t>oljoprivrede se odnosi na neupotrebljive materijale koji nastaju u poljoprivredi, kao što su ostaci usjeva, povučeno (kome je prošao rok trajanja) voće i povrće, plastika koja se koristi u poljoprivredne svrhe itd.</w:t>
      </w:r>
    </w:p>
    <w:p w14:paraId="3291E8F6" w14:textId="5295BF29" w:rsidR="00C232D7" w:rsidRPr="00287103" w:rsidRDefault="00C232D7" w:rsidP="00C232D7">
      <w:pPr>
        <w:pStyle w:val="Caption"/>
        <w:rPr>
          <w:rFonts w:ascii="Arial" w:hAnsi="Arial" w:cs="Arial"/>
          <w:b w:val="0"/>
          <w:lang w:val="sq-AL"/>
        </w:rPr>
      </w:pPr>
      <w:bookmarkStart w:id="768" w:name="_Toc190160714"/>
      <w:r w:rsidRPr="00287103">
        <w:rPr>
          <w:rFonts w:ascii="Arial" w:hAnsi="Arial" w:cs="Arial"/>
          <w:b w:val="0"/>
          <w:lang w:val="sq-AL"/>
        </w:rPr>
        <w:t xml:space="preserve">Tabela </w:t>
      </w:r>
      <w:r w:rsidRPr="00287103">
        <w:rPr>
          <w:rFonts w:ascii="Arial" w:hAnsi="Arial" w:cs="Arial"/>
          <w:b w:val="0"/>
          <w:lang w:val="sq-AL"/>
        </w:rPr>
        <w:fldChar w:fldCharType="begin"/>
      </w:r>
      <w:r w:rsidRPr="00287103">
        <w:rPr>
          <w:rFonts w:ascii="Arial" w:hAnsi="Arial" w:cs="Arial"/>
          <w:b w:val="0"/>
          <w:lang w:val="sq-AL"/>
        </w:rPr>
        <w:instrText xml:space="preserve"> SEQ Tabela \* ARABIC </w:instrText>
      </w:r>
      <w:r w:rsidRPr="00287103">
        <w:rPr>
          <w:rFonts w:ascii="Arial" w:hAnsi="Arial" w:cs="Arial"/>
          <w:b w:val="0"/>
          <w:lang w:val="sq-AL"/>
        </w:rPr>
        <w:fldChar w:fldCharType="separate"/>
      </w:r>
      <w:r w:rsidR="007274DA">
        <w:rPr>
          <w:rFonts w:ascii="Arial" w:hAnsi="Arial" w:cs="Arial"/>
          <w:b w:val="0"/>
          <w:noProof/>
          <w:lang w:val="sq-AL"/>
        </w:rPr>
        <w:t>25</w:t>
      </w:r>
      <w:r w:rsidRPr="00287103">
        <w:rPr>
          <w:rFonts w:ascii="Arial" w:hAnsi="Arial" w:cs="Arial"/>
          <w:b w:val="0"/>
          <w:lang w:val="sq-AL"/>
        </w:rPr>
        <w:fldChar w:fldCharType="end"/>
      </w:r>
      <w:r w:rsidRPr="00287103">
        <w:rPr>
          <w:rFonts w:ascii="Arial" w:hAnsi="Arial" w:cs="Arial"/>
          <w:b w:val="0"/>
          <w:lang w:val="sq-AL"/>
        </w:rPr>
        <w:t xml:space="preserve">  Količina poljoprivrednog otpada generisanog u Crnoj Gori  (tone), za period 2021-2023</w:t>
      </w:r>
      <w:bookmarkEnd w:id="768"/>
      <w:r w:rsidR="00514AD9" w:rsidRPr="00287103">
        <w:rPr>
          <w:rFonts w:ascii="Arial" w:hAnsi="Arial" w:cs="Arial"/>
          <w:b w:val="0"/>
          <w:lang w:val="sq-AL"/>
        </w:rPr>
        <w:t>. godina</w:t>
      </w:r>
    </w:p>
    <w:tbl>
      <w:tblPr>
        <w:tblW w:w="7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1530"/>
        <w:gridCol w:w="1350"/>
        <w:gridCol w:w="1620"/>
      </w:tblGrid>
      <w:tr w:rsidR="00C232D7" w:rsidRPr="00287103" w14:paraId="79310EEC" w14:textId="77777777" w:rsidTr="00C232D7">
        <w:trPr>
          <w:trHeight w:val="418"/>
          <w:jc w:val="center"/>
        </w:trPr>
        <w:tc>
          <w:tcPr>
            <w:tcW w:w="2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2A2E535" w14:textId="77777777" w:rsidR="00C232D7" w:rsidRPr="00287103" w:rsidRDefault="00C232D7" w:rsidP="00E40D72">
            <w:pPr>
              <w:pStyle w:val="Caption"/>
              <w:rPr>
                <w:rFonts w:ascii="Arial" w:hAnsi="Arial" w:cs="Arial"/>
                <w:b w:val="0"/>
                <w:lang w:val="sq-AL"/>
              </w:rPr>
            </w:pPr>
            <w:r w:rsidRPr="00287103">
              <w:rPr>
                <w:rFonts w:ascii="Arial" w:hAnsi="Arial" w:cs="Arial"/>
                <w:b w:val="0"/>
                <w:lang w:val="sq-AL"/>
              </w:rPr>
              <w:t> </w:t>
            </w:r>
          </w:p>
        </w:tc>
        <w:tc>
          <w:tcPr>
            <w:tcW w:w="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E3FF2CD" w14:textId="77777777" w:rsidR="00C232D7" w:rsidRPr="00287103" w:rsidRDefault="00C232D7" w:rsidP="00E40D72">
            <w:pPr>
              <w:pStyle w:val="Caption"/>
              <w:rPr>
                <w:rFonts w:ascii="Arial" w:hAnsi="Arial" w:cs="Arial"/>
                <w:color w:val="000000" w:themeColor="text1"/>
                <w:lang w:val="sq-AL"/>
              </w:rPr>
            </w:pPr>
            <w:r w:rsidRPr="00287103">
              <w:rPr>
                <w:rFonts w:ascii="Arial" w:hAnsi="Arial" w:cs="Arial"/>
                <w:color w:val="000000" w:themeColor="text1"/>
                <w:lang w:val="sq-AL"/>
              </w:rPr>
              <w:t>2021</w:t>
            </w:r>
          </w:p>
        </w:tc>
        <w:tc>
          <w:tcPr>
            <w:tcW w:w="1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652866D" w14:textId="77777777" w:rsidR="00C232D7" w:rsidRPr="00287103" w:rsidRDefault="00C232D7" w:rsidP="00E40D72">
            <w:pPr>
              <w:pStyle w:val="Caption"/>
              <w:rPr>
                <w:rFonts w:ascii="Arial" w:hAnsi="Arial" w:cs="Arial"/>
                <w:color w:val="000000" w:themeColor="text1"/>
                <w:lang w:val="sq-AL"/>
              </w:rPr>
            </w:pPr>
            <w:r w:rsidRPr="00287103">
              <w:rPr>
                <w:rFonts w:ascii="Arial" w:hAnsi="Arial" w:cs="Arial"/>
                <w:color w:val="000000" w:themeColor="text1"/>
                <w:lang w:val="sq-AL"/>
              </w:rPr>
              <w:t>2022</w:t>
            </w:r>
          </w:p>
        </w:tc>
        <w:tc>
          <w:tcPr>
            <w:tcW w:w="16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FBE947" w14:textId="77777777" w:rsidR="00C232D7" w:rsidRPr="00287103" w:rsidRDefault="00C232D7" w:rsidP="00E40D72">
            <w:pPr>
              <w:pStyle w:val="Caption"/>
              <w:rPr>
                <w:rFonts w:ascii="Arial" w:hAnsi="Arial" w:cs="Arial"/>
                <w:color w:val="000000" w:themeColor="text1"/>
                <w:lang w:val="sq-AL"/>
              </w:rPr>
            </w:pPr>
            <w:r w:rsidRPr="00287103">
              <w:rPr>
                <w:rFonts w:ascii="Arial" w:hAnsi="Arial" w:cs="Arial"/>
                <w:color w:val="000000" w:themeColor="text1"/>
                <w:lang w:val="sq-AL"/>
              </w:rPr>
              <w:t>2023</w:t>
            </w:r>
          </w:p>
        </w:tc>
      </w:tr>
      <w:tr w:rsidR="00C232D7" w:rsidRPr="00287103" w14:paraId="73A75087" w14:textId="77777777" w:rsidTr="00C232D7">
        <w:trPr>
          <w:trHeight w:val="436"/>
          <w:jc w:val="center"/>
        </w:trPr>
        <w:tc>
          <w:tcPr>
            <w:tcW w:w="2695" w:type="dxa"/>
            <w:tcBorders>
              <w:top w:val="single" w:sz="4" w:space="0" w:color="auto"/>
              <w:left w:val="single" w:sz="4" w:space="0" w:color="auto"/>
              <w:bottom w:val="single" w:sz="4" w:space="0" w:color="auto"/>
              <w:right w:val="single" w:sz="4" w:space="0" w:color="auto"/>
            </w:tcBorders>
            <w:noWrap/>
            <w:vAlign w:val="center"/>
          </w:tcPr>
          <w:p w14:paraId="6A167489" w14:textId="77777777" w:rsidR="00C232D7" w:rsidRPr="00287103" w:rsidRDefault="00C232D7" w:rsidP="00C232D7">
            <w:pPr>
              <w:spacing w:line="360" w:lineRule="auto"/>
              <w:rPr>
                <w:rFonts w:ascii="Arial" w:hAnsi="Arial" w:cs="Arial"/>
                <w:b/>
                <w:sz w:val="18"/>
                <w:szCs w:val="18"/>
                <w:lang w:val="sq-AL"/>
              </w:rPr>
            </w:pPr>
            <w:r w:rsidRPr="00287103">
              <w:rPr>
                <w:rFonts w:ascii="Arial" w:hAnsi="Arial" w:cs="Arial"/>
                <w:b/>
                <w:sz w:val="18"/>
                <w:szCs w:val="18"/>
                <w:lang w:val="sq-AL"/>
              </w:rPr>
              <w:t>Poljoprivredni otpad</w:t>
            </w:r>
          </w:p>
        </w:tc>
        <w:tc>
          <w:tcPr>
            <w:tcW w:w="1530" w:type="dxa"/>
            <w:tcBorders>
              <w:top w:val="single" w:sz="4" w:space="0" w:color="auto"/>
              <w:left w:val="single" w:sz="4" w:space="0" w:color="auto"/>
              <w:bottom w:val="single" w:sz="4" w:space="0" w:color="auto"/>
              <w:right w:val="single" w:sz="4" w:space="0" w:color="auto"/>
            </w:tcBorders>
            <w:noWrap/>
            <w:vAlign w:val="center"/>
          </w:tcPr>
          <w:p w14:paraId="7A818EE5" w14:textId="77777777" w:rsidR="00C232D7" w:rsidRPr="00287103" w:rsidRDefault="00C232D7" w:rsidP="00C232D7">
            <w:pPr>
              <w:spacing w:line="360" w:lineRule="auto"/>
              <w:rPr>
                <w:rFonts w:ascii="Arial" w:hAnsi="Arial" w:cs="Arial"/>
                <w:sz w:val="18"/>
                <w:szCs w:val="18"/>
                <w:lang w:val="sq-AL"/>
              </w:rPr>
            </w:pPr>
            <w:r w:rsidRPr="00287103">
              <w:rPr>
                <w:rFonts w:ascii="Arial" w:hAnsi="Arial" w:cs="Arial"/>
                <w:sz w:val="18"/>
                <w:szCs w:val="18"/>
                <w:lang w:val="sq-AL"/>
              </w:rPr>
              <w:t>11,368.1</w:t>
            </w:r>
          </w:p>
        </w:tc>
        <w:tc>
          <w:tcPr>
            <w:tcW w:w="1350" w:type="dxa"/>
            <w:tcBorders>
              <w:top w:val="single" w:sz="4" w:space="0" w:color="auto"/>
              <w:left w:val="single" w:sz="4" w:space="0" w:color="auto"/>
              <w:bottom w:val="single" w:sz="4" w:space="0" w:color="auto"/>
              <w:right w:val="single" w:sz="4" w:space="0" w:color="auto"/>
            </w:tcBorders>
            <w:noWrap/>
            <w:vAlign w:val="center"/>
          </w:tcPr>
          <w:p w14:paraId="5753F34E" w14:textId="77777777" w:rsidR="00C232D7" w:rsidRPr="00287103" w:rsidRDefault="00C232D7" w:rsidP="00C232D7">
            <w:pPr>
              <w:spacing w:line="360" w:lineRule="auto"/>
              <w:rPr>
                <w:rFonts w:ascii="Arial" w:hAnsi="Arial" w:cs="Arial"/>
                <w:sz w:val="18"/>
                <w:szCs w:val="18"/>
                <w:lang w:val="sq-AL"/>
              </w:rPr>
            </w:pPr>
            <w:r w:rsidRPr="00287103">
              <w:rPr>
                <w:rFonts w:ascii="Arial" w:hAnsi="Arial" w:cs="Arial"/>
                <w:sz w:val="18"/>
                <w:szCs w:val="18"/>
                <w:lang w:val="sq-AL"/>
              </w:rPr>
              <w:t>12,200.5</w:t>
            </w:r>
          </w:p>
        </w:tc>
        <w:tc>
          <w:tcPr>
            <w:tcW w:w="1620" w:type="dxa"/>
            <w:tcBorders>
              <w:top w:val="single" w:sz="4" w:space="0" w:color="auto"/>
              <w:left w:val="single" w:sz="4" w:space="0" w:color="auto"/>
              <w:bottom w:val="single" w:sz="4" w:space="0" w:color="auto"/>
              <w:right w:val="single" w:sz="4" w:space="0" w:color="auto"/>
            </w:tcBorders>
            <w:vAlign w:val="center"/>
          </w:tcPr>
          <w:p w14:paraId="4AA9EAF3" w14:textId="77777777" w:rsidR="00C232D7" w:rsidRPr="00287103" w:rsidRDefault="00C232D7" w:rsidP="00C232D7">
            <w:pPr>
              <w:spacing w:line="360" w:lineRule="auto"/>
              <w:rPr>
                <w:rFonts w:ascii="Arial" w:hAnsi="Arial" w:cs="Arial"/>
                <w:sz w:val="18"/>
                <w:szCs w:val="18"/>
                <w:lang w:val="sq-AL"/>
              </w:rPr>
            </w:pPr>
            <w:r w:rsidRPr="00287103">
              <w:rPr>
                <w:rFonts w:ascii="Arial" w:hAnsi="Arial" w:cs="Arial"/>
                <w:sz w:val="18"/>
                <w:szCs w:val="18"/>
                <w:lang w:val="sq-AL"/>
              </w:rPr>
              <w:t>10,743.7</w:t>
            </w:r>
          </w:p>
        </w:tc>
      </w:tr>
    </w:tbl>
    <w:p w14:paraId="74C94C97" w14:textId="77777777" w:rsidR="00C232D7" w:rsidRPr="002A6F4E" w:rsidRDefault="00C232D7" w:rsidP="00C232D7">
      <w:pPr>
        <w:widowControl w:val="0"/>
        <w:spacing w:before="120" w:after="120" w:line="360" w:lineRule="auto"/>
        <w:rPr>
          <w:rFonts w:ascii="Arial" w:hAnsi="Arial" w:cs="Arial"/>
          <w:lang w:val="sq-AL"/>
        </w:rPr>
      </w:pPr>
    </w:p>
    <w:p w14:paraId="698C3F4E" w14:textId="71A1217E" w:rsidR="00C232D7" w:rsidRPr="00256FAF" w:rsidRDefault="003D1C94" w:rsidP="00F57909">
      <w:pPr>
        <w:pStyle w:val="Heading2"/>
      </w:pPr>
      <w:bookmarkStart w:id="769" w:name="_Toc193353996"/>
      <w:r w:rsidRPr="00256FAF">
        <w:t>4.2</w:t>
      </w:r>
      <w:r w:rsidR="001167D6">
        <w:t>2</w:t>
      </w:r>
      <w:r w:rsidRPr="00256FAF">
        <w:t>.</w:t>
      </w:r>
      <w:r w:rsidR="00C232D7" w:rsidRPr="00256FAF">
        <w:t xml:space="preserve"> </w:t>
      </w:r>
      <w:r w:rsidR="00550B8B">
        <w:t>Kanalizacioni mulj</w:t>
      </w:r>
      <w:bookmarkEnd w:id="769"/>
    </w:p>
    <w:p w14:paraId="44657651" w14:textId="6920D25B" w:rsidR="00C232D7" w:rsidRPr="002A6F4E" w:rsidRDefault="00C232D7" w:rsidP="00C232D7">
      <w:pPr>
        <w:spacing w:line="360" w:lineRule="auto"/>
        <w:rPr>
          <w:rFonts w:ascii="Arial" w:hAnsi="Arial" w:cs="Arial"/>
          <w:lang w:val="sq-AL"/>
        </w:rPr>
      </w:pPr>
      <w:r w:rsidRPr="002A6F4E">
        <w:rPr>
          <w:rFonts w:ascii="Arial" w:hAnsi="Arial" w:cs="Arial"/>
          <w:lang w:val="sq-AL"/>
        </w:rPr>
        <w:t xml:space="preserve">Prema </w:t>
      </w:r>
      <w:r w:rsidRPr="002A6F4E">
        <w:rPr>
          <w:rFonts w:ascii="Arial" w:hAnsi="Arial" w:cs="Arial"/>
          <w:iCs/>
          <w:lang w:val="sq-AL"/>
        </w:rPr>
        <w:t xml:space="preserve">Zakonu o upravljanju otpadom, </w:t>
      </w:r>
      <w:r w:rsidRPr="002A6F4E">
        <w:rPr>
          <w:rFonts w:ascii="Arial" w:hAnsi="Arial" w:cs="Arial"/>
          <w:lang w:val="sq-AL"/>
        </w:rPr>
        <w:t>kanalizacioni mulj je otpad koji nastaje prilikom tretmana u postrojenjima za prečišćavanje otpadnih voda (PPOV). Obrada mulja vrši se biološkom, hemijskom ili termičkom obradom, skladištenjem u periodu koji nije kraći od šest mjeseci ili bilo kojim drugim postupkom kojim se smanjuje njegova podložnost fermentaciji i mineralizaciji i otklanja opasnost po zdravlje ljudi i životnu sredinu.</w:t>
      </w:r>
    </w:p>
    <w:p w14:paraId="0378D93F" w14:textId="22A3C336"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 xml:space="preserve">Obrađeni mulj, u skladu sa </w:t>
      </w:r>
      <w:r w:rsidR="00F52A1B">
        <w:rPr>
          <w:rFonts w:ascii="Arial" w:hAnsi="Arial" w:cs="Arial"/>
          <w:lang w:val="sq-AL"/>
        </w:rPr>
        <w:t>Z</w:t>
      </w:r>
      <w:r w:rsidRPr="002A6F4E">
        <w:rPr>
          <w:rFonts w:ascii="Arial" w:hAnsi="Arial" w:cs="Arial"/>
          <w:lang w:val="sq-AL"/>
        </w:rPr>
        <w:t>akonom</w:t>
      </w:r>
      <w:r w:rsidR="00F52A1B">
        <w:rPr>
          <w:rFonts w:ascii="Arial" w:hAnsi="Arial" w:cs="Arial"/>
          <w:lang w:val="sq-AL"/>
        </w:rPr>
        <w:t xml:space="preserve"> o upravljanju otpadom</w:t>
      </w:r>
      <w:r w:rsidRPr="002A6F4E">
        <w:rPr>
          <w:rFonts w:ascii="Arial" w:hAnsi="Arial" w:cs="Arial"/>
          <w:lang w:val="sq-AL"/>
        </w:rPr>
        <w:t>, može se upotrebljavati: u poljoprivredi;</w:t>
      </w:r>
      <w:r w:rsidR="00884523">
        <w:rPr>
          <w:rFonts w:ascii="Arial" w:hAnsi="Arial" w:cs="Arial"/>
          <w:lang w:val="sq-AL"/>
        </w:rPr>
        <w:t xml:space="preserve"> </w:t>
      </w:r>
      <w:r w:rsidRPr="002A6F4E">
        <w:rPr>
          <w:rFonts w:ascii="Arial" w:hAnsi="Arial" w:cs="Arial"/>
          <w:lang w:val="sq-AL"/>
        </w:rPr>
        <w:t xml:space="preserve">na zelenim površinama i parkovima; za potrebe rekultivacije zemljišta, uključujući pošumljavanje goleti; na deponijama kao </w:t>
      </w:r>
      <w:r w:rsidR="00884523">
        <w:rPr>
          <w:rFonts w:ascii="Arial" w:hAnsi="Arial" w:cs="Arial"/>
          <w:lang w:val="sq-AL"/>
        </w:rPr>
        <w:t xml:space="preserve">završni </w:t>
      </w:r>
      <w:r w:rsidRPr="002A6F4E">
        <w:rPr>
          <w:rFonts w:ascii="Arial" w:hAnsi="Arial" w:cs="Arial"/>
          <w:lang w:val="sq-AL"/>
        </w:rPr>
        <w:t>prekrivni sloj; za potrebe dovođenja zemljišta za posebne namjene (na osnovu planova o upravljanju otpadom i propisa o uređenju prostora); za povrat energije spaljivanjem i/ili suspaljivanjem</w:t>
      </w:r>
      <w:r w:rsidR="00884523">
        <w:rPr>
          <w:rFonts w:ascii="Arial" w:hAnsi="Arial" w:cs="Arial"/>
          <w:lang w:val="sq-AL"/>
        </w:rPr>
        <w:t xml:space="preserve"> </w:t>
      </w:r>
      <w:r w:rsidRPr="002A6F4E">
        <w:rPr>
          <w:rFonts w:ascii="Arial" w:hAnsi="Arial" w:cs="Arial"/>
          <w:lang w:val="sq-AL"/>
        </w:rPr>
        <w:t>kao i za sanaciju neuređenih odlagališta otpada i drugih sličnih prostora koja treba privesti namjeni. Ministarstvo poljoprivrede, šumarstva i vodoprivrede ne predviđa mogućnost korišćenja obrađenog kanalizacionog mulja u poljoprivredi, iako se Direktiva 86/278 EEC odnosi na primjenu obrađenog kanalizacionog mulja u poljoprivredi.</w:t>
      </w:r>
    </w:p>
    <w:p w14:paraId="4E32F4DE"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 Crnoj Gori operativna su komunalna postrojenja za prečišćavanje otpadnih voda u Podgorici, Mojkovcu, Budvi, Herceg Novom, zatim zajedničko postrojenje za Tivat i Kotor, Nikšić, Pljevlja, Šavnik, Žabljak, Berane, kao i četiri manja postrojenja u Virpazaru, Rijeci Crnojevića, Luštici i Jazu. Planirana je izgradnja postrojenja za prečišćavanje otpadnih voda u drugim opštinama.</w:t>
      </w:r>
    </w:p>
    <w:p w14:paraId="13E8BE38" w14:textId="76966F91"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Kanalizaci</w:t>
      </w:r>
      <w:r w:rsidR="001946A2">
        <w:rPr>
          <w:rFonts w:ascii="Arial" w:hAnsi="Arial" w:cs="Arial"/>
          <w:lang w:val="sq-AL"/>
        </w:rPr>
        <w:t>on</w:t>
      </w:r>
      <w:r w:rsidRPr="002A6F4E">
        <w:rPr>
          <w:rFonts w:ascii="Arial" w:hAnsi="Arial" w:cs="Arial"/>
          <w:lang w:val="sq-AL"/>
        </w:rPr>
        <w:t xml:space="preserve">i mulj se uglavnom skladišti unutar postrojenja i izvozi. Prema </w:t>
      </w:r>
      <w:r w:rsidR="00514AD9">
        <w:rPr>
          <w:rFonts w:ascii="Arial" w:hAnsi="Arial" w:cs="Arial"/>
          <w:lang w:val="sq-AL"/>
        </w:rPr>
        <w:t xml:space="preserve">prethodnom </w:t>
      </w:r>
      <w:r w:rsidRPr="002A6F4E">
        <w:rPr>
          <w:rFonts w:ascii="Arial" w:hAnsi="Arial" w:cs="Arial"/>
          <w:lang w:val="sq-AL"/>
        </w:rPr>
        <w:t xml:space="preserve">Državnom planu upravljanja otpadom (2015-2020), procijenjena količina mulja na cijeloj teritoriji Crne Gore, nakon izgradnje </w:t>
      </w:r>
      <w:r w:rsidRPr="002A6F4E">
        <w:rPr>
          <w:rFonts w:ascii="Arial" w:hAnsi="Arial" w:cs="Arial"/>
          <w:lang w:val="sq-AL"/>
        </w:rPr>
        <w:lastRenderedPageBreak/>
        <w:t xml:space="preserve">planiranih komunalnih postrojenja za prečišćavanje otpadnih voda, iznosiće oko 18.770 t/godišnje u 2030. godini, </w:t>
      </w:r>
      <w:r w:rsidR="00885F50">
        <w:rPr>
          <w:rFonts w:ascii="Arial" w:hAnsi="Arial" w:cs="Arial"/>
          <w:lang w:val="sq-AL"/>
        </w:rPr>
        <w:t>iz</w:t>
      </w:r>
      <w:r w:rsidRPr="002A6F4E">
        <w:rPr>
          <w:rFonts w:ascii="Arial" w:hAnsi="Arial" w:cs="Arial"/>
          <w:lang w:val="sq-AL"/>
        </w:rPr>
        <w:t>računato za 30% suve materije u mulju.</w:t>
      </w:r>
    </w:p>
    <w:p w14:paraId="62D62E74" w14:textId="7ADC7618" w:rsidR="00C232D7" w:rsidRPr="002A6F4E" w:rsidRDefault="00256FAF" w:rsidP="00F57909">
      <w:pPr>
        <w:pStyle w:val="Heading2"/>
      </w:pPr>
      <w:bookmarkStart w:id="770" w:name="_Toc193353997"/>
      <w:r>
        <w:t>4.2</w:t>
      </w:r>
      <w:r w:rsidR="001167D6">
        <w:t>3</w:t>
      </w:r>
      <w:r>
        <w:t xml:space="preserve">. </w:t>
      </w:r>
      <w:r w:rsidR="00C232D7" w:rsidRPr="002A6F4E">
        <w:t>Rudarski otpad</w:t>
      </w:r>
      <w:bookmarkEnd w:id="770"/>
    </w:p>
    <w:p w14:paraId="7EB3D47B" w14:textId="554A3C06"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Crna Gora, u njenom razvoju, tokom 20</w:t>
      </w:r>
      <w:r w:rsidR="00074379">
        <w:rPr>
          <w:rFonts w:ascii="Arial" w:hAnsi="Arial" w:cs="Arial"/>
          <w:lang w:val="sq-AL"/>
        </w:rPr>
        <w:t>.</w:t>
      </w:r>
      <w:r w:rsidRPr="002A6F4E">
        <w:rPr>
          <w:rFonts w:ascii="Arial" w:hAnsi="Arial" w:cs="Arial"/>
          <w:lang w:val="sq-AL"/>
        </w:rPr>
        <w:t xml:space="preserve"> vijeka imala je otvorenih na desetine rudnika,</w:t>
      </w:r>
      <w:r w:rsidR="00514AD9">
        <w:rPr>
          <w:rFonts w:ascii="Arial" w:hAnsi="Arial" w:cs="Arial"/>
          <w:lang w:val="sq-AL"/>
        </w:rPr>
        <w:t xml:space="preserve"> </w:t>
      </w:r>
      <w:r w:rsidRPr="002A6F4E">
        <w:rPr>
          <w:rFonts w:ascii="Arial" w:hAnsi="Arial" w:cs="Arial"/>
          <w:lang w:val="sq-AL"/>
        </w:rPr>
        <w:t>kako sa podzemnom,</w:t>
      </w:r>
      <w:r w:rsidR="00514AD9">
        <w:rPr>
          <w:rFonts w:ascii="Arial" w:hAnsi="Arial" w:cs="Arial"/>
          <w:lang w:val="sq-AL"/>
        </w:rPr>
        <w:t xml:space="preserve"> </w:t>
      </w:r>
      <w:r w:rsidRPr="002A6F4E">
        <w:rPr>
          <w:rFonts w:ascii="Arial" w:hAnsi="Arial" w:cs="Arial"/>
          <w:lang w:val="sq-AL"/>
        </w:rPr>
        <w:t>tako i sa površinskom eksploatacijom.</w:t>
      </w:r>
      <w:r w:rsidR="00074379">
        <w:rPr>
          <w:rFonts w:ascii="Arial" w:hAnsi="Arial" w:cs="Arial"/>
          <w:lang w:val="sq-AL"/>
        </w:rPr>
        <w:t xml:space="preserve"> </w:t>
      </w:r>
      <w:r w:rsidRPr="002A6F4E">
        <w:rPr>
          <w:rFonts w:ascii="Arial" w:hAnsi="Arial" w:cs="Arial"/>
          <w:lang w:val="sq-AL"/>
        </w:rPr>
        <w:t>U tom periodu rudarski otpad,</w:t>
      </w:r>
      <w:r w:rsidR="00074379">
        <w:rPr>
          <w:rFonts w:ascii="Arial" w:hAnsi="Arial" w:cs="Arial"/>
          <w:lang w:val="sq-AL"/>
        </w:rPr>
        <w:t xml:space="preserve"> </w:t>
      </w:r>
      <w:r w:rsidRPr="002A6F4E">
        <w:rPr>
          <w:rFonts w:ascii="Arial" w:hAnsi="Arial" w:cs="Arial"/>
          <w:lang w:val="sq-AL"/>
        </w:rPr>
        <w:t>nije bio prepoznat kao nešto što bi moglo biti iskorišćeno ili  prera</w:t>
      </w:r>
      <w:r w:rsidR="00660B1D">
        <w:rPr>
          <w:rFonts w:ascii="Arial" w:hAnsi="Arial" w:cs="Arial"/>
          <w:lang w:val="sq-AL"/>
        </w:rPr>
        <w:t>đ</w:t>
      </w:r>
      <w:r w:rsidRPr="002A6F4E">
        <w:rPr>
          <w:rFonts w:ascii="Arial" w:hAnsi="Arial" w:cs="Arial"/>
          <w:lang w:val="sq-AL"/>
        </w:rPr>
        <w:t xml:space="preserve">eno i nakon zatvaranja tih rudnika. </w:t>
      </w:r>
    </w:p>
    <w:p w14:paraId="53EB6DB7" w14:textId="7211359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Kao jedno od područja u Opštini Nikšić,</w:t>
      </w:r>
      <w:r w:rsidR="00660B1D">
        <w:rPr>
          <w:rFonts w:ascii="Arial" w:hAnsi="Arial" w:cs="Arial"/>
          <w:lang w:val="sq-AL"/>
        </w:rPr>
        <w:t xml:space="preserve"> </w:t>
      </w:r>
      <w:r w:rsidRPr="002A6F4E">
        <w:rPr>
          <w:rFonts w:ascii="Arial" w:hAnsi="Arial" w:cs="Arial"/>
          <w:lang w:val="sq-AL"/>
        </w:rPr>
        <w:t>naročito je eksploatacijom rude crvenog boksita</w:t>
      </w:r>
      <w:r w:rsidR="00873ECA">
        <w:rPr>
          <w:rFonts w:ascii="Arial" w:hAnsi="Arial" w:cs="Arial"/>
          <w:lang w:val="sq-AL"/>
        </w:rPr>
        <w:t xml:space="preserve"> </w:t>
      </w:r>
      <w:r w:rsidRPr="002A6F4E">
        <w:rPr>
          <w:rFonts w:ascii="Arial" w:hAnsi="Arial" w:cs="Arial"/>
          <w:lang w:val="sq-AL"/>
        </w:rPr>
        <w:t>od strane privrednog društva „Rudnici boksita“ A.D. iz Nikšića,</w:t>
      </w:r>
      <w:r w:rsidR="00386984">
        <w:rPr>
          <w:rFonts w:ascii="Arial" w:hAnsi="Arial" w:cs="Arial"/>
          <w:lang w:val="sq-AL"/>
        </w:rPr>
        <w:t xml:space="preserve"> </w:t>
      </w:r>
      <w:r w:rsidRPr="002A6F4E">
        <w:rPr>
          <w:rFonts w:ascii="Arial" w:hAnsi="Arial" w:cs="Arial"/>
          <w:lang w:val="sq-AL"/>
        </w:rPr>
        <w:t>bilo obuhvaćeno područje nikšićke Župe,</w:t>
      </w:r>
      <w:r w:rsidR="00386984">
        <w:rPr>
          <w:rFonts w:ascii="Arial" w:hAnsi="Arial" w:cs="Arial"/>
          <w:lang w:val="sq-AL"/>
        </w:rPr>
        <w:t xml:space="preserve"> </w:t>
      </w:r>
      <w:r w:rsidRPr="002A6F4E">
        <w:rPr>
          <w:rFonts w:ascii="Arial" w:hAnsi="Arial" w:cs="Arial"/>
          <w:lang w:val="sq-AL"/>
        </w:rPr>
        <w:t>gdje je na više lokacija,</w:t>
      </w:r>
      <w:r w:rsidR="00074379">
        <w:rPr>
          <w:rFonts w:ascii="Arial" w:hAnsi="Arial" w:cs="Arial"/>
          <w:lang w:val="sq-AL"/>
        </w:rPr>
        <w:t xml:space="preserve"> </w:t>
      </w:r>
      <w:r w:rsidRPr="002A6F4E">
        <w:rPr>
          <w:rFonts w:ascii="Arial" w:hAnsi="Arial" w:cs="Arial"/>
          <w:lang w:val="sq-AL"/>
        </w:rPr>
        <w:t>otkopavana ista,</w:t>
      </w:r>
      <w:r w:rsidR="00074379">
        <w:rPr>
          <w:rFonts w:ascii="Arial" w:hAnsi="Arial" w:cs="Arial"/>
          <w:lang w:val="sq-AL"/>
        </w:rPr>
        <w:t xml:space="preserve"> </w:t>
      </w:r>
      <w:r w:rsidRPr="002A6F4E">
        <w:rPr>
          <w:rFonts w:ascii="Arial" w:hAnsi="Arial" w:cs="Arial"/>
          <w:lang w:val="sq-AL"/>
        </w:rPr>
        <w:t xml:space="preserve">a odredjene količine otpada iz rudarstva ostajale su  i nakon zatvaranja istih.Tako se na području bivših rudnika: „Borovih Brda“, „Liverovića I“, „Liverovića II“ i „Kutskog brda“ trenutno nalaze značajno velike količine </w:t>
      </w:r>
      <w:r w:rsidR="00885F50">
        <w:rPr>
          <w:rFonts w:ascii="Arial" w:hAnsi="Arial" w:cs="Arial"/>
          <w:lang w:val="sq-AL"/>
        </w:rPr>
        <w:t>rudarskog otpada</w:t>
      </w:r>
      <w:r w:rsidRPr="002A6F4E">
        <w:rPr>
          <w:rFonts w:ascii="Arial" w:hAnsi="Arial" w:cs="Arial"/>
          <w:lang w:val="sq-AL"/>
        </w:rPr>
        <w:t>,</w:t>
      </w:r>
      <w:r w:rsidR="00386984">
        <w:rPr>
          <w:rFonts w:ascii="Arial" w:hAnsi="Arial" w:cs="Arial"/>
          <w:lang w:val="sq-AL"/>
        </w:rPr>
        <w:t xml:space="preserve"> </w:t>
      </w:r>
      <w:r w:rsidRPr="002A6F4E">
        <w:rPr>
          <w:rFonts w:ascii="Arial" w:hAnsi="Arial" w:cs="Arial"/>
          <w:lang w:val="sq-AL"/>
        </w:rPr>
        <w:t xml:space="preserve">kojih po slobodnoj procjeni ima više </w:t>
      </w:r>
      <w:r w:rsidRPr="00873ECA">
        <w:rPr>
          <w:rFonts w:ascii="Arial" w:hAnsi="Arial" w:cs="Arial"/>
          <w:lang w:val="sq-AL"/>
        </w:rPr>
        <w:t xml:space="preserve">miliona </w:t>
      </w:r>
      <w:r w:rsidR="00873ECA" w:rsidRPr="00873ECA">
        <w:rPr>
          <w:rFonts w:ascii="Arial" w:hAnsi="Arial" w:cs="Arial"/>
          <w:lang w:val="sq-AL"/>
        </w:rPr>
        <w:t>t</w:t>
      </w:r>
      <w:r w:rsidR="00AA15E6">
        <w:rPr>
          <w:rFonts w:ascii="Arial" w:hAnsi="Arial" w:cs="Arial"/>
          <w:lang w:val="sq-AL"/>
        </w:rPr>
        <w:t>ona</w:t>
      </w:r>
      <w:r w:rsidRPr="00873ECA">
        <w:rPr>
          <w:rFonts w:ascii="Arial" w:hAnsi="Arial" w:cs="Arial"/>
          <w:lang w:val="sq-AL"/>
        </w:rPr>
        <w:t>.</w:t>
      </w:r>
    </w:p>
    <w:p w14:paraId="09DCE937" w14:textId="3E9F0B65"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„Rudnici boksita“ A.D. iz Nikšića takodje su vršili eksploataciju rude crvenog boksita i na lokaciji „Crvena </w:t>
      </w:r>
      <w:r w:rsidR="007C78A7">
        <w:rPr>
          <w:rFonts w:ascii="Arial" w:hAnsi="Arial" w:cs="Arial"/>
          <w:lang w:val="sq-AL"/>
        </w:rPr>
        <w:t>K</w:t>
      </w:r>
      <w:r w:rsidRPr="002A6F4E">
        <w:rPr>
          <w:rFonts w:ascii="Arial" w:hAnsi="Arial" w:cs="Arial"/>
          <w:lang w:val="sq-AL"/>
        </w:rPr>
        <w:t>ita“,</w:t>
      </w:r>
      <w:r w:rsidR="00660B1D">
        <w:rPr>
          <w:rFonts w:ascii="Arial" w:hAnsi="Arial" w:cs="Arial"/>
          <w:lang w:val="sq-AL"/>
        </w:rPr>
        <w:t xml:space="preserve"> </w:t>
      </w:r>
      <w:r w:rsidRPr="002A6F4E">
        <w:rPr>
          <w:rFonts w:ascii="Arial" w:hAnsi="Arial" w:cs="Arial"/>
          <w:lang w:val="sq-AL"/>
        </w:rPr>
        <w:t>u KO Jabuka u opštini Nikšić,</w:t>
      </w:r>
      <w:r w:rsidR="00885F50">
        <w:rPr>
          <w:rFonts w:ascii="Arial" w:hAnsi="Arial" w:cs="Arial"/>
          <w:lang w:val="sq-AL"/>
        </w:rPr>
        <w:t xml:space="preserve"> </w:t>
      </w:r>
      <w:r w:rsidRPr="002A6F4E">
        <w:rPr>
          <w:rFonts w:ascii="Arial" w:hAnsi="Arial" w:cs="Arial"/>
          <w:lang w:val="sq-AL"/>
        </w:rPr>
        <w:t>kao i u rudniku „Dragalj“ u opštini Kotor.</w:t>
      </w:r>
    </w:p>
    <w:p w14:paraId="7AEB8D63" w14:textId="3B99598D"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Bivši rudnici arhitektonsko-gra</w:t>
      </w:r>
      <w:r w:rsidR="00660B1D">
        <w:rPr>
          <w:rFonts w:ascii="Arial" w:hAnsi="Arial" w:cs="Arial"/>
          <w:lang w:val="sq-AL"/>
        </w:rPr>
        <w:t>đ</w:t>
      </w:r>
      <w:r w:rsidRPr="002A6F4E">
        <w:rPr>
          <w:rFonts w:ascii="Arial" w:hAnsi="Arial" w:cs="Arial"/>
          <w:lang w:val="sq-AL"/>
        </w:rPr>
        <w:t>evinskog kamena „Vinići“, „Slatina“-Kriva ploča, „Klikovače“,</w:t>
      </w:r>
      <w:r w:rsidR="00660B1D">
        <w:rPr>
          <w:rFonts w:ascii="Arial" w:hAnsi="Arial" w:cs="Arial"/>
          <w:lang w:val="sq-AL"/>
        </w:rPr>
        <w:t xml:space="preserve"> </w:t>
      </w:r>
      <w:r w:rsidRPr="002A6F4E">
        <w:rPr>
          <w:rFonts w:ascii="Arial" w:hAnsi="Arial" w:cs="Arial"/>
          <w:lang w:val="sq-AL"/>
        </w:rPr>
        <w:t xml:space="preserve">pa i dio starih rudnika </w:t>
      </w:r>
      <w:r w:rsidRPr="00873ECA">
        <w:rPr>
          <w:rFonts w:ascii="Arial" w:hAnsi="Arial" w:cs="Arial"/>
          <w:lang w:val="sq-AL"/>
        </w:rPr>
        <w:t>a-g</w:t>
      </w:r>
      <w:r w:rsidRPr="002A6F4E">
        <w:rPr>
          <w:rFonts w:ascii="Arial" w:hAnsi="Arial" w:cs="Arial"/>
          <w:lang w:val="sq-AL"/>
        </w:rPr>
        <w:t xml:space="preserve"> kamena „Maljat“ i „Visočica“, koji se nalaze u opštini Danilovgrad,</w:t>
      </w:r>
      <w:r w:rsidR="00386984">
        <w:rPr>
          <w:rFonts w:ascii="Arial" w:hAnsi="Arial" w:cs="Arial"/>
          <w:lang w:val="sq-AL"/>
        </w:rPr>
        <w:t xml:space="preserve"> </w:t>
      </w:r>
      <w:r w:rsidRPr="002A6F4E">
        <w:rPr>
          <w:rFonts w:ascii="Arial" w:hAnsi="Arial" w:cs="Arial"/>
          <w:lang w:val="sq-AL"/>
        </w:rPr>
        <w:t>raspolažu odre</w:t>
      </w:r>
      <w:r w:rsidR="00386984">
        <w:rPr>
          <w:rFonts w:ascii="Arial" w:hAnsi="Arial" w:cs="Arial"/>
          <w:lang w:val="sq-AL"/>
        </w:rPr>
        <w:t>đ</w:t>
      </w:r>
      <w:r w:rsidRPr="002A6F4E">
        <w:rPr>
          <w:rFonts w:ascii="Arial" w:hAnsi="Arial" w:cs="Arial"/>
          <w:lang w:val="sq-AL"/>
        </w:rPr>
        <w:t>enim količinama rudarskog otpada.</w:t>
      </w:r>
    </w:p>
    <w:p w14:paraId="399C07D3" w14:textId="44A4F188"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Napušteni rudnici opekarske gline „Lovanje“ i „Solila“ i rudnik tehničko-gradjevinskog kamena „Oblatno“ u opštini Tivat,</w:t>
      </w:r>
      <w:r w:rsidR="00660B1D">
        <w:rPr>
          <w:rFonts w:ascii="Arial" w:hAnsi="Arial" w:cs="Arial"/>
          <w:lang w:val="sq-AL"/>
        </w:rPr>
        <w:t xml:space="preserve"> </w:t>
      </w:r>
      <w:r w:rsidRPr="002A6F4E">
        <w:rPr>
          <w:rFonts w:ascii="Arial" w:hAnsi="Arial" w:cs="Arial"/>
          <w:lang w:val="sq-AL"/>
        </w:rPr>
        <w:t xml:space="preserve">napušteni rudnik </w:t>
      </w:r>
      <w:r w:rsidRPr="00873ECA">
        <w:rPr>
          <w:rFonts w:ascii="Arial" w:hAnsi="Arial" w:cs="Arial"/>
          <w:lang w:val="sq-AL"/>
        </w:rPr>
        <w:t>t-g</w:t>
      </w:r>
      <w:r w:rsidRPr="002A6F4E">
        <w:rPr>
          <w:rFonts w:ascii="Arial" w:hAnsi="Arial" w:cs="Arial"/>
          <w:lang w:val="sq-AL"/>
        </w:rPr>
        <w:t xml:space="preserve"> kamena „Nalježići“ u Opštini Kotor,</w:t>
      </w:r>
      <w:r w:rsidR="00660B1D">
        <w:rPr>
          <w:rFonts w:ascii="Arial" w:hAnsi="Arial" w:cs="Arial"/>
          <w:lang w:val="sq-AL"/>
        </w:rPr>
        <w:t xml:space="preserve"> </w:t>
      </w:r>
      <w:r w:rsidRPr="002A6F4E">
        <w:rPr>
          <w:rFonts w:ascii="Arial" w:hAnsi="Arial" w:cs="Arial"/>
          <w:lang w:val="sq-AL"/>
        </w:rPr>
        <w:t xml:space="preserve">bivši rudnik </w:t>
      </w:r>
      <w:r w:rsidRPr="00873ECA">
        <w:rPr>
          <w:rFonts w:ascii="Arial" w:hAnsi="Arial" w:cs="Arial"/>
          <w:lang w:val="sq-AL"/>
        </w:rPr>
        <w:t>t-g</w:t>
      </w:r>
      <w:r w:rsidRPr="002A6F4E">
        <w:rPr>
          <w:rFonts w:ascii="Arial" w:hAnsi="Arial" w:cs="Arial"/>
          <w:lang w:val="sq-AL"/>
        </w:rPr>
        <w:t xml:space="preserve"> kamena „Kufin“ i dolomita „Virpazar“ u Opštini Bar,</w:t>
      </w:r>
      <w:r w:rsidR="00660B1D">
        <w:rPr>
          <w:rFonts w:ascii="Arial" w:hAnsi="Arial" w:cs="Arial"/>
          <w:lang w:val="sq-AL"/>
        </w:rPr>
        <w:t xml:space="preserve"> </w:t>
      </w:r>
      <w:r w:rsidRPr="002A6F4E">
        <w:rPr>
          <w:rFonts w:ascii="Arial" w:hAnsi="Arial" w:cs="Arial"/>
          <w:lang w:val="sq-AL"/>
        </w:rPr>
        <w:t>kao i napušteni rudnik morske soli „Štojska Kneta“(Solana „Bajo Sekulić</w:t>
      </w:r>
      <w:r w:rsidR="00885F50">
        <w:rPr>
          <w:rFonts w:ascii="Arial" w:hAnsi="Arial" w:cs="Arial"/>
          <w:lang w:val="sq-AL"/>
        </w:rPr>
        <w:t>”</w:t>
      </w:r>
      <w:r w:rsidRPr="002A6F4E">
        <w:rPr>
          <w:rFonts w:ascii="Arial" w:hAnsi="Arial" w:cs="Arial"/>
          <w:lang w:val="sq-AL"/>
        </w:rPr>
        <w:t xml:space="preserve">) i bivši rudnici </w:t>
      </w:r>
      <w:r w:rsidRPr="00873ECA">
        <w:rPr>
          <w:rFonts w:ascii="Arial" w:hAnsi="Arial" w:cs="Arial"/>
          <w:lang w:val="sq-AL"/>
        </w:rPr>
        <w:t>t-g</w:t>
      </w:r>
      <w:r w:rsidRPr="002A6F4E">
        <w:rPr>
          <w:rFonts w:ascii="Arial" w:hAnsi="Arial" w:cs="Arial"/>
          <w:lang w:val="sq-AL"/>
        </w:rPr>
        <w:t xml:space="preserve"> kamena „Borik I“ i „Borik II“ u Opštini Ulcinj, predstavljali bi lokacije na kojima bi se mogle obaviti remedijacije istih.</w:t>
      </w:r>
      <w:r w:rsidR="00660B1D">
        <w:rPr>
          <w:rFonts w:ascii="Arial" w:hAnsi="Arial" w:cs="Arial"/>
          <w:lang w:val="sq-AL"/>
        </w:rPr>
        <w:t xml:space="preserve"> </w:t>
      </w:r>
    </w:p>
    <w:p w14:paraId="31E5030B" w14:textId="6C1B18AB"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Značajno je da pomenemo da je novim Zakonom o upravljanju otpadom  propisano članom 7,</w:t>
      </w:r>
      <w:r w:rsidR="00DD04E1">
        <w:rPr>
          <w:rFonts w:ascii="Arial" w:hAnsi="Arial" w:cs="Arial"/>
          <w:lang w:val="sq-AL"/>
        </w:rPr>
        <w:t xml:space="preserve"> </w:t>
      </w:r>
      <w:r w:rsidRPr="002A6F4E">
        <w:rPr>
          <w:rFonts w:ascii="Arial" w:hAnsi="Arial" w:cs="Arial"/>
          <w:lang w:val="sq-AL"/>
        </w:rPr>
        <w:t>stav 1,</w:t>
      </w:r>
      <w:r w:rsidR="00DD04E1">
        <w:rPr>
          <w:rFonts w:ascii="Arial" w:hAnsi="Arial" w:cs="Arial"/>
          <w:lang w:val="sq-AL"/>
        </w:rPr>
        <w:t xml:space="preserve"> </w:t>
      </w:r>
      <w:r w:rsidRPr="002A6F4E">
        <w:rPr>
          <w:rFonts w:ascii="Arial" w:hAnsi="Arial" w:cs="Arial"/>
          <w:lang w:val="sq-AL"/>
        </w:rPr>
        <w:t>tačka 62:</w:t>
      </w:r>
      <w:r w:rsidR="00DD04E1">
        <w:rPr>
          <w:rFonts w:ascii="Arial" w:hAnsi="Arial" w:cs="Arial"/>
          <w:lang w:val="sq-AL"/>
        </w:rPr>
        <w:t xml:space="preserve"> </w:t>
      </w:r>
      <w:r w:rsidRPr="002A6F4E">
        <w:rPr>
          <w:rFonts w:ascii="Arial" w:hAnsi="Arial" w:cs="Arial"/>
          <w:lang w:val="sq-AL"/>
        </w:rPr>
        <w:t>„ rudarski otpad je otpad nastao prilikom geoloških istraživanja, eksploatacije, pripreme i skladištenja mineralnih sirovina, kao i otpad dobijen u procesu pripreme rude koji podrazumjeva mehanički, fizički, biološki, toplotni ili hemijski postupak (izmjena dimenzija, separacija i izluživanje, prerada ranije odbačenog otpada), osim topljenja, termo procese proizvodnje i metalurških procesa, osim otpada koji je nastao prilikom geoloških istraživanja, eksploatacije i pripreme mineralnih sirovina, koji nije u direktnoj vezi sa navedenim aktivnostima, otpad nastao u postupku istraživanja i proizvodnje ugljovodonika u podmorju i otpada nastalog od ekstraktivne industrije koji je radioaktivan.”</w:t>
      </w:r>
    </w:p>
    <w:p w14:paraId="39B28B39" w14:textId="05E0E225"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Kao što vidimo,</w:t>
      </w:r>
      <w:r w:rsidR="00DD04E1">
        <w:rPr>
          <w:rFonts w:ascii="Arial" w:hAnsi="Arial" w:cs="Arial"/>
          <w:lang w:val="sq-AL"/>
        </w:rPr>
        <w:t xml:space="preserve"> </w:t>
      </w:r>
      <w:r w:rsidRPr="002A6F4E">
        <w:rPr>
          <w:rFonts w:ascii="Arial" w:hAnsi="Arial" w:cs="Arial"/>
          <w:lang w:val="sq-AL"/>
        </w:rPr>
        <w:t>s</w:t>
      </w:r>
      <w:r w:rsidR="00DD04E1">
        <w:rPr>
          <w:rFonts w:ascii="Arial" w:hAnsi="Arial" w:cs="Arial"/>
          <w:lang w:val="sq-AL"/>
        </w:rPr>
        <w:t xml:space="preserve"> </w:t>
      </w:r>
      <w:r w:rsidRPr="002A6F4E">
        <w:rPr>
          <w:rFonts w:ascii="Arial" w:hAnsi="Arial" w:cs="Arial"/>
          <w:lang w:val="sq-AL"/>
        </w:rPr>
        <w:t>obzirom da se geološka istraživanja dijele na istraživanja ležišta mineralnih sirovina, geotehnička istraživanja, hidrogeološka i ostala,</w:t>
      </w:r>
      <w:r w:rsidR="00DD04E1">
        <w:rPr>
          <w:rFonts w:ascii="Arial" w:hAnsi="Arial" w:cs="Arial"/>
          <w:lang w:val="sq-AL"/>
        </w:rPr>
        <w:t xml:space="preserve"> </w:t>
      </w:r>
      <w:r w:rsidRPr="002A6F4E">
        <w:rPr>
          <w:rFonts w:ascii="Arial" w:hAnsi="Arial" w:cs="Arial"/>
          <w:lang w:val="sq-AL"/>
        </w:rPr>
        <w:t>značajne količine rudarskog otpada mogu da nastanu u procesu obavljanja istih kroz izradu istražnih bušotina,</w:t>
      </w:r>
      <w:r w:rsidR="00DD04E1">
        <w:rPr>
          <w:rFonts w:ascii="Arial" w:hAnsi="Arial" w:cs="Arial"/>
          <w:lang w:val="sq-AL"/>
        </w:rPr>
        <w:t xml:space="preserve"> </w:t>
      </w:r>
      <w:r w:rsidRPr="002A6F4E">
        <w:rPr>
          <w:rFonts w:ascii="Arial" w:hAnsi="Arial" w:cs="Arial"/>
          <w:lang w:val="sq-AL"/>
        </w:rPr>
        <w:t>izradu istražnih raskopa, geotehničkih istražnih bušotina,</w:t>
      </w:r>
      <w:r w:rsidR="00DD04E1">
        <w:rPr>
          <w:rFonts w:ascii="Arial" w:hAnsi="Arial" w:cs="Arial"/>
          <w:lang w:val="sq-AL"/>
        </w:rPr>
        <w:t xml:space="preserve"> </w:t>
      </w:r>
      <w:r w:rsidRPr="002A6F4E">
        <w:rPr>
          <w:rFonts w:ascii="Arial" w:hAnsi="Arial" w:cs="Arial"/>
          <w:lang w:val="sq-AL"/>
        </w:rPr>
        <w:t>izradu bunara itd.</w:t>
      </w:r>
      <w:r w:rsidR="00DD04E1">
        <w:rPr>
          <w:rFonts w:ascii="Arial" w:hAnsi="Arial" w:cs="Arial"/>
          <w:lang w:val="sq-AL"/>
        </w:rPr>
        <w:t xml:space="preserve"> </w:t>
      </w:r>
      <w:r w:rsidRPr="002A6F4E">
        <w:rPr>
          <w:rFonts w:ascii="Arial" w:hAnsi="Arial" w:cs="Arial"/>
          <w:lang w:val="sq-AL"/>
        </w:rPr>
        <w:t>Sve ovo otvara mnogobrojna pitanja,</w:t>
      </w:r>
      <w:r w:rsidR="00DD04E1">
        <w:rPr>
          <w:rFonts w:ascii="Arial" w:hAnsi="Arial" w:cs="Arial"/>
          <w:lang w:val="sq-AL"/>
        </w:rPr>
        <w:t xml:space="preserve"> </w:t>
      </w:r>
      <w:r w:rsidRPr="002A6F4E">
        <w:rPr>
          <w:rFonts w:ascii="Arial" w:hAnsi="Arial" w:cs="Arial"/>
          <w:lang w:val="sq-AL"/>
        </w:rPr>
        <w:t>a u smislu traženja optimalnih r</w:t>
      </w:r>
      <w:r w:rsidR="008960B4">
        <w:rPr>
          <w:rFonts w:ascii="Arial" w:hAnsi="Arial" w:cs="Arial"/>
          <w:lang w:val="sq-AL"/>
        </w:rPr>
        <w:t>j</w:t>
      </w:r>
      <w:r w:rsidRPr="002A6F4E">
        <w:rPr>
          <w:rFonts w:ascii="Arial" w:hAnsi="Arial" w:cs="Arial"/>
          <w:lang w:val="sq-AL"/>
        </w:rPr>
        <w:t>ešenja funkcionalnog inspekcijskog nadzora nad upravljanjem ove vrste otpada,</w:t>
      </w:r>
      <w:r w:rsidR="00DD04E1">
        <w:rPr>
          <w:rFonts w:ascii="Arial" w:hAnsi="Arial" w:cs="Arial"/>
          <w:lang w:val="sq-AL"/>
        </w:rPr>
        <w:t xml:space="preserve"> </w:t>
      </w:r>
      <w:r w:rsidRPr="002A6F4E">
        <w:rPr>
          <w:rFonts w:ascii="Arial" w:hAnsi="Arial" w:cs="Arial"/>
          <w:lang w:val="sq-AL"/>
        </w:rPr>
        <w:t>gdje je najbitniji faktor pravovremenog obavještavanja nadležnih inspekcija zaduženih za kontrolu rudarskog otpada,</w:t>
      </w:r>
      <w:r w:rsidR="00660B1D">
        <w:rPr>
          <w:rFonts w:ascii="Arial" w:hAnsi="Arial" w:cs="Arial"/>
          <w:lang w:val="sq-AL"/>
        </w:rPr>
        <w:t xml:space="preserve"> </w:t>
      </w:r>
      <w:r w:rsidRPr="002A6F4E">
        <w:rPr>
          <w:rFonts w:ascii="Arial" w:hAnsi="Arial" w:cs="Arial"/>
          <w:lang w:val="sq-AL"/>
        </w:rPr>
        <w:t xml:space="preserve">od strane </w:t>
      </w:r>
      <w:r w:rsidRPr="002A6F4E">
        <w:rPr>
          <w:rFonts w:ascii="Arial" w:hAnsi="Arial" w:cs="Arial"/>
          <w:lang w:val="sq-AL"/>
        </w:rPr>
        <w:lastRenderedPageBreak/>
        <w:t>organa zaduženih za izdavanje odobrenja za izvo</w:t>
      </w:r>
      <w:r w:rsidR="00660B1D">
        <w:rPr>
          <w:rFonts w:ascii="Arial" w:hAnsi="Arial" w:cs="Arial"/>
          <w:lang w:val="sq-AL"/>
        </w:rPr>
        <w:t>đ</w:t>
      </w:r>
      <w:r w:rsidRPr="002A6F4E">
        <w:rPr>
          <w:rFonts w:ascii="Arial" w:hAnsi="Arial" w:cs="Arial"/>
          <w:lang w:val="sq-AL"/>
        </w:rPr>
        <w:t>enje geoloških istraživanja,</w:t>
      </w:r>
      <w:r w:rsidR="00DD04E1">
        <w:rPr>
          <w:rFonts w:ascii="Arial" w:hAnsi="Arial" w:cs="Arial"/>
          <w:lang w:val="sq-AL"/>
        </w:rPr>
        <w:t xml:space="preserve"> </w:t>
      </w:r>
      <w:r w:rsidRPr="002A6F4E">
        <w:rPr>
          <w:rFonts w:ascii="Arial" w:hAnsi="Arial" w:cs="Arial"/>
          <w:lang w:val="sq-AL"/>
        </w:rPr>
        <w:t>pojedinim privrednim društvima.</w:t>
      </w:r>
    </w:p>
    <w:p w14:paraId="1193D576" w14:textId="7EB839D9"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Tako</w:t>
      </w:r>
      <w:r w:rsidR="00660B1D">
        <w:rPr>
          <w:rFonts w:ascii="Arial" w:hAnsi="Arial" w:cs="Arial"/>
          <w:lang w:val="sq-AL"/>
        </w:rPr>
        <w:t>đ</w:t>
      </w:r>
      <w:r w:rsidRPr="002A6F4E">
        <w:rPr>
          <w:rFonts w:ascii="Arial" w:hAnsi="Arial" w:cs="Arial"/>
          <w:lang w:val="sq-AL"/>
        </w:rPr>
        <w:t xml:space="preserve">e, ukoliko Vlada Crne Gore, odnosno njeno </w:t>
      </w:r>
      <w:r w:rsidR="00660B1D">
        <w:rPr>
          <w:rFonts w:ascii="Arial" w:hAnsi="Arial" w:cs="Arial"/>
          <w:lang w:val="sq-AL"/>
        </w:rPr>
        <w:t>m</w:t>
      </w:r>
      <w:r w:rsidRPr="002A6F4E">
        <w:rPr>
          <w:rFonts w:ascii="Arial" w:hAnsi="Arial" w:cs="Arial"/>
          <w:lang w:val="sq-AL"/>
        </w:rPr>
        <w:t xml:space="preserve">inistarstvo </w:t>
      </w:r>
      <w:r w:rsidR="00DD04E1">
        <w:rPr>
          <w:rFonts w:ascii="Arial" w:hAnsi="Arial" w:cs="Arial"/>
          <w:lang w:val="sq-AL"/>
        </w:rPr>
        <w:t>nadležno za oblast rudarstva</w:t>
      </w:r>
      <w:r w:rsidRPr="002A6F4E">
        <w:rPr>
          <w:rFonts w:ascii="Arial" w:hAnsi="Arial" w:cs="Arial"/>
          <w:lang w:val="sq-AL"/>
        </w:rPr>
        <w:t xml:space="preserve"> </w:t>
      </w:r>
      <w:r w:rsidR="00AA15E6">
        <w:rPr>
          <w:rFonts w:ascii="Arial" w:hAnsi="Arial" w:cs="Arial"/>
          <w:lang w:val="sq-AL"/>
        </w:rPr>
        <w:t xml:space="preserve">izda nove koncesije, </w:t>
      </w:r>
      <w:r w:rsidRPr="002A6F4E">
        <w:rPr>
          <w:rFonts w:ascii="Arial" w:hAnsi="Arial" w:cs="Arial"/>
          <w:lang w:val="sq-AL"/>
        </w:rPr>
        <w:t>u skladu sa Zakonom o istraživanju i proizvodnji ugljovodonika, otvorio bi se prostor za rad nadležnih inspekcija,a u smislu kontrole tih privrednih društava sa aspekta upravljanja rudarskim otpadom.</w:t>
      </w:r>
    </w:p>
    <w:p w14:paraId="28341115" w14:textId="77777777" w:rsidR="00C232D7" w:rsidRPr="00AF012C" w:rsidRDefault="00C232D7" w:rsidP="00C232D7">
      <w:pPr>
        <w:rPr>
          <w:rFonts w:ascii="Arial" w:hAnsi="Arial" w:cs="Arial"/>
          <w:lang w:val="sq-AL"/>
        </w:rPr>
      </w:pPr>
    </w:p>
    <w:p w14:paraId="164FF80C" w14:textId="29E73A1A" w:rsidR="00C232D7" w:rsidRPr="00256FAF" w:rsidRDefault="003D1C94" w:rsidP="00F57909">
      <w:pPr>
        <w:pStyle w:val="Heading2"/>
      </w:pPr>
      <w:bookmarkStart w:id="771" w:name="_Toc193353998"/>
      <w:r w:rsidRPr="00256FAF">
        <w:t>4.2</w:t>
      </w:r>
      <w:r w:rsidR="001167D6">
        <w:t>4</w:t>
      </w:r>
      <w:r w:rsidRPr="00256FAF">
        <w:t xml:space="preserve">. </w:t>
      </w:r>
      <w:r w:rsidR="00C232D7" w:rsidRPr="00256FAF">
        <w:t>Industrijski neopasni otpad</w:t>
      </w:r>
      <w:bookmarkEnd w:id="771"/>
    </w:p>
    <w:p w14:paraId="14EB9CEF" w14:textId="7C1BEE46" w:rsidR="00C232D7" w:rsidRPr="002A6F4E" w:rsidRDefault="00C232D7" w:rsidP="00C232D7">
      <w:pPr>
        <w:spacing w:line="360" w:lineRule="auto"/>
        <w:rPr>
          <w:rFonts w:ascii="Arial" w:hAnsi="Arial" w:cs="Arial"/>
          <w:lang w:val="hr-HR" w:eastAsia="pl-PL"/>
        </w:rPr>
      </w:pPr>
      <w:r w:rsidRPr="002A6F4E">
        <w:rPr>
          <w:rFonts w:ascii="Arial" w:hAnsi="Arial" w:cs="Arial"/>
          <w:lang w:val="hr-HR" w:eastAsia="pl-PL"/>
        </w:rPr>
        <w:t>Industrijski otpad obuhvata sve vrste otpada koje nastaju u proizvodnim procesima u industriji i zanatstvu, a razlikuje se od komunalnog otpada po svom sastavu i karakteristikama</w:t>
      </w:r>
      <w:r w:rsidR="0039662A">
        <w:rPr>
          <w:rFonts w:ascii="Arial" w:hAnsi="Arial" w:cs="Arial"/>
          <w:lang w:val="hr-HR" w:eastAsia="pl-PL"/>
        </w:rPr>
        <w:t xml:space="preserve"> i</w:t>
      </w:r>
      <w:r w:rsidR="00873ECA">
        <w:rPr>
          <w:rFonts w:ascii="Arial" w:hAnsi="Arial" w:cs="Arial"/>
          <w:lang w:val="hr-HR" w:eastAsia="pl-PL"/>
        </w:rPr>
        <w:t xml:space="preserve"> </w:t>
      </w:r>
      <w:r w:rsidR="0039662A">
        <w:rPr>
          <w:rFonts w:ascii="Arial" w:hAnsi="Arial" w:cs="Arial"/>
          <w:lang w:val="hr-HR" w:eastAsia="pl-PL"/>
        </w:rPr>
        <w:t>m</w:t>
      </w:r>
      <w:r w:rsidRPr="002A6F4E">
        <w:rPr>
          <w:rFonts w:ascii="Arial" w:hAnsi="Arial" w:cs="Arial"/>
          <w:lang w:val="hr-HR" w:eastAsia="pl-PL"/>
        </w:rPr>
        <w:t>ože biti opasan i neopasan.</w:t>
      </w:r>
    </w:p>
    <w:p w14:paraId="7345E276" w14:textId="202D2B56" w:rsidR="00C232D7" w:rsidRPr="002A6F4E" w:rsidRDefault="00C232D7" w:rsidP="00C232D7">
      <w:pPr>
        <w:spacing w:line="360" w:lineRule="auto"/>
        <w:rPr>
          <w:rFonts w:ascii="Arial" w:hAnsi="Arial" w:cs="Arial"/>
          <w:lang w:val="hr-HR" w:eastAsia="pl-PL"/>
        </w:rPr>
      </w:pPr>
      <w:r w:rsidRPr="002A6F4E">
        <w:rPr>
          <w:rFonts w:ascii="Arial" w:hAnsi="Arial" w:cs="Arial"/>
          <w:lang w:val="hr-HR" w:eastAsia="pl-PL"/>
        </w:rPr>
        <w:t xml:space="preserve">Prema Zakonu o upravljanju otpadom, svi proizvođači industrijskog otpada dužni su da nastali otpad </w:t>
      </w:r>
      <w:r w:rsidR="0039662A">
        <w:rPr>
          <w:rFonts w:ascii="Arial" w:hAnsi="Arial" w:cs="Arial"/>
          <w:lang w:val="hr-HR" w:eastAsia="pl-PL"/>
        </w:rPr>
        <w:t>obrade</w:t>
      </w:r>
      <w:r w:rsidR="0039662A" w:rsidRPr="002A6F4E">
        <w:rPr>
          <w:rFonts w:ascii="Arial" w:hAnsi="Arial" w:cs="Arial"/>
          <w:lang w:val="hr-HR" w:eastAsia="pl-PL"/>
        </w:rPr>
        <w:t xml:space="preserve"> </w:t>
      </w:r>
      <w:r w:rsidRPr="002A6F4E">
        <w:rPr>
          <w:rFonts w:ascii="Arial" w:hAnsi="Arial" w:cs="Arial"/>
          <w:lang w:val="hr-HR" w:eastAsia="pl-PL"/>
        </w:rPr>
        <w:t>na adekvatan način, uglavnom, prethodno predviđen Planom upravljanja otpadom. Obavezna izrada Plana upravljanja otpadom predviđena je za svakog proizvođača otpada koji na godišnjem nivou proizvodi više od 200 kg opasnog otpada ili više od 20</w:t>
      </w:r>
      <w:r w:rsidR="0039662A">
        <w:rPr>
          <w:rFonts w:ascii="Arial" w:hAnsi="Arial" w:cs="Arial"/>
          <w:lang w:val="hr-HR" w:eastAsia="pl-PL"/>
        </w:rPr>
        <w:t xml:space="preserve"> </w:t>
      </w:r>
      <w:r w:rsidRPr="00873ECA">
        <w:rPr>
          <w:rFonts w:ascii="Arial" w:hAnsi="Arial" w:cs="Arial"/>
          <w:lang w:val="hr-HR" w:eastAsia="pl-PL"/>
        </w:rPr>
        <w:t>t</w:t>
      </w:r>
      <w:r w:rsidRPr="002A6F4E">
        <w:rPr>
          <w:rFonts w:ascii="Arial" w:hAnsi="Arial" w:cs="Arial"/>
          <w:lang w:val="hr-HR" w:eastAsia="pl-PL"/>
        </w:rPr>
        <w:t xml:space="preserve"> neopasnog otpada. Saglasnost na takav plan izdaje Agencija za zaštitu životne sredine, nakon što svoje mišljenje o Planu da nadležni organ jedinice lokalne samouprave na čijoj se teritoriji otpad proizvodi, kao i nadležni organ jedinice lokalne samouprave na čijoj se teritoriji otpad odstranjuje.</w:t>
      </w:r>
    </w:p>
    <w:p w14:paraId="5B0DB091" w14:textId="77777777" w:rsidR="00C232D7" w:rsidRPr="002A6F4E" w:rsidRDefault="00C232D7" w:rsidP="00C232D7">
      <w:pPr>
        <w:spacing w:line="360" w:lineRule="auto"/>
        <w:rPr>
          <w:rFonts w:ascii="Arial" w:hAnsi="Arial" w:cs="Arial"/>
          <w:lang w:val="hr-HR" w:eastAsia="pl-PL"/>
        </w:rPr>
      </w:pPr>
    </w:p>
    <w:p w14:paraId="373B9380" w14:textId="63922BFD" w:rsidR="00C232D7" w:rsidRPr="002A6F4E" w:rsidRDefault="00C232D7" w:rsidP="00C232D7">
      <w:pPr>
        <w:spacing w:line="360" w:lineRule="auto"/>
        <w:rPr>
          <w:rFonts w:ascii="Arial" w:hAnsi="Arial" w:cs="Arial"/>
          <w:lang w:val="hr-HR" w:eastAsia="pl-PL"/>
        </w:rPr>
      </w:pPr>
      <w:r w:rsidRPr="002A6F4E">
        <w:rPr>
          <w:rFonts w:ascii="Arial" w:hAnsi="Arial" w:cs="Arial"/>
          <w:lang w:val="hr-HR" w:eastAsia="pl-PL"/>
        </w:rPr>
        <w:t>Postoje</w:t>
      </w:r>
      <w:r w:rsidR="003D77FE">
        <w:rPr>
          <w:rFonts w:ascii="Arial" w:hAnsi="Arial" w:cs="Arial"/>
          <w:lang w:val="hr-HR" w:eastAsia="pl-PL"/>
        </w:rPr>
        <w:t>ć</w:t>
      </w:r>
      <w:r w:rsidRPr="002A6F4E">
        <w:rPr>
          <w:rFonts w:ascii="Arial" w:hAnsi="Arial" w:cs="Arial"/>
          <w:lang w:val="hr-HR" w:eastAsia="pl-PL"/>
        </w:rPr>
        <w:t xml:space="preserve">i podaci o količinama industrijskog otpada koji na godišnjem nivou nastaje na teritoriji Crne Gore </w:t>
      </w:r>
      <w:r w:rsidR="00951F47">
        <w:rPr>
          <w:rFonts w:ascii="Arial" w:hAnsi="Arial" w:cs="Arial"/>
          <w:lang w:val="sq-AL" w:eastAsia="pl-PL"/>
        </w:rPr>
        <w:t>nijesu</w:t>
      </w:r>
      <w:r w:rsidRPr="002A6F4E">
        <w:rPr>
          <w:rFonts w:ascii="Arial" w:hAnsi="Arial" w:cs="Arial"/>
          <w:lang w:val="hr-HR" w:eastAsia="pl-PL"/>
        </w:rPr>
        <w:t xml:space="preserve"> pouzdani i dosljedni. Informacije o količinama industrijskog otpada ne obrađuju se na jedinstven način. Agencija za zaštitu životne sredine se bavi,</w:t>
      </w:r>
      <w:r w:rsidR="003D77FE">
        <w:rPr>
          <w:rFonts w:ascii="Arial" w:hAnsi="Arial" w:cs="Arial"/>
          <w:lang w:val="hr-HR" w:eastAsia="pl-PL"/>
        </w:rPr>
        <w:t xml:space="preserve"> </w:t>
      </w:r>
      <w:r w:rsidRPr="002A6F4E">
        <w:rPr>
          <w:rFonts w:ascii="Arial" w:hAnsi="Arial" w:cs="Arial"/>
          <w:lang w:val="hr-HR" w:eastAsia="pl-PL"/>
        </w:rPr>
        <w:t>između ostalog, evidencijom tokova otpada, ali to radi i Zavod za statistiku Crne Gore (Monstat).</w:t>
      </w:r>
      <w:r w:rsidR="00FF30C5">
        <w:rPr>
          <w:rFonts w:ascii="Arial" w:hAnsi="Arial" w:cs="Arial"/>
          <w:lang w:val="hr-HR" w:eastAsia="pl-PL"/>
        </w:rPr>
        <w:t xml:space="preserve"> </w:t>
      </w:r>
      <w:r w:rsidRPr="002A6F4E">
        <w:rPr>
          <w:rFonts w:ascii="Arial" w:hAnsi="Arial" w:cs="Arial"/>
          <w:lang w:val="hr-HR" w:eastAsia="pl-PL"/>
        </w:rPr>
        <w:t>Evidencije koje ove dvije institucije vode su nezavisne i vrlo često se podaci koje posjeduju međusobno razlikuju.</w:t>
      </w:r>
    </w:p>
    <w:p w14:paraId="039673C4" w14:textId="77777777" w:rsidR="00C232D7" w:rsidRPr="002A6F4E" w:rsidRDefault="00C232D7" w:rsidP="00C232D7">
      <w:pPr>
        <w:spacing w:line="360" w:lineRule="auto"/>
        <w:rPr>
          <w:rFonts w:ascii="Arial" w:hAnsi="Arial" w:cs="Arial"/>
          <w:lang w:val="hr-HR" w:eastAsia="pl-PL"/>
        </w:rPr>
      </w:pPr>
    </w:p>
    <w:p w14:paraId="7BB16F97" w14:textId="7FE44A18" w:rsidR="003D77FE" w:rsidRDefault="00C232D7" w:rsidP="003D77FE">
      <w:pPr>
        <w:spacing w:line="360" w:lineRule="auto"/>
        <w:rPr>
          <w:rFonts w:ascii="Arial" w:hAnsi="Arial" w:cs="Arial"/>
          <w:lang w:val="hr-HR" w:eastAsia="pl-PL"/>
        </w:rPr>
      </w:pPr>
      <w:r w:rsidRPr="002A6F4E">
        <w:rPr>
          <w:rFonts w:ascii="Arial" w:hAnsi="Arial" w:cs="Arial"/>
          <w:lang w:val="hr-HR" w:eastAsia="pl-PL"/>
        </w:rPr>
        <w:t>Zbog izuzetne važnosti posjedovanja dobre i pouzdane evidencije informacija o količinama otpada koji se u određenom industrijskom kompleksu ili drugim proizvodnim i uslužnim</w:t>
      </w:r>
      <w:r w:rsidRPr="002A6F4E">
        <w:rPr>
          <w:rFonts w:ascii="Arial" w:hAnsi="Arial" w:cs="Arial"/>
          <w:lang w:val="hr-HR"/>
        </w:rPr>
        <w:t xml:space="preserve"> </w:t>
      </w:r>
      <w:r w:rsidRPr="002A6F4E">
        <w:rPr>
          <w:rFonts w:ascii="Arial" w:hAnsi="Arial" w:cs="Arial"/>
          <w:lang w:val="hr-HR" w:eastAsia="pl-PL"/>
        </w:rPr>
        <w:t>kapacitetima proizvede, u tekst</w:t>
      </w:r>
      <w:r w:rsidR="00271D95">
        <w:rPr>
          <w:rFonts w:ascii="Arial" w:hAnsi="Arial" w:cs="Arial"/>
          <w:lang w:val="hr-HR" w:eastAsia="pl-PL"/>
        </w:rPr>
        <w:t>u</w:t>
      </w:r>
      <w:r w:rsidRPr="002A6F4E">
        <w:rPr>
          <w:rFonts w:ascii="Arial" w:hAnsi="Arial" w:cs="Arial"/>
          <w:lang w:val="hr-HR" w:eastAsia="pl-PL"/>
        </w:rPr>
        <w:t xml:space="preserve"> Zakona o upravljanju otpadom, propisana je obaveza proizvođačima otpada da redovno dostavljanju godišnje izvještaje o realizaciji planova upravljanja otpadom. Nadležna tijela Evropske komisije insistiraju na tome da vođenje evidencije obavlja jedan subjekat.</w:t>
      </w:r>
    </w:p>
    <w:p w14:paraId="66489ABB" w14:textId="4D983E31" w:rsidR="00C232D7" w:rsidRPr="003D77FE" w:rsidRDefault="003D77FE" w:rsidP="00F57909">
      <w:pPr>
        <w:pStyle w:val="Heading2"/>
        <w:rPr>
          <w:lang w:val="hr-HR"/>
        </w:rPr>
      </w:pPr>
      <w:bookmarkStart w:id="772" w:name="_Toc193353999"/>
      <w:r>
        <w:t>4.2</w:t>
      </w:r>
      <w:r w:rsidR="001167D6">
        <w:t>5</w:t>
      </w:r>
      <w:r>
        <w:t xml:space="preserve">. </w:t>
      </w:r>
      <w:r w:rsidR="00C232D7" w:rsidRPr="002A6F4E">
        <w:t>Opasan otpad</w:t>
      </w:r>
      <w:bookmarkEnd w:id="772"/>
    </w:p>
    <w:p w14:paraId="0A64DC44" w14:textId="77777777" w:rsidR="00C232D7" w:rsidRPr="00FF30C5" w:rsidRDefault="00C232D7" w:rsidP="00FF30C5">
      <w:pPr>
        <w:spacing w:line="360" w:lineRule="auto"/>
        <w:rPr>
          <w:rFonts w:ascii="Arial" w:hAnsi="Arial" w:cs="Arial"/>
          <w:lang w:val="hr-HR" w:eastAsia="pl-PL"/>
        </w:rPr>
      </w:pPr>
      <w:r w:rsidRPr="00FF30C5">
        <w:rPr>
          <w:rFonts w:ascii="Arial" w:hAnsi="Arial" w:cs="Arial"/>
          <w:lang w:val="hr-HR" w:eastAsia="pl-PL"/>
        </w:rPr>
        <w:t xml:space="preserve">Postoji kritičan nedostatak informacija u vezi sa stvarnim podacima o stvaranju otpada i praksama upravljanja opasnim otpadom koje su aktuelne u Crnoj Gori, takođe zbog nepostojanja plana upravljanja opasnim otpadom. </w:t>
      </w:r>
    </w:p>
    <w:p w14:paraId="5A62D87F" w14:textId="36A0333D" w:rsidR="00C232D7" w:rsidRPr="00FF30C5" w:rsidRDefault="00C232D7" w:rsidP="00FF30C5">
      <w:pPr>
        <w:spacing w:line="360" w:lineRule="auto"/>
        <w:rPr>
          <w:rFonts w:ascii="Arial" w:hAnsi="Arial" w:cs="Arial"/>
          <w:lang w:val="hr-HR" w:eastAsia="pl-PL"/>
        </w:rPr>
      </w:pPr>
      <w:r w:rsidRPr="00FF30C5">
        <w:rPr>
          <w:rFonts w:ascii="Arial" w:hAnsi="Arial" w:cs="Arial"/>
          <w:lang w:val="hr-HR" w:eastAsia="pl-PL"/>
        </w:rPr>
        <w:t>Zakonodavstvo u Crnoj Gori je razvijeno u skladu sa direktivama EU, a Zakon</w:t>
      </w:r>
      <w:r w:rsidR="0039662A">
        <w:rPr>
          <w:rFonts w:ascii="Arial" w:hAnsi="Arial" w:cs="Arial"/>
          <w:lang w:val="hr-HR" w:eastAsia="pl-PL"/>
        </w:rPr>
        <w:t xml:space="preserve"> o upravljanju otpadom</w:t>
      </w:r>
      <w:r w:rsidRPr="00FF30C5">
        <w:rPr>
          <w:rFonts w:ascii="Arial" w:hAnsi="Arial" w:cs="Arial"/>
          <w:lang w:val="hr-HR" w:eastAsia="pl-PL"/>
        </w:rPr>
        <w:t xml:space="preserve"> nalaže da svaki proizvođač otpada ima obavezu da kod nadležnih organizacija izvrši karakterizaciju i klasifikaciju otpada i da u zavisnosti od njegove prirode, </w:t>
      </w:r>
      <w:r w:rsidR="00514770">
        <w:rPr>
          <w:rFonts w:ascii="Arial" w:hAnsi="Arial" w:cs="Arial"/>
          <w:lang w:val="hr-HR" w:eastAsia="pl-PL"/>
        </w:rPr>
        <w:t>obrađuje</w:t>
      </w:r>
      <w:r w:rsidR="00514770" w:rsidRPr="00FF30C5">
        <w:rPr>
          <w:rFonts w:ascii="Arial" w:hAnsi="Arial" w:cs="Arial"/>
          <w:lang w:val="hr-HR" w:eastAsia="pl-PL"/>
        </w:rPr>
        <w:t xml:space="preserve"> </w:t>
      </w:r>
      <w:r w:rsidRPr="00FF30C5">
        <w:rPr>
          <w:rFonts w:ascii="Arial" w:hAnsi="Arial" w:cs="Arial"/>
          <w:lang w:val="hr-HR" w:eastAsia="pl-PL"/>
        </w:rPr>
        <w:t xml:space="preserve">otpad u skladu sa sa zakonskim propisima. Opasni otpad se odlaže na poseban način prema svojim svojstvima i ne odlaže se na deponiju </w:t>
      </w:r>
      <w:r w:rsidR="00514770">
        <w:rPr>
          <w:rFonts w:ascii="Arial" w:hAnsi="Arial" w:cs="Arial"/>
          <w:lang w:val="hr-HR" w:eastAsia="pl-PL"/>
        </w:rPr>
        <w:t xml:space="preserve">za neopasan </w:t>
      </w:r>
      <w:r w:rsidRPr="00FF30C5">
        <w:rPr>
          <w:rFonts w:ascii="Arial" w:hAnsi="Arial" w:cs="Arial"/>
          <w:lang w:val="hr-HR" w:eastAsia="pl-PL"/>
        </w:rPr>
        <w:t>otpad.</w:t>
      </w:r>
    </w:p>
    <w:p w14:paraId="1D185808" w14:textId="73F3F02A" w:rsidR="00C232D7" w:rsidRPr="00FF30C5" w:rsidRDefault="00C232D7" w:rsidP="00FF30C5">
      <w:pPr>
        <w:spacing w:line="360" w:lineRule="auto"/>
        <w:rPr>
          <w:rFonts w:ascii="Arial" w:hAnsi="Arial" w:cs="Arial"/>
          <w:lang w:val="hr-HR" w:eastAsia="pl-PL"/>
        </w:rPr>
      </w:pPr>
      <w:r w:rsidRPr="00FF30C5">
        <w:rPr>
          <w:rFonts w:ascii="Arial" w:hAnsi="Arial" w:cs="Arial"/>
          <w:lang w:val="hr-HR" w:eastAsia="pl-PL"/>
        </w:rPr>
        <w:lastRenderedPageBreak/>
        <w:t xml:space="preserve">Glavni zakon koji se odnosi na opasan otpad je Zakon o upravljanju otpadom, kao i Zakon o ratifikaciji Bazelske konvencije o kontroli prekograničnog kretanja opasnog otpada i njegovog odlaganja </w:t>
      </w:r>
      <w:r w:rsidR="003D77FE">
        <w:rPr>
          <w:rFonts w:ascii="Arial" w:hAnsi="Arial" w:cs="Arial"/>
          <w:lang w:val="hr-HR" w:eastAsia="pl-PL"/>
        </w:rPr>
        <w:t>(</w:t>
      </w:r>
      <w:r w:rsidRPr="00FF30C5">
        <w:rPr>
          <w:rFonts w:ascii="Arial" w:hAnsi="Arial" w:cs="Arial"/>
          <w:lang w:val="hr-HR" w:eastAsia="pl-PL"/>
        </w:rPr>
        <w:t>„Službeni list SRJ -</w:t>
      </w:r>
      <w:r w:rsidR="003D77FE">
        <w:rPr>
          <w:rFonts w:ascii="Arial" w:hAnsi="Arial" w:cs="Arial"/>
          <w:lang w:val="hr-HR" w:eastAsia="pl-PL"/>
        </w:rPr>
        <w:t xml:space="preserve"> </w:t>
      </w:r>
      <w:r w:rsidRPr="00FF30C5">
        <w:rPr>
          <w:rFonts w:ascii="Arial" w:hAnsi="Arial" w:cs="Arial"/>
          <w:lang w:val="hr-HR" w:eastAsia="pl-PL"/>
        </w:rPr>
        <w:t>Međunarodni ugovori”, br. 02/99.</w:t>
      </w:r>
      <w:r w:rsidR="003D77FE">
        <w:rPr>
          <w:rFonts w:ascii="Arial" w:hAnsi="Arial" w:cs="Arial"/>
          <w:lang w:val="hr-HR" w:eastAsia="pl-PL"/>
        </w:rPr>
        <w:t>)</w:t>
      </w:r>
      <w:r w:rsidRPr="00FF30C5">
        <w:rPr>
          <w:rFonts w:ascii="Arial" w:hAnsi="Arial" w:cs="Arial"/>
          <w:lang w:val="hr-HR" w:eastAsia="pl-PL"/>
        </w:rPr>
        <w:t xml:space="preserve"> </w:t>
      </w:r>
    </w:p>
    <w:p w14:paraId="49F5E0DB" w14:textId="25497129" w:rsidR="00C232D7" w:rsidRPr="00FF30C5" w:rsidRDefault="00C232D7" w:rsidP="00FF30C5">
      <w:pPr>
        <w:spacing w:line="360" w:lineRule="auto"/>
        <w:rPr>
          <w:rFonts w:ascii="Arial" w:hAnsi="Arial" w:cs="Arial"/>
          <w:lang w:val="hr-HR" w:eastAsia="pl-PL"/>
        </w:rPr>
      </w:pPr>
      <w:r w:rsidRPr="00FF30C5">
        <w:rPr>
          <w:rFonts w:ascii="Arial" w:hAnsi="Arial" w:cs="Arial"/>
          <w:lang w:val="hr-HR" w:eastAsia="pl-PL"/>
        </w:rPr>
        <w:t>Svaki proizvođač opasnog otpada, dužan je da postupa u skladu sa</w:t>
      </w:r>
      <w:r w:rsidR="00266ABB">
        <w:rPr>
          <w:rFonts w:ascii="Arial" w:hAnsi="Arial" w:cs="Arial"/>
          <w:lang w:val="hr-HR" w:eastAsia="pl-PL"/>
        </w:rPr>
        <w:t xml:space="preserve"> članom 33</w:t>
      </w:r>
      <w:r w:rsidRPr="00FF30C5">
        <w:rPr>
          <w:rFonts w:ascii="Arial" w:hAnsi="Arial" w:cs="Arial"/>
          <w:lang w:val="hr-HR" w:eastAsia="pl-PL"/>
        </w:rPr>
        <w:t xml:space="preserve"> Zakon</w:t>
      </w:r>
      <w:r w:rsidR="00266ABB">
        <w:rPr>
          <w:rFonts w:ascii="Arial" w:hAnsi="Arial" w:cs="Arial"/>
          <w:lang w:val="hr-HR" w:eastAsia="pl-PL"/>
        </w:rPr>
        <w:t>a</w:t>
      </w:r>
      <w:r w:rsidRPr="00FF30C5">
        <w:rPr>
          <w:rFonts w:ascii="Arial" w:hAnsi="Arial" w:cs="Arial"/>
          <w:lang w:val="hr-HR" w:eastAsia="pl-PL"/>
        </w:rPr>
        <w:t xml:space="preserve"> o upravljanju otpadom i  izradi plan upravljanja otpadom </w:t>
      </w:r>
      <w:r w:rsidR="00514770">
        <w:rPr>
          <w:rFonts w:ascii="Arial" w:hAnsi="Arial" w:cs="Arial"/>
          <w:lang w:val="hr-HR" w:eastAsia="pl-PL"/>
        </w:rPr>
        <w:t>30</w:t>
      </w:r>
      <w:r w:rsidRPr="00FF30C5">
        <w:rPr>
          <w:rFonts w:ascii="Arial" w:hAnsi="Arial" w:cs="Arial"/>
          <w:lang w:val="hr-HR" w:eastAsia="pl-PL"/>
        </w:rPr>
        <w:t xml:space="preserve"> dana prije početka procesa ili aktivnosti tokom koje nastaje otpad.</w:t>
      </w:r>
    </w:p>
    <w:p w14:paraId="78C00301" w14:textId="0AEC4265" w:rsidR="00C232D7" w:rsidRPr="00FF30C5" w:rsidRDefault="00C232D7" w:rsidP="00FF30C5">
      <w:pPr>
        <w:spacing w:line="360" w:lineRule="auto"/>
        <w:rPr>
          <w:rFonts w:ascii="Arial" w:hAnsi="Arial" w:cs="Arial"/>
          <w:lang w:val="hr-HR" w:eastAsia="pl-PL"/>
        </w:rPr>
      </w:pPr>
      <w:r w:rsidRPr="00FF30C5">
        <w:rPr>
          <w:rFonts w:ascii="Arial" w:hAnsi="Arial" w:cs="Arial"/>
          <w:lang w:val="hr-HR" w:eastAsia="pl-PL"/>
        </w:rPr>
        <w:t xml:space="preserve">Za sve troškove upravljanja otpadom odgovoran je </w:t>
      </w:r>
      <w:r w:rsidR="00AA15E6">
        <w:rPr>
          <w:rFonts w:ascii="Arial" w:hAnsi="Arial" w:cs="Arial"/>
          <w:lang w:val="hr-HR" w:eastAsia="pl-PL"/>
        </w:rPr>
        <w:t>imaoc</w:t>
      </w:r>
      <w:r w:rsidR="00514770" w:rsidRPr="00FF30C5">
        <w:rPr>
          <w:rFonts w:ascii="Arial" w:hAnsi="Arial" w:cs="Arial"/>
          <w:lang w:val="hr-HR" w:eastAsia="pl-PL"/>
        </w:rPr>
        <w:t xml:space="preserve"> </w:t>
      </w:r>
      <w:r w:rsidRPr="00FF30C5">
        <w:rPr>
          <w:rFonts w:ascii="Arial" w:hAnsi="Arial" w:cs="Arial"/>
          <w:lang w:val="hr-HR" w:eastAsia="pl-PL"/>
        </w:rPr>
        <w:t xml:space="preserve">otpada. Vlasništvo nad otpadom prestaje kada sljedeći </w:t>
      </w:r>
      <w:r w:rsidR="00514770">
        <w:rPr>
          <w:rFonts w:ascii="Arial" w:hAnsi="Arial" w:cs="Arial"/>
          <w:lang w:val="hr-HR" w:eastAsia="pl-PL"/>
        </w:rPr>
        <w:t>imaoc</w:t>
      </w:r>
      <w:r w:rsidR="00514770" w:rsidRPr="00FF30C5">
        <w:rPr>
          <w:rFonts w:ascii="Arial" w:hAnsi="Arial" w:cs="Arial"/>
          <w:lang w:val="hr-HR" w:eastAsia="pl-PL"/>
        </w:rPr>
        <w:t xml:space="preserve"> </w:t>
      </w:r>
      <w:r w:rsidRPr="00FF30C5">
        <w:rPr>
          <w:rFonts w:ascii="Arial" w:hAnsi="Arial" w:cs="Arial"/>
          <w:lang w:val="hr-HR" w:eastAsia="pl-PL"/>
        </w:rPr>
        <w:t xml:space="preserve">preuzme otpad i dobije dokumentaciju o kretanju otpada, u skladu sa ovim </w:t>
      </w:r>
      <w:r w:rsidR="00514770">
        <w:rPr>
          <w:rFonts w:ascii="Arial" w:hAnsi="Arial" w:cs="Arial"/>
          <w:lang w:val="hr-HR" w:eastAsia="pl-PL"/>
        </w:rPr>
        <w:t>Z</w:t>
      </w:r>
      <w:r w:rsidRPr="00FF30C5">
        <w:rPr>
          <w:rFonts w:ascii="Arial" w:hAnsi="Arial" w:cs="Arial"/>
          <w:lang w:val="hr-HR" w:eastAsia="pl-PL"/>
        </w:rPr>
        <w:t>akonom</w:t>
      </w:r>
      <w:r w:rsidR="00514770">
        <w:rPr>
          <w:rFonts w:ascii="Arial" w:hAnsi="Arial" w:cs="Arial"/>
          <w:lang w:val="hr-HR" w:eastAsia="pl-PL"/>
        </w:rPr>
        <w:t xml:space="preserve"> o upravljanju otpadom</w:t>
      </w:r>
      <w:r w:rsidRPr="00FF30C5">
        <w:rPr>
          <w:rFonts w:ascii="Arial" w:hAnsi="Arial" w:cs="Arial"/>
          <w:lang w:val="hr-HR" w:eastAsia="pl-PL"/>
        </w:rPr>
        <w:t xml:space="preserve">. Troškove odlaganja snosi </w:t>
      </w:r>
      <w:r w:rsidR="00514770">
        <w:rPr>
          <w:rFonts w:ascii="Arial" w:hAnsi="Arial" w:cs="Arial"/>
          <w:lang w:val="hr-HR" w:eastAsia="pl-PL"/>
        </w:rPr>
        <w:t>imaoc otpada</w:t>
      </w:r>
      <w:r w:rsidRPr="00FF30C5">
        <w:rPr>
          <w:rFonts w:ascii="Arial" w:hAnsi="Arial" w:cs="Arial"/>
          <w:lang w:val="hr-HR" w:eastAsia="pl-PL"/>
        </w:rPr>
        <w:t xml:space="preserve"> koji otpad neposredno predaje sakupljaču otpada na rukovanje ili postrojenju za upravljanje otpadom i/ili prethodni </w:t>
      </w:r>
      <w:r w:rsidR="00514770">
        <w:rPr>
          <w:rFonts w:ascii="Arial" w:hAnsi="Arial" w:cs="Arial"/>
          <w:lang w:val="hr-HR" w:eastAsia="pl-PL"/>
        </w:rPr>
        <w:t>imaoc otpada</w:t>
      </w:r>
      <w:r w:rsidRPr="00FF30C5">
        <w:rPr>
          <w:rFonts w:ascii="Arial" w:hAnsi="Arial" w:cs="Arial"/>
          <w:lang w:val="hr-HR" w:eastAsia="pl-PL"/>
        </w:rPr>
        <w:t xml:space="preserve"> ili proizvođač</w:t>
      </w:r>
      <w:r w:rsidR="00514770">
        <w:rPr>
          <w:rFonts w:ascii="Arial" w:hAnsi="Arial" w:cs="Arial"/>
          <w:lang w:val="hr-HR" w:eastAsia="pl-PL"/>
        </w:rPr>
        <w:t xml:space="preserve"> otpada</w:t>
      </w:r>
      <w:r w:rsidRPr="00FF30C5">
        <w:rPr>
          <w:rFonts w:ascii="Arial" w:hAnsi="Arial" w:cs="Arial"/>
          <w:lang w:val="hr-HR" w:eastAsia="pl-PL"/>
        </w:rPr>
        <w:t xml:space="preserve"> kod koga je otpad nastao.                                             </w:t>
      </w:r>
      <w:r w:rsidRPr="00FF30C5">
        <w:rPr>
          <w:rFonts w:ascii="Arial" w:hAnsi="Arial" w:cs="Arial"/>
          <w:lang w:val="hr-HR" w:eastAsia="pl-PL"/>
        </w:rPr>
        <w:tab/>
      </w:r>
      <w:r w:rsidRPr="00FF30C5">
        <w:rPr>
          <w:rFonts w:ascii="Arial" w:hAnsi="Arial" w:cs="Arial"/>
          <w:lang w:val="hr-HR" w:eastAsia="pl-PL"/>
        </w:rPr>
        <w:tab/>
        <w:t xml:space="preserve">                                                                 </w:t>
      </w:r>
    </w:p>
    <w:p w14:paraId="79402835" w14:textId="59E26DD3" w:rsidR="00C232D7" w:rsidRPr="00FF30C5" w:rsidRDefault="00C232D7" w:rsidP="00FF30C5">
      <w:pPr>
        <w:spacing w:line="360" w:lineRule="auto"/>
        <w:rPr>
          <w:rFonts w:ascii="Arial" w:hAnsi="Arial" w:cs="Arial"/>
          <w:lang w:val="hr-HR" w:eastAsia="pl-PL"/>
        </w:rPr>
      </w:pPr>
      <w:r w:rsidRPr="00FF30C5">
        <w:rPr>
          <w:rFonts w:ascii="Arial" w:hAnsi="Arial" w:cs="Arial"/>
          <w:lang w:val="hr-HR" w:eastAsia="pl-PL"/>
        </w:rPr>
        <w:t xml:space="preserve">U Crnoj Gori ne postoji deponija za </w:t>
      </w:r>
      <w:r w:rsidR="00514770">
        <w:rPr>
          <w:rFonts w:ascii="Arial" w:hAnsi="Arial" w:cs="Arial"/>
          <w:lang w:val="hr-HR" w:eastAsia="pl-PL"/>
        </w:rPr>
        <w:t>obradu</w:t>
      </w:r>
      <w:r w:rsidRPr="00FF30C5">
        <w:rPr>
          <w:rFonts w:ascii="Arial" w:hAnsi="Arial" w:cs="Arial"/>
          <w:lang w:val="hr-HR" w:eastAsia="pl-PL"/>
        </w:rPr>
        <w:t xml:space="preserve"> opasnog otpada. Proizvođači otpada u cijeloj zemlji prinuđeni su da izdvajaju značajne sume novca kako bi angažovali ovlašćena pravna lica koja se bave izvozom opasnog otpada, da se pobrinu za otpad u skladu sa Zakonom o upravljanju otpadom, ili da ga „privremeno“ skladište. Neophodnim se smatra objekat za privremeno skladištenje opasnog otpada, u koji se sakupljeni opasni otpad sa teritorije cijele zemlje po potrebi prepakuje i priprema za izvoz.</w:t>
      </w:r>
    </w:p>
    <w:p w14:paraId="2D537A5B" w14:textId="1D113B53" w:rsidR="00C232D7" w:rsidRPr="00FF30C5" w:rsidRDefault="00C232D7" w:rsidP="00FF30C5">
      <w:pPr>
        <w:spacing w:line="360" w:lineRule="auto"/>
        <w:rPr>
          <w:rFonts w:ascii="Arial" w:hAnsi="Arial" w:cs="Arial"/>
          <w:lang w:val="hr-HR" w:eastAsia="pl-PL"/>
        </w:rPr>
      </w:pPr>
      <w:r w:rsidRPr="00FF30C5">
        <w:rPr>
          <w:rFonts w:ascii="Arial" w:hAnsi="Arial" w:cs="Arial"/>
          <w:lang w:val="hr-HR" w:eastAsia="pl-PL"/>
        </w:rPr>
        <w:t xml:space="preserve">Zbog gore navedene situacije, u Crnoj Gori prisutno je  pitanje </w:t>
      </w:r>
      <w:r w:rsidR="00514770">
        <w:rPr>
          <w:rFonts w:ascii="Arial" w:hAnsi="Arial" w:cs="Arial"/>
          <w:lang w:val="hr-HR" w:eastAsia="pl-PL"/>
        </w:rPr>
        <w:t>skladištenja</w:t>
      </w:r>
      <w:r w:rsidR="00514770" w:rsidRPr="00FF30C5">
        <w:rPr>
          <w:rFonts w:ascii="Arial" w:hAnsi="Arial" w:cs="Arial"/>
          <w:lang w:val="hr-HR" w:eastAsia="pl-PL"/>
        </w:rPr>
        <w:t xml:space="preserve"> </w:t>
      </w:r>
      <w:r w:rsidRPr="00FF30C5">
        <w:rPr>
          <w:rFonts w:ascii="Arial" w:hAnsi="Arial" w:cs="Arial"/>
          <w:lang w:val="hr-HR" w:eastAsia="pl-PL"/>
        </w:rPr>
        <w:t>opasnog otpada, što dovodi do potencijalno lošeg upravljanja, sa značajnim uticajima na zdravlje ljudi i životnu sredinu.</w:t>
      </w:r>
    </w:p>
    <w:p w14:paraId="53228270" w14:textId="3E3E7A6B" w:rsidR="001E3D9B" w:rsidRDefault="00C232D7" w:rsidP="00B441B3">
      <w:pPr>
        <w:spacing w:line="360" w:lineRule="auto"/>
        <w:rPr>
          <w:rFonts w:ascii="Arial" w:hAnsi="Arial" w:cs="Arial"/>
          <w:lang w:val="hr-HR" w:eastAsia="pl-PL"/>
        </w:rPr>
      </w:pPr>
      <w:r w:rsidRPr="00FF30C5">
        <w:rPr>
          <w:rFonts w:ascii="Arial" w:hAnsi="Arial" w:cs="Arial"/>
          <w:lang w:val="hr-HR" w:eastAsia="pl-PL"/>
        </w:rPr>
        <w:t xml:space="preserve">Približno 24% (317.136,6 </w:t>
      </w:r>
      <w:r w:rsidR="00873ECA">
        <w:rPr>
          <w:rFonts w:ascii="Arial" w:hAnsi="Arial" w:cs="Arial"/>
          <w:lang w:val="hr-HR" w:eastAsia="pl-PL"/>
        </w:rPr>
        <w:t>t</w:t>
      </w:r>
      <w:r w:rsidRPr="00FF30C5">
        <w:rPr>
          <w:rFonts w:ascii="Arial" w:hAnsi="Arial" w:cs="Arial"/>
          <w:lang w:val="hr-HR" w:eastAsia="pl-PL"/>
        </w:rPr>
        <w:t>) od ukupne količine generisanog otpada (1.314.393,60 tona) tokom 2020. godine u Crnoj Gori je bio industrijski opasan otpad. Gotovo cjelokupna količina ovog otpada (99,6%) dolazi iz sektora vađenja ruda i kamena.</w:t>
      </w:r>
      <w:bookmarkStart w:id="773" w:name="_Toc190160716"/>
    </w:p>
    <w:p w14:paraId="34A5936F" w14:textId="77777777" w:rsidR="009C3860" w:rsidRPr="00B441B3" w:rsidRDefault="009C3860" w:rsidP="00B441B3">
      <w:pPr>
        <w:spacing w:line="360" w:lineRule="auto"/>
        <w:rPr>
          <w:rFonts w:ascii="Arial" w:hAnsi="Arial" w:cs="Arial"/>
          <w:lang w:val="hr-HR" w:eastAsia="pl-PL"/>
        </w:rPr>
      </w:pPr>
    </w:p>
    <w:p w14:paraId="1FA5214C" w14:textId="4ED54695" w:rsidR="00C232D7" w:rsidRPr="00B441B3" w:rsidRDefault="00FF30C5" w:rsidP="00FF30C5">
      <w:pPr>
        <w:pStyle w:val="Caption"/>
        <w:rPr>
          <w:rFonts w:ascii="Arial" w:hAnsi="Arial" w:cs="Arial"/>
          <w:lang w:val="hr-HR"/>
        </w:rPr>
      </w:pPr>
      <w:r w:rsidRPr="00B441B3">
        <w:rPr>
          <w:rFonts w:ascii="Arial" w:hAnsi="Arial" w:cs="Arial"/>
          <w:b w:val="0"/>
          <w:lang w:val="hr-HR"/>
        </w:rPr>
        <w:t xml:space="preserve">Tabela </w:t>
      </w:r>
      <w:r w:rsidRPr="00B441B3">
        <w:rPr>
          <w:rFonts w:ascii="Arial" w:hAnsi="Arial" w:cs="Arial"/>
          <w:b w:val="0"/>
        </w:rPr>
        <w:fldChar w:fldCharType="begin"/>
      </w:r>
      <w:r w:rsidRPr="00B441B3">
        <w:rPr>
          <w:rFonts w:ascii="Arial" w:hAnsi="Arial" w:cs="Arial"/>
          <w:b w:val="0"/>
          <w:lang w:val="hr-HR"/>
        </w:rPr>
        <w:instrText xml:space="preserve"> SEQ Tabela \* ARABIC </w:instrText>
      </w:r>
      <w:r w:rsidRPr="00B441B3">
        <w:rPr>
          <w:rFonts w:ascii="Arial" w:hAnsi="Arial" w:cs="Arial"/>
          <w:b w:val="0"/>
        </w:rPr>
        <w:fldChar w:fldCharType="separate"/>
      </w:r>
      <w:r w:rsidR="007274DA">
        <w:rPr>
          <w:rFonts w:ascii="Arial" w:hAnsi="Arial" w:cs="Arial"/>
          <w:b w:val="0"/>
          <w:noProof/>
          <w:lang w:val="hr-HR"/>
        </w:rPr>
        <w:t>26</w:t>
      </w:r>
      <w:r w:rsidRPr="00B441B3">
        <w:rPr>
          <w:rFonts w:ascii="Arial" w:hAnsi="Arial" w:cs="Arial"/>
          <w:b w:val="0"/>
        </w:rPr>
        <w:fldChar w:fldCharType="end"/>
      </w:r>
      <w:r w:rsidRPr="00B441B3">
        <w:rPr>
          <w:rFonts w:ascii="Arial" w:hAnsi="Arial" w:cs="Arial"/>
          <w:b w:val="0"/>
          <w:lang w:val="hr-HR"/>
        </w:rPr>
        <w:t xml:space="preserve"> </w:t>
      </w:r>
      <w:r w:rsidR="00C232D7" w:rsidRPr="00B441B3">
        <w:rPr>
          <w:rFonts w:ascii="Arial" w:hAnsi="Arial" w:cs="Arial"/>
          <w:b w:val="0"/>
          <w:lang w:val="hr-HR"/>
        </w:rPr>
        <w:t>Količine proizvedenog industrijskog opasnog otpada u Crnoj Gori 2018-2020</w:t>
      </w:r>
      <w:r w:rsidR="00DF6406" w:rsidRPr="00B441B3">
        <w:rPr>
          <w:rFonts w:ascii="Arial" w:hAnsi="Arial" w:cs="Arial"/>
          <w:b w:val="0"/>
          <w:lang w:val="hr-HR"/>
        </w:rPr>
        <w:t>. godina</w:t>
      </w:r>
      <w:r w:rsidR="00C232D7" w:rsidRPr="00B441B3">
        <w:rPr>
          <w:rFonts w:ascii="Arial" w:hAnsi="Arial" w:cs="Arial"/>
          <w:b w:val="0"/>
          <w:lang w:val="hr-HR"/>
        </w:rPr>
        <w:t xml:space="preserve"> (</w:t>
      </w:r>
      <w:r w:rsidR="00B441B3">
        <w:rPr>
          <w:rFonts w:ascii="Arial" w:hAnsi="Arial" w:cs="Arial"/>
          <w:b w:val="0"/>
          <w:lang w:val="hr-HR"/>
        </w:rPr>
        <w:t>t</w:t>
      </w:r>
      <w:r w:rsidR="00C232D7" w:rsidRPr="00B441B3">
        <w:rPr>
          <w:rFonts w:ascii="Arial" w:hAnsi="Arial" w:cs="Arial"/>
          <w:b w:val="0"/>
          <w:lang w:val="hr-HR"/>
        </w:rPr>
        <w:t>)</w:t>
      </w:r>
      <w:bookmarkEnd w:id="773"/>
      <w:r w:rsidR="00DF6406" w:rsidRPr="00B441B3">
        <w:rPr>
          <w:rStyle w:val="FootnoteReference"/>
          <w:rFonts w:cs="Arial"/>
          <w:b w:val="0"/>
          <w:sz w:val="18"/>
          <w:szCs w:val="18"/>
        </w:rPr>
        <w:footnoteReference w:id="23"/>
      </w:r>
    </w:p>
    <w:tbl>
      <w:tblPr>
        <w:tblW w:w="6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558"/>
        <w:gridCol w:w="1620"/>
        <w:gridCol w:w="1440"/>
      </w:tblGrid>
      <w:tr w:rsidR="00C232D7" w:rsidRPr="00B441B3" w14:paraId="58D9A8D8" w14:textId="77777777" w:rsidTr="00C232D7">
        <w:trPr>
          <w:trHeight w:val="400"/>
          <w:jc w:val="center"/>
        </w:trPr>
        <w:tc>
          <w:tcPr>
            <w:tcW w:w="2127"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1CFB2F5D" w14:textId="77777777" w:rsidR="00C232D7" w:rsidRPr="00B441B3" w:rsidRDefault="00C232D7" w:rsidP="00C232D7">
            <w:pPr>
              <w:spacing w:line="360" w:lineRule="auto"/>
              <w:rPr>
                <w:rFonts w:ascii="Arial" w:hAnsi="Arial" w:cs="Arial"/>
                <w:b/>
                <w:bCs/>
                <w:sz w:val="18"/>
                <w:szCs w:val="18"/>
                <w:lang w:val="sq-AL"/>
              </w:rPr>
            </w:pPr>
          </w:p>
        </w:tc>
        <w:tc>
          <w:tcPr>
            <w:tcW w:w="1558"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B54B296" w14:textId="77777777" w:rsidR="00C232D7" w:rsidRPr="00B441B3" w:rsidRDefault="00C232D7" w:rsidP="00C232D7">
            <w:pPr>
              <w:spacing w:line="360" w:lineRule="auto"/>
              <w:rPr>
                <w:rFonts w:ascii="Arial" w:hAnsi="Arial" w:cs="Arial"/>
                <w:b/>
                <w:bCs/>
                <w:sz w:val="18"/>
                <w:szCs w:val="18"/>
                <w:lang w:val="sq-AL"/>
              </w:rPr>
            </w:pPr>
            <w:r w:rsidRPr="00B441B3">
              <w:rPr>
                <w:rFonts w:ascii="Arial" w:hAnsi="Arial" w:cs="Arial"/>
                <w:b/>
                <w:bCs/>
                <w:sz w:val="18"/>
                <w:szCs w:val="18"/>
                <w:lang w:val="sq-AL"/>
              </w:rPr>
              <w:t>2018</w:t>
            </w:r>
          </w:p>
        </w:tc>
        <w:tc>
          <w:tcPr>
            <w:tcW w:w="162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2B54205A" w14:textId="77777777" w:rsidR="00C232D7" w:rsidRPr="00B441B3" w:rsidRDefault="00C232D7" w:rsidP="00C232D7">
            <w:pPr>
              <w:spacing w:line="360" w:lineRule="auto"/>
              <w:rPr>
                <w:rFonts w:ascii="Arial" w:hAnsi="Arial" w:cs="Arial"/>
                <w:b/>
                <w:bCs/>
                <w:sz w:val="18"/>
                <w:szCs w:val="18"/>
                <w:lang w:val="sq-AL"/>
              </w:rPr>
            </w:pPr>
            <w:r w:rsidRPr="00B441B3">
              <w:rPr>
                <w:rFonts w:ascii="Arial" w:hAnsi="Arial" w:cs="Arial"/>
                <w:b/>
                <w:bCs/>
                <w:sz w:val="18"/>
                <w:szCs w:val="18"/>
                <w:lang w:val="sq-AL"/>
              </w:rPr>
              <w:t>2019</w:t>
            </w:r>
          </w:p>
        </w:tc>
        <w:tc>
          <w:tcPr>
            <w:tcW w:w="1440" w:type="dxa"/>
            <w:tcBorders>
              <w:top w:val="single" w:sz="4" w:space="0" w:color="auto"/>
              <w:left w:val="single" w:sz="4" w:space="0" w:color="auto"/>
              <w:bottom w:val="single" w:sz="4" w:space="0" w:color="auto"/>
              <w:right w:val="single" w:sz="4" w:space="0" w:color="auto"/>
            </w:tcBorders>
            <w:shd w:val="clear" w:color="auto" w:fill="F2F2F2"/>
            <w:vAlign w:val="center"/>
          </w:tcPr>
          <w:p w14:paraId="5569D9E9" w14:textId="77777777" w:rsidR="00C232D7" w:rsidRPr="00B441B3" w:rsidRDefault="00C232D7" w:rsidP="00C232D7">
            <w:pPr>
              <w:spacing w:line="360" w:lineRule="auto"/>
              <w:rPr>
                <w:rFonts w:ascii="Arial" w:hAnsi="Arial" w:cs="Arial"/>
                <w:b/>
                <w:bCs/>
                <w:sz w:val="18"/>
                <w:szCs w:val="18"/>
                <w:lang w:val="sq-AL"/>
              </w:rPr>
            </w:pPr>
            <w:r w:rsidRPr="00B441B3">
              <w:rPr>
                <w:rFonts w:ascii="Arial" w:hAnsi="Arial" w:cs="Arial"/>
                <w:b/>
                <w:bCs/>
                <w:sz w:val="18"/>
                <w:szCs w:val="18"/>
                <w:lang w:val="sq-AL"/>
              </w:rPr>
              <w:t>2020</w:t>
            </w:r>
          </w:p>
        </w:tc>
      </w:tr>
      <w:tr w:rsidR="00C232D7" w:rsidRPr="00B441B3" w14:paraId="33B4907E" w14:textId="77777777" w:rsidTr="00C232D7">
        <w:trPr>
          <w:trHeight w:val="445"/>
          <w:jc w:val="center"/>
        </w:trPr>
        <w:tc>
          <w:tcPr>
            <w:tcW w:w="2127" w:type="dxa"/>
            <w:tcBorders>
              <w:top w:val="single" w:sz="4" w:space="0" w:color="auto"/>
              <w:left w:val="single" w:sz="4" w:space="0" w:color="auto"/>
              <w:bottom w:val="single" w:sz="4" w:space="0" w:color="auto"/>
              <w:right w:val="single" w:sz="4" w:space="0" w:color="auto"/>
            </w:tcBorders>
            <w:noWrap/>
            <w:vAlign w:val="center"/>
          </w:tcPr>
          <w:p w14:paraId="312F4135" w14:textId="77777777" w:rsidR="00C232D7" w:rsidRPr="00B441B3" w:rsidRDefault="00C232D7" w:rsidP="00C232D7">
            <w:pPr>
              <w:spacing w:line="360" w:lineRule="auto"/>
              <w:rPr>
                <w:rFonts w:ascii="Arial" w:hAnsi="Arial" w:cs="Arial"/>
                <w:bCs/>
                <w:sz w:val="18"/>
                <w:szCs w:val="18"/>
                <w:lang w:val="sq-AL"/>
              </w:rPr>
            </w:pPr>
            <w:r w:rsidRPr="00B441B3">
              <w:rPr>
                <w:rFonts w:ascii="Arial" w:hAnsi="Arial" w:cs="Arial"/>
                <w:bCs/>
                <w:sz w:val="18"/>
                <w:szCs w:val="18"/>
                <w:lang w:val="sq-AL"/>
              </w:rPr>
              <w:t>Opasni otpad</w:t>
            </w:r>
          </w:p>
        </w:tc>
        <w:tc>
          <w:tcPr>
            <w:tcW w:w="1558" w:type="dxa"/>
            <w:tcBorders>
              <w:top w:val="single" w:sz="4" w:space="0" w:color="auto"/>
              <w:left w:val="single" w:sz="4" w:space="0" w:color="auto"/>
              <w:bottom w:val="single" w:sz="4" w:space="0" w:color="auto"/>
              <w:right w:val="single" w:sz="4" w:space="0" w:color="auto"/>
            </w:tcBorders>
            <w:noWrap/>
            <w:vAlign w:val="center"/>
          </w:tcPr>
          <w:p w14:paraId="7CE566D1" w14:textId="77777777" w:rsidR="00C232D7" w:rsidRPr="00B441B3" w:rsidRDefault="00C232D7" w:rsidP="00C232D7">
            <w:pPr>
              <w:spacing w:line="360" w:lineRule="auto"/>
              <w:rPr>
                <w:rFonts w:ascii="Arial" w:hAnsi="Arial" w:cs="Arial"/>
                <w:sz w:val="18"/>
                <w:szCs w:val="18"/>
                <w:lang w:val="sq-AL"/>
              </w:rPr>
            </w:pPr>
            <w:r w:rsidRPr="00B441B3">
              <w:rPr>
                <w:rFonts w:ascii="Arial" w:hAnsi="Arial" w:cs="Arial"/>
                <w:sz w:val="18"/>
                <w:szCs w:val="18"/>
                <w:lang w:val="sq-AL"/>
              </w:rPr>
              <w:t>336,749.20</w:t>
            </w:r>
          </w:p>
        </w:tc>
        <w:tc>
          <w:tcPr>
            <w:tcW w:w="1620" w:type="dxa"/>
            <w:tcBorders>
              <w:top w:val="single" w:sz="4" w:space="0" w:color="auto"/>
              <w:left w:val="single" w:sz="4" w:space="0" w:color="auto"/>
              <w:bottom w:val="single" w:sz="4" w:space="0" w:color="auto"/>
              <w:right w:val="single" w:sz="4" w:space="0" w:color="auto"/>
            </w:tcBorders>
            <w:noWrap/>
            <w:vAlign w:val="center"/>
          </w:tcPr>
          <w:p w14:paraId="07A65498" w14:textId="77777777" w:rsidR="00C232D7" w:rsidRPr="00B441B3" w:rsidRDefault="00C232D7" w:rsidP="00C232D7">
            <w:pPr>
              <w:spacing w:line="360" w:lineRule="auto"/>
              <w:rPr>
                <w:rFonts w:ascii="Arial" w:hAnsi="Arial" w:cs="Arial"/>
                <w:sz w:val="18"/>
                <w:szCs w:val="18"/>
                <w:lang w:val="sq-AL"/>
              </w:rPr>
            </w:pPr>
            <w:r w:rsidRPr="00B441B3">
              <w:rPr>
                <w:rFonts w:ascii="Arial" w:hAnsi="Arial" w:cs="Arial"/>
                <w:sz w:val="18"/>
                <w:szCs w:val="18"/>
                <w:lang w:val="sq-AL"/>
              </w:rPr>
              <w:t>326,002.90</w:t>
            </w:r>
          </w:p>
        </w:tc>
        <w:tc>
          <w:tcPr>
            <w:tcW w:w="1440" w:type="dxa"/>
            <w:tcBorders>
              <w:top w:val="single" w:sz="4" w:space="0" w:color="auto"/>
              <w:left w:val="single" w:sz="4" w:space="0" w:color="auto"/>
              <w:bottom w:val="single" w:sz="4" w:space="0" w:color="auto"/>
              <w:right w:val="single" w:sz="4" w:space="0" w:color="auto"/>
            </w:tcBorders>
            <w:vAlign w:val="center"/>
          </w:tcPr>
          <w:p w14:paraId="1307F7A8" w14:textId="77777777" w:rsidR="00C232D7" w:rsidRPr="00B441B3" w:rsidRDefault="00C232D7" w:rsidP="00C232D7">
            <w:pPr>
              <w:spacing w:line="360" w:lineRule="auto"/>
              <w:rPr>
                <w:rFonts w:ascii="Arial" w:hAnsi="Arial" w:cs="Arial"/>
                <w:sz w:val="18"/>
                <w:szCs w:val="18"/>
                <w:lang w:val="sq-AL"/>
              </w:rPr>
            </w:pPr>
            <w:r w:rsidRPr="00B441B3">
              <w:rPr>
                <w:rFonts w:ascii="Arial" w:hAnsi="Arial" w:cs="Arial"/>
                <w:sz w:val="18"/>
                <w:szCs w:val="18"/>
                <w:lang w:val="sq-AL"/>
              </w:rPr>
              <w:t>317,136.60</w:t>
            </w:r>
          </w:p>
        </w:tc>
      </w:tr>
    </w:tbl>
    <w:p w14:paraId="31180EE9" w14:textId="26B6A238" w:rsidR="00C232D7" w:rsidRPr="002A6F4E" w:rsidRDefault="00C232D7" w:rsidP="00C232D7">
      <w:pPr>
        <w:spacing w:line="360" w:lineRule="auto"/>
        <w:rPr>
          <w:rFonts w:ascii="Arial" w:hAnsi="Arial" w:cs="Arial"/>
          <w:lang w:val="sq-AL"/>
        </w:rPr>
      </w:pPr>
      <w:r w:rsidRPr="002A6F4E">
        <w:rPr>
          <w:rFonts w:ascii="Arial" w:hAnsi="Arial" w:cs="Arial"/>
          <w:i/>
          <w:lang w:val="sq-AL"/>
        </w:rPr>
        <w:t xml:space="preserve">                                         </w:t>
      </w:r>
    </w:p>
    <w:p w14:paraId="0300D205" w14:textId="77777777" w:rsidR="00C232D7" w:rsidRPr="002A6F4E" w:rsidRDefault="00C232D7" w:rsidP="00C232D7">
      <w:pPr>
        <w:tabs>
          <w:tab w:val="left" w:pos="480"/>
          <w:tab w:val="right" w:leader="dot" w:pos="8296"/>
        </w:tabs>
        <w:spacing w:before="120" w:after="120" w:line="360" w:lineRule="auto"/>
        <w:rPr>
          <w:rFonts w:ascii="Arial" w:hAnsi="Arial" w:cs="Arial"/>
          <w:lang w:val="sq-AL"/>
        </w:rPr>
      </w:pPr>
      <w:r w:rsidRPr="002A6F4E">
        <w:rPr>
          <w:rFonts w:ascii="Arial" w:hAnsi="Arial" w:cs="Arial"/>
          <w:lang w:val="sq-AL"/>
        </w:rPr>
        <w:t>U tabeli ispod prikazane su proizvedene količine industrijskog opasnog otpada u Crnoj Gori.</w:t>
      </w:r>
    </w:p>
    <w:p w14:paraId="5185C755" w14:textId="357896CD" w:rsidR="00C232D7" w:rsidRPr="00B441B3" w:rsidRDefault="00C232D7" w:rsidP="00C232D7">
      <w:pPr>
        <w:spacing w:after="200"/>
        <w:rPr>
          <w:rFonts w:ascii="Arial" w:hAnsi="Arial" w:cs="Arial"/>
          <w:bCs/>
          <w:color w:val="4F81BD"/>
          <w:sz w:val="18"/>
          <w:szCs w:val="18"/>
          <w:lang w:val="sq-AL"/>
        </w:rPr>
      </w:pPr>
      <w:bookmarkStart w:id="774" w:name="_Toc190160717"/>
      <w:r w:rsidRPr="00B441B3">
        <w:rPr>
          <w:rFonts w:ascii="Arial" w:hAnsi="Arial" w:cs="Arial"/>
          <w:bCs/>
          <w:color w:val="4F81BD"/>
          <w:sz w:val="18"/>
          <w:szCs w:val="18"/>
          <w:lang w:val="sq-AL"/>
        </w:rPr>
        <w:t xml:space="preserve">Tabela </w:t>
      </w:r>
      <w:r w:rsidRPr="00B441B3">
        <w:rPr>
          <w:rFonts w:ascii="Arial" w:hAnsi="Arial" w:cs="Arial"/>
          <w:bCs/>
          <w:color w:val="4F81BD"/>
          <w:sz w:val="18"/>
          <w:szCs w:val="18"/>
        </w:rPr>
        <w:fldChar w:fldCharType="begin"/>
      </w:r>
      <w:r w:rsidRPr="00B441B3">
        <w:rPr>
          <w:rFonts w:ascii="Arial" w:hAnsi="Arial" w:cs="Arial"/>
          <w:bCs/>
          <w:color w:val="4F81BD"/>
          <w:sz w:val="18"/>
          <w:szCs w:val="18"/>
          <w:lang w:val="sq-AL"/>
        </w:rPr>
        <w:instrText xml:space="preserve"> SEQ Tabela \* ARABIC </w:instrText>
      </w:r>
      <w:r w:rsidRPr="00B441B3">
        <w:rPr>
          <w:rFonts w:ascii="Arial" w:hAnsi="Arial" w:cs="Arial"/>
          <w:bCs/>
          <w:color w:val="4F81BD"/>
          <w:sz w:val="18"/>
          <w:szCs w:val="18"/>
        </w:rPr>
        <w:fldChar w:fldCharType="separate"/>
      </w:r>
      <w:r w:rsidR="007274DA">
        <w:rPr>
          <w:rFonts w:ascii="Arial" w:hAnsi="Arial" w:cs="Arial"/>
          <w:bCs/>
          <w:noProof/>
          <w:color w:val="4F81BD"/>
          <w:sz w:val="18"/>
          <w:szCs w:val="18"/>
          <w:lang w:val="sq-AL"/>
        </w:rPr>
        <w:t>27</w:t>
      </w:r>
      <w:r w:rsidRPr="00B441B3">
        <w:rPr>
          <w:rFonts w:ascii="Arial" w:hAnsi="Arial" w:cs="Arial"/>
          <w:bCs/>
          <w:color w:val="4F81BD"/>
          <w:sz w:val="18"/>
          <w:szCs w:val="18"/>
        </w:rPr>
        <w:fldChar w:fldCharType="end"/>
      </w:r>
      <w:r w:rsidRPr="00B441B3">
        <w:rPr>
          <w:rFonts w:ascii="Arial" w:hAnsi="Arial" w:cs="Arial"/>
          <w:bCs/>
          <w:color w:val="4F81BD"/>
          <w:sz w:val="18"/>
          <w:szCs w:val="18"/>
          <w:lang w:val="sq-AL"/>
        </w:rPr>
        <w:t xml:space="preserve"> Proizvedeni industrijski opasni otpad po sektorima, 2020.</w:t>
      </w:r>
      <w:r w:rsidR="00DF6406" w:rsidRPr="00B441B3">
        <w:rPr>
          <w:rFonts w:ascii="Arial" w:hAnsi="Arial" w:cs="Arial"/>
          <w:bCs/>
          <w:color w:val="4F81BD"/>
          <w:sz w:val="18"/>
          <w:szCs w:val="18"/>
          <w:lang w:val="sq-AL"/>
        </w:rPr>
        <w:t xml:space="preserve"> godina</w:t>
      </w:r>
      <w:r w:rsidRPr="00B441B3">
        <w:rPr>
          <w:rFonts w:ascii="Arial" w:hAnsi="Arial" w:cs="Arial"/>
          <w:bCs/>
          <w:color w:val="4F81BD"/>
          <w:sz w:val="18"/>
          <w:szCs w:val="18"/>
          <w:lang w:val="sq-AL"/>
        </w:rPr>
        <w:t xml:space="preserve"> (</w:t>
      </w:r>
      <w:r w:rsidR="00B441B3">
        <w:rPr>
          <w:rFonts w:ascii="Arial" w:hAnsi="Arial" w:cs="Arial"/>
          <w:bCs/>
          <w:color w:val="4F81BD"/>
          <w:sz w:val="18"/>
          <w:szCs w:val="18"/>
          <w:lang w:val="sq-AL"/>
        </w:rPr>
        <w:t>t</w:t>
      </w:r>
      <w:r w:rsidRPr="00B441B3">
        <w:rPr>
          <w:rFonts w:ascii="Arial" w:hAnsi="Arial" w:cs="Arial"/>
          <w:bCs/>
          <w:color w:val="4F81BD"/>
          <w:sz w:val="18"/>
          <w:szCs w:val="18"/>
          <w:lang w:val="sq-AL"/>
        </w:rPr>
        <w:t>)</w:t>
      </w:r>
      <w:bookmarkEnd w:id="774"/>
      <w:r w:rsidR="00DF6406" w:rsidRPr="00B441B3">
        <w:rPr>
          <w:rStyle w:val="FootnoteReference"/>
          <w:rFonts w:cs="Arial"/>
          <w:bCs/>
          <w:color w:val="4F81BD"/>
          <w:sz w:val="18"/>
          <w:szCs w:val="18"/>
        </w:rPr>
        <w:footnoteReference w:id="24"/>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69"/>
        <w:gridCol w:w="1366"/>
        <w:gridCol w:w="1530"/>
        <w:gridCol w:w="1710"/>
        <w:gridCol w:w="2167"/>
        <w:gridCol w:w="1253"/>
      </w:tblGrid>
      <w:tr w:rsidR="00C232D7" w:rsidRPr="00B441B3" w14:paraId="17F5E9BD" w14:textId="77777777" w:rsidTr="00B441B3">
        <w:trPr>
          <w:trHeight w:val="20"/>
          <w:jc w:val="center"/>
        </w:trPr>
        <w:tc>
          <w:tcPr>
            <w:tcW w:w="1869" w:type="dxa"/>
            <w:tcBorders>
              <w:top w:val="single" w:sz="4" w:space="0" w:color="auto"/>
              <w:left w:val="single" w:sz="4" w:space="0" w:color="auto"/>
              <w:bottom w:val="single" w:sz="4" w:space="0" w:color="auto"/>
              <w:right w:val="single" w:sz="4" w:space="0" w:color="auto"/>
            </w:tcBorders>
            <w:shd w:val="clear" w:color="auto" w:fill="F2F2F2"/>
            <w:vAlign w:val="center"/>
          </w:tcPr>
          <w:p w14:paraId="143CE698" w14:textId="77777777" w:rsidR="00C232D7" w:rsidRPr="00B441B3" w:rsidRDefault="00C232D7" w:rsidP="00C232D7">
            <w:pPr>
              <w:kinsoku w:val="0"/>
              <w:overflowPunct w:val="0"/>
              <w:autoSpaceDE w:val="0"/>
              <w:autoSpaceDN w:val="0"/>
              <w:adjustRightInd w:val="0"/>
              <w:spacing w:line="360" w:lineRule="auto"/>
              <w:ind w:left="33"/>
              <w:rPr>
                <w:rFonts w:ascii="Arial" w:hAnsi="Arial" w:cs="Arial"/>
                <w:b/>
                <w:bCs/>
                <w:sz w:val="18"/>
                <w:szCs w:val="18"/>
                <w:lang w:val="sq-AL"/>
              </w:rPr>
            </w:pPr>
          </w:p>
        </w:tc>
        <w:tc>
          <w:tcPr>
            <w:tcW w:w="1366" w:type="dxa"/>
            <w:tcBorders>
              <w:top w:val="single" w:sz="4" w:space="0" w:color="auto"/>
              <w:left w:val="single" w:sz="4" w:space="0" w:color="auto"/>
              <w:bottom w:val="single" w:sz="4" w:space="0" w:color="auto"/>
              <w:right w:val="single" w:sz="4" w:space="0" w:color="auto"/>
            </w:tcBorders>
            <w:shd w:val="clear" w:color="auto" w:fill="F2F2F2"/>
            <w:vAlign w:val="center"/>
          </w:tcPr>
          <w:p w14:paraId="7F67101C" w14:textId="77777777" w:rsidR="00C232D7" w:rsidRPr="00B441B3" w:rsidRDefault="00C232D7" w:rsidP="00C232D7">
            <w:pPr>
              <w:kinsoku w:val="0"/>
              <w:overflowPunct w:val="0"/>
              <w:autoSpaceDE w:val="0"/>
              <w:autoSpaceDN w:val="0"/>
              <w:adjustRightInd w:val="0"/>
              <w:spacing w:line="360" w:lineRule="auto"/>
              <w:ind w:left="18" w:right="138"/>
              <w:rPr>
                <w:rFonts w:ascii="Arial" w:hAnsi="Arial" w:cs="Arial"/>
                <w:b/>
                <w:bCs/>
                <w:sz w:val="18"/>
                <w:szCs w:val="18"/>
                <w:lang w:val="sq-AL"/>
              </w:rPr>
            </w:pPr>
            <w:r w:rsidRPr="00B441B3">
              <w:rPr>
                <w:rFonts w:ascii="Arial" w:hAnsi="Arial" w:cs="Arial"/>
                <w:b/>
                <w:bCs/>
                <w:sz w:val="18"/>
                <w:szCs w:val="18"/>
                <w:lang w:val="sq-AL"/>
              </w:rPr>
              <w:t>Rudarstvo</w:t>
            </w:r>
          </w:p>
        </w:tc>
        <w:tc>
          <w:tcPr>
            <w:tcW w:w="1530" w:type="dxa"/>
            <w:tcBorders>
              <w:top w:val="single" w:sz="4" w:space="0" w:color="auto"/>
              <w:left w:val="single" w:sz="4" w:space="0" w:color="auto"/>
              <w:bottom w:val="single" w:sz="4" w:space="0" w:color="auto"/>
              <w:right w:val="single" w:sz="4" w:space="0" w:color="auto"/>
            </w:tcBorders>
            <w:shd w:val="clear" w:color="auto" w:fill="F2F2F2"/>
            <w:vAlign w:val="center"/>
          </w:tcPr>
          <w:p w14:paraId="2FE1F989" w14:textId="77777777" w:rsidR="00C232D7" w:rsidRPr="00B441B3" w:rsidRDefault="00C232D7" w:rsidP="00C232D7">
            <w:pPr>
              <w:kinsoku w:val="0"/>
              <w:overflowPunct w:val="0"/>
              <w:autoSpaceDE w:val="0"/>
              <w:autoSpaceDN w:val="0"/>
              <w:adjustRightInd w:val="0"/>
              <w:spacing w:line="360" w:lineRule="auto"/>
              <w:ind w:left="18" w:right="138"/>
              <w:rPr>
                <w:rFonts w:ascii="Arial" w:hAnsi="Arial" w:cs="Arial"/>
                <w:b/>
                <w:bCs/>
                <w:spacing w:val="-1"/>
                <w:sz w:val="18"/>
                <w:szCs w:val="18"/>
                <w:lang w:val="sq-AL"/>
              </w:rPr>
            </w:pPr>
            <w:r w:rsidRPr="00B441B3">
              <w:rPr>
                <w:rFonts w:ascii="Arial" w:hAnsi="Arial" w:cs="Arial"/>
                <w:b/>
                <w:bCs/>
                <w:spacing w:val="-1"/>
                <w:sz w:val="18"/>
                <w:szCs w:val="18"/>
                <w:lang w:val="sq-AL"/>
              </w:rPr>
              <w:t>Prerađivačka industrija</w:t>
            </w:r>
          </w:p>
        </w:tc>
        <w:tc>
          <w:tcPr>
            <w:tcW w:w="1710" w:type="dxa"/>
            <w:tcBorders>
              <w:top w:val="single" w:sz="4" w:space="0" w:color="auto"/>
              <w:left w:val="single" w:sz="4" w:space="0" w:color="auto"/>
              <w:bottom w:val="single" w:sz="4" w:space="0" w:color="auto"/>
              <w:right w:val="single" w:sz="4" w:space="0" w:color="auto"/>
            </w:tcBorders>
            <w:shd w:val="clear" w:color="auto" w:fill="F2F2F2"/>
            <w:vAlign w:val="center"/>
          </w:tcPr>
          <w:p w14:paraId="0B2EBDE3" w14:textId="77777777" w:rsidR="00C232D7" w:rsidRPr="00B441B3" w:rsidRDefault="00C232D7" w:rsidP="00C232D7">
            <w:pPr>
              <w:kinsoku w:val="0"/>
              <w:overflowPunct w:val="0"/>
              <w:autoSpaceDE w:val="0"/>
              <w:autoSpaceDN w:val="0"/>
              <w:adjustRightInd w:val="0"/>
              <w:spacing w:line="360" w:lineRule="auto"/>
              <w:ind w:left="18" w:right="138" w:hanging="6"/>
              <w:rPr>
                <w:rFonts w:ascii="Arial" w:hAnsi="Arial" w:cs="Arial"/>
                <w:b/>
                <w:bCs/>
                <w:sz w:val="18"/>
                <w:szCs w:val="18"/>
                <w:lang w:val="sq-AL"/>
              </w:rPr>
            </w:pPr>
            <w:r w:rsidRPr="00B441B3">
              <w:rPr>
                <w:rFonts w:ascii="Arial" w:hAnsi="Arial" w:cs="Arial"/>
                <w:b/>
                <w:bCs/>
                <w:sz w:val="18"/>
                <w:szCs w:val="18"/>
                <w:lang w:val="sq-AL"/>
              </w:rPr>
              <w:t>Snabdijevanje električnom energijom, plinom i parom</w:t>
            </w:r>
          </w:p>
        </w:tc>
        <w:tc>
          <w:tcPr>
            <w:tcW w:w="2167" w:type="dxa"/>
            <w:tcBorders>
              <w:top w:val="single" w:sz="4" w:space="0" w:color="auto"/>
              <w:left w:val="single" w:sz="4" w:space="0" w:color="auto"/>
              <w:bottom w:val="single" w:sz="4" w:space="0" w:color="auto"/>
              <w:right w:val="single" w:sz="4" w:space="0" w:color="auto"/>
            </w:tcBorders>
            <w:shd w:val="clear" w:color="auto" w:fill="F2F2F2"/>
            <w:vAlign w:val="center"/>
          </w:tcPr>
          <w:p w14:paraId="1B375B06" w14:textId="77777777" w:rsidR="00C232D7" w:rsidRPr="00B441B3" w:rsidRDefault="00C232D7" w:rsidP="00C232D7">
            <w:pPr>
              <w:kinsoku w:val="0"/>
              <w:overflowPunct w:val="0"/>
              <w:autoSpaceDE w:val="0"/>
              <w:autoSpaceDN w:val="0"/>
              <w:adjustRightInd w:val="0"/>
              <w:spacing w:line="360" w:lineRule="auto"/>
              <w:ind w:left="18" w:right="138" w:hanging="2"/>
              <w:rPr>
                <w:rFonts w:ascii="Arial" w:hAnsi="Arial" w:cs="Arial"/>
                <w:b/>
                <w:bCs/>
                <w:sz w:val="18"/>
                <w:szCs w:val="18"/>
                <w:lang w:val="sq-AL"/>
              </w:rPr>
            </w:pPr>
            <w:r w:rsidRPr="00B441B3">
              <w:rPr>
                <w:rFonts w:ascii="Arial" w:hAnsi="Arial" w:cs="Arial"/>
                <w:b/>
                <w:bCs/>
                <w:sz w:val="18"/>
                <w:szCs w:val="18"/>
                <w:lang w:val="sq-AL"/>
              </w:rPr>
              <w:t xml:space="preserve">Vodosnabdijevanje, upravljanje otpadnim vodama, kontrola odlaganja otpada itd. </w:t>
            </w:r>
          </w:p>
        </w:tc>
        <w:tc>
          <w:tcPr>
            <w:tcW w:w="1253" w:type="dxa"/>
            <w:tcBorders>
              <w:top w:val="single" w:sz="4" w:space="0" w:color="auto"/>
              <w:left w:val="single" w:sz="4" w:space="0" w:color="auto"/>
              <w:bottom w:val="single" w:sz="4" w:space="0" w:color="auto"/>
              <w:right w:val="single" w:sz="4" w:space="0" w:color="auto"/>
            </w:tcBorders>
            <w:shd w:val="clear" w:color="auto" w:fill="F2F2F2"/>
            <w:vAlign w:val="center"/>
          </w:tcPr>
          <w:p w14:paraId="35ABB971" w14:textId="77777777" w:rsidR="00C232D7" w:rsidRPr="00B441B3" w:rsidRDefault="00C232D7" w:rsidP="00C232D7">
            <w:pPr>
              <w:kinsoku w:val="0"/>
              <w:overflowPunct w:val="0"/>
              <w:autoSpaceDE w:val="0"/>
              <w:autoSpaceDN w:val="0"/>
              <w:adjustRightInd w:val="0"/>
              <w:spacing w:line="360" w:lineRule="auto"/>
              <w:ind w:left="18" w:right="138"/>
              <w:rPr>
                <w:rFonts w:ascii="Arial" w:hAnsi="Arial" w:cs="Arial"/>
                <w:b/>
                <w:bCs/>
                <w:sz w:val="18"/>
                <w:szCs w:val="18"/>
                <w:lang w:val="sq-AL"/>
              </w:rPr>
            </w:pPr>
            <w:r w:rsidRPr="00B441B3">
              <w:rPr>
                <w:rFonts w:ascii="Arial" w:hAnsi="Arial" w:cs="Arial"/>
                <w:b/>
                <w:bCs/>
                <w:sz w:val="18"/>
                <w:szCs w:val="18"/>
                <w:lang w:val="sq-AL"/>
              </w:rPr>
              <w:t>Ukupno</w:t>
            </w:r>
          </w:p>
        </w:tc>
      </w:tr>
      <w:tr w:rsidR="00C232D7" w:rsidRPr="00B441B3" w14:paraId="2D8B7C94" w14:textId="77777777" w:rsidTr="00B441B3">
        <w:trPr>
          <w:trHeight w:val="499"/>
          <w:jc w:val="center"/>
        </w:trPr>
        <w:tc>
          <w:tcPr>
            <w:tcW w:w="1869" w:type="dxa"/>
            <w:tcBorders>
              <w:top w:val="single" w:sz="4" w:space="0" w:color="auto"/>
              <w:left w:val="single" w:sz="4" w:space="0" w:color="auto"/>
              <w:bottom w:val="single" w:sz="4" w:space="0" w:color="auto"/>
              <w:right w:val="single" w:sz="4" w:space="0" w:color="auto"/>
            </w:tcBorders>
            <w:vAlign w:val="center"/>
          </w:tcPr>
          <w:p w14:paraId="5014A84A" w14:textId="77777777" w:rsidR="00C232D7" w:rsidRPr="00B441B3" w:rsidRDefault="00C232D7" w:rsidP="00C232D7">
            <w:pPr>
              <w:kinsoku w:val="0"/>
              <w:overflowPunct w:val="0"/>
              <w:autoSpaceDE w:val="0"/>
              <w:autoSpaceDN w:val="0"/>
              <w:adjustRightInd w:val="0"/>
              <w:spacing w:line="360" w:lineRule="auto"/>
              <w:ind w:left="33"/>
              <w:rPr>
                <w:rFonts w:ascii="Arial" w:hAnsi="Arial" w:cs="Arial"/>
                <w:sz w:val="18"/>
                <w:szCs w:val="18"/>
                <w:lang w:val="sq-AL"/>
              </w:rPr>
            </w:pPr>
            <w:r w:rsidRPr="00B441B3">
              <w:rPr>
                <w:rFonts w:ascii="Arial" w:hAnsi="Arial" w:cs="Arial"/>
                <w:bCs/>
                <w:sz w:val="18"/>
                <w:szCs w:val="18"/>
                <w:lang w:val="sq-AL"/>
              </w:rPr>
              <w:t>Opasni otpad</w:t>
            </w:r>
          </w:p>
        </w:tc>
        <w:tc>
          <w:tcPr>
            <w:tcW w:w="1366" w:type="dxa"/>
            <w:tcBorders>
              <w:top w:val="single" w:sz="4" w:space="0" w:color="auto"/>
              <w:left w:val="single" w:sz="4" w:space="0" w:color="auto"/>
              <w:bottom w:val="single" w:sz="4" w:space="0" w:color="auto"/>
              <w:right w:val="single" w:sz="4" w:space="0" w:color="auto"/>
            </w:tcBorders>
            <w:vAlign w:val="center"/>
          </w:tcPr>
          <w:p w14:paraId="4388F44D" w14:textId="77777777" w:rsidR="00C232D7" w:rsidRPr="00B441B3" w:rsidRDefault="00C232D7" w:rsidP="00C232D7">
            <w:pPr>
              <w:kinsoku w:val="0"/>
              <w:overflowPunct w:val="0"/>
              <w:autoSpaceDE w:val="0"/>
              <w:autoSpaceDN w:val="0"/>
              <w:adjustRightInd w:val="0"/>
              <w:spacing w:line="360" w:lineRule="auto"/>
              <w:ind w:right="138"/>
              <w:rPr>
                <w:rFonts w:ascii="Arial" w:hAnsi="Arial" w:cs="Arial"/>
                <w:sz w:val="18"/>
                <w:szCs w:val="18"/>
                <w:lang w:val="sq-AL"/>
              </w:rPr>
            </w:pPr>
            <w:r w:rsidRPr="00B441B3">
              <w:rPr>
                <w:rFonts w:ascii="Arial" w:hAnsi="Arial" w:cs="Arial"/>
                <w:sz w:val="18"/>
                <w:szCs w:val="18"/>
                <w:lang w:val="sq-AL"/>
              </w:rPr>
              <w:t>315,920.10</w:t>
            </w:r>
          </w:p>
        </w:tc>
        <w:tc>
          <w:tcPr>
            <w:tcW w:w="1530" w:type="dxa"/>
            <w:tcBorders>
              <w:top w:val="single" w:sz="4" w:space="0" w:color="auto"/>
              <w:left w:val="single" w:sz="4" w:space="0" w:color="auto"/>
              <w:bottom w:val="single" w:sz="4" w:space="0" w:color="auto"/>
              <w:right w:val="single" w:sz="4" w:space="0" w:color="auto"/>
            </w:tcBorders>
            <w:vAlign w:val="center"/>
          </w:tcPr>
          <w:p w14:paraId="78110A82" w14:textId="77777777" w:rsidR="00C232D7" w:rsidRPr="00B441B3" w:rsidRDefault="00C232D7" w:rsidP="00C232D7">
            <w:pPr>
              <w:kinsoku w:val="0"/>
              <w:overflowPunct w:val="0"/>
              <w:autoSpaceDE w:val="0"/>
              <w:autoSpaceDN w:val="0"/>
              <w:adjustRightInd w:val="0"/>
              <w:spacing w:line="360" w:lineRule="auto"/>
              <w:ind w:right="138"/>
              <w:rPr>
                <w:rFonts w:ascii="Arial" w:hAnsi="Arial" w:cs="Arial"/>
                <w:sz w:val="18"/>
                <w:szCs w:val="18"/>
                <w:lang w:val="sq-AL"/>
              </w:rPr>
            </w:pPr>
            <w:r w:rsidRPr="00B441B3">
              <w:rPr>
                <w:rFonts w:ascii="Arial" w:hAnsi="Arial" w:cs="Arial"/>
                <w:color w:val="000000"/>
                <w:sz w:val="18"/>
                <w:szCs w:val="18"/>
                <w:lang w:val="sq-AL"/>
              </w:rPr>
              <w:t>566.40</w:t>
            </w:r>
          </w:p>
        </w:tc>
        <w:tc>
          <w:tcPr>
            <w:tcW w:w="1710" w:type="dxa"/>
            <w:tcBorders>
              <w:top w:val="single" w:sz="4" w:space="0" w:color="auto"/>
              <w:left w:val="single" w:sz="4" w:space="0" w:color="auto"/>
              <w:bottom w:val="single" w:sz="4" w:space="0" w:color="auto"/>
              <w:right w:val="single" w:sz="4" w:space="0" w:color="auto"/>
            </w:tcBorders>
            <w:vAlign w:val="center"/>
          </w:tcPr>
          <w:p w14:paraId="40CD0394" w14:textId="77777777" w:rsidR="00C232D7" w:rsidRPr="00B441B3" w:rsidRDefault="00C232D7" w:rsidP="00C232D7">
            <w:pPr>
              <w:kinsoku w:val="0"/>
              <w:overflowPunct w:val="0"/>
              <w:autoSpaceDE w:val="0"/>
              <w:autoSpaceDN w:val="0"/>
              <w:adjustRightInd w:val="0"/>
              <w:spacing w:line="360" w:lineRule="auto"/>
              <w:ind w:right="138"/>
              <w:rPr>
                <w:rFonts w:ascii="Arial" w:hAnsi="Arial" w:cs="Arial"/>
                <w:sz w:val="18"/>
                <w:szCs w:val="18"/>
                <w:lang w:val="sq-AL"/>
              </w:rPr>
            </w:pPr>
            <w:r w:rsidRPr="00B441B3">
              <w:rPr>
                <w:rFonts w:ascii="Arial" w:hAnsi="Arial" w:cs="Arial"/>
                <w:color w:val="000000"/>
                <w:sz w:val="18"/>
                <w:szCs w:val="18"/>
                <w:lang w:val="sq-AL"/>
              </w:rPr>
              <w:t>558.90</w:t>
            </w:r>
          </w:p>
        </w:tc>
        <w:tc>
          <w:tcPr>
            <w:tcW w:w="2167" w:type="dxa"/>
            <w:tcBorders>
              <w:top w:val="single" w:sz="4" w:space="0" w:color="auto"/>
              <w:left w:val="single" w:sz="4" w:space="0" w:color="auto"/>
              <w:bottom w:val="single" w:sz="4" w:space="0" w:color="auto"/>
              <w:right w:val="single" w:sz="4" w:space="0" w:color="auto"/>
            </w:tcBorders>
            <w:vAlign w:val="center"/>
          </w:tcPr>
          <w:p w14:paraId="140F2367" w14:textId="77777777" w:rsidR="00C232D7" w:rsidRPr="00B441B3" w:rsidRDefault="00C232D7" w:rsidP="00C232D7">
            <w:pPr>
              <w:kinsoku w:val="0"/>
              <w:overflowPunct w:val="0"/>
              <w:autoSpaceDE w:val="0"/>
              <w:autoSpaceDN w:val="0"/>
              <w:adjustRightInd w:val="0"/>
              <w:spacing w:line="360" w:lineRule="auto"/>
              <w:ind w:right="138"/>
              <w:rPr>
                <w:rFonts w:ascii="Arial" w:hAnsi="Arial" w:cs="Arial"/>
                <w:sz w:val="18"/>
                <w:szCs w:val="18"/>
                <w:lang w:val="sq-AL"/>
              </w:rPr>
            </w:pPr>
            <w:r w:rsidRPr="00B441B3">
              <w:rPr>
                <w:rFonts w:ascii="Arial" w:hAnsi="Arial" w:cs="Arial"/>
                <w:color w:val="000000"/>
                <w:sz w:val="18"/>
                <w:szCs w:val="18"/>
                <w:lang w:val="sq-AL"/>
              </w:rPr>
              <w:t>91.20</w:t>
            </w:r>
          </w:p>
        </w:tc>
        <w:tc>
          <w:tcPr>
            <w:tcW w:w="1253" w:type="dxa"/>
            <w:tcBorders>
              <w:top w:val="single" w:sz="4" w:space="0" w:color="auto"/>
              <w:left w:val="single" w:sz="4" w:space="0" w:color="auto"/>
              <w:bottom w:val="single" w:sz="4" w:space="0" w:color="auto"/>
              <w:right w:val="single" w:sz="4" w:space="0" w:color="auto"/>
            </w:tcBorders>
            <w:vAlign w:val="center"/>
          </w:tcPr>
          <w:p w14:paraId="23CDE9B5" w14:textId="77777777" w:rsidR="00C232D7" w:rsidRPr="00B441B3" w:rsidRDefault="00C232D7" w:rsidP="00C232D7">
            <w:pPr>
              <w:kinsoku w:val="0"/>
              <w:overflowPunct w:val="0"/>
              <w:autoSpaceDE w:val="0"/>
              <w:autoSpaceDN w:val="0"/>
              <w:adjustRightInd w:val="0"/>
              <w:spacing w:line="360" w:lineRule="auto"/>
              <w:ind w:right="138"/>
              <w:rPr>
                <w:rFonts w:ascii="Arial" w:hAnsi="Arial" w:cs="Arial"/>
                <w:sz w:val="18"/>
                <w:szCs w:val="18"/>
                <w:lang w:val="sq-AL"/>
              </w:rPr>
            </w:pPr>
            <w:r w:rsidRPr="00B441B3">
              <w:rPr>
                <w:rFonts w:ascii="Arial" w:hAnsi="Arial" w:cs="Arial"/>
                <w:sz w:val="18"/>
                <w:szCs w:val="18"/>
                <w:lang w:val="sq-AL"/>
              </w:rPr>
              <w:t>317,136.60</w:t>
            </w:r>
          </w:p>
        </w:tc>
      </w:tr>
    </w:tbl>
    <w:p w14:paraId="67127FDB" w14:textId="07A50282" w:rsidR="00C232D7" w:rsidRPr="002A6F4E" w:rsidRDefault="00477168" w:rsidP="00F57909">
      <w:pPr>
        <w:pStyle w:val="Heading2"/>
      </w:pPr>
      <w:bookmarkStart w:id="775" w:name="_Toc193354000"/>
      <w:r w:rsidRPr="002A6F4E">
        <w:lastRenderedPageBreak/>
        <w:t>4.2</w:t>
      </w:r>
      <w:r w:rsidR="001167D6">
        <w:t>6</w:t>
      </w:r>
      <w:r w:rsidR="003D1C94" w:rsidRPr="002A6F4E">
        <w:t xml:space="preserve">. </w:t>
      </w:r>
      <w:r w:rsidR="00C232D7" w:rsidRPr="002A6F4E">
        <w:t>Otpad koji sadrži azbest</w:t>
      </w:r>
      <w:bookmarkEnd w:id="775"/>
    </w:p>
    <w:p w14:paraId="4BBFD883" w14:textId="0BAABD03"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Materijali koji sadrže azbest bili su široko koriš</w:t>
      </w:r>
      <w:r w:rsidR="00A257F4">
        <w:rPr>
          <w:rFonts w:ascii="Arial" w:hAnsi="Arial" w:cs="Arial"/>
          <w:lang w:val="sq-AL"/>
        </w:rPr>
        <w:t>ć</w:t>
      </w:r>
      <w:r w:rsidRPr="002A6F4E">
        <w:rPr>
          <w:rFonts w:ascii="Arial" w:hAnsi="Arial" w:cs="Arial"/>
          <w:lang w:val="sq-AL"/>
        </w:rPr>
        <w:t xml:space="preserve">eni u građevinarstvu sve do </w:t>
      </w:r>
      <w:r w:rsidR="005117E0">
        <w:rPr>
          <w:rFonts w:ascii="Arial" w:hAnsi="Arial" w:cs="Arial"/>
          <w:lang w:val="sq-AL"/>
        </w:rPr>
        <w:t>'</w:t>
      </w:r>
      <w:r w:rsidRPr="002A6F4E">
        <w:rPr>
          <w:rFonts w:ascii="Arial" w:hAnsi="Arial" w:cs="Arial"/>
          <w:lang w:val="sq-AL"/>
        </w:rPr>
        <w:t>90-ih, kada je upotreba azbesta zabranjena u mnogim zemljama širom svijeta</w:t>
      </w:r>
      <w:r w:rsidR="00F7415D">
        <w:rPr>
          <w:rFonts w:ascii="Arial" w:hAnsi="Arial" w:cs="Arial"/>
          <w:lang w:val="sq-AL"/>
        </w:rPr>
        <w:t>,</w:t>
      </w:r>
      <w:r w:rsidRPr="002A6F4E">
        <w:rPr>
          <w:rFonts w:ascii="Arial" w:hAnsi="Arial" w:cs="Arial"/>
          <w:lang w:val="sq-AL"/>
        </w:rPr>
        <w:t xml:space="preserve"> nakon prepoznavanja njegovog kancerogenog djelovanja. Materijal koji sadrži azbest mora biti uklonjen i odložen prije rušenja objekata. Detekcija azbesta i naknadno uklanjanje je osnovni korak svake aktivnosti rušenja koja se obavlja u građevinskom sektoru kako bi se izbjegla izloženost ljudi tako opasnom mineralu.</w:t>
      </w:r>
      <w:r w:rsidRPr="002A6F4E">
        <w:rPr>
          <w:rFonts w:ascii="Arial" w:hAnsi="Arial" w:cs="Arial"/>
          <w:smallCaps/>
          <w:vertAlign w:val="superscript"/>
          <w:lang w:val="sq-AL" w:eastAsia="pl-PL"/>
        </w:rPr>
        <w:footnoteReference w:id="25"/>
      </w:r>
    </w:p>
    <w:p w14:paraId="19E1FF45" w14:textId="1CCB77D9"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Azbest se još uvijek nalazi u brodovima, vozovima, mašinama, tunelima, cijevima u javnim i privatnim vodovodnim mrežama, a naročito u mnogim javnim i privatnim zgradama. Stoga je i azbest često prisutan u otpadu od rušenja</w:t>
      </w:r>
      <w:r w:rsidR="00A257F4">
        <w:rPr>
          <w:rFonts w:ascii="Arial" w:hAnsi="Arial" w:cs="Arial"/>
          <w:lang w:val="sq-AL"/>
        </w:rPr>
        <w:t xml:space="preserve"> objekata</w:t>
      </w:r>
      <w:r w:rsidRPr="002A6F4E">
        <w:rPr>
          <w:rFonts w:ascii="Arial" w:hAnsi="Arial" w:cs="Arial"/>
          <w:lang w:val="sq-AL"/>
        </w:rPr>
        <w:t xml:space="preserve">. Zakonodavstvo širom svijeta ne samo da je ograničilo vađenje i upotrebu novog azbesta, već je prisililo i uklanjanje hiljada </w:t>
      </w:r>
      <w:r w:rsidR="00D92CE1">
        <w:rPr>
          <w:rFonts w:ascii="Arial" w:hAnsi="Arial" w:cs="Arial"/>
          <w:lang w:val="sq-AL"/>
        </w:rPr>
        <w:t>t</w:t>
      </w:r>
      <w:r w:rsidRPr="002A6F4E">
        <w:rPr>
          <w:rFonts w:ascii="Arial" w:hAnsi="Arial" w:cs="Arial"/>
          <w:lang w:val="sq-AL"/>
        </w:rPr>
        <w:t xml:space="preserve"> azbestnih proizvoda iz zgrada i materijala.</w:t>
      </w:r>
    </w:p>
    <w:p w14:paraId="0E0AC034" w14:textId="6F9C7521"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Zagađivači i opasne supstance moraju se ukloniti iz građevinskog i otpada od rušenja uglavnom iz dva razloga: (</w:t>
      </w:r>
      <w:r w:rsidR="00F7415D">
        <w:rPr>
          <w:rFonts w:ascii="Arial" w:hAnsi="Arial" w:cs="Arial"/>
          <w:lang w:val="sq-AL"/>
        </w:rPr>
        <w:t>I</w:t>
      </w:r>
      <w:r w:rsidRPr="002A6F4E">
        <w:rPr>
          <w:rFonts w:ascii="Arial" w:hAnsi="Arial" w:cs="Arial"/>
          <w:lang w:val="sq-AL"/>
        </w:rPr>
        <w:t>) negativnog uticaja na konačne fizičko-mehaničke karakteristike recikliranih proizvoda koji će se ponovno koristiti i (</w:t>
      </w:r>
      <w:r w:rsidR="00F7415D">
        <w:rPr>
          <w:rFonts w:ascii="Arial" w:hAnsi="Arial" w:cs="Arial"/>
          <w:lang w:val="sq-AL"/>
        </w:rPr>
        <w:t>II</w:t>
      </w:r>
      <w:r w:rsidRPr="002A6F4E">
        <w:rPr>
          <w:rFonts w:ascii="Arial" w:hAnsi="Arial" w:cs="Arial"/>
          <w:lang w:val="sq-AL"/>
        </w:rPr>
        <w:t xml:space="preserve">) negativnih uticaja na životnu sredinu, a to je uglavnom proizvodnja štetne prašine u vazduhu, koja predstavlja faktor rizika za radnike, vezan za različite faze rukovanja građevinskog i otpada od rušenja i za dalju upotrebu u specifičnim kontekstima (tj. potencijalno oslobađanje u životnu sredinu štetnih elemenata/supstanci koje </w:t>
      </w:r>
      <w:r w:rsidR="00951F47">
        <w:rPr>
          <w:rFonts w:ascii="Arial" w:hAnsi="Arial" w:cs="Arial"/>
          <w:lang w:val="sq-AL" w:eastAsia="pl-PL"/>
        </w:rPr>
        <w:t>nijesu</w:t>
      </w:r>
      <w:r w:rsidRPr="002A6F4E">
        <w:rPr>
          <w:rFonts w:ascii="Arial" w:hAnsi="Arial" w:cs="Arial"/>
          <w:lang w:val="sq-AL"/>
        </w:rPr>
        <w:t xml:space="preserve"> u potpunosti uklonjene iz konačnih popravljenih proizvoda i koje se mogu ponovo pokrenuti u skladu s potencijalnim djelovanjem ispiranja). </w:t>
      </w:r>
    </w:p>
    <w:p w14:paraId="4D7C3EF7" w14:textId="7BA5BA74"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Materijali koji sadrže azbest su možda najrizičniji zagađivači, ali se uzimaju u obzir i drugi visoko zagađujući materijali: (</w:t>
      </w:r>
      <w:r w:rsidR="00F7415D">
        <w:rPr>
          <w:rFonts w:ascii="Arial" w:hAnsi="Arial" w:cs="Arial"/>
          <w:lang w:val="sq-AL"/>
        </w:rPr>
        <w:t>I</w:t>
      </w:r>
      <w:r w:rsidRPr="002A6F4E">
        <w:rPr>
          <w:rFonts w:ascii="Arial" w:hAnsi="Arial" w:cs="Arial"/>
          <w:lang w:val="sq-AL"/>
        </w:rPr>
        <w:t>) boje na bazi olova (tj. u krovovima i crijepovima), električni kablovi i uopšte električni uređaji (tj. metali i poliklorirani bifenili: PCB), (</w:t>
      </w:r>
      <w:r w:rsidR="00F7415D">
        <w:rPr>
          <w:rFonts w:ascii="Arial" w:hAnsi="Arial" w:cs="Arial"/>
          <w:lang w:val="sq-AL"/>
        </w:rPr>
        <w:t>II</w:t>
      </w:r>
      <w:r w:rsidRPr="002A6F4E">
        <w:rPr>
          <w:rFonts w:ascii="Arial" w:hAnsi="Arial" w:cs="Arial"/>
          <w:lang w:val="sq-AL"/>
        </w:rPr>
        <w:t>) premazi, ljepila i drugi materijali na bazi smole (tj. fenol), (</w:t>
      </w:r>
      <w:r w:rsidR="00F7415D">
        <w:rPr>
          <w:rFonts w:ascii="Arial" w:hAnsi="Arial" w:cs="Arial"/>
          <w:lang w:val="sq-AL"/>
        </w:rPr>
        <w:t>III</w:t>
      </w:r>
      <w:r w:rsidRPr="002A6F4E">
        <w:rPr>
          <w:rFonts w:ascii="Arial" w:hAnsi="Arial" w:cs="Arial"/>
          <w:lang w:val="sq-AL"/>
        </w:rPr>
        <w:t>) zaptivanje spojeva i vatrootporne boje/premazi (tj. PCB), i (</w:t>
      </w:r>
      <w:r w:rsidR="00F7415D">
        <w:rPr>
          <w:rFonts w:ascii="Arial" w:hAnsi="Arial" w:cs="Arial"/>
          <w:lang w:val="sq-AL"/>
        </w:rPr>
        <w:t>IV</w:t>
      </w:r>
      <w:r w:rsidRPr="002A6F4E">
        <w:rPr>
          <w:rFonts w:ascii="Arial" w:hAnsi="Arial" w:cs="Arial"/>
          <w:lang w:val="sq-AL"/>
        </w:rPr>
        <w:t>) krovni filc i podovi (tj. policiklični aromatični ugljovodonici: PAH).</w:t>
      </w:r>
    </w:p>
    <w:p w14:paraId="32886CC9" w14:textId="4B9D4446"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 xml:space="preserve">U Crnoj Gori je zamjena materijala koji sadrže azbest </w:t>
      </w:r>
      <w:r w:rsidR="00266ABB">
        <w:rPr>
          <w:rFonts w:ascii="Arial" w:hAnsi="Arial" w:cs="Arial"/>
          <w:lang w:val="sq-AL"/>
        </w:rPr>
        <w:t xml:space="preserve">bila </w:t>
      </w:r>
      <w:r w:rsidRPr="002A6F4E">
        <w:rPr>
          <w:rFonts w:ascii="Arial" w:hAnsi="Arial" w:cs="Arial"/>
          <w:lang w:val="sq-AL"/>
        </w:rPr>
        <w:t>predviđena u DPUO 2015-2020</w:t>
      </w:r>
      <w:r w:rsidR="002E740E">
        <w:rPr>
          <w:rFonts w:ascii="Arial" w:hAnsi="Arial" w:cs="Arial"/>
          <w:lang w:val="sq-AL"/>
        </w:rPr>
        <w:t>. godina</w:t>
      </w:r>
      <w:r w:rsidRPr="002A6F4E">
        <w:rPr>
          <w:rFonts w:ascii="Arial" w:hAnsi="Arial" w:cs="Arial"/>
          <w:lang w:val="sq-AL"/>
        </w:rPr>
        <w:t xml:space="preserve">, kao i uspostavljanje sistema za organizovano sakupljanje materijala koji sadrže azbest. </w:t>
      </w:r>
    </w:p>
    <w:p w14:paraId="36C239CE" w14:textId="7597C6F6"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Nedavno je, uz podršku UNDP, pokrenut projekat postavljanj</w:t>
      </w:r>
      <w:r w:rsidR="00F7415D">
        <w:rPr>
          <w:rFonts w:ascii="Arial" w:hAnsi="Arial" w:cs="Arial"/>
          <w:lang w:val="sq-AL"/>
        </w:rPr>
        <w:t>a</w:t>
      </w:r>
      <w:r w:rsidRPr="002A6F4E">
        <w:rPr>
          <w:rFonts w:ascii="Arial" w:hAnsi="Arial" w:cs="Arial"/>
          <w:lang w:val="sq-AL"/>
        </w:rPr>
        <w:t xml:space="preserve"> cjevovoda b</w:t>
      </w:r>
      <w:r w:rsidR="00266ABB">
        <w:rPr>
          <w:rFonts w:ascii="Arial" w:hAnsi="Arial" w:cs="Arial"/>
          <w:lang w:val="sq-AL"/>
        </w:rPr>
        <w:t>e</w:t>
      </w:r>
      <w:r w:rsidRPr="002A6F4E">
        <w:rPr>
          <w:rFonts w:ascii="Arial" w:hAnsi="Arial" w:cs="Arial"/>
          <w:lang w:val="sq-AL"/>
        </w:rPr>
        <w:t>z azbesta u sistemu vodosnabdijevanja u nekoliko opština u Crnoj Gori, a dat je i p</w:t>
      </w:r>
      <w:r w:rsidR="00271D95">
        <w:rPr>
          <w:rFonts w:ascii="Arial" w:hAnsi="Arial" w:cs="Arial"/>
          <w:lang w:val="sq-AL"/>
        </w:rPr>
        <w:t>r</w:t>
      </w:r>
      <w:r w:rsidRPr="002A6F4E">
        <w:rPr>
          <w:rFonts w:ascii="Arial" w:hAnsi="Arial" w:cs="Arial"/>
          <w:lang w:val="sq-AL"/>
        </w:rPr>
        <w:t xml:space="preserve">edlog njegovog nastavka, u okviru liste prioritetnih infrastrukturnih projekata, finansiranih od strane međunarodnih finansijskih institucija i donatora. </w:t>
      </w:r>
    </w:p>
    <w:p w14:paraId="5430650F" w14:textId="0F530071" w:rsidR="00C232D7" w:rsidRPr="006D164D" w:rsidRDefault="00477168" w:rsidP="00F57909">
      <w:pPr>
        <w:pStyle w:val="Heading2"/>
        <w:rPr>
          <w:lang w:val="sr-Latn-ME"/>
        </w:rPr>
      </w:pPr>
      <w:bookmarkStart w:id="776" w:name="_Toc193354001"/>
      <w:r w:rsidRPr="002A6F4E">
        <w:t>4.2</w:t>
      </w:r>
      <w:r w:rsidR="001167D6">
        <w:t>7</w:t>
      </w:r>
      <w:r w:rsidR="003D1C94" w:rsidRPr="002A6F4E">
        <w:t xml:space="preserve">. </w:t>
      </w:r>
      <w:r w:rsidR="00C232D7" w:rsidRPr="002A6F4E">
        <w:t>PCB otpad</w:t>
      </w:r>
      <w:r w:rsidR="006D164D">
        <w:t xml:space="preserve"> i otpad koji sadr</w:t>
      </w:r>
      <w:r w:rsidR="006D164D">
        <w:rPr>
          <w:lang w:val="sr-Latn-ME"/>
        </w:rPr>
        <w:t>ži PCB</w:t>
      </w:r>
      <w:bookmarkEnd w:id="776"/>
    </w:p>
    <w:p w14:paraId="5FA1C664" w14:textId="0A2A79C6"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 xml:space="preserve">Prema </w:t>
      </w:r>
      <w:r w:rsidRPr="002A6F4E">
        <w:rPr>
          <w:rFonts w:ascii="Arial" w:hAnsi="Arial" w:cs="Arial"/>
          <w:iCs/>
          <w:lang w:val="sq-AL"/>
        </w:rPr>
        <w:t xml:space="preserve">Zakonu o upravljanju otpadom, </w:t>
      </w:r>
      <w:r w:rsidRPr="002A6F4E">
        <w:rPr>
          <w:rFonts w:ascii="Arial" w:hAnsi="Arial" w:cs="Arial"/>
          <w:lang w:val="sq-AL"/>
        </w:rPr>
        <w:t>prerada polihlorovanih bifenila (PCB) i ambalaže koja sadrži PCB je zabranjena. Takođe, zabranjen je uvoz opreme koja sadrži PCB.</w:t>
      </w:r>
    </w:p>
    <w:p w14:paraId="5C44D147" w14:textId="1A8E69B0"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Crna Gora je država potpisnica Stokholmske konvencije o o dugotrajnim organskim zagađivačima od 2011. godine i razvila je nacionalni plan za implementaciju konvencije, sa naglaskom na ekološki prihvatljivo upravljanje PCB („Nacionalni plan za implementaciju Stokholmske konvencije sa akcionim planom za period 2019-2023. godine , od jula 2019. godine.</w:t>
      </w:r>
      <w:r w:rsidR="00FD2F9A">
        <w:rPr>
          <w:rFonts w:ascii="Arial" w:hAnsi="Arial" w:cs="Arial"/>
          <w:lang w:val="sq-AL"/>
        </w:rPr>
        <w:t>)</w:t>
      </w:r>
    </w:p>
    <w:p w14:paraId="571D80A9" w14:textId="06988FCB" w:rsidR="00C232D7" w:rsidRPr="002A6F4E" w:rsidRDefault="00C232D7" w:rsidP="00C232D7">
      <w:pPr>
        <w:autoSpaceDE w:val="0"/>
        <w:autoSpaceDN w:val="0"/>
        <w:adjustRightInd w:val="0"/>
        <w:spacing w:before="120" w:after="120" w:line="360" w:lineRule="auto"/>
        <w:rPr>
          <w:rFonts w:ascii="Arial" w:hAnsi="Arial" w:cs="Arial"/>
          <w:lang w:val="sq-AL"/>
        </w:rPr>
      </w:pPr>
      <w:r w:rsidRPr="00A900E3">
        <w:rPr>
          <w:rFonts w:ascii="Arial" w:hAnsi="Arial" w:cs="Arial"/>
          <w:lang w:val="sq-AL"/>
        </w:rPr>
        <w:lastRenderedPageBreak/>
        <w:t>Projekat „</w:t>
      </w:r>
      <w:r w:rsidRPr="00A900E3">
        <w:rPr>
          <w:rFonts w:ascii="Arial" w:hAnsi="Arial" w:cs="Arial"/>
          <w:i/>
          <w:lang w:val="sq-AL"/>
        </w:rPr>
        <w:t>Sveobuhvatno ekološki prihvatljivo upravljanje otpadom koji sadrži PCB u Crnoj Gori</w:t>
      </w:r>
      <w:r w:rsidRPr="00A900E3">
        <w:rPr>
          <w:rFonts w:ascii="Arial" w:hAnsi="Arial" w:cs="Arial"/>
          <w:lang w:val="sq-AL"/>
        </w:rPr>
        <w:t xml:space="preserve">“, koji UNDP realizuje u saradnji sa </w:t>
      </w:r>
      <w:r w:rsidR="006268A1">
        <w:rPr>
          <w:rFonts w:ascii="Arial" w:hAnsi="Arial" w:cs="Arial"/>
          <w:lang w:val="sq-AL"/>
        </w:rPr>
        <w:t>resornim ministarstvom</w:t>
      </w:r>
      <w:r w:rsidRPr="00A900E3">
        <w:rPr>
          <w:rFonts w:ascii="Arial" w:hAnsi="Arial" w:cs="Arial"/>
          <w:lang w:val="sq-AL"/>
        </w:rPr>
        <w:t xml:space="preserve">, sredstvima Globalnog fonda za životnu sredinu (GEF), ima za cilj identifikaciju, odlaganje i trajno uklanjanje kontaminirane opreme i PCB otpada iz </w:t>
      </w:r>
      <w:r w:rsidRPr="00A900E3">
        <w:rPr>
          <w:rFonts w:ascii="Arial" w:hAnsi="Arial" w:cs="Arial"/>
          <w:lang w:val="sr-Latn-ME"/>
        </w:rPr>
        <w:t>životne sredine</w:t>
      </w:r>
      <w:r w:rsidRPr="00A900E3">
        <w:rPr>
          <w:rFonts w:ascii="Arial" w:hAnsi="Arial" w:cs="Arial"/>
          <w:lang w:val="sq-AL"/>
        </w:rPr>
        <w:t xml:space="preserve">, što će riješiti značajan ekološki problem u zemlji. Realizacija ovog projekta je započela 2017. godine i </w:t>
      </w:r>
      <w:r w:rsidR="006C3CC6" w:rsidRPr="00A900E3">
        <w:rPr>
          <w:rFonts w:ascii="Arial" w:hAnsi="Arial" w:cs="Arial"/>
          <w:lang w:val="sq-AL"/>
        </w:rPr>
        <w:t>završena je</w:t>
      </w:r>
      <w:r w:rsidRPr="00A900E3">
        <w:rPr>
          <w:rFonts w:ascii="Arial" w:hAnsi="Arial" w:cs="Arial"/>
          <w:lang w:val="sq-AL"/>
        </w:rPr>
        <w:t xml:space="preserve"> k</w:t>
      </w:r>
      <w:r w:rsidR="002544DF" w:rsidRPr="00A900E3">
        <w:rPr>
          <w:rFonts w:ascii="Arial" w:hAnsi="Arial" w:cs="Arial"/>
          <w:lang w:val="sq-AL"/>
        </w:rPr>
        <w:t>rajem</w:t>
      </w:r>
      <w:r w:rsidRPr="00A900E3">
        <w:rPr>
          <w:rFonts w:ascii="Arial" w:hAnsi="Arial" w:cs="Arial"/>
          <w:lang w:val="sq-AL"/>
        </w:rPr>
        <w:t xml:space="preserve"> 2022. godine.</w:t>
      </w:r>
      <w:r w:rsidR="00A900E3" w:rsidRPr="00A900E3">
        <w:rPr>
          <w:rFonts w:ascii="Arial" w:hAnsi="Arial" w:cs="Arial"/>
          <w:lang w:val="sq-AL"/>
        </w:rPr>
        <w:t xml:space="preserve"> Uklonjeno je i trajno zbrinuto 475t PCB otpada i opreme. Dekontaminisano i vraćeno u upotrebu 80t PCB transformatora. Jedna lokacija u KAP identifikovana kao kontaminirana i sanirana kroz projekat – uklonjeno i izvezeno 1050</w:t>
      </w:r>
      <w:r w:rsidR="00B9327E">
        <w:rPr>
          <w:rFonts w:ascii="Arial" w:hAnsi="Arial" w:cs="Arial"/>
          <w:lang w:val="sq-AL"/>
        </w:rPr>
        <w:t xml:space="preserve"> </w:t>
      </w:r>
      <w:r w:rsidR="00A900E3" w:rsidRPr="00A900E3">
        <w:rPr>
          <w:rFonts w:ascii="Arial" w:hAnsi="Arial" w:cs="Arial"/>
          <w:lang w:val="sq-AL"/>
        </w:rPr>
        <w:t>t PCB kont</w:t>
      </w:r>
      <w:r w:rsidR="00A900E3">
        <w:rPr>
          <w:rFonts w:ascii="Arial" w:hAnsi="Arial" w:cs="Arial"/>
          <w:lang w:val="sq-AL"/>
        </w:rPr>
        <w:t>a</w:t>
      </w:r>
      <w:r w:rsidR="00A900E3" w:rsidRPr="00A900E3">
        <w:rPr>
          <w:rFonts w:ascii="Arial" w:hAnsi="Arial" w:cs="Arial"/>
          <w:lang w:val="sq-AL"/>
        </w:rPr>
        <w:t>miniranog zemljišta iz Crne Gore.</w:t>
      </w:r>
      <w:r w:rsidR="00A900E3">
        <w:rPr>
          <w:rFonts w:ascii="Arial" w:hAnsi="Arial" w:cs="Arial"/>
          <w:lang w:val="sq-AL"/>
        </w:rPr>
        <w:t xml:space="preserve"> </w:t>
      </w:r>
    </w:p>
    <w:p w14:paraId="51627BEC" w14:textId="2D188451" w:rsidR="00C232D7" w:rsidRPr="002A6F4E" w:rsidRDefault="003D1C94" w:rsidP="00F57909">
      <w:pPr>
        <w:pStyle w:val="Heading2"/>
      </w:pPr>
      <w:bookmarkStart w:id="777" w:name="_Toc193354002"/>
      <w:r w:rsidRPr="002A6F4E">
        <w:t>4.2</w:t>
      </w:r>
      <w:r w:rsidR="001167D6">
        <w:t>8</w:t>
      </w:r>
      <w:r w:rsidRPr="002A6F4E">
        <w:t xml:space="preserve">. </w:t>
      </w:r>
      <w:r w:rsidR="00C232D7" w:rsidRPr="002A6F4E">
        <w:t>POPs Otpad</w:t>
      </w:r>
      <w:bookmarkEnd w:id="777"/>
      <w:r w:rsidR="00C232D7" w:rsidRPr="002A6F4E">
        <w:t xml:space="preserve"> </w:t>
      </w:r>
    </w:p>
    <w:p w14:paraId="4A38FC61" w14:textId="42B4FCC8" w:rsidR="00C232D7" w:rsidRPr="002A6F4E" w:rsidRDefault="00B9327E" w:rsidP="00C232D7">
      <w:pPr>
        <w:autoSpaceDE w:val="0"/>
        <w:autoSpaceDN w:val="0"/>
        <w:adjustRightInd w:val="0"/>
        <w:spacing w:before="120" w:after="120" w:line="360" w:lineRule="auto"/>
        <w:rPr>
          <w:rFonts w:ascii="Arial" w:hAnsi="Arial" w:cs="Arial"/>
          <w:lang w:val="hr-HR"/>
        </w:rPr>
      </w:pPr>
      <w:r>
        <w:rPr>
          <w:rFonts w:ascii="Arial" w:hAnsi="Arial" w:cs="Arial"/>
          <w:lang w:val="hr-HR"/>
        </w:rPr>
        <w:t xml:space="preserve">U skladu sa Zakonom o hemikalijama </w:t>
      </w:r>
      <w:r w:rsidR="00535C6D" w:rsidRPr="00535C6D">
        <w:rPr>
          <w:rFonts w:ascii="Arial" w:hAnsi="Arial" w:cs="Arial"/>
          <w:lang w:val="hr-HR"/>
        </w:rPr>
        <w:t>("Službeni list Crne Gore", br. 051/17, 084/24)</w:t>
      </w:r>
      <w:r w:rsidR="00535C6D">
        <w:rPr>
          <w:rFonts w:ascii="Arial" w:hAnsi="Arial" w:cs="Arial"/>
          <w:lang w:val="hr-HR"/>
        </w:rPr>
        <w:t xml:space="preserve">, </w:t>
      </w:r>
      <w:r w:rsidR="00C232D7" w:rsidRPr="002A6F4E">
        <w:rPr>
          <w:rFonts w:ascii="Arial" w:hAnsi="Arial" w:cs="Arial"/>
          <w:lang w:val="hr-HR"/>
        </w:rPr>
        <w:t>POPs otpad je otpad koji sadrži dugotrajne organske zagađivače (POPs), odnosno štetne hemikalije koje mogu opstati u životnoj sredini i akumulirati se u lancu ishrane.</w:t>
      </w:r>
      <w:r w:rsidR="00EF08B4">
        <w:rPr>
          <w:rStyle w:val="FootnoteReference"/>
          <w:rFonts w:cs="Arial"/>
        </w:rPr>
        <w:footnoteReference w:id="26"/>
      </w:r>
      <w:r w:rsidR="00C232D7" w:rsidRPr="002A6F4E">
        <w:rPr>
          <w:rFonts w:ascii="Arial" w:hAnsi="Arial" w:cs="Arial"/>
          <w:lang w:val="hr-HR"/>
        </w:rPr>
        <w:t xml:space="preserve"> POPs otpadom se mora upravljati na ekološki prihvatljiv način, što znači minimiziranje emisija POPs u vazduh, vodu i zemljište i konačno njihovo eliminisanje.</w:t>
      </w:r>
    </w:p>
    <w:p w14:paraId="0736E172" w14:textId="77777777" w:rsidR="00C232D7" w:rsidRPr="002A6F4E" w:rsidRDefault="00C232D7" w:rsidP="00C232D7">
      <w:pPr>
        <w:autoSpaceDE w:val="0"/>
        <w:autoSpaceDN w:val="0"/>
        <w:adjustRightInd w:val="0"/>
        <w:spacing w:before="120" w:after="120" w:line="360" w:lineRule="auto"/>
        <w:rPr>
          <w:rFonts w:ascii="Arial" w:hAnsi="Arial" w:cs="Arial"/>
          <w:lang w:val="hr-HR"/>
        </w:rPr>
      </w:pPr>
      <w:r w:rsidRPr="002A6F4E">
        <w:rPr>
          <w:rFonts w:ascii="Arial" w:hAnsi="Arial" w:cs="Arial"/>
          <w:lang w:val="hr-HR"/>
        </w:rPr>
        <w:t>Prema zakonodavstvu EU o otpadu koji sadrži POPs, kada se otpad koji sadrži POPs odlaže iznad određenih granica koncentracije, sadržaj POPs mora biti uništen ili nepovratno transformisan metodama kao što su spaljivanje ili hemijski tretman. POPs otpad se ne smije reciklirati, ponovo koristiti ili deponovati. Proizvođači i vlasnici POPs otpada moraju poštovati posebne zahtijeve za rukovanje, prijavljivanje i skladištenje POPs otpada.</w:t>
      </w:r>
    </w:p>
    <w:p w14:paraId="5F737B79" w14:textId="4C00E17E" w:rsidR="00C232D7" w:rsidRPr="002A6F4E" w:rsidRDefault="00C232D7" w:rsidP="00C232D7">
      <w:pPr>
        <w:autoSpaceDE w:val="0"/>
        <w:autoSpaceDN w:val="0"/>
        <w:adjustRightInd w:val="0"/>
        <w:spacing w:before="120" w:after="120" w:line="360" w:lineRule="auto"/>
        <w:rPr>
          <w:rFonts w:ascii="Arial" w:hAnsi="Arial" w:cs="Arial"/>
          <w:lang w:val="hr-HR"/>
        </w:rPr>
      </w:pPr>
      <w:r w:rsidRPr="002A6F4E">
        <w:rPr>
          <w:rFonts w:ascii="Arial" w:hAnsi="Arial" w:cs="Arial"/>
          <w:lang w:val="hr-HR"/>
        </w:rPr>
        <w:t xml:space="preserve">Crna Gora je država potpisnica Stokholmske konvencije o POPs od 2011. godine i izradila je nacionalni plan za implementaciju konvencije (Nacionalni plan za implementaciju Stokholmske konvencije, sa akcionim planom za 2019-2023, </w:t>
      </w:r>
      <w:r w:rsidRPr="00662F08">
        <w:rPr>
          <w:rFonts w:ascii="Arial" w:hAnsi="Arial" w:cs="Arial"/>
          <w:lang w:val="hr-HR"/>
        </w:rPr>
        <w:t>od jula 2019. godine).</w:t>
      </w:r>
      <w:r w:rsidRPr="002A6F4E">
        <w:rPr>
          <w:rFonts w:ascii="Arial" w:hAnsi="Arial" w:cs="Arial"/>
          <w:lang w:val="hr-HR"/>
        </w:rPr>
        <w:t xml:space="preserve"> </w:t>
      </w:r>
      <w:r w:rsidR="007438F9">
        <w:rPr>
          <w:rFonts w:ascii="Arial" w:hAnsi="Arial" w:cs="Arial"/>
          <w:lang w:val="hr-HR"/>
        </w:rPr>
        <w:t xml:space="preserve">Novi </w:t>
      </w:r>
      <w:r w:rsidR="007438F9" w:rsidRPr="002A6F4E">
        <w:rPr>
          <w:rFonts w:ascii="Arial" w:hAnsi="Arial" w:cs="Arial"/>
          <w:lang w:val="hr-HR"/>
        </w:rPr>
        <w:t>Nacionalni plan za implementaciju Stokholmske konvencije</w:t>
      </w:r>
      <w:r w:rsidR="00662F08">
        <w:rPr>
          <w:rFonts w:ascii="Arial" w:hAnsi="Arial" w:cs="Arial"/>
          <w:lang w:val="hr-HR"/>
        </w:rPr>
        <w:t>, za period 2025-2026. godina</w:t>
      </w:r>
      <w:r w:rsidR="007438F9" w:rsidRPr="002A6F4E">
        <w:rPr>
          <w:rFonts w:ascii="Arial" w:hAnsi="Arial" w:cs="Arial"/>
          <w:lang w:val="hr-HR"/>
        </w:rPr>
        <w:t xml:space="preserve"> </w:t>
      </w:r>
      <w:r w:rsidR="007438F9">
        <w:rPr>
          <w:rFonts w:ascii="Arial" w:hAnsi="Arial" w:cs="Arial"/>
          <w:lang w:val="hr-HR"/>
        </w:rPr>
        <w:t>je trenutno u izradi i biće gotov do kraja 2025. godine</w:t>
      </w:r>
      <w:r w:rsidR="00662F08">
        <w:rPr>
          <w:rFonts w:ascii="Arial" w:hAnsi="Arial" w:cs="Arial"/>
          <w:lang w:val="hr-HR"/>
        </w:rPr>
        <w:t xml:space="preserve">. </w:t>
      </w:r>
      <w:r w:rsidRPr="002A6F4E">
        <w:rPr>
          <w:rFonts w:ascii="Arial" w:hAnsi="Arial" w:cs="Arial"/>
          <w:lang w:val="hr-HR"/>
        </w:rPr>
        <w:t>Crna Gora takođe ima za cilj da unaprijedi svoj sistem upravljanja POPs primjenom savremenih praksi i principa EU. Međutim, zemlja se i dalje suočava sa nekim izazovima, kao što su nedostatak adekvatnih objekata i opreme za odlaganje POPs otpada, potreba za većim nivoom svijesti javnosti  i edukacijom o rizicima od POPs, kao i potreba za većom saradnjom i koordinacijom među relevantnim zainteresovanim stranama.</w:t>
      </w:r>
    </w:p>
    <w:p w14:paraId="6C54BF79" w14:textId="230E362D" w:rsidR="00C232D7" w:rsidRPr="002A6F4E" w:rsidRDefault="003D1C94" w:rsidP="00F57909">
      <w:pPr>
        <w:pStyle w:val="Heading2"/>
      </w:pPr>
      <w:bookmarkStart w:id="778" w:name="_Toc193354003"/>
      <w:r w:rsidRPr="002A6F4E">
        <w:t>4.2</w:t>
      </w:r>
      <w:r w:rsidR="001167D6">
        <w:t>9</w:t>
      </w:r>
      <w:r w:rsidR="00C232D7" w:rsidRPr="002A6F4E">
        <w:t>. Otpad koji sadrži živu</w:t>
      </w:r>
      <w:bookmarkEnd w:id="778"/>
    </w:p>
    <w:p w14:paraId="0A428217" w14:textId="7F472E2F" w:rsidR="00C232D7" w:rsidRPr="002A6F4E" w:rsidRDefault="00C232D7" w:rsidP="00C232D7">
      <w:pPr>
        <w:widowControl w:val="0"/>
        <w:autoSpaceDE w:val="0"/>
        <w:autoSpaceDN w:val="0"/>
        <w:adjustRightInd w:val="0"/>
        <w:spacing w:before="120" w:after="120" w:line="360" w:lineRule="auto"/>
        <w:rPr>
          <w:rFonts w:ascii="Arial" w:hAnsi="Arial" w:cs="Arial"/>
          <w:lang w:val="hr-HR"/>
        </w:rPr>
      </w:pPr>
      <w:r w:rsidRPr="002A6F4E">
        <w:rPr>
          <w:rFonts w:ascii="Arial" w:hAnsi="Arial" w:cs="Arial"/>
          <w:lang w:val="hr-HR"/>
        </w:rPr>
        <w:t>Otpad koji sadrži živu je otpad koji sadrži živu ili njena jedinjenja, a to su toksične supstance koje mogu da opstanu i akumuliraju se u životnoj sredini i predstavljaju prijetnju po zdravlje ljudi i živi svijet. Otpad koji sadrži živu može doći iz različitih izvora, kao što su flu</w:t>
      </w:r>
      <w:r w:rsidR="00AF33D2">
        <w:rPr>
          <w:rFonts w:ascii="Arial" w:hAnsi="Arial" w:cs="Arial"/>
          <w:lang w:val="hr-HR"/>
        </w:rPr>
        <w:t>ore</w:t>
      </w:r>
      <w:r w:rsidRPr="002A6F4E">
        <w:rPr>
          <w:rFonts w:ascii="Arial" w:hAnsi="Arial" w:cs="Arial"/>
          <w:lang w:val="hr-HR"/>
        </w:rPr>
        <w:t>scentne lampe, baterije, zubni amalgami, termometri i industrijski procesi.</w:t>
      </w:r>
    </w:p>
    <w:p w14:paraId="34856D05" w14:textId="5B719DA9" w:rsidR="00C232D7" w:rsidRPr="002A6F4E" w:rsidRDefault="00C232D7" w:rsidP="00C232D7">
      <w:pPr>
        <w:widowControl w:val="0"/>
        <w:autoSpaceDE w:val="0"/>
        <w:autoSpaceDN w:val="0"/>
        <w:adjustRightInd w:val="0"/>
        <w:spacing w:before="120" w:after="120" w:line="360" w:lineRule="auto"/>
        <w:rPr>
          <w:rFonts w:ascii="Arial" w:hAnsi="Arial" w:cs="Arial"/>
          <w:lang w:val="hr-HR"/>
        </w:rPr>
      </w:pPr>
      <w:r w:rsidRPr="002A6F4E">
        <w:rPr>
          <w:rFonts w:ascii="Arial" w:hAnsi="Arial" w:cs="Arial"/>
          <w:lang w:val="hr-HR"/>
        </w:rPr>
        <w:t>Otpad koji sadrži živu klasifikovan je kao opasan otpad i njime se mora upravljati na ekološki prihvatljiv način, u skladu sa Bazelskom i Minamatskom konvencijom. Prema tome, potrebno je  spriječiti, smanjiti, sakupljati, odvajati</w:t>
      </w:r>
      <w:r w:rsidR="00767F94">
        <w:rPr>
          <w:rFonts w:ascii="Arial" w:hAnsi="Arial" w:cs="Arial"/>
          <w:lang w:val="hr-HR"/>
        </w:rPr>
        <w:t xml:space="preserve"> i obraditi</w:t>
      </w:r>
      <w:r w:rsidRPr="002A6F4E">
        <w:rPr>
          <w:rFonts w:ascii="Arial" w:hAnsi="Arial" w:cs="Arial"/>
          <w:lang w:val="hr-HR"/>
        </w:rPr>
        <w:t xml:space="preserve"> otpad koji sadrži živu na način koji minimizira ispuštanje žive u vazduh, vodu i zemlju i štiti zdravlje ljudi i životnu sredinu.</w:t>
      </w:r>
    </w:p>
    <w:p w14:paraId="7DB42949" w14:textId="74DBD527" w:rsidR="00C232D7" w:rsidRPr="002A6F4E" w:rsidRDefault="00C232D7" w:rsidP="00C232D7">
      <w:pPr>
        <w:autoSpaceDE w:val="0"/>
        <w:autoSpaceDN w:val="0"/>
        <w:adjustRightInd w:val="0"/>
        <w:spacing w:before="120" w:after="120" w:line="360" w:lineRule="auto"/>
        <w:rPr>
          <w:rFonts w:ascii="Arial" w:hAnsi="Arial" w:cs="Arial"/>
          <w:lang w:val="hr-HR"/>
        </w:rPr>
      </w:pPr>
      <w:r w:rsidRPr="002A6F4E">
        <w:rPr>
          <w:rFonts w:ascii="Arial" w:hAnsi="Arial" w:cs="Arial"/>
          <w:lang w:val="hr-HR"/>
        </w:rPr>
        <w:lastRenderedPageBreak/>
        <w:t>Neke od metoda za ekološki prihvatljivo upravljanje otpadom koji sadrži živu su recikl</w:t>
      </w:r>
      <w:r w:rsidR="00767F94">
        <w:rPr>
          <w:rFonts w:ascii="Arial" w:hAnsi="Arial" w:cs="Arial"/>
          <w:lang w:val="hr-HR"/>
        </w:rPr>
        <w:t>iranje</w:t>
      </w:r>
      <w:r w:rsidRPr="002A6F4E">
        <w:rPr>
          <w:rFonts w:ascii="Arial" w:hAnsi="Arial" w:cs="Arial"/>
          <w:lang w:val="hr-HR"/>
        </w:rPr>
        <w:t xml:space="preserve">, spaljivanje, hemijski tretman i trajno skladištenje. Otpad koji sadrži živu ne treba ponovo koristiti, odlagati na deponije ili odlagati na otvorenom. Proizvođači i </w:t>
      </w:r>
      <w:r w:rsidR="00767F94">
        <w:rPr>
          <w:rFonts w:ascii="Arial" w:hAnsi="Arial" w:cs="Arial"/>
          <w:lang w:val="hr-HR"/>
        </w:rPr>
        <w:t>imaoci</w:t>
      </w:r>
      <w:r w:rsidR="00767F94" w:rsidRPr="002A6F4E">
        <w:rPr>
          <w:rFonts w:ascii="Arial" w:hAnsi="Arial" w:cs="Arial"/>
          <w:lang w:val="hr-HR"/>
        </w:rPr>
        <w:t xml:space="preserve"> </w:t>
      </w:r>
      <w:r w:rsidRPr="002A6F4E">
        <w:rPr>
          <w:rFonts w:ascii="Arial" w:hAnsi="Arial" w:cs="Arial"/>
          <w:lang w:val="hr-HR"/>
        </w:rPr>
        <w:t>otpada koji sadrži živu treba da poštuju posebne zahtjeve za rukovanje, prijavljivanje i skladištenje otpada koji sadrži živu.</w:t>
      </w:r>
    </w:p>
    <w:p w14:paraId="03A0D8DF" w14:textId="308D316E" w:rsidR="00C232D7" w:rsidRPr="002A6F4E" w:rsidRDefault="00C232D7" w:rsidP="00C232D7">
      <w:pPr>
        <w:autoSpaceDE w:val="0"/>
        <w:autoSpaceDN w:val="0"/>
        <w:adjustRightInd w:val="0"/>
        <w:spacing w:before="120" w:after="120" w:line="360" w:lineRule="auto"/>
        <w:rPr>
          <w:rFonts w:ascii="Arial" w:hAnsi="Arial" w:cs="Arial"/>
          <w:lang w:val="hr-HR"/>
        </w:rPr>
      </w:pPr>
      <w:r w:rsidRPr="002A6F4E">
        <w:rPr>
          <w:rFonts w:ascii="Arial" w:hAnsi="Arial" w:cs="Arial"/>
          <w:lang w:val="hr-HR"/>
        </w:rPr>
        <w:t>Zakonodavstvo EU o otpadu koji sadrži živu se uglavnom zasniva na Uredbi o živi (2017/852), koja pokriva cjelokupan životni ciklus žive i ima za cilj zaštitu zdravlja ljudi i životne sredine od njenih štetnih efekata. Uredbom je zabranjen izvoz žive i živinih jedinjenja, kao i proizvodnja, izvoz i uvoz određenih proizvoda koji sadrže živu, kao što su baterije, termometri i lampe. Takođe ograničava upotrebu zubnog amalgama, koji je najveća preostala namjerna upotreba žive u EU i postavlja pravila za bezbjedno upravljanje otpadom žive.</w:t>
      </w:r>
    </w:p>
    <w:p w14:paraId="4CACA686" w14:textId="7ABDC5CB" w:rsidR="00C232D7" w:rsidRPr="002A6F4E" w:rsidRDefault="00C232D7" w:rsidP="00C232D7">
      <w:pPr>
        <w:autoSpaceDE w:val="0"/>
        <w:autoSpaceDN w:val="0"/>
        <w:adjustRightInd w:val="0"/>
        <w:spacing w:before="120" w:after="120" w:line="360" w:lineRule="auto"/>
        <w:rPr>
          <w:rFonts w:ascii="Arial" w:hAnsi="Arial" w:cs="Arial"/>
          <w:lang w:val="hr-HR"/>
        </w:rPr>
      </w:pPr>
      <w:r w:rsidRPr="002A6F4E">
        <w:rPr>
          <w:rFonts w:ascii="Arial" w:hAnsi="Arial" w:cs="Arial"/>
          <w:lang w:val="hr-HR"/>
        </w:rPr>
        <w:t>U julu 2023. Evropska komisija je predložila reviziju Uredbe o živi, kojom bi se zabranile sve preostale namjerne upotrebe žive u EU, uključujući zubni amalgam i neke lampe, do 2025. ili 202</w:t>
      </w:r>
      <w:r w:rsidR="00444690" w:rsidRPr="002A6F4E">
        <w:rPr>
          <w:rFonts w:ascii="Arial" w:hAnsi="Arial" w:cs="Arial"/>
          <w:lang w:val="hr-HR"/>
        </w:rPr>
        <w:t>9</w:t>
      </w:r>
      <w:r w:rsidRPr="002A6F4E">
        <w:rPr>
          <w:rFonts w:ascii="Arial" w:hAnsi="Arial" w:cs="Arial"/>
          <w:lang w:val="hr-HR"/>
        </w:rPr>
        <w:t>. godine, u zavisnosti od vrste proizvoda. Predlog je takođe usklađen sa zakonodavstvom EU preko odluka koje su usvojene na četvrtoj Konferenciji strana Minamatske konvencije, koja je glavni međunarodni pravni okvir za riješavanje zagađenja živom.</w:t>
      </w:r>
    </w:p>
    <w:p w14:paraId="167D2F69" w14:textId="33AE10F8" w:rsidR="00C232D7" w:rsidRPr="002A6F4E" w:rsidRDefault="00C232D7" w:rsidP="00C232D7">
      <w:pPr>
        <w:autoSpaceDE w:val="0"/>
        <w:autoSpaceDN w:val="0"/>
        <w:adjustRightInd w:val="0"/>
        <w:spacing w:before="120" w:after="120" w:line="360" w:lineRule="auto"/>
        <w:rPr>
          <w:rFonts w:ascii="Arial" w:hAnsi="Arial" w:cs="Arial"/>
          <w:lang w:val="hr-HR"/>
        </w:rPr>
      </w:pPr>
      <w:r w:rsidRPr="002A6F4E">
        <w:rPr>
          <w:rFonts w:ascii="Arial" w:hAnsi="Arial" w:cs="Arial"/>
          <w:lang w:val="hr-HR"/>
        </w:rPr>
        <w:t>Uredba o živi zahtijeva od država članica da izvještavaju o različitim aspektima upotrebe, uvoza, izvoza i otpada žive i obezbjeđuje online platformu za pristup prijavljenim informacijama. Uredba takođe obavezuje EU da izvještava Minamatsku konvenciju o svom napretku u primjeni mjera u vezi sa živom.</w:t>
      </w:r>
    </w:p>
    <w:p w14:paraId="5B90829E" w14:textId="77777777" w:rsidR="00C232D7" w:rsidRPr="002A6F4E" w:rsidRDefault="00C232D7" w:rsidP="00C232D7">
      <w:pPr>
        <w:autoSpaceDE w:val="0"/>
        <w:autoSpaceDN w:val="0"/>
        <w:adjustRightInd w:val="0"/>
        <w:spacing w:before="120" w:after="120" w:line="360" w:lineRule="auto"/>
        <w:rPr>
          <w:rFonts w:ascii="Arial" w:hAnsi="Arial" w:cs="Arial"/>
          <w:lang w:val="hr-HR"/>
        </w:rPr>
      </w:pPr>
      <w:r w:rsidRPr="002A6F4E">
        <w:rPr>
          <w:rFonts w:ascii="Arial" w:hAnsi="Arial" w:cs="Arial"/>
          <w:lang w:val="hr-HR"/>
        </w:rPr>
        <w:t>Mjere koje se mogu preduzeti za postizanje ekološki prihvatljivog upravljanja otpadom žive uključuju:</w:t>
      </w:r>
    </w:p>
    <w:p w14:paraId="51EFDF6F" w14:textId="5B01701A" w:rsidR="00C232D7" w:rsidRPr="002A6F4E" w:rsidRDefault="00C232D7" w:rsidP="00A23ED0">
      <w:pPr>
        <w:numPr>
          <w:ilvl w:val="0"/>
          <w:numId w:val="14"/>
        </w:numPr>
        <w:spacing w:before="120" w:after="120" w:line="360" w:lineRule="auto"/>
        <w:ind w:left="2340"/>
        <w:rPr>
          <w:rFonts w:ascii="Arial" w:hAnsi="Arial" w:cs="Arial"/>
          <w:iCs/>
          <w:lang w:val="sq-AL"/>
        </w:rPr>
      </w:pPr>
      <w:r w:rsidRPr="002A6F4E">
        <w:rPr>
          <w:rFonts w:ascii="Arial" w:hAnsi="Arial" w:cs="Arial"/>
          <w:iCs/>
          <w:lang w:val="sq-AL"/>
        </w:rPr>
        <w:t>Izbjegavanje ili minimiziranje stvaranja otpada koji sadrži živu postepenim ukidanjem upotrebe žive i proizvoda i procesa koji sadrže živu</w:t>
      </w:r>
      <w:r w:rsidR="00AF33D2">
        <w:rPr>
          <w:rFonts w:ascii="Arial" w:hAnsi="Arial" w:cs="Arial"/>
          <w:iCs/>
          <w:lang w:val="sq-AL"/>
        </w:rPr>
        <w:t xml:space="preserve"> </w:t>
      </w:r>
      <w:r w:rsidRPr="002A6F4E">
        <w:rPr>
          <w:rFonts w:ascii="Arial" w:hAnsi="Arial" w:cs="Arial"/>
          <w:iCs/>
          <w:lang w:val="sq-AL"/>
        </w:rPr>
        <w:t>i zamjenom istih bezbjednijim alternativama</w:t>
      </w:r>
      <w:r w:rsidR="00AF33D2">
        <w:rPr>
          <w:rFonts w:ascii="Arial" w:hAnsi="Arial" w:cs="Arial"/>
          <w:iCs/>
          <w:lang w:val="sq-AL"/>
        </w:rPr>
        <w:t>,</w:t>
      </w:r>
    </w:p>
    <w:p w14:paraId="7A5B7EB6" w14:textId="37CDC2ED" w:rsidR="00C232D7" w:rsidRPr="002A6F4E" w:rsidRDefault="00C232D7" w:rsidP="00A23ED0">
      <w:pPr>
        <w:numPr>
          <w:ilvl w:val="0"/>
          <w:numId w:val="14"/>
        </w:numPr>
        <w:spacing w:before="120" w:after="120" w:line="360" w:lineRule="auto"/>
        <w:ind w:left="2340"/>
        <w:rPr>
          <w:rFonts w:ascii="Arial" w:hAnsi="Arial" w:cs="Arial"/>
          <w:iCs/>
          <w:lang w:val="sq-AL"/>
        </w:rPr>
      </w:pPr>
      <w:r w:rsidRPr="002A6F4E">
        <w:rPr>
          <w:rFonts w:ascii="Arial" w:hAnsi="Arial" w:cs="Arial"/>
          <w:iCs/>
          <w:lang w:val="sq-AL"/>
        </w:rPr>
        <w:t>Odvajanje otpada koji sadrži živu otpada od ostalog otpada na izvoru i skladištenje u odgovarajućim kontejnerima i objektima koji sprečavaju bilo kakvo curenje ili ispuštanje žive u životnu sredinu</w:t>
      </w:r>
      <w:r w:rsidR="00AF33D2">
        <w:rPr>
          <w:rFonts w:ascii="Arial" w:hAnsi="Arial" w:cs="Arial"/>
          <w:iCs/>
          <w:lang w:val="sq-AL"/>
        </w:rPr>
        <w:t>,</w:t>
      </w:r>
    </w:p>
    <w:p w14:paraId="231900B5" w14:textId="19E62E0C" w:rsidR="00C232D7" w:rsidRPr="002A6F4E" w:rsidRDefault="00C232D7" w:rsidP="00A23ED0">
      <w:pPr>
        <w:numPr>
          <w:ilvl w:val="0"/>
          <w:numId w:val="14"/>
        </w:numPr>
        <w:spacing w:before="120" w:after="120" w:line="360" w:lineRule="auto"/>
        <w:ind w:left="2340"/>
        <w:rPr>
          <w:rFonts w:ascii="Arial" w:hAnsi="Arial" w:cs="Arial"/>
          <w:iCs/>
          <w:lang w:val="sq-AL"/>
        </w:rPr>
      </w:pPr>
      <w:r w:rsidRPr="002A6F4E">
        <w:rPr>
          <w:rFonts w:ascii="Arial" w:hAnsi="Arial" w:cs="Arial"/>
          <w:iCs/>
          <w:lang w:val="sq-AL"/>
        </w:rPr>
        <w:t>Bezbjedno i sigurno sakupljanje i transport otpada koji sadrži živu uz pomoć obučenog osoblja i odgovarajućih vozila i opreme</w:t>
      </w:r>
      <w:r w:rsidR="00AF33D2">
        <w:rPr>
          <w:rFonts w:ascii="Arial" w:hAnsi="Arial" w:cs="Arial"/>
          <w:iCs/>
          <w:lang w:val="sq-AL"/>
        </w:rPr>
        <w:t>,</w:t>
      </w:r>
    </w:p>
    <w:p w14:paraId="113CEB82" w14:textId="6BBBC6DA" w:rsidR="00C232D7" w:rsidRPr="002A6F4E" w:rsidRDefault="00767F94" w:rsidP="00A23ED0">
      <w:pPr>
        <w:numPr>
          <w:ilvl w:val="0"/>
          <w:numId w:val="14"/>
        </w:numPr>
        <w:spacing w:before="120" w:after="120" w:line="360" w:lineRule="auto"/>
        <w:ind w:left="2340"/>
        <w:rPr>
          <w:rFonts w:ascii="Arial" w:hAnsi="Arial" w:cs="Arial"/>
          <w:iCs/>
          <w:lang w:val="sq-AL"/>
        </w:rPr>
      </w:pPr>
      <w:r>
        <w:rPr>
          <w:rFonts w:ascii="Arial" w:hAnsi="Arial" w:cs="Arial"/>
          <w:iCs/>
          <w:lang w:val="sq-AL"/>
        </w:rPr>
        <w:t>Obrada</w:t>
      </w:r>
      <w:r w:rsidRPr="002A6F4E">
        <w:rPr>
          <w:rFonts w:ascii="Arial" w:hAnsi="Arial" w:cs="Arial"/>
          <w:iCs/>
          <w:lang w:val="sq-AL"/>
        </w:rPr>
        <w:t xml:space="preserve"> </w:t>
      </w:r>
      <w:r w:rsidR="00C232D7" w:rsidRPr="002A6F4E">
        <w:rPr>
          <w:rFonts w:ascii="Arial" w:hAnsi="Arial" w:cs="Arial"/>
          <w:iCs/>
          <w:lang w:val="sq-AL"/>
        </w:rPr>
        <w:t>otpada koji sadrži živu korišćenjem tehnologija koje mogu da povrate, recikliraju ili stabilizuju živu i da smanje njenu toksičnost i mobilnost</w:t>
      </w:r>
      <w:r w:rsidR="00AF33D2">
        <w:rPr>
          <w:rFonts w:ascii="Arial" w:hAnsi="Arial" w:cs="Arial"/>
          <w:iCs/>
          <w:lang w:val="sq-AL"/>
        </w:rPr>
        <w:t>,</w:t>
      </w:r>
    </w:p>
    <w:p w14:paraId="6923A634" w14:textId="77777777" w:rsidR="00C232D7" w:rsidRPr="002A6F4E" w:rsidRDefault="00C232D7" w:rsidP="00A23ED0">
      <w:pPr>
        <w:numPr>
          <w:ilvl w:val="0"/>
          <w:numId w:val="14"/>
        </w:numPr>
        <w:spacing w:before="120" w:after="120" w:line="360" w:lineRule="auto"/>
        <w:ind w:left="2340"/>
        <w:rPr>
          <w:rFonts w:ascii="Arial" w:hAnsi="Arial" w:cs="Arial"/>
          <w:iCs/>
          <w:lang w:val="sq-AL"/>
        </w:rPr>
      </w:pPr>
      <w:r w:rsidRPr="002A6F4E">
        <w:rPr>
          <w:rFonts w:ascii="Arial" w:hAnsi="Arial" w:cs="Arial"/>
          <w:iCs/>
          <w:lang w:val="sq-AL"/>
        </w:rPr>
        <w:t>Odlaganje otpada koji sadrži živu u objektima koji su projektovani na način da spriječe bilo kakvu dugotrajnu kontaminaciju životne sredine, kao što su deponije, podzemna skladišta ili trajna izolacija.</w:t>
      </w:r>
    </w:p>
    <w:p w14:paraId="17ABF9C7" w14:textId="38C172FF" w:rsidR="00C232D7" w:rsidRPr="002A6F4E" w:rsidRDefault="006268A1" w:rsidP="00C232D7">
      <w:pPr>
        <w:autoSpaceDE w:val="0"/>
        <w:autoSpaceDN w:val="0"/>
        <w:adjustRightInd w:val="0"/>
        <w:spacing w:before="120" w:after="120" w:line="360" w:lineRule="auto"/>
        <w:rPr>
          <w:rFonts w:ascii="Arial" w:hAnsi="Arial" w:cs="Arial"/>
          <w:lang w:val="sq-AL"/>
        </w:rPr>
      </w:pPr>
      <w:r>
        <w:rPr>
          <w:rFonts w:ascii="Arial" w:hAnsi="Arial" w:cs="Arial"/>
          <w:lang w:val="sq-AL"/>
        </w:rPr>
        <w:t xml:space="preserve">Globalno partnerstvo za živu, </w:t>
      </w:r>
      <w:r w:rsidR="00C232D7" w:rsidRPr="002A6F4E">
        <w:rPr>
          <w:rFonts w:ascii="Arial" w:hAnsi="Arial" w:cs="Arial"/>
          <w:lang w:val="sq-AL"/>
        </w:rPr>
        <w:t>UNEP i Međunarodni tehnološki centar za životnu sredinu su neke od organizacija koje pružaju tehničku i političku podršku, izgradnju kapaciteta i podizanje nivoa svijesti za upravljanje otpadom koji sadrži živu na globalnom, regionalnom, nacionalnom i lokalnom nivou.</w:t>
      </w:r>
    </w:p>
    <w:p w14:paraId="1C6A126C" w14:textId="3016F964"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lastRenderedPageBreak/>
        <w:t>Otpad koji sadrži živu predstavlja ozbiljan ekološki i zdravstveni problem u Crnoj Gori. Prema inventaru izvora žive koji je sproveden za Minamata inicijalnu procjenu (MIA), glavni izvori žive u Crnoj Gori su termoelektrane i kotlovi na ugalj, korišćenje i odlaganje proizvoda sa dodatkom žive, otpad koji sadrži živu na deponijama i otpadnim vodama, i oslobađanje žive iz zubnog amalgama</w:t>
      </w:r>
      <w:r w:rsidR="002544DF">
        <w:rPr>
          <w:rFonts w:ascii="Arial" w:hAnsi="Arial" w:cs="Arial"/>
          <w:lang w:val="sq-AL"/>
        </w:rPr>
        <w:t>.</w:t>
      </w:r>
      <w:r w:rsidR="002544DF">
        <w:rPr>
          <w:rStyle w:val="FootnoteReference"/>
          <w:rFonts w:cs="Arial"/>
        </w:rPr>
        <w:footnoteReference w:id="27"/>
      </w:r>
      <w:r w:rsidR="002544DF">
        <w:rPr>
          <w:rFonts w:ascii="Arial" w:hAnsi="Arial" w:cs="Arial"/>
          <w:lang w:val="sq-AL"/>
        </w:rPr>
        <w:t xml:space="preserve"> </w:t>
      </w:r>
      <w:r w:rsidRPr="002A6F4E">
        <w:rPr>
          <w:rFonts w:ascii="Arial" w:hAnsi="Arial" w:cs="Arial"/>
          <w:lang w:val="sq-AL"/>
        </w:rPr>
        <w:t xml:space="preserve">Crna Gora je izradila Nacionalni plan implementacije (NIP) kako bi ispunila svoje obaveze prema Minamatskoj konvenciji. NIP obuhvata mjere za postepeno ukidanje upotrebe žive i proizvoda i procesa koji sadrže živu, za bezbjedno odvajanje i skladištenje otpada koji sadrži živu, za </w:t>
      </w:r>
      <w:r w:rsidR="004E6078">
        <w:rPr>
          <w:rFonts w:ascii="Arial" w:hAnsi="Arial" w:cs="Arial"/>
          <w:lang w:val="sq-AL"/>
        </w:rPr>
        <w:t>obradu</w:t>
      </w:r>
      <w:r w:rsidRPr="002A6F4E">
        <w:rPr>
          <w:rFonts w:ascii="Arial" w:hAnsi="Arial" w:cs="Arial"/>
          <w:lang w:val="sq-AL"/>
        </w:rPr>
        <w:t xml:space="preserve"> otpada koji sadrži živu korišćenjem ekološki prihvatljivih tehnologija, kao i za praćenje i izvještavanje o emisijama i ispuštanjima žive.</w:t>
      </w:r>
    </w:p>
    <w:p w14:paraId="2C518450" w14:textId="77777777"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Crna Gora je takođe u procesu usklađivanja svog zakonodavstva sa Uredbom EU o živi, koja pokriva cjelokupni životni ciklus žive i ima za cilj zaštitu zdravlja ljudi i životne sredine od njenog štetnog uticaja.</w:t>
      </w:r>
    </w:p>
    <w:p w14:paraId="4E4DCB0D" w14:textId="0853F58D" w:rsidR="00C232D7" w:rsidRPr="002A6F4E" w:rsidRDefault="00C232D7" w:rsidP="00C232D7">
      <w:pPr>
        <w:autoSpaceDE w:val="0"/>
        <w:autoSpaceDN w:val="0"/>
        <w:adjustRightInd w:val="0"/>
        <w:spacing w:before="120" w:after="120" w:line="360" w:lineRule="auto"/>
        <w:rPr>
          <w:rFonts w:ascii="Arial" w:hAnsi="Arial" w:cs="Arial"/>
          <w:lang w:val="sq-AL"/>
        </w:rPr>
      </w:pPr>
      <w:r w:rsidRPr="002A6F4E">
        <w:rPr>
          <w:rFonts w:ascii="Arial" w:hAnsi="Arial" w:cs="Arial"/>
          <w:lang w:val="sq-AL"/>
        </w:rPr>
        <w:t>Program Ujedinjenih nacija za životnu sredinu (UNEP) podržava Crnu Goru da nadomjesti nedostatke u upravljanju hemikalijama i otpadom, pružanjem tehničke i političke pomoći, izgradnjom kapaciteta i aktivnostima podizanja nivoa svijesti. UNEP takođe olakšava razmjenu informacija, prikupljanje podataka i izvještavanje</w:t>
      </w:r>
      <w:r w:rsidR="00AF33D2">
        <w:rPr>
          <w:rFonts w:ascii="Arial" w:hAnsi="Arial" w:cs="Arial"/>
          <w:lang w:val="sq-AL"/>
        </w:rPr>
        <w:t xml:space="preserve"> </w:t>
      </w:r>
      <w:r w:rsidRPr="002A6F4E">
        <w:rPr>
          <w:rFonts w:ascii="Arial" w:hAnsi="Arial" w:cs="Arial"/>
          <w:lang w:val="sq-AL"/>
        </w:rPr>
        <w:t>i međusektorsku saradnju među relevantnim zainteresovanim stranama.</w:t>
      </w:r>
    </w:p>
    <w:p w14:paraId="019B3B08" w14:textId="4482D907" w:rsidR="00C232D7" w:rsidRPr="00F53484" w:rsidRDefault="00477168" w:rsidP="00F57909">
      <w:pPr>
        <w:pStyle w:val="Heading2"/>
      </w:pPr>
      <w:bookmarkStart w:id="779" w:name="_Toc193354004"/>
      <w:r w:rsidRPr="002A6F4E">
        <w:t>4.</w:t>
      </w:r>
      <w:r w:rsidR="001167D6">
        <w:t>30</w:t>
      </w:r>
      <w:r w:rsidR="00C232D7" w:rsidRPr="002A6F4E">
        <w:t>. Otpad u moru</w:t>
      </w:r>
      <w:bookmarkEnd w:id="779"/>
      <w:r w:rsidR="00C232D7" w:rsidRPr="002A6F4E">
        <w:t xml:space="preserve"> </w:t>
      </w:r>
    </w:p>
    <w:p w14:paraId="3B344A85" w14:textId="7C6A44CB" w:rsidR="00C232D7" w:rsidRPr="002A6F4E" w:rsidRDefault="00C232D7" w:rsidP="00477168">
      <w:pPr>
        <w:autoSpaceDE w:val="0"/>
        <w:autoSpaceDN w:val="0"/>
        <w:adjustRightInd w:val="0"/>
        <w:spacing w:before="120" w:after="120" w:line="360" w:lineRule="auto"/>
        <w:rPr>
          <w:rFonts w:ascii="Arial" w:hAnsi="Arial" w:cs="Arial"/>
          <w:lang w:val="sq-AL"/>
        </w:rPr>
      </w:pPr>
      <w:r w:rsidRPr="002A6F4E">
        <w:rPr>
          <w:rFonts w:ascii="Arial" w:hAnsi="Arial" w:cs="Arial"/>
          <w:lang w:val="sq-AL"/>
        </w:rPr>
        <w:t>Otpad u moru  je definisan kao bilo koji postojani, proizvedeni ili transformisani materijal koji se odlaže u moru ili duž obale. Dakle, otpad</w:t>
      </w:r>
      <w:r w:rsidR="004E6078">
        <w:rPr>
          <w:rFonts w:ascii="Arial" w:hAnsi="Arial" w:cs="Arial"/>
          <w:lang w:val="sq-AL"/>
        </w:rPr>
        <w:t xml:space="preserve"> u moru</w:t>
      </w:r>
      <w:r w:rsidRPr="002A6F4E">
        <w:rPr>
          <w:rFonts w:ascii="Arial" w:hAnsi="Arial" w:cs="Arial"/>
          <w:lang w:val="sq-AL"/>
        </w:rPr>
        <w:t xml:space="preserve"> su predmeti napravljeni i svakodnevno korišćeni, a zatim odloženi duž obale ili na moru, uključujući i one materijale koji, odloženi na kopnu, na kraju dospiju u more rijekama, vjetrom, otpadnom vodom. Loše upravljanje otpadom i nedovoljna infrastruktura praćena nezakonitim odlaganjem otpada na kopnu doprinosi količini otpada u moru jer većina otpada koji završi u morskoj sredini potiče iz kopnenih izvora. Nakon ulaska u morsku sredinu otpad se može na velike udaljenosti prenositi vjetrom i morskim strujama dok ne bude izbačen na obalu ili ne potone. </w:t>
      </w:r>
    </w:p>
    <w:p w14:paraId="601B9506" w14:textId="0E38D565" w:rsidR="00C232D7" w:rsidRPr="002A6F4E" w:rsidRDefault="00C232D7" w:rsidP="00477168">
      <w:pPr>
        <w:autoSpaceDE w:val="0"/>
        <w:autoSpaceDN w:val="0"/>
        <w:adjustRightInd w:val="0"/>
        <w:spacing w:before="120" w:after="120" w:line="360" w:lineRule="auto"/>
        <w:rPr>
          <w:rFonts w:ascii="Arial" w:hAnsi="Arial" w:cs="Arial"/>
          <w:lang w:val="sq-AL"/>
        </w:rPr>
      </w:pPr>
      <w:r w:rsidRPr="002A6F4E">
        <w:rPr>
          <w:rFonts w:ascii="Arial" w:hAnsi="Arial" w:cs="Arial"/>
          <w:lang w:val="sq-AL"/>
        </w:rPr>
        <w:t>Otpad na plažama se sakuplja na transektu</w:t>
      </w:r>
      <w:r w:rsidR="00EA76CD">
        <w:rPr>
          <w:rStyle w:val="FootnoteReference"/>
          <w:rFonts w:cs="Arial"/>
        </w:rPr>
        <w:footnoteReference w:id="28"/>
      </w:r>
      <w:r w:rsidRPr="002A6F4E">
        <w:rPr>
          <w:rFonts w:ascii="Arial" w:hAnsi="Arial" w:cs="Arial"/>
          <w:lang w:val="sq-AL"/>
        </w:rPr>
        <w:t xml:space="preserve"> dužine 100m, dok je širina transekta od linije mora do prve vegetacije. Metodologija uzorkovanja otpada bazira se na sakupljanju svakog komada otpada sa donjom granicom veličine od 2.5 cm. Kategorizacija otpada je vršena na osnovu MEDPOL protokola (MEDPOL Beach Survey Form). Sakupljeni otpad se potom kategoriše u 11 glavnih kategorija: plastika, guma, garderoba, papir/karton, obrađeno drvo, metal, staklo, keramika, sanitarni otpad, medicinski otpad i parafin/vosak. </w:t>
      </w:r>
    </w:p>
    <w:p w14:paraId="1D310224" w14:textId="77777777" w:rsidR="00C232D7" w:rsidRPr="00766B61" w:rsidRDefault="00C232D7" w:rsidP="00F53484">
      <w:pPr>
        <w:autoSpaceDE w:val="0"/>
        <w:autoSpaceDN w:val="0"/>
        <w:adjustRightInd w:val="0"/>
        <w:spacing w:before="120" w:after="120" w:line="360" w:lineRule="auto"/>
        <w:rPr>
          <w:rFonts w:ascii="Arial" w:hAnsi="Arial" w:cs="Arial"/>
          <w:lang w:val="sq-AL"/>
        </w:rPr>
      </w:pPr>
      <w:r w:rsidRPr="00766B61">
        <w:rPr>
          <w:rFonts w:ascii="Arial" w:hAnsi="Arial" w:cs="Arial"/>
          <w:lang w:val="sq-AL"/>
        </w:rPr>
        <w:t xml:space="preserve">Programom monitoringa morskog otpada za 2022. godinu predviđeno je praćenje stanja na plažama kao i plutajućeg otpada za sezone jesen i zima. </w:t>
      </w:r>
    </w:p>
    <w:p w14:paraId="10F7C702" w14:textId="13DE2D4A" w:rsidR="00365092" w:rsidRPr="002A6F4E" w:rsidRDefault="00C232D7" w:rsidP="00F53484">
      <w:pPr>
        <w:autoSpaceDE w:val="0"/>
        <w:autoSpaceDN w:val="0"/>
        <w:adjustRightInd w:val="0"/>
        <w:spacing w:before="120" w:after="120" w:line="360" w:lineRule="auto"/>
        <w:rPr>
          <w:rFonts w:ascii="Arial" w:hAnsi="Arial" w:cs="Arial"/>
          <w:lang w:val="sq-AL"/>
        </w:rPr>
      </w:pPr>
      <w:r w:rsidRPr="00766B61">
        <w:rPr>
          <w:rFonts w:ascii="Arial" w:hAnsi="Arial" w:cs="Arial"/>
          <w:lang w:val="sq-AL"/>
        </w:rPr>
        <w:t xml:space="preserve">Monitoring otpada vršen je na </w:t>
      </w:r>
      <w:r w:rsidR="004E6078">
        <w:rPr>
          <w:rFonts w:ascii="Arial" w:hAnsi="Arial" w:cs="Arial"/>
          <w:lang w:val="sq-AL"/>
        </w:rPr>
        <w:t>tri</w:t>
      </w:r>
      <w:r w:rsidR="004E6078" w:rsidRPr="00766B61">
        <w:rPr>
          <w:rFonts w:ascii="Arial" w:hAnsi="Arial" w:cs="Arial"/>
          <w:lang w:val="sq-AL"/>
        </w:rPr>
        <w:t xml:space="preserve"> </w:t>
      </w:r>
      <w:r w:rsidRPr="00766B61">
        <w:rPr>
          <w:rFonts w:ascii="Arial" w:hAnsi="Arial" w:cs="Arial"/>
          <w:lang w:val="sq-AL"/>
        </w:rPr>
        <w:t xml:space="preserve">plaže, jedna je u </w:t>
      </w:r>
      <w:r w:rsidR="00965CD3">
        <w:rPr>
          <w:rFonts w:ascii="Arial" w:hAnsi="Arial" w:cs="Arial"/>
          <w:lang w:val="sq-AL"/>
        </w:rPr>
        <w:t>z</w:t>
      </w:r>
      <w:r w:rsidRPr="00766B61">
        <w:rPr>
          <w:rFonts w:ascii="Arial" w:hAnsi="Arial" w:cs="Arial"/>
          <w:lang w:val="sq-AL"/>
        </w:rPr>
        <w:t xml:space="preserve">alivu, a dvije su na otvorenom moru. Blatna plaža - pripada opštini Herceg Novi i nalazi se u neposrednoj blizini rijeke Sutorine, plaža Jaz pripada opštini Budva </w:t>
      </w:r>
      <w:r w:rsidRPr="00766B61">
        <w:rPr>
          <w:rFonts w:ascii="Arial" w:hAnsi="Arial" w:cs="Arial"/>
          <w:lang w:val="sq-AL"/>
        </w:rPr>
        <w:lastRenderedPageBreak/>
        <w:t>i nalazi se u neposrednoj blizini Jaške rijeke i dio Velike plaže koji se nalazi se u neposrednoj blizini rijeke Bojane.</w:t>
      </w:r>
      <w:r w:rsidRPr="002A6F4E">
        <w:rPr>
          <w:rFonts w:ascii="Arial" w:hAnsi="Arial" w:cs="Arial"/>
          <w:lang w:val="sq-AL"/>
        </w:rPr>
        <w:t xml:space="preserve"> </w:t>
      </w:r>
    </w:p>
    <w:p w14:paraId="38A3BE79" w14:textId="4B5AA000" w:rsidR="00C232D7" w:rsidRPr="00F53484" w:rsidRDefault="00C232D7" w:rsidP="00F53484">
      <w:pPr>
        <w:pStyle w:val="Caption"/>
        <w:rPr>
          <w:rFonts w:ascii="Arial" w:hAnsi="Arial" w:cs="Arial"/>
          <w:b w:val="0"/>
          <w:color w:val="FF0000"/>
          <w:sz w:val="20"/>
          <w:szCs w:val="20"/>
          <w:lang w:val="sq-AL"/>
        </w:rPr>
      </w:pPr>
      <w:r w:rsidRPr="002A6F4E">
        <w:rPr>
          <w:rFonts w:ascii="Arial" w:hAnsi="Arial" w:cs="Arial"/>
          <w:color w:val="FF0000"/>
          <w:lang w:val="sq-AL"/>
        </w:rPr>
        <w:tab/>
      </w:r>
      <w:bookmarkStart w:id="780" w:name="_Toc190160718"/>
      <w:r w:rsidR="00F53484" w:rsidRPr="001E3D9B">
        <w:rPr>
          <w:rFonts w:ascii="Arial" w:hAnsi="Arial" w:cs="Arial"/>
          <w:b w:val="0"/>
          <w:szCs w:val="20"/>
          <w:lang w:val="sq-AL"/>
        </w:rPr>
        <w:t xml:space="preserve">Tabela </w:t>
      </w:r>
      <w:r w:rsidR="00F53484" w:rsidRPr="001E3D9B">
        <w:rPr>
          <w:rFonts w:ascii="Arial" w:hAnsi="Arial" w:cs="Arial"/>
          <w:b w:val="0"/>
          <w:szCs w:val="20"/>
          <w:lang w:val="sq-AL"/>
        </w:rPr>
        <w:fldChar w:fldCharType="begin"/>
      </w:r>
      <w:r w:rsidR="00F53484" w:rsidRPr="001E3D9B">
        <w:rPr>
          <w:rFonts w:ascii="Arial" w:hAnsi="Arial" w:cs="Arial"/>
          <w:b w:val="0"/>
          <w:szCs w:val="20"/>
          <w:lang w:val="sq-AL"/>
        </w:rPr>
        <w:instrText xml:space="preserve"> SEQ Tabela \* ARABIC </w:instrText>
      </w:r>
      <w:r w:rsidR="00F53484" w:rsidRPr="001E3D9B">
        <w:rPr>
          <w:rFonts w:ascii="Arial" w:hAnsi="Arial" w:cs="Arial"/>
          <w:b w:val="0"/>
          <w:szCs w:val="20"/>
          <w:lang w:val="sq-AL"/>
        </w:rPr>
        <w:fldChar w:fldCharType="separate"/>
      </w:r>
      <w:r w:rsidR="007274DA">
        <w:rPr>
          <w:rFonts w:ascii="Arial" w:hAnsi="Arial" w:cs="Arial"/>
          <w:b w:val="0"/>
          <w:noProof/>
          <w:szCs w:val="20"/>
          <w:lang w:val="sq-AL"/>
        </w:rPr>
        <w:t>28</w:t>
      </w:r>
      <w:r w:rsidR="00F53484" w:rsidRPr="001E3D9B">
        <w:rPr>
          <w:rFonts w:ascii="Arial" w:hAnsi="Arial" w:cs="Arial"/>
          <w:b w:val="0"/>
          <w:szCs w:val="20"/>
          <w:lang w:val="sq-AL"/>
        </w:rPr>
        <w:fldChar w:fldCharType="end"/>
      </w:r>
      <w:r w:rsidR="00F53484" w:rsidRPr="001E3D9B">
        <w:rPr>
          <w:rFonts w:ascii="Arial" w:hAnsi="Arial" w:cs="Arial"/>
          <w:b w:val="0"/>
          <w:szCs w:val="20"/>
          <w:lang w:val="sq-AL"/>
        </w:rPr>
        <w:t xml:space="preserve"> </w:t>
      </w:r>
      <w:r w:rsidRPr="001E3D9B">
        <w:rPr>
          <w:rFonts w:ascii="Arial" w:hAnsi="Arial" w:cs="Arial"/>
          <w:b w:val="0"/>
          <w:szCs w:val="20"/>
          <w:lang w:val="sq-AL"/>
        </w:rPr>
        <w:t>Područje istraživanja za morski otpad - lokacije plaža</w:t>
      </w:r>
      <w:bookmarkEnd w:id="780"/>
      <w:r w:rsidRPr="001E3D9B">
        <w:rPr>
          <w:rFonts w:ascii="Arial" w:hAnsi="Arial" w:cs="Arial"/>
          <w:b w:val="0"/>
          <w:i/>
          <w:color w:val="FF0000"/>
          <w:szCs w:val="20"/>
          <w:lang w:val="sq-AL"/>
        </w:rPr>
        <w:t xml:space="preserve"> </w:t>
      </w:r>
    </w:p>
    <w:tbl>
      <w:tblPr>
        <w:tblStyle w:val="TableGrid0"/>
        <w:tblW w:w="9663" w:type="dxa"/>
        <w:jc w:val="center"/>
        <w:tblInd w:w="0" w:type="dxa"/>
        <w:tblCellMar>
          <w:top w:w="7" w:type="dxa"/>
          <w:left w:w="106" w:type="dxa"/>
          <w:right w:w="115" w:type="dxa"/>
        </w:tblCellMar>
        <w:tblLook w:val="04A0" w:firstRow="1" w:lastRow="0" w:firstColumn="1" w:lastColumn="0" w:noHBand="0" w:noVBand="1"/>
      </w:tblPr>
      <w:tblGrid>
        <w:gridCol w:w="1628"/>
        <w:gridCol w:w="1898"/>
        <w:gridCol w:w="2672"/>
        <w:gridCol w:w="1877"/>
        <w:gridCol w:w="1588"/>
      </w:tblGrid>
      <w:tr w:rsidR="00C232D7" w:rsidRPr="002A6F4E" w14:paraId="3CCAE643" w14:textId="77777777" w:rsidTr="001E3D9B">
        <w:trPr>
          <w:trHeight w:val="788"/>
          <w:jc w:val="center"/>
        </w:trPr>
        <w:tc>
          <w:tcPr>
            <w:tcW w:w="1628" w:type="dxa"/>
            <w:tcBorders>
              <w:top w:val="nil"/>
              <w:left w:val="single" w:sz="8" w:space="0" w:color="FFFFFF"/>
              <w:bottom w:val="single" w:sz="24" w:space="0" w:color="FFFFFF"/>
              <w:right w:val="nil"/>
            </w:tcBorders>
            <w:shd w:val="clear" w:color="auto" w:fill="5DCEAF"/>
          </w:tcPr>
          <w:p w14:paraId="7CCF0264"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b/>
              </w:rPr>
              <w:t xml:space="preserve">Plaža </w:t>
            </w:r>
          </w:p>
        </w:tc>
        <w:tc>
          <w:tcPr>
            <w:tcW w:w="1898" w:type="dxa"/>
            <w:tcBorders>
              <w:top w:val="nil"/>
              <w:left w:val="nil"/>
              <w:bottom w:val="single" w:sz="24" w:space="0" w:color="FFFFFF"/>
              <w:right w:val="single" w:sz="8" w:space="0" w:color="FFFFFF"/>
            </w:tcBorders>
            <w:shd w:val="clear" w:color="auto" w:fill="5DCEAF"/>
          </w:tcPr>
          <w:p w14:paraId="2C9BBFC0"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b/>
              </w:rPr>
              <w:t xml:space="preserve">Kod </w:t>
            </w:r>
          </w:p>
        </w:tc>
        <w:tc>
          <w:tcPr>
            <w:tcW w:w="2672" w:type="dxa"/>
            <w:tcBorders>
              <w:top w:val="nil"/>
              <w:left w:val="single" w:sz="8" w:space="0" w:color="FFFFFF"/>
              <w:bottom w:val="single" w:sz="24" w:space="0" w:color="FFFFFF"/>
              <w:right w:val="single" w:sz="8" w:space="0" w:color="FFFFFF"/>
            </w:tcBorders>
            <w:shd w:val="clear" w:color="auto" w:fill="5DCEAF"/>
          </w:tcPr>
          <w:p w14:paraId="6E17E152"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b/>
              </w:rPr>
              <w:t xml:space="preserve">Početna koordinata </w:t>
            </w:r>
          </w:p>
        </w:tc>
        <w:tc>
          <w:tcPr>
            <w:tcW w:w="1877" w:type="dxa"/>
            <w:tcBorders>
              <w:top w:val="nil"/>
              <w:left w:val="single" w:sz="8" w:space="0" w:color="FFFFFF"/>
              <w:bottom w:val="single" w:sz="24" w:space="0" w:color="FFFFFF"/>
              <w:right w:val="single" w:sz="8" w:space="0" w:color="FFFFFF"/>
            </w:tcBorders>
            <w:shd w:val="clear" w:color="auto" w:fill="5DCEAF"/>
          </w:tcPr>
          <w:p w14:paraId="252BE5F3"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b/>
              </w:rPr>
              <w:t xml:space="preserve">Završna koordinata </w:t>
            </w:r>
          </w:p>
        </w:tc>
        <w:tc>
          <w:tcPr>
            <w:tcW w:w="1588" w:type="dxa"/>
            <w:tcBorders>
              <w:top w:val="nil"/>
              <w:left w:val="single" w:sz="8" w:space="0" w:color="FFFFFF"/>
              <w:bottom w:val="single" w:sz="24" w:space="0" w:color="FFFFFF"/>
              <w:right w:val="single" w:sz="8" w:space="0" w:color="FFFFFF"/>
            </w:tcBorders>
            <w:shd w:val="clear" w:color="auto" w:fill="5DCEAF"/>
          </w:tcPr>
          <w:p w14:paraId="20216921" w14:textId="4D7C2801"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b/>
              </w:rPr>
              <w:t xml:space="preserve">Procijenjeno područje </w:t>
            </w:r>
          </w:p>
        </w:tc>
      </w:tr>
      <w:tr w:rsidR="00C232D7" w:rsidRPr="002A6F4E" w14:paraId="66095FA0" w14:textId="77777777" w:rsidTr="001E3D9B">
        <w:trPr>
          <w:trHeight w:val="546"/>
          <w:jc w:val="center"/>
        </w:trPr>
        <w:tc>
          <w:tcPr>
            <w:tcW w:w="1628" w:type="dxa"/>
            <w:tcBorders>
              <w:top w:val="single" w:sz="24" w:space="0" w:color="FFFFFF"/>
              <w:left w:val="single" w:sz="8" w:space="0" w:color="FFFFFF"/>
              <w:bottom w:val="single" w:sz="6" w:space="0" w:color="FFFFFF"/>
              <w:right w:val="single" w:sz="24" w:space="0" w:color="FFFFFF"/>
            </w:tcBorders>
            <w:shd w:val="clear" w:color="auto" w:fill="5DCEAF"/>
          </w:tcPr>
          <w:p w14:paraId="4EF078EC"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b/>
              </w:rPr>
              <w:t xml:space="preserve">Plaža Jaz </w:t>
            </w:r>
          </w:p>
        </w:tc>
        <w:tc>
          <w:tcPr>
            <w:tcW w:w="1898" w:type="dxa"/>
            <w:tcBorders>
              <w:top w:val="single" w:sz="24" w:space="0" w:color="FFFFFF"/>
              <w:left w:val="single" w:sz="24" w:space="0" w:color="FFFFFF"/>
              <w:bottom w:val="single" w:sz="8" w:space="0" w:color="FFFFFF"/>
              <w:right w:val="single" w:sz="8" w:space="0" w:color="FFFFFF"/>
            </w:tcBorders>
            <w:shd w:val="clear" w:color="auto" w:fill="AEE6D7"/>
          </w:tcPr>
          <w:p w14:paraId="7A5BD4BD"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JBD </w:t>
            </w:r>
          </w:p>
        </w:tc>
        <w:tc>
          <w:tcPr>
            <w:tcW w:w="2672" w:type="dxa"/>
            <w:tcBorders>
              <w:top w:val="single" w:sz="24" w:space="0" w:color="FFFFFF"/>
              <w:left w:val="single" w:sz="8" w:space="0" w:color="FFFFFF"/>
              <w:bottom w:val="single" w:sz="8" w:space="0" w:color="FFFFFF"/>
              <w:right w:val="single" w:sz="8" w:space="0" w:color="FFFFFF"/>
            </w:tcBorders>
            <w:shd w:val="clear" w:color="auto" w:fill="AEE6D7"/>
          </w:tcPr>
          <w:p w14:paraId="2FFD6327"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42°16′46.35′′N  </w:t>
            </w:r>
          </w:p>
          <w:p w14:paraId="26D198D3"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18°47′58.89′′W </w:t>
            </w:r>
          </w:p>
        </w:tc>
        <w:tc>
          <w:tcPr>
            <w:tcW w:w="1877" w:type="dxa"/>
            <w:tcBorders>
              <w:top w:val="single" w:sz="24" w:space="0" w:color="FFFFFF"/>
              <w:left w:val="single" w:sz="8" w:space="0" w:color="FFFFFF"/>
              <w:bottom w:val="single" w:sz="8" w:space="0" w:color="FFFFFF"/>
              <w:right w:val="single" w:sz="8" w:space="0" w:color="FFFFFF"/>
            </w:tcBorders>
            <w:shd w:val="clear" w:color="auto" w:fill="AEE6D7"/>
          </w:tcPr>
          <w:p w14:paraId="51E09F55"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42°10′49.48′′N </w:t>
            </w:r>
          </w:p>
          <w:p w14:paraId="314D6110"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18°48′00.37′′W </w:t>
            </w:r>
          </w:p>
        </w:tc>
        <w:tc>
          <w:tcPr>
            <w:tcW w:w="1588" w:type="dxa"/>
            <w:tcBorders>
              <w:top w:val="single" w:sz="24" w:space="0" w:color="FFFFFF"/>
              <w:left w:val="single" w:sz="8" w:space="0" w:color="FFFFFF"/>
              <w:bottom w:val="single" w:sz="8" w:space="0" w:color="FFFFFF"/>
              <w:right w:val="single" w:sz="8" w:space="0" w:color="FFFFFF"/>
            </w:tcBorders>
            <w:shd w:val="clear" w:color="auto" w:fill="AEE6D7"/>
          </w:tcPr>
          <w:p w14:paraId="00916CD9"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4000 m</w:t>
            </w:r>
            <w:r w:rsidRPr="002A6F4E">
              <w:rPr>
                <w:rFonts w:ascii="Arial" w:eastAsiaTheme="minorHAnsi" w:hAnsi="Arial" w:cs="Arial"/>
                <w:vertAlign w:val="superscript"/>
              </w:rPr>
              <w:t>2</w:t>
            </w:r>
            <w:r w:rsidRPr="002A6F4E">
              <w:rPr>
                <w:rFonts w:ascii="Arial" w:eastAsiaTheme="minorHAnsi" w:hAnsi="Arial" w:cs="Arial"/>
              </w:rPr>
              <w:t xml:space="preserve"> </w:t>
            </w:r>
          </w:p>
        </w:tc>
      </w:tr>
      <w:tr w:rsidR="00C232D7" w:rsidRPr="002A6F4E" w14:paraId="5FD5A99D" w14:textId="77777777" w:rsidTr="001E3D9B">
        <w:trPr>
          <w:trHeight w:val="526"/>
          <w:jc w:val="center"/>
        </w:trPr>
        <w:tc>
          <w:tcPr>
            <w:tcW w:w="1628" w:type="dxa"/>
            <w:tcBorders>
              <w:top w:val="single" w:sz="6" w:space="0" w:color="FFFFFF"/>
              <w:left w:val="single" w:sz="8" w:space="0" w:color="FFFFFF"/>
              <w:bottom w:val="single" w:sz="8" w:space="0" w:color="FFFFFF"/>
              <w:right w:val="single" w:sz="24" w:space="0" w:color="FFFFFF"/>
            </w:tcBorders>
            <w:shd w:val="clear" w:color="auto" w:fill="5DCEAF"/>
          </w:tcPr>
          <w:p w14:paraId="10A67012"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b/>
              </w:rPr>
              <w:t xml:space="preserve">Blatna plaža </w:t>
            </w:r>
          </w:p>
        </w:tc>
        <w:tc>
          <w:tcPr>
            <w:tcW w:w="1898" w:type="dxa"/>
            <w:tcBorders>
              <w:top w:val="single" w:sz="8" w:space="0" w:color="FFFFFF"/>
              <w:left w:val="single" w:sz="24" w:space="0" w:color="FFFFFF"/>
              <w:bottom w:val="single" w:sz="8" w:space="0" w:color="FFFFFF"/>
              <w:right w:val="single" w:sz="6" w:space="0" w:color="FFFFFF"/>
            </w:tcBorders>
            <w:shd w:val="clear" w:color="auto" w:fill="D6F3EB"/>
          </w:tcPr>
          <w:p w14:paraId="5C26138A"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BHN </w:t>
            </w:r>
          </w:p>
        </w:tc>
        <w:tc>
          <w:tcPr>
            <w:tcW w:w="2672" w:type="dxa"/>
            <w:tcBorders>
              <w:top w:val="single" w:sz="8" w:space="0" w:color="FFFFFF"/>
              <w:left w:val="single" w:sz="6" w:space="0" w:color="FFFFFF"/>
              <w:bottom w:val="single" w:sz="8" w:space="0" w:color="FFFFFF"/>
              <w:right w:val="single" w:sz="6" w:space="0" w:color="FFFFFF"/>
            </w:tcBorders>
            <w:shd w:val="clear" w:color="auto" w:fill="D6F3EB"/>
          </w:tcPr>
          <w:p w14:paraId="3BC88D65"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42°27′10.68′′N </w:t>
            </w:r>
          </w:p>
          <w:p w14:paraId="17E523A0"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18°30′22.28′′W </w:t>
            </w:r>
          </w:p>
        </w:tc>
        <w:tc>
          <w:tcPr>
            <w:tcW w:w="1877" w:type="dxa"/>
            <w:tcBorders>
              <w:top w:val="single" w:sz="8" w:space="0" w:color="FFFFFF"/>
              <w:left w:val="single" w:sz="6" w:space="0" w:color="FFFFFF"/>
              <w:bottom w:val="single" w:sz="8" w:space="0" w:color="FFFFFF"/>
              <w:right w:val="single" w:sz="6" w:space="0" w:color="FFFFFF"/>
            </w:tcBorders>
            <w:shd w:val="clear" w:color="auto" w:fill="D6F3EB"/>
          </w:tcPr>
          <w:p w14:paraId="4C9472FD"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42°27′08.08′′N </w:t>
            </w:r>
          </w:p>
          <w:p w14:paraId="760C20C9"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18°30′19.72′′W </w:t>
            </w:r>
          </w:p>
        </w:tc>
        <w:tc>
          <w:tcPr>
            <w:tcW w:w="1588" w:type="dxa"/>
            <w:tcBorders>
              <w:top w:val="single" w:sz="8" w:space="0" w:color="FFFFFF"/>
              <w:left w:val="single" w:sz="6" w:space="0" w:color="FFFFFF"/>
              <w:bottom w:val="single" w:sz="8" w:space="0" w:color="FFFFFF"/>
              <w:right w:val="single" w:sz="8" w:space="0" w:color="FFFFFF"/>
            </w:tcBorders>
            <w:shd w:val="clear" w:color="auto" w:fill="D6F3EB"/>
          </w:tcPr>
          <w:p w14:paraId="4A52A6CB"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1500 m</w:t>
            </w:r>
            <w:r w:rsidRPr="002A6F4E">
              <w:rPr>
                <w:rFonts w:ascii="Arial" w:eastAsiaTheme="minorHAnsi" w:hAnsi="Arial" w:cs="Arial"/>
                <w:vertAlign w:val="superscript"/>
              </w:rPr>
              <w:t>2</w:t>
            </w:r>
            <w:r w:rsidRPr="002A6F4E">
              <w:rPr>
                <w:rFonts w:ascii="Arial" w:eastAsiaTheme="minorHAnsi" w:hAnsi="Arial" w:cs="Arial"/>
              </w:rPr>
              <w:t xml:space="preserve"> </w:t>
            </w:r>
          </w:p>
        </w:tc>
      </w:tr>
      <w:tr w:rsidR="00C232D7" w:rsidRPr="002A6F4E" w14:paraId="647D1843" w14:textId="77777777" w:rsidTr="001E3D9B">
        <w:trPr>
          <w:trHeight w:val="523"/>
          <w:jc w:val="center"/>
        </w:trPr>
        <w:tc>
          <w:tcPr>
            <w:tcW w:w="1628" w:type="dxa"/>
            <w:tcBorders>
              <w:top w:val="single" w:sz="8" w:space="0" w:color="FFFFFF"/>
              <w:left w:val="single" w:sz="8" w:space="0" w:color="FFFFFF"/>
              <w:bottom w:val="single" w:sz="8" w:space="0" w:color="FFFFFF"/>
              <w:right w:val="single" w:sz="24" w:space="0" w:color="FFFFFF"/>
            </w:tcBorders>
            <w:shd w:val="clear" w:color="auto" w:fill="5DCEAF"/>
          </w:tcPr>
          <w:p w14:paraId="22D8CD25"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b/>
              </w:rPr>
              <w:t xml:space="preserve">Velika plaža </w:t>
            </w:r>
          </w:p>
        </w:tc>
        <w:tc>
          <w:tcPr>
            <w:tcW w:w="1898" w:type="dxa"/>
            <w:tcBorders>
              <w:top w:val="single" w:sz="8" w:space="0" w:color="FFFFFF"/>
              <w:left w:val="single" w:sz="24" w:space="0" w:color="FFFFFF"/>
              <w:bottom w:val="single" w:sz="8" w:space="0" w:color="FFFFFF"/>
              <w:right w:val="single" w:sz="8" w:space="0" w:color="FFFFFF"/>
            </w:tcBorders>
            <w:shd w:val="clear" w:color="auto" w:fill="AEE6D7"/>
          </w:tcPr>
          <w:p w14:paraId="7242C780"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VUL </w:t>
            </w:r>
          </w:p>
        </w:tc>
        <w:tc>
          <w:tcPr>
            <w:tcW w:w="2672" w:type="dxa"/>
            <w:tcBorders>
              <w:top w:val="single" w:sz="8" w:space="0" w:color="FFFFFF"/>
              <w:left w:val="single" w:sz="8" w:space="0" w:color="FFFFFF"/>
              <w:bottom w:val="single" w:sz="8" w:space="0" w:color="FFFFFF"/>
              <w:right w:val="single" w:sz="8" w:space="0" w:color="FFFFFF"/>
            </w:tcBorders>
            <w:shd w:val="clear" w:color="auto" w:fill="AEE6D7"/>
          </w:tcPr>
          <w:p w14:paraId="06EC6926"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41° 52′ 12.58′′N </w:t>
            </w:r>
          </w:p>
          <w:p w14:paraId="368A7CCB"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19° 19′ 58.97′′W </w:t>
            </w:r>
          </w:p>
        </w:tc>
        <w:tc>
          <w:tcPr>
            <w:tcW w:w="1877" w:type="dxa"/>
            <w:tcBorders>
              <w:top w:val="single" w:sz="8" w:space="0" w:color="FFFFFF"/>
              <w:left w:val="single" w:sz="8" w:space="0" w:color="FFFFFF"/>
              <w:bottom w:val="single" w:sz="8" w:space="0" w:color="FFFFFF"/>
              <w:right w:val="single" w:sz="8" w:space="0" w:color="FFFFFF"/>
            </w:tcBorders>
            <w:shd w:val="clear" w:color="auto" w:fill="AEE6D7"/>
          </w:tcPr>
          <w:p w14:paraId="79E2551B"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41° 52′ 09.06′′N </w:t>
            </w:r>
          </w:p>
          <w:p w14:paraId="7AE7D315"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19° 20′ 01.28′′W </w:t>
            </w:r>
          </w:p>
        </w:tc>
        <w:tc>
          <w:tcPr>
            <w:tcW w:w="1588" w:type="dxa"/>
            <w:tcBorders>
              <w:top w:val="single" w:sz="8" w:space="0" w:color="FFFFFF"/>
              <w:left w:val="single" w:sz="8" w:space="0" w:color="FFFFFF"/>
              <w:bottom w:val="single" w:sz="8" w:space="0" w:color="FFFFFF"/>
              <w:right w:val="single" w:sz="8" w:space="0" w:color="FFFFFF"/>
            </w:tcBorders>
            <w:shd w:val="clear" w:color="auto" w:fill="AEE6D7"/>
          </w:tcPr>
          <w:p w14:paraId="2A99CA96"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5000 </w:t>
            </w:r>
            <w:r w:rsidRPr="002A6F4E">
              <w:rPr>
                <w:rFonts w:ascii="Arial" w:eastAsiaTheme="minorHAnsi" w:hAnsi="Arial" w:cs="Arial"/>
              </w:rPr>
              <w:tab/>
              <w:t>m</w:t>
            </w:r>
          </w:p>
          <w:p w14:paraId="68FD9D01" w14:textId="77777777" w:rsidR="00C232D7" w:rsidRPr="002A6F4E" w:rsidRDefault="00C232D7" w:rsidP="00C232D7">
            <w:pPr>
              <w:spacing w:after="160" w:line="259" w:lineRule="auto"/>
              <w:rPr>
                <w:rFonts w:ascii="Arial" w:eastAsiaTheme="minorHAnsi" w:hAnsi="Arial" w:cs="Arial"/>
              </w:rPr>
            </w:pPr>
            <w:r w:rsidRPr="002A6F4E">
              <w:rPr>
                <w:rFonts w:ascii="Arial" w:eastAsiaTheme="minorHAnsi" w:hAnsi="Arial" w:cs="Arial"/>
              </w:rPr>
              <w:t xml:space="preserve">2 </w:t>
            </w:r>
          </w:p>
        </w:tc>
      </w:tr>
    </w:tbl>
    <w:p w14:paraId="2E18A792" w14:textId="77777777" w:rsidR="00C232D7" w:rsidRPr="002A6F4E" w:rsidRDefault="00C232D7" w:rsidP="00C232D7">
      <w:pPr>
        <w:rPr>
          <w:rFonts w:ascii="Arial" w:hAnsi="Arial" w:cs="Arial"/>
        </w:rPr>
      </w:pPr>
      <w:r w:rsidRPr="002A6F4E">
        <w:rPr>
          <w:rFonts w:ascii="Arial" w:hAnsi="Arial" w:cs="Arial"/>
        </w:rPr>
        <w:t xml:space="preserve"> </w:t>
      </w:r>
    </w:p>
    <w:p w14:paraId="02E14EBB" w14:textId="2F178A14" w:rsidR="00C232D7" w:rsidRPr="00F53484" w:rsidRDefault="00C232D7" w:rsidP="00F53484">
      <w:pPr>
        <w:autoSpaceDE w:val="0"/>
        <w:autoSpaceDN w:val="0"/>
        <w:adjustRightInd w:val="0"/>
        <w:spacing w:before="120" w:after="120" w:line="360" w:lineRule="auto"/>
        <w:rPr>
          <w:rFonts w:ascii="Arial" w:hAnsi="Arial" w:cs="Arial"/>
          <w:lang w:val="sq-AL"/>
        </w:rPr>
      </w:pPr>
      <w:r w:rsidRPr="00F53484">
        <w:rPr>
          <w:rFonts w:ascii="Arial" w:hAnsi="Arial" w:cs="Arial"/>
          <w:lang w:val="sq-AL"/>
        </w:rPr>
        <w:t xml:space="preserve">Plutajući otpad praćen je na </w:t>
      </w:r>
      <w:r w:rsidR="004E6078">
        <w:rPr>
          <w:rFonts w:ascii="Arial" w:hAnsi="Arial" w:cs="Arial"/>
          <w:lang w:val="sq-AL"/>
        </w:rPr>
        <w:t>tri</w:t>
      </w:r>
      <w:r w:rsidR="004E6078" w:rsidRPr="00F53484">
        <w:rPr>
          <w:rFonts w:ascii="Arial" w:hAnsi="Arial" w:cs="Arial"/>
          <w:lang w:val="sq-AL"/>
        </w:rPr>
        <w:t xml:space="preserve"> </w:t>
      </w:r>
      <w:r w:rsidRPr="00F53484">
        <w:rPr>
          <w:rFonts w:ascii="Arial" w:hAnsi="Arial" w:cs="Arial"/>
          <w:lang w:val="sq-AL"/>
        </w:rPr>
        <w:t xml:space="preserve">transekta. </w:t>
      </w:r>
    </w:p>
    <w:p w14:paraId="18960260" w14:textId="77777777" w:rsidR="00C232D7" w:rsidRPr="002A6F4E" w:rsidRDefault="00C232D7" w:rsidP="00C232D7">
      <w:pPr>
        <w:rPr>
          <w:rFonts w:ascii="Arial" w:hAnsi="Arial" w:cs="Arial"/>
          <w:lang w:val="de-DE"/>
        </w:rPr>
      </w:pPr>
      <w:r w:rsidRPr="002A6F4E">
        <w:rPr>
          <w:rFonts w:ascii="Arial" w:hAnsi="Arial" w:cs="Arial"/>
          <w:lang w:val="de-DE"/>
        </w:rPr>
        <w:tab/>
      </w:r>
      <w:r w:rsidRPr="002A6F4E">
        <w:rPr>
          <w:rFonts w:ascii="Arial" w:hAnsi="Arial" w:cs="Arial"/>
          <w:noProof/>
          <w:lang w:val="en-US"/>
        </w:rPr>
        <mc:AlternateContent>
          <mc:Choice Requires="wpg">
            <w:drawing>
              <wp:inline distT="0" distB="0" distL="0" distR="0" wp14:anchorId="23147BFD" wp14:editId="3CFEC3E5">
                <wp:extent cx="4761571" cy="2428164"/>
                <wp:effectExtent l="0" t="0" r="0" b="0"/>
                <wp:docPr id="759200" name="Group 759200"/>
                <wp:cNvGraphicFramePr/>
                <a:graphic xmlns:a="http://schemas.openxmlformats.org/drawingml/2006/main">
                  <a:graphicData uri="http://schemas.microsoft.com/office/word/2010/wordprocessingGroup">
                    <wpg:wgp>
                      <wpg:cNvGrpSpPr/>
                      <wpg:grpSpPr>
                        <a:xfrm>
                          <a:off x="0" y="0"/>
                          <a:ext cx="4761571" cy="2428164"/>
                          <a:chOff x="0" y="0"/>
                          <a:chExt cx="5287401" cy="2667000"/>
                        </a:xfrm>
                      </wpg:grpSpPr>
                      <wps:wsp>
                        <wps:cNvPr id="40379" name="Rectangle 40379"/>
                        <wps:cNvSpPr/>
                        <wps:spPr>
                          <a:xfrm>
                            <a:off x="5240782" y="5249"/>
                            <a:ext cx="46619" cy="206430"/>
                          </a:xfrm>
                          <a:prstGeom prst="rect">
                            <a:avLst/>
                          </a:prstGeom>
                          <a:ln>
                            <a:noFill/>
                          </a:ln>
                        </wps:spPr>
                        <wps:txbx>
                          <w:txbxContent>
                            <w:p w14:paraId="70BD192F" w14:textId="77777777" w:rsidR="0014164F" w:rsidRDefault="0014164F" w:rsidP="00C232D7">
                              <w:r>
                                <w:t xml:space="preserve"> </w:t>
                              </w:r>
                            </w:p>
                          </w:txbxContent>
                        </wps:txbx>
                        <wps:bodyPr horzOverflow="overflow" vert="horz" lIns="0" tIns="0" rIns="0" bIns="0" rtlCol="0">
                          <a:noAutofit/>
                        </wps:bodyPr>
                      </wps:wsp>
                      <wps:wsp>
                        <wps:cNvPr id="40380" name="Rectangle 40380"/>
                        <wps:cNvSpPr/>
                        <wps:spPr>
                          <a:xfrm>
                            <a:off x="5240782" y="165269"/>
                            <a:ext cx="46619" cy="206430"/>
                          </a:xfrm>
                          <a:prstGeom prst="rect">
                            <a:avLst/>
                          </a:prstGeom>
                          <a:ln>
                            <a:noFill/>
                          </a:ln>
                        </wps:spPr>
                        <wps:txbx>
                          <w:txbxContent>
                            <w:p w14:paraId="30D84229" w14:textId="77777777" w:rsidR="0014164F" w:rsidRDefault="0014164F" w:rsidP="00C232D7">
                              <w:r>
                                <w:t xml:space="preserve"> </w:t>
                              </w:r>
                            </w:p>
                          </w:txbxContent>
                        </wps:txbx>
                        <wps:bodyPr horzOverflow="overflow" vert="horz" lIns="0" tIns="0" rIns="0" bIns="0" rtlCol="0">
                          <a:noAutofit/>
                        </wps:bodyPr>
                      </wps:wsp>
                      <wps:wsp>
                        <wps:cNvPr id="40381" name="Rectangle 40381"/>
                        <wps:cNvSpPr/>
                        <wps:spPr>
                          <a:xfrm>
                            <a:off x="5240782" y="326813"/>
                            <a:ext cx="46619" cy="206430"/>
                          </a:xfrm>
                          <a:prstGeom prst="rect">
                            <a:avLst/>
                          </a:prstGeom>
                          <a:ln>
                            <a:noFill/>
                          </a:ln>
                        </wps:spPr>
                        <wps:txbx>
                          <w:txbxContent>
                            <w:p w14:paraId="01F8C51B" w14:textId="77777777" w:rsidR="0014164F" w:rsidRDefault="0014164F" w:rsidP="00C232D7">
                              <w:r>
                                <w:t xml:space="preserve"> </w:t>
                              </w:r>
                            </w:p>
                          </w:txbxContent>
                        </wps:txbx>
                        <wps:bodyPr horzOverflow="overflow" vert="horz" lIns="0" tIns="0" rIns="0" bIns="0" rtlCol="0">
                          <a:noAutofit/>
                        </wps:bodyPr>
                      </wps:wsp>
                      <wps:wsp>
                        <wps:cNvPr id="40382" name="Rectangle 40382"/>
                        <wps:cNvSpPr/>
                        <wps:spPr>
                          <a:xfrm>
                            <a:off x="5240782" y="486833"/>
                            <a:ext cx="46619" cy="206430"/>
                          </a:xfrm>
                          <a:prstGeom prst="rect">
                            <a:avLst/>
                          </a:prstGeom>
                          <a:ln>
                            <a:noFill/>
                          </a:ln>
                        </wps:spPr>
                        <wps:txbx>
                          <w:txbxContent>
                            <w:p w14:paraId="1AC12F6D" w14:textId="77777777" w:rsidR="0014164F" w:rsidRDefault="0014164F" w:rsidP="00C232D7">
                              <w:r>
                                <w:t xml:space="preserve"> </w:t>
                              </w:r>
                            </w:p>
                          </w:txbxContent>
                        </wps:txbx>
                        <wps:bodyPr horzOverflow="overflow" vert="horz" lIns="0" tIns="0" rIns="0" bIns="0" rtlCol="0">
                          <a:noAutofit/>
                        </wps:bodyPr>
                      </wps:wsp>
                      <wps:wsp>
                        <wps:cNvPr id="40383" name="Rectangle 40383"/>
                        <wps:cNvSpPr/>
                        <wps:spPr>
                          <a:xfrm>
                            <a:off x="5240782" y="648378"/>
                            <a:ext cx="46619" cy="206430"/>
                          </a:xfrm>
                          <a:prstGeom prst="rect">
                            <a:avLst/>
                          </a:prstGeom>
                          <a:ln>
                            <a:noFill/>
                          </a:ln>
                        </wps:spPr>
                        <wps:txbx>
                          <w:txbxContent>
                            <w:p w14:paraId="758C7F7F" w14:textId="77777777" w:rsidR="0014164F" w:rsidRDefault="0014164F" w:rsidP="00C232D7">
                              <w:r>
                                <w:t xml:space="preserve"> </w:t>
                              </w:r>
                            </w:p>
                          </w:txbxContent>
                        </wps:txbx>
                        <wps:bodyPr horzOverflow="overflow" vert="horz" lIns="0" tIns="0" rIns="0" bIns="0" rtlCol="0">
                          <a:noAutofit/>
                        </wps:bodyPr>
                      </wps:wsp>
                      <wps:wsp>
                        <wps:cNvPr id="40384" name="Rectangle 40384"/>
                        <wps:cNvSpPr/>
                        <wps:spPr>
                          <a:xfrm>
                            <a:off x="5240782" y="808397"/>
                            <a:ext cx="46619" cy="206430"/>
                          </a:xfrm>
                          <a:prstGeom prst="rect">
                            <a:avLst/>
                          </a:prstGeom>
                          <a:ln>
                            <a:noFill/>
                          </a:ln>
                        </wps:spPr>
                        <wps:txbx>
                          <w:txbxContent>
                            <w:p w14:paraId="798D105D" w14:textId="77777777" w:rsidR="0014164F" w:rsidRDefault="0014164F" w:rsidP="00C232D7">
                              <w:r>
                                <w:t xml:space="preserve"> </w:t>
                              </w:r>
                            </w:p>
                          </w:txbxContent>
                        </wps:txbx>
                        <wps:bodyPr horzOverflow="overflow" vert="horz" lIns="0" tIns="0" rIns="0" bIns="0" rtlCol="0">
                          <a:noAutofit/>
                        </wps:bodyPr>
                      </wps:wsp>
                      <wps:wsp>
                        <wps:cNvPr id="40385" name="Rectangle 40385"/>
                        <wps:cNvSpPr/>
                        <wps:spPr>
                          <a:xfrm>
                            <a:off x="5240782" y="970195"/>
                            <a:ext cx="46619" cy="206430"/>
                          </a:xfrm>
                          <a:prstGeom prst="rect">
                            <a:avLst/>
                          </a:prstGeom>
                          <a:ln>
                            <a:noFill/>
                          </a:ln>
                        </wps:spPr>
                        <wps:txbx>
                          <w:txbxContent>
                            <w:p w14:paraId="771E4934" w14:textId="77777777" w:rsidR="0014164F" w:rsidRDefault="0014164F" w:rsidP="00C232D7">
                              <w:r>
                                <w:t xml:space="preserve"> </w:t>
                              </w:r>
                            </w:p>
                          </w:txbxContent>
                        </wps:txbx>
                        <wps:bodyPr horzOverflow="overflow" vert="horz" lIns="0" tIns="0" rIns="0" bIns="0" rtlCol="0">
                          <a:noAutofit/>
                        </wps:bodyPr>
                      </wps:wsp>
                      <wps:wsp>
                        <wps:cNvPr id="40386" name="Rectangle 40386"/>
                        <wps:cNvSpPr/>
                        <wps:spPr>
                          <a:xfrm>
                            <a:off x="5240782" y="1130215"/>
                            <a:ext cx="46619" cy="206430"/>
                          </a:xfrm>
                          <a:prstGeom prst="rect">
                            <a:avLst/>
                          </a:prstGeom>
                          <a:ln>
                            <a:noFill/>
                          </a:ln>
                        </wps:spPr>
                        <wps:txbx>
                          <w:txbxContent>
                            <w:p w14:paraId="61BA170C" w14:textId="77777777" w:rsidR="0014164F" w:rsidRDefault="0014164F" w:rsidP="00C232D7">
                              <w:r>
                                <w:t xml:space="preserve"> </w:t>
                              </w:r>
                            </w:p>
                          </w:txbxContent>
                        </wps:txbx>
                        <wps:bodyPr horzOverflow="overflow" vert="horz" lIns="0" tIns="0" rIns="0" bIns="0" rtlCol="0">
                          <a:noAutofit/>
                        </wps:bodyPr>
                      </wps:wsp>
                      <wps:wsp>
                        <wps:cNvPr id="40387" name="Rectangle 40387"/>
                        <wps:cNvSpPr/>
                        <wps:spPr>
                          <a:xfrm>
                            <a:off x="5240782" y="1290235"/>
                            <a:ext cx="46619" cy="206430"/>
                          </a:xfrm>
                          <a:prstGeom prst="rect">
                            <a:avLst/>
                          </a:prstGeom>
                          <a:ln>
                            <a:noFill/>
                          </a:ln>
                        </wps:spPr>
                        <wps:txbx>
                          <w:txbxContent>
                            <w:p w14:paraId="65B9D553" w14:textId="77777777" w:rsidR="0014164F" w:rsidRDefault="0014164F" w:rsidP="00C232D7">
                              <w:r>
                                <w:t xml:space="preserve"> </w:t>
                              </w:r>
                            </w:p>
                          </w:txbxContent>
                        </wps:txbx>
                        <wps:bodyPr horzOverflow="overflow" vert="horz" lIns="0" tIns="0" rIns="0" bIns="0" rtlCol="0">
                          <a:noAutofit/>
                        </wps:bodyPr>
                      </wps:wsp>
                      <wps:wsp>
                        <wps:cNvPr id="40388" name="Rectangle 40388"/>
                        <wps:cNvSpPr/>
                        <wps:spPr>
                          <a:xfrm>
                            <a:off x="5240782" y="1451779"/>
                            <a:ext cx="46619" cy="206430"/>
                          </a:xfrm>
                          <a:prstGeom prst="rect">
                            <a:avLst/>
                          </a:prstGeom>
                          <a:ln>
                            <a:noFill/>
                          </a:ln>
                        </wps:spPr>
                        <wps:txbx>
                          <w:txbxContent>
                            <w:p w14:paraId="31617870" w14:textId="77777777" w:rsidR="0014164F" w:rsidRDefault="0014164F" w:rsidP="00C232D7">
                              <w:r>
                                <w:t xml:space="preserve"> </w:t>
                              </w:r>
                            </w:p>
                          </w:txbxContent>
                        </wps:txbx>
                        <wps:bodyPr horzOverflow="overflow" vert="horz" lIns="0" tIns="0" rIns="0" bIns="0" rtlCol="0">
                          <a:noAutofit/>
                        </wps:bodyPr>
                      </wps:wsp>
                      <wps:wsp>
                        <wps:cNvPr id="40389" name="Rectangle 40389"/>
                        <wps:cNvSpPr/>
                        <wps:spPr>
                          <a:xfrm>
                            <a:off x="5240782" y="1611799"/>
                            <a:ext cx="46619" cy="206430"/>
                          </a:xfrm>
                          <a:prstGeom prst="rect">
                            <a:avLst/>
                          </a:prstGeom>
                          <a:ln>
                            <a:noFill/>
                          </a:ln>
                        </wps:spPr>
                        <wps:txbx>
                          <w:txbxContent>
                            <w:p w14:paraId="1AC5E49C" w14:textId="77777777" w:rsidR="0014164F" w:rsidRDefault="0014164F" w:rsidP="00C232D7">
                              <w:r>
                                <w:t xml:space="preserve"> </w:t>
                              </w:r>
                            </w:p>
                          </w:txbxContent>
                        </wps:txbx>
                        <wps:bodyPr horzOverflow="overflow" vert="horz" lIns="0" tIns="0" rIns="0" bIns="0" rtlCol="0">
                          <a:noAutofit/>
                        </wps:bodyPr>
                      </wps:wsp>
                      <wps:wsp>
                        <wps:cNvPr id="40390" name="Rectangle 40390"/>
                        <wps:cNvSpPr/>
                        <wps:spPr>
                          <a:xfrm>
                            <a:off x="5240782" y="1773343"/>
                            <a:ext cx="46619" cy="206430"/>
                          </a:xfrm>
                          <a:prstGeom prst="rect">
                            <a:avLst/>
                          </a:prstGeom>
                          <a:ln>
                            <a:noFill/>
                          </a:ln>
                        </wps:spPr>
                        <wps:txbx>
                          <w:txbxContent>
                            <w:p w14:paraId="0F830CD4" w14:textId="77777777" w:rsidR="0014164F" w:rsidRDefault="0014164F" w:rsidP="00C232D7">
                              <w:r>
                                <w:t xml:space="preserve"> </w:t>
                              </w:r>
                            </w:p>
                          </w:txbxContent>
                        </wps:txbx>
                        <wps:bodyPr horzOverflow="overflow" vert="horz" lIns="0" tIns="0" rIns="0" bIns="0" rtlCol="0">
                          <a:noAutofit/>
                        </wps:bodyPr>
                      </wps:wsp>
                      <wps:wsp>
                        <wps:cNvPr id="40391" name="Rectangle 40391"/>
                        <wps:cNvSpPr/>
                        <wps:spPr>
                          <a:xfrm>
                            <a:off x="5240782" y="1933393"/>
                            <a:ext cx="42058" cy="186236"/>
                          </a:xfrm>
                          <a:prstGeom prst="rect">
                            <a:avLst/>
                          </a:prstGeom>
                          <a:ln>
                            <a:noFill/>
                          </a:ln>
                        </wps:spPr>
                        <wps:txbx>
                          <w:txbxContent>
                            <w:p w14:paraId="78E2B465" w14:textId="77777777" w:rsidR="0014164F" w:rsidRDefault="0014164F" w:rsidP="00C232D7">
                              <w:r>
                                <w:rPr>
                                  <w:i/>
                                </w:rPr>
                                <w:t xml:space="preserve"> </w:t>
                              </w:r>
                            </w:p>
                          </w:txbxContent>
                        </wps:txbx>
                        <wps:bodyPr horzOverflow="overflow" vert="horz" lIns="0" tIns="0" rIns="0" bIns="0" rtlCol="0">
                          <a:noAutofit/>
                        </wps:bodyPr>
                      </wps:wsp>
                      <pic:pic xmlns:pic="http://schemas.openxmlformats.org/drawingml/2006/picture">
                        <pic:nvPicPr>
                          <pic:cNvPr id="40420" name="Picture 40420"/>
                          <pic:cNvPicPr/>
                        </pic:nvPicPr>
                        <pic:blipFill>
                          <a:blip r:embed="rId15"/>
                          <a:stretch>
                            <a:fillRect/>
                          </a:stretch>
                        </pic:blipFill>
                        <pic:spPr>
                          <a:xfrm>
                            <a:off x="0" y="0"/>
                            <a:ext cx="5141976" cy="2667000"/>
                          </a:xfrm>
                          <a:prstGeom prst="rect">
                            <a:avLst/>
                          </a:prstGeom>
                        </pic:spPr>
                      </pic:pic>
                    </wpg:wgp>
                  </a:graphicData>
                </a:graphic>
              </wp:inline>
            </w:drawing>
          </mc:Choice>
          <mc:Fallback>
            <w:pict>
              <v:group w14:anchorId="23147BFD" id="Group 759200" o:spid="_x0000_s1027" style="width:374.95pt;height:191.2pt;mso-position-horizontal-relative:char;mso-position-vertical-relative:line" coordsize="52874,266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">
                <v:rect id="Rectangle 40379" o:spid="_x0000_s1028" style="position:absolute;left:52407;top:52;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1ay8cA&#10;AADeAAAADwAAAGRycy9kb3ducmV2LnhtbESPQWvCQBSE70L/w/IKvelGW6yJriKtRY+tCurtkX0m&#10;wezbkF1N9Ne7gtDjMDPfMJNZa0pxodoVlhX0exEI4tTqgjMF281PdwTCeWSNpWVScCUHs+lLZ4KJ&#10;tg3/0WXtMxEg7BJUkHtfJVK6NCeDrmcr4uAdbW3QB1lnUtfYBLgp5SCKhtJgwWEhx4q+ckpP67NR&#10;sBxV8/3K3pqsXByWu99d/L2JvVJvr+18DMJT6//Dz/ZKK/iI3j9jeNwJV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tWsvHAAAA3gAAAA8AAAAAAAAAAAAAAAAAmAIAAGRy&#10;cy9kb3ducmV2LnhtbFBLBQYAAAAABAAEAPUAAACMAwAAAAA=&#10;" filled="f" stroked="f">
                  <v:textbox inset="0,0,0,0">
                    <w:txbxContent>
                      <w:p w14:paraId="70BD192F" w14:textId="77777777" w:rsidR="0014164F" w:rsidRDefault="0014164F" w:rsidP="00C232D7">
                        <w:r>
                          <w:t xml:space="preserve"> </w:t>
                        </w:r>
                      </w:p>
                    </w:txbxContent>
                  </v:textbox>
                </v:rect>
                <v:rect id="Rectangle 40380" o:spid="_x0000_s1029" style="position:absolute;left:52407;top:1652;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KDccYA&#10;AADeAAAADwAAAGRycy9kb3ducmV2LnhtbESPzWrCQBSF9wXfYbhCd3VilRJTRxGrJEubCNrdJXOb&#10;hGbuhMzUpH16Z1Ho8nD++Nbb0bTiRr1rLCuYzyIQxKXVDVcKzsXxKQbhPLLG1jIp+CEH283kYY2J&#10;tgO/0y33lQgj7BJUUHvfJVK6siaDbmY74uB92t6gD7KvpO5xCOOmlc9R9CINNhweauxoX1P5lX8b&#10;BWnc7a6Z/R2q9vCRXk6X1Vux8ko9TsfdKwhPo/8P/7UzrWAZLeIAEHACCsjN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AKDccYAAADeAAAADwAAAAAAAAAAAAAAAACYAgAAZHJz&#10;L2Rvd25yZXYueG1sUEsFBgAAAAAEAAQA9QAAAIsDAAAAAA==&#10;" filled="f" stroked="f">
                  <v:textbox inset="0,0,0,0">
                    <w:txbxContent>
                      <w:p w14:paraId="30D84229" w14:textId="77777777" w:rsidR="0014164F" w:rsidRDefault="0014164F" w:rsidP="00C232D7">
                        <w:r>
                          <w:t xml:space="preserve"> </w:t>
                        </w:r>
                      </w:p>
                    </w:txbxContent>
                  </v:textbox>
                </v:rect>
                <v:rect id="Rectangle 40381" o:spid="_x0000_s1030" style="position:absolute;left:52407;top:3268;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4m6scA&#10;AADeAAAADwAAAGRycy9kb3ducmV2LnhtbESPT2vCQBTE70K/w/IK3nRjLRKjq0hV9OifgvX2yL4m&#10;odm3Ibua1E/vCoLHYWZ+w0znrSnFlWpXWFYw6EcgiFOrC84UfB/XvRiE88gaS8uk4J8czGdvnSkm&#10;2ja8p+vBZyJA2CWoIPe+SqR0aU4GXd9WxMH7tbVBH2SdSV1jE+CmlB9RNJIGCw4LOVb0lVP6d7gY&#10;BZu4Wvxs7a3JytV5c9qdxsvj2CvVfW8XExCeWv8KP9tbreAzGsYDeNwJV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OJurHAAAA3gAAAA8AAAAAAAAAAAAAAAAAmAIAAGRy&#10;cy9kb3ducmV2LnhtbFBLBQYAAAAABAAEAPUAAACMAwAAAAA=&#10;" filled="f" stroked="f">
                  <v:textbox inset="0,0,0,0">
                    <w:txbxContent>
                      <w:p w14:paraId="01F8C51B" w14:textId="77777777" w:rsidR="0014164F" w:rsidRDefault="0014164F" w:rsidP="00C232D7">
                        <w:r>
                          <w:t xml:space="preserve"> </w:t>
                        </w:r>
                      </w:p>
                    </w:txbxContent>
                  </v:textbox>
                </v:rect>
                <v:rect id="Rectangle 40382" o:spid="_x0000_s1031" style="position:absolute;left:52407;top:4868;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y4ncYA&#10;AADeAAAADwAAAGRycy9kb3ducmV2LnhtbESPQWvCQBSE74L/YXmCN92opcToKqIWPbYqqLdH9pkE&#10;s29DdmtSf71bKPQ4zMw3zHzZmlI8qHaFZQWjYQSCOLW64EzB6fgxiEE4j6yxtEwKfsjBctHtzDHR&#10;tuEvehx8JgKEXYIKcu+rREqX5mTQDW1FHLybrQ36IOtM6hqbADelHEfRuzRYcFjIsaJ1Tun98G0U&#10;7OJqddnbZ5OV2+vu/Hmebo5Tr1S/165mIDy1/j/8195rBW/RJB7D751wBe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5y4ncYAAADeAAAADwAAAAAAAAAAAAAAAACYAgAAZHJz&#10;L2Rvd25yZXYueG1sUEsFBgAAAAAEAAQA9QAAAIsDAAAAAA==&#10;" filled="f" stroked="f">
                  <v:textbox inset="0,0,0,0">
                    <w:txbxContent>
                      <w:p w14:paraId="1AC12F6D" w14:textId="77777777" w:rsidR="0014164F" w:rsidRDefault="0014164F" w:rsidP="00C232D7">
                        <w:r>
                          <w:t xml:space="preserve"> </w:t>
                        </w:r>
                      </w:p>
                    </w:txbxContent>
                  </v:textbox>
                </v:rect>
                <v:rect id="Rectangle 40383" o:spid="_x0000_s1032" style="position:absolute;left:52407;top:6483;width:46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AdBsgA&#10;AADeAAAADwAAAGRycy9kb3ducmV2LnhtbESPT2vCQBTE7wW/w/IK3ppNVUqMriL+QY9tLKTeHtnX&#10;JDT7NmRXE/vpu4VCj8PM/IZZrgfTiBt1rras4DmKQRAXVtdcKng/H54SEM4ja2wsk4I7OVivRg9L&#10;TLXt+Y1umS9FgLBLUUHlfZtK6YqKDLrItsTB+7SdQR9kV0rdYR/gppGTOH6RBmsOCxW2tK2o+Mqu&#10;RsExaTcfJ/vdl83+csxf8/nuPPdKjR+HzQKEp8H/h//aJ61gFk+TKfzeCVdAr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0B0GyAAAAN4AAAAPAAAAAAAAAAAAAAAAAJgCAABk&#10;cnMvZG93bnJldi54bWxQSwUGAAAAAAQABAD1AAAAjQMAAAAA&#10;" filled="f" stroked="f">
                  <v:textbox inset="0,0,0,0">
                    <w:txbxContent>
                      <w:p w14:paraId="758C7F7F" w14:textId="77777777" w:rsidR="0014164F" w:rsidRDefault="0014164F" w:rsidP="00C232D7">
                        <w:r>
                          <w:t xml:space="preserve"> </w:t>
                        </w:r>
                      </w:p>
                    </w:txbxContent>
                  </v:textbox>
                </v:rect>
                <v:rect id="Rectangle 40384" o:spid="_x0000_s1033" style="position:absolute;left:52407;top:8083;width:46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mFcscA&#10;AADeAAAADwAAAGRycy9kb3ducmV2LnhtbESPQWvCQBSE7wX/w/KE3pqNVUqMriLWokcbhejtkX1N&#10;QrNvQ3Zr0v76rlDocZiZb5jlejCNuFHnassKJlEMgriwuuZSwfn09pSAcB5ZY2OZFHyTg/Vq9LDE&#10;VNue3+mW+VIECLsUFVTet6mUrqjIoItsSxy8D9sZ9EF2pdQd9gFuGvkcxy/SYM1hocKWthUVn9mX&#10;UbBP2s3lYH/6stld9/kxn7+e5l6px/GwWYDwNPj/8F/7oBXM4mkyg/udcAX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5hXLHAAAA3gAAAA8AAAAAAAAAAAAAAAAAmAIAAGRy&#10;cy9kb3ducmV2LnhtbFBLBQYAAAAABAAEAPUAAACMAwAAAAA=&#10;" filled="f" stroked="f">
                  <v:textbox inset="0,0,0,0">
                    <w:txbxContent>
                      <w:p w14:paraId="798D105D" w14:textId="77777777" w:rsidR="0014164F" w:rsidRDefault="0014164F" w:rsidP="00C232D7">
                        <w:r>
                          <w:t xml:space="preserve"> </w:t>
                        </w:r>
                      </w:p>
                    </w:txbxContent>
                  </v:textbox>
                </v:rect>
                <v:rect id="Rectangle 40385" o:spid="_x0000_s1034" style="position:absolute;left:52407;top:9701;width:46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Ug6ccA&#10;AADeAAAADwAAAGRycy9kb3ducmV2LnhtbESPQWvCQBSE70L/w/IKvelGW0uMriKtRY+tCurtkX0m&#10;wezbkF1N9Ne7gtDjMDPfMJNZa0pxodoVlhX0exEI4tTqgjMF281PNwbhPLLG0jIpuJKD2fSlM8FE&#10;24b/6LL2mQgQdgkqyL2vEildmpNB17MVcfCOtjbog6wzqWtsAtyUchBFn9JgwWEhx4q+ckpP67NR&#10;sIyr+X5lb01WLg7L3e9u9L0ZeaXeXtv5GISn1v+Hn+2VVvARvcdDeNwJV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1IOnHAAAA3gAAAA8AAAAAAAAAAAAAAAAAmAIAAGRy&#10;cy9kb3ducmV2LnhtbFBLBQYAAAAABAAEAPUAAACMAwAAAAA=&#10;" filled="f" stroked="f">
                  <v:textbox inset="0,0,0,0">
                    <w:txbxContent>
                      <w:p w14:paraId="771E4934" w14:textId="77777777" w:rsidR="0014164F" w:rsidRDefault="0014164F" w:rsidP="00C232D7">
                        <w:r>
                          <w:t xml:space="preserve"> </w:t>
                        </w:r>
                      </w:p>
                    </w:txbxContent>
                  </v:textbox>
                </v:rect>
                <v:rect id="Rectangle 40386" o:spid="_x0000_s1035" style="position:absolute;left:52407;top:11302;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e+nscA&#10;AADeAAAADwAAAGRycy9kb3ducmV2LnhtbESPQWvCQBSE74L/YXlCb2ZjLRKjq4i16NGqEL09sq9J&#10;aPZtyG5N2l/fLQg9DjPzDbNc96YWd2pdZVnBJIpBEOdWV1wouJzfxgkI55E11pZJwTc5WK+GgyWm&#10;2nb8TveTL0SAsEtRQel9k0rp8pIMusg2xMH7sK1BH2RbSN1iF+Cmls9xPJMGKw4LJTa0LSn/PH0Z&#10;Bfuk2VwP9qcr6t1tnx2z+et57pV6GvWbBQhPvf8PP9oHreAlniYz+Ls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nvp7HAAAA3gAAAA8AAAAAAAAAAAAAAAAAmAIAAGRy&#10;cy9kb3ducmV2LnhtbFBLBQYAAAAABAAEAPUAAACMAwAAAAA=&#10;" filled="f" stroked="f">
                  <v:textbox inset="0,0,0,0">
                    <w:txbxContent>
                      <w:p w14:paraId="61BA170C" w14:textId="77777777" w:rsidR="0014164F" w:rsidRDefault="0014164F" w:rsidP="00C232D7">
                        <w:r>
                          <w:t xml:space="preserve"> </w:t>
                        </w:r>
                      </w:p>
                    </w:txbxContent>
                  </v:textbox>
                </v:rect>
                <v:rect id="Rectangle 40387" o:spid="_x0000_s1036" style="position:absolute;left:52407;top:12902;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bBccA&#10;AADeAAAADwAAAGRycy9kb3ducmV2LnhtbESPQWvCQBSE70L/w/IKvelGW2yMriKtRY+tCurtkX0m&#10;wezbkF1N9Ne7gtDjMDPfMJNZa0pxodoVlhX0exEI4tTqgjMF281PNwbhPLLG0jIpuJKD2fSlM8FE&#10;24b/6LL2mQgQdgkqyL2vEildmpNB17MVcfCOtjbog6wzqWtsAtyUchBFQ2mw4LCQY0VfOaWn9dko&#10;WMbVfL+ytyYrF4fl7nc3+t6MvFJvr+18DMJT6//Dz/ZKK/iI3uNPeNwJV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rGwXHAAAA3gAAAA8AAAAAAAAAAAAAAAAAmAIAAGRy&#10;cy9kb3ducmV2LnhtbFBLBQYAAAAABAAEAPUAAACMAwAAAAA=&#10;" filled="f" stroked="f">
                  <v:textbox inset="0,0,0,0">
                    <w:txbxContent>
                      <w:p w14:paraId="65B9D553" w14:textId="77777777" w:rsidR="0014164F" w:rsidRDefault="0014164F" w:rsidP="00C232D7">
                        <w:r>
                          <w:t xml:space="preserve"> </w:t>
                        </w:r>
                      </w:p>
                    </w:txbxContent>
                  </v:textbox>
                </v:rect>
                <v:rect id="Rectangle 40388" o:spid="_x0000_s1037" style="position:absolute;left:52407;top:14517;width:46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SPd8UA&#10;AADeAAAADwAAAGRycy9kb3ducmV2LnhtbERPTWvCQBC9F/wPywi91Y1VSkxdRaySHG0iaG9DdpqE&#10;ZmdDdmvS/nr3UOjx8b7X29G04ka9aywrmM8iEMSl1Q1XCs7F8SkG4TyyxtYyKfghB9vN5GGNibYD&#10;v9Mt95UIIewSVFB73yVSurImg25mO+LAfdreoA+wr6TucQjhppXPUfQiDTYcGmrsaF9T+ZV/GwVp&#10;3O2umf0dqvbwkV5Ol9VbsfJKPU7H3SsIT6P/F/+5M61gGS3isDfcCVd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I93xQAAAN4AAAAPAAAAAAAAAAAAAAAAAJgCAABkcnMv&#10;ZG93bnJldi54bWxQSwUGAAAAAAQABAD1AAAAigMAAAAA&#10;" filled="f" stroked="f">
                  <v:textbox inset="0,0,0,0">
                    <w:txbxContent>
                      <w:p w14:paraId="31617870" w14:textId="77777777" w:rsidR="0014164F" w:rsidRDefault="0014164F" w:rsidP="00C232D7">
                        <w:r>
                          <w:t xml:space="preserve"> </w:t>
                        </w:r>
                      </w:p>
                    </w:txbxContent>
                  </v:textbox>
                </v:rect>
                <v:rect id="Rectangle 40389" o:spid="_x0000_s1038" style="position:absolute;left:52407;top:16117;width:467;height:20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gq7McA&#10;AADeAAAADwAAAGRycy9kb3ducmV2LnhtbESPQWvCQBSE74X+h+UVvNVNa5EkZiNSFT1WLai3R/aZ&#10;hGbfhuxq0v76bkHocZiZb5hsPphG3KhztWUFL+MIBHFhdc2lgs/D+jkG4TyyxsYyKfgmB/P88SHD&#10;VNued3Tb+1IECLsUFVTet6mUrqjIoBvbljh4F9sZ9EF2pdQd9gFuGvkaRVNpsOawUGFL7xUVX/ur&#10;UbCJ28Vpa3/6slmdN8ePY7I8JF6p0dOwmIHwNPj/8L291QreokmcwN+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4KuzHAAAA3gAAAA8AAAAAAAAAAAAAAAAAmAIAAGRy&#10;cy9kb3ducmV2LnhtbFBLBQYAAAAABAAEAPUAAACMAwAAAAA=&#10;" filled="f" stroked="f">
                  <v:textbox inset="0,0,0,0">
                    <w:txbxContent>
                      <w:p w14:paraId="1AC5E49C" w14:textId="77777777" w:rsidR="0014164F" w:rsidRDefault="0014164F" w:rsidP="00C232D7">
                        <w:r>
                          <w:t xml:space="preserve"> </w:t>
                        </w:r>
                      </w:p>
                    </w:txbxContent>
                  </v:textbox>
                </v:rect>
                <v:rect id="Rectangle 40390" o:spid="_x0000_s1039" style="position:absolute;left:52407;top:17733;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sVrMUA&#10;AADeAAAADwAAAGRycy9kb3ducmV2LnhtbESPzYrCMBSF9wO+Q7iCuzHVEbHVKKIjuhx1wHF3aa5t&#10;sbkpTbTVp58sBJeH88c3W7SmFHeqXWFZwaAfgSBOrS44U/B73HxOQDiPrLG0TAoe5GAx73zMMNG2&#10;4T3dDz4TYYRdggpy76tESpfmZND1bUUcvIutDfog60zqGpswbko5jKKxNFhweMixolVO6fVwMwq2&#10;k2r5t7PPJiu/z9vTzyleH2OvVK/bLqcgPLX+HX61d1rBKPqKA0DACSg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2xWsxQAAAN4AAAAPAAAAAAAAAAAAAAAAAJgCAABkcnMv&#10;ZG93bnJldi54bWxQSwUGAAAAAAQABAD1AAAAigMAAAAA&#10;" filled="f" stroked="f">
                  <v:textbox inset="0,0,0,0">
                    <w:txbxContent>
                      <w:p w14:paraId="0F830CD4" w14:textId="77777777" w:rsidR="0014164F" w:rsidRDefault="0014164F" w:rsidP="00C232D7">
                        <w:r>
                          <w:t xml:space="preserve"> </w:t>
                        </w:r>
                      </w:p>
                    </w:txbxContent>
                  </v:textbox>
                </v:rect>
                <v:rect id="Rectangle 40391" o:spid="_x0000_s1040" style="position:absolute;left:52407;top:19333;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wN8gA&#10;AADeAAAADwAAAGRycy9kb3ducmV2LnhtbESPT2vCQBTE74V+h+UVeqsbWylJzCpSFT36p5B6e2Rf&#10;k9Ds25BdTeyn7woFj8PM/IbJ5oNpxIU6V1tWMB5FIIgLq2suFXwe1y8xCOeRNTaWScGVHMxnjw8Z&#10;ptr2vKfLwZciQNilqKDyvk2ldEVFBt3ItsTB+7adQR9kV0rdYR/gppGvUfQuDdYcFips6aOi4udw&#10;Ngo2cbv42trfvmxWp02+y5PlMfFKPT8NiykIT4O/h//bW61gEr0lY7jdCV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l7A3yAAAAN4AAAAPAAAAAAAAAAAAAAAAAJgCAABk&#10;cnMvZG93bnJldi54bWxQSwUGAAAAAAQABAD1AAAAjQMAAAAA&#10;" filled="f" stroked="f">
                  <v:textbox inset="0,0,0,0">
                    <w:txbxContent>
                      <w:p w14:paraId="78E2B465" w14:textId="77777777" w:rsidR="0014164F" w:rsidRDefault="0014164F" w:rsidP="00C232D7">
                        <w:r>
                          <w:rPr>
                            <w:i/>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420" o:spid="_x0000_s1041" type="#_x0000_t75" style="position:absolute;width:51419;height:266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NCVbEAAAA3gAAAA8AAABkcnMvZG93bnJldi54bWxEj11rwjAUhu8H/odwhN3NpKUboxpFZIPe&#10;zomwu2NzbIPNSWkybffrlwvBy5f3i2e1GV0nrjQE61lDtlAgiGtvLDcaDt+fL+8gQkQ22HkmDRMF&#10;2KxnTyssjb/xF133sRFphEOJGtoY+1LKULfkMCx8T5y8sx8cxiSHRpoBb2ncdTJX6k06tJweWuxp&#10;11J92f86Dd0fZYamqH4+Xk/HQ30srLKV1s/zcbsEEWmMj/C9XRkNhSryBJBwEgrI9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XNCVbEAAAA3gAAAA8AAAAAAAAAAAAAAAAA&#10;nwIAAGRycy9kb3ducmV2LnhtbFBLBQYAAAAABAAEAPcAAACQAwAAAAA=&#10;">
                  <v:imagedata r:id="rId16" o:title=""/>
                </v:shape>
                <w10:anchorlock/>
              </v:group>
            </w:pict>
          </mc:Fallback>
        </mc:AlternateContent>
      </w:r>
      <w:r w:rsidRPr="002A6F4E">
        <w:rPr>
          <w:rFonts w:ascii="Arial" w:hAnsi="Arial" w:cs="Arial"/>
          <w:b/>
          <w:lang w:val="de-DE"/>
        </w:rPr>
        <w:t xml:space="preserve"> </w:t>
      </w:r>
      <w:r w:rsidRPr="002A6F4E">
        <w:rPr>
          <w:rFonts w:ascii="Arial" w:hAnsi="Arial" w:cs="Arial"/>
          <w:b/>
          <w:lang w:val="de-DE"/>
        </w:rPr>
        <w:tab/>
      </w:r>
      <w:r w:rsidRPr="002A6F4E">
        <w:rPr>
          <w:rFonts w:ascii="Arial" w:hAnsi="Arial" w:cs="Arial"/>
          <w:i/>
          <w:lang w:val="de-DE"/>
        </w:rPr>
        <w:t xml:space="preserve"> </w:t>
      </w:r>
    </w:p>
    <w:p w14:paraId="4DE5D752" w14:textId="704FFCFF" w:rsidR="00C232D7" w:rsidRPr="001E3D9B" w:rsidRDefault="00F53484" w:rsidP="00F53484">
      <w:pPr>
        <w:pStyle w:val="Caption"/>
        <w:rPr>
          <w:rFonts w:ascii="Arial" w:hAnsi="Arial" w:cs="Arial"/>
          <w:b w:val="0"/>
          <w:lang w:val="de-DE"/>
        </w:rPr>
      </w:pPr>
      <w:bookmarkStart w:id="781" w:name="_Toc190160837"/>
      <w:r w:rsidRPr="001E3D9B">
        <w:rPr>
          <w:rFonts w:ascii="Arial" w:hAnsi="Arial" w:cs="Arial"/>
          <w:b w:val="0"/>
          <w:lang w:val="de-DE"/>
        </w:rPr>
        <w:t xml:space="preserve">Slika </w:t>
      </w:r>
      <w:r w:rsidRPr="001E3D9B">
        <w:rPr>
          <w:rFonts w:ascii="Arial" w:hAnsi="Arial" w:cs="Arial"/>
          <w:b w:val="0"/>
        </w:rPr>
        <w:fldChar w:fldCharType="begin"/>
      </w:r>
      <w:r w:rsidRPr="001E3D9B">
        <w:rPr>
          <w:rFonts w:ascii="Arial" w:hAnsi="Arial" w:cs="Arial"/>
          <w:b w:val="0"/>
          <w:lang w:val="de-DE"/>
        </w:rPr>
        <w:instrText xml:space="preserve"> SEQ Slika \* ARABIC </w:instrText>
      </w:r>
      <w:r w:rsidRPr="001E3D9B">
        <w:rPr>
          <w:rFonts w:ascii="Arial" w:hAnsi="Arial" w:cs="Arial"/>
          <w:b w:val="0"/>
        </w:rPr>
        <w:fldChar w:fldCharType="separate"/>
      </w:r>
      <w:r w:rsidR="008C782A" w:rsidRPr="001E3D9B">
        <w:rPr>
          <w:rFonts w:ascii="Arial" w:hAnsi="Arial" w:cs="Arial"/>
          <w:b w:val="0"/>
          <w:noProof/>
          <w:lang w:val="de-DE"/>
        </w:rPr>
        <w:t>4</w:t>
      </w:r>
      <w:r w:rsidRPr="001E3D9B">
        <w:rPr>
          <w:rFonts w:ascii="Arial" w:hAnsi="Arial" w:cs="Arial"/>
          <w:b w:val="0"/>
        </w:rPr>
        <w:fldChar w:fldCharType="end"/>
      </w:r>
      <w:r w:rsidRPr="001E3D9B">
        <w:rPr>
          <w:rFonts w:ascii="Arial" w:hAnsi="Arial" w:cs="Arial"/>
          <w:b w:val="0"/>
          <w:lang w:val="de-DE"/>
        </w:rPr>
        <w:t xml:space="preserve"> Monitoring plutajućeg otpada na </w:t>
      </w:r>
      <w:r w:rsidR="00C232D7" w:rsidRPr="001E3D9B">
        <w:rPr>
          <w:rFonts w:ascii="Arial" w:hAnsi="Arial" w:cs="Arial"/>
          <w:b w:val="0"/>
          <w:lang w:val="de-DE"/>
        </w:rPr>
        <w:t>području Bokokotorskog zaliva-transekti</w:t>
      </w:r>
      <w:bookmarkEnd w:id="781"/>
      <w:r w:rsidR="00C232D7" w:rsidRPr="001E3D9B">
        <w:rPr>
          <w:rFonts w:ascii="Arial" w:hAnsi="Arial" w:cs="Arial"/>
          <w:b w:val="0"/>
          <w:lang w:val="de-DE"/>
        </w:rPr>
        <w:t xml:space="preserve"> </w:t>
      </w:r>
    </w:p>
    <w:p w14:paraId="05824959" w14:textId="77777777" w:rsidR="00C232D7" w:rsidRPr="00F53484" w:rsidRDefault="00C232D7" w:rsidP="00C232D7">
      <w:pPr>
        <w:rPr>
          <w:rFonts w:ascii="Arial" w:hAnsi="Arial" w:cs="Arial"/>
          <w:lang w:val="de-DE"/>
        </w:rPr>
      </w:pPr>
      <w:r w:rsidRPr="00F53484">
        <w:rPr>
          <w:rFonts w:ascii="Arial" w:hAnsi="Arial" w:cs="Arial"/>
          <w:lang w:val="de-DE"/>
        </w:rPr>
        <w:t xml:space="preserve"> </w:t>
      </w:r>
    </w:p>
    <w:p w14:paraId="724485AA" w14:textId="409CDB8D" w:rsidR="00C232D7" w:rsidRPr="00F53484" w:rsidRDefault="00C232D7" w:rsidP="00F53484">
      <w:pPr>
        <w:autoSpaceDE w:val="0"/>
        <w:autoSpaceDN w:val="0"/>
        <w:adjustRightInd w:val="0"/>
        <w:spacing w:before="120" w:after="120" w:line="360" w:lineRule="auto"/>
        <w:rPr>
          <w:rFonts w:ascii="Arial" w:hAnsi="Arial" w:cs="Arial"/>
          <w:lang w:val="sq-AL"/>
        </w:rPr>
      </w:pPr>
      <w:r w:rsidRPr="00F53484">
        <w:rPr>
          <w:rFonts w:ascii="Arial" w:hAnsi="Arial" w:cs="Arial"/>
          <w:lang w:val="sq-AL"/>
        </w:rPr>
        <w:t>U cilju preglednosti podat</w:t>
      </w:r>
      <w:r w:rsidR="00B57F5E">
        <w:rPr>
          <w:rFonts w:ascii="Arial" w:hAnsi="Arial" w:cs="Arial"/>
          <w:lang w:val="sq-AL"/>
        </w:rPr>
        <w:t>ke</w:t>
      </w:r>
      <w:r w:rsidRPr="00F53484">
        <w:rPr>
          <w:rFonts w:ascii="Arial" w:hAnsi="Arial" w:cs="Arial"/>
          <w:lang w:val="sq-AL"/>
        </w:rPr>
        <w:t xml:space="preserve"> za otpad na plažama i za plutajući otpad analiziraćemo po sezonama. </w:t>
      </w:r>
    </w:p>
    <w:p w14:paraId="49C8BCA6" w14:textId="77777777" w:rsidR="00C232D7" w:rsidRPr="00F53484" w:rsidRDefault="00C232D7" w:rsidP="00F53484">
      <w:pPr>
        <w:autoSpaceDE w:val="0"/>
        <w:autoSpaceDN w:val="0"/>
        <w:adjustRightInd w:val="0"/>
        <w:spacing w:before="120" w:after="120" w:line="360" w:lineRule="auto"/>
        <w:rPr>
          <w:rFonts w:ascii="Arial" w:hAnsi="Arial" w:cs="Arial"/>
          <w:b/>
          <w:lang w:val="sq-AL"/>
        </w:rPr>
      </w:pPr>
      <w:r w:rsidRPr="00F53484">
        <w:rPr>
          <w:rFonts w:ascii="Arial" w:hAnsi="Arial" w:cs="Arial"/>
          <w:b/>
          <w:lang w:val="sq-AL"/>
        </w:rPr>
        <w:t xml:space="preserve">Jesen 2022 </w:t>
      </w:r>
    </w:p>
    <w:p w14:paraId="34FA09BE" w14:textId="77777777" w:rsidR="00C232D7" w:rsidRPr="00F53484" w:rsidRDefault="00C232D7" w:rsidP="00F53484">
      <w:pPr>
        <w:autoSpaceDE w:val="0"/>
        <w:autoSpaceDN w:val="0"/>
        <w:adjustRightInd w:val="0"/>
        <w:spacing w:before="120" w:after="120" w:line="360" w:lineRule="auto"/>
        <w:rPr>
          <w:rFonts w:ascii="Arial" w:hAnsi="Arial" w:cs="Arial"/>
          <w:lang w:val="sq-AL"/>
        </w:rPr>
      </w:pPr>
      <w:r w:rsidRPr="00F53484">
        <w:rPr>
          <w:rFonts w:ascii="Arial" w:hAnsi="Arial" w:cs="Arial"/>
          <w:u w:val="single"/>
          <w:lang w:val="sq-AL"/>
        </w:rPr>
        <w:t>Otpad na plažama</w:t>
      </w:r>
      <w:r w:rsidRPr="00F53484">
        <w:rPr>
          <w:rFonts w:ascii="Arial" w:hAnsi="Arial" w:cs="Arial"/>
          <w:lang w:val="sq-AL"/>
        </w:rPr>
        <w:t xml:space="preserve"> u toku jesenje sezone prikupljan je krajem oktobra mjeseca.  </w:t>
      </w:r>
    </w:p>
    <w:p w14:paraId="775484E7" w14:textId="5BA42141" w:rsidR="00C232D7" w:rsidRPr="00F53484" w:rsidRDefault="00C232D7" w:rsidP="00F53484">
      <w:pPr>
        <w:autoSpaceDE w:val="0"/>
        <w:autoSpaceDN w:val="0"/>
        <w:adjustRightInd w:val="0"/>
        <w:spacing w:before="120" w:after="120" w:line="360" w:lineRule="auto"/>
        <w:rPr>
          <w:rFonts w:ascii="Arial" w:hAnsi="Arial" w:cs="Arial"/>
          <w:lang w:val="sq-AL"/>
        </w:rPr>
      </w:pPr>
      <w:r w:rsidRPr="00F53484">
        <w:rPr>
          <w:rFonts w:ascii="Arial" w:hAnsi="Arial" w:cs="Arial"/>
          <w:lang w:val="sq-AL"/>
        </w:rPr>
        <w:t xml:space="preserve">U kontekstu brojnosti (broj komada/100 m transekta) dominantna kategorija pripada plastici na svim analiziranim transektima. Na plaži Jaz, plastični otpad je bio zastupljen u procentu od 92.48% od ukupne količine sakupljenog otpada, na Blatnoj plaži 80.27 % i na Velikoj plaži 74.06%. Od ostalih grupa otpada, na Blatnoj plaži u većoj mjeri je bio zastupljen papirni/kartonski otpad 6.47%, kao i na plaži Jaz, sa procentom od 3.20 %, dok je na Velikoj plaži pored plastičnog otpada dominantna grupa bila obrađeno drvo sa procentom zastupljenosti od 18.66%. </w:t>
      </w:r>
    </w:p>
    <w:p w14:paraId="007B8BAE" w14:textId="77777777" w:rsidR="00C232D7" w:rsidRPr="00C92E31" w:rsidRDefault="00C232D7" w:rsidP="00C232D7">
      <w:pPr>
        <w:rPr>
          <w:rFonts w:ascii="Arial" w:hAnsi="Arial" w:cs="Arial"/>
          <w:lang w:val="sq-AL"/>
        </w:rPr>
      </w:pPr>
      <w:r w:rsidRPr="00C92E31">
        <w:rPr>
          <w:rFonts w:ascii="Arial" w:hAnsi="Arial" w:cs="Arial"/>
          <w:i/>
          <w:lang w:val="sq-AL"/>
        </w:rPr>
        <w:t xml:space="preserve"> </w:t>
      </w:r>
    </w:p>
    <w:p w14:paraId="1EAA4C22" w14:textId="77777777" w:rsidR="00C232D7" w:rsidRPr="002A6F4E" w:rsidRDefault="00C232D7" w:rsidP="00C232D7">
      <w:pPr>
        <w:rPr>
          <w:rFonts w:ascii="Arial" w:hAnsi="Arial" w:cs="Arial"/>
        </w:rPr>
      </w:pPr>
      <w:r w:rsidRPr="002A6F4E">
        <w:rPr>
          <w:rFonts w:ascii="Arial" w:hAnsi="Arial" w:cs="Arial"/>
          <w:noProof/>
          <w:lang w:val="en-US"/>
        </w:rPr>
        <w:lastRenderedPageBreak/>
        <mc:AlternateContent>
          <mc:Choice Requires="wpg">
            <w:drawing>
              <wp:inline distT="0" distB="0" distL="0" distR="0" wp14:anchorId="73678D51" wp14:editId="66A557AE">
                <wp:extent cx="5492268" cy="2167108"/>
                <wp:effectExtent l="0" t="0" r="0" b="0"/>
                <wp:docPr id="895827" name="Group 895827"/>
                <wp:cNvGraphicFramePr/>
                <a:graphic xmlns:a="http://schemas.openxmlformats.org/drawingml/2006/main">
                  <a:graphicData uri="http://schemas.microsoft.com/office/word/2010/wordprocessingGroup">
                    <wpg:wgp>
                      <wpg:cNvGrpSpPr/>
                      <wpg:grpSpPr>
                        <a:xfrm>
                          <a:off x="0" y="0"/>
                          <a:ext cx="5492268" cy="2167108"/>
                          <a:chOff x="0" y="0"/>
                          <a:chExt cx="5492268" cy="2167108"/>
                        </a:xfrm>
                      </wpg:grpSpPr>
                      <wps:wsp>
                        <wps:cNvPr id="40487" name="Shape 40487"/>
                        <wps:cNvSpPr/>
                        <wps:spPr>
                          <a:xfrm>
                            <a:off x="214325" y="871220"/>
                            <a:ext cx="1143203" cy="1143127"/>
                          </a:xfrm>
                          <a:custGeom>
                            <a:avLst/>
                            <a:gdLst/>
                            <a:ahLst/>
                            <a:cxnLst/>
                            <a:rect l="0" t="0" r="0" b="0"/>
                            <a:pathLst>
                              <a:path w="1143203" h="1143127">
                                <a:moveTo>
                                  <a:pt x="571576" y="0"/>
                                </a:moveTo>
                                <a:cubicBezTo>
                                  <a:pt x="887298" y="0"/>
                                  <a:pt x="1143203" y="255905"/>
                                  <a:pt x="1143203" y="571500"/>
                                </a:cubicBezTo>
                                <a:cubicBezTo>
                                  <a:pt x="1143203" y="887222"/>
                                  <a:pt x="887298" y="1143127"/>
                                  <a:pt x="571576" y="1143127"/>
                                </a:cubicBezTo>
                                <a:cubicBezTo>
                                  <a:pt x="255854" y="1143127"/>
                                  <a:pt x="0" y="887222"/>
                                  <a:pt x="0" y="571500"/>
                                </a:cubicBezTo>
                                <a:cubicBezTo>
                                  <a:pt x="0" y="508253"/>
                                  <a:pt x="10516" y="445388"/>
                                  <a:pt x="31191" y="385445"/>
                                </a:cubicBezTo>
                                <a:lnTo>
                                  <a:pt x="571576" y="571500"/>
                                </a:lnTo>
                                <a:lnTo>
                                  <a:pt x="571576"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40488" name="Shape 40488"/>
                        <wps:cNvSpPr/>
                        <wps:spPr>
                          <a:xfrm>
                            <a:off x="214325" y="871220"/>
                            <a:ext cx="1143203" cy="1143127"/>
                          </a:xfrm>
                          <a:custGeom>
                            <a:avLst/>
                            <a:gdLst/>
                            <a:ahLst/>
                            <a:cxnLst/>
                            <a:rect l="0" t="0" r="0" b="0"/>
                            <a:pathLst>
                              <a:path w="1143203" h="1143127">
                                <a:moveTo>
                                  <a:pt x="571576" y="0"/>
                                </a:moveTo>
                                <a:cubicBezTo>
                                  <a:pt x="887298" y="0"/>
                                  <a:pt x="1143203" y="255905"/>
                                  <a:pt x="1143203" y="571500"/>
                                </a:cubicBezTo>
                                <a:cubicBezTo>
                                  <a:pt x="1143203" y="887222"/>
                                  <a:pt x="887298" y="1143127"/>
                                  <a:pt x="571576" y="1143127"/>
                                </a:cubicBezTo>
                                <a:cubicBezTo>
                                  <a:pt x="255854" y="1143127"/>
                                  <a:pt x="0" y="887222"/>
                                  <a:pt x="0" y="571500"/>
                                </a:cubicBezTo>
                                <a:cubicBezTo>
                                  <a:pt x="0" y="508253"/>
                                  <a:pt x="10516" y="445388"/>
                                  <a:pt x="31191" y="385445"/>
                                </a:cubicBezTo>
                                <a:lnTo>
                                  <a:pt x="571576" y="57150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489" name="Shape 40489"/>
                        <wps:cNvSpPr/>
                        <wps:spPr>
                          <a:xfrm>
                            <a:off x="245516" y="1200277"/>
                            <a:ext cx="540385" cy="242443"/>
                          </a:xfrm>
                          <a:custGeom>
                            <a:avLst/>
                            <a:gdLst/>
                            <a:ahLst/>
                            <a:cxnLst/>
                            <a:rect l="0" t="0" r="0" b="0"/>
                            <a:pathLst>
                              <a:path w="540385" h="242443">
                                <a:moveTo>
                                  <a:pt x="22733" y="0"/>
                                </a:moveTo>
                                <a:lnTo>
                                  <a:pt x="540385" y="242443"/>
                                </a:lnTo>
                                <a:lnTo>
                                  <a:pt x="0" y="56388"/>
                                </a:lnTo>
                                <a:cubicBezTo>
                                  <a:pt x="6604" y="37211"/>
                                  <a:pt x="14224" y="18415"/>
                                  <a:pt x="22733"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40490" name="Shape 40490"/>
                        <wps:cNvSpPr/>
                        <wps:spPr>
                          <a:xfrm>
                            <a:off x="245516" y="1200277"/>
                            <a:ext cx="540385" cy="242443"/>
                          </a:xfrm>
                          <a:custGeom>
                            <a:avLst/>
                            <a:gdLst/>
                            <a:ahLst/>
                            <a:cxnLst/>
                            <a:rect l="0" t="0" r="0" b="0"/>
                            <a:pathLst>
                              <a:path w="540385" h="242443">
                                <a:moveTo>
                                  <a:pt x="0" y="56388"/>
                                </a:moveTo>
                                <a:cubicBezTo>
                                  <a:pt x="6604" y="37211"/>
                                  <a:pt x="14224" y="18415"/>
                                  <a:pt x="22733" y="0"/>
                                </a:cubicBezTo>
                                <a:lnTo>
                                  <a:pt x="540385" y="242443"/>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491" name="Shape 40491"/>
                        <wps:cNvSpPr/>
                        <wps:spPr>
                          <a:xfrm>
                            <a:off x="268249" y="1151382"/>
                            <a:ext cx="517652" cy="291338"/>
                          </a:xfrm>
                          <a:custGeom>
                            <a:avLst/>
                            <a:gdLst/>
                            <a:ahLst/>
                            <a:cxnLst/>
                            <a:rect l="0" t="0" r="0" b="0"/>
                            <a:pathLst>
                              <a:path w="517652" h="291338">
                                <a:moveTo>
                                  <a:pt x="25908" y="0"/>
                                </a:moveTo>
                                <a:lnTo>
                                  <a:pt x="517652" y="291338"/>
                                </a:lnTo>
                                <a:lnTo>
                                  <a:pt x="0" y="48895"/>
                                </a:lnTo>
                                <a:cubicBezTo>
                                  <a:pt x="7874" y="32258"/>
                                  <a:pt x="16510" y="15875"/>
                                  <a:pt x="25908" y="0"/>
                                </a:cubicBez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40492" name="Shape 40492"/>
                        <wps:cNvSpPr/>
                        <wps:spPr>
                          <a:xfrm>
                            <a:off x="268249" y="1151382"/>
                            <a:ext cx="517652" cy="291338"/>
                          </a:xfrm>
                          <a:custGeom>
                            <a:avLst/>
                            <a:gdLst/>
                            <a:ahLst/>
                            <a:cxnLst/>
                            <a:rect l="0" t="0" r="0" b="0"/>
                            <a:pathLst>
                              <a:path w="517652" h="291338">
                                <a:moveTo>
                                  <a:pt x="0" y="48895"/>
                                </a:moveTo>
                                <a:cubicBezTo>
                                  <a:pt x="7874" y="32258"/>
                                  <a:pt x="16510" y="15875"/>
                                  <a:pt x="25908" y="0"/>
                                </a:cubicBezTo>
                                <a:lnTo>
                                  <a:pt x="517652" y="291338"/>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493" name="Shape 40493"/>
                        <wps:cNvSpPr/>
                        <wps:spPr>
                          <a:xfrm>
                            <a:off x="294157" y="980694"/>
                            <a:ext cx="491744" cy="462026"/>
                          </a:xfrm>
                          <a:custGeom>
                            <a:avLst/>
                            <a:gdLst/>
                            <a:ahLst/>
                            <a:cxnLst/>
                            <a:rect l="0" t="0" r="0" b="0"/>
                            <a:pathLst>
                              <a:path w="491744" h="462026">
                                <a:moveTo>
                                  <a:pt x="155321" y="0"/>
                                </a:moveTo>
                                <a:lnTo>
                                  <a:pt x="491744" y="462026"/>
                                </a:lnTo>
                                <a:lnTo>
                                  <a:pt x="0" y="170688"/>
                                </a:lnTo>
                                <a:cubicBezTo>
                                  <a:pt x="39624" y="103886"/>
                                  <a:pt x="92456" y="45720"/>
                                  <a:pt x="155321" y="0"/>
                                </a:cubicBez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40494" name="Shape 40494"/>
                        <wps:cNvSpPr/>
                        <wps:spPr>
                          <a:xfrm>
                            <a:off x="294157" y="980694"/>
                            <a:ext cx="491744" cy="462026"/>
                          </a:xfrm>
                          <a:custGeom>
                            <a:avLst/>
                            <a:gdLst/>
                            <a:ahLst/>
                            <a:cxnLst/>
                            <a:rect l="0" t="0" r="0" b="0"/>
                            <a:pathLst>
                              <a:path w="491744" h="462026">
                                <a:moveTo>
                                  <a:pt x="0" y="170688"/>
                                </a:moveTo>
                                <a:cubicBezTo>
                                  <a:pt x="39624" y="103886"/>
                                  <a:pt x="92456" y="45720"/>
                                  <a:pt x="155321" y="0"/>
                                </a:cubicBezTo>
                                <a:lnTo>
                                  <a:pt x="491744" y="462026"/>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495" name="Shape 40495"/>
                        <wps:cNvSpPr/>
                        <wps:spPr>
                          <a:xfrm>
                            <a:off x="449478" y="958977"/>
                            <a:ext cx="336423" cy="483743"/>
                          </a:xfrm>
                          <a:custGeom>
                            <a:avLst/>
                            <a:gdLst/>
                            <a:ahLst/>
                            <a:cxnLst/>
                            <a:rect l="0" t="0" r="0" b="0"/>
                            <a:pathLst>
                              <a:path w="336423" h="483743">
                                <a:moveTo>
                                  <a:pt x="32131" y="0"/>
                                </a:moveTo>
                                <a:lnTo>
                                  <a:pt x="336423" y="483743"/>
                                </a:lnTo>
                                <a:lnTo>
                                  <a:pt x="0" y="21717"/>
                                </a:lnTo>
                                <a:cubicBezTo>
                                  <a:pt x="10414" y="14097"/>
                                  <a:pt x="21082" y="6858"/>
                                  <a:pt x="32131"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40496" name="Shape 40496"/>
                        <wps:cNvSpPr/>
                        <wps:spPr>
                          <a:xfrm>
                            <a:off x="449478" y="958977"/>
                            <a:ext cx="336423" cy="483743"/>
                          </a:xfrm>
                          <a:custGeom>
                            <a:avLst/>
                            <a:gdLst/>
                            <a:ahLst/>
                            <a:cxnLst/>
                            <a:rect l="0" t="0" r="0" b="0"/>
                            <a:pathLst>
                              <a:path w="336423" h="483743">
                                <a:moveTo>
                                  <a:pt x="0" y="21717"/>
                                </a:moveTo>
                                <a:cubicBezTo>
                                  <a:pt x="10414" y="14097"/>
                                  <a:pt x="21082" y="6858"/>
                                  <a:pt x="32131" y="0"/>
                                </a:cubicBezTo>
                                <a:lnTo>
                                  <a:pt x="336423" y="483743"/>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497" name="Shape 40497"/>
                        <wps:cNvSpPr/>
                        <wps:spPr>
                          <a:xfrm>
                            <a:off x="481609" y="905510"/>
                            <a:ext cx="304292" cy="537211"/>
                          </a:xfrm>
                          <a:custGeom>
                            <a:avLst/>
                            <a:gdLst/>
                            <a:ahLst/>
                            <a:cxnLst/>
                            <a:rect l="0" t="0" r="0" b="0"/>
                            <a:pathLst>
                              <a:path w="304292" h="537211">
                                <a:moveTo>
                                  <a:pt x="109093" y="0"/>
                                </a:moveTo>
                                <a:lnTo>
                                  <a:pt x="304292" y="537211"/>
                                </a:lnTo>
                                <a:lnTo>
                                  <a:pt x="0" y="53467"/>
                                </a:lnTo>
                                <a:cubicBezTo>
                                  <a:pt x="34290" y="31877"/>
                                  <a:pt x="70866" y="13970"/>
                                  <a:pt x="109093" y="0"/>
                                </a:cubicBezTo>
                                <a:close/>
                              </a:path>
                            </a:pathLst>
                          </a:custGeom>
                          <a:ln w="0" cap="flat">
                            <a:round/>
                          </a:ln>
                        </wps:spPr>
                        <wps:style>
                          <a:lnRef idx="0">
                            <a:srgbClr val="000000">
                              <a:alpha val="0"/>
                            </a:srgbClr>
                          </a:lnRef>
                          <a:fillRef idx="1">
                            <a:srgbClr val="70AD47"/>
                          </a:fillRef>
                          <a:effectRef idx="0">
                            <a:scrgbClr r="0" g="0" b="0"/>
                          </a:effectRef>
                          <a:fontRef idx="none"/>
                        </wps:style>
                        <wps:bodyPr/>
                      </wps:wsp>
                      <wps:wsp>
                        <wps:cNvPr id="40498" name="Shape 40498"/>
                        <wps:cNvSpPr/>
                        <wps:spPr>
                          <a:xfrm>
                            <a:off x="481609" y="905510"/>
                            <a:ext cx="304292" cy="537211"/>
                          </a:xfrm>
                          <a:custGeom>
                            <a:avLst/>
                            <a:gdLst/>
                            <a:ahLst/>
                            <a:cxnLst/>
                            <a:rect l="0" t="0" r="0" b="0"/>
                            <a:pathLst>
                              <a:path w="304292" h="537211">
                                <a:moveTo>
                                  <a:pt x="0" y="53467"/>
                                </a:moveTo>
                                <a:cubicBezTo>
                                  <a:pt x="34290" y="31877"/>
                                  <a:pt x="70866" y="13970"/>
                                  <a:pt x="109093" y="0"/>
                                </a:cubicBezTo>
                                <a:lnTo>
                                  <a:pt x="304292" y="537211"/>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499" name="Shape 40499"/>
                        <wps:cNvSpPr/>
                        <wps:spPr>
                          <a:xfrm>
                            <a:off x="590702" y="893572"/>
                            <a:ext cx="195199" cy="549149"/>
                          </a:xfrm>
                          <a:custGeom>
                            <a:avLst/>
                            <a:gdLst/>
                            <a:ahLst/>
                            <a:cxnLst/>
                            <a:rect l="0" t="0" r="0" b="0"/>
                            <a:pathLst>
                              <a:path w="195199" h="549149">
                                <a:moveTo>
                                  <a:pt x="36830" y="0"/>
                                </a:moveTo>
                                <a:lnTo>
                                  <a:pt x="195199" y="549149"/>
                                </a:lnTo>
                                <a:lnTo>
                                  <a:pt x="0" y="11938"/>
                                </a:lnTo>
                                <a:cubicBezTo>
                                  <a:pt x="12065" y="7620"/>
                                  <a:pt x="24384" y="3556"/>
                                  <a:pt x="36830" y="0"/>
                                </a:cubicBezTo>
                                <a:close/>
                              </a:path>
                            </a:pathLst>
                          </a:custGeom>
                          <a:ln w="0" cap="flat">
                            <a:round/>
                          </a:ln>
                        </wps:spPr>
                        <wps:style>
                          <a:lnRef idx="0">
                            <a:srgbClr val="000000">
                              <a:alpha val="0"/>
                            </a:srgbClr>
                          </a:lnRef>
                          <a:fillRef idx="1">
                            <a:srgbClr val="255E91"/>
                          </a:fillRef>
                          <a:effectRef idx="0">
                            <a:scrgbClr r="0" g="0" b="0"/>
                          </a:effectRef>
                          <a:fontRef idx="none"/>
                        </wps:style>
                        <wps:bodyPr/>
                      </wps:wsp>
                      <wps:wsp>
                        <wps:cNvPr id="40500" name="Shape 40500"/>
                        <wps:cNvSpPr/>
                        <wps:spPr>
                          <a:xfrm>
                            <a:off x="590702" y="893572"/>
                            <a:ext cx="195199" cy="549149"/>
                          </a:xfrm>
                          <a:custGeom>
                            <a:avLst/>
                            <a:gdLst/>
                            <a:ahLst/>
                            <a:cxnLst/>
                            <a:rect l="0" t="0" r="0" b="0"/>
                            <a:pathLst>
                              <a:path w="195199" h="549149">
                                <a:moveTo>
                                  <a:pt x="0" y="11938"/>
                                </a:moveTo>
                                <a:cubicBezTo>
                                  <a:pt x="12065" y="7620"/>
                                  <a:pt x="24384" y="3556"/>
                                  <a:pt x="36830" y="0"/>
                                </a:cubicBezTo>
                                <a:lnTo>
                                  <a:pt x="195199" y="549149"/>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01" name="Shape 40501"/>
                        <wps:cNvSpPr/>
                        <wps:spPr>
                          <a:xfrm>
                            <a:off x="627532" y="890651"/>
                            <a:ext cx="158369" cy="552069"/>
                          </a:xfrm>
                          <a:custGeom>
                            <a:avLst/>
                            <a:gdLst/>
                            <a:ahLst/>
                            <a:cxnLst/>
                            <a:rect l="0" t="0" r="0" b="0"/>
                            <a:pathLst>
                              <a:path w="158369" h="552069">
                                <a:moveTo>
                                  <a:pt x="10668" y="0"/>
                                </a:moveTo>
                                <a:lnTo>
                                  <a:pt x="158369" y="552069"/>
                                </a:lnTo>
                                <a:lnTo>
                                  <a:pt x="0" y="2921"/>
                                </a:lnTo>
                                <a:cubicBezTo>
                                  <a:pt x="3556" y="1905"/>
                                  <a:pt x="7112" y="889"/>
                                  <a:pt x="10668" y="0"/>
                                </a:cubicBezTo>
                                <a:close/>
                              </a:path>
                            </a:pathLst>
                          </a:custGeom>
                          <a:ln w="0" cap="flat">
                            <a:round/>
                          </a:ln>
                        </wps:spPr>
                        <wps:style>
                          <a:lnRef idx="0">
                            <a:srgbClr val="000000">
                              <a:alpha val="0"/>
                            </a:srgbClr>
                          </a:lnRef>
                          <a:fillRef idx="1">
                            <a:srgbClr val="9E480E"/>
                          </a:fillRef>
                          <a:effectRef idx="0">
                            <a:scrgbClr r="0" g="0" b="0"/>
                          </a:effectRef>
                          <a:fontRef idx="none"/>
                        </wps:style>
                        <wps:bodyPr/>
                      </wps:wsp>
                      <wps:wsp>
                        <wps:cNvPr id="40502" name="Shape 40502"/>
                        <wps:cNvSpPr/>
                        <wps:spPr>
                          <a:xfrm>
                            <a:off x="627532" y="890651"/>
                            <a:ext cx="158369" cy="552069"/>
                          </a:xfrm>
                          <a:custGeom>
                            <a:avLst/>
                            <a:gdLst/>
                            <a:ahLst/>
                            <a:cxnLst/>
                            <a:rect l="0" t="0" r="0" b="0"/>
                            <a:pathLst>
                              <a:path w="158369" h="552069">
                                <a:moveTo>
                                  <a:pt x="0" y="2921"/>
                                </a:moveTo>
                                <a:cubicBezTo>
                                  <a:pt x="3556" y="1905"/>
                                  <a:pt x="7112" y="889"/>
                                  <a:pt x="10668" y="0"/>
                                </a:cubicBezTo>
                                <a:lnTo>
                                  <a:pt x="158369" y="552069"/>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03" name="Shape 40503"/>
                        <wps:cNvSpPr/>
                        <wps:spPr>
                          <a:xfrm>
                            <a:off x="638200" y="871855"/>
                            <a:ext cx="147701" cy="570865"/>
                          </a:xfrm>
                          <a:custGeom>
                            <a:avLst/>
                            <a:gdLst/>
                            <a:ahLst/>
                            <a:cxnLst/>
                            <a:rect l="0" t="0" r="0" b="0"/>
                            <a:pathLst>
                              <a:path w="147701" h="570865">
                                <a:moveTo>
                                  <a:pt x="120015" y="0"/>
                                </a:moveTo>
                                <a:lnTo>
                                  <a:pt x="147701" y="570865"/>
                                </a:lnTo>
                                <a:lnTo>
                                  <a:pt x="0" y="18796"/>
                                </a:lnTo>
                                <a:cubicBezTo>
                                  <a:pt x="39243" y="8255"/>
                                  <a:pt x="79502" y="2032"/>
                                  <a:pt x="120015" y="0"/>
                                </a:cubicBezTo>
                                <a:close/>
                              </a:path>
                            </a:pathLst>
                          </a:custGeom>
                          <a:ln w="0" cap="flat">
                            <a:round/>
                          </a:ln>
                        </wps:spPr>
                        <wps:style>
                          <a:lnRef idx="0">
                            <a:srgbClr val="000000">
                              <a:alpha val="0"/>
                            </a:srgbClr>
                          </a:lnRef>
                          <a:fillRef idx="1">
                            <a:srgbClr val="636363"/>
                          </a:fillRef>
                          <a:effectRef idx="0">
                            <a:scrgbClr r="0" g="0" b="0"/>
                          </a:effectRef>
                          <a:fontRef idx="none"/>
                        </wps:style>
                        <wps:bodyPr/>
                      </wps:wsp>
                      <wps:wsp>
                        <wps:cNvPr id="40504" name="Shape 40504"/>
                        <wps:cNvSpPr/>
                        <wps:spPr>
                          <a:xfrm>
                            <a:off x="638200" y="871855"/>
                            <a:ext cx="147701" cy="570865"/>
                          </a:xfrm>
                          <a:custGeom>
                            <a:avLst/>
                            <a:gdLst/>
                            <a:ahLst/>
                            <a:cxnLst/>
                            <a:rect l="0" t="0" r="0" b="0"/>
                            <a:pathLst>
                              <a:path w="147701" h="570865">
                                <a:moveTo>
                                  <a:pt x="0" y="18796"/>
                                </a:moveTo>
                                <a:cubicBezTo>
                                  <a:pt x="39243" y="8255"/>
                                  <a:pt x="79502" y="2032"/>
                                  <a:pt x="120015" y="0"/>
                                </a:cubicBezTo>
                                <a:lnTo>
                                  <a:pt x="147701" y="57086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05" name="Shape 40505"/>
                        <wps:cNvSpPr/>
                        <wps:spPr>
                          <a:xfrm>
                            <a:off x="758215" y="871220"/>
                            <a:ext cx="27686" cy="571500"/>
                          </a:xfrm>
                          <a:custGeom>
                            <a:avLst/>
                            <a:gdLst/>
                            <a:ahLst/>
                            <a:cxnLst/>
                            <a:rect l="0" t="0" r="0" b="0"/>
                            <a:pathLst>
                              <a:path w="27686" h="571500">
                                <a:moveTo>
                                  <a:pt x="27686" y="0"/>
                                </a:moveTo>
                                <a:lnTo>
                                  <a:pt x="27686" y="571500"/>
                                </a:lnTo>
                                <a:lnTo>
                                  <a:pt x="0" y="635"/>
                                </a:lnTo>
                                <a:cubicBezTo>
                                  <a:pt x="9271" y="253"/>
                                  <a:pt x="18415" y="0"/>
                                  <a:pt x="27686" y="0"/>
                                </a:cubicBezTo>
                                <a:close/>
                              </a:path>
                            </a:pathLst>
                          </a:custGeom>
                          <a:ln w="0" cap="flat">
                            <a:round/>
                          </a:ln>
                        </wps:spPr>
                        <wps:style>
                          <a:lnRef idx="0">
                            <a:srgbClr val="000000">
                              <a:alpha val="0"/>
                            </a:srgbClr>
                          </a:lnRef>
                          <a:fillRef idx="1">
                            <a:srgbClr val="997300"/>
                          </a:fillRef>
                          <a:effectRef idx="0">
                            <a:scrgbClr r="0" g="0" b="0"/>
                          </a:effectRef>
                          <a:fontRef idx="none"/>
                        </wps:style>
                        <wps:bodyPr/>
                      </wps:wsp>
                      <wps:wsp>
                        <wps:cNvPr id="40506" name="Shape 40506"/>
                        <wps:cNvSpPr/>
                        <wps:spPr>
                          <a:xfrm>
                            <a:off x="758215" y="871220"/>
                            <a:ext cx="27686" cy="571500"/>
                          </a:xfrm>
                          <a:custGeom>
                            <a:avLst/>
                            <a:gdLst/>
                            <a:ahLst/>
                            <a:cxnLst/>
                            <a:rect l="0" t="0" r="0" b="0"/>
                            <a:pathLst>
                              <a:path w="27686" h="571500">
                                <a:moveTo>
                                  <a:pt x="0" y="635"/>
                                </a:moveTo>
                                <a:cubicBezTo>
                                  <a:pt x="9271" y="253"/>
                                  <a:pt x="18415" y="0"/>
                                  <a:pt x="27686" y="0"/>
                                </a:cubicBezTo>
                                <a:lnTo>
                                  <a:pt x="27686" y="57150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07" name="Shape 40507"/>
                        <wps:cNvSpPr/>
                        <wps:spPr>
                          <a:xfrm>
                            <a:off x="785901" y="871220"/>
                            <a:ext cx="0" cy="571500"/>
                          </a:xfrm>
                          <a:custGeom>
                            <a:avLst/>
                            <a:gdLst/>
                            <a:ahLst/>
                            <a:cxnLst/>
                            <a:rect l="0" t="0" r="0" b="0"/>
                            <a:pathLst>
                              <a:path h="571500">
                                <a:moveTo>
                                  <a:pt x="0" y="0"/>
                                </a:moveTo>
                                <a:lnTo>
                                  <a:pt x="0" y="57150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08" name="Shape 40508"/>
                        <wps:cNvSpPr/>
                        <wps:spPr>
                          <a:xfrm>
                            <a:off x="255422" y="1097407"/>
                            <a:ext cx="0" cy="131063"/>
                          </a:xfrm>
                          <a:custGeom>
                            <a:avLst/>
                            <a:gdLst/>
                            <a:ahLst/>
                            <a:cxnLst/>
                            <a:rect l="0" t="0" r="0" b="0"/>
                            <a:pathLst>
                              <a:path h="131063">
                                <a:moveTo>
                                  <a:pt x="0" y="131063"/>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09" name="Shape 40509"/>
                        <wps:cNvSpPr/>
                        <wps:spPr>
                          <a:xfrm>
                            <a:off x="281330" y="909955"/>
                            <a:ext cx="0" cy="265176"/>
                          </a:xfrm>
                          <a:custGeom>
                            <a:avLst/>
                            <a:gdLst/>
                            <a:ahLst/>
                            <a:cxnLst/>
                            <a:rect l="0" t="0" r="0" b="0"/>
                            <a:pathLst>
                              <a:path h="265176">
                                <a:moveTo>
                                  <a:pt x="0" y="265176"/>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10" name="Shape 40510"/>
                        <wps:cNvSpPr/>
                        <wps:spPr>
                          <a:xfrm>
                            <a:off x="310286" y="692023"/>
                            <a:ext cx="53340" cy="365761"/>
                          </a:xfrm>
                          <a:custGeom>
                            <a:avLst/>
                            <a:gdLst/>
                            <a:ahLst/>
                            <a:cxnLst/>
                            <a:rect l="0" t="0" r="0" b="0"/>
                            <a:pathLst>
                              <a:path w="53340" h="365761">
                                <a:moveTo>
                                  <a:pt x="53340" y="365761"/>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11" name="Shape 40511"/>
                        <wps:cNvSpPr/>
                        <wps:spPr>
                          <a:xfrm>
                            <a:off x="302666" y="533527"/>
                            <a:ext cx="163068" cy="435864"/>
                          </a:xfrm>
                          <a:custGeom>
                            <a:avLst/>
                            <a:gdLst/>
                            <a:ahLst/>
                            <a:cxnLst/>
                            <a:rect l="0" t="0" r="0" b="0"/>
                            <a:pathLst>
                              <a:path w="163068" h="435864">
                                <a:moveTo>
                                  <a:pt x="163068" y="435864"/>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12" name="Shape 40512"/>
                        <wps:cNvSpPr/>
                        <wps:spPr>
                          <a:xfrm>
                            <a:off x="464210" y="359791"/>
                            <a:ext cx="70104" cy="569976"/>
                          </a:xfrm>
                          <a:custGeom>
                            <a:avLst/>
                            <a:gdLst/>
                            <a:ahLst/>
                            <a:cxnLst/>
                            <a:rect l="0" t="0" r="0" b="0"/>
                            <a:pathLst>
                              <a:path w="70104" h="569976">
                                <a:moveTo>
                                  <a:pt x="70104" y="569976"/>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13" name="Shape 40513"/>
                        <wps:cNvSpPr/>
                        <wps:spPr>
                          <a:xfrm>
                            <a:off x="608990" y="128143"/>
                            <a:ext cx="0" cy="771144"/>
                          </a:xfrm>
                          <a:custGeom>
                            <a:avLst/>
                            <a:gdLst/>
                            <a:ahLst/>
                            <a:cxnLst/>
                            <a:rect l="0" t="0" r="0" b="0"/>
                            <a:pathLst>
                              <a:path h="771144">
                                <a:moveTo>
                                  <a:pt x="0" y="771144"/>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14" name="Shape 40514"/>
                        <wps:cNvSpPr/>
                        <wps:spPr>
                          <a:xfrm>
                            <a:off x="633374" y="82423"/>
                            <a:ext cx="210312" cy="809244"/>
                          </a:xfrm>
                          <a:custGeom>
                            <a:avLst/>
                            <a:gdLst/>
                            <a:ahLst/>
                            <a:cxnLst/>
                            <a:rect l="0" t="0" r="0" b="0"/>
                            <a:pathLst>
                              <a:path w="210312" h="809244">
                                <a:moveTo>
                                  <a:pt x="0" y="809244"/>
                                </a:moveTo>
                                <a:lnTo>
                                  <a:pt x="153924" y="0"/>
                                </a:lnTo>
                                <a:lnTo>
                                  <a:pt x="210312"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15" name="Shape 40515"/>
                        <wps:cNvSpPr/>
                        <wps:spPr>
                          <a:xfrm>
                            <a:off x="697382" y="298831"/>
                            <a:ext cx="169164" cy="579120"/>
                          </a:xfrm>
                          <a:custGeom>
                            <a:avLst/>
                            <a:gdLst/>
                            <a:ahLst/>
                            <a:cxnLst/>
                            <a:rect l="0" t="0" r="0" b="0"/>
                            <a:pathLst>
                              <a:path w="169164" h="579120">
                                <a:moveTo>
                                  <a:pt x="0" y="579120"/>
                                </a:moveTo>
                                <a:lnTo>
                                  <a:pt x="111252" y="0"/>
                                </a:lnTo>
                                <a:lnTo>
                                  <a:pt x="169164"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16" name="Shape 40516"/>
                        <wps:cNvSpPr/>
                        <wps:spPr>
                          <a:xfrm>
                            <a:off x="772059" y="507619"/>
                            <a:ext cx="108204" cy="364236"/>
                          </a:xfrm>
                          <a:custGeom>
                            <a:avLst/>
                            <a:gdLst/>
                            <a:ahLst/>
                            <a:cxnLst/>
                            <a:rect l="0" t="0" r="0" b="0"/>
                            <a:pathLst>
                              <a:path w="108204" h="364236">
                                <a:moveTo>
                                  <a:pt x="0" y="364236"/>
                                </a:moveTo>
                                <a:lnTo>
                                  <a:pt x="50292" y="0"/>
                                </a:lnTo>
                                <a:lnTo>
                                  <a:pt x="108204"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17" name="Shape 40517"/>
                        <wps:cNvSpPr/>
                        <wps:spPr>
                          <a:xfrm>
                            <a:off x="785774" y="736219"/>
                            <a:ext cx="94488" cy="135636"/>
                          </a:xfrm>
                          <a:custGeom>
                            <a:avLst/>
                            <a:gdLst/>
                            <a:ahLst/>
                            <a:cxnLst/>
                            <a:rect l="0" t="0" r="0" b="0"/>
                            <a:pathLst>
                              <a:path w="94488" h="135636">
                                <a:moveTo>
                                  <a:pt x="0" y="135636"/>
                                </a:moveTo>
                                <a:lnTo>
                                  <a:pt x="38100" y="0"/>
                                </a:lnTo>
                                <a:lnTo>
                                  <a:pt x="94488"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18" name="Rectangle 40518"/>
                        <wps:cNvSpPr/>
                        <wps:spPr>
                          <a:xfrm>
                            <a:off x="829335" y="1533779"/>
                            <a:ext cx="472323" cy="154840"/>
                          </a:xfrm>
                          <a:prstGeom prst="rect">
                            <a:avLst/>
                          </a:prstGeom>
                          <a:ln>
                            <a:noFill/>
                          </a:ln>
                        </wps:spPr>
                        <wps:txbx>
                          <w:txbxContent>
                            <w:p w14:paraId="4B1E3AE8" w14:textId="77777777" w:rsidR="0014164F" w:rsidRDefault="0014164F" w:rsidP="00C232D7">
                              <w:r>
                                <w:rPr>
                                  <w:rFonts w:ascii="Calibri" w:hAnsi="Calibri" w:cs="Calibri"/>
                                  <w:color w:val="404040"/>
                                  <w:sz w:val="18"/>
                                </w:rPr>
                                <w:t>Plastika</w:t>
                              </w:r>
                            </w:p>
                          </w:txbxContent>
                        </wps:txbx>
                        <wps:bodyPr horzOverflow="overflow" vert="horz" lIns="0" tIns="0" rIns="0" bIns="0" rtlCol="0">
                          <a:noAutofit/>
                        </wps:bodyPr>
                      </wps:wsp>
                      <wps:wsp>
                        <wps:cNvPr id="757096" name="Rectangle 757096"/>
                        <wps:cNvSpPr/>
                        <wps:spPr>
                          <a:xfrm>
                            <a:off x="835431" y="1673987"/>
                            <a:ext cx="346603" cy="154840"/>
                          </a:xfrm>
                          <a:prstGeom prst="rect">
                            <a:avLst/>
                          </a:prstGeom>
                          <a:ln>
                            <a:noFill/>
                          </a:ln>
                        </wps:spPr>
                        <wps:txbx>
                          <w:txbxContent>
                            <w:p w14:paraId="1E3728BF" w14:textId="77777777" w:rsidR="0014164F" w:rsidRDefault="0014164F" w:rsidP="00C232D7">
                              <w:r>
                                <w:rPr>
                                  <w:rFonts w:ascii="Calibri" w:hAnsi="Calibri" w:cs="Calibri"/>
                                  <w:color w:val="404040"/>
                                  <w:sz w:val="18"/>
                                </w:rPr>
                                <w:t>80.28</w:t>
                              </w:r>
                            </w:p>
                          </w:txbxContent>
                        </wps:txbx>
                        <wps:bodyPr horzOverflow="overflow" vert="horz" lIns="0" tIns="0" rIns="0" bIns="0" rtlCol="0">
                          <a:noAutofit/>
                        </wps:bodyPr>
                      </wps:wsp>
                      <wps:wsp>
                        <wps:cNvPr id="757097" name="Rectangle 757097"/>
                        <wps:cNvSpPr/>
                        <wps:spPr>
                          <a:xfrm>
                            <a:off x="1096035" y="1673987"/>
                            <a:ext cx="108694" cy="154840"/>
                          </a:xfrm>
                          <a:prstGeom prst="rect">
                            <a:avLst/>
                          </a:prstGeom>
                          <a:ln>
                            <a:noFill/>
                          </a:ln>
                        </wps:spPr>
                        <wps:txbx>
                          <w:txbxContent>
                            <w:p w14:paraId="6807815D"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85" name="Rectangle 757085"/>
                        <wps:cNvSpPr/>
                        <wps:spPr>
                          <a:xfrm>
                            <a:off x="202654" y="981202"/>
                            <a:ext cx="108694" cy="154840"/>
                          </a:xfrm>
                          <a:prstGeom prst="rect">
                            <a:avLst/>
                          </a:prstGeom>
                          <a:ln>
                            <a:noFill/>
                          </a:ln>
                        </wps:spPr>
                        <wps:txbx>
                          <w:txbxContent>
                            <w:p w14:paraId="6A1E1D03"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84" name="Rectangle 757084"/>
                        <wps:cNvSpPr/>
                        <wps:spPr>
                          <a:xfrm>
                            <a:off x="0" y="981202"/>
                            <a:ext cx="269530" cy="154840"/>
                          </a:xfrm>
                          <a:prstGeom prst="rect">
                            <a:avLst/>
                          </a:prstGeom>
                          <a:ln>
                            <a:noFill/>
                          </a:ln>
                        </wps:spPr>
                        <wps:txbx>
                          <w:txbxContent>
                            <w:p w14:paraId="1B3AD308" w14:textId="77777777" w:rsidR="0014164F" w:rsidRDefault="0014164F" w:rsidP="00C232D7">
                              <w:r>
                                <w:rPr>
                                  <w:rFonts w:ascii="Calibri" w:hAnsi="Calibri" w:cs="Calibri"/>
                                  <w:color w:val="404040"/>
                                  <w:sz w:val="18"/>
                                </w:rPr>
                                <w:t>1.69</w:t>
                              </w:r>
                            </w:p>
                          </w:txbxContent>
                        </wps:txbx>
                        <wps:bodyPr horzOverflow="overflow" vert="horz" lIns="0" tIns="0" rIns="0" bIns="0" rtlCol="0">
                          <a:noAutofit/>
                        </wps:bodyPr>
                      </wps:wsp>
                      <wps:wsp>
                        <wps:cNvPr id="757080" name="Rectangle 757080"/>
                        <wps:cNvSpPr/>
                        <wps:spPr>
                          <a:xfrm>
                            <a:off x="0" y="800100"/>
                            <a:ext cx="269530" cy="154840"/>
                          </a:xfrm>
                          <a:prstGeom prst="rect">
                            <a:avLst/>
                          </a:prstGeom>
                          <a:ln>
                            <a:noFill/>
                          </a:ln>
                        </wps:spPr>
                        <wps:txbx>
                          <w:txbxContent>
                            <w:p w14:paraId="3CB58997" w14:textId="77777777" w:rsidR="0014164F" w:rsidRDefault="0014164F" w:rsidP="00C232D7">
                              <w:r>
                                <w:rPr>
                                  <w:rFonts w:ascii="Calibri" w:hAnsi="Calibri" w:cs="Calibri"/>
                                  <w:color w:val="404040"/>
                                  <w:sz w:val="18"/>
                                </w:rPr>
                                <w:t>1.54</w:t>
                              </w:r>
                            </w:p>
                          </w:txbxContent>
                        </wps:txbx>
                        <wps:bodyPr horzOverflow="overflow" vert="horz" lIns="0" tIns="0" rIns="0" bIns="0" rtlCol="0">
                          <a:noAutofit/>
                        </wps:bodyPr>
                      </wps:wsp>
                      <wps:wsp>
                        <wps:cNvPr id="757081" name="Rectangle 757081"/>
                        <wps:cNvSpPr/>
                        <wps:spPr>
                          <a:xfrm>
                            <a:off x="202654" y="800100"/>
                            <a:ext cx="108694" cy="154840"/>
                          </a:xfrm>
                          <a:prstGeom prst="rect">
                            <a:avLst/>
                          </a:prstGeom>
                          <a:ln>
                            <a:noFill/>
                          </a:ln>
                        </wps:spPr>
                        <wps:txbx>
                          <w:txbxContent>
                            <w:p w14:paraId="2394F8AC"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71" name="Rectangle 757071"/>
                        <wps:cNvSpPr/>
                        <wps:spPr>
                          <a:xfrm>
                            <a:off x="202654" y="609600"/>
                            <a:ext cx="108694" cy="154840"/>
                          </a:xfrm>
                          <a:prstGeom prst="rect">
                            <a:avLst/>
                          </a:prstGeom>
                          <a:ln>
                            <a:noFill/>
                          </a:ln>
                        </wps:spPr>
                        <wps:txbx>
                          <w:txbxContent>
                            <w:p w14:paraId="25BC87AA"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70" name="Rectangle 757070"/>
                        <wps:cNvSpPr/>
                        <wps:spPr>
                          <a:xfrm>
                            <a:off x="0" y="609600"/>
                            <a:ext cx="269530" cy="154840"/>
                          </a:xfrm>
                          <a:prstGeom prst="rect">
                            <a:avLst/>
                          </a:prstGeom>
                          <a:ln>
                            <a:noFill/>
                          </a:ln>
                        </wps:spPr>
                        <wps:txbx>
                          <w:txbxContent>
                            <w:p w14:paraId="2F192787" w14:textId="77777777" w:rsidR="0014164F" w:rsidRDefault="0014164F" w:rsidP="00C232D7">
                              <w:r>
                                <w:rPr>
                                  <w:rFonts w:ascii="Calibri" w:hAnsi="Calibri" w:cs="Calibri"/>
                                  <w:color w:val="404040"/>
                                  <w:sz w:val="18"/>
                                </w:rPr>
                                <w:t>6.47</w:t>
                              </w:r>
                            </w:p>
                          </w:txbxContent>
                        </wps:txbx>
                        <wps:bodyPr horzOverflow="overflow" vert="horz" lIns="0" tIns="0" rIns="0" bIns="0" rtlCol="0">
                          <a:noAutofit/>
                        </wps:bodyPr>
                      </wps:wsp>
                      <wps:wsp>
                        <wps:cNvPr id="757063" name="Rectangle 757063"/>
                        <wps:cNvSpPr/>
                        <wps:spPr>
                          <a:xfrm>
                            <a:off x="202654" y="447802"/>
                            <a:ext cx="108694" cy="154840"/>
                          </a:xfrm>
                          <a:prstGeom prst="rect">
                            <a:avLst/>
                          </a:prstGeom>
                          <a:ln>
                            <a:noFill/>
                          </a:ln>
                        </wps:spPr>
                        <wps:txbx>
                          <w:txbxContent>
                            <w:p w14:paraId="019396DC"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61" name="Rectangle 757061"/>
                        <wps:cNvSpPr/>
                        <wps:spPr>
                          <a:xfrm>
                            <a:off x="0" y="447802"/>
                            <a:ext cx="269530" cy="154840"/>
                          </a:xfrm>
                          <a:prstGeom prst="rect">
                            <a:avLst/>
                          </a:prstGeom>
                          <a:ln>
                            <a:noFill/>
                          </a:ln>
                        </wps:spPr>
                        <wps:txbx>
                          <w:txbxContent>
                            <w:p w14:paraId="5E7A8250" w14:textId="77777777" w:rsidR="0014164F" w:rsidRDefault="0014164F" w:rsidP="00C232D7">
                              <w:r>
                                <w:rPr>
                                  <w:rFonts w:ascii="Calibri" w:hAnsi="Calibri" w:cs="Calibri"/>
                                  <w:color w:val="404040"/>
                                  <w:sz w:val="18"/>
                                </w:rPr>
                                <w:t>1.08</w:t>
                              </w:r>
                            </w:p>
                          </w:txbxContent>
                        </wps:txbx>
                        <wps:bodyPr horzOverflow="overflow" vert="horz" lIns="0" tIns="0" rIns="0" bIns="0" rtlCol="0">
                          <a:noAutofit/>
                        </wps:bodyPr>
                      </wps:wsp>
                      <wps:wsp>
                        <wps:cNvPr id="757057" name="Rectangle 757057"/>
                        <wps:cNvSpPr/>
                        <wps:spPr>
                          <a:xfrm>
                            <a:off x="355054" y="276225"/>
                            <a:ext cx="108694" cy="154840"/>
                          </a:xfrm>
                          <a:prstGeom prst="rect">
                            <a:avLst/>
                          </a:prstGeom>
                          <a:ln>
                            <a:noFill/>
                          </a:ln>
                        </wps:spPr>
                        <wps:txbx>
                          <w:txbxContent>
                            <w:p w14:paraId="43A5B2B9"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56" name="Rectangle 757056"/>
                        <wps:cNvSpPr/>
                        <wps:spPr>
                          <a:xfrm>
                            <a:off x="152400" y="276225"/>
                            <a:ext cx="269530" cy="154840"/>
                          </a:xfrm>
                          <a:prstGeom prst="rect">
                            <a:avLst/>
                          </a:prstGeom>
                          <a:ln>
                            <a:noFill/>
                          </a:ln>
                        </wps:spPr>
                        <wps:txbx>
                          <w:txbxContent>
                            <w:p w14:paraId="3E884260" w14:textId="77777777" w:rsidR="0014164F" w:rsidRDefault="0014164F" w:rsidP="00C232D7">
                              <w:r>
                                <w:rPr>
                                  <w:rFonts w:ascii="Calibri" w:hAnsi="Calibri" w:cs="Calibri"/>
                                  <w:color w:val="404040"/>
                                  <w:sz w:val="18"/>
                                </w:rPr>
                                <w:t>3.39</w:t>
                              </w:r>
                            </w:p>
                          </w:txbxContent>
                        </wps:txbx>
                        <wps:bodyPr horzOverflow="overflow" vert="horz" lIns="0" tIns="0" rIns="0" bIns="0" rtlCol="0">
                          <a:noAutofit/>
                        </wps:bodyPr>
                      </wps:wsp>
                      <wps:wsp>
                        <wps:cNvPr id="757053" name="Rectangle 757053"/>
                        <wps:cNvSpPr/>
                        <wps:spPr>
                          <a:xfrm>
                            <a:off x="659879" y="18923"/>
                            <a:ext cx="108694" cy="154840"/>
                          </a:xfrm>
                          <a:prstGeom prst="rect">
                            <a:avLst/>
                          </a:prstGeom>
                          <a:ln>
                            <a:noFill/>
                          </a:ln>
                        </wps:spPr>
                        <wps:txbx>
                          <w:txbxContent>
                            <w:p w14:paraId="6F5D1422"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51" name="Rectangle 757051"/>
                        <wps:cNvSpPr/>
                        <wps:spPr>
                          <a:xfrm>
                            <a:off x="457225" y="18923"/>
                            <a:ext cx="269530" cy="154840"/>
                          </a:xfrm>
                          <a:prstGeom prst="rect">
                            <a:avLst/>
                          </a:prstGeom>
                          <a:ln>
                            <a:noFill/>
                          </a:ln>
                        </wps:spPr>
                        <wps:txbx>
                          <w:txbxContent>
                            <w:p w14:paraId="3040B1D2" w14:textId="77777777" w:rsidR="0014164F" w:rsidRDefault="0014164F" w:rsidP="00C232D7">
                              <w:r>
                                <w:rPr>
                                  <w:rFonts w:ascii="Calibri" w:hAnsi="Calibri" w:cs="Calibri"/>
                                  <w:color w:val="404040"/>
                                  <w:sz w:val="18"/>
                                </w:rPr>
                                <w:t>1.08</w:t>
                              </w:r>
                            </w:p>
                          </w:txbxContent>
                        </wps:txbx>
                        <wps:bodyPr horzOverflow="overflow" vert="horz" lIns="0" tIns="0" rIns="0" bIns="0" rtlCol="0">
                          <a:noAutofit/>
                        </wps:bodyPr>
                      </wps:wsp>
                      <wps:wsp>
                        <wps:cNvPr id="757054" name="Rectangle 757054"/>
                        <wps:cNvSpPr/>
                        <wps:spPr>
                          <a:xfrm>
                            <a:off x="857402" y="0"/>
                            <a:ext cx="269530" cy="154840"/>
                          </a:xfrm>
                          <a:prstGeom prst="rect">
                            <a:avLst/>
                          </a:prstGeom>
                          <a:ln>
                            <a:noFill/>
                          </a:ln>
                        </wps:spPr>
                        <wps:txbx>
                          <w:txbxContent>
                            <w:p w14:paraId="43849E83" w14:textId="77777777" w:rsidR="0014164F" w:rsidRDefault="0014164F" w:rsidP="00C232D7">
                              <w:r>
                                <w:rPr>
                                  <w:rFonts w:ascii="Calibri" w:hAnsi="Calibri" w:cs="Calibri"/>
                                  <w:color w:val="404040"/>
                                  <w:sz w:val="18"/>
                                </w:rPr>
                                <w:t>0.31</w:t>
                              </w:r>
                            </w:p>
                          </w:txbxContent>
                        </wps:txbx>
                        <wps:bodyPr horzOverflow="overflow" vert="horz" lIns="0" tIns="0" rIns="0" bIns="0" rtlCol="0">
                          <a:noAutofit/>
                        </wps:bodyPr>
                      </wps:wsp>
                      <wps:wsp>
                        <wps:cNvPr id="757055" name="Rectangle 757055"/>
                        <wps:cNvSpPr/>
                        <wps:spPr>
                          <a:xfrm>
                            <a:off x="1060056" y="0"/>
                            <a:ext cx="108694" cy="154840"/>
                          </a:xfrm>
                          <a:prstGeom prst="rect">
                            <a:avLst/>
                          </a:prstGeom>
                          <a:ln>
                            <a:noFill/>
                          </a:ln>
                        </wps:spPr>
                        <wps:txbx>
                          <w:txbxContent>
                            <w:p w14:paraId="1736DC06"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60" name="Rectangle 757060"/>
                        <wps:cNvSpPr/>
                        <wps:spPr>
                          <a:xfrm>
                            <a:off x="1078979" y="219202"/>
                            <a:ext cx="108694" cy="154840"/>
                          </a:xfrm>
                          <a:prstGeom prst="rect">
                            <a:avLst/>
                          </a:prstGeom>
                          <a:ln>
                            <a:noFill/>
                          </a:ln>
                        </wps:spPr>
                        <wps:txbx>
                          <w:txbxContent>
                            <w:p w14:paraId="516DF9A9"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58" name="Rectangle 757058"/>
                        <wps:cNvSpPr/>
                        <wps:spPr>
                          <a:xfrm>
                            <a:off x="876325" y="219202"/>
                            <a:ext cx="269530" cy="154840"/>
                          </a:xfrm>
                          <a:prstGeom prst="rect">
                            <a:avLst/>
                          </a:prstGeom>
                          <a:ln>
                            <a:noFill/>
                          </a:ln>
                        </wps:spPr>
                        <wps:txbx>
                          <w:txbxContent>
                            <w:p w14:paraId="0B4DF846" w14:textId="77777777" w:rsidR="0014164F" w:rsidRDefault="0014164F" w:rsidP="00C232D7">
                              <w:r>
                                <w:rPr>
                                  <w:rFonts w:ascii="Calibri" w:hAnsi="Calibri" w:cs="Calibri"/>
                                  <w:color w:val="404040"/>
                                  <w:sz w:val="18"/>
                                </w:rPr>
                                <w:t>3.39</w:t>
                              </w:r>
                            </w:p>
                          </w:txbxContent>
                        </wps:txbx>
                        <wps:bodyPr horzOverflow="overflow" vert="horz" lIns="0" tIns="0" rIns="0" bIns="0" rtlCol="0">
                          <a:noAutofit/>
                        </wps:bodyPr>
                      </wps:wsp>
                      <wps:wsp>
                        <wps:cNvPr id="757064" name="Rectangle 757064"/>
                        <wps:cNvSpPr/>
                        <wps:spPr>
                          <a:xfrm>
                            <a:off x="895502" y="428625"/>
                            <a:ext cx="269530" cy="154840"/>
                          </a:xfrm>
                          <a:prstGeom prst="rect">
                            <a:avLst/>
                          </a:prstGeom>
                          <a:ln>
                            <a:noFill/>
                          </a:ln>
                        </wps:spPr>
                        <wps:txbx>
                          <w:txbxContent>
                            <w:p w14:paraId="5A5408BB" w14:textId="77777777" w:rsidR="0014164F" w:rsidRDefault="0014164F" w:rsidP="00C232D7">
                              <w:r>
                                <w:rPr>
                                  <w:rFonts w:ascii="Calibri" w:hAnsi="Calibri" w:cs="Calibri"/>
                                  <w:color w:val="404040"/>
                                  <w:sz w:val="18"/>
                                </w:rPr>
                                <w:t>0.77</w:t>
                              </w:r>
                            </w:p>
                          </w:txbxContent>
                        </wps:txbx>
                        <wps:bodyPr horzOverflow="overflow" vert="horz" lIns="0" tIns="0" rIns="0" bIns="0" rtlCol="0">
                          <a:noAutofit/>
                        </wps:bodyPr>
                      </wps:wsp>
                      <wps:wsp>
                        <wps:cNvPr id="757065" name="Rectangle 757065"/>
                        <wps:cNvSpPr/>
                        <wps:spPr>
                          <a:xfrm>
                            <a:off x="1098156" y="428625"/>
                            <a:ext cx="108694" cy="154840"/>
                          </a:xfrm>
                          <a:prstGeom prst="rect">
                            <a:avLst/>
                          </a:prstGeom>
                          <a:ln>
                            <a:noFill/>
                          </a:ln>
                        </wps:spPr>
                        <wps:txbx>
                          <w:txbxContent>
                            <w:p w14:paraId="7C89145A"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73" name="Rectangle 757073"/>
                        <wps:cNvSpPr/>
                        <wps:spPr>
                          <a:xfrm>
                            <a:off x="895502" y="657225"/>
                            <a:ext cx="269530" cy="154840"/>
                          </a:xfrm>
                          <a:prstGeom prst="rect">
                            <a:avLst/>
                          </a:prstGeom>
                          <a:ln>
                            <a:noFill/>
                          </a:ln>
                        </wps:spPr>
                        <wps:txbx>
                          <w:txbxContent>
                            <w:p w14:paraId="473F6476" w14:textId="77777777" w:rsidR="0014164F" w:rsidRDefault="0014164F" w:rsidP="00C232D7">
                              <w:r>
                                <w:rPr>
                                  <w:rFonts w:ascii="Calibri" w:hAnsi="Calibri" w:cs="Calibri"/>
                                  <w:color w:val="404040"/>
                                  <w:sz w:val="18"/>
                                </w:rPr>
                                <w:t>0.00</w:t>
                              </w:r>
                            </w:p>
                          </w:txbxContent>
                        </wps:txbx>
                        <wps:bodyPr horzOverflow="overflow" vert="horz" lIns="0" tIns="0" rIns="0" bIns="0" rtlCol="0">
                          <a:noAutofit/>
                        </wps:bodyPr>
                      </wps:wsp>
                      <wps:wsp>
                        <wps:cNvPr id="757074" name="Rectangle 757074"/>
                        <wps:cNvSpPr/>
                        <wps:spPr>
                          <a:xfrm>
                            <a:off x="1098156" y="657225"/>
                            <a:ext cx="108694" cy="154840"/>
                          </a:xfrm>
                          <a:prstGeom prst="rect">
                            <a:avLst/>
                          </a:prstGeom>
                          <a:ln>
                            <a:noFill/>
                          </a:ln>
                        </wps:spPr>
                        <wps:txbx>
                          <w:txbxContent>
                            <w:p w14:paraId="55794F67"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922131" name="Shape 922131"/>
                        <wps:cNvSpPr/>
                        <wps:spPr>
                          <a:xfrm>
                            <a:off x="1591209" y="60325"/>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0531" name="Shape 40531"/>
                        <wps:cNvSpPr/>
                        <wps:spPr>
                          <a:xfrm>
                            <a:off x="1591209" y="60325"/>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32" name="Rectangle 40532"/>
                        <wps:cNvSpPr/>
                        <wps:spPr>
                          <a:xfrm>
                            <a:off x="1664234" y="25322"/>
                            <a:ext cx="472753" cy="151421"/>
                          </a:xfrm>
                          <a:prstGeom prst="rect">
                            <a:avLst/>
                          </a:prstGeom>
                          <a:ln>
                            <a:noFill/>
                          </a:ln>
                        </wps:spPr>
                        <wps:txbx>
                          <w:txbxContent>
                            <w:p w14:paraId="434F66F3" w14:textId="77777777" w:rsidR="0014164F" w:rsidRDefault="0014164F" w:rsidP="00C232D7">
                              <w:r>
                                <w:rPr>
                                  <w:rFonts w:ascii="Arial" w:eastAsia="Arial" w:hAnsi="Arial" w:cs="Arial"/>
                                  <w:color w:val="595959"/>
                                  <w:sz w:val="16"/>
                                </w:rPr>
                                <w:t>Plastika</w:t>
                              </w:r>
                            </w:p>
                          </w:txbxContent>
                        </wps:txbx>
                        <wps:bodyPr horzOverflow="overflow" vert="horz" lIns="0" tIns="0" rIns="0" bIns="0" rtlCol="0">
                          <a:noAutofit/>
                        </wps:bodyPr>
                      </wps:wsp>
                      <wps:wsp>
                        <wps:cNvPr id="922132" name="Shape 922132"/>
                        <wps:cNvSpPr/>
                        <wps:spPr>
                          <a:xfrm>
                            <a:off x="1591209" y="261493"/>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0534" name="Shape 40534"/>
                        <wps:cNvSpPr/>
                        <wps:spPr>
                          <a:xfrm>
                            <a:off x="1591209" y="261493"/>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35" name="Rectangle 40535"/>
                        <wps:cNvSpPr/>
                        <wps:spPr>
                          <a:xfrm>
                            <a:off x="1664234" y="226871"/>
                            <a:ext cx="368999" cy="151421"/>
                          </a:xfrm>
                          <a:prstGeom prst="rect">
                            <a:avLst/>
                          </a:prstGeom>
                          <a:ln>
                            <a:noFill/>
                          </a:ln>
                        </wps:spPr>
                        <wps:txbx>
                          <w:txbxContent>
                            <w:p w14:paraId="5FF5E093" w14:textId="77777777" w:rsidR="0014164F" w:rsidRDefault="0014164F" w:rsidP="00C232D7">
                              <w:r>
                                <w:rPr>
                                  <w:rFonts w:ascii="Arial" w:eastAsia="Arial" w:hAnsi="Arial" w:cs="Arial"/>
                                  <w:color w:val="595959"/>
                                  <w:sz w:val="16"/>
                                </w:rPr>
                                <w:t>Guma</w:t>
                              </w:r>
                            </w:p>
                          </w:txbxContent>
                        </wps:txbx>
                        <wps:bodyPr horzOverflow="overflow" vert="horz" lIns="0" tIns="0" rIns="0" bIns="0" rtlCol="0">
                          <a:noAutofit/>
                        </wps:bodyPr>
                      </wps:wsp>
                      <wps:wsp>
                        <wps:cNvPr id="922133" name="Shape 922133"/>
                        <wps:cNvSpPr/>
                        <wps:spPr>
                          <a:xfrm>
                            <a:off x="1591209" y="462661"/>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0537" name="Shape 40537"/>
                        <wps:cNvSpPr/>
                        <wps:spPr>
                          <a:xfrm>
                            <a:off x="1591209" y="462661"/>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38" name="Rectangle 40538"/>
                        <wps:cNvSpPr/>
                        <wps:spPr>
                          <a:xfrm>
                            <a:off x="1664234" y="446744"/>
                            <a:ext cx="428189" cy="127647"/>
                          </a:xfrm>
                          <a:prstGeom prst="rect">
                            <a:avLst/>
                          </a:prstGeom>
                          <a:ln>
                            <a:noFill/>
                          </a:ln>
                        </wps:spPr>
                        <wps:txbx>
                          <w:txbxContent>
                            <w:p w14:paraId="24DC3EF2" w14:textId="77777777" w:rsidR="0014164F" w:rsidRDefault="0014164F" w:rsidP="00C232D7">
                              <w:r>
                                <w:rPr>
                                  <w:rFonts w:ascii="Arial" w:eastAsia="Arial" w:hAnsi="Arial" w:cs="Arial"/>
                                  <w:color w:val="595959"/>
                                  <w:sz w:val="16"/>
                                </w:rPr>
                                <w:t>Odjeća</w:t>
                              </w:r>
                            </w:p>
                          </w:txbxContent>
                        </wps:txbx>
                        <wps:bodyPr horzOverflow="overflow" vert="horz" lIns="0" tIns="0" rIns="0" bIns="0" rtlCol="0">
                          <a:noAutofit/>
                        </wps:bodyPr>
                      </wps:wsp>
                      <wps:wsp>
                        <wps:cNvPr id="922134" name="Shape 922134"/>
                        <wps:cNvSpPr/>
                        <wps:spPr>
                          <a:xfrm>
                            <a:off x="1591209" y="665353"/>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0540" name="Shape 40540"/>
                        <wps:cNvSpPr/>
                        <wps:spPr>
                          <a:xfrm>
                            <a:off x="1591209" y="665353"/>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41" name="Rectangle 40541"/>
                        <wps:cNvSpPr/>
                        <wps:spPr>
                          <a:xfrm>
                            <a:off x="1664234" y="630096"/>
                            <a:ext cx="727657" cy="151421"/>
                          </a:xfrm>
                          <a:prstGeom prst="rect">
                            <a:avLst/>
                          </a:prstGeom>
                          <a:ln>
                            <a:noFill/>
                          </a:ln>
                        </wps:spPr>
                        <wps:txbx>
                          <w:txbxContent>
                            <w:p w14:paraId="0E506AD9" w14:textId="77777777" w:rsidR="0014164F" w:rsidRDefault="0014164F" w:rsidP="00C232D7">
                              <w:r>
                                <w:rPr>
                                  <w:rFonts w:ascii="Arial" w:eastAsia="Arial" w:hAnsi="Arial" w:cs="Arial"/>
                                  <w:color w:val="595959"/>
                                  <w:sz w:val="16"/>
                                </w:rPr>
                                <w:t>Papir/karton</w:t>
                              </w:r>
                            </w:p>
                          </w:txbxContent>
                        </wps:txbx>
                        <wps:bodyPr horzOverflow="overflow" vert="horz" lIns="0" tIns="0" rIns="0" bIns="0" rtlCol="0">
                          <a:noAutofit/>
                        </wps:bodyPr>
                      </wps:wsp>
                      <wps:wsp>
                        <wps:cNvPr id="922135" name="Shape 922135"/>
                        <wps:cNvSpPr/>
                        <wps:spPr>
                          <a:xfrm>
                            <a:off x="1591209" y="866521"/>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0543" name="Shape 40543"/>
                        <wps:cNvSpPr/>
                        <wps:spPr>
                          <a:xfrm>
                            <a:off x="1591209" y="866521"/>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44" name="Rectangle 40544"/>
                        <wps:cNvSpPr/>
                        <wps:spPr>
                          <a:xfrm>
                            <a:off x="1664234" y="849588"/>
                            <a:ext cx="901872" cy="127647"/>
                          </a:xfrm>
                          <a:prstGeom prst="rect">
                            <a:avLst/>
                          </a:prstGeom>
                          <a:ln>
                            <a:noFill/>
                          </a:ln>
                        </wps:spPr>
                        <wps:txbx>
                          <w:txbxContent>
                            <w:p w14:paraId="619A419D" w14:textId="77777777" w:rsidR="0014164F" w:rsidRDefault="0014164F" w:rsidP="00C232D7">
                              <w:r>
                                <w:rPr>
                                  <w:rFonts w:ascii="Arial" w:eastAsia="Arial" w:hAnsi="Arial" w:cs="Arial"/>
                                  <w:color w:val="595959"/>
                                  <w:sz w:val="16"/>
                                </w:rPr>
                                <w:t>Obrađeno drvo</w:t>
                              </w:r>
                            </w:p>
                          </w:txbxContent>
                        </wps:txbx>
                        <wps:bodyPr horzOverflow="overflow" vert="horz" lIns="0" tIns="0" rIns="0" bIns="0" rtlCol="0">
                          <a:noAutofit/>
                        </wps:bodyPr>
                      </wps:wsp>
                      <wps:wsp>
                        <wps:cNvPr id="922136" name="Shape 922136"/>
                        <wps:cNvSpPr/>
                        <wps:spPr>
                          <a:xfrm>
                            <a:off x="1591209" y="1067689"/>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0546" name="Shape 40546"/>
                        <wps:cNvSpPr/>
                        <wps:spPr>
                          <a:xfrm>
                            <a:off x="1591209" y="1067689"/>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47" name="Rectangle 40547"/>
                        <wps:cNvSpPr/>
                        <wps:spPr>
                          <a:xfrm>
                            <a:off x="1664234" y="1032790"/>
                            <a:ext cx="330330" cy="151873"/>
                          </a:xfrm>
                          <a:prstGeom prst="rect">
                            <a:avLst/>
                          </a:prstGeom>
                          <a:ln>
                            <a:noFill/>
                          </a:ln>
                        </wps:spPr>
                        <wps:txbx>
                          <w:txbxContent>
                            <w:p w14:paraId="60C50BC9" w14:textId="77777777" w:rsidR="0014164F" w:rsidRDefault="0014164F" w:rsidP="00C232D7">
                              <w:r>
                                <w:rPr>
                                  <w:rFonts w:ascii="Arial" w:eastAsia="Arial" w:hAnsi="Arial" w:cs="Arial"/>
                                  <w:color w:val="595959"/>
                                  <w:sz w:val="16"/>
                                </w:rPr>
                                <w:t>Metal</w:t>
                              </w:r>
                            </w:p>
                          </w:txbxContent>
                        </wps:txbx>
                        <wps:bodyPr horzOverflow="overflow" vert="horz" lIns="0" tIns="0" rIns="0" bIns="0" rtlCol="0">
                          <a:noAutofit/>
                        </wps:bodyPr>
                      </wps:wsp>
                      <wps:wsp>
                        <wps:cNvPr id="922137" name="Shape 922137"/>
                        <wps:cNvSpPr/>
                        <wps:spPr>
                          <a:xfrm>
                            <a:off x="1591209" y="1268857"/>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255E91"/>
                          </a:fillRef>
                          <a:effectRef idx="0">
                            <a:scrgbClr r="0" g="0" b="0"/>
                          </a:effectRef>
                          <a:fontRef idx="none"/>
                        </wps:style>
                        <wps:bodyPr/>
                      </wps:wsp>
                      <wps:wsp>
                        <wps:cNvPr id="40549" name="Shape 40549"/>
                        <wps:cNvSpPr/>
                        <wps:spPr>
                          <a:xfrm>
                            <a:off x="1591209" y="1268857"/>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50" name="Rectangle 40550"/>
                        <wps:cNvSpPr/>
                        <wps:spPr>
                          <a:xfrm>
                            <a:off x="1664234" y="1234870"/>
                            <a:ext cx="375246" cy="151421"/>
                          </a:xfrm>
                          <a:prstGeom prst="rect">
                            <a:avLst/>
                          </a:prstGeom>
                          <a:ln>
                            <a:noFill/>
                          </a:ln>
                        </wps:spPr>
                        <wps:txbx>
                          <w:txbxContent>
                            <w:p w14:paraId="07E0D162" w14:textId="77777777" w:rsidR="0014164F" w:rsidRDefault="0014164F" w:rsidP="00C232D7">
                              <w:r>
                                <w:rPr>
                                  <w:rFonts w:ascii="Arial" w:eastAsia="Arial" w:hAnsi="Arial" w:cs="Arial"/>
                                  <w:color w:val="595959"/>
                                  <w:sz w:val="16"/>
                                </w:rPr>
                                <w:t>Staklo</w:t>
                              </w:r>
                            </w:p>
                          </w:txbxContent>
                        </wps:txbx>
                        <wps:bodyPr horzOverflow="overflow" vert="horz" lIns="0" tIns="0" rIns="0" bIns="0" rtlCol="0">
                          <a:noAutofit/>
                        </wps:bodyPr>
                      </wps:wsp>
                      <wps:wsp>
                        <wps:cNvPr id="922138" name="Shape 922138"/>
                        <wps:cNvSpPr/>
                        <wps:spPr>
                          <a:xfrm>
                            <a:off x="1591209" y="1471549"/>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0552" name="Shape 40552"/>
                        <wps:cNvSpPr/>
                        <wps:spPr>
                          <a:xfrm>
                            <a:off x="1591209" y="1471549"/>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53" name="Rectangle 40553"/>
                        <wps:cNvSpPr/>
                        <wps:spPr>
                          <a:xfrm>
                            <a:off x="1664234" y="1436291"/>
                            <a:ext cx="571754" cy="151421"/>
                          </a:xfrm>
                          <a:prstGeom prst="rect">
                            <a:avLst/>
                          </a:prstGeom>
                          <a:ln>
                            <a:noFill/>
                          </a:ln>
                        </wps:spPr>
                        <wps:txbx>
                          <w:txbxContent>
                            <w:p w14:paraId="201B1A30" w14:textId="77777777" w:rsidR="0014164F" w:rsidRDefault="0014164F" w:rsidP="00C232D7">
                              <w:r>
                                <w:rPr>
                                  <w:rFonts w:ascii="Arial" w:eastAsia="Arial" w:hAnsi="Arial" w:cs="Arial"/>
                                  <w:color w:val="595959"/>
                                  <w:sz w:val="16"/>
                                </w:rPr>
                                <w:t>Keramika</w:t>
                              </w:r>
                            </w:p>
                          </w:txbxContent>
                        </wps:txbx>
                        <wps:bodyPr horzOverflow="overflow" vert="horz" lIns="0" tIns="0" rIns="0" bIns="0" rtlCol="0">
                          <a:noAutofit/>
                        </wps:bodyPr>
                      </wps:wsp>
                      <wps:wsp>
                        <wps:cNvPr id="922139" name="Shape 922139"/>
                        <wps:cNvSpPr/>
                        <wps:spPr>
                          <a:xfrm>
                            <a:off x="1591209" y="1672717"/>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636363"/>
                          </a:fillRef>
                          <a:effectRef idx="0">
                            <a:scrgbClr r="0" g="0" b="0"/>
                          </a:effectRef>
                          <a:fontRef idx="none"/>
                        </wps:style>
                        <wps:bodyPr/>
                      </wps:wsp>
                      <wps:wsp>
                        <wps:cNvPr id="40555" name="Shape 40555"/>
                        <wps:cNvSpPr/>
                        <wps:spPr>
                          <a:xfrm>
                            <a:off x="1591209" y="1672717"/>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56" name="Rectangle 40556"/>
                        <wps:cNvSpPr/>
                        <wps:spPr>
                          <a:xfrm>
                            <a:off x="1664234" y="1637437"/>
                            <a:ext cx="908671" cy="151873"/>
                          </a:xfrm>
                          <a:prstGeom prst="rect">
                            <a:avLst/>
                          </a:prstGeom>
                          <a:ln>
                            <a:noFill/>
                          </a:ln>
                        </wps:spPr>
                        <wps:txbx>
                          <w:txbxContent>
                            <w:p w14:paraId="067295E0" w14:textId="77777777" w:rsidR="0014164F" w:rsidRDefault="0014164F" w:rsidP="00C232D7">
                              <w:r>
                                <w:rPr>
                                  <w:rFonts w:ascii="Arial" w:eastAsia="Arial" w:hAnsi="Arial" w:cs="Arial"/>
                                  <w:color w:val="595959"/>
                                  <w:sz w:val="16"/>
                                </w:rPr>
                                <w:t>Sanitarni otpad</w:t>
                              </w:r>
                            </w:p>
                          </w:txbxContent>
                        </wps:txbx>
                        <wps:bodyPr horzOverflow="overflow" vert="horz" lIns="0" tIns="0" rIns="0" bIns="0" rtlCol="0">
                          <a:noAutofit/>
                        </wps:bodyPr>
                      </wps:wsp>
                      <wps:wsp>
                        <wps:cNvPr id="922140" name="Shape 922140"/>
                        <wps:cNvSpPr/>
                        <wps:spPr>
                          <a:xfrm>
                            <a:off x="1591209" y="1873885"/>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997300"/>
                          </a:fillRef>
                          <a:effectRef idx="0">
                            <a:scrgbClr r="0" g="0" b="0"/>
                          </a:effectRef>
                          <a:fontRef idx="none"/>
                        </wps:style>
                        <wps:bodyPr/>
                      </wps:wsp>
                      <wps:wsp>
                        <wps:cNvPr id="40558" name="Shape 40558"/>
                        <wps:cNvSpPr/>
                        <wps:spPr>
                          <a:xfrm>
                            <a:off x="1591209" y="1873885"/>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59" name="Rectangle 40559"/>
                        <wps:cNvSpPr/>
                        <wps:spPr>
                          <a:xfrm>
                            <a:off x="1664234" y="1839516"/>
                            <a:ext cx="1007548" cy="151421"/>
                          </a:xfrm>
                          <a:prstGeom prst="rect">
                            <a:avLst/>
                          </a:prstGeom>
                          <a:ln>
                            <a:noFill/>
                          </a:ln>
                        </wps:spPr>
                        <wps:txbx>
                          <w:txbxContent>
                            <w:p w14:paraId="2E87714A" w14:textId="77777777" w:rsidR="0014164F" w:rsidRDefault="0014164F" w:rsidP="00C232D7">
                              <w:r>
                                <w:rPr>
                                  <w:rFonts w:ascii="Arial" w:eastAsia="Arial" w:hAnsi="Arial" w:cs="Arial"/>
                                  <w:color w:val="595959"/>
                                  <w:sz w:val="16"/>
                                </w:rPr>
                                <w:t>Medicinski otpad</w:t>
                              </w:r>
                            </w:p>
                          </w:txbxContent>
                        </wps:txbx>
                        <wps:bodyPr horzOverflow="overflow" vert="horz" lIns="0" tIns="0" rIns="0" bIns="0" rtlCol="0">
                          <a:noAutofit/>
                        </wps:bodyPr>
                      </wps:wsp>
                      <wps:wsp>
                        <wps:cNvPr id="922141" name="Shape 922141"/>
                        <wps:cNvSpPr/>
                        <wps:spPr>
                          <a:xfrm>
                            <a:off x="1591209" y="2075053"/>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0561" name="Shape 40561"/>
                        <wps:cNvSpPr/>
                        <wps:spPr>
                          <a:xfrm>
                            <a:off x="1591209" y="2075053"/>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62" name="Rectangle 40562"/>
                        <wps:cNvSpPr/>
                        <wps:spPr>
                          <a:xfrm>
                            <a:off x="1664234" y="2041065"/>
                            <a:ext cx="819439" cy="151421"/>
                          </a:xfrm>
                          <a:prstGeom prst="rect">
                            <a:avLst/>
                          </a:prstGeom>
                          <a:ln>
                            <a:noFill/>
                          </a:ln>
                        </wps:spPr>
                        <wps:txbx>
                          <w:txbxContent>
                            <w:p w14:paraId="51EFA58A" w14:textId="77777777" w:rsidR="0014164F" w:rsidRDefault="0014164F" w:rsidP="00C232D7">
                              <w:r>
                                <w:rPr>
                                  <w:rFonts w:ascii="Arial" w:eastAsia="Arial" w:hAnsi="Arial" w:cs="Arial"/>
                                  <w:color w:val="595959"/>
                                  <w:sz w:val="16"/>
                                </w:rPr>
                                <w:t>Parafin/vosak</w:t>
                              </w:r>
                            </w:p>
                          </w:txbxContent>
                        </wps:txbx>
                        <wps:bodyPr horzOverflow="overflow" vert="horz" lIns="0" tIns="0" rIns="0" bIns="0" rtlCol="0">
                          <a:noAutofit/>
                        </wps:bodyPr>
                      </wps:wsp>
                      <wps:wsp>
                        <wps:cNvPr id="40563" name="Shape 40563"/>
                        <wps:cNvSpPr/>
                        <wps:spPr>
                          <a:xfrm>
                            <a:off x="3413532" y="859409"/>
                            <a:ext cx="910971" cy="971550"/>
                          </a:xfrm>
                          <a:custGeom>
                            <a:avLst/>
                            <a:gdLst/>
                            <a:ahLst/>
                            <a:cxnLst/>
                            <a:rect l="0" t="0" r="0" b="0"/>
                            <a:pathLst>
                              <a:path w="910971" h="971550">
                                <a:moveTo>
                                  <a:pt x="425196" y="0"/>
                                </a:moveTo>
                                <a:cubicBezTo>
                                  <a:pt x="693547" y="0"/>
                                  <a:pt x="910971" y="217425"/>
                                  <a:pt x="910971" y="485775"/>
                                </a:cubicBezTo>
                                <a:cubicBezTo>
                                  <a:pt x="910971" y="754126"/>
                                  <a:pt x="693547" y="971550"/>
                                  <a:pt x="425196" y="971550"/>
                                </a:cubicBezTo>
                                <a:cubicBezTo>
                                  <a:pt x="248412" y="971550"/>
                                  <a:pt x="85471" y="875412"/>
                                  <a:pt x="0" y="720599"/>
                                </a:cubicBezTo>
                                <a:lnTo>
                                  <a:pt x="425196" y="485775"/>
                                </a:lnTo>
                                <a:lnTo>
                                  <a:pt x="425196" y="0"/>
                                </a:ln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40564" name="Shape 40564"/>
                        <wps:cNvSpPr/>
                        <wps:spPr>
                          <a:xfrm>
                            <a:off x="3413532" y="859409"/>
                            <a:ext cx="910971" cy="971550"/>
                          </a:xfrm>
                          <a:custGeom>
                            <a:avLst/>
                            <a:gdLst/>
                            <a:ahLst/>
                            <a:cxnLst/>
                            <a:rect l="0" t="0" r="0" b="0"/>
                            <a:pathLst>
                              <a:path w="910971" h="971550">
                                <a:moveTo>
                                  <a:pt x="425196" y="0"/>
                                </a:moveTo>
                                <a:cubicBezTo>
                                  <a:pt x="693547" y="0"/>
                                  <a:pt x="910971" y="217425"/>
                                  <a:pt x="910971" y="485775"/>
                                </a:cubicBezTo>
                                <a:cubicBezTo>
                                  <a:pt x="910971" y="754126"/>
                                  <a:pt x="693547" y="971550"/>
                                  <a:pt x="425196" y="971550"/>
                                </a:cubicBezTo>
                                <a:cubicBezTo>
                                  <a:pt x="248412" y="971550"/>
                                  <a:pt x="85471" y="875412"/>
                                  <a:pt x="0" y="720599"/>
                                </a:cubicBezTo>
                                <a:lnTo>
                                  <a:pt x="425196" y="48577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65" name="Shape 40565"/>
                        <wps:cNvSpPr/>
                        <wps:spPr>
                          <a:xfrm>
                            <a:off x="3364763" y="1344549"/>
                            <a:ext cx="465328" cy="234950"/>
                          </a:xfrm>
                          <a:custGeom>
                            <a:avLst/>
                            <a:gdLst/>
                            <a:ahLst/>
                            <a:cxnLst/>
                            <a:rect l="0" t="0" r="0" b="0"/>
                            <a:pathLst>
                              <a:path w="465328" h="234950">
                                <a:moveTo>
                                  <a:pt x="465328" y="0"/>
                                </a:moveTo>
                                <a:lnTo>
                                  <a:pt x="40132" y="234950"/>
                                </a:lnTo>
                                <a:cubicBezTo>
                                  <a:pt x="23368" y="204597"/>
                                  <a:pt x="9906" y="172593"/>
                                  <a:pt x="0" y="139447"/>
                                </a:cubicBezTo>
                                <a:lnTo>
                                  <a:pt x="465328" y="0"/>
                                </a:ln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40566" name="Shape 40566"/>
                        <wps:cNvSpPr/>
                        <wps:spPr>
                          <a:xfrm>
                            <a:off x="3364763" y="1344549"/>
                            <a:ext cx="465328" cy="234950"/>
                          </a:xfrm>
                          <a:custGeom>
                            <a:avLst/>
                            <a:gdLst/>
                            <a:ahLst/>
                            <a:cxnLst/>
                            <a:rect l="0" t="0" r="0" b="0"/>
                            <a:pathLst>
                              <a:path w="465328" h="234950">
                                <a:moveTo>
                                  <a:pt x="40132" y="234950"/>
                                </a:moveTo>
                                <a:cubicBezTo>
                                  <a:pt x="23368" y="204597"/>
                                  <a:pt x="9906" y="172593"/>
                                  <a:pt x="0" y="139447"/>
                                </a:cubicBezTo>
                                <a:lnTo>
                                  <a:pt x="465328"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67" name="Shape 40567"/>
                        <wps:cNvSpPr/>
                        <wps:spPr>
                          <a:xfrm>
                            <a:off x="3355238" y="1343914"/>
                            <a:ext cx="474599" cy="139446"/>
                          </a:xfrm>
                          <a:custGeom>
                            <a:avLst/>
                            <a:gdLst/>
                            <a:ahLst/>
                            <a:cxnLst/>
                            <a:rect l="0" t="0" r="0" b="0"/>
                            <a:pathLst>
                              <a:path w="474599" h="139446">
                                <a:moveTo>
                                  <a:pt x="474599" y="0"/>
                                </a:moveTo>
                                <a:lnTo>
                                  <a:pt x="9271" y="139446"/>
                                </a:lnTo>
                                <a:cubicBezTo>
                                  <a:pt x="5715" y="127635"/>
                                  <a:pt x="2667" y="115697"/>
                                  <a:pt x="0" y="103759"/>
                                </a:cubicBezTo>
                                <a:lnTo>
                                  <a:pt x="474599" y="0"/>
                                </a:ln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40568" name="Shape 40568"/>
                        <wps:cNvSpPr/>
                        <wps:spPr>
                          <a:xfrm>
                            <a:off x="3355238" y="1343914"/>
                            <a:ext cx="474599" cy="139446"/>
                          </a:xfrm>
                          <a:custGeom>
                            <a:avLst/>
                            <a:gdLst/>
                            <a:ahLst/>
                            <a:cxnLst/>
                            <a:rect l="0" t="0" r="0" b="0"/>
                            <a:pathLst>
                              <a:path w="474599" h="139446">
                                <a:moveTo>
                                  <a:pt x="9271" y="139446"/>
                                </a:moveTo>
                                <a:cubicBezTo>
                                  <a:pt x="5715" y="127635"/>
                                  <a:pt x="2667" y="115697"/>
                                  <a:pt x="0" y="103759"/>
                                </a:cubicBezTo>
                                <a:lnTo>
                                  <a:pt x="474599"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69" name="Shape 40569"/>
                        <wps:cNvSpPr/>
                        <wps:spPr>
                          <a:xfrm>
                            <a:off x="3345332" y="1343406"/>
                            <a:ext cx="484378" cy="103759"/>
                          </a:xfrm>
                          <a:custGeom>
                            <a:avLst/>
                            <a:gdLst/>
                            <a:ahLst/>
                            <a:cxnLst/>
                            <a:rect l="0" t="0" r="0" b="0"/>
                            <a:pathLst>
                              <a:path w="484378" h="103759">
                                <a:moveTo>
                                  <a:pt x="484378" y="0"/>
                                </a:moveTo>
                                <a:lnTo>
                                  <a:pt x="9779" y="103759"/>
                                </a:lnTo>
                                <a:cubicBezTo>
                                  <a:pt x="4953" y="81407"/>
                                  <a:pt x="1651" y="58801"/>
                                  <a:pt x="0" y="36068"/>
                                </a:cubicBezTo>
                                <a:lnTo>
                                  <a:pt x="484378" y="0"/>
                                </a:ln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40570" name="Shape 40570"/>
                        <wps:cNvSpPr/>
                        <wps:spPr>
                          <a:xfrm>
                            <a:off x="3345332" y="1343406"/>
                            <a:ext cx="484378" cy="103759"/>
                          </a:xfrm>
                          <a:custGeom>
                            <a:avLst/>
                            <a:gdLst/>
                            <a:ahLst/>
                            <a:cxnLst/>
                            <a:rect l="0" t="0" r="0" b="0"/>
                            <a:pathLst>
                              <a:path w="484378" h="103759">
                                <a:moveTo>
                                  <a:pt x="9779" y="103759"/>
                                </a:moveTo>
                                <a:cubicBezTo>
                                  <a:pt x="4953" y="81407"/>
                                  <a:pt x="1651" y="58801"/>
                                  <a:pt x="0" y="36068"/>
                                </a:cubicBezTo>
                                <a:lnTo>
                                  <a:pt x="484378"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71" name="Shape 40571"/>
                        <wps:cNvSpPr/>
                        <wps:spPr>
                          <a:xfrm>
                            <a:off x="3343936" y="1342898"/>
                            <a:ext cx="485775" cy="36068"/>
                          </a:xfrm>
                          <a:custGeom>
                            <a:avLst/>
                            <a:gdLst/>
                            <a:ahLst/>
                            <a:cxnLst/>
                            <a:rect l="0" t="0" r="0" b="0"/>
                            <a:pathLst>
                              <a:path w="485775" h="36068">
                                <a:moveTo>
                                  <a:pt x="485775" y="0"/>
                                </a:moveTo>
                                <a:lnTo>
                                  <a:pt x="1270" y="36068"/>
                                </a:lnTo>
                                <a:cubicBezTo>
                                  <a:pt x="635" y="26416"/>
                                  <a:pt x="127" y="16637"/>
                                  <a:pt x="0" y="6986"/>
                                </a:cubicBezTo>
                                <a:lnTo>
                                  <a:pt x="485775" y="0"/>
                                </a:ln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40572" name="Shape 40572"/>
                        <wps:cNvSpPr/>
                        <wps:spPr>
                          <a:xfrm>
                            <a:off x="3343936" y="1342898"/>
                            <a:ext cx="485775" cy="36068"/>
                          </a:xfrm>
                          <a:custGeom>
                            <a:avLst/>
                            <a:gdLst/>
                            <a:ahLst/>
                            <a:cxnLst/>
                            <a:rect l="0" t="0" r="0" b="0"/>
                            <a:pathLst>
                              <a:path w="485775" h="36068">
                                <a:moveTo>
                                  <a:pt x="1270" y="36068"/>
                                </a:moveTo>
                                <a:cubicBezTo>
                                  <a:pt x="635" y="26416"/>
                                  <a:pt x="127" y="16637"/>
                                  <a:pt x="0" y="6986"/>
                                </a:cubicBezTo>
                                <a:lnTo>
                                  <a:pt x="485775"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73" name="Shape 40573"/>
                        <wps:cNvSpPr/>
                        <wps:spPr>
                          <a:xfrm>
                            <a:off x="3343555" y="1273302"/>
                            <a:ext cx="486156" cy="75946"/>
                          </a:xfrm>
                          <a:custGeom>
                            <a:avLst/>
                            <a:gdLst/>
                            <a:ahLst/>
                            <a:cxnLst/>
                            <a:rect l="0" t="0" r="0" b="0"/>
                            <a:pathLst>
                              <a:path w="486156" h="75946">
                                <a:moveTo>
                                  <a:pt x="5334" y="0"/>
                                </a:moveTo>
                                <a:lnTo>
                                  <a:pt x="486156" y="69088"/>
                                </a:lnTo>
                                <a:lnTo>
                                  <a:pt x="381" y="75946"/>
                                </a:lnTo>
                                <a:cubicBezTo>
                                  <a:pt x="0" y="50546"/>
                                  <a:pt x="1651" y="25146"/>
                                  <a:pt x="5334" y="0"/>
                                </a:cubicBezTo>
                                <a:close/>
                              </a:path>
                            </a:pathLst>
                          </a:custGeom>
                          <a:ln w="0" cap="flat">
                            <a:round/>
                          </a:ln>
                        </wps:spPr>
                        <wps:style>
                          <a:lnRef idx="0">
                            <a:srgbClr val="000000">
                              <a:alpha val="0"/>
                            </a:srgbClr>
                          </a:lnRef>
                          <a:fillRef idx="1">
                            <a:srgbClr val="70AD47"/>
                          </a:fillRef>
                          <a:effectRef idx="0">
                            <a:scrgbClr r="0" g="0" b="0"/>
                          </a:effectRef>
                          <a:fontRef idx="none"/>
                        </wps:style>
                        <wps:bodyPr/>
                      </wps:wsp>
                      <wps:wsp>
                        <wps:cNvPr id="40574" name="Shape 40574"/>
                        <wps:cNvSpPr/>
                        <wps:spPr>
                          <a:xfrm>
                            <a:off x="3343555" y="1273302"/>
                            <a:ext cx="486156" cy="75946"/>
                          </a:xfrm>
                          <a:custGeom>
                            <a:avLst/>
                            <a:gdLst/>
                            <a:ahLst/>
                            <a:cxnLst/>
                            <a:rect l="0" t="0" r="0" b="0"/>
                            <a:pathLst>
                              <a:path w="486156" h="75946">
                                <a:moveTo>
                                  <a:pt x="381" y="75946"/>
                                </a:moveTo>
                                <a:cubicBezTo>
                                  <a:pt x="0" y="50546"/>
                                  <a:pt x="1651" y="25146"/>
                                  <a:pt x="5334" y="0"/>
                                </a:cubicBezTo>
                                <a:lnTo>
                                  <a:pt x="486156" y="69088"/>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75" name="Shape 40575"/>
                        <wps:cNvSpPr/>
                        <wps:spPr>
                          <a:xfrm>
                            <a:off x="3349905" y="889509"/>
                            <a:ext cx="480822" cy="450214"/>
                          </a:xfrm>
                          <a:custGeom>
                            <a:avLst/>
                            <a:gdLst/>
                            <a:ahLst/>
                            <a:cxnLst/>
                            <a:rect l="0" t="0" r="0" b="0"/>
                            <a:pathLst>
                              <a:path w="480822" h="450214">
                                <a:moveTo>
                                  <a:pt x="298196" y="0"/>
                                </a:moveTo>
                                <a:lnTo>
                                  <a:pt x="480822" y="450214"/>
                                </a:lnTo>
                                <a:lnTo>
                                  <a:pt x="0" y="381126"/>
                                </a:lnTo>
                                <a:cubicBezTo>
                                  <a:pt x="24511" y="210058"/>
                                  <a:pt x="138049" y="65024"/>
                                  <a:pt x="298196" y="0"/>
                                </a:cubicBezTo>
                                <a:close/>
                              </a:path>
                            </a:pathLst>
                          </a:custGeom>
                          <a:ln w="0" cap="flat">
                            <a:round/>
                          </a:ln>
                        </wps:spPr>
                        <wps:style>
                          <a:lnRef idx="0">
                            <a:srgbClr val="000000">
                              <a:alpha val="0"/>
                            </a:srgbClr>
                          </a:lnRef>
                          <a:fillRef idx="1">
                            <a:srgbClr val="255E91"/>
                          </a:fillRef>
                          <a:effectRef idx="0">
                            <a:scrgbClr r="0" g="0" b="0"/>
                          </a:effectRef>
                          <a:fontRef idx="none"/>
                        </wps:style>
                        <wps:bodyPr/>
                      </wps:wsp>
                      <wps:wsp>
                        <wps:cNvPr id="40576" name="Shape 40576"/>
                        <wps:cNvSpPr/>
                        <wps:spPr>
                          <a:xfrm>
                            <a:off x="3349905" y="889509"/>
                            <a:ext cx="480822" cy="450214"/>
                          </a:xfrm>
                          <a:custGeom>
                            <a:avLst/>
                            <a:gdLst/>
                            <a:ahLst/>
                            <a:cxnLst/>
                            <a:rect l="0" t="0" r="0" b="0"/>
                            <a:pathLst>
                              <a:path w="480822" h="450214">
                                <a:moveTo>
                                  <a:pt x="0" y="381126"/>
                                </a:moveTo>
                                <a:cubicBezTo>
                                  <a:pt x="24511" y="210058"/>
                                  <a:pt x="138049" y="65024"/>
                                  <a:pt x="298196" y="0"/>
                                </a:cubicBezTo>
                                <a:lnTo>
                                  <a:pt x="480822" y="45021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77" name="Shape 40577"/>
                        <wps:cNvSpPr/>
                        <wps:spPr>
                          <a:xfrm>
                            <a:off x="3650259" y="872109"/>
                            <a:ext cx="182753" cy="465963"/>
                          </a:xfrm>
                          <a:custGeom>
                            <a:avLst/>
                            <a:gdLst/>
                            <a:ahLst/>
                            <a:cxnLst/>
                            <a:rect l="0" t="0" r="0" b="0"/>
                            <a:pathLst>
                              <a:path w="182753" h="465963">
                                <a:moveTo>
                                  <a:pt x="45212" y="0"/>
                                </a:moveTo>
                                <a:lnTo>
                                  <a:pt x="182753" y="465963"/>
                                </a:lnTo>
                                <a:lnTo>
                                  <a:pt x="0" y="15875"/>
                                </a:lnTo>
                                <a:cubicBezTo>
                                  <a:pt x="14859" y="9906"/>
                                  <a:pt x="29972" y="4573"/>
                                  <a:pt x="45212" y="0"/>
                                </a:cubicBezTo>
                                <a:close/>
                              </a:path>
                            </a:pathLst>
                          </a:custGeom>
                          <a:ln w="0" cap="flat">
                            <a:round/>
                          </a:ln>
                        </wps:spPr>
                        <wps:style>
                          <a:lnRef idx="0">
                            <a:srgbClr val="000000">
                              <a:alpha val="0"/>
                            </a:srgbClr>
                          </a:lnRef>
                          <a:fillRef idx="1">
                            <a:srgbClr val="9E480E"/>
                          </a:fillRef>
                          <a:effectRef idx="0">
                            <a:scrgbClr r="0" g="0" b="0"/>
                          </a:effectRef>
                          <a:fontRef idx="none"/>
                        </wps:style>
                        <wps:bodyPr/>
                      </wps:wsp>
                      <wps:wsp>
                        <wps:cNvPr id="40578" name="Shape 40578"/>
                        <wps:cNvSpPr/>
                        <wps:spPr>
                          <a:xfrm>
                            <a:off x="3650259" y="872109"/>
                            <a:ext cx="182753" cy="465963"/>
                          </a:xfrm>
                          <a:custGeom>
                            <a:avLst/>
                            <a:gdLst/>
                            <a:ahLst/>
                            <a:cxnLst/>
                            <a:rect l="0" t="0" r="0" b="0"/>
                            <a:pathLst>
                              <a:path w="182753" h="465963">
                                <a:moveTo>
                                  <a:pt x="0" y="15875"/>
                                </a:moveTo>
                                <a:cubicBezTo>
                                  <a:pt x="14859" y="9906"/>
                                  <a:pt x="29972" y="4573"/>
                                  <a:pt x="45212" y="0"/>
                                </a:cubicBezTo>
                                <a:lnTo>
                                  <a:pt x="182753" y="465963"/>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79" name="Shape 40579"/>
                        <wps:cNvSpPr/>
                        <wps:spPr>
                          <a:xfrm>
                            <a:off x="3696361" y="852297"/>
                            <a:ext cx="137414" cy="485649"/>
                          </a:xfrm>
                          <a:custGeom>
                            <a:avLst/>
                            <a:gdLst/>
                            <a:ahLst/>
                            <a:cxnLst/>
                            <a:rect l="0" t="0" r="0" b="0"/>
                            <a:pathLst>
                              <a:path w="137414" h="485649">
                                <a:moveTo>
                                  <a:pt x="122301" y="0"/>
                                </a:moveTo>
                                <a:lnTo>
                                  <a:pt x="137414" y="485649"/>
                                </a:lnTo>
                                <a:lnTo>
                                  <a:pt x="0" y="19686"/>
                                </a:lnTo>
                                <a:cubicBezTo>
                                  <a:pt x="39751" y="7874"/>
                                  <a:pt x="80899" y="1398"/>
                                  <a:pt x="122301" y="0"/>
                                </a:cubicBezTo>
                                <a:close/>
                              </a:path>
                            </a:pathLst>
                          </a:custGeom>
                          <a:ln w="0" cap="flat">
                            <a:round/>
                          </a:ln>
                        </wps:spPr>
                        <wps:style>
                          <a:lnRef idx="0">
                            <a:srgbClr val="000000">
                              <a:alpha val="0"/>
                            </a:srgbClr>
                          </a:lnRef>
                          <a:fillRef idx="1">
                            <a:srgbClr val="636363"/>
                          </a:fillRef>
                          <a:effectRef idx="0">
                            <a:scrgbClr r="0" g="0" b="0"/>
                          </a:effectRef>
                          <a:fontRef idx="none"/>
                        </wps:style>
                        <wps:bodyPr/>
                      </wps:wsp>
                      <wps:wsp>
                        <wps:cNvPr id="40580" name="Shape 40580"/>
                        <wps:cNvSpPr/>
                        <wps:spPr>
                          <a:xfrm>
                            <a:off x="3696361" y="852297"/>
                            <a:ext cx="137414" cy="485649"/>
                          </a:xfrm>
                          <a:custGeom>
                            <a:avLst/>
                            <a:gdLst/>
                            <a:ahLst/>
                            <a:cxnLst/>
                            <a:rect l="0" t="0" r="0" b="0"/>
                            <a:pathLst>
                              <a:path w="137414" h="485649">
                                <a:moveTo>
                                  <a:pt x="0" y="19686"/>
                                </a:moveTo>
                                <a:cubicBezTo>
                                  <a:pt x="39751" y="7874"/>
                                  <a:pt x="80899" y="1398"/>
                                  <a:pt x="122301" y="0"/>
                                </a:cubicBezTo>
                                <a:lnTo>
                                  <a:pt x="137414" y="485649"/>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81" name="Shape 40581"/>
                        <wps:cNvSpPr/>
                        <wps:spPr>
                          <a:xfrm>
                            <a:off x="3819424" y="852043"/>
                            <a:ext cx="15113" cy="485775"/>
                          </a:xfrm>
                          <a:custGeom>
                            <a:avLst/>
                            <a:gdLst/>
                            <a:ahLst/>
                            <a:cxnLst/>
                            <a:rect l="0" t="0" r="0" b="0"/>
                            <a:pathLst>
                              <a:path w="15113" h="485775">
                                <a:moveTo>
                                  <a:pt x="15113" y="0"/>
                                </a:moveTo>
                                <a:lnTo>
                                  <a:pt x="15113" y="485775"/>
                                </a:lnTo>
                                <a:lnTo>
                                  <a:pt x="0" y="253"/>
                                </a:lnTo>
                                <a:cubicBezTo>
                                  <a:pt x="4953" y="127"/>
                                  <a:pt x="10033" y="0"/>
                                  <a:pt x="15113" y="0"/>
                                </a:cubicBezTo>
                                <a:close/>
                              </a:path>
                            </a:pathLst>
                          </a:custGeom>
                          <a:ln w="0" cap="flat">
                            <a:round/>
                          </a:ln>
                        </wps:spPr>
                        <wps:style>
                          <a:lnRef idx="0">
                            <a:srgbClr val="000000">
                              <a:alpha val="0"/>
                            </a:srgbClr>
                          </a:lnRef>
                          <a:fillRef idx="1">
                            <a:srgbClr val="997300"/>
                          </a:fillRef>
                          <a:effectRef idx="0">
                            <a:scrgbClr r="0" g="0" b="0"/>
                          </a:effectRef>
                          <a:fontRef idx="none"/>
                        </wps:style>
                        <wps:bodyPr/>
                      </wps:wsp>
                      <wps:wsp>
                        <wps:cNvPr id="40582" name="Shape 40582"/>
                        <wps:cNvSpPr/>
                        <wps:spPr>
                          <a:xfrm>
                            <a:off x="3819424" y="852043"/>
                            <a:ext cx="15113" cy="485775"/>
                          </a:xfrm>
                          <a:custGeom>
                            <a:avLst/>
                            <a:gdLst/>
                            <a:ahLst/>
                            <a:cxnLst/>
                            <a:rect l="0" t="0" r="0" b="0"/>
                            <a:pathLst>
                              <a:path w="15113" h="485775">
                                <a:moveTo>
                                  <a:pt x="0" y="253"/>
                                </a:moveTo>
                                <a:cubicBezTo>
                                  <a:pt x="4953" y="127"/>
                                  <a:pt x="10033" y="0"/>
                                  <a:pt x="15113" y="0"/>
                                </a:cubicBezTo>
                                <a:lnTo>
                                  <a:pt x="15113" y="48577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83" name="Shape 40583"/>
                        <wps:cNvSpPr/>
                        <wps:spPr>
                          <a:xfrm>
                            <a:off x="3834537" y="852043"/>
                            <a:ext cx="0" cy="485775"/>
                          </a:xfrm>
                          <a:custGeom>
                            <a:avLst/>
                            <a:gdLst/>
                            <a:ahLst/>
                            <a:cxnLst/>
                            <a:rect l="0" t="0" r="0" b="0"/>
                            <a:pathLst>
                              <a:path h="485775">
                                <a:moveTo>
                                  <a:pt x="0" y="0"/>
                                </a:moveTo>
                                <a:lnTo>
                                  <a:pt x="0" y="48577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584" name="Shape 40584"/>
                        <wps:cNvSpPr/>
                        <wps:spPr>
                          <a:xfrm>
                            <a:off x="3291231" y="1533271"/>
                            <a:ext cx="91440" cy="341376"/>
                          </a:xfrm>
                          <a:custGeom>
                            <a:avLst/>
                            <a:gdLst/>
                            <a:ahLst/>
                            <a:cxnLst/>
                            <a:rect l="0" t="0" r="0" b="0"/>
                            <a:pathLst>
                              <a:path w="91440" h="341376">
                                <a:moveTo>
                                  <a:pt x="91440" y="0"/>
                                </a:moveTo>
                                <a:lnTo>
                                  <a:pt x="57912" y="341376"/>
                                </a:lnTo>
                                <a:lnTo>
                                  <a:pt x="0" y="341376"/>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85" name="Shape 40585"/>
                        <wps:cNvSpPr/>
                        <wps:spPr>
                          <a:xfrm>
                            <a:off x="3282087" y="1466215"/>
                            <a:ext cx="77724" cy="204216"/>
                          </a:xfrm>
                          <a:custGeom>
                            <a:avLst/>
                            <a:gdLst/>
                            <a:ahLst/>
                            <a:cxnLst/>
                            <a:rect l="0" t="0" r="0" b="0"/>
                            <a:pathLst>
                              <a:path w="77724" h="204216">
                                <a:moveTo>
                                  <a:pt x="77724" y="0"/>
                                </a:moveTo>
                                <a:lnTo>
                                  <a:pt x="57912" y="204216"/>
                                </a:lnTo>
                                <a:lnTo>
                                  <a:pt x="0" y="204216"/>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86" name="Shape 40586"/>
                        <wps:cNvSpPr/>
                        <wps:spPr>
                          <a:xfrm>
                            <a:off x="3271419" y="1412875"/>
                            <a:ext cx="77724" cy="76200"/>
                          </a:xfrm>
                          <a:custGeom>
                            <a:avLst/>
                            <a:gdLst/>
                            <a:ahLst/>
                            <a:cxnLst/>
                            <a:rect l="0" t="0" r="0" b="0"/>
                            <a:pathLst>
                              <a:path w="77724" h="76200">
                                <a:moveTo>
                                  <a:pt x="77724" y="0"/>
                                </a:moveTo>
                                <a:lnTo>
                                  <a:pt x="56388" y="76200"/>
                                </a:lnTo>
                                <a:lnTo>
                                  <a:pt x="0" y="7620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87" name="Shape 40587"/>
                        <wps:cNvSpPr/>
                        <wps:spPr>
                          <a:xfrm>
                            <a:off x="3269895" y="1309243"/>
                            <a:ext cx="74676" cy="54864"/>
                          </a:xfrm>
                          <a:custGeom>
                            <a:avLst/>
                            <a:gdLst/>
                            <a:ahLst/>
                            <a:cxnLst/>
                            <a:rect l="0" t="0" r="0" b="0"/>
                            <a:pathLst>
                              <a:path w="74676" h="54864">
                                <a:moveTo>
                                  <a:pt x="74676" y="54864"/>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88" name="Shape 40588"/>
                        <wps:cNvSpPr/>
                        <wps:spPr>
                          <a:xfrm>
                            <a:off x="3285134" y="1130935"/>
                            <a:ext cx="59436" cy="179832"/>
                          </a:xfrm>
                          <a:custGeom>
                            <a:avLst/>
                            <a:gdLst/>
                            <a:ahLst/>
                            <a:cxnLst/>
                            <a:rect l="0" t="0" r="0" b="0"/>
                            <a:pathLst>
                              <a:path w="59436" h="179832">
                                <a:moveTo>
                                  <a:pt x="59436" y="179832"/>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89" name="Shape 40589"/>
                        <wps:cNvSpPr/>
                        <wps:spPr>
                          <a:xfrm>
                            <a:off x="3585363" y="769747"/>
                            <a:ext cx="86868" cy="109728"/>
                          </a:xfrm>
                          <a:custGeom>
                            <a:avLst/>
                            <a:gdLst/>
                            <a:ahLst/>
                            <a:cxnLst/>
                            <a:rect l="0" t="0" r="0" b="0"/>
                            <a:pathLst>
                              <a:path w="86868" h="109728">
                                <a:moveTo>
                                  <a:pt x="86868" y="109728"/>
                                </a:moveTo>
                                <a:lnTo>
                                  <a:pt x="56388"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90" name="Shape 40590"/>
                        <wps:cNvSpPr/>
                        <wps:spPr>
                          <a:xfrm>
                            <a:off x="3490875" y="570103"/>
                            <a:ext cx="266700" cy="288036"/>
                          </a:xfrm>
                          <a:custGeom>
                            <a:avLst/>
                            <a:gdLst/>
                            <a:ahLst/>
                            <a:cxnLst/>
                            <a:rect l="0" t="0" r="0" b="0"/>
                            <a:pathLst>
                              <a:path w="266700" h="288036">
                                <a:moveTo>
                                  <a:pt x="266700" y="288036"/>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91" name="Shape 40591"/>
                        <wps:cNvSpPr/>
                        <wps:spPr>
                          <a:xfrm>
                            <a:off x="3827679" y="621919"/>
                            <a:ext cx="0" cy="230124"/>
                          </a:xfrm>
                          <a:custGeom>
                            <a:avLst/>
                            <a:gdLst/>
                            <a:ahLst/>
                            <a:cxnLst/>
                            <a:rect l="0" t="0" r="0" b="0"/>
                            <a:pathLst>
                              <a:path h="230124">
                                <a:moveTo>
                                  <a:pt x="0" y="230124"/>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592" name="Shape 40592"/>
                        <wps:cNvSpPr/>
                        <wps:spPr>
                          <a:xfrm>
                            <a:off x="3835299" y="731647"/>
                            <a:ext cx="158496" cy="120397"/>
                          </a:xfrm>
                          <a:custGeom>
                            <a:avLst/>
                            <a:gdLst/>
                            <a:ahLst/>
                            <a:cxnLst/>
                            <a:rect l="0" t="0" r="0" b="0"/>
                            <a:pathLst>
                              <a:path w="158496" h="120397">
                                <a:moveTo>
                                  <a:pt x="0" y="120397"/>
                                </a:moveTo>
                                <a:lnTo>
                                  <a:pt x="100584" y="0"/>
                                </a:lnTo>
                                <a:lnTo>
                                  <a:pt x="158496"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757093" name="Rectangle 757093"/>
                        <wps:cNvSpPr/>
                        <wps:spPr>
                          <a:xfrm>
                            <a:off x="4152544" y="1409700"/>
                            <a:ext cx="108694" cy="154840"/>
                          </a:xfrm>
                          <a:prstGeom prst="rect">
                            <a:avLst/>
                          </a:prstGeom>
                          <a:ln>
                            <a:noFill/>
                          </a:ln>
                        </wps:spPr>
                        <wps:txbx>
                          <w:txbxContent>
                            <w:p w14:paraId="4EC26A5A"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92" name="Rectangle 757092"/>
                        <wps:cNvSpPr/>
                        <wps:spPr>
                          <a:xfrm>
                            <a:off x="3891940" y="1409700"/>
                            <a:ext cx="346603" cy="154840"/>
                          </a:xfrm>
                          <a:prstGeom prst="rect">
                            <a:avLst/>
                          </a:prstGeom>
                          <a:ln>
                            <a:noFill/>
                          </a:ln>
                        </wps:spPr>
                        <wps:txbx>
                          <w:txbxContent>
                            <w:p w14:paraId="50B15933" w14:textId="77777777" w:rsidR="0014164F" w:rsidRDefault="0014164F" w:rsidP="00C232D7">
                              <w:r>
                                <w:rPr>
                                  <w:rFonts w:ascii="Calibri" w:hAnsi="Calibri" w:cs="Calibri"/>
                                  <w:color w:val="404040"/>
                                  <w:sz w:val="18"/>
                                </w:rPr>
                                <w:t>66.97</w:t>
                              </w:r>
                            </w:p>
                          </w:txbxContent>
                        </wps:txbx>
                        <wps:bodyPr horzOverflow="overflow" vert="horz" lIns="0" tIns="0" rIns="0" bIns="0" rtlCol="0">
                          <a:noAutofit/>
                        </wps:bodyPr>
                      </wps:wsp>
                      <wps:wsp>
                        <wps:cNvPr id="757100" name="Rectangle 757100"/>
                        <wps:cNvSpPr/>
                        <wps:spPr>
                          <a:xfrm>
                            <a:off x="3189719" y="1791081"/>
                            <a:ext cx="108694" cy="154840"/>
                          </a:xfrm>
                          <a:prstGeom prst="rect">
                            <a:avLst/>
                          </a:prstGeom>
                          <a:ln>
                            <a:noFill/>
                          </a:ln>
                        </wps:spPr>
                        <wps:txbx>
                          <w:txbxContent>
                            <w:p w14:paraId="2FB2B21C"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99" name="Rectangle 757099"/>
                        <wps:cNvSpPr/>
                        <wps:spPr>
                          <a:xfrm>
                            <a:off x="2987065" y="1791081"/>
                            <a:ext cx="269530" cy="154840"/>
                          </a:xfrm>
                          <a:prstGeom prst="rect">
                            <a:avLst/>
                          </a:prstGeom>
                          <a:ln>
                            <a:noFill/>
                          </a:ln>
                        </wps:spPr>
                        <wps:txbx>
                          <w:txbxContent>
                            <w:p w14:paraId="278D5974" w14:textId="77777777" w:rsidR="0014164F" w:rsidRDefault="0014164F" w:rsidP="00C232D7">
                              <w:r>
                                <w:rPr>
                                  <w:rFonts w:ascii="Calibri" w:hAnsi="Calibri" w:cs="Calibri"/>
                                  <w:color w:val="404040"/>
                                  <w:sz w:val="18"/>
                                </w:rPr>
                                <w:t>3.40</w:t>
                              </w:r>
                            </w:p>
                          </w:txbxContent>
                        </wps:txbx>
                        <wps:bodyPr horzOverflow="overflow" vert="horz" lIns="0" tIns="0" rIns="0" bIns="0" rtlCol="0">
                          <a:noAutofit/>
                        </wps:bodyPr>
                      </wps:wsp>
                      <wps:wsp>
                        <wps:cNvPr id="757094" name="Rectangle 757094"/>
                        <wps:cNvSpPr/>
                        <wps:spPr>
                          <a:xfrm>
                            <a:off x="2977287" y="1590802"/>
                            <a:ext cx="269530" cy="154840"/>
                          </a:xfrm>
                          <a:prstGeom prst="rect">
                            <a:avLst/>
                          </a:prstGeom>
                          <a:ln>
                            <a:noFill/>
                          </a:ln>
                        </wps:spPr>
                        <wps:txbx>
                          <w:txbxContent>
                            <w:p w14:paraId="3D5B7000" w14:textId="77777777" w:rsidR="0014164F" w:rsidRDefault="0014164F" w:rsidP="00C232D7">
                              <w:r>
                                <w:rPr>
                                  <w:rFonts w:ascii="Calibri" w:hAnsi="Calibri" w:cs="Calibri"/>
                                  <w:color w:val="404040"/>
                                  <w:sz w:val="18"/>
                                </w:rPr>
                                <w:t>1.21</w:t>
                              </w:r>
                            </w:p>
                          </w:txbxContent>
                        </wps:txbx>
                        <wps:bodyPr horzOverflow="overflow" vert="horz" lIns="0" tIns="0" rIns="0" bIns="0" rtlCol="0">
                          <a:noAutofit/>
                        </wps:bodyPr>
                      </wps:wsp>
                      <wps:wsp>
                        <wps:cNvPr id="757095" name="Rectangle 757095"/>
                        <wps:cNvSpPr/>
                        <wps:spPr>
                          <a:xfrm>
                            <a:off x="3179941" y="1590802"/>
                            <a:ext cx="108694" cy="154840"/>
                          </a:xfrm>
                          <a:prstGeom prst="rect">
                            <a:avLst/>
                          </a:prstGeom>
                          <a:ln>
                            <a:noFill/>
                          </a:ln>
                        </wps:spPr>
                        <wps:txbx>
                          <w:txbxContent>
                            <w:p w14:paraId="1474DB32"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91" name="Rectangle 757091"/>
                        <wps:cNvSpPr/>
                        <wps:spPr>
                          <a:xfrm>
                            <a:off x="3170542" y="1409700"/>
                            <a:ext cx="108694" cy="154840"/>
                          </a:xfrm>
                          <a:prstGeom prst="rect">
                            <a:avLst/>
                          </a:prstGeom>
                          <a:ln>
                            <a:noFill/>
                          </a:ln>
                        </wps:spPr>
                        <wps:txbx>
                          <w:txbxContent>
                            <w:p w14:paraId="2CF09114"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90" name="Rectangle 757090"/>
                        <wps:cNvSpPr/>
                        <wps:spPr>
                          <a:xfrm>
                            <a:off x="2967888" y="1409700"/>
                            <a:ext cx="269530" cy="154840"/>
                          </a:xfrm>
                          <a:prstGeom prst="rect">
                            <a:avLst/>
                          </a:prstGeom>
                          <a:ln>
                            <a:noFill/>
                          </a:ln>
                        </wps:spPr>
                        <wps:txbx>
                          <w:txbxContent>
                            <w:p w14:paraId="588AFE6F" w14:textId="77777777" w:rsidR="0014164F" w:rsidRDefault="0014164F" w:rsidP="00C232D7">
                              <w:r>
                                <w:rPr>
                                  <w:rFonts w:ascii="Calibri" w:hAnsi="Calibri" w:cs="Calibri"/>
                                  <w:color w:val="404040"/>
                                  <w:sz w:val="18"/>
                                </w:rPr>
                                <w:t>2.24</w:t>
                              </w:r>
                            </w:p>
                          </w:txbxContent>
                        </wps:txbx>
                        <wps:bodyPr horzOverflow="overflow" vert="horz" lIns="0" tIns="0" rIns="0" bIns="0" rtlCol="0">
                          <a:noAutofit/>
                        </wps:bodyPr>
                      </wps:wsp>
                      <wps:wsp>
                        <wps:cNvPr id="757089" name="Rectangle 757089"/>
                        <wps:cNvSpPr/>
                        <wps:spPr>
                          <a:xfrm>
                            <a:off x="3170542" y="1228979"/>
                            <a:ext cx="108694" cy="154840"/>
                          </a:xfrm>
                          <a:prstGeom prst="rect">
                            <a:avLst/>
                          </a:prstGeom>
                          <a:ln>
                            <a:noFill/>
                          </a:ln>
                        </wps:spPr>
                        <wps:txbx>
                          <w:txbxContent>
                            <w:p w14:paraId="7BA4823C"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88" name="Rectangle 757088"/>
                        <wps:cNvSpPr/>
                        <wps:spPr>
                          <a:xfrm>
                            <a:off x="2967888" y="1228979"/>
                            <a:ext cx="269530" cy="154840"/>
                          </a:xfrm>
                          <a:prstGeom prst="rect">
                            <a:avLst/>
                          </a:prstGeom>
                          <a:ln>
                            <a:noFill/>
                          </a:ln>
                        </wps:spPr>
                        <wps:txbx>
                          <w:txbxContent>
                            <w:p w14:paraId="3ABCF6F0" w14:textId="77777777" w:rsidR="0014164F" w:rsidRDefault="0014164F" w:rsidP="00C232D7">
                              <w:r>
                                <w:rPr>
                                  <w:rFonts w:ascii="Calibri" w:hAnsi="Calibri" w:cs="Calibri"/>
                                  <w:color w:val="404040"/>
                                  <w:sz w:val="18"/>
                                </w:rPr>
                                <w:t>0.96</w:t>
                              </w:r>
                            </w:p>
                          </w:txbxContent>
                        </wps:txbx>
                        <wps:bodyPr horzOverflow="overflow" vert="horz" lIns="0" tIns="0" rIns="0" bIns="0" rtlCol="0">
                          <a:noAutofit/>
                        </wps:bodyPr>
                      </wps:wsp>
                      <wps:wsp>
                        <wps:cNvPr id="757086" name="Rectangle 757086"/>
                        <wps:cNvSpPr/>
                        <wps:spPr>
                          <a:xfrm>
                            <a:off x="2977287" y="1048004"/>
                            <a:ext cx="269530" cy="154840"/>
                          </a:xfrm>
                          <a:prstGeom prst="rect">
                            <a:avLst/>
                          </a:prstGeom>
                          <a:ln>
                            <a:noFill/>
                          </a:ln>
                        </wps:spPr>
                        <wps:txbx>
                          <w:txbxContent>
                            <w:p w14:paraId="6588A8AD" w14:textId="77777777" w:rsidR="0014164F" w:rsidRDefault="0014164F" w:rsidP="00C232D7">
                              <w:r>
                                <w:rPr>
                                  <w:rFonts w:ascii="Calibri" w:hAnsi="Calibri" w:cs="Calibri"/>
                                  <w:color w:val="404040"/>
                                  <w:sz w:val="18"/>
                                </w:rPr>
                                <w:t>2.50</w:t>
                              </w:r>
                            </w:p>
                          </w:txbxContent>
                        </wps:txbx>
                        <wps:bodyPr horzOverflow="overflow" vert="horz" lIns="0" tIns="0" rIns="0" bIns="0" rtlCol="0">
                          <a:noAutofit/>
                        </wps:bodyPr>
                      </wps:wsp>
                      <wps:wsp>
                        <wps:cNvPr id="757087" name="Rectangle 757087"/>
                        <wps:cNvSpPr/>
                        <wps:spPr>
                          <a:xfrm>
                            <a:off x="3179941" y="1048004"/>
                            <a:ext cx="108694" cy="154840"/>
                          </a:xfrm>
                          <a:prstGeom prst="rect">
                            <a:avLst/>
                          </a:prstGeom>
                          <a:ln>
                            <a:noFill/>
                          </a:ln>
                        </wps:spPr>
                        <wps:txbx>
                          <w:txbxContent>
                            <w:p w14:paraId="331F4C1F"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83" name="Rectangle 757083"/>
                        <wps:cNvSpPr/>
                        <wps:spPr>
                          <a:xfrm>
                            <a:off x="3323869" y="866902"/>
                            <a:ext cx="108694" cy="154840"/>
                          </a:xfrm>
                          <a:prstGeom prst="rect">
                            <a:avLst/>
                          </a:prstGeom>
                          <a:ln>
                            <a:noFill/>
                          </a:ln>
                        </wps:spPr>
                        <wps:txbx>
                          <w:txbxContent>
                            <w:p w14:paraId="7981E24F"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82" name="Rectangle 757082"/>
                        <wps:cNvSpPr/>
                        <wps:spPr>
                          <a:xfrm>
                            <a:off x="3063265" y="866902"/>
                            <a:ext cx="346603" cy="154840"/>
                          </a:xfrm>
                          <a:prstGeom prst="rect">
                            <a:avLst/>
                          </a:prstGeom>
                          <a:ln>
                            <a:noFill/>
                          </a:ln>
                        </wps:spPr>
                        <wps:txbx>
                          <w:txbxContent>
                            <w:p w14:paraId="0863C6FC" w14:textId="77777777" w:rsidR="0014164F" w:rsidRDefault="0014164F" w:rsidP="00C232D7">
                              <w:r>
                                <w:rPr>
                                  <w:rFonts w:ascii="Calibri" w:hAnsi="Calibri" w:cs="Calibri"/>
                                  <w:color w:val="404040"/>
                                  <w:sz w:val="18"/>
                                </w:rPr>
                                <w:t>16.59</w:t>
                              </w:r>
                            </w:p>
                          </w:txbxContent>
                        </wps:txbx>
                        <wps:bodyPr horzOverflow="overflow" vert="horz" lIns="0" tIns="0" rIns="0" bIns="0" rtlCol="0">
                          <a:noAutofit/>
                        </wps:bodyPr>
                      </wps:wsp>
                      <wps:wsp>
                        <wps:cNvPr id="757076" name="Rectangle 757076"/>
                        <wps:cNvSpPr/>
                        <wps:spPr>
                          <a:xfrm>
                            <a:off x="3272688" y="685800"/>
                            <a:ext cx="269530" cy="154840"/>
                          </a:xfrm>
                          <a:prstGeom prst="rect">
                            <a:avLst/>
                          </a:prstGeom>
                          <a:ln>
                            <a:noFill/>
                          </a:ln>
                        </wps:spPr>
                        <wps:txbx>
                          <w:txbxContent>
                            <w:p w14:paraId="7291945C" w14:textId="77777777" w:rsidR="0014164F" w:rsidRDefault="0014164F" w:rsidP="00C232D7">
                              <w:r>
                                <w:rPr>
                                  <w:rFonts w:ascii="Calibri" w:hAnsi="Calibri" w:cs="Calibri"/>
                                  <w:color w:val="404040"/>
                                  <w:sz w:val="18"/>
                                </w:rPr>
                                <w:t>1.57</w:t>
                              </w:r>
                            </w:p>
                          </w:txbxContent>
                        </wps:txbx>
                        <wps:bodyPr horzOverflow="overflow" vert="horz" lIns="0" tIns="0" rIns="0" bIns="0" rtlCol="0">
                          <a:noAutofit/>
                        </wps:bodyPr>
                      </wps:wsp>
                      <wps:wsp>
                        <wps:cNvPr id="757077" name="Rectangle 757077"/>
                        <wps:cNvSpPr/>
                        <wps:spPr>
                          <a:xfrm>
                            <a:off x="3475342" y="685800"/>
                            <a:ext cx="108694" cy="154840"/>
                          </a:xfrm>
                          <a:prstGeom prst="rect">
                            <a:avLst/>
                          </a:prstGeom>
                          <a:ln>
                            <a:noFill/>
                          </a:ln>
                        </wps:spPr>
                        <wps:txbx>
                          <w:txbxContent>
                            <w:p w14:paraId="45B1E29E"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66" name="Rectangle 757066"/>
                        <wps:cNvSpPr/>
                        <wps:spPr>
                          <a:xfrm>
                            <a:off x="3186963" y="485902"/>
                            <a:ext cx="269530" cy="154840"/>
                          </a:xfrm>
                          <a:prstGeom prst="rect">
                            <a:avLst/>
                          </a:prstGeom>
                          <a:ln>
                            <a:noFill/>
                          </a:ln>
                        </wps:spPr>
                        <wps:txbx>
                          <w:txbxContent>
                            <w:p w14:paraId="0D345AFC" w14:textId="77777777" w:rsidR="0014164F" w:rsidRDefault="0014164F" w:rsidP="00C232D7">
                              <w:r>
                                <w:rPr>
                                  <w:rFonts w:ascii="Calibri" w:hAnsi="Calibri" w:cs="Calibri"/>
                                  <w:color w:val="404040"/>
                                  <w:sz w:val="18"/>
                                </w:rPr>
                                <w:t>4.07</w:t>
                              </w:r>
                            </w:p>
                          </w:txbxContent>
                        </wps:txbx>
                        <wps:bodyPr horzOverflow="overflow" vert="horz" lIns="0" tIns="0" rIns="0" bIns="0" rtlCol="0">
                          <a:noAutofit/>
                        </wps:bodyPr>
                      </wps:wsp>
                      <wps:wsp>
                        <wps:cNvPr id="757067" name="Rectangle 757067"/>
                        <wps:cNvSpPr/>
                        <wps:spPr>
                          <a:xfrm>
                            <a:off x="3389617" y="485902"/>
                            <a:ext cx="108694" cy="154840"/>
                          </a:xfrm>
                          <a:prstGeom prst="rect">
                            <a:avLst/>
                          </a:prstGeom>
                          <a:ln>
                            <a:noFill/>
                          </a:ln>
                        </wps:spPr>
                        <wps:txbx>
                          <w:txbxContent>
                            <w:p w14:paraId="23324D05"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68" name="Rectangle 757068"/>
                        <wps:cNvSpPr/>
                        <wps:spPr>
                          <a:xfrm>
                            <a:off x="3682263" y="514604"/>
                            <a:ext cx="269530" cy="154840"/>
                          </a:xfrm>
                          <a:prstGeom prst="rect">
                            <a:avLst/>
                          </a:prstGeom>
                          <a:ln>
                            <a:noFill/>
                          </a:ln>
                        </wps:spPr>
                        <wps:txbx>
                          <w:txbxContent>
                            <w:p w14:paraId="28C88F60" w14:textId="77777777" w:rsidR="0014164F" w:rsidRDefault="0014164F" w:rsidP="00C232D7">
                              <w:r>
                                <w:rPr>
                                  <w:rFonts w:ascii="Calibri" w:hAnsi="Calibri" w:cs="Calibri"/>
                                  <w:color w:val="404040"/>
                                  <w:sz w:val="18"/>
                                </w:rPr>
                                <w:t>0.50</w:t>
                              </w:r>
                            </w:p>
                          </w:txbxContent>
                        </wps:txbx>
                        <wps:bodyPr horzOverflow="overflow" vert="horz" lIns="0" tIns="0" rIns="0" bIns="0" rtlCol="0">
                          <a:noAutofit/>
                        </wps:bodyPr>
                      </wps:wsp>
                      <wps:wsp>
                        <wps:cNvPr id="757069" name="Rectangle 757069"/>
                        <wps:cNvSpPr/>
                        <wps:spPr>
                          <a:xfrm>
                            <a:off x="3884917" y="514604"/>
                            <a:ext cx="108694" cy="154840"/>
                          </a:xfrm>
                          <a:prstGeom prst="rect">
                            <a:avLst/>
                          </a:prstGeom>
                          <a:ln>
                            <a:noFill/>
                          </a:ln>
                        </wps:spPr>
                        <wps:txbx>
                          <w:txbxContent>
                            <w:p w14:paraId="41DEAC41"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078" name="Rectangle 757078"/>
                        <wps:cNvSpPr/>
                        <wps:spPr>
                          <a:xfrm>
                            <a:off x="4006240" y="647700"/>
                            <a:ext cx="269530" cy="154840"/>
                          </a:xfrm>
                          <a:prstGeom prst="rect">
                            <a:avLst/>
                          </a:prstGeom>
                          <a:ln>
                            <a:noFill/>
                          </a:ln>
                        </wps:spPr>
                        <wps:txbx>
                          <w:txbxContent>
                            <w:p w14:paraId="3E03F583" w14:textId="77777777" w:rsidR="0014164F" w:rsidRDefault="0014164F" w:rsidP="00C232D7">
                              <w:r>
                                <w:rPr>
                                  <w:rFonts w:ascii="Calibri" w:hAnsi="Calibri" w:cs="Calibri"/>
                                  <w:color w:val="404040"/>
                                  <w:sz w:val="18"/>
                                </w:rPr>
                                <w:t>0.00</w:t>
                              </w:r>
                            </w:p>
                          </w:txbxContent>
                        </wps:txbx>
                        <wps:bodyPr horzOverflow="overflow" vert="horz" lIns="0" tIns="0" rIns="0" bIns="0" rtlCol="0">
                          <a:noAutofit/>
                        </wps:bodyPr>
                      </wps:wsp>
                      <wps:wsp>
                        <wps:cNvPr id="757079" name="Rectangle 757079"/>
                        <wps:cNvSpPr/>
                        <wps:spPr>
                          <a:xfrm>
                            <a:off x="4208895" y="647700"/>
                            <a:ext cx="108694" cy="154840"/>
                          </a:xfrm>
                          <a:prstGeom prst="rect">
                            <a:avLst/>
                          </a:prstGeom>
                          <a:ln>
                            <a:noFill/>
                          </a:ln>
                        </wps:spPr>
                        <wps:txbx>
                          <w:txbxContent>
                            <w:p w14:paraId="2DC4152E"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922142" name="Shape 922142"/>
                        <wps:cNvSpPr/>
                        <wps:spPr>
                          <a:xfrm>
                            <a:off x="4662069" y="45085"/>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0605" name="Shape 40605"/>
                        <wps:cNvSpPr/>
                        <wps:spPr>
                          <a:xfrm>
                            <a:off x="4662069" y="45085"/>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06" name="Rectangle 40606"/>
                        <wps:cNvSpPr/>
                        <wps:spPr>
                          <a:xfrm>
                            <a:off x="4734713" y="9551"/>
                            <a:ext cx="472938" cy="151873"/>
                          </a:xfrm>
                          <a:prstGeom prst="rect">
                            <a:avLst/>
                          </a:prstGeom>
                          <a:ln>
                            <a:noFill/>
                          </a:ln>
                        </wps:spPr>
                        <wps:txbx>
                          <w:txbxContent>
                            <w:p w14:paraId="3C36DE8F" w14:textId="77777777" w:rsidR="0014164F" w:rsidRDefault="0014164F" w:rsidP="00C232D7">
                              <w:r>
                                <w:rPr>
                                  <w:rFonts w:ascii="Arial" w:eastAsia="Arial" w:hAnsi="Arial" w:cs="Arial"/>
                                  <w:color w:val="595959"/>
                                  <w:sz w:val="16"/>
                                </w:rPr>
                                <w:t>Plastika</w:t>
                              </w:r>
                            </w:p>
                          </w:txbxContent>
                        </wps:txbx>
                        <wps:bodyPr horzOverflow="overflow" vert="horz" lIns="0" tIns="0" rIns="0" bIns="0" rtlCol="0">
                          <a:noAutofit/>
                        </wps:bodyPr>
                      </wps:wsp>
                      <wps:wsp>
                        <wps:cNvPr id="922143" name="Shape 922143"/>
                        <wps:cNvSpPr/>
                        <wps:spPr>
                          <a:xfrm>
                            <a:off x="4662069" y="249301"/>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0608" name="Shape 40608"/>
                        <wps:cNvSpPr/>
                        <wps:spPr>
                          <a:xfrm>
                            <a:off x="4662069" y="249301"/>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09" name="Rectangle 40609"/>
                        <wps:cNvSpPr/>
                        <wps:spPr>
                          <a:xfrm>
                            <a:off x="4734713" y="214298"/>
                            <a:ext cx="368999" cy="151421"/>
                          </a:xfrm>
                          <a:prstGeom prst="rect">
                            <a:avLst/>
                          </a:prstGeom>
                          <a:ln>
                            <a:noFill/>
                          </a:ln>
                        </wps:spPr>
                        <wps:txbx>
                          <w:txbxContent>
                            <w:p w14:paraId="793443C4" w14:textId="77777777" w:rsidR="0014164F" w:rsidRDefault="0014164F" w:rsidP="00C232D7">
                              <w:r>
                                <w:rPr>
                                  <w:rFonts w:ascii="Arial" w:eastAsia="Arial" w:hAnsi="Arial" w:cs="Arial"/>
                                  <w:color w:val="595959"/>
                                  <w:sz w:val="16"/>
                                </w:rPr>
                                <w:t>Guma</w:t>
                              </w:r>
                            </w:p>
                          </w:txbxContent>
                        </wps:txbx>
                        <wps:bodyPr horzOverflow="overflow" vert="horz" lIns="0" tIns="0" rIns="0" bIns="0" rtlCol="0">
                          <a:noAutofit/>
                        </wps:bodyPr>
                      </wps:wsp>
                      <wps:wsp>
                        <wps:cNvPr id="922144" name="Shape 922144"/>
                        <wps:cNvSpPr/>
                        <wps:spPr>
                          <a:xfrm>
                            <a:off x="4662069" y="453517"/>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0611" name="Shape 40611"/>
                        <wps:cNvSpPr/>
                        <wps:spPr>
                          <a:xfrm>
                            <a:off x="4662069" y="453517"/>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12" name="Rectangle 40612"/>
                        <wps:cNvSpPr/>
                        <wps:spPr>
                          <a:xfrm>
                            <a:off x="4734713" y="436583"/>
                            <a:ext cx="428189" cy="127647"/>
                          </a:xfrm>
                          <a:prstGeom prst="rect">
                            <a:avLst/>
                          </a:prstGeom>
                          <a:ln>
                            <a:noFill/>
                          </a:ln>
                        </wps:spPr>
                        <wps:txbx>
                          <w:txbxContent>
                            <w:p w14:paraId="7EDB73CE" w14:textId="77777777" w:rsidR="0014164F" w:rsidRDefault="0014164F" w:rsidP="00C232D7">
                              <w:r>
                                <w:rPr>
                                  <w:rFonts w:ascii="Arial" w:eastAsia="Arial" w:hAnsi="Arial" w:cs="Arial"/>
                                  <w:color w:val="595959"/>
                                  <w:sz w:val="16"/>
                                </w:rPr>
                                <w:t>Odjeća</w:t>
                              </w:r>
                            </w:p>
                          </w:txbxContent>
                        </wps:txbx>
                        <wps:bodyPr horzOverflow="overflow" vert="horz" lIns="0" tIns="0" rIns="0" bIns="0" rtlCol="0">
                          <a:noAutofit/>
                        </wps:bodyPr>
                      </wps:wsp>
                      <wps:wsp>
                        <wps:cNvPr id="922145" name="Shape 922145"/>
                        <wps:cNvSpPr/>
                        <wps:spPr>
                          <a:xfrm>
                            <a:off x="4662069" y="657733"/>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0614" name="Shape 40614"/>
                        <wps:cNvSpPr/>
                        <wps:spPr>
                          <a:xfrm>
                            <a:off x="4662069" y="657733"/>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15" name="Rectangle 40615"/>
                        <wps:cNvSpPr/>
                        <wps:spPr>
                          <a:xfrm>
                            <a:off x="4734713" y="623111"/>
                            <a:ext cx="727657" cy="151421"/>
                          </a:xfrm>
                          <a:prstGeom prst="rect">
                            <a:avLst/>
                          </a:prstGeom>
                          <a:ln>
                            <a:noFill/>
                          </a:ln>
                        </wps:spPr>
                        <wps:txbx>
                          <w:txbxContent>
                            <w:p w14:paraId="67CB4546" w14:textId="77777777" w:rsidR="0014164F" w:rsidRDefault="0014164F" w:rsidP="00C232D7">
                              <w:r>
                                <w:rPr>
                                  <w:rFonts w:ascii="Arial" w:eastAsia="Arial" w:hAnsi="Arial" w:cs="Arial"/>
                                  <w:color w:val="595959"/>
                                  <w:sz w:val="16"/>
                                </w:rPr>
                                <w:t>Papir/karton</w:t>
                              </w:r>
                            </w:p>
                          </w:txbxContent>
                        </wps:txbx>
                        <wps:bodyPr horzOverflow="overflow" vert="horz" lIns="0" tIns="0" rIns="0" bIns="0" rtlCol="0">
                          <a:noAutofit/>
                        </wps:bodyPr>
                      </wps:wsp>
                      <wps:wsp>
                        <wps:cNvPr id="922146" name="Shape 922146"/>
                        <wps:cNvSpPr/>
                        <wps:spPr>
                          <a:xfrm>
                            <a:off x="4662069" y="861949"/>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0617" name="Shape 40617"/>
                        <wps:cNvSpPr/>
                        <wps:spPr>
                          <a:xfrm>
                            <a:off x="4662069" y="861949"/>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18" name="Rectangle 40618"/>
                        <wps:cNvSpPr/>
                        <wps:spPr>
                          <a:xfrm>
                            <a:off x="4734713" y="845396"/>
                            <a:ext cx="901872" cy="127647"/>
                          </a:xfrm>
                          <a:prstGeom prst="rect">
                            <a:avLst/>
                          </a:prstGeom>
                          <a:ln>
                            <a:noFill/>
                          </a:ln>
                        </wps:spPr>
                        <wps:txbx>
                          <w:txbxContent>
                            <w:p w14:paraId="76170473" w14:textId="77777777" w:rsidR="0014164F" w:rsidRDefault="0014164F" w:rsidP="00C232D7">
                              <w:r>
                                <w:rPr>
                                  <w:rFonts w:ascii="Arial" w:eastAsia="Arial" w:hAnsi="Arial" w:cs="Arial"/>
                                  <w:color w:val="595959"/>
                                  <w:sz w:val="16"/>
                                </w:rPr>
                                <w:t>Obrađeno drvo</w:t>
                              </w:r>
                            </w:p>
                          </w:txbxContent>
                        </wps:txbx>
                        <wps:bodyPr horzOverflow="overflow" vert="horz" lIns="0" tIns="0" rIns="0" bIns="0" rtlCol="0">
                          <a:noAutofit/>
                        </wps:bodyPr>
                      </wps:wsp>
                      <wps:wsp>
                        <wps:cNvPr id="922147" name="Shape 922147"/>
                        <wps:cNvSpPr/>
                        <wps:spPr>
                          <a:xfrm>
                            <a:off x="4662069" y="1066165"/>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0620" name="Shape 40620"/>
                        <wps:cNvSpPr/>
                        <wps:spPr>
                          <a:xfrm>
                            <a:off x="4662069" y="1066165"/>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21" name="Rectangle 40621"/>
                        <wps:cNvSpPr/>
                        <wps:spPr>
                          <a:xfrm>
                            <a:off x="4734713" y="1031542"/>
                            <a:ext cx="330162" cy="151421"/>
                          </a:xfrm>
                          <a:prstGeom prst="rect">
                            <a:avLst/>
                          </a:prstGeom>
                          <a:ln>
                            <a:noFill/>
                          </a:ln>
                        </wps:spPr>
                        <wps:txbx>
                          <w:txbxContent>
                            <w:p w14:paraId="22B9D029" w14:textId="77777777" w:rsidR="0014164F" w:rsidRDefault="0014164F" w:rsidP="00C232D7">
                              <w:r>
                                <w:rPr>
                                  <w:rFonts w:ascii="Arial" w:eastAsia="Arial" w:hAnsi="Arial" w:cs="Arial"/>
                                  <w:color w:val="595959"/>
                                  <w:sz w:val="16"/>
                                </w:rPr>
                                <w:t>Metal</w:t>
                              </w:r>
                            </w:p>
                          </w:txbxContent>
                        </wps:txbx>
                        <wps:bodyPr horzOverflow="overflow" vert="horz" lIns="0" tIns="0" rIns="0" bIns="0" rtlCol="0">
                          <a:noAutofit/>
                        </wps:bodyPr>
                      </wps:wsp>
                      <wps:wsp>
                        <wps:cNvPr id="922148" name="Shape 922148"/>
                        <wps:cNvSpPr/>
                        <wps:spPr>
                          <a:xfrm>
                            <a:off x="4662069" y="1270381"/>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255E91"/>
                          </a:fillRef>
                          <a:effectRef idx="0">
                            <a:scrgbClr r="0" g="0" b="0"/>
                          </a:effectRef>
                          <a:fontRef idx="none"/>
                        </wps:style>
                        <wps:bodyPr/>
                      </wps:wsp>
                      <wps:wsp>
                        <wps:cNvPr id="40623" name="Shape 40623"/>
                        <wps:cNvSpPr/>
                        <wps:spPr>
                          <a:xfrm>
                            <a:off x="4662069" y="1270381"/>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24" name="Rectangle 40624"/>
                        <wps:cNvSpPr/>
                        <wps:spPr>
                          <a:xfrm>
                            <a:off x="4734713" y="1236013"/>
                            <a:ext cx="375246" cy="151421"/>
                          </a:xfrm>
                          <a:prstGeom prst="rect">
                            <a:avLst/>
                          </a:prstGeom>
                          <a:ln>
                            <a:noFill/>
                          </a:ln>
                        </wps:spPr>
                        <wps:txbx>
                          <w:txbxContent>
                            <w:p w14:paraId="5F6696F5" w14:textId="77777777" w:rsidR="0014164F" w:rsidRDefault="0014164F" w:rsidP="00C232D7">
                              <w:r>
                                <w:rPr>
                                  <w:rFonts w:ascii="Arial" w:eastAsia="Arial" w:hAnsi="Arial" w:cs="Arial"/>
                                  <w:color w:val="595959"/>
                                  <w:sz w:val="16"/>
                                </w:rPr>
                                <w:t>Staklo</w:t>
                              </w:r>
                            </w:p>
                          </w:txbxContent>
                        </wps:txbx>
                        <wps:bodyPr horzOverflow="overflow" vert="horz" lIns="0" tIns="0" rIns="0" bIns="0" rtlCol="0">
                          <a:noAutofit/>
                        </wps:bodyPr>
                      </wps:wsp>
                      <wps:wsp>
                        <wps:cNvPr id="922149" name="Shape 922149"/>
                        <wps:cNvSpPr/>
                        <wps:spPr>
                          <a:xfrm>
                            <a:off x="4662069" y="1474597"/>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0626" name="Shape 40626"/>
                        <wps:cNvSpPr/>
                        <wps:spPr>
                          <a:xfrm>
                            <a:off x="4662069" y="1474597"/>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27" name="Rectangle 40627"/>
                        <wps:cNvSpPr/>
                        <wps:spPr>
                          <a:xfrm>
                            <a:off x="4734713" y="1440228"/>
                            <a:ext cx="571754" cy="151421"/>
                          </a:xfrm>
                          <a:prstGeom prst="rect">
                            <a:avLst/>
                          </a:prstGeom>
                          <a:ln>
                            <a:noFill/>
                          </a:ln>
                        </wps:spPr>
                        <wps:txbx>
                          <w:txbxContent>
                            <w:p w14:paraId="697B9C3D" w14:textId="77777777" w:rsidR="0014164F" w:rsidRDefault="0014164F" w:rsidP="00C232D7">
                              <w:r>
                                <w:rPr>
                                  <w:rFonts w:ascii="Arial" w:eastAsia="Arial" w:hAnsi="Arial" w:cs="Arial"/>
                                  <w:color w:val="595959"/>
                                  <w:sz w:val="16"/>
                                </w:rPr>
                                <w:t>Keramika</w:t>
                              </w:r>
                            </w:p>
                          </w:txbxContent>
                        </wps:txbx>
                        <wps:bodyPr horzOverflow="overflow" vert="horz" lIns="0" tIns="0" rIns="0" bIns="0" rtlCol="0">
                          <a:noAutofit/>
                        </wps:bodyPr>
                      </wps:wsp>
                      <wps:wsp>
                        <wps:cNvPr id="922150" name="Shape 922150"/>
                        <wps:cNvSpPr/>
                        <wps:spPr>
                          <a:xfrm>
                            <a:off x="4662069" y="1678813"/>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636363"/>
                          </a:fillRef>
                          <a:effectRef idx="0">
                            <a:scrgbClr r="0" g="0" b="0"/>
                          </a:effectRef>
                          <a:fontRef idx="none"/>
                        </wps:style>
                        <wps:bodyPr/>
                      </wps:wsp>
                      <wps:wsp>
                        <wps:cNvPr id="40629" name="Shape 40629"/>
                        <wps:cNvSpPr/>
                        <wps:spPr>
                          <a:xfrm>
                            <a:off x="4662069" y="1678813"/>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30" name="Rectangle 40630"/>
                        <wps:cNvSpPr/>
                        <wps:spPr>
                          <a:xfrm>
                            <a:off x="4734713" y="1644445"/>
                            <a:ext cx="908004" cy="151421"/>
                          </a:xfrm>
                          <a:prstGeom prst="rect">
                            <a:avLst/>
                          </a:prstGeom>
                          <a:ln>
                            <a:noFill/>
                          </a:ln>
                        </wps:spPr>
                        <wps:txbx>
                          <w:txbxContent>
                            <w:p w14:paraId="2F0B8742" w14:textId="77777777" w:rsidR="0014164F" w:rsidRDefault="0014164F" w:rsidP="00C232D7">
                              <w:r>
                                <w:rPr>
                                  <w:rFonts w:ascii="Arial" w:eastAsia="Arial" w:hAnsi="Arial" w:cs="Arial"/>
                                  <w:color w:val="595959"/>
                                  <w:sz w:val="16"/>
                                </w:rPr>
                                <w:t>Sanitarni otpad</w:t>
                              </w:r>
                            </w:p>
                          </w:txbxContent>
                        </wps:txbx>
                        <wps:bodyPr horzOverflow="overflow" vert="horz" lIns="0" tIns="0" rIns="0" bIns="0" rtlCol="0">
                          <a:noAutofit/>
                        </wps:bodyPr>
                      </wps:wsp>
                      <wps:wsp>
                        <wps:cNvPr id="922151" name="Shape 922151"/>
                        <wps:cNvSpPr/>
                        <wps:spPr>
                          <a:xfrm>
                            <a:off x="4662069" y="1883029"/>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997300"/>
                          </a:fillRef>
                          <a:effectRef idx="0">
                            <a:scrgbClr r="0" g="0" b="0"/>
                          </a:effectRef>
                          <a:fontRef idx="none"/>
                        </wps:style>
                        <wps:bodyPr/>
                      </wps:wsp>
                      <wps:wsp>
                        <wps:cNvPr id="40632" name="Shape 40632"/>
                        <wps:cNvSpPr/>
                        <wps:spPr>
                          <a:xfrm>
                            <a:off x="4662069" y="1883029"/>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33" name="Rectangle 40633"/>
                        <wps:cNvSpPr/>
                        <wps:spPr>
                          <a:xfrm>
                            <a:off x="4734713" y="1849041"/>
                            <a:ext cx="1007548" cy="151421"/>
                          </a:xfrm>
                          <a:prstGeom prst="rect">
                            <a:avLst/>
                          </a:prstGeom>
                          <a:ln>
                            <a:noFill/>
                          </a:ln>
                        </wps:spPr>
                        <wps:txbx>
                          <w:txbxContent>
                            <w:p w14:paraId="7C57A110" w14:textId="77777777" w:rsidR="0014164F" w:rsidRDefault="0014164F" w:rsidP="00C232D7">
                              <w:r>
                                <w:rPr>
                                  <w:rFonts w:ascii="Arial" w:eastAsia="Arial" w:hAnsi="Arial" w:cs="Arial"/>
                                  <w:color w:val="595959"/>
                                  <w:sz w:val="16"/>
                                </w:rPr>
                                <w:t>Medicinski otpad</w:t>
                              </w:r>
                            </w:p>
                          </w:txbxContent>
                        </wps:txbx>
                        <wps:bodyPr horzOverflow="overflow" vert="horz" lIns="0" tIns="0" rIns="0" bIns="0" rtlCol="0">
                          <a:noAutofit/>
                        </wps:bodyPr>
                      </wps:wsp>
                      <wps:wsp>
                        <wps:cNvPr id="922152" name="Shape 922152"/>
                        <wps:cNvSpPr/>
                        <wps:spPr>
                          <a:xfrm>
                            <a:off x="4662069" y="2087246"/>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0635" name="Shape 40635"/>
                        <wps:cNvSpPr/>
                        <wps:spPr>
                          <a:xfrm>
                            <a:off x="4662069" y="2087246"/>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36" name="Rectangle 40636"/>
                        <wps:cNvSpPr/>
                        <wps:spPr>
                          <a:xfrm>
                            <a:off x="4734713" y="2053257"/>
                            <a:ext cx="819439" cy="151421"/>
                          </a:xfrm>
                          <a:prstGeom prst="rect">
                            <a:avLst/>
                          </a:prstGeom>
                          <a:ln>
                            <a:noFill/>
                          </a:ln>
                        </wps:spPr>
                        <wps:txbx>
                          <w:txbxContent>
                            <w:p w14:paraId="296B6E19" w14:textId="77777777" w:rsidR="0014164F" w:rsidRDefault="0014164F" w:rsidP="00C232D7">
                              <w:r>
                                <w:rPr>
                                  <w:rFonts w:ascii="Arial" w:eastAsia="Arial" w:hAnsi="Arial" w:cs="Arial"/>
                                  <w:color w:val="595959"/>
                                  <w:sz w:val="16"/>
                                </w:rPr>
                                <w:t>Parafin/vosak</w:t>
                              </w:r>
                            </w:p>
                          </w:txbxContent>
                        </wps:txbx>
                        <wps:bodyPr horzOverflow="overflow" vert="horz" lIns="0" tIns="0" rIns="0" bIns="0" rtlCol="0">
                          <a:noAutofit/>
                        </wps:bodyPr>
                      </wps:wsp>
                    </wpg:wgp>
                  </a:graphicData>
                </a:graphic>
              </wp:inline>
            </w:drawing>
          </mc:Choice>
          <mc:Fallback>
            <w:pict>
              <v:group w14:anchorId="73678D51" id="Group 895827" o:spid="_x0000_s1042" style="width:432.45pt;height:170.65pt;mso-position-horizontal-relative:char;mso-position-vertical-relative:line" coordsize="54922,2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">
                <v:shape id="Shape 40487" o:spid="_x0000_s1043" style="position:absolute;left:2143;top:8712;width:11432;height:11431;visibility:visible;mso-wrap-style:square;v-text-anchor:top" coordsize="1143203,114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IYQsUA&#10;AADeAAAADwAAAGRycy9kb3ducmV2LnhtbESPQWsCMRSE7wX/Q3iCt5q1bFtZjSIF0YuHar0/Ns/d&#10;xeQlbqK7+utNodDjMPPNMPNlb424URsaxwom4wwEcel0w5WCn8P6dQoiRGSNxjEpuFOA5WLwMsdC&#10;u46/6baPlUglHApUUMfoCylDWZPFMHaeOHkn11qMSbaV1C12qdwa+ZZlH9Jiw2mhRk9fNZXn/dUq&#10;yI8Xv3ts4vv1tMv9uTuYyaMxSo2G/WoGIlIf/8N/9FYnLsunn/B7J10B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8hhCxQAAAN4AAAAPAAAAAAAAAAAAAAAAAJgCAABkcnMv&#10;ZG93bnJldi54bWxQSwUGAAAAAAQABAD1AAAAigMAAAAA&#10;" path="m571576,v315722,,571627,255905,571627,571500c1143203,887222,887298,1143127,571576,1143127,255854,1143127,,887222,,571500,,508253,10516,445388,31191,385445l571576,571500,571576,xe" fillcolor="#5b9bd5" stroked="f" strokeweight="0">
                  <v:stroke miterlimit="83231f" joinstyle="miter"/>
                  <v:path arrowok="t" textboxrect="0,0,1143203,1143127"/>
                </v:shape>
                <v:shape id="Shape 40488" o:spid="_x0000_s1044" style="position:absolute;left:2143;top:8712;width:11432;height:11431;visibility:visible;mso-wrap-style:square;v-text-anchor:top" coordsize="1143203,1143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UDw8MA&#10;AADeAAAADwAAAGRycy9kb3ducmV2LnhtbERPS2vCQBC+C/0PyxR6041WJI2uUqqF0Et9FM9DdpqE&#10;ZmfD7qjx33cPhR4/vvdqM7hOXSnE1rOB6SQDRVx523Jt4Ov0Ps5BRUG22HkmA3eKsFk/jFZYWH/j&#10;A12PUqsUwrFAA41IX2gdq4YcxonviRP37YNDSTDU2ga8pXDX6VmWLbTDllNDgz29NVT9HC/OAD1/&#10;7vb3/KNchOlJk2z9i5xLY54eh9clKKFB/sV/7tIamGfzPO1Nd9IV0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UDw8MAAADeAAAADwAAAAAAAAAAAAAAAACYAgAAZHJzL2Rv&#10;d25yZXYueG1sUEsFBgAAAAAEAAQA9QAAAIgDAAAAAA==&#10;" path="m571576,v315722,,571627,255905,571627,571500c1143203,887222,887298,1143127,571576,1143127,255854,1143127,,887222,,571500,,508253,10516,445388,31191,385445l571576,571500,571576,xe" filled="f" strokecolor="white" strokeweight="1.56pt">
                  <v:path arrowok="t" textboxrect="0,0,1143203,1143127"/>
                </v:shape>
                <v:shape id="Shape 40489" o:spid="_x0000_s1045" style="position:absolute;left:2455;top:12002;width:5404;height:2425;visibility:visible;mso-wrap-style:square;v-text-anchor:top" coordsize="540385,242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Q0tsgA&#10;AADeAAAADwAAAGRycy9kb3ducmV2LnhtbESPQWsCMRSE74X+h/AK3mrSIlW3RhGhtFAqauvB2+vm&#10;dbPt5mWbRF3/vREKPQ4z8w0zmXWuEQcKsfas4a6vQBCX3tRcafh4f7odgYgJ2WDjmTScKMJsen01&#10;wcL4I6/psEmVyBCOBWqwKbWFlLG05DD2fUucvS8fHKYsQyVNwGOGu0beK/UgHdacFyy2tLBU/mz2&#10;TsNyt3zdqt9h2H9W3n6vwtvzOoy17t1080cQibr0H/5rvxgNAzUYjeFyJ18BOT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FDS2yAAAAN4AAAAPAAAAAAAAAAAAAAAAAJgCAABk&#10;cnMvZG93bnJldi54bWxQSwUGAAAAAAQABAD1AAAAjQMAAAAA&#10;" path="m22733,l540385,242443,,56388c6604,37211,14224,18415,22733,xe" fillcolor="#ed7d31" stroked="f" strokeweight="0">
                  <v:path arrowok="t" textboxrect="0,0,540385,242443"/>
                </v:shape>
                <v:shape id="Shape 40490" o:spid="_x0000_s1046" style="position:absolute;left:2455;top:12002;width:5404;height:2425;visibility:visible;mso-wrap-style:square;v-text-anchor:top" coordsize="540385,2424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SyVMcA&#10;AADeAAAADwAAAGRycy9kb3ducmV2LnhtbESPy2rCQBSG90LfYTiFbkqdtEqoMWMohUCXVmtxecic&#10;XDRzJmQmMfr0nUXB5c9/40uzybRipN41lhW8ziMQxIXVDVcKfvb5yzsI55E1tpZJwZUcZJuHWYqJ&#10;thf+pnHnKxFG2CWooPa+S6R0RU0G3dx2xMErbW/QB9lXUvd4CeOmlW9RFEuDDYeHGjv6rKk47waj&#10;YHv4rQ7D8fo83uLzKW8WcX4rUamnx+ljDcLT5O/h//aXVrCMlqsAEHACCs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0slTHAAAA3gAAAA8AAAAAAAAAAAAAAAAAmAIAAGRy&#10;cy9kb3ducmV2LnhtbFBLBQYAAAAABAAEAPUAAACMAwAAAAA=&#10;" path="m,56388c6604,37211,14224,18415,22733,l540385,242443,,56388xe" filled="f" strokecolor="white" strokeweight="1.56pt">
                  <v:path arrowok="t" textboxrect="0,0,540385,242443"/>
                </v:shape>
                <v:shape id="Shape 40491" o:spid="_x0000_s1047" style="position:absolute;left:2682;top:11513;width:5177;height:2914;visibility:visible;mso-wrap-style:square;v-text-anchor:top" coordsize="517652,291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3gHMcA&#10;AADeAAAADwAAAGRycy9kb3ducmV2LnhtbESPT2vCQBTE74V+h+UVequbqEhNXaUoRS8e/IPS2yP7&#10;TEKzb+PuGuO3dwWhx2FmfsNMZp2pRUvOV5YVpL0EBHFudcWFgv3u5+MThA/IGmvLpOBGHmbT15cJ&#10;ZtpeeUPtNhQiQthnqKAMocmk9HlJBn3PNsTRO1lnMETpCqkdXiPc1LKfJCNpsOK4UGJD85Lyv+3F&#10;KOj70Eg3Px9/T+1Bpjs9WKyXA6Xe37rvLxCBuvAffrZXWsEwGY5TeNyJV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0t4BzHAAAA3gAAAA8AAAAAAAAAAAAAAAAAmAIAAGRy&#10;cy9kb3ducmV2LnhtbFBLBQYAAAAABAAEAPUAAACMAwAAAAA=&#10;" path="m25908,l517652,291338,,48895c7874,32258,16510,15875,25908,xe" fillcolor="#a5a5a5" stroked="f" strokeweight="0">
                  <v:path arrowok="t" textboxrect="0,0,517652,291338"/>
                </v:shape>
                <v:shape id="Shape 40492" o:spid="_x0000_s1048" style="position:absolute;left:2682;top:11513;width:5177;height:2914;visibility:visible;mso-wrap-style:square;v-text-anchor:top" coordsize="517652,291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99SsQA&#10;AADeAAAADwAAAGRycy9kb3ducmV2LnhtbESPUWvCMBSF3wf+h3CFvQxNdEW0GkWcg722+gMuzbUt&#10;NjclyWr3781gsMfDOec7nN1htJ0YyIfWsYbFXIEgrpxpudZwvXzO1iBCRDbYOSYNPxTgsJ+87DA3&#10;7sEFDWWsRYJwyFFDE2OfSxmqhiyGueuJk3dz3mJM0tfSeHwkuO3kUqmVtNhyWmiwp1ND1b38thrK&#10;THVmfVp5+dbL92P1UdzOQ6H163Q8bkFEGuN/+K/9ZTRkKtss4fdOugJy/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ffUrEAAAA3gAAAA8AAAAAAAAAAAAAAAAAmAIAAGRycy9k&#10;b3ducmV2LnhtbFBLBQYAAAAABAAEAPUAAACJAwAAAAA=&#10;" path="m,48895c7874,32258,16510,15875,25908,l517652,291338,,48895xe" filled="f" strokecolor="white" strokeweight="1.56pt">
                  <v:path arrowok="t" textboxrect="0,0,517652,291338"/>
                </v:shape>
                <v:shape id="Shape 40493" o:spid="_x0000_s1049" style="position:absolute;left:2941;top:9806;width:4918;height:4621;visibility:visible;mso-wrap-style:square;v-text-anchor:top" coordsize="491744,462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AsjccA&#10;AADeAAAADwAAAGRycy9kb3ducmV2LnhtbESPUWvCQBCE34X+h2MLvtW7Vis19RSpFYoKpWl/wDa3&#10;JsHcXshtNf33vYLg4zAz3zDzZe8bdaIu1oEt3I8MKOIiuJpLC1+fm7snUFGQHTaBycIvRVgubgZz&#10;zFw48wedcilVgnDM0EIl0mZax6Iij3EUWuLkHULnUZLsSu06PCe4b/SDMVPtsea0UGFLLxUVx/zH&#10;Wxjvvnfv5jHPt4dWNvXrtpD1bG/t8LZfPYMS6uUavrTfnIWJmczG8H8nXQG9+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awLI3HAAAA3gAAAA8AAAAAAAAAAAAAAAAAmAIAAGRy&#10;cy9kb3ducmV2LnhtbFBLBQYAAAAABAAEAPUAAACMAwAAAAA=&#10;" path="m155321,l491744,462026,,170688c39624,103886,92456,45720,155321,xe" fillcolor="#ffc000" stroked="f" strokeweight="0">
                  <v:path arrowok="t" textboxrect="0,0,491744,462026"/>
                </v:shape>
                <v:shape id="Shape 40494" o:spid="_x0000_s1050" style="position:absolute;left:2941;top:9806;width:4918;height:4621;visibility:visible;mso-wrap-style:square;v-text-anchor:top" coordsize="491744,4620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WwncYA&#10;AADeAAAADwAAAGRycy9kb3ducmV2LnhtbESPQWvCQBSE7wX/w/IEb3UTDaVG1yBKYw+9VIVeX7PP&#10;JJh9G7JbE/31bqHQ4zDzzTCrbDCNuFLnassK4mkEgriwuuZSwen49vwKwnlkjY1lUnAjB9l69LTC&#10;VNueP+l68KUIJexSVFB536ZSuqIig25qW+LgnW1n0AfZlVJ32Idy08hZFL1IgzWHhQpb2lZUXA4/&#10;RkHyHdNtvv/IdzTT991gv/LFZa/UZDxsliA8Df4//Ee/68BFySKB3zvhCs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WwncYAAADeAAAADwAAAAAAAAAAAAAAAACYAgAAZHJz&#10;L2Rvd25yZXYueG1sUEsFBgAAAAAEAAQA9QAAAIsDAAAAAA==&#10;" path="m,170688c39624,103886,92456,45720,155321,l491744,462026,,170688xe" filled="f" strokecolor="white" strokeweight="1.56pt">
                  <v:path arrowok="t" textboxrect="0,0,491744,462026"/>
                </v:shape>
                <v:shape id="Shape 40495" o:spid="_x0000_s1051" style="position:absolute;left:4494;top:9589;width:3365;height:4838;visibility:visible;mso-wrap-style:square;v-text-anchor:top" coordsize="336423,48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VvrckA&#10;AADeAAAADwAAAGRycy9kb3ducmV2LnhtbESPQWvCQBSE70L/w/IKvelui4pNXUUEiSC11Xpobq/Z&#10;1yQ0+zZkV037692C4HGYmW+Y6byztThR6yvHGh4HCgRx7kzFhYbDx6o/AeEDssHaMWn4JQ/z2V1v&#10;iolxZ97RaR8KESHsE9RQhtAkUvq8JIt+4Bri6H271mKIsi2kafEc4baWT0qNpcWK40KJDS1Lyn/2&#10;R6sh+0zfs9fm622zy8ZqtU0Pf+tUaf1w3y1eQATqwi18ba+NhqEaPo/g/068AnJ2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CVvrckAAADeAAAADwAAAAAAAAAAAAAAAACYAgAA&#10;ZHJzL2Rvd25yZXYueG1sUEsFBgAAAAAEAAQA9QAAAI4DAAAAAA==&#10;" path="m32131,l336423,483743,,21717c10414,14097,21082,6858,32131,xe" fillcolor="#4472c4" stroked="f" strokeweight="0">
                  <v:path arrowok="t" textboxrect="0,0,336423,483743"/>
                </v:shape>
                <v:shape id="Shape 40496" o:spid="_x0000_s1052" style="position:absolute;left:4494;top:9589;width:3365;height:4838;visibility:visible;mso-wrap-style:square;v-text-anchor:top" coordsize="336423,483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o4rMcA&#10;AADeAAAADwAAAGRycy9kb3ducmV2LnhtbESPUWvCQBCE3wv+h2MLfauXiEiNnlLEggWVGlt8XXLb&#10;XGpuL+SuJv57Tyj0cZidb3bmy97W4kKtrxwrSIcJCOLC6YpLBZ/Ht+cXED4ga6wdk4IreVguBg9z&#10;zLTr+ECXPJQiQthnqMCE0GRS+sKQRT90DXH0vl1rMUTZllK32EW4reUoSSbSYsWxwWBDK0PFOf+1&#10;8Y10Z6pue1z/jE51+pF/vW+6faPU02P/OgMRqA//x3/pjVYwTsbTCdznRAbI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KOKzHAAAA3gAAAA8AAAAAAAAAAAAAAAAAmAIAAGRy&#10;cy9kb3ducmV2LnhtbFBLBQYAAAAABAAEAPUAAACMAwAAAAA=&#10;" path="m,21717c10414,14097,21082,6858,32131,l336423,483743,,21717xe" filled="f" strokecolor="white" strokeweight="1.56pt">
                  <v:path arrowok="t" textboxrect="0,0,336423,483743"/>
                </v:shape>
                <v:shape id="Shape 40497" o:spid="_x0000_s1053" style="position:absolute;left:4816;top:9055;width:3043;height:5372;visibility:visible;mso-wrap-style:square;v-text-anchor:top" coordsize="304292,537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sH88YA&#10;AADeAAAADwAAAGRycy9kb3ducmV2LnhtbESPUWvCQBCE3wv+h2MLvtW7ihgbPUVKxfalpak/YMmt&#10;STC3F3JrTP99r1Do4zAz3zCb3ehbNVAfm8AWHmcGFHEZXMOVhdPX4WEFKgqywzYwWfimCLvt5G6D&#10;uQs3/qShkEolCMccLdQiXa51LGvyGGehI07eOfQeJcm+0q7HW4L7Vs+NWWqPDaeFGjt6rqm8FFdv&#10;Yf5yeD8uBz5f3+RUZLL6yEyhrZ3ej/s1KKFR/sN/7VdnYWEWTxn83klXQG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qsH88YAAADeAAAADwAAAAAAAAAAAAAAAACYAgAAZHJz&#10;L2Rvd25yZXYueG1sUEsFBgAAAAAEAAQA9QAAAIsDAAAAAA==&#10;" path="m109093,l304292,537211,,53467c34290,31877,70866,13970,109093,xe" fillcolor="#70ad47" stroked="f" strokeweight="0">
                  <v:path arrowok="t" textboxrect="0,0,304292,537211"/>
                </v:shape>
                <v:shape id="Shape 40498" o:spid="_x0000_s1054" style="position:absolute;left:4816;top:9055;width:3043;height:5372;visibility:visible;mso-wrap-style:square;v-text-anchor:top" coordsize="304292,537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rmxcMA&#10;AADeAAAADwAAAGRycy9kb3ducmV2LnhtbERPy4rCMBTdC/MP4Q64kTEdUUerUQZBcHTj6wMuzbWp&#10;Njelibb+vVkMuDyc93zZ2lI8qPaFYwXf/QQEceZ0wbmC82n9NQHhA7LG0jEpeJKH5eKjM8dUu4YP&#10;9DiGXMQQ9ikqMCFUqZQ+M2TR911FHLmLqy2GCOtc6hqbGG5LOUiSsbRYcGwwWNHKUHY73q2CEQ32&#10;459yd9hW/tbs/k69q/F3pbqf7e8MRKA2vMX/7o1WMEyG07g33olX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rmxcMAAADeAAAADwAAAAAAAAAAAAAAAACYAgAAZHJzL2Rv&#10;d25yZXYueG1sUEsFBgAAAAAEAAQA9QAAAIgDAAAAAA==&#10;" path="m,53467c34290,31877,70866,13970,109093,l304292,537211,,53467xe" filled="f" strokecolor="white" strokeweight="1.56pt">
                  <v:path arrowok="t" textboxrect="0,0,304292,537211"/>
                </v:shape>
                <v:shape id="Shape 40499" o:spid="_x0000_s1055" style="position:absolute;left:5907;top:8935;width:1952;height:5492;visibility:visible;mso-wrap-style:square;v-text-anchor:top" coordsize="195199,549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g5W8YA&#10;AADeAAAADwAAAGRycy9kb3ducmV2LnhtbESPQWvCQBSE70L/w/IK3nTXEIumrtIUBL1ITQu9vmZf&#10;k9Ds2zS7avz33YLgcZiZb5jVZrCtOFPvG8caZlMFgrh0puFKw8f7drIA4QOywdYxabiSh836YbTC&#10;zLgLH+lchEpECPsMNdQhdJmUvqzJop+6jjh63663GKLsK2l6vES4bWWi1JO02HBcqLGj15rKn+Jk&#10;NQxv1eGgfvefecFuPvuiJG/midbjx+HlGUSgIdzDt/bOaEhVulzC/514Be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g5W8YAAADeAAAADwAAAAAAAAAAAAAAAACYAgAAZHJz&#10;L2Rvd25yZXYueG1sUEsFBgAAAAAEAAQA9QAAAIsDAAAAAA==&#10;" path="m36830,l195199,549149,,11938c12065,7620,24384,3556,36830,xe" fillcolor="#255e91" stroked="f" strokeweight="0">
                  <v:path arrowok="t" textboxrect="0,0,195199,549149"/>
                </v:shape>
                <v:shape id="Shape 40500" o:spid="_x0000_s1056" style="position:absolute;left:5907;top:8935;width:1952;height:5492;visibility:visible;mso-wrap-style:square;v-text-anchor:top" coordsize="195199,5491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xr+8MA&#10;AADeAAAADwAAAGRycy9kb3ducmV2LnhtbESPy2oCMRSG90LfIZxCd5pYWpHRKFoR3Ha8Lg+T42R0&#10;cjJM4jh9+2ZR6PLnv/HNl72rRUdtqDxrGI8UCOLCm4pLDYf9djgFESKywdozafihAMvFy2COmfFP&#10;/qYuj6VIIxwy1GBjbDIpQ2HJYRj5hjh5V986jEm2pTQtPtO4q+W7UhPpsOL0YLGhL0vFPX84DZuH&#10;3zen8y0vzrhbXybHzq59p/Xba7+agYjUx//wX3tnNHyoT5UAEk5CAb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xr+8MAAADeAAAADwAAAAAAAAAAAAAAAACYAgAAZHJzL2Rv&#10;d25yZXYueG1sUEsFBgAAAAAEAAQA9QAAAIgDAAAAAA==&#10;" path="m,11938c12065,7620,24384,3556,36830,l195199,549149,,11938xe" filled="f" strokecolor="white" strokeweight="1.56pt">
                  <v:path arrowok="t" textboxrect="0,0,195199,549149"/>
                </v:shape>
                <v:shape id="Shape 40501" o:spid="_x0000_s1057" style="position:absolute;left:6275;top:8906;width:1584;height:5521;visibility:visible;mso-wrap-style:square;v-text-anchor:top" coordsize="158369,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JVsYA&#10;AADeAAAADwAAAGRycy9kb3ducmV2LnhtbESPQWvCQBSE7wX/w/KE3upupIpGV7EtBaF4MAp6fGSf&#10;STD7NmS3mvrru4LgcZiZb5j5srO1uFDrK8cakoECQZw7U3GhYb/7fpuA8AHZYO2YNPyRh+Wi9zLH&#10;1Lgrb+mShUJECPsUNZQhNKmUPi/Joh+4hjh6J9daDFG2hTQtXiPc1nKo1FharDgulNjQZ0n5Ofu1&#10;GrKjqg9b85Wcbx+jbvpTGTM8bbR+7XerGYhAXXiGH+210fCuRiqB+514Be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JVsYAAADeAAAADwAAAAAAAAAAAAAAAACYAgAAZHJz&#10;L2Rvd25yZXYueG1sUEsFBgAAAAAEAAQA9QAAAIsDAAAAAA==&#10;" path="m10668,l158369,552069,,2921c3556,1905,7112,889,10668,xe" fillcolor="#9e480e" stroked="f" strokeweight="0">
                  <v:path arrowok="t" textboxrect="0,0,158369,552069"/>
                </v:shape>
                <v:shape id="Shape 40502" o:spid="_x0000_s1058" style="position:absolute;left:6275;top:8906;width:1584;height:5521;visibility:visible;mso-wrap-style:square;v-text-anchor:top" coordsize="158369,552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2ALMgA&#10;AADeAAAADwAAAGRycy9kb3ducmV2LnhtbESPQUsDMRSE70L/Q3iF3mzSpWrZNi2lKgjSg6sIvb1u&#10;XjdLNy/LJm63/nojCB6HmfmGWW0G14ieulB71jCbKhDEpTc1Vxo+3p9vFyBCRDbYeCYNVwqwWY9u&#10;Vpgbf+E36otYiQThkKMGG2ObSxlKSw7D1LfEyTv5zmFMsquk6fCS4K6RmVL30mHNacFiSztL5bn4&#10;choOV7vPjoM1T9vvz6J/XLye9/FB68l42C5BRBrif/iv/WI0zNWdyuD3TroCcv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YAsyAAAAN4AAAAPAAAAAAAAAAAAAAAAAJgCAABk&#10;cnMvZG93bnJldi54bWxQSwUGAAAAAAQABAD1AAAAjQMAAAAA&#10;" path="m,2921c3556,1905,7112,889,10668,l158369,552069,,2921xe" filled="f" strokecolor="white" strokeweight="1.56pt">
                  <v:path arrowok="t" textboxrect="0,0,158369,552069"/>
                </v:shape>
                <v:shape id="Shape 40503" o:spid="_x0000_s1059" style="position:absolute;left:6382;top:8718;width:1477;height:5709;visibility:visible;mso-wrap-style:square;v-text-anchor:top" coordsize="147701,570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o8MgA&#10;AADeAAAADwAAAGRycy9kb3ducmV2LnhtbESP0U4CMRRE3034h+aa+EKkFVkkK4UggUR5wAh+wM32&#10;ul3c3i7bAsvfWxMTHyczcyYznXeuFmdqQ+VZw8NAgSAuvKm41PC5X99PQISIbLD2TBquFGA+691M&#10;MTf+wh903sVSJAiHHDXYGJtcylBYchgGviFO3pdvHcYk21KaFi8J7mo5VGosHVacFiw2tLRUfO9O&#10;TsP7kMrTKnvpH9/sE2f1fjzZHjZa3912i2cQkbr4H/5rvxoNI5WpR/i9k66AnP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4+jwyAAAAN4AAAAPAAAAAAAAAAAAAAAAAJgCAABk&#10;cnMvZG93bnJldi54bWxQSwUGAAAAAAQABAD1AAAAjQMAAAAA&#10;" path="m120015,r27686,570865l,18796c39243,8255,79502,2032,120015,xe" fillcolor="#636363" stroked="f" strokeweight="0">
                  <v:path arrowok="t" textboxrect="0,0,147701,570865"/>
                </v:shape>
                <v:shape id="Shape 40504" o:spid="_x0000_s1060" style="position:absolute;left:6382;top:8718;width:1477;height:5709;visibility:visible;mso-wrap-style:square;v-text-anchor:top" coordsize="147701,570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nq/MUA&#10;AADeAAAADwAAAGRycy9kb3ducmV2LnhtbESPT2sCMRTE74LfITyhN03qnyJbo4gg1HpR294fyetm&#10;cfOyblLdfvtGEHocZuY3zGLV+VpcqY1VYA3PIwWC2ARbcanh82M7nIOICdliHZg0/FKE1bLfW2Bh&#10;w42PdD2lUmQIxwI1uJSaQspoHHmMo9AQZ+87tB5Tlm0pbYu3DPe1HCv1Ij1WnBccNrRxZM6nH69h&#10;t69Ks3t3h/Pli5p9XE/McT7R+mnQrV9BJOrSf/jRfrMapmqmpnC/k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Ser8xQAAAN4AAAAPAAAAAAAAAAAAAAAAAJgCAABkcnMv&#10;ZG93bnJldi54bWxQSwUGAAAAAAQABAD1AAAAigMAAAAA&#10;" path="m,18796c39243,8255,79502,2032,120015,r27686,570865l,18796xe" filled="f" strokecolor="white" strokeweight="1.56pt">
                  <v:path arrowok="t" textboxrect="0,0,147701,570865"/>
                </v:shape>
                <v:shape id="Shape 40505" o:spid="_x0000_s1061" style="position:absolute;left:7582;top:8712;width:277;height:5715;visibility:visible;mso-wrap-style:square;v-text-anchor:top" coordsize="27686,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2U8gA&#10;AADeAAAADwAAAGRycy9kb3ducmV2LnhtbESPT2vCQBTE74LfYXlCb7pb/1FSV1GxYHsQGoVeX7Ov&#10;SWj2bcxuNPbTdwsFj8PM/IZZrDpbiQs1vnSs4XGkQBBnzpScazgdX4ZPIHxANlg5Jg038rBa9nsL&#10;TIy78jtd0pCLCGGfoIYihDqR0mcFWfQjVxNH78s1FkOUTS5Ng9cIt5UcKzWXFkuOCwXWtC0o+05b&#10;qyGdv71+1ofzbvphT7tNuz1O2smP1g+Dbv0MIlAX7uH/9t5omKqZmsHfnXgF5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KLZTyAAAAN4AAAAPAAAAAAAAAAAAAAAAAJgCAABk&#10;cnMvZG93bnJldi54bWxQSwUGAAAAAAQABAD1AAAAjQMAAAAA&#10;" path="m27686,r,571500l,635c9271,253,18415,,27686,xe" fillcolor="#997300" stroked="f" strokeweight="0">
                  <v:path arrowok="t" textboxrect="0,0,27686,571500"/>
                </v:shape>
                <v:shape id="Shape 40506" o:spid="_x0000_s1062" style="position:absolute;left:7582;top:8712;width:277;height:5715;visibility:visible;mso-wrap-style:square;v-text-anchor:top" coordsize="27686,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51ccA&#10;AADeAAAADwAAAGRycy9kb3ducmV2LnhtbESP3WoCMRSE7wXfIRyhN1ITf2rL1iilKtQbodoHOGxO&#10;d5duTrZJXFef3giFXg4z8w2zWHW2Fi35UDnWMB4pEMS5MxUXGr6O28cXECEiG6wdk4YLBVgt+70F&#10;Zsad+ZPaQyxEgnDIUEMZY5NJGfKSLIaRa4iT9+28xZikL6TxeE5wW8uJUnNpseK0UGJD7yXlP4eT&#10;1bCf2fXm6Hf4PHHT/fiqsB2efrV+GHRvryAidfE//Nf+MBpm6knN4X4nXQ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l+dXHAAAA3gAAAA8AAAAAAAAAAAAAAAAAmAIAAGRy&#10;cy9kb3ducmV2LnhtbFBLBQYAAAAABAAEAPUAAACMAwAAAAA=&#10;" path="m,635c9271,253,18415,,27686,r,571500l,635xe" filled="f" strokecolor="white" strokeweight="1.56pt">
                  <v:path arrowok="t" textboxrect="0,0,27686,571500"/>
                </v:shape>
                <v:shape id="Shape 40507" o:spid="_x0000_s1063" style="position:absolute;left:7859;top:8712;width:0;height:5715;visibility:visible;mso-wrap-style:square;v-text-anchor:top" coordsize="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2GsUA&#10;AADeAAAADwAAAGRycy9kb3ducmV2LnhtbESPQWvCQBSE70L/w/IK3nTXYm2auooUhV5ETNOeH9ln&#10;Esy+DdlV4793BcHjMDPfMPNlbxtxps7XjjVMxgoEceFMzaWG/HczSkD4gGywcUwaruRhuXgZzDE1&#10;7sJ7OmehFBHCPkUNVQhtKqUvKrLox64ljt7BdRZDlF0pTYeXCLeNfFNqJi3WHBcqbOm7ouKYnayG&#10;3V+2ywpz3H6ekmSlQr/+3zS51sPXfvUFIlAfnuFH+8domKp39QH3O/EK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mXYaxQAAAN4AAAAPAAAAAAAAAAAAAAAAAJgCAABkcnMv&#10;ZG93bnJldi54bWxQSwUGAAAAAAQABAD1AAAAigMAAAAA&#10;" path="m,l,571500,,xe" filled="f" strokecolor="white" strokeweight="1.56pt">
                  <v:path arrowok="t" textboxrect="0,0,0,571500"/>
                </v:shape>
                <v:shape id="Shape 40508" o:spid="_x0000_s1064" style="position:absolute;left:2554;top:10974;width:0;height:1310;visibility:visible;mso-wrap-style:square;v-text-anchor:top" coordsize="0,1310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NKqcUA&#10;AADeAAAADwAAAGRycy9kb3ducmV2LnhtbERPTU/CQBC9m/gfNmPCxcCuxBpSWIgRUOJNBBJuk+7Y&#10;NnRnm+5I6793DyYeX973YjX4Rl2pi3VgCw8TA4q4CK7m0sLhczuegYqC7LAJTBZ+KMJqeXuzwNyF&#10;nj/oupdSpRCOOVqoRNpc61hU5DFOQkucuK/QeZQEu1K7DvsU7hs9NeZJe6w5NVTY0ktFxWX/7S3I&#10;q7uvL5mcNv32/XwasuZtvTtaO7obnueghAb5F/+5d87Co8lM2pvupCu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o0qpxQAAAN4AAAAPAAAAAAAAAAAAAAAAAJgCAABkcnMv&#10;ZG93bnJldi54bWxQSwUGAAAAAAQABAD1AAAAigMAAAAA&#10;" path="m,131063l,e" filled="f" strokecolor="#a6a6a6" strokeweight=".72pt">
                  <v:path arrowok="t" textboxrect="0,0,0,131063"/>
                </v:shape>
                <v:shape id="Shape 40509" o:spid="_x0000_s1065" style="position:absolute;left:2813;top:9099;width:0;height:2652;visibility:visible;mso-wrap-style:square;v-text-anchor:top" coordsize="0,265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LtZscA&#10;AADeAAAADwAAAGRycy9kb3ducmV2LnhtbESPW2vCQBSE3wv+h+UIvtXdltRLdBUpiJU+eGnF10P2&#10;NAlmz4bs1qT/visIPg4z8w0zX3a2EldqfOlYw8tQgSDOnCk51/D9tX6egPAB2WDlmDT8kYflovc0&#10;x9S4lg90PYZcRAj7FDUUIdSplD4ryKIfupo4ej+usRiibHJpGmwj3FbyVamRtFhyXCiwpveCssvx&#10;12rY7Mbn9oT7EU+SbrfZtuNkbz61HvS71QxEoC48wvf2h9GQqDc1hdudeAXk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y7WbHAAAA3gAAAA8AAAAAAAAAAAAAAAAAmAIAAGRy&#10;cy9kb3ducmV2LnhtbFBLBQYAAAAABAAEAPUAAACMAwAAAAA=&#10;" path="m,265176l,e" filled="f" strokecolor="#a6a6a6" strokeweight=".72pt">
                  <v:path arrowok="t" textboxrect="0,0,0,265176"/>
                </v:shape>
                <v:shape id="Shape 40510" o:spid="_x0000_s1066" style="position:absolute;left:3102;top:6920;width:534;height:3657;visibility:visible;mso-wrap-style:square;v-text-anchor:top" coordsize="53340,365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UNsYA&#10;AADeAAAADwAAAGRycy9kb3ducmV2LnhtbESPzWrCQBSF9wXfYbhCN8VMUmyR6CgibQntQhqzcHnJ&#10;XJNg5k6YGU369p1FocvD+ePb7CbTizs531lWkCUpCOLa6o4bBdXpfbEC4QOyxt4yKfghD7vt7GGD&#10;ubYjf9O9DI2II+xzVNCGMORS+rolgz6xA3H0LtYZDFG6RmqHYxw3vXxO01dpsOP40OJAh5bqa3kz&#10;Co6me/paFvvqzfFH426y/zxXmVKP82m/BhFoCv/hv3ahFSzTlywCRJyIAnL7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YlUNsYAAADeAAAADwAAAAAAAAAAAAAAAACYAgAAZHJz&#10;L2Rvd25yZXYueG1sUEsFBgAAAAAEAAQA9QAAAIsDAAAAAA==&#10;" path="m53340,365761l,e" filled="f" strokecolor="#a6a6a6" strokeweight=".72pt">
                  <v:path arrowok="t" textboxrect="0,0,53340,365761"/>
                </v:shape>
                <v:shape id="Shape 40511" o:spid="_x0000_s1067" style="position:absolute;left:3026;top:5335;width:1631;height:4358;visibility:visible;mso-wrap-style:square;v-text-anchor:top" coordsize="163068,435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RFCcQA&#10;AADeAAAADwAAAGRycy9kb3ducmV2LnhtbESPS2vDMBCE74X+B7GF3BrZeZTiRAklD+g1bi69LdbG&#10;MrVWQlIc599HhUKPw8x8w6y3o+3FQCF2jhWU0wIEceN0x62C89fx9R1ETMgae8ek4E4RtpvnpzVW&#10;2t34REOdWpEhHCtUYFLylZSxMWQxTp0nzt7FBYspy9BKHfCW4baXs6J4kxY7zgsGPe0MNT/11So4&#10;yHlX6+G8N77333ER6v1xdldq8jJ+rEAkGtN/+K/9qRUsimVZwu+dfAX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ERQnEAAAA3gAAAA8AAAAAAAAAAAAAAAAAmAIAAGRycy9k&#10;b3ducmV2LnhtbFBLBQYAAAAABAAEAPUAAACJAwAAAAA=&#10;" path="m163068,435864l57912,,,e" filled="f" strokecolor="#a6a6a6" strokeweight=".72pt">
                  <v:path arrowok="t" textboxrect="0,0,163068,435864"/>
                </v:shape>
                <v:shape id="Shape 40512" o:spid="_x0000_s1068" style="position:absolute;left:4642;top:3597;width:701;height:5700;visibility:visible;mso-wrap-style:square;v-text-anchor:top" coordsize="70104,569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qlSsgA&#10;AADeAAAADwAAAGRycy9kb3ducmV2LnhtbESP3WoCMRSE7wt9h3CE3pSa+FfarVFE0AqC0K0PcNyc&#10;7q7dnCxJuq5v3wiFXg4z8w0zX/a2ER35UDvWMBoqEMSFMzWXGo6fm6cXECEiG2wck4YrBVgu7u/m&#10;mBl34Q/q8liKBOGQoYYqxjaTMhQVWQxD1xIn78t5izFJX0rj8ZLgtpFjpZ6lxZrTQoUtrSsqvvMf&#10;q6FV3eN65fPTaXt8vR4mu8k+P79r/TDoV28gIvXxP/zX3hkNUzUbjeF2J1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SqVKyAAAAN4AAAAPAAAAAAAAAAAAAAAAAJgCAABk&#10;cnMvZG93bnJldi54bWxQSwUGAAAAAAQABAD1AAAAjQMAAAAA&#10;" path="m70104,569976l57912,,,e" filled="f" strokecolor="#a6a6a6" strokeweight=".72pt">
                  <v:path arrowok="t" textboxrect="0,0,70104,569976"/>
                </v:shape>
                <v:shape id="Shape 40513" o:spid="_x0000_s1069" style="position:absolute;left:6089;top:1281;width:0;height:7711;visibility:visible;mso-wrap-style:square;v-text-anchor:top" coordsize="0,771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TnVcUA&#10;AADeAAAADwAAAGRycy9kb3ducmV2LnhtbESPQWvCQBSE74L/YXlCb7pJrVJSN0GESj21xoLXZ/aZ&#10;hGbfht1V47/vFgoeh5n5hlkVg+nElZxvLStIZwkI4srqlmsF34f36SsIH5A1dpZJwZ08FPl4tMJM&#10;2xvv6VqGWkQI+wwVNCH0mZS+asign9meOHpn6wyGKF0ttcNbhJtOPifJUhpsOS402NOmoeqnvBgF&#10;F3uyvts5muO2PB/DNv388qlST5Nh/QYi0BAe4f/2h1bwkizSOfzdiVd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ROdVxQAAAN4AAAAPAAAAAAAAAAAAAAAAAJgCAABkcnMv&#10;ZG93bnJldi54bWxQSwUGAAAAAAQABAD1AAAAigMAAAAA&#10;" path="m,771144l,e" filled="f" strokecolor="#a6a6a6" strokeweight=".72pt">
                  <v:path arrowok="t" textboxrect="0,0,0,771144"/>
                </v:shape>
                <v:shape id="Shape 40514" o:spid="_x0000_s1070" style="position:absolute;left:6333;top:824;width:2103;height:8092;visibility:visible;mso-wrap-style:square;v-text-anchor:top" coordsize="210312,809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VmsMUA&#10;AADeAAAADwAAAGRycy9kb3ducmV2LnhtbESPQWvCQBSE74L/YXmCF6mbiEqJriKhou1NLfb6yD6z&#10;wezbkN1q7K/vFgoeh5n5hlmuO1uLG7W+cqwgHScgiAunKy4VfJ62L68gfEDWWDsmBQ/ysF71e0vM&#10;tLvzgW7HUIoIYZ+hAhNCk0npC0MW/dg1xNG7uNZiiLItpW7xHuG2lpMkmUuLFccFgw3lhorr8dsq&#10;4FGOnJuv2Vt6OKcf9fvu59yxUsNBt1mACNSFZ/i/vdcKpsksncLfnXgF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WawxQAAAN4AAAAPAAAAAAAAAAAAAAAAAJgCAABkcnMv&#10;ZG93bnJldi54bWxQSwUGAAAAAAQABAD1AAAAigMAAAAA&#10;" path="m,809244l153924,r56388,e" filled="f" strokecolor="#a6a6a6" strokeweight=".72pt">
                  <v:path arrowok="t" textboxrect="0,0,210312,809244"/>
                </v:shape>
                <v:shape id="Shape 40515" o:spid="_x0000_s1071" style="position:absolute;left:6973;top:2988;width:1692;height:5791;visibility:visible;mso-wrap-style:square;v-text-anchor:top" coordsize="169164,57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XyUMoA&#10;AADeAAAADwAAAGRycy9kb3ducmV2LnhtbESPS2vDMBCE74H+B7GFXkIip3kQXMshFPLoJSUPCL0t&#10;1tY2sVaOpTjOv68KhR6HmfmGSRadqURLjSstKxgNIxDEmdUl5wpOx9VgDsJ5ZI2VZVLwIAeL9KmX&#10;YKztnffUHnwuAoRdjAoK7+tYSpcVZNANbU0cvG/bGPRBNrnUDd4D3FTyNYpm0mDJYaHAmt4Lyi6H&#10;m1EwO7V0vYz3X/X6c73rf4w31WR5VurluVu+gfDU+f/wX3urFUyi6WgKv3fCFZDpD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TV8lDKAAAA3gAAAA8AAAAAAAAAAAAAAAAAmAIA&#10;AGRycy9kb3ducmV2LnhtbFBLBQYAAAAABAAEAPUAAACPAwAAAAA=&#10;" path="m,579120l111252,r57912,e" filled="f" strokecolor="#a6a6a6" strokeweight=".72pt">
                  <v:path arrowok="t" textboxrect="0,0,169164,579120"/>
                </v:shape>
                <v:shape id="Shape 40516" o:spid="_x0000_s1072" style="position:absolute;left:7720;top:5076;width:1082;height:3642;visibility:visible;mso-wrap-style:square;v-text-anchor:top" coordsize="108204,36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FUZ8cA&#10;AADeAAAADwAAAGRycy9kb3ducmV2LnhtbESPQWvCQBSE70L/w/IEb7pRNEh0Fa0ItgdB00tvz+xr&#10;kpp9G7Krpv31riB4HGbmG2a+bE0lrtS40rKC4SACQZxZXXKu4Cvd9qcgnEfWWFkmBX/kYLl468wx&#10;0fbGB7oefS4ChF2CCgrv60RKlxVk0A1sTRy8H9sY9EE2udQN3gLcVHIURbE0WHJYKLCm94Ky8/Fi&#10;FHzX69Mk/XT/Zx3/pvixX2+mm1apXrddzUB4av0r/GzvtIJxNBnG8LgTroBc3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RVGfHAAAA3gAAAA8AAAAAAAAAAAAAAAAAmAIAAGRy&#10;cy9kb3ducmV2LnhtbFBLBQYAAAAABAAEAPUAAACMAwAAAAA=&#10;" path="m,364236l50292,r57912,e" filled="f" strokecolor="#a6a6a6" strokeweight=".72pt">
                  <v:path arrowok="t" textboxrect="0,0,108204,364236"/>
                </v:shape>
                <v:shape id="Shape 40517" o:spid="_x0000_s1073" style="position:absolute;left:7857;top:7362;width:945;height:1356;visibility:visible;mso-wrap-style:square;v-text-anchor:top" coordsize="94488,135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Of5MYA&#10;AADeAAAADwAAAGRycy9kb3ducmV2LnhtbESPW2sCMRSE3wv9D+EUfKtZxUvZGkUKBZ+0utLnw+bs&#10;hW5O1iS6q7++EQQfh5n5hlmsetOICzlfW1YwGiYgiHOray4VHLPv9w8QPiBrbCyTgit5WC1fXxaY&#10;atvxni6HUIoIYZ+igiqENpXS5xUZ9EPbEkevsM5giNKVUjvsItw0cpwkM2mw5rhQYUtfFeV/h7NR&#10;UPy4afa77Y633Xm2N8V4E/hklRq89etPEIH68Aw/2hutYJJMR3O434lX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DOf5MYAAADeAAAADwAAAAAAAAAAAAAAAACYAgAAZHJz&#10;L2Rvd25yZXYueG1sUEsFBgAAAAAEAAQA9QAAAIsDAAAAAA==&#10;" path="m,135636l38100,,94488,e" filled="f" strokecolor="#a6a6a6" strokeweight=".72pt">
                  <v:path arrowok="t" textboxrect="0,0,94488,135636"/>
                </v:shape>
                <v:rect id="Rectangle 40518" o:spid="_x0000_s1074" style="position:absolute;left:8293;top:15337;width:4723;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XYCMUA&#10;AADeAAAADwAAAGRycy9kb3ducmV2LnhtbERPTWvCQBC9F/oflin0VjeRtmh0DVJbkqNGQb0N2TEJ&#10;zc6G7Nak/fXuoeDx8b6X6WhacaXeNZYVxJMIBHFpdcOVgsP+62UGwnlkja1lUvBLDtLV48MSE20H&#10;3tG18JUIIewSVFB73yVSurImg25iO+LAXWxv0AfYV1L3OIRw08ppFL1Lgw2Hhho7+qip/C5+jIJs&#10;1q1Puf0bqvbznB23x/lmP/dKPT+N6wUIT6O/i//duVbwGr3FYW+4E6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dgIxQAAAN4AAAAPAAAAAAAAAAAAAAAAAJgCAABkcnMv&#10;ZG93bnJldi54bWxQSwUGAAAAAAQABAD1AAAAigMAAAAA&#10;" filled="f" stroked="f">
                  <v:textbox inset="0,0,0,0">
                    <w:txbxContent>
                      <w:p w14:paraId="4B1E3AE8" w14:textId="77777777" w:rsidR="0014164F" w:rsidRDefault="0014164F" w:rsidP="00C232D7">
                        <w:r>
                          <w:rPr>
                            <w:rFonts w:ascii="Calibri" w:hAnsi="Calibri" w:cs="Calibri"/>
                            <w:color w:val="404040"/>
                            <w:sz w:val="18"/>
                          </w:rPr>
                          <w:t>Plastika</w:t>
                        </w:r>
                      </w:p>
                    </w:txbxContent>
                  </v:textbox>
                </v:rect>
                <v:rect id="Rectangle 757096" o:spid="_x0000_s1075" style="position:absolute;left:8354;top:16739;width:346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UwMgA&#10;AADfAAAADwAAAGRycy9kb3ducmV2LnhtbESPT2vCQBTE7wW/w/KE3upGoZpEVxHbokf/FNTbI/tM&#10;gtm3Ibs1aT+9Kwg9DjPzG2a26EwlbtS40rKC4SACQZxZXXKu4Pvw9RaDcB5ZY2WZFPySg8W89zLD&#10;VNuWd3Tb+1wECLsUFRTe16mULivIoBvYmjh4F9sY9EE2udQNtgFuKjmKorE0WHJYKLCmVUHZdf9j&#10;FKzjenna2L82rz7P6+P2mHwcEq/Ua79bTkF46vx/+NneaAWT90mUjOHxJ3wBOb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f9TAyAAAAN8AAAAPAAAAAAAAAAAAAAAAAJgCAABk&#10;cnMvZG93bnJldi54bWxQSwUGAAAAAAQABAD1AAAAjQMAAAAA&#10;" filled="f" stroked="f">
                  <v:textbox inset="0,0,0,0">
                    <w:txbxContent>
                      <w:p w14:paraId="1E3728BF" w14:textId="77777777" w:rsidR="0014164F" w:rsidRDefault="0014164F" w:rsidP="00C232D7">
                        <w:r>
                          <w:rPr>
                            <w:rFonts w:ascii="Calibri" w:hAnsi="Calibri" w:cs="Calibri"/>
                            <w:color w:val="404040"/>
                            <w:sz w:val="18"/>
                          </w:rPr>
                          <w:t>80.28</w:t>
                        </w:r>
                      </w:p>
                    </w:txbxContent>
                  </v:textbox>
                </v:rect>
                <v:rect id="Rectangle 757097" o:spid="_x0000_s1076" style="position:absolute;left:10960;top:16739;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NxW8cA&#10;AADfAAAADwAAAGRycy9kb3ducmV2LnhtbESPQWvCQBSE7wX/w/IEb3VjocZEVxFb0WPVgvX2yL4m&#10;odm3Ibua6K93hYLHYWa+YWaLzlTiQo0rLSsYDSMQxJnVJecKvg/r1wkI55E1VpZJwZUcLOa9lxmm&#10;2ra8o8ve5yJA2KWooPC+TqV0WUEG3dDWxMH7tY1BH2STS91gG+Cmkm9RNJYGSw4LBda0Kij725+N&#10;gs2kXv5s7a3Nq8/T5vh1TD4OiVdq0O+WUxCeOv8M/7e3WkH8HkdJDI8/4Qv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zcVvHAAAA3wAAAA8AAAAAAAAAAAAAAAAAmAIAAGRy&#10;cy9kb3ducmV2LnhtbFBLBQYAAAAABAAEAPUAAACMAwAAAAA=&#10;" filled="f" stroked="f">
                  <v:textbox inset="0,0,0,0">
                    <w:txbxContent>
                      <w:p w14:paraId="6807815D" w14:textId="77777777" w:rsidR="0014164F" w:rsidRDefault="0014164F" w:rsidP="00C232D7">
                        <w:r>
                          <w:rPr>
                            <w:rFonts w:ascii="Calibri" w:hAnsi="Calibri" w:cs="Calibri"/>
                            <w:color w:val="404040"/>
                            <w:sz w:val="18"/>
                          </w:rPr>
                          <w:t>%</w:t>
                        </w:r>
                      </w:p>
                    </w:txbxContent>
                  </v:textbox>
                </v:rect>
                <v:rect id="Rectangle 757085" o:spid="_x0000_s1077" style="position:absolute;left:2026;top:9812;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TcasgA&#10;AADfAAAADwAAAGRycy9kb3ducmV2LnhtbESPQWvCQBSE7wX/w/KE3upGwRrTbERsix41Fmxvj+xr&#10;Esy+DdmtSfvrXUHocZiZb5h0NZhGXKhztWUF00kEgriwuuZSwcfx/SkG4TyyxsYyKfglB6ts9JBi&#10;om3PB7rkvhQBwi5BBZX3bSKlKyoy6Ca2JQ7et+0M+iC7UuoO+wA3jZxF0bM0WHNYqLClTUXFOf8x&#10;CrZxu/7c2b++bN6+tqf9afl6XHqlHsfD+gWEp8H/h+/tnVawmC+ieA63P+ELy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dNxqyAAAAN8AAAAPAAAAAAAAAAAAAAAAAJgCAABk&#10;cnMvZG93bnJldi54bWxQSwUGAAAAAAQABAD1AAAAjQMAAAAA&#10;" filled="f" stroked="f">
                  <v:textbox inset="0,0,0,0">
                    <w:txbxContent>
                      <w:p w14:paraId="6A1E1D03" w14:textId="77777777" w:rsidR="0014164F" w:rsidRDefault="0014164F" w:rsidP="00C232D7">
                        <w:r>
                          <w:rPr>
                            <w:rFonts w:ascii="Calibri" w:hAnsi="Calibri" w:cs="Calibri"/>
                            <w:color w:val="404040"/>
                            <w:sz w:val="18"/>
                          </w:rPr>
                          <w:t>%</w:t>
                        </w:r>
                      </w:p>
                    </w:txbxContent>
                  </v:textbox>
                </v:rect>
                <v:rect id="Rectangle 757084" o:spid="_x0000_s1078" style="position:absolute;top:9812;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h58cgA&#10;AADfAAAADwAAAGRycy9kb3ducmV2LnhtbESPQWvCQBSE74L/YXmCN90otcbUVcS26NFqwfb2yL4m&#10;wezbkF1N9Nd3BcHjMDPfMPNla0pxodoVlhWMhhEI4tTqgjMF34fPQQzCeWSNpWVScCUHy0W3M8dE&#10;24a/6LL3mQgQdgkqyL2vEildmpNBN7QVcfD+bG3QB1lnUtfYBLgp5TiKXqXBgsNCjhWtc0pP+7NR&#10;sImr1c/W3pqs/PjdHHfH2fth5pXq99rVGwhPrX+GH+2tVjCdTKP4Be5/wheQi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OHnxyAAAAN8AAAAPAAAAAAAAAAAAAAAAAJgCAABk&#10;cnMvZG93bnJldi54bWxQSwUGAAAAAAQABAD1AAAAjQMAAAAA&#10;" filled="f" stroked="f">
                  <v:textbox inset="0,0,0,0">
                    <w:txbxContent>
                      <w:p w14:paraId="1B3AD308" w14:textId="77777777" w:rsidR="0014164F" w:rsidRDefault="0014164F" w:rsidP="00C232D7">
                        <w:r>
                          <w:rPr>
                            <w:rFonts w:ascii="Calibri" w:hAnsi="Calibri" w:cs="Calibri"/>
                            <w:color w:val="404040"/>
                            <w:sz w:val="18"/>
                          </w:rPr>
                          <w:t>1.69</w:t>
                        </w:r>
                      </w:p>
                    </w:txbxContent>
                  </v:textbox>
                </v:rect>
                <v:rect id="Rectangle 757080" o:spid="_x0000_s1079" style="position:absolute;top:8001;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N/8sYA&#10;AADfAAAADwAAAGRycy9kb3ducmV2LnhtbESPy4rCMBSG98K8QzgD7jSdAbVWo8io6NIbOLM7NMe2&#10;THNSmmirT28Wgsuf/8Y3nbemFDeqXWFZwVc/AkGcWl1wpuB0XPdiEM4jaywtk4I7OZjPPjpTTLRt&#10;eE+3g89EGGGXoILc+yqR0qU5GXR9WxEH72Jrgz7IOpO6xiaMm1J+R9FQGiw4PORY0U9O6f/hahRs&#10;4mrxu7WPJitXf5vz7jxeHsdeqe5nu5iA8NT6d/jV3moFo8EoigNB4AksIG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N/8sYAAADfAAAADwAAAAAAAAAAAAAAAACYAgAAZHJz&#10;L2Rvd25yZXYueG1sUEsFBgAAAAAEAAQA9QAAAIsDAAAAAA==&#10;" filled="f" stroked="f">
                  <v:textbox inset="0,0,0,0">
                    <w:txbxContent>
                      <w:p w14:paraId="3CB58997" w14:textId="77777777" w:rsidR="0014164F" w:rsidRDefault="0014164F" w:rsidP="00C232D7">
                        <w:r>
                          <w:rPr>
                            <w:rFonts w:ascii="Calibri" w:hAnsi="Calibri" w:cs="Calibri"/>
                            <w:color w:val="404040"/>
                            <w:sz w:val="18"/>
                          </w:rPr>
                          <w:t>1.54</w:t>
                        </w:r>
                      </w:p>
                    </w:txbxContent>
                  </v:textbox>
                </v:rect>
                <v:rect id="Rectangle 757081" o:spid="_x0000_s1080" style="position:absolute;left:2026;top:8001;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aacgA&#10;AADfAAAADwAAAGRycy9kb3ducmV2LnhtbESPQWvCQBSE7wX/w/KE3upGoTWm2Yhoix5rFGxvj+xr&#10;Esy+DdmtSfvrXaHgcZiZb5h0OZhGXKhztWUF00kEgriwuuZSwfHw/hSDcB5ZY2OZFPySg2U2ekgx&#10;0bbnPV1yX4oAYZeggsr7NpHSFRUZdBPbEgfv23YGfZBdKXWHfYCbRs6i6EUarDksVNjSuqLinP8Y&#10;Bdu4XX3u7F9fNm9f29PHabE5LLxSj+Nh9QrC0+Dv4f/2TiuYP8+jeAq3P+ELyOwK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T9ppyAAAAN8AAAAPAAAAAAAAAAAAAAAAAJgCAABk&#10;cnMvZG93bnJldi54bWxQSwUGAAAAAAQABAD1AAAAjQMAAAAA&#10;" filled="f" stroked="f">
                  <v:textbox inset="0,0,0,0">
                    <w:txbxContent>
                      <w:p w14:paraId="2394F8AC" w14:textId="77777777" w:rsidR="0014164F" w:rsidRDefault="0014164F" w:rsidP="00C232D7">
                        <w:r>
                          <w:rPr>
                            <w:rFonts w:ascii="Calibri" w:hAnsi="Calibri" w:cs="Calibri"/>
                            <w:color w:val="404040"/>
                            <w:sz w:val="18"/>
                          </w:rPr>
                          <w:t>%</w:t>
                        </w:r>
                      </w:p>
                    </w:txbxContent>
                  </v:textbox>
                </v:rect>
                <v:rect id="Rectangle 757071" o:spid="_x0000_s1081" style="position:absolute;left:2026;top:6096;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qqTsgA&#10;AADfAAAADwAAAGRycy9kb3ducmV2LnhtbESPQWvCQBSE74X+h+UVvNWNQk2M2YjUih6rFtTbI/tM&#10;QrNvQ3Y1aX99t1DocZiZb5hsOZhG3KlztWUFk3EEgriwuuZSwcdx85yAcB5ZY2OZFHyRg2X++JBh&#10;qm3Pe7offCkChF2KCirv21RKV1Rk0I1tSxy8q+0M+iC7UuoO+wA3jZxG0UwarDksVNjSa0XF5+Fm&#10;FGyTdnXe2e++bN4u29P7ab4+zr1So6dhtQDhafD/4b/2TiuIX+IonsDvn/AFZP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mqpOyAAAAN8AAAAPAAAAAAAAAAAAAAAAAJgCAABk&#10;cnMvZG93bnJldi54bWxQSwUGAAAAAAQABAD1AAAAjQMAAAAA&#10;" filled="f" stroked="f">
                  <v:textbox inset="0,0,0,0">
                    <w:txbxContent>
                      <w:p w14:paraId="25BC87AA" w14:textId="77777777" w:rsidR="0014164F" w:rsidRDefault="0014164F" w:rsidP="00C232D7">
                        <w:r>
                          <w:rPr>
                            <w:rFonts w:ascii="Calibri" w:hAnsi="Calibri" w:cs="Calibri"/>
                            <w:color w:val="404040"/>
                            <w:sz w:val="18"/>
                          </w:rPr>
                          <w:t>%</w:t>
                        </w:r>
                      </w:p>
                    </w:txbxContent>
                  </v:textbox>
                </v:rect>
                <v:rect id="Rectangle 757070" o:spid="_x0000_s1082" style="position:absolute;top:6096;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P1cYA&#10;AADfAAAADwAAAGRycy9kb3ducmV2LnhtbESPy4rCMBSG98K8QzgD7jSdAa1Wo8io6NIbOLM7NMe2&#10;THNSmmirT28Wgsuf/8Y3nbemFDeqXWFZwVc/AkGcWl1wpuB0XPdGIJxH1lhaJgV3cjCffXSmmGjb&#10;8J5uB5+JMMIuQQW591UipUtzMuj6tiIO3sXWBn2QdSZ1jU0YN6X8jqKhNFhweMixop+c0v/D1SjY&#10;jKrF79Y+mqxc/W3Ou/N4eRx7pbqf7WICwlPr3+FXe6sVxIM4igNB4AksIG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9YP1cYAAADfAAAADwAAAAAAAAAAAAAAAACYAgAAZHJz&#10;L2Rvd25yZXYueG1sUEsFBgAAAAAEAAQA9QAAAIsDAAAAAA==&#10;" filled="f" stroked="f">
                  <v:textbox inset="0,0,0,0">
                    <w:txbxContent>
                      <w:p w14:paraId="2F192787" w14:textId="77777777" w:rsidR="0014164F" w:rsidRDefault="0014164F" w:rsidP="00C232D7">
                        <w:r>
                          <w:rPr>
                            <w:rFonts w:ascii="Calibri" w:hAnsi="Calibri" w:cs="Calibri"/>
                            <w:color w:val="404040"/>
                            <w:sz w:val="18"/>
                          </w:rPr>
                          <w:t>6.47</w:t>
                        </w:r>
                      </w:p>
                    </w:txbxContent>
                  </v:textbox>
                </v:rect>
                <v:rect id="Rectangle 757063" o:spid="_x0000_s1083" style="position:absolute;left:2026;top:4478;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0Hf8gA&#10;AADfAAAADwAAAGRycy9kb3ducmV2LnhtbESPT2vCQBTE74LfYXlCb7rR4r/oKtIqeqxasN4e2WcS&#10;zL4N2dXEfvquUPA4zMxvmPmyMYW4U+Vyywr6vQgEcWJ1zqmC7+OmOwHhPLLGwjIpeJCD5aLdmmOs&#10;bc17uh98KgKEXYwKMu/LWEqXZGTQ9WxJHLyLrQz6IKtU6grrADeFHETRSBrMOSxkWNJHRsn1cDMK&#10;tpNy9bOzv3VarM/b09dp+nmceqXeOs1qBsJT41/h//ZOKxgPx9HoHZ5/whe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3Qd/yAAAAN8AAAAPAAAAAAAAAAAAAAAAAJgCAABk&#10;cnMvZG93bnJldi54bWxQSwUGAAAAAAQABAD1AAAAjQMAAAAA&#10;" filled="f" stroked="f">
                  <v:textbox inset="0,0,0,0">
                    <w:txbxContent>
                      <w:p w14:paraId="019396DC" w14:textId="77777777" w:rsidR="0014164F" w:rsidRDefault="0014164F" w:rsidP="00C232D7">
                        <w:r>
                          <w:rPr>
                            <w:rFonts w:ascii="Calibri" w:hAnsi="Calibri" w:cs="Calibri"/>
                            <w:color w:val="404040"/>
                            <w:sz w:val="18"/>
                          </w:rPr>
                          <w:t>%</w:t>
                        </w:r>
                      </w:p>
                    </w:txbxContent>
                  </v:textbox>
                </v:rect>
                <v:rect id="Rectangle 757061" o:spid="_x0000_s1084" style="position:absolute;top:4478;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M8k8cA&#10;AADfAAAADwAAAGRycy9kb3ducmV2LnhtbESPS4vCQBCE78L+h6EXvOlEwVd0FPGBHn2BemsyvUnY&#10;TE/IjCa7v35nQfBYVNVX1GzRmEI8qXK5ZQW9bgSCOLE651TB5bztjEE4j6yxsEwKfsjBYv7RmmGs&#10;bc1Hep58KgKEXYwKMu/LWEqXZGTQdW1JHLwvWxn0QVap1BXWAW4K2Y+ioTSYc1jIsKRVRsn36WEU&#10;7Mbl8ra3v3VabO676+E6WZ8nXqn2Z7OcgvDU+Hf41d5rBaPBKBr24P9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DPJPHAAAA3wAAAA8AAAAAAAAAAAAAAAAAmAIAAGRy&#10;cy9kb3ducmV2LnhtbFBLBQYAAAAABAAEAPUAAACMAwAAAAA=&#10;" filled="f" stroked="f">
                  <v:textbox inset="0,0,0,0">
                    <w:txbxContent>
                      <w:p w14:paraId="5E7A8250" w14:textId="77777777" w:rsidR="0014164F" w:rsidRDefault="0014164F" w:rsidP="00C232D7">
                        <w:r>
                          <w:rPr>
                            <w:rFonts w:ascii="Calibri" w:hAnsi="Calibri" w:cs="Calibri"/>
                            <w:color w:val="404040"/>
                            <w:sz w:val="18"/>
                          </w:rPr>
                          <w:t>1.08</w:t>
                        </w:r>
                      </w:p>
                    </w:txbxContent>
                  </v:textbox>
                </v:rect>
                <v:rect id="Rectangle 757057" o:spid="_x0000_s1085" style="position:absolute;left:3550;top:2762;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rLwcgA&#10;AADfAAAADwAAAGRycy9kb3ducmV2LnhtbESPT2vCQBTE74V+h+UVvNVNCxpNsxGpih79B7a3R/Y1&#10;Cc2+DdnVRD99tyB4HGbmN0w6600tLtS6yrKCt2EEgji3uuJCwfGwep2AcB5ZY22ZFFzJwSx7fkox&#10;0bbjHV32vhABwi5BBaX3TSKly0sy6Ia2IQ7ej20N+iDbQuoWuwA3tXyPorE0WHFYKLGhz5Ly3/3Z&#10;KFhPmvnXxt66ol5+r0/b03RxmHqlBi/9/AOEp94/wvf2RiuIR3E0iuH/T/gCMv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isvByAAAAN8AAAAPAAAAAAAAAAAAAAAAAJgCAABk&#10;cnMvZG93bnJldi54bWxQSwUGAAAAAAQABAD1AAAAjQMAAAAA&#10;" filled="f" stroked="f">
                  <v:textbox inset="0,0,0,0">
                    <w:txbxContent>
                      <w:p w14:paraId="43A5B2B9" w14:textId="77777777" w:rsidR="0014164F" w:rsidRDefault="0014164F" w:rsidP="00C232D7">
                        <w:r>
                          <w:rPr>
                            <w:rFonts w:ascii="Calibri" w:hAnsi="Calibri" w:cs="Calibri"/>
                            <w:color w:val="404040"/>
                            <w:sz w:val="18"/>
                          </w:rPr>
                          <w:t>%</w:t>
                        </w:r>
                      </w:p>
                    </w:txbxContent>
                  </v:textbox>
                </v:rect>
                <v:rect id="Rectangle 757056" o:spid="_x0000_s1086" style="position:absolute;left:1524;top:2762;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ZuWsgA&#10;AADfAAAADwAAAGRycy9kb3ducmV2LnhtbESPQWvCQBSE7wX/w/IEb3VjITFGVxFr0WOrgnp7ZF+T&#10;0OzbkN0maX99t1DocZiZb5jVZjC16Kh1lWUFs2kEgji3uuJCweX88piCcB5ZY22ZFHyRg8169LDC&#10;TNue36g7+UIECLsMFZTeN5mULi/JoJvahjh477Y16INsC6lb7APc1PIpihJpsOKwUGJDu5Lyj9On&#10;UXBIm+3taL/7ot7fD9fX6+L5vPBKTcbDdgnC0+D/w3/to1Ywj+dRnMDvn/AF5P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xm5ayAAAAN8AAAAPAAAAAAAAAAAAAAAAAJgCAABk&#10;cnMvZG93bnJldi54bWxQSwUGAAAAAAQABAD1AAAAjQMAAAAA&#10;" filled="f" stroked="f">
                  <v:textbox inset="0,0,0,0">
                    <w:txbxContent>
                      <w:p w14:paraId="3E884260" w14:textId="77777777" w:rsidR="0014164F" w:rsidRDefault="0014164F" w:rsidP="00C232D7">
                        <w:r>
                          <w:rPr>
                            <w:rFonts w:ascii="Calibri" w:hAnsi="Calibri" w:cs="Calibri"/>
                            <w:color w:val="404040"/>
                            <w:sz w:val="18"/>
                          </w:rPr>
                          <w:t>3.39</w:t>
                        </w:r>
                      </w:p>
                    </w:txbxContent>
                  </v:textbox>
                </v:rect>
                <v:rect id="Rectangle 757053" o:spid="_x0000_s1087" style="position:absolute;left:6598;top:18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HNwskA&#10;AADfAAAADwAAAGRycy9kb3ducmV2LnhtbESPQWvCQBSE74L/YXlCb7ppizVGV5HWokdNCtbbI/ua&#10;hGbfhuxq0v76bkHwOMzMN8xy3ZtaXKl1lWUFj5MIBHFudcWFgo/sfRyDcB5ZY22ZFPyQg/VqOFhi&#10;om3HR7qmvhABwi5BBaX3TSKly0sy6Ca2IQ7el20N+iDbQuoWuwA3tXyKohdpsOKwUGJDryXl3+nF&#10;KNjFzeZzb3+7ot6ed6fDaf6Wzb1SD6N+swDhqff38K291wpm01k0fYb/P+ELyN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LHNwskAAADfAAAADwAAAAAAAAAAAAAAAACYAgAA&#10;ZHJzL2Rvd25yZXYueG1sUEsFBgAAAAAEAAQA9QAAAI4DAAAAAA==&#10;" filled="f" stroked="f">
                  <v:textbox inset="0,0,0,0">
                    <w:txbxContent>
                      <w:p w14:paraId="6F5D1422" w14:textId="77777777" w:rsidR="0014164F" w:rsidRDefault="0014164F" w:rsidP="00C232D7">
                        <w:r>
                          <w:rPr>
                            <w:rFonts w:ascii="Calibri" w:hAnsi="Calibri" w:cs="Calibri"/>
                            <w:color w:val="404040"/>
                            <w:sz w:val="18"/>
                          </w:rPr>
                          <w:t>%</w:t>
                        </w:r>
                      </w:p>
                    </w:txbxContent>
                  </v:textbox>
                </v:rect>
                <v:rect id="Rectangle 757051" o:spid="_x0000_s1088" style="position:absolute;left:4572;top:189;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2LscA&#10;AADfAAAADwAAAGRycy9kb3ducmV2LnhtbESPQYvCMBSE7wv+h/AEb2uq4KrVKKIuetxVQb09mmdb&#10;bF5KE2311xthYY/DzHzDTOeNKcSdKpdbVtDrRiCIE6tzThUc9t+fIxDOI2ssLJOCBzmYz1ofU4y1&#10;rfmX7jufigBhF6OCzPsyltIlGRl0XVsSB+9iK4M+yCqVusI6wE0h+1H0JQ3mHBYyLGmZUXLd3YyC&#10;zahcnLb2WafF+rw5/hzHq/3YK9VpN4sJCE+N/w//tbdawXAwjAY9eP8JX0DO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v9i7HAAAA3wAAAA8AAAAAAAAAAAAAAAAAmAIAAGRy&#10;cy9kb3ducmV2LnhtbFBLBQYAAAAABAAEAPUAAACMAwAAAAA=&#10;" filled="f" stroked="f">
                  <v:textbox inset="0,0,0,0">
                    <w:txbxContent>
                      <w:p w14:paraId="3040B1D2" w14:textId="77777777" w:rsidR="0014164F" w:rsidRDefault="0014164F" w:rsidP="00C232D7">
                        <w:r>
                          <w:rPr>
                            <w:rFonts w:ascii="Calibri" w:hAnsi="Calibri" w:cs="Calibri"/>
                            <w:color w:val="404040"/>
                            <w:sz w:val="18"/>
                          </w:rPr>
                          <w:t>1.08</w:t>
                        </w:r>
                      </w:p>
                    </w:txbxContent>
                  </v:textbox>
                </v:rect>
                <v:rect id="Rectangle 757054" o:spid="_x0000_s1089" style="position:absolute;left:8574;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hVtskA&#10;AADfAAAADwAAAGRycy9kb3ducmV2LnhtbESPQWvCQBSE74L/YXlCb7ppqTVGV5HWokdNCtbbI/ua&#10;hGbfhuxq0v76bkHwOMzMN8xy3ZtaXKl1lWUFj5MIBHFudcWFgo/sfRyDcB5ZY22ZFPyQg/VqOFhi&#10;om3HR7qmvhABwi5BBaX3TSKly0sy6Ca2IQ7el20N+iDbQuoWuwA3tXyKohdpsOKwUGJDryXl3+nF&#10;KNjFzeZzb3+7ot6ed6fDaf6Wzb1SD6N+swDhqff38K291wpm01k0fYb/P+ELyN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1hVtskAAADfAAAADwAAAAAAAAAAAAAAAACYAgAA&#10;ZHJzL2Rvd25yZXYueG1sUEsFBgAAAAAEAAQA9QAAAI4DAAAAAA==&#10;" filled="f" stroked="f">
                  <v:textbox inset="0,0,0,0">
                    <w:txbxContent>
                      <w:p w14:paraId="43849E83" w14:textId="77777777" w:rsidR="0014164F" w:rsidRDefault="0014164F" w:rsidP="00C232D7">
                        <w:r>
                          <w:rPr>
                            <w:rFonts w:ascii="Calibri" w:hAnsi="Calibri" w:cs="Calibri"/>
                            <w:color w:val="404040"/>
                            <w:sz w:val="18"/>
                          </w:rPr>
                          <w:t>0.31</w:t>
                        </w:r>
                      </w:p>
                    </w:txbxContent>
                  </v:textbox>
                </v:rect>
                <v:rect id="Rectangle 757055" o:spid="_x0000_s1090" style="position:absolute;left:10600;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TwLckA&#10;AADfAAAADwAAAGRycy9kb3ducmV2LnhtbESPW2vCQBSE34X+h+UUfNNNC/GSZiNSFX2sF7B9O2RP&#10;k9Ds2ZBdTfTXdwsFH4eZ+YZJF72pxZVaV1lW8DKOQBDnVldcKDgdN6MZCOeRNdaWScGNHCyyp0GK&#10;ibYd7+l68IUIEHYJKii9bxIpXV6SQTe2DXHwvm1r0AfZFlK32AW4qeVrFE2kwYrDQokNvZeU/xwu&#10;RsF21iw/d/beFfX6a3v+OM9Xx7lXavjcL99AeOr9I/zf3mkF03gaxTH8/QlfQGa/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BTwLckAAADfAAAADwAAAAAAAAAAAAAAAACYAgAA&#10;ZHJzL2Rvd25yZXYueG1sUEsFBgAAAAAEAAQA9QAAAI4DAAAAAA==&#10;" filled="f" stroked="f">
                  <v:textbox inset="0,0,0,0">
                    <w:txbxContent>
                      <w:p w14:paraId="1736DC06" w14:textId="77777777" w:rsidR="0014164F" w:rsidRDefault="0014164F" w:rsidP="00C232D7">
                        <w:r>
                          <w:rPr>
                            <w:rFonts w:ascii="Calibri" w:hAnsi="Calibri" w:cs="Calibri"/>
                            <w:color w:val="404040"/>
                            <w:sz w:val="18"/>
                          </w:rPr>
                          <w:t>%</w:t>
                        </w:r>
                      </w:p>
                    </w:txbxContent>
                  </v:textbox>
                </v:rect>
                <v:rect id="Rectangle 757060" o:spid="_x0000_s1091" style="position:absolute;left:10789;top:2192;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CMYA&#10;AADfAAAADwAAAGRycy9kb3ducmV2LnhtbESPy4rCMBSG94LvEM6AO01H8NYxinhBl1oHnNkdmjNt&#10;meakNNFWn94sBJc//41vvmxNKW5Uu8Kygs9BBII4tbrgTMH3edefgnAeWWNpmRTcycFy0e3MMda2&#10;4RPdEp+JMMIuRgW591UspUtzMugGtiIO3p+tDfog60zqGpswbko5jKKxNFhweMixonVO6X9yNQr2&#10;02r1c7CPJiu3v/vL8TLbnGdeqd5Hu/oC4an17/CrfdAKJqNJNA4EgSewgFw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g+ZCMYAAADfAAAADwAAAAAAAAAAAAAAAACYAgAAZHJz&#10;L2Rvd25yZXYueG1sUEsFBgAAAAAEAAQA9QAAAIsDAAAAAA==&#10;" filled="f" stroked="f">
                  <v:textbox inset="0,0,0,0">
                    <w:txbxContent>
                      <w:p w14:paraId="516DF9A9" w14:textId="77777777" w:rsidR="0014164F" w:rsidRDefault="0014164F" w:rsidP="00C232D7">
                        <w:r>
                          <w:rPr>
                            <w:rFonts w:ascii="Calibri" w:hAnsi="Calibri" w:cs="Calibri"/>
                            <w:color w:val="404040"/>
                            <w:sz w:val="18"/>
                          </w:rPr>
                          <w:t>%</w:t>
                        </w:r>
                      </w:p>
                    </w:txbxContent>
                  </v:textbox>
                </v:rect>
                <v:rect id="Rectangle 757058" o:spid="_x0000_s1092" style="position:absolute;left:8763;top:2192;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Vfs8QA&#10;AADfAAAADwAAAGRycy9kb3ducmV2LnhtbERPTYvCMBC9C/6HMMLeNFVw1WoU0RU9al1wvQ3N2Bab&#10;SWmi7e6v3xwEj4/3vVi1phRPql1hWcFwEIEgTq0uOFPwfd71pyCcR9ZYWiYFv+Rgtex2Fhhr2/CJ&#10;nonPRAhhF6OC3PsqltKlORl0A1sRB+5ma4M+wDqTusYmhJtSjqLoUxosODTkWNEmp/SePIyC/bRa&#10;/xzsX5OVX9f95XiZbc8zr9RHr13PQXhq/Vv8ch+0gsl4Eo3D4PAnfA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VX7PEAAAA3wAAAA8AAAAAAAAAAAAAAAAAmAIAAGRycy9k&#10;b3ducmV2LnhtbFBLBQYAAAAABAAEAPUAAACJAwAAAAA=&#10;" filled="f" stroked="f">
                  <v:textbox inset="0,0,0,0">
                    <w:txbxContent>
                      <w:p w14:paraId="0B4DF846" w14:textId="77777777" w:rsidR="0014164F" w:rsidRDefault="0014164F" w:rsidP="00C232D7">
                        <w:r>
                          <w:rPr>
                            <w:rFonts w:ascii="Calibri" w:hAnsi="Calibri" w:cs="Calibri"/>
                            <w:color w:val="404040"/>
                            <w:sz w:val="18"/>
                          </w:rPr>
                          <w:t>3.39</w:t>
                        </w:r>
                      </w:p>
                    </w:txbxContent>
                  </v:textbox>
                </v:rect>
                <v:rect id="Rectangle 757064" o:spid="_x0000_s1093" style="position:absolute;left:8955;top:4286;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SfC8gA&#10;AADfAAAADwAAAGRycy9kb3ducmV2LnhtbESPT2vCQBTE74LfYXlCb7pR6r/oKtIqeqxasN4e2WcS&#10;zL4N2dXEfvquUPA4zMxvmPmyMYW4U+Vyywr6vQgEcWJ1zqmC7+OmOwHhPLLGwjIpeJCD5aLdmmOs&#10;bc17uh98KgKEXYwKMu/LWEqXZGTQ9WxJHLyLrQz6IKtU6grrADeFHETRSBrMOSxkWNJHRsn1cDMK&#10;tpNy9bOzv3VarM/b09dp+nmceqXeOs1qBsJT41/h//ZOKxgPx9HoHZ5/whe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NJ8LyAAAAN8AAAAPAAAAAAAAAAAAAAAAAJgCAABk&#10;cnMvZG93bnJldi54bWxQSwUGAAAAAAQABAD1AAAAjQMAAAAA&#10;" filled="f" stroked="f">
                  <v:textbox inset="0,0,0,0">
                    <w:txbxContent>
                      <w:p w14:paraId="5A5408BB" w14:textId="77777777" w:rsidR="0014164F" w:rsidRDefault="0014164F" w:rsidP="00C232D7">
                        <w:r>
                          <w:rPr>
                            <w:rFonts w:ascii="Calibri" w:hAnsi="Calibri" w:cs="Calibri"/>
                            <w:color w:val="404040"/>
                            <w:sz w:val="18"/>
                          </w:rPr>
                          <w:t>0.77</w:t>
                        </w:r>
                      </w:p>
                    </w:txbxContent>
                  </v:textbox>
                </v:rect>
                <v:rect id="Rectangle 757065" o:spid="_x0000_s1094" style="position:absolute;left:10981;top:4286;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6kMgA&#10;AADfAAAADwAAAGRycy9kb3ducmV2LnhtbESPQWvCQBSE7wX/w/IEb3VjITFGVxFr0WOrgnp7ZF+T&#10;0OzbkN0maX99t1DocZiZb5jVZjC16Kh1lWUFs2kEgji3uuJCweX88piCcB5ZY22ZFHyRg8169LDC&#10;TNue36g7+UIECLsMFZTeN5mULi/JoJvahjh477Y16INsC6lb7APc1PIpihJpsOKwUGJDu5Lyj9On&#10;UXBIm+3taL/7ot7fD9fX6+L5vPBKTcbDdgnC0+D/w3/to1Ywj+dREsPvn/AF5P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DqQyAAAAN8AAAAPAAAAAAAAAAAAAAAAAJgCAABk&#10;cnMvZG93bnJldi54bWxQSwUGAAAAAAQABAD1AAAAjQMAAAAA&#10;" filled="f" stroked="f">
                  <v:textbox inset="0,0,0,0">
                    <w:txbxContent>
                      <w:p w14:paraId="7C89145A" w14:textId="77777777" w:rsidR="0014164F" w:rsidRDefault="0014164F" w:rsidP="00C232D7">
                        <w:r>
                          <w:rPr>
                            <w:rFonts w:ascii="Calibri" w:hAnsi="Calibri" w:cs="Calibri"/>
                            <w:color w:val="404040"/>
                            <w:sz w:val="18"/>
                          </w:rPr>
                          <w:t>%</w:t>
                        </w:r>
                      </w:p>
                    </w:txbxContent>
                  </v:textbox>
                </v:rect>
                <v:rect id="Rectangle 757073" o:spid="_x0000_s1095" style="position:absolute;left:8955;top:6572;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SRosgA&#10;AADfAAAADwAAAGRycy9kb3ducmV2LnhtbESPQWvCQBSE74X+h+UVvNVNKzUas4pURY9WC2lvj+wz&#10;Cc2+DdnVpP56Vyj0OMzMN0y66E0tLtS6yrKCl2EEgji3uuJCwedx8zwB4TyyxtoyKfglB4v540OK&#10;ibYdf9Dl4AsRIOwSVFB63yRSurwkg25oG+LgnWxr0AfZFlK32AW4qeVrFI2lwYrDQokNvZeU/xzO&#10;RsF20iy/dvbaFfX6e5vts+nqOPVKDZ765QyEp97/h//aO60gfoujeAT3P+ELyP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BJGiyAAAAN8AAAAPAAAAAAAAAAAAAAAAAJgCAABk&#10;cnMvZG93bnJldi54bWxQSwUGAAAAAAQABAD1AAAAjQMAAAAA&#10;" filled="f" stroked="f">
                  <v:textbox inset="0,0,0,0">
                    <w:txbxContent>
                      <w:p w14:paraId="473F6476" w14:textId="77777777" w:rsidR="0014164F" w:rsidRDefault="0014164F" w:rsidP="00C232D7">
                        <w:r>
                          <w:rPr>
                            <w:rFonts w:ascii="Calibri" w:hAnsi="Calibri" w:cs="Calibri"/>
                            <w:color w:val="404040"/>
                            <w:sz w:val="18"/>
                          </w:rPr>
                          <w:t>0.00</w:t>
                        </w:r>
                      </w:p>
                    </w:txbxContent>
                  </v:textbox>
                </v:rect>
                <v:rect id="Rectangle 757074" o:spid="_x0000_s1096" style="position:absolute;left:10981;top:6572;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J1sgA&#10;AADfAAAADwAAAGRycy9kb3ducmV2LnhtbESPQWvCQBSE74X+h+UVvNVNizUas4pURY9WC2lvj+wz&#10;Cc2+DdnVpP56Vyj0OMzMN0y66E0tLtS6yrKCl2EEgji3uuJCwedx8zwB4TyyxtoyKfglB4v540OK&#10;ibYdf9Dl4AsRIOwSVFB63yRSurwkg25oG+LgnWxr0AfZFlK32AW4qeVrFI2lwYrDQokNvZeU/xzO&#10;RsF20iy/dvbaFfX6e5vts+nqOPVKDZ765QyEp97/h//aO60gfoujeAT3P+ELyP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7QnWyAAAAN8AAAAPAAAAAAAAAAAAAAAAAJgCAABk&#10;cnMvZG93bnJldi54bWxQSwUGAAAAAAQABAD1AAAAjQMAAAAA&#10;" filled="f" stroked="f">
                  <v:textbox inset="0,0,0,0">
                    <w:txbxContent>
                      <w:p w14:paraId="55794F67" w14:textId="77777777" w:rsidR="0014164F" w:rsidRDefault="0014164F" w:rsidP="00C232D7">
                        <w:r>
                          <w:rPr>
                            <w:rFonts w:ascii="Calibri" w:hAnsi="Calibri" w:cs="Calibri"/>
                            <w:color w:val="404040"/>
                            <w:sz w:val="18"/>
                          </w:rPr>
                          <w:t>%</w:t>
                        </w:r>
                      </w:p>
                    </w:txbxContent>
                  </v:textbox>
                </v:rect>
                <v:shape id="Shape 922131" o:spid="_x0000_s1097" style="position:absolute;left:15912;top:603;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t09sgA&#10;AADfAAAADwAAAGRycy9kb3ducmV2LnhtbESPQUvDQBSE70L/w/IK3uwmEUKN3ZYiSBXpoYkevD2y&#10;zyQ0+zbsbpvYX98VhB6HmfmGWW0m04szOd9ZVpAuEhDEtdUdNwo+q9eHJQgfkDX2lknBL3nYrGd3&#10;Kyy0HflA5zI0IkLYF6igDWEopPR1Swb9wg7E0fuxzmCI0jVSOxwj3PQyS5JcGuw4LrQ40EtL9bE8&#10;GQUljpfcve+StDpRle8/dt9fF1bqfj5tn0EEmsIt/N9+0wqesix9TOHvT/wCcn0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C3T2yAAAAN8AAAAPAAAAAAAAAAAAAAAAAJgCAABk&#10;cnMvZG93bnJldi54bWxQSwUGAAAAAAQABAD1AAAAjQMAAAAA&#10;" path="m,l51816,r,50292l,50292,,e" fillcolor="#5b9bd5" stroked="f" strokeweight="0">
                  <v:path arrowok="t" textboxrect="0,0,51816,50292"/>
                </v:shape>
                <v:shape id="Shape 40531" o:spid="_x0000_s1098" style="position:absolute;left:15912;top:603;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TJoMgA&#10;AADeAAAADwAAAGRycy9kb3ducmV2LnhtbESPQUvDQBSE74L/YXlCb3ZTa0NJuy1aKOhB0VgovT2y&#10;z2w0+zZkX9vor3cFweMwM98wy/XgW3WiPjaBDUzGGSjiKtiGawO7t+31HFQUZIttYDLwRRHWq8uL&#10;JRY2nPmVTqXUKkE4FmjAiXSF1rFy5DGOQ0ecvPfQe5Qk+1rbHs8J7lt9k2W59thwWnDY0cZR9Vke&#10;vYH9h3yLazf1Yf9S0uzpMX++j7kxo6vhbgFKaJD/8F/7wRq4zWbTCfzeSVdAr3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VMmgyAAAAN4AAAAPAAAAAAAAAAAAAAAAAJgCAABk&#10;cnMvZG93bnJldi54bWxQSwUGAAAAAAQABAD1AAAAjQMAAAAA&#10;" path="m,50292r51816,l51816,,,,,50292xe" filled="f" strokecolor="white" strokeweight="1.56pt">
                  <v:path arrowok="t" textboxrect="0,0,51816,50292"/>
                </v:shape>
                <v:rect id="Rectangle 40532" o:spid="_x0000_s1099" style="position:absolute;left:16642;top:253;width:472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izgsgA&#10;AADeAAAADwAAAGRycy9kb3ducmV2LnhtbESPW2vCQBSE3wv+h+UIvtWNt6Kpq4gX9NHGgvp2yJ4m&#10;wezZkF1N2l/fLQh9HGbmG2a+bE0pHlS7wrKCQT8CQZxaXXCm4PO0e52CcB5ZY2mZFHyTg+Wi8zLH&#10;WNuGP+iR+EwECLsYFeTeV7GULs3JoOvbijh4X7Y26IOsM6lrbALclHIYRW/SYMFhIceK1jmlt+Ru&#10;FOyn1epysD9NVm6v+/PxPNucZl6pXrddvYPw1Pr/8LN90ArG0WQ0hL874Qr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LOCyAAAAN4AAAAPAAAAAAAAAAAAAAAAAJgCAABk&#10;cnMvZG93bnJldi54bWxQSwUGAAAAAAQABAD1AAAAjQMAAAAA&#10;" filled="f" stroked="f">
                  <v:textbox inset="0,0,0,0">
                    <w:txbxContent>
                      <w:p w14:paraId="434F66F3" w14:textId="77777777" w:rsidR="0014164F" w:rsidRDefault="0014164F" w:rsidP="00C232D7">
                        <w:r>
                          <w:rPr>
                            <w:rFonts w:ascii="Arial" w:eastAsia="Arial" w:hAnsi="Arial" w:cs="Arial"/>
                            <w:color w:val="595959"/>
                            <w:sz w:val="16"/>
                          </w:rPr>
                          <w:t>Plastika</w:t>
                        </w:r>
                      </w:p>
                    </w:txbxContent>
                  </v:textbox>
                </v:rect>
                <v:shape id="Shape 922132" o:spid="_x0000_s1100" style="position:absolute;left:15912;top:2614;width:518;height:519;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1s8YA&#10;AADfAAAADwAAAGRycy9kb3ducmV2LnhtbESPzW7CMBCE75V4B2uRuBWHRKpoikGIv/bYQh9gFW+T&#10;lHgdZU0IPH1dqVKPo9n5ZmexGlyjeuqk9mxgNk1AERfe1lwa+DztH+egJCBbbDyTgRsJrJajhwXm&#10;1l/5g/pjKFWEsORooAqhzbWWoiKHMvUtcfS+fOcwRNmV2nZ4jXDX6DRJnrTDmmNDhS1tKirOx4uL&#10;b2Sn+/tODvUm42T73YvM+VWMmYyH9QuoQEP4P/5Lv1kDz2k6y1L43RMho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D1s8YAAADfAAAADwAAAAAAAAAAAAAAAACYAgAAZHJz&#10;L2Rvd25yZXYueG1sUEsFBgAAAAAEAAQA9QAAAIsDAAAAAA==&#10;" path="m,l51816,r,51816l,51816,,e" fillcolor="#ed7d31" stroked="f" strokeweight="0">
                  <v:path arrowok="t" textboxrect="0,0,51816,51816"/>
                </v:shape>
                <v:shape id="Shape 40534" o:spid="_x0000_s1101" style="position:absolute;left:15912;top:2614;width:518;height:519;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9UMgA&#10;AADeAAAADwAAAGRycy9kb3ducmV2LnhtbESPT2sCMRTE7wW/Q3hCbzWx/sFujWIXSnvoReuh3h6b&#10;183SzcuSpLr66U2h4HGYmd8wy3XvWnGkEBvPGsYjBYK48qbhWsP+8/VhASImZIOtZ9Jwpgjr1eBu&#10;iYXxJ97ScZdqkSEcC9RgU+oKKWNlyWEc+Y44e98+OExZhlqagKcMd618VGouHTacFyx2VFqqfna/&#10;TsP8wy4uwX2Vk/JMT/SmDrP9y0Hr+2G/eQaRqE+38H/73WiYqtlkCn938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H1QyAAAAN4AAAAPAAAAAAAAAAAAAAAAAJgCAABk&#10;cnMvZG93bnJldi54bWxQSwUGAAAAAAQABAD1AAAAjQMAAAAA&#10;" path="m,51816r51816,l51816,,,,,51816xe" filled="f" strokecolor="white" strokeweight="1.56pt">
                  <v:path arrowok="t" textboxrect="0,0,51816,51816"/>
                </v:shape>
                <v:rect id="Rectangle 40535" o:spid="_x0000_s1102" style="position:absolute;left:16642;top:2268;width:369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Er9scA&#10;AADeAAAADwAAAGRycy9kb3ducmV2LnhtbESPW2vCQBSE3wv+h+UIvtWNt6Kpq4gX9NFqQX07ZE+T&#10;YPZsyK4m+uu7QqGPw8x8w0znjSnEnSqXW1bQ60YgiBOrc04VfB8372MQziNrLCyTggc5mM9ab1OM&#10;ta35i+4Hn4oAYRejgsz7MpbSJRkZdF1bEgfvx1YGfZBVKnWFdYCbQvaj6EMazDksZFjSMqPkergZ&#10;BdtxuTjv7LNOi/Vle9qfJqvjxCvVaTeLTxCeGv8f/mvvtIJhNBqM4HUnX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BK/bHAAAA3gAAAA8AAAAAAAAAAAAAAAAAmAIAAGRy&#10;cy9kb3ducmV2LnhtbFBLBQYAAAAABAAEAPUAAACMAwAAAAA=&#10;" filled="f" stroked="f">
                  <v:textbox inset="0,0,0,0">
                    <w:txbxContent>
                      <w:p w14:paraId="5FF5E093" w14:textId="77777777" w:rsidR="0014164F" w:rsidRDefault="0014164F" w:rsidP="00C232D7">
                        <w:r>
                          <w:rPr>
                            <w:rFonts w:ascii="Arial" w:eastAsia="Arial" w:hAnsi="Arial" w:cs="Arial"/>
                            <w:color w:val="595959"/>
                            <w:sz w:val="16"/>
                          </w:rPr>
                          <w:t>Guma</w:t>
                        </w:r>
                      </w:p>
                    </w:txbxContent>
                  </v:textbox>
                </v:rect>
                <v:shape id="Shape 922133" o:spid="_x0000_s1103" style="position:absolute;left:15912;top:4626;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LdQskA&#10;AADfAAAADwAAAGRycy9kb3ducmV2LnhtbESPQUvDQBSE70L/w/IKXqTdNEWJsdsiQaHQgzT20tsj&#10;+8wGs29Ddk1if323IHgcZuYbZrObbCsG6n3jWMFqmYAgrpxuuFZw+nxfZCB8QNbYOiYFv+Rht53d&#10;bTDXbuQjDWWoRYSwz1GBCaHLpfSVIYt+6Tri6H253mKIsq+l7nGMcNvKNEmepMWG44LBjgpD1Xf5&#10;YxUMhbm4j/04Zl15eHMPj8X5nJVK3c+n1xcQgabwH/5r77WC5zRdrddw+xO/gNx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aLdQskAAADfAAAADwAAAAAAAAAAAAAAAACYAgAA&#10;ZHJzL2Rvd25yZXYueG1sUEsFBgAAAAAEAAQA9QAAAI4DAAAAAA==&#10;" path="m,l51816,r,51816l,51816,,e" fillcolor="#a5a5a5" stroked="f" strokeweight="0">
                  <v:path arrowok="t" textboxrect="0,0,51816,51816"/>
                </v:shape>
                <v:shape id="Shape 40537" o:spid="_x0000_s1104" style="position:absolute;left:15912;top:4626;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LjJ8cA&#10;AADeAAAADwAAAGRycy9kb3ducmV2LnhtbESPQU8CMRSE7yb8h+aZcJNWEMSVQmATgwcvIge5vWyf&#10;243b101bYOHXWxMTj5OZ+SazWPWuFScKsfGs4X6kQBBX3jRca9h/vNzNQcSEbLD1TBouFGG1HNws&#10;sDD+zO902qVaZAjHAjXYlLpCylhZchhHviPO3pcPDlOWoZYm4DnDXSvHSs2kw4bzgsWOSkvV9+7o&#10;NMze7Pwa3Gc5KS/0RFt1mO43B62Ht/36GUSiPv2H/9qvRsODmk4e4fdOvg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C4yfHAAAA3gAAAA8AAAAAAAAAAAAAAAAAmAIAAGRy&#10;cy9kb3ducmV2LnhtbFBLBQYAAAAABAAEAPUAAACMAwAAAAA=&#10;" path="m,51816r51816,l51816,,,,,51816xe" filled="f" strokecolor="white" strokeweight="1.56pt">
                  <v:path arrowok="t" textboxrect="0,0,51816,51816"/>
                </v:shape>
                <v:rect id="Rectangle 40538" o:spid="_x0000_s1105" style="position:absolute;left:16642;top:4467;width:4282;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CEaMMA&#10;AADeAAAADwAAAGRycy9kb3ducmV2LnhtbERPy4rCMBTdD/gP4QruxtRxFK1GkXEGXfoCdXdprm2x&#10;uSlNtB2/3iwEl4fzns4bU4g7VS63rKDXjUAQJ1bnnCo47P8+RyCcR9ZYWCYF/+RgPmt9TDHWtuYt&#10;3Xc+FSGEXYwKMu/LWEqXZGTQdW1JHLiLrQz6AKtU6grrEG4K+RVFQ2kw59CQYUk/GSXX3c0oWI3K&#10;xWltH3Va/J5Xx81xvNyPvVKddrOYgPDU+Lf45V5rBd/RoB/2hjvhCs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4CEaMMAAADeAAAADwAAAAAAAAAAAAAAAACYAgAAZHJzL2Rv&#10;d25yZXYueG1sUEsFBgAAAAAEAAQA9QAAAIgDAAAAAA==&#10;" filled="f" stroked="f">
                  <v:textbox inset="0,0,0,0">
                    <w:txbxContent>
                      <w:p w14:paraId="24DC3EF2" w14:textId="77777777" w:rsidR="0014164F" w:rsidRDefault="0014164F" w:rsidP="00C232D7">
                        <w:r>
                          <w:rPr>
                            <w:rFonts w:ascii="Arial" w:eastAsia="Arial" w:hAnsi="Arial" w:cs="Arial"/>
                            <w:color w:val="595959"/>
                            <w:sz w:val="16"/>
                          </w:rPr>
                          <w:t>Odjeća</w:t>
                        </w:r>
                      </w:p>
                    </w:txbxContent>
                  </v:textbox>
                </v:rect>
                <v:shape id="Shape 922134" o:spid="_x0000_s1106" style="position:absolute;left:15912;top:6653;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m9rMcA&#10;AADfAAAADwAAAGRycy9kb3ducmV2LnhtbESPQUvDQBSE74L/YXmCN7tp1NLGbkstKPVS2rTg9ZF9&#10;JsHs22V3TdJ/7xYEj8PMfMMs16PpRE8+tJYVTCcZCOLK6pZrBefT28McRIjIGjvLpOBCAdar25sl&#10;FtoOfKS+jLVIEA4FKmhidIWUoWrIYJhYR5y8L+sNxiR9LbXHIcFNJ/Msm0mDLaeFBh1tG6q+yx+j&#10;4CCf+23MzOb1Ur63bvh0fs8fSt3fjZsXEJHG+B/+a++0gkWeTx+f4PonfQ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JvazHAAAA3wAAAA8AAAAAAAAAAAAAAAAAmAIAAGRy&#10;cy9kb3ducmV2LnhtbFBLBQYAAAAABAAEAPUAAACMAwAAAAA=&#10;" path="m,l51816,r,50292l,50292,,e" fillcolor="#ffc000" stroked="f" strokeweight="0">
                  <v:path arrowok="t" textboxrect="0,0,51816,50292"/>
                </v:shape>
                <v:shape id="Shape 40540" o:spid="_x0000_s1107" style="position:absolute;left:15912;top:6653;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4fRscA&#10;AADeAAAADwAAAGRycy9kb3ducmV2LnhtbESPTWvCQBCG74X+h2UK3nTToqFEV7FCwR4qbVoQb0N2&#10;mk3NzobsVFN/ffcg9PjyfvEsVoNv1Yn62AQ2cD/JQBFXwTZcG/j8eB4/goqCbLENTAZ+KcJqeXuz&#10;wMKGM7/TqZRapRGOBRpwIl2hdawceYyT0BEn7yv0HiXJvta2x3Ma961+yLJce2w4PTjsaOOoOpY/&#10;3sD+Wy7i2k192L+VNHt9yXdPMTdmdDes56CEBvkPX9tba2CazaYJIOEkFN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eH0bHAAAA3gAAAA8AAAAAAAAAAAAAAAAAmAIAAGRy&#10;cy9kb3ducmV2LnhtbFBLBQYAAAAABAAEAPUAAACMAwAAAAA=&#10;" path="m,50292r51816,l51816,,,,,50292xe" filled="f" strokecolor="white" strokeweight="1.56pt">
                  <v:path arrowok="t" textboxrect="0,0,51816,50292"/>
                </v:shape>
                <v:rect id="Rectangle 40541" o:spid="_x0000_s1108" style="position:absolute;left:16642;top:6300;width:7276;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xeiMYA&#10;AADeAAAADwAAAGRycy9kb3ducmV2LnhtbESPT4vCMBTE7wt+h/AEb2vqootWo4ir6HH9A+rt0Tzb&#10;YvNSmmirn94sLHgcZuY3zGTWmELcqXK5ZQW9bgSCOLE651TBYb/6HIJwHlljYZkUPMjBbNr6mGCs&#10;bc1buu98KgKEXYwKMu/LWEqXZGTQdW1JHLyLrQz6IKtU6grrADeF/Iqib2kw57CQYUmLjJLr7mYU&#10;rIfl/LSxzzotluf18fc4+tmPvFKddjMfg/DU+Hf4v73RCvrRoN+DvzvhCsjp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rxeiMYAAADeAAAADwAAAAAAAAAAAAAAAACYAgAAZHJz&#10;L2Rvd25yZXYueG1sUEsFBgAAAAAEAAQA9QAAAIsDAAAAAA==&#10;" filled="f" stroked="f">
                  <v:textbox inset="0,0,0,0">
                    <w:txbxContent>
                      <w:p w14:paraId="0E506AD9" w14:textId="77777777" w:rsidR="0014164F" w:rsidRDefault="0014164F" w:rsidP="00C232D7">
                        <w:r>
                          <w:rPr>
                            <w:rFonts w:ascii="Arial" w:eastAsia="Arial" w:hAnsi="Arial" w:cs="Arial"/>
                            <w:color w:val="595959"/>
                            <w:sz w:val="16"/>
                          </w:rPr>
                          <w:t>Papir/karton</w:t>
                        </w:r>
                      </w:p>
                    </w:txbxContent>
                  </v:textbox>
                </v:rect>
                <v:shape id="Shape 922135" o:spid="_x0000_s1109" style="position:absolute;left:15912;top:8665;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q+kcgA&#10;AADfAAAADwAAAGRycy9kb3ducmV2LnhtbESPT2sCMRTE74LfIbyCN826UrHbjSKlipce1F56e2ze&#10;/mE3L2sSde2nbwqFHoeZ+Q2TbwbTiRs531hWMJ8lIIgLqxuuFHyed9MVCB+QNXaWScGDPGzW41GO&#10;mbZ3PtLtFCoRIewzVFCH0GdS+qImg35me+LoldYZDFG6SmqH9wg3nUyTZCkNNhwXauzpraaiPV2N&#10;AtO1Ll29+707DF8f7felKs92q9Tkadi+ggg0hP/wX/ugFbyk6XzxDL9/4heQ6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Gr6RyAAAAN8AAAAPAAAAAAAAAAAAAAAAAJgCAABk&#10;cnMvZG93bnJldi54bWxQSwUGAAAAAAQABAD1AAAAjQMAAAAA&#10;" path="m,l51816,r,50292l,50292,,e" fillcolor="#4472c4" stroked="f" strokeweight="0">
                  <v:path arrowok="t" textboxrect="0,0,51816,50292"/>
                </v:shape>
                <v:shape id="Shape 40543" o:spid="_x0000_s1110" style="position:absolute;left:15912;top:8665;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yBMcgA&#10;AADeAAAADwAAAGRycy9kb3ducmV2LnhtbESPQUvDQBSE7wX/w/IEb+3G2gaJ3RYtFOqholEo3h7Z&#10;ZzaafRuyr23sr3cFweMwM98wi9XgW3WkPjaBDVxPMlDEVbAN1wbeXjfjW1BRkC22gcnAN0VYLS9G&#10;CyxsOPELHUupVYJwLNCAE+kKrWPlyGOchI44eR+h9yhJ9rW2PZ4S3Ld6mmW59thwWnDY0dpR9VUe&#10;vIH9p5zFtev6ff9c0nz3mD89xNyYq8vh/g6U0CD/4b/21hqYZfPZDfzeSVdA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zIExyAAAAN4AAAAPAAAAAAAAAAAAAAAAAJgCAABk&#10;cnMvZG93bnJldi54bWxQSwUGAAAAAAQABAD1AAAAjQMAAAAA&#10;" path="m,50292r51816,l51816,,,,,50292xe" filled="f" strokecolor="white" strokeweight="1.56pt">
                  <v:path arrowok="t" textboxrect="0,0,51816,50292"/>
                </v:shape>
                <v:rect id="Rectangle 40544" o:spid="_x0000_s1111" style="position:absolute;left:16642;top:8495;width:9019;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v9EMYA&#10;AADeAAAADwAAAGRycy9kb3ducmV2LnhtbESPT4vCMBTE78J+h/CEvWnqUkWrUWT/oEdXBfX2aJ5t&#10;sXkpTdZWP70RhD0OM/MbZrZoTSmuVLvCsoJBPwJBnFpdcKZgv/vpjUE4j6yxtEwKbuRgMX/rzDDR&#10;tuFfum59JgKEXYIKcu+rREqX5mTQ9W1FHLyzrQ36IOtM6hqbADel/IiikTRYcFjIsaLPnNLL9s8o&#10;WI2r5XFt701Wfp9Wh81h8rWbeKXeu+1yCsJT6//Dr/ZaK4ijYRzD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v9EMYAAADeAAAADwAAAAAAAAAAAAAAAACYAgAAZHJz&#10;L2Rvd25yZXYueG1sUEsFBgAAAAAEAAQA9QAAAIsDAAAAAA==&#10;" filled="f" stroked="f">
                  <v:textbox inset="0,0,0,0">
                    <w:txbxContent>
                      <w:p w14:paraId="619A419D" w14:textId="77777777" w:rsidR="0014164F" w:rsidRDefault="0014164F" w:rsidP="00C232D7">
                        <w:r>
                          <w:rPr>
                            <w:rFonts w:ascii="Arial" w:eastAsia="Arial" w:hAnsi="Arial" w:cs="Arial"/>
                            <w:color w:val="595959"/>
                            <w:sz w:val="16"/>
                          </w:rPr>
                          <w:t>Obrađeno drvo</w:t>
                        </w:r>
                      </w:p>
                    </w:txbxContent>
                  </v:textbox>
                </v:rect>
                <v:shape id="Shape 922136" o:spid="_x0000_s1112" style="position:absolute;left:15912;top:10676;width:518;height:519;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GtxscA&#10;AADfAAAADwAAAGRycy9kb3ducmV2LnhtbESPT2vCQBTE7wW/w/KE3urGtEiMriKlglh68M/F2yP7&#10;TILZt3F3jfHbdwsFj8PM/IaZL3vTiI6cry0rGI8SEMSF1TWXCo6H9VsGwgdkjY1lUvAgD8vF4GWO&#10;ubZ33lG3D6WIEPY5KqhCaHMpfVGRQT+yLXH0ztYZDFG6UmqH9wg3jUyTZCIN1hwXKmzps6Lisr8Z&#10;BZvzx1Zfv03yRZesMz+t60+ZU+p12K9mIAL14Rn+b2+0gmmajt8n8Pcnf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hrcbHAAAA3wAAAA8AAAAAAAAAAAAAAAAAmAIAAGRy&#10;cy9kb3ducmV2LnhtbFBLBQYAAAAABAAEAPUAAACMAwAAAAA=&#10;" path="m,l51816,r,51816l,51816,,e" fillcolor="#70ad47" stroked="f" strokeweight="0">
                  <v:path arrowok="t" textboxrect="0,0,51816,51816"/>
                </v:shape>
                <v:shape id="Shape 40546" o:spid="_x0000_s1113" style="position:absolute;left:15912;top:10676;width:518;height:519;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g1wcgA&#10;AADeAAAADwAAAGRycy9kb3ducmV2LnhtbESPT0sDMRTE74LfITzBm02s7VK3TUtdED146Z+DvT02&#10;r5vFzcuSxHbrpzeC0OMwM79hFqvBdeJEIbaeNTyOFAji2puWGw373evDDERMyAY7z6ThQhFWy9ub&#10;BZbGn3lDp21qRIZwLFGDTakvpYy1JYdx5Hvi7B19cJiyDI00Ac8Z7jo5VqqQDlvOCxZ7qizVX9tv&#10;p6H4sLOf4D6rp+pCz/SmDtP9y0Hr+7thPQeRaEjX8H/73WiYqOmkgL87+Qr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SDXByAAAAN4AAAAPAAAAAAAAAAAAAAAAAJgCAABk&#10;cnMvZG93bnJldi54bWxQSwUGAAAAAAQABAD1AAAAjQMAAAAA&#10;" path="m,51816r51816,l51816,,,,,51816xe" filled="f" strokecolor="white" strokeweight="1.56pt">
                  <v:path arrowok="t" textboxrect="0,0,51816,51816"/>
                </v:shape>
                <v:rect id="Rectangle 40547" o:spid="_x0000_s1114" style="position:absolute;left:16642;top:10327;width:3303;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ljZ8cA&#10;AADeAAAADwAAAGRycy9kb3ducmV2LnhtbESPQWvCQBSE74L/YXmCN90o1mrqKqIWPVotqLdH9jUJ&#10;Zt+G7Gqiv75bEHocZuYbZrZoTCHuVLncsoJBPwJBnFidc6rg+/jZm4BwHlljYZkUPMjBYt5uzTDW&#10;tuYvuh98KgKEXYwKMu/LWEqXZGTQ9W1JHLwfWxn0QVap1BXWAW4KOYyisTSYc1jIsKRVRsn1cDMK&#10;tpNyed7ZZ50Wm8v2tD9N18epV6rbaZYfIDw1/j/8au+0glH0NnqHvzvhCs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ZY2fHAAAA3gAAAA8AAAAAAAAAAAAAAAAAmAIAAGRy&#10;cy9kb3ducmV2LnhtbFBLBQYAAAAABAAEAPUAAACMAwAAAAA=&#10;" filled="f" stroked="f">
                  <v:textbox inset="0,0,0,0">
                    <w:txbxContent>
                      <w:p w14:paraId="60C50BC9" w14:textId="77777777" w:rsidR="0014164F" w:rsidRDefault="0014164F" w:rsidP="00C232D7">
                        <w:r>
                          <w:rPr>
                            <w:rFonts w:ascii="Arial" w:eastAsia="Arial" w:hAnsi="Arial" w:cs="Arial"/>
                            <w:color w:val="595959"/>
                            <w:sz w:val="16"/>
                          </w:rPr>
                          <w:t>Metal</w:t>
                        </w:r>
                      </w:p>
                    </w:txbxContent>
                  </v:textbox>
                </v:rect>
                <v:shape id="Shape 922137" o:spid="_x0000_s1115" style="position:absolute;left:15912;top:12688;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Ty+cgA&#10;AADfAAAADwAAAGRycy9kb3ducmV2LnhtbESPQWvCQBSE7wX/w/KEXkQ3idBqdJW2oJRepOrB4yP7&#10;TKLZtyG7xu2/7xaEHoeZ+YZZroNpRE+dqy0rSCcJCOLC6ppLBcfDZjwD4TyyxsYyKfghB+vV4GmJ&#10;ubZ3/qZ+70sRIexyVFB53+ZSuqIig25iW+LonW1n0EfZlVJ3eI9w08gsSV6kwZrjQoUtfVRUXPc3&#10;o0De0ktW7KbhfArvHPovcyhHW6Weh+FtAcJT8P/hR/tTK5hnWTp9hb8/8Qv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1PL5yAAAAN8AAAAPAAAAAAAAAAAAAAAAAJgCAABk&#10;cnMvZG93bnJldi54bWxQSwUGAAAAAAQABAD1AAAAjQMAAAAA&#10;" path="m,l51816,r,51816l,51816,,e" fillcolor="#255e91" stroked="f" strokeweight="0">
                  <v:path arrowok="t" textboxrect="0,0,51816,51816"/>
                </v:shape>
                <v:shape id="Shape 40549" o:spid="_x0000_s1116" style="position:absolute;left:15912;top:12688;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ehs8cA&#10;AADeAAAADwAAAGRycy9kb3ducmV2LnhtbESPQWsCMRSE70L/Q3iF3jSxVdGtUdqFUg+9aD3U22Pz&#10;ulncvCxJqmt/fSMUPA4z8w2zXPeuFScKsfGsYTxSIIgrbxquNew/34ZzEDEhG2w9k4YLRViv7gZL&#10;LIw/85ZOu1SLDOFYoAabUldIGStLDuPId8TZ+/bBYcoy1NIEPGe4a+WjUjPpsOG8YLGj0lJ13P04&#10;DbMPO/8N7qt8Ki+0oHd1mO5fD1o/3PcvzyAS9ekW/m9vjIaJmk4WcL2Tr4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XobPHAAAA3gAAAA8AAAAAAAAAAAAAAAAAmAIAAGRy&#10;cy9kb3ducmV2LnhtbFBLBQYAAAAABAAEAPUAAACMAwAAAAA=&#10;" path="m,51816r51816,l51816,,,,,51816xe" filled="f" strokecolor="white" strokeweight="1.56pt">
                  <v:path arrowok="t" textboxrect="0,0,51816,51816"/>
                </v:shape>
                <v:rect id="Rectangle 40550" o:spid="_x0000_s1117" style="position:absolute;left:16642;top:12348;width:375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ltzsYA&#10;AADeAAAADwAAAGRycy9kb3ducmV2LnhtbESPy2rCQBSG9wXfYThCd3ViqcVER5FeSJZtUlB3h8wx&#10;CWbOhMzURJ++syi4/PlvfOvtaFpxod41lhXMZxEI4tLqhisFP8Xn0xKE88gaW8uk4EoOtpvJwxoT&#10;bQf+pkvuKxFG2CWooPa+S6R0ZU0G3cx2xME72d6gD7KvpO5xCOOmlc9R9CoNNhweauzorabynP8a&#10;Bemy2x0yexuq9uOY7r/28XsRe6Uep+NuBcLT6O/h/3amFbxEi0UACDgBBeTm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ltzsYAAADeAAAADwAAAAAAAAAAAAAAAACYAgAAZHJz&#10;L2Rvd25yZXYueG1sUEsFBgAAAAAEAAQA9QAAAIsDAAAAAA==&#10;" filled="f" stroked="f">
                  <v:textbox inset="0,0,0,0">
                    <w:txbxContent>
                      <w:p w14:paraId="07E0D162" w14:textId="77777777" w:rsidR="0014164F" w:rsidRDefault="0014164F" w:rsidP="00C232D7">
                        <w:r>
                          <w:rPr>
                            <w:rFonts w:ascii="Arial" w:eastAsia="Arial" w:hAnsi="Arial" w:cs="Arial"/>
                            <w:color w:val="595959"/>
                            <w:sz w:val="16"/>
                          </w:rPr>
                          <w:t>Staklo</w:t>
                        </w:r>
                      </w:p>
                    </w:txbxContent>
                  </v:textbox>
                </v:rect>
                <v:shape id="Shape 922138" o:spid="_x0000_s1118" style="position:absolute;left:15912;top:14715;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3J2MQA&#10;AADfAAAADwAAAGRycy9kb3ducmV2LnhtbERPz2vCMBS+D/wfwht4GTO1orjOKDIQdhJWi+Dt0Tyb&#10;YvNSmqyt++vNYeDx4/u92Y22ET11vnasYD5LQBCXTtdcKShOh/c1CB+QNTaOScGdPOy2k5cNZtoN&#10;/EN9HioRQ9hnqMCE0GZS+tKQRT9zLXHkrq6zGCLsKqk7HGK4bWSaJCtpsebYYLClL0PlLf+1Cm75&#10;sS4uxfF+Ht6WxvzZq0u5V2r6Ou4/QQQaw1P87/7WCj7SdL6Ig+Of+AXk9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9ydjEAAAA3wAAAA8AAAAAAAAAAAAAAAAAmAIAAGRycy9k&#10;b3ducmV2LnhtbFBLBQYAAAAABAAEAPUAAACJAwAAAAA=&#10;" path="m,l51816,r,50292l,50292,,e" fillcolor="#9e480e" stroked="f" strokeweight="0">
                  <v:path arrowok="t" textboxrect="0,0,51816,50292"/>
                </v:shape>
                <v:shape id="Shape 40552" o:spid="_x0000_s1119" style="position:absolute;left:15912;top:14715;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myd8cA&#10;AADeAAAADwAAAGRycy9kb3ducmV2LnhtbESPQUvDQBSE74L/YXkFb3bTYkJJuy1aEPSg2CiU3h7Z&#10;ZzaafRuyzzb6611B6HGYmW+Y1Wb0nTrSENvABmbTDBRxHWzLjYG31/vrBagoyBa7wGTgmyJs1pcX&#10;KyxtOPGOjpU0KkE4lmjAifSl1rF25DFOQ0+cvPcweJQkh0bbAU8J7js9z7JCe2w5LTjsaeuo/qy+&#10;vIH9h/yI67bNYf9SUf70WDzfxcKYq8l4uwQlNMo5/N9+sAZusjyfw9+ddAX0+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ZsnfHAAAA3gAAAA8AAAAAAAAAAAAAAAAAmAIAAGRy&#10;cy9kb3ducmV2LnhtbFBLBQYAAAAABAAEAPUAAACMAwAAAAA=&#10;" path="m,50292r51816,l51816,,,,,50292xe" filled="f" strokecolor="white" strokeweight="1.56pt">
                  <v:path arrowok="t" textboxrect="0,0,51816,50292"/>
                </v:shape>
                <v:rect id="Rectangle 40553" o:spid="_x0000_s1120" style="position:absolute;left:16642;top:14362;width:5717;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vzuccA&#10;AADeAAAADwAAAGRycy9kb3ducmV2LnhtbESPW2vCQBSE3wv+h+UIvtWNt6Kpq4gX9NFqQX07ZE+T&#10;YPZsyK4m+uu7QqGPw8x8w0znjSnEnSqXW1bQ60YgiBOrc04VfB8372MQziNrLCyTggc5mM9ab1OM&#10;ta35i+4Hn4oAYRejgsz7MpbSJRkZdF1bEgfvx1YGfZBVKnWFdYCbQvaj6EMazDksZFjSMqPkergZ&#10;BdtxuTjv7LNOi/Vle9qfJqvjxCvVaTeLTxCeGv8f/mvvtIJhNBoN4HUnXA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787nHAAAA3gAAAA8AAAAAAAAAAAAAAAAAmAIAAGRy&#10;cy9kb3ducmV2LnhtbFBLBQYAAAAABAAEAPUAAACMAwAAAAA=&#10;" filled="f" stroked="f">
                  <v:textbox inset="0,0,0,0">
                    <w:txbxContent>
                      <w:p w14:paraId="201B1A30" w14:textId="77777777" w:rsidR="0014164F" w:rsidRDefault="0014164F" w:rsidP="00C232D7">
                        <w:r>
                          <w:rPr>
                            <w:rFonts w:ascii="Arial" w:eastAsia="Arial" w:hAnsi="Arial" w:cs="Arial"/>
                            <w:color w:val="595959"/>
                            <w:sz w:val="16"/>
                          </w:rPr>
                          <w:t>Keramika</w:t>
                        </w:r>
                      </w:p>
                    </w:txbxContent>
                  </v:textbox>
                </v:rect>
                <v:shape id="Shape 922139" o:spid="_x0000_s1121" style="position:absolute;left:15912;top:16727;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scA&#10;AADfAAAADwAAAGRycy9kb3ducmV2LnhtbESPQWvCQBSE7wX/w/KE3urGCFKjq4gg9VRr9ODxkX0m&#10;0ezbNLua5N+7hYLHYWa+YRarzlTiQY0rLSsYjyIQxJnVJecKTsftxycI55E1VpZJQU8OVsvB2wIT&#10;bVs+0CP1uQgQdgkqKLyvEyldVpBBN7I1cfAutjHog2xyqRtsA9xUMo6iqTRYclgosKZNQdktvRsF&#10;+9t5ff/66dPvVm6j6/54cL99p9T7sFvPQXjq/Cv8395pBbM4Hk9m8PcnfAG5f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vrHAAAA3wAAAA8AAAAAAAAAAAAAAAAAmAIAAGRy&#10;cy9kb3ducmV2LnhtbFBLBQYAAAAABAAEAPUAAACMAwAAAAA=&#10;" path="m,l51816,r,50292l,50292,,e" fillcolor="#636363" stroked="f" strokeweight="0">
                  <v:path arrowok="t" textboxrect="0,0,51816,50292"/>
                </v:shape>
                <v:shape id="Shape 40555" o:spid="_x0000_s1122" style="position:absolute;left:15912;top:16727;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AqA8cA&#10;AADeAAAADwAAAGRycy9kb3ducmV2LnhtbESPQUvDQBSE74X+h+UVems3ShMkdlu0IOjBolEo3h7Z&#10;ZzaafRuyzzb217uC4HGYmW+Y9Xb0nTrSENvABi6WGSjiOtiWGwOvL3eLK1BRkC12gcnAN0XYbqaT&#10;NZY2nPiZjpU0KkE4lmjAifSl1rF25DEuQ0+cvPcweJQkh0bbAU8J7jt9mWWF9thyWnDY085R/Vl9&#10;eQOHDzmL63bN2+GpovzxodjfxsKY+Wy8uQYlNMp/+K99bw2ssjzP4fdOugJ6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wKgPHAAAA3gAAAA8AAAAAAAAAAAAAAAAAmAIAAGRy&#10;cy9kb3ducmV2LnhtbFBLBQYAAAAABAAEAPUAAACMAwAAAAA=&#10;" path="m,50292r51816,l51816,,,,,50292xe" filled="f" strokecolor="white" strokeweight="1.56pt">
                  <v:path arrowok="t" textboxrect="0,0,51816,50292"/>
                </v:shape>
                <v:rect id="Rectangle 40556" o:spid="_x0000_s1123" style="position:absolute;left:16642;top:16374;width:9087;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xQIcgA&#10;AADeAAAADwAAAGRycy9kb3ducmV2LnhtbESPT2vCQBTE70K/w/IKvenGUiVGV5H+IR7VFNTbI/tM&#10;gtm3IbtN0n76bkHocZiZ3zCrzWBq0VHrKssKppMIBHFudcWFgs/sYxyDcB5ZY22ZFHyTg836YbTC&#10;RNueD9QdfSEChF2CCkrvm0RKl5dk0E1sQxy8q20N+iDbQuoW+wA3tXyOork0WHFYKLGh15Ly2/HL&#10;KEjjZnve2Z++qN8v6Wl/WrxlC6/U0+OwXYLwNPj/8L290wpeotlsDn93whW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cjFAhyAAAAN4AAAAPAAAAAAAAAAAAAAAAAJgCAABk&#10;cnMvZG93bnJldi54bWxQSwUGAAAAAAQABAD1AAAAjQMAAAAA&#10;" filled="f" stroked="f">
                  <v:textbox inset="0,0,0,0">
                    <w:txbxContent>
                      <w:p w14:paraId="067295E0" w14:textId="77777777" w:rsidR="0014164F" w:rsidRDefault="0014164F" w:rsidP="00C232D7">
                        <w:r>
                          <w:rPr>
                            <w:rFonts w:ascii="Arial" w:eastAsia="Arial" w:hAnsi="Arial" w:cs="Arial"/>
                            <w:color w:val="595959"/>
                            <w:sz w:val="16"/>
                          </w:rPr>
                          <w:t>Sanitarni otpad</w:t>
                        </w:r>
                      </w:p>
                    </w:txbxContent>
                  </v:textbox>
                </v:rect>
                <v:shape id="Shape 922140" o:spid="_x0000_s1124" style="position:absolute;left:15912;top:18738;width:518;height:519;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RCXsYA&#10;AADfAAAADwAAAGRycy9kb3ducmV2LnhtbESP22rCQBCG7wXfYRmhN6KbhCI1upESaGkpqFUfYMxO&#10;DiQ7G7JbTd++e1Hw8uc/8W13o+nEjQbXWFYQLyMQxIXVDVcKLue3xQsI55E1dpZJwS852GXTyRZT&#10;be/8TbeTr0QYYZeigtr7PpXSFTUZdEvbEwevtINBH+RQST3gPYybTiZRtJIGGw4PNfaU11S0px+j&#10;YE/YxAcdr+blmJfvx8+vvOWrUk+z8XUDwtPoH+H/9odWsE6S+DkQBJ7AAj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RCXsYAAADfAAAADwAAAAAAAAAAAAAAAACYAgAAZHJz&#10;L2Rvd25yZXYueG1sUEsFBgAAAAAEAAQA9QAAAIsDAAAAAA==&#10;" path="m,l51816,r,51816l,51816,,e" fillcolor="#997300" stroked="f" strokeweight="0">
                  <v:path arrowok="t" textboxrect="0,0,51816,51816"/>
                </v:shape>
                <v:shape id="Shape 40558" o:spid="_x0000_s1125" style="position:absolute;left:15912;top:18738;width:518;height:519;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S9cQA&#10;AADeAAAADwAAAGRycy9kb3ducmV2LnhtbERPTU8CMRC9k/gfmjHxBq3oElwpBDcxcuAicpDbZDtu&#10;N26nm7bC4q+nBxKOL+97sRpcJ44UYutZw+NEgSCuvWm50bD/eh/PQcSEbLDzTBrOFGG1vBstsDT+&#10;xJ903KVG5BCOJWqwKfWllLG25DBOfE+cuR8fHKYMQyNNwFMOd52cKjWTDlvODRZ7qizVv7s/p2G2&#10;tfP/4L6rp+pML/ShDsX+7aD1w/2wfgWRaEg38dW9MRqeVVHkvflOvgJ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CkvXEAAAA3gAAAA8AAAAAAAAAAAAAAAAAmAIAAGRycy9k&#10;b3ducmV2LnhtbFBLBQYAAAAABAAEAPUAAACJAwAAAAA=&#10;" path="m,51816r51816,l51816,,,,,51816xe" filled="f" strokecolor="white" strokeweight="1.56pt">
                  <v:path arrowok="t" textboxrect="0,0,51816,51816"/>
                </v:shape>
                <v:rect id="Rectangle 40559" o:spid="_x0000_s1126" style="position:absolute;left:16642;top:18395;width:10075;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PEU8cA&#10;AADeAAAADwAAAGRycy9kb3ducmV2LnhtbESPQWvCQBSE7wX/w/IEb3Wj1JJEVxGt6LFVQb09ss8k&#10;mH0bsquJ/fXdQqHHYWa+YWaLzlTiQY0rLSsYDSMQxJnVJecKjofNawzCeWSNlWVS8CQHi3nvZYap&#10;ti1/0WPvcxEg7FJUUHhfp1K6rCCDbmhr4uBdbWPQB9nkUjfYBrip5DiK3qXBksNCgTWtCspu+7tR&#10;sI3r5Xlnv9u8+rhsT5+nZH1IvFKDfrecgvDU+f/wX3unFbxFk0kCv3fCF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0TxFPHAAAA3gAAAA8AAAAAAAAAAAAAAAAAmAIAAGRy&#10;cy9kb3ducmV2LnhtbFBLBQYAAAAABAAEAPUAAACMAwAAAAA=&#10;" filled="f" stroked="f">
                  <v:textbox inset="0,0,0,0">
                    <w:txbxContent>
                      <w:p w14:paraId="2E87714A" w14:textId="77777777" w:rsidR="0014164F" w:rsidRDefault="0014164F" w:rsidP="00C232D7">
                        <w:r>
                          <w:rPr>
                            <w:rFonts w:ascii="Arial" w:eastAsia="Arial" w:hAnsi="Arial" w:cs="Arial"/>
                            <w:color w:val="595959"/>
                            <w:sz w:val="16"/>
                          </w:rPr>
                          <w:t>Medicinski otpad</w:t>
                        </w:r>
                      </w:p>
                    </w:txbxContent>
                  </v:textbox>
                </v:rect>
                <v:shape id="Shape 922141" o:spid="_x0000_s1127" style="position:absolute;left:15912;top:20750;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pZcccA&#10;AADfAAAADwAAAGRycy9kb3ducmV2LnhtbESPQWvCQBSE7wX/w/KE3uomIUhNXUUKFQ8iRD30+Mg+&#10;s9Hs25DdaNpf3y0Uehxm5htmuR5tK+7U+8axgnSWgCCunG64VnA+fby8gvABWWPrmBR8kYf1avK0&#10;xEK7B5d0P4ZaRAj7AhWYELpCSl8ZsuhnriOO3sX1FkOUfS11j48It63MkmQuLTYcFwx29G6ouh0H&#10;q2B//T4dtvvMcV6WZtEMNHzmpNTzdNy8gQg0hv/wX3unFSyyLM1T+P0Tv4B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6WXHHAAAA3wAAAA8AAAAAAAAAAAAAAAAAmAIAAGRy&#10;cy9kb3ducmV2LnhtbFBLBQYAAAAABAAEAPUAAACMAwAAAAA=&#10;" path="m,l51816,r,51816l,51816,,e" fillcolor="#264478" stroked="f" strokeweight="0">
                  <v:path arrowok="t" textboxrect="0,0,51816,51816"/>
                </v:shape>
                <v:shape id="Shape 40561" o:spid="_x0000_s1128" style="position:absolute;left:15912;top:20750;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x1ccA&#10;AADeAAAADwAAAGRycy9kb3ducmV2LnhtbESPQU8CMRSE7yb+h+aReJMWlA0uFCKbGD14ETnI7WX7&#10;2G7Yvm7aCou/3pqYcJzMzDeZ5XpwnThRiK1nDZOxAkFce9Nyo2H3+XI/BxETssHOM2m4UIT16vZm&#10;iaXxZ/6g0zY1IkM4lqjBptSXUsbaksM49j1x9g4+OExZhkaagOcMd52cKlVIhy3nBYs9VZbq4/bb&#10;aSje7fwnuK/qobrQE72q/Wy32Wt9NxqeFyASDeka/m+/GQ2PalZM4O9Ovg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U8dXHAAAA3gAAAA8AAAAAAAAAAAAAAAAAmAIAAGRy&#10;cy9kb3ducmV2LnhtbFBLBQYAAAAABAAEAPUAAACMAwAAAAA=&#10;" path="m,51816r51816,l51816,,,,,51816xe" filled="f" strokecolor="white" strokeweight="1.56pt">
                  <v:path arrowok="t" textboxrect="0,0,51816,51816"/>
                </v:shape>
                <v:rect id="Rectangle 40562" o:spid="_x0000_s1129" style="position:absolute;left:16642;top:20410;width:8194;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ucn8gA&#10;AADeAAAADwAAAGRycy9kb3ducmV2LnhtbESPQWvCQBSE7wX/w/KE3uqm0opGVxFtSY41Cra3R/aZ&#10;hGbfhuw2SfvrXaHgcZiZb5jVZjC16Kh1lWUFz5MIBHFudcWFgtPx/WkOwnlkjbVlUvBLDjbr0cMK&#10;Y217PlCX+UIECLsYFZTeN7GULi/JoJvYhjh4F9sa9EG2hdQt9gFuajmNopk0WHFYKLGhXUn5d/Zj&#10;FCTzZvuZ2r++qN++kvPHebE/LrxSj+NhuwThafD38H871QpeotfZFG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25yfyAAAAN4AAAAPAAAAAAAAAAAAAAAAAJgCAABk&#10;cnMvZG93bnJldi54bWxQSwUGAAAAAAQABAD1AAAAjQMAAAAA&#10;" filled="f" stroked="f">
                  <v:textbox inset="0,0,0,0">
                    <w:txbxContent>
                      <w:p w14:paraId="51EFA58A" w14:textId="77777777" w:rsidR="0014164F" w:rsidRDefault="0014164F" w:rsidP="00C232D7">
                        <w:r>
                          <w:rPr>
                            <w:rFonts w:ascii="Arial" w:eastAsia="Arial" w:hAnsi="Arial" w:cs="Arial"/>
                            <w:color w:val="595959"/>
                            <w:sz w:val="16"/>
                          </w:rPr>
                          <w:t>Parafin/vosak</w:t>
                        </w:r>
                      </w:p>
                    </w:txbxContent>
                  </v:textbox>
                </v:rect>
                <v:shape id="Shape 40563" o:spid="_x0000_s1130" style="position:absolute;left:34135;top:8594;width:9110;height:9715;visibility:visible;mso-wrap-style:square;v-text-anchor:top" coordsize="910971,97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SbccA&#10;AADeAAAADwAAAGRycy9kb3ducmV2LnhtbESPQWvCQBSE74L/YXmF3nSjaUWjq0hAqPQg1YJ4e+w+&#10;k9Ts25Ddavz3XaHgcZiZb5jFqrO1uFLrK8cKRsMEBLF2puJCwfdhM5iC8AHZYO2YFNzJw2rZ7y0w&#10;M+7GX3Tdh0JECPsMFZQhNJmUXpdk0Q9dQxy9s2sthijbQpoWbxFuazlOkom0WHFcKLGhvCR92f9a&#10;BZ8h17tOH0eHNL+fZulla354q9TrS7eegwjUhWf4v/1hFLwl75MUHnfiFZ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akm3HAAAA3gAAAA8AAAAAAAAAAAAAAAAAmAIAAGRy&#10;cy9kb3ducmV2LnhtbFBLBQYAAAAABAAEAPUAAACMAwAAAAA=&#10;" path="m425196,c693547,,910971,217425,910971,485775v,268351,-217424,485775,-485775,485775c248412,971550,85471,875412,,720599l425196,485775,425196,xe" fillcolor="#5b9bd5" stroked="f" strokeweight="0">
                  <v:path arrowok="t" textboxrect="0,0,910971,971550"/>
                </v:shape>
                <v:shape id="Shape 40564" o:spid="_x0000_s1131" style="position:absolute;left:34135;top:8594;width:9110;height:9715;visibility:visible;mso-wrap-style:square;v-text-anchor:top" coordsize="910971,971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VY7sYA&#10;AADeAAAADwAAAGRycy9kb3ducmV2LnhtbESPQWvCQBSE7wX/w/KE3upGsbFEVxFLwNxaLXh97D6T&#10;YPZtyG6T1F/vFgo9DjPzDbPZjbYRPXW+dqxgPktAEGtnai4VfJ3zlzcQPiAbbByTgh/ysNtOnjaY&#10;GTfwJ/WnUIoIYZ+hgiqENpPS64os+plriaN3dZ3FEGVXStPhEOG2kYskSaXFmuNChS0dKtK307dV&#10;UHzkh/e0uKxyfSmLc06yvt+lUs/Tcb8GEWgM/+G/9tEoWCav6RJ+78QrIL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BVY7sYAAADeAAAADwAAAAAAAAAAAAAAAACYAgAAZHJz&#10;L2Rvd25yZXYueG1sUEsFBgAAAAAEAAQA9QAAAIsDAAAAAA==&#10;" path="m425196,c693547,,910971,217425,910971,485775v,268351,-217424,485775,-485775,485775c248412,971550,85471,875412,,720599l425196,485775,425196,xe" filled="f" strokecolor="white" strokeweight="1.56pt">
                  <v:path arrowok="t" textboxrect="0,0,910971,971550"/>
                </v:shape>
                <v:shape id="Shape 40565" o:spid="_x0000_s1132" style="position:absolute;left:33647;top:13445;width:4653;height:2349;visibility:visible;mso-wrap-style:square;v-text-anchor:top" coordsize="465328,234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smoMgA&#10;AADeAAAADwAAAGRycy9kb3ducmV2LnhtbESPQWvCQBSE7wX/w/IEb3UTqVaiq0hoUeil2vbQ2yP7&#10;zAazb9PsGmN/vSsUehxm5htmue5tLTpqfeVYQTpOQBAXTldcKvj8eH2cg/ABWWPtmBRcycN6NXhY&#10;YqbdhffUHUIpIoR9hgpMCE0mpS8MWfRj1xBH7+haiyHKtpS6xUuE21pOkmQmLVYcFww2lBsqToez&#10;VfCcz7f6yqe39Fe//Hy9B/Od171So2G/WYAI1If/8F97pxU8JdPZFO534hWQq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GyagyAAAAN4AAAAPAAAAAAAAAAAAAAAAAJgCAABk&#10;cnMvZG93bnJldi54bWxQSwUGAAAAAAQABAD1AAAAjQMAAAAA&#10;" path="m465328,l40132,234950c23368,204597,9906,172593,,139447l465328,xe" fillcolor="#ed7d31" stroked="f" strokeweight="0">
                  <v:path arrowok="t" textboxrect="0,0,465328,234950"/>
                </v:shape>
                <v:shape id="Shape 40566" o:spid="_x0000_s1133" style="position:absolute;left:33647;top:13445;width:4653;height:2349;visibility:visible;mso-wrap-style:square;v-text-anchor:top" coordsize="465328,234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fXocoA&#10;AADeAAAADwAAAGRycy9kb3ducmV2LnhtbESPW2vCQBSE3wX/w3KEvulGa4OkWUXES6H1wRslb6fZ&#10;0yQ0ezZkV03/fbdQ6OMwM98w6aIztbhR6yrLCsajCARxbnXFhYLzaTOcgXAeWWNtmRR8k4PFvN9L&#10;MdH2zge6HX0hAoRdggpK75tESpeXZNCNbEMcvE/bGvRBtoXULd4D3NRyEkWxNFhxWCixoVVJ+dfx&#10;ahSsL/XqPXv7MPvHbPK63ax308t+p9TDoFs+g/DU+f/wX/tFK5hGT3EMv3fCFZDz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d316HKAAAA3gAAAA8AAAAAAAAAAAAAAAAAmAIA&#10;AGRycy9kb3ducmV2LnhtbFBLBQYAAAAABAAEAPUAAACPAwAAAAA=&#10;" path="m40132,234950c23368,204597,9906,172593,,139447l465328,,40132,234950xe" filled="f" strokecolor="white" strokeweight="1.56pt">
                  <v:path arrowok="t" textboxrect="0,0,465328,234950"/>
                </v:shape>
                <v:shape id="Shape 40567" o:spid="_x0000_s1134" style="position:absolute;left:33552;top:13439;width:4746;height:1394;visibility:visible;mso-wrap-style:square;v-text-anchor:top" coordsize="474599,139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B/osYA&#10;AADeAAAADwAAAGRycy9kb3ducmV2LnhtbESPQWvCQBSE70L/w/IK3nTTqmmJrlJEQVCE2vT+zD6T&#10;0OzbmF1N/PeuIPQ4zMw3zGzRmUpcqXGlZQVvwwgEcWZ1ybmC9Gc9+AThPLLGyjIpuJGDxfylN8NE&#10;25a/6XrwuQgQdgkqKLyvEyldVpBBN7Q1cfBOtjHog2xyqRtsA9xU8j2KYmmw5LBQYE3LgrK/w8Uo&#10;2O+O6Wq0rc6j3T79zamNzeoUK9V/7b6mIDx1/j/8bG+0gnE0iT/gcSdcAT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B/osYAAADeAAAADwAAAAAAAAAAAAAAAACYAgAAZHJz&#10;L2Rvd25yZXYueG1sUEsFBgAAAAAEAAQA9QAAAIsDAAAAAA==&#10;" path="m474599,l9271,139446c5715,127635,2667,115697,,103759l474599,xe" fillcolor="#a5a5a5" stroked="f" strokeweight="0">
                  <v:path arrowok="t" textboxrect="0,0,474599,139446"/>
                </v:shape>
                <v:shape id="Shape 40568" o:spid="_x0000_s1135" style="position:absolute;left:33552;top:13439;width:4746;height:1394;visibility:visible;mso-wrap-style:square;v-text-anchor:top" coordsize="474599,1394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KQ5MIA&#10;AADeAAAADwAAAGRycy9kb3ducmV2LnhtbERPS27CMBDdV+IO1iCxK3YQRSVgEFQgVXTVwAGGeMiH&#10;eBzFbkhvXy+Qunx6//V2sI3oqfOVYw3JVIEgzp2puNBwOR9f30H4gGywcUwafsnDdjN6WWNq3IO/&#10;qc9CIWII+xQ1lCG0qZQ+L8min7qWOHI311kMEXaFNB0+Yrht5EyphbRYcWwosaWPkvJ79mM1mPqa&#10;yPqIp6TeF/PLQd2y5Vev9WQ87FYgAg3hX/x0fxoNc/W2iHvjnXgF5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QpDkwgAAAN4AAAAPAAAAAAAAAAAAAAAAAJgCAABkcnMvZG93&#10;bnJldi54bWxQSwUGAAAAAAQABAD1AAAAhwMAAAAA&#10;" path="m9271,139446c5715,127635,2667,115697,,103759l474599,,9271,139446xe" filled="f" strokecolor="white" strokeweight="1.56pt">
                  <v:path arrowok="t" textboxrect="0,0,474599,139446"/>
                </v:shape>
                <v:shape id="Shape 40569" o:spid="_x0000_s1136" style="position:absolute;left:33453;top:13434;width:4844;height:1037;visibility:visible;mso-wrap-style:square;v-text-anchor:top" coordsize="484378,103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nnLsgA&#10;AADeAAAADwAAAGRycy9kb3ducmV2LnhtbESPQWvCQBSE74X+h+UJXkrdVKykqauUguClQqPQHh/Z&#10;1ySYfZvsrjH117uC4HGYmW+YxWowjejJ+dqygpdJAoK4sLrmUsF+t35OQfiArLGxTAr+ycNq+fiw&#10;wEzbE39Tn4dSRAj7DBVUIbSZlL6oyKCf2JY4en/WGQxRulJqh6cIN42cJslcGqw5LlTY0mdFxSE/&#10;GgX1j+v3Z047P2x33W8+fUq7r61S49Hw8Q4i0BDu4Vt7oxXMktf5G1zvxCs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zCecuyAAAAN4AAAAPAAAAAAAAAAAAAAAAAJgCAABk&#10;cnMvZG93bnJldi54bWxQSwUGAAAAAAQABAD1AAAAjQMAAAAA&#10;" path="m484378,l9779,103759c4953,81407,1651,58801,,36068l484378,xe" fillcolor="#ffc000" stroked="f" strokeweight="0">
                  <v:path arrowok="t" textboxrect="0,0,484378,103759"/>
                </v:shape>
                <v:shape id="Shape 40570" o:spid="_x0000_s1137" style="position:absolute;left:33453;top:13434;width:4844;height:1037;visibility:visible;mso-wrap-style:square;v-text-anchor:top" coordsize="484378,103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bDscA&#10;AADeAAAADwAAAGRycy9kb3ducmV2LnhtbESPzWoCMRSF94W+Q7gFd5pROlpHo9SipW7Eqot2d5lc&#10;J0MnN0MSdfr2zULo8nD++ObLzjbiSj7UjhUMBxkI4tLpmisFp+Om/wIiRGSNjWNS8EsBlovHhzkW&#10;2t34k66HWIk0wqFABSbGtpAylIYshoFriZN3dt5iTNJXUnu8pXHbyFGWjaXFmtODwZbeDJU/h4tV&#10;UG/z9fB97PPmOG2/9quR6XbfK6V6T93rDESkLv6H7+0PreA5yycJIOEkFJ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FT2w7HAAAA3gAAAA8AAAAAAAAAAAAAAAAAmAIAAGRy&#10;cy9kb3ducmV2LnhtbFBLBQYAAAAABAAEAPUAAACMAwAAAAA=&#10;" path="m9779,103759c4953,81407,1651,58801,,36068l484378,,9779,103759xe" filled="f" strokecolor="white" strokeweight="1.56pt">
                  <v:path arrowok="t" textboxrect="0,0,484378,103759"/>
                </v:shape>
                <v:shape id="Shape 40571" o:spid="_x0000_s1138" style="position:absolute;left:33439;top:13428;width:4858;height:361;visibility:visible;mso-wrap-style:square;v-text-anchor:top" coordsize="485775,36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ruMgA&#10;AADeAAAADwAAAGRycy9kb3ducmV2LnhtbESPT2vCQBTE70K/w/IKvelGqVFTV6mFVg8e/Efp8ZF9&#10;JqHZt2F3NfHbd4WCx2FmfsPMl52pxZWcrywrGA4SEMS51RUXCk7Hz/4UhA/IGmvLpOBGHpaLp94c&#10;M21b3tP1EAoRIewzVFCG0GRS+rwkg35gG+Lona0zGKJ0hdQO2wg3tRwlSSoNVhwXSmzoo6T893Ax&#10;Crpd+mPXq6/R7Py9mbjLcZuuWq/Uy3P3/gYiUBce4f/2Rit4TcaTIdzvxCsgF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5au4yAAAAN4AAAAPAAAAAAAAAAAAAAAAAJgCAABk&#10;cnMvZG93bnJldi54bWxQSwUGAAAAAAQABAD1AAAAjQMAAAAA&#10;" path="m485775,l1270,36068c635,26416,127,16637,,6986l485775,xe" fillcolor="#4472c4" stroked="f" strokeweight="0">
                  <v:path arrowok="t" textboxrect="0,0,485775,36068"/>
                </v:shape>
                <v:shape id="Shape 40572" o:spid="_x0000_s1139" style="position:absolute;left:33439;top:13428;width:4858;height:361;visibility:visible;mso-wrap-style:square;v-text-anchor:top" coordsize="485775,360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Ivr8gA&#10;AADeAAAADwAAAGRycy9kb3ducmV2LnhtbESPS2/CMBCE75X4D9ZW4lIVu7xapRhUkBCPW9OqvW7j&#10;JYmI1yF2IfTXYySkHkcz841mMmttJY7U+NKxhqeeAkGcOVNyruHzY/n4AsIHZIOVY9JwJg+zaedu&#10;golxJ36nYxpyESHsE9RQhFAnUvqsIIu+52ri6O1cYzFE2eTSNHiKcFvJvlJjabHkuFBgTYuCsn36&#10;azX87KxXfvuXjmverIaDw/zh+6vVunvfvr2CCNSG//CtvTYahmr03IfrnXgF5PQ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si+vyAAAAN4AAAAPAAAAAAAAAAAAAAAAAJgCAABk&#10;cnMvZG93bnJldi54bWxQSwUGAAAAAAQABAD1AAAAjQMAAAAA&#10;" path="m1270,36068c635,26416,127,16637,,6986l485775,,1270,36068xe" filled="f" strokecolor="white" strokeweight="1.56pt">
                  <v:path arrowok="t" textboxrect="0,0,485775,36068"/>
                </v:shape>
                <v:shape id="Shape 40573" o:spid="_x0000_s1140" style="position:absolute;left:33435;top:12733;width:4862;height:759;visibility:visible;mso-wrap-style:square;v-text-anchor:top" coordsize="486156,75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L/JMUA&#10;AADeAAAADwAAAGRycy9kb3ducmV2LnhtbESPQWsCMRSE7wX/Q3hCbzWrtrWsZkUFwavaFnp7bJ6b&#10;dTcv6ybV9N+bQqHHYWa+YRbLaFtxpd7XjhWMRxkI4tLpmisF78ft0xsIH5A1to5JwQ95WBaDhwXm&#10;2t14T9dDqESCsM9RgQmhy6X0pSGLfuQ64uSdXG8xJNlXUvd4S3DbykmWvUqLNacFgx1tDJXN4dsq&#10;8JfJ18VNzWd51jE2/BFnp7hW6nEYV3MQgWL4D/+1d1rBc/Yym8LvnXQFZH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v8kxQAAAN4AAAAPAAAAAAAAAAAAAAAAAJgCAABkcnMv&#10;ZG93bnJldi54bWxQSwUGAAAAAAQABAD1AAAAigMAAAAA&#10;" path="m5334,l486156,69088,381,75946c,50546,1651,25146,5334,xe" fillcolor="#70ad47" stroked="f" strokeweight="0">
                  <v:path arrowok="t" textboxrect="0,0,486156,75946"/>
                </v:shape>
                <v:shape id="Shape 40574" o:spid="_x0000_s1141" style="position:absolute;left:33435;top:12733;width:4862;height:759;visibility:visible;mso-wrap-style:square;v-text-anchor:top" coordsize="486156,759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scZ8gA&#10;AADeAAAADwAAAGRycy9kb3ducmV2LnhtbESPW2sCMRSE3wv+h3AKvtVsRatsjVIKiqAVvCD4dtic&#10;vdTNybKJ6+qvN0Khj8PMfMNMZq0pRUO1KywreO9FIIgTqwvOFBz287cxCOeRNZaWScGNHMymnZcJ&#10;xtpeeUvNzmciQNjFqCD3voqldElOBl3PVsTBS21t0AdZZ1LXeA1wU8p+FH1IgwWHhRwr+s4pOe8u&#10;RsFp8cvD1U+z3qTL1NvLxszH96NS3df26xOEp9b/h//aS61gEA1HA3jeCVdAT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yxxnyAAAAN4AAAAPAAAAAAAAAAAAAAAAAJgCAABk&#10;cnMvZG93bnJldi54bWxQSwUGAAAAAAQABAD1AAAAjQMAAAAA&#10;" path="m381,75946c,50546,1651,25146,5334,l486156,69088,381,75946xe" filled="f" strokecolor="white" strokeweight="1.56pt">
                  <v:path arrowok="t" textboxrect="0,0,486156,75946"/>
                </v:shape>
                <v:shape id="Shape 40575" o:spid="_x0000_s1142" style="position:absolute;left:33499;top:8895;width:4808;height:4502;visibility:visible;mso-wrap-style:square;v-text-anchor:top" coordsize="480822,45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7Cz8YA&#10;AADeAAAADwAAAGRycy9kb3ducmV2LnhtbESPT2vCQBTE74V+h+UJvdVdm6oldZVSqBVv8Q9eH9nX&#10;JDT7NmS3SeqndwXB4zAzv2EWq8HWoqPWV441TMYKBHHuTMWFhsP+6/kNhA/IBmvHpOGfPKyWjw8L&#10;TI3rOaNuFwoRIexT1FCG0KRS+rwki37sGuLo/bjWYoiyLaRpsY9wW8sXpWbSYsVxocSGPkvKf3d/&#10;VsPR9oq3/pgknfpec3LK1ucm0/ppNHy8gwg0hHv41t4YDa9qOp/C9U68AnJ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7Cz8YAAADeAAAADwAAAAAAAAAAAAAAAACYAgAAZHJz&#10;L2Rvd25yZXYueG1sUEsFBgAAAAAEAAQA9QAAAIsDAAAAAA==&#10;" path="m298196,l480822,450214,,381126c24511,210058,138049,65024,298196,xe" fillcolor="#255e91" stroked="f" strokeweight="0">
                  <v:path arrowok="t" textboxrect="0,0,480822,450214"/>
                </v:shape>
                <v:shape id="Shape 40576" o:spid="_x0000_s1143" style="position:absolute;left:33499;top:8895;width:4808;height:4502;visibility:visible;mso-wrap-style:square;v-text-anchor:top" coordsize="480822,450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teqccA&#10;AADeAAAADwAAAGRycy9kb3ducmV2LnhtbESPQWvCQBSE70L/w/IK3symtaYSXUWKtmJPtV68PbPP&#10;JCT7Ns1uTfrvu4LgcZiZb5j5sje1uFDrSssKnqIYBHFmdcm5gsP3ZjQF4TyyxtoyKfgjB8vFw2CO&#10;qbYdf9Fl73MRIOxSVFB436RSuqwggy6yDXHwzrY16INsc6lb7ALc1PI5jhNpsOSwUGBDbwVl1f7X&#10;KPj57LtJJd+r3cdpR+PkiN1qjUoNH/vVDISn3t/Dt/ZWK3iJJ68JXO+EKyA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9LXqnHAAAA3gAAAA8AAAAAAAAAAAAAAAAAmAIAAGRy&#10;cy9kb3ducmV2LnhtbFBLBQYAAAAABAAEAPUAAACMAwAAAAA=&#10;" path="m,381126c24511,210058,138049,65024,298196,l480822,450214,,381126xe" filled="f" strokecolor="white" strokeweight="1.56pt">
                  <v:path arrowok="t" textboxrect="0,0,480822,450214"/>
                </v:shape>
                <v:shape id="Shape 40577" o:spid="_x0000_s1144" style="position:absolute;left:36502;top:8721;width:1828;height:4659;visibility:visible;mso-wrap-style:square;v-text-anchor:top" coordsize="182753,465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Hbe8UA&#10;AADeAAAADwAAAGRycy9kb3ducmV2LnhtbESPQWvCQBSE74X+h+UJvdWNRU2bukoVBHspNK3g8ZF9&#10;JsHs2zT7auK/7xYEj8PMfMMsVoNr1Jm6UHs2MBknoIgLb2suDXx/bR+fQQVBtth4JgMXCrBa3t8t&#10;MLO+508651KqCOGQoYFKpM20DkVFDsPYt8TRO/rOoUTZldp22Ee4a/RTksy1w5rjQoUtbSoqTvmv&#10;M/AuPwP1M07XB8fbjz1vXlhyYx5Gw9srKKFBbuFre2cNTJNZmsL/nXgF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odt7xQAAAN4AAAAPAAAAAAAAAAAAAAAAAJgCAABkcnMv&#10;ZG93bnJldi54bWxQSwUGAAAAAAQABAD1AAAAigMAAAAA&#10;" path="m45212,l182753,465963,,15875c14859,9906,29972,4573,45212,xe" fillcolor="#9e480e" stroked="f" strokeweight="0">
                  <v:path arrowok="t" textboxrect="0,0,182753,465963"/>
                </v:shape>
                <v:shape id="Shape 40578" o:spid="_x0000_s1145" style="position:absolute;left:36502;top:8721;width:1828;height:4659;visibility:visible;mso-wrap-style:square;v-text-anchor:top" coordsize="182753,465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HHLcMA&#10;AADeAAAADwAAAGRycy9kb3ducmV2LnhtbERPy4rCMBTdD/gP4QruxtT30GkUERRhFtbHZnaX5vbB&#10;NDelibb+/WQhuDycd7LpTS0e1LrKsoLJOAJBnFldcaHgdt1/foFwHlljbZkUPMnBZj34SDDWtuMz&#10;PS6+ECGEXYwKSu+bWEqXlWTQjW1DHLjctgZ9gG0hdYtdCDe1nEbRUhqsODSU2NCupOzvcjcKSKe3&#10;Km2m58Xp5/cwm+/yY4cnpUbDfvsNwlPv3+KX+6gVzKPFKuwNd8IV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3HHLcMAAADeAAAADwAAAAAAAAAAAAAAAACYAgAAZHJzL2Rv&#10;d25yZXYueG1sUEsFBgAAAAAEAAQA9QAAAIgDAAAAAA==&#10;" path="m,15875c14859,9906,29972,4573,45212,l182753,465963,,15875xe" filled="f" strokecolor="white" strokeweight="1.56pt">
                  <v:path arrowok="t" textboxrect="0,0,182753,465963"/>
                </v:shape>
                <v:shape id="Shape 40579" o:spid="_x0000_s1146" style="position:absolute;left:36963;top:8522;width:1374;height:4857;visibility:visible;mso-wrap-style:square;v-text-anchor:top" coordsize="137414,485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Sm/scA&#10;AADeAAAADwAAAGRycy9kb3ducmV2LnhtbESPW2sCMRSE3wv+h3CEvmlW8boaRQRBSsFLK3093Zy9&#10;4OZk2aTu+u+NIPRxmJlvmOW6NaW4Ue0KywoG/QgEcWJ1wZmC769dbwbCeWSNpWVScCcH61XnbYmx&#10;tg2f6Hb2mQgQdjEqyL2vYildkpNB17cVcfBSWxv0QdaZ1DU2AW5KOYyiiTRYcFjIsaJtTsn1/GcU&#10;jJvLRbvP+e/+pzzeR5sk/ZilB6Xeu+1mAcJT6//Dr/ZeKxhF4+kcnnfCFZC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Upv7HAAAA3gAAAA8AAAAAAAAAAAAAAAAAmAIAAGRy&#10;cy9kb3ducmV2LnhtbFBLBQYAAAAABAAEAPUAAACMAwAAAAA=&#10;" path="m122301,r15113,485649l,19686c39751,7874,80899,1398,122301,xe" fillcolor="#636363" stroked="f" strokeweight="0">
                  <v:path arrowok="t" textboxrect="0,0,137414,485649"/>
                </v:shape>
                <v:shape id="Shape 40580" o:spid="_x0000_s1147" style="position:absolute;left:36963;top:8522;width:1374;height:4857;visibility:visible;mso-wrap-style:square;v-text-anchor:top" coordsize="137414,4856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Y1sscA&#10;AADeAAAADwAAAGRycy9kb3ducmV2LnhtbESPy2rDMBBF94X+g5hCd42c0hThRDalUPJYFOp0keXU&#10;mthOrJFjyYnz99GikOXlvjiLfLStOFPvG8cappMEBHHpTMOVht/t14sC4QOywdYxabiShzx7fFhg&#10;atyFf+hchErEEfYpaqhD6FIpfVmTRT9xHXH09q63GKLsK2l6vMRx28rXJHmXFhuODzV29FlTeSwG&#10;q4GHQ5hel6fhe1Rq86eWu91667R+fho/5iACjeEe/m+vjIa3ZKYiQMSJKC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WNbLHAAAA3gAAAA8AAAAAAAAAAAAAAAAAmAIAAGRy&#10;cy9kb3ducmV2LnhtbFBLBQYAAAAABAAEAPUAAACMAwAAAAA=&#10;" path="m,19686c39751,7874,80899,1398,122301,r15113,485649l,19686xe" filled="f" strokecolor="white" strokeweight="1.56pt">
                  <v:path arrowok="t" textboxrect="0,0,137414,485649"/>
                </v:shape>
                <v:shape id="Shape 40581" o:spid="_x0000_s1148" style="position:absolute;left:38194;top:8520;width:151;height:4858;visibility:visible;mso-wrap-style:square;v-text-anchor:top" coordsize="15113,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j2d8cA&#10;AADeAAAADwAAAGRycy9kb3ducmV2LnhtbESPQWsCMRSE7wX/Q3iFXqRmtbboahRRRA8eWtve3yav&#10;m8XNy7JJdfvvjSD0OMzMN8x82blanKkNlWcFw0EGglh7U3Gp4Otz+zwBESKywdozKfijAMtF72GO&#10;ufEX/qDzMZYiQTjkqMDG2ORSBm3JYRj4hjh5P751GJNsS2lavCS4q+Uoy96kw4rTgsWG1pb06fjr&#10;FLzrcqvtbto/kNl8F8WqX7xsSKmnx241AxGpi//he3tvFIyz18kQbnfSFZ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o9nfHAAAA3gAAAA8AAAAAAAAAAAAAAAAAmAIAAGRy&#10;cy9kb3ducmV2LnhtbFBLBQYAAAAABAAEAPUAAACMAwAAAAA=&#10;" path="m15113,r,485775l,253c4953,127,10033,,15113,xe" fillcolor="#997300" stroked="f" strokeweight="0">
                  <v:path arrowok="t" textboxrect="0,0,15113,485775"/>
                </v:shape>
                <v:shape id="Shape 40582" o:spid="_x0000_s1149" style="position:absolute;left:38194;top:8520;width:151;height:4858;visibility:visible;mso-wrap-style:square;v-text-anchor:top" coordsize="15113,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njhsQA&#10;AADeAAAADwAAAGRycy9kb3ducmV2LnhtbESPQWsCMRSE74X+h/AKXkrNutiiW6OIuODVVdrrY/Pc&#10;Xbp5WZKo8d8bQehxmJlvmMUqml5cyPnOsoLJOANBXFvdcaPgeCg/ZiB8QNbYWyYFN/KwWr6+LLDQ&#10;9sp7ulShEQnCvkAFbQhDIaWvWzLox3YgTt7JOoMhSddI7fCa4KaXeZZ9SYMdp4UWB9q0VP9VZ6Mg&#10;r+Yurrf1Rlfvze+5N+VP5FKp0Vtcf4MIFMN/+NneaQXT7HOWw+NOug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p44bEAAAA3gAAAA8AAAAAAAAAAAAAAAAAmAIAAGRycy9k&#10;b3ducmV2LnhtbFBLBQYAAAAABAAEAPUAAACJAwAAAAA=&#10;" path="m,253c4953,127,10033,,15113,r,485775l,253xe" filled="f" strokecolor="white" strokeweight="1.56pt">
                  <v:path arrowok="t" textboxrect="0,0,15113,485775"/>
                </v:shape>
                <v:shape id="Shape 40583" o:spid="_x0000_s1150" style="position:absolute;left:38345;top:8520;width:0;height:4858;visibility:visible;mso-wrap-style:square;v-text-anchor:top" coordsize="0,4857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wEpMUA&#10;AADeAAAADwAAAGRycy9kb3ducmV2LnhtbESPwW7CMBBE75X4B2uReisOFCqUYhBQVXCiKu0HrOIl&#10;DsTrYJsk/fsaqVKPo5l5o1mseluLlnyoHCsYjzIQxIXTFZcKvr/en+YgQkTWWDsmBT8UYLUcPCww&#10;167jT2qPsRQJwiFHBSbGJpcyFIYshpFriJN3ct5iTNKXUnvsEtzWcpJlL9JixWnBYENbQ8XleLMK&#10;6Dq+yo9b8YZtV/vuvDOHS9go9Tjs168gIvXxP/zX3msF02w2f4b7nXQF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ASkxQAAAN4AAAAPAAAAAAAAAAAAAAAAAJgCAABkcnMv&#10;ZG93bnJldi54bWxQSwUGAAAAAAQABAD1AAAAigMAAAAA&#10;" path="m,l,485775,,xe" filled="f" strokecolor="white" strokeweight="1.56pt">
                  <v:path arrowok="t" textboxrect="0,0,0,485775"/>
                </v:shape>
                <v:shape id="Shape 40584" o:spid="_x0000_s1151" style="position:absolute;left:32912;top:15332;width:914;height:3414;visibility:visible;mso-wrap-style:square;v-text-anchor:top" coordsize="91440,3413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E4MYA&#10;AADeAAAADwAAAGRycy9kb3ducmV2LnhtbESPT2vCQBTE7wW/w/IEb3Xj34bUVUQp9ahRqMdH9jUJ&#10;Zt/G7NakfvpuQfA4zMxvmMWqM5W4UeNKywpGwwgEcWZ1ybmC0/HjNQbhPLLGyjIp+CUHq2XvZYGJ&#10;ti0f6Jb6XAQIuwQVFN7XiZQuK8igG9qaOHjftjHog2xyqRtsA9xUchxFc2mw5LBQYE2bgrJL+mMU&#10;vE0m1eh89fL+eTmbY/q1b+PtXqlBv1u/g/DU+Wf40d5pBdNoFk/h/06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ME4MYAAADeAAAADwAAAAAAAAAAAAAAAACYAgAAZHJz&#10;L2Rvd25yZXYueG1sUEsFBgAAAAAEAAQA9QAAAIsDAAAAAA==&#10;" path="m91440,l57912,341376,,341376e" filled="f" strokecolor="#a6a6a6" strokeweight=".72pt">
                  <v:path arrowok="t" textboxrect="0,0,91440,341376"/>
                </v:shape>
                <v:shape id="Shape 40585" o:spid="_x0000_s1152" style="position:absolute;left:32820;top:14662;width:778;height:2042;visibility:visible;mso-wrap-style:square;v-text-anchor:top" coordsize="7772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IEqMUA&#10;AADeAAAADwAAAGRycy9kb3ducmV2LnhtbESPT2sCMRTE70K/Q3iF3jRRVGRrFCkUhJ78g/T4mjyz&#10;Szcvyyarq5/eCIUeh5n5DbNc974WF2pjFVjDeKRAEJtgK3YajofP4QJETMgW68Ck4UYR1quXwRIL&#10;G668o8s+OZEhHAvUUKbUFFJGU5LHOAoNcfbOofWYsmydtC1eM9zXcqLUXHqsOC+U2NBHSeZ333kN&#10;k3t/Nt9T15kv9eP84bbtzClo/fbab95BJOrTf/ivvbUapmq2mMHzTr4CcvU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0gSoxQAAAN4AAAAPAAAAAAAAAAAAAAAAAJgCAABkcnMv&#10;ZG93bnJldi54bWxQSwUGAAAAAAQABAD1AAAAigMAAAAA&#10;" path="m77724,l57912,204216,,204216e" filled="f" strokecolor="#a6a6a6" strokeweight=".72pt">
                  <v:path arrowok="t" textboxrect="0,0,77724,204216"/>
                </v:shape>
                <v:shape id="Shape 40586" o:spid="_x0000_s1153" style="position:absolute;left:32714;top:14128;width:777;height:762;visibility:visible;mso-wrap-style:square;v-text-anchor:top" coordsize="77724,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QRhsIA&#10;AADeAAAADwAAAGRycy9kb3ducmV2LnhtbESPQYvCMBSE7wv+h/CEva2py26RahQRFK9bxfOjeTbV&#10;5qUmWVv//WZB8DjMzDfMYjXYVtzJh8axgukkA0FcOd1wreB42H7MQISIrLF1TAoeFGC1HL0tsNCu&#10;5x+6l7EWCcKhQAUmxq6QMlSGLIaJ64iTd3beYkzS11J77BPctvIzy3JpseG0YLCjjaHqWv5aBWjc&#10;pS5PW//ocw5+d8qHzfqm1Pt4WM9BRBriK/xs77WCr+x7lsP/nXQF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JBGGwgAAAN4AAAAPAAAAAAAAAAAAAAAAAJgCAABkcnMvZG93&#10;bnJldi54bWxQSwUGAAAAAAQABAD1AAAAhwMAAAAA&#10;" path="m77724,l56388,76200,,76200e" filled="f" strokecolor="#a6a6a6" strokeweight=".72pt">
                  <v:path arrowok="t" textboxrect="0,0,77724,76200"/>
                </v:shape>
                <v:shape id="Shape 40587" o:spid="_x0000_s1154" style="position:absolute;left:32698;top:13092;width:747;height:549;visibility:visible;mso-wrap-style:square;v-text-anchor:top" coordsize="74676,54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GmtckA&#10;AADeAAAADwAAAGRycy9kb3ducmV2LnhtbESPQWsCMRSE74X+h/AKXopmtVplNYoUKkJFqLalvb1u&#10;npvFzcuSpLr990Yo9DjMzDfMbNHaWpzIh8qxgn4vA0FcOF1xqeBt/9ydgAgRWWPtmBT8UoDF/PZm&#10;hrl2Z36l0y6WIkE45KjAxNjkUobCkMXQcw1x8g7OW4xJ+lJqj+cEt7UcZNmjtFhxWjDY0JOh4rj7&#10;sQo+Vtv+9vNr7M1m9f3yvh4+VPcDVqpz1y6nICK18T/8115rBcNsNBnD9U66AnJ+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ZGmtckAAADeAAAADwAAAAAAAAAAAAAAAACYAgAA&#10;ZHJzL2Rvd25yZXYueG1sUEsFBgAAAAAEAAQA9QAAAI4DAAAAAA==&#10;" path="m74676,54864l57912,,,e" filled="f" strokecolor="#a6a6a6" strokeweight=".72pt">
                  <v:path arrowok="t" textboxrect="0,0,74676,54864"/>
                </v:shape>
                <v:shape id="Shape 40588" o:spid="_x0000_s1155" style="position:absolute;left:32851;top:11309;width:594;height:1798;visibility:visible;mso-wrap-style:square;v-text-anchor:top" coordsize="59436,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kvOcQA&#10;AADeAAAADwAAAGRycy9kb3ducmV2LnhtbERPy04CMRTdk/gPzTVxBy0GlIwUYgATE2XBU5Y308u0&#10;Or2dTCuMf28XJi5Pzns673wtLtRGF1jDcKBAEJfBOK407Hcv/QmImJAN1oFJww9FmM9uelMsTLjy&#10;hi7bVIkcwrFADTalppAylpY8xkFoiDN3Dq3HlGFbSdPiNYf7Wt4r9SA9Os4NFhtaWCq/tt9ew8m6&#10;w2Z1Xiw/l+/jD3ZvRj0e11rf3XbPTyASdelf/Od+NRpGajzJe/OdfAX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pLznEAAAA3gAAAA8AAAAAAAAAAAAAAAAAmAIAAGRycy9k&#10;b3ducmV2LnhtbFBLBQYAAAAABAAEAPUAAACJAwAAAAA=&#10;" path="m59436,179832l57912,,,e" filled="f" strokecolor="#a6a6a6" strokeweight=".72pt">
                  <v:path arrowok="t" textboxrect="0,0,59436,179832"/>
                </v:shape>
                <v:shape id="Shape 40589" o:spid="_x0000_s1156" style="position:absolute;left:35853;top:7697;width:869;height:1097;visibility:visible;mso-wrap-style:square;v-text-anchor:top" coordsize="86868,109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nx88YA&#10;AADeAAAADwAAAGRycy9kb3ducmV2LnhtbESPT2vCQBTE74V+h+UJvZS6UTTE6CrVVvDqH3p+ZJ9J&#10;MPs2ZDcm9dO7guBxmJnfMItVbypxpcaVlhWMhhEI4szqknMFp+P2KwHhPLLGyjIp+CcHq+X72wJT&#10;bTve0/XgcxEg7FJUUHhfp1K6rCCDbmhr4uCdbWPQB9nkUjfYBbip5DiKYmmw5LBQYE2bgrLLoTUK&#10;dHfbjGZt3Obd59/653hLJr9xptTHoP+eg/DU+1f42d5pBZNomszgcSdc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nx88YAAADeAAAADwAAAAAAAAAAAAAAAACYAgAAZHJz&#10;L2Rvd25yZXYueG1sUEsFBgAAAAAEAAQA9QAAAIsDAAAAAA==&#10;" path="m86868,109728l56388,,,e" filled="f" strokecolor="#a6a6a6" strokeweight=".72pt">
                  <v:path arrowok="t" textboxrect="0,0,86868,109728"/>
                </v:shape>
                <v:shape id="Shape 40590" o:spid="_x0000_s1157" style="position:absolute;left:34908;top:5701;width:2667;height:2880;visibility:visible;mso-wrap-style:square;v-text-anchor:top" coordsize="266700,288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qa2cYA&#10;AADeAAAADwAAAGRycy9kb3ducmV2LnhtbESPzWoCMRSF9wXfIVyhm6IZ61h0apTSUhC7aVVwe5lc&#10;J0OTm2mS6vj2ZlHo8nD++Jbr3llxphBbzwom4wIEce11y42Cw/59NAcRE7JG65kUXCnCejW4W2Kl&#10;/YW/6LxLjcgjHCtUYFLqKiljbchhHPuOOHsnHxymLEMjdcBLHndWPhbFk3TYcn4w2NGrofp79+sU&#10;WK3nP1P36Sezbfh4MLY8bt9Kpe6H/csziER9+g//tTdaQVnMFhkg42QU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qa2cYAAADeAAAADwAAAAAAAAAAAAAAAACYAgAAZHJz&#10;L2Rvd25yZXYueG1sUEsFBgAAAAAEAAQA9QAAAIsDAAAAAA==&#10;" path="m266700,288036l57912,,,e" filled="f" strokecolor="#a6a6a6" strokeweight=".72pt">
                  <v:path arrowok="t" textboxrect="0,0,266700,288036"/>
                </v:shape>
                <v:shape id="Shape 40591" o:spid="_x0000_s1158" style="position:absolute;left:38276;top:6219;width:0;height:2301;visibility:visible;mso-wrap-style:square;v-text-anchor:top" coordsize="0,230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aNw8YA&#10;AADeAAAADwAAAGRycy9kb3ducmV2LnhtbESPQWsCMRSE74X+h/AK3mpisWVdjWIFaS8KtQoeH5vn&#10;7tLkZdmkmv57IxQ8DjPzDTNbJGfFmfrQetYwGioQxJU3Ldca9t/r5wJEiMgGrWfS8EcBFvPHhxmW&#10;xl/4i867WIsM4VCihibGrpQyVA05DEPfEWfv5HuHMcu+lqbHS4Y7K1+UepMOW84LDXa0aqj62f06&#10;DZsPW6StD1tTLDf1Udn3w3qVtB48peUURKQU7+H/9qfRMFavkxHc7uQr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3aNw8YAAADeAAAADwAAAAAAAAAAAAAAAACYAgAAZHJz&#10;L2Rvd25yZXYueG1sUEsFBgAAAAAEAAQA9QAAAIsDAAAAAA==&#10;" path="m,230124l,e" filled="f" strokecolor="#a6a6a6" strokeweight=".72pt">
                  <v:path arrowok="t" textboxrect="0,0,0,230124"/>
                </v:shape>
                <v:shape id="Shape 40592" o:spid="_x0000_s1159" style="position:absolute;left:38352;top:7316;width:1585;height:1204;visibility:visible;mso-wrap-style:square;v-text-anchor:top" coordsize="158496,120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M8occA&#10;AADeAAAADwAAAGRycy9kb3ducmV2LnhtbESPT2vCQBTE7wW/w/KE3pqNom1NXSX4r0IPJSo9P7LP&#10;JJh9G3a3mn77bkHocZiZ3zDzZW9acSXnG8sKRkkKgri0uuFKwem4fXoF4QOyxtYyKfghD8vF4GGO&#10;mbY3Luh6CJWIEPYZKqhD6DIpfVmTQZ/Yjjh6Z+sMhihdJbXDW4SbVo7T9FkabDgu1NjRqqbycvg2&#10;Cvb4kue7vtDvX2s9251Hm/zjc6PU47DP30AE6sN/+N7eawWTdDobw9+de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PKHHAAAA3gAAAA8AAAAAAAAAAAAAAAAAmAIAAGRy&#10;cy9kb3ducmV2LnhtbFBLBQYAAAAABAAEAPUAAACMAwAAAAA=&#10;" path="m,120397l100584,r57912,e" filled="f" strokecolor="#a6a6a6" strokeweight=".72pt">
                  <v:path arrowok="t" textboxrect="0,0,158496,120397"/>
                </v:shape>
                <v:rect id="Rectangle 757093" o:spid="_x0000_s1160" style="position:absolute;left:41525;top:14097;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h3WMgA&#10;AADfAAAADwAAAGRycy9kb3ducmV2LnhtbESPW2vCQBSE3wv9D8sp+FY3tXhJdBWxLfroDdS3Q/aY&#10;hGbPhuxqor/eFQp9HGbmG2Yya00prlS7wrKCj24Egji1uuBMwX738z4C4TyyxtIyKbiRg9n09WWC&#10;ibYNb+i69ZkIEHYJKsi9rxIpXZqTQde1FXHwzrY26IOsM6lrbALclLIXRQNpsOCwkGNFi5zS3+3F&#10;KFiOqvlxZe9NVn6flof1If7axV6pzls7H4Pw1Pr/8F97pRUM+8Mo/oTnn/AF5PQ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CHdYyAAAAN8AAAAPAAAAAAAAAAAAAAAAAJgCAABk&#10;cnMvZG93bnJldi54bWxQSwUGAAAAAAQABAD1AAAAjQMAAAAA&#10;" filled="f" stroked="f">
                  <v:textbox inset="0,0,0,0">
                    <w:txbxContent>
                      <w:p w14:paraId="4EC26A5A" w14:textId="77777777" w:rsidR="0014164F" w:rsidRDefault="0014164F" w:rsidP="00C232D7">
                        <w:r>
                          <w:rPr>
                            <w:rFonts w:ascii="Calibri" w:hAnsi="Calibri" w:cs="Calibri"/>
                            <w:color w:val="404040"/>
                            <w:sz w:val="18"/>
                          </w:rPr>
                          <w:t>%</w:t>
                        </w:r>
                      </w:p>
                    </w:txbxContent>
                  </v:textbox>
                </v:rect>
                <v:rect id="Rectangle 757092" o:spid="_x0000_s1161" style="position:absolute;left:38919;top:14097;width:346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TSw8gA&#10;AADfAAAADwAAAGRycy9kb3ducmV2LnhtbESPT2vCQBTE70K/w/IK3nRTQU1SV5FW0aP/wPb2yL4m&#10;odm3Ibua6KfvFgSPw8z8hpktOlOJKzWutKzgbRiBIM6sLjlXcDquBzEI55E1VpZJwY0cLOYvvRmm&#10;2ra8p+vB5yJA2KWooPC+TqV0WUEG3dDWxMH7sY1BH2STS91gG+CmkqMomkiDJYeFAmv6KCj7PVyM&#10;gk1cL7+29t7m1ep7c96dk89j4pXqv3bLdxCeOv8MP9pbrWA6nkbJCP7/hC8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RNLDyAAAAN8AAAAPAAAAAAAAAAAAAAAAAJgCAABk&#10;cnMvZG93bnJldi54bWxQSwUGAAAAAAQABAD1AAAAjQMAAAAA&#10;" filled="f" stroked="f">
                  <v:textbox inset="0,0,0,0">
                    <w:txbxContent>
                      <w:p w14:paraId="50B15933" w14:textId="77777777" w:rsidR="0014164F" w:rsidRDefault="0014164F" w:rsidP="00C232D7">
                        <w:r>
                          <w:rPr>
                            <w:rFonts w:ascii="Calibri" w:hAnsi="Calibri" w:cs="Calibri"/>
                            <w:color w:val="404040"/>
                            <w:sz w:val="18"/>
                          </w:rPr>
                          <w:t>66.97</w:t>
                        </w:r>
                      </w:p>
                    </w:txbxContent>
                  </v:textbox>
                </v:rect>
                <v:rect id="Rectangle 757100" o:spid="_x0000_s1162" style="position:absolute;left:31897;top:17910;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zNccA&#10;AADfAAAADwAAAGRycy9kb3ducmV2LnhtbESPzWrCQBSF9wXfYbiCuzpRsImpo4hakmWrgnZ3ydwm&#10;oZk7ITM1qU/vLApdHs4f32ozmEbcqHO1ZQWzaQSCuLC65lLB+fT2nIBwHlljY5kU/JKDzXr0tMJU&#10;254/6Hb0pQgj7FJUUHnfplK6oiKDbmpb4uB92c6gD7Irpe6wD+OmkfMoepEGaw4PFba0q6j4Pv4Y&#10;BVnSbq+5vfdlc/jMLu+X5f609EpNxsP2FYSnwf+H/9q5VhAv4lkUCAJPYAG5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xczXHAAAA3wAAAA8AAAAAAAAAAAAAAAAAmAIAAGRy&#10;cy9kb3ducmV2LnhtbFBLBQYAAAAABAAEAPUAAACMAwAAAAA=&#10;" filled="f" stroked="f">
                  <v:textbox inset="0,0,0,0">
                    <w:txbxContent>
                      <w:p w14:paraId="2FB2B21C" w14:textId="77777777" w:rsidR="0014164F" w:rsidRDefault="0014164F" w:rsidP="00C232D7">
                        <w:r>
                          <w:rPr>
                            <w:rFonts w:ascii="Calibri" w:hAnsi="Calibri" w:cs="Calibri"/>
                            <w:color w:val="404040"/>
                            <w:sz w:val="18"/>
                          </w:rPr>
                          <w:t>%</w:t>
                        </w:r>
                      </w:p>
                    </w:txbxContent>
                  </v:textbox>
                </v:rect>
                <v:rect id="Rectangle 757099" o:spid="_x0000_s1163" style="position:absolute;left:29870;top:17910;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BAsskA&#10;AADfAAAADwAAAGRycy9kb3ducmV2LnhtbESPT2vCQBTE7wW/w/KE3urGgjWJWUWsRY/1D0Rvj+xr&#10;Epp9G7Jbk/bTdwsFj8PM/IbJVoNpxI06V1tWMJ1EIIgLq2suFZxPb08xCOeRNTaWScE3OVgtRw8Z&#10;ptr2fKDb0ZciQNilqKDyvk2ldEVFBt3EtsTB+7CdQR9kV0rdYR/gppHPUfQiDdYcFipsaVNR8Xn8&#10;Mgp2cbu+7O1PXzbb6y5/z5PXU+KVehwP6wUIT4O/h//be61gPptHSQJ/f8IX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uBAsskAAADfAAAADwAAAAAAAAAAAAAAAACYAgAA&#10;ZHJzL2Rvd25yZXYueG1sUEsFBgAAAAAEAAQA9QAAAI4DAAAAAA==&#10;" filled="f" stroked="f">
                  <v:textbox inset="0,0,0,0">
                    <w:txbxContent>
                      <w:p w14:paraId="278D5974" w14:textId="77777777" w:rsidR="0014164F" w:rsidRDefault="0014164F" w:rsidP="00C232D7">
                        <w:r>
                          <w:rPr>
                            <w:rFonts w:ascii="Calibri" w:hAnsi="Calibri" w:cs="Calibri"/>
                            <w:color w:val="404040"/>
                            <w:sz w:val="18"/>
                          </w:rPr>
                          <w:t>3.40</w:t>
                        </w:r>
                      </w:p>
                    </w:txbxContent>
                  </v:textbox>
                </v:rect>
                <v:rect id="Rectangle 757094" o:spid="_x0000_s1164" style="position:absolute;left:29772;top:15908;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HvLMgA&#10;AADfAAAADwAAAGRycy9kb3ducmV2LnhtbESPW2vCQBSE3wv9D8sp+FY3lXpJdBWxLfroDdS3Q/aY&#10;hGbPhuxqor/eFQp9HGbmG2Yya00prlS7wrKCj24Egji1uuBMwX738z4C4TyyxtIyKbiRg9n09WWC&#10;ibYNb+i69ZkIEHYJKsi9rxIpXZqTQde1FXHwzrY26IOsM6lrbALclLIXRQNpsOCwkGNFi5zS3+3F&#10;KFiOqvlxZe9NVn6flof1If7axV6pzls7H4Pw1Pr/8F97pRUM+8Mo/oTnn/AF5PQ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4e8syAAAAN8AAAAPAAAAAAAAAAAAAAAAAJgCAABk&#10;cnMvZG93bnJldi54bWxQSwUGAAAAAAQABAD1AAAAjQMAAAAA&#10;" filled="f" stroked="f">
                  <v:textbox inset="0,0,0,0">
                    <w:txbxContent>
                      <w:p w14:paraId="3D5B7000" w14:textId="77777777" w:rsidR="0014164F" w:rsidRDefault="0014164F" w:rsidP="00C232D7">
                        <w:r>
                          <w:rPr>
                            <w:rFonts w:ascii="Calibri" w:hAnsi="Calibri" w:cs="Calibri"/>
                            <w:color w:val="404040"/>
                            <w:sz w:val="18"/>
                          </w:rPr>
                          <w:t>1.21</w:t>
                        </w:r>
                      </w:p>
                    </w:txbxContent>
                  </v:textbox>
                </v:rect>
                <v:rect id="Rectangle 757095" o:spid="_x0000_s1165" style="position:absolute;left:31799;top:15908;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1Kt8kA&#10;AADfAAAADwAAAGRycy9kb3ducmV2LnhtbESPT2vCQBTE70K/w/IKvemmBTWJboK0FT36p6DeHtln&#10;Epp9G7Jbk/bTdwtCj8PM/IZZ5oNpxI06V1tW8DyJQBAXVtdcKvg4rscxCOeRNTaWScE3Ocizh9ES&#10;U2173tPt4EsRIOxSVFB536ZSuqIig25iW+LgXW1n0AfZlVJ32Ae4aeRLFM2kwZrDQoUtvVZUfB6+&#10;jIJN3K7OW/vTl837ZXPanZK3Y+KVenocVgsQngb/H763t1rBfDqPkin8/QlfQGa/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61Kt8kAAADfAAAADwAAAAAAAAAAAAAAAACYAgAA&#10;ZHJzL2Rvd25yZXYueG1sUEsFBgAAAAAEAAQA9QAAAI4DAAAAAA==&#10;" filled="f" stroked="f">
                  <v:textbox inset="0,0,0,0">
                    <w:txbxContent>
                      <w:p w14:paraId="1474DB32" w14:textId="77777777" w:rsidR="0014164F" w:rsidRDefault="0014164F" w:rsidP="00C232D7">
                        <w:r>
                          <w:rPr>
                            <w:rFonts w:ascii="Calibri" w:hAnsi="Calibri" w:cs="Calibri"/>
                            <w:color w:val="404040"/>
                            <w:sz w:val="18"/>
                          </w:rPr>
                          <w:t>%</w:t>
                        </w:r>
                      </w:p>
                    </w:txbxContent>
                  </v:textbox>
                </v:rect>
                <v:rect id="Rectangle 757091" o:spid="_x0000_s1166" style="position:absolute;left:31705;top:14097;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ZMtMkA&#10;AADfAAAADwAAAGRycy9kb3ducmV2LnhtbESPT2vCQBTE74V+h+UVeqsbhdYkuglSW/Ton4J6e2Sf&#10;SWj2bchuTfTTdwtCj8PM/IaZ54NpxIU6V1tWMB5FIIgLq2suFXztP19iEM4ja2wsk4IrOcizx4c5&#10;ptr2vKXLzpciQNilqKDyvk2ldEVFBt3ItsTBO9vOoA+yK6XusA9w08hJFL1JgzWHhQpbeq+o+N79&#10;GAWruF0c1/bWl83HaXXYHJLlPvFKPT8NixkIT4P/D9/ba61g+jqNkjH8/QlfQGa/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JZMtMkAAADfAAAADwAAAAAAAAAAAAAAAACYAgAA&#10;ZHJzL2Rvd25yZXYueG1sUEsFBgAAAAAEAAQA9QAAAI4DAAAAAA==&#10;" filled="f" stroked="f">
                  <v:textbox inset="0,0,0,0">
                    <w:txbxContent>
                      <w:p w14:paraId="2CF09114" w14:textId="77777777" w:rsidR="0014164F" w:rsidRDefault="0014164F" w:rsidP="00C232D7">
                        <w:r>
                          <w:rPr>
                            <w:rFonts w:ascii="Calibri" w:hAnsi="Calibri" w:cs="Calibri"/>
                            <w:color w:val="404040"/>
                            <w:sz w:val="18"/>
                          </w:rPr>
                          <w:t>%</w:t>
                        </w:r>
                      </w:p>
                    </w:txbxContent>
                  </v:textbox>
                </v:rect>
                <v:rect id="Rectangle 757090" o:spid="_x0000_s1167" style="position:absolute;left:29678;top:14097;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rpL8YA&#10;AADfAAAADwAAAGRycy9kb3ducmV2LnhtbESPy4rCMBSG98K8QzgD7jSdAS+tRpFR0aU3cGZ3aI5t&#10;meakNNFWn94sBJc//41vOm9NKW5Uu8Kygq9+BII4tbrgTMHpuO6NQTiPrLG0TAru5GA+++hMMdG2&#10;4T3dDj4TYYRdggpy76tESpfmZND1bUUcvIutDfog60zqGpswbkr5HUVDabDg8JBjRT85pf+Hq1Gw&#10;GVeL3619NFm5+tucd+d4eYy9Ut3PdjEB4an17/CrvdUKRoNRFAeCwBNYQM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rpL8YAAADfAAAADwAAAAAAAAAAAAAAAACYAgAAZHJz&#10;L2Rvd25yZXYueG1sUEsFBgAAAAAEAAQA9QAAAIsDAAAAAA==&#10;" filled="f" stroked="f">
                  <v:textbox inset="0,0,0,0">
                    <w:txbxContent>
                      <w:p w14:paraId="588AFE6F" w14:textId="77777777" w:rsidR="0014164F" w:rsidRDefault="0014164F" w:rsidP="00C232D7">
                        <w:r>
                          <w:rPr>
                            <w:rFonts w:ascii="Calibri" w:hAnsi="Calibri" w:cs="Calibri"/>
                            <w:color w:val="404040"/>
                            <w:sz w:val="18"/>
                          </w:rPr>
                          <w:t>2.24</w:t>
                        </w:r>
                      </w:p>
                    </w:txbxContent>
                  </v:textbox>
                </v:rect>
                <v:rect id="Rectangle 757089" o:spid="_x0000_s1168" style="position:absolute;left:31705;top:12289;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nWb8gA&#10;AADfAAAADwAAAGRycy9kb3ducmV2LnhtbESPQWvCQBSE74X+h+UVequbCmqSZiNSFT1aFbS3R/aZ&#10;BLNvQ3Zr0v76bkHocZiZb5hsPphG3KhztWUFr6MIBHFhdc2lguNh/RKDcB5ZY2OZFHyTg3n++JBh&#10;qm3PH3Tb+1IECLsUFVTet6mUrqjIoBvZljh4F9sZ9EF2pdQd9gFuGjmOoqk0WHNYqLCl94qK6/7L&#10;KNjE7eK8tT992aw+N6fdKVkeEq/U89OweAPhafD/4Xt7qxXMJrMoTuDvT/gCMv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OdZvyAAAAN8AAAAPAAAAAAAAAAAAAAAAAJgCAABk&#10;cnMvZG93bnJldi54bWxQSwUGAAAAAAQABAD1AAAAjQMAAAAA&#10;" filled="f" stroked="f">
                  <v:textbox inset="0,0,0,0">
                    <w:txbxContent>
                      <w:p w14:paraId="7BA4823C" w14:textId="77777777" w:rsidR="0014164F" w:rsidRDefault="0014164F" w:rsidP="00C232D7">
                        <w:r>
                          <w:rPr>
                            <w:rFonts w:ascii="Calibri" w:hAnsi="Calibri" w:cs="Calibri"/>
                            <w:color w:val="404040"/>
                            <w:sz w:val="18"/>
                          </w:rPr>
                          <w:t>%</w:t>
                        </w:r>
                      </w:p>
                    </w:txbxContent>
                  </v:textbox>
                </v:rect>
                <v:rect id="Rectangle 757088" o:spid="_x0000_s1169" style="position:absolute;left:29678;top:12289;width:269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Vz9MQA&#10;AADfAAAADwAAAGRycy9kb3ducmV2LnhtbERPy4rCMBTdC/MP4Q6403QG1FqNIqOiS1/gzO7SXNsy&#10;zU1poq1+vVkILg/nPZ23phQ3ql1hWcFXPwJBnFpdcKbgdFz3YhDOI2ssLZOCOzmYzz46U0y0bXhP&#10;t4PPRAhhl6CC3PsqkdKlORl0fVsRB+5ia4M+wDqTusYmhJtSfkfRUBosODTkWNFPTun/4WoUbOJq&#10;8bu1jyYrV3+b8+48Xh7HXqnuZ7uYgPDU+rf45d5qBaPBKIrD4PAnf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1c/TEAAAA3wAAAA8AAAAAAAAAAAAAAAAAmAIAAGRycy9k&#10;b3ducmV2LnhtbFBLBQYAAAAABAAEAPUAAACJAwAAAAA=&#10;" filled="f" stroked="f">
                  <v:textbox inset="0,0,0,0">
                    <w:txbxContent>
                      <w:p w14:paraId="3ABCF6F0" w14:textId="77777777" w:rsidR="0014164F" w:rsidRDefault="0014164F" w:rsidP="00C232D7">
                        <w:r>
                          <w:rPr>
                            <w:rFonts w:ascii="Calibri" w:hAnsi="Calibri" w:cs="Calibri"/>
                            <w:color w:val="404040"/>
                            <w:sz w:val="18"/>
                          </w:rPr>
                          <w:t>0.96</w:t>
                        </w:r>
                      </w:p>
                    </w:txbxContent>
                  </v:textbox>
                </v:rect>
                <v:rect id="Rectangle 757086" o:spid="_x0000_s1170" style="position:absolute;left:29772;top:10480;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CHcgA&#10;AADfAAAADwAAAGRycy9kb3ducmV2LnhtbESPT4vCMBTE78J+h/AWvGm6C2qtRpH9gx61Curt0Tzb&#10;ss1LabK2+uk3C4LHYWZ+w8yXnanElRpXWlbwNoxAEGdWl5wrOOy/BzEI55E1VpZJwY0cLBcvvTkm&#10;2ra8o2vqcxEg7BJUUHhfJ1K6rCCDbmhr4uBdbGPQB9nkUjfYBrip5HsUjaXBksNCgTV9FJT9pL9G&#10;wTquV6eNvbd59XVeH7fH6ed+6pXqv3arGQhPnX+GH+2NVjAZTaJ4DP9/wheQi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kIdyAAAAN8AAAAPAAAAAAAAAAAAAAAAAJgCAABk&#10;cnMvZG93bnJldi54bWxQSwUGAAAAAAQABAD1AAAAjQMAAAAA&#10;" filled="f" stroked="f">
                  <v:textbox inset="0,0,0,0">
                    <w:txbxContent>
                      <w:p w14:paraId="6588A8AD" w14:textId="77777777" w:rsidR="0014164F" w:rsidRDefault="0014164F" w:rsidP="00C232D7">
                        <w:r>
                          <w:rPr>
                            <w:rFonts w:ascii="Calibri" w:hAnsi="Calibri" w:cs="Calibri"/>
                            <w:color w:val="404040"/>
                            <w:sz w:val="18"/>
                          </w:rPr>
                          <w:t>2.50</w:t>
                        </w:r>
                      </w:p>
                    </w:txbxContent>
                  </v:textbox>
                </v:rect>
                <v:rect id="Rectangle 757087" o:spid="_x0000_s1171" style="position:absolute;left:31799;top:10480;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rnhsgA&#10;AADfAAAADwAAAGRycy9kb3ducmV2LnhtbESPT2vCQBTE7wW/w/KE3urGgiamriJW0WP9A9rbI/tM&#10;gtm3Ibs10U/fLRQ8DjPzG2Y670wlbtS40rKC4SACQZxZXXKu4HhYvyUgnEfWWFkmBXdyMJ/1XqaY&#10;atvyjm57n4sAYZeigsL7OpXSZQUZdANbEwfvYhuDPsgml7rBNsBNJd+jaCwNlhwWCqxpWVB23f8Y&#10;BZukXpy39tHm1ep7c/o6TT4PE6/Ua79bfIDw1Pln+L+91QriURwlMfz9CV9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6ueGyAAAAN8AAAAPAAAAAAAAAAAAAAAAAJgCAABk&#10;cnMvZG93bnJldi54bWxQSwUGAAAAAAQABAD1AAAAjQMAAAAA&#10;" filled="f" stroked="f">
                  <v:textbox inset="0,0,0,0">
                    <w:txbxContent>
                      <w:p w14:paraId="331F4C1F" w14:textId="77777777" w:rsidR="0014164F" w:rsidRDefault="0014164F" w:rsidP="00C232D7">
                        <w:r>
                          <w:rPr>
                            <w:rFonts w:ascii="Calibri" w:hAnsi="Calibri" w:cs="Calibri"/>
                            <w:color w:val="404040"/>
                            <w:sz w:val="18"/>
                          </w:rPr>
                          <w:t>%</w:t>
                        </w:r>
                      </w:p>
                    </w:txbxContent>
                  </v:textbox>
                </v:rect>
                <v:rect id="Rectangle 757083" o:spid="_x0000_s1172" style="position:absolute;left:33238;top:866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HhhcgA&#10;AADfAAAADwAAAGRycy9kb3ducmV2LnhtbESPQWvCQBSE74L/YXmCN91oscbUVcS26NFqwfb2yL4m&#10;wezbkF1N9Nd3BcHjMDPfMPNla0pxodoVlhWMhhEI4tTqgjMF34fPQQzCeWSNpWVScCUHy0W3M8dE&#10;24a/6LL3mQgQdgkqyL2vEildmpNBN7QVcfD+bG3QB1lnUtfYBLgp5TiKXqXBgsNCjhWtc0pP+7NR&#10;sImr1c/W3pqs/PjdHHfH2fth5pXq99rVGwhPrX+GH+2tVjCdTKP4Be5/wheQi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0eGFyAAAAN8AAAAPAAAAAAAAAAAAAAAAAJgCAABk&#10;cnMvZG93bnJldi54bWxQSwUGAAAAAAQABAD1AAAAjQMAAAAA&#10;" filled="f" stroked="f">
                  <v:textbox inset="0,0,0,0">
                    <w:txbxContent>
                      <w:p w14:paraId="7981E24F" w14:textId="77777777" w:rsidR="0014164F" w:rsidRDefault="0014164F" w:rsidP="00C232D7">
                        <w:r>
                          <w:rPr>
                            <w:rFonts w:ascii="Calibri" w:hAnsi="Calibri" w:cs="Calibri"/>
                            <w:color w:val="404040"/>
                            <w:sz w:val="18"/>
                          </w:rPr>
                          <w:t>%</w:t>
                        </w:r>
                      </w:p>
                    </w:txbxContent>
                  </v:textbox>
                </v:rect>
                <v:rect id="Rectangle 757082" o:spid="_x0000_s1173" style="position:absolute;left:30632;top:8669;width:346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1EHsgA&#10;AADfAAAADwAAAGRycy9kb3ducmV2LnhtbESPT2vCQBTE74LfYXlCb7pRsMbUVUQteqx/wPb2yL4m&#10;wezbkN2a6Kd3hYLHYWZ+w8wWrSnFlWpXWFYwHEQgiFOrC84UnI6f/RiE88gaS8uk4EYOFvNuZ4aJ&#10;tg3v6XrwmQgQdgkqyL2vEildmpNBN7AVcfB+bW3QB1lnUtfYBLgp5SiK3qXBgsNCjhWtckovhz+j&#10;YBtXy++dvTdZufnZnr/O0/Vx6pV667XLDxCeWv8K/7d3WsFkPIniETz/hC8g5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nUQeyAAAAN8AAAAPAAAAAAAAAAAAAAAAAJgCAABk&#10;cnMvZG93bnJldi54bWxQSwUGAAAAAAQABAD1AAAAjQMAAAAA&#10;" filled="f" stroked="f">
                  <v:textbox inset="0,0,0,0">
                    <w:txbxContent>
                      <w:p w14:paraId="0863C6FC" w14:textId="77777777" w:rsidR="0014164F" w:rsidRDefault="0014164F" w:rsidP="00C232D7">
                        <w:r>
                          <w:rPr>
                            <w:rFonts w:ascii="Calibri" w:hAnsi="Calibri" w:cs="Calibri"/>
                            <w:color w:val="404040"/>
                            <w:sz w:val="18"/>
                          </w:rPr>
                          <w:t>16.59</w:t>
                        </w:r>
                      </w:p>
                    </w:txbxContent>
                  </v:textbox>
                </v:rect>
                <v:rect id="Rectangle 757076" o:spid="_x0000_s1174" style="position:absolute;left:32726;top:6858;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MyOsgA&#10;AADfAAAADwAAAGRycy9kb3ducmV2LnhtbESPT2vCQBTE70K/w/IKvemmhZoYXUXaih79B+rtkX0m&#10;odm3Ibua6KfvFgSPw8z8hpnMOlOJKzWutKzgfRCBIM6sLjlXsN8t+gkI55E1VpZJwY0czKYvvQmm&#10;2ra8oevW5yJA2KWooPC+TqV0WUEG3cDWxME728agD7LJpW6wDXBTyY8oGkqDJYeFAmv6Kij73V6M&#10;gmVSz48re2/z6ue0PKwPo+/dyCv19trNxyA8df4ZfrRXWkH8GUfxEP7/hC8gp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czI6yAAAAN8AAAAPAAAAAAAAAAAAAAAAAJgCAABk&#10;cnMvZG93bnJldi54bWxQSwUGAAAAAAQABAD1AAAAjQMAAAAA&#10;" filled="f" stroked="f">
                  <v:textbox inset="0,0,0,0">
                    <w:txbxContent>
                      <w:p w14:paraId="7291945C" w14:textId="77777777" w:rsidR="0014164F" w:rsidRDefault="0014164F" w:rsidP="00C232D7">
                        <w:r>
                          <w:rPr>
                            <w:rFonts w:ascii="Calibri" w:hAnsi="Calibri" w:cs="Calibri"/>
                            <w:color w:val="404040"/>
                            <w:sz w:val="18"/>
                          </w:rPr>
                          <w:t>1.57</w:t>
                        </w:r>
                      </w:p>
                    </w:txbxContent>
                  </v:textbox>
                </v:rect>
                <v:rect id="Rectangle 757077" o:spid="_x0000_s1175" style="position:absolute;left:34753;top:6858;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XocgA&#10;AADfAAAADwAAAGRycy9kb3ducmV2LnhtbESPT2vCQBTE7wW/w/IEb3VjwUajq4i16LH+AfX2yD6T&#10;YPZtyK4m7ad3hYLHYWZ+w0znrSnFnWpXWFYw6EcgiFOrC84UHPbf7yMQziNrLC2Tgl9yMJ913qaY&#10;aNvwlu47n4kAYZeggtz7KpHSpTkZdH1bEQfvYmuDPsg6k7rGJsBNKT+i6FMaLDgs5FjRMqf0ursZ&#10;BetRtTht7F+Tlavz+vhzHH/tx16pXrddTEB4av0r/N/eaAXxMI7iGJ5/wheQs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P5ehyAAAAN8AAAAPAAAAAAAAAAAAAAAAAJgCAABk&#10;cnMvZG93bnJldi54bWxQSwUGAAAAAAQABAD1AAAAjQMAAAAA&#10;" filled="f" stroked="f">
                  <v:textbox inset="0,0,0,0">
                    <w:txbxContent>
                      <w:p w14:paraId="45B1E29E" w14:textId="77777777" w:rsidR="0014164F" w:rsidRDefault="0014164F" w:rsidP="00C232D7">
                        <w:r>
                          <w:rPr>
                            <w:rFonts w:ascii="Calibri" w:hAnsi="Calibri" w:cs="Calibri"/>
                            <w:color w:val="404040"/>
                            <w:sz w:val="18"/>
                          </w:rPr>
                          <w:t>%</w:t>
                        </w:r>
                      </w:p>
                    </w:txbxContent>
                  </v:textbox>
                </v:rect>
                <v:rect id="Rectangle 757066" o:spid="_x0000_s1176" style="position:absolute;left:31869;top:4859;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qk58gA&#10;AADfAAAADwAAAGRycy9kb3ducmV2LnhtbESPT2vCQBTE7wW/w/KE3upGoTFGVxHbokf/FNTbI/tM&#10;gtm3Ibs1aT+9Kwg9DjPzG2a26EwlbtS40rKC4SACQZxZXXKu4Pvw9ZaAcB5ZY2WZFPySg8W89zLD&#10;VNuWd3Tb+1wECLsUFRTe16mULivIoBvYmjh4F9sY9EE2udQNtgFuKjmKolgaLDksFFjTqqDsuv8x&#10;CtZJvTxt7F+bV5/n9XF7nHwcJl6p1363nILw1Pn/8LO90QrG7+MojuHxJ3wBOb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qqTnyAAAAN8AAAAPAAAAAAAAAAAAAAAAAJgCAABk&#10;cnMvZG93bnJldi54bWxQSwUGAAAAAAQABAD1AAAAjQMAAAAA&#10;" filled="f" stroked="f">
                  <v:textbox inset="0,0,0,0">
                    <w:txbxContent>
                      <w:p w14:paraId="0D345AFC" w14:textId="77777777" w:rsidR="0014164F" w:rsidRDefault="0014164F" w:rsidP="00C232D7">
                        <w:r>
                          <w:rPr>
                            <w:rFonts w:ascii="Calibri" w:hAnsi="Calibri" w:cs="Calibri"/>
                            <w:color w:val="404040"/>
                            <w:sz w:val="18"/>
                          </w:rPr>
                          <w:t>4.07</w:t>
                        </w:r>
                      </w:p>
                    </w:txbxContent>
                  </v:textbox>
                </v:rect>
                <v:rect id="Rectangle 757067" o:spid="_x0000_s1177" style="position:absolute;left:33896;top:485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YBfMgA&#10;AADfAAAADwAAAGRycy9kb3ducmV2LnhtbESPT2vCQBTE70K/w/IKvemmhZoYXUXaih79B+rtkX0m&#10;odm3Ibua6KfvFgSPw8z8hpnMOlOJKzWutKzgfRCBIM6sLjlXsN8t+gkI55E1VpZJwY0czKYvvQmm&#10;2ra8oevW5yJA2KWooPC+TqV0WUEG3cDWxME728agD7LJpW6wDXBTyY8oGkqDJYeFAmv6Kij73V6M&#10;gmVSz48re2/z6ue0PKwPo+/dyCv19trNxyA8df4ZfrRXWkH8GUfDGP7/hC8gp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5gF8yAAAAN8AAAAPAAAAAAAAAAAAAAAAAJgCAABk&#10;cnMvZG93bnJldi54bWxQSwUGAAAAAAQABAD1AAAAjQMAAAAA&#10;" filled="f" stroked="f">
                  <v:textbox inset="0,0,0,0">
                    <w:txbxContent>
                      <w:p w14:paraId="23324D05" w14:textId="77777777" w:rsidR="0014164F" w:rsidRDefault="0014164F" w:rsidP="00C232D7">
                        <w:r>
                          <w:rPr>
                            <w:rFonts w:ascii="Calibri" w:hAnsi="Calibri" w:cs="Calibri"/>
                            <w:color w:val="404040"/>
                            <w:sz w:val="18"/>
                          </w:rPr>
                          <w:t>%</w:t>
                        </w:r>
                      </w:p>
                    </w:txbxContent>
                  </v:textbox>
                </v:rect>
                <v:rect id="Rectangle 757068" o:spid="_x0000_s1178" style="position:absolute;left:36822;top:5146;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mVDsQA&#10;AADfAAAADwAAAGRycy9kb3ducmV2LnhtbERPy4rCMBTdC/5DuAPuNB3BV8co4gNdah1wZndp7rRl&#10;mpvSRFv9erMQXB7Oe75sTSluVLvCsoLPQQSCOLW64EzB93nXn4JwHlljaZkU3MnBctHtzDHWtuET&#10;3RKfiRDCLkYFufdVLKVLczLoBrYiDtyfrQ36AOtM6hqbEG5KOYyisTRYcGjIsaJ1Tul/cjUK9tNq&#10;9XOwjyYrt7/7y/Ey25xnXqneR7v6AuGp9W/xy33QCiajSTQOg8Of8AXk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5lQ7EAAAA3wAAAA8AAAAAAAAAAAAAAAAAmAIAAGRycy9k&#10;b3ducmV2LnhtbFBLBQYAAAAABAAEAPUAAACJAwAAAAA=&#10;" filled="f" stroked="f">
                  <v:textbox inset="0,0,0,0">
                    <w:txbxContent>
                      <w:p w14:paraId="28C88F60" w14:textId="77777777" w:rsidR="0014164F" w:rsidRDefault="0014164F" w:rsidP="00C232D7">
                        <w:r>
                          <w:rPr>
                            <w:rFonts w:ascii="Calibri" w:hAnsi="Calibri" w:cs="Calibri"/>
                            <w:color w:val="404040"/>
                            <w:sz w:val="18"/>
                          </w:rPr>
                          <w:t>0.50</w:t>
                        </w:r>
                      </w:p>
                    </w:txbxContent>
                  </v:textbox>
                </v:rect>
                <v:rect id="Rectangle 757069" o:spid="_x0000_s1179" style="position:absolute;left:38849;top:5146;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UwlcgA&#10;AADfAAAADwAAAGRycy9kb3ducmV2LnhtbESPT2vCQBTE7wW/w/KE3upGoZpEVxHbokf/FNTbI/tM&#10;gtm3Ibs1aT+9Kwg9DjPzG2a26EwlbtS40rKC4SACQZxZXXKu4Pvw9RaDcB5ZY2WZFPySg8W89zLD&#10;VNuWd3Tb+1wECLsUFRTe16mULivIoBvYmjh4F9sY9EE2udQNtgFuKjmKorE0WHJYKLCmVUHZdf9j&#10;FKzjenna2L82rz7P6+P2mHwcEq/Ua79bTkF46vx/+NneaAWT90k0TuDxJ3wBOb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TCVyAAAAN8AAAAPAAAAAAAAAAAAAAAAAJgCAABk&#10;cnMvZG93bnJldi54bWxQSwUGAAAAAAQABAD1AAAAjQMAAAAA&#10;" filled="f" stroked="f">
                  <v:textbox inset="0,0,0,0">
                    <w:txbxContent>
                      <w:p w14:paraId="41DEAC41" w14:textId="77777777" w:rsidR="0014164F" w:rsidRDefault="0014164F" w:rsidP="00C232D7">
                        <w:r>
                          <w:rPr>
                            <w:rFonts w:ascii="Calibri" w:hAnsi="Calibri" w:cs="Calibri"/>
                            <w:color w:val="404040"/>
                            <w:sz w:val="18"/>
                          </w:rPr>
                          <w:t>%</w:t>
                        </w:r>
                      </w:p>
                    </w:txbxContent>
                  </v:textbox>
                </v:rect>
                <v:rect id="Rectangle 757078" o:spid="_x0000_s1180" style="position:absolute;left:40062;top:6477;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AD08QA&#10;AADfAAAADwAAAGRycy9kb3ducmV2LnhtbERPy4rCMBTdC/MP4Q6403QGtFqNIqOiS1/gzO7SXNsy&#10;zU1poq1+vVkILg/nPZ23phQ3ql1hWcFXPwJBnFpdcKbgdFz3RiCcR9ZYWiYFd3Iwn310ppho2/Ce&#10;bgefiRDCLkEFufdVIqVLczLo+rYiDtzF1gZ9gHUmdY1NCDel/I6ioTRYcGjIsaKfnNL/w9Uo2Iyq&#10;xe/WPpqsXP1tzrvzeHkce6W6n+1iAsJT69/il3urFcSDOIrD4PAnf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gA9PEAAAA3wAAAA8AAAAAAAAAAAAAAAAAmAIAAGRycy9k&#10;b3ducmV2LnhtbFBLBQYAAAAABAAEAPUAAACJAwAAAAA=&#10;" filled="f" stroked="f">
                  <v:textbox inset="0,0,0,0">
                    <w:txbxContent>
                      <w:p w14:paraId="3E03F583" w14:textId="77777777" w:rsidR="0014164F" w:rsidRDefault="0014164F" w:rsidP="00C232D7">
                        <w:r>
                          <w:rPr>
                            <w:rFonts w:ascii="Calibri" w:hAnsi="Calibri" w:cs="Calibri"/>
                            <w:color w:val="404040"/>
                            <w:sz w:val="18"/>
                          </w:rPr>
                          <w:t>0.00</w:t>
                        </w:r>
                      </w:p>
                    </w:txbxContent>
                  </v:textbox>
                </v:rect>
                <v:rect id="Rectangle 757079" o:spid="_x0000_s1181" style="position:absolute;left:42088;top:6477;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ymSMcA&#10;AADfAAAADwAAAGRycy9kb3ducmV2LnhtbESPQWvCQBSE7wX/w/IEb3VjocZEVxFb0WPVgvX2yL4m&#10;odm3Ibua6K93hYLHYWa+YWaLzlTiQo0rLSsYDSMQxJnVJecKvg/r1wkI55E1VpZJwZUcLOa9lxmm&#10;2ra8o8ve5yJA2KWooPC+TqV0WUEG3dDWxMH7tY1BH2STS91gG+Cmkm9RNJYGSw4LBda0Kij725+N&#10;gs2kXv5s7a3Nq8/T5vh1TD4OiVdq0O+WUxCeOv8M/7e3WkH8HkdxAo8/4Qv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spkjHAAAA3wAAAA8AAAAAAAAAAAAAAAAAmAIAAGRy&#10;cy9kb3ducmV2LnhtbFBLBQYAAAAABAAEAPUAAACMAwAAAAA=&#10;" filled="f" stroked="f">
                  <v:textbox inset="0,0,0,0">
                    <w:txbxContent>
                      <w:p w14:paraId="2DC4152E" w14:textId="77777777" w:rsidR="0014164F" w:rsidRDefault="0014164F" w:rsidP="00C232D7">
                        <w:r>
                          <w:rPr>
                            <w:rFonts w:ascii="Calibri" w:hAnsi="Calibri" w:cs="Calibri"/>
                            <w:color w:val="404040"/>
                            <w:sz w:val="18"/>
                          </w:rPr>
                          <w:t>%</w:t>
                        </w:r>
                      </w:p>
                    </w:txbxContent>
                  </v:textbox>
                </v:rect>
                <v:shape id="Shape 922142" o:spid="_x0000_s1182" style="position:absolute;left:46620;top:450;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TDxcgA&#10;AADfAAAADwAAAGRycy9kb3ducmV2LnhtbESPQWvCQBSE70L/w/IKvenGtLQaXUUEraCHqrl4e2Sf&#10;Sdrs25BdTfz3bkHwOMzMN8x03plKXKlxpWUFw0EEgjizuuRcQXpc9UcgnEfWWFkmBTdyMJ+99KaY&#10;aNvynq4Hn4sAYZeggsL7OpHSZQUZdANbEwfvbBuDPsgml7rBNsBNJeMo+pQGSw4LBda0LCj7O1yM&#10;gp9Tar/P6e/u+HXa1qvWtOt3lyv19totJiA8df4ZfrQ3WsE4jocfMfz/CV9Az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dMPFyAAAAN8AAAAPAAAAAAAAAAAAAAAAAJgCAABk&#10;cnMvZG93bnJldi54bWxQSwUGAAAAAAQABAD1AAAAjQMAAAAA&#10;" path="m,l50292,r,50292l,50292,,e" fillcolor="#5b9bd5" stroked="f" strokeweight="0">
                  <v:path arrowok="t" textboxrect="0,0,50292,50292"/>
                </v:shape>
                <v:shape id="Shape 40605" o:spid="_x0000_s1183" style="position:absolute;left:46620;top:450;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iCkMYA&#10;AADeAAAADwAAAGRycy9kb3ducmV2LnhtbESP0UoDMRRE3wv+Q7iCL8UmSg2yNi0iFNoqotUPuG6u&#10;u8HNzZqk3e3fG0HwcZiZM8xiNfpOHCkmF9jA1UyBIK6DddwYeH9bX96CSBnZYheYDJwowWp5Nllg&#10;ZcPAr3Tc50YUCKcKDbQ595WUqW7JY5qFnrh4nyF6zEXGRtqIQ4H7Tl4rpaVHx2WhxZ4eWqq/9gdv&#10;4GU3ldHpp9NWzt3Hs0569zh8G3NxPt7fgcg05v/wX3tjDcyVVjfwe6dc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iCkMYAAADeAAAADwAAAAAAAAAAAAAAAACYAgAAZHJz&#10;L2Rvd25yZXYueG1sUEsFBgAAAAAEAAQA9QAAAIsDAAAAAA==&#10;" path="m,50292r50292,l50292,,,,,50292xe" filled="f" strokecolor="white" strokeweight="1.56pt">
                  <v:path arrowok="t" textboxrect="0,0,50292,50292"/>
                </v:shape>
                <v:rect id="Rectangle 40606" o:spid="_x0000_s1184" style="position:absolute;left:47347;top:95;width:4729;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oeQMYA&#10;AADeAAAADwAAAGRycy9kb3ducmV2LnhtbESPQWvCQBSE7wX/w/KE3uqupQSNriJa0WOrgnp7ZJ9J&#10;MPs2ZFeT9td3C4LHYWa+YabzzlbiTo0vHWsYDhQI4syZknMNh/36bQTCB2SDlWPS8EMe5rPeyxRT&#10;41r+pvsu5CJC2KeooQihTqX0WUEW/cDVxNG7uMZiiLLJpWmwjXBbyXelEmmx5LhQYE3LgrLr7mY1&#10;bEb14rR1v21efZ43x6/jeLUfB61f+91iAiJQF57hR3trNHyoRCXwfyd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oeQMYAAADeAAAADwAAAAAAAAAAAAAAAACYAgAAZHJz&#10;L2Rvd25yZXYueG1sUEsFBgAAAAAEAAQA9QAAAIsDAAAAAA==&#10;" filled="f" stroked="f">
                  <v:textbox inset="0,0,0,0">
                    <w:txbxContent>
                      <w:p w14:paraId="3C36DE8F" w14:textId="77777777" w:rsidR="0014164F" w:rsidRDefault="0014164F" w:rsidP="00C232D7">
                        <w:r>
                          <w:rPr>
                            <w:rFonts w:ascii="Arial" w:eastAsia="Arial" w:hAnsi="Arial" w:cs="Arial"/>
                            <w:color w:val="595959"/>
                            <w:sz w:val="16"/>
                          </w:rPr>
                          <w:t>Plastika</w:t>
                        </w:r>
                      </w:p>
                    </w:txbxContent>
                  </v:textbox>
                </v:rect>
                <v:shape id="Shape 922143" o:spid="_x0000_s1185" style="position:absolute;left:46620;top:2493;width:503;height:502;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5wZcgA&#10;AADfAAAADwAAAGRycy9kb3ducmV2LnhtbESPQWvCQBSE7wX/w/KE3urGtEiNrlJSCoIgNFXE2zP7&#10;TILZtyG7avTXu4LQ4zAz3zDTeWdqcabWVZYVDAcRCOLc6ooLBeu/n7dPEM4ja6wtk4IrOZjPei9T&#10;TLS98C+dM1+IAGGXoILS+yaR0uUlGXQD2xAH72Bbgz7ItpC6xUuAm1rGUTSSBisOCyU2lJaUH7OT&#10;UZCe0t3Y3vh7s1yslvs427rRjZV67XdfExCeOv8ffrYXWsE4jocf7/D4E76AnN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vnBlyAAAAN8AAAAPAAAAAAAAAAAAAAAAAJgCAABk&#10;cnMvZG93bnJldi54bWxQSwUGAAAAAAQABAD1AAAAjQMAAAAA&#10;" path="m,l50292,r,50292l,50292,,e" fillcolor="#ed7d31" stroked="f" strokeweight="0">
                  <v:path arrowok="t" textboxrect="0,0,50292,50292"/>
                </v:shape>
                <v:shape id="Shape 40608" o:spid="_x0000_s1186" style="position:absolute;left:46620;top:2493;width:503;height:502;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ktDsMA&#10;AADeAAAADwAAAGRycy9kb3ducmV2LnhtbERPzUoDMRC+C75DmIIXsYmlBFmbliIIthVpqw8wbsbd&#10;4GayJrG7ffvmIHj8+P4Xq9F34kQxucAG7qcKBHEdrOPGwMf7890DiJSRLXaBycCZEqyW11cLrGwY&#10;+ECnY25ECeFUoYE2576SMtUteUzT0BMX7itEj7nA2EgbcSjhvpMzpbT06Lg0tNjTU0v19/HXG9hv&#10;b2V0+vW8kXP3+aaT3u6GH2NuJuP6EUSmMf+L/9wv1sBcaVX2ljvlCs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ktDsMAAADeAAAADwAAAAAAAAAAAAAAAACYAgAAZHJzL2Rv&#10;d25yZXYueG1sUEsFBgAAAAAEAAQA9QAAAIgDAAAAAA==&#10;" path="m,50292r50292,l50292,,,,,50292xe" filled="f" strokecolor="white" strokeweight="1.56pt">
                  <v:path arrowok="t" textboxrect="0,0,50292,50292"/>
                </v:shape>
                <v:rect id="Rectangle 40609" o:spid="_x0000_s1187" style="position:absolute;left:47347;top:2142;width:3690;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WKMsYA&#10;AADeAAAADwAAAGRycy9kb3ducmV2LnhtbESPT2vCQBTE7wW/w/IEb3W3ImKiq0hr0aP/wPb2yD6T&#10;0OzbkN2atJ/eFQSPw8z8hpkvO1uJKzW+dKzhbahAEGfOlJxrOB0/X6cgfEA2WDkmDX/kYbnovcwx&#10;Na7lPV0PIRcRwj5FDUUIdSqlzwqy6IeuJo7exTUWQ5RNLk2DbYTbSo6UmkiLJceFAmt6Lyj7Ofxa&#10;DZtpvfrauv82r9bfm/PunHwck6D1oN+tZiACdeEZfrS3RsNYTVQC9zvxCs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WKMsYAAADeAAAADwAAAAAAAAAAAAAAAACYAgAAZHJz&#10;L2Rvd25yZXYueG1sUEsFBgAAAAAEAAQA9QAAAIsDAAAAAA==&#10;" filled="f" stroked="f">
                  <v:textbox inset="0,0,0,0">
                    <w:txbxContent>
                      <w:p w14:paraId="793443C4" w14:textId="77777777" w:rsidR="0014164F" w:rsidRDefault="0014164F" w:rsidP="00C232D7">
                        <w:r>
                          <w:rPr>
                            <w:rFonts w:ascii="Arial" w:eastAsia="Arial" w:hAnsi="Arial" w:cs="Arial"/>
                            <w:color w:val="595959"/>
                            <w:sz w:val="16"/>
                          </w:rPr>
                          <w:t>Guma</w:t>
                        </w:r>
                      </w:p>
                    </w:txbxContent>
                  </v:textbox>
                </v:rect>
                <v:shape id="Shape 922144" o:spid="_x0000_s1188" style="position:absolute;left:46620;top:4535;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usYA&#10;AADfAAAADwAAAGRycy9kb3ducmV2LnhtbESPQWvCQBSE74X+h+UJvYhuDFLa6CqlReg1MVB6e2Sf&#10;2ZDs27C7avrvu4LgcZiZb5jtfrKDuJAPnWMFq2UGgrhxuuNWQX08LN5AhIiscXBMCv4owH73/LTF&#10;Qrsrl3SpYisShEOBCkyMYyFlaAxZDEs3Eifv5LzFmKRvpfZ4TXA7yDzLXqXFjtOCwZE+DTV9dbYK&#10;ojH1V0v9vHbz86H6LUvf/0xKvcymjw2ISFN8hO/tb63gPc9X6zXc/qQvIH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VusYAAADfAAAADwAAAAAAAAAAAAAAAACYAgAAZHJz&#10;L2Rvd25yZXYueG1sUEsFBgAAAAAEAAQA9QAAAIsDAAAAAA==&#10;" path="m,l50292,r,50292l,50292,,e" fillcolor="#a5a5a5" stroked="f" strokeweight="0">
                  <v:path arrowok="t" textboxrect="0,0,50292,50292"/>
                </v:shape>
                <v:shape id="Shape 40611" o:spid="_x0000_s1189" style="position:absolute;left:46620;top:4535;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STscA&#10;AADeAAAADwAAAGRycy9kb3ducmV2LnhtbESP3UoDMRSE7wXfIZyCN2KzKyXI2rQUQeiPFK0+wHFz&#10;3A1uTtYk7W7f3hQEL4eZ+YaZL0fXiROFaD1rKKcFCOLaG8uNho/357sHEDEhG+w8k4YzRVgurq/m&#10;WBk/8BudDqkRGcKxQg1tSn0lZaxbchinvifO3pcPDlOWoZEm4JDhrpP3RaGkQ8t5ocWenlqqvw9H&#10;p+F1eyuDVS/njZzZz72KarsbfrS+mYyrRxCJxvQf/muvjYZZocoSLnfyFZ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7KEk7HAAAA3gAAAA8AAAAAAAAAAAAAAAAAmAIAAGRy&#10;cy9kb3ducmV2LnhtbFBLBQYAAAAABAAEAPUAAACMAwAAAAA=&#10;" path="m,50292r50292,l50292,,,,,50292xe" filled="f" strokecolor="white" strokeweight="1.56pt">
                  <v:path arrowok="t" textboxrect="0,0,50292,50292"/>
                </v:shape>
                <v:rect id="Rectangle 40612" o:spid="_x0000_s1190" style="position:absolute;left:47347;top:4365;width:4282;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iOnscA&#10;AADeAAAADwAAAGRycy9kb3ducmV2LnhtbESPQWvCQBSE70L/w/KE3nRjKGKiq0hbicc2FtTbI/tM&#10;gtm3IbuatL++WxB6HGbmG2a1GUwj7tS52rKC2TQCQVxYXXOp4OuwmyxAOI+ssbFMCr7JwWb9NFph&#10;qm3Pn3TPfSkChF2KCirv21RKV1Rk0E1tSxy8i+0M+iC7UuoO+wA3jYyjaC4N1hwWKmzptaLimt+M&#10;gmzRbk97+9OXzfs5O34ck7dD4pV6Hg/bJQhPg/8PP9p7reAlms9i+LsTr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74jp7HAAAA3gAAAA8AAAAAAAAAAAAAAAAAmAIAAGRy&#10;cy9kb3ducmV2LnhtbFBLBQYAAAAABAAEAPUAAACMAwAAAAA=&#10;" filled="f" stroked="f">
                  <v:textbox inset="0,0,0,0">
                    <w:txbxContent>
                      <w:p w14:paraId="7EDB73CE" w14:textId="77777777" w:rsidR="0014164F" w:rsidRDefault="0014164F" w:rsidP="00C232D7">
                        <w:r>
                          <w:rPr>
                            <w:rFonts w:ascii="Arial" w:eastAsia="Arial" w:hAnsi="Arial" w:cs="Arial"/>
                            <w:color w:val="595959"/>
                            <w:sz w:val="16"/>
                          </w:rPr>
                          <w:t>Odjeća</w:t>
                        </w:r>
                      </w:p>
                    </w:txbxContent>
                  </v:textbox>
                </v:rect>
                <v:shape id="Shape 922145" o:spid="_x0000_s1191" style="position:absolute;left:46620;top:6577;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FXkcgA&#10;AADfAAAADwAAAGRycy9kb3ducmV2LnhtbESPQWvCQBSE74X+h+UVvNWNQUsbXUVEseChagq9PrLP&#10;JJh9G7JrXPvr3ULB4zAz3zCzRTCN6KlztWUFo2ECgriwuuZSwXe+eX0H4TyyxsYyKbiRg8X8+WmG&#10;mbZXPlB/9KWIEHYZKqi8bzMpXVGRQTe0LXH0TrYz6KPsSqk7vEa4aWSaJG/SYM1xocKWVhUV5+PF&#10;KNjzzzlv1l+77Srsf/u8D5OyDUoNXsJyCsJT8I/wf/tTK/hI09F4An9/4heQ8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8MVeRyAAAAN8AAAAPAAAAAAAAAAAAAAAAAJgCAABk&#10;cnMvZG93bnJldi54bWxQSwUGAAAAAAQABAD1AAAAjQMAAAAA&#10;" path="m,l50292,r,51816l,51816,,e" fillcolor="#ffc000" stroked="f" strokeweight="0">
                  <v:path arrowok="t" textboxrect="0,0,50292,51816"/>
                </v:shape>
                <v:shape id="Shape 40614" o:spid="_x0000_s1192" style="position:absolute;left:46620;top:6577;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oDqMQA&#10;AADeAAAADwAAAGRycy9kb3ducmV2LnhtbESP0WoCMRRE3wv+Q7hC32pWEVlWo4jaovhSVz/gsrlu&#10;Fjc3yyZq+vemUOjjMDNnmMUq2lY8qPeNYwXjUQaCuHK64VrB5fz5kYPwAVlj65gU/JCH1XLwtsBC&#10;uyef6FGGWiQI+wIVmBC6QkpfGbLoR64jTt7V9RZDkn0tdY/PBLetnGTZTFpsOC0Y7GhjqLqVd6tg&#10;H3P5vW7K4/bLo8FdHo8HjEq9D+N6DiJQDP/hv/ZeK5hms/EUfu+kKy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6A6jEAAAA3gAAAA8AAAAAAAAAAAAAAAAAmAIAAGRycy9k&#10;b3ducmV2LnhtbFBLBQYAAAAABAAEAPUAAACJAwAAAAA=&#10;" path="m,51816r50292,l50292,,,,,51816xe" filled="f" strokecolor="white" strokeweight="1.56pt">
                  <v:path arrowok="t" textboxrect="0,0,50292,51816"/>
                </v:shape>
                <v:rect id="Rectangle 40615" o:spid="_x0000_s1193" style="position:absolute;left:47347;top:6231;width:727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EW6sgA&#10;AADeAAAADwAAAGRycy9kb3ducmV2LnhtbESPQWvCQBSE7wX/w/IKvdWNxUqMriLWYo41EWxvj+wz&#10;Cc2+DdmtSfvrXaHgcZiZb5jlejCNuFDnassKJuMIBHFhdc2lgmP+/hyDcB5ZY2OZFPySg/Vq9LDE&#10;RNueD3TJfCkChF2CCirv20RKV1Rk0I1tSxy8s+0M+iC7UuoO+wA3jXyJopk0WHNYqLClbUXFd/Zj&#10;FOzjdvOZ2r++bHZf+9PHaf6Wz71ST4/DZgHC0+Dv4f92qhVMo9nkFW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ERbqyAAAAN4AAAAPAAAAAAAAAAAAAAAAAJgCAABk&#10;cnMvZG93bnJldi54bWxQSwUGAAAAAAQABAD1AAAAjQMAAAAA&#10;" filled="f" stroked="f">
                  <v:textbox inset="0,0,0,0">
                    <w:txbxContent>
                      <w:p w14:paraId="67CB4546" w14:textId="77777777" w:rsidR="0014164F" w:rsidRDefault="0014164F" w:rsidP="00C232D7">
                        <w:r>
                          <w:rPr>
                            <w:rFonts w:ascii="Arial" w:eastAsia="Arial" w:hAnsi="Arial" w:cs="Arial"/>
                            <w:color w:val="595959"/>
                            <w:sz w:val="16"/>
                          </w:rPr>
                          <w:t>Papir/karton</w:t>
                        </w:r>
                      </w:p>
                    </w:txbxContent>
                  </v:textbox>
                </v:rect>
                <v:shape id="Shape 922146" o:spid="_x0000_s1194" style="position:absolute;left:46620;top:861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6Vq8UA&#10;AADfAAAADwAAAGRycy9kb3ducmV2LnhtbESPQWsCMRSE7wX/Q3iCt5p1UamrUaRLxVupSs+PzXOz&#10;uHlZkqjrvzdCocdhZr5hVpvetuJGPjSOFUzGGQjiyumGawWn49f7B4gQkTW2jknBgwJs1oO3FRba&#10;3fmHbodYiwThUKACE2NXSBkqQxbD2HXEyTs7bzEm6WupPd4T3LYyz7K5tNhwWjDY0aeh6nK4WgW1&#10;vy52uTv62Xc5lUaX9nEqf5UaDfvtEkSkPv6H/9p7rWCR55PpHF5/0heQ6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npWrxQAAAN8AAAAPAAAAAAAAAAAAAAAAAJgCAABkcnMv&#10;ZG93bnJldi54bWxQSwUGAAAAAAQABAD1AAAAigMAAAAA&#10;" path="m,l50292,r,51816l,51816,,e" fillcolor="#4472c4" stroked="f" strokeweight="0">
                  <v:path arrowok="t" textboxrect="0,0,50292,51816"/>
                </v:shape>
                <v:shape id="Shape 40617" o:spid="_x0000_s1195" style="position:absolute;left:46620;top:861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d38QA&#10;AADeAAAADwAAAGRycy9kb3ducmV2LnhtbESP0WoCMRRE34X+Q7gF3zSriF22RhG1YvFF137AZXPd&#10;LG5ulk2q8e+bQqGPw8ycYRaraFtxp943jhVMxhkI4srphmsFX5ePUQ7CB2SNrWNS8CQPq+XLYIGF&#10;dg8+070MtUgQ9gUqMCF0hZS+MmTRj11HnLyr6y2GJPta6h4fCW5bOc2yubTYcFow2NHGUHUrv62C&#10;Q8zlad2Ux+3eo8FdHo+fGJUavsb1O4hAMfyH/9oHrWCWzSdv8HsnX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ond/EAAAA3gAAAA8AAAAAAAAAAAAAAAAAmAIAAGRycy9k&#10;b3ducmV2LnhtbFBLBQYAAAAABAAEAPUAAACJAwAAAAA=&#10;" path="m,51816r50292,l50292,,,,,51816xe" filled="f" strokecolor="white" strokeweight="1.56pt">
                  <v:path arrowok="t" textboxrect="0,0,50292,51816"/>
                </v:shape>
                <v:rect id="Rectangle 40618" o:spid="_x0000_s1196" style="position:absolute;left:47347;top:8453;width:9018;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C5dMMA&#10;AADeAAAADwAAAGRycy9kb3ducmV2LnhtbERPy4rCMBTdC/5DuII7TRUR7TQV8YEuZ1TQ2V2aO22Z&#10;5qY00Va/frIYcHk472TVmUo8qHGlZQWTcQSCOLO65FzB5bwfLUA4j6yxskwKnuRglfZ7CcbatvxF&#10;j5PPRQhhF6OCwvs6ltJlBRl0Y1sTB+7HNgZ9gE0udYNtCDeVnEbRXBosOTQUWNOmoOz3dDcKDot6&#10;fTvaV5tXu+/D9fO63J6XXqnhoFt/gPDU+bf4333UCmbRfBL2hjvhCsj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C5dMMAAADeAAAADwAAAAAAAAAAAAAAAACYAgAAZHJzL2Rv&#10;d25yZXYueG1sUEsFBgAAAAAEAAQA9QAAAIgDAAAAAA==&#10;" filled="f" stroked="f">
                  <v:textbox inset="0,0,0,0">
                    <w:txbxContent>
                      <w:p w14:paraId="76170473" w14:textId="77777777" w:rsidR="0014164F" w:rsidRDefault="0014164F" w:rsidP="00C232D7">
                        <w:r>
                          <w:rPr>
                            <w:rFonts w:ascii="Arial" w:eastAsia="Arial" w:hAnsi="Arial" w:cs="Arial"/>
                            <w:color w:val="595959"/>
                            <w:sz w:val="16"/>
                          </w:rPr>
                          <w:t>Obrađeno drvo</w:t>
                        </w:r>
                      </w:p>
                    </w:txbxContent>
                  </v:textbox>
                </v:rect>
                <v:shape id="Shape 922147" o:spid="_x0000_s1197" style="position:absolute;left:46620;top:10661;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r/scA&#10;AADfAAAADwAAAGRycy9kb3ducmV2LnhtbESPQWsCMRSE74X+h/AK3mrWIFpXo5SiIt609tDbY/Pc&#10;Xbp52SbR3f77RhA8DjPzDbNY9bYRV/KhdqxhNMxAEBfO1FxqOH1uXt9AhIhssHFMGv4owGr5/LTA&#10;3LiOD3Q9xlIkCIccNVQxtrmUoajIYhi6ljh5Z+ctxiR9KY3HLsFtI1WWTaTFmtNChS19VFT8HC9W&#10;w277uz59z7BTmy9bT/dbO+m80nrw0r/PQUTq4yN8b++MhplSo/EUbn/SF5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Y6/7HAAAA3wAAAA8AAAAAAAAAAAAAAAAAmAIAAGRy&#10;cy9kb3ducmV2LnhtbFBLBQYAAAAABAAEAPUAAACMAwAAAAA=&#10;" path="m,l50292,r,51816l,51816,,e" fillcolor="#70ad47" stroked="f" strokeweight="0">
                  <v:path arrowok="t" textboxrect="0,0,50292,51816"/>
                </v:shape>
                <v:shape id="Shape 40620" o:spid="_x0000_s1198" style="position:absolute;left:46620;top:10661;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3PFsIA&#10;AADeAAAADwAAAGRycy9kb3ducmV2LnhtbESPy4rCMBSG9wO+QziCuzFVRErHKDJecHCj1Qc4NGea&#10;Ms1JaaLGtzeLAZc//41vsYq2FXfqfeNYwWScgSCunG64VnC97D5zED4ga2wdk4IneVgtBx8LLLR7&#10;8JnuZahFGmFfoAITQldI6StDFv3YdcTJ+3W9xZBkX0vd4yON21ZOs2wuLTacHgx29G2o+itvVsEh&#10;5vK0bsrjZu/R4DaPxx+MSo2Gcf0FIlAM7/B/+6AVzLL5NAEknIQC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bc8WwgAAAN4AAAAPAAAAAAAAAAAAAAAAAJgCAABkcnMvZG93&#10;bnJldi54bWxQSwUGAAAAAAQABAD1AAAAhwMAAAAA&#10;" path="m,51816r50292,l50292,,,,,51816xe" filled="f" strokecolor="white" strokeweight="1.56pt">
                  <v:path arrowok="t" textboxrect="0,0,50292,51816"/>
                </v:shape>
                <v:rect id="Rectangle 40621" o:spid="_x0000_s1199" style="position:absolute;left:47347;top:10315;width:3301;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baVMcA&#10;AADeAAAADwAAAGRycy9kb3ducmV2LnhtbESPQWvCQBSE70L/w/KE3nRjKGKiq0hbicc2FtTbI/tM&#10;gtm3IbuatL++WxB6HGbmG2a1GUwj7tS52rKC2TQCQVxYXXOp4OuwmyxAOI+ssbFMCr7JwWb9NFph&#10;qm3Pn3TPfSkChF2KCirv21RKV1Rk0E1tSxy8i+0M+iC7UuoO+wA3jYyjaC4N1hwWKmzptaLimt+M&#10;gmzRbk97+9OXzfs5O34ck7dD4pV6Hg/bJQhPg/8PP9p7reAlmscz+LsTr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G2lTHAAAA3gAAAA8AAAAAAAAAAAAAAAAAmAIAAGRy&#10;cy9kb3ducmV2LnhtbFBLBQYAAAAABAAEAPUAAACMAwAAAAA=&#10;" filled="f" stroked="f">
                  <v:textbox inset="0,0,0,0">
                    <w:txbxContent>
                      <w:p w14:paraId="22B9D029" w14:textId="77777777" w:rsidR="0014164F" w:rsidRDefault="0014164F" w:rsidP="00C232D7">
                        <w:r>
                          <w:rPr>
                            <w:rFonts w:ascii="Arial" w:eastAsia="Arial" w:hAnsi="Arial" w:cs="Arial"/>
                            <w:color w:val="595959"/>
                            <w:sz w:val="16"/>
                          </w:rPr>
                          <w:t>Metal</w:t>
                        </w:r>
                      </w:p>
                    </w:txbxContent>
                  </v:textbox>
                </v:rect>
                <v:shape id="Shape 922148" o:spid="_x0000_s1200" style="position:absolute;left:46620;top:12703;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9p2MIA&#10;AADfAAAADwAAAGRycy9kb3ducmV2LnhtbERPTWsCMRC9C/6HMAVvNesi1m6NImKLFw+u7X3YTDfB&#10;zWRJUl3/fXMQPD7e92ozuE5cKUTrWcFsWoAgbry23Cr4Pn++LkHEhKyx80wK7hRhsx6PVlhpf+MT&#10;XevUihzCsUIFJqW+kjI2hhzGqe+JM/frg8OUYWilDnjL4a6TZVEspEPLucFgTztDzaX+cwqsDnb+&#10;Zeo37u2x3C5+9vJi90pNXobtB4hEQ3qKH+6DVvBelrN5Hpz/5C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H2nYwgAAAN8AAAAPAAAAAAAAAAAAAAAAAJgCAABkcnMvZG93&#10;bnJldi54bWxQSwUGAAAAAAQABAD1AAAAhwMAAAAA&#10;" path="m,l50292,r,51816l,51816,,e" fillcolor="#255e91" stroked="f" strokeweight="0">
                  <v:path arrowok="t" textboxrect="0,0,50292,51816"/>
                </v:shape>
                <v:shape id="Shape 40623" o:spid="_x0000_s1201" style="position:absolute;left:46620;top:12703;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9RYcQA&#10;AADeAAAADwAAAGRycy9kb3ducmV2LnhtbESP3YrCMBSE7wXfIZwF7zRdXaR0jSLuD4o3WvcBDs2x&#10;KTYnpclq9u03guDlMDPfMItVtK24Uu8bxwpeJxkI4srphmsFP6evcQ7CB2SNrWNS8EceVsvhYIGF&#10;djc+0rUMtUgQ9gUqMCF0hZS+MmTRT1xHnLyz6y2GJPta6h5vCW5bOc2yubTYcFow2NHGUHUpf62C&#10;bczlYd2U+49vjwY/87jfYVRq9BLX7yACxfAMP9pbreAtm09ncL+Tr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UWHEAAAA3gAAAA8AAAAAAAAAAAAAAAAAmAIAAGRycy9k&#10;b3ducmV2LnhtbFBLBQYAAAAABAAEAPUAAACJAwAAAAA=&#10;" path="m,51816r50292,l50292,,,,,51816xe" filled="f" strokecolor="white" strokeweight="1.56pt">
                  <v:path arrowok="t" textboxrect="0,0,50292,51816"/>
                </v:shape>
                <v:rect id="Rectangle 40624" o:spid="_x0000_s1202" style="position:absolute;left:47347;top:12360;width:375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F5zMcA&#10;AADeAAAADwAAAGRycy9kb3ducmV2LnhtbESPQWvCQBSE74X+h+UVvNWNEoJGV5G2khxbFdTbI/tM&#10;gtm3Ibs1aX99tyB4HGbmG2a5HkwjbtS52rKCyTgCQVxYXXOp4LDfvs5AOI+ssbFMCn7IwXr1/LTE&#10;VNuev+i286UIEHYpKqi8b1MpXVGRQTe2LXHwLrYz6IPsSqk77APcNHIaRYk0WHNYqLClt4qK6+7b&#10;KMhm7eaU29++bD7O2fHzOH/fz71So5dhswDhafCP8L2dawVxlExj+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xeczHAAAA3gAAAA8AAAAAAAAAAAAAAAAAmAIAAGRy&#10;cy9kb3ducmV2LnhtbFBLBQYAAAAABAAEAPUAAACMAwAAAAA=&#10;" filled="f" stroked="f">
                  <v:textbox inset="0,0,0,0">
                    <w:txbxContent>
                      <w:p w14:paraId="5F6696F5" w14:textId="77777777" w:rsidR="0014164F" w:rsidRDefault="0014164F" w:rsidP="00C232D7">
                        <w:r>
                          <w:rPr>
                            <w:rFonts w:ascii="Arial" w:eastAsia="Arial" w:hAnsi="Arial" w:cs="Arial"/>
                            <w:color w:val="595959"/>
                            <w:sz w:val="16"/>
                          </w:rPr>
                          <w:t>Staklo</w:t>
                        </w:r>
                      </w:p>
                    </w:txbxContent>
                  </v:textbox>
                </v:rect>
                <v:shape id="Shape 922149" o:spid="_x0000_s1203" style="position:absolute;left:46620;top:14745;width:503;height:519;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KG5cUA&#10;AADfAAAADwAAAGRycy9kb3ducmV2LnhtbESP0WoCMRRE3wv9h3ALvtWsQaSuRiltBX0o1W0/4JJc&#10;N4ubm2UTdf17Uyj0cZiZM8xyPfhWXKiPTWANk3EBgtgE23Ct4ed78/wCIiZki21g0nCjCOvV48MS&#10;SxuufKBLlWqRIRxL1OBS6kopo3HkMY5DR5y9Y+g9piz7WtoerxnuW6mKYiY9NpwXHHb05sicqrPX&#10;cDQqmB3teec+q49o379U2kutR0/D6wJEoiH9h//aW6thrtRkOoffP/kL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koblxQAAAN8AAAAPAAAAAAAAAAAAAAAAAJgCAABkcnMv&#10;ZG93bnJldi54bWxQSwUGAAAAAAQABAD1AAAAigMAAAAA&#10;" path="m,l50292,r,51816l,51816,,e" fillcolor="#9e480e" stroked="f" strokeweight="0">
                  <v:path arrowok="t" textboxrect="0,0,50292,51816"/>
                </v:shape>
                <v:shape id="Shape 40626" o:spid="_x0000_s1204" style="position:absolute;left:46620;top:14745;width:503;height:519;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jy+cQA&#10;AADeAAAADwAAAGRycy9kb3ducmV2LnhtbESPUWvCMBSF3wf+h3AF32aqSCnVKKJOHL5snT/g0lyb&#10;YnNTmkzjv18Ggz0ezjnf4aw20XbiToNvHSuYTTMQxLXTLTcKLl9vrwUIH5A1do5JwZM8bNajlxWW&#10;2j34k+5VaESCsC9RgQmhL6X0tSGLfup64uRd3WAxJDk0Ug/4SHDbyXmW5dJiy2nBYE87Q/Wt+rYK&#10;TrGQH9u2Ou+PHg0einh+x6jUZBy3SxCBYvgP/7VPWsEiy+c5/N5JV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I8vnEAAAA3gAAAA8AAAAAAAAAAAAAAAAAmAIAAGRycy9k&#10;b3ducmV2LnhtbFBLBQYAAAAABAAEAPUAAACJAwAAAAA=&#10;" path="m,51816r50292,l50292,,,,,51816xe" filled="f" strokecolor="white" strokeweight="1.56pt">
                  <v:path arrowok="t" textboxrect="0,0,50292,51816"/>
                </v:shape>
                <v:rect id="Rectangle 40627" o:spid="_x0000_s1205" style="position:absolute;left:47347;top:14402;width:571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Pnu8cA&#10;AADeAAAADwAAAGRycy9kb3ducmV2LnhtbESPS4vCQBCE74L/YWjBm05WFh/RUURX9Ohjwd1bk2mT&#10;sJmekBlN9Nc7grDHoqq+omaLxhTiRpXLLSv46EcgiBOrc04VfJ82vTEI55E1FpZJwZ0cLObt1gxj&#10;bWs+0O3oUxEg7GJUkHlfxlK6JCODrm9L4uBdbGXQB1mlUldYB7gp5CCKhtJgzmEhw5JWGSV/x6tR&#10;sB2Xy5+dfdRp8fW7Pe/Pk/Vp4pXqdprlFISnxv+H3+2dVvAZDQcj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j57vHAAAA3gAAAA8AAAAAAAAAAAAAAAAAmAIAAGRy&#10;cy9kb3ducmV2LnhtbFBLBQYAAAAABAAEAPUAAACMAwAAAAA=&#10;" filled="f" stroked="f">
                  <v:textbox inset="0,0,0,0">
                    <w:txbxContent>
                      <w:p w14:paraId="697B9C3D" w14:textId="77777777" w:rsidR="0014164F" w:rsidRDefault="0014164F" w:rsidP="00C232D7">
                        <w:r>
                          <w:rPr>
                            <w:rFonts w:ascii="Arial" w:eastAsia="Arial" w:hAnsi="Arial" w:cs="Arial"/>
                            <w:color w:val="595959"/>
                            <w:sz w:val="16"/>
                          </w:rPr>
                          <w:t>Keramika</w:t>
                        </w:r>
                      </w:p>
                    </w:txbxContent>
                  </v:textbox>
                </v:rect>
                <v:shape id="Shape 922150" o:spid="_x0000_s1206" style="position:absolute;left:46620;top:16788;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SOL8YA&#10;AADfAAAADwAAAGRycy9kb3ducmV2LnhtbESP32rCMBTG7we+QziCdzO1MtHOKCrIBs6L6h7grDmm&#10;Zc1JbaJmb79cDHb58f3jt1xH24o79b5xrGAyzkAQV043bBR8nvfPcxA+IGtsHZOCH/KwXg2ellho&#10;9+CS7qdgRBphX6CCOoSukNJXNVn0Y9cRJ+/ieoshyd5I3eMjjdtW5lk2kxYbTg81drSrqfo+3ayC&#10;HR4Ol7ebufL2a/YRS1sepyYqNRrGzSuIQDH8h//a71rBIs8nL4kg8SQW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SOL8YAAADfAAAADwAAAAAAAAAAAAAAAACYAgAAZHJz&#10;L2Rvd25yZXYueG1sUEsFBgAAAAAEAAQA9QAAAIsDAAAAAA==&#10;" path="m,l50292,r,51816l,51816,,e" fillcolor="#636363" stroked="f" strokeweight="0">
                  <v:path arrowok="t" textboxrect="0,0,50292,51816"/>
                </v:shape>
                <v:shape id="Shape 40629" o:spid="_x0000_s1207" style="position:absolute;left:46620;top:16788;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dmi8QA&#10;AADeAAAADwAAAGRycy9kb3ducmV2LnhtbESP0WoCMRRE3wv+Q7hC32pWEdmuRhGtxeKLXf2Ay+a6&#10;WdzcLJtU49+bQqGPw8ycYRaraFtxo943jhWMRxkI4srphmsF59PuLQfhA7LG1jEpeJCH1XLwssBC&#10;uzt/060MtUgQ9gUqMCF0hZS+MmTRj1xHnLyL6y2GJPta6h7vCW5bOcmymbTYcFow2NHGUHUtf6yC&#10;fczlcd2Uh+2nR4MfeTx8YVTqdRjXcxCBYvgP/7X3WsE0m03e4fdOug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XZovEAAAA3gAAAA8AAAAAAAAAAAAAAAAAmAIAAGRycy9k&#10;b3ducmV2LnhtbFBLBQYAAAAABAAEAPUAAACJAwAAAAA=&#10;" path="m,51816r50292,l50292,,,,,51816xe" filled="f" strokecolor="white" strokeweight="1.56pt">
                  <v:path arrowok="t" textboxrect="0,0,50292,51816"/>
                </v:shape>
                <v:rect id="Rectangle 40630" o:spid="_x0000_s1208" style="position:absolute;left:47347;top:16444;width:908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pEsUA&#10;AADeAAAADwAAAGRycy9kb3ducmV2LnhtbESPzYrCMBSF94LvEK7gTlNHEe0YRUZFl1oFZ3aX5k5b&#10;bG5KE22dp58sBJeH88e3WLWmFA+qXWFZwWgYgSBOrS44U3A57wYzEM4jaywtk4InOVgtu50Fxto2&#10;fKJH4jMRRtjFqCD3voqldGlOBt3QVsTB+7W1QR9knUldYxPGTSk/omgqDRYcHnKs6Cun9JbcjYL9&#10;rFp/H+xfk5Xbn/31eJ1vznOvVL/Xrj9BeGr9O/xqH7SCSTQdB4CAE1B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0+kSxQAAAN4AAAAPAAAAAAAAAAAAAAAAAJgCAABkcnMv&#10;ZG93bnJldi54bWxQSwUGAAAAAAQABAD1AAAAigMAAAAA&#10;" filled="f" stroked="f">
                  <v:textbox inset="0,0,0,0">
                    <w:txbxContent>
                      <w:p w14:paraId="2F0B8742" w14:textId="77777777" w:rsidR="0014164F" w:rsidRDefault="0014164F" w:rsidP="00C232D7">
                        <w:r>
                          <w:rPr>
                            <w:rFonts w:ascii="Arial" w:eastAsia="Arial" w:hAnsi="Arial" w:cs="Arial"/>
                            <w:color w:val="595959"/>
                            <w:sz w:val="16"/>
                          </w:rPr>
                          <w:t>Sanitarni otpad</w:t>
                        </w:r>
                      </w:p>
                    </w:txbxContent>
                  </v:textbox>
                </v:rect>
                <v:shape id="Shape 922151" o:spid="_x0000_s1209" style="position:absolute;left:46620;top:18830;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KAuscA&#10;AADfAAAADwAAAGRycy9kb3ducmV2LnhtbESPQWvCQBSE74L/YXlCL1I3CVU0ZiMiWHtqqRZyfWRf&#10;k9Ds25BdY/z33ULB4zAz3zDZbjStGKh3jWUF8SICQVxa3XCl4OtyfF6DcB5ZY2uZFNzJwS6fTjJM&#10;tb3xJw1nX4kAYZeigtr7LpXSlTUZdAvbEQfv2/YGfZB9JXWPtwA3rUyiaCUNNhwWauzoUFP5c74a&#10;BbY4Du3r9UOu0VS+KNz7y8nOlXqajfstCE+jf4T/229awSZJ4mUMf3/CF5D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SgLrHAAAA3wAAAA8AAAAAAAAAAAAAAAAAmAIAAGRy&#10;cy9kb3ducmV2LnhtbFBLBQYAAAAABAAEAPUAAACMAwAAAAA=&#10;" path="m,l50292,r,51816l,51816,,e" fillcolor="#997300" stroked="f" strokeweight="0">
                  <v:path arrowok="t" textboxrect="0,0,50292,51816"/>
                </v:shape>
                <v:shape id="Shape 40632" o:spid="_x0000_s1210" style="position:absolute;left:46620;top:18830;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piJ8QA&#10;AADeAAAADwAAAGRycy9kb3ducmV2LnhtbESP3YrCMBSE7wXfIZwF7zRdXaR0jSLuD4o3WvcBDs2x&#10;KTYnpclq9u03guDlMDPfMItVtK24Uu8bxwpeJxkI4srphmsFP6evcQ7CB2SNrWNS8EceVsvhYIGF&#10;djc+0rUMtUgQ9gUqMCF0hZS+MmTRT1xHnLyz6y2GJPta6h5vCW5bOc2yubTYcFow2NHGUHUpf62C&#10;bczlYd2U+49vjwY/87jfYVRq9BLX7yACxfAMP9pbreAtm8+mcL+Tr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qYifEAAAA3gAAAA8AAAAAAAAAAAAAAAAAmAIAAGRycy9k&#10;b3ducmV2LnhtbFBLBQYAAAAABAAEAPUAAACJAwAAAAA=&#10;" path="m,51816r50292,l50292,,,,,51816xe" filled="f" strokecolor="white" strokeweight="1.56pt">
                  <v:path arrowok="t" textboxrect="0,0,50292,51816"/>
                </v:shape>
                <v:rect id="Rectangle 40633" o:spid="_x0000_s1211" style="position:absolute;left:47347;top:18490;width:10075;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F3ZcgA&#10;AADeAAAADwAAAGRycy9kb3ducmV2LnhtbESPQWvCQBSE7wX/w/KE3uqmWkSjq4htSY41Cra3R/aZ&#10;hGbfhuw2SfvrXaHgcZiZb5j1djC16Kh1lWUFz5MIBHFudcWFgtPx/WkBwnlkjbVlUvBLDrab0cMa&#10;Y217PlCX+UIECLsYFZTeN7GULi/JoJvYhjh4F9sa9EG2hdQt9gFuajmNork0WHFYKLGhfUn5d/Zj&#10;FCSLZveZ2r++qN++kvPHefl6XHqlHsfDbgXC0+Dv4f92qhW8RPPZDG53whWQm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AXdlyAAAAN4AAAAPAAAAAAAAAAAAAAAAAJgCAABk&#10;cnMvZG93bnJldi54bWxQSwUGAAAAAAQABAD1AAAAjQMAAAAA&#10;" filled="f" stroked="f">
                  <v:textbox inset="0,0,0,0">
                    <w:txbxContent>
                      <w:p w14:paraId="7C57A110" w14:textId="77777777" w:rsidR="0014164F" w:rsidRDefault="0014164F" w:rsidP="00C232D7">
                        <w:r>
                          <w:rPr>
                            <w:rFonts w:ascii="Arial" w:eastAsia="Arial" w:hAnsi="Arial" w:cs="Arial"/>
                            <w:color w:val="595959"/>
                            <w:sz w:val="16"/>
                          </w:rPr>
                          <w:t>Medicinski otpad</w:t>
                        </w:r>
                      </w:p>
                    </w:txbxContent>
                  </v:textbox>
                </v:rect>
                <v:shape id="Shape 922152" o:spid="_x0000_s1212" style="position:absolute;left:46620;top:20872;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l8P8cA&#10;AADfAAAADwAAAGRycy9kb3ducmV2LnhtbESPQWvCQBSE7wX/w/IKvdVNApYas5FaECz10ij0+pp9&#10;ZoPZtyG7xvjvu0Khx2FmvmGK9WQ7MdLgW8cK0nkCgrh2uuVGwfGwfX4F4QOyxs4xKbiRh3U5eygw&#10;1+7KXzRWoRERwj5HBSaEPpfS14Ys+rnriaN3coPFEOXQSD3gNcJtJ7MkeZEWW44LBnt6N1Sfq4tV&#10;cDmb0X5+66P92d3azX6x1e4jVerpcXpbgQg0hf/wX3unFSyzLF1kcP8Tv4As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ZfD/HAAAA3wAAAA8AAAAAAAAAAAAAAAAAmAIAAGRy&#10;cy9kb3ducmV2LnhtbFBLBQYAAAAABAAEAPUAAACMAwAAAAA=&#10;" path="m,l50292,r,51816l,51816,,e" fillcolor="#264478" stroked="f" strokeweight="0">
                  <v:path arrowok="t" textboxrect="0,0,50292,51816"/>
                </v:shape>
                <v:shape id="Shape 40635" o:spid="_x0000_s1213" style="position:absolute;left:46620;top:20872;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P6U8UA&#10;AADeAAAADwAAAGRycy9kb3ducmV2LnhtbESP0WoCMRRE3wv+Q7hC32pWbWVZjSLWFosvuvoBl811&#10;s7i5WTappn/fFAo+DjNzhlmsom3FjXrfOFYwHmUgiCunG64VnE8fLzkIH5A1to5JwQ95WC0HTwss&#10;tLvzkW5lqEWCsC9QgQmhK6T0lSGLfuQ64uRdXG8xJNnXUvd4T3DbykmWzaTFhtOCwY42hqpr+W0V&#10;7GIuD+um3L9/ejS4zeP+C6NSz8O4noMIFMMj/N/eaQWv2Wz6Bn930hW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w/pTxQAAAN4AAAAPAAAAAAAAAAAAAAAAAJgCAABkcnMv&#10;ZG93bnJldi54bWxQSwUGAAAAAAQABAD1AAAAigMAAAAA&#10;" path="m,51816r50292,l50292,,,,,51816xe" filled="f" strokecolor="white" strokeweight="1.56pt">
                  <v:path arrowok="t" textboxrect="0,0,50292,51816"/>
                </v:shape>
                <v:rect id="Rectangle 40636" o:spid="_x0000_s1214" style="position:absolute;left:47347;top:20532;width:8194;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bU/ccA&#10;AADeAAAADwAAAGRycy9kb3ducmV2LnhtbESPQWvCQBSE7wX/w/KE3pqNWkKMriJq0WOrQvT2yL4m&#10;odm3Ibs1aX99t1DocZiZb5jlejCNuFPnassKJlEMgriwuuZSweX88pSCcB5ZY2OZFHyRg/Vq9LDE&#10;TNue3+h+8qUIEHYZKqi8bzMpXVGRQRfZljh477Yz6IPsSqk77APcNHIax4k0WHNYqLClbUXFx+nT&#10;KDik7eZ6tN992exvh/w1n+/Oc6/U43jYLEB4Gvx/+K991Aqe42SWwO+dc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p21P3HAAAA3gAAAA8AAAAAAAAAAAAAAAAAmAIAAGRy&#10;cy9kb3ducmV2LnhtbFBLBQYAAAAABAAEAPUAAACMAwAAAAA=&#10;" filled="f" stroked="f">
                  <v:textbox inset="0,0,0,0">
                    <w:txbxContent>
                      <w:p w14:paraId="296B6E19" w14:textId="77777777" w:rsidR="0014164F" w:rsidRDefault="0014164F" w:rsidP="00C232D7">
                        <w:r>
                          <w:rPr>
                            <w:rFonts w:ascii="Arial" w:eastAsia="Arial" w:hAnsi="Arial" w:cs="Arial"/>
                            <w:color w:val="595959"/>
                            <w:sz w:val="16"/>
                          </w:rPr>
                          <w:t>Parafin/vosak</w:t>
                        </w:r>
                      </w:p>
                    </w:txbxContent>
                  </v:textbox>
                </v:rect>
                <w10:anchorlock/>
              </v:group>
            </w:pict>
          </mc:Fallback>
        </mc:AlternateContent>
      </w:r>
    </w:p>
    <w:p w14:paraId="0637777E" w14:textId="77777777" w:rsidR="00C232D7" w:rsidRPr="002A6F4E" w:rsidRDefault="00C232D7" w:rsidP="00C232D7">
      <w:pPr>
        <w:rPr>
          <w:rFonts w:ascii="Arial" w:hAnsi="Arial" w:cs="Arial"/>
        </w:rPr>
      </w:pPr>
      <w:r w:rsidRPr="002A6F4E">
        <w:rPr>
          <w:rFonts w:ascii="Arial" w:hAnsi="Arial" w:cs="Arial"/>
        </w:rPr>
        <w:t xml:space="preserve"> </w:t>
      </w:r>
      <w:r w:rsidRPr="002A6F4E">
        <w:rPr>
          <w:rFonts w:ascii="Arial" w:hAnsi="Arial" w:cs="Arial"/>
        </w:rPr>
        <w:tab/>
        <w:t xml:space="preserve"> </w:t>
      </w:r>
    </w:p>
    <w:p w14:paraId="18EFD22A" w14:textId="77777777" w:rsidR="00C232D7" w:rsidRPr="002A6F4E" w:rsidRDefault="00C232D7" w:rsidP="00C232D7">
      <w:pPr>
        <w:rPr>
          <w:rFonts w:ascii="Arial" w:hAnsi="Arial" w:cs="Arial"/>
        </w:rPr>
      </w:pPr>
      <w:r w:rsidRPr="002A6F4E">
        <w:rPr>
          <w:rFonts w:ascii="Arial" w:hAnsi="Arial" w:cs="Arial"/>
        </w:rPr>
        <w:t xml:space="preserve"> </w:t>
      </w:r>
    </w:p>
    <w:p w14:paraId="435E45A0" w14:textId="358EAC78" w:rsidR="00C232D7" w:rsidRPr="00C92E31" w:rsidRDefault="00F53484" w:rsidP="00F53484">
      <w:pPr>
        <w:pStyle w:val="Caption"/>
        <w:rPr>
          <w:rFonts w:ascii="Arial" w:hAnsi="Arial" w:cs="Arial"/>
          <w:b w:val="0"/>
        </w:rPr>
      </w:pPr>
      <w:bookmarkStart w:id="782" w:name="_Toc190160838"/>
      <w:r w:rsidRPr="00C92E31">
        <w:rPr>
          <w:rFonts w:ascii="Arial" w:hAnsi="Arial" w:cs="Arial"/>
          <w:b w:val="0"/>
        </w:rPr>
        <w:t xml:space="preserve">Slika </w:t>
      </w:r>
      <w:r w:rsidRPr="00C92E31">
        <w:rPr>
          <w:rFonts w:ascii="Arial" w:hAnsi="Arial" w:cs="Arial"/>
          <w:b w:val="0"/>
        </w:rPr>
        <w:fldChar w:fldCharType="begin"/>
      </w:r>
      <w:r w:rsidRPr="00C92E31">
        <w:rPr>
          <w:rFonts w:ascii="Arial" w:hAnsi="Arial" w:cs="Arial"/>
          <w:b w:val="0"/>
        </w:rPr>
        <w:instrText xml:space="preserve"> SEQ Slika \* ARABIC </w:instrText>
      </w:r>
      <w:r w:rsidRPr="00C92E31">
        <w:rPr>
          <w:rFonts w:ascii="Arial" w:hAnsi="Arial" w:cs="Arial"/>
          <w:b w:val="0"/>
        </w:rPr>
        <w:fldChar w:fldCharType="separate"/>
      </w:r>
      <w:r w:rsidR="008C782A">
        <w:rPr>
          <w:rFonts w:ascii="Arial" w:hAnsi="Arial" w:cs="Arial"/>
          <w:b w:val="0"/>
          <w:noProof/>
        </w:rPr>
        <w:t>5</w:t>
      </w:r>
      <w:r w:rsidRPr="00C92E31">
        <w:rPr>
          <w:rFonts w:ascii="Arial" w:hAnsi="Arial" w:cs="Arial"/>
          <w:b w:val="0"/>
        </w:rPr>
        <w:fldChar w:fldCharType="end"/>
      </w:r>
      <w:r w:rsidRPr="00C92E31">
        <w:rPr>
          <w:rFonts w:ascii="Arial" w:hAnsi="Arial" w:cs="Arial"/>
          <w:b w:val="0"/>
        </w:rPr>
        <w:t xml:space="preserve"> </w:t>
      </w:r>
      <w:r w:rsidR="00C232D7" w:rsidRPr="00C92E31">
        <w:rPr>
          <w:rFonts w:ascii="Arial" w:hAnsi="Arial" w:cs="Arial"/>
          <w:b w:val="0"/>
        </w:rPr>
        <w:t>Procentualna zastupljenost svih glavnih kategorija otpada na transektu dužine 100 m na Blatnoj plaži (na osnovu broja komada i težine sakupljenog otpada)</w:t>
      </w:r>
      <w:bookmarkEnd w:id="782"/>
      <w:r w:rsidR="00C232D7" w:rsidRPr="00C92E31">
        <w:rPr>
          <w:rFonts w:ascii="Arial" w:hAnsi="Arial" w:cs="Arial"/>
          <w:b w:val="0"/>
        </w:rPr>
        <w:t xml:space="preserve"> </w:t>
      </w:r>
    </w:p>
    <w:p w14:paraId="12A1DB57" w14:textId="77777777" w:rsidR="00C232D7" w:rsidRPr="002A6F4E" w:rsidRDefault="00C232D7" w:rsidP="00C232D7">
      <w:pPr>
        <w:rPr>
          <w:rFonts w:ascii="Arial" w:hAnsi="Arial" w:cs="Arial"/>
        </w:rPr>
      </w:pPr>
      <w:r w:rsidRPr="002A6F4E">
        <w:rPr>
          <w:rFonts w:ascii="Arial" w:hAnsi="Arial" w:cs="Arial"/>
        </w:rPr>
        <w:t xml:space="preserve"> </w:t>
      </w:r>
      <w:r w:rsidRPr="002A6F4E">
        <w:rPr>
          <w:rFonts w:ascii="Arial" w:hAnsi="Arial" w:cs="Arial"/>
        </w:rPr>
        <w:tab/>
        <w:t xml:space="preserve"> </w:t>
      </w:r>
    </w:p>
    <w:p w14:paraId="66684A0E" w14:textId="77777777" w:rsidR="00C232D7" w:rsidRPr="002A6F4E" w:rsidRDefault="00C232D7" w:rsidP="00C232D7">
      <w:pPr>
        <w:rPr>
          <w:rFonts w:ascii="Arial" w:hAnsi="Arial" w:cs="Arial"/>
        </w:rPr>
      </w:pPr>
      <w:r w:rsidRPr="002A6F4E">
        <w:rPr>
          <w:rFonts w:ascii="Arial" w:hAnsi="Arial" w:cs="Arial"/>
          <w:noProof/>
          <w:lang w:val="en-US"/>
        </w:rPr>
        <mc:AlternateContent>
          <mc:Choice Requires="wpg">
            <w:drawing>
              <wp:inline distT="0" distB="0" distL="0" distR="0" wp14:anchorId="7021A6C5" wp14:editId="5607B75F">
                <wp:extent cx="5427811" cy="2246584"/>
                <wp:effectExtent l="0" t="0" r="0" b="0"/>
                <wp:docPr id="895830" name="Group 895830"/>
                <wp:cNvGraphicFramePr/>
                <a:graphic xmlns:a="http://schemas.openxmlformats.org/drawingml/2006/main">
                  <a:graphicData uri="http://schemas.microsoft.com/office/word/2010/wordprocessingGroup">
                    <wpg:wgp>
                      <wpg:cNvGrpSpPr/>
                      <wpg:grpSpPr>
                        <a:xfrm>
                          <a:off x="0" y="0"/>
                          <a:ext cx="5427811" cy="2246584"/>
                          <a:chOff x="0" y="0"/>
                          <a:chExt cx="5427811" cy="2246584"/>
                        </a:xfrm>
                      </wpg:grpSpPr>
                      <wps:wsp>
                        <wps:cNvPr id="40638" name="Shape 40638"/>
                        <wps:cNvSpPr/>
                        <wps:spPr>
                          <a:xfrm>
                            <a:off x="91808" y="832331"/>
                            <a:ext cx="1372756" cy="1372743"/>
                          </a:xfrm>
                          <a:custGeom>
                            <a:avLst/>
                            <a:gdLst/>
                            <a:ahLst/>
                            <a:cxnLst/>
                            <a:rect l="0" t="0" r="0" b="0"/>
                            <a:pathLst>
                              <a:path w="1372756" h="1372743">
                                <a:moveTo>
                                  <a:pt x="686321" y="0"/>
                                </a:moveTo>
                                <a:cubicBezTo>
                                  <a:pt x="1065416" y="0"/>
                                  <a:pt x="1372756" y="307340"/>
                                  <a:pt x="1372756" y="686435"/>
                                </a:cubicBezTo>
                                <a:cubicBezTo>
                                  <a:pt x="1372756" y="1065404"/>
                                  <a:pt x="1065416" y="1372743"/>
                                  <a:pt x="686321" y="1372743"/>
                                </a:cubicBezTo>
                                <a:cubicBezTo>
                                  <a:pt x="307353" y="1372743"/>
                                  <a:pt x="0" y="1065404"/>
                                  <a:pt x="0" y="686435"/>
                                </a:cubicBezTo>
                                <a:cubicBezTo>
                                  <a:pt x="0" y="428498"/>
                                  <a:pt x="144615" y="192278"/>
                                  <a:pt x="374409" y="75057"/>
                                </a:cubicBezTo>
                                <a:lnTo>
                                  <a:pt x="686321" y="686435"/>
                                </a:lnTo>
                                <a:lnTo>
                                  <a:pt x="686321" y="0"/>
                                </a:ln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40639" name="Shape 40639"/>
                        <wps:cNvSpPr/>
                        <wps:spPr>
                          <a:xfrm>
                            <a:off x="91808" y="832331"/>
                            <a:ext cx="1372756" cy="1372743"/>
                          </a:xfrm>
                          <a:custGeom>
                            <a:avLst/>
                            <a:gdLst/>
                            <a:ahLst/>
                            <a:cxnLst/>
                            <a:rect l="0" t="0" r="0" b="0"/>
                            <a:pathLst>
                              <a:path w="1372756" h="1372743">
                                <a:moveTo>
                                  <a:pt x="686321" y="0"/>
                                </a:moveTo>
                                <a:cubicBezTo>
                                  <a:pt x="1065416" y="0"/>
                                  <a:pt x="1372756" y="307340"/>
                                  <a:pt x="1372756" y="686435"/>
                                </a:cubicBezTo>
                                <a:cubicBezTo>
                                  <a:pt x="1372756" y="1065404"/>
                                  <a:pt x="1065416" y="1372743"/>
                                  <a:pt x="686321" y="1372743"/>
                                </a:cubicBezTo>
                                <a:cubicBezTo>
                                  <a:pt x="307353" y="1372743"/>
                                  <a:pt x="0" y="1065404"/>
                                  <a:pt x="0" y="686435"/>
                                </a:cubicBezTo>
                                <a:cubicBezTo>
                                  <a:pt x="0" y="428498"/>
                                  <a:pt x="144615" y="192278"/>
                                  <a:pt x="374409" y="75057"/>
                                </a:cubicBezTo>
                                <a:lnTo>
                                  <a:pt x="686321" y="68643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40" name="Shape 40640"/>
                        <wps:cNvSpPr/>
                        <wps:spPr>
                          <a:xfrm>
                            <a:off x="466217" y="900912"/>
                            <a:ext cx="311912" cy="617855"/>
                          </a:xfrm>
                          <a:custGeom>
                            <a:avLst/>
                            <a:gdLst/>
                            <a:ahLst/>
                            <a:cxnLst/>
                            <a:rect l="0" t="0" r="0" b="0"/>
                            <a:pathLst>
                              <a:path w="311912" h="617855">
                                <a:moveTo>
                                  <a:pt x="12954" y="0"/>
                                </a:moveTo>
                                <a:lnTo>
                                  <a:pt x="311912" y="617855"/>
                                </a:lnTo>
                                <a:lnTo>
                                  <a:pt x="0" y="6477"/>
                                </a:lnTo>
                                <a:cubicBezTo>
                                  <a:pt x="4318" y="4318"/>
                                  <a:pt x="8636" y="2159"/>
                                  <a:pt x="12954"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40641" name="Shape 40641"/>
                        <wps:cNvSpPr/>
                        <wps:spPr>
                          <a:xfrm>
                            <a:off x="466217" y="900912"/>
                            <a:ext cx="311912" cy="617855"/>
                          </a:xfrm>
                          <a:custGeom>
                            <a:avLst/>
                            <a:gdLst/>
                            <a:ahLst/>
                            <a:cxnLst/>
                            <a:rect l="0" t="0" r="0" b="0"/>
                            <a:pathLst>
                              <a:path w="311912" h="617855">
                                <a:moveTo>
                                  <a:pt x="0" y="6477"/>
                                </a:moveTo>
                                <a:cubicBezTo>
                                  <a:pt x="4318" y="4318"/>
                                  <a:pt x="8636" y="2159"/>
                                  <a:pt x="12954" y="0"/>
                                </a:cubicBezTo>
                                <a:lnTo>
                                  <a:pt x="311912" y="61785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42" name="Shape 40642"/>
                        <wps:cNvSpPr/>
                        <wps:spPr>
                          <a:xfrm>
                            <a:off x="479171" y="896212"/>
                            <a:ext cx="298958" cy="622554"/>
                          </a:xfrm>
                          <a:custGeom>
                            <a:avLst/>
                            <a:gdLst/>
                            <a:ahLst/>
                            <a:cxnLst/>
                            <a:rect l="0" t="0" r="0" b="0"/>
                            <a:pathLst>
                              <a:path w="298958" h="622554">
                                <a:moveTo>
                                  <a:pt x="9906" y="0"/>
                                </a:moveTo>
                                <a:lnTo>
                                  <a:pt x="298958" y="622554"/>
                                </a:lnTo>
                                <a:lnTo>
                                  <a:pt x="0" y="4699"/>
                                </a:lnTo>
                                <a:cubicBezTo>
                                  <a:pt x="3302" y="3048"/>
                                  <a:pt x="6604" y="1524"/>
                                  <a:pt x="9906" y="0"/>
                                </a:cubicBez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40643" name="Shape 40643"/>
                        <wps:cNvSpPr/>
                        <wps:spPr>
                          <a:xfrm>
                            <a:off x="479171" y="896212"/>
                            <a:ext cx="298958" cy="622554"/>
                          </a:xfrm>
                          <a:custGeom>
                            <a:avLst/>
                            <a:gdLst/>
                            <a:ahLst/>
                            <a:cxnLst/>
                            <a:rect l="0" t="0" r="0" b="0"/>
                            <a:pathLst>
                              <a:path w="298958" h="622554">
                                <a:moveTo>
                                  <a:pt x="0" y="4699"/>
                                </a:moveTo>
                                <a:cubicBezTo>
                                  <a:pt x="3302" y="3048"/>
                                  <a:pt x="6604" y="1524"/>
                                  <a:pt x="9906" y="0"/>
                                </a:cubicBezTo>
                                <a:lnTo>
                                  <a:pt x="298958" y="62255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44" name="Shape 40644"/>
                        <wps:cNvSpPr/>
                        <wps:spPr>
                          <a:xfrm>
                            <a:off x="489077" y="851000"/>
                            <a:ext cx="289052" cy="667766"/>
                          </a:xfrm>
                          <a:custGeom>
                            <a:avLst/>
                            <a:gdLst/>
                            <a:ahLst/>
                            <a:cxnLst/>
                            <a:rect l="0" t="0" r="0" b="0"/>
                            <a:pathLst>
                              <a:path w="289052" h="667766">
                                <a:moveTo>
                                  <a:pt x="130429" y="0"/>
                                </a:moveTo>
                                <a:lnTo>
                                  <a:pt x="289052" y="667766"/>
                                </a:lnTo>
                                <a:lnTo>
                                  <a:pt x="0" y="45212"/>
                                </a:lnTo>
                                <a:cubicBezTo>
                                  <a:pt x="41783" y="25781"/>
                                  <a:pt x="85471" y="10668"/>
                                  <a:pt x="130429" y="0"/>
                                </a:cubicBez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40645" name="Shape 40645"/>
                        <wps:cNvSpPr/>
                        <wps:spPr>
                          <a:xfrm>
                            <a:off x="489077" y="851000"/>
                            <a:ext cx="289052" cy="667766"/>
                          </a:xfrm>
                          <a:custGeom>
                            <a:avLst/>
                            <a:gdLst/>
                            <a:ahLst/>
                            <a:cxnLst/>
                            <a:rect l="0" t="0" r="0" b="0"/>
                            <a:pathLst>
                              <a:path w="289052" h="667766">
                                <a:moveTo>
                                  <a:pt x="0" y="45212"/>
                                </a:moveTo>
                                <a:cubicBezTo>
                                  <a:pt x="41783" y="25781"/>
                                  <a:pt x="85471" y="10668"/>
                                  <a:pt x="130429" y="0"/>
                                </a:cubicBezTo>
                                <a:lnTo>
                                  <a:pt x="289052" y="667766"/>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46" name="Shape 40646"/>
                        <wps:cNvSpPr/>
                        <wps:spPr>
                          <a:xfrm>
                            <a:off x="619506" y="846937"/>
                            <a:ext cx="158623" cy="671830"/>
                          </a:xfrm>
                          <a:custGeom>
                            <a:avLst/>
                            <a:gdLst/>
                            <a:ahLst/>
                            <a:cxnLst/>
                            <a:rect l="0" t="0" r="0" b="0"/>
                            <a:pathLst>
                              <a:path w="158623" h="671830">
                                <a:moveTo>
                                  <a:pt x="17780" y="0"/>
                                </a:moveTo>
                                <a:lnTo>
                                  <a:pt x="158623" y="671830"/>
                                </a:lnTo>
                                <a:lnTo>
                                  <a:pt x="0" y="4064"/>
                                </a:lnTo>
                                <a:cubicBezTo>
                                  <a:pt x="5842" y="2667"/>
                                  <a:pt x="11811" y="1270"/>
                                  <a:pt x="17780"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40647" name="Shape 40647"/>
                        <wps:cNvSpPr/>
                        <wps:spPr>
                          <a:xfrm>
                            <a:off x="619506" y="846937"/>
                            <a:ext cx="158623" cy="671830"/>
                          </a:xfrm>
                          <a:custGeom>
                            <a:avLst/>
                            <a:gdLst/>
                            <a:ahLst/>
                            <a:cxnLst/>
                            <a:rect l="0" t="0" r="0" b="0"/>
                            <a:pathLst>
                              <a:path w="158623" h="671830">
                                <a:moveTo>
                                  <a:pt x="0" y="4064"/>
                                </a:moveTo>
                                <a:cubicBezTo>
                                  <a:pt x="5842" y="2667"/>
                                  <a:pt x="11811" y="1270"/>
                                  <a:pt x="17780" y="0"/>
                                </a:cubicBezTo>
                                <a:lnTo>
                                  <a:pt x="158623" y="67183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48" name="Shape 40648"/>
                        <wps:cNvSpPr/>
                        <wps:spPr>
                          <a:xfrm>
                            <a:off x="637286" y="834237"/>
                            <a:ext cx="140843" cy="684530"/>
                          </a:xfrm>
                          <a:custGeom>
                            <a:avLst/>
                            <a:gdLst/>
                            <a:ahLst/>
                            <a:cxnLst/>
                            <a:rect l="0" t="0" r="0" b="0"/>
                            <a:pathLst>
                              <a:path w="140843" h="684530">
                                <a:moveTo>
                                  <a:pt x="89916" y="0"/>
                                </a:moveTo>
                                <a:lnTo>
                                  <a:pt x="140843" y="684530"/>
                                </a:lnTo>
                                <a:lnTo>
                                  <a:pt x="0" y="12700"/>
                                </a:lnTo>
                                <a:cubicBezTo>
                                  <a:pt x="29591" y="6477"/>
                                  <a:pt x="59690" y="2286"/>
                                  <a:pt x="89916" y="0"/>
                                </a:cubicBezTo>
                                <a:close/>
                              </a:path>
                            </a:pathLst>
                          </a:custGeom>
                          <a:ln w="0" cap="flat">
                            <a:round/>
                          </a:ln>
                        </wps:spPr>
                        <wps:style>
                          <a:lnRef idx="0">
                            <a:srgbClr val="000000">
                              <a:alpha val="0"/>
                            </a:srgbClr>
                          </a:lnRef>
                          <a:fillRef idx="1">
                            <a:srgbClr val="70AD47"/>
                          </a:fillRef>
                          <a:effectRef idx="0">
                            <a:scrgbClr r="0" g="0" b="0"/>
                          </a:effectRef>
                          <a:fontRef idx="none"/>
                        </wps:style>
                        <wps:bodyPr/>
                      </wps:wsp>
                      <wps:wsp>
                        <wps:cNvPr id="40649" name="Shape 40649"/>
                        <wps:cNvSpPr/>
                        <wps:spPr>
                          <a:xfrm>
                            <a:off x="637286" y="834237"/>
                            <a:ext cx="140843" cy="684530"/>
                          </a:xfrm>
                          <a:custGeom>
                            <a:avLst/>
                            <a:gdLst/>
                            <a:ahLst/>
                            <a:cxnLst/>
                            <a:rect l="0" t="0" r="0" b="0"/>
                            <a:pathLst>
                              <a:path w="140843" h="684530">
                                <a:moveTo>
                                  <a:pt x="0" y="12700"/>
                                </a:moveTo>
                                <a:cubicBezTo>
                                  <a:pt x="29591" y="6477"/>
                                  <a:pt x="59690" y="2286"/>
                                  <a:pt x="89916" y="0"/>
                                </a:cubicBezTo>
                                <a:lnTo>
                                  <a:pt x="140843" y="68453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50" name="Shape 40650"/>
                        <wps:cNvSpPr/>
                        <wps:spPr>
                          <a:xfrm>
                            <a:off x="727202" y="833348"/>
                            <a:ext cx="50927" cy="685419"/>
                          </a:xfrm>
                          <a:custGeom>
                            <a:avLst/>
                            <a:gdLst/>
                            <a:ahLst/>
                            <a:cxnLst/>
                            <a:rect l="0" t="0" r="0" b="0"/>
                            <a:pathLst>
                              <a:path w="50927" h="685419">
                                <a:moveTo>
                                  <a:pt x="14605" y="0"/>
                                </a:moveTo>
                                <a:lnTo>
                                  <a:pt x="50927" y="685419"/>
                                </a:lnTo>
                                <a:lnTo>
                                  <a:pt x="0" y="889"/>
                                </a:lnTo>
                                <a:cubicBezTo>
                                  <a:pt x="4953" y="508"/>
                                  <a:pt x="9779" y="254"/>
                                  <a:pt x="14605" y="0"/>
                                </a:cubicBezTo>
                                <a:close/>
                              </a:path>
                            </a:pathLst>
                          </a:custGeom>
                          <a:ln w="0" cap="flat">
                            <a:round/>
                          </a:ln>
                        </wps:spPr>
                        <wps:style>
                          <a:lnRef idx="0">
                            <a:srgbClr val="000000">
                              <a:alpha val="0"/>
                            </a:srgbClr>
                          </a:lnRef>
                          <a:fillRef idx="1">
                            <a:srgbClr val="255E91"/>
                          </a:fillRef>
                          <a:effectRef idx="0">
                            <a:scrgbClr r="0" g="0" b="0"/>
                          </a:effectRef>
                          <a:fontRef idx="none"/>
                        </wps:style>
                        <wps:bodyPr/>
                      </wps:wsp>
                      <wps:wsp>
                        <wps:cNvPr id="40651" name="Shape 40651"/>
                        <wps:cNvSpPr/>
                        <wps:spPr>
                          <a:xfrm>
                            <a:off x="727202" y="833348"/>
                            <a:ext cx="50927" cy="685419"/>
                          </a:xfrm>
                          <a:custGeom>
                            <a:avLst/>
                            <a:gdLst/>
                            <a:ahLst/>
                            <a:cxnLst/>
                            <a:rect l="0" t="0" r="0" b="0"/>
                            <a:pathLst>
                              <a:path w="50927" h="685419">
                                <a:moveTo>
                                  <a:pt x="0" y="889"/>
                                </a:moveTo>
                                <a:cubicBezTo>
                                  <a:pt x="4953" y="508"/>
                                  <a:pt x="9779" y="254"/>
                                  <a:pt x="14605" y="0"/>
                                </a:cubicBezTo>
                                <a:lnTo>
                                  <a:pt x="50927" y="685419"/>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52" name="Shape 40652"/>
                        <wps:cNvSpPr/>
                        <wps:spPr>
                          <a:xfrm>
                            <a:off x="741807" y="833093"/>
                            <a:ext cx="36322" cy="685673"/>
                          </a:xfrm>
                          <a:custGeom>
                            <a:avLst/>
                            <a:gdLst/>
                            <a:ahLst/>
                            <a:cxnLst/>
                            <a:rect l="0" t="0" r="0" b="0"/>
                            <a:pathLst>
                              <a:path w="36322" h="685673">
                                <a:moveTo>
                                  <a:pt x="3556" y="0"/>
                                </a:moveTo>
                                <a:lnTo>
                                  <a:pt x="36322" y="685673"/>
                                </a:lnTo>
                                <a:lnTo>
                                  <a:pt x="0" y="254"/>
                                </a:lnTo>
                                <a:cubicBezTo>
                                  <a:pt x="1143" y="127"/>
                                  <a:pt x="2413" y="127"/>
                                  <a:pt x="3556" y="0"/>
                                </a:cubicBezTo>
                                <a:close/>
                              </a:path>
                            </a:pathLst>
                          </a:custGeom>
                          <a:ln w="0" cap="flat">
                            <a:round/>
                          </a:ln>
                        </wps:spPr>
                        <wps:style>
                          <a:lnRef idx="0">
                            <a:srgbClr val="000000">
                              <a:alpha val="0"/>
                            </a:srgbClr>
                          </a:lnRef>
                          <a:fillRef idx="1">
                            <a:srgbClr val="9E480E"/>
                          </a:fillRef>
                          <a:effectRef idx="0">
                            <a:scrgbClr r="0" g="0" b="0"/>
                          </a:effectRef>
                          <a:fontRef idx="none"/>
                        </wps:style>
                        <wps:bodyPr/>
                      </wps:wsp>
                      <wps:wsp>
                        <wps:cNvPr id="40653" name="Shape 40653"/>
                        <wps:cNvSpPr/>
                        <wps:spPr>
                          <a:xfrm>
                            <a:off x="741807" y="833093"/>
                            <a:ext cx="36322" cy="685673"/>
                          </a:xfrm>
                          <a:custGeom>
                            <a:avLst/>
                            <a:gdLst/>
                            <a:ahLst/>
                            <a:cxnLst/>
                            <a:rect l="0" t="0" r="0" b="0"/>
                            <a:pathLst>
                              <a:path w="36322" h="685673">
                                <a:moveTo>
                                  <a:pt x="0" y="254"/>
                                </a:moveTo>
                                <a:cubicBezTo>
                                  <a:pt x="1143" y="127"/>
                                  <a:pt x="2413" y="127"/>
                                  <a:pt x="3556" y="0"/>
                                </a:cubicBezTo>
                                <a:lnTo>
                                  <a:pt x="36322" y="685673"/>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54" name="Shape 40654"/>
                        <wps:cNvSpPr/>
                        <wps:spPr>
                          <a:xfrm>
                            <a:off x="745363" y="832712"/>
                            <a:ext cx="32766" cy="686054"/>
                          </a:xfrm>
                          <a:custGeom>
                            <a:avLst/>
                            <a:gdLst/>
                            <a:ahLst/>
                            <a:cxnLst/>
                            <a:rect l="0" t="0" r="0" b="0"/>
                            <a:pathLst>
                              <a:path w="32766" h="686054">
                                <a:moveTo>
                                  <a:pt x="10922" y="0"/>
                                </a:moveTo>
                                <a:lnTo>
                                  <a:pt x="32766" y="686054"/>
                                </a:lnTo>
                                <a:lnTo>
                                  <a:pt x="0" y="381"/>
                                </a:lnTo>
                                <a:cubicBezTo>
                                  <a:pt x="3683" y="254"/>
                                  <a:pt x="7366" y="127"/>
                                  <a:pt x="10922" y="0"/>
                                </a:cubicBezTo>
                                <a:close/>
                              </a:path>
                            </a:pathLst>
                          </a:custGeom>
                          <a:ln w="0" cap="flat">
                            <a:round/>
                          </a:ln>
                        </wps:spPr>
                        <wps:style>
                          <a:lnRef idx="0">
                            <a:srgbClr val="000000">
                              <a:alpha val="0"/>
                            </a:srgbClr>
                          </a:lnRef>
                          <a:fillRef idx="1">
                            <a:srgbClr val="636363"/>
                          </a:fillRef>
                          <a:effectRef idx="0">
                            <a:scrgbClr r="0" g="0" b="0"/>
                          </a:effectRef>
                          <a:fontRef idx="none"/>
                        </wps:style>
                        <wps:bodyPr/>
                      </wps:wsp>
                      <wps:wsp>
                        <wps:cNvPr id="40655" name="Shape 40655"/>
                        <wps:cNvSpPr/>
                        <wps:spPr>
                          <a:xfrm>
                            <a:off x="745363" y="832712"/>
                            <a:ext cx="32766" cy="686054"/>
                          </a:xfrm>
                          <a:custGeom>
                            <a:avLst/>
                            <a:gdLst/>
                            <a:ahLst/>
                            <a:cxnLst/>
                            <a:rect l="0" t="0" r="0" b="0"/>
                            <a:pathLst>
                              <a:path w="32766" h="686054">
                                <a:moveTo>
                                  <a:pt x="0" y="381"/>
                                </a:moveTo>
                                <a:cubicBezTo>
                                  <a:pt x="3683" y="254"/>
                                  <a:pt x="7366" y="127"/>
                                  <a:pt x="10922" y="0"/>
                                </a:cubicBezTo>
                                <a:lnTo>
                                  <a:pt x="32766" y="68605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56" name="Shape 40656"/>
                        <wps:cNvSpPr/>
                        <wps:spPr>
                          <a:xfrm>
                            <a:off x="756285" y="832331"/>
                            <a:ext cx="21844" cy="686435"/>
                          </a:xfrm>
                          <a:custGeom>
                            <a:avLst/>
                            <a:gdLst/>
                            <a:ahLst/>
                            <a:cxnLst/>
                            <a:rect l="0" t="0" r="0" b="0"/>
                            <a:pathLst>
                              <a:path w="21844" h="686435">
                                <a:moveTo>
                                  <a:pt x="21844" y="0"/>
                                </a:moveTo>
                                <a:lnTo>
                                  <a:pt x="21844" y="686435"/>
                                </a:lnTo>
                                <a:lnTo>
                                  <a:pt x="0" y="381"/>
                                </a:lnTo>
                                <a:cubicBezTo>
                                  <a:pt x="7366" y="127"/>
                                  <a:pt x="14605" y="0"/>
                                  <a:pt x="21844" y="0"/>
                                </a:cubicBezTo>
                                <a:close/>
                              </a:path>
                            </a:pathLst>
                          </a:custGeom>
                          <a:ln w="0" cap="flat">
                            <a:round/>
                          </a:ln>
                        </wps:spPr>
                        <wps:style>
                          <a:lnRef idx="0">
                            <a:srgbClr val="000000">
                              <a:alpha val="0"/>
                            </a:srgbClr>
                          </a:lnRef>
                          <a:fillRef idx="1">
                            <a:srgbClr val="997300"/>
                          </a:fillRef>
                          <a:effectRef idx="0">
                            <a:scrgbClr r="0" g="0" b="0"/>
                          </a:effectRef>
                          <a:fontRef idx="none"/>
                        </wps:style>
                        <wps:bodyPr/>
                      </wps:wsp>
                      <wps:wsp>
                        <wps:cNvPr id="40657" name="Shape 40657"/>
                        <wps:cNvSpPr/>
                        <wps:spPr>
                          <a:xfrm>
                            <a:off x="756285" y="832331"/>
                            <a:ext cx="21844" cy="686435"/>
                          </a:xfrm>
                          <a:custGeom>
                            <a:avLst/>
                            <a:gdLst/>
                            <a:ahLst/>
                            <a:cxnLst/>
                            <a:rect l="0" t="0" r="0" b="0"/>
                            <a:pathLst>
                              <a:path w="21844" h="686435">
                                <a:moveTo>
                                  <a:pt x="0" y="381"/>
                                </a:moveTo>
                                <a:cubicBezTo>
                                  <a:pt x="7366" y="127"/>
                                  <a:pt x="14605" y="0"/>
                                  <a:pt x="21844" y="0"/>
                                </a:cubicBezTo>
                                <a:lnTo>
                                  <a:pt x="21844" y="68643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58" name="Shape 40658"/>
                        <wps:cNvSpPr/>
                        <wps:spPr>
                          <a:xfrm>
                            <a:off x="778129" y="832331"/>
                            <a:ext cx="0" cy="686435"/>
                          </a:xfrm>
                          <a:custGeom>
                            <a:avLst/>
                            <a:gdLst/>
                            <a:ahLst/>
                            <a:cxnLst/>
                            <a:rect l="0" t="0" r="0" b="0"/>
                            <a:pathLst>
                              <a:path h="686435">
                                <a:moveTo>
                                  <a:pt x="0" y="0"/>
                                </a:moveTo>
                                <a:lnTo>
                                  <a:pt x="0" y="68643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59" name="Shape 40659"/>
                        <wps:cNvSpPr/>
                        <wps:spPr>
                          <a:xfrm>
                            <a:off x="301752" y="904087"/>
                            <a:ext cx="170688" cy="1524"/>
                          </a:xfrm>
                          <a:custGeom>
                            <a:avLst/>
                            <a:gdLst/>
                            <a:ahLst/>
                            <a:cxnLst/>
                            <a:rect l="0" t="0" r="0" b="0"/>
                            <a:pathLst>
                              <a:path w="170688" h="1524">
                                <a:moveTo>
                                  <a:pt x="170688" y="0"/>
                                </a:moveTo>
                                <a:lnTo>
                                  <a:pt x="57912" y="1524"/>
                                </a:lnTo>
                                <a:lnTo>
                                  <a:pt x="0" y="1524"/>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660" name="Shape 40660"/>
                        <wps:cNvSpPr/>
                        <wps:spPr>
                          <a:xfrm>
                            <a:off x="382524" y="730350"/>
                            <a:ext cx="102108" cy="167640"/>
                          </a:xfrm>
                          <a:custGeom>
                            <a:avLst/>
                            <a:gdLst/>
                            <a:ahLst/>
                            <a:cxnLst/>
                            <a:rect l="0" t="0" r="0" b="0"/>
                            <a:pathLst>
                              <a:path w="102108" h="167640">
                                <a:moveTo>
                                  <a:pt x="102108" y="167640"/>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661" name="Shape 40661"/>
                        <wps:cNvSpPr/>
                        <wps:spPr>
                          <a:xfrm>
                            <a:off x="303276" y="590143"/>
                            <a:ext cx="249936" cy="280416"/>
                          </a:xfrm>
                          <a:custGeom>
                            <a:avLst/>
                            <a:gdLst/>
                            <a:ahLst/>
                            <a:cxnLst/>
                            <a:rect l="0" t="0" r="0" b="0"/>
                            <a:pathLst>
                              <a:path w="249936" h="280416">
                                <a:moveTo>
                                  <a:pt x="249936" y="280416"/>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662" name="Shape 40662"/>
                        <wps:cNvSpPr/>
                        <wps:spPr>
                          <a:xfrm>
                            <a:off x="627888" y="439267"/>
                            <a:ext cx="257556" cy="409956"/>
                          </a:xfrm>
                          <a:custGeom>
                            <a:avLst/>
                            <a:gdLst/>
                            <a:ahLst/>
                            <a:cxnLst/>
                            <a:rect l="0" t="0" r="0" b="0"/>
                            <a:pathLst>
                              <a:path w="257556" h="409956">
                                <a:moveTo>
                                  <a:pt x="0" y="409956"/>
                                </a:moveTo>
                                <a:lnTo>
                                  <a:pt x="201168" y="0"/>
                                </a:lnTo>
                                <a:lnTo>
                                  <a:pt x="257556"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663" name="Shape 40663"/>
                        <wps:cNvSpPr/>
                        <wps:spPr>
                          <a:xfrm>
                            <a:off x="313944" y="425550"/>
                            <a:ext cx="368808" cy="413004"/>
                          </a:xfrm>
                          <a:custGeom>
                            <a:avLst/>
                            <a:gdLst/>
                            <a:ahLst/>
                            <a:cxnLst/>
                            <a:rect l="0" t="0" r="0" b="0"/>
                            <a:pathLst>
                              <a:path w="368808" h="413004">
                                <a:moveTo>
                                  <a:pt x="368808" y="413004"/>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664" name="Shape 40664"/>
                        <wps:cNvSpPr/>
                        <wps:spPr>
                          <a:xfrm>
                            <a:off x="722376" y="512418"/>
                            <a:ext cx="12192" cy="321564"/>
                          </a:xfrm>
                          <a:custGeom>
                            <a:avLst/>
                            <a:gdLst/>
                            <a:ahLst/>
                            <a:cxnLst/>
                            <a:rect l="0" t="0" r="0" b="0"/>
                            <a:pathLst>
                              <a:path w="12192" h="321564">
                                <a:moveTo>
                                  <a:pt x="12192" y="321564"/>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665" name="Shape 40665"/>
                        <wps:cNvSpPr/>
                        <wps:spPr>
                          <a:xfrm>
                            <a:off x="743712" y="344779"/>
                            <a:ext cx="0" cy="489204"/>
                          </a:xfrm>
                          <a:custGeom>
                            <a:avLst/>
                            <a:gdLst/>
                            <a:ahLst/>
                            <a:cxnLst/>
                            <a:rect l="0" t="0" r="0" b="0"/>
                            <a:pathLst>
                              <a:path h="489204">
                                <a:moveTo>
                                  <a:pt x="0" y="489204"/>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666" name="Shape 40666"/>
                        <wps:cNvSpPr/>
                        <wps:spPr>
                          <a:xfrm>
                            <a:off x="751332" y="681582"/>
                            <a:ext cx="403860" cy="150876"/>
                          </a:xfrm>
                          <a:custGeom>
                            <a:avLst/>
                            <a:gdLst/>
                            <a:ahLst/>
                            <a:cxnLst/>
                            <a:rect l="0" t="0" r="0" b="0"/>
                            <a:pathLst>
                              <a:path w="403860" h="150876">
                                <a:moveTo>
                                  <a:pt x="0" y="150876"/>
                                </a:moveTo>
                                <a:lnTo>
                                  <a:pt x="347472" y="0"/>
                                </a:lnTo>
                                <a:lnTo>
                                  <a:pt x="40386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667" name="Shape 40667"/>
                        <wps:cNvSpPr/>
                        <wps:spPr>
                          <a:xfrm>
                            <a:off x="778764" y="648055"/>
                            <a:ext cx="94488" cy="184404"/>
                          </a:xfrm>
                          <a:custGeom>
                            <a:avLst/>
                            <a:gdLst/>
                            <a:ahLst/>
                            <a:cxnLst/>
                            <a:rect l="0" t="0" r="0" b="0"/>
                            <a:pathLst>
                              <a:path w="94488" h="184404">
                                <a:moveTo>
                                  <a:pt x="0" y="184404"/>
                                </a:moveTo>
                                <a:lnTo>
                                  <a:pt x="36576" y="0"/>
                                </a:lnTo>
                                <a:lnTo>
                                  <a:pt x="94488"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757148" name="Rectangle 757148"/>
                        <wps:cNvSpPr/>
                        <wps:spPr>
                          <a:xfrm>
                            <a:off x="837311" y="1808072"/>
                            <a:ext cx="346603" cy="154840"/>
                          </a:xfrm>
                          <a:prstGeom prst="rect">
                            <a:avLst/>
                          </a:prstGeom>
                          <a:ln>
                            <a:noFill/>
                          </a:ln>
                        </wps:spPr>
                        <wps:txbx>
                          <w:txbxContent>
                            <w:p w14:paraId="4EA461EA" w14:textId="77777777" w:rsidR="0014164F" w:rsidRDefault="0014164F" w:rsidP="00C232D7">
                              <w:r>
                                <w:rPr>
                                  <w:rFonts w:ascii="Calibri" w:hAnsi="Calibri" w:cs="Calibri"/>
                                  <w:color w:val="404040"/>
                                  <w:sz w:val="18"/>
                                </w:rPr>
                                <w:t>92.49</w:t>
                              </w:r>
                            </w:p>
                          </w:txbxContent>
                        </wps:txbx>
                        <wps:bodyPr horzOverflow="overflow" vert="horz" lIns="0" tIns="0" rIns="0" bIns="0" rtlCol="0">
                          <a:noAutofit/>
                        </wps:bodyPr>
                      </wps:wsp>
                      <wps:wsp>
                        <wps:cNvPr id="757149" name="Rectangle 757149"/>
                        <wps:cNvSpPr/>
                        <wps:spPr>
                          <a:xfrm>
                            <a:off x="1097915" y="1808072"/>
                            <a:ext cx="108694" cy="154840"/>
                          </a:xfrm>
                          <a:prstGeom prst="rect">
                            <a:avLst/>
                          </a:prstGeom>
                          <a:ln>
                            <a:noFill/>
                          </a:ln>
                        </wps:spPr>
                        <wps:txbx>
                          <w:txbxContent>
                            <w:p w14:paraId="127FDBB0"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39" name="Rectangle 757139"/>
                        <wps:cNvSpPr/>
                        <wps:spPr>
                          <a:xfrm>
                            <a:off x="224295" y="834491"/>
                            <a:ext cx="108694" cy="154840"/>
                          </a:xfrm>
                          <a:prstGeom prst="rect">
                            <a:avLst/>
                          </a:prstGeom>
                          <a:ln>
                            <a:noFill/>
                          </a:ln>
                        </wps:spPr>
                        <wps:txbx>
                          <w:txbxContent>
                            <w:p w14:paraId="1615A3F7"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38" name="Rectangle 757138"/>
                        <wps:cNvSpPr/>
                        <wps:spPr>
                          <a:xfrm>
                            <a:off x="21641" y="834491"/>
                            <a:ext cx="269530" cy="154840"/>
                          </a:xfrm>
                          <a:prstGeom prst="rect">
                            <a:avLst/>
                          </a:prstGeom>
                          <a:ln>
                            <a:noFill/>
                          </a:ln>
                        </wps:spPr>
                        <wps:txbx>
                          <w:txbxContent>
                            <w:p w14:paraId="4D84F7B0" w14:textId="77777777" w:rsidR="0014164F" w:rsidRDefault="0014164F" w:rsidP="00C232D7">
                              <w:r>
                                <w:rPr>
                                  <w:rFonts w:ascii="Calibri" w:hAnsi="Calibri" w:cs="Calibri"/>
                                  <w:color w:val="404040"/>
                                  <w:sz w:val="18"/>
                                </w:rPr>
                                <w:t>0.34</w:t>
                              </w:r>
                            </w:p>
                          </w:txbxContent>
                        </wps:txbx>
                        <wps:bodyPr horzOverflow="overflow" vert="horz" lIns="0" tIns="0" rIns="0" bIns="0" rtlCol="0">
                          <a:noAutofit/>
                        </wps:bodyPr>
                      </wps:wsp>
                      <wps:wsp>
                        <wps:cNvPr id="757126" name="Rectangle 757126"/>
                        <wps:cNvSpPr/>
                        <wps:spPr>
                          <a:xfrm>
                            <a:off x="79248" y="643991"/>
                            <a:ext cx="269530" cy="154840"/>
                          </a:xfrm>
                          <a:prstGeom prst="rect">
                            <a:avLst/>
                          </a:prstGeom>
                          <a:ln>
                            <a:noFill/>
                          </a:ln>
                        </wps:spPr>
                        <wps:txbx>
                          <w:txbxContent>
                            <w:p w14:paraId="1DD1CEC0" w14:textId="77777777" w:rsidR="0014164F" w:rsidRDefault="0014164F" w:rsidP="00C232D7">
                              <w:r>
                                <w:rPr>
                                  <w:rFonts w:ascii="Calibri" w:hAnsi="Calibri" w:cs="Calibri"/>
                                  <w:color w:val="404040"/>
                                  <w:sz w:val="18"/>
                                </w:rPr>
                                <w:t>0.25</w:t>
                              </w:r>
                            </w:p>
                          </w:txbxContent>
                        </wps:txbx>
                        <wps:bodyPr horzOverflow="overflow" vert="horz" lIns="0" tIns="0" rIns="0" bIns="0" rtlCol="0">
                          <a:noAutofit/>
                        </wps:bodyPr>
                      </wps:wsp>
                      <wps:wsp>
                        <wps:cNvPr id="757127" name="Rectangle 757127"/>
                        <wps:cNvSpPr/>
                        <wps:spPr>
                          <a:xfrm>
                            <a:off x="281902" y="643991"/>
                            <a:ext cx="108694" cy="154840"/>
                          </a:xfrm>
                          <a:prstGeom prst="rect">
                            <a:avLst/>
                          </a:prstGeom>
                          <a:ln>
                            <a:noFill/>
                          </a:ln>
                        </wps:spPr>
                        <wps:txbx>
                          <w:txbxContent>
                            <w:p w14:paraId="22299E88"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20" name="Rectangle 757120"/>
                        <wps:cNvSpPr/>
                        <wps:spPr>
                          <a:xfrm>
                            <a:off x="202654" y="504163"/>
                            <a:ext cx="108694" cy="154840"/>
                          </a:xfrm>
                          <a:prstGeom prst="rect">
                            <a:avLst/>
                          </a:prstGeom>
                          <a:ln>
                            <a:noFill/>
                          </a:ln>
                        </wps:spPr>
                        <wps:txbx>
                          <w:txbxContent>
                            <w:p w14:paraId="4E262A35"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18" name="Rectangle 757118"/>
                        <wps:cNvSpPr/>
                        <wps:spPr>
                          <a:xfrm>
                            <a:off x="0" y="504163"/>
                            <a:ext cx="269530" cy="154840"/>
                          </a:xfrm>
                          <a:prstGeom prst="rect">
                            <a:avLst/>
                          </a:prstGeom>
                          <a:ln>
                            <a:noFill/>
                          </a:ln>
                        </wps:spPr>
                        <wps:txbx>
                          <w:txbxContent>
                            <w:p w14:paraId="67E585D6" w14:textId="77777777" w:rsidR="0014164F" w:rsidRDefault="0014164F" w:rsidP="00C232D7">
                              <w:r>
                                <w:rPr>
                                  <w:rFonts w:ascii="Calibri" w:hAnsi="Calibri" w:cs="Calibri"/>
                                  <w:color w:val="404040"/>
                                  <w:sz w:val="18"/>
                                </w:rPr>
                                <w:t>3.21</w:t>
                              </w:r>
                            </w:p>
                          </w:txbxContent>
                        </wps:txbx>
                        <wps:bodyPr horzOverflow="overflow" vert="horz" lIns="0" tIns="0" rIns="0" bIns="0" rtlCol="0">
                          <a:noAutofit/>
                        </wps:bodyPr>
                      </wps:wsp>
                      <wps:wsp>
                        <wps:cNvPr id="757111" name="Rectangle 757111"/>
                        <wps:cNvSpPr/>
                        <wps:spPr>
                          <a:xfrm>
                            <a:off x="905002" y="353542"/>
                            <a:ext cx="269530" cy="154840"/>
                          </a:xfrm>
                          <a:prstGeom prst="rect">
                            <a:avLst/>
                          </a:prstGeom>
                          <a:ln>
                            <a:noFill/>
                          </a:ln>
                        </wps:spPr>
                        <wps:txbx>
                          <w:txbxContent>
                            <w:p w14:paraId="6A99C54F" w14:textId="77777777" w:rsidR="0014164F" w:rsidRDefault="0014164F" w:rsidP="00C232D7">
                              <w:r>
                                <w:rPr>
                                  <w:rFonts w:ascii="Calibri" w:hAnsi="Calibri" w:cs="Calibri"/>
                                  <w:color w:val="404040"/>
                                  <w:sz w:val="18"/>
                                </w:rPr>
                                <w:t>0.42</w:t>
                              </w:r>
                            </w:p>
                          </w:txbxContent>
                        </wps:txbx>
                        <wps:bodyPr horzOverflow="overflow" vert="horz" lIns="0" tIns="0" rIns="0" bIns="0" rtlCol="0">
                          <a:noAutofit/>
                        </wps:bodyPr>
                      </wps:wsp>
                      <wps:wsp>
                        <wps:cNvPr id="757112" name="Rectangle 757112"/>
                        <wps:cNvSpPr/>
                        <wps:spPr>
                          <a:xfrm>
                            <a:off x="1107656" y="353542"/>
                            <a:ext cx="108694" cy="154840"/>
                          </a:xfrm>
                          <a:prstGeom prst="rect">
                            <a:avLst/>
                          </a:prstGeom>
                          <a:ln>
                            <a:noFill/>
                          </a:ln>
                        </wps:spPr>
                        <wps:txbx>
                          <w:txbxContent>
                            <w:p w14:paraId="575F5801"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09" name="Rectangle 757109"/>
                        <wps:cNvSpPr/>
                        <wps:spPr>
                          <a:xfrm>
                            <a:off x="10363" y="340080"/>
                            <a:ext cx="269530" cy="154840"/>
                          </a:xfrm>
                          <a:prstGeom prst="rect">
                            <a:avLst/>
                          </a:prstGeom>
                          <a:ln>
                            <a:noFill/>
                          </a:ln>
                        </wps:spPr>
                        <wps:txbx>
                          <w:txbxContent>
                            <w:p w14:paraId="01B5FF2C" w14:textId="77777777" w:rsidR="0014164F" w:rsidRDefault="0014164F" w:rsidP="00C232D7">
                              <w:r>
                                <w:rPr>
                                  <w:rFonts w:ascii="Calibri" w:hAnsi="Calibri" w:cs="Calibri"/>
                                  <w:color w:val="404040"/>
                                  <w:sz w:val="18"/>
                                </w:rPr>
                                <w:t>2.11</w:t>
                              </w:r>
                            </w:p>
                          </w:txbxContent>
                        </wps:txbx>
                        <wps:bodyPr horzOverflow="overflow" vert="horz" lIns="0" tIns="0" rIns="0" bIns="0" rtlCol="0">
                          <a:noAutofit/>
                        </wps:bodyPr>
                      </wps:wsp>
                      <wps:wsp>
                        <wps:cNvPr id="757110" name="Rectangle 757110"/>
                        <wps:cNvSpPr/>
                        <wps:spPr>
                          <a:xfrm>
                            <a:off x="213017" y="340080"/>
                            <a:ext cx="108694" cy="154840"/>
                          </a:xfrm>
                          <a:prstGeom prst="rect">
                            <a:avLst/>
                          </a:prstGeom>
                          <a:ln>
                            <a:noFill/>
                          </a:ln>
                        </wps:spPr>
                        <wps:txbx>
                          <w:txbxContent>
                            <w:p w14:paraId="434003FE"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15" name="Rectangle 757115"/>
                        <wps:cNvSpPr/>
                        <wps:spPr>
                          <a:xfrm>
                            <a:off x="418846" y="427329"/>
                            <a:ext cx="269530" cy="154840"/>
                          </a:xfrm>
                          <a:prstGeom prst="rect">
                            <a:avLst/>
                          </a:prstGeom>
                          <a:ln>
                            <a:noFill/>
                          </a:ln>
                        </wps:spPr>
                        <wps:txbx>
                          <w:txbxContent>
                            <w:p w14:paraId="5663F71D" w14:textId="77777777" w:rsidR="0014164F" w:rsidRDefault="0014164F" w:rsidP="00C232D7">
                              <w:r>
                                <w:rPr>
                                  <w:rFonts w:ascii="Calibri" w:hAnsi="Calibri" w:cs="Calibri"/>
                                  <w:color w:val="404040"/>
                                  <w:sz w:val="18"/>
                                </w:rPr>
                                <w:t>0.34</w:t>
                              </w:r>
                            </w:p>
                          </w:txbxContent>
                        </wps:txbx>
                        <wps:bodyPr horzOverflow="overflow" vert="horz" lIns="0" tIns="0" rIns="0" bIns="0" rtlCol="0">
                          <a:noAutofit/>
                        </wps:bodyPr>
                      </wps:wsp>
                      <wps:wsp>
                        <wps:cNvPr id="757117" name="Rectangle 757117"/>
                        <wps:cNvSpPr/>
                        <wps:spPr>
                          <a:xfrm>
                            <a:off x="621500" y="427329"/>
                            <a:ext cx="108694" cy="154840"/>
                          </a:xfrm>
                          <a:prstGeom prst="rect">
                            <a:avLst/>
                          </a:prstGeom>
                          <a:ln>
                            <a:noFill/>
                          </a:ln>
                        </wps:spPr>
                        <wps:txbx>
                          <w:txbxContent>
                            <w:p w14:paraId="69C66039"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08" name="Rectangle 757108"/>
                        <wps:cNvSpPr/>
                        <wps:spPr>
                          <a:xfrm>
                            <a:off x="712305" y="228319"/>
                            <a:ext cx="108694" cy="154840"/>
                          </a:xfrm>
                          <a:prstGeom prst="rect">
                            <a:avLst/>
                          </a:prstGeom>
                          <a:ln>
                            <a:noFill/>
                          </a:ln>
                        </wps:spPr>
                        <wps:txbx>
                          <w:txbxContent>
                            <w:p w14:paraId="45B0235C"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07" name="Rectangle 757107"/>
                        <wps:cNvSpPr/>
                        <wps:spPr>
                          <a:xfrm>
                            <a:off x="509651" y="228319"/>
                            <a:ext cx="269530" cy="154840"/>
                          </a:xfrm>
                          <a:prstGeom prst="rect">
                            <a:avLst/>
                          </a:prstGeom>
                          <a:ln>
                            <a:noFill/>
                          </a:ln>
                        </wps:spPr>
                        <wps:txbx>
                          <w:txbxContent>
                            <w:p w14:paraId="4721021D" w14:textId="77777777" w:rsidR="0014164F" w:rsidRDefault="0014164F" w:rsidP="00C232D7">
                              <w:r>
                                <w:rPr>
                                  <w:rFonts w:ascii="Calibri" w:hAnsi="Calibri" w:cs="Calibri"/>
                                  <w:color w:val="404040"/>
                                  <w:sz w:val="18"/>
                                </w:rPr>
                                <w:t>0.08</w:t>
                              </w:r>
                            </w:p>
                          </w:txbxContent>
                        </wps:txbx>
                        <wps:bodyPr horzOverflow="overflow" vert="horz" lIns="0" tIns="0" rIns="0" bIns="0" rtlCol="0">
                          <a:noAutofit/>
                        </wps:bodyPr>
                      </wps:wsp>
                      <wps:wsp>
                        <wps:cNvPr id="757131" name="Rectangle 757131"/>
                        <wps:cNvSpPr/>
                        <wps:spPr>
                          <a:xfrm>
                            <a:off x="1377023" y="596112"/>
                            <a:ext cx="108694" cy="154840"/>
                          </a:xfrm>
                          <a:prstGeom prst="rect">
                            <a:avLst/>
                          </a:prstGeom>
                          <a:ln>
                            <a:noFill/>
                          </a:ln>
                        </wps:spPr>
                        <wps:txbx>
                          <w:txbxContent>
                            <w:p w14:paraId="33C62990"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30" name="Rectangle 757130"/>
                        <wps:cNvSpPr/>
                        <wps:spPr>
                          <a:xfrm>
                            <a:off x="1174369" y="596112"/>
                            <a:ext cx="269530" cy="154840"/>
                          </a:xfrm>
                          <a:prstGeom prst="rect">
                            <a:avLst/>
                          </a:prstGeom>
                          <a:ln>
                            <a:noFill/>
                          </a:ln>
                        </wps:spPr>
                        <wps:txbx>
                          <w:txbxContent>
                            <w:p w14:paraId="1DD7C46D" w14:textId="77777777" w:rsidR="0014164F" w:rsidRDefault="0014164F" w:rsidP="00C232D7">
                              <w:r>
                                <w:rPr>
                                  <w:rFonts w:ascii="Calibri" w:hAnsi="Calibri" w:cs="Calibri"/>
                                  <w:color w:val="404040"/>
                                  <w:sz w:val="18"/>
                                </w:rPr>
                                <w:t>0.25</w:t>
                              </w:r>
                            </w:p>
                          </w:txbxContent>
                        </wps:txbx>
                        <wps:bodyPr horzOverflow="overflow" vert="horz" lIns="0" tIns="0" rIns="0" bIns="0" rtlCol="0">
                          <a:noAutofit/>
                        </wps:bodyPr>
                      </wps:wsp>
                      <wps:wsp>
                        <wps:cNvPr id="757141" name="Rectangle 757141"/>
                        <wps:cNvSpPr/>
                        <wps:spPr>
                          <a:xfrm>
                            <a:off x="1345019" y="783310"/>
                            <a:ext cx="108694" cy="154840"/>
                          </a:xfrm>
                          <a:prstGeom prst="rect">
                            <a:avLst/>
                          </a:prstGeom>
                          <a:ln>
                            <a:noFill/>
                          </a:ln>
                        </wps:spPr>
                        <wps:txbx>
                          <w:txbxContent>
                            <w:p w14:paraId="3DF166D4"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40" name="Rectangle 757140"/>
                        <wps:cNvSpPr/>
                        <wps:spPr>
                          <a:xfrm>
                            <a:off x="1142365" y="783310"/>
                            <a:ext cx="269530" cy="154840"/>
                          </a:xfrm>
                          <a:prstGeom prst="rect">
                            <a:avLst/>
                          </a:prstGeom>
                          <a:ln>
                            <a:noFill/>
                          </a:ln>
                        </wps:spPr>
                        <wps:txbx>
                          <w:txbxContent>
                            <w:p w14:paraId="0DA5AB22" w14:textId="77777777" w:rsidR="0014164F" w:rsidRDefault="0014164F" w:rsidP="00C232D7">
                              <w:r>
                                <w:rPr>
                                  <w:rFonts w:ascii="Calibri" w:hAnsi="Calibri" w:cs="Calibri"/>
                                  <w:color w:val="404040"/>
                                  <w:sz w:val="18"/>
                                </w:rPr>
                                <w:t>0.51</w:t>
                              </w:r>
                            </w:p>
                          </w:txbxContent>
                        </wps:txbx>
                        <wps:bodyPr horzOverflow="overflow" vert="horz" lIns="0" tIns="0" rIns="0" bIns="0" rtlCol="0">
                          <a:noAutofit/>
                        </wps:bodyPr>
                      </wps:wsp>
                      <wps:wsp>
                        <wps:cNvPr id="757128" name="Rectangle 757128"/>
                        <wps:cNvSpPr/>
                        <wps:spPr>
                          <a:xfrm>
                            <a:off x="891540" y="562584"/>
                            <a:ext cx="269530" cy="154840"/>
                          </a:xfrm>
                          <a:prstGeom prst="rect">
                            <a:avLst/>
                          </a:prstGeom>
                          <a:ln>
                            <a:noFill/>
                          </a:ln>
                        </wps:spPr>
                        <wps:txbx>
                          <w:txbxContent>
                            <w:p w14:paraId="2F5FA0F7" w14:textId="77777777" w:rsidR="0014164F" w:rsidRDefault="0014164F" w:rsidP="00C232D7">
                              <w:r>
                                <w:rPr>
                                  <w:rFonts w:ascii="Calibri" w:hAnsi="Calibri" w:cs="Calibri"/>
                                  <w:color w:val="404040"/>
                                  <w:sz w:val="18"/>
                                </w:rPr>
                                <w:t>0.00</w:t>
                              </w:r>
                            </w:p>
                          </w:txbxContent>
                        </wps:txbx>
                        <wps:bodyPr horzOverflow="overflow" vert="horz" lIns="0" tIns="0" rIns="0" bIns="0" rtlCol="0">
                          <a:noAutofit/>
                        </wps:bodyPr>
                      </wps:wsp>
                      <wps:wsp>
                        <wps:cNvPr id="757129" name="Rectangle 757129"/>
                        <wps:cNvSpPr/>
                        <wps:spPr>
                          <a:xfrm>
                            <a:off x="1094194" y="562584"/>
                            <a:ext cx="108694" cy="154840"/>
                          </a:xfrm>
                          <a:prstGeom prst="rect">
                            <a:avLst/>
                          </a:prstGeom>
                          <a:ln>
                            <a:noFill/>
                          </a:ln>
                        </wps:spPr>
                        <wps:txbx>
                          <w:txbxContent>
                            <w:p w14:paraId="0D7964C4"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922175" name="Shape 922175"/>
                        <wps:cNvSpPr/>
                        <wps:spPr>
                          <a:xfrm>
                            <a:off x="1832610" y="97129"/>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0680" name="Shape 40680"/>
                        <wps:cNvSpPr/>
                        <wps:spPr>
                          <a:xfrm>
                            <a:off x="1832610" y="97129"/>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81" name="Rectangle 40681"/>
                        <wps:cNvSpPr/>
                        <wps:spPr>
                          <a:xfrm>
                            <a:off x="1905254" y="62505"/>
                            <a:ext cx="472753" cy="151421"/>
                          </a:xfrm>
                          <a:prstGeom prst="rect">
                            <a:avLst/>
                          </a:prstGeom>
                          <a:ln>
                            <a:noFill/>
                          </a:ln>
                        </wps:spPr>
                        <wps:txbx>
                          <w:txbxContent>
                            <w:p w14:paraId="0A2A6844" w14:textId="77777777" w:rsidR="0014164F" w:rsidRDefault="0014164F" w:rsidP="00C232D7">
                              <w:r>
                                <w:rPr>
                                  <w:rFonts w:ascii="Arial" w:eastAsia="Arial" w:hAnsi="Arial" w:cs="Arial"/>
                                  <w:color w:val="595959"/>
                                  <w:sz w:val="16"/>
                                </w:rPr>
                                <w:t>Plastika</w:t>
                              </w:r>
                            </w:p>
                          </w:txbxContent>
                        </wps:txbx>
                        <wps:bodyPr horzOverflow="overflow" vert="horz" lIns="0" tIns="0" rIns="0" bIns="0" rtlCol="0">
                          <a:noAutofit/>
                        </wps:bodyPr>
                      </wps:wsp>
                      <wps:wsp>
                        <wps:cNvPr id="922176" name="Shape 922176"/>
                        <wps:cNvSpPr/>
                        <wps:spPr>
                          <a:xfrm>
                            <a:off x="1832610" y="289153"/>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0683" name="Shape 40683"/>
                        <wps:cNvSpPr/>
                        <wps:spPr>
                          <a:xfrm>
                            <a:off x="1832610" y="289153"/>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84" name="Rectangle 40684"/>
                        <wps:cNvSpPr/>
                        <wps:spPr>
                          <a:xfrm>
                            <a:off x="1905254" y="254784"/>
                            <a:ext cx="368999" cy="151421"/>
                          </a:xfrm>
                          <a:prstGeom prst="rect">
                            <a:avLst/>
                          </a:prstGeom>
                          <a:ln>
                            <a:noFill/>
                          </a:ln>
                        </wps:spPr>
                        <wps:txbx>
                          <w:txbxContent>
                            <w:p w14:paraId="394A9E27" w14:textId="77777777" w:rsidR="0014164F" w:rsidRDefault="0014164F" w:rsidP="00C232D7">
                              <w:r>
                                <w:rPr>
                                  <w:rFonts w:ascii="Arial" w:eastAsia="Arial" w:hAnsi="Arial" w:cs="Arial"/>
                                  <w:color w:val="595959"/>
                                  <w:sz w:val="16"/>
                                </w:rPr>
                                <w:t>Guma</w:t>
                              </w:r>
                            </w:p>
                          </w:txbxContent>
                        </wps:txbx>
                        <wps:bodyPr horzOverflow="overflow" vert="horz" lIns="0" tIns="0" rIns="0" bIns="0" rtlCol="0">
                          <a:noAutofit/>
                        </wps:bodyPr>
                      </wps:wsp>
                      <wps:wsp>
                        <wps:cNvPr id="922177" name="Shape 922177"/>
                        <wps:cNvSpPr/>
                        <wps:spPr>
                          <a:xfrm>
                            <a:off x="1832610" y="481177"/>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0686" name="Shape 40686"/>
                        <wps:cNvSpPr/>
                        <wps:spPr>
                          <a:xfrm>
                            <a:off x="1832610" y="481177"/>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87" name="Rectangle 40687"/>
                        <wps:cNvSpPr/>
                        <wps:spPr>
                          <a:xfrm>
                            <a:off x="1905254" y="465259"/>
                            <a:ext cx="428189" cy="127647"/>
                          </a:xfrm>
                          <a:prstGeom prst="rect">
                            <a:avLst/>
                          </a:prstGeom>
                          <a:ln>
                            <a:noFill/>
                          </a:ln>
                        </wps:spPr>
                        <wps:txbx>
                          <w:txbxContent>
                            <w:p w14:paraId="2A24060C" w14:textId="77777777" w:rsidR="0014164F" w:rsidRDefault="0014164F" w:rsidP="00C232D7">
                              <w:r>
                                <w:rPr>
                                  <w:rFonts w:ascii="Arial" w:eastAsia="Arial" w:hAnsi="Arial" w:cs="Arial"/>
                                  <w:color w:val="595959"/>
                                  <w:sz w:val="16"/>
                                </w:rPr>
                                <w:t>Odjeća</w:t>
                              </w:r>
                            </w:p>
                          </w:txbxContent>
                        </wps:txbx>
                        <wps:bodyPr horzOverflow="overflow" vert="horz" lIns="0" tIns="0" rIns="0" bIns="0" rtlCol="0">
                          <a:noAutofit/>
                        </wps:bodyPr>
                      </wps:wsp>
                      <wps:wsp>
                        <wps:cNvPr id="922178" name="Shape 922178"/>
                        <wps:cNvSpPr/>
                        <wps:spPr>
                          <a:xfrm>
                            <a:off x="1832610" y="673201"/>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0689" name="Shape 40689"/>
                        <wps:cNvSpPr/>
                        <wps:spPr>
                          <a:xfrm>
                            <a:off x="1832610" y="673201"/>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90" name="Rectangle 40690"/>
                        <wps:cNvSpPr/>
                        <wps:spPr>
                          <a:xfrm>
                            <a:off x="1905254" y="639466"/>
                            <a:ext cx="727657" cy="151421"/>
                          </a:xfrm>
                          <a:prstGeom prst="rect">
                            <a:avLst/>
                          </a:prstGeom>
                          <a:ln>
                            <a:noFill/>
                          </a:ln>
                        </wps:spPr>
                        <wps:txbx>
                          <w:txbxContent>
                            <w:p w14:paraId="44B03AFA" w14:textId="77777777" w:rsidR="0014164F" w:rsidRDefault="0014164F" w:rsidP="00C232D7">
                              <w:r>
                                <w:rPr>
                                  <w:rFonts w:ascii="Arial" w:eastAsia="Arial" w:hAnsi="Arial" w:cs="Arial"/>
                                  <w:color w:val="595959"/>
                                  <w:sz w:val="16"/>
                                </w:rPr>
                                <w:t>Papir/karton</w:t>
                              </w:r>
                            </w:p>
                          </w:txbxContent>
                        </wps:txbx>
                        <wps:bodyPr horzOverflow="overflow" vert="horz" lIns="0" tIns="0" rIns="0" bIns="0" rtlCol="0">
                          <a:noAutofit/>
                        </wps:bodyPr>
                      </wps:wsp>
                      <wps:wsp>
                        <wps:cNvPr id="922179" name="Shape 922179"/>
                        <wps:cNvSpPr/>
                        <wps:spPr>
                          <a:xfrm>
                            <a:off x="1832610" y="865225"/>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0692" name="Shape 40692"/>
                        <wps:cNvSpPr/>
                        <wps:spPr>
                          <a:xfrm>
                            <a:off x="1832610" y="865225"/>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93" name="Rectangle 40693"/>
                        <wps:cNvSpPr/>
                        <wps:spPr>
                          <a:xfrm>
                            <a:off x="1905254" y="849815"/>
                            <a:ext cx="901872" cy="127647"/>
                          </a:xfrm>
                          <a:prstGeom prst="rect">
                            <a:avLst/>
                          </a:prstGeom>
                          <a:ln>
                            <a:noFill/>
                          </a:ln>
                        </wps:spPr>
                        <wps:txbx>
                          <w:txbxContent>
                            <w:p w14:paraId="41605761" w14:textId="77777777" w:rsidR="0014164F" w:rsidRDefault="0014164F" w:rsidP="00C232D7">
                              <w:r>
                                <w:rPr>
                                  <w:rFonts w:ascii="Arial" w:eastAsia="Arial" w:hAnsi="Arial" w:cs="Arial"/>
                                  <w:color w:val="595959"/>
                                  <w:sz w:val="16"/>
                                </w:rPr>
                                <w:t>Obrađeno drvo</w:t>
                              </w:r>
                            </w:p>
                          </w:txbxContent>
                        </wps:txbx>
                        <wps:bodyPr horzOverflow="overflow" vert="horz" lIns="0" tIns="0" rIns="0" bIns="0" rtlCol="0">
                          <a:noAutofit/>
                        </wps:bodyPr>
                      </wps:wsp>
                      <wps:wsp>
                        <wps:cNvPr id="922180" name="Shape 922180"/>
                        <wps:cNvSpPr/>
                        <wps:spPr>
                          <a:xfrm>
                            <a:off x="1832610" y="1058773"/>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0695" name="Shape 40695"/>
                        <wps:cNvSpPr/>
                        <wps:spPr>
                          <a:xfrm>
                            <a:off x="1832610" y="1058773"/>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96" name="Rectangle 40696"/>
                        <wps:cNvSpPr/>
                        <wps:spPr>
                          <a:xfrm>
                            <a:off x="1905254" y="1024150"/>
                            <a:ext cx="330161" cy="151421"/>
                          </a:xfrm>
                          <a:prstGeom prst="rect">
                            <a:avLst/>
                          </a:prstGeom>
                          <a:ln>
                            <a:noFill/>
                          </a:ln>
                        </wps:spPr>
                        <wps:txbx>
                          <w:txbxContent>
                            <w:p w14:paraId="63A24AC7" w14:textId="77777777" w:rsidR="0014164F" w:rsidRDefault="0014164F" w:rsidP="00C232D7">
                              <w:r>
                                <w:rPr>
                                  <w:rFonts w:ascii="Arial" w:eastAsia="Arial" w:hAnsi="Arial" w:cs="Arial"/>
                                  <w:color w:val="595959"/>
                                  <w:sz w:val="16"/>
                                </w:rPr>
                                <w:t>Metal</w:t>
                              </w:r>
                            </w:p>
                          </w:txbxContent>
                        </wps:txbx>
                        <wps:bodyPr horzOverflow="overflow" vert="horz" lIns="0" tIns="0" rIns="0" bIns="0" rtlCol="0">
                          <a:noAutofit/>
                        </wps:bodyPr>
                      </wps:wsp>
                      <wps:wsp>
                        <wps:cNvPr id="922181" name="Shape 922181"/>
                        <wps:cNvSpPr/>
                        <wps:spPr>
                          <a:xfrm>
                            <a:off x="1832610" y="1250797"/>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255E91"/>
                          </a:fillRef>
                          <a:effectRef idx="0">
                            <a:scrgbClr r="0" g="0" b="0"/>
                          </a:effectRef>
                          <a:fontRef idx="none"/>
                        </wps:style>
                        <wps:bodyPr/>
                      </wps:wsp>
                      <wps:wsp>
                        <wps:cNvPr id="40698" name="Shape 40698"/>
                        <wps:cNvSpPr/>
                        <wps:spPr>
                          <a:xfrm>
                            <a:off x="1832610" y="1250797"/>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699" name="Rectangle 40699"/>
                        <wps:cNvSpPr/>
                        <wps:spPr>
                          <a:xfrm>
                            <a:off x="1905254" y="1216428"/>
                            <a:ext cx="375246" cy="151421"/>
                          </a:xfrm>
                          <a:prstGeom prst="rect">
                            <a:avLst/>
                          </a:prstGeom>
                          <a:ln>
                            <a:noFill/>
                          </a:ln>
                        </wps:spPr>
                        <wps:txbx>
                          <w:txbxContent>
                            <w:p w14:paraId="1547450E" w14:textId="77777777" w:rsidR="0014164F" w:rsidRDefault="0014164F" w:rsidP="00C232D7">
                              <w:r>
                                <w:rPr>
                                  <w:rFonts w:ascii="Arial" w:eastAsia="Arial" w:hAnsi="Arial" w:cs="Arial"/>
                                  <w:color w:val="595959"/>
                                  <w:sz w:val="16"/>
                                </w:rPr>
                                <w:t>Staklo</w:t>
                              </w:r>
                            </w:p>
                          </w:txbxContent>
                        </wps:txbx>
                        <wps:bodyPr horzOverflow="overflow" vert="horz" lIns="0" tIns="0" rIns="0" bIns="0" rtlCol="0">
                          <a:noAutofit/>
                        </wps:bodyPr>
                      </wps:wsp>
                      <wps:wsp>
                        <wps:cNvPr id="922182" name="Shape 922182"/>
                        <wps:cNvSpPr/>
                        <wps:spPr>
                          <a:xfrm>
                            <a:off x="1832610" y="1442820"/>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0701" name="Shape 40701"/>
                        <wps:cNvSpPr/>
                        <wps:spPr>
                          <a:xfrm>
                            <a:off x="1832610" y="1442820"/>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02" name="Rectangle 40702"/>
                        <wps:cNvSpPr/>
                        <wps:spPr>
                          <a:xfrm>
                            <a:off x="1905254" y="1408176"/>
                            <a:ext cx="571962" cy="151874"/>
                          </a:xfrm>
                          <a:prstGeom prst="rect">
                            <a:avLst/>
                          </a:prstGeom>
                          <a:ln>
                            <a:noFill/>
                          </a:ln>
                        </wps:spPr>
                        <wps:txbx>
                          <w:txbxContent>
                            <w:p w14:paraId="6FB66EB9" w14:textId="77777777" w:rsidR="0014164F" w:rsidRDefault="0014164F" w:rsidP="00C232D7">
                              <w:r>
                                <w:rPr>
                                  <w:rFonts w:ascii="Arial" w:eastAsia="Arial" w:hAnsi="Arial" w:cs="Arial"/>
                                  <w:color w:val="595959"/>
                                  <w:sz w:val="16"/>
                                </w:rPr>
                                <w:t>Keramika</w:t>
                              </w:r>
                            </w:p>
                          </w:txbxContent>
                        </wps:txbx>
                        <wps:bodyPr horzOverflow="overflow" vert="horz" lIns="0" tIns="0" rIns="0" bIns="0" rtlCol="0">
                          <a:noAutofit/>
                        </wps:bodyPr>
                      </wps:wsp>
                      <wps:wsp>
                        <wps:cNvPr id="922183" name="Shape 922183"/>
                        <wps:cNvSpPr/>
                        <wps:spPr>
                          <a:xfrm>
                            <a:off x="1832610" y="1634844"/>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636363"/>
                          </a:fillRef>
                          <a:effectRef idx="0">
                            <a:scrgbClr r="0" g="0" b="0"/>
                          </a:effectRef>
                          <a:fontRef idx="none"/>
                        </wps:style>
                        <wps:bodyPr/>
                      </wps:wsp>
                      <wps:wsp>
                        <wps:cNvPr id="40704" name="Shape 40704"/>
                        <wps:cNvSpPr/>
                        <wps:spPr>
                          <a:xfrm>
                            <a:off x="1832610" y="1634844"/>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05" name="Rectangle 40705"/>
                        <wps:cNvSpPr/>
                        <wps:spPr>
                          <a:xfrm>
                            <a:off x="1905254" y="1600857"/>
                            <a:ext cx="908004" cy="151421"/>
                          </a:xfrm>
                          <a:prstGeom prst="rect">
                            <a:avLst/>
                          </a:prstGeom>
                          <a:ln>
                            <a:noFill/>
                          </a:ln>
                        </wps:spPr>
                        <wps:txbx>
                          <w:txbxContent>
                            <w:p w14:paraId="7A82AFE4" w14:textId="77777777" w:rsidR="0014164F" w:rsidRDefault="0014164F" w:rsidP="00C232D7">
                              <w:r>
                                <w:rPr>
                                  <w:rFonts w:ascii="Arial" w:eastAsia="Arial" w:hAnsi="Arial" w:cs="Arial"/>
                                  <w:color w:val="595959"/>
                                  <w:sz w:val="16"/>
                                </w:rPr>
                                <w:t>Sanitarni otpad</w:t>
                              </w:r>
                            </w:p>
                          </w:txbxContent>
                        </wps:txbx>
                        <wps:bodyPr horzOverflow="overflow" vert="horz" lIns="0" tIns="0" rIns="0" bIns="0" rtlCol="0">
                          <a:noAutofit/>
                        </wps:bodyPr>
                      </wps:wsp>
                      <wps:wsp>
                        <wps:cNvPr id="922184" name="Shape 922184"/>
                        <wps:cNvSpPr/>
                        <wps:spPr>
                          <a:xfrm>
                            <a:off x="1832610" y="1826869"/>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997300"/>
                          </a:fillRef>
                          <a:effectRef idx="0">
                            <a:scrgbClr r="0" g="0" b="0"/>
                          </a:effectRef>
                          <a:fontRef idx="none"/>
                        </wps:style>
                        <wps:bodyPr/>
                      </wps:wsp>
                      <wps:wsp>
                        <wps:cNvPr id="40707" name="Shape 40707"/>
                        <wps:cNvSpPr/>
                        <wps:spPr>
                          <a:xfrm>
                            <a:off x="1832610" y="1826869"/>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08" name="Rectangle 40708"/>
                        <wps:cNvSpPr/>
                        <wps:spPr>
                          <a:xfrm>
                            <a:off x="1905254" y="1793135"/>
                            <a:ext cx="1007548" cy="151421"/>
                          </a:xfrm>
                          <a:prstGeom prst="rect">
                            <a:avLst/>
                          </a:prstGeom>
                          <a:ln>
                            <a:noFill/>
                          </a:ln>
                        </wps:spPr>
                        <wps:txbx>
                          <w:txbxContent>
                            <w:p w14:paraId="3641C32C" w14:textId="77777777" w:rsidR="0014164F" w:rsidRDefault="0014164F" w:rsidP="00C232D7">
                              <w:r>
                                <w:rPr>
                                  <w:rFonts w:ascii="Arial" w:eastAsia="Arial" w:hAnsi="Arial" w:cs="Arial"/>
                                  <w:color w:val="595959"/>
                                  <w:sz w:val="16"/>
                                </w:rPr>
                                <w:t>Medicinski otpad</w:t>
                              </w:r>
                            </w:p>
                          </w:txbxContent>
                        </wps:txbx>
                        <wps:bodyPr horzOverflow="overflow" vert="horz" lIns="0" tIns="0" rIns="0" bIns="0" rtlCol="0">
                          <a:noAutofit/>
                        </wps:bodyPr>
                      </wps:wsp>
                      <wps:wsp>
                        <wps:cNvPr id="922185" name="Shape 922185"/>
                        <wps:cNvSpPr/>
                        <wps:spPr>
                          <a:xfrm>
                            <a:off x="1832610" y="2018893"/>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0710" name="Shape 40710"/>
                        <wps:cNvSpPr/>
                        <wps:spPr>
                          <a:xfrm>
                            <a:off x="1832610" y="2018893"/>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11" name="Rectangle 40711"/>
                        <wps:cNvSpPr/>
                        <wps:spPr>
                          <a:xfrm>
                            <a:off x="1905254" y="1985413"/>
                            <a:ext cx="819439" cy="151421"/>
                          </a:xfrm>
                          <a:prstGeom prst="rect">
                            <a:avLst/>
                          </a:prstGeom>
                          <a:ln>
                            <a:noFill/>
                          </a:ln>
                        </wps:spPr>
                        <wps:txbx>
                          <w:txbxContent>
                            <w:p w14:paraId="759EE637" w14:textId="77777777" w:rsidR="0014164F" w:rsidRDefault="0014164F" w:rsidP="00C232D7">
                              <w:r>
                                <w:rPr>
                                  <w:rFonts w:ascii="Arial" w:eastAsia="Arial" w:hAnsi="Arial" w:cs="Arial"/>
                                  <w:color w:val="595959"/>
                                  <w:sz w:val="16"/>
                                </w:rPr>
                                <w:t>Parafin/vosak</w:t>
                              </w:r>
                            </w:p>
                          </w:txbxContent>
                        </wps:txbx>
                        <wps:bodyPr horzOverflow="overflow" vert="horz" lIns="0" tIns="0" rIns="0" bIns="0" rtlCol="0">
                          <a:noAutofit/>
                        </wps:bodyPr>
                      </wps:wsp>
                      <wps:wsp>
                        <wps:cNvPr id="40713" name="Shape 40713"/>
                        <wps:cNvSpPr/>
                        <wps:spPr>
                          <a:xfrm>
                            <a:off x="3756025" y="900276"/>
                            <a:ext cx="497967" cy="630174"/>
                          </a:xfrm>
                          <a:custGeom>
                            <a:avLst/>
                            <a:gdLst/>
                            <a:ahLst/>
                            <a:cxnLst/>
                            <a:rect l="0" t="0" r="0" b="0"/>
                            <a:pathLst>
                              <a:path w="497967" h="630174">
                                <a:moveTo>
                                  <a:pt x="0" y="0"/>
                                </a:moveTo>
                                <a:cubicBezTo>
                                  <a:pt x="194818" y="0"/>
                                  <a:pt x="378587" y="90043"/>
                                  <a:pt x="497967" y="243967"/>
                                </a:cubicBezTo>
                                <a:lnTo>
                                  <a:pt x="0" y="630174"/>
                                </a:lnTo>
                                <a:lnTo>
                                  <a:pt x="0" y="0"/>
                                </a:ln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40714" name="Shape 40714"/>
                        <wps:cNvSpPr/>
                        <wps:spPr>
                          <a:xfrm>
                            <a:off x="3756025" y="900276"/>
                            <a:ext cx="497967" cy="630174"/>
                          </a:xfrm>
                          <a:custGeom>
                            <a:avLst/>
                            <a:gdLst/>
                            <a:ahLst/>
                            <a:cxnLst/>
                            <a:rect l="0" t="0" r="0" b="0"/>
                            <a:pathLst>
                              <a:path w="497967" h="630174">
                                <a:moveTo>
                                  <a:pt x="0" y="0"/>
                                </a:moveTo>
                                <a:cubicBezTo>
                                  <a:pt x="194818" y="0"/>
                                  <a:pt x="378587" y="90043"/>
                                  <a:pt x="497967" y="243967"/>
                                </a:cubicBezTo>
                                <a:lnTo>
                                  <a:pt x="0" y="63017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15" name="Shape 40715"/>
                        <wps:cNvSpPr/>
                        <wps:spPr>
                          <a:xfrm>
                            <a:off x="3044698" y="927455"/>
                            <a:ext cx="1422654" cy="1314323"/>
                          </a:xfrm>
                          <a:custGeom>
                            <a:avLst/>
                            <a:gdLst/>
                            <a:ahLst/>
                            <a:cxnLst/>
                            <a:rect l="0" t="0" r="0" b="0"/>
                            <a:pathLst>
                              <a:path w="1422654" h="1314323">
                                <a:moveTo>
                                  <a:pt x="528066" y="0"/>
                                </a:moveTo>
                                <a:lnTo>
                                  <a:pt x="711327" y="602996"/>
                                </a:lnTo>
                                <a:lnTo>
                                  <a:pt x="1209294" y="216789"/>
                                </a:lnTo>
                                <a:cubicBezTo>
                                  <a:pt x="1422654" y="491871"/>
                                  <a:pt x="1372616" y="887730"/>
                                  <a:pt x="1097534" y="1101090"/>
                                </a:cubicBezTo>
                                <a:cubicBezTo>
                                  <a:pt x="822452" y="1314323"/>
                                  <a:pt x="426593" y="1264285"/>
                                  <a:pt x="213233" y="989330"/>
                                </a:cubicBezTo>
                                <a:cubicBezTo>
                                  <a:pt x="0" y="714248"/>
                                  <a:pt x="50038" y="318389"/>
                                  <a:pt x="324993" y="105029"/>
                                </a:cubicBezTo>
                                <a:cubicBezTo>
                                  <a:pt x="385699" y="57912"/>
                                  <a:pt x="454533" y="22352"/>
                                  <a:pt x="528066"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40716" name="Shape 40716"/>
                        <wps:cNvSpPr/>
                        <wps:spPr>
                          <a:xfrm>
                            <a:off x="3044698" y="927455"/>
                            <a:ext cx="1422654" cy="1314323"/>
                          </a:xfrm>
                          <a:custGeom>
                            <a:avLst/>
                            <a:gdLst/>
                            <a:ahLst/>
                            <a:cxnLst/>
                            <a:rect l="0" t="0" r="0" b="0"/>
                            <a:pathLst>
                              <a:path w="1422654" h="1314323">
                                <a:moveTo>
                                  <a:pt x="1209294" y="216789"/>
                                </a:moveTo>
                                <a:cubicBezTo>
                                  <a:pt x="1422654" y="491871"/>
                                  <a:pt x="1372616" y="887730"/>
                                  <a:pt x="1097534" y="1101090"/>
                                </a:cubicBezTo>
                                <a:cubicBezTo>
                                  <a:pt x="822452" y="1314323"/>
                                  <a:pt x="426593" y="1264285"/>
                                  <a:pt x="213233" y="989330"/>
                                </a:cubicBezTo>
                                <a:cubicBezTo>
                                  <a:pt x="0" y="714248"/>
                                  <a:pt x="50038" y="318389"/>
                                  <a:pt x="324993" y="105029"/>
                                </a:cubicBezTo>
                                <a:cubicBezTo>
                                  <a:pt x="385699" y="57912"/>
                                  <a:pt x="454533" y="22352"/>
                                  <a:pt x="528066" y="0"/>
                                </a:cubicBezTo>
                                <a:lnTo>
                                  <a:pt x="711327" y="602996"/>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17" name="Shape 40717"/>
                        <wps:cNvSpPr/>
                        <wps:spPr>
                          <a:xfrm>
                            <a:off x="3572764" y="923391"/>
                            <a:ext cx="183261" cy="607060"/>
                          </a:xfrm>
                          <a:custGeom>
                            <a:avLst/>
                            <a:gdLst/>
                            <a:ahLst/>
                            <a:cxnLst/>
                            <a:rect l="0" t="0" r="0" b="0"/>
                            <a:pathLst>
                              <a:path w="183261" h="607060">
                                <a:moveTo>
                                  <a:pt x="13970" y="0"/>
                                </a:moveTo>
                                <a:lnTo>
                                  <a:pt x="183261" y="607060"/>
                                </a:lnTo>
                                <a:lnTo>
                                  <a:pt x="0" y="4064"/>
                                </a:lnTo>
                                <a:cubicBezTo>
                                  <a:pt x="4572" y="2667"/>
                                  <a:pt x="9271" y="1270"/>
                                  <a:pt x="13970" y="0"/>
                                </a:cubicBez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40718" name="Shape 40718"/>
                        <wps:cNvSpPr/>
                        <wps:spPr>
                          <a:xfrm>
                            <a:off x="3572764" y="923391"/>
                            <a:ext cx="183261" cy="607060"/>
                          </a:xfrm>
                          <a:custGeom>
                            <a:avLst/>
                            <a:gdLst/>
                            <a:ahLst/>
                            <a:cxnLst/>
                            <a:rect l="0" t="0" r="0" b="0"/>
                            <a:pathLst>
                              <a:path w="183261" h="607060">
                                <a:moveTo>
                                  <a:pt x="0" y="4064"/>
                                </a:moveTo>
                                <a:cubicBezTo>
                                  <a:pt x="4572" y="2667"/>
                                  <a:pt x="9271" y="1270"/>
                                  <a:pt x="13970" y="0"/>
                                </a:cubicBezTo>
                                <a:lnTo>
                                  <a:pt x="183261" y="60706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19" name="Shape 40719"/>
                        <wps:cNvSpPr/>
                        <wps:spPr>
                          <a:xfrm>
                            <a:off x="3586734" y="913993"/>
                            <a:ext cx="169291" cy="616458"/>
                          </a:xfrm>
                          <a:custGeom>
                            <a:avLst/>
                            <a:gdLst/>
                            <a:ahLst/>
                            <a:cxnLst/>
                            <a:rect l="0" t="0" r="0" b="0"/>
                            <a:pathLst>
                              <a:path w="169291" h="616458">
                                <a:moveTo>
                                  <a:pt x="38354" y="0"/>
                                </a:moveTo>
                                <a:lnTo>
                                  <a:pt x="169291" y="616458"/>
                                </a:lnTo>
                                <a:lnTo>
                                  <a:pt x="0" y="9398"/>
                                </a:lnTo>
                                <a:cubicBezTo>
                                  <a:pt x="12700" y="5842"/>
                                  <a:pt x="25527" y="2667"/>
                                  <a:pt x="38354" y="0"/>
                                </a:cubicBez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40720" name="Shape 40720"/>
                        <wps:cNvSpPr/>
                        <wps:spPr>
                          <a:xfrm>
                            <a:off x="3586734" y="913993"/>
                            <a:ext cx="169291" cy="616458"/>
                          </a:xfrm>
                          <a:custGeom>
                            <a:avLst/>
                            <a:gdLst/>
                            <a:ahLst/>
                            <a:cxnLst/>
                            <a:rect l="0" t="0" r="0" b="0"/>
                            <a:pathLst>
                              <a:path w="169291" h="616458">
                                <a:moveTo>
                                  <a:pt x="0" y="9398"/>
                                </a:moveTo>
                                <a:cubicBezTo>
                                  <a:pt x="12700" y="5842"/>
                                  <a:pt x="25527" y="2667"/>
                                  <a:pt x="38354" y="0"/>
                                </a:cubicBezTo>
                                <a:lnTo>
                                  <a:pt x="169291" y="616458"/>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21" name="Shape 40721"/>
                        <wps:cNvSpPr/>
                        <wps:spPr>
                          <a:xfrm>
                            <a:off x="3625088" y="907897"/>
                            <a:ext cx="130937" cy="622554"/>
                          </a:xfrm>
                          <a:custGeom>
                            <a:avLst/>
                            <a:gdLst/>
                            <a:ahLst/>
                            <a:cxnLst/>
                            <a:rect l="0" t="0" r="0" b="0"/>
                            <a:pathLst>
                              <a:path w="130937" h="622554">
                                <a:moveTo>
                                  <a:pt x="32639" y="0"/>
                                </a:moveTo>
                                <a:lnTo>
                                  <a:pt x="130937" y="622554"/>
                                </a:lnTo>
                                <a:lnTo>
                                  <a:pt x="0" y="6096"/>
                                </a:lnTo>
                                <a:cubicBezTo>
                                  <a:pt x="10795" y="3810"/>
                                  <a:pt x="21717" y="1778"/>
                                  <a:pt x="32639"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40722" name="Shape 40722"/>
                        <wps:cNvSpPr/>
                        <wps:spPr>
                          <a:xfrm>
                            <a:off x="3625088" y="907897"/>
                            <a:ext cx="130937" cy="622554"/>
                          </a:xfrm>
                          <a:custGeom>
                            <a:avLst/>
                            <a:gdLst/>
                            <a:ahLst/>
                            <a:cxnLst/>
                            <a:rect l="0" t="0" r="0" b="0"/>
                            <a:pathLst>
                              <a:path w="130937" h="622554">
                                <a:moveTo>
                                  <a:pt x="0" y="6096"/>
                                </a:moveTo>
                                <a:cubicBezTo>
                                  <a:pt x="10795" y="3810"/>
                                  <a:pt x="21717" y="1778"/>
                                  <a:pt x="32639" y="0"/>
                                </a:cubicBezTo>
                                <a:lnTo>
                                  <a:pt x="130937" y="62255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23" name="Shape 40723"/>
                        <wps:cNvSpPr/>
                        <wps:spPr>
                          <a:xfrm>
                            <a:off x="3657727" y="900404"/>
                            <a:ext cx="98298" cy="630047"/>
                          </a:xfrm>
                          <a:custGeom>
                            <a:avLst/>
                            <a:gdLst/>
                            <a:ahLst/>
                            <a:cxnLst/>
                            <a:rect l="0" t="0" r="0" b="0"/>
                            <a:pathLst>
                              <a:path w="98298" h="630047">
                                <a:moveTo>
                                  <a:pt x="80899" y="0"/>
                                </a:moveTo>
                                <a:lnTo>
                                  <a:pt x="98298" y="630047"/>
                                </a:lnTo>
                                <a:lnTo>
                                  <a:pt x="0" y="7493"/>
                                </a:lnTo>
                                <a:cubicBezTo>
                                  <a:pt x="26797" y="3302"/>
                                  <a:pt x="53848" y="762"/>
                                  <a:pt x="80899" y="0"/>
                                </a:cubicBezTo>
                                <a:close/>
                              </a:path>
                            </a:pathLst>
                          </a:custGeom>
                          <a:ln w="0" cap="flat">
                            <a:round/>
                          </a:ln>
                        </wps:spPr>
                        <wps:style>
                          <a:lnRef idx="0">
                            <a:srgbClr val="000000">
                              <a:alpha val="0"/>
                            </a:srgbClr>
                          </a:lnRef>
                          <a:fillRef idx="1">
                            <a:srgbClr val="70AD47"/>
                          </a:fillRef>
                          <a:effectRef idx="0">
                            <a:scrgbClr r="0" g="0" b="0"/>
                          </a:effectRef>
                          <a:fontRef idx="none"/>
                        </wps:style>
                        <wps:bodyPr/>
                      </wps:wsp>
                      <wps:wsp>
                        <wps:cNvPr id="40724" name="Shape 40724"/>
                        <wps:cNvSpPr/>
                        <wps:spPr>
                          <a:xfrm>
                            <a:off x="3657727" y="900404"/>
                            <a:ext cx="98298" cy="630047"/>
                          </a:xfrm>
                          <a:custGeom>
                            <a:avLst/>
                            <a:gdLst/>
                            <a:ahLst/>
                            <a:cxnLst/>
                            <a:rect l="0" t="0" r="0" b="0"/>
                            <a:pathLst>
                              <a:path w="98298" h="630047">
                                <a:moveTo>
                                  <a:pt x="0" y="7493"/>
                                </a:moveTo>
                                <a:cubicBezTo>
                                  <a:pt x="26797" y="3302"/>
                                  <a:pt x="53848" y="762"/>
                                  <a:pt x="80899" y="0"/>
                                </a:cubicBezTo>
                                <a:lnTo>
                                  <a:pt x="98298" y="630047"/>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25" name="Shape 40725"/>
                        <wps:cNvSpPr/>
                        <wps:spPr>
                          <a:xfrm>
                            <a:off x="3738626" y="900404"/>
                            <a:ext cx="17399" cy="630047"/>
                          </a:xfrm>
                          <a:custGeom>
                            <a:avLst/>
                            <a:gdLst/>
                            <a:ahLst/>
                            <a:cxnLst/>
                            <a:rect l="0" t="0" r="0" b="0"/>
                            <a:pathLst>
                              <a:path w="17399" h="630047">
                                <a:moveTo>
                                  <a:pt x="0" y="0"/>
                                </a:moveTo>
                                <a:cubicBezTo>
                                  <a:pt x="1524" y="0"/>
                                  <a:pt x="3048" y="0"/>
                                  <a:pt x="4572" y="0"/>
                                </a:cubicBezTo>
                                <a:lnTo>
                                  <a:pt x="17399" y="630047"/>
                                </a:lnTo>
                                <a:lnTo>
                                  <a:pt x="0" y="0"/>
                                </a:lnTo>
                                <a:close/>
                              </a:path>
                            </a:pathLst>
                          </a:custGeom>
                          <a:ln w="0" cap="flat">
                            <a:round/>
                          </a:ln>
                        </wps:spPr>
                        <wps:style>
                          <a:lnRef idx="0">
                            <a:srgbClr val="000000">
                              <a:alpha val="0"/>
                            </a:srgbClr>
                          </a:lnRef>
                          <a:fillRef idx="1">
                            <a:srgbClr val="255E91"/>
                          </a:fillRef>
                          <a:effectRef idx="0">
                            <a:scrgbClr r="0" g="0" b="0"/>
                          </a:effectRef>
                          <a:fontRef idx="none"/>
                        </wps:style>
                        <wps:bodyPr/>
                      </wps:wsp>
                      <wps:wsp>
                        <wps:cNvPr id="40726" name="Shape 40726"/>
                        <wps:cNvSpPr/>
                        <wps:spPr>
                          <a:xfrm>
                            <a:off x="3738626" y="900404"/>
                            <a:ext cx="17399" cy="630047"/>
                          </a:xfrm>
                          <a:custGeom>
                            <a:avLst/>
                            <a:gdLst/>
                            <a:ahLst/>
                            <a:cxnLst/>
                            <a:rect l="0" t="0" r="0" b="0"/>
                            <a:pathLst>
                              <a:path w="17399" h="630047">
                                <a:moveTo>
                                  <a:pt x="0" y="0"/>
                                </a:moveTo>
                                <a:cubicBezTo>
                                  <a:pt x="1524" y="0"/>
                                  <a:pt x="3048" y="0"/>
                                  <a:pt x="4572" y="0"/>
                                </a:cubicBezTo>
                                <a:lnTo>
                                  <a:pt x="17399" y="630047"/>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27" name="Shape 40727"/>
                        <wps:cNvSpPr/>
                        <wps:spPr>
                          <a:xfrm>
                            <a:off x="3743198" y="900276"/>
                            <a:ext cx="12827" cy="630174"/>
                          </a:xfrm>
                          <a:custGeom>
                            <a:avLst/>
                            <a:gdLst/>
                            <a:ahLst/>
                            <a:cxnLst/>
                            <a:rect l="0" t="0" r="0" b="0"/>
                            <a:pathLst>
                              <a:path w="12827" h="630174">
                                <a:moveTo>
                                  <a:pt x="2286" y="0"/>
                                </a:moveTo>
                                <a:lnTo>
                                  <a:pt x="12827" y="630174"/>
                                </a:lnTo>
                                <a:lnTo>
                                  <a:pt x="0" y="127"/>
                                </a:lnTo>
                                <a:cubicBezTo>
                                  <a:pt x="762" y="127"/>
                                  <a:pt x="1524" y="0"/>
                                  <a:pt x="2286" y="0"/>
                                </a:cubicBezTo>
                                <a:close/>
                              </a:path>
                            </a:pathLst>
                          </a:custGeom>
                          <a:ln w="0" cap="flat">
                            <a:round/>
                          </a:ln>
                        </wps:spPr>
                        <wps:style>
                          <a:lnRef idx="0">
                            <a:srgbClr val="000000">
                              <a:alpha val="0"/>
                            </a:srgbClr>
                          </a:lnRef>
                          <a:fillRef idx="1">
                            <a:srgbClr val="9E480E"/>
                          </a:fillRef>
                          <a:effectRef idx="0">
                            <a:scrgbClr r="0" g="0" b="0"/>
                          </a:effectRef>
                          <a:fontRef idx="none"/>
                        </wps:style>
                        <wps:bodyPr/>
                      </wps:wsp>
                      <wps:wsp>
                        <wps:cNvPr id="40728" name="Shape 40728"/>
                        <wps:cNvSpPr/>
                        <wps:spPr>
                          <a:xfrm>
                            <a:off x="3743198" y="900276"/>
                            <a:ext cx="12827" cy="630174"/>
                          </a:xfrm>
                          <a:custGeom>
                            <a:avLst/>
                            <a:gdLst/>
                            <a:ahLst/>
                            <a:cxnLst/>
                            <a:rect l="0" t="0" r="0" b="0"/>
                            <a:pathLst>
                              <a:path w="12827" h="630174">
                                <a:moveTo>
                                  <a:pt x="0" y="127"/>
                                </a:moveTo>
                                <a:cubicBezTo>
                                  <a:pt x="762" y="127"/>
                                  <a:pt x="1524" y="0"/>
                                  <a:pt x="2286" y="0"/>
                                </a:cubicBezTo>
                                <a:lnTo>
                                  <a:pt x="12827" y="63017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29" name="Shape 40729"/>
                        <wps:cNvSpPr/>
                        <wps:spPr>
                          <a:xfrm>
                            <a:off x="3745484" y="900276"/>
                            <a:ext cx="10541" cy="630174"/>
                          </a:xfrm>
                          <a:custGeom>
                            <a:avLst/>
                            <a:gdLst/>
                            <a:ahLst/>
                            <a:cxnLst/>
                            <a:rect l="0" t="0" r="0" b="0"/>
                            <a:pathLst>
                              <a:path w="10541" h="630174">
                                <a:moveTo>
                                  <a:pt x="0" y="0"/>
                                </a:moveTo>
                                <a:cubicBezTo>
                                  <a:pt x="1397" y="0"/>
                                  <a:pt x="2794" y="0"/>
                                  <a:pt x="4191" y="0"/>
                                </a:cubicBezTo>
                                <a:lnTo>
                                  <a:pt x="10541" y="630174"/>
                                </a:lnTo>
                                <a:lnTo>
                                  <a:pt x="0" y="0"/>
                                </a:lnTo>
                                <a:close/>
                              </a:path>
                            </a:pathLst>
                          </a:custGeom>
                          <a:ln w="0" cap="flat">
                            <a:round/>
                          </a:ln>
                        </wps:spPr>
                        <wps:style>
                          <a:lnRef idx="0">
                            <a:srgbClr val="000000">
                              <a:alpha val="0"/>
                            </a:srgbClr>
                          </a:lnRef>
                          <a:fillRef idx="1">
                            <a:srgbClr val="636363"/>
                          </a:fillRef>
                          <a:effectRef idx="0">
                            <a:scrgbClr r="0" g="0" b="0"/>
                          </a:effectRef>
                          <a:fontRef idx="none"/>
                        </wps:style>
                        <wps:bodyPr/>
                      </wps:wsp>
                      <wps:wsp>
                        <wps:cNvPr id="40730" name="Shape 40730"/>
                        <wps:cNvSpPr/>
                        <wps:spPr>
                          <a:xfrm>
                            <a:off x="3745484" y="900276"/>
                            <a:ext cx="10541" cy="630174"/>
                          </a:xfrm>
                          <a:custGeom>
                            <a:avLst/>
                            <a:gdLst/>
                            <a:ahLst/>
                            <a:cxnLst/>
                            <a:rect l="0" t="0" r="0" b="0"/>
                            <a:pathLst>
                              <a:path w="10541" h="630174">
                                <a:moveTo>
                                  <a:pt x="0" y="0"/>
                                </a:moveTo>
                                <a:cubicBezTo>
                                  <a:pt x="1397" y="0"/>
                                  <a:pt x="2794" y="0"/>
                                  <a:pt x="4191" y="0"/>
                                </a:cubicBezTo>
                                <a:lnTo>
                                  <a:pt x="10541" y="63017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31" name="Shape 40731"/>
                        <wps:cNvSpPr/>
                        <wps:spPr>
                          <a:xfrm>
                            <a:off x="3749675" y="900276"/>
                            <a:ext cx="6350" cy="630174"/>
                          </a:xfrm>
                          <a:custGeom>
                            <a:avLst/>
                            <a:gdLst/>
                            <a:ahLst/>
                            <a:cxnLst/>
                            <a:rect l="0" t="0" r="0" b="0"/>
                            <a:pathLst>
                              <a:path w="6350" h="630174">
                                <a:moveTo>
                                  <a:pt x="0" y="0"/>
                                </a:moveTo>
                                <a:cubicBezTo>
                                  <a:pt x="2159" y="0"/>
                                  <a:pt x="4191" y="0"/>
                                  <a:pt x="6350" y="0"/>
                                </a:cubicBezTo>
                                <a:lnTo>
                                  <a:pt x="6350" y="630174"/>
                                </a:lnTo>
                                <a:lnTo>
                                  <a:pt x="0" y="0"/>
                                </a:lnTo>
                                <a:close/>
                              </a:path>
                            </a:pathLst>
                          </a:custGeom>
                          <a:ln w="0" cap="flat">
                            <a:round/>
                          </a:ln>
                        </wps:spPr>
                        <wps:style>
                          <a:lnRef idx="0">
                            <a:srgbClr val="000000">
                              <a:alpha val="0"/>
                            </a:srgbClr>
                          </a:lnRef>
                          <a:fillRef idx="1">
                            <a:srgbClr val="997300"/>
                          </a:fillRef>
                          <a:effectRef idx="0">
                            <a:scrgbClr r="0" g="0" b="0"/>
                          </a:effectRef>
                          <a:fontRef idx="none"/>
                        </wps:style>
                        <wps:bodyPr/>
                      </wps:wsp>
                      <wps:wsp>
                        <wps:cNvPr id="40732" name="Shape 40732"/>
                        <wps:cNvSpPr/>
                        <wps:spPr>
                          <a:xfrm>
                            <a:off x="3749675" y="900276"/>
                            <a:ext cx="6350" cy="630174"/>
                          </a:xfrm>
                          <a:custGeom>
                            <a:avLst/>
                            <a:gdLst/>
                            <a:ahLst/>
                            <a:cxnLst/>
                            <a:rect l="0" t="0" r="0" b="0"/>
                            <a:pathLst>
                              <a:path w="6350" h="630174">
                                <a:moveTo>
                                  <a:pt x="0" y="0"/>
                                </a:moveTo>
                                <a:cubicBezTo>
                                  <a:pt x="2159" y="0"/>
                                  <a:pt x="4191" y="0"/>
                                  <a:pt x="6350" y="0"/>
                                </a:cubicBezTo>
                                <a:lnTo>
                                  <a:pt x="6350" y="63017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33" name="Shape 40733"/>
                        <wps:cNvSpPr/>
                        <wps:spPr>
                          <a:xfrm>
                            <a:off x="3756025" y="900276"/>
                            <a:ext cx="0" cy="630174"/>
                          </a:xfrm>
                          <a:custGeom>
                            <a:avLst/>
                            <a:gdLst/>
                            <a:ahLst/>
                            <a:cxnLst/>
                            <a:rect l="0" t="0" r="0" b="0"/>
                            <a:pathLst>
                              <a:path h="630174">
                                <a:moveTo>
                                  <a:pt x="0" y="0"/>
                                </a:moveTo>
                                <a:lnTo>
                                  <a:pt x="0" y="63017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34" name="Shape 40734"/>
                        <wps:cNvSpPr/>
                        <wps:spPr>
                          <a:xfrm>
                            <a:off x="3398520" y="925423"/>
                            <a:ext cx="181356" cy="24384"/>
                          </a:xfrm>
                          <a:custGeom>
                            <a:avLst/>
                            <a:gdLst/>
                            <a:ahLst/>
                            <a:cxnLst/>
                            <a:rect l="0" t="0" r="0" b="0"/>
                            <a:pathLst>
                              <a:path w="181356" h="24384">
                                <a:moveTo>
                                  <a:pt x="181356" y="0"/>
                                </a:moveTo>
                                <a:lnTo>
                                  <a:pt x="56388" y="24384"/>
                                </a:lnTo>
                                <a:lnTo>
                                  <a:pt x="0" y="24384"/>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735" name="Shape 40735"/>
                        <wps:cNvSpPr/>
                        <wps:spPr>
                          <a:xfrm>
                            <a:off x="3348228" y="773023"/>
                            <a:ext cx="257556" cy="144780"/>
                          </a:xfrm>
                          <a:custGeom>
                            <a:avLst/>
                            <a:gdLst/>
                            <a:ahLst/>
                            <a:cxnLst/>
                            <a:rect l="0" t="0" r="0" b="0"/>
                            <a:pathLst>
                              <a:path w="257556" h="144780">
                                <a:moveTo>
                                  <a:pt x="257556" y="144780"/>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736" name="Shape 40736"/>
                        <wps:cNvSpPr/>
                        <wps:spPr>
                          <a:xfrm>
                            <a:off x="3284220" y="638911"/>
                            <a:ext cx="356616" cy="271272"/>
                          </a:xfrm>
                          <a:custGeom>
                            <a:avLst/>
                            <a:gdLst/>
                            <a:ahLst/>
                            <a:cxnLst/>
                            <a:rect l="0" t="0" r="0" b="0"/>
                            <a:pathLst>
                              <a:path w="356616" h="271272">
                                <a:moveTo>
                                  <a:pt x="356616" y="271272"/>
                                </a:moveTo>
                                <a:lnTo>
                                  <a:pt x="56388"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737" name="Shape 40737"/>
                        <wps:cNvSpPr/>
                        <wps:spPr>
                          <a:xfrm>
                            <a:off x="3332988" y="491082"/>
                            <a:ext cx="365760" cy="411480"/>
                          </a:xfrm>
                          <a:custGeom>
                            <a:avLst/>
                            <a:gdLst/>
                            <a:ahLst/>
                            <a:cxnLst/>
                            <a:rect l="0" t="0" r="0" b="0"/>
                            <a:pathLst>
                              <a:path w="365760" h="411480">
                                <a:moveTo>
                                  <a:pt x="365760" y="411480"/>
                                </a:moveTo>
                                <a:lnTo>
                                  <a:pt x="56388"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738" name="Shape 40738"/>
                        <wps:cNvSpPr/>
                        <wps:spPr>
                          <a:xfrm>
                            <a:off x="3724656" y="520038"/>
                            <a:ext cx="16764" cy="381000"/>
                          </a:xfrm>
                          <a:custGeom>
                            <a:avLst/>
                            <a:gdLst/>
                            <a:ahLst/>
                            <a:cxnLst/>
                            <a:rect l="0" t="0" r="0" b="0"/>
                            <a:pathLst>
                              <a:path w="16764" h="381000">
                                <a:moveTo>
                                  <a:pt x="16764" y="381000"/>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739" name="Shape 40739"/>
                        <wps:cNvSpPr/>
                        <wps:spPr>
                          <a:xfrm>
                            <a:off x="3744468" y="167994"/>
                            <a:ext cx="0" cy="733044"/>
                          </a:xfrm>
                          <a:custGeom>
                            <a:avLst/>
                            <a:gdLst/>
                            <a:ahLst/>
                            <a:cxnLst/>
                            <a:rect l="0" t="0" r="0" b="0"/>
                            <a:pathLst>
                              <a:path h="733044">
                                <a:moveTo>
                                  <a:pt x="0" y="733044"/>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740" name="Shape 40740"/>
                        <wps:cNvSpPr/>
                        <wps:spPr>
                          <a:xfrm>
                            <a:off x="3747516" y="555091"/>
                            <a:ext cx="51816" cy="345948"/>
                          </a:xfrm>
                          <a:custGeom>
                            <a:avLst/>
                            <a:gdLst/>
                            <a:ahLst/>
                            <a:cxnLst/>
                            <a:rect l="0" t="0" r="0" b="0"/>
                            <a:pathLst>
                              <a:path w="51816" h="345948">
                                <a:moveTo>
                                  <a:pt x="0" y="345948"/>
                                </a:moveTo>
                                <a:lnTo>
                                  <a:pt x="51816"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741" name="Shape 40741"/>
                        <wps:cNvSpPr/>
                        <wps:spPr>
                          <a:xfrm>
                            <a:off x="3752088" y="626718"/>
                            <a:ext cx="435864" cy="272796"/>
                          </a:xfrm>
                          <a:custGeom>
                            <a:avLst/>
                            <a:gdLst/>
                            <a:ahLst/>
                            <a:cxnLst/>
                            <a:rect l="0" t="0" r="0" b="0"/>
                            <a:pathLst>
                              <a:path w="435864" h="272796">
                                <a:moveTo>
                                  <a:pt x="0" y="272796"/>
                                </a:moveTo>
                                <a:lnTo>
                                  <a:pt x="379476" y="0"/>
                                </a:lnTo>
                                <a:lnTo>
                                  <a:pt x="435864"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742" name="Shape 40742"/>
                        <wps:cNvSpPr/>
                        <wps:spPr>
                          <a:xfrm>
                            <a:off x="3756660" y="872082"/>
                            <a:ext cx="466344" cy="27432"/>
                          </a:xfrm>
                          <a:custGeom>
                            <a:avLst/>
                            <a:gdLst/>
                            <a:ahLst/>
                            <a:cxnLst/>
                            <a:rect l="0" t="0" r="0" b="0"/>
                            <a:pathLst>
                              <a:path w="466344" h="27432">
                                <a:moveTo>
                                  <a:pt x="0" y="27432"/>
                                </a:moveTo>
                                <a:lnTo>
                                  <a:pt x="408432" y="0"/>
                                </a:lnTo>
                                <a:lnTo>
                                  <a:pt x="466344"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757147" name="Rectangle 757147"/>
                        <wps:cNvSpPr/>
                        <wps:spPr>
                          <a:xfrm>
                            <a:off x="4035298" y="1103096"/>
                            <a:ext cx="108694" cy="154840"/>
                          </a:xfrm>
                          <a:prstGeom prst="rect">
                            <a:avLst/>
                          </a:prstGeom>
                          <a:ln>
                            <a:noFill/>
                          </a:ln>
                        </wps:spPr>
                        <wps:txbx>
                          <w:txbxContent>
                            <w:p w14:paraId="5B370857"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46" name="Rectangle 757146"/>
                        <wps:cNvSpPr/>
                        <wps:spPr>
                          <a:xfrm>
                            <a:off x="3774694" y="1103096"/>
                            <a:ext cx="346603" cy="154840"/>
                          </a:xfrm>
                          <a:prstGeom prst="rect">
                            <a:avLst/>
                          </a:prstGeom>
                          <a:ln>
                            <a:noFill/>
                          </a:ln>
                        </wps:spPr>
                        <wps:txbx>
                          <w:txbxContent>
                            <w:p w14:paraId="02B0A1F4" w14:textId="77777777" w:rsidR="0014164F" w:rsidRDefault="0014164F" w:rsidP="00C232D7">
                              <w:r>
                                <w:rPr>
                                  <w:rFonts w:ascii="Calibri" w:hAnsi="Calibri" w:cs="Calibri"/>
                                  <w:color w:val="404040"/>
                                  <w:sz w:val="18"/>
                                </w:rPr>
                                <w:t>14.50</w:t>
                              </w:r>
                            </w:p>
                          </w:txbxContent>
                        </wps:txbx>
                        <wps:bodyPr horzOverflow="overflow" vert="horz" lIns="0" tIns="0" rIns="0" bIns="0" rtlCol="0">
                          <a:noAutofit/>
                        </wps:bodyPr>
                      </wps:wsp>
                      <wps:wsp>
                        <wps:cNvPr id="757150" name="Rectangle 757150"/>
                        <wps:cNvSpPr/>
                        <wps:spPr>
                          <a:xfrm>
                            <a:off x="3346069" y="1760447"/>
                            <a:ext cx="346603" cy="154840"/>
                          </a:xfrm>
                          <a:prstGeom prst="rect">
                            <a:avLst/>
                          </a:prstGeom>
                          <a:ln>
                            <a:noFill/>
                          </a:ln>
                        </wps:spPr>
                        <wps:txbx>
                          <w:txbxContent>
                            <w:p w14:paraId="6C054B51" w14:textId="77777777" w:rsidR="0014164F" w:rsidRDefault="0014164F" w:rsidP="00C232D7">
                              <w:r>
                                <w:rPr>
                                  <w:rFonts w:ascii="Calibri" w:hAnsi="Calibri" w:cs="Calibri"/>
                                  <w:color w:val="404040"/>
                                  <w:sz w:val="18"/>
                                </w:rPr>
                                <w:t>80.80</w:t>
                              </w:r>
                            </w:p>
                          </w:txbxContent>
                        </wps:txbx>
                        <wps:bodyPr horzOverflow="overflow" vert="horz" lIns="0" tIns="0" rIns="0" bIns="0" rtlCol="0">
                          <a:noAutofit/>
                        </wps:bodyPr>
                      </wps:wsp>
                      <wps:wsp>
                        <wps:cNvPr id="757151" name="Rectangle 757151"/>
                        <wps:cNvSpPr/>
                        <wps:spPr>
                          <a:xfrm>
                            <a:off x="3606673" y="1760447"/>
                            <a:ext cx="108694" cy="154840"/>
                          </a:xfrm>
                          <a:prstGeom prst="rect">
                            <a:avLst/>
                          </a:prstGeom>
                          <a:ln>
                            <a:noFill/>
                          </a:ln>
                        </wps:spPr>
                        <wps:txbx>
                          <w:txbxContent>
                            <w:p w14:paraId="57F1DAFF"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43" name="Rectangle 757143"/>
                        <wps:cNvSpPr/>
                        <wps:spPr>
                          <a:xfrm>
                            <a:off x="3291548" y="864970"/>
                            <a:ext cx="108694" cy="154840"/>
                          </a:xfrm>
                          <a:prstGeom prst="rect">
                            <a:avLst/>
                          </a:prstGeom>
                          <a:ln>
                            <a:noFill/>
                          </a:ln>
                        </wps:spPr>
                        <wps:txbx>
                          <w:txbxContent>
                            <w:p w14:paraId="52A2AB54"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42" name="Rectangle 757142"/>
                        <wps:cNvSpPr/>
                        <wps:spPr>
                          <a:xfrm>
                            <a:off x="3088894" y="864970"/>
                            <a:ext cx="269530" cy="154840"/>
                          </a:xfrm>
                          <a:prstGeom prst="rect">
                            <a:avLst/>
                          </a:prstGeom>
                          <a:ln>
                            <a:noFill/>
                          </a:ln>
                        </wps:spPr>
                        <wps:txbx>
                          <w:txbxContent>
                            <w:p w14:paraId="47BEB570" w14:textId="77777777" w:rsidR="0014164F" w:rsidRDefault="0014164F" w:rsidP="00C232D7">
                              <w:r>
                                <w:rPr>
                                  <w:rFonts w:ascii="Calibri" w:hAnsi="Calibri" w:cs="Calibri"/>
                                  <w:color w:val="404040"/>
                                  <w:sz w:val="18"/>
                                </w:rPr>
                                <w:t>0.37</w:t>
                              </w:r>
                            </w:p>
                          </w:txbxContent>
                        </wps:txbx>
                        <wps:bodyPr horzOverflow="overflow" vert="horz" lIns="0" tIns="0" rIns="0" bIns="0" rtlCol="0">
                          <a:noAutofit/>
                        </wps:bodyPr>
                      </wps:wsp>
                      <wps:wsp>
                        <wps:cNvPr id="757135" name="Rectangle 757135"/>
                        <wps:cNvSpPr/>
                        <wps:spPr>
                          <a:xfrm>
                            <a:off x="3243669" y="693393"/>
                            <a:ext cx="108694" cy="154840"/>
                          </a:xfrm>
                          <a:prstGeom prst="rect">
                            <a:avLst/>
                          </a:prstGeom>
                          <a:ln>
                            <a:noFill/>
                          </a:ln>
                        </wps:spPr>
                        <wps:txbx>
                          <w:txbxContent>
                            <w:p w14:paraId="0875EAE3"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34" name="Rectangle 757134"/>
                        <wps:cNvSpPr/>
                        <wps:spPr>
                          <a:xfrm>
                            <a:off x="3041015" y="693393"/>
                            <a:ext cx="269530" cy="154840"/>
                          </a:xfrm>
                          <a:prstGeom prst="rect">
                            <a:avLst/>
                          </a:prstGeom>
                          <a:ln>
                            <a:noFill/>
                          </a:ln>
                        </wps:spPr>
                        <wps:txbx>
                          <w:txbxContent>
                            <w:p w14:paraId="34C68BE9" w14:textId="77777777" w:rsidR="0014164F" w:rsidRDefault="0014164F" w:rsidP="00C232D7">
                              <w:r>
                                <w:rPr>
                                  <w:rFonts w:ascii="Calibri" w:hAnsi="Calibri" w:cs="Calibri"/>
                                  <w:color w:val="404040"/>
                                  <w:sz w:val="18"/>
                                </w:rPr>
                                <w:t>1.00</w:t>
                              </w:r>
                            </w:p>
                          </w:txbxContent>
                        </wps:txbx>
                        <wps:bodyPr horzOverflow="overflow" vert="horz" lIns="0" tIns="0" rIns="0" bIns="0" rtlCol="0">
                          <a:noAutofit/>
                        </wps:bodyPr>
                      </wps:wsp>
                      <wps:wsp>
                        <wps:cNvPr id="757133" name="Rectangle 757133"/>
                        <wps:cNvSpPr/>
                        <wps:spPr>
                          <a:xfrm>
                            <a:off x="3177330" y="559688"/>
                            <a:ext cx="108983" cy="155253"/>
                          </a:xfrm>
                          <a:prstGeom prst="rect">
                            <a:avLst/>
                          </a:prstGeom>
                          <a:ln>
                            <a:noFill/>
                          </a:ln>
                        </wps:spPr>
                        <wps:txbx>
                          <w:txbxContent>
                            <w:p w14:paraId="4AE30B6D"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32" name="Rectangle 757132"/>
                        <wps:cNvSpPr/>
                        <wps:spPr>
                          <a:xfrm>
                            <a:off x="2974594" y="559688"/>
                            <a:ext cx="270248" cy="155253"/>
                          </a:xfrm>
                          <a:prstGeom prst="rect">
                            <a:avLst/>
                          </a:prstGeom>
                          <a:ln>
                            <a:noFill/>
                          </a:ln>
                        </wps:spPr>
                        <wps:txbx>
                          <w:txbxContent>
                            <w:p w14:paraId="6C3C3787" w14:textId="77777777" w:rsidR="0014164F" w:rsidRDefault="0014164F" w:rsidP="00C232D7">
                              <w:r>
                                <w:rPr>
                                  <w:rFonts w:ascii="Calibri" w:hAnsi="Calibri" w:cs="Calibri"/>
                                  <w:color w:val="404040"/>
                                  <w:sz w:val="18"/>
                                </w:rPr>
                                <w:t>0.84</w:t>
                              </w:r>
                            </w:p>
                          </w:txbxContent>
                        </wps:txbx>
                        <wps:bodyPr horzOverflow="overflow" vert="horz" lIns="0" tIns="0" rIns="0" bIns="0" rtlCol="0">
                          <a:noAutofit/>
                        </wps:bodyPr>
                      </wps:wsp>
                      <wps:wsp>
                        <wps:cNvPr id="757114" name="Rectangle 757114"/>
                        <wps:cNvSpPr/>
                        <wps:spPr>
                          <a:xfrm>
                            <a:off x="3231731" y="405612"/>
                            <a:ext cx="108694" cy="154840"/>
                          </a:xfrm>
                          <a:prstGeom prst="rect">
                            <a:avLst/>
                          </a:prstGeom>
                          <a:ln>
                            <a:noFill/>
                          </a:ln>
                        </wps:spPr>
                        <wps:txbx>
                          <w:txbxContent>
                            <w:p w14:paraId="5A23E1B8"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13" name="Rectangle 757113"/>
                        <wps:cNvSpPr/>
                        <wps:spPr>
                          <a:xfrm>
                            <a:off x="3029077" y="405612"/>
                            <a:ext cx="269530" cy="154840"/>
                          </a:xfrm>
                          <a:prstGeom prst="rect">
                            <a:avLst/>
                          </a:prstGeom>
                          <a:ln>
                            <a:noFill/>
                          </a:ln>
                        </wps:spPr>
                        <wps:txbx>
                          <w:txbxContent>
                            <w:p w14:paraId="1F965D2A" w14:textId="77777777" w:rsidR="0014164F" w:rsidRDefault="0014164F" w:rsidP="00C232D7">
                              <w:r>
                                <w:rPr>
                                  <w:rFonts w:ascii="Calibri" w:hAnsi="Calibri" w:cs="Calibri"/>
                                  <w:color w:val="404040"/>
                                  <w:sz w:val="18"/>
                                </w:rPr>
                                <w:t>2.05</w:t>
                              </w:r>
                            </w:p>
                          </w:txbxContent>
                        </wps:txbx>
                        <wps:bodyPr horzOverflow="overflow" vert="horz" lIns="0" tIns="0" rIns="0" bIns="0" rtlCol="0">
                          <a:noAutofit/>
                        </wps:bodyPr>
                      </wps:wsp>
                      <wps:wsp>
                        <wps:cNvPr id="757123" name="Rectangle 757123"/>
                        <wps:cNvSpPr/>
                        <wps:spPr>
                          <a:xfrm>
                            <a:off x="3624034" y="434568"/>
                            <a:ext cx="108694" cy="154840"/>
                          </a:xfrm>
                          <a:prstGeom prst="rect">
                            <a:avLst/>
                          </a:prstGeom>
                          <a:ln>
                            <a:noFill/>
                          </a:ln>
                        </wps:spPr>
                        <wps:txbx>
                          <w:txbxContent>
                            <w:p w14:paraId="78AE841C"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22" name="Rectangle 757122"/>
                        <wps:cNvSpPr/>
                        <wps:spPr>
                          <a:xfrm>
                            <a:off x="3421380" y="434568"/>
                            <a:ext cx="269530" cy="154840"/>
                          </a:xfrm>
                          <a:prstGeom prst="rect">
                            <a:avLst/>
                          </a:prstGeom>
                          <a:ln>
                            <a:noFill/>
                          </a:ln>
                        </wps:spPr>
                        <wps:txbx>
                          <w:txbxContent>
                            <w:p w14:paraId="0EA54C37" w14:textId="77777777" w:rsidR="0014164F" w:rsidRDefault="0014164F" w:rsidP="00C232D7">
                              <w:r>
                                <w:rPr>
                                  <w:rFonts w:ascii="Calibri" w:hAnsi="Calibri" w:cs="Calibri"/>
                                  <w:color w:val="404040"/>
                                  <w:sz w:val="18"/>
                                </w:rPr>
                                <w:t>0.12</w:t>
                              </w:r>
                            </w:p>
                          </w:txbxContent>
                        </wps:txbx>
                        <wps:bodyPr horzOverflow="overflow" vert="horz" lIns="0" tIns="0" rIns="0" bIns="0" rtlCol="0">
                          <a:noAutofit/>
                        </wps:bodyPr>
                      </wps:wsp>
                      <wps:wsp>
                        <wps:cNvPr id="757105" name="Rectangle 757105"/>
                        <wps:cNvSpPr/>
                        <wps:spPr>
                          <a:xfrm>
                            <a:off x="3853523" y="55092"/>
                            <a:ext cx="108694" cy="154840"/>
                          </a:xfrm>
                          <a:prstGeom prst="rect">
                            <a:avLst/>
                          </a:prstGeom>
                          <a:ln>
                            <a:noFill/>
                          </a:ln>
                        </wps:spPr>
                        <wps:txbx>
                          <w:txbxContent>
                            <w:p w14:paraId="49703E2B"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03" name="Rectangle 757103"/>
                        <wps:cNvSpPr/>
                        <wps:spPr>
                          <a:xfrm>
                            <a:off x="3650869" y="55092"/>
                            <a:ext cx="269530" cy="154840"/>
                          </a:xfrm>
                          <a:prstGeom prst="rect">
                            <a:avLst/>
                          </a:prstGeom>
                          <a:ln>
                            <a:noFill/>
                          </a:ln>
                        </wps:spPr>
                        <wps:txbx>
                          <w:txbxContent>
                            <w:p w14:paraId="17DBA586" w14:textId="77777777" w:rsidR="0014164F" w:rsidRDefault="0014164F" w:rsidP="00C232D7">
                              <w:r>
                                <w:rPr>
                                  <w:rFonts w:ascii="Calibri" w:hAnsi="Calibri" w:cs="Calibri"/>
                                  <w:color w:val="404040"/>
                                  <w:sz w:val="18"/>
                                </w:rPr>
                                <w:t>0.06</w:t>
                              </w:r>
                            </w:p>
                          </w:txbxContent>
                        </wps:txbx>
                        <wps:bodyPr horzOverflow="overflow" vert="horz" lIns="0" tIns="0" rIns="0" bIns="0" rtlCol="0">
                          <a:noAutofit/>
                        </wps:bodyPr>
                      </wps:wsp>
                      <wps:wsp>
                        <wps:cNvPr id="757124" name="Rectangle 757124"/>
                        <wps:cNvSpPr/>
                        <wps:spPr>
                          <a:xfrm>
                            <a:off x="3818255" y="469366"/>
                            <a:ext cx="269530" cy="154840"/>
                          </a:xfrm>
                          <a:prstGeom prst="rect">
                            <a:avLst/>
                          </a:prstGeom>
                          <a:ln>
                            <a:noFill/>
                          </a:ln>
                        </wps:spPr>
                        <wps:txbx>
                          <w:txbxContent>
                            <w:p w14:paraId="54D3EF7A" w14:textId="77777777" w:rsidR="0014164F" w:rsidRDefault="0014164F" w:rsidP="00C232D7">
                              <w:r>
                                <w:rPr>
                                  <w:rFonts w:ascii="Calibri" w:hAnsi="Calibri" w:cs="Calibri"/>
                                  <w:color w:val="404040"/>
                                  <w:sz w:val="18"/>
                                </w:rPr>
                                <w:t>0.11</w:t>
                              </w:r>
                            </w:p>
                          </w:txbxContent>
                        </wps:txbx>
                        <wps:bodyPr horzOverflow="overflow" vert="horz" lIns="0" tIns="0" rIns="0" bIns="0" rtlCol="0">
                          <a:noAutofit/>
                        </wps:bodyPr>
                      </wps:wsp>
                      <wps:wsp>
                        <wps:cNvPr id="757125" name="Rectangle 757125"/>
                        <wps:cNvSpPr/>
                        <wps:spPr>
                          <a:xfrm>
                            <a:off x="4020909" y="469366"/>
                            <a:ext cx="108694" cy="154840"/>
                          </a:xfrm>
                          <a:prstGeom prst="rect">
                            <a:avLst/>
                          </a:prstGeom>
                          <a:ln>
                            <a:noFill/>
                          </a:ln>
                        </wps:spPr>
                        <wps:txbx>
                          <w:txbxContent>
                            <w:p w14:paraId="76F1BB71"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37" name="Rectangle 757137"/>
                        <wps:cNvSpPr/>
                        <wps:spPr>
                          <a:xfrm>
                            <a:off x="4406100" y="540993"/>
                            <a:ext cx="108694" cy="154840"/>
                          </a:xfrm>
                          <a:prstGeom prst="rect">
                            <a:avLst/>
                          </a:prstGeom>
                          <a:ln>
                            <a:noFill/>
                          </a:ln>
                        </wps:spPr>
                        <wps:txbx>
                          <w:txbxContent>
                            <w:p w14:paraId="4781A765"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36" name="Rectangle 757136"/>
                        <wps:cNvSpPr/>
                        <wps:spPr>
                          <a:xfrm>
                            <a:off x="4203446" y="540993"/>
                            <a:ext cx="269530" cy="154840"/>
                          </a:xfrm>
                          <a:prstGeom prst="rect">
                            <a:avLst/>
                          </a:prstGeom>
                          <a:ln>
                            <a:noFill/>
                          </a:ln>
                        </wps:spPr>
                        <wps:txbx>
                          <w:txbxContent>
                            <w:p w14:paraId="0F4F9AAA" w14:textId="77777777" w:rsidR="0014164F" w:rsidRDefault="0014164F" w:rsidP="00C232D7">
                              <w:r>
                                <w:rPr>
                                  <w:rFonts w:ascii="Calibri" w:hAnsi="Calibri" w:cs="Calibri"/>
                                  <w:color w:val="404040"/>
                                  <w:sz w:val="18"/>
                                </w:rPr>
                                <w:t>0.16</w:t>
                              </w:r>
                            </w:p>
                          </w:txbxContent>
                        </wps:txbx>
                        <wps:bodyPr horzOverflow="overflow" vert="horz" lIns="0" tIns="0" rIns="0" bIns="0" rtlCol="0">
                          <a:noAutofit/>
                        </wps:bodyPr>
                      </wps:wsp>
                      <wps:wsp>
                        <wps:cNvPr id="757145" name="Rectangle 757145"/>
                        <wps:cNvSpPr/>
                        <wps:spPr>
                          <a:xfrm>
                            <a:off x="4444835" y="786612"/>
                            <a:ext cx="108694" cy="154840"/>
                          </a:xfrm>
                          <a:prstGeom prst="rect">
                            <a:avLst/>
                          </a:prstGeom>
                          <a:ln>
                            <a:noFill/>
                          </a:ln>
                        </wps:spPr>
                        <wps:txbx>
                          <w:txbxContent>
                            <w:p w14:paraId="51448472"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144" name="Rectangle 757144"/>
                        <wps:cNvSpPr/>
                        <wps:spPr>
                          <a:xfrm>
                            <a:off x="4242181" y="786612"/>
                            <a:ext cx="269530" cy="154840"/>
                          </a:xfrm>
                          <a:prstGeom prst="rect">
                            <a:avLst/>
                          </a:prstGeom>
                          <a:ln>
                            <a:noFill/>
                          </a:ln>
                        </wps:spPr>
                        <wps:txbx>
                          <w:txbxContent>
                            <w:p w14:paraId="463D0B75" w14:textId="77777777" w:rsidR="0014164F" w:rsidRDefault="0014164F" w:rsidP="00C232D7">
                              <w:r>
                                <w:rPr>
                                  <w:rFonts w:ascii="Calibri" w:hAnsi="Calibri" w:cs="Calibri"/>
                                  <w:color w:val="404040"/>
                                  <w:sz w:val="18"/>
                                </w:rPr>
                                <w:t>0.00</w:t>
                              </w:r>
                            </w:p>
                          </w:txbxContent>
                        </wps:txbx>
                        <wps:bodyPr horzOverflow="overflow" vert="horz" lIns="0" tIns="0" rIns="0" bIns="0" rtlCol="0">
                          <a:noAutofit/>
                        </wps:bodyPr>
                      </wps:wsp>
                      <wps:wsp>
                        <wps:cNvPr id="922186" name="Shape 922186"/>
                        <wps:cNvSpPr/>
                        <wps:spPr>
                          <a:xfrm>
                            <a:off x="4671822" y="34645"/>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0755" name="Shape 40755"/>
                        <wps:cNvSpPr/>
                        <wps:spPr>
                          <a:xfrm>
                            <a:off x="4671822" y="34645"/>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56" name="Rectangle 40756"/>
                        <wps:cNvSpPr/>
                        <wps:spPr>
                          <a:xfrm>
                            <a:off x="4745101" y="0"/>
                            <a:ext cx="472939" cy="151873"/>
                          </a:xfrm>
                          <a:prstGeom prst="rect">
                            <a:avLst/>
                          </a:prstGeom>
                          <a:ln>
                            <a:noFill/>
                          </a:ln>
                        </wps:spPr>
                        <wps:txbx>
                          <w:txbxContent>
                            <w:p w14:paraId="655FEBC2" w14:textId="77777777" w:rsidR="0014164F" w:rsidRDefault="0014164F" w:rsidP="00C232D7">
                              <w:r>
                                <w:rPr>
                                  <w:rFonts w:ascii="Arial" w:eastAsia="Arial" w:hAnsi="Arial" w:cs="Arial"/>
                                  <w:color w:val="595959"/>
                                  <w:sz w:val="16"/>
                                </w:rPr>
                                <w:t>Plastika</w:t>
                              </w:r>
                            </w:p>
                          </w:txbxContent>
                        </wps:txbx>
                        <wps:bodyPr horzOverflow="overflow" vert="horz" lIns="0" tIns="0" rIns="0" bIns="0" rtlCol="0">
                          <a:noAutofit/>
                        </wps:bodyPr>
                      </wps:wsp>
                      <wps:wsp>
                        <wps:cNvPr id="922187" name="Shape 922187"/>
                        <wps:cNvSpPr/>
                        <wps:spPr>
                          <a:xfrm>
                            <a:off x="4671822" y="248005"/>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0758" name="Shape 40758"/>
                        <wps:cNvSpPr/>
                        <wps:spPr>
                          <a:xfrm>
                            <a:off x="4671822" y="248005"/>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59" name="Rectangle 40759"/>
                        <wps:cNvSpPr/>
                        <wps:spPr>
                          <a:xfrm>
                            <a:off x="4745101" y="213635"/>
                            <a:ext cx="368999" cy="151421"/>
                          </a:xfrm>
                          <a:prstGeom prst="rect">
                            <a:avLst/>
                          </a:prstGeom>
                          <a:ln>
                            <a:noFill/>
                          </a:ln>
                        </wps:spPr>
                        <wps:txbx>
                          <w:txbxContent>
                            <w:p w14:paraId="71EA9FEC" w14:textId="77777777" w:rsidR="0014164F" w:rsidRDefault="0014164F" w:rsidP="00C232D7">
                              <w:r>
                                <w:rPr>
                                  <w:rFonts w:ascii="Arial" w:eastAsia="Arial" w:hAnsi="Arial" w:cs="Arial"/>
                                  <w:color w:val="595959"/>
                                  <w:sz w:val="16"/>
                                </w:rPr>
                                <w:t>Guma</w:t>
                              </w:r>
                            </w:p>
                          </w:txbxContent>
                        </wps:txbx>
                        <wps:bodyPr horzOverflow="overflow" vert="horz" lIns="0" tIns="0" rIns="0" bIns="0" rtlCol="0">
                          <a:noAutofit/>
                        </wps:bodyPr>
                      </wps:wsp>
                      <wps:wsp>
                        <wps:cNvPr id="922188" name="Shape 922188"/>
                        <wps:cNvSpPr/>
                        <wps:spPr>
                          <a:xfrm>
                            <a:off x="4671822" y="461364"/>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0761" name="Shape 40761"/>
                        <wps:cNvSpPr/>
                        <wps:spPr>
                          <a:xfrm>
                            <a:off x="4671822" y="461364"/>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62" name="Rectangle 40762"/>
                        <wps:cNvSpPr/>
                        <wps:spPr>
                          <a:xfrm>
                            <a:off x="4745101" y="445066"/>
                            <a:ext cx="428189" cy="127647"/>
                          </a:xfrm>
                          <a:prstGeom prst="rect">
                            <a:avLst/>
                          </a:prstGeom>
                          <a:ln>
                            <a:noFill/>
                          </a:ln>
                        </wps:spPr>
                        <wps:txbx>
                          <w:txbxContent>
                            <w:p w14:paraId="6EBDDBE3" w14:textId="77777777" w:rsidR="0014164F" w:rsidRDefault="0014164F" w:rsidP="00C232D7">
                              <w:r>
                                <w:rPr>
                                  <w:rFonts w:ascii="Arial" w:eastAsia="Arial" w:hAnsi="Arial" w:cs="Arial"/>
                                  <w:color w:val="595959"/>
                                  <w:sz w:val="16"/>
                                </w:rPr>
                                <w:t>Odjeća</w:t>
                              </w:r>
                            </w:p>
                          </w:txbxContent>
                        </wps:txbx>
                        <wps:bodyPr horzOverflow="overflow" vert="horz" lIns="0" tIns="0" rIns="0" bIns="0" rtlCol="0">
                          <a:noAutofit/>
                        </wps:bodyPr>
                      </wps:wsp>
                      <wps:wsp>
                        <wps:cNvPr id="922189" name="Shape 922189"/>
                        <wps:cNvSpPr/>
                        <wps:spPr>
                          <a:xfrm>
                            <a:off x="4671822" y="674725"/>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0764" name="Shape 40764"/>
                        <wps:cNvSpPr/>
                        <wps:spPr>
                          <a:xfrm>
                            <a:off x="4671822" y="674725"/>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65" name="Rectangle 40765"/>
                        <wps:cNvSpPr/>
                        <wps:spPr>
                          <a:xfrm>
                            <a:off x="4745101" y="640102"/>
                            <a:ext cx="727656" cy="151421"/>
                          </a:xfrm>
                          <a:prstGeom prst="rect">
                            <a:avLst/>
                          </a:prstGeom>
                          <a:ln>
                            <a:noFill/>
                          </a:ln>
                        </wps:spPr>
                        <wps:txbx>
                          <w:txbxContent>
                            <w:p w14:paraId="75AA5A49" w14:textId="77777777" w:rsidR="0014164F" w:rsidRDefault="0014164F" w:rsidP="00C232D7">
                              <w:r>
                                <w:rPr>
                                  <w:rFonts w:ascii="Arial" w:eastAsia="Arial" w:hAnsi="Arial" w:cs="Arial"/>
                                  <w:color w:val="595959"/>
                                  <w:sz w:val="16"/>
                                </w:rPr>
                                <w:t>Papir/karton</w:t>
                              </w:r>
                            </w:p>
                          </w:txbxContent>
                        </wps:txbx>
                        <wps:bodyPr horzOverflow="overflow" vert="horz" lIns="0" tIns="0" rIns="0" bIns="0" rtlCol="0">
                          <a:noAutofit/>
                        </wps:bodyPr>
                      </wps:wsp>
                      <wps:wsp>
                        <wps:cNvPr id="922190" name="Shape 922190"/>
                        <wps:cNvSpPr/>
                        <wps:spPr>
                          <a:xfrm>
                            <a:off x="4671822" y="888085"/>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0767" name="Shape 40767"/>
                        <wps:cNvSpPr/>
                        <wps:spPr>
                          <a:xfrm>
                            <a:off x="4671822" y="888085"/>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68" name="Rectangle 40768"/>
                        <wps:cNvSpPr/>
                        <wps:spPr>
                          <a:xfrm>
                            <a:off x="4745101" y="871532"/>
                            <a:ext cx="901872" cy="127647"/>
                          </a:xfrm>
                          <a:prstGeom prst="rect">
                            <a:avLst/>
                          </a:prstGeom>
                          <a:ln>
                            <a:noFill/>
                          </a:ln>
                        </wps:spPr>
                        <wps:txbx>
                          <w:txbxContent>
                            <w:p w14:paraId="4C969193" w14:textId="77777777" w:rsidR="0014164F" w:rsidRDefault="0014164F" w:rsidP="00C232D7">
                              <w:r>
                                <w:rPr>
                                  <w:rFonts w:ascii="Arial" w:eastAsia="Arial" w:hAnsi="Arial" w:cs="Arial"/>
                                  <w:color w:val="595959"/>
                                  <w:sz w:val="16"/>
                                </w:rPr>
                                <w:t>Obrađeno drvo</w:t>
                              </w:r>
                            </w:p>
                          </w:txbxContent>
                        </wps:txbx>
                        <wps:bodyPr horzOverflow="overflow" vert="horz" lIns="0" tIns="0" rIns="0" bIns="0" rtlCol="0">
                          <a:noAutofit/>
                        </wps:bodyPr>
                      </wps:wsp>
                      <wps:wsp>
                        <wps:cNvPr id="922191" name="Shape 922191"/>
                        <wps:cNvSpPr/>
                        <wps:spPr>
                          <a:xfrm>
                            <a:off x="4671822" y="1101445"/>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0770" name="Shape 40770"/>
                        <wps:cNvSpPr/>
                        <wps:spPr>
                          <a:xfrm>
                            <a:off x="4671822" y="1101445"/>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71" name="Rectangle 40771"/>
                        <wps:cNvSpPr/>
                        <wps:spPr>
                          <a:xfrm>
                            <a:off x="4745101" y="1066441"/>
                            <a:ext cx="330162" cy="151421"/>
                          </a:xfrm>
                          <a:prstGeom prst="rect">
                            <a:avLst/>
                          </a:prstGeom>
                          <a:ln>
                            <a:noFill/>
                          </a:ln>
                        </wps:spPr>
                        <wps:txbx>
                          <w:txbxContent>
                            <w:p w14:paraId="1D1C6154" w14:textId="77777777" w:rsidR="0014164F" w:rsidRDefault="0014164F" w:rsidP="00C232D7">
                              <w:r>
                                <w:rPr>
                                  <w:rFonts w:ascii="Arial" w:eastAsia="Arial" w:hAnsi="Arial" w:cs="Arial"/>
                                  <w:color w:val="595959"/>
                                  <w:sz w:val="16"/>
                                </w:rPr>
                                <w:t>Metal</w:t>
                              </w:r>
                            </w:p>
                          </w:txbxContent>
                        </wps:txbx>
                        <wps:bodyPr horzOverflow="overflow" vert="horz" lIns="0" tIns="0" rIns="0" bIns="0" rtlCol="0">
                          <a:noAutofit/>
                        </wps:bodyPr>
                      </wps:wsp>
                      <wps:wsp>
                        <wps:cNvPr id="922192" name="Shape 922192"/>
                        <wps:cNvSpPr/>
                        <wps:spPr>
                          <a:xfrm>
                            <a:off x="4671822" y="1314805"/>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255E91"/>
                          </a:fillRef>
                          <a:effectRef idx="0">
                            <a:scrgbClr r="0" g="0" b="0"/>
                          </a:effectRef>
                          <a:fontRef idx="none"/>
                        </wps:style>
                        <wps:bodyPr/>
                      </wps:wsp>
                      <wps:wsp>
                        <wps:cNvPr id="40773" name="Shape 40773"/>
                        <wps:cNvSpPr/>
                        <wps:spPr>
                          <a:xfrm>
                            <a:off x="4671822" y="1314805"/>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74" name="Rectangle 40774"/>
                        <wps:cNvSpPr/>
                        <wps:spPr>
                          <a:xfrm>
                            <a:off x="4745101" y="1279801"/>
                            <a:ext cx="375246" cy="151421"/>
                          </a:xfrm>
                          <a:prstGeom prst="rect">
                            <a:avLst/>
                          </a:prstGeom>
                          <a:ln>
                            <a:noFill/>
                          </a:ln>
                        </wps:spPr>
                        <wps:txbx>
                          <w:txbxContent>
                            <w:p w14:paraId="6550CB16" w14:textId="77777777" w:rsidR="0014164F" w:rsidRDefault="0014164F" w:rsidP="00C232D7">
                              <w:r>
                                <w:rPr>
                                  <w:rFonts w:ascii="Arial" w:eastAsia="Arial" w:hAnsi="Arial" w:cs="Arial"/>
                                  <w:color w:val="595959"/>
                                  <w:sz w:val="16"/>
                                </w:rPr>
                                <w:t>Staklo</w:t>
                              </w:r>
                            </w:p>
                          </w:txbxContent>
                        </wps:txbx>
                        <wps:bodyPr horzOverflow="overflow" vert="horz" lIns="0" tIns="0" rIns="0" bIns="0" rtlCol="0">
                          <a:noAutofit/>
                        </wps:bodyPr>
                      </wps:wsp>
                      <wps:wsp>
                        <wps:cNvPr id="922193" name="Shape 922193"/>
                        <wps:cNvSpPr/>
                        <wps:spPr>
                          <a:xfrm>
                            <a:off x="4671822" y="1526641"/>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0776" name="Shape 40776"/>
                        <wps:cNvSpPr/>
                        <wps:spPr>
                          <a:xfrm>
                            <a:off x="4671822" y="1526641"/>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77" name="Rectangle 40777"/>
                        <wps:cNvSpPr/>
                        <wps:spPr>
                          <a:xfrm>
                            <a:off x="4745101" y="1493160"/>
                            <a:ext cx="571754" cy="151421"/>
                          </a:xfrm>
                          <a:prstGeom prst="rect">
                            <a:avLst/>
                          </a:prstGeom>
                          <a:ln>
                            <a:noFill/>
                          </a:ln>
                        </wps:spPr>
                        <wps:txbx>
                          <w:txbxContent>
                            <w:p w14:paraId="7EFB9859" w14:textId="77777777" w:rsidR="0014164F" w:rsidRDefault="0014164F" w:rsidP="00C232D7">
                              <w:r>
                                <w:rPr>
                                  <w:rFonts w:ascii="Arial" w:eastAsia="Arial" w:hAnsi="Arial" w:cs="Arial"/>
                                  <w:color w:val="595959"/>
                                  <w:sz w:val="16"/>
                                </w:rPr>
                                <w:t>Keramika</w:t>
                              </w:r>
                            </w:p>
                          </w:txbxContent>
                        </wps:txbx>
                        <wps:bodyPr horzOverflow="overflow" vert="horz" lIns="0" tIns="0" rIns="0" bIns="0" rtlCol="0">
                          <a:noAutofit/>
                        </wps:bodyPr>
                      </wps:wsp>
                      <wps:wsp>
                        <wps:cNvPr id="922194" name="Shape 922194"/>
                        <wps:cNvSpPr/>
                        <wps:spPr>
                          <a:xfrm>
                            <a:off x="4671822" y="1740000"/>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636363"/>
                          </a:fillRef>
                          <a:effectRef idx="0">
                            <a:scrgbClr r="0" g="0" b="0"/>
                          </a:effectRef>
                          <a:fontRef idx="none"/>
                        </wps:style>
                        <wps:bodyPr/>
                      </wps:wsp>
                      <wps:wsp>
                        <wps:cNvPr id="40779" name="Shape 40779"/>
                        <wps:cNvSpPr/>
                        <wps:spPr>
                          <a:xfrm>
                            <a:off x="4671822" y="1740000"/>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80" name="Rectangle 40780"/>
                        <wps:cNvSpPr/>
                        <wps:spPr>
                          <a:xfrm>
                            <a:off x="4745101" y="1706267"/>
                            <a:ext cx="908004" cy="151421"/>
                          </a:xfrm>
                          <a:prstGeom prst="rect">
                            <a:avLst/>
                          </a:prstGeom>
                          <a:ln>
                            <a:noFill/>
                          </a:ln>
                        </wps:spPr>
                        <wps:txbx>
                          <w:txbxContent>
                            <w:p w14:paraId="342DF27D" w14:textId="77777777" w:rsidR="0014164F" w:rsidRDefault="0014164F" w:rsidP="00C232D7">
                              <w:r>
                                <w:rPr>
                                  <w:rFonts w:ascii="Arial" w:eastAsia="Arial" w:hAnsi="Arial" w:cs="Arial"/>
                                  <w:color w:val="595959"/>
                                  <w:sz w:val="16"/>
                                </w:rPr>
                                <w:t>Sanitarni otpad</w:t>
                              </w:r>
                            </w:p>
                          </w:txbxContent>
                        </wps:txbx>
                        <wps:bodyPr horzOverflow="overflow" vert="horz" lIns="0" tIns="0" rIns="0" bIns="0" rtlCol="0">
                          <a:noAutofit/>
                        </wps:bodyPr>
                      </wps:wsp>
                      <wps:wsp>
                        <wps:cNvPr id="922195" name="Shape 922195"/>
                        <wps:cNvSpPr/>
                        <wps:spPr>
                          <a:xfrm>
                            <a:off x="4671822" y="1953360"/>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997300"/>
                          </a:fillRef>
                          <a:effectRef idx="0">
                            <a:scrgbClr r="0" g="0" b="0"/>
                          </a:effectRef>
                          <a:fontRef idx="none"/>
                        </wps:style>
                        <wps:bodyPr/>
                      </wps:wsp>
                      <wps:wsp>
                        <wps:cNvPr id="40782" name="Shape 40782"/>
                        <wps:cNvSpPr/>
                        <wps:spPr>
                          <a:xfrm>
                            <a:off x="4671822" y="1953360"/>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83" name="Rectangle 40783"/>
                        <wps:cNvSpPr/>
                        <wps:spPr>
                          <a:xfrm>
                            <a:off x="4745101" y="1919627"/>
                            <a:ext cx="630152" cy="151421"/>
                          </a:xfrm>
                          <a:prstGeom prst="rect">
                            <a:avLst/>
                          </a:prstGeom>
                          <a:ln>
                            <a:noFill/>
                          </a:ln>
                        </wps:spPr>
                        <wps:txbx>
                          <w:txbxContent>
                            <w:p w14:paraId="17FD2554" w14:textId="77777777" w:rsidR="0014164F" w:rsidRDefault="0014164F" w:rsidP="00C232D7">
                              <w:r>
                                <w:rPr>
                                  <w:rFonts w:ascii="Arial" w:eastAsia="Arial" w:hAnsi="Arial" w:cs="Arial"/>
                                  <w:color w:val="595959"/>
                                  <w:sz w:val="16"/>
                                </w:rPr>
                                <w:t>Medicinski</w:t>
                              </w:r>
                            </w:p>
                          </w:txbxContent>
                        </wps:txbx>
                        <wps:bodyPr horzOverflow="overflow" vert="horz" lIns="0" tIns="0" rIns="0" bIns="0" rtlCol="0">
                          <a:noAutofit/>
                        </wps:bodyPr>
                      </wps:wsp>
                      <wps:wsp>
                        <wps:cNvPr id="40784" name="Rectangle 40784"/>
                        <wps:cNvSpPr/>
                        <wps:spPr>
                          <a:xfrm>
                            <a:off x="4745101" y="2036340"/>
                            <a:ext cx="338851" cy="151421"/>
                          </a:xfrm>
                          <a:prstGeom prst="rect">
                            <a:avLst/>
                          </a:prstGeom>
                          <a:ln>
                            <a:noFill/>
                          </a:ln>
                        </wps:spPr>
                        <wps:txbx>
                          <w:txbxContent>
                            <w:p w14:paraId="0C39B232" w14:textId="77777777" w:rsidR="0014164F" w:rsidRDefault="0014164F" w:rsidP="00C232D7">
                              <w:r>
                                <w:rPr>
                                  <w:rFonts w:ascii="Arial" w:eastAsia="Arial" w:hAnsi="Arial" w:cs="Arial"/>
                                  <w:color w:val="595959"/>
                                  <w:sz w:val="16"/>
                                </w:rPr>
                                <w:t>otpad</w:t>
                              </w:r>
                            </w:p>
                          </w:txbxContent>
                        </wps:txbx>
                        <wps:bodyPr horzOverflow="overflow" vert="horz" lIns="0" tIns="0" rIns="0" bIns="0" rtlCol="0">
                          <a:noAutofit/>
                        </wps:bodyPr>
                      </wps:wsp>
                      <wps:wsp>
                        <wps:cNvPr id="922196" name="Shape 922196"/>
                        <wps:cNvSpPr/>
                        <wps:spPr>
                          <a:xfrm>
                            <a:off x="4671822" y="2166720"/>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0786" name="Shape 40786"/>
                        <wps:cNvSpPr/>
                        <wps:spPr>
                          <a:xfrm>
                            <a:off x="4671822" y="2166720"/>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787" name="Rectangle 40787"/>
                        <wps:cNvSpPr/>
                        <wps:spPr>
                          <a:xfrm>
                            <a:off x="4745101" y="2132733"/>
                            <a:ext cx="819439" cy="151421"/>
                          </a:xfrm>
                          <a:prstGeom prst="rect">
                            <a:avLst/>
                          </a:prstGeom>
                          <a:ln>
                            <a:noFill/>
                          </a:ln>
                        </wps:spPr>
                        <wps:txbx>
                          <w:txbxContent>
                            <w:p w14:paraId="7030177B" w14:textId="77777777" w:rsidR="0014164F" w:rsidRDefault="0014164F" w:rsidP="00C232D7">
                              <w:r>
                                <w:rPr>
                                  <w:rFonts w:ascii="Arial" w:eastAsia="Arial" w:hAnsi="Arial" w:cs="Arial"/>
                                  <w:color w:val="595959"/>
                                  <w:sz w:val="16"/>
                                </w:rPr>
                                <w:t>Parafin/vosak</w:t>
                              </w:r>
                            </w:p>
                          </w:txbxContent>
                        </wps:txbx>
                        <wps:bodyPr horzOverflow="overflow" vert="horz" lIns="0" tIns="0" rIns="0" bIns="0" rtlCol="0">
                          <a:noAutofit/>
                        </wps:bodyPr>
                      </wps:wsp>
                    </wpg:wgp>
                  </a:graphicData>
                </a:graphic>
              </wp:inline>
            </w:drawing>
          </mc:Choice>
          <mc:Fallback>
            <w:pict>
              <v:group w14:anchorId="7021A6C5" id="Group 895830" o:spid="_x0000_s1215" style="width:427.4pt;height:176.9pt;mso-position-horizontal-relative:char;mso-position-vertical-relative:line" coordsize="54278,22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">
                <v:shape id="Shape 40638" o:spid="_x0000_s1216" style="position:absolute;left:918;top:8323;width:13727;height:13727;visibility:visible;mso-wrap-style:square;v-text-anchor:top" coordsize="1372756,1372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FGWsEA&#10;AADeAAAADwAAAGRycy9kb3ducmV2LnhtbERPy4rCMBTdC/5DuII7TX2g0jGKigVXStUPuNPcacs0&#10;N7WJWv/eLASXh/NerltTiQc1rrSsYDSMQBBnVpecK7heksEChPPIGivLpOBFDtarbmeJsbZPTulx&#10;9rkIIexiVFB4X8dSuqwgg25oa+LA/dnGoA+wyaVu8BnCTSXHUTSTBksODQXWtCso+z/fjYJkfkpP&#10;k7s77pORSX5vvN1d/Vapfq/d/IDw1Pqv+OM+aAXTaDYJe8OdcAXk6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BRlrBAAAA3gAAAA8AAAAAAAAAAAAAAAAAmAIAAGRycy9kb3du&#10;cmV2LnhtbFBLBQYAAAAABAAEAPUAAACGAwAAAAA=&#10;" path="m686321,v379095,,686435,307340,686435,686435c1372756,1065404,1065416,1372743,686321,1372743,307353,1372743,,1065404,,686435,,428498,144615,192278,374409,75057l686321,686435,686321,xe" fillcolor="#5b9bd5" stroked="f" strokeweight="0">
                  <v:path arrowok="t" textboxrect="0,0,1372756,1372743"/>
                </v:shape>
                <v:shape id="Shape 40639" o:spid="_x0000_s1217" style="position:absolute;left:918;top:8323;width:13727;height:13727;visibility:visible;mso-wrap-style:square;v-text-anchor:top" coordsize="1372756,1372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W7MQA&#10;AADeAAAADwAAAGRycy9kb3ducmV2LnhtbESPT4vCMBTE78J+h/AW9iKauv6hVqOIKHqtu94fzbOt&#10;Ni+libZ+e7Ow4HGYmd8wy3VnKvGgxpWWFYyGEQjizOqScwW/P/tBDMJ5ZI2VZVLwJAfr1UdviYm2&#10;Laf0OPlcBAi7BBUU3teJlC4ryKAb2po4eBfbGPRBNrnUDbYBbir5HUUzabDksFBgTduCstvpbhSk&#10;cd4eMMXpdn64js/c3eOd7Sv19dltFiA8df4d/m8ftYJJNBvP4e9OuAJy9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vluzEAAAA3gAAAA8AAAAAAAAAAAAAAAAAmAIAAGRycy9k&#10;b3ducmV2LnhtbFBLBQYAAAAABAAEAPUAAACJAwAAAAA=&#10;" path="m686321,v379095,,686435,307340,686435,686435c1372756,1065404,1065416,1372743,686321,1372743,307353,1372743,,1065404,,686435,,428498,144615,192278,374409,75057l686321,686435,686321,xe" filled="f" strokecolor="white" strokeweight="1.56pt">
                  <v:path arrowok="t" textboxrect="0,0,1372756,1372743"/>
                </v:shape>
                <v:shape id="Shape 40640" o:spid="_x0000_s1218" style="position:absolute;left:4662;top:9009;width:3119;height:6178;visibility:visible;mso-wrap-style:square;v-text-anchor:top" coordsize="311912,617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if7cYA&#10;AADeAAAADwAAAGRycy9kb3ducmV2LnhtbESPzWoCMRSF94W+Q7iF7mpiGaWORhkqikhdVN24u0yu&#10;M4OTmyGJOu3TNwuhy8P545stetuKG/nQONYwHCgQxKUzDVcajofV2weIEJENto5Jww8FWMyfn2aY&#10;G3fnb7rtYyXSCIccNdQxdrmUoazJYhi4jjh5Z+ctxiR9JY3Hexq3rXxXaiwtNpweauzos6bysr9a&#10;Deszj36L03q5+5psr2p1dMXSZ1q/vvTFFESkPv6HH+2N0ZCpcZYAEk5C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if7cYAAADeAAAADwAAAAAAAAAAAAAAAACYAgAAZHJz&#10;L2Rvd25yZXYueG1sUEsFBgAAAAAEAAQA9QAAAIsDAAAAAA==&#10;" path="m12954,l311912,617855,,6477c4318,4318,8636,2159,12954,xe" fillcolor="#ed7d31" stroked="f" strokeweight="0">
                  <v:path arrowok="t" textboxrect="0,0,311912,617855"/>
                </v:shape>
                <v:shape id="Shape 40641" o:spid="_x0000_s1219" style="position:absolute;left:4662;top:9009;width:3119;height:6178;visibility:visible;mso-wrap-style:square;v-text-anchor:top" coordsize="311912,6178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21o8YA&#10;AADeAAAADwAAAGRycy9kb3ducmV2LnhtbESPQWvCQBSE7wX/w/IEb3WjhFSiq6hUEC+t1ou3R/aZ&#10;BLNvY3brxn/fLRR6HGbmG2ax6k0jHtS52rKCyTgBQVxYXXOp4Py1e52BcB5ZY2OZFDzJwWo5eFlg&#10;rm3gIz1OvhQRwi5HBZX3bS6lKyoy6Ma2JY7e1XYGfZRdKXWHIcJNI6dJkkmDNceFClvaVlTcTt9G&#10;wfvsI7WbXSi22SVsPo8B3w73TKnRsF/PQXjq/X/4r73XCtIkSyfweyde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21o8YAAADeAAAADwAAAAAAAAAAAAAAAACYAgAAZHJz&#10;L2Rvd25yZXYueG1sUEsFBgAAAAAEAAQA9QAAAIsDAAAAAA==&#10;" path="m,6477c4318,4318,8636,2159,12954,l311912,617855,,6477xe" filled="f" strokecolor="white" strokeweight="1.56pt">
                  <v:path arrowok="t" textboxrect="0,0,311912,617855"/>
                </v:shape>
                <v:shape id="Shape 40642" o:spid="_x0000_s1220" style="position:absolute;left:4791;top:8962;width:2990;height:6225;visibility:visible;mso-wrap-style:square;v-text-anchor:top" coordsize="298958,622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lAHMcA&#10;AADeAAAADwAAAGRycy9kb3ducmV2LnhtbESPzWrDMBCE74W+g9hAb40U14TiRAlJoVDaQMkP9LpY&#10;G8vEWhlLjZ08fRUo5DjMzjc78+XgGnGmLtSeNUzGCgRx6U3NlYbD/v35FUSIyAYbz6ThQgGWi8eH&#10;ORbG97yl8y5WIkE4FKjBxtgWUobSksMw9i1x8o6+cxiT7CppOuwT3DUyU2oqHdacGiy29GapPO1+&#10;XXrj8GLXMss31+/+51MZXH/t7Vbrp9GwmoGINMT78X/6w2jI1TTP4DYnMUAu/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ZQBzHAAAA3gAAAA8AAAAAAAAAAAAAAAAAmAIAAGRy&#10;cy9kb3ducmV2LnhtbFBLBQYAAAAABAAEAPUAAACMAwAAAAA=&#10;" path="m9906,l298958,622554,,4699c3302,3048,6604,1524,9906,xe" fillcolor="#a5a5a5" stroked="f" strokeweight="0">
                  <v:path arrowok="t" textboxrect="0,0,298958,622554"/>
                </v:shape>
                <v:shape id="Shape 40643" o:spid="_x0000_s1221" style="position:absolute;left:4791;top:8962;width:2990;height:6225;visibility:visible;mso-wrap-style:square;v-text-anchor:top" coordsize="298958,622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qpsYA&#10;AADeAAAADwAAAGRycy9kb3ducmV2LnhtbESPQWsCMRSE74X+h/AK3mrSakW2RpFCcQ8equ0PeCbP&#10;7OLmZUlSd/33TaHQ4zAz3zCrzeg7caWY2sAanqYKBLEJtmWn4evz/XEJImVki11g0nCjBJv1/d0K&#10;KxsGPtD1mJ0oEE4Vamhy7ispk2nIY5qGnrh45xA95iKjkzbiUOC+k89KLaTHlstCgz29NWQux2+v&#10;IY9bV4faHOJ578zuZbh8nPZK68nDuH0FkWnM/+G/dm01zNViPoPfO+UK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LnqpsYAAADeAAAADwAAAAAAAAAAAAAAAACYAgAAZHJz&#10;L2Rvd25yZXYueG1sUEsFBgAAAAAEAAQA9QAAAIsDAAAAAA==&#10;" path="m,4699c3302,3048,6604,1524,9906,l298958,622554,,4699xe" filled="f" strokecolor="white" strokeweight="1.56pt">
                  <v:path arrowok="t" textboxrect="0,0,298958,622554"/>
                </v:shape>
                <v:shape id="Shape 40644" o:spid="_x0000_s1222" style="position:absolute;left:4890;top:8510;width:2891;height:6677;visibility:visible;mso-wrap-style:square;v-text-anchor:top" coordsize="289052,667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t2MUA&#10;AADeAAAADwAAAGRycy9kb3ducmV2LnhtbESPUWvCQBCE3wv9D8cWfKsb2zRo9JRSaPHRqD9gya1J&#10;MLeX3p0a/32vUOjjMDPfMKvNaHt1ZR86Jxpm0wwUS+1MJ42G4+HzeQ4qRBJDvRPWcOcAm/Xjw4pK&#10;425S8XUfG5UgEkrS0MY4lIihbtlSmLqBJXkn5y3FJH2DxtMtwW2PL1lWoKVO0kJLA3+0XJ/3F6th&#10;4V/Pu7fF13eB3B2qS43baodaT57G9yWoyGP8D/+1t0ZDnhV5Dr930hXA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3YxQAAAN4AAAAPAAAAAAAAAAAAAAAAAJgCAABkcnMv&#10;ZG93bnJldi54bWxQSwUGAAAAAAQABAD1AAAAigMAAAAA&#10;" path="m130429,l289052,667766,,45212c41783,25781,85471,10668,130429,xe" fillcolor="#ffc000" stroked="f" strokeweight="0">
                  <v:path arrowok="t" textboxrect="0,0,289052,667766"/>
                </v:shape>
                <v:shape id="Shape 40645" o:spid="_x0000_s1223" style="position:absolute;left:4890;top:8510;width:2891;height:6677;visibility:visible;mso-wrap-style:square;v-text-anchor:top" coordsize="289052,667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eKm8cA&#10;AADeAAAADwAAAGRycy9kb3ducmV2LnhtbESPQWsCMRSE7wX/Q3hCbzWpXUW3RhGhxYtKrQi9PTav&#10;u8HNy7JJ1/XfN0Khx2FmvmEWq97VoqM2WM8ankcKBHHhjeVSw+nz7WkGIkRkg7Vn0nCjAKvl4GGB&#10;ufFX/qDuGEuRIBxy1FDF2ORShqIih2HkG+LkffvWYUyyLaVp8ZrgrpZjpabSoeW0UGFDm4qKy/HH&#10;aQi38ftLt5srkvvisM2+7OXcWK0fh/36FUSkPv6H/9pboyFT02wC9zvpCsjl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QHipvHAAAA3gAAAA8AAAAAAAAAAAAAAAAAmAIAAGRy&#10;cy9kb3ducmV2LnhtbFBLBQYAAAAABAAEAPUAAACMAwAAAAA=&#10;" path="m,45212c41783,25781,85471,10668,130429,l289052,667766,,45212xe" filled="f" strokecolor="white" strokeweight="1.56pt">
                  <v:path arrowok="t" textboxrect="0,0,289052,667766"/>
                </v:shape>
                <v:shape id="Shape 40646" o:spid="_x0000_s1224" style="position:absolute;left:6195;top:8469;width:1586;height:6718;visibility:visible;mso-wrap-style:square;v-text-anchor:top" coordsize="158623,671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m+sQA&#10;AADeAAAADwAAAGRycy9kb3ducmV2LnhtbESPX2vCMBTF34V9h3AHvtlEkSqdUURQ9iCotbLXS3PX&#10;ljU3pcm0+/aLMNjj4fz5cVabwbbiTr1vHGuYJgoEcelMw5WG4rqfLEH4gGywdUwafsjDZv0yWmFm&#10;3IMvdM9DJeII+ww11CF0mZS+rMmiT1xHHL1P11sMUfaVND0+4rht5UypVFpsOBJq7GhXU/mVf9sI&#10;OSnLebjRsThU+ex0Lj52C6X1+HXYvoEINIT/8F/73WiYq3SewvNOv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dJvrEAAAA3gAAAA8AAAAAAAAAAAAAAAAAmAIAAGRycy9k&#10;b3ducmV2LnhtbFBLBQYAAAAABAAEAPUAAACJAwAAAAA=&#10;" path="m17780,l158623,671830,,4064c5842,2667,11811,1270,17780,xe" fillcolor="#4472c4" stroked="f" strokeweight="0">
                  <v:path arrowok="t" textboxrect="0,0,158623,671830"/>
                </v:shape>
                <v:shape id="Shape 40647" o:spid="_x0000_s1225" style="position:absolute;left:6195;top:8469;width:1586;height:6718;visibility:visible;mso-wrap-style:square;v-text-anchor:top" coordsize="158623,671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2ZgsYA&#10;AADeAAAADwAAAGRycy9kb3ducmV2LnhtbESPUWvCMBSF3wf+h3CFvc10Is5VoxTBMQYbtDqfr801&#10;LWtuSpJp9++XwcDHwznnO5zVZrCduJAPrWMFj5MMBHHtdMtGwWG/e1iACBFZY+eYFPxQgM16dLfC&#10;XLsrl3SpohEJwiFHBU2MfS5lqBuyGCauJ07e2XmLMUlvpPZ4TXDbyWmWzaXFltNCgz1tG6q/qm+r&#10;4HiQp2n1+cFl9exL+f5mXgpTKHU/HooliEhDvIX/269awSybz57g7066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2ZgsYAAADeAAAADwAAAAAAAAAAAAAAAACYAgAAZHJz&#10;L2Rvd25yZXYueG1sUEsFBgAAAAAEAAQA9QAAAIsDAAAAAA==&#10;" path="m,4064c5842,2667,11811,1270,17780,l158623,671830,,4064xe" filled="f" strokecolor="white" strokeweight="1.56pt">
                  <v:path arrowok="t" textboxrect="0,0,158623,671830"/>
                </v:shape>
                <v:shape id="Shape 40648" o:spid="_x0000_s1226" style="position:absolute;left:6372;top:8342;width:1409;height:6845;visibility:visible;mso-wrap-style:square;v-text-anchor:top" coordsize="140843,6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iXE8IA&#10;AADeAAAADwAAAGRycy9kb3ducmV2LnhtbERPy4rCMBTdC/5DuMLsNHEQkY5RRGfAleJj4fJOc6ct&#10;09yUJmrs15uF4PJw3vNltLW4UesrxxrGIwWCOHem4kLD+fQznIHwAdlg7Zg0PMjDctHvzTEz7s4H&#10;uh1DIVII+ww1lCE0mZQ+L8miH7mGOHF/rrUYEmwLaVq8p3Bby0+lptJixamhxIbWJeX/x6vVEHH3&#10;jfvmdx831fWx5a5TeOm0/hjE1ReIQDG8xS/31miYqOkk7U130hW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SJcTwgAAAN4AAAAPAAAAAAAAAAAAAAAAAJgCAABkcnMvZG93&#10;bnJldi54bWxQSwUGAAAAAAQABAD1AAAAhwMAAAAA&#10;" path="m89916,r50927,684530l,12700c29591,6477,59690,2286,89916,xe" fillcolor="#70ad47" stroked="f" strokeweight="0">
                  <v:path arrowok="t" textboxrect="0,0,140843,684530"/>
                </v:shape>
                <v:shape id="Shape 40649" o:spid="_x0000_s1227" style="position:absolute;left:6372;top:8342;width:1409;height:6845;visibility:visible;mso-wrap-style:square;v-text-anchor:top" coordsize="140843,6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5a4MYA&#10;AADeAAAADwAAAGRycy9kb3ducmV2LnhtbESPQUvDQBSE7wX/w/IEb2ajtNWm3RYRlCIeaiL0+sg+&#10;k2D2bchbk/Tfu4VCj8PMfMNsdpNr1UC9NJ4NPCQpKOLS24YrA9/F2/0zKAnIFlvPZOBEArvtzWyD&#10;mfUjf9GQh0pFCEuGBuoQukxrKWtyKInviKP343uHIcq+0rbHMcJdqx/TdKkdNhwXauzotabyN/9z&#10;BvLTx8FXxVEWUoxTWA0i70+fxtzdTi9rUIGmcA1f2ntrYJ4u5ys434lXQG//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J5a4MYAAADeAAAADwAAAAAAAAAAAAAAAACYAgAAZHJz&#10;L2Rvd25yZXYueG1sUEsFBgAAAAAEAAQA9QAAAIsDAAAAAA==&#10;" path="m,12700c29591,6477,59690,2286,89916,r50927,684530l,12700xe" filled="f" strokecolor="white" strokeweight="1.56pt">
                  <v:path arrowok="t" textboxrect="0,0,140843,684530"/>
                </v:shape>
                <v:shape id="Shape 40650" o:spid="_x0000_s1228" style="position:absolute;left:7272;top:8333;width:509;height:6854;visibility:visible;mso-wrap-style:square;v-text-anchor:top" coordsize="50927,685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wdK8MA&#10;AADeAAAADwAAAGRycy9kb3ducmV2LnhtbESPzYrCMBSF98K8Q7gDs9N0RItWowyWATdCrTP7S3Nt&#10;q81NaaKtb28WgsvD+eNbbwfTiDt1rras4HsSgSAurK65VPB3+h0vQDiPrLGxTAoe5GC7+RitMdG2&#10;5yPdc1+KMMIuQQWV920ipSsqMugmtiUO3tl2Bn2QXSl1h30YN42cRlEsDdYcHipsaVdRcc1vRkFW&#10;HqaUxbkeLml6ntlT9p8ue6W+PoefFQhPg3+HX+29VjCL4nkACDgBBe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wdK8MAAADeAAAADwAAAAAAAAAAAAAAAACYAgAAZHJzL2Rv&#10;d25yZXYueG1sUEsFBgAAAAAEAAQA9QAAAIgDAAAAAA==&#10;" path="m14605,l50927,685419,,889c4953,508,9779,254,14605,xe" fillcolor="#255e91" stroked="f" strokeweight="0">
                  <v:path arrowok="t" textboxrect="0,0,50927,685419"/>
                </v:shape>
                <v:shape id="Shape 40651" o:spid="_x0000_s1229" style="position:absolute;left:7272;top:8333;width:509;height:6854;visibility:visible;mso-wrap-style:square;v-text-anchor:top" coordsize="50927,6854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HXK8YA&#10;AADeAAAADwAAAGRycy9kb3ducmV2LnhtbESPT2vCQBTE70K/w/IKvdWN1gaJrlLsHzylNFG8PrLP&#10;JJh9G7LbJH57t1DwOMzMb5j1djSN6KlztWUFs2kEgriwuuZSwSH/fF6CcB5ZY2OZFFzJwXbzMFlj&#10;ou3AP9RnvhQBwi5BBZX3bSKlKyoy6Ka2JQ7e2XYGfZBdKXWHQ4CbRs6jKJYGaw4LFba0q6i4ZL8m&#10;UN59mX0cdun3/Mhf+UtzSlNmpZ4ex7cVCE+jv4f/23utYBHFrzP4uxOu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HXK8YAAADeAAAADwAAAAAAAAAAAAAAAACYAgAAZHJz&#10;L2Rvd25yZXYueG1sUEsFBgAAAAAEAAQA9QAAAIsDAAAAAA==&#10;" path="m,889c4953,508,9779,254,14605,l50927,685419,,889xe" filled="f" strokecolor="white" strokeweight="1.56pt">
                  <v:path arrowok="t" textboxrect="0,0,50927,685419"/>
                </v:shape>
                <v:shape id="Shape 40652" o:spid="_x0000_s1230" style="position:absolute;left:7418;top:8330;width:363;height:6857;visibility:visible;mso-wrap-style:square;v-text-anchor:top" coordsize="36322,685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yrRsYA&#10;AADeAAAADwAAAGRycy9kb3ducmV2LnhtbESPQWvCQBSE74L/YXmCN90oNrTRVUpRED3Vtoi3R/Y1&#10;Cc2+DdlNNv77rlDocZiZb5jNbjC16Kl1lWUFi3kCgji3uuJCwefHYfYMwnlkjbVlUnAnB7vteLTB&#10;TNvA79RffCEihF2GCkrvm0xKl5dk0M1tQxy9b9sa9FG2hdQthgg3tVwmSSoNVhwXSmzoraT859IZ&#10;BS+3UxfOx8X1a9/3eXp1oeMhKDWdDK9rEJ4G/x/+ax+1glWSPi3hcSdeAbn9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nyrRsYAAADeAAAADwAAAAAAAAAAAAAAAACYAgAAZHJz&#10;L2Rvd25yZXYueG1sUEsFBgAAAAAEAAQA9QAAAIsDAAAAAA==&#10;" path="m3556,l36322,685673,,254c1143,127,2413,127,3556,xe" fillcolor="#9e480e" stroked="f" strokeweight="0">
                  <v:path arrowok="t" textboxrect="0,0,36322,685673"/>
                </v:shape>
                <v:shape id="Shape 40653" o:spid="_x0000_s1231" style="position:absolute;left:7418;top:8330;width:363;height:6857;visibility:visible;mso-wrap-style:square;v-text-anchor:top" coordsize="36322,685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B9cYA&#10;AADeAAAADwAAAGRycy9kb3ducmV2LnhtbESPzWrDMBCE74W+g9hCbo2cH4fgWg5JIKH01jSUHhdp&#10;YxtbK2MpjvP2UaHQ4zAz3zD5ZrStGKj3tWMFs2kCglg7U3Op4Px1eF2D8AHZYOuYFNzJw6Z4fsox&#10;M+7GnzScQikihH2GCqoQukxKryuy6KeuI47exfUWQ5R9KU2Ptwi3rZwnyUparDkuVNjRviLdnK5W&#10;wTb9aH4a0uf9d30fOd2th+VRKzV5GbdvIAKN4T/81343CpbJKl3A7514BWT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yB9cYAAADeAAAADwAAAAAAAAAAAAAAAACYAgAAZHJz&#10;L2Rvd25yZXYueG1sUEsFBgAAAAAEAAQA9QAAAIsDAAAAAA==&#10;" path="m,254c1143,127,2413,127,3556,l36322,685673,,254xe" filled="f" strokecolor="white" strokeweight="1.56pt">
                  <v:path arrowok="t" textboxrect="0,0,36322,685673"/>
                </v:shape>
                <v:shape id="Shape 40654" o:spid="_x0000_s1232" style="position:absolute;left:7453;top:8327;width:328;height:6860;visibility:visible;mso-wrap-style:square;v-text-anchor:top" coordsize="32766,686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h6K8cA&#10;AADeAAAADwAAAGRycy9kb3ducmV2LnhtbESPQWsCMRSE74X+h/AKXkSTWhXZGqUUSoVWxOjF22Pz&#10;ulncvCybVLf99U2h0OMwM98wy3XvG3GhLtaBNdyPFQjiMtiaKw3Hw8toASImZItNYNLwRRHWq9ub&#10;JRY2XHlPF5MqkSEcC9TgUmoLKWPpyGMch5Y4ex+h85iy7CppO7xmuG/kRKm59FhzXnDY0rOj8mw+&#10;vYbh5rw7sRmq9+1r8O7bsHmzD1oP7vqnRxCJ+vQf/mtvrIapms+m8HsnXw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oeivHAAAA3gAAAA8AAAAAAAAAAAAAAAAAmAIAAGRy&#10;cy9kb3ducmV2LnhtbFBLBQYAAAAABAAEAPUAAACMAwAAAAA=&#10;" path="m10922,l32766,686054,,381c3683,254,7366,127,10922,xe" fillcolor="#636363" stroked="f" strokeweight="0">
                  <v:path arrowok="t" textboxrect="0,0,32766,686054"/>
                </v:shape>
                <v:shape id="Shape 40655" o:spid="_x0000_s1233" style="position:absolute;left:7453;top:8327;width:328;height:6860;visibility:visible;mso-wrap-style:square;v-text-anchor:top" coordsize="32766,686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EK7cYA&#10;AADeAAAADwAAAGRycy9kb3ducmV2LnhtbESPQWvCQBSE7wX/w/KE3upGqWKjq6hFKBQP2oDXR/aZ&#10;pM2+jbtrjP/eLQgeh5n5hpkvO1OLlpyvLCsYDhIQxLnVFRcKsp/t2xSED8gaa8uk4EYeloveyxxT&#10;ba+8p/YQChEh7FNUUIbQpFL6vCSDfmAb4uidrDMYonSF1A6vEW5qOUqSiTRYcVwosaFNSfnf4WIU&#10;/J4/N98fp+1+vXMZ4Tm7HFtNSr32u9UMRKAuPMOP9pdW8J5MxmP4vxOvgF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CEK7cYAAADeAAAADwAAAAAAAAAAAAAAAACYAgAAZHJz&#10;L2Rvd25yZXYueG1sUEsFBgAAAAAEAAQA9QAAAIsDAAAAAA==&#10;" path="m,381c3683,254,7366,127,10922,l32766,686054,,381xe" filled="f" strokecolor="white" strokeweight="1.56pt">
                  <v:path arrowok="t" textboxrect="0,0,32766,686054"/>
                </v:shape>
                <v:shape id="Shape 40656" o:spid="_x0000_s1234" style="position:absolute;left:7562;top:8323;width:219;height:6864;visibility:visible;mso-wrap-style:square;v-text-anchor:top" coordsize="21844,686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EfI8YA&#10;AADeAAAADwAAAGRycy9kb3ducmV2LnhtbESP0WrCQBRE34X+w3ILvuluxQaJrmIrig9aaPQDLtlr&#10;EszeTbOrxr/vCoKPw8ycYWaLztbiSq2vHGv4GCoQxLkzFRcajof1YALCB2SDtWPScCcPi/lbb4ap&#10;cTf+pWsWChEh7FPUUIbQpFL6vCSLfuga4uidXGsxRNkW0rR4i3Bby5FSibRYcVwosaHvkvJzdrEa&#10;1pN9l5+q++5nI7OvP6NWI1cftO6/d8spiEBdeIWf7a3RMFbJZwKPO/EKy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EfI8YAAADeAAAADwAAAAAAAAAAAAAAAACYAgAAZHJz&#10;L2Rvd25yZXYueG1sUEsFBgAAAAAEAAQA9QAAAIsDAAAAAA==&#10;" path="m21844,r,686435l,381c7366,127,14605,,21844,xe" fillcolor="#997300" stroked="f" strokeweight="0">
                  <v:path arrowok="t" textboxrect="0,0,21844,686435"/>
                </v:shape>
                <v:shape id="Shape 40657" o:spid="_x0000_s1235" style="position:absolute;left:7562;top:8323;width:219;height:6864;visibility:visible;mso-wrap-style:square;v-text-anchor:top" coordsize="21844,686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yyuscA&#10;AADeAAAADwAAAGRycy9kb3ducmV2LnhtbESPQWvCQBSE70L/w/IKvenG1toSXSUEGguCqAn0+sg+&#10;k9Ds2zS7avz3XaHQ4zAz3zDL9WBacaHeNZYVTCcRCOLS6oYrBUX+MX4H4TyyxtYyKbiRg/XqYbTE&#10;WNsrH+hy9JUIEHYxKqi972IpXVmTQTexHXHwTrY36IPsK6l7vAa4aeVzFM2lwYbDQo0dpTWV38ez&#10;UbDBab497PVeZvonSV6+siLdGaWeHodkAcLT4P/Df+1PrWAWzV/f4H4nX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yssrrHAAAA3gAAAA8AAAAAAAAAAAAAAAAAmAIAAGRy&#10;cy9kb3ducmV2LnhtbFBLBQYAAAAABAAEAPUAAACMAwAAAAA=&#10;" path="m,381c7366,127,14605,,21844,r,686435l,381xe" filled="f" strokecolor="white" strokeweight="1.56pt">
                  <v:path arrowok="t" textboxrect="0,0,21844,686435"/>
                </v:shape>
                <v:shape id="Shape 40658" o:spid="_x0000_s1236" style="position:absolute;left:7781;top:8323;width:0;height:6864;visibility:visible;mso-wrap-style:square;v-text-anchor:top" coordsize="0,686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SCocYA&#10;AADeAAAADwAAAGRycy9kb3ducmV2LnhtbERPy04CMRTdm/APzTVhJ60EUUcKITyUlYkoJO4u08vM&#10;hOntpK0ww9fbhYnLk/OezFpbizP5UDnWcD9QIIhzZyouNHx9ru+eQISIbLB2TBo6CjCb9m4mmBl3&#10;4Q86b2MhUgiHDDWUMTaZlCEvyWIYuIY4cUfnLcYEfSGNx0sKt7UcKjWWFitODSU2tCgpP21/rIa3&#10;7+v6ffTYoY/LfaFeD4vV7rnTun/bzl9ARGrjv/jPvTEaRmr8kPamO+kK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0SCocYAAADeAAAADwAAAAAAAAAAAAAAAACYAgAAZHJz&#10;L2Rvd25yZXYueG1sUEsFBgAAAAAEAAQA9QAAAIsDAAAAAA==&#10;" path="m,l,686435,,xe" filled="f" strokecolor="white" strokeweight="1.56pt">
                  <v:path arrowok="t" textboxrect="0,0,0,686435"/>
                </v:shape>
                <v:shape id="Shape 40659" o:spid="_x0000_s1237" style="position:absolute;left:3017;top:9040;width:1707;height:16;visibility:visible;mso-wrap-style:square;v-text-anchor:top" coordsize="170688,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tYbsUA&#10;AADeAAAADwAAAGRycy9kb3ducmV2LnhtbESP0WoCMRRE34X+Q7iFvmmitIvdGkUWBKFU0fYDLpvb&#10;3aXJzZqkuv59UxB8HGbmDLNYDc6KM4XYedYwnSgQxLU3HTcavj434zmImJANWs+k4UoRVsuH0QJL&#10;4y98oPMxNSJDOJaooU2pL6WMdUsO48T3xNn79sFhyjI00gS8ZLizcqZUIR12nBda7Klqqf45/joN&#10;qlLz6n22tXFfnHZXO/2Q65C0fnoc1m8gEg3pHr61t0bDsypeXuH/Tr4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21huxQAAAN4AAAAPAAAAAAAAAAAAAAAAAJgCAABkcnMv&#10;ZG93bnJldi54bWxQSwUGAAAAAAQABAD1AAAAigMAAAAA&#10;" path="m170688,l57912,1524,,1524e" filled="f" strokecolor="#a6a6a6" strokeweight=".72pt">
                  <v:path arrowok="t" textboxrect="0,0,170688,1524"/>
                </v:shape>
                <v:shape id="Shape 40660" o:spid="_x0000_s1238" style="position:absolute;left:3825;top:7303;width:1021;height:1676;visibility:visible;mso-wrap-style:square;v-text-anchor:top" coordsize="102108,167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wiyMUA&#10;AADeAAAADwAAAGRycy9kb3ducmV2LnhtbESPy2oCMRSG94W+QzgFdzVTkekwNUoRbF2qY0u7O0zO&#10;XOjkZEiixrc3C6HLn//Gt1hFM4gzOd9bVvAyzUAQ11b33Co4VpvnAoQPyBoHy6TgSh5Wy8eHBZba&#10;XnhP50NoRRphX6KCLoSxlNLXHRn0UzsSJ6+xzmBI0rVSO7ykcTPIWZbl0mDP6aHDkdYd1X+Hk1EQ&#10;m5/Z8fsz7r4qKorgXk1z+v1QavIU399ABIrhP3xvb7WCeZbnCSDhJBS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CLIxQAAAN4AAAAPAAAAAAAAAAAAAAAAAJgCAABkcnMv&#10;ZG93bnJldi54bWxQSwUGAAAAAAQABAD1AAAAigMAAAAA&#10;" path="m102108,167640l57912,,,e" filled="f" strokecolor="#a6a6a6" strokeweight=".72pt">
                  <v:path arrowok="t" textboxrect="0,0,102108,167640"/>
                </v:shape>
                <v:shape id="Shape 40661" o:spid="_x0000_s1239" style="position:absolute;left:3032;top:5901;width:2500;height:2804;visibility:visible;mso-wrap-style:square;v-text-anchor:top" coordsize="249936,280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2bv8YA&#10;AADeAAAADwAAAGRycy9kb3ducmV2LnhtbESPzWrCQBSF9wXfYbiCuzqxSJCYibRaQRctVLNxd5u5&#10;zQQzd0Jm1Pj2TqHQ5eH8fJx8NdhWXKn3jWMFs2kCgrhyuuFaQXncPi9A+ICssXVMCu7kYVWMnnLM&#10;tLvxF10PoRZxhH2GCkwIXSalrwxZ9FPXEUfvx/UWQ5R9LXWPtzhuW/mSJKm02HAkGOxobag6Hy42&#10;cj/ezMkvyk36zfsj7Xfnz7J6V2oyHl6XIAIN4T/8195pBfMkTWfweydeAVk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2bv8YAAADeAAAADwAAAAAAAAAAAAAAAACYAgAAZHJz&#10;L2Rvd25yZXYueG1sUEsFBgAAAAAEAAQA9QAAAIsDAAAAAA==&#10;" path="m249936,280416l57912,,,e" filled="f" strokecolor="#a6a6a6" strokeweight=".72pt">
                  <v:path arrowok="t" textboxrect="0,0,249936,280416"/>
                </v:shape>
                <v:shape id="Shape 40662" o:spid="_x0000_s1240" style="position:absolute;left:6278;top:4392;width:2576;height:4100;visibility:visible;mso-wrap-style:square;v-text-anchor:top" coordsize="257556,409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oRg8kA&#10;AADeAAAADwAAAGRycy9kb3ducmV2LnhtbESP3UrDQBSE74W+w3IK3tlNiyRtzKYUUfzBIraleHma&#10;PU2C2bMhuybx7V1B6OUwM98w2Xo0jeipc7VlBfNZBIK4sLrmUsFh/3izBOE8ssbGMin4IQfrfHKV&#10;YartwB/U73wpAoRdigoq79tUSldUZNDNbEscvLPtDPogu1LqDocAN41cRFEsDdYcFips6b6i4mv3&#10;bRS8JKv+c/Xw+nTavw8Dvi2TY7tNlLqejps7EJ5Gfwn/t5+1gtsojhfwdydcAZn/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doRg8kAAADeAAAADwAAAAAAAAAAAAAAAACYAgAA&#10;ZHJzL2Rvd25yZXYueG1sUEsFBgAAAAAEAAQA9QAAAI4DAAAAAA==&#10;" path="m,409956l201168,r56388,e" filled="f" strokecolor="#a6a6a6" strokeweight=".72pt">
                  <v:path arrowok="t" textboxrect="0,0,257556,409956"/>
                </v:shape>
                <v:shape id="Shape 40663" o:spid="_x0000_s1241" style="position:absolute;left:3139;top:4255;width:3688;height:4130;visibility:visible;mso-wrap-style:square;v-text-anchor:top" coordsize="368808,413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RlsYA&#10;AADeAAAADwAAAGRycy9kb3ducmV2LnhtbESPQUvDQBSE74L/YXmCF7GbthJC7LZYoaAED031/sg+&#10;s6HZtyH7bNN/7xYEj8PMfMOsNpPv1YnG2AU2MJ9loIibYDtuDXwedo8FqCjIFvvAZOBCETbr25sV&#10;ljaceU+nWlqVIBxLNOBEhlLr2DjyGGdhIE7edxg9SpJjq+2I5wT3vV5kWa49dpwWHA706qg51j/e&#10;QPXw0ftwkXr3dXyvxMm2qBbOmPu76eUZlNAk/+G/9ps18JTl+RKud9IV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q0RlsYAAADeAAAADwAAAAAAAAAAAAAAAACYAgAAZHJz&#10;L2Rvd25yZXYueG1sUEsFBgAAAAAEAAQA9QAAAIsDAAAAAA==&#10;" path="m368808,413004l57912,,,e" filled="f" strokecolor="#a6a6a6" strokeweight=".72pt">
                  <v:path arrowok="t" textboxrect="0,0,368808,413004"/>
                </v:shape>
                <v:shape id="Shape 40664" o:spid="_x0000_s1242" style="position:absolute;left:7223;top:5124;width:122;height:3215;visibility:visible;mso-wrap-style:square;v-text-anchor:top" coordsize="12192,321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c5fsUA&#10;AADeAAAADwAAAGRycy9kb3ducmV2LnhtbESP0WrCQBRE3wX/YbmCL8FsKhJKdBURCrZ9MukHXLPX&#10;JJi9G3a3Jv37bqHg4zAzZ5jdYTK9eJDznWUFL2kGgri2uuNGwVf1tnoF4QOyxt4yKfghD4f9fLbD&#10;QtuRL/QoQyMihH2BCtoQhkJKX7dk0Kd2II7ezTqDIUrXSO1wjHDTy3WW5dJgx3GhxYFOLdX38tso&#10;CHf3eUmu7ph83N4ro884as6VWi6m4xZEoCk8w//ts1awyfJ8A3934hW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xzl+xQAAAN4AAAAPAAAAAAAAAAAAAAAAAJgCAABkcnMv&#10;ZG93bnJldi54bWxQSwUGAAAAAAQABAD1AAAAigMAAAAA&#10;" path="m12192,321564l,e" filled="f" strokecolor="#a6a6a6" strokeweight=".72pt">
                  <v:path arrowok="t" textboxrect="0,0,12192,321564"/>
                </v:shape>
                <v:shape id="Shape 40665" o:spid="_x0000_s1243" style="position:absolute;left:7437;top:3447;width:0;height:4892;visibility:visible;mso-wrap-style:square;v-text-anchor:top" coordsize="0,489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2zHccA&#10;AADeAAAADwAAAGRycy9kb3ducmV2LnhtbESPQWvCQBSE74L/YXmF3nSj1LSkrqKFFj14MO3B4zP7&#10;zAazb0N2Nem/dwXB4zAz3zDzZW9rcaXWV44VTMYJCOLC6YpLBX+/36MPED4ga6wdk4J/8rBcDAdz&#10;zLTreE/XPJQiQthnqMCE0GRS+sKQRT92DXH0Tq61GKJsS6lb7CLc1nKaJKm0WHFcMNjQl6HinF+s&#10;gu1kl+7eu9PRbH5mBy0vZl+c10q9vvSrTxCB+vAMP9obreAtSdMZ3O/EK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1dsx3HAAAA3gAAAA8AAAAAAAAAAAAAAAAAmAIAAGRy&#10;cy9kb3ducmV2LnhtbFBLBQYAAAAABAAEAPUAAACMAwAAAAA=&#10;" path="m,489204l,e" filled="f" strokecolor="#a6a6a6" strokeweight=".72pt">
                  <v:path arrowok="t" textboxrect="0,0,0,489204"/>
                </v:shape>
                <v:shape id="Shape 40666" o:spid="_x0000_s1244" style="position:absolute;left:7513;top:6815;width:4038;height:1509;visibility:visible;mso-wrap-style:square;v-text-anchor:top" coordsize="403860,150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awYsYA&#10;AADeAAAADwAAAGRycy9kb3ducmV2LnhtbESPQUvDQBSE74L/YXmCN7tpKbGk3ZZiETxowdaLt0f2&#10;dROSfRuzzyT+e7cgeBxm5htms5t8qwbqYx3YwHyWgSIug63ZGfg4Pz+sQEVBttgGJgM/FGG3vb3Z&#10;YGHDyO80nMSpBOFYoIFKpCu0jmVFHuMsdMTJu4TeoyTZO217HBPct3qRZbn2WHNaqLCjp4rK5vTt&#10;Ddi31+VxNTT0+OVd81keRpnEGXN/N+3XoIQm+Q//tV+sgWWW5zlc76Qr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bawYsYAAADeAAAADwAAAAAAAAAAAAAAAACYAgAAZHJz&#10;L2Rvd25yZXYueG1sUEsFBgAAAAAEAAQA9QAAAIsDAAAAAA==&#10;" path="m,150876l347472,r56388,e" filled="f" strokecolor="#a6a6a6" strokeweight=".72pt">
                  <v:path arrowok="t" textboxrect="0,0,403860,150876"/>
                </v:shape>
                <v:shape id="Shape 40667" o:spid="_x0000_s1245" style="position:absolute;left:7787;top:6480;width:945;height:1844;visibility:visible;mso-wrap-style:square;v-text-anchor:top" coordsize="94488,184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m9GcUA&#10;AADeAAAADwAAAGRycy9kb3ducmV2LnhtbESPX2vCMBTF34V9h3AHe9N0InVUYxHZQLaXtQ58vTTX&#10;prS56Zqo9dubwcDHw/nz46zz0XbiQoNvHCt4nSUgiCunG64V/Bw+pm8gfEDW2DkmBTfykG+eJmvM&#10;tLtyQZcy1CKOsM9QgQmhz6T0lSGLfuZ64uid3GAxRDnUUg94jeO2k/MkSaXFhiPBYE87Q1Vbnm3k&#10;7r6+61D87j/feZ4eCzZl2xmlXp7H7QpEoDE8wv/tvVawSNJ0CX934hW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Gb0ZxQAAAN4AAAAPAAAAAAAAAAAAAAAAAJgCAABkcnMv&#10;ZG93bnJldi54bWxQSwUGAAAAAAQABAD1AAAAigMAAAAA&#10;" path="m,184404l36576,,94488,e" filled="f" strokecolor="#a6a6a6" strokeweight=".72pt">
                  <v:path arrowok="t" textboxrect="0,0,94488,184404"/>
                </v:shape>
                <v:rect id="Rectangle 757148" o:spid="_x0000_s1246" style="position:absolute;left:8373;top:18080;width:346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3G88UA&#10;AADfAAAADwAAAGRycy9kb3ducmV2LnhtbERPy4rCMBTdD/gP4QruxtTB8VGNIuMMuvQF6u7SXNti&#10;c1OaaDt+vVkILg/nPZ03phB3qlxuWUGvG4EgTqzOOVVw2P99jkA4j6yxsEwK/snBfNb6mGKsbc1b&#10;uu98KkIIuxgVZN6XsZQuycig69qSOHAXWxn0AVap1BXWIdwU8iuKBtJgzqEhw5J+Mkquu5tRsBqV&#10;i9PaPuq0+D2vjpvjeLkfe6U67WYxAeGp8W/xy73WCobfw14/DA5/whe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cbzxQAAAN8AAAAPAAAAAAAAAAAAAAAAAJgCAABkcnMv&#10;ZG93bnJldi54bWxQSwUGAAAAAAQABAD1AAAAigMAAAAA&#10;" filled="f" stroked="f">
                  <v:textbox inset="0,0,0,0">
                    <w:txbxContent>
                      <w:p w14:paraId="4EA461EA" w14:textId="77777777" w:rsidR="0014164F" w:rsidRDefault="0014164F" w:rsidP="00C232D7">
                        <w:r>
                          <w:rPr>
                            <w:rFonts w:ascii="Calibri" w:hAnsi="Calibri" w:cs="Calibri"/>
                            <w:color w:val="404040"/>
                            <w:sz w:val="18"/>
                          </w:rPr>
                          <w:t>92.49</w:t>
                        </w:r>
                      </w:p>
                    </w:txbxContent>
                  </v:textbox>
                </v:rect>
                <v:rect id="Rectangle 757149" o:spid="_x0000_s1247" style="position:absolute;left:10979;top:18080;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FjaMkA&#10;AADfAAAADwAAAGRycy9kb3ducmV2LnhtbESPQWvCQBSE70L/w/IKvelGsdVEN0G0RY9WBfX2yL4m&#10;odm3Ibs1aX99tyD0OMzMN8wy600tbtS6yrKC8SgCQZxbXXGh4HR8G85BOI+ssbZMCr7JQZY+DJaY&#10;aNvxO90OvhABwi5BBaX3TSKly0sy6Ea2IQ7eh20N+iDbQuoWuwA3tZxE0Ys0WHFYKLGhdUn55+HL&#10;KNjOm9VlZ3+6on69bs/7c7w5xl6pp8d+tQDhqff/4Xt7pxXMnmfjaQx/f8IXkO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mFjaMkAAADfAAAADwAAAAAAAAAAAAAAAACYAgAA&#10;ZHJzL2Rvd25yZXYueG1sUEsFBgAAAAAEAAQA9QAAAI4DAAAAAA==&#10;" filled="f" stroked="f">
                  <v:textbox inset="0,0,0,0">
                    <w:txbxContent>
                      <w:p w14:paraId="127FDBB0" w14:textId="77777777" w:rsidR="0014164F" w:rsidRDefault="0014164F" w:rsidP="00C232D7">
                        <w:r>
                          <w:rPr>
                            <w:rFonts w:ascii="Calibri" w:hAnsi="Calibri" w:cs="Calibri"/>
                            <w:color w:val="404040"/>
                            <w:sz w:val="18"/>
                          </w:rPr>
                          <w:t>%</w:t>
                        </w:r>
                      </w:p>
                    </w:txbxContent>
                  </v:textbox>
                </v:rect>
                <v:rect id="Rectangle 757139" o:spid="_x0000_s1248" style="position:absolute;left:2242;top:8344;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cQFckA&#10;AADfAAAADwAAAGRycy9kb3ducmV2LnhtbESPQWvCQBSE70L/w/IKvelGpdVEN0G0RY9WBfX2yL4m&#10;odm3Ibs1aX99tyD0OMzMN8wy600tbtS6yrKC8SgCQZxbXXGh4HR8G85BOI+ssbZMCr7JQZY+DJaY&#10;aNvxO90OvhABwi5BBaX3TSKly0sy6Ea2IQ7eh20N+iDbQuoWuwA3tZxE0Ys0WHFYKLGhdUn55+HL&#10;KNjOm9VlZ3+6on69bs/7c7w5xl6pp8d+tQDhqff/4Xt7pxXMnmfjaQx/f8IXkO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mcQFckAAADfAAAADwAAAAAAAAAAAAAAAACYAgAA&#10;ZHJzL2Rvd25yZXYueG1sUEsFBgAAAAAEAAQA9QAAAI4DAAAAAA==&#10;" filled="f" stroked="f">
                  <v:textbox inset="0,0,0,0">
                    <w:txbxContent>
                      <w:p w14:paraId="1615A3F7" w14:textId="77777777" w:rsidR="0014164F" w:rsidRDefault="0014164F" w:rsidP="00C232D7">
                        <w:r>
                          <w:rPr>
                            <w:rFonts w:ascii="Calibri" w:hAnsi="Calibri" w:cs="Calibri"/>
                            <w:color w:val="404040"/>
                            <w:sz w:val="18"/>
                          </w:rPr>
                          <w:t>%</w:t>
                        </w:r>
                      </w:p>
                    </w:txbxContent>
                  </v:textbox>
                </v:rect>
                <v:rect id="Rectangle 757138" o:spid="_x0000_s1249" style="position:absolute;left:216;top:8344;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u1jsUA&#10;AADfAAAADwAAAGRycy9kb3ducmV2LnhtbERPy4rCMBTdD/gP4QruxtSR8VGNIuMMuvQF6u7SXNti&#10;c1OaaDt+vVkILg/nPZ03phB3qlxuWUGvG4EgTqzOOVVw2P99jkA4j6yxsEwK/snBfNb6mGKsbc1b&#10;uu98KkIIuxgVZN6XsZQuycig69qSOHAXWxn0AVap1BXWIdwU8iuKBtJgzqEhw5J+Mkquu5tRsBqV&#10;i9PaPuq0+D2vjpvjeLkfe6U67WYxAeGp8W/xy73WCobfw14/DA5/whe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K7WOxQAAAN8AAAAPAAAAAAAAAAAAAAAAAJgCAABkcnMv&#10;ZG93bnJldi54bWxQSwUGAAAAAAQABAD1AAAAigMAAAAA&#10;" filled="f" stroked="f">
                  <v:textbox inset="0,0,0,0">
                    <w:txbxContent>
                      <w:p w14:paraId="4D84F7B0" w14:textId="77777777" w:rsidR="0014164F" w:rsidRDefault="0014164F" w:rsidP="00C232D7">
                        <w:r>
                          <w:rPr>
                            <w:rFonts w:ascii="Calibri" w:hAnsi="Calibri" w:cs="Calibri"/>
                            <w:color w:val="404040"/>
                            <w:sz w:val="18"/>
                          </w:rPr>
                          <w:t>0.34</w:t>
                        </w:r>
                      </w:p>
                    </w:txbxContent>
                  </v:textbox>
                </v:rect>
                <v:rect id="Rectangle 757126" o:spid="_x0000_s1250" style="position:absolute;left:792;top:6439;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SusgA&#10;AADfAAAADwAAAGRycy9kb3ducmV2LnhtbESPS4vCQBCE78L+h6EFbzpR8JV1FFkVPfpYcPfWZHqT&#10;YKYnZEYT/fWOIOyxqKqvqNmiMYW4UeVyywr6vQgEcWJ1zqmC79OmOwHhPLLGwjIpuJODxfyjNcNY&#10;25oPdDv6VAQIuxgVZN6XsZQuycig69mSOHh/tjLog6xSqSusA9wUchBFI2kw57CQYUlfGSWX49Uo&#10;2E7K5c/OPuq0WP9uz/vzdHWaeqU67Wb5CcJT4//D7/ZOKxgPx/3BCF5/wheQ8y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IRK6yAAAAN8AAAAPAAAAAAAAAAAAAAAAAJgCAABk&#10;cnMvZG93bnJldi54bWxQSwUGAAAAAAQABAD1AAAAjQMAAAAA&#10;" filled="f" stroked="f">
                  <v:textbox inset="0,0,0,0">
                    <w:txbxContent>
                      <w:p w14:paraId="1DD1CEC0" w14:textId="77777777" w:rsidR="0014164F" w:rsidRDefault="0014164F" w:rsidP="00C232D7">
                        <w:r>
                          <w:rPr>
                            <w:rFonts w:ascii="Calibri" w:hAnsi="Calibri" w:cs="Calibri"/>
                            <w:color w:val="404040"/>
                            <w:sz w:val="18"/>
                          </w:rPr>
                          <w:t>0.25</w:t>
                        </w:r>
                      </w:p>
                    </w:txbxContent>
                  </v:textbox>
                </v:rect>
                <v:rect id="Rectangle 757127" o:spid="_x0000_s1251" style="position:absolute;left:2819;top:6439;width:108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3IcgA&#10;AADfAAAADwAAAGRycy9kb3ducmV2LnhtbESPQWvCQBSE74L/YXlCb7pRsImpq4ha9GhV0N4e2WcS&#10;zL4N2a1J++u7BaHHYWa+YebLzlTiQY0rLSsYjyIQxJnVJecKzqf3YQLCeWSNlWVS8E0Olot+b46p&#10;ti1/0OPocxEg7FJUUHhfp1K6rCCDbmRr4uDdbGPQB9nkUjfYBrip5CSKXqXBksNCgTWtC8ruxy+j&#10;YJfUq+ve/rR5tf3cXQ6X2eY080q9DLrVGwhPnf8PP9t7rSCexuNJDH9/whe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bbchyAAAAN8AAAAPAAAAAAAAAAAAAAAAAJgCAABk&#10;cnMvZG93bnJldi54bWxQSwUGAAAAAAQABAD1AAAAjQMAAAAA&#10;" filled="f" stroked="f">
                  <v:textbox inset="0,0,0,0">
                    <w:txbxContent>
                      <w:p w14:paraId="22299E88" w14:textId="77777777" w:rsidR="0014164F" w:rsidRDefault="0014164F" w:rsidP="00C232D7">
                        <w:r>
                          <w:rPr>
                            <w:rFonts w:ascii="Calibri" w:hAnsi="Calibri" w:cs="Calibri"/>
                            <w:color w:val="404040"/>
                            <w:sz w:val="18"/>
                          </w:rPr>
                          <w:t>%</w:t>
                        </w:r>
                      </w:p>
                    </w:txbxContent>
                  </v:textbox>
                </v:rect>
                <v:rect id="Rectangle 757120" o:spid="_x0000_s1252" style="position:absolute;left:2026;top:5041;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vVccA&#10;AADfAAAADwAAAGRycy9kb3ducmV2LnhtbESPy2rCQBSG9wXfYThCd3USoVWjYxDbEpf1AurukDkm&#10;wcyZkJkmaZ++syi4/PlvfKt0MLXoqHWVZQXxJAJBnFtdcaHgdPx8mYNwHlljbZkU/JCDdD16WmGi&#10;bc976g6+EGGEXYIKSu+bREqXl2TQTWxDHLybbQ36INtC6hb7MG5qOY2iN2mw4vBQYkPbkvL74dso&#10;yObN5rKzv31Rf1yz89d58X5ceKWex8NmCcLT4B/h//ZOK5i9zuJpIAg8gQ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EL1XHAAAA3wAAAA8AAAAAAAAAAAAAAAAAmAIAAGRy&#10;cy9kb3ducmV2LnhtbFBLBQYAAAAABAAEAPUAAACMAwAAAAA=&#10;" filled="f" stroked="f">
                  <v:textbox inset="0,0,0,0">
                    <w:txbxContent>
                      <w:p w14:paraId="4E262A35" w14:textId="77777777" w:rsidR="0014164F" w:rsidRDefault="0014164F" w:rsidP="00C232D7">
                        <w:r>
                          <w:rPr>
                            <w:rFonts w:ascii="Calibri" w:hAnsi="Calibri" w:cs="Calibri"/>
                            <w:color w:val="404040"/>
                            <w:sz w:val="18"/>
                          </w:rPr>
                          <w:t>%</w:t>
                        </w:r>
                      </w:p>
                    </w:txbxContent>
                  </v:textbox>
                </v:rect>
                <v:rect id="Rectangle 757118" o:spid="_x0000_s1253" style="position:absolute;top:5041;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7p7sYA&#10;AADfAAAADwAAAGRycy9kb3ducmV2LnhtbERPy2rCQBTdC/2H4Ra600kKNTE6ivRBsvRRsO4umdsk&#10;NHMnZKYm9us7C8Hl4bxXm9G04kK9aywriGcRCOLS6oYrBZ/Hj2kKwnlkja1lUnAlB5v1w2SFmbYD&#10;7+ly8JUIIewyVFB732VSurImg25mO+LAfdveoA+wr6TucQjhppXPUTSXBhsODTV29FpT+XP4NQry&#10;tNt+FfZvqNr3c37anRZvx4VX6ulx3C5BeBr9XXxzF1pB8pLEcRgc/oQv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p7p7sYAAADfAAAADwAAAAAAAAAAAAAAAACYAgAAZHJz&#10;L2Rvd25yZXYueG1sUEsFBgAAAAAEAAQA9QAAAIsDAAAAAA==&#10;" filled="f" stroked="f">
                  <v:textbox inset="0,0,0,0">
                    <w:txbxContent>
                      <w:p w14:paraId="67E585D6" w14:textId="77777777" w:rsidR="0014164F" w:rsidRDefault="0014164F" w:rsidP="00C232D7">
                        <w:r>
                          <w:rPr>
                            <w:rFonts w:ascii="Calibri" w:hAnsi="Calibri" w:cs="Calibri"/>
                            <w:color w:val="404040"/>
                            <w:sz w:val="18"/>
                          </w:rPr>
                          <w:t>3.21</w:t>
                        </w:r>
                      </w:p>
                    </w:txbxContent>
                  </v:textbox>
                </v:rect>
                <v:rect id="Rectangle 757111" o:spid="_x0000_s1254" style="position:absolute;left:9050;top:3535;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RAc8gA&#10;AADfAAAADwAAAGRycy9kb3ducmV2LnhtbESPT2vCQBTE7wW/w/KE3uomQmtMXUW0RY/+A9vbI/ua&#10;BLNvQ3Zrop/eFQSPw8z8hpnMOlOJMzWutKwgHkQgiDOrS84VHPbfbwkI55E1VpZJwYUczKa9lwmm&#10;2ra8pfPO5yJA2KWooPC+TqV0WUEG3cDWxMH7s41BH2STS91gG+CmksMo+pAGSw4LBda0KCg77f6N&#10;glVSz3/W9trm1dfv6rg5jpf7sVfqtd/NP0F46vwz/GivtYLR+yiOY7j/CV9AT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pEBzyAAAAN8AAAAPAAAAAAAAAAAAAAAAAJgCAABk&#10;cnMvZG93bnJldi54bWxQSwUGAAAAAAQABAD1AAAAjQMAAAAA&#10;" filled="f" stroked="f">
                  <v:textbox inset="0,0,0,0">
                    <w:txbxContent>
                      <w:p w14:paraId="6A99C54F" w14:textId="77777777" w:rsidR="0014164F" w:rsidRDefault="0014164F" w:rsidP="00C232D7">
                        <w:r>
                          <w:rPr>
                            <w:rFonts w:ascii="Calibri" w:hAnsi="Calibri" w:cs="Calibri"/>
                            <w:color w:val="404040"/>
                            <w:sz w:val="18"/>
                          </w:rPr>
                          <w:t>0.42</w:t>
                        </w:r>
                      </w:p>
                    </w:txbxContent>
                  </v:textbox>
                </v:rect>
                <v:rect id="Rectangle 757112" o:spid="_x0000_s1255" style="position:absolute;left:11076;top:3535;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beBMgA&#10;AADfAAAADwAAAGRycy9kb3ducmV2LnhtbESPT2vCQBTE70K/w/IK3nQTwX/RVaRV9Gi1YL09sq9J&#10;aPZtyK4m+uldQehxmJnfMPNla0pxpdoVlhXE/QgEcWp1wZmC7+OmNwHhPLLG0jIpuJGD5eKtM8dE&#10;24a/6HrwmQgQdgkqyL2vEildmpNB17cVcfB+bW3QB1lnUtfYBLgp5SCKRtJgwWEhx4o+ckr/Dhej&#10;YDupVj87e2+ycn3envan6edx6pXqvrerGQhPrf8Pv9o7rWA8HMfxAJ5/wheQi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dt4EyAAAAN8AAAAPAAAAAAAAAAAAAAAAAJgCAABk&#10;cnMvZG93bnJldi54bWxQSwUGAAAAAAQABAD1AAAAjQMAAAAA&#10;" filled="f" stroked="f">
                  <v:textbox inset="0,0,0,0">
                    <w:txbxContent>
                      <w:p w14:paraId="575F5801" w14:textId="77777777" w:rsidR="0014164F" w:rsidRDefault="0014164F" w:rsidP="00C232D7">
                        <w:r>
                          <w:rPr>
                            <w:rFonts w:ascii="Calibri" w:hAnsi="Calibri" w:cs="Calibri"/>
                            <w:color w:val="404040"/>
                            <w:sz w:val="18"/>
                          </w:rPr>
                          <w:t>%</w:t>
                        </w:r>
                      </w:p>
                    </w:txbxContent>
                  </v:textbox>
                </v:rect>
                <v:rect id="Rectangle 757109" o:spid="_x0000_s1256" style="position:absolute;left:103;top:3400;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vaqMkA&#10;AADfAAAADwAAAGRycy9kb3ducmV2LnhtbESPT2vCQBTE74V+h+UVeqsbhdYkuglSW/Ton4J6e2Sf&#10;SWj2bchuTfTTdwtCj8PM/IaZ54NpxIU6V1tWMB5FIIgLq2suFXztP19iEM4ja2wsk4IrOcizx4c5&#10;ptr2vKXLzpciQNilqKDyvk2ldEVFBt3ItsTBO9vOoA+yK6XusA9w08hJFL1JgzWHhQpbeq+o+N79&#10;GAWruF0c1/bWl83HaXXYHJLlPvFKPT8NixkIT4P/D9/ba61g+jodRwn8/QlfQGa/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AvaqMkAAADfAAAADwAAAAAAAAAAAAAAAACYAgAA&#10;ZHJzL2Rvd25yZXYueG1sUEsFBgAAAAAEAAQA9QAAAI4DAAAAAA==&#10;" filled="f" stroked="f">
                  <v:textbox inset="0,0,0,0">
                    <w:txbxContent>
                      <w:p w14:paraId="01B5FF2C" w14:textId="77777777" w:rsidR="0014164F" w:rsidRDefault="0014164F" w:rsidP="00C232D7">
                        <w:r>
                          <w:rPr>
                            <w:rFonts w:ascii="Calibri" w:hAnsi="Calibri" w:cs="Calibri"/>
                            <w:color w:val="404040"/>
                            <w:sz w:val="18"/>
                          </w:rPr>
                          <w:t>2.11</w:t>
                        </w:r>
                      </w:p>
                    </w:txbxContent>
                  </v:textbox>
                </v:rect>
                <v:rect id="Rectangle 757110" o:spid="_x0000_s1257" style="position:absolute;left:2130;top:3400;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jl6McA&#10;AADfAAAADwAAAGRycy9kb3ducmV2LnhtbESPy2rCQBSG90LfYTiF7nSSQk2MjiK9kCy9FKy7Q+Y0&#10;Cc2cCZmpiX36zkJw+fPf+Fab0bTiQr1rLCuIZxEI4tLqhisFn8ePaQrCeWSNrWVScCUHm/XDZIWZ&#10;tgPv6XLwlQgj7DJUUHvfZVK6siaDbmY74uB9296gD7KvpO5xCOOmlc9RNJcGGw4PNXb0WlP5c/g1&#10;CvK0234V9m+o2vdzftqdFm/HhVfq6XHcLkF4Gv09fGsXWkHyksRxIAg8gQXk+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o5ejHAAAA3wAAAA8AAAAAAAAAAAAAAAAAmAIAAGRy&#10;cy9kb3ducmV2LnhtbFBLBQYAAAAABAAEAPUAAACMAwAAAAA=&#10;" filled="f" stroked="f">
                  <v:textbox inset="0,0,0,0">
                    <w:txbxContent>
                      <w:p w14:paraId="434003FE" w14:textId="77777777" w:rsidR="0014164F" w:rsidRDefault="0014164F" w:rsidP="00C232D7">
                        <w:r>
                          <w:rPr>
                            <w:rFonts w:ascii="Calibri" w:hAnsi="Calibri" w:cs="Calibri"/>
                            <w:color w:val="404040"/>
                            <w:sz w:val="18"/>
                          </w:rPr>
                          <w:t>%</w:t>
                        </w:r>
                      </w:p>
                    </w:txbxContent>
                  </v:textbox>
                </v:rect>
                <v:rect id="Rectangle 757115" o:spid="_x0000_s1258" style="position:absolute;left:4188;top:4273;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9GcMgA&#10;AADfAAAADwAAAGRycy9kb3ducmV2LnhtbESPT2vCQBTE70K/w/IK3nSTgv+iq0hV9Gi1YL09sq9J&#10;aPZtyK4m+uldQehxmJnfMLNFa0pxpdoVlhXE/QgEcWp1wZmC7+OmNwbhPLLG0jIpuJGDxfytM8NE&#10;24a/6HrwmQgQdgkqyL2vEildmpNB17cVcfB+bW3QB1lnUtfYBLgp5UcUDaXBgsNCjhV95pT+HS5G&#10;wXZcLX929t5k5fq8Pe1Pk9Vx4pXqvrfLKQhPrf8Pv9o7rWA0GMXxAJ5/wheQ8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n0ZwyAAAAN8AAAAPAAAAAAAAAAAAAAAAAJgCAABk&#10;cnMvZG93bnJldi54bWxQSwUGAAAAAAQABAD1AAAAjQMAAAAA&#10;" filled="f" stroked="f">
                  <v:textbox inset="0,0,0,0">
                    <w:txbxContent>
                      <w:p w14:paraId="5663F71D" w14:textId="77777777" w:rsidR="0014164F" w:rsidRDefault="0014164F" w:rsidP="00C232D7">
                        <w:r>
                          <w:rPr>
                            <w:rFonts w:ascii="Calibri" w:hAnsi="Calibri" w:cs="Calibri"/>
                            <w:color w:val="404040"/>
                            <w:sz w:val="18"/>
                          </w:rPr>
                          <w:t>0.34</w:t>
                        </w:r>
                      </w:p>
                    </w:txbxContent>
                  </v:textbox>
                </v:rect>
                <v:rect id="Rectangle 757117" o:spid="_x0000_s1259" style="position:absolute;left:6215;top:4273;width:108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F9nMgA&#10;AADfAAAADwAAAGRycy9kb3ducmV2LnhtbESPQWvCQBSE74L/YXkFb7qJ0Eajq4i26LFqwfb2yD6T&#10;0OzbkF1N9Ne7QqHHYWa+YebLzlTiSo0rLSuIRxEI4szqknMFX8eP4QSE88gaK8uk4EYOlot+b46p&#10;ti3v6XrwuQgQdikqKLyvUyldVpBBN7I1cfDOtjHog2xyqRtsA9xUchxFb9JgyWGhwJrWBWW/h4tR&#10;sJ3Uq++dvbd59f6zPX2eppvj1Cs1eOlWMxCeOv8f/mvvtILkNYnjBJ5/wheQi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AX2cyAAAAN8AAAAPAAAAAAAAAAAAAAAAAJgCAABk&#10;cnMvZG93bnJldi54bWxQSwUGAAAAAAQABAD1AAAAjQMAAAAA&#10;" filled="f" stroked="f">
                  <v:textbox inset="0,0,0,0">
                    <w:txbxContent>
                      <w:p w14:paraId="69C66039" w14:textId="77777777" w:rsidR="0014164F" w:rsidRDefault="0014164F" w:rsidP="00C232D7">
                        <w:r>
                          <w:rPr>
                            <w:rFonts w:ascii="Calibri" w:hAnsi="Calibri" w:cs="Calibri"/>
                            <w:color w:val="404040"/>
                            <w:sz w:val="18"/>
                          </w:rPr>
                          <w:t>%</w:t>
                        </w:r>
                      </w:p>
                    </w:txbxContent>
                  </v:textbox>
                </v:rect>
                <v:rect id="Rectangle 757108" o:spid="_x0000_s1260" style="position:absolute;left:7123;top:2283;width:108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M8UA&#10;AADfAAAADwAAAGRycy9kb3ducmV2LnhtbERPTWvCQBC9F/wPywje6kbBJqauImpJjq0K2tuQnSah&#10;2dmQ3ZrUX+8eCj0+3vdqM5hG3KhztWUFs2kEgriwuuZSwfn09pyAcB5ZY2OZFPySg8169LTCVNue&#10;P+h29KUIIexSVFB536ZSuqIig25qW+LAfdnOoA+wK6XusA/hppHzKHqRBmsODRW2tKuo+D7+GAVZ&#10;0m6vub33ZXP4zC7vl+X+tPRKTcbD9hWEp8H/i//cuVYQL+JZFAaHP+EL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R38zxQAAAN8AAAAPAAAAAAAAAAAAAAAAAJgCAABkcnMv&#10;ZG93bnJldi54bWxQSwUGAAAAAAQABAD1AAAAigMAAAAA&#10;" filled="f" stroked="f">
                  <v:textbox inset="0,0,0,0">
                    <w:txbxContent>
                      <w:p w14:paraId="45B0235C" w14:textId="77777777" w:rsidR="0014164F" w:rsidRDefault="0014164F" w:rsidP="00C232D7">
                        <w:r>
                          <w:rPr>
                            <w:rFonts w:ascii="Calibri" w:hAnsi="Calibri" w:cs="Calibri"/>
                            <w:color w:val="404040"/>
                            <w:sz w:val="18"/>
                          </w:rPr>
                          <w:t>%</w:t>
                        </w:r>
                      </w:p>
                    </w:txbxContent>
                  </v:textbox>
                </v:rect>
                <v:rect id="Rectangle 757107" o:spid="_x0000_s1261" style="position:absolute;left:5096;top:2283;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rQcgA&#10;AADfAAAADwAAAGRycy9kb3ducmV2LnhtbESPQWvCQBSE74X+h+UVvNWNQk2M2YjUih6rFtTbI/tM&#10;QrNvQ3Y1aX99t1DocZiZb5hsOZhG3KlztWUFk3EEgriwuuZSwcdx85yAcB5ZY2OZFHyRg2X++JBh&#10;qm3Pe7offCkChF2KCirv21RKV1Rk0I1tSxy8q+0M+iC7UuoO+wA3jZxG0UwarDksVNjSa0XF5+Fm&#10;FGyTdnXe2e++bN4u29P7ab4+zr1So6dhtQDhafD/4b/2TiuIX+JJFMPvn/AFZP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2OtByAAAAN8AAAAPAAAAAAAAAAAAAAAAAJgCAABk&#10;cnMvZG93bnJldi54bWxQSwUGAAAAAAQABAD1AAAAjQMAAAAA&#10;" filled="f" stroked="f">
                  <v:textbox inset="0,0,0,0">
                    <w:txbxContent>
                      <w:p w14:paraId="4721021D" w14:textId="77777777" w:rsidR="0014164F" w:rsidRDefault="0014164F" w:rsidP="00C232D7">
                        <w:r>
                          <w:rPr>
                            <w:rFonts w:ascii="Calibri" w:hAnsi="Calibri" w:cs="Calibri"/>
                            <w:color w:val="404040"/>
                            <w:sz w:val="18"/>
                          </w:rPr>
                          <w:t>0.08</w:t>
                        </w:r>
                      </w:p>
                    </w:txbxContent>
                  </v:textbox>
                </v:rect>
                <v:rect id="Rectangle 757131" o:spid="_x0000_s1262" style="position:absolute;left:13770;top:5961;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cE8kA&#10;AADfAAAADwAAAGRycy9kb3ducmV2LnhtbESPQWvCQBSE74X+h+UVvNVNLFZNs4pYRY9WC2lvj+xr&#10;Epp9G7Krif76riD0OMzMN0y66E0tztS6yrKCeBiBIM6trrhQ8HncPE9BOI+ssbZMCi7kYDF/fEgx&#10;0bbjDzoffCEChF2CCkrvm0RKl5dk0A1tQxy8H9sa9EG2hdQtdgFuajmKoldpsOKwUGJDq5Ly38PJ&#10;KNhOm+XXzl67ol5/b7N9Nns/zrxSg6d++QbCU+//w/f2TiuYjCfxSwy3P+ELyP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BEcE8kAAADfAAAADwAAAAAAAAAAAAAAAACYAgAA&#10;ZHJzL2Rvd25yZXYueG1sUEsFBgAAAAAEAAQA9QAAAI4DAAAAAA==&#10;" filled="f" stroked="f">
                  <v:textbox inset="0,0,0,0">
                    <w:txbxContent>
                      <w:p w14:paraId="33C62990" w14:textId="77777777" w:rsidR="0014164F" w:rsidRDefault="0014164F" w:rsidP="00C232D7">
                        <w:r>
                          <w:rPr>
                            <w:rFonts w:ascii="Calibri" w:hAnsi="Calibri" w:cs="Calibri"/>
                            <w:color w:val="404040"/>
                            <w:sz w:val="18"/>
                          </w:rPr>
                          <w:t>%</w:t>
                        </w:r>
                      </w:p>
                    </w:txbxContent>
                  </v:textbox>
                </v:rect>
                <v:rect id="Rectangle 757130" o:spid="_x0000_s1263" style="position:absolute;left:11743;top:5961;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5iMYA&#10;AADfAAAADwAAAGRycy9kb3ducmV2LnhtbESPy4rCMBSG9wO+QziCuzF1ZLxUo8g4gy69gbo7NMe2&#10;2JyUJtqOT28Wgsuf/8Y3nTemEHeqXG5ZQa8bgSBOrM45VXDY/32OQDiPrLGwTAr+ycF81vqYYqxt&#10;zVu673wqwgi7GBVk3pexlC7JyKDr2pI4eBdbGfRBVqnUFdZh3BTyK4oG0mDO4SHDkn4ySq67m1Gw&#10;GpWL09o+6rT4Pa+Om+N4uR97pTrtZjEB4anx7/CrvdYKht/DXj8QBJ7AAnL2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25iMYAAADfAAAADwAAAAAAAAAAAAAAAACYAgAAZHJz&#10;L2Rvd25yZXYueG1sUEsFBgAAAAAEAAQA9QAAAIsDAAAAAA==&#10;" filled="f" stroked="f">
                  <v:textbox inset="0,0,0,0">
                    <w:txbxContent>
                      <w:p w14:paraId="1DD7C46D" w14:textId="77777777" w:rsidR="0014164F" w:rsidRDefault="0014164F" w:rsidP="00C232D7">
                        <w:r>
                          <w:rPr>
                            <w:rFonts w:ascii="Calibri" w:hAnsi="Calibri" w:cs="Calibri"/>
                            <w:color w:val="404040"/>
                            <w:sz w:val="18"/>
                          </w:rPr>
                          <w:t>0.25</w:t>
                        </w:r>
                      </w:p>
                    </w:txbxContent>
                  </v:textbox>
                </v:rect>
                <v:rect id="Rectangle 757141" o:spid="_x0000_s1264" style="position:absolute;left:13450;top:7833;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vbskA&#10;AADfAAAADwAAAGRycy9kb3ducmV2LnhtbESPQWvCQBSE74X+h+UVvNVNpFZNs4pYRY9WC2lvj+xr&#10;Epp9G7Krif76riD0OMzMN0y66E0tztS6yrKCeBiBIM6trrhQ8HncPE9BOI+ssbZMCi7kYDF/fEgx&#10;0bbjDzoffCEChF2CCkrvm0RKl5dk0A1tQxy8H9sa9EG2hdQtdgFuajmKoldpsOKwUGJDq5Ly38PJ&#10;KNhOm+XXzl67ol5/b7N9Nns/zrxSg6d++QbCU+//w/f2TiuYjCfxSwy3P+ELyP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dvbskAAADfAAAADwAAAAAAAAAAAAAAAACYAgAA&#10;ZHJzL2Rvd25yZXYueG1sUEsFBgAAAAAEAAQA9QAAAI4DAAAAAA==&#10;" filled="f" stroked="f">
                  <v:textbox inset="0,0,0,0">
                    <w:txbxContent>
                      <w:p w14:paraId="3DF166D4" w14:textId="77777777" w:rsidR="0014164F" w:rsidRDefault="0014164F" w:rsidP="00C232D7">
                        <w:r>
                          <w:rPr>
                            <w:rFonts w:ascii="Calibri" w:hAnsi="Calibri" w:cs="Calibri"/>
                            <w:color w:val="404040"/>
                            <w:sz w:val="18"/>
                          </w:rPr>
                          <w:t>%</w:t>
                        </w:r>
                      </w:p>
                    </w:txbxContent>
                  </v:textbox>
                </v:rect>
                <v:rect id="Rectangle 757140" o:spid="_x0000_s1265" style="position:absolute;left:11423;top:7833;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K9cYA&#10;AADfAAAADwAAAGRycy9kb3ducmV2LnhtbESPy4rCMBSG9wO+QziCuzF1cLxUo8g4gy69gbo7NMe2&#10;2JyUJtqOT28Wgsuf/8Y3nTemEHeqXG5ZQa8bgSBOrM45VXDY/32OQDiPrLGwTAr+ycF81vqYYqxt&#10;zVu673wqwgi7GBVk3pexlC7JyKDr2pI4eBdbGfRBVqnUFdZh3BTyK4oG0mDO4SHDkn4ySq67m1Gw&#10;GpWL09o+6rT4Pa+Om+N4uR97pTrtZjEB4anx7/CrvdYKht/DXj8QBJ7AAnL2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vK9cYAAADfAAAADwAAAAAAAAAAAAAAAACYAgAAZHJz&#10;L2Rvd25yZXYueG1sUEsFBgAAAAAEAAQA9QAAAIsDAAAAAA==&#10;" filled="f" stroked="f">
                  <v:textbox inset="0,0,0,0">
                    <w:txbxContent>
                      <w:p w14:paraId="0DA5AB22" w14:textId="77777777" w:rsidR="0014164F" w:rsidRDefault="0014164F" w:rsidP="00C232D7">
                        <w:r>
                          <w:rPr>
                            <w:rFonts w:ascii="Calibri" w:hAnsi="Calibri" w:cs="Calibri"/>
                            <w:color w:val="404040"/>
                            <w:sz w:val="18"/>
                          </w:rPr>
                          <w:t>0.51</w:t>
                        </w:r>
                      </w:p>
                    </w:txbxContent>
                  </v:textbox>
                </v:rect>
                <v:rect id="Rectangle 757128" o:spid="_x0000_s1266" style="position:absolute;left:8915;top:5625;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IjU8YA&#10;AADfAAAADwAAAGRycy9kb3ducmV2LnhtbERPy2rCQBTdF/yH4Qrd1UmEVo2OQWxLXNYHqLtL5poE&#10;M3dCZpqk/frOouDycN6rdDC16Kh1lWUF8SQCQZxbXXGh4HT8fJmDcB5ZY22ZFPyQg3Q9elphom3P&#10;e+oOvhAhhF2CCkrvm0RKl5dk0E1sQxy4m20N+gDbQuoW+xBuajmNojdpsOLQUGJD25Ly++HbKMjm&#10;zeays799UX9cs/PXefF+XHilnsfDZgnC0+Af4n/3TiuYvc7iaRgc/oQv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IjU8YAAADfAAAADwAAAAAAAAAAAAAAAACYAgAAZHJz&#10;L2Rvd25yZXYueG1sUEsFBgAAAAAEAAQA9QAAAIsDAAAAAA==&#10;" filled="f" stroked="f">
                  <v:textbox inset="0,0,0,0">
                    <w:txbxContent>
                      <w:p w14:paraId="2F5FA0F7" w14:textId="77777777" w:rsidR="0014164F" w:rsidRDefault="0014164F" w:rsidP="00C232D7">
                        <w:r>
                          <w:rPr>
                            <w:rFonts w:ascii="Calibri" w:hAnsi="Calibri" w:cs="Calibri"/>
                            <w:color w:val="404040"/>
                            <w:sz w:val="18"/>
                          </w:rPr>
                          <w:t>0.00</w:t>
                        </w:r>
                      </w:p>
                    </w:txbxContent>
                  </v:textbox>
                </v:rect>
                <v:rect id="Rectangle 757129" o:spid="_x0000_s1267" style="position:absolute;left:10941;top:5625;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6GyMgA&#10;AADfAAAADwAAAGRycy9kb3ducmV2LnhtbESPT2vCQBTE74V+h+UVvNWNQjWJriJtRY/+KVhvj+xr&#10;Epp9G7KriX56VxA8DjPzG2Y670wlztS40rKCQT8CQZxZXXKu4Ge/fI9BOI+ssbJMCi7kYD57fZli&#10;qm3LWzrvfC4ChF2KCgrv61RKlxVk0PVtTRy8P9sY9EE2udQNtgFuKjmMopE0WHJYKLCmz4Ky/93J&#10;KFjF9eJ3ba9tXn0fV4fNIfnaJ16p3lu3mIDw1Pln+NFeawXjj/FgmMD9T/gCcnY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vobIyAAAAN8AAAAPAAAAAAAAAAAAAAAAAJgCAABk&#10;cnMvZG93bnJldi54bWxQSwUGAAAAAAQABAD1AAAAjQMAAAAA&#10;" filled="f" stroked="f">
                  <v:textbox inset="0,0,0,0">
                    <w:txbxContent>
                      <w:p w14:paraId="0D7964C4" w14:textId="77777777" w:rsidR="0014164F" w:rsidRDefault="0014164F" w:rsidP="00C232D7">
                        <w:r>
                          <w:rPr>
                            <w:rFonts w:ascii="Calibri" w:hAnsi="Calibri" w:cs="Calibri"/>
                            <w:color w:val="404040"/>
                            <w:sz w:val="18"/>
                          </w:rPr>
                          <w:t>%</w:t>
                        </w:r>
                      </w:p>
                    </w:txbxContent>
                  </v:textbox>
                </v:rect>
                <v:shape id="Shape 922175" o:spid="_x0000_s1268" style="position:absolute;left:18326;top:971;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rLNcgA&#10;AADfAAAADwAAAGRycy9kb3ducmV2LnhtbESPQUvDQBSE74L/YXlCb+0mgUaN3RYplFbEg4kevD2y&#10;zySYfRt2t03aX+8KBY/DzHzDrDaT6cWJnO8sK0gXCQji2uqOGwUf1W7+AMIHZI29ZVJwJg+b9e3N&#10;CgttR36nUxkaESHsC1TQhjAUUvq6JYN+YQfi6H1bZzBE6RqpHY4RbnqZJUkuDXYcF1ocaNtS/VMe&#10;jYISx0vuXvZJWh2pyt9e91+fF1Zqdjc9P4EINIX/8LV90Aoesyy9X8Lfn/gF5Po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Wss1yAAAAN8AAAAPAAAAAAAAAAAAAAAAAJgCAABk&#10;cnMvZG93bnJldi54bWxQSwUGAAAAAAQABAD1AAAAjQMAAAAA&#10;" path="m,l51816,r,50292l,50292,,e" fillcolor="#5b9bd5" stroked="f" strokeweight="0">
                  <v:path arrowok="t" textboxrect="0,0,51816,50292"/>
                </v:shape>
                <v:shape id="Shape 40680" o:spid="_x0000_s1269" style="position:absolute;left:18326;top:971;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LEoMcA&#10;AADeAAAADwAAAGRycy9kb3ducmV2LnhtbESPTWvCQBCG7wX/wzJCb3VTaYNEV6lCoT20tKkg3obs&#10;mI1mZ0N2qml/ffdQ8PjyfvEsVoNv1Zn62AQ2cD/JQBFXwTZcG9h+Pd/NQEVBttgGJgM/FGG1HN0s&#10;sLDhwp90LqVWaYRjgQacSFdoHStHHuMkdMTJO4TeoyTZ19r2eEnjvtXTLMu1x4bTg8OONo6qU/nt&#10;DeyO8iuu3dT73UdJj2+v+fs65sbcjoenOSihQa7h//aLNfCQ5bMEkHASCu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CxKDHAAAA3gAAAA8AAAAAAAAAAAAAAAAAmAIAAGRy&#10;cy9kb3ducmV2LnhtbFBLBQYAAAAABAAEAPUAAACMAwAAAAA=&#10;" path="m,50292r51816,l51816,,,,,50292xe" filled="f" strokecolor="white" strokeweight="1.56pt">
                  <v:path arrowok="t" textboxrect="0,0,51816,50292"/>
                </v:shape>
                <v:rect id="Rectangle 40681" o:spid="_x0000_s1270" style="position:absolute;left:19052;top:625;width:472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CFbsYA&#10;AADeAAAADwAAAGRycy9kb3ducmV2LnhtbESPT4vCMBTE78J+h/AWvGmqiNRqFNlV9OifBdfbo3nb&#10;lm1eShNt9dMbQfA4zMxvmNmiNaW4Uu0KywoG/QgEcWp1wZmCn+O6F4NwHlljaZkU3MjBYv7RmWGi&#10;bcN7uh58JgKEXYIKcu+rREqX5mTQ9W1FHLw/Wxv0QdaZ1DU2AW5KOYyisTRYcFjIsaKvnNL/w8Uo&#10;2MTV8ndr701Wrs6b0+40+T5OvFLdz3Y5BeGp9e/wq73VCkbROB7A8064An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CFbsYAAADeAAAADwAAAAAAAAAAAAAAAACYAgAAZHJz&#10;L2Rvd25yZXYueG1sUEsFBgAAAAAEAAQA9QAAAIsDAAAAAA==&#10;" filled="f" stroked="f">
                  <v:textbox inset="0,0,0,0">
                    <w:txbxContent>
                      <w:p w14:paraId="0A2A6844" w14:textId="77777777" w:rsidR="0014164F" w:rsidRDefault="0014164F" w:rsidP="00C232D7">
                        <w:r>
                          <w:rPr>
                            <w:rFonts w:ascii="Arial" w:eastAsia="Arial" w:hAnsi="Arial" w:cs="Arial"/>
                            <w:color w:val="595959"/>
                            <w:sz w:val="16"/>
                          </w:rPr>
                          <w:t>Plastika</w:t>
                        </w:r>
                      </w:p>
                    </w:txbxContent>
                  </v:textbox>
                </v:rect>
                <v:shape id="Shape 922176" o:spid="_x0000_s1271" style="position:absolute;left:18326;top:2891;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FKcMYA&#10;AADfAAAADwAAAGRycy9kb3ducmV2LnhtbESPwW7CMBBE75X6D9ZW6g0cgkQhYBACSntsgQ9YxUuS&#10;Nl5HWRNCv76uhNTjaHbe7CxWvatVR61Ung2Mhgko4tzbigsDp+PrYApKArLF2jMZuJHAavn4sMDM&#10;+it/UncIhYoQlgwNlCE0mdaSl+RQhr4hjt7Ztw5DlG2hbYvXCHe1TpNkoh1WHBtKbGhTUv59uLj4&#10;xvj487GTfbUZc7L96kSm/CbGPD/16zmoQH34P76n362BWZqOXibwtydC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FKcMYAAADfAAAADwAAAAAAAAAAAAAAAACYAgAAZHJz&#10;L2Rvd25yZXYueG1sUEsFBgAAAAAEAAQA9QAAAIsDAAAAAA==&#10;" path="m,l51816,r,51816l,51816,,e" fillcolor="#ed7d31" stroked="f" strokeweight="0">
                  <v:path arrowok="t" textboxrect="0,0,51816,51816"/>
                </v:shape>
                <v:shape id="Shape 40683" o:spid="_x0000_s1272" style="position:absolute;left:18326;top:2891;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Nv8cA&#10;AADeAAAADwAAAGRycy9kb3ducmV2LnhtbESPQUsDMRSE74L/IbyCN5vU1mW7bVp0QfTgxdqDvT02&#10;z83i5mVJYrvtrzeC4HGYmW+Y9XZ0vThSiJ1nDbOpAkHceNNxq2H//nRbgogJ2WDvmTScKcJ2c321&#10;xsr4E7/RcZdakSEcK9RgUxoqKWNjyWGc+oE4e58+OExZhlaagKcMd728U6qQDjvOCxYHqi01X7tv&#10;p6F4teUluI96Xp9pSc/qcL9/PGh9MxkfViASjek//Nd+MRoWqijn8HsnXw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jTb/HAAAA3gAAAA8AAAAAAAAAAAAAAAAAmAIAAGRy&#10;cy9kb3ducmV2LnhtbFBLBQYAAAAABAAEAPUAAACMAwAAAAA=&#10;" path="m,51816r51816,l51816,,,,,51816xe" filled="f" strokecolor="white" strokeweight="1.56pt">
                  <v:path arrowok="t" textboxrect="0,0,51816,51816"/>
                </v:shape>
                <v:rect id="Rectangle 40684" o:spid="_x0000_s1273" style="position:absolute;left:19052;top:2547;width:3690;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cm9scA&#10;AADeAAAADwAAAGRycy9kb3ducmV2LnhtbESPQWvCQBSE74L/YXmCN91YgsToGoKtxGOrBevtkX1N&#10;QrNvQ3Zr0v76bqHQ4zAz3zC7bDStuFPvGssKVssIBHFpdcOVgtfLcZGAcB5ZY2uZFHyRg2w/neww&#10;1XbgF7qffSUChF2KCmrvu1RKV9Zk0C1tRxy8d9sb9EH2ldQ9DgFuWvkQRWtpsOGwUGNHh5rKj/On&#10;UVAkXf52st9D1T7diuvzdfN42Xil5rMx34LwNPr/8F/7pBXE0TqJ4fdOuAJy/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ZXJvbHAAAA3gAAAA8AAAAAAAAAAAAAAAAAmAIAAGRy&#10;cy9kb3ducmV2LnhtbFBLBQYAAAAABAAEAPUAAACMAwAAAAA=&#10;" filled="f" stroked="f">
                  <v:textbox inset="0,0,0,0">
                    <w:txbxContent>
                      <w:p w14:paraId="394A9E27" w14:textId="77777777" w:rsidR="0014164F" w:rsidRDefault="0014164F" w:rsidP="00C232D7">
                        <w:r>
                          <w:rPr>
                            <w:rFonts w:ascii="Arial" w:eastAsia="Arial" w:hAnsi="Arial" w:cs="Arial"/>
                            <w:color w:val="595959"/>
                            <w:sz w:val="16"/>
                          </w:rPr>
                          <w:t>Guma</w:t>
                        </w:r>
                      </w:p>
                    </w:txbxContent>
                  </v:textbox>
                </v:rect>
                <v:shape id="Shape 922177" o:spid="_x0000_s1274" style="position:absolute;left:18326;top:4811;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NigckA&#10;AADfAAAADwAAAGRycy9kb3ducmV2LnhtbESPQUvDQBSE70L/w/IKXqTdNKCNsdsiQaHQgxh76e2R&#10;fWaD2bchuybRX98tFHocZuYbZrObbCsG6n3jWMFqmYAgrpxuuFZw/HpfZCB8QNbYOiYFf+Rht53d&#10;bTDXbuRPGspQiwhhn6MCE0KXS+krQxb90nXE0ft2vcUQZV9L3eMY4baVaZI8SYsNxwWDHRWGqp/y&#10;1yoYCvPvPvbjmHXl4c09PBanU1YqdT+fXl9ABJrCLXxt77WC5zRdrddw+RO/gNye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PNigckAAADfAAAADwAAAAAAAAAAAAAAAACYAgAA&#10;ZHJzL2Rvd25yZXYueG1sUEsFBgAAAAAEAAQA9QAAAI4DAAAAAA==&#10;" path="m,l51816,r,51816l,51816,,e" fillcolor="#a5a5a5" stroked="f" strokeweight="0">
                  <v:path arrowok="t" textboxrect="0,0,51816,51816"/>
                </v:shape>
                <v:shape id="Shape 40686" o:spid="_x0000_s1275" style="position:absolute;left:18326;top:4811;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TuJ8cA&#10;AADeAAAADwAAAGRycy9kb3ducmV2LnhtbESPT0sDMRTE74LfITzBm02suqzbpqUuiB689M/B3h6b&#10;183i5mVJYrv10xtB6HGYmd8w8+XoenGkEDvPGu4nCgRx403HrYbd9vWuBBETssHeM2k4U4Tl4vpq&#10;jpXxJ17TcZNakSEcK9RgUxoqKWNjyWGc+IE4ewcfHKYsQytNwFOGu15OlSqkw47zgsWBakvN1+bb&#10;aSg+bPkT3Gf9UJ/pmd7U/mn3stf69mZczUAkGtMl/N9+NxoeVVEW8HcnXw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nU7ifHAAAA3gAAAA8AAAAAAAAAAAAAAAAAmAIAAGRy&#10;cy9kb3ducmV2LnhtbFBLBQYAAAAABAAEAPUAAACMAwAAAAA=&#10;" path="m,51816r51816,l51816,,,,,51816xe" filled="f" strokecolor="white" strokeweight="1.56pt">
                  <v:path arrowok="t" textboxrect="0,0,51816,51816"/>
                </v:shape>
                <v:rect id="Rectangle 40687" o:spid="_x0000_s1276" style="position:absolute;left:19052;top:4652;width:4282;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W4gccA&#10;AADeAAAADwAAAGRycy9kb3ducmV2LnhtbESPQWvCQBSE7wX/w/KE3pqNRWyMriLWokcbhejtkX1N&#10;QrNvQ3Zr0v76rlDocZiZb5jlejCNuFHnassKJlEMgriwuuZSwfn09pSAcB5ZY2OZFHyTg/Vq9LDE&#10;VNue3+mW+VIECLsUFVTet6mUrqjIoItsSxy8D9sZ9EF2pdQd9gFuGvkcxzNpsOawUGFL24qKz+zL&#10;KNgn7eZysD992eyu+/yYz19Pc6/U43jYLEB4Gvx/+K990Aqm8Sx5gfudcAX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FuIHHAAAA3gAAAA8AAAAAAAAAAAAAAAAAmAIAAGRy&#10;cy9kb3ducmV2LnhtbFBLBQYAAAAABAAEAPUAAACMAwAAAAA=&#10;" filled="f" stroked="f">
                  <v:textbox inset="0,0,0,0">
                    <w:txbxContent>
                      <w:p w14:paraId="2A24060C" w14:textId="77777777" w:rsidR="0014164F" w:rsidRDefault="0014164F" w:rsidP="00C232D7">
                        <w:r>
                          <w:rPr>
                            <w:rFonts w:ascii="Arial" w:eastAsia="Arial" w:hAnsi="Arial" w:cs="Arial"/>
                            <w:color w:val="595959"/>
                            <w:sz w:val="16"/>
                          </w:rPr>
                          <w:t>Odjeća</w:t>
                        </w:r>
                      </w:p>
                    </w:txbxContent>
                  </v:textbox>
                </v:rect>
                <v:shape id="Shape 922178" o:spid="_x0000_s1277" style="position:absolute;left:18326;top:6732;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w7DcIA&#10;AADfAAAADwAAAGRycy9kb3ducmV2LnhtbERPPW/CMBDdK/U/WFepW7mQIaUBg1pEKYzQLt1O8RFH&#10;xOcoNhD+PR6QGJ/e92wxuFaduQ+NFw3jUQaKpfKmkVrD3+/32wRUiCSGWi+s4coBFvPnpxmVxl9k&#10;x+d9rFUKkVCSBhtjVyKGyrKjMPIdS+IOvncUE+xrND1dUrhrMc+yAh01khosdby0XB33J6dh2xRd&#10;9WMtr3f4vzwWK/xaT1Dr15fhcwoq8hAf4rt7YzR85Pn4PQ1Of9IXw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XDsNwgAAAN8AAAAPAAAAAAAAAAAAAAAAAJgCAABkcnMvZG93&#10;bnJldi54bWxQSwUGAAAAAAQABAD1AAAAhwMAAAAA&#10;" path="m,l51816,r,51816l,51816,,e" fillcolor="#ffc000" stroked="f" strokeweight="0">
                  <v:path arrowok="t" textboxrect="0,0,51816,51816"/>
                </v:shape>
                <v:shape id="Shape 40689" o:spid="_x0000_s1278" style="position:absolute;left:18326;top:6732;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t6VccA&#10;AADeAAAADwAAAGRycy9kb3ducmV2LnhtbESPQUsDMRSE74L/ITzBm02sddlum5a6IHrwYu3B3h6b&#10;183i5mVJYrvtrzeC4HGYmW+Y5Xp0vThSiJ1nDfcTBYK48abjVsPu4/muBBETssHeM2k4U4T16vpq&#10;iZXxJ36n4za1IkM4VqjBpjRUUsbGksM48QNx9g4+OExZhlaagKcMd72cKlVIhx3nBYsD1Zaar+23&#10;01C82fIS3Gf9UJ9pTi9q/7h72mt9ezNuFiASjek//Nd+NRpmqijn8HsnXw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LelXHAAAA3gAAAA8AAAAAAAAAAAAAAAAAmAIAAGRy&#10;cy9kb3ducmV2LnhtbFBLBQYAAAAABAAEAPUAAACMAwAAAAA=&#10;" path="m,51816r51816,l51816,,,,,51816xe" filled="f" strokecolor="white" strokeweight="1.56pt">
                  <v:path arrowok="t" textboxrect="0,0,51816,51816"/>
                </v:shape>
                <v:rect id="Rectangle 40690" o:spid="_x0000_s1279" style="position:absolute;left:19052;top:6394;width:727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W2KMUA&#10;AADeAAAADwAAAGRycy9kb3ducmV2LnhtbESPy4rCMBSG9wO+QziCuzEdEbEdo4gXdOlUQd0dmjNt&#10;meakNNFWn94sBlz+/De+2aIzlbhT40rLCr6GEQjizOqScwWn4/ZzCsJ5ZI2VZVLwIAeLee9jhom2&#10;Lf/QPfW5CCPsElRQeF8nUrqsIINuaGvi4P3axqAPssmlbrAN46aSoyiaSIMlh4cCa1oVlP2lN6Ng&#10;N62Xl719tnm1ue7Oh3O8PsZeqUG/W36D8NT5d/i/vdcKxtEkDgABJ6C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tbYoxQAAAN4AAAAPAAAAAAAAAAAAAAAAAJgCAABkcnMv&#10;ZG93bnJldi54bWxQSwUGAAAAAAQABAD1AAAAigMAAAAA&#10;" filled="f" stroked="f">
                  <v:textbox inset="0,0,0,0">
                    <w:txbxContent>
                      <w:p w14:paraId="44B03AFA" w14:textId="77777777" w:rsidR="0014164F" w:rsidRDefault="0014164F" w:rsidP="00C232D7">
                        <w:r>
                          <w:rPr>
                            <w:rFonts w:ascii="Arial" w:eastAsia="Arial" w:hAnsi="Arial" w:cs="Arial"/>
                            <w:color w:val="595959"/>
                            <w:sz w:val="16"/>
                          </w:rPr>
                          <w:t>Papir/karton</w:t>
                        </w:r>
                      </w:p>
                    </w:txbxContent>
                  </v:textbox>
                </v:rect>
                <v:shape id="Shape 922179" o:spid="_x0000_s1280" style="position:absolute;left:18326;top:8652;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7kDscA&#10;AADfAAAADwAAAGRycy9kb3ducmV2LnhtbESPQWsCMRSE74X+h/CE3mp2V7B1NYqKYi89aMXzY/Pc&#10;LG5ewiZd13/fFAo9DjPzDbNYDbYVPXWhcawgH2cgiCunG64VnL/2r+8gQkTW2DomBQ8KsFo+Py2w&#10;1O7OR+pPsRYJwqFEBSZGX0oZKkMWw9h54uRdXWcxJtnVUnd4T3DbyiLLptJiw2nBoKetoep2+rYK&#10;Pq/+8DC3vZvklyrbrvuN34WNUi+jYT0HEWmI/+G/9odWMCuK/G0Gv3/SF5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8u5A7HAAAA3wAAAA8AAAAAAAAAAAAAAAAAmAIAAGRy&#10;cy9kb3ducmV2LnhtbFBLBQYAAAAABAAEAPUAAACMAwAAAAA=&#10;" path="m,l51816,r,51816l,51816,,e" fillcolor="#4472c4" stroked="f" strokeweight="0">
                  <v:path arrowok="t" textboxrect="0,0,51816,51816"/>
                </v:shape>
                <v:shape id="Shape 40692" o:spid="_x0000_s1281" style="position:absolute;left:18326;top:8652;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Z++cgA&#10;AADeAAAADwAAAGRycy9kb3ducmV2LnhtbESPT0sDMRTE74LfIbyCN5u06tKuTYsuiB689M/B3h6b&#10;183SzcuSxHbrpzeC0OMwM79hFqvBdeJEIbaeNUzGCgRx7U3LjYbd9u1+BiImZIOdZ9JwoQir5e3N&#10;Akvjz7ym0yY1IkM4lqjBptSXUsbaksM49j1x9g4+OExZhkaagOcMd52cKlVIhy3nBYs9VZbq4+bb&#10;aSg+7ewnuK/qobrQnN7V/mn3utf6bjS8PININKRr+L/9YTQ8qmI+hb87+Qr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Nn75yAAAAN4AAAAPAAAAAAAAAAAAAAAAAJgCAABk&#10;cnMvZG93bnJldi54bWxQSwUGAAAAAAQABAD1AAAAjQMAAAAA&#10;" path="m,51816r51816,l51816,,,,,51816xe" filled="f" strokecolor="white" strokeweight="1.56pt">
                  <v:path arrowok="t" textboxrect="0,0,51816,51816"/>
                </v:shape>
                <v:rect id="Rectangle 40693" o:spid="_x0000_s1282" style="position:absolute;left:19052;top:8498;width:9019;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coX8gA&#10;AADeAAAADwAAAGRycy9kb3ducmV2LnhtbESPW2vCQBSE3wv9D8sp+FY3vSBJzCrSC/pYtZD6dsge&#10;k2D2bMiuJvrrXaHg4zAz3zDZfDCNOFHnassKXsYRCOLC6ppLBb/b7+cYhPPIGhvLpOBMDuazx4cM&#10;U217XtNp40sRIOxSVFB536ZSuqIig25sW+Lg7W1n0AfZlVJ32Ae4aeRrFE2kwZrDQoUtfVRUHDZH&#10;o2AZt4u/lb30ZfO1W+Y/efK5TbxSo6dhMQXhafD38H97pRW8R5PkDW53whW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ZyhfyAAAAN4AAAAPAAAAAAAAAAAAAAAAAJgCAABk&#10;cnMvZG93bnJldi54bWxQSwUGAAAAAAQABAD1AAAAjQMAAAAA&#10;" filled="f" stroked="f">
                  <v:textbox inset="0,0,0,0">
                    <w:txbxContent>
                      <w:p w14:paraId="41605761" w14:textId="77777777" w:rsidR="0014164F" w:rsidRDefault="0014164F" w:rsidP="00C232D7">
                        <w:r>
                          <w:rPr>
                            <w:rFonts w:ascii="Arial" w:eastAsia="Arial" w:hAnsi="Arial" w:cs="Arial"/>
                            <w:color w:val="595959"/>
                            <w:sz w:val="16"/>
                          </w:rPr>
                          <w:t>Obrađeno drvo</w:t>
                        </w:r>
                      </w:p>
                    </w:txbxContent>
                  </v:textbox>
                </v:rect>
                <v:shape id="Shape 922180" o:spid="_x0000_s1283" style="position:absolute;left:18326;top:10587;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8JU8UA&#10;AADfAAAADwAAAGRycy9kb3ducmV2LnhtbESP32rCMBTG7wd7h3AGu5uJZYhWo4jgtiuZ1gc4Nse2&#10;tDkpSVY7n365GHj58f3jt9qMthMD+dA41jCdKBDEpTMNVxrOxf5tDiJEZIOdY9LwSwE26+enFebG&#10;3fhIwylWIo1wyFFDHWOfSxnKmiyGieuJk3d13mJM0lfSeLylcdvJTKmZtNhweqixp11NZXv6sRqa&#10;wdz9x2d5Pqj2W72Pxb2tLoXWry/jdgki0hgf4f/2l9GwyLLpPBEknsQ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XwlTxQAAAN8AAAAPAAAAAAAAAAAAAAAAAJgCAABkcnMv&#10;ZG93bnJldi54bWxQSwUGAAAAAAQABAD1AAAAigMAAAAA&#10;" path="m,l51816,r,50292l,50292,,e" fillcolor="#70ad47" stroked="f" strokeweight="0">
                  <v:path arrowok="t" textboxrect="0,0,51816,50292"/>
                </v:shape>
                <v:shape id="Shape 40695" o:spid="_x0000_s1284" style="position:absolute;left:18326;top:10587;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zx5cgA&#10;AADeAAAADwAAAGRycy9kb3ducmV2LnhtbESPQUvDQBSE74L/YXmCN7tR2lDTbosWCnpQ2lgovT2y&#10;r9lo9m3IPtvor3cFweMwM98w8+XgW3WiPjaBDdyOMlDEVbAN1wZ2b+ubKagoyBbbwGTgiyIsF5cX&#10;cyxsOPOWTqXUKkE4FmjAiXSF1rFy5DGOQkecvGPoPUqSfa1tj+cE962+y7Jce2w4LTjsaOWo+ig/&#10;vYH9u3yLa1f1Yb8pafLynL8+xtyY66vhYQZKaJD/8F/7yRoYZ/n9BH7vpCugF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LPHlyAAAAN4AAAAPAAAAAAAAAAAAAAAAAJgCAABk&#10;cnMvZG93bnJldi54bWxQSwUGAAAAAAQABAD1AAAAjQMAAAAA&#10;" path="m,50292r51816,l51816,,,,,50292xe" filled="f" strokecolor="white" strokeweight="1.56pt">
                  <v:path arrowok="t" textboxrect="0,0,51816,50292"/>
                </v:shape>
                <v:rect id="Rectangle 40696" o:spid="_x0000_s1285" style="position:absolute;left:19052;top:10241;width:330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Lx8cA&#10;AADeAAAADwAAAGRycy9kb3ducmV2LnhtbESPT2vCQBTE74LfYXlCb7pRSjCpq4h/0KNVwfb2yL4m&#10;wezbkF1N2k/vFgSPw8z8hpktOlOJOzWutKxgPIpAEGdWl5wrOJ+2wykI55E1VpZJwS85WMz7vRmm&#10;2rb8Sfejz0WAsEtRQeF9nUrpsoIMupGtiYP3YxuDPsgml7rBNsBNJSdRFEuDJYeFAmtaFZRdjzej&#10;YDetl197+9fm1eZ7dzlckvUp8Uq9DbrlBwhPnX+Fn+29VvAexUkM/3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Qi8fHAAAA3gAAAA8AAAAAAAAAAAAAAAAAmAIAAGRy&#10;cy9kb3ducmV2LnhtbFBLBQYAAAAABAAEAPUAAACMAwAAAAA=&#10;" filled="f" stroked="f">
                  <v:textbox inset="0,0,0,0">
                    <w:txbxContent>
                      <w:p w14:paraId="63A24AC7" w14:textId="77777777" w:rsidR="0014164F" w:rsidRDefault="0014164F" w:rsidP="00C232D7">
                        <w:r>
                          <w:rPr>
                            <w:rFonts w:ascii="Arial" w:eastAsia="Arial" w:hAnsi="Arial" w:cs="Arial"/>
                            <w:color w:val="595959"/>
                            <w:sz w:val="16"/>
                          </w:rPr>
                          <w:t>Metal</w:t>
                        </w:r>
                      </w:p>
                    </w:txbxContent>
                  </v:textbox>
                </v:rect>
                <v:shape id="Shape 922181" o:spid="_x0000_s1286" style="position:absolute;left:18326;top:12507;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7nZ8YA&#10;AADfAAAADwAAAGRycy9kb3ducmV2LnhtbESP3WrCQBCF7wu+wzJC7+omkZYYXUVKhV4USqMPMGYn&#10;P5idjdnVxLd3C4KXh/PzcVab0bTiSr1rLCuIZxEI4sLqhisFh/3uLQXhPLLG1jIpuJGDzXryssJM&#10;24H/6Jr7SoQRdhkqqL3vMildUZNBN7MdcfBK2xv0QfaV1D0OYdy0MomiD2mw4UCosaPPmopTfjGB&#10;W+7T959jdNh9zc+YD+NvmyelUq/TcbsE4Wn0z/Cj/a0VLJIkTmP4/x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V7nZ8YAAADfAAAADwAAAAAAAAAAAAAAAACYAgAAZHJz&#10;L2Rvd25yZXYueG1sUEsFBgAAAAAEAAQA9QAAAIsDAAAAAA==&#10;" path="m,l51816,r,50292l,50292,,e" fillcolor="#255e91" stroked="f" strokeweight="0">
                  <v:path arrowok="t" textboxrect="0,0,51816,50292"/>
                </v:shape>
                <v:shape id="Shape 40698" o:spid="_x0000_s1287" style="position:absolute;left:18326;top:12507;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1ee8UA&#10;AADeAAAADwAAAGRycy9kb3ducmV2LnhtbERPTUvDQBC9F/wPywjemo2iQWO3RQuCHiw1FkpvQ3bM&#10;RrOzITu20V/fPRR6fLzv2WL0ndrTENvABq6zHBRxHWzLjYHN58v0HlQUZItdYDLwRxEW84vJDEsb&#10;DvxB+0oalUI4lmjAifSl1rF25DFmoSdO3FcYPEqCQ6PtgIcU7jt9k+eF9thyanDY09JR/VP9egPb&#10;b/kX1y2b3XZd0d37W7F6joUxV5fj0yMooVHO4pP71Rq4zYuHtDfdSVdAz4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V57xQAAAN4AAAAPAAAAAAAAAAAAAAAAAJgCAABkcnMv&#10;ZG93bnJldi54bWxQSwUGAAAAAAQABAD1AAAAigMAAAAA&#10;" path="m,50292r51816,l51816,,,,,50292xe" filled="f" strokecolor="white" strokeweight="1.56pt">
                  <v:path arrowok="t" textboxrect="0,0,51816,50292"/>
                </v:shape>
                <v:rect id="Rectangle 40699" o:spid="_x0000_s1288" style="position:absolute;left:19052;top:12164;width:3753;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8ftcYA&#10;AADeAAAADwAAAGRycy9kb3ducmV2LnhtbESPT4vCMBTE7wt+h/AEb2uqiNhqFPEPetxVQb09mmdb&#10;bF5KE213P/1mQfA4zMxvmNmiNaV4Uu0KywoG/QgEcWp1wZmC03H7OQHhPLLG0jIp+CEHi3nnY4aJ&#10;tg1/0/PgMxEg7BJUkHtfJVK6NCeDrm8r4uDdbG3QB1lnUtfYBLgp5TCKxtJgwWEhx4pWOaX3w8Mo&#10;2E2q5WVvf5us3Fx3569zvD7GXqlet11OQXhq/Tv8au+1glE0jmP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8ftcYAAADeAAAADwAAAAAAAAAAAAAAAACYAgAAZHJz&#10;L2Rvd25yZXYueG1sUEsFBgAAAAAEAAQA9QAAAIsDAAAAAA==&#10;" filled="f" stroked="f">
                  <v:textbox inset="0,0,0,0">
                    <w:txbxContent>
                      <w:p w14:paraId="1547450E" w14:textId="77777777" w:rsidR="0014164F" w:rsidRDefault="0014164F" w:rsidP="00C232D7">
                        <w:r>
                          <w:rPr>
                            <w:rFonts w:ascii="Arial" w:eastAsia="Arial" w:hAnsi="Arial" w:cs="Arial"/>
                            <w:color w:val="595959"/>
                            <w:sz w:val="16"/>
                          </w:rPr>
                          <w:t>Staklo</w:t>
                        </w:r>
                      </w:p>
                    </w:txbxContent>
                  </v:textbox>
                </v:rect>
                <v:shape id="Shape 922182" o:spid="_x0000_s1289" style="position:absolute;left:18326;top:14428;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o31ccA&#10;AADfAAAADwAAAGRycy9kb3ducmV2LnhtbESPwWrDMBBE74H+g9hCLqGRI2hJ3SihBAo9BeKaQm+L&#10;tbFMrJWxFNvJ10eFQo/DzLxhNrvJtWKgPjSeNayWGQjiypuGaw3l18fTGkSIyAZbz6ThSgF224fZ&#10;BnPjRz7SUMRaJAiHHDXYGLtcylBZchiWviNO3sn3DmOSfS1Nj2OCu1aqLHuRDhtOCxY72luqzsXF&#10;aTgXh6b8KQ/X73HxbO3NnbziQev54/T+BiLSFP/Df+1Po+FVqdVawe+f9AXk9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gqN9XHAAAA3wAAAA8AAAAAAAAAAAAAAAAAmAIAAGRy&#10;cy9kb3ducmV2LnhtbFBLBQYAAAAABAAEAPUAAACMAwAAAAA=&#10;" path="m,l51816,r,50292l,50292,,e" fillcolor="#9e480e" stroked="f" strokeweight="0">
                  <v:path arrowok="t" textboxrect="0,0,51816,50292"/>
                </v:shape>
                <v:shape id="Shape 40701" o:spid="_x0000_s1290" style="position:absolute;left:18326;top:14428;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xt/McA&#10;AADeAAAADwAAAGRycy9kb3ducmV2LnhtbESPQUsDMRSE70L/Q3gFbzap6Cpr06IFQQ9KXYXi7bF5&#10;brbdvCybZ7v6640geBxm5htmsRpDpw40pDayhfnMgCKuo2u5sfD2en92DSoJssMuMln4ogSr5eRk&#10;gaWLR36hQyWNyhBOJVrwIn2pdao9BUyz2BNn7yMOASXLodFuwGOGh06fG1PogC3nBY89rT3V++oz&#10;WNju5Ft8t27et5uKLp8ei+e7VFh7Oh1vb0AJjfIf/ms/OAsX5srM4fdOvgJ6+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8bfzHAAAA3gAAAA8AAAAAAAAAAAAAAAAAmAIAAGRy&#10;cy9kb3ducmV2LnhtbFBLBQYAAAAABAAEAPUAAACMAwAAAAA=&#10;" path="m,50292r51816,l51816,,,,,50292xe" filled="f" strokecolor="white" strokeweight="1.56pt">
                  <v:path arrowok="t" textboxrect="0,0,51816,50292"/>
                </v:shape>
                <v:rect id="Rectangle 40702" o:spid="_x0000_s1291" style="position:absolute;left:19052;top:14081;width:5720;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AX3scA&#10;AADeAAAADwAAAGRycy9kb3ducmV2LnhtbESPQWvCQBSE74X+h+UVvNXdirQas4pURY9WC6m3R/aZ&#10;BLNvQ3Y1aX99Vyj0OMzMN0y66G0tbtT6yrGGl6ECQZw7U3Gh4fO4eZ6A8AHZYO2YNHyTh8X88SHF&#10;xLiOP+h2CIWIEPYJaihDaBIpfV6SRT90DXH0zq61GKJsC2la7CLc1nKk1Ku0WHFcKLGh95Lyy+Fq&#10;NWwnzfJr5366ol6fttk+m66O06D14KlfzkAE6sN/+K+9MxrG6k2N4H4nXgE5/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3AF97HAAAA3gAAAA8AAAAAAAAAAAAAAAAAmAIAAGRy&#10;cy9kb3ducmV2LnhtbFBLBQYAAAAABAAEAPUAAACMAwAAAAA=&#10;" filled="f" stroked="f">
                  <v:textbox inset="0,0,0,0">
                    <w:txbxContent>
                      <w:p w14:paraId="6FB66EB9" w14:textId="77777777" w:rsidR="0014164F" w:rsidRDefault="0014164F" w:rsidP="00C232D7">
                        <w:r>
                          <w:rPr>
                            <w:rFonts w:ascii="Arial" w:eastAsia="Arial" w:hAnsi="Arial" w:cs="Arial"/>
                            <w:color w:val="595959"/>
                            <w:sz w:val="16"/>
                          </w:rPr>
                          <w:t>Keramika</w:t>
                        </w:r>
                      </w:p>
                    </w:txbxContent>
                  </v:textbox>
                </v:rect>
                <v:shape id="Shape 922183" o:spid="_x0000_s1292" style="position:absolute;left:18326;top:16348;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9skA&#10;AADfAAAADwAAAGRycy9kb3ducmV2LnhtbESPUU/CMBSF3038D8018U06ZlxgUIghGo0+COgPuKyX&#10;ddLeLmsZ499TEhMfT84538mZLwdnRU9daDwrGI8yEMSV1w3XCn6+Xx8mIEJE1mg9k4IzBVgubm/m&#10;WGp/4g3121iLBOFQogITY1tKGSpDDsPIt8TJ2/vOYUyyq6Xu8JTgzso8ywrpsOG0YLCllaHqsD06&#10;BYev3ZM79h9vq19ztrYoduvNy6dS93fD8wxEpCH+h//a71rBNM/Hk0e4/klfQC4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w/+9skAAADfAAAADwAAAAAAAAAAAAAAAACYAgAA&#10;ZHJzL2Rvd25yZXYueG1sUEsFBgAAAAAEAAQA9QAAAI4DAAAAAA==&#10;" path="m,l51816,r,51816l,51816,,e" fillcolor="#636363" stroked="f" strokeweight="0">
                  <v:path arrowok="t" textboxrect="0,0,51816,51816"/>
                </v:shape>
                <v:shape id="Shape 40704" o:spid="_x0000_s1293" style="position:absolute;left:18326;top:16348;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jZDMgA&#10;AADeAAAADwAAAGRycy9kb3ducmV2LnhtbESPT08CMRTE7yR+h+aZeINWRf6sFKKbGDlwETjA7WX7&#10;3G7cvm7aCouf3pKYeJzMzG8yi1XvWnGiEBvPGu5HCgRx5U3DtYb97m04AxETssHWM2m4UITV8maw&#10;wML4M3/QaZtqkSEcC9RgU+oKKWNlyWEc+Y44e58+OExZhlqagOcMd618UGoiHTacFyx2VFqqvrbf&#10;TsNkY2c/wR3Kx/JCc3pXx6f961Hru9v+5RlEoj79h//aa6NhrKZqDNc7+Qr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eNkMyAAAAN4AAAAPAAAAAAAAAAAAAAAAAJgCAABk&#10;cnMvZG93bnJldi54bWxQSwUGAAAAAAQABAD1AAAAjQMAAAAA&#10;" path="m,51816r51816,l51816,,,,,51816xe" filled="f" strokecolor="white" strokeweight="1.56pt">
                  <v:path arrowok="t" textboxrect="0,0,51816,51816"/>
                </v:shape>
                <v:rect id="Rectangle 40705" o:spid="_x0000_s1294" style="position:absolute;left:19052;top:16008;width:908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mPqscA&#10;AADeAAAADwAAAGRycy9kb3ducmV2LnhtbESPQWvCQBSE70L/w/IK3nS3xbaauoqoRY82Fmxvj+xr&#10;Epp9G7Krif56Vyh4HGbmG2Y672wlTtT40rGGp6ECQZw5U3Ku4Wv/MRiD8AHZYOWYNJzJw3z20Jti&#10;YlzLn3RKQy4ihH2CGooQ6kRKnxVk0Q9dTRy9X9dYDFE2uTQNthFuK/ms1Ku0WHJcKLCmZUHZX3q0&#10;GjbjevG9dZc2r9Y/m8PuMFntJ0Hr/mO3eAcRqAv38H97azSM1Jt6gdudeAXk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pj6rHAAAA3gAAAA8AAAAAAAAAAAAAAAAAmAIAAGRy&#10;cy9kb3ducmV2LnhtbFBLBQYAAAAABAAEAPUAAACMAwAAAAA=&#10;" filled="f" stroked="f">
                  <v:textbox inset="0,0,0,0">
                    <w:txbxContent>
                      <w:p w14:paraId="7A82AFE4" w14:textId="77777777" w:rsidR="0014164F" w:rsidRDefault="0014164F" w:rsidP="00C232D7">
                        <w:r>
                          <w:rPr>
                            <w:rFonts w:ascii="Arial" w:eastAsia="Arial" w:hAnsi="Arial" w:cs="Arial"/>
                            <w:color w:val="595959"/>
                            <w:sz w:val="16"/>
                          </w:rPr>
                          <w:t>Sanitarni otpad</w:t>
                        </w:r>
                      </w:p>
                    </w:txbxContent>
                  </v:textbox>
                </v:rect>
                <v:shape id="Shape 922184" o:spid="_x0000_s1295" style="position:absolute;left:18326;top:18268;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b+x8gA&#10;AADfAAAADwAAAGRycy9kb3ducmV2LnhtbESP3WrCQBSE74W+w3IKvZG6SRCxqRspAaWloNb2AU6z&#10;Jz8kezZktxrfvisIXg4z8w2zWo+mEycaXGNZQTyLQBAXVjdcKfj53jwvQTiPrLGzTAou5GCdPUxW&#10;mGp75i86HX0lAoRdigpq7/tUSlfUZNDNbE8cvNIOBn2QQyX1gOcAN51MomghDTYcFmrsKa+paI9/&#10;RsGOsIn3Ol5MyzEvt4ePz7zlX6WeHse3VxCeRn8P39rvWsFLksTLOVz/hC8gs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hv7HyAAAAN8AAAAPAAAAAAAAAAAAAAAAAJgCAABk&#10;cnMvZG93bnJldi54bWxQSwUGAAAAAAQABAD1AAAAjQMAAAAA&#10;" path="m,l51816,r,51816l,51816,,e" fillcolor="#997300" stroked="f" strokeweight="0">
                  <v:path arrowok="t" textboxrect="0,0,51816,51816"/>
                </v:shape>
                <v:shape id="Shape 40707" o:spid="_x0000_s1296" style="position:absolute;left:18326;top:18268;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pHe8cA&#10;AADeAAAADwAAAGRycy9kb3ducmV2LnhtbESPT0sDMRTE74LfITzBm03U/nPbtOiC1EMv1h7s7bF5&#10;bpZuXpYkttt++kYoeBxm5jfMfNm7VhwoxMazhseBAkFcedNwrWH79f4wBRETssHWM2k4UYTl4vZm&#10;joXxR/6kwybVIkM4FqjBptQVUsbKksM48B1x9n58cJiyDLU0AY8Z7lr5pNRYOmw4L1jsqLRU7Te/&#10;TsN4bafn4L7L5/JEL7RSu9H2baf1/V3/OgORqE//4Wv7w2gYqomawN+dfAXk4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qR3vHAAAA3gAAAA8AAAAAAAAAAAAAAAAAmAIAAGRy&#10;cy9kb3ducmV2LnhtbFBLBQYAAAAABAAEAPUAAACMAwAAAAA=&#10;" path="m,51816r51816,l51816,,,,,51816xe" filled="f" strokecolor="white" strokeweight="1.56pt">
                  <v:path arrowok="t" textboxrect="0,0,51816,51816"/>
                </v:shape>
                <v:rect id="Rectangle 40708" o:spid="_x0000_s1297" style="position:absolute;left:19052;top:17931;width:1007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gNMUA&#10;AADeAAAADwAAAGRycy9kb3ducmV2LnhtbERPy2rCQBTdC/2H4Ra6MzOV4iM6itSKLttYSN1dMrdJ&#10;aOZOyExN9Os7C6HLw3mvNoNtxIU6XzvW8JwoEMSFMzWXGj5P+/EchA/IBhvHpOFKHjbrh9EKU+N6&#10;/qBLFkoRQ9inqKEKoU2l9EVFFn3iWuLIfbvOYoiwK6XpsI/htpETpabSYs2xocKWXisqfrJfq+Ew&#10;b7dfR3fry+btfMjf88XutAhaPz0O2yWIQEP4F9/dR6PhRc1U3BvvxCs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KCA0xQAAAN4AAAAPAAAAAAAAAAAAAAAAAJgCAABkcnMv&#10;ZG93bnJldi54bWxQSwUGAAAAAAQABAD1AAAAigMAAAAA&#10;" filled="f" stroked="f">
                  <v:textbox inset="0,0,0,0">
                    <w:txbxContent>
                      <w:p w14:paraId="3641C32C" w14:textId="77777777" w:rsidR="0014164F" w:rsidRDefault="0014164F" w:rsidP="00C232D7">
                        <w:r>
                          <w:rPr>
                            <w:rFonts w:ascii="Arial" w:eastAsia="Arial" w:hAnsi="Arial" w:cs="Arial"/>
                            <w:color w:val="595959"/>
                            <w:sz w:val="16"/>
                          </w:rPr>
                          <w:t>Medicinski otpad</w:t>
                        </w:r>
                      </w:p>
                    </w:txbxContent>
                  </v:textbox>
                </v:rect>
                <v:shape id="Shape 922185" o:spid="_x0000_s1298" style="position:absolute;left:18326;top:20188;width:518;height:519;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jl6MgA&#10;AADfAAAADwAAAGRycy9kb3ducmV2LnhtbESPQWvCQBSE7wX/w/KE3uomwRaNWaUUWnoQIdpDj4/s&#10;MxvNvg3Zjab99V2h4HGYmW+YYjPaVlyo941jBeksAUFcOd1wreDr8P60AOEDssbWMSn4IQ+b9eSh&#10;wFy7K5d02YdaRAj7HBWYELpcSl8ZsuhnriOO3tH1FkOUfS11j9cIt63MkuRFWmw4Lhjs6M1Qdd4P&#10;VsH29HvYfWwzx/OyNMtmoOF7Tko9TsfXFYhAY7iH/9ufWsEyy9LFM9z+xC8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uOXoyAAAAN8AAAAPAAAAAAAAAAAAAAAAAJgCAABk&#10;cnMvZG93bnJldi54bWxQSwUGAAAAAAQABAD1AAAAjQMAAAAA&#10;" path="m,l51816,r,51816l,51816,,e" fillcolor="#264478" stroked="f" strokeweight="0">
                  <v:path arrowok="t" textboxrect="0,0,51816,51816"/>
                </v:shape>
                <v:shape id="Shape 40710" o:spid="_x0000_s1299" style="position:absolute;left:18326;top:20188;width:518;height:519;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pJ0sYA&#10;AADeAAAADwAAAGRycy9kb3ducmV2LnhtbESPuW4CMRCG+0h5B2sipQObHBwLBiUrRUlBw1FAN1oP&#10;61XW45XtwJKnjwuklL/+S99i1btWnCnExrOG0VCBIK68abjWsN99DKYgYkI22HomDVeKsFre3y2w&#10;MP7CGzpvUy3yCMcCNdiUukLKWFlyGIe+I87eyQeHKctQSxPwksddK5+UGkuHDecHix2Vlqrv7Y/T&#10;MF7b6W9wh/K5vNKMPtXxdf9+1PrxoX+bg0jUp//wrf1lNLyoySgDZJyM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pJ0sYAAADeAAAADwAAAAAAAAAAAAAAAACYAgAAZHJz&#10;L2Rvd25yZXYueG1sUEsFBgAAAAAEAAQA9QAAAIsDAAAAAA==&#10;" path="m,51816r51816,l51816,,,,,51816xe" filled="f" strokecolor="white" strokeweight="1.56pt">
                  <v:path arrowok="t" textboxrect="0,0,51816,51816"/>
                </v:shape>
                <v:rect id="Rectangle 40711" o:spid="_x0000_s1300" style="position:absolute;left:19052;top:19854;width:8194;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sfdMcA&#10;AADeAAAADwAAAGRycy9kb3ducmV2LnhtbESPQWvCQBSE70L/w/IK3swmIjVGVxHbokerhdTbI/ua&#10;hGbfhuzWpP31XUHocZiZb5jVZjCNuFLnassKkigGQVxYXXOp4P38OklBOI+ssbFMCn7IwWb9MFph&#10;pm3Pb3Q9+VIECLsMFVTet5mUrqjIoItsSxy8T9sZ9EF2pdQd9gFuGjmN4ydpsOawUGFLu4qKr9O3&#10;UbBP2+3Hwf72ZfNy2efHfPF8Xnilxo/DdgnC0+D/w/f2QSuYxfMkgdudc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LH3THAAAA3gAAAA8AAAAAAAAAAAAAAAAAmAIAAGRy&#10;cy9kb3ducmV2LnhtbFBLBQYAAAAABAAEAPUAAACMAwAAAAA=&#10;" filled="f" stroked="f">
                  <v:textbox inset="0,0,0,0">
                    <w:txbxContent>
                      <w:p w14:paraId="759EE637" w14:textId="77777777" w:rsidR="0014164F" w:rsidRDefault="0014164F" w:rsidP="00C232D7">
                        <w:r>
                          <w:rPr>
                            <w:rFonts w:ascii="Arial" w:eastAsia="Arial" w:hAnsi="Arial" w:cs="Arial"/>
                            <w:color w:val="595959"/>
                            <w:sz w:val="16"/>
                          </w:rPr>
                          <w:t>Parafin/vosak</w:t>
                        </w:r>
                      </w:p>
                    </w:txbxContent>
                  </v:textbox>
                </v:rect>
                <v:shape id="Shape 40713" o:spid="_x0000_s1301" style="position:absolute;left:37560;top:9002;width:4979;height:6302;visibility:visible;mso-wrap-style:square;v-text-anchor:top" coordsize="497967,630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4IGccA&#10;AADeAAAADwAAAGRycy9kb3ducmV2LnhtbESPQWvCQBSE74X+h+UVvNWNtWhMXaWtFr0oGG3Pj+xr&#10;kjb7NmRXjf56VxA8DjPzDTOetqYSB2pcaVlBrxuBIM6sLjlXsNt+PccgnEfWWFkmBSdyMJ08Powx&#10;0fbIGzqkPhcBwi5BBYX3dSKlywoy6Lq2Jg7er20M+iCbXOoGjwFuKvkSRQNpsOSwUGBNnwVl/+ne&#10;KKB4Xc09Lkax+/4brX6G7ex8/lCq89S+v4Hw1Pp7+NZeagWv0bDXh+udcAXk5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CBnHAAAA3gAAAA8AAAAAAAAAAAAAAAAAmAIAAGRy&#10;cy9kb3ducmV2LnhtbFBLBQYAAAAABAAEAPUAAACMAwAAAAA=&#10;" path="m,c194818,,378587,90043,497967,243967l,630174,,xe" fillcolor="#5b9bd5" stroked="f" strokeweight="0">
                  <v:path arrowok="t" textboxrect="0,0,497967,630174"/>
                </v:shape>
                <v:shape id="Shape 40714" o:spid="_x0000_s1302" style="position:absolute;left:37560;top:9002;width:4979;height:6302;visibility:visible;mso-wrap-style:square;v-text-anchor:top" coordsize="497967,630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5hMMcA&#10;AADeAAAADwAAAGRycy9kb3ducmV2LnhtbESPQWvCQBSE7wX/w/KEXkrdGIOVNBuRQKDXquj1Nfua&#10;pGbfhuw2pv313YLgcZiZb5hsO5lOjDS41rKC5SICQVxZ3XKt4HgonzcgnEfW2FkmBT/kYJvPHjJM&#10;tb3yO417X4sAYZeigsb7PpXSVQ0ZdAvbEwfv0w4GfZBDLfWA1wA3nYyjaC0NthwWGuypaKi67L+N&#10;gjNv4un0tZJPye8p+SjwXK77lVKP82n3CsLT5O/hW/tNK0iil2UC/3fCFZD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eYTDHAAAA3gAAAA8AAAAAAAAAAAAAAAAAmAIAAGRy&#10;cy9kb3ducmV2LnhtbFBLBQYAAAAABAAEAPUAAACMAwAAAAA=&#10;" path="m,c194818,,378587,90043,497967,243967l,630174,,xe" filled="f" strokecolor="white" strokeweight="1.56pt">
                  <v:path arrowok="t" textboxrect="0,0,497967,630174"/>
                </v:shape>
                <v:shape id="Shape 40715" o:spid="_x0000_s1303" style="position:absolute;left:30446;top:9274;width:14227;height:13143;visibility:visible;mso-wrap-style:square;v-text-anchor:top" coordsize="1422654,131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giNsQA&#10;AADeAAAADwAAAGRycy9kb3ducmV2LnhtbESPQWsCMRSE7wX/Q3iCt5pdsVVXo4ggeCu1Fa+PzXOz&#10;unlZkriu/74pFHocZuYbZrXpbSM68qF2rCAfZyCIS6drrhR8f+1f5yBCRNbYOCYFTwqwWQ9eVlho&#10;9+BP6o6xEgnCoUAFJsa2kDKUhiyGsWuJk3dx3mJM0ldSe3wkuG3kJMvepcWa04LBlnaGytvxbhVI&#10;zjvcP8/5qb1U5rbY+o/D1Ss1GvbbJYhIffwP/7UPWsE0m+Vv8HsnX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YIjbEAAAA3gAAAA8AAAAAAAAAAAAAAAAAmAIAAGRycy9k&#10;b3ducmV2LnhtbFBLBQYAAAAABAAEAPUAAACJAwAAAAA=&#10;" path="m528066,l711327,602996,1209294,216789v213360,275082,163322,670941,-111760,884301c822452,1314323,426593,1264285,213233,989330,,714248,50038,318389,324993,105029,385699,57912,454533,22352,528066,xe" fillcolor="#ed7d31" stroked="f" strokeweight="0">
                  <v:path arrowok="t" textboxrect="0,0,1422654,1314323"/>
                </v:shape>
                <v:shape id="Shape 40716" o:spid="_x0000_s1304" style="position:absolute;left:30446;top:9274;width:14227;height:13143;visibility:visible;mso-wrap-style:square;v-text-anchor:top" coordsize="1422654,13143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aotcQA&#10;AADeAAAADwAAAGRycy9kb3ducmV2LnhtbESPS2vDMBCE74X+B7GF3BopJcTBjRxKIbTXPCDXxVq/&#10;aq2MpCTqv48ChR6HmfmG2WyTHcWVfOgda1jMFQji2pmeWw2n4+51DSJEZIOjY9LwSwG21fPTBkvj&#10;bryn6yG2IkM4lKihi3EqpQx1RxbD3E3E2Wuctxiz9K00Hm8Zbkf5ptRKWuw5L3Q40WdH9c/hYjXs&#10;wljsi6QG55M8npvmPJwuX1rPXtLHO4hIKf6H/9rfRsNSFYsVPO7kKy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2qLXEAAAA3gAAAA8AAAAAAAAAAAAAAAAAmAIAAGRycy9k&#10;b3ducmV2LnhtbFBLBQYAAAAABAAEAPUAAACJAwAAAAA=&#10;" path="m1209294,216789v213360,275082,163322,670941,-111760,884301c822452,1314323,426593,1264285,213233,989330,,714248,50038,318389,324993,105029,385699,57912,454533,22352,528066,l711327,602996,1209294,216789xe" filled="f" strokecolor="white" strokeweight="1.56pt">
                  <v:path arrowok="t" textboxrect="0,0,1422654,1314323"/>
                </v:shape>
                <v:shape id="Shape 40717" o:spid="_x0000_s1305" style="position:absolute;left:35727;top:9233;width:1833;height:6071;visibility:visible;mso-wrap-style:square;v-text-anchor:top" coordsize="183261,607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0vkMgA&#10;AADeAAAADwAAAGRycy9kb3ducmV2LnhtbESPQWvCQBSE70L/w/IKvekmUo1EV9FKoVIv2tLi7ZF9&#10;3YRm34bsVqO/visIHoeZ+YaZLTpbiyO1vnKsIB0kIIgLpys2Cj4/XvsTED4ga6wdk4IzeVjMH3oz&#10;zLU78Y6O+2BEhLDPUUEZQpNL6YuSLPqBa4ij9+NaiyHK1kjd4inCbS2HSTKWFiuOCyU29FJS8bv/&#10;swrMZXs2o/C9G6aT9/V6/LVZcXZQ6umxW05BBOrCPXxrv2kFz0mWZnC9E6+AnP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nS+QyAAAAN4AAAAPAAAAAAAAAAAAAAAAAJgCAABk&#10;cnMvZG93bnJldi54bWxQSwUGAAAAAAQABAD1AAAAjQMAAAAA&#10;" path="m13970,l183261,607060,,4064c4572,2667,9271,1270,13970,xe" fillcolor="#a5a5a5" stroked="f" strokeweight="0">
                  <v:path arrowok="t" textboxrect="0,0,183261,607060"/>
                </v:shape>
                <v:shape id="Shape 40718" o:spid="_x0000_s1306" style="position:absolute;left:35727;top:9233;width:1833;height:6071;visibility:visible;mso-wrap-style:square;v-text-anchor:top" coordsize="183261,6070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0Lr4A&#10;AADeAAAADwAAAGRycy9kb3ducmV2LnhtbERPy6rCMBDdX/AfwgjurqlWVKpRRFDc+fyAoZmmxWZS&#10;mqj1781CcHk47+W6s7V4UusrxwpGwwQEce50xUbB7br7n4PwAVlj7ZgUvMnDetX7W2Km3YvP9LwE&#10;I2II+wwVlCE0mZQ+L8miH7qGOHKFay2GCFsjdYuvGG5rOU6SqbRYcWwosaFtSfn98rAKcGuORtO+&#10;mKeTQyFPm/TuTqlSg363WYAI1IWf+Os+aAWTZDaKe+OdeAXk6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xA9C6+AAAA3gAAAA8AAAAAAAAAAAAAAAAAmAIAAGRycy9kb3ducmV2&#10;LnhtbFBLBQYAAAAABAAEAPUAAACDAwAAAAA=&#10;" path="m,4064c4572,2667,9271,1270,13970,l183261,607060,,4064xe" filled="f" strokecolor="white" strokeweight="1.56pt">
                  <v:path arrowok="t" textboxrect="0,0,183261,607060"/>
                </v:shape>
                <v:shape id="Shape 40719" o:spid="_x0000_s1307" style="position:absolute;left:35867;top:9139;width:1693;height:6165;visibility:visible;mso-wrap-style:square;v-text-anchor:top" coordsize="169291,616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w92cYA&#10;AADeAAAADwAAAGRycy9kb3ducmV2LnhtbESPQWvCQBSE74X+h+UVvNXdiKhNXaUUlV6kJC09P7Kv&#10;STD7NmTXuP57tyD0OMzMN8x6G20nRhp861hDNlUgiCtnWq41fH/tn1cgfEA22DkmDVfysN08Pqwx&#10;N+7CBY1lqEWCsM9RQxNCn0vpq4Ys+qnriZP36waLIcmhlmbAS4LbTs6UWkiLLaeFBnt6b6g6lWer&#10;4ZiFslD1Lv7MW7k6HRZjXJafWk+e4tsriEAx/Ifv7Q+jYa6W2Qv83UlXQG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w92cYAAADeAAAADwAAAAAAAAAAAAAAAACYAgAAZHJz&#10;L2Rvd25yZXYueG1sUEsFBgAAAAAEAAQA9QAAAIsDAAAAAA==&#10;" path="m38354,l169291,616458,,9398c12700,5842,25527,2667,38354,xe" fillcolor="#ffc000" stroked="f" strokeweight="0">
                  <v:path arrowok="t" textboxrect="0,0,169291,616458"/>
                </v:shape>
                <v:shape id="Shape 40720" o:spid="_x0000_s1308" style="position:absolute;left:35867;top:9139;width:1693;height:6165;visibility:visible;mso-wrap-style:square;v-text-anchor:top" coordsize="169291,616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Pi4sQA&#10;AADeAAAADwAAAGRycy9kb3ducmV2LnhtbESPzWoCMRSF94LvEK7QnWYqUmU0ihZKC+1mxtL1ZXLN&#10;jJ3cxCTV6ds3i4LLw/nj2+wG24srhdg5VvA4K0AQN053bBR8Hl+mKxAxIWvsHZOCX4qw245HGyy1&#10;u3FF1zoZkUc4lqigTcmXUsamJYtx5jxx9k4uWExZBiN1wFset72cF8WTtNhxfmjR03NLzXf9YxVU&#10;5r33h1c6XxbnUH19VHv2jVHqYTLs1yASDeke/m+/aQWLYjnPABkno4D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z4uLEAAAA3gAAAA8AAAAAAAAAAAAAAAAAmAIAAGRycy9k&#10;b3ducmV2LnhtbFBLBQYAAAAABAAEAPUAAACJAwAAAAA=&#10;" path="m,9398c12700,5842,25527,2667,38354,l169291,616458,,9398xe" filled="f" strokecolor="white" strokeweight="1.56pt">
                  <v:path arrowok="t" textboxrect="0,0,169291,616458"/>
                </v:shape>
                <v:shape id="Shape 40721" o:spid="_x0000_s1309" style="position:absolute;left:36250;top:9078;width:1310;height:6226;visibility:visible;mso-wrap-style:square;v-text-anchor:top" coordsize="130937,622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yBsYA&#10;AADeAAAADwAAAGRycy9kb3ducmV2LnhtbESPQWvCQBSE70L/w/KE3nRjKG1IXcUKgoccrBa8PrLP&#10;bDD7NmZXjfn1bqHQ4zAz3zDzZW8bcaPO144VzKYJCOLS6ZorBT+HzSQD4QOyxsYxKXiQh+XiZTTH&#10;XLs7f9NtHyoRIexzVGBCaHMpfWnIop+6ljh6J9dZDFF2ldQd3iPcNjJNkndpsea4YLCltaHyvL9a&#10;BV9DwcXumF11Whwva/MYsvoyKPU67lefIAL14T/8195qBW/JRzqD3zvxCs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AdyBsYAAADeAAAADwAAAAAAAAAAAAAAAACYAgAAZHJz&#10;L2Rvd25yZXYueG1sUEsFBgAAAAAEAAQA9QAAAIsDAAAAAA==&#10;" path="m32639,r98298,622554l,6096c10795,3810,21717,1778,32639,xe" fillcolor="#4472c4" stroked="f" strokeweight="0">
                  <v:path arrowok="t" textboxrect="0,0,130937,622554"/>
                </v:shape>
                <v:shape id="Shape 40722" o:spid="_x0000_s1310" style="position:absolute;left:36250;top:9078;width:1310;height:6226;visibility:visible;mso-wrap-style:square;v-text-anchor:top" coordsize="130937,622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YdoscA&#10;AADeAAAADwAAAGRycy9kb3ducmV2LnhtbESPQWvCQBSE70L/w/IKvenGoFZTV1GhtFRpMQZ6fWaf&#10;STD7NmS3mv57t1DwOMzMN8x82ZlaXKh1lWUFw0EEgji3uuJCQXZ47U9BOI+ssbZMCn7JwXLx0Jtj&#10;ou2V93RJfSEChF2CCkrvm0RKl5dk0A1sQxy8k20N+iDbQuoWrwFuahlH0UQarDgslNjQpqT8nP4Y&#10;Bcf4a32Wnzbj7cd3NjuOd2823Sn19NitXkB46vw9/N9+1wpG0XMcw9+dcAX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mHaLHAAAA3gAAAA8AAAAAAAAAAAAAAAAAmAIAAGRy&#10;cy9kb3ducmV2LnhtbFBLBQYAAAAABAAEAPUAAACMAwAAAAA=&#10;" path="m,6096c10795,3810,21717,1778,32639,r98298,622554l,6096xe" filled="f" strokecolor="white" strokeweight="1.56pt">
                  <v:path arrowok="t" textboxrect="0,0,130937,622554"/>
                </v:shape>
                <v:shape id="Shape 40723" o:spid="_x0000_s1311" style="position:absolute;left:36577;top:9004;width:983;height:6300;visibility:visible;mso-wrap-style:square;v-text-anchor:top" coordsize="98298,630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ULM8UA&#10;AADeAAAADwAAAGRycy9kb3ducmV2LnhtbESPT4vCMBTE7wt+h/AEb2uiLqtUo4jg4mFR/ANeH82z&#10;rTYvpcna+u2NIOxxmJnfMLNFa0txp9oXjjUM+goEcepMwZmG03H9OQHhA7LB0jFpeJCHxbzzMcPE&#10;uIb3dD+ETEQI+wQ15CFUiZQ+zcmi77uKOHoXV1sMUdaZNDU2EW5LOVTqW1osOC7kWNEqp/R2+LMa&#10;tuvbyRWrdkuY7X7OatP8jq6N1r1uu5yCCNSG//C7vTEavtR4OILXnXgF5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QszxQAAAN4AAAAPAAAAAAAAAAAAAAAAAJgCAABkcnMv&#10;ZG93bnJldi54bWxQSwUGAAAAAAQABAD1AAAAigMAAAAA&#10;" path="m80899,l98298,630047,,7493c26797,3302,53848,762,80899,xe" fillcolor="#70ad47" stroked="f" strokeweight="0">
                  <v:path arrowok="t" textboxrect="0,0,98298,630047"/>
                </v:shape>
                <v:shape id="Shape 40724" o:spid="_x0000_s1312" style="position:absolute;left:36577;top:9004;width:983;height:6300;visibility:visible;mso-wrap-style:square;v-text-anchor:top" coordsize="98298,630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Vmk8YA&#10;AADeAAAADwAAAGRycy9kb3ducmV2LnhtbESPQWvCQBSE74L/YXmCN90o0obUVURQIr1YLYXeHtnX&#10;ZGn2bcyuGv31bqHgcZiZb5j5srO1uFDrjWMFk3ECgrhw2nCp4PO4GaUgfEDWWDsmBTfysFz0e3PM&#10;tLvyB10OoRQRwj5DBVUITSalLyqy6MeuIY7ej2sthijbUuoWrxFuazlNkhdp0XBcqLChdUXF7+Fs&#10;FZz2p68tb753Jk1Nfi+De3f7XKnhoFu9gQjUhWf4v51rBbPkdTqDvzvxCs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Vmk8YAAADeAAAADwAAAAAAAAAAAAAAAACYAgAAZHJz&#10;L2Rvd25yZXYueG1sUEsFBgAAAAAEAAQA9QAAAIsDAAAAAA==&#10;" path="m,7493c26797,3302,53848,762,80899,l98298,630047,,7493xe" filled="f" strokecolor="white" strokeweight="1.56pt">
                  <v:path arrowok="t" textboxrect="0,0,98298,630047"/>
                </v:shape>
                <v:shape id="Shape 40725" o:spid="_x0000_s1313" style="position:absolute;left:37386;top:9004;width:174;height:6300;visibility:visible;mso-wrap-style:square;v-text-anchor:top" coordsize="17399,630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lcYA&#10;AADeAAAADwAAAGRycy9kb3ducmV2LnhtbESP3WrCQBSE7wu+w3KE3kjdVPwjukopFApFRVO9PmSP&#10;SWz2bLq7jenbdwWhl8PMfMMs152pRUvOV5YVPA8TEMS51RUXCj6zt6c5CB+QNdaWScEveViveg9L&#10;TLW98p7aQyhEhLBPUUEZQpNK6fOSDPqhbYijd7bOYIjSFVI7vEa4qeUoSabSYMVxocSGXkvKvw4/&#10;JlI2mA0yt53I9mh3HV3M9weelHrsdy8LEIG68B++t9+1gnEyG03gdide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WlcYAAADeAAAADwAAAAAAAAAAAAAAAACYAgAAZHJz&#10;L2Rvd25yZXYueG1sUEsFBgAAAAAEAAQA9QAAAIsDAAAAAA==&#10;" path="m,c1524,,3048,,4572,l17399,630047,,xe" fillcolor="#255e91" stroked="f" strokeweight="0">
                  <v:path arrowok="t" textboxrect="0,0,17399,630047"/>
                </v:shape>
                <v:shape id="Shape 40726" o:spid="_x0000_s1314" style="position:absolute;left:37386;top:9004;width:174;height:6300;visibility:visible;mso-wrap-style:square;v-text-anchor:top" coordsize="17399,6300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k3I8gA&#10;AADeAAAADwAAAGRycy9kb3ducmV2LnhtbESPT2vCQBTE7wW/w/KE3urGP2iIriItgq0o1HrI8ZF9&#10;TVKzb0N2jfHbuwXB4zAzv2EWq85UoqXGlZYVDAcRCOLM6pJzBaefzVsMwnlkjZVlUnAjB6tl72WB&#10;ibZX/qb26HMRIOwSVFB4XydSuqwgg25ga+Lg/drGoA+yyaVu8BrgppKjKJpKgyWHhQJrei8oOx8v&#10;RsEuHcdtuvv8sPlh+5cevtz+co6Veu136zkIT51/hh/trVYwiWajKfzfCVdAL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mTcjyAAAAN4AAAAPAAAAAAAAAAAAAAAAAJgCAABk&#10;cnMvZG93bnJldi54bWxQSwUGAAAAAAQABAD1AAAAjQMAAAAA&#10;" path="m,c1524,,3048,,4572,l17399,630047,,xe" filled="f" strokecolor="white" strokeweight="1.56pt">
                  <v:path arrowok="t" textboxrect="0,0,17399,630047"/>
                </v:shape>
                <v:shape id="Shape 40727" o:spid="_x0000_s1315" style="position:absolute;left:37431;top:9002;width:129;height:6302;visibility:visible;mso-wrap-style:square;v-text-anchor:top" coordsize="12827,630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CEfskA&#10;AADeAAAADwAAAGRycy9kb3ducmV2LnhtbESPT2vCQBTE74LfYXlCb7pRbFOjq0hB2h5aaSzU4yP7&#10;8sdm38bs1qTfvlsQPA4z8xtmtelNLS7UusqygukkAkGcWV1xoeDzsBs/gnAeWWNtmRT8koPNejhY&#10;YaJtxx90SX0hAoRdggpK75tESpeVZNBNbEMcvNy2Bn2QbSF1i12Am1rOouhBGqw4LJTY0FNJ2Xf6&#10;YxQcuv3+fpfG+XF7Or/mi/evhX17Vupu1G+XIDz1/ha+tl+0gnkUz2L4vxOugFz/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OCEfskAAADeAAAADwAAAAAAAAAAAAAAAACYAgAA&#10;ZHJzL2Rvd25yZXYueG1sUEsFBgAAAAAEAAQA9QAAAI4DAAAAAA==&#10;" path="m2286,l12827,630174,,127c762,127,1524,,2286,xe" fillcolor="#9e480e" stroked="f" strokeweight="0">
                  <v:path arrowok="t" textboxrect="0,0,12827,630174"/>
                </v:shape>
                <v:shape id="Shape 40728" o:spid="_x0000_s1316" style="position:absolute;left:37431;top:9002;width:129;height:6302;visibility:visible;mso-wrap-style:square;v-text-anchor:top" coordsize="12827,630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T2bsMA&#10;AADeAAAADwAAAGRycy9kb3ducmV2LnhtbERP3WrCMBS+F3yHcARvZCa64rrOKCor7GIw7PYAh+Ys&#10;LWtOShO1vv1yMdjlx/e/3Y+uE1caQutZw2qpQBDX3rRsNXx9lg85iBCRDXaeScOdAux308kWC+Nv&#10;fKZrFa1IIRwK1NDE2BdShrohh2Hpe+LEffvBYUxwsNIMeEvhrpNrpTbSYcupocGeTg3VP9XFacil&#10;O66eHz+UtUFmVFrqX98XWs9n4+EFRKQx/ov/3G9GQ6ae1mlvupOu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T2bsMAAADeAAAADwAAAAAAAAAAAAAAAACYAgAAZHJzL2Rv&#10;d25yZXYueG1sUEsFBgAAAAAEAAQA9QAAAIgDAAAAAA==&#10;" path="m,127c762,127,1524,,2286,l12827,630174,,127xe" filled="f" strokecolor="white" strokeweight="1.56pt">
                  <v:path arrowok="t" textboxrect="0,0,12827,630174"/>
                </v:shape>
                <v:shape id="Shape 40729" o:spid="_x0000_s1317" style="position:absolute;left:37454;top:9002;width:106;height:6302;visibility:visible;mso-wrap-style:square;v-text-anchor:top" coordsize="10541,630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r63MYA&#10;AADeAAAADwAAAGRycy9kb3ducmV2LnhtbESPzWrDMBCE74G+g9hCb4ncuCSpGyWUgotzScnPAyzW&#10;1nZrrYyk2u7bR4FAjsPMfMOst6NpRU/ON5YVPM8SEMSl1Q1XCs6nfLoC4QOyxtYyKfgnD9vNw2SN&#10;mbYDH6g/hkpECPsMFdQhdJmUvqzJoJ/Zjjh639YZDFG6SmqHQ4SbVs6TZCENNhwXauzoo6by9/hn&#10;FBxW+LPnLv3KP88p5YVbnnbOKfX0OL6/gQg0hnv41i60gpdkOX+F6514BeT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4r63MYAAADeAAAADwAAAAAAAAAAAAAAAACYAgAAZHJz&#10;L2Rvd25yZXYueG1sUEsFBgAAAAAEAAQA9QAAAIsDAAAAAA==&#10;" path="m,c1397,,2794,,4191,r6350,630174l,xe" fillcolor="#636363" stroked="f" strokeweight="0">
                  <v:path arrowok="t" textboxrect="0,0,10541,630174"/>
                </v:shape>
                <v:shape id="Shape 40730" o:spid="_x0000_s1318" style="position:absolute;left:37454;top:9002;width:106;height:6302;visibility:visible;mso-wrap-style:square;v-text-anchor:top" coordsize="10541,630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evQsQA&#10;AADeAAAADwAAAGRycy9kb3ducmV2LnhtbESPzWqDQBSF94W+w3AL2TVjYzHBZpRECCnumpZ0e+vc&#10;qtS5I85EzdtnFoEuD+ePb5vPphMjDa61rOBlGYEgrqxuuVbw9Xl43oBwHlljZ5kUXMlBnj0+bDHV&#10;duIPGk++FmGEXYoKGu/7VEpXNWTQLW1PHLxfOxj0QQ611ANOYdx0chVFiTTYcnhosKeioervdDEK&#10;ijXHZVl87+inOB9XSYK4l6jU4mnevYHwNPv/8L39rhW8Rus4AAScgAIy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Hr0LEAAAA3gAAAA8AAAAAAAAAAAAAAAAAmAIAAGRycy9k&#10;b3ducmV2LnhtbFBLBQYAAAAABAAEAPUAAACJAwAAAAA=&#10;" path="m,c1397,,2794,,4191,r6350,630174l,xe" filled="f" strokecolor="white" strokeweight="1.56pt">
                  <v:path arrowok="t" textboxrect="0,0,10541,630174"/>
                </v:shape>
                <v:shape id="Shape 40731" o:spid="_x0000_s1319" style="position:absolute;left:37496;top:9002;width:64;height:6302;visibility:visible;mso-wrap-style:square;v-text-anchor:top" coordsize="6350,630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ybwMYA&#10;AADeAAAADwAAAGRycy9kb3ducmV2LnhtbESPT2sCMRTE7wW/Q3hCbzVrLbWsRrGC2oNQ1Or5sXn7&#10;Bzcva5K667c3QqHHYWZ+w0znnanFlZyvLCsYDhIQxJnVFRcKfg6rlw8QPiBrrC2Tght5mM96T1NM&#10;tW15R9d9KESEsE9RQRlCk0rps5IM+oFtiKOXW2cwROkKqR22EW5q+Zok79JgxXGhxIaWJWXn/a9R&#10;cMm35rTON9+u3qzHt8/2SGZ7VOq53y0mIAJ14T/81/7SCt6S8WgIjzvxCsjZ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ybwMYAAADeAAAADwAAAAAAAAAAAAAAAACYAgAAZHJz&#10;L2Rvd25yZXYueG1sUEsFBgAAAAAEAAQA9QAAAIsDAAAAAA==&#10;" path="m,c2159,,4191,,6350,r,630174l,xe" fillcolor="#997300" stroked="f" strokeweight="0">
                  <v:path arrowok="t" textboxrect="0,0,6350,630174"/>
                </v:shape>
                <v:shape id="Shape 40732" o:spid="_x0000_s1320" style="position:absolute;left:37496;top:9002;width:64;height:6302;visibility:visible;mso-wrap-style:square;v-text-anchor:top" coordsize="6350,630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kPW8cA&#10;AADeAAAADwAAAGRycy9kb3ducmV2LnhtbESPQWvCQBSE70L/w/IKvTUbY20luglFECr0UNNcentk&#10;n0lq9m3IrjH9911B8DjMzDfMJp9MJ0YaXGtZwTyKQRBXVrdcKyi/d88rEM4ja+wsk4I/cpBnD7MN&#10;ptpe+EBj4WsRIOxSVNB436dSuqohgy6yPXHwjnYw6IMcaqkHvAS46WQSx6/SYMthocGetg1Vp+Js&#10;FOz97+d59bOYj+4rYT4t94TlUqmnx+l9DcLT5O/hW/tDK3iJ3xYJXO+EKy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JD1vHAAAA3gAAAA8AAAAAAAAAAAAAAAAAmAIAAGRy&#10;cy9kb3ducmV2LnhtbFBLBQYAAAAABAAEAPUAAACMAwAAAAA=&#10;" path="m,c2159,,4191,,6350,r,630174l,xe" filled="f" strokecolor="white" strokeweight="1.56pt">
                  <v:path arrowok="t" textboxrect="0,0,6350,630174"/>
                </v:shape>
                <v:shape id="Shape 40733" o:spid="_x0000_s1321" style="position:absolute;left:37560;top:9002;width:0;height:6302;visibility:visible;mso-wrap-style:square;v-text-anchor:top" coordsize="0,630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SI+ccA&#10;AADeAAAADwAAAGRycy9kb3ducmV2LnhtbESPW2vCQBSE3wv+h+UIvtWNF2pJXcULgvhiG6X08Zg9&#10;JtHs2ZBdTfz3bqHQx2FmvmGm89aU4k61KywrGPQjEMSp1QVnCo6Hzes7COeRNZaWScGDHMxnnZcp&#10;xto2/EX3xGciQNjFqCD3voqldGlOBl3fVsTBO9vaoA+yzqSusQlwU8phFL1JgwWHhRwrWuWUXpOb&#10;UdDu0mUxpNOnTDbfzfp4Kfc/dqBUr9suPkB4av1/+K+91QrG0WQ0gt874QrI2R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skiPnHAAAA3gAAAA8AAAAAAAAAAAAAAAAAmAIAAGRy&#10;cy9kb3ducmV2LnhtbFBLBQYAAAAABAAEAPUAAACMAwAAAAA=&#10;" path="m,l,630174,,xe" filled="f" strokecolor="white" strokeweight="1.56pt">
                  <v:path arrowok="t" textboxrect="0,0,0,630174"/>
                </v:shape>
                <v:shape id="Shape 40734" o:spid="_x0000_s1322" style="position:absolute;left:33985;top:9254;width:1813;height:244;visibility:visible;mso-wrap-style:square;v-text-anchor:top" coordsize="181356,24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bQuMgA&#10;AADeAAAADwAAAGRycy9kb3ducmV2LnhtbESP3WrCQBSE7wt9h+UUvGs2Gmk0dRWxtPRCqH8PcMye&#10;ZkOzZ0N21ejTd4VCL4eZ+YaZLXrbiDN1vnasYJikIIhLp2uuFBz2788TED4ga2wck4IreVjMHx9m&#10;WGh34S2dd6ESEcK+QAUmhLaQ0peGLPrEtcTR+3adxRBlV0nd4SXCbSNHafoiLdYcFwy2tDJU/uxO&#10;VsGbmW4+jvv8OBw1X5jfptlytc6UGjz1y1cQgfrwH/5rf2oF4zTPxnC/E6+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htC4yAAAAN4AAAAPAAAAAAAAAAAAAAAAAJgCAABk&#10;cnMvZG93bnJldi54bWxQSwUGAAAAAAQABAD1AAAAjQMAAAAA&#10;" path="m181356,l56388,24384,,24384e" filled="f" strokecolor="#a6a6a6" strokeweight=".72pt">
                  <v:path arrowok="t" textboxrect="0,0,181356,24384"/>
                </v:shape>
                <v:shape id="Shape 40735" o:spid="_x0000_s1323" style="position:absolute;left:33482;top:7730;width:2575;height:1448;visibility:visible;mso-wrap-style:square;v-text-anchor:top" coordsize="257556,14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SBMgA&#10;AADeAAAADwAAAGRycy9kb3ducmV2LnhtbESPQWvCQBSE70L/w/KE3upGa2yJbkIrFJRe1Frw+Mw+&#10;k9Ds25DdmuTfu4WCx2FmvmFWWW9qcaXWVZYVTCcRCOLc6ooLBcevj6dXEM4ja6wtk4KBHGTpw2iF&#10;ibYd7+l68IUIEHYJKii9bxIpXV6SQTexDXHwLrY16INsC6lb7ALc1HIWRQtpsOKwUGJD65Lyn8Ov&#10;UfC9PfrzetbVn/Nt7PIhHt5Pu0qpx3H/tgThqff38H97oxXMo5fnGP7uhCsg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6FIEyAAAAN4AAAAPAAAAAAAAAAAAAAAAAJgCAABk&#10;cnMvZG93bnJldi54bWxQSwUGAAAAAAQABAD1AAAAjQMAAAAA&#10;" path="m257556,144780l57912,,,e" filled="f" strokecolor="#a6a6a6" strokeweight=".72pt">
                  <v:path arrowok="t" textboxrect="0,0,257556,144780"/>
                </v:shape>
                <v:shape id="Shape 40736" o:spid="_x0000_s1324" style="position:absolute;left:32842;top:6389;width:3566;height:2712;visibility:visible;mso-wrap-style:square;v-text-anchor:top" coordsize="356616,27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c+icgA&#10;AADeAAAADwAAAGRycy9kb3ducmV2LnhtbESPzWrDMBCE74W8g9hAbo2UpsTBjRJCIVD6c6iT0uvG&#10;2tim1sqVVNt9+6pQ6HGYmW+YzW60rejJh8axhsVcgSAunWm40nA6Hq7XIEJENtg6Jg3fFGC3nVxt&#10;MDdu4Ffqi1iJBOGQo4Y6xi6XMpQ1WQxz1xEn7+K8xZikr6TxOCS4beWNUitpseG0UGNH9zWVH8WX&#10;1fB8Ol+ad/V4PvTD20vm6cl8FpnWs+m4vwMRaYz/4b/2g9Fwq7LlCn7vpCsgt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Jz6JyAAAAN4AAAAPAAAAAAAAAAAAAAAAAJgCAABk&#10;cnMvZG93bnJldi54bWxQSwUGAAAAAAQABAD1AAAAjQMAAAAA&#10;" path="m356616,271272l56388,,,e" filled="f" strokecolor="#a6a6a6" strokeweight=".72pt">
                  <v:path arrowok="t" textboxrect="0,0,356616,271272"/>
                </v:shape>
                <v:shape id="Shape 40737" o:spid="_x0000_s1325" style="position:absolute;left:33329;top:4910;width:3658;height:4115;visibility:visible;mso-wrap-style:square;v-text-anchor:top" coordsize="365760,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Eq+8YA&#10;AADeAAAADwAAAGRycy9kb3ducmV2LnhtbESPwW7CMBBE70j9B2sr9VIVh4IIpBhUgRAcIeUDVvE2&#10;McTrELsk/fsaqRLH0cy80SxWva3FjVpvHCsYDRMQxIXThksFp6/t2wyED8gaa8ek4Jc8rJZPgwVm&#10;2nV8pFseShEh7DNUUIXQZFL6oiKLfuga4uh9u9ZiiLItpW6xi3Bby/ckmUqLhuNChQ2tKyou+Y9V&#10;MNvsD5PN3K7TbnrdydfeoDnnSr08958fIAL14RH+b++1gkmSjlO434lX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2Eq+8YAAADeAAAADwAAAAAAAAAAAAAAAACYAgAAZHJz&#10;L2Rvd25yZXYueG1sUEsFBgAAAAAEAAQA9QAAAIsDAAAAAA==&#10;" path="m365760,411480l56388,,,e" filled="f" strokecolor="#a6a6a6" strokeweight=".72pt">
                  <v:path arrowok="t" textboxrect="0,0,365760,411480"/>
                </v:shape>
                <v:shape id="Shape 40738" o:spid="_x0000_s1326" style="position:absolute;left:37246;top:5200;width:168;height:3810;visibility:visible;mso-wrap-style:square;v-text-anchor:top" coordsize="16764,381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1+2sQA&#10;AADeAAAADwAAAGRycy9kb3ducmV2LnhtbERPy04CMRTdm/APzSVxY6AVDJCBQozExAULeWzYXaaX&#10;6ej0dpxWKH9vFyYsT857sUquERfqQu1Zw/NQgSAuvam50nDYvw9mIEJENth4Jg03CrBa9h4WWBh/&#10;5S1ddrESOYRDgRpsjG0hZSgtOQxD3xJn7uw7hzHDrpKmw2sOd40cKTWRDmvODRZberNUfu9+nYZE&#10;n3bCKjWn0/Sp+tnc1u3Rf2n92E+vcxCRUryL/90fRsOLmo7z3nwnXw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9ftrEAAAA3gAAAA8AAAAAAAAAAAAAAAAAmAIAAGRycy9k&#10;b3ducmV2LnhtbFBLBQYAAAAABAAEAPUAAACJAwAAAAA=&#10;" path="m16764,381000l,e" filled="f" strokecolor="#a6a6a6" strokeweight=".72pt">
                  <v:path arrowok="t" textboxrect="0,0,16764,381000"/>
                </v:shape>
                <v:shape id="Shape 40739" o:spid="_x0000_s1327" style="position:absolute;left:37444;top:1679;width:0;height:7331;visibility:visible;mso-wrap-style:square;v-text-anchor:top" coordsize="0,733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yXFckA&#10;AADeAAAADwAAAGRycy9kb3ducmV2LnhtbESPT2vCQBTE74V+h+UVehHdtClVo6uUVsGDBf8d9PbI&#10;PpNg9m3MrjF+e7cg9DjMzG+Y8bQ1pWiodoVlBW+9CARxanXBmYLddt4dgHAeWWNpmRTcyMF08vw0&#10;xkTbK6+p2fhMBAi7BBXk3leJlC7NyaDr2Yo4eEdbG/RB1pnUNV4D3JTyPYo+pcGCw0KOFX3nlJ42&#10;F6Og87u/7faH2WxVnc7Ln23MzfkQK/X60n6NQHhq/X/40V5oBR9RPx7C351wBeTkD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PyXFckAAADeAAAADwAAAAAAAAAAAAAAAACYAgAA&#10;ZHJzL2Rvd25yZXYueG1sUEsFBgAAAAAEAAQA9QAAAI4DAAAAAA==&#10;" path="m,733044l,e" filled="f" strokecolor="#a6a6a6" strokeweight=".72pt">
                  <v:path arrowok="t" textboxrect="0,0,0,733044"/>
                </v:shape>
                <v:shape id="Shape 40740" o:spid="_x0000_s1328" style="position:absolute;left:37475;top:5550;width:518;height:3460;visibility:visible;mso-wrap-style:square;v-text-anchor:top" coordsize="51816,345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8Jk8QA&#10;AADeAAAADwAAAGRycy9kb3ducmV2LnhtbESP32rCMBTG7we+QziCdzPpEJXOKEOYigxm1Qc4NGdN&#10;WXNSmljr25uLwS4/vn/8VpvBNaKnLtSeNWRTBYK49KbmSsP18vm6BBEissHGM2l4UIDNevSywtz4&#10;OxfUn2Ml0giHHDXYGNtcylBachimviVO3o/vHMYku0qaDu9p3DXyTam5dFhzerDY0tZS+Xu+OQ2n&#10;Y1Epu9+12fFRfG2zrDeL27fWk/Hw8Q4i0hD/w3/tg9EwU4tZAkg4CQXk+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vCZPEAAAA3gAAAA8AAAAAAAAAAAAAAAAAmAIAAGRycy9k&#10;b3ducmV2LnhtbFBLBQYAAAAABAAEAPUAAACJAwAAAAA=&#10;" path="m,345948l51816,e" filled="f" strokecolor="#a6a6a6" strokeweight=".72pt">
                  <v:path arrowok="t" textboxrect="0,0,51816,345948"/>
                </v:shape>
                <v:shape id="Shape 40741" o:spid="_x0000_s1329" style="position:absolute;left:37520;top:6267;width:4359;height:2728;visibility:visible;mso-wrap-style:square;v-text-anchor:top" coordsize="435864,272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9gPcgA&#10;AADeAAAADwAAAGRycy9kb3ducmV2LnhtbESPQWvCQBSE74L/YXmCN91YJJXoKmJRQnupiZDrI/tM&#10;gtm3aXaraX99t1DocZiZb5jNbjCtuFPvGssKFvMIBHFpdcOVgkt+nK1AOI+ssbVMCr7IwW47Hm0w&#10;0fbBZ7pnvhIBwi5BBbX3XSKlK2sy6Oa2Iw7e1fYGfZB9JXWPjwA3rXyKolgabDgs1NjRoabyln0a&#10;Bd+rtHrJP4r3+FpcXpvTUBzf9oVS08mwX4PwNPj/8F871QqW0fNyAb93whWQ2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H2A9yAAAAN4AAAAPAAAAAAAAAAAAAAAAAJgCAABk&#10;cnMvZG93bnJldi54bWxQSwUGAAAAAAQABAD1AAAAjQMAAAAA&#10;" path="m,272796l379476,r56388,e" filled="f" strokecolor="#a6a6a6" strokeweight=".72pt">
                  <v:path arrowok="t" textboxrect="0,0,435864,272796"/>
                </v:shape>
                <v:shape id="Shape 40742" o:spid="_x0000_s1330" style="position:absolute;left:37566;top:8720;width:4664;height:275;visibility:visible;mso-wrap-style:square;v-text-anchor:top" coordsize="466344,27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4F+8YA&#10;AADeAAAADwAAAGRycy9kb3ducmV2LnhtbESPQWuDQBSE74H+h+UVekvWiNRgswkiFEIJhdrQ88N9&#10;VYn71robNf313UIgx2FmvmG2+9l0YqTBtZYVrFcRCOLK6pZrBafP1+UGhPPIGjvLpOBKDva7h8UW&#10;M20n/qCx9LUIEHYZKmi87zMpXdWQQbeyPXHwvu1g0Ac51FIPOAW46WQcRc/SYMthocGeioaqc3kx&#10;Cr6K6Zinv+/t5mR/EjPH7m3UTqmnxzl/AeFp9vfwrX3QCpIoTWL4vxOugN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64F+8YAAADeAAAADwAAAAAAAAAAAAAAAACYAgAAZHJz&#10;L2Rvd25yZXYueG1sUEsFBgAAAAAEAAQA9QAAAIsDAAAAAA==&#10;" path="m,27432l408432,r57912,e" filled="f" strokecolor="#a6a6a6" strokeweight=".72pt">
                  <v:path arrowok="t" textboxrect="0,0,466344,27432"/>
                </v:shape>
                <v:rect id="Rectangle 757147" o:spid="_x0000_s1331" style="position:absolute;left:40352;top:11030;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SgckA&#10;AADfAAAADwAAAGRycy9kb3ducmV2LnhtbESPQWvCQBSE70L/w/IKvenGoo3GrCK1RY+tCtHbI/ua&#10;hGbfhuzWRH99Vyj0OMzMN0y66k0tLtS6yrKC8SgCQZxbXXGh4Hh4H85AOI+ssbZMCq7kYLV8GKSY&#10;aNvxJ132vhABwi5BBaX3TSKly0sy6Ea2IQ7el20N+iDbQuoWuwA3tXyOohdpsOKwUGJDryXl3/sf&#10;o2A7a9annb11Rf123mYf2XxzmHulnh779QKEp97/h//aO60gnsbjSQz3P+EL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LJSgckAAADfAAAADwAAAAAAAAAAAAAAAACYAgAA&#10;ZHJzL2Rvd25yZXYueG1sUEsFBgAAAAAEAAQA9QAAAI4DAAAAAA==&#10;" filled="f" stroked="f">
                  <v:textbox inset="0,0,0,0">
                    <w:txbxContent>
                      <w:p w14:paraId="5B370857" w14:textId="77777777" w:rsidR="0014164F" w:rsidRDefault="0014164F" w:rsidP="00C232D7">
                        <w:r>
                          <w:rPr>
                            <w:rFonts w:ascii="Calibri" w:hAnsi="Calibri" w:cs="Calibri"/>
                            <w:color w:val="404040"/>
                            <w:sz w:val="18"/>
                          </w:rPr>
                          <w:t>%</w:t>
                        </w:r>
                      </w:p>
                    </w:txbxContent>
                  </v:textbox>
                </v:rect>
                <v:rect id="Rectangle 757146" o:spid="_x0000_s1332" style="position:absolute;left:37746;top:11030;width:346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3GskA&#10;AADfAAAADwAAAGRycy9kb3ducmV2LnhtbESPW2vCQBSE34X+h+UUfNNNivWSZhXpBX20WlDfDtnT&#10;JDR7NmS3JvrrXUHwcZiZb5h00ZlKnKhxpWUF8TACQZxZXXKu4Gf3NZiCcB5ZY2WZFJzJwWL+1Esx&#10;0bblbzptfS4ChF2CCgrv60RKlxVk0A1tTRy8X9sY9EE2udQNtgFuKvkSRWNpsOSwUGBN7wVlf9t/&#10;o2A1rZeHtb20efV5XO03+9nHbuaV6j93yzcQnjr/CN/ba61g8jqJR2O4/QlfQM6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73GskAAADfAAAADwAAAAAAAAAAAAAAAACYAgAA&#10;ZHJzL2Rvd25yZXYueG1sUEsFBgAAAAAEAAQA9QAAAI4DAAAAAA==&#10;" filled="f" stroked="f">
                  <v:textbox inset="0,0,0,0">
                    <w:txbxContent>
                      <w:p w14:paraId="02B0A1F4" w14:textId="77777777" w:rsidR="0014164F" w:rsidRDefault="0014164F" w:rsidP="00C232D7">
                        <w:r>
                          <w:rPr>
                            <w:rFonts w:ascii="Calibri" w:hAnsi="Calibri" w:cs="Calibri"/>
                            <w:color w:val="404040"/>
                            <w:sz w:val="18"/>
                          </w:rPr>
                          <w:t>14.50</w:t>
                        </w:r>
                      </w:p>
                    </w:txbxContent>
                  </v:textbox>
                </v:rect>
                <v:rect id="Rectangle 757150" o:spid="_x0000_s1333" style="position:absolute;left:33460;top:17604;width:346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cKMYA&#10;AADfAAAADwAAAGRycy9kb3ducmV2LnhtbESPy4rCMBSG94LvEM7A7DRV8FaNIjqiS62CM7tDc2zL&#10;NCelibbO008Wgsuf/8a3WLWmFA+qXWFZwaAfgSBOrS44U3A573pTEM4jaywtk4InOVgtu50Fxto2&#10;fKJH4jMRRtjFqCD3voqldGlOBl3fVsTBu9naoA+yzqSusQnjppTDKBpLgwWHhxwr2uSU/iZ3o2A/&#10;rdbfB/vXZOXXz/56vM6255lX6vOjXc9BeGr9O/xqH7SCyWgyGAWCwBNY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JcKMYAAADfAAAADwAAAAAAAAAAAAAAAACYAgAAZHJz&#10;L2Rvd25yZXYueG1sUEsFBgAAAAAEAAQA9QAAAIsDAAAAAA==&#10;" filled="f" stroked="f">
                  <v:textbox inset="0,0,0,0">
                    <w:txbxContent>
                      <w:p w14:paraId="6C054B51" w14:textId="77777777" w:rsidR="0014164F" w:rsidRDefault="0014164F" w:rsidP="00C232D7">
                        <w:r>
                          <w:rPr>
                            <w:rFonts w:ascii="Calibri" w:hAnsi="Calibri" w:cs="Calibri"/>
                            <w:color w:val="404040"/>
                            <w:sz w:val="18"/>
                          </w:rPr>
                          <w:t>80.80</w:t>
                        </w:r>
                      </w:p>
                    </w:txbxContent>
                  </v:textbox>
                </v:rect>
                <v:rect id="Rectangle 757151" o:spid="_x0000_s1334" style="position:absolute;left:36066;top:17604;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5s8gA&#10;AADfAAAADwAAAGRycy9kb3ducmV2LnhtbESPT2vCQBTE70K/w/IK3nSTgv+iq0hV9Gi1YL09sq9J&#10;aPZtyK4m+uldQehxmJnfMLNFa0pxpdoVlhXE/QgEcWp1wZmC7+OmNwbhPLLG0jIpuJGDxfytM8NE&#10;24a/6HrwmQgQdgkqyL2vEildmpNB17cVcfB+bW3QB1lnUtfYBLgp5UcUDaXBgsNCjhV95pT+HS5G&#10;wXZcLX929t5k5fq8Pe1Pk9Vx4pXqvrfLKQhPrf8Pv9o7rWA0GMWDGJ5/wheQ8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zvmzyAAAAN8AAAAPAAAAAAAAAAAAAAAAAJgCAABk&#10;cnMvZG93bnJldi54bWxQSwUGAAAAAAQABAD1AAAAjQMAAAAA&#10;" filled="f" stroked="f">
                  <v:textbox inset="0,0,0,0">
                    <w:txbxContent>
                      <w:p w14:paraId="57F1DAFF" w14:textId="77777777" w:rsidR="0014164F" w:rsidRDefault="0014164F" w:rsidP="00C232D7">
                        <w:r>
                          <w:rPr>
                            <w:rFonts w:ascii="Calibri" w:hAnsi="Calibri" w:cs="Calibri"/>
                            <w:color w:val="404040"/>
                            <w:sz w:val="18"/>
                          </w:rPr>
                          <w:t>%</w:t>
                        </w:r>
                      </w:p>
                    </w:txbxContent>
                  </v:textbox>
                </v:rect>
                <v:rect id="Rectangle 757143" o:spid="_x0000_s1335" style="position:absolute;left:32915;top:8649;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UgskA&#10;AADfAAAADwAAAGRycy9kb3ducmV2LnhtbESPT2vCQBTE7wW/w/KE3urGtlaNriK1RY/1D6i3R/aZ&#10;BLNvQ3Y1qZ/eFQSPw8z8hhlPG1OIC1Uut6yg24lAECdW55wq2G5+3wYgnEfWWFgmBf/kYDppvYwx&#10;1rbmFV3WPhUBwi5GBZn3ZSylSzIy6Dq2JA7e0VYGfZBVKnWFdYCbQr5H0Zc0mHNYyLCk74yS0/ps&#10;FCwG5Wy/tNc6LX4Oi93fbjjfDL1Sr+1mNgLhqfHP8KO91Ar6vX738wPuf8IXkJ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4lUgskAAADfAAAADwAAAAAAAAAAAAAAAACYAgAA&#10;ZHJzL2Rvd25yZXYueG1sUEsFBgAAAAAEAAQA9QAAAI4DAAAAAA==&#10;" filled="f" stroked="f">
                  <v:textbox inset="0,0,0,0">
                    <w:txbxContent>
                      <w:p w14:paraId="52A2AB54" w14:textId="77777777" w:rsidR="0014164F" w:rsidRDefault="0014164F" w:rsidP="00C232D7">
                        <w:r>
                          <w:rPr>
                            <w:rFonts w:ascii="Calibri" w:hAnsi="Calibri" w:cs="Calibri"/>
                            <w:color w:val="404040"/>
                            <w:sz w:val="18"/>
                          </w:rPr>
                          <w:t>%</w:t>
                        </w:r>
                      </w:p>
                    </w:txbxContent>
                  </v:textbox>
                </v:rect>
                <v:rect id="Rectangle 757142" o:spid="_x0000_s1336" style="position:absolute;left:30888;top:8649;width:269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XxGcgA&#10;AADfAAAADwAAAGRycy9kb3ducmV2LnhtbESPQWvCQBSE70L/w/IK3nQTsVXTrCJV0aPVgu3tkX1N&#10;QrNvQ3Y1qb++Kwgeh5n5hkkXnanEhRpXWlYQDyMQxJnVJecKPo+bwRSE88gaK8uk4I8cLOZPvRQT&#10;bVv+oMvB5yJA2CWooPC+TqR0WUEG3dDWxMH7sY1BH2STS91gG+CmkqMoepUGSw4LBdb0XlD2ezgb&#10;Bdtpvfza2WubV+vv7Wl/mq2OM69U/7lbvoHw1PlH+N7eaQWTl0k8HsHtT/gCcv4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xfEZyAAAAN8AAAAPAAAAAAAAAAAAAAAAAJgCAABk&#10;cnMvZG93bnJldi54bWxQSwUGAAAAAAQABAD1AAAAjQMAAAAA&#10;" filled="f" stroked="f">
                  <v:textbox inset="0,0,0,0">
                    <w:txbxContent>
                      <w:p w14:paraId="47BEB570" w14:textId="77777777" w:rsidR="0014164F" w:rsidRDefault="0014164F" w:rsidP="00C232D7">
                        <w:r>
                          <w:rPr>
                            <w:rFonts w:ascii="Calibri" w:hAnsi="Calibri" w:cs="Calibri"/>
                            <w:color w:val="404040"/>
                            <w:sz w:val="18"/>
                          </w:rPr>
                          <w:t>0.37</w:t>
                        </w:r>
                      </w:p>
                    </w:txbxContent>
                  </v:textbox>
                </v:rect>
                <v:rect id="Rectangle 757135" o:spid="_x0000_s1337" style="position:absolute;left:32436;top:6933;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aEMkA&#10;AADfAAAADwAAAGRycy9kb3ducmV2LnhtbESPW2vCQBSE3wv+h+UIvtVNFKvGrCK9oI/ewPbtkD0m&#10;wezZkN2atL++WxB8HGbmGyZddaYSN2pcaVlBPIxAEGdWl5wrOB0/nmcgnEfWWFkmBT/kYLXsPaWY&#10;aNvynm4Hn4sAYZeggsL7OpHSZQUZdENbEwfvYhuDPsgml7rBNsBNJUdR9CINlhwWCqzptaDsevg2&#10;Cjazev25tb9tXr1/bc678/ztOPdKDfrdegHCU+cf4Xt7qxVMJ9N4PIH/P+ELy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yoaEMkAAADfAAAADwAAAAAAAAAAAAAAAACYAgAA&#10;ZHJzL2Rvd25yZXYueG1sUEsFBgAAAAAEAAQA9QAAAI4DAAAAAA==&#10;" filled="f" stroked="f">
                  <v:textbox inset="0,0,0,0">
                    <w:txbxContent>
                      <w:p w14:paraId="0875EAE3" w14:textId="77777777" w:rsidR="0014164F" w:rsidRDefault="0014164F" w:rsidP="00C232D7">
                        <w:r>
                          <w:rPr>
                            <w:rFonts w:ascii="Calibri" w:hAnsi="Calibri" w:cs="Calibri"/>
                            <w:color w:val="404040"/>
                            <w:sz w:val="18"/>
                          </w:rPr>
                          <w:t>%</w:t>
                        </w:r>
                      </w:p>
                    </w:txbxContent>
                  </v:textbox>
                </v:rect>
                <v:rect id="Rectangle 757134" o:spid="_x0000_s1338" style="position:absolute;left:30410;top:6933;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i8kA&#10;AADfAAAADwAAAGRycy9kb3ducmV2LnhtbESPT2vCQBTE7wW/w/KE3urGtlaNriK1RY/1D6i3R/aZ&#10;BLNvQ3Y1qZ/eFQSPw8z8hhlPG1OIC1Uut6yg24lAECdW55wq2G5+3wYgnEfWWFgmBf/kYDppvYwx&#10;1rbmFV3WPhUBwi5GBZn3ZSylSzIy6Dq2JA7e0VYGfZBVKnWFdYCbQr5H0Zc0mHNYyLCk74yS0/ps&#10;FCwG5Wy/tNc6LX4Oi93fbjjfDL1Sr+1mNgLhqfHP8KO91Ar6vX734xPuf8IXkJ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Ga/i8kAAADfAAAADwAAAAAAAAAAAAAAAACYAgAA&#10;ZHJzL2Rvd25yZXYueG1sUEsFBgAAAAAEAAQA9QAAAI4DAAAAAA==&#10;" filled="f" stroked="f">
                  <v:textbox inset="0,0,0,0">
                    <w:txbxContent>
                      <w:p w14:paraId="34C68BE9" w14:textId="77777777" w:rsidR="0014164F" w:rsidRDefault="0014164F" w:rsidP="00C232D7">
                        <w:r>
                          <w:rPr>
                            <w:rFonts w:ascii="Calibri" w:hAnsi="Calibri" w:cs="Calibri"/>
                            <w:color w:val="404040"/>
                            <w:sz w:val="18"/>
                          </w:rPr>
                          <w:t>1.00</w:t>
                        </w:r>
                      </w:p>
                    </w:txbxContent>
                  </v:textbox>
                </v:rect>
                <v:rect id="Rectangle 757133" o:spid="_x0000_s1339" style="position:absolute;left:31773;top:5596;width:1090;height:1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n/8kA&#10;AADfAAAADwAAAGRycy9kb3ducmV2LnhtbESPQWvCQBSE70L/w/IKvekmFaumWUVaRY8aBfX2yL4m&#10;odm3Ibs1sb++Wyj0OMzMN0y67E0tbtS6yrKCeBSBIM6trrhQcDpuhjMQziNrrC2Tgjs5WC4eBikm&#10;2nZ8oFvmCxEg7BJUUHrfJFK6vCSDbmQb4uB92NagD7ItpG6xC3BTy+coepEGKw4LJTb0VlL+mX0Z&#10;BdtZs7rs7HdX1Ovr9rw/z9+Pc6/U02O/egXhqff/4b/2TiuYTqbxeAy/f8IXkI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48n/8kAAADfAAAADwAAAAAAAAAAAAAAAACYAgAA&#10;ZHJzL2Rvd25yZXYueG1sUEsFBgAAAAAEAAQA9QAAAI4DAAAAAA==&#10;" filled="f" stroked="f">
                  <v:textbox inset="0,0,0,0">
                    <w:txbxContent>
                      <w:p w14:paraId="4AE30B6D" w14:textId="77777777" w:rsidR="0014164F" w:rsidRDefault="0014164F" w:rsidP="00C232D7">
                        <w:r>
                          <w:rPr>
                            <w:rFonts w:ascii="Calibri" w:hAnsi="Calibri" w:cs="Calibri"/>
                            <w:color w:val="404040"/>
                            <w:sz w:val="18"/>
                          </w:rPr>
                          <w:t>%</w:t>
                        </w:r>
                      </w:p>
                    </w:txbxContent>
                  </v:textbox>
                </v:rect>
                <v:rect id="Rectangle 757132" o:spid="_x0000_s1340" style="position:absolute;left:29745;top:5596;width:2703;height:1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CZMgA&#10;AADfAAAADwAAAGRycy9kb3ducmV2LnhtbESPQWvCQBSE70L/w/IK3nQTpVXTrCJV0aPVgu3tkX1N&#10;QrNvQ3Y1qb++Kwgeh5n5hkkXnanEhRpXWlYQDyMQxJnVJecKPo+bwRSE88gaK8uk4I8cLOZPvRQT&#10;bVv+oMvB5yJA2CWooPC+TqR0WUEG3dDWxMH7sY1BH2STS91gG+CmkqMoepUGSw4LBdb0XlD2ezgb&#10;Bdtpvfza2WubV+vv7Wl/mq2OM69U/7lbvoHw1PlH+N7eaQWTl0k8HsHtT/gCcv4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w4JkyAAAAN8AAAAPAAAAAAAAAAAAAAAAAJgCAABk&#10;cnMvZG93bnJldi54bWxQSwUGAAAAAAQABAD1AAAAjQMAAAAA&#10;" filled="f" stroked="f">
                  <v:textbox inset="0,0,0,0">
                    <w:txbxContent>
                      <w:p w14:paraId="6C3C3787" w14:textId="77777777" w:rsidR="0014164F" w:rsidRDefault="0014164F" w:rsidP="00C232D7">
                        <w:r>
                          <w:rPr>
                            <w:rFonts w:ascii="Calibri" w:hAnsi="Calibri" w:cs="Calibri"/>
                            <w:color w:val="404040"/>
                            <w:sz w:val="18"/>
                          </w:rPr>
                          <w:t>0.84</w:t>
                        </w:r>
                      </w:p>
                    </w:txbxContent>
                  </v:textbox>
                </v:rect>
                <v:rect id="Rectangle 757114" o:spid="_x0000_s1341" style="position:absolute;left:32317;top:4056;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j68kA&#10;AADfAAAADwAAAGRycy9kb3ducmV2LnhtbESPQWvCQBSE74X+h+UVvNVNpFZNs4pYRY9WC2lvj+xr&#10;Epp9G7Krif76riD0OMzMN0y66E0tztS6yrKCeBiBIM6trrhQ8HncPE9BOI+ssbZMCi7kYDF/fEgx&#10;0bbjDzoffCEChF2CCkrvm0RKl5dk0A1tQxy8H9sa9EG2hdQtdgFuajmKoldpsOKwUGJDq5Ly38PJ&#10;KNhOm+XXzl67ol5/b7N9Nns/zrxSg6d++QbCU+//w/f2TiuYjCdx/AK3P+ELyP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Pj68kAAADfAAAADwAAAAAAAAAAAAAAAACYAgAA&#10;ZHJzL2Rvd25yZXYueG1sUEsFBgAAAAAEAAQA9QAAAI4DAAAAAA==&#10;" filled="f" stroked="f">
                  <v:textbox inset="0,0,0,0">
                    <w:txbxContent>
                      <w:p w14:paraId="5A23E1B8" w14:textId="77777777" w:rsidR="0014164F" w:rsidRDefault="0014164F" w:rsidP="00C232D7">
                        <w:r>
                          <w:rPr>
                            <w:rFonts w:ascii="Calibri" w:hAnsi="Calibri" w:cs="Calibri"/>
                            <w:color w:val="404040"/>
                            <w:sz w:val="18"/>
                          </w:rPr>
                          <w:t>%</w:t>
                        </w:r>
                      </w:p>
                    </w:txbxContent>
                  </v:textbox>
                </v:rect>
                <v:rect id="Rectangle 757113" o:spid="_x0000_s1342" style="position:absolute;left:30290;top:4056;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p7n8kA&#10;AADfAAAADwAAAGRycy9kb3ducmV2LnhtbESPQWvCQBSE74X+h+UVvNVNLFZNs4pYRY9WC2lvj+xr&#10;Epp9G7Krif76riD0OMzMN0y66E0tztS6yrKCeBiBIM6trrhQ8HncPE9BOI+ssbZMCi7kYDF/fEgx&#10;0bbjDzoffCEChF2CCkrvm0RKl5dk0A1tQxy8H9sa9EG2hdQtdgFuajmKoldpsOKwUGJDq5Ly38PJ&#10;KNhOm+XXzl67ol5/b7N9Nns/zrxSg6d++QbCU+//w/f2TiuYjCdx/AK3P+ELyP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Dp7n8kAAADfAAAADwAAAAAAAAAAAAAAAACYAgAA&#10;ZHJzL2Rvd25yZXYueG1sUEsFBgAAAAAEAAQA9QAAAI4DAAAAAA==&#10;" filled="f" stroked="f">
                  <v:textbox inset="0,0,0,0">
                    <w:txbxContent>
                      <w:p w14:paraId="1F965D2A" w14:textId="77777777" w:rsidR="0014164F" w:rsidRDefault="0014164F" w:rsidP="00C232D7">
                        <w:r>
                          <w:rPr>
                            <w:rFonts w:ascii="Calibri" w:hAnsi="Calibri" w:cs="Calibri"/>
                            <w:color w:val="404040"/>
                            <w:sz w:val="18"/>
                          </w:rPr>
                          <w:t>2.05</w:t>
                        </w:r>
                      </w:p>
                    </w:txbxContent>
                  </v:textbox>
                </v:rect>
                <v:rect id="Rectangle 757123" o:spid="_x0000_s1343" style="position:absolute;left:36240;top:4345;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xIsgA&#10;AADfAAAADwAAAGRycy9kb3ducmV2LnhtbESPQWvCQBSE70L/w/IK3nQTpVXTrCJV0aPVgu3tkX1N&#10;QrNvQ3Y1qb++Kwgeh5n5hkkXnanEhRpXWlYQDyMQxJnVJecKPo+bwRSE88gaK8uk4I8cLOZPvRQT&#10;bVv+oMvB5yJA2CWooPC+TqR0WUEG3dDWxMH7sY1BH2STS91gG+CmkqMoepUGSw4LBdb0XlD2ezgb&#10;Bdtpvfza2WubV+vv7Wl/mq2OM69U/7lbvoHw1PlH+N7eaQWTl0k8GsPtT/gCcv4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rEiyAAAAN8AAAAPAAAAAAAAAAAAAAAAAJgCAABk&#10;cnMvZG93bnJldi54bWxQSwUGAAAAAAQABAD1AAAAjQMAAAAA&#10;" filled="f" stroked="f">
                  <v:textbox inset="0,0,0,0">
                    <w:txbxContent>
                      <w:p w14:paraId="78AE841C" w14:textId="77777777" w:rsidR="0014164F" w:rsidRDefault="0014164F" w:rsidP="00C232D7">
                        <w:r>
                          <w:rPr>
                            <w:rFonts w:ascii="Calibri" w:hAnsi="Calibri" w:cs="Calibri"/>
                            <w:color w:val="404040"/>
                            <w:sz w:val="18"/>
                          </w:rPr>
                          <w:t>%</w:t>
                        </w:r>
                      </w:p>
                    </w:txbxContent>
                  </v:textbox>
                </v:rect>
                <v:rect id="Rectangle 757122" o:spid="_x0000_s1344" style="position:absolute;left:34213;top:4345;width:269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UuckA&#10;AADfAAAADwAAAGRycy9kb3ducmV2LnhtbESPT2vCQBTE7wW/w/KE3pqNgdaYuopoix7rH4i9PbLP&#10;JJh9G7Jbk/bTdwsFj8PM/IaZLwfTiBt1rrasYBLFIIgLq2suFZyO708pCOeRNTaWScE3OVguRg9z&#10;zLTteU+3gy9FgLDLUEHlfZtJ6YqKDLrItsTBu9jOoA+yK6XusA9w08gkjl+kwZrDQoUtrSsqrocv&#10;o2Cbtqvzzv70ZfP2uc0/8tnmOPNKPY6H1SsIT4O/h//bO61g+jydJAn8/QlfQC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RoUuckAAADfAAAADwAAAAAAAAAAAAAAAACYAgAA&#10;ZHJzL2Rvd25yZXYueG1sUEsFBgAAAAAEAAQA9QAAAI4DAAAAAA==&#10;" filled="f" stroked="f">
                  <v:textbox inset="0,0,0,0">
                    <w:txbxContent>
                      <w:p w14:paraId="0EA54C37" w14:textId="77777777" w:rsidR="0014164F" w:rsidRDefault="0014164F" w:rsidP="00C232D7">
                        <w:r>
                          <w:rPr>
                            <w:rFonts w:ascii="Calibri" w:hAnsi="Calibri" w:cs="Calibri"/>
                            <w:color w:val="404040"/>
                            <w:sz w:val="18"/>
                          </w:rPr>
                          <w:t>0.12</w:t>
                        </w:r>
                      </w:p>
                    </w:txbxContent>
                  </v:textbox>
                </v:rect>
                <v:rect id="Rectangle 757105" o:spid="_x0000_s1345" style="position:absolute;left:38535;top:550;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QrccA&#10;AADfAAAADwAAAGRycy9kb3ducmV2LnhtbESPQYvCMBSE7wv+h/AEb2uq4KrVKKIuetxVQb09mmdb&#10;bF5KE2311xthYY/DzHzDTOeNKcSdKpdbVtDrRiCIE6tzThUc9t+fIxDOI2ssLJOCBzmYz1ofU4y1&#10;rfmX7jufigBhF6OCzPsyltIlGRl0XVsSB+9iK4M+yCqVusI6wE0h+1H0JQ3mHBYyLGmZUXLd3YyC&#10;zahcnLb2WafF+rw5/hzHq/3YK9VpN4sJCE+N/w//tbdawXAw7EUDeP8JX0DO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G0K3HAAAA3wAAAA8AAAAAAAAAAAAAAAAAmAIAAGRy&#10;cy9kb3ducmV2LnhtbFBLBQYAAAAABAAEAPUAAACMAwAAAAA=&#10;" filled="f" stroked="f">
                  <v:textbox inset="0,0,0,0">
                    <w:txbxContent>
                      <w:p w14:paraId="49703E2B" w14:textId="77777777" w:rsidR="0014164F" w:rsidRDefault="0014164F" w:rsidP="00C232D7">
                        <w:r>
                          <w:rPr>
                            <w:rFonts w:ascii="Calibri" w:hAnsi="Calibri" w:cs="Calibri"/>
                            <w:color w:val="404040"/>
                            <w:sz w:val="18"/>
                          </w:rPr>
                          <w:t>%</w:t>
                        </w:r>
                      </w:p>
                    </w:txbxContent>
                  </v:textbox>
                </v:rect>
                <v:rect id="Rectangle 757103" o:spid="_x0000_s1346" style="position:absolute;left:36508;top:550;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tQsgA&#10;AADfAAAADwAAAGRycy9kb3ducmV2LnhtbESPS4vCQBCE74L/YWjBm07cZX1ER5F9oMf1AeqtybRJ&#10;MNMTMqPJ+usdYcFjUVVfUbNFYwpxo8rllhUM+hEI4sTqnFMF+91PbwzCeWSNhWVS8EcOFvN2a4ax&#10;tjVv6Lb1qQgQdjEqyLwvYyldkpFB17clcfDOtjLog6xSqSusA9wU8i2KhtJgzmEhw5I+M0ou26tR&#10;sBqXy+Pa3uu0+D6tDr+Hyddu4pXqdprlFISnxr/C/+21VjD6GA2id3j+CV9Az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4+1CyAAAAN8AAAAPAAAAAAAAAAAAAAAAAJgCAABk&#10;cnMvZG93bnJldi54bWxQSwUGAAAAAAQABAD1AAAAjQMAAAAA&#10;" filled="f" stroked="f">
                  <v:textbox inset="0,0,0,0">
                    <w:txbxContent>
                      <w:p w14:paraId="17DBA586" w14:textId="77777777" w:rsidR="0014164F" w:rsidRDefault="0014164F" w:rsidP="00C232D7">
                        <w:r>
                          <w:rPr>
                            <w:rFonts w:ascii="Calibri" w:hAnsi="Calibri" w:cs="Calibri"/>
                            <w:color w:val="404040"/>
                            <w:sz w:val="18"/>
                          </w:rPr>
                          <w:t>0.06</w:t>
                        </w:r>
                      </w:p>
                    </w:txbxContent>
                  </v:textbox>
                </v:rect>
                <v:rect id="Rectangle 757124" o:spid="_x0000_s1347" style="position:absolute;left:38182;top:4693;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pVsgA&#10;AADfAAAADwAAAGRycy9kb3ducmV2LnhtbESPQWvCQBSE70L/w/IK3nQTsVXTrCJV0aPVgu3tkX1N&#10;QrNvQ3Y1qb++Kwgeh5n5hkkXnanEhRpXWlYQDyMQxJnVJecKPo+bwRSE88gaK8uk4I8cLOZPvRQT&#10;bVv+oMvB5yJA2CWooPC+TqR0WUEG3dDWxMH7sY1BH2STS91gG+CmkqMoepUGSw4LBdb0XlD2ezgb&#10;Bdtpvfza2WubV+vv7Wl/mq2OM69U/7lbvoHw1PlH+N7eaQWTl0k8GsPtT/gCcv4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vylWyAAAAN8AAAAPAAAAAAAAAAAAAAAAAJgCAABk&#10;cnMvZG93bnJldi54bWxQSwUGAAAAAAQABAD1AAAAjQMAAAAA&#10;" filled="f" stroked="f">
                  <v:textbox inset="0,0,0,0">
                    <w:txbxContent>
                      <w:p w14:paraId="54D3EF7A" w14:textId="77777777" w:rsidR="0014164F" w:rsidRDefault="0014164F" w:rsidP="00C232D7">
                        <w:r>
                          <w:rPr>
                            <w:rFonts w:ascii="Calibri" w:hAnsi="Calibri" w:cs="Calibri"/>
                            <w:color w:val="404040"/>
                            <w:sz w:val="18"/>
                          </w:rPr>
                          <w:t>0.11</w:t>
                        </w:r>
                      </w:p>
                    </w:txbxContent>
                  </v:textbox>
                </v:rect>
                <v:rect id="Rectangle 757125" o:spid="_x0000_s1348" style="position:absolute;left:40209;top:4693;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MzccA&#10;AADfAAAADwAAAGRycy9kb3ducmV2LnhtbESPS4vCQBCE74L/YegFbzpR8JV1FPGBHn2Bu7cm05uE&#10;zfSEzGiiv35nQfBYVNVX1GzRmELcqXK5ZQX9XgSCOLE651TB5bztTkA4j6yxsEwKHuRgMW+3Zhhr&#10;W/OR7iefigBhF6OCzPsyltIlGRl0PVsSB+/HVgZ9kFUqdYV1gJtCDqJoJA3mHBYyLGmVUfJ7uhkF&#10;u0m5/NrbZ50Wm+/d9XCdrs9Tr1Tno1l+gvDU+Hf41d5rBePhuD8Ywv+f8AX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7zjM3HAAAA3wAAAA8AAAAAAAAAAAAAAAAAmAIAAGRy&#10;cy9kb3ducmV2LnhtbFBLBQYAAAAABAAEAPUAAACMAwAAAAA=&#10;" filled="f" stroked="f">
                  <v:textbox inset="0,0,0,0">
                    <w:txbxContent>
                      <w:p w14:paraId="76F1BB71" w14:textId="77777777" w:rsidR="0014164F" w:rsidRDefault="0014164F" w:rsidP="00C232D7">
                        <w:r>
                          <w:rPr>
                            <w:rFonts w:ascii="Calibri" w:hAnsi="Calibri" w:cs="Calibri"/>
                            <w:color w:val="404040"/>
                            <w:sz w:val="18"/>
                          </w:rPr>
                          <w:t>%</w:t>
                        </w:r>
                      </w:p>
                    </w:txbxContent>
                  </v:textbox>
                </v:rect>
                <v:rect id="Rectangle 757137" o:spid="_x0000_s1349" style="position:absolute;left:44061;top:5409;width:108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h/MkA&#10;AADfAAAADwAAAGRycy9kb3ducmV2LnhtbESPQWvCQBSE70L/w/IKvenGio3GrCK1RY+tCtHbI/ua&#10;hGbfhuzWRH99Vyj0OMzMN0y66k0tLtS6yrKC8SgCQZxbXXGh4Hh4H85AOI+ssbZMCq7kYLV8GKSY&#10;aNvxJ132vhABwi5BBaX3TSKly0sy6Ea2IQ7el20N+iDbQuoWuwA3tXyOohdpsOKwUGJDryXl3/sf&#10;o2A7a9annb11Rf123mYf2XxzmHulnh779QKEp97/h//aO60gnsbjSQz3P+EL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LQh/MkAAADfAAAADwAAAAAAAAAAAAAAAACYAgAA&#10;ZHJzL2Rvd25yZXYueG1sUEsFBgAAAAAEAAQA9QAAAI4DAAAAAA==&#10;" filled="f" stroked="f">
                  <v:textbox inset="0,0,0,0">
                    <w:txbxContent>
                      <w:p w14:paraId="4781A765" w14:textId="77777777" w:rsidR="0014164F" w:rsidRDefault="0014164F" w:rsidP="00C232D7">
                        <w:r>
                          <w:rPr>
                            <w:rFonts w:ascii="Calibri" w:hAnsi="Calibri" w:cs="Calibri"/>
                            <w:color w:val="404040"/>
                            <w:sz w:val="18"/>
                          </w:rPr>
                          <w:t>%</w:t>
                        </w:r>
                      </w:p>
                    </w:txbxContent>
                  </v:textbox>
                </v:rect>
                <v:rect id="Rectangle 757136" o:spid="_x0000_s1350" style="position:absolute;left:42034;top:5409;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EZ8kA&#10;AADfAAAADwAAAGRycy9kb3ducmV2LnhtbESPW2vCQBSE34X+h+UUfNNNKvWSZhXpBX20WlDfDtnT&#10;JDR7NmS3JvrrXUHwcZiZb5h00ZlKnKhxpWUF8TACQZxZXXKu4Gf3NZiCcB5ZY2WZFJzJwWL+1Esx&#10;0bblbzptfS4ChF2CCgrv60RKlxVk0A1tTRy8X9sY9EE2udQNtgFuKvkSRWNpsOSwUGBN7wVlf9t/&#10;o2A1rZeHtb20efV5XO03+9nHbuaV6j93yzcQnjr/CN/ba61g8jqJR2O4/QlfQM6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iEZ8kAAADfAAAADwAAAAAAAAAAAAAAAACYAgAA&#10;ZHJzL2Rvd25yZXYueG1sUEsFBgAAAAAEAAQA9QAAAI4DAAAAAA==&#10;" filled="f" stroked="f">
                  <v:textbox inset="0,0,0,0">
                    <w:txbxContent>
                      <w:p w14:paraId="0F4F9AAA" w14:textId="77777777" w:rsidR="0014164F" w:rsidRDefault="0014164F" w:rsidP="00C232D7">
                        <w:r>
                          <w:rPr>
                            <w:rFonts w:ascii="Calibri" w:hAnsi="Calibri" w:cs="Calibri"/>
                            <w:color w:val="404040"/>
                            <w:sz w:val="18"/>
                          </w:rPr>
                          <w:t>0.16</w:t>
                        </w:r>
                      </w:p>
                    </w:txbxContent>
                  </v:textbox>
                </v:rect>
                <v:rect id="Rectangle 757145" o:spid="_x0000_s1351" style="position:absolute;left:44448;top:7866;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pbckA&#10;AADfAAAADwAAAGRycy9kb3ducmV2LnhtbESPW2vCQBSE3wv+h+UIvtVNRKvGrCK9oI/ewPbtkD0m&#10;wezZkN2atL++WxB8HGbmGyZddaYSN2pcaVlBPIxAEGdWl5wrOB0/nmcgnEfWWFkmBT/kYLXsPaWY&#10;aNvynm4Hn4sAYZeggsL7OpHSZQUZdENbEwfvYhuDPsgml7rBNsBNJUdR9CINlhwWCqzptaDsevg2&#10;Cjazev25tb9tXr1/bc678/ztOPdKDfrdegHCU+cf4Xt7qxVMJ9N4PIH/P+ELy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yxpbckAAADfAAAADwAAAAAAAAAAAAAAAACYAgAA&#10;ZHJzL2Rvd25yZXYueG1sUEsFBgAAAAAEAAQA9QAAAI4DAAAAAA==&#10;" filled="f" stroked="f">
                  <v:textbox inset="0,0,0,0">
                    <w:txbxContent>
                      <w:p w14:paraId="51448472" w14:textId="77777777" w:rsidR="0014164F" w:rsidRDefault="0014164F" w:rsidP="00C232D7">
                        <w:r>
                          <w:rPr>
                            <w:rFonts w:ascii="Calibri" w:hAnsi="Calibri" w:cs="Calibri"/>
                            <w:color w:val="404040"/>
                            <w:sz w:val="18"/>
                          </w:rPr>
                          <w:t>%</w:t>
                        </w:r>
                      </w:p>
                    </w:txbxContent>
                  </v:textbox>
                </v:rect>
                <v:rect id="Rectangle 757144" o:spid="_x0000_s1352" style="position:absolute;left:42421;top:7866;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M9skA&#10;AADfAAAADwAAAGRycy9kb3ducmV2LnhtbESPQWvCQBSE70L/w/IKvekmRaumWUVaRY8aBfX2yL4m&#10;odm3Ibs1sb++Wyj0OMzMN0y67E0tbtS6yrKCeBSBIM6trrhQcDpuhjMQziNrrC2Tgjs5WC4eBikm&#10;2nZ8oFvmCxEg7BJUUHrfJFK6vCSDbmQb4uB92NagD7ItpG6xC3BTy+coepEGKw4LJTb0VlL+mX0Z&#10;BdtZs7rs7HdX1Ovr9rw/z9+Pc6/U02O/egXhqff/4b/2TiuYTqbxeAy/f8IXkI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GDM9skAAADfAAAADwAAAAAAAAAAAAAAAACYAgAA&#10;ZHJzL2Rvd25yZXYueG1sUEsFBgAAAAAEAAQA9QAAAI4DAAAAAA==&#10;" filled="f" stroked="f">
                  <v:textbox inset="0,0,0,0">
                    <w:txbxContent>
                      <w:p w14:paraId="463D0B75" w14:textId="77777777" w:rsidR="0014164F" w:rsidRDefault="0014164F" w:rsidP="00C232D7">
                        <w:r>
                          <w:rPr>
                            <w:rFonts w:ascii="Calibri" w:hAnsi="Calibri" w:cs="Calibri"/>
                            <w:color w:val="404040"/>
                            <w:sz w:val="18"/>
                          </w:rPr>
                          <w:t>0.00</w:t>
                        </w:r>
                      </w:p>
                    </w:txbxContent>
                  </v:textbox>
                </v:rect>
                <v:shape id="Shape 922186" o:spid="_x0000_s1353" style="position:absolute;left:46718;top:346;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YmEcYA&#10;AADfAAAADwAAAGRycy9kb3ducmV2LnhtbESPQWvCQBSE7wX/w/KEXopuDCVodBURhfbWqHh+ZJ9J&#10;MPs27G5i+u+7hUKPw8x8w2x2o2nFQM43lhUs5gkI4tLqhisF18tptgThA7LG1jIp+CYPu+3kZYO5&#10;tk8uaDiHSkQI+xwV1CF0uZS+rMmgn9uOOHp36wyGKF0ltcNnhJtWpkmSSYMNx4UaOzrUVD7OvVFQ&#10;FL28vB9peLz16efN0VeTub1Sr9NxvwYRaAz/4b/2h1awStPFMoPfP/ELyO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2YmEcYAAADfAAAADwAAAAAAAAAAAAAAAACYAgAAZHJz&#10;L2Rvd25yZXYueG1sUEsFBgAAAAAEAAQA9QAAAIsDAAAAAA==&#10;" path="m,l51816,r,51816l,51816,,e" fillcolor="#5b9bd5" stroked="f" strokeweight="0">
                  <v:path arrowok="t" textboxrect="0,0,51816,51816"/>
                </v:shape>
                <v:shape id="Shape 40755" o:spid="_x0000_s1354" style="position:absolute;left:46718;top:346;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dTisgA&#10;AADeAAAADwAAAGRycy9kb3ducmV2LnhtbESPT08CMRTE7yZ8h+aReJPWP4uwUohuYvTAReQAt5ft&#10;c7tx+7ppKyx+ekpi4nEyM7/JLFaD68SBQmw9a7idKBDEtTctNxq2n683MxAxIRvsPJOGE0VYLUdX&#10;CyyNP/IHHTapERnCsUQNNqW+lDLWlhzGie+Js/flg8OUZWikCXjMcNfJO6Wm0mHLecFiT5Wl+nvz&#10;4zRM13b2G9yuuq9ONKc3tS+2L3utr8fD8xOIREP6D/+1342GB/VYFHC5k6+AXJ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h1OKyAAAAN4AAAAPAAAAAAAAAAAAAAAAAJgCAABk&#10;cnMvZG93bnJldi54bWxQSwUGAAAAAAQABAD1AAAAjQMAAAAA&#10;" path="m,51816r51816,l51816,,,,,51816xe" filled="f" strokecolor="white" strokeweight="1.56pt">
                  <v:path arrowok="t" textboxrect="0,0,51816,51816"/>
                </v:shape>
                <v:rect id="Rectangle 40756" o:spid="_x0000_s1355" style="position:absolute;left:47451;width:4729;height:1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g+wMcA&#10;AADeAAAADwAAAGRycy9kb3ducmV2LnhtbESPT2vCQBTE7wW/w/IEb3WjqNXUVcQ/6NFqQb09sq9J&#10;MPs2ZFcT/fRdodDjMDO/YabzxhTiTpXLLSvodSMQxInVOacKvo+b9zEI55E1FpZJwYMczGettynG&#10;2tb8RfeDT0WAsItRQeZ9GUvpkowMuq4tiYP3YyuDPsgqlbrCOsBNIftRNJIGcw4LGZa0zCi5Hm5G&#10;wXZcLs47+6zTYn3Znvanyeo48Up12s3iE4Snxv+H/9o7rWAQfQxH8LoTro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IPsDHAAAA3gAAAA8AAAAAAAAAAAAAAAAAmAIAAGRy&#10;cy9kb3ducmV2LnhtbFBLBQYAAAAABAAEAPUAAACMAwAAAAA=&#10;" filled="f" stroked="f">
                  <v:textbox inset="0,0,0,0">
                    <w:txbxContent>
                      <w:p w14:paraId="655FEBC2" w14:textId="77777777" w:rsidR="0014164F" w:rsidRDefault="0014164F" w:rsidP="00C232D7">
                        <w:r>
                          <w:rPr>
                            <w:rFonts w:ascii="Arial" w:eastAsia="Arial" w:hAnsi="Arial" w:cs="Arial"/>
                            <w:color w:val="595959"/>
                            <w:sz w:val="16"/>
                          </w:rPr>
                          <w:t>Plastika</w:t>
                        </w:r>
                      </w:p>
                    </w:txbxContent>
                  </v:textbox>
                </v:rect>
                <v:shape id="Shape 922187" o:spid="_x0000_s1356" style="position:absolute;left:46718;top:2480;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ifzMYA&#10;AADfAAAADwAAAGRycy9kb3ducmV2LnhtbESPUU/CQBCE3034D5cl4U2ulERr5SAEQX1E8Adsektb&#10;6O013bMUf71nYuLjZHa+2VmsBteonjqpPRuYTRNQxIW3NZcGPo+7+wyUBGSLjWcycCOB1XJ0t8Dc&#10;+it/UH8IpYoQlhwNVCG0udZSVORQpr4ljt7Jdw5DlF2pbYfXCHeNTpPkQTusOTZU2NKmouJy+HLx&#10;jfnxe7+V13oz5+Tl3Itk/CbGTMbD+hlUoCH8H/+l362BpzSdZY/wuydCQC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ifzMYAAADfAAAADwAAAAAAAAAAAAAAAACYAgAAZHJz&#10;L2Rvd25yZXYueG1sUEsFBgAAAAAEAAQA9QAAAIsDAAAAAA==&#10;" path="m,l51816,r,51816l,51816,,e" fillcolor="#ed7d31" stroked="f" strokeweight="0">
                  <v:path arrowok="t" textboxrect="0,0,51816,51816"/>
                </v:shape>
                <v:shape id="Shape 40758" o:spid="_x0000_s1357" style="position:absolute;left:46718;top:2480;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b8FMQA&#10;AADeAAAADwAAAGRycy9kb3ducmV2LnhtbERPuW4CMRDtI+UfrIlEF+wcXAsGJStFSUHDUUA3Wg/r&#10;VdbjlW1gydfHRaSUT+9erHrXiguF2HjW8DRUIIgrbxquNex3H49TEDEhG2w9k4YbRVgt7+8WWBh/&#10;5Q1dtqkWOYRjgRpsSl0hZawsOYxD3xFn7uSDw5RhqKUJeM3hrpXPSo2lw4Zzg8WOSkvV9/bsNIzX&#10;dvoT3KF8KW80o091HO3fj1oPHvq3OYhEffoX/7m/jIZXNRnlvflOv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BTEAAAA3gAAAA8AAAAAAAAAAAAAAAAAmAIAAGRycy9k&#10;b3ducmV2LnhtbFBLBQYAAAAABAAEAPUAAACJAwAAAAA=&#10;" path="m,51816r51816,l51816,,,,,51816xe" filled="f" strokecolor="white" strokeweight="1.56pt">
                  <v:path arrowok="t" textboxrect="0,0,51816,51816"/>
                </v:shape>
                <v:rect id="Rectangle 40759" o:spid="_x0000_s1358" style="position:absolute;left:47451;top:2136;width:369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eqsscA&#10;AADeAAAADwAAAGRycy9kb3ducmV2LnhtbESPQWvCQBSE70L/w/IKvelGaa2JriKtRY+tCurtkX0m&#10;wezbkF1N9Ne7gtDjMDPfMJNZa0pxodoVlhX0exEI4tTqgjMF281PdwTCeWSNpWVScCUHs+lLZ4KJ&#10;tg3/0WXtMxEg7BJUkHtfJVK6NCeDrmcr4uAdbW3QB1lnUtfYBLgp5SCKhtJgwWEhx4q+ckpP67NR&#10;sBxV8/3K3pqsXByWu99d/L2JvVJvr+18DMJT6//Dz/ZKK3iPPj9ieNwJV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XqrLHAAAA3gAAAA8AAAAAAAAAAAAAAAAAmAIAAGRy&#10;cy9kb3ducmV2LnhtbFBLBQYAAAAABAAEAPUAAACMAwAAAAA=&#10;" filled="f" stroked="f">
                  <v:textbox inset="0,0,0,0">
                    <w:txbxContent>
                      <w:p w14:paraId="71EA9FEC" w14:textId="77777777" w:rsidR="0014164F" w:rsidRDefault="0014164F" w:rsidP="00C232D7">
                        <w:r>
                          <w:rPr>
                            <w:rFonts w:ascii="Arial" w:eastAsia="Arial" w:hAnsi="Arial" w:cs="Arial"/>
                            <w:color w:val="595959"/>
                            <w:sz w:val="16"/>
                          </w:rPr>
                          <w:t>Guma</w:t>
                        </w:r>
                      </w:p>
                    </w:txbxContent>
                  </v:textbox>
                </v:rect>
                <v:shape id="Shape 922188" o:spid="_x0000_s1359" style="position:absolute;left:46718;top:4613;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lddcUA&#10;AADfAAAADwAAAGRycy9kb3ducmV2LnhtbERPz2vCMBS+D/wfwhO8DE1b2HCdUUSYzt3UgTs+k2db&#10;bV66Jmr975fDwOPH93sy62wtrtT6yrGCdJSAINbOVFwo+N59DMcgfEA2WDsmBXfyMJv2niaYG3fj&#10;DV23oRAxhH2OCsoQmlxKr0uy6EeuIY7c0bUWQ4RtIU2Ltxhua5klyau0WHFsKLGhRUn6vL1YBfvf&#10;rwvrxfNydfg5aHeq0pflOlVq0O/m7yACdeEh/nd/GgVvWZaO4+D4J34BO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6V11xQAAAN8AAAAPAAAAAAAAAAAAAAAAAJgCAABkcnMv&#10;ZG93bnJldi54bWxQSwUGAAAAAAQABAD1AAAAigMAAAAA&#10;" path="m,l51816,r,50292l,50292,,e" fillcolor="#a5a5a5" stroked="f" strokeweight="0">
                  <v:path arrowok="t" textboxrect="0,0,51816,50292"/>
                </v:shape>
                <v:shape id="Shape 40761" o:spid="_x0000_s1360" style="position:absolute;left:46718;top:4613;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IXMgA&#10;AADeAAAADwAAAGRycy9kb3ducmV2LnhtbESPQUvDQBSE74L/YXlCb+2mUmOJ3RYtCHqo1FQo3h7Z&#10;ZzaafRuyzzb117tCweMwM98wi9XgW3WgPjaBDUwnGSjiKtiGawNvu8fxHFQUZIttYDJwogir5eXF&#10;AgsbjvxKh1JqlSAcCzTgRLpC61g58hgnoSNO3kfoPUqSfa1tj8cE962+zrJce2w4LTjsaO2o+iq/&#10;vYH9p/yIa9f1+35b0s3mOX95iLkxo6vh/g6U0CD/4XP7yRqYZbf5FP7upCu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I4hcyAAAAN4AAAAPAAAAAAAAAAAAAAAAAJgCAABk&#10;cnMvZG93bnJldi54bWxQSwUGAAAAAAQABAD1AAAAjQMAAAAA&#10;" path="m,50292r51816,l51816,,,,,50292xe" filled="f" strokecolor="white" strokeweight="1.56pt">
                  <v:path arrowok="t" textboxrect="0,0,51816,50292"/>
                </v:shape>
                <v:rect id="Rectangle 40762" o:spid="_x0000_s1361" style="position:absolute;left:47451;top:4450;width:4281;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yfscA&#10;AADeAAAADwAAAGRycy9kb3ducmV2LnhtbESPS4vCQBCE74L/YWjBm05WFh/RUURX9Ohjwd1bk2mT&#10;sJmekBlN9Nc7grDHoqq+omaLxhTiRpXLLSv46EcgiBOrc04VfJ82vTEI55E1FpZJwZ0cLObt1gxj&#10;bWs+0O3oUxEg7GJUkHlfxlK6JCODrm9L4uBdbGXQB1mlUldYB7gp5CCKhtJgzmEhw5JWGSV/x6tR&#10;sB2Xy5+dfdRp8fW7Pe/Pk/Vp4pXqdprlFISnxv+H3+2dVvAZjYYD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f8n7HAAAA3gAAAA8AAAAAAAAAAAAAAAAAmAIAAGRy&#10;cy9kb3ducmV2LnhtbFBLBQYAAAAABAAEAPUAAACMAwAAAAA=&#10;" filled="f" stroked="f">
                  <v:textbox inset="0,0,0,0">
                    <w:txbxContent>
                      <w:p w14:paraId="6EBDDBE3" w14:textId="77777777" w:rsidR="0014164F" w:rsidRDefault="0014164F" w:rsidP="00C232D7">
                        <w:r>
                          <w:rPr>
                            <w:rFonts w:ascii="Arial" w:eastAsia="Arial" w:hAnsi="Arial" w:cs="Arial"/>
                            <w:color w:val="595959"/>
                            <w:sz w:val="16"/>
                          </w:rPr>
                          <w:t>Odjeća</w:t>
                        </w:r>
                      </w:p>
                    </w:txbxContent>
                  </v:textbox>
                </v:rect>
                <v:shape id="Shape 922189" o:spid="_x0000_s1362" style="position:absolute;left:46718;top:6747;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fb1cYA&#10;AADfAAAADwAAAGRycy9kb3ducmV2LnhtbESPQWvCQBSE70L/w/IKvenGQEWjq1jB0l6kTQu9PrLP&#10;JDT7dtldk/jvu4LQ4zAz3zCb3Wg60ZMPrWUF81kGgriyuuVawffXcboEESKyxs4yKbhSgN32YbLB&#10;QtuBP6kvYy0ShEOBCpoYXSFlqBoyGGbWESfvbL3BmKSvpfY4JLjpZJ5lC2mw5bTQoKNDQ9VveTEK&#10;PuRzf4iZ2b9cy9fWDT/On/hdqafHcb8GEWmM/+F7+00rWOX5fLmC25/0Be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fb1cYAAADfAAAADwAAAAAAAAAAAAAAAACYAgAAZHJz&#10;L2Rvd25yZXYueG1sUEsFBgAAAAAEAAQA9QAAAIsDAAAAAA==&#10;" path="m,l51816,r,50292l,50292,,e" fillcolor="#ffc000" stroked="f" strokeweight="0">
                  <v:path arrowok="t" textboxrect="0,0,51816,50292"/>
                </v:shape>
                <v:shape id="Shape 40764" o:spid="_x0000_s1363" style="position:absolute;left:46718;top:6747;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QrxMgA&#10;AADeAAAADwAAAGRycy9kb3ducmV2LnhtbESPQUvDQBSE74L/YXlCb3aj1FTSbosWCnpQ2lgovT2y&#10;r9lo9m3IPtvor3cFweMwM98w8+XgW3WiPjaBDdyMM1DEVbAN1wZ2b+vre1BRkC22gcnAF0VYLi4v&#10;5ljYcOYtnUqpVYJwLNCAE+kKrWPlyGMch444ecfQe5Qk+1rbHs8J7lt9m2W59thwWnDY0cpR9VF+&#10;egP7d/kW167qw35T0t3Lc/76GHNjRlfDwwyU0CD/4b/2kzUwyab5BH7vpCugF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VCvEyAAAAN4AAAAPAAAAAAAAAAAAAAAAAJgCAABk&#10;cnMvZG93bnJldi54bWxQSwUGAAAAAAQABAD1AAAAjQMAAAAA&#10;" path="m,50292r51816,l51816,,,,,50292xe" filled="f" strokecolor="white" strokeweight="1.56pt">
                  <v:path arrowok="t" textboxrect="0,0,51816,50292"/>
                </v:shape>
                <v:rect id="Rectangle 40765" o:spid="_x0000_s1364" style="position:absolute;left:47451;top:6401;width:727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CscA&#10;AADeAAAADwAAAGRycy9kb3ducmV2LnhtbESPT2vCQBTE7wW/w/IEb3WjqNXUVcQ/6NFqQb09sq9J&#10;MPs2ZFcT/fRdodDjMDO/YabzxhTiTpXLLSvodSMQxInVOacKvo+b9zEI55E1FpZJwYMczGettynG&#10;2tb8RfeDT0WAsItRQeZ9GUvpkowMuq4tiYP3YyuDPsgqlbrCOsBNIftRNJIGcw4LGZa0zCi5Hm5G&#10;wXZcLs47+6zTYn3Znvanyeo48Up12s3iE4Snxv+H/9o7rWAQfYyG8LoTroC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2agrHAAAA3gAAAA8AAAAAAAAAAAAAAAAAmAIAAGRy&#10;cy9kb3ducmV2LnhtbFBLBQYAAAAABAAEAPUAAACMAwAAAAA=&#10;" filled="f" stroked="f">
                  <v:textbox inset="0,0,0,0">
                    <w:txbxContent>
                      <w:p w14:paraId="75AA5A49" w14:textId="77777777" w:rsidR="0014164F" w:rsidRDefault="0014164F" w:rsidP="00C232D7">
                        <w:r>
                          <w:rPr>
                            <w:rFonts w:ascii="Arial" w:eastAsia="Arial" w:hAnsi="Arial" w:cs="Arial"/>
                            <w:color w:val="595959"/>
                            <w:sz w:val="16"/>
                          </w:rPr>
                          <w:t>Papir/karton</w:t>
                        </w:r>
                      </w:p>
                    </w:txbxContent>
                  </v:textbox>
                </v:rect>
                <v:shape id="Shape 922190" o:spid="_x0000_s1365" style="position:absolute;left:46718;top:8880;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CM8UA&#10;AADfAAAADwAAAGRycy9kb3ducmV2LnhtbESPu27CMBSGdyTewTpIbOCQAUGKiaKqIJYOXBa2o/iQ&#10;RImPU9tA6NPjoVLHX/9N3yYfTCce5HxjWcFinoAgLq1uuFJwOe9mKxA+IGvsLJOCF3nIt+PRBjNt&#10;n3ykxylUIo6wz1BBHUKfSenLmgz6ue2Jo3ezzmCI0lVSO3zGcdPJNEmW0mDD8aHGnj5rKtvT3Sgw&#10;XevS1Zffu8Nw/W5/f6rb2RZKTSdD8QEi0BD+w3/tg1awTtPFOhJEnsgCcvs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C0IzxQAAAN8AAAAPAAAAAAAAAAAAAAAAAJgCAABkcnMv&#10;ZG93bnJldi54bWxQSwUGAAAAAAQABAD1AAAAigMAAAAA&#10;" path="m,l51816,r,50292l,50292,,e" fillcolor="#4472c4" stroked="f" strokeweight="0">
                  <v:path arrowok="t" textboxrect="0,0,51816,50292"/>
                </v:shape>
                <v:shape id="Shape 40767" o:spid="_x0000_s1366" style="position:absolute;left:46718;top:8880;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a1s8gA&#10;AADeAAAADwAAAGRycy9kb3ducmV2LnhtbESPQUvDQBSE74L/YXmCN7tRaippt0ULBT0obSyU3h7Z&#10;12w0+zZkn23017uC0OMwM98ws8XgW3WkPjaBDdyOMlDEVbAN1wa276ubB1BRkC22gcnAN0VYzC8v&#10;ZljYcOINHUupVYJwLNCAE+kKrWPlyGMchY44eYfQe5Qk+1rbHk8J7lt9l2W59thwWnDY0dJR9Vl+&#10;eQO7D/kR1y7r/W5d0v3rS/72FHNjrq+GxykooUHO4f/2szUwzib5BP7upCu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hrWzyAAAAN4AAAAPAAAAAAAAAAAAAAAAAJgCAABk&#10;cnMvZG93bnJldi54bWxQSwUGAAAAAAQABAD1AAAAjQMAAAAA&#10;" path="m,50292r51816,l51816,,,,,50292xe" filled="f" strokecolor="white" strokeweight="1.56pt">
                  <v:path arrowok="t" textboxrect="0,0,51816,50292"/>
                </v:shape>
                <v:rect id="Rectangle 40768" o:spid="_x0000_s1367" style="position:absolute;left:47451;top:8715;width:9018;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fFlMUA&#10;AADeAAAADwAAAGRycy9kb3ducmV2LnhtbERPy2rCQBTdF/yH4Qrd1YmlWBMdRfogWbZJQd1dMtck&#10;mLkTMlMT/frOouDycN7r7WhacaHeNZYVzGcRCOLS6oYrBT/F59MShPPIGlvLpOBKDrabycMaE20H&#10;/qZL7isRQtglqKD2vkukdGVNBt3MdsSBO9neoA+wr6TucQjhppXPUbSQBhsODTV29FZTec5/jYJ0&#10;2e0Omb0NVftxTPdf+/i9iL1Sj9NxtwLhafR38b870wpeotdF2BvuhC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8WUxQAAAN4AAAAPAAAAAAAAAAAAAAAAAJgCAABkcnMv&#10;ZG93bnJldi54bWxQSwUGAAAAAAQABAD1AAAAigMAAAAA&#10;" filled="f" stroked="f">
                  <v:textbox inset="0,0,0,0">
                    <w:txbxContent>
                      <w:p w14:paraId="4C969193" w14:textId="77777777" w:rsidR="0014164F" w:rsidRDefault="0014164F" w:rsidP="00C232D7">
                        <w:r>
                          <w:rPr>
                            <w:rFonts w:ascii="Arial" w:eastAsia="Arial" w:hAnsi="Arial" w:cs="Arial"/>
                            <w:color w:val="595959"/>
                            <w:sz w:val="16"/>
                          </w:rPr>
                          <w:t>Obrađeno drvo</w:t>
                        </w:r>
                      </w:p>
                    </w:txbxContent>
                  </v:textbox>
                </v:rect>
                <v:shape id="Shape 922191" o:spid="_x0000_s1368" style="position:absolute;left:46718;top:11014;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o6FccA&#10;AADfAAAADwAAAGRycy9kb3ducmV2LnhtbESPzWrDMBCE74W+g9hCb41kU0rjRAmh0J9TSeM8wMba&#10;2MbWykiq4+bpq0Agx2FmvmGW68n2YiQfWscaspkCQVw503KtYV++P72CCBHZYO+YNPxRgPXq/m6J&#10;hXEn/qFxF2uRIBwK1NDEOBRShqohi2HmBuLkHZ23GJP0tTQeTwlue5kr9SIttpwWGhzoraGq2/1a&#10;De1ozv7js9p/q26rnqfy3NWHUuvHh2mzABFpirfwtf1lNMzzPJtncPmTvo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jKOhXHAAAA3wAAAA8AAAAAAAAAAAAAAAAAmAIAAGRy&#10;cy9kb3ducmV2LnhtbFBLBQYAAAAABAAEAPUAAACMAwAAAAA=&#10;" path="m,l51816,r,50292l,50292,,e" fillcolor="#70ad47" stroked="f" strokeweight="0">
                  <v:path arrowok="t" textboxrect="0,0,51816,50292"/>
                </v:shape>
                <v:shape id="Shape 40770" o:spid="_x0000_s1369" style="position:absolute;left:46718;top:11014;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a7GscA&#10;AADeAAAADwAAAGRycy9kb3ducmV2LnhtbESPTUvDQBCG74L/YRnBm91YNC1pt0ULBT0oGgultyE7&#10;zaZmZ0N2bGN/ffcgeHx5v3jmy8G36kh9bAIbuB9loIirYBuuDWy+1ndTUFGQLbaBycAvRVgurq/m&#10;WNhw4k86llKrNMKxQANOpCu0jpUjj3EUOuLk7UPvUZLsa217PKVx3+pxluXaY8PpwWFHK0fVd/nj&#10;DWwPchbXrurd9qOkx7fX/P055sbc3gxPM1BCg/yH/9ov1sBDNpkkgISTUEAv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2uxrHAAAA3gAAAA8AAAAAAAAAAAAAAAAAmAIAAGRy&#10;cy9kb3ducmV2LnhtbFBLBQYAAAAABAAEAPUAAACMAwAAAAA=&#10;" path="m,50292r51816,l51816,,,,,50292xe" filled="f" strokecolor="white" strokeweight="1.56pt">
                  <v:path arrowok="t" textboxrect="0,0,51816,50292"/>
                </v:shape>
                <v:rect id="Rectangle 40771" o:spid="_x0000_s1370" style="position:absolute;left:47451;top:10664;width:3301;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T61MgA&#10;AADeAAAADwAAAGRycy9kb3ducmV2LnhtbESPQWvCQBSE7wX/w/IKvdWNRWqMriLWYo41EWxvj+wz&#10;Cc2+DdmtSfvrXaHgcZiZb5jlejCNuFDnassKJuMIBHFhdc2lgmP+/hyDcB5ZY2OZFPySg/Vq9LDE&#10;RNueD3TJfCkChF2CCirv20RKV1Rk0I1tSxy8s+0M+iC7UuoO+wA3jXyJoldpsOawUGFL24qK7+zH&#10;KNjH7eYztX992ey+9qeP0/wtn3ulnh6HzQKEp8Hfw//tVCuYRrPZBG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FPrUyAAAAN4AAAAPAAAAAAAAAAAAAAAAAJgCAABk&#10;cnMvZG93bnJldi54bWxQSwUGAAAAAAQABAD1AAAAjQMAAAAA&#10;" filled="f" stroked="f">
                  <v:textbox inset="0,0,0,0">
                    <w:txbxContent>
                      <w:p w14:paraId="1D1C6154" w14:textId="77777777" w:rsidR="0014164F" w:rsidRDefault="0014164F" w:rsidP="00C232D7">
                        <w:r>
                          <w:rPr>
                            <w:rFonts w:ascii="Arial" w:eastAsia="Arial" w:hAnsi="Arial" w:cs="Arial"/>
                            <w:color w:val="595959"/>
                            <w:sz w:val="16"/>
                          </w:rPr>
                          <w:t>Metal</w:t>
                        </w:r>
                      </w:p>
                    </w:txbxContent>
                  </v:textbox>
                </v:rect>
                <v:shape id="Shape 922192" o:spid="_x0000_s1371" style="position:absolute;left:46718;top:13148;width:518;height:502;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vzcYA&#10;AADfAAAADwAAAGRycy9kb3ducmV2LnhtbESP3WoCMRCF7wt9hzAF72rWSItujSKi4EWhdPUBxs3s&#10;D91M1k1017c3BcHLw/n5OIvVYBtxpc7XjjVMxgkI4tyZmksNx8PufQbCB2SDjWPScCMPq+XrywJT&#10;43r+pWsWShFH2KeooQqhTaX0eUUW/di1xNErXGcxRNmV0nTYx3HbSJUkn9JizZFQYUubivK/7GIj&#10;tzjMPr5PyXG3nZ4x64efJlOF1qO3Yf0FItAQnuFHe280zJWazBX8/4lf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XvzcYAAADfAAAADwAAAAAAAAAAAAAAAACYAgAAZHJz&#10;L2Rvd25yZXYueG1sUEsFBgAAAAAEAAQA9QAAAIsDAAAAAA==&#10;" path="m,l51816,r,50292l,50292,,e" fillcolor="#255e91" stroked="f" strokeweight="0">
                  <v:path arrowok="t" textboxrect="0,0,51816,50292"/>
                </v:shape>
                <v:shape id="Shape 40773" o:spid="_x0000_s1372" style="position:absolute;left:46718;top:13148;width:518;height:502;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QlbcgA&#10;AADeAAAADwAAAGRycy9kb3ducmV2LnhtbESPQUvDQBSE74L/YXlCb3ZTq6mk3RZbKOhB0SiU3h7Z&#10;12w0+zZkn23017uC4HGYmW+YxWrwrTpSH5vABibjDBRxFWzDtYG31+3lLagoyBbbwGTgiyKsludn&#10;CyxsOPELHUupVYJwLNCAE+kKrWPlyGMch444eYfQe5Qk+1rbHk8J7lt9lWW59thwWnDY0cZR9VF+&#10;egO7d/kW127q/e65pJvHh/xpHXNjRhfD3RyU0CD/4b/2vTVwnc1mU/i9k66AX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ZCVtyAAAAN4AAAAPAAAAAAAAAAAAAAAAAJgCAABk&#10;cnMvZG93bnJldi54bWxQSwUGAAAAAAQABAD1AAAAjQMAAAAA&#10;" path="m,50292r51816,l51816,,,,,50292xe" filled="f" strokecolor="white" strokeweight="1.56pt">
                  <v:path arrowok="t" textboxrect="0,0,51816,50292"/>
                </v:shape>
                <v:rect id="Rectangle 40774" o:spid="_x0000_s1373" style="position:absolute;left:47451;top:12798;width:375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NZTMgA&#10;AADeAAAADwAAAGRycy9kb3ducmV2LnhtbESPQWvCQBSE7wX/w/KE3uqmIlWjq4htSY41Cra3R/aZ&#10;hGbfhuw2SfvrXaHgcZiZb5j1djC16Kh1lWUFz5MIBHFudcWFgtPx/WkBwnlkjbVlUvBLDrab0cMa&#10;Y217PlCX+UIECLsYFZTeN7GULi/JoJvYhjh4F9sa9EG2hdQt9gFuajmNohdpsOKwUGJD+5Ly7+zH&#10;KEgWze4ztX99Ub99JeeP8/L1uPRKPY6H3QqEp8Hfw//tVCuYRfP5DG53whWQm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Y1lMyAAAAN4AAAAPAAAAAAAAAAAAAAAAAJgCAABk&#10;cnMvZG93bnJldi54bWxQSwUGAAAAAAQABAD1AAAAjQMAAAAA&#10;" filled="f" stroked="f">
                  <v:textbox inset="0,0,0,0">
                    <w:txbxContent>
                      <w:p w14:paraId="6550CB16" w14:textId="77777777" w:rsidR="0014164F" w:rsidRDefault="0014164F" w:rsidP="00C232D7">
                        <w:r>
                          <w:rPr>
                            <w:rFonts w:ascii="Arial" w:eastAsia="Arial" w:hAnsi="Arial" w:cs="Arial"/>
                            <w:color w:val="595959"/>
                            <w:sz w:val="16"/>
                          </w:rPr>
                          <w:t>Staklo</w:t>
                        </w:r>
                      </w:p>
                    </w:txbxContent>
                  </v:textbox>
                </v:rect>
                <v:shape id="Shape 922193" o:spid="_x0000_s1374" style="position:absolute;left:46718;top:15266;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mEv8kA&#10;AADfAAAADwAAAGRycy9kb3ducmV2LnhtbESPQWvCQBSE7wX/w/IEL6VuTEuoqasUoWirh5oWSm+P&#10;7DMJZt+G3VXjv3cLBY/DzHzDzBa9acWJnG8sK5iMExDEpdUNVwq+v94enkH4gKyxtUwKLuRhMR/c&#10;zTDX9sw7OhWhEhHCPkcFdQhdLqUvazLox7Yjjt7eOoMhSldJ7fAc4aaVaZJk0mDDcaHGjpY1lYfi&#10;aBSY95/t528Syl3mVk/3Wbr8sJtCqdGwf30BEagPt/B/e60VTNN0Mn2Evz/xC8j5F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Z2mEv8kAAADfAAAADwAAAAAAAAAAAAAAAACYAgAA&#10;ZHJzL2Rvd25yZXYueG1sUEsFBgAAAAAEAAQA9QAAAI4DAAAAAA==&#10;" path="m,l51816,r,51816l,51816,,e" fillcolor="#9e480e" stroked="f" strokeweight="0">
                  <v:path arrowok="t" textboxrect="0,0,51816,51816"/>
                </v:shape>
                <v:shape id="Shape 40776" o:spid="_x0000_s1375" style="position:absolute;left:46718;top:15266;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CRnccA&#10;AADeAAAADwAAAGRycy9kb3ducmV2LnhtbESPQU8CMRSE7yb+h+aZcJNW0QVWCtFNiB64iBzk9rJ9&#10;bDduXzdtgcVfb01MPE5m5pvMYjW4TpwoxNazhruxAkFce9Nyo2H3sb6dgYgJ2WDnmTRcKMJqeX21&#10;wNL4M7/TaZsakSEcS9RgU+pLKWNtyWEc+544ewcfHKYsQyNNwHOGu07eK1VIhy3nBYs9VZbqr+3R&#10;aSg2dvYd3Gc1qS40p1e1f9y97LUe3QzPTyASDek//Nd+Mxoe1HRawO+dfAX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gkZ3HAAAA3gAAAA8AAAAAAAAAAAAAAAAAmAIAAGRy&#10;cy9kb3ducmV2LnhtbFBLBQYAAAAABAAEAPUAAACMAwAAAAA=&#10;" path="m,51816r51816,l51816,,,,,51816xe" filled="f" strokecolor="white" strokeweight="1.56pt">
                  <v:path arrowok="t" textboxrect="0,0,51816,51816"/>
                </v:shape>
                <v:rect id="Rectangle 40777" o:spid="_x0000_s1376" style="position:absolute;left:47451;top:14931;width:571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HHO8cA&#10;AADeAAAADwAAAGRycy9kb3ducmV2LnhtbESPQWvCQBSE7wX/w/KE3pqNIk2MriJq0WOrQvT2yL4m&#10;odm3Ibs1aX99t1DocZiZb5jlejCNuFPnassKJlEMgriwuuZSweX88pSCcB5ZY2OZFHyRg/Vq9LDE&#10;TNue3+h+8qUIEHYZKqi8bzMpXVGRQRfZljh477Yz6IPsSqk77APcNHIax8/SYM1hocKWthUVH6dP&#10;o+CQtpvr0X73ZbO/HfLXfL47z71Sj+NhswDhafD/4b/2USuYxUmSwO+dc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xxzvHAAAA3gAAAA8AAAAAAAAAAAAAAAAAmAIAAGRy&#10;cy9kb3ducmV2LnhtbFBLBQYAAAAABAAEAPUAAACMAwAAAAA=&#10;" filled="f" stroked="f">
                  <v:textbox inset="0,0,0,0">
                    <w:txbxContent>
                      <w:p w14:paraId="7EFB9859" w14:textId="77777777" w:rsidR="0014164F" w:rsidRDefault="0014164F" w:rsidP="00C232D7">
                        <w:r>
                          <w:rPr>
                            <w:rFonts w:ascii="Arial" w:eastAsia="Arial" w:hAnsi="Arial" w:cs="Arial"/>
                            <w:color w:val="595959"/>
                            <w:sz w:val="16"/>
                          </w:rPr>
                          <w:t>Keramika</w:t>
                        </w:r>
                      </w:p>
                    </w:txbxContent>
                  </v:textbox>
                </v:rect>
                <v:shape id="Shape 922194" o:spid="_x0000_s1377" style="position:absolute;left:46718;top:17400;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wX8kA&#10;AADfAAAADwAAAGRycy9kb3ducmV2LnhtbESPUU/CMBSF3038D8018U06Fl1gUIghGo0+COgPuKyX&#10;ddLeLmsZ499TEhMfT84538mZLwdnRU9daDwrGI8yEMSV1w3XCn6+Xx8mIEJE1mg9k4IzBVgubm/m&#10;WGp/4g3121iLBOFQogITY1tKGSpDDsPIt8TJ2/vOYUyyq6Xu8JTgzso8ywrpsOG0YLCllaHqsD06&#10;BYev3ZM79h9vq19ztrYoduvNy6dS93fD8wxEpCH+h//a71rBNM/H00e4/klfQC4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T/wX8kAAADfAAAADwAAAAAAAAAAAAAAAACYAgAA&#10;ZHJzL2Rvd25yZXYueG1sUEsFBgAAAAAEAAQA9QAAAI4DAAAAAA==&#10;" path="m,l51816,r,51816l,51816,,e" fillcolor="#636363" stroked="f" strokeweight="0">
                  <v:path arrowok="t" textboxrect="0,0,51816,51816"/>
                </v:shape>
                <v:shape id="Shape 40779" o:spid="_x0000_s1378" style="position:absolute;left:46718;top:17400;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8F78gA&#10;AADeAAAADwAAAGRycy9kb3ducmV2LnhtbESPzUsDMRTE74L/Q3iCN5uotR9r06ILUg+99ONgb4/N&#10;c7O4eVmS2G771zeC0OMwM79hZoveteJAITaeNTwOFAjiypuGaw277cfDBERMyAZbz6ThRBEW89ub&#10;GRbGH3lNh02qRYZwLFCDTakrpIyVJYdx4Dvi7H374DBlGWppAh4z3LXySamRdNhwXrDYUWmp+tn8&#10;Og2jlZ2cg/sqn8sTTWmp9i+7973W93f92yuIRH26hv/bn0bDUI3HU/i7k6+An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fwXvyAAAAN4AAAAPAAAAAAAAAAAAAAAAAJgCAABk&#10;cnMvZG93bnJldi54bWxQSwUGAAAAAAQABAD1AAAAjQMAAAAA&#10;" path="m,51816r51816,l51816,,,,,51816xe" filled="f" strokecolor="white" strokeweight="1.56pt">
                  <v:path arrowok="t" textboxrect="0,0,51816,51816"/>
                </v:shape>
                <v:rect id="Rectangle 40780" o:spid="_x0000_s1379" style="position:absolute;left:47451;top:17062;width:908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0vaMYA&#10;AADeAAAADwAAAGRycy9kb3ducmV2LnhtbESPzWrCQBSF9wXfYbhCd3ViERtTRxGrJEubCNrdJXOb&#10;hGbuhMzUpH16Z1Ho8nD++Nbb0bTiRr1rLCuYzyIQxKXVDVcKzsXxKQbhPLLG1jIp+CEH283kYY2J&#10;tgO/0y33lQgj7BJUUHvfJVK6siaDbmY74uB92t6gD7KvpO5xCOOmlc9RtJQGGw4PNXa0r6n8yr+N&#10;gjTudtfM/g5Ve/hIL6fL6q1YeaUep+PuFYSn0f+H/9qZVrCIXuIAEHACCsjN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40vaMYAAADeAAAADwAAAAAAAAAAAAAAAACYAgAAZHJz&#10;L2Rvd25yZXYueG1sUEsFBgAAAAAEAAQA9QAAAIsDAAAAAA==&#10;" filled="f" stroked="f">
                  <v:textbox inset="0,0,0,0">
                    <w:txbxContent>
                      <w:p w14:paraId="342DF27D" w14:textId="77777777" w:rsidR="0014164F" w:rsidRDefault="0014164F" w:rsidP="00C232D7">
                        <w:r>
                          <w:rPr>
                            <w:rFonts w:ascii="Arial" w:eastAsia="Arial" w:hAnsi="Arial" w:cs="Arial"/>
                            <w:color w:val="595959"/>
                            <w:sz w:val="16"/>
                          </w:rPr>
                          <w:t>Sanitarni otpad</w:t>
                        </w:r>
                      </w:p>
                    </w:txbxContent>
                  </v:textbox>
                </v:rect>
                <v:shape id="Shape 922195" o:spid="_x0000_s1380" style="position:absolute;left:46718;top:19533;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PNgcgA&#10;AADfAAAADwAAAGRycy9kb3ducmV2LnhtbESP3WrCQBSE74W+w3IEb0rdJFDR6EZKoEUp1J/2AU6z&#10;Jz8kezZkV03fvlsoeDnMzDfMZjuaTlxpcI1lBfE8AkFcWN1wpeDr8/VpCcJ5ZI2dZVLwQw622cNk&#10;g6m2Nz7R9ewrESDsUlRQe9+nUrqiJoNubnvi4JV2MOiDHCqpB7wFuOlkEkULabDhsFBjT3lNRXu+&#10;GAUfhE180PHisRzz8u24f89b/lZqNh1f1iA8jf4e/m/vtIJVksSrZ/j7E76AzH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E82ByAAAAN8AAAAPAAAAAAAAAAAAAAAAAJgCAABk&#10;cnMvZG93bnJldi54bWxQSwUGAAAAAAQABAD1AAAAjQMAAAAA&#10;" path="m,l51816,r,51816l,51816,,e" fillcolor="#997300" stroked="f" strokeweight="0">
                  <v:path arrowok="t" textboxrect="0,0,51816,51816"/>
                </v:shape>
                <v:shape id="Shape 40782" o:spid="_x0000_s1381" style="position:absolute;left:46718;top:19533;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7nuccA&#10;AADeAAAADwAAAGRycy9kb3ducmV2LnhtbESPQU8CMRSE7yb8h+aReJNWVFxWCtFNDB64iBzg9rJ9&#10;bjduXzdthcVfT01MPE5m5pvMYjW4ThwpxNazhtuJAkFce9Nyo2H38XpTgIgJ2WDnmTScKcJqObpa&#10;YGn8id/puE2NyBCOJWqwKfWllLG25DBOfE+cvU8fHKYsQyNNwFOGu05OlZpJhy3nBYs9VZbqr+23&#10;0zDb2OInuH11V51pTmt1eNi9HLS+Hg/PTyASDek//Nd+Mxru1WMxhd87+QrI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O57nHAAAA3gAAAA8AAAAAAAAAAAAAAAAAmAIAAGRy&#10;cy9kb3ducmV2LnhtbFBLBQYAAAAABAAEAPUAAACMAwAAAAA=&#10;" path="m,51816r51816,l51816,,,,,51816xe" filled="f" strokecolor="white" strokeweight="1.56pt">
                  <v:path arrowok="t" textboxrect="0,0,51816,51816"/>
                </v:shape>
                <v:rect id="Rectangle 40783" o:spid="_x0000_s1382" style="position:absolute;left:47451;top:19196;width:6301;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xH8cA&#10;AADeAAAADwAAAGRycy9kb3ducmV2LnhtbESPQWvCQBSE70L/w/IKvelGW2yMriKtRY+tCurtkX0m&#10;wezbkF1N9Ne7gtDjMDPfMJNZa0pxodoVlhX0exEI4tTqgjMF281PNwbhPLLG0jIpuJKD2fSlM8FE&#10;24b/6LL2mQgQdgkqyL2vEildmpNB17MVcfCOtjbog6wzqWtsAtyUchBFQ2mw4LCQY0VfOaWn9dko&#10;WMbVfL+ytyYrF4fl7nc3+t6MvFJvr+18DMJT6//Dz/ZKK/iIPuN3eNwJV0B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fsR/HAAAA3gAAAA8AAAAAAAAAAAAAAAAAmAIAAGRy&#10;cy9kb3ducmV2LnhtbFBLBQYAAAAABAAEAPUAAACMAwAAAAA=&#10;" filled="f" stroked="f">
                  <v:textbox inset="0,0,0,0">
                    <w:txbxContent>
                      <w:p w14:paraId="17FD2554" w14:textId="77777777" w:rsidR="0014164F" w:rsidRDefault="0014164F" w:rsidP="00C232D7">
                        <w:r>
                          <w:rPr>
                            <w:rFonts w:ascii="Arial" w:eastAsia="Arial" w:hAnsi="Arial" w:cs="Arial"/>
                            <w:color w:val="595959"/>
                            <w:sz w:val="16"/>
                          </w:rPr>
                          <w:t>Medicinski</w:t>
                        </w:r>
                      </w:p>
                    </w:txbxContent>
                  </v:textbox>
                </v:rect>
                <v:rect id="Rectangle 40784" o:spid="_x0000_s1383" style="position:absolute;left:47451;top:20363;width:338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Ypa8gA&#10;AADeAAAADwAAAGRycy9kb3ducmV2LnhtbESPT2vCQBTE7wW/w/IK3ppNRWyMriL+QY9tLKTeHtnX&#10;JDT7NmRXE/vpu4VCj8PM/IZZrgfTiBt1rras4DmKQRAXVtdcKng/H54SEM4ja2wsk4I7OVivRg9L&#10;TLXt+Y1umS9FgLBLUUHlfZtK6YqKDLrItsTB+7SdQR9kV0rdYR/gppGTOJ5JgzWHhQpb2lZUfGVX&#10;o+CYtJuPk/3uy2Z/Oeav+Xx3nnulxo/DZgHC0+D/w3/tk1YwjV+SKfzeCVdAr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tilryAAAAN4AAAAPAAAAAAAAAAAAAAAAAJgCAABk&#10;cnMvZG93bnJldi54bWxQSwUGAAAAAAQABAD1AAAAjQMAAAAA&#10;" filled="f" stroked="f">
                  <v:textbox inset="0,0,0,0">
                    <w:txbxContent>
                      <w:p w14:paraId="0C39B232" w14:textId="77777777" w:rsidR="0014164F" w:rsidRDefault="0014164F" w:rsidP="00C232D7">
                        <w:r>
                          <w:rPr>
                            <w:rFonts w:ascii="Arial" w:eastAsia="Arial" w:hAnsi="Arial" w:cs="Arial"/>
                            <w:color w:val="595959"/>
                            <w:sz w:val="16"/>
                          </w:rPr>
                          <w:t>otpad</w:t>
                        </w:r>
                      </w:p>
                    </w:txbxContent>
                  </v:textbox>
                </v:rect>
                <v:shape id="Shape 922196" o:spid="_x0000_s1384" style="position:absolute;left:46718;top:21667;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PtQscA&#10;AADfAAAADwAAAGRycy9kb3ducmV2LnhtbESPQWvCQBSE7wX/w/IEb3VjEGmiq4igeJBCtIceH9ln&#10;Nm32bchuNPrru4VCj8PMfMOsNoNtxI06XztWMJsmIIhLp2uuFHxc9q9vIHxA1tg4JgUP8rBZj15W&#10;mGt354Ju51CJCGGfowITQptL6UtDFv3UtcTRu7rOYoiyq6Tu8B7htpFpkiykxZrjgsGWdobK73Nv&#10;FZy+npf3wyl1PC8Kk9U99Z9zUmoyHrZLEIGG8B/+ax+1gixNZ9kCfv/ELyD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Kz7ULHAAAA3wAAAA8AAAAAAAAAAAAAAAAAmAIAAGRy&#10;cy9kb3ducmV2LnhtbFBLBQYAAAAABAAEAPUAAACMAwAAAAA=&#10;" path="m,l51816,r,51816l,51816,,e" fillcolor="#264478" stroked="f" strokeweight="0">
                  <v:path arrowok="t" textboxrect="0,0,51816,51816"/>
                </v:shape>
                <v:shape id="Shape 40786" o:spid="_x0000_s1385" style="position:absolute;left:46718;top:21667;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XhusgA&#10;AADeAAAADwAAAGRycy9kb3ducmV2LnhtbESPzU7DMBCE70i8g7VI3KjNX0jTuhVEQuXAhdIDva3i&#10;bRw1Xke2aVOevkZC4jiamW808+XoenGgEDvPGm4nCgRx403HrYbN5+tNCSImZIO9Z9JwogjLxeXF&#10;HCvjj/xBh3VqRYZwrFCDTWmopIyNJYdx4gfi7O18cJiyDK00AY8Z7np5p1QhHXacFywOVFtq9utv&#10;p6F4t+VPcF/1fX2iKa3U9nHzstX6+mp8noFINKb/8F/7zWh4UE9lAb938hWQi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NeG6yAAAAN4AAAAPAAAAAAAAAAAAAAAAAJgCAABk&#10;cnMvZG93bnJldi54bWxQSwUGAAAAAAQABAD1AAAAjQMAAAAA&#10;" path="m,51816r51816,l51816,,,,,51816xe" filled="f" strokecolor="white" strokeweight="1.56pt">
                  <v:path arrowok="t" textboxrect="0,0,51816,51816"/>
                </v:shape>
                <v:rect id="Rectangle 40787" o:spid="_x0000_s1386" style="position:absolute;left:47451;top:21327;width:8194;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S3HMcA&#10;AADeAAAADwAAAGRycy9kb3ducmV2LnhtbESPQWvCQBSE74L/YXlCb2ZjkRqjq4i16NGqEL09sq9J&#10;aPZtyG5N2l/fLQg9DjPzDbNc96YWd2pdZVnBJIpBEOdWV1wouJzfxgkI55E11pZJwTc5WK+GgyWm&#10;2nb8TveTL0SAsEtRQel9k0rp8pIMusg2xMH7sK1BH2RbSN1iF+Cmls9x/CINVhwWSmxoW1L+efoy&#10;CvZJs7ke7E9X1LvbPjtm89fz3Cv1NOo3CxCeev8ffrQPWsE0niUz+LsTroBc/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ktxzHAAAA3gAAAA8AAAAAAAAAAAAAAAAAmAIAAGRy&#10;cy9kb3ducmV2LnhtbFBLBQYAAAAABAAEAPUAAACMAwAAAAA=&#10;" filled="f" stroked="f">
                  <v:textbox inset="0,0,0,0">
                    <w:txbxContent>
                      <w:p w14:paraId="7030177B" w14:textId="77777777" w:rsidR="0014164F" w:rsidRDefault="0014164F" w:rsidP="00C232D7">
                        <w:r>
                          <w:rPr>
                            <w:rFonts w:ascii="Arial" w:eastAsia="Arial" w:hAnsi="Arial" w:cs="Arial"/>
                            <w:color w:val="595959"/>
                            <w:sz w:val="16"/>
                          </w:rPr>
                          <w:t>Parafin/vosak</w:t>
                        </w:r>
                      </w:p>
                    </w:txbxContent>
                  </v:textbox>
                </v:rect>
                <w10:anchorlock/>
              </v:group>
            </w:pict>
          </mc:Fallback>
        </mc:AlternateContent>
      </w:r>
    </w:p>
    <w:p w14:paraId="49EDF6CB" w14:textId="77777777" w:rsidR="00C232D7" w:rsidRPr="002A6F4E" w:rsidRDefault="00C232D7" w:rsidP="00C232D7">
      <w:pPr>
        <w:rPr>
          <w:rFonts w:ascii="Arial" w:hAnsi="Arial" w:cs="Arial"/>
        </w:rPr>
      </w:pPr>
      <w:r w:rsidRPr="002A6F4E">
        <w:rPr>
          <w:rFonts w:ascii="Arial" w:hAnsi="Arial" w:cs="Arial"/>
        </w:rPr>
        <w:t xml:space="preserve">  </w:t>
      </w:r>
    </w:p>
    <w:p w14:paraId="49219F50" w14:textId="77777777" w:rsidR="00C232D7" w:rsidRPr="002A6F4E" w:rsidRDefault="00C232D7" w:rsidP="00C232D7">
      <w:pPr>
        <w:rPr>
          <w:rFonts w:ascii="Arial" w:hAnsi="Arial" w:cs="Arial"/>
        </w:rPr>
      </w:pPr>
      <w:r w:rsidRPr="002A6F4E">
        <w:rPr>
          <w:rFonts w:ascii="Arial" w:hAnsi="Arial" w:cs="Arial"/>
        </w:rPr>
        <w:t xml:space="preserve"> </w:t>
      </w:r>
    </w:p>
    <w:p w14:paraId="29E9AA8A" w14:textId="4938AF68" w:rsidR="00C232D7" w:rsidRPr="00C92E31" w:rsidRDefault="005E7A97" w:rsidP="005E7A97">
      <w:pPr>
        <w:pStyle w:val="Caption"/>
        <w:rPr>
          <w:rFonts w:ascii="Arial" w:hAnsi="Arial" w:cs="Arial"/>
          <w:b w:val="0"/>
        </w:rPr>
      </w:pPr>
      <w:bookmarkStart w:id="783" w:name="_Toc190160839"/>
      <w:r w:rsidRPr="00C92E31">
        <w:rPr>
          <w:rFonts w:ascii="Arial" w:hAnsi="Arial" w:cs="Arial"/>
          <w:b w:val="0"/>
        </w:rPr>
        <w:t xml:space="preserve">Slika </w:t>
      </w:r>
      <w:r w:rsidRPr="00C92E31">
        <w:rPr>
          <w:rFonts w:ascii="Arial" w:hAnsi="Arial" w:cs="Arial"/>
          <w:b w:val="0"/>
        </w:rPr>
        <w:fldChar w:fldCharType="begin"/>
      </w:r>
      <w:r w:rsidRPr="00C92E31">
        <w:rPr>
          <w:rFonts w:ascii="Arial" w:hAnsi="Arial" w:cs="Arial"/>
          <w:b w:val="0"/>
        </w:rPr>
        <w:instrText xml:space="preserve"> SEQ Slika \* ARABIC </w:instrText>
      </w:r>
      <w:r w:rsidRPr="00C92E31">
        <w:rPr>
          <w:rFonts w:ascii="Arial" w:hAnsi="Arial" w:cs="Arial"/>
          <w:b w:val="0"/>
        </w:rPr>
        <w:fldChar w:fldCharType="separate"/>
      </w:r>
      <w:r w:rsidR="008C782A">
        <w:rPr>
          <w:rFonts w:ascii="Arial" w:hAnsi="Arial" w:cs="Arial"/>
          <w:b w:val="0"/>
          <w:noProof/>
        </w:rPr>
        <w:t>6</w:t>
      </w:r>
      <w:r w:rsidRPr="00C92E31">
        <w:rPr>
          <w:rFonts w:ascii="Arial" w:hAnsi="Arial" w:cs="Arial"/>
          <w:b w:val="0"/>
        </w:rPr>
        <w:fldChar w:fldCharType="end"/>
      </w:r>
      <w:r w:rsidRPr="00C92E31">
        <w:rPr>
          <w:rFonts w:ascii="Arial" w:hAnsi="Arial" w:cs="Arial"/>
          <w:b w:val="0"/>
        </w:rPr>
        <w:t xml:space="preserve"> </w:t>
      </w:r>
      <w:r w:rsidR="00C232D7" w:rsidRPr="00C92E31">
        <w:rPr>
          <w:rFonts w:ascii="Arial" w:hAnsi="Arial" w:cs="Arial"/>
          <w:b w:val="0"/>
        </w:rPr>
        <w:t>Procentualna zastupljenost svih glavnih kategorija otpada na transektu dužine 100 m na Plaži Jaz (na osnovu broja komada i težine sakupljenog otpada)</w:t>
      </w:r>
      <w:bookmarkEnd w:id="783"/>
      <w:r w:rsidR="00C232D7" w:rsidRPr="00C92E31">
        <w:rPr>
          <w:rFonts w:ascii="Arial" w:hAnsi="Arial" w:cs="Arial"/>
          <w:b w:val="0"/>
        </w:rPr>
        <w:t xml:space="preserve"> </w:t>
      </w:r>
    </w:p>
    <w:p w14:paraId="044027E2" w14:textId="77777777" w:rsidR="00C232D7" w:rsidRPr="002A6F4E" w:rsidRDefault="00C232D7" w:rsidP="00C232D7">
      <w:pPr>
        <w:rPr>
          <w:rFonts w:ascii="Arial" w:hAnsi="Arial" w:cs="Arial"/>
        </w:rPr>
      </w:pPr>
      <w:r w:rsidRPr="002A6F4E">
        <w:rPr>
          <w:rFonts w:ascii="Arial" w:hAnsi="Arial" w:cs="Arial"/>
          <w:i/>
        </w:rPr>
        <w:t xml:space="preserve"> </w:t>
      </w:r>
    </w:p>
    <w:p w14:paraId="2C46C1F9" w14:textId="77777777" w:rsidR="00C232D7" w:rsidRPr="002A6F4E" w:rsidRDefault="00C232D7" w:rsidP="00C232D7">
      <w:pPr>
        <w:rPr>
          <w:rFonts w:ascii="Arial" w:hAnsi="Arial" w:cs="Arial"/>
        </w:rPr>
      </w:pPr>
      <w:r w:rsidRPr="002A6F4E">
        <w:rPr>
          <w:rFonts w:ascii="Arial" w:hAnsi="Arial" w:cs="Arial"/>
          <w:noProof/>
          <w:lang w:val="en-US"/>
        </w:rPr>
        <mc:AlternateContent>
          <mc:Choice Requires="wpg">
            <w:drawing>
              <wp:inline distT="0" distB="0" distL="0" distR="0" wp14:anchorId="01128F42" wp14:editId="400E7EFD">
                <wp:extent cx="5480872" cy="2481305"/>
                <wp:effectExtent l="0" t="0" r="0" b="0"/>
                <wp:docPr id="895833" name="Group 895833"/>
                <wp:cNvGraphicFramePr/>
                <a:graphic xmlns:a="http://schemas.openxmlformats.org/drawingml/2006/main">
                  <a:graphicData uri="http://schemas.microsoft.com/office/word/2010/wordprocessingGroup">
                    <wpg:wgp>
                      <wpg:cNvGrpSpPr/>
                      <wpg:grpSpPr>
                        <a:xfrm>
                          <a:off x="0" y="0"/>
                          <a:ext cx="5480872" cy="2481305"/>
                          <a:chOff x="0" y="0"/>
                          <a:chExt cx="5480872" cy="2481305"/>
                        </a:xfrm>
                      </wpg:grpSpPr>
                      <wps:wsp>
                        <wps:cNvPr id="40925" name="Shape 40925"/>
                        <wps:cNvSpPr/>
                        <wps:spPr>
                          <a:xfrm>
                            <a:off x="202375" y="575437"/>
                            <a:ext cx="1234986" cy="1235963"/>
                          </a:xfrm>
                          <a:custGeom>
                            <a:avLst/>
                            <a:gdLst/>
                            <a:ahLst/>
                            <a:cxnLst/>
                            <a:rect l="0" t="0" r="0" b="0"/>
                            <a:pathLst>
                              <a:path w="1234986" h="1235963">
                                <a:moveTo>
                                  <a:pt x="616877" y="0"/>
                                </a:moveTo>
                                <a:cubicBezTo>
                                  <a:pt x="958253" y="0"/>
                                  <a:pt x="1234986" y="276733"/>
                                  <a:pt x="1234986" y="617982"/>
                                </a:cubicBezTo>
                                <a:cubicBezTo>
                                  <a:pt x="1234986" y="959231"/>
                                  <a:pt x="958253" y="1235963"/>
                                  <a:pt x="616877" y="1235963"/>
                                </a:cubicBezTo>
                                <a:cubicBezTo>
                                  <a:pt x="289725" y="1235963"/>
                                  <a:pt x="19177" y="980821"/>
                                  <a:pt x="0" y="654176"/>
                                </a:cubicBezTo>
                                <a:lnTo>
                                  <a:pt x="616877" y="617982"/>
                                </a:lnTo>
                                <a:lnTo>
                                  <a:pt x="616877"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40926" name="Shape 40926"/>
                        <wps:cNvSpPr/>
                        <wps:spPr>
                          <a:xfrm>
                            <a:off x="202375" y="575437"/>
                            <a:ext cx="1234986" cy="1235963"/>
                          </a:xfrm>
                          <a:custGeom>
                            <a:avLst/>
                            <a:gdLst/>
                            <a:ahLst/>
                            <a:cxnLst/>
                            <a:rect l="0" t="0" r="0" b="0"/>
                            <a:pathLst>
                              <a:path w="1234986" h="1235963">
                                <a:moveTo>
                                  <a:pt x="616877" y="0"/>
                                </a:moveTo>
                                <a:cubicBezTo>
                                  <a:pt x="958253" y="0"/>
                                  <a:pt x="1234986" y="276733"/>
                                  <a:pt x="1234986" y="617982"/>
                                </a:cubicBezTo>
                                <a:cubicBezTo>
                                  <a:pt x="1234986" y="959231"/>
                                  <a:pt x="958253" y="1235963"/>
                                  <a:pt x="616877" y="1235963"/>
                                </a:cubicBezTo>
                                <a:cubicBezTo>
                                  <a:pt x="289725" y="1235963"/>
                                  <a:pt x="19177" y="980821"/>
                                  <a:pt x="0" y="654176"/>
                                </a:cubicBezTo>
                                <a:lnTo>
                                  <a:pt x="616877" y="61798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27" name="Shape 40927"/>
                        <wps:cNvSpPr/>
                        <wps:spPr>
                          <a:xfrm>
                            <a:off x="201333" y="1193419"/>
                            <a:ext cx="617919" cy="36195"/>
                          </a:xfrm>
                          <a:custGeom>
                            <a:avLst/>
                            <a:gdLst/>
                            <a:ahLst/>
                            <a:cxnLst/>
                            <a:rect l="0" t="0" r="0" b="0"/>
                            <a:pathLst>
                              <a:path w="617919" h="36195">
                                <a:moveTo>
                                  <a:pt x="617919" y="0"/>
                                </a:moveTo>
                                <a:lnTo>
                                  <a:pt x="1041" y="36195"/>
                                </a:lnTo>
                                <a:cubicBezTo>
                                  <a:pt x="444" y="26035"/>
                                  <a:pt x="89" y="15875"/>
                                  <a:pt x="0" y="5715"/>
                                </a:cubicBezTo>
                                <a:lnTo>
                                  <a:pt x="617919" y="0"/>
                                </a:ln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40928" name="Shape 40928"/>
                        <wps:cNvSpPr/>
                        <wps:spPr>
                          <a:xfrm>
                            <a:off x="201333" y="1193419"/>
                            <a:ext cx="617919" cy="36195"/>
                          </a:xfrm>
                          <a:custGeom>
                            <a:avLst/>
                            <a:gdLst/>
                            <a:ahLst/>
                            <a:cxnLst/>
                            <a:rect l="0" t="0" r="0" b="0"/>
                            <a:pathLst>
                              <a:path w="617919" h="36195">
                                <a:moveTo>
                                  <a:pt x="1041" y="36195"/>
                                </a:moveTo>
                                <a:cubicBezTo>
                                  <a:pt x="444" y="26035"/>
                                  <a:pt x="89" y="15875"/>
                                  <a:pt x="0" y="5715"/>
                                </a:cubicBezTo>
                                <a:lnTo>
                                  <a:pt x="617919"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29" name="Shape 40929"/>
                        <wps:cNvSpPr/>
                        <wps:spPr>
                          <a:xfrm>
                            <a:off x="201244" y="1168654"/>
                            <a:ext cx="618007" cy="30480"/>
                          </a:xfrm>
                          <a:custGeom>
                            <a:avLst/>
                            <a:gdLst/>
                            <a:ahLst/>
                            <a:cxnLst/>
                            <a:rect l="0" t="0" r="0" b="0"/>
                            <a:pathLst>
                              <a:path w="618007" h="30480">
                                <a:moveTo>
                                  <a:pt x="559" y="0"/>
                                </a:moveTo>
                                <a:lnTo>
                                  <a:pt x="618007" y="24765"/>
                                </a:lnTo>
                                <a:lnTo>
                                  <a:pt x="89" y="30480"/>
                                </a:lnTo>
                                <a:cubicBezTo>
                                  <a:pt x="0" y="20320"/>
                                  <a:pt x="152" y="10160"/>
                                  <a:pt x="559" y="0"/>
                                </a:cubicBez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40930" name="Shape 40930"/>
                        <wps:cNvSpPr/>
                        <wps:spPr>
                          <a:xfrm>
                            <a:off x="201244" y="1168654"/>
                            <a:ext cx="618007" cy="30480"/>
                          </a:xfrm>
                          <a:custGeom>
                            <a:avLst/>
                            <a:gdLst/>
                            <a:ahLst/>
                            <a:cxnLst/>
                            <a:rect l="0" t="0" r="0" b="0"/>
                            <a:pathLst>
                              <a:path w="618007" h="30480">
                                <a:moveTo>
                                  <a:pt x="89" y="30480"/>
                                </a:moveTo>
                                <a:cubicBezTo>
                                  <a:pt x="0" y="20320"/>
                                  <a:pt x="152" y="10160"/>
                                  <a:pt x="559" y="0"/>
                                </a:cubicBezTo>
                                <a:lnTo>
                                  <a:pt x="618007" y="2476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31" name="Shape 40931"/>
                        <wps:cNvSpPr/>
                        <wps:spPr>
                          <a:xfrm>
                            <a:off x="201803" y="1130554"/>
                            <a:ext cx="617449" cy="62865"/>
                          </a:xfrm>
                          <a:custGeom>
                            <a:avLst/>
                            <a:gdLst/>
                            <a:ahLst/>
                            <a:cxnLst/>
                            <a:rect l="0" t="0" r="0" b="0"/>
                            <a:pathLst>
                              <a:path w="617449" h="62865">
                                <a:moveTo>
                                  <a:pt x="2705" y="0"/>
                                </a:moveTo>
                                <a:lnTo>
                                  <a:pt x="617449" y="62865"/>
                                </a:lnTo>
                                <a:lnTo>
                                  <a:pt x="0" y="38100"/>
                                </a:lnTo>
                                <a:cubicBezTo>
                                  <a:pt x="508" y="25400"/>
                                  <a:pt x="1410" y="12700"/>
                                  <a:pt x="2705" y="0"/>
                                </a:cubicBez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40932" name="Shape 40932"/>
                        <wps:cNvSpPr/>
                        <wps:spPr>
                          <a:xfrm>
                            <a:off x="201803" y="1130554"/>
                            <a:ext cx="617449" cy="62865"/>
                          </a:xfrm>
                          <a:custGeom>
                            <a:avLst/>
                            <a:gdLst/>
                            <a:ahLst/>
                            <a:cxnLst/>
                            <a:rect l="0" t="0" r="0" b="0"/>
                            <a:pathLst>
                              <a:path w="617449" h="62865">
                                <a:moveTo>
                                  <a:pt x="0" y="38100"/>
                                </a:moveTo>
                                <a:cubicBezTo>
                                  <a:pt x="508" y="25400"/>
                                  <a:pt x="1410" y="12700"/>
                                  <a:pt x="2705" y="0"/>
                                </a:cubicBezTo>
                                <a:lnTo>
                                  <a:pt x="617449" y="6286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33" name="Shape 40933"/>
                        <wps:cNvSpPr/>
                        <wps:spPr>
                          <a:xfrm>
                            <a:off x="204508" y="602361"/>
                            <a:ext cx="614744" cy="591058"/>
                          </a:xfrm>
                          <a:custGeom>
                            <a:avLst/>
                            <a:gdLst/>
                            <a:ahLst/>
                            <a:cxnLst/>
                            <a:rect l="0" t="0" r="0" b="0"/>
                            <a:pathLst>
                              <a:path w="614744" h="591058">
                                <a:moveTo>
                                  <a:pt x="434404" y="0"/>
                                </a:moveTo>
                                <a:lnTo>
                                  <a:pt x="614744" y="591058"/>
                                </a:lnTo>
                                <a:lnTo>
                                  <a:pt x="0" y="528193"/>
                                </a:lnTo>
                                <a:cubicBezTo>
                                  <a:pt x="25286" y="280797"/>
                                  <a:pt x="196405" y="72644"/>
                                  <a:pt x="434404"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40934" name="Shape 40934"/>
                        <wps:cNvSpPr/>
                        <wps:spPr>
                          <a:xfrm>
                            <a:off x="204508" y="602361"/>
                            <a:ext cx="614744" cy="591058"/>
                          </a:xfrm>
                          <a:custGeom>
                            <a:avLst/>
                            <a:gdLst/>
                            <a:ahLst/>
                            <a:cxnLst/>
                            <a:rect l="0" t="0" r="0" b="0"/>
                            <a:pathLst>
                              <a:path w="614744" h="591058">
                                <a:moveTo>
                                  <a:pt x="0" y="528193"/>
                                </a:moveTo>
                                <a:cubicBezTo>
                                  <a:pt x="25286" y="280797"/>
                                  <a:pt x="196405" y="72644"/>
                                  <a:pt x="434404" y="0"/>
                                </a:cubicBezTo>
                                <a:lnTo>
                                  <a:pt x="614744" y="591058"/>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35" name="Shape 40935"/>
                        <wps:cNvSpPr/>
                        <wps:spPr>
                          <a:xfrm>
                            <a:off x="638912" y="589025"/>
                            <a:ext cx="180340" cy="604393"/>
                          </a:xfrm>
                          <a:custGeom>
                            <a:avLst/>
                            <a:gdLst/>
                            <a:ahLst/>
                            <a:cxnLst/>
                            <a:rect l="0" t="0" r="0" b="0"/>
                            <a:pathLst>
                              <a:path w="180340" h="604393">
                                <a:moveTo>
                                  <a:pt x="51689" y="0"/>
                                </a:moveTo>
                                <a:lnTo>
                                  <a:pt x="180340" y="604393"/>
                                </a:lnTo>
                                <a:lnTo>
                                  <a:pt x="0" y="13336"/>
                                </a:lnTo>
                                <a:cubicBezTo>
                                  <a:pt x="17018" y="8128"/>
                                  <a:pt x="34290" y="3683"/>
                                  <a:pt x="51689" y="0"/>
                                </a:cubicBezTo>
                                <a:close/>
                              </a:path>
                            </a:pathLst>
                          </a:custGeom>
                          <a:ln w="0" cap="flat">
                            <a:round/>
                          </a:ln>
                        </wps:spPr>
                        <wps:style>
                          <a:lnRef idx="0">
                            <a:srgbClr val="000000">
                              <a:alpha val="0"/>
                            </a:srgbClr>
                          </a:lnRef>
                          <a:fillRef idx="1">
                            <a:srgbClr val="70AD47"/>
                          </a:fillRef>
                          <a:effectRef idx="0">
                            <a:scrgbClr r="0" g="0" b="0"/>
                          </a:effectRef>
                          <a:fontRef idx="none"/>
                        </wps:style>
                        <wps:bodyPr/>
                      </wps:wsp>
                      <wps:wsp>
                        <wps:cNvPr id="40936" name="Shape 40936"/>
                        <wps:cNvSpPr/>
                        <wps:spPr>
                          <a:xfrm>
                            <a:off x="638912" y="589025"/>
                            <a:ext cx="180340" cy="604393"/>
                          </a:xfrm>
                          <a:custGeom>
                            <a:avLst/>
                            <a:gdLst/>
                            <a:ahLst/>
                            <a:cxnLst/>
                            <a:rect l="0" t="0" r="0" b="0"/>
                            <a:pathLst>
                              <a:path w="180340" h="604393">
                                <a:moveTo>
                                  <a:pt x="0" y="13336"/>
                                </a:moveTo>
                                <a:cubicBezTo>
                                  <a:pt x="17018" y="8128"/>
                                  <a:pt x="34290" y="3683"/>
                                  <a:pt x="51689" y="0"/>
                                </a:cubicBezTo>
                                <a:lnTo>
                                  <a:pt x="180340" y="604393"/>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37" name="Shape 40937"/>
                        <wps:cNvSpPr/>
                        <wps:spPr>
                          <a:xfrm>
                            <a:off x="690601" y="585977"/>
                            <a:ext cx="128651" cy="607441"/>
                          </a:xfrm>
                          <a:custGeom>
                            <a:avLst/>
                            <a:gdLst/>
                            <a:ahLst/>
                            <a:cxnLst/>
                            <a:rect l="0" t="0" r="0" b="0"/>
                            <a:pathLst>
                              <a:path w="128651" h="607441">
                                <a:moveTo>
                                  <a:pt x="14986" y="0"/>
                                </a:moveTo>
                                <a:lnTo>
                                  <a:pt x="128651" y="607441"/>
                                </a:lnTo>
                                <a:lnTo>
                                  <a:pt x="0" y="3048"/>
                                </a:lnTo>
                                <a:cubicBezTo>
                                  <a:pt x="4953" y="1905"/>
                                  <a:pt x="9906" y="889"/>
                                  <a:pt x="14986" y="0"/>
                                </a:cubicBezTo>
                                <a:close/>
                              </a:path>
                            </a:pathLst>
                          </a:custGeom>
                          <a:ln w="0" cap="flat">
                            <a:round/>
                          </a:ln>
                        </wps:spPr>
                        <wps:style>
                          <a:lnRef idx="0">
                            <a:srgbClr val="000000">
                              <a:alpha val="0"/>
                            </a:srgbClr>
                          </a:lnRef>
                          <a:fillRef idx="1">
                            <a:srgbClr val="255E91"/>
                          </a:fillRef>
                          <a:effectRef idx="0">
                            <a:scrgbClr r="0" g="0" b="0"/>
                          </a:effectRef>
                          <a:fontRef idx="none"/>
                        </wps:style>
                        <wps:bodyPr/>
                      </wps:wsp>
                      <wps:wsp>
                        <wps:cNvPr id="40938" name="Shape 40938"/>
                        <wps:cNvSpPr/>
                        <wps:spPr>
                          <a:xfrm>
                            <a:off x="690601" y="585977"/>
                            <a:ext cx="128651" cy="607441"/>
                          </a:xfrm>
                          <a:custGeom>
                            <a:avLst/>
                            <a:gdLst/>
                            <a:ahLst/>
                            <a:cxnLst/>
                            <a:rect l="0" t="0" r="0" b="0"/>
                            <a:pathLst>
                              <a:path w="128651" h="607441">
                                <a:moveTo>
                                  <a:pt x="0" y="3048"/>
                                </a:moveTo>
                                <a:cubicBezTo>
                                  <a:pt x="4953" y="1905"/>
                                  <a:pt x="9906" y="889"/>
                                  <a:pt x="14986" y="0"/>
                                </a:cubicBezTo>
                                <a:lnTo>
                                  <a:pt x="128651" y="607441"/>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39" name="Shape 40939"/>
                        <wps:cNvSpPr/>
                        <wps:spPr>
                          <a:xfrm>
                            <a:off x="705587" y="580136"/>
                            <a:ext cx="113665" cy="613283"/>
                          </a:xfrm>
                          <a:custGeom>
                            <a:avLst/>
                            <a:gdLst/>
                            <a:ahLst/>
                            <a:cxnLst/>
                            <a:rect l="0" t="0" r="0" b="0"/>
                            <a:pathLst>
                              <a:path w="113665" h="613283">
                                <a:moveTo>
                                  <a:pt x="37592" y="0"/>
                                </a:moveTo>
                                <a:lnTo>
                                  <a:pt x="113665" y="613283"/>
                                </a:lnTo>
                                <a:lnTo>
                                  <a:pt x="0" y="5842"/>
                                </a:lnTo>
                                <a:cubicBezTo>
                                  <a:pt x="12446" y="3556"/>
                                  <a:pt x="25019" y="1524"/>
                                  <a:pt x="37592" y="0"/>
                                </a:cubicBezTo>
                                <a:close/>
                              </a:path>
                            </a:pathLst>
                          </a:custGeom>
                          <a:ln w="0" cap="flat">
                            <a:round/>
                          </a:ln>
                        </wps:spPr>
                        <wps:style>
                          <a:lnRef idx="0">
                            <a:srgbClr val="000000">
                              <a:alpha val="0"/>
                            </a:srgbClr>
                          </a:lnRef>
                          <a:fillRef idx="1">
                            <a:srgbClr val="9E480E"/>
                          </a:fillRef>
                          <a:effectRef idx="0">
                            <a:scrgbClr r="0" g="0" b="0"/>
                          </a:effectRef>
                          <a:fontRef idx="none"/>
                        </wps:style>
                        <wps:bodyPr/>
                      </wps:wsp>
                      <wps:wsp>
                        <wps:cNvPr id="40940" name="Shape 40940"/>
                        <wps:cNvSpPr/>
                        <wps:spPr>
                          <a:xfrm>
                            <a:off x="705587" y="580136"/>
                            <a:ext cx="113665" cy="613283"/>
                          </a:xfrm>
                          <a:custGeom>
                            <a:avLst/>
                            <a:gdLst/>
                            <a:ahLst/>
                            <a:cxnLst/>
                            <a:rect l="0" t="0" r="0" b="0"/>
                            <a:pathLst>
                              <a:path w="113665" h="613283">
                                <a:moveTo>
                                  <a:pt x="0" y="5842"/>
                                </a:moveTo>
                                <a:cubicBezTo>
                                  <a:pt x="12446" y="3556"/>
                                  <a:pt x="25019" y="1524"/>
                                  <a:pt x="37592" y="0"/>
                                </a:cubicBezTo>
                                <a:lnTo>
                                  <a:pt x="113665" y="613283"/>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41" name="Shape 40941"/>
                        <wps:cNvSpPr/>
                        <wps:spPr>
                          <a:xfrm>
                            <a:off x="743179" y="576580"/>
                            <a:ext cx="76073" cy="616839"/>
                          </a:xfrm>
                          <a:custGeom>
                            <a:avLst/>
                            <a:gdLst/>
                            <a:ahLst/>
                            <a:cxnLst/>
                            <a:rect l="0" t="0" r="0" b="0"/>
                            <a:pathLst>
                              <a:path w="76073" h="616839">
                                <a:moveTo>
                                  <a:pt x="37973" y="0"/>
                                </a:moveTo>
                                <a:lnTo>
                                  <a:pt x="76073" y="616839"/>
                                </a:lnTo>
                                <a:lnTo>
                                  <a:pt x="0" y="3556"/>
                                </a:lnTo>
                                <a:cubicBezTo>
                                  <a:pt x="12700" y="2032"/>
                                  <a:pt x="25273" y="762"/>
                                  <a:pt x="37973" y="0"/>
                                </a:cubicBezTo>
                                <a:close/>
                              </a:path>
                            </a:pathLst>
                          </a:custGeom>
                          <a:ln w="0" cap="flat">
                            <a:round/>
                          </a:ln>
                        </wps:spPr>
                        <wps:style>
                          <a:lnRef idx="0">
                            <a:srgbClr val="000000">
                              <a:alpha val="0"/>
                            </a:srgbClr>
                          </a:lnRef>
                          <a:fillRef idx="1">
                            <a:srgbClr val="636363"/>
                          </a:fillRef>
                          <a:effectRef idx="0">
                            <a:scrgbClr r="0" g="0" b="0"/>
                          </a:effectRef>
                          <a:fontRef idx="none"/>
                        </wps:style>
                        <wps:bodyPr/>
                      </wps:wsp>
                      <wps:wsp>
                        <wps:cNvPr id="40942" name="Shape 40942"/>
                        <wps:cNvSpPr/>
                        <wps:spPr>
                          <a:xfrm>
                            <a:off x="743179" y="576580"/>
                            <a:ext cx="76073" cy="616839"/>
                          </a:xfrm>
                          <a:custGeom>
                            <a:avLst/>
                            <a:gdLst/>
                            <a:ahLst/>
                            <a:cxnLst/>
                            <a:rect l="0" t="0" r="0" b="0"/>
                            <a:pathLst>
                              <a:path w="76073" h="616839">
                                <a:moveTo>
                                  <a:pt x="0" y="3556"/>
                                </a:moveTo>
                                <a:cubicBezTo>
                                  <a:pt x="12700" y="2032"/>
                                  <a:pt x="25273" y="762"/>
                                  <a:pt x="37973" y="0"/>
                                </a:cubicBezTo>
                                <a:lnTo>
                                  <a:pt x="76073" y="616839"/>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43" name="Shape 40943"/>
                        <wps:cNvSpPr/>
                        <wps:spPr>
                          <a:xfrm>
                            <a:off x="781152" y="575437"/>
                            <a:ext cx="38100" cy="617982"/>
                          </a:xfrm>
                          <a:custGeom>
                            <a:avLst/>
                            <a:gdLst/>
                            <a:ahLst/>
                            <a:cxnLst/>
                            <a:rect l="0" t="0" r="0" b="0"/>
                            <a:pathLst>
                              <a:path w="38100" h="617982">
                                <a:moveTo>
                                  <a:pt x="38100" y="0"/>
                                </a:moveTo>
                                <a:lnTo>
                                  <a:pt x="38100" y="617982"/>
                                </a:lnTo>
                                <a:lnTo>
                                  <a:pt x="0" y="1143"/>
                                </a:lnTo>
                                <a:cubicBezTo>
                                  <a:pt x="12700" y="381"/>
                                  <a:pt x="25400" y="0"/>
                                  <a:pt x="38100" y="0"/>
                                </a:cubicBezTo>
                                <a:close/>
                              </a:path>
                            </a:pathLst>
                          </a:custGeom>
                          <a:ln w="0" cap="flat">
                            <a:round/>
                          </a:ln>
                        </wps:spPr>
                        <wps:style>
                          <a:lnRef idx="0">
                            <a:srgbClr val="000000">
                              <a:alpha val="0"/>
                            </a:srgbClr>
                          </a:lnRef>
                          <a:fillRef idx="1">
                            <a:srgbClr val="997300"/>
                          </a:fillRef>
                          <a:effectRef idx="0">
                            <a:scrgbClr r="0" g="0" b="0"/>
                          </a:effectRef>
                          <a:fontRef idx="none"/>
                        </wps:style>
                        <wps:bodyPr/>
                      </wps:wsp>
                      <wps:wsp>
                        <wps:cNvPr id="40944" name="Shape 40944"/>
                        <wps:cNvSpPr/>
                        <wps:spPr>
                          <a:xfrm>
                            <a:off x="781152" y="575437"/>
                            <a:ext cx="38100" cy="617982"/>
                          </a:xfrm>
                          <a:custGeom>
                            <a:avLst/>
                            <a:gdLst/>
                            <a:ahLst/>
                            <a:cxnLst/>
                            <a:rect l="0" t="0" r="0" b="0"/>
                            <a:pathLst>
                              <a:path w="38100" h="617982">
                                <a:moveTo>
                                  <a:pt x="0" y="1143"/>
                                </a:moveTo>
                                <a:cubicBezTo>
                                  <a:pt x="12700" y="381"/>
                                  <a:pt x="25400" y="0"/>
                                  <a:pt x="38100" y="0"/>
                                </a:cubicBezTo>
                                <a:lnTo>
                                  <a:pt x="38100" y="61798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45" name="Shape 40945"/>
                        <wps:cNvSpPr/>
                        <wps:spPr>
                          <a:xfrm>
                            <a:off x="819252" y="575437"/>
                            <a:ext cx="0" cy="617982"/>
                          </a:xfrm>
                          <a:custGeom>
                            <a:avLst/>
                            <a:gdLst/>
                            <a:ahLst/>
                            <a:cxnLst/>
                            <a:rect l="0" t="0" r="0" b="0"/>
                            <a:pathLst>
                              <a:path h="617982">
                                <a:moveTo>
                                  <a:pt x="0" y="0"/>
                                </a:moveTo>
                                <a:lnTo>
                                  <a:pt x="0" y="61798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46" name="Shape 40946"/>
                        <wps:cNvSpPr/>
                        <wps:spPr>
                          <a:xfrm>
                            <a:off x="201778" y="1214120"/>
                            <a:ext cx="0" cy="367284"/>
                          </a:xfrm>
                          <a:custGeom>
                            <a:avLst/>
                            <a:gdLst/>
                            <a:ahLst/>
                            <a:cxnLst/>
                            <a:rect l="0" t="0" r="0" b="0"/>
                            <a:pathLst>
                              <a:path h="367284">
                                <a:moveTo>
                                  <a:pt x="0" y="0"/>
                                </a:moveTo>
                                <a:lnTo>
                                  <a:pt x="0" y="367284"/>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947" name="Shape 40947"/>
                        <wps:cNvSpPr/>
                        <wps:spPr>
                          <a:xfrm>
                            <a:off x="201778" y="875792"/>
                            <a:ext cx="0" cy="307848"/>
                          </a:xfrm>
                          <a:custGeom>
                            <a:avLst/>
                            <a:gdLst/>
                            <a:ahLst/>
                            <a:cxnLst/>
                            <a:rect l="0" t="0" r="0" b="0"/>
                            <a:pathLst>
                              <a:path h="307848">
                                <a:moveTo>
                                  <a:pt x="0" y="307848"/>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948" name="Shape 40948"/>
                        <wps:cNvSpPr/>
                        <wps:spPr>
                          <a:xfrm>
                            <a:off x="203302" y="656336"/>
                            <a:ext cx="0" cy="493776"/>
                          </a:xfrm>
                          <a:custGeom>
                            <a:avLst/>
                            <a:gdLst/>
                            <a:ahLst/>
                            <a:cxnLst/>
                            <a:rect l="0" t="0" r="0" b="0"/>
                            <a:pathLst>
                              <a:path h="493776">
                                <a:moveTo>
                                  <a:pt x="0" y="493776"/>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949" name="Shape 40949"/>
                        <wps:cNvSpPr/>
                        <wps:spPr>
                          <a:xfrm>
                            <a:off x="535534" y="508508"/>
                            <a:ext cx="129540" cy="86868"/>
                          </a:xfrm>
                          <a:custGeom>
                            <a:avLst/>
                            <a:gdLst/>
                            <a:ahLst/>
                            <a:cxnLst/>
                            <a:rect l="0" t="0" r="0" b="0"/>
                            <a:pathLst>
                              <a:path w="129540" h="86868">
                                <a:moveTo>
                                  <a:pt x="129540" y="86868"/>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950" name="Shape 40950"/>
                        <wps:cNvSpPr/>
                        <wps:spPr>
                          <a:xfrm>
                            <a:off x="470002" y="258572"/>
                            <a:ext cx="228600" cy="329184"/>
                          </a:xfrm>
                          <a:custGeom>
                            <a:avLst/>
                            <a:gdLst/>
                            <a:ahLst/>
                            <a:cxnLst/>
                            <a:rect l="0" t="0" r="0" b="0"/>
                            <a:pathLst>
                              <a:path w="228600" h="329184">
                                <a:moveTo>
                                  <a:pt x="228600" y="329184"/>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951" name="Shape 40951"/>
                        <wps:cNvSpPr/>
                        <wps:spPr>
                          <a:xfrm>
                            <a:off x="433426" y="83312"/>
                            <a:ext cx="291084" cy="499872"/>
                          </a:xfrm>
                          <a:custGeom>
                            <a:avLst/>
                            <a:gdLst/>
                            <a:ahLst/>
                            <a:cxnLst/>
                            <a:rect l="0" t="0" r="0" b="0"/>
                            <a:pathLst>
                              <a:path w="291084" h="499872">
                                <a:moveTo>
                                  <a:pt x="291084" y="499872"/>
                                </a:moveTo>
                                <a:lnTo>
                                  <a:pt x="56388"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952" name="Shape 40952"/>
                        <wps:cNvSpPr/>
                        <wps:spPr>
                          <a:xfrm>
                            <a:off x="762610" y="189992"/>
                            <a:ext cx="0" cy="388620"/>
                          </a:xfrm>
                          <a:custGeom>
                            <a:avLst/>
                            <a:gdLst/>
                            <a:ahLst/>
                            <a:cxnLst/>
                            <a:rect l="0" t="0" r="0" b="0"/>
                            <a:pathLst>
                              <a:path h="388620">
                                <a:moveTo>
                                  <a:pt x="0" y="388620"/>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953" name="Shape 40953"/>
                        <wps:cNvSpPr/>
                        <wps:spPr>
                          <a:xfrm>
                            <a:off x="800710" y="279908"/>
                            <a:ext cx="170688" cy="295656"/>
                          </a:xfrm>
                          <a:custGeom>
                            <a:avLst/>
                            <a:gdLst/>
                            <a:ahLst/>
                            <a:cxnLst/>
                            <a:rect l="0" t="0" r="0" b="0"/>
                            <a:pathLst>
                              <a:path w="170688" h="295656">
                                <a:moveTo>
                                  <a:pt x="0" y="295656"/>
                                </a:moveTo>
                                <a:lnTo>
                                  <a:pt x="114300" y="0"/>
                                </a:lnTo>
                                <a:lnTo>
                                  <a:pt x="170688"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0954" name="Shape 40954"/>
                        <wps:cNvSpPr/>
                        <wps:spPr>
                          <a:xfrm>
                            <a:off x="818998" y="535939"/>
                            <a:ext cx="149352" cy="39624"/>
                          </a:xfrm>
                          <a:custGeom>
                            <a:avLst/>
                            <a:gdLst/>
                            <a:ahLst/>
                            <a:cxnLst/>
                            <a:rect l="0" t="0" r="0" b="0"/>
                            <a:pathLst>
                              <a:path w="149352" h="39624">
                                <a:moveTo>
                                  <a:pt x="0" y="39624"/>
                                </a:moveTo>
                                <a:lnTo>
                                  <a:pt x="92964" y="0"/>
                                </a:lnTo>
                                <a:lnTo>
                                  <a:pt x="149352"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757460" name="Rectangle 757460"/>
                        <wps:cNvSpPr/>
                        <wps:spPr>
                          <a:xfrm>
                            <a:off x="962254" y="1352676"/>
                            <a:ext cx="346603" cy="154840"/>
                          </a:xfrm>
                          <a:prstGeom prst="rect">
                            <a:avLst/>
                          </a:prstGeom>
                          <a:ln>
                            <a:noFill/>
                          </a:ln>
                        </wps:spPr>
                        <wps:txbx>
                          <w:txbxContent>
                            <w:p w14:paraId="5DCAD0BC" w14:textId="77777777" w:rsidR="0014164F" w:rsidRDefault="0014164F" w:rsidP="00C232D7">
                              <w:r>
                                <w:rPr>
                                  <w:rFonts w:ascii="Calibri" w:hAnsi="Calibri" w:cs="Calibri"/>
                                  <w:color w:val="404040"/>
                                  <w:sz w:val="18"/>
                                </w:rPr>
                                <w:t>74.07</w:t>
                              </w:r>
                            </w:p>
                          </w:txbxContent>
                        </wps:txbx>
                        <wps:bodyPr horzOverflow="overflow" vert="horz" lIns="0" tIns="0" rIns="0" bIns="0" rtlCol="0">
                          <a:noAutofit/>
                        </wps:bodyPr>
                      </wps:wsp>
                      <wps:wsp>
                        <wps:cNvPr id="757461" name="Rectangle 757461"/>
                        <wps:cNvSpPr/>
                        <wps:spPr>
                          <a:xfrm>
                            <a:off x="1222858" y="1352676"/>
                            <a:ext cx="108694" cy="154840"/>
                          </a:xfrm>
                          <a:prstGeom prst="rect">
                            <a:avLst/>
                          </a:prstGeom>
                          <a:ln>
                            <a:noFill/>
                          </a:ln>
                        </wps:spPr>
                        <wps:txbx>
                          <w:txbxContent>
                            <w:p w14:paraId="1F404109"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63" name="Rectangle 757463"/>
                        <wps:cNvSpPr/>
                        <wps:spPr>
                          <a:xfrm>
                            <a:off x="0" y="1600581"/>
                            <a:ext cx="269530" cy="154840"/>
                          </a:xfrm>
                          <a:prstGeom prst="rect">
                            <a:avLst/>
                          </a:prstGeom>
                          <a:ln>
                            <a:noFill/>
                          </a:ln>
                        </wps:spPr>
                        <wps:txbx>
                          <w:txbxContent>
                            <w:p w14:paraId="00BD708F" w14:textId="77777777" w:rsidR="0014164F" w:rsidRDefault="0014164F" w:rsidP="00C232D7">
                              <w:r>
                                <w:rPr>
                                  <w:rFonts w:ascii="Calibri" w:hAnsi="Calibri" w:cs="Calibri"/>
                                  <w:color w:val="404040"/>
                                  <w:sz w:val="18"/>
                                </w:rPr>
                                <w:t>0.79</w:t>
                              </w:r>
                            </w:p>
                          </w:txbxContent>
                        </wps:txbx>
                        <wps:bodyPr horzOverflow="overflow" vert="horz" lIns="0" tIns="0" rIns="0" bIns="0" rtlCol="0">
                          <a:noAutofit/>
                        </wps:bodyPr>
                      </wps:wsp>
                      <wps:wsp>
                        <wps:cNvPr id="757464" name="Rectangle 757464"/>
                        <wps:cNvSpPr/>
                        <wps:spPr>
                          <a:xfrm>
                            <a:off x="202654" y="1600581"/>
                            <a:ext cx="108694" cy="154840"/>
                          </a:xfrm>
                          <a:prstGeom prst="rect">
                            <a:avLst/>
                          </a:prstGeom>
                          <a:ln>
                            <a:noFill/>
                          </a:ln>
                        </wps:spPr>
                        <wps:txbx>
                          <w:txbxContent>
                            <w:p w14:paraId="06E49F23"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45" name="Rectangle 757445"/>
                        <wps:cNvSpPr/>
                        <wps:spPr>
                          <a:xfrm>
                            <a:off x="0" y="761771"/>
                            <a:ext cx="270248" cy="155253"/>
                          </a:xfrm>
                          <a:prstGeom prst="rect">
                            <a:avLst/>
                          </a:prstGeom>
                          <a:ln>
                            <a:noFill/>
                          </a:ln>
                        </wps:spPr>
                        <wps:txbx>
                          <w:txbxContent>
                            <w:p w14:paraId="7034D5C7" w14:textId="77777777" w:rsidR="0014164F" w:rsidRDefault="0014164F" w:rsidP="00C232D7">
                              <w:r>
                                <w:rPr>
                                  <w:rFonts w:ascii="Calibri" w:hAnsi="Calibri" w:cs="Calibri"/>
                                  <w:color w:val="404040"/>
                                  <w:sz w:val="18"/>
                                </w:rPr>
                                <w:t>0.79</w:t>
                              </w:r>
                            </w:p>
                          </w:txbxContent>
                        </wps:txbx>
                        <wps:bodyPr horzOverflow="overflow" vert="horz" lIns="0" tIns="0" rIns="0" bIns="0" rtlCol="0">
                          <a:noAutofit/>
                        </wps:bodyPr>
                      </wps:wsp>
                      <wps:wsp>
                        <wps:cNvPr id="757446" name="Rectangle 757446"/>
                        <wps:cNvSpPr/>
                        <wps:spPr>
                          <a:xfrm>
                            <a:off x="202736" y="761771"/>
                            <a:ext cx="108984" cy="155253"/>
                          </a:xfrm>
                          <a:prstGeom prst="rect">
                            <a:avLst/>
                          </a:prstGeom>
                          <a:ln>
                            <a:noFill/>
                          </a:ln>
                        </wps:spPr>
                        <wps:txbx>
                          <w:txbxContent>
                            <w:p w14:paraId="59712E13"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32" name="Rectangle 757432"/>
                        <wps:cNvSpPr/>
                        <wps:spPr>
                          <a:xfrm>
                            <a:off x="0" y="543179"/>
                            <a:ext cx="269530" cy="154840"/>
                          </a:xfrm>
                          <a:prstGeom prst="rect">
                            <a:avLst/>
                          </a:prstGeom>
                          <a:ln>
                            <a:noFill/>
                          </a:ln>
                        </wps:spPr>
                        <wps:txbx>
                          <w:txbxContent>
                            <w:p w14:paraId="5FD6EA4A" w14:textId="77777777" w:rsidR="0014164F" w:rsidRDefault="0014164F" w:rsidP="00C232D7">
                              <w:r>
                                <w:rPr>
                                  <w:rFonts w:ascii="Calibri" w:hAnsi="Calibri" w:cs="Calibri"/>
                                  <w:color w:val="404040"/>
                                  <w:sz w:val="18"/>
                                </w:rPr>
                                <w:t>0.98</w:t>
                              </w:r>
                            </w:p>
                          </w:txbxContent>
                        </wps:txbx>
                        <wps:bodyPr horzOverflow="overflow" vert="horz" lIns="0" tIns="0" rIns="0" bIns="0" rtlCol="0">
                          <a:noAutofit/>
                        </wps:bodyPr>
                      </wps:wsp>
                      <wps:wsp>
                        <wps:cNvPr id="757433" name="Rectangle 757433"/>
                        <wps:cNvSpPr/>
                        <wps:spPr>
                          <a:xfrm>
                            <a:off x="202654" y="543179"/>
                            <a:ext cx="108694" cy="154840"/>
                          </a:xfrm>
                          <a:prstGeom prst="rect">
                            <a:avLst/>
                          </a:prstGeom>
                          <a:ln>
                            <a:noFill/>
                          </a:ln>
                        </wps:spPr>
                        <wps:txbx>
                          <w:txbxContent>
                            <w:p w14:paraId="0103147F"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53" name="Rectangle 757453"/>
                        <wps:cNvSpPr/>
                        <wps:spPr>
                          <a:xfrm>
                            <a:off x="314300" y="952881"/>
                            <a:ext cx="346603" cy="154840"/>
                          </a:xfrm>
                          <a:prstGeom prst="rect">
                            <a:avLst/>
                          </a:prstGeom>
                          <a:ln>
                            <a:noFill/>
                          </a:ln>
                        </wps:spPr>
                        <wps:txbx>
                          <w:txbxContent>
                            <w:p w14:paraId="26B071D3" w14:textId="77777777" w:rsidR="0014164F" w:rsidRDefault="0014164F" w:rsidP="00C232D7">
                              <w:r>
                                <w:rPr>
                                  <w:rFonts w:ascii="Calibri" w:hAnsi="Calibri" w:cs="Calibri"/>
                                  <w:color w:val="404040"/>
                                  <w:sz w:val="18"/>
                                </w:rPr>
                                <w:t>18.66</w:t>
                              </w:r>
                            </w:p>
                          </w:txbxContent>
                        </wps:txbx>
                        <wps:bodyPr horzOverflow="overflow" vert="horz" lIns="0" tIns="0" rIns="0" bIns="0" rtlCol="0">
                          <a:noAutofit/>
                        </wps:bodyPr>
                      </wps:wsp>
                      <wps:wsp>
                        <wps:cNvPr id="757454" name="Rectangle 757454"/>
                        <wps:cNvSpPr/>
                        <wps:spPr>
                          <a:xfrm>
                            <a:off x="574904" y="952881"/>
                            <a:ext cx="108693" cy="154840"/>
                          </a:xfrm>
                          <a:prstGeom prst="rect">
                            <a:avLst/>
                          </a:prstGeom>
                          <a:ln>
                            <a:noFill/>
                          </a:ln>
                        </wps:spPr>
                        <wps:txbx>
                          <w:txbxContent>
                            <w:p w14:paraId="0518DAF4"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27" name="Rectangle 757427"/>
                        <wps:cNvSpPr/>
                        <wps:spPr>
                          <a:xfrm>
                            <a:off x="228600" y="428878"/>
                            <a:ext cx="269530" cy="154840"/>
                          </a:xfrm>
                          <a:prstGeom prst="rect">
                            <a:avLst/>
                          </a:prstGeom>
                          <a:ln>
                            <a:noFill/>
                          </a:ln>
                        </wps:spPr>
                        <wps:txbx>
                          <w:txbxContent>
                            <w:p w14:paraId="49ACC3C8" w14:textId="77777777" w:rsidR="0014164F" w:rsidRDefault="0014164F" w:rsidP="00C232D7">
                              <w:r>
                                <w:rPr>
                                  <w:rFonts w:ascii="Calibri" w:hAnsi="Calibri" w:cs="Calibri"/>
                                  <w:color w:val="404040"/>
                                  <w:sz w:val="18"/>
                                </w:rPr>
                                <w:t>1.38</w:t>
                              </w:r>
                            </w:p>
                          </w:txbxContent>
                        </wps:txbx>
                        <wps:bodyPr horzOverflow="overflow" vert="horz" lIns="0" tIns="0" rIns="0" bIns="0" rtlCol="0">
                          <a:noAutofit/>
                        </wps:bodyPr>
                      </wps:wsp>
                      <wps:wsp>
                        <wps:cNvPr id="757428" name="Rectangle 757428"/>
                        <wps:cNvSpPr/>
                        <wps:spPr>
                          <a:xfrm>
                            <a:off x="431254" y="428878"/>
                            <a:ext cx="108694" cy="154840"/>
                          </a:xfrm>
                          <a:prstGeom prst="rect">
                            <a:avLst/>
                          </a:prstGeom>
                          <a:ln>
                            <a:noFill/>
                          </a:ln>
                        </wps:spPr>
                        <wps:txbx>
                          <w:txbxContent>
                            <w:p w14:paraId="343198EF"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23" name="Rectangle 757423"/>
                        <wps:cNvSpPr/>
                        <wps:spPr>
                          <a:xfrm>
                            <a:off x="364503" y="171576"/>
                            <a:ext cx="108694" cy="154840"/>
                          </a:xfrm>
                          <a:prstGeom prst="rect">
                            <a:avLst/>
                          </a:prstGeom>
                          <a:ln>
                            <a:noFill/>
                          </a:ln>
                        </wps:spPr>
                        <wps:txbx>
                          <w:txbxContent>
                            <w:p w14:paraId="336C7A1F"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22" name="Rectangle 757422"/>
                        <wps:cNvSpPr/>
                        <wps:spPr>
                          <a:xfrm>
                            <a:off x="161849" y="171576"/>
                            <a:ext cx="269530" cy="154840"/>
                          </a:xfrm>
                          <a:prstGeom prst="rect">
                            <a:avLst/>
                          </a:prstGeom>
                          <a:ln>
                            <a:noFill/>
                          </a:ln>
                        </wps:spPr>
                        <wps:txbx>
                          <w:txbxContent>
                            <w:p w14:paraId="068C1839" w14:textId="77777777" w:rsidR="0014164F" w:rsidRDefault="0014164F" w:rsidP="00C232D7">
                              <w:r>
                                <w:rPr>
                                  <w:rFonts w:ascii="Calibri" w:hAnsi="Calibri" w:cs="Calibri"/>
                                  <w:color w:val="404040"/>
                                  <w:sz w:val="18"/>
                                </w:rPr>
                                <w:t>0.39</w:t>
                              </w:r>
                            </w:p>
                          </w:txbxContent>
                        </wps:txbx>
                        <wps:bodyPr horzOverflow="overflow" vert="horz" lIns="0" tIns="0" rIns="0" bIns="0" rtlCol="0">
                          <a:noAutofit/>
                        </wps:bodyPr>
                      </wps:wsp>
                      <wps:wsp>
                        <wps:cNvPr id="757415" name="Rectangle 757415"/>
                        <wps:cNvSpPr/>
                        <wps:spPr>
                          <a:xfrm>
                            <a:off x="123749" y="0"/>
                            <a:ext cx="269530" cy="154840"/>
                          </a:xfrm>
                          <a:prstGeom prst="rect">
                            <a:avLst/>
                          </a:prstGeom>
                          <a:ln>
                            <a:noFill/>
                          </a:ln>
                        </wps:spPr>
                        <wps:txbx>
                          <w:txbxContent>
                            <w:p w14:paraId="135173C4" w14:textId="77777777" w:rsidR="0014164F" w:rsidRDefault="0014164F" w:rsidP="00C232D7">
                              <w:r>
                                <w:rPr>
                                  <w:rFonts w:ascii="Calibri" w:hAnsi="Calibri" w:cs="Calibri"/>
                                  <w:color w:val="404040"/>
                                  <w:sz w:val="18"/>
                                </w:rPr>
                                <w:t>0.98</w:t>
                              </w:r>
                            </w:p>
                          </w:txbxContent>
                        </wps:txbx>
                        <wps:bodyPr horzOverflow="overflow" vert="horz" lIns="0" tIns="0" rIns="0" bIns="0" rtlCol="0">
                          <a:noAutofit/>
                        </wps:bodyPr>
                      </wps:wsp>
                      <wps:wsp>
                        <wps:cNvPr id="757419" name="Rectangle 757419"/>
                        <wps:cNvSpPr/>
                        <wps:spPr>
                          <a:xfrm>
                            <a:off x="326403" y="0"/>
                            <a:ext cx="108694" cy="154840"/>
                          </a:xfrm>
                          <a:prstGeom prst="rect">
                            <a:avLst/>
                          </a:prstGeom>
                          <a:ln>
                            <a:noFill/>
                          </a:ln>
                        </wps:spPr>
                        <wps:txbx>
                          <w:txbxContent>
                            <w:p w14:paraId="5309AD77"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21" name="Rectangle 757421"/>
                        <wps:cNvSpPr/>
                        <wps:spPr>
                          <a:xfrm>
                            <a:off x="822820" y="76200"/>
                            <a:ext cx="108694" cy="154840"/>
                          </a:xfrm>
                          <a:prstGeom prst="rect">
                            <a:avLst/>
                          </a:prstGeom>
                          <a:ln>
                            <a:noFill/>
                          </a:ln>
                        </wps:spPr>
                        <wps:txbx>
                          <w:txbxContent>
                            <w:p w14:paraId="71637F76"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20" name="Rectangle 757420"/>
                        <wps:cNvSpPr/>
                        <wps:spPr>
                          <a:xfrm>
                            <a:off x="619100" y="76200"/>
                            <a:ext cx="270594" cy="154840"/>
                          </a:xfrm>
                          <a:prstGeom prst="rect">
                            <a:avLst/>
                          </a:prstGeom>
                          <a:ln>
                            <a:noFill/>
                          </a:ln>
                        </wps:spPr>
                        <wps:txbx>
                          <w:txbxContent>
                            <w:p w14:paraId="3F085A2F" w14:textId="77777777" w:rsidR="0014164F" w:rsidRDefault="0014164F" w:rsidP="00C232D7">
                              <w:r>
                                <w:rPr>
                                  <w:rFonts w:ascii="Calibri" w:hAnsi="Calibri" w:cs="Calibri"/>
                                  <w:color w:val="404040"/>
                                  <w:sz w:val="18"/>
                                </w:rPr>
                                <w:t>0.98</w:t>
                              </w:r>
                            </w:p>
                          </w:txbxContent>
                        </wps:txbx>
                        <wps:bodyPr horzOverflow="overflow" vert="horz" lIns="0" tIns="0" rIns="0" bIns="0" rtlCol="0">
                          <a:noAutofit/>
                        </wps:bodyPr>
                      </wps:wsp>
                      <wps:wsp>
                        <wps:cNvPr id="757425" name="Rectangle 757425"/>
                        <wps:cNvSpPr/>
                        <wps:spPr>
                          <a:xfrm>
                            <a:off x="1183831" y="200025"/>
                            <a:ext cx="108694" cy="154840"/>
                          </a:xfrm>
                          <a:prstGeom prst="rect">
                            <a:avLst/>
                          </a:prstGeom>
                          <a:ln>
                            <a:noFill/>
                          </a:ln>
                        </wps:spPr>
                        <wps:txbx>
                          <w:txbxContent>
                            <w:p w14:paraId="338FFD30"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24" name="Rectangle 757424"/>
                        <wps:cNvSpPr/>
                        <wps:spPr>
                          <a:xfrm>
                            <a:off x="981177" y="200025"/>
                            <a:ext cx="269530" cy="154840"/>
                          </a:xfrm>
                          <a:prstGeom prst="rect">
                            <a:avLst/>
                          </a:prstGeom>
                          <a:ln>
                            <a:noFill/>
                          </a:ln>
                        </wps:spPr>
                        <wps:txbx>
                          <w:txbxContent>
                            <w:p w14:paraId="785973A4" w14:textId="77777777" w:rsidR="0014164F" w:rsidRDefault="0014164F" w:rsidP="00C232D7">
                              <w:r>
                                <w:rPr>
                                  <w:rFonts w:ascii="Calibri" w:hAnsi="Calibri" w:cs="Calibri"/>
                                  <w:color w:val="404040"/>
                                  <w:sz w:val="18"/>
                                </w:rPr>
                                <w:t>0.98</w:t>
                              </w:r>
                            </w:p>
                          </w:txbxContent>
                        </wps:txbx>
                        <wps:bodyPr horzOverflow="overflow" vert="horz" lIns="0" tIns="0" rIns="0" bIns="0" rtlCol="0">
                          <a:noAutofit/>
                        </wps:bodyPr>
                      </wps:wsp>
                      <wps:wsp>
                        <wps:cNvPr id="757429" name="Rectangle 757429"/>
                        <wps:cNvSpPr/>
                        <wps:spPr>
                          <a:xfrm>
                            <a:off x="986892" y="449986"/>
                            <a:ext cx="270249" cy="155253"/>
                          </a:xfrm>
                          <a:prstGeom prst="rect">
                            <a:avLst/>
                          </a:prstGeom>
                          <a:ln>
                            <a:noFill/>
                          </a:ln>
                        </wps:spPr>
                        <wps:txbx>
                          <w:txbxContent>
                            <w:p w14:paraId="61A89242" w14:textId="77777777" w:rsidR="0014164F" w:rsidRDefault="0014164F" w:rsidP="00C232D7">
                              <w:r>
                                <w:rPr>
                                  <w:rFonts w:ascii="Calibri" w:hAnsi="Calibri" w:cs="Calibri"/>
                                  <w:color w:val="404040"/>
                                  <w:sz w:val="18"/>
                                </w:rPr>
                                <w:t>0.00</w:t>
                              </w:r>
                            </w:p>
                          </w:txbxContent>
                        </wps:txbx>
                        <wps:bodyPr horzOverflow="overflow" vert="horz" lIns="0" tIns="0" rIns="0" bIns="0" rtlCol="0">
                          <a:noAutofit/>
                        </wps:bodyPr>
                      </wps:wsp>
                      <wps:wsp>
                        <wps:cNvPr id="757430" name="Rectangle 757430"/>
                        <wps:cNvSpPr/>
                        <wps:spPr>
                          <a:xfrm>
                            <a:off x="1189628" y="449986"/>
                            <a:ext cx="108984" cy="155253"/>
                          </a:xfrm>
                          <a:prstGeom prst="rect">
                            <a:avLst/>
                          </a:prstGeom>
                          <a:ln>
                            <a:noFill/>
                          </a:ln>
                        </wps:spPr>
                        <wps:txbx>
                          <w:txbxContent>
                            <w:p w14:paraId="669AD54E"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922219" name="Shape 922219"/>
                        <wps:cNvSpPr/>
                        <wps:spPr>
                          <a:xfrm>
                            <a:off x="1738732" y="225806"/>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0967" name="Shape 40967"/>
                        <wps:cNvSpPr/>
                        <wps:spPr>
                          <a:xfrm>
                            <a:off x="1738732" y="225806"/>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68" name="Rectangle 40968"/>
                        <wps:cNvSpPr/>
                        <wps:spPr>
                          <a:xfrm>
                            <a:off x="1811757" y="190294"/>
                            <a:ext cx="472753" cy="151421"/>
                          </a:xfrm>
                          <a:prstGeom prst="rect">
                            <a:avLst/>
                          </a:prstGeom>
                          <a:ln>
                            <a:noFill/>
                          </a:ln>
                        </wps:spPr>
                        <wps:txbx>
                          <w:txbxContent>
                            <w:p w14:paraId="63993481" w14:textId="77777777" w:rsidR="0014164F" w:rsidRDefault="0014164F" w:rsidP="00C232D7">
                              <w:r>
                                <w:rPr>
                                  <w:rFonts w:ascii="Arial" w:eastAsia="Arial" w:hAnsi="Arial" w:cs="Arial"/>
                                  <w:color w:val="595959"/>
                                  <w:sz w:val="16"/>
                                </w:rPr>
                                <w:t>Plastika</w:t>
                              </w:r>
                            </w:p>
                          </w:txbxContent>
                        </wps:txbx>
                        <wps:bodyPr horzOverflow="overflow" vert="horz" lIns="0" tIns="0" rIns="0" bIns="0" rtlCol="0">
                          <a:noAutofit/>
                        </wps:bodyPr>
                      </wps:wsp>
                      <wps:wsp>
                        <wps:cNvPr id="922220" name="Shape 922220"/>
                        <wps:cNvSpPr/>
                        <wps:spPr>
                          <a:xfrm>
                            <a:off x="1738732" y="413258"/>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0970" name="Shape 40970"/>
                        <wps:cNvSpPr/>
                        <wps:spPr>
                          <a:xfrm>
                            <a:off x="1738732" y="413258"/>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71" name="Rectangle 40971"/>
                        <wps:cNvSpPr/>
                        <wps:spPr>
                          <a:xfrm>
                            <a:off x="1811757" y="378889"/>
                            <a:ext cx="368999" cy="151421"/>
                          </a:xfrm>
                          <a:prstGeom prst="rect">
                            <a:avLst/>
                          </a:prstGeom>
                          <a:ln>
                            <a:noFill/>
                          </a:ln>
                        </wps:spPr>
                        <wps:txbx>
                          <w:txbxContent>
                            <w:p w14:paraId="5CE9350B" w14:textId="77777777" w:rsidR="0014164F" w:rsidRDefault="0014164F" w:rsidP="00C232D7">
                              <w:r>
                                <w:rPr>
                                  <w:rFonts w:ascii="Arial" w:eastAsia="Arial" w:hAnsi="Arial" w:cs="Arial"/>
                                  <w:color w:val="595959"/>
                                  <w:sz w:val="16"/>
                                </w:rPr>
                                <w:t>Guma</w:t>
                              </w:r>
                            </w:p>
                          </w:txbxContent>
                        </wps:txbx>
                        <wps:bodyPr horzOverflow="overflow" vert="horz" lIns="0" tIns="0" rIns="0" bIns="0" rtlCol="0">
                          <a:noAutofit/>
                        </wps:bodyPr>
                      </wps:wsp>
                      <wps:wsp>
                        <wps:cNvPr id="922221" name="Shape 922221"/>
                        <wps:cNvSpPr/>
                        <wps:spPr>
                          <a:xfrm>
                            <a:off x="1738732" y="602234"/>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0973" name="Shape 40973"/>
                        <wps:cNvSpPr/>
                        <wps:spPr>
                          <a:xfrm>
                            <a:off x="1738732" y="602234"/>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74" name="Rectangle 40974"/>
                        <wps:cNvSpPr/>
                        <wps:spPr>
                          <a:xfrm>
                            <a:off x="1811757" y="585300"/>
                            <a:ext cx="428189" cy="127647"/>
                          </a:xfrm>
                          <a:prstGeom prst="rect">
                            <a:avLst/>
                          </a:prstGeom>
                          <a:ln>
                            <a:noFill/>
                          </a:ln>
                        </wps:spPr>
                        <wps:txbx>
                          <w:txbxContent>
                            <w:p w14:paraId="45354D7C" w14:textId="77777777" w:rsidR="0014164F" w:rsidRDefault="0014164F" w:rsidP="00C232D7">
                              <w:r>
                                <w:rPr>
                                  <w:rFonts w:ascii="Arial" w:eastAsia="Arial" w:hAnsi="Arial" w:cs="Arial"/>
                                  <w:color w:val="595959"/>
                                  <w:sz w:val="16"/>
                                </w:rPr>
                                <w:t>Odjeća</w:t>
                              </w:r>
                            </w:p>
                          </w:txbxContent>
                        </wps:txbx>
                        <wps:bodyPr horzOverflow="overflow" vert="horz" lIns="0" tIns="0" rIns="0" bIns="0" rtlCol="0">
                          <a:noAutofit/>
                        </wps:bodyPr>
                      </wps:wsp>
                      <wps:wsp>
                        <wps:cNvPr id="922222" name="Shape 922222"/>
                        <wps:cNvSpPr/>
                        <wps:spPr>
                          <a:xfrm>
                            <a:off x="1738732" y="791209"/>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0976" name="Shape 40976"/>
                        <wps:cNvSpPr/>
                        <wps:spPr>
                          <a:xfrm>
                            <a:off x="1738732" y="791209"/>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77" name="Rectangle 40977"/>
                        <wps:cNvSpPr/>
                        <wps:spPr>
                          <a:xfrm>
                            <a:off x="1811757" y="755952"/>
                            <a:ext cx="727657" cy="151421"/>
                          </a:xfrm>
                          <a:prstGeom prst="rect">
                            <a:avLst/>
                          </a:prstGeom>
                          <a:ln>
                            <a:noFill/>
                          </a:ln>
                        </wps:spPr>
                        <wps:txbx>
                          <w:txbxContent>
                            <w:p w14:paraId="44BFB434" w14:textId="77777777" w:rsidR="0014164F" w:rsidRDefault="0014164F" w:rsidP="00C232D7">
                              <w:r>
                                <w:rPr>
                                  <w:rFonts w:ascii="Arial" w:eastAsia="Arial" w:hAnsi="Arial" w:cs="Arial"/>
                                  <w:color w:val="595959"/>
                                  <w:sz w:val="16"/>
                                </w:rPr>
                                <w:t>Papir/karton</w:t>
                              </w:r>
                            </w:p>
                          </w:txbxContent>
                        </wps:txbx>
                        <wps:bodyPr horzOverflow="overflow" vert="horz" lIns="0" tIns="0" rIns="0" bIns="0" rtlCol="0">
                          <a:noAutofit/>
                        </wps:bodyPr>
                      </wps:wsp>
                      <wps:wsp>
                        <wps:cNvPr id="922223" name="Shape 922223"/>
                        <wps:cNvSpPr/>
                        <wps:spPr>
                          <a:xfrm>
                            <a:off x="1738732" y="978661"/>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0979" name="Shape 40979"/>
                        <wps:cNvSpPr/>
                        <wps:spPr>
                          <a:xfrm>
                            <a:off x="1738732" y="978661"/>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80" name="Rectangle 40980"/>
                        <wps:cNvSpPr/>
                        <wps:spPr>
                          <a:xfrm>
                            <a:off x="1811757" y="962744"/>
                            <a:ext cx="901872" cy="127647"/>
                          </a:xfrm>
                          <a:prstGeom prst="rect">
                            <a:avLst/>
                          </a:prstGeom>
                          <a:ln>
                            <a:noFill/>
                          </a:ln>
                        </wps:spPr>
                        <wps:txbx>
                          <w:txbxContent>
                            <w:p w14:paraId="51D2EF4F" w14:textId="77777777" w:rsidR="0014164F" w:rsidRDefault="0014164F" w:rsidP="00C232D7">
                              <w:r>
                                <w:rPr>
                                  <w:rFonts w:ascii="Arial" w:eastAsia="Arial" w:hAnsi="Arial" w:cs="Arial"/>
                                  <w:color w:val="595959"/>
                                  <w:sz w:val="16"/>
                                </w:rPr>
                                <w:t>Obrađeno drvo</w:t>
                              </w:r>
                            </w:p>
                          </w:txbxContent>
                        </wps:txbx>
                        <wps:bodyPr horzOverflow="overflow" vert="horz" lIns="0" tIns="0" rIns="0" bIns="0" rtlCol="0">
                          <a:noAutofit/>
                        </wps:bodyPr>
                      </wps:wsp>
                      <wps:wsp>
                        <wps:cNvPr id="922224" name="Shape 922224"/>
                        <wps:cNvSpPr/>
                        <wps:spPr>
                          <a:xfrm>
                            <a:off x="1738732" y="1167637"/>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0982" name="Shape 40982"/>
                        <wps:cNvSpPr/>
                        <wps:spPr>
                          <a:xfrm>
                            <a:off x="1738732" y="1167637"/>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83" name="Rectangle 40983"/>
                        <wps:cNvSpPr/>
                        <wps:spPr>
                          <a:xfrm>
                            <a:off x="1811757" y="1133015"/>
                            <a:ext cx="330161" cy="151421"/>
                          </a:xfrm>
                          <a:prstGeom prst="rect">
                            <a:avLst/>
                          </a:prstGeom>
                          <a:ln>
                            <a:noFill/>
                          </a:ln>
                        </wps:spPr>
                        <wps:txbx>
                          <w:txbxContent>
                            <w:p w14:paraId="69E4F8CC" w14:textId="77777777" w:rsidR="0014164F" w:rsidRDefault="0014164F" w:rsidP="00C232D7">
                              <w:r>
                                <w:rPr>
                                  <w:rFonts w:ascii="Arial" w:eastAsia="Arial" w:hAnsi="Arial" w:cs="Arial"/>
                                  <w:color w:val="595959"/>
                                  <w:sz w:val="16"/>
                                </w:rPr>
                                <w:t>Metal</w:t>
                              </w:r>
                            </w:p>
                          </w:txbxContent>
                        </wps:txbx>
                        <wps:bodyPr horzOverflow="overflow" vert="horz" lIns="0" tIns="0" rIns="0" bIns="0" rtlCol="0">
                          <a:noAutofit/>
                        </wps:bodyPr>
                      </wps:wsp>
                      <wps:wsp>
                        <wps:cNvPr id="922225" name="Shape 922225"/>
                        <wps:cNvSpPr/>
                        <wps:spPr>
                          <a:xfrm>
                            <a:off x="1738732" y="1356613"/>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255E91"/>
                          </a:fillRef>
                          <a:effectRef idx="0">
                            <a:scrgbClr r="0" g="0" b="0"/>
                          </a:effectRef>
                          <a:fontRef idx="none"/>
                        </wps:style>
                        <wps:bodyPr/>
                      </wps:wsp>
                      <wps:wsp>
                        <wps:cNvPr id="40985" name="Shape 40985"/>
                        <wps:cNvSpPr/>
                        <wps:spPr>
                          <a:xfrm>
                            <a:off x="1738732" y="1356613"/>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86" name="Rectangle 40986"/>
                        <wps:cNvSpPr/>
                        <wps:spPr>
                          <a:xfrm>
                            <a:off x="1811757" y="1321610"/>
                            <a:ext cx="375246" cy="151421"/>
                          </a:xfrm>
                          <a:prstGeom prst="rect">
                            <a:avLst/>
                          </a:prstGeom>
                          <a:ln>
                            <a:noFill/>
                          </a:ln>
                        </wps:spPr>
                        <wps:txbx>
                          <w:txbxContent>
                            <w:p w14:paraId="29D94C57" w14:textId="77777777" w:rsidR="0014164F" w:rsidRDefault="0014164F" w:rsidP="00C232D7">
                              <w:r>
                                <w:rPr>
                                  <w:rFonts w:ascii="Arial" w:eastAsia="Arial" w:hAnsi="Arial" w:cs="Arial"/>
                                  <w:color w:val="595959"/>
                                  <w:sz w:val="16"/>
                                </w:rPr>
                                <w:t>Staklo</w:t>
                              </w:r>
                            </w:p>
                          </w:txbxContent>
                        </wps:txbx>
                        <wps:bodyPr horzOverflow="overflow" vert="horz" lIns="0" tIns="0" rIns="0" bIns="0" rtlCol="0">
                          <a:noAutofit/>
                        </wps:bodyPr>
                      </wps:wsp>
                      <wps:wsp>
                        <wps:cNvPr id="922226" name="Shape 922226"/>
                        <wps:cNvSpPr/>
                        <wps:spPr>
                          <a:xfrm>
                            <a:off x="1738732" y="1545589"/>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0988" name="Shape 40988"/>
                        <wps:cNvSpPr/>
                        <wps:spPr>
                          <a:xfrm>
                            <a:off x="1738732" y="1545589"/>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89" name="Rectangle 40989"/>
                        <wps:cNvSpPr/>
                        <wps:spPr>
                          <a:xfrm>
                            <a:off x="1811757" y="1510332"/>
                            <a:ext cx="571754" cy="151421"/>
                          </a:xfrm>
                          <a:prstGeom prst="rect">
                            <a:avLst/>
                          </a:prstGeom>
                          <a:ln>
                            <a:noFill/>
                          </a:ln>
                        </wps:spPr>
                        <wps:txbx>
                          <w:txbxContent>
                            <w:p w14:paraId="441EB60F" w14:textId="77777777" w:rsidR="0014164F" w:rsidRDefault="0014164F" w:rsidP="00C232D7">
                              <w:r>
                                <w:rPr>
                                  <w:rFonts w:ascii="Arial" w:eastAsia="Arial" w:hAnsi="Arial" w:cs="Arial"/>
                                  <w:color w:val="595959"/>
                                  <w:sz w:val="16"/>
                                </w:rPr>
                                <w:t>Keramika</w:t>
                              </w:r>
                            </w:p>
                          </w:txbxContent>
                        </wps:txbx>
                        <wps:bodyPr horzOverflow="overflow" vert="horz" lIns="0" tIns="0" rIns="0" bIns="0" rtlCol="0">
                          <a:noAutofit/>
                        </wps:bodyPr>
                      </wps:wsp>
                      <wps:wsp>
                        <wps:cNvPr id="922227" name="Shape 922227"/>
                        <wps:cNvSpPr/>
                        <wps:spPr>
                          <a:xfrm>
                            <a:off x="1738732" y="1733042"/>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636363"/>
                          </a:fillRef>
                          <a:effectRef idx="0">
                            <a:scrgbClr r="0" g="0" b="0"/>
                          </a:effectRef>
                          <a:fontRef idx="none"/>
                        </wps:style>
                        <wps:bodyPr/>
                      </wps:wsp>
                      <wps:wsp>
                        <wps:cNvPr id="40991" name="Shape 40991"/>
                        <wps:cNvSpPr/>
                        <wps:spPr>
                          <a:xfrm>
                            <a:off x="1738732" y="1733042"/>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92" name="Rectangle 40992"/>
                        <wps:cNvSpPr/>
                        <wps:spPr>
                          <a:xfrm>
                            <a:off x="1811757" y="1698673"/>
                            <a:ext cx="908004" cy="151421"/>
                          </a:xfrm>
                          <a:prstGeom prst="rect">
                            <a:avLst/>
                          </a:prstGeom>
                          <a:ln>
                            <a:noFill/>
                          </a:ln>
                        </wps:spPr>
                        <wps:txbx>
                          <w:txbxContent>
                            <w:p w14:paraId="1CF643E3" w14:textId="77777777" w:rsidR="0014164F" w:rsidRDefault="0014164F" w:rsidP="00C232D7">
                              <w:r>
                                <w:rPr>
                                  <w:rFonts w:ascii="Arial" w:eastAsia="Arial" w:hAnsi="Arial" w:cs="Arial"/>
                                  <w:color w:val="595959"/>
                                  <w:sz w:val="16"/>
                                </w:rPr>
                                <w:t>Sanitarni otpad</w:t>
                              </w:r>
                            </w:p>
                          </w:txbxContent>
                        </wps:txbx>
                        <wps:bodyPr horzOverflow="overflow" vert="horz" lIns="0" tIns="0" rIns="0" bIns="0" rtlCol="0">
                          <a:noAutofit/>
                        </wps:bodyPr>
                      </wps:wsp>
                      <wps:wsp>
                        <wps:cNvPr id="922228" name="Shape 922228"/>
                        <wps:cNvSpPr/>
                        <wps:spPr>
                          <a:xfrm>
                            <a:off x="1738732" y="1922018"/>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997300"/>
                          </a:fillRef>
                          <a:effectRef idx="0">
                            <a:scrgbClr r="0" g="0" b="0"/>
                          </a:effectRef>
                          <a:fontRef idx="none"/>
                        </wps:style>
                        <wps:bodyPr/>
                      </wps:wsp>
                      <wps:wsp>
                        <wps:cNvPr id="40994" name="Shape 40994"/>
                        <wps:cNvSpPr/>
                        <wps:spPr>
                          <a:xfrm>
                            <a:off x="1738732" y="1922018"/>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95" name="Rectangle 40995"/>
                        <wps:cNvSpPr/>
                        <wps:spPr>
                          <a:xfrm>
                            <a:off x="1811757" y="1887395"/>
                            <a:ext cx="1007548" cy="151421"/>
                          </a:xfrm>
                          <a:prstGeom prst="rect">
                            <a:avLst/>
                          </a:prstGeom>
                          <a:ln>
                            <a:noFill/>
                          </a:ln>
                        </wps:spPr>
                        <wps:txbx>
                          <w:txbxContent>
                            <w:p w14:paraId="78FECD5A" w14:textId="77777777" w:rsidR="0014164F" w:rsidRDefault="0014164F" w:rsidP="00C232D7">
                              <w:r>
                                <w:rPr>
                                  <w:rFonts w:ascii="Arial" w:eastAsia="Arial" w:hAnsi="Arial" w:cs="Arial"/>
                                  <w:color w:val="595959"/>
                                  <w:sz w:val="16"/>
                                </w:rPr>
                                <w:t>Medicinski otpad</w:t>
                              </w:r>
                            </w:p>
                          </w:txbxContent>
                        </wps:txbx>
                        <wps:bodyPr horzOverflow="overflow" vert="horz" lIns="0" tIns="0" rIns="0" bIns="0" rtlCol="0">
                          <a:noAutofit/>
                        </wps:bodyPr>
                      </wps:wsp>
                      <wps:wsp>
                        <wps:cNvPr id="922229" name="Shape 922229"/>
                        <wps:cNvSpPr/>
                        <wps:spPr>
                          <a:xfrm>
                            <a:off x="1738732" y="2110994"/>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0997" name="Shape 40997"/>
                        <wps:cNvSpPr/>
                        <wps:spPr>
                          <a:xfrm>
                            <a:off x="1738732" y="2110994"/>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98" name="Rectangle 40998"/>
                        <wps:cNvSpPr/>
                        <wps:spPr>
                          <a:xfrm>
                            <a:off x="1811757" y="2075990"/>
                            <a:ext cx="819439" cy="151421"/>
                          </a:xfrm>
                          <a:prstGeom prst="rect">
                            <a:avLst/>
                          </a:prstGeom>
                          <a:ln>
                            <a:noFill/>
                          </a:ln>
                        </wps:spPr>
                        <wps:txbx>
                          <w:txbxContent>
                            <w:p w14:paraId="703725F9" w14:textId="77777777" w:rsidR="0014164F" w:rsidRDefault="0014164F" w:rsidP="00C232D7">
                              <w:r>
                                <w:rPr>
                                  <w:rFonts w:ascii="Arial" w:eastAsia="Arial" w:hAnsi="Arial" w:cs="Arial"/>
                                  <w:color w:val="595959"/>
                                  <w:sz w:val="16"/>
                                </w:rPr>
                                <w:t>Parafin/vosak</w:t>
                              </w:r>
                            </w:p>
                          </w:txbxContent>
                        </wps:txbx>
                        <wps:bodyPr horzOverflow="overflow" vert="horz" lIns="0" tIns="0" rIns="0" bIns="0" rtlCol="0">
                          <a:noAutofit/>
                        </wps:bodyPr>
                      </wps:wsp>
                      <wps:wsp>
                        <wps:cNvPr id="41000" name="Shape 41000"/>
                        <wps:cNvSpPr/>
                        <wps:spPr>
                          <a:xfrm>
                            <a:off x="3672942" y="865505"/>
                            <a:ext cx="45466" cy="664083"/>
                          </a:xfrm>
                          <a:custGeom>
                            <a:avLst/>
                            <a:gdLst/>
                            <a:ahLst/>
                            <a:cxnLst/>
                            <a:rect l="0" t="0" r="0" b="0"/>
                            <a:pathLst>
                              <a:path w="45466" h="664083">
                                <a:moveTo>
                                  <a:pt x="0" y="0"/>
                                </a:moveTo>
                                <a:cubicBezTo>
                                  <a:pt x="15240" y="0"/>
                                  <a:pt x="30353" y="508"/>
                                  <a:pt x="45466" y="1651"/>
                                </a:cubicBezTo>
                                <a:lnTo>
                                  <a:pt x="0" y="664083"/>
                                </a:lnTo>
                                <a:lnTo>
                                  <a:pt x="0" y="0"/>
                                </a:ln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41001" name="Shape 41001"/>
                        <wps:cNvSpPr/>
                        <wps:spPr>
                          <a:xfrm>
                            <a:off x="3672942" y="865505"/>
                            <a:ext cx="45466" cy="664083"/>
                          </a:xfrm>
                          <a:custGeom>
                            <a:avLst/>
                            <a:gdLst/>
                            <a:ahLst/>
                            <a:cxnLst/>
                            <a:rect l="0" t="0" r="0" b="0"/>
                            <a:pathLst>
                              <a:path w="45466" h="664083">
                                <a:moveTo>
                                  <a:pt x="0" y="0"/>
                                </a:moveTo>
                                <a:cubicBezTo>
                                  <a:pt x="15240" y="0"/>
                                  <a:pt x="30353" y="508"/>
                                  <a:pt x="45466" y="1651"/>
                                </a:cubicBezTo>
                                <a:lnTo>
                                  <a:pt x="0" y="664083"/>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02" name="Shape 41002"/>
                        <wps:cNvSpPr/>
                        <wps:spPr>
                          <a:xfrm>
                            <a:off x="3672942" y="867156"/>
                            <a:ext cx="53721" cy="662432"/>
                          </a:xfrm>
                          <a:custGeom>
                            <a:avLst/>
                            <a:gdLst/>
                            <a:ahLst/>
                            <a:cxnLst/>
                            <a:rect l="0" t="0" r="0" b="0"/>
                            <a:pathLst>
                              <a:path w="53721" h="662432">
                                <a:moveTo>
                                  <a:pt x="45466" y="0"/>
                                </a:moveTo>
                                <a:cubicBezTo>
                                  <a:pt x="48260" y="127"/>
                                  <a:pt x="51054" y="381"/>
                                  <a:pt x="53721" y="508"/>
                                </a:cubicBezTo>
                                <a:lnTo>
                                  <a:pt x="0" y="662432"/>
                                </a:lnTo>
                                <a:lnTo>
                                  <a:pt x="45466" y="0"/>
                                </a:ln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41003" name="Shape 41003"/>
                        <wps:cNvSpPr/>
                        <wps:spPr>
                          <a:xfrm>
                            <a:off x="3672942" y="867156"/>
                            <a:ext cx="53721" cy="662432"/>
                          </a:xfrm>
                          <a:custGeom>
                            <a:avLst/>
                            <a:gdLst/>
                            <a:ahLst/>
                            <a:cxnLst/>
                            <a:rect l="0" t="0" r="0" b="0"/>
                            <a:pathLst>
                              <a:path w="53721" h="662432">
                                <a:moveTo>
                                  <a:pt x="45466" y="0"/>
                                </a:moveTo>
                                <a:cubicBezTo>
                                  <a:pt x="48260" y="127"/>
                                  <a:pt x="51054" y="381"/>
                                  <a:pt x="53721" y="508"/>
                                </a:cubicBezTo>
                                <a:lnTo>
                                  <a:pt x="0" y="66243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04" name="Shape 41004"/>
                        <wps:cNvSpPr/>
                        <wps:spPr>
                          <a:xfrm>
                            <a:off x="3672942" y="867663"/>
                            <a:ext cx="166116" cy="661924"/>
                          </a:xfrm>
                          <a:custGeom>
                            <a:avLst/>
                            <a:gdLst/>
                            <a:ahLst/>
                            <a:cxnLst/>
                            <a:rect l="0" t="0" r="0" b="0"/>
                            <a:pathLst>
                              <a:path w="166116" h="661924">
                                <a:moveTo>
                                  <a:pt x="53721" y="0"/>
                                </a:moveTo>
                                <a:cubicBezTo>
                                  <a:pt x="91694" y="3175"/>
                                  <a:pt x="129286" y="9525"/>
                                  <a:pt x="166116" y="18924"/>
                                </a:cubicBezTo>
                                <a:lnTo>
                                  <a:pt x="0" y="661924"/>
                                </a:lnTo>
                                <a:lnTo>
                                  <a:pt x="53721" y="0"/>
                                </a:ln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41005" name="Shape 41005"/>
                        <wps:cNvSpPr/>
                        <wps:spPr>
                          <a:xfrm>
                            <a:off x="3672942" y="867663"/>
                            <a:ext cx="166116" cy="661924"/>
                          </a:xfrm>
                          <a:custGeom>
                            <a:avLst/>
                            <a:gdLst/>
                            <a:ahLst/>
                            <a:cxnLst/>
                            <a:rect l="0" t="0" r="0" b="0"/>
                            <a:pathLst>
                              <a:path w="166116" h="661924">
                                <a:moveTo>
                                  <a:pt x="53721" y="0"/>
                                </a:moveTo>
                                <a:cubicBezTo>
                                  <a:pt x="91694" y="3175"/>
                                  <a:pt x="129286" y="9525"/>
                                  <a:pt x="166116" y="18924"/>
                                </a:cubicBezTo>
                                <a:lnTo>
                                  <a:pt x="0" y="66192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06" name="Shape 41006"/>
                        <wps:cNvSpPr/>
                        <wps:spPr>
                          <a:xfrm>
                            <a:off x="3672942" y="886587"/>
                            <a:ext cx="169291" cy="643000"/>
                          </a:xfrm>
                          <a:custGeom>
                            <a:avLst/>
                            <a:gdLst/>
                            <a:ahLst/>
                            <a:cxnLst/>
                            <a:rect l="0" t="0" r="0" b="0"/>
                            <a:pathLst>
                              <a:path w="169291" h="643000">
                                <a:moveTo>
                                  <a:pt x="166116" y="0"/>
                                </a:moveTo>
                                <a:cubicBezTo>
                                  <a:pt x="167132" y="381"/>
                                  <a:pt x="168148" y="635"/>
                                  <a:pt x="169291" y="888"/>
                                </a:cubicBezTo>
                                <a:lnTo>
                                  <a:pt x="0" y="643000"/>
                                </a:lnTo>
                                <a:lnTo>
                                  <a:pt x="166116" y="0"/>
                                </a:ln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41007" name="Shape 41007"/>
                        <wps:cNvSpPr/>
                        <wps:spPr>
                          <a:xfrm>
                            <a:off x="3672942" y="886587"/>
                            <a:ext cx="169291" cy="643000"/>
                          </a:xfrm>
                          <a:custGeom>
                            <a:avLst/>
                            <a:gdLst/>
                            <a:ahLst/>
                            <a:cxnLst/>
                            <a:rect l="0" t="0" r="0" b="0"/>
                            <a:pathLst>
                              <a:path w="169291" h="643000">
                                <a:moveTo>
                                  <a:pt x="166116" y="0"/>
                                </a:moveTo>
                                <a:cubicBezTo>
                                  <a:pt x="167132" y="381"/>
                                  <a:pt x="168148" y="635"/>
                                  <a:pt x="169291" y="888"/>
                                </a:cubicBezTo>
                                <a:lnTo>
                                  <a:pt x="0" y="64300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08" name="Shape 41008"/>
                        <wps:cNvSpPr/>
                        <wps:spPr>
                          <a:xfrm>
                            <a:off x="2937358" y="871727"/>
                            <a:ext cx="1471168" cy="1393444"/>
                          </a:xfrm>
                          <a:custGeom>
                            <a:avLst/>
                            <a:gdLst/>
                            <a:ahLst/>
                            <a:cxnLst/>
                            <a:rect l="0" t="0" r="0" b="0"/>
                            <a:pathLst>
                              <a:path w="1471168" h="1393444">
                                <a:moveTo>
                                  <a:pt x="645287" y="0"/>
                                </a:moveTo>
                                <a:lnTo>
                                  <a:pt x="735584" y="657860"/>
                                </a:lnTo>
                                <a:lnTo>
                                  <a:pt x="904875" y="15748"/>
                                </a:lnTo>
                                <a:cubicBezTo>
                                  <a:pt x="1259459" y="109220"/>
                                  <a:pt x="1471168" y="472440"/>
                                  <a:pt x="1377696" y="827151"/>
                                </a:cubicBezTo>
                                <a:cubicBezTo>
                                  <a:pt x="1284224" y="1181735"/>
                                  <a:pt x="921004" y="1393444"/>
                                  <a:pt x="566293" y="1299973"/>
                                </a:cubicBezTo>
                                <a:cubicBezTo>
                                  <a:pt x="211709" y="1206500"/>
                                  <a:pt x="0" y="843280"/>
                                  <a:pt x="93472" y="488569"/>
                                </a:cubicBezTo>
                                <a:cubicBezTo>
                                  <a:pt x="161798" y="229235"/>
                                  <a:pt x="379603" y="36449"/>
                                  <a:pt x="645287"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41009" name="Shape 41009"/>
                        <wps:cNvSpPr/>
                        <wps:spPr>
                          <a:xfrm>
                            <a:off x="2937358" y="871727"/>
                            <a:ext cx="1471168" cy="1393444"/>
                          </a:xfrm>
                          <a:custGeom>
                            <a:avLst/>
                            <a:gdLst/>
                            <a:ahLst/>
                            <a:cxnLst/>
                            <a:rect l="0" t="0" r="0" b="0"/>
                            <a:pathLst>
                              <a:path w="1471168" h="1393444">
                                <a:moveTo>
                                  <a:pt x="904875" y="15748"/>
                                </a:moveTo>
                                <a:cubicBezTo>
                                  <a:pt x="1259459" y="109220"/>
                                  <a:pt x="1471168" y="472440"/>
                                  <a:pt x="1377696" y="827151"/>
                                </a:cubicBezTo>
                                <a:cubicBezTo>
                                  <a:pt x="1284224" y="1181735"/>
                                  <a:pt x="921004" y="1393444"/>
                                  <a:pt x="566293" y="1299973"/>
                                </a:cubicBezTo>
                                <a:cubicBezTo>
                                  <a:pt x="211709" y="1206500"/>
                                  <a:pt x="0" y="843280"/>
                                  <a:pt x="93472" y="488569"/>
                                </a:cubicBezTo>
                                <a:cubicBezTo>
                                  <a:pt x="161798" y="229235"/>
                                  <a:pt x="379603" y="36449"/>
                                  <a:pt x="645287" y="0"/>
                                </a:cubicBezTo>
                                <a:lnTo>
                                  <a:pt x="735584" y="65786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10" name="Shape 41010"/>
                        <wps:cNvSpPr/>
                        <wps:spPr>
                          <a:xfrm>
                            <a:off x="3582645" y="870965"/>
                            <a:ext cx="90297" cy="658622"/>
                          </a:xfrm>
                          <a:custGeom>
                            <a:avLst/>
                            <a:gdLst/>
                            <a:ahLst/>
                            <a:cxnLst/>
                            <a:rect l="0" t="0" r="0" b="0"/>
                            <a:pathLst>
                              <a:path w="90297" h="658622">
                                <a:moveTo>
                                  <a:pt x="6096" y="0"/>
                                </a:moveTo>
                                <a:lnTo>
                                  <a:pt x="90297" y="658622"/>
                                </a:lnTo>
                                <a:lnTo>
                                  <a:pt x="0" y="762"/>
                                </a:lnTo>
                                <a:cubicBezTo>
                                  <a:pt x="2032" y="508"/>
                                  <a:pt x="4064" y="254"/>
                                  <a:pt x="6096" y="0"/>
                                </a:cubicBezTo>
                                <a:close/>
                              </a:path>
                            </a:pathLst>
                          </a:custGeom>
                          <a:ln w="0" cap="flat">
                            <a:round/>
                          </a:ln>
                        </wps:spPr>
                        <wps:style>
                          <a:lnRef idx="0">
                            <a:srgbClr val="000000">
                              <a:alpha val="0"/>
                            </a:srgbClr>
                          </a:lnRef>
                          <a:fillRef idx="1">
                            <a:srgbClr val="70AD47"/>
                          </a:fillRef>
                          <a:effectRef idx="0">
                            <a:scrgbClr r="0" g="0" b="0"/>
                          </a:effectRef>
                          <a:fontRef idx="none"/>
                        </wps:style>
                        <wps:bodyPr/>
                      </wps:wsp>
                      <wps:wsp>
                        <wps:cNvPr id="41011" name="Shape 41011"/>
                        <wps:cNvSpPr/>
                        <wps:spPr>
                          <a:xfrm>
                            <a:off x="3582645" y="870965"/>
                            <a:ext cx="90297" cy="658622"/>
                          </a:xfrm>
                          <a:custGeom>
                            <a:avLst/>
                            <a:gdLst/>
                            <a:ahLst/>
                            <a:cxnLst/>
                            <a:rect l="0" t="0" r="0" b="0"/>
                            <a:pathLst>
                              <a:path w="90297" h="658622">
                                <a:moveTo>
                                  <a:pt x="0" y="762"/>
                                </a:moveTo>
                                <a:cubicBezTo>
                                  <a:pt x="2032" y="508"/>
                                  <a:pt x="4064" y="254"/>
                                  <a:pt x="6096" y="0"/>
                                </a:cubicBezTo>
                                <a:lnTo>
                                  <a:pt x="90297" y="65862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12" name="Shape 41012"/>
                        <wps:cNvSpPr/>
                        <wps:spPr>
                          <a:xfrm>
                            <a:off x="3588741" y="870458"/>
                            <a:ext cx="84201" cy="659130"/>
                          </a:xfrm>
                          <a:custGeom>
                            <a:avLst/>
                            <a:gdLst/>
                            <a:ahLst/>
                            <a:cxnLst/>
                            <a:rect l="0" t="0" r="0" b="0"/>
                            <a:pathLst>
                              <a:path w="84201" h="659130">
                                <a:moveTo>
                                  <a:pt x="3048" y="0"/>
                                </a:moveTo>
                                <a:lnTo>
                                  <a:pt x="84201" y="659130"/>
                                </a:lnTo>
                                <a:lnTo>
                                  <a:pt x="0" y="508"/>
                                </a:lnTo>
                                <a:cubicBezTo>
                                  <a:pt x="1016" y="381"/>
                                  <a:pt x="2032" y="127"/>
                                  <a:pt x="3048" y="0"/>
                                </a:cubicBezTo>
                                <a:close/>
                              </a:path>
                            </a:pathLst>
                          </a:custGeom>
                          <a:ln w="0" cap="flat">
                            <a:round/>
                          </a:ln>
                        </wps:spPr>
                        <wps:style>
                          <a:lnRef idx="0">
                            <a:srgbClr val="000000">
                              <a:alpha val="0"/>
                            </a:srgbClr>
                          </a:lnRef>
                          <a:fillRef idx="1">
                            <a:srgbClr val="255E91"/>
                          </a:fillRef>
                          <a:effectRef idx="0">
                            <a:scrgbClr r="0" g="0" b="0"/>
                          </a:effectRef>
                          <a:fontRef idx="none"/>
                        </wps:style>
                        <wps:bodyPr/>
                      </wps:wsp>
                      <wps:wsp>
                        <wps:cNvPr id="41013" name="Shape 41013"/>
                        <wps:cNvSpPr/>
                        <wps:spPr>
                          <a:xfrm>
                            <a:off x="3588741" y="870458"/>
                            <a:ext cx="84201" cy="659130"/>
                          </a:xfrm>
                          <a:custGeom>
                            <a:avLst/>
                            <a:gdLst/>
                            <a:ahLst/>
                            <a:cxnLst/>
                            <a:rect l="0" t="0" r="0" b="0"/>
                            <a:pathLst>
                              <a:path w="84201" h="659130">
                                <a:moveTo>
                                  <a:pt x="0" y="508"/>
                                </a:moveTo>
                                <a:cubicBezTo>
                                  <a:pt x="1016" y="381"/>
                                  <a:pt x="2032" y="127"/>
                                  <a:pt x="3048" y="0"/>
                                </a:cubicBezTo>
                                <a:lnTo>
                                  <a:pt x="84201" y="65913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14" name="Shape 41014"/>
                        <wps:cNvSpPr/>
                        <wps:spPr>
                          <a:xfrm>
                            <a:off x="3591789" y="869442"/>
                            <a:ext cx="81153" cy="660146"/>
                          </a:xfrm>
                          <a:custGeom>
                            <a:avLst/>
                            <a:gdLst/>
                            <a:ahLst/>
                            <a:cxnLst/>
                            <a:rect l="0" t="0" r="0" b="0"/>
                            <a:pathLst>
                              <a:path w="81153" h="660146">
                                <a:moveTo>
                                  <a:pt x="9525" y="0"/>
                                </a:moveTo>
                                <a:lnTo>
                                  <a:pt x="81153" y="660146"/>
                                </a:lnTo>
                                <a:lnTo>
                                  <a:pt x="0" y="1016"/>
                                </a:lnTo>
                                <a:cubicBezTo>
                                  <a:pt x="3175" y="635"/>
                                  <a:pt x="6350" y="254"/>
                                  <a:pt x="9525" y="0"/>
                                </a:cubicBezTo>
                                <a:close/>
                              </a:path>
                            </a:pathLst>
                          </a:custGeom>
                          <a:ln w="0" cap="flat">
                            <a:round/>
                          </a:ln>
                        </wps:spPr>
                        <wps:style>
                          <a:lnRef idx="0">
                            <a:srgbClr val="000000">
                              <a:alpha val="0"/>
                            </a:srgbClr>
                          </a:lnRef>
                          <a:fillRef idx="1">
                            <a:srgbClr val="9E480E"/>
                          </a:fillRef>
                          <a:effectRef idx="0">
                            <a:scrgbClr r="0" g="0" b="0"/>
                          </a:effectRef>
                          <a:fontRef idx="none"/>
                        </wps:style>
                        <wps:bodyPr/>
                      </wps:wsp>
                      <wps:wsp>
                        <wps:cNvPr id="41015" name="Shape 41015"/>
                        <wps:cNvSpPr/>
                        <wps:spPr>
                          <a:xfrm>
                            <a:off x="3591789" y="869442"/>
                            <a:ext cx="81153" cy="660146"/>
                          </a:xfrm>
                          <a:custGeom>
                            <a:avLst/>
                            <a:gdLst/>
                            <a:ahLst/>
                            <a:cxnLst/>
                            <a:rect l="0" t="0" r="0" b="0"/>
                            <a:pathLst>
                              <a:path w="81153" h="660146">
                                <a:moveTo>
                                  <a:pt x="0" y="1016"/>
                                </a:moveTo>
                                <a:cubicBezTo>
                                  <a:pt x="3175" y="635"/>
                                  <a:pt x="6350" y="254"/>
                                  <a:pt x="9525" y="0"/>
                                </a:cubicBezTo>
                                <a:lnTo>
                                  <a:pt x="81153" y="660146"/>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16" name="Shape 41016"/>
                        <wps:cNvSpPr/>
                        <wps:spPr>
                          <a:xfrm>
                            <a:off x="3601314" y="865505"/>
                            <a:ext cx="71628" cy="664083"/>
                          </a:xfrm>
                          <a:custGeom>
                            <a:avLst/>
                            <a:gdLst/>
                            <a:ahLst/>
                            <a:cxnLst/>
                            <a:rect l="0" t="0" r="0" b="0"/>
                            <a:pathLst>
                              <a:path w="71628" h="664083">
                                <a:moveTo>
                                  <a:pt x="70993" y="0"/>
                                </a:moveTo>
                                <a:lnTo>
                                  <a:pt x="71628" y="664083"/>
                                </a:lnTo>
                                <a:lnTo>
                                  <a:pt x="0" y="3937"/>
                                </a:lnTo>
                                <a:cubicBezTo>
                                  <a:pt x="23622" y="1397"/>
                                  <a:pt x="47244" y="0"/>
                                  <a:pt x="70993" y="0"/>
                                </a:cubicBezTo>
                                <a:close/>
                              </a:path>
                            </a:pathLst>
                          </a:custGeom>
                          <a:ln w="0" cap="flat">
                            <a:round/>
                          </a:ln>
                        </wps:spPr>
                        <wps:style>
                          <a:lnRef idx="0">
                            <a:srgbClr val="000000">
                              <a:alpha val="0"/>
                            </a:srgbClr>
                          </a:lnRef>
                          <a:fillRef idx="1">
                            <a:srgbClr val="636363"/>
                          </a:fillRef>
                          <a:effectRef idx="0">
                            <a:scrgbClr r="0" g="0" b="0"/>
                          </a:effectRef>
                          <a:fontRef idx="none"/>
                        </wps:style>
                        <wps:bodyPr/>
                      </wps:wsp>
                      <wps:wsp>
                        <wps:cNvPr id="41017" name="Shape 41017"/>
                        <wps:cNvSpPr/>
                        <wps:spPr>
                          <a:xfrm>
                            <a:off x="3601314" y="865505"/>
                            <a:ext cx="71628" cy="664083"/>
                          </a:xfrm>
                          <a:custGeom>
                            <a:avLst/>
                            <a:gdLst/>
                            <a:ahLst/>
                            <a:cxnLst/>
                            <a:rect l="0" t="0" r="0" b="0"/>
                            <a:pathLst>
                              <a:path w="71628" h="664083">
                                <a:moveTo>
                                  <a:pt x="0" y="3937"/>
                                </a:moveTo>
                                <a:cubicBezTo>
                                  <a:pt x="23622" y="1397"/>
                                  <a:pt x="47244" y="0"/>
                                  <a:pt x="70993" y="0"/>
                                </a:cubicBezTo>
                                <a:lnTo>
                                  <a:pt x="71628" y="664083"/>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18" name="Shape 41018"/>
                        <wps:cNvSpPr/>
                        <wps:spPr>
                          <a:xfrm>
                            <a:off x="3672307" y="865505"/>
                            <a:ext cx="635" cy="664083"/>
                          </a:xfrm>
                          <a:custGeom>
                            <a:avLst/>
                            <a:gdLst/>
                            <a:ahLst/>
                            <a:cxnLst/>
                            <a:rect l="0" t="0" r="0" b="0"/>
                            <a:pathLst>
                              <a:path w="635" h="664083">
                                <a:moveTo>
                                  <a:pt x="0" y="0"/>
                                </a:moveTo>
                                <a:cubicBezTo>
                                  <a:pt x="254" y="0"/>
                                  <a:pt x="381" y="0"/>
                                  <a:pt x="635" y="0"/>
                                </a:cubicBezTo>
                                <a:lnTo>
                                  <a:pt x="635" y="664083"/>
                                </a:lnTo>
                                <a:lnTo>
                                  <a:pt x="0" y="0"/>
                                </a:lnTo>
                                <a:close/>
                              </a:path>
                            </a:pathLst>
                          </a:custGeom>
                          <a:ln w="0" cap="flat">
                            <a:round/>
                          </a:ln>
                        </wps:spPr>
                        <wps:style>
                          <a:lnRef idx="0">
                            <a:srgbClr val="000000">
                              <a:alpha val="0"/>
                            </a:srgbClr>
                          </a:lnRef>
                          <a:fillRef idx="1">
                            <a:srgbClr val="997300"/>
                          </a:fillRef>
                          <a:effectRef idx="0">
                            <a:scrgbClr r="0" g="0" b="0"/>
                          </a:effectRef>
                          <a:fontRef idx="none"/>
                        </wps:style>
                        <wps:bodyPr/>
                      </wps:wsp>
                      <wps:wsp>
                        <wps:cNvPr id="41019" name="Shape 41019"/>
                        <wps:cNvSpPr/>
                        <wps:spPr>
                          <a:xfrm>
                            <a:off x="3672307" y="865505"/>
                            <a:ext cx="635" cy="664083"/>
                          </a:xfrm>
                          <a:custGeom>
                            <a:avLst/>
                            <a:gdLst/>
                            <a:ahLst/>
                            <a:cxnLst/>
                            <a:rect l="0" t="0" r="0" b="0"/>
                            <a:pathLst>
                              <a:path w="635" h="664083">
                                <a:moveTo>
                                  <a:pt x="0" y="0"/>
                                </a:moveTo>
                                <a:cubicBezTo>
                                  <a:pt x="254" y="0"/>
                                  <a:pt x="381" y="0"/>
                                  <a:pt x="635" y="0"/>
                                </a:cubicBezTo>
                                <a:lnTo>
                                  <a:pt x="635" y="664083"/>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20" name="Shape 41020"/>
                        <wps:cNvSpPr/>
                        <wps:spPr>
                          <a:xfrm>
                            <a:off x="3672942" y="865505"/>
                            <a:ext cx="0" cy="664083"/>
                          </a:xfrm>
                          <a:custGeom>
                            <a:avLst/>
                            <a:gdLst/>
                            <a:ahLst/>
                            <a:cxnLst/>
                            <a:rect l="0" t="0" r="0" b="0"/>
                            <a:pathLst>
                              <a:path h="664083">
                                <a:moveTo>
                                  <a:pt x="0" y="0"/>
                                </a:moveTo>
                                <a:lnTo>
                                  <a:pt x="0" y="664083"/>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21" name="Shape 41021"/>
                        <wps:cNvSpPr/>
                        <wps:spPr>
                          <a:xfrm>
                            <a:off x="3333598" y="647192"/>
                            <a:ext cx="362712" cy="219456"/>
                          </a:xfrm>
                          <a:custGeom>
                            <a:avLst/>
                            <a:gdLst/>
                            <a:ahLst/>
                            <a:cxnLst/>
                            <a:rect l="0" t="0" r="0" b="0"/>
                            <a:pathLst>
                              <a:path w="362712" h="219456">
                                <a:moveTo>
                                  <a:pt x="362712" y="219456"/>
                                </a:moveTo>
                                <a:lnTo>
                                  <a:pt x="56388"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022" name="Shape 41022"/>
                        <wps:cNvSpPr/>
                        <wps:spPr>
                          <a:xfrm>
                            <a:off x="3722218" y="729487"/>
                            <a:ext cx="563880" cy="137161"/>
                          </a:xfrm>
                          <a:custGeom>
                            <a:avLst/>
                            <a:gdLst/>
                            <a:ahLst/>
                            <a:cxnLst/>
                            <a:rect l="0" t="0" r="0" b="0"/>
                            <a:pathLst>
                              <a:path w="563880" h="137161">
                                <a:moveTo>
                                  <a:pt x="0" y="137161"/>
                                </a:moveTo>
                                <a:lnTo>
                                  <a:pt x="507492" y="0"/>
                                </a:lnTo>
                                <a:lnTo>
                                  <a:pt x="56388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023" name="Shape 41023"/>
                        <wps:cNvSpPr/>
                        <wps:spPr>
                          <a:xfrm>
                            <a:off x="3783178" y="874268"/>
                            <a:ext cx="487680" cy="38100"/>
                          </a:xfrm>
                          <a:custGeom>
                            <a:avLst/>
                            <a:gdLst/>
                            <a:ahLst/>
                            <a:cxnLst/>
                            <a:rect l="0" t="0" r="0" b="0"/>
                            <a:pathLst>
                              <a:path w="487680" h="38100">
                                <a:moveTo>
                                  <a:pt x="0" y="0"/>
                                </a:moveTo>
                                <a:lnTo>
                                  <a:pt x="431292" y="38100"/>
                                </a:lnTo>
                                <a:lnTo>
                                  <a:pt x="487680" y="3810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024" name="Shape 41024"/>
                        <wps:cNvSpPr/>
                        <wps:spPr>
                          <a:xfrm>
                            <a:off x="3184246" y="784351"/>
                            <a:ext cx="413004" cy="85344"/>
                          </a:xfrm>
                          <a:custGeom>
                            <a:avLst/>
                            <a:gdLst/>
                            <a:ahLst/>
                            <a:cxnLst/>
                            <a:rect l="0" t="0" r="0" b="0"/>
                            <a:pathLst>
                              <a:path w="413004" h="85344">
                                <a:moveTo>
                                  <a:pt x="413004" y="85344"/>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025" name="Shape 41025"/>
                        <wps:cNvSpPr/>
                        <wps:spPr>
                          <a:xfrm>
                            <a:off x="3671926" y="683768"/>
                            <a:ext cx="0" cy="181356"/>
                          </a:xfrm>
                          <a:custGeom>
                            <a:avLst/>
                            <a:gdLst/>
                            <a:ahLst/>
                            <a:cxnLst/>
                            <a:rect l="0" t="0" r="0" b="0"/>
                            <a:pathLst>
                              <a:path h="181356">
                                <a:moveTo>
                                  <a:pt x="0" y="181356"/>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026" name="Shape 41026"/>
                        <wps:cNvSpPr/>
                        <wps:spPr>
                          <a:xfrm>
                            <a:off x="3673450" y="705104"/>
                            <a:ext cx="237744" cy="160020"/>
                          </a:xfrm>
                          <a:custGeom>
                            <a:avLst/>
                            <a:gdLst/>
                            <a:ahLst/>
                            <a:cxnLst/>
                            <a:rect l="0" t="0" r="0" b="0"/>
                            <a:pathLst>
                              <a:path w="237744" h="160020">
                                <a:moveTo>
                                  <a:pt x="0" y="160020"/>
                                </a:moveTo>
                                <a:lnTo>
                                  <a:pt x="181356" y="0"/>
                                </a:lnTo>
                                <a:lnTo>
                                  <a:pt x="237744"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757435" name="Rectangle 757435"/>
                        <wps:cNvSpPr/>
                        <wps:spPr>
                          <a:xfrm>
                            <a:off x="3232722" y="560832"/>
                            <a:ext cx="108694" cy="154840"/>
                          </a:xfrm>
                          <a:prstGeom prst="rect">
                            <a:avLst/>
                          </a:prstGeom>
                          <a:ln>
                            <a:noFill/>
                          </a:ln>
                        </wps:spPr>
                        <wps:txbx>
                          <w:txbxContent>
                            <w:p w14:paraId="61D31797"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34" name="Rectangle 757434"/>
                        <wps:cNvSpPr/>
                        <wps:spPr>
                          <a:xfrm>
                            <a:off x="3030068" y="560832"/>
                            <a:ext cx="269530" cy="154840"/>
                          </a:xfrm>
                          <a:prstGeom prst="rect">
                            <a:avLst/>
                          </a:prstGeom>
                          <a:ln>
                            <a:noFill/>
                          </a:ln>
                        </wps:spPr>
                        <wps:txbx>
                          <w:txbxContent>
                            <w:p w14:paraId="0C856C54" w14:textId="77777777" w:rsidR="0014164F" w:rsidRDefault="0014164F" w:rsidP="00C232D7">
                              <w:r>
                                <w:rPr>
                                  <w:rFonts w:ascii="Calibri" w:hAnsi="Calibri" w:cs="Calibri"/>
                                  <w:color w:val="404040"/>
                                  <w:sz w:val="18"/>
                                </w:rPr>
                                <w:t>1.09</w:t>
                              </w:r>
                            </w:p>
                          </w:txbxContent>
                        </wps:txbx>
                        <wps:bodyPr horzOverflow="overflow" vert="horz" lIns="0" tIns="0" rIns="0" bIns="0" rtlCol="0">
                          <a:noAutofit/>
                        </wps:bodyPr>
                      </wps:wsp>
                      <wps:wsp>
                        <wps:cNvPr id="757443" name="Rectangle 757443"/>
                        <wps:cNvSpPr/>
                        <wps:spPr>
                          <a:xfrm>
                            <a:off x="4508818" y="643762"/>
                            <a:ext cx="108694" cy="154840"/>
                          </a:xfrm>
                          <a:prstGeom prst="rect">
                            <a:avLst/>
                          </a:prstGeom>
                          <a:ln>
                            <a:noFill/>
                          </a:ln>
                        </wps:spPr>
                        <wps:txbx>
                          <w:txbxContent>
                            <w:p w14:paraId="1EDB65C2"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42" name="Rectangle 757442"/>
                        <wps:cNvSpPr/>
                        <wps:spPr>
                          <a:xfrm>
                            <a:off x="4306164" y="643762"/>
                            <a:ext cx="269530" cy="154840"/>
                          </a:xfrm>
                          <a:prstGeom prst="rect">
                            <a:avLst/>
                          </a:prstGeom>
                          <a:ln>
                            <a:noFill/>
                          </a:ln>
                        </wps:spPr>
                        <wps:txbx>
                          <w:txbxContent>
                            <w:p w14:paraId="3B9D3E3E" w14:textId="77777777" w:rsidR="0014164F" w:rsidRDefault="0014164F" w:rsidP="00C232D7">
                              <w:r>
                                <w:rPr>
                                  <w:rFonts w:ascii="Calibri" w:hAnsi="Calibri" w:cs="Calibri"/>
                                  <w:color w:val="404040"/>
                                  <w:sz w:val="18"/>
                                </w:rPr>
                                <w:t>0.20</w:t>
                              </w:r>
                            </w:p>
                          </w:txbxContent>
                        </wps:txbx>
                        <wps:bodyPr horzOverflow="overflow" vert="horz" lIns="0" tIns="0" rIns="0" bIns="0" rtlCol="0">
                          <a:noAutofit/>
                        </wps:bodyPr>
                      </wps:wsp>
                      <wps:wsp>
                        <wps:cNvPr id="757451" name="Rectangle 757451"/>
                        <wps:cNvSpPr/>
                        <wps:spPr>
                          <a:xfrm>
                            <a:off x="4290924" y="826414"/>
                            <a:ext cx="270248" cy="155253"/>
                          </a:xfrm>
                          <a:prstGeom prst="rect">
                            <a:avLst/>
                          </a:prstGeom>
                          <a:ln>
                            <a:noFill/>
                          </a:ln>
                        </wps:spPr>
                        <wps:txbx>
                          <w:txbxContent>
                            <w:p w14:paraId="6446319C" w14:textId="77777777" w:rsidR="0014164F" w:rsidRDefault="0014164F" w:rsidP="00C232D7">
                              <w:r>
                                <w:rPr>
                                  <w:rFonts w:ascii="Calibri" w:hAnsi="Calibri" w:cs="Calibri"/>
                                  <w:color w:val="404040"/>
                                  <w:sz w:val="18"/>
                                </w:rPr>
                                <w:t>2.73</w:t>
                              </w:r>
                            </w:p>
                          </w:txbxContent>
                        </wps:txbx>
                        <wps:bodyPr horzOverflow="overflow" vert="horz" lIns="0" tIns="0" rIns="0" bIns="0" rtlCol="0">
                          <a:noAutofit/>
                        </wps:bodyPr>
                      </wps:wsp>
                      <wps:wsp>
                        <wps:cNvPr id="757452" name="Rectangle 757452"/>
                        <wps:cNvSpPr/>
                        <wps:spPr>
                          <a:xfrm>
                            <a:off x="4493660" y="826414"/>
                            <a:ext cx="108983" cy="155253"/>
                          </a:xfrm>
                          <a:prstGeom prst="rect">
                            <a:avLst/>
                          </a:prstGeom>
                          <a:ln>
                            <a:noFill/>
                          </a:ln>
                        </wps:spPr>
                        <wps:txbx>
                          <w:txbxContent>
                            <w:p w14:paraId="75207365"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55" name="Rectangle 757455"/>
                        <wps:cNvSpPr/>
                        <wps:spPr>
                          <a:xfrm>
                            <a:off x="4325976" y="964057"/>
                            <a:ext cx="269530" cy="154840"/>
                          </a:xfrm>
                          <a:prstGeom prst="rect">
                            <a:avLst/>
                          </a:prstGeom>
                          <a:ln>
                            <a:noFill/>
                          </a:ln>
                        </wps:spPr>
                        <wps:txbx>
                          <w:txbxContent>
                            <w:p w14:paraId="59A6CA02" w14:textId="77777777" w:rsidR="0014164F" w:rsidRDefault="0014164F" w:rsidP="00C232D7">
                              <w:r>
                                <w:rPr>
                                  <w:rFonts w:ascii="Calibri" w:hAnsi="Calibri" w:cs="Calibri"/>
                                  <w:color w:val="404040"/>
                                  <w:sz w:val="18"/>
                                </w:rPr>
                                <w:t>0.08</w:t>
                              </w:r>
                            </w:p>
                          </w:txbxContent>
                        </wps:txbx>
                        <wps:bodyPr horzOverflow="overflow" vert="horz" lIns="0" tIns="0" rIns="0" bIns="0" rtlCol="0">
                          <a:noAutofit/>
                        </wps:bodyPr>
                      </wps:wsp>
                      <wps:wsp>
                        <wps:cNvPr id="757456" name="Rectangle 757456"/>
                        <wps:cNvSpPr/>
                        <wps:spPr>
                          <a:xfrm>
                            <a:off x="4528630" y="964057"/>
                            <a:ext cx="108694" cy="154840"/>
                          </a:xfrm>
                          <a:prstGeom prst="rect">
                            <a:avLst/>
                          </a:prstGeom>
                          <a:ln>
                            <a:noFill/>
                          </a:ln>
                        </wps:spPr>
                        <wps:txbx>
                          <w:txbxContent>
                            <w:p w14:paraId="1F02FB98"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66" name="Rectangle 757466"/>
                        <wps:cNvSpPr/>
                        <wps:spPr>
                          <a:xfrm>
                            <a:off x="3309468" y="1800479"/>
                            <a:ext cx="346603" cy="154840"/>
                          </a:xfrm>
                          <a:prstGeom prst="rect">
                            <a:avLst/>
                          </a:prstGeom>
                          <a:ln>
                            <a:noFill/>
                          </a:ln>
                        </wps:spPr>
                        <wps:txbx>
                          <w:txbxContent>
                            <w:p w14:paraId="0CD862D2" w14:textId="77777777" w:rsidR="0014164F" w:rsidRDefault="0014164F" w:rsidP="00C232D7">
                              <w:r>
                                <w:rPr>
                                  <w:rFonts w:ascii="Calibri" w:hAnsi="Calibri" w:cs="Calibri"/>
                                  <w:color w:val="404040"/>
                                  <w:sz w:val="18"/>
                                </w:rPr>
                                <w:t>93.73</w:t>
                              </w:r>
                            </w:p>
                          </w:txbxContent>
                        </wps:txbx>
                        <wps:bodyPr horzOverflow="overflow" vert="horz" lIns="0" tIns="0" rIns="0" bIns="0" rtlCol="0">
                          <a:noAutofit/>
                        </wps:bodyPr>
                      </wps:wsp>
                      <wps:wsp>
                        <wps:cNvPr id="757467" name="Rectangle 757467"/>
                        <wps:cNvSpPr/>
                        <wps:spPr>
                          <a:xfrm>
                            <a:off x="3570072" y="1800479"/>
                            <a:ext cx="108694" cy="154840"/>
                          </a:xfrm>
                          <a:prstGeom prst="rect">
                            <a:avLst/>
                          </a:prstGeom>
                          <a:ln>
                            <a:noFill/>
                          </a:ln>
                        </wps:spPr>
                        <wps:txbx>
                          <w:txbxContent>
                            <w:p w14:paraId="000CDCE4"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40" name="Rectangle 757440"/>
                        <wps:cNvSpPr/>
                        <wps:spPr>
                          <a:xfrm>
                            <a:off x="3423768" y="685800"/>
                            <a:ext cx="269530" cy="154840"/>
                          </a:xfrm>
                          <a:prstGeom prst="rect">
                            <a:avLst/>
                          </a:prstGeom>
                          <a:ln>
                            <a:noFill/>
                          </a:ln>
                        </wps:spPr>
                        <wps:txbx>
                          <w:txbxContent>
                            <w:p w14:paraId="1E1ED26C" w14:textId="77777777" w:rsidR="0014164F" w:rsidRDefault="0014164F" w:rsidP="00C232D7">
                              <w:r>
                                <w:rPr>
                                  <w:rFonts w:ascii="Calibri" w:hAnsi="Calibri" w:cs="Calibri"/>
                                  <w:color w:val="404040"/>
                                  <w:sz w:val="18"/>
                                </w:rPr>
                                <w:t>0.15</w:t>
                              </w:r>
                            </w:p>
                          </w:txbxContent>
                        </wps:txbx>
                        <wps:bodyPr horzOverflow="overflow" vert="horz" lIns="0" tIns="0" rIns="0" bIns="0" rtlCol="0">
                          <a:noAutofit/>
                        </wps:bodyPr>
                      </wps:wsp>
                      <wps:wsp>
                        <wps:cNvPr id="757441" name="Rectangle 757441"/>
                        <wps:cNvSpPr/>
                        <wps:spPr>
                          <a:xfrm>
                            <a:off x="3626422" y="685800"/>
                            <a:ext cx="108694" cy="154840"/>
                          </a:xfrm>
                          <a:prstGeom prst="rect">
                            <a:avLst/>
                          </a:prstGeom>
                          <a:ln>
                            <a:noFill/>
                          </a:ln>
                        </wps:spPr>
                        <wps:txbx>
                          <w:txbxContent>
                            <w:p w14:paraId="57A89B1C"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57" name="Rectangle 757457"/>
                        <wps:cNvSpPr/>
                        <wps:spPr>
                          <a:xfrm>
                            <a:off x="2872080" y="1035176"/>
                            <a:ext cx="269530" cy="154840"/>
                          </a:xfrm>
                          <a:prstGeom prst="rect">
                            <a:avLst/>
                          </a:prstGeom>
                          <a:ln>
                            <a:noFill/>
                          </a:ln>
                        </wps:spPr>
                        <wps:txbx>
                          <w:txbxContent>
                            <w:p w14:paraId="6DDC90F8" w14:textId="77777777" w:rsidR="0014164F" w:rsidRDefault="0014164F" w:rsidP="00C232D7">
                              <w:r>
                                <w:rPr>
                                  <w:rFonts w:ascii="Calibri" w:hAnsi="Calibri" w:cs="Calibri"/>
                                  <w:color w:val="404040"/>
                                  <w:sz w:val="18"/>
                                </w:rPr>
                                <w:t>0.08</w:t>
                              </w:r>
                            </w:p>
                          </w:txbxContent>
                        </wps:txbx>
                        <wps:bodyPr horzOverflow="overflow" vert="horz" lIns="0" tIns="0" rIns="0" bIns="0" rtlCol="0">
                          <a:noAutofit/>
                        </wps:bodyPr>
                      </wps:wsp>
                      <wps:wsp>
                        <wps:cNvPr id="757459" name="Rectangle 757459"/>
                        <wps:cNvSpPr/>
                        <wps:spPr>
                          <a:xfrm>
                            <a:off x="3074734" y="1035176"/>
                            <a:ext cx="108694" cy="154840"/>
                          </a:xfrm>
                          <a:prstGeom prst="rect">
                            <a:avLst/>
                          </a:prstGeom>
                          <a:ln>
                            <a:noFill/>
                          </a:ln>
                        </wps:spPr>
                        <wps:txbx>
                          <w:txbxContent>
                            <w:p w14:paraId="77948125"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47" name="Rectangle 757447"/>
                        <wps:cNvSpPr/>
                        <wps:spPr>
                          <a:xfrm>
                            <a:off x="2872080" y="698881"/>
                            <a:ext cx="269530" cy="154840"/>
                          </a:xfrm>
                          <a:prstGeom prst="rect">
                            <a:avLst/>
                          </a:prstGeom>
                          <a:ln>
                            <a:noFill/>
                          </a:ln>
                        </wps:spPr>
                        <wps:txbx>
                          <w:txbxContent>
                            <w:p w14:paraId="776E72DB" w14:textId="77777777" w:rsidR="0014164F" w:rsidRDefault="0014164F" w:rsidP="00C232D7">
                              <w:r>
                                <w:rPr>
                                  <w:rFonts w:ascii="Calibri" w:hAnsi="Calibri" w:cs="Calibri"/>
                                  <w:color w:val="404040"/>
                                  <w:sz w:val="18"/>
                                </w:rPr>
                                <w:t>0.23</w:t>
                              </w:r>
                            </w:p>
                          </w:txbxContent>
                        </wps:txbx>
                        <wps:bodyPr horzOverflow="overflow" vert="horz" lIns="0" tIns="0" rIns="0" bIns="0" rtlCol="0">
                          <a:noAutofit/>
                        </wps:bodyPr>
                      </wps:wsp>
                      <wps:wsp>
                        <wps:cNvPr id="757448" name="Rectangle 757448"/>
                        <wps:cNvSpPr/>
                        <wps:spPr>
                          <a:xfrm>
                            <a:off x="3074734" y="698881"/>
                            <a:ext cx="108694" cy="154840"/>
                          </a:xfrm>
                          <a:prstGeom prst="rect">
                            <a:avLst/>
                          </a:prstGeom>
                          <a:ln>
                            <a:noFill/>
                          </a:ln>
                        </wps:spPr>
                        <wps:txbx>
                          <w:txbxContent>
                            <w:p w14:paraId="2369342D"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49" name="Rectangle 757449"/>
                        <wps:cNvSpPr/>
                        <wps:spPr>
                          <a:xfrm>
                            <a:off x="2872461" y="868680"/>
                            <a:ext cx="269530" cy="154840"/>
                          </a:xfrm>
                          <a:prstGeom prst="rect">
                            <a:avLst/>
                          </a:prstGeom>
                          <a:ln>
                            <a:noFill/>
                          </a:ln>
                        </wps:spPr>
                        <wps:txbx>
                          <w:txbxContent>
                            <w:p w14:paraId="1B2558A0" w14:textId="77777777" w:rsidR="0014164F" w:rsidRDefault="0014164F" w:rsidP="00C232D7">
                              <w:r>
                                <w:rPr>
                                  <w:rFonts w:ascii="Calibri" w:hAnsi="Calibri" w:cs="Calibri"/>
                                  <w:color w:val="404040"/>
                                  <w:sz w:val="18"/>
                                </w:rPr>
                                <w:t>1.70</w:t>
                              </w:r>
                            </w:p>
                          </w:txbxContent>
                        </wps:txbx>
                        <wps:bodyPr horzOverflow="overflow" vert="horz" lIns="0" tIns="0" rIns="0" bIns="0" rtlCol="0">
                          <a:noAutofit/>
                        </wps:bodyPr>
                      </wps:wsp>
                      <wps:wsp>
                        <wps:cNvPr id="757450" name="Rectangle 757450"/>
                        <wps:cNvSpPr/>
                        <wps:spPr>
                          <a:xfrm>
                            <a:off x="3075115" y="868680"/>
                            <a:ext cx="108694" cy="154840"/>
                          </a:xfrm>
                          <a:prstGeom prst="rect">
                            <a:avLst/>
                          </a:prstGeom>
                          <a:ln>
                            <a:noFill/>
                          </a:ln>
                        </wps:spPr>
                        <wps:txbx>
                          <w:txbxContent>
                            <w:p w14:paraId="76239772"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37" name="Rectangle 757437"/>
                        <wps:cNvSpPr/>
                        <wps:spPr>
                          <a:xfrm>
                            <a:off x="3721291" y="567562"/>
                            <a:ext cx="108694" cy="154840"/>
                          </a:xfrm>
                          <a:prstGeom prst="rect">
                            <a:avLst/>
                          </a:prstGeom>
                          <a:ln>
                            <a:noFill/>
                          </a:ln>
                        </wps:spPr>
                        <wps:txbx>
                          <w:txbxContent>
                            <w:p w14:paraId="1E2F5F8E"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36" name="Rectangle 757436"/>
                        <wps:cNvSpPr/>
                        <wps:spPr>
                          <a:xfrm>
                            <a:off x="3518637" y="567562"/>
                            <a:ext cx="269530" cy="154840"/>
                          </a:xfrm>
                          <a:prstGeom prst="rect">
                            <a:avLst/>
                          </a:prstGeom>
                          <a:ln>
                            <a:noFill/>
                          </a:ln>
                        </wps:spPr>
                        <wps:txbx>
                          <w:txbxContent>
                            <w:p w14:paraId="119BBF5B" w14:textId="77777777" w:rsidR="0014164F" w:rsidRDefault="0014164F" w:rsidP="00C232D7">
                              <w:r>
                                <w:rPr>
                                  <w:rFonts w:ascii="Calibri" w:hAnsi="Calibri" w:cs="Calibri"/>
                                  <w:color w:val="404040"/>
                                  <w:sz w:val="18"/>
                                </w:rPr>
                                <w:t>0.02</w:t>
                              </w:r>
                            </w:p>
                          </w:txbxContent>
                        </wps:txbx>
                        <wps:bodyPr horzOverflow="overflow" vert="horz" lIns="0" tIns="0" rIns="0" bIns="0" rtlCol="0">
                          <a:noAutofit/>
                        </wps:bodyPr>
                      </wps:wsp>
                      <wps:wsp>
                        <wps:cNvPr id="757439" name="Rectangle 757439"/>
                        <wps:cNvSpPr/>
                        <wps:spPr>
                          <a:xfrm>
                            <a:off x="4133914" y="618109"/>
                            <a:ext cx="108694" cy="154840"/>
                          </a:xfrm>
                          <a:prstGeom prst="rect">
                            <a:avLst/>
                          </a:prstGeom>
                          <a:ln>
                            <a:noFill/>
                          </a:ln>
                        </wps:spPr>
                        <wps:txbx>
                          <w:txbxContent>
                            <w:p w14:paraId="2C863129" w14:textId="77777777" w:rsidR="0014164F" w:rsidRDefault="0014164F" w:rsidP="00C232D7">
                              <w:r>
                                <w:rPr>
                                  <w:rFonts w:ascii="Calibri" w:hAnsi="Calibri" w:cs="Calibri"/>
                                  <w:color w:val="404040"/>
                                  <w:sz w:val="18"/>
                                </w:rPr>
                                <w:t>%</w:t>
                              </w:r>
                            </w:p>
                          </w:txbxContent>
                        </wps:txbx>
                        <wps:bodyPr horzOverflow="overflow" vert="horz" lIns="0" tIns="0" rIns="0" bIns="0" rtlCol="0">
                          <a:noAutofit/>
                        </wps:bodyPr>
                      </wps:wsp>
                      <wps:wsp>
                        <wps:cNvPr id="757438" name="Rectangle 757438"/>
                        <wps:cNvSpPr/>
                        <wps:spPr>
                          <a:xfrm>
                            <a:off x="3931260" y="618109"/>
                            <a:ext cx="269530" cy="154840"/>
                          </a:xfrm>
                          <a:prstGeom prst="rect">
                            <a:avLst/>
                          </a:prstGeom>
                          <a:ln>
                            <a:noFill/>
                          </a:ln>
                        </wps:spPr>
                        <wps:txbx>
                          <w:txbxContent>
                            <w:p w14:paraId="54F44F04" w14:textId="77777777" w:rsidR="0014164F" w:rsidRDefault="0014164F" w:rsidP="00C232D7">
                              <w:r>
                                <w:rPr>
                                  <w:rFonts w:ascii="Calibri" w:hAnsi="Calibri" w:cs="Calibri"/>
                                  <w:color w:val="404040"/>
                                  <w:sz w:val="18"/>
                                </w:rPr>
                                <w:t>0.00</w:t>
                              </w:r>
                            </w:p>
                          </w:txbxContent>
                        </wps:txbx>
                        <wps:bodyPr horzOverflow="overflow" vert="horz" lIns="0" tIns="0" rIns="0" bIns="0" rtlCol="0">
                          <a:noAutofit/>
                        </wps:bodyPr>
                      </wps:wsp>
                      <wps:wsp>
                        <wps:cNvPr id="922230" name="Shape 922230"/>
                        <wps:cNvSpPr/>
                        <wps:spPr>
                          <a:xfrm>
                            <a:off x="4725772" y="315721"/>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1039" name="Shape 41039"/>
                        <wps:cNvSpPr/>
                        <wps:spPr>
                          <a:xfrm>
                            <a:off x="4725772" y="315721"/>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40" name="Rectangle 41040"/>
                        <wps:cNvSpPr/>
                        <wps:spPr>
                          <a:xfrm>
                            <a:off x="4798162" y="280210"/>
                            <a:ext cx="472753" cy="151421"/>
                          </a:xfrm>
                          <a:prstGeom prst="rect">
                            <a:avLst/>
                          </a:prstGeom>
                          <a:ln>
                            <a:noFill/>
                          </a:ln>
                        </wps:spPr>
                        <wps:txbx>
                          <w:txbxContent>
                            <w:p w14:paraId="746AD7CC" w14:textId="77777777" w:rsidR="0014164F" w:rsidRDefault="0014164F" w:rsidP="00C232D7">
                              <w:r>
                                <w:rPr>
                                  <w:rFonts w:ascii="Arial" w:eastAsia="Arial" w:hAnsi="Arial" w:cs="Arial"/>
                                  <w:color w:val="595959"/>
                                  <w:sz w:val="16"/>
                                </w:rPr>
                                <w:t>Plastika</w:t>
                              </w:r>
                            </w:p>
                          </w:txbxContent>
                        </wps:txbx>
                        <wps:bodyPr horzOverflow="overflow" vert="horz" lIns="0" tIns="0" rIns="0" bIns="0" rtlCol="0">
                          <a:noAutofit/>
                        </wps:bodyPr>
                      </wps:wsp>
                      <wps:wsp>
                        <wps:cNvPr id="922231" name="Shape 922231"/>
                        <wps:cNvSpPr/>
                        <wps:spPr>
                          <a:xfrm>
                            <a:off x="4725772" y="524509"/>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1042" name="Shape 41042"/>
                        <wps:cNvSpPr/>
                        <wps:spPr>
                          <a:xfrm>
                            <a:off x="4725772" y="524509"/>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43" name="Rectangle 41043"/>
                        <wps:cNvSpPr/>
                        <wps:spPr>
                          <a:xfrm>
                            <a:off x="4798162" y="488998"/>
                            <a:ext cx="368999" cy="151421"/>
                          </a:xfrm>
                          <a:prstGeom prst="rect">
                            <a:avLst/>
                          </a:prstGeom>
                          <a:ln>
                            <a:noFill/>
                          </a:ln>
                        </wps:spPr>
                        <wps:txbx>
                          <w:txbxContent>
                            <w:p w14:paraId="241F7D43" w14:textId="77777777" w:rsidR="0014164F" w:rsidRDefault="0014164F" w:rsidP="00C232D7">
                              <w:r>
                                <w:rPr>
                                  <w:rFonts w:ascii="Arial" w:eastAsia="Arial" w:hAnsi="Arial" w:cs="Arial"/>
                                  <w:color w:val="595959"/>
                                  <w:sz w:val="16"/>
                                </w:rPr>
                                <w:t>Guma</w:t>
                              </w:r>
                            </w:p>
                          </w:txbxContent>
                        </wps:txbx>
                        <wps:bodyPr horzOverflow="overflow" vert="horz" lIns="0" tIns="0" rIns="0" bIns="0" rtlCol="0">
                          <a:noAutofit/>
                        </wps:bodyPr>
                      </wps:wsp>
                      <wps:wsp>
                        <wps:cNvPr id="922232" name="Shape 922232"/>
                        <wps:cNvSpPr/>
                        <wps:spPr>
                          <a:xfrm>
                            <a:off x="4725772" y="731773"/>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1045" name="Shape 41045"/>
                        <wps:cNvSpPr/>
                        <wps:spPr>
                          <a:xfrm>
                            <a:off x="4725772" y="731773"/>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46" name="Rectangle 41046"/>
                        <wps:cNvSpPr/>
                        <wps:spPr>
                          <a:xfrm>
                            <a:off x="4798162" y="715856"/>
                            <a:ext cx="428189" cy="127647"/>
                          </a:xfrm>
                          <a:prstGeom prst="rect">
                            <a:avLst/>
                          </a:prstGeom>
                          <a:ln>
                            <a:noFill/>
                          </a:ln>
                        </wps:spPr>
                        <wps:txbx>
                          <w:txbxContent>
                            <w:p w14:paraId="33257E96" w14:textId="77777777" w:rsidR="0014164F" w:rsidRDefault="0014164F" w:rsidP="00C232D7">
                              <w:r>
                                <w:rPr>
                                  <w:rFonts w:ascii="Arial" w:eastAsia="Arial" w:hAnsi="Arial" w:cs="Arial"/>
                                  <w:color w:val="595959"/>
                                  <w:sz w:val="16"/>
                                </w:rPr>
                                <w:t>Odjeća</w:t>
                              </w:r>
                            </w:p>
                          </w:txbxContent>
                        </wps:txbx>
                        <wps:bodyPr horzOverflow="overflow" vert="horz" lIns="0" tIns="0" rIns="0" bIns="0" rtlCol="0">
                          <a:noAutofit/>
                        </wps:bodyPr>
                      </wps:wsp>
                      <wps:wsp>
                        <wps:cNvPr id="922233" name="Shape 922233"/>
                        <wps:cNvSpPr/>
                        <wps:spPr>
                          <a:xfrm>
                            <a:off x="4725772" y="940561"/>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1048" name="Shape 41048"/>
                        <wps:cNvSpPr/>
                        <wps:spPr>
                          <a:xfrm>
                            <a:off x="4725772" y="940561"/>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49" name="Rectangle 41049"/>
                        <wps:cNvSpPr/>
                        <wps:spPr>
                          <a:xfrm>
                            <a:off x="4798162" y="906193"/>
                            <a:ext cx="727656" cy="151421"/>
                          </a:xfrm>
                          <a:prstGeom prst="rect">
                            <a:avLst/>
                          </a:prstGeom>
                          <a:ln>
                            <a:noFill/>
                          </a:ln>
                        </wps:spPr>
                        <wps:txbx>
                          <w:txbxContent>
                            <w:p w14:paraId="0EFF537E" w14:textId="77777777" w:rsidR="0014164F" w:rsidRDefault="0014164F" w:rsidP="00C232D7">
                              <w:r>
                                <w:rPr>
                                  <w:rFonts w:ascii="Arial" w:eastAsia="Arial" w:hAnsi="Arial" w:cs="Arial"/>
                                  <w:color w:val="595959"/>
                                  <w:sz w:val="16"/>
                                </w:rPr>
                                <w:t>Papir/karton</w:t>
                              </w:r>
                            </w:p>
                          </w:txbxContent>
                        </wps:txbx>
                        <wps:bodyPr horzOverflow="overflow" vert="horz" lIns="0" tIns="0" rIns="0" bIns="0" rtlCol="0">
                          <a:noAutofit/>
                        </wps:bodyPr>
                      </wps:wsp>
                      <wps:wsp>
                        <wps:cNvPr id="922234" name="Shape 922234"/>
                        <wps:cNvSpPr/>
                        <wps:spPr>
                          <a:xfrm>
                            <a:off x="4725772" y="1149349"/>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1051" name="Shape 41051"/>
                        <wps:cNvSpPr/>
                        <wps:spPr>
                          <a:xfrm>
                            <a:off x="4725772" y="1149349"/>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52" name="Rectangle 41052"/>
                        <wps:cNvSpPr/>
                        <wps:spPr>
                          <a:xfrm>
                            <a:off x="4798162" y="1133051"/>
                            <a:ext cx="901872" cy="127647"/>
                          </a:xfrm>
                          <a:prstGeom prst="rect">
                            <a:avLst/>
                          </a:prstGeom>
                          <a:ln>
                            <a:noFill/>
                          </a:ln>
                        </wps:spPr>
                        <wps:txbx>
                          <w:txbxContent>
                            <w:p w14:paraId="5A38CBBD" w14:textId="77777777" w:rsidR="0014164F" w:rsidRDefault="0014164F" w:rsidP="00C232D7">
                              <w:r>
                                <w:rPr>
                                  <w:rFonts w:ascii="Arial" w:eastAsia="Arial" w:hAnsi="Arial" w:cs="Arial"/>
                                  <w:color w:val="595959"/>
                                  <w:sz w:val="16"/>
                                </w:rPr>
                                <w:t>Obrađeno drvo</w:t>
                              </w:r>
                            </w:p>
                          </w:txbxContent>
                        </wps:txbx>
                        <wps:bodyPr horzOverflow="overflow" vert="horz" lIns="0" tIns="0" rIns="0" bIns="0" rtlCol="0">
                          <a:noAutofit/>
                        </wps:bodyPr>
                      </wps:wsp>
                      <wps:wsp>
                        <wps:cNvPr id="922235" name="Shape 922235"/>
                        <wps:cNvSpPr/>
                        <wps:spPr>
                          <a:xfrm>
                            <a:off x="4725772" y="1358137"/>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1054" name="Shape 41054"/>
                        <wps:cNvSpPr/>
                        <wps:spPr>
                          <a:xfrm>
                            <a:off x="4725772" y="1358137"/>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55" name="Rectangle 41055"/>
                        <wps:cNvSpPr/>
                        <wps:spPr>
                          <a:xfrm>
                            <a:off x="4798162" y="1323769"/>
                            <a:ext cx="330162" cy="151421"/>
                          </a:xfrm>
                          <a:prstGeom prst="rect">
                            <a:avLst/>
                          </a:prstGeom>
                          <a:ln>
                            <a:noFill/>
                          </a:ln>
                        </wps:spPr>
                        <wps:txbx>
                          <w:txbxContent>
                            <w:p w14:paraId="512A071E" w14:textId="77777777" w:rsidR="0014164F" w:rsidRDefault="0014164F" w:rsidP="00C232D7">
                              <w:r>
                                <w:rPr>
                                  <w:rFonts w:ascii="Arial" w:eastAsia="Arial" w:hAnsi="Arial" w:cs="Arial"/>
                                  <w:color w:val="595959"/>
                                  <w:sz w:val="16"/>
                                </w:rPr>
                                <w:t>Metal</w:t>
                              </w:r>
                            </w:p>
                          </w:txbxContent>
                        </wps:txbx>
                        <wps:bodyPr horzOverflow="overflow" vert="horz" lIns="0" tIns="0" rIns="0" bIns="0" rtlCol="0">
                          <a:noAutofit/>
                        </wps:bodyPr>
                      </wps:wsp>
                      <wps:wsp>
                        <wps:cNvPr id="922236" name="Shape 922236"/>
                        <wps:cNvSpPr/>
                        <wps:spPr>
                          <a:xfrm>
                            <a:off x="4725772" y="1566925"/>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255E91"/>
                          </a:fillRef>
                          <a:effectRef idx="0">
                            <a:scrgbClr r="0" g="0" b="0"/>
                          </a:effectRef>
                          <a:fontRef idx="none"/>
                        </wps:style>
                        <wps:bodyPr/>
                      </wps:wsp>
                      <wps:wsp>
                        <wps:cNvPr id="41057" name="Shape 41057"/>
                        <wps:cNvSpPr/>
                        <wps:spPr>
                          <a:xfrm>
                            <a:off x="4725772" y="1566925"/>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58" name="Rectangle 41058"/>
                        <wps:cNvSpPr/>
                        <wps:spPr>
                          <a:xfrm>
                            <a:off x="4798162" y="1532557"/>
                            <a:ext cx="375246" cy="151421"/>
                          </a:xfrm>
                          <a:prstGeom prst="rect">
                            <a:avLst/>
                          </a:prstGeom>
                          <a:ln>
                            <a:noFill/>
                          </a:ln>
                        </wps:spPr>
                        <wps:txbx>
                          <w:txbxContent>
                            <w:p w14:paraId="7DBC1AD0" w14:textId="77777777" w:rsidR="0014164F" w:rsidRDefault="0014164F" w:rsidP="00C232D7">
                              <w:r>
                                <w:rPr>
                                  <w:rFonts w:ascii="Arial" w:eastAsia="Arial" w:hAnsi="Arial" w:cs="Arial"/>
                                  <w:color w:val="595959"/>
                                  <w:sz w:val="16"/>
                                </w:rPr>
                                <w:t>Staklo</w:t>
                              </w:r>
                            </w:p>
                          </w:txbxContent>
                        </wps:txbx>
                        <wps:bodyPr horzOverflow="overflow" vert="horz" lIns="0" tIns="0" rIns="0" bIns="0" rtlCol="0">
                          <a:noAutofit/>
                        </wps:bodyPr>
                      </wps:wsp>
                      <wps:wsp>
                        <wps:cNvPr id="922237" name="Shape 922237"/>
                        <wps:cNvSpPr/>
                        <wps:spPr>
                          <a:xfrm>
                            <a:off x="4725772" y="1775713"/>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1060" name="Shape 41060"/>
                        <wps:cNvSpPr/>
                        <wps:spPr>
                          <a:xfrm>
                            <a:off x="4725772" y="1775713"/>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61" name="Rectangle 41061"/>
                        <wps:cNvSpPr/>
                        <wps:spPr>
                          <a:xfrm>
                            <a:off x="4798162" y="1741345"/>
                            <a:ext cx="571754" cy="151421"/>
                          </a:xfrm>
                          <a:prstGeom prst="rect">
                            <a:avLst/>
                          </a:prstGeom>
                          <a:ln>
                            <a:noFill/>
                          </a:ln>
                        </wps:spPr>
                        <wps:txbx>
                          <w:txbxContent>
                            <w:p w14:paraId="03F0972E" w14:textId="77777777" w:rsidR="0014164F" w:rsidRDefault="0014164F" w:rsidP="00C232D7">
                              <w:r>
                                <w:rPr>
                                  <w:rFonts w:ascii="Arial" w:eastAsia="Arial" w:hAnsi="Arial" w:cs="Arial"/>
                                  <w:color w:val="595959"/>
                                  <w:sz w:val="16"/>
                                </w:rPr>
                                <w:t>Keramika</w:t>
                              </w:r>
                            </w:p>
                          </w:txbxContent>
                        </wps:txbx>
                        <wps:bodyPr horzOverflow="overflow" vert="horz" lIns="0" tIns="0" rIns="0" bIns="0" rtlCol="0">
                          <a:noAutofit/>
                        </wps:bodyPr>
                      </wps:wsp>
                      <wps:wsp>
                        <wps:cNvPr id="922238" name="Shape 922238"/>
                        <wps:cNvSpPr/>
                        <wps:spPr>
                          <a:xfrm>
                            <a:off x="4725772" y="1984501"/>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636363"/>
                          </a:fillRef>
                          <a:effectRef idx="0">
                            <a:scrgbClr r="0" g="0" b="0"/>
                          </a:effectRef>
                          <a:fontRef idx="none"/>
                        </wps:style>
                        <wps:bodyPr/>
                      </wps:wsp>
                      <wps:wsp>
                        <wps:cNvPr id="41063" name="Shape 41063"/>
                        <wps:cNvSpPr/>
                        <wps:spPr>
                          <a:xfrm>
                            <a:off x="4725772" y="1984501"/>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64" name="Rectangle 41064"/>
                        <wps:cNvSpPr/>
                        <wps:spPr>
                          <a:xfrm>
                            <a:off x="4798162" y="1949879"/>
                            <a:ext cx="908004" cy="151421"/>
                          </a:xfrm>
                          <a:prstGeom prst="rect">
                            <a:avLst/>
                          </a:prstGeom>
                          <a:ln>
                            <a:noFill/>
                          </a:ln>
                        </wps:spPr>
                        <wps:txbx>
                          <w:txbxContent>
                            <w:p w14:paraId="3CB60C7F" w14:textId="77777777" w:rsidR="0014164F" w:rsidRDefault="0014164F" w:rsidP="00C232D7">
                              <w:r>
                                <w:rPr>
                                  <w:rFonts w:ascii="Arial" w:eastAsia="Arial" w:hAnsi="Arial" w:cs="Arial"/>
                                  <w:color w:val="595959"/>
                                  <w:sz w:val="16"/>
                                </w:rPr>
                                <w:t>Sanitarni otpad</w:t>
                              </w:r>
                            </w:p>
                          </w:txbxContent>
                        </wps:txbx>
                        <wps:bodyPr horzOverflow="overflow" vert="horz" lIns="0" tIns="0" rIns="0" bIns="0" rtlCol="0">
                          <a:noAutofit/>
                        </wps:bodyPr>
                      </wps:wsp>
                      <wps:wsp>
                        <wps:cNvPr id="922239" name="Shape 922239"/>
                        <wps:cNvSpPr/>
                        <wps:spPr>
                          <a:xfrm>
                            <a:off x="4725772" y="2193290"/>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997300"/>
                          </a:fillRef>
                          <a:effectRef idx="0">
                            <a:scrgbClr r="0" g="0" b="0"/>
                          </a:effectRef>
                          <a:fontRef idx="none"/>
                        </wps:style>
                        <wps:bodyPr/>
                      </wps:wsp>
                      <wps:wsp>
                        <wps:cNvPr id="41066" name="Shape 41066"/>
                        <wps:cNvSpPr/>
                        <wps:spPr>
                          <a:xfrm>
                            <a:off x="4725772" y="2193290"/>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67" name="Rectangle 41067"/>
                        <wps:cNvSpPr/>
                        <wps:spPr>
                          <a:xfrm>
                            <a:off x="4798162" y="2158668"/>
                            <a:ext cx="630152" cy="151421"/>
                          </a:xfrm>
                          <a:prstGeom prst="rect">
                            <a:avLst/>
                          </a:prstGeom>
                          <a:ln>
                            <a:noFill/>
                          </a:ln>
                        </wps:spPr>
                        <wps:txbx>
                          <w:txbxContent>
                            <w:p w14:paraId="3374B9F9" w14:textId="77777777" w:rsidR="0014164F" w:rsidRDefault="0014164F" w:rsidP="00C232D7">
                              <w:r>
                                <w:rPr>
                                  <w:rFonts w:ascii="Arial" w:eastAsia="Arial" w:hAnsi="Arial" w:cs="Arial"/>
                                  <w:color w:val="595959"/>
                                  <w:sz w:val="16"/>
                                </w:rPr>
                                <w:t>Medicinski</w:t>
                              </w:r>
                            </w:p>
                          </w:txbxContent>
                        </wps:txbx>
                        <wps:bodyPr horzOverflow="overflow" vert="horz" lIns="0" tIns="0" rIns="0" bIns="0" rtlCol="0">
                          <a:noAutofit/>
                        </wps:bodyPr>
                      </wps:wsp>
                      <wps:wsp>
                        <wps:cNvPr id="41068" name="Rectangle 41068"/>
                        <wps:cNvSpPr/>
                        <wps:spPr>
                          <a:xfrm>
                            <a:off x="4798162" y="2275380"/>
                            <a:ext cx="338851" cy="151421"/>
                          </a:xfrm>
                          <a:prstGeom prst="rect">
                            <a:avLst/>
                          </a:prstGeom>
                          <a:ln>
                            <a:noFill/>
                          </a:ln>
                        </wps:spPr>
                        <wps:txbx>
                          <w:txbxContent>
                            <w:p w14:paraId="068BB205" w14:textId="77777777" w:rsidR="0014164F" w:rsidRDefault="0014164F" w:rsidP="00C232D7">
                              <w:r>
                                <w:rPr>
                                  <w:rFonts w:ascii="Arial" w:eastAsia="Arial" w:hAnsi="Arial" w:cs="Arial"/>
                                  <w:color w:val="595959"/>
                                  <w:sz w:val="16"/>
                                </w:rPr>
                                <w:t>otpad</w:t>
                              </w:r>
                            </w:p>
                          </w:txbxContent>
                        </wps:txbx>
                        <wps:bodyPr horzOverflow="overflow" vert="horz" lIns="0" tIns="0" rIns="0" bIns="0" rtlCol="0">
                          <a:noAutofit/>
                        </wps:bodyPr>
                      </wps:wsp>
                      <wps:wsp>
                        <wps:cNvPr id="922240" name="Shape 922240"/>
                        <wps:cNvSpPr/>
                        <wps:spPr>
                          <a:xfrm>
                            <a:off x="4725772" y="2402078"/>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1070" name="Shape 41070"/>
                        <wps:cNvSpPr/>
                        <wps:spPr>
                          <a:xfrm>
                            <a:off x="4725772" y="2402078"/>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71" name="Rectangle 41071"/>
                        <wps:cNvSpPr/>
                        <wps:spPr>
                          <a:xfrm>
                            <a:off x="4798162" y="2367455"/>
                            <a:ext cx="819439" cy="151421"/>
                          </a:xfrm>
                          <a:prstGeom prst="rect">
                            <a:avLst/>
                          </a:prstGeom>
                          <a:ln>
                            <a:noFill/>
                          </a:ln>
                        </wps:spPr>
                        <wps:txbx>
                          <w:txbxContent>
                            <w:p w14:paraId="043F1FBD" w14:textId="77777777" w:rsidR="0014164F" w:rsidRDefault="0014164F" w:rsidP="00C232D7">
                              <w:r>
                                <w:rPr>
                                  <w:rFonts w:ascii="Arial" w:eastAsia="Arial" w:hAnsi="Arial" w:cs="Arial"/>
                                  <w:color w:val="595959"/>
                                  <w:sz w:val="16"/>
                                </w:rPr>
                                <w:t>Parafin/vosak</w:t>
                              </w:r>
                            </w:p>
                          </w:txbxContent>
                        </wps:txbx>
                        <wps:bodyPr horzOverflow="overflow" vert="horz" lIns="0" tIns="0" rIns="0" bIns="0" rtlCol="0">
                          <a:noAutofit/>
                        </wps:bodyPr>
                      </wps:wsp>
                    </wpg:wgp>
                  </a:graphicData>
                </a:graphic>
              </wp:inline>
            </w:drawing>
          </mc:Choice>
          <mc:Fallback>
            <w:pict>
              <v:group w14:anchorId="01128F42" id="Group 895833" o:spid="_x0000_s1387" style="width:431.55pt;height:195.4pt;mso-position-horizontal-relative:char;mso-position-vertical-relative:line" coordsize="54808,2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">
                <v:shape id="Shape 40925" o:spid="_x0000_s1388" style="position:absolute;left:2023;top:5754;width:12350;height:12360;visibility:visible;mso-wrap-style:square;v-text-anchor:top" coordsize="1234986,1235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JWdscA&#10;AADeAAAADwAAAGRycy9kb3ducmV2LnhtbESPQWvCQBSE70L/w/IKXqTuVhrR6CqiFnuqmCpeH9nX&#10;JJh9G7Krxn/fLRR6HGbmG2a+7GwtbtT6yrGG16ECQZw7U3Gh4fj1/jIB4QOywdoxaXiQh+XiqTfH&#10;1Lg7H+iWhUJECPsUNZQhNKmUPi/Joh+6hjh63661GKJsC2lavEe4reVIqbG0WHFcKLGhdUn5Jbta&#10;DbvN6XxIiu3qnH92++1AJZd9lmjdf+5WMxCBuvAf/mt/GA1vajpK4PdOvA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AiVnbHAAAA3gAAAA8AAAAAAAAAAAAAAAAAmAIAAGRy&#10;cy9kb3ducmV2LnhtbFBLBQYAAAAABAAEAPUAAACMAwAAAAA=&#10;" path="m616877,v341376,,618109,276733,618109,617982c1234986,959231,958253,1235963,616877,1235963,289725,1235963,19177,980821,,654176l616877,617982,616877,xe" fillcolor="#5b9bd5" stroked="f" strokeweight="0">
                  <v:stroke miterlimit="83231f" joinstyle="miter"/>
                  <v:path arrowok="t" textboxrect="0,0,1234986,1235963"/>
                </v:shape>
                <v:shape id="Shape 40926" o:spid="_x0000_s1389" style="position:absolute;left:2023;top:5754;width:12350;height:12360;visibility:visible;mso-wrap-style:square;v-text-anchor:top" coordsize="1234986,1235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u9Q8cA&#10;AADeAAAADwAAAGRycy9kb3ducmV2LnhtbESPQWvCQBSE74X+h+UJ3upGrWJSVymFQi9FTWuht0f2&#10;NRvMvg3ZrUn+vSsIHoeZ+YZZb3tbizO1vnKsYDpJQBAXTldcKvj+en9agfABWWPtmBQM5GG7eXxY&#10;Y6Zdxwc656EUEcI+QwUmhCaT0heGLPqJa4ij9+daiyHKtpS6xS7CbS1nSbKUFiuOCwYbejNUnPJ/&#10;q+DY79PP30W3209/imFILe+Mnys1HvWvLyAC9eEevrU/tILnJJ0t4XonXgG5u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rvUPHAAAA3gAAAA8AAAAAAAAAAAAAAAAAmAIAAGRy&#10;cy9kb3ducmV2LnhtbFBLBQYAAAAABAAEAPUAAACMAwAAAAA=&#10;" path="m616877,v341376,,618109,276733,618109,617982c1234986,959231,958253,1235963,616877,1235963,289725,1235963,19177,980821,,654176l616877,617982,616877,xe" filled="f" strokecolor="white" strokeweight="1.56pt">
                  <v:path arrowok="t" textboxrect="0,0,1234986,1235963"/>
                </v:shape>
                <v:shape id="Shape 40927" o:spid="_x0000_s1390" style="position:absolute;left:2013;top:11934;width:6179;height:362;visibility:visible;mso-wrap-style:square;v-text-anchor:top" coordsize="617919,36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g4hcYA&#10;AADeAAAADwAAAGRycy9kb3ducmV2LnhtbESPT4vCMBTE74LfITzBi2iqLP6pRhFlwYuH2gXx9mie&#10;bbF5qU3U7rffCMIeh5n5DbPatKYST2pcaVnBeBSBIM6sLjlX8JN+D+cgnEfWWFkmBb/kYLPudlYY&#10;a/vihJ4nn4sAYRejgsL7OpbSZQUZdCNbEwfvahuDPsgml7rBV4CbSk6iaCoNlhwWCqxpV1B2Oz2M&#10;gmMyvpwXg/N+dje7KndJOteHVKl+r90uQXhq/X/40z5oBV/RYjKD951wBe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xg4hcYAAADeAAAADwAAAAAAAAAAAAAAAACYAgAAZHJz&#10;L2Rvd25yZXYueG1sUEsFBgAAAAAEAAQA9QAAAIsDAAAAAA==&#10;" path="m617919,l1041,36195c444,26035,89,15875,,5715l617919,xe" fillcolor="#ed7d31" stroked="f" strokeweight="0">
                  <v:path arrowok="t" textboxrect="0,0,617919,36195"/>
                </v:shape>
                <v:shape id="Shape 40928" o:spid="_x0000_s1391" style="position:absolute;left:2013;top:11934;width:6179;height:362;visibility:visible;mso-wrap-style:square;v-text-anchor:top" coordsize="617919,36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RWecMA&#10;AADeAAAADwAAAGRycy9kb3ducmV2LnhtbERPS2rDMBDdB3oHMYXsErnGNK0b2YRA09JFvj3AYE0s&#10;U2tkLNVxevpqEcjy8f7LcrStGKj3jWMFT/MEBHHldMO1gu/T++wFhA/IGlvHpOBKHsriYbLEXLsL&#10;H2g4hlrEEPY5KjAhdLmUvjJk0c9dRxy5s+sthgj7WuoeLzHctjJNkmdpseHYYLCjtaHq5/hrFXyE&#10;bX3dmQVt2gOenRtO2df+T6np47h6AxFoDHfxzf2pFWTJaxr3xjvxCsj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RWecMAAADeAAAADwAAAAAAAAAAAAAAAACYAgAAZHJzL2Rv&#10;d25yZXYueG1sUEsFBgAAAAAEAAQA9QAAAIgDAAAAAA==&#10;" path="m1041,36195c444,26035,89,15875,,5715l617919,,1041,36195xe" filled="f" strokecolor="white" strokeweight="1.56pt">
                  <v:path arrowok="t" textboxrect="0,0,617919,36195"/>
                </v:shape>
                <v:shape id="Shape 40929" o:spid="_x0000_s1392" style="position:absolute;left:2012;top:11686;width:6180;height:305;visibility:visible;mso-wrap-style:square;v-text-anchor:top" coordsize="618007,3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wYgMQA&#10;AADeAAAADwAAAGRycy9kb3ducmV2LnhtbESPQWsCMRSE7wX/Q3hCL6UmVSl1a5RaKHjTant/bF53&#10;g5uXZfPU9d83guBxmJlvmPmyD406UZd8ZAsvIwOKuIzOc2XhZ//1/AYqCbLDJjJZuFCC5WLwMMfC&#10;xTN/02knlcoQTgVaqEXaQutU1hQwjWJLnL2/2AWULLtKuw7PGR4aPTbmVQf0nBdqbOmzpvKwOwYL&#10;5a8O7cQ8yYarVZNk6/f+cLH2cdh/vIMS6uUevrXXzsLUzMYzuN7JV0A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sGIDEAAAA3gAAAA8AAAAAAAAAAAAAAAAAmAIAAGRycy9k&#10;b3ducmV2LnhtbFBLBQYAAAAABAAEAPUAAACJAwAAAAA=&#10;" path="m559,l618007,24765,89,30480c,20320,152,10160,559,xe" fillcolor="#a5a5a5" stroked="f" strokeweight="0">
                  <v:path arrowok="t" textboxrect="0,0,618007,30480"/>
                </v:shape>
                <v:shape id="Shape 40930" o:spid="_x0000_s1393" style="position:absolute;left:2012;top:11686;width:6180;height:305;visibility:visible;mso-wrap-style:square;v-text-anchor:top" coordsize="618007,3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LlTMUA&#10;AADeAAAADwAAAGRycy9kb3ducmV2LnhtbESPzWrCQBSF9wXfYbiCu2aiaTVGRylCoYtCMYrg7pK5&#10;JsGZOyEzjenbdxaFLg/nj2+7H60RA/W+daxgnqQgiCunW64VnE/vzzkIH5A1Gsek4Ic87HeTpy0W&#10;2j34SEMZahFH2BeooAmhK6T0VUMWfeI64ujdXG8xRNnXUvf4iOPWyEWaLqXFluNDgx0dGqru5bdV&#10;8FmZPL++rrKlt/nFBLluv7RWajYd3zYgAo3hP/zX/tAKXtJ1FgEiTkQBu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AuVMxQAAAN4AAAAPAAAAAAAAAAAAAAAAAJgCAABkcnMv&#10;ZG93bnJldi54bWxQSwUGAAAAAAQABAD1AAAAigMAAAAA&#10;" path="m89,30480c,20320,152,10160,559,l618007,24765,89,30480xe" filled="f" strokecolor="white" strokeweight="1.56pt">
                  <v:path arrowok="t" textboxrect="0,0,618007,30480"/>
                </v:shape>
                <v:shape id="Shape 40931" o:spid="_x0000_s1394" style="position:absolute;left:2018;top:11305;width:6174;height:629;visibility:visible;mso-wrap-style:square;v-text-anchor:top" coordsize="617449,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KMPMcA&#10;AADeAAAADwAAAGRycy9kb3ducmV2LnhtbESPT2vCQBTE70K/w/IK3nRj1P5Js4oKoV48qIFeH9nX&#10;JDT7NmRXXb99t1DwOMzMb5h8HUwnrjS41rKC2TQBQVxZ3XKtoDwXkzcQziNr7CyTgjs5WK+eRjlm&#10;2t74SNeTr0WEsMtQQeN9n0npqoYMuqntiaP3bQeDPsqhlnrAW4SbTqZJ8iINthwXGuxp11D1c7oY&#10;Be19v+3CeXn4Kp35LPpL+lqEVKnxc9h8gPAU/CP8395rBYvkfT6DvzvxCs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yjDzHAAAA3gAAAA8AAAAAAAAAAAAAAAAAmAIAAGRy&#10;cy9kb3ducmV2LnhtbFBLBQYAAAAABAAEAPUAAACMAwAAAAA=&#10;" path="m2705,l617449,62865,,38100c508,25400,1410,12700,2705,xe" fillcolor="#ffc000" stroked="f" strokeweight="0">
                  <v:path arrowok="t" textboxrect="0,0,617449,62865"/>
                </v:shape>
                <v:shape id="Shape 40932" o:spid="_x0000_s1395" style="position:absolute;left:2018;top:11305;width:6174;height:629;visibility:visible;mso-wrap-style:square;v-text-anchor:top" coordsize="617449,62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GeoMYA&#10;AADeAAAADwAAAGRycy9kb3ducmV2LnhtbESP0WrCQBRE34X+w3ILfdPdWi1tdBPSQqkvCtp8wDV7&#10;mwSzd0N2q6lf7wqCj8PMnGGW2WBbcaTeN441PE8UCOLSmYYrDcXP1/gNhA/IBlvHpOGfPGTpw2iJ&#10;iXEn3tJxFyoRIewT1FCH0CVS+rImi37iOuLo/breYoiyr6Tp8RThtpVTpV6lxYbjQo0dfdZUHnZ/&#10;VsNHpeYFf+8xP+fFYa2Qik230frpccgXIAIN4R6+tVdGw0y9v0zheideAZ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GeoMYAAADeAAAADwAAAAAAAAAAAAAAAACYAgAAZHJz&#10;L2Rvd25yZXYueG1sUEsFBgAAAAAEAAQA9QAAAIsDAAAAAA==&#10;" path="m,38100c508,25400,1410,12700,2705,l617449,62865,,38100xe" filled="f" strokecolor="white" strokeweight="1.56pt">
                  <v:path arrowok="t" textboxrect="0,0,617449,62865"/>
                </v:shape>
                <v:shape id="Shape 40933" o:spid="_x0000_s1396" style="position:absolute;left:2045;top:6023;width:6147;height:5911;visibility:visible;mso-wrap-style:square;v-text-anchor:top" coordsize="614744,591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sa5ccA&#10;AADeAAAADwAAAGRycy9kb3ducmV2LnhtbESP0WrCQBRE34X+w3ILvummKhJTVylqiw9iqe0H3GZv&#10;s6nZuyG7atKv7wqCj8PMnGHmy9ZW4kyNLx0reBomIIhzp0suFHx9vg5SED4ga6wck4KOPCwXD705&#10;Ztpd+IPOh1CICGGfoQITQp1J6XNDFv3Q1cTR+3GNxRBlU0jd4CXCbSVHSTKVFkuOCwZrWhnKj4eT&#10;VfBuvN3YbrZru18T3tLvv/S4XyvVf2xfnkEEasM9fGtvtYJJMhuP4XonXgG5+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bGuXHAAAA3gAAAA8AAAAAAAAAAAAAAAAAmAIAAGRy&#10;cy9kb3ducmV2LnhtbFBLBQYAAAAABAAEAPUAAACMAwAAAAA=&#10;" path="m434404,l614744,591058,,528193c25286,280797,196405,72644,434404,xe" fillcolor="#4472c4" stroked="f" strokeweight="0">
                  <v:path arrowok="t" textboxrect="0,0,614744,591058"/>
                </v:shape>
                <v:shape id="Shape 40934" o:spid="_x0000_s1397" style="position:absolute;left:2045;top:6023;width:6147;height:5911;visibility:visible;mso-wrap-style:square;v-text-anchor:top" coordsize="614744,591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A+xMgA&#10;AADeAAAADwAAAGRycy9kb3ducmV2LnhtbESPW2vCQBSE34X+h+UU+lJ00ypi06xipYIUL2j1/ZA9&#10;ubTZsyG70fjv3ULBx2FmvmGSWWcqcabGlZYVvAwiEMSp1SXnCo7fy/4EhPPIGivLpOBKDmbTh16C&#10;sbYX3tP54HMRIOxiVFB4X8dSurQgg25ga+LgZbYx6INscqkbvAS4qeRrFI2lwZLDQoE1LQpKfw+t&#10;UZB9tZ+8+tHtZr09zZ8/2FeLnVbq6bGbv4Pw1Pl7+L+90gpG0dtwBH93whW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ED7EyAAAAN4AAAAPAAAAAAAAAAAAAAAAAJgCAABk&#10;cnMvZG93bnJldi54bWxQSwUGAAAAAAQABAD1AAAAjQMAAAAA&#10;" path="m,528193c25286,280797,196405,72644,434404,l614744,591058,,528193xe" filled="f" strokecolor="white" strokeweight="1.56pt">
                  <v:path arrowok="t" textboxrect="0,0,614744,591058"/>
                </v:shape>
                <v:shape id="Shape 40935" o:spid="_x0000_s1398" style="position:absolute;left:6389;top:5890;width:1803;height:6044;visibility:visible;mso-wrap-style:square;v-text-anchor:top" coordsize="180340,604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xmMgA&#10;AADeAAAADwAAAGRycy9kb3ducmV2LnhtbESPQUsDMRSE74L/ITzBi7SJWqtdm5YqWryU0lZ7fmxe&#10;N4ublyWJu+u/N4LgcZiZb5j5cnCN6CjE2rOG67ECQVx6U3Ol4f3wOnoAEROywcYzafimCMvF+dkc&#10;C+N73lG3T5XIEI4FarAptYWUsbTkMI59S5y9kw8OU5ahkiZgn+GukTdKTaXDmvOCxZaeLZWf+y+n&#10;4Tjp1u3mavuyOh360Nw/WTV87LS+vBhWjyASDek//Nd+MxomanZ7B7938hWQi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xjGYyAAAAN4AAAAPAAAAAAAAAAAAAAAAAJgCAABk&#10;cnMvZG93bnJldi54bWxQSwUGAAAAAAQABAD1AAAAjQMAAAAA&#10;" path="m51689,l180340,604393,,13336c17018,8128,34290,3683,51689,xe" fillcolor="#70ad47" stroked="f" strokeweight="0">
                  <v:path arrowok="t" textboxrect="0,0,180340,604393"/>
                </v:shape>
                <v:shape id="Shape 40936" o:spid="_x0000_s1399" style="position:absolute;left:6389;top:5890;width:1803;height:6044;visibility:visible;mso-wrap-style:square;v-text-anchor:top" coordsize="180340,6043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2eqscA&#10;AADeAAAADwAAAGRycy9kb3ducmV2LnhtbESPT0sDMRTE70K/Q3gFL2KTWll1bVr8Q9HrtoVeH5vn&#10;Zu3mZUnS7vrtjSD0OMzMb5jlenSdOFOIrWcN85kCQVx703KjYb/b3D6CiAnZYOeZNPxQhPVqcrXE&#10;0viBKzpvUyMyhGOJGmxKfSllrC05jDPfE2fvyweHKcvQSBNwyHDXyTulCumw5bxgsac3S/Vxe3Ia&#10;qsPhVKl98Z4ebjZD8br4Dh92p/X1dHx5BpFoTJfwf/vTaLhXT4sC/u7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9nqrHAAAA3gAAAA8AAAAAAAAAAAAAAAAAmAIAAGRy&#10;cy9kb3ducmV2LnhtbFBLBQYAAAAABAAEAPUAAACMAwAAAAA=&#10;" path="m,13336c17018,8128,34290,3683,51689,l180340,604393,,13336xe" filled="f" strokecolor="white" strokeweight="1.56pt">
                  <v:path arrowok="t" textboxrect="0,0,180340,604393"/>
                </v:shape>
                <v:shape id="Shape 40937" o:spid="_x0000_s1400" style="position:absolute;left:6906;top:5859;width:1286;height:6075;visibility:visible;mso-wrap-style:square;v-text-anchor:top" coordsize="128651,607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ZMgA&#10;AADeAAAADwAAAGRycy9kb3ducmV2LnhtbESPQWvCQBSE74X+h+UVvBTdWIutMatIQVD0UqsUb8/s&#10;MxuSfRuyq8Z/3y0Uehxm5hsmm3e2FldqfelYwXCQgCDOnS65ULD/WvbfQfiArLF2TAru5GE+e3zI&#10;MNXuxp903YVCRAj7FBWYEJpUSp8bsugHriGO3tm1FkOUbSF1i7cIt7V8SZKxtFhyXDDY0IehvNpd&#10;rILvo19vT+YsK9w/240fHzZyVCvVe+oWUxCBuvAf/muvtILXZDJ6g9878QrI2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4VFkyAAAAN4AAAAPAAAAAAAAAAAAAAAAAJgCAABk&#10;cnMvZG93bnJldi54bWxQSwUGAAAAAAQABAD1AAAAjQMAAAAA&#10;" path="m14986,l128651,607441,,3048c4953,1905,9906,889,14986,xe" fillcolor="#255e91" stroked="f" strokeweight="0">
                  <v:path arrowok="t" textboxrect="0,0,128651,607441"/>
                </v:shape>
                <v:shape id="Shape 40938" o:spid="_x0000_s1401" style="position:absolute;left:6906;top:5859;width:1286;height:6075;visibility:visible;mso-wrap-style:square;v-text-anchor:top" coordsize="128651,6074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ZYgMIA&#10;AADeAAAADwAAAGRycy9kb3ducmV2LnhtbERPz0/CMBS+k/A/NI/Em7TqssCkEFBIOA40eH2uz21x&#10;fV3Wyrb/nh5MOH75fq82g23ElTpfO9bwNFcgiAtnai41fH4cHhcgfEA22DgmDSN52KynkxVmxvV8&#10;ous5lCKGsM9QQxVCm0npi4os+rlriSP34zqLIcKulKbDPobbRj4rlUqLNceGClt6q6j4Pf9ZDfW7&#10;p32efuWj2l2+c0sJsXVaP8yG7SuIQEO4i//dR6MhUcuXuDfeiVdA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VliAwgAAAN4AAAAPAAAAAAAAAAAAAAAAAJgCAABkcnMvZG93&#10;bnJldi54bWxQSwUGAAAAAAQABAD1AAAAhwMAAAAA&#10;" path="m,3048c4953,1905,9906,889,14986,l128651,607441,,3048xe" filled="f" strokecolor="white" strokeweight="1.56pt">
                  <v:path arrowok="t" textboxrect="0,0,128651,607441"/>
                </v:shape>
                <v:shape id="Shape 40939" o:spid="_x0000_s1402" style="position:absolute;left:7055;top:5801;width:1137;height:6133;visibility:visible;mso-wrap-style:square;v-text-anchor:top" coordsize="113665,613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ECR8oA&#10;AADeAAAADwAAAGRycy9kb3ducmV2LnhtbESPW0sDMRSE3wX/QzgFX6TNWu1lt01LUcS2PvQmiG/H&#10;zXF3cXOyJmm7/nsjCD4OM/MNM523phYncr6yrOCml4Agzq2uuFDwcnjsjkH4gKyxtkwKvsnDfHZ5&#10;McVM2zPv6LQPhYgQ9hkqKENoMil9XpJB37MNcfQ+rDMYonSF1A7PEW5q2U+SoTRYcVwosaH7kvLP&#10;/dEoeG5W7267Tjft22B9ffx6eh2ZB1bqqtMuJiACteE//NdeagV3SXqbwu+deAXk7A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0hAkfKAAAA3gAAAA8AAAAAAAAAAAAAAAAAmAIA&#10;AGRycy9kb3ducmV2LnhtbFBLBQYAAAAABAAEAPUAAACPAwAAAAA=&#10;" path="m37592,r76073,613283l,5842c12446,3556,25019,1524,37592,xe" fillcolor="#9e480e" stroked="f" strokeweight="0">
                  <v:path arrowok="t" textboxrect="0,0,113665,613283"/>
                </v:shape>
                <v:shape id="Shape 40940" o:spid="_x0000_s1403" style="position:absolute;left:7055;top:5801;width:1137;height:6133;visibility:visible;mso-wrap-style:square;v-text-anchor:top" coordsize="113665,613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2TbcYA&#10;AADeAAAADwAAAGRycy9kb3ducmV2LnhtbESPzYrCMBSF98K8Q7gD7jQdEdFqFBlwGAQp1hnQ3bW5&#10;tsXmpjRRq09vFoLLw/njmy1aU4krNa60rOCrH4EgzqwuOVfwt1v1xiCcR9ZYWSYFd3KwmH90Zhhr&#10;e+MtXVOfizDCLkYFhfd1LKXLCjLo+rYmDt7JNgZ9kE0udYO3MG4qOYiikTRYcngosKbvgrJzejEK&#10;1pdzmv8/RodkkCSrbHPcH342e6W6n+1yCsJT69/hV/tXKxhGk2EACDgBBe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o2TbcYAAADeAAAADwAAAAAAAAAAAAAAAACYAgAAZHJz&#10;L2Rvd25yZXYueG1sUEsFBgAAAAAEAAQA9QAAAIsDAAAAAA==&#10;" path="m,5842c12446,3556,25019,1524,37592,r76073,613283l,5842xe" filled="f" strokecolor="white" strokeweight="1.56pt">
                  <v:path arrowok="t" textboxrect="0,0,113665,613283"/>
                </v:shape>
                <v:shape id="Shape 40941" o:spid="_x0000_s1404" style="position:absolute;left:7431;top:5765;width:761;height:6169;visibility:visible;mso-wrap-style:square;v-text-anchor:top" coordsize="76073,616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ES38gA&#10;AADeAAAADwAAAGRycy9kb3ducmV2LnhtbESPQWvCQBSE74X+h+UVvNWNkkpNs0pVQqV40Xro8ZF9&#10;TdJm34bdVaO/3i0IHoeZ+YbJ571pxZGcbywrGA0TEMSl1Q1XCvZfxfMrCB+QNbaWScGZPMxnjw85&#10;ZtqeeEvHXahEhLDPUEEdQpdJ6cuaDPqh7Yij92OdwRClq6R2eIpw08pxkkykwYbjQo0dLWsq/3YH&#10;o2C63buy+Fh8bqrLWb9I//27WqdKDZ769zcQgfpwD9/aa60gTabpCP7vxCs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QRLfyAAAAN4AAAAPAAAAAAAAAAAAAAAAAJgCAABk&#10;cnMvZG93bnJldi54bWxQSwUGAAAAAAQABAD1AAAAjQMAAAAA&#10;" path="m37973,l76073,616839,,3556c12700,2032,25273,762,37973,xe" fillcolor="#636363" stroked="f" strokeweight="0">
                  <v:path arrowok="t" textboxrect="0,0,76073,616839"/>
                </v:shape>
                <v:shape id="Shape 40942" o:spid="_x0000_s1405" style="position:absolute;left:7431;top:5765;width:761;height:6169;visibility:visible;mso-wrap-style:square;v-text-anchor:top" coordsize="76073,616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6FnMQA&#10;AADeAAAADwAAAGRycy9kb3ducmV2LnhtbESPzarCMBSE94LvEI7gTlNFiq1GEVEQhHvxZ+Hy0Bzb&#10;YnNSm6j17c2FCy6HmfmGmS9bU4knNa60rGA0jEAQZ1aXnCs4n7aDKQjnkTVWlknBmxwsF93OHFNt&#10;X3yg59HnIkDYpaig8L5OpXRZQQbd0NbEwbvaxqAPssmlbvAV4KaS4yiKpcGSw0KBNa0Lym7Hh1EQ&#10;57/Zfn0/V5d7YhNq5c8h3pBS/V67moHw1Ppv+L+90womUTIZw9+dcAXk4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ehZzEAAAA3gAAAA8AAAAAAAAAAAAAAAAAmAIAAGRycy9k&#10;b3ducmV2LnhtbFBLBQYAAAAABAAEAPUAAACJAwAAAAA=&#10;" path="m,3556c12700,2032,25273,762,37973,l76073,616839,,3556xe" filled="f" strokecolor="white" strokeweight="1.56pt">
                  <v:path arrowok="t" textboxrect="0,0,76073,616839"/>
                </v:shape>
                <v:shape id="Shape 40943" o:spid="_x0000_s1406" style="position:absolute;left:7811;top:5754;width:381;height:6180;visibility:visible;mso-wrap-style:square;v-text-anchor:top" coordsize="38100,617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sxvMgA&#10;AADeAAAADwAAAGRycy9kb3ducmV2LnhtbESPW0sDMRSE3wX/QziCbzarLdKuTYtuEcSHYi/Q9u24&#10;OXuhm5MliW36701B8HGYmW+Y6TyaTpzI+daygsdBBoK4tLrlWsF28/4wBuEDssbOMim4kIf57PZm&#10;irm2Z17RaR1qkSDsc1TQhNDnUvqyIYN+YHvi5FXWGQxJulpqh+cEN518yrJnabDltNBgT0VD5XH9&#10;YxJlVxyqYxW/XNwvJ/b787J42xRK3d/F1xcQgWL4D/+1P7SCUTYZDeF6J10BOf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izG8yAAAAN4AAAAPAAAAAAAAAAAAAAAAAJgCAABk&#10;cnMvZG93bnJldi54bWxQSwUGAAAAAAQABAD1AAAAjQMAAAAA&#10;" path="m38100,r,617982l,1143c12700,381,25400,,38100,xe" fillcolor="#997300" stroked="f" strokeweight="0">
                  <v:path arrowok="t" textboxrect="0,0,38100,617982"/>
                </v:shape>
                <v:shape id="Shape 40944" o:spid="_x0000_s1407" style="position:absolute;left:7811;top:5754;width:381;height:6180;visibility:visible;mso-wrap-style:square;v-text-anchor:top" coordsize="38100,617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l0Q8YA&#10;AADeAAAADwAAAGRycy9kb3ducmV2LnhtbESPQUvDQBSE70L/w/IK3uymEovGbosIoh48mGqht8fu&#10;Mxua9zZk1zT+e1cQehxm5htmvZ24UyMNsQ1iYLkoQJHY4FppDHzsnq5uQcWE4rALQgZ+KMJ2M7tY&#10;Y+XCSd5prFOjMkRihQZ8Sn2ldbSeGOMi9CTZ+woDY8pyaLQb8JTh3OnrolhpxlbygseeHj3ZY/3N&#10;Bmq/Yvtmd6/jDT9/anJc+8PemMv59HAPKtGUzuH/9oszUBZ3ZQl/d/IV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l0Q8YAAADeAAAADwAAAAAAAAAAAAAAAACYAgAAZHJz&#10;L2Rvd25yZXYueG1sUEsFBgAAAAAEAAQA9QAAAIsDAAAAAA==&#10;" path="m,1143c12700,381,25400,,38100,r,617982l,1143xe" filled="f" strokecolor="white" strokeweight="1.56pt">
                  <v:path arrowok="t" textboxrect="0,0,38100,617982"/>
                </v:shape>
                <v:shape id="Shape 40945" o:spid="_x0000_s1408" style="position:absolute;left:8192;top:5754;width:0;height:6180;visibility:visible;mso-wrap-style:square;v-text-anchor:top" coordsize="0,617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9mEMYA&#10;AADeAAAADwAAAGRycy9kb3ducmV2LnhtbESPQUsDMRSE70L/Q3iF3mzSUrWuTUspFBS8uPbg8ZE8&#10;d5duXpYk7UZ/vREEj8PMfMNsdtn14kohdp41LOYKBLHxtuNGw+n9eLsGEROyxd4zafiiCLvt5GaD&#10;lfUjv9G1To0oEI4VamhTGiopo2nJYZz7gbh4nz44TEWGRtqAY4G7Xi6VupcOOy4LLQ50aMmc64vT&#10;YAzZj9fD/uEUwqX+Xo8qv+Sz1rNp3j+BSJTTf/iv/Ww1rNTj6g5+75Qr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9mEMYAAADeAAAADwAAAAAAAAAAAAAAAACYAgAAZHJz&#10;L2Rvd25yZXYueG1sUEsFBgAAAAAEAAQA9QAAAIsDAAAAAA==&#10;" path="m,l,617982,,xe" filled="f" strokecolor="white" strokeweight="1.56pt">
                  <v:path arrowok="t" textboxrect="0,0,0,617982"/>
                </v:shape>
                <v:shape id="Shape 40946" o:spid="_x0000_s1409" style="position:absolute;left:2017;top:12141;width:0;height:3673;visibility:visible;mso-wrap-style:square;v-text-anchor:top" coordsize="0,367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fY5sUA&#10;AADeAAAADwAAAGRycy9kb3ducmV2LnhtbESPQWvCQBSE70L/w/IKvUjdqCHa1FXEIog3bXt/ZF+T&#10;0OzbsLua6K93BcHjMDPfMItVbxpxJudrywrGowQEcWF1zaWCn+/t+xyED8gaG8uk4EIeVsuXwQJz&#10;bTs+0PkYShEh7HNUUIXQ5lL6oiKDfmRb4uj9WWcwROlKqR12EW4aOUmSTBqsOS5U2NKmouL/eDIK&#10;+q/9bB6mk6zzTTq8/rphNyNS6u21X3+CCNSHZ/jR3mkFafKRZnC/E6+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l9jmxQAAAN4AAAAPAAAAAAAAAAAAAAAAAJgCAABkcnMv&#10;ZG93bnJldi54bWxQSwUGAAAAAAQABAD1AAAAigMAAAAA&#10;" path="m,l,367284e" filled="f" strokecolor="#a6a6a6" strokeweight=".72pt">
                  <v:path arrowok="t" textboxrect="0,0,0,367284"/>
                </v:shape>
                <v:shape id="Shape 40947" o:spid="_x0000_s1410" style="position:absolute;left:2017;top:8757;width:0;height:3079;visibility:visible;mso-wrap-style:square;v-text-anchor:top" coordsize="0,3078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VWFMYA&#10;AADeAAAADwAAAGRycy9kb3ducmV2LnhtbESPQUvDQBSE7wX/w/IEb3ajxEbTbIoWlB5KpY29P7LP&#10;JJh9G7LPNv57VxB6HGbmG6ZYTa5XJxpD59nA3TwBRVx723Fj4KN6vX0EFQTZYu+ZDPxQgFV5NSsw&#10;t/7MezodpFERwiFHA63IkGsd6pYchrkfiKP36UeHEuXYaDviOcJdr++TZKEddhwXWhxo3VL9dfh2&#10;BgYv75lUb/3+mNUPW95tXtZVaszN9fS8BCU0ySX8395YA2nylGbwdydeAV3+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VWFMYAAADeAAAADwAAAAAAAAAAAAAAAACYAgAAZHJz&#10;L2Rvd25yZXYueG1sUEsFBgAAAAAEAAQA9QAAAIsDAAAAAA==&#10;" path="m,307848l,e" filled="f" strokecolor="#a6a6a6" strokeweight=".72pt">
                  <v:path arrowok="t" textboxrect="0,0,0,307848"/>
                </v:shape>
                <v:shape id="Shape 40948" o:spid="_x0000_s1411" style="position:absolute;left:2033;top:6563;width:0;height:4938;visibility:visible;mso-wrap-style:square;v-text-anchor:top" coordsize="0,4937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3ePcQA&#10;AADeAAAADwAAAGRycy9kb3ducmV2LnhtbERP3WrCMBS+F3yHcITdyEzdpLjOKLIxpldi9QEOzVlb&#10;bU66JGr16c2F4OXH9z9bdKYRZ3K+tqxgPEpAEBdW11wq2O9+XqcgfEDW2FgmBVfysJj3ezPMtL3w&#10;ls55KEUMYZ+hgiqENpPSFxUZ9CPbEkfuzzqDIUJXSu3wEsNNI9+SJJUGa44NFbb0VVFxzE9GQfd/&#10;fd+fNmv3e6A8/d6mt2Frbkq9DLrlJ4hAXXiKH+6VVjBJPiZxb7wTr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d3j3EAAAA3gAAAA8AAAAAAAAAAAAAAAAAmAIAAGRycy9k&#10;b3ducmV2LnhtbFBLBQYAAAAABAAEAPUAAACJAwAAAAA=&#10;" path="m,493776l,e" filled="f" strokecolor="#a6a6a6" strokeweight=".72pt">
                  <v:path arrowok="t" textboxrect="0,0,0,493776"/>
                </v:shape>
                <v:shape id="Shape 40949" o:spid="_x0000_s1412" style="position:absolute;left:5355;top:5085;width:1295;height:868;visibility:visible;mso-wrap-style:square;v-text-anchor:top" coordsize="129540,868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RkB8cA&#10;AADeAAAADwAAAGRycy9kb3ducmV2LnhtbESPQUvDQBSE74L/YXmCl9JuKrE0sdtSFEWkF2Oh10f2&#10;mY3Jvg3ZNUn/fVcoeBxm5htms5tsKwbqfe1YwXKRgCAuna65UnD8ep2vQfiArLF1TArO5GG3vb3Z&#10;YK7dyJ80FKESEcI+RwUmhC6X0peGLPqF64ij9+16iyHKvpK6xzHCbSsfkmQlLdYcFwx29GyobIpf&#10;q6D5aA7ZT5G+LN8eT2j2w7jSs0qp+7tp/wQi0BT+w9f2u1aQJlmawd+deAXk9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0ZAfHAAAA3gAAAA8AAAAAAAAAAAAAAAAAmAIAAGRy&#10;cy9kb3ducmV2LnhtbFBLBQYAAAAABAAEAPUAAACMAwAAAAA=&#10;" path="m129540,86868l57912,,,e" filled="f" strokecolor="#a6a6a6" strokeweight=".72pt">
                  <v:path arrowok="t" textboxrect="0,0,129540,86868"/>
                </v:shape>
                <v:shape id="Shape 40950" o:spid="_x0000_s1413" style="position:absolute;left:4700;top:2585;width:2286;height:3292;visibility:visible;mso-wrap-style:square;v-text-anchor:top" coordsize="228600,3291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KiBMcA&#10;AADeAAAADwAAAGRycy9kb3ducmV2LnhtbESPy2rCQBSG9wXfYThCd3ViWzXGTKQUWlpw4W2hu0Pm&#10;5IKZM2lmounbdxYFlz//jS9dD6YRV+pcbVnBdBKBIM6trrlUcDx8PMUgnEfW2FgmBb/kYJ2NHlJM&#10;tL3xjq57X4owwi5BBZX3bSKlyysy6Ca2JQ5eYTuDPsiulLrDWxg3jXyOork0WHN4qLCl94ryy743&#10;Cr7jRbGZbfvtKf48+OXLuej7n0Kpx/HwtgLhafD38H/7Syt4jZazABBwAg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iogTHAAAA3gAAAA8AAAAAAAAAAAAAAAAAmAIAAGRy&#10;cy9kb3ducmV2LnhtbFBLBQYAAAAABAAEAPUAAACMAwAAAAA=&#10;" path="m228600,329184l57912,,,e" filled="f" strokecolor="#a6a6a6" strokeweight=".72pt">
                  <v:path arrowok="t" textboxrect="0,0,228600,329184"/>
                </v:shape>
                <v:shape id="Shape 40951" o:spid="_x0000_s1414" style="position:absolute;left:4334;top:833;width:2911;height:4998;visibility:visible;mso-wrap-style:square;v-text-anchor:top" coordsize="291084,499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04EsgA&#10;AADeAAAADwAAAGRycy9kb3ducmV2LnhtbESP0WrCQBRE34X+w3ILfasbRaWN2YhVSn1ooUY/4Jq9&#10;TWKyd0N2a+Lfd4WCj8PMnGGS1WAacaHOVZYVTMYRCOLc6ooLBcfD+/MLCOeRNTaWScGVHKzSh1GC&#10;sbY97+mS+UIECLsYFZTet7GULi/JoBvbljh4P7Yz6IPsCqk77APcNHIaRQtpsOKwUGJLm5LyOvs1&#10;CqZfH5/1ent+O232/fm7KjLU9VWpp8dhvQThafD38H97pxXMotf5BG53whWQ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bTgSyAAAAN4AAAAPAAAAAAAAAAAAAAAAAJgCAABk&#10;cnMvZG93bnJldi54bWxQSwUGAAAAAAQABAD1AAAAjQMAAAAA&#10;" path="m291084,499872l56388,,,e" filled="f" strokecolor="#a6a6a6" strokeweight=".72pt">
                  <v:path arrowok="t" textboxrect="0,0,291084,499872"/>
                </v:shape>
                <v:shape id="Shape 40952" o:spid="_x0000_s1415" style="position:absolute;left:7626;top:1899;width:0;height:3887;visibility:visible;mso-wrap-style:square;v-text-anchor:top" coordsize="0,388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5XsUA&#10;AADeAAAADwAAAGRycy9kb3ducmV2LnhtbESPQWvCQBSE74L/YXlCb7qpaKupq4gi9dCLqd4f2WcS&#10;zL4N2aeJ/75bKPQ4zMw3zGrTu1o9qA2VZwOvkwQUce5txYWB8/dhvAAVBNli7ZkMPCnAZj0crDC1&#10;vuMTPTIpVIRwSNFAKdKkWoe8JIdh4hvi6F1961CibAttW+wi3NV6miRv2mHFcaHEhnYl5bfs7gzI&#10;4SxfMs/fL7r7vNmwne2fu6MxL6N++wFKqJf/8F/7aA3MkuV8Cr934hX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b7lexQAAAN4AAAAPAAAAAAAAAAAAAAAAAJgCAABkcnMv&#10;ZG93bnJldi54bWxQSwUGAAAAAAQABAD1AAAAigMAAAAA&#10;" path="m,388620l,e" filled="f" strokecolor="#a6a6a6" strokeweight=".72pt">
                  <v:path arrowok="t" textboxrect="0,0,0,388620"/>
                </v:shape>
                <v:shape id="Shape 40953" o:spid="_x0000_s1416" style="position:absolute;left:8007;top:2799;width:1706;height:2956;visibility:visible;mso-wrap-style:square;v-text-anchor:top" coordsize="170688,29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0KoMcA&#10;AADeAAAADwAAAGRycy9kb3ducmV2LnhtbESPS2vDMBCE74X+B7GFXEoiN68mbpQQEgo9BfKg58Xa&#10;2KbWyrUUW/73UaGQ4zAz3zCrTTCVaKlxpWUFb6MEBHFmdcm5gsv5c7gA4TyyxsoyKejJwWb9/LTC&#10;VNuOj9SefC4ihF2KCgrv61RKlxVk0I1sTRy9q20M+iibXOoGuwg3lRwnyVwaLDkuFFjTrqDs53Qz&#10;Cvj7dxrayfvt0Nvu8Br2etZftVKDl7D9AOEp+Ef4v/2lFUyT5WwCf3fiFZD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dCqDHAAAA3gAAAA8AAAAAAAAAAAAAAAAAmAIAAGRy&#10;cy9kb3ducmV2LnhtbFBLBQYAAAAABAAEAPUAAACMAwAAAAA=&#10;" path="m,295656l114300,r56388,e" filled="f" strokecolor="#a6a6a6" strokeweight=".72pt">
                  <v:path arrowok="t" textboxrect="0,0,170688,295656"/>
                </v:shape>
                <v:shape id="Shape 40954" o:spid="_x0000_s1417" style="position:absolute;left:8189;top:5359;width:1494;height:396;visibility:visible;mso-wrap-style:square;v-text-anchor:top" coordsize="149352,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CKNsYA&#10;AADeAAAADwAAAGRycy9kb3ducmV2LnhtbESPQWsCMRSE74X+h/AK3mpisdKuRhHL0kLxsFsFj4/N&#10;cze4eVk2Ubf/vhGEHoeZ+YZZrAbXigv1wXrWMBkrEMSVN5ZrDbuf/PkNRIjIBlvPpOGXAqyWjw8L&#10;zIy/ckGXMtYiQThkqKGJscukDFVDDsPYd8TJO/reYUyyr6Xp8ZrgrpUvSs2kQ8tpocGONg1Vp/Ls&#10;NHwWbX44yP22/Ai7b+Ps3hYq13r0NKznICIN8T98b38ZDVP1/jqF2510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LCKNsYAAADeAAAADwAAAAAAAAAAAAAAAACYAgAAZHJz&#10;L2Rvd25yZXYueG1sUEsFBgAAAAAEAAQA9QAAAIsDAAAAAA==&#10;" path="m,39624l92964,r56388,e" filled="f" strokecolor="#a6a6a6" strokeweight=".72pt">
                  <v:path arrowok="t" textboxrect="0,0,149352,39624"/>
                </v:shape>
                <v:rect id="Rectangle 757460" o:spid="_x0000_s1418" style="position:absolute;left:9622;top:13526;width:346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A1EcYA&#10;AADfAAAADwAAAGRycy9kb3ducmV2LnhtbESPy4rCMBSG9wO+QziCuzFVHC/VKKIz6NIbqLtDc2yL&#10;zUlpMrb69JPFgMuf/8Y3WzSmEA+qXG5ZQa8bgSBOrM45VXA6/nyOQTiPrLGwTAqe5GAxb33MMNa2&#10;5j09Dj4VYYRdjAoy78tYSpdkZNB1bUkcvJutDPogq1TqCuswbgrZj6KhNJhzeMiwpFVGyf3waxRs&#10;xuXysrWvOi2+r5vz7jxZHydeqU67WU5BeGr8O/zf3moFo6/RYBgIAk9g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A1EcYAAADfAAAADwAAAAAAAAAAAAAAAACYAgAAZHJz&#10;L2Rvd25yZXYueG1sUEsFBgAAAAAEAAQA9QAAAIsDAAAAAA==&#10;" filled="f" stroked="f">
                  <v:textbox inset="0,0,0,0">
                    <w:txbxContent>
                      <w:p w14:paraId="5DCAD0BC" w14:textId="77777777" w:rsidR="0014164F" w:rsidRDefault="0014164F" w:rsidP="00C232D7">
                        <w:r>
                          <w:rPr>
                            <w:rFonts w:ascii="Calibri" w:hAnsi="Calibri" w:cs="Calibri"/>
                            <w:color w:val="404040"/>
                            <w:sz w:val="18"/>
                          </w:rPr>
                          <w:t>74.07</w:t>
                        </w:r>
                      </w:p>
                    </w:txbxContent>
                  </v:textbox>
                </v:rect>
                <v:rect id="Rectangle 757461" o:spid="_x0000_s1419" style="position:absolute;left:12228;top:13526;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yQiskA&#10;AADfAAAADwAAAGRycy9kb3ducmV2LnhtbESPW2vCQBSE34X+h+UUfNNNivWSZhXpBX20WlDfDtnT&#10;JDR7NmS3JvrrXUHwcZiZb5h00ZlKnKhxpWUF8TACQZxZXXKu4Gf3NZiCcB5ZY2WZFJzJwWL+1Esx&#10;0bblbzptfS4ChF2CCgrv60RKlxVk0A1tTRy8X9sY9EE2udQNtgFuKvkSRWNpsOSwUGBN7wVlf9t/&#10;o2A1rZeHtb20efV5XO03+9nHbuaV6j93yzcQnjr/CN/ba61g8joZjWO4/QlfQM6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syQiskAAADfAAAADwAAAAAAAAAAAAAAAACYAgAA&#10;ZHJzL2Rvd25yZXYueG1sUEsFBgAAAAAEAAQA9QAAAI4DAAAAAA==&#10;" filled="f" stroked="f">
                  <v:textbox inset="0,0,0,0">
                    <w:txbxContent>
                      <w:p w14:paraId="1F404109" w14:textId="77777777" w:rsidR="0014164F" w:rsidRDefault="0014164F" w:rsidP="00C232D7">
                        <w:r>
                          <w:rPr>
                            <w:rFonts w:ascii="Calibri" w:hAnsi="Calibri" w:cs="Calibri"/>
                            <w:color w:val="404040"/>
                            <w:sz w:val="18"/>
                          </w:rPr>
                          <w:t>%</w:t>
                        </w:r>
                      </w:p>
                    </w:txbxContent>
                  </v:textbox>
                </v:rect>
                <v:rect id="Rectangle 757463" o:spid="_x0000_s1420" style="position:absolute;top:16005;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KrZskA&#10;AADfAAAADwAAAGRycy9kb3ducmV2LnhtbESPT2vCQBTE74V+h+UVvNWN2vondRVRSzxaLdjeHtln&#10;Esy+Ddk1Sfvp3YLQ4zAzv2Hmy86UoqHaFZYVDPoRCOLU6oIzBZ/H9+cpCOeRNZaWScEPOVguHh/m&#10;GGvb8gc1B5+JAGEXo4Lc+yqW0qU5GXR9WxEH72xrgz7IOpO6xjbATSmHUTSWBgsOCzlWtM4pvRyu&#10;RkEyrVZfO/vbZuX2OzntT7PNceaV6j11qzcQnjr/H763d1rB5HXyMh7B35/wBeTiB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VKrZskAAADfAAAADwAAAAAAAAAAAAAAAACYAgAA&#10;ZHJzL2Rvd25yZXYueG1sUEsFBgAAAAAEAAQA9QAAAI4DAAAAAA==&#10;" filled="f" stroked="f">
                  <v:textbox inset="0,0,0,0">
                    <w:txbxContent>
                      <w:p w14:paraId="00BD708F" w14:textId="77777777" w:rsidR="0014164F" w:rsidRDefault="0014164F" w:rsidP="00C232D7">
                        <w:r>
                          <w:rPr>
                            <w:rFonts w:ascii="Calibri" w:hAnsi="Calibri" w:cs="Calibri"/>
                            <w:color w:val="404040"/>
                            <w:sz w:val="18"/>
                          </w:rPr>
                          <w:t>0.79</w:t>
                        </w:r>
                      </w:p>
                    </w:txbxContent>
                  </v:textbox>
                </v:rect>
                <v:rect id="Rectangle 757464" o:spid="_x0000_s1421" style="position:absolute;left:2026;top:16005;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szEsgA&#10;AADfAAAADwAAAGRycy9kb3ducmV2LnhtbESPT2vCQBTE70K/w/KE3nSj+Dd1FbEVPdpYUG+P7GsS&#10;mn0bslsT/fSuUOhxmJnfMItVa0pxpdoVlhUM+hEI4tTqgjMFX8dtbwbCeWSNpWVScCMHq+VLZ4Gx&#10;tg1/0jXxmQgQdjEqyL2vYildmpNB17cVcfC+bW3QB1lnUtfYBLgp5TCKJtJgwWEhx4o2OaU/ya9R&#10;sJtV6/Pe3pus/LjsTofT/P0490q9dtv1GwhPrf8P/7X3WsF0PB1NRvD8E76AX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uzMSyAAAAN8AAAAPAAAAAAAAAAAAAAAAAJgCAABk&#10;cnMvZG93bnJldi54bWxQSwUGAAAAAAQABAD1AAAAjQMAAAAA&#10;" filled="f" stroked="f">
                  <v:textbox inset="0,0,0,0">
                    <w:txbxContent>
                      <w:p w14:paraId="06E49F23" w14:textId="77777777" w:rsidR="0014164F" w:rsidRDefault="0014164F" w:rsidP="00C232D7">
                        <w:r>
                          <w:rPr>
                            <w:rFonts w:ascii="Calibri" w:hAnsi="Calibri" w:cs="Calibri"/>
                            <w:color w:val="404040"/>
                            <w:sz w:val="18"/>
                          </w:rPr>
                          <w:t>%</w:t>
                        </w:r>
                      </w:p>
                    </w:txbxContent>
                  </v:textbox>
                </v:rect>
                <v:rect id="Rectangle 757445" o:spid="_x0000_s1422" style="position:absolute;top:7617;width:2702;height:1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LK6ckA&#10;AADfAAAADwAAAGRycy9kb3ducmV2LnhtbESPT2vCQBTE7wW/w/IKvdVNi1aN2Yi0ih79B7a3R/aZ&#10;BLNvQ3Y1sZ++WxA8DjPzGyaZdaYSV2pcaVnBWz8CQZxZXXKu4LBfvo5BOI+ssbJMCm7kYJb2nhKM&#10;tW15S9edz0WAsItRQeF9HUvpsoIMur6tiYN3so1BH2STS91gG+Cmku9R9CENlhwWCqzps6DsvLsY&#10;BatxPf9e2982rxY/q+PmOPnaT7xSL8/dfArCU+cf4Xt7rRWMhqPBYAj/f8IXkO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kLK6ckAAADfAAAADwAAAAAAAAAAAAAAAACYAgAA&#10;ZHJzL2Rvd25yZXYueG1sUEsFBgAAAAAEAAQA9QAAAI4DAAAAAA==&#10;" filled="f" stroked="f">
                  <v:textbox inset="0,0,0,0">
                    <w:txbxContent>
                      <w:p w14:paraId="7034D5C7" w14:textId="77777777" w:rsidR="0014164F" w:rsidRDefault="0014164F" w:rsidP="00C232D7">
                        <w:r>
                          <w:rPr>
                            <w:rFonts w:ascii="Calibri" w:hAnsi="Calibri" w:cs="Calibri"/>
                            <w:color w:val="404040"/>
                            <w:sz w:val="18"/>
                          </w:rPr>
                          <w:t>0.79</w:t>
                        </w:r>
                      </w:p>
                    </w:txbxContent>
                  </v:textbox>
                </v:rect>
                <v:rect id="Rectangle 757446" o:spid="_x0000_s1423" style="position:absolute;left:2027;top:7617;width:1090;height:1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BUnsgA&#10;AADfAAAADwAAAGRycy9kb3ducmV2LnhtbESPT2vCQBTE70K/w/KE3nSj+Dd1FbEVPdpYUG+P7GsS&#10;mn0bslsT/fSuUOhxmJnfMItVa0pxpdoVlhUM+hEI4tTqgjMFX8dtbwbCeWSNpWVScCMHq+VLZ4Gx&#10;tg1/0jXxmQgQdjEqyL2vYildmpNB17cVcfC+bW3QB1lnUtfYBLgp5TCKJtJgwWEhx4o2OaU/ya9R&#10;sJtV6/Pe3pus/LjsTofT/P0490q9dtv1GwhPrf8P/7X3WsF0PB2NJvD8E76AXD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kFSeyAAAAN8AAAAPAAAAAAAAAAAAAAAAAJgCAABk&#10;cnMvZG93bnJldi54bWxQSwUGAAAAAAQABAD1AAAAjQMAAAAA&#10;" filled="f" stroked="f">
                  <v:textbox inset="0,0,0,0">
                    <w:txbxContent>
                      <w:p w14:paraId="59712E13" w14:textId="77777777" w:rsidR="0014164F" w:rsidRDefault="0014164F" w:rsidP="00C232D7">
                        <w:r>
                          <w:rPr>
                            <w:rFonts w:ascii="Calibri" w:hAnsi="Calibri" w:cs="Calibri"/>
                            <w:color w:val="404040"/>
                            <w:sz w:val="18"/>
                          </w:rPr>
                          <w:t>%</w:t>
                        </w:r>
                      </w:p>
                    </w:txbxContent>
                  </v:textbox>
                </v:rect>
                <v:rect id="Rectangle 757432" o:spid="_x0000_s1424" style="position:absolute;top:5431;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0h4MkA&#10;AADfAAAADwAAAGRycy9kb3ducmV2LnhtbESPT2vCQBTE70K/w/IKvelG67+kriLVokerhbS3R/aZ&#10;hGbfhuxq0n56tyD0OMzMb5jFqjOVuFLjSssKhoMIBHFmdcm5go/TW38OwnlkjZVlUvBDDlbLh94C&#10;E21bfqfr0eciQNglqKDwvk6kdFlBBt3A1sTBO9vGoA+yyaVusA1wU8lRFE2lwZLDQoE1vRaUfR8v&#10;RsFuXq8/9/a3zavt1y49pPHmFHulnh679QsIT53/D9/be61gNpmNn0fw9yd8Abm8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a0h4MkAAADfAAAADwAAAAAAAAAAAAAAAACYAgAA&#10;ZHJzL2Rvd25yZXYueG1sUEsFBgAAAAAEAAQA9QAAAI4DAAAAAA==&#10;" filled="f" stroked="f">
                  <v:textbox inset="0,0,0,0">
                    <w:txbxContent>
                      <w:p w14:paraId="5FD6EA4A" w14:textId="77777777" w:rsidR="0014164F" w:rsidRDefault="0014164F" w:rsidP="00C232D7">
                        <w:r>
                          <w:rPr>
                            <w:rFonts w:ascii="Calibri" w:hAnsi="Calibri" w:cs="Calibri"/>
                            <w:color w:val="404040"/>
                            <w:sz w:val="18"/>
                          </w:rPr>
                          <w:t>0.98</w:t>
                        </w:r>
                      </w:p>
                    </w:txbxContent>
                  </v:textbox>
                </v:rect>
                <v:rect id="Rectangle 757433" o:spid="_x0000_s1425" style="position:absolute;left:2026;top:5431;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GEe8kA&#10;AADfAAAADwAAAGRycy9kb3ducmV2LnhtbESPQWvCQBSE74L/YXlCb7qpsVWjq0hr0WOrBevtkX1N&#10;gtm3IbtNUn+9KxR6HGbmG2a57kwpGqpdYVnB4ygCQZxaXXCm4PP4NpyBcB5ZY2mZFPySg/Wq31ti&#10;om3LH9QcfCYChF2CCnLvq0RKl+Zk0I1sRRy8b1sb9EHWmdQ1tgFuSjmOomdpsOCwkGNFLzmll8OP&#10;UbCbVZuvvb22Wbk9707vp/nrce6Vehh0mwUIT53/D/+191rB9Gk6iWO4/wlfQK5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uGEe8kAAADfAAAADwAAAAAAAAAAAAAAAACYAgAA&#10;ZHJzL2Rvd25yZXYueG1sUEsFBgAAAAAEAAQA9QAAAI4DAAAAAA==&#10;" filled="f" stroked="f">
                  <v:textbox inset="0,0,0,0">
                    <w:txbxContent>
                      <w:p w14:paraId="0103147F" w14:textId="77777777" w:rsidR="0014164F" w:rsidRDefault="0014164F" w:rsidP="00C232D7">
                        <w:r>
                          <w:rPr>
                            <w:rFonts w:ascii="Calibri" w:hAnsi="Calibri" w:cs="Calibri"/>
                            <w:color w:val="404040"/>
                            <w:sz w:val="18"/>
                          </w:rPr>
                          <w:t>%</w:t>
                        </w:r>
                      </w:p>
                    </w:txbxContent>
                  </v:textbox>
                </v:rect>
                <v:rect id="Rectangle 757453" o:spid="_x0000_s1426" style="position:absolute;left:3143;top:9528;width:346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5h28kA&#10;AADfAAAADwAAAGRycy9kb3ducmV2LnhtbESPW2vCQBSE3wv9D8sp+FY32npJ6ipSW/TRG8S+HbLH&#10;JJg9G7Jbk/bXu4WCj8PMfMPMFp2pxJUaV1pWMOhHIIgzq0vOFRwPn89TEM4ja6wsk4IfcrCYPz7M&#10;MNG25R1d9z4XAcIuQQWF93UipcsKMuj6tiYO3tk2Bn2QTS51g22Am0oOo2gsDZYcFgqs6b2g7LL/&#10;NgrW03p52tjfNq8+vtbpNo1Xh9gr1Xvqlm8gPHX+Hv5vb7SCyWjyOnqBvz/hC8j5D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z5h28kAAADfAAAADwAAAAAAAAAAAAAAAACYAgAA&#10;ZHJzL2Rvd25yZXYueG1sUEsFBgAAAAAEAAQA9QAAAI4DAAAAAA==&#10;" filled="f" stroked="f">
                  <v:textbox inset="0,0,0,0">
                    <w:txbxContent>
                      <w:p w14:paraId="26B071D3" w14:textId="77777777" w:rsidR="0014164F" w:rsidRDefault="0014164F" w:rsidP="00C232D7">
                        <w:r>
                          <w:rPr>
                            <w:rFonts w:ascii="Calibri" w:hAnsi="Calibri" w:cs="Calibri"/>
                            <w:color w:val="404040"/>
                            <w:sz w:val="18"/>
                          </w:rPr>
                          <w:t>18.66</w:t>
                        </w:r>
                      </w:p>
                    </w:txbxContent>
                  </v:textbox>
                </v:rect>
                <v:rect id="Rectangle 757454" o:spid="_x0000_s1427" style="position:absolute;left:5749;top:9528;width:108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f5r8kA&#10;AADfAAAADwAAAGRycy9kb3ducmV2LnhtbESPT2vCQBTE7wW/w/IKvdVNi1aN2Yi0ih79B7a3R/aZ&#10;BLNvQ3Y1sZ++WxA8DjPzGyaZdaYSV2pcaVnBWz8CQZxZXXKu4LBfvo5BOI+ssbJMCm7kYJb2nhKM&#10;tW15S9edz0WAsItRQeF9HUvpsoIMur6tiYN3so1BH2STS91gG+Cmku9R9CENlhwWCqzps6DsvLsY&#10;BatxPf9e2982rxY/q+PmOPnaT7xSL8/dfArCU+cf4Xt7rRWMhqPBcAD/f8IXkO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Nf5r8kAAADfAAAADwAAAAAAAAAAAAAAAACYAgAA&#10;ZHJzL2Rvd25yZXYueG1sUEsFBgAAAAAEAAQA9QAAAI4DAAAAAA==&#10;" filled="f" stroked="f">
                  <v:textbox inset="0,0,0,0">
                    <w:txbxContent>
                      <w:p w14:paraId="0518DAF4" w14:textId="77777777" w:rsidR="0014164F" w:rsidRDefault="0014164F" w:rsidP="00C232D7">
                        <w:r>
                          <w:rPr>
                            <w:rFonts w:ascii="Calibri" w:hAnsi="Calibri" w:cs="Calibri"/>
                            <w:color w:val="404040"/>
                            <w:sz w:val="18"/>
                          </w:rPr>
                          <w:t>%</w:t>
                        </w:r>
                      </w:p>
                    </w:txbxContent>
                  </v:textbox>
                </v:rect>
                <v:rect id="Rectangle 757427" o:spid="_x0000_s1428" style="position:absolute;left:2286;top:4288;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UpckA&#10;AADfAAAADwAAAGRycy9kb3ducmV2LnhtbESPQWvCQBSE74X+h+UVvNVNxRqNWUVqix5bFaK3R/Y1&#10;Cc2+DdnVpP56Vyj0OMzMN0y67E0tLtS6yrKCl2EEgji3uuJCwWH/8TwF4TyyxtoyKfglB8vF40OK&#10;ibYdf9Fl5wsRIOwSVFB63yRSurwkg25oG+LgfdvWoA+yLaRusQtwU8tRFE2kwYrDQokNvZWU/+zO&#10;RsFm2qyOW3vtivr9tMk+s9l6P/NKDZ761RyEp97/h//aW60gfo3Hoxjuf8IXkIs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AMUpckAAADfAAAADwAAAAAAAAAAAAAAAACYAgAA&#10;ZHJzL2Rvd25yZXYueG1sUEsFBgAAAAAEAAQA9QAAAI4DAAAAAA==&#10;" filled="f" stroked="f">
                  <v:textbox inset="0,0,0,0">
                    <w:txbxContent>
                      <w:p w14:paraId="49ACC3C8" w14:textId="77777777" w:rsidR="0014164F" w:rsidRDefault="0014164F" w:rsidP="00C232D7">
                        <w:r>
                          <w:rPr>
                            <w:rFonts w:ascii="Calibri" w:hAnsi="Calibri" w:cs="Calibri"/>
                            <w:color w:val="404040"/>
                            <w:sz w:val="18"/>
                          </w:rPr>
                          <w:t>1.38</w:t>
                        </w:r>
                      </w:p>
                    </w:txbxContent>
                  </v:textbox>
                </v:rect>
                <v:rect id="Rectangle 757428" o:spid="_x0000_s1429" style="position:absolute;left:4312;top:4288;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yA18YA&#10;AADfAAAADwAAAGRycy9kb3ducmV2LnhtbERPy2rCQBTdF/yH4Qrd1YmhrRodQ+gDXfoCdXfJXJPQ&#10;zJ2QmSZpv76zKLg8nPcqHUwtOmpdZVnBdBKBIM6trrhQcDp+Ps1BOI+ssbZMCn7IQboePaww0bbn&#10;PXUHX4gQwi5BBaX3TSKly0sy6Ca2IQ7czbYGfYBtIXWLfQg3tYyj6FUarDg0lNjQW0n51+HbKNjM&#10;m+yytb99UX9cN+fdefF+XHilHsdDtgThafB38b97qxXMXmbPcRgc/oQv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ZyA18YAAADfAAAADwAAAAAAAAAAAAAAAACYAgAAZHJz&#10;L2Rvd25yZXYueG1sUEsFBgAAAAAEAAQA9QAAAIsDAAAAAA==&#10;" filled="f" stroked="f">
                  <v:textbox inset="0,0,0,0">
                    <w:txbxContent>
                      <w:p w14:paraId="343198EF" w14:textId="77777777" w:rsidR="0014164F" w:rsidRDefault="0014164F" w:rsidP="00C232D7">
                        <w:r>
                          <w:rPr>
                            <w:rFonts w:ascii="Calibri" w:hAnsi="Calibri" w:cs="Calibri"/>
                            <w:color w:val="404040"/>
                            <w:sz w:val="18"/>
                          </w:rPr>
                          <w:t>%</w:t>
                        </w:r>
                      </w:p>
                    </w:txbxContent>
                  </v:textbox>
                </v:rect>
                <v:rect id="Rectangle 757423" o:spid="_x0000_s1430" style="position:absolute;left:3645;top:1715;width:108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gSpskA&#10;AADfAAAADwAAAGRycy9kb3ducmV2LnhtbESPT2vCQBTE70K/w/IKvelG67+kriLVokerhbS3R/aZ&#10;hGbfhuxq0n56tyD0OMzMb5jFqjOVuFLjSssKhoMIBHFmdcm5go/TW38OwnlkjZVlUvBDDlbLh94C&#10;E21bfqfr0eciQNglqKDwvk6kdFlBBt3A1sTBO9vGoA+yyaVusA1wU8lRFE2lwZLDQoE1vRaUfR8v&#10;RsFuXq8/9/a3zavt1y49pPHmFHulnh679QsIT53/D9/be61gNpmNR8/w9yd8Abm8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zgSpskAAADfAAAADwAAAAAAAAAAAAAAAACYAgAA&#10;ZHJzL2Rvd25yZXYueG1sUEsFBgAAAAAEAAQA9QAAAI4DAAAAAA==&#10;" filled="f" stroked="f">
                  <v:textbox inset="0,0,0,0">
                    <w:txbxContent>
                      <w:p w14:paraId="336C7A1F" w14:textId="77777777" w:rsidR="0014164F" w:rsidRDefault="0014164F" w:rsidP="00C232D7">
                        <w:r>
                          <w:rPr>
                            <w:rFonts w:ascii="Calibri" w:hAnsi="Calibri" w:cs="Calibri"/>
                            <w:color w:val="404040"/>
                            <w:sz w:val="18"/>
                          </w:rPr>
                          <w:t>%</w:t>
                        </w:r>
                      </w:p>
                    </w:txbxContent>
                  </v:textbox>
                </v:rect>
                <v:rect id="Rectangle 757422" o:spid="_x0000_s1431" style="position:absolute;left:1618;top:1715;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S3PcgA&#10;AADfAAAADwAAAGRycy9kb3ducmV2LnhtbESPT2vCQBTE74V+h+UVvNVNg3+jq0ht0aNVQb09sq9J&#10;aPZtyK4m+uldQehxmJnfMNN5a0pxodoVlhV8dCMQxKnVBWcK9rvv9xEI55E1lpZJwZUczGevL1NM&#10;tG34hy5bn4kAYZeggtz7KpHSpTkZdF1bEQfv19YGfZB1JnWNTYCbUsZRNJAGCw4LOVb0mVP6tz0b&#10;BatRtTiu7a3Jyq/T6rA5jJe7sVeq89YuJiA8tf4//GyvtYJhf9iLY3j8CV9Az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dLc9yAAAAN8AAAAPAAAAAAAAAAAAAAAAAJgCAABk&#10;cnMvZG93bnJldi54bWxQSwUGAAAAAAQABAD1AAAAjQMAAAAA&#10;" filled="f" stroked="f">
                  <v:textbox inset="0,0,0,0">
                    <w:txbxContent>
                      <w:p w14:paraId="068C1839" w14:textId="77777777" w:rsidR="0014164F" w:rsidRDefault="0014164F" w:rsidP="00C232D7">
                        <w:r>
                          <w:rPr>
                            <w:rFonts w:ascii="Calibri" w:hAnsi="Calibri" w:cs="Calibri"/>
                            <w:color w:val="404040"/>
                            <w:sz w:val="18"/>
                          </w:rPr>
                          <w:t>0.39</w:t>
                        </w:r>
                      </w:p>
                    </w:txbxContent>
                  </v:textbox>
                </v:rect>
                <v:rect id="Rectangle 757415" o:spid="_x0000_s1432" style="position:absolute;left:1237;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l9MkA&#10;AADfAAAADwAAAGRycy9kb3ducmV2LnhtbESPW2vCQBSE3wv+h+UIvtVNRKvGrCK9oI/ewPbtkD0m&#10;wezZkN2atL++WxB8HGbmGyZddaYSN2pcaVlBPIxAEGdWl5wrOB0/nmcgnEfWWFkmBT/kYLXsPaWY&#10;aNvynm4Hn4sAYZeggsL7OpHSZQUZdENbEwfvYhuDPsgml7rBNsBNJUdR9CINlhwWCqzptaDsevg2&#10;Cjazev25tb9tXr1/bc678/ztOPdKDfrdegHCU+cf4Xt7qxVMJ9NxPIH/P+ELy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Hl9MkAAADfAAAADwAAAAAAAAAAAAAAAACYAgAA&#10;ZHJzL2Rvd25yZXYueG1sUEsFBgAAAAAEAAQA9QAAAI4DAAAAAA==&#10;" filled="f" stroked="f">
                  <v:textbox inset="0,0,0,0">
                    <w:txbxContent>
                      <w:p w14:paraId="135173C4" w14:textId="77777777" w:rsidR="0014164F" w:rsidRDefault="0014164F" w:rsidP="00C232D7">
                        <w:r>
                          <w:rPr>
                            <w:rFonts w:ascii="Calibri" w:hAnsi="Calibri" w:cs="Calibri"/>
                            <w:color w:val="404040"/>
                            <w:sz w:val="18"/>
                          </w:rPr>
                          <w:t>0.98</w:t>
                        </w:r>
                      </w:p>
                    </w:txbxContent>
                  </v:textbox>
                </v:rect>
                <v:rect id="Rectangle 757419" o:spid="_x0000_s1433" style="position:absolute;left:3264;width:108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zv8ckA&#10;AADfAAAADwAAAGRycy9kb3ducmV2LnhtbESPQWvCQBSE70L/w/IKvelGsdVEN0G0RY9WBfX2yL4m&#10;odm3Ibs1aX99tyD0OMzMN8wy600tbtS6yrKC8SgCQZxbXXGh4HR8G85BOI+ssbZMCr7JQZY+DJaY&#10;aNvxO90OvhABwi5BBaX3TSKly0sy6Ea2IQ7eh20N+iDbQuoWuwA3tZxE0Ys0WHFYKLGhdUn55+HL&#10;KNjOm9VlZ3+6on69bs/7c7w5xl6pp8d+tQDhqff/4Xt7pxXMnmfTcQx/f8IXkO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Lzv8ckAAADfAAAADwAAAAAAAAAAAAAAAACYAgAA&#10;ZHJzL2Rvd25yZXYueG1sUEsFBgAAAAAEAAQA9QAAAI4DAAAAAA==&#10;" filled="f" stroked="f">
                  <v:textbox inset="0,0,0,0">
                    <w:txbxContent>
                      <w:p w14:paraId="5309AD77" w14:textId="77777777" w:rsidR="0014164F" w:rsidRDefault="0014164F" w:rsidP="00C232D7">
                        <w:r>
                          <w:rPr>
                            <w:rFonts w:ascii="Calibri" w:hAnsi="Calibri" w:cs="Calibri"/>
                            <w:color w:val="404040"/>
                            <w:sz w:val="18"/>
                          </w:rPr>
                          <w:t>%</w:t>
                        </w:r>
                      </w:p>
                    </w:txbxContent>
                  </v:textbox>
                </v:rect>
                <v:rect id="Rectangle 757421" o:spid="_x0000_s1434" style="position:absolute;left:8228;top:762;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YpSsgA&#10;AADfAAAADwAAAGRycy9kb3ducmV2LnhtbESPQWvCQBSE70L/w/IK3nQTsVXTrCJV0aPVgu3tkX1N&#10;QrNvQ3Y1qb++Kwgeh5n5hkkXnanEhRpXWlYQDyMQxJnVJecKPo+bwRSE88gaK8uk4I8cLOZPvRQT&#10;bVv+oMvB5yJA2CWooPC+TqR0WUEG3dDWxMH7sY1BH2STS91gG+CmkqMoepUGSw4LBdb0XlD2ezgb&#10;Bdtpvfza2WubV+vv7Wl/mq2OM69U/7lbvoHw1PlH+N7eaQWTl8l4FMPtT/gCcv4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pilKyAAAAN8AAAAPAAAAAAAAAAAAAAAAAJgCAABk&#10;cnMvZG93bnJldi54bWxQSwUGAAAAAAQABAD1AAAAjQMAAAAA&#10;" filled="f" stroked="f">
                  <v:textbox inset="0,0,0,0">
                    <w:txbxContent>
                      <w:p w14:paraId="71637F76" w14:textId="77777777" w:rsidR="0014164F" w:rsidRDefault="0014164F" w:rsidP="00C232D7">
                        <w:r>
                          <w:rPr>
                            <w:rFonts w:ascii="Calibri" w:hAnsi="Calibri" w:cs="Calibri"/>
                            <w:color w:val="404040"/>
                            <w:sz w:val="18"/>
                          </w:rPr>
                          <w:t>%</w:t>
                        </w:r>
                      </w:p>
                    </w:txbxContent>
                  </v:textbox>
                </v:rect>
                <v:rect id="Rectangle 757420" o:spid="_x0000_s1435" style="position:absolute;left:6191;top:762;width:270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M0ccA&#10;AADfAAAADwAAAGRycy9kb3ducmV2LnhtbESPy2rCQBSG9wXfYThCd3ViaKtGxxB6QZfeQN0dMsck&#10;NHMmZKZJ2qfvLAouf/4b3yodTC06al1lWcF0EoEgzq2uuFBwOn4+zUE4j6yxtkwKfshBuh49rDDR&#10;tuc9dQdfiDDCLkEFpfdNIqXLSzLoJrYhDt7NtgZ9kG0hdYt9GDe1jKPoVRqsODyU2NBbSfnX4dso&#10;2Myb7LK1v31Rf1w359158X5ceKUex0O2BOFp8Pfwf3urFcxeZs9xIAg8gQ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qjNHHAAAA3wAAAA8AAAAAAAAAAAAAAAAAmAIAAGRy&#10;cy9kb3ducmV2LnhtbFBLBQYAAAAABAAEAPUAAACMAwAAAAA=&#10;" filled="f" stroked="f">
                  <v:textbox inset="0,0,0,0">
                    <w:txbxContent>
                      <w:p w14:paraId="3F085A2F" w14:textId="77777777" w:rsidR="0014164F" w:rsidRDefault="0014164F" w:rsidP="00C232D7">
                        <w:r>
                          <w:rPr>
                            <w:rFonts w:ascii="Calibri" w:hAnsi="Calibri" w:cs="Calibri"/>
                            <w:color w:val="404040"/>
                            <w:sz w:val="18"/>
                          </w:rPr>
                          <w:t>0.98</w:t>
                        </w:r>
                      </w:p>
                    </w:txbxContent>
                  </v:textbox>
                </v:rect>
                <v:rect id="Rectangle 757425" o:spid="_x0000_s1436" style="position:absolute;left:11838;top:2000;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0vScgA&#10;AADfAAAADwAAAGRycy9kb3ducmV2LnhtbESPT2vCQBTE70K/w/KE3nSj1H+pq4hW9GhjQb09sq9J&#10;aPZtyG5N9NO7QqHHYWZ+w8yXrSnFlWpXWFYw6EcgiFOrC84UfB23vSkI55E1lpZJwY0cLBcvnTnG&#10;2jb8SdfEZyJA2MWoIPe+iqV0aU4GXd9WxMH7trVBH2SdSV1jE+CmlMMoGkuDBYeFHCta55T+JL9G&#10;wW5arc57e2+y8uOyOx1Os81x5pV67bardxCeWv8f/mvvtYLJaPI2HMHzT/gCcvE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nS9JyAAAAN8AAAAPAAAAAAAAAAAAAAAAAJgCAABk&#10;cnMvZG93bnJldi54bWxQSwUGAAAAAAQABAD1AAAAjQMAAAAA&#10;" filled="f" stroked="f">
                  <v:textbox inset="0,0,0,0">
                    <w:txbxContent>
                      <w:p w14:paraId="338FFD30" w14:textId="77777777" w:rsidR="0014164F" w:rsidRDefault="0014164F" w:rsidP="00C232D7">
                        <w:r>
                          <w:rPr>
                            <w:rFonts w:ascii="Calibri" w:hAnsi="Calibri" w:cs="Calibri"/>
                            <w:color w:val="404040"/>
                            <w:sz w:val="18"/>
                          </w:rPr>
                          <w:t>%</w:t>
                        </w:r>
                      </w:p>
                    </w:txbxContent>
                  </v:textbox>
                </v:rect>
                <v:rect id="Rectangle 757424" o:spid="_x0000_s1437" style="position:absolute;left:9811;top:2000;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GK0skA&#10;AADfAAAADwAAAGRycy9kb3ducmV2LnhtbESPT2vCQBTE7wW/w/IKvdVNxfonZiOiLXq0sWB7e2Sf&#10;STD7NmS3Ju2ndwuCx2FmfsMky97U4kKtqywreBlGIIhzqysuFHwe3p9nIJxH1lhbJgW/5GCZDh4S&#10;jLXt+IMumS9EgLCLUUHpfRNL6fKSDLqhbYiDd7KtQR9kW0jdYhfgppajKJpIgxWHhRIbWpeUn7Mf&#10;o2A7a1ZfO/vXFfXb9/a4P843h7lX6umxXy1AeOr9PXxr77SC6et0PBrD/5/wBWR6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NGK0skAAADfAAAADwAAAAAAAAAAAAAAAACYAgAA&#10;ZHJzL2Rvd25yZXYueG1sUEsFBgAAAAAEAAQA9QAAAI4DAAAAAA==&#10;" filled="f" stroked="f">
                  <v:textbox inset="0,0,0,0">
                    <w:txbxContent>
                      <w:p w14:paraId="785973A4" w14:textId="77777777" w:rsidR="0014164F" w:rsidRDefault="0014164F" w:rsidP="00C232D7">
                        <w:r>
                          <w:rPr>
                            <w:rFonts w:ascii="Calibri" w:hAnsi="Calibri" w:cs="Calibri"/>
                            <w:color w:val="404040"/>
                            <w:sz w:val="18"/>
                          </w:rPr>
                          <w:t>0.98</w:t>
                        </w:r>
                      </w:p>
                    </w:txbxContent>
                  </v:textbox>
                </v:rect>
                <v:rect id="Rectangle 757429" o:spid="_x0000_s1438" style="position:absolute;left:9868;top:4499;width:2703;height:1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AlTMkA&#10;AADfAAAADwAAAGRycy9kb3ducmV2LnhtbESPQWvCQBSE70L/w/IKvemmUhsTXUVaJR6tCurtkX1N&#10;QrNvQ3ZrYn99tyD0OMzMN8x82ZtaXKl1lWUFz6MIBHFudcWFguNhM5yCcB5ZY22ZFNzIwXLxMJhj&#10;qm3HH3Td+0IECLsUFZTeN6mULi/JoBvZhjh4n7Y16INsC6lb7ALc1HIcRa/SYMVhocSG3krKv/bf&#10;RkE2bVbnrf3pinp9yU67U/J+SLxST4/9agbCU+//w/f2ViuIJ/HLOIG/P+ELy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tAlTMkAAADfAAAADwAAAAAAAAAAAAAAAACYAgAA&#10;ZHJzL2Rvd25yZXYueG1sUEsFBgAAAAAEAAQA9QAAAI4DAAAAAA==&#10;" filled="f" stroked="f">
                  <v:textbox inset="0,0,0,0">
                    <w:txbxContent>
                      <w:p w14:paraId="61A89242" w14:textId="77777777" w:rsidR="0014164F" w:rsidRDefault="0014164F" w:rsidP="00C232D7">
                        <w:r>
                          <w:rPr>
                            <w:rFonts w:ascii="Calibri" w:hAnsi="Calibri" w:cs="Calibri"/>
                            <w:color w:val="404040"/>
                            <w:sz w:val="18"/>
                          </w:rPr>
                          <w:t>0.00</w:t>
                        </w:r>
                      </w:p>
                    </w:txbxContent>
                  </v:textbox>
                </v:rect>
                <v:rect id="Rectangle 757430" o:spid="_x0000_s1439" style="position:absolute;left:11896;top:4499;width:1090;height:1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MaDMgA&#10;AADfAAAADwAAAGRycy9kb3ducmV2LnhtbESPy2rCQBSG94W+w3AEd3VirdVER5Haost6gejukDkm&#10;oZkzITOa1Kd3FoUuf/4b33zZmUrcqHGlZQXDQQSCOLO65FzB8fD1MgXhPLLGyjIp+CUHy8Xz0xwT&#10;bVve0W3vcxFG2CWooPC+TqR0WUEG3cDWxMG72MagD7LJpW6wDeOmkq9R9C4NlhweCqzpo6DsZ381&#10;CjbTenXa2nubV5/nTfqdxutD7JXq97rVDISnzv+H/9pbrWAynryNAkHgCSwgF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MxoMyAAAAN8AAAAPAAAAAAAAAAAAAAAAAJgCAABk&#10;cnMvZG93bnJldi54bWxQSwUGAAAAAAQABAD1AAAAjQMAAAAA&#10;" filled="f" stroked="f">
                  <v:textbox inset="0,0,0,0">
                    <w:txbxContent>
                      <w:p w14:paraId="669AD54E" w14:textId="77777777" w:rsidR="0014164F" w:rsidRDefault="0014164F" w:rsidP="00C232D7">
                        <w:r>
                          <w:rPr>
                            <w:rFonts w:ascii="Calibri" w:hAnsi="Calibri" w:cs="Calibri"/>
                            <w:color w:val="404040"/>
                            <w:sz w:val="18"/>
                          </w:rPr>
                          <w:t>%</w:t>
                        </w:r>
                      </w:p>
                    </w:txbxContent>
                  </v:textbox>
                </v:rect>
                <v:shape id="Shape 922219" o:spid="_x0000_s1440" style="position:absolute;left:17387;top:2258;width:518;height:502;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1F7MgA&#10;AADfAAAADwAAAGRycy9kb3ducmV2LnhtbESPQWvCQBSE70L/w/IKvekmOYSaukopFFukBxN76O2R&#10;fU1Cs2/D7mpSf70rCB6HmfmGWW0m04sTOd9ZVpAuEhDEtdUdNwoO1fv8GYQPyBp7y6Tgnzxs1g+z&#10;FRbajrynUxkaESHsC1TQhjAUUvq6JYN+YQfi6P1aZzBE6RqpHY4RbnqZJUkuDXYcF1oc6K2l+q88&#10;GgUljufcfW6TtDpSlX/ttj/fZ1bq6XF6fQERaAr38K39oRUssyxLl3D9E7+AX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7UXsyAAAAN8AAAAPAAAAAAAAAAAAAAAAAJgCAABk&#10;cnMvZG93bnJldi54bWxQSwUGAAAAAAQABAD1AAAAjQMAAAAA&#10;" path="m,l51816,r,50292l,50292,,e" fillcolor="#5b9bd5" stroked="f" strokeweight="0">
                  <v:path arrowok="t" textboxrect="0,0,51816,50292"/>
                </v:shape>
                <v:shape id="Shape 40967" o:spid="_x0000_s1441" style="position:absolute;left:17387;top:2258;width:518;height:502;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ueMgA&#10;AADeAAAADwAAAGRycy9kb3ducmV2LnhtbESPQUvDQBSE74L/YXlCb3Zj0aix21ILhfZg0SgUb4/s&#10;MxvNvg3Z1zb117uC4HGYmW+Y6XzwrTpQH5vABq7GGSjiKtiGawNvr6vLO1BRkC22gcnAiSLMZ+dn&#10;UyxsOPILHUqpVYJwLNCAE+kKrWPlyGMch444eR+h9yhJ9rW2PR4T3Ld6kmW59thwWnDY0dJR9VXu&#10;vYHdp3yLa5f1++65pJunTb59jLkxo4th8QBKaJD/8F97bQ1cZ/f5LfzeSVdAz3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0y54yAAAAN4AAAAPAAAAAAAAAAAAAAAAAJgCAABk&#10;cnMvZG93bnJldi54bWxQSwUGAAAAAAQABAD1AAAAjQMAAAAA&#10;" path="m,50292r51816,l51816,,,,,50292xe" filled="f" strokecolor="white" strokeweight="1.56pt">
                  <v:path arrowok="t" textboxrect="0,0,51816,50292"/>
                </v:shape>
                <v:rect id="Rectangle 40968" o:spid="_x0000_s1442" style="position:absolute;left:18117;top:1902;width:4728;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JeX8MA&#10;AADeAAAADwAAAGRycy9kb3ducmV2LnhtbERPy4rCMBTdD/gP4QruxnRExHaMIj7QpVMFdXdp7rRl&#10;mpvSRFv9erMYcHk479miM5W4U+NKywq+hhEI4szqknMFp+P2cwrCeWSNlWVS8CAHi3nvY4aJti3/&#10;0D31uQgh7BJUUHhfJ1K6rCCDbmhr4sD92sagD7DJpW6wDeGmkqMomkiDJYeGAmtaFZT9pTejYDet&#10;l5e9fbZ5tbnuzodzvD7GXqlBv1t+g/DU+bf4373XCsZRPAl7w51wBe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JeX8MAAADeAAAADwAAAAAAAAAAAAAAAACYAgAAZHJzL2Rv&#10;d25yZXYueG1sUEsFBgAAAAAEAAQA9QAAAIgDAAAAAA==&#10;" filled="f" stroked="f">
                  <v:textbox inset="0,0,0,0">
                    <w:txbxContent>
                      <w:p w14:paraId="63993481" w14:textId="77777777" w:rsidR="0014164F" w:rsidRDefault="0014164F" w:rsidP="00C232D7">
                        <w:r>
                          <w:rPr>
                            <w:rFonts w:ascii="Arial" w:eastAsia="Arial" w:hAnsi="Arial" w:cs="Arial"/>
                            <w:color w:val="595959"/>
                            <w:sz w:val="16"/>
                          </w:rPr>
                          <w:t>Plastika</w:t>
                        </w:r>
                      </w:p>
                    </w:txbxContent>
                  </v:textbox>
                </v:rect>
                <v:shape id="Shape 922220" o:spid="_x0000_s1443" style="position:absolute;left:17387;top:4132;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I5/sQA&#10;AADfAAAADwAAAGRycy9kb3ducmV2LnhtbESPzW7CQAyE75V4h5WReisbQKpoYEEI+ndsgQewsiYJ&#10;ZL1RvA1pn74+VOrcrBl/9qw2Q2hMT53UkR1MJxkY4iL6mksHp+PLwwKMJGSPTWRy8E0Cm/XoboW5&#10;jzf+pP6QSqMQlhwdVCm1ubVSVBRQJrElVu8cu4BJx660vsObwkNjZ1n2aAPWrBcqbGlXUXE9fAV9&#10;Y378+XiW13o352x/6UUW/CbO3Y+H7RJMoiH9h/+2372Dp5lKG2gfhYBd/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COf7EAAAA3wAAAA8AAAAAAAAAAAAAAAAAmAIAAGRycy9k&#10;b3ducmV2LnhtbFBLBQYAAAAABAAEAPUAAACJAwAAAAA=&#10;" path="m,l51816,r,51816l,51816,,e" fillcolor="#ed7d31" stroked="f" strokeweight="0">
                  <v:path arrowok="t" textboxrect="0,0,51816,51816"/>
                </v:shape>
                <v:shape id="Shape 40970" o:spid="_x0000_s1444" style="position:absolute;left:17387;top:4132;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A3ucYA&#10;AADeAAAADwAAAGRycy9kb3ducmV2LnhtbESPuW4CMRCG+0h5B2sipQM7F8eCQclKUVLQcBTQjdbD&#10;esV6vLIdWPL0cYGU8td/6Zsve9eKM4XYeNbwNFQgiCtvGq417LafgwmImJANtp5Jw5UiLBf3d3Ms&#10;jL/wms6bVIs8wrFADTalrpAyVpYcxqHviLN39MFhyjLU0gS85HHXymelRtJhw/nBYkelpeq0+XEa&#10;Ris7+Q1uX76UV5rSlzq87T4OWj8+9O8zEIn69B++tb+Nhlc1HWeAjJNR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hA3ucYAAADeAAAADwAAAAAAAAAAAAAAAACYAgAAZHJz&#10;L2Rvd25yZXYueG1sUEsFBgAAAAAEAAQA9QAAAIsDAAAAAA==&#10;" path="m,51816r51816,l51816,,,,,51816xe" filled="f" strokecolor="white" strokeweight="1.56pt">
                  <v:path arrowok="t" textboxrect="0,0,51816,51816"/>
                </v:shape>
                <v:rect id="Rectangle 40971" o:spid="_x0000_s1445" style="position:absolute;left:18117;top:3788;width:3690;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FhH8gA&#10;AADeAAAADwAAAGRycy9kb3ducmV2LnhtbESPT2vCQBTE74V+h+UVeqsbS7FJzCpSFT36p5B6e2Rf&#10;k9Ds25BdTeyn7woFj8PM/IbJ5oNpxIU6V1tWMB5FIIgLq2suFXwe1y8xCOeRNTaWScGVHMxnjw8Z&#10;ptr2vKfLwZciQNilqKDyvk2ldEVFBt3ItsTB+7adQR9kV0rdYR/gppGvUTSRBmsOCxW29FFR8XM4&#10;GwWbuF18be1vXzar0ybf5cnymHilnp+GxRSEp8Hfw//trVbwFiXvY7jdCV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QWEfyAAAAN4AAAAPAAAAAAAAAAAAAAAAAJgCAABk&#10;cnMvZG93bnJldi54bWxQSwUGAAAAAAQABAD1AAAAjQMAAAAA&#10;" filled="f" stroked="f">
                  <v:textbox inset="0,0,0,0">
                    <w:txbxContent>
                      <w:p w14:paraId="5CE9350B" w14:textId="77777777" w:rsidR="0014164F" w:rsidRDefault="0014164F" w:rsidP="00C232D7">
                        <w:r>
                          <w:rPr>
                            <w:rFonts w:ascii="Arial" w:eastAsia="Arial" w:hAnsi="Arial" w:cs="Arial"/>
                            <w:color w:val="595959"/>
                            <w:sz w:val="16"/>
                          </w:rPr>
                          <w:t>Guma</w:t>
                        </w:r>
                      </w:p>
                    </w:txbxContent>
                  </v:textbox>
                </v:rect>
                <v:shape id="Shape 922221" o:spid="_x0000_s1446" style="position:absolute;left:17387;top:6022;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ARD8UA&#10;AADfAAAADwAAAGRycy9kb3ducmV2LnhtbERPTWvCQBS8F/ofllfopdSNQiWmriKhBaEHMXrx9sg+&#10;s8Hs25Bdk9Rf7wqFzm2YL2a5Hm0jeup87VjBdJKAIC6drrlScDx8v6cgfEDW2DgmBb/kYb16flpi&#10;pt3Ae+qLUIlYwj5DBSaENpPSl4Ys+olriaN2dp3FEGlXSd3hEMttI2dJMpcWa44LBlvKDZWX4moV&#10;9Lm5ud12GNK2+Plybx/56ZQWSr2+jJtPEIHG8G/+S2+1gsUsYgqPP/EL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wBEPxQAAAN8AAAAPAAAAAAAAAAAAAAAAAJgCAABkcnMv&#10;ZG93bnJldi54bWxQSwUGAAAAAAQABAD1AAAAigMAAAAA&#10;" path="m,l51816,r,51816l,51816,,e" fillcolor="#a5a5a5" stroked="f" strokeweight="0">
                  <v:path arrowok="t" textboxrect="0,0,51816,51816"/>
                </v:shape>
                <v:shape id="Shape 40973" o:spid="_x0000_s1447" style="position:absolute;left:17387;top:6022;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KpzscA&#10;AADeAAAADwAAAGRycy9kb3ducmV2LnhtbESPQU8CMRSE7yT+h+aZeINWQYSVQnQTIgcvIge5vWyf&#10;243b101bYOHXWxITj5OZ+SazWPWuFUcKsfGs4X6kQBBX3jRca9h9roczEDEhG2w9k4YzRVgtbwYL&#10;LIw/8Qcdt6kWGcKxQA02pa6QMlaWHMaR74iz9+2Dw5RlqKUJeMpw18oHpabSYcN5wWJHpaXqZ3tw&#10;GqbvdnYJ7qscl2ea05vaP+5e91rf3fYvzyAS9ek//NfeGA0TNX8aw/VOvg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rCqc7HAAAA3gAAAA8AAAAAAAAAAAAAAAAAmAIAAGRy&#10;cy9kb3ducmV2LnhtbFBLBQYAAAAABAAEAPUAAACMAwAAAAA=&#10;" path="m,51816r51816,l51816,,,,,51816xe" filled="f" strokecolor="white" strokeweight="1.56pt">
                  <v:path arrowok="t" textboxrect="0,0,51816,51816"/>
                </v:shape>
                <v:rect id="Rectangle 40974" o:spid="_x0000_s1448" style="position:absolute;left:18117;top:5853;width:4282;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bCh8gA&#10;AADeAAAADwAAAGRycy9kb3ducmV2LnhtbESPW2vCQBSE3wv+h+UUfKubitgkuop4QR+9FKxvh+xp&#10;Epo9G7Krif31XaHg4zAz3zDTeWcqcaPGlZYVvA8iEMSZ1SXnCj5Pm7cYhPPIGivLpOBODuaz3ssU&#10;U21bPtDt6HMRIOxSVFB4X6dSuqwgg25ga+LgfdvGoA+yyaVusA1wU8lhFI2lwZLDQoE1LQvKfo5X&#10;o2Ab14uvnf1t82p92Z7352R1SrxS/dduMQHhqfPP8H97pxWMouRjBI874QrI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NsKHyAAAAN4AAAAPAAAAAAAAAAAAAAAAAJgCAABk&#10;cnMvZG93bnJldi54bWxQSwUGAAAAAAQABAD1AAAAjQMAAAAA&#10;" filled="f" stroked="f">
                  <v:textbox inset="0,0,0,0">
                    <w:txbxContent>
                      <w:p w14:paraId="45354D7C" w14:textId="77777777" w:rsidR="0014164F" w:rsidRDefault="0014164F" w:rsidP="00C232D7">
                        <w:r>
                          <w:rPr>
                            <w:rFonts w:ascii="Arial" w:eastAsia="Arial" w:hAnsi="Arial" w:cs="Arial"/>
                            <w:color w:val="595959"/>
                            <w:sz w:val="16"/>
                          </w:rPr>
                          <w:t>Odjeća</w:t>
                        </w:r>
                      </w:p>
                    </w:txbxContent>
                  </v:textbox>
                </v:rect>
                <v:shape id="Shape 922222" o:spid="_x0000_s1449" style="position:absolute;left:17387;top:7912;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B34sIA&#10;AADfAAAADwAAAGRycy9kb3ducmV2LnhtbERPXWvCMBR9H/gfwhV8m6mCY6tGUWHiXsZWBV8vzbUt&#10;Njchydr67xdhsPN2OF+c1WYwrejIh8aygtk0A0FcWt1wpeB8en9+BREissbWMim4U4DNevS0wlzb&#10;nr+pK2IlUgmHHBXUMbpcylDWZDBMrSNO2tV6gzFRX0ntsU/lppXzLHuRBhtOCzU62tdU3oofo+BL&#10;Lrp9zMx2dy8Ojesvzn/yh1KT8bBdgog0xH/zX/qoFbzNH4DHn/QF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HfiwgAAAN8AAAAPAAAAAAAAAAAAAAAAAJgCAABkcnMvZG93&#10;bnJldi54bWxQSwUGAAAAAAQABAD1AAAAhwMAAAAA&#10;" path="m,l51816,r,50292l,50292,,e" fillcolor="#ffc000" stroked="f" strokeweight="0">
                  <v:path arrowok="t" textboxrect="0,0,51816,50292"/>
                </v:shape>
                <v:shape id="Shape 40976" o:spid="_x0000_s1450" style="position:absolute;left:17387;top:7912;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YdPsgA&#10;AADeAAAADwAAAGRycy9kb3ducmV2LnhtbESPQUvDQBSE74L/YXlCb3Zj0aix21ILhfZg0SgUb4/s&#10;MxvNvg3Z1zb117uC4HGYmW+Y6XzwrTpQH5vABq7GGSjiKtiGawNvr6vLO1BRkC22gcnAiSLMZ+dn&#10;UyxsOPILHUqpVYJwLNCAE+kKrWPlyGMch444eR+h9yhJ9rW2PR4T3Ld6kmW59thwWnDY0dJR9VXu&#10;vYHdp3yLa5f1++65pJunTb59jLkxo4th8QBKaJD/8F97bQ1cZ/e3OfzeSVdAz3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Rh0+yAAAAN4AAAAPAAAAAAAAAAAAAAAAAJgCAABk&#10;cnMvZG93bnJldi54bWxQSwUGAAAAAAQABAD1AAAAjQMAAAAA&#10;" path="m,50292r51816,l51816,,,,,50292xe" filled="f" strokecolor="white" strokeweight="1.56pt">
                  <v:path arrowok="t" textboxrect="0,0,51816,50292"/>
                </v:shape>
                <v:rect id="Rectangle 40977" o:spid="_x0000_s1451" style="position:absolute;left:18117;top:7559;width:727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Rc8MgA&#10;AADeAAAADwAAAGRycy9kb3ducmV2LnhtbESPT2vCQBTE74V+h+UVvNVNS6lJzCrSP+ixaiH19sg+&#10;k2D2bciuJvrpXaHgcZiZ3zDZfDCNOFHnassKXsYRCOLC6ppLBb/b7+cYhPPIGhvLpOBMDuazx4cM&#10;U217XtNp40sRIOxSVFB536ZSuqIig25sW+Lg7W1n0AfZlVJ32Ae4aeRrFL1LgzWHhQpb+qioOGyO&#10;RsEybhd/K3vpy+Zrt8x/8uRzm3ilRk/DYgrC0+Dv4f/2Sit4i5LJBG53whW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5FzwyAAAAN4AAAAPAAAAAAAAAAAAAAAAAJgCAABk&#10;cnMvZG93bnJldi54bWxQSwUGAAAAAAQABAD1AAAAjQMAAAAA&#10;" filled="f" stroked="f">
                  <v:textbox inset="0,0,0,0">
                    <w:txbxContent>
                      <w:p w14:paraId="44BFB434" w14:textId="77777777" w:rsidR="0014164F" w:rsidRDefault="0014164F" w:rsidP="00C232D7">
                        <w:r>
                          <w:rPr>
                            <w:rFonts w:ascii="Arial" w:eastAsia="Arial" w:hAnsi="Arial" w:cs="Arial"/>
                            <w:color w:val="595959"/>
                            <w:sz w:val="16"/>
                          </w:rPr>
                          <w:t>Papir/karton</w:t>
                        </w:r>
                      </w:p>
                    </w:txbxContent>
                  </v:textbox>
                </v:rect>
                <v:shape id="Shape 922223" o:spid="_x0000_s1452" style="position:absolute;left:17387;top:9786;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CdhcIA&#10;AADfAAAADwAAAGRycy9kb3ducmV2LnhtbERPTYvCMBS8L/gfwhP2tqYqLGs1isqKe/GwKp4fzbMp&#10;Ni+hibX+eyMIzm2YL2a26GwtWmpC5VjBcJCBIC6crrhUcDxsvn5AhIissXZMCu4UYDHvfcww1+7G&#10;/9TuYylSCYccFZgYfS5lKAxZDAPniZN2do3FmGhTSt3gLZXbWo6y7FtarDgtGPS0NlRc9lerYHf2&#10;27u5bNx4eCqy9bJd+d+wUuqz3y2nICJ18W1+pf+0gskoYQzPP+kL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UJ2FwgAAAN8AAAAPAAAAAAAAAAAAAAAAAJgCAABkcnMvZG93&#10;bnJldi54bWxQSwUGAAAAAAQABAD1AAAAhwMAAAAA&#10;" path="m,l51816,r,51816l,51816,,e" fillcolor="#4472c4" stroked="f" strokeweight="0">
                  <v:path arrowok="t" textboxrect="0,0,51816,51816"/>
                </v:shape>
                <v:shape id="Shape 40979" o:spid="_x0000_s1453" style="position:absolute;left:17387;top:9786;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qeJMgA&#10;AADeAAAADwAAAGRycy9kb3ducmV2LnhtbESPT08CMRTE7yZ+h+aReJMW/yC7UohuYvDAReQAt5ft&#10;Y7tx+7ppKyx+empi4nEyM7/JzJeD68SRQmw9a5iMFQji2puWGw3bz7fbGYiYkA12nknDmSIsF9dX&#10;cyyNP/EHHTepERnCsUQNNqW+lDLWlhzGse+Js3fwwWHKMjTSBDxluOvknVJT6bDlvGCxp8pS/bX5&#10;dhqmazv7CW5X3VdnKmil9o/b173WN6Ph5RlEoiH9h//a70bDgyqeCvi9k6+AXF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Kp4kyAAAAN4AAAAPAAAAAAAAAAAAAAAAAJgCAABk&#10;cnMvZG93bnJldi54bWxQSwUGAAAAAAQABAD1AAAAjQMAAAAA&#10;" path="m,51816r51816,l51816,,,,,51816xe" filled="f" strokecolor="white" strokeweight="1.56pt">
                  <v:path arrowok="t" textboxrect="0,0,51816,51816"/>
                </v:shape>
                <v:rect id="Rectangle 40980" o:spid="_x0000_s1454" style="position:absolute;left:18117;top:9627;width:9019;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i0o8UA&#10;AADeAAAADwAAAGRycy9kb3ducmV2LnhtbESPzYrCMBSF98K8Q7iCO00dRNpqFJlRdDnqgOPu0lzb&#10;YnNTmmirTz9ZCC4P549vvuxMJe7UuNKygvEoAkGcWV1yruD3uBnGIJxH1lhZJgUPcrBcfPTmmGrb&#10;8p7uB5+LMMIuRQWF93UqpcsKMuhGtiYO3sU2Bn2QTS51g20YN5X8jKKpNFhyeCiwpq+CsuvhZhRs&#10;43r1t7PPNq/W5+3p55R8HxOv1KDfrWYgPHX+HX61d1rBJEriABBwAgr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2LSjxQAAAN4AAAAPAAAAAAAAAAAAAAAAAJgCAABkcnMv&#10;ZG93bnJldi54bWxQSwUGAAAAAAQABAD1AAAAigMAAAAA&#10;" filled="f" stroked="f">
                  <v:textbox inset="0,0,0,0">
                    <w:txbxContent>
                      <w:p w14:paraId="51D2EF4F" w14:textId="77777777" w:rsidR="0014164F" w:rsidRDefault="0014164F" w:rsidP="00C232D7">
                        <w:r>
                          <w:rPr>
                            <w:rFonts w:ascii="Arial" w:eastAsia="Arial" w:hAnsi="Arial" w:cs="Arial"/>
                            <w:color w:val="595959"/>
                            <w:sz w:val="16"/>
                          </w:rPr>
                          <w:t>Obrađeno drvo</w:t>
                        </w:r>
                      </w:p>
                    </w:txbxContent>
                  </v:textbox>
                </v:rect>
                <v:shape id="Shape 922224" o:spid="_x0000_s1455" style="position:absolute;left:17387;top:11676;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Nhi8MA&#10;AADfAAAADwAAAGRycy9kb3ducmV2LnhtbERPy4rCMBTdC/MP4Q6401QRqR2jyKAgIy58bGZ3aa5t&#10;sbnpJLF2/t4Igmd3OC/OfNmZWrTkfGVZwWiYgCDOra64UHA+bQYpCB+QNdaWScE/eVguPnpzzLS9&#10;84HaYyhELGGfoYIyhCaT0uclGfRD2xBH7WKdwRCpK6R2eI/lppbjJJlKgxXHhRIb+i4pvx5vRsH2&#10;MvnRfzuTrOmatmbfuO43dUr1P7vVF4hAXXibX+mtVjAbR0zg+Sd+Ab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0Nhi8MAAADfAAAADwAAAAAAAAAAAAAAAACYAgAAZHJzL2Rv&#10;d25yZXYueG1sUEsFBgAAAAAEAAQA9QAAAIgDAAAAAA==&#10;" path="m,l51816,r,51816l,51816,,e" fillcolor="#70ad47" stroked="f" strokeweight="0">
                  <v:path arrowok="t" textboxrect="0,0,51816,51816"/>
                </v:shape>
                <v:shape id="Shape 40982" o:spid="_x0000_s1456" style="position:absolute;left:17387;top:11676;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t8csgA&#10;AADeAAAADwAAAGRycy9kb3ducmV2LnhtbESPT0sDMRTE74LfIbyCN5u0atmuTYsuiB689M/B3h6b&#10;183SzcuSxHbrpzeC0OMwM79hFqvBdeJEIbaeNUzGCgRx7U3LjYbd9u2+ABETssHOM2m4UITV8vZm&#10;gaXxZ17TaZMakSEcS9RgU+pLKWNtyWEc+544ewcfHKYsQyNNwHOGu05OlZpJhy3nBYs9VZbq4+bb&#10;aZh92uInuK/qobrQnN7V/mn3utf6bjS8PININKRr+L/9YTQ8qnkxhb87+QrI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QW3xyyAAAAN4AAAAPAAAAAAAAAAAAAAAAAJgCAABk&#10;cnMvZG93bnJldi54bWxQSwUGAAAAAAQABAD1AAAAjQMAAAAA&#10;" path="m,51816r51816,l51816,,,,,51816xe" filled="f" strokecolor="white" strokeweight="1.56pt">
                  <v:path arrowok="t" textboxrect="0,0,51816,51816"/>
                </v:shape>
                <v:rect id="Rectangle 40983" o:spid="_x0000_s1457" style="position:absolute;left:18117;top:11330;width:330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oq1McA&#10;AADeAAAADwAAAGRycy9kb3ducmV2LnhtbESPQWvCQBSE74X+h+UVvNVNa5EkZiNSFT1WLai3R/aZ&#10;hGbfhuxq0v76bkHocZiZb5hsPphG3KhztWUFL+MIBHFhdc2lgs/D+jkG4TyyxsYyKfgmB/P88SHD&#10;VNued3Tb+1IECLsUFVTet6mUrqjIoBvbljh4F9sZ9EF2pdQd9gFuGvkaRVNpsOawUGFL7xUVX/ur&#10;UbCJ28Vpa3/6slmdN8ePY7I8JF6p0dOwmIHwNPj/8L291QreoiSewN+dcAV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8KKtTHAAAA3gAAAA8AAAAAAAAAAAAAAAAAmAIAAGRy&#10;cy9kb3ducmV2LnhtbFBLBQYAAAAABAAEAPUAAACMAwAAAAA=&#10;" filled="f" stroked="f">
                  <v:textbox inset="0,0,0,0">
                    <w:txbxContent>
                      <w:p w14:paraId="69E4F8CC" w14:textId="77777777" w:rsidR="0014164F" w:rsidRDefault="0014164F" w:rsidP="00C232D7">
                        <w:r>
                          <w:rPr>
                            <w:rFonts w:ascii="Arial" w:eastAsia="Arial" w:hAnsi="Arial" w:cs="Arial"/>
                            <w:color w:val="595959"/>
                            <w:sz w:val="16"/>
                          </w:rPr>
                          <w:t>Metal</w:t>
                        </w:r>
                      </w:p>
                    </w:txbxContent>
                  </v:textbox>
                </v:rect>
                <v:shape id="Shape 922225" o:spid="_x0000_s1458" style="position:absolute;left:17387;top:13566;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bfIsQA&#10;AADfAAAADwAAAGRycy9kb3ducmV2LnhtbERPy2rDMBC8F/IPYgO5NXIcXFInigklhh4KpU4+YGut&#10;H8RauZZiu39fFQqd2zAv5pDNphMjDa61rGCzjkAQl1a3XCu4XvLHHQjnkTV2lknBNznIjouHA6ba&#10;TvxBY+FrEUrYpaig8b5PpXRlQwbd2vbEQavsYNAHOtRSDziFctPJOIqepMGWw0KDPb00VN6Kuwm7&#10;1WWXvH1G1/y8/cJimt+7Iq6UWi3n0x6Ep9n/m//Sr1rBcxyQwO+f8AXk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m3yLEAAAA3wAAAA8AAAAAAAAAAAAAAAAAmAIAAGRycy9k&#10;b3ducmV2LnhtbFBLBQYAAAAABAAEAPUAAACJAwAAAAA=&#10;" path="m,l51816,r,50292l,50292,,e" fillcolor="#255e91" stroked="f" strokeweight="0">
                  <v:path arrowok="t" textboxrect="0,0,51816,50292"/>
                </v:shape>
                <v:shape id="Shape 40985" o:spid="_x0000_s1459" style="position:absolute;left:17387;top:13566;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HzbsgA&#10;AADeAAAADwAAAGRycy9kb3ducmV2LnhtbESPQUvDQBSE7wX/w/IEb+3GYkON3RYtFOqholEo3h7Z&#10;ZzaafRuyr23sr3cFweMwM98wi9XgW3WkPjaBDVxPMlDEVbAN1wbeXjfjOagoyBbbwGTgmyKslhej&#10;BRY2nPiFjqXUKkE4FmjAiXSF1rFy5DFOQkecvI/Qe5Qk+1rbHk8J7ls9zbJce2w4LTjsaO2o+ioP&#10;3sD+U87i2nX9vn8uabZ7zJ8eYm7M1eVwfwdKaJD/8F97aw3cZLfzGfzeSVdA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QfNuyAAAAN4AAAAPAAAAAAAAAAAAAAAAAJgCAABk&#10;cnMvZG93bnJldi54bWxQSwUGAAAAAAQABAD1AAAAjQMAAAAA&#10;" path="m,50292r51816,l51816,,,,,50292xe" filled="f" strokecolor="white" strokeweight="1.56pt">
                  <v:path arrowok="t" textboxrect="0,0,51816,50292"/>
                </v:shape>
                <v:rect id="Rectangle 40986" o:spid="_x0000_s1460" style="position:absolute;left:18117;top:13216;width:3753;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2JTMcA&#10;AADeAAAADwAAAGRycy9kb3ducmV2LnhtbESPW2vCQBSE3wX/w3KEvulGKZKkriJe0Md6Adu3Q/Y0&#10;CWbPhuxq0v76riD4OMzMN8xs0ZlK3KlxpWUF41EEgjizuuRcwfm0HcYgnEfWWFkmBb/kYDHv92aY&#10;atvyge5Hn4sAYZeigsL7OpXSZQUZdCNbEwfvxzYGfZBNLnWDbYCbSk6iaCoNlhwWCqxpVVB2Pd6M&#10;gl1cL7/29q/Nq8337vJ5SdanxCv1NuiWHyA8df4Vfrb3WsF7lMRTeNwJV0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99iUzHAAAA3gAAAA8AAAAAAAAAAAAAAAAAmAIAAGRy&#10;cy9kb3ducmV2LnhtbFBLBQYAAAAABAAEAPUAAACMAwAAAAA=&#10;" filled="f" stroked="f">
                  <v:textbox inset="0,0,0,0">
                    <w:txbxContent>
                      <w:p w14:paraId="29D94C57" w14:textId="77777777" w:rsidR="0014164F" w:rsidRDefault="0014164F" w:rsidP="00C232D7">
                        <w:r>
                          <w:rPr>
                            <w:rFonts w:ascii="Arial" w:eastAsia="Arial" w:hAnsi="Arial" w:cs="Arial"/>
                            <w:color w:val="595959"/>
                            <w:sz w:val="16"/>
                          </w:rPr>
                          <w:t>Staklo</w:t>
                        </w:r>
                      </w:p>
                    </w:txbxContent>
                  </v:textbox>
                </v:rect>
                <v:shape id="Shape 922226" o:spid="_x0000_s1461" style="position:absolute;left:17387;top:15455;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IPkMQA&#10;AADfAAAADwAAAGRycy9kb3ducmV2LnhtbERPXWvCMBR9H/gfwhV8GTNdYbJVo8hA8ElYV4S9XZpr&#10;U2xuShPb6q83grDzdjhfnNVmtI3oqfO1YwXv8wQEcel0zZWC4nf39gnCB2SNjWNScCUPm/XkZYWZ&#10;dgP/UJ+HSsQS9hkqMCG0mZS+NGTRz11LHLWT6yyGSLtK6g6HWG4bmSbJQlqsOS4YbOnbUHnOL1bB&#10;OT/UxV9xuB6H1w9jbvbkUu6Vmk3H7RJEoDH8m5/pvVbwlUYs4PEnfg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SD5DEAAAA3wAAAA8AAAAAAAAAAAAAAAAAmAIAAGRycy9k&#10;b3ducmV2LnhtbFBLBQYAAAAABAAEAPUAAACJAwAAAAA=&#10;" path="m,l51816,r,50292l,50292,,e" fillcolor="#9e480e" stroked="f" strokeweight="0">
                  <v:path arrowok="t" textboxrect="0,0,51816,50292"/>
                </v:shape>
                <v:shape id="Shape 40988" o:spid="_x0000_s1462" style="position:absolute;left:17387;top:15455;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Bc8MUA&#10;AADeAAAADwAAAGRycy9kb3ducmV2LnhtbERPTUvDQBC9C/6HZQRvdmPR0KbdFi0U9KBoLJTehuw0&#10;m5qdDdmxjf313YPg8fG+58vBt+pIfWwCG7gfZaCIq2Abrg1svtZ3E1BRkC22gcnAL0VYLq6v5ljY&#10;cOJPOpZSqxTCsUADTqQrtI6VI49xFDrixO1D71ES7GttezylcN/qcZbl2mPDqcFhRytH1Xf54w1s&#10;D3IW167q3fajpMe31/z9OebG3N4MTzNQQoP8i//cL9bAQzadpL3pTroCe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QFzwxQAAAN4AAAAPAAAAAAAAAAAAAAAAAJgCAABkcnMv&#10;ZG93bnJldi54bWxQSwUGAAAAAAQABAD1AAAAigMAAAAA&#10;" path="m,50292r51816,l51816,,,,,50292xe" filled="f" strokecolor="white" strokeweight="1.56pt">
                  <v:path arrowok="t" textboxrect="0,0,51816,50292"/>
                </v:shape>
                <v:rect id="Rectangle 40989" o:spid="_x0000_s1463" style="position:absolute;left:18117;top:15103;width:571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dPscA&#10;AADeAAAADwAAAGRycy9kb3ducmV2LnhtbESPT2vCQBTE74V+h+UVequbliJJzEakf9BjNYJ6e2Sf&#10;STD7NmS3JvXTdwXB4zAzv2Gy+WhacabeNZYVvE4iEMSl1Q1XCrbF90sMwnlkja1lUvBHDub540OG&#10;qbYDr+m88ZUIEHYpKqi971IpXVmTQTexHXHwjrY36IPsK6l7HALctPItiqbSYMNhocaOPmoqT5tf&#10;o2AZd4v9yl6Gqv06LHc/u+SzSLxSz0/jYgbC0+jv4Vt7pRW8R0mcwPVOuAIy/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7iHT7HAAAA3gAAAA8AAAAAAAAAAAAAAAAAmAIAAGRy&#10;cy9kb3ducmV2LnhtbFBLBQYAAAAABAAEAPUAAACMAwAAAAA=&#10;" filled="f" stroked="f">
                  <v:textbox inset="0,0,0,0">
                    <w:txbxContent>
                      <w:p w14:paraId="441EB60F" w14:textId="77777777" w:rsidR="0014164F" w:rsidRDefault="0014164F" w:rsidP="00C232D7">
                        <w:r>
                          <w:rPr>
                            <w:rFonts w:ascii="Arial" w:eastAsia="Arial" w:hAnsi="Arial" w:cs="Arial"/>
                            <w:color w:val="595959"/>
                            <w:sz w:val="16"/>
                          </w:rPr>
                          <w:t>Keramika</w:t>
                        </w:r>
                      </w:p>
                    </w:txbxContent>
                  </v:textbox>
                </v:rect>
                <v:shape id="Shape 922227" o:spid="_x0000_s1464" style="position:absolute;left:17387;top:17330;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fGs8YA&#10;AADfAAAADwAAAGRycy9kb3ducmV2LnhtbERPXU/CMBR9J/E/NNfEN+kkceigEEM0Gn2AoT/gsl7W&#10;SXu7rGWMf29JTDhvJ+crZ74cnBU9daHxrOBhnIEgrrxuuFbw8/12/wQiRGSN1jMpOFOA5eJmNMdC&#10;+xOX1G9jLVIJhwIVmBjbQspQGXIYxr4lTtredw5jol0tdYenVO6snGRZLh02nBYMtrQyVB22R6fg&#10;sN49umP/+b76NWdr83y3KV+/lLq7HV5mICIN8Wr+T39oBc+ThClc/qQv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fGs8YAAADfAAAADwAAAAAAAAAAAAAAAACYAgAAZHJz&#10;L2Rvd25yZXYueG1sUEsFBgAAAAAEAAQA9QAAAIsDAAAAAA==&#10;" path="m,l51816,r,51816l,51816,,e" fillcolor="#636363" stroked="f" strokeweight="0">
                  <v:path arrowok="t" textboxrect="0,0,51816,51816"/>
                </v:shape>
                <v:shape id="Shape 40991" o:spid="_x0000_s1465" style="position:absolute;left:17387;top:17330;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B02McA&#10;AADeAAAADwAAAGRycy9kb3ducmV2LnhtbESPQU8CMRSE7yb8h+aReJMWVMKuFIKbGD14ETnI7WX7&#10;2G7Yvm7aCou/3pqYcJzMzDeZ5XpwnThRiK1nDdOJAkFce9Nyo2H3+XK3ABETssHOM2m4UIT1anSz&#10;xNL4M3/QaZsakSEcS9RgU+pLKWNtyWGc+J44ewcfHKYsQyNNwHOGu07OlJpLhy3nBYs9VZbq4/bb&#10;aZi/28VPcF/VfXWhgl7V/nH3vNf6djxsnkAkGtI1/N9+MxoeVFFM4e9Ovg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QdNjHAAAA3gAAAA8AAAAAAAAAAAAAAAAAmAIAAGRy&#10;cy9kb3ducmV2LnhtbFBLBQYAAAAABAAEAPUAAACMAwAAAAA=&#10;" path="m,51816r51816,l51816,,,,,51816xe" filled="f" strokecolor="white" strokeweight="1.56pt">
                  <v:path arrowok="t" textboxrect="0,0,51816,51816"/>
                </v:shape>
                <v:rect id="Rectangle 40992" o:spid="_x0000_s1466" style="position:absolute;left:18117;top:16986;width:908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8ZksYA&#10;AADeAAAADwAAAGRycy9kb3ducmV2LnhtbESPQYvCMBSE7wv+h/CEva2pImKrUURX9OiqoN4ezbMt&#10;Ni+lydquv94sCB6HmfmGmc5bU4o71a6wrKDfi0AQp1YXnCk4HtZfYxDOI2ssLZOCP3Iwn3U+ppho&#10;2/AP3fc+EwHCLkEFufdVIqVLczLoerYiDt7V1gZ9kHUmdY1NgJtSDqJoJA0WHBZyrGiZU3rb/xoF&#10;m3G1OG/to8nK78vmtDvFq0PslfrstosJCE+tf4df7a1WMIzieAD/d8IVk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8ZksYAAADeAAAADwAAAAAAAAAAAAAAAACYAgAAZHJz&#10;L2Rvd25yZXYueG1sUEsFBgAAAAAEAAQA9QAAAIsDAAAAAA==&#10;" filled="f" stroked="f">
                  <v:textbox inset="0,0,0,0">
                    <w:txbxContent>
                      <w:p w14:paraId="1CF643E3" w14:textId="77777777" w:rsidR="0014164F" w:rsidRDefault="0014164F" w:rsidP="00C232D7">
                        <w:r>
                          <w:rPr>
                            <w:rFonts w:ascii="Arial" w:eastAsia="Arial" w:hAnsi="Arial" w:cs="Arial"/>
                            <w:color w:val="595959"/>
                            <w:sz w:val="16"/>
                          </w:rPr>
                          <w:t>Sanitarni otpad</w:t>
                        </w:r>
                      </w:p>
                    </w:txbxContent>
                  </v:textbox>
                </v:rect>
                <v:shape id="Shape 922228" o:spid="_x0000_s1467" style="position:absolute;left:17387;top:19220;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jKhMcA&#10;AADfAAAADwAAAGRycy9kb3ducmV2LnhtbESP3WrCQBCF7wt9h2UKvSl1Ey+kja4iAcUitNb6AGN2&#10;8oPZ2ZBdNb5950Jw7oY5c875ZovBtepCfWg8G0hHCSjiwtuGKwOHv9X7B6gQkS22nsnAjQIs5s9P&#10;M8ysv/IvXfaxUmLCIUMDdYxdpnUoanIYRr4jllvpe4dR1r7StsermLtWj5Nkoh02LAk1dpTXVJz2&#10;Z2fgm7BJf2w6eSuHvFzvvrb5iY/GvL4MyymoSEN8iO/fG2vgcywjhYVHWEDP/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IyoTHAAAA3wAAAA8AAAAAAAAAAAAAAAAAmAIAAGRy&#10;cy9kb3ducmV2LnhtbFBLBQYAAAAABAAEAPUAAACMAwAAAAA=&#10;" path="m,l51816,r,51816l,51816,,e" fillcolor="#997300" stroked="f" strokeweight="0">
                  <v:path arrowok="t" textboxrect="0,0,51816,51816"/>
                </v:shape>
                <v:shape id="Shape 40994" o:spid="_x0000_s1468" style="position:absolute;left:17387;top:19220;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fXQMcA&#10;AADeAAAADwAAAGRycy9kb3ducmV2LnhtbESPQU8CMRSE7yb8h+aReJMWRcKuFIKbGD14ETnI7WX7&#10;2G7Yvm7aCou/3pqYcJzMzDeZ5XpwnThRiK1nDdOJAkFce9Nyo2H3+XK3ABETssHOM2m4UIT1anSz&#10;xNL4M3/QaZsakSEcS9RgU+pLKWNtyWGc+J44ewcfHKYsQyNNwHOGu07eKzWXDlvOCxZ7qizVx+23&#10;0zB/t4uf4L6qh+pCBb2q/ePuea/17XjYPIFINKRr+L/9ZjTMVFHM4O9Ovg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n10DHAAAA3gAAAA8AAAAAAAAAAAAAAAAAmAIAAGRy&#10;cy9kb3ducmV2LnhtbFBLBQYAAAAABAAEAPUAAACMAwAAAAA=&#10;" path="m,51816r51816,l51816,,,,,51816xe" filled="f" strokecolor="white" strokeweight="1.56pt">
                  <v:path arrowok="t" textboxrect="0,0,51816,51816"/>
                </v:shape>
                <v:rect id="Rectangle 40995" o:spid="_x0000_s1469" style="position:absolute;left:18117;top:18873;width:10076;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B5scA&#10;AADeAAAADwAAAGRycy9kb3ducmV2LnhtbESPT2vCQBTE7wW/w/IEb3VTsWJiVhH/oMeqhbS3R/aZ&#10;hGbfhuxq0n76bkHocZiZ3zDpqje1uFPrKssKXsYRCOLc6ooLBe+X/fMchPPIGmvLpOCbHKyWg6cU&#10;E207PtH97AsRIOwSVFB63yRSurwkg25sG+LgXW1r0AfZFlK32AW4qeUkimbSYMVhocSGNiXlX+eb&#10;UXCYN+uPo/3pinr3ecjesnh7ib1So2G/XoDw1Pv/8KN91AqmURy/wt+dcAXk8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p2gebHAAAA3gAAAA8AAAAAAAAAAAAAAAAAmAIAAGRy&#10;cy9kb3ducmV2LnhtbFBLBQYAAAAABAAEAPUAAACMAwAAAAA=&#10;" filled="f" stroked="f">
                  <v:textbox inset="0,0,0,0">
                    <w:txbxContent>
                      <w:p w14:paraId="78FECD5A" w14:textId="77777777" w:rsidR="0014164F" w:rsidRDefault="0014164F" w:rsidP="00C232D7">
                        <w:r>
                          <w:rPr>
                            <w:rFonts w:ascii="Arial" w:eastAsia="Arial" w:hAnsi="Arial" w:cs="Arial"/>
                            <w:color w:val="595959"/>
                            <w:sz w:val="16"/>
                          </w:rPr>
                          <w:t>Medicinski otpad</w:t>
                        </w:r>
                      </w:p>
                    </w:txbxContent>
                  </v:textbox>
                </v:rect>
                <v:shape id="Shape 922229" o:spid="_x0000_s1470" style="position:absolute;left:17387;top:21109;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ZMD8UA&#10;AADfAAAADwAAAGRycy9kb3ducmV2LnhtbERPTWvCQBS8F/wPyxN6q5taaDXNRiSgeOhFLbXHR/a5&#10;ic2+Ddk1if/eLRQ6t2G+mGw12kb01PnasYLnWQKCuHS6ZqPg87h5WoDwAVlj45gU3MjDKp88ZJhq&#10;N/Ce+kMwIpawT1FBFUKbSunLiiz6mWuJo3Z2ncUQaWek7nCI5baR8yR5lRZrjgsVtlRUVP4crlbB&#10;djCnb7oUm/Bi+sXH9WTfiuZLqcfpuH4HEWgM/+a/9E4rWM4jlvD7J34B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VkwPxQAAAN8AAAAPAAAAAAAAAAAAAAAAAJgCAABkcnMv&#10;ZG93bnJldi54bWxQSwUGAAAAAAQABAD1AAAAigMAAAAA&#10;" path="m,l51816,r,50292l,50292,,e" fillcolor="#264478" stroked="f" strokeweight="0">
                  <v:path arrowok="t" textboxrect="0,0,51816,50292"/>
                </v:shape>
                <v:shape id="Shape 40997" o:spid="_x0000_s1471" style="position:absolute;left:17387;top:21109;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ZeX8gA&#10;AADeAAAADwAAAGRycy9kb3ducmV2LnhtbESPQUvDQBSE74L/YXmCN7tRbGxjt0ULgj0oNi0Ub4/s&#10;MxvNvg3ZZ5v667uC4HGYmW+Y2WLwrdpTH5vABq5HGSjiKtiGawPbzdPVBFQUZIttYDJwpAiL+fnZ&#10;DAsbDrymfSm1ShCOBRpwIl2hdawceYyj0BEn7yP0HiXJvta2x0OC+1bfZFmuPTacFhx2tHRUfZXf&#10;3sDuU37Etcv6ffdW0vhllb8+xtyYy4vh4R6U0CD/4b/2szVwm02nd/B7J10BPT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Bl5fyAAAAN4AAAAPAAAAAAAAAAAAAAAAAJgCAABk&#10;cnMvZG93bnJldi54bWxQSwUGAAAAAAQABAD1AAAAjQMAAAAA&#10;" path="m,50292r51816,l51816,,,,,50292xe" filled="f" strokecolor="white" strokeweight="1.56pt">
                  <v:path arrowok="t" textboxrect="0,0,51816,50292"/>
                </v:shape>
                <v:rect id="Rectangle 40998" o:spid="_x0000_s1472" style="position:absolute;left:18117;top:20759;width:8194;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cueMQA&#10;AADeAAAADwAAAGRycy9kb3ducmV2LnhtbERPz2vCMBS+D/wfwht4m+nGEFuNIm6jPW4qqLdH82yL&#10;yUtpMlv965fDwOPH93uxGqwRV+p841jB6yQBQVw63XClYL/7epmB8AFZo3FMCm7kYbUcPS0w067n&#10;H7puQyViCPsMFdQhtJmUvqzJop+4ljhyZ9dZDBF2ldQd9jHcGvmWJFNpseHYUGNLm5rKy/bXKshn&#10;7fpYuHtfmc9Tfvg+pB+7NCg1fh7WcxCBhvAQ/7sLreA9SdO4N96JV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3LnjEAAAA3gAAAA8AAAAAAAAAAAAAAAAAmAIAAGRycy9k&#10;b3ducmV2LnhtbFBLBQYAAAAABAAEAPUAAACJAwAAAAA=&#10;" filled="f" stroked="f">
                  <v:textbox inset="0,0,0,0">
                    <w:txbxContent>
                      <w:p w14:paraId="703725F9" w14:textId="77777777" w:rsidR="0014164F" w:rsidRDefault="0014164F" w:rsidP="00C232D7">
                        <w:r>
                          <w:rPr>
                            <w:rFonts w:ascii="Arial" w:eastAsia="Arial" w:hAnsi="Arial" w:cs="Arial"/>
                            <w:color w:val="595959"/>
                            <w:sz w:val="16"/>
                          </w:rPr>
                          <w:t>Parafin/vosak</w:t>
                        </w:r>
                      </w:p>
                    </w:txbxContent>
                  </v:textbox>
                </v:rect>
                <v:shape id="Shape 41000" o:spid="_x0000_s1473" style="position:absolute;left:36729;top:8655;width:455;height:6640;visibility:visible;mso-wrap-style:square;v-text-anchor:top" coordsize="45466,664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bDl8gA&#10;AADeAAAADwAAAGRycy9kb3ducmV2LnhtbESPy2oCMRSG94LvEE6hG6mJ1hYdjSJqwUU33grdHSan&#10;c3FyMk6iTvv0zaLQ5c9/45stWluJGzW+cKxh0FcgiFNnCs40HA9vT2MQPiAbrByThm/ysJh3OzNM&#10;jLvzjm77kIk4wj5BDXkIdSKlT3Oy6PuuJo7el2sshiibTJoG73HcVnKo1Ku0WHB8yLGmVU7peX+1&#10;Gianj/Vn2bu8HNfmefO+Kw/XcvOj9eNDu5yCCNSG//Bfe2s0jAZKRYCIE1F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VsOXyAAAAN4AAAAPAAAAAAAAAAAAAAAAAJgCAABk&#10;cnMvZG93bnJldi54bWxQSwUGAAAAAAQABAD1AAAAjQMAAAAA&#10;" path="m,c15240,,30353,508,45466,1651l,664083,,xe" fillcolor="#5b9bd5" stroked="f" strokeweight="0">
                  <v:path arrowok="t" textboxrect="0,0,45466,664083"/>
                </v:shape>
                <v:shape id="Shape 41001" o:spid="_x0000_s1474" style="position:absolute;left:36729;top:8655;width:455;height:6640;visibility:visible;mso-wrap-style:square;v-text-anchor:top" coordsize="45466,664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pDc8YA&#10;AADeAAAADwAAAGRycy9kb3ducmV2LnhtbESPQWsCMRSE70L/Q3iF3jRZK0VWo0ihIC0Kq/XQ22Pz&#10;3F3cvCxJXLf/vhGEHoeZ+YZZrgfbip58aBxryCYKBHHpTMOVhu/jx3gOIkRkg61j0vBLAdarp9ES&#10;c+NuXFB/iJVIEA45aqhj7HIpQ1mTxTBxHXHyzs5bjEn6ShqPtwS3rZwq9SYtNpwWauzovabycrha&#10;DT/F9hROn7G4yH2/M8PR71/PX1q/PA+bBYhIQ/wPP9pbo2GWKZXB/U66AnL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ypDc8YAAADeAAAADwAAAAAAAAAAAAAAAACYAgAAZHJz&#10;L2Rvd25yZXYueG1sUEsFBgAAAAAEAAQA9QAAAIsDAAAAAA==&#10;" path="m,c15240,,30353,508,45466,1651l,664083,,xe" filled="f" strokecolor="white" strokeweight="1.56pt">
                  <v:path arrowok="t" textboxrect="0,0,45466,664083"/>
                </v:shape>
                <v:shape id="Shape 41002" o:spid="_x0000_s1475" style="position:absolute;left:36729;top:8671;width:537;height:6624;visibility:visible;mso-wrap-style:square;v-text-anchor:top" coordsize="53721,662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OjcUA&#10;AADeAAAADwAAAGRycy9kb3ducmV2LnhtbESPUWvCMBSF34X9h3AHvmlSKWN2RhmDgQx80PkDrs1d&#10;G21uShNt9debgeDj4ZzzHc5iNbhGXKgL1rOGbKpAEJfeWK407H+/J+8gQkQ22HgmDVcKsFq+jBZY&#10;GN/zli67WIkE4VCghjrGtpAylDU5DFPfEifvz3cOY5JdJU2HfYK7Rs6UepMOLaeFGlv6qqk87c5O&#10;w6ZRec48mPy8tvYnm9/UoT9qPX4dPj9ARBriM/xor42GPFNqBv930hW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X46NxQAAAN4AAAAPAAAAAAAAAAAAAAAAAJgCAABkcnMv&#10;ZG93bnJldi54bWxQSwUGAAAAAAQABAD1AAAAigMAAAAA&#10;" path="m45466,v2794,127,5588,381,8255,508l,662432,45466,xe" fillcolor="#ed7d31" stroked="f" strokeweight="0">
                  <v:path arrowok="t" textboxrect="0,0,53721,662432"/>
                </v:shape>
                <v:shape id="Shape 41003" o:spid="_x0000_s1476" style="position:absolute;left:36729;top:8671;width:537;height:6624;visibility:visible;mso-wrap-style:square;v-text-anchor:top" coordsize="53721,662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Nh3sYA&#10;AADeAAAADwAAAGRycy9kb3ducmV2LnhtbESPQWvCQBSE74X+h+UJvdVd2yISXUVKW7yUauqh3h7Z&#10;ZxLMvhey25j++64geBxm5htmsRp8o3rqQi1sYTI2oIgLcTWXFvbf748zUCEiO2yEycIfBVgt7+8W&#10;mDk58476PJYqQThkaKGKsc20DkVFHsNYWuLkHaXzGJPsSu06PCe4b/STMVPtsea0UGFLrxUVp/zX&#10;W/gQOuyOm7z5pDfZzr76/Y/Ek7UPo2E9BxVpiLfwtb1xFl4mxjzD5U66Anr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3Nh3sYAAADeAAAADwAAAAAAAAAAAAAAAACYAgAAZHJz&#10;L2Rvd25yZXYueG1sUEsFBgAAAAAEAAQA9QAAAIsDAAAAAA==&#10;" path="m45466,v2794,127,5588,381,8255,508l,662432,45466,xe" filled="f" strokecolor="white" strokeweight="1.56pt">
                  <v:path arrowok="t" textboxrect="0,0,53721,662432"/>
                </v:shape>
                <v:shape id="Shape 41004" o:spid="_x0000_s1477" style="position:absolute;left:36729;top:8676;width:1661;height:6619;visibility:visible;mso-wrap-style:square;v-text-anchor:top" coordsize="166116,661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KM7sQA&#10;AADeAAAADwAAAGRycy9kb3ducmV2LnhtbESP0WrCQBRE34X+w3ILfdPdWNGQuoooQvEtmg+4ZG+T&#10;YPZuyK5J/PtuoeDjMDNnmO1+sq0YqPeNYw3JQoEgLp1puNJQ3M7zFIQPyAZbx6ThSR72u7fZFjPj&#10;Rs5puIZKRAj7DDXUIXSZlL6syaJfuI44ej+utxii7Ctpehwj3LZyqdRaWmw4LtTY0bGm8n59WA1p&#10;d7p85sO5GPPEp8lGru+yQK0/3qfDF4hAU3iF/9vfRsMqUWoFf3fiFZ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ijO7EAAAA3gAAAA8AAAAAAAAAAAAAAAAAmAIAAGRycy9k&#10;b3ducmV2LnhtbFBLBQYAAAAABAAEAPUAAACJAwAAAAA=&#10;" path="m53721,v37973,3175,75565,9525,112395,18924l,661924,53721,xe" fillcolor="#a5a5a5" stroked="f" strokeweight="0">
                  <v:path arrowok="t" textboxrect="0,0,166116,661924"/>
                </v:shape>
                <v:shape id="Shape 41005" o:spid="_x0000_s1478" style="position:absolute;left:36729;top:8676;width:1661;height:6619;visibility:visible;mso-wrap-style:square;v-text-anchor:top" coordsize="166116,6619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k2v8YA&#10;AADeAAAADwAAAGRycy9kb3ducmV2LnhtbESPQWvCQBSE74X+h+UVvNW3KVUkdZW2tBKP1R7q7ZF9&#10;TYLZtyG7NfHfu4LQ4zAz3zDL9ehadeI+NF4MZFMNiqX0tpHKwPf+83EBKkQSS60XNnDmAOvV/d2S&#10;cusH+eLTLlYqQSTkZKCOscsRQ1mzozD1HUvyfn3vKCbZV2h7GhLctfik9RwdNZIWaur4vebyuPtz&#10;Btxh8VEctoObF1l77HDAt80PGjN5GF9fQEUe43/41i6sgedM6xlc76QrgK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4k2v8YAAADeAAAADwAAAAAAAAAAAAAAAACYAgAAZHJz&#10;L2Rvd25yZXYueG1sUEsFBgAAAAAEAAQA9QAAAIsDAAAAAA==&#10;" path="m53721,v37973,3175,75565,9525,112395,18924l,661924,53721,xe" filled="f" strokecolor="white" strokeweight="1.56pt">
                  <v:path arrowok="t" textboxrect="0,0,166116,661924"/>
                </v:shape>
                <v:shape id="Shape 41006" o:spid="_x0000_s1479" style="position:absolute;left:36729;top:8865;width:1693;height:6430;visibility:visible;mso-wrap-style:square;v-text-anchor:top" coordsize="169291,643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9zbMUA&#10;AADeAAAADwAAAGRycy9kb3ducmV2LnhtbESPQWvCQBSE74L/YXlCb7qJFAnRVUpAEIRQNQe9PbLP&#10;JHT3bciumv77bqHQ4zAz3zCb3WiNeNLgO8cK0kUCgrh2uuNGQXXZzzMQPiBrNI5JwTd52G2nkw3m&#10;2r34RM9zaESEsM9RQRtCn0vp65Ys+oXriaN3d4PFEOXQSD3gK8KtkcskWUmLHceFFnsqWqq/zg+r&#10;4Hor/c3orCpXh1OxN9Xxgp9Hpd5m48caRKAx/If/2get4D2NSPi9E6+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z3NsxQAAAN4AAAAPAAAAAAAAAAAAAAAAAJgCAABkcnMv&#10;ZG93bnJldi54bWxQSwUGAAAAAAQABAD1AAAAigMAAAAA&#10;" path="m166116,v1016,381,2032,635,3175,888l,643000,166116,xe" fillcolor="#ffc000" stroked="f" strokeweight="0">
                  <v:path arrowok="t" textboxrect="0,0,169291,643000"/>
                </v:shape>
                <v:shape id="Shape 41007" o:spid="_x0000_s1480" style="position:absolute;left:36729;top:8865;width:1693;height:6430;visibility:visible;mso-wrap-style:square;v-text-anchor:top" coordsize="169291,643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Z/YMcA&#10;AADeAAAADwAAAGRycy9kb3ducmV2LnhtbESP3UoDMRSE7wXfIRyhdzapFGvXpkW3FgsWpD8PcNgc&#10;N8HNybKJ29WnN0LBy2FmvmEWq8E3oqcuusAaJmMFgrgKxnGt4XTc3D6AiAnZYBOYNHxThNXy+mqB&#10;hQln3lN/SLXIEI4FarAptYWUsbLkMY5DS5y9j9B5TFl2tTQdnjPcN/JOqXvp0XFesNhSaan6PHx5&#10;Da/v037+trPrWSx3m/Ts3Iv/KbUe3QxPjyASDek/fGlvjYbpRKkZ/N3JV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Gf2DHAAAA3gAAAA8AAAAAAAAAAAAAAAAAmAIAAGRy&#10;cy9kb3ducmV2LnhtbFBLBQYAAAAABAAEAPUAAACMAwAAAAA=&#10;" path="m166116,v1016,381,2032,635,3175,888l,643000,166116,xe" filled="f" strokecolor="white" strokeweight="1.56pt">
                  <v:path arrowok="t" textboxrect="0,0,169291,643000"/>
                </v:shape>
                <v:shape id="Shape 41008" o:spid="_x0000_s1481" style="position:absolute;left:29373;top:8717;width:14712;height:13934;visibility:visible;mso-wrap-style:square;v-text-anchor:top" coordsize="1471168,1393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KAsMA&#10;AADeAAAADwAAAGRycy9kb3ducmV2LnhtbERPy2oCMRTdF/yHcAV3NRkRkakZKbWCK6HTQru8ndx5&#10;0ORmOonO+PdmUejycN67/eSsuNIQOs8asqUCQVx503Gj4eP9+LgFESKyQeuZNNwowL6YPewwN37k&#10;N7qWsREphEOOGtoY+1zKULXkMCx9T5y42g8OY4JDI82AYwp3Vq6U2kiHHaeGFnt6aan6KS9Ow2d/&#10;/K3Pm1db3r62K8y+D6O0B60X8+n5CUSkKf6L/9wno2GdKZX2pjvpCsj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KAsMAAADeAAAADwAAAAAAAAAAAAAAAACYAgAAZHJzL2Rv&#10;d25yZXYueG1sUEsFBgAAAAAEAAQA9QAAAIgDAAAAAA==&#10;" path="m645287,r90297,657860l904875,15748v354584,93472,566293,456692,472821,811403c1284224,1181735,921004,1393444,566293,1299973,211709,1206500,,843280,93472,488569,161798,229235,379603,36449,645287,xe" fillcolor="#4472c4" stroked="f" strokeweight="0">
                  <v:path arrowok="t" textboxrect="0,0,1471168,1393444"/>
                </v:shape>
                <v:shape id="Shape 41009" o:spid="_x0000_s1482" style="position:absolute;left:29373;top:8717;width:14712;height:13934;visibility:visible;mso-wrap-style:square;v-text-anchor:top" coordsize="1471168,1393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LiscA&#10;AADeAAAADwAAAGRycy9kb3ducmV2LnhtbESP3WoCMRSE7wXfIRzBu5pYpLarUbSwrSAt1Ap6edic&#10;/WE3J8sm1e3bN0LBy2Hmm2GW69424kKdrxxrmE4UCOLMmYoLDcfv9OEZhA/IBhvHpOGXPKxXw8ES&#10;E+Ou/EWXQyhELGGfoIYyhDaR0mclWfQT1xJHL3edxRBlV0jT4TWW20Y+KvUkLVYcF0ps6bWkrD78&#10;WA2zz9O+2L+Hqs7fPtR5vnV5qnZaj0f9ZgEiUB/u4X96ZyI3VeoFbnfiF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lni4rHAAAA3gAAAA8AAAAAAAAAAAAAAAAAmAIAAGRy&#10;cy9kb3ducmV2LnhtbFBLBQYAAAAABAAEAPUAAACMAwAAAAA=&#10;" path="m904875,15748v354584,93472,566293,456692,472821,811403c1284224,1181735,921004,1393444,566293,1299973,211709,1206500,,843280,93472,488569,161798,229235,379603,36449,645287,r90297,657860l904875,15748xe" filled="f" strokecolor="white" strokeweight="1.56pt">
                  <v:path arrowok="t" textboxrect="0,0,1471168,1393444"/>
                </v:shape>
                <v:shape id="Shape 41010" o:spid="_x0000_s1483" style="position:absolute;left:35826;top:8709;width:903;height:6586;visibility:visible;mso-wrap-style:square;v-text-anchor:top" coordsize="90297,658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f4hMQA&#10;AADeAAAADwAAAGRycy9kb3ducmV2LnhtbESPzWoCMRSF94W+Q7iF7moyIiJTo9SRFrdqF+3uMrlO&#10;Qic3YRJ17NObRaHLw/njW65H34sLDckF1lBNFAjiNhjHnYbP4/vLAkTKyAb7wKThRgnWq8eHJdYm&#10;XHlPl0PuRBnhVKMGm3OspUytJY9pEiJx8U5h8JiLHDppBryWcd/LqVJz6dFxebAYqbHU/hzOXkPz&#10;G+fqa7M9zb43Z5s/YuP27qb189P49goi05j/w3/tndEwq1RVAApOQQ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n+ITEAAAA3gAAAA8AAAAAAAAAAAAAAAAAmAIAAGRycy9k&#10;b3ducmV2LnhtbFBLBQYAAAAABAAEAPUAAACJAwAAAAA=&#10;" path="m6096,l90297,658622,,762c2032,508,4064,254,6096,xe" fillcolor="#70ad47" stroked="f" strokeweight="0">
                  <v:path arrowok="t" textboxrect="0,0,90297,658622"/>
                </v:shape>
                <v:shape id="Shape 41011" o:spid="_x0000_s1484" style="position:absolute;left:35826;top:8709;width:903;height:6586;visibility:visible;mso-wrap-style:square;v-text-anchor:top" coordsize="90297,658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HKhccA&#10;AADeAAAADwAAAGRycy9kb3ducmV2LnhtbESPQUsDMRSE74L/ITzBm02iIrJtWkqrqCdrbanH5+a5&#10;Wdy8LJu0u+2vN4LgcZiZb5jJbPCNOFAX68AG9EiBIC6DrbkysHl/vLoHEROyxSYwGThShNn0/GyC&#10;hQ09v9FhnSqRIRwLNOBSagspY+nIYxyFljh7X6HzmLLsKmk77DPcN/JaqTvpsea84LClhaPye733&#10;Bl4+Tk7va1ctnz4f/M32db5Tq96Yy4thPgaRaEj/4b/2szVwq5XW8HsnXwE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hhyoXHAAAA3gAAAA8AAAAAAAAAAAAAAAAAmAIAAGRy&#10;cy9kb3ducmV2LnhtbFBLBQYAAAAABAAEAPUAAACMAwAAAAA=&#10;" path="m,762c2032,508,4064,254,6096,l90297,658622,,762xe" filled="f" strokecolor="white" strokeweight="1.56pt">
                  <v:path arrowok="t" textboxrect="0,0,90297,658622"/>
                </v:shape>
                <v:shape id="Shape 41012" o:spid="_x0000_s1485" style="position:absolute;left:35887;top:8704;width:842;height:6591;visibility:visible;mso-wrap-style:square;v-text-anchor:top" coordsize="84201,659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aA8YA&#10;AADeAAAADwAAAGRycy9kb3ducmV2LnhtbESPQWvCQBSE7wX/w/IK3uomKlqiq5hCsfTWxEtvz+wz&#10;G5p9G7Krxv56t1DwOMzMN8x6O9hWXKj3jWMF6SQBQVw53XCt4FC+v7yC8AFZY+uYFNzIw3Yzelpj&#10;pt2Vv+hShFpECPsMFZgQukxKXxmy6CeuI47eyfUWQ5R9LXWP1wi3rZwmyUJabDguGOzozVD1U5yt&#10;Ajr+7mdnb/Lv02dZ5sViny95ptT4editQAQawiP83/7QCuZpkk7h7068AnJ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daA8YAAADeAAAADwAAAAAAAAAAAAAAAACYAgAAZHJz&#10;L2Rvd25yZXYueG1sUEsFBgAAAAAEAAQA9QAAAIsDAAAAAA==&#10;" path="m3048,l84201,659130,,508c1016,381,2032,127,3048,xe" fillcolor="#255e91" stroked="f" strokeweight="0">
                  <v:path arrowok="t" textboxrect="0,0,84201,659130"/>
                </v:shape>
                <v:shape id="Shape 41013" o:spid="_x0000_s1486" style="position:absolute;left:35887;top:8704;width:842;height:6591;visibility:visible;mso-wrap-style:square;v-text-anchor:top" coordsize="84201,659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q4pMgA&#10;AADeAAAADwAAAGRycy9kb3ducmV2LnhtbESPT2vCQBTE7wW/w/IK3uomVoKkrlLUlhZ6qH/o+Zl9&#10;ZoPZtyG7mthP7wqFHoeZ+Q0zW/S2FhdqfeVYQTpKQBAXTldcKtjv3p6mIHxA1lg7JgVX8rCYDx5m&#10;mGvX8YYu21CKCGGfowITQpNL6QtDFv3INcTRO7rWYoiyLaVusYtwW8txkmTSYsVxwWBDS0PFaXu2&#10;Cn6yPqzK73dzqLLfabHan7rPr7VSw8f+9QVEoD78h//aH1rBJE3SZ7jfiVdAz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6rikyAAAAN4AAAAPAAAAAAAAAAAAAAAAAJgCAABk&#10;cnMvZG93bnJldi54bWxQSwUGAAAAAAQABAD1AAAAjQMAAAAA&#10;" path="m,508c1016,381,2032,127,3048,l84201,659130,,508xe" filled="f" strokecolor="white" strokeweight="1.56pt">
                  <v:path arrowok="t" textboxrect="0,0,84201,659130"/>
                </v:shape>
                <v:shape id="Shape 41014" o:spid="_x0000_s1487" style="position:absolute;left:35917;top:8694;width:812;height:6601;visibility:visible;mso-wrap-style:square;v-text-anchor:top" coordsize="81153,660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wxcUA&#10;AADeAAAADwAAAGRycy9kb3ducmV2LnhtbESPT2vCQBTE74LfYXkFb7pJEZHUjUhB0WPTUHt8ZF/+&#10;1OzbsLuN6bfvFgoeh5n5DbPbT6YXIznfWVaQrhIQxJXVHTcKyvfjcgvCB2SNvWVS8EMe9vl8tsNM&#10;2zu/0ViERkQI+wwVtCEMmZS+asmgX9mBOHq1dQZDlK6R2uE9wk0vn5NkIw12HBdaHOi1pepWfBsF&#10;44mPX5fPTV3Yi/lorrYsrq5UavE0HV5ABJrCI/zfPmsF6zRJ1/B3J14B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P7DFxQAAAN4AAAAPAAAAAAAAAAAAAAAAAJgCAABkcnMv&#10;ZG93bnJldi54bWxQSwUGAAAAAAQABAD1AAAAigMAAAAA&#10;" path="m9525,l81153,660146,,1016c3175,635,6350,254,9525,xe" fillcolor="#9e480e" stroked="f" strokeweight="0">
                  <v:path arrowok="t" textboxrect="0,0,81153,660146"/>
                </v:shape>
                <v:shape id="Shape 41015" o:spid="_x0000_s1488" style="position:absolute;left:35917;top:8694;width:812;height:6601;visibility:visible;mso-wrap-style:square;v-text-anchor:top" coordsize="81153,660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0VYMYA&#10;AADeAAAADwAAAGRycy9kb3ducmV2LnhtbESPwW7CMBBE75X6D9ZW6g3sUECQYlChouqFAwkHjqt4&#10;m0SN15FtIP17XKlSj6OZeaNZbQbbiSv50DrWkI0VCOLKmZZrDadyP1qACBHZYOeYNPxQgM368WGF&#10;uXE3PtK1iLVIEA45amhi7HMpQ9WQxTB2PXHyvpy3GJP0tTQebwluOzlRai4ttpwWGuxp11D1XVys&#10;hsKrquTD/ry0LyoOu/LDb98nWj8/DW+vICIN8T/81/40GqaZymbweyddAb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0VYMYAAADeAAAADwAAAAAAAAAAAAAAAACYAgAAZHJz&#10;L2Rvd25yZXYueG1sUEsFBgAAAAAEAAQA9QAAAIsDAAAAAA==&#10;" path="m,1016c3175,635,6350,254,9525,l81153,660146,,1016xe" filled="f" strokecolor="white" strokeweight="1.56pt">
                  <v:path arrowok="t" textboxrect="0,0,81153,660146"/>
                </v:shape>
                <v:shape id="Shape 41016" o:spid="_x0000_s1489" style="position:absolute;left:36013;top:8655;width:716;height:6640;visibility:visible;mso-wrap-style:square;v-text-anchor:top" coordsize="71628,664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cZOccA&#10;AADeAAAADwAAAGRycy9kb3ducmV2LnhtbESPzWrDMBCE74W8g9hCb43s4obEsRxKqWlyzG/pbbE2&#10;thtrZSw1cd4+ChR6HGbmGyZbDKYVZ+pdY1lBPI5AEJdWN1wp2G2L5ykI55E1tpZJwZUcLPLRQ4ap&#10;thde03njKxEg7FJUUHvfpVK6siaDbmw74uAdbW/QB9lXUvd4CXDTypcomkiDDYeFGjt6r6k8bX6N&#10;gq/ZdPl6sNu9b67D92eZFB+rn1app8fhbQ7C0+D/w3/tpVaQxFE8gfudcAVkf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XGTnHAAAA3gAAAA8AAAAAAAAAAAAAAAAAmAIAAGRy&#10;cy9kb3ducmV2LnhtbFBLBQYAAAAABAAEAPUAAACMAwAAAAA=&#10;" path="m70993,r635,664083l,3937c23622,1397,47244,,70993,xe" fillcolor="#636363" stroked="f" strokeweight="0">
                  <v:path arrowok="t" textboxrect="0,0,71628,664083"/>
                </v:shape>
                <v:shape id="Shape 41017" o:spid="_x0000_s1490" style="position:absolute;left:36013;top:8655;width:716;height:6640;visibility:visible;mso-wrap-style:square;v-text-anchor:top" coordsize="71628,664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TLJMUA&#10;AADeAAAADwAAAGRycy9kb3ducmV2LnhtbESPQU/CQBCF7yb8h82QeJNtDQGtLMSQCHgENF4n3bFb&#10;6M7W7gjl37skJB5f3rzvzZstet+oE3WxDmwgH2WgiMtga64MfOzfHp5ARUG22AQmAxeKsJgP7mZY&#10;2HDmLZ12UqkE4VigASfSFlrH0pHHOAotcfK+Q+dRkuwqbTs8J7hv9GOWTbTHmlODw5aWjsrj7ten&#10;N+T5sG3lczX9cj/N0r9zv7drY+6H/esLKKFe/o9v6Y01MM6zfArXOYkBe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pMskxQAAAN4AAAAPAAAAAAAAAAAAAAAAAJgCAABkcnMv&#10;ZG93bnJldi54bWxQSwUGAAAAAAQABAD1AAAAigMAAAAA&#10;" path="m,3937c23622,1397,47244,,70993,r635,664083l,3937xe" filled="f" strokecolor="white" strokeweight="1.56pt">
                  <v:path arrowok="t" textboxrect="0,0,71628,664083"/>
                </v:shape>
                <v:shape id="Shape 41018" o:spid="_x0000_s1491" style="position:absolute;left:36723;top:8655;width:6;height:6640;visibility:visible;mso-wrap-style:square;v-text-anchor:top" coordsize="635,664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x29cQA&#10;AADeAAAADwAAAGRycy9kb3ducmV2LnhtbERPy2rCQBTdC/2H4Ra600lEqqROQim1SHDjA+nyNnOb&#10;Cc3cCZmJxr/vLASXh/NeF6NtxYV63zhWkM4SEMSV0w3XCk7HzXQFwgdkja1jUnAjD0X+NFljpt2V&#10;93Q5hFrEEPYZKjAhdJmUvjJk0c9cRxy5X9dbDBH2tdQ9XmO4beU8SV6lxYZjg8GOPgxVf4fBKth9&#10;luWPL4/LdHkazu6rHYfFt1Hq5Xl8fwMRaAwP8d291QoWaZLGvfFOvAI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8dvXEAAAA3gAAAA8AAAAAAAAAAAAAAAAAmAIAAGRycy9k&#10;b3ducmV2LnhtbFBLBQYAAAAABAAEAPUAAACJAwAAAAA=&#10;" path="m,c254,,381,,635,r,664083l,xe" fillcolor="#997300" stroked="f" strokeweight="0">
                  <v:path arrowok="t" textboxrect="0,0,635,664083"/>
                </v:shape>
                <v:shape id="Shape 41019" o:spid="_x0000_s1492" style="position:absolute;left:36723;top:8655;width:6;height:6640;visibility:visible;mso-wrap-style:square;v-text-anchor:top" coordsize="635,664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Y368UA&#10;AADeAAAADwAAAGRycy9kb3ducmV2LnhtbESPwU7DMBBE70j8g7VI3KgThAqkdauChIAjaS7cFnsb&#10;R8TrEC9N+HuMhNTjaGbeaNbbOfTqSGPqIhsoFwUoYhtdx62BZv90dQcqCbLDPjIZ+KEE28352Ror&#10;Fyd+o2MtrcoQThUa8CJDpXWyngKmRRyIs3eIY0DJcmy1G3HK8NDr66JY6oAd5wWPAz16sp/1dzBw&#10;G5tlmJ5lZz+0b77k4dXW+3djLi/m3QqU0Cyn8H/7xRm4KYvyHv7u5Cu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1jfrxQAAAN4AAAAPAAAAAAAAAAAAAAAAAJgCAABkcnMv&#10;ZG93bnJldi54bWxQSwUGAAAAAAQABAD1AAAAigMAAAAA&#10;" path="m,c254,,381,,635,r,664083l,xe" filled="f" strokecolor="white" strokeweight="1.56pt">
                  <v:path arrowok="t" textboxrect="0,0,635,664083"/>
                </v:shape>
                <v:shape id="Shape 41020" o:spid="_x0000_s1493" style="position:absolute;left:36729;top:8655;width:0;height:6640;visibility:visible;mso-wrap-style:square;v-text-anchor:top" coordsize="0,664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9Gx8UA&#10;AADeAAAADwAAAGRycy9kb3ducmV2LnhtbESPzWrCQBSF9wXfYbgFd82MIkWiozRCq5BVY3R9m7lN&#10;gpk7ITOa9O07i0KXh/PHt91PthMPGnzrWMMiUSCIK2darjWU5/eXNQgfkA12jknDD3nY72ZPW0yN&#10;G/mTHkWoRRxhn6KGJoQ+ldJXDVn0ieuJo/ftBoshyqGWZsAxjttOLpV6lRZbjg8N9nRoqLoVd6uh&#10;O+aX1brPz+rDZzbP2lv2dS21nj9PbxsQgabwH/5rn4yG1UItI0DEiSg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70bHxQAAAN4AAAAPAAAAAAAAAAAAAAAAAJgCAABkcnMv&#10;ZG93bnJldi54bWxQSwUGAAAAAAQABAD1AAAAigMAAAAA&#10;" path="m,l,664083,,xe" filled="f" strokecolor="white" strokeweight="1.56pt">
                  <v:path arrowok="t" textboxrect="0,0,0,664083"/>
                </v:shape>
                <v:shape id="Shape 41021" o:spid="_x0000_s1494" style="position:absolute;left:33335;top:6471;width:3628;height:2195;visibility:visible;mso-wrap-style:square;v-text-anchor:top" coordsize="362712,219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SXscQA&#10;AADeAAAADwAAAGRycy9kb3ducmV2LnhtbESPQWvCQBSE74X+h+UVvNVNgliJrlICoreiFc+P7Gs2&#10;mH0bdtcY/fVuodDjMDPfMKvNaDsxkA+tYwX5NANBXDvdcqPg9L19X4AIEVlj55gU3CnAZv36ssJS&#10;uxsfaDjGRiQIhxIVmBj7UspQG7IYpq4nTt6P8xZjkr6R2uMtwW0niyybS4stpwWDPVWG6svxahV8&#10;2Gv7qOS5KBZ615naD5eq/1Jq8jZ+LkFEGuN/+K+91wpmeVbk8HsnXQ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Ul7HEAAAA3gAAAA8AAAAAAAAAAAAAAAAAmAIAAGRycy9k&#10;b3ducmV2LnhtbFBLBQYAAAAABAAEAPUAAACJAwAAAAA=&#10;" path="m362712,219456l56388,,,e" filled="f" strokecolor="#a6a6a6" strokeweight=".72pt">
                  <v:path arrowok="t" textboxrect="0,0,362712,219456"/>
                </v:shape>
                <v:shape id="Shape 41022" o:spid="_x0000_s1495" style="position:absolute;left:37222;top:7294;width:5638;height:1372;visibility:visible;mso-wrap-style:square;v-text-anchor:top" coordsize="563880,1371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Gy8sUA&#10;AADeAAAADwAAAGRycy9kb3ducmV2LnhtbESPQWvCQBSE7wX/w/IEb3VjWERSVylCUfDSRi+9PbKv&#10;m2D2bchuY/TXdwuCx2FmvmHW29G1YqA+NJ41LOYZCOLKm4athvPp43UFIkRkg61n0nCjANvN5GWN&#10;hfFX/qKhjFYkCIcCNdQxdoWUoarJYZj7jjh5P753GJPsrTQ9XhPctTLPsqV02HBaqLGjXU3Vpfx1&#10;Gqz6vo97pT4HZS/lfhf98n5UWs+m4/sbiEhjfIYf7YPRoBZZnsP/nXQF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0bLyxQAAAN4AAAAPAAAAAAAAAAAAAAAAAJgCAABkcnMv&#10;ZG93bnJldi54bWxQSwUGAAAAAAQABAD1AAAAigMAAAAA&#10;" path="m,137161l507492,r56388,e" filled="f" strokecolor="#a6a6a6" strokeweight=".72pt">
                  <v:path arrowok="t" textboxrect="0,0,563880,137161"/>
                </v:shape>
                <v:shape id="Shape 41023" o:spid="_x0000_s1496" style="position:absolute;left:37831;top:8742;width:4877;height:381;visibility:visible;mso-wrap-style:square;v-text-anchor:top" coordsize="48768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HVPskA&#10;AADeAAAADwAAAGRycy9kb3ducmV2LnhtbESPT2vCQBTE74LfYXmFXqRuTItI6ipiCe2lB/8Uenxk&#10;n0lo9u2a3cTUT+8WCh6HmfkNs1wPphE9tb62rGA2TUAQF1bXXCo4HvKnBQgfkDU2lknBL3lYr8aj&#10;JWbaXnhH/T6UIkLYZ6igCsFlUvqiIoN+ah1x9E62NRiibEupW7xEuGlkmiRzabDmuFCho21Fxc++&#10;MwoWn2f3Jt9P9rvZuc0XzSfXfNsp9fgwbF5BBBrCPfzf/tAKXmZJ+gx/d+IVkKs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EHVPskAAADeAAAADwAAAAAAAAAAAAAAAACYAgAA&#10;ZHJzL2Rvd25yZXYueG1sUEsFBgAAAAAEAAQA9QAAAI4DAAAAAA==&#10;" path="m,l431292,38100r56388,e" filled="f" strokecolor="#a6a6a6" strokeweight=".72pt">
                  <v:path arrowok="t" textboxrect="0,0,487680,38100"/>
                </v:shape>
                <v:shape id="Shape 41024" o:spid="_x0000_s1497" style="position:absolute;left:31842;top:7843;width:4130;height:853;visibility:visible;mso-wrap-style:square;v-text-anchor:top" coordsize="413004,85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ENiMUA&#10;AADeAAAADwAAAGRycy9kb3ducmV2LnhtbESPQWsCMRSE74X+h/AEbzVxK0VWo6hQ8KTtKoi3x+a5&#10;u7h5CZtUt/++KQgeh5n5hpkve9uKG3WhcaxhPFIgiEtnGq40HA+fb1MQISIbbB2Thl8KsFy8vswx&#10;N+7O33QrYiUShEOOGuoYfS5lKGuyGEbOEyfv4jqLMcmukqbDe4LbVmZKfUiLDaeFGj1taiqvxY/V&#10;sC6/zj7bnTa8D0G9773zxXqr9XDQr2YgIvXxGX60t0bDZKyyCfzfSVd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YQ2IxQAAAN4AAAAPAAAAAAAAAAAAAAAAAJgCAABkcnMv&#10;ZG93bnJldi54bWxQSwUGAAAAAAQABAD1AAAAigMAAAAA&#10;" path="m413004,85344l57912,,,e" filled="f" strokecolor="#a6a6a6" strokeweight=".72pt">
                  <v:path arrowok="t" textboxrect="0,0,413004,85344"/>
                </v:shape>
                <v:shape id="Shape 41025" o:spid="_x0000_s1498" style="position:absolute;left:36719;top:6837;width:0;height:1814;visibility:visible;mso-wrap-style:square;v-text-anchor:top" coordsize="0,181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xxoMgA&#10;AADeAAAADwAAAGRycy9kb3ducmV2LnhtbESPQWvCQBSE74L/YXmFXkLdNVhpU1eRloAXC0YPHl+z&#10;r0lo9m2aXTX+e7dQ8DjMzDfMYjXYVpyp941jDdOJAkFcOtNwpeGwz59eQPiAbLB1TBqu5GG1HI8W&#10;mBl34R2di1CJCGGfoYY6hC6T0pc1WfQT1xFH79v1FkOUfSVNj5cIt61MlZpLiw3HhRo7eq+p/ClO&#10;VoNX+2Sb5q8f22P+Jbvwmfwmx5PWjw/D+g1EoCHcw//tjdEwm6r0Gf7uxCsgl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LHGgyAAAAN4AAAAPAAAAAAAAAAAAAAAAAJgCAABk&#10;cnMvZG93bnJldi54bWxQSwUGAAAAAAQABAD1AAAAjQMAAAAA&#10;" path="m,181356l,e" filled="f" strokecolor="#a6a6a6" strokeweight=".72pt">
                  <v:path arrowok="t" textboxrect="0,0,0,181356"/>
                </v:shape>
                <v:shape id="Shape 41026" o:spid="_x0000_s1499" style="position:absolute;left:36734;top:7051;width:2377;height:1600;visibility:visible;mso-wrap-style:square;v-text-anchor:top" coordsize="2377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Q8ysYA&#10;AADeAAAADwAAAGRycy9kb3ducmV2LnhtbESPQWvCQBSE74X+h+UVems2SUuU6CqlGOy1KujxmX0m&#10;abNvQ3aN0V/vFgo9DjPzDTNfjqYVA/WusawgiWIQxKXVDVcKdtviZQrCeWSNrWVScCUHy8Xjwxxz&#10;bS/8RcPGVyJA2OWooPa+y6V0ZU0GXWQ74uCdbG/QB9lXUvd4CXDTyjSOM2mw4bBQY0cfNZU/m7NR&#10;wCs6TifZmm/Ou/33ULxe08Naqeen8X0GwtPo/8N/7U+t4C2J0wx+74Qr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Q8ysYAAADeAAAADwAAAAAAAAAAAAAAAACYAgAAZHJz&#10;L2Rvd25yZXYueG1sUEsFBgAAAAAEAAQA9QAAAIsDAAAAAA==&#10;" path="m,160020l181356,r56388,e" filled="f" strokecolor="#a6a6a6" strokeweight=".72pt">
                  <v:path arrowok="t" textboxrect="0,0,237744,160020"/>
                </v:shape>
                <v:rect id="Rectangle 757435" o:spid="_x0000_s1500" style="position:absolute;left:32327;top:5608;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S5lMkA&#10;AADfAAAADwAAAGRycy9kb3ducmV2LnhtbESPW2vCQBSE3wv9D8sp+FY32npJ6ipSW/TRG8S+HbLH&#10;JJg9G7Jbk/bXu4WCj8PMfMPMFp2pxJUaV1pWMOhHIIgzq0vOFRwPn89TEM4ja6wsk4IfcrCYPz7M&#10;MNG25R1d9z4XAcIuQQWF93UipcsKMuj6tiYO3tk2Bn2QTS51g22Am0oOo2gsDZYcFgqs6b2g7LL/&#10;NgrW03p52tjfNq8+vtbpNo1Xh9gr1Xvqlm8gPHX+Hv5vb7SCyWjy+jKCvz/hC8j5D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kS5lMkAAADfAAAADwAAAAAAAAAAAAAAAACYAgAA&#10;ZHJzL2Rvd25yZXYueG1sUEsFBgAAAAAEAAQA9QAAAI4DAAAAAA==&#10;" filled="f" stroked="f">
                  <v:textbox inset="0,0,0,0">
                    <w:txbxContent>
                      <w:p w14:paraId="61D31797" w14:textId="77777777" w:rsidR="0014164F" w:rsidRDefault="0014164F" w:rsidP="00C232D7">
                        <w:r>
                          <w:rPr>
                            <w:rFonts w:ascii="Calibri" w:hAnsi="Calibri" w:cs="Calibri"/>
                            <w:color w:val="404040"/>
                            <w:sz w:val="18"/>
                          </w:rPr>
                          <w:t>%</w:t>
                        </w:r>
                      </w:p>
                    </w:txbxContent>
                  </v:textbox>
                </v:rect>
                <v:rect id="Rectangle 757434" o:spid="_x0000_s1501" style="position:absolute;left:30300;top:5608;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gcD8kA&#10;AADfAAAADwAAAGRycy9kb3ducmV2LnhtbESPT2vCQBTE74LfYXlCb7pptVWjq4it6LH+AfX2yL4m&#10;odm3Ibs10U/vCgWPw8z8hpnOG1OIC1Uut6zgtReBIE6szjlVcNivuiMQziNrLCyTgis5mM/arSnG&#10;2ta8pcvOpyJA2MWoIPO+jKV0SUYGXc+WxMH7sZVBH2SVSl1hHeCmkG9R9CEN5hwWMixpmVHyu/sz&#10;CtajcnHa2FudFl/n9fH7OP7cj71SL51mMQHhqfHP8H97oxUM34eD/gAef8IXkLM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QgcD8kAAADfAAAADwAAAAAAAAAAAAAAAACYAgAA&#10;ZHJzL2Rvd25yZXYueG1sUEsFBgAAAAAEAAQA9QAAAI4DAAAAAA==&#10;" filled="f" stroked="f">
                  <v:textbox inset="0,0,0,0">
                    <w:txbxContent>
                      <w:p w14:paraId="0C856C54" w14:textId="77777777" w:rsidR="0014164F" w:rsidRDefault="0014164F" w:rsidP="00C232D7">
                        <w:r>
                          <w:rPr>
                            <w:rFonts w:ascii="Calibri" w:hAnsi="Calibri" w:cs="Calibri"/>
                            <w:color w:val="404040"/>
                            <w:sz w:val="18"/>
                          </w:rPr>
                          <w:t>1.09</w:t>
                        </w:r>
                      </w:p>
                    </w:txbxContent>
                  </v:textbox>
                </v:rect>
                <v:rect id="Rectangle 757443" o:spid="_x0000_s1502" style="position:absolute;left:45088;top:6437;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f3BskA&#10;AADfAAAADwAAAGRycy9kb3ducmV2LnhtbESPT2vCQBTE74LfYXlCb7pptVWjq4it6LH+AfX2yL4m&#10;odm3Ibs10U/vCgWPw8z8hpnOG1OIC1Uut6zgtReBIE6szjlVcNivuiMQziNrLCyTgis5mM/arSnG&#10;2ta8pcvOpyJA2MWoIPO+jKV0SUYGXc+WxMH7sZVBH2SVSl1hHeCmkG9R9CEN5hwWMixpmVHyu/sz&#10;CtajcnHa2FudFl/n9fH7OP7cj71SL51mMQHhqfHP8H97oxUM34eDQR8ef8IXkLM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uf3BskAAADfAAAADwAAAAAAAAAAAAAAAACYAgAA&#10;ZHJzL2Rvd25yZXYueG1sUEsFBgAAAAAEAAQA9QAAAI4DAAAAAA==&#10;" filled="f" stroked="f">
                  <v:textbox inset="0,0,0,0">
                    <w:txbxContent>
                      <w:p w14:paraId="1EDB65C2" w14:textId="77777777" w:rsidR="0014164F" w:rsidRDefault="0014164F" w:rsidP="00C232D7">
                        <w:r>
                          <w:rPr>
                            <w:rFonts w:ascii="Calibri" w:hAnsi="Calibri" w:cs="Calibri"/>
                            <w:color w:val="404040"/>
                            <w:sz w:val="18"/>
                          </w:rPr>
                          <w:t>%</w:t>
                        </w:r>
                      </w:p>
                    </w:txbxContent>
                  </v:textbox>
                </v:rect>
                <v:rect id="Rectangle 757442" o:spid="_x0000_s1503" style="position:absolute;left:43061;top:6437;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tSnckA&#10;AADfAAAADwAAAGRycy9kb3ducmV2LnhtbESPT2vCQBTE7wW/w/IKvdVNxfonZiOiLXq0sWB7e2Sf&#10;STD7NmS3Ju2ndwuCx2FmfsMky97U4kKtqywreBlGIIhzqysuFHwe3p9nIJxH1lhbJgW/5GCZDh4S&#10;jLXt+IMumS9EgLCLUUHpfRNL6fKSDLqhbYiDd7KtQR9kW0jdYhfgppajKJpIgxWHhRIbWpeUn7Mf&#10;o2A7a1ZfO/vXFfXb9/a4P843h7lX6umxXy1AeOr9PXxr77SC6et0PB7B/5/wBWR6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atSnckAAADfAAAADwAAAAAAAAAAAAAAAACYAgAA&#10;ZHJzL2Rvd25yZXYueG1sUEsFBgAAAAAEAAQA9QAAAI4DAAAAAA==&#10;" filled="f" stroked="f">
                  <v:textbox inset="0,0,0,0">
                    <w:txbxContent>
                      <w:p w14:paraId="3B9D3E3E" w14:textId="77777777" w:rsidR="0014164F" w:rsidRDefault="0014164F" w:rsidP="00C232D7">
                        <w:r>
                          <w:rPr>
                            <w:rFonts w:ascii="Calibri" w:hAnsi="Calibri" w:cs="Calibri"/>
                            <w:color w:val="404040"/>
                            <w:sz w:val="18"/>
                          </w:rPr>
                          <w:t>0.20</w:t>
                        </w:r>
                      </w:p>
                    </w:txbxContent>
                  </v:textbox>
                </v:rect>
                <v:rect id="Rectangle 757451" o:spid="_x0000_s1504" style="position:absolute;left:42909;top:8264;width:2702;height:1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BaN8kA&#10;AADfAAAADwAAAGRycy9kb3ducmV2LnhtbESPW2vCQBSE3wv+h+UIvtVNRKvGrCK9oI/ewPbtkD0m&#10;wezZkN2atL++WxB8HGbmGyZddaYSN2pcaVlBPIxAEGdWl5wrOB0/nmcgnEfWWFkmBT/kYLXsPaWY&#10;aNvynm4Hn4sAYZeggsL7OpHSZQUZdENbEwfvYhuDPsgml7rBNsBNJUdR9CINlhwWCqzptaDsevg2&#10;Cjazev25tb9tXr1/bc678/ztOPdKDfrdegHCU+cf4Xt7qxVMJ9PxJIb/P+ELy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KBaN8kAAADfAAAADwAAAAAAAAAAAAAAAACYAgAA&#10;ZHJzL2Rvd25yZXYueG1sUEsFBgAAAAAEAAQA9QAAAI4DAAAAAA==&#10;" filled="f" stroked="f">
                  <v:textbox inset="0,0,0,0">
                    <w:txbxContent>
                      <w:p w14:paraId="6446319C" w14:textId="77777777" w:rsidR="0014164F" w:rsidRDefault="0014164F" w:rsidP="00C232D7">
                        <w:r>
                          <w:rPr>
                            <w:rFonts w:ascii="Calibri" w:hAnsi="Calibri" w:cs="Calibri"/>
                            <w:color w:val="404040"/>
                            <w:sz w:val="18"/>
                          </w:rPr>
                          <w:t>2.73</w:t>
                        </w:r>
                      </w:p>
                    </w:txbxContent>
                  </v:textbox>
                </v:rect>
                <v:rect id="Rectangle 757452" o:spid="_x0000_s1505" style="position:absolute;left:44936;top:8264;width:1090;height:1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LEQMgA&#10;AADfAAAADwAAAGRycy9kb3ducmV2LnhtbESPT2vCQBTE70K/w/KE3nSj1H+pq4hW9GhjQb09sq9J&#10;aPZtyG5N9NO7QqHHYWZ+w8yXrSnFlWpXWFYw6EcgiFOrC84UfB23vSkI55E1lpZJwY0cLBcvnTnG&#10;2jb8SdfEZyJA2MWoIPe+iqV0aU4GXd9WxMH7trVBH2SdSV1jE+CmlMMoGkuDBYeFHCta55T+JL9G&#10;wW5arc57e2+y8uOyOx1Os81x5pV67bardxCeWv8f/mvvtYLJaPI2GsLzT/gCcvE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csRAyAAAAN8AAAAPAAAAAAAAAAAAAAAAAJgCAABk&#10;cnMvZG93bnJldi54bWxQSwUGAAAAAAQABAD1AAAAjQMAAAAA&#10;" filled="f" stroked="f">
                  <v:textbox inset="0,0,0,0">
                    <w:txbxContent>
                      <w:p w14:paraId="75207365" w14:textId="77777777" w:rsidR="0014164F" w:rsidRDefault="0014164F" w:rsidP="00C232D7">
                        <w:r>
                          <w:rPr>
                            <w:rFonts w:ascii="Calibri" w:hAnsi="Calibri" w:cs="Calibri"/>
                            <w:color w:val="404040"/>
                            <w:sz w:val="18"/>
                          </w:rPr>
                          <w:t>%</w:t>
                        </w:r>
                      </w:p>
                    </w:txbxContent>
                  </v:textbox>
                </v:rect>
                <v:rect id="Rectangle 757455" o:spid="_x0000_s1506" style="position:absolute;left:43259;top:9640;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tcNMgA&#10;AADfAAAADwAAAGRycy9kb3ducmV2LnhtbESPT2vCQBTE7wW/w/IEb3WjGP+kriKtoseqBdvbI/tM&#10;gtm3Ibua2E/vFgoeh5n5DTNftqYUN6pdYVnBoB+BIE6tLjhT8HXcvE5BOI+ssbRMCu7kYLnovMwx&#10;0bbhPd0OPhMBwi5BBbn3VSKlS3My6Pq2Ig7e2dYGfZB1JnWNTYCbUg6jaCwNFhwWcqzoPaf0crga&#10;Bdtptfre2d8mK9c/29PnafZxnHmlet129QbCU+uf4f/2TiuYxJNRHMPfn/AF5OI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m1w0yAAAAN8AAAAPAAAAAAAAAAAAAAAAAJgCAABk&#10;cnMvZG93bnJldi54bWxQSwUGAAAAAAQABAD1AAAAjQMAAAAA&#10;" filled="f" stroked="f">
                  <v:textbox inset="0,0,0,0">
                    <w:txbxContent>
                      <w:p w14:paraId="59A6CA02" w14:textId="77777777" w:rsidR="0014164F" w:rsidRDefault="0014164F" w:rsidP="00C232D7">
                        <w:r>
                          <w:rPr>
                            <w:rFonts w:ascii="Calibri" w:hAnsi="Calibri" w:cs="Calibri"/>
                            <w:color w:val="404040"/>
                            <w:sz w:val="18"/>
                          </w:rPr>
                          <w:t>0.08</w:t>
                        </w:r>
                      </w:p>
                    </w:txbxContent>
                  </v:textbox>
                </v:rect>
                <v:rect id="Rectangle 757456" o:spid="_x0000_s1507" style="position:absolute;left:45286;top:9640;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nCQ8kA&#10;AADfAAAADwAAAGRycy9kb3ducmV2LnhtbESPW2vCQBSE3wv9D8sp+FY3lXqL2YjYFn30BrZvh+wx&#10;Cc2eDdnVxP76riD4OMzMN0wy70wlLtS40rKCt34EgjizuuRcwWH/9ToB4TyyxsoyKbiSg3n6/JRg&#10;rG3LW7rsfC4ChF2MCgrv61hKlxVk0PVtTRy8k20M+iCbXOoG2wA3lRxE0UgaLDksFFjTsqDsd3c2&#10;ClaTevG9tn9tXn3+rI6b4/RjP/VK9V66xQyEp84/wvf2WisYD8fvwxHc/oQvIN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0nCQ8kAAADfAAAADwAAAAAAAAAAAAAAAACYAgAA&#10;ZHJzL2Rvd25yZXYueG1sUEsFBgAAAAAEAAQA9QAAAI4DAAAAAA==&#10;" filled="f" stroked="f">
                  <v:textbox inset="0,0,0,0">
                    <w:txbxContent>
                      <w:p w14:paraId="1F02FB98" w14:textId="77777777" w:rsidR="0014164F" w:rsidRDefault="0014164F" w:rsidP="00C232D7">
                        <w:r>
                          <w:rPr>
                            <w:rFonts w:ascii="Calibri" w:hAnsi="Calibri" w:cs="Calibri"/>
                            <w:color w:val="404040"/>
                            <w:sz w:val="18"/>
                          </w:rPr>
                          <w:t>%</w:t>
                        </w:r>
                      </w:p>
                    </w:txbxContent>
                  </v:textbox>
                </v:rect>
                <v:rect id="Rectangle 757466" o:spid="_x0000_s1508" style="position:absolute;left:33094;top:18004;width:346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UI/sgA&#10;AADfAAAADwAAAGRycy9kb3ducmV2LnhtbESPT2vCQBTE7wW/w/KE3upGaaNGV5HWosf6B9TbI/tM&#10;gtm3Ibua2E/fFQoeh5n5DTOdt6YUN6pdYVlBvxeBIE6tLjhTsN99v41AOI+ssbRMCu7kYD7rvEwx&#10;0bbhDd22PhMBwi5BBbn3VSKlS3My6Hq2Ig7e2dYGfZB1JnWNTYCbUg6iKJYGCw4LOVb0mVN62V6N&#10;gtWoWhzX9rfJyuVpdfg5jL92Y6/Ua7ddTEB4av0z/N9eawXDj+F7HMPjT/gCcvY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JQj+yAAAAN8AAAAPAAAAAAAAAAAAAAAAAJgCAABk&#10;cnMvZG93bnJldi54bWxQSwUGAAAAAAQABAD1AAAAjQMAAAAA&#10;" filled="f" stroked="f">
                  <v:textbox inset="0,0,0,0">
                    <w:txbxContent>
                      <w:p w14:paraId="0CD862D2" w14:textId="77777777" w:rsidR="0014164F" w:rsidRDefault="0014164F" w:rsidP="00C232D7">
                        <w:r>
                          <w:rPr>
                            <w:rFonts w:ascii="Calibri" w:hAnsi="Calibri" w:cs="Calibri"/>
                            <w:color w:val="404040"/>
                            <w:sz w:val="18"/>
                          </w:rPr>
                          <w:t>93.73</w:t>
                        </w:r>
                      </w:p>
                    </w:txbxContent>
                  </v:textbox>
                </v:rect>
                <v:rect id="Rectangle 757467" o:spid="_x0000_s1509" style="position:absolute;left:35700;top:18004;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mtZcgA&#10;AADfAAAADwAAAGRycy9kb3ducmV2LnhtbESPQWvCQBSE70L/w/IK3nSjWKOpq4ha9Nhqwfb2yD6T&#10;YPZtyK4m+utdodDjMDPfMLNFa0pxpdoVlhUM+hEI4tTqgjMF34eP3gSE88gaS8uk4EYOFvOXzgwT&#10;bRv+ouveZyJA2CWoIPe+SqR0aU4GXd9WxME72dqgD7LOpK6xCXBTymEUjaXBgsNCjhWtckrP+4tR&#10;sJ1Uy5+dvTdZufndHj+P0/Vh6pXqvrbLdxCeWv8f/mvvtIL4LR6NY3j+CV9Az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aa1lyAAAAN8AAAAPAAAAAAAAAAAAAAAAAJgCAABk&#10;cnMvZG93bnJldi54bWxQSwUGAAAAAAQABAD1AAAAjQMAAAAA&#10;" filled="f" stroked="f">
                  <v:textbox inset="0,0,0,0">
                    <w:txbxContent>
                      <w:p w14:paraId="000CDCE4" w14:textId="77777777" w:rsidR="0014164F" w:rsidRDefault="0014164F" w:rsidP="00C232D7">
                        <w:r>
                          <w:rPr>
                            <w:rFonts w:ascii="Calibri" w:hAnsi="Calibri" w:cs="Calibri"/>
                            <w:color w:val="404040"/>
                            <w:sz w:val="18"/>
                          </w:rPr>
                          <w:t>%</w:t>
                        </w:r>
                      </w:p>
                    </w:txbxContent>
                  </v:textbox>
                </v:rect>
                <v:rect id="Rectangle 757440" o:spid="_x0000_s1510" style="position:absolute;left:34237;top:6858;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pcccA&#10;AADfAAAADwAAAGRycy9kb3ducmV2LnhtbESPy2rCQBSG9wXfYThCd3ViSatGxxB6QZfeQN0dMsck&#10;NHMmZKZJ2qfvLAouf/4b3yodTC06al1lWcF0EoEgzq2uuFBwOn4+zUE4j6yxtkwKfshBuh49rDDR&#10;tuc9dQdfiDDCLkEFpfdNIqXLSzLoJrYhDt7NtgZ9kG0hdYt9GDe1fI6iV2mw4vBQYkNvJeVfh2+j&#10;YDNvssvW/vZF/XHdnHfnxftx4ZV6HA/ZEoSnwd/D/+2tVjB7mcVxIAg8gQ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1aXHHAAAA3wAAAA8AAAAAAAAAAAAAAAAAmAIAAGRy&#10;cy9kb3ducmV2LnhtbFBLBQYAAAAABAAEAPUAAACMAwAAAAA=&#10;" filled="f" stroked="f">
                  <v:textbox inset="0,0,0,0">
                    <w:txbxContent>
                      <w:p w14:paraId="1E1ED26C" w14:textId="77777777" w:rsidR="0014164F" w:rsidRDefault="0014164F" w:rsidP="00C232D7">
                        <w:r>
                          <w:rPr>
                            <w:rFonts w:ascii="Calibri" w:hAnsi="Calibri" w:cs="Calibri"/>
                            <w:color w:val="404040"/>
                            <w:sz w:val="18"/>
                          </w:rPr>
                          <w:t>0.15</w:t>
                        </w:r>
                      </w:p>
                    </w:txbxContent>
                  </v:textbox>
                </v:rect>
                <v:rect id="Rectangle 757441" o:spid="_x0000_s1511" style="position:absolute;left:36264;top:6858;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nM6skA&#10;AADfAAAADwAAAGRycy9kb3ducmV2LnhtbESPQWvCQBSE70L/w/IKvekmRaumWUVaRY8aBfX2yL4m&#10;odm3Ibs1sb++Wyj0OMzMN0y67E0tbtS6yrKCeBSBIM6trrhQcDpuhjMQziNrrC2Tgjs5WC4eBikm&#10;2nZ8oFvmCxEg7BJUUHrfJFK6vCSDbmQb4uB92NagD7ItpG6xC3BTy+coepEGKw4LJTb0VlL+mX0Z&#10;BdtZs7rs7HdX1Ovr9rw/z9+Pc6/U02O/egXhqff/4b/2TiuYTqbjcQy/f8IXkI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XnM6skAAADfAAAADwAAAAAAAAAAAAAAAACYAgAA&#10;ZHJzL2Rvd25yZXYueG1sUEsFBgAAAAAEAAQA9QAAAI4DAAAAAA==&#10;" filled="f" stroked="f">
                  <v:textbox inset="0,0,0,0">
                    <w:txbxContent>
                      <w:p w14:paraId="57A89B1C" w14:textId="77777777" w:rsidR="0014164F" w:rsidRDefault="0014164F" w:rsidP="00C232D7">
                        <w:r>
                          <w:rPr>
                            <w:rFonts w:ascii="Calibri" w:hAnsi="Calibri" w:cs="Calibri"/>
                            <w:color w:val="404040"/>
                            <w:sz w:val="18"/>
                          </w:rPr>
                          <w:t>%</w:t>
                        </w:r>
                      </w:p>
                    </w:txbxContent>
                  </v:textbox>
                </v:rect>
                <v:rect id="Rectangle 757457" o:spid="_x0000_s1512" style="position:absolute;left:28720;top:10351;width:269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Vn2MgA&#10;AADfAAAADwAAAGRycy9kb3ducmV2LnhtbESPT2vCQBTE74LfYXlCb7pRaqOpq4hW9Oifgu3tkX0m&#10;wezbkN2a2E/fLQgeh5n5DTNbtKYUN6pdYVnBcBCBIE6tLjhT8Hna9CcgnEfWWFomBXdysJh3OzNM&#10;tG34QLejz0SAsEtQQe59lUjp0pwMuoGtiIN3sbVBH2SdSV1jE+CmlKMoepMGCw4LOVa0yim9Hn+M&#10;gu2kWn7t7G+TlR/f2/P+PF2fpl6pl167fAfhqfXP8KO90wricfw6juH/T/gCcv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BWfYyAAAAN8AAAAPAAAAAAAAAAAAAAAAAJgCAABk&#10;cnMvZG93bnJldi54bWxQSwUGAAAAAAQABAD1AAAAjQMAAAAA&#10;" filled="f" stroked="f">
                  <v:textbox inset="0,0,0,0">
                    <w:txbxContent>
                      <w:p w14:paraId="6DDC90F8" w14:textId="77777777" w:rsidR="0014164F" w:rsidRDefault="0014164F" w:rsidP="00C232D7">
                        <w:r>
                          <w:rPr>
                            <w:rFonts w:ascii="Calibri" w:hAnsi="Calibri" w:cs="Calibri"/>
                            <w:color w:val="404040"/>
                            <w:sz w:val="18"/>
                          </w:rPr>
                          <w:t>0.08</w:t>
                        </w:r>
                      </w:p>
                    </w:txbxContent>
                  </v:textbox>
                </v:rect>
                <v:rect id="Rectangle 757459" o:spid="_x0000_s1513" style="position:absolute;left:30747;top:10351;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ZWMckA&#10;AADfAAAADwAAAGRycy9kb3ducmV2LnhtbESPS2vDMBCE74X+B7GF3Bo5JS87lkPog+TYPCDJbbE2&#10;tqm1MpYau/31UaGQ4zAz3zDpsje1uFLrKssKRsMIBHFudcWFgsP+43kOwnlkjbVlUvBDDpbZ40OK&#10;ibYdb+m684UIEHYJKii9bxIpXV6SQTe0DXHwLrY16INsC6lb7ALc1PIliqbSYMVhocSGXkvKv3bf&#10;RsF63qxOG/vbFfX7eX38PMZv+9grNXjqVwsQnnp/D/+3N1rBbDIbT2L4+xO+gMx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tZWMckAAADfAAAADwAAAAAAAAAAAAAAAACYAgAA&#10;ZHJzL2Rvd25yZXYueG1sUEsFBgAAAAAEAAQA9QAAAI4DAAAAAA==&#10;" filled="f" stroked="f">
                  <v:textbox inset="0,0,0,0">
                    <w:txbxContent>
                      <w:p w14:paraId="77948125" w14:textId="77777777" w:rsidR="0014164F" w:rsidRDefault="0014164F" w:rsidP="00C232D7">
                        <w:r>
                          <w:rPr>
                            <w:rFonts w:ascii="Calibri" w:hAnsi="Calibri" w:cs="Calibri"/>
                            <w:color w:val="404040"/>
                            <w:sz w:val="18"/>
                          </w:rPr>
                          <w:t>%</w:t>
                        </w:r>
                      </w:p>
                    </w:txbxContent>
                  </v:textbox>
                </v:rect>
                <v:rect id="Rectangle 757447" o:spid="_x0000_s1514" style="position:absolute;left:28720;top:6988;width:269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zxBckA&#10;AADfAAAADwAAAGRycy9kb3ducmV2LnhtbESPQWvCQBSE74X+h+UVvNVNizUas4poix5bFaK3R/Y1&#10;Cc2+DdnVpP56Vyj0OMzMN0y66E0tLtS6yrKCl2EEgji3uuJCwWH/8TwB4TyyxtoyKfglB4v540OK&#10;ibYdf9Fl5wsRIOwSVFB63yRSurwkg25oG+LgfdvWoA+yLaRusQtwU8vXKBpLgxWHhRIbWpWU/+zO&#10;RsFm0iyPW3vtivr9tMk+s+l6P/VKDZ765QyEp97/h//aW60gfotHoxjuf8IXkP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dzxBckAAADfAAAADwAAAAAAAAAAAAAAAACYAgAA&#10;ZHJzL2Rvd25yZXYueG1sUEsFBgAAAAAEAAQA9QAAAI4DAAAAAA==&#10;" filled="f" stroked="f">
                  <v:textbox inset="0,0,0,0">
                    <w:txbxContent>
                      <w:p w14:paraId="776E72DB" w14:textId="77777777" w:rsidR="0014164F" w:rsidRDefault="0014164F" w:rsidP="00C232D7">
                        <w:r>
                          <w:rPr>
                            <w:rFonts w:ascii="Calibri" w:hAnsi="Calibri" w:cs="Calibri"/>
                            <w:color w:val="404040"/>
                            <w:sz w:val="18"/>
                          </w:rPr>
                          <w:t>0.23</w:t>
                        </w:r>
                      </w:p>
                    </w:txbxContent>
                  </v:textbox>
                </v:rect>
                <v:rect id="Rectangle 757448" o:spid="_x0000_s1515" style="position:absolute;left:30747;top:6988;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Nld8YA&#10;AADfAAAADwAAAGRycy9kb3ducmV2LnhtbERPy2rCQBTdF/yH4Qrd1YklrRodQ+gDXfoCdXfJXJPQ&#10;zJ2QmSZpv76zKLg8nPcqHUwtOmpdZVnBdBKBIM6trrhQcDp+Ps1BOI+ssbZMCn7IQboePaww0bbn&#10;PXUHX4gQwi5BBaX3TSKly0sy6Ca2IQ7czbYGfYBtIXWLfQg3tXyOoldpsOLQUGJDbyXlX4dvo2Az&#10;b7LL1v72Rf1x3Zx358X7ceGVehwP2RKEp8Hfxf/urVYwe5nFcRgc/oQv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Nld8YAAADfAAAADwAAAAAAAAAAAAAAAACYAgAAZHJz&#10;L2Rvd25yZXYueG1sUEsFBgAAAAAEAAQA9QAAAIsDAAAAAA==&#10;" filled="f" stroked="f">
                  <v:textbox inset="0,0,0,0">
                    <w:txbxContent>
                      <w:p w14:paraId="2369342D" w14:textId="77777777" w:rsidR="0014164F" w:rsidRDefault="0014164F" w:rsidP="00C232D7">
                        <w:r>
                          <w:rPr>
                            <w:rFonts w:ascii="Calibri" w:hAnsi="Calibri" w:cs="Calibri"/>
                            <w:color w:val="404040"/>
                            <w:sz w:val="18"/>
                          </w:rPr>
                          <w:t>%</w:t>
                        </w:r>
                      </w:p>
                    </w:txbxContent>
                  </v:textbox>
                </v:rect>
                <v:rect id="Rectangle 757449" o:spid="_x0000_s1516" style="position:absolute;left:28724;top:8686;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A7MgA&#10;AADfAAAADwAAAGRycy9kb3ducmV2LnhtbESPQWvCQBSE7wX/w/IEb3WjWDWpq4i26LFqwfb2yD6T&#10;YPZtyK4m9de7QsHjMDPfMLNFa0pxpdoVlhUM+hEI4tTqgjMF34fP1ykI55E1lpZJwR85WMw7LzNM&#10;tG14R9e9z0SAsEtQQe59lUjp0pwMur6tiIN3srVBH2SdSV1jE+CmlMMoGkuDBYeFHCta5ZSe9xej&#10;YDOtlj9be2uy8uN3c/w6xutD7JXqddvlOwhPrX+G/9tbrWDyNhmNYnj8CV9Az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D8DsyAAAAN8AAAAPAAAAAAAAAAAAAAAAAJgCAABk&#10;cnMvZG93bnJldi54bWxQSwUGAAAAAAQABAD1AAAAjQMAAAAA&#10;" filled="f" stroked="f">
                  <v:textbox inset="0,0,0,0">
                    <w:txbxContent>
                      <w:p w14:paraId="1B2558A0" w14:textId="77777777" w:rsidR="0014164F" w:rsidRDefault="0014164F" w:rsidP="00C232D7">
                        <w:r>
                          <w:rPr>
                            <w:rFonts w:ascii="Calibri" w:hAnsi="Calibri" w:cs="Calibri"/>
                            <w:color w:val="404040"/>
                            <w:sz w:val="18"/>
                          </w:rPr>
                          <w:t>1.70</w:t>
                        </w:r>
                      </w:p>
                    </w:txbxContent>
                  </v:textbox>
                </v:rect>
                <v:rect id="Rectangle 757450" o:spid="_x0000_s1517" style="position:absolute;left:30751;top:8686;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rMgA&#10;AADfAAAADwAAAGRycy9kb3ducmV2LnhtbESPzWrCQBSF90LfYbiF7nTS0tQYHUVaRZfWFKy7S+Y2&#10;Cc3cCZkxiT69syh0eTh/fIvVYGrRUesqywqeJxEI4tzqigsFX9l2nIBwHlljbZkUXMnBavkwWmCq&#10;bc+f1B19IcIIuxQVlN43qZQuL8mgm9iGOHg/tjXog2wLqVvsw7ip5UsUvUmDFYeHEht6Lyn/PV6M&#10;gl3SrL/39tYX9ea8Ox1Os49s5pV6ehzWcxCeBv8f/mvvtYJpPH2NA0HgCSw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7P+syAAAAN8AAAAPAAAAAAAAAAAAAAAAAJgCAABk&#10;cnMvZG93bnJldi54bWxQSwUGAAAAAAQABAD1AAAAjQMAAAAA&#10;" filled="f" stroked="f">
                  <v:textbox inset="0,0,0,0">
                    <w:txbxContent>
                      <w:p w14:paraId="76239772" w14:textId="77777777" w:rsidR="0014164F" w:rsidRDefault="0014164F" w:rsidP="00C232D7">
                        <w:r>
                          <w:rPr>
                            <w:rFonts w:ascii="Calibri" w:hAnsi="Calibri" w:cs="Calibri"/>
                            <w:color w:val="404040"/>
                            <w:sz w:val="18"/>
                          </w:rPr>
                          <w:t>%</w:t>
                        </w:r>
                      </w:p>
                    </w:txbxContent>
                  </v:textbox>
                </v:rect>
                <v:rect id="Rectangle 757437" o:spid="_x0000_s1518" style="position:absolute;left:37212;top:5675;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qCeMkA&#10;AADfAAAADwAAAGRycy9kb3ducmV2LnhtbESPT2vCQBTE74V+h+UVvNVNtTUaXUVsix79B+rtkX0m&#10;odm3Ibs1qZ/eFQoeh5n5DTOZtaYUF6pdYVnBWzcCQZxaXXCmYL/7fh2CcB5ZY2mZFPyRg9n0+WmC&#10;ibYNb+iy9ZkIEHYJKsi9rxIpXZqTQde1FXHwzrY26IOsM6lrbALclLIXRQNpsOCwkGNFi5zSn+2v&#10;UbAcVvPjyl6brPw6LQ/rw+hzN/JKdV7a+RiEp9Y/wv/tlVYQf8Tv/Rjuf8IXkN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dqCeMkAAADfAAAADwAAAAAAAAAAAAAAAACYAgAA&#10;ZHJzL2Rvd25yZXYueG1sUEsFBgAAAAAEAAQA9QAAAI4DAAAAAA==&#10;" filled="f" stroked="f">
                  <v:textbox inset="0,0,0,0">
                    <w:txbxContent>
                      <w:p w14:paraId="1E2F5F8E" w14:textId="77777777" w:rsidR="0014164F" w:rsidRDefault="0014164F" w:rsidP="00C232D7">
                        <w:r>
                          <w:rPr>
                            <w:rFonts w:ascii="Calibri" w:hAnsi="Calibri" w:cs="Calibri"/>
                            <w:color w:val="404040"/>
                            <w:sz w:val="18"/>
                          </w:rPr>
                          <w:t>%</w:t>
                        </w:r>
                      </w:p>
                    </w:txbxContent>
                  </v:textbox>
                </v:rect>
                <v:rect id="Rectangle 757436" o:spid="_x0000_s1519" style="position:absolute;left:35186;top:5675;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Yn48kA&#10;AADfAAAADwAAAGRycy9kb3ducmV2LnhtbESPT2vCQBTE74V+h+UVvNWN2vondRVRSzxaLdjeHtln&#10;Esy+Ddk1Sfvp3YLQ4zAzv2Hmy86UoqHaFZYVDPoRCOLU6oIzBZ/H9+cpCOeRNZaWScEPOVguHh/m&#10;GGvb8gc1B5+JAGEXo4Lc+yqW0qU5GXR9WxEH72xrgz7IOpO6xjbATSmHUTSWBgsOCzlWtM4pvRyu&#10;RkEyrVZfO/vbZuX2OzntT7PNceaV6j11qzcQnjr/H763d1rB5HXyMhrD35/wBeTiB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pYn48kAAADfAAAADwAAAAAAAAAAAAAAAACYAgAA&#10;ZHJzL2Rvd25yZXYueG1sUEsFBgAAAAAEAAQA9QAAAI4DAAAAAA==&#10;" filled="f" stroked="f">
                  <v:textbox inset="0,0,0,0">
                    <w:txbxContent>
                      <w:p w14:paraId="119BBF5B" w14:textId="77777777" w:rsidR="0014164F" w:rsidRDefault="0014164F" w:rsidP="00C232D7">
                        <w:r>
                          <w:rPr>
                            <w:rFonts w:ascii="Calibri" w:hAnsi="Calibri" w:cs="Calibri"/>
                            <w:color w:val="404040"/>
                            <w:sz w:val="18"/>
                          </w:rPr>
                          <w:t>0.02</w:t>
                        </w:r>
                      </w:p>
                    </w:txbxContent>
                  </v:textbox>
                </v:rect>
                <v:rect id="Rectangle 757439" o:spid="_x0000_s1520" style="position:absolute;left:41339;top:6181;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mzkckA&#10;AADfAAAADwAAAGRycy9kb3ducmV2LnhtbESPT2vCQBTE74V+h+UVvNVNa60mdRWpFT36D9TbI/ua&#10;hGbfhuxqop/eFYQeh5n5DTOatKYUZ6pdYVnBWzcCQZxaXXCmYLedvw5BOI+ssbRMCi7kYDJ+fhph&#10;om3DazpvfCYChF2CCnLvq0RKl+Zk0HVtRRy8X1sb9EHWmdQ1NgFuSvkeRZ/SYMFhIceKvnNK/zYn&#10;o2AxrKaHpb02WflzXOxX+3i2jb1SnZd2+gXCU+v/w4/2UisY9AcfvRjuf8IXkO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wmzkckAAADfAAAADwAAAAAAAAAAAAAAAACYAgAA&#10;ZHJzL2Rvd25yZXYueG1sUEsFBgAAAAAEAAQA9QAAAI4DAAAAAA==&#10;" filled="f" stroked="f">
                  <v:textbox inset="0,0,0,0">
                    <w:txbxContent>
                      <w:p w14:paraId="2C863129" w14:textId="77777777" w:rsidR="0014164F" w:rsidRDefault="0014164F" w:rsidP="00C232D7">
                        <w:r>
                          <w:rPr>
                            <w:rFonts w:ascii="Calibri" w:hAnsi="Calibri" w:cs="Calibri"/>
                            <w:color w:val="404040"/>
                            <w:sz w:val="18"/>
                          </w:rPr>
                          <w:t>%</w:t>
                        </w:r>
                      </w:p>
                    </w:txbxContent>
                  </v:textbox>
                </v:rect>
                <v:rect id="Rectangle 757438" o:spid="_x0000_s1521" style="position:absolute;left:39312;top:6181;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UWCsYA&#10;AADfAAAADwAAAGRycy9kb3ducmV2LnhtbERPy2rCQBTdF/oPwxXc1Ym1VhMdRWqLLusDortL5pqE&#10;Zu6EzGhSv95ZFLo8nPd82ZlK3KhxpWUFw0EEgjizuuRcwfHw9TIF4TyyxsoyKfglB8vF89McE21b&#10;3tFt73MRQtglqKDwvk6kdFlBBt3A1sSBu9jGoA+wyaVusA3hppKvUfQuDZYcGgqs6aOg7Gd/NQo2&#10;03p12tp7m1ef5036ncbrQ+yV6ve61QyEp87/i//cW61gMp68jcLg8Cd8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UWCsYAAADfAAAADwAAAAAAAAAAAAAAAACYAgAAZHJz&#10;L2Rvd25yZXYueG1sUEsFBgAAAAAEAAQA9QAAAIsDAAAAAA==&#10;" filled="f" stroked="f">
                  <v:textbox inset="0,0,0,0">
                    <w:txbxContent>
                      <w:p w14:paraId="54F44F04" w14:textId="77777777" w:rsidR="0014164F" w:rsidRDefault="0014164F" w:rsidP="00C232D7">
                        <w:r>
                          <w:rPr>
                            <w:rFonts w:ascii="Calibri" w:hAnsi="Calibri" w:cs="Calibri"/>
                            <w:color w:val="404040"/>
                            <w:sz w:val="18"/>
                          </w:rPr>
                          <w:t>0.00</w:t>
                        </w:r>
                      </w:p>
                    </w:txbxContent>
                  </v:textbox>
                </v:rect>
                <v:shape id="Shape 922230" o:spid="_x0000_s1522" style="position:absolute;left:47257;top:3157;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nqKMYA&#10;AADfAAAADwAAAGRycy9kb3ducmV2LnhtbESPy4rCMBSG94LvEM7A7DSdCup0jCKCzoAuvHTj7tAc&#10;22pzUpqMrW9vFoLLn//GN1t0phJ3alxpWcHXMAJBnFldcq4gPa0HUxDOI2usLJOCBzlYzPu9GSba&#10;tnyg+9HnIoywS1BB4X2dSOmyggy6oa2Jg3exjUEfZJNL3WAbxk0l4ygaS4Mlh4cCa1oVlN2O/0bB&#10;/pza30t63Z0m5229bk27Gblcqc+PbvkDwlPn3+FX+08r+I7jeBQIAk9g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nqKMYAAADfAAAADwAAAAAAAAAAAAAAAACYAgAAZHJz&#10;L2Rvd25yZXYueG1sUEsFBgAAAAAEAAQA9QAAAIsDAAAAAA==&#10;" path="m,l50292,r,50292l,50292,,e" fillcolor="#5b9bd5" stroked="f" strokeweight="0">
                  <v:path arrowok="t" textboxrect="0,0,50292,50292"/>
                </v:shape>
                <v:shape id="Shape 41039" o:spid="_x0000_s1523" style="position:absolute;left:47257;top:3157;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l7acgA&#10;AADeAAAADwAAAGRycy9kb3ducmV2LnhtbESP0WoCMRRE3wv+Q7iFvhTN2spiV6OIUGi1lKr9gOvm&#10;dje4udkmqbv+fVMQ+jjMzBlmvuxtI87kg3GsYDzKQBCXThuuFHwenodTECEia2wck4ILBVguBjdz&#10;LLTreEfnfaxEgnAoUEEdY1tIGcqaLIaRa4mT9+W8xZikr6T22CW4beRDluXSouG0UGNL65rK0/7H&#10;KvjY3Etv8rfLq5yY43se8s22+1bq7rZfzUBE6uN/+Np+0Qom4+zxCf7up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mXtpyAAAAN4AAAAPAAAAAAAAAAAAAAAAAJgCAABk&#10;cnMvZG93bnJldi54bWxQSwUGAAAAAAQABAD1AAAAjQMAAAAA&#10;" path="m,50292r50292,l50292,,,,,50292xe" filled="f" strokecolor="white" strokeweight="1.56pt">
                  <v:path arrowok="t" textboxrect="0,0,50292,50292"/>
                </v:shape>
                <v:rect id="Rectangle 41040" o:spid="_x0000_s1524" style="position:absolute;left:47981;top:2802;width:472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WjLsYA&#10;AADeAAAADwAAAGRycy9kb3ducmV2LnhtbESPzWrCQBSF9wXfYbiCu2ZikaKpo4hWzLKNQuzukrkm&#10;wcydkBlN7NN3FgWXh/PHt1wPphF36lxtWcE0ikEQF1bXXCo4HfevcxDOI2tsLJOCBzlYr0YvS0y0&#10;7fmb7pkvRRhhl6CCyvs2kdIVFRl0kW2Jg3exnUEfZFdK3WEfxk0j3+L4XRqsOTxU2NK2ouKa3YyC&#10;w7zdnFP725fN588h/8oXu+PCKzUZD5sPEJ4G/wz/t1OtYDaNZwEg4AQU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WjLsYAAADeAAAADwAAAAAAAAAAAAAAAACYAgAAZHJz&#10;L2Rvd25yZXYueG1sUEsFBgAAAAAEAAQA9QAAAIsDAAAAAA==&#10;" filled="f" stroked="f">
                  <v:textbox inset="0,0,0,0">
                    <w:txbxContent>
                      <w:p w14:paraId="746AD7CC" w14:textId="77777777" w:rsidR="0014164F" w:rsidRDefault="0014164F" w:rsidP="00C232D7">
                        <w:r>
                          <w:rPr>
                            <w:rFonts w:ascii="Arial" w:eastAsia="Arial" w:hAnsi="Arial" w:cs="Arial"/>
                            <w:color w:val="595959"/>
                            <w:sz w:val="16"/>
                          </w:rPr>
                          <w:t>Plastika</w:t>
                        </w:r>
                      </w:p>
                    </w:txbxContent>
                  </v:textbox>
                </v:rect>
                <v:shape id="Shape 922231" o:spid="_x0000_s1525" style="position:absolute;left:47257;top:5245;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NZiMgA&#10;AADfAAAADwAAAGRycy9kb3ducmV2LnhtbESPQWvCQBSE7wX/w/KE3urGLUiNriIpBUEQmlbE2zP7&#10;TILZtyG7avTXdwuFHoeZ+YaZL3vbiCt1vnasYTxKQBAXztRcavj++nh5A+EDssHGMWm4k4flYvA0&#10;x9S4G3/SNQ+liBD2KWqoQmhTKX1RkUU/ci1x9E6usxii7EppOrxFuG2kSpKJtFhzXKiwpayi4pxf&#10;rIbskh2m7sHvu816uzmqfO8nD9b6edivZiAC9eE//NdeGw1TpdTrGH7/xC8gF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A1mIyAAAAN8AAAAPAAAAAAAAAAAAAAAAAJgCAABk&#10;cnMvZG93bnJldi54bWxQSwUGAAAAAAQABAD1AAAAjQMAAAAA&#10;" path="m,l50292,r,50292l,50292,,e" fillcolor="#ed7d31" stroked="f" strokeweight="0">
                  <v:path arrowok="t" textboxrect="0,0,50292,50292"/>
                </v:shape>
                <v:shape id="Shape 41042" o:spid="_x0000_s1526" style="position:absolute;left:47257;top:5245;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uaZccA&#10;AADeAAAADwAAAGRycy9kb3ducmV2LnhtbESPUUvDMBSF3wX/Q7iCL+LSjVKkW1pEEHQOmXU/4Npc&#10;22BzU5O4dv9+EQQfD+ec73A29WwHcSQfjGMFy0UGgrh12nCn4PD+eHsHIkRkjYNjUnCiAHV1ebHB&#10;UruJ3+jYxE4kCIcSFfQxjqWUoe3JYli4kTh5n85bjEn6TmqPU4LbQa6yrJAWDaeFHkd66Kn9an6s&#10;gv32RnpT7E7PMjcfr0Uoti/Tt1LXV/P9GkSkOf6H/9pPWkG+zPIV/N5JV0BWZ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M7mmXHAAAA3gAAAA8AAAAAAAAAAAAAAAAAmAIAAGRy&#10;cy9kb3ducmV2LnhtbFBLBQYAAAAABAAEAPUAAACMAwAAAAA=&#10;" path="m,50292r50292,l50292,,,,,50292xe" filled="f" strokecolor="white" strokeweight="1.56pt">
                  <v:path arrowok="t" textboxrect="0,0,50292,50292"/>
                </v:shape>
                <v:rect id="Rectangle 41043" o:spid="_x0000_s1527" style="position:absolute;left:47981;top:4889;width:3690;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c9WccA&#10;AADeAAAADwAAAGRycy9kb3ducmV2LnhtbESPS4vCQBCE78L+h6EXvOnEB6LRUWRV9Ohjwd1bk2mT&#10;sJmekBlN9Nc7grDHoqq+omaLxhTiRpXLLSvodSMQxInVOacKvk+bzhiE88gaC8uk4E4OFvOP1gxj&#10;bWs+0O3oUxEg7GJUkHlfxlK6JCODrmtL4uBdbGXQB1mlUldYB7gpZD+KRtJgzmEhw5K+Mkr+jlej&#10;YDsulz87+6jTYv27Pe/Pk9Vp4pVqfzbLKQhPjf8Pv9s7rWDYi4YD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yXPVnHAAAA3gAAAA8AAAAAAAAAAAAAAAAAmAIAAGRy&#10;cy9kb3ducmV2LnhtbFBLBQYAAAAABAAEAPUAAACMAwAAAAA=&#10;" filled="f" stroked="f">
                  <v:textbox inset="0,0,0,0">
                    <w:txbxContent>
                      <w:p w14:paraId="241F7D43" w14:textId="77777777" w:rsidR="0014164F" w:rsidRDefault="0014164F" w:rsidP="00C232D7">
                        <w:r>
                          <w:rPr>
                            <w:rFonts w:ascii="Arial" w:eastAsia="Arial" w:hAnsi="Arial" w:cs="Arial"/>
                            <w:color w:val="595959"/>
                            <w:sz w:val="16"/>
                          </w:rPr>
                          <w:t>Guma</w:t>
                        </w:r>
                      </w:p>
                    </w:txbxContent>
                  </v:textbox>
                </v:rect>
                <v:shape id="Shape 922232" o:spid="_x0000_s1528" style="position:absolute;left:47257;top:7317;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zWcscA&#10;AADfAAAADwAAAGRycy9kb3ducmV2LnhtbESPQWvCQBSE7wX/w/IEb3XjCqLRVcRSEITSagSPz+wz&#10;CWbfhuyq6b93CwWPw8x8wyxWna3FnVpfOdYwGiYgiHNnKi40ZIfP9ykIH5AN1o5Jwy95WC17bwtM&#10;jXvwD933oRARwj5FDWUITSqlz0uy6IeuIY7exbUWQ5RtIU2Ljwi3tVRJMpEWK44LJTa0KSm/7m9W&#10;wzU7fo9P1fZD1udpdjTn2y5PvrQe9Lv1HESgLrzC/+2t0TBTSo0V/P2JX0Au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8M1nLHAAAA3wAAAA8AAAAAAAAAAAAAAAAAmAIAAGRy&#10;cy9kb3ducmV2LnhtbFBLBQYAAAAABAAEAPUAAACMAwAAAAA=&#10;" path="m,l50292,r,51816l,51816,,e" fillcolor="#a5a5a5" stroked="f" strokeweight="0">
                  <v:path arrowok="t" textboxrect="0,0,50292,51816"/>
                </v:shape>
                <v:shape id="Shape 41045" o:spid="_x0000_s1529" style="position:absolute;left:47257;top:7317;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Wwb8QA&#10;AADeAAAADwAAAGRycy9kb3ducmV2LnhtbESP0WoCMRRE3wv+Q7iCbzVrsWVZjSJaxeKLrn7AZXPd&#10;LG5ulk3U9O+bQqGPw8ycYebLaFvxoN43jhVMxhkI4srphmsFl/P2NQfhA7LG1jEp+CYPy8XgZY6F&#10;dk8+0aMMtUgQ9gUqMCF0hZS+MmTRj11HnLyr6y2GJPta6h6fCW5b+ZZlH9Jiw2nBYEdrQ9WtvFsF&#10;+5jL46opD5udR4OfeTx8YVRqNIyrGYhAMfyH/9p7rWA6yabv8HsnX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VsG/EAAAA3gAAAA8AAAAAAAAAAAAAAAAAmAIAAGRycy9k&#10;b3ducmV2LnhtbFBLBQYAAAAABAAEAPUAAACJAwAAAAA=&#10;" path="m,51816r50292,l50292,,,,,51816xe" filled="f" strokecolor="white" strokeweight="1.56pt">
                  <v:path arrowok="t" textboxrect="0,0,50292,51816"/>
                </v:shape>
                <v:rect id="Rectangle 41046" o:spid="_x0000_s1530" style="position:absolute;left:47981;top:7158;width:4282;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CewccA&#10;AADeAAAADwAAAGRycy9kb3ducmV2LnhtbESPQWvCQBSE70L/w/IEb7pJkaDRVUJbMcdWC+rtkX0m&#10;wezbkN2atL++WxB6HGbmG2a9HUwj7tS52rKCeBaBIC6srrlU8HncTRcgnEfW2FgmBd/kYLt5Gq0x&#10;1bbnD7offCkChF2KCirv21RKV1Rk0M1sSxy8q+0M+iC7UuoO+wA3jXyOokQarDksVNjSS0XF7fBl&#10;FOwXbXbO7U9fNm+X/en9tHw9Lr1Sk/GQrUB4Gvx/+NHOtYJ5HM0T+LsTro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zgnsHHAAAA3gAAAA8AAAAAAAAAAAAAAAAAmAIAAGRy&#10;cy9kb3ducmV2LnhtbFBLBQYAAAAABAAEAPUAAACMAwAAAAA=&#10;" filled="f" stroked="f">
                  <v:textbox inset="0,0,0,0">
                    <w:txbxContent>
                      <w:p w14:paraId="33257E96" w14:textId="77777777" w:rsidR="0014164F" w:rsidRDefault="0014164F" w:rsidP="00C232D7">
                        <w:r>
                          <w:rPr>
                            <w:rFonts w:ascii="Arial" w:eastAsia="Arial" w:hAnsi="Arial" w:cs="Arial"/>
                            <w:color w:val="595959"/>
                            <w:sz w:val="16"/>
                          </w:rPr>
                          <w:t>Odjeća</w:t>
                        </w:r>
                      </w:p>
                    </w:txbxContent>
                  </v:textbox>
                </v:rect>
                <v:shape id="Shape 922233" o:spid="_x0000_s1531" style="position:absolute;left:47257;top:9405;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d4f8cA&#10;AADfAAAADwAAAGRycy9kb3ducmV2LnhtbESPQWvCQBSE74X+h+UVvNWNEYuNrlKkYsFD1RS8PrLP&#10;JJh9G7Jr3Prr3ULB4zAz3zDzZTCN6KlztWUFo2ECgriwuuZSwU++fp2CcB5ZY2OZFPySg+Xi+WmO&#10;mbZX3lN/8KWIEHYZKqi8bzMpXVGRQTe0LXH0TrYz6KPsSqk7vEa4aWSaJG/SYM1xocKWVhUV58PF&#10;KNjx8Zw3n9/bzSrsbn3eh0nZBqUGL+FjBsJT8I/wf/tLK3hP03Q8hr8/8QvI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3eH/HAAAA3wAAAA8AAAAAAAAAAAAAAAAAmAIAAGRy&#10;cy9kb3ducmV2LnhtbFBLBQYAAAAABAAEAPUAAACMAwAAAAA=&#10;" path="m,l50292,r,51816l,51816,,e" fillcolor="#ffc000" stroked="f" strokeweight="0">
                  <v:path arrowok="t" textboxrect="0,0,50292,51816"/>
                </v:shape>
                <v:shape id="Shape 41048" o:spid="_x0000_s1532" style="position:absolute;left:47257;top:9405;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Qf8cIA&#10;AADeAAAADwAAAGRycy9kb3ducmV2LnhtbERPS2rDMBDdF3IHMYHuGjnFFONGCaH54JJN4+QAgzW1&#10;TK2RsVRbvX21KHT5eP/NLtpeTDT6zrGC9SoDQdw43XGr4H47PRUgfEDW2DsmBT/kYbddPGyw1G7m&#10;K011aEUKYV+iAhPCUErpG0MW/coNxIn7dKPFkODYSj3inMJtL5+z7EVa7Dg1GBzozVDzVX9bBVUs&#10;5Me+qy+Hs0eDxyJe3jEq9biM+1cQgWL4F/+5K60gX2d52pvupCs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VB/xwgAAAN4AAAAPAAAAAAAAAAAAAAAAAJgCAABkcnMvZG93&#10;bnJldi54bWxQSwUGAAAAAAQABAD1AAAAhwMAAAAA&#10;" path="m,51816r50292,l50292,,,,,51816xe" filled="f" strokecolor="white" strokeweight="1.56pt">
                  <v:path arrowok="t" textboxrect="0,0,50292,51816"/>
                </v:shape>
                <v:rect id="Rectangle 41049" o:spid="_x0000_s1533" style="position:absolute;left:47981;top:9061;width:7277;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8Ks8cA&#10;AADeAAAADwAAAGRycy9kb3ducmV2LnhtbESPQWvCQBSE7wX/w/KE3uomJYhJXUPQih5bLdjeHtln&#10;Esy+DdnVpP76bqHQ4zAz3zDLfDStuFHvGssK4lkEgri0uuFKwcdx+7QA4TyyxtYyKfgmB/lq8rDE&#10;TNuB3+l28JUIEHYZKqi97zIpXVmTQTezHXHwzrY36IPsK6l7HALctPI5iubSYMNhocaO1jWVl8PV&#10;KNgtuuJzb+9D1b5+7U5vp3RzTL1Sj9OxeAHhafT/4b/2XitI4ihJ4f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1/CrPHAAAA3gAAAA8AAAAAAAAAAAAAAAAAmAIAAGRy&#10;cy9kb3ducmV2LnhtbFBLBQYAAAAABAAEAPUAAACMAwAAAAA=&#10;" filled="f" stroked="f">
                  <v:textbox inset="0,0,0,0">
                    <w:txbxContent>
                      <w:p w14:paraId="0EFF537E" w14:textId="77777777" w:rsidR="0014164F" w:rsidRDefault="0014164F" w:rsidP="00C232D7">
                        <w:r>
                          <w:rPr>
                            <w:rFonts w:ascii="Arial" w:eastAsia="Arial" w:hAnsi="Arial" w:cs="Arial"/>
                            <w:color w:val="595959"/>
                            <w:sz w:val="16"/>
                          </w:rPr>
                          <w:t>Papir/karton</w:t>
                        </w:r>
                      </w:p>
                    </w:txbxContent>
                  </v:textbox>
                </v:rect>
                <v:shape id="Shape 922234" o:spid="_x0000_s1534" style="position:absolute;left:47257;top:11493;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O8RsYA&#10;AADfAAAADwAAAGRycy9kb3ducmV2LnhtbESPT2sCMRTE74V+h/AKvdVsoy11a5TiUvFW/EPPj83r&#10;ZunmZUmirt/eCILHYWZ+w8wWg+vEkUJsPWt4HRUgiGtvWm407HffLx8gYkI22HkmDWeKsJg/Psyw&#10;NP7EGzpuUyMyhGOJGmxKfSllrC05jCPfE2fvzweHKcvQSBPwlOGuk6oo3qXDlvOCxZ6Wlur/7cFp&#10;aMJhulJ+F95+qom0pnLnffWr9fPT8PUJItGQ7uFbe200TJVS4wlc/+Qv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O8RsYAAADfAAAADwAAAAAAAAAAAAAAAACYAgAAZHJz&#10;L2Rvd25yZXYueG1sUEsFBgAAAAAEAAQA9QAAAIsDAAAAAA==&#10;" path="m,l50292,r,51816l,51816,,e" fillcolor="#4472c4" stroked="f" strokeweight="0">
                  <v:path arrowok="t" textboxrect="0,0,50292,51816"/>
                </v:shape>
                <v:shape id="Shape 41051" o:spid="_x0000_s1535" style="position:absolute;left:47257;top:11493;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cgscQA&#10;AADeAAAADwAAAGRycy9kb3ducmV2LnhtbESPUWvCMBSF3wf+h3CFvc204kapRhGdw+HLVv0Bl+ba&#10;FJub0mQa/70ZDPZ4OOd8h7NYRduJKw2+dawgn2QgiGunW24UnI67lwKED8gaO8ek4E4eVsvR0wJL&#10;7W78TdcqNCJB2JeowITQl1L62pBFP3E9cfLObrAYkhwaqQe8Jbjt5DTL3qTFltOCwZ42hupL9WMV&#10;7GMhv9Ztddh+eDT4XsTDJ0alnsdxPQcRKIb/8F97rxXM8uw1h9876Qr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3ILHEAAAA3gAAAA8AAAAAAAAAAAAAAAAAmAIAAGRycy9k&#10;b3ducmV2LnhtbFBLBQYAAAAABAAEAPUAAACJAwAAAAA=&#10;" path="m,51816r50292,l50292,,,,,51816xe" filled="f" strokecolor="white" strokeweight="1.56pt">
                  <v:path arrowok="t" textboxrect="0,0,50292,51816"/>
                </v:shape>
                <v:rect id="Rectangle 41052" o:spid="_x0000_s1536" style="position:absolute;left:47981;top:11330;width:9019;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IOH8YA&#10;AADeAAAADwAAAGRycy9kb3ducmV2LnhtbESPT4vCMBTE74LfITzBm6aKLlqNIu4uelz/gHp7NM+2&#10;2LyUJmurn94sLHgcZuY3zHzZmELcqXK5ZQWDfgSCOLE651TB8fDdm4BwHlljYZkUPMjBctFuzTHW&#10;tuYd3fc+FQHCLkYFmfdlLKVLMjLo+rYkDt7VVgZ9kFUqdYV1gJtCDqPoQxrMOSxkWNI6o+S2/zUK&#10;NpNydd7aZ50WX5fN6ec0/TxMvVLdTrOagfDU+Hf4v73VCkaDaDyEvzvhCsjF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IOH8YAAADeAAAADwAAAAAAAAAAAAAAAACYAgAAZHJz&#10;L2Rvd25yZXYueG1sUEsFBgAAAAAEAAQA9QAAAIsDAAAAAA==&#10;" filled="f" stroked="f">
                  <v:textbox inset="0,0,0,0">
                    <w:txbxContent>
                      <w:p w14:paraId="5A38CBBD" w14:textId="77777777" w:rsidR="0014164F" w:rsidRDefault="0014164F" w:rsidP="00C232D7">
                        <w:r>
                          <w:rPr>
                            <w:rFonts w:ascii="Arial" w:eastAsia="Arial" w:hAnsi="Arial" w:cs="Arial"/>
                            <w:color w:val="595959"/>
                            <w:sz w:val="16"/>
                          </w:rPr>
                          <w:t>Obrađeno drvo</w:t>
                        </w:r>
                      </w:p>
                    </w:txbxContent>
                  </v:textbox>
                </v:rect>
                <v:shape id="Shape 922235" o:spid="_x0000_s1537" style="position:absolute;left:47257;top:13581;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XCE8cA&#10;AADfAAAADwAAAGRycy9kb3ducmV2LnhtbESPQWsCMRSE74X+h/AKvdVsU9S6GkVKFelNqwdvj81z&#10;d+nmZU2iu/57Uyj0OMzMN8xs0dtGXMmH2rGG10EGgrhwpuZSw/579fIOIkRkg41j0nCjAIv548MM&#10;c+M63tJ1F0uRIBxy1FDF2OZShqIii2HgWuLknZy3GJP0pTQeuwS3jVRZNpIWa04LFbb0UVHxs7tY&#10;DZv1+XN/nGCnVgdbj7/WdtR5pfXzU7+cgojUx//wX3tjNEyUUm9D+P2TvoC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lwhPHAAAA3wAAAA8AAAAAAAAAAAAAAAAAmAIAAGRy&#10;cy9kb3ducmV2LnhtbFBLBQYAAAAABAAEAPUAAACMAwAAAAA=&#10;" path="m,l50292,r,51816l,51816,,e" fillcolor="#70ad47" stroked="f" strokeweight="0">
                  <v:path arrowok="t" textboxrect="0,0,50292,51816"/>
                </v:shape>
                <v:shape id="Shape 41054" o:spid="_x0000_s1538" style="position:absolute;left:47257;top:13581;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CDKcQA&#10;AADeAAAADwAAAGRycy9kb3ducmV2LnhtbESP0WoCMRRE3wv+Q7iCbzVrsWVZjSJaxeKLrn7AZXPd&#10;LG5ulk3U9O+bQqGPw8ycYebLaFvxoN43jhVMxhkI4srphmsFl/P2NQfhA7LG1jEp+CYPy8XgZY6F&#10;dk8+0aMMtUgQ9gUqMCF0hZS+MmTRj11HnLyr6y2GJPta6h6fCW5b+ZZlH9Jiw2nBYEdrQ9WtvFsF&#10;+5jL46opD5udR4OfeTx8YVRqNIyrGYhAMfyH/9p7rWA6yd6n8HsnX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AgynEAAAA3gAAAA8AAAAAAAAAAAAAAAAAmAIAAGRycy9k&#10;b3ducmV2LnhtbFBLBQYAAAAABAAEAPUAAACJAwAAAAA=&#10;" path="m,51816r50292,l50292,,,,,51816xe" filled="f" strokecolor="white" strokeweight="1.56pt">
                  <v:path arrowok="t" textboxrect="0,0,50292,51816"/>
                </v:shape>
                <v:rect id="Rectangle 41055" o:spid="_x0000_s1539" style="position:absolute;left:47981;top:13237;width:330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uWa8YA&#10;AADeAAAADwAAAGRycy9kb3ducmV2LnhtbESPT4vCMBTE78J+h/AWvGmqqGg1iqyKHv2z4O7t0Tzb&#10;ss1LaaKtfnojCHscZuY3zGzRmELcqHK5ZQW9bgSCOLE651TB92nTGYNwHlljYZkU3MnBYv7RmmGs&#10;bc0Huh19KgKEXYwKMu/LWEqXZGTQdW1JHLyLrQz6IKtU6grrADeF7EfRSBrMOSxkWNJXRsnf8WoU&#10;bMfl8mdnH3VarH+35/15sjpNvFLtz2Y5BeGp8f/hd3unFQx60XAIrzvhCsj5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uWa8YAAADeAAAADwAAAAAAAAAAAAAAAACYAgAAZHJz&#10;L2Rvd25yZXYueG1sUEsFBgAAAAAEAAQA9QAAAIsDAAAAAA==&#10;" filled="f" stroked="f">
                  <v:textbox inset="0,0,0,0">
                    <w:txbxContent>
                      <w:p w14:paraId="512A071E" w14:textId="77777777" w:rsidR="0014164F" w:rsidRDefault="0014164F" w:rsidP="00C232D7">
                        <w:r>
                          <w:rPr>
                            <w:rFonts w:ascii="Arial" w:eastAsia="Arial" w:hAnsi="Arial" w:cs="Arial"/>
                            <w:color w:val="595959"/>
                            <w:sz w:val="16"/>
                          </w:rPr>
                          <w:t>Metal</w:t>
                        </w:r>
                      </w:p>
                    </w:txbxContent>
                  </v:textbox>
                </v:rect>
                <v:shape id="Shape 922236" o:spid="_x0000_s1540" style="position:absolute;left:47257;top:1566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9KMMUA&#10;AADfAAAADwAAAGRycy9kb3ducmV2LnhtbESPQUsDMRSE70L/Q3gFbzbbKGvdNi1Fqnjx4Grvj81z&#10;E7p5WZLYrv/eCILHYWa+YTa7yQ/iTDG5wBqWiwoEcReM417Dx/vTzQpEysgGh8Ck4ZsS7Lazqw02&#10;Jlz4jc5t7kWBcGpQg815bKRMnSWPaRFG4uJ9hugxFxl7aSJeCtwPUlVVLT06LgsWR3q01J3aL6/B&#10;mejunm17z6N7Vfv6eJAnd9D6ej7t1yAyTfk//Nd+MRoelFK3Nfz+KV9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70owxQAAAN8AAAAPAAAAAAAAAAAAAAAAAJgCAABkcnMv&#10;ZG93bnJldi54bWxQSwUGAAAAAAQABAD1AAAAigMAAAAA&#10;" path="m,l50292,r,51816l,51816,,e" fillcolor="#255e91" stroked="f" strokeweight="0">
                  <v:path arrowok="t" textboxrect="0,0,50292,51816"/>
                </v:shape>
                <v:shape id="Shape 41057" o:spid="_x0000_s1541" style="position:absolute;left:47257;top:1566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IdXsUA&#10;AADeAAAADwAAAGRycy9kb3ducmV2LnhtbESP0WoCMRRE34X+Q7iFvmlWaXVZjSK2FcUXu/UDLpvb&#10;zdLNzbJJNf59Iwg+DjNzhlmsom3FmXrfOFYwHmUgiCunG64VnL4/hzkIH5A1to5JwZU8rJZPgwUW&#10;2l34i85lqEWCsC9QgQmhK6T0lSGLfuQ64uT9uN5iSLKvpe7xkuC2lZMsm0qLDacFgx1tDFW/5Z9V&#10;sIu5PK6b8vC+9WjwI4+HPUalXp7jeg4iUAyP8L290wpex9nbDG530hW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Eh1exQAAAN4AAAAPAAAAAAAAAAAAAAAAAJgCAABkcnMv&#10;ZG93bnJldi54bWxQSwUGAAAAAAQABAD1AAAAigMAAAAA&#10;" path="m,51816r50292,l50292,,,,,51816xe" filled="f" strokecolor="white" strokeweight="1.56pt">
                  <v:path arrowok="t" textboxrect="0,0,50292,51816"/>
                </v:shape>
                <v:rect id="Rectangle 41058" o:spid="_x0000_s1542" style="position:absolute;left:47981;top:15325;width:3753;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59cUA&#10;AADeAAAADwAAAGRycy9kb3ducmV2LnhtbERPTWvCQBC9F/oflin0VjeRtmh0DVJbkqNGQb0N2TEJ&#10;zc6G7Nak/fXuoeDx8b6X6WhacaXeNZYVxJMIBHFpdcOVgsP+62UGwnlkja1lUvBLDtLV48MSE20H&#10;3tG18JUIIewSVFB73yVSurImg25iO+LAXWxv0AfYV1L3OIRw08ppFL1Lgw2Hhho7+qip/C5+jIJs&#10;1q1Puf0bqvbznB23x/lmP/dKPT+N6wUIT6O/i//duVbwGkdvYW+4E6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6jn1xQAAAN4AAAAPAAAAAAAAAAAAAAAAAJgCAABkcnMv&#10;ZG93bnJldi54bWxQSwUGAAAAAAQABAD1AAAAigMAAAAA&#10;" filled="f" stroked="f">
                  <v:textbox inset="0,0,0,0">
                    <w:txbxContent>
                      <w:p w14:paraId="7DBC1AD0" w14:textId="77777777" w:rsidR="0014164F" w:rsidRDefault="0014164F" w:rsidP="00C232D7">
                        <w:r>
                          <w:rPr>
                            <w:rFonts w:ascii="Arial" w:eastAsia="Arial" w:hAnsi="Arial" w:cs="Arial"/>
                            <w:color w:val="595959"/>
                            <w:sz w:val="16"/>
                          </w:rPr>
                          <w:t>Staklo</w:t>
                        </w:r>
                      </w:p>
                    </w:txbxContent>
                  </v:textbox>
                </v:rect>
                <v:shape id="Shape 922237" o:spid="_x0000_s1543" style="position:absolute;left:47257;top:17757;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KlDcYA&#10;AADfAAAADwAAAGRycy9kb3ducmV2LnhtbESP3WoCMRSE7wu+QziCdzVrhP6sRhFtoV6U2m0f4JAc&#10;N4ubk2WT6vbtjVDo5TAz3zDL9eBbcaY+NoE1zKYFCGITbMO1hu+v1/snEDEhW2wDk4ZfirBeje6W&#10;WNpw4U86V6kWGcKxRA0upa6UMhpHHuM0dMTZO4beY8qyr6Xt8ZLhvpWqKB6kx4bzgsOOto7Mqfrx&#10;Go5GBbOnA+/de/US7e5DpYPUejIeNgsQiYb0H/5rv1kNz0qp+SPc/uQv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KlDcYAAADfAAAADwAAAAAAAAAAAAAAAACYAgAAZHJz&#10;L2Rvd25yZXYueG1sUEsFBgAAAAAEAAQA9QAAAIsDAAAAAA==&#10;" path="m,l50292,r,51816l,51816,,e" fillcolor="#9e480e" stroked="f" strokeweight="0">
                  <v:path arrowok="t" textboxrect="0,0,50292,51816"/>
                </v:shape>
                <v:shape id="Shape 41060" o:spid="_x0000_s1544" style="position:absolute;left:47257;top:17757;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dPl8IA&#10;AADeAAAADwAAAGRycy9kb3ducmV2LnhtbESPy4rCMBSG9wO+QziCuzFVRErHKDJecHCj1Qc4NGea&#10;Ms1JaaLGtzeLAZc//41vsYq2FXfqfeNYwWScgSCunG64VnC97D5zED4ga2wdk4IneVgtBx8LLLR7&#10;8JnuZahFGmFfoAITQldI6StDFv3YdcTJ+3W9xZBkX0vd4yON21ZOs2wuLTacHgx29G2o+itvVsEh&#10;5vK0bsrjZu/R4DaPxx+MSo2Gcf0FIlAM7/B/+6AVzCbZPAEknIQC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l0+XwgAAAN4AAAAPAAAAAAAAAAAAAAAAAJgCAABkcnMvZG93&#10;bnJldi54bWxQSwUGAAAAAAQABAD1AAAAhwMAAAAA&#10;" path="m,51816r50292,l50292,,,,,51816xe" filled="f" strokecolor="white" strokeweight="1.56pt">
                  <v:path arrowok="t" textboxrect="0,0,50292,51816"/>
                </v:shape>
                <v:rect id="Rectangle 41061" o:spid="_x0000_s1545" style="position:absolute;left:47981;top:17413;width:571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xa1cYA&#10;AADeAAAADwAAAGRycy9kb3ducmV2LnhtbESPT4vCMBTE74LfITzBm6YVEa1GEf+gx10V1NujebbF&#10;5qU00Xb3028WFvY4zMxvmMWqNaV4U+0KywriYQSCOLW64EzB5bwfTEE4j6yxtEwKvsjBatntLDDR&#10;tuFPep98JgKEXYIKcu+rREqX5mTQDW1FHLyHrQ36IOtM6hqbADelHEXRRBosOCzkWNEmp/R5ehkF&#10;h2m1vh3td5OVu/vh+nGdbc8zr1S/167nIDy1/j/81z5qBeM4msTweydcAb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xa1cYAAADeAAAADwAAAAAAAAAAAAAAAACYAgAAZHJz&#10;L2Rvd25yZXYueG1sUEsFBgAAAAAEAAQA9QAAAIsDAAAAAA==&#10;" filled="f" stroked="f">
                  <v:textbox inset="0,0,0,0">
                    <w:txbxContent>
                      <w:p w14:paraId="03F0972E" w14:textId="77777777" w:rsidR="0014164F" w:rsidRDefault="0014164F" w:rsidP="00C232D7">
                        <w:r>
                          <w:rPr>
                            <w:rFonts w:ascii="Arial" w:eastAsia="Arial" w:hAnsi="Arial" w:cs="Arial"/>
                            <w:color w:val="595959"/>
                            <w:sz w:val="16"/>
                          </w:rPr>
                          <w:t>Keramika</w:t>
                        </w:r>
                      </w:p>
                    </w:txbxContent>
                  </v:textbox>
                </v:rect>
                <v:shape id="Shape 922238" o:spid="_x0000_s1546" style="position:absolute;left:47257;top:19845;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G9cMA&#10;AADfAAAADwAAAGRycy9kb3ducmV2LnhtbERP3WrCMBS+F/YO4Qx2p+kqiFajOGFMcF5UfYBjc0yL&#10;zUnXRI1vv1wMdvnx/S9W0bbiTr1vHCt4H2UgiCunGzYKTsfP4RSED8gaW8ek4EkeVsuXwQIL7R5c&#10;0v0QjEgh7AtUUIfQFVL6qiaLfuQ64sRdXG8xJNgbqXt8pHDbyjzLJtJiw6mhxo42NVXXw80q2OBu&#10;d/m6mR/+OE++Y2nL/dhEpd5e43oOIlAM/+I/91YrmOV5Pk6D05/0Be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gG9cMAAADfAAAADwAAAAAAAAAAAAAAAACYAgAAZHJzL2Rv&#10;d25yZXYueG1sUEsFBgAAAAAEAAQA9QAAAIgDAAAAAA==&#10;" path="m,l50292,r,51816l,51816,,e" fillcolor="#636363" stroked="f" strokeweight="0">
                  <v:path arrowok="t" textboxrect="0,0,50292,51816"/>
                </v:shape>
                <v:shape id="Shape 41063" o:spid="_x0000_s1547" style="position:absolute;left:47257;top:19845;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XR4MQA&#10;AADeAAAADwAAAGRycy9kb3ducmV2LnhtbESP0WoCMRRE34X+Q7gF3zSrFlm2RhG1xeKLrv2Ay+a6&#10;WdzcLJtU079vCoKPw8ycYRaraFtxo943jhVMxhkI4srphmsF3+ePUQ7CB2SNrWNS8EseVsuXwQIL&#10;7e58olsZapEg7AtUYELoCil9ZciiH7uOOHkX11sMSfa11D3eE9y2cpplc2mx4bRgsKONoepa/lgF&#10;+5jL47opD9tPjwZ3eTx8YVRq+BrX7yACxfAMP9p7reBtks1n8H8nX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F0eDEAAAA3gAAAA8AAAAAAAAAAAAAAAAAmAIAAGRycy9k&#10;b3ducmV2LnhtbFBLBQYAAAAABAAEAPUAAACJAwAAAAA=&#10;" path="m,51816r50292,l50292,,,,,51816xe" filled="f" strokecolor="white" strokeweight="1.56pt">
                  <v:path arrowok="t" textboxrect="0,0,50292,51816"/>
                </v:shape>
                <v:rect id="Rectangle 41064" o:spid="_x0000_s1548" style="position:absolute;left:47981;top:19498;width:9080;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5TccA&#10;AADeAAAADwAAAGRycy9kb3ducmV2LnhtbESPQWvCQBSE70L/w/IEb7pJkaDRVUJbMcdWC+rtkX0m&#10;wezbkN2atL++WxB6HGbmG2a9HUwj7tS52rKCeBaBIC6srrlU8HncTRcgnEfW2FgmBd/kYLt5Gq0x&#10;1bbnD7offCkChF2KCirv21RKV1Rk0M1sSxy8q+0M+iC7UuoO+wA3jXyOokQarDksVNjSS0XF7fBl&#10;FOwXbXbO7U9fNm+X/en9tHw9Lr1Sk/GQrUB4Gvx/+NHOtYJ5HCVz+LsTroD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L+U3HAAAA3gAAAA8AAAAAAAAAAAAAAAAAmAIAAGRy&#10;cy9kb3ducmV2LnhtbFBLBQYAAAAABAAEAPUAAACMAwAAAAA=&#10;" filled="f" stroked="f">
                  <v:textbox inset="0,0,0,0">
                    <w:txbxContent>
                      <w:p w14:paraId="3CB60C7F" w14:textId="77777777" w:rsidR="0014164F" w:rsidRDefault="0014164F" w:rsidP="00C232D7">
                        <w:r>
                          <w:rPr>
                            <w:rFonts w:ascii="Arial" w:eastAsia="Arial" w:hAnsi="Arial" w:cs="Arial"/>
                            <w:color w:val="595959"/>
                            <w:sz w:val="16"/>
                          </w:rPr>
                          <w:t>Sanitarni otpad</w:t>
                        </w:r>
                      </w:p>
                    </w:txbxContent>
                  </v:textbox>
                </v:rect>
                <v:shape id="Shape 922239" o:spid="_x0000_s1549" style="position:absolute;left:47257;top:21932;width:503;height:519;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4IYMcA&#10;AADfAAAADwAAAGRycy9kb3ducmV2LnhtbESPT2vCQBTE74V+h+UJXopuTEvR6BqKENuTpVbI9ZF9&#10;JsHs25Dd/Om37xaEHoeZ+Q2zSyfTiIE6V1tWsFpGIIgLq2suFVy+s8UahPPIGhvLpOCHHKT7x4cd&#10;JtqO/EXD2ZciQNglqKDyvk2kdEVFBt3StsTBu9rOoA+yK6XucAxw08g4il6lwZrDQoUtHSoqbufe&#10;KLB5NjTH/lOu0ZQ+z93p5d0+KTWfTW9bEJ4m/x++tz+0gk0cx88b+PsTvoD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eCGDHAAAA3wAAAA8AAAAAAAAAAAAAAAAAmAIAAGRy&#10;cy9kb3ducmV2LnhtbFBLBQYAAAAABAAEAPUAAACMAwAAAAA=&#10;" path="m,l50292,r,51816l,51816,,e" fillcolor="#997300" stroked="f" strokeweight="0">
                  <v:path arrowok="t" textboxrect="0,0,50292,51816"/>
                </v:shape>
                <v:shape id="Shape 41066" o:spid="_x0000_s1550" style="position:absolute;left:47257;top:21932;width:503;height:519;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JyeMQA&#10;AADeAAAADwAAAGRycy9kb3ducmV2LnhtbESPUWvCMBSF3wf+h3CFvc3UIaVUo4huoviydf6AS3Nt&#10;is1NaTLN/r0RhD0ezjnf4SxW0XbiSoNvHSuYTjIQxLXTLTcKTj+fbwUIH5A1do5JwR95WC1HLwss&#10;tbvxN12r0IgEYV+iAhNCX0rpa0MW/cT1xMk7u8FiSHJopB7wluC2k+9ZlkuLLacFgz1tDNWX6tcq&#10;2MdCfq3b6rjdeTT4UcTjAaNSr+O4noMIFMN/+NneawWzaZbn8LiTro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ycnjEAAAA3gAAAA8AAAAAAAAAAAAAAAAAmAIAAGRycy9k&#10;b3ducmV2LnhtbFBLBQYAAAAABAAEAPUAAACJAwAAAAA=&#10;" path="m,51816r50292,l50292,,,,,51816xe" filled="f" strokecolor="white" strokeweight="1.56pt">
                  <v:path arrowok="t" textboxrect="0,0,50292,51816"/>
                </v:shape>
                <v:rect id="Rectangle 41067" o:spid="_x0000_s1551" style="position:absolute;left:47981;top:21586;width:630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nOscA&#10;AADeAAAADwAAAGRycy9kb3ducmV2LnhtbESPS4vCQBCE78L+h6EXvOlEER/RUWRV9Ohjwd1bk2mT&#10;sJmekBlN9Nc7grDHoqq+omaLxhTiRpXLLSvodSMQxInVOacKvk+bzhiE88gaC8uk4E4OFvOP1gxj&#10;bWs+0O3oUxEg7GJUkHlfxlK6JCODrmtL4uBdbGXQB1mlUldYB7gpZD+KhtJgzmEhw5K+Mkr+jlej&#10;YDsulz87+6jTYv27Pe/Pk9Vp4pVqfzbLKQhPjf8Pv9s7rWDQi4Yj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ZZzrHAAAA3gAAAA8AAAAAAAAAAAAAAAAAmAIAAGRy&#10;cy9kb3ducmV2LnhtbFBLBQYAAAAABAAEAPUAAACMAwAAAAA=&#10;" filled="f" stroked="f">
                  <v:textbox inset="0,0,0,0">
                    <w:txbxContent>
                      <w:p w14:paraId="3374B9F9" w14:textId="77777777" w:rsidR="0014164F" w:rsidRDefault="0014164F" w:rsidP="00C232D7">
                        <w:r>
                          <w:rPr>
                            <w:rFonts w:ascii="Arial" w:eastAsia="Arial" w:hAnsi="Arial" w:cs="Arial"/>
                            <w:color w:val="595959"/>
                            <w:sz w:val="16"/>
                          </w:rPr>
                          <w:t>Medicinski</w:t>
                        </w:r>
                      </w:p>
                    </w:txbxContent>
                  </v:textbox>
                </v:rect>
                <v:rect id="Rectangle 41068" o:spid="_x0000_s1552" style="position:absolute;left:47981;top:22753;width:3389;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bzSMMA&#10;AADeAAAADwAAAGRycy9kb3ducmV2LnhtbERPy4rCMBTdC/5DuII7TRUR7TQV8YEuZ1TQ2V2aO22Z&#10;5qY00Va/frIYcHk472TVmUo8qHGlZQWTcQSCOLO65FzB5bwfLUA4j6yxskwKnuRglfZ7CcbatvxF&#10;j5PPRQhhF6OCwvs6ltJlBRl0Y1sTB+7HNgZ9gE0udYNtCDeVnEbRXBosOTQUWNOmoOz3dDcKDot6&#10;fTvaV5tXu+/D9fO63J6XXqnhoFt/gPDU+bf4333UCmaTaB72hjvhCsj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bzSMMAAADeAAAADwAAAAAAAAAAAAAAAACYAgAAZHJzL2Rv&#10;d25yZXYueG1sUEsFBgAAAAAEAAQA9QAAAIgDAAAAAA==&#10;" filled="f" stroked="f">
                  <v:textbox inset="0,0,0,0">
                    <w:txbxContent>
                      <w:p w14:paraId="068BB205" w14:textId="77777777" w:rsidR="0014164F" w:rsidRDefault="0014164F" w:rsidP="00C232D7">
                        <w:r>
                          <w:rPr>
                            <w:rFonts w:ascii="Arial" w:eastAsia="Arial" w:hAnsi="Arial" w:cs="Arial"/>
                            <w:color w:val="595959"/>
                            <w:sz w:val="16"/>
                          </w:rPr>
                          <w:t>otpad</w:t>
                        </w:r>
                      </w:p>
                    </w:txbxContent>
                  </v:textbox>
                </v:rect>
                <v:shape id="Shape 922240" o:spid="_x0000_s1553" style="position:absolute;left:47257;top:24020;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p2m8MA&#10;AADfAAAADwAAAGRycy9kb3ducmV2LnhtbESPy4rCMBSG98K8QzgD7jSdIuJUowwjgivxxujy0BzT&#10;Ms1JSaLWtzcLweXPf+ObLTrbiBv5UDtW8DXMQBCXTtdsFBwPq8EERIjIGhvHpOBBARbzj94MC+3u&#10;vKPbPhqRRjgUqKCKsS2kDGVFFsPQtcTJuzhvMSbpjdQe72ncNjLPsrG0WHN6qLCl34rK//3VKtit&#10;3Glp/HbjJma59tSG8+EvKNX/7H6mICJ18R1+tddawXee56NEkHgSC8j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2p2m8MAAADfAAAADwAAAAAAAAAAAAAAAACYAgAAZHJzL2Rv&#10;d25yZXYueG1sUEsFBgAAAAAEAAQA9QAAAIgDAAAAAA==&#10;" path="m,l50292,r,50292l,50292,,e" fillcolor="#264478" stroked="f" strokeweight="0">
                  <v:path arrowok="t" textboxrect="0,0,50292,50292"/>
                </v:shape>
                <v:shape id="Shape 41070" o:spid="_x0000_s1554" style="position:absolute;left:47257;top:24020;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lrNMYA&#10;AADeAAAADwAAAGRycy9kb3ducmV2LnhtbESPXWvCMBSG7wf+h3CE3QxNHVKlGkWEwebGmB8/4Ngc&#10;22Bz0iWZrf9+uRjs8uX94lmue9uIG/lgHCuYjDMQxKXThisFp+PLaA4iRGSNjWNScKcA69XgYYmF&#10;dh3v6XaIlUgjHApUUMfYFlKGsiaLYexa4uRdnLcYk/SV1B67NG4b+ZxlubRoOD3U2NK2pvJ6+LEK&#10;vnZP0pv84/4mp+b8mYd89959K/U47DcLEJH6+B/+a79qBdNJNksACSeh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slrNMYAAADeAAAADwAAAAAAAAAAAAAAAACYAgAAZHJz&#10;L2Rvd25yZXYueG1sUEsFBgAAAAAEAAQA9QAAAIsDAAAAAA==&#10;" path="m,50292r50292,l50292,,,,,50292xe" filled="f" strokecolor="white" strokeweight="1.56pt">
                  <v:path arrowok="t" textboxrect="0,0,50292,50292"/>
                </v:shape>
                <v:rect id="Rectangle 41071" o:spid="_x0000_s1555" style="position:absolute;left:47981;top:23674;width:8195;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XMCMcA&#10;AADeAAAADwAAAGRycy9kb3ducmV2LnhtbESPQWvCQBSE70L/w/IK3swmIjVGVxHbokerhdTbI/ua&#10;hGbfhuzWpP31XUHocZiZb5jVZjCNuFLnassKkigGQVxYXXOp4P38OklBOI+ssbFMCn7IwWb9MFph&#10;pm3Pb3Q9+VIECLsMFVTet5mUrqjIoItsSxy8T9sZ9EF2pdQd9gFuGjmN4ydpsOawUGFLu4qKr9O3&#10;UbBP2+3Hwf72ZfNy2efHfPF8Xnilxo/DdgnC0+D/w/f2QSuYJfE8gdudc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1lzAjHAAAA3gAAAA8AAAAAAAAAAAAAAAAAmAIAAGRy&#10;cy9kb3ducmV2LnhtbFBLBQYAAAAABAAEAPUAAACMAwAAAAA=&#10;" filled="f" stroked="f">
                  <v:textbox inset="0,0,0,0">
                    <w:txbxContent>
                      <w:p w14:paraId="043F1FBD" w14:textId="77777777" w:rsidR="0014164F" w:rsidRDefault="0014164F" w:rsidP="00C232D7">
                        <w:r>
                          <w:rPr>
                            <w:rFonts w:ascii="Arial" w:eastAsia="Arial" w:hAnsi="Arial" w:cs="Arial"/>
                            <w:color w:val="595959"/>
                            <w:sz w:val="16"/>
                          </w:rPr>
                          <w:t>Parafin/vosak</w:t>
                        </w:r>
                      </w:p>
                    </w:txbxContent>
                  </v:textbox>
                </v:rect>
                <w10:anchorlock/>
              </v:group>
            </w:pict>
          </mc:Fallback>
        </mc:AlternateContent>
      </w:r>
    </w:p>
    <w:p w14:paraId="318C4221" w14:textId="77777777" w:rsidR="00C232D7" w:rsidRPr="002A6F4E" w:rsidRDefault="00C232D7" w:rsidP="00C232D7">
      <w:pPr>
        <w:rPr>
          <w:rFonts w:ascii="Arial" w:hAnsi="Arial" w:cs="Arial"/>
        </w:rPr>
      </w:pPr>
      <w:r w:rsidRPr="002A6F4E">
        <w:rPr>
          <w:rFonts w:ascii="Arial" w:hAnsi="Arial" w:cs="Arial"/>
        </w:rPr>
        <w:t xml:space="preserve"> </w:t>
      </w:r>
    </w:p>
    <w:p w14:paraId="6CD1A934" w14:textId="77777777" w:rsidR="00C232D7" w:rsidRPr="002A6F4E" w:rsidRDefault="00C232D7" w:rsidP="00C232D7">
      <w:pPr>
        <w:rPr>
          <w:rFonts w:ascii="Arial" w:hAnsi="Arial" w:cs="Arial"/>
        </w:rPr>
      </w:pPr>
      <w:r w:rsidRPr="002A6F4E">
        <w:rPr>
          <w:rFonts w:ascii="Arial" w:hAnsi="Arial" w:cs="Arial"/>
        </w:rPr>
        <w:lastRenderedPageBreak/>
        <w:t xml:space="preserve"> </w:t>
      </w:r>
    </w:p>
    <w:p w14:paraId="42551917" w14:textId="77777777" w:rsidR="00C232D7" w:rsidRPr="002A6F4E" w:rsidRDefault="00C232D7" w:rsidP="00C232D7">
      <w:pPr>
        <w:rPr>
          <w:rFonts w:ascii="Arial" w:hAnsi="Arial" w:cs="Arial"/>
        </w:rPr>
      </w:pPr>
      <w:r w:rsidRPr="002A6F4E">
        <w:rPr>
          <w:rFonts w:ascii="Arial" w:hAnsi="Arial" w:cs="Arial"/>
        </w:rPr>
        <w:t xml:space="preserve"> </w:t>
      </w:r>
    </w:p>
    <w:p w14:paraId="55B06218" w14:textId="43677965" w:rsidR="00C232D7" w:rsidRPr="0048120C" w:rsidRDefault="005E7A97" w:rsidP="005E7A97">
      <w:pPr>
        <w:pStyle w:val="Caption"/>
        <w:rPr>
          <w:rFonts w:ascii="Arial" w:hAnsi="Arial" w:cs="Arial"/>
          <w:b w:val="0"/>
        </w:rPr>
      </w:pPr>
      <w:bookmarkStart w:id="784" w:name="_Toc190160840"/>
      <w:r w:rsidRPr="0048120C">
        <w:rPr>
          <w:rFonts w:ascii="Arial" w:hAnsi="Arial" w:cs="Arial"/>
          <w:b w:val="0"/>
        </w:rPr>
        <w:t xml:space="preserve">Slika </w:t>
      </w:r>
      <w:r w:rsidRPr="0048120C">
        <w:rPr>
          <w:rFonts w:ascii="Arial" w:hAnsi="Arial" w:cs="Arial"/>
          <w:b w:val="0"/>
        </w:rPr>
        <w:fldChar w:fldCharType="begin"/>
      </w:r>
      <w:r w:rsidRPr="0048120C">
        <w:rPr>
          <w:rFonts w:ascii="Arial" w:hAnsi="Arial" w:cs="Arial"/>
          <w:b w:val="0"/>
        </w:rPr>
        <w:instrText xml:space="preserve"> SEQ Slika \* ARABIC </w:instrText>
      </w:r>
      <w:r w:rsidRPr="0048120C">
        <w:rPr>
          <w:rFonts w:ascii="Arial" w:hAnsi="Arial" w:cs="Arial"/>
          <w:b w:val="0"/>
        </w:rPr>
        <w:fldChar w:fldCharType="separate"/>
      </w:r>
      <w:r w:rsidR="008C782A" w:rsidRPr="0048120C">
        <w:rPr>
          <w:rFonts w:ascii="Arial" w:hAnsi="Arial" w:cs="Arial"/>
          <w:b w:val="0"/>
          <w:noProof/>
        </w:rPr>
        <w:t>7</w:t>
      </w:r>
      <w:r w:rsidRPr="0048120C">
        <w:rPr>
          <w:rFonts w:ascii="Arial" w:hAnsi="Arial" w:cs="Arial"/>
          <w:b w:val="0"/>
        </w:rPr>
        <w:fldChar w:fldCharType="end"/>
      </w:r>
      <w:r w:rsidR="00C232D7" w:rsidRPr="00B441B3">
        <w:rPr>
          <w:rFonts w:ascii="Arial" w:hAnsi="Arial" w:cs="Arial"/>
          <w:b w:val="0"/>
        </w:rPr>
        <w:t xml:space="preserve"> Procentualna zastupljenost svih glavnih kategorija otpada na transektu dužine 100 m na Velikoj plaži (na osnovu broja komada i težine sakupljenog otpada)</w:t>
      </w:r>
      <w:bookmarkEnd w:id="784"/>
      <w:r w:rsidR="00C232D7" w:rsidRPr="00B441B3">
        <w:rPr>
          <w:rFonts w:ascii="Arial" w:hAnsi="Arial" w:cs="Arial"/>
          <w:b w:val="0"/>
        </w:rPr>
        <w:t xml:space="preserve"> </w:t>
      </w:r>
    </w:p>
    <w:p w14:paraId="6AB00B48" w14:textId="77777777" w:rsidR="00C232D7" w:rsidRPr="002A6F4E" w:rsidRDefault="00C232D7" w:rsidP="00C232D7">
      <w:pPr>
        <w:rPr>
          <w:rFonts w:ascii="Arial" w:hAnsi="Arial" w:cs="Arial"/>
        </w:rPr>
      </w:pPr>
      <w:r w:rsidRPr="002A6F4E">
        <w:rPr>
          <w:rFonts w:ascii="Arial" w:hAnsi="Arial" w:cs="Arial"/>
        </w:rPr>
        <w:t xml:space="preserve"> </w:t>
      </w:r>
    </w:p>
    <w:p w14:paraId="6A57F402" w14:textId="120E73E1" w:rsidR="00C232D7" w:rsidRPr="00083951" w:rsidRDefault="00C232D7" w:rsidP="00083951">
      <w:pPr>
        <w:autoSpaceDE w:val="0"/>
        <w:autoSpaceDN w:val="0"/>
        <w:adjustRightInd w:val="0"/>
        <w:spacing w:before="120" w:after="120" w:line="360" w:lineRule="auto"/>
        <w:rPr>
          <w:rFonts w:ascii="Arial" w:hAnsi="Arial" w:cs="Arial"/>
          <w:lang w:val="sq-AL"/>
        </w:rPr>
      </w:pPr>
      <w:r w:rsidRPr="00083951">
        <w:rPr>
          <w:rFonts w:ascii="Arial" w:hAnsi="Arial" w:cs="Arial"/>
          <w:lang w:val="sq-AL"/>
        </w:rPr>
        <w:t>U kontekstu težine otpada (kg) dominantne kategorije otpada su bile različite na transektima. Na Blatnoj plaži plastični otpad je imao najveći procenat u pogledu težine, 66.96%. Na plaži Jaz najveći procenat u pogledu težine imao je gumeni otpad, 80.80%, dok je na Velikoj plaži najveći procenat težine imao otpad od obrađenog drveta 93.72%. Na Blatnoj plaži pored plastičnog otpada, druga dominantna grupa pripada staklenom otpadu (16.59%), na plaži Jaz plastičnom otpadu (14.50%) dok je na Velikoj plaži t</w:t>
      </w:r>
      <w:r w:rsidR="00083951">
        <w:rPr>
          <w:rFonts w:ascii="Arial" w:hAnsi="Arial" w:cs="Arial"/>
          <w:lang w:val="sq-AL"/>
        </w:rPr>
        <w:t xml:space="preserve">o bio tekstilni otpad (2.73%). </w:t>
      </w:r>
    </w:p>
    <w:p w14:paraId="5FCDCB2B" w14:textId="5114C46B" w:rsidR="00C232D7" w:rsidRPr="00083951" w:rsidRDefault="00C232D7" w:rsidP="00083951">
      <w:pPr>
        <w:autoSpaceDE w:val="0"/>
        <w:autoSpaceDN w:val="0"/>
        <w:adjustRightInd w:val="0"/>
        <w:spacing w:before="120" w:after="120" w:line="360" w:lineRule="auto"/>
        <w:rPr>
          <w:rFonts w:ascii="Arial" w:hAnsi="Arial" w:cs="Arial"/>
          <w:lang w:val="sq-AL"/>
        </w:rPr>
      </w:pPr>
      <w:r w:rsidRPr="00083951">
        <w:rPr>
          <w:rFonts w:ascii="Arial" w:hAnsi="Arial" w:cs="Arial"/>
          <w:lang w:val="sq-AL"/>
        </w:rPr>
        <w:t>Prilikom obrade podkategorija u okviru navedenih glavnih kategorija otpada, analizirajući  brojnost otpada, dominantne kategorije su bile različite. Na Blatnoj plaži kao dominantna pod-kategorija po broju komada otpada izdvajaju se omoti i pakovanja od slatkiša (107 komada), zatim opušci od cigareta (67 komada) i plastični d</w:t>
      </w:r>
      <w:r w:rsidR="00083951">
        <w:rPr>
          <w:rFonts w:ascii="Arial" w:hAnsi="Arial" w:cs="Arial"/>
          <w:lang w:val="sq-AL"/>
        </w:rPr>
        <w:t xml:space="preserve">jelovi od 0-2,5cm (65 komada). </w:t>
      </w:r>
    </w:p>
    <w:p w14:paraId="6F22AF95" w14:textId="177FC5CF" w:rsidR="00C232D7" w:rsidRPr="00083951" w:rsidRDefault="00C232D7" w:rsidP="00083951">
      <w:pPr>
        <w:autoSpaceDE w:val="0"/>
        <w:autoSpaceDN w:val="0"/>
        <w:adjustRightInd w:val="0"/>
        <w:spacing w:before="120" w:after="120" w:line="360" w:lineRule="auto"/>
        <w:rPr>
          <w:rFonts w:ascii="Arial" w:hAnsi="Arial" w:cs="Arial"/>
          <w:lang w:val="sq-AL"/>
        </w:rPr>
      </w:pPr>
      <w:r w:rsidRPr="00083951">
        <w:rPr>
          <w:rFonts w:ascii="Arial" w:hAnsi="Arial" w:cs="Arial"/>
          <w:lang w:val="sq-AL"/>
        </w:rPr>
        <w:t xml:space="preserve">Plutajući otpad se kategorizuje u </w:t>
      </w:r>
      <w:r w:rsidR="0048120C">
        <w:rPr>
          <w:rFonts w:ascii="Arial" w:hAnsi="Arial" w:cs="Arial"/>
          <w:lang w:val="sq-AL"/>
        </w:rPr>
        <w:t>šest</w:t>
      </w:r>
      <w:r w:rsidR="0048120C" w:rsidRPr="00083951">
        <w:rPr>
          <w:rFonts w:ascii="Arial" w:hAnsi="Arial" w:cs="Arial"/>
          <w:lang w:val="sq-AL"/>
        </w:rPr>
        <w:t xml:space="preserve"> </w:t>
      </w:r>
      <w:r w:rsidRPr="00083951">
        <w:rPr>
          <w:rFonts w:ascii="Arial" w:hAnsi="Arial" w:cs="Arial"/>
          <w:lang w:val="sq-AL"/>
        </w:rPr>
        <w:t>glavnih kategorija: plastika, guma, garderoba/tekstil, papir/karton, obrađeno drvo i metal. Svaki komad otpada se broji i na osnovu veličine kategoriše u sl</w:t>
      </w:r>
      <w:r w:rsidR="0079476A">
        <w:rPr>
          <w:rFonts w:ascii="Arial" w:hAnsi="Arial" w:cs="Arial"/>
          <w:lang w:val="sq-AL"/>
        </w:rPr>
        <w:t>j</w:t>
      </w:r>
      <w:r w:rsidRPr="00083951">
        <w:rPr>
          <w:rFonts w:ascii="Arial" w:hAnsi="Arial" w:cs="Arial"/>
          <w:lang w:val="sq-AL"/>
        </w:rPr>
        <w:t xml:space="preserve">edeće kategorije: A. 2 cm – 5 cm; B. 5 cm – 10 cm; C. 10 cm – 20 cm; D. 20 cm – 30 cm; E. 30 cm – 50 cm; F. &gt; 50cm. </w:t>
      </w:r>
    </w:p>
    <w:p w14:paraId="20B6DA72" w14:textId="155CBFBD" w:rsidR="00C232D7" w:rsidRPr="00083951" w:rsidRDefault="00C232D7" w:rsidP="00083951">
      <w:pPr>
        <w:autoSpaceDE w:val="0"/>
        <w:autoSpaceDN w:val="0"/>
        <w:adjustRightInd w:val="0"/>
        <w:spacing w:before="120" w:after="120" w:line="360" w:lineRule="auto"/>
        <w:rPr>
          <w:rFonts w:ascii="Arial" w:hAnsi="Arial" w:cs="Arial"/>
          <w:lang w:val="sq-AL"/>
        </w:rPr>
      </w:pPr>
    </w:p>
    <w:p w14:paraId="21E70FDF" w14:textId="77777777" w:rsidR="00C232D7" w:rsidRPr="002A6F4E" w:rsidRDefault="00C232D7" w:rsidP="00C232D7">
      <w:pPr>
        <w:rPr>
          <w:rFonts w:ascii="Arial" w:hAnsi="Arial" w:cs="Arial"/>
        </w:rPr>
      </w:pPr>
      <w:r w:rsidRPr="002A6F4E">
        <w:rPr>
          <w:rFonts w:ascii="Arial" w:hAnsi="Arial" w:cs="Arial"/>
          <w:noProof/>
          <w:lang w:val="en-US"/>
        </w:rPr>
        <mc:AlternateContent>
          <mc:Choice Requires="wpg">
            <w:drawing>
              <wp:inline distT="0" distB="0" distL="0" distR="0" wp14:anchorId="072A899B" wp14:editId="517E6EC9">
                <wp:extent cx="5283073" cy="2546908"/>
                <wp:effectExtent l="0" t="0" r="13335" b="0"/>
                <wp:docPr id="760504" name="Group 760504"/>
                <wp:cNvGraphicFramePr/>
                <a:graphic xmlns:a="http://schemas.openxmlformats.org/drawingml/2006/main">
                  <a:graphicData uri="http://schemas.microsoft.com/office/word/2010/wordprocessingGroup">
                    <wpg:wgp>
                      <wpg:cNvGrpSpPr/>
                      <wpg:grpSpPr>
                        <a:xfrm>
                          <a:off x="0" y="0"/>
                          <a:ext cx="5283073" cy="2546908"/>
                          <a:chOff x="0" y="18070"/>
                          <a:chExt cx="5283073" cy="2546908"/>
                        </a:xfrm>
                      </wpg:grpSpPr>
                      <wps:wsp>
                        <wps:cNvPr id="41459" name="Shape 41459"/>
                        <wps:cNvSpPr/>
                        <wps:spPr>
                          <a:xfrm>
                            <a:off x="221869" y="1891362"/>
                            <a:ext cx="5061204" cy="0"/>
                          </a:xfrm>
                          <a:custGeom>
                            <a:avLst/>
                            <a:gdLst/>
                            <a:ahLst/>
                            <a:cxnLst/>
                            <a:rect l="0" t="0" r="0" b="0"/>
                            <a:pathLst>
                              <a:path w="5061204">
                                <a:moveTo>
                                  <a:pt x="0" y="0"/>
                                </a:moveTo>
                                <a:lnTo>
                                  <a:pt x="50612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41460" name="Shape 41460"/>
                        <wps:cNvSpPr/>
                        <wps:spPr>
                          <a:xfrm>
                            <a:off x="221869" y="1659714"/>
                            <a:ext cx="5061204" cy="0"/>
                          </a:xfrm>
                          <a:custGeom>
                            <a:avLst/>
                            <a:gdLst/>
                            <a:ahLst/>
                            <a:cxnLst/>
                            <a:rect l="0" t="0" r="0" b="0"/>
                            <a:pathLst>
                              <a:path w="5061204">
                                <a:moveTo>
                                  <a:pt x="0" y="0"/>
                                </a:moveTo>
                                <a:lnTo>
                                  <a:pt x="50612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41461" name="Shape 41461"/>
                        <wps:cNvSpPr/>
                        <wps:spPr>
                          <a:xfrm>
                            <a:off x="221869" y="1428066"/>
                            <a:ext cx="5061204" cy="0"/>
                          </a:xfrm>
                          <a:custGeom>
                            <a:avLst/>
                            <a:gdLst/>
                            <a:ahLst/>
                            <a:cxnLst/>
                            <a:rect l="0" t="0" r="0" b="0"/>
                            <a:pathLst>
                              <a:path w="5061204">
                                <a:moveTo>
                                  <a:pt x="0" y="0"/>
                                </a:moveTo>
                                <a:lnTo>
                                  <a:pt x="50612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41462" name="Shape 41462"/>
                        <wps:cNvSpPr/>
                        <wps:spPr>
                          <a:xfrm>
                            <a:off x="221869" y="1196419"/>
                            <a:ext cx="5061204" cy="0"/>
                          </a:xfrm>
                          <a:custGeom>
                            <a:avLst/>
                            <a:gdLst/>
                            <a:ahLst/>
                            <a:cxnLst/>
                            <a:rect l="0" t="0" r="0" b="0"/>
                            <a:pathLst>
                              <a:path w="5061204">
                                <a:moveTo>
                                  <a:pt x="0" y="0"/>
                                </a:moveTo>
                                <a:lnTo>
                                  <a:pt x="50612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41463" name="Shape 41463"/>
                        <wps:cNvSpPr/>
                        <wps:spPr>
                          <a:xfrm>
                            <a:off x="221869" y="966295"/>
                            <a:ext cx="5061204" cy="0"/>
                          </a:xfrm>
                          <a:custGeom>
                            <a:avLst/>
                            <a:gdLst/>
                            <a:ahLst/>
                            <a:cxnLst/>
                            <a:rect l="0" t="0" r="0" b="0"/>
                            <a:pathLst>
                              <a:path w="5061204">
                                <a:moveTo>
                                  <a:pt x="0" y="0"/>
                                </a:moveTo>
                                <a:lnTo>
                                  <a:pt x="50612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41464" name="Shape 41464"/>
                        <wps:cNvSpPr/>
                        <wps:spPr>
                          <a:xfrm>
                            <a:off x="221869" y="734647"/>
                            <a:ext cx="5061204" cy="0"/>
                          </a:xfrm>
                          <a:custGeom>
                            <a:avLst/>
                            <a:gdLst/>
                            <a:ahLst/>
                            <a:cxnLst/>
                            <a:rect l="0" t="0" r="0" b="0"/>
                            <a:pathLst>
                              <a:path w="5061204">
                                <a:moveTo>
                                  <a:pt x="0" y="0"/>
                                </a:moveTo>
                                <a:lnTo>
                                  <a:pt x="50612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41465" name="Shape 41465"/>
                        <wps:cNvSpPr/>
                        <wps:spPr>
                          <a:xfrm>
                            <a:off x="221869" y="502999"/>
                            <a:ext cx="5061204" cy="0"/>
                          </a:xfrm>
                          <a:custGeom>
                            <a:avLst/>
                            <a:gdLst/>
                            <a:ahLst/>
                            <a:cxnLst/>
                            <a:rect l="0" t="0" r="0" b="0"/>
                            <a:pathLst>
                              <a:path w="5061204">
                                <a:moveTo>
                                  <a:pt x="0" y="0"/>
                                </a:moveTo>
                                <a:lnTo>
                                  <a:pt x="50612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41466" name="Shape 41466"/>
                        <wps:cNvSpPr/>
                        <wps:spPr>
                          <a:xfrm>
                            <a:off x="221869" y="271350"/>
                            <a:ext cx="5061204" cy="0"/>
                          </a:xfrm>
                          <a:custGeom>
                            <a:avLst/>
                            <a:gdLst/>
                            <a:ahLst/>
                            <a:cxnLst/>
                            <a:rect l="0" t="0" r="0" b="0"/>
                            <a:pathLst>
                              <a:path w="5061204">
                                <a:moveTo>
                                  <a:pt x="0" y="0"/>
                                </a:moveTo>
                                <a:lnTo>
                                  <a:pt x="50612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922323" name="Shape 922323"/>
                        <wps:cNvSpPr/>
                        <wps:spPr>
                          <a:xfrm>
                            <a:off x="2913253" y="2007187"/>
                            <a:ext cx="147828" cy="114300"/>
                          </a:xfrm>
                          <a:custGeom>
                            <a:avLst/>
                            <a:gdLst/>
                            <a:ahLst/>
                            <a:cxnLst/>
                            <a:rect l="0" t="0" r="0" b="0"/>
                            <a:pathLst>
                              <a:path w="147828" h="114300">
                                <a:moveTo>
                                  <a:pt x="0" y="0"/>
                                </a:moveTo>
                                <a:lnTo>
                                  <a:pt x="147828" y="0"/>
                                </a:lnTo>
                                <a:lnTo>
                                  <a:pt x="147828" y="114300"/>
                                </a:lnTo>
                                <a:lnTo>
                                  <a:pt x="0" y="114300"/>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922324" name="Shape 922324"/>
                        <wps:cNvSpPr/>
                        <wps:spPr>
                          <a:xfrm>
                            <a:off x="3757549" y="1891362"/>
                            <a:ext cx="146304" cy="230125"/>
                          </a:xfrm>
                          <a:custGeom>
                            <a:avLst/>
                            <a:gdLst/>
                            <a:ahLst/>
                            <a:cxnLst/>
                            <a:rect l="0" t="0" r="0" b="0"/>
                            <a:pathLst>
                              <a:path w="146304" h="230125">
                                <a:moveTo>
                                  <a:pt x="0" y="0"/>
                                </a:moveTo>
                                <a:lnTo>
                                  <a:pt x="146304" y="0"/>
                                </a:lnTo>
                                <a:lnTo>
                                  <a:pt x="146304" y="230125"/>
                                </a:lnTo>
                                <a:lnTo>
                                  <a:pt x="0" y="230125"/>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922325" name="Shape 922325"/>
                        <wps:cNvSpPr/>
                        <wps:spPr>
                          <a:xfrm>
                            <a:off x="383413" y="502999"/>
                            <a:ext cx="146304" cy="1618488"/>
                          </a:xfrm>
                          <a:custGeom>
                            <a:avLst/>
                            <a:gdLst/>
                            <a:ahLst/>
                            <a:cxnLst/>
                            <a:rect l="0" t="0" r="0" b="0"/>
                            <a:pathLst>
                              <a:path w="146304" h="1618488">
                                <a:moveTo>
                                  <a:pt x="0" y="0"/>
                                </a:moveTo>
                                <a:lnTo>
                                  <a:pt x="146304" y="0"/>
                                </a:lnTo>
                                <a:lnTo>
                                  <a:pt x="146304" y="1618488"/>
                                </a:lnTo>
                                <a:lnTo>
                                  <a:pt x="0" y="1618488"/>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922326" name="Shape 922326"/>
                        <wps:cNvSpPr/>
                        <wps:spPr>
                          <a:xfrm>
                            <a:off x="3100705" y="2098626"/>
                            <a:ext cx="146304" cy="22861"/>
                          </a:xfrm>
                          <a:custGeom>
                            <a:avLst/>
                            <a:gdLst/>
                            <a:ahLst/>
                            <a:cxnLst/>
                            <a:rect l="0" t="0" r="0" b="0"/>
                            <a:pathLst>
                              <a:path w="146304" h="22861">
                                <a:moveTo>
                                  <a:pt x="0" y="0"/>
                                </a:moveTo>
                                <a:lnTo>
                                  <a:pt x="146304" y="0"/>
                                </a:lnTo>
                                <a:lnTo>
                                  <a:pt x="146304" y="22861"/>
                                </a:lnTo>
                                <a:lnTo>
                                  <a:pt x="0" y="22861"/>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922327" name="Shape 922327"/>
                        <wps:cNvSpPr/>
                        <wps:spPr>
                          <a:xfrm>
                            <a:off x="569341" y="1959942"/>
                            <a:ext cx="147828" cy="161544"/>
                          </a:xfrm>
                          <a:custGeom>
                            <a:avLst/>
                            <a:gdLst/>
                            <a:ahLst/>
                            <a:cxnLst/>
                            <a:rect l="0" t="0" r="0" b="0"/>
                            <a:pathLst>
                              <a:path w="147828" h="161544">
                                <a:moveTo>
                                  <a:pt x="0" y="0"/>
                                </a:moveTo>
                                <a:lnTo>
                                  <a:pt x="147828" y="0"/>
                                </a:lnTo>
                                <a:lnTo>
                                  <a:pt x="147828" y="161544"/>
                                </a:lnTo>
                                <a:lnTo>
                                  <a:pt x="0" y="161544"/>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1472" name="Shape 41472"/>
                        <wps:cNvSpPr/>
                        <wps:spPr>
                          <a:xfrm>
                            <a:off x="221869" y="2121487"/>
                            <a:ext cx="5061204" cy="0"/>
                          </a:xfrm>
                          <a:custGeom>
                            <a:avLst/>
                            <a:gdLst/>
                            <a:ahLst/>
                            <a:cxnLst/>
                            <a:rect l="0" t="0" r="0" b="0"/>
                            <a:pathLst>
                              <a:path w="5061204">
                                <a:moveTo>
                                  <a:pt x="0" y="0"/>
                                </a:moveTo>
                                <a:lnTo>
                                  <a:pt x="50612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41473" name="Rectangle 41473"/>
                        <wps:cNvSpPr/>
                        <wps:spPr>
                          <a:xfrm>
                            <a:off x="57912" y="2069036"/>
                            <a:ext cx="77074" cy="154840"/>
                          </a:xfrm>
                          <a:prstGeom prst="rect">
                            <a:avLst/>
                          </a:prstGeom>
                          <a:ln>
                            <a:noFill/>
                          </a:ln>
                        </wps:spPr>
                        <wps:txbx>
                          <w:txbxContent>
                            <w:p w14:paraId="1FBCFBFC" w14:textId="77777777" w:rsidR="0014164F" w:rsidRDefault="0014164F" w:rsidP="00C232D7">
                              <w:r>
                                <w:rPr>
                                  <w:rFonts w:ascii="Calibri" w:hAnsi="Calibri" w:cs="Calibri"/>
                                  <w:color w:val="595959"/>
                                  <w:sz w:val="18"/>
                                </w:rPr>
                                <w:t>0</w:t>
                              </w:r>
                            </w:p>
                          </w:txbxContent>
                        </wps:txbx>
                        <wps:bodyPr horzOverflow="overflow" vert="horz" lIns="0" tIns="0" rIns="0" bIns="0" rtlCol="0">
                          <a:noAutofit/>
                        </wps:bodyPr>
                      </wps:wsp>
                      <wps:wsp>
                        <wps:cNvPr id="41474" name="Rectangle 41474"/>
                        <wps:cNvSpPr/>
                        <wps:spPr>
                          <a:xfrm>
                            <a:off x="0" y="1837641"/>
                            <a:ext cx="154097" cy="154840"/>
                          </a:xfrm>
                          <a:prstGeom prst="rect">
                            <a:avLst/>
                          </a:prstGeom>
                          <a:ln>
                            <a:noFill/>
                          </a:ln>
                        </wps:spPr>
                        <wps:txbx>
                          <w:txbxContent>
                            <w:p w14:paraId="326C06F2" w14:textId="77777777" w:rsidR="0014164F" w:rsidRDefault="0014164F" w:rsidP="00C232D7">
                              <w:r>
                                <w:rPr>
                                  <w:rFonts w:ascii="Calibri" w:hAnsi="Calibri" w:cs="Calibri"/>
                                  <w:color w:val="595959"/>
                                  <w:sz w:val="18"/>
                                </w:rPr>
                                <w:t>10</w:t>
                              </w:r>
                            </w:p>
                          </w:txbxContent>
                        </wps:txbx>
                        <wps:bodyPr horzOverflow="overflow" vert="horz" lIns="0" tIns="0" rIns="0" bIns="0" rtlCol="0">
                          <a:noAutofit/>
                        </wps:bodyPr>
                      </wps:wsp>
                      <wps:wsp>
                        <wps:cNvPr id="41475" name="Rectangle 41475"/>
                        <wps:cNvSpPr/>
                        <wps:spPr>
                          <a:xfrm>
                            <a:off x="0" y="1606248"/>
                            <a:ext cx="154097" cy="154840"/>
                          </a:xfrm>
                          <a:prstGeom prst="rect">
                            <a:avLst/>
                          </a:prstGeom>
                          <a:ln>
                            <a:noFill/>
                          </a:ln>
                        </wps:spPr>
                        <wps:txbx>
                          <w:txbxContent>
                            <w:p w14:paraId="139D0A2E" w14:textId="77777777" w:rsidR="0014164F" w:rsidRDefault="0014164F" w:rsidP="00C232D7">
                              <w:r>
                                <w:rPr>
                                  <w:rFonts w:ascii="Calibri" w:hAnsi="Calibri" w:cs="Calibri"/>
                                  <w:color w:val="595959"/>
                                  <w:sz w:val="18"/>
                                </w:rPr>
                                <w:t>20</w:t>
                              </w:r>
                            </w:p>
                          </w:txbxContent>
                        </wps:txbx>
                        <wps:bodyPr horzOverflow="overflow" vert="horz" lIns="0" tIns="0" rIns="0" bIns="0" rtlCol="0">
                          <a:noAutofit/>
                        </wps:bodyPr>
                      </wps:wsp>
                      <wps:wsp>
                        <wps:cNvPr id="41476" name="Rectangle 41476"/>
                        <wps:cNvSpPr/>
                        <wps:spPr>
                          <a:xfrm>
                            <a:off x="0" y="1374980"/>
                            <a:ext cx="154097" cy="154840"/>
                          </a:xfrm>
                          <a:prstGeom prst="rect">
                            <a:avLst/>
                          </a:prstGeom>
                          <a:ln>
                            <a:noFill/>
                          </a:ln>
                        </wps:spPr>
                        <wps:txbx>
                          <w:txbxContent>
                            <w:p w14:paraId="2A706712" w14:textId="77777777" w:rsidR="0014164F" w:rsidRDefault="0014164F" w:rsidP="00C232D7">
                              <w:r>
                                <w:rPr>
                                  <w:rFonts w:ascii="Calibri" w:hAnsi="Calibri" w:cs="Calibri"/>
                                  <w:color w:val="595959"/>
                                  <w:sz w:val="18"/>
                                </w:rPr>
                                <w:t>30</w:t>
                              </w:r>
                            </w:p>
                          </w:txbxContent>
                        </wps:txbx>
                        <wps:bodyPr horzOverflow="overflow" vert="horz" lIns="0" tIns="0" rIns="0" bIns="0" rtlCol="0">
                          <a:noAutofit/>
                        </wps:bodyPr>
                      </wps:wsp>
                      <wps:wsp>
                        <wps:cNvPr id="41477" name="Rectangle 41477"/>
                        <wps:cNvSpPr/>
                        <wps:spPr>
                          <a:xfrm>
                            <a:off x="0" y="1143587"/>
                            <a:ext cx="154097" cy="154840"/>
                          </a:xfrm>
                          <a:prstGeom prst="rect">
                            <a:avLst/>
                          </a:prstGeom>
                          <a:ln>
                            <a:noFill/>
                          </a:ln>
                        </wps:spPr>
                        <wps:txbx>
                          <w:txbxContent>
                            <w:p w14:paraId="645F66B8" w14:textId="77777777" w:rsidR="0014164F" w:rsidRDefault="0014164F" w:rsidP="00C232D7">
                              <w:r>
                                <w:rPr>
                                  <w:rFonts w:ascii="Calibri" w:hAnsi="Calibri" w:cs="Calibri"/>
                                  <w:color w:val="595959"/>
                                  <w:sz w:val="18"/>
                                </w:rPr>
                                <w:t>40</w:t>
                              </w:r>
                            </w:p>
                          </w:txbxContent>
                        </wps:txbx>
                        <wps:bodyPr horzOverflow="overflow" vert="horz" lIns="0" tIns="0" rIns="0" bIns="0" rtlCol="0">
                          <a:noAutofit/>
                        </wps:bodyPr>
                      </wps:wsp>
                      <wps:wsp>
                        <wps:cNvPr id="41478" name="Rectangle 41478"/>
                        <wps:cNvSpPr/>
                        <wps:spPr>
                          <a:xfrm>
                            <a:off x="0" y="912320"/>
                            <a:ext cx="154097" cy="154840"/>
                          </a:xfrm>
                          <a:prstGeom prst="rect">
                            <a:avLst/>
                          </a:prstGeom>
                          <a:ln>
                            <a:noFill/>
                          </a:ln>
                        </wps:spPr>
                        <wps:txbx>
                          <w:txbxContent>
                            <w:p w14:paraId="558E1E22" w14:textId="77777777" w:rsidR="0014164F" w:rsidRDefault="0014164F" w:rsidP="00C232D7">
                              <w:r>
                                <w:rPr>
                                  <w:rFonts w:ascii="Calibri" w:hAnsi="Calibri" w:cs="Calibri"/>
                                  <w:color w:val="595959"/>
                                  <w:sz w:val="18"/>
                                </w:rPr>
                                <w:t>50</w:t>
                              </w:r>
                            </w:p>
                          </w:txbxContent>
                        </wps:txbx>
                        <wps:bodyPr horzOverflow="overflow" vert="horz" lIns="0" tIns="0" rIns="0" bIns="0" rtlCol="0">
                          <a:noAutofit/>
                        </wps:bodyPr>
                      </wps:wsp>
                      <wps:wsp>
                        <wps:cNvPr id="41479" name="Rectangle 41479"/>
                        <wps:cNvSpPr/>
                        <wps:spPr>
                          <a:xfrm>
                            <a:off x="0" y="680696"/>
                            <a:ext cx="154302" cy="155253"/>
                          </a:xfrm>
                          <a:prstGeom prst="rect">
                            <a:avLst/>
                          </a:prstGeom>
                          <a:ln>
                            <a:noFill/>
                          </a:ln>
                        </wps:spPr>
                        <wps:txbx>
                          <w:txbxContent>
                            <w:p w14:paraId="18823BF9" w14:textId="77777777" w:rsidR="0014164F" w:rsidRDefault="0014164F" w:rsidP="00C232D7">
                              <w:r>
                                <w:rPr>
                                  <w:rFonts w:ascii="Calibri" w:hAnsi="Calibri" w:cs="Calibri"/>
                                  <w:color w:val="595959"/>
                                  <w:sz w:val="18"/>
                                </w:rPr>
                                <w:t>60</w:t>
                              </w:r>
                            </w:p>
                          </w:txbxContent>
                        </wps:txbx>
                        <wps:bodyPr horzOverflow="overflow" vert="horz" lIns="0" tIns="0" rIns="0" bIns="0" rtlCol="0">
                          <a:noAutofit/>
                        </wps:bodyPr>
                      </wps:wsp>
                      <wps:wsp>
                        <wps:cNvPr id="41480" name="Rectangle 41480"/>
                        <wps:cNvSpPr/>
                        <wps:spPr>
                          <a:xfrm>
                            <a:off x="0" y="449912"/>
                            <a:ext cx="154097" cy="154840"/>
                          </a:xfrm>
                          <a:prstGeom prst="rect">
                            <a:avLst/>
                          </a:prstGeom>
                          <a:ln>
                            <a:noFill/>
                          </a:ln>
                        </wps:spPr>
                        <wps:txbx>
                          <w:txbxContent>
                            <w:p w14:paraId="50AB975C" w14:textId="77777777" w:rsidR="0014164F" w:rsidRDefault="0014164F" w:rsidP="00C232D7">
                              <w:r>
                                <w:rPr>
                                  <w:rFonts w:ascii="Calibri" w:hAnsi="Calibri" w:cs="Calibri"/>
                                  <w:color w:val="595959"/>
                                  <w:sz w:val="18"/>
                                </w:rPr>
                                <w:t>70</w:t>
                              </w:r>
                            </w:p>
                          </w:txbxContent>
                        </wps:txbx>
                        <wps:bodyPr horzOverflow="overflow" vert="horz" lIns="0" tIns="0" rIns="0" bIns="0" rtlCol="0">
                          <a:noAutofit/>
                        </wps:bodyPr>
                      </wps:wsp>
                      <wps:wsp>
                        <wps:cNvPr id="41481" name="Rectangle 41481"/>
                        <wps:cNvSpPr/>
                        <wps:spPr>
                          <a:xfrm>
                            <a:off x="0" y="218518"/>
                            <a:ext cx="154097" cy="154840"/>
                          </a:xfrm>
                          <a:prstGeom prst="rect">
                            <a:avLst/>
                          </a:prstGeom>
                          <a:ln>
                            <a:noFill/>
                          </a:ln>
                        </wps:spPr>
                        <wps:txbx>
                          <w:txbxContent>
                            <w:p w14:paraId="163BE13D" w14:textId="77777777" w:rsidR="0014164F" w:rsidRDefault="0014164F" w:rsidP="00C232D7">
                              <w:r>
                                <w:rPr>
                                  <w:rFonts w:ascii="Calibri" w:hAnsi="Calibri" w:cs="Calibri"/>
                                  <w:color w:val="595959"/>
                                  <w:sz w:val="18"/>
                                </w:rPr>
                                <w:t>80</w:t>
                              </w:r>
                            </w:p>
                          </w:txbxContent>
                        </wps:txbx>
                        <wps:bodyPr horzOverflow="overflow" vert="horz" lIns="0" tIns="0" rIns="0" bIns="0" rtlCol="0">
                          <a:noAutofit/>
                        </wps:bodyPr>
                      </wps:wsp>
                      <wps:wsp>
                        <wps:cNvPr id="41482" name="Rectangle 41482"/>
                        <wps:cNvSpPr/>
                        <wps:spPr>
                          <a:xfrm>
                            <a:off x="465709" y="2183003"/>
                            <a:ext cx="472753" cy="151421"/>
                          </a:xfrm>
                          <a:prstGeom prst="rect">
                            <a:avLst/>
                          </a:prstGeom>
                          <a:ln>
                            <a:noFill/>
                          </a:ln>
                        </wps:spPr>
                        <wps:txbx>
                          <w:txbxContent>
                            <w:p w14:paraId="3B18EC20" w14:textId="77777777" w:rsidR="0014164F" w:rsidRDefault="0014164F" w:rsidP="00C232D7">
                              <w:r>
                                <w:rPr>
                                  <w:rFonts w:ascii="Arial" w:eastAsia="Arial" w:hAnsi="Arial" w:cs="Arial"/>
                                  <w:color w:val="595959"/>
                                  <w:sz w:val="16"/>
                                </w:rPr>
                                <w:t>Plastika</w:t>
                              </w:r>
                            </w:p>
                          </w:txbxContent>
                        </wps:txbx>
                        <wps:bodyPr horzOverflow="overflow" vert="horz" lIns="0" tIns="0" rIns="0" bIns="0" rtlCol="0">
                          <a:noAutofit/>
                        </wps:bodyPr>
                      </wps:wsp>
                      <wps:wsp>
                        <wps:cNvPr id="41483" name="Rectangle 41483"/>
                        <wps:cNvSpPr/>
                        <wps:spPr>
                          <a:xfrm>
                            <a:off x="1348994" y="2183003"/>
                            <a:ext cx="368999" cy="151421"/>
                          </a:xfrm>
                          <a:prstGeom prst="rect">
                            <a:avLst/>
                          </a:prstGeom>
                          <a:ln>
                            <a:noFill/>
                          </a:ln>
                        </wps:spPr>
                        <wps:txbx>
                          <w:txbxContent>
                            <w:p w14:paraId="704B9E78" w14:textId="77777777" w:rsidR="0014164F" w:rsidRDefault="0014164F" w:rsidP="00C232D7">
                              <w:r>
                                <w:rPr>
                                  <w:rFonts w:ascii="Arial" w:eastAsia="Arial" w:hAnsi="Arial" w:cs="Arial"/>
                                  <w:color w:val="595959"/>
                                  <w:sz w:val="16"/>
                                </w:rPr>
                                <w:t>Guma</w:t>
                              </w:r>
                            </w:p>
                          </w:txbxContent>
                        </wps:txbx>
                        <wps:bodyPr horzOverflow="overflow" vert="horz" lIns="0" tIns="0" rIns="0" bIns="0" rtlCol="0">
                          <a:noAutofit/>
                        </wps:bodyPr>
                      </wps:wsp>
                      <wps:wsp>
                        <wps:cNvPr id="41484" name="Rectangle 41484"/>
                        <wps:cNvSpPr/>
                        <wps:spPr>
                          <a:xfrm>
                            <a:off x="2184527" y="2183003"/>
                            <a:ext cx="390730" cy="151421"/>
                          </a:xfrm>
                          <a:prstGeom prst="rect">
                            <a:avLst/>
                          </a:prstGeom>
                          <a:ln>
                            <a:noFill/>
                          </a:ln>
                        </wps:spPr>
                        <wps:txbx>
                          <w:txbxContent>
                            <w:p w14:paraId="6CB14383" w14:textId="77777777" w:rsidR="0014164F" w:rsidRDefault="0014164F" w:rsidP="00C232D7">
                              <w:r>
                                <w:rPr>
                                  <w:rFonts w:ascii="Arial" w:eastAsia="Arial" w:hAnsi="Arial" w:cs="Arial"/>
                                  <w:color w:val="595959"/>
                                  <w:sz w:val="16"/>
                                </w:rPr>
                                <w:t>Tekstil</w:t>
                              </w:r>
                            </w:p>
                          </w:txbxContent>
                        </wps:txbx>
                        <wps:bodyPr horzOverflow="overflow" vert="horz" lIns="0" tIns="0" rIns="0" bIns="0" rtlCol="0">
                          <a:noAutofit/>
                        </wps:bodyPr>
                      </wps:wsp>
                      <wps:wsp>
                        <wps:cNvPr id="41485" name="Rectangle 41485"/>
                        <wps:cNvSpPr/>
                        <wps:spPr>
                          <a:xfrm>
                            <a:off x="2892552" y="2183003"/>
                            <a:ext cx="751966" cy="151421"/>
                          </a:xfrm>
                          <a:prstGeom prst="rect">
                            <a:avLst/>
                          </a:prstGeom>
                          <a:ln>
                            <a:noFill/>
                          </a:ln>
                        </wps:spPr>
                        <wps:txbx>
                          <w:txbxContent>
                            <w:p w14:paraId="0053F84A" w14:textId="77777777" w:rsidR="0014164F" w:rsidRDefault="0014164F" w:rsidP="00C232D7">
                              <w:r>
                                <w:rPr>
                                  <w:rFonts w:ascii="Arial" w:eastAsia="Arial" w:hAnsi="Arial" w:cs="Arial"/>
                                  <w:color w:val="595959"/>
                                  <w:sz w:val="16"/>
                                </w:rPr>
                                <w:t>Papir/Karton</w:t>
                              </w:r>
                            </w:p>
                          </w:txbxContent>
                        </wps:txbx>
                        <wps:bodyPr horzOverflow="overflow" vert="horz" lIns="0" tIns="0" rIns="0" bIns="0" rtlCol="0">
                          <a:noAutofit/>
                        </wps:bodyPr>
                      </wps:wsp>
                      <wps:wsp>
                        <wps:cNvPr id="41486" name="Rectangle 41486"/>
                        <wps:cNvSpPr/>
                        <wps:spPr>
                          <a:xfrm>
                            <a:off x="3679571" y="2201074"/>
                            <a:ext cx="901872" cy="127647"/>
                          </a:xfrm>
                          <a:prstGeom prst="rect">
                            <a:avLst/>
                          </a:prstGeom>
                          <a:ln>
                            <a:noFill/>
                          </a:ln>
                        </wps:spPr>
                        <wps:txbx>
                          <w:txbxContent>
                            <w:p w14:paraId="407EEF17" w14:textId="77777777" w:rsidR="0014164F" w:rsidRDefault="0014164F" w:rsidP="00C232D7">
                              <w:r>
                                <w:rPr>
                                  <w:rFonts w:ascii="Arial" w:eastAsia="Arial" w:hAnsi="Arial" w:cs="Arial"/>
                                  <w:color w:val="595959"/>
                                  <w:sz w:val="16"/>
                                </w:rPr>
                                <w:t>Obrađeno drvo</w:t>
                              </w:r>
                            </w:p>
                          </w:txbxContent>
                        </wps:txbx>
                        <wps:bodyPr horzOverflow="overflow" vert="horz" lIns="0" tIns="0" rIns="0" bIns="0" rtlCol="0">
                          <a:noAutofit/>
                        </wps:bodyPr>
                      </wps:wsp>
                      <wps:wsp>
                        <wps:cNvPr id="41487" name="Rectangle 41487"/>
                        <wps:cNvSpPr/>
                        <wps:spPr>
                          <a:xfrm>
                            <a:off x="4738116" y="2183003"/>
                            <a:ext cx="330162" cy="151421"/>
                          </a:xfrm>
                          <a:prstGeom prst="rect">
                            <a:avLst/>
                          </a:prstGeom>
                          <a:ln>
                            <a:noFill/>
                          </a:ln>
                        </wps:spPr>
                        <wps:txbx>
                          <w:txbxContent>
                            <w:p w14:paraId="062275D0" w14:textId="77777777" w:rsidR="0014164F" w:rsidRDefault="0014164F" w:rsidP="00C232D7">
                              <w:r>
                                <w:rPr>
                                  <w:rFonts w:ascii="Arial" w:eastAsia="Arial" w:hAnsi="Arial" w:cs="Arial"/>
                                  <w:color w:val="595959"/>
                                  <w:sz w:val="16"/>
                                </w:rPr>
                                <w:t>Metal</w:t>
                              </w:r>
                            </w:p>
                          </w:txbxContent>
                        </wps:txbx>
                        <wps:bodyPr horzOverflow="overflow" vert="horz" lIns="0" tIns="0" rIns="0" bIns="0" rtlCol="0">
                          <a:noAutofit/>
                        </wps:bodyPr>
                      </wps:wsp>
                      <wps:wsp>
                        <wps:cNvPr id="41491" name="Rectangle 41491"/>
                        <wps:cNvSpPr/>
                        <wps:spPr>
                          <a:xfrm>
                            <a:off x="2111375" y="18070"/>
                            <a:ext cx="1995499" cy="127647"/>
                          </a:xfrm>
                          <a:prstGeom prst="rect">
                            <a:avLst/>
                          </a:prstGeom>
                          <a:ln>
                            <a:noFill/>
                          </a:ln>
                        </wps:spPr>
                        <wps:txbx>
                          <w:txbxContent>
                            <w:p w14:paraId="76D18DF3" w14:textId="086F9C96" w:rsidR="0014164F" w:rsidRDefault="0014164F" w:rsidP="00C232D7">
                              <w:r>
                                <w:rPr>
                                  <w:rFonts w:ascii="Arial" w:eastAsia="Arial" w:hAnsi="Arial" w:cs="Arial"/>
                                  <w:color w:val="595959"/>
                                  <w:sz w:val="16"/>
                                </w:rPr>
                                <w:t>Količina plutajućeg otpada na transektima</w:t>
                              </w:r>
                            </w:p>
                          </w:txbxContent>
                        </wps:txbx>
                        <wps:bodyPr horzOverflow="overflow" vert="horz" lIns="0" tIns="0" rIns="0" bIns="0" rtlCol="0">
                          <a:noAutofit/>
                        </wps:bodyPr>
                      </wps:wsp>
                      <wps:wsp>
                        <wps:cNvPr id="922328" name="Shape 922328"/>
                        <wps:cNvSpPr/>
                        <wps:spPr>
                          <a:xfrm>
                            <a:off x="1744345" y="2447622"/>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1493" name="Rectangle 41493"/>
                        <wps:cNvSpPr/>
                        <wps:spPr>
                          <a:xfrm>
                            <a:off x="1816862" y="2413105"/>
                            <a:ext cx="638977" cy="151873"/>
                          </a:xfrm>
                          <a:prstGeom prst="rect">
                            <a:avLst/>
                          </a:prstGeom>
                          <a:ln>
                            <a:noFill/>
                          </a:ln>
                        </wps:spPr>
                        <wps:txbx>
                          <w:txbxContent>
                            <w:p w14:paraId="038F4186" w14:textId="77777777" w:rsidR="0014164F" w:rsidRDefault="0014164F" w:rsidP="00C232D7">
                              <w:r>
                                <w:rPr>
                                  <w:rFonts w:ascii="Arial" w:eastAsia="Arial" w:hAnsi="Arial" w:cs="Arial"/>
                                  <w:color w:val="595959"/>
                                  <w:sz w:val="16"/>
                                </w:rPr>
                                <w:t>Transekt 1</w:t>
                              </w:r>
                            </w:p>
                          </w:txbxContent>
                        </wps:txbx>
                        <wps:bodyPr horzOverflow="overflow" vert="horz" lIns="0" tIns="0" rIns="0" bIns="0" rtlCol="0">
                          <a:noAutofit/>
                        </wps:bodyPr>
                      </wps:wsp>
                      <wps:wsp>
                        <wps:cNvPr id="922329" name="Shape 922329"/>
                        <wps:cNvSpPr/>
                        <wps:spPr>
                          <a:xfrm>
                            <a:off x="2413381" y="2447622"/>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1495" name="Rectangle 41495"/>
                        <wps:cNvSpPr/>
                        <wps:spPr>
                          <a:xfrm>
                            <a:off x="2486533" y="2413105"/>
                            <a:ext cx="638978" cy="151873"/>
                          </a:xfrm>
                          <a:prstGeom prst="rect">
                            <a:avLst/>
                          </a:prstGeom>
                          <a:ln>
                            <a:noFill/>
                          </a:ln>
                        </wps:spPr>
                        <wps:txbx>
                          <w:txbxContent>
                            <w:p w14:paraId="5E8A7F13" w14:textId="77777777" w:rsidR="0014164F" w:rsidRDefault="0014164F" w:rsidP="00C232D7">
                              <w:r>
                                <w:rPr>
                                  <w:rFonts w:ascii="Arial" w:eastAsia="Arial" w:hAnsi="Arial" w:cs="Arial"/>
                                  <w:color w:val="595959"/>
                                  <w:sz w:val="16"/>
                                </w:rPr>
                                <w:t>Transekt 2</w:t>
                              </w:r>
                            </w:p>
                          </w:txbxContent>
                        </wps:txbx>
                        <wps:bodyPr horzOverflow="overflow" vert="horz" lIns="0" tIns="0" rIns="0" bIns="0" rtlCol="0">
                          <a:noAutofit/>
                        </wps:bodyPr>
                      </wps:wsp>
                      <wps:wsp>
                        <wps:cNvPr id="922330" name="Shape 922330"/>
                        <wps:cNvSpPr/>
                        <wps:spPr>
                          <a:xfrm>
                            <a:off x="3083941" y="2447622"/>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1497" name="Rectangle 41497"/>
                        <wps:cNvSpPr/>
                        <wps:spPr>
                          <a:xfrm>
                            <a:off x="3156204" y="2413105"/>
                            <a:ext cx="638978" cy="151873"/>
                          </a:xfrm>
                          <a:prstGeom prst="rect">
                            <a:avLst/>
                          </a:prstGeom>
                          <a:ln>
                            <a:noFill/>
                          </a:ln>
                        </wps:spPr>
                        <wps:txbx>
                          <w:txbxContent>
                            <w:p w14:paraId="0467168C" w14:textId="77777777" w:rsidR="0014164F" w:rsidRDefault="0014164F" w:rsidP="00C232D7">
                              <w:r>
                                <w:rPr>
                                  <w:rFonts w:ascii="Arial" w:eastAsia="Arial" w:hAnsi="Arial" w:cs="Arial"/>
                                  <w:color w:val="595959"/>
                                  <w:sz w:val="16"/>
                                </w:rPr>
                                <w:t>Transekt 3</w:t>
                              </w:r>
                            </w:p>
                          </w:txbxContent>
                        </wps:txbx>
                        <wps:bodyPr horzOverflow="overflow" vert="horz" lIns="0" tIns="0" rIns="0" bIns="0" rtlCol="0">
                          <a:noAutofit/>
                        </wps:bodyPr>
                      </wps:wsp>
                    </wpg:wgp>
                  </a:graphicData>
                </a:graphic>
              </wp:inline>
            </w:drawing>
          </mc:Choice>
          <mc:Fallback>
            <w:pict>
              <v:group w14:anchorId="072A899B" id="Group 760504" o:spid="_x0000_s1556" style="width:416pt;height:200.55pt;mso-position-horizontal-relative:char;mso-position-vertical-relative:line" coordorigin=",180" coordsize="52830,25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">
                <v:shape id="Shape 41459" o:spid="_x0000_s1557" style="position:absolute;left:2218;top:18913;width:50612;height:0;visibility:visible;mso-wrap-style:square;v-text-anchor:top" coordsize="5061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OtcgA&#10;AADeAAAADwAAAGRycy9kb3ducmV2LnhtbESPS2vDMBCE74X+B7GFXkoip8R5uFFCKLQEesrzvLG2&#10;tom1ciQ1dvvro0Ahx2FmvmFmi87U4kLOV5YVDPoJCOLc6ooLBbvtR28CwgdkjbVlUvBLHhbzx4cZ&#10;Ztq2vKbLJhQiQthnqKAMocmk9HlJBn3fNsTR+7bOYIjSFVI7bCPc1PI1SUbSYMVxocSG3kvKT5sf&#10;o+BTp3/Hev/Vng+nlcunE/mSjqVSz0/d8g1EoC7cw//tlVYwHAzTKdzuxCsg5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A61yAAAAN4AAAAPAAAAAAAAAAAAAAAAAJgCAABk&#10;cnMvZG93bnJldi54bWxQSwUGAAAAAAQABAD1AAAAjQMAAAAA&#10;" path="m,l5061204,e" filled="f" strokecolor="#d9d9d9" strokeweight=".72pt">
                  <v:path arrowok="t" textboxrect="0,0,5061204,0"/>
                </v:shape>
                <v:shape id="Shape 41460" o:spid="_x0000_s1558" style="position:absolute;left:2218;top:16597;width:50612;height:0;visibility:visible;mso-wrap-style:square;v-text-anchor:top" coordsize="5061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ZtlccA&#10;AADeAAAADwAAAGRycy9kb3ducmV2LnhtbESPzWrCQBSF94W+w3AFN6WZKGo1ZpRSsAhdaVvX18w1&#10;CWbupDOjSX16Z1Ho8nD++PJ1bxpxJedrywpGSQqCuLC65lLB1+fmeQ7CB2SNjWVS8Ese1qvHhxwz&#10;bTve0XUfShFH2GeooAqhzaT0RUUGfWJb4uidrDMYonSl1A67OG4aOU7TmTRYc3yosKW3iorz/mIU&#10;vOvp7dh8f3Q/h/PWFYu5fJq+SKWGg/51CSJQH/7Df+2tVjAZTWYRIOJEFJCr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WbZXHAAAA3gAAAA8AAAAAAAAAAAAAAAAAmAIAAGRy&#10;cy9kb3ducmV2LnhtbFBLBQYAAAAABAAEAPUAAACMAwAAAAA=&#10;" path="m,l5061204,e" filled="f" strokecolor="#d9d9d9" strokeweight=".72pt">
                  <v:path arrowok="t" textboxrect="0,0,5061204,0"/>
                </v:shape>
                <v:shape id="Shape 41461" o:spid="_x0000_s1559" style="position:absolute;left:2218;top:14280;width:50612;height:0;visibility:visible;mso-wrap-style:square;v-text-anchor:top" coordsize="5061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rIDscA&#10;AADeAAAADwAAAGRycy9kb3ducmV2LnhtbESPS2vDMBCE74X+B7GFXEoiO+TpRgml0BLoqXmdN9bG&#10;NrFWrqTGbn59FSjkOMzMN8xi1ZlaXMj5yrKCdJCAIM6trrhQsNu+92cgfEDWWFsmBb/kYbV8fFhg&#10;pm3LX3TZhEJECPsMFZQhNJmUPi/JoB/Yhjh6J+sMhihdIbXDNsJNLYdJMpEGK44LJTb0VlJ+3vwY&#10;BR96fD3W+8/2+3Beu3w+k8/jqVSq99S9voAI1IV7+L+91gpG6WiSwu1Ov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9ayA7HAAAA3gAAAA8AAAAAAAAAAAAAAAAAmAIAAGRy&#10;cy9kb3ducmV2LnhtbFBLBQYAAAAABAAEAPUAAACMAwAAAAA=&#10;" path="m,l5061204,e" filled="f" strokecolor="#d9d9d9" strokeweight=".72pt">
                  <v:path arrowok="t" textboxrect="0,0,5061204,0"/>
                </v:shape>
                <v:shape id="Shape 41462" o:spid="_x0000_s1560" style="position:absolute;left:2218;top:11964;width:50612;height:0;visibility:visible;mso-wrap-style:square;v-text-anchor:top" coordsize="5061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hWeccA&#10;AADeAAAADwAAAGRycy9kb3ducmV2LnhtbESPW2sCMRSE3wv+h3CEvhTNKl5Xo0ihRfBJe3k+bo67&#10;i5uTNUndbX+9KQg+DjPzDbNct6YSV3K+tKxg0E9AEGdWl5wr+Px4681A+ICssbJMCn7Jw3rVeVpi&#10;qm3De7oeQi4ihH2KCooQ6lRKnxVk0PdtTRy9k3UGQ5Qul9phE+GmksMkmUiDJceFAmt6LSg7H36M&#10;gnc9/jtWX7vm8n3eumw+ky/jqVTqudtuFiACteERvre3WsFoMJoM4f9OvAJyd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IVnnHAAAA3gAAAA8AAAAAAAAAAAAAAAAAmAIAAGRy&#10;cy9kb3ducmV2LnhtbFBLBQYAAAAABAAEAPUAAACMAwAAAAA=&#10;" path="m,l5061204,e" filled="f" strokecolor="#d9d9d9" strokeweight=".72pt">
                  <v:path arrowok="t" textboxrect="0,0,5061204,0"/>
                </v:shape>
                <v:shape id="Shape 41463" o:spid="_x0000_s1561" style="position:absolute;left:2218;top:9662;width:50612;height:0;visibility:visible;mso-wrap-style:square;v-text-anchor:top" coordsize="5061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Tz4sgA&#10;AADeAAAADwAAAGRycy9kb3ducmV2LnhtbESPS2vDMBCE74X+B7GFXEoip83TjRJKoCWQU/M6b6yN&#10;bWKtXEmJ3f76qFDIcZiZb5jZojWVuJLzpWUF/V4CgjizuuRcwW770Z2A8AFZY2WZFPyQh8X88WGG&#10;qbYNf9F1E3IRIexTVFCEUKdS+qwgg75na+LonawzGKJ0udQOmwg3lXxJkpE0WHJcKLCmZUHZeXMx&#10;Cj718PdY7dfN9+G8ctl0Ip+HY6lU56l9fwMRqA338H97pRUM+oPRK/zdiVdAz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xPPiyAAAAN4AAAAPAAAAAAAAAAAAAAAAAJgCAABk&#10;cnMvZG93bnJldi54bWxQSwUGAAAAAAQABAD1AAAAjQMAAAAA&#10;" path="m,l5061204,e" filled="f" strokecolor="#d9d9d9" strokeweight=".72pt">
                  <v:path arrowok="t" textboxrect="0,0,5061204,0"/>
                </v:shape>
                <v:shape id="Shape 41464" o:spid="_x0000_s1562" style="position:absolute;left:2218;top:7346;width:50612;height:0;visibility:visible;mso-wrap-style:square;v-text-anchor:top" coordsize="5061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1rlsgA&#10;AADeAAAADwAAAGRycy9kb3ducmV2LnhtbESPS2vDMBCE74X+B7GFXEoiJzgvN0oohZZAT83rvLE2&#10;tom1ciU1dvPrq0Ahx2FmvmEWq87U4kLOV5YVDAcJCOLc6ooLBbvte38GwgdkjbVlUvBLHlbLx4cF&#10;Ztq2/EWXTShEhLDPUEEZQpNJ6fOSDPqBbYijd7LOYIjSFVI7bCPc1HKUJBNpsOK4UGJDbyXl582P&#10;UfChx9djvf9svw/ntcvnM/k8nkqlek/d6wuIQF24h//ba60gHaaTFG534hW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LWuWyAAAAN4AAAAPAAAAAAAAAAAAAAAAAJgCAABk&#10;cnMvZG93bnJldi54bWxQSwUGAAAAAAQABAD1AAAAjQMAAAAA&#10;" path="m,l5061204,e" filled="f" strokecolor="#d9d9d9" strokeweight=".72pt">
                  <v:path arrowok="t" textboxrect="0,0,5061204,0"/>
                </v:shape>
                <v:shape id="Shape 41465" o:spid="_x0000_s1563" style="position:absolute;left:2218;top:5029;width:50612;height:0;visibility:visible;mso-wrap-style:square;v-text-anchor:top" coordsize="5061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HODcgA&#10;AADeAAAADwAAAGRycy9kb3ducmV2LnhtbESPS2vDMBCE74X+B7GFXkoip8R5uFFCCLQEempe5421&#10;sU2slSupsZtfXwUKOQ4z8w0zW3SmFhdyvrKsYNBPQBDnVldcKNht33sTED4ga6wtk4Jf8rCYPz7M&#10;MNO25S+6bEIhIoR9hgrKEJpMSp+XZND3bUMcvZN1BkOUrpDaYRvhppavSTKSBiuOCyU2tCopP29+&#10;jIIPnV6P9f6z/T6c1y6fTuRLOpZKPT91yzcQgbpwD/+311rBcDAcpXC7E6+A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Yc4NyAAAAN4AAAAPAAAAAAAAAAAAAAAAAJgCAABk&#10;cnMvZG93bnJldi54bWxQSwUGAAAAAAQABAD1AAAAjQMAAAAA&#10;" path="m,l5061204,e" filled="f" strokecolor="#d9d9d9" strokeweight=".72pt">
                  <v:path arrowok="t" textboxrect="0,0,5061204,0"/>
                </v:shape>
                <v:shape id="Shape 41466" o:spid="_x0000_s1564" style="position:absolute;left:2218;top:2713;width:50612;height:0;visibility:visible;mso-wrap-style:square;v-text-anchor:top" coordsize="5061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QesgA&#10;AADeAAAADwAAAGRycy9kb3ducmV2LnhtbESPT2vCQBTE74V+h+UVeim6sWjU1FVEaBF6qv/Oz+wz&#10;CWbfprtbk/rpu0LB4zAzv2Fmi87U4kLOV5YVDPoJCOLc6ooLBbvte28CwgdkjbVlUvBLHhbzx4cZ&#10;Ztq2/EWXTShEhLDPUEEZQpNJ6fOSDPq+bYijd7LOYIjSFVI7bCPc1PI1SVJpsOK4UGJDq5Ly8+bH&#10;KPjQo+ux3n+234fz2uXTiXwZjaVSz0/d8g1EoC7cw//ttVYwHAzTFG534hWQ8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s1B6yAAAAN4AAAAPAAAAAAAAAAAAAAAAAJgCAABk&#10;cnMvZG93bnJldi54bWxQSwUGAAAAAAQABAD1AAAAjQMAAAAA&#10;" path="m,l5061204,e" filled="f" strokecolor="#d9d9d9" strokeweight=".72pt">
                  <v:path arrowok="t" textboxrect="0,0,5061204,0"/>
                </v:shape>
                <v:shape id="Shape 922323" o:spid="_x0000_s1565" style="position:absolute;left:29132;top:20071;width:1478;height:1143;visibility:visible;mso-wrap-style:square;v-text-anchor:top" coordsize="147828,114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dUUMUA&#10;AADfAAAADwAAAGRycy9kb3ducmV2LnhtbESPQWvCQBSE7wX/w/IEL6XZNIFgY1YpQsVDL43+gEf2&#10;mQSzb8Puqqm/3hUKPQ4z8w1TbSYziCs531tW8J6kIIgbq3tuFRwPX29LED4gaxwsk4Jf8rBZz14q&#10;LLW98Q9d69CKCGFfooIuhLGU0jcdGfSJHYmjd7LOYIjStVI7vEW4GWSWpoU02HNc6HCkbUfNub4Y&#10;Ba6pZbh/by+0wwPhSRfyFVGpxXz6XIEINIX/8F97rxV8ZFme5fD8E7+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F1RQxQAAAN8AAAAPAAAAAAAAAAAAAAAAAJgCAABkcnMv&#10;ZG93bnJldi54bWxQSwUGAAAAAAQABAD1AAAAigMAAAAA&#10;" path="m,l147828,r,114300l,114300,,e" fillcolor="#5b9bd5" stroked="f" strokeweight="0">
                  <v:path arrowok="t" textboxrect="0,0,147828,114300"/>
                </v:shape>
                <v:shape id="Shape 922324" o:spid="_x0000_s1566" style="position:absolute;left:37575;top:18913;width:1463;height:2301;visibility:visible;mso-wrap-style:square;v-text-anchor:top" coordsize="146304,230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Q7DMgA&#10;AADfAAAADwAAAGRycy9kb3ducmV2LnhtbESPT2sCMRTE74V+h/AKvWnWtRRdjVIKYv9goasXb4/N&#10;c7O4eVmSrG6/fVMQehxm5jfMcj3YVlzIh8axgsk4A0FcOd1wreCw34xmIEJE1tg6JgU/FGC9ur9b&#10;YqHdlb/pUsZaJAiHAhWYGLtCylAZshjGriNO3sl5izFJX0vt8ZrgtpV5lj1Liw2nBYMdvRqqzmVv&#10;FQz9x/vnbNNrb7rjZL/bloxfpVKPD8PLAkSkIf6Hb+03rWCe59P8Cf7+pC8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pDsMyAAAAN8AAAAPAAAAAAAAAAAAAAAAAJgCAABk&#10;cnMvZG93bnJldi54bWxQSwUGAAAAAAQABAD1AAAAjQMAAAAA&#10;" path="m,l146304,r,230125l,230125,,e" fillcolor="#5b9bd5" stroked="f" strokeweight="0">
                  <v:path arrowok="t" textboxrect="0,0,146304,230125"/>
                </v:shape>
                <v:shape id="Shape 922325" o:spid="_x0000_s1567" style="position:absolute;left:3834;top:5029;width:1463;height:16185;visibility:visible;mso-wrap-style:square;v-text-anchor:top" coordsize="146304,1618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1xPMgA&#10;AADfAAAADwAAAGRycy9kb3ducmV2LnhtbESPQWvCQBSE74L/YXlCb7oxYlOjq5SqkJ6kWsTjI/ua&#10;hGbfhuzWRH+9Wyj0OMzMN8xq05taXKl1lWUF00kEgji3uuJCwedpP34B4TyyxtoyKbiRg816OFhh&#10;qm3HH3Q9+kIECLsUFZTeN6mULi/JoJvYhjh4X7Y16INsC6lb7ALc1DKOomdpsOKwUGJDbyXl38cf&#10;oyCZF6cbnpP7pdN6N022WfV+yJR6GvWvSxCeev8f/mtnWsEijmfxHH7/hC8g1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vjXE8yAAAAN8AAAAPAAAAAAAAAAAAAAAAAJgCAABk&#10;cnMvZG93bnJldi54bWxQSwUGAAAAAAQABAD1AAAAjQMAAAAA&#10;" path="m,l146304,r,1618488l,1618488,,e" fillcolor="#5b9bd5" stroked="f" strokeweight="0">
                  <v:path arrowok="t" textboxrect="0,0,146304,1618488"/>
                </v:shape>
                <v:shape id="Shape 922326" o:spid="_x0000_s1568" style="position:absolute;left:31007;top:20986;width:1463;height:228;visibility:visible;mso-wrap-style:square;v-text-anchor:top" coordsize="146304,22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d4g8gA&#10;AADfAAAADwAAAGRycy9kb3ducmV2LnhtbESP3UoDMRSE7wXfIRzBO5s1YrHbpsW2WJQKtT/eH5Pj&#10;7uLmZEliu759IwheDjPzDTOZ9a4VRwqx8azhdlCAIDbeNlxpOOyfbh5AxIRssfVMGn4owmx6eTHB&#10;0voTb+m4S5XIEI4laqhT6kopo6nJYRz4jjh7nz44TFmGStqApwx3rVRFMZQOG84LNXa0qMl87b6d&#10;hldnNmGVlFluPor7tznN1+8vW62vr/rHMYhEffoP/7WfrYaRUndqCL9/8heQ0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53iDyAAAAN8AAAAPAAAAAAAAAAAAAAAAAJgCAABk&#10;cnMvZG93bnJldi54bWxQSwUGAAAAAAQABAD1AAAAjQMAAAAA&#10;" path="m,l146304,r,22861l,22861,,e" fillcolor="#ed7d31" stroked="f" strokeweight="0">
                  <v:path arrowok="t" textboxrect="0,0,146304,22861"/>
                </v:shape>
                <v:shape id="Shape 922327" o:spid="_x0000_s1569" style="position:absolute;left:5693;top:19599;width:1478;height:1615;visibility:visible;mso-wrap-style:square;v-text-anchor:top" coordsize="147828,161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vo8cA&#10;AADfAAAADwAAAGRycy9kb3ducmV2LnhtbESPQWvCQBSE7wX/w/IEL6VuTKmN0VVE0HpVW8HbI/vc&#10;BLNvQ3Y16b/vFgo9DjPzDbNY9bYWD2p95VjBZJyAIC6crtgo+DxtXzIQPiBrrB2Tgm/ysFoOnhaY&#10;a9fxgR7HYESEsM9RQRlCk0vpi5Is+rFriKN3da3FEGVrpG6xi3BbyzRJptJixXGhxIY2JRW3490q&#10;2Bmzf/s4fzXnzs+es212qbPdRanRsF/PQQTqw3/4r73XCmZp+pq+w++f+AX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t76PHAAAA3wAAAA8AAAAAAAAAAAAAAAAAmAIAAGRy&#10;cy9kb3ducmV2LnhtbFBLBQYAAAAABAAEAPUAAACMAwAAAAA=&#10;" path="m,l147828,r,161544l,161544,,e" fillcolor="#ed7d31" stroked="f" strokeweight="0">
                  <v:path arrowok="t" textboxrect="0,0,147828,161544"/>
                </v:shape>
                <v:shape id="Shape 41472" o:spid="_x0000_s1570" style="position:absolute;left:2218;top:21214;width:50612;height:0;visibility:visible;mso-wrap-style:square;v-text-anchor:top" coordsize="50612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HApMcA&#10;AADeAAAADwAAAGRycy9kb3ducmV2LnhtbESPT2sCMRTE7wW/Q3iFXopmFa26NYoILUJP/j0/N8/d&#10;xc3LmqTutp/eCIUeh5n5DTNbtKYSN3K+tKyg30tAEGdWl5wr2O8+uhMQPiBrrCyTgh/ysJh3nmaY&#10;atvwhm7bkIsIYZ+igiKEOpXSZwUZ9D1bE0fvbJ3BEKXLpXbYRLip5CBJ3qTBkuNCgTWtCsou22+j&#10;4FOPfk/V4au5Hi9rl00n8nU0lkq9PLfLdxCB2vAf/muvtYJhfzgewONOvAJyf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RwKTHAAAA3gAAAA8AAAAAAAAAAAAAAAAAmAIAAGRy&#10;cy9kb3ducmV2LnhtbFBLBQYAAAAABAAEAPUAAACMAwAAAAA=&#10;" path="m,l5061204,e" filled="f" strokecolor="#d9d9d9" strokeweight=".72pt">
                  <v:path arrowok="t" textboxrect="0,0,5061204,0"/>
                </v:shape>
                <v:rect id="Rectangle 41473" o:spid="_x0000_s1571" style="position:absolute;left:579;top:20690;width:77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Rb/ccA&#10;AADeAAAADwAAAGRycy9kb3ducmV2LnhtbESPQWvCQBSE74X+h+UJ3urGKq2JriJV0WOrQvT2yD6T&#10;0OzbkF1N2l/vCoUeh5n5hpktOlOJGzWutKxgOIhAEGdWl5wrOB42LxMQziNrrCyTgh9ysJg/P80w&#10;0bblL7rtfS4ChF2CCgrv60RKlxVk0A1sTRy8i20M+iCbXOoG2wA3lXyNojdpsOSwUGBNHwVl3/ur&#10;UbCd1MvTzv62ebU+b9PPNF4dYq9Uv9ctpyA8df4//NfeaQXj4fh9BI874QrI+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0W/3HAAAA3gAAAA8AAAAAAAAAAAAAAAAAmAIAAGRy&#10;cy9kb3ducmV2LnhtbFBLBQYAAAAABAAEAPUAAACMAwAAAAA=&#10;" filled="f" stroked="f">
                  <v:textbox inset="0,0,0,0">
                    <w:txbxContent>
                      <w:p w14:paraId="1FBCFBFC" w14:textId="77777777" w:rsidR="0014164F" w:rsidRDefault="0014164F" w:rsidP="00C232D7">
                        <w:r>
                          <w:rPr>
                            <w:rFonts w:ascii="Calibri" w:hAnsi="Calibri" w:cs="Calibri"/>
                            <w:color w:val="595959"/>
                            <w:sz w:val="18"/>
                          </w:rPr>
                          <w:t>0</w:t>
                        </w:r>
                      </w:p>
                    </w:txbxContent>
                  </v:textbox>
                </v:rect>
                <v:rect id="Rectangle 41474" o:spid="_x0000_s1572" style="position:absolute;top:18376;width:154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3DicgA&#10;AADeAAAADwAAAGRycy9kb3ducmV2LnhtbESPT2vCQBTE7wW/w/KE3upGCW1MsxHRFj3WP2B7e2Rf&#10;k2D2bchuTeqndwsFj8PM/IbJFoNpxIU6V1tWMJ1EIIgLq2suFRwP708JCOeRNTaWScEvOVjko4cM&#10;U2173tFl70sRIOxSVFB536ZSuqIig25iW+LgfdvOoA+yK6XusA9w08hZFD1LgzWHhQpbWlVUnPc/&#10;RsEmaZefW3vty+bta3P6OM3Xh7lX6nE8LF9BeBr8Pfzf3moF8TR+ieHvTrgCMr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ncOJyAAAAN4AAAAPAAAAAAAAAAAAAAAAAJgCAABk&#10;cnMvZG93bnJldi54bWxQSwUGAAAAAAQABAD1AAAAjQMAAAAA&#10;" filled="f" stroked="f">
                  <v:textbox inset="0,0,0,0">
                    <w:txbxContent>
                      <w:p w14:paraId="326C06F2" w14:textId="77777777" w:rsidR="0014164F" w:rsidRDefault="0014164F" w:rsidP="00C232D7">
                        <w:r>
                          <w:rPr>
                            <w:rFonts w:ascii="Calibri" w:hAnsi="Calibri" w:cs="Calibri"/>
                            <w:color w:val="595959"/>
                            <w:sz w:val="18"/>
                          </w:rPr>
                          <w:t>10</w:t>
                        </w:r>
                      </w:p>
                    </w:txbxContent>
                  </v:textbox>
                </v:rect>
                <v:rect id="Rectangle 41475" o:spid="_x0000_s1573" style="position:absolute;top:16062;width:154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mEscA&#10;AADeAAAADwAAAGRycy9kb3ducmV2LnhtbESPQWvCQBSE74X+h+UJvdWNotZEVxFb0WOrQvT2yD6T&#10;0OzbkN2a6K/vFoQeh5n5hpkvO1OJKzWutKxg0I9AEGdWl5wrOB42r1MQziNrrCyTghs5WC6en+aY&#10;aNvyF133PhcBwi5BBYX3dSKlywoy6Pq2Jg7exTYGfZBNLnWDbYCbSg6jaCINlhwWCqxpXVD2vf8x&#10;CrbTenXa2XubVx/nbfqZxu+H2Cv10utWMxCeOv8ffrR3WsFoMHobw9+dc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RZhLHAAAA3gAAAA8AAAAAAAAAAAAAAAAAmAIAAGRy&#10;cy9kb3ducmV2LnhtbFBLBQYAAAAABAAEAPUAAACMAwAAAAA=&#10;" filled="f" stroked="f">
                  <v:textbox inset="0,0,0,0">
                    <w:txbxContent>
                      <w:p w14:paraId="139D0A2E" w14:textId="77777777" w:rsidR="0014164F" w:rsidRDefault="0014164F" w:rsidP="00C232D7">
                        <w:r>
                          <w:rPr>
                            <w:rFonts w:ascii="Calibri" w:hAnsi="Calibri" w:cs="Calibri"/>
                            <w:color w:val="595959"/>
                            <w:sz w:val="18"/>
                          </w:rPr>
                          <w:t>20</w:t>
                        </w:r>
                      </w:p>
                    </w:txbxContent>
                  </v:textbox>
                </v:rect>
                <v:rect id="Rectangle 41476" o:spid="_x0000_s1574" style="position:absolute;top:13749;width:154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4ZcgA&#10;AADeAAAADwAAAGRycy9kb3ducmV2LnhtbESPT2vCQBTE70K/w/IK3nRjCVajq4T+IR5bFdTbI/tM&#10;gtm3IbsmaT99t1DocZiZ3zDr7WBq0VHrKssKZtMIBHFudcWFguPhfbIA4TyyxtoyKfgiB9vNw2iN&#10;ibY9f1K394UIEHYJKii9bxIpXV6SQTe1DXHwrrY16INsC6lb7APc1PIpiubSYMVhocSGXkrKb/u7&#10;UZAtmvS8s999Ub9dstPHafl6WHqlxo9DugLhafD/4b/2TiuIZ/HzHH7vhCs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A/hlyAAAAN4AAAAPAAAAAAAAAAAAAAAAAJgCAABk&#10;cnMvZG93bnJldi54bWxQSwUGAAAAAAQABAD1AAAAjQMAAAAA&#10;" filled="f" stroked="f">
                  <v:textbox inset="0,0,0,0">
                    <w:txbxContent>
                      <w:p w14:paraId="2A706712" w14:textId="77777777" w:rsidR="0014164F" w:rsidRDefault="0014164F" w:rsidP="00C232D7">
                        <w:r>
                          <w:rPr>
                            <w:rFonts w:ascii="Calibri" w:hAnsi="Calibri" w:cs="Calibri"/>
                            <w:color w:val="595959"/>
                            <w:sz w:val="18"/>
                          </w:rPr>
                          <w:t>30</w:t>
                        </w:r>
                      </w:p>
                    </w:txbxContent>
                  </v:textbox>
                </v:rect>
                <v:rect id="Rectangle 41477" o:spid="_x0000_s1575" style="position:absolute;top:11435;width:154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9d/sYA&#10;AADeAAAADwAAAGRycy9kb3ducmV2LnhtbESPQYvCMBSE7wv+h/AEb2uqyKrVKKIuetxVQb09mmdb&#10;bF5KE2311xthYY/DzHzDTOeNKcSdKpdbVtDrRiCIE6tzThUc9t+fIxDOI2ssLJOCBzmYz1ofU4y1&#10;rfmX7jufigBhF6OCzPsyltIlGRl0XVsSB+9iK4M+yCqVusI6wE0h+1H0JQ3mHBYyLGmZUXLd3YyC&#10;zahcnLb2WafF+rw5/hzHq/3YK9VpN4sJCE+N/w//tbdawaA3GA7h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9d/sYAAADeAAAADwAAAAAAAAAAAAAAAACYAgAAZHJz&#10;L2Rvd25yZXYueG1sUEsFBgAAAAAEAAQA9QAAAIsDAAAAAA==&#10;" filled="f" stroked="f">
                  <v:textbox inset="0,0,0,0">
                    <w:txbxContent>
                      <w:p w14:paraId="645F66B8" w14:textId="77777777" w:rsidR="0014164F" w:rsidRDefault="0014164F" w:rsidP="00C232D7">
                        <w:r>
                          <w:rPr>
                            <w:rFonts w:ascii="Calibri" w:hAnsi="Calibri" w:cs="Calibri"/>
                            <w:color w:val="595959"/>
                            <w:sz w:val="18"/>
                          </w:rPr>
                          <w:t>40</w:t>
                        </w:r>
                      </w:p>
                    </w:txbxContent>
                  </v:textbox>
                </v:rect>
                <v:rect id="Rectangle 41478" o:spid="_x0000_s1576" style="position:absolute;top:9123;width:154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DJjMQA&#10;AADeAAAADwAAAGRycy9kb3ducmV2LnhtbERPy4rCMBTdD/gP4QruxlQRH9Uo4ozo0qmCurs017bY&#10;3JQm2s58vVkIszyc92LVmlI8qXaFZQWDfgSCOLW64EzB6bj9nIJwHlljaZkU/JKD1bLzscBY24Z/&#10;6Jn4TIQQdjEqyL2vYildmpNB17cVceButjboA6wzqWtsQrgp5TCKxtJgwaEhx4o2OaX35GEU7KbV&#10;+rK3f01Wfl9358N59nWceaV63XY9B+Gp9f/it3uvFYwGo0nYG+6EKyCX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QyYzEAAAA3gAAAA8AAAAAAAAAAAAAAAAAmAIAAGRycy9k&#10;b3ducmV2LnhtbFBLBQYAAAAABAAEAPUAAACJAwAAAAA=&#10;" filled="f" stroked="f">
                  <v:textbox inset="0,0,0,0">
                    <w:txbxContent>
                      <w:p w14:paraId="558E1E22" w14:textId="77777777" w:rsidR="0014164F" w:rsidRDefault="0014164F" w:rsidP="00C232D7">
                        <w:r>
                          <w:rPr>
                            <w:rFonts w:ascii="Calibri" w:hAnsi="Calibri" w:cs="Calibri"/>
                            <w:color w:val="595959"/>
                            <w:sz w:val="18"/>
                          </w:rPr>
                          <w:t>50</w:t>
                        </w:r>
                      </w:p>
                    </w:txbxContent>
                  </v:textbox>
                </v:rect>
                <v:rect id="Rectangle 41479" o:spid="_x0000_s1577" style="position:absolute;top:6806;width:1543;height:1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sF8gA&#10;AADeAAAADwAAAGRycy9kb3ducmV2LnhtbESPT2vCQBTE7wW/w/KE3urGIq2JboLYFj3WP6DeHtln&#10;Esy+DdmtSf30bqHgcZiZ3zDzrDe1uFLrKssKxqMIBHFudcWFgv3u62UKwnlkjbVlUvBLDrJ08DTH&#10;RNuON3Td+kIECLsEFZTeN4mULi/JoBvZhjh4Z9sa9EG2hdQtdgFuavkaRW/SYMVhocSGliXll+2P&#10;UbCaNovj2t66ov48rQ7fh/hjF3ulnof9YgbCU+8f4f/2WiuYjCfvMf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4nGwXyAAAAN4AAAAPAAAAAAAAAAAAAAAAAJgCAABk&#10;cnMvZG93bnJldi54bWxQSwUGAAAAAAQABAD1AAAAjQMAAAAA&#10;" filled="f" stroked="f">
                  <v:textbox inset="0,0,0,0">
                    <w:txbxContent>
                      <w:p w14:paraId="18823BF9" w14:textId="77777777" w:rsidR="0014164F" w:rsidRDefault="0014164F" w:rsidP="00C232D7">
                        <w:r>
                          <w:rPr>
                            <w:rFonts w:ascii="Calibri" w:hAnsi="Calibri" w:cs="Calibri"/>
                            <w:color w:val="595959"/>
                            <w:sz w:val="18"/>
                          </w:rPr>
                          <w:t>60</w:t>
                        </w:r>
                      </w:p>
                    </w:txbxContent>
                  </v:textbox>
                </v:rect>
                <v:rect id="Rectangle 41480" o:spid="_x0000_s1578" style="position:absolute;top:4499;width:154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O1rcUA&#10;AADeAAAADwAAAGRycy9kb3ducmV2LnhtbESPy4rCMBSG94LvEI7gTlNFhrYaRWYUXXoZcNwdmjNt&#10;meakNNHWeXqzEFz+/De+xaozlbhT40rLCibjCARxZnXJuYLv83YUg3AeWWNlmRQ8yMFq2e8tMNW2&#10;5SPdTz4XYYRdigoK7+tUSpcVZNCNbU0cvF/bGPRBNrnUDbZh3FRyGkUf0mDJ4aHAmj4Lyv5ON6Ng&#10;F9frn739b/Nqc91dDpfk65x4pYaDbj0H4anz7/CrvdcKZpNZHAACTkABuX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c7WtxQAAAN4AAAAPAAAAAAAAAAAAAAAAAJgCAABkcnMv&#10;ZG93bnJldi54bWxQSwUGAAAAAAQABAD1AAAAigMAAAAA&#10;" filled="f" stroked="f">
                  <v:textbox inset="0,0,0,0">
                    <w:txbxContent>
                      <w:p w14:paraId="50AB975C" w14:textId="77777777" w:rsidR="0014164F" w:rsidRDefault="0014164F" w:rsidP="00C232D7">
                        <w:r>
                          <w:rPr>
                            <w:rFonts w:ascii="Calibri" w:hAnsi="Calibri" w:cs="Calibri"/>
                            <w:color w:val="595959"/>
                            <w:sz w:val="18"/>
                          </w:rPr>
                          <w:t>70</w:t>
                        </w:r>
                      </w:p>
                    </w:txbxContent>
                  </v:textbox>
                </v:rect>
                <v:rect id="Rectangle 41481" o:spid="_x0000_s1579" style="position:absolute;top:2185;width:154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8QNscA&#10;AADeAAAADwAAAGRycy9kb3ducmV2LnhtbESPQWvCQBSE70L/w/IKvekmRSTGrCJtRY9WC9bbI/ua&#10;hGbfhuyapP56tyB4HGbmGyZbDaYWHbWusqwgnkQgiHOrKy4UfB034wSE88gaa8uk4I8crJZPowxT&#10;bXv+pO7gCxEg7FJUUHrfpFK6vCSDbmIb4uD92NagD7ItpG6xD3BTy9comkmDFYeFEht6Kyn/PVyM&#10;gm3SrL939toX9cd5e9qf5u/HuVfq5XlYL0B4GvwjfG/vtIJpPE1i+L8Tr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EDbHAAAA3gAAAA8AAAAAAAAAAAAAAAAAmAIAAGRy&#10;cy9kb3ducmV2LnhtbFBLBQYAAAAABAAEAPUAAACMAwAAAAA=&#10;" filled="f" stroked="f">
                  <v:textbox inset="0,0,0,0">
                    <w:txbxContent>
                      <w:p w14:paraId="163BE13D" w14:textId="77777777" w:rsidR="0014164F" w:rsidRDefault="0014164F" w:rsidP="00C232D7">
                        <w:r>
                          <w:rPr>
                            <w:rFonts w:ascii="Calibri" w:hAnsi="Calibri" w:cs="Calibri"/>
                            <w:color w:val="595959"/>
                            <w:sz w:val="18"/>
                          </w:rPr>
                          <w:t>80</w:t>
                        </w:r>
                      </w:p>
                    </w:txbxContent>
                  </v:textbox>
                </v:rect>
                <v:rect id="Rectangle 41482" o:spid="_x0000_s1580" style="position:absolute;left:4657;top:21830;width:472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OQccA&#10;AADeAAAADwAAAGRycy9kb3ducmV2LnhtbESPQWvCQBSE74L/YXlCb7pRpMTUVcS2mGObCGlvj+xr&#10;Esy+DdmtSfvruwXB4zAz3zDb/WhacaXeNZYVLBcRCOLS6oYrBef8dR6DcB5ZY2uZFPyQg/1uOtli&#10;ou3A73TNfCUChF2CCmrvu0RKV9Zk0C1sRxy8L9sb9EH2ldQ9DgFuWrmKokdpsOGwUGNHx5rKS/Zt&#10;FJzi7vCR2t+hal8+T8VbsXnON16ph9l4eALhafT38K2dagXr5Tpewf+dcAXk7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tjkHHAAAA3gAAAA8AAAAAAAAAAAAAAAAAmAIAAGRy&#10;cy9kb3ducmV2LnhtbFBLBQYAAAAABAAEAPUAAACMAwAAAAA=&#10;" filled="f" stroked="f">
                  <v:textbox inset="0,0,0,0">
                    <w:txbxContent>
                      <w:p w14:paraId="3B18EC20" w14:textId="77777777" w:rsidR="0014164F" w:rsidRDefault="0014164F" w:rsidP="00C232D7">
                        <w:r>
                          <w:rPr>
                            <w:rFonts w:ascii="Arial" w:eastAsia="Arial" w:hAnsi="Arial" w:cs="Arial"/>
                            <w:color w:val="595959"/>
                            <w:sz w:val="16"/>
                          </w:rPr>
                          <w:t>Plastika</w:t>
                        </w:r>
                      </w:p>
                    </w:txbxContent>
                  </v:textbox>
                </v:rect>
                <v:rect id="Rectangle 41483" o:spid="_x0000_s1581" style="position:absolute;left:13489;top:21830;width:369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Er2scA&#10;AADeAAAADwAAAGRycy9kb3ducmV2LnhtbESPW2vCQBSE3wX/w3KEvunGCxJTVxG16GO9gO3bIXua&#10;BLNnQ3ZrUn+9WxB8HGbmG2a+bE0pblS7wrKC4SACQZxaXXCm4Hz66McgnEfWWFomBX/kYLnoduaY&#10;aNvwgW5Hn4kAYZeggtz7KpHSpTkZdANbEQfvx9YGfZB1JnWNTYCbUo6iaCoNFhwWcqxonVN6Pf4a&#10;Bbu4Wn3t7b3Jyu337vJ5mW1OM6/UW69dvYPw1PpX+NneawWT4SQew/+dcAXk4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hK9rHAAAA3gAAAA8AAAAAAAAAAAAAAAAAmAIAAGRy&#10;cy9kb3ducmV2LnhtbFBLBQYAAAAABAAEAPUAAACMAwAAAAA=&#10;" filled="f" stroked="f">
                  <v:textbox inset="0,0,0,0">
                    <w:txbxContent>
                      <w:p w14:paraId="704B9E78" w14:textId="77777777" w:rsidR="0014164F" w:rsidRDefault="0014164F" w:rsidP="00C232D7">
                        <w:r>
                          <w:rPr>
                            <w:rFonts w:ascii="Arial" w:eastAsia="Arial" w:hAnsi="Arial" w:cs="Arial"/>
                            <w:color w:val="595959"/>
                            <w:sz w:val="16"/>
                          </w:rPr>
                          <w:t>Guma</w:t>
                        </w:r>
                      </w:p>
                    </w:txbxContent>
                  </v:textbox>
                </v:rect>
                <v:rect id="Rectangle 41484" o:spid="_x0000_s1582" style="position:absolute;left:21845;top:21830;width:390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izrscA&#10;AADeAAAADwAAAGRycy9kb3ducmV2LnhtbESPQWvCQBSE7wX/w/KE3urGEkqMWUW0osdWBfX2yD6T&#10;YPZtyK5J2l/fLRR6HGbmGyZbDqYWHbWusqxgOolAEOdWV1woOB23LwkI55E11pZJwRc5WC5GTxmm&#10;2vb8Sd3BFyJA2KWooPS+SaV0eUkG3cQ2xMG72dagD7ItpG6xD3BTy9coepMGKw4LJTa0Lim/Hx5G&#10;wS5pVpe9/e6L+v26O3+cZ5vjzCv1PB5WcxCeBv8f/mvvtYJ4Gicx/N4JV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Is67HAAAA3gAAAA8AAAAAAAAAAAAAAAAAmAIAAGRy&#10;cy9kb3ducmV2LnhtbFBLBQYAAAAABAAEAPUAAACMAwAAAAA=&#10;" filled="f" stroked="f">
                  <v:textbox inset="0,0,0,0">
                    <w:txbxContent>
                      <w:p w14:paraId="6CB14383" w14:textId="77777777" w:rsidR="0014164F" w:rsidRDefault="0014164F" w:rsidP="00C232D7">
                        <w:r>
                          <w:rPr>
                            <w:rFonts w:ascii="Arial" w:eastAsia="Arial" w:hAnsi="Arial" w:cs="Arial"/>
                            <w:color w:val="595959"/>
                            <w:sz w:val="16"/>
                          </w:rPr>
                          <w:t>Tekstil</w:t>
                        </w:r>
                      </w:p>
                    </w:txbxContent>
                  </v:textbox>
                </v:rect>
                <v:rect id="Rectangle 41485" o:spid="_x0000_s1583" style="position:absolute;left:28925;top:21830;width:752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QWNcgA&#10;AADeAAAADwAAAGRycy9kb3ducmV2LnhtbESPT2vCQBTE7wW/w/KE3urGYkuM2YjYFj3WP6DeHtln&#10;Esy+DdmtSf30bqHgcZiZ3zDpvDe1uFLrKssKxqMIBHFudcWFgv3u6yUG4TyyxtoyKfglB/Ns8JRi&#10;om3HG7pufSEChF2CCkrvm0RKl5dk0I1sQxy8s20N+iDbQuoWuwA3tXyNondpsOKwUGJDy5Lyy/bH&#10;KFjFzeK4treuqD9Pq8P3Yfqxm3qlnof9YgbCU+8f4f/2WiuYjCfxG/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BBY1yAAAAN4AAAAPAAAAAAAAAAAAAAAAAJgCAABk&#10;cnMvZG93bnJldi54bWxQSwUGAAAAAAQABAD1AAAAjQMAAAAA&#10;" filled="f" stroked="f">
                  <v:textbox inset="0,0,0,0">
                    <w:txbxContent>
                      <w:p w14:paraId="0053F84A" w14:textId="77777777" w:rsidR="0014164F" w:rsidRDefault="0014164F" w:rsidP="00C232D7">
                        <w:r>
                          <w:rPr>
                            <w:rFonts w:ascii="Arial" w:eastAsia="Arial" w:hAnsi="Arial" w:cs="Arial"/>
                            <w:color w:val="595959"/>
                            <w:sz w:val="16"/>
                          </w:rPr>
                          <w:t>Papir/Karton</w:t>
                        </w:r>
                      </w:p>
                    </w:txbxContent>
                  </v:textbox>
                </v:rect>
                <v:rect id="Rectangle 41486" o:spid="_x0000_s1584" style="position:absolute;left:36795;top:22010;width:9019;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aIQscA&#10;AADeAAAADwAAAGRycy9kb3ducmV2LnhtbESPQWvCQBSE74L/YXlCb7qxSIipq4htSY5tFGxvj+xr&#10;Esy+DdmtSfvruwXB4zAz3zCb3WhacaXeNZYVLBcRCOLS6oYrBafj6zwB4TyyxtYyKfghB7vtdLLB&#10;VNuB3+la+EoECLsUFdTed6mUrqzJoFvYjjh4X7Y36IPsK6l7HALctPIximJpsOGwUGNHh5rKS/Ft&#10;FGRJt//I7e9QtS+f2fntvH4+rr1SD7Nx/wTC0+jv4Vs71wpWy1USw/+dcAXk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WiELHAAAA3gAAAA8AAAAAAAAAAAAAAAAAmAIAAGRy&#10;cy9kb3ducmV2LnhtbFBLBQYAAAAABAAEAPUAAACMAwAAAAA=&#10;" filled="f" stroked="f">
                  <v:textbox inset="0,0,0,0">
                    <w:txbxContent>
                      <w:p w14:paraId="407EEF17" w14:textId="77777777" w:rsidR="0014164F" w:rsidRDefault="0014164F" w:rsidP="00C232D7">
                        <w:r>
                          <w:rPr>
                            <w:rFonts w:ascii="Arial" w:eastAsia="Arial" w:hAnsi="Arial" w:cs="Arial"/>
                            <w:color w:val="595959"/>
                            <w:sz w:val="16"/>
                          </w:rPr>
                          <w:t>Obrađeno drvo</w:t>
                        </w:r>
                      </w:p>
                    </w:txbxContent>
                  </v:textbox>
                </v:rect>
                <v:rect id="Rectangle 41487" o:spid="_x0000_s1585" style="position:absolute;left:47381;top:21830;width:3301;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t2cgA&#10;AADeAAAADwAAAGRycy9kb3ducmV2LnhtbESPT2vCQBTE7wW/w/KE3urGIm2M2YjYFj3WP6DeHtln&#10;Esy+DdmtSf30bqHgcZiZ3zDpvDe1uFLrKssKxqMIBHFudcWFgv3u6yUG4TyyxtoyKfglB/Ns8JRi&#10;om3HG7pufSEChF2CCkrvm0RKl5dk0I1sQxy8s20N+iDbQuoWuwA3tXyNojdpsOKwUGJDy5Lyy/bH&#10;KFjFzeK4treuqD9Pq8P3Yfqxm3qlnof9YgbCU+8f4f/2WiuYjCfxO/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mi3ZyAAAAN4AAAAPAAAAAAAAAAAAAAAAAJgCAABk&#10;cnMvZG93bnJldi54bWxQSwUGAAAAAAQABAD1AAAAjQMAAAAA&#10;" filled="f" stroked="f">
                  <v:textbox inset="0,0,0,0">
                    <w:txbxContent>
                      <w:p w14:paraId="062275D0" w14:textId="77777777" w:rsidR="0014164F" w:rsidRDefault="0014164F" w:rsidP="00C232D7">
                        <w:r>
                          <w:rPr>
                            <w:rFonts w:ascii="Arial" w:eastAsia="Arial" w:hAnsi="Arial" w:cs="Arial"/>
                            <w:color w:val="595959"/>
                            <w:sz w:val="16"/>
                          </w:rPr>
                          <w:t>Metal</w:t>
                        </w:r>
                      </w:p>
                    </w:txbxContent>
                  </v:textbox>
                </v:rect>
                <v:rect id="Rectangle 41491" o:spid="_x0000_s1586" style="position:absolute;left:21113;top:180;width:19955;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aG68cA&#10;AADeAAAADwAAAGRycy9kb3ducmV2LnhtbESPQWvCQBSE7wX/w/KE3uomRYpJs4poix6rEbS3R/aZ&#10;BLNvQ3abpP31XaHQ4zAz3zDZajSN6KlztWUF8SwCQVxYXXOp4JS/Py1AOI+ssbFMCr7JwWo5ecgw&#10;1XbgA/VHX4oAYZeigsr7NpXSFRUZdDPbEgfvajuDPsiulLrDIcBNI5+j6EUarDksVNjSpqLidvwy&#10;CnaLdn3Z25+hbN4+d+ePc7LNE6/U43Rcv4LwNPr/8F97rxXM43kSw/1Ou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bmhuvHAAAA3gAAAA8AAAAAAAAAAAAAAAAAmAIAAGRy&#10;cy9kb3ducmV2LnhtbFBLBQYAAAAABAAEAPUAAACMAwAAAAA=&#10;" filled="f" stroked="f">
                  <v:textbox inset="0,0,0,0">
                    <w:txbxContent>
                      <w:p w14:paraId="76D18DF3" w14:textId="086F9C96" w:rsidR="0014164F" w:rsidRDefault="0014164F" w:rsidP="00C232D7">
                        <w:r>
                          <w:rPr>
                            <w:rFonts w:ascii="Arial" w:eastAsia="Arial" w:hAnsi="Arial" w:cs="Arial"/>
                            <w:color w:val="595959"/>
                            <w:sz w:val="16"/>
                          </w:rPr>
                          <w:t>Količina plutajućeg otpada na transektima</w:t>
                        </w:r>
                      </w:p>
                    </w:txbxContent>
                  </v:textbox>
                </v:rect>
                <v:shape id="Shape 922328" o:spid="_x0000_s1587" style="position:absolute;left:17443;top:24476;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IOrsQA&#10;AADfAAAADwAAAGRycy9kb3ducmV2LnhtbERPPW/CMBDdK/EfrEPqVhxSFZWAQRQJykqCYD3FRxKI&#10;z2nshuTf1wNSx6f3vVz3phYdta6yrGA6iUAQ51ZXXCg4Zbu3TxDOI2usLZOCgRysV6OXJSbaPvhI&#10;XeoLEULYJaig9L5JpHR5SQbdxDbEgbva1qAPsC2kbvERwk0t4yiaSYMVh4YSG9qWlN/TX6PgfNsP&#10;P9fOpdn5K90fZtn3xxBdlHod95sFCE+9/xc/3QetYB7H73EYHP6EL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SDq7EAAAA3wAAAA8AAAAAAAAAAAAAAAAAmAIAAGRycy9k&#10;b3ducmV2LnhtbFBLBQYAAAAABAAEAPUAAACJAwAAAAA=&#10;" path="m,l50292,r,51816l,51816,,e" fillcolor="#5b9bd5" stroked="f" strokeweight="0">
                  <v:path arrowok="t" textboxrect="0,0,50292,51816"/>
                </v:shape>
                <v:rect id="Rectangle 41493" o:spid="_x0000_s1588" style="position:absolute;left:18168;top:24131;width:6390;height:1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i9B8gA&#10;AADeAAAADwAAAGRycy9kb3ducmV2LnhtbESPW2vCQBSE3wv9D8sp+FY3tiImZiPSC/ropaC+HbLH&#10;JDR7NmRXk/rrXUHo4zAz3zDpvDe1uFDrKssKRsMIBHFudcWFgp/d9+sUhPPIGmvLpOCPHMyz56cU&#10;E2073tBl6wsRIOwSVFB63yRSurwkg25oG+LgnWxr0AfZFlK32AW4qeVbFE2kwYrDQokNfZSU/27P&#10;RsFy2iwOK3vtivrruNyv9/HnLvZKDV76xQyEp97/hx/tlVYwHo3jd7jf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eL0HyAAAAN4AAAAPAAAAAAAAAAAAAAAAAJgCAABk&#10;cnMvZG93bnJldi54bWxQSwUGAAAAAAQABAD1AAAAjQMAAAAA&#10;" filled="f" stroked="f">
                  <v:textbox inset="0,0,0,0">
                    <w:txbxContent>
                      <w:p w14:paraId="038F4186" w14:textId="77777777" w:rsidR="0014164F" w:rsidRDefault="0014164F" w:rsidP="00C232D7">
                        <w:r>
                          <w:rPr>
                            <w:rFonts w:ascii="Arial" w:eastAsia="Arial" w:hAnsi="Arial" w:cs="Arial"/>
                            <w:color w:val="595959"/>
                            <w:sz w:val="16"/>
                          </w:rPr>
                          <w:t>Transekt 1</w:t>
                        </w:r>
                      </w:p>
                    </w:txbxContent>
                  </v:textbox>
                </v:rect>
                <v:shape id="Shape 922329" o:spid="_x0000_s1589" style="position:absolute;left:24133;top:24476;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mf/sYA&#10;AADfAAAADwAAAGRycy9kb3ducmV2LnhtbESPUWvCQBCE3wv+h2MF3+rFBERTTxGtto+t9gcsuW2S&#10;mtsL2WuM/fVeodDHYXa+2VltBteonjqpPRuYTRNQxIW3NZcGPs6HxwUoCcgWG89k4EYCm/XoYYW5&#10;9Vd+p/4UShUhLDkaqEJoc62lqMihTH1LHL1P3zkMUXalth1eI9w1Ok2SuXZYc2yosKVdRcXl9O3i&#10;G9n55+1ZjvUu42T/1Yss+EWMmYyH7ROoQEP4P/5Lv1oDyzTN0iX87okQ0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mf/sYAAADfAAAADwAAAAAAAAAAAAAAAACYAgAAZHJz&#10;L2Rvd25yZXYueG1sUEsFBgAAAAAEAAQA9QAAAIsDAAAAAA==&#10;" path="m,l51816,r,51816l,51816,,e" fillcolor="#ed7d31" stroked="f" strokeweight="0">
                  <v:path arrowok="t" textboxrect="0,0,51816,51816"/>
                </v:shape>
                <v:rect id="Rectangle 41495" o:spid="_x0000_s1590" style="position:absolute;left:24865;top:24131;width:6390;height:1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2A6MgA&#10;AADeAAAADwAAAGRycy9kb3ducmV2LnhtbESPT2vCQBTE7wW/w/KE3urGYouJboLYFj3WP6DeHtln&#10;Esy+DdmtSf30bqHgcZiZ3zDzrDe1uFLrKssKxqMIBHFudcWFgv3u62UKwnlkjbVlUvBLDrJ08DTH&#10;RNuON3Td+kIECLsEFZTeN4mULi/JoBvZhjh4Z9sa9EG2hdQtdgFuavkaRe/SYMVhocSGliXll+2P&#10;UbCaNovj2t66ov48rQ7fh/hjF3ulnof9YgbCU+8f4f/2WiuYjCfxG/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3YDoyAAAAN4AAAAPAAAAAAAAAAAAAAAAAJgCAABk&#10;cnMvZG93bnJldi54bWxQSwUGAAAAAAQABAD1AAAAjQMAAAAA&#10;" filled="f" stroked="f">
                  <v:textbox inset="0,0,0,0">
                    <w:txbxContent>
                      <w:p w14:paraId="5E8A7F13" w14:textId="77777777" w:rsidR="0014164F" w:rsidRDefault="0014164F" w:rsidP="00C232D7">
                        <w:r>
                          <w:rPr>
                            <w:rFonts w:ascii="Arial" w:eastAsia="Arial" w:hAnsi="Arial" w:cs="Arial"/>
                            <w:color w:val="595959"/>
                            <w:sz w:val="16"/>
                          </w:rPr>
                          <w:t>Transekt 2</w:t>
                        </w:r>
                      </w:p>
                    </w:txbxContent>
                  </v:textbox>
                </v:rect>
                <v:shape id="Shape 922330" o:spid="_x0000_s1591" style="position:absolute;left:30839;top:24476;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PiA8YA&#10;AADfAAAADwAAAGRycy9kb3ducmV2LnhtbESPzYrCMBSF98K8Q7gD7jSdFgbtGEVGBEEQrRVmeW2u&#10;bbG5KU3U+vaTheDycP74ZoveNOJOnastK/gaRyCIC6trLhXkx/VoAsJ5ZI2NZVLwJAeL+cdghqm2&#10;Dz7QPfOlCCPsUlRQed+mUrqiIoNubFvi4F1sZ9AH2ZVSd/gI46aRcRR9S4M1h4cKW/qtqLhmN6Pg&#10;mp/2yV+9WcnmPMlP+nzbFtFOqeFnv/wB4an37/CrvdEKpnGcJIEg8AQWk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PiA8YAAADfAAAADwAAAAAAAAAAAAAAAACYAgAAZHJz&#10;L2Rvd25yZXYueG1sUEsFBgAAAAAEAAQA9QAAAIsDAAAAAA==&#10;" path="m,l50292,r,51816l,51816,,e" fillcolor="#a5a5a5" stroked="f" strokeweight="0">
                  <v:path arrowok="t" textboxrect="0,0,50292,51816"/>
                </v:shape>
                <v:rect id="Rectangle 41497" o:spid="_x0000_s1592" style="position:absolute;left:31562;top:24131;width:6389;height:1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7BMgA&#10;AADeAAAADwAAAGRycy9kb3ducmV2LnhtbESPT2vCQBTE7wW/w/KE3urGIq2JboLYFj3WP6DeHtln&#10;Esy+DdmtSf30bqHgcZiZ3zDzrDe1uFLrKssKxqMIBHFudcWFgv3u62UKwnlkjbVlUvBLDrJ08DTH&#10;RNuON3Td+kIECLsEFZTeN4mULi/JoBvZhjh4Z9sa9EG2hdQtdgFuavkaRW/SYMVhocSGliXll+2P&#10;UbCaNovj2t66ov48rQ7fh/hjF3ulnof9YgbCU+8f4f/2WiuYjCfxO/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Q7sEyAAAAN4AAAAPAAAAAAAAAAAAAAAAAJgCAABk&#10;cnMvZG93bnJldi54bWxQSwUGAAAAAAQABAD1AAAAjQMAAAAA&#10;" filled="f" stroked="f">
                  <v:textbox inset="0,0,0,0">
                    <w:txbxContent>
                      <w:p w14:paraId="0467168C" w14:textId="77777777" w:rsidR="0014164F" w:rsidRDefault="0014164F" w:rsidP="00C232D7">
                        <w:r>
                          <w:rPr>
                            <w:rFonts w:ascii="Arial" w:eastAsia="Arial" w:hAnsi="Arial" w:cs="Arial"/>
                            <w:color w:val="595959"/>
                            <w:sz w:val="16"/>
                          </w:rPr>
                          <w:t>Transekt 3</w:t>
                        </w:r>
                      </w:p>
                    </w:txbxContent>
                  </v:textbox>
                </v:rect>
                <w10:anchorlock/>
              </v:group>
            </w:pict>
          </mc:Fallback>
        </mc:AlternateContent>
      </w:r>
    </w:p>
    <w:p w14:paraId="3858AA4A" w14:textId="77777777" w:rsidR="00C232D7" w:rsidRPr="002A6F4E" w:rsidRDefault="00C232D7" w:rsidP="00C232D7">
      <w:pPr>
        <w:rPr>
          <w:rFonts w:ascii="Arial" w:hAnsi="Arial" w:cs="Arial"/>
        </w:rPr>
      </w:pPr>
      <w:r w:rsidRPr="002A6F4E">
        <w:rPr>
          <w:rFonts w:ascii="Arial" w:hAnsi="Arial" w:cs="Arial"/>
        </w:rPr>
        <w:t xml:space="preserve"> </w:t>
      </w:r>
    </w:p>
    <w:p w14:paraId="3C89AF47" w14:textId="430921A6" w:rsidR="00C232D7" w:rsidRPr="00083951" w:rsidRDefault="00083951" w:rsidP="00083951">
      <w:pPr>
        <w:pStyle w:val="Caption"/>
        <w:rPr>
          <w:rFonts w:ascii="Arial" w:hAnsi="Arial" w:cs="Arial"/>
          <w:b w:val="0"/>
        </w:rPr>
      </w:pPr>
      <w:bookmarkStart w:id="785" w:name="_Toc190160841"/>
      <w:r w:rsidRPr="00083951">
        <w:rPr>
          <w:rFonts w:ascii="Arial" w:hAnsi="Arial" w:cs="Arial"/>
          <w:b w:val="0"/>
        </w:rPr>
        <w:t xml:space="preserve">Slika </w:t>
      </w:r>
      <w:r w:rsidRPr="00083951">
        <w:rPr>
          <w:rFonts w:ascii="Arial" w:hAnsi="Arial" w:cs="Arial"/>
          <w:b w:val="0"/>
        </w:rPr>
        <w:fldChar w:fldCharType="begin"/>
      </w:r>
      <w:r w:rsidRPr="00083951">
        <w:rPr>
          <w:rFonts w:ascii="Arial" w:hAnsi="Arial" w:cs="Arial"/>
          <w:b w:val="0"/>
        </w:rPr>
        <w:instrText xml:space="preserve"> SEQ Slika \* ARABIC </w:instrText>
      </w:r>
      <w:r w:rsidRPr="00083951">
        <w:rPr>
          <w:rFonts w:ascii="Arial" w:hAnsi="Arial" w:cs="Arial"/>
          <w:b w:val="0"/>
        </w:rPr>
        <w:fldChar w:fldCharType="separate"/>
      </w:r>
      <w:r w:rsidR="008C782A">
        <w:rPr>
          <w:rFonts w:ascii="Arial" w:hAnsi="Arial" w:cs="Arial"/>
          <w:b w:val="0"/>
          <w:noProof/>
        </w:rPr>
        <w:t>8</w:t>
      </w:r>
      <w:r w:rsidRPr="00083951">
        <w:rPr>
          <w:rFonts w:ascii="Arial" w:hAnsi="Arial" w:cs="Arial"/>
          <w:b w:val="0"/>
        </w:rPr>
        <w:fldChar w:fldCharType="end"/>
      </w:r>
      <w:r w:rsidRPr="00083951">
        <w:rPr>
          <w:rFonts w:ascii="Arial" w:hAnsi="Arial" w:cs="Arial"/>
          <w:b w:val="0"/>
        </w:rPr>
        <w:t xml:space="preserve"> </w:t>
      </w:r>
      <w:r w:rsidR="00C232D7" w:rsidRPr="00083951">
        <w:rPr>
          <w:rFonts w:ascii="Arial" w:hAnsi="Arial" w:cs="Arial"/>
          <w:b w:val="0"/>
          <w:i/>
        </w:rPr>
        <w:t>Količina plutajućeg otpada zabilježena na transektima u Bokokotorskom zalivu.</w:t>
      </w:r>
      <w:bookmarkEnd w:id="785"/>
      <w:r w:rsidR="00C232D7" w:rsidRPr="00083951">
        <w:rPr>
          <w:rFonts w:ascii="Arial" w:hAnsi="Arial" w:cs="Arial"/>
          <w:b w:val="0"/>
          <w:i/>
        </w:rPr>
        <w:t xml:space="preserve"> </w:t>
      </w:r>
    </w:p>
    <w:p w14:paraId="2B446E29" w14:textId="1E450E76" w:rsidR="00C232D7" w:rsidRPr="00724934" w:rsidRDefault="00C232D7" w:rsidP="00724934">
      <w:pPr>
        <w:rPr>
          <w:rFonts w:ascii="Arial" w:hAnsi="Arial" w:cs="Arial"/>
        </w:rPr>
      </w:pPr>
      <w:r w:rsidRPr="002A6F4E">
        <w:rPr>
          <w:rFonts w:ascii="Arial" w:hAnsi="Arial" w:cs="Arial"/>
          <w:i/>
        </w:rPr>
        <w:t xml:space="preserve"> </w:t>
      </w:r>
    </w:p>
    <w:p w14:paraId="7B42D7E2" w14:textId="053EFBC1" w:rsidR="00C232D7" w:rsidRPr="00083951" w:rsidRDefault="00C232D7" w:rsidP="00083951">
      <w:pPr>
        <w:autoSpaceDE w:val="0"/>
        <w:autoSpaceDN w:val="0"/>
        <w:adjustRightInd w:val="0"/>
        <w:spacing w:before="120" w:after="120" w:line="360" w:lineRule="auto"/>
        <w:rPr>
          <w:rFonts w:ascii="Arial" w:hAnsi="Arial" w:cs="Arial"/>
          <w:lang w:val="sq-AL"/>
        </w:rPr>
      </w:pPr>
      <w:r w:rsidRPr="00083951">
        <w:rPr>
          <w:rFonts w:ascii="Arial" w:hAnsi="Arial" w:cs="Arial"/>
          <w:lang w:val="sq-AL"/>
        </w:rPr>
        <w:t xml:space="preserve">Na osnovu rezultata sprovedenog monitoringa otpada na plažama, plastični otpad se izdvaja kao najzastupljenija kategorija otpada. Na plaži Jaz, plastični otpad je bio zastupljen u procentu od 92.48 % od ukupne količine sakupljenog otpada, na Blatnoj plaži 80.27 % i na Velikoj plaži 74.06 %. Kada je u pitanju zastupljenost podkategorija, na plažama je zabilježena različita dominantnost. Na Blatnoj plaži dominantna podkategorija bila su </w:t>
      </w:r>
      <w:r w:rsidR="0037795F">
        <w:rPr>
          <w:rFonts w:ascii="Arial" w:hAnsi="Arial" w:cs="Arial"/>
          <w:lang w:val="sq-AL"/>
        </w:rPr>
        <w:t xml:space="preserve">ambalažna </w:t>
      </w:r>
      <w:r w:rsidRPr="00083951">
        <w:rPr>
          <w:rFonts w:ascii="Arial" w:hAnsi="Arial" w:cs="Arial"/>
          <w:lang w:val="sq-AL"/>
        </w:rPr>
        <w:t xml:space="preserve">pakovanja, dok su na plažama Jaz i Velikoj plaži  bili opušci od cigareta. </w:t>
      </w:r>
    </w:p>
    <w:p w14:paraId="4E60F3C2" w14:textId="3C6E48C0" w:rsidR="00C232D7" w:rsidRPr="00083951" w:rsidRDefault="00C232D7" w:rsidP="00083951">
      <w:pPr>
        <w:autoSpaceDE w:val="0"/>
        <w:autoSpaceDN w:val="0"/>
        <w:adjustRightInd w:val="0"/>
        <w:spacing w:before="120" w:after="120" w:line="360" w:lineRule="auto"/>
        <w:rPr>
          <w:rFonts w:ascii="Arial" w:hAnsi="Arial" w:cs="Arial"/>
          <w:lang w:val="sq-AL"/>
        </w:rPr>
      </w:pPr>
      <w:r w:rsidRPr="00083951">
        <w:rPr>
          <w:rFonts w:ascii="Arial" w:hAnsi="Arial" w:cs="Arial"/>
          <w:lang w:val="sq-AL"/>
        </w:rPr>
        <w:lastRenderedPageBreak/>
        <w:t xml:space="preserve">Prema težini sakupljenog otpada na plažama dominantne su različite kategoriije. Na Blatnoj plaži plastični otpad je imao najveći procenat u pogledu težine, 66.96%, na plaži Jaz to </w:t>
      </w:r>
      <w:r w:rsidR="0048120C">
        <w:rPr>
          <w:rFonts w:ascii="Arial" w:hAnsi="Arial" w:cs="Arial"/>
          <w:lang w:val="sq-AL"/>
        </w:rPr>
        <w:t>su otpadne gume</w:t>
      </w:r>
      <w:r w:rsidRPr="00083951">
        <w:rPr>
          <w:rFonts w:ascii="Arial" w:hAnsi="Arial" w:cs="Arial"/>
          <w:lang w:val="sq-AL"/>
        </w:rPr>
        <w:t xml:space="preserve">, 80.80%, dok je Velikoj plaži najveći procenat težine ima otpad od obrađenog drveta 93.72 %. </w:t>
      </w:r>
    </w:p>
    <w:p w14:paraId="787440A6" w14:textId="04D226A9" w:rsidR="00C232D7" w:rsidRPr="00083951" w:rsidRDefault="00C232D7" w:rsidP="00083951">
      <w:pPr>
        <w:autoSpaceDE w:val="0"/>
        <w:autoSpaceDN w:val="0"/>
        <w:adjustRightInd w:val="0"/>
        <w:spacing w:before="120" w:after="120" w:line="360" w:lineRule="auto"/>
        <w:rPr>
          <w:rFonts w:ascii="Arial" w:hAnsi="Arial" w:cs="Arial"/>
          <w:lang w:val="sq-AL"/>
        </w:rPr>
      </w:pPr>
      <w:r w:rsidRPr="00083951">
        <w:rPr>
          <w:rFonts w:ascii="Arial" w:hAnsi="Arial" w:cs="Arial"/>
          <w:lang w:val="sq-AL"/>
        </w:rPr>
        <w:t>Na osnovu CCI (Clean Coastal Index)</w:t>
      </w:r>
      <w:r w:rsidR="003122D6">
        <w:rPr>
          <w:rStyle w:val="FootnoteReference"/>
          <w:rFonts w:cs="Arial"/>
        </w:rPr>
        <w:footnoteReference w:id="29"/>
      </w:r>
      <w:r w:rsidRPr="00083951">
        <w:rPr>
          <w:rFonts w:ascii="Arial" w:hAnsi="Arial" w:cs="Arial"/>
          <w:lang w:val="sq-AL"/>
        </w:rPr>
        <w:t xml:space="preserve"> Velika plaža spada u čiste plaže sa vrijedno</w:t>
      </w:r>
      <w:r w:rsidR="00941E56">
        <w:rPr>
          <w:rFonts w:ascii="Arial" w:hAnsi="Arial" w:cs="Arial"/>
          <w:lang w:val="sq-AL"/>
        </w:rPr>
        <w:t>š</w:t>
      </w:r>
      <w:r w:rsidRPr="00083951">
        <w:rPr>
          <w:rFonts w:ascii="Arial" w:hAnsi="Arial" w:cs="Arial"/>
          <w:lang w:val="sq-AL"/>
        </w:rPr>
        <w:t>ću CCI od 3.78 (CCI od 2 do 5 za čiste plaže), dok Blatna plaža i  plaža Jaz sa vrijednostima CCI od 8.65 odnosno 5.92</w:t>
      </w:r>
      <w:r w:rsidR="0048120C">
        <w:rPr>
          <w:rFonts w:ascii="Arial" w:hAnsi="Arial" w:cs="Arial"/>
          <w:lang w:val="sq-AL"/>
        </w:rPr>
        <w:t>,</w:t>
      </w:r>
      <w:r w:rsidRPr="00083951">
        <w:rPr>
          <w:rFonts w:ascii="Arial" w:hAnsi="Arial" w:cs="Arial"/>
          <w:lang w:val="sq-AL"/>
        </w:rPr>
        <w:t xml:space="preserve"> spadaju u umjereno čiste plaže (CCI od 5 do 10). </w:t>
      </w:r>
    </w:p>
    <w:p w14:paraId="060F13BF" w14:textId="5B651265" w:rsidR="006D5692" w:rsidRDefault="00C232D7" w:rsidP="00083951">
      <w:pPr>
        <w:autoSpaceDE w:val="0"/>
        <w:autoSpaceDN w:val="0"/>
        <w:adjustRightInd w:val="0"/>
        <w:spacing w:before="120" w:after="120" w:line="360" w:lineRule="auto"/>
        <w:rPr>
          <w:rFonts w:ascii="Arial" w:hAnsi="Arial" w:cs="Arial"/>
          <w:lang w:val="sq-AL"/>
        </w:rPr>
      </w:pPr>
      <w:r w:rsidRPr="00083951">
        <w:rPr>
          <w:rFonts w:ascii="Arial" w:hAnsi="Arial" w:cs="Arial"/>
          <w:lang w:val="sq-AL"/>
        </w:rPr>
        <w:t xml:space="preserve">Rezultati monitoringa plutajućeg otpada ukazuju na najveću koncentraciju otpada na </w:t>
      </w:r>
      <w:r w:rsidR="00180128">
        <w:rPr>
          <w:rFonts w:ascii="Arial" w:hAnsi="Arial" w:cs="Arial"/>
          <w:lang w:val="sq-AL"/>
        </w:rPr>
        <w:t>t</w:t>
      </w:r>
      <w:r w:rsidRPr="00083951">
        <w:rPr>
          <w:rFonts w:ascii="Arial" w:hAnsi="Arial" w:cs="Arial"/>
          <w:lang w:val="sq-AL"/>
        </w:rPr>
        <w:t xml:space="preserve">ransektu 1. Smatra se da je posledica toga sam položaj transekta u unutrašnjem dijelu zaliva gdje je cirkulacija vodenih masa sporija u odnosu na ostali dio zaliva. Najzastupljenija grupa otpada na transektima bio je plastični otpad (82.35% za T1 i 87.5% za T2), dok su kao podkategorija najzastupljenije bile plastične kese. Na transektu 3 nije nađen ni jedan komad plutajućeg otpada. </w:t>
      </w:r>
    </w:p>
    <w:p w14:paraId="2CA7A792" w14:textId="77777777" w:rsidR="006913A1" w:rsidRPr="006D5692" w:rsidRDefault="006913A1" w:rsidP="00083951">
      <w:pPr>
        <w:autoSpaceDE w:val="0"/>
        <w:autoSpaceDN w:val="0"/>
        <w:adjustRightInd w:val="0"/>
        <w:spacing w:before="120" w:after="120" w:line="360" w:lineRule="auto"/>
        <w:rPr>
          <w:rFonts w:ascii="Arial" w:hAnsi="Arial" w:cs="Arial"/>
          <w:lang w:val="sq-AL"/>
        </w:rPr>
      </w:pPr>
    </w:p>
    <w:p w14:paraId="4912D93A" w14:textId="77777777" w:rsidR="006D5692" w:rsidRPr="00B441B3" w:rsidRDefault="006D5692" w:rsidP="006D5692">
      <w:pPr>
        <w:rPr>
          <w:rFonts w:ascii="Arial" w:hAnsi="Arial" w:cs="Arial"/>
          <w:lang w:val="sq-AL"/>
        </w:rPr>
      </w:pPr>
    </w:p>
    <w:p w14:paraId="73246FB7" w14:textId="4F7F9CEF" w:rsidR="006D5692" w:rsidRPr="00B441B3" w:rsidRDefault="006D5692" w:rsidP="006D5692">
      <w:pPr>
        <w:rPr>
          <w:rFonts w:ascii="Arial" w:hAnsi="Arial" w:cs="Arial"/>
          <w:b/>
          <w:lang w:val="sq-AL"/>
        </w:rPr>
      </w:pPr>
      <w:r w:rsidRPr="00B441B3">
        <w:rPr>
          <w:rFonts w:ascii="Arial" w:hAnsi="Arial" w:cs="Arial"/>
          <w:b/>
          <w:lang w:val="sq-AL"/>
        </w:rPr>
        <w:t xml:space="preserve">Zima 2022 </w:t>
      </w:r>
    </w:p>
    <w:p w14:paraId="6DB45A68" w14:textId="77777777" w:rsidR="006D5692" w:rsidRPr="00B441B3" w:rsidRDefault="006D5692" w:rsidP="006D5692">
      <w:pPr>
        <w:rPr>
          <w:rFonts w:ascii="Arial" w:hAnsi="Arial" w:cs="Arial"/>
          <w:b/>
          <w:lang w:val="sq-AL"/>
        </w:rPr>
      </w:pPr>
    </w:p>
    <w:p w14:paraId="57DEC407" w14:textId="77777777" w:rsidR="006D5692" w:rsidRPr="00B441B3" w:rsidRDefault="006D5692" w:rsidP="006D5692">
      <w:pPr>
        <w:rPr>
          <w:rFonts w:ascii="Arial" w:hAnsi="Arial" w:cs="Arial"/>
          <w:lang w:val="sq-AL"/>
        </w:rPr>
      </w:pPr>
      <w:r w:rsidRPr="00B441B3">
        <w:rPr>
          <w:rFonts w:ascii="Arial" w:hAnsi="Arial" w:cs="Arial"/>
          <w:u w:val="single"/>
          <w:lang w:val="sq-AL"/>
        </w:rPr>
        <w:t>Otpad na plažama</w:t>
      </w:r>
      <w:r w:rsidRPr="00B441B3">
        <w:rPr>
          <w:rFonts w:ascii="Arial" w:hAnsi="Arial" w:cs="Arial"/>
          <w:lang w:val="sq-AL"/>
        </w:rPr>
        <w:t xml:space="preserve"> u toku jesenje sezone prikupljan je krajem decembra mjeseca. </w:t>
      </w:r>
    </w:p>
    <w:p w14:paraId="181326D3" w14:textId="086B5306" w:rsidR="006D5692" w:rsidRPr="006D5692" w:rsidRDefault="006D5692" w:rsidP="006D5692">
      <w:pPr>
        <w:autoSpaceDE w:val="0"/>
        <w:autoSpaceDN w:val="0"/>
        <w:adjustRightInd w:val="0"/>
        <w:spacing w:before="120" w:after="120" w:line="360" w:lineRule="auto"/>
        <w:rPr>
          <w:rFonts w:ascii="Arial" w:hAnsi="Arial" w:cs="Arial"/>
          <w:lang w:val="sq-AL"/>
        </w:rPr>
      </w:pPr>
      <w:r w:rsidRPr="006D5692">
        <w:rPr>
          <w:rFonts w:ascii="Arial" w:hAnsi="Arial" w:cs="Arial"/>
          <w:lang w:val="sq-AL"/>
        </w:rPr>
        <w:t>Obradom otpada sakupljenog na plažama dobijeni su sledeći rezultati: na Velikoj plaži sakupljena je najveća količina otpada, ukupno 167 komada/100</w:t>
      </w:r>
      <w:r w:rsidR="0048120C">
        <w:rPr>
          <w:rFonts w:ascii="Arial" w:hAnsi="Arial" w:cs="Arial"/>
          <w:lang w:val="sq-AL"/>
        </w:rPr>
        <w:t xml:space="preserve"> </w:t>
      </w:r>
      <w:r w:rsidRPr="006D5692">
        <w:rPr>
          <w:rFonts w:ascii="Arial" w:hAnsi="Arial" w:cs="Arial"/>
          <w:lang w:val="sq-AL"/>
        </w:rPr>
        <w:t>m, na plaži Jaz 146 komada/100</w:t>
      </w:r>
      <w:r w:rsidR="0048120C">
        <w:rPr>
          <w:rFonts w:ascii="Arial" w:hAnsi="Arial" w:cs="Arial"/>
          <w:lang w:val="sq-AL"/>
        </w:rPr>
        <w:t xml:space="preserve"> </w:t>
      </w:r>
      <w:r w:rsidRPr="006D5692">
        <w:rPr>
          <w:rFonts w:ascii="Arial" w:hAnsi="Arial" w:cs="Arial"/>
          <w:lang w:val="sq-AL"/>
        </w:rPr>
        <w:t>m dok je na Blatnoj plaži, sakupljeno najmanje komada otpada, 132 komada/100</w:t>
      </w:r>
      <w:r w:rsidR="0048120C">
        <w:rPr>
          <w:rFonts w:ascii="Arial" w:hAnsi="Arial" w:cs="Arial"/>
          <w:lang w:val="sq-AL"/>
        </w:rPr>
        <w:t xml:space="preserve"> </w:t>
      </w:r>
      <w:r w:rsidRPr="006D5692">
        <w:rPr>
          <w:rFonts w:ascii="Arial" w:hAnsi="Arial" w:cs="Arial"/>
          <w:lang w:val="sq-AL"/>
        </w:rPr>
        <w:t xml:space="preserve">m. Sa aspekta ukupne težine otpada, na Velikoj plaži ukupna težina otpada iznosila je 30.37 kg, na Blatnoj plaži 10.34 kg, dok je najmanja ukupna težina otpada izmjerena na Plaži Jaz, 3.08 kg. </w:t>
      </w:r>
    </w:p>
    <w:p w14:paraId="721547AB" w14:textId="08D49F78" w:rsidR="006D5692" w:rsidRPr="006D5692" w:rsidRDefault="006D5692" w:rsidP="006D5692">
      <w:pPr>
        <w:autoSpaceDE w:val="0"/>
        <w:autoSpaceDN w:val="0"/>
        <w:adjustRightInd w:val="0"/>
        <w:spacing w:before="120" w:after="120" w:line="360" w:lineRule="auto"/>
        <w:rPr>
          <w:rFonts w:ascii="Arial" w:hAnsi="Arial" w:cs="Arial"/>
          <w:lang w:val="sq-AL"/>
        </w:rPr>
      </w:pPr>
      <w:r w:rsidRPr="006D5692">
        <w:rPr>
          <w:rFonts w:ascii="Arial" w:hAnsi="Arial" w:cs="Arial"/>
          <w:lang w:val="sq-AL"/>
        </w:rPr>
        <w:t>Najveća gustina otpada bila je na Blatnoj plaži 0.08 komada/m</w:t>
      </w:r>
      <w:r w:rsidRPr="00B441B3">
        <w:rPr>
          <w:rFonts w:ascii="Arial" w:hAnsi="Arial" w:cs="Arial"/>
          <w:vertAlign w:val="superscript"/>
          <w:lang w:val="sq-AL"/>
        </w:rPr>
        <w:t>2</w:t>
      </w:r>
      <w:r w:rsidRPr="006D5692">
        <w:rPr>
          <w:rFonts w:ascii="Arial" w:hAnsi="Arial" w:cs="Arial"/>
          <w:lang w:val="sq-AL"/>
        </w:rPr>
        <w:t>, na Velikoj plaži je iznosila 0.06 komada/m</w:t>
      </w:r>
      <w:r w:rsidRPr="00B441B3">
        <w:rPr>
          <w:rFonts w:ascii="Arial" w:hAnsi="Arial" w:cs="Arial"/>
          <w:vertAlign w:val="superscript"/>
          <w:lang w:val="sq-AL"/>
        </w:rPr>
        <w:t>2</w:t>
      </w:r>
      <w:r w:rsidRPr="006D5692">
        <w:rPr>
          <w:rFonts w:ascii="Arial" w:hAnsi="Arial" w:cs="Arial"/>
          <w:lang w:val="sq-AL"/>
        </w:rPr>
        <w:t>, dok je najmanja gustina bila na plaži Jaz 0.03 komada/ m</w:t>
      </w:r>
      <w:r w:rsidRPr="00B441B3">
        <w:rPr>
          <w:rFonts w:ascii="Arial" w:hAnsi="Arial" w:cs="Arial"/>
          <w:vertAlign w:val="superscript"/>
          <w:lang w:val="sq-AL"/>
        </w:rPr>
        <w:t>2</w:t>
      </w:r>
      <w:r w:rsidRPr="006D5692">
        <w:rPr>
          <w:rFonts w:ascii="Arial" w:hAnsi="Arial" w:cs="Arial"/>
          <w:lang w:val="sq-AL"/>
        </w:rPr>
        <w:t xml:space="preserve"> . Na osnovu CCI (Clean Coastal </w:t>
      </w:r>
      <w:r w:rsidR="0048120C" w:rsidRPr="006D5692">
        <w:rPr>
          <w:rFonts w:ascii="Arial" w:hAnsi="Arial" w:cs="Arial"/>
          <w:lang w:val="sq-AL"/>
        </w:rPr>
        <w:t>Index) (Alkalay i sar., 2007) sve tri plaže spadaju u veoma čiste plaže (CCI od 0 do 2 za veoma čiste plaže). Plaža Jaz ima vrijednost CCI indeksa  0.73, Velika plaža 1.24 dok Blatna plaža ima vrijednost CCI indeksa</w:t>
      </w:r>
      <w:r w:rsidR="001C3525" w:rsidRPr="006D5692">
        <w:rPr>
          <w:rFonts w:ascii="Arial" w:hAnsi="Arial" w:cs="Arial"/>
          <w:lang w:val="sq-AL"/>
        </w:rPr>
        <w:t>1.76.</w:t>
      </w:r>
    </w:p>
    <w:p w14:paraId="356B512D" w14:textId="647946B9" w:rsidR="006D5692" w:rsidRPr="006D5692" w:rsidRDefault="006D5692" w:rsidP="006D5692">
      <w:pPr>
        <w:autoSpaceDE w:val="0"/>
        <w:autoSpaceDN w:val="0"/>
        <w:adjustRightInd w:val="0"/>
        <w:spacing w:before="120" w:after="120" w:line="360" w:lineRule="auto"/>
        <w:rPr>
          <w:rFonts w:ascii="Arial" w:hAnsi="Arial" w:cs="Arial"/>
          <w:lang w:val="sq-AL"/>
        </w:rPr>
      </w:pPr>
      <w:r w:rsidRPr="006D5692">
        <w:rPr>
          <w:rFonts w:ascii="Arial" w:hAnsi="Arial" w:cs="Arial"/>
          <w:lang w:val="sq-AL"/>
        </w:rPr>
        <w:t xml:space="preserve">U kontekstu brojnosti (broj komada/100 m transekta) dominantna kategorija pripada plastici na svim analiziranim transektima. Na Blatnoj plaži, plastični otpad je bio zastupljen u procentu od 84.84 % od ukupne količine sakupljenog otpada, na Velikoj plaži 71.85 % i na plaži Jaz 48.63 %. Od ostalih grupa otpada, na Blatnoj plaži u većoj mjeri je bio zastupljen stakleni otpad 3.78 %, na plaži Jaz, metalni otpad 43.83 %, dok je na Velikoj plaži pored </w:t>
      </w:r>
      <w:r w:rsidR="001C3525">
        <w:rPr>
          <w:rFonts w:ascii="Arial" w:hAnsi="Arial" w:cs="Arial"/>
          <w:lang w:val="sq-AL"/>
        </w:rPr>
        <w:t>otpad od plastičnih proizvoda</w:t>
      </w:r>
      <w:r w:rsidRPr="006D5692">
        <w:rPr>
          <w:rFonts w:ascii="Arial" w:hAnsi="Arial" w:cs="Arial"/>
          <w:lang w:val="sq-AL"/>
        </w:rPr>
        <w:t xml:space="preserve"> dominantna grupa bila obrađeno drvo sa procentom zastupljenosti od 6.58 %. </w:t>
      </w:r>
    </w:p>
    <w:p w14:paraId="040BA964" w14:textId="228A265C" w:rsidR="006D5692" w:rsidRPr="006D5692" w:rsidRDefault="006D5692" w:rsidP="006D5692">
      <w:pPr>
        <w:autoSpaceDE w:val="0"/>
        <w:autoSpaceDN w:val="0"/>
        <w:adjustRightInd w:val="0"/>
        <w:spacing w:before="120" w:after="120" w:line="360" w:lineRule="auto"/>
        <w:rPr>
          <w:rFonts w:ascii="Arial" w:hAnsi="Arial" w:cs="Arial"/>
          <w:lang w:val="sq-AL"/>
        </w:rPr>
      </w:pPr>
      <w:r w:rsidRPr="006D5692">
        <w:rPr>
          <w:rFonts w:ascii="Arial" w:hAnsi="Arial" w:cs="Arial"/>
          <w:lang w:val="sq-AL"/>
        </w:rPr>
        <w:t xml:space="preserve">U kontekstu težine otpada (kg) dominantne kategorije otpada su bile različite na transektima. Na Blatnoj plaži </w:t>
      </w:r>
      <w:r w:rsidR="001C3525" w:rsidRPr="001C3525">
        <w:rPr>
          <w:rFonts w:ascii="Arial" w:hAnsi="Arial" w:cs="Arial"/>
          <w:lang w:val="sq-AL"/>
        </w:rPr>
        <w:t>otpad od plastičnih proizvoda</w:t>
      </w:r>
      <w:r w:rsidRPr="006D5692">
        <w:rPr>
          <w:rFonts w:ascii="Arial" w:hAnsi="Arial" w:cs="Arial"/>
          <w:lang w:val="sq-AL"/>
        </w:rPr>
        <w:t>je imao najveći procenat u pogledu težine, 46.40% kao i na plaži Jaz, 58.75 %, dok je</w:t>
      </w:r>
      <w:r w:rsidR="001C3525">
        <w:rPr>
          <w:rFonts w:ascii="Arial" w:hAnsi="Arial" w:cs="Arial"/>
          <w:lang w:val="sq-AL"/>
        </w:rPr>
        <w:t xml:space="preserve"> na</w:t>
      </w:r>
      <w:r w:rsidRPr="006D5692">
        <w:rPr>
          <w:rFonts w:ascii="Arial" w:hAnsi="Arial" w:cs="Arial"/>
          <w:lang w:val="sq-AL"/>
        </w:rPr>
        <w:t xml:space="preserve"> </w:t>
      </w:r>
      <w:r w:rsidR="001C3525" w:rsidRPr="006D5692">
        <w:rPr>
          <w:rFonts w:ascii="Arial" w:hAnsi="Arial" w:cs="Arial"/>
          <w:lang w:val="sq-AL"/>
        </w:rPr>
        <w:t xml:space="preserve">Velikoj plaži najveći procenat težine ima otpad od obrađenog drveta 65.84 %. Na Blatnoj plaži pored plastičnog otpada, druga dominantna grupa je obrađeno drvo (28.99%), na plaži Jaz to je </w:t>
      </w:r>
      <w:r w:rsidR="001C3525" w:rsidRPr="006D5692">
        <w:rPr>
          <w:rFonts w:ascii="Arial" w:hAnsi="Arial" w:cs="Arial"/>
          <w:lang w:val="sq-AL"/>
        </w:rPr>
        <w:lastRenderedPageBreak/>
        <w:t xml:space="preserve">metalni otpad (26.67 %) dok je na Velikoj plaži pored obrađenog drveta, dominantna grupa bio plastični otpad (18.98 %). </w:t>
      </w:r>
    </w:p>
    <w:p w14:paraId="4E6E16E7" w14:textId="77777777" w:rsidR="006D5692" w:rsidRPr="006D5692" w:rsidRDefault="006D5692" w:rsidP="006D5692">
      <w:pPr>
        <w:rPr>
          <w:rFonts w:ascii="Arial" w:hAnsi="Arial" w:cs="Arial"/>
        </w:rPr>
      </w:pPr>
      <w:r w:rsidRPr="006D5692">
        <w:rPr>
          <w:rFonts w:ascii="Arial" w:hAnsi="Arial" w:cs="Arial"/>
          <w:noProof/>
          <w:lang w:val="en-US"/>
        </w:rPr>
        <mc:AlternateContent>
          <mc:Choice Requires="wpg">
            <w:drawing>
              <wp:inline distT="0" distB="0" distL="0" distR="0" wp14:anchorId="4EA30DD2" wp14:editId="60562008">
                <wp:extent cx="5477104" cy="2140039"/>
                <wp:effectExtent l="0" t="0" r="0" b="0"/>
                <wp:docPr id="895838" name="Group 895838"/>
                <wp:cNvGraphicFramePr/>
                <a:graphic xmlns:a="http://schemas.openxmlformats.org/drawingml/2006/main">
                  <a:graphicData uri="http://schemas.microsoft.com/office/word/2010/wordprocessingGroup">
                    <wpg:wgp>
                      <wpg:cNvGrpSpPr/>
                      <wpg:grpSpPr>
                        <a:xfrm>
                          <a:off x="0" y="0"/>
                          <a:ext cx="5477104" cy="2140039"/>
                          <a:chOff x="0" y="0"/>
                          <a:chExt cx="5477104" cy="2140039"/>
                        </a:xfrm>
                      </wpg:grpSpPr>
                      <wps:wsp>
                        <wps:cNvPr id="41565" name="Shape 41565"/>
                        <wps:cNvSpPr/>
                        <wps:spPr>
                          <a:xfrm>
                            <a:off x="184556" y="551053"/>
                            <a:ext cx="1304874" cy="1304925"/>
                          </a:xfrm>
                          <a:custGeom>
                            <a:avLst/>
                            <a:gdLst/>
                            <a:ahLst/>
                            <a:cxnLst/>
                            <a:rect l="0" t="0" r="0" b="0"/>
                            <a:pathLst>
                              <a:path w="1304874" h="1304925">
                                <a:moveTo>
                                  <a:pt x="652475" y="0"/>
                                </a:moveTo>
                                <a:cubicBezTo>
                                  <a:pt x="1012774" y="0"/>
                                  <a:pt x="1304874" y="292100"/>
                                  <a:pt x="1304874" y="652526"/>
                                </a:cubicBezTo>
                                <a:cubicBezTo>
                                  <a:pt x="1304874" y="1012825"/>
                                  <a:pt x="1012774" y="1304925"/>
                                  <a:pt x="652475" y="1304925"/>
                                </a:cubicBezTo>
                                <a:cubicBezTo>
                                  <a:pt x="292176" y="1304925"/>
                                  <a:pt x="0" y="1012825"/>
                                  <a:pt x="0" y="652526"/>
                                </a:cubicBezTo>
                                <a:cubicBezTo>
                                  <a:pt x="0" y="516763"/>
                                  <a:pt x="42291" y="384556"/>
                                  <a:pt x="120980" y="274066"/>
                                </a:cubicBezTo>
                                <a:lnTo>
                                  <a:pt x="652475" y="652526"/>
                                </a:lnTo>
                                <a:lnTo>
                                  <a:pt x="652475"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41566" name="Shape 41566"/>
                        <wps:cNvSpPr/>
                        <wps:spPr>
                          <a:xfrm>
                            <a:off x="184556" y="551053"/>
                            <a:ext cx="1304874" cy="1304925"/>
                          </a:xfrm>
                          <a:custGeom>
                            <a:avLst/>
                            <a:gdLst/>
                            <a:ahLst/>
                            <a:cxnLst/>
                            <a:rect l="0" t="0" r="0" b="0"/>
                            <a:pathLst>
                              <a:path w="1304874" h="1304925">
                                <a:moveTo>
                                  <a:pt x="652475" y="0"/>
                                </a:moveTo>
                                <a:cubicBezTo>
                                  <a:pt x="1012774" y="0"/>
                                  <a:pt x="1304874" y="292100"/>
                                  <a:pt x="1304874" y="652526"/>
                                </a:cubicBezTo>
                                <a:cubicBezTo>
                                  <a:pt x="1304874" y="1012825"/>
                                  <a:pt x="1012774" y="1304925"/>
                                  <a:pt x="652475" y="1304925"/>
                                </a:cubicBezTo>
                                <a:cubicBezTo>
                                  <a:pt x="292176" y="1304925"/>
                                  <a:pt x="0" y="1012825"/>
                                  <a:pt x="0" y="652526"/>
                                </a:cubicBezTo>
                                <a:cubicBezTo>
                                  <a:pt x="0" y="516763"/>
                                  <a:pt x="42291" y="384556"/>
                                  <a:pt x="120980" y="274066"/>
                                </a:cubicBezTo>
                                <a:lnTo>
                                  <a:pt x="652475" y="652526"/>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567" name="Shape 41567"/>
                        <wps:cNvSpPr/>
                        <wps:spPr>
                          <a:xfrm>
                            <a:off x="297536" y="743331"/>
                            <a:ext cx="531495" cy="450215"/>
                          </a:xfrm>
                          <a:custGeom>
                            <a:avLst/>
                            <a:gdLst/>
                            <a:ahLst/>
                            <a:cxnLst/>
                            <a:rect l="0" t="0" r="0" b="0"/>
                            <a:pathLst>
                              <a:path w="531495" h="450215">
                                <a:moveTo>
                                  <a:pt x="59309" y="0"/>
                                </a:moveTo>
                                <a:lnTo>
                                  <a:pt x="531495" y="450215"/>
                                </a:lnTo>
                                <a:lnTo>
                                  <a:pt x="0" y="71755"/>
                                </a:lnTo>
                                <a:cubicBezTo>
                                  <a:pt x="18034" y="46482"/>
                                  <a:pt x="37846" y="22479"/>
                                  <a:pt x="59309" y="0"/>
                                </a:cubicBez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41568" name="Shape 41568"/>
                        <wps:cNvSpPr/>
                        <wps:spPr>
                          <a:xfrm>
                            <a:off x="297536" y="743331"/>
                            <a:ext cx="531495" cy="450215"/>
                          </a:xfrm>
                          <a:custGeom>
                            <a:avLst/>
                            <a:gdLst/>
                            <a:ahLst/>
                            <a:cxnLst/>
                            <a:rect l="0" t="0" r="0" b="0"/>
                            <a:pathLst>
                              <a:path w="531495" h="450215">
                                <a:moveTo>
                                  <a:pt x="0" y="71755"/>
                                </a:moveTo>
                                <a:cubicBezTo>
                                  <a:pt x="18034" y="46482"/>
                                  <a:pt x="37846" y="22479"/>
                                  <a:pt x="59309" y="0"/>
                                </a:cubicBezTo>
                                <a:lnTo>
                                  <a:pt x="531495" y="45021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569" name="Shape 41569"/>
                        <wps:cNvSpPr/>
                        <wps:spPr>
                          <a:xfrm>
                            <a:off x="357226" y="720852"/>
                            <a:ext cx="472186" cy="472313"/>
                          </a:xfrm>
                          <a:custGeom>
                            <a:avLst/>
                            <a:gdLst/>
                            <a:ahLst/>
                            <a:cxnLst/>
                            <a:rect l="0" t="0" r="0" b="0"/>
                            <a:pathLst>
                              <a:path w="472186" h="472313">
                                <a:moveTo>
                                  <a:pt x="21971" y="0"/>
                                </a:moveTo>
                                <a:lnTo>
                                  <a:pt x="472186" y="472313"/>
                                </a:lnTo>
                                <a:lnTo>
                                  <a:pt x="0" y="21971"/>
                                </a:lnTo>
                                <a:cubicBezTo>
                                  <a:pt x="7112" y="14478"/>
                                  <a:pt x="14478" y="7239"/>
                                  <a:pt x="21971" y="0"/>
                                </a:cubicBez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41570" name="Shape 41570"/>
                        <wps:cNvSpPr/>
                        <wps:spPr>
                          <a:xfrm>
                            <a:off x="357226" y="720852"/>
                            <a:ext cx="472186" cy="472313"/>
                          </a:xfrm>
                          <a:custGeom>
                            <a:avLst/>
                            <a:gdLst/>
                            <a:ahLst/>
                            <a:cxnLst/>
                            <a:rect l="0" t="0" r="0" b="0"/>
                            <a:pathLst>
                              <a:path w="472186" h="472313">
                                <a:moveTo>
                                  <a:pt x="0" y="21971"/>
                                </a:moveTo>
                                <a:cubicBezTo>
                                  <a:pt x="7112" y="14478"/>
                                  <a:pt x="14478" y="7239"/>
                                  <a:pt x="21971" y="0"/>
                                </a:cubicBezTo>
                                <a:lnTo>
                                  <a:pt x="472186" y="472313"/>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571" name="Shape 41571"/>
                        <wps:cNvSpPr/>
                        <wps:spPr>
                          <a:xfrm>
                            <a:off x="379324" y="720852"/>
                            <a:ext cx="450215" cy="472186"/>
                          </a:xfrm>
                          <a:custGeom>
                            <a:avLst/>
                            <a:gdLst/>
                            <a:ahLst/>
                            <a:cxnLst/>
                            <a:rect l="0" t="0" r="0" b="0"/>
                            <a:pathLst>
                              <a:path w="450215" h="472186">
                                <a:moveTo>
                                  <a:pt x="0" y="0"/>
                                </a:moveTo>
                                <a:lnTo>
                                  <a:pt x="450215" y="472186"/>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572" name="Shape 41572"/>
                        <wps:cNvSpPr/>
                        <wps:spPr>
                          <a:xfrm>
                            <a:off x="379578" y="661162"/>
                            <a:ext cx="450342" cy="531495"/>
                          </a:xfrm>
                          <a:custGeom>
                            <a:avLst/>
                            <a:gdLst/>
                            <a:ahLst/>
                            <a:cxnLst/>
                            <a:rect l="0" t="0" r="0" b="0"/>
                            <a:pathLst>
                              <a:path w="450342" h="531495">
                                <a:moveTo>
                                  <a:pt x="71882" y="0"/>
                                </a:moveTo>
                                <a:lnTo>
                                  <a:pt x="450342" y="531495"/>
                                </a:lnTo>
                                <a:lnTo>
                                  <a:pt x="0" y="59309"/>
                                </a:lnTo>
                                <a:cubicBezTo>
                                  <a:pt x="22479" y="37846"/>
                                  <a:pt x="46482" y="18034"/>
                                  <a:pt x="71882"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41573" name="Shape 41573"/>
                        <wps:cNvSpPr/>
                        <wps:spPr>
                          <a:xfrm>
                            <a:off x="379578" y="661162"/>
                            <a:ext cx="450342" cy="531495"/>
                          </a:xfrm>
                          <a:custGeom>
                            <a:avLst/>
                            <a:gdLst/>
                            <a:ahLst/>
                            <a:cxnLst/>
                            <a:rect l="0" t="0" r="0" b="0"/>
                            <a:pathLst>
                              <a:path w="450342" h="531495">
                                <a:moveTo>
                                  <a:pt x="0" y="59309"/>
                                </a:moveTo>
                                <a:cubicBezTo>
                                  <a:pt x="22479" y="37846"/>
                                  <a:pt x="46482" y="18034"/>
                                  <a:pt x="71882" y="0"/>
                                </a:cubicBezTo>
                                <a:lnTo>
                                  <a:pt x="450342" y="53149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574" name="Shape 41574"/>
                        <wps:cNvSpPr/>
                        <wps:spPr>
                          <a:xfrm>
                            <a:off x="452349" y="598551"/>
                            <a:ext cx="378460" cy="593471"/>
                          </a:xfrm>
                          <a:custGeom>
                            <a:avLst/>
                            <a:gdLst/>
                            <a:ahLst/>
                            <a:cxnLst/>
                            <a:rect l="0" t="0" r="0" b="0"/>
                            <a:pathLst>
                              <a:path w="378460" h="593471">
                                <a:moveTo>
                                  <a:pt x="107315" y="0"/>
                                </a:moveTo>
                                <a:lnTo>
                                  <a:pt x="378460" y="593471"/>
                                </a:lnTo>
                                <a:lnTo>
                                  <a:pt x="0" y="62103"/>
                                </a:lnTo>
                                <a:cubicBezTo>
                                  <a:pt x="33655" y="37973"/>
                                  <a:pt x="69723" y="17272"/>
                                  <a:pt x="107315" y="0"/>
                                </a:cubicBezTo>
                                <a:close/>
                              </a:path>
                            </a:pathLst>
                          </a:custGeom>
                          <a:ln w="0" cap="flat">
                            <a:round/>
                          </a:ln>
                        </wps:spPr>
                        <wps:style>
                          <a:lnRef idx="0">
                            <a:srgbClr val="000000">
                              <a:alpha val="0"/>
                            </a:srgbClr>
                          </a:lnRef>
                          <a:fillRef idx="1">
                            <a:srgbClr val="70AD47"/>
                          </a:fillRef>
                          <a:effectRef idx="0">
                            <a:scrgbClr r="0" g="0" b="0"/>
                          </a:effectRef>
                          <a:fontRef idx="none"/>
                        </wps:style>
                        <wps:bodyPr/>
                      </wps:wsp>
                      <wps:wsp>
                        <wps:cNvPr id="41575" name="Shape 41575"/>
                        <wps:cNvSpPr/>
                        <wps:spPr>
                          <a:xfrm>
                            <a:off x="452349" y="598551"/>
                            <a:ext cx="378460" cy="593471"/>
                          </a:xfrm>
                          <a:custGeom>
                            <a:avLst/>
                            <a:gdLst/>
                            <a:ahLst/>
                            <a:cxnLst/>
                            <a:rect l="0" t="0" r="0" b="0"/>
                            <a:pathLst>
                              <a:path w="378460" h="593471">
                                <a:moveTo>
                                  <a:pt x="0" y="62103"/>
                                </a:moveTo>
                                <a:cubicBezTo>
                                  <a:pt x="33655" y="37973"/>
                                  <a:pt x="69723" y="17272"/>
                                  <a:pt x="107315" y="0"/>
                                </a:cubicBezTo>
                                <a:lnTo>
                                  <a:pt x="378460" y="593471"/>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576" name="Shape 41576"/>
                        <wps:cNvSpPr/>
                        <wps:spPr>
                          <a:xfrm>
                            <a:off x="561061" y="550799"/>
                            <a:ext cx="271018" cy="640715"/>
                          </a:xfrm>
                          <a:custGeom>
                            <a:avLst/>
                            <a:gdLst/>
                            <a:ahLst/>
                            <a:cxnLst/>
                            <a:rect l="0" t="0" r="0" b="0"/>
                            <a:pathLst>
                              <a:path w="271018" h="640715">
                                <a:moveTo>
                                  <a:pt x="147447" y="0"/>
                                </a:moveTo>
                                <a:lnTo>
                                  <a:pt x="271018" y="640715"/>
                                </a:lnTo>
                                <a:lnTo>
                                  <a:pt x="0" y="47244"/>
                                </a:lnTo>
                                <a:cubicBezTo>
                                  <a:pt x="47117" y="25654"/>
                                  <a:pt x="96647" y="9906"/>
                                  <a:pt x="147447" y="0"/>
                                </a:cubicBezTo>
                                <a:close/>
                              </a:path>
                            </a:pathLst>
                          </a:custGeom>
                          <a:ln w="0" cap="flat">
                            <a:round/>
                          </a:ln>
                        </wps:spPr>
                        <wps:style>
                          <a:lnRef idx="0">
                            <a:srgbClr val="000000">
                              <a:alpha val="0"/>
                            </a:srgbClr>
                          </a:lnRef>
                          <a:fillRef idx="1">
                            <a:srgbClr val="255E91"/>
                          </a:fillRef>
                          <a:effectRef idx="0">
                            <a:scrgbClr r="0" g="0" b="0"/>
                          </a:effectRef>
                          <a:fontRef idx="none"/>
                        </wps:style>
                        <wps:bodyPr/>
                      </wps:wsp>
                      <wps:wsp>
                        <wps:cNvPr id="41577" name="Shape 41577"/>
                        <wps:cNvSpPr/>
                        <wps:spPr>
                          <a:xfrm>
                            <a:off x="561061" y="550799"/>
                            <a:ext cx="271018" cy="640715"/>
                          </a:xfrm>
                          <a:custGeom>
                            <a:avLst/>
                            <a:gdLst/>
                            <a:ahLst/>
                            <a:cxnLst/>
                            <a:rect l="0" t="0" r="0" b="0"/>
                            <a:pathLst>
                              <a:path w="271018" h="640715">
                                <a:moveTo>
                                  <a:pt x="0" y="47244"/>
                                </a:moveTo>
                                <a:cubicBezTo>
                                  <a:pt x="47117" y="25654"/>
                                  <a:pt x="96647" y="9906"/>
                                  <a:pt x="147447" y="0"/>
                                </a:cubicBezTo>
                                <a:lnTo>
                                  <a:pt x="271018" y="640715"/>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578" name="Shape 41578"/>
                        <wps:cNvSpPr/>
                        <wps:spPr>
                          <a:xfrm>
                            <a:off x="709270" y="550672"/>
                            <a:ext cx="123571" cy="640588"/>
                          </a:xfrm>
                          <a:custGeom>
                            <a:avLst/>
                            <a:gdLst/>
                            <a:ahLst/>
                            <a:cxnLst/>
                            <a:rect l="0" t="0" r="0" b="0"/>
                            <a:pathLst>
                              <a:path w="123571" h="640588">
                                <a:moveTo>
                                  <a:pt x="0" y="0"/>
                                </a:moveTo>
                                <a:lnTo>
                                  <a:pt x="123571" y="640588"/>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579" name="Shape 41579"/>
                        <wps:cNvSpPr/>
                        <wps:spPr>
                          <a:xfrm>
                            <a:off x="709651" y="541782"/>
                            <a:ext cx="123444" cy="649478"/>
                          </a:xfrm>
                          <a:custGeom>
                            <a:avLst/>
                            <a:gdLst/>
                            <a:ahLst/>
                            <a:cxnLst/>
                            <a:rect l="0" t="0" r="0" b="0"/>
                            <a:pathLst>
                              <a:path w="123444" h="649478">
                                <a:moveTo>
                                  <a:pt x="61468" y="0"/>
                                </a:moveTo>
                                <a:lnTo>
                                  <a:pt x="123444" y="649478"/>
                                </a:lnTo>
                                <a:lnTo>
                                  <a:pt x="0" y="8763"/>
                                </a:lnTo>
                                <a:cubicBezTo>
                                  <a:pt x="20320" y="4953"/>
                                  <a:pt x="40767" y="1905"/>
                                  <a:pt x="61468" y="0"/>
                                </a:cubicBezTo>
                                <a:close/>
                              </a:path>
                            </a:pathLst>
                          </a:custGeom>
                          <a:ln w="0" cap="flat">
                            <a:round/>
                          </a:ln>
                        </wps:spPr>
                        <wps:style>
                          <a:lnRef idx="0">
                            <a:srgbClr val="000000">
                              <a:alpha val="0"/>
                            </a:srgbClr>
                          </a:lnRef>
                          <a:fillRef idx="1">
                            <a:srgbClr val="636363"/>
                          </a:fillRef>
                          <a:effectRef idx="0">
                            <a:scrgbClr r="0" g="0" b="0"/>
                          </a:effectRef>
                          <a:fontRef idx="none"/>
                        </wps:style>
                        <wps:bodyPr/>
                      </wps:wsp>
                      <wps:wsp>
                        <wps:cNvPr id="41580" name="Shape 41580"/>
                        <wps:cNvSpPr/>
                        <wps:spPr>
                          <a:xfrm>
                            <a:off x="709651" y="541782"/>
                            <a:ext cx="123444" cy="649478"/>
                          </a:xfrm>
                          <a:custGeom>
                            <a:avLst/>
                            <a:gdLst/>
                            <a:ahLst/>
                            <a:cxnLst/>
                            <a:rect l="0" t="0" r="0" b="0"/>
                            <a:pathLst>
                              <a:path w="123444" h="649478">
                                <a:moveTo>
                                  <a:pt x="0" y="8763"/>
                                </a:moveTo>
                                <a:cubicBezTo>
                                  <a:pt x="20320" y="4953"/>
                                  <a:pt x="40767" y="1905"/>
                                  <a:pt x="61468" y="0"/>
                                </a:cubicBezTo>
                                <a:lnTo>
                                  <a:pt x="123444" y="649478"/>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581" name="Shape 41581"/>
                        <wps:cNvSpPr/>
                        <wps:spPr>
                          <a:xfrm>
                            <a:off x="771754" y="538734"/>
                            <a:ext cx="61976" cy="652526"/>
                          </a:xfrm>
                          <a:custGeom>
                            <a:avLst/>
                            <a:gdLst/>
                            <a:ahLst/>
                            <a:cxnLst/>
                            <a:rect l="0" t="0" r="0" b="0"/>
                            <a:pathLst>
                              <a:path w="61976" h="652526">
                                <a:moveTo>
                                  <a:pt x="61976" y="0"/>
                                </a:moveTo>
                                <a:lnTo>
                                  <a:pt x="61976" y="652526"/>
                                </a:lnTo>
                                <a:lnTo>
                                  <a:pt x="0" y="2921"/>
                                </a:lnTo>
                                <a:cubicBezTo>
                                  <a:pt x="20574" y="1016"/>
                                  <a:pt x="41275" y="0"/>
                                  <a:pt x="61976" y="0"/>
                                </a:cubicBezTo>
                                <a:close/>
                              </a:path>
                            </a:pathLst>
                          </a:custGeom>
                          <a:ln w="0" cap="flat">
                            <a:round/>
                          </a:ln>
                        </wps:spPr>
                        <wps:style>
                          <a:lnRef idx="0">
                            <a:srgbClr val="000000">
                              <a:alpha val="0"/>
                            </a:srgbClr>
                          </a:lnRef>
                          <a:fillRef idx="1">
                            <a:srgbClr val="997300"/>
                          </a:fillRef>
                          <a:effectRef idx="0">
                            <a:scrgbClr r="0" g="0" b="0"/>
                          </a:effectRef>
                          <a:fontRef idx="none"/>
                        </wps:style>
                        <wps:bodyPr/>
                      </wps:wsp>
                      <wps:wsp>
                        <wps:cNvPr id="41582" name="Shape 41582"/>
                        <wps:cNvSpPr/>
                        <wps:spPr>
                          <a:xfrm>
                            <a:off x="771754" y="538734"/>
                            <a:ext cx="61976" cy="652526"/>
                          </a:xfrm>
                          <a:custGeom>
                            <a:avLst/>
                            <a:gdLst/>
                            <a:ahLst/>
                            <a:cxnLst/>
                            <a:rect l="0" t="0" r="0" b="0"/>
                            <a:pathLst>
                              <a:path w="61976" h="652526">
                                <a:moveTo>
                                  <a:pt x="0" y="2921"/>
                                </a:moveTo>
                                <a:cubicBezTo>
                                  <a:pt x="20574" y="1016"/>
                                  <a:pt x="41275" y="0"/>
                                  <a:pt x="61976" y="0"/>
                                </a:cubicBezTo>
                                <a:lnTo>
                                  <a:pt x="61976" y="652526"/>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583" name="Shape 41583"/>
                        <wps:cNvSpPr/>
                        <wps:spPr>
                          <a:xfrm>
                            <a:off x="833984" y="538734"/>
                            <a:ext cx="0" cy="652526"/>
                          </a:xfrm>
                          <a:custGeom>
                            <a:avLst/>
                            <a:gdLst/>
                            <a:ahLst/>
                            <a:cxnLst/>
                            <a:rect l="0" t="0" r="0" b="0"/>
                            <a:pathLst>
                              <a:path h="652526">
                                <a:moveTo>
                                  <a:pt x="0" y="0"/>
                                </a:moveTo>
                                <a:lnTo>
                                  <a:pt x="0" y="652526"/>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584" name="Shape 41584"/>
                        <wps:cNvSpPr/>
                        <wps:spPr>
                          <a:xfrm>
                            <a:off x="313030" y="585343"/>
                            <a:ext cx="12192" cy="193548"/>
                          </a:xfrm>
                          <a:custGeom>
                            <a:avLst/>
                            <a:gdLst/>
                            <a:ahLst/>
                            <a:cxnLst/>
                            <a:rect l="0" t="0" r="0" b="0"/>
                            <a:pathLst>
                              <a:path w="12192" h="193548">
                                <a:moveTo>
                                  <a:pt x="12192" y="193548"/>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585" name="Shape 41585"/>
                        <wps:cNvSpPr/>
                        <wps:spPr>
                          <a:xfrm>
                            <a:off x="313030" y="428371"/>
                            <a:ext cx="54864" cy="303276"/>
                          </a:xfrm>
                          <a:custGeom>
                            <a:avLst/>
                            <a:gdLst/>
                            <a:ahLst/>
                            <a:cxnLst/>
                            <a:rect l="0" t="0" r="0" b="0"/>
                            <a:pathLst>
                              <a:path w="54864" h="303276">
                                <a:moveTo>
                                  <a:pt x="54864" y="303276"/>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586" name="Shape 41586"/>
                        <wps:cNvSpPr/>
                        <wps:spPr>
                          <a:xfrm>
                            <a:off x="367894" y="288163"/>
                            <a:ext cx="137160" cy="338328"/>
                          </a:xfrm>
                          <a:custGeom>
                            <a:avLst/>
                            <a:gdLst/>
                            <a:ahLst/>
                            <a:cxnLst/>
                            <a:rect l="0" t="0" r="0" b="0"/>
                            <a:pathLst>
                              <a:path w="137160" h="338328">
                                <a:moveTo>
                                  <a:pt x="137160" y="338328"/>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587" name="Shape 41587"/>
                        <wps:cNvSpPr/>
                        <wps:spPr>
                          <a:xfrm>
                            <a:off x="593446" y="176911"/>
                            <a:ext cx="39624" cy="393192"/>
                          </a:xfrm>
                          <a:custGeom>
                            <a:avLst/>
                            <a:gdLst/>
                            <a:ahLst/>
                            <a:cxnLst/>
                            <a:rect l="0" t="0" r="0" b="0"/>
                            <a:pathLst>
                              <a:path w="39624" h="393192">
                                <a:moveTo>
                                  <a:pt x="39624" y="393192"/>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588" name="Shape 41588"/>
                        <wps:cNvSpPr/>
                        <wps:spPr>
                          <a:xfrm>
                            <a:off x="709270" y="144907"/>
                            <a:ext cx="0" cy="405384"/>
                          </a:xfrm>
                          <a:custGeom>
                            <a:avLst/>
                            <a:gdLst/>
                            <a:ahLst/>
                            <a:cxnLst/>
                            <a:rect l="0" t="0" r="0" b="0"/>
                            <a:pathLst>
                              <a:path h="405384">
                                <a:moveTo>
                                  <a:pt x="0" y="405384"/>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589" name="Shape 41589"/>
                        <wps:cNvSpPr/>
                        <wps:spPr>
                          <a:xfrm>
                            <a:off x="739750" y="199771"/>
                            <a:ext cx="74676" cy="345948"/>
                          </a:xfrm>
                          <a:custGeom>
                            <a:avLst/>
                            <a:gdLst/>
                            <a:ahLst/>
                            <a:cxnLst/>
                            <a:rect l="0" t="0" r="0" b="0"/>
                            <a:pathLst>
                              <a:path w="74676" h="345948">
                                <a:moveTo>
                                  <a:pt x="0" y="345948"/>
                                </a:moveTo>
                                <a:lnTo>
                                  <a:pt x="18288" y="0"/>
                                </a:lnTo>
                                <a:lnTo>
                                  <a:pt x="74676"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590" name="Shape 41590"/>
                        <wps:cNvSpPr/>
                        <wps:spPr>
                          <a:xfrm>
                            <a:off x="802234" y="463423"/>
                            <a:ext cx="140208" cy="76200"/>
                          </a:xfrm>
                          <a:custGeom>
                            <a:avLst/>
                            <a:gdLst/>
                            <a:ahLst/>
                            <a:cxnLst/>
                            <a:rect l="0" t="0" r="0" b="0"/>
                            <a:pathLst>
                              <a:path w="140208" h="76200">
                                <a:moveTo>
                                  <a:pt x="0" y="76200"/>
                                </a:moveTo>
                                <a:lnTo>
                                  <a:pt x="83820" y="0"/>
                                </a:lnTo>
                                <a:lnTo>
                                  <a:pt x="140208"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591" name="Shape 41591"/>
                        <wps:cNvSpPr/>
                        <wps:spPr>
                          <a:xfrm>
                            <a:off x="834238" y="336931"/>
                            <a:ext cx="64008" cy="201168"/>
                          </a:xfrm>
                          <a:custGeom>
                            <a:avLst/>
                            <a:gdLst/>
                            <a:ahLst/>
                            <a:cxnLst/>
                            <a:rect l="0" t="0" r="0" b="0"/>
                            <a:pathLst>
                              <a:path w="64008" h="201168">
                                <a:moveTo>
                                  <a:pt x="0" y="201168"/>
                                </a:moveTo>
                                <a:lnTo>
                                  <a:pt x="7620" y="0"/>
                                </a:lnTo>
                                <a:lnTo>
                                  <a:pt x="64008"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759496" name="Rectangle 759496"/>
                        <wps:cNvSpPr/>
                        <wps:spPr>
                          <a:xfrm>
                            <a:off x="935076" y="1513332"/>
                            <a:ext cx="346603" cy="154840"/>
                          </a:xfrm>
                          <a:prstGeom prst="rect">
                            <a:avLst/>
                          </a:prstGeom>
                          <a:ln>
                            <a:noFill/>
                          </a:ln>
                        </wps:spPr>
                        <wps:txbx>
                          <w:txbxContent>
                            <w:p w14:paraId="72E26585" w14:textId="77777777" w:rsidR="0014164F" w:rsidRDefault="0014164F" w:rsidP="006D5692">
                              <w:r>
                                <w:rPr>
                                  <w:rFonts w:ascii="Calibri" w:hAnsi="Calibri" w:cs="Calibri"/>
                                  <w:color w:val="404040"/>
                                  <w:sz w:val="18"/>
                                </w:rPr>
                                <w:t>84.85</w:t>
                              </w:r>
                            </w:p>
                          </w:txbxContent>
                        </wps:txbx>
                        <wps:bodyPr horzOverflow="overflow" vert="horz" lIns="0" tIns="0" rIns="0" bIns="0" rtlCol="0">
                          <a:noAutofit/>
                        </wps:bodyPr>
                      </wps:wsp>
                      <wps:wsp>
                        <wps:cNvPr id="759498" name="Rectangle 759498"/>
                        <wps:cNvSpPr/>
                        <wps:spPr>
                          <a:xfrm>
                            <a:off x="1195680" y="1513332"/>
                            <a:ext cx="108694" cy="154840"/>
                          </a:xfrm>
                          <a:prstGeom prst="rect">
                            <a:avLst/>
                          </a:prstGeom>
                          <a:ln>
                            <a:noFill/>
                          </a:ln>
                        </wps:spPr>
                        <wps:txbx>
                          <w:txbxContent>
                            <w:p w14:paraId="725DA07D"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74" name="Rectangle 759474"/>
                        <wps:cNvSpPr/>
                        <wps:spPr>
                          <a:xfrm>
                            <a:off x="202654" y="499872"/>
                            <a:ext cx="108694" cy="154840"/>
                          </a:xfrm>
                          <a:prstGeom prst="rect">
                            <a:avLst/>
                          </a:prstGeom>
                          <a:ln>
                            <a:noFill/>
                          </a:ln>
                        </wps:spPr>
                        <wps:txbx>
                          <w:txbxContent>
                            <w:p w14:paraId="0CE2E14F"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73" name="Rectangle 759473"/>
                        <wps:cNvSpPr/>
                        <wps:spPr>
                          <a:xfrm>
                            <a:off x="0" y="499872"/>
                            <a:ext cx="269530" cy="154840"/>
                          </a:xfrm>
                          <a:prstGeom prst="rect">
                            <a:avLst/>
                          </a:prstGeom>
                          <a:ln>
                            <a:noFill/>
                          </a:ln>
                        </wps:spPr>
                        <wps:txbx>
                          <w:txbxContent>
                            <w:p w14:paraId="76EA5DF3" w14:textId="77777777" w:rsidR="0014164F" w:rsidRDefault="0014164F" w:rsidP="006D5692">
                              <w:r>
                                <w:rPr>
                                  <w:rFonts w:ascii="Calibri" w:hAnsi="Calibri" w:cs="Calibri"/>
                                  <w:color w:val="404040"/>
                                  <w:sz w:val="18"/>
                                </w:rPr>
                                <w:t>2.27</w:t>
                              </w:r>
                            </w:p>
                          </w:txbxContent>
                        </wps:txbx>
                        <wps:bodyPr horzOverflow="overflow" vert="horz" lIns="0" tIns="0" rIns="0" bIns="0" rtlCol="0">
                          <a:noAutofit/>
                        </wps:bodyPr>
                      </wps:wsp>
                      <wps:wsp>
                        <wps:cNvPr id="759460" name="Rectangle 759460"/>
                        <wps:cNvSpPr/>
                        <wps:spPr>
                          <a:xfrm>
                            <a:off x="6706" y="342900"/>
                            <a:ext cx="269530" cy="154840"/>
                          </a:xfrm>
                          <a:prstGeom prst="rect">
                            <a:avLst/>
                          </a:prstGeom>
                          <a:ln>
                            <a:noFill/>
                          </a:ln>
                        </wps:spPr>
                        <wps:txbx>
                          <w:txbxContent>
                            <w:p w14:paraId="1983671F" w14:textId="77777777" w:rsidR="0014164F" w:rsidRDefault="0014164F" w:rsidP="006D5692">
                              <w:r>
                                <w:rPr>
                                  <w:rFonts w:ascii="Calibri" w:hAnsi="Calibri" w:cs="Calibri"/>
                                  <w:color w:val="404040"/>
                                  <w:sz w:val="18"/>
                                </w:rPr>
                                <w:t>0.76</w:t>
                              </w:r>
                            </w:p>
                          </w:txbxContent>
                        </wps:txbx>
                        <wps:bodyPr horzOverflow="overflow" vert="horz" lIns="0" tIns="0" rIns="0" bIns="0" rtlCol="0">
                          <a:noAutofit/>
                        </wps:bodyPr>
                      </wps:wsp>
                      <wps:wsp>
                        <wps:cNvPr id="759461" name="Rectangle 759461"/>
                        <wps:cNvSpPr/>
                        <wps:spPr>
                          <a:xfrm>
                            <a:off x="209360" y="342900"/>
                            <a:ext cx="108694" cy="154840"/>
                          </a:xfrm>
                          <a:prstGeom prst="rect">
                            <a:avLst/>
                          </a:prstGeom>
                          <a:ln>
                            <a:noFill/>
                          </a:ln>
                        </wps:spPr>
                        <wps:txbx>
                          <w:txbxContent>
                            <w:p w14:paraId="67E81964"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83" name="Rectangle 759483"/>
                        <wps:cNvSpPr/>
                        <wps:spPr>
                          <a:xfrm>
                            <a:off x="45110" y="875411"/>
                            <a:ext cx="269530" cy="154840"/>
                          </a:xfrm>
                          <a:prstGeom prst="rect">
                            <a:avLst/>
                          </a:prstGeom>
                          <a:ln>
                            <a:noFill/>
                          </a:ln>
                        </wps:spPr>
                        <wps:txbx>
                          <w:txbxContent>
                            <w:p w14:paraId="2ECF6956" w14:textId="77777777" w:rsidR="0014164F" w:rsidRDefault="0014164F" w:rsidP="006D5692">
                              <w:r>
                                <w:rPr>
                                  <w:rFonts w:ascii="Calibri" w:hAnsi="Calibri" w:cs="Calibri"/>
                                  <w:color w:val="404040"/>
                                  <w:sz w:val="18"/>
                                </w:rPr>
                                <w:t>0.00</w:t>
                              </w:r>
                            </w:p>
                          </w:txbxContent>
                        </wps:txbx>
                        <wps:bodyPr horzOverflow="overflow" vert="horz" lIns="0" tIns="0" rIns="0" bIns="0" rtlCol="0">
                          <a:noAutofit/>
                        </wps:bodyPr>
                      </wps:wsp>
                      <wps:wsp>
                        <wps:cNvPr id="759484" name="Rectangle 759484"/>
                        <wps:cNvSpPr/>
                        <wps:spPr>
                          <a:xfrm>
                            <a:off x="247764" y="875411"/>
                            <a:ext cx="108694" cy="154840"/>
                          </a:xfrm>
                          <a:prstGeom prst="rect">
                            <a:avLst/>
                          </a:prstGeom>
                          <a:ln>
                            <a:noFill/>
                          </a:ln>
                        </wps:spPr>
                        <wps:txbx>
                          <w:txbxContent>
                            <w:p w14:paraId="798EE292"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79" name="Rectangle 759479"/>
                        <wps:cNvSpPr/>
                        <wps:spPr>
                          <a:xfrm>
                            <a:off x="17069" y="654177"/>
                            <a:ext cx="269530" cy="154840"/>
                          </a:xfrm>
                          <a:prstGeom prst="rect">
                            <a:avLst/>
                          </a:prstGeom>
                          <a:ln>
                            <a:noFill/>
                          </a:ln>
                        </wps:spPr>
                        <wps:txbx>
                          <w:txbxContent>
                            <w:p w14:paraId="2FB5B0C2" w14:textId="77777777" w:rsidR="0014164F" w:rsidRDefault="0014164F" w:rsidP="006D5692">
                              <w:r>
                                <w:rPr>
                                  <w:rFonts w:ascii="Calibri" w:hAnsi="Calibri" w:cs="Calibri"/>
                                  <w:color w:val="404040"/>
                                  <w:sz w:val="18"/>
                                </w:rPr>
                                <w:t>2.27</w:t>
                              </w:r>
                            </w:p>
                          </w:txbxContent>
                        </wps:txbx>
                        <wps:bodyPr horzOverflow="overflow" vert="horz" lIns="0" tIns="0" rIns="0" bIns="0" rtlCol="0">
                          <a:noAutofit/>
                        </wps:bodyPr>
                      </wps:wsp>
                      <wps:wsp>
                        <wps:cNvPr id="759480" name="Rectangle 759480"/>
                        <wps:cNvSpPr/>
                        <wps:spPr>
                          <a:xfrm>
                            <a:off x="219723" y="654177"/>
                            <a:ext cx="108694" cy="154840"/>
                          </a:xfrm>
                          <a:prstGeom prst="rect">
                            <a:avLst/>
                          </a:prstGeom>
                          <a:ln>
                            <a:noFill/>
                          </a:ln>
                        </wps:spPr>
                        <wps:txbx>
                          <w:txbxContent>
                            <w:p w14:paraId="18B3FAF7"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56" name="Rectangle 759456"/>
                        <wps:cNvSpPr/>
                        <wps:spPr>
                          <a:xfrm>
                            <a:off x="64618" y="202184"/>
                            <a:ext cx="269530" cy="154840"/>
                          </a:xfrm>
                          <a:prstGeom prst="rect">
                            <a:avLst/>
                          </a:prstGeom>
                          <a:ln>
                            <a:noFill/>
                          </a:ln>
                        </wps:spPr>
                        <wps:txbx>
                          <w:txbxContent>
                            <w:p w14:paraId="2AE728A1" w14:textId="77777777" w:rsidR="0014164F" w:rsidRDefault="0014164F" w:rsidP="006D5692">
                              <w:r>
                                <w:rPr>
                                  <w:rFonts w:ascii="Calibri" w:hAnsi="Calibri" w:cs="Calibri"/>
                                  <w:color w:val="404040"/>
                                  <w:sz w:val="18"/>
                                </w:rPr>
                                <w:t>3.03</w:t>
                              </w:r>
                            </w:p>
                          </w:txbxContent>
                        </wps:txbx>
                        <wps:bodyPr horzOverflow="overflow" vert="horz" lIns="0" tIns="0" rIns="0" bIns="0" rtlCol="0">
                          <a:noAutofit/>
                        </wps:bodyPr>
                      </wps:wsp>
                      <wps:wsp>
                        <wps:cNvPr id="759457" name="Rectangle 759457"/>
                        <wps:cNvSpPr/>
                        <wps:spPr>
                          <a:xfrm>
                            <a:off x="267272" y="202184"/>
                            <a:ext cx="108694" cy="154840"/>
                          </a:xfrm>
                          <a:prstGeom prst="rect">
                            <a:avLst/>
                          </a:prstGeom>
                          <a:ln>
                            <a:noFill/>
                          </a:ln>
                        </wps:spPr>
                        <wps:txbx>
                          <w:txbxContent>
                            <w:p w14:paraId="249F22B5"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53" name="Rectangle 759453"/>
                        <wps:cNvSpPr/>
                        <wps:spPr>
                          <a:xfrm>
                            <a:off x="491554" y="91821"/>
                            <a:ext cx="108694" cy="154840"/>
                          </a:xfrm>
                          <a:prstGeom prst="rect">
                            <a:avLst/>
                          </a:prstGeom>
                          <a:ln>
                            <a:noFill/>
                          </a:ln>
                        </wps:spPr>
                        <wps:txbx>
                          <w:txbxContent>
                            <w:p w14:paraId="7F5231ED"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51" name="Rectangle 759451"/>
                        <wps:cNvSpPr/>
                        <wps:spPr>
                          <a:xfrm>
                            <a:off x="288900" y="91821"/>
                            <a:ext cx="269530" cy="154840"/>
                          </a:xfrm>
                          <a:prstGeom prst="rect">
                            <a:avLst/>
                          </a:prstGeom>
                          <a:ln>
                            <a:noFill/>
                          </a:ln>
                        </wps:spPr>
                        <wps:txbx>
                          <w:txbxContent>
                            <w:p w14:paraId="6637BF79" w14:textId="77777777" w:rsidR="0014164F" w:rsidRDefault="0014164F" w:rsidP="006D5692">
                              <w:r>
                                <w:rPr>
                                  <w:rFonts w:ascii="Calibri" w:hAnsi="Calibri" w:cs="Calibri"/>
                                  <w:color w:val="404040"/>
                                  <w:sz w:val="18"/>
                                </w:rPr>
                                <w:t>3.79</w:t>
                              </w:r>
                            </w:p>
                          </w:txbxContent>
                        </wps:txbx>
                        <wps:bodyPr horzOverflow="overflow" vert="horz" lIns="0" tIns="0" rIns="0" bIns="0" rtlCol="0">
                          <a:noAutofit/>
                        </wps:bodyPr>
                      </wps:wsp>
                      <wps:wsp>
                        <wps:cNvPr id="759448" name="Rectangle 759448"/>
                        <wps:cNvSpPr/>
                        <wps:spPr>
                          <a:xfrm>
                            <a:off x="577952" y="0"/>
                            <a:ext cx="269530" cy="154840"/>
                          </a:xfrm>
                          <a:prstGeom prst="rect">
                            <a:avLst/>
                          </a:prstGeom>
                          <a:ln>
                            <a:noFill/>
                          </a:ln>
                        </wps:spPr>
                        <wps:txbx>
                          <w:txbxContent>
                            <w:p w14:paraId="7AF4D894" w14:textId="77777777" w:rsidR="0014164F" w:rsidRDefault="0014164F" w:rsidP="006D5692">
                              <w:r>
                                <w:rPr>
                                  <w:rFonts w:ascii="Calibri" w:hAnsi="Calibri" w:cs="Calibri"/>
                                  <w:color w:val="404040"/>
                                  <w:sz w:val="18"/>
                                </w:rPr>
                                <w:t>0.00</w:t>
                              </w:r>
                            </w:p>
                          </w:txbxContent>
                        </wps:txbx>
                        <wps:bodyPr horzOverflow="overflow" vert="horz" lIns="0" tIns="0" rIns="0" bIns="0" rtlCol="0">
                          <a:noAutofit/>
                        </wps:bodyPr>
                      </wps:wsp>
                      <wps:wsp>
                        <wps:cNvPr id="759450" name="Rectangle 759450"/>
                        <wps:cNvSpPr/>
                        <wps:spPr>
                          <a:xfrm>
                            <a:off x="780606" y="0"/>
                            <a:ext cx="108694" cy="154840"/>
                          </a:xfrm>
                          <a:prstGeom prst="rect">
                            <a:avLst/>
                          </a:prstGeom>
                          <a:ln>
                            <a:noFill/>
                          </a:ln>
                        </wps:spPr>
                        <wps:txbx>
                          <w:txbxContent>
                            <w:p w14:paraId="23A520B4"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54" name="Rectangle 759454"/>
                        <wps:cNvSpPr/>
                        <wps:spPr>
                          <a:xfrm>
                            <a:off x="833603" y="114681"/>
                            <a:ext cx="269530" cy="154840"/>
                          </a:xfrm>
                          <a:prstGeom prst="rect">
                            <a:avLst/>
                          </a:prstGeom>
                          <a:ln>
                            <a:noFill/>
                          </a:ln>
                        </wps:spPr>
                        <wps:txbx>
                          <w:txbxContent>
                            <w:p w14:paraId="25EC1E34" w14:textId="77777777" w:rsidR="0014164F" w:rsidRDefault="0014164F" w:rsidP="006D5692">
                              <w:r>
                                <w:rPr>
                                  <w:rFonts w:ascii="Calibri" w:hAnsi="Calibri" w:cs="Calibri"/>
                                  <w:color w:val="404040"/>
                                  <w:sz w:val="18"/>
                                </w:rPr>
                                <w:t>1.52</w:t>
                              </w:r>
                            </w:p>
                          </w:txbxContent>
                        </wps:txbx>
                        <wps:bodyPr horzOverflow="overflow" vert="horz" lIns="0" tIns="0" rIns="0" bIns="0" rtlCol="0">
                          <a:noAutofit/>
                        </wps:bodyPr>
                      </wps:wsp>
                      <wps:wsp>
                        <wps:cNvPr id="759455" name="Rectangle 759455"/>
                        <wps:cNvSpPr/>
                        <wps:spPr>
                          <a:xfrm>
                            <a:off x="1036257" y="114681"/>
                            <a:ext cx="108694" cy="154840"/>
                          </a:xfrm>
                          <a:prstGeom prst="rect">
                            <a:avLst/>
                          </a:prstGeom>
                          <a:ln>
                            <a:noFill/>
                          </a:ln>
                        </wps:spPr>
                        <wps:txbx>
                          <w:txbxContent>
                            <w:p w14:paraId="7ACC6DA6"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63" name="Rectangle 759463"/>
                        <wps:cNvSpPr/>
                        <wps:spPr>
                          <a:xfrm>
                            <a:off x="1164101" y="377470"/>
                            <a:ext cx="108984" cy="155253"/>
                          </a:xfrm>
                          <a:prstGeom prst="rect">
                            <a:avLst/>
                          </a:prstGeom>
                          <a:ln>
                            <a:noFill/>
                          </a:ln>
                        </wps:spPr>
                        <wps:txbx>
                          <w:txbxContent>
                            <w:p w14:paraId="3F0C59C5"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62" name="Rectangle 759462"/>
                        <wps:cNvSpPr/>
                        <wps:spPr>
                          <a:xfrm>
                            <a:off x="961365" y="377470"/>
                            <a:ext cx="270249" cy="155253"/>
                          </a:xfrm>
                          <a:prstGeom prst="rect">
                            <a:avLst/>
                          </a:prstGeom>
                          <a:ln>
                            <a:noFill/>
                          </a:ln>
                        </wps:spPr>
                        <wps:txbx>
                          <w:txbxContent>
                            <w:p w14:paraId="48A2EFB8" w14:textId="77777777" w:rsidR="0014164F" w:rsidRDefault="0014164F" w:rsidP="006D5692">
                              <w:r>
                                <w:rPr>
                                  <w:rFonts w:ascii="Calibri" w:hAnsi="Calibri" w:cs="Calibri"/>
                                  <w:color w:val="404040"/>
                                  <w:sz w:val="18"/>
                                </w:rPr>
                                <w:t>1.52</w:t>
                              </w:r>
                            </w:p>
                          </w:txbxContent>
                        </wps:txbx>
                        <wps:bodyPr horzOverflow="overflow" vert="horz" lIns="0" tIns="0" rIns="0" bIns="0" rtlCol="0">
                          <a:noAutofit/>
                        </wps:bodyPr>
                      </wps:wsp>
                      <wps:wsp>
                        <wps:cNvPr id="759459" name="Rectangle 759459"/>
                        <wps:cNvSpPr/>
                        <wps:spPr>
                          <a:xfrm>
                            <a:off x="1120077" y="251460"/>
                            <a:ext cx="108694" cy="154840"/>
                          </a:xfrm>
                          <a:prstGeom prst="rect">
                            <a:avLst/>
                          </a:prstGeom>
                          <a:ln>
                            <a:noFill/>
                          </a:ln>
                        </wps:spPr>
                        <wps:txbx>
                          <w:txbxContent>
                            <w:p w14:paraId="1F4FAAF1"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58" name="Rectangle 759458"/>
                        <wps:cNvSpPr/>
                        <wps:spPr>
                          <a:xfrm>
                            <a:off x="917423" y="251460"/>
                            <a:ext cx="269530" cy="154840"/>
                          </a:xfrm>
                          <a:prstGeom prst="rect">
                            <a:avLst/>
                          </a:prstGeom>
                          <a:ln>
                            <a:noFill/>
                          </a:ln>
                        </wps:spPr>
                        <wps:txbx>
                          <w:txbxContent>
                            <w:p w14:paraId="7AACB95F" w14:textId="77777777" w:rsidR="0014164F" w:rsidRDefault="0014164F" w:rsidP="006D5692">
                              <w:r>
                                <w:rPr>
                                  <w:rFonts w:ascii="Calibri" w:hAnsi="Calibri" w:cs="Calibri"/>
                                  <w:color w:val="404040"/>
                                  <w:sz w:val="18"/>
                                </w:rPr>
                                <w:t>0.00</w:t>
                              </w:r>
                            </w:p>
                          </w:txbxContent>
                        </wps:txbx>
                        <wps:bodyPr horzOverflow="overflow" vert="horz" lIns="0" tIns="0" rIns="0" bIns="0" rtlCol="0">
                          <a:noAutofit/>
                        </wps:bodyPr>
                      </wps:wsp>
                      <wps:wsp>
                        <wps:cNvPr id="922339" name="Shape 922339"/>
                        <wps:cNvSpPr/>
                        <wps:spPr>
                          <a:xfrm>
                            <a:off x="1679296" y="663829"/>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1604" name="Shape 41604"/>
                        <wps:cNvSpPr/>
                        <wps:spPr>
                          <a:xfrm>
                            <a:off x="1679296" y="663829"/>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05" name="Rectangle 41605"/>
                        <wps:cNvSpPr/>
                        <wps:spPr>
                          <a:xfrm>
                            <a:off x="1752321" y="629841"/>
                            <a:ext cx="472753" cy="151421"/>
                          </a:xfrm>
                          <a:prstGeom prst="rect">
                            <a:avLst/>
                          </a:prstGeom>
                          <a:ln>
                            <a:noFill/>
                          </a:ln>
                        </wps:spPr>
                        <wps:txbx>
                          <w:txbxContent>
                            <w:p w14:paraId="59B1C779" w14:textId="77777777" w:rsidR="0014164F" w:rsidRDefault="0014164F" w:rsidP="006D5692">
                              <w:r>
                                <w:rPr>
                                  <w:rFonts w:ascii="Arial" w:eastAsia="Arial" w:hAnsi="Arial" w:cs="Arial"/>
                                  <w:color w:val="595959"/>
                                  <w:sz w:val="16"/>
                                </w:rPr>
                                <w:t>Plastika</w:t>
                              </w:r>
                            </w:p>
                          </w:txbxContent>
                        </wps:txbx>
                        <wps:bodyPr horzOverflow="overflow" vert="horz" lIns="0" tIns="0" rIns="0" bIns="0" rtlCol="0">
                          <a:noAutofit/>
                        </wps:bodyPr>
                      </wps:wsp>
                      <wps:wsp>
                        <wps:cNvPr id="922340" name="Shape 922340"/>
                        <wps:cNvSpPr/>
                        <wps:spPr>
                          <a:xfrm>
                            <a:off x="1679296" y="796417"/>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1607" name="Shape 41607"/>
                        <wps:cNvSpPr/>
                        <wps:spPr>
                          <a:xfrm>
                            <a:off x="1679296" y="796417"/>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08" name="Rectangle 41608"/>
                        <wps:cNvSpPr/>
                        <wps:spPr>
                          <a:xfrm>
                            <a:off x="1752321" y="762429"/>
                            <a:ext cx="368999" cy="151421"/>
                          </a:xfrm>
                          <a:prstGeom prst="rect">
                            <a:avLst/>
                          </a:prstGeom>
                          <a:ln>
                            <a:noFill/>
                          </a:ln>
                        </wps:spPr>
                        <wps:txbx>
                          <w:txbxContent>
                            <w:p w14:paraId="3722CFC5" w14:textId="77777777" w:rsidR="0014164F" w:rsidRDefault="0014164F" w:rsidP="006D5692">
                              <w:r>
                                <w:rPr>
                                  <w:rFonts w:ascii="Arial" w:eastAsia="Arial" w:hAnsi="Arial" w:cs="Arial"/>
                                  <w:color w:val="595959"/>
                                  <w:sz w:val="16"/>
                                </w:rPr>
                                <w:t>Guma</w:t>
                              </w:r>
                            </w:p>
                          </w:txbxContent>
                        </wps:txbx>
                        <wps:bodyPr horzOverflow="overflow" vert="horz" lIns="0" tIns="0" rIns="0" bIns="0" rtlCol="0">
                          <a:noAutofit/>
                        </wps:bodyPr>
                      </wps:wsp>
                      <wps:wsp>
                        <wps:cNvPr id="922341" name="Shape 922341"/>
                        <wps:cNvSpPr/>
                        <wps:spPr>
                          <a:xfrm>
                            <a:off x="1679296" y="929005"/>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1610" name="Shape 41610"/>
                        <wps:cNvSpPr/>
                        <wps:spPr>
                          <a:xfrm>
                            <a:off x="1679296" y="929005"/>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11" name="Rectangle 41611"/>
                        <wps:cNvSpPr/>
                        <wps:spPr>
                          <a:xfrm>
                            <a:off x="1752321" y="913088"/>
                            <a:ext cx="428189" cy="127647"/>
                          </a:xfrm>
                          <a:prstGeom prst="rect">
                            <a:avLst/>
                          </a:prstGeom>
                          <a:ln>
                            <a:noFill/>
                          </a:ln>
                        </wps:spPr>
                        <wps:txbx>
                          <w:txbxContent>
                            <w:p w14:paraId="303E62EA" w14:textId="77777777" w:rsidR="0014164F" w:rsidRDefault="0014164F" w:rsidP="006D5692">
                              <w:r>
                                <w:rPr>
                                  <w:rFonts w:ascii="Arial" w:eastAsia="Arial" w:hAnsi="Arial" w:cs="Arial"/>
                                  <w:color w:val="595959"/>
                                  <w:sz w:val="16"/>
                                </w:rPr>
                                <w:t>Odjeća</w:t>
                              </w:r>
                            </w:p>
                          </w:txbxContent>
                        </wps:txbx>
                        <wps:bodyPr horzOverflow="overflow" vert="horz" lIns="0" tIns="0" rIns="0" bIns="0" rtlCol="0">
                          <a:noAutofit/>
                        </wps:bodyPr>
                      </wps:wsp>
                      <wps:wsp>
                        <wps:cNvPr id="922342" name="Shape 922342"/>
                        <wps:cNvSpPr/>
                        <wps:spPr>
                          <a:xfrm>
                            <a:off x="1679296" y="1061593"/>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1613" name="Shape 41613"/>
                        <wps:cNvSpPr/>
                        <wps:spPr>
                          <a:xfrm>
                            <a:off x="1679296" y="1061593"/>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14" name="Rectangle 41614"/>
                        <wps:cNvSpPr/>
                        <wps:spPr>
                          <a:xfrm>
                            <a:off x="1752321" y="1027859"/>
                            <a:ext cx="727657" cy="151421"/>
                          </a:xfrm>
                          <a:prstGeom prst="rect">
                            <a:avLst/>
                          </a:prstGeom>
                          <a:ln>
                            <a:noFill/>
                          </a:ln>
                        </wps:spPr>
                        <wps:txbx>
                          <w:txbxContent>
                            <w:p w14:paraId="22B80C43" w14:textId="77777777" w:rsidR="0014164F" w:rsidRDefault="0014164F" w:rsidP="006D5692">
                              <w:r>
                                <w:rPr>
                                  <w:rFonts w:ascii="Arial" w:eastAsia="Arial" w:hAnsi="Arial" w:cs="Arial"/>
                                  <w:color w:val="595959"/>
                                  <w:sz w:val="16"/>
                                </w:rPr>
                                <w:t>Papir/karton</w:t>
                              </w:r>
                            </w:p>
                          </w:txbxContent>
                        </wps:txbx>
                        <wps:bodyPr horzOverflow="overflow" vert="horz" lIns="0" tIns="0" rIns="0" bIns="0" rtlCol="0">
                          <a:noAutofit/>
                        </wps:bodyPr>
                      </wps:wsp>
                      <wps:wsp>
                        <wps:cNvPr id="922343" name="Shape 922343"/>
                        <wps:cNvSpPr/>
                        <wps:spPr>
                          <a:xfrm>
                            <a:off x="1679296" y="1194181"/>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1616" name="Shape 41616"/>
                        <wps:cNvSpPr/>
                        <wps:spPr>
                          <a:xfrm>
                            <a:off x="1679296" y="1194181"/>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17" name="Rectangle 41617"/>
                        <wps:cNvSpPr/>
                        <wps:spPr>
                          <a:xfrm>
                            <a:off x="1752321" y="1178518"/>
                            <a:ext cx="901872" cy="127647"/>
                          </a:xfrm>
                          <a:prstGeom prst="rect">
                            <a:avLst/>
                          </a:prstGeom>
                          <a:ln>
                            <a:noFill/>
                          </a:ln>
                        </wps:spPr>
                        <wps:txbx>
                          <w:txbxContent>
                            <w:p w14:paraId="69FF96EA" w14:textId="77777777" w:rsidR="0014164F" w:rsidRDefault="0014164F" w:rsidP="006D5692">
                              <w:r>
                                <w:rPr>
                                  <w:rFonts w:ascii="Arial" w:eastAsia="Arial" w:hAnsi="Arial" w:cs="Arial"/>
                                  <w:color w:val="595959"/>
                                  <w:sz w:val="16"/>
                                </w:rPr>
                                <w:t>Obrađeno drvo</w:t>
                              </w:r>
                            </w:p>
                          </w:txbxContent>
                        </wps:txbx>
                        <wps:bodyPr horzOverflow="overflow" vert="horz" lIns="0" tIns="0" rIns="0" bIns="0" rtlCol="0">
                          <a:noAutofit/>
                        </wps:bodyPr>
                      </wps:wsp>
                      <wps:wsp>
                        <wps:cNvPr id="922344" name="Shape 922344"/>
                        <wps:cNvSpPr/>
                        <wps:spPr>
                          <a:xfrm>
                            <a:off x="1679296" y="1326769"/>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1619" name="Shape 41619"/>
                        <wps:cNvSpPr/>
                        <wps:spPr>
                          <a:xfrm>
                            <a:off x="1679296" y="1326769"/>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20" name="Rectangle 41620"/>
                        <wps:cNvSpPr/>
                        <wps:spPr>
                          <a:xfrm>
                            <a:off x="1752321" y="1293035"/>
                            <a:ext cx="330161" cy="151421"/>
                          </a:xfrm>
                          <a:prstGeom prst="rect">
                            <a:avLst/>
                          </a:prstGeom>
                          <a:ln>
                            <a:noFill/>
                          </a:ln>
                        </wps:spPr>
                        <wps:txbx>
                          <w:txbxContent>
                            <w:p w14:paraId="71231751" w14:textId="77777777" w:rsidR="0014164F" w:rsidRDefault="0014164F" w:rsidP="006D5692">
                              <w:r>
                                <w:rPr>
                                  <w:rFonts w:ascii="Arial" w:eastAsia="Arial" w:hAnsi="Arial" w:cs="Arial"/>
                                  <w:color w:val="595959"/>
                                  <w:sz w:val="16"/>
                                </w:rPr>
                                <w:t>Metal</w:t>
                              </w:r>
                            </w:p>
                          </w:txbxContent>
                        </wps:txbx>
                        <wps:bodyPr horzOverflow="overflow" vert="horz" lIns="0" tIns="0" rIns="0" bIns="0" rtlCol="0">
                          <a:noAutofit/>
                        </wps:bodyPr>
                      </wps:wsp>
                      <wps:wsp>
                        <wps:cNvPr id="922345" name="Shape 922345"/>
                        <wps:cNvSpPr/>
                        <wps:spPr>
                          <a:xfrm>
                            <a:off x="1679296" y="1460881"/>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255E91"/>
                          </a:fillRef>
                          <a:effectRef idx="0">
                            <a:scrgbClr r="0" g="0" b="0"/>
                          </a:effectRef>
                          <a:fontRef idx="none"/>
                        </wps:style>
                        <wps:bodyPr/>
                      </wps:wsp>
                      <wps:wsp>
                        <wps:cNvPr id="41622" name="Shape 41622"/>
                        <wps:cNvSpPr/>
                        <wps:spPr>
                          <a:xfrm>
                            <a:off x="1679296" y="1460881"/>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23" name="Rectangle 41623"/>
                        <wps:cNvSpPr/>
                        <wps:spPr>
                          <a:xfrm>
                            <a:off x="1752321" y="1425877"/>
                            <a:ext cx="375246" cy="151421"/>
                          </a:xfrm>
                          <a:prstGeom prst="rect">
                            <a:avLst/>
                          </a:prstGeom>
                          <a:ln>
                            <a:noFill/>
                          </a:ln>
                        </wps:spPr>
                        <wps:txbx>
                          <w:txbxContent>
                            <w:p w14:paraId="10C7BD48" w14:textId="77777777" w:rsidR="0014164F" w:rsidRDefault="0014164F" w:rsidP="006D5692">
                              <w:r>
                                <w:rPr>
                                  <w:rFonts w:ascii="Arial" w:eastAsia="Arial" w:hAnsi="Arial" w:cs="Arial"/>
                                  <w:color w:val="595959"/>
                                  <w:sz w:val="16"/>
                                </w:rPr>
                                <w:t>Staklo</w:t>
                              </w:r>
                            </w:p>
                          </w:txbxContent>
                        </wps:txbx>
                        <wps:bodyPr horzOverflow="overflow" vert="horz" lIns="0" tIns="0" rIns="0" bIns="0" rtlCol="0">
                          <a:noAutofit/>
                        </wps:bodyPr>
                      </wps:wsp>
                      <wps:wsp>
                        <wps:cNvPr id="922346" name="Shape 922346"/>
                        <wps:cNvSpPr/>
                        <wps:spPr>
                          <a:xfrm>
                            <a:off x="1679296" y="1593469"/>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1625" name="Shape 41625"/>
                        <wps:cNvSpPr/>
                        <wps:spPr>
                          <a:xfrm>
                            <a:off x="1679296" y="1593469"/>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26" name="Rectangle 41626"/>
                        <wps:cNvSpPr/>
                        <wps:spPr>
                          <a:xfrm>
                            <a:off x="1752321" y="1558465"/>
                            <a:ext cx="571754" cy="151421"/>
                          </a:xfrm>
                          <a:prstGeom prst="rect">
                            <a:avLst/>
                          </a:prstGeom>
                          <a:ln>
                            <a:noFill/>
                          </a:ln>
                        </wps:spPr>
                        <wps:txbx>
                          <w:txbxContent>
                            <w:p w14:paraId="148C928E" w14:textId="77777777" w:rsidR="0014164F" w:rsidRDefault="0014164F" w:rsidP="006D5692">
                              <w:r>
                                <w:rPr>
                                  <w:rFonts w:ascii="Arial" w:eastAsia="Arial" w:hAnsi="Arial" w:cs="Arial"/>
                                  <w:color w:val="595959"/>
                                  <w:sz w:val="16"/>
                                </w:rPr>
                                <w:t>Keramika</w:t>
                              </w:r>
                            </w:p>
                          </w:txbxContent>
                        </wps:txbx>
                        <wps:bodyPr horzOverflow="overflow" vert="horz" lIns="0" tIns="0" rIns="0" bIns="0" rtlCol="0">
                          <a:noAutofit/>
                        </wps:bodyPr>
                      </wps:wsp>
                      <wps:wsp>
                        <wps:cNvPr id="922347" name="Shape 922347"/>
                        <wps:cNvSpPr/>
                        <wps:spPr>
                          <a:xfrm>
                            <a:off x="1679296" y="1726057"/>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636363"/>
                          </a:fillRef>
                          <a:effectRef idx="0">
                            <a:scrgbClr r="0" g="0" b="0"/>
                          </a:effectRef>
                          <a:fontRef idx="none"/>
                        </wps:style>
                        <wps:bodyPr/>
                      </wps:wsp>
                      <wps:wsp>
                        <wps:cNvPr id="41628" name="Shape 41628"/>
                        <wps:cNvSpPr/>
                        <wps:spPr>
                          <a:xfrm>
                            <a:off x="1679296" y="1726057"/>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29" name="Rectangle 41629"/>
                        <wps:cNvSpPr/>
                        <wps:spPr>
                          <a:xfrm>
                            <a:off x="1752321" y="1691053"/>
                            <a:ext cx="908004" cy="151421"/>
                          </a:xfrm>
                          <a:prstGeom prst="rect">
                            <a:avLst/>
                          </a:prstGeom>
                          <a:ln>
                            <a:noFill/>
                          </a:ln>
                        </wps:spPr>
                        <wps:txbx>
                          <w:txbxContent>
                            <w:p w14:paraId="59B269E8" w14:textId="77777777" w:rsidR="0014164F" w:rsidRDefault="0014164F" w:rsidP="006D5692">
                              <w:r>
                                <w:rPr>
                                  <w:rFonts w:ascii="Arial" w:eastAsia="Arial" w:hAnsi="Arial" w:cs="Arial"/>
                                  <w:color w:val="595959"/>
                                  <w:sz w:val="16"/>
                                </w:rPr>
                                <w:t>Sanitarni otpad</w:t>
                              </w:r>
                            </w:p>
                          </w:txbxContent>
                        </wps:txbx>
                        <wps:bodyPr horzOverflow="overflow" vert="horz" lIns="0" tIns="0" rIns="0" bIns="0" rtlCol="0">
                          <a:noAutofit/>
                        </wps:bodyPr>
                      </wps:wsp>
                      <wps:wsp>
                        <wps:cNvPr id="922348" name="Shape 922348"/>
                        <wps:cNvSpPr/>
                        <wps:spPr>
                          <a:xfrm>
                            <a:off x="1679296" y="1858645"/>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997300"/>
                          </a:fillRef>
                          <a:effectRef idx="0">
                            <a:scrgbClr r="0" g="0" b="0"/>
                          </a:effectRef>
                          <a:fontRef idx="none"/>
                        </wps:style>
                        <wps:bodyPr/>
                      </wps:wsp>
                      <wps:wsp>
                        <wps:cNvPr id="41631" name="Shape 41631"/>
                        <wps:cNvSpPr/>
                        <wps:spPr>
                          <a:xfrm>
                            <a:off x="1679296" y="1858645"/>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32" name="Rectangle 41632"/>
                        <wps:cNvSpPr/>
                        <wps:spPr>
                          <a:xfrm>
                            <a:off x="1752321" y="1824022"/>
                            <a:ext cx="1007548" cy="151421"/>
                          </a:xfrm>
                          <a:prstGeom prst="rect">
                            <a:avLst/>
                          </a:prstGeom>
                          <a:ln>
                            <a:noFill/>
                          </a:ln>
                        </wps:spPr>
                        <wps:txbx>
                          <w:txbxContent>
                            <w:p w14:paraId="0968428E" w14:textId="77777777" w:rsidR="0014164F" w:rsidRDefault="0014164F" w:rsidP="006D5692">
                              <w:r>
                                <w:rPr>
                                  <w:rFonts w:ascii="Arial" w:eastAsia="Arial" w:hAnsi="Arial" w:cs="Arial"/>
                                  <w:color w:val="595959"/>
                                  <w:sz w:val="16"/>
                                </w:rPr>
                                <w:t>Medicinski otpad</w:t>
                              </w:r>
                            </w:p>
                          </w:txbxContent>
                        </wps:txbx>
                        <wps:bodyPr horzOverflow="overflow" vert="horz" lIns="0" tIns="0" rIns="0" bIns="0" rtlCol="0">
                          <a:noAutofit/>
                        </wps:bodyPr>
                      </wps:wsp>
                      <wps:wsp>
                        <wps:cNvPr id="922349" name="Shape 922349"/>
                        <wps:cNvSpPr/>
                        <wps:spPr>
                          <a:xfrm>
                            <a:off x="1679296" y="1991233"/>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1634" name="Shape 41634"/>
                        <wps:cNvSpPr/>
                        <wps:spPr>
                          <a:xfrm>
                            <a:off x="1679296" y="1991233"/>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35" name="Rectangle 41635"/>
                        <wps:cNvSpPr/>
                        <wps:spPr>
                          <a:xfrm>
                            <a:off x="1752321" y="1956610"/>
                            <a:ext cx="819439" cy="151421"/>
                          </a:xfrm>
                          <a:prstGeom prst="rect">
                            <a:avLst/>
                          </a:prstGeom>
                          <a:ln>
                            <a:noFill/>
                          </a:ln>
                        </wps:spPr>
                        <wps:txbx>
                          <w:txbxContent>
                            <w:p w14:paraId="1E52D50D" w14:textId="77777777" w:rsidR="0014164F" w:rsidRDefault="0014164F" w:rsidP="006D5692">
                              <w:r>
                                <w:rPr>
                                  <w:rFonts w:ascii="Arial" w:eastAsia="Arial" w:hAnsi="Arial" w:cs="Arial"/>
                                  <w:color w:val="595959"/>
                                  <w:sz w:val="16"/>
                                </w:rPr>
                                <w:t>Parafin/vosak</w:t>
                              </w:r>
                            </w:p>
                          </w:txbxContent>
                        </wps:txbx>
                        <wps:bodyPr horzOverflow="overflow" vert="horz" lIns="0" tIns="0" rIns="0" bIns="0" rtlCol="0">
                          <a:noAutofit/>
                        </wps:bodyPr>
                      </wps:wsp>
                      <wps:wsp>
                        <wps:cNvPr id="41637" name="Shape 41637"/>
                        <wps:cNvSpPr/>
                        <wps:spPr>
                          <a:xfrm>
                            <a:off x="3669640" y="566293"/>
                            <a:ext cx="627761" cy="1239647"/>
                          </a:xfrm>
                          <a:custGeom>
                            <a:avLst/>
                            <a:gdLst/>
                            <a:ahLst/>
                            <a:cxnLst/>
                            <a:rect l="0" t="0" r="0" b="0"/>
                            <a:pathLst>
                              <a:path w="627761" h="1239647">
                                <a:moveTo>
                                  <a:pt x="0" y="0"/>
                                </a:moveTo>
                                <a:cubicBezTo>
                                  <a:pt x="346710" y="0"/>
                                  <a:pt x="627761" y="281051"/>
                                  <a:pt x="627761" y="627761"/>
                                </a:cubicBezTo>
                                <a:cubicBezTo>
                                  <a:pt x="627761" y="920369"/>
                                  <a:pt x="425704" y="1174242"/>
                                  <a:pt x="140462" y="1239647"/>
                                </a:cubicBezTo>
                                <a:lnTo>
                                  <a:pt x="0" y="627761"/>
                                </a:lnTo>
                                <a:lnTo>
                                  <a:pt x="0" y="0"/>
                                </a:ln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41638" name="Shape 41638"/>
                        <wps:cNvSpPr/>
                        <wps:spPr>
                          <a:xfrm>
                            <a:off x="3669640" y="566293"/>
                            <a:ext cx="627761" cy="1239647"/>
                          </a:xfrm>
                          <a:custGeom>
                            <a:avLst/>
                            <a:gdLst/>
                            <a:ahLst/>
                            <a:cxnLst/>
                            <a:rect l="0" t="0" r="0" b="0"/>
                            <a:pathLst>
                              <a:path w="627761" h="1239647">
                                <a:moveTo>
                                  <a:pt x="0" y="0"/>
                                </a:moveTo>
                                <a:cubicBezTo>
                                  <a:pt x="346710" y="0"/>
                                  <a:pt x="627761" y="281051"/>
                                  <a:pt x="627761" y="627761"/>
                                </a:cubicBezTo>
                                <a:cubicBezTo>
                                  <a:pt x="627761" y="920369"/>
                                  <a:pt x="425704" y="1174242"/>
                                  <a:pt x="140462" y="1239647"/>
                                </a:cubicBezTo>
                                <a:lnTo>
                                  <a:pt x="0" y="627761"/>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39" name="Shape 41639"/>
                        <wps:cNvSpPr/>
                        <wps:spPr>
                          <a:xfrm>
                            <a:off x="3669640" y="1194054"/>
                            <a:ext cx="140462" cy="617982"/>
                          </a:xfrm>
                          <a:custGeom>
                            <a:avLst/>
                            <a:gdLst/>
                            <a:ahLst/>
                            <a:cxnLst/>
                            <a:rect l="0" t="0" r="0" b="0"/>
                            <a:pathLst>
                              <a:path w="140462" h="617982">
                                <a:moveTo>
                                  <a:pt x="0" y="0"/>
                                </a:moveTo>
                                <a:lnTo>
                                  <a:pt x="140462" y="611886"/>
                                </a:lnTo>
                                <a:cubicBezTo>
                                  <a:pt x="130683" y="614172"/>
                                  <a:pt x="120777" y="616204"/>
                                  <a:pt x="110871" y="617982"/>
                                </a:cubicBezTo>
                                <a:lnTo>
                                  <a:pt x="0" y="0"/>
                                </a:ln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41640" name="Shape 41640"/>
                        <wps:cNvSpPr/>
                        <wps:spPr>
                          <a:xfrm>
                            <a:off x="3669640" y="1194054"/>
                            <a:ext cx="140462" cy="617982"/>
                          </a:xfrm>
                          <a:custGeom>
                            <a:avLst/>
                            <a:gdLst/>
                            <a:ahLst/>
                            <a:cxnLst/>
                            <a:rect l="0" t="0" r="0" b="0"/>
                            <a:pathLst>
                              <a:path w="140462" h="617982">
                                <a:moveTo>
                                  <a:pt x="140462" y="611886"/>
                                </a:moveTo>
                                <a:cubicBezTo>
                                  <a:pt x="130683" y="614172"/>
                                  <a:pt x="120777" y="616204"/>
                                  <a:pt x="110871" y="617982"/>
                                </a:cubicBez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41" name="Shape 41641"/>
                        <wps:cNvSpPr/>
                        <wps:spPr>
                          <a:xfrm>
                            <a:off x="3669640" y="1194054"/>
                            <a:ext cx="110871" cy="621792"/>
                          </a:xfrm>
                          <a:custGeom>
                            <a:avLst/>
                            <a:gdLst/>
                            <a:ahLst/>
                            <a:cxnLst/>
                            <a:rect l="0" t="0" r="0" b="0"/>
                            <a:pathLst>
                              <a:path w="110871" h="621792">
                                <a:moveTo>
                                  <a:pt x="0" y="0"/>
                                </a:moveTo>
                                <a:lnTo>
                                  <a:pt x="110871" y="617982"/>
                                </a:lnTo>
                                <a:cubicBezTo>
                                  <a:pt x="102743" y="619379"/>
                                  <a:pt x="94615" y="620649"/>
                                  <a:pt x="86360" y="621792"/>
                                </a:cubicBezTo>
                                <a:lnTo>
                                  <a:pt x="0" y="0"/>
                                </a:ln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41642" name="Shape 41642"/>
                        <wps:cNvSpPr/>
                        <wps:spPr>
                          <a:xfrm>
                            <a:off x="3669640" y="1194054"/>
                            <a:ext cx="110871" cy="621792"/>
                          </a:xfrm>
                          <a:custGeom>
                            <a:avLst/>
                            <a:gdLst/>
                            <a:ahLst/>
                            <a:cxnLst/>
                            <a:rect l="0" t="0" r="0" b="0"/>
                            <a:pathLst>
                              <a:path w="110871" h="621792">
                                <a:moveTo>
                                  <a:pt x="110871" y="617982"/>
                                </a:moveTo>
                                <a:cubicBezTo>
                                  <a:pt x="102743" y="619379"/>
                                  <a:pt x="94615" y="620649"/>
                                  <a:pt x="86360" y="621792"/>
                                </a:cubicBez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43" name="Shape 41643"/>
                        <wps:cNvSpPr/>
                        <wps:spPr>
                          <a:xfrm>
                            <a:off x="3669640" y="1194054"/>
                            <a:ext cx="86360" cy="621792"/>
                          </a:xfrm>
                          <a:custGeom>
                            <a:avLst/>
                            <a:gdLst/>
                            <a:ahLst/>
                            <a:cxnLst/>
                            <a:rect l="0" t="0" r="0" b="0"/>
                            <a:pathLst>
                              <a:path w="86360" h="621792">
                                <a:moveTo>
                                  <a:pt x="86360" y="621792"/>
                                </a:move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44" name="Shape 41644"/>
                        <wps:cNvSpPr/>
                        <wps:spPr>
                          <a:xfrm>
                            <a:off x="3039974" y="1123315"/>
                            <a:ext cx="716026" cy="740283"/>
                          </a:xfrm>
                          <a:custGeom>
                            <a:avLst/>
                            <a:gdLst/>
                            <a:ahLst/>
                            <a:cxnLst/>
                            <a:rect l="0" t="0" r="0" b="0"/>
                            <a:pathLst>
                              <a:path w="716026" h="740283">
                                <a:moveTo>
                                  <a:pt x="5842" y="0"/>
                                </a:moveTo>
                                <a:lnTo>
                                  <a:pt x="629666" y="70739"/>
                                </a:lnTo>
                                <a:lnTo>
                                  <a:pt x="716026" y="692531"/>
                                </a:lnTo>
                                <a:cubicBezTo>
                                  <a:pt x="372618" y="740283"/>
                                  <a:pt x="55499" y="500507"/>
                                  <a:pt x="7874" y="157099"/>
                                </a:cubicBezTo>
                                <a:cubicBezTo>
                                  <a:pt x="635" y="105029"/>
                                  <a:pt x="0" y="52197"/>
                                  <a:pt x="5842" y="0"/>
                                </a:cubicBez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41645" name="Shape 41645"/>
                        <wps:cNvSpPr/>
                        <wps:spPr>
                          <a:xfrm>
                            <a:off x="3039974" y="1123315"/>
                            <a:ext cx="716026" cy="740283"/>
                          </a:xfrm>
                          <a:custGeom>
                            <a:avLst/>
                            <a:gdLst/>
                            <a:ahLst/>
                            <a:cxnLst/>
                            <a:rect l="0" t="0" r="0" b="0"/>
                            <a:pathLst>
                              <a:path w="716026" h="740283">
                                <a:moveTo>
                                  <a:pt x="716026" y="692531"/>
                                </a:moveTo>
                                <a:cubicBezTo>
                                  <a:pt x="372618" y="740283"/>
                                  <a:pt x="55499" y="500507"/>
                                  <a:pt x="7874" y="157099"/>
                                </a:cubicBezTo>
                                <a:cubicBezTo>
                                  <a:pt x="635" y="105029"/>
                                  <a:pt x="0" y="52197"/>
                                  <a:pt x="5842" y="0"/>
                                </a:cubicBezTo>
                                <a:lnTo>
                                  <a:pt x="629666" y="70739"/>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46" name="Shape 41646"/>
                        <wps:cNvSpPr/>
                        <wps:spPr>
                          <a:xfrm>
                            <a:off x="3045816" y="818261"/>
                            <a:ext cx="623824" cy="375793"/>
                          </a:xfrm>
                          <a:custGeom>
                            <a:avLst/>
                            <a:gdLst/>
                            <a:ahLst/>
                            <a:cxnLst/>
                            <a:rect l="0" t="0" r="0" b="0"/>
                            <a:pathLst>
                              <a:path w="623824" h="375793">
                                <a:moveTo>
                                  <a:pt x="120904" y="0"/>
                                </a:moveTo>
                                <a:lnTo>
                                  <a:pt x="623824" y="375793"/>
                                </a:lnTo>
                                <a:lnTo>
                                  <a:pt x="0" y="305054"/>
                                </a:lnTo>
                                <a:cubicBezTo>
                                  <a:pt x="12573" y="194437"/>
                                  <a:pt x="54356" y="89154"/>
                                  <a:pt x="120904" y="0"/>
                                </a:cubicBezTo>
                                <a:close/>
                              </a:path>
                            </a:pathLst>
                          </a:custGeom>
                          <a:ln w="0" cap="flat">
                            <a:round/>
                          </a:ln>
                        </wps:spPr>
                        <wps:style>
                          <a:lnRef idx="0">
                            <a:srgbClr val="000000">
                              <a:alpha val="0"/>
                            </a:srgbClr>
                          </a:lnRef>
                          <a:fillRef idx="1">
                            <a:srgbClr val="70AD47"/>
                          </a:fillRef>
                          <a:effectRef idx="0">
                            <a:scrgbClr r="0" g="0" b="0"/>
                          </a:effectRef>
                          <a:fontRef idx="none"/>
                        </wps:style>
                        <wps:bodyPr/>
                      </wps:wsp>
                      <wps:wsp>
                        <wps:cNvPr id="41647" name="Shape 41647"/>
                        <wps:cNvSpPr/>
                        <wps:spPr>
                          <a:xfrm>
                            <a:off x="3045816" y="818261"/>
                            <a:ext cx="623824" cy="375793"/>
                          </a:xfrm>
                          <a:custGeom>
                            <a:avLst/>
                            <a:gdLst/>
                            <a:ahLst/>
                            <a:cxnLst/>
                            <a:rect l="0" t="0" r="0" b="0"/>
                            <a:pathLst>
                              <a:path w="623824" h="375793">
                                <a:moveTo>
                                  <a:pt x="0" y="305054"/>
                                </a:moveTo>
                                <a:cubicBezTo>
                                  <a:pt x="12573" y="194437"/>
                                  <a:pt x="54356" y="89154"/>
                                  <a:pt x="120904" y="0"/>
                                </a:cubicBezTo>
                                <a:lnTo>
                                  <a:pt x="623824" y="375793"/>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48" name="Shape 41648"/>
                        <wps:cNvSpPr/>
                        <wps:spPr>
                          <a:xfrm>
                            <a:off x="3166720" y="566928"/>
                            <a:ext cx="502920" cy="627126"/>
                          </a:xfrm>
                          <a:custGeom>
                            <a:avLst/>
                            <a:gdLst/>
                            <a:ahLst/>
                            <a:cxnLst/>
                            <a:rect l="0" t="0" r="0" b="0"/>
                            <a:pathLst>
                              <a:path w="502920" h="627126">
                                <a:moveTo>
                                  <a:pt x="473075" y="0"/>
                                </a:moveTo>
                                <a:lnTo>
                                  <a:pt x="502920" y="627126"/>
                                </a:lnTo>
                                <a:lnTo>
                                  <a:pt x="0" y="251333"/>
                                </a:lnTo>
                                <a:cubicBezTo>
                                  <a:pt x="112268" y="101092"/>
                                  <a:pt x="285750" y="9017"/>
                                  <a:pt x="473075" y="0"/>
                                </a:cubicBezTo>
                                <a:close/>
                              </a:path>
                            </a:pathLst>
                          </a:custGeom>
                          <a:ln w="0" cap="flat">
                            <a:round/>
                          </a:ln>
                        </wps:spPr>
                        <wps:style>
                          <a:lnRef idx="0">
                            <a:srgbClr val="000000">
                              <a:alpha val="0"/>
                            </a:srgbClr>
                          </a:lnRef>
                          <a:fillRef idx="1">
                            <a:srgbClr val="255E91"/>
                          </a:fillRef>
                          <a:effectRef idx="0">
                            <a:scrgbClr r="0" g="0" b="0"/>
                          </a:effectRef>
                          <a:fontRef idx="none"/>
                        </wps:style>
                        <wps:bodyPr/>
                      </wps:wsp>
                      <wps:wsp>
                        <wps:cNvPr id="41649" name="Shape 41649"/>
                        <wps:cNvSpPr/>
                        <wps:spPr>
                          <a:xfrm>
                            <a:off x="3166720" y="566928"/>
                            <a:ext cx="502920" cy="627126"/>
                          </a:xfrm>
                          <a:custGeom>
                            <a:avLst/>
                            <a:gdLst/>
                            <a:ahLst/>
                            <a:cxnLst/>
                            <a:rect l="0" t="0" r="0" b="0"/>
                            <a:pathLst>
                              <a:path w="502920" h="627126">
                                <a:moveTo>
                                  <a:pt x="0" y="251333"/>
                                </a:moveTo>
                                <a:cubicBezTo>
                                  <a:pt x="112268" y="101092"/>
                                  <a:pt x="285750" y="9017"/>
                                  <a:pt x="473075" y="0"/>
                                </a:cubicBezTo>
                                <a:lnTo>
                                  <a:pt x="502920" y="627126"/>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50" name="Shape 41650"/>
                        <wps:cNvSpPr/>
                        <wps:spPr>
                          <a:xfrm>
                            <a:off x="3639795" y="566928"/>
                            <a:ext cx="29845" cy="627126"/>
                          </a:xfrm>
                          <a:custGeom>
                            <a:avLst/>
                            <a:gdLst/>
                            <a:ahLst/>
                            <a:cxnLst/>
                            <a:rect l="0" t="0" r="0" b="0"/>
                            <a:pathLst>
                              <a:path w="29845" h="627126">
                                <a:moveTo>
                                  <a:pt x="0" y="0"/>
                                </a:moveTo>
                                <a:lnTo>
                                  <a:pt x="29845" y="627126"/>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51" name="Shape 41651"/>
                        <wps:cNvSpPr/>
                        <wps:spPr>
                          <a:xfrm>
                            <a:off x="3639795" y="566420"/>
                            <a:ext cx="29845" cy="627634"/>
                          </a:xfrm>
                          <a:custGeom>
                            <a:avLst/>
                            <a:gdLst/>
                            <a:ahLst/>
                            <a:cxnLst/>
                            <a:rect l="0" t="0" r="0" b="0"/>
                            <a:pathLst>
                              <a:path w="29845" h="627634">
                                <a:moveTo>
                                  <a:pt x="17399" y="0"/>
                                </a:moveTo>
                                <a:lnTo>
                                  <a:pt x="29845" y="627634"/>
                                </a:lnTo>
                                <a:lnTo>
                                  <a:pt x="0" y="508"/>
                                </a:lnTo>
                                <a:cubicBezTo>
                                  <a:pt x="5715" y="254"/>
                                  <a:pt x="11557" y="127"/>
                                  <a:pt x="17399" y="0"/>
                                </a:cubicBezTo>
                                <a:close/>
                              </a:path>
                            </a:pathLst>
                          </a:custGeom>
                          <a:ln w="0" cap="flat">
                            <a:round/>
                          </a:ln>
                        </wps:spPr>
                        <wps:style>
                          <a:lnRef idx="0">
                            <a:srgbClr val="000000">
                              <a:alpha val="0"/>
                            </a:srgbClr>
                          </a:lnRef>
                          <a:fillRef idx="1">
                            <a:srgbClr val="636363"/>
                          </a:fillRef>
                          <a:effectRef idx="0">
                            <a:scrgbClr r="0" g="0" b="0"/>
                          </a:effectRef>
                          <a:fontRef idx="none"/>
                        </wps:style>
                        <wps:bodyPr/>
                      </wps:wsp>
                      <wps:wsp>
                        <wps:cNvPr id="41652" name="Shape 41652"/>
                        <wps:cNvSpPr/>
                        <wps:spPr>
                          <a:xfrm>
                            <a:off x="3639795" y="566420"/>
                            <a:ext cx="29845" cy="627634"/>
                          </a:xfrm>
                          <a:custGeom>
                            <a:avLst/>
                            <a:gdLst/>
                            <a:ahLst/>
                            <a:cxnLst/>
                            <a:rect l="0" t="0" r="0" b="0"/>
                            <a:pathLst>
                              <a:path w="29845" h="627634">
                                <a:moveTo>
                                  <a:pt x="0" y="508"/>
                                </a:moveTo>
                                <a:cubicBezTo>
                                  <a:pt x="5715" y="254"/>
                                  <a:pt x="11557" y="127"/>
                                  <a:pt x="17399" y="0"/>
                                </a:cubicBezTo>
                                <a:lnTo>
                                  <a:pt x="29845" y="627634"/>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53" name="Shape 41653"/>
                        <wps:cNvSpPr/>
                        <wps:spPr>
                          <a:xfrm>
                            <a:off x="3657194" y="566293"/>
                            <a:ext cx="12446" cy="627761"/>
                          </a:xfrm>
                          <a:custGeom>
                            <a:avLst/>
                            <a:gdLst/>
                            <a:ahLst/>
                            <a:cxnLst/>
                            <a:rect l="0" t="0" r="0" b="0"/>
                            <a:pathLst>
                              <a:path w="12446" h="627761">
                                <a:moveTo>
                                  <a:pt x="12446" y="0"/>
                                </a:moveTo>
                                <a:lnTo>
                                  <a:pt x="12446" y="627761"/>
                                </a:lnTo>
                                <a:lnTo>
                                  <a:pt x="0" y="127"/>
                                </a:lnTo>
                                <a:cubicBezTo>
                                  <a:pt x="4064" y="0"/>
                                  <a:pt x="8255" y="0"/>
                                  <a:pt x="12446" y="0"/>
                                </a:cubicBezTo>
                                <a:close/>
                              </a:path>
                            </a:pathLst>
                          </a:custGeom>
                          <a:ln w="0" cap="flat">
                            <a:round/>
                          </a:ln>
                        </wps:spPr>
                        <wps:style>
                          <a:lnRef idx="0">
                            <a:srgbClr val="000000">
                              <a:alpha val="0"/>
                            </a:srgbClr>
                          </a:lnRef>
                          <a:fillRef idx="1">
                            <a:srgbClr val="997300"/>
                          </a:fillRef>
                          <a:effectRef idx="0">
                            <a:scrgbClr r="0" g="0" b="0"/>
                          </a:effectRef>
                          <a:fontRef idx="none"/>
                        </wps:style>
                        <wps:bodyPr/>
                      </wps:wsp>
                      <wps:wsp>
                        <wps:cNvPr id="41654" name="Shape 41654"/>
                        <wps:cNvSpPr/>
                        <wps:spPr>
                          <a:xfrm>
                            <a:off x="3657194" y="566293"/>
                            <a:ext cx="12446" cy="627761"/>
                          </a:xfrm>
                          <a:custGeom>
                            <a:avLst/>
                            <a:gdLst/>
                            <a:ahLst/>
                            <a:cxnLst/>
                            <a:rect l="0" t="0" r="0" b="0"/>
                            <a:pathLst>
                              <a:path w="12446" h="627761">
                                <a:moveTo>
                                  <a:pt x="0" y="127"/>
                                </a:moveTo>
                                <a:cubicBezTo>
                                  <a:pt x="4064" y="0"/>
                                  <a:pt x="8255" y="0"/>
                                  <a:pt x="12446" y="0"/>
                                </a:cubicBezTo>
                                <a:lnTo>
                                  <a:pt x="12446" y="627761"/>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55" name="Shape 41655"/>
                        <wps:cNvSpPr/>
                        <wps:spPr>
                          <a:xfrm>
                            <a:off x="3669640" y="566293"/>
                            <a:ext cx="0" cy="627761"/>
                          </a:xfrm>
                          <a:custGeom>
                            <a:avLst/>
                            <a:gdLst/>
                            <a:ahLst/>
                            <a:cxnLst/>
                            <a:rect l="0" t="0" r="0" b="0"/>
                            <a:pathLst>
                              <a:path h="627761">
                                <a:moveTo>
                                  <a:pt x="0" y="0"/>
                                </a:moveTo>
                                <a:lnTo>
                                  <a:pt x="0" y="627761"/>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56" name="Shape 41656"/>
                        <wps:cNvSpPr/>
                        <wps:spPr>
                          <a:xfrm>
                            <a:off x="3810610" y="1783207"/>
                            <a:ext cx="211836" cy="22860"/>
                          </a:xfrm>
                          <a:custGeom>
                            <a:avLst/>
                            <a:gdLst/>
                            <a:ahLst/>
                            <a:cxnLst/>
                            <a:rect l="0" t="0" r="0" b="0"/>
                            <a:pathLst>
                              <a:path w="211836" h="22860">
                                <a:moveTo>
                                  <a:pt x="0" y="22860"/>
                                </a:moveTo>
                                <a:lnTo>
                                  <a:pt x="155448" y="0"/>
                                </a:lnTo>
                                <a:lnTo>
                                  <a:pt x="211836"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657" name="Shape 41657"/>
                        <wps:cNvSpPr/>
                        <wps:spPr>
                          <a:xfrm>
                            <a:off x="3767938" y="1813687"/>
                            <a:ext cx="147828" cy="295656"/>
                          </a:xfrm>
                          <a:custGeom>
                            <a:avLst/>
                            <a:gdLst/>
                            <a:ahLst/>
                            <a:cxnLst/>
                            <a:rect l="0" t="0" r="0" b="0"/>
                            <a:pathLst>
                              <a:path w="147828" h="295656">
                                <a:moveTo>
                                  <a:pt x="0" y="0"/>
                                </a:moveTo>
                                <a:lnTo>
                                  <a:pt x="91440" y="295656"/>
                                </a:lnTo>
                                <a:lnTo>
                                  <a:pt x="147828" y="295656"/>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658" name="Shape 41658"/>
                        <wps:cNvSpPr/>
                        <wps:spPr>
                          <a:xfrm>
                            <a:off x="3691738" y="1815211"/>
                            <a:ext cx="64008" cy="222504"/>
                          </a:xfrm>
                          <a:custGeom>
                            <a:avLst/>
                            <a:gdLst/>
                            <a:ahLst/>
                            <a:cxnLst/>
                            <a:rect l="0" t="0" r="0" b="0"/>
                            <a:pathLst>
                              <a:path w="64008" h="222504">
                                <a:moveTo>
                                  <a:pt x="64008" y="0"/>
                                </a:moveTo>
                                <a:lnTo>
                                  <a:pt x="56388" y="222504"/>
                                </a:lnTo>
                                <a:lnTo>
                                  <a:pt x="0" y="222504"/>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659" name="Shape 41659"/>
                        <wps:cNvSpPr/>
                        <wps:spPr>
                          <a:xfrm>
                            <a:off x="3231490" y="1642999"/>
                            <a:ext cx="1524" cy="205740"/>
                          </a:xfrm>
                          <a:custGeom>
                            <a:avLst/>
                            <a:gdLst/>
                            <a:ahLst/>
                            <a:cxnLst/>
                            <a:rect l="0" t="0" r="0" b="0"/>
                            <a:pathLst>
                              <a:path w="1524" h="205740">
                                <a:moveTo>
                                  <a:pt x="0" y="0"/>
                                </a:moveTo>
                                <a:lnTo>
                                  <a:pt x="1524" y="20574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660" name="Shape 41660"/>
                        <wps:cNvSpPr/>
                        <wps:spPr>
                          <a:xfrm>
                            <a:off x="3086710" y="745363"/>
                            <a:ext cx="0" cy="217932"/>
                          </a:xfrm>
                          <a:custGeom>
                            <a:avLst/>
                            <a:gdLst/>
                            <a:ahLst/>
                            <a:cxnLst/>
                            <a:rect l="0" t="0" r="0" b="0"/>
                            <a:pathLst>
                              <a:path h="217932">
                                <a:moveTo>
                                  <a:pt x="0" y="217932"/>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661" name="Shape 41661"/>
                        <wps:cNvSpPr/>
                        <wps:spPr>
                          <a:xfrm>
                            <a:off x="3329026" y="464947"/>
                            <a:ext cx="45720" cy="175260"/>
                          </a:xfrm>
                          <a:custGeom>
                            <a:avLst/>
                            <a:gdLst/>
                            <a:ahLst/>
                            <a:cxnLst/>
                            <a:rect l="0" t="0" r="0" b="0"/>
                            <a:pathLst>
                              <a:path w="45720" h="175260">
                                <a:moveTo>
                                  <a:pt x="45720" y="175260"/>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662" name="Shape 41662"/>
                        <wps:cNvSpPr/>
                        <wps:spPr>
                          <a:xfrm>
                            <a:off x="3639922" y="477139"/>
                            <a:ext cx="373380" cy="89916"/>
                          </a:xfrm>
                          <a:custGeom>
                            <a:avLst/>
                            <a:gdLst/>
                            <a:ahLst/>
                            <a:cxnLst/>
                            <a:rect l="0" t="0" r="0" b="0"/>
                            <a:pathLst>
                              <a:path w="373380" h="89916">
                                <a:moveTo>
                                  <a:pt x="0" y="89916"/>
                                </a:moveTo>
                                <a:lnTo>
                                  <a:pt x="315468" y="0"/>
                                </a:lnTo>
                                <a:lnTo>
                                  <a:pt x="37338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663" name="Shape 41663"/>
                        <wps:cNvSpPr/>
                        <wps:spPr>
                          <a:xfrm>
                            <a:off x="3606394" y="381127"/>
                            <a:ext cx="42672" cy="185928"/>
                          </a:xfrm>
                          <a:custGeom>
                            <a:avLst/>
                            <a:gdLst/>
                            <a:ahLst/>
                            <a:cxnLst/>
                            <a:rect l="0" t="0" r="0" b="0"/>
                            <a:pathLst>
                              <a:path w="42672" h="185928">
                                <a:moveTo>
                                  <a:pt x="42672" y="185928"/>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664" name="Shape 41664"/>
                        <wps:cNvSpPr/>
                        <wps:spPr>
                          <a:xfrm>
                            <a:off x="3662782" y="458851"/>
                            <a:ext cx="0" cy="106680"/>
                          </a:xfrm>
                          <a:custGeom>
                            <a:avLst/>
                            <a:gdLst/>
                            <a:ahLst/>
                            <a:cxnLst/>
                            <a:rect l="0" t="0" r="0" b="0"/>
                            <a:pathLst>
                              <a:path h="106680">
                                <a:moveTo>
                                  <a:pt x="0" y="106680"/>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665" name="Shape 41665"/>
                        <wps:cNvSpPr/>
                        <wps:spPr>
                          <a:xfrm>
                            <a:off x="3670402" y="655447"/>
                            <a:ext cx="338328" cy="30480"/>
                          </a:xfrm>
                          <a:custGeom>
                            <a:avLst/>
                            <a:gdLst/>
                            <a:ahLst/>
                            <a:cxnLst/>
                            <a:rect l="0" t="0" r="0" b="0"/>
                            <a:pathLst>
                              <a:path w="338328" h="30480">
                                <a:moveTo>
                                  <a:pt x="0" y="30480"/>
                                </a:moveTo>
                                <a:lnTo>
                                  <a:pt x="281940" y="0"/>
                                </a:lnTo>
                                <a:lnTo>
                                  <a:pt x="338328"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759490" name="Rectangle 759490"/>
                        <wps:cNvSpPr/>
                        <wps:spPr>
                          <a:xfrm>
                            <a:off x="4071214" y="1112266"/>
                            <a:ext cx="108694" cy="154840"/>
                          </a:xfrm>
                          <a:prstGeom prst="rect">
                            <a:avLst/>
                          </a:prstGeom>
                          <a:ln>
                            <a:noFill/>
                          </a:ln>
                        </wps:spPr>
                        <wps:txbx>
                          <w:txbxContent>
                            <w:p w14:paraId="00855C7A"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87" name="Rectangle 759487"/>
                        <wps:cNvSpPr/>
                        <wps:spPr>
                          <a:xfrm>
                            <a:off x="3810610" y="1112266"/>
                            <a:ext cx="346603" cy="154840"/>
                          </a:xfrm>
                          <a:prstGeom prst="rect">
                            <a:avLst/>
                          </a:prstGeom>
                          <a:ln>
                            <a:noFill/>
                          </a:ln>
                        </wps:spPr>
                        <wps:txbx>
                          <w:txbxContent>
                            <w:p w14:paraId="0D533130" w14:textId="77777777" w:rsidR="0014164F" w:rsidRDefault="0014164F" w:rsidP="006D5692">
                              <w:r>
                                <w:rPr>
                                  <w:rFonts w:ascii="Calibri" w:hAnsi="Calibri" w:cs="Calibri"/>
                                  <w:color w:val="404040"/>
                                  <w:sz w:val="18"/>
                                </w:rPr>
                                <w:t>46.41</w:t>
                              </w:r>
                            </w:p>
                          </w:txbxContent>
                        </wps:txbx>
                        <wps:bodyPr horzOverflow="overflow" vert="horz" lIns="0" tIns="0" rIns="0" bIns="0" rtlCol="0">
                          <a:noAutofit/>
                        </wps:bodyPr>
                      </wps:wsp>
                      <wps:wsp>
                        <wps:cNvPr id="759505" name="Rectangle 759505"/>
                        <wps:cNvSpPr/>
                        <wps:spPr>
                          <a:xfrm>
                            <a:off x="4244658" y="1697736"/>
                            <a:ext cx="108694" cy="154840"/>
                          </a:xfrm>
                          <a:prstGeom prst="rect">
                            <a:avLst/>
                          </a:prstGeom>
                          <a:ln>
                            <a:noFill/>
                          </a:ln>
                        </wps:spPr>
                        <wps:txbx>
                          <w:txbxContent>
                            <w:p w14:paraId="54F588CC"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502" name="Rectangle 759502"/>
                        <wps:cNvSpPr/>
                        <wps:spPr>
                          <a:xfrm>
                            <a:off x="4042004" y="1697736"/>
                            <a:ext cx="269530" cy="154840"/>
                          </a:xfrm>
                          <a:prstGeom prst="rect">
                            <a:avLst/>
                          </a:prstGeom>
                          <a:ln>
                            <a:noFill/>
                          </a:ln>
                        </wps:spPr>
                        <wps:txbx>
                          <w:txbxContent>
                            <w:p w14:paraId="5E61FEF0" w14:textId="77777777" w:rsidR="0014164F" w:rsidRDefault="0014164F" w:rsidP="006D5692">
                              <w:r>
                                <w:rPr>
                                  <w:rFonts w:ascii="Calibri" w:hAnsi="Calibri" w:cs="Calibri"/>
                                  <w:color w:val="404040"/>
                                  <w:sz w:val="18"/>
                                </w:rPr>
                                <w:t>0.76</w:t>
                              </w:r>
                            </w:p>
                          </w:txbxContent>
                        </wps:txbx>
                        <wps:bodyPr horzOverflow="overflow" vert="horz" lIns="0" tIns="0" rIns="0" bIns="0" rtlCol="0">
                          <a:noAutofit/>
                        </wps:bodyPr>
                      </wps:wsp>
                      <wps:wsp>
                        <wps:cNvPr id="759533" name="Rectangle 759533"/>
                        <wps:cNvSpPr/>
                        <wps:spPr>
                          <a:xfrm>
                            <a:off x="4137978" y="2023618"/>
                            <a:ext cx="108694" cy="154840"/>
                          </a:xfrm>
                          <a:prstGeom prst="rect">
                            <a:avLst/>
                          </a:prstGeom>
                          <a:ln>
                            <a:noFill/>
                          </a:ln>
                        </wps:spPr>
                        <wps:txbx>
                          <w:txbxContent>
                            <w:p w14:paraId="340EEDA2"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530" name="Rectangle 759530"/>
                        <wps:cNvSpPr/>
                        <wps:spPr>
                          <a:xfrm>
                            <a:off x="3935324" y="2023618"/>
                            <a:ext cx="269530" cy="154840"/>
                          </a:xfrm>
                          <a:prstGeom prst="rect">
                            <a:avLst/>
                          </a:prstGeom>
                          <a:ln>
                            <a:noFill/>
                          </a:ln>
                        </wps:spPr>
                        <wps:txbx>
                          <w:txbxContent>
                            <w:p w14:paraId="30DE9AF1" w14:textId="77777777" w:rsidR="0014164F" w:rsidRDefault="0014164F" w:rsidP="006D5692">
                              <w:r>
                                <w:rPr>
                                  <w:rFonts w:ascii="Calibri" w:hAnsi="Calibri" w:cs="Calibri"/>
                                  <w:color w:val="404040"/>
                                  <w:sz w:val="18"/>
                                </w:rPr>
                                <w:t>0.63</w:t>
                              </w:r>
                            </w:p>
                          </w:txbxContent>
                        </wps:txbx>
                        <wps:bodyPr horzOverflow="overflow" vert="horz" lIns="0" tIns="0" rIns="0" bIns="0" rtlCol="0">
                          <a:noAutofit/>
                        </wps:bodyPr>
                      </wps:wsp>
                      <wps:wsp>
                        <wps:cNvPr id="759514" name="Rectangle 759514"/>
                        <wps:cNvSpPr/>
                        <wps:spPr>
                          <a:xfrm>
                            <a:off x="3388462" y="1952879"/>
                            <a:ext cx="269530" cy="154840"/>
                          </a:xfrm>
                          <a:prstGeom prst="rect">
                            <a:avLst/>
                          </a:prstGeom>
                          <a:ln>
                            <a:noFill/>
                          </a:ln>
                        </wps:spPr>
                        <wps:txbx>
                          <w:txbxContent>
                            <w:p w14:paraId="5AACCE28" w14:textId="77777777" w:rsidR="0014164F" w:rsidRDefault="0014164F" w:rsidP="006D5692">
                              <w:r>
                                <w:rPr>
                                  <w:rFonts w:ascii="Calibri" w:hAnsi="Calibri" w:cs="Calibri"/>
                                  <w:color w:val="404040"/>
                                  <w:sz w:val="18"/>
                                </w:rPr>
                                <w:t>0.00</w:t>
                              </w:r>
                            </w:p>
                          </w:txbxContent>
                        </wps:txbx>
                        <wps:bodyPr horzOverflow="overflow" vert="horz" lIns="0" tIns="0" rIns="0" bIns="0" rtlCol="0">
                          <a:noAutofit/>
                        </wps:bodyPr>
                      </wps:wsp>
                      <wps:wsp>
                        <wps:cNvPr id="759515" name="Rectangle 759515"/>
                        <wps:cNvSpPr/>
                        <wps:spPr>
                          <a:xfrm>
                            <a:off x="3591116" y="1952879"/>
                            <a:ext cx="108694" cy="154840"/>
                          </a:xfrm>
                          <a:prstGeom prst="rect">
                            <a:avLst/>
                          </a:prstGeom>
                          <a:ln>
                            <a:noFill/>
                          </a:ln>
                        </wps:spPr>
                        <wps:txbx>
                          <w:txbxContent>
                            <w:p w14:paraId="37EC1FF9"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512" name="Rectangle 759512"/>
                        <wps:cNvSpPr/>
                        <wps:spPr>
                          <a:xfrm>
                            <a:off x="3122397" y="1763268"/>
                            <a:ext cx="108694" cy="154840"/>
                          </a:xfrm>
                          <a:prstGeom prst="rect">
                            <a:avLst/>
                          </a:prstGeom>
                          <a:ln>
                            <a:noFill/>
                          </a:ln>
                        </wps:spPr>
                        <wps:txbx>
                          <w:txbxContent>
                            <w:p w14:paraId="4A50943B"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508" name="Rectangle 759508"/>
                        <wps:cNvSpPr/>
                        <wps:spPr>
                          <a:xfrm>
                            <a:off x="2861793" y="1763268"/>
                            <a:ext cx="346603" cy="154840"/>
                          </a:xfrm>
                          <a:prstGeom prst="rect">
                            <a:avLst/>
                          </a:prstGeom>
                          <a:ln>
                            <a:noFill/>
                          </a:ln>
                        </wps:spPr>
                        <wps:txbx>
                          <w:txbxContent>
                            <w:p w14:paraId="6C5F54C1" w14:textId="77777777" w:rsidR="0014164F" w:rsidRDefault="0014164F" w:rsidP="006D5692">
                              <w:r>
                                <w:rPr>
                                  <w:rFonts w:ascii="Calibri" w:hAnsi="Calibri" w:cs="Calibri"/>
                                  <w:color w:val="404040"/>
                                  <w:sz w:val="18"/>
                                </w:rPr>
                                <w:t>28.99</w:t>
                              </w:r>
                            </w:p>
                          </w:txbxContent>
                        </wps:txbx>
                        <wps:bodyPr horzOverflow="overflow" vert="horz" lIns="0" tIns="0" rIns="0" bIns="0" rtlCol="0">
                          <a:noAutofit/>
                        </wps:bodyPr>
                      </wps:wsp>
                      <wps:wsp>
                        <wps:cNvPr id="759482" name="Rectangle 759482"/>
                        <wps:cNvSpPr/>
                        <wps:spPr>
                          <a:xfrm>
                            <a:off x="3121978" y="629793"/>
                            <a:ext cx="108694" cy="154840"/>
                          </a:xfrm>
                          <a:prstGeom prst="rect">
                            <a:avLst/>
                          </a:prstGeom>
                          <a:ln>
                            <a:noFill/>
                          </a:ln>
                        </wps:spPr>
                        <wps:txbx>
                          <w:txbxContent>
                            <w:p w14:paraId="5563EEBE"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81" name="Rectangle 759481"/>
                        <wps:cNvSpPr/>
                        <wps:spPr>
                          <a:xfrm>
                            <a:off x="2919324" y="629793"/>
                            <a:ext cx="269530" cy="154840"/>
                          </a:xfrm>
                          <a:prstGeom prst="rect">
                            <a:avLst/>
                          </a:prstGeom>
                          <a:ln>
                            <a:noFill/>
                          </a:ln>
                        </wps:spPr>
                        <wps:txbx>
                          <w:txbxContent>
                            <w:p w14:paraId="0037F013" w14:textId="77777777" w:rsidR="0014164F" w:rsidRDefault="0014164F" w:rsidP="006D5692">
                              <w:r>
                                <w:rPr>
                                  <w:rFonts w:ascii="Calibri" w:hAnsi="Calibri" w:cs="Calibri"/>
                                  <w:color w:val="404040"/>
                                  <w:sz w:val="18"/>
                                </w:rPr>
                                <w:t>8.42</w:t>
                              </w:r>
                            </w:p>
                          </w:txbxContent>
                        </wps:txbx>
                        <wps:bodyPr horzOverflow="overflow" vert="horz" lIns="0" tIns="0" rIns="0" bIns="0" rtlCol="0">
                          <a:noAutofit/>
                        </wps:bodyPr>
                      </wps:wsp>
                      <wps:wsp>
                        <wps:cNvPr id="759464" name="Rectangle 759464"/>
                        <wps:cNvSpPr/>
                        <wps:spPr>
                          <a:xfrm>
                            <a:off x="2968473" y="378587"/>
                            <a:ext cx="346603" cy="154840"/>
                          </a:xfrm>
                          <a:prstGeom prst="rect">
                            <a:avLst/>
                          </a:prstGeom>
                          <a:ln>
                            <a:noFill/>
                          </a:ln>
                        </wps:spPr>
                        <wps:txbx>
                          <w:txbxContent>
                            <w:p w14:paraId="4368CC28" w14:textId="77777777" w:rsidR="0014164F" w:rsidRDefault="0014164F" w:rsidP="006D5692">
                              <w:r>
                                <w:rPr>
                                  <w:rFonts w:ascii="Calibri" w:hAnsi="Calibri" w:cs="Calibri"/>
                                  <w:color w:val="404040"/>
                                  <w:sz w:val="18"/>
                                </w:rPr>
                                <w:t>14.03</w:t>
                              </w:r>
                            </w:p>
                          </w:txbxContent>
                        </wps:txbx>
                        <wps:bodyPr horzOverflow="overflow" vert="horz" lIns="0" tIns="0" rIns="0" bIns="0" rtlCol="0">
                          <a:noAutofit/>
                        </wps:bodyPr>
                      </wps:wsp>
                      <wps:wsp>
                        <wps:cNvPr id="759465" name="Rectangle 759465"/>
                        <wps:cNvSpPr/>
                        <wps:spPr>
                          <a:xfrm>
                            <a:off x="3229077" y="378587"/>
                            <a:ext cx="108694" cy="154840"/>
                          </a:xfrm>
                          <a:prstGeom prst="rect">
                            <a:avLst/>
                          </a:prstGeom>
                          <a:ln>
                            <a:noFill/>
                          </a:ln>
                        </wps:spPr>
                        <wps:txbx>
                          <w:txbxContent>
                            <w:p w14:paraId="3EA25E45"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71" name="Rectangle 759471"/>
                        <wps:cNvSpPr/>
                        <wps:spPr>
                          <a:xfrm>
                            <a:off x="4031844" y="390779"/>
                            <a:ext cx="269530" cy="154840"/>
                          </a:xfrm>
                          <a:prstGeom prst="rect">
                            <a:avLst/>
                          </a:prstGeom>
                          <a:ln>
                            <a:noFill/>
                          </a:ln>
                        </wps:spPr>
                        <wps:txbx>
                          <w:txbxContent>
                            <w:p w14:paraId="0F6D78AF" w14:textId="77777777" w:rsidR="0014164F" w:rsidRDefault="0014164F" w:rsidP="006D5692">
                              <w:r>
                                <w:rPr>
                                  <w:rFonts w:ascii="Calibri" w:hAnsi="Calibri" w:cs="Calibri"/>
                                  <w:color w:val="404040"/>
                                  <w:sz w:val="18"/>
                                </w:rPr>
                                <w:t>0.00</w:t>
                              </w:r>
                            </w:p>
                          </w:txbxContent>
                        </wps:txbx>
                        <wps:bodyPr horzOverflow="overflow" vert="horz" lIns="0" tIns="0" rIns="0" bIns="0" rtlCol="0">
                          <a:noAutofit/>
                        </wps:bodyPr>
                      </wps:wsp>
                      <wps:wsp>
                        <wps:cNvPr id="759472" name="Rectangle 759472"/>
                        <wps:cNvSpPr/>
                        <wps:spPr>
                          <a:xfrm>
                            <a:off x="4234498" y="390779"/>
                            <a:ext cx="108694" cy="154840"/>
                          </a:xfrm>
                          <a:prstGeom prst="rect">
                            <a:avLst/>
                          </a:prstGeom>
                          <a:ln>
                            <a:noFill/>
                          </a:ln>
                        </wps:spPr>
                        <wps:txbx>
                          <w:txbxContent>
                            <w:p w14:paraId="38CBF44A"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68" name="Rectangle 759468"/>
                        <wps:cNvSpPr/>
                        <wps:spPr>
                          <a:xfrm>
                            <a:off x="3505772" y="295402"/>
                            <a:ext cx="108694" cy="154840"/>
                          </a:xfrm>
                          <a:prstGeom prst="rect">
                            <a:avLst/>
                          </a:prstGeom>
                          <a:ln>
                            <a:noFill/>
                          </a:ln>
                        </wps:spPr>
                        <wps:txbx>
                          <w:txbxContent>
                            <w:p w14:paraId="34D5F081"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66" name="Rectangle 759466"/>
                        <wps:cNvSpPr/>
                        <wps:spPr>
                          <a:xfrm>
                            <a:off x="3303118" y="295402"/>
                            <a:ext cx="269530" cy="154840"/>
                          </a:xfrm>
                          <a:prstGeom prst="rect">
                            <a:avLst/>
                          </a:prstGeom>
                          <a:ln>
                            <a:noFill/>
                          </a:ln>
                        </wps:spPr>
                        <wps:txbx>
                          <w:txbxContent>
                            <w:p w14:paraId="3A5D367F" w14:textId="77777777" w:rsidR="0014164F" w:rsidRDefault="0014164F" w:rsidP="006D5692">
                              <w:r>
                                <w:rPr>
                                  <w:rFonts w:ascii="Calibri" w:hAnsi="Calibri" w:cs="Calibri"/>
                                  <w:color w:val="404040"/>
                                  <w:sz w:val="18"/>
                                </w:rPr>
                                <w:t>0.44</w:t>
                              </w:r>
                            </w:p>
                          </w:txbxContent>
                        </wps:txbx>
                        <wps:bodyPr horzOverflow="overflow" vert="horz" lIns="0" tIns="0" rIns="0" bIns="0" rtlCol="0">
                          <a:noAutofit/>
                        </wps:bodyPr>
                      </wps:wsp>
                      <wps:wsp>
                        <wps:cNvPr id="759469" name="Rectangle 759469"/>
                        <wps:cNvSpPr/>
                        <wps:spPr>
                          <a:xfrm>
                            <a:off x="3605124" y="342900"/>
                            <a:ext cx="269530" cy="154840"/>
                          </a:xfrm>
                          <a:prstGeom prst="rect">
                            <a:avLst/>
                          </a:prstGeom>
                          <a:ln>
                            <a:noFill/>
                          </a:ln>
                        </wps:spPr>
                        <wps:txbx>
                          <w:txbxContent>
                            <w:p w14:paraId="1C5A8C9A" w14:textId="77777777" w:rsidR="0014164F" w:rsidRDefault="0014164F" w:rsidP="006D5692">
                              <w:r>
                                <w:rPr>
                                  <w:rFonts w:ascii="Calibri" w:hAnsi="Calibri" w:cs="Calibri"/>
                                  <w:color w:val="404040"/>
                                  <w:sz w:val="18"/>
                                </w:rPr>
                                <w:t>0.32</w:t>
                              </w:r>
                            </w:p>
                          </w:txbxContent>
                        </wps:txbx>
                        <wps:bodyPr horzOverflow="overflow" vert="horz" lIns="0" tIns="0" rIns="0" bIns="0" rtlCol="0">
                          <a:noAutofit/>
                        </wps:bodyPr>
                      </wps:wsp>
                      <wps:wsp>
                        <wps:cNvPr id="759470" name="Rectangle 759470"/>
                        <wps:cNvSpPr/>
                        <wps:spPr>
                          <a:xfrm>
                            <a:off x="3807778" y="342900"/>
                            <a:ext cx="108694" cy="154840"/>
                          </a:xfrm>
                          <a:prstGeom prst="rect">
                            <a:avLst/>
                          </a:prstGeom>
                          <a:ln>
                            <a:noFill/>
                          </a:ln>
                        </wps:spPr>
                        <wps:txbx>
                          <w:txbxContent>
                            <w:p w14:paraId="59E8D793"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59476" name="Rectangle 759476"/>
                        <wps:cNvSpPr/>
                        <wps:spPr>
                          <a:xfrm>
                            <a:off x="4028288" y="569468"/>
                            <a:ext cx="269530" cy="154840"/>
                          </a:xfrm>
                          <a:prstGeom prst="rect">
                            <a:avLst/>
                          </a:prstGeom>
                          <a:ln>
                            <a:noFill/>
                          </a:ln>
                        </wps:spPr>
                        <wps:txbx>
                          <w:txbxContent>
                            <w:p w14:paraId="0C771F68" w14:textId="77777777" w:rsidR="0014164F" w:rsidRDefault="0014164F" w:rsidP="006D5692">
                              <w:r>
                                <w:rPr>
                                  <w:rFonts w:ascii="Calibri" w:hAnsi="Calibri" w:cs="Calibri"/>
                                  <w:color w:val="404040"/>
                                  <w:sz w:val="18"/>
                                </w:rPr>
                                <w:t>0.00</w:t>
                              </w:r>
                            </w:p>
                          </w:txbxContent>
                        </wps:txbx>
                        <wps:bodyPr horzOverflow="overflow" vert="horz" lIns="0" tIns="0" rIns="0" bIns="0" rtlCol="0">
                          <a:noAutofit/>
                        </wps:bodyPr>
                      </wps:wsp>
                      <wps:wsp>
                        <wps:cNvPr id="759478" name="Rectangle 759478"/>
                        <wps:cNvSpPr/>
                        <wps:spPr>
                          <a:xfrm>
                            <a:off x="4230942" y="569468"/>
                            <a:ext cx="108694" cy="154840"/>
                          </a:xfrm>
                          <a:prstGeom prst="rect">
                            <a:avLst/>
                          </a:prstGeom>
                          <a:ln>
                            <a:noFill/>
                          </a:ln>
                        </wps:spPr>
                        <wps:txbx>
                          <w:txbxContent>
                            <w:p w14:paraId="01CBE69A"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922350" name="Shape 922350"/>
                        <wps:cNvSpPr/>
                        <wps:spPr>
                          <a:xfrm>
                            <a:off x="4646524" y="529717"/>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1678" name="Shape 41678"/>
                        <wps:cNvSpPr/>
                        <wps:spPr>
                          <a:xfrm>
                            <a:off x="4646524" y="529717"/>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79" name="Rectangle 41679"/>
                        <wps:cNvSpPr/>
                        <wps:spPr>
                          <a:xfrm>
                            <a:off x="4719549" y="494713"/>
                            <a:ext cx="472753" cy="151421"/>
                          </a:xfrm>
                          <a:prstGeom prst="rect">
                            <a:avLst/>
                          </a:prstGeom>
                          <a:ln>
                            <a:noFill/>
                          </a:ln>
                        </wps:spPr>
                        <wps:txbx>
                          <w:txbxContent>
                            <w:p w14:paraId="54CAC80B" w14:textId="77777777" w:rsidR="0014164F" w:rsidRDefault="0014164F" w:rsidP="006D5692">
                              <w:r>
                                <w:rPr>
                                  <w:rFonts w:ascii="Arial" w:eastAsia="Arial" w:hAnsi="Arial" w:cs="Arial"/>
                                  <w:color w:val="595959"/>
                                  <w:sz w:val="16"/>
                                </w:rPr>
                                <w:t>Plastika</w:t>
                              </w:r>
                            </w:p>
                          </w:txbxContent>
                        </wps:txbx>
                        <wps:bodyPr horzOverflow="overflow" vert="horz" lIns="0" tIns="0" rIns="0" bIns="0" rtlCol="0">
                          <a:noAutofit/>
                        </wps:bodyPr>
                      </wps:wsp>
                      <wps:wsp>
                        <wps:cNvPr id="922351" name="Shape 922351"/>
                        <wps:cNvSpPr/>
                        <wps:spPr>
                          <a:xfrm>
                            <a:off x="4646524" y="660781"/>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1681" name="Shape 41681"/>
                        <wps:cNvSpPr/>
                        <wps:spPr>
                          <a:xfrm>
                            <a:off x="4646524" y="660781"/>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82" name="Rectangle 41682"/>
                        <wps:cNvSpPr/>
                        <wps:spPr>
                          <a:xfrm>
                            <a:off x="4719549" y="626137"/>
                            <a:ext cx="369692" cy="151873"/>
                          </a:xfrm>
                          <a:prstGeom prst="rect">
                            <a:avLst/>
                          </a:prstGeom>
                          <a:ln>
                            <a:noFill/>
                          </a:ln>
                        </wps:spPr>
                        <wps:txbx>
                          <w:txbxContent>
                            <w:p w14:paraId="17C20B8D" w14:textId="77777777" w:rsidR="0014164F" w:rsidRDefault="0014164F" w:rsidP="006D5692">
                              <w:r>
                                <w:rPr>
                                  <w:rFonts w:ascii="Arial" w:eastAsia="Arial" w:hAnsi="Arial" w:cs="Arial"/>
                                  <w:color w:val="595959"/>
                                  <w:sz w:val="16"/>
                                </w:rPr>
                                <w:t>Guma</w:t>
                              </w:r>
                            </w:p>
                          </w:txbxContent>
                        </wps:txbx>
                        <wps:bodyPr horzOverflow="overflow" vert="horz" lIns="0" tIns="0" rIns="0" bIns="0" rtlCol="0">
                          <a:noAutofit/>
                        </wps:bodyPr>
                      </wps:wsp>
                      <wps:wsp>
                        <wps:cNvPr id="922352" name="Shape 922352"/>
                        <wps:cNvSpPr/>
                        <wps:spPr>
                          <a:xfrm>
                            <a:off x="4646524" y="793369"/>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1684" name="Shape 41684"/>
                        <wps:cNvSpPr/>
                        <wps:spPr>
                          <a:xfrm>
                            <a:off x="4646524" y="793369"/>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85" name="Rectangle 41685"/>
                        <wps:cNvSpPr/>
                        <wps:spPr>
                          <a:xfrm>
                            <a:off x="4719549" y="776436"/>
                            <a:ext cx="428189" cy="127647"/>
                          </a:xfrm>
                          <a:prstGeom prst="rect">
                            <a:avLst/>
                          </a:prstGeom>
                          <a:ln>
                            <a:noFill/>
                          </a:ln>
                        </wps:spPr>
                        <wps:txbx>
                          <w:txbxContent>
                            <w:p w14:paraId="1BC4F2CC" w14:textId="77777777" w:rsidR="0014164F" w:rsidRDefault="0014164F" w:rsidP="006D5692">
                              <w:r>
                                <w:rPr>
                                  <w:rFonts w:ascii="Arial" w:eastAsia="Arial" w:hAnsi="Arial" w:cs="Arial"/>
                                  <w:color w:val="595959"/>
                                  <w:sz w:val="16"/>
                                </w:rPr>
                                <w:t>Odjeća</w:t>
                              </w:r>
                            </w:p>
                          </w:txbxContent>
                        </wps:txbx>
                        <wps:bodyPr horzOverflow="overflow" vert="horz" lIns="0" tIns="0" rIns="0" bIns="0" rtlCol="0">
                          <a:noAutofit/>
                        </wps:bodyPr>
                      </wps:wsp>
                      <wps:wsp>
                        <wps:cNvPr id="922353" name="Shape 922353"/>
                        <wps:cNvSpPr/>
                        <wps:spPr>
                          <a:xfrm>
                            <a:off x="4646524" y="924433"/>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1687" name="Shape 41687"/>
                        <wps:cNvSpPr/>
                        <wps:spPr>
                          <a:xfrm>
                            <a:off x="4646524" y="924433"/>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88" name="Rectangle 41688"/>
                        <wps:cNvSpPr/>
                        <wps:spPr>
                          <a:xfrm>
                            <a:off x="4719549" y="890064"/>
                            <a:ext cx="727657" cy="151421"/>
                          </a:xfrm>
                          <a:prstGeom prst="rect">
                            <a:avLst/>
                          </a:prstGeom>
                          <a:ln>
                            <a:noFill/>
                          </a:ln>
                        </wps:spPr>
                        <wps:txbx>
                          <w:txbxContent>
                            <w:p w14:paraId="2B7EBB79" w14:textId="77777777" w:rsidR="0014164F" w:rsidRDefault="0014164F" w:rsidP="006D5692">
                              <w:r>
                                <w:rPr>
                                  <w:rFonts w:ascii="Arial" w:eastAsia="Arial" w:hAnsi="Arial" w:cs="Arial"/>
                                  <w:color w:val="595959"/>
                                  <w:sz w:val="16"/>
                                </w:rPr>
                                <w:t>Papir/karton</w:t>
                              </w:r>
                            </w:p>
                          </w:txbxContent>
                        </wps:txbx>
                        <wps:bodyPr horzOverflow="overflow" vert="horz" lIns="0" tIns="0" rIns="0" bIns="0" rtlCol="0">
                          <a:noAutofit/>
                        </wps:bodyPr>
                      </wps:wsp>
                      <wps:wsp>
                        <wps:cNvPr id="922354" name="Shape 922354"/>
                        <wps:cNvSpPr/>
                        <wps:spPr>
                          <a:xfrm>
                            <a:off x="4646524" y="1055497"/>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1690" name="Shape 41690"/>
                        <wps:cNvSpPr/>
                        <wps:spPr>
                          <a:xfrm>
                            <a:off x="4646524" y="1055497"/>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91" name="Rectangle 41691"/>
                        <wps:cNvSpPr/>
                        <wps:spPr>
                          <a:xfrm>
                            <a:off x="4719549" y="1039834"/>
                            <a:ext cx="901872" cy="127647"/>
                          </a:xfrm>
                          <a:prstGeom prst="rect">
                            <a:avLst/>
                          </a:prstGeom>
                          <a:ln>
                            <a:noFill/>
                          </a:ln>
                        </wps:spPr>
                        <wps:txbx>
                          <w:txbxContent>
                            <w:p w14:paraId="4678913C" w14:textId="77777777" w:rsidR="0014164F" w:rsidRDefault="0014164F" w:rsidP="006D5692">
                              <w:r>
                                <w:rPr>
                                  <w:rFonts w:ascii="Arial" w:eastAsia="Arial" w:hAnsi="Arial" w:cs="Arial"/>
                                  <w:color w:val="595959"/>
                                  <w:sz w:val="16"/>
                                </w:rPr>
                                <w:t>Obrađeno drvo</w:t>
                              </w:r>
                            </w:p>
                          </w:txbxContent>
                        </wps:txbx>
                        <wps:bodyPr horzOverflow="overflow" vert="horz" lIns="0" tIns="0" rIns="0" bIns="0" rtlCol="0">
                          <a:noAutofit/>
                        </wps:bodyPr>
                      </wps:wsp>
                      <wps:wsp>
                        <wps:cNvPr id="922355" name="Shape 922355"/>
                        <wps:cNvSpPr/>
                        <wps:spPr>
                          <a:xfrm>
                            <a:off x="4646524" y="1188085"/>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1693" name="Shape 41693"/>
                        <wps:cNvSpPr/>
                        <wps:spPr>
                          <a:xfrm>
                            <a:off x="4646524" y="1188085"/>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94" name="Rectangle 41694"/>
                        <wps:cNvSpPr/>
                        <wps:spPr>
                          <a:xfrm>
                            <a:off x="4719549" y="1153462"/>
                            <a:ext cx="330162" cy="151421"/>
                          </a:xfrm>
                          <a:prstGeom prst="rect">
                            <a:avLst/>
                          </a:prstGeom>
                          <a:ln>
                            <a:noFill/>
                          </a:ln>
                        </wps:spPr>
                        <wps:txbx>
                          <w:txbxContent>
                            <w:p w14:paraId="372DED75" w14:textId="77777777" w:rsidR="0014164F" w:rsidRDefault="0014164F" w:rsidP="006D5692">
                              <w:r>
                                <w:rPr>
                                  <w:rFonts w:ascii="Arial" w:eastAsia="Arial" w:hAnsi="Arial" w:cs="Arial"/>
                                  <w:color w:val="595959"/>
                                  <w:sz w:val="16"/>
                                </w:rPr>
                                <w:t>Metal</w:t>
                              </w:r>
                            </w:p>
                          </w:txbxContent>
                        </wps:txbx>
                        <wps:bodyPr horzOverflow="overflow" vert="horz" lIns="0" tIns="0" rIns="0" bIns="0" rtlCol="0">
                          <a:noAutofit/>
                        </wps:bodyPr>
                      </wps:wsp>
                      <wps:wsp>
                        <wps:cNvPr id="922356" name="Shape 922356"/>
                        <wps:cNvSpPr/>
                        <wps:spPr>
                          <a:xfrm>
                            <a:off x="4646524" y="1319149"/>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255E91"/>
                          </a:fillRef>
                          <a:effectRef idx="0">
                            <a:scrgbClr r="0" g="0" b="0"/>
                          </a:effectRef>
                          <a:fontRef idx="none"/>
                        </wps:style>
                        <wps:bodyPr/>
                      </wps:wsp>
                      <wps:wsp>
                        <wps:cNvPr id="41696" name="Shape 41696"/>
                        <wps:cNvSpPr/>
                        <wps:spPr>
                          <a:xfrm>
                            <a:off x="4646524" y="1319149"/>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697" name="Rectangle 41697"/>
                        <wps:cNvSpPr/>
                        <wps:spPr>
                          <a:xfrm>
                            <a:off x="4719549" y="1285161"/>
                            <a:ext cx="375246" cy="151421"/>
                          </a:xfrm>
                          <a:prstGeom prst="rect">
                            <a:avLst/>
                          </a:prstGeom>
                          <a:ln>
                            <a:noFill/>
                          </a:ln>
                        </wps:spPr>
                        <wps:txbx>
                          <w:txbxContent>
                            <w:p w14:paraId="02B5534E" w14:textId="77777777" w:rsidR="0014164F" w:rsidRDefault="0014164F" w:rsidP="006D5692">
                              <w:r>
                                <w:rPr>
                                  <w:rFonts w:ascii="Arial" w:eastAsia="Arial" w:hAnsi="Arial" w:cs="Arial"/>
                                  <w:color w:val="595959"/>
                                  <w:sz w:val="16"/>
                                </w:rPr>
                                <w:t>Staklo</w:t>
                              </w:r>
                            </w:p>
                          </w:txbxContent>
                        </wps:txbx>
                        <wps:bodyPr horzOverflow="overflow" vert="horz" lIns="0" tIns="0" rIns="0" bIns="0" rtlCol="0">
                          <a:noAutofit/>
                        </wps:bodyPr>
                      </wps:wsp>
                      <wps:wsp>
                        <wps:cNvPr id="922357" name="Shape 922357"/>
                        <wps:cNvSpPr/>
                        <wps:spPr>
                          <a:xfrm>
                            <a:off x="4646524" y="1451737"/>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1699" name="Shape 41699"/>
                        <wps:cNvSpPr/>
                        <wps:spPr>
                          <a:xfrm>
                            <a:off x="4646524" y="1451737"/>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700" name="Rectangle 41700"/>
                        <wps:cNvSpPr/>
                        <wps:spPr>
                          <a:xfrm>
                            <a:off x="4719549" y="1416733"/>
                            <a:ext cx="571754" cy="151421"/>
                          </a:xfrm>
                          <a:prstGeom prst="rect">
                            <a:avLst/>
                          </a:prstGeom>
                          <a:ln>
                            <a:noFill/>
                          </a:ln>
                        </wps:spPr>
                        <wps:txbx>
                          <w:txbxContent>
                            <w:p w14:paraId="7C1D2DB8" w14:textId="77777777" w:rsidR="0014164F" w:rsidRDefault="0014164F" w:rsidP="006D5692">
                              <w:r>
                                <w:rPr>
                                  <w:rFonts w:ascii="Arial" w:eastAsia="Arial" w:hAnsi="Arial" w:cs="Arial"/>
                                  <w:color w:val="595959"/>
                                  <w:sz w:val="16"/>
                                </w:rPr>
                                <w:t>Keramika</w:t>
                              </w:r>
                            </w:p>
                          </w:txbxContent>
                        </wps:txbx>
                        <wps:bodyPr horzOverflow="overflow" vert="horz" lIns="0" tIns="0" rIns="0" bIns="0" rtlCol="0">
                          <a:noAutofit/>
                        </wps:bodyPr>
                      </wps:wsp>
                      <wps:wsp>
                        <wps:cNvPr id="922358" name="Shape 922358"/>
                        <wps:cNvSpPr/>
                        <wps:spPr>
                          <a:xfrm>
                            <a:off x="4646524" y="1582802"/>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636363"/>
                          </a:fillRef>
                          <a:effectRef idx="0">
                            <a:scrgbClr r="0" g="0" b="0"/>
                          </a:effectRef>
                          <a:fontRef idx="none"/>
                        </wps:style>
                        <wps:bodyPr/>
                      </wps:wsp>
                      <wps:wsp>
                        <wps:cNvPr id="41702" name="Shape 41702"/>
                        <wps:cNvSpPr/>
                        <wps:spPr>
                          <a:xfrm>
                            <a:off x="4646524" y="1582802"/>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703" name="Rectangle 41703"/>
                        <wps:cNvSpPr/>
                        <wps:spPr>
                          <a:xfrm>
                            <a:off x="4719549" y="1548432"/>
                            <a:ext cx="908004" cy="151421"/>
                          </a:xfrm>
                          <a:prstGeom prst="rect">
                            <a:avLst/>
                          </a:prstGeom>
                          <a:ln>
                            <a:noFill/>
                          </a:ln>
                        </wps:spPr>
                        <wps:txbx>
                          <w:txbxContent>
                            <w:p w14:paraId="0C8E99DC" w14:textId="77777777" w:rsidR="0014164F" w:rsidRDefault="0014164F" w:rsidP="006D5692">
                              <w:r>
                                <w:rPr>
                                  <w:rFonts w:ascii="Arial" w:eastAsia="Arial" w:hAnsi="Arial" w:cs="Arial"/>
                                  <w:color w:val="595959"/>
                                  <w:sz w:val="16"/>
                                </w:rPr>
                                <w:t>Sanitarni otpad</w:t>
                              </w:r>
                            </w:p>
                          </w:txbxContent>
                        </wps:txbx>
                        <wps:bodyPr horzOverflow="overflow" vert="horz" lIns="0" tIns="0" rIns="0" bIns="0" rtlCol="0">
                          <a:noAutofit/>
                        </wps:bodyPr>
                      </wps:wsp>
                      <wps:wsp>
                        <wps:cNvPr id="922359" name="Shape 922359"/>
                        <wps:cNvSpPr/>
                        <wps:spPr>
                          <a:xfrm>
                            <a:off x="4646524" y="1713865"/>
                            <a:ext cx="51816" cy="51816"/>
                          </a:xfrm>
                          <a:custGeom>
                            <a:avLst/>
                            <a:gdLst/>
                            <a:ahLst/>
                            <a:cxnLst/>
                            <a:rect l="0" t="0" r="0" b="0"/>
                            <a:pathLst>
                              <a:path w="51816" h="51816">
                                <a:moveTo>
                                  <a:pt x="0" y="0"/>
                                </a:moveTo>
                                <a:lnTo>
                                  <a:pt x="51816" y="0"/>
                                </a:lnTo>
                                <a:lnTo>
                                  <a:pt x="51816" y="51816"/>
                                </a:lnTo>
                                <a:lnTo>
                                  <a:pt x="0" y="51816"/>
                                </a:lnTo>
                                <a:lnTo>
                                  <a:pt x="0" y="0"/>
                                </a:lnTo>
                              </a:path>
                            </a:pathLst>
                          </a:custGeom>
                          <a:ln w="0" cap="flat">
                            <a:round/>
                          </a:ln>
                        </wps:spPr>
                        <wps:style>
                          <a:lnRef idx="0">
                            <a:srgbClr val="000000">
                              <a:alpha val="0"/>
                            </a:srgbClr>
                          </a:lnRef>
                          <a:fillRef idx="1">
                            <a:srgbClr val="997300"/>
                          </a:fillRef>
                          <a:effectRef idx="0">
                            <a:scrgbClr r="0" g="0" b="0"/>
                          </a:effectRef>
                          <a:fontRef idx="none"/>
                        </wps:style>
                        <wps:bodyPr/>
                      </wps:wsp>
                      <wps:wsp>
                        <wps:cNvPr id="41705" name="Shape 41705"/>
                        <wps:cNvSpPr/>
                        <wps:spPr>
                          <a:xfrm>
                            <a:off x="4646524" y="1713865"/>
                            <a:ext cx="51816" cy="51816"/>
                          </a:xfrm>
                          <a:custGeom>
                            <a:avLst/>
                            <a:gdLst/>
                            <a:ahLst/>
                            <a:cxnLst/>
                            <a:rect l="0" t="0" r="0" b="0"/>
                            <a:pathLst>
                              <a:path w="51816" h="51816">
                                <a:moveTo>
                                  <a:pt x="0" y="51816"/>
                                </a:moveTo>
                                <a:lnTo>
                                  <a:pt x="51816" y="51816"/>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706" name="Rectangle 41706"/>
                        <wps:cNvSpPr/>
                        <wps:spPr>
                          <a:xfrm>
                            <a:off x="4719549" y="1680131"/>
                            <a:ext cx="1007548" cy="151421"/>
                          </a:xfrm>
                          <a:prstGeom prst="rect">
                            <a:avLst/>
                          </a:prstGeom>
                          <a:ln>
                            <a:noFill/>
                          </a:ln>
                        </wps:spPr>
                        <wps:txbx>
                          <w:txbxContent>
                            <w:p w14:paraId="0AD8480D" w14:textId="77777777" w:rsidR="0014164F" w:rsidRDefault="0014164F" w:rsidP="006D5692">
                              <w:r>
                                <w:rPr>
                                  <w:rFonts w:ascii="Arial" w:eastAsia="Arial" w:hAnsi="Arial" w:cs="Arial"/>
                                  <w:color w:val="595959"/>
                                  <w:sz w:val="16"/>
                                </w:rPr>
                                <w:t>Medicinski otpad</w:t>
                              </w:r>
                            </w:p>
                          </w:txbxContent>
                        </wps:txbx>
                        <wps:bodyPr horzOverflow="overflow" vert="horz" lIns="0" tIns="0" rIns="0" bIns="0" rtlCol="0">
                          <a:noAutofit/>
                        </wps:bodyPr>
                      </wps:wsp>
                      <wps:wsp>
                        <wps:cNvPr id="922360" name="Shape 922360"/>
                        <wps:cNvSpPr/>
                        <wps:spPr>
                          <a:xfrm>
                            <a:off x="4646524" y="1846453"/>
                            <a:ext cx="51816" cy="50292"/>
                          </a:xfrm>
                          <a:custGeom>
                            <a:avLst/>
                            <a:gdLst/>
                            <a:ahLst/>
                            <a:cxnLst/>
                            <a:rect l="0" t="0" r="0" b="0"/>
                            <a:pathLst>
                              <a:path w="51816" h="50292">
                                <a:moveTo>
                                  <a:pt x="0" y="0"/>
                                </a:moveTo>
                                <a:lnTo>
                                  <a:pt x="51816" y="0"/>
                                </a:lnTo>
                                <a:lnTo>
                                  <a:pt x="51816" y="50292"/>
                                </a:lnTo>
                                <a:lnTo>
                                  <a:pt x="0" y="50292"/>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1708" name="Shape 41708"/>
                        <wps:cNvSpPr/>
                        <wps:spPr>
                          <a:xfrm>
                            <a:off x="4646524" y="1846453"/>
                            <a:ext cx="51816" cy="50292"/>
                          </a:xfrm>
                          <a:custGeom>
                            <a:avLst/>
                            <a:gdLst/>
                            <a:ahLst/>
                            <a:cxnLst/>
                            <a:rect l="0" t="0" r="0" b="0"/>
                            <a:pathLst>
                              <a:path w="51816" h="50292">
                                <a:moveTo>
                                  <a:pt x="0" y="50292"/>
                                </a:moveTo>
                                <a:lnTo>
                                  <a:pt x="51816" y="50292"/>
                                </a:lnTo>
                                <a:lnTo>
                                  <a:pt x="51816"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709" name="Rectangle 41709"/>
                        <wps:cNvSpPr/>
                        <wps:spPr>
                          <a:xfrm>
                            <a:off x="4719549" y="1811830"/>
                            <a:ext cx="819439" cy="151421"/>
                          </a:xfrm>
                          <a:prstGeom prst="rect">
                            <a:avLst/>
                          </a:prstGeom>
                          <a:ln>
                            <a:noFill/>
                          </a:ln>
                        </wps:spPr>
                        <wps:txbx>
                          <w:txbxContent>
                            <w:p w14:paraId="0550E8B6" w14:textId="77777777" w:rsidR="0014164F" w:rsidRDefault="0014164F" w:rsidP="006D5692">
                              <w:r>
                                <w:rPr>
                                  <w:rFonts w:ascii="Arial" w:eastAsia="Arial" w:hAnsi="Arial" w:cs="Arial"/>
                                  <w:color w:val="595959"/>
                                  <w:sz w:val="16"/>
                                </w:rPr>
                                <w:t>Parafin/vosak</w:t>
                              </w:r>
                            </w:p>
                          </w:txbxContent>
                        </wps:txbx>
                        <wps:bodyPr horzOverflow="overflow" vert="horz" lIns="0" tIns="0" rIns="0" bIns="0" rtlCol="0">
                          <a:noAutofit/>
                        </wps:bodyPr>
                      </wps:wsp>
                    </wpg:wgp>
                  </a:graphicData>
                </a:graphic>
              </wp:inline>
            </w:drawing>
          </mc:Choice>
          <mc:Fallback>
            <w:pict>
              <v:group w14:anchorId="4EA30DD2" id="Group 895838" o:spid="_x0000_s1593" style="width:431.25pt;height:168.5pt;mso-position-horizontal-relative:char;mso-position-vertical-relative:line" coordsize="54771,2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">
                <v:shape id="Shape 41565" o:spid="_x0000_s1594" style="position:absolute;left:1845;top:5510;width:13049;height:13049;visibility:visible;mso-wrap-style:square;v-text-anchor:top" coordsize="1304874,1304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RKskA&#10;AADeAAAADwAAAGRycy9kb3ducmV2LnhtbESPQWvCQBSE70L/w/IK3sxGqVKiq7RCqV6sWj14e2Sf&#10;Sdrs2zS7JrG/3hUKPQ4z8w0zW3SmFA3VrrCsYBjFIIhTqwvOFBw+3wbPIJxH1lhaJgVXcrCYP/Rm&#10;mGjb8o6avc9EgLBLUEHufZVI6dKcDLrIVsTBO9vaoA+yzqSusQ1wU8pRHE+kwYLDQo4VLXNKv/cX&#10;o2Bn39c/bbP9/VqdXu0mPTbH9vKhVP+xe5mC8NT5//Bfe6UVPA3HkzHc74QrIO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9RKskAAADeAAAADwAAAAAAAAAAAAAAAACYAgAA&#10;ZHJzL2Rvd25yZXYueG1sUEsFBgAAAAAEAAQA9QAAAI4DAAAAAA==&#10;" path="m652475,v360299,,652399,292100,652399,652526c1304874,1012825,1012774,1304925,652475,1304925,292176,1304925,,1012825,,652526,,516763,42291,384556,120980,274066l652475,652526,652475,xe" fillcolor="#5b9bd5" stroked="f" strokeweight="0">
                  <v:stroke miterlimit="83231f" joinstyle="miter"/>
                  <v:path arrowok="t" textboxrect="0,0,1304874,1304925"/>
                </v:shape>
                <v:shape id="Shape 41566" o:spid="_x0000_s1595" style="position:absolute;left:1845;top:5510;width:13049;height:13049;visibility:visible;mso-wrap-style:square;v-text-anchor:top" coordsize="1304874,1304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4yQMYA&#10;AADeAAAADwAAAGRycy9kb3ducmV2LnhtbESPUUvDMBSF3wX/Q7iCby5dmWXUZWMIijAnrPoDrs21&#10;KW1uahK77t8vg4GPh3POdzirzWR7MZIPrWMF81kGgrh2uuVGwdfny8MSRIjIGnvHpOBEATbr25sV&#10;ltod+UBjFRuRIBxKVGBiHEopQ23IYpi5gTh5P85bjEn6RmqPxwS3vcyzrJAWW04LBgd6NlR31Z9V&#10;kNtqMrn/ft0t6n21Hd+73w/ZKXV/N22fQESa4n/42n7TChbzx6KAy510BeT6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4yQMYAAADeAAAADwAAAAAAAAAAAAAAAACYAgAAZHJz&#10;L2Rvd25yZXYueG1sUEsFBgAAAAAEAAQA9QAAAIsDAAAAAA==&#10;" path="m652475,v360299,,652399,292100,652399,652526c1304874,1012825,1012774,1304925,652475,1304925,292176,1304925,,1012825,,652526,,516763,42291,384556,120980,274066l652475,652526,652475,xe" filled="f" strokecolor="white" strokeweight="1.56pt">
                  <v:path arrowok="t" textboxrect="0,0,1304874,1304925"/>
                </v:shape>
                <v:shape id="Shape 41567" o:spid="_x0000_s1596" style="position:absolute;left:2975;top:7433;width:5315;height:4502;visibility:visible;mso-wrap-style:square;v-text-anchor:top" coordsize="531495,450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0MR8gA&#10;AADeAAAADwAAAGRycy9kb3ducmV2LnhtbESPT2vCQBTE74V+h+UVeqsbpY0Ss5FgEWqhB/+Bx2f2&#10;mQSzb0N2q9FP3y0IHoeZ+Q2TznrTiDN1rrasYDiIQBAXVtdcKthuFm8TEM4ja2wsk4IrOZhlz08p&#10;JtpeeEXntS9FgLBLUEHlfZtI6YqKDLqBbYmDd7SdQR9kV0rd4SXATSNHURRLgzWHhQpbmldUnNa/&#10;RsGtwV206Q/50u/Hp8+fVbxY5t9Kvb70+RSEp94/wvf2l1bwPvyIx/B/J1wBmf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3QxHyAAAAN4AAAAPAAAAAAAAAAAAAAAAAJgCAABk&#10;cnMvZG93bnJldi54bWxQSwUGAAAAAAQABAD1AAAAjQMAAAAA&#10;" path="m59309,l531495,450215,,71755c18034,46482,37846,22479,59309,xe" fillcolor="#ed7d31" stroked="f" strokeweight="0">
                  <v:path arrowok="t" textboxrect="0,0,531495,450215"/>
                </v:shape>
                <v:shape id="Shape 41568" o:spid="_x0000_s1597" style="position:absolute;left:2975;top:7433;width:5315;height:4502;visibility:visible;mso-wrap-style:square;v-text-anchor:top" coordsize="531495,450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g3+cUA&#10;AADeAAAADwAAAGRycy9kb3ducmV2LnhtbERPy2rCQBTdF/yH4QrdNRNLFYmOIralhYLW+NpeMtck&#10;mrkTMtMk/fvOQujycN7zZW8q0VLjSssKRlEMgjizuuRcwWH//jQF4TyyxsoyKfglB8vF4GGOibYd&#10;76hNfS5CCLsEFRTe14mULivIoItsTRy4i20M+gCbXOoGuxBuKvkcxxNpsOTQUGBN64KyW/pjFKTj&#10;9fmrfZue/Aa3xy475teP12+lHof9agbCU+//xXf3p1bwMhpPwt5wJ1w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aDf5xQAAAN4AAAAPAAAAAAAAAAAAAAAAAJgCAABkcnMv&#10;ZG93bnJldi54bWxQSwUGAAAAAAQABAD1AAAAigMAAAAA&#10;" path="m,71755c18034,46482,37846,22479,59309,l531495,450215,,71755xe" filled="f" strokecolor="white" strokeweight="1.56pt">
                  <v:path arrowok="t" textboxrect="0,0,531495,450215"/>
                </v:shape>
                <v:shape id="Shape 41569" o:spid="_x0000_s1598" style="position:absolute;left:3572;top:7208;width:4722;height:4723;visibility:visible;mso-wrap-style:square;v-text-anchor:top" coordsize="472186,472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RtjcYA&#10;AADeAAAADwAAAGRycy9kb3ducmV2LnhtbESPQWvCQBSE74L/YXmF3urGYG2NriKCIIjUpoLXR/aZ&#10;xGbfLtltTP+9Wyh4HGbmG2ax6k0jOmp9bVnBeJSAIC6srrlUcPravryD8AFZY2OZFPySh9VyOFhg&#10;pu2NP6nLQykihH2GCqoQXCalLyoy6EfWEUfvYluDIcq2lLrFW4SbRqZJMpUGa44LFTraVFR85z9G&#10;gd2fP3zn9oerK95yOh3T826TKvX81K/nIAL14RH+b++0gsn4dTqDvzvxCs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7RtjcYAAADeAAAADwAAAAAAAAAAAAAAAACYAgAAZHJz&#10;L2Rvd25yZXYueG1sUEsFBgAAAAAEAAQA9QAAAIsDAAAAAA==&#10;" path="m21971,l472186,472313,,21971c7112,14478,14478,7239,21971,xe" fillcolor="#a5a5a5" stroked="f" strokeweight="0">
                  <v:path arrowok="t" textboxrect="0,0,472186,472313"/>
                </v:shape>
                <v:shape id="Shape 41570" o:spid="_x0000_s1599" style="position:absolute;left:3572;top:7208;width:4722;height:4723;visibility:visible;mso-wrap-style:square;v-text-anchor:top" coordsize="472186,472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NYAMQA&#10;AADeAAAADwAAAGRycy9kb3ducmV2LnhtbESPy4rCMBSG9wO+QziCuzH1MirVKCKK3czCK7g7NMe2&#10;2JyUJmp9e7MQXP78N77ZojGleFDtCssKet0IBHFqdcGZguNh8zsB4TyyxtIyKXiRg8W89TPDWNsn&#10;7+ix95kII+xiVJB7X8VSujQng65rK+LgXW1t0AdZZ1LX+AzjppT9KBpJgwWHhxwrWuWU3vZ3o+By&#10;Ssb/A0O7Q7Pk82WwjSYmWSvVaTfLKQhPjf+GP+1EKxj2/sYBIOAEFJ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TWADEAAAA3gAAAA8AAAAAAAAAAAAAAAAAmAIAAGRycy9k&#10;b3ducmV2LnhtbFBLBQYAAAAABAAEAPUAAACJAwAAAAA=&#10;" path="m,21971c7112,14478,14478,7239,21971,l472186,472313,,21971xe" filled="f" strokecolor="white" strokeweight="1.56pt">
                  <v:path arrowok="t" textboxrect="0,0,472186,472313"/>
                </v:shape>
                <v:shape id="Shape 41571" o:spid="_x0000_s1600" style="position:absolute;left:3793;top:7208;width:4502;height:4722;visibility:visible;mso-wrap-style:square;v-text-anchor:top" coordsize="450215,472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6SlccA&#10;AADeAAAADwAAAGRycy9kb3ducmV2LnhtbESPQUvDQBSE74L/YXlCL8XuRmotsdsiYqvtLbX0/Mg+&#10;s8Hs25DdpPHfu0LB4zAz3zCrzegaMVAXas8aspkCQVx6U3Ol4fS5vV+CCBHZYOOZNPxQgM369maF&#10;ufEXLmg4xkokCIccNdgY21zKUFpyGGa+JU7el+8cxiS7SpoOLwnuGvmg1EI6rDktWGzp1VL5feyd&#10;hv40lFM19G/vZ7XbLw9VsTgXVuvJ3fjyDCLSGP/D1/aH0TDPHp8y+LuTr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ekpXHAAAA3gAAAA8AAAAAAAAAAAAAAAAAmAIAAGRy&#10;cy9kb3ducmV2LnhtbFBLBQYAAAAABAAEAPUAAACMAwAAAAA=&#10;" path="m,l450215,472186,,xe" filled="f" strokecolor="white" strokeweight="1.56pt">
                  <v:path arrowok="t" textboxrect="0,0,450215,472186"/>
                </v:shape>
                <v:shape id="Shape 41572" o:spid="_x0000_s1601" style="position:absolute;left:3795;top:6611;width:4504;height:5315;visibility:visible;mso-wrap-style:square;v-text-anchor:top" coordsize="450342,53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UsyMcA&#10;AADeAAAADwAAAGRycy9kb3ducmV2LnhtbESPQWvCQBSE74L/YXmCF6kbxWpJXUUUwSo9aOv9kX1N&#10;UrNvY3Y1yb/vCgWPw8x8w8yXjSnEnSqXW1YwGkYgiBOrc04VfH9tX95AOI+ssbBMClpysFx0O3OM&#10;ta35SPeTT0WAsItRQeZ9GUvpkowMuqEtiYP3YyuDPsgqlbrCOsBNIcdRNJUGcw4LGZa0zii5nG5G&#10;wbne7ttba4/ngx58/m6u5WyafijV7zWrdxCeGv8M/7d3WsFk9Dobw+NOu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6VLMjHAAAA3gAAAA8AAAAAAAAAAAAAAAAAmAIAAGRy&#10;cy9kb3ducmV2LnhtbFBLBQYAAAAABAAEAPUAAACMAwAAAAA=&#10;" path="m71882,l450342,531495,,59309c22479,37846,46482,18034,71882,xe" fillcolor="#4472c4" stroked="f" strokeweight="0">
                  <v:path arrowok="t" textboxrect="0,0,450342,531495"/>
                </v:shape>
                <v:shape id="Shape 41573" o:spid="_x0000_s1602" style="position:absolute;left:3795;top:6611;width:4504;height:5315;visibility:visible;mso-wrap-style:square;v-text-anchor:top" coordsize="450342,531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pxBccA&#10;AADeAAAADwAAAGRycy9kb3ducmV2LnhtbESP3WrCQBSE7wu+w3IE7+rGVqtEV5FC/QGh+PMAx+wx&#10;icmeDdk1xrd3hUIvh5n5hpktWlOKhmqXW1Yw6EcgiBOrc04VnI4/7xMQziNrLC2Tggc5WMw7bzOM&#10;tb3znpqDT0WAsItRQeZ9FUvpkowMur6tiIN3sbVBH2SdSl3jPcBNKT+i6EsazDksZFjRd0ZJcbgZ&#10;BUmzW+fnqLj8Dq/ybDerrfTFSKlet11OQXhq/X/4r73RCoaD0fgTXnfCFZDz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6cQXHAAAA3gAAAA8AAAAAAAAAAAAAAAAAmAIAAGRy&#10;cy9kb3ducmV2LnhtbFBLBQYAAAAABAAEAPUAAACMAwAAAAA=&#10;" path="m,59309c22479,37846,46482,18034,71882,l450342,531495,,59309xe" filled="f" strokecolor="white" strokeweight="1.56pt">
                  <v:path arrowok="t" textboxrect="0,0,450342,531495"/>
                </v:shape>
                <v:shape id="Shape 41574" o:spid="_x0000_s1603" style="position:absolute;left:4523;top:5985;width:3785;height:5935;visibility:visible;mso-wrap-style:square;v-text-anchor:top" coordsize="378460,5934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nUOMgA&#10;AADeAAAADwAAAGRycy9kb3ducmV2LnhtbESPQWvCQBSE74X+h+UVvNWNYmOJrtJWpBG8NHrw+Mi+&#10;ZGOzb0N21fTfdwsFj8PMfMMs14NtxZV63zhWMBknIIhLpxuuFRwP2+dXED4ga2wdk4If8rBePT4s&#10;MdPuxl90LUItIoR9hgpMCF0mpS8NWfRj1xFHr3K9xRBlX0vd4y3CbSunSZJKiw3HBYMdfRgqv4uL&#10;VZCm++nnbpNXw35nzvOiOrn3Q67U6Gl4W4AINIR7+L+dawWzyct8Bn934hW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mdQ4yAAAAN4AAAAPAAAAAAAAAAAAAAAAAJgCAABk&#10;cnMvZG93bnJldi54bWxQSwUGAAAAAAQABAD1AAAAjQMAAAAA&#10;" path="m107315,l378460,593471,,62103c33655,37973,69723,17272,107315,xe" fillcolor="#70ad47" stroked="f" strokeweight="0">
                  <v:path arrowok="t" textboxrect="0,0,378460,593471"/>
                </v:shape>
                <v:shape id="Shape 41575" o:spid="_x0000_s1604" style="position:absolute;left:4523;top:5985;width:3785;height:5935;visibility:visible;mso-wrap-style:square;v-text-anchor:top" coordsize="378460,5934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PtzcYA&#10;AADeAAAADwAAAGRycy9kb3ducmV2LnhtbESP3WrCQBSE7wXfYTlC73QT8Y/oKtIiFbSE2j7AafaY&#10;BLNnQ3ar27d3BaGXw8x8w6w2wTTiSp2rLStIRwkI4sLqmksF31+74QKE88gaG8uk4I8cbNb93goz&#10;bW/8SdeTL0WEsMtQQeV9m0npiooMupFtiaN3tp1BH2VXSt3hLcJNI8dJMpMGa44LFbb0WlFxOf0a&#10;BcdweF/8sM/Hb5bScv+Rz03IlXoZhO0ShKfg/8PP9l4rmKTT+RQed+IV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PtzcYAAADeAAAADwAAAAAAAAAAAAAAAACYAgAAZHJz&#10;L2Rvd25yZXYueG1sUEsFBgAAAAAEAAQA9QAAAIsDAAAAAA==&#10;" path="m,62103c33655,37973,69723,17272,107315,l378460,593471,,62103xe" filled="f" strokecolor="white" strokeweight="1.56pt">
                  <v:path arrowok="t" textboxrect="0,0,378460,593471"/>
                </v:shape>
                <v:shape id="Shape 41576" o:spid="_x0000_s1605" style="position:absolute;left:5610;top:5507;width:2710;height:6408;visibility:visible;mso-wrap-style:square;v-text-anchor:top" coordsize="271018,640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FGX8cA&#10;AADeAAAADwAAAGRycy9kb3ducmV2LnhtbESPQWvCQBSE7wX/w/IEb3UTbdWmriKCUGgpafTg8ZF9&#10;zYZm34bsGuO/7xYKHoeZ+YZZbwfbiJ46XztWkE4TEMSl0zVXCk7Hw+MKhA/IGhvHpOBGHrab0cMa&#10;M+2u/EV9ESoRIewzVGBCaDMpfWnIop+6ljh6366zGKLsKqk7vEa4beQsSRbSYs1xwWBLe0PlT3Gx&#10;Cj7eP1PM+5MpXtzZ5ZTX+3R+U2oyHnavIAIN4R7+b79pBU/p83IBf3fiFZ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RRl/HAAAA3gAAAA8AAAAAAAAAAAAAAAAAmAIAAGRy&#10;cy9kb3ducmV2LnhtbFBLBQYAAAAABAAEAPUAAACMAwAAAAA=&#10;" path="m147447,l271018,640715,,47244c47117,25654,96647,9906,147447,xe" fillcolor="#255e91" stroked="f" strokeweight="0">
                  <v:path arrowok="t" textboxrect="0,0,271018,640715"/>
                </v:shape>
                <v:shape id="Shape 41577" o:spid="_x0000_s1606" style="position:absolute;left:5610;top:5507;width:2710;height:6408;visibility:visible;mso-wrap-style:square;v-text-anchor:top" coordsize="271018,640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VBvscA&#10;AADeAAAADwAAAGRycy9kb3ducmV2LnhtbESPQWsCMRSE70L/Q3hCL1KzFltla5RS2mIRD1p7f2xe&#10;dxc3L2GTjeu/N4LgcZiZb5jFqjeNiNT62rKCyTgDQVxYXXOp4PD79TQH4QOyxsYyKTiTh9XyYbDA&#10;XNsT7yjuQykShH2OCqoQXC6lLyoy6MfWESfv37YGQ5JtKXWLpwQ3jXzOsldpsOa0UKGjj4qK474z&#10;CrqfuPvr8Hu07d38czM9xMJFqdTjsH9/AxGoD/fwrb3WCqaTl9kMrnfSFZD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VQb7HAAAA3gAAAA8AAAAAAAAAAAAAAAAAmAIAAGRy&#10;cy9kb3ducmV2LnhtbFBLBQYAAAAABAAEAPUAAACMAwAAAAA=&#10;" path="m,47244c47117,25654,96647,9906,147447,l271018,640715,,47244xe" filled="f" strokecolor="white" strokeweight="1.56pt">
                  <v:path arrowok="t" textboxrect="0,0,271018,640715"/>
                </v:shape>
                <v:shape id="Shape 41578" o:spid="_x0000_s1607" style="position:absolute;left:7092;top:5506;width:1236;height:6406;visibility:visible;mso-wrap-style:square;v-text-anchor:top" coordsize="123571,640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9wCcMA&#10;AADeAAAADwAAAGRycy9kb3ducmV2LnhtbERP3WrCMBS+F/YO4Qy8EU0UddIZZQiCYwpO9wCH5tiW&#10;NSeliWn39uZi4OXH97/e9rYWkVpfOdYwnSgQxLkzFRcafq778QqED8gGa8ek4Y88bDcvgzVmxnX8&#10;TfESCpFC2GeooQyhyaT0eUkW/cQ1xIm7udZiSLAtpGmxS+G2ljOlltJixamhxIZ2JeW/l7vVwKvu&#10;GO84OvcxHk43pRb4VXxqPXztP95BBOrDU/zvPhgN8+niLe1Nd9IVkJ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g9wCcMAAADeAAAADwAAAAAAAAAAAAAAAACYAgAAZHJzL2Rv&#10;d25yZXYueG1sUEsFBgAAAAAEAAQA9QAAAIgDAAAAAA==&#10;" path="m,l123571,640588,,xe" filled="f" strokecolor="white" strokeweight="1.56pt">
                  <v:path arrowok="t" textboxrect="0,0,123571,640588"/>
                </v:shape>
                <v:shape id="Shape 41579" o:spid="_x0000_s1608" style="position:absolute;left:7096;top:5417;width:1234;height:6495;visibility:visible;mso-wrap-style:square;v-text-anchor:top" coordsize="123444,649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dGccA&#10;AADeAAAADwAAAGRycy9kb3ducmV2LnhtbESPQWsCMRSE7wX/Q3hCb5rV2mq3RtGCtAehuAq9PjbP&#10;7NbNS9ik7vbfNwWhx2FmvmGW69424kptqB0rmIwzEMSl0zUbBafjbrQAESKyxsYxKfihAOvV4G6J&#10;uXYdH+haRCMShEOOCqoYfS5lKCuyGMbOEyfv7FqLMcnWSN1il+C2kdMse5IWa04LFXp6rai8FN9W&#10;wef+4WC6beEv0zcsvkpz9uw+lLof9psXEJH6+B++td+1gtnkcf4Mf3fSF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PnRnHAAAA3gAAAA8AAAAAAAAAAAAAAAAAmAIAAGRy&#10;cy9kb3ducmV2LnhtbFBLBQYAAAAABAAEAPUAAACMAwAAAAA=&#10;" path="m61468,r61976,649478l,8763c20320,4953,40767,1905,61468,xe" fillcolor="#636363" stroked="f" strokeweight="0">
                  <v:path arrowok="t" textboxrect="0,0,123444,649478"/>
                </v:shape>
                <v:shape id="Shape 41580" o:spid="_x0000_s1609" style="position:absolute;left:7096;top:5417;width:1234;height:6495;visibility:visible;mso-wrap-style:square;v-text-anchor:top" coordsize="123444,6494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tcXMcA&#10;AADeAAAADwAAAGRycy9kb3ducmV2LnhtbESPzWrCQBSF9wXfYbiFbqTOWNSG6ChSaKvQLkzt/pK5&#10;JqmZOyEzmujTOwuhy8P541useluLM7W+cqxhPFIgiHNnKi407H/enxMQPiAbrB2Thgt5WC0HDwtM&#10;jet4R+csFCKOsE9RQxlCk0rp85Is+pFriKN3cK3FEGVbSNNiF8dtLV+UmkmLFceHEht6Kyk/Zier&#10;Yf36+/nxnZ/UdtNXw8x3f3v1ddX66bFfz0EE6sN/+N7eGA2T8TSJABEno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LXFzHAAAA3gAAAA8AAAAAAAAAAAAAAAAAmAIAAGRy&#10;cy9kb3ducmV2LnhtbFBLBQYAAAAABAAEAPUAAACMAwAAAAA=&#10;" path="m,8763c20320,4953,40767,1905,61468,r61976,649478l,8763xe" filled="f" strokecolor="white" strokeweight="1.56pt">
                  <v:path arrowok="t" textboxrect="0,0,123444,649478"/>
                </v:shape>
                <v:shape id="Shape 41581" o:spid="_x0000_s1610" style="position:absolute;left:7717;top:5387;width:620;height:6525;visibility:visible;mso-wrap-style:square;v-text-anchor:top" coordsize="61976,652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oO8MgA&#10;AADeAAAADwAAAGRycy9kb3ducmV2LnhtbESPzWrCQBSF9wXfYbhCN6KT1FYldRQRSrPoQq0uurtk&#10;bpPQzJ0wMybx7TsFocvD+fk46+1gGtGR87VlBeksAUFcWF1zqeD8+TZdgfABWWNjmRTcyMN2M3pY&#10;Y6Ztz0fqTqEUcYR9hgqqENpMSl9UZNDPbEscvW/rDIYoXSm1wz6Om0Y+JclCGqw5EipsaV9R8XO6&#10;mshtDmWN1/zjvZss+vnxa3npc6fU43jYvYIINIT/8L2dawXP6csqhb878QrI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5qg7wyAAAAN4AAAAPAAAAAAAAAAAAAAAAAJgCAABk&#10;cnMvZG93bnJldi54bWxQSwUGAAAAAAQABAD1AAAAjQMAAAAA&#10;" path="m61976,r,652526l,2921c20574,1016,41275,,61976,xe" fillcolor="#997300" stroked="f" strokeweight="0">
                  <v:path arrowok="t" textboxrect="0,0,61976,652526"/>
                </v:shape>
                <v:shape id="Shape 41582" o:spid="_x0000_s1611" style="position:absolute;left:7717;top:5387;width:620;height:6525;visibility:visible;mso-wrap-style:square;v-text-anchor:top" coordsize="61976,652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8I8cA&#10;AADeAAAADwAAAGRycy9kb3ducmV2LnhtbESPQWvCQBSE70L/w/IK3nSjWElTV5GCtod6MBXPz+xr&#10;Epp9G3Y3mvz7bkHwOMzMN8xq05tGXMn52rKC2TQBQVxYXXOp4PS9m6QgfEDW2FgmBQN52KyfRivM&#10;tL3xka55KEWEsM9QQRVCm0npi4oM+qltiaP3Y53BEKUrpXZ4i3DTyHmSLKXBmuNChS29V1T85p1R&#10;0B2G/XLIt4vcmUv39Vqe09PHXqnxc799AxGoD4/wvf2pFSxmL+kc/u/EK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fCPHAAAA3gAAAA8AAAAAAAAAAAAAAAAAmAIAAGRy&#10;cy9kb3ducmV2LnhtbFBLBQYAAAAABAAEAPUAAACMAwAAAAA=&#10;" path="m,2921c20574,1016,41275,,61976,r,652526l,2921xe" filled="f" strokecolor="white" strokeweight="1.56pt">
                  <v:path arrowok="t" textboxrect="0,0,61976,652526"/>
                </v:shape>
                <v:shape id="Shape 41583" o:spid="_x0000_s1612" style="position:absolute;left:8339;top:5387;width:0;height:6525;visibility:visible;mso-wrap-style:square;v-text-anchor:top" coordsize="0,652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5eHcgA&#10;AADeAAAADwAAAGRycy9kb3ducmV2LnhtbESPQWvCQBSE7wX/w/IEb3VjtEWiq4it0EsOTWt7fWaf&#10;2Wj2bchuY/rvu4VCj8PMfMOst4NtRE+drx0rmE0TEMSl0zVXCt7fDvdLED4ga2wck4Jv8rDdjO7W&#10;mGl341fqi1CJCGGfoQITQptJ6UtDFv3UtcTRO7vOYoiyq6Tu8BbhtpFpkjxKizXHBYMt7Q2V1+LL&#10;KsjzXbF4Pjx9pJ8nk1b55ej64qjUZDzsViACDeE//Nd+0QoWs4flHH7vxCsgN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Ll4dyAAAAN4AAAAPAAAAAAAAAAAAAAAAAJgCAABk&#10;cnMvZG93bnJldi54bWxQSwUGAAAAAAQABAD1AAAAjQMAAAAA&#10;" path="m,l,652526,,xe" filled="f" strokecolor="white" strokeweight="1.56pt">
                  <v:path arrowok="t" textboxrect="0,0,0,652526"/>
                </v:shape>
                <v:shape id="Shape 41584" o:spid="_x0000_s1613" style="position:absolute;left:3130;top:5853;width:122;height:1935;visibility:visible;mso-wrap-style:square;v-text-anchor:top" coordsize="12192,1935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tg88YA&#10;AADeAAAADwAAAGRycy9kb3ducmV2LnhtbESPX2vCQBDE3wv9DscKfasXxYqkniKBgiCU+ufBx21u&#10;zQVzeyF7avrte4Lg4zAzv2Hmy9436kqd1IENjIYZKOIy2JorA4f91/sMlERki01gMvBHAsvF68sc&#10;cxtuvKXrLlYqQVhyNOBibHOtpXTkUYahJU7eKXQeY5JdpW2HtwT3jR5n2VR7rDktOGypcFSedxdv&#10;4PsYNrrw0rif8WF7+S3Ks6zEmLdBv/oEFamPz/CjvbYGJqOP2QTud9IV0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9tg88YAAADeAAAADwAAAAAAAAAAAAAAAACYAgAAZHJz&#10;L2Rvd25yZXYueG1sUEsFBgAAAAAEAAQA9QAAAIsDAAAAAA==&#10;" path="m12192,193548l,e" filled="f" strokecolor="#a6a6a6" strokeweight=".72pt">
                  <v:path arrowok="t" textboxrect="0,0,12192,193548"/>
                </v:shape>
                <v:shape id="Shape 41585" o:spid="_x0000_s1614" style="position:absolute;left:3130;top:4283;width:548;height:3033;visibility:visible;mso-wrap-style:square;v-text-anchor:top" coordsize="54864,303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mBsUA&#10;AADeAAAADwAAAGRycy9kb3ducmV2LnhtbESPUWvCMBSF3wf7D+EOfJtpRUdXjTIGgmxY0PkDLs21&#10;KTY3JYm2/vtlIOzxcM75Dme1GW0nbuRD61hBPs1AENdOt9woOP1sXwsQISJr7ByTgjsF2Kyfn1ZY&#10;ajfwgW7H2IgE4VCiAhNjX0oZakMWw9T1xMk7O28xJukbqT0OCW47OcuyN2mx5bRgsKdPQ/XleLUK&#10;/Pc9N83exOJSnb6qMLznVauVmryMH0sQkcb4H360d1rBPF8UC/i7k6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xiYGxQAAAN4AAAAPAAAAAAAAAAAAAAAAAJgCAABkcnMv&#10;ZG93bnJldi54bWxQSwUGAAAAAAQABAD1AAAAigMAAAAA&#10;" path="m54864,303276l,e" filled="f" strokecolor="#a6a6a6" strokeweight=".72pt">
                  <v:path arrowok="t" textboxrect="0,0,54864,303276"/>
                </v:shape>
                <v:shape id="Shape 41586" o:spid="_x0000_s1615" style="position:absolute;left:3678;top:2881;width:1372;height:3383;visibility:visible;mso-wrap-style:square;v-text-anchor:top" coordsize="137160,33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uFb8YA&#10;AADeAAAADwAAAGRycy9kb3ducmV2LnhtbESPQWvCQBSE7wX/w/KE3upG20aJriKCIKU9GAWvj+wz&#10;CWbfxt3VxH/fLRQ8DjPzDbNY9aYRd3K+tqxgPEpAEBdW11wqOB62bzMQPiBrbCyTggd5WC0HLwvM&#10;tO14T/c8lCJC2GeooAqhzaT0RUUG/ci2xNE7W2cwROlKqR12EW4aOUmSVBqsOS5U2NKmouKS34yC&#10;InEYTq5L36fr75/DpcknX9dcqddhv56DCNSHZ/i/vdMKPsafsxT+7sQr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uFb8YAAADeAAAADwAAAAAAAAAAAAAAAACYAgAAZHJz&#10;L2Rvd25yZXYueG1sUEsFBgAAAAAEAAQA9QAAAIsDAAAAAA==&#10;" path="m137160,338328l57912,,,e" filled="f" strokecolor="#a6a6a6" strokeweight=".72pt">
                  <v:path arrowok="t" textboxrect="0,0,137160,338328"/>
                </v:shape>
                <v:shape id="Shape 41587" o:spid="_x0000_s1616" style="position:absolute;left:5934;top:1769;width:396;height:3932;visibility:visible;mso-wrap-style:square;v-text-anchor:top" coordsize="39624,393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SMNMYA&#10;AADeAAAADwAAAGRycy9kb3ducmV2LnhtbESPQWvCQBSE74L/YXlCb7pRqk3TbESEgiAUY6Xt8ZF9&#10;TVKzb0N2a+K/dwtCj8PMfMOk68E04kKdqy0rmM8iEMSF1TWXCk7vr9MYhPPIGhvLpOBKDtbZeJRi&#10;om3POV2OvhQBwi5BBZX3bSKlKyoy6Ga2JQ7et+0M+iC7UuoO+wA3jVxE0UoarDksVNjStqLifPw1&#10;CjR6KvKPff751mP09cOH5/p0UOphMmxeQHga/H/43t5pBY/zZfwEf3fCFZD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SMNMYAAADeAAAADwAAAAAAAAAAAAAAAACYAgAAZHJz&#10;L2Rvd25yZXYueG1sUEsFBgAAAAAEAAQA9QAAAIsDAAAAAA==&#10;" path="m39624,393192l,e" filled="f" strokecolor="#a6a6a6" strokeweight=".72pt">
                  <v:path arrowok="t" textboxrect="0,0,39624,393192"/>
                </v:shape>
                <v:shape id="Shape 41588" o:spid="_x0000_s1617" style="position:absolute;left:7092;top:1449;width:0;height:4053;visibility:visible;mso-wrap-style:square;v-text-anchor:top" coordsize="0,405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leX8EA&#10;AADeAAAADwAAAGRycy9kb3ducmV2LnhtbERPS4vCMBC+C/6HMII3TXV1kWoUWRD2uD5YPA7N2JY2&#10;k24zat1fbw6Cx4/vvdp0rlY3akPp2cBknIAizrwtOTdwOu5GC1BBkC3WnsnAgwJs1v3eClPr77yn&#10;20FyFUM4pGigEGlSrUNWkMMw9g1x5C6+dSgRtrm2Ld5juKv1NEk+tcOSY0OBDX0VlFWHqzNQVfkH&#10;1e5Pn/eyPU//f6wtf8WY4aDbLkEJdfIWv9zf1sBsMl/EvfFOvAJ6/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9ZXl/BAAAA3gAAAA8AAAAAAAAAAAAAAAAAmAIAAGRycy9kb3du&#10;cmV2LnhtbFBLBQYAAAAABAAEAPUAAACGAwAAAAA=&#10;" path="m,405384l,e" filled="f" strokecolor="#a6a6a6" strokeweight=".72pt">
                  <v:path arrowok="t" textboxrect="0,0,0,405384"/>
                </v:shape>
                <v:shape id="Shape 41589" o:spid="_x0000_s1618" style="position:absolute;left:7397;top:1997;width:747;height:3460;visibility:visible;mso-wrap-style:square;v-text-anchor:top" coordsize="74676,345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FaxsgA&#10;AADeAAAADwAAAGRycy9kb3ducmV2LnhtbESPX2vCMBTF3wW/Q7jC3jR1qGhnlDGQTcWHOhns7a65&#10;pmXNTddErX56Mxjs8XD+/DjzZWsrcabGl44VDAcJCOLc6ZKNgsP7qj8F4QOyxsoxKbiSh+Wi25lj&#10;qt2FMzrvgxFxhH2KCooQ6lRKnxdk0Q9cTRy9o2sshigbI3WDlzhuK/mYJBNpseRIKLCml4Ly7/3J&#10;Ru7X60e2MiaMys+jXN+yyW67+VHqodc+P4EI1Ib/8F/7TSsYDcfTGfzeiVdAL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UVrGyAAAAN4AAAAPAAAAAAAAAAAAAAAAAJgCAABk&#10;cnMvZG93bnJldi54bWxQSwUGAAAAAAQABAD1AAAAjQMAAAAA&#10;" path="m,345948l18288,,74676,e" filled="f" strokecolor="#a6a6a6" strokeweight=".72pt">
                  <v:path arrowok="t" textboxrect="0,0,74676,345948"/>
                </v:shape>
                <v:shape id="Shape 41590" o:spid="_x0000_s1619" style="position:absolute;left:8022;top:4634;width:1402;height:762;visibility:visible;mso-wrap-style:square;v-text-anchor:top" coordsize="140208,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G/OsYA&#10;AADeAAAADwAAAGRycy9kb3ducmV2LnhtbESPy2rCQBSG9wXfYTiCuzpRarHRUWpFKQgt2iIuj5lj&#10;Epo5E+ai6ds7i0KXP/+Nb77sTCOu5HxtWcFomIEgLqyuuVTw/bV5nILwAVljY5kU/JKH5aL3MMdc&#10;2xvv6XoIpUgj7HNUUIXQ5lL6oiKDfmhb4uRdrDMYknSl1A5vadw0cpxlz9JgzemhwpbeKip+DtEo&#10;2K/j9vMUzzHsVsdyPc0+6ouLSg363esMRKAu/If/2u9awdNo8pIAEk5C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G/OsYAAADeAAAADwAAAAAAAAAAAAAAAACYAgAAZHJz&#10;L2Rvd25yZXYueG1sUEsFBgAAAAAEAAQA9QAAAIsDAAAAAA==&#10;" path="m,76200l83820,r56388,e" filled="f" strokecolor="#a6a6a6" strokeweight=".72pt">
                  <v:path arrowok="t" textboxrect="0,0,140208,76200"/>
                </v:shape>
                <v:shape id="Shape 41591" o:spid="_x0000_s1620" style="position:absolute;left:8342;top:3369;width:640;height:2011;visibility:visible;mso-wrap-style:square;v-text-anchor:top" coordsize="64008,2011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0Ba8YA&#10;AADeAAAADwAAAGRycy9kb3ducmV2LnhtbESPQWvCQBSE7wX/w/IEb3UTscWmrqKRQk+Fqnh+3X1N&#10;otm3IbuapL++Wyh4HGbmG2a57m0tbtT6yrGCdJqAINbOVFwoOB7eHhcgfEA2WDsmBQN5WK9GD0vM&#10;jOv4k277UIgIYZ+hgjKEJpPS65Is+qlriKP37VqLIcq2kKbFLsJtLWdJ8iwtVhwXSmwoL0lf9ler&#10;YPtzznPdnHYfR7kYqu7L83bQSk3G/eYVRKA+3MP/7XejYJ4+vaTwdydeAbn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t0Ba8YAAADeAAAADwAAAAAAAAAAAAAAAACYAgAAZHJz&#10;L2Rvd25yZXYueG1sUEsFBgAAAAAEAAQA9QAAAIsDAAAAAA==&#10;" path="m,201168l7620,,64008,e" filled="f" strokecolor="#a6a6a6" strokeweight=".72pt">
                  <v:path arrowok="t" textboxrect="0,0,64008,201168"/>
                </v:shape>
                <v:rect id="Rectangle 759496" o:spid="_x0000_s1621" style="position:absolute;left:9350;top:15133;width:346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gLNMgA&#10;AADfAAAADwAAAGRycy9kb3ducmV2LnhtbESPT2vCQBTE74V+h+UJ3urG4r+kriJV0aNVQb09sq9J&#10;aPZtyK4m+um7QqHHYWZ+w0znrSnFjWpXWFbQ70UgiFOrC84UHA/rtwkI55E1lpZJwZ0czGevL1NM&#10;tG34i257n4kAYZeggtz7KpHSpTkZdD1bEQfv29YGfZB1JnWNTYCbUr5H0UgaLDgs5FjRZ07pz/5q&#10;FGwm1eK8tY8mK1eXzWl3ipeH2CvV7bSLDxCeWv8f/mtvtYLxMB7EI3j+CV9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6As0yAAAAN8AAAAPAAAAAAAAAAAAAAAAAJgCAABk&#10;cnMvZG93bnJldi54bWxQSwUGAAAAAAQABAD1AAAAjQMAAAAA&#10;" filled="f" stroked="f">
                  <v:textbox inset="0,0,0,0">
                    <w:txbxContent>
                      <w:p w14:paraId="72E26585" w14:textId="77777777" w:rsidR="0014164F" w:rsidRDefault="0014164F" w:rsidP="006D5692">
                        <w:r>
                          <w:rPr>
                            <w:rFonts w:ascii="Calibri" w:hAnsi="Calibri" w:cs="Calibri"/>
                            <w:color w:val="404040"/>
                            <w:sz w:val="18"/>
                          </w:rPr>
                          <w:t>84.85</w:t>
                        </w:r>
                      </w:p>
                    </w:txbxContent>
                  </v:textbox>
                </v:rect>
                <v:rect id="Rectangle 759498" o:spid="_x0000_s1622" style="position:absolute;left:11956;top:15133;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s63cYA&#10;AADfAAAADwAAAGRycy9kb3ducmV2LnhtbERPTWvCQBC9C/6HZYTedKPY1qRZRbRFjzYWorchO02C&#10;2dmQ3Zq0v757KPT4eN/pZjCNuFPnassK5rMIBHFhdc2lgo/z23QFwnlkjY1lUvBNDjbr8SjFRNue&#10;3+me+VKEEHYJKqi8bxMpXVGRQTezLXHgPm1n0AfYlVJ32Idw08hFFD1JgzWHhgpb2lVU3LIvo+Cw&#10;areXo/3py+b1eshPebw/x16ph8mwfQHhafD/4j/3USt4foyXcRgc/oQv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s63cYAAADfAAAADwAAAAAAAAAAAAAAAACYAgAAZHJz&#10;L2Rvd25yZXYueG1sUEsFBgAAAAAEAAQA9QAAAIsDAAAAAA==&#10;" filled="f" stroked="f">
                  <v:textbox inset="0,0,0,0">
                    <w:txbxContent>
                      <w:p w14:paraId="725DA07D" w14:textId="77777777" w:rsidR="0014164F" w:rsidRDefault="0014164F" w:rsidP="006D5692">
                        <w:r>
                          <w:rPr>
                            <w:rFonts w:ascii="Calibri" w:hAnsi="Calibri" w:cs="Calibri"/>
                            <w:color w:val="404040"/>
                            <w:sz w:val="18"/>
                          </w:rPr>
                          <w:t>%</w:t>
                        </w:r>
                      </w:p>
                    </w:txbxContent>
                  </v:textbox>
                </v:rect>
                <v:rect id="Rectangle 759474" o:spid="_x0000_s1623" style="position:absolute;left:2026;top:4998;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rWIsgA&#10;AADfAAAADwAAAGRycy9kb3ducmV2LnhtbESPQWvCQBSE7wX/w/IEb3WjWDWpq4i26LFqwfb2yD6T&#10;YPZtyK4m9de7QsHjMDPfMLNFa0pxpdoVlhUM+hEI4tTqgjMF34fP1ykI55E1lpZJwR85WMw7LzNM&#10;tG14R9e9z0SAsEtQQe59lUjp0pwMur6tiIN3srVBH2SdSV1jE+CmlMMoGkuDBYeFHCta5ZSe9xej&#10;YDOtlj9be2uy8uN3c/w6xutD7JXqddvlOwhPrX+G/9tbrWDyFo8mI3j8CV9Az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etYiyAAAAN8AAAAPAAAAAAAAAAAAAAAAAJgCAABk&#10;cnMvZG93bnJldi54bWxQSwUGAAAAAAQABAD1AAAAjQMAAAAA&#10;" filled="f" stroked="f">
                  <v:textbox inset="0,0,0,0">
                    <w:txbxContent>
                      <w:p w14:paraId="0CE2E14F" w14:textId="77777777" w:rsidR="0014164F" w:rsidRDefault="0014164F" w:rsidP="006D5692">
                        <w:r>
                          <w:rPr>
                            <w:rFonts w:ascii="Calibri" w:hAnsi="Calibri" w:cs="Calibri"/>
                            <w:color w:val="404040"/>
                            <w:sz w:val="18"/>
                          </w:rPr>
                          <w:t>%</w:t>
                        </w:r>
                      </w:p>
                    </w:txbxContent>
                  </v:textbox>
                </v:rect>
                <v:rect id="Rectangle 759473" o:spid="_x0000_s1624" style="position:absolute;top:4998;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NOVskA&#10;AADfAAAADwAAAGRycy9kb3ducmV2LnhtbESPT2vCQBTE74V+h+UVvNVNa60mdRWpFT36D9TbI/ua&#10;hGbfhuxqop/eFYQeh5n5DTOatKYUZ6pdYVnBWzcCQZxaXXCmYLedvw5BOI+ssbRMCi7kYDJ+fhph&#10;om3DazpvfCYChF2CCnLvq0RKl+Zk0HVtRRy8X1sb9EHWmdQ1NgFuSvkeRZ/SYMFhIceKvnNK/zYn&#10;o2AxrKaHpb02WflzXOxX+3i2jb1SnZd2+gXCU+v/w4/2UisY9OOPQQ/uf8IXkO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ZNOVskAAADfAAAADwAAAAAAAAAAAAAAAACYAgAA&#10;ZHJzL2Rvd25yZXYueG1sUEsFBgAAAAAEAAQA9QAAAI4DAAAAAA==&#10;" filled="f" stroked="f">
                  <v:textbox inset="0,0,0,0">
                    <w:txbxContent>
                      <w:p w14:paraId="76EA5DF3" w14:textId="77777777" w:rsidR="0014164F" w:rsidRDefault="0014164F" w:rsidP="006D5692">
                        <w:r>
                          <w:rPr>
                            <w:rFonts w:ascii="Calibri" w:hAnsi="Calibri" w:cs="Calibri"/>
                            <w:color w:val="404040"/>
                            <w:sz w:val="18"/>
                          </w:rPr>
                          <w:t>2.27</w:t>
                        </w:r>
                      </w:p>
                    </w:txbxContent>
                  </v:textbox>
                </v:rect>
                <v:rect id="Rectangle 759460" o:spid="_x0000_s1625" style="position:absolute;left:67;top:3429;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hG/MgA&#10;AADfAAAADwAAAGRycy9kb3ducmV2LnhtbESPzWrCQBSF90LfYbiF7nTSUq2JGUVaRZc2FlJ3l8xt&#10;Epq5EzKjSfv0zkJweTh/fOlqMI24UOdqywqeJxEI4sLqmksFX8fteA7CeWSNjWVS8EcOVsuHUYqJ&#10;tj1/0iXzpQgj7BJUUHnfJlK6oiKDbmJb4uD92M6gD7Irpe6wD+OmkS9RNJMGaw4PFbb0XlHxm52N&#10;gt28XX/v7X9fNpvTLj/k8ccx9ko9PQ7rBQhPg7+Hb+29VvA2jV9ngSDwBBaQy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mEb8yAAAAN8AAAAPAAAAAAAAAAAAAAAAAJgCAABk&#10;cnMvZG93bnJldi54bWxQSwUGAAAAAAQABAD1AAAAjQMAAAAA&#10;" filled="f" stroked="f">
                  <v:textbox inset="0,0,0,0">
                    <w:txbxContent>
                      <w:p w14:paraId="1983671F" w14:textId="77777777" w:rsidR="0014164F" w:rsidRDefault="0014164F" w:rsidP="006D5692">
                        <w:r>
                          <w:rPr>
                            <w:rFonts w:ascii="Calibri" w:hAnsi="Calibri" w:cs="Calibri"/>
                            <w:color w:val="404040"/>
                            <w:sz w:val="18"/>
                          </w:rPr>
                          <w:t>0.76</w:t>
                        </w:r>
                      </w:p>
                    </w:txbxContent>
                  </v:textbox>
                </v:rect>
                <v:rect id="Rectangle 759461" o:spid="_x0000_s1626" style="position:absolute;left:2093;top:342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TjZ8kA&#10;AADfAAAADwAAAGRycy9kb3ducmV2LnhtbESPW2vCQBSE3wX/w3KEvulGqZekriK2RR+9FGzfDtlj&#10;EsyeDdmtif31bkHwcZiZb5j5sjWluFLtCssKhoMIBHFqdcGZgq/jZ38GwnlkjaVlUnAjB8tFtzPH&#10;RNuG93Q9+EwECLsEFeTeV4mULs3JoBvYijh4Z1sb9EHWmdQ1NgFuSjmKook0WHBYyLGidU7p5fBr&#10;FGxm1ep7a/+arPz42Zx2p/j9GHulXnrt6g2Ep9Y/w4/2ViuYjuPXyRD+/4QvIBd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9TjZ8kAAADfAAAADwAAAAAAAAAAAAAAAACYAgAA&#10;ZHJzL2Rvd25yZXYueG1sUEsFBgAAAAAEAAQA9QAAAI4DAAAAAA==&#10;" filled="f" stroked="f">
                  <v:textbox inset="0,0,0,0">
                    <w:txbxContent>
                      <w:p w14:paraId="67E81964" w14:textId="77777777" w:rsidR="0014164F" w:rsidRDefault="0014164F" w:rsidP="006D5692">
                        <w:r>
                          <w:rPr>
                            <w:rFonts w:ascii="Calibri" w:hAnsi="Calibri" w:cs="Calibri"/>
                            <w:color w:val="404040"/>
                            <w:sz w:val="18"/>
                          </w:rPr>
                          <w:t>%</w:t>
                        </w:r>
                      </w:p>
                    </w:txbxContent>
                  </v:textbox>
                </v:rect>
                <v:rect id="Rectangle 759483" o:spid="_x0000_s1627" style="position:absolute;left:451;top:8754;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Y+cckA&#10;AADfAAAADwAAAGRycy9kb3ducmV2LnhtbESPQWvCQBSE70L/w/KE3nRjW2sSXUVqRY+tCra3R/aZ&#10;hGbfhuxqYn+9WxB6HGbmG2a26EwlLtS40rKC0TACQZxZXXKu4LBfD2IQziNrrCyTgis5WMwfejNM&#10;tW35ky47n4sAYZeigsL7OpXSZQUZdENbEwfvZBuDPsgml7rBNsBNJZ+i6FUaLDksFFjTW0HZz+5s&#10;FGzievm1tb9tXr1/b44fx2S1T7xSj/1uOQXhqfP/4Xt7qxVMxslL/Ax/f8IXkP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EY+cckAAADfAAAADwAAAAAAAAAAAAAAAACYAgAA&#10;ZHJzL2Rvd25yZXYueG1sUEsFBgAAAAAEAAQA9QAAAI4DAAAAAA==&#10;" filled="f" stroked="f">
                  <v:textbox inset="0,0,0,0">
                    <w:txbxContent>
                      <w:p w14:paraId="2ECF6956" w14:textId="77777777" w:rsidR="0014164F" w:rsidRDefault="0014164F" w:rsidP="006D5692">
                        <w:r>
                          <w:rPr>
                            <w:rFonts w:ascii="Calibri" w:hAnsi="Calibri" w:cs="Calibri"/>
                            <w:color w:val="404040"/>
                            <w:sz w:val="18"/>
                          </w:rPr>
                          <w:t>0.00</w:t>
                        </w:r>
                      </w:p>
                    </w:txbxContent>
                  </v:textbox>
                </v:rect>
                <v:rect id="Rectangle 759484" o:spid="_x0000_s1628" style="position:absolute;left:2477;top:8754;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mBckA&#10;AADfAAAADwAAAGRycy9kb3ducmV2LnhtbESPT2vCQBTE74LfYXmCN91YbJukriK1RY/+Kai3R/Y1&#10;CWbfhuzWpP30rlDwOMzMb5jZojOVuFLjSssKJuMIBHFmdcm5gq/D5ygG4TyyxsoyKfglB4t5vzfD&#10;VNuWd3Td+1wECLsUFRTe16mULivIoBvbmjh437Yx6INscqkbbAPcVPIpil6kwZLDQoE1vReUXfY/&#10;RsE6rpenjf1r8+rjvD5uj8nqkHilhoNu+QbCU+cf4f/2Rit4fU6m8RTuf8IXkP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6+mBckAAADfAAAADwAAAAAAAAAAAAAAAACYAgAA&#10;ZHJzL2Rvd25yZXYueG1sUEsFBgAAAAAEAAQA9QAAAI4DAAAAAA==&#10;" filled="f" stroked="f">
                  <v:textbox inset="0,0,0,0">
                    <w:txbxContent>
                      <w:p w14:paraId="798EE292" w14:textId="77777777" w:rsidR="0014164F" w:rsidRDefault="0014164F" w:rsidP="006D5692">
                        <w:r>
                          <w:rPr>
                            <w:rFonts w:ascii="Calibri" w:hAnsi="Calibri" w:cs="Calibri"/>
                            <w:color w:val="404040"/>
                            <w:sz w:val="18"/>
                          </w:rPr>
                          <w:t>%</w:t>
                        </w:r>
                      </w:p>
                    </w:txbxContent>
                  </v:textbox>
                </v:rect>
                <v:rect id="Rectangle 759479" o:spid="_x0000_s1629" style="position:absolute;left:170;top:6541;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t5vMgA&#10;AADfAAAADwAAAGRycy9kb3ducmV2LnhtbESPQWvCQBSE74L/YXlCb7qx2GrSbESqokerBdvbI/ua&#10;BLNvQ3Zr0v76bkHwOMzMN0y67E0trtS6yrKC6SQCQZxbXXGh4P20HS9AOI+ssbZMCn7IwTIbDlJM&#10;tO34ja5HX4gAYZeggtL7JpHS5SUZdBPbEAfvy7YGfZBtIXWLXYCbWj5G0bM0WHFYKLGh15Lyy/Hb&#10;KNgtmtXH3v52Rb353J0P53h9ir1SD6N+9QLCU+/v4Vt7rxXMn+LZPIb/P+ELyO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e3m8yAAAAN8AAAAPAAAAAAAAAAAAAAAAAJgCAABk&#10;cnMvZG93bnJldi54bWxQSwUGAAAAAAQABAD1AAAAjQMAAAAA&#10;" filled="f" stroked="f">
                  <v:textbox inset="0,0,0,0">
                    <w:txbxContent>
                      <w:p w14:paraId="2FB5B0C2" w14:textId="77777777" w:rsidR="0014164F" w:rsidRDefault="0014164F" w:rsidP="006D5692">
                        <w:r>
                          <w:rPr>
                            <w:rFonts w:ascii="Calibri" w:hAnsi="Calibri" w:cs="Calibri"/>
                            <w:color w:val="404040"/>
                            <w:sz w:val="18"/>
                          </w:rPr>
                          <w:t>2.27</w:t>
                        </w:r>
                      </w:p>
                    </w:txbxContent>
                  </v:textbox>
                </v:rect>
                <v:rect id="Rectangle 759480" o:spid="_x0000_s1630" style="position:absolute;left:2197;top:6541;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SgBscA&#10;AADfAAAADwAAAGRycy9kb3ducmV2LnhtbESPzWrCQBSF90LfYbgFdzqpVE1SRxGr6NKqoO4umdsk&#10;NHMnZEYT+/SdhdDl4fzxzRadqcSdGldaVvA2jEAQZ1aXnCs4HTeDGITzyBory6TgQQ4W85feDFNt&#10;W/6i+8HnIoywS1FB4X2dSumyggy6oa2Jg/dtG4M+yCaXusE2jJtKjqJoIg2WHB4KrGlVUPZzuBkF&#10;27heXnb2t82r9XV73p+Tz2Pileq/dssPEJ46/x9+tndawXScvMeBIPAEFp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UoAbHAAAA3wAAAA8AAAAAAAAAAAAAAAAAmAIAAGRy&#10;cy9kb3ducmV2LnhtbFBLBQYAAAAABAAEAPUAAACMAwAAAAA=&#10;" filled="f" stroked="f">
                  <v:textbox inset="0,0,0,0">
                    <w:txbxContent>
                      <w:p w14:paraId="18B3FAF7" w14:textId="77777777" w:rsidR="0014164F" w:rsidRDefault="0014164F" w:rsidP="006D5692">
                        <w:r>
                          <w:rPr>
                            <w:rFonts w:ascii="Calibri" w:hAnsi="Calibri" w:cs="Calibri"/>
                            <w:color w:val="404040"/>
                            <w:sz w:val="18"/>
                          </w:rPr>
                          <w:t>%</w:t>
                        </w:r>
                      </w:p>
                    </w:txbxContent>
                  </v:textbox>
                </v:rect>
                <v:rect id="Rectangle 759456" o:spid="_x0000_s1631" style="position:absolute;left:646;top:2021;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GxrsgA&#10;AADfAAAADwAAAGRycy9kb3ducmV2LnhtbESPW2vCQBSE3wv+h+UIvtVNxVuiq0hb0UdvoL4dsqdJ&#10;MHs2ZLcm9td3CwUfh5n5hpkvW1OKO9WusKzgrR+BIE6tLjhTcDquX6cgnEfWWFomBQ9ysFx0XuaY&#10;aNvwnu4Hn4kAYZeggtz7KpHSpTkZdH1bEQfvy9YGfZB1JnWNTYCbUg6iaCwNFhwWcqzoPaf0dvg2&#10;CjbTanXZ2p8mKz+vm/PuHH8cY69Ur9uuZiA8tf4Z/m9vtYLJKB6OxvD3J3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UbGuyAAAAN8AAAAPAAAAAAAAAAAAAAAAAJgCAABk&#10;cnMvZG93bnJldi54bWxQSwUGAAAAAAQABAD1AAAAjQMAAAAA&#10;" filled="f" stroked="f">
                  <v:textbox inset="0,0,0,0">
                    <w:txbxContent>
                      <w:p w14:paraId="2AE728A1" w14:textId="77777777" w:rsidR="0014164F" w:rsidRDefault="0014164F" w:rsidP="006D5692">
                        <w:r>
                          <w:rPr>
                            <w:rFonts w:ascii="Calibri" w:hAnsi="Calibri" w:cs="Calibri"/>
                            <w:color w:val="404040"/>
                            <w:sz w:val="18"/>
                          </w:rPr>
                          <w:t>3.03</w:t>
                        </w:r>
                      </w:p>
                    </w:txbxContent>
                  </v:textbox>
                </v:rect>
                <v:rect id="Rectangle 759457" o:spid="_x0000_s1632" style="position:absolute;left:2672;top:2021;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0UNckA&#10;AADfAAAADwAAAGRycy9kb3ducmV2LnhtbESPS2vDMBCE74X+B7GF3Bo5JS87lkPog+TYPCDJbbE2&#10;tqm1MpYau/31UaGQ4zAz3zDpsje1uFLrKssKRsMIBHFudcWFgsP+43kOwnlkjbVlUvBDDpbZ40OK&#10;ibYdb+m684UIEHYJKii9bxIpXV6SQTe0DXHwLrY16INsC6lb7ALc1PIliqbSYMVhocSGXkvKv3bf&#10;RsF63qxOG/vbFfX7eX38PMZv+9grNXjqVwsQnnp/D/+3N1rBbBKPJzP4+xO+gMx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R0UNckAAADfAAAADwAAAAAAAAAAAAAAAACYAgAA&#10;ZHJzL2Rvd25yZXYueG1sUEsFBgAAAAAEAAQA9QAAAI4DAAAAAA==&#10;" filled="f" stroked="f">
                  <v:textbox inset="0,0,0,0">
                    <w:txbxContent>
                      <w:p w14:paraId="249F22B5" w14:textId="77777777" w:rsidR="0014164F" w:rsidRDefault="0014164F" w:rsidP="006D5692">
                        <w:r>
                          <w:rPr>
                            <w:rFonts w:ascii="Calibri" w:hAnsi="Calibri" w:cs="Calibri"/>
                            <w:color w:val="404040"/>
                            <w:sz w:val="18"/>
                          </w:rPr>
                          <w:t>%</w:t>
                        </w:r>
                      </w:p>
                    </w:txbxContent>
                  </v:textbox>
                </v:rect>
                <v:rect id="Rectangle 759453" o:spid="_x0000_s1633" style="position:absolute;left:4915;top:918;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SNskA&#10;AADfAAAADwAAAGRycy9kb3ducmV2LnhtbESPT2vCQBTE7wW/w/KE3uqmtloTXUX6Bz3aWLDeHtnX&#10;JJh9G7JbE/30riB4HGbmN8xs0ZlKHKlxpWUFz4MIBHFmdcm5gp/t19MEhPPIGivLpOBEDhbz3sMM&#10;E21b/qZj6nMRIOwSVFB4XydSuqwgg25ga+Lg/dnGoA+yyaVusA1wU8lhFI2lwZLDQoE1vReUHdJ/&#10;o2A1qZe/a3tu8+pzv9ptdvHHNvZKPfa75RSEp87fw7f2Wit4G8Wvoxe4/glfQM4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YSNskAAADfAAAADwAAAAAAAAAAAAAAAACYAgAA&#10;ZHJzL2Rvd25yZXYueG1sUEsFBgAAAAAEAAQA9QAAAI4DAAAAAA==&#10;" filled="f" stroked="f">
                  <v:textbox inset="0,0,0,0">
                    <w:txbxContent>
                      <w:p w14:paraId="7F5231ED" w14:textId="77777777" w:rsidR="0014164F" w:rsidRDefault="0014164F" w:rsidP="006D5692">
                        <w:r>
                          <w:rPr>
                            <w:rFonts w:ascii="Calibri" w:hAnsi="Calibri" w:cs="Calibri"/>
                            <w:color w:val="404040"/>
                            <w:sz w:val="18"/>
                          </w:rPr>
                          <w:t>%</w:t>
                        </w:r>
                      </w:p>
                    </w:txbxContent>
                  </v:textbox>
                </v:rect>
                <v:rect id="Rectangle 759451" o:spid="_x0000_s1634" style="position:absolute;left:2889;top:918;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gp2skA&#10;AADfAAAADwAAAGRycy9kb3ducmV2LnhtbESPQWvCQBSE70L/w/IKvenGotZEN0Fqix6tCurtkX1N&#10;QrNvQ3Zr0v76bkHwOMzMN8wy600trtS6yrKC8SgCQZxbXXGh4Hh4H85BOI+ssbZMCn7IQZY+DJaY&#10;aNvxB133vhABwi5BBaX3TSKly0sy6Ea2IQ7ep20N+iDbQuoWuwA3tXyOopk0WHFYKLGh15Lyr/23&#10;UbCZN6vz1v52Rf122Zx2p3h9iL1ST4/9agHCU+/v4Vt7qxW8TOPJdAz/f8IXkO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bgp2skAAADfAAAADwAAAAAAAAAAAAAAAACYAgAA&#10;ZHJzL2Rvd25yZXYueG1sUEsFBgAAAAAEAAQA9QAAAI4DAAAAAA==&#10;" filled="f" stroked="f">
                  <v:textbox inset="0,0,0,0">
                    <w:txbxContent>
                      <w:p w14:paraId="6637BF79" w14:textId="77777777" w:rsidR="0014164F" w:rsidRDefault="0014164F" w:rsidP="006D5692">
                        <w:r>
                          <w:rPr>
                            <w:rFonts w:ascii="Calibri" w:hAnsi="Calibri" w:cs="Calibri"/>
                            <w:color w:val="404040"/>
                            <w:sz w:val="18"/>
                          </w:rPr>
                          <w:t>3.79</w:t>
                        </w:r>
                      </w:p>
                    </w:txbxContent>
                  </v:textbox>
                </v:rect>
                <v:rect id="Rectangle 759448" o:spid="_x0000_s1635" style="position:absolute;left:5779;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sWmsYA&#10;AADfAAAADwAAAGRycy9kb3ducmV2LnhtbERPTWvCQBC9F/wPywje6qbFVhOzirSKHjUWUm9DdpqE&#10;ZmdDdjVpf333UPD4eN/pejCNuFHnassKnqYRCOLC6ppLBR/n3eMChPPIGhvLpOCHHKxXo4cUE217&#10;PtEt86UIIewSVFB53yZSuqIig25qW+LAfdnOoA+wK6XusA/hppHPUfQqDdYcGips6a2i4ju7GgX7&#10;Rbv5PNjfvmy2l31+zOP3c+yVmoyHzRKEp8Hfxf/ug1Ywf4lnszA4/Alf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VsWmsYAAADfAAAADwAAAAAAAAAAAAAAAACYAgAAZHJz&#10;L2Rvd25yZXYueG1sUEsFBgAAAAAEAAQA9QAAAIsDAAAAAA==&#10;" filled="f" stroked="f">
                  <v:textbox inset="0,0,0,0">
                    <w:txbxContent>
                      <w:p w14:paraId="7AF4D894" w14:textId="77777777" w:rsidR="0014164F" w:rsidRDefault="0014164F" w:rsidP="006D5692">
                        <w:r>
                          <w:rPr>
                            <w:rFonts w:ascii="Calibri" w:hAnsi="Calibri" w:cs="Calibri"/>
                            <w:color w:val="404040"/>
                            <w:sz w:val="18"/>
                          </w:rPr>
                          <w:t>0.00</w:t>
                        </w:r>
                      </w:p>
                    </w:txbxContent>
                  </v:textbox>
                </v:rect>
                <v:rect id="Rectangle 759450" o:spid="_x0000_s1636" style="position:absolute;left:7806;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SMQcgA&#10;AADfAAAADwAAAGRycy9kb3ducmV2LnhtbESPzWrCQBSF9wXfYbiCuzpp0WpiRhFt0aXGQurukrlN&#10;QjN3QmZq0j59Z1FweTh/fOlmMI24UedqywqephEI4sLqmksF75e3xyUI55E1NpZJwQ852KxHDykm&#10;2vZ8plvmSxFG2CWooPK+TaR0RUUG3dS2xMH7tJ1BH2RXSt1hH8ZNI5+j6EUarDk8VNjSrqLiK/s2&#10;Cg7LdvtxtL992bxeD/kpj/eX2Cs1GQ/bFQhPg7+H/9tHrWAxj2fzQBB4AgvI9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9IxByAAAAN8AAAAPAAAAAAAAAAAAAAAAAJgCAABk&#10;cnMvZG93bnJldi54bWxQSwUGAAAAAAQABAD1AAAAjQMAAAAA&#10;" filled="f" stroked="f">
                  <v:textbox inset="0,0,0,0">
                    <w:txbxContent>
                      <w:p w14:paraId="23A520B4" w14:textId="77777777" w:rsidR="0014164F" w:rsidRDefault="0014164F" w:rsidP="006D5692">
                        <w:r>
                          <w:rPr>
                            <w:rFonts w:ascii="Calibri" w:hAnsi="Calibri" w:cs="Calibri"/>
                            <w:color w:val="404040"/>
                            <w:sz w:val="18"/>
                          </w:rPr>
                          <w:t>%</w:t>
                        </w:r>
                      </w:p>
                    </w:txbxContent>
                  </v:textbox>
                </v:rect>
                <v:rect id="Rectangle 759454" o:spid="_x0000_s1637" style="position:absolute;left:8336;top:1146;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QsgA&#10;AADfAAAADwAAAGRycy9kb3ducmV2LnhtbESPQWvCQBSE7wX/w/IEb3WjaDWpq4i26LFqwfb2yD6T&#10;YPZtyK4m+utdodDjMDPfMLNFa0pxpdoVlhUM+hEI4tTqgjMF34fP1ykI55E1lpZJwY0cLOadlxkm&#10;2ja8o+veZyJA2CWoIPe+SqR0aU4GXd9WxME72dqgD7LOpK6xCXBTymEUvUmDBYeFHCta5ZSe9xej&#10;YDOtlj9be2+y8uN3c/w6xutD7JXqddvlOwhPrf8P/7W3WsFkHI/GI3j+CV9Az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z4pCyAAAAN8AAAAPAAAAAAAAAAAAAAAAAJgCAABk&#10;cnMvZG93bnJldi54bWxQSwUGAAAAAAQABAD1AAAAjQMAAAAA&#10;" filled="f" stroked="f">
                  <v:textbox inset="0,0,0,0">
                    <w:txbxContent>
                      <w:p w14:paraId="25EC1E34" w14:textId="77777777" w:rsidR="0014164F" w:rsidRDefault="0014164F" w:rsidP="006D5692">
                        <w:r>
                          <w:rPr>
                            <w:rFonts w:ascii="Calibri" w:hAnsi="Calibri" w:cs="Calibri"/>
                            <w:color w:val="404040"/>
                            <w:sz w:val="18"/>
                          </w:rPr>
                          <w:t>1.52</w:t>
                        </w:r>
                      </w:p>
                    </w:txbxContent>
                  </v:textbox>
                </v:rect>
                <v:rect id="Rectangle 759455" o:spid="_x0000_s1638" style="position:absolute;left:10362;top:1146;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Mv2cgA&#10;AADfAAAADwAAAGRycy9kb3ducmV2LnhtbESPT2vCQBTE70K/w/IEb7qxNNVEV5H+QY9WBfX2yD6T&#10;0OzbkF1N2k/vCoUeh5n5DTNfdqYSN2pcaVnBeBSBIM6sLjlXcNh/DqcgnEfWWFkmBT/kYLl46s0x&#10;1bblL7rtfC4ChF2KCgrv61RKlxVk0I1sTRy8i20M+iCbXOoG2wA3lXyOoldpsOSwUGBNbwVl37ur&#10;UbCe1qvTxv62efVxXh+3x+R9n3ilBv1uNQPhqfP/4b/2RiuYxMlLHMPjT/gCcnE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gy/ZyAAAAN8AAAAPAAAAAAAAAAAAAAAAAJgCAABk&#10;cnMvZG93bnJldi54bWxQSwUGAAAAAAQABAD1AAAAjQMAAAAA&#10;" filled="f" stroked="f">
                  <v:textbox inset="0,0,0,0">
                    <w:txbxContent>
                      <w:p w14:paraId="7ACC6DA6" w14:textId="77777777" w:rsidR="0014164F" w:rsidRDefault="0014164F" w:rsidP="006D5692">
                        <w:r>
                          <w:rPr>
                            <w:rFonts w:ascii="Calibri" w:hAnsi="Calibri" w:cs="Calibri"/>
                            <w:color w:val="404040"/>
                            <w:sz w:val="18"/>
                          </w:rPr>
                          <w:t>%</w:t>
                        </w:r>
                      </w:p>
                    </w:txbxContent>
                  </v:textbox>
                </v:rect>
                <v:rect id="Rectangle 759463" o:spid="_x0000_s1639" style="position:absolute;left:11641;top:3774;width:1089;height:1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rYi8kA&#10;AADfAAAADwAAAGRycy9kb3ducmV2LnhtbESPT2vCQBTE70K/w/IK3nSjtWpSV5Fa0WP9A9rbI/tM&#10;gtm3Ibs1sZ++KxR6HGbmN8xs0ZpS3Kh2hWUFg34Egji1uuBMwfGw7k1BOI+ssbRMCu7kYDF/6sww&#10;0bbhHd32PhMBwi5BBbn3VSKlS3My6Pq2Ig7exdYGfZB1JnWNTYCbUg6jaCwNFhwWcqzoPaf0uv82&#10;CjbTanne2p8mKz++NqfPU7w6xF6p7nO7fAPhqfX/4b/2ViuYvMaj8Qs8/oQv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ErYi8kAAADfAAAADwAAAAAAAAAAAAAAAACYAgAA&#10;ZHJzL2Rvd25yZXYueG1sUEsFBgAAAAAEAAQA9QAAAI4DAAAAAA==&#10;" filled="f" stroked="f">
                  <v:textbox inset="0,0,0,0">
                    <w:txbxContent>
                      <w:p w14:paraId="3F0C59C5" w14:textId="77777777" w:rsidR="0014164F" w:rsidRDefault="0014164F" w:rsidP="006D5692">
                        <w:r>
                          <w:rPr>
                            <w:rFonts w:ascii="Calibri" w:hAnsi="Calibri" w:cs="Calibri"/>
                            <w:color w:val="404040"/>
                            <w:sz w:val="18"/>
                          </w:rPr>
                          <w:t>%</w:t>
                        </w:r>
                      </w:p>
                    </w:txbxContent>
                  </v:textbox>
                </v:rect>
                <v:rect id="Rectangle 759462" o:spid="_x0000_s1640" style="position:absolute;left:9613;top:3774;width:2703;height:1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9EMkA&#10;AADfAAAADwAAAGRycy9kb3ducmV2LnhtbESPQWvCQBSE74X+h+UVems2FbUmuorUFj22Kqi3R/Y1&#10;Cc2+DdltEv31riD0OMzMN8xs0ZtKtNS40rKC1ygGQZxZXXKuYL/7fJmAcB5ZY2WZFJzJwWL++DDD&#10;VNuOv6nd+lwECLsUFRTe16mULivIoItsTRy8H9sY9EE2udQNdgFuKjmI47E0WHJYKLCm94Ky3+2f&#10;UbCe1Mvjxl66vPo4rQ9fh2S1S7xSz0/9cgrCU+//w/f2Rit4GyXD8QBuf8IXkPM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wZ9EMkAAADfAAAADwAAAAAAAAAAAAAAAACYAgAA&#10;ZHJzL2Rvd25yZXYueG1sUEsFBgAAAAAEAAQA9QAAAI4DAAAAAA==&#10;" filled="f" stroked="f">
                  <v:textbox inset="0,0,0,0">
                    <w:txbxContent>
                      <w:p w14:paraId="48A2EFB8" w14:textId="77777777" w:rsidR="0014164F" w:rsidRDefault="0014164F" w:rsidP="006D5692">
                        <w:r>
                          <w:rPr>
                            <w:rFonts w:ascii="Calibri" w:hAnsi="Calibri" w:cs="Calibri"/>
                            <w:color w:val="404040"/>
                            <w:sz w:val="18"/>
                          </w:rPr>
                          <w:t>1.52</w:t>
                        </w:r>
                      </w:p>
                    </w:txbxContent>
                  </v:textbox>
                </v:rect>
                <v:rect id="Rectangle 759459" o:spid="_x0000_s1641" style="position:absolute;left:11200;top:2514;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4l3MkA&#10;AADfAAAADwAAAGRycy9kb3ducmV2LnhtbESPT2vCQBTE74LfYXlCb7qxaGvSbESqokf/FGxvj+xr&#10;Esy+DdmtSfvpu4WCx2FmfsOky97U4katqywrmE4iEMS51RUXCt7O2/EChPPIGmvLpOCbHCyz4SDF&#10;RNuOj3Q7+UIECLsEFZTeN4mULi/JoJvYhjh4n7Y16INsC6lb7ALc1PIxip6kwYrDQokNvZaUX09f&#10;RsFu0aze9/anK+rNx+5yuMTrc+yVehj1qxcQnnp/D/+391rB8zyezWP4+xO+gMx+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84l3MkAAADfAAAADwAAAAAAAAAAAAAAAACYAgAA&#10;ZHJzL2Rvd25yZXYueG1sUEsFBgAAAAAEAAQA9QAAAI4DAAAAAA==&#10;" filled="f" stroked="f">
                  <v:textbox inset="0,0,0,0">
                    <w:txbxContent>
                      <w:p w14:paraId="1F4FAAF1" w14:textId="77777777" w:rsidR="0014164F" w:rsidRDefault="0014164F" w:rsidP="006D5692">
                        <w:r>
                          <w:rPr>
                            <w:rFonts w:ascii="Calibri" w:hAnsi="Calibri" w:cs="Calibri"/>
                            <w:color w:val="404040"/>
                            <w:sz w:val="18"/>
                          </w:rPr>
                          <w:t>%</w:t>
                        </w:r>
                      </w:p>
                    </w:txbxContent>
                  </v:textbox>
                </v:rect>
                <v:rect id="Rectangle 759458" o:spid="_x0000_s1642" style="position:absolute;left:9174;top:2514;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KAR8YA&#10;AADfAAAADwAAAGRycy9kb3ducmV2LnhtbERPTWvCQBC9F/wPywje6qZFq4lZRbRFjxoLqbchO01C&#10;s7MhuzVpf333UPD4eN/pZjCNuFHnassKnqYRCOLC6ppLBe+Xt8clCOeRNTaWScEPOdisRw8pJtr2&#10;fKZb5ksRQtglqKDyvk2kdEVFBt3UtsSB+7SdQR9gV0rdYR/CTSOfo+hFGqw5NFTY0q6i4iv7NgoO&#10;y3b7cbS/fdm8Xg/5KY/3l9grNRkP2xUIT4O/i//dR61gMY9n8zA4/Alf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KAR8YAAADfAAAADwAAAAAAAAAAAAAAAACYAgAAZHJz&#10;L2Rvd25yZXYueG1sUEsFBgAAAAAEAAQA9QAAAIsDAAAAAA==&#10;" filled="f" stroked="f">
                  <v:textbox inset="0,0,0,0">
                    <w:txbxContent>
                      <w:p w14:paraId="7AACB95F" w14:textId="77777777" w:rsidR="0014164F" w:rsidRDefault="0014164F" w:rsidP="006D5692">
                        <w:r>
                          <w:rPr>
                            <w:rFonts w:ascii="Calibri" w:hAnsi="Calibri" w:cs="Calibri"/>
                            <w:color w:val="404040"/>
                            <w:sz w:val="18"/>
                          </w:rPr>
                          <w:t>0.00</w:t>
                        </w:r>
                      </w:p>
                    </w:txbxContent>
                  </v:textbox>
                </v:rect>
                <v:shape id="Shape 922339" o:spid="_x0000_s1643" style="position:absolute;left:16792;top:6638;width:519;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IVZcYA&#10;AADfAAAADwAAAGRycy9kb3ducmV2LnhtbESPQWvCQBSE74L/YXlCL1I3xiKauopIC/bWqPT8yL4m&#10;wezbsLuJ6b93C4LHYWa+YTa7wTSiJ+drywrmswQEcWF1zaWCy/nzdQXCB2SNjWVS8EcedtvxaIOZ&#10;tjfOqT+FUkQI+wwVVCG0mZS+qMign9mWOHq/1hkMUbpSaoe3CDeNTJNkKQ3WHBcqbOlQUXE9dUZB&#10;nnfy/PZB/XXapV8/jr7rpdsr9TIZ9u8gAg3hGX60j1rBOk0XizX8/4lfQG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IVZcYAAADfAAAADwAAAAAAAAAAAAAAAACYAgAAZHJz&#10;L2Rvd25yZXYueG1sUEsFBgAAAAAEAAQA9QAAAIsDAAAAAA==&#10;" path="m,l51816,r,51816l,51816,,e" fillcolor="#5b9bd5" stroked="f" strokeweight="0">
                  <v:path arrowok="t" textboxrect="0,0,51816,51816"/>
                </v:shape>
                <v:shape id="Shape 41604" o:spid="_x0000_s1644" style="position:absolute;left:16792;top:6638;width:519;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ItKMcA&#10;AADeAAAADwAAAGRycy9kb3ducmV2LnhtbESPQU8CMRSE7yb+h+aReJMWxA0uFCKbGD14ETnI7WX7&#10;2G7Yvm7aCou/3pqYcJzMzDeZ5XpwnThRiK1nDZOxAkFce9Nyo2H3+XI/BxETssHOM2m4UIT16vZm&#10;iaXxZ/6g0zY1IkM4lqjBptSXUsbaksM49j1x9g4+OExZhkaagOcMd52cKlVIhy3nBYs9VZbq4/bb&#10;aSje7fwnuK/qobrQE72q/eNus9f6bjQ8L0AkGtI1/N9+Mxpmk0LN4O9Ovg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CLSjHAAAA3gAAAA8AAAAAAAAAAAAAAAAAmAIAAGRy&#10;cy9kb3ducmV2LnhtbFBLBQYAAAAABAAEAPUAAACMAwAAAAA=&#10;" path="m,51816r51816,l51816,,,,,51816xe" filled="f" strokecolor="white" strokeweight="1.56pt">
                  <v:path arrowok="t" textboxrect="0,0,51816,51816"/>
                </v:shape>
                <v:rect id="Rectangle 41605" o:spid="_x0000_s1645" style="position:absolute;left:17523;top:6298;width:472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N7jsgA&#10;AADeAAAADwAAAGRycy9kb3ducmV2LnhtbESPQWvCQBSE7wX/w/IKvdWNxUqMriLWYo41EWxvj+wz&#10;Cc2+DdmtSfvrXaHgcZiZb5jlejCNuFDnassKJuMIBHFhdc2lgmP+/hyDcB5ZY2OZFPySg/Vq9LDE&#10;RNueD3TJfCkChF2CCirv20RKV1Rk0I1tSxy8s+0M+iC7UuoO+wA3jXyJopk0WHNYqLClbUXFd/Zj&#10;FOzjdvOZ2r++bHZf+9PHaf6Wz71ST4/DZgHC0+Dv4f92qhVMJ7PoFW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E3uOyAAAAN4AAAAPAAAAAAAAAAAAAAAAAJgCAABk&#10;cnMvZG93bnJldi54bWxQSwUGAAAAAAQABAD1AAAAjQMAAAAA&#10;" filled="f" stroked="f">
                  <v:textbox inset="0,0,0,0">
                    <w:txbxContent>
                      <w:p w14:paraId="59B1C779" w14:textId="77777777" w:rsidR="0014164F" w:rsidRDefault="0014164F" w:rsidP="006D5692">
                        <w:r>
                          <w:rPr>
                            <w:rFonts w:ascii="Arial" w:eastAsia="Arial" w:hAnsi="Arial" w:cs="Arial"/>
                            <w:color w:val="595959"/>
                            <w:sz w:val="16"/>
                          </w:rPr>
                          <w:t>Plastika</w:t>
                        </w:r>
                      </w:p>
                    </w:txbxContent>
                  </v:textbox>
                </v:rect>
                <v:shape id="Shape 922340" o:spid="_x0000_s1646" style="position:absolute;left:16792;top:7964;width:519;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zTw8UA&#10;AADfAAAADwAAAGRycy9kb3ducmV2LnhtbESPy07DQAxF90j8w8hI7OikCUIldFpVLa9lafkAK2OS&#10;0Iwnioc08PV4gcTSur7HPsv1FDoz0iBtZAfzWQaGuIq+5drB+/HpZgFGErLHLjI5+CaB9eryYoml&#10;j2d+o/GQaqMQlhIdNCn1pbVSNRRQZrEn1uwjDgGTjkNt/YBnhYfO5ll2ZwO2rBca7GnbUHU6fAV9&#10;ozj+7B/lud0WnO0+R5EFv4hz11fT5gFMoin9L/+1X72D+zwvbtVAfRQCd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vNPDxQAAAN8AAAAPAAAAAAAAAAAAAAAAAJgCAABkcnMv&#10;ZG93bnJldi54bWxQSwUGAAAAAAQABAD1AAAAigMAAAAA&#10;" path="m,l51816,r,51816l,51816,,e" fillcolor="#ed7d31" stroked="f" strokeweight="0">
                  <v:path arrowok="t" textboxrect="0,0,51816,51816"/>
                </v:shape>
                <v:shape id="Shape 41607" o:spid="_x0000_s1647" style="position:absolute;left:16792;top:7964;width:519;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CzX8cA&#10;AADeAAAADwAAAGRycy9kb3ducmV2LnhtbESPQU8CMRSE7yb8h+aZeJMW1BVWCtFNDB64iBzg9rJ9&#10;bjduXzdthcVfT01MPE5m5pvMYjW4ThwpxNazhslYgSCuvWm50bD7eL2dgYgJ2WDnmTScKcJqObpa&#10;YGn8id/puE2NyBCOJWqwKfWllLG25DCOfU+cvU8fHKYsQyNNwFOGu05OlSqkw5bzgsWeKkv11/bb&#10;aSg2dvYT3L66q840p7U6POxeDlrfXA/PTyASDek//Nd+MxruJ4V6hN87+QrI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Qs1/HAAAA3gAAAA8AAAAAAAAAAAAAAAAAmAIAAGRy&#10;cy9kb3ducmV2LnhtbFBLBQYAAAAABAAEAPUAAACMAwAAAAA=&#10;" path="m,51816r51816,l51816,,,,,51816xe" filled="f" strokecolor="white" strokeweight="1.56pt">
                  <v:path arrowok="t" textboxrect="0,0,51816,51816"/>
                </v:shape>
                <v:rect id="Rectangle 41608" o:spid="_x0000_s1648" style="position:absolute;left:17523;top:7624;width:369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LUEMMA&#10;AADeAAAADwAAAGRycy9kb3ducmV2LnhtbERPy4rCMBTdC/5DuII7TRUR7TQV8YEuZ1TQ2V2aO22Z&#10;5qY00Va/frIYcHk472TVmUo8qHGlZQWTcQSCOLO65FzB5bwfLUA4j6yxskwKnuRglfZ7CcbatvxF&#10;j5PPRQhhF6OCwvs6ltJlBRl0Y1sTB+7HNgZ9gE0udYNtCDeVnEbRXBosOTQUWNOmoOz3dDcKDot6&#10;fTvaV5tXu+/D9fO63J6XXqnhoFt/gPDU+bf4333UCmaTeRT2hjvhCsj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LUEMMAAADeAAAADwAAAAAAAAAAAAAAAACYAgAAZHJzL2Rv&#10;d25yZXYueG1sUEsFBgAAAAAEAAQA9QAAAIgDAAAAAA==&#10;" filled="f" stroked="f">
                  <v:textbox inset="0,0,0,0">
                    <w:txbxContent>
                      <w:p w14:paraId="3722CFC5" w14:textId="77777777" w:rsidR="0014164F" w:rsidRDefault="0014164F" w:rsidP="006D5692">
                        <w:r>
                          <w:rPr>
                            <w:rFonts w:ascii="Arial" w:eastAsia="Arial" w:hAnsi="Arial" w:cs="Arial"/>
                            <w:color w:val="595959"/>
                            <w:sz w:val="16"/>
                          </w:rPr>
                          <w:t>Guma</w:t>
                        </w:r>
                      </w:p>
                    </w:txbxContent>
                  </v:textbox>
                </v:rect>
                <v:shape id="Shape 922341" o:spid="_x0000_s1649" style="position:absolute;left:16792;top:9290;width:519;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7MskA&#10;AADfAAAADwAAAGRycy9kb3ducmV2LnhtbESPQUvDQBSE74L/YXlCL2I3TVuJsdsioUKhh9LopbdH&#10;9pkNZt+G7JrE/npXEDwOM/MNs9lNthUD9b5xrGAxT0AQV043XCt4f3t9yED4gKyxdUwKvsnDbnt7&#10;s8Fcu5HPNJShFhHCPkcFJoQul9JXhiz6ueuIo/fheoshyr6Wuscxwm0r0yR5lBYbjgsGOyoMVZ/l&#10;l1UwFObqTodxzLryuHf36+JyyUqlZnfTyzOIQFP4D/+1D1rBU5ouVwv4/RO/gN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77MskAAADfAAAADwAAAAAAAAAAAAAAAACYAgAA&#10;ZHJzL2Rvd25yZXYueG1sUEsFBgAAAAAEAAQA9QAAAI4DAAAAAA==&#10;" path="m,l51816,r,51816l,51816,,e" fillcolor="#a5a5a5" stroked="f" strokeweight="0">
                  <v:path arrowok="t" textboxrect="0,0,51816,51816"/>
                </v:shape>
                <v:shape id="Shape 41610" o:spid="_x0000_s1650" style="position:absolute;left:16792;top:9290;width:519;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99sYA&#10;AADeAAAADwAAAGRycy9kb3ducmV2LnhtbESPvW7CMBSF90q8g3UrsRUnLY0gYBCNhOjQpZQBtqv4&#10;EkeNryPbhdCnr4dKjEfnT99yPdhOXMiH1rGCfJKBIK6dbrlRcPjaPs1AhIissXNMCm4UYL0aPSyx&#10;1O7Kn3TZx0akEQ4lKjAx9qWUoTZkMUxcT5y8s/MWY5K+kdrjNY3bTj5nWSEttpweDPZUGaq/9z9W&#10;QfFhZr/eHquX6kZz2mWn18PbSanx47BZgIg0xHv4v/2uFUzzIk8ACSeh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99sYAAADeAAAADwAAAAAAAAAAAAAAAACYAgAAZHJz&#10;L2Rvd25yZXYueG1sUEsFBgAAAAAEAAQA9QAAAIsDAAAAAA==&#10;" path="m,51816r51816,l51816,,,,,51816xe" filled="f" strokecolor="white" strokeweight="1.56pt">
                  <v:path arrowok="t" textboxrect="0,0,51816,51816"/>
                </v:shape>
                <v:rect id="Rectangle 41611" o:spid="_x0000_s1651" style="position:absolute;left:17523;top:9130;width:4282;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HrUMcA&#10;AADeAAAADwAAAGRycy9kb3ducmV2LnhtbESPQWvCQBSE7wX/w/KE3uompUgSXUPQFj22Kqi3R/aZ&#10;BLNvQ3Zr0v76bqHQ4zAz3zDLfDStuFPvGssK4lkEgri0uuFKwfHw9pSAcB5ZY2uZFHyRg3w1eVhi&#10;pu3AH3Tf+0oECLsMFdTed5mUrqzJoJvZjjh4V9sb9EH2ldQ9DgFuWvkcRXNpsOGwUGNH65rK2/7T&#10;KNgmXXHe2e+hal8v29P7Kd0cUq/U43QsFiA8jf4//NfeaQUv8TyO4f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x61DHAAAA3gAAAA8AAAAAAAAAAAAAAAAAmAIAAGRy&#10;cy9kb3ducmV2LnhtbFBLBQYAAAAABAAEAPUAAACMAwAAAAA=&#10;" filled="f" stroked="f">
                  <v:textbox inset="0,0,0,0">
                    <w:txbxContent>
                      <w:p w14:paraId="303E62EA" w14:textId="77777777" w:rsidR="0014164F" w:rsidRDefault="0014164F" w:rsidP="006D5692">
                        <w:r>
                          <w:rPr>
                            <w:rFonts w:ascii="Arial" w:eastAsia="Arial" w:hAnsi="Arial" w:cs="Arial"/>
                            <w:color w:val="595959"/>
                            <w:sz w:val="16"/>
                          </w:rPr>
                          <w:t>Odjeća</w:t>
                        </w:r>
                      </w:p>
                    </w:txbxContent>
                  </v:textbox>
                </v:rect>
                <v:shape id="Shape 922342" o:spid="_x0000_s1652" style="position:absolute;left:16792;top:10615;width:519;height:519;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you8YA&#10;AADfAAAADwAAAGRycy9kb3ducmV2LnhtbESPQWvCQBSE74L/YXmCN31pLMGmrtJKa+1R20tvj+xr&#10;Nph9G7JbTf99tyB4HGbmG2a1GVyrztyHxouGu3kGiqXyppFaw+fH62wJKkQSQ60X1vDLATbr8WhF&#10;pfEXOfD5GGuVIBJK0mBj7ErEUFl2FOa+Y0net+8dxST7Gk1PlwR3LeZZVqCjRtKCpY63lqvT8cdp&#10;eG+KrnqzlncH/Nqeihd83i1R6+lkeHoEFXmIt/C1vTcaHvJ8cZ/D/5/0BXD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you8YAAADfAAAADwAAAAAAAAAAAAAAAACYAgAAZHJz&#10;L2Rvd25yZXYueG1sUEsFBgAAAAAEAAQA9QAAAIsDAAAAAA==&#10;" path="m,l51816,r,51816l,51816,,e" fillcolor="#ffc000" stroked="f" strokeweight="0">
                  <v:path arrowok="t" textboxrect="0,0,51816,51816"/>
                </v:shape>
                <v:shape id="Shape 41613" o:spid="_x0000_s1653" style="position:absolute;left:16792;top:10615;width:519;height:519;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IjgcgA&#10;AADeAAAADwAAAGRycy9kb3ducmV2LnhtbESPzWrDMBCE74G+g9hCb4nspDWpGyU0htIcesnPobkt&#10;1tYytVZGUhOnTx8VCjkOM/MNs1gNthMn8qF1rCCfZCCIa6dbbhQc9m/jOYgQkTV2jknBhQKslnej&#10;BZbanXlLp11sRIJwKFGBibEvpQy1IYth4nri5H05bzEm6RupPZ4T3HZymmWFtNhyWjDYU2Wo/t79&#10;WAXFh5n/evtZzaoLPdN7dnw6rI9KPdwPry8gIg3xFv5vb7SCx7zIZ/B3J10Bub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ciOByAAAAN4AAAAPAAAAAAAAAAAAAAAAAJgCAABk&#10;cnMvZG93bnJldi54bWxQSwUGAAAAAAQABAD1AAAAjQMAAAAA&#10;" path="m,51816r51816,l51816,,,,,51816xe" filled="f" strokecolor="white" strokeweight="1.56pt">
                  <v:path arrowok="t" textboxrect="0,0,51816,51816"/>
                </v:shape>
                <v:rect id="Rectangle 41614" o:spid="_x0000_s1654" style="position:absolute;left:17523;top:10278;width:727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ZIyMcA&#10;AADeAAAADwAAAGRycy9kb3ducmV2LnhtbESPQWvCQBSE74L/YXlCb7pJkaCpq4htMcfWCGlvj+xr&#10;Esy+DdmtSfvruwXB4zAz3zCb3WhacaXeNZYVxIsIBHFpdcOVgnP+Ol+BcB5ZY2uZFPyQg912Otlg&#10;qu3A73Q9+UoECLsUFdTed6mUrqzJoFvYjjh4X7Y36IPsK6l7HALctPIxihJpsOGwUGNHh5rKy+nb&#10;KDiuuv1HZn+Hqn35PBZvxfo5X3ulHmbj/gmEp9Hfw7d2phUs4yRewv+dcAXk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GSMjHAAAA3gAAAA8AAAAAAAAAAAAAAAAAmAIAAGRy&#10;cy9kb3ducmV2LnhtbFBLBQYAAAAABAAEAPUAAACMAwAAAAA=&#10;" filled="f" stroked="f">
                  <v:textbox inset="0,0,0,0">
                    <w:txbxContent>
                      <w:p w14:paraId="22B80C43" w14:textId="77777777" w:rsidR="0014164F" w:rsidRDefault="0014164F" w:rsidP="006D5692">
                        <w:r>
                          <w:rPr>
                            <w:rFonts w:ascii="Arial" w:eastAsia="Arial" w:hAnsi="Arial" w:cs="Arial"/>
                            <w:color w:val="595959"/>
                            <w:sz w:val="16"/>
                          </w:rPr>
                          <w:t>Papir/karton</w:t>
                        </w:r>
                      </w:p>
                    </w:txbxContent>
                  </v:textbox>
                </v:rect>
                <v:shape id="Shape 922343" o:spid="_x0000_s1655" style="position:absolute;left:16792;top:11941;width:519;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3uMcA&#10;AADfAAAADwAAAGRycy9kb3ducmV2LnhtbESPQWsCMRSE74X+h/AK3mrW3SLt1igqlXrxoC09PzbP&#10;zeLmJWzSdf33RhA8DjPzDTNbDLYVPXWhcaxgMs5AEFdON1wr+P3ZvL6DCBFZY+uYFFwowGL+/DTD&#10;Ursz76k/xFokCIcSFZgYfSllqAxZDGPniZN3dJ3FmGRXS93hOcFtK/Msm0qLDacFg57WhqrT4d8q&#10;2B3998WcNq6Y/FXZetmv/FdYKTV6GZafICIN8RG+t7dawUeeF28F3P6kL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ud7jHAAAA3wAAAA8AAAAAAAAAAAAAAAAAmAIAAGRy&#10;cy9kb3ducmV2LnhtbFBLBQYAAAAABAAEAPUAAACMAwAAAAA=&#10;" path="m,l51816,r,51816l,51816,,e" fillcolor="#4472c4" stroked="f" strokeweight="0">
                  <v:path arrowok="t" textboxrect="0,0,51816,51816"/>
                </v:shape>
                <v:shape id="Shape 41616" o:spid="_x0000_s1656" style="position:absolute;left:16792;top:11941;width:519;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WAGcgA&#10;AADeAAAADwAAAGRycy9kb3ducmV2LnhtbESPzW7CMBCE70h9B2sr9QZO+hNBwKASCdFDL1AO5baK&#10;t3HUeB3ZBkKfvq5UieNoZr7RLFaD7cSZfGgdK8gnGQji2umWGwWHj814CiJEZI2dY1JwpQCr5d1o&#10;gaV2F97ReR8bkSAcSlRgYuxLKUNtyGKYuJ44eV/OW4xJ+kZqj5cEt518zLJCWmw5LRjsqTJUf+9P&#10;VkHxbqY/3n5WT9WVZrTNji+H9VGph/vhdQ4i0hBv4f/2m1bwnBd5AX930hW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BYAZyAAAAN4AAAAPAAAAAAAAAAAAAAAAAJgCAABk&#10;cnMvZG93bnJldi54bWxQSwUGAAAAAAQABAD1AAAAjQMAAAAA&#10;" path="m,51816r51816,l51816,,,,,51816xe" filled="f" strokecolor="white" strokeweight="1.56pt">
                  <v:path arrowok="t" textboxrect="0,0,51816,51816"/>
                </v:shape>
                <v:rect id="Rectangle 41617" o:spid="_x0000_s1657" style="position:absolute;left:17523;top:11785;width:9018;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TWv8gA&#10;AADeAAAADwAAAGRycy9kb3ducmV2LnhtbESPT2vCQBTE70K/w/IK3nSTUqKmWUXaih79U7C9PbKv&#10;SWj2bciuJvrpXUHocZiZ3zDZoje1OFPrKssK4nEEgji3uuJCwddhNZqCcB5ZY22ZFFzIwWL+NMgw&#10;1bbjHZ33vhABwi5FBaX3TSqly0sy6Ma2IQ7er20N+iDbQuoWuwA3tXyJokQarDgslNjQe0n53/5k&#10;FKynzfJ7Y69dUX/+rI/b4+zjMPNKDZ/75RsIT73/Dz/aG63gNU7iCdzvhCsg5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VNa/yAAAAN4AAAAPAAAAAAAAAAAAAAAAAJgCAABk&#10;cnMvZG93bnJldi54bWxQSwUGAAAAAAQABAD1AAAAjQMAAAAA&#10;" filled="f" stroked="f">
                  <v:textbox inset="0,0,0,0">
                    <w:txbxContent>
                      <w:p w14:paraId="69FF96EA" w14:textId="77777777" w:rsidR="0014164F" w:rsidRDefault="0014164F" w:rsidP="006D5692">
                        <w:r>
                          <w:rPr>
                            <w:rFonts w:ascii="Arial" w:eastAsia="Arial" w:hAnsi="Arial" w:cs="Arial"/>
                            <w:color w:val="595959"/>
                            <w:sz w:val="16"/>
                          </w:rPr>
                          <w:t>Obrađeno drvo</w:t>
                        </w:r>
                      </w:p>
                    </w:txbxContent>
                  </v:textbox>
                </v:rect>
                <v:shape id="Shape 922344" o:spid="_x0000_s1658" style="position:absolute;left:16792;top:13267;width:519;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2LtscA&#10;AADfAAAADwAAAGRycy9kb3ducmV2LnhtbESPQWvCQBSE74X+h+UVvNVNYygxdZUiCqL0UNuLt0f2&#10;mQSzb9PdNcZ/7wpCj8PMfMPMFoNpRU/ON5YVvI0TEMSl1Q1XCn5/1q85CB+QNbaWScGVPCzmz08z&#10;LLS98Df1+1CJCGFfoII6hK6Q0pc1GfRj2xFH72idwRClq6R2eIlw08o0Sd6lwYbjQo0dLWsqT/uz&#10;UbA5Zlv9tzPJik55b746Nxxyp9ToZfj8ABFoCP/hR3ujFUzTdJJlcP8Tv4C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h9i7bHAAAA3wAAAA8AAAAAAAAAAAAAAAAAmAIAAGRy&#10;cy9kb3ducmV2LnhtbFBLBQYAAAAABAAEAPUAAACMAwAAAAA=&#10;" path="m,l51816,r,51816l,51816,,e" fillcolor="#70ad47" stroked="f" strokeweight="0">
                  <v:path arrowok="t" textboxrect="0,0,51816,51816"/>
                </v:shape>
                <v:shape id="Shape 41619" o:spid="_x0000_s1659" style="position:absolute;left:16792;top:13267;width:519;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oUa8gA&#10;AADeAAAADwAAAGRycy9kb3ducmV2LnhtbESPzWrDMBCE74W+g9hCbo3spDWJGyUkhtIeesnPobkt&#10;1tYytVZGUhKnT18VCjkOM/MNs1gNthNn8qF1rCAfZyCIa6dbbhQc9q+PMxAhImvsHJOCKwVYLe/v&#10;Flhqd+EtnXexEQnCoUQFJsa+lDLUhiyGseuJk/flvMWYpG+k9nhJcNvJSZYV0mLLacFgT5Wh+nt3&#10;sgqKDzP78fazmlZXmtNbdnw+bI5KjR6G9QuISEO8hf/b71rBU17kc/i7k66AX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mhRryAAAAN4AAAAPAAAAAAAAAAAAAAAAAJgCAABk&#10;cnMvZG93bnJldi54bWxQSwUGAAAAAAQABAD1AAAAjQMAAAAA&#10;" path="m,51816r51816,l51816,,,,,51816xe" filled="f" strokecolor="white" strokeweight="1.56pt">
                  <v:path arrowok="t" textboxrect="0,0,51816,51816"/>
                </v:shape>
                <v:rect id="Rectangle 41620" o:spid="_x0000_s1660" style="position:absolute;left:17523;top:12930;width:3301;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GEdsUA&#10;AADeAAAADwAAAGRycy9kb3ducmV2LnhtbESPy4rCMBSG9wO+QzjC7MZUGURrUxF10KU3UHeH5tgW&#10;m5PSZGxnnt4sBJc//40vmXemEg9qXGlZwXAQgSDOrC45V3A6/nxNQDiPrLGyTAr+yME87X0kGGvb&#10;8p4eB5+LMMIuRgWF93UspcsKMugGtiYO3s02Bn2QTS51g20YN5UcRdFYGiw5PBRY07Kg7H74NQo2&#10;k3px2dr/Nq/W1815d56ujlOv1Ge/W8xAeOr8O/xqb7WC7+F4FAACTkABmT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0YR2xQAAAN4AAAAPAAAAAAAAAAAAAAAAAJgCAABkcnMv&#10;ZG93bnJldi54bWxQSwUGAAAAAAQABAD1AAAAigMAAAAA&#10;" filled="f" stroked="f">
                  <v:textbox inset="0,0,0,0">
                    <w:txbxContent>
                      <w:p w14:paraId="71231751" w14:textId="77777777" w:rsidR="0014164F" w:rsidRDefault="0014164F" w:rsidP="006D5692">
                        <w:r>
                          <w:rPr>
                            <w:rFonts w:ascii="Arial" w:eastAsia="Arial" w:hAnsi="Arial" w:cs="Arial"/>
                            <w:color w:val="595959"/>
                            <w:sz w:val="16"/>
                          </w:rPr>
                          <w:t>Metal</w:t>
                        </w:r>
                      </w:p>
                    </w:txbxContent>
                  </v:textbox>
                </v:rect>
                <v:shape id="Shape 922345" o:spid="_x0000_s1661" style="position:absolute;left:16792;top:14608;width:519;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g1H8cA&#10;AADfAAAADwAAAGRycy9kb3ducmV2LnhtbESP3WrCQBCF74W+wzKF3ummUYtNs5FSKnghSBMfYJqd&#10;/NDsbJrdmvj2riD08nB+Pk66nUwnzjS41rKC50UEgri0uuVawanYzTcgnEfW2FkmBRdysM0eZikm&#10;2o78Refc1yKMsEtQQeN9n0jpyoYMuoXtiYNX2cGgD3KopR5wDOOmk3EUvUiDLQdCgz19NFT+5H8m&#10;cKtisz58R6fd5/IX83E6dnlcKfX0OL2/gfA0+f/wvb3XCl7jeLlaw+1P+AIyu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AYNR/HAAAA3wAAAA8AAAAAAAAAAAAAAAAAmAIAAGRy&#10;cy9kb3ducmV2LnhtbFBLBQYAAAAABAAEAPUAAACMAwAAAAA=&#10;" path="m,l51816,r,50292l,50292,,e" fillcolor="#255e91" stroked="f" strokeweight="0">
                  <v:path arrowok="t" textboxrect="0,0,51816,50292"/>
                </v:shape>
                <v:shape id="Shape 41622" o:spid="_x0000_s1662" style="position:absolute;left:16792;top:14608;width:519;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Fbz8cA&#10;AADeAAAADwAAAGRycy9kb3ducmV2LnhtbESPQUvDQBSE74L/YXmCN7tp0CBpt6UtFPSg2CiU3h7Z&#10;ZzY2+zZkn23017uC4HGYmW+Y+XL0nTrRENvABqaTDBRxHWzLjYG31+3NPagoyBa7wGTgiyIsF5cX&#10;cyxtOPOOTpU0KkE4lmjAifSl1rF25DFOQk+cvPcweJQkh0bbAc8J7judZ1mhPbacFhz2tHFUH6tP&#10;b2D/Id/iuk1z2L9UdPf0WDyvY2HM9dW4moESGuU//Nd+sAZup0Wew++ddAX0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hW8/HAAAA3gAAAA8AAAAAAAAAAAAAAAAAmAIAAGRy&#10;cy9kb3ducmV2LnhtbFBLBQYAAAAABAAEAPUAAACMAwAAAAA=&#10;" path="m,50292r51816,l51816,,,,,50292xe" filled="f" strokecolor="white" strokeweight="1.56pt">
                  <v:path arrowok="t" textboxrect="0,0,51816,50292"/>
                </v:shape>
                <v:rect id="Rectangle 41623" o:spid="_x0000_s1663" style="position:absolute;left:17523;top:14258;width:375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MaAcYA&#10;AADeAAAADwAAAGRycy9kb3ducmV2LnhtbESPQYvCMBSE7wv+h/AEb2uqLqLVKKIuetxVQb09mmdb&#10;bF5KE2311xthYY/DzHzDTOeNKcSdKpdbVtDrRiCIE6tzThUc9t+fIxDOI2ssLJOCBzmYz1ofU4y1&#10;rfmX7jufigBhF6OCzPsyltIlGRl0XVsSB+9iK4M+yCqVusI6wE0h+1E0lAZzDgsZlrTMKLnubkbB&#10;ZlQuTlv7rNNifd4cf47j1X7sleq0m8UEhKfG/4f/2lut4Ks37A/g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MaAcYAAADeAAAADwAAAAAAAAAAAAAAAACYAgAAZHJz&#10;L2Rvd25yZXYueG1sUEsFBgAAAAAEAAQA9QAAAIsDAAAAAA==&#10;" filled="f" stroked="f">
                  <v:textbox inset="0,0,0,0">
                    <w:txbxContent>
                      <w:p w14:paraId="10C7BD48" w14:textId="77777777" w:rsidR="0014164F" w:rsidRDefault="0014164F" w:rsidP="006D5692">
                        <w:r>
                          <w:rPr>
                            <w:rFonts w:ascii="Arial" w:eastAsia="Arial" w:hAnsi="Arial" w:cs="Arial"/>
                            <w:color w:val="595959"/>
                            <w:sz w:val="16"/>
                          </w:rPr>
                          <w:t>Staklo</w:t>
                        </w:r>
                      </w:p>
                    </w:txbxContent>
                  </v:textbox>
                </v:rect>
                <v:shape id="Shape 922346" o:spid="_x0000_s1664" style="position:absolute;left:16792;top:15934;width:519;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zlrcgA&#10;AADfAAAADwAAAGRycy9kb3ducmV2LnhtbESPQWvCQBSE70L/w/IKvUjdNLViU1cphYInwTQUvD2y&#10;z2ww+zZkt0n013cFweMwM98wq81oG9FT52vHCl5mCQji0umaKwXFz/fzEoQPyBobx6TgTB4264fJ&#10;CjPtBt5Tn4dKRAj7DBWYENpMSl8asuhnriWO3tF1FkOUXSV1h0OE20amSbKQFmuOCwZb+jJUnvI/&#10;q+CU7+riUOzOv8P0zZiLPbqUe6WeHsfPDxCBxnAP39pbreA9TV/nC7j+iV9Arv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bOWtyAAAAN8AAAAPAAAAAAAAAAAAAAAAAJgCAABk&#10;cnMvZG93bnJldi54bWxQSwUGAAAAAAQABAD1AAAAjQMAAAAA&#10;" path="m,l51816,r,50292l,50292,,e" fillcolor="#9e480e" stroked="f" strokeweight="0">
                  <v:path arrowok="t" textboxrect="0,0,51816,50292"/>
                </v:shape>
                <v:shape id="Shape 41625" o:spid="_x0000_s1665" style="position:absolute;left:16792;top:15934;width:519;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jDu8gA&#10;AADeAAAADwAAAGRycy9kb3ducmV2LnhtbESPQUvDQBSE74L/YXlCb3bT0gaJ3RYtFOqhRaNQvD2y&#10;z2w0+zZkn23aX+8KgsdhZr5hFqvBt+pIfWwCG5iMM1DEVbAN1wbeXje3d6CiIFtsA5OBM0VYLa+v&#10;FljYcOIXOpZSqwThWKABJ9IVWsfKkcc4Dh1x8j5C71GS7GttezwluG/1NMty7bHhtOCwo7Wj6qv8&#10;9gYOn3IR167r98NzSfPdU75/jLkxo5vh4R6U0CD/4b/21hqYTfLpHH7vpCu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SMO7yAAAAN4AAAAPAAAAAAAAAAAAAAAAAJgCAABk&#10;cnMvZG93bnJldi54bWxQSwUGAAAAAAQABAD1AAAAjQMAAAAA&#10;" path="m,50292r51816,l51816,,,,,50292xe" filled="f" strokecolor="white" strokeweight="1.56pt">
                  <v:path arrowok="t" textboxrect="0,0,51816,50292"/>
                </v:shape>
                <v:rect id="Rectangle 41626" o:spid="_x0000_s1666" style="position:absolute;left:17523;top:15584;width:571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S5mcYA&#10;AADeAAAADwAAAGRycy9kb3ducmV2LnhtbESPT4vCMBTE74LfITzBm6aKFO0aRdRFj+sfcPf2aN62&#10;xealNFlb/fQbQfA4zMxvmPmyNaW4Ue0KywpGwwgEcWp1wZmC8+lzMAXhPLLG0jIpuJOD5aLbmWOi&#10;bcMHuh19JgKEXYIKcu+rREqX5mTQDW1FHLxfWxv0QdaZ1DU2AW5KOY6iWBosOCzkWNE6p/R6/DMK&#10;dtNq9b23jyYrtz+7y9dltjnNvFL9Xrv6AOGp9e/wq73XCiajeBzD806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3S5mcYAAADeAAAADwAAAAAAAAAAAAAAAACYAgAAZHJz&#10;L2Rvd25yZXYueG1sUEsFBgAAAAAEAAQA9QAAAIsDAAAAAA==&#10;" filled="f" stroked="f">
                  <v:textbox inset="0,0,0,0">
                    <w:txbxContent>
                      <w:p w14:paraId="148C928E" w14:textId="77777777" w:rsidR="0014164F" w:rsidRDefault="0014164F" w:rsidP="006D5692">
                        <w:r>
                          <w:rPr>
                            <w:rFonts w:ascii="Arial" w:eastAsia="Arial" w:hAnsi="Arial" w:cs="Arial"/>
                            <w:color w:val="595959"/>
                            <w:sz w:val="16"/>
                          </w:rPr>
                          <w:t>Keramika</w:t>
                        </w:r>
                      </w:p>
                    </w:txbxContent>
                  </v:textbox>
                </v:rect>
                <v:shape id="Shape 922347" o:spid="_x0000_s1667" style="position:absolute;left:16792;top:17260;width:519;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6Cj8gA&#10;AADfAAAADwAAAGRycy9kb3ducmV2LnhtbESPQWvCQBSE7wX/w/IEb3XTWFpNXUUE0VPV6MHjI/ua&#10;pGbfxuxqkn/fLRR6HGbmG2a+7EwlHtS40rKCl3EEgjizuuRcwfm0eZ6CcB5ZY2WZFPTkYLkYPM0x&#10;0bblIz1Sn4sAYZeggsL7OpHSZQUZdGNbEwfvyzYGfZBNLnWDbYCbSsZR9CYNlhwWCqxpXVB2Te9G&#10;wf56Wd23hz79bOUm+t6fju7Wd0qNht3qA4Snzv+H/9o7rWAWx5PXd/j9E76AXP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7oKPyAAAAN8AAAAPAAAAAAAAAAAAAAAAAJgCAABk&#10;cnMvZG93bnJldi54bWxQSwUGAAAAAAQABAD1AAAAjQMAAAAA&#10;" path="m,l51816,r,50292l,50292,,e" fillcolor="#636363" stroked="f" strokeweight="0">
                  <v:path arrowok="t" textboxrect="0,0,51816,50292"/>
                </v:shape>
                <v:shape id="Shape 41628" o:spid="_x0000_s1668" style="position:absolute;left:16792;top:17260;width:519;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lsJcUA&#10;AADeAAAADwAAAGRycy9kb3ducmV2LnhtbERPTWvCQBC9F/oflin0VjeKDSW6SisU9GBpoyDehuyY&#10;jc3OhuxU0/767qHQ4+N9z5eDb9WF+tgENjAeZaCIq2Abrg3sd68PT6CiIFtsA5OBb4qwXNzezLGw&#10;4cofdCmlVimEY4EGnEhXaB0rRx7jKHTEiTuF3qMk2Nfa9nhN4b7VkyzLtceGU4PDjlaOqs/yyxs4&#10;nOVHXLuqj4f3kh63m/ztJebG3N8NzzNQQoP8i//ca2tgOs4naW+6k66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SWwlxQAAAN4AAAAPAAAAAAAAAAAAAAAAAJgCAABkcnMv&#10;ZG93bnJldi54bWxQSwUGAAAAAAQABAD1AAAAigMAAAAA&#10;" path="m,50292r51816,l51816,,,,,50292xe" filled="f" strokecolor="white" strokeweight="1.56pt">
                  <v:path arrowok="t" textboxrect="0,0,51816,50292"/>
                </v:shape>
                <v:rect id="Rectangle 41629" o:spid="_x0000_s1669" style="position:absolute;left:17523;top:16910;width:908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t68YA&#10;AADeAAAADwAAAGRycy9kb3ducmV2LnhtbESPT4vCMBTE7wv7HcJb8LamioitRpFV0aN/FtTbo3m2&#10;ZZuX0kRb/fRGEPY4zMxvmMmsNaW4Ue0Kywp63QgEcWp1wZmC38PqewTCeWSNpWVScCcHs+nnxwQT&#10;bRve0W3vMxEg7BJUkHtfJVK6NCeDrmsr4uBdbG3QB1lnUtfYBLgpZT+KhtJgwWEhx4p+ckr/9lej&#10;YD2q5qeNfTRZuTyvj9tjvDjEXqnOVzsfg/DU+v/wu73RCga9YT+G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st68YAAADeAAAADwAAAAAAAAAAAAAAAACYAgAAZHJz&#10;L2Rvd25yZXYueG1sUEsFBgAAAAAEAAQA9QAAAIsDAAAAAA==&#10;" filled="f" stroked="f">
                  <v:textbox inset="0,0,0,0">
                    <w:txbxContent>
                      <w:p w14:paraId="59B269E8" w14:textId="77777777" w:rsidR="0014164F" w:rsidRDefault="0014164F" w:rsidP="006D5692">
                        <w:r>
                          <w:rPr>
                            <w:rFonts w:ascii="Arial" w:eastAsia="Arial" w:hAnsi="Arial" w:cs="Arial"/>
                            <w:color w:val="595959"/>
                            <w:sz w:val="16"/>
                          </w:rPr>
                          <w:t>Sanitarni otpad</w:t>
                        </w:r>
                      </w:p>
                    </w:txbxContent>
                  </v:textbox>
                </v:rect>
                <v:shape id="Shape 922348" o:spid="_x0000_s1670" style="position:absolute;left:16792;top:18586;width:519;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ebssUA&#10;AADfAAAADwAAAGRycy9kb3ducmV2LnhtbERPy2rCQBTdC/7DcAV3dWJsJU0dRQqF2oXio/tL5poJ&#10;zdwJmTFJ+/WdheDycN6rzWBr0VHrK8cK5rMEBHHhdMWlgsv54ykD4QOyxtoxKfglD5v1eLTCXLue&#10;j9SdQiliCPscFZgQmlxKXxiy6GeuIY7c1bUWQ4RtKXWLfQy3tUyTZCktVhwbDDb0bqj4Od2sgv1L&#10;cXEmux7c7e/r+J3t+m4XeqWmk2H7BiLQEB7iu/tTK3hN08VzHBz/xC8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15uyxQAAAN8AAAAPAAAAAAAAAAAAAAAAAJgCAABkcnMv&#10;ZG93bnJldi54bWxQSwUGAAAAAAQABAD1AAAAigMAAAAA&#10;" path="m,l51816,r,50292l,50292,,e" fillcolor="#997300" stroked="f" strokeweight="0">
                  <v:path arrowok="t" textboxrect="0,0,51816,50292"/>
                </v:shape>
                <v:shape id="Shape 41631" o:spid="_x0000_s1671" style="position:absolute;left:16792;top:18586;width:519;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pTZcgA&#10;AADeAAAADwAAAGRycy9kb3ducmV2LnhtbESPQUvDQBSE74L/YXmF3uwmVoPEbosWBD0oNRZKb4/s&#10;M5uafRuyzzb6611B8DjMzDfMYjX6Th1piG1gA/ksA0VcB9tyY2D79nBxAyoKssUuMBn4ogir5fnZ&#10;AksbTvxKx0oalSAcSzTgRPpS61g78hhnoSdO3nsYPEqSQ6PtgKcE952+zLJCe2w5LTjsae2o/qg+&#10;vYHdQb7Fdetmv9tUdP38VLzcx8KY6WS8uwUlNMp/+K/9aA1c5cU8h9876Qro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qlNlyAAAAN4AAAAPAAAAAAAAAAAAAAAAAJgCAABk&#10;cnMvZG93bnJldi54bWxQSwUGAAAAAAQABAD1AAAAjQMAAAAA&#10;" path="m,50292r51816,l51816,,,,,50292xe" filled="f" strokecolor="white" strokeweight="1.56pt">
                  <v:path arrowok="t" textboxrect="0,0,51816,50292"/>
                </v:shape>
                <v:rect id="Rectangle 41632" o:spid="_x0000_s1672" style="position:absolute;left:17523;top:18240;width:10075;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YpR8YA&#10;AADeAAAADwAAAGRycy9kb3ducmV2LnhtbESPQYvCMBSE7wv+h/AEb2uqLqLVKKIuetxVQb09mmdb&#10;bF5KE2311xthYY/DzHzDTOeNKcSdKpdbVtDrRiCIE6tzThUc9t+fIxDOI2ssLJOCBzmYz1ofU4y1&#10;rfmX7jufigBhF6OCzPsyltIlGRl0XVsSB+9iK4M+yCqVusI6wE0h+1E0lAZzDgsZlrTMKLnubkbB&#10;ZlQuTlv7rNNifd4cf47j1X7sleq0m8UEhKfG/4f/2lut4Ks3HPTh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YpR8YAAADeAAAADwAAAAAAAAAAAAAAAACYAgAAZHJz&#10;L2Rvd25yZXYueG1sUEsFBgAAAAAEAAQA9QAAAIsDAAAAAA==&#10;" filled="f" stroked="f">
                  <v:textbox inset="0,0,0,0">
                    <w:txbxContent>
                      <w:p w14:paraId="0968428E" w14:textId="77777777" w:rsidR="0014164F" w:rsidRDefault="0014164F" w:rsidP="006D5692">
                        <w:r>
                          <w:rPr>
                            <w:rFonts w:ascii="Arial" w:eastAsia="Arial" w:hAnsi="Arial" w:cs="Arial"/>
                            <w:color w:val="595959"/>
                            <w:sz w:val="16"/>
                          </w:rPr>
                          <w:t>Medicinski otpad</w:t>
                        </w:r>
                      </w:p>
                    </w:txbxContent>
                  </v:textbox>
                </v:rect>
                <v:shape id="Shape 922349" o:spid="_x0000_s1673" style="position:absolute;left:16792;top:19912;width:519;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imMsgA&#10;AADfAAAADwAAAGRycy9kb3ducmV2LnhtbESPQWvCQBSE7wX/w/IEb3XTWFqNriIBSw+91Ip6fGSf&#10;m9js25Bdk/TfdwsFj8PMfMOsNoOtRUetrxwreJomIIgLpys2Cg5fu8c5CB+QNdaOScEPedisRw8r&#10;zLTr+ZO6fTAiQthnqKAMocmk9EVJFv3UNcTRu7jWYoiyNVK32Ee4rWWaJC/SYsVxocSG8pKK7/3N&#10;KnjrzelM13wXZqabf9xO9jWvj0pNxsN2CSLQEO7h//a7VrBI09nzAv7+xC8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aKYyyAAAAN8AAAAPAAAAAAAAAAAAAAAAAJgCAABk&#10;cnMvZG93bnJldi54bWxQSwUGAAAAAAQABAD1AAAAjQMAAAAA&#10;" path="m,l51816,r,50292l,50292,,e" fillcolor="#264478" stroked="f" strokeweight="0">
                  <v:path arrowok="t" textboxrect="0,0,51816,50292"/>
                </v:shape>
                <v:shape id="Shape 41634" o:spid="_x0000_s1674" style="position:absolute;left:16792;top:19912;width:519;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3w/cgA&#10;AADeAAAADwAAAGRycy9kb3ducmV2LnhtbESPQUvDQBSE74L/YXlCb3ZTW0NJuy1aKOhB0VgovT2y&#10;z2w0+zZkX9vor3cFweMwM98wy/XgW3WiPjaBDUzGGSjiKtiGawO7t+31HFQUZIttYDLwRRHWq8uL&#10;JRY2nPmVTqXUKkE4FmjAiXSF1rFy5DGOQ0ecvPfQe5Qk+1rbHs8J7lt9k2W59thwWnDY0cZR9Vke&#10;vYH9h3yLazf1Yf9S0u3TY/58H3NjRlfD3QKU0CD/4b/2gzUwm+TTGfzeSVdAr3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3fD9yAAAAN4AAAAPAAAAAAAAAAAAAAAAAJgCAABk&#10;cnMvZG93bnJldi54bWxQSwUGAAAAAAQABAD1AAAAjQMAAAAA&#10;" path="m,50292r51816,l51816,,,,,50292xe" filled="f" strokecolor="white" strokeweight="1.56pt">
                  <v:path arrowok="t" textboxrect="0,0,51816,50292"/>
                </v:shape>
                <v:rect id="Rectangle 41635" o:spid="_x0000_s1675" style="position:absolute;left:17523;top:19566;width:8194;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xM8kA&#10;AADeAAAADwAAAGRycy9kb3ducmV2LnhtbESPS2vDMBCE74X+B7GF3ho5j4bYiRJCHiTH1Cm4uS3W&#10;1ja1VsZSY6e/vioEehxm5htmsepNLa7UusqyguEgAkGcW11xoeD9vH+ZgXAeWWNtmRTcyMFq+fiw&#10;wETbjt/omvpCBAi7BBWU3jeJlC4vyaAb2IY4eJ+2NeiDbAupW+wC3NRyFEVTabDisFBiQ5uS8q/0&#10;2yg4zJr1x9H+dEW9uxyyUxZvz7FX6vmpX89BeOr9f/jePmoFk+F0/Ap/d8IV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n+xM8kAAADeAAAADwAAAAAAAAAAAAAAAACYAgAA&#10;ZHJzL2Rvd25yZXYueG1sUEsFBgAAAAAEAAQA9QAAAI4DAAAAAA==&#10;" filled="f" stroked="f">
                  <v:textbox inset="0,0,0,0">
                    <w:txbxContent>
                      <w:p w14:paraId="1E52D50D" w14:textId="77777777" w:rsidR="0014164F" w:rsidRDefault="0014164F" w:rsidP="006D5692">
                        <w:r>
                          <w:rPr>
                            <w:rFonts w:ascii="Arial" w:eastAsia="Arial" w:hAnsi="Arial" w:cs="Arial"/>
                            <w:color w:val="595959"/>
                            <w:sz w:val="16"/>
                          </w:rPr>
                          <w:t>Parafin/vosak</w:t>
                        </w:r>
                      </w:p>
                    </w:txbxContent>
                  </v:textbox>
                </v:rect>
                <v:shape id="Shape 41637" o:spid="_x0000_s1676" style="position:absolute;left:36696;top:5662;width:6278;height:12397;visibility:visible;mso-wrap-style:square;v-text-anchor:top" coordsize="627761,1239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mDj8YA&#10;AADeAAAADwAAAGRycy9kb3ducmV2LnhtbESPQWvCQBSE74X+h+UJvYhutDbG6CpFEYq3Rg8en9ln&#10;Esy+DdmtSf+9WxB6HGbmG2a16U0t7tS6yrKCyTgCQZxbXXGh4HTcjxIQziNrrC2Tgl9ysFm/vqww&#10;1bbjb7pnvhABwi5FBaX3TSqly0sy6Ma2IQ7e1bYGfZBtIXWLXYCbWk6jKJYGKw4LJTa0LSm/ZT9G&#10;wVCb63S3uGTJOe4sF7OD6z5ipd4G/ecShKfe/4ef7S+tYDaJ3+fwdydcAb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WmDj8YAAADeAAAADwAAAAAAAAAAAAAAAACYAgAAZHJz&#10;L2Rvd25yZXYueG1sUEsFBgAAAAAEAAQA9QAAAIsDAAAAAA==&#10;" path="m,c346710,,627761,281051,627761,627761v,292608,-202057,546481,-487299,611886l,627761,,xe" fillcolor="#5b9bd5" stroked="f" strokeweight="0">
                  <v:path arrowok="t" textboxrect="0,0,627761,1239647"/>
                </v:shape>
                <v:shape id="Shape 41638" o:spid="_x0000_s1677" style="position:absolute;left:36696;top:5662;width:6278;height:12397;visibility:visible;mso-wrap-style:square;v-text-anchor:top" coordsize="627761,12396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q4cMA&#10;AADeAAAADwAAAGRycy9kb3ducmV2LnhtbERP3WrCMBS+F/YO4Qy8s6lOy6hGGQOhyKZOfYBDc9aG&#10;NSclyWr39svFYJcf3/9mN9pODOSDcaxgnuUgiGunDTcKbtf97BlEiMgaO8ek4IcC7LYPkw2W2t35&#10;g4ZLbEQK4VCigjbGvpQy1C1ZDJnriRP36bzFmKBvpPZ4T+G2k4s8L6RFw6mhxZ5eW6q/Lt9WwdF0&#10;+GbOq8O7rzCeCpfLcXlTavo4vqxBRBrjv/jPXWkFy3nxlPamO+kK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q4cMAAADeAAAADwAAAAAAAAAAAAAAAACYAgAAZHJzL2Rv&#10;d25yZXYueG1sUEsFBgAAAAAEAAQA9QAAAIgDAAAAAA==&#10;" path="m,c346710,,627761,281051,627761,627761v,292608,-202057,546481,-487299,611886l,627761,,xe" filled="f" strokecolor="white" strokeweight="1.56pt">
                  <v:path arrowok="t" textboxrect="0,0,627761,1239647"/>
                </v:shape>
                <v:shape id="Shape 41639" o:spid="_x0000_s1678" style="position:absolute;left:36696;top:11940;width:1405;height:6180;visibility:visible;mso-wrap-style:square;v-text-anchor:top" coordsize="140462,617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fDHcUA&#10;AADeAAAADwAAAGRycy9kb3ducmV2LnhtbESPQWvCQBSE7wX/w/KE3urGtoQkuooWDEJPjXp/ZJ9J&#10;MPs2ZlcT/71bKPQ4zMw3zHI9mlbcqXeNZQXzWQSCuLS64UrB8bB7S0A4j6yxtUwKHuRgvZq8LDHT&#10;duAfuhe+EgHCLkMFtfddJqUrazLoZrYjDt7Z9gZ9kH0ldY9DgJtWvkdRLA02HBZq7OirpvJS3IwC&#10;2V232yh3+loe8Tven9JLkqdKvU7HzQKEp9H/h//ae63gcx5/pPB7J1w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8MdxQAAAN4AAAAPAAAAAAAAAAAAAAAAAJgCAABkcnMv&#10;ZG93bnJldi54bWxQSwUGAAAAAAQABAD1AAAAigMAAAAA&#10;" path="m,l140462,611886v-9779,2286,-19685,4318,-29591,6096l,xe" fillcolor="#ed7d31" stroked="f" strokeweight="0">
                  <v:path arrowok="t" textboxrect="0,0,140462,617982"/>
                </v:shape>
                <v:shape id="Shape 41640" o:spid="_x0000_s1679" style="position:absolute;left:36696;top:11940;width:1405;height:6180;visibility:visible;mso-wrap-style:square;v-text-anchor:top" coordsize="140462,617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zku8YA&#10;AADeAAAADwAAAGRycy9kb3ducmV2LnhtbESPQWrDMBBF94HeQUygm1DLLsG0TpRQAoFCu2mSAwzW&#10;1DaxRrYlJ3ZP31kUuhz+/Pd52/3kWnWjITSeDWRJCoq49LbhysDlfHx6ARUissXWMxmYKcB+97DY&#10;YmH9nb/odoqVEgiHAg3UMXaF1qGsyWFIfEcs2bcfHEY5h0rbAe8Cd61+TtNcO2xYFmrs6FBTeT2N&#10;TiiZ4/H143Nlf3pv83nur6PvjXlcTm8bUJGm+P/81363BtZZvhYB0REV0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zku8YAAADeAAAADwAAAAAAAAAAAAAAAACYAgAAZHJz&#10;L2Rvd25yZXYueG1sUEsFBgAAAAAEAAQA9QAAAIsDAAAAAA==&#10;" path="m140462,611886v-9779,2286,-19685,4318,-29591,6096l,,140462,611886xe" filled="f" strokecolor="white" strokeweight="1.56pt">
                  <v:path arrowok="t" textboxrect="0,0,140462,617982"/>
                </v:shape>
                <v:shape id="Shape 41641" o:spid="_x0000_s1680" style="position:absolute;left:36696;top:11940;width:1109;height:6218;visibility:visible;mso-wrap-style:square;v-text-anchor:top" coordsize="110871,621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qSycYA&#10;AADeAAAADwAAAGRycy9kb3ducmV2LnhtbESPQWvCQBSE70L/w/IKvekmEoJE1xAKlVYsqK33R/Y1&#10;Cc2+DdltEv313ULB4zAz3zCbfDKtGKh3jWUF8SICQVxa3XCl4PPjZb4C4TyyxtYyKbiSg3z7MNtg&#10;pu3IJxrOvhIBwi5DBbX3XSalK2sy6Ba2Iw7el+0N+iD7SuoexwA3rVxGUSoNNhwWauzouaby+/xj&#10;FIxtujsc34v97RI7Kt6awTsclHp6nIo1CE+Tv4f/269aQRKnSQx/d8IV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qSycYAAADeAAAADwAAAAAAAAAAAAAAAACYAgAAZHJz&#10;L2Rvd25yZXYueG1sUEsFBgAAAAAEAAQA9QAAAIsDAAAAAA==&#10;" path="m,l110871,617982v-8128,1397,-16256,2667,-24511,3810l,xe" fillcolor="#a5a5a5" stroked="f" strokeweight="0">
                  <v:path arrowok="t" textboxrect="0,0,110871,621792"/>
                </v:shape>
                <v:shape id="Shape 41642" o:spid="_x0000_s1681" style="position:absolute;left:36696;top:11940;width:1109;height:6218;visibility:visible;mso-wrap-style:square;v-text-anchor:top" coordsize="110871,621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bt4cgA&#10;AADeAAAADwAAAGRycy9kb3ducmV2LnhtbESPW2vCQBSE3wX/w3IKvunGC0FSVymWQh6KxQuVvh2y&#10;xyQ0ezbsrpr6692C4OMwM98wi1VnGnEh52vLCsajBARxYXXNpYLD/mM4B+EDssbGMin4Iw+rZb+3&#10;wEzbK2/psguliBD2GSqoQmgzKX1RkUE/si1x9E7WGQxRulJqh9cIN42cJEkqDdYcFypsaV1R8bs7&#10;GwU/X5tNvj+9u+/cp1OeHv0tP34qNXjp3l5BBOrCM/xo51rBbJzOJvB/J14Bub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Fu3hyAAAAN4AAAAPAAAAAAAAAAAAAAAAAJgCAABk&#10;cnMvZG93bnJldi54bWxQSwUGAAAAAAQABAD1AAAAjQMAAAAA&#10;" path="m110871,617982v-8128,1397,-16256,2667,-24511,3810l,,110871,617982xe" filled="f" strokecolor="white" strokeweight="1.56pt">
                  <v:path arrowok="t" textboxrect="0,0,110871,621792"/>
                </v:shape>
                <v:shape id="Shape 41643" o:spid="_x0000_s1682" style="position:absolute;left:36696;top:11940;width:864;height:6218;visibility:visible;mso-wrap-style:square;v-text-anchor:top" coordsize="86360,621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vVHcQA&#10;AADeAAAADwAAAGRycy9kb3ducmV2LnhtbESPW4vCMBSE3xf2P4Sz4JumXtHaKLuK4qO3H3BsTi9s&#10;c1KarK3/3gjCPg4z8w2TrDtTiTs1rrSsYDiIQBCnVpecK7hedv05COeRNVaWScGDHKxXnx8Jxtq2&#10;fKL72eciQNjFqKDwvo6ldGlBBt3A1sTBy2xj0AfZ5FI32Aa4qeQoimbSYMlhocCaNgWlv+c/o4AW&#10;o/1PfbxNs0PebTeXh6YWtVK9r+57CcJT5//D7/ZBK5gMZ5MxvO6EKy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r1R3EAAAA3gAAAA8AAAAAAAAAAAAAAAAAmAIAAGRycy9k&#10;b3ducmV2LnhtbFBLBQYAAAAABAAEAPUAAACJAwAAAAA=&#10;" path="m86360,621792l,,86360,621792xe" filled="f" strokecolor="white" strokeweight="1.56pt">
                  <v:path arrowok="t" textboxrect="0,0,86360,621792"/>
                </v:shape>
                <v:shape id="Shape 41644" o:spid="_x0000_s1683" style="position:absolute;left:30399;top:11233;width:7161;height:7402;visibility:visible;mso-wrap-style:square;v-text-anchor:top" coordsize="716026,740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YArcYA&#10;AADeAAAADwAAAGRycy9kb3ducmV2LnhtbESPQWvCQBSE74L/YXlCb7qxDSLRVUSQ6qGFqvH8yD6T&#10;YPZtzK4x+ffdQsHjMDPfMMt1ZyrRUuNKywqmkwgEcWZ1ybmC82k3noNwHlljZZkU9ORgvRoOlpho&#10;++Qfao8+FwHCLkEFhfd1IqXLCjLoJrYmDt7VNgZ9kE0udYPPADeVfI+imTRYclgosKZtQdnt+DAK&#10;rl/fn117Lz9S3F5036e7+nBIlXobdZsFCE+df4X/23utIJ7O4hj+7oQr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4YArcYAAADeAAAADwAAAAAAAAAAAAAAAACYAgAAZHJz&#10;L2Rvd25yZXYueG1sUEsFBgAAAAAEAAQA9QAAAIsDAAAAAA==&#10;" path="m5842,l629666,70739r86360,621792c372618,740283,55499,500507,7874,157099,635,105029,,52197,5842,xe" fillcolor="#4472c4" stroked="f" strokeweight="0">
                  <v:path arrowok="t" textboxrect="0,0,716026,740283"/>
                </v:shape>
                <v:shape id="Shape 41645" o:spid="_x0000_s1684" style="position:absolute;left:30399;top:11233;width:7161;height:7402;visibility:visible;mso-wrap-style:square;v-text-anchor:top" coordsize="716026,740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SMtsMA&#10;AADeAAAADwAAAGRycy9kb3ducmV2LnhtbESPQYvCMBSE78L+h/AWvNnUUt2lGkUEpSfBuuz50Tzb&#10;ss1Lt4la/70RBI/DzHzDLNeDacWVetdYVjCNYhDEpdUNVwp+TrvJNwjnkTW2lknBnRysVx+jJWba&#10;3vhI18JXIkDYZaig9r7LpHRlTQZdZDvi4J1tb9AH2VdS93gLcNPKJI7n0mDDYaHGjrY1lX/FxSj4&#10;d/khNWTvMimYft1Xkm+rvVLjz2GzAOFp8O/wq51rBel0ns7geSdc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SMtsMAAADeAAAADwAAAAAAAAAAAAAAAACYAgAAZHJzL2Rv&#10;d25yZXYueG1sUEsFBgAAAAAEAAQA9QAAAIgDAAAAAA==&#10;" path="m716026,692531c372618,740283,55499,500507,7874,157099,635,105029,,52197,5842,l629666,70739r86360,621792xe" filled="f" strokecolor="white" strokeweight="1.56pt">
                  <v:path arrowok="t" textboxrect="0,0,716026,740283"/>
                </v:shape>
                <v:shape id="Shape 41646" o:spid="_x0000_s1685" style="position:absolute;left:30458;top:8182;width:6238;height:3758;visibility:visible;mso-wrap-style:square;v-text-anchor:top" coordsize="623824,375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AUqsUA&#10;AADeAAAADwAAAGRycy9kb3ducmV2LnhtbESPW2sCMRSE3wv+h3CEvmlWka1sjSKCxRfBG/b1dHP2&#10;Ujcn2yTV9d+bgtDHYWa+YWaLzjTiSs7XlhWMhgkI4tzqmksFp+N6MAXhA7LGxjIpuJOHxbz3MsNM&#10;2xvv6XoIpYgQ9hkqqEJoMyl9XpFBP7QtcfQK6wyGKF0ptcNbhJtGjpMklQZrjgsVtrSqKL8cfo2C&#10;YvfzsWFZs/3engu37T7fvpas1Gu/W76DCNSF//CzvdEKJqN0ksLfnXgF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IBSqxQAAAN4AAAAPAAAAAAAAAAAAAAAAAJgCAABkcnMv&#10;ZG93bnJldi54bWxQSwUGAAAAAAQABAD1AAAAigMAAAAA&#10;" path="m120904,l623824,375793,,305054c12573,194437,54356,89154,120904,xe" fillcolor="#70ad47" stroked="f" strokeweight="0">
                  <v:path arrowok="t" textboxrect="0,0,623824,375793"/>
                </v:shape>
                <v:shape id="Shape 41647" o:spid="_x0000_s1686" style="position:absolute;left:30458;top:8182;width:6238;height:3758;visibility:visible;mso-wrap-style:square;v-text-anchor:top" coordsize="623824,3757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D1bcgA&#10;AADeAAAADwAAAGRycy9kb3ducmV2LnhtbESPQWvCQBSE74X+h+UVvJRmow1WYlYRpeLBQ7UePD6z&#10;r0lo9m3IbpP037uC4HGYmW+YbDmYWnTUusqygnEUgyDOra64UHD6/nybgXAeWWNtmRT8k4Pl4vkp&#10;w1Tbng/UHX0hAoRdigpK75tUSpeXZNBFtiEO3o9tDfog20LqFvsAN7WcxPFUGqw4LJTY0Lqk/Pf4&#10;ZxRsbPf+9bo7Jxt/6eviMNt2e7tVavQyrOYgPA3+Eb63d1pBMp4mH3C7E66AX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cPVtyAAAAN4AAAAPAAAAAAAAAAAAAAAAAJgCAABk&#10;cnMvZG93bnJldi54bWxQSwUGAAAAAAQABAD1AAAAjQMAAAAA&#10;" path="m,305054c12573,194437,54356,89154,120904,l623824,375793,,305054xe" filled="f" strokecolor="white" strokeweight="1.56pt">
                  <v:path arrowok="t" textboxrect="0,0,623824,375793"/>
                </v:shape>
                <v:shape id="Shape 41648" o:spid="_x0000_s1687" style="position:absolute;left:31667;top:5669;width:5029;height:6271;visibility:visible;mso-wrap-style:square;v-text-anchor:top" coordsize="502920,627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GMt8IA&#10;AADeAAAADwAAAGRycy9kb3ducmV2LnhtbERPTYvCMBC9C/6HMMLeNFWqlGoUEZQ9arcXb0Mztt1t&#10;JiWJtvvvNwdhj4/3vTuMphMvcr61rGC5SEAQV1a3XCsov87zDIQPyBo7y6Tglzwc9tPJDnNtB77R&#10;qwi1iCHsc1TQhNDnUvqqIYN+YXviyD2sMxgidLXUDocYbjq5SpKNNNhybGiwp1ND1U/xNArGvl2X&#10;7pmlV1N8Z+vhernX5Uqpj9l43IIINIZ/8dv9qRWky00a98Y78Qr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Yy3wgAAAN4AAAAPAAAAAAAAAAAAAAAAAJgCAABkcnMvZG93&#10;bnJldi54bWxQSwUGAAAAAAQABAD1AAAAhwMAAAAA&#10;" path="m473075,r29845,627126l,251333c112268,101092,285750,9017,473075,xe" fillcolor="#255e91" stroked="f" strokeweight="0">
                  <v:path arrowok="t" textboxrect="0,0,502920,627126"/>
                </v:shape>
                <v:shape id="Shape 41649" o:spid="_x0000_s1688" style="position:absolute;left:31667;top:5669;width:5029;height:6271;visibility:visible;mso-wrap-style:square;v-text-anchor:top" coordsize="502920,627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haJ8kA&#10;AADeAAAADwAAAGRycy9kb3ducmV2LnhtbESPQUvDQBSE7wX/w/IEb3aTEoqm3QQRxVJswWgL3p7Z&#10;ZxLMvg3Zbbv9964g9DjMzDfMsgymF0caXWdZQTpNQBDXVnfcKPh4f769A+E8ssbeMik4k4OyuJos&#10;Mdf2xG90rHwjIoRdjgpa74dcSle3ZNBN7UAcvW87GvRRjo3UI54i3PRyliRzabDjuNDiQI8t1T/V&#10;wSjYrV6e1p+bdDv7Om8CZtn+NVR7pW6uw8MChKfgL+H/9koryNJ5dg9/d+IVk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KhaJ8kAAADeAAAADwAAAAAAAAAAAAAAAACYAgAA&#10;ZHJzL2Rvd25yZXYueG1sUEsFBgAAAAAEAAQA9QAAAI4DAAAAAA==&#10;" path="m,251333c112268,101092,285750,9017,473075,r29845,627126l,251333xe" filled="f" strokecolor="white" strokeweight="1.56pt">
                  <v:path arrowok="t" textboxrect="0,0,502920,627126"/>
                </v:shape>
                <v:shape id="Shape 41650" o:spid="_x0000_s1689" style="position:absolute;left:36397;top:5669;width:299;height:6271;visibility:visible;mso-wrap-style:square;v-text-anchor:top" coordsize="29845,627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ZySckA&#10;AADeAAAADwAAAGRycy9kb3ducmV2LnhtbESPzWoCMRSF90LfIVyhG6mZ0WrtaJQitUppoWoXXd5O&#10;rjNDJzdDEnX69mYhuDycP77ZojW1OJHzlWUFaT8BQZxbXXGh4Hu/epiA8AFZY22ZFPyTh8X8rjPD&#10;TNszb+m0C4WII+wzVFCG0GRS+rwkg75vG+LoHawzGKJ0hdQOz3Hc1HKQJGNpsOL4UGJDy5Lyv93R&#10;KPiRT29fvff0uDz8fgwng9f1s/scKnXfbV+mIAK14Ra+tjdawWM6HkWAiBNRQM4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TZySckAAADeAAAADwAAAAAAAAAAAAAAAACYAgAA&#10;ZHJzL2Rvd25yZXYueG1sUEsFBgAAAAAEAAQA9QAAAI4DAAAAAA==&#10;" path="m,l29845,627126,,xe" filled="f" strokecolor="white" strokeweight="1.56pt">
                  <v:path arrowok="t" textboxrect="0,0,29845,627126"/>
                </v:shape>
                <v:shape id="Shape 41651" o:spid="_x0000_s1690" style="position:absolute;left:36397;top:5664;width:299;height:6276;visibility:visible;mso-wrap-style:square;v-text-anchor:top" coordsize="29845,627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Gu8kA&#10;AADeAAAADwAAAGRycy9kb3ducmV2LnhtbESPQUsDMRSE70L/Q3gFL2KzK1pkbVpKl4p4kbaW2ttj&#10;83azdPMSNrFd/70RCh6HmfmGmS0G24kz9aF1rCCfZCCIK6dbbhR87tb3zyBCRNbYOSYFPxRgMR/d&#10;zLDQ7sIbOm9jIxKEQ4EKTIy+kDJUhiyGifPEyatdbzEm2TdS93hJcNvJhyybSostpwWDnlaGqtP2&#10;2yqoS398fy3NcbPzp+W+vPuovw61UrfjYfkCItIQ/8PX9ptW8JhPn3L4u5OugJ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ZfGu8kAAADeAAAADwAAAAAAAAAAAAAAAACYAgAA&#10;ZHJzL2Rvd25yZXYueG1sUEsFBgAAAAAEAAQA9QAAAI4DAAAAAA==&#10;" path="m17399,l29845,627634,,508c5715,254,11557,127,17399,xe" fillcolor="#636363" stroked="f" strokeweight="0">
                  <v:path arrowok="t" textboxrect="0,0,29845,627634"/>
                </v:shape>
                <v:shape id="Shape 41652" o:spid="_x0000_s1691" style="position:absolute;left:36397;top:5664;width:299;height:6276;visibility:visible;mso-wrap-style:square;v-text-anchor:top" coordsize="29845,627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6EQ8cA&#10;AADeAAAADwAAAGRycy9kb3ducmV2LnhtbESPS2sCMRSF9wX/Q7hCN6VmfFKmRhGh0EUZ0Lpxdzu5&#10;nZk6uRmSqNFfbwShy8N5fJz5MppWnMj5xrKC4SADQVxa3XClYPf98foGwgdkja1lUnAhD8tF72mO&#10;ubZn3tBpGyqRRtjnqKAOocul9GVNBv3AdsTJ+7XOYEjSVVI7PKdx08pRls2kwYYTocaO1jWVh+3R&#10;JO7fxHVfTYzFz346bi/XYlW8HJV67sfVO4hAMfyHH+1PrWAynE1HcL+Tro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hEPHAAAA3gAAAA8AAAAAAAAAAAAAAAAAmAIAAGRy&#10;cy9kb3ducmV2LnhtbFBLBQYAAAAABAAEAPUAAACMAwAAAAA=&#10;" path="m,508c5715,254,11557,127,17399,l29845,627634,,508xe" filled="f" strokecolor="white" strokeweight="1.56pt">
                  <v:path arrowok="t" textboxrect="0,0,29845,627634"/>
                </v:shape>
                <v:shape id="Shape 41653" o:spid="_x0000_s1692" style="position:absolute;left:36571;top:5662;width:125;height:6278;visibility:visible;mso-wrap-style:square;v-text-anchor:top" coordsize="12446,627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YE0MUA&#10;AADeAAAADwAAAGRycy9kb3ducmV2LnhtbESPQYvCMBSE7wv+h/AEb2uqrkW6RimCi+DJKqzHZ/Ns&#10;i81LabK2/nuzIHgcZuYbZrnuTS3u1LrKsoLJOAJBnFtdcaHgdNx+LkA4j6yxtkwKHuRgvRp8LDHR&#10;tuMD3TNfiABhl6CC0vsmkdLlJRl0Y9sQB+9qW4M+yLaQusUuwE0tp1EUS4MVh4USG9qUlN+yP6Ng&#10;bhfxMerO+JOeLpfffZqdD8VGqdGwT79BeOr9O/xq77SCr0k8n8H/nXAF5O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1gTQxQAAAN4AAAAPAAAAAAAAAAAAAAAAAJgCAABkcnMv&#10;ZG93bnJldi54bWxQSwUGAAAAAAQABAD1AAAAigMAAAAA&#10;" path="m12446,r,627761l,127c4064,,8255,,12446,xe" fillcolor="#997300" stroked="f" strokeweight="0">
                  <v:path arrowok="t" textboxrect="0,0,12446,627761"/>
                </v:shape>
                <v:shape id="Shape 41654" o:spid="_x0000_s1693" style="position:absolute;left:36571;top:5662;width:125;height:6278;visibility:visible;mso-wrap-style:square;v-text-anchor:top" coordsize="12446,627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QXasUA&#10;AADeAAAADwAAAGRycy9kb3ducmV2LnhtbESPT4vCMBTE7wt+h/AEb2va+gepRhFhYfeoFsHbo3m2&#10;xealNLGtfvrNwoLHYWZ+w2x2g6lFR62rLCuIpxEI4tzqigsF2fnrcwXCeWSNtWVS8CQHu+3oY4Op&#10;tj0fqTv5QgQIuxQVlN43qZQuL8mgm9qGOHg32xr0QbaF1C32AW5qmUTRUhqsOCyU2NChpPx+ehgF&#10;yaU/d7eZyV7Jjz4+4oKya0dKTcbDfg3C0+Df4f/2t1Ywj5eLOfzdCV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1BdqxQAAAN4AAAAPAAAAAAAAAAAAAAAAAJgCAABkcnMv&#10;ZG93bnJldi54bWxQSwUGAAAAAAQABAD1AAAAigMAAAAA&#10;" path="m,127c4064,,8255,,12446,r,627761l,127xe" filled="f" strokecolor="white" strokeweight="1.56pt">
                  <v:path arrowok="t" textboxrect="0,0,12446,627761"/>
                </v:shape>
                <v:shape id="Shape 41655" o:spid="_x0000_s1694" style="position:absolute;left:36696;top:5662;width:0;height:6278;visibility:visible;mso-wrap-style:square;v-text-anchor:top" coordsize="0,6277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usPcgA&#10;AADeAAAADwAAAGRycy9kb3ducmV2LnhtbESPQWvCQBSE74L/YXmCt7pJUdHoKlIqLb1Uo+j1kX0m&#10;wezbNLs1aX99Vyh4HGbmG2a57kwlbtS40rKCeBSBIM6sLjlXcDxsn2YgnEfWWFkmBT/kYL3q95aY&#10;aNvynm6pz0WAsEtQQeF9nUjpsoIMupGtiYN3sY1BH2STS91gG+Cmks9RNJUGSw4LBdb0UlB2Tb+N&#10;glO768676lrHn+n44/D1+jY//bJSw0G3WYDw1PlH+L/9rhWM4+lkAvc74Qr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q6w9yAAAAN4AAAAPAAAAAAAAAAAAAAAAAJgCAABk&#10;cnMvZG93bnJldi54bWxQSwUGAAAAAAQABAD1AAAAjQMAAAAA&#10;" path="m,l,627761,,xe" filled="f" strokecolor="white" strokeweight="1.56pt">
                  <v:path arrowok="t" textboxrect="0,0,0,627761"/>
                </v:shape>
                <v:shape id="Shape 41656" o:spid="_x0000_s1695" style="position:absolute;left:38106;top:17832;width:2118;height:228;visibility:visible;mso-wrap-style:square;v-text-anchor:top" coordsize="211836,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GJvsIA&#10;AADeAAAADwAAAGRycy9kb3ducmV2LnhtbESPQYvCMBSE74L/ITzBm6ZdtEg1ioiCFw+6Hjw+mmdT&#10;bF5KE2333xtB2OMwM98wq01va/Gi1leOFaTTBARx4XTFpYLr72GyAOEDssbaMSn4Iw+b9XCwwly7&#10;js/0uoRSRAj7HBWYEJpcSl8YsuinriGO3t21FkOUbSl1i12E21r+JEkmLVYcFww2tDNUPC5Pq+B0&#10;4i6Y583yvkn3hcaDXpS1UuNRv12CCNSH//C3fdQKZmk2z+BzJ14BuX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Ym+wgAAAN4AAAAPAAAAAAAAAAAAAAAAAJgCAABkcnMvZG93&#10;bnJldi54bWxQSwUGAAAAAAQABAD1AAAAhwMAAAAA&#10;" path="m,22860l155448,r56388,e" filled="f" strokecolor="#a6a6a6" strokeweight=".72pt">
                  <v:path arrowok="t" textboxrect="0,0,211836,22860"/>
                </v:shape>
                <v:shape id="Shape 41657" o:spid="_x0000_s1696" style="position:absolute;left:37679;top:18136;width:1478;height:2957;visibility:visible;mso-wrap-style:square;v-text-anchor:top" coordsize="147828,2956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5CscA&#10;AADeAAAADwAAAGRycy9kb3ducmV2LnhtbESPzWvCQBTE7wX/h+UVvOkm4kdJXUX8oNKTWj309sg+&#10;k9Ds27C7jfG/dwtCj8PM/IaZLztTi5acrywrSIcJCOLc6ooLBeev3eANhA/IGmvLpOBOHpaL3ssc&#10;M21vfKT2FAoRIewzVFCG0GRS+rwkg35oG+LoXa0zGKJ0hdQObxFuajlKkqk0WHFcKLGhdUn5z+nX&#10;KPhOx/a6re+bZte2k4PLP0eXD1Sq/9qt3kEE6sJ/+NneawXjdDqZwd+deAXk4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4OQrHAAAA3gAAAA8AAAAAAAAAAAAAAAAAmAIAAGRy&#10;cy9kb3ducmV2LnhtbFBLBQYAAAAABAAEAPUAAACMAwAAAAA=&#10;" path="m,l91440,295656r56388,e" filled="f" strokecolor="#a6a6a6" strokeweight=".72pt">
                  <v:path arrowok="t" textboxrect="0,0,147828,295656"/>
                </v:shape>
                <v:shape id="Shape 41658" o:spid="_x0000_s1697" style="position:absolute;left:36917;top:18152;width:640;height:2225;visibility:visible;mso-wrap-style:square;v-text-anchor:top" coordsize="64008,2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R2k8MA&#10;AADeAAAADwAAAGRycy9kb3ducmV2LnhtbERPz2vCMBS+D/wfwhO8zVRxMqpRRJy6ww468fxonm2x&#10;eSlNlkb/+uUw2PHj+71cR9OIQJ2rLSuYjDMQxIXVNZcKLt8fr+8gnEfW2FgmBQ9ysF4NXpaYa9vz&#10;icLZlyKFsMtRQeV9m0vpiooMurFtiRN3s51Bn2BXSt1hn8JNI6dZNpcGa04NFba0rai4n3+MgiLy&#10;8bn7PB1C3X5Nr7N96PcxKDUaxs0ChKfo/8V/7qNWMJvM39LedCdd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8R2k8MAAADeAAAADwAAAAAAAAAAAAAAAACYAgAAZHJzL2Rv&#10;d25yZXYueG1sUEsFBgAAAAAEAAQA9QAAAIgDAAAAAA==&#10;" path="m64008,l56388,222504,,222504e" filled="f" strokecolor="#a6a6a6" strokeweight=".72pt">
                  <v:path arrowok="t" textboxrect="0,0,64008,222504"/>
                </v:shape>
                <v:shape id="Shape 41659" o:spid="_x0000_s1698" style="position:absolute;left:32314;top:16429;width:16;height:2058;visibility:visible;mso-wrap-style:square;v-text-anchor:top" coordsize="1524,205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jgY8kA&#10;AADeAAAADwAAAGRycy9kb3ducmV2LnhtbESPT2vCQBTE7wW/w/KE3pqNUtM0dRURhEIP/mmF9vbI&#10;PpOQ7NuQXWP003cLQo/DzPyGmS8H04ieOldZVjCJYhDEudUVFwq+PjdPKQjnkTU2lknBlRwsF6OH&#10;OWbaXnhP/cEXIkDYZaig9L7NpHR5SQZdZFvi4J1sZ9AH2RVSd3gJcNPIaRwn0mDFYaHEltYl5fXh&#10;bBS8JJt2K2+3Y/9xPqbbehd//6S1Uo/jYfUGwtPg/8P39rtW8DxJZq/wdydcAbn4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BjgY8kAAADeAAAADwAAAAAAAAAAAAAAAACYAgAA&#10;ZHJzL2Rvd25yZXYueG1sUEsFBgAAAAAEAAQA9QAAAI4DAAAAAA==&#10;" path="m,l1524,205740e" filled="f" strokecolor="#a6a6a6" strokeweight=".72pt">
                  <v:path arrowok="t" textboxrect="0,0,1524,205740"/>
                </v:shape>
                <v:shape id="Shape 41660" o:spid="_x0000_s1699" style="position:absolute;left:30867;top:7453;width:0;height:2179;visibility:visible;mso-wrap-style:square;v-text-anchor:top" coordsize="0,217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GZIcIA&#10;AADeAAAADwAAAGRycy9kb3ducmV2LnhtbESPTU7DMBCF90jcwZpK7KgThKIS6lYVEtAtbQ8wiadx&#10;IB5btmnD7ZkFEsun96dvvZ39pC6U8hjYQL2sQBH3wY48GDgdX+9XoHJBtjgFJgM/lGG7ub1ZY2vD&#10;lT/ociiDkhHOLRpwpcRW69w78piXIRKLdw7JYxGZBm0TXmXcT/qhqhrtcWR5cBjpxVH/dfj2cvLW&#10;vLvP7pT2cYqlxqeuO4/JmLvFvHsGVWgu/+G/9t4aeKybRgAER1BAb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QZkhwgAAAN4AAAAPAAAAAAAAAAAAAAAAAJgCAABkcnMvZG93&#10;bnJldi54bWxQSwUGAAAAAAQABAD1AAAAhwMAAAAA&#10;" path="m,217932l,e" filled="f" strokecolor="#a6a6a6" strokeweight=".72pt">
                  <v:path arrowok="t" textboxrect="0,0,0,217932"/>
                </v:shape>
                <v:shape id="Shape 41661" o:spid="_x0000_s1700" style="position:absolute;left:33290;top:4649;width:457;height:1753;visibility:visible;mso-wrap-style:square;v-text-anchor:top" coordsize="45720,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yNiMQA&#10;AADeAAAADwAAAGRycy9kb3ducmV2LnhtbESPQWvCQBSE74L/YXmF3nSTUoJEVymBgNRTUg8eH9ln&#10;Nph9G7JrjP/eLRR6HGbmG2Z3mG0vJhp951hBuk5AEDdOd9wqOP+Uqw0IH5A19o5JwZM8HPbLxQ5z&#10;7R5c0VSHVkQI+xwVmBCGXErfGLLo124gjt7VjRZDlGMr9YiPCLe9/EiSTFrsOC4YHKgw1Nzqu1VQ&#10;Xfr6+1S5sg3lsTAOu2Kqn0q9v81fWxCB5vAf/msftYLPNMtS+L0Tr4D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cjYjEAAAA3gAAAA8AAAAAAAAAAAAAAAAAmAIAAGRycy9k&#10;b3ducmV2LnhtbFBLBQYAAAAABAAEAPUAAACJAwAAAAA=&#10;" path="m45720,175260l,e" filled="f" strokecolor="#a6a6a6" strokeweight=".72pt">
                  <v:path arrowok="t" textboxrect="0,0,45720,175260"/>
                </v:shape>
                <v:shape id="Shape 41662" o:spid="_x0000_s1701" style="position:absolute;left:36399;top:4771;width:3734;height:899;visibility:visible;mso-wrap-style:square;v-text-anchor:top" coordsize="373380,899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645cgA&#10;AADeAAAADwAAAGRycy9kb3ducmV2LnhtbESPQWsCMRSE74X+h/AEbzW7S1nKahSRSqvQg7ZUvD2S&#10;52Zx87JsUl3765tCocdhZr5hZovBteJCfWg8K8gnGQhi7U3DtYKP9/XDE4gQkQ22nknBjQIs5vd3&#10;M6yMv/KOLvtYiwThUKECG2NXSRm0JYdh4jvi5J187zAm2dfS9HhNcNfKIstK6bDhtGCxo5Ulfd5/&#10;OQXPh/XLZvfWbodve14ei09NOWqlxqNhOQURaYj/4b/2q1HwmJdlAb930hWQ8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PrjlyAAAAN4AAAAPAAAAAAAAAAAAAAAAAJgCAABk&#10;cnMvZG93bnJldi54bWxQSwUGAAAAAAQABAD1AAAAjQMAAAAA&#10;" path="m,89916l315468,r57912,e" filled="f" strokecolor="#a6a6a6" strokeweight=".72pt">
                  <v:path arrowok="t" textboxrect="0,0,373380,89916"/>
                </v:shape>
                <v:shape id="Shape 41663" o:spid="_x0000_s1702" style="position:absolute;left:36063;top:3811;width:427;height:1859;visibility:visible;mso-wrap-style:square;v-text-anchor:top" coordsize="42672,1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3obccA&#10;AADeAAAADwAAAGRycy9kb3ducmV2LnhtbESPQWvCQBSE7wX/w/KEXqRuTCWUNBsRQehFadVDj8/s&#10;azY0+zZk1yT++26h0OMwM98wxWayrRio941jBatlAoK4crrhWsHlvH96AeEDssbWMSm4k4dNOXso&#10;MNdu5A8aTqEWEcI+RwUmhC6X0leGLPql64ij9+V6iyHKvpa6xzHCbSvTJMmkxYbjgsGOdoaq79PN&#10;KhgX13A5pmuqr2aojgu0h8/3VKnH+bR9BRFoCv/hv/abVrBeZdkz/N6JV0CW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ad6G3HAAAA3gAAAA8AAAAAAAAAAAAAAAAAmAIAAGRy&#10;cy9kb3ducmV2LnhtbFBLBQYAAAAABAAEAPUAAACMAwAAAAA=&#10;" path="m42672,185928l,e" filled="f" strokecolor="#a6a6a6" strokeweight=".72pt">
                  <v:path arrowok="t" textboxrect="0,0,42672,185928"/>
                </v:shape>
                <v:shape id="Shape 41664" o:spid="_x0000_s1703" style="position:absolute;left:36627;top:4588;width:0;height:1067;visibility:visible;mso-wrap-style:square;v-text-anchor:top" coordsize="0,106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JhMcA&#10;AADeAAAADwAAAGRycy9kb3ducmV2LnhtbESPQWvCQBSE7wX/w/KEXopuIjZI6ioSEUoPBRMv3h7Z&#10;1yRt9m3YXWP677uFQo/DzHzDbPeT6cVIzneWFaTLBARxbXXHjYJLdVpsQPiArLG3TAq+ycN+N3vY&#10;Yq7tnc80lqEREcI+RwVtCEMupa9bMuiXdiCO3od1BkOUrpHa4T3CTS9XSZJJgx3HhRYHKlqqv8qb&#10;UdAf3w7vfrw+Z3wtQnX+fHJEpNTjfDq8gAg0hf/wX/tVK1inWbaG3zvxCsjd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NCYTHAAAA3gAAAA8AAAAAAAAAAAAAAAAAmAIAAGRy&#10;cy9kb3ducmV2LnhtbFBLBQYAAAAABAAEAPUAAACMAwAAAAA=&#10;" path="m,106680l,e" filled="f" strokecolor="#a6a6a6" strokeweight=".72pt">
                  <v:path arrowok="t" textboxrect="0,0,0,106680"/>
                </v:shape>
                <v:shape id="Shape 41665" o:spid="_x0000_s1704" style="position:absolute;left:36704;top:6554;width:3383;height:305;visibility:visible;mso-wrap-style:square;v-text-anchor:top" coordsize="338328,30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qjjscA&#10;AADeAAAADwAAAGRycy9kb3ducmV2LnhtbESPQWvCQBSE7wX/w/KE3urGqKFGVymCooKH2kKvz+wz&#10;CWbfptmtif76bkHocZiZb5j5sjOVuFLjSssKhoMIBHFmdcm5gs+P9csrCOeRNVaWScGNHCwXvac5&#10;ptq2/E7Xo89FgLBLUUHhfZ1K6bKCDLqBrYmDd7aNQR9kk0vdYBvgppJxFCXSYMlhocCaVgVll+OP&#10;UTA97eLp3XzJUfud7Q+OY7eebJR67ndvMxCeOv8ffrS3WsF4mCQT+LsTro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vao47HAAAA3gAAAA8AAAAAAAAAAAAAAAAAmAIAAGRy&#10;cy9kb3ducmV2LnhtbFBLBQYAAAAABAAEAPUAAACMAwAAAAA=&#10;" path="m,30480l281940,r56388,e" filled="f" strokecolor="#a6a6a6" strokeweight=".72pt">
                  <v:path arrowok="t" textboxrect="0,0,338328,30480"/>
                </v:shape>
                <v:rect id="Rectangle 759490" o:spid="_x0000_s1705" style="position:absolute;left:40712;top:11122;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0228cA&#10;AADfAAAADwAAAGRycy9kb3ducmV2LnhtbESPzWrCQBSF94LvMFyhO50otjVpRhFt0aWNhejukrlN&#10;gpk7ITM1aZ++syh0eTh/fOlmMI24U+dqywrmswgEcWF1zaWCj/PbdAXCeWSNjWVS8E0ONuvxKMVE&#10;257f6Z75UoQRdgkqqLxvEyldUZFBN7MtcfA+bWfQB9mVUnfYh3HTyEUUPUmDNYeHClvaVVTcsi+j&#10;4LBqt5ej/enL5vV6yE95vD/HXqmHybB9AeFp8P/hv/ZRK3h+jJdxIAg8gQX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NNtvHAAAA3wAAAA8AAAAAAAAAAAAAAAAAmAIAAGRy&#10;cy9kb3ducmV2LnhtbFBLBQYAAAAABAAEAPUAAACMAwAAAAA=&#10;" filled="f" stroked="f">
                  <v:textbox inset="0,0,0,0">
                    <w:txbxContent>
                      <w:p w14:paraId="00855C7A" w14:textId="77777777" w:rsidR="0014164F" w:rsidRDefault="0014164F" w:rsidP="006D5692">
                        <w:r>
                          <w:rPr>
                            <w:rFonts w:ascii="Calibri" w:hAnsi="Calibri" w:cs="Calibri"/>
                            <w:color w:val="404040"/>
                            <w:sz w:val="18"/>
                          </w:rPr>
                          <w:t>%</w:t>
                        </w:r>
                      </w:p>
                    </w:txbxContent>
                  </v:textbox>
                </v:rect>
                <v:rect id="Rectangle 759487" o:spid="_x0000_s1706" style="position:absolute;left:38106;top:11122;width:346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4csgA&#10;AADfAAAADwAAAGRycy9kb3ducmV2LnhtbESPQWvCQBSE74L/YXlCb7qxWE1SV5HaokerBfX2yL4m&#10;wezbkN2atL/eLQgeh5n5hpkvO1OJKzWutKxgPIpAEGdWl5wr+Dp8DGMQziNrrCyTgl9ysFz0e3NM&#10;tW35k657n4sAYZeigsL7OpXSZQUZdCNbEwfv2zYGfZBNLnWDbYCbSj5H0VQaLDksFFjTW0HZZf9j&#10;FGzienXa2r82r97Pm+PumKwPiVfqadCtXkF46vwjfG9vtYLZSzKJZ/D/J3wBubg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ThyyAAAAN8AAAAPAAAAAAAAAAAAAAAAAJgCAABk&#10;cnMvZG93bnJldi54bWxQSwUGAAAAAAQABAD1AAAAjQMAAAAA&#10;" filled="f" stroked="f">
                  <v:textbox inset="0,0,0,0">
                    <w:txbxContent>
                      <w:p w14:paraId="0D533130" w14:textId="77777777" w:rsidR="0014164F" w:rsidRDefault="0014164F" w:rsidP="006D5692">
                        <w:r>
                          <w:rPr>
                            <w:rFonts w:ascii="Calibri" w:hAnsi="Calibri" w:cs="Calibri"/>
                            <w:color w:val="404040"/>
                            <w:sz w:val="18"/>
                          </w:rPr>
                          <w:t>46.41</w:t>
                        </w:r>
                      </w:p>
                    </w:txbxContent>
                  </v:textbox>
                </v:rect>
                <v:rect id="Rectangle 759505" o:spid="_x0000_s1707" style="position:absolute;left:42446;top:16977;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EPWcgA&#10;AADfAAAADwAAAGRycy9kb3ducmV2LnhtbESPQWvCQBSE7wX/w/KE3upGIa1JsxHRFj1aFbS3R/Y1&#10;Cc2+DdmtSf31rlDocZiZb5hsMZhGXKhztWUF00kEgriwuuZSwfHw/jQH4TyyxsYyKfglB4t89JBh&#10;qm3PH3TZ+1IECLsUFVTet6mUrqjIoJvYljh4X7Yz6IPsSqk77APcNHIWRc/SYM1hocKWVhUV3/sf&#10;o2Azb5fnrb32ZfP2uTntTsn6kHilHsfD8hWEp8H/h//aW63gJU7iKIb7n/AFZH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0Q9ZyAAAAN8AAAAPAAAAAAAAAAAAAAAAAJgCAABk&#10;cnMvZG93bnJldi54bWxQSwUGAAAAAAQABAD1AAAAjQMAAAAA&#10;" filled="f" stroked="f">
                  <v:textbox inset="0,0,0,0">
                    <w:txbxContent>
                      <w:p w14:paraId="54F588CC" w14:textId="77777777" w:rsidR="0014164F" w:rsidRDefault="0014164F" w:rsidP="006D5692">
                        <w:r>
                          <w:rPr>
                            <w:rFonts w:ascii="Calibri" w:hAnsi="Calibri" w:cs="Calibri"/>
                            <w:color w:val="404040"/>
                            <w:sz w:val="18"/>
                          </w:rPr>
                          <w:t>%</w:t>
                        </w:r>
                      </w:p>
                    </w:txbxContent>
                  </v:textbox>
                </v:rect>
                <v:rect id="Rectangle 759502" o:spid="_x0000_s1708" style="position:absolute;left:40420;top:16977;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iXLcgA&#10;AADfAAAADwAAAGRycy9kb3ducmV2LnhtbESPQWvCQBSE7wX/w/KE3upGwWpSVxGtJMeqBdvbI/ua&#10;BLNvQ3Y1qb/eLQg9DjPzDbNY9aYWV2pdZVnBeBSBIM6trrhQ8HncvcxBOI+ssbZMCn7JwWo5eFpg&#10;om3He7oefCEChF2CCkrvm0RKl5dk0I1sQxy8H9sa9EG2hdQtdgFuajmJoldpsOKwUGJDm5Ly8+Fi&#10;FKTzZv2V2VtX1O/f6enjFG+PsVfqediv30B46v1/+NHOtILZNJ5GE/j7E76AX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OJctyAAAAN8AAAAPAAAAAAAAAAAAAAAAAJgCAABk&#10;cnMvZG93bnJldi54bWxQSwUGAAAAAAQABAD1AAAAjQMAAAAA&#10;" filled="f" stroked="f">
                  <v:textbox inset="0,0,0,0">
                    <w:txbxContent>
                      <w:p w14:paraId="5E61FEF0" w14:textId="77777777" w:rsidR="0014164F" w:rsidRDefault="0014164F" w:rsidP="006D5692">
                        <w:r>
                          <w:rPr>
                            <w:rFonts w:ascii="Calibri" w:hAnsi="Calibri" w:cs="Calibri"/>
                            <w:color w:val="404040"/>
                            <w:sz w:val="18"/>
                          </w:rPr>
                          <w:t>0.76</w:t>
                        </w:r>
                      </w:p>
                    </w:txbxContent>
                  </v:textbox>
                </v:rect>
                <v:rect id="Rectangle 759533" o:spid="_x0000_s1709" style="position:absolute;left:41379;top:20236;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j4C8gA&#10;AADfAAAADwAAAGRycy9kb3ducmV2LnhtbESPQWvCQBSE7wX/w/IEb3WjYjWpq4i26LFqwfb2yD6T&#10;YPZtyK4m+utdodDjMDPfMLNFa0pxpdoVlhUM+hEI4tTqgjMF34fP1ykI55E1lpZJwY0cLOadlxkm&#10;2ja8o+veZyJA2CWoIPe+SqR0aU4GXd9WxME72dqgD7LOpK6xCXBTymEUvUmDBYeFHCta5ZSe9xej&#10;YDOtlj9be2+y8uN3c/w6xutD7JXqddvlOwhPrf8P/7W3WsFkHI9HI3j+CV9Azh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GPgLyAAAAN8AAAAPAAAAAAAAAAAAAAAAAJgCAABk&#10;cnMvZG93bnJldi54bWxQSwUGAAAAAAQABAD1AAAAjQMAAAAA&#10;" filled="f" stroked="f">
                  <v:textbox inset="0,0,0,0">
                    <w:txbxContent>
                      <w:p w14:paraId="340EEDA2" w14:textId="77777777" w:rsidR="0014164F" w:rsidRDefault="0014164F" w:rsidP="006D5692">
                        <w:r>
                          <w:rPr>
                            <w:rFonts w:ascii="Calibri" w:hAnsi="Calibri" w:cs="Calibri"/>
                            <w:color w:val="404040"/>
                            <w:sz w:val="18"/>
                          </w:rPr>
                          <w:t>%</w:t>
                        </w:r>
                      </w:p>
                    </w:txbxContent>
                  </v:textbox>
                </v:rect>
                <v:rect id="Rectangle 759530" o:spid="_x0000_s1710" style="position:absolute;left:39353;top:20236;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mfMgA&#10;AADfAAAADwAAAGRycy9kb3ducmV2LnhtbESPzWrCQBSF9wXfYbiCuzppxWpiRhFt0aXGQurukrlN&#10;QjN3QmZq0j59Z1FweTh/fOlmMI24UedqywqephEI4sLqmksF75e3xyUI55E1NpZJwQ852KxHDykm&#10;2vZ8plvmSxFG2CWooPK+TaR0RUUG3dS2xMH7tJ1BH2RXSt1hH8ZNI5+j6EUarDk8VNjSrqLiK/s2&#10;Cg7LdvtxtL992bxeD/kpj/eX2Cs1GQ/bFQhPg7+H/9tHrWAxj+ezQBB4AgvI9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ymZ8yAAAAN8AAAAPAAAAAAAAAAAAAAAAAJgCAABk&#10;cnMvZG93bnJldi54bWxQSwUGAAAAAAQABAD1AAAAjQMAAAAA&#10;" filled="f" stroked="f">
                  <v:textbox inset="0,0,0,0">
                    <w:txbxContent>
                      <w:p w14:paraId="30DE9AF1" w14:textId="77777777" w:rsidR="0014164F" w:rsidRDefault="0014164F" w:rsidP="006D5692">
                        <w:r>
                          <w:rPr>
                            <w:rFonts w:ascii="Calibri" w:hAnsi="Calibri" w:cs="Calibri"/>
                            <w:color w:val="404040"/>
                            <w:sz w:val="18"/>
                          </w:rPr>
                          <w:t>0.63</w:t>
                        </w:r>
                      </w:p>
                    </w:txbxContent>
                  </v:textbox>
                </v:rect>
                <v:rect id="Rectangle 759514" o:spid="_x0000_s1711" style="position:absolute;left:33884;top:19528;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8H8kA&#10;AADfAAAADwAAAGRycy9kb3ducmV2LnhtbESPQWvCQBSE70L/w/IKvenGotZEN0Fqix6tCurtkX1N&#10;QrNvQ3Zr0v76bkHwOMzMN8wy600trtS6yrKC8SgCQZxbXXGh4Hh4H85BOI+ssbZMCn7IQZY+DJaY&#10;aNvxB133vhABwi5BBaX3TSKly0sy6Ea2IQ7ep20N+iDbQuoWuwA3tXyOopk0WHFYKLGh15Lyr/23&#10;UbCZN6vz1v52Rf122Zx2p3h9iL1ST4/9agHCU+/v4Vt7qxW8TOPpeAL/f8IXkO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UQ8H8kAAADfAAAADwAAAAAAAAAAAAAAAACYAgAA&#10;ZHJzL2Rvd25yZXYueG1sUEsFBgAAAAAEAAQA9QAAAI4DAAAAAA==&#10;" filled="f" stroked="f">
                  <v:textbox inset="0,0,0,0">
                    <w:txbxContent>
                      <w:p w14:paraId="5AACCE28" w14:textId="77777777" w:rsidR="0014164F" w:rsidRDefault="0014164F" w:rsidP="006D5692">
                        <w:r>
                          <w:rPr>
                            <w:rFonts w:ascii="Calibri" w:hAnsi="Calibri" w:cs="Calibri"/>
                            <w:color w:val="404040"/>
                            <w:sz w:val="18"/>
                          </w:rPr>
                          <w:t>0.00</w:t>
                        </w:r>
                      </w:p>
                    </w:txbxContent>
                  </v:textbox>
                </v:rect>
                <v:rect id="Rectangle 759515" o:spid="_x0000_s1712" style="position:absolute;left:35911;top:19528;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ZhMkA&#10;AADfAAAADwAAAGRycy9kb3ducmV2LnhtbESPT2vCQBTE74LfYXmF3nRjIdXEbERsix7rH7C9PbLP&#10;JDT7NmS3Ju2n7xYEj8PM/IbJVoNpxJU6V1tWMJtGIIgLq2suFZyOb5MFCOeRNTaWScEPOVjl41GG&#10;qbY97+l68KUIEHYpKqi8b1MpXVGRQTe1LXHwLrYz6IPsSqk77APcNPIpip6lwZrDQoUtbSoqvg7f&#10;RsF20a4/dva3L5vXz+35/Zy8HBOv1OPDsF6C8DT4e/jW3mkF8ziJZzH8/wlfQOZ/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iZhMkAAADfAAAADwAAAAAAAAAAAAAAAACYAgAA&#10;ZHJzL2Rvd25yZXYueG1sUEsFBgAAAAAEAAQA9QAAAI4DAAAAAA==&#10;" filled="f" stroked="f">
                  <v:textbox inset="0,0,0,0">
                    <w:txbxContent>
                      <w:p w14:paraId="37EC1FF9" w14:textId="77777777" w:rsidR="0014164F" w:rsidRDefault="0014164F" w:rsidP="006D5692">
                        <w:r>
                          <w:rPr>
                            <w:rFonts w:ascii="Calibri" w:hAnsi="Calibri" w:cs="Calibri"/>
                            <w:color w:val="404040"/>
                            <w:sz w:val="18"/>
                          </w:rPr>
                          <w:t>%</w:t>
                        </w:r>
                      </w:p>
                    </w:txbxContent>
                  </v:textbox>
                </v:rect>
                <v:rect id="Rectangle 759512" o:spid="_x0000_s1713" style="position:absolute;left:31223;top:17632;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EB8MgA&#10;AADfAAAADwAAAGRycy9kb3ducmV2LnhtbESPT2vCQBTE70K/w/IK3nSjoCapq0ir6NE/BdvbI/ua&#10;hGbfhuxqYj99VxA8DjPzG2a+7EwlrtS40rKC0TACQZxZXXKu4PO0GcQgnEfWWFkmBTdysFy89OaY&#10;atvyga5Hn4sAYZeigsL7OpXSZQUZdENbEwfvxzYGfZBNLnWDbYCbSo6jaCoNlhwWCqzpvaDs93gx&#10;CrZxvfra2b82r9bf2/P+nHycEq9U/7VbvYHw1Pln+NHeaQWzSTIZjeH+J3wBufg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4QHwyAAAAN8AAAAPAAAAAAAAAAAAAAAAAJgCAABk&#10;cnMvZG93bnJldi54bWxQSwUGAAAAAAQABAD1AAAAjQMAAAAA&#10;" filled="f" stroked="f">
                  <v:textbox inset="0,0,0,0">
                    <w:txbxContent>
                      <w:p w14:paraId="4A50943B" w14:textId="77777777" w:rsidR="0014164F" w:rsidRDefault="0014164F" w:rsidP="006D5692">
                        <w:r>
                          <w:rPr>
                            <w:rFonts w:ascii="Calibri" w:hAnsi="Calibri" w:cs="Calibri"/>
                            <w:color w:val="404040"/>
                            <w:sz w:val="18"/>
                          </w:rPr>
                          <w:t>%</w:t>
                        </w:r>
                      </w:p>
                    </w:txbxContent>
                  </v:textbox>
                </v:rect>
                <v:rect id="Rectangle 759508" o:spid="_x0000_s1714" style="position:absolute;left:28617;top:17632;width:346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Cgx8YA&#10;AADfAAAADwAAAGRycy9kb3ducmV2LnhtbERPy2rCQBTdF/yH4Qrd1YkFWxMdQ+iDZGm1oO4umWsS&#10;zNwJmalJ+/XOouDycN7rdDStuFLvGssK5rMIBHFpdcOVgu/959MShPPIGlvLpOCXHKSbycMaE20H&#10;/qLrzlcihLBLUEHtfZdI6cqaDLqZ7YgDd7a9QR9gX0nd4xDCTSufo+hFGmw4NNTY0VtN5WX3YxTk&#10;yy47FvZvqNqPU37YHuL3feyVepyO2QqEp9Hfxf/uQit4XcSLKAwOf8IX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Cgx8YAAADfAAAADwAAAAAAAAAAAAAAAACYAgAAZHJz&#10;L2Rvd25yZXYueG1sUEsFBgAAAAAEAAQA9QAAAIsDAAAAAA==&#10;" filled="f" stroked="f">
                  <v:textbox inset="0,0,0,0">
                    <w:txbxContent>
                      <w:p w14:paraId="6C5F54C1" w14:textId="77777777" w:rsidR="0014164F" w:rsidRDefault="0014164F" w:rsidP="006D5692">
                        <w:r>
                          <w:rPr>
                            <w:rFonts w:ascii="Calibri" w:hAnsi="Calibri" w:cs="Calibri"/>
                            <w:color w:val="404040"/>
                            <w:sz w:val="18"/>
                          </w:rPr>
                          <w:t>28.99</w:t>
                        </w:r>
                      </w:p>
                    </w:txbxContent>
                  </v:textbox>
                </v:rect>
                <v:rect id="Rectangle 759482" o:spid="_x0000_s1715" style="position:absolute;left:31219;top:6297;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qb6skA&#10;AADfAAAADwAAAGRycy9kb3ducmV2LnhtbESPT2vCQBTE7wW/w/IEb3Wj2DZJXUVaix79U1Bvj+xr&#10;Esy+DdnVpP30rlDwOMzMb5jpvDOVuFLjSssKRsMIBHFmdcm5gu/913MMwnlkjZVlUvBLDuaz3tMU&#10;U21b3tJ153MRIOxSVFB4X6dSuqwgg25oa+Lg/djGoA+yyaVusA1wU8lxFL1KgyWHhQJr+igoO+8u&#10;RsEqrhfHtf1r82p5Wh02h+Rzn3ilBv1u8Q7CU+cf4f/2Wit4e0km8Rjuf8IXkL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wqb6skAAADfAAAADwAAAAAAAAAAAAAAAACYAgAA&#10;ZHJzL2Rvd25yZXYueG1sUEsFBgAAAAAEAAQA9QAAAI4DAAAAAA==&#10;" filled="f" stroked="f">
                  <v:textbox inset="0,0,0,0">
                    <w:txbxContent>
                      <w:p w14:paraId="5563EEBE" w14:textId="77777777" w:rsidR="0014164F" w:rsidRDefault="0014164F" w:rsidP="006D5692">
                        <w:r>
                          <w:rPr>
                            <w:rFonts w:ascii="Calibri" w:hAnsi="Calibri" w:cs="Calibri"/>
                            <w:color w:val="404040"/>
                            <w:sz w:val="18"/>
                          </w:rPr>
                          <w:t>%</w:t>
                        </w:r>
                      </w:p>
                    </w:txbxContent>
                  </v:textbox>
                </v:rect>
                <v:rect id="Rectangle 759481" o:spid="_x0000_s1716" style="position:absolute;left:29193;top:6297;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gFncgA&#10;AADfAAAADwAAAGRycy9kb3ducmV2LnhtbESPQWvCQBSE7wX/w/IEb3VjsTZJXUW0RY9WC+rtkX1N&#10;QrNvQ3Zror/eFYQeh5n5hpnOO1OJMzWutKxgNIxAEGdWl5wr+N5/PscgnEfWWFkmBRdyMJ/1nqaY&#10;atvyF513PhcBwi5FBYX3dSqlywoy6Ia2Jg7ej20M+iCbXOoG2wA3lXyJook0WHJYKLCmZUHZ7+7P&#10;KFjH9eK4sdc2rz5O68P2kKz2iVdq0O8W7yA8df4//GhvtIK312Qcj+D+J3wBO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2AWdyAAAAN8AAAAPAAAAAAAAAAAAAAAAAJgCAABk&#10;cnMvZG93bnJldi54bWxQSwUGAAAAAAQABAD1AAAAjQMAAAAA&#10;" filled="f" stroked="f">
                  <v:textbox inset="0,0,0,0">
                    <w:txbxContent>
                      <w:p w14:paraId="0037F013" w14:textId="77777777" w:rsidR="0014164F" w:rsidRDefault="0014164F" w:rsidP="006D5692">
                        <w:r>
                          <w:rPr>
                            <w:rFonts w:ascii="Calibri" w:hAnsi="Calibri" w:cs="Calibri"/>
                            <w:color w:val="404040"/>
                            <w:sz w:val="18"/>
                          </w:rPr>
                          <w:t>8.42</w:t>
                        </w:r>
                      </w:p>
                    </w:txbxContent>
                  </v:textbox>
                </v:rect>
                <v:rect id="Rectangle 759464" o:spid="_x0000_s1717" style="position:absolute;left:29684;top:3785;width:346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NA/8gA&#10;AADfAAAADwAAAGRycy9kb3ducmV2LnhtbESPS4vCQBCE7wv+h6EFb+tE8ZWso8g+0OOqC+7emkyb&#10;BDM9ITOa6K93BGGPRVV9Rc2XrSnFhWpXWFYw6EcgiFOrC84U/Oy/XmcgnEfWWFomBVdysFx0XuaY&#10;aNvwli47n4kAYZeggtz7KpHSpTkZdH1bEQfvaGuDPsg6k7rGJsBNKYdRNJEGCw4LOVb0nlN62p2N&#10;gvWsWv1u7K3Jys+/9eH7EH/sY69Ur9uu3kB4av1/+NneaAXTcTyajODxJ3wBub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o0D/yAAAAN8AAAAPAAAAAAAAAAAAAAAAAJgCAABk&#10;cnMvZG93bnJldi54bWxQSwUGAAAAAAQABAD1AAAAjQMAAAAA&#10;" filled="f" stroked="f">
                  <v:textbox inset="0,0,0,0">
                    <w:txbxContent>
                      <w:p w14:paraId="4368CC28" w14:textId="77777777" w:rsidR="0014164F" w:rsidRDefault="0014164F" w:rsidP="006D5692">
                        <w:r>
                          <w:rPr>
                            <w:rFonts w:ascii="Calibri" w:hAnsi="Calibri" w:cs="Calibri"/>
                            <w:color w:val="404040"/>
                            <w:sz w:val="18"/>
                          </w:rPr>
                          <w:t>14.03</w:t>
                        </w:r>
                      </w:p>
                    </w:txbxContent>
                  </v:textbox>
                </v:rect>
                <v:rect id="Rectangle 759465" o:spid="_x0000_s1718" style="position:absolute;left:32290;top:3785;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lZMgA&#10;AADfAAAADwAAAGRycy9kb3ducmV2LnhtbESPW2vCQBSE3wv+h+UIvtVNxVuiq0hb0UdvoL4dsqdJ&#10;MHs2ZLcm9td3CwUfh5n5hpkvW1OKO9WusKzgrR+BIE6tLjhTcDquX6cgnEfWWFomBQ9ysFx0XuaY&#10;aNvwnu4Hn4kAYZeggtz7KpHSpTkZdH1bEQfvy9YGfZB1JnWNTYCbUg6iaCwNFhwWcqzoPaf0dvg2&#10;CjbTanXZ2p8mKz+vm/PuHH8cY69Ur9uuZiA8tf4Z/m9vtYLJKB6OR/D3J3w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7+VkyAAAAN8AAAAPAAAAAAAAAAAAAAAAAJgCAABk&#10;cnMvZG93bnJldi54bWxQSwUGAAAAAAQABAD1AAAAjQMAAAAA&#10;" filled="f" stroked="f">
                  <v:textbox inset="0,0,0,0">
                    <w:txbxContent>
                      <w:p w14:paraId="3EA25E45" w14:textId="77777777" w:rsidR="0014164F" w:rsidRDefault="0014164F" w:rsidP="006D5692">
                        <w:r>
                          <w:rPr>
                            <w:rFonts w:ascii="Calibri" w:hAnsi="Calibri" w:cs="Calibri"/>
                            <w:color w:val="404040"/>
                            <w:sz w:val="18"/>
                          </w:rPr>
                          <w:t>%</w:t>
                        </w:r>
                      </w:p>
                    </w:txbxContent>
                  </v:textbox>
                </v:rect>
                <v:rect id="Rectangle 759471" o:spid="_x0000_s1719" style="position:absolute;left:40318;top:3907;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11uskA&#10;AADfAAAADwAAAGRycy9kb3ducmV2LnhtbESPQWvCQBSE70L/w/IKvelGsdVEN0G0RY9WBfX2yL4m&#10;odm3Ibs1aX99tyD0OMzMN8wy600tbtS6yrKC8SgCQZxbXXGh4HR8G85BOI+ssbZMCr7JQZY+DJaY&#10;aNvxO90OvhABwi5BBaX3TSKly0sy6Ea2IQ7eh20N+iDbQuoWuwA3tZxE0Ys0WHFYKLGhdUn55+HL&#10;KNjOm9VlZ3+6on69bs/7c7w5xl6pp8d+tQDhqff/4Xt7pxXMnuPpbAx/f8IXkO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g11uskAAADfAAAADwAAAAAAAAAAAAAAAACYAgAA&#10;ZHJzL2Rvd25yZXYueG1sUEsFBgAAAAAEAAQA9QAAAI4DAAAAAA==&#10;" filled="f" stroked="f">
                  <v:textbox inset="0,0,0,0">
                    <w:txbxContent>
                      <w:p w14:paraId="0F6D78AF" w14:textId="77777777" w:rsidR="0014164F" w:rsidRDefault="0014164F" w:rsidP="006D5692">
                        <w:r>
                          <w:rPr>
                            <w:rFonts w:ascii="Calibri" w:hAnsi="Calibri" w:cs="Calibri"/>
                            <w:color w:val="404040"/>
                            <w:sz w:val="18"/>
                          </w:rPr>
                          <w:t>0.00</w:t>
                        </w:r>
                      </w:p>
                    </w:txbxContent>
                  </v:textbox>
                </v:rect>
                <v:rect id="Rectangle 759472" o:spid="_x0000_s1720" style="position:absolute;left:42344;top:3907;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rzckA&#10;AADfAAAADwAAAGRycy9kb3ducmV2LnhtbESPQWvCQBSE70L/w/IKvemmUhsTXUVaJR6tCurtkX1N&#10;QrNvQ3ZrYn99tyD0OMzMN8x82ZtaXKl1lWUFz6MIBHFudcWFguNhM5yCcB5ZY22ZFNzIwXLxMJhj&#10;qm3HH3Td+0IECLsUFZTeN6mULi/JoBvZhjh4n7Y16INsC6lb7ALc1HIcRa/SYMVhocSG3krKv/bf&#10;RkE2bVbnrf3pinp9yU67U/J+SLxST4/9agbCU+//w/f2ViuIJ8lLPIa/P+ELy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2t/rzckAAADfAAAADwAAAAAAAAAAAAAAAACYAgAA&#10;ZHJzL2Rvd25yZXYueG1sUEsFBgAAAAAEAAQA9QAAAI4DAAAAAA==&#10;" filled="f" stroked="f">
                  <v:textbox inset="0,0,0,0">
                    <w:txbxContent>
                      <w:p w14:paraId="38CBF44A" w14:textId="77777777" w:rsidR="0014164F" w:rsidRDefault="0014164F" w:rsidP="006D5692">
                        <w:r>
                          <w:rPr>
                            <w:rFonts w:ascii="Calibri" w:hAnsi="Calibri" w:cs="Calibri"/>
                            <w:color w:val="404040"/>
                            <w:sz w:val="18"/>
                          </w:rPr>
                          <w:t>%</w:t>
                        </w:r>
                      </w:p>
                    </w:txbxContent>
                  </v:textbox>
                </v:rect>
                <v:rect id="Rectangle 759468" o:spid="_x0000_s1721" style="position:absolute;left:35057;top:2954;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5K+sYA&#10;AADfAAAADwAAAGRycy9kb3ducmV2LnhtbERPTWvCQBC9C/0PyxR6001LtSZmFWkVPdpYSL0N2WkS&#10;mp0N2dWk/fXuQfD4eN/pajCNuFDnassKnicRCOLC6ppLBV/H7XgOwnlkjY1lUvBHDlbLh1GKibY9&#10;f9Il86UIIewSVFB53yZSuqIig25iW+LA/djOoA+wK6XusA/hppEvUTSTBmsODRW29F5R8ZudjYLd&#10;vF1/7+1/Xzab0y4/5PHHMfZKPT0O6wUIT4O/i2/uvVbwNo1fZ2Fw+BO+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5K+sYAAADfAAAADwAAAAAAAAAAAAAAAACYAgAAZHJz&#10;L2Rvd25yZXYueG1sUEsFBgAAAAAEAAQA9QAAAIsDAAAAAA==&#10;" filled="f" stroked="f">
                  <v:textbox inset="0,0,0,0">
                    <w:txbxContent>
                      <w:p w14:paraId="34D5F081" w14:textId="77777777" w:rsidR="0014164F" w:rsidRDefault="0014164F" w:rsidP="006D5692">
                        <w:r>
                          <w:rPr>
                            <w:rFonts w:ascii="Calibri" w:hAnsi="Calibri" w:cs="Calibri"/>
                            <w:color w:val="404040"/>
                            <w:sz w:val="18"/>
                          </w:rPr>
                          <w:t>%</w:t>
                        </w:r>
                      </w:p>
                    </w:txbxContent>
                  </v:textbox>
                </v:rect>
                <v:rect id="Rectangle 759466" o:spid="_x0000_s1722" style="position:absolute;left:33031;top:2954;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17E8gA&#10;AADfAAAADwAAAGRycy9kb3ducmV2LnhtbESPQWvCQBSE7wX/w/KE3urGYqOJriJV0aNVQb09ss8k&#10;mH0bsluT9td3C4Ueh5n5hpktOlOJBzWutKxgOIhAEGdWl5wrOB03LxMQziNrrCyTgi9ysJj3nmaY&#10;atvyBz0OPhcBwi5FBYX3dSqlywoy6Aa2Jg7ezTYGfZBNLnWDbYCbSr5GUSwNlhwWCqzpvaDsfvg0&#10;CraTennZ2e82r9bX7Xl/TlbHxCv13O+WUxCeOv8f/mvvtILxWzKKY/j9E76An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PXsTyAAAAN8AAAAPAAAAAAAAAAAAAAAAAJgCAABk&#10;cnMvZG93bnJldi54bWxQSwUGAAAAAAQABAD1AAAAjQMAAAAA&#10;" filled="f" stroked="f">
                  <v:textbox inset="0,0,0,0">
                    <w:txbxContent>
                      <w:p w14:paraId="3A5D367F" w14:textId="77777777" w:rsidR="0014164F" w:rsidRDefault="0014164F" w:rsidP="006D5692">
                        <w:r>
                          <w:rPr>
                            <w:rFonts w:ascii="Calibri" w:hAnsi="Calibri" w:cs="Calibri"/>
                            <w:color w:val="404040"/>
                            <w:sz w:val="18"/>
                          </w:rPr>
                          <w:t>0.44</w:t>
                        </w:r>
                      </w:p>
                    </w:txbxContent>
                  </v:textbox>
                </v:rect>
                <v:rect id="Rectangle 759469" o:spid="_x0000_s1723" style="position:absolute;left:36051;top:3429;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LvYcgA&#10;AADfAAAADwAAAGRycy9kb3ducmV2LnhtbESPT2vCQBTE74V+h+UJ3urG4r+kriJV0aNVQb09sq9J&#10;aPZtyK4m+um7QqHHYWZ+w0znrSnFjWpXWFbQ70UgiFOrC84UHA/rtwkI55E1lpZJwZ0czGevL1NM&#10;tG34i257n4kAYZeggtz7KpHSpTkZdD1bEQfv29YGfZB1JnWNTYCbUr5H0UgaLDgs5FjRZ07pz/5q&#10;FGwm1eK8tY8mK1eXzWl3ipeH2CvV7bSLDxCeWv8f/mtvtYLxMB6MYnj+CV9A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ou9hyAAAAN8AAAAPAAAAAAAAAAAAAAAAAJgCAABk&#10;cnMvZG93bnJldi54bWxQSwUGAAAAAAQABAD1AAAAjQMAAAAA&#10;" filled="f" stroked="f">
                  <v:textbox inset="0,0,0,0">
                    <w:txbxContent>
                      <w:p w14:paraId="1C5A8C9A" w14:textId="77777777" w:rsidR="0014164F" w:rsidRDefault="0014164F" w:rsidP="006D5692">
                        <w:r>
                          <w:rPr>
                            <w:rFonts w:ascii="Calibri" w:hAnsi="Calibri" w:cs="Calibri"/>
                            <w:color w:val="404040"/>
                            <w:sz w:val="18"/>
                          </w:rPr>
                          <w:t>0.32</w:t>
                        </w:r>
                      </w:p>
                    </w:txbxContent>
                  </v:textbox>
                </v:rect>
                <v:rect id="Rectangle 759470" o:spid="_x0000_s1724" style="position:absolute;left:38077;top:342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HQIccA&#10;AADfAAAADwAAAGRycy9kb3ducmV2LnhtbESPy2rCQBSG94LvMJxCdzqp1Gqio4hVdFkvoO4OmWMS&#10;zJwJmamJPr2zKHT589/4pvPWlOJOtSssK/joRyCIU6sLzhQcD+veGITzyBpLy6TgQQ7ms25niom2&#10;De/ovveZCCPsElSQe18lUro0J4Oubyvi4F1tbdAHWWdS19iEcVPKQRR9SYMFh4ccK1rmlN72v0bB&#10;Zlwtzlv7bLJyddmcfk7x9yH2Sr2/tYsJCE+t/w//tbdawWgYf44CQeAJLCBn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VB0CHHAAAA3wAAAA8AAAAAAAAAAAAAAAAAmAIAAGRy&#10;cy9kb3ducmV2LnhtbFBLBQYAAAAABAAEAPUAAACMAwAAAAA=&#10;" filled="f" stroked="f">
                  <v:textbox inset="0,0,0,0">
                    <w:txbxContent>
                      <w:p w14:paraId="59E8D793" w14:textId="77777777" w:rsidR="0014164F" w:rsidRDefault="0014164F" w:rsidP="006D5692">
                        <w:r>
                          <w:rPr>
                            <w:rFonts w:ascii="Calibri" w:hAnsi="Calibri" w:cs="Calibri"/>
                            <w:color w:val="404040"/>
                            <w:sz w:val="18"/>
                          </w:rPr>
                          <w:t>%</w:t>
                        </w:r>
                      </w:p>
                    </w:txbxContent>
                  </v:textbox>
                </v:rect>
                <v:rect id="Rectangle 759476" o:spid="_x0000_s1725" style="position:absolute;left:40282;top:5694;width:269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TtzsgA&#10;AADfAAAADwAAAGRycy9kb3ducmV2LnhtbESPW2vCQBSE3wv+h+UIvtVNxVuiq0hb0UdvoL4dsqdJ&#10;MHs2ZLcm7a/vFgQfh5n5hpkvW1OKO9WusKzgrR+BIE6tLjhTcDquX6cgnEfWWFomBT/kYLnovMwx&#10;0bbhPd0PPhMBwi5BBbn3VSKlS3My6Pq2Ig7el60N+iDrTOoamwA3pRxE0VgaLDgs5FjRe07p7fBt&#10;FGym1eqytb9NVn5eN+fdOf44xl6pXrddzUB4av0z/GhvtYLJKB5OxvD/J3wBufg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5O3OyAAAAN8AAAAPAAAAAAAAAAAAAAAAAJgCAABk&#10;cnMvZG93bnJldi54bWxQSwUGAAAAAAQABAD1AAAAjQMAAAAA&#10;" filled="f" stroked="f">
                  <v:textbox inset="0,0,0,0">
                    <w:txbxContent>
                      <w:p w14:paraId="0C771F68" w14:textId="77777777" w:rsidR="0014164F" w:rsidRDefault="0014164F" w:rsidP="006D5692">
                        <w:r>
                          <w:rPr>
                            <w:rFonts w:ascii="Calibri" w:hAnsi="Calibri" w:cs="Calibri"/>
                            <w:color w:val="404040"/>
                            <w:sz w:val="18"/>
                          </w:rPr>
                          <w:t>0.00</w:t>
                        </w:r>
                      </w:p>
                    </w:txbxContent>
                  </v:textbox>
                </v:rect>
                <v:rect id="Rectangle 759478" o:spid="_x0000_s1726" style="position:absolute;left:42309;top:5694;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cJ8UA&#10;AADfAAAADwAAAGRycy9kb3ducmV2LnhtbERPy2rCQBTdC/7DcAvd6aRSq4mOIlbRZX2Aurtkrkkw&#10;cydkpib69c6i0OXhvKfz1pTiTrUrLCv46EcgiFOrC84UHA/r3hiE88gaS8uk4EEO5rNuZ4qJtg3v&#10;6L73mQgh7BJUkHtfJVK6NCeDrm8r4sBdbW3QB1hnUtfYhHBTykEUfUmDBYeGHCta5pTe9r9GwWZc&#10;Lc5b+2yycnXZnH5O8fch9kq9v7WLCQhPrf8X/7m3WsFoGH+OwuDwJ3wBOX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N9wnxQAAAN8AAAAPAAAAAAAAAAAAAAAAAJgCAABkcnMv&#10;ZG93bnJldi54bWxQSwUGAAAAAAQABAD1AAAAigMAAAAA&#10;" filled="f" stroked="f">
                  <v:textbox inset="0,0,0,0">
                    <w:txbxContent>
                      <w:p w14:paraId="01CBE69A" w14:textId="77777777" w:rsidR="0014164F" w:rsidRDefault="0014164F" w:rsidP="006D5692">
                        <w:r>
                          <w:rPr>
                            <w:rFonts w:ascii="Calibri" w:hAnsi="Calibri" w:cs="Calibri"/>
                            <w:color w:val="404040"/>
                            <w:sz w:val="18"/>
                          </w:rPr>
                          <w:t>%</w:t>
                        </w:r>
                      </w:p>
                    </w:txbxContent>
                  </v:textbox>
                </v:rect>
                <v:shape id="Shape 922350" o:spid="_x0000_s1727" style="position:absolute;left:46465;top:5297;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xaLMcA&#10;AADfAAAADwAAAGRycy9kb3ducmV2LnhtbESPzWrCQBSF94W+w3AL7urElIYaHaUUikrpwqQu3F0y&#10;1ySYuRNmRhN9+s6i0OXh/PEt16PpxJWcby0rmE0TEMSV1S3XCn7Kz+c3ED4ga+wsk4IbeVivHh+W&#10;mGs78J6uRahFHGGfo4ImhD6X0lcNGfRT2xNH72SdwRClq6V2OMRx08k0STJpsOX40GBPHw1V5+Ji&#10;FBQ43DO32ySz8kJl9v21OR7urNTkaXxfgAg0hv/wX3urFczT9OU1EkSey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cWizHAAAA3wAAAA8AAAAAAAAAAAAAAAAAmAIAAGRy&#10;cy9kb3ducmV2LnhtbFBLBQYAAAAABAAEAPUAAACMAwAAAAA=&#10;" path="m,l51816,r,50292l,50292,,e" fillcolor="#5b9bd5" stroked="f" strokeweight="0">
                  <v:path arrowok="t" textboxrect="0,0,51816,50292"/>
                </v:shape>
                <v:shape id="Shape 41678" o:spid="_x0000_s1728" style="position:absolute;left:46465;top:5297;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pDOMUA&#10;AADeAAAADwAAAGRycy9kb3ducmV2LnhtbERPTUvDQBC9C/6HZYTe2k3FRkm7LVoQ2oOiUSi9Ddkx&#10;G83Ohuy0Tf317qHg8fG+F6vBt+pIfWwCG5hOMlDEVbAN1wY+P57HD6CiIFtsA5OBM0VYLa+vFljY&#10;cOJ3OpZSqxTCsUADTqQrtI6VI49xEjrixH2F3qMk2Nfa9nhK4b7Vt1mWa48NpwaHHa0dVT/lwRvY&#10;fcuvuHZd73dvJc1etvnrU8yNGd0Mj3NQQoP8iy/ujTVwN83v0950J10Bv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kM4xQAAAN4AAAAPAAAAAAAAAAAAAAAAAJgCAABkcnMv&#10;ZG93bnJldi54bWxQSwUGAAAAAAQABAD1AAAAigMAAAAA&#10;" path="m,50292r51816,l51816,,,,,50292xe" filled="f" strokecolor="white" strokeweight="1.56pt">
                  <v:path arrowok="t" textboxrect="0,0,51816,50292"/>
                </v:shape>
                <v:rect id="Rectangle 41679" o:spid="_x0000_s1729" style="position:absolute;left:47195;top:4947;width:472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gC9sgA&#10;AADeAAAADwAAAGRycy9kb3ducmV2LnhtbESPW2vCQBSE3wv9D8sp+FY3lqImZiPSC/ropaC+HbLH&#10;JDR7NmRXk/rrXUHo4zAz3zDpvDe1uFDrKssKRsMIBHFudcWFgp/d9+sUhPPIGmvLpOCPHMyz56cU&#10;E2073tBl6wsRIOwSVFB63yRSurwkg25oG+LgnWxr0AfZFlK32AW4qeVbFI2lwYrDQokNfZSU/27P&#10;RsFy2iwOK3vtivrruNyv9/HnLvZKDV76xQyEp97/hx/tlVbwPhpPYrjf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WAL2yAAAAN4AAAAPAAAAAAAAAAAAAAAAAJgCAABk&#10;cnMvZG93bnJldi54bWxQSwUGAAAAAAQABAD1AAAAjQMAAAAA&#10;" filled="f" stroked="f">
                  <v:textbox inset="0,0,0,0">
                    <w:txbxContent>
                      <w:p w14:paraId="54CAC80B" w14:textId="77777777" w:rsidR="0014164F" w:rsidRDefault="0014164F" w:rsidP="006D5692">
                        <w:r>
                          <w:rPr>
                            <w:rFonts w:ascii="Arial" w:eastAsia="Arial" w:hAnsi="Arial" w:cs="Arial"/>
                            <w:color w:val="595959"/>
                            <w:sz w:val="16"/>
                          </w:rPr>
                          <w:t>Plastika</w:t>
                        </w:r>
                      </w:p>
                    </w:txbxContent>
                  </v:textbox>
                </v:rect>
                <v:shape id="Shape 922351" o:spid="_x0000_s1730" style="position:absolute;left:46465;top:6607;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nghcYA&#10;AADfAAAADwAAAGRycy9kb3ducmV2LnhtbESPzU7DMBCE70i8g7VI3IjTRKAQ4lao5e9YWh5gFW+T&#10;lHgdZd008PQYCYnjaHa+2alWs+vVRKN0ng0skhQUce1tx42Bj/3zTQFKArLF3jMZ+CKB1fLyosLS&#10;+jO/07QLjYoQlhINtCEMpdZSt+RQEj8QR+/gR4chyrHRdsRzhLteZ2l6px12HBtaHGjdUv25O7n4&#10;Rr7/3j7JS7fOOd0cJ5GCX8WY66v58QFUoDn8H/+l36yB+yzLbxfwuydCQC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nghcYAAADfAAAADwAAAAAAAAAAAAAAAACYAgAAZHJz&#10;L2Rvd25yZXYueG1sUEsFBgAAAAAEAAQA9QAAAIsDAAAAAA==&#10;" path="m,l51816,r,51816l,51816,,e" fillcolor="#ed7d31" stroked="f" strokeweight="0">
                  <v:path arrowok="t" textboxrect="0,0,51816,51816"/>
                </v:shape>
                <v:shape id="Shape 41681" o:spid="_x0000_s1731" style="position:absolute;left:46465;top:6607;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aN6sgA&#10;AADeAAAADwAAAGRycy9kb3ducmV2LnhtbESPzU7DMBCE75V4B2uRuLVO+IlCiFNBJASHXig90Nsq&#10;XuKIeB3Zpk15elwJieNoZr7R1OvZjuJAPgyOFeSrDARx5/TAvYLd+/OyBBEissbRMSk4UYB1c7Go&#10;sdLuyG902MZeJAiHChWYGKdKytAZshhWbiJO3qfzFmOSvpfa4zHB7Sivs6yQFgdOCwYnag11X9tv&#10;q6DYmPLH24/2pj3RPb1k+7vd016pq8v58QFEpDn+h//ar1rBbV6UOZzvpCsgm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o3qyAAAAN4AAAAPAAAAAAAAAAAAAAAAAJgCAABk&#10;cnMvZG93bnJldi54bWxQSwUGAAAAAAQABAD1AAAAjQMAAAAA&#10;" path="m,51816r51816,l51816,,,,,51816xe" filled="f" strokecolor="white" strokeweight="1.56pt">
                  <v:path arrowok="t" textboxrect="0,0,51816,51816"/>
                </v:shape>
                <v:rect id="Rectangle 41682" o:spid="_x0000_s1732" style="position:absolute;left:47195;top:6261;width:3697;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ngoMYA&#10;AADeAAAADwAAAGRycy9kb3ducmV2LnhtbESPQYvCMBSE74L/ITzBm6aKSO0aRdRFj64K7t4ezdu2&#10;2LyUJmurv94sCB6HmfmGmS9bU4ob1a6wrGA0jEAQp1YXnCk4nz4HMQjnkTWWlknBnRwsF93OHBNt&#10;G/6i29FnIkDYJagg975KpHRpTgbd0FbEwfu1tUEfZJ1JXWMT4KaU4yiaSoMFh4UcK1rnlF6Pf0bB&#10;Lq5W33v7aLJy+7O7HC6zzWnmler32tUHCE+tf4df7b1WMBlN4zH83wlX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ingoMYAAADeAAAADwAAAAAAAAAAAAAAAACYAgAAZHJz&#10;L2Rvd25yZXYueG1sUEsFBgAAAAAEAAQA9QAAAIsDAAAAAA==&#10;" filled="f" stroked="f">
                  <v:textbox inset="0,0,0,0">
                    <w:txbxContent>
                      <w:p w14:paraId="17C20B8D" w14:textId="77777777" w:rsidR="0014164F" w:rsidRDefault="0014164F" w:rsidP="006D5692">
                        <w:r>
                          <w:rPr>
                            <w:rFonts w:ascii="Arial" w:eastAsia="Arial" w:hAnsi="Arial" w:cs="Arial"/>
                            <w:color w:val="595959"/>
                            <w:sz w:val="16"/>
                          </w:rPr>
                          <w:t>Guma</w:t>
                        </w:r>
                      </w:p>
                    </w:txbxContent>
                  </v:textbox>
                </v:rect>
                <v:shape id="Shape 922352" o:spid="_x0000_s1733" style="position:absolute;left:46465;top:7933;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UoOckA&#10;AADfAAAADwAAAGRycy9kb3ducmV2LnhtbESPT2vCQBTE7wW/w/IEL6VuErG00VWK4N9bbaE9Pnef&#10;Sdrs2zS7avrt3YLQ4zAzv2Gm887W4kytrxwrSIcJCGLtTMWFgve35cMTCB+QDdaOScEveZjPendT&#10;zI278Cud96EQEcI+RwVlCE0updclWfRD1xBH7+haiyHKtpCmxUuE21pmSfIoLVYcF0psaFGS/t6f&#10;rIKPn92J9eJ+tT58HrT7qtLxapsqNeh3LxMQgbrwH761N0bBc5aNxhn8/YlfQM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6UoOckAAADfAAAADwAAAAAAAAAAAAAAAACYAgAA&#10;ZHJzL2Rvd25yZXYueG1sUEsFBgAAAAAEAAQA9QAAAI4DAAAAAA==&#10;" path="m,l51816,r,50292l,50292,,e" fillcolor="#a5a5a5" stroked="f" strokeweight="0">
                  <v:path arrowok="t" textboxrect="0,0,51816,50292"/>
                </v:shape>
                <v:shape id="Shape 41684" o:spid="_x0000_s1734" style="position:absolute;left:46465;top:7933;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I5GsgA&#10;AADeAAAADwAAAGRycy9kb3ducmV2LnhtbESPQUvDQBSE7wX/w/KE3tpNpYYSuy1aKLSHikaheHtk&#10;n9lo9m3IvrbRX+8KgsdhZr5hluvBt+pMfWwCG5hNM1DEVbAN1wZeX7aTBagoyBbbwGTgiyKsV1ej&#10;JRY2XPiZzqXUKkE4FmjAiXSF1rFy5DFOQ0ecvPfQe5Qk+1rbHi8J7lt9k2W59thwWnDY0cZR9Vme&#10;vIHjh3yLazf12/GppNvDPn98iLkx4+vh/g6U0CD/4b/2zhqYz/LFHH7vpCugV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YjkayAAAAN4AAAAPAAAAAAAAAAAAAAAAAJgCAABk&#10;cnMvZG93bnJldi54bWxQSwUGAAAAAAQABAD1AAAAjQMAAAAA&#10;" path="m,50292r51816,l51816,,,,,50292xe" filled="f" strokecolor="white" strokeweight="1.56pt">
                  <v:path arrowok="t" textboxrect="0,0,51816,50292"/>
                </v:shape>
                <v:rect id="Rectangle 41685" o:spid="_x0000_s1735" style="position:absolute;left:47195;top:7764;width:4282;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B41McA&#10;AADeAAAADwAAAGRycy9kb3ducmV2LnhtbESPT2vCQBTE70K/w/IK3nRjUYnRVaRV9Oifgnp7ZJ9J&#10;aPZtyK4m+um7BaHHYWZ+w8wWrSnFnWpXWFYw6EcgiFOrC84UfB/XvRiE88gaS8uk4EEOFvO3zgwT&#10;bRve0/3gMxEg7BJUkHtfJVK6NCeDrm8r4uBdbW3QB1lnUtfYBLgp5UcUjaXBgsNCjhV95pT+HG5G&#10;wSauluetfTZZubpsTrvT5Os48Up139vlFISn1v+HX+2tVjAcjOMR/N0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AeNTHAAAA3gAAAA8AAAAAAAAAAAAAAAAAmAIAAGRy&#10;cy9kb3ducmV2LnhtbFBLBQYAAAAABAAEAPUAAACMAwAAAAA=&#10;" filled="f" stroked="f">
                  <v:textbox inset="0,0,0,0">
                    <w:txbxContent>
                      <w:p w14:paraId="1BC4F2CC" w14:textId="77777777" w:rsidR="0014164F" w:rsidRDefault="0014164F" w:rsidP="006D5692">
                        <w:r>
                          <w:rPr>
                            <w:rFonts w:ascii="Arial" w:eastAsia="Arial" w:hAnsi="Arial" w:cs="Arial"/>
                            <w:color w:val="595959"/>
                            <w:sz w:val="16"/>
                          </w:rPr>
                          <w:t>Odjeća</w:t>
                        </w:r>
                      </w:p>
                    </w:txbxContent>
                  </v:textbox>
                </v:rect>
                <v:shape id="Shape 922353" o:spid="_x0000_s1736" style="position:absolute;left:46465;top:9244;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mccA&#10;AADfAAAADwAAAGRycy9kb3ducmV2LnhtbESPQWvCQBSE70L/w/IKvdVNI5Y2uooVWvQibVrw+si+&#10;JqHZt8vuNon/3hUEj8PMfMMs16PpRE8+tJYVPE0zEMSV1S3XCn6+3x9fQISIrLGzTApOFGC9upss&#10;sdB24C/qy1iLBOFQoIImRldIGaqGDIapdcTJ+7XeYEzS11J7HBLcdDLPsmdpsOW00KCjbUPVX/lv&#10;FHzKeb+Nmdm8ncqP1g1H5w+8V+rhftwsQEQa4y18be+0gtc8n81ncPmTvoBcn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7rpnHAAAA3wAAAA8AAAAAAAAAAAAAAAAAmAIAAGRy&#10;cy9kb3ducmV2LnhtbFBLBQYAAAAABAAEAPUAAACMAwAAAAA=&#10;" path="m,l51816,r,50292l,50292,,e" fillcolor="#ffc000" stroked="f" strokeweight="0">
                  <v:path arrowok="t" textboxrect="0,0,51816,50292"/>
                </v:shape>
                <v:shape id="Shape 41687" o:spid="_x0000_s1737" style="position:absolute;left:46465;top:9244;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CnbcgA&#10;AADeAAAADwAAAGRycy9kb3ducmV2LnhtbESPQUvDQBSE7wX/w/IEb+2morHEbosWhHpQ2igUb4/s&#10;MxvNvg3Z1zb6612h0OMwM98w8+XgW3WgPjaBDUwnGSjiKtiGawPvb0/jGagoyBbbwGTghyIsFxej&#10;ORY2HHlLh1JqlSAcCzTgRLpC61g58hgnoSNO3mfoPUqSfa1tj8cE962+zrJce2w4LTjsaOWo+i73&#10;3sDuS37Ftav6Y7cp6fblOX99jLkxV5fDwz0ooUHO4VN7bQ3cTPPZHfzfSVdAL/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sKdtyAAAAN4AAAAPAAAAAAAAAAAAAAAAAJgCAABk&#10;cnMvZG93bnJldi54bWxQSwUGAAAAAAQABAD1AAAAjQMAAAAA&#10;" path="m,50292r51816,l51816,,,,,50292xe" filled="f" strokecolor="white" strokeweight="1.56pt">
                  <v:path arrowok="t" textboxrect="0,0,51816,50292"/>
                </v:shape>
                <v:rect id="Rectangle 41688" o:spid="_x0000_s1738" style="position:absolute;left:47195;top:8900;width:727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HXSsUA&#10;AADeAAAADwAAAGRycy9kb3ducmV2LnhtbERPy2qDQBTdF/oPwy10V0dDCWqchNCmmGUehTS7i3Or&#10;UueOONNo+/WZRSDLw3kXq8l04kKDay0rSKIYBHFldcu1gs/jx0sKwnlkjZ1lUvBHDlbLx4cCc21H&#10;3tPl4GsRQtjlqKDxvs+ldFVDBl1ke+LAfdvBoA9wqKUecAzhppOzOJ5Lgy2HhgZ7emuo+jn8GgVl&#10;2q+/tvZ/rLvNuTztTtn7MfNKPT9N6wUIT5O/i2/urVbwmszTsDfcCV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wddKxQAAAN4AAAAPAAAAAAAAAAAAAAAAAJgCAABkcnMv&#10;ZG93bnJldi54bWxQSwUGAAAAAAQABAD1AAAAigMAAAAA&#10;" filled="f" stroked="f">
                  <v:textbox inset="0,0,0,0">
                    <w:txbxContent>
                      <w:p w14:paraId="2B7EBB79" w14:textId="77777777" w:rsidR="0014164F" w:rsidRDefault="0014164F" w:rsidP="006D5692">
                        <w:r>
                          <w:rPr>
                            <w:rFonts w:ascii="Arial" w:eastAsia="Arial" w:hAnsi="Arial" w:cs="Arial"/>
                            <w:color w:val="595959"/>
                            <w:sz w:val="16"/>
                          </w:rPr>
                          <w:t>Papir/karton</w:t>
                        </w:r>
                      </w:p>
                    </w:txbxContent>
                  </v:textbox>
                </v:rect>
                <v:shape id="Shape 922354" o:spid="_x0000_s1739" style="position:absolute;left:46465;top:10554;width:518;height:519;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55EccA&#10;AADfAAAADwAAAGRycy9kb3ducmV2LnhtbESPT2sCMRTE74V+h/AKvdWsayu6NYpKxV48+AfPj81z&#10;s7h5CZt0Xb99IxR6HGbmN8xs0dtGdNSG2rGC4SADQVw6XXOl4HTcvE1AhIissXFMCu4UYDF/fpph&#10;od2N99QdYiUShEOBCkyMvpAylIYshoHzxMm7uNZiTLKtpG7xluC2kXmWjaXFmtOCQU9rQ+X18GMV&#10;7C5+ezfXjRsNz2W2XnYr/xVWSr2+9MtPEJH6+B/+a39rBdM8H328w+NP+g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eeRHHAAAA3wAAAA8AAAAAAAAAAAAAAAAAmAIAAGRy&#10;cy9kb3ducmV2LnhtbFBLBQYAAAAABAAEAPUAAACMAwAAAAA=&#10;" path="m,l51816,r,51816l,51816,,e" fillcolor="#4472c4" stroked="f" strokeweight="0">
                  <v:path arrowok="t" textboxrect="0,0,51816,51816"/>
                </v:shape>
                <v:shape id="Shape 41690" o:spid="_x0000_s1740" style="position:absolute;left:46465;top:10554;width:518;height:519;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O+rMYA&#10;AADeAAAADwAAAGRycy9kb3ducmV2LnhtbESPvW7CMBSF90q8g3WR2IpDoRGkGEQjIRi6lDKU7Sq+&#10;jSPi68g2EPr09YDU8ej86Vuue9uKK/nQOFYwGWcgiCunG64VHL+2z3MQISJrbB2TgjsFWK8GT0ss&#10;tLvxJ10PsRZphEOBCkyMXSFlqAxZDGPXESfvx3mLMUlfS+3xlsZtK1+yLJcWG04PBjsqDVXnw8Uq&#10;yD/M/Nfb73Ja3mlBu+z0enw/KTUa9ps3EJH6+B9+tPdawWySLxJAwkko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HO+rMYAAADeAAAADwAAAAAAAAAAAAAAAACYAgAAZHJz&#10;L2Rvd25yZXYueG1sUEsFBgAAAAAEAAQA9QAAAIsDAAAAAA==&#10;" path="m,51816r51816,l51816,,,,,51816xe" filled="f" strokecolor="white" strokeweight="1.56pt">
                  <v:path arrowok="t" textboxrect="0,0,51816,51816"/>
                </v:shape>
                <v:rect id="Rectangle 41691" o:spid="_x0000_s1741" style="position:absolute;left:47195;top:10398;width:9019;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LoCscA&#10;AADeAAAADwAAAGRycy9kb3ducmV2LnhtbESPQWvCQBSE74X+h+UVvNVNRMSkWUVaix7VFGxvj+xr&#10;Epp9G7LbJO2vdwXB4zAz3zDZejSN6KlztWUF8TQCQVxYXXOp4CN/f16CcB5ZY2OZFPyRg/Xq8SHD&#10;VNuBj9SffCkChF2KCirv21RKV1Rk0E1tSxy8b9sZ9EF2pdQdDgFuGjmLooU0WHNYqLCl14qKn9Ov&#10;UbBbtpvPvf0fymb7tTsfzslbnnilJk/j5gWEp9Hfw7f2XiuYx4skhuudcAXk6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i6ArHAAAA3gAAAA8AAAAAAAAAAAAAAAAAmAIAAGRy&#10;cy9kb3ducmV2LnhtbFBLBQYAAAAABAAEAPUAAACMAwAAAAA=&#10;" filled="f" stroked="f">
                  <v:textbox inset="0,0,0,0">
                    <w:txbxContent>
                      <w:p w14:paraId="4678913C" w14:textId="77777777" w:rsidR="0014164F" w:rsidRDefault="0014164F" w:rsidP="006D5692">
                        <w:r>
                          <w:rPr>
                            <w:rFonts w:ascii="Arial" w:eastAsia="Arial" w:hAnsi="Arial" w:cs="Arial"/>
                            <w:color w:val="595959"/>
                            <w:sz w:val="16"/>
                          </w:rPr>
                          <w:t>Obrađeno drvo</w:t>
                        </w:r>
                      </w:p>
                    </w:txbxContent>
                  </v:textbox>
                </v:rect>
                <v:shape id="Shape 922355" o:spid="_x0000_s1742" style="position:absolute;left:46465;top:11880;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obcgA&#10;AADfAAAADwAAAGRycy9kb3ducmV2LnhtbESPzU7DMBCE70h9B2srcaN2A0UQ6kQIiZ8TKk0fYIm3&#10;SZR4HdkmDX16jITEcTQz32i25WwHMZEPnWMN65UCQVw703Gj4VA9X92BCBHZ4OCYNHxTgLJYXGwx&#10;N+7EHzTtYyMShEOOGtoYx1zKULdkMazcSJy8o/MWY5K+kcbjKcHtIDOlbqXFjtNCiyM9tVT3+y+r&#10;oZvM2b+81od31e/UzVyd++az0vpyOT8+gIg0x//wX/vNaLjPsuvNBn7/pC8gi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jOhtyAAAAN8AAAAPAAAAAAAAAAAAAAAAAJgCAABk&#10;cnMvZG93bnJldi54bWxQSwUGAAAAAAQABAD1AAAAjQMAAAAA&#10;" path="m,l51816,r,50292l,50292,,e" fillcolor="#70ad47" stroked="f" strokeweight="0">
                  <v:path arrowok="t" textboxrect="0,0,51816,50292"/>
                </v:shape>
                <v:shape id="Shape 41693" o:spid="_x0000_s1743" style="position:absolute;left:46465;top:11880;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I3s8gA&#10;AADeAAAADwAAAGRycy9kb3ducmV2LnhtbESPQUvDQBSE7wX/w/IEb+2mVYPGbkstCO1B0SgUb4/s&#10;MxvNvg3Z1zb117uC4HGYmW+Y+XLwrTpQH5vABqaTDBRxFWzDtYG314fxDagoyBbbwGTgRBGWi7PR&#10;HAsbjvxCh1JqlSAcCzTgRLpC61g58hgnoSNO3kfoPUqSfa1tj8cE962eZVmuPTacFhx2tHZUfZV7&#10;b2D3Kd/i2nX9vnsu6fpxmz/dx9yYi/NhdQdKaJD/8F97Yw1cTfPbS/i9k66AXv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UjezyAAAAN4AAAAPAAAAAAAAAAAAAAAAAJgCAABk&#10;cnMvZG93bnJldi54bWxQSwUGAAAAAAQABAD1AAAAjQMAAAAA&#10;" path="m,50292r51816,l51816,,,,,50292xe" filled="f" strokecolor="white" strokeweight="1.56pt">
                  <v:path arrowok="t" textboxrect="0,0,51816,50292"/>
                </v:shape>
                <v:rect id="Rectangle 41694" o:spid="_x0000_s1744" style="position:absolute;left:47195;top:11534;width:330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VLkscA&#10;AADeAAAADwAAAGRycy9kb3ducmV2LnhtbESPQWvCQBSE74L/YXlCb7qxiJjUVcS26LE1QtrbI/ua&#10;BHffhuzWpP313YLgcZiZb5j1drBGXKnzjWMF81kCgrh0uuFKwTl/na5A+ICs0TgmBT/kYbsZj9aY&#10;adfzO11PoRIRwj5DBXUIbSalL2uy6GeuJY7el+sshii7SuoO+wi3Rj4myVJabDgu1NjSvqbycvq2&#10;Cg6rdvdxdL99ZV4+D8VbkT7naVDqYTLsnkAEGsI9fGsftYLFfJku4P9OvAJy8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tVS5LHAAAA3gAAAA8AAAAAAAAAAAAAAAAAmAIAAGRy&#10;cy9kb3ducmV2LnhtbFBLBQYAAAAABAAEAPUAAACMAwAAAAA=&#10;" filled="f" stroked="f">
                  <v:textbox inset="0,0,0,0">
                    <w:txbxContent>
                      <w:p w14:paraId="372DED75" w14:textId="77777777" w:rsidR="0014164F" w:rsidRDefault="0014164F" w:rsidP="006D5692">
                        <w:r>
                          <w:rPr>
                            <w:rFonts w:ascii="Arial" w:eastAsia="Arial" w:hAnsi="Arial" w:cs="Arial"/>
                            <w:color w:val="595959"/>
                            <w:sz w:val="16"/>
                          </w:rPr>
                          <w:t>Metal</w:t>
                        </w:r>
                      </w:p>
                    </w:txbxContent>
                  </v:textbox>
                </v:rect>
                <v:shape id="Shape 922356" o:spid="_x0000_s1745" style="position:absolute;left:46465;top:13191;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PcI8gA&#10;AADfAAAADwAAAGRycy9kb3ducmV2LnhtbESPT2sCMRTE74LfITyhl1Kzrih13ShaaCleStWDx8fm&#10;7Z9287Js4pp++6ZQ8DjMzG+YfBtMKwbqXWNZwWyagCAurG64UnA+vT49g3AeWWNrmRT8kIPtZjzK&#10;MdP2xp80HH0lIoRdhgpq77tMSlfUZNBNbUccvdL2Bn2UfSV1j7cIN61Mk2QpDTYcF2rs6KWm4vt4&#10;NQrkdfaVFh/zUF7CnsNwMKfq8U2ph0nYrUF4Cv4e/m+/awWrNJ0vlvD3J34Bufk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g9wjyAAAAN8AAAAPAAAAAAAAAAAAAAAAAJgCAABk&#10;cnMvZG93bnJldi54bWxQSwUGAAAAAAQABAD1AAAAjQMAAAAA&#10;" path="m,l51816,r,51816l,51816,,e" fillcolor="#255e91" stroked="f" strokeweight="0">
                  <v:path arrowok="t" textboxrect="0,0,51816,51816"/>
                </v:shape>
                <v:shape id="Shape 41696" o:spid="_x0000_s1746" style="position:absolute;left:46465;top:13191;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DQ8cA&#10;AADeAAAADwAAAGRycy9kb3ducmV2LnhtbESPQWsCMRSE74X+h/AKvdWsrS66GqVdKPXQS60HvT02&#10;z83i5mVJUl399aYgeBxm5htmvuxtK47kQ+NYwXCQgSCunG64VrD5/XyZgAgRWWPrmBScKcBy8fgw&#10;x0K7E//QcR1rkSAcClRgYuwKKUNlyGIYuI44eXvnLcYkfS21x1OC21a+ZlkuLTacFgx2VBqqDus/&#10;qyD/NpOLt9vyrTzTlL6y3XjzsVPq+al/n4GI1Md7+NZeaQWjYT7N4f9OugJyc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Wg0PHAAAA3gAAAA8AAAAAAAAAAAAAAAAAmAIAAGRy&#10;cy9kb3ducmV2LnhtbFBLBQYAAAAABAAEAPUAAACMAwAAAAA=&#10;" path="m,51816r51816,l51816,,,,,51816xe" filled="f" strokecolor="white" strokeweight="1.56pt">
                  <v:path arrowok="t" textboxrect="0,0,51816,51816"/>
                </v:shape>
                <v:rect id="Rectangle 41697" o:spid="_x0000_s1747" style="position:absolute;left:47195;top:12851;width:375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fV5cgA&#10;AADeAAAADwAAAGRycy9kb3ducmV2LnhtbESPW2vCQBSE3wv9D8sp+FY3lqImZiPSC/ropaC+HbLH&#10;JDR7NmRXk/rrXUHo4zAz3zDpvDe1uFDrKssKRsMIBHFudcWFgp/d9+sUhPPIGmvLpOCPHMyz56cU&#10;E2073tBl6wsRIOwSVFB63yRSurwkg25oG+LgnWxr0AfZFlK32AW4qeVbFI2lwYrDQokNfZSU/27P&#10;RsFy2iwOK3vtivrruNyv9/HnLvZKDV76xQyEp97/hx/tlVbwPhrHE7jfCVdA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h9XlyAAAAN4AAAAPAAAAAAAAAAAAAAAAAJgCAABk&#10;cnMvZG93bnJldi54bWxQSwUGAAAAAAQABAD1AAAAjQMAAAAA&#10;" filled="f" stroked="f">
                  <v:textbox inset="0,0,0,0">
                    <w:txbxContent>
                      <w:p w14:paraId="02B5534E" w14:textId="77777777" w:rsidR="0014164F" w:rsidRDefault="0014164F" w:rsidP="006D5692">
                        <w:r>
                          <w:rPr>
                            <w:rFonts w:ascii="Arial" w:eastAsia="Arial" w:hAnsi="Arial" w:cs="Arial"/>
                            <w:color w:val="595959"/>
                            <w:sz w:val="16"/>
                          </w:rPr>
                          <w:t>Staklo</w:t>
                        </w:r>
                      </w:p>
                    </w:txbxContent>
                  </v:textbox>
                </v:rect>
                <v:shape id="Shape 922357" o:spid="_x0000_s1748" style="position:absolute;left:46465;top:14517;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W68gA&#10;AADfAAAADwAAAGRycy9kb3ducmV2LnhtbESPT2vCQBTE70K/w/IKvYhuGrF/UleRguBJaBoK3h7Z&#10;ZzaYfRuyaxL99N1CweMwM79hVpvRNqKnzteOFTzPExDEpdM1VwqK793sDYQPyBobx6TgSh4264fJ&#10;CjPtBv6iPg+ViBD2GSowIbSZlL40ZNHPXUscvZPrLIYou0rqDocIt41Mk+RFWqw5Lhhs6dNQec4v&#10;VsE5P9TFsThcf4bp0pibPbmUe6WeHsftB4hAY7iH/9t7reA9TRfLV/j7E7+AX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dbryAAAAN8AAAAPAAAAAAAAAAAAAAAAAJgCAABk&#10;cnMvZG93bnJldi54bWxQSwUGAAAAAAQABAD1AAAAjQMAAAAA&#10;" path="m,l51816,r,50292l,50292,,e" fillcolor="#9e480e" stroked="f" strokeweight="0">
                  <v:path arrowok="t" textboxrect="0,0,51816,50292"/>
                </v:shape>
                <v:shape id="Shape 41699" o:spid="_x0000_s1749" style="position:absolute;left:46465;top:14517;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oAWcgA&#10;AADeAAAADwAAAGRycy9kb3ducmV2LnhtbESPQUvDQBSE7wX/w/IEb+2mosHGbosWhHpQ2igUb4/s&#10;MxvNvg3Z1zb6612h0OMwM98w8+XgW3WgPjaBDUwnGSjiKtiGawPvb0/jO1BRkC22gcnAD0VYLi5G&#10;cyxsOPKWDqXUKkE4FmjAiXSF1rFy5DFOQkecvM/Qe5Qk+1rbHo8J7lt9nWW59thwWnDY0cpR9V3u&#10;vYHdl/yKa1f1x25T0u3Lc/76GHNjri6Hh3tQQoOcw6f22hq4meazGfzfSVdAL/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ugBZyAAAAN4AAAAPAAAAAAAAAAAAAAAAAJgCAABk&#10;cnMvZG93bnJldi54bWxQSwUGAAAAAAQABAD1AAAAjQMAAAAA&#10;" path="m,50292r51816,l51816,,,,,50292xe" filled="f" strokecolor="white" strokeweight="1.56pt">
                  <v:path arrowok="t" textboxrect="0,0,51816,50292"/>
                </v:shape>
                <v:rect id="Rectangle 41700" o:spid="_x0000_s1750" style="position:absolute;left:47195;top:14167;width:571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XXi8cA&#10;AADeAAAADwAAAGRycy9kb3ducmV2LnhtbESPzWrCQBSF94W+w3AL3dVJpLQaHYPUlmSpUVB3l8w1&#10;Cc3cCZmpSfv0zqLg8nD++JbpaFpxpd41lhXEkwgEcWl1w5WCw/7rZQbCeWSNrWVS8EsO0tXjwxIT&#10;bQfe0bXwlQgj7BJUUHvfJVK6siaDbmI74uBdbG/QB9lXUvc4hHHTymkUvUmDDYeHGjv6qKn8Ln6M&#10;gmzWrU+5/Ruq9vOcHbfH+WY/90o9P43rBQhPo7+H/9u5VvAav0cBIOAEFJ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F14vHAAAA3gAAAA8AAAAAAAAAAAAAAAAAmAIAAGRy&#10;cy9kb3ducmV2LnhtbFBLBQYAAAAABAAEAPUAAACMAwAAAAA=&#10;" filled="f" stroked="f">
                  <v:textbox inset="0,0,0,0">
                    <w:txbxContent>
                      <w:p w14:paraId="7C1D2DB8" w14:textId="77777777" w:rsidR="0014164F" w:rsidRDefault="0014164F" w:rsidP="006D5692">
                        <w:r>
                          <w:rPr>
                            <w:rFonts w:ascii="Arial" w:eastAsia="Arial" w:hAnsi="Arial" w:cs="Arial"/>
                            <w:color w:val="595959"/>
                            <w:sz w:val="16"/>
                          </w:rPr>
                          <w:t>Keramika</w:t>
                        </w:r>
                      </w:p>
                    </w:txbxContent>
                  </v:textbox>
                </v:rect>
                <v:shape id="Shape 922358" o:spid="_x0000_s1751" style="position:absolute;left:46465;top:15828;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8uIcYA&#10;AADfAAAADwAAAGRycy9kb3ducmV2LnhtbERP3U7CMBS+J/EdmmPCnXTOsOikEEM0GLngRx/gsB7X&#10;SXu6rGWMt6cXJlx++f5ni8FZ0VMXGs8KHicZCOLK64ZrBT/fHw/PIEJE1mg9k4ILBVjM70YzLLU/&#10;8476faxFCuFQogITY1tKGSpDDsPEt8SJ+/Wdw5hgV0vd4TmFOyvzLCukw4ZTg8GWloaq4/7kFBw3&#10;h6k79V+r5Z+5WFsUh+3ufa3U+H54ewURaYg38b/7Uyt4yfOnaRqc/qQv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g8uIcYAAADfAAAADwAAAAAAAAAAAAAAAACYAgAAZHJz&#10;L2Rvd25yZXYueG1sUEsFBgAAAAAEAAQA9QAAAIsDAAAAAA==&#10;" path="m,l51816,r,51816l,51816,,e" fillcolor="#636363" stroked="f" strokeweight="0">
                  <v:path arrowok="t" textboxrect="0,0,51816,51816"/>
                </v:shape>
                <v:shape id="Shape 41702" o:spid="_x0000_s1752" style="position:absolute;left:46465;top:15828;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fWscA&#10;AADeAAAADwAAAGRycy9kb3ducmV2LnhtbESPQU8CMRSE7yT+h+aZeIMWRMSVQnQTIgcvIge5vWyf&#10;243b101bYOHXWxITj5OZ+SazWPWuFUcKsfGsYTxSIIgrbxquNew+18M5iJiQDbaeScOZIqyWN4MF&#10;Fsaf+IOO21SLDOFYoAabUldIGStLDuPId8TZ+/bBYcoy1NIEPGW4a+VEqZl02HBesNhRaan62R6c&#10;htm7nV+C+yrvyzM90ZvaP+xe91rf3fYvzyAS9ek//NfeGA3T8aOawPVOvg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GH1rHAAAA3gAAAA8AAAAAAAAAAAAAAAAAmAIAAGRy&#10;cy9kb3ducmV2LnhtbFBLBQYAAAAABAAEAPUAAACMAwAAAAA=&#10;" path="m,51816r51816,l51816,,,,,51816xe" filled="f" strokecolor="white" strokeweight="1.56pt">
                  <v:path arrowok="t" textboxrect="0,0,51816,51816"/>
                </v:shape>
                <v:rect id="Rectangle 41703" o:spid="_x0000_s1753" style="position:absolute;left:47195;top:15484;width:908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dJ/MgA&#10;AADeAAAADwAAAGRycy9kb3ducmV2LnhtbESPQWvCQBSE74L/YXlCb7qxlVZTV5FWSY42FtTbI/ua&#10;hGbfhuxq0v56Vyj0OMzMN8xy3ZtaXKl1lWUF00kEgji3uuJCwedhN56DcB5ZY22ZFPyQg/VqOFhi&#10;rG3HH3TNfCEChF2MCkrvm1hKl5dk0E1sQxy8L9sa9EG2hdQtdgFuavkYRc/SYMVhocSG3krKv7OL&#10;UZDMm80ptb9dUW/PyXF/XLwfFl6ph1G/eQXhqff/4b92qhXMpi/RE9zvhCsgV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V0n8yAAAAN4AAAAPAAAAAAAAAAAAAAAAAJgCAABk&#10;cnMvZG93bnJldi54bWxQSwUGAAAAAAQABAD1AAAAjQMAAAAA&#10;" filled="f" stroked="f">
                  <v:textbox inset="0,0,0,0">
                    <w:txbxContent>
                      <w:p w14:paraId="0C8E99DC" w14:textId="77777777" w:rsidR="0014164F" w:rsidRDefault="0014164F" w:rsidP="006D5692">
                        <w:r>
                          <w:rPr>
                            <w:rFonts w:ascii="Arial" w:eastAsia="Arial" w:hAnsi="Arial" w:cs="Arial"/>
                            <w:color w:val="595959"/>
                            <w:sz w:val="16"/>
                          </w:rPr>
                          <w:t>Sanitarni otpad</w:t>
                        </w:r>
                      </w:p>
                    </w:txbxContent>
                  </v:textbox>
                </v:rect>
                <v:shape id="Shape 922359" o:spid="_x0000_s1754" style="position:absolute;left:46465;top:17138;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MT/8gA&#10;AADfAAAADwAAAGRycy9kb3ducmV2LnhtbESP3WrCQBSE74W+w3IKvRHdJFLR1FUkYKkUrKZ9gNPs&#10;yQ9mz4bsVuPbu4VCL4eZ+YZZbQbTigv1rrGsIJ5GIIgLqxuuFHx97iYLEM4ja2wtk4IbOdisH0Yr&#10;TLW98okuua9EgLBLUUHtfZdK6YqaDLqp7YiDV9reoA+yr6Tu8RrgppVJFM2lwYbDQo0dZTUV5/zH&#10;KDgQNvGHjufjcsjK1+P+PTvzt1JPj8P2BYSnwf+H/9pvWsEySWbPS/j9E76AX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IxP/yAAAAN8AAAAPAAAAAAAAAAAAAAAAAJgCAABk&#10;cnMvZG93bnJldi54bWxQSwUGAAAAAAQABAD1AAAAjQMAAAAA&#10;" path="m,l51816,r,51816l,51816,,e" fillcolor="#997300" stroked="f" strokeweight="0">
                  <v:path arrowok="t" textboxrect="0,0,51816,51816"/>
                </v:shape>
                <v:shape id="Shape 41705" o:spid="_x0000_s1755" style="position:absolute;left:46465;top:17138;width:518;height:518;visibility:visible;mso-wrap-style:square;v-text-anchor:top" coordsize="51816,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HLscA&#10;AADeAAAADwAAAGRycy9kb3ducmV2LnhtbESPQU8CMRSE7yb+h+aZcJMWEMSVQmATgwcvIge5vWyf&#10;243b101bYOHXWxMTj5OZ+SazWPWuFScKsfGsYTRUIIgrbxquNew/Xu7nIGJCNth6Jg0XirBa3t4s&#10;sDD+zO902qVaZAjHAjXYlLpCylhZchiHviPO3pcPDlOWoZYm4DnDXSvHSs2kw4bzgsWOSkvV9+7o&#10;NMze7Pwa3Gc5KS/0RFt1mO43B60Hd/36GUSiPv2H/9qvRsPD6FFN4fdOvg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vhy7HAAAA3gAAAA8AAAAAAAAAAAAAAAAAmAIAAGRy&#10;cy9kb3ducmV2LnhtbFBLBQYAAAAABAAEAPUAAACMAwAAAAA=&#10;" path="m,51816r51816,l51816,,,,,51816xe" filled="f" strokecolor="white" strokeweight="1.56pt">
                  <v:path arrowok="t" textboxrect="0,0,51816,51816"/>
                </v:shape>
                <v:rect id="Rectangle 41706" o:spid="_x0000_s1756" style="position:absolute;left:47195;top:16801;width:10075;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DqZMcA&#10;AADeAAAADwAAAGRycy9kb3ducmV2LnhtbESPS4vCQBCE78L+h6EXvOlEER/RUWRV9Ohjwd1bk2mT&#10;sJmekBlN9Nc7grDHoqq+omaLxhTiRpXLLSvodSMQxInVOacKvk+bzhiE88gaC8uk4E4OFvOP1gxj&#10;bWs+0O3oUxEg7GJUkHlfxlK6JCODrmtL4uBdbGXQB1mlUldYB7gpZD+KhtJgzmEhw5K+Mkr+jlej&#10;YDsulz87+6jTYv27Pe/Pk9Vp4pVqfzbLKQhPjf8Pv9s7rWDQG0VD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g6mTHAAAA3gAAAA8AAAAAAAAAAAAAAAAAmAIAAGRy&#10;cy9kb3ducmV2LnhtbFBLBQYAAAAABAAEAPUAAACMAwAAAAA=&#10;" filled="f" stroked="f">
                  <v:textbox inset="0,0,0,0">
                    <w:txbxContent>
                      <w:p w14:paraId="0AD8480D" w14:textId="77777777" w:rsidR="0014164F" w:rsidRDefault="0014164F" w:rsidP="006D5692">
                        <w:r>
                          <w:rPr>
                            <w:rFonts w:ascii="Arial" w:eastAsia="Arial" w:hAnsi="Arial" w:cs="Arial"/>
                            <w:color w:val="595959"/>
                            <w:sz w:val="16"/>
                          </w:rPr>
                          <w:t>Medicinski otpad</w:t>
                        </w:r>
                      </w:p>
                    </w:txbxContent>
                  </v:textbox>
                </v:rect>
                <v:shape id="Shape 922360" o:spid="_x0000_s1757" style="position:absolute;left:46465;top:18464;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Tz8YA&#10;AADfAAAADwAAAGRycy9kb3ducmV2LnhtbESPzWrCQBSF94LvMNyCO500gtrUUSSgdOGmKtrlJXM7&#10;SZu5EzJjkr69syi4PJw/vvV2sLXoqPWVYwWvswQEceF0xUbB5byfrkD4gKyxdkwK/sjDdjMerTHT&#10;rudP6k7BiDjCPkMFZQhNJqUvSrLoZ64hjt63ay2GKFsjdYt9HLe1TJNkIS1WHB9KbCgvqfg93a2C&#10;Q29uX/ST78PcdKvj/WaXeX1VavIy7N5BBBrCM/zf/tAK3tJ0vogEkSeygN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Tz8YAAADfAAAADwAAAAAAAAAAAAAAAACYAgAAZHJz&#10;L2Rvd25yZXYueG1sUEsFBgAAAAAEAAQA9QAAAIsDAAAAAA==&#10;" path="m,l51816,r,50292l,50292,,e" fillcolor="#264478" stroked="f" strokeweight="0">
                  <v:path arrowok="t" textboxrect="0,0,51816,50292"/>
                </v:shape>
                <v:shape id="Shape 41708" o:spid="_x0000_s1758" style="position:absolute;left:46465;top:18464;width:518;height:503;visibility:visible;mso-wrap-style:square;v-text-anchor:top" coordsize="51816,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0/2MUA&#10;AADeAAAADwAAAGRycy9kb3ducmV2LnhtbERPTUvDQBC9C/6HZYTe2k3FRkm7LVoQ2oOiUSi9Ddkx&#10;G83Ohuy0Tf317qHg8fG+F6vBt+pIfWwCG5hOMlDEVbAN1wY+P57HD6CiIFtsA5OBM0VYLa+vFljY&#10;cOJ3OpZSqxTCsUADTqQrtI6VI49xEjrixH2F3qMk2Nfa9nhK4b7Vt1mWa48NpwaHHa0dVT/lwRvY&#10;fcuvuHZd73dvJc1etvnrU8yNGd0Mj3NQQoP8iy/ujTVwN73P0t50J10Bv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HT/YxQAAAN4AAAAPAAAAAAAAAAAAAAAAAJgCAABkcnMv&#10;ZG93bnJldi54bWxQSwUGAAAAAAQABAD1AAAAigMAAAAA&#10;" path="m,50292r51816,l51816,,,,,50292xe" filled="f" strokecolor="white" strokeweight="1.56pt">
                  <v:path arrowok="t" textboxrect="0,0,51816,50292"/>
                </v:shape>
                <v:rect id="Rectangle 41709" o:spid="_x0000_s1759" style="position:absolute;left:47195;top:18118;width:8194;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FsgA&#10;AADeAAAADwAAAGRycy9kb3ducmV2LnhtbESPT2vCQBTE74V+h+UVeqsbS7FJzCpSFT36p5B6e2Rf&#10;k9Ds25BdTeyn7woFj8PM/IbJ5oNpxIU6V1tWMB5FIIgLq2suFXwe1y8xCOeRNTaWScGVHMxnjw8Z&#10;ptr2vKfLwZciQNilqKDyvk2ldEVFBt3ItsTB+7adQR9kV0rdYR/gppGvUTSRBmsOCxW29FFR8XM4&#10;GwWbuF18be1vXzar0ybf5cnymHilnp+GxRSEp8Hfw//trVbwNn6PErjdCV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7v34WyAAAAN4AAAAPAAAAAAAAAAAAAAAAAJgCAABk&#10;cnMvZG93bnJldi54bWxQSwUGAAAAAAQABAD1AAAAjQMAAAAA&#10;" filled="f" stroked="f">
                  <v:textbox inset="0,0,0,0">
                    <w:txbxContent>
                      <w:p w14:paraId="0550E8B6" w14:textId="77777777" w:rsidR="0014164F" w:rsidRDefault="0014164F" w:rsidP="006D5692">
                        <w:r>
                          <w:rPr>
                            <w:rFonts w:ascii="Arial" w:eastAsia="Arial" w:hAnsi="Arial" w:cs="Arial"/>
                            <w:color w:val="595959"/>
                            <w:sz w:val="16"/>
                          </w:rPr>
                          <w:t>Parafin/vosak</w:t>
                        </w:r>
                      </w:p>
                    </w:txbxContent>
                  </v:textbox>
                </v:rect>
                <w10:anchorlock/>
              </v:group>
            </w:pict>
          </mc:Fallback>
        </mc:AlternateContent>
      </w:r>
    </w:p>
    <w:p w14:paraId="707170E2" w14:textId="77777777" w:rsidR="006D5692" w:rsidRPr="006D5692" w:rsidRDefault="006D5692" w:rsidP="006D5692">
      <w:pPr>
        <w:rPr>
          <w:rFonts w:ascii="Arial" w:hAnsi="Arial" w:cs="Arial"/>
        </w:rPr>
      </w:pPr>
      <w:r w:rsidRPr="006D5692">
        <w:rPr>
          <w:rFonts w:ascii="Arial" w:hAnsi="Arial" w:cs="Arial"/>
        </w:rPr>
        <w:t xml:space="preserve"> </w:t>
      </w:r>
    </w:p>
    <w:p w14:paraId="4B048D8E" w14:textId="09626AA8" w:rsidR="006D5692" w:rsidRPr="006D5692" w:rsidRDefault="006D5692" w:rsidP="006D5692">
      <w:pPr>
        <w:pStyle w:val="Caption"/>
        <w:rPr>
          <w:rFonts w:ascii="Arial" w:hAnsi="Arial" w:cs="Arial"/>
          <w:b w:val="0"/>
          <w:i/>
        </w:rPr>
      </w:pPr>
      <w:r>
        <w:rPr>
          <w:rFonts w:ascii="Arial" w:hAnsi="Arial" w:cs="Arial"/>
          <w:b w:val="0"/>
          <w:i/>
        </w:rPr>
        <w:t>Slika 9</w:t>
      </w:r>
      <w:r w:rsidRPr="006D5692">
        <w:rPr>
          <w:rFonts w:ascii="Arial" w:hAnsi="Arial" w:cs="Arial"/>
          <w:b w:val="0"/>
          <w:i/>
        </w:rPr>
        <w:t xml:space="preserve"> Procentualna zastupljenost svih glavnih kategorija otpada na transektu dužine 100 m na Blatnoj plaži (na osnovu broja komada i težine sakupljenog otpada) </w:t>
      </w:r>
    </w:p>
    <w:p w14:paraId="08B75961" w14:textId="77777777" w:rsidR="006D5692" w:rsidRPr="006D5692" w:rsidRDefault="006D5692" w:rsidP="006D5692">
      <w:pPr>
        <w:rPr>
          <w:rFonts w:ascii="Arial" w:hAnsi="Arial" w:cs="Arial"/>
        </w:rPr>
      </w:pPr>
      <w:r w:rsidRPr="006D5692">
        <w:rPr>
          <w:rFonts w:ascii="Arial" w:hAnsi="Arial" w:cs="Arial"/>
        </w:rPr>
        <w:t xml:space="preserve"> </w:t>
      </w:r>
    </w:p>
    <w:p w14:paraId="7CEC9B14" w14:textId="77777777" w:rsidR="006D5692" w:rsidRPr="006D5692" w:rsidRDefault="006D5692" w:rsidP="006D5692">
      <w:pPr>
        <w:rPr>
          <w:rFonts w:ascii="Arial" w:hAnsi="Arial" w:cs="Arial"/>
        </w:rPr>
      </w:pPr>
      <w:r w:rsidRPr="006D5692">
        <w:rPr>
          <w:rFonts w:ascii="Arial" w:hAnsi="Arial" w:cs="Arial"/>
          <w:noProof/>
          <w:lang w:val="en-US"/>
        </w:rPr>
        <mc:AlternateContent>
          <mc:Choice Requires="wpg">
            <w:drawing>
              <wp:inline distT="0" distB="0" distL="0" distR="0" wp14:anchorId="6317BE94" wp14:editId="20F70E48">
                <wp:extent cx="5368874" cy="1839811"/>
                <wp:effectExtent l="0" t="0" r="0" b="0"/>
                <wp:docPr id="895841" name="Group 895841"/>
                <wp:cNvGraphicFramePr/>
                <a:graphic xmlns:a="http://schemas.openxmlformats.org/drawingml/2006/main">
                  <a:graphicData uri="http://schemas.microsoft.com/office/word/2010/wordprocessingGroup">
                    <wpg:wgp>
                      <wpg:cNvGrpSpPr/>
                      <wpg:grpSpPr>
                        <a:xfrm>
                          <a:off x="0" y="0"/>
                          <a:ext cx="5368874" cy="1839811"/>
                          <a:chOff x="0" y="0"/>
                          <a:chExt cx="5368874" cy="1839811"/>
                        </a:xfrm>
                      </wpg:grpSpPr>
                      <wps:wsp>
                        <wps:cNvPr id="41800" name="Shape 41800"/>
                        <wps:cNvSpPr/>
                        <wps:spPr>
                          <a:xfrm>
                            <a:off x="705180" y="381762"/>
                            <a:ext cx="581660" cy="1161415"/>
                          </a:xfrm>
                          <a:custGeom>
                            <a:avLst/>
                            <a:gdLst/>
                            <a:ahLst/>
                            <a:cxnLst/>
                            <a:rect l="0" t="0" r="0" b="0"/>
                            <a:pathLst>
                              <a:path w="581660" h="1161415">
                                <a:moveTo>
                                  <a:pt x="0" y="0"/>
                                </a:moveTo>
                                <a:cubicBezTo>
                                  <a:pt x="321310" y="0"/>
                                  <a:pt x="581660" y="260477"/>
                                  <a:pt x="581660" y="581787"/>
                                </a:cubicBezTo>
                                <a:cubicBezTo>
                                  <a:pt x="581660" y="883666"/>
                                  <a:pt x="350774" y="1135507"/>
                                  <a:pt x="49911" y="1161415"/>
                                </a:cubicBezTo>
                                <a:lnTo>
                                  <a:pt x="0" y="581787"/>
                                </a:lnTo>
                                <a:lnTo>
                                  <a:pt x="0"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41801" name="Shape 41801"/>
                        <wps:cNvSpPr/>
                        <wps:spPr>
                          <a:xfrm>
                            <a:off x="705180" y="381762"/>
                            <a:ext cx="581660" cy="1161415"/>
                          </a:xfrm>
                          <a:custGeom>
                            <a:avLst/>
                            <a:gdLst/>
                            <a:ahLst/>
                            <a:cxnLst/>
                            <a:rect l="0" t="0" r="0" b="0"/>
                            <a:pathLst>
                              <a:path w="581660" h="1161415">
                                <a:moveTo>
                                  <a:pt x="0" y="0"/>
                                </a:moveTo>
                                <a:cubicBezTo>
                                  <a:pt x="321310" y="0"/>
                                  <a:pt x="581660" y="260477"/>
                                  <a:pt x="581660" y="581787"/>
                                </a:cubicBezTo>
                                <a:cubicBezTo>
                                  <a:pt x="581660" y="883666"/>
                                  <a:pt x="350774" y="1135507"/>
                                  <a:pt x="49911" y="1161415"/>
                                </a:cubicBezTo>
                                <a:lnTo>
                                  <a:pt x="0" y="581787"/>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02" name="Shape 41802"/>
                        <wps:cNvSpPr/>
                        <wps:spPr>
                          <a:xfrm>
                            <a:off x="705180" y="963549"/>
                            <a:ext cx="49911" cy="581279"/>
                          </a:xfrm>
                          <a:custGeom>
                            <a:avLst/>
                            <a:gdLst/>
                            <a:ahLst/>
                            <a:cxnLst/>
                            <a:rect l="0" t="0" r="0" b="0"/>
                            <a:pathLst>
                              <a:path w="49911" h="581279">
                                <a:moveTo>
                                  <a:pt x="0" y="0"/>
                                </a:moveTo>
                                <a:lnTo>
                                  <a:pt x="49911" y="579628"/>
                                </a:lnTo>
                                <a:cubicBezTo>
                                  <a:pt x="41656" y="580390"/>
                                  <a:pt x="33274" y="580899"/>
                                  <a:pt x="25019" y="581279"/>
                                </a:cubicBezTo>
                                <a:lnTo>
                                  <a:pt x="0" y="0"/>
                                </a:ln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41803" name="Shape 41803"/>
                        <wps:cNvSpPr/>
                        <wps:spPr>
                          <a:xfrm>
                            <a:off x="705180" y="963549"/>
                            <a:ext cx="49911" cy="581279"/>
                          </a:xfrm>
                          <a:custGeom>
                            <a:avLst/>
                            <a:gdLst/>
                            <a:ahLst/>
                            <a:cxnLst/>
                            <a:rect l="0" t="0" r="0" b="0"/>
                            <a:pathLst>
                              <a:path w="49911" h="581279">
                                <a:moveTo>
                                  <a:pt x="49911" y="579628"/>
                                </a:moveTo>
                                <a:cubicBezTo>
                                  <a:pt x="41656" y="580390"/>
                                  <a:pt x="33274" y="580899"/>
                                  <a:pt x="25019" y="581279"/>
                                </a:cubicBez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04" name="Shape 41804"/>
                        <wps:cNvSpPr/>
                        <wps:spPr>
                          <a:xfrm>
                            <a:off x="655142" y="963549"/>
                            <a:ext cx="75057" cy="582295"/>
                          </a:xfrm>
                          <a:custGeom>
                            <a:avLst/>
                            <a:gdLst/>
                            <a:ahLst/>
                            <a:cxnLst/>
                            <a:rect l="0" t="0" r="0" b="0"/>
                            <a:pathLst>
                              <a:path w="75057" h="582295">
                                <a:moveTo>
                                  <a:pt x="50038" y="0"/>
                                </a:moveTo>
                                <a:lnTo>
                                  <a:pt x="75057" y="581279"/>
                                </a:lnTo>
                                <a:cubicBezTo>
                                  <a:pt x="50038" y="582295"/>
                                  <a:pt x="24892" y="581787"/>
                                  <a:pt x="0" y="579628"/>
                                </a:cubicBezTo>
                                <a:lnTo>
                                  <a:pt x="50038" y="0"/>
                                </a:ln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41805" name="Shape 41805"/>
                        <wps:cNvSpPr/>
                        <wps:spPr>
                          <a:xfrm>
                            <a:off x="655142" y="963549"/>
                            <a:ext cx="75057" cy="582295"/>
                          </a:xfrm>
                          <a:custGeom>
                            <a:avLst/>
                            <a:gdLst/>
                            <a:ahLst/>
                            <a:cxnLst/>
                            <a:rect l="0" t="0" r="0" b="0"/>
                            <a:pathLst>
                              <a:path w="75057" h="582295">
                                <a:moveTo>
                                  <a:pt x="75057" y="581279"/>
                                </a:moveTo>
                                <a:cubicBezTo>
                                  <a:pt x="50038" y="582295"/>
                                  <a:pt x="24892" y="581787"/>
                                  <a:pt x="0" y="579628"/>
                                </a:cubicBezTo>
                                <a:lnTo>
                                  <a:pt x="50038"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06" name="Shape 41806"/>
                        <wps:cNvSpPr/>
                        <wps:spPr>
                          <a:xfrm>
                            <a:off x="605485" y="963549"/>
                            <a:ext cx="99695" cy="579628"/>
                          </a:xfrm>
                          <a:custGeom>
                            <a:avLst/>
                            <a:gdLst/>
                            <a:ahLst/>
                            <a:cxnLst/>
                            <a:rect l="0" t="0" r="0" b="0"/>
                            <a:pathLst>
                              <a:path w="99695" h="579628">
                                <a:moveTo>
                                  <a:pt x="99695" y="0"/>
                                </a:moveTo>
                                <a:lnTo>
                                  <a:pt x="49657" y="579628"/>
                                </a:lnTo>
                                <a:cubicBezTo>
                                  <a:pt x="33020" y="578231"/>
                                  <a:pt x="16510" y="576073"/>
                                  <a:pt x="0" y="573151"/>
                                </a:cubicBezTo>
                                <a:lnTo>
                                  <a:pt x="99695" y="0"/>
                                </a:ln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41807" name="Shape 41807"/>
                        <wps:cNvSpPr/>
                        <wps:spPr>
                          <a:xfrm>
                            <a:off x="605485" y="963549"/>
                            <a:ext cx="99695" cy="579628"/>
                          </a:xfrm>
                          <a:custGeom>
                            <a:avLst/>
                            <a:gdLst/>
                            <a:ahLst/>
                            <a:cxnLst/>
                            <a:rect l="0" t="0" r="0" b="0"/>
                            <a:pathLst>
                              <a:path w="99695" h="579628">
                                <a:moveTo>
                                  <a:pt x="49657" y="579628"/>
                                </a:moveTo>
                                <a:cubicBezTo>
                                  <a:pt x="33020" y="578231"/>
                                  <a:pt x="16510" y="576073"/>
                                  <a:pt x="0" y="573151"/>
                                </a:cubicBezTo>
                                <a:lnTo>
                                  <a:pt x="99695"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08" name="Shape 41808"/>
                        <wps:cNvSpPr/>
                        <wps:spPr>
                          <a:xfrm>
                            <a:off x="580974" y="963549"/>
                            <a:ext cx="124206" cy="573151"/>
                          </a:xfrm>
                          <a:custGeom>
                            <a:avLst/>
                            <a:gdLst/>
                            <a:ahLst/>
                            <a:cxnLst/>
                            <a:rect l="0" t="0" r="0" b="0"/>
                            <a:pathLst>
                              <a:path w="124206" h="573151">
                                <a:moveTo>
                                  <a:pt x="124206" y="0"/>
                                </a:moveTo>
                                <a:lnTo>
                                  <a:pt x="24511" y="573151"/>
                                </a:lnTo>
                                <a:cubicBezTo>
                                  <a:pt x="16256" y="571754"/>
                                  <a:pt x="8128" y="570103"/>
                                  <a:pt x="0" y="568325"/>
                                </a:cubicBezTo>
                                <a:lnTo>
                                  <a:pt x="124206" y="0"/>
                                </a:ln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41809" name="Shape 41809"/>
                        <wps:cNvSpPr/>
                        <wps:spPr>
                          <a:xfrm>
                            <a:off x="580974" y="963549"/>
                            <a:ext cx="124206" cy="573151"/>
                          </a:xfrm>
                          <a:custGeom>
                            <a:avLst/>
                            <a:gdLst/>
                            <a:ahLst/>
                            <a:cxnLst/>
                            <a:rect l="0" t="0" r="0" b="0"/>
                            <a:pathLst>
                              <a:path w="124206" h="573151">
                                <a:moveTo>
                                  <a:pt x="24511" y="573151"/>
                                </a:moveTo>
                                <a:cubicBezTo>
                                  <a:pt x="16256" y="571754"/>
                                  <a:pt x="8128" y="570103"/>
                                  <a:pt x="0" y="568325"/>
                                </a:cubicBezTo>
                                <a:lnTo>
                                  <a:pt x="124206"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10" name="Shape 41810"/>
                        <wps:cNvSpPr/>
                        <wps:spPr>
                          <a:xfrm>
                            <a:off x="68199" y="390398"/>
                            <a:ext cx="636981" cy="1141476"/>
                          </a:xfrm>
                          <a:custGeom>
                            <a:avLst/>
                            <a:gdLst/>
                            <a:ahLst/>
                            <a:cxnLst/>
                            <a:rect l="0" t="0" r="0" b="0"/>
                            <a:pathLst>
                              <a:path w="636981" h="1141476">
                                <a:moveTo>
                                  <a:pt x="537286" y="0"/>
                                </a:moveTo>
                                <a:lnTo>
                                  <a:pt x="636981" y="573151"/>
                                </a:lnTo>
                                <a:lnTo>
                                  <a:pt x="512775" y="1141476"/>
                                </a:lnTo>
                                <a:cubicBezTo>
                                  <a:pt x="198831" y="1072897"/>
                                  <a:pt x="0" y="762889"/>
                                  <a:pt x="68605" y="448945"/>
                                </a:cubicBezTo>
                                <a:cubicBezTo>
                                  <a:pt x="119088" y="217932"/>
                                  <a:pt x="304368" y="40513"/>
                                  <a:pt x="537286" y="0"/>
                                </a:cubicBezTo>
                                <a:close/>
                              </a:path>
                            </a:pathLst>
                          </a:custGeom>
                          <a:ln w="0" cap="flat">
                            <a:round/>
                          </a:ln>
                        </wps:spPr>
                        <wps:style>
                          <a:lnRef idx="0">
                            <a:srgbClr val="000000">
                              <a:alpha val="0"/>
                            </a:srgbClr>
                          </a:lnRef>
                          <a:fillRef idx="1">
                            <a:srgbClr val="70AD47"/>
                          </a:fillRef>
                          <a:effectRef idx="0">
                            <a:scrgbClr r="0" g="0" b="0"/>
                          </a:effectRef>
                          <a:fontRef idx="none"/>
                        </wps:style>
                        <wps:bodyPr/>
                      </wps:wsp>
                      <wps:wsp>
                        <wps:cNvPr id="41811" name="Shape 41811"/>
                        <wps:cNvSpPr/>
                        <wps:spPr>
                          <a:xfrm>
                            <a:off x="68199" y="390398"/>
                            <a:ext cx="636981" cy="1141476"/>
                          </a:xfrm>
                          <a:custGeom>
                            <a:avLst/>
                            <a:gdLst/>
                            <a:ahLst/>
                            <a:cxnLst/>
                            <a:rect l="0" t="0" r="0" b="0"/>
                            <a:pathLst>
                              <a:path w="636981" h="1141476">
                                <a:moveTo>
                                  <a:pt x="512775" y="1141476"/>
                                </a:moveTo>
                                <a:cubicBezTo>
                                  <a:pt x="198831" y="1072897"/>
                                  <a:pt x="0" y="762889"/>
                                  <a:pt x="68605" y="448945"/>
                                </a:cubicBezTo>
                                <a:cubicBezTo>
                                  <a:pt x="119088" y="217932"/>
                                  <a:pt x="304368" y="40513"/>
                                  <a:pt x="537286" y="0"/>
                                </a:cubicBezTo>
                                <a:lnTo>
                                  <a:pt x="636981" y="573151"/>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12" name="Shape 41812"/>
                        <wps:cNvSpPr/>
                        <wps:spPr>
                          <a:xfrm>
                            <a:off x="605485" y="383922"/>
                            <a:ext cx="99695" cy="579627"/>
                          </a:xfrm>
                          <a:custGeom>
                            <a:avLst/>
                            <a:gdLst/>
                            <a:ahLst/>
                            <a:cxnLst/>
                            <a:rect l="0" t="0" r="0" b="0"/>
                            <a:pathLst>
                              <a:path w="99695" h="579627">
                                <a:moveTo>
                                  <a:pt x="49657" y="0"/>
                                </a:moveTo>
                                <a:lnTo>
                                  <a:pt x="99695" y="579627"/>
                                </a:lnTo>
                                <a:lnTo>
                                  <a:pt x="0" y="6476"/>
                                </a:lnTo>
                                <a:cubicBezTo>
                                  <a:pt x="16510" y="3683"/>
                                  <a:pt x="33020" y="1524"/>
                                  <a:pt x="49657" y="0"/>
                                </a:cubicBezTo>
                                <a:close/>
                              </a:path>
                            </a:pathLst>
                          </a:custGeom>
                          <a:ln w="0" cap="flat">
                            <a:round/>
                          </a:ln>
                        </wps:spPr>
                        <wps:style>
                          <a:lnRef idx="0">
                            <a:srgbClr val="000000">
                              <a:alpha val="0"/>
                            </a:srgbClr>
                          </a:lnRef>
                          <a:fillRef idx="1">
                            <a:srgbClr val="255E91"/>
                          </a:fillRef>
                          <a:effectRef idx="0">
                            <a:scrgbClr r="0" g="0" b="0"/>
                          </a:effectRef>
                          <a:fontRef idx="none"/>
                        </wps:style>
                        <wps:bodyPr/>
                      </wps:wsp>
                      <wps:wsp>
                        <wps:cNvPr id="41813" name="Shape 41813"/>
                        <wps:cNvSpPr/>
                        <wps:spPr>
                          <a:xfrm>
                            <a:off x="605485" y="383922"/>
                            <a:ext cx="99695" cy="579627"/>
                          </a:xfrm>
                          <a:custGeom>
                            <a:avLst/>
                            <a:gdLst/>
                            <a:ahLst/>
                            <a:cxnLst/>
                            <a:rect l="0" t="0" r="0" b="0"/>
                            <a:pathLst>
                              <a:path w="99695" h="579627">
                                <a:moveTo>
                                  <a:pt x="0" y="6476"/>
                                </a:moveTo>
                                <a:cubicBezTo>
                                  <a:pt x="16510" y="3683"/>
                                  <a:pt x="33020" y="1524"/>
                                  <a:pt x="49657" y="0"/>
                                </a:cubicBezTo>
                                <a:lnTo>
                                  <a:pt x="99695" y="579627"/>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14" name="Shape 41814"/>
                        <wps:cNvSpPr/>
                        <wps:spPr>
                          <a:xfrm>
                            <a:off x="655142" y="383922"/>
                            <a:ext cx="50038" cy="579627"/>
                          </a:xfrm>
                          <a:custGeom>
                            <a:avLst/>
                            <a:gdLst/>
                            <a:ahLst/>
                            <a:cxnLst/>
                            <a:rect l="0" t="0" r="0" b="0"/>
                            <a:pathLst>
                              <a:path w="50038" h="579627">
                                <a:moveTo>
                                  <a:pt x="0" y="0"/>
                                </a:moveTo>
                                <a:lnTo>
                                  <a:pt x="50038" y="579627"/>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15" name="Shape 41815"/>
                        <wps:cNvSpPr/>
                        <wps:spPr>
                          <a:xfrm>
                            <a:off x="655142" y="383922"/>
                            <a:ext cx="50038" cy="579627"/>
                          </a:xfrm>
                          <a:custGeom>
                            <a:avLst/>
                            <a:gdLst/>
                            <a:ahLst/>
                            <a:cxnLst/>
                            <a:rect l="0" t="0" r="0" b="0"/>
                            <a:pathLst>
                              <a:path w="50038" h="579627">
                                <a:moveTo>
                                  <a:pt x="0" y="0"/>
                                </a:moveTo>
                                <a:lnTo>
                                  <a:pt x="50038" y="579627"/>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16" name="Shape 41816"/>
                        <wps:cNvSpPr/>
                        <wps:spPr>
                          <a:xfrm>
                            <a:off x="655142" y="381762"/>
                            <a:ext cx="50038" cy="581787"/>
                          </a:xfrm>
                          <a:custGeom>
                            <a:avLst/>
                            <a:gdLst/>
                            <a:ahLst/>
                            <a:cxnLst/>
                            <a:rect l="0" t="0" r="0" b="0"/>
                            <a:pathLst>
                              <a:path w="50038" h="581787">
                                <a:moveTo>
                                  <a:pt x="50038" y="0"/>
                                </a:moveTo>
                                <a:lnTo>
                                  <a:pt x="50038" y="581787"/>
                                </a:lnTo>
                                <a:lnTo>
                                  <a:pt x="0" y="2160"/>
                                </a:lnTo>
                                <a:cubicBezTo>
                                  <a:pt x="16637" y="762"/>
                                  <a:pt x="33274" y="0"/>
                                  <a:pt x="50038" y="0"/>
                                </a:cubicBezTo>
                                <a:close/>
                              </a:path>
                            </a:pathLst>
                          </a:custGeom>
                          <a:ln w="0" cap="flat">
                            <a:round/>
                          </a:ln>
                        </wps:spPr>
                        <wps:style>
                          <a:lnRef idx="0">
                            <a:srgbClr val="000000">
                              <a:alpha val="0"/>
                            </a:srgbClr>
                          </a:lnRef>
                          <a:fillRef idx="1">
                            <a:srgbClr val="997300"/>
                          </a:fillRef>
                          <a:effectRef idx="0">
                            <a:scrgbClr r="0" g="0" b="0"/>
                          </a:effectRef>
                          <a:fontRef idx="none"/>
                        </wps:style>
                        <wps:bodyPr/>
                      </wps:wsp>
                      <wps:wsp>
                        <wps:cNvPr id="41817" name="Shape 41817"/>
                        <wps:cNvSpPr/>
                        <wps:spPr>
                          <a:xfrm>
                            <a:off x="655142" y="381762"/>
                            <a:ext cx="50038" cy="581787"/>
                          </a:xfrm>
                          <a:custGeom>
                            <a:avLst/>
                            <a:gdLst/>
                            <a:ahLst/>
                            <a:cxnLst/>
                            <a:rect l="0" t="0" r="0" b="0"/>
                            <a:pathLst>
                              <a:path w="50038" h="581787">
                                <a:moveTo>
                                  <a:pt x="0" y="2160"/>
                                </a:moveTo>
                                <a:cubicBezTo>
                                  <a:pt x="16637" y="762"/>
                                  <a:pt x="33274" y="0"/>
                                  <a:pt x="50038" y="0"/>
                                </a:cubicBezTo>
                                <a:lnTo>
                                  <a:pt x="50038" y="581787"/>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18" name="Shape 41818"/>
                        <wps:cNvSpPr/>
                        <wps:spPr>
                          <a:xfrm>
                            <a:off x="705180" y="381762"/>
                            <a:ext cx="0" cy="581787"/>
                          </a:xfrm>
                          <a:custGeom>
                            <a:avLst/>
                            <a:gdLst/>
                            <a:ahLst/>
                            <a:cxnLst/>
                            <a:rect l="0" t="0" r="0" b="0"/>
                            <a:pathLst>
                              <a:path h="581787">
                                <a:moveTo>
                                  <a:pt x="0" y="0"/>
                                </a:moveTo>
                                <a:lnTo>
                                  <a:pt x="0" y="581787"/>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19" name="Shape 41819"/>
                        <wps:cNvSpPr/>
                        <wps:spPr>
                          <a:xfrm>
                            <a:off x="743407" y="1544828"/>
                            <a:ext cx="33528" cy="178308"/>
                          </a:xfrm>
                          <a:custGeom>
                            <a:avLst/>
                            <a:gdLst/>
                            <a:ahLst/>
                            <a:cxnLst/>
                            <a:rect l="0" t="0" r="0" b="0"/>
                            <a:pathLst>
                              <a:path w="33528" h="178308">
                                <a:moveTo>
                                  <a:pt x="0" y="0"/>
                                </a:moveTo>
                                <a:lnTo>
                                  <a:pt x="33528" y="178308"/>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820" name="Shape 41820"/>
                        <wps:cNvSpPr/>
                        <wps:spPr>
                          <a:xfrm>
                            <a:off x="693115" y="1544828"/>
                            <a:ext cx="0" cy="155448"/>
                          </a:xfrm>
                          <a:custGeom>
                            <a:avLst/>
                            <a:gdLst/>
                            <a:ahLst/>
                            <a:cxnLst/>
                            <a:rect l="0" t="0" r="0" b="0"/>
                            <a:pathLst>
                              <a:path h="155448">
                                <a:moveTo>
                                  <a:pt x="0" y="0"/>
                                </a:moveTo>
                                <a:lnTo>
                                  <a:pt x="0" y="155448"/>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821" name="Shape 41821"/>
                        <wps:cNvSpPr/>
                        <wps:spPr>
                          <a:xfrm>
                            <a:off x="347167" y="1540256"/>
                            <a:ext cx="283464" cy="10668"/>
                          </a:xfrm>
                          <a:custGeom>
                            <a:avLst/>
                            <a:gdLst/>
                            <a:ahLst/>
                            <a:cxnLst/>
                            <a:rect l="0" t="0" r="0" b="0"/>
                            <a:pathLst>
                              <a:path w="283464" h="10668">
                                <a:moveTo>
                                  <a:pt x="283464" y="0"/>
                                </a:moveTo>
                                <a:lnTo>
                                  <a:pt x="57912" y="10668"/>
                                </a:lnTo>
                                <a:lnTo>
                                  <a:pt x="0" y="10668"/>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822" name="Shape 41822"/>
                        <wps:cNvSpPr/>
                        <wps:spPr>
                          <a:xfrm>
                            <a:off x="475183" y="1534161"/>
                            <a:ext cx="117348" cy="128015"/>
                          </a:xfrm>
                          <a:custGeom>
                            <a:avLst/>
                            <a:gdLst/>
                            <a:ahLst/>
                            <a:cxnLst/>
                            <a:rect l="0" t="0" r="0" b="0"/>
                            <a:pathLst>
                              <a:path w="117348" h="128015">
                                <a:moveTo>
                                  <a:pt x="117348" y="0"/>
                                </a:moveTo>
                                <a:lnTo>
                                  <a:pt x="57912" y="128015"/>
                                </a:lnTo>
                                <a:lnTo>
                                  <a:pt x="0" y="128015"/>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823" name="Shape 41823"/>
                        <wps:cNvSpPr/>
                        <wps:spPr>
                          <a:xfrm>
                            <a:off x="302971" y="368300"/>
                            <a:ext cx="327660" cy="18288"/>
                          </a:xfrm>
                          <a:custGeom>
                            <a:avLst/>
                            <a:gdLst/>
                            <a:ahLst/>
                            <a:cxnLst/>
                            <a:rect l="0" t="0" r="0" b="0"/>
                            <a:pathLst>
                              <a:path w="327660" h="18288">
                                <a:moveTo>
                                  <a:pt x="327660" y="18288"/>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824" name="Shape 41824"/>
                        <wps:cNvSpPr/>
                        <wps:spPr>
                          <a:xfrm>
                            <a:off x="592531" y="330200"/>
                            <a:ext cx="62484" cy="53340"/>
                          </a:xfrm>
                          <a:custGeom>
                            <a:avLst/>
                            <a:gdLst/>
                            <a:ahLst/>
                            <a:cxnLst/>
                            <a:rect l="0" t="0" r="0" b="0"/>
                            <a:pathLst>
                              <a:path w="62484" h="53340">
                                <a:moveTo>
                                  <a:pt x="62484" y="53340"/>
                                </a:moveTo>
                                <a:lnTo>
                                  <a:pt x="56388"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825" name="Shape 41825"/>
                        <wps:cNvSpPr/>
                        <wps:spPr>
                          <a:xfrm>
                            <a:off x="679399" y="327152"/>
                            <a:ext cx="173736" cy="54864"/>
                          </a:xfrm>
                          <a:custGeom>
                            <a:avLst/>
                            <a:gdLst/>
                            <a:ahLst/>
                            <a:cxnLst/>
                            <a:rect l="0" t="0" r="0" b="0"/>
                            <a:pathLst>
                              <a:path w="173736" h="54864">
                                <a:moveTo>
                                  <a:pt x="0" y="54864"/>
                                </a:moveTo>
                                <a:lnTo>
                                  <a:pt x="117348" y="0"/>
                                </a:lnTo>
                                <a:lnTo>
                                  <a:pt x="173736"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761502" name="Rectangle 761502"/>
                        <wps:cNvSpPr/>
                        <wps:spPr>
                          <a:xfrm>
                            <a:off x="1191463" y="1114425"/>
                            <a:ext cx="108694" cy="154840"/>
                          </a:xfrm>
                          <a:prstGeom prst="rect">
                            <a:avLst/>
                          </a:prstGeom>
                          <a:ln>
                            <a:noFill/>
                          </a:ln>
                        </wps:spPr>
                        <wps:txbx>
                          <w:txbxContent>
                            <w:p w14:paraId="67EE9012"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501" name="Rectangle 761501"/>
                        <wps:cNvSpPr/>
                        <wps:spPr>
                          <a:xfrm>
                            <a:off x="930859" y="1114425"/>
                            <a:ext cx="346603" cy="154840"/>
                          </a:xfrm>
                          <a:prstGeom prst="rect">
                            <a:avLst/>
                          </a:prstGeom>
                          <a:ln>
                            <a:noFill/>
                          </a:ln>
                        </wps:spPr>
                        <wps:txbx>
                          <w:txbxContent>
                            <w:p w14:paraId="6A0B5CB1" w14:textId="77777777" w:rsidR="0014164F" w:rsidRDefault="0014164F" w:rsidP="006D5692">
                              <w:r>
                                <w:rPr>
                                  <w:rFonts w:ascii="Calibri" w:hAnsi="Calibri" w:cs="Calibri"/>
                                  <w:color w:val="404040"/>
                                  <w:sz w:val="18"/>
                                </w:rPr>
                                <w:t>48.63</w:t>
                              </w:r>
                            </w:p>
                          </w:txbxContent>
                        </wps:txbx>
                        <wps:bodyPr horzOverflow="overflow" vert="horz" lIns="0" tIns="0" rIns="0" bIns="0" rtlCol="0">
                          <a:noAutofit/>
                        </wps:bodyPr>
                      </wps:wsp>
                      <wps:wsp>
                        <wps:cNvPr id="761519" name="Rectangle 761519"/>
                        <wps:cNvSpPr/>
                        <wps:spPr>
                          <a:xfrm>
                            <a:off x="796747" y="1637665"/>
                            <a:ext cx="269530" cy="154840"/>
                          </a:xfrm>
                          <a:prstGeom prst="rect">
                            <a:avLst/>
                          </a:prstGeom>
                          <a:ln>
                            <a:noFill/>
                          </a:ln>
                        </wps:spPr>
                        <wps:txbx>
                          <w:txbxContent>
                            <w:p w14:paraId="1D5A1184" w14:textId="77777777" w:rsidR="0014164F" w:rsidRDefault="0014164F" w:rsidP="006D5692">
                              <w:r>
                                <w:rPr>
                                  <w:rFonts w:ascii="Calibri" w:hAnsi="Calibri" w:cs="Calibri"/>
                                  <w:color w:val="404040"/>
                                  <w:sz w:val="18"/>
                                </w:rPr>
                                <w:t>0.68</w:t>
                              </w:r>
                            </w:p>
                          </w:txbxContent>
                        </wps:txbx>
                        <wps:bodyPr horzOverflow="overflow" vert="horz" lIns="0" tIns="0" rIns="0" bIns="0" rtlCol="0">
                          <a:noAutofit/>
                        </wps:bodyPr>
                      </wps:wsp>
                      <wps:wsp>
                        <wps:cNvPr id="761520" name="Rectangle 761520"/>
                        <wps:cNvSpPr/>
                        <wps:spPr>
                          <a:xfrm>
                            <a:off x="999401" y="1637665"/>
                            <a:ext cx="108694" cy="154840"/>
                          </a:xfrm>
                          <a:prstGeom prst="rect">
                            <a:avLst/>
                          </a:prstGeom>
                          <a:ln>
                            <a:noFill/>
                          </a:ln>
                        </wps:spPr>
                        <wps:txbx>
                          <w:txbxContent>
                            <w:p w14:paraId="03A0DC6B"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521" name="Rectangle 761521"/>
                        <wps:cNvSpPr/>
                        <wps:spPr>
                          <a:xfrm>
                            <a:off x="418795" y="1723390"/>
                            <a:ext cx="269530" cy="154840"/>
                          </a:xfrm>
                          <a:prstGeom prst="rect">
                            <a:avLst/>
                          </a:prstGeom>
                          <a:ln>
                            <a:noFill/>
                          </a:ln>
                        </wps:spPr>
                        <wps:txbx>
                          <w:txbxContent>
                            <w:p w14:paraId="78678D49" w14:textId="77777777" w:rsidR="0014164F" w:rsidRDefault="0014164F" w:rsidP="006D5692">
                              <w:r>
                                <w:rPr>
                                  <w:rFonts w:ascii="Calibri" w:hAnsi="Calibri" w:cs="Calibri"/>
                                  <w:color w:val="404040"/>
                                  <w:sz w:val="18"/>
                                </w:rPr>
                                <w:t>2.05</w:t>
                              </w:r>
                            </w:p>
                          </w:txbxContent>
                        </wps:txbx>
                        <wps:bodyPr horzOverflow="overflow" vert="horz" lIns="0" tIns="0" rIns="0" bIns="0" rtlCol="0">
                          <a:noAutofit/>
                        </wps:bodyPr>
                      </wps:wsp>
                      <wps:wsp>
                        <wps:cNvPr id="761522" name="Rectangle 761522"/>
                        <wps:cNvSpPr/>
                        <wps:spPr>
                          <a:xfrm>
                            <a:off x="621449" y="1723390"/>
                            <a:ext cx="108694" cy="154840"/>
                          </a:xfrm>
                          <a:prstGeom prst="rect">
                            <a:avLst/>
                          </a:prstGeom>
                          <a:ln>
                            <a:noFill/>
                          </a:ln>
                        </wps:spPr>
                        <wps:txbx>
                          <w:txbxContent>
                            <w:p w14:paraId="2E57A1BF"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509" name="Rectangle 761509"/>
                        <wps:cNvSpPr/>
                        <wps:spPr>
                          <a:xfrm>
                            <a:off x="246850" y="1464946"/>
                            <a:ext cx="108694" cy="154840"/>
                          </a:xfrm>
                          <a:prstGeom prst="rect">
                            <a:avLst/>
                          </a:prstGeom>
                          <a:ln>
                            <a:noFill/>
                          </a:ln>
                        </wps:spPr>
                        <wps:txbx>
                          <w:txbxContent>
                            <w:p w14:paraId="552B7C37"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508" name="Rectangle 761508"/>
                        <wps:cNvSpPr/>
                        <wps:spPr>
                          <a:xfrm>
                            <a:off x="44196" y="1464946"/>
                            <a:ext cx="269530" cy="154840"/>
                          </a:xfrm>
                          <a:prstGeom prst="rect">
                            <a:avLst/>
                          </a:prstGeom>
                          <a:ln>
                            <a:noFill/>
                          </a:ln>
                        </wps:spPr>
                        <wps:txbx>
                          <w:txbxContent>
                            <w:p w14:paraId="124331B4" w14:textId="77777777" w:rsidR="0014164F" w:rsidRDefault="0014164F" w:rsidP="006D5692">
                              <w:r>
                                <w:rPr>
                                  <w:rFonts w:ascii="Calibri" w:hAnsi="Calibri" w:cs="Calibri"/>
                                  <w:color w:val="404040"/>
                                  <w:sz w:val="18"/>
                                </w:rPr>
                                <w:t>1.37</w:t>
                              </w:r>
                            </w:p>
                          </w:txbxContent>
                        </wps:txbx>
                        <wps:bodyPr horzOverflow="overflow" vert="horz" lIns="0" tIns="0" rIns="0" bIns="0" rtlCol="0">
                          <a:noAutofit/>
                        </wps:bodyPr>
                      </wps:wsp>
                      <wps:wsp>
                        <wps:cNvPr id="761518" name="Rectangle 761518"/>
                        <wps:cNvSpPr/>
                        <wps:spPr>
                          <a:xfrm>
                            <a:off x="374866" y="1575562"/>
                            <a:ext cx="108694" cy="154840"/>
                          </a:xfrm>
                          <a:prstGeom prst="rect">
                            <a:avLst/>
                          </a:prstGeom>
                          <a:ln>
                            <a:noFill/>
                          </a:ln>
                        </wps:spPr>
                        <wps:txbx>
                          <w:txbxContent>
                            <w:p w14:paraId="5EDA04FE"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517" name="Rectangle 761517"/>
                        <wps:cNvSpPr/>
                        <wps:spPr>
                          <a:xfrm>
                            <a:off x="172212" y="1575562"/>
                            <a:ext cx="269530" cy="154840"/>
                          </a:xfrm>
                          <a:prstGeom prst="rect">
                            <a:avLst/>
                          </a:prstGeom>
                          <a:ln>
                            <a:noFill/>
                          </a:ln>
                        </wps:spPr>
                        <wps:txbx>
                          <w:txbxContent>
                            <w:p w14:paraId="7A7DB5E1" w14:textId="77777777" w:rsidR="0014164F" w:rsidRDefault="0014164F" w:rsidP="006D5692">
                              <w:r>
                                <w:rPr>
                                  <w:rFonts w:ascii="Calibri" w:hAnsi="Calibri" w:cs="Calibri"/>
                                  <w:color w:val="404040"/>
                                  <w:sz w:val="18"/>
                                </w:rPr>
                                <w:t>0.68</w:t>
                              </w:r>
                            </w:p>
                          </w:txbxContent>
                        </wps:txbx>
                        <wps:bodyPr horzOverflow="overflow" vert="horz" lIns="0" tIns="0" rIns="0" bIns="0" rtlCol="0">
                          <a:noAutofit/>
                        </wps:bodyPr>
                      </wps:wsp>
                      <wps:wsp>
                        <wps:cNvPr id="761500" name="Rectangle 761500"/>
                        <wps:cNvSpPr/>
                        <wps:spPr>
                          <a:xfrm>
                            <a:off x="445122" y="908939"/>
                            <a:ext cx="108694" cy="154840"/>
                          </a:xfrm>
                          <a:prstGeom prst="rect">
                            <a:avLst/>
                          </a:prstGeom>
                          <a:ln>
                            <a:noFill/>
                          </a:ln>
                        </wps:spPr>
                        <wps:txbx>
                          <w:txbxContent>
                            <w:p w14:paraId="6E06E58F"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498" name="Rectangle 761498"/>
                        <wps:cNvSpPr/>
                        <wps:spPr>
                          <a:xfrm>
                            <a:off x="183185" y="908939"/>
                            <a:ext cx="348022" cy="154840"/>
                          </a:xfrm>
                          <a:prstGeom prst="rect">
                            <a:avLst/>
                          </a:prstGeom>
                          <a:ln>
                            <a:noFill/>
                          </a:ln>
                        </wps:spPr>
                        <wps:txbx>
                          <w:txbxContent>
                            <w:p w14:paraId="6466FAC0" w14:textId="77777777" w:rsidR="0014164F" w:rsidRDefault="0014164F" w:rsidP="006D5692">
                              <w:r>
                                <w:rPr>
                                  <w:rFonts w:ascii="Calibri" w:hAnsi="Calibri" w:cs="Calibri"/>
                                  <w:color w:val="404040"/>
                                  <w:sz w:val="18"/>
                                </w:rPr>
                                <w:t>43.84</w:t>
                              </w:r>
                            </w:p>
                          </w:txbxContent>
                        </wps:txbx>
                        <wps:bodyPr horzOverflow="overflow" vert="horz" lIns="0" tIns="0" rIns="0" bIns="0" rtlCol="0">
                          <a:noAutofit/>
                        </wps:bodyPr>
                      </wps:wsp>
                      <wps:wsp>
                        <wps:cNvPr id="761483" name="Rectangle 761483"/>
                        <wps:cNvSpPr/>
                        <wps:spPr>
                          <a:xfrm>
                            <a:off x="0" y="281940"/>
                            <a:ext cx="269530" cy="154840"/>
                          </a:xfrm>
                          <a:prstGeom prst="rect">
                            <a:avLst/>
                          </a:prstGeom>
                          <a:ln>
                            <a:noFill/>
                          </a:ln>
                        </wps:spPr>
                        <wps:txbx>
                          <w:txbxContent>
                            <w:p w14:paraId="08FD9762" w14:textId="77777777" w:rsidR="0014164F" w:rsidRDefault="0014164F" w:rsidP="006D5692">
                              <w:r>
                                <w:rPr>
                                  <w:rFonts w:ascii="Calibri" w:hAnsi="Calibri" w:cs="Calibri"/>
                                  <w:color w:val="404040"/>
                                  <w:sz w:val="18"/>
                                </w:rPr>
                                <w:t>1.37</w:t>
                              </w:r>
                            </w:p>
                          </w:txbxContent>
                        </wps:txbx>
                        <wps:bodyPr horzOverflow="overflow" vert="horz" lIns="0" tIns="0" rIns="0" bIns="0" rtlCol="0">
                          <a:noAutofit/>
                        </wps:bodyPr>
                      </wps:wsp>
                      <wps:wsp>
                        <wps:cNvPr id="761484" name="Rectangle 761484"/>
                        <wps:cNvSpPr/>
                        <wps:spPr>
                          <a:xfrm>
                            <a:off x="202654" y="281940"/>
                            <a:ext cx="108694" cy="154840"/>
                          </a:xfrm>
                          <a:prstGeom prst="rect">
                            <a:avLst/>
                          </a:prstGeom>
                          <a:ln>
                            <a:noFill/>
                          </a:ln>
                        </wps:spPr>
                        <wps:txbx>
                          <w:txbxContent>
                            <w:p w14:paraId="76902852"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495" name="Rectangle 761495"/>
                        <wps:cNvSpPr/>
                        <wps:spPr>
                          <a:xfrm>
                            <a:off x="248526" y="445389"/>
                            <a:ext cx="108694" cy="154840"/>
                          </a:xfrm>
                          <a:prstGeom prst="rect">
                            <a:avLst/>
                          </a:prstGeom>
                          <a:ln>
                            <a:noFill/>
                          </a:ln>
                        </wps:spPr>
                        <wps:txbx>
                          <w:txbxContent>
                            <w:p w14:paraId="1012790E"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494" name="Rectangle 761494"/>
                        <wps:cNvSpPr/>
                        <wps:spPr>
                          <a:xfrm>
                            <a:off x="44806" y="445389"/>
                            <a:ext cx="270594" cy="154840"/>
                          </a:xfrm>
                          <a:prstGeom prst="rect">
                            <a:avLst/>
                          </a:prstGeom>
                          <a:ln>
                            <a:noFill/>
                          </a:ln>
                        </wps:spPr>
                        <wps:txbx>
                          <w:txbxContent>
                            <w:p w14:paraId="2E3579BB" w14:textId="77777777" w:rsidR="0014164F" w:rsidRDefault="0014164F" w:rsidP="006D5692">
                              <w:r>
                                <w:rPr>
                                  <w:rFonts w:ascii="Calibri" w:hAnsi="Calibri" w:cs="Calibri"/>
                                  <w:color w:val="404040"/>
                                  <w:sz w:val="18"/>
                                </w:rPr>
                                <w:t>0.00</w:t>
                              </w:r>
                            </w:p>
                          </w:txbxContent>
                        </wps:txbx>
                        <wps:bodyPr horzOverflow="overflow" vert="horz" lIns="0" tIns="0" rIns="0" bIns="0" rtlCol="0">
                          <a:noAutofit/>
                        </wps:bodyPr>
                      </wps:wsp>
                      <wps:wsp>
                        <wps:cNvPr id="761486" name="Rectangle 761486"/>
                        <wps:cNvSpPr/>
                        <wps:spPr>
                          <a:xfrm>
                            <a:off x="491274" y="244222"/>
                            <a:ext cx="108694" cy="154840"/>
                          </a:xfrm>
                          <a:prstGeom prst="rect">
                            <a:avLst/>
                          </a:prstGeom>
                          <a:ln>
                            <a:noFill/>
                          </a:ln>
                        </wps:spPr>
                        <wps:txbx>
                          <w:txbxContent>
                            <w:p w14:paraId="11D37419"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485" name="Rectangle 761485"/>
                        <wps:cNvSpPr/>
                        <wps:spPr>
                          <a:xfrm>
                            <a:off x="288620" y="244222"/>
                            <a:ext cx="269530" cy="154840"/>
                          </a:xfrm>
                          <a:prstGeom prst="rect">
                            <a:avLst/>
                          </a:prstGeom>
                          <a:ln>
                            <a:noFill/>
                          </a:ln>
                        </wps:spPr>
                        <wps:txbx>
                          <w:txbxContent>
                            <w:p w14:paraId="0AB4467A" w14:textId="77777777" w:rsidR="0014164F" w:rsidRDefault="0014164F" w:rsidP="006D5692">
                              <w:r>
                                <w:rPr>
                                  <w:rFonts w:ascii="Calibri" w:hAnsi="Calibri" w:cs="Calibri"/>
                                  <w:color w:val="404040"/>
                                  <w:sz w:val="18"/>
                                </w:rPr>
                                <w:t>0.00</w:t>
                              </w:r>
                            </w:p>
                          </w:txbxContent>
                        </wps:txbx>
                        <wps:bodyPr horzOverflow="overflow" vert="horz" lIns="0" tIns="0" rIns="0" bIns="0" rtlCol="0">
                          <a:noAutofit/>
                        </wps:bodyPr>
                      </wps:wsp>
                      <wps:wsp>
                        <wps:cNvPr id="761489" name="Rectangle 761489"/>
                        <wps:cNvSpPr/>
                        <wps:spPr>
                          <a:xfrm>
                            <a:off x="1075347" y="240538"/>
                            <a:ext cx="108694" cy="154840"/>
                          </a:xfrm>
                          <a:prstGeom prst="rect">
                            <a:avLst/>
                          </a:prstGeom>
                          <a:ln>
                            <a:noFill/>
                          </a:ln>
                        </wps:spPr>
                        <wps:txbx>
                          <w:txbxContent>
                            <w:p w14:paraId="4688D88F"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488" name="Rectangle 761488"/>
                        <wps:cNvSpPr/>
                        <wps:spPr>
                          <a:xfrm>
                            <a:off x="872693" y="240538"/>
                            <a:ext cx="269530" cy="154840"/>
                          </a:xfrm>
                          <a:prstGeom prst="rect">
                            <a:avLst/>
                          </a:prstGeom>
                          <a:ln>
                            <a:noFill/>
                          </a:ln>
                        </wps:spPr>
                        <wps:txbx>
                          <w:txbxContent>
                            <w:p w14:paraId="1E9C73D9" w14:textId="77777777" w:rsidR="0014164F" w:rsidRDefault="0014164F" w:rsidP="006D5692">
                              <w:r>
                                <w:rPr>
                                  <w:rFonts w:ascii="Calibri" w:hAnsi="Calibri" w:cs="Calibri"/>
                                  <w:color w:val="404040"/>
                                  <w:sz w:val="18"/>
                                </w:rPr>
                                <w:t>1.37</w:t>
                              </w:r>
                            </w:p>
                          </w:txbxContent>
                        </wps:txbx>
                        <wps:bodyPr horzOverflow="overflow" vert="horz" lIns="0" tIns="0" rIns="0" bIns="0" rtlCol="0">
                          <a:noAutofit/>
                        </wps:bodyPr>
                      </wps:wsp>
                      <wps:wsp>
                        <wps:cNvPr id="761492" name="Rectangle 761492"/>
                        <wps:cNvSpPr/>
                        <wps:spPr>
                          <a:xfrm>
                            <a:off x="1080211" y="345060"/>
                            <a:ext cx="269530" cy="154840"/>
                          </a:xfrm>
                          <a:prstGeom prst="rect">
                            <a:avLst/>
                          </a:prstGeom>
                          <a:ln>
                            <a:noFill/>
                          </a:ln>
                        </wps:spPr>
                        <wps:txbx>
                          <w:txbxContent>
                            <w:p w14:paraId="0C5BD448" w14:textId="77777777" w:rsidR="0014164F" w:rsidRDefault="0014164F" w:rsidP="006D5692">
                              <w:r>
                                <w:rPr>
                                  <w:rFonts w:ascii="Calibri" w:hAnsi="Calibri" w:cs="Calibri"/>
                                  <w:color w:val="404040"/>
                                  <w:sz w:val="18"/>
                                </w:rPr>
                                <w:t>0.00</w:t>
                              </w:r>
                            </w:p>
                          </w:txbxContent>
                        </wps:txbx>
                        <wps:bodyPr horzOverflow="overflow" vert="horz" lIns="0" tIns="0" rIns="0" bIns="0" rtlCol="0">
                          <a:noAutofit/>
                        </wps:bodyPr>
                      </wps:wsp>
                      <wps:wsp>
                        <wps:cNvPr id="761493" name="Rectangle 761493"/>
                        <wps:cNvSpPr/>
                        <wps:spPr>
                          <a:xfrm>
                            <a:off x="1282865" y="345060"/>
                            <a:ext cx="108694" cy="154840"/>
                          </a:xfrm>
                          <a:prstGeom prst="rect">
                            <a:avLst/>
                          </a:prstGeom>
                          <a:ln>
                            <a:noFill/>
                          </a:ln>
                        </wps:spPr>
                        <wps:txbx>
                          <w:txbxContent>
                            <w:p w14:paraId="1C266686"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922383" name="Shape 922383"/>
                        <wps:cNvSpPr/>
                        <wps:spPr>
                          <a:xfrm>
                            <a:off x="1574749" y="280670"/>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1838" name="Shape 41838"/>
                        <wps:cNvSpPr/>
                        <wps:spPr>
                          <a:xfrm>
                            <a:off x="1574749" y="280670"/>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39" name="Rectangle 41839"/>
                        <wps:cNvSpPr/>
                        <wps:spPr>
                          <a:xfrm>
                            <a:off x="1646885" y="246048"/>
                            <a:ext cx="472753" cy="151421"/>
                          </a:xfrm>
                          <a:prstGeom prst="rect">
                            <a:avLst/>
                          </a:prstGeom>
                          <a:ln>
                            <a:noFill/>
                          </a:ln>
                        </wps:spPr>
                        <wps:txbx>
                          <w:txbxContent>
                            <w:p w14:paraId="6427AB49" w14:textId="77777777" w:rsidR="0014164F" w:rsidRDefault="0014164F" w:rsidP="006D5692">
                              <w:r>
                                <w:rPr>
                                  <w:rFonts w:ascii="Arial" w:eastAsia="Arial" w:hAnsi="Arial" w:cs="Arial"/>
                                  <w:color w:val="595959"/>
                                  <w:sz w:val="16"/>
                                </w:rPr>
                                <w:t>Plastika</w:t>
                              </w:r>
                            </w:p>
                          </w:txbxContent>
                        </wps:txbx>
                        <wps:bodyPr horzOverflow="overflow" vert="horz" lIns="0" tIns="0" rIns="0" bIns="0" rtlCol="0">
                          <a:noAutofit/>
                        </wps:bodyPr>
                      </wps:wsp>
                      <wps:wsp>
                        <wps:cNvPr id="922384" name="Shape 922384"/>
                        <wps:cNvSpPr/>
                        <wps:spPr>
                          <a:xfrm>
                            <a:off x="1574749" y="410210"/>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1841" name="Shape 41841"/>
                        <wps:cNvSpPr/>
                        <wps:spPr>
                          <a:xfrm>
                            <a:off x="1574749" y="410210"/>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42" name="Rectangle 41842"/>
                        <wps:cNvSpPr/>
                        <wps:spPr>
                          <a:xfrm>
                            <a:off x="1646885" y="374699"/>
                            <a:ext cx="368999" cy="151421"/>
                          </a:xfrm>
                          <a:prstGeom prst="rect">
                            <a:avLst/>
                          </a:prstGeom>
                          <a:ln>
                            <a:noFill/>
                          </a:ln>
                        </wps:spPr>
                        <wps:txbx>
                          <w:txbxContent>
                            <w:p w14:paraId="7C084120" w14:textId="77777777" w:rsidR="0014164F" w:rsidRDefault="0014164F" w:rsidP="006D5692">
                              <w:r>
                                <w:rPr>
                                  <w:rFonts w:ascii="Arial" w:eastAsia="Arial" w:hAnsi="Arial" w:cs="Arial"/>
                                  <w:color w:val="595959"/>
                                  <w:sz w:val="16"/>
                                </w:rPr>
                                <w:t>Guma</w:t>
                              </w:r>
                            </w:p>
                          </w:txbxContent>
                        </wps:txbx>
                        <wps:bodyPr horzOverflow="overflow" vert="horz" lIns="0" tIns="0" rIns="0" bIns="0" rtlCol="0">
                          <a:noAutofit/>
                        </wps:bodyPr>
                      </wps:wsp>
                      <wps:wsp>
                        <wps:cNvPr id="922385" name="Shape 922385"/>
                        <wps:cNvSpPr/>
                        <wps:spPr>
                          <a:xfrm>
                            <a:off x="1574749" y="538226"/>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1844" name="Shape 41844"/>
                        <wps:cNvSpPr/>
                        <wps:spPr>
                          <a:xfrm>
                            <a:off x="1574749" y="538226"/>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45" name="Rectangle 41845"/>
                        <wps:cNvSpPr/>
                        <wps:spPr>
                          <a:xfrm>
                            <a:off x="1646885" y="521293"/>
                            <a:ext cx="428189" cy="127647"/>
                          </a:xfrm>
                          <a:prstGeom prst="rect">
                            <a:avLst/>
                          </a:prstGeom>
                          <a:ln>
                            <a:noFill/>
                          </a:ln>
                        </wps:spPr>
                        <wps:txbx>
                          <w:txbxContent>
                            <w:p w14:paraId="0D5D28DA" w14:textId="77777777" w:rsidR="0014164F" w:rsidRDefault="0014164F" w:rsidP="006D5692">
                              <w:r>
                                <w:rPr>
                                  <w:rFonts w:ascii="Arial" w:eastAsia="Arial" w:hAnsi="Arial" w:cs="Arial"/>
                                  <w:color w:val="595959"/>
                                  <w:sz w:val="16"/>
                                </w:rPr>
                                <w:t>Odjeća</w:t>
                              </w:r>
                            </w:p>
                          </w:txbxContent>
                        </wps:txbx>
                        <wps:bodyPr horzOverflow="overflow" vert="horz" lIns="0" tIns="0" rIns="0" bIns="0" rtlCol="0">
                          <a:noAutofit/>
                        </wps:bodyPr>
                      </wps:wsp>
                      <wps:wsp>
                        <wps:cNvPr id="922386" name="Shape 922386"/>
                        <wps:cNvSpPr/>
                        <wps:spPr>
                          <a:xfrm>
                            <a:off x="1574749" y="666242"/>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1847" name="Shape 41847"/>
                        <wps:cNvSpPr/>
                        <wps:spPr>
                          <a:xfrm>
                            <a:off x="1574749" y="666242"/>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48" name="Rectangle 41848"/>
                        <wps:cNvSpPr/>
                        <wps:spPr>
                          <a:xfrm>
                            <a:off x="1646885" y="632254"/>
                            <a:ext cx="727657" cy="151421"/>
                          </a:xfrm>
                          <a:prstGeom prst="rect">
                            <a:avLst/>
                          </a:prstGeom>
                          <a:ln>
                            <a:noFill/>
                          </a:ln>
                        </wps:spPr>
                        <wps:txbx>
                          <w:txbxContent>
                            <w:p w14:paraId="5669E1D1" w14:textId="77777777" w:rsidR="0014164F" w:rsidRDefault="0014164F" w:rsidP="006D5692">
                              <w:r>
                                <w:rPr>
                                  <w:rFonts w:ascii="Arial" w:eastAsia="Arial" w:hAnsi="Arial" w:cs="Arial"/>
                                  <w:color w:val="595959"/>
                                  <w:sz w:val="16"/>
                                </w:rPr>
                                <w:t>Papir/karton</w:t>
                              </w:r>
                            </w:p>
                          </w:txbxContent>
                        </wps:txbx>
                        <wps:bodyPr horzOverflow="overflow" vert="horz" lIns="0" tIns="0" rIns="0" bIns="0" rtlCol="0">
                          <a:noAutofit/>
                        </wps:bodyPr>
                      </wps:wsp>
                      <wps:wsp>
                        <wps:cNvPr id="922387" name="Shape 922387"/>
                        <wps:cNvSpPr/>
                        <wps:spPr>
                          <a:xfrm>
                            <a:off x="1574749" y="795782"/>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1850" name="Shape 41850"/>
                        <wps:cNvSpPr/>
                        <wps:spPr>
                          <a:xfrm>
                            <a:off x="1574749" y="795782"/>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51" name="Rectangle 41851"/>
                        <wps:cNvSpPr/>
                        <wps:spPr>
                          <a:xfrm>
                            <a:off x="1646885" y="778849"/>
                            <a:ext cx="901872" cy="127647"/>
                          </a:xfrm>
                          <a:prstGeom prst="rect">
                            <a:avLst/>
                          </a:prstGeom>
                          <a:ln>
                            <a:noFill/>
                          </a:ln>
                        </wps:spPr>
                        <wps:txbx>
                          <w:txbxContent>
                            <w:p w14:paraId="6AB425EF" w14:textId="77777777" w:rsidR="0014164F" w:rsidRDefault="0014164F" w:rsidP="006D5692">
                              <w:r>
                                <w:rPr>
                                  <w:rFonts w:ascii="Arial" w:eastAsia="Arial" w:hAnsi="Arial" w:cs="Arial"/>
                                  <w:color w:val="595959"/>
                                  <w:sz w:val="16"/>
                                </w:rPr>
                                <w:t>Obrađeno drvo</w:t>
                              </w:r>
                            </w:p>
                          </w:txbxContent>
                        </wps:txbx>
                        <wps:bodyPr horzOverflow="overflow" vert="horz" lIns="0" tIns="0" rIns="0" bIns="0" rtlCol="0">
                          <a:noAutofit/>
                        </wps:bodyPr>
                      </wps:wsp>
                      <wps:wsp>
                        <wps:cNvPr id="922388" name="Shape 922388"/>
                        <wps:cNvSpPr/>
                        <wps:spPr>
                          <a:xfrm>
                            <a:off x="1574749" y="923798"/>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1853" name="Shape 41853"/>
                        <wps:cNvSpPr/>
                        <wps:spPr>
                          <a:xfrm>
                            <a:off x="1574749" y="923798"/>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54" name="Rectangle 41854"/>
                        <wps:cNvSpPr/>
                        <wps:spPr>
                          <a:xfrm>
                            <a:off x="1646885" y="889429"/>
                            <a:ext cx="330161" cy="151421"/>
                          </a:xfrm>
                          <a:prstGeom prst="rect">
                            <a:avLst/>
                          </a:prstGeom>
                          <a:ln>
                            <a:noFill/>
                          </a:ln>
                        </wps:spPr>
                        <wps:txbx>
                          <w:txbxContent>
                            <w:p w14:paraId="1BA342F4" w14:textId="77777777" w:rsidR="0014164F" w:rsidRDefault="0014164F" w:rsidP="006D5692">
                              <w:r>
                                <w:rPr>
                                  <w:rFonts w:ascii="Arial" w:eastAsia="Arial" w:hAnsi="Arial" w:cs="Arial"/>
                                  <w:color w:val="595959"/>
                                  <w:sz w:val="16"/>
                                </w:rPr>
                                <w:t>Metal</w:t>
                              </w:r>
                            </w:p>
                          </w:txbxContent>
                        </wps:txbx>
                        <wps:bodyPr horzOverflow="overflow" vert="horz" lIns="0" tIns="0" rIns="0" bIns="0" rtlCol="0">
                          <a:noAutofit/>
                        </wps:bodyPr>
                      </wps:wsp>
                      <wps:wsp>
                        <wps:cNvPr id="922389" name="Shape 922389"/>
                        <wps:cNvSpPr/>
                        <wps:spPr>
                          <a:xfrm>
                            <a:off x="1574749" y="1053338"/>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255E91"/>
                          </a:fillRef>
                          <a:effectRef idx="0">
                            <a:scrgbClr r="0" g="0" b="0"/>
                          </a:effectRef>
                          <a:fontRef idx="none"/>
                        </wps:style>
                        <wps:bodyPr/>
                      </wps:wsp>
                      <wps:wsp>
                        <wps:cNvPr id="41856" name="Shape 41856"/>
                        <wps:cNvSpPr/>
                        <wps:spPr>
                          <a:xfrm>
                            <a:off x="1574749" y="1053338"/>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57" name="Rectangle 41857"/>
                        <wps:cNvSpPr/>
                        <wps:spPr>
                          <a:xfrm>
                            <a:off x="1646885" y="1017805"/>
                            <a:ext cx="375549" cy="151873"/>
                          </a:xfrm>
                          <a:prstGeom prst="rect">
                            <a:avLst/>
                          </a:prstGeom>
                          <a:ln>
                            <a:noFill/>
                          </a:ln>
                        </wps:spPr>
                        <wps:txbx>
                          <w:txbxContent>
                            <w:p w14:paraId="446AFCE8" w14:textId="77777777" w:rsidR="0014164F" w:rsidRDefault="0014164F" w:rsidP="006D5692">
                              <w:r>
                                <w:rPr>
                                  <w:rFonts w:ascii="Arial" w:eastAsia="Arial" w:hAnsi="Arial" w:cs="Arial"/>
                                  <w:color w:val="595959"/>
                                  <w:sz w:val="16"/>
                                </w:rPr>
                                <w:t>Staklo</w:t>
                              </w:r>
                            </w:p>
                          </w:txbxContent>
                        </wps:txbx>
                        <wps:bodyPr horzOverflow="overflow" vert="horz" lIns="0" tIns="0" rIns="0" bIns="0" rtlCol="0">
                          <a:noAutofit/>
                        </wps:bodyPr>
                      </wps:wsp>
                      <wps:wsp>
                        <wps:cNvPr id="922390" name="Shape 922390"/>
                        <wps:cNvSpPr/>
                        <wps:spPr>
                          <a:xfrm>
                            <a:off x="1574749" y="1181354"/>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1859" name="Shape 41859"/>
                        <wps:cNvSpPr/>
                        <wps:spPr>
                          <a:xfrm>
                            <a:off x="1574749" y="1181354"/>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60" name="Rectangle 41860"/>
                        <wps:cNvSpPr/>
                        <wps:spPr>
                          <a:xfrm>
                            <a:off x="1646885" y="1146986"/>
                            <a:ext cx="571754" cy="151421"/>
                          </a:xfrm>
                          <a:prstGeom prst="rect">
                            <a:avLst/>
                          </a:prstGeom>
                          <a:ln>
                            <a:noFill/>
                          </a:ln>
                        </wps:spPr>
                        <wps:txbx>
                          <w:txbxContent>
                            <w:p w14:paraId="46508840" w14:textId="77777777" w:rsidR="0014164F" w:rsidRDefault="0014164F" w:rsidP="006D5692">
                              <w:r>
                                <w:rPr>
                                  <w:rFonts w:ascii="Arial" w:eastAsia="Arial" w:hAnsi="Arial" w:cs="Arial"/>
                                  <w:color w:val="595959"/>
                                  <w:sz w:val="16"/>
                                </w:rPr>
                                <w:t>Keramika</w:t>
                              </w:r>
                            </w:p>
                          </w:txbxContent>
                        </wps:txbx>
                        <wps:bodyPr horzOverflow="overflow" vert="horz" lIns="0" tIns="0" rIns="0" bIns="0" rtlCol="0">
                          <a:noAutofit/>
                        </wps:bodyPr>
                      </wps:wsp>
                      <wps:wsp>
                        <wps:cNvPr id="922391" name="Shape 922391"/>
                        <wps:cNvSpPr/>
                        <wps:spPr>
                          <a:xfrm>
                            <a:off x="1574749" y="1310894"/>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636363"/>
                          </a:fillRef>
                          <a:effectRef idx="0">
                            <a:scrgbClr r="0" g="0" b="0"/>
                          </a:effectRef>
                          <a:fontRef idx="none"/>
                        </wps:style>
                        <wps:bodyPr/>
                      </wps:wsp>
                      <wps:wsp>
                        <wps:cNvPr id="41862" name="Shape 41862"/>
                        <wps:cNvSpPr/>
                        <wps:spPr>
                          <a:xfrm>
                            <a:off x="1574749" y="1310894"/>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63" name="Rectangle 41863"/>
                        <wps:cNvSpPr/>
                        <wps:spPr>
                          <a:xfrm>
                            <a:off x="1646885" y="1275637"/>
                            <a:ext cx="908004" cy="151421"/>
                          </a:xfrm>
                          <a:prstGeom prst="rect">
                            <a:avLst/>
                          </a:prstGeom>
                          <a:ln>
                            <a:noFill/>
                          </a:ln>
                        </wps:spPr>
                        <wps:txbx>
                          <w:txbxContent>
                            <w:p w14:paraId="6960B05C" w14:textId="77777777" w:rsidR="0014164F" w:rsidRDefault="0014164F" w:rsidP="006D5692">
                              <w:r>
                                <w:rPr>
                                  <w:rFonts w:ascii="Arial" w:eastAsia="Arial" w:hAnsi="Arial" w:cs="Arial"/>
                                  <w:color w:val="595959"/>
                                  <w:sz w:val="16"/>
                                </w:rPr>
                                <w:t>Sanitarni otpad</w:t>
                              </w:r>
                            </w:p>
                          </w:txbxContent>
                        </wps:txbx>
                        <wps:bodyPr horzOverflow="overflow" vert="horz" lIns="0" tIns="0" rIns="0" bIns="0" rtlCol="0">
                          <a:noAutofit/>
                        </wps:bodyPr>
                      </wps:wsp>
                      <wps:wsp>
                        <wps:cNvPr id="922392" name="Shape 922392"/>
                        <wps:cNvSpPr/>
                        <wps:spPr>
                          <a:xfrm>
                            <a:off x="1574749" y="1438910"/>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997300"/>
                          </a:fillRef>
                          <a:effectRef idx="0">
                            <a:scrgbClr r="0" g="0" b="0"/>
                          </a:effectRef>
                          <a:fontRef idx="none"/>
                        </wps:style>
                        <wps:bodyPr/>
                      </wps:wsp>
                      <wps:wsp>
                        <wps:cNvPr id="41865" name="Shape 41865"/>
                        <wps:cNvSpPr/>
                        <wps:spPr>
                          <a:xfrm>
                            <a:off x="1574749" y="1438910"/>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66" name="Rectangle 41866"/>
                        <wps:cNvSpPr/>
                        <wps:spPr>
                          <a:xfrm>
                            <a:off x="1646885" y="1404012"/>
                            <a:ext cx="1007968" cy="151873"/>
                          </a:xfrm>
                          <a:prstGeom prst="rect">
                            <a:avLst/>
                          </a:prstGeom>
                          <a:ln>
                            <a:noFill/>
                          </a:ln>
                        </wps:spPr>
                        <wps:txbx>
                          <w:txbxContent>
                            <w:p w14:paraId="5B5C6EA2" w14:textId="77777777" w:rsidR="0014164F" w:rsidRDefault="0014164F" w:rsidP="006D5692">
                              <w:r>
                                <w:rPr>
                                  <w:rFonts w:ascii="Arial" w:eastAsia="Arial" w:hAnsi="Arial" w:cs="Arial"/>
                                  <w:color w:val="595959"/>
                                  <w:sz w:val="16"/>
                                </w:rPr>
                                <w:t>Medicinski otpad</w:t>
                              </w:r>
                            </w:p>
                          </w:txbxContent>
                        </wps:txbx>
                        <wps:bodyPr horzOverflow="overflow" vert="horz" lIns="0" tIns="0" rIns="0" bIns="0" rtlCol="0">
                          <a:noAutofit/>
                        </wps:bodyPr>
                      </wps:wsp>
                      <wps:wsp>
                        <wps:cNvPr id="922393" name="Shape 922393"/>
                        <wps:cNvSpPr/>
                        <wps:spPr>
                          <a:xfrm>
                            <a:off x="1574749" y="1568450"/>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1868" name="Shape 41868"/>
                        <wps:cNvSpPr/>
                        <wps:spPr>
                          <a:xfrm>
                            <a:off x="1574749" y="1568450"/>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69" name="Rectangle 41869"/>
                        <wps:cNvSpPr/>
                        <wps:spPr>
                          <a:xfrm>
                            <a:off x="1646885" y="1533193"/>
                            <a:ext cx="819439" cy="151421"/>
                          </a:xfrm>
                          <a:prstGeom prst="rect">
                            <a:avLst/>
                          </a:prstGeom>
                          <a:ln>
                            <a:noFill/>
                          </a:ln>
                        </wps:spPr>
                        <wps:txbx>
                          <w:txbxContent>
                            <w:p w14:paraId="07F25608" w14:textId="77777777" w:rsidR="0014164F" w:rsidRDefault="0014164F" w:rsidP="006D5692">
                              <w:r>
                                <w:rPr>
                                  <w:rFonts w:ascii="Arial" w:eastAsia="Arial" w:hAnsi="Arial" w:cs="Arial"/>
                                  <w:color w:val="595959"/>
                                  <w:sz w:val="16"/>
                                </w:rPr>
                                <w:t>Parafin/vosak</w:t>
                              </w:r>
                            </w:p>
                          </w:txbxContent>
                        </wps:txbx>
                        <wps:bodyPr horzOverflow="overflow" vert="horz" lIns="0" tIns="0" rIns="0" bIns="0" rtlCol="0">
                          <a:noAutofit/>
                        </wps:bodyPr>
                      </wps:wsp>
                      <wps:wsp>
                        <wps:cNvPr id="41871" name="Shape 41871"/>
                        <wps:cNvSpPr/>
                        <wps:spPr>
                          <a:xfrm>
                            <a:off x="3276549" y="211836"/>
                            <a:ext cx="936625" cy="1230123"/>
                          </a:xfrm>
                          <a:custGeom>
                            <a:avLst/>
                            <a:gdLst/>
                            <a:ahLst/>
                            <a:cxnLst/>
                            <a:rect l="0" t="0" r="0" b="0"/>
                            <a:pathLst>
                              <a:path w="936625" h="1230123">
                                <a:moveTo>
                                  <a:pt x="321564" y="0"/>
                                </a:moveTo>
                                <a:cubicBezTo>
                                  <a:pt x="661289" y="0"/>
                                  <a:pt x="936625" y="275337"/>
                                  <a:pt x="936625" y="615062"/>
                                </a:cubicBezTo>
                                <a:cubicBezTo>
                                  <a:pt x="936625" y="954787"/>
                                  <a:pt x="661289" y="1230123"/>
                                  <a:pt x="321564" y="1230123"/>
                                </a:cubicBezTo>
                                <a:cubicBezTo>
                                  <a:pt x="208153" y="1230123"/>
                                  <a:pt x="96774" y="1198753"/>
                                  <a:pt x="0" y="1139444"/>
                                </a:cubicBezTo>
                                <a:lnTo>
                                  <a:pt x="321564" y="615062"/>
                                </a:lnTo>
                                <a:lnTo>
                                  <a:pt x="321564" y="0"/>
                                </a:ln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41872" name="Shape 41872"/>
                        <wps:cNvSpPr/>
                        <wps:spPr>
                          <a:xfrm>
                            <a:off x="3276549" y="211836"/>
                            <a:ext cx="936625" cy="1230123"/>
                          </a:xfrm>
                          <a:custGeom>
                            <a:avLst/>
                            <a:gdLst/>
                            <a:ahLst/>
                            <a:cxnLst/>
                            <a:rect l="0" t="0" r="0" b="0"/>
                            <a:pathLst>
                              <a:path w="936625" h="1230123">
                                <a:moveTo>
                                  <a:pt x="321564" y="0"/>
                                </a:moveTo>
                                <a:cubicBezTo>
                                  <a:pt x="661289" y="0"/>
                                  <a:pt x="936625" y="275337"/>
                                  <a:pt x="936625" y="615062"/>
                                </a:cubicBezTo>
                                <a:cubicBezTo>
                                  <a:pt x="936625" y="954787"/>
                                  <a:pt x="661289" y="1230123"/>
                                  <a:pt x="321564" y="1230123"/>
                                </a:cubicBezTo>
                                <a:cubicBezTo>
                                  <a:pt x="208153" y="1230123"/>
                                  <a:pt x="96774" y="1198753"/>
                                  <a:pt x="0" y="1139444"/>
                                </a:cubicBezTo>
                                <a:lnTo>
                                  <a:pt x="321564" y="61506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73" name="Shape 41873"/>
                        <wps:cNvSpPr/>
                        <wps:spPr>
                          <a:xfrm>
                            <a:off x="3141548" y="826898"/>
                            <a:ext cx="456565" cy="524383"/>
                          </a:xfrm>
                          <a:custGeom>
                            <a:avLst/>
                            <a:gdLst/>
                            <a:ahLst/>
                            <a:cxnLst/>
                            <a:rect l="0" t="0" r="0" b="0"/>
                            <a:pathLst>
                              <a:path w="456565" h="524383">
                                <a:moveTo>
                                  <a:pt x="456565" y="0"/>
                                </a:moveTo>
                                <a:lnTo>
                                  <a:pt x="135001" y="524383"/>
                                </a:lnTo>
                                <a:cubicBezTo>
                                  <a:pt x="84963" y="493522"/>
                                  <a:pt x="39497" y="455802"/>
                                  <a:pt x="0" y="412114"/>
                                </a:cubicBezTo>
                                <a:lnTo>
                                  <a:pt x="456565" y="0"/>
                                </a:ln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41874" name="Shape 41874"/>
                        <wps:cNvSpPr/>
                        <wps:spPr>
                          <a:xfrm>
                            <a:off x="3141548" y="826898"/>
                            <a:ext cx="456565" cy="524383"/>
                          </a:xfrm>
                          <a:custGeom>
                            <a:avLst/>
                            <a:gdLst/>
                            <a:ahLst/>
                            <a:cxnLst/>
                            <a:rect l="0" t="0" r="0" b="0"/>
                            <a:pathLst>
                              <a:path w="456565" h="524383">
                                <a:moveTo>
                                  <a:pt x="135001" y="524383"/>
                                </a:moveTo>
                                <a:cubicBezTo>
                                  <a:pt x="84963" y="493522"/>
                                  <a:pt x="39497" y="455802"/>
                                  <a:pt x="0" y="412114"/>
                                </a:cubicBezTo>
                                <a:lnTo>
                                  <a:pt x="456565"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75" name="Shape 41875"/>
                        <wps:cNvSpPr/>
                        <wps:spPr>
                          <a:xfrm>
                            <a:off x="3120085" y="826898"/>
                            <a:ext cx="478028" cy="412114"/>
                          </a:xfrm>
                          <a:custGeom>
                            <a:avLst/>
                            <a:gdLst/>
                            <a:ahLst/>
                            <a:cxnLst/>
                            <a:rect l="0" t="0" r="0" b="0"/>
                            <a:pathLst>
                              <a:path w="478028" h="412114">
                                <a:moveTo>
                                  <a:pt x="478028" y="0"/>
                                </a:moveTo>
                                <a:lnTo>
                                  <a:pt x="21463" y="412114"/>
                                </a:lnTo>
                                <a:cubicBezTo>
                                  <a:pt x="14097" y="403987"/>
                                  <a:pt x="6858" y="395477"/>
                                  <a:pt x="0" y="386969"/>
                                </a:cubicBezTo>
                                <a:lnTo>
                                  <a:pt x="478028" y="0"/>
                                </a:ln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41876" name="Shape 41876"/>
                        <wps:cNvSpPr/>
                        <wps:spPr>
                          <a:xfrm>
                            <a:off x="3120085" y="826898"/>
                            <a:ext cx="478028" cy="412114"/>
                          </a:xfrm>
                          <a:custGeom>
                            <a:avLst/>
                            <a:gdLst/>
                            <a:ahLst/>
                            <a:cxnLst/>
                            <a:rect l="0" t="0" r="0" b="0"/>
                            <a:pathLst>
                              <a:path w="478028" h="412114">
                                <a:moveTo>
                                  <a:pt x="21463" y="412114"/>
                                </a:moveTo>
                                <a:cubicBezTo>
                                  <a:pt x="14097" y="403987"/>
                                  <a:pt x="6858" y="395477"/>
                                  <a:pt x="0" y="386969"/>
                                </a:cubicBezTo>
                                <a:lnTo>
                                  <a:pt x="478028"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77" name="Shape 41877"/>
                        <wps:cNvSpPr/>
                        <wps:spPr>
                          <a:xfrm>
                            <a:off x="3112592" y="826898"/>
                            <a:ext cx="485521" cy="386969"/>
                          </a:xfrm>
                          <a:custGeom>
                            <a:avLst/>
                            <a:gdLst/>
                            <a:ahLst/>
                            <a:cxnLst/>
                            <a:rect l="0" t="0" r="0" b="0"/>
                            <a:pathLst>
                              <a:path w="485521" h="386969">
                                <a:moveTo>
                                  <a:pt x="485521" y="0"/>
                                </a:moveTo>
                                <a:lnTo>
                                  <a:pt x="7493" y="386969"/>
                                </a:lnTo>
                                <a:cubicBezTo>
                                  <a:pt x="4953" y="383921"/>
                                  <a:pt x="2540" y="380746"/>
                                  <a:pt x="0" y="377571"/>
                                </a:cubicBezTo>
                                <a:lnTo>
                                  <a:pt x="485521" y="0"/>
                                </a:ln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41878" name="Shape 41878"/>
                        <wps:cNvSpPr/>
                        <wps:spPr>
                          <a:xfrm>
                            <a:off x="3112592" y="826898"/>
                            <a:ext cx="485521" cy="386969"/>
                          </a:xfrm>
                          <a:custGeom>
                            <a:avLst/>
                            <a:gdLst/>
                            <a:ahLst/>
                            <a:cxnLst/>
                            <a:rect l="0" t="0" r="0" b="0"/>
                            <a:pathLst>
                              <a:path w="485521" h="386969">
                                <a:moveTo>
                                  <a:pt x="7493" y="386969"/>
                                </a:moveTo>
                                <a:cubicBezTo>
                                  <a:pt x="4953" y="383921"/>
                                  <a:pt x="2540" y="380746"/>
                                  <a:pt x="0" y="377571"/>
                                </a:cubicBezTo>
                                <a:lnTo>
                                  <a:pt x="485521"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79" name="Shape 41879"/>
                        <wps:cNvSpPr/>
                        <wps:spPr>
                          <a:xfrm>
                            <a:off x="3094812" y="826898"/>
                            <a:ext cx="503301" cy="377571"/>
                          </a:xfrm>
                          <a:custGeom>
                            <a:avLst/>
                            <a:gdLst/>
                            <a:ahLst/>
                            <a:cxnLst/>
                            <a:rect l="0" t="0" r="0" b="0"/>
                            <a:pathLst>
                              <a:path w="503301" h="377571">
                                <a:moveTo>
                                  <a:pt x="503301" y="0"/>
                                </a:moveTo>
                                <a:lnTo>
                                  <a:pt x="17780" y="377571"/>
                                </a:lnTo>
                                <a:cubicBezTo>
                                  <a:pt x="11684" y="369697"/>
                                  <a:pt x="5715" y="361696"/>
                                  <a:pt x="0" y="353440"/>
                                </a:cubicBezTo>
                                <a:lnTo>
                                  <a:pt x="503301" y="0"/>
                                </a:ln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41880" name="Shape 41880"/>
                        <wps:cNvSpPr/>
                        <wps:spPr>
                          <a:xfrm>
                            <a:off x="3094812" y="826898"/>
                            <a:ext cx="503301" cy="377571"/>
                          </a:xfrm>
                          <a:custGeom>
                            <a:avLst/>
                            <a:gdLst/>
                            <a:ahLst/>
                            <a:cxnLst/>
                            <a:rect l="0" t="0" r="0" b="0"/>
                            <a:pathLst>
                              <a:path w="503301" h="377571">
                                <a:moveTo>
                                  <a:pt x="17780" y="377571"/>
                                </a:moveTo>
                                <a:cubicBezTo>
                                  <a:pt x="11684" y="369697"/>
                                  <a:pt x="5715" y="361696"/>
                                  <a:pt x="0" y="353440"/>
                                </a:cubicBezTo>
                                <a:lnTo>
                                  <a:pt x="503301"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81" name="Shape 41881"/>
                        <wps:cNvSpPr/>
                        <wps:spPr>
                          <a:xfrm>
                            <a:off x="2899613" y="289179"/>
                            <a:ext cx="698500" cy="891159"/>
                          </a:xfrm>
                          <a:custGeom>
                            <a:avLst/>
                            <a:gdLst/>
                            <a:ahLst/>
                            <a:cxnLst/>
                            <a:rect l="0" t="0" r="0" b="0"/>
                            <a:pathLst>
                              <a:path w="698500" h="891159">
                                <a:moveTo>
                                  <a:pt x="400050" y="0"/>
                                </a:moveTo>
                                <a:lnTo>
                                  <a:pt x="698500" y="537718"/>
                                </a:lnTo>
                                <a:lnTo>
                                  <a:pt x="195199" y="891159"/>
                                </a:lnTo>
                                <a:cubicBezTo>
                                  <a:pt x="0" y="613156"/>
                                  <a:pt x="67056" y="229616"/>
                                  <a:pt x="345059" y="34417"/>
                                </a:cubicBezTo>
                                <a:cubicBezTo>
                                  <a:pt x="362712" y="21971"/>
                                  <a:pt x="381127" y="10414"/>
                                  <a:pt x="400050" y="0"/>
                                </a:cubicBezTo>
                                <a:close/>
                              </a:path>
                            </a:pathLst>
                          </a:custGeom>
                          <a:ln w="0" cap="flat">
                            <a:round/>
                          </a:ln>
                        </wps:spPr>
                        <wps:style>
                          <a:lnRef idx="0">
                            <a:srgbClr val="000000">
                              <a:alpha val="0"/>
                            </a:srgbClr>
                          </a:lnRef>
                          <a:fillRef idx="1">
                            <a:srgbClr val="70AD47"/>
                          </a:fillRef>
                          <a:effectRef idx="0">
                            <a:scrgbClr r="0" g="0" b="0"/>
                          </a:effectRef>
                          <a:fontRef idx="none"/>
                        </wps:style>
                        <wps:bodyPr/>
                      </wps:wsp>
                      <wps:wsp>
                        <wps:cNvPr id="41882" name="Shape 41882"/>
                        <wps:cNvSpPr/>
                        <wps:spPr>
                          <a:xfrm>
                            <a:off x="2899613" y="289179"/>
                            <a:ext cx="698500" cy="891159"/>
                          </a:xfrm>
                          <a:custGeom>
                            <a:avLst/>
                            <a:gdLst/>
                            <a:ahLst/>
                            <a:cxnLst/>
                            <a:rect l="0" t="0" r="0" b="0"/>
                            <a:pathLst>
                              <a:path w="698500" h="891159">
                                <a:moveTo>
                                  <a:pt x="195199" y="891159"/>
                                </a:moveTo>
                                <a:cubicBezTo>
                                  <a:pt x="0" y="613156"/>
                                  <a:pt x="67056" y="229616"/>
                                  <a:pt x="345059" y="34417"/>
                                </a:cubicBezTo>
                                <a:cubicBezTo>
                                  <a:pt x="362712" y="21971"/>
                                  <a:pt x="381127" y="10414"/>
                                  <a:pt x="400050" y="0"/>
                                </a:cubicBezTo>
                                <a:lnTo>
                                  <a:pt x="698500" y="537718"/>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83" name="Shape 41883"/>
                        <wps:cNvSpPr/>
                        <wps:spPr>
                          <a:xfrm>
                            <a:off x="3299663" y="211836"/>
                            <a:ext cx="298450" cy="615062"/>
                          </a:xfrm>
                          <a:custGeom>
                            <a:avLst/>
                            <a:gdLst/>
                            <a:ahLst/>
                            <a:cxnLst/>
                            <a:rect l="0" t="0" r="0" b="0"/>
                            <a:pathLst>
                              <a:path w="298450" h="615062">
                                <a:moveTo>
                                  <a:pt x="294005" y="0"/>
                                </a:moveTo>
                                <a:lnTo>
                                  <a:pt x="298450" y="615062"/>
                                </a:lnTo>
                                <a:lnTo>
                                  <a:pt x="0" y="77343"/>
                                </a:lnTo>
                                <a:cubicBezTo>
                                  <a:pt x="90043" y="27305"/>
                                  <a:pt x="191135" y="762"/>
                                  <a:pt x="294005" y="0"/>
                                </a:cubicBezTo>
                                <a:close/>
                              </a:path>
                            </a:pathLst>
                          </a:custGeom>
                          <a:ln w="0" cap="flat">
                            <a:round/>
                          </a:ln>
                        </wps:spPr>
                        <wps:style>
                          <a:lnRef idx="0">
                            <a:srgbClr val="000000">
                              <a:alpha val="0"/>
                            </a:srgbClr>
                          </a:lnRef>
                          <a:fillRef idx="1">
                            <a:srgbClr val="255E91"/>
                          </a:fillRef>
                          <a:effectRef idx="0">
                            <a:scrgbClr r="0" g="0" b="0"/>
                          </a:effectRef>
                          <a:fontRef idx="none"/>
                        </wps:style>
                        <wps:bodyPr/>
                      </wps:wsp>
                      <wps:wsp>
                        <wps:cNvPr id="41884" name="Shape 41884"/>
                        <wps:cNvSpPr/>
                        <wps:spPr>
                          <a:xfrm>
                            <a:off x="3299663" y="211836"/>
                            <a:ext cx="298450" cy="615062"/>
                          </a:xfrm>
                          <a:custGeom>
                            <a:avLst/>
                            <a:gdLst/>
                            <a:ahLst/>
                            <a:cxnLst/>
                            <a:rect l="0" t="0" r="0" b="0"/>
                            <a:pathLst>
                              <a:path w="298450" h="615062">
                                <a:moveTo>
                                  <a:pt x="0" y="77343"/>
                                </a:moveTo>
                                <a:cubicBezTo>
                                  <a:pt x="90043" y="27305"/>
                                  <a:pt x="191135" y="762"/>
                                  <a:pt x="294005" y="0"/>
                                </a:cubicBezTo>
                                <a:lnTo>
                                  <a:pt x="298450" y="61506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85" name="Shape 41885"/>
                        <wps:cNvSpPr/>
                        <wps:spPr>
                          <a:xfrm>
                            <a:off x="3593668" y="211836"/>
                            <a:ext cx="4445" cy="615062"/>
                          </a:xfrm>
                          <a:custGeom>
                            <a:avLst/>
                            <a:gdLst/>
                            <a:ahLst/>
                            <a:cxnLst/>
                            <a:rect l="0" t="0" r="0" b="0"/>
                            <a:pathLst>
                              <a:path w="4445" h="615062">
                                <a:moveTo>
                                  <a:pt x="0" y="0"/>
                                </a:moveTo>
                                <a:lnTo>
                                  <a:pt x="4445" y="61506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86" name="Shape 41886"/>
                        <wps:cNvSpPr/>
                        <wps:spPr>
                          <a:xfrm>
                            <a:off x="3593668" y="211836"/>
                            <a:ext cx="4445" cy="615062"/>
                          </a:xfrm>
                          <a:custGeom>
                            <a:avLst/>
                            <a:gdLst/>
                            <a:ahLst/>
                            <a:cxnLst/>
                            <a:rect l="0" t="0" r="0" b="0"/>
                            <a:pathLst>
                              <a:path w="4445" h="615062">
                                <a:moveTo>
                                  <a:pt x="0" y="0"/>
                                </a:moveTo>
                                <a:lnTo>
                                  <a:pt x="4445" y="61506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87" name="Shape 41887"/>
                        <wps:cNvSpPr/>
                        <wps:spPr>
                          <a:xfrm>
                            <a:off x="3593668" y="211836"/>
                            <a:ext cx="4445" cy="615062"/>
                          </a:xfrm>
                          <a:custGeom>
                            <a:avLst/>
                            <a:gdLst/>
                            <a:ahLst/>
                            <a:cxnLst/>
                            <a:rect l="0" t="0" r="0" b="0"/>
                            <a:pathLst>
                              <a:path w="4445" h="615062">
                                <a:moveTo>
                                  <a:pt x="0" y="0"/>
                                </a:moveTo>
                                <a:cubicBezTo>
                                  <a:pt x="1524" y="0"/>
                                  <a:pt x="3048" y="0"/>
                                  <a:pt x="4445" y="0"/>
                                </a:cubicBezTo>
                                <a:lnTo>
                                  <a:pt x="4445" y="615062"/>
                                </a:lnTo>
                                <a:lnTo>
                                  <a:pt x="0" y="0"/>
                                </a:lnTo>
                                <a:close/>
                              </a:path>
                            </a:pathLst>
                          </a:custGeom>
                          <a:ln w="0" cap="flat">
                            <a:round/>
                          </a:ln>
                        </wps:spPr>
                        <wps:style>
                          <a:lnRef idx="0">
                            <a:srgbClr val="000000">
                              <a:alpha val="0"/>
                            </a:srgbClr>
                          </a:lnRef>
                          <a:fillRef idx="1">
                            <a:srgbClr val="997300"/>
                          </a:fillRef>
                          <a:effectRef idx="0">
                            <a:scrgbClr r="0" g="0" b="0"/>
                          </a:effectRef>
                          <a:fontRef idx="none"/>
                        </wps:style>
                        <wps:bodyPr/>
                      </wps:wsp>
                      <wps:wsp>
                        <wps:cNvPr id="41888" name="Shape 41888"/>
                        <wps:cNvSpPr/>
                        <wps:spPr>
                          <a:xfrm>
                            <a:off x="3593668" y="211836"/>
                            <a:ext cx="4445" cy="615062"/>
                          </a:xfrm>
                          <a:custGeom>
                            <a:avLst/>
                            <a:gdLst/>
                            <a:ahLst/>
                            <a:cxnLst/>
                            <a:rect l="0" t="0" r="0" b="0"/>
                            <a:pathLst>
                              <a:path w="4445" h="615062">
                                <a:moveTo>
                                  <a:pt x="0" y="0"/>
                                </a:moveTo>
                                <a:cubicBezTo>
                                  <a:pt x="1524" y="0"/>
                                  <a:pt x="3048" y="0"/>
                                  <a:pt x="4445" y="0"/>
                                </a:cubicBezTo>
                                <a:lnTo>
                                  <a:pt x="4445" y="61506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89" name="Shape 41889"/>
                        <wps:cNvSpPr/>
                        <wps:spPr>
                          <a:xfrm>
                            <a:off x="3598113" y="211836"/>
                            <a:ext cx="0" cy="615062"/>
                          </a:xfrm>
                          <a:custGeom>
                            <a:avLst/>
                            <a:gdLst/>
                            <a:ahLst/>
                            <a:cxnLst/>
                            <a:rect l="0" t="0" r="0" b="0"/>
                            <a:pathLst>
                              <a:path h="615062">
                                <a:moveTo>
                                  <a:pt x="0" y="0"/>
                                </a:moveTo>
                                <a:lnTo>
                                  <a:pt x="0" y="61506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890" name="Shape 41890"/>
                        <wps:cNvSpPr/>
                        <wps:spPr>
                          <a:xfrm>
                            <a:off x="4190695" y="994664"/>
                            <a:ext cx="0" cy="505968"/>
                          </a:xfrm>
                          <a:custGeom>
                            <a:avLst/>
                            <a:gdLst/>
                            <a:ahLst/>
                            <a:cxnLst/>
                            <a:rect l="0" t="0" r="0" b="0"/>
                            <a:pathLst>
                              <a:path h="505968">
                                <a:moveTo>
                                  <a:pt x="0" y="0"/>
                                </a:moveTo>
                                <a:lnTo>
                                  <a:pt x="0" y="505968"/>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891" name="Shape 41891"/>
                        <wps:cNvSpPr/>
                        <wps:spPr>
                          <a:xfrm>
                            <a:off x="3204667" y="1299464"/>
                            <a:ext cx="0" cy="199644"/>
                          </a:xfrm>
                          <a:custGeom>
                            <a:avLst/>
                            <a:gdLst/>
                            <a:ahLst/>
                            <a:cxnLst/>
                            <a:rect l="0" t="0" r="0" b="0"/>
                            <a:pathLst>
                              <a:path h="199644">
                                <a:moveTo>
                                  <a:pt x="0" y="0"/>
                                </a:moveTo>
                                <a:lnTo>
                                  <a:pt x="0" y="199644"/>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892" name="Shape 41892"/>
                        <wps:cNvSpPr/>
                        <wps:spPr>
                          <a:xfrm>
                            <a:off x="3049219" y="1226312"/>
                            <a:ext cx="80772" cy="289561"/>
                          </a:xfrm>
                          <a:custGeom>
                            <a:avLst/>
                            <a:gdLst/>
                            <a:ahLst/>
                            <a:cxnLst/>
                            <a:rect l="0" t="0" r="0" b="0"/>
                            <a:pathLst>
                              <a:path w="80772" h="289561">
                                <a:moveTo>
                                  <a:pt x="80772" y="0"/>
                                </a:moveTo>
                                <a:lnTo>
                                  <a:pt x="57912" y="289561"/>
                                </a:lnTo>
                                <a:lnTo>
                                  <a:pt x="0" y="289561"/>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893" name="Shape 41893"/>
                        <wps:cNvSpPr/>
                        <wps:spPr>
                          <a:xfrm>
                            <a:off x="3049219" y="1209548"/>
                            <a:ext cx="67056" cy="173737"/>
                          </a:xfrm>
                          <a:custGeom>
                            <a:avLst/>
                            <a:gdLst/>
                            <a:ahLst/>
                            <a:cxnLst/>
                            <a:rect l="0" t="0" r="0" b="0"/>
                            <a:pathLst>
                              <a:path w="67056" h="173737">
                                <a:moveTo>
                                  <a:pt x="67056" y="0"/>
                                </a:moveTo>
                                <a:lnTo>
                                  <a:pt x="57912" y="173737"/>
                                </a:lnTo>
                                <a:lnTo>
                                  <a:pt x="0" y="173737"/>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894" name="Shape 41894"/>
                        <wps:cNvSpPr/>
                        <wps:spPr>
                          <a:xfrm>
                            <a:off x="3203143" y="231140"/>
                            <a:ext cx="239268" cy="1524"/>
                          </a:xfrm>
                          <a:custGeom>
                            <a:avLst/>
                            <a:gdLst/>
                            <a:ahLst/>
                            <a:cxnLst/>
                            <a:rect l="0" t="0" r="0" b="0"/>
                            <a:pathLst>
                              <a:path w="239268" h="1524">
                                <a:moveTo>
                                  <a:pt x="239268" y="1524"/>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895" name="Shape 41895"/>
                        <wps:cNvSpPr/>
                        <wps:spPr>
                          <a:xfrm>
                            <a:off x="3594811" y="337820"/>
                            <a:ext cx="371856" cy="33527"/>
                          </a:xfrm>
                          <a:custGeom>
                            <a:avLst/>
                            <a:gdLst/>
                            <a:ahLst/>
                            <a:cxnLst/>
                            <a:rect l="0" t="0" r="0" b="0"/>
                            <a:pathLst>
                              <a:path w="371856" h="33527">
                                <a:moveTo>
                                  <a:pt x="0" y="33527"/>
                                </a:moveTo>
                                <a:lnTo>
                                  <a:pt x="313944" y="0"/>
                                </a:lnTo>
                                <a:lnTo>
                                  <a:pt x="371856"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896" name="Shape 41896"/>
                        <wps:cNvSpPr/>
                        <wps:spPr>
                          <a:xfrm>
                            <a:off x="3593287" y="191516"/>
                            <a:ext cx="143256" cy="19812"/>
                          </a:xfrm>
                          <a:custGeom>
                            <a:avLst/>
                            <a:gdLst/>
                            <a:ahLst/>
                            <a:cxnLst/>
                            <a:rect l="0" t="0" r="0" b="0"/>
                            <a:pathLst>
                              <a:path w="143256" h="19812">
                                <a:moveTo>
                                  <a:pt x="0" y="19812"/>
                                </a:moveTo>
                                <a:lnTo>
                                  <a:pt x="85344" y="0"/>
                                </a:lnTo>
                                <a:lnTo>
                                  <a:pt x="143256"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897" name="Shape 41897"/>
                        <wps:cNvSpPr/>
                        <wps:spPr>
                          <a:xfrm>
                            <a:off x="3509467" y="86361"/>
                            <a:ext cx="86868" cy="124968"/>
                          </a:xfrm>
                          <a:custGeom>
                            <a:avLst/>
                            <a:gdLst/>
                            <a:ahLst/>
                            <a:cxnLst/>
                            <a:rect l="0" t="0" r="0" b="0"/>
                            <a:pathLst>
                              <a:path w="86868" h="124968">
                                <a:moveTo>
                                  <a:pt x="86868" y="124968"/>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41898" name="Shape 41898"/>
                        <wps:cNvSpPr/>
                        <wps:spPr>
                          <a:xfrm>
                            <a:off x="3597859" y="116840"/>
                            <a:ext cx="0" cy="94488"/>
                          </a:xfrm>
                          <a:custGeom>
                            <a:avLst/>
                            <a:gdLst/>
                            <a:ahLst/>
                            <a:cxnLst/>
                            <a:rect l="0" t="0" r="0" b="0"/>
                            <a:pathLst>
                              <a:path h="94488">
                                <a:moveTo>
                                  <a:pt x="0" y="94488"/>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761516" name="Rectangle 761516"/>
                        <wps:cNvSpPr/>
                        <wps:spPr>
                          <a:xfrm>
                            <a:off x="4134307" y="1523111"/>
                            <a:ext cx="108694" cy="154840"/>
                          </a:xfrm>
                          <a:prstGeom prst="rect">
                            <a:avLst/>
                          </a:prstGeom>
                          <a:ln>
                            <a:noFill/>
                          </a:ln>
                        </wps:spPr>
                        <wps:txbx>
                          <w:txbxContent>
                            <w:p w14:paraId="52AD5724"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515" name="Rectangle 761515"/>
                        <wps:cNvSpPr/>
                        <wps:spPr>
                          <a:xfrm>
                            <a:off x="3873703" y="1523111"/>
                            <a:ext cx="346603" cy="154840"/>
                          </a:xfrm>
                          <a:prstGeom prst="rect">
                            <a:avLst/>
                          </a:prstGeom>
                          <a:ln>
                            <a:noFill/>
                          </a:ln>
                        </wps:spPr>
                        <wps:txbx>
                          <w:txbxContent>
                            <w:p w14:paraId="721F60A0" w14:textId="77777777" w:rsidR="0014164F" w:rsidRDefault="0014164F" w:rsidP="006D5692">
                              <w:r>
                                <w:rPr>
                                  <w:rFonts w:ascii="Calibri" w:hAnsi="Calibri" w:cs="Calibri"/>
                                  <w:color w:val="404040"/>
                                  <w:sz w:val="18"/>
                                </w:rPr>
                                <w:t>58.76</w:t>
                              </w:r>
                            </w:p>
                          </w:txbxContent>
                        </wps:txbx>
                        <wps:bodyPr horzOverflow="overflow" vert="horz" lIns="0" tIns="0" rIns="0" bIns="0" rtlCol="0">
                          <a:noAutofit/>
                        </wps:bodyPr>
                      </wps:wsp>
                      <wps:wsp>
                        <wps:cNvPr id="761514" name="Rectangle 761514"/>
                        <wps:cNvSpPr/>
                        <wps:spPr>
                          <a:xfrm>
                            <a:off x="3241459" y="1521587"/>
                            <a:ext cx="108694" cy="154840"/>
                          </a:xfrm>
                          <a:prstGeom prst="rect">
                            <a:avLst/>
                          </a:prstGeom>
                          <a:ln>
                            <a:noFill/>
                          </a:ln>
                        </wps:spPr>
                        <wps:txbx>
                          <w:txbxContent>
                            <w:p w14:paraId="59EFD135"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513" name="Rectangle 761513"/>
                        <wps:cNvSpPr/>
                        <wps:spPr>
                          <a:xfrm>
                            <a:off x="3038805" y="1521587"/>
                            <a:ext cx="269530" cy="154840"/>
                          </a:xfrm>
                          <a:prstGeom prst="rect">
                            <a:avLst/>
                          </a:prstGeom>
                          <a:ln>
                            <a:noFill/>
                          </a:ln>
                        </wps:spPr>
                        <wps:txbx>
                          <w:txbxContent>
                            <w:p w14:paraId="25157754" w14:textId="77777777" w:rsidR="0014164F" w:rsidRDefault="0014164F" w:rsidP="006D5692">
                              <w:r>
                                <w:rPr>
                                  <w:rFonts w:ascii="Calibri" w:hAnsi="Calibri" w:cs="Calibri"/>
                                  <w:color w:val="404040"/>
                                  <w:sz w:val="18"/>
                                </w:rPr>
                                <w:t>4.56</w:t>
                              </w:r>
                            </w:p>
                          </w:txbxContent>
                        </wps:txbx>
                        <wps:bodyPr horzOverflow="overflow" vert="horz" lIns="0" tIns="0" rIns="0" bIns="0" rtlCol="0">
                          <a:noAutofit/>
                        </wps:bodyPr>
                      </wps:wsp>
                      <wps:wsp>
                        <wps:cNvPr id="761511" name="Rectangle 761511"/>
                        <wps:cNvSpPr/>
                        <wps:spPr>
                          <a:xfrm>
                            <a:off x="2737053" y="1429512"/>
                            <a:ext cx="269530" cy="154840"/>
                          </a:xfrm>
                          <a:prstGeom prst="rect">
                            <a:avLst/>
                          </a:prstGeom>
                          <a:ln>
                            <a:noFill/>
                          </a:ln>
                        </wps:spPr>
                        <wps:txbx>
                          <w:txbxContent>
                            <w:p w14:paraId="752CE796" w14:textId="77777777" w:rsidR="0014164F" w:rsidRDefault="0014164F" w:rsidP="006D5692">
                              <w:r>
                                <w:rPr>
                                  <w:rFonts w:ascii="Calibri" w:hAnsi="Calibri" w:cs="Calibri"/>
                                  <w:color w:val="404040"/>
                                  <w:sz w:val="18"/>
                                </w:rPr>
                                <w:t>0.86</w:t>
                              </w:r>
                            </w:p>
                          </w:txbxContent>
                        </wps:txbx>
                        <wps:bodyPr horzOverflow="overflow" vert="horz" lIns="0" tIns="0" rIns="0" bIns="0" rtlCol="0">
                          <a:noAutofit/>
                        </wps:bodyPr>
                      </wps:wsp>
                      <wps:wsp>
                        <wps:cNvPr id="761512" name="Rectangle 761512"/>
                        <wps:cNvSpPr/>
                        <wps:spPr>
                          <a:xfrm>
                            <a:off x="2939707" y="1429512"/>
                            <a:ext cx="108694" cy="154840"/>
                          </a:xfrm>
                          <a:prstGeom prst="rect">
                            <a:avLst/>
                          </a:prstGeom>
                          <a:ln>
                            <a:noFill/>
                          </a:ln>
                        </wps:spPr>
                        <wps:txbx>
                          <w:txbxContent>
                            <w:p w14:paraId="3B520B12"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507" name="Rectangle 761507"/>
                        <wps:cNvSpPr/>
                        <wps:spPr>
                          <a:xfrm>
                            <a:off x="2939707" y="1296924"/>
                            <a:ext cx="108694" cy="154840"/>
                          </a:xfrm>
                          <a:prstGeom prst="rect">
                            <a:avLst/>
                          </a:prstGeom>
                          <a:ln>
                            <a:noFill/>
                          </a:ln>
                        </wps:spPr>
                        <wps:txbx>
                          <w:txbxContent>
                            <w:p w14:paraId="15DF9EC5"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505" name="Rectangle 761505"/>
                        <wps:cNvSpPr/>
                        <wps:spPr>
                          <a:xfrm>
                            <a:off x="2737053" y="1296924"/>
                            <a:ext cx="269530" cy="154840"/>
                          </a:xfrm>
                          <a:prstGeom prst="rect">
                            <a:avLst/>
                          </a:prstGeom>
                          <a:ln>
                            <a:noFill/>
                          </a:ln>
                        </wps:spPr>
                        <wps:txbx>
                          <w:txbxContent>
                            <w:p w14:paraId="678C72B4" w14:textId="77777777" w:rsidR="0014164F" w:rsidRDefault="0014164F" w:rsidP="006D5692">
                              <w:r>
                                <w:rPr>
                                  <w:rFonts w:ascii="Calibri" w:hAnsi="Calibri" w:cs="Calibri"/>
                                  <w:color w:val="404040"/>
                                  <w:sz w:val="18"/>
                                </w:rPr>
                                <w:t>0.31</w:t>
                              </w:r>
                            </w:p>
                          </w:txbxContent>
                        </wps:txbx>
                        <wps:bodyPr horzOverflow="overflow" vert="horz" lIns="0" tIns="0" rIns="0" bIns="0" rtlCol="0">
                          <a:noAutofit/>
                        </wps:bodyPr>
                      </wps:wsp>
                      <wps:wsp>
                        <wps:cNvPr id="761503" name="Rectangle 761503"/>
                        <wps:cNvSpPr/>
                        <wps:spPr>
                          <a:xfrm>
                            <a:off x="2737053" y="1081151"/>
                            <a:ext cx="269530" cy="154840"/>
                          </a:xfrm>
                          <a:prstGeom prst="rect">
                            <a:avLst/>
                          </a:prstGeom>
                          <a:ln>
                            <a:noFill/>
                          </a:ln>
                        </wps:spPr>
                        <wps:txbx>
                          <w:txbxContent>
                            <w:p w14:paraId="71E0BD78" w14:textId="77777777" w:rsidR="0014164F" w:rsidRDefault="0014164F" w:rsidP="006D5692">
                              <w:r>
                                <w:rPr>
                                  <w:rFonts w:ascii="Calibri" w:hAnsi="Calibri" w:cs="Calibri"/>
                                  <w:color w:val="404040"/>
                                  <w:sz w:val="18"/>
                                </w:rPr>
                                <w:t>0.78</w:t>
                              </w:r>
                            </w:p>
                          </w:txbxContent>
                        </wps:txbx>
                        <wps:bodyPr horzOverflow="overflow" vert="horz" lIns="0" tIns="0" rIns="0" bIns="0" rtlCol="0">
                          <a:noAutofit/>
                        </wps:bodyPr>
                      </wps:wsp>
                      <wps:wsp>
                        <wps:cNvPr id="761504" name="Rectangle 761504"/>
                        <wps:cNvSpPr/>
                        <wps:spPr>
                          <a:xfrm>
                            <a:off x="2939707" y="1081151"/>
                            <a:ext cx="108694" cy="154840"/>
                          </a:xfrm>
                          <a:prstGeom prst="rect">
                            <a:avLst/>
                          </a:prstGeom>
                          <a:ln>
                            <a:noFill/>
                          </a:ln>
                        </wps:spPr>
                        <wps:txbx>
                          <w:txbxContent>
                            <w:p w14:paraId="62760847"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497" name="Rectangle 761497"/>
                        <wps:cNvSpPr/>
                        <wps:spPr>
                          <a:xfrm>
                            <a:off x="3320491" y="695325"/>
                            <a:ext cx="108694" cy="154840"/>
                          </a:xfrm>
                          <a:prstGeom prst="rect">
                            <a:avLst/>
                          </a:prstGeom>
                          <a:ln>
                            <a:noFill/>
                          </a:ln>
                        </wps:spPr>
                        <wps:txbx>
                          <w:txbxContent>
                            <w:p w14:paraId="5B5F578C"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496" name="Rectangle 761496"/>
                        <wps:cNvSpPr/>
                        <wps:spPr>
                          <a:xfrm>
                            <a:off x="3059887" y="695325"/>
                            <a:ext cx="346603" cy="154840"/>
                          </a:xfrm>
                          <a:prstGeom prst="rect">
                            <a:avLst/>
                          </a:prstGeom>
                          <a:ln>
                            <a:noFill/>
                          </a:ln>
                        </wps:spPr>
                        <wps:txbx>
                          <w:txbxContent>
                            <w:p w14:paraId="065353F4" w14:textId="77777777" w:rsidR="0014164F" w:rsidRDefault="0014164F" w:rsidP="006D5692">
                              <w:r>
                                <w:rPr>
                                  <w:rFonts w:ascii="Calibri" w:hAnsi="Calibri" w:cs="Calibri"/>
                                  <w:color w:val="404040"/>
                                  <w:sz w:val="18"/>
                                </w:rPr>
                                <w:t>26.68</w:t>
                              </w:r>
                            </w:p>
                          </w:txbxContent>
                        </wps:txbx>
                        <wps:bodyPr horzOverflow="overflow" vert="horz" lIns="0" tIns="0" rIns="0" bIns="0" rtlCol="0">
                          <a:noAutofit/>
                        </wps:bodyPr>
                      </wps:wsp>
                      <wps:wsp>
                        <wps:cNvPr id="761480" name="Rectangle 761480"/>
                        <wps:cNvSpPr/>
                        <wps:spPr>
                          <a:xfrm>
                            <a:off x="3103410" y="144780"/>
                            <a:ext cx="108694" cy="154840"/>
                          </a:xfrm>
                          <a:prstGeom prst="rect">
                            <a:avLst/>
                          </a:prstGeom>
                          <a:ln>
                            <a:noFill/>
                          </a:ln>
                        </wps:spPr>
                        <wps:txbx>
                          <w:txbxContent>
                            <w:p w14:paraId="340A37D9"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479" name="Rectangle 761479"/>
                        <wps:cNvSpPr/>
                        <wps:spPr>
                          <a:xfrm>
                            <a:off x="2900756" y="144780"/>
                            <a:ext cx="269530" cy="154840"/>
                          </a:xfrm>
                          <a:prstGeom prst="rect">
                            <a:avLst/>
                          </a:prstGeom>
                          <a:ln>
                            <a:noFill/>
                          </a:ln>
                        </wps:spPr>
                        <wps:txbx>
                          <w:txbxContent>
                            <w:p w14:paraId="256CB636" w14:textId="77777777" w:rsidR="0014164F" w:rsidRDefault="0014164F" w:rsidP="006D5692">
                              <w:r>
                                <w:rPr>
                                  <w:rFonts w:ascii="Calibri" w:hAnsi="Calibri" w:cs="Calibri"/>
                                  <w:color w:val="404040"/>
                                  <w:sz w:val="18"/>
                                </w:rPr>
                                <w:t>7.95</w:t>
                              </w:r>
                            </w:p>
                          </w:txbxContent>
                        </wps:txbx>
                        <wps:bodyPr horzOverflow="overflow" vert="horz" lIns="0" tIns="0" rIns="0" bIns="0" rtlCol="0">
                          <a:noAutofit/>
                        </wps:bodyPr>
                      </wps:wsp>
                      <wps:wsp>
                        <wps:cNvPr id="761490" name="Rectangle 761490"/>
                        <wps:cNvSpPr/>
                        <wps:spPr>
                          <a:xfrm>
                            <a:off x="3986479" y="251841"/>
                            <a:ext cx="269530" cy="154840"/>
                          </a:xfrm>
                          <a:prstGeom prst="rect">
                            <a:avLst/>
                          </a:prstGeom>
                          <a:ln>
                            <a:noFill/>
                          </a:ln>
                        </wps:spPr>
                        <wps:txbx>
                          <w:txbxContent>
                            <w:p w14:paraId="79646DC3" w14:textId="77777777" w:rsidR="0014164F" w:rsidRDefault="0014164F" w:rsidP="006D5692">
                              <w:r>
                                <w:rPr>
                                  <w:rFonts w:ascii="Calibri" w:hAnsi="Calibri" w:cs="Calibri"/>
                                  <w:color w:val="404040"/>
                                  <w:sz w:val="18"/>
                                </w:rPr>
                                <w:t>0.00</w:t>
                              </w:r>
                            </w:p>
                          </w:txbxContent>
                        </wps:txbx>
                        <wps:bodyPr horzOverflow="overflow" vert="horz" lIns="0" tIns="0" rIns="0" bIns="0" rtlCol="0">
                          <a:noAutofit/>
                        </wps:bodyPr>
                      </wps:wsp>
                      <wps:wsp>
                        <wps:cNvPr id="761491" name="Rectangle 761491"/>
                        <wps:cNvSpPr/>
                        <wps:spPr>
                          <a:xfrm>
                            <a:off x="4189133" y="251841"/>
                            <a:ext cx="108694" cy="154840"/>
                          </a:xfrm>
                          <a:prstGeom prst="rect">
                            <a:avLst/>
                          </a:prstGeom>
                          <a:ln>
                            <a:noFill/>
                          </a:ln>
                        </wps:spPr>
                        <wps:txbx>
                          <w:txbxContent>
                            <w:p w14:paraId="0583FDDE"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482" name="Rectangle 761482"/>
                        <wps:cNvSpPr/>
                        <wps:spPr>
                          <a:xfrm>
                            <a:off x="3958755" y="104902"/>
                            <a:ext cx="108694" cy="154840"/>
                          </a:xfrm>
                          <a:prstGeom prst="rect">
                            <a:avLst/>
                          </a:prstGeom>
                          <a:ln>
                            <a:noFill/>
                          </a:ln>
                        </wps:spPr>
                        <wps:txbx>
                          <w:txbxContent>
                            <w:p w14:paraId="56B1BDCA"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481" name="Rectangle 761481"/>
                        <wps:cNvSpPr/>
                        <wps:spPr>
                          <a:xfrm>
                            <a:off x="3756101" y="104902"/>
                            <a:ext cx="269530" cy="154840"/>
                          </a:xfrm>
                          <a:prstGeom prst="rect">
                            <a:avLst/>
                          </a:prstGeom>
                          <a:ln>
                            <a:noFill/>
                          </a:ln>
                        </wps:spPr>
                        <wps:txbx>
                          <w:txbxContent>
                            <w:p w14:paraId="2CCC2BC0" w14:textId="77777777" w:rsidR="0014164F" w:rsidRDefault="0014164F" w:rsidP="006D5692">
                              <w:r>
                                <w:rPr>
                                  <w:rFonts w:ascii="Calibri" w:hAnsi="Calibri" w:cs="Calibri"/>
                                  <w:color w:val="404040"/>
                                  <w:sz w:val="18"/>
                                </w:rPr>
                                <w:t>0.00</w:t>
                              </w:r>
                            </w:p>
                          </w:txbxContent>
                        </wps:txbx>
                        <wps:bodyPr horzOverflow="overflow" vert="horz" lIns="0" tIns="0" rIns="0" bIns="0" rtlCol="0">
                          <a:noAutofit/>
                        </wps:bodyPr>
                      </wps:wsp>
                      <wps:wsp>
                        <wps:cNvPr id="761475" name="Rectangle 761475"/>
                        <wps:cNvSpPr/>
                        <wps:spPr>
                          <a:xfrm>
                            <a:off x="3410115" y="0"/>
                            <a:ext cx="108694" cy="154840"/>
                          </a:xfrm>
                          <a:prstGeom prst="rect">
                            <a:avLst/>
                          </a:prstGeom>
                          <a:ln>
                            <a:noFill/>
                          </a:ln>
                        </wps:spPr>
                        <wps:txbx>
                          <w:txbxContent>
                            <w:p w14:paraId="248FB107"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473" name="Rectangle 761473"/>
                        <wps:cNvSpPr/>
                        <wps:spPr>
                          <a:xfrm>
                            <a:off x="3207461" y="0"/>
                            <a:ext cx="269530" cy="154840"/>
                          </a:xfrm>
                          <a:prstGeom prst="rect">
                            <a:avLst/>
                          </a:prstGeom>
                          <a:ln>
                            <a:noFill/>
                          </a:ln>
                        </wps:spPr>
                        <wps:txbx>
                          <w:txbxContent>
                            <w:p w14:paraId="5766984F" w14:textId="77777777" w:rsidR="0014164F" w:rsidRDefault="0014164F" w:rsidP="006D5692">
                              <w:r>
                                <w:rPr>
                                  <w:rFonts w:ascii="Calibri" w:hAnsi="Calibri" w:cs="Calibri"/>
                                  <w:color w:val="404040"/>
                                  <w:sz w:val="18"/>
                                </w:rPr>
                                <w:t>0.12</w:t>
                              </w:r>
                            </w:p>
                          </w:txbxContent>
                        </wps:txbx>
                        <wps:bodyPr horzOverflow="overflow" vert="horz" lIns="0" tIns="0" rIns="0" bIns="0" rtlCol="0">
                          <a:noAutofit/>
                        </wps:bodyPr>
                      </wps:wsp>
                      <wps:wsp>
                        <wps:cNvPr id="761478" name="Rectangle 761478"/>
                        <wps:cNvSpPr/>
                        <wps:spPr>
                          <a:xfrm>
                            <a:off x="3684054" y="0"/>
                            <a:ext cx="108694" cy="154840"/>
                          </a:xfrm>
                          <a:prstGeom prst="rect">
                            <a:avLst/>
                          </a:prstGeom>
                          <a:ln>
                            <a:noFill/>
                          </a:ln>
                        </wps:spPr>
                        <wps:txbx>
                          <w:txbxContent>
                            <w:p w14:paraId="64C4F35F" w14:textId="77777777" w:rsidR="0014164F" w:rsidRDefault="0014164F" w:rsidP="006D5692">
                              <w:r>
                                <w:rPr>
                                  <w:rFonts w:ascii="Calibri" w:hAnsi="Calibri" w:cs="Calibri"/>
                                  <w:color w:val="404040"/>
                                  <w:sz w:val="18"/>
                                </w:rPr>
                                <w:t>%</w:t>
                              </w:r>
                            </w:p>
                          </w:txbxContent>
                        </wps:txbx>
                        <wps:bodyPr horzOverflow="overflow" vert="horz" lIns="0" tIns="0" rIns="0" bIns="0" rtlCol="0">
                          <a:noAutofit/>
                        </wps:bodyPr>
                      </wps:wsp>
                      <wps:wsp>
                        <wps:cNvPr id="761477" name="Rectangle 761477"/>
                        <wps:cNvSpPr/>
                        <wps:spPr>
                          <a:xfrm>
                            <a:off x="3481400" y="0"/>
                            <a:ext cx="269530" cy="154840"/>
                          </a:xfrm>
                          <a:prstGeom prst="rect">
                            <a:avLst/>
                          </a:prstGeom>
                          <a:ln>
                            <a:noFill/>
                          </a:ln>
                        </wps:spPr>
                        <wps:txbx>
                          <w:txbxContent>
                            <w:p w14:paraId="4C561655" w14:textId="77777777" w:rsidR="0014164F" w:rsidRDefault="0014164F" w:rsidP="006D5692">
                              <w:r>
                                <w:rPr>
                                  <w:rFonts w:ascii="Calibri" w:hAnsi="Calibri" w:cs="Calibri"/>
                                  <w:color w:val="404040"/>
                                  <w:sz w:val="18"/>
                                </w:rPr>
                                <w:t>0.00</w:t>
                              </w:r>
                            </w:p>
                          </w:txbxContent>
                        </wps:txbx>
                        <wps:bodyPr horzOverflow="overflow" vert="horz" lIns="0" tIns="0" rIns="0" bIns="0" rtlCol="0">
                          <a:noAutofit/>
                        </wps:bodyPr>
                      </wps:wsp>
                      <wps:wsp>
                        <wps:cNvPr id="922394" name="Shape 922394"/>
                        <wps:cNvSpPr/>
                        <wps:spPr>
                          <a:xfrm>
                            <a:off x="4538929" y="119126"/>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1911" name="Shape 41911"/>
                        <wps:cNvSpPr/>
                        <wps:spPr>
                          <a:xfrm>
                            <a:off x="4538929" y="119126"/>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912" name="Rectangle 41912"/>
                        <wps:cNvSpPr/>
                        <wps:spPr>
                          <a:xfrm>
                            <a:off x="4611319" y="83869"/>
                            <a:ext cx="472753" cy="151421"/>
                          </a:xfrm>
                          <a:prstGeom prst="rect">
                            <a:avLst/>
                          </a:prstGeom>
                          <a:ln>
                            <a:noFill/>
                          </a:ln>
                        </wps:spPr>
                        <wps:txbx>
                          <w:txbxContent>
                            <w:p w14:paraId="28509FB9" w14:textId="77777777" w:rsidR="0014164F" w:rsidRDefault="0014164F" w:rsidP="006D5692">
                              <w:r>
                                <w:rPr>
                                  <w:rFonts w:ascii="Arial" w:eastAsia="Arial" w:hAnsi="Arial" w:cs="Arial"/>
                                  <w:color w:val="595959"/>
                                  <w:sz w:val="16"/>
                                </w:rPr>
                                <w:t>Plastika</w:t>
                              </w:r>
                            </w:p>
                          </w:txbxContent>
                        </wps:txbx>
                        <wps:bodyPr horzOverflow="overflow" vert="horz" lIns="0" tIns="0" rIns="0" bIns="0" rtlCol="0">
                          <a:noAutofit/>
                        </wps:bodyPr>
                      </wps:wsp>
                      <wps:wsp>
                        <wps:cNvPr id="922395" name="Shape 922395"/>
                        <wps:cNvSpPr/>
                        <wps:spPr>
                          <a:xfrm>
                            <a:off x="4538929" y="266954"/>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1914" name="Shape 41914"/>
                        <wps:cNvSpPr/>
                        <wps:spPr>
                          <a:xfrm>
                            <a:off x="4538929" y="266954"/>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915" name="Rectangle 41915"/>
                        <wps:cNvSpPr/>
                        <wps:spPr>
                          <a:xfrm>
                            <a:off x="4611319" y="232332"/>
                            <a:ext cx="368999" cy="151421"/>
                          </a:xfrm>
                          <a:prstGeom prst="rect">
                            <a:avLst/>
                          </a:prstGeom>
                          <a:ln>
                            <a:noFill/>
                          </a:ln>
                        </wps:spPr>
                        <wps:txbx>
                          <w:txbxContent>
                            <w:p w14:paraId="4A7C30FB" w14:textId="77777777" w:rsidR="0014164F" w:rsidRDefault="0014164F" w:rsidP="006D5692">
                              <w:r>
                                <w:rPr>
                                  <w:rFonts w:ascii="Arial" w:eastAsia="Arial" w:hAnsi="Arial" w:cs="Arial"/>
                                  <w:color w:val="595959"/>
                                  <w:sz w:val="16"/>
                                </w:rPr>
                                <w:t>Guma</w:t>
                              </w:r>
                            </w:p>
                          </w:txbxContent>
                        </wps:txbx>
                        <wps:bodyPr horzOverflow="overflow" vert="horz" lIns="0" tIns="0" rIns="0" bIns="0" rtlCol="0">
                          <a:noAutofit/>
                        </wps:bodyPr>
                      </wps:wsp>
                      <wps:wsp>
                        <wps:cNvPr id="922396" name="Shape 922396"/>
                        <wps:cNvSpPr/>
                        <wps:spPr>
                          <a:xfrm>
                            <a:off x="4538929" y="416306"/>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1917" name="Shape 41917"/>
                        <wps:cNvSpPr/>
                        <wps:spPr>
                          <a:xfrm>
                            <a:off x="4538929" y="416306"/>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918" name="Rectangle 41918"/>
                        <wps:cNvSpPr/>
                        <wps:spPr>
                          <a:xfrm>
                            <a:off x="4611319" y="398865"/>
                            <a:ext cx="428189" cy="127647"/>
                          </a:xfrm>
                          <a:prstGeom prst="rect">
                            <a:avLst/>
                          </a:prstGeom>
                          <a:ln>
                            <a:noFill/>
                          </a:ln>
                        </wps:spPr>
                        <wps:txbx>
                          <w:txbxContent>
                            <w:p w14:paraId="773D88FC" w14:textId="77777777" w:rsidR="0014164F" w:rsidRDefault="0014164F" w:rsidP="006D5692">
                              <w:r>
                                <w:rPr>
                                  <w:rFonts w:ascii="Arial" w:eastAsia="Arial" w:hAnsi="Arial" w:cs="Arial"/>
                                  <w:color w:val="595959"/>
                                  <w:sz w:val="16"/>
                                </w:rPr>
                                <w:t>Odjeća</w:t>
                              </w:r>
                            </w:p>
                          </w:txbxContent>
                        </wps:txbx>
                        <wps:bodyPr horzOverflow="overflow" vert="horz" lIns="0" tIns="0" rIns="0" bIns="0" rtlCol="0">
                          <a:noAutofit/>
                        </wps:bodyPr>
                      </wps:wsp>
                      <wps:wsp>
                        <wps:cNvPr id="922397" name="Shape 922397"/>
                        <wps:cNvSpPr/>
                        <wps:spPr>
                          <a:xfrm>
                            <a:off x="4538929" y="564134"/>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1920" name="Shape 41920"/>
                        <wps:cNvSpPr/>
                        <wps:spPr>
                          <a:xfrm>
                            <a:off x="4538929" y="564134"/>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921" name="Rectangle 41921"/>
                        <wps:cNvSpPr/>
                        <wps:spPr>
                          <a:xfrm>
                            <a:off x="4611319" y="529131"/>
                            <a:ext cx="727657" cy="151421"/>
                          </a:xfrm>
                          <a:prstGeom prst="rect">
                            <a:avLst/>
                          </a:prstGeom>
                          <a:ln>
                            <a:noFill/>
                          </a:ln>
                        </wps:spPr>
                        <wps:txbx>
                          <w:txbxContent>
                            <w:p w14:paraId="076A1759" w14:textId="77777777" w:rsidR="0014164F" w:rsidRDefault="0014164F" w:rsidP="006D5692">
                              <w:r>
                                <w:rPr>
                                  <w:rFonts w:ascii="Arial" w:eastAsia="Arial" w:hAnsi="Arial" w:cs="Arial"/>
                                  <w:color w:val="595959"/>
                                  <w:sz w:val="16"/>
                                </w:rPr>
                                <w:t>Papir/karton</w:t>
                              </w:r>
                            </w:p>
                          </w:txbxContent>
                        </wps:txbx>
                        <wps:bodyPr horzOverflow="overflow" vert="horz" lIns="0" tIns="0" rIns="0" bIns="0" rtlCol="0">
                          <a:noAutofit/>
                        </wps:bodyPr>
                      </wps:wsp>
                      <wps:wsp>
                        <wps:cNvPr id="922398" name="Shape 922398"/>
                        <wps:cNvSpPr/>
                        <wps:spPr>
                          <a:xfrm>
                            <a:off x="4538929" y="711962"/>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1923" name="Shape 41923"/>
                        <wps:cNvSpPr/>
                        <wps:spPr>
                          <a:xfrm>
                            <a:off x="4538929" y="711962"/>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924" name="Rectangle 41924"/>
                        <wps:cNvSpPr/>
                        <wps:spPr>
                          <a:xfrm>
                            <a:off x="4611319" y="696045"/>
                            <a:ext cx="901872" cy="127647"/>
                          </a:xfrm>
                          <a:prstGeom prst="rect">
                            <a:avLst/>
                          </a:prstGeom>
                          <a:ln>
                            <a:noFill/>
                          </a:ln>
                        </wps:spPr>
                        <wps:txbx>
                          <w:txbxContent>
                            <w:p w14:paraId="21DBECBE" w14:textId="77777777" w:rsidR="0014164F" w:rsidRDefault="0014164F" w:rsidP="006D5692">
                              <w:r>
                                <w:rPr>
                                  <w:rFonts w:ascii="Arial" w:eastAsia="Arial" w:hAnsi="Arial" w:cs="Arial"/>
                                  <w:color w:val="595959"/>
                                  <w:sz w:val="16"/>
                                </w:rPr>
                                <w:t>Obrađeno drvo</w:t>
                              </w:r>
                            </w:p>
                          </w:txbxContent>
                        </wps:txbx>
                        <wps:bodyPr horzOverflow="overflow" vert="horz" lIns="0" tIns="0" rIns="0" bIns="0" rtlCol="0">
                          <a:noAutofit/>
                        </wps:bodyPr>
                      </wps:wsp>
                      <wps:wsp>
                        <wps:cNvPr id="922399" name="Shape 922399"/>
                        <wps:cNvSpPr/>
                        <wps:spPr>
                          <a:xfrm>
                            <a:off x="4538929" y="861314"/>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1926" name="Shape 41926"/>
                        <wps:cNvSpPr/>
                        <wps:spPr>
                          <a:xfrm>
                            <a:off x="4538929" y="861314"/>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927" name="Rectangle 41927"/>
                        <wps:cNvSpPr/>
                        <wps:spPr>
                          <a:xfrm>
                            <a:off x="4611319" y="826311"/>
                            <a:ext cx="330162" cy="151421"/>
                          </a:xfrm>
                          <a:prstGeom prst="rect">
                            <a:avLst/>
                          </a:prstGeom>
                          <a:ln>
                            <a:noFill/>
                          </a:ln>
                        </wps:spPr>
                        <wps:txbx>
                          <w:txbxContent>
                            <w:p w14:paraId="1C48EAE4" w14:textId="77777777" w:rsidR="0014164F" w:rsidRDefault="0014164F" w:rsidP="006D5692">
                              <w:r>
                                <w:rPr>
                                  <w:rFonts w:ascii="Arial" w:eastAsia="Arial" w:hAnsi="Arial" w:cs="Arial"/>
                                  <w:color w:val="595959"/>
                                  <w:sz w:val="16"/>
                                </w:rPr>
                                <w:t>Metal</w:t>
                              </w:r>
                            </w:p>
                          </w:txbxContent>
                        </wps:txbx>
                        <wps:bodyPr horzOverflow="overflow" vert="horz" lIns="0" tIns="0" rIns="0" bIns="0" rtlCol="0">
                          <a:noAutofit/>
                        </wps:bodyPr>
                      </wps:wsp>
                      <wps:wsp>
                        <wps:cNvPr id="922400" name="Shape 922400"/>
                        <wps:cNvSpPr/>
                        <wps:spPr>
                          <a:xfrm>
                            <a:off x="4538929" y="1009142"/>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255E91"/>
                          </a:fillRef>
                          <a:effectRef idx="0">
                            <a:scrgbClr r="0" g="0" b="0"/>
                          </a:effectRef>
                          <a:fontRef idx="none"/>
                        </wps:style>
                        <wps:bodyPr/>
                      </wps:wsp>
                      <wps:wsp>
                        <wps:cNvPr id="41929" name="Shape 41929"/>
                        <wps:cNvSpPr/>
                        <wps:spPr>
                          <a:xfrm>
                            <a:off x="4538929" y="1009142"/>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930" name="Rectangle 41930"/>
                        <wps:cNvSpPr/>
                        <wps:spPr>
                          <a:xfrm>
                            <a:off x="4611319" y="974774"/>
                            <a:ext cx="375246" cy="151421"/>
                          </a:xfrm>
                          <a:prstGeom prst="rect">
                            <a:avLst/>
                          </a:prstGeom>
                          <a:ln>
                            <a:noFill/>
                          </a:ln>
                        </wps:spPr>
                        <wps:txbx>
                          <w:txbxContent>
                            <w:p w14:paraId="117C31D8" w14:textId="77777777" w:rsidR="0014164F" w:rsidRDefault="0014164F" w:rsidP="006D5692">
                              <w:r>
                                <w:rPr>
                                  <w:rFonts w:ascii="Arial" w:eastAsia="Arial" w:hAnsi="Arial" w:cs="Arial"/>
                                  <w:color w:val="595959"/>
                                  <w:sz w:val="16"/>
                                </w:rPr>
                                <w:t>Staklo</w:t>
                              </w:r>
                            </w:p>
                          </w:txbxContent>
                        </wps:txbx>
                        <wps:bodyPr horzOverflow="overflow" vert="horz" lIns="0" tIns="0" rIns="0" bIns="0" rtlCol="0">
                          <a:noAutofit/>
                        </wps:bodyPr>
                      </wps:wsp>
                      <wps:wsp>
                        <wps:cNvPr id="922401" name="Shape 922401"/>
                        <wps:cNvSpPr/>
                        <wps:spPr>
                          <a:xfrm>
                            <a:off x="4538929" y="1158494"/>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1932" name="Shape 41932"/>
                        <wps:cNvSpPr/>
                        <wps:spPr>
                          <a:xfrm>
                            <a:off x="4538929" y="1158494"/>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933" name="Rectangle 41933"/>
                        <wps:cNvSpPr/>
                        <wps:spPr>
                          <a:xfrm>
                            <a:off x="4611319" y="1123490"/>
                            <a:ext cx="571754" cy="151421"/>
                          </a:xfrm>
                          <a:prstGeom prst="rect">
                            <a:avLst/>
                          </a:prstGeom>
                          <a:ln>
                            <a:noFill/>
                          </a:ln>
                        </wps:spPr>
                        <wps:txbx>
                          <w:txbxContent>
                            <w:p w14:paraId="27FEB679" w14:textId="77777777" w:rsidR="0014164F" w:rsidRDefault="0014164F" w:rsidP="006D5692">
                              <w:r>
                                <w:rPr>
                                  <w:rFonts w:ascii="Arial" w:eastAsia="Arial" w:hAnsi="Arial" w:cs="Arial"/>
                                  <w:color w:val="595959"/>
                                  <w:sz w:val="16"/>
                                </w:rPr>
                                <w:t>Keramika</w:t>
                              </w:r>
                            </w:p>
                          </w:txbxContent>
                        </wps:txbx>
                        <wps:bodyPr horzOverflow="overflow" vert="horz" lIns="0" tIns="0" rIns="0" bIns="0" rtlCol="0">
                          <a:noAutofit/>
                        </wps:bodyPr>
                      </wps:wsp>
                      <wps:wsp>
                        <wps:cNvPr id="922402" name="Shape 922402"/>
                        <wps:cNvSpPr/>
                        <wps:spPr>
                          <a:xfrm>
                            <a:off x="4538929" y="1306322"/>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636363"/>
                          </a:fillRef>
                          <a:effectRef idx="0">
                            <a:scrgbClr r="0" g="0" b="0"/>
                          </a:effectRef>
                          <a:fontRef idx="none"/>
                        </wps:style>
                        <wps:bodyPr/>
                      </wps:wsp>
                      <wps:wsp>
                        <wps:cNvPr id="41935" name="Shape 41935"/>
                        <wps:cNvSpPr/>
                        <wps:spPr>
                          <a:xfrm>
                            <a:off x="4538929" y="1306322"/>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936" name="Rectangle 41936"/>
                        <wps:cNvSpPr/>
                        <wps:spPr>
                          <a:xfrm>
                            <a:off x="4611319" y="1271953"/>
                            <a:ext cx="908004" cy="151421"/>
                          </a:xfrm>
                          <a:prstGeom prst="rect">
                            <a:avLst/>
                          </a:prstGeom>
                          <a:ln>
                            <a:noFill/>
                          </a:ln>
                        </wps:spPr>
                        <wps:txbx>
                          <w:txbxContent>
                            <w:p w14:paraId="47329085" w14:textId="77777777" w:rsidR="0014164F" w:rsidRDefault="0014164F" w:rsidP="006D5692">
                              <w:r>
                                <w:rPr>
                                  <w:rFonts w:ascii="Arial" w:eastAsia="Arial" w:hAnsi="Arial" w:cs="Arial"/>
                                  <w:color w:val="595959"/>
                                  <w:sz w:val="16"/>
                                </w:rPr>
                                <w:t>Sanitarni otpad</w:t>
                              </w:r>
                            </w:p>
                          </w:txbxContent>
                        </wps:txbx>
                        <wps:bodyPr horzOverflow="overflow" vert="horz" lIns="0" tIns="0" rIns="0" bIns="0" rtlCol="0">
                          <a:noAutofit/>
                        </wps:bodyPr>
                      </wps:wsp>
                      <wps:wsp>
                        <wps:cNvPr id="922403" name="Shape 922403"/>
                        <wps:cNvSpPr/>
                        <wps:spPr>
                          <a:xfrm>
                            <a:off x="4538929" y="1455674"/>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997300"/>
                          </a:fillRef>
                          <a:effectRef idx="0">
                            <a:scrgbClr r="0" g="0" b="0"/>
                          </a:effectRef>
                          <a:fontRef idx="none"/>
                        </wps:style>
                        <wps:bodyPr/>
                      </wps:wsp>
                      <wps:wsp>
                        <wps:cNvPr id="41938" name="Shape 41938"/>
                        <wps:cNvSpPr/>
                        <wps:spPr>
                          <a:xfrm>
                            <a:off x="4538929" y="1455674"/>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939" name="Rectangle 41939"/>
                        <wps:cNvSpPr/>
                        <wps:spPr>
                          <a:xfrm>
                            <a:off x="4611319" y="1420416"/>
                            <a:ext cx="1007548" cy="151421"/>
                          </a:xfrm>
                          <a:prstGeom prst="rect">
                            <a:avLst/>
                          </a:prstGeom>
                          <a:ln>
                            <a:noFill/>
                          </a:ln>
                        </wps:spPr>
                        <wps:txbx>
                          <w:txbxContent>
                            <w:p w14:paraId="0057F511" w14:textId="77777777" w:rsidR="0014164F" w:rsidRDefault="0014164F" w:rsidP="006D5692">
                              <w:r>
                                <w:rPr>
                                  <w:rFonts w:ascii="Arial" w:eastAsia="Arial" w:hAnsi="Arial" w:cs="Arial"/>
                                  <w:color w:val="595959"/>
                                  <w:sz w:val="16"/>
                                </w:rPr>
                                <w:t>Medicinski otpad</w:t>
                              </w:r>
                            </w:p>
                          </w:txbxContent>
                        </wps:txbx>
                        <wps:bodyPr horzOverflow="overflow" vert="horz" lIns="0" tIns="0" rIns="0" bIns="0" rtlCol="0">
                          <a:noAutofit/>
                        </wps:bodyPr>
                      </wps:wsp>
                      <wps:wsp>
                        <wps:cNvPr id="922404" name="Shape 922404"/>
                        <wps:cNvSpPr/>
                        <wps:spPr>
                          <a:xfrm>
                            <a:off x="4538929" y="1603502"/>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1941" name="Shape 41941"/>
                        <wps:cNvSpPr/>
                        <wps:spPr>
                          <a:xfrm>
                            <a:off x="4538929" y="1603502"/>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942" name="Rectangle 41942"/>
                        <wps:cNvSpPr/>
                        <wps:spPr>
                          <a:xfrm>
                            <a:off x="4611319" y="1568879"/>
                            <a:ext cx="819439" cy="151421"/>
                          </a:xfrm>
                          <a:prstGeom prst="rect">
                            <a:avLst/>
                          </a:prstGeom>
                          <a:ln>
                            <a:noFill/>
                          </a:ln>
                        </wps:spPr>
                        <wps:txbx>
                          <w:txbxContent>
                            <w:p w14:paraId="33841222" w14:textId="77777777" w:rsidR="0014164F" w:rsidRDefault="0014164F" w:rsidP="006D5692">
                              <w:r>
                                <w:rPr>
                                  <w:rFonts w:ascii="Arial" w:eastAsia="Arial" w:hAnsi="Arial" w:cs="Arial"/>
                                  <w:color w:val="595959"/>
                                  <w:sz w:val="16"/>
                                </w:rPr>
                                <w:t>Parafin/vosak</w:t>
                              </w:r>
                            </w:p>
                          </w:txbxContent>
                        </wps:txbx>
                        <wps:bodyPr horzOverflow="overflow" vert="horz" lIns="0" tIns="0" rIns="0" bIns="0" rtlCol="0">
                          <a:noAutofit/>
                        </wps:bodyPr>
                      </wps:wsp>
                    </wpg:wgp>
                  </a:graphicData>
                </a:graphic>
              </wp:inline>
            </w:drawing>
          </mc:Choice>
          <mc:Fallback>
            <w:pict>
              <v:group w14:anchorId="6317BE94" id="Group 895841" o:spid="_x0000_s1760" style="width:422.75pt;height:144.85pt;mso-position-horizontal-relative:char;mso-position-vertical-relative:line" coordsize="53688,18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">
                <v:shape id="Shape 41800" o:spid="_x0000_s1761" style="position:absolute;left:7051;top:3817;width:5817;height:11614;visibility:visible;mso-wrap-style:square;v-text-anchor:top" coordsize="581660,116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fo8UA&#10;AADeAAAADwAAAGRycy9kb3ducmV2LnhtbESPwWrCQBCG7wXfYRnBS9GNUkSjq4g0pUcbS89DdswG&#10;s7Mxu9X07TuHQo8/88838233g2/VnfrYBDYwn2WgiKtgG64NfJ6L6QpUTMgW28Bk4Ici7Hejpy3m&#10;Njz4g+5lqpVAOOZowKXU5VrHypHHOAsdscwuofeYJPa1tj0+BO5bvciypfbYsFxw2NHRUXUtv72B&#10;5/PhRK07XdbL4qu8dW9cvMp7ZjIeDhtQiYb0X/7bfrcGXuarTARER1RA7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th+jxQAAAN4AAAAPAAAAAAAAAAAAAAAAAJgCAABkcnMv&#10;ZG93bnJldi54bWxQSwUGAAAAAAQABAD1AAAAigMAAAAA&#10;" path="m,c321310,,581660,260477,581660,581787v,301879,-230886,553720,-531749,579628l,581787,,xe" fillcolor="#5b9bd5" stroked="f" strokeweight="0">
                  <v:stroke miterlimit="83231f" joinstyle="miter"/>
                  <v:path arrowok="t" textboxrect="0,0,581660,1161415"/>
                </v:shape>
                <v:shape id="Shape 41801" o:spid="_x0000_s1762" style="position:absolute;left:7051;top:3817;width:5817;height:11614;visibility:visible;mso-wrap-style:square;v-text-anchor:top" coordsize="581660,116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2mccA&#10;AADeAAAADwAAAGRycy9kb3ducmV2LnhtbESPQWvCQBSE74L/YXmFXqTuRoqE1E0oQkGhPcSK50f2&#10;NYlm36bZVWN/fbdQ8DjMzDfMqhhtJy40+NaxhmSuQBBXzrRca9h/vj2lIHxANtg5Jg038lDk08kK&#10;M+OuXNJlF2oRIewz1NCE0GdS+qohi37ueuLofbnBYohyqKUZ8BrhtpMLpZbSYstxocGe1g1Vp93Z&#10;anDlj+xn+3R7O36oZXr4rkp3eNf68WF8fQERaAz38H97YzQ8J6lK4O9OvAIy/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y9pnHAAAA3gAAAA8AAAAAAAAAAAAAAAAAmAIAAGRy&#10;cy9kb3ducmV2LnhtbFBLBQYAAAAABAAEAPUAAACMAwAAAAA=&#10;" path="m,c321310,,581660,260477,581660,581787v,301879,-230886,553720,-531749,579628l,581787,,xe" filled="f" strokecolor="white" strokeweight="1.56pt">
                  <v:path arrowok="t" textboxrect="0,0,581660,1161415"/>
                </v:shape>
                <v:shape id="Shape 41802" o:spid="_x0000_s1763" style="position:absolute;left:7051;top:9635;width:499;height:5813;visibility:visible;mso-wrap-style:square;v-text-anchor:top" coordsize="49911,581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qI28IA&#10;AADeAAAADwAAAGRycy9kb3ducmV2LnhtbESP0YrCMBRE3wX/IVxh3zRtEVe7RhHRxVerH3Bprk3d&#10;5qY0sda/3ywI+zjMzBlmvR1sI3rqfO1YQTpLQBCXTtdcKbhejtMlCB+QNTaOScGLPGw349Eac+2e&#10;fKa+CJWIEPY5KjAhtLmUvjRk0c9cSxy9m+sshii7SuoOnxFuG5klyUJarDkuGGxpb6j8KR5WAR8y&#10;X6ww8/39/mnSxTk1369GqY/JsPsCEWgI/+F3+6QVzNNlksHfnXgF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mojbwgAAAN4AAAAPAAAAAAAAAAAAAAAAAJgCAABkcnMvZG93&#10;bnJldi54bWxQSwUGAAAAAAQABAD1AAAAhwMAAAAA&#10;" path="m,l49911,579628v-8255,762,-16637,1271,-24892,1651l,xe" fillcolor="#ed7d31" stroked="f" strokeweight="0">
                  <v:path arrowok="t" textboxrect="0,0,49911,581279"/>
                </v:shape>
                <v:shape id="Shape 41803" o:spid="_x0000_s1764" style="position:absolute;left:7051;top:9635;width:499;height:5813;visibility:visible;mso-wrap-style:square;v-text-anchor:top" coordsize="49911,581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Mw1McA&#10;AADeAAAADwAAAGRycy9kb3ducmV2LnhtbESPT2vCQBTE70K/w/IKXqRutCIhdRWpKL36B6m3Z/Y1&#10;Cc2+Dburif30XUHwOMzMb5jZojO1uJLzlWUFo2ECgji3uuJCwWG/fktB+ICssbZMCm7kYTF/6c0w&#10;07blLV13oRARwj5DBWUITSalz0sy6Ie2IY7ej3UGQ5SukNphG+GmluMkmUqDFceFEhv6LCn/3V2M&#10;gnCero+rwdj9Lb83p0s7SG9ulSrVf+2WHyACdeEZfrS/tILJKE3e4X4nXgE5/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EDMNTHAAAA3gAAAA8AAAAAAAAAAAAAAAAAmAIAAGRy&#10;cy9kb3ducmV2LnhtbFBLBQYAAAAABAAEAPUAAACMAwAAAAA=&#10;" path="m49911,579628v-8255,762,-16637,1271,-24892,1651l,,49911,579628xe" filled="f" strokecolor="white" strokeweight="1.56pt">
                  <v:path arrowok="t" textboxrect="0,0,49911,581279"/>
                </v:shape>
                <v:shape id="Shape 41804" o:spid="_x0000_s1765" style="position:absolute;left:6551;top:9635;width:750;height:5823;visibility:visible;mso-wrap-style:square;v-text-anchor:top" coordsize="75057,58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Tt4skA&#10;AADeAAAADwAAAGRycy9kb3ducmV2LnhtbESPT2vCQBTE74V+h+UVvNWNfyg2uoqIisWDbRoK3p7Z&#10;ZxLMvo3ZVdNv7xaEHoeZ+Q0zmbWmEldqXGlZQa8bgSDOrC45V5B+r15HIJxH1lhZJgW/5GA2fX6a&#10;YKztjb/omvhcBAi7GBUU3texlC4ryKDr2po4eEfbGPRBNrnUDd4C3FSyH0Vv0mDJYaHAmhYFZafk&#10;YhTs6s/zdt6/fBze0+3PerBPkzJdKtV5aedjEJ5a/x9+tDdawbA3iobwdydcATm9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ETt4skAAADeAAAADwAAAAAAAAAAAAAAAACYAgAA&#10;ZHJzL2Rvd25yZXYueG1sUEsFBgAAAAAEAAQA9QAAAI4DAAAAAA==&#10;" path="m50038,l75057,581279c50038,582295,24892,581787,,579628l50038,xe" fillcolor="#a5a5a5" stroked="f" strokeweight="0">
                  <v:path arrowok="t" textboxrect="0,0,75057,582295"/>
                </v:shape>
                <v:shape id="Shape 41805" o:spid="_x0000_s1766" style="position:absolute;left:6551;top:9635;width:750;height:5823;visibility:visible;mso-wrap-style:square;v-text-anchor:top" coordsize="75057,58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yxpMUA&#10;AADeAAAADwAAAGRycy9kb3ducmV2LnhtbESPT4vCMBTE7wt+h/AEb2uq+0epRpEVYU8L29WeH80z&#10;LTYvJYm2fnuzsLDHYWZ+w6y3g23FjXxoHCuYTTMQxJXTDRsFx5/D8xJEiMgaW8ek4E4BtpvR0xpz&#10;7Xr+plsRjUgQDjkqqGPscilDVZPFMHUdcfLOzluMSXojtcc+wW0r51n2Li02nBZq7OijpupSXK2C&#10;fdkHs7gWpjRfVefL0O5f8KTUZDzsViAiDfE//Nf+1ApeZ8vsDX7vpCs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LGkxQAAAN4AAAAPAAAAAAAAAAAAAAAAAJgCAABkcnMv&#10;ZG93bnJldi54bWxQSwUGAAAAAAQABAD1AAAAigMAAAAA&#10;" path="m75057,581279c50038,582295,24892,581787,,579628l50038,,75057,581279xe" filled="f" strokecolor="white" strokeweight="1.56pt">
                  <v:path arrowok="t" textboxrect="0,0,75057,582295"/>
                </v:shape>
                <v:shape id="Shape 41806" o:spid="_x0000_s1767" style="position:absolute;left:6054;top:9635;width:997;height:5796;visibility:visible;mso-wrap-style:square;v-text-anchor:top" coordsize="99695,579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TH9cQA&#10;AADeAAAADwAAAGRycy9kb3ducmV2LnhtbESPQYvCMBSE7wv7H8Jb8LYmihTtGmURRPEi6uL50Tzb&#10;sM1LaaKt/94IgsdhZr5h5sve1eJGbbCeNYyGCgRx4Y3lUsPfaf09BREissHaM2m4U4Dl4vNjjrnx&#10;HR/odoylSBAOOWqoYmxyKUNRkcMw9A1x8i6+dRiTbEtpWuwS3NVyrFQmHVpOCxU2tKqo+D9enYZx&#10;cz7tfDfZoar3mV1fZnZznmk9+Op/f0BE6uM7/GpvjYbJaKoyeN5JV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Ex/XEAAAA3gAAAA8AAAAAAAAAAAAAAAAAmAIAAGRycy9k&#10;b3ducmV2LnhtbFBLBQYAAAAABAAEAPUAAACJAwAAAAA=&#10;" path="m99695,l49657,579628c33020,578231,16510,576073,,573151l99695,xe" fillcolor="#ffc000" stroked="f" strokeweight="0">
                  <v:path arrowok="t" textboxrect="0,0,99695,579628"/>
                </v:shape>
                <v:shape id="Shape 41807" o:spid="_x0000_s1768" style="position:absolute;left:6054;top:9635;width:997;height:5796;visibility:visible;mso-wrap-style:square;v-text-anchor:top" coordsize="99695,579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Fl4MUA&#10;AADeAAAADwAAAGRycy9kb3ducmV2LnhtbESPQWsCMRSE7wX/Q3hCbzVrsSqrUbSwUOipKqK3x+a5&#10;WTd5WTZRt/++KRR6HGbmG2a57p0Vd+pC7VnBeJSBIC69rrlScNgXL3MQISJrtJ5JwTcFWK8GT0vM&#10;tX/wF913sRIJwiFHBSbGNpcylIYchpFviZN38Z3DmGRXSd3hI8Gdla9ZNpUOa04LBlt6N1Q2u5tT&#10;0LRvtiwKe+Rpc7buavrTZ9gq9TzsNwsQkfr4H/5rf2gFk/E8m8HvnXQF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IWXgxQAAAN4AAAAPAAAAAAAAAAAAAAAAAJgCAABkcnMv&#10;ZG93bnJldi54bWxQSwUGAAAAAAQABAD1AAAAigMAAAAA&#10;" path="m49657,579628c33020,578231,16510,576073,,573151l99695,,49657,579628xe" filled="f" strokecolor="white" strokeweight="1.56pt">
                  <v:path arrowok="t" textboxrect="0,0,99695,579628"/>
                </v:shape>
                <v:shape id="Shape 41808" o:spid="_x0000_s1769" style="position:absolute;left:5809;top:9635;width:1242;height:5732;visibility:visible;mso-wrap-style:square;v-text-anchor:top" coordsize="124206,573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O53MQA&#10;AADeAAAADwAAAGRycy9kb3ducmV2LnhtbERPz2vCMBS+C/sfwht409QxhnRG2cRNj9PqwNuzeWs6&#10;m5fQxNr998tB8Pjx/Z4tetuIjtpQO1YwGWcgiEuna64U7IuP0RREiMgaG8ek4I8CLOYPgxnm2l15&#10;S90uViKFcMhRgYnR51KG0pDFMHaeOHE/rrUYE2wrqVu8pnDbyKcse5EWa04NBj0tDZXn3cUq8N3K&#10;dN+n46es13759X743eK+UGr42L+9gojUx7v45t5oBc+TaZb2pjvpCs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TudzEAAAA3gAAAA8AAAAAAAAAAAAAAAAAmAIAAGRycy9k&#10;b3ducmV2LnhtbFBLBQYAAAAABAAEAPUAAACJAwAAAAA=&#10;" path="m124206,l24511,573151c16256,571754,8128,570103,,568325l124206,xe" fillcolor="#4472c4" stroked="f" strokeweight="0">
                  <v:path arrowok="t" textboxrect="0,0,124206,573151"/>
                </v:shape>
                <v:shape id="Shape 41809" o:spid="_x0000_s1770" style="position:absolute;left:5809;top:9635;width:1242;height:5732;visibility:visible;mso-wrap-style:square;v-text-anchor:top" coordsize="124206,573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6sCscA&#10;AADeAAAADwAAAGRycy9kb3ducmV2LnhtbESPQWvCQBSE7wX/w/IEb3WjSElTN0EFwVOhprR4e2Sf&#10;m9Ds25Bdk9hf3y0Uehxm5htmW0y2FQP1vnGsYLVMQBBXTjdsFLyXx8cUhA/IGlvHpOBOHop89rDF&#10;TLuR32g4ByMihH2GCuoQukxKX9Vk0S9dRxy9q+sthih7I3WPY4TbVq6T5ElabDgu1NjRoabq63yz&#10;CvaubD4Ol9eLSctPI8dRfg+7q1KL+bR7ARFoCv/hv/ZJK9is0uQZfu/EKy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OrArHAAAA3gAAAA8AAAAAAAAAAAAAAAAAmAIAAGRy&#10;cy9kb3ducmV2LnhtbFBLBQYAAAAABAAEAPUAAACMAwAAAAA=&#10;" path="m24511,573151c16256,571754,8128,570103,,568325l124206,,24511,573151xe" filled="f" strokecolor="white" strokeweight="1.56pt">
                  <v:path arrowok="t" textboxrect="0,0,124206,573151"/>
                </v:shape>
                <v:shape id="Shape 41810" o:spid="_x0000_s1771" style="position:absolute;left:681;top:3903;width:6370;height:11415;visibility:visible;mso-wrap-style:square;v-text-anchor:top" coordsize="636981,1141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qZcQA&#10;AADeAAAADwAAAGRycy9kb3ducmV2LnhtbESP32rCMBTG7we+QzjCbsZMM2RINYp0DHqhoHUPcGiO&#10;TbE56Zqo3dubC2GXH98/fqvN6DpxoyG0njWoWQaCuPam5UbDz+n7fQEiRGSDnWfS8EcBNuvJywpz&#10;4+98pFsVG5FGOOSowcbY51KG2pLDMPM9cfLOfnAYkxwaaQa8p3HXyY8s+5QOW04PFnsqLNWX6uo0&#10;lPtd/VYoeyguJlbqyuX263eu9et03C5BRBrjf/jZLo2GuVqoBJBwEgr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66mXEAAAA3gAAAA8AAAAAAAAAAAAAAAAAmAIAAGRycy9k&#10;b3ducmV2LnhtbFBLBQYAAAAABAAEAPUAAACJAwAAAAA=&#10;" path="m537286,r99695,573151l512775,1141476c198831,1072897,,762889,68605,448945,119088,217932,304368,40513,537286,xe" fillcolor="#70ad47" stroked="f" strokeweight="0">
                  <v:path arrowok="t" textboxrect="0,0,636981,1141476"/>
                </v:shape>
                <v:shape id="Shape 41811" o:spid="_x0000_s1772" style="position:absolute;left:681;top:3903;width:6370;height:11415;visibility:visible;mso-wrap-style:square;v-text-anchor:top" coordsize="636981,1141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U/I8YA&#10;AADeAAAADwAAAGRycy9kb3ducmV2LnhtbESPUWvCMBSF3wf+h3AF32ZalVGqUbQwGAzGpoKvl+ba&#10;VJub0ETt/v0yGOzxcM75Dme1GWwn7tSH1rGCfJqBIK6dbrlRcDy8PhcgQkTW2DkmBd8UYLMePa2w&#10;1O7BX3Tfx0YkCIcSFZgYfSllqA1ZDFPniZN3dr3FmGTfSN3jI8FtJ2dZ9iIttpwWDHqqDNXX/c0q&#10;0EVmPi7Vu6+OC7k73y7zzn+elJqMh+0SRKQh/of/2m9awSIv8hx+76QrI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fU/I8YAAADeAAAADwAAAAAAAAAAAAAAAACYAgAAZHJz&#10;L2Rvd25yZXYueG1sUEsFBgAAAAAEAAQA9QAAAIsDAAAAAA==&#10;" path="m512775,1141476c198831,1072897,,762889,68605,448945,119088,217932,304368,40513,537286,r99695,573151l512775,1141476xe" filled="f" strokecolor="white" strokeweight="1.56pt">
                  <v:path arrowok="t" textboxrect="0,0,636981,1141476"/>
                </v:shape>
                <v:shape id="Shape 41812" o:spid="_x0000_s1773" style="position:absolute;left:6054;top:3839;width:997;height:5796;visibility:visible;mso-wrap-style:square;v-text-anchor:top" coordsize="99695,579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7LMcA&#10;AADeAAAADwAAAGRycy9kb3ducmV2LnhtbESPQWvCQBSE7wX/w/KEXopuElqV6Cqtpeq1Gg/eHtln&#10;Nph9G7Krpv++KxR6HGbmG2ax6m0jbtT52rGCdJyAIC6drrlSUBy+RjMQPiBrbByTgh/ysFoOnhaY&#10;a3fnb7rtQyUihH2OCkwIbS6lLw1Z9GPXEkfv7DqLIcqukrrDe4TbRmZJMpEWa44LBltaGyov+6tV&#10;MP14y4r1YbP5TF9O18Js2930eFLqedi/z0EE6sN/+K+90wpe01maweN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puyzHAAAA3gAAAA8AAAAAAAAAAAAAAAAAmAIAAGRy&#10;cy9kb3ducmV2LnhtbFBLBQYAAAAABAAEAPUAAACMAwAAAAA=&#10;" path="m49657,l99695,579627,,6476c16510,3683,33020,1524,49657,xe" fillcolor="#255e91" stroked="f" strokeweight="0">
                  <v:path arrowok="t" textboxrect="0,0,99695,579627"/>
                </v:shape>
                <v:shape id="Shape 41813" o:spid="_x0000_s1774" style="position:absolute;left:6054;top:3839;width:997;height:5796;visibility:visible;mso-wrap-style:square;v-text-anchor:top" coordsize="99695,579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PEasgA&#10;AADeAAAADwAAAGRycy9kb3ducmV2LnhtbESPQWvCQBSE7wX/w/KEXkrdxNQgaTYigtBDPdQKvT6z&#10;zyQ1+zZkN5r6691CocdhZr5h8tVoWnGh3jWWFcSzCARxaXXDlYLD5/Z5CcJ5ZI2tZVLwQw5WxeQh&#10;x0zbK3/QZe8rESDsMlRQe99lUrqyJoNuZjvi4J1sb9AH2VdS93gNcNPKeRSl0mDDYaHGjjY1lef9&#10;YBSY4Wv9FJs2SXfvzaLbJd80HG9KPU7H9SsIT6P/D/+137SCl3gZJ/B7J1wBWd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08RqyAAAAN4AAAAPAAAAAAAAAAAAAAAAAJgCAABk&#10;cnMvZG93bnJldi54bWxQSwUGAAAAAAQABAD1AAAAjQMAAAAA&#10;" path="m,6476c16510,3683,33020,1524,49657,l99695,579627,,6476xe" filled="f" strokecolor="white" strokeweight="1.56pt">
                  <v:path arrowok="t" textboxrect="0,0,99695,579627"/>
                </v:shape>
                <v:shape id="Shape 41814" o:spid="_x0000_s1775" style="position:absolute;left:6551;top:3839;width:500;height:5796;visibility:visible;mso-wrap-style:square;v-text-anchor:top" coordsize="50038,579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JmFsYA&#10;AADeAAAADwAAAGRycy9kb3ducmV2LnhtbESPT4vCMBTE74LfITxhL7KmlbKUahQRZffgZf1zf9s8&#10;22ryUpqs1m9vhIU9DjPzG2a+7K0RN+p841hBOklAEJdON1wpOB627zkIH5A1Gsek4EEelovhYI6F&#10;dnf+pts+VCJC2BeooA6hLaT0ZU0W/cS1xNE7u85iiLKrpO7wHuHWyGmSfEiLDceFGlta11Re979W&#10;wTg7mc/HD5qdvVzPrd3k092hVOpt1K9mIAL14T/81/7SCrI0TzN43YlX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JmFsYAAADeAAAADwAAAAAAAAAAAAAAAACYAgAAZHJz&#10;L2Rvd25yZXYueG1sUEsFBgAAAAAEAAQA9QAAAIsDAAAAAA==&#10;" path="m,l50038,579627,,xe" filled="f" strokecolor="white" strokeweight="1.56pt">
                  <v:path arrowok="t" textboxrect="0,0,50038,579627"/>
                </v:shape>
                <v:shape id="Shape 41815" o:spid="_x0000_s1776" style="position:absolute;left:6551;top:3839;width:500;height:5796;visibility:visible;mso-wrap-style:square;v-text-anchor:top" coordsize="50038,579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7DjcYA&#10;AADeAAAADwAAAGRycy9kb3ducmV2LnhtbESPT4vCMBTE74LfITxhL6JpxZVSjSLLLrsHL+uf+7N5&#10;ttXkpTRZrd9+Iwgeh5n5DbNYddaIK7W+dqwgHScgiAunay4V7HdfowyED8gajWNScCcPq2W/t8Bc&#10;uxv/0nUbShEh7HNUUIXQ5FL6oiKLfuwa4uidXGsxRNmWUrd4i3Br5CRJZtJizXGhwoY+Kiou2z+r&#10;YDg9mO/7Ec3Gni+nxn5mk82uUOpt0K3nIAJ14RV+tn+0gmmape/wuBOv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T7DjcYAAADeAAAADwAAAAAAAAAAAAAAAACYAgAAZHJz&#10;L2Rvd25yZXYueG1sUEsFBgAAAAAEAAQA9QAAAIsDAAAAAA==&#10;" path="m,l50038,579627,,xe" filled="f" strokecolor="white" strokeweight="1.56pt">
                  <v:path arrowok="t" textboxrect="0,0,50038,579627"/>
                </v:shape>
                <v:shape id="Shape 41816" o:spid="_x0000_s1777" style="position:absolute;left:6551;top:3817;width:500;height:5818;visibility:visible;mso-wrap-style:square;v-text-anchor:top" coordsize="50038,581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l6H8YA&#10;AADeAAAADwAAAGRycy9kb3ducmV2LnhtbESPQUvDQBSE70L/w/IK3uwmIqGJ3ZbStODNWj14fGRf&#10;k9DdtyH7bOO/dwXB4zAz3zCrzeSdutIY+8AG8kUGirgJtufWwMf74WEJKgqyRReYDHxThM16drfC&#10;yoYbv9H1JK1KEI4VGuhEhkrr2HTkMS7CQJy8cxg9SpJjq+2ItwT3Tj9mWaE99pwWOhxo11FzOX15&#10;A1E+93W5n4pXV9pj3bryeKjFmPv5tH0GJTTJf/iv/WINPOXLvIDfO+kK6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l6H8YAAADeAAAADwAAAAAAAAAAAAAAAACYAgAAZHJz&#10;L2Rvd25yZXYueG1sUEsFBgAAAAAEAAQA9QAAAIsDAAAAAA==&#10;" path="m50038,r,581787l,2160c16637,762,33274,,50038,xe" fillcolor="#997300" stroked="f" strokeweight="0">
                  <v:path arrowok="t" textboxrect="0,0,50038,581787"/>
                </v:shape>
                <v:shape id="Shape 41817" o:spid="_x0000_s1778" style="position:absolute;left:6551;top:3817;width:500;height:5818;visibility:visible;mso-wrap-style:square;v-text-anchor:top" coordsize="50038,581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0WsMUA&#10;AADeAAAADwAAAGRycy9kb3ducmV2LnhtbESPQWsCMRSE74L/ITzBi9RsRKxdjVIEwWtX215fN6+7&#10;i8nLskl121/fCILHYWa+Ydbb3llxoS40njWoaQaCuPSm4UrD6bh/WoIIEdmg9UwafinAdjMcrDE3&#10;/spvdCliJRKEQ44a6hjbXMpQ1uQwTH1LnLxv3zmMSXaVNB1eE9xZOcuyhXTYcFqosaVdTeW5+HEa&#10;2k9pTu7lq5jspH0//M3V3n4orcej/nUFIlIfH+F7+2A0zNVSPcPtTro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RawxQAAAN4AAAAPAAAAAAAAAAAAAAAAAJgCAABkcnMv&#10;ZG93bnJldi54bWxQSwUGAAAAAAQABAD1AAAAigMAAAAA&#10;" path="m,2160c16637,762,33274,,50038,r,581787l,2160xe" filled="f" strokecolor="white" strokeweight="1.56pt">
                  <v:path arrowok="t" textboxrect="0,0,50038,581787"/>
                </v:shape>
                <v:shape id="Shape 41818" o:spid="_x0000_s1779" style="position:absolute;left:7051;top:3817;width:0;height:5818;visibility:visible;mso-wrap-style:square;v-text-anchor:top" coordsize="0,581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jDJcMA&#10;AADeAAAADwAAAGRycy9kb3ducmV2LnhtbERPTU/CQBC9m/AfNkPiTbYlBklhISia4E3Ri7dJd9pt&#10;6M423bG0/949kHh8ed/b/ehbNVAfm8AG8kUGirgMtuHawPfX28MaVBRki21gMjBRhP1udrfFwoYr&#10;f9JwllqlEI4FGnAiXaF1LB15jIvQESeuCr1HSbCvte3xmsJ9q5dZttIeG04NDjt6cVRezr/eQPP6&#10;fDxNH274qar4rnGS4ekixtzPx8MGlNAo/+Kb+2QNPObrPO1Nd9IV0L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jDJcMAAADeAAAADwAAAAAAAAAAAAAAAACYAgAAZHJzL2Rv&#10;d25yZXYueG1sUEsFBgAAAAAEAAQA9QAAAIgDAAAAAA==&#10;" path="m,l,581787,,xe" filled="f" strokecolor="white" strokeweight="1.56pt">
                  <v:path arrowok="t" textboxrect="0,0,0,581787"/>
                </v:shape>
                <v:shape id="Shape 41819" o:spid="_x0000_s1780" style="position:absolute;left:7434;top:15448;width:335;height:1783;visibility:visible;mso-wrap-style:square;v-text-anchor:top" coordsize="33528,178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E9vMUA&#10;AADeAAAADwAAAGRycy9kb3ducmV2LnhtbESPUWvCMBSF3wf7D+EOfJtph6zaGWUMBoIw0Qq+Xpq7&#10;pprclCZq/fdGGOzxcM75Dme+HJwVF+pD61lBPs5AENdet9wo2Fffr1MQISJrtJ5JwY0CLBfPT3Ms&#10;tb/yli672IgE4VCiAhNjV0oZakMOw9h3xMn79b3DmGTfSN3jNcGdlW9Z9i4dtpwWDHb0Zag+7c5O&#10;wXHtzqYoavpZbe2tqg622Gir1Ohl+PwAEWmI/+G/9kormOTTfAaPO+kK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AT28xQAAAN4AAAAPAAAAAAAAAAAAAAAAAJgCAABkcnMv&#10;ZG93bnJldi54bWxQSwUGAAAAAAQABAD1AAAAigMAAAAA&#10;" path="m,l33528,178308e" filled="f" strokecolor="#a6a6a6" strokeweight=".72pt">
                  <v:path arrowok="t" textboxrect="0,0,33528,178308"/>
                </v:shape>
                <v:shape id="Shape 41820" o:spid="_x0000_s1781" style="position:absolute;left:6931;top:15448;width:0;height:1554;visibility:visible;mso-wrap-style:square;v-text-anchor:top" coordsize="0,155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K7CsQA&#10;AADeAAAADwAAAGRycy9kb3ducmV2LnhtbESPzYrCMBSF9wO+Q7jCbAZNlUFLNYoowsxuqoLbS3Nt&#10;i81NTWLbefvJYsDl4fzxrbeDaURHzteWFcymCQjiwuqaSwWX83GSgvABWWNjmRT8koftZvS2xkzb&#10;nnPqTqEUcYR9hgqqENpMSl9UZNBPbUscvZt1BkOUrpTaYR/HTSPnSbKQBmuODxW2tK+ouJ+eRkF/&#10;GH6S1F7d9/L2kT9q7PLzXSr1Ph52KxCBhvAK/7e/tILPWTqPABEno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yuwrEAAAA3gAAAA8AAAAAAAAAAAAAAAAAmAIAAGRycy9k&#10;b3ducmV2LnhtbFBLBQYAAAAABAAEAPUAAACJAwAAAAA=&#10;" path="m,l,155448e" filled="f" strokecolor="#a6a6a6" strokeweight=".72pt">
                  <v:path arrowok="t" textboxrect="0,0,0,155448"/>
                </v:shape>
                <v:shape id="Shape 41821" o:spid="_x0000_s1782" style="position:absolute;left:3471;top:15402;width:2835;height:107;visibility:visible;mso-wrap-style:square;v-text-anchor:top" coordsize="28346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tA2MgA&#10;AADeAAAADwAAAGRycy9kb3ducmV2LnhtbESPQWvCQBSE74L/YXlCL0U3CcWG6CpSaGl7qJiK4O2R&#10;fSbB7Ns0u5r033eFgsdhZr5hluvBNOJKnastK4hnEQjiwuqaSwX779dpCsJ5ZI2NZVLwSw7Wq/Fo&#10;iZm2Pe/omvtSBAi7DBVU3reZlK6oyKCb2ZY4eCfbGfRBdqXUHfYBbhqZRNFcGqw5LFTY0ktFxTm/&#10;GAXn5O15w5fGHPkjP/z0n495vP1S6mEybBYgPA3+Hv5vv2sFT3GaxHC7E66AX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O0DYyAAAAN4AAAAPAAAAAAAAAAAAAAAAAJgCAABk&#10;cnMvZG93bnJldi54bWxQSwUGAAAAAAQABAD1AAAAjQMAAAAA&#10;" path="m283464,l57912,10668,,10668e" filled="f" strokecolor="#a6a6a6" strokeweight=".72pt">
                  <v:path arrowok="t" textboxrect="0,0,283464,10668"/>
                </v:shape>
                <v:shape id="Shape 41822" o:spid="_x0000_s1783" style="position:absolute;left:4751;top:15341;width:1174;height:1280;visibility:visible;mso-wrap-style:square;v-text-anchor:top" coordsize="117348,128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M6e8QA&#10;AADeAAAADwAAAGRycy9kb3ducmV2LnhtbESPwW7CMBBE75X4B2uReisOaYVQwCBoCW2PBT5gFS+J&#10;RbyObEPC3+NKlXoczcwbzXI92FbcyAfjWMF0koEgrpw2XCs4HcuXOYgQkTW2jknBnQKsV6OnJRba&#10;9fxDt0OsRYJwKFBBE2NXSBmqhiyGieuIk3d23mJM0tdSe+wT3LYyz7KZtGg4LTTY0XtD1eVwtQrM&#10;d/mht3q338/KEp1/7TPzuVHqeTxsFiAiDfE//Nf+0grepvM8h9876Qr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jOnvEAAAA3gAAAA8AAAAAAAAAAAAAAAAAmAIAAGRycy9k&#10;b3ducmV2LnhtbFBLBQYAAAAABAAEAPUAAACJAwAAAAA=&#10;" path="m117348,l57912,128015,,128015e" filled="f" strokecolor="#a6a6a6" strokeweight=".72pt">
                  <v:path arrowok="t" textboxrect="0,0,117348,128015"/>
                </v:shape>
                <v:shape id="Shape 41823" o:spid="_x0000_s1784" style="position:absolute;left:3029;top:3683;width:3277;height:182;visibility:visible;mso-wrap-style:square;v-text-anchor:top" coordsize="327660,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hCBMcA&#10;AADeAAAADwAAAGRycy9kb3ducmV2LnhtbESPQWvCQBSE7wX/w/KE3uomthSNrmJLC14UjKLXx+4z&#10;iWbfxuxWY399t1DocZiZb5jpvLO1uFLrK8cK0kECglg7U3GhYLf9fBqB8AHZYO2YFNzJw3zWe5hi&#10;ZtyNN3TNQyEihH2GCsoQmkxKr0uy6AeuIY7e0bUWQ5RtIU2Ltwi3tRwmyau0WHFcKLGh95L0Of+y&#10;CiR+XPLTW3rZd0s9PnyvzVonK6Ue+91iAiJQF/7Df+2lUfCSjobP8HsnXgE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IQgTHAAAA3gAAAA8AAAAAAAAAAAAAAAAAmAIAAGRy&#10;cy9kb3ducmV2LnhtbFBLBQYAAAAABAAEAPUAAACMAwAAAAA=&#10;" path="m327660,18288l57912,,,e" filled="f" strokecolor="#a6a6a6" strokeweight=".72pt">
                  <v:path arrowok="t" textboxrect="0,0,327660,18288"/>
                </v:shape>
                <v:shape id="Shape 41824" o:spid="_x0000_s1785" style="position:absolute;left:5925;top:3302;width:625;height:533;visibility:visible;mso-wrap-style:square;v-text-anchor:top" coordsize="62484,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W558YA&#10;AADeAAAADwAAAGRycy9kb3ducmV2LnhtbESP3WrCQBSE7wu+w3IE7+pGK1Wiq5SC1BYq/uH1IXtM&#10;otmzS3ZN4tt3C4VeDjPzDbNYdaYSDdW+tKxgNExAEGdWl5wrOB3XzzMQPiBrrCyTggd5WC17TwtM&#10;tW15T80h5CJC2KeooAjBpVL6rCCDfmgdcfQutjYYoqxzqWtsI9xUcpwkr9JgyXGhQEfvBWW3w91E&#10;ykuzO6/Lz8f06+N761pn5dVulBr0u7c5iEBd+A//tTdawWQ0G0/g9068An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W558YAAADeAAAADwAAAAAAAAAAAAAAAACYAgAAZHJz&#10;L2Rvd25yZXYueG1sUEsFBgAAAAAEAAQA9QAAAIsDAAAAAA==&#10;" path="m62484,53340l56388,,,e" filled="f" strokecolor="#a6a6a6" strokeweight=".72pt">
                  <v:path arrowok="t" textboxrect="0,0,62484,53340"/>
                </v:shape>
                <v:shape id="Shape 41825" o:spid="_x0000_s1786" style="position:absolute;left:6793;top:3271;width:1738;height:549;visibility:visible;mso-wrap-style:square;v-text-anchor:top" coordsize="173736,54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x5EcgA&#10;AADeAAAADwAAAGRycy9kb3ducmV2LnhtbESPzW7CMBCE70i8g7WVuIED4iekGAQIpB64hPYAt228&#10;JFHjdRQbCG9fIyFxHM3ONzuLVWsqcaPGlZYVDAcRCOLM6pJzBT/f+34MwnlkjZVlUvAgB6tlt7PA&#10;RNs7p3Q7+lwECLsEFRTe14mULivIoBvYmjh4F9sY9EE2udQN3gPcVHIURVNpsOTQUGBN24Kyv+PV&#10;hDemv7P2cDinm3xz2l7OO50+4rlSvY92/QnCU+vfx6/0l1YwHsajCTznBAbI5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vHkRyAAAAN4AAAAPAAAAAAAAAAAAAAAAAJgCAABk&#10;cnMvZG93bnJldi54bWxQSwUGAAAAAAQABAD1AAAAjQMAAAAA&#10;" path="m,54864l117348,r56388,e" filled="f" strokecolor="#a6a6a6" strokeweight=".72pt">
                  <v:path arrowok="t" textboxrect="0,0,173736,54864"/>
                </v:shape>
                <v:rect id="Rectangle 761502" o:spid="_x0000_s1787" style="position:absolute;left:11914;top:11144;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DWy8gA&#10;AADfAAAADwAAAGRycy9kb3ducmV2LnhtbESPS4vCQBCE7wv+h6EFb+tEYX1ERxFd0aOPBddbk+lN&#10;wmZ6QmY00V/vCILHoqq+oqbzxhTiSpXLLSvodSMQxInVOacKfo7rzxEI55E1FpZJwY0czGetjynG&#10;2ta8p+vBpyJA2MWoIPO+jKV0SUYGXdeWxMH7s5VBH2SVSl1hHeCmkP0oGkiDOYeFDEtaZpT8Hy5G&#10;wWZULn639l6nxfd5c9qdxqvj2CvVaTeLCQhPjX+HX+2tVjAc9L6iPjz/hC8gZw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QNbLyAAAAN8AAAAPAAAAAAAAAAAAAAAAAJgCAABk&#10;cnMvZG93bnJldi54bWxQSwUGAAAAAAQABAD1AAAAjQMAAAAA&#10;" filled="f" stroked="f">
                  <v:textbox inset="0,0,0,0">
                    <w:txbxContent>
                      <w:p w14:paraId="67EE9012" w14:textId="77777777" w:rsidR="0014164F" w:rsidRDefault="0014164F" w:rsidP="006D5692">
                        <w:r>
                          <w:rPr>
                            <w:rFonts w:ascii="Calibri" w:hAnsi="Calibri" w:cs="Calibri"/>
                            <w:color w:val="404040"/>
                            <w:sz w:val="18"/>
                          </w:rPr>
                          <w:t>%</w:t>
                        </w:r>
                      </w:p>
                    </w:txbxContent>
                  </v:textbox>
                </v:rect>
                <v:rect id="Rectangle 761501" o:spid="_x0000_s1788" style="position:absolute;left:9308;top:11144;width:346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JIvMgA&#10;AADfAAAADwAAAGRycy9kb3ducmV2LnhtbESPT2vCQBTE7wW/w/KE3uomgjZGVxG16LH+AfX2yD6T&#10;YPZtyG5N2k/fLRQ8DjPzG2a26EwlHtS40rKCeBCBIM6sLjlXcDp+vCUgnEfWWFkmBd/kYDHvvcww&#10;1bblPT0OPhcBwi5FBYX3dSqlywoy6Aa2Jg7ezTYGfZBNLnWDbYCbSg6jaCwNlhwWCqxpVVB2P3wZ&#10;BdukXl529qfNq811e/48T9bHiVfqtd8tpyA8df4Z/m/vtIL3cTyKYvj7E76AnP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kki8yAAAAN8AAAAPAAAAAAAAAAAAAAAAAJgCAABk&#10;cnMvZG93bnJldi54bWxQSwUGAAAAAAQABAD1AAAAjQMAAAAA&#10;" filled="f" stroked="f">
                  <v:textbox inset="0,0,0,0">
                    <w:txbxContent>
                      <w:p w14:paraId="6A0B5CB1" w14:textId="77777777" w:rsidR="0014164F" w:rsidRDefault="0014164F" w:rsidP="006D5692">
                        <w:r>
                          <w:rPr>
                            <w:rFonts w:ascii="Calibri" w:hAnsi="Calibri" w:cs="Calibri"/>
                            <w:color w:val="404040"/>
                            <w:sz w:val="18"/>
                          </w:rPr>
                          <w:t>48.63</w:t>
                        </w:r>
                      </w:p>
                    </w:txbxContent>
                  </v:textbox>
                </v:rect>
                <v:rect id="Rectangle 761519" o:spid="_x0000_s1789" style="position:absolute;left:7967;top:16376;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3SZ8gA&#10;AADfAAAADwAAAGRycy9kb3ducmV2LnhtbESPT2vCQBTE74LfYXlCb7pJQWuiq4i16LH+AfX2yD6T&#10;YPZtyG5N2k/fLRQ8DjPzG2a+7EwlHtS40rKCeBSBIM6sLjlXcDp+DKcgnEfWWFkmBd/kYLno9+aY&#10;atvynh4Hn4sAYZeigsL7OpXSZQUZdCNbEwfvZhuDPsgml7rBNsBNJV+jaCINlhwWCqxpXVB2P3wZ&#10;Bdtpvbrs7E+bV5vr9vx5Tt6PiVfqZdCtZiA8df4Z/m/vtIK3STyOE/j7E7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KPdJnyAAAAN8AAAAPAAAAAAAAAAAAAAAAAJgCAABk&#10;cnMvZG93bnJldi54bWxQSwUGAAAAAAQABAD1AAAAjQMAAAAA&#10;" filled="f" stroked="f">
                  <v:textbox inset="0,0,0,0">
                    <w:txbxContent>
                      <w:p w14:paraId="1D5A1184" w14:textId="77777777" w:rsidR="0014164F" w:rsidRDefault="0014164F" w:rsidP="006D5692">
                        <w:r>
                          <w:rPr>
                            <w:rFonts w:ascii="Calibri" w:hAnsi="Calibri" w:cs="Calibri"/>
                            <w:color w:val="404040"/>
                            <w:sz w:val="18"/>
                          </w:rPr>
                          <w:t>0.68</w:t>
                        </w:r>
                      </w:p>
                    </w:txbxContent>
                  </v:textbox>
                </v:rect>
                <v:rect id="Rectangle 761520" o:spid="_x0000_s1790" style="position:absolute;left:9994;top:16376;width:108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uxR8YA&#10;AADfAAAADwAAAGRycy9kb3ducmV2LnhtbESPy4rCMBSG94LvEM7A7DRVGC/VKOIFXY5VcGZ3aI5t&#10;meakNNFWn36yEFz+/De++bI1pbhT7QrLCgb9CARxanXBmYLzadebgHAeWWNpmRQ8yMFy0e3MMda2&#10;4SPdE5+JMMIuRgW591UspUtzMuj6tiIO3tXWBn2QdSZ1jU0YN6UcRtFIGiw4PORY0Tqn9C+5GQX7&#10;SbX6Odhnk5Xb3/3l+zLdnKZeqc+PdjUD4an17/CrfdAKxqPB1zAQBJ7A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uxR8YAAADfAAAADwAAAAAAAAAAAAAAAACYAgAAZHJz&#10;L2Rvd25yZXYueG1sUEsFBgAAAAAEAAQA9QAAAIsDAAAAAA==&#10;" filled="f" stroked="f">
                  <v:textbox inset="0,0,0,0">
                    <w:txbxContent>
                      <w:p w14:paraId="03A0DC6B" w14:textId="77777777" w:rsidR="0014164F" w:rsidRDefault="0014164F" w:rsidP="006D5692">
                        <w:r>
                          <w:rPr>
                            <w:rFonts w:ascii="Calibri" w:hAnsi="Calibri" w:cs="Calibri"/>
                            <w:color w:val="404040"/>
                            <w:sz w:val="18"/>
                          </w:rPr>
                          <w:t>%</w:t>
                        </w:r>
                      </w:p>
                    </w:txbxContent>
                  </v:textbox>
                </v:rect>
                <v:rect id="Rectangle 761521" o:spid="_x0000_s1791" style="position:absolute;left:4187;top:17233;width:269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cU3MgA&#10;AADfAAAADwAAAGRycy9kb3ducmV2LnhtbESPQWvCQBSE70L/w/IKvekmQqOmWUXaih6tFtLeHtnX&#10;JDT7NmS3JvrrXUHocZiZb5hsNZhGnKhztWUF8SQCQVxYXXOp4PO4Gc9BOI+ssbFMCs7kYLV8GGWY&#10;atvzB50OvhQBwi5FBZX3bSqlKyoy6Ca2JQ7ej+0M+iC7UuoO+wA3jZxGUSIN1hwWKmzptaLi9/Bn&#10;FGzn7fprZy992bx/b/N9vng7LrxST4/D+gWEp8H/h+/tnVYwS+LnaQy3P+ELyO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6JxTcyAAAAN8AAAAPAAAAAAAAAAAAAAAAAJgCAABk&#10;cnMvZG93bnJldi54bWxQSwUGAAAAAAQABAD1AAAAjQMAAAAA&#10;" filled="f" stroked="f">
                  <v:textbox inset="0,0,0,0">
                    <w:txbxContent>
                      <w:p w14:paraId="78678D49" w14:textId="77777777" w:rsidR="0014164F" w:rsidRDefault="0014164F" w:rsidP="006D5692">
                        <w:r>
                          <w:rPr>
                            <w:rFonts w:ascii="Calibri" w:hAnsi="Calibri" w:cs="Calibri"/>
                            <w:color w:val="404040"/>
                            <w:sz w:val="18"/>
                          </w:rPr>
                          <w:t>2.05</w:t>
                        </w:r>
                      </w:p>
                    </w:txbxContent>
                  </v:textbox>
                </v:rect>
                <v:rect id="Rectangle 761522" o:spid="_x0000_s1792" style="position:absolute;left:6214;top:17233;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WKq8kA&#10;AADfAAAADwAAAGRycy9kb3ducmV2LnhtbESPT2vCQBTE74LfYXlCb7oxoNU0q4h/0GOrQuztkX1N&#10;QrNvQ3ZrYj99t1DocZiZ3zDpuje1uFPrKssKppMIBHFudcWFguvlMF6AcB5ZY22ZFDzIwXo1HKSY&#10;aNvxG93PvhABwi5BBaX3TSKly0sy6Ca2IQ7eh20N+iDbQuoWuwA3tYyjaC4NVhwWSmxoW1L+ef4y&#10;Co6LZnM72e+uqPfvx+w1W+4uS6/U06jfvIDw1Pv/8F/7pBU8z6ezOIbfP+ELyNU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vWKq8kAAADfAAAADwAAAAAAAAAAAAAAAACYAgAA&#10;ZHJzL2Rvd25yZXYueG1sUEsFBgAAAAAEAAQA9QAAAI4DAAAAAA==&#10;" filled="f" stroked="f">
                  <v:textbox inset="0,0,0,0">
                    <w:txbxContent>
                      <w:p w14:paraId="2E57A1BF" w14:textId="77777777" w:rsidR="0014164F" w:rsidRDefault="0014164F" w:rsidP="006D5692">
                        <w:r>
                          <w:rPr>
                            <w:rFonts w:ascii="Calibri" w:hAnsi="Calibri" w:cs="Calibri"/>
                            <w:color w:val="404040"/>
                            <w:sz w:val="18"/>
                          </w:rPr>
                          <w:t>%</w:t>
                        </w:r>
                      </w:p>
                    </w:txbxContent>
                  </v:textbox>
                </v:rect>
                <v:rect id="Rectangle 761509" o:spid="_x0000_s1793" style="position:absolute;left:2468;top:1464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EusgA&#10;AADfAAAADwAAAGRycy9kb3ducmV2LnhtbESPT2vCQBTE7wW/w/KE3urGgtbEbESsRY/1D6i3R/aZ&#10;BLNvQ3Zr0n76bqHgcZiZ3zDpoje1uFPrKssKxqMIBHFudcWFguPh42UGwnlkjbVlUvBNDhbZ4CnF&#10;RNuOd3Tf+0IECLsEFZTeN4mULi/JoBvZhjh4V9sa9EG2hdQtdgFuavkaRVNpsOKwUGJDq5Ly2/7L&#10;KNjMmuV5a3+6ol5fNqfPU/x+iL1Sz8N+OQfhqfeP8H97qxW8TceTKIa/P+ELyO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5ES6yAAAAN8AAAAPAAAAAAAAAAAAAAAAAJgCAABk&#10;cnMvZG93bnJldi54bWxQSwUGAAAAAAQABAD1AAAAjQMAAAAA&#10;" filled="f" stroked="f">
                  <v:textbox inset="0,0,0,0">
                    <w:txbxContent>
                      <w:p w14:paraId="552B7C37" w14:textId="77777777" w:rsidR="0014164F" w:rsidRDefault="0014164F" w:rsidP="006D5692">
                        <w:r>
                          <w:rPr>
                            <w:rFonts w:ascii="Calibri" w:hAnsi="Calibri" w:cs="Calibri"/>
                            <w:color w:val="404040"/>
                            <w:sz w:val="18"/>
                          </w:rPr>
                          <w:t>%</w:t>
                        </w:r>
                      </w:p>
                    </w:txbxContent>
                  </v:textbox>
                </v:rect>
                <v:rect id="Rectangle 761508" o:spid="_x0000_s1794" style="position:absolute;left:441;top:14649;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jhIcUA&#10;AADfAAAADwAAAGRycy9kb3ducmV2LnhtbERPTWvCQBC9F/wPywje6kZBa1JXEbXEozWC9jZkp0lo&#10;djZkt0naX+8eCj0+3vd6O5hadNS6yrKC2TQCQZxbXXGh4Jq9Pa9AOI+ssbZMCn7IwXYzelpjom3P&#10;79RdfCFCCLsEFZTeN4mULi/JoJvahjhwn7Y16ANsC6lb7EO4qeU8ipbSYMWhocSG9iXlX5dvoyBd&#10;Nbv7yf72RX38SG/nW3zIYq/UZDzsXkF4Gvy/+M990gpelrNFFAaHP+ELyM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qOEhxQAAAN8AAAAPAAAAAAAAAAAAAAAAAJgCAABkcnMv&#10;ZG93bnJldi54bWxQSwUGAAAAAAQABAD1AAAAigMAAAAA&#10;" filled="f" stroked="f">
                  <v:textbox inset="0,0,0,0">
                    <w:txbxContent>
                      <w:p w14:paraId="124331B4" w14:textId="77777777" w:rsidR="0014164F" w:rsidRDefault="0014164F" w:rsidP="006D5692">
                        <w:r>
                          <w:rPr>
                            <w:rFonts w:ascii="Calibri" w:hAnsi="Calibri" w:cs="Calibri"/>
                            <w:color w:val="404040"/>
                            <w:sz w:val="18"/>
                          </w:rPr>
                          <w:t>1.37</w:t>
                        </w:r>
                      </w:p>
                    </w:txbxContent>
                  </v:textbox>
                </v:rect>
                <v:rect id="Rectangle 761518" o:spid="_x0000_s1795" style="position:absolute;left:3748;top:15755;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3/MYA&#10;AADfAAAADwAAAGRycy9kb3ducmV2LnhtbERPTWvCQBC9F/oflin0VjcpNNWYjUhV9Fi1kHobstMk&#10;NDsbsquJ/vruoeDx8b6zxWhacaHeNZYVxJMIBHFpdcOVgq/j5mUKwnlkja1lUnAlB4v88SHDVNuB&#10;93Q5+EqEEHYpKqi971IpXVmTQTexHXHgfmxv0AfYV1L3OIRw08rXKEqkwYZDQ40dfdRU/h7ORsF2&#10;2i2/d/Y2VO36tC0+i9nqOPNKPT+NyzkIT6O/i//dO63gPYnf4jA4/Alf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F3/MYAAADfAAAADwAAAAAAAAAAAAAAAACYAgAAZHJz&#10;L2Rvd25yZXYueG1sUEsFBgAAAAAEAAQA9QAAAIsDAAAAAA==&#10;" filled="f" stroked="f">
                  <v:textbox inset="0,0,0,0">
                    <w:txbxContent>
                      <w:p w14:paraId="5EDA04FE" w14:textId="77777777" w:rsidR="0014164F" w:rsidRDefault="0014164F" w:rsidP="006D5692">
                        <w:r>
                          <w:rPr>
                            <w:rFonts w:ascii="Calibri" w:hAnsi="Calibri" w:cs="Calibri"/>
                            <w:color w:val="404040"/>
                            <w:sz w:val="18"/>
                          </w:rPr>
                          <w:t>%</w:t>
                        </w:r>
                      </w:p>
                    </w:txbxContent>
                  </v:textbox>
                </v:rect>
                <v:rect id="Rectangle 761517" o:spid="_x0000_s1796" style="position:absolute;left:1722;top:15755;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7jjsgA&#10;AADfAAAADwAAAGRycy9kb3ducmV2LnhtbESPW2vCQBSE34X+h+UUfNNNCt5iVpFe0EerhdS3Q/Y0&#10;Cc2eDdmtif56VxD6OMzMN0y67k0tztS6yrKCeByBIM6trrhQ8HX8GM1BOI+ssbZMCi7kYL16GqSY&#10;aNvxJ50PvhABwi5BBaX3TSKly0sy6Ma2IQ7ej20N+iDbQuoWuwA3tXyJoqk0WHFYKLGh15Ly38Of&#10;UbCdN5vvnb12Rf1+2mb7bPF2XHilhs/9ZgnCU+//w4/2TiuYTeNJPIP7n/AF5Oo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7uOOyAAAAN8AAAAPAAAAAAAAAAAAAAAAAJgCAABk&#10;cnMvZG93bnJldi54bWxQSwUGAAAAAAQABAD1AAAAjQMAAAAA&#10;" filled="f" stroked="f">
                  <v:textbox inset="0,0,0,0">
                    <w:txbxContent>
                      <w:p w14:paraId="7A7DB5E1" w14:textId="77777777" w:rsidR="0014164F" w:rsidRDefault="0014164F" w:rsidP="006D5692">
                        <w:r>
                          <w:rPr>
                            <w:rFonts w:ascii="Calibri" w:hAnsi="Calibri" w:cs="Calibri"/>
                            <w:color w:val="404040"/>
                            <w:sz w:val="18"/>
                          </w:rPr>
                          <w:t>0.68</w:t>
                        </w:r>
                      </w:p>
                    </w:txbxContent>
                  </v:textbox>
                </v:rect>
                <v:rect id="Rectangle 761500" o:spid="_x0000_s1797" style="position:absolute;left:4451;top:908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7tJ8cA&#10;AADfAAAADwAAAGRycy9kb3ducmV2LnhtbESPzWrCQBSF9wXfYbiCuzpR0JrUUUQtcWmNoN1dMrdJ&#10;aOZOyEyTtE/vLApdHs4f33o7mFp01LrKsoLZNAJBnFtdcaHgmr09r0A4j6yxtkwKfsjBdjN6WmOi&#10;bc/v1F18IcIIuwQVlN43iZQuL8mgm9qGOHiftjXog2wLqVvsw7ip5TyKltJgxeGhxIb2JeVfl2+j&#10;IF01u/vJ/vZFffxIb+dbfMhir9RkPOxeQXga/H/4r33SCl6Ws0UUCAJPYAG5e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e7SfHAAAA3wAAAA8AAAAAAAAAAAAAAAAAmAIAAGRy&#10;cy9kb3ducmV2LnhtbFBLBQYAAAAABAAEAPUAAACMAwAAAAA=&#10;" filled="f" stroked="f">
                  <v:textbox inset="0,0,0,0">
                    <w:txbxContent>
                      <w:p w14:paraId="6E06E58F" w14:textId="77777777" w:rsidR="0014164F" w:rsidRDefault="0014164F" w:rsidP="006D5692">
                        <w:r>
                          <w:rPr>
                            <w:rFonts w:ascii="Calibri" w:hAnsi="Calibri" w:cs="Calibri"/>
                            <w:color w:val="404040"/>
                            <w:sz w:val="18"/>
                          </w:rPr>
                          <w:t>%</w:t>
                        </w:r>
                      </w:p>
                    </w:txbxContent>
                  </v:textbox>
                </v:rect>
                <v:rect id="Rectangle 761498" o:spid="_x0000_s1798" style="position:absolute;left:1831;top:9089;width:348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N7O8YA&#10;AADfAAAADwAAAGRycy9kb3ducmV2LnhtbERPTWvCQBC9F/oflin01mxSijXRVUJV9Fi1kHobstMk&#10;NDsbsquJ/vruoeDx8b7ny9G04kK9aywrSKIYBHFpdcOVgq/j5mUKwnlkja1lUnAlB8vF48McM20H&#10;3tPl4CsRQthlqKD2vsukdGVNBl1kO+LA/djeoA+wr6TucQjhppWvcTyRBhsODTV29FFT+Xs4GwXb&#10;aZd/7+xtqNr1aVt8FunqmHqlnp/GfAbC0+jv4n/3Tit4nyRvaRgc/oQv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N7O8YAAADfAAAADwAAAAAAAAAAAAAAAACYAgAAZHJz&#10;L2Rvd25yZXYueG1sUEsFBgAAAAAEAAQA9QAAAIsDAAAAAA==&#10;" filled="f" stroked="f">
                  <v:textbox inset="0,0,0,0">
                    <w:txbxContent>
                      <w:p w14:paraId="6466FAC0" w14:textId="77777777" w:rsidR="0014164F" w:rsidRDefault="0014164F" w:rsidP="006D5692">
                        <w:r>
                          <w:rPr>
                            <w:rFonts w:ascii="Calibri" w:hAnsi="Calibri" w:cs="Calibri"/>
                            <w:color w:val="404040"/>
                            <w:sz w:val="18"/>
                          </w:rPr>
                          <w:t>43.84</w:t>
                        </w:r>
                      </w:p>
                    </w:txbxContent>
                  </v:textbox>
                </v:rect>
                <v:rect id="Rectangle 761483" o:spid="_x0000_s1799" style="position:absolute;top:2819;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5/l8kA&#10;AADfAAAADwAAAGRycy9kb3ducmV2LnhtbESPQWvCQBSE74X+h+UVvNVNarExZhWpih5bFdTbI/ua&#10;hGbfhuxqUn99Vyj0OMzMN0w2700trtS6yrKCeBiBIM6trrhQcNivnxMQziNrrC2Tgh9yMJ89PmSY&#10;atvxJ113vhABwi5FBaX3TSqly0sy6Ia2IQ7el20N+iDbQuoWuwA3tXyJorE0WHFYKLGh95Ly793F&#10;KNgkzeK0tbeuqFfnzfHjOFnuJ16pwVO/mILw1Pv/8F97qxW8jePXZAT3P+ELyN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T5/l8kAAADfAAAADwAAAAAAAAAAAAAAAACYAgAA&#10;ZHJzL2Rvd25yZXYueG1sUEsFBgAAAAAEAAQA9QAAAI4DAAAAAA==&#10;" filled="f" stroked="f">
                  <v:textbox inset="0,0,0,0">
                    <w:txbxContent>
                      <w:p w14:paraId="08FD9762" w14:textId="77777777" w:rsidR="0014164F" w:rsidRDefault="0014164F" w:rsidP="006D5692">
                        <w:r>
                          <w:rPr>
                            <w:rFonts w:ascii="Calibri" w:hAnsi="Calibri" w:cs="Calibri"/>
                            <w:color w:val="404040"/>
                            <w:sz w:val="18"/>
                          </w:rPr>
                          <w:t>1.37</w:t>
                        </w:r>
                      </w:p>
                    </w:txbxContent>
                  </v:textbox>
                </v:rect>
                <v:rect id="Rectangle 761484" o:spid="_x0000_s1800" style="position:absolute;left:2026;top:281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fn48gA&#10;AADfAAAADwAAAGRycy9kb3ducmV2LnhtbESPQWvCQBSE74L/YXlCb2ajiI3RVcS26LFVIXp7ZJ9J&#10;MPs2ZLcm7a/vFgo9DjPzDbPa9KYWD2pdZVnBJIpBEOdWV1woOJ/exgkI55E11pZJwRc52KyHgxWm&#10;2nb8QY+jL0SAsEtRQel9k0rp8pIMusg2xMG72dagD7ItpG6xC3BTy2kcz6XBisNCiQ3tSsrvx0+j&#10;YJ8028vBfndF/XrdZ+/Z4uW08Eo9jfrtEoSn3v+H/9oHreB5PpklM/j9E76AX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61+fjyAAAAN8AAAAPAAAAAAAAAAAAAAAAAJgCAABk&#10;cnMvZG93bnJldi54bWxQSwUGAAAAAAQABAD1AAAAjQMAAAAA&#10;" filled="f" stroked="f">
                  <v:textbox inset="0,0,0,0">
                    <w:txbxContent>
                      <w:p w14:paraId="76902852" w14:textId="77777777" w:rsidR="0014164F" w:rsidRDefault="0014164F" w:rsidP="006D5692">
                        <w:r>
                          <w:rPr>
                            <w:rFonts w:ascii="Calibri" w:hAnsi="Calibri" w:cs="Calibri"/>
                            <w:color w:val="404040"/>
                            <w:sz w:val="18"/>
                          </w:rPr>
                          <w:t>%</w:t>
                        </w:r>
                      </w:p>
                    </w:txbxContent>
                  </v:textbox>
                </v:rect>
                <v:rect id="Rectangle 761495" o:spid="_x0000_s1801" style="position:absolute;left:2485;top:4453;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UpckA&#10;AADfAAAADwAAAGRycy9kb3ducmV2LnhtbESPW2vCQBSE3wX/w3KEvulGqZekriK2RR+9FGzfDtlj&#10;EsyeDdmtif31bkHwcZiZb5j5sjWluFLtCssKhoMIBHFqdcGZgq/jZ38GwnlkjaVlUnAjB8tFtzPH&#10;RNuG93Q9+EwECLsEFeTeV4mULs3JoBvYijh4Z1sb9EHWmdQ1NgFuSjmKook0WHBYyLGidU7p5fBr&#10;FGxm1ep7a/+arPz42Zx2p/j9GHulXnrt6g2Ep9Y/w4/2ViuYToav8Rj+/4QvIBd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ELUpckAAADfAAAADwAAAAAAAAAAAAAAAACYAgAA&#10;ZHJzL2Rvd25yZXYueG1sUEsFBgAAAAAEAAQA9QAAAI4DAAAAAA==&#10;" filled="f" stroked="f">
                  <v:textbox inset="0,0,0,0">
                    <w:txbxContent>
                      <w:p w14:paraId="1012790E" w14:textId="77777777" w:rsidR="0014164F" w:rsidRDefault="0014164F" w:rsidP="006D5692">
                        <w:r>
                          <w:rPr>
                            <w:rFonts w:ascii="Calibri" w:hAnsi="Calibri" w:cs="Calibri"/>
                            <w:color w:val="404040"/>
                            <w:sz w:val="18"/>
                          </w:rPr>
                          <w:t>%</w:t>
                        </w:r>
                      </w:p>
                    </w:txbxContent>
                  </v:textbox>
                </v:rect>
                <v:rect id="Rectangle 761494" o:spid="_x0000_s1802" style="position:absolute;left:448;top:4453;width:270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xPsgA&#10;AADfAAAADwAAAGRycy9kb3ducmV2LnhtbESPQWvCQBSE74L/YXlCb7pRxJqYjYht0WOrgnp7ZJ9J&#10;MPs2ZLcm7a/vFgo9DjPzDZOue1OLB7WusqxgOolAEOdWV1woOB3fxksQziNrrC2Tgi9ysM6GgxQT&#10;bTv+oMfBFyJA2CWooPS+SaR0eUkG3cQ2xMG72dagD7ItpG6xC3BTy1kULaTBisNCiQ1tS8rvh0+j&#10;YLdsNpe9/e6K+vW6O7+f45dj7JV6GvWbFQhPvf8P/7X3WsHzYjqP5/D7J3wBmf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nE+yAAAAN8AAAAPAAAAAAAAAAAAAAAAAJgCAABk&#10;cnMvZG93bnJldi54bWxQSwUGAAAAAAQABAD1AAAAjQMAAAAA&#10;" filled="f" stroked="f">
                  <v:textbox inset="0,0,0,0">
                    <w:txbxContent>
                      <w:p w14:paraId="2E3579BB" w14:textId="77777777" w:rsidR="0014164F" w:rsidRDefault="0014164F" w:rsidP="006D5692">
                        <w:r>
                          <w:rPr>
                            <w:rFonts w:ascii="Calibri" w:hAnsi="Calibri" w:cs="Calibri"/>
                            <w:color w:val="404040"/>
                            <w:sz w:val="18"/>
                          </w:rPr>
                          <w:t>0.00</w:t>
                        </w:r>
                      </w:p>
                    </w:txbxContent>
                  </v:textbox>
                </v:rect>
                <v:rect id="Rectangle 761486" o:spid="_x0000_s1803" style="position:absolute;left:4912;top:2442;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ncD8gA&#10;AADfAAAADwAAAGRycy9kb3ducmV2LnhtbESPT2vCQBTE7wW/w/IK3upGKWmMriJa0WP9A7a3R/aZ&#10;hGbfhuxqop/eLRQ8DjPzG2Y670wlrtS40rKC4SACQZxZXXKu4HhYvyUgnEfWWFkmBTdyMJ/1XqaY&#10;atvyjq57n4sAYZeigsL7OpXSZQUZdANbEwfvbBuDPsgml7rBNsBNJUdRFEuDJYeFAmtaFpT97i9G&#10;wSapF99be2/z6vNnc/o6jVeHsVeq/9otJiA8df4Z/m9vtYKPePiexPD3J3wBO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SdwPyAAAAN8AAAAPAAAAAAAAAAAAAAAAAJgCAABk&#10;cnMvZG93bnJldi54bWxQSwUGAAAAAAQABAD1AAAAjQMAAAAA&#10;" filled="f" stroked="f">
                  <v:textbox inset="0,0,0,0">
                    <w:txbxContent>
                      <w:p w14:paraId="11D37419" w14:textId="77777777" w:rsidR="0014164F" w:rsidRDefault="0014164F" w:rsidP="006D5692">
                        <w:r>
                          <w:rPr>
                            <w:rFonts w:ascii="Calibri" w:hAnsi="Calibri" w:cs="Calibri"/>
                            <w:color w:val="404040"/>
                            <w:sz w:val="18"/>
                          </w:rPr>
                          <w:t>%</w:t>
                        </w:r>
                      </w:p>
                    </w:txbxContent>
                  </v:textbox>
                </v:rect>
                <v:rect id="Rectangle 761485" o:spid="_x0000_s1804" style="position:absolute;left:2886;top:2442;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tCeMkA&#10;AADfAAAADwAAAGRycy9kb3ducmV2LnhtbESPQWvCQBSE74X+h+UVvNVNirUxZhWpih5bFdTbI/ua&#10;hGbfhuxqUn99Vyj0OMzMN0w2700trtS6yrKCeBiBIM6trrhQcNivnxMQziNrrC2Tgh9yMJ89PmSY&#10;atvxJ113vhABwi5FBaX3TSqly0sy6Ia2IQ7el20N+iDbQuoWuwA3tXyJorE0WHFYKLGh95Ly793F&#10;KNgkzeK0tbeuqFfnzfHjOFnuJ16pwVO/mILw1Pv/8F97qxW8jeNR8gr3P+ELyN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ZtCeMkAAADfAAAADwAAAAAAAAAAAAAAAACYAgAA&#10;ZHJzL2Rvd25yZXYueG1sUEsFBgAAAAAEAAQA9QAAAI4DAAAAAA==&#10;" filled="f" stroked="f">
                  <v:textbox inset="0,0,0,0">
                    <w:txbxContent>
                      <w:p w14:paraId="0AB4467A" w14:textId="77777777" w:rsidR="0014164F" w:rsidRDefault="0014164F" w:rsidP="006D5692">
                        <w:r>
                          <w:rPr>
                            <w:rFonts w:ascii="Calibri" w:hAnsi="Calibri" w:cs="Calibri"/>
                            <w:color w:val="404040"/>
                            <w:sz w:val="18"/>
                          </w:rPr>
                          <w:t>0.00</w:t>
                        </w:r>
                      </w:p>
                    </w:txbxContent>
                  </v:textbox>
                </v:rect>
                <v:rect id="Rectangle 761489" o:spid="_x0000_s1805" style="position:absolute;left:10753;top:2405;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ZIfcgA&#10;AADfAAAADwAAAGRycy9kb3ducmV2LnhtbESPT2vCQBTE7wW/w/IK3upGKZpEVxFt0aN/Cra3R/aZ&#10;hGbfhuxqUj+9Kwg9DjPzG2a26EwlrtS40rKC4SACQZxZXXKu4Ov4+RaDcB5ZY2WZFPyRg8W89zLD&#10;VNuW93Q9+FwECLsUFRTe16mULivIoBvYmjh4Z9sY9EE2udQNtgFuKjmKorE0WHJYKLCmVUHZ7+Fi&#10;FGzievm9tbc2rz5+NqfdKVkfE69U/7VbTkF46vx/+NneagWT8fA9TuDxJ3wBOb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1kh9yAAAAN8AAAAPAAAAAAAAAAAAAAAAAJgCAABk&#10;cnMvZG93bnJldi54bWxQSwUGAAAAAAQABAD1AAAAjQMAAAAA&#10;" filled="f" stroked="f">
                  <v:textbox inset="0,0,0,0">
                    <w:txbxContent>
                      <w:p w14:paraId="4688D88F" w14:textId="77777777" w:rsidR="0014164F" w:rsidRDefault="0014164F" w:rsidP="006D5692">
                        <w:r>
                          <w:rPr>
                            <w:rFonts w:ascii="Calibri" w:hAnsi="Calibri" w:cs="Calibri"/>
                            <w:color w:val="404040"/>
                            <w:sz w:val="18"/>
                          </w:rPr>
                          <w:t>%</w:t>
                        </w:r>
                      </w:p>
                    </w:txbxContent>
                  </v:textbox>
                </v:rect>
                <v:rect id="Rectangle 761488" o:spid="_x0000_s1806" style="position:absolute;left:8726;top:2405;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5sYA&#10;AADfAAAADwAAAGRycy9kb3ducmV2LnhtbERPTWvCQBC9F/oflin0VjdKsTG6itiW5GgTQb0N2TEJ&#10;ZmdDdmvS/nr3UOjx8b5Xm9G04ka9aywrmE4iEMSl1Q1XCg7F50sMwnlkja1lUvBDDjbrx4cVJtoO&#10;/EW33FcihLBLUEHtfZdI6cqaDLqJ7YgDd7G9QR9gX0nd4xDCTStnUTSXBhsODTV2tKupvObfRkEa&#10;d9tTZn+Hqv04p8f9cfFeLLxSz0/jdgnC0+j/xX/uTCt4m09f4zA4/Alf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t5sYAAADfAAAADwAAAAAAAAAAAAAAAACYAgAAZHJz&#10;L2Rvd25yZXYueG1sUEsFBgAAAAAEAAQA9QAAAIsDAAAAAA==&#10;" filled="f" stroked="f">
                  <v:textbox inset="0,0,0,0">
                    <w:txbxContent>
                      <w:p w14:paraId="1E9C73D9" w14:textId="77777777" w:rsidR="0014164F" w:rsidRDefault="0014164F" w:rsidP="006D5692">
                        <w:r>
                          <w:rPr>
                            <w:rFonts w:ascii="Calibri" w:hAnsi="Calibri" w:cs="Calibri"/>
                            <w:color w:val="404040"/>
                            <w:sz w:val="18"/>
                          </w:rPr>
                          <w:t>1.37</w:t>
                        </w:r>
                      </w:p>
                    </w:txbxContent>
                  </v:textbox>
                </v:rect>
                <v:rect id="Rectangle 761492" o:spid="_x0000_s1807" style="position:absolute;left:10802;top:3450;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tM0cgA&#10;AADfAAAADwAAAGRycy9kb3ducmV2LnhtbESPQWvCQBSE70L/w/IK3nSjFGtiNiJtRY9VC9bbI/tM&#10;gtm3Ibua2F/fLRQ8DjPzDZMue1OLG7WusqxgMo5AEOdWV1wo+DqsR3MQziNrrC2Tgjs5WGZPgxQT&#10;bTve0W3vCxEg7BJUUHrfJFK6vCSDbmwb4uCdbWvQB9kWUrfYBbip5TSKZtJgxWGhxIbeSsov+6tR&#10;sJk3q++t/emK+uO0OX4e4/dD7JUaPverBQhPvX+E/9tbreB1NnmJp/D3J3wBmf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q0zRyAAAAN8AAAAPAAAAAAAAAAAAAAAAAJgCAABk&#10;cnMvZG93bnJldi54bWxQSwUGAAAAAAQABAD1AAAAjQMAAAAA&#10;" filled="f" stroked="f">
                  <v:textbox inset="0,0,0,0">
                    <w:txbxContent>
                      <w:p w14:paraId="0C5BD448" w14:textId="77777777" w:rsidR="0014164F" w:rsidRDefault="0014164F" w:rsidP="006D5692">
                        <w:r>
                          <w:rPr>
                            <w:rFonts w:ascii="Calibri" w:hAnsi="Calibri" w:cs="Calibri"/>
                            <w:color w:val="404040"/>
                            <w:sz w:val="18"/>
                          </w:rPr>
                          <w:t>0.00</w:t>
                        </w:r>
                      </w:p>
                    </w:txbxContent>
                  </v:textbox>
                </v:rect>
                <v:rect id="Rectangle 761493" o:spid="_x0000_s1808" style="position:absolute;left:12828;top:3450;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fpSsgA&#10;AADfAAAADwAAAGRycy9kb3ducmV2LnhtbESPT2vCQBTE74LfYXlCb7rRiprUVcS26NE/BdvbI/tM&#10;gtm3Ibs1sZ/eLQgeh5n5DTNftqYUV6pdYVnBcBCBIE6tLjhT8HX87M9AOI+ssbRMCm7kYLnoduaY&#10;aNvwnq4Hn4kAYZeggtz7KpHSpTkZdANbEQfvbGuDPsg6k7rGJsBNKUdRNJEGCw4LOVa0zim9HH6N&#10;gs2sWn1v7V+TlR8/m9PuFL8fY6/US69dvYHw1Ppn+NHeagXTyXAcv8L/n/AF5OI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5+lKyAAAAN8AAAAPAAAAAAAAAAAAAAAAAJgCAABk&#10;cnMvZG93bnJldi54bWxQSwUGAAAAAAQABAD1AAAAjQMAAAAA&#10;" filled="f" stroked="f">
                  <v:textbox inset="0,0,0,0">
                    <w:txbxContent>
                      <w:p w14:paraId="1C266686" w14:textId="77777777" w:rsidR="0014164F" w:rsidRDefault="0014164F" w:rsidP="006D5692">
                        <w:r>
                          <w:rPr>
                            <w:rFonts w:ascii="Calibri" w:hAnsi="Calibri" w:cs="Calibri"/>
                            <w:color w:val="404040"/>
                            <w:sz w:val="18"/>
                          </w:rPr>
                          <w:t>%</w:t>
                        </w:r>
                      </w:p>
                    </w:txbxContent>
                  </v:textbox>
                </v:rect>
                <v:shape id="Shape 922383" o:spid="_x0000_s1809" style="position:absolute;left:15747;top:2806;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DD5ccA&#10;AADfAAAADwAAAGRycy9kb3ducmV2LnhtbESPT2vCQBTE74V+h+UVvNVNIxWNrtIW/HM1KXp9ZJ9J&#10;bPZtml1j8u27gtDjMDO/YZbr3tSio9ZVlhW8jSMQxLnVFRcKvrPN6wyE88gaa8ukYCAH69Xz0xIT&#10;bW98oC71hQgQdgkqKL1vEildXpJBN7YNcfDOtjXog2wLqVu8BbipZRxFU2mw4rBQYkNfJeU/6dUo&#10;OF62w++5c2l2/Ey3+2m2ex+ik1Kjl/5jAcJT7//Dj/ZeK5jH8WQ2gfuf8AXk6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Qw+XHAAAA3wAAAA8AAAAAAAAAAAAAAAAAmAIAAGRy&#10;cy9kb3ducmV2LnhtbFBLBQYAAAAABAAEAPUAAACMAwAAAAA=&#10;" path="m,l50292,r,51816l,51816,,e" fillcolor="#5b9bd5" stroked="f" strokeweight="0">
                  <v:path arrowok="t" textboxrect="0,0,50292,51816"/>
                </v:shape>
                <v:shape id="Shape 41838" o:spid="_x0000_s1810" style="position:absolute;left:15747;top:2806;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w1v8IA&#10;AADeAAAADwAAAGRycy9kb3ducmV2LnhtbERPW2vCMBR+F/Yfwhn4ZlMvSOmMIl6GwxfX7QccmrOm&#10;rDkpTdTs35uHgY8f3321ibYTNxp861jBNMtBENdOt9wo+P46TgoQPiBr7ByTgj/ysFm/jFZYanfn&#10;T7pVoREphH2JCkwIfSmlrw1Z9JnriRP34waLIcGhkXrAewq3nZzl+VJabDk1GOxpZ6j+ra5WwSkW&#10;8rJtq/P+3aPBQxHPHxiVGr/G7RuIQDE8xf/uk1awmBbztDfdSVd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TDW/wgAAAN4AAAAPAAAAAAAAAAAAAAAAAJgCAABkcnMvZG93&#10;bnJldi54bWxQSwUGAAAAAAQABAD1AAAAhwMAAAAA&#10;" path="m,51816r50292,l50292,,,,,51816xe" filled="f" strokecolor="white" strokeweight="1.56pt">
                  <v:path arrowok="t" textboxrect="0,0,50292,51816"/>
                </v:shape>
                <v:rect id="Rectangle 41839" o:spid="_x0000_s1811" style="position:absolute;left:16468;top:2460;width:472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cg/ccA&#10;AADeAAAADwAAAGRycy9kb3ducmV2LnhtbESPQWvCQBSE7wX/w/IEb3WjlpLEbERsix5bFdTbI/tM&#10;gtm3Ibs1aX99t1DocZiZb5hsNZhG3KlztWUFs2kEgriwuuZSwfHw9hiDcB5ZY2OZFHyRg1U+esgw&#10;1bbnD7rvfSkChF2KCirv21RKV1Rk0E1tSxy8q+0M+iC7UuoO+wA3jZxH0bM0WHNYqLClTUXFbf9p&#10;FGzjdn3e2e++bF4v29P7KXk5JF6pyXhYL0F4Gvx/+K+90wqeZvEigd874QrI/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nIP3HAAAA3gAAAA8AAAAAAAAAAAAAAAAAmAIAAGRy&#10;cy9kb3ducmV2LnhtbFBLBQYAAAAABAAEAPUAAACMAwAAAAA=&#10;" filled="f" stroked="f">
                  <v:textbox inset="0,0,0,0">
                    <w:txbxContent>
                      <w:p w14:paraId="6427AB49" w14:textId="77777777" w:rsidR="0014164F" w:rsidRDefault="0014164F" w:rsidP="006D5692">
                        <w:r>
                          <w:rPr>
                            <w:rFonts w:ascii="Arial" w:eastAsia="Arial" w:hAnsi="Arial" w:cs="Arial"/>
                            <w:color w:val="595959"/>
                            <w:sz w:val="16"/>
                          </w:rPr>
                          <w:t>Plastika</w:t>
                        </w:r>
                      </w:p>
                    </w:txbxContent>
                  </v:textbox>
                </v:rect>
                <v:shape id="Shape 922384" o:spid="_x0000_s1812" style="position:absolute;left:15747;top:4102;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o8asgA&#10;AADfAAAADwAAAGRycy9kb3ducmV2LnhtbESPQWvCQBSE70L/w/IKvemmaRGNrlIigiAUTBXx9sw+&#10;k2D2bciumvrr3YLQ4zAz3zDTeWdqcaXWVZYVvA8iEMS51RUXCrY/y/4IhPPIGmvLpOCXHMxnL70p&#10;JtreeEPXzBciQNglqKD0vkmkdHlJBt3ANsTBO9nWoA+yLaRu8RbgppZxFA2lwYrDQokNpSXl5+xi&#10;FKSX9DC2d17s1qvv9THO9m54Z6XeXruvCQhPnf8PP9srrWAcxx+jT/j7E76AnD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KjxqyAAAAN8AAAAPAAAAAAAAAAAAAAAAAJgCAABk&#10;cnMvZG93bnJldi54bWxQSwUGAAAAAAQABAD1AAAAjQMAAAAA&#10;" path="m,l50292,r,50292l,50292,,e" fillcolor="#ed7d31" stroked="f" strokeweight="0">
                  <v:path arrowok="t" textboxrect="0,0,50292,50292"/>
                </v:shape>
                <v:shape id="Shape 41841" o:spid="_x0000_s1813" style="position:absolute;left:15747;top:4102;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ddIccA&#10;AADeAAAADwAAAGRycy9kb3ducmV2LnhtbESP3UrDQBSE7wXfYTlCb8RuUkIosdsiQkGrSH98gGP2&#10;NFmaPZvurk369q4geDnMzDfMYjXaTlzIB+NYQT7NQBDXThtuFHwe1g9zECEia+wck4IrBVgtb28W&#10;WGk38I4u+9iIBOFQoYI2xr6SMtQtWQxT1xMn7+i8xZikb6T2OCS47eQsy0pp0XBaaLGn55bq0/7b&#10;Kthu7qU35fv1VRbm66MM5eZtOCs1uRufHkFEGuN/+K/9ohUU+bzI4fdOug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3XSHHAAAA3gAAAA8AAAAAAAAAAAAAAAAAmAIAAGRy&#10;cy9kb3ducmV2LnhtbFBLBQYAAAAABAAEAPUAAACMAwAAAAA=&#10;" path="m,50292r50292,l50292,,,,,50292xe" filled="f" strokecolor="white" strokeweight="1.56pt">
                  <v:path arrowok="t" textboxrect="0,0,50292,50292"/>
                </v:shape>
                <v:rect id="Rectangle 41842" o:spid="_x0000_s1814" style="position:absolute;left:16468;top:3746;width:3690;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XB8ccA&#10;AADeAAAADwAAAGRycy9kb3ducmV2LnhtbESPQWvCQBSE74L/YXlCb7pRpMTUVcS2mGObCGlvj+xr&#10;Esy+DdmtSfvruwXB4zAz3zDb/WhacaXeNZYVLBcRCOLS6oYrBef8dR6DcB5ZY2uZFPyQg/1uOtli&#10;ou3A73TNfCUChF2CCmrvu0RKV9Zk0C1sRxy8L9sb9EH2ldQ9DgFuWrmKokdpsOGwUGNHx5rKS/Zt&#10;FJzi7vCR2t+hal8+T8VbsXnON16ph9l4eALhafT38K2dagXrZbxewf+dcAXk7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XFwfHHAAAA3gAAAA8AAAAAAAAAAAAAAAAAmAIAAGRy&#10;cy9kb3ducmV2LnhtbFBLBQYAAAAABAAEAPUAAACMAwAAAAA=&#10;" filled="f" stroked="f">
                  <v:textbox inset="0,0,0,0">
                    <w:txbxContent>
                      <w:p w14:paraId="7C084120" w14:textId="77777777" w:rsidR="0014164F" w:rsidRDefault="0014164F" w:rsidP="006D5692">
                        <w:r>
                          <w:rPr>
                            <w:rFonts w:ascii="Arial" w:eastAsia="Arial" w:hAnsi="Arial" w:cs="Arial"/>
                            <w:color w:val="595959"/>
                            <w:sz w:val="16"/>
                          </w:rPr>
                          <w:t>Guma</w:t>
                        </w:r>
                      </w:p>
                    </w:txbxContent>
                  </v:textbox>
                </v:rect>
                <v:shape id="Shape 922385" o:spid="_x0000_s1815" style="position:absolute;left:15747;top:5382;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IfMgA&#10;AADfAAAADwAAAGRycy9kb3ducmV2LnhtbESPQWvCQBSE7wX/w/IEb3XTiBJTVxFLQRCKjRF6fGZf&#10;k2D2bciuGv99VxB6HGbmG2ax6k0jrtS52rKCt3EEgriwuuZSQX74fE1AOI+ssbFMCu7kYLUcvCww&#10;1fbG33TNfCkChF2KCirv21RKV1Rk0I1tSxy8X9sZ9EF2pdQd3gLcNDKOopk0WHNYqLClTUXFObsY&#10;Bef8uJ/81NsP2ZyS/KhPl10RfSk1GvbrdxCeev8ffra3WsE8jifJFB5/whe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1u4h8yAAAAN8AAAAPAAAAAAAAAAAAAAAAAJgCAABk&#10;cnMvZG93bnJldi54bWxQSwUGAAAAAAQABAD1AAAAjQMAAAAA&#10;" path="m,l50292,r,51816l,51816,,e" fillcolor="#a5a5a5" stroked="f" strokeweight="0">
                  <v:path arrowok="t" textboxrect="0,0,50292,51816"/>
                </v:shape>
                <v:shape id="Shape 41844" o:spid="_x0000_s1816" style="position:absolute;left:15747;top:5382;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Mx8QA&#10;AADeAAAADwAAAGRycy9kb3ducmV2LnhtbESPUWvCMBSF3wf+h3AF32bqKKNUo4hu4vDFdf6AS3Nt&#10;is1NaTLN/v0iCD4ezjnf4SxW0XbiSoNvHSuYTTMQxLXTLTcKTj+frwUIH5A1do5JwR95WC1HLwss&#10;tbvxN12r0IgEYV+iAhNCX0rpa0MW/dT1xMk7u8FiSHJopB7wluC2k29Z9i4ttpwWDPa0MVRfql+r&#10;YB8LeVy31WG782jwo4iHL4xKTcZxPQcRKIZn+NHeawX5rMhzuN9JV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HTMfEAAAA3gAAAA8AAAAAAAAAAAAAAAAAmAIAAGRycy9k&#10;b3ducmV2LnhtbFBLBQYAAAAABAAEAPUAAACJAwAAAAA=&#10;" path="m,51816r50292,l50292,,,,,51816xe" filled="f" strokecolor="white" strokeweight="1.56pt">
                  <v:path arrowok="t" textboxrect="0,0,50292,51816"/>
                </v:shape>
                <v:rect id="Rectangle 41845" o:spid="_x0000_s1817" style="position:absolute;left:16468;top:5212;width:4282;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xZhcgA&#10;AADeAAAADwAAAGRycy9kb3ducmV2LnhtbESPT2vCQBTE7wW/w/KE3urGYkuM2YjYFj3WP6DeHtln&#10;Esy+DdmtSf30bqHgcZiZ3zDpvDe1uFLrKssKxqMIBHFudcWFgv3u6yUG4TyyxtoyKfglB/Ns8JRi&#10;om3HG7pufSEChF2CCkrvm0RKl5dk0I1sQxy8s20N+iDbQuoWuwA3tXyNondpsOKwUGJDy5Lyy/bH&#10;KFjFzeK4treuqD9Pq8P3Yfqxm3qlnof9YgbCU+8f4f/2WiuYjOPJG/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LFmFyAAAAN4AAAAPAAAAAAAAAAAAAAAAAJgCAABk&#10;cnMvZG93bnJldi54bWxQSwUGAAAAAAQABAD1AAAAjQMAAAAA&#10;" filled="f" stroked="f">
                  <v:textbox inset="0,0,0,0">
                    <w:txbxContent>
                      <w:p w14:paraId="0D5D28DA" w14:textId="77777777" w:rsidR="0014164F" w:rsidRDefault="0014164F" w:rsidP="006D5692">
                        <w:r>
                          <w:rPr>
                            <w:rFonts w:ascii="Arial" w:eastAsia="Arial" w:hAnsi="Arial" w:cs="Arial"/>
                            <w:color w:val="595959"/>
                            <w:sz w:val="16"/>
                          </w:rPr>
                          <w:t>Odjeća</w:t>
                        </w:r>
                      </w:p>
                    </w:txbxContent>
                  </v:textbox>
                </v:rect>
                <v:shape id="Shape 922386" o:spid="_x0000_s1818" style="position:absolute;left:15747;top:6662;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4dncgA&#10;AADfAAAADwAAAGRycy9kb3ducmV2LnhtbESPQWvCQBSE74X+h+UVvNWNkYqNriJiseBBawpeH9ln&#10;Esy+DdltXPvru4LQ4zAz3zDzZTCN6KlztWUFo2ECgriwuuZSwXf+8ToF4TyyxsYyKbiRg+Xi+WmO&#10;mbZX/qL+6EsRIewyVFB532ZSuqIig25oW+LonW1n0EfZlVJ3eI1w08g0SSbSYM1xocKW1hUVl+OP&#10;UXDg0yVvNvvddh0Ov33eh7eyDUoNXsJqBsJT8P/hR/tTK3hP0/F0Avc/8QvIx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nh2dyAAAAN8AAAAPAAAAAAAAAAAAAAAAAJgCAABk&#10;cnMvZG93bnJldi54bWxQSwUGAAAAAAQABAD1AAAAjQMAAAAA&#10;" path="m,l50292,r,51816l,51816,,e" fillcolor="#ffc000" stroked="f" strokeweight="0">
                  <v:path arrowok="t" textboxrect="0,0,50292,51816"/>
                </v:shape>
                <v:shape id="Shape 41847" o:spid="_x0000_s1819" style="position:absolute;left:15747;top:6662;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XSsMQA&#10;AADeAAAADwAAAGRycy9kb3ducmV2LnhtbESP0WoCMRRE3wv+Q7iCbzVrkXZZjSJaxeKLrn7AZXPd&#10;LG5ulk3U9O+bQqGPw8ycYebLaFvxoN43jhVMxhkI4srphmsFl/P2NQfhA7LG1jEp+CYPy8XgZY6F&#10;dk8+0aMMtUgQ9gUqMCF0hZS+MmTRj11HnLyr6y2GJPta6h6fCW5b+ZZl79Jiw2nBYEdrQ9WtvFsF&#10;+5jL46opD5udR4OfeTx8YVRqNIyrGYhAMfyH/9p7rWA6yacf8HsnXQ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V0rDEAAAA3gAAAA8AAAAAAAAAAAAAAAAAmAIAAGRycy9k&#10;b3ducmV2LnhtbFBLBQYAAAAABAAEAPUAAACJAwAAAAA=&#10;" path="m,51816r50292,l50292,,,,,51816xe" filled="f" strokecolor="white" strokeweight="1.56pt">
                  <v:path arrowok="t" textboxrect="0,0,50292,51816"/>
                </v:shape>
                <v:rect id="Rectangle 41848" o:spid="_x0000_s1820" style="position:absolute;left:16468;top:6322;width:727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32G8MA&#10;AADeAAAADwAAAGRycy9kb3ducmV2LnhtbERPy4rCMBTdC/5DuII7TRUZ2moUmVF06WPAcXdp7rRl&#10;mpvSRFvn681CcHk478WqM5W4U+NKywom4wgEcWZ1ybmC7/N2FINwHlljZZkUPMjBatnvLTDVtuUj&#10;3U8+FyGEXYoKCu/rVEqXFWTQjW1NHLhf2xj0ATa51A22IdxUchpFH9JgyaGhwJo+C8r+TjejYBfX&#10;65+9/W/zanPdXQ6X5OuceKWGg249B+Gp82/xy73XCmaTeBb2hjvhCs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32G8MAAADeAAAADwAAAAAAAAAAAAAAAACYAgAAZHJzL2Rv&#10;d25yZXYueG1sUEsFBgAAAAAEAAQA9QAAAIgDAAAAAA==&#10;" filled="f" stroked="f">
                  <v:textbox inset="0,0,0,0">
                    <w:txbxContent>
                      <w:p w14:paraId="5669E1D1" w14:textId="77777777" w:rsidR="0014164F" w:rsidRDefault="0014164F" w:rsidP="006D5692">
                        <w:r>
                          <w:rPr>
                            <w:rFonts w:ascii="Arial" w:eastAsia="Arial" w:hAnsi="Arial" w:cs="Arial"/>
                            <w:color w:val="595959"/>
                            <w:sz w:val="16"/>
                          </w:rPr>
                          <w:t>Papir/karton</w:t>
                        </w:r>
                      </w:p>
                    </w:txbxContent>
                  </v:textbox>
                </v:rect>
                <v:shape id="Shape 922387" o:spid="_x0000_s1821" style="position:absolute;left:15747;top:7957;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dnH8kA&#10;AADfAAAADwAAAGRycy9kb3ducmV2LnhtbESPUWvCQBCE3wv9D8cWfKuXplI1ekoplZZCQaOCj2tu&#10;TVJze+HuqvHf94SCj8PsfLMznXemESdyvras4KmfgCAurK65VLBZLx5HIHxA1thYJgUX8jCf3d9N&#10;MdP2zCs65aEUEcI+QwVVCG0mpS8qMuj7tiWO3sE6gyFKV0rt8BzhppFpkrxIgzXHhgpbequoOOa/&#10;Jr7xcWz1dpgP8vd0+fXj9uPBjr6V6j10rxMQgbpwO/5Pf2oF4zR9Hg3huidCQM7+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UdnH8kAAADfAAAADwAAAAAAAAAAAAAAAACYAgAA&#10;ZHJzL2Rvd25yZXYueG1sUEsFBgAAAAAEAAQA9QAAAI4DAAAAAA==&#10;" path="m,l50292,r,50292l,50292,,e" fillcolor="#4472c4" stroked="f" strokeweight="0">
                  <v:path arrowok="t" textboxrect="0,0,50292,50292"/>
                </v:shape>
                <v:shape id="Shape 41850" o:spid="_x0000_s1822" style="position:absolute;left:15747;top:7957;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JuZ8YA&#10;AADeAAAADwAAAGRycy9kb3ducmV2LnhtbESP32rCMBTG7wXfIZzBboamDi3SGUUGg01FNvUBjs1Z&#10;G9acdElm69ubi4GXH98/fotVbxtxIR+MYwWTcQaCuHTacKXgdHwbzUGEiKyxcUwKrhRgtRwOFlho&#10;1/EXXQ6xEmmEQ4EK6hjbQspQ1mQxjF1LnLxv5y3GJH0ltccujdtGPmdZLi0aTg81tvRaU/lz+LMK&#10;PjdP0pt8d/2QU3Pe5yHfbLtfpR4f+vULiEh9vIf/2+9awXQynyWAhJNQ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2JuZ8YAAADeAAAADwAAAAAAAAAAAAAAAACYAgAAZHJz&#10;L2Rvd25yZXYueG1sUEsFBgAAAAAEAAQA9QAAAIsDAAAAAA==&#10;" path="m,50292r50292,l50292,,,,,50292xe" filled="f" strokecolor="white" strokeweight="1.56pt">
                  <v:path arrowok="t" textboxrect="0,0,50292,50292"/>
                </v:shape>
                <v:rect id="Rectangle 41851" o:spid="_x0000_s1823" style="position:absolute;left:16468;top:7788;width:9019;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7JW8cA&#10;AADeAAAADwAAAGRycy9kb3ducmV2LnhtbESPQWvCQBSE7wX/w/IEb3UTsSXGrCK2RY+tCtHbI/tM&#10;gtm3Ibs1aX99t1DocZiZb5hsPZhG3KlztWUF8TQCQVxYXXOp4HR8e0xAOI+ssbFMCr7IwXo1esgw&#10;1bbnD7offCkChF2KCirv21RKV1Rk0E1tSxy8q+0M+iC7UuoO+wA3jZxF0bM0WHNYqLClbUXF7fBp&#10;FOySdnPe2+++bF4vu/w9X7wcF16pyXjYLEF4Gvx/+K+91wrmcfIUw++dc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OyVvHAAAA3gAAAA8AAAAAAAAAAAAAAAAAmAIAAGRy&#10;cy9kb3ducmV2LnhtbFBLBQYAAAAABAAEAPUAAACMAwAAAAA=&#10;" filled="f" stroked="f">
                  <v:textbox inset="0,0,0,0">
                    <w:txbxContent>
                      <w:p w14:paraId="6AB425EF" w14:textId="77777777" w:rsidR="0014164F" w:rsidRDefault="0014164F" w:rsidP="006D5692">
                        <w:r>
                          <w:rPr>
                            <w:rFonts w:ascii="Arial" w:eastAsia="Arial" w:hAnsi="Arial" w:cs="Arial"/>
                            <w:color w:val="595959"/>
                            <w:sz w:val="16"/>
                          </w:rPr>
                          <w:t>Obrađeno drvo</w:t>
                        </w:r>
                      </w:p>
                    </w:txbxContent>
                  </v:textbox>
                </v:rect>
                <v:shape id="Shape 922388" o:spid="_x0000_s1824" style="position:absolute;left:15747;top:9237;width:503;height:519;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qr98QA&#10;AADfAAAADwAAAGRycy9kb3ducmV2LnhtbERPyWrDMBC9B/IPYgK9xXJVyOJaCaE0IfSWpYfeBmtq&#10;m1ojR1Jj9++rQ6HHx9vL7Wg7cScfWscaHrMcBHHlTMu1hutlP1+BCBHZYOeYNPxQgO1mOimxMG7g&#10;E93PsRYphEOBGpoY+0LKUDVkMWSuJ07cp/MWY4K+lsbjkMJtJ1WeL6TFllNDgz29NFR9nb+thuPh&#10;9nr9WOOg9u+2Xb4d7GLwSuuH2bh7BhFpjP/iP/fRaFgr9bRKg9Of9AX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6q/fEAAAA3wAAAA8AAAAAAAAAAAAAAAAAmAIAAGRycy9k&#10;b3ducmV2LnhtbFBLBQYAAAAABAAEAPUAAACJAwAAAAA=&#10;" path="m,l50292,r,51816l,51816,,e" fillcolor="#70ad47" stroked="f" strokeweight="0">
                  <v:path arrowok="t" textboxrect="0,0,50292,51816"/>
                </v:shape>
                <v:shape id="Shape 41853" o:spid="_x0000_s1825" style="position:absolute;left:15747;top:9237;width:503;height:519;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dCbsUA&#10;AADeAAAADwAAAGRycy9kb3ducmV2LnhtbESP0WoCMRRE34X+Q7iFvmlWW2VZjSK2FcUXu/UDLpvb&#10;zdLNzbJJNf59Iwg+DjNzhlmsom3FmXrfOFYwHmUgiCunG64VnL4/hzkIH5A1to5JwZU8rJZPgwUW&#10;2l34i85lqEWCsC9QgQmhK6T0lSGLfuQ64uT9uN5iSLKvpe7xkuC2lZMsm0mLDacFgx1tDFW/5Z9V&#10;sIu5PK6b8vC+9WjwI4+HPUalXp7jeg4iUAyP8L290wrexvn0FW530hW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N0JuxQAAAN4AAAAPAAAAAAAAAAAAAAAAAJgCAABkcnMv&#10;ZG93bnJldi54bWxQSwUGAAAAAAQABAD1AAAAigMAAAAA&#10;" path="m,51816r50292,l50292,,,,,51816xe" filled="f" strokecolor="white" strokeweight="1.56pt">
                  <v:path arrowok="t" textboxrect="0,0,50292,51816"/>
                </v:shape>
                <v:rect id="Rectangle 41854" o:spid="_x0000_s1826" style="position:absolute;left:16468;top:8894;width:330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lqw8gA&#10;AADeAAAADwAAAGRycy9kb3ducmV2LnhtbESPT2vCQBTE7wW/w/KE3urGYkuM2YjYFj3WP6DeHtln&#10;Esy+DdmtSf30bqHgcZiZ3zDpvDe1uFLrKssKxqMIBHFudcWFgv3u6yUG4TyyxtoyKfglB/Ns8JRi&#10;om3HG7pufSEChF2CCkrvm0RKl5dk0I1sQxy8s20N+iDbQuoWuwA3tXyNondpsOKwUGJDy5Lyy/bH&#10;KFjFzeK4treuqD9Pq8P3Yfqxm3qlnof9YgbCU+8f4f/2WiuYjOO3CfzdCVdAZ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uWrDyAAAAN4AAAAPAAAAAAAAAAAAAAAAAJgCAABk&#10;cnMvZG93bnJldi54bWxQSwUGAAAAAAQABAD1AAAAjQMAAAAA&#10;" filled="f" stroked="f">
                  <v:textbox inset="0,0,0,0">
                    <w:txbxContent>
                      <w:p w14:paraId="1BA342F4" w14:textId="77777777" w:rsidR="0014164F" w:rsidRDefault="0014164F" w:rsidP="006D5692">
                        <w:r>
                          <w:rPr>
                            <w:rFonts w:ascii="Arial" w:eastAsia="Arial" w:hAnsi="Arial" w:cs="Arial"/>
                            <w:color w:val="595959"/>
                            <w:sz w:val="16"/>
                          </w:rPr>
                          <w:t>Metal</w:t>
                        </w:r>
                      </w:p>
                    </w:txbxContent>
                  </v:textbox>
                </v:rect>
                <v:shape id="Shape 922389" o:spid="_x0000_s1827" style="position:absolute;left:15747;top:10533;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HkgMkA&#10;AADfAAAADwAAAGRycy9kb3ducmV2LnhtbESPX0vDMBTF3wW/Q7iCby61G2Ptlo2iCIOhuD+w10tz&#10;1xabm5rELfrpjTDw8XDO+R3OYhVNL87kfGdZweMoA0FcW91xo+Cwf3mYgfABWWNvmRR8k4fV8vZm&#10;gaW2F97SeRcakSDsS1TQhjCUUvq6JYN+ZAfi5J2sMxiSdI3UDi8JbnqZZ9lUGuw4LbQ40FNL9cfu&#10;yyjYrI+fBVXjSczjT/9cvL7X7q1S6v4uVnMQgWL4D1/ba62gyPPxrIC/P+kL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pHkgMkAAADfAAAADwAAAAAAAAAAAAAAAACYAgAA&#10;ZHJzL2Rvd25yZXYueG1sUEsFBgAAAAAEAAQA9QAAAI4DAAAAAA==&#10;" path="m,l50292,r,50292l,50292,,e" fillcolor="#255e91" stroked="f" strokeweight="0">
                  <v:path arrowok="t" textboxrect="0,0,50292,50292"/>
                </v:shape>
                <v:shape id="Shape 41856" o:spid="_x0000_s1828" style="position:absolute;left:15747;top:10533;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dTiMcA&#10;AADeAAAADwAAAGRycy9kb3ducmV2LnhtbESP0UoDMRRE3wv+Q7gFX4rNVmooa9MiQqGtIlr9gOvm&#10;uhu6uVmTtLv9eyMIPg4zc4ZZrgfXijOFaD1rmE0LEMSVN5ZrDR/vm5sFiJiQDbaeScOFIqxXV6Ml&#10;lsb3/EbnQ6pFhnAsUUOTUldKGauGHMap74iz9+WDw5RlqKUJ2Ge4a+VtUSjp0HJeaLCjx4aq4+Hk&#10;NLzuJzJY9XzZybn9fFFR7Z/6b62vx8PDPYhEQ/oP/7W3RsN8trhT8HsnXw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HU4jHAAAA3gAAAA8AAAAAAAAAAAAAAAAAmAIAAGRy&#10;cy9kb3ducmV2LnhtbFBLBQYAAAAABAAEAPUAAACMAwAAAAA=&#10;" path="m,50292r50292,l50292,,,,,50292xe" filled="f" strokecolor="white" strokeweight="1.56pt">
                  <v:path arrowok="t" textboxrect="0,0,50292,50292"/>
                </v:shape>
                <v:rect id="Rectangle 41857" o:spid="_x0000_s1829" style="position:absolute;left:16468;top:10178;width:3756;height:1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v0tMgA&#10;AADeAAAADwAAAGRycy9kb3ducmV2LnhtbESPT2vCQBTE70K/w/IK3nSTYtuYZhVRix79U7C9PbKv&#10;SWj2bciuJvrpu4WCx2FmfsNk897U4kKtqywriMcRCOLc6ooLBR/H91ECwnlkjbVlUnAlB/PZwyDD&#10;VNuO93Q5+EIECLsUFZTeN6mULi/JoBvbhjh437Y16INsC6lb7ALc1PIpil6kwYrDQokNLUvKfw5n&#10;o2CTNIvPrb11Rb3+2px2p+nqOPVKDR/7xRsIT72/h//bW61gEifPr/B3J1wBOfs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a/S0yAAAAN4AAAAPAAAAAAAAAAAAAAAAAJgCAABk&#10;cnMvZG93bnJldi54bWxQSwUGAAAAAAQABAD1AAAAjQMAAAAA&#10;" filled="f" stroked="f">
                  <v:textbox inset="0,0,0,0">
                    <w:txbxContent>
                      <w:p w14:paraId="446AFCE8" w14:textId="77777777" w:rsidR="0014164F" w:rsidRDefault="0014164F" w:rsidP="006D5692">
                        <w:r>
                          <w:rPr>
                            <w:rFonts w:ascii="Arial" w:eastAsia="Arial" w:hAnsi="Arial" w:cs="Arial"/>
                            <w:color w:val="595959"/>
                            <w:sz w:val="16"/>
                          </w:rPr>
                          <w:t>Staklo</w:t>
                        </w:r>
                      </w:p>
                    </w:txbxContent>
                  </v:textbox>
                </v:rect>
                <v:shape id="Shape 922390" o:spid="_x0000_s1830" style="position:absolute;left:15747;top:11813;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xt3sQA&#10;AADfAAAADwAAAGRycy9kb3ducmV2LnhtbESPzWoCMRSF9wXfIVzBXc00QqlToxStoItSHX2AS3Kd&#10;DJ3cDJNUx7c3i0KXh/PHt1gNvhVX6mMTWMPLtABBbIJtuNZwPm2f30DEhGyxDUwa7hRhtRw9LbC0&#10;4cZHulapFnmEY4kaXEpdKWU0jjzGaeiIs3cJvceUZV9L2+Mtj/tWqqJ4lR4bzg8OO1o7Mj/Vr9dw&#10;MSqYPR14776qz2g33yodpNaT8fDxDiLRkP7Df+2d1TBXajbPBJkns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Mbd7EAAAA3wAAAA8AAAAAAAAAAAAAAAAAmAIAAGRycy9k&#10;b3ducmV2LnhtbFBLBQYAAAAABAAEAPUAAACJAwAAAAA=&#10;" path="m,l50292,r,51816l,51816,,e" fillcolor="#9e480e" stroked="f" strokeweight="0">
                  <v:path arrowok="t" textboxrect="0,0,50292,51816"/>
                </v:shape>
                <v:shape id="Shape 41859" o:spid="_x0000_s1831" style="position:absolute;left:15747;top:11813;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91hMUA&#10;AADeAAAADwAAAGRycy9kb3ducmV2LnhtbESP0WoCMRRE34X+Q7iFvmlWaWW7GkVsK4ovuvUDLpvb&#10;zdLNzbJJNf59Iwg+DjNzhpkvo23FmXrfOFYwHmUgiCunG64VnL6/hjkIH5A1to5JwZU8LBdPgzkW&#10;2l34SOcy1CJB2BeowITQFVL6ypBFP3IdcfJ+XG8xJNnXUvd4SXDbykmWTaXFhtOCwY7Whqrf8s8q&#10;2MZcHlZNuf/YeDT4mcf9DqNSL89xNQMRKIZH+N7eagWv4/ztHW530hW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33WExQAAAN4AAAAPAAAAAAAAAAAAAAAAAJgCAABkcnMv&#10;ZG93bnJldi54bWxQSwUGAAAAAAQABAD1AAAAigMAAAAA&#10;" path="m,51816r50292,l50292,,,,,51816xe" filled="f" strokecolor="white" strokeweight="1.56pt">
                  <v:path arrowok="t" textboxrect="0,0,50292,51816"/>
                </v:shape>
                <v:rect id="Rectangle 41860" o:spid="_x0000_s1832" style="position:absolute;left:16468;top:11469;width:5718;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6mfcYA&#10;AADeAAAADwAAAGRycy9kb3ducmV2LnhtbESPy2qDQBSG94W+w3AK3dXRUIIaJyG0KWaZSyHN7uCc&#10;qtQ5I8402j59ZhHI8ue/8RWryXTiQoNrLStIohgEcWV1y7WCz+PHSwrCeWSNnWVS8EcOVsvHhwJz&#10;bUfe0+XgaxFG2OWooPG+z6V0VUMGXWR74uB928GgD3KopR5wDOOmk7M4nkuDLYeHBnt6a6j6Ofwa&#10;BWXar7+29n+su825PO1O2fsx80o9P03rBQhPk7+Hb+2tVvCapPMAEHACCsjl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6mfcYAAADeAAAADwAAAAAAAAAAAAAAAACYAgAAZHJz&#10;L2Rvd25yZXYueG1sUEsFBgAAAAAEAAQA9QAAAIsDAAAAAA==&#10;" filled="f" stroked="f">
                  <v:textbox inset="0,0,0,0">
                    <w:txbxContent>
                      <w:p w14:paraId="46508840" w14:textId="77777777" w:rsidR="0014164F" w:rsidRDefault="0014164F" w:rsidP="006D5692">
                        <w:r>
                          <w:rPr>
                            <w:rFonts w:ascii="Arial" w:eastAsia="Arial" w:hAnsi="Arial" w:cs="Arial"/>
                            <w:color w:val="595959"/>
                            <w:sz w:val="16"/>
                          </w:rPr>
                          <w:t>Keramika</w:t>
                        </w:r>
                      </w:p>
                    </w:txbxContent>
                  </v:textbox>
                </v:rect>
                <v:shape id="Shape 922391" o:spid="_x0000_s1833" style="position:absolute;left:15747;top:13108;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M+iscA&#10;AADfAAAADwAAAGRycy9kb3ducmV2LnhtbESPQWuDQBSE74X8h+UFeinJqqUl2mxCEAoeCqFpe3+4&#10;rypx34q7UeOvzwYKPQ4z8w2z3U+mFQP1rrGsIF5HIIhLqxuuFHx/va82IJxH1thaJgVXcrDfLR62&#10;mGk78icNJ1+JAGGXoYLa+y6T0pU1GXRr2xEH79f2Bn2QfSV1j2OAm1YmUfQqDTYcFmrsKK+pPJ8u&#10;RsGo5zYt55fuYI65Hp9+PmJbOKUel9PhDYSnyf+H/9qFVpAmyXMaw/1P+AJyd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jPorHAAAA3wAAAA8AAAAAAAAAAAAAAAAAmAIAAGRy&#10;cy9kb3ducmV2LnhtbFBLBQYAAAAABAAEAPUAAACMAwAAAAA=&#10;" path="m,l50292,r,50292l,50292,,e" fillcolor="#636363" stroked="f" strokeweight="0">
                  <v:path arrowok="t" textboxrect="0,0,50292,50292"/>
                </v:shape>
                <v:shape id="Shape 41862" o:spid="_x0000_s1834" style="position:absolute;left:15747;top:13108;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CfNscA&#10;AADeAAAADwAAAGRycy9kb3ducmV2LnhtbESP0UoDMRRE3wX/IVyhL2KzLSWUtWmRQqGtIm31A66b&#10;625wc7NNYnf790YQfBxm5gyzWA2uFRcK0XrWMBkXIIgrbyzXGt7fNg9zEDEhG2w9k4YrRVgtb28W&#10;WBrf85Eup1SLDOFYooYmpa6UMlYNOYxj3xFn79MHhynLUEsTsM9w18ppUSjp0HJeaLCjdUPV1+nb&#10;aTjs72Ww6uW6kzP78aqi2j/3Z61Hd8PTI4hEQ/oP/7W3RsNsMldT+L2Tr4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6QnzbHAAAA3gAAAA8AAAAAAAAAAAAAAAAAmAIAAGRy&#10;cy9kb3ducmV2LnhtbFBLBQYAAAAABAAEAPUAAACMAwAAAAA=&#10;" path="m,50292r50292,l50292,,,,,50292xe" filled="f" strokecolor="white" strokeweight="1.56pt">
                  <v:path arrowok="t" textboxrect="0,0,50292,50292"/>
                </v:shape>
                <v:rect id="Rectangle 41863" o:spid="_x0000_s1835" style="position:absolute;left:16468;top:12756;width:908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w4CscA&#10;AADeAAAADwAAAGRycy9kb3ducmV2LnhtbESPT2vCQBTE70K/w/IK3nRjFYnRVaRV9Oifgnp7ZJ9J&#10;aPZtyK4m+um7BaHHYWZ+w8wWrSnFnWpXWFYw6EcgiFOrC84UfB/XvRiE88gaS8uk4EEOFvO3zgwT&#10;bRve0/3gMxEg7BJUkHtfJVK6NCeDrm8r4uBdbW3QB1lnUtfYBLgp5UcUjaXBgsNCjhV95pT+HG5G&#10;wSauluetfTZZubpsTrvT5Os48Up139vlFISn1v+HX+2tVjAaxOMh/N0JV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E8OArHAAAA3gAAAA8AAAAAAAAAAAAAAAAAmAIAAGRy&#10;cy9kb3ducmV2LnhtbFBLBQYAAAAABAAEAPUAAACMAwAAAAA=&#10;" filled="f" stroked="f">
                  <v:textbox inset="0,0,0,0">
                    <w:txbxContent>
                      <w:p w14:paraId="6960B05C" w14:textId="77777777" w:rsidR="0014164F" w:rsidRDefault="0014164F" w:rsidP="006D5692">
                        <w:r>
                          <w:rPr>
                            <w:rFonts w:ascii="Arial" w:eastAsia="Arial" w:hAnsi="Arial" w:cs="Arial"/>
                            <w:color w:val="595959"/>
                            <w:sz w:val="16"/>
                          </w:rPr>
                          <w:t>Sanitarni otpad</w:t>
                        </w:r>
                      </w:p>
                    </w:txbxContent>
                  </v:textbox>
                </v:rect>
                <v:shape id="Shape 922392" o:spid="_x0000_s1836" style="position:absolute;left:15747;top:1438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3KtscA&#10;AADfAAAADwAAAGRycy9kb3ducmV2LnhtbESPT2vCQBTE74V+h+UJXopuTEvR6BqKENuTpVbI9ZF9&#10;JsHs25Dd/Om37xaEHoeZ+Q2zSyfTiIE6V1tWsFpGIIgLq2suFVy+s8UahPPIGhvLpOCHHKT7x4cd&#10;JtqO/EXD2ZciQNglqKDyvk2kdEVFBt3StsTBu9rOoA+yK6XucAxw08g4il6lwZrDQoUtHSoqbufe&#10;KLB5NjTH/lOu0ZQ+z93p5d0+KTWfTW9bEJ4m/x++tz+0gk0cP29i+PsTvoD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d9yrbHAAAA3wAAAA8AAAAAAAAAAAAAAAAAmAIAAGRy&#10;cy9kb3ducmV2LnhtbFBLBQYAAAAABAAEAPUAAACMAwAAAAA=&#10;" path="m,l50292,r,51816l,51816,,e" fillcolor="#997300" stroked="f" strokeweight="0">
                  <v:path arrowok="t" textboxrect="0,0,50292,51816"/>
                </v:shape>
                <v:shape id="Shape 41865" o:spid="_x0000_s1837" style="position:absolute;left:15747;top:1438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61PMQA&#10;AADeAAAADwAAAGRycy9kb3ducmV2LnhtbESP0WoCMRRE3wv+Q7hC32rW0sqyGkW0FsUXXf2Ay+a6&#10;WdzcLJuo6d83QqGPw8ycYWaLaFtxp943jhWMRxkI4srphmsF59PmLQfhA7LG1jEp+CEPi/ngZYaF&#10;dg8+0r0MtUgQ9gUqMCF0hZS+MmTRj1xHnLyL6y2GJPta6h4fCW5b+Z5lE2mx4bRgsKOVoepa3qyC&#10;bczlYdmU+/W3R4NfedzvMCr1OozLKYhAMfyH/9pbreBjnE8+4XknXQ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tTzEAAAA3gAAAA8AAAAAAAAAAAAAAAAAmAIAAGRycy9k&#10;b3ducmV2LnhtbFBLBQYAAAAABAAEAPUAAACJAwAAAAA=&#10;" path="m,51816r50292,l50292,,,,,51816xe" filled="f" strokecolor="white" strokeweight="1.56pt">
                  <v:path arrowok="t" textboxrect="0,0,50292,51816"/>
                </v:shape>
                <v:rect id="Rectangle 41866" o:spid="_x0000_s1838" style="position:absolute;left:16468;top:14040;width:10080;height:1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ubkscA&#10;AADeAAAADwAAAGRycy9kb3ducmV2LnhtbESPT2vCQBTE7wW/w/KE3upGKSFGVxH/oMdWBfX2yD6T&#10;YPZtyK4m7afvFgSPw8z8hpnOO1OJBzWutKxgOIhAEGdWl5wrOB42HwkI55E1VpZJwQ85mM96b1NM&#10;tW35mx57n4sAYZeigsL7OpXSZQUZdANbEwfvahuDPsgml7rBNsBNJUdRFEuDJYeFAmtaFpTd9nej&#10;YJvUi/PO/rZ5tb5sT1+n8eow9kq997vFBISnzr/Cz/ZOK/gcJnEM/3fCFZC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FLm5LHAAAA3gAAAA8AAAAAAAAAAAAAAAAAmAIAAGRy&#10;cy9kb3ducmV2LnhtbFBLBQYAAAAABAAEAPUAAACMAwAAAAA=&#10;" filled="f" stroked="f">
                  <v:textbox inset="0,0,0,0">
                    <w:txbxContent>
                      <w:p w14:paraId="5B5C6EA2" w14:textId="77777777" w:rsidR="0014164F" w:rsidRDefault="0014164F" w:rsidP="006D5692">
                        <w:r>
                          <w:rPr>
                            <w:rFonts w:ascii="Arial" w:eastAsia="Arial" w:hAnsi="Arial" w:cs="Arial"/>
                            <w:color w:val="595959"/>
                            <w:sz w:val="16"/>
                          </w:rPr>
                          <w:t>Medicinski otpad</w:t>
                        </w:r>
                      </w:p>
                    </w:txbxContent>
                  </v:textbox>
                </v:rect>
                <v:shape id="Shape 922393" o:spid="_x0000_s1839" style="position:absolute;left:15747;top:15684;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nLNsYA&#10;AADfAAAADwAAAGRycy9kb3ducmV2LnhtbESPQWsCMRSE70L/Q3hCb5p1BdHVKKUieCrVFfX42Dyz&#10;SzcvS5Lq9t83QqHHYWa+YVab3rbiTj40jhVMxhkI4srpho2CU7kbzUGEiKyxdUwKfijAZv0yWGGh&#10;3YMPdD9GIxKEQ4EK6hi7QspQ1WQxjF1HnLyb8xZjkt5I7fGR4LaVeZbNpMWG00KNHb3XVH0dv62C&#10;w85dtsZ/fri52e49deFanoNSr8P+bQkiUh//w3/tvVawyPPpYgrPP+kL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znLNsYAAADfAAAADwAAAAAAAAAAAAAAAACYAgAAZHJz&#10;L2Rvd25yZXYueG1sUEsFBgAAAAAEAAQA9QAAAIsDAAAAAA==&#10;" path="m,l50292,r,50292l,50292,,e" fillcolor="#264478" stroked="f" strokeweight="0">
                  <v:path arrowok="t" textboxrect="0,0,50292,50292"/>
                </v:shape>
                <v:shape id="Shape 41868" o:spid="_x0000_s1840" style="position:absolute;left:15747;top:15684;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io3MQA&#10;AADeAAAADwAAAGRycy9kb3ducmV2LnhtbERP3WrCMBS+H+wdwhl4M2bqkCDVKDIYODfG5nyAY3Ns&#10;g81JTaKtb79cDHb58f0vVoNrxZVCtJ41TMYFCOLKG8u1hv3P69MMREzIBlvPpOFGEVbL+7sFlsb3&#10;/E3XXapFDuFYooYmpa6UMlYNOYxj3xFn7uiDw5RhqKUJ2Odw18rnolDSoeXc0GBHLw1Vp93Fafja&#10;Pspg1cftTU7t4VNFtX3vz1qPHob1HESiIf2L/9wbo2E6mam8N9/JV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4qNzEAAAA3gAAAA8AAAAAAAAAAAAAAAAAmAIAAGRycy9k&#10;b3ducmV2LnhtbFBLBQYAAAAABAAEAPUAAACJAwAAAAA=&#10;" path="m,50292r50292,l50292,,,,,50292xe" filled="f" strokecolor="white" strokeweight="1.56pt">
                  <v:path arrowok="t" textboxrect="0,0,50292,50292"/>
                </v:shape>
                <v:rect id="Rectangle 41869" o:spid="_x0000_s1841" style="position:absolute;left:16468;top:15331;width:8195;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QP4McA&#10;AADeAAAADwAAAGRycy9kb3ducmV2LnhtbESPT2vCQBTE70K/w/IK3nSjiCTRVaS16LH+AfX2yL4m&#10;odm3Ibs10U/fFQSPw8z8hpkvO1OJKzWutKxgNIxAEGdWl5wrOB6+BjEI55E1VpZJwY0cLBdvvTmm&#10;2ra8o+ve5yJA2KWooPC+TqV0WUEG3dDWxMH7sY1BH2STS91gG+CmkuMomkqDJYeFAmv6KCj73f8Z&#10;BZu4Xp239t7m1fqyOX2fks9D4pXqv3erGQhPnX+Fn+2tVjAZxdMEHnfCF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UD+DHAAAA3gAAAA8AAAAAAAAAAAAAAAAAmAIAAGRy&#10;cy9kb3ducmV2LnhtbFBLBQYAAAAABAAEAPUAAACMAwAAAAA=&#10;" filled="f" stroked="f">
                  <v:textbox inset="0,0,0,0">
                    <w:txbxContent>
                      <w:p w14:paraId="07F25608" w14:textId="77777777" w:rsidR="0014164F" w:rsidRDefault="0014164F" w:rsidP="006D5692">
                        <w:r>
                          <w:rPr>
                            <w:rFonts w:ascii="Arial" w:eastAsia="Arial" w:hAnsi="Arial" w:cs="Arial"/>
                            <w:color w:val="595959"/>
                            <w:sz w:val="16"/>
                          </w:rPr>
                          <w:t>Parafin/vosak</w:t>
                        </w:r>
                      </w:p>
                    </w:txbxContent>
                  </v:textbox>
                </v:rect>
                <v:shape id="Shape 41871" o:spid="_x0000_s1842" style="position:absolute;left:32765;top:2118;width:9366;height:12301;visibility:visible;mso-wrap-style:square;v-text-anchor:top" coordsize="936625,123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t5sYA&#10;AADeAAAADwAAAGRycy9kb3ducmV2LnhtbESPT2sCMRTE74V+h/AK3mp2RWrcGkVERXqqf/D82Lzu&#10;Lt28bJOo67dvCgWPw8z8hpktetuKK/nQONaQDzMQxKUzDVcaTsfNqwIRIrLB1jFpuFOAxfz5aYaF&#10;cTfe0/UQK5EgHArUUMfYFVKGsiaLYeg64uR9OW8xJukraTzeEty2cpRlb9Jiw2mhxo5WNZXfh4vV&#10;oDafSo2mfrk+f7Q/E7ldXcbxrvXgpV++g4jUx0f4v70zGsa5muTwdydd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lt5sYAAADeAAAADwAAAAAAAAAAAAAAAACYAgAAZHJz&#10;L2Rvd25yZXYueG1sUEsFBgAAAAAEAAQA9QAAAIsDAAAAAA==&#10;" path="m321564,c661289,,936625,275337,936625,615062v,339725,-275336,615061,-615061,615061c208153,1230123,96774,1198753,,1139444l321564,615062,321564,xe" fillcolor="#5b9bd5" stroked="f" strokeweight="0">
                  <v:path arrowok="t" textboxrect="0,0,936625,1230123"/>
                </v:shape>
                <v:shape id="Shape 41872" o:spid="_x0000_s1843" style="position:absolute;left:32765;top:2118;width:9366;height:12301;visibility:visible;mso-wrap-style:square;v-text-anchor:top" coordsize="936625,123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ue9MgA&#10;AADeAAAADwAAAGRycy9kb3ducmV2LnhtbESPQWvCQBSE7wX/w/KE3pqNQaqkriJisBQvag/t7ZF9&#10;Jmmzb+PuVlN/fbcgeBxm5htmtuhNK87kfGNZwShJQRCXVjdcKXg/FE9TED4ga2wtk4Jf8rCYDx5m&#10;mGt74R2d96ESEcI+RwV1CF0upS9rMugT2xFH72idwRClq6R2eIlw08osTZ+lwYbjQo0drWoqv/c/&#10;RsH28y07rXHz4Yrj6etqN2VxtVulHof98gVEoD7cw7f2q1YwHk0nGfzfiVdAzv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Km570yAAAAN4AAAAPAAAAAAAAAAAAAAAAAJgCAABk&#10;cnMvZG93bnJldi54bWxQSwUGAAAAAAQABAD1AAAAjQMAAAAA&#10;" path="m321564,c661289,,936625,275337,936625,615062v,339725,-275336,615061,-615061,615061c208153,1230123,96774,1198753,,1139444l321564,615062,321564,xe" filled="f" strokecolor="white" strokeweight="1.56pt">
                  <v:path arrowok="t" textboxrect="0,0,936625,1230123"/>
                </v:shape>
                <v:shape id="Shape 41873" o:spid="_x0000_s1844" style="position:absolute;left:31415;top:8268;width:4566;height:5244;visibility:visible;mso-wrap-style:square;v-text-anchor:top" coordsize="456565,524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r3hscA&#10;AADeAAAADwAAAGRycy9kb3ducmV2LnhtbESPzWrCQBSF94LvMFzBnU5SSyupo1Sx0E0X1VLa3W3m&#10;mgQzd+LMJMa3dwShy8P5+TiLVW9q0ZHzlWUF6TQBQZxbXXGh4Gv/NpmD8AFZY22ZFFzIw2o5HCww&#10;0/bMn9TtQiHiCPsMFZQhNJmUPi/JoJ/ahjh6B+sMhihdIbXDcxw3tXxIkidpsOJIKLGhTUn5cdea&#10;yHU/G/u9bv/WF3fqtmn/sf9tg1LjUf/6AiJQH/7D9/a7VvCYzp9ncLsTr4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a94bHAAAA3gAAAA8AAAAAAAAAAAAAAAAAmAIAAGRy&#10;cy9kb3ducmV2LnhtbFBLBQYAAAAABAAEAPUAAACMAwAAAAA=&#10;" path="m456565,l135001,524383c84963,493522,39497,455802,,412114l456565,xe" fillcolor="#ed7d31" stroked="f" strokeweight="0">
                  <v:path arrowok="t" textboxrect="0,0,456565,524383"/>
                </v:shape>
                <v:shape id="Shape 41874" o:spid="_x0000_s1845" style="position:absolute;left:31415;top:8268;width:4566;height:5244;visibility:visible;mso-wrap-style:square;v-text-anchor:top" coordsize="456565,524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H48YA&#10;AADeAAAADwAAAGRycy9kb3ducmV2LnhtbESPQWsCMRSE74X+h/AEbzW7xVrZGmWpCB7qQSv0+tg8&#10;N6ubl20SdfvvG0HwOMzMN8xs0dtWXMiHxrGCfJSBIK6cbrhWsP9evUxBhIissXVMCv4owGL+/DTD&#10;Qrsrb+myi7VIEA4FKjAxdoWUoTJkMYxcR5y8g/MWY5K+ltrjNcFtK1+zbCItNpwWDHb0aag67c5W&#10;Qb9Zms2hycufr7fy1+/lMZ7DUanhoC8/QETq4yN8b6+1gnE+fR/D7U66An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JH48YAAADeAAAADwAAAAAAAAAAAAAAAACYAgAAZHJz&#10;L2Rvd25yZXYueG1sUEsFBgAAAAAEAAQA9QAAAIsDAAAAAA==&#10;" path="m135001,524383c84963,493522,39497,455802,,412114l456565,,135001,524383xe" filled="f" strokecolor="white" strokeweight="1.56pt">
                  <v:path arrowok="t" textboxrect="0,0,456565,524383"/>
                </v:shape>
                <v:shape id="Shape 41875" o:spid="_x0000_s1846" style="position:absolute;left:31200;top:8268;width:4781;height:4122;visibility:visible;mso-wrap-style:square;v-text-anchor:top" coordsize="478028,412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X0C8gA&#10;AADeAAAADwAAAGRycy9kb3ducmV2LnhtbESPS4vCQBCE7wv7H4Ze8LKsE0U3ITrKPhBE9OADvDaZ&#10;NglmerKZ2Rj/vSMIHouq+oqazjtTiZYaV1pWMOhHIIgzq0vOFRz2i48EhPPIGivLpOBKDuaz15cp&#10;ptpeeEvtzuciQNilqKDwvk6ldFlBBl3f1sTBO9nGoA+yyaVu8BLgppLDKPqUBksOCwXW9FNQdt79&#10;GwVZ8rveHL+jv31bnt59vFnHq22iVO+t+5qA8NT5Z/jRXmoFo0ESj+F+J1wBO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BfQLyAAAAN4AAAAPAAAAAAAAAAAAAAAAAJgCAABk&#10;cnMvZG93bnJldi54bWxQSwUGAAAAAAQABAD1AAAAjQMAAAAA&#10;" path="m478028,l21463,412114c14097,403987,6858,395477,,386969l478028,xe" fillcolor="#a5a5a5" stroked="f" strokeweight="0">
                  <v:path arrowok="t" textboxrect="0,0,478028,412114"/>
                </v:shape>
                <v:shape id="Shape 41876" o:spid="_x0000_s1847" style="position:absolute;left:31200;top:8268;width:4781;height:4122;visibility:visible;mso-wrap-style:square;v-text-anchor:top" coordsize="478028,412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OcesYA&#10;AADeAAAADwAAAGRycy9kb3ducmV2LnhtbESP3WoCMRSE7wXfIRyhdzVRWpXVKK1QqLVQ/HmAw+a4&#10;WdycrEmq27dvCgUvh5n5hlmsOteIK4VYe9YwGioQxKU3NVcajoe3xxmImJANNp5Jww9FWC37vQUW&#10;xt94R9d9qkSGcCxQg02pLaSMpSWHcehb4uydfHCYsgyVNAFvGe4aOVZqIh3WnBcstrS2VJ73305D&#10;+fHZXp6d3W6+Nq/mvD0cVbgorR8G3cscRKIu3cP/7Xej4Wk0m07g706+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tOcesYAAADeAAAADwAAAAAAAAAAAAAAAACYAgAAZHJz&#10;L2Rvd25yZXYueG1sUEsFBgAAAAAEAAQA9QAAAIsDAAAAAA==&#10;" path="m21463,412114c14097,403987,6858,395477,,386969l478028,,21463,412114xe" filled="f" strokecolor="white" strokeweight="1.56pt">
                  <v:path arrowok="t" textboxrect="0,0,478028,412114"/>
                </v:shape>
                <v:shape id="Shape 41877" o:spid="_x0000_s1848" style="position:absolute;left:31125;top:8268;width:4856;height:3870;visibility:visible;mso-wrap-style:square;v-text-anchor:top" coordsize="485521,386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PH8skA&#10;AADeAAAADwAAAGRycy9kb3ducmV2LnhtbESPzW7CMBCE70h9B2srcQMHVEqUYlDVKvwIDuXnAbbx&#10;NgmN1yF2IfTpMVKlHkcz841mMmtNJc7UuNKygkE/AkGcWV1yruCwT3sxCOeRNVaWScGVHMymD50J&#10;JtpeeEvnnc9FgLBLUEHhfZ1I6bKCDLq+rYmD92Ubgz7IJpe6wUuAm0oOo+hZGiw5LBRY01tB2ffu&#10;xygYfcxX6dGcDgu95s94ePw9pZt3pbqP7esLCE+t/w//tZdawdMgHo/hfidcATm9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wPH8skAAADeAAAADwAAAAAAAAAAAAAAAACYAgAA&#10;ZHJzL2Rvd25yZXYueG1sUEsFBgAAAAAEAAQA9QAAAI4DAAAAAA==&#10;" path="m485521,l7493,386969c4953,383921,2540,380746,,377571l485521,xe" fillcolor="#ffc000" stroked="f" strokeweight="0">
                  <v:path arrowok="t" textboxrect="0,0,485521,386969"/>
                </v:shape>
                <v:shape id="Shape 41878" o:spid="_x0000_s1849" style="position:absolute;left:31125;top:8268;width:4856;height:3870;visibility:visible;mso-wrap-style:square;v-text-anchor:top" coordsize="485521,386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7Y8UA&#10;AADeAAAADwAAAGRycy9kb3ducmV2LnhtbERPy2rCQBTdF/oPwy10U3TGIhpSRykVwcfK+KDLS+Y2&#10;Sc3cCZlR4987C8Hl4bwns87W4kKtrxxrGPQVCOLcmYoLDfvdopeA8AHZYO2YNNzIw2z6+jLB1Lgr&#10;b+mShULEEPYpaihDaFIpfV6SRd93DXHk/lxrMUTYFtK0eI3htpafSo2kxYpjQ4kN/ZSUn7Kz1ZCs&#10;55uP//GtUN3xcNqqlVvM61+t39+67y8QgbrwFD/cS6NhOEjGcW+8E6+An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XtjxQAAAN4AAAAPAAAAAAAAAAAAAAAAAJgCAABkcnMv&#10;ZG93bnJldi54bWxQSwUGAAAAAAQABAD1AAAAigMAAAAA&#10;" path="m7493,386969c4953,383921,2540,380746,,377571l485521,,7493,386969xe" filled="f" strokecolor="white" strokeweight="1.56pt">
                  <v:path arrowok="t" textboxrect="0,0,485521,386969"/>
                </v:shape>
                <v:shape id="Shape 41879" o:spid="_x0000_s1850" style="position:absolute;left:30948;top:8268;width:5033;height:3776;visibility:visible;mso-wrap-style:square;v-text-anchor:top" coordsize="503301,37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HksYA&#10;AADeAAAADwAAAGRycy9kb3ducmV2LnhtbESPQWsCMRSE70L/Q3hCb5q1FKurUVpBEE9WpdLbY/N2&#10;s7p5WTdR13/fFASPw8x8w0znra3ElRpfOlYw6CcgiDOnSy4U7HfL3giED8gaK8ek4E4e5rOXzhRT&#10;7W78TddtKESEsE9RgQmhTqX0mSGLvu9q4ujlrrEYomwKqRu8Rbit5FuSDKXFkuOCwZoWhrLT9mIV&#10;VIX/Wo73tPs9bw4mP/5wuc4PSr12288JiEBteIYf7ZVW8D4YfYzh/068AnL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HksYAAADeAAAADwAAAAAAAAAAAAAAAACYAgAAZHJz&#10;L2Rvd25yZXYueG1sUEsFBgAAAAAEAAQA9QAAAIsDAAAAAA==&#10;" path="m503301,l17780,377571c11684,369697,5715,361696,,353440l503301,xe" fillcolor="#4472c4" stroked="f" strokeweight="0">
                  <v:path arrowok="t" textboxrect="0,0,503301,377571"/>
                </v:shape>
                <v:shape id="Shape 41880" o:spid="_x0000_s1851" style="position:absolute;left:30948;top:8268;width:5033;height:3776;visibility:visible;mso-wrap-style:square;v-text-anchor:top" coordsize="503301,37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CzSsQA&#10;AADeAAAADwAAAGRycy9kb3ducmV2LnhtbESPzYrCMBSF98K8Q7gDs9NUGaVUozgDigtBrC5meae5&#10;tsXmpjRRm7c3C8Hl4fzxLVa9acSdOldbVjAeJSCIC6trLhWcT5thCsJ5ZI2NZVIQyMFq+TFYYKbt&#10;g490z30p4gi7DBVU3reZlK6oyKAb2ZY4ehfbGfRRdqXUHT7iuGnkJElm0mDN8aHCln4rKq75zSj4&#10;C8fpZNtc0hB+aH9b//MhOFbq67Nfz0F46v07/GrvtILvcZpGgIgTUU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As0rEAAAA3gAAAA8AAAAAAAAAAAAAAAAAmAIAAGRycy9k&#10;b3ducmV2LnhtbFBLBQYAAAAABAAEAPUAAACJAwAAAAA=&#10;" path="m17780,377571c11684,369697,5715,361696,,353440l503301,,17780,377571xe" filled="f" strokecolor="white" strokeweight="1.56pt">
                  <v:path arrowok="t" textboxrect="0,0,503301,377571"/>
                </v:shape>
                <v:shape id="Shape 41881" o:spid="_x0000_s1852" style="position:absolute;left:28996;top:2891;width:6985;height:8912;visibility:visible;mso-wrap-style:square;v-text-anchor:top" coordsize="698500,891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Kz2sUA&#10;AADeAAAADwAAAGRycy9kb3ducmV2LnhtbESPQWvCQBSE7wX/w/IEb3WTIiVGVxEx4qlFq54f2Wc2&#10;mH0bsluN/vpuodDjMDPfMPNlbxtxo87XjhWk4wQEcel0zZWC41fxmoHwAVlj45gUPMjDcjF4mWOu&#10;3Z33dDuESkQI+xwVmBDaXEpfGrLox64ljt7FdRZDlF0ldYf3CLeNfEuSd2mx5rhgsKW1ofJ6+LYK&#10;TrvnelpsuN5P0uKDP6/ngsxWqdGwX81ABOrDf/ivvdMKJmmWpfB7J14Bu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wrPaxQAAAN4AAAAPAAAAAAAAAAAAAAAAAJgCAABkcnMv&#10;ZG93bnJldi54bWxQSwUGAAAAAAQABAD1AAAAigMAAAAA&#10;" path="m400050,l698500,537718,195199,891159c,613156,67056,229616,345059,34417,362712,21971,381127,10414,400050,xe" fillcolor="#70ad47" stroked="f" strokeweight="0">
                  <v:path arrowok="t" textboxrect="0,0,698500,891159"/>
                </v:shape>
                <v:shape id="Shape 41882" o:spid="_x0000_s1853" style="position:absolute;left:28996;top:2891;width:6985;height:8912;visibility:visible;mso-wrap-style:square;v-text-anchor:top" coordsize="698500,891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qG8cA&#10;AADeAAAADwAAAGRycy9kb3ducmV2LnhtbESPQUvDQBSE74L/YXmCN7tJLXZJuy1twSpID432/sg+&#10;k9Ts27C7pum/dwXB4zAz3zDL9Wg7MZAPrWMN+SQDQVw503Kt4eP9+UGBCBHZYOeYNFwpwHp1e7PE&#10;wrgLH2koYy0ShEOBGpoY+0LKUDVkMUxcT5y8T+ctxiR9LY3HS4LbTk6z7ElabDktNNjTrqHqq/y2&#10;GvzjZr49X8/j236YHV7K/YmVyrW+vxs3CxCRxvgf/mu/Gg2zXKkp/N5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2/KhvHAAAA3gAAAA8AAAAAAAAAAAAAAAAAmAIAAGRy&#10;cy9kb3ducmV2LnhtbFBLBQYAAAAABAAEAPUAAACMAwAAAAA=&#10;" path="m195199,891159c,613156,67056,229616,345059,34417,362712,21971,381127,10414,400050,l698500,537718,195199,891159xe" filled="f" strokecolor="white" strokeweight="1.56pt">
                  <v:path arrowok="t" textboxrect="0,0,698500,891159"/>
                </v:shape>
                <v:shape id="Shape 41883" o:spid="_x0000_s1854" style="position:absolute;left:32996;top:2118;width:2985;height:6150;visibility:visible;mso-wrap-style:square;v-text-anchor:top" coordsize="298450,61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79WMYA&#10;AADeAAAADwAAAGRycy9kb3ducmV2LnhtbESPQWvCQBSE70L/w/IK3nSTGkuIrlIKhR56qYrnR/Y1&#10;G82+TbLbJPXXu4VCj8PMfMNs95NtxEC9rx0rSJcJCOLS6ZorBafj2yIH4QOyxsYxKfghD/vdw2yL&#10;hXYjf9JwCJWIEPYFKjAhtIWUvjRk0S9dSxy9L9dbDFH2ldQ9jhFuG/mUJM/SYs1xwWBLr4bK6+Hb&#10;KjiHtNXT1ciqLrP1R9dd3Cm5KTV/nF42IAJN4T/8137XCrI0z1fweydeAbm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79WMYAAADeAAAADwAAAAAAAAAAAAAAAACYAgAAZHJz&#10;L2Rvd25yZXYueG1sUEsFBgAAAAAEAAQA9QAAAIsDAAAAAA==&#10;" path="m294005,r4445,615062l,77343c90043,27305,191135,762,294005,xe" fillcolor="#255e91" stroked="f" strokeweight="0">
                  <v:path arrowok="t" textboxrect="0,0,298450,615062"/>
                </v:shape>
                <v:shape id="Shape 41884" o:spid="_x0000_s1855" style="position:absolute;left:32996;top:2118;width:2985;height:6150;visibility:visible;mso-wrap-style:square;v-text-anchor:top" coordsize="298450,61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7de8gA&#10;AADeAAAADwAAAGRycy9kb3ducmV2LnhtbESPT2vCQBTE74V+h+UVeqsbiy0xuor0DwrSg1ERb4/s&#10;Mwlm34bdVVM/vSsUehxm5jfMeNqZRpzJ+dqygn4vAUFcWF1zqWCz/n5JQfiArLGxTAp+ycN08vgw&#10;xkzbC6/onIdSRAj7DBVUIbSZlL6oyKDv2ZY4egfrDIYoXSm1w0uEm0a+Jsm7NFhzXKiwpY+KimN+&#10;Mgo+l8NGs/060X7/Nr/Of9xuuXVKPT91sxGIQF34D/+1F1rBoJ+mA7jfiVdAT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Pt17yAAAAN4AAAAPAAAAAAAAAAAAAAAAAJgCAABk&#10;cnMvZG93bnJldi54bWxQSwUGAAAAAAQABAD1AAAAjQMAAAAA&#10;" path="m,77343c90043,27305,191135,762,294005,r4445,615062l,77343xe" filled="f" strokecolor="white" strokeweight="1.56pt">
                  <v:path arrowok="t" textboxrect="0,0,298450,615062"/>
                </v:shape>
                <v:shape id="Shape 41885" o:spid="_x0000_s1856" style="position:absolute;left:35936;top:2118;width:45;height:6150;visibility:visible;mso-wrap-style:square;v-text-anchor:top" coordsize="4445,61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zX1McA&#10;AADeAAAADwAAAGRycy9kb3ducmV2LnhtbESPQUvDQBSE74L/YXmCN7tJ0RLSbktRxIIiGtv7a/Y1&#10;Cc2+TXe3Sfz33YLgcZiZb5jFajSt6Mn5xrKCdJKAIC6tbrhSsP15fchA+ICssbVMCn7Jw2p5e7PA&#10;XNuBv6kvQiUihH2OCuoQulxKX9Zk0E9sRxy9g3UGQ5SuktrhEOGmldMkmUmDDceFGjt6rqk8Fmej&#10;4P1Tuo91+vL21e/L03ko0s2s2il1fzeu5yACjeE//NfeaAWPaZY9wfVOvAJy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M19THAAAA3gAAAA8AAAAAAAAAAAAAAAAAmAIAAGRy&#10;cy9kb3ducmV2LnhtbFBLBQYAAAAABAAEAPUAAACMAwAAAAA=&#10;" path="m,l4445,615062,,xe" filled="f" strokecolor="white" strokeweight="1.56pt">
                  <v:path arrowok="t" textboxrect="0,0,4445,615062"/>
                </v:shape>
                <v:shape id="Shape 41886" o:spid="_x0000_s1857" style="position:absolute;left:35936;top:2118;width:45;height:6150;visibility:visible;mso-wrap-style:square;v-text-anchor:top" coordsize="4445,61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5Jo8cA&#10;AADeAAAADwAAAGRycy9kb3ducmV2LnhtbESPQUvDQBSE7wX/w/KE3tpNpIQQuy1FkRYU0aj3Z/aZ&#10;BLNv091tkv77riD0OMzMN8x6O5lODOR8a1lBukxAEFdWt1wr+Px4WuQgfEDW2FkmBWfysN3czNZY&#10;aDvyOw1lqEWEsC9QQRNCX0jpq4YM+qXtiaP3Y53BEKWrpXY4Rrjp5F2SZNJgy3GhwZ4eGqp+y5NR&#10;8Pwq3csufdy/Dd/V8TSW6SGrv5Sa3067exCBpnAN/7cPWsEqzfMM/u7EK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eSaPHAAAA3gAAAA8AAAAAAAAAAAAAAAAAmAIAAGRy&#10;cy9kb3ducmV2LnhtbFBLBQYAAAAABAAEAPUAAACMAwAAAAA=&#10;" path="m,l4445,615062,,xe" filled="f" strokecolor="white" strokeweight="1.56pt">
                  <v:path arrowok="t" textboxrect="0,0,4445,615062"/>
                </v:shape>
                <v:shape id="Shape 41887" o:spid="_x0000_s1858" style="position:absolute;left:35936;top:2118;width:45;height:6150;visibility:visible;mso-wrap-style:square;v-text-anchor:top" coordsize="4445,61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uj/ccA&#10;AADeAAAADwAAAGRycy9kb3ducmV2LnhtbESPzWrDMBCE74W8g9hAbo2cEFzjRgmhJVDoofmjobfF&#10;2lom1spIquO+fRUo5DjMzDfMcj3YVvTkQ+NYwWyagSCunG64VnA6bh8LECEia2wdk4JfCrBejR6W&#10;WGp35T31h1iLBOFQogITY1dKGSpDFsPUdcTJ+3beYkzS11J7vCa4beU8y3JpseG0YLCjF0PV5fBj&#10;FWQfvj995fvzZ77L9Xt4ZdPbs1KT8bB5BhFpiPfwf/tNK1jMiuIJbnfSFZ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ro/3HAAAA3gAAAA8AAAAAAAAAAAAAAAAAmAIAAGRy&#10;cy9kb3ducmV2LnhtbFBLBQYAAAAABAAEAPUAAACMAwAAAAA=&#10;" path="m,c1524,,3048,,4445,r,615062l,xe" fillcolor="#997300" stroked="f" strokeweight="0">
                  <v:path arrowok="t" textboxrect="0,0,4445,615062"/>
                </v:shape>
                <v:shape id="Shape 41888" o:spid="_x0000_s1859" style="position:absolute;left:35936;top:2118;width:45;height:6150;visibility:visible;mso-wrap-style:square;v-text-anchor:top" coordsize="4445,61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9vhMQA&#10;AADeAAAADwAAAGRycy9kb3ducmV2LnhtbERPzWqDQBC+F/IOyxRya9Y0oVjrGkIlkEPSUu0DDO5E&#10;bd1ZcTdq3j57KPT48f2nu9l0YqTBtZYVrFcRCOLK6pZrBd/l4SkG4Tyyxs4yKbiRg122eEgx0Xbi&#10;LxoLX4sQwi5BBY33fSKlqxoy6Fa2Jw7cxQ4GfYBDLfWAUwg3nXyOohdpsOXQ0GBP7w1Vv8XVKMjz&#10;+OSPnbz95GV1mTeHj9fP81Wp5eO8fwPhafb/4j/3USvYruM47A13whW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fb4TEAAAA3gAAAA8AAAAAAAAAAAAAAAAAmAIAAGRycy9k&#10;b3ducmV2LnhtbFBLBQYAAAAABAAEAPUAAACJAwAAAAA=&#10;" path="m,c1524,,3048,,4445,r,615062l,xe" filled="f" strokecolor="white" strokeweight="1.56pt">
                  <v:path arrowok="t" textboxrect="0,0,4445,615062"/>
                </v:shape>
                <v:shape id="Shape 41889" o:spid="_x0000_s1860" style="position:absolute;left:35981;top:2118;width:0;height:6150;visibility:visible;mso-wrap-style:square;v-text-anchor:top" coordsize="0,61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V6o8UA&#10;AADeAAAADwAAAGRycy9kb3ducmV2LnhtbESP0UoDMRRE34X+Q7gF32xSkbJumxYpVRS00toPuGxu&#10;N4ubmyWJ3fj3RhB8HGbmDLPaZNeLC4XYedYwnykQxI03HbcaTh+PNxWImJAN9p5JwzdF2KwnVyus&#10;jR/5QJdjakWBcKxRg01pqKWMjSWHceYH4uKdfXCYigytNAHHAne9vFVqIR12XBYsDrS11Hwev5yG&#10;rA5vuHtx4zko+bTYv9v9a5e1vp7mhyWIRDn9h//az0bD3byq7uH3Trk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ZXqjxQAAAN4AAAAPAAAAAAAAAAAAAAAAAJgCAABkcnMv&#10;ZG93bnJldi54bWxQSwUGAAAAAAQABAD1AAAAigMAAAAA&#10;" path="m,l,615062,,xe" filled="f" strokecolor="white" strokeweight="1.56pt">
                  <v:path arrowok="t" textboxrect="0,0,0,615062"/>
                </v:shape>
                <v:shape id="Shape 41890" o:spid="_x0000_s1861" style="position:absolute;left:41906;top:9946;width:0;height:5060;visibility:visible;mso-wrap-style:square;v-text-anchor:top" coordsize="0,505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ZEw8MA&#10;AADeAAAADwAAAGRycy9kb3ducmV2LnhtbESPz2rCQBDG74W+wzKFXopuLNUm0VVKJeBV7QMM2TEJ&#10;ZmdDdozRp+8eBI8f3z9+q83oWjVQHxrPBmbTBBRx6W3DlYG/YzFJQQVBtth6JgM3CrBZv76sMLf+&#10;ynsaDlKpOMIhRwO1SJdrHcqaHIap74ijd/K9Q4myr7Tt8RrHXas/k2ShHTYcH2rs6Lem8ny4OAPp&#10;9gMLfZdBb20xfM8lm18WmTHvb+PPEpTQKM/wo72zBr5maRYBIk5EAb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ZEw8MAAADeAAAADwAAAAAAAAAAAAAAAACYAgAAZHJzL2Rv&#10;d25yZXYueG1sUEsFBgAAAAAEAAQA9QAAAIgDAAAAAA==&#10;" path="m,l,505968e" filled="f" strokecolor="#a6a6a6" strokeweight=".72pt">
                  <v:path arrowok="t" textboxrect="0,0,0,505968"/>
                </v:shape>
                <v:shape id="Shape 41891" o:spid="_x0000_s1862" style="position:absolute;left:32046;top:12994;width:0;height:1997;visibility:visible;mso-wrap-style:square;v-text-anchor:top" coordsize="0,199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Yf/MQA&#10;AADeAAAADwAAAGRycy9kb3ducmV2LnhtbESPT4vCMBTE7wt+h/AEb2takVWrUVRQ9LgqiLdH8/oH&#10;m5fSRFu/vVkQ9jjMzG+YxaozlXhS40rLCuJhBII4tbrkXMHlvPuegnAeWWNlmRS8yMFq2ftaYKJt&#10;y7/0PPlcBAi7BBUU3teJlC4tyKAb2po4eJltDPogm1zqBtsAN5UcRdGPNFhyWCiwpm1B6f30MAru&#10;1ZVuWbrBizwcJ5mO9vmk3Ss16HfrOQhPnf8Pf9oHrWAcT2cx/N0JV0Au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GH/zEAAAA3gAAAA8AAAAAAAAAAAAAAAAAmAIAAGRycy9k&#10;b3ducmV2LnhtbFBLBQYAAAAABAAEAPUAAACJAwAAAAA=&#10;" path="m,l,199644e" filled="f" strokecolor="#a6a6a6" strokeweight=".72pt">
                  <v:path arrowok="t" textboxrect="0,0,0,199644"/>
                </v:shape>
                <v:shape id="Shape 41892" o:spid="_x0000_s1863" style="position:absolute;left:30492;top:12263;width:807;height:2895;visibility:visible;mso-wrap-style:square;v-text-anchor:top" coordsize="80772,289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bHZsUA&#10;AADeAAAADwAAAGRycy9kb3ducmV2LnhtbESPT2vCQBTE74LfYXlCb7oxlKKpq4jQIl7Ev/T4yL5m&#10;Q7NvQ3ZN0n76riB4HGbmN8xi1dtKtNT40rGC6SQBQZw7XXKh4Hz6GM9A+ICssXJMCn7Jw2o5HCww&#10;067jA7XHUIgIYZ+hAhNCnUnpc0MW/cTVxNH7do3FEGVTSN1gF+G2kmmSvEmLJccFgzVtDOU/x5tV&#10;0LW7fXfZuz++osTPL7Q706ZKvYz69TuIQH14hh/trVbwOp3NU7jfiVd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sdmxQAAAN4AAAAPAAAAAAAAAAAAAAAAAJgCAABkcnMv&#10;ZG93bnJldi54bWxQSwUGAAAAAAQABAD1AAAAigMAAAAA&#10;" path="m80772,l57912,289561,,289561e" filled="f" strokecolor="#a6a6a6" strokeweight=".72pt">
                  <v:path arrowok="t" textboxrect="0,0,80772,289561"/>
                </v:shape>
                <v:shape id="Shape 41893" o:spid="_x0000_s1864" style="position:absolute;left:30492;top:12095;width:670;height:1737;visibility:visible;mso-wrap-style:square;v-text-anchor:top" coordsize="67056,173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KeMYA&#10;AADeAAAADwAAAGRycy9kb3ducmV2LnhtbESPQUsDMRSE70L/Q3iCN5utirRr01IqgjfZthR6e2ye&#10;m8XNe9sk3a7/3giCx2FmvmGW69F3aqAQW2EDs2kBirgW23Jj4LB/u5+DignZYidMBr4pwno1uVli&#10;aeXKFQ271KgM4ViiAZdSX2oda0ce41R64ux9SvCYsgyNtgGvGe47/VAUz9pjy3nBYU9bR/XX7uIN&#10;SNV6VxXb0/H1HC79Zi/D6UOMubsdNy+gEo3pP/zXfrcGnmbzxSP83slXQK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1+KeMYAAADeAAAADwAAAAAAAAAAAAAAAACYAgAAZHJz&#10;L2Rvd25yZXYueG1sUEsFBgAAAAAEAAQA9QAAAIsDAAAAAA==&#10;" path="m67056,l57912,173737,,173737e" filled="f" strokecolor="#a6a6a6" strokeweight=".72pt">
                  <v:path arrowok="t" textboxrect="0,0,67056,173737"/>
                </v:shape>
                <v:shape id="Shape 41894" o:spid="_x0000_s1865" style="position:absolute;left:32031;top:2311;width:2393;height:15;visibility:visible;mso-wrap-style:square;v-text-anchor:top" coordsize="239268,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W+/8QA&#10;AADeAAAADwAAAGRycy9kb3ducmV2LnhtbESPwWrDMBBE74X+g9hCb42cEBLHtRxKwNTXOGnPi7W1&#10;TK2VseTE/vuqUOhxmJk3TH6cbS9uNPrOsYL1KgFB3DjdcavgeilfUhA+IGvsHZOChTwci8eHHDPt&#10;7nymWx1aESHsM1RgQhgyKX1jyKJfuYE4el9utBiiHFupR7xHuO3lJkl20mLHccHgQCdDzXc9WQXv&#10;bfpJTX24XM207Odq35fBfyj1/DS/vYIINIf/8F+70gq26/Swhd878Qr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Fvv/EAAAA3gAAAA8AAAAAAAAAAAAAAAAAmAIAAGRycy9k&#10;b3ducmV2LnhtbFBLBQYAAAAABAAEAPUAAACJAwAAAAA=&#10;" path="m239268,1524l57912,,,e" filled="f" strokecolor="#a6a6a6" strokeweight=".72pt">
                  <v:path arrowok="t" textboxrect="0,0,239268,1524"/>
                </v:shape>
                <v:shape id="Shape 41895" o:spid="_x0000_s1866" style="position:absolute;left:35948;top:3378;width:3718;height:335;visibility:visible;mso-wrap-style:square;v-text-anchor:top" coordsize="371856,33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phwcgA&#10;AADeAAAADwAAAGRycy9kb3ducmV2LnhtbESPT2vCQBTE70K/w/IKvYhulFo0dRUVxF4UjH/Oj+xr&#10;Nm32bcxuTfrtu4VCj8PM/IaZLztbiTs1vnSsYDRMQBDnTpdcKDiftoMpCB+QNVaOScE3eVguHnpz&#10;TLVr+Uj3LBQiQtinqMCEUKdS+tyQRT90NXH03l1jMUTZFFI32Ea4reQ4SV6kxZLjgsGaNobyz+zL&#10;KlhvDrd2Ndll11v/Y7fv6+PWX4xST4/d6hVEoC78h//ab1rB82g6m8DvnXgF5O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qmHByAAAAN4AAAAPAAAAAAAAAAAAAAAAAJgCAABk&#10;cnMvZG93bnJldi54bWxQSwUGAAAAAAQABAD1AAAAjQMAAAAA&#10;" path="m,33527l313944,r57912,e" filled="f" strokecolor="#a6a6a6" strokeweight=".72pt">
                  <v:path arrowok="t" textboxrect="0,0,371856,33527"/>
                </v:shape>
                <v:shape id="Shape 41896" o:spid="_x0000_s1867" style="position:absolute;left:35932;top:1915;width:1433;height:198;visibility:visible;mso-wrap-style:square;v-text-anchor:top" coordsize="143256,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Ym08cA&#10;AADeAAAADwAAAGRycy9kb3ducmV2LnhtbESPUUvDQBCE34X+h2MLvtlLRUKMvZZSKAqKaBT6uubW&#10;JJrbC3fbNu2v9wTBx2FmvmEWq9H16kAhdp4NzGcZKOLa244bA+9v26sCVBRki71nMnCiCKvl5GKB&#10;pfVHfqVDJY1KEI4lGmhFhlLrWLfkMM78QJy8Tx8cSpKh0TbgMcFdr6+zLNcOO04LLQ60aan+rvbO&#10;wEslX+d8fZKP54A72e2L+/PjkzGX03F9B0polP/wX/vBGriZF7c5/N5JV0Av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ZGJtPHAAAA3gAAAA8AAAAAAAAAAAAAAAAAmAIAAGRy&#10;cy9kb3ducmV2LnhtbFBLBQYAAAAABAAEAPUAAACMAwAAAAA=&#10;" path="m,19812l85344,r57912,e" filled="f" strokecolor="#a6a6a6" strokeweight=".72pt">
                  <v:path arrowok="t" textboxrect="0,0,143256,19812"/>
                </v:shape>
                <v:shape id="Shape 41897" o:spid="_x0000_s1868" style="position:absolute;left:35094;top:863;width:869;height:1250;visibility:visible;mso-wrap-style:square;v-text-anchor:top" coordsize="86868,124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rWb8gA&#10;AADeAAAADwAAAGRycy9kb3ducmV2LnhtbESPQUvDQBSE7wX/w/IEb82mItrGbktRCvYgpdEevD2z&#10;r9lg9m3Ibjfx37sFocdhZr5hluvRtiJS7xvHCmZZDoK4crrhWsHnx3Y6B+EDssbWMSn4JQ/r1c1k&#10;iYV2Ax8olqEWCcK+QAUmhK6Q0leGLPrMdcTJO7neYkiyr6XucUhw28r7PH+UFhtOCwY7ejFU/ZRn&#10;qyDEc3wtdzjs9fEUN9/1zmzfv5S6ux03zyACjeEa/m+/aQUPs/niCS530hW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mtZvyAAAAN4AAAAPAAAAAAAAAAAAAAAAAJgCAABk&#10;cnMvZG93bnJldi54bWxQSwUGAAAAAAQABAD1AAAAjQMAAAAA&#10;" path="m86868,124968l57912,,,e" filled="f" strokecolor="#a6a6a6" strokeweight=".72pt">
                  <v:path arrowok="t" textboxrect="0,0,86868,124968"/>
                </v:shape>
                <v:shape id="Shape 41898" o:spid="_x0000_s1869" style="position:absolute;left:35978;top:1168;width:0;height:945;visibility:visible;mso-wrap-style:square;v-text-anchor:top" coordsize="0,94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xNVcMA&#10;AADeAAAADwAAAGRycy9kb3ducmV2LnhtbERPPW/CMBDdkfofrKvUDRxQiyDFoAoJlaEDhA4dT/E1&#10;jhqfo5wJ7r+vh0qMT+97s0u+UyMN0gY2MJ8VoIjrYFtuDHxeDtMVKInIFrvAZOCXBHbbh8kGSxtu&#10;fKaxio3KISwlGnAx9qXWUjvyKLPQE2fuOwweY4ZDo+2AtxzuO70oiqX22HJucNjT3lH9U129gQ8R&#10;9xKOX+v3haR0Sm7vLmNlzNNjensFFSnFu/jffbQGnuerdd6b7+Qro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xNVcMAAADeAAAADwAAAAAAAAAAAAAAAACYAgAAZHJzL2Rv&#10;d25yZXYueG1sUEsFBgAAAAAEAAQA9QAAAIgDAAAAAA==&#10;" path="m,94488l,e" filled="f" strokecolor="#a6a6a6" strokeweight=".72pt">
                  <v:path arrowok="t" textboxrect="0,0,0,94488"/>
                </v:shape>
                <v:rect id="Rectangle 761516" o:spid="_x0000_s1870" style="position:absolute;left:41343;top:15231;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JGFcgA&#10;AADfAAAADwAAAGRycy9kb3ducmV2LnhtbESPT2vCQBTE74LfYXlCb7pJwVSjq4i16LH+AfX2yD6T&#10;YPZtyG5N2k/fLRQ8DjPzG2a+7EwlHtS40rKCeBSBIM6sLjlXcDp+DCcgnEfWWFkmBd/kYLno9+aY&#10;atvynh4Hn4sAYZeigsL7OpXSZQUZdCNbEwfvZhuDPsgml7rBNsBNJV+jKJEGSw4LBda0Lii7H76M&#10;gu2kXl129qfNq811e/48T9+PU6/Uy6BbzUB46vwz/N/eaQVvSTyOE/j7E7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7okYVyAAAAN8AAAAPAAAAAAAAAAAAAAAAAJgCAABk&#10;cnMvZG93bnJldi54bWxQSwUGAAAAAAQABAD1AAAAjQMAAAAA&#10;" filled="f" stroked="f">
                  <v:textbox inset="0,0,0,0">
                    <w:txbxContent>
                      <w:p w14:paraId="52AD5724" w14:textId="77777777" w:rsidR="0014164F" w:rsidRDefault="0014164F" w:rsidP="006D5692">
                        <w:r>
                          <w:rPr>
                            <w:rFonts w:ascii="Calibri" w:hAnsi="Calibri" w:cs="Calibri"/>
                            <w:color w:val="404040"/>
                            <w:sz w:val="18"/>
                          </w:rPr>
                          <w:t>%</w:t>
                        </w:r>
                      </w:p>
                    </w:txbxContent>
                  </v:textbox>
                </v:rect>
                <v:rect id="Rectangle 761515" o:spid="_x0000_s1871" style="position:absolute;left:38737;top:15231;width:346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DYYsgA&#10;AADfAAAADwAAAGRycy9kb3ducmV2LnhtbESPW2vCQBSE3wX/w3KEvukmgrfUVUQt+lgvoH07ZE+T&#10;0OzZkN2a1F/vFgQfh5n5hpkvW1OKG9WusKwgHkQgiFOrC84UnE8f/SkI55E1lpZJwR85WC66nTkm&#10;2jZ8oNvRZyJA2CWoIPe+SqR0aU4G3cBWxMH7trVBH2SdSV1jE+CmlMMoGkuDBYeFHCta55T+HH+N&#10;gt20Wl339t5k5fZrd/m8zDanmVfqrdeu3kF4av0r/GzvtYLJOB7FI/j/E76AXD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cNhiyAAAAN8AAAAPAAAAAAAAAAAAAAAAAJgCAABk&#10;cnMvZG93bnJldi54bWxQSwUGAAAAAAQABAD1AAAAjQMAAAAA&#10;" filled="f" stroked="f">
                  <v:textbox inset="0,0,0,0">
                    <w:txbxContent>
                      <w:p w14:paraId="721F60A0" w14:textId="77777777" w:rsidR="0014164F" w:rsidRDefault="0014164F" w:rsidP="006D5692">
                        <w:r>
                          <w:rPr>
                            <w:rFonts w:ascii="Calibri" w:hAnsi="Calibri" w:cs="Calibri"/>
                            <w:color w:val="404040"/>
                            <w:sz w:val="18"/>
                          </w:rPr>
                          <w:t>58.76</w:t>
                        </w:r>
                      </w:p>
                    </w:txbxContent>
                  </v:textbox>
                </v:rect>
                <v:rect id="Rectangle 761514" o:spid="_x0000_s1872" style="position:absolute;left:32414;top:15215;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x9+ckA&#10;AADfAAAADwAAAGRycy9kb3ducmV2LnhtbESPQWvCQBSE74X+h+UVvNVNirUas4pURY+tCtHbI/ua&#10;hGbfhuxqUn99Vyj0OMzMN0y66E0trtS6yrKCeBiBIM6trrhQcDxsnicgnEfWWFsmBT/kYDF/fEgx&#10;0bbjT7rufSEChF2CCkrvm0RKl5dk0A1tQxy8L9sa9EG2hdQtdgFuavkSRWNpsOKwUGJD7yXl3/uL&#10;UbCdNMvTzt66ol6ft9lHNl0dpl6pwVO/nIHw1Pv/8F97pxW8jePXeAT3P+ELyP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Dx9+ckAAADfAAAADwAAAAAAAAAAAAAAAACYAgAA&#10;ZHJzL2Rvd25yZXYueG1sUEsFBgAAAAAEAAQA9QAAAI4DAAAAAA==&#10;" filled="f" stroked="f">
                  <v:textbox inset="0,0,0,0">
                    <w:txbxContent>
                      <w:p w14:paraId="59EFD135" w14:textId="77777777" w:rsidR="0014164F" w:rsidRDefault="0014164F" w:rsidP="006D5692">
                        <w:r>
                          <w:rPr>
                            <w:rFonts w:ascii="Calibri" w:hAnsi="Calibri" w:cs="Calibri"/>
                            <w:color w:val="404040"/>
                            <w:sz w:val="18"/>
                          </w:rPr>
                          <w:t>%</w:t>
                        </w:r>
                      </w:p>
                    </w:txbxContent>
                  </v:textbox>
                </v:rect>
                <v:rect id="Rectangle 761513" o:spid="_x0000_s1873" style="position:absolute;left:30388;top:15215;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XljckA&#10;AADfAAAADwAAAGRycy9kb3ducmV2LnhtbESPQWvCQBSE74X+h+UVvNVNKrUas4pURY+tCtHbI/ua&#10;hGbfhuxqUn99Vyj0OMzMN0y66E0trtS6yrKCeBiBIM6trrhQcDxsnicgnEfWWFsmBT/kYDF/fEgx&#10;0bbjT7rufSEChF2CCkrvm0RKl5dk0A1tQxy8L9sa9EG2hdQtdgFuavkSRWNpsOKwUGJD7yXl3/uL&#10;UbCdNMvTzt66ol6ft9lHNl0dpl6pwVO/nIHw1Pv/8F97pxW8jePXeAT3P+ELyPk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9XljckAAADfAAAADwAAAAAAAAAAAAAAAACYAgAA&#10;ZHJzL2Rvd25yZXYueG1sUEsFBgAAAAAEAAQA9QAAAI4DAAAAAA==&#10;" filled="f" stroked="f">
                  <v:textbox inset="0,0,0,0">
                    <w:txbxContent>
                      <w:p w14:paraId="25157754" w14:textId="77777777" w:rsidR="0014164F" w:rsidRDefault="0014164F" w:rsidP="006D5692">
                        <w:r>
                          <w:rPr>
                            <w:rFonts w:ascii="Calibri" w:hAnsi="Calibri" w:cs="Calibri"/>
                            <w:color w:val="404040"/>
                            <w:sz w:val="18"/>
                          </w:rPr>
                          <w:t>4.56</w:t>
                        </w:r>
                      </w:p>
                    </w:txbxContent>
                  </v:textbox>
                </v:rect>
                <v:rect id="Rectangle 761511" o:spid="_x0000_s1874" style="position:absolute;left:27370;top:14295;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veYckA&#10;AADfAAAADwAAAGRycy9kb3ducmV2LnhtbESPW2vCQBSE3wv9D8sp+NZsUqiX6CrSC/ropRB9O2SP&#10;SWj2bMiuJvXXu4LQx2FmvmFmi97U4kKtqywrSKIYBHFudcWFgp/99+sYhPPIGmvLpOCPHCzmz08z&#10;TLXteEuXnS9EgLBLUUHpfZNK6fKSDLrINsTBO9nWoA+yLaRusQtwU8u3OB5KgxWHhRIb+igp/92d&#10;jYLVuFke1vbaFfXXcZVtssnnfuKVGrz0yykIT73/Dz/aa61gNEzekwTuf8IXkPM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EveYckAAADfAAAADwAAAAAAAAAAAAAAAACYAgAA&#10;ZHJzL2Rvd25yZXYueG1sUEsFBgAAAAAEAAQA9QAAAI4DAAAAAA==&#10;" filled="f" stroked="f">
                  <v:textbox inset="0,0,0,0">
                    <w:txbxContent>
                      <w:p w14:paraId="752CE796" w14:textId="77777777" w:rsidR="0014164F" w:rsidRDefault="0014164F" w:rsidP="006D5692">
                        <w:r>
                          <w:rPr>
                            <w:rFonts w:ascii="Calibri" w:hAnsi="Calibri" w:cs="Calibri"/>
                            <w:color w:val="404040"/>
                            <w:sz w:val="18"/>
                          </w:rPr>
                          <w:t>0.86</w:t>
                        </w:r>
                      </w:p>
                    </w:txbxContent>
                  </v:textbox>
                </v:rect>
                <v:rect id="Rectangle 761512" o:spid="_x0000_s1875" style="position:absolute;left:29397;top:14295;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lAFsgA&#10;AADfAAAADwAAAGRycy9kb3ducmV2LnhtbESPQWvCQBSE70L/w/IKvekmQqOmWUXaih6tFtLeHtnX&#10;JDT7NmS3JvrrXUHocZiZb5hsNZhGnKhztWUF8SQCQVxYXXOp4PO4Gc9BOI+ssbFMCs7kYLV8GGWY&#10;atvzB50OvhQBwi5FBZX3bSqlKyoy6Ca2JQ7ej+0M+iC7UuoO+wA3jZxGUSIN1hwWKmzptaLi9/Bn&#10;FGzn7fprZy992bx/b/N9vng7LrxST4/D+gWEp8H/h+/tnVYwS+LneAq3P+ELyOUV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mUAWyAAAAN8AAAAPAAAAAAAAAAAAAAAAAJgCAABk&#10;cnMvZG93bnJldi54bWxQSwUGAAAAAAQABAD1AAAAjQMAAAAA&#10;" filled="f" stroked="f">
                  <v:textbox inset="0,0,0,0">
                    <w:txbxContent>
                      <w:p w14:paraId="3B520B12" w14:textId="77777777" w:rsidR="0014164F" w:rsidRDefault="0014164F" w:rsidP="006D5692">
                        <w:r>
                          <w:rPr>
                            <w:rFonts w:ascii="Calibri" w:hAnsi="Calibri" w:cs="Calibri"/>
                            <w:color w:val="404040"/>
                            <w:sz w:val="18"/>
                          </w:rPr>
                          <w:t>%</w:t>
                        </w:r>
                      </w:p>
                    </w:txbxContent>
                  </v:textbox>
                </v:rect>
                <v:rect id="Rectangle 761507" o:spid="_x0000_s1876" style="position:absolute;left:29397;top:1296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d1U8cA&#10;AADfAAAADwAAAGRycy9kb3ducmV2LnhtbESPS4vCQBCE78L+h6EXvOlEwVd0FPGBHn2BemsyvUnY&#10;TE/IjCa7v35nQfBYVNVX1GzRmEI8qXK5ZQW9bgSCOLE651TB5bztjEE4j6yxsEwKfsjBYv7RmmGs&#10;bc1Hep58KgKEXYwKMu/LWEqXZGTQdW1JHLwvWxn0QVap1BXWAW4K2Y+ioTSYc1jIsKRVRsn36WEU&#10;7Mbl8ra3v3VabO676+E6WZ8nXqn2Z7OcgvDU+Hf41d5rBaNhbxCN4P9P+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E3dVPHAAAA3wAAAA8AAAAAAAAAAAAAAAAAmAIAAGRy&#10;cy9kb3ducmV2LnhtbFBLBQYAAAAABAAEAPUAAACMAwAAAAA=&#10;" filled="f" stroked="f">
                  <v:textbox inset="0,0,0,0">
                    <w:txbxContent>
                      <w:p w14:paraId="15DF9EC5" w14:textId="77777777" w:rsidR="0014164F" w:rsidRDefault="0014164F" w:rsidP="006D5692">
                        <w:r>
                          <w:rPr>
                            <w:rFonts w:ascii="Calibri" w:hAnsi="Calibri" w:cs="Calibri"/>
                            <w:color w:val="404040"/>
                            <w:sz w:val="18"/>
                          </w:rPr>
                          <w:t>%</w:t>
                        </w:r>
                      </w:p>
                    </w:txbxContent>
                  </v:textbox>
                </v:rect>
                <v:rect id="Rectangle 761505" o:spid="_x0000_s1877" style="position:absolute;left:27370;top:12969;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lOv8gA&#10;AADfAAAADwAAAGRycy9kb3ducmV2LnhtbESPS4vCQBCE7wv+h6GFva0TBV/RUcQHevSx4HprMr1J&#10;2ExPyMya6K93BMFjUVVfUdN5YwpxpcrllhV0OxEI4sTqnFMF36fN1wiE88gaC8uk4EYO5rPWxxRj&#10;bWs+0PXoUxEg7GJUkHlfxlK6JCODrmNL4uD92sqgD7JKpa6wDnBTyF4UDaTBnMNChiUtM0r+jv9G&#10;wXZULn529l6nxfqyPe/P49Vp7JX6bDeLCQhPjX+HX+2dVjAcdPtRH55/wheQs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qU6/yAAAAN8AAAAPAAAAAAAAAAAAAAAAAJgCAABk&#10;cnMvZG93bnJldi54bWxQSwUGAAAAAAQABAD1AAAAjQMAAAAA&#10;" filled="f" stroked="f">
                  <v:textbox inset="0,0,0,0">
                    <w:txbxContent>
                      <w:p w14:paraId="678C72B4" w14:textId="77777777" w:rsidR="0014164F" w:rsidRDefault="0014164F" w:rsidP="006D5692">
                        <w:r>
                          <w:rPr>
                            <w:rFonts w:ascii="Calibri" w:hAnsi="Calibri" w:cs="Calibri"/>
                            <w:color w:val="404040"/>
                            <w:sz w:val="18"/>
                          </w:rPr>
                          <w:t>0.31</w:t>
                        </w:r>
                      </w:p>
                    </w:txbxContent>
                  </v:textbox>
                </v:rect>
                <v:rect id="Rectangle 761503" o:spid="_x0000_s1878" style="position:absolute;left:27370;top:10811;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xzUMgA&#10;AADfAAAADwAAAGRycy9kb3ducmV2LnhtbESPQWvCQBSE70L/w/KE3nSjRWuiq4ht0WOrQvT2yD6T&#10;0OzbkN2a6K/vCoUeh5n5hlmsOlOJKzWutKxgNIxAEGdWl5wrOB4+BjMQziNrrCyTghs5WC2fegtM&#10;tG35i657n4sAYZeggsL7OpHSZQUZdENbEwfvYhuDPsgml7rBNsBNJcdRNJUGSw4LBda0KSj73v8Y&#10;BdtZvT7t7L3Nq/fzNv1M47dD7JV67nfrOQhPnf8P/7V3WsHrdDSJXuDxJ3w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DHNQyAAAAN8AAAAPAAAAAAAAAAAAAAAAAJgCAABk&#10;cnMvZG93bnJldi54bWxQSwUGAAAAAAQABAD1AAAAjQMAAAAA&#10;" filled="f" stroked="f">
                  <v:textbox inset="0,0,0,0">
                    <w:txbxContent>
                      <w:p w14:paraId="71E0BD78" w14:textId="77777777" w:rsidR="0014164F" w:rsidRDefault="0014164F" w:rsidP="006D5692">
                        <w:r>
                          <w:rPr>
                            <w:rFonts w:ascii="Calibri" w:hAnsi="Calibri" w:cs="Calibri"/>
                            <w:color w:val="404040"/>
                            <w:sz w:val="18"/>
                          </w:rPr>
                          <w:t>0.78</w:t>
                        </w:r>
                      </w:p>
                    </w:txbxContent>
                  </v:textbox>
                </v:rect>
                <v:rect id="Rectangle 761504" o:spid="_x0000_s1879" style="position:absolute;left:29397;top:10811;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XrJMgA&#10;AADfAAAADwAAAGRycy9kb3ducmV2LnhtbESPQWvCQBSE70L/w/KE3nSjVGuiq4ht0WOrQvT2yD6T&#10;0OzbkN2a6K/vCoUeh5n5hlmsOlOJKzWutKxgNIxAEGdWl5wrOB4+BjMQziNrrCyTghs5WC2fegtM&#10;tG35i657n4sAYZeggsL7OpHSZQUZdENbEwfvYhuDPsgml7rBNsBNJcdRNJUGSw4LBda0KSj73v8Y&#10;BdtZvT7t7L3Nq/fzNv1M47dD7JV67nfrOQhPnf8P/7V3WsHrdDSJXuDxJ3w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5eskyAAAAN8AAAAPAAAAAAAAAAAAAAAAAJgCAABk&#10;cnMvZG93bnJldi54bWxQSwUGAAAAAAQABAD1AAAAjQMAAAAA&#10;" filled="f" stroked="f">
                  <v:textbox inset="0,0,0,0">
                    <w:txbxContent>
                      <w:p w14:paraId="62760847" w14:textId="77777777" w:rsidR="0014164F" w:rsidRDefault="0014164F" w:rsidP="006D5692">
                        <w:r>
                          <w:rPr>
                            <w:rFonts w:ascii="Calibri" w:hAnsi="Calibri" w:cs="Calibri"/>
                            <w:color w:val="404040"/>
                            <w:sz w:val="18"/>
                          </w:rPr>
                          <w:t>%</w:t>
                        </w:r>
                      </w:p>
                    </w:txbxContent>
                  </v:textbox>
                </v:rect>
                <v:rect id="Rectangle 761497" o:spid="_x0000_s1880" style="position:absolute;left:33204;top:6953;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zvSckA&#10;AADfAAAADwAAAGRycy9kb3ducmV2LnhtbESPW2vCQBSE3wX/w3KEvulGKdGkriJe0EcvBdu3Q/Y0&#10;Cc2eDdnVpP313YLg4zAz3zDzZWcqcafGlZYVjEcRCOLM6pJzBe+X3XAGwnlkjZVlUvBDDpaLfm+O&#10;qbYtn+h+9rkIEHYpKii8r1MpXVaQQTeyNXHwvmxj0AfZ5FI32Aa4qeQkimJpsOSwUGBN64Ky7/PN&#10;KNjP6tXHwf62ebX93F+P12RzSbxSL4Nu9QbCU+ef4Uf7oBVM4/FrMoX/P+ELyM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9zvSckAAADfAAAADwAAAAAAAAAAAAAAAACYAgAA&#10;ZHJzL2Rvd25yZXYueG1sUEsFBgAAAAAEAAQA9QAAAI4DAAAAAA==&#10;" filled="f" stroked="f">
                  <v:textbox inset="0,0,0,0">
                    <w:txbxContent>
                      <w:p w14:paraId="5B5F578C" w14:textId="77777777" w:rsidR="0014164F" w:rsidRDefault="0014164F" w:rsidP="006D5692">
                        <w:r>
                          <w:rPr>
                            <w:rFonts w:ascii="Calibri" w:hAnsi="Calibri" w:cs="Calibri"/>
                            <w:color w:val="404040"/>
                            <w:sz w:val="18"/>
                          </w:rPr>
                          <w:t>%</w:t>
                        </w:r>
                      </w:p>
                    </w:txbxContent>
                  </v:textbox>
                </v:rect>
                <v:rect id="Rectangle 761496" o:spid="_x0000_s1881" style="position:absolute;left:30598;top:6953;width:346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BK0sgA&#10;AADfAAAADwAAAGRycy9kb3ducmV2LnhtbESPT2vCQBTE74LfYXlCb7qxSGqiq4i16LH+AfX2yD6T&#10;YPZtyG5N2k/fLRQ8DjPzG2a+7EwlHtS40rKC8SgCQZxZXXKu4HT8GE5BOI+ssbJMCr7JwXLR780x&#10;1bblPT0OPhcBwi5FBYX3dSqlywoy6Ea2Jg7ezTYGfZBNLnWDbYCbSr5GUSwNlhwWCqxpXVB2P3wZ&#10;Bdtpvbrs7E+bV5vr9vx5Tt6PiVfqZdCtZiA8df4Z/m/vtIK3eDxJYvj7E7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kErSyAAAAN8AAAAPAAAAAAAAAAAAAAAAAJgCAABk&#10;cnMvZG93bnJldi54bWxQSwUGAAAAAAQABAD1AAAAjQMAAAAA&#10;" filled="f" stroked="f">
                  <v:textbox inset="0,0,0,0">
                    <w:txbxContent>
                      <w:p w14:paraId="065353F4" w14:textId="77777777" w:rsidR="0014164F" w:rsidRDefault="0014164F" w:rsidP="006D5692">
                        <w:r>
                          <w:rPr>
                            <w:rFonts w:ascii="Calibri" w:hAnsi="Calibri" w:cs="Calibri"/>
                            <w:color w:val="404040"/>
                            <w:sz w:val="18"/>
                          </w:rPr>
                          <w:t>26.68</w:t>
                        </w:r>
                      </w:p>
                    </w:txbxContent>
                  </v:textbox>
                </v:rect>
                <v:rect id="Rectangle 761480" o:spid="_x0000_s1882" style="position:absolute;left:31034;top:1447;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zh4McA&#10;AADfAAAADwAAAGRycy9kb3ducmV2LnhtbESPzWrCQBSF94W+w3AL3dWJUmyMjiK2JVnaRFB3l8w1&#10;CWbuhMzUpH16Z1Ho8nD++Fab0bTiRr1rLCuYTiIQxKXVDVcKDsXnSwzCeWSNrWVS8EMONuvHhxUm&#10;2g78RbfcVyKMsEtQQe19l0jpypoMuontiIN3sb1BH2RfSd3jEMZNK2dRNJcGGw4PNXa0q6m85t9G&#10;QRp321Nmf4eq/Tinx/1x8V4svFLPT+N2CcLT6P/Df+1MK3ibT1/jQBB4AgvI9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Xs4eDHAAAA3wAAAA8AAAAAAAAAAAAAAAAAmAIAAGRy&#10;cy9kb3ducmV2LnhtbFBLBQYAAAAABAAEAPUAAACMAwAAAAA=&#10;" filled="f" stroked="f">
                  <v:textbox inset="0,0,0,0">
                    <w:txbxContent>
                      <w:p w14:paraId="340A37D9" w14:textId="77777777" w:rsidR="0014164F" w:rsidRDefault="0014164F" w:rsidP="006D5692">
                        <w:r>
                          <w:rPr>
                            <w:rFonts w:ascii="Calibri" w:hAnsi="Calibri" w:cs="Calibri"/>
                            <w:color w:val="404040"/>
                            <w:sz w:val="18"/>
                          </w:rPr>
                          <w:t>%</w:t>
                        </w:r>
                      </w:p>
                    </w:txbxContent>
                  </v:textbox>
                </v:rect>
                <v:rect id="Rectangle 761479" o:spid="_x0000_s1883" style="position:absolute;left:29007;top:1447;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M4WskA&#10;AADfAAAADwAAAGRycy9kb3ducmV2LnhtbESPW2vCQBSE3wX/w3KEvulGKdGkriJe0EcvBdu3Q/Y0&#10;Cc2eDdnVpP313YLg4zAz3zDzZWcqcafGlZYVjEcRCOLM6pJzBe+X3XAGwnlkjZVlUvBDDpaLfm+O&#10;qbYtn+h+9rkIEHYpKii8r1MpXVaQQTeyNXHwvmxj0AfZ5FI32Aa4qeQkimJpsOSwUGBN64Ky7/PN&#10;KNjP6tXHwf62ebX93F+P12RzSbxSL4Nu9QbCU+ef4Uf7oBVM4/HrNIH/P+ELyM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QM4WskAAADfAAAADwAAAAAAAAAAAAAAAACYAgAA&#10;ZHJzL2Rvd25yZXYueG1sUEsFBgAAAAAEAAQA9QAAAI4DAAAAAA==&#10;" filled="f" stroked="f">
                  <v:textbox inset="0,0,0,0">
                    <w:txbxContent>
                      <w:p w14:paraId="256CB636" w14:textId="77777777" w:rsidR="0014164F" w:rsidRDefault="0014164F" w:rsidP="006D5692">
                        <w:r>
                          <w:rPr>
                            <w:rFonts w:ascii="Calibri" w:hAnsi="Calibri" w:cs="Calibri"/>
                            <w:color w:val="404040"/>
                            <w:sz w:val="18"/>
                          </w:rPr>
                          <w:t>7.95</w:t>
                        </w:r>
                      </w:p>
                    </w:txbxContent>
                  </v:textbox>
                </v:rect>
                <v:rect id="Rectangle 761490" o:spid="_x0000_s1884" style="position:absolute;left:39864;top:2518;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V3PccA&#10;AADfAAAADwAAAGRycy9kb3ducmV2LnhtbESPzWrCQBSF94W+w3AL3TWTlGJNdJRQFV1WLaTuLpnb&#10;JDRzJ2RGE336zqLg8nD++ObL0bTiQr1rLCtIohgEcWl1w5WCr+PmZQrCeWSNrWVScCUHy8Xjwxwz&#10;bQfe0+XgKxFG2GWooPa+y6R0ZU0GXWQ74uD92N6gD7KvpO5xCOOmla9xPJEGGw4PNXb0UVP5ezgb&#10;Bdtpl3/v7G2o2vVpW3wW6eqYeqWen8Z8BsLT6O/h//ZOK3ifJG9pIAg8gQX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1dz3HAAAA3wAAAA8AAAAAAAAAAAAAAAAAmAIAAGRy&#10;cy9kb3ducmV2LnhtbFBLBQYAAAAABAAEAPUAAACMAwAAAAA=&#10;" filled="f" stroked="f">
                  <v:textbox inset="0,0,0,0">
                    <w:txbxContent>
                      <w:p w14:paraId="79646DC3" w14:textId="77777777" w:rsidR="0014164F" w:rsidRDefault="0014164F" w:rsidP="006D5692">
                        <w:r>
                          <w:rPr>
                            <w:rFonts w:ascii="Calibri" w:hAnsi="Calibri" w:cs="Calibri"/>
                            <w:color w:val="404040"/>
                            <w:sz w:val="18"/>
                          </w:rPr>
                          <w:t>0.00</w:t>
                        </w:r>
                      </w:p>
                    </w:txbxContent>
                  </v:textbox>
                </v:rect>
                <v:rect id="Rectangle 761491" o:spid="_x0000_s1885" style="position:absolute;left:41891;top:2518;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nSpsgA&#10;AADfAAAADwAAAGRycy9kb3ducmV2LnhtbESPT2vCQBTE74LfYXlCb7pJEWuiq4i16LH+AfX2yD6T&#10;YPZtyG5N2k/fLRQ8DjPzG2a+7EwlHtS40rKCeBSBIM6sLjlXcDp+DKcgnEfWWFkmBd/kYLno9+aY&#10;atvynh4Hn4sAYZeigsL7OpXSZQUZdCNbEwfvZhuDPsgml7rBNsBNJV+jaCINlhwWCqxpXVB2P3wZ&#10;Bdtpvbrs7E+bV5vr9vx5Tt6PiVfqZdCtZiA8df4Z/m/vtIK3STxOYvj7E76AX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vedKmyAAAAN8AAAAPAAAAAAAAAAAAAAAAAJgCAABk&#10;cnMvZG93bnJldi54bWxQSwUGAAAAAAQABAD1AAAAjQMAAAAA&#10;" filled="f" stroked="f">
                  <v:textbox inset="0,0,0,0">
                    <w:txbxContent>
                      <w:p w14:paraId="0583FDDE" w14:textId="77777777" w:rsidR="0014164F" w:rsidRDefault="0014164F" w:rsidP="006D5692">
                        <w:r>
                          <w:rPr>
                            <w:rFonts w:ascii="Calibri" w:hAnsi="Calibri" w:cs="Calibri"/>
                            <w:color w:val="404040"/>
                            <w:sz w:val="18"/>
                          </w:rPr>
                          <w:t>%</w:t>
                        </w:r>
                      </w:p>
                    </w:txbxContent>
                  </v:textbox>
                </v:rect>
                <v:rect id="Rectangle 761482" o:spid="_x0000_s1886" style="position:absolute;left:39587;top:104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aDMgA&#10;AADfAAAADwAAAGRycy9kb3ducmV2LnhtbESPQWvCQBSE7wX/w/KE3upGEY2pq4ha9GijoL09sq9J&#10;aPZtyG5N6q93BaHHYWa+YebLzlTiSo0rLSsYDiIQxJnVJecKTsePtxiE88gaK8uk4I8cLBe9lzkm&#10;2rb8SdfU5yJA2CWooPC+TqR0WUEG3cDWxMH7to1BH2STS91gG+CmkqMomkiDJYeFAmtaF5T9pL9G&#10;wS6uV5e9vbV5tf3anQ/n2eY480q99rvVOwhPnf8PP9t7rWA6GY7jETz+hC8gF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ctoMyAAAAN8AAAAPAAAAAAAAAAAAAAAAAJgCAABk&#10;cnMvZG93bnJldi54bWxQSwUGAAAAAAQABAD1AAAAjQMAAAAA&#10;" filled="f" stroked="f">
                  <v:textbox inset="0,0,0,0">
                    <w:txbxContent>
                      <w:p w14:paraId="56B1BDCA" w14:textId="77777777" w:rsidR="0014164F" w:rsidRDefault="0014164F" w:rsidP="006D5692">
                        <w:r>
                          <w:rPr>
                            <w:rFonts w:ascii="Calibri" w:hAnsi="Calibri" w:cs="Calibri"/>
                            <w:color w:val="404040"/>
                            <w:sz w:val="18"/>
                          </w:rPr>
                          <w:t>%</w:t>
                        </w:r>
                      </w:p>
                    </w:txbxContent>
                  </v:textbox>
                </v:rect>
                <v:rect id="Rectangle 761481" o:spid="_x0000_s1887" style="position:absolute;left:37561;top:1049;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BEe8gA&#10;AADfAAAADwAAAGRycy9kb3ducmV2LnhtbESPT2vCQBTE7wW/w/IK3uomUjRGVxFt0aN/Cra3R/aZ&#10;hGbfhuxqUj+9Kwg9DjPzG2a26EwlrtS40rKCeBCBIM6sLjlX8HX8fEtAOI+ssbJMCv7IwWLee5lh&#10;qm3Le7oefC4ChF2KCgrv61RKlxVk0A1sTRy8s20M+iCbXOoG2wA3lRxG0UgaLDksFFjTqqDs93Ax&#10;CjZJvfze2lubVx8/m9PuNFkfJ16p/mu3nILw1Pn/8LO91QrGo/g9ieHxJ3wBOb8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oER7yAAAAN8AAAAPAAAAAAAAAAAAAAAAAJgCAABk&#10;cnMvZG93bnJldi54bWxQSwUGAAAAAAQABAD1AAAAjQMAAAAA&#10;" filled="f" stroked="f">
                  <v:textbox inset="0,0,0,0">
                    <w:txbxContent>
                      <w:p w14:paraId="2CCC2BC0" w14:textId="77777777" w:rsidR="0014164F" w:rsidRDefault="0014164F" w:rsidP="006D5692">
                        <w:r>
                          <w:rPr>
                            <w:rFonts w:ascii="Calibri" w:hAnsi="Calibri" w:cs="Calibri"/>
                            <w:color w:val="404040"/>
                            <w:sz w:val="18"/>
                          </w:rPr>
                          <w:t>0.00</w:t>
                        </w:r>
                      </w:p>
                    </w:txbxContent>
                  </v:textbox>
                </v:rect>
                <v:rect id="Rectangle 761475" o:spid="_x0000_s1888" style="position:absolute;left:34101;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4yX8kA&#10;AADfAAAADwAAAGRycy9kb3ducmV2LnhtbESPW2vCQBSE34X+h+UUfNNNivWSZhXpBX20WlDfDtnT&#10;JDR7NmS3JvrrXUHwcZiZb5h00ZlKnKhxpWUF8TACQZxZXXKu4Gf3NZiCcB5ZY2WZFJzJwWL+1Esx&#10;0bblbzptfS4ChF2CCgrv60RKlxVk0A1tTRy8X9sY9EE2udQNtgFuKvkSRWNpsOSwUGBN7wVlf9t/&#10;o2A1rZeHtb20efV5XO03+9nHbuaV6j93yzcQnjr/CN/ba61gMo5Hk1e4/QlfQM6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E4yX8kAAADfAAAADwAAAAAAAAAAAAAAAACYAgAA&#10;ZHJzL2Rvd25yZXYueG1sUEsFBgAAAAAEAAQA9QAAAI4DAAAAAA==&#10;" filled="f" stroked="f">
                  <v:textbox inset="0,0,0,0">
                    <w:txbxContent>
                      <w:p w14:paraId="248FB107" w14:textId="77777777" w:rsidR="0014164F" w:rsidRDefault="0014164F" w:rsidP="006D5692">
                        <w:r>
                          <w:rPr>
                            <w:rFonts w:ascii="Calibri" w:hAnsi="Calibri" w:cs="Calibri"/>
                            <w:color w:val="404040"/>
                            <w:sz w:val="18"/>
                          </w:rPr>
                          <w:t>%</w:t>
                        </w:r>
                      </w:p>
                    </w:txbxContent>
                  </v:textbox>
                </v:rect>
                <v:rect id="Rectangle 761473" o:spid="_x0000_s1889" style="position:absolute;left:32074;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sPsMkA&#10;AADfAAAADwAAAGRycy9kb3ducmV2LnhtbESPW2vCQBSE34X+h+UUfNNNavGSZhXpBX20WlDfDtnT&#10;JDR7NmS3JvrrXUHwcZiZb5h00ZlKnKhxpWUF8TACQZxZXXKu4Gf3NZiCcB5ZY2WZFJzJwWL+1Esx&#10;0bblbzptfS4ChF2CCgrv60RKlxVk0A1tTRy8X9sY9EE2udQNtgFuKvkSRWNpsOSwUGBN7wVlf9t/&#10;o2A1rZeHtb20efV5XO03+9nHbuaV6j93yzcQnjr/CN/ba61gMo5fJyO4/QlfQM6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OsPsMkAAADfAAAADwAAAAAAAAAAAAAAAACYAgAA&#10;ZHJzL2Rvd25yZXYueG1sUEsFBgAAAAAEAAQA9QAAAI4DAAAAAA==&#10;" filled="f" stroked="f">
                  <v:textbox inset="0,0,0,0">
                    <w:txbxContent>
                      <w:p w14:paraId="5766984F" w14:textId="77777777" w:rsidR="0014164F" w:rsidRDefault="0014164F" w:rsidP="006D5692">
                        <w:r>
                          <w:rPr>
                            <w:rFonts w:ascii="Calibri" w:hAnsi="Calibri" w:cs="Calibri"/>
                            <w:color w:val="404040"/>
                            <w:sz w:val="18"/>
                          </w:rPr>
                          <w:t>0.12</w:t>
                        </w:r>
                      </w:p>
                    </w:txbxContent>
                  </v:textbox>
                </v:rect>
                <v:rect id="Rectangle 761478" o:spid="_x0000_s1890" style="position:absolute;left:36840;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dwcYA&#10;AADfAAAADwAAAGRycy9kb3ducmV2LnhtbERPTWvCQBC9C/0Pywi96cYimkRXkdZijq0pqLchOybB&#10;7GzIbk3aX989FDw+3vd6O5hG3KlztWUFs2kEgriwuuZSwVf+PolBOI+ssbFMCn7IwXbzNFpjqm3P&#10;n3Q/+lKEEHYpKqi8b1MpXVGRQTe1LXHgrrYz6APsSqk77EO4aeRLFC2kwZpDQ4UtvVZU3I7fRsEh&#10;bnfnzP72ZbO/HE4fp+QtT7xSz+NhtwLhafAP8b870wqWi9l8GQaHP+EL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dwcYAAADfAAAADwAAAAAAAAAAAAAAAACYAgAAZHJz&#10;L2Rvd25yZXYueG1sUEsFBgAAAAAEAAQA9QAAAIsDAAAAAA==&#10;" filled="f" stroked="f">
                  <v:textbox inset="0,0,0,0">
                    <w:txbxContent>
                      <w:p w14:paraId="64C4F35F" w14:textId="77777777" w:rsidR="0014164F" w:rsidRDefault="0014164F" w:rsidP="006D5692">
                        <w:r>
                          <w:rPr>
                            <w:rFonts w:ascii="Calibri" w:hAnsi="Calibri" w:cs="Calibri"/>
                            <w:color w:val="404040"/>
                            <w:sz w:val="18"/>
                          </w:rPr>
                          <w:t>%</w:t>
                        </w:r>
                      </w:p>
                    </w:txbxContent>
                  </v:textbox>
                </v:rect>
                <v:rect id="Rectangle 761477" o:spid="_x0000_s1891" style="position:absolute;left:34814;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AJs8kA&#10;AADfAAAADwAAAGRycy9kb3ducmV2LnhtbESPW2vCQBSE34X+h+UUfNONRYzGrCK9oI9eCqlvh+xp&#10;Epo9G7Jbk/bXu4Lg4zAz3zDpuje1uFDrKssKJuMIBHFudcWFgs/Tx2gOwnlkjbVlUvBHDtarp0GK&#10;ibYdH+hy9IUIEHYJKii9bxIpXV6SQTe2DXHwvm1r0AfZFlK32AW4qeVLFM2kwYrDQokNvZaU/xx/&#10;jYLtvNl87ex/V9Tv5222zxZvp4VXavjcb5YgPPX+Eb63d1pBPJtM4xhuf8IXkK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9AJs8kAAADfAAAADwAAAAAAAAAAAAAAAACYAgAA&#10;ZHJzL2Rvd25yZXYueG1sUEsFBgAAAAAEAAQA9QAAAI4DAAAAAA==&#10;" filled="f" stroked="f">
                  <v:textbox inset="0,0,0,0">
                    <w:txbxContent>
                      <w:p w14:paraId="4C561655" w14:textId="77777777" w:rsidR="0014164F" w:rsidRDefault="0014164F" w:rsidP="006D5692">
                        <w:r>
                          <w:rPr>
                            <w:rFonts w:ascii="Calibri" w:hAnsi="Calibri" w:cs="Calibri"/>
                            <w:color w:val="404040"/>
                            <w:sz w:val="18"/>
                          </w:rPr>
                          <w:t>0.00</w:t>
                        </w:r>
                      </w:p>
                    </w:txbxContent>
                  </v:textbox>
                </v:rect>
                <v:shape id="Shape 922394" o:spid="_x0000_s1892" style="position:absolute;left:45389;top:1191;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W8jMkA&#10;AADfAAAADwAAAGRycy9kb3ducmV2LnhtbESPT2vCQBTE7wW/w/KE3uqmUbSmriIFtdAequaS2yP7&#10;8qdm34bsatJv3xUKPQ4z8xtmtRlMI27UudqygudJBII4t7rmUkF63j29gHAeWWNjmRT8kIPNevSw&#10;wkTbno90O/lSBAi7BBVU3reJlC6vyKCb2JY4eIXtDPogu1LqDvsAN42Mo2guDdYcFips6a2i/HK6&#10;GgVfWWoPRfr9eV5kH+2uN/1+6kqlHsfD9hWEp8H/h//a71rBMo6nyxnc/4QvIN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XW8jMkAAADfAAAADwAAAAAAAAAAAAAAAACYAgAA&#10;ZHJzL2Rvd25yZXYueG1sUEsFBgAAAAAEAAQA9QAAAI4DAAAAAA==&#10;" path="m,l50292,r,50292l,50292,,e" fillcolor="#5b9bd5" stroked="f" strokeweight="0">
                  <v:path arrowok="t" textboxrect="0,0,50292,50292"/>
                </v:shape>
                <v:shape id="Shape 41911" o:spid="_x0000_s1893" style="position:absolute;left:45389;top:1191;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V9occA&#10;AADeAAAADwAAAGRycy9kb3ducmV2LnhtbESP3UoDMRSE7wXfIRzBG2mzK2Vp16ZFhEKtUvr3AKeb&#10;425wc7Imsbt9eyMIXg4z8w0zXw62FRfywThWkI8zEMSV04ZrBafjajQFESKyxtYxKbhSgOXi9maO&#10;pXY97+lyiLVIEA4lKmhi7EopQ9WQxTB2HXHyPpy3GJP0tdQe+wS3rXzMskJaNJwWGuzopaHq8/Bt&#10;Few2D9Kb4v36KifmvC1CsXnrv5S6vxuen0BEGuJ/+K+91gom+SzP4fdOug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lfaHHAAAA3gAAAA8AAAAAAAAAAAAAAAAAmAIAAGRy&#10;cy9kb3ducmV2LnhtbFBLBQYAAAAABAAEAPUAAACMAwAAAAA=&#10;" path="m,50292r50292,l50292,,,,,50292xe" filled="f" strokecolor="white" strokeweight="1.56pt">
                  <v:path arrowok="t" textboxrect="0,0,50292,50292"/>
                </v:shape>
                <v:rect id="Rectangle 41912" o:spid="_x0000_s1894" style="position:absolute;left:46113;top:838;width:472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fhcccA&#10;AADeAAAADwAAAGRycy9kb3ducmV2LnhtbESPQWvCQBSE7wX/w/KE3uomIsVEVxGt6LEaQb09ss8k&#10;mH0bsluT9td3hUKPw8x8w8yXvanFg1pXWVYQjyIQxLnVFRcKTtn2bQrCeWSNtWVS8E0OlovByxxT&#10;bTs+0OPoCxEg7FJUUHrfpFK6vCSDbmQb4uDdbGvQB9kWUrfYBbip5TiK3qXBisNCiQ2tS8rvxy+j&#10;YDdtVpe9/emK+uO6O3+ek02WeKVeh/1qBsJT7//Df+29VjCJk3gMz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X4XHHAAAA3gAAAA8AAAAAAAAAAAAAAAAAmAIAAGRy&#10;cy9kb3ducmV2LnhtbFBLBQYAAAAABAAEAPUAAACMAwAAAAA=&#10;" filled="f" stroked="f">
                  <v:textbox inset="0,0,0,0">
                    <w:txbxContent>
                      <w:p w14:paraId="28509FB9" w14:textId="77777777" w:rsidR="0014164F" w:rsidRDefault="0014164F" w:rsidP="006D5692">
                        <w:r>
                          <w:rPr>
                            <w:rFonts w:ascii="Arial" w:eastAsia="Arial" w:hAnsi="Arial" w:cs="Arial"/>
                            <w:color w:val="595959"/>
                            <w:sz w:val="16"/>
                          </w:rPr>
                          <w:t>Plastika</w:t>
                        </w:r>
                      </w:p>
                    </w:txbxContent>
                  </v:textbox>
                </v:rect>
                <v:shape id="Shape 922395" o:spid="_x0000_s1895" style="position:absolute;left:45389;top:266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Uj0MoA&#10;AADfAAAADwAAAGRycy9kb3ducmV2LnhtbESPQUsDMRSE74L/IbxCL2KzbqnYtWmR0mKFerCK6O2Z&#10;vO4GNy9LEtvVX28KgsdhZr5hZoveteJAIVrPCq5GBQhi7Y3lWsHL8/ryBkRMyAZbz6TgmyIs5udn&#10;M6yMP/ITHXapFhnCsUIFTUpdJWXUDTmMI98RZ2/vg8OUZailCXjMcNfKsiiupUPLeaHBjpYN6c/d&#10;l1OwersPF+/656Pfamvbx9eHsdl0Sg0H/d0tiER9+g//tTdGwbQsx9MJnP7kLyDnv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MVI9DKAAAA3wAAAA8AAAAAAAAAAAAAAAAAmAIA&#10;AGRycy9kb3ducmV2LnhtbFBLBQYAAAAABAAEAPUAAACPAwAAAAA=&#10;" path="m,l50292,r,51816l,51816,,e" fillcolor="#ed7d31" stroked="f" strokeweight="0">
                  <v:path arrowok="t" textboxrect="0,0,50292,51816"/>
                </v:shape>
                <v:shape id="Shape 41914" o:spid="_x0000_s1896" style="position:absolute;left:45389;top:266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VsR8UA&#10;AADeAAAADwAAAGRycy9kb3ducmV2LnhtbESPUWvCMBSF3wf+h3AF32ZakVE7o4jOofii3X7Apblr&#10;is1NaTLN/v0iDPZ4OOd8h7NcR9uJGw2+dawgn2YgiGunW24UfH7snwsQPiBr7ByTgh/ysF6NnpZY&#10;anfnC92q0IgEYV+iAhNCX0rpa0MW/dT1xMn7coPFkOTQSD3gPcFtJ2dZ9iIttpwWDPa0NVRfq2+r&#10;4BALed601Wn37tHgWxFPR4xKTcZx8woiUAz/4b/2QSuY54t8Do876Qr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VWxHxQAAAN4AAAAPAAAAAAAAAAAAAAAAAJgCAABkcnMv&#10;ZG93bnJldi54bWxQSwUGAAAAAAQABAD1AAAAigMAAAAA&#10;" path="m,51816r50292,l50292,,,,,51816xe" filled="f" strokecolor="white" strokeweight="1.56pt">
                  <v:path arrowok="t" textboxrect="0,0,50292,51816"/>
                </v:shape>
                <v:rect id="Rectangle 41915" o:spid="_x0000_s1897" style="position:absolute;left:46113;top:2323;width:369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55BcgA&#10;AADeAAAADwAAAGRycy9kb3ducmV2LnhtbESPW2vCQBSE34X+h+UU+qablFpMzEakF/TRS8H6dsge&#10;k2D2bMhuTeyv7woFH4eZ+YbJFoNpxIU6V1tWEE8iEMSF1TWXCr72n+MZCOeRNTaWScGVHCzyh1GG&#10;qbY9b+my86UIEHYpKqi8b1MpXVGRQTexLXHwTrYz6IPsSqk77APcNPI5il6lwZrDQoUtvVVUnHc/&#10;RsFq1i6/1/a3L5uP4+qwOSTv+8Qr9fQ4LOcgPA3+Hv5vr7WClziJp3C7E66Az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nkFyAAAAN4AAAAPAAAAAAAAAAAAAAAAAJgCAABk&#10;cnMvZG93bnJldi54bWxQSwUGAAAAAAQABAD1AAAAjQMAAAAA&#10;" filled="f" stroked="f">
                  <v:textbox inset="0,0,0,0">
                    <w:txbxContent>
                      <w:p w14:paraId="4A7C30FB" w14:textId="77777777" w:rsidR="0014164F" w:rsidRDefault="0014164F" w:rsidP="006D5692">
                        <w:r>
                          <w:rPr>
                            <w:rFonts w:ascii="Arial" w:eastAsia="Arial" w:hAnsi="Arial" w:cs="Arial"/>
                            <w:color w:val="595959"/>
                            <w:sz w:val="16"/>
                          </w:rPr>
                          <w:t>Guma</w:t>
                        </w:r>
                      </w:p>
                    </w:txbxContent>
                  </v:textbox>
                </v:rect>
                <v:shape id="Shape 922396" o:spid="_x0000_s1898" style="position:absolute;left:45389;top:4163;width:503;height:502;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Is8MYA&#10;AADfAAAADwAAAGRycy9kb3ducmV2LnhtbESPQWvCQBSE74L/YXlCL1I3jSA1ukppEXpNDJTeHtln&#10;NiT7Nuyumv77rlDocZiZb5j9cbKDuJEPnWMFL6sMBHHjdMetgvp8en4FESKyxsExKfihAMfDfLbH&#10;Qrs7l3SrYisShEOBCkyMYyFlaAxZDCs3Eifv4rzFmKRvpfZ4T3A7yDzLNtJix2nB4Ejvhpq+uloF&#10;0Zj6o6V+Wbvl9VR9l6XvvyalnhbT2w5EpCn+h//an1rBNs/X2w08/qQvI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vIs8MYAAADfAAAADwAAAAAAAAAAAAAAAACYAgAAZHJz&#10;L2Rvd25yZXYueG1sUEsFBgAAAAAEAAQA9QAAAIsDAAAAAA==&#10;" path="m,l50292,r,50292l,50292,,e" fillcolor="#a5a5a5" stroked="f" strokeweight="0">
                  <v:path arrowok="t" textboxrect="0,0,50292,50292"/>
                </v:shape>
                <v:shape id="Shape 41917" o:spid="_x0000_s1899" style="position:absolute;left:45389;top:4163;width:503;height:502;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BATsgA&#10;AADeAAAADwAAAGRycy9kb3ducmV2LnhtbESP3UoDMRSE7wXfIZyCN9JmV8rark2LCAWtIvbnAY6b&#10;093g5mSbxO727Y0geDnMzDfMYjXYVpzJB+NYQT7JQBBXThuuFRz26/EMRIjIGlvHpOBCAVbL66sF&#10;ltr1vKXzLtYiQTiUqKCJsSulDFVDFsPEdcTJOzpvMSbpa6k99gluW3mXZYW0aDgtNNjRU0PV1+7b&#10;KvjY3EpvirfLi5yaz/ciFJvX/qTUzWh4fAARaYj/4b/2s1Ywzef5PfzeSVdAL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AEBOyAAAAN4AAAAPAAAAAAAAAAAAAAAAAJgCAABk&#10;cnMvZG93bnJldi54bWxQSwUGAAAAAAQABAD1AAAAjQMAAAAA&#10;" path="m,50292r50292,l50292,,,,,50292xe" filled="f" strokecolor="white" strokeweight="1.56pt">
                  <v:path arrowok="t" textboxrect="0,0,50292,50292"/>
                </v:shape>
                <v:rect id="Rectangle 41918" o:spid="_x0000_s1900" style="position:absolute;left:46113;top:3988;width:4282;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Wm8IA&#10;AADeAAAADwAAAGRycy9kb3ducmV2LnhtbERPy4rCMBTdC/MP4QruNO0wiK1GkXmgS1+g7i7NtS02&#10;N6XJ2OrXm4Xg8nDes0VnKnGjxpWWFcSjCARxZnXJuYLD/m84AeE8ssbKMim4k4PF/KM3w1Tblrd0&#10;2/lchBB2KSoovK9TKV1WkEE3sjVx4C62MegDbHKpG2xDuKnkZxSNpcGSQ0OBNX0XlF13/0bBalIv&#10;T2v7aPPq97w6bo7Jzz7xSg363XIKwlPn3+KXe60VfMVJHPaGO+EK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f9abwgAAAN4AAAAPAAAAAAAAAAAAAAAAAJgCAABkcnMvZG93&#10;bnJldi54bWxQSwUGAAAAAAQABAD1AAAAhwMAAAAA&#10;" filled="f" stroked="f">
                  <v:textbox inset="0,0,0,0">
                    <w:txbxContent>
                      <w:p w14:paraId="773D88FC" w14:textId="77777777" w:rsidR="0014164F" w:rsidRDefault="0014164F" w:rsidP="006D5692">
                        <w:r>
                          <w:rPr>
                            <w:rFonts w:ascii="Arial" w:eastAsia="Arial" w:hAnsi="Arial" w:cs="Arial"/>
                            <w:color w:val="595959"/>
                            <w:sz w:val="16"/>
                          </w:rPr>
                          <w:t>Odjeća</w:t>
                        </w:r>
                      </w:p>
                    </w:txbxContent>
                  </v:textbox>
                </v:rect>
                <v:shape id="Shape 922397" o:spid="_x0000_s1901" style="position:absolute;left:45389;top:5641;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u28gA&#10;AADfAAAADwAAAGRycy9kb3ducmV2LnhtbESPQWvCQBSE74L/YXmCN900Uq3RVYq0tNBD1RS8PrKv&#10;STD7NmS3cfXXdwtCj8PMfMOst8E0oqfO1ZYVPEwTEMSF1TWXCr7y18kTCOeRNTaWScGVHGw3w8Ea&#10;M20vfKD+6EsRIewyVFB532ZSuqIig25qW+LofdvOoI+yK6Xu8BLhppFpksylwZrjQoUt7Soqzscf&#10;o2DPp3PevHx+vO3C/tbnfXgs26DUeBSeVyA8Bf8fvrfftYJlms6WC/j7E7+A3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Cy7byAAAAN8AAAAPAAAAAAAAAAAAAAAAAJgCAABk&#10;cnMvZG93bnJldi54bWxQSwUGAAAAAAQABAD1AAAAjQMAAAAA&#10;" path="m,l50292,r,51816l,51816,,e" fillcolor="#ffc000" stroked="f" strokeweight="0">
                  <v:path arrowok="t" textboxrect="0,0,50292,51816"/>
                </v:shape>
                <v:shape id="Shape 41920" o:spid="_x0000_s1902" style="position:absolute;left:45389;top:5641;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Kg+cMA&#10;AADeAAAADwAAAGRycy9kb3ducmV2LnhtbESP32rCMBTG7we+QziCdzOtyKidsYhOcXiz1T3AoTlr&#10;ypqT0mQa395cDHb58f3jt66i7cWVRt85VpDPMxDEjdMdtwq+LofnAoQPyBp7x6TgTh6qzeRpjaV2&#10;N/6kax1akUbYl6jAhDCUUvrGkEU/dwNx8r7daDEkObZSj3hL47aXiyx7kRY7Tg8GB9oZan7qX6vg&#10;FAv5se3q8/7o0eBbEc/vGJWaTeP2FUSgGP7Df+2TVrDMV4sEkHASCsj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Kg+cMAAADeAAAADwAAAAAAAAAAAAAAAACYAgAAZHJzL2Rv&#10;d25yZXYueG1sUEsFBgAAAAAEAAQA9QAAAIgDAAAAAA==&#10;" path="m,51816r50292,l50292,,,,,51816xe" filled="f" strokecolor="white" strokeweight="1.56pt">
                  <v:path arrowok="t" textboxrect="0,0,50292,51816"/>
                </v:shape>
                <v:rect id="Rectangle 41921" o:spid="_x0000_s1903" style="position:absolute;left:46113;top:5291;width:727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m1u8cA&#10;AADeAAAADwAAAGRycy9kb3ducmV2LnhtbESPQWvCQBSE7wX/w/KE3uomIsVEVxGt6LEaQb09ss8k&#10;mH0bsluT9td3hUKPw8x8w8yXvanFg1pXWVYQjyIQxLnVFRcKTtn2bQrCeWSNtWVS8E0OlovByxxT&#10;bTs+0OPoCxEg7FJUUHrfpFK6vCSDbmQb4uDdbGvQB9kWUrfYBbip5TiK3qXBisNCiQ2tS8rvxy+j&#10;YDdtVpe9/emK+uO6O3+ek02WeKVeh/1qBsJT7//Df+29VjCJk3EMz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4ptbvHAAAA3gAAAA8AAAAAAAAAAAAAAAAAmAIAAGRy&#10;cy9kb3ducmV2LnhtbFBLBQYAAAAABAAEAPUAAACMAwAAAAA=&#10;" filled="f" stroked="f">
                  <v:textbox inset="0,0,0,0">
                    <w:txbxContent>
                      <w:p w14:paraId="076A1759" w14:textId="77777777" w:rsidR="0014164F" w:rsidRDefault="0014164F" w:rsidP="006D5692">
                        <w:r>
                          <w:rPr>
                            <w:rFonts w:ascii="Arial" w:eastAsia="Arial" w:hAnsi="Arial" w:cs="Arial"/>
                            <w:color w:val="595959"/>
                            <w:sz w:val="16"/>
                          </w:rPr>
                          <w:t>Papir/karton</w:t>
                        </w:r>
                      </w:p>
                    </w:txbxContent>
                  </v:textbox>
                </v:rect>
                <v:shape id="Shape 922398" o:spid="_x0000_s1904" style="position:absolute;left:45389;top:711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m5MMA&#10;AADfAAAADwAAAGRycy9kb3ducmV2LnhtbERPW2vCMBR+H/gfwhF8m6nVie2MIhbH3oYX9nxozpqy&#10;5qQkUeu/Xx6EPX589/V2sJ24kQ+tYwWzaQaCuHa65UbB5Xx4XYEIEVlj55gUPCjAdjN6WWOp3Z2P&#10;dDvFRqQQDiUqMDH2pZShNmQxTF1PnLgf5y3GBH0jtcd7CredzLNsKS22nBoM9rQ3VP+erlZB46/F&#10;R+7O/u2rWkijK/u4VN9KTcbD7h1EpCH+i5/uT62gyPN5kQanP+kL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m5MMAAADfAAAADwAAAAAAAAAAAAAAAACYAgAAZHJzL2Rv&#10;d25yZXYueG1sUEsFBgAAAAAEAAQA9QAAAIgDAAAAAA==&#10;" path="m,l50292,r,51816l,51816,,e" fillcolor="#4472c4" stroked="f" strokeweight="0">
                  <v:path arrowok="t" textboxrect="0,0,50292,51816"/>
                </v:shape>
                <v:shape id="Shape 41923" o:spid="_x0000_s1905" style="position:absolute;left:45389;top:711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A+jsUA&#10;AADeAAAADwAAAGRycy9kb3ducmV2LnhtbESP3WoCMRSE7wXfIRyhd5rVFtlujSL2B8Ubu/oAh83p&#10;ZnFzsmxSTd++EQQvh5n5hlmsom3FhXrfOFYwnWQgiCunG64VnI6f4xyED8gaW8ek4I88rJbDwQIL&#10;7a78TZcy1CJB2BeowITQFVL6ypBFP3EdcfJ+XG8xJNnXUvd4TXDbylmWzaXFhtOCwY42hqpz+WsV&#10;bGMuD+um3L9/eTT4kcf9DqNST6O4fgMRKIZH+N7eagUv09fZM9zupCs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0D6OxQAAAN4AAAAPAAAAAAAAAAAAAAAAAJgCAABkcnMv&#10;ZG93bnJldi54bWxQSwUGAAAAAAQABAD1AAAAigMAAAAA&#10;" path="m,51816r50292,l50292,,,,,51816xe" filled="f" strokecolor="white" strokeweight="1.56pt">
                  <v:path arrowok="t" textboxrect="0,0,50292,51816"/>
                </v:shape>
                <v:rect id="Rectangle 41924" o:spid="_x0000_s1906" style="position:absolute;left:46113;top:6960;width:9018;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4WI8cA&#10;AADeAAAADwAAAGRycy9kb3ducmV2LnhtbESPQWvCQBSE7wX/w/KE3upGCcWkriK2khzbKNjeHtnX&#10;JJh9G7KrSfvruwXB4zAz3zCrzWhacaXeNZYVzGcRCOLS6oYrBcfD/mkJwnlkja1lUvBDDjbrycMK&#10;U20H/qBr4SsRIOxSVFB736VSurImg25mO+LgfdveoA+yr6TucQhw08pFFD1Lgw2HhRo72tVUnouL&#10;UZAtu+1nbn+Hqn37yk7vp+T1kHilHqfj9gWEp9Hfw7d2rhXE82QRw/+dc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eFiPHAAAA3gAAAA8AAAAAAAAAAAAAAAAAmAIAAGRy&#10;cy9kb3ducmV2LnhtbFBLBQYAAAAABAAEAPUAAACMAwAAAAA=&#10;" filled="f" stroked="f">
                  <v:textbox inset="0,0,0,0">
                    <w:txbxContent>
                      <w:p w14:paraId="21DBECBE" w14:textId="77777777" w:rsidR="0014164F" w:rsidRDefault="0014164F" w:rsidP="006D5692">
                        <w:r>
                          <w:rPr>
                            <w:rFonts w:ascii="Arial" w:eastAsia="Arial" w:hAnsi="Arial" w:cs="Arial"/>
                            <w:color w:val="595959"/>
                            <w:sz w:val="16"/>
                          </w:rPr>
                          <w:t>Obrađeno drvo</w:t>
                        </w:r>
                      </w:p>
                    </w:txbxContent>
                  </v:textbox>
                </v:rect>
                <v:shape id="Shape 922399" o:spid="_x0000_s1907" style="position:absolute;left:45389;top:8613;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1f8soA&#10;AADfAAAADwAAAGRycy9kb3ducmV2LnhtbESPQWvCQBSE74X+h+UVehHdNEIxqau0hapFaGks1OMj&#10;+0yC2bdpdtX137tCocdhZr5hpvNgWnGk3jWWFTyMEhDEpdUNVwq+N2/DCQjnkTW2lknBmRzMZ7c3&#10;U8y1PfEXHQtfiQhhl6OC2vsul9KVNRl0I9sRR29ne4M+yr6SusdThJtWpknyKA02HBdq7Oi1pnJf&#10;HIyC9fZ38rF42ZvwPlh8hp/dcjuwS6Xu78LzEwhPwf+H/9orrSBL03GWwfVP/AJyd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MtX/LKAAAA3wAAAA8AAAAAAAAAAAAAAAAAmAIA&#10;AGRycy9kb3ducmV2LnhtbFBLBQYAAAAABAAEAPUAAACPAwAAAAA=&#10;" path="m,l50292,r,50292l,50292,,e" fillcolor="#70ad47" stroked="f" strokeweight="0">
                  <v:path arrowok="t" textboxrect="0,0,50292,50292"/>
                </v:shape>
                <v:shape id="Shape 41926" o:spid="_x0000_s1908" style="position:absolute;left:45389;top:8613;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AvaMcA&#10;AADeAAAADwAAAGRycy9kb3ducmV2LnhtbESP0UoDMRRE34X+Q7iFvojNtpSga9NSCkJbRbT6AdfN&#10;dTe4uVmTtLv9eyMIPg4zc4ZZrgfXijOFaD1rmE0LEMSVN5ZrDe9vDze3IGJCNth6Jg0XirBeja6W&#10;WBrf8yudj6kWGcKxRA1NSl0pZawachinviPO3qcPDlOWoZYmYJ/hrpXzolDSoeW80GBH24aqr+PJ&#10;aXg5XMtg1dNlLxf241lFdXjsv7WejIfNPYhEQ/oP/7V3RsNidjdX8HsnXw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gL2jHAAAA3gAAAA8AAAAAAAAAAAAAAAAAmAIAAGRy&#10;cy9kb3ducmV2LnhtbFBLBQYAAAAABAAEAPUAAACMAwAAAAA=&#10;" path="m,50292r50292,l50292,,,,,50292xe" filled="f" strokecolor="white" strokeweight="1.56pt">
                  <v:path arrowok="t" textboxrect="0,0,50292,50292"/>
                </v:shape>
                <v:rect id="Rectangle 41927" o:spid="_x0000_s1909" style="position:absolute;left:46113;top:8263;width:3301;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yIVMgA&#10;AADeAAAADwAAAGRycy9kb3ducmV2LnhtbESPT2vCQBTE7wW/w/KE3upGKa2JboLYFj3WP6DeHtln&#10;Esy+DdmtSf30bqHgcZiZ3zDzrDe1uFLrKssKxqMIBHFudcWFgv3u62UKwnlkjbVlUvBLDrJ08DTH&#10;RNuON3Td+kIECLsEFZTeN4mULi/JoBvZhjh4Z9sa9EG2hdQtdgFuajmJojdpsOKwUGJDy5Lyy/bH&#10;KFhNm8VxbW9dUX+eVofvQ/yxi71Sz8N+MQPhqfeP8H97rRW8juPJO/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jIhUyAAAAN4AAAAPAAAAAAAAAAAAAAAAAJgCAABk&#10;cnMvZG93bnJldi54bWxQSwUGAAAAAAQABAD1AAAAjQMAAAAA&#10;" filled="f" stroked="f">
                  <v:textbox inset="0,0,0,0">
                    <w:txbxContent>
                      <w:p w14:paraId="1C48EAE4" w14:textId="77777777" w:rsidR="0014164F" w:rsidRDefault="0014164F" w:rsidP="006D5692">
                        <w:r>
                          <w:rPr>
                            <w:rFonts w:ascii="Arial" w:eastAsia="Arial" w:hAnsi="Arial" w:cs="Arial"/>
                            <w:color w:val="595959"/>
                            <w:sz w:val="16"/>
                          </w:rPr>
                          <w:t>Metal</w:t>
                        </w:r>
                      </w:p>
                    </w:txbxContent>
                  </v:textbox>
                </v:rect>
                <v:shape id="Shape 922400" o:spid="_x0000_s1910" style="position:absolute;left:45389;top:10091;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1/msMA&#10;AADfAAAADwAAAGRycy9kb3ducmV2LnhtbESPzWoCMRSF90LfIdyCu5rpINZOjSLFihsXjnZ/mdxO&#10;gpObIUl1fHuzEFwezh/fYjW4TlwoROtZwfukAEHceG25VXA6/rzNQcSErLHzTApuFGG1fBktsNL+&#10;yge61KkVeYRjhQpMSn0lZWwMOYwT3xNn788HhynL0Eod8JrHXSfLophJh5bzg8Gevg015/rfKbA6&#10;2OnW1B/c2325nv1u5NlulBq/DusvEImG9Aw/2jut4LMsp0UmyDyZBe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1/msMAAADfAAAADwAAAAAAAAAAAAAAAACYAgAAZHJzL2Rv&#10;d25yZXYueG1sUEsFBgAAAAAEAAQA9QAAAIgDAAAAAA==&#10;" path="m,l50292,r,51816l,51816,,e" fillcolor="#255e91" stroked="f" strokeweight="0">
                  <v:path arrowok="t" textboxrect="0,0,50292,51816"/>
                </v:shape>
                <v:shape id="Shape 41929" o:spid="_x0000_s1911" style="position:absolute;left:45389;top:10091;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gJZMQA&#10;AADeAAAADwAAAGRycy9kb3ducmV2LnhtbESP0WoCMRRE3wv+Q7iCbzWrSFlXo4itYvGlXf2Ay+a6&#10;WdzcLJuo8e+bQqGPw8ycYZbraFtxp943jhVMxhkI4srphmsF59PuNQfhA7LG1jEpeJKH9WrwssRC&#10;uwd/070MtUgQ9gUqMCF0hZS+MmTRj11HnLyL6y2GJPta6h4fCW5bOc2yN2mx4bRgsKOtoepa3qyC&#10;Q8zl16Ypj+97jwY/8nj8xKjUaBg3CxCBYvgP/7UPWsFsMp/O4fdOug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4CWTEAAAA3gAAAA8AAAAAAAAAAAAAAAAAmAIAAGRycy9k&#10;b3ducmV2LnhtbFBLBQYAAAAABAAEAPUAAACJAwAAAAA=&#10;" path="m,51816r50292,l50292,,,,,51816xe" filled="f" strokecolor="white" strokeweight="1.56pt">
                  <v:path arrowok="t" textboxrect="0,0,50292,51816"/>
                </v:shape>
                <v:rect id="Rectangle 41930" o:spid="_x0000_s1912" style="position:absolute;left:46113;top:9747;width:375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yG/cUA&#10;AADeAAAADwAAAGRycy9kb3ducmV2LnhtbESPy4rCMBSG98K8QzgD7jT1gthqFBkVXTo64Mzu0Bzb&#10;Ms1JaaKtPr1ZCC5//hvffNmaUtyodoVlBYN+BII4tbrgTMHPadubgnAeWWNpmRTcycFy8dGZY6Jt&#10;w990O/pMhBF2CSrIva8SKV2ak0HXtxVx8C62NuiDrDOpa2zCuCnlMIom0mDB4SHHir5ySv+PV6Ng&#10;N61Wv3v7aLJy87c7H87x+hR7pbqf7WoGwlPr3+FXe68VjAfxKAAEnIACcvE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vIb9xQAAAN4AAAAPAAAAAAAAAAAAAAAAAJgCAABkcnMv&#10;ZG93bnJldi54bWxQSwUGAAAAAAQABAD1AAAAigMAAAAA&#10;" filled="f" stroked="f">
                  <v:textbox inset="0,0,0,0">
                    <w:txbxContent>
                      <w:p w14:paraId="117C31D8" w14:textId="77777777" w:rsidR="0014164F" w:rsidRDefault="0014164F" w:rsidP="006D5692">
                        <w:r>
                          <w:rPr>
                            <w:rFonts w:ascii="Arial" w:eastAsia="Arial" w:hAnsi="Arial" w:cs="Arial"/>
                            <w:color w:val="595959"/>
                            <w:sz w:val="16"/>
                          </w:rPr>
                          <w:t>Staklo</w:t>
                        </w:r>
                      </w:p>
                    </w:txbxContent>
                  </v:textbox>
                </v:rect>
                <v:shape id="Shape 922401" o:spid="_x0000_s1913" style="position:absolute;left:45389;top:11584;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cHYcoA&#10;AADfAAAADwAAAGRycy9kb3ducmV2LnhtbESPzWvCQBTE7wX/h+UVvIhuDH6mriIW0YNY6sfB22v2&#10;NQlm34bsVuN/7xYKPQ4z8xtmtmhMKW5Uu8Kygn4vAkGcWl1wpuB0XHcnIJxH1lhaJgUPcrCYt15m&#10;mGh750+6HXwmAoRdggpy76tESpfmZND1bEUcvG9bG/RB1pnUNd4D3JQyjqKRNFhwWMixolVO6fXw&#10;YxTs953VZvCxGw0v56/t+XHa2fexU6r92izfQHhq/H/4r73VCqZxPIj68PsnfAE5fw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nHB2HKAAAA3wAAAA8AAAAAAAAAAAAAAAAAmAIA&#10;AGRycy9kb3ducmV2LnhtbFBLBQYAAAAABAAEAPUAAACPAwAAAAA=&#10;" path="m,l50292,r,50292l,50292,,e" fillcolor="#9e480e" stroked="f" strokeweight="0">
                  <v:path arrowok="t" textboxrect="0,0,50292,50292"/>
                </v:shape>
                <v:shape id="Shape 41932" o:spid="_x0000_s1914" style="position:absolute;left:45389;top:11584;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K/tsgA&#10;AADeAAAADwAAAGRycy9kb3ducmV2LnhtbESP0WoCMRRE34X+Q7gFX0SzWlns1ihSEKyV0tp+wO3m&#10;dje4udkm0V3/vikU+jjMzBlmue5tIy7kg3GsYDrJQBCXThuuFHy8b8cLECEia2wck4IrBVivbgZL&#10;LLTr+I0ux1iJBOFQoII6xraQMpQ1WQwT1xIn78t5izFJX0ntsUtw28hZluXSouG0UGNLjzWVp+PZ&#10;Knjdj6Q3+eH6JOfm8yUP+f65+1ZqeNtvHkBE6uN/+K+90wrm0/u7GfzeSVdAr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rwr+2yAAAAN4AAAAPAAAAAAAAAAAAAAAAAJgCAABk&#10;cnMvZG93bnJldi54bWxQSwUGAAAAAAQABAD1AAAAjQMAAAAA&#10;" path="m,50292r50292,l50292,,,,,50292xe" filled="f" strokecolor="white" strokeweight="1.56pt">
                  <v:path arrowok="t" textboxrect="0,0,50292,50292"/>
                </v:shape>
                <v:rect id="Rectangle 41933" o:spid="_x0000_s1915" style="position:absolute;left:46113;top:11234;width:5717;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4YisgA&#10;AADeAAAADwAAAGRycy9kb3ducmV2LnhtbESPT2vCQBTE7wW/w/KE3urGWoqJboLYFj3WP6DeHtln&#10;Esy+DdmtSf30bqHgcZiZ3zDzrDe1uFLrKssKxqMIBHFudcWFgv3u62UKwnlkjbVlUvBLDrJ08DTH&#10;RNuON3Td+kIECLsEFZTeN4mULi/JoBvZhjh4Z9sa9EG2hdQtdgFuavkaRe/SYMVhocSGliXll+2P&#10;UbCaNovj2t66ov48rQ7fh/hjF3ulnof9YgbCU+8f4f/2Wit4G8eTCfzdCVdApn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bhiKyAAAAN4AAAAPAAAAAAAAAAAAAAAAAJgCAABk&#10;cnMvZG93bnJldi54bWxQSwUGAAAAAAQABAD1AAAAjQMAAAAA&#10;" filled="f" stroked="f">
                  <v:textbox inset="0,0,0,0">
                    <w:txbxContent>
                      <w:p w14:paraId="27FEB679" w14:textId="77777777" w:rsidR="0014164F" w:rsidRDefault="0014164F" w:rsidP="006D5692">
                        <w:r>
                          <w:rPr>
                            <w:rFonts w:ascii="Arial" w:eastAsia="Arial" w:hAnsi="Arial" w:cs="Arial"/>
                            <w:color w:val="595959"/>
                            <w:sz w:val="16"/>
                          </w:rPr>
                          <w:t>Keramika</w:t>
                        </w:r>
                      </w:p>
                    </w:txbxContent>
                  </v:textbox>
                </v:rect>
                <v:shape id="Shape 922402" o:spid="_x0000_s1916" style="position:absolute;left:45389;top:13063;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c5WscA&#10;AADfAAAADwAAAGRycy9kb3ducmV2LnhtbESP0WoCMRRE3wX/IdxC32q2WxG7NYoVSgX1YW0/4HZz&#10;zS7d3Gw3UePfG6Hg4zAzZ5jZItpWnKj3jWMFz6MMBHHldMNGwffXx9MUhA/IGlvHpOBCHhbz4WCG&#10;hXZnLum0D0YkCPsCFdQhdIWUvqrJoh+5jjh5B9dbDEn2RuoezwluW5ln2URabDgt1NjRqqbqd3+0&#10;Cla42Rw+j+aP338m21jacvdiolKPD3H5BiJQDPfwf3utFbzm+TjL4fYnfQE5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3OVrHAAAA3wAAAA8AAAAAAAAAAAAAAAAAmAIAAGRy&#10;cy9kb3ducmV2LnhtbFBLBQYAAAAABAAEAPUAAACMAwAAAAA=&#10;" path="m,l50292,r,51816l,51816,,e" fillcolor="#636363" stroked="f" strokeweight="0">
                  <v:path arrowok="t" textboxrect="0,0,50292,51816"/>
                </v:shape>
                <v:shape id="Shape 41935" o:spid="_x0000_s1917" style="position:absolute;left:45389;top:13063;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yVvMYA&#10;AADeAAAADwAAAGRycy9kb3ducmV2LnhtbESPzWrDMBCE74W+g9hCbo2cnxbHjRJC/kjJpXX6AIu1&#10;tUytlbGURHn7qFDocZiZb5j5MtpWXKj3jWMFo2EGgrhyuuFawddp95yD8AFZY+uYFNzIw3Lx+DDH&#10;Qrsrf9KlDLVIEPYFKjAhdIWUvjJk0Q9dR5y8b9dbDEn2tdQ9XhPctnKcZa/SYsNpwWBHa0PVT3m2&#10;Cg4xlx+rpjxu9h4NbvN4fMeo1OAprt5ABIrhP/zXPmgF09Fs8gK/d9IV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ayVvMYAAADeAAAADwAAAAAAAAAAAAAAAACYAgAAZHJz&#10;L2Rvd25yZXYueG1sUEsFBgAAAAAEAAQA9QAAAIsDAAAAAA==&#10;" path="m,51816r50292,l50292,,,,,51816xe" filled="f" strokecolor="white" strokeweight="1.56pt">
                  <v:path arrowok="t" textboxrect="0,0,50292,51816"/>
                </v:shape>
                <v:rect id="Rectangle 41936" o:spid="_x0000_s1918" style="position:absolute;left:46113;top:12719;width:908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m7EsgA&#10;AADeAAAADwAAAGRycy9kb3ducmV2LnhtbESPT2vCQBTE7wW/w/KE3urGtoiJboLYFj3WP6DeHtln&#10;Esy+DdmtSfvpXaHgcZiZ3zDzrDe1uFLrKssKxqMIBHFudcWFgv3u62UKwnlkjbVlUvBLDrJ08DTH&#10;RNuON3Td+kIECLsEFZTeN4mULi/JoBvZhjh4Z9sa9EG2hdQtdgFuavkaRRNpsOKwUGJDy5Lyy/bH&#10;KFhNm8Vxbf+6ov48rQ7fh/hjF3ulnof9YgbCU+8f4f/2Wit4H8dvE7jf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GbsSyAAAAN4AAAAPAAAAAAAAAAAAAAAAAJgCAABk&#10;cnMvZG93bnJldi54bWxQSwUGAAAAAAQABAD1AAAAjQMAAAAA&#10;" filled="f" stroked="f">
                  <v:textbox inset="0,0,0,0">
                    <w:txbxContent>
                      <w:p w14:paraId="47329085" w14:textId="77777777" w:rsidR="0014164F" w:rsidRDefault="0014164F" w:rsidP="006D5692">
                        <w:r>
                          <w:rPr>
                            <w:rFonts w:ascii="Arial" w:eastAsia="Arial" w:hAnsi="Arial" w:cs="Arial"/>
                            <w:color w:val="595959"/>
                            <w:sz w:val="16"/>
                          </w:rPr>
                          <w:t>Sanitarni otpad</w:t>
                        </w:r>
                      </w:p>
                    </w:txbxContent>
                  </v:textbox>
                </v:rect>
                <v:shape id="Shape 922403" o:spid="_x0000_s1919" style="position:absolute;left:45389;top:14556;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JFF8cA&#10;AADfAAAADwAAAGRycy9kb3ducmV2LnhtbESPT2sCMRTE7wW/Q3hCbzVrKsWuRlFB9NAV1EKvr5u3&#10;f3Dzsmyirt++KRR6HGbmN8x82dtG3KjztWMN41ECgjh3puZSw+d5+zIF4QOywcYxaXiQh+Vi8DTH&#10;1Lg7H+l2CqWIEPYpaqhCaFMpfV6RRT9yLXH0CtdZDFF2pTQd3iPcNlIlyZu0WHNcqLClTUX55XS1&#10;GqbZOisOmcTvnco+Ntsvdb0UVuvnYb+agQjUh//wX3tvNLwrNUle4fdP/A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CRRfHAAAA3wAAAA8AAAAAAAAAAAAAAAAAmAIAAGRy&#10;cy9kb3ducmV2LnhtbFBLBQYAAAAABAAEAPUAAACMAwAAAAA=&#10;" path="m,l50292,r,50292l,50292,,e" fillcolor="#997300" stroked="f" strokeweight="0">
                  <v:path arrowok="t" textboxrect="0,0,50292,50292"/>
                </v:shape>
                <v:shape id="Shape 41938" o:spid="_x0000_s1920" style="position:absolute;left:45389;top:14556;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qIXMUA&#10;AADeAAAADwAAAGRycy9kb3ducmV2LnhtbERP3WrCMBS+F/YO4Qx2I5rqpLhqFBkIm5OxOR/g2Bzb&#10;YHPSJZmtb79cDHb58f0v171txJV8MI4VTMYZCOLSacOVguPXdjQHESKyxsYxKbhRgPXqbrDEQruO&#10;P+l6iJVIIRwKVFDH2BZShrImi2HsWuLEnZ23GBP0ldQeuxRuGznNslxaNJwaamzpuabycvixCj52&#10;Q+lNvr+9ypk5vech371130o93PebBYhIffwX/7lftILZ5Okx7U130hW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KohcxQAAAN4AAAAPAAAAAAAAAAAAAAAAAJgCAABkcnMv&#10;ZG93bnJldi54bWxQSwUGAAAAAAQABAD1AAAAigMAAAAA&#10;" path="m,50292r50292,l50292,,,,,50292xe" filled="f" strokecolor="white" strokeweight="1.56pt">
                  <v:path arrowok="t" textboxrect="0,0,50292,50292"/>
                </v:shape>
                <v:rect id="Rectangle 41939" o:spid="_x0000_s1921" style="position:absolute;left:46113;top:14204;width:10075;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YvYMgA&#10;AADeAAAADwAAAGRycy9kb3ducmV2LnhtbESPT2vCQBTE74LfYXmCN91YiyQxq0j/oEerhdTbI/ua&#10;hGbfhuzWpP30XUHocZiZ3zDZdjCNuFLnassKFvMIBHFhdc2lgvfz6ywG4TyyxsYyKfghB9vNeJRh&#10;qm3Pb3Q9+VIECLsUFVTet6mUrqjIoJvbljh4n7Yz6IPsSqk77APcNPIhilbSYM1hocKWnioqvk7f&#10;RsE+bncfB/vbl83LZZ8f8+T5nHilppNhtwbhafD/4Xv7oBU8LpJlArc74Qr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hi9gyAAAAN4AAAAPAAAAAAAAAAAAAAAAAJgCAABk&#10;cnMvZG93bnJldi54bWxQSwUGAAAAAAQABAD1AAAAjQMAAAAA&#10;" filled="f" stroked="f">
                  <v:textbox inset="0,0,0,0">
                    <w:txbxContent>
                      <w:p w14:paraId="0057F511" w14:textId="77777777" w:rsidR="0014164F" w:rsidRDefault="0014164F" w:rsidP="006D5692">
                        <w:r>
                          <w:rPr>
                            <w:rFonts w:ascii="Arial" w:eastAsia="Arial" w:hAnsi="Arial" w:cs="Arial"/>
                            <w:color w:val="595959"/>
                            <w:sz w:val="16"/>
                          </w:rPr>
                          <w:t>Medicinski otpad</w:t>
                        </w:r>
                      </w:p>
                    </w:txbxContent>
                  </v:textbox>
                </v:rect>
                <v:shape id="Shape 922404" o:spid="_x0000_s1922" style="position:absolute;left:45389;top:16035;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HNScYA&#10;AADfAAAADwAAAGRycy9kb3ducmV2LnhtbESPQWvCQBSE7wX/w/IKvdWNwRYbXUUFwaIXo9DrM/ua&#10;DWbfhuwa47/vCkKPw8x8w8wWva1FR62vHCsYDRMQxIXTFZcKTsfN+wSED8gaa8ek4E4eFvPBywwz&#10;7W58oC4PpYgQ9hkqMCE0mZS+MGTRD11DHL1f11oMUbal1C3eItzWMk2ST2mx4rhgsKG1oeKSX62C&#10;68V0dvejT/a8vVer/cdGu++RUm+v/XIKIlAf/sPP9lYr+ErTcTKGx5/4BeT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2HNScYAAADfAAAADwAAAAAAAAAAAAAAAACYAgAAZHJz&#10;L2Rvd25yZXYueG1sUEsFBgAAAAAEAAQA9QAAAIsDAAAAAA==&#10;" path="m,l50292,r,51816l,51816,,e" fillcolor="#264478" stroked="f" strokeweight="0">
                  <v:path arrowok="t" textboxrect="0,0,50292,51816"/>
                </v:shape>
                <v:shape id="Shape 41941" o:spid="_x0000_s1923" style="position:absolute;left:45389;top:16035;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HgwsUA&#10;AADeAAAADwAAAGRycy9kb3ducmV2LnhtbESPUWvCMBSF3wf+h3AF32ZakVE7o4jOofii3X7Apblr&#10;is1NaTLN/v0iDPZ4OOd8h7NcR9uJGw2+dawgn2YgiGunW24UfH7snwsQPiBr7ByTgh/ysF6NnpZY&#10;anfnC92q0IgEYV+iAhNCX0rpa0MW/dT1xMn7coPFkOTQSD3gPcFtJ2dZ9iIttpwWDPa0NVRfq2+r&#10;4BALed601Wn37tHgWxFPR4xKTcZx8woiUAz/4b/2QSuY54t5Do876Qr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keDCxQAAAN4AAAAPAAAAAAAAAAAAAAAAAJgCAABkcnMv&#10;ZG93bnJldi54bWxQSwUGAAAAAAQABAD1AAAAigMAAAAA&#10;" path="m,51816r50292,l50292,,,,,51816xe" filled="f" strokecolor="white" strokeweight="1.56pt">
                  <v:path arrowok="t" textboxrect="0,0,50292,51816"/>
                </v:shape>
                <v:rect id="Rectangle 41942" o:spid="_x0000_s1924" style="position:absolute;left:46113;top:15688;width:8194;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TObMcA&#10;AADeAAAADwAAAGRycy9kb3ducmV2LnhtbESPQWvCQBSE7wX/w/KE3upGCcWkriK2khzbKNjeHtnX&#10;JJh9G7KrSfvruwXB4zAz3zCrzWhacaXeNZYVzGcRCOLS6oYrBcfD/mkJwnlkja1lUvBDDjbrycMK&#10;U20H/qBr4SsRIOxSVFB736VSurImg25mO+LgfdveoA+yr6TucQhw08pFFD1Lgw2HhRo72tVUnouL&#10;UZAtu+1nbn+Hqn37yk7vp+T1kHilHqfj9gWEp9Hfw7d2rhXE8yRewP+dcAX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kzmzHAAAA3gAAAA8AAAAAAAAAAAAAAAAAmAIAAGRy&#10;cy9kb3ducmV2LnhtbFBLBQYAAAAABAAEAPUAAACMAwAAAAA=&#10;" filled="f" stroked="f">
                  <v:textbox inset="0,0,0,0">
                    <w:txbxContent>
                      <w:p w14:paraId="33841222" w14:textId="77777777" w:rsidR="0014164F" w:rsidRDefault="0014164F" w:rsidP="006D5692">
                        <w:r>
                          <w:rPr>
                            <w:rFonts w:ascii="Arial" w:eastAsia="Arial" w:hAnsi="Arial" w:cs="Arial"/>
                            <w:color w:val="595959"/>
                            <w:sz w:val="16"/>
                          </w:rPr>
                          <w:t>Parafin/vosak</w:t>
                        </w:r>
                      </w:p>
                    </w:txbxContent>
                  </v:textbox>
                </v:rect>
                <w10:anchorlock/>
              </v:group>
            </w:pict>
          </mc:Fallback>
        </mc:AlternateContent>
      </w:r>
    </w:p>
    <w:p w14:paraId="1C063AFD" w14:textId="77777777" w:rsidR="006D5692" w:rsidRPr="006D5692" w:rsidRDefault="006D5692" w:rsidP="006D5692">
      <w:pPr>
        <w:rPr>
          <w:rFonts w:ascii="Arial" w:hAnsi="Arial" w:cs="Arial"/>
        </w:rPr>
      </w:pPr>
      <w:r w:rsidRPr="006D5692">
        <w:rPr>
          <w:rFonts w:ascii="Arial" w:hAnsi="Arial" w:cs="Arial"/>
        </w:rPr>
        <w:t xml:space="preserve"> </w:t>
      </w:r>
    </w:p>
    <w:p w14:paraId="3611C4F7" w14:textId="77777777" w:rsidR="006D5692" w:rsidRPr="006D5692" w:rsidRDefault="006D5692" w:rsidP="006D5692">
      <w:pPr>
        <w:rPr>
          <w:rFonts w:ascii="Arial" w:hAnsi="Arial" w:cs="Arial"/>
        </w:rPr>
      </w:pPr>
      <w:r w:rsidRPr="006D5692">
        <w:rPr>
          <w:rFonts w:ascii="Arial" w:hAnsi="Arial" w:cs="Arial"/>
        </w:rPr>
        <w:t xml:space="preserve"> </w:t>
      </w:r>
    </w:p>
    <w:p w14:paraId="1DFE3AEF" w14:textId="268E8D96" w:rsidR="006D5692" w:rsidRPr="003E4447" w:rsidRDefault="006D5692" w:rsidP="006D5692">
      <w:pPr>
        <w:pStyle w:val="Caption"/>
        <w:rPr>
          <w:rFonts w:ascii="Arial" w:hAnsi="Arial" w:cs="Arial"/>
          <w:b w:val="0"/>
        </w:rPr>
      </w:pPr>
      <w:r w:rsidRPr="003E4447">
        <w:rPr>
          <w:rFonts w:ascii="Arial" w:hAnsi="Arial" w:cs="Arial"/>
          <w:b w:val="0"/>
        </w:rPr>
        <w:t xml:space="preserve">Slika 10 Procentualna zastupljenost svih glavnih kategorija otpada na transektu dužine 100 m na </w:t>
      </w:r>
      <w:r w:rsidR="00FD116C" w:rsidRPr="003E4447">
        <w:rPr>
          <w:rFonts w:ascii="Arial" w:hAnsi="Arial" w:cs="Arial"/>
          <w:b w:val="0"/>
        </w:rPr>
        <w:t>p</w:t>
      </w:r>
      <w:r w:rsidRPr="003E4447">
        <w:rPr>
          <w:rFonts w:ascii="Arial" w:hAnsi="Arial" w:cs="Arial"/>
          <w:b w:val="0"/>
        </w:rPr>
        <w:t xml:space="preserve">laži Jaz </w:t>
      </w:r>
    </w:p>
    <w:p w14:paraId="01E96D61" w14:textId="77777777" w:rsidR="00FD116C" w:rsidRPr="00AB68D5" w:rsidRDefault="00FD116C" w:rsidP="00FD116C">
      <w:pPr>
        <w:rPr>
          <w:rFonts w:ascii="Cambria" w:hAnsi="Cambria"/>
        </w:rPr>
      </w:pPr>
      <w:r w:rsidRPr="00AB68D5">
        <w:rPr>
          <w:rFonts w:ascii="Cambria" w:hAnsi="Cambria"/>
          <w:noProof/>
          <w:lang w:val="en-US"/>
        </w:rPr>
        <mc:AlternateContent>
          <mc:Choice Requires="wpg">
            <w:drawing>
              <wp:inline distT="0" distB="0" distL="0" distR="0" wp14:anchorId="7315D39D" wp14:editId="276422C7">
                <wp:extent cx="5368874" cy="1839811"/>
                <wp:effectExtent l="0" t="0" r="0" b="0"/>
                <wp:docPr id="3" name="Group 3"/>
                <wp:cNvGraphicFramePr/>
                <a:graphic xmlns:a="http://schemas.openxmlformats.org/drawingml/2006/main">
                  <a:graphicData uri="http://schemas.microsoft.com/office/word/2010/wordprocessingGroup">
                    <wpg:wgp>
                      <wpg:cNvGrpSpPr/>
                      <wpg:grpSpPr>
                        <a:xfrm>
                          <a:off x="0" y="0"/>
                          <a:ext cx="5368874" cy="1839811"/>
                          <a:chOff x="0" y="0"/>
                          <a:chExt cx="5368874" cy="1839811"/>
                        </a:xfrm>
                      </wpg:grpSpPr>
                      <wps:wsp>
                        <wps:cNvPr id="4" name="Shape 41800"/>
                        <wps:cNvSpPr/>
                        <wps:spPr>
                          <a:xfrm>
                            <a:off x="705180" y="381762"/>
                            <a:ext cx="581660" cy="1161415"/>
                          </a:xfrm>
                          <a:custGeom>
                            <a:avLst/>
                            <a:gdLst/>
                            <a:ahLst/>
                            <a:cxnLst/>
                            <a:rect l="0" t="0" r="0" b="0"/>
                            <a:pathLst>
                              <a:path w="581660" h="1161415">
                                <a:moveTo>
                                  <a:pt x="0" y="0"/>
                                </a:moveTo>
                                <a:cubicBezTo>
                                  <a:pt x="321310" y="0"/>
                                  <a:pt x="581660" y="260477"/>
                                  <a:pt x="581660" y="581787"/>
                                </a:cubicBezTo>
                                <a:cubicBezTo>
                                  <a:pt x="581660" y="883666"/>
                                  <a:pt x="350774" y="1135507"/>
                                  <a:pt x="49911" y="1161415"/>
                                </a:cubicBezTo>
                                <a:lnTo>
                                  <a:pt x="0" y="581787"/>
                                </a:lnTo>
                                <a:lnTo>
                                  <a:pt x="0" y="0"/>
                                </a:lnTo>
                                <a:close/>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6" name="Shape 41801"/>
                        <wps:cNvSpPr/>
                        <wps:spPr>
                          <a:xfrm>
                            <a:off x="705180" y="381762"/>
                            <a:ext cx="581660" cy="1161415"/>
                          </a:xfrm>
                          <a:custGeom>
                            <a:avLst/>
                            <a:gdLst/>
                            <a:ahLst/>
                            <a:cxnLst/>
                            <a:rect l="0" t="0" r="0" b="0"/>
                            <a:pathLst>
                              <a:path w="581660" h="1161415">
                                <a:moveTo>
                                  <a:pt x="0" y="0"/>
                                </a:moveTo>
                                <a:cubicBezTo>
                                  <a:pt x="321310" y="0"/>
                                  <a:pt x="581660" y="260477"/>
                                  <a:pt x="581660" y="581787"/>
                                </a:cubicBezTo>
                                <a:cubicBezTo>
                                  <a:pt x="581660" y="883666"/>
                                  <a:pt x="350774" y="1135507"/>
                                  <a:pt x="49911" y="1161415"/>
                                </a:cubicBezTo>
                                <a:lnTo>
                                  <a:pt x="0" y="581787"/>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8" name="Shape 41802"/>
                        <wps:cNvSpPr/>
                        <wps:spPr>
                          <a:xfrm>
                            <a:off x="705180" y="963549"/>
                            <a:ext cx="49911" cy="581279"/>
                          </a:xfrm>
                          <a:custGeom>
                            <a:avLst/>
                            <a:gdLst/>
                            <a:ahLst/>
                            <a:cxnLst/>
                            <a:rect l="0" t="0" r="0" b="0"/>
                            <a:pathLst>
                              <a:path w="49911" h="581279">
                                <a:moveTo>
                                  <a:pt x="0" y="0"/>
                                </a:moveTo>
                                <a:lnTo>
                                  <a:pt x="49911" y="579628"/>
                                </a:lnTo>
                                <a:cubicBezTo>
                                  <a:pt x="41656" y="580390"/>
                                  <a:pt x="33274" y="580899"/>
                                  <a:pt x="25019" y="581279"/>
                                </a:cubicBezTo>
                                <a:lnTo>
                                  <a:pt x="0" y="0"/>
                                </a:ln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9" name="Shape 41803"/>
                        <wps:cNvSpPr/>
                        <wps:spPr>
                          <a:xfrm>
                            <a:off x="705180" y="963549"/>
                            <a:ext cx="49911" cy="581279"/>
                          </a:xfrm>
                          <a:custGeom>
                            <a:avLst/>
                            <a:gdLst/>
                            <a:ahLst/>
                            <a:cxnLst/>
                            <a:rect l="0" t="0" r="0" b="0"/>
                            <a:pathLst>
                              <a:path w="49911" h="581279">
                                <a:moveTo>
                                  <a:pt x="49911" y="579628"/>
                                </a:moveTo>
                                <a:cubicBezTo>
                                  <a:pt x="41656" y="580390"/>
                                  <a:pt x="33274" y="580899"/>
                                  <a:pt x="25019" y="581279"/>
                                </a:cubicBez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12" name="Shape 41804"/>
                        <wps:cNvSpPr/>
                        <wps:spPr>
                          <a:xfrm>
                            <a:off x="655142" y="963549"/>
                            <a:ext cx="75057" cy="582295"/>
                          </a:xfrm>
                          <a:custGeom>
                            <a:avLst/>
                            <a:gdLst/>
                            <a:ahLst/>
                            <a:cxnLst/>
                            <a:rect l="0" t="0" r="0" b="0"/>
                            <a:pathLst>
                              <a:path w="75057" h="582295">
                                <a:moveTo>
                                  <a:pt x="50038" y="0"/>
                                </a:moveTo>
                                <a:lnTo>
                                  <a:pt x="75057" y="581279"/>
                                </a:lnTo>
                                <a:cubicBezTo>
                                  <a:pt x="50038" y="582295"/>
                                  <a:pt x="24892" y="581787"/>
                                  <a:pt x="0" y="579628"/>
                                </a:cubicBezTo>
                                <a:lnTo>
                                  <a:pt x="50038" y="0"/>
                                </a:ln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13" name="Shape 41805"/>
                        <wps:cNvSpPr/>
                        <wps:spPr>
                          <a:xfrm>
                            <a:off x="655142" y="963549"/>
                            <a:ext cx="75057" cy="582295"/>
                          </a:xfrm>
                          <a:custGeom>
                            <a:avLst/>
                            <a:gdLst/>
                            <a:ahLst/>
                            <a:cxnLst/>
                            <a:rect l="0" t="0" r="0" b="0"/>
                            <a:pathLst>
                              <a:path w="75057" h="582295">
                                <a:moveTo>
                                  <a:pt x="75057" y="581279"/>
                                </a:moveTo>
                                <a:cubicBezTo>
                                  <a:pt x="50038" y="582295"/>
                                  <a:pt x="24892" y="581787"/>
                                  <a:pt x="0" y="579628"/>
                                </a:cubicBezTo>
                                <a:lnTo>
                                  <a:pt x="50038"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14" name="Shape 41806"/>
                        <wps:cNvSpPr/>
                        <wps:spPr>
                          <a:xfrm>
                            <a:off x="605485" y="963549"/>
                            <a:ext cx="99695" cy="579628"/>
                          </a:xfrm>
                          <a:custGeom>
                            <a:avLst/>
                            <a:gdLst/>
                            <a:ahLst/>
                            <a:cxnLst/>
                            <a:rect l="0" t="0" r="0" b="0"/>
                            <a:pathLst>
                              <a:path w="99695" h="579628">
                                <a:moveTo>
                                  <a:pt x="99695" y="0"/>
                                </a:moveTo>
                                <a:lnTo>
                                  <a:pt x="49657" y="579628"/>
                                </a:lnTo>
                                <a:cubicBezTo>
                                  <a:pt x="33020" y="578231"/>
                                  <a:pt x="16510" y="576073"/>
                                  <a:pt x="0" y="573151"/>
                                </a:cubicBezTo>
                                <a:lnTo>
                                  <a:pt x="99695" y="0"/>
                                </a:ln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15" name="Shape 41807"/>
                        <wps:cNvSpPr/>
                        <wps:spPr>
                          <a:xfrm>
                            <a:off x="605485" y="963549"/>
                            <a:ext cx="99695" cy="579628"/>
                          </a:xfrm>
                          <a:custGeom>
                            <a:avLst/>
                            <a:gdLst/>
                            <a:ahLst/>
                            <a:cxnLst/>
                            <a:rect l="0" t="0" r="0" b="0"/>
                            <a:pathLst>
                              <a:path w="99695" h="579628">
                                <a:moveTo>
                                  <a:pt x="49657" y="579628"/>
                                </a:moveTo>
                                <a:cubicBezTo>
                                  <a:pt x="33020" y="578231"/>
                                  <a:pt x="16510" y="576073"/>
                                  <a:pt x="0" y="573151"/>
                                </a:cubicBezTo>
                                <a:lnTo>
                                  <a:pt x="99695"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16" name="Shape 41808"/>
                        <wps:cNvSpPr/>
                        <wps:spPr>
                          <a:xfrm>
                            <a:off x="580974" y="963549"/>
                            <a:ext cx="124206" cy="573151"/>
                          </a:xfrm>
                          <a:custGeom>
                            <a:avLst/>
                            <a:gdLst/>
                            <a:ahLst/>
                            <a:cxnLst/>
                            <a:rect l="0" t="0" r="0" b="0"/>
                            <a:pathLst>
                              <a:path w="124206" h="573151">
                                <a:moveTo>
                                  <a:pt x="124206" y="0"/>
                                </a:moveTo>
                                <a:lnTo>
                                  <a:pt x="24511" y="573151"/>
                                </a:lnTo>
                                <a:cubicBezTo>
                                  <a:pt x="16256" y="571754"/>
                                  <a:pt x="8128" y="570103"/>
                                  <a:pt x="0" y="568325"/>
                                </a:cubicBezTo>
                                <a:lnTo>
                                  <a:pt x="124206" y="0"/>
                                </a:ln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17" name="Shape 41809"/>
                        <wps:cNvSpPr/>
                        <wps:spPr>
                          <a:xfrm>
                            <a:off x="580974" y="963549"/>
                            <a:ext cx="124206" cy="573151"/>
                          </a:xfrm>
                          <a:custGeom>
                            <a:avLst/>
                            <a:gdLst/>
                            <a:ahLst/>
                            <a:cxnLst/>
                            <a:rect l="0" t="0" r="0" b="0"/>
                            <a:pathLst>
                              <a:path w="124206" h="573151">
                                <a:moveTo>
                                  <a:pt x="24511" y="573151"/>
                                </a:moveTo>
                                <a:cubicBezTo>
                                  <a:pt x="16256" y="571754"/>
                                  <a:pt x="8128" y="570103"/>
                                  <a:pt x="0" y="568325"/>
                                </a:cubicBezTo>
                                <a:lnTo>
                                  <a:pt x="124206"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18" name="Shape 41810"/>
                        <wps:cNvSpPr/>
                        <wps:spPr>
                          <a:xfrm>
                            <a:off x="68199" y="390398"/>
                            <a:ext cx="636981" cy="1141476"/>
                          </a:xfrm>
                          <a:custGeom>
                            <a:avLst/>
                            <a:gdLst/>
                            <a:ahLst/>
                            <a:cxnLst/>
                            <a:rect l="0" t="0" r="0" b="0"/>
                            <a:pathLst>
                              <a:path w="636981" h="1141476">
                                <a:moveTo>
                                  <a:pt x="537286" y="0"/>
                                </a:moveTo>
                                <a:lnTo>
                                  <a:pt x="636981" y="573151"/>
                                </a:lnTo>
                                <a:lnTo>
                                  <a:pt x="512775" y="1141476"/>
                                </a:lnTo>
                                <a:cubicBezTo>
                                  <a:pt x="198831" y="1072897"/>
                                  <a:pt x="0" y="762889"/>
                                  <a:pt x="68605" y="448945"/>
                                </a:cubicBezTo>
                                <a:cubicBezTo>
                                  <a:pt x="119088" y="217932"/>
                                  <a:pt x="304368" y="40513"/>
                                  <a:pt x="537286" y="0"/>
                                </a:cubicBezTo>
                                <a:close/>
                              </a:path>
                            </a:pathLst>
                          </a:custGeom>
                          <a:ln w="0" cap="flat">
                            <a:round/>
                          </a:ln>
                        </wps:spPr>
                        <wps:style>
                          <a:lnRef idx="0">
                            <a:srgbClr val="000000">
                              <a:alpha val="0"/>
                            </a:srgbClr>
                          </a:lnRef>
                          <a:fillRef idx="1">
                            <a:srgbClr val="70AD47"/>
                          </a:fillRef>
                          <a:effectRef idx="0">
                            <a:scrgbClr r="0" g="0" b="0"/>
                          </a:effectRef>
                          <a:fontRef idx="none"/>
                        </wps:style>
                        <wps:bodyPr/>
                      </wps:wsp>
                      <wps:wsp>
                        <wps:cNvPr id="19" name="Shape 41811"/>
                        <wps:cNvSpPr/>
                        <wps:spPr>
                          <a:xfrm>
                            <a:off x="68199" y="390398"/>
                            <a:ext cx="636981" cy="1141476"/>
                          </a:xfrm>
                          <a:custGeom>
                            <a:avLst/>
                            <a:gdLst/>
                            <a:ahLst/>
                            <a:cxnLst/>
                            <a:rect l="0" t="0" r="0" b="0"/>
                            <a:pathLst>
                              <a:path w="636981" h="1141476">
                                <a:moveTo>
                                  <a:pt x="512775" y="1141476"/>
                                </a:moveTo>
                                <a:cubicBezTo>
                                  <a:pt x="198831" y="1072897"/>
                                  <a:pt x="0" y="762889"/>
                                  <a:pt x="68605" y="448945"/>
                                </a:cubicBezTo>
                                <a:cubicBezTo>
                                  <a:pt x="119088" y="217932"/>
                                  <a:pt x="304368" y="40513"/>
                                  <a:pt x="537286" y="0"/>
                                </a:cubicBezTo>
                                <a:lnTo>
                                  <a:pt x="636981" y="573151"/>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20" name="Shape 41812"/>
                        <wps:cNvSpPr/>
                        <wps:spPr>
                          <a:xfrm>
                            <a:off x="605485" y="383922"/>
                            <a:ext cx="99695" cy="579627"/>
                          </a:xfrm>
                          <a:custGeom>
                            <a:avLst/>
                            <a:gdLst/>
                            <a:ahLst/>
                            <a:cxnLst/>
                            <a:rect l="0" t="0" r="0" b="0"/>
                            <a:pathLst>
                              <a:path w="99695" h="579627">
                                <a:moveTo>
                                  <a:pt x="49657" y="0"/>
                                </a:moveTo>
                                <a:lnTo>
                                  <a:pt x="99695" y="579627"/>
                                </a:lnTo>
                                <a:lnTo>
                                  <a:pt x="0" y="6476"/>
                                </a:lnTo>
                                <a:cubicBezTo>
                                  <a:pt x="16510" y="3683"/>
                                  <a:pt x="33020" y="1524"/>
                                  <a:pt x="49657" y="0"/>
                                </a:cubicBezTo>
                                <a:close/>
                              </a:path>
                            </a:pathLst>
                          </a:custGeom>
                          <a:ln w="0" cap="flat">
                            <a:round/>
                          </a:ln>
                        </wps:spPr>
                        <wps:style>
                          <a:lnRef idx="0">
                            <a:srgbClr val="000000">
                              <a:alpha val="0"/>
                            </a:srgbClr>
                          </a:lnRef>
                          <a:fillRef idx="1">
                            <a:srgbClr val="255E91"/>
                          </a:fillRef>
                          <a:effectRef idx="0">
                            <a:scrgbClr r="0" g="0" b="0"/>
                          </a:effectRef>
                          <a:fontRef idx="none"/>
                        </wps:style>
                        <wps:bodyPr/>
                      </wps:wsp>
                      <wps:wsp>
                        <wps:cNvPr id="21" name="Shape 41813"/>
                        <wps:cNvSpPr/>
                        <wps:spPr>
                          <a:xfrm>
                            <a:off x="605485" y="383922"/>
                            <a:ext cx="99695" cy="579627"/>
                          </a:xfrm>
                          <a:custGeom>
                            <a:avLst/>
                            <a:gdLst/>
                            <a:ahLst/>
                            <a:cxnLst/>
                            <a:rect l="0" t="0" r="0" b="0"/>
                            <a:pathLst>
                              <a:path w="99695" h="579627">
                                <a:moveTo>
                                  <a:pt x="0" y="6476"/>
                                </a:moveTo>
                                <a:cubicBezTo>
                                  <a:pt x="16510" y="3683"/>
                                  <a:pt x="33020" y="1524"/>
                                  <a:pt x="49657" y="0"/>
                                </a:cubicBezTo>
                                <a:lnTo>
                                  <a:pt x="99695" y="579627"/>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22" name="Shape 41814"/>
                        <wps:cNvSpPr/>
                        <wps:spPr>
                          <a:xfrm>
                            <a:off x="655142" y="383922"/>
                            <a:ext cx="50038" cy="579627"/>
                          </a:xfrm>
                          <a:custGeom>
                            <a:avLst/>
                            <a:gdLst/>
                            <a:ahLst/>
                            <a:cxnLst/>
                            <a:rect l="0" t="0" r="0" b="0"/>
                            <a:pathLst>
                              <a:path w="50038" h="579627">
                                <a:moveTo>
                                  <a:pt x="0" y="0"/>
                                </a:moveTo>
                                <a:lnTo>
                                  <a:pt x="50038" y="579627"/>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23" name="Shape 41815"/>
                        <wps:cNvSpPr/>
                        <wps:spPr>
                          <a:xfrm>
                            <a:off x="655142" y="383922"/>
                            <a:ext cx="50038" cy="579627"/>
                          </a:xfrm>
                          <a:custGeom>
                            <a:avLst/>
                            <a:gdLst/>
                            <a:ahLst/>
                            <a:cxnLst/>
                            <a:rect l="0" t="0" r="0" b="0"/>
                            <a:pathLst>
                              <a:path w="50038" h="579627">
                                <a:moveTo>
                                  <a:pt x="0" y="0"/>
                                </a:moveTo>
                                <a:lnTo>
                                  <a:pt x="50038" y="579627"/>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24" name="Shape 41816"/>
                        <wps:cNvSpPr/>
                        <wps:spPr>
                          <a:xfrm>
                            <a:off x="655142" y="381762"/>
                            <a:ext cx="50038" cy="581787"/>
                          </a:xfrm>
                          <a:custGeom>
                            <a:avLst/>
                            <a:gdLst/>
                            <a:ahLst/>
                            <a:cxnLst/>
                            <a:rect l="0" t="0" r="0" b="0"/>
                            <a:pathLst>
                              <a:path w="50038" h="581787">
                                <a:moveTo>
                                  <a:pt x="50038" y="0"/>
                                </a:moveTo>
                                <a:lnTo>
                                  <a:pt x="50038" y="581787"/>
                                </a:lnTo>
                                <a:lnTo>
                                  <a:pt x="0" y="2160"/>
                                </a:lnTo>
                                <a:cubicBezTo>
                                  <a:pt x="16637" y="762"/>
                                  <a:pt x="33274" y="0"/>
                                  <a:pt x="50038" y="0"/>
                                </a:cubicBezTo>
                                <a:close/>
                              </a:path>
                            </a:pathLst>
                          </a:custGeom>
                          <a:ln w="0" cap="flat">
                            <a:round/>
                          </a:ln>
                        </wps:spPr>
                        <wps:style>
                          <a:lnRef idx="0">
                            <a:srgbClr val="000000">
                              <a:alpha val="0"/>
                            </a:srgbClr>
                          </a:lnRef>
                          <a:fillRef idx="1">
                            <a:srgbClr val="997300"/>
                          </a:fillRef>
                          <a:effectRef idx="0">
                            <a:scrgbClr r="0" g="0" b="0"/>
                          </a:effectRef>
                          <a:fontRef idx="none"/>
                        </wps:style>
                        <wps:bodyPr/>
                      </wps:wsp>
                      <wps:wsp>
                        <wps:cNvPr id="25" name="Shape 41817"/>
                        <wps:cNvSpPr/>
                        <wps:spPr>
                          <a:xfrm>
                            <a:off x="655142" y="381762"/>
                            <a:ext cx="50038" cy="581787"/>
                          </a:xfrm>
                          <a:custGeom>
                            <a:avLst/>
                            <a:gdLst/>
                            <a:ahLst/>
                            <a:cxnLst/>
                            <a:rect l="0" t="0" r="0" b="0"/>
                            <a:pathLst>
                              <a:path w="50038" h="581787">
                                <a:moveTo>
                                  <a:pt x="0" y="2160"/>
                                </a:moveTo>
                                <a:cubicBezTo>
                                  <a:pt x="16637" y="762"/>
                                  <a:pt x="33274" y="0"/>
                                  <a:pt x="50038" y="0"/>
                                </a:cubicBezTo>
                                <a:lnTo>
                                  <a:pt x="50038" y="581787"/>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26" name="Shape 41818"/>
                        <wps:cNvSpPr/>
                        <wps:spPr>
                          <a:xfrm>
                            <a:off x="705180" y="381762"/>
                            <a:ext cx="0" cy="581787"/>
                          </a:xfrm>
                          <a:custGeom>
                            <a:avLst/>
                            <a:gdLst/>
                            <a:ahLst/>
                            <a:cxnLst/>
                            <a:rect l="0" t="0" r="0" b="0"/>
                            <a:pathLst>
                              <a:path h="581787">
                                <a:moveTo>
                                  <a:pt x="0" y="0"/>
                                </a:moveTo>
                                <a:lnTo>
                                  <a:pt x="0" y="581787"/>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27" name="Shape 41819"/>
                        <wps:cNvSpPr/>
                        <wps:spPr>
                          <a:xfrm>
                            <a:off x="743407" y="1544828"/>
                            <a:ext cx="33528" cy="178308"/>
                          </a:xfrm>
                          <a:custGeom>
                            <a:avLst/>
                            <a:gdLst/>
                            <a:ahLst/>
                            <a:cxnLst/>
                            <a:rect l="0" t="0" r="0" b="0"/>
                            <a:pathLst>
                              <a:path w="33528" h="178308">
                                <a:moveTo>
                                  <a:pt x="0" y="0"/>
                                </a:moveTo>
                                <a:lnTo>
                                  <a:pt x="33528" y="178308"/>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28" name="Shape 41820"/>
                        <wps:cNvSpPr/>
                        <wps:spPr>
                          <a:xfrm>
                            <a:off x="693115" y="1544828"/>
                            <a:ext cx="0" cy="155448"/>
                          </a:xfrm>
                          <a:custGeom>
                            <a:avLst/>
                            <a:gdLst/>
                            <a:ahLst/>
                            <a:cxnLst/>
                            <a:rect l="0" t="0" r="0" b="0"/>
                            <a:pathLst>
                              <a:path h="155448">
                                <a:moveTo>
                                  <a:pt x="0" y="0"/>
                                </a:moveTo>
                                <a:lnTo>
                                  <a:pt x="0" y="155448"/>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29" name="Shape 41821"/>
                        <wps:cNvSpPr/>
                        <wps:spPr>
                          <a:xfrm>
                            <a:off x="347167" y="1540256"/>
                            <a:ext cx="283464" cy="10668"/>
                          </a:xfrm>
                          <a:custGeom>
                            <a:avLst/>
                            <a:gdLst/>
                            <a:ahLst/>
                            <a:cxnLst/>
                            <a:rect l="0" t="0" r="0" b="0"/>
                            <a:pathLst>
                              <a:path w="283464" h="10668">
                                <a:moveTo>
                                  <a:pt x="283464" y="0"/>
                                </a:moveTo>
                                <a:lnTo>
                                  <a:pt x="57912" y="10668"/>
                                </a:lnTo>
                                <a:lnTo>
                                  <a:pt x="0" y="10668"/>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30" name="Shape 41822"/>
                        <wps:cNvSpPr/>
                        <wps:spPr>
                          <a:xfrm>
                            <a:off x="475183" y="1534161"/>
                            <a:ext cx="117348" cy="128015"/>
                          </a:xfrm>
                          <a:custGeom>
                            <a:avLst/>
                            <a:gdLst/>
                            <a:ahLst/>
                            <a:cxnLst/>
                            <a:rect l="0" t="0" r="0" b="0"/>
                            <a:pathLst>
                              <a:path w="117348" h="128015">
                                <a:moveTo>
                                  <a:pt x="117348" y="0"/>
                                </a:moveTo>
                                <a:lnTo>
                                  <a:pt x="57912" y="128015"/>
                                </a:lnTo>
                                <a:lnTo>
                                  <a:pt x="0" y="128015"/>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31" name="Shape 41823"/>
                        <wps:cNvSpPr/>
                        <wps:spPr>
                          <a:xfrm>
                            <a:off x="302971" y="368300"/>
                            <a:ext cx="327660" cy="18288"/>
                          </a:xfrm>
                          <a:custGeom>
                            <a:avLst/>
                            <a:gdLst/>
                            <a:ahLst/>
                            <a:cxnLst/>
                            <a:rect l="0" t="0" r="0" b="0"/>
                            <a:pathLst>
                              <a:path w="327660" h="18288">
                                <a:moveTo>
                                  <a:pt x="327660" y="18288"/>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32" name="Shape 41824"/>
                        <wps:cNvSpPr/>
                        <wps:spPr>
                          <a:xfrm>
                            <a:off x="592531" y="330200"/>
                            <a:ext cx="62484" cy="53340"/>
                          </a:xfrm>
                          <a:custGeom>
                            <a:avLst/>
                            <a:gdLst/>
                            <a:ahLst/>
                            <a:cxnLst/>
                            <a:rect l="0" t="0" r="0" b="0"/>
                            <a:pathLst>
                              <a:path w="62484" h="53340">
                                <a:moveTo>
                                  <a:pt x="62484" y="53340"/>
                                </a:moveTo>
                                <a:lnTo>
                                  <a:pt x="56388"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33" name="Shape 41825"/>
                        <wps:cNvSpPr/>
                        <wps:spPr>
                          <a:xfrm>
                            <a:off x="679399" y="327152"/>
                            <a:ext cx="173736" cy="54864"/>
                          </a:xfrm>
                          <a:custGeom>
                            <a:avLst/>
                            <a:gdLst/>
                            <a:ahLst/>
                            <a:cxnLst/>
                            <a:rect l="0" t="0" r="0" b="0"/>
                            <a:pathLst>
                              <a:path w="173736" h="54864">
                                <a:moveTo>
                                  <a:pt x="0" y="54864"/>
                                </a:moveTo>
                                <a:lnTo>
                                  <a:pt x="117348" y="0"/>
                                </a:lnTo>
                                <a:lnTo>
                                  <a:pt x="173736"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34" name="Rectangle 34"/>
                        <wps:cNvSpPr/>
                        <wps:spPr>
                          <a:xfrm>
                            <a:off x="1191463" y="1114425"/>
                            <a:ext cx="108694" cy="154840"/>
                          </a:xfrm>
                          <a:prstGeom prst="rect">
                            <a:avLst/>
                          </a:prstGeom>
                          <a:ln>
                            <a:noFill/>
                          </a:ln>
                        </wps:spPr>
                        <wps:txbx>
                          <w:txbxContent>
                            <w:p w14:paraId="1DD3ACC8"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35" name="Rectangle 35"/>
                        <wps:cNvSpPr/>
                        <wps:spPr>
                          <a:xfrm>
                            <a:off x="930859" y="1114425"/>
                            <a:ext cx="346603" cy="154840"/>
                          </a:xfrm>
                          <a:prstGeom prst="rect">
                            <a:avLst/>
                          </a:prstGeom>
                          <a:ln>
                            <a:noFill/>
                          </a:ln>
                        </wps:spPr>
                        <wps:txbx>
                          <w:txbxContent>
                            <w:p w14:paraId="5C98249C" w14:textId="77777777" w:rsidR="0014164F" w:rsidRDefault="0014164F" w:rsidP="00FD116C">
                              <w:r>
                                <w:rPr>
                                  <w:rFonts w:ascii="Calibri" w:hAnsi="Calibri" w:cs="Calibri"/>
                                  <w:color w:val="404040"/>
                                  <w:sz w:val="18"/>
                                </w:rPr>
                                <w:t>48.63</w:t>
                              </w:r>
                            </w:p>
                          </w:txbxContent>
                        </wps:txbx>
                        <wps:bodyPr horzOverflow="overflow" vert="horz" lIns="0" tIns="0" rIns="0" bIns="0" rtlCol="0">
                          <a:noAutofit/>
                        </wps:bodyPr>
                      </wps:wsp>
                      <wps:wsp>
                        <wps:cNvPr id="36" name="Rectangle 36"/>
                        <wps:cNvSpPr/>
                        <wps:spPr>
                          <a:xfrm>
                            <a:off x="796747" y="1637665"/>
                            <a:ext cx="269530" cy="154840"/>
                          </a:xfrm>
                          <a:prstGeom prst="rect">
                            <a:avLst/>
                          </a:prstGeom>
                          <a:ln>
                            <a:noFill/>
                          </a:ln>
                        </wps:spPr>
                        <wps:txbx>
                          <w:txbxContent>
                            <w:p w14:paraId="53C1581A" w14:textId="77777777" w:rsidR="0014164F" w:rsidRDefault="0014164F" w:rsidP="00FD116C">
                              <w:r>
                                <w:rPr>
                                  <w:rFonts w:ascii="Calibri" w:hAnsi="Calibri" w:cs="Calibri"/>
                                  <w:color w:val="404040"/>
                                  <w:sz w:val="18"/>
                                </w:rPr>
                                <w:t>0.68</w:t>
                              </w:r>
                            </w:p>
                          </w:txbxContent>
                        </wps:txbx>
                        <wps:bodyPr horzOverflow="overflow" vert="horz" lIns="0" tIns="0" rIns="0" bIns="0" rtlCol="0">
                          <a:noAutofit/>
                        </wps:bodyPr>
                      </wps:wsp>
                      <wps:wsp>
                        <wps:cNvPr id="37" name="Rectangle 37"/>
                        <wps:cNvSpPr/>
                        <wps:spPr>
                          <a:xfrm>
                            <a:off x="999401" y="1637665"/>
                            <a:ext cx="108694" cy="154840"/>
                          </a:xfrm>
                          <a:prstGeom prst="rect">
                            <a:avLst/>
                          </a:prstGeom>
                          <a:ln>
                            <a:noFill/>
                          </a:ln>
                        </wps:spPr>
                        <wps:txbx>
                          <w:txbxContent>
                            <w:p w14:paraId="3B5DB8B5"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38" name="Rectangle 38"/>
                        <wps:cNvSpPr/>
                        <wps:spPr>
                          <a:xfrm>
                            <a:off x="418795" y="1723390"/>
                            <a:ext cx="269530" cy="154840"/>
                          </a:xfrm>
                          <a:prstGeom prst="rect">
                            <a:avLst/>
                          </a:prstGeom>
                          <a:ln>
                            <a:noFill/>
                          </a:ln>
                        </wps:spPr>
                        <wps:txbx>
                          <w:txbxContent>
                            <w:p w14:paraId="1583DABD" w14:textId="77777777" w:rsidR="0014164F" w:rsidRDefault="0014164F" w:rsidP="00FD116C">
                              <w:r>
                                <w:rPr>
                                  <w:rFonts w:ascii="Calibri" w:hAnsi="Calibri" w:cs="Calibri"/>
                                  <w:color w:val="404040"/>
                                  <w:sz w:val="18"/>
                                </w:rPr>
                                <w:t>2.05</w:t>
                              </w:r>
                            </w:p>
                          </w:txbxContent>
                        </wps:txbx>
                        <wps:bodyPr horzOverflow="overflow" vert="horz" lIns="0" tIns="0" rIns="0" bIns="0" rtlCol="0">
                          <a:noAutofit/>
                        </wps:bodyPr>
                      </wps:wsp>
                      <wps:wsp>
                        <wps:cNvPr id="39" name="Rectangle 39"/>
                        <wps:cNvSpPr/>
                        <wps:spPr>
                          <a:xfrm>
                            <a:off x="621449" y="1723390"/>
                            <a:ext cx="108694" cy="154840"/>
                          </a:xfrm>
                          <a:prstGeom prst="rect">
                            <a:avLst/>
                          </a:prstGeom>
                          <a:ln>
                            <a:noFill/>
                          </a:ln>
                        </wps:spPr>
                        <wps:txbx>
                          <w:txbxContent>
                            <w:p w14:paraId="7E6B361C"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40" name="Rectangle 40"/>
                        <wps:cNvSpPr/>
                        <wps:spPr>
                          <a:xfrm>
                            <a:off x="246850" y="1464946"/>
                            <a:ext cx="108694" cy="154840"/>
                          </a:xfrm>
                          <a:prstGeom prst="rect">
                            <a:avLst/>
                          </a:prstGeom>
                          <a:ln>
                            <a:noFill/>
                          </a:ln>
                        </wps:spPr>
                        <wps:txbx>
                          <w:txbxContent>
                            <w:p w14:paraId="7207CBE0"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41" name="Rectangle 41"/>
                        <wps:cNvSpPr/>
                        <wps:spPr>
                          <a:xfrm>
                            <a:off x="44196" y="1464946"/>
                            <a:ext cx="269530" cy="154840"/>
                          </a:xfrm>
                          <a:prstGeom prst="rect">
                            <a:avLst/>
                          </a:prstGeom>
                          <a:ln>
                            <a:noFill/>
                          </a:ln>
                        </wps:spPr>
                        <wps:txbx>
                          <w:txbxContent>
                            <w:p w14:paraId="30254C62" w14:textId="77777777" w:rsidR="0014164F" w:rsidRDefault="0014164F" w:rsidP="00FD116C">
                              <w:r>
                                <w:rPr>
                                  <w:rFonts w:ascii="Calibri" w:hAnsi="Calibri" w:cs="Calibri"/>
                                  <w:color w:val="404040"/>
                                  <w:sz w:val="18"/>
                                </w:rPr>
                                <w:t>1.37</w:t>
                              </w:r>
                            </w:p>
                          </w:txbxContent>
                        </wps:txbx>
                        <wps:bodyPr horzOverflow="overflow" vert="horz" lIns="0" tIns="0" rIns="0" bIns="0" rtlCol="0">
                          <a:noAutofit/>
                        </wps:bodyPr>
                      </wps:wsp>
                      <wps:wsp>
                        <wps:cNvPr id="42" name="Rectangle 42"/>
                        <wps:cNvSpPr/>
                        <wps:spPr>
                          <a:xfrm>
                            <a:off x="374866" y="1575562"/>
                            <a:ext cx="108694" cy="154840"/>
                          </a:xfrm>
                          <a:prstGeom prst="rect">
                            <a:avLst/>
                          </a:prstGeom>
                          <a:ln>
                            <a:noFill/>
                          </a:ln>
                        </wps:spPr>
                        <wps:txbx>
                          <w:txbxContent>
                            <w:p w14:paraId="21F016C2"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43" name="Rectangle 43"/>
                        <wps:cNvSpPr/>
                        <wps:spPr>
                          <a:xfrm>
                            <a:off x="172212" y="1575562"/>
                            <a:ext cx="269530" cy="154840"/>
                          </a:xfrm>
                          <a:prstGeom prst="rect">
                            <a:avLst/>
                          </a:prstGeom>
                          <a:ln>
                            <a:noFill/>
                          </a:ln>
                        </wps:spPr>
                        <wps:txbx>
                          <w:txbxContent>
                            <w:p w14:paraId="12A5CB13" w14:textId="77777777" w:rsidR="0014164F" w:rsidRDefault="0014164F" w:rsidP="00FD116C">
                              <w:r>
                                <w:rPr>
                                  <w:rFonts w:ascii="Calibri" w:hAnsi="Calibri" w:cs="Calibri"/>
                                  <w:color w:val="404040"/>
                                  <w:sz w:val="18"/>
                                </w:rPr>
                                <w:t>0.68</w:t>
                              </w:r>
                            </w:p>
                          </w:txbxContent>
                        </wps:txbx>
                        <wps:bodyPr horzOverflow="overflow" vert="horz" lIns="0" tIns="0" rIns="0" bIns="0" rtlCol="0">
                          <a:noAutofit/>
                        </wps:bodyPr>
                      </wps:wsp>
                      <wps:wsp>
                        <wps:cNvPr id="44" name="Rectangle 44"/>
                        <wps:cNvSpPr/>
                        <wps:spPr>
                          <a:xfrm>
                            <a:off x="445122" y="908939"/>
                            <a:ext cx="108694" cy="154840"/>
                          </a:xfrm>
                          <a:prstGeom prst="rect">
                            <a:avLst/>
                          </a:prstGeom>
                          <a:ln>
                            <a:noFill/>
                          </a:ln>
                        </wps:spPr>
                        <wps:txbx>
                          <w:txbxContent>
                            <w:p w14:paraId="7D6C4D06"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45" name="Rectangle 45"/>
                        <wps:cNvSpPr/>
                        <wps:spPr>
                          <a:xfrm>
                            <a:off x="183185" y="908939"/>
                            <a:ext cx="348022" cy="154840"/>
                          </a:xfrm>
                          <a:prstGeom prst="rect">
                            <a:avLst/>
                          </a:prstGeom>
                          <a:ln>
                            <a:noFill/>
                          </a:ln>
                        </wps:spPr>
                        <wps:txbx>
                          <w:txbxContent>
                            <w:p w14:paraId="3ED3D711" w14:textId="77777777" w:rsidR="0014164F" w:rsidRDefault="0014164F" w:rsidP="00FD116C">
                              <w:r>
                                <w:rPr>
                                  <w:rFonts w:ascii="Calibri" w:hAnsi="Calibri" w:cs="Calibri"/>
                                  <w:color w:val="404040"/>
                                  <w:sz w:val="18"/>
                                </w:rPr>
                                <w:t>43.84</w:t>
                              </w:r>
                            </w:p>
                          </w:txbxContent>
                        </wps:txbx>
                        <wps:bodyPr horzOverflow="overflow" vert="horz" lIns="0" tIns="0" rIns="0" bIns="0" rtlCol="0">
                          <a:noAutofit/>
                        </wps:bodyPr>
                      </wps:wsp>
                      <wps:wsp>
                        <wps:cNvPr id="46" name="Rectangle 46"/>
                        <wps:cNvSpPr/>
                        <wps:spPr>
                          <a:xfrm>
                            <a:off x="0" y="281940"/>
                            <a:ext cx="269530" cy="154840"/>
                          </a:xfrm>
                          <a:prstGeom prst="rect">
                            <a:avLst/>
                          </a:prstGeom>
                          <a:ln>
                            <a:noFill/>
                          </a:ln>
                        </wps:spPr>
                        <wps:txbx>
                          <w:txbxContent>
                            <w:p w14:paraId="5FEE72A0" w14:textId="77777777" w:rsidR="0014164F" w:rsidRDefault="0014164F" w:rsidP="00FD116C">
                              <w:r>
                                <w:rPr>
                                  <w:rFonts w:ascii="Calibri" w:hAnsi="Calibri" w:cs="Calibri"/>
                                  <w:color w:val="404040"/>
                                  <w:sz w:val="18"/>
                                </w:rPr>
                                <w:t>1.37</w:t>
                              </w:r>
                            </w:p>
                          </w:txbxContent>
                        </wps:txbx>
                        <wps:bodyPr horzOverflow="overflow" vert="horz" lIns="0" tIns="0" rIns="0" bIns="0" rtlCol="0">
                          <a:noAutofit/>
                        </wps:bodyPr>
                      </wps:wsp>
                      <wps:wsp>
                        <wps:cNvPr id="47" name="Rectangle 47"/>
                        <wps:cNvSpPr/>
                        <wps:spPr>
                          <a:xfrm>
                            <a:off x="202654" y="281940"/>
                            <a:ext cx="108694" cy="154840"/>
                          </a:xfrm>
                          <a:prstGeom prst="rect">
                            <a:avLst/>
                          </a:prstGeom>
                          <a:ln>
                            <a:noFill/>
                          </a:ln>
                        </wps:spPr>
                        <wps:txbx>
                          <w:txbxContent>
                            <w:p w14:paraId="59B060F4"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48" name="Rectangle 48"/>
                        <wps:cNvSpPr/>
                        <wps:spPr>
                          <a:xfrm>
                            <a:off x="248526" y="445389"/>
                            <a:ext cx="108694" cy="154840"/>
                          </a:xfrm>
                          <a:prstGeom prst="rect">
                            <a:avLst/>
                          </a:prstGeom>
                          <a:ln>
                            <a:noFill/>
                          </a:ln>
                        </wps:spPr>
                        <wps:txbx>
                          <w:txbxContent>
                            <w:p w14:paraId="5E846201"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49" name="Rectangle 49"/>
                        <wps:cNvSpPr/>
                        <wps:spPr>
                          <a:xfrm>
                            <a:off x="44806" y="445389"/>
                            <a:ext cx="270594" cy="154840"/>
                          </a:xfrm>
                          <a:prstGeom prst="rect">
                            <a:avLst/>
                          </a:prstGeom>
                          <a:ln>
                            <a:noFill/>
                          </a:ln>
                        </wps:spPr>
                        <wps:txbx>
                          <w:txbxContent>
                            <w:p w14:paraId="17B0B9C0" w14:textId="77777777" w:rsidR="0014164F" w:rsidRDefault="0014164F" w:rsidP="00FD116C">
                              <w:r>
                                <w:rPr>
                                  <w:rFonts w:ascii="Calibri" w:hAnsi="Calibri" w:cs="Calibri"/>
                                  <w:color w:val="404040"/>
                                  <w:sz w:val="18"/>
                                </w:rPr>
                                <w:t>0.00</w:t>
                              </w:r>
                            </w:p>
                          </w:txbxContent>
                        </wps:txbx>
                        <wps:bodyPr horzOverflow="overflow" vert="horz" lIns="0" tIns="0" rIns="0" bIns="0" rtlCol="0">
                          <a:noAutofit/>
                        </wps:bodyPr>
                      </wps:wsp>
                      <wps:wsp>
                        <wps:cNvPr id="50" name="Rectangle 50"/>
                        <wps:cNvSpPr/>
                        <wps:spPr>
                          <a:xfrm>
                            <a:off x="491274" y="244222"/>
                            <a:ext cx="108694" cy="154840"/>
                          </a:xfrm>
                          <a:prstGeom prst="rect">
                            <a:avLst/>
                          </a:prstGeom>
                          <a:ln>
                            <a:noFill/>
                          </a:ln>
                        </wps:spPr>
                        <wps:txbx>
                          <w:txbxContent>
                            <w:p w14:paraId="71D2B81D"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51" name="Rectangle 51"/>
                        <wps:cNvSpPr/>
                        <wps:spPr>
                          <a:xfrm>
                            <a:off x="288620" y="244222"/>
                            <a:ext cx="269530" cy="154840"/>
                          </a:xfrm>
                          <a:prstGeom prst="rect">
                            <a:avLst/>
                          </a:prstGeom>
                          <a:ln>
                            <a:noFill/>
                          </a:ln>
                        </wps:spPr>
                        <wps:txbx>
                          <w:txbxContent>
                            <w:p w14:paraId="3BEE27AC" w14:textId="77777777" w:rsidR="0014164F" w:rsidRDefault="0014164F" w:rsidP="00FD116C">
                              <w:r>
                                <w:rPr>
                                  <w:rFonts w:ascii="Calibri" w:hAnsi="Calibri" w:cs="Calibri"/>
                                  <w:color w:val="404040"/>
                                  <w:sz w:val="18"/>
                                </w:rPr>
                                <w:t>0.00</w:t>
                              </w:r>
                            </w:p>
                          </w:txbxContent>
                        </wps:txbx>
                        <wps:bodyPr horzOverflow="overflow" vert="horz" lIns="0" tIns="0" rIns="0" bIns="0" rtlCol="0">
                          <a:noAutofit/>
                        </wps:bodyPr>
                      </wps:wsp>
                      <wps:wsp>
                        <wps:cNvPr id="52" name="Rectangle 52"/>
                        <wps:cNvSpPr/>
                        <wps:spPr>
                          <a:xfrm>
                            <a:off x="1075347" y="240538"/>
                            <a:ext cx="108694" cy="154840"/>
                          </a:xfrm>
                          <a:prstGeom prst="rect">
                            <a:avLst/>
                          </a:prstGeom>
                          <a:ln>
                            <a:noFill/>
                          </a:ln>
                        </wps:spPr>
                        <wps:txbx>
                          <w:txbxContent>
                            <w:p w14:paraId="3A74C422"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53" name="Rectangle 53"/>
                        <wps:cNvSpPr/>
                        <wps:spPr>
                          <a:xfrm>
                            <a:off x="872693" y="240538"/>
                            <a:ext cx="269530" cy="154840"/>
                          </a:xfrm>
                          <a:prstGeom prst="rect">
                            <a:avLst/>
                          </a:prstGeom>
                          <a:ln>
                            <a:noFill/>
                          </a:ln>
                        </wps:spPr>
                        <wps:txbx>
                          <w:txbxContent>
                            <w:p w14:paraId="2C950D3E" w14:textId="77777777" w:rsidR="0014164F" w:rsidRDefault="0014164F" w:rsidP="00FD116C">
                              <w:r>
                                <w:rPr>
                                  <w:rFonts w:ascii="Calibri" w:hAnsi="Calibri" w:cs="Calibri"/>
                                  <w:color w:val="404040"/>
                                  <w:sz w:val="18"/>
                                </w:rPr>
                                <w:t>1.37</w:t>
                              </w:r>
                            </w:p>
                          </w:txbxContent>
                        </wps:txbx>
                        <wps:bodyPr horzOverflow="overflow" vert="horz" lIns="0" tIns="0" rIns="0" bIns="0" rtlCol="0">
                          <a:noAutofit/>
                        </wps:bodyPr>
                      </wps:wsp>
                      <wps:wsp>
                        <wps:cNvPr id="54" name="Rectangle 54"/>
                        <wps:cNvSpPr/>
                        <wps:spPr>
                          <a:xfrm>
                            <a:off x="1080211" y="345060"/>
                            <a:ext cx="269530" cy="154840"/>
                          </a:xfrm>
                          <a:prstGeom prst="rect">
                            <a:avLst/>
                          </a:prstGeom>
                          <a:ln>
                            <a:noFill/>
                          </a:ln>
                        </wps:spPr>
                        <wps:txbx>
                          <w:txbxContent>
                            <w:p w14:paraId="6D29C289" w14:textId="77777777" w:rsidR="0014164F" w:rsidRDefault="0014164F" w:rsidP="00FD116C">
                              <w:r>
                                <w:rPr>
                                  <w:rFonts w:ascii="Calibri" w:hAnsi="Calibri" w:cs="Calibri"/>
                                  <w:color w:val="404040"/>
                                  <w:sz w:val="18"/>
                                </w:rPr>
                                <w:t>0.00</w:t>
                              </w:r>
                            </w:p>
                          </w:txbxContent>
                        </wps:txbx>
                        <wps:bodyPr horzOverflow="overflow" vert="horz" lIns="0" tIns="0" rIns="0" bIns="0" rtlCol="0">
                          <a:noAutofit/>
                        </wps:bodyPr>
                      </wps:wsp>
                      <wps:wsp>
                        <wps:cNvPr id="55" name="Rectangle 55"/>
                        <wps:cNvSpPr/>
                        <wps:spPr>
                          <a:xfrm>
                            <a:off x="1282865" y="345060"/>
                            <a:ext cx="108694" cy="154840"/>
                          </a:xfrm>
                          <a:prstGeom prst="rect">
                            <a:avLst/>
                          </a:prstGeom>
                          <a:ln>
                            <a:noFill/>
                          </a:ln>
                        </wps:spPr>
                        <wps:txbx>
                          <w:txbxContent>
                            <w:p w14:paraId="7618F8C1"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56" name="Shape 922383"/>
                        <wps:cNvSpPr/>
                        <wps:spPr>
                          <a:xfrm>
                            <a:off x="1574749" y="280670"/>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57" name="Shape 41838"/>
                        <wps:cNvSpPr/>
                        <wps:spPr>
                          <a:xfrm>
                            <a:off x="1574749" y="280670"/>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58" name="Rectangle 58"/>
                        <wps:cNvSpPr/>
                        <wps:spPr>
                          <a:xfrm>
                            <a:off x="1646885" y="246048"/>
                            <a:ext cx="472753" cy="151421"/>
                          </a:xfrm>
                          <a:prstGeom prst="rect">
                            <a:avLst/>
                          </a:prstGeom>
                          <a:ln>
                            <a:noFill/>
                          </a:ln>
                        </wps:spPr>
                        <wps:txbx>
                          <w:txbxContent>
                            <w:p w14:paraId="370BEF09" w14:textId="77777777" w:rsidR="0014164F" w:rsidRDefault="0014164F" w:rsidP="00FD116C">
                              <w:r>
                                <w:rPr>
                                  <w:rFonts w:ascii="Arial" w:eastAsia="Arial" w:hAnsi="Arial" w:cs="Arial"/>
                                  <w:color w:val="595959"/>
                                  <w:sz w:val="16"/>
                                </w:rPr>
                                <w:t>Plastika</w:t>
                              </w:r>
                            </w:p>
                          </w:txbxContent>
                        </wps:txbx>
                        <wps:bodyPr horzOverflow="overflow" vert="horz" lIns="0" tIns="0" rIns="0" bIns="0" rtlCol="0">
                          <a:noAutofit/>
                        </wps:bodyPr>
                      </wps:wsp>
                      <wps:wsp>
                        <wps:cNvPr id="59" name="Shape 922384"/>
                        <wps:cNvSpPr/>
                        <wps:spPr>
                          <a:xfrm>
                            <a:off x="1574749" y="410210"/>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60" name="Shape 41841"/>
                        <wps:cNvSpPr/>
                        <wps:spPr>
                          <a:xfrm>
                            <a:off x="1574749" y="410210"/>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61" name="Rectangle 61"/>
                        <wps:cNvSpPr/>
                        <wps:spPr>
                          <a:xfrm>
                            <a:off x="1646885" y="374699"/>
                            <a:ext cx="368999" cy="151421"/>
                          </a:xfrm>
                          <a:prstGeom prst="rect">
                            <a:avLst/>
                          </a:prstGeom>
                          <a:ln>
                            <a:noFill/>
                          </a:ln>
                        </wps:spPr>
                        <wps:txbx>
                          <w:txbxContent>
                            <w:p w14:paraId="5FDE0DE6" w14:textId="77777777" w:rsidR="0014164F" w:rsidRDefault="0014164F" w:rsidP="00FD116C">
                              <w:r>
                                <w:rPr>
                                  <w:rFonts w:ascii="Arial" w:eastAsia="Arial" w:hAnsi="Arial" w:cs="Arial"/>
                                  <w:color w:val="595959"/>
                                  <w:sz w:val="16"/>
                                </w:rPr>
                                <w:t>Guma</w:t>
                              </w:r>
                            </w:p>
                          </w:txbxContent>
                        </wps:txbx>
                        <wps:bodyPr horzOverflow="overflow" vert="horz" lIns="0" tIns="0" rIns="0" bIns="0" rtlCol="0">
                          <a:noAutofit/>
                        </wps:bodyPr>
                      </wps:wsp>
                      <wps:wsp>
                        <wps:cNvPr id="62" name="Shape 922385"/>
                        <wps:cNvSpPr/>
                        <wps:spPr>
                          <a:xfrm>
                            <a:off x="1574749" y="538226"/>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63" name="Shape 41844"/>
                        <wps:cNvSpPr/>
                        <wps:spPr>
                          <a:xfrm>
                            <a:off x="1574749" y="538226"/>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896" name="Rectangle 40896"/>
                        <wps:cNvSpPr/>
                        <wps:spPr>
                          <a:xfrm>
                            <a:off x="1646885" y="521293"/>
                            <a:ext cx="428189" cy="127647"/>
                          </a:xfrm>
                          <a:prstGeom prst="rect">
                            <a:avLst/>
                          </a:prstGeom>
                          <a:ln>
                            <a:noFill/>
                          </a:ln>
                        </wps:spPr>
                        <wps:txbx>
                          <w:txbxContent>
                            <w:p w14:paraId="64C82464" w14:textId="77777777" w:rsidR="0014164F" w:rsidRDefault="0014164F" w:rsidP="00FD116C">
                              <w:r>
                                <w:rPr>
                                  <w:rFonts w:ascii="Arial" w:eastAsia="Arial" w:hAnsi="Arial" w:cs="Arial"/>
                                  <w:color w:val="595959"/>
                                  <w:sz w:val="16"/>
                                </w:rPr>
                                <w:t>Odjeća</w:t>
                              </w:r>
                            </w:p>
                          </w:txbxContent>
                        </wps:txbx>
                        <wps:bodyPr horzOverflow="overflow" vert="horz" lIns="0" tIns="0" rIns="0" bIns="0" rtlCol="0">
                          <a:noAutofit/>
                        </wps:bodyPr>
                      </wps:wsp>
                      <wps:wsp>
                        <wps:cNvPr id="40897" name="Shape 922386"/>
                        <wps:cNvSpPr/>
                        <wps:spPr>
                          <a:xfrm>
                            <a:off x="1574749" y="666242"/>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0898" name="Shape 41847"/>
                        <wps:cNvSpPr/>
                        <wps:spPr>
                          <a:xfrm>
                            <a:off x="1574749" y="666242"/>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899" name="Rectangle 40899"/>
                        <wps:cNvSpPr/>
                        <wps:spPr>
                          <a:xfrm>
                            <a:off x="1646885" y="632254"/>
                            <a:ext cx="727657" cy="151421"/>
                          </a:xfrm>
                          <a:prstGeom prst="rect">
                            <a:avLst/>
                          </a:prstGeom>
                          <a:ln>
                            <a:noFill/>
                          </a:ln>
                        </wps:spPr>
                        <wps:txbx>
                          <w:txbxContent>
                            <w:p w14:paraId="6D29097C" w14:textId="77777777" w:rsidR="0014164F" w:rsidRDefault="0014164F" w:rsidP="00FD116C">
                              <w:r>
                                <w:rPr>
                                  <w:rFonts w:ascii="Arial" w:eastAsia="Arial" w:hAnsi="Arial" w:cs="Arial"/>
                                  <w:color w:val="595959"/>
                                  <w:sz w:val="16"/>
                                </w:rPr>
                                <w:t>Papir/karton</w:t>
                              </w:r>
                            </w:p>
                          </w:txbxContent>
                        </wps:txbx>
                        <wps:bodyPr horzOverflow="overflow" vert="horz" lIns="0" tIns="0" rIns="0" bIns="0" rtlCol="0">
                          <a:noAutofit/>
                        </wps:bodyPr>
                      </wps:wsp>
                      <wps:wsp>
                        <wps:cNvPr id="40900" name="Shape 922387"/>
                        <wps:cNvSpPr/>
                        <wps:spPr>
                          <a:xfrm>
                            <a:off x="1574749" y="795782"/>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0901" name="Shape 41850"/>
                        <wps:cNvSpPr/>
                        <wps:spPr>
                          <a:xfrm>
                            <a:off x="1574749" y="795782"/>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02" name="Rectangle 40902"/>
                        <wps:cNvSpPr/>
                        <wps:spPr>
                          <a:xfrm>
                            <a:off x="1646885" y="778849"/>
                            <a:ext cx="901872" cy="127647"/>
                          </a:xfrm>
                          <a:prstGeom prst="rect">
                            <a:avLst/>
                          </a:prstGeom>
                          <a:ln>
                            <a:noFill/>
                          </a:ln>
                        </wps:spPr>
                        <wps:txbx>
                          <w:txbxContent>
                            <w:p w14:paraId="5A5DCF3C" w14:textId="77777777" w:rsidR="0014164F" w:rsidRDefault="0014164F" w:rsidP="00FD116C">
                              <w:r>
                                <w:rPr>
                                  <w:rFonts w:ascii="Arial" w:eastAsia="Arial" w:hAnsi="Arial" w:cs="Arial"/>
                                  <w:color w:val="595959"/>
                                  <w:sz w:val="16"/>
                                </w:rPr>
                                <w:t>Obrađeno drvo</w:t>
                              </w:r>
                            </w:p>
                          </w:txbxContent>
                        </wps:txbx>
                        <wps:bodyPr horzOverflow="overflow" vert="horz" lIns="0" tIns="0" rIns="0" bIns="0" rtlCol="0">
                          <a:noAutofit/>
                        </wps:bodyPr>
                      </wps:wsp>
                      <wps:wsp>
                        <wps:cNvPr id="40903" name="Shape 922388"/>
                        <wps:cNvSpPr/>
                        <wps:spPr>
                          <a:xfrm>
                            <a:off x="1574749" y="923798"/>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0904" name="Shape 41853"/>
                        <wps:cNvSpPr/>
                        <wps:spPr>
                          <a:xfrm>
                            <a:off x="1574749" y="923798"/>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05" name="Rectangle 40905"/>
                        <wps:cNvSpPr/>
                        <wps:spPr>
                          <a:xfrm>
                            <a:off x="1646885" y="889429"/>
                            <a:ext cx="330161" cy="151421"/>
                          </a:xfrm>
                          <a:prstGeom prst="rect">
                            <a:avLst/>
                          </a:prstGeom>
                          <a:ln>
                            <a:noFill/>
                          </a:ln>
                        </wps:spPr>
                        <wps:txbx>
                          <w:txbxContent>
                            <w:p w14:paraId="5BE40DEE" w14:textId="77777777" w:rsidR="0014164F" w:rsidRDefault="0014164F" w:rsidP="00FD116C">
                              <w:r>
                                <w:rPr>
                                  <w:rFonts w:ascii="Arial" w:eastAsia="Arial" w:hAnsi="Arial" w:cs="Arial"/>
                                  <w:color w:val="595959"/>
                                  <w:sz w:val="16"/>
                                </w:rPr>
                                <w:t>Metal</w:t>
                              </w:r>
                            </w:p>
                          </w:txbxContent>
                        </wps:txbx>
                        <wps:bodyPr horzOverflow="overflow" vert="horz" lIns="0" tIns="0" rIns="0" bIns="0" rtlCol="0">
                          <a:noAutofit/>
                        </wps:bodyPr>
                      </wps:wsp>
                      <wps:wsp>
                        <wps:cNvPr id="40906" name="Shape 922389"/>
                        <wps:cNvSpPr/>
                        <wps:spPr>
                          <a:xfrm>
                            <a:off x="1574749" y="1053338"/>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255E91"/>
                          </a:fillRef>
                          <a:effectRef idx="0">
                            <a:scrgbClr r="0" g="0" b="0"/>
                          </a:effectRef>
                          <a:fontRef idx="none"/>
                        </wps:style>
                        <wps:bodyPr/>
                      </wps:wsp>
                      <wps:wsp>
                        <wps:cNvPr id="40907" name="Shape 41856"/>
                        <wps:cNvSpPr/>
                        <wps:spPr>
                          <a:xfrm>
                            <a:off x="1574749" y="1053338"/>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08" name="Rectangle 40908"/>
                        <wps:cNvSpPr/>
                        <wps:spPr>
                          <a:xfrm>
                            <a:off x="1646885" y="1017805"/>
                            <a:ext cx="375549" cy="151873"/>
                          </a:xfrm>
                          <a:prstGeom prst="rect">
                            <a:avLst/>
                          </a:prstGeom>
                          <a:ln>
                            <a:noFill/>
                          </a:ln>
                        </wps:spPr>
                        <wps:txbx>
                          <w:txbxContent>
                            <w:p w14:paraId="56F75B32" w14:textId="77777777" w:rsidR="0014164F" w:rsidRDefault="0014164F" w:rsidP="00FD116C">
                              <w:r>
                                <w:rPr>
                                  <w:rFonts w:ascii="Arial" w:eastAsia="Arial" w:hAnsi="Arial" w:cs="Arial"/>
                                  <w:color w:val="595959"/>
                                  <w:sz w:val="16"/>
                                </w:rPr>
                                <w:t>Staklo</w:t>
                              </w:r>
                            </w:p>
                          </w:txbxContent>
                        </wps:txbx>
                        <wps:bodyPr horzOverflow="overflow" vert="horz" lIns="0" tIns="0" rIns="0" bIns="0" rtlCol="0">
                          <a:noAutofit/>
                        </wps:bodyPr>
                      </wps:wsp>
                      <wps:wsp>
                        <wps:cNvPr id="40909" name="Shape 922390"/>
                        <wps:cNvSpPr/>
                        <wps:spPr>
                          <a:xfrm>
                            <a:off x="1574749" y="1181354"/>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0910" name="Shape 41859"/>
                        <wps:cNvSpPr/>
                        <wps:spPr>
                          <a:xfrm>
                            <a:off x="1574749" y="1181354"/>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11" name="Rectangle 40911"/>
                        <wps:cNvSpPr/>
                        <wps:spPr>
                          <a:xfrm>
                            <a:off x="1646885" y="1146986"/>
                            <a:ext cx="571754" cy="151421"/>
                          </a:xfrm>
                          <a:prstGeom prst="rect">
                            <a:avLst/>
                          </a:prstGeom>
                          <a:ln>
                            <a:noFill/>
                          </a:ln>
                        </wps:spPr>
                        <wps:txbx>
                          <w:txbxContent>
                            <w:p w14:paraId="6A72710B" w14:textId="77777777" w:rsidR="0014164F" w:rsidRDefault="0014164F" w:rsidP="00FD116C">
                              <w:r>
                                <w:rPr>
                                  <w:rFonts w:ascii="Arial" w:eastAsia="Arial" w:hAnsi="Arial" w:cs="Arial"/>
                                  <w:color w:val="595959"/>
                                  <w:sz w:val="16"/>
                                </w:rPr>
                                <w:t>Keramika</w:t>
                              </w:r>
                            </w:p>
                          </w:txbxContent>
                        </wps:txbx>
                        <wps:bodyPr horzOverflow="overflow" vert="horz" lIns="0" tIns="0" rIns="0" bIns="0" rtlCol="0">
                          <a:noAutofit/>
                        </wps:bodyPr>
                      </wps:wsp>
                      <wps:wsp>
                        <wps:cNvPr id="40912" name="Shape 922391"/>
                        <wps:cNvSpPr/>
                        <wps:spPr>
                          <a:xfrm>
                            <a:off x="1574749" y="1310894"/>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636363"/>
                          </a:fillRef>
                          <a:effectRef idx="0">
                            <a:scrgbClr r="0" g="0" b="0"/>
                          </a:effectRef>
                          <a:fontRef idx="none"/>
                        </wps:style>
                        <wps:bodyPr/>
                      </wps:wsp>
                      <wps:wsp>
                        <wps:cNvPr id="40913" name="Shape 41862"/>
                        <wps:cNvSpPr/>
                        <wps:spPr>
                          <a:xfrm>
                            <a:off x="1574749" y="1310894"/>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14" name="Rectangle 40914"/>
                        <wps:cNvSpPr/>
                        <wps:spPr>
                          <a:xfrm>
                            <a:off x="1646885" y="1275637"/>
                            <a:ext cx="908004" cy="151421"/>
                          </a:xfrm>
                          <a:prstGeom prst="rect">
                            <a:avLst/>
                          </a:prstGeom>
                          <a:ln>
                            <a:noFill/>
                          </a:ln>
                        </wps:spPr>
                        <wps:txbx>
                          <w:txbxContent>
                            <w:p w14:paraId="436791B5" w14:textId="77777777" w:rsidR="0014164F" w:rsidRDefault="0014164F" w:rsidP="00FD116C">
                              <w:r>
                                <w:rPr>
                                  <w:rFonts w:ascii="Arial" w:eastAsia="Arial" w:hAnsi="Arial" w:cs="Arial"/>
                                  <w:color w:val="595959"/>
                                  <w:sz w:val="16"/>
                                </w:rPr>
                                <w:t>Sanitarni otpad</w:t>
                              </w:r>
                            </w:p>
                          </w:txbxContent>
                        </wps:txbx>
                        <wps:bodyPr horzOverflow="overflow" vert="horz" lIns="0" tIns="0" rIns="0" bIns="0" rtlCol="0">
                          <a:noAutofit/>
                        </wps:bodyPr>
                      </wps:wsp>
                      <wps:wsp>
                        <wps:cNvPr id="40915" name="Shape 922392"/>
                        <wps:cNvSpPr/>
                        <wps:spPr>
                          <a:xfrm>
                            <a:off x="1574749" y="1438910"/>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997300"/>
                          </a:fillRef>
                          <a:effectRef idx="0">
                            <a:scrgbClr r="0" g="0" b="0"/>
                          </a:effectRef>
                          <a:fontRef idx="none"/>
                        </wps:style>
                        <wps:bodyPr/>
                      </wps:wsp>
                      <wps:wsp>
                        <wps:cNvPr id="40916" name="Shape 41865"/>
                        <wps:cNvSpPr/>
                        <wps:spPr>
                          <a:xfrm>
                            <a:off x="1574749" y="1438910"/>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17" name="Rectangle 40917"/>
                        <wps:cNvSpPr/>
                        <wps:spPr>
                          <a:xfrm>
                            <a:off x="1646885" y="1404012"/>
                            <a:ext cx="1007968" cy="151873"/>
                          </a:xfrm>
                          <a:prstGeom prst="rect">
                            <a:avLst/>
                          </a:prstGeom>
                          <a:ln>
                            <a:noFill/>
                          </a:ln>
                        </wps:spPr>
                        <wps:txbx>
                          <w:txbxContent>
                            <w:p w14:paraId="774D9701" w14:textId="77777777" w:rsidR="0014164F" w:rsidRDefault="0014164F" w:rsidP="00FD116C">
                              <w:r>
                                <w:rPr>
                                  <w:rFonts w:ascii="Arial" w:eastAsia="Arial" w:hAnsi="Arial" w:cs="Arial"/>
                                  <w:color w:val="595959"/>
                                  <w:sz w:val="16"/>
                                </w:rPr>
                                <w:t>Medicinski otpad</w:t>
                              </w:r>
                            </w:p>
                          </w:txbxContent>
                        </wps:txbx>
                        <wps:bodyPr horzOverflow="overflow" vert="horz" lIns="0" tIns="0" rIns="0" bIns="0" rtlCol="0">
                          <a:noAutofit/>
                        </wps:bodyPr>
                      </wps:wsp>
                      <wps:wsp>
                        <wps:cNvPr id="40918" name="Shape 922393"/>
                        <wps:cNvSpPr/>
                        <wps:spPr>
                          <a:xfrm>
                            <a:off x="1574749" y="1568450"/>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0919" name="Shape 41868"/>
                        <wps:cNvSpPr/>
                        <wps:spPr>
                          <a:xfrm>
                            <a:off x="1574749" y="1568450"/>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20" name="Rectangle 40920"/>
                        <wps:cNvSpPr/>
                        <wps:spPr>
                          <a:xfrm>
                            <a:off x="1646885" y="1533193"/>
                            <a:ext cx="819439" cy="151421"/>
                          </a:xfrm>
                          <a:prstGeom prst="rect">
                            <a:avLst/>
                          </a:prstGeom>
                          <a:ln>
                            <a:noFill/>
                          </a:ln>
                        </wps:spPr>
                        <wps:txbx>
                          <w:txbxContent>
                            <w:p w14:paraId="76A701CA" w14:textId="77777777" w:rsidR="0014164F" w:rsidRDefault="0014164F" w:rsidP="00FD116C">
                              <w:r>
                                <w:rPr>
                                  <w:rFonts w:ascii="Arial" w:eastAsia="Arial" w:hAnsi="Arial" w:cs="Arial"/>
                                  <w:color w:val="595959"/>
                                  <w:sz w:val="16"/>
                                </w:rPr>
                                <w:t>Parafin/vosak</w:t>
                              </w:r>
                            </w:p>
                          </w:txbxContent>
                        </wps:txbx>
                        <wps:bodyPr horzOverflow="overflow" vert="horz" lIns="0" tIns="0" rIns="0" bIns="0" rtlCol="0">
                          <a:noAutofit/>
                        </wps:bodyPr>
                      </wps:wsp>
                      <wps:wsp>
                        <wps:cNvPr id="40921" name="Shape 41871"/>
                        <wps:cNvSpPr/>
                        <wps:spPr>
                          <a:xfrm>
                            <a:off x="3276549" y="211836"/>
                            <a:ext cx="936625" cy="1230123"/>
                          </a:xfrm>
                          <a:custGeom>
                            <a:avLst/>
                            <a:gdLst/>
                            <a:ahLst/>
                            <a:cxnLst/>
                            <a:rect l="0" t="0" r="0" b="0"/>
                            <a:pathLst>
                              <a:path w="936625" h="1230123">
                                <a:moveTo>
                                  <a:pt x="321564" y="0"/>
                                </a:moveTo>
                                <a:cubicBezTo>
                                  <a:pt x="661289" y="0"/>
                                  <a:pt x="936625" y="275337"/>
                                  <a:pt x="936625" y="615062"/>
                                </a:cubicBezTo>
                                <a:cubicBezTo>
                                  <a:pt x="936625" y="954787"/>
                                  <a:pt x="661289" y="1230123"/>
                                  <a:pt x="321564" y="1230123"/>
                                </a:cubicBezTo>
                                <a:cubicBezTo>
                                  <a:pt x="208153" y="1230123"/>
                                  <a:pt x="96774" y="1198753"/>
                                  <a:pt x="0" y="1139444"/>
                                </a:cubicBezTo>
                                <a:lnTo>
                                  <a:pt x="321564" y="615062"/>
                                </a:lnTo>
                                <a:lnTo>
                                  <a:pt x="321564" y="0"/>
                                </a:ln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40922" name="Shape 41872"/>
                        <wps:cNvSpPr/>
                        <wps:spPr>
                          <a:xfrm>
                            <a:off x="3276549" y="211836"/>
                            <a:ext cx="936625" cy="1230123"/>
                          </a:xfrm>
                          <a:custGeom>
                            <a:avLst/>
                            <a:gdLst/>
                            <a:ahLst/>
                            <a:cxnLst/>
                            <a:rect l="0" t="0" r="0" b="0"/>
                            <a:pathLst>
                              <a:path w="936625" h="1230123">
                                <a:moveTo>
                                  <a:pt x="321564" y="0"/>
                                </a:moveTo>
                                <a:cubicBezTo>
                                  <a:pt x="661289" y="0"/>
                                  <a:pt x="936625" y="275337"/>
                                  <a:pt x="936625" y="615062"/>
                                </a:cubicBezTo>
                                <a:cubicBezTo>
                                  <a:pt x="936625" y="954787"/>
                                  <a:pt x="661289" y="1230123"/>
                                  <a:pt x="321564" y="1230123"/>
                                </a:cubicBezTo>
                                <a:cubicBezTo>
                                  <a:pt x="208153" y="1230123"/>
                                  <a:pt x="96774" y="1198753"/>
                                  <a:pt x="0" y="1139444"/>
                                </a:cubicBezTo>
                                <a:lnTo>
                                  <a:pt x="321564" y="61506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23" name="Shape 41873"/>
                        <wps:cNvSpPr/>
                        <wps:spPr>
                          <a:xfrm>
                            <a:off x="3141548" y="826898"/>
                            <a:ext cx="456565" cy="524383"/>
                          </a:xfrm>
                          <a:custGeom>
                            <a:avLst/>
                            <a:gdLst/>
                            <a:ahLst/>
                            <a:cxnLst/>
                            <a:rect l="0" t="0" r="0" b="0"/>
                            <a:pathLst>
                              <a:path w="456565" h="524383">
                                <a:moveTo>
                                  <a:pt x="456565" y="0"/>
                                </a:moveTo>
                                <a:lnTo>
                                  <a:pt x="135001" y="524383"/>
                                </a:lnTo>
                                <a:cubicBezTo>
                                  <a:pt x="84963" y="493522"/>
                                  <a:pt x="39497" y="455802"/>
                                  <a:pt x="0" y="412114"/>
                                </a:cubicBezTo>
                                <a:lnTo>
                                  <a:pt x="456565" y="0"/>
                                </a:ln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40924" name="Shape 41874"/>
                        <wps:cNvSpPr/>
                        <wps:spPr>
                          <a:xfrm>
                            <a:off x="3141548" y="826898"/>
                            <a:ext cx="456565" cy="524383"/>
                          </a:xfrm>
                          <a:custGeom>
                            <a:avLst/>
                            <a:gdLst/>
                            <a:ahLst/>
                            <a:cxnLst/>
                            <a:rect l="0" t="0" r="0" b="0"/>
                            <a:pathLst>
                              <a:path w="456565" h="524383">
                                <a:moveTo>
                                  <a:pt x="135001" y="524383"/>
                                </a:moveTo>
                                <a:cubicBezTo>
                                  <a:pt x="84963" y="493522"/>
                                  <a:pt x="39497" y="455802"/>
                                  <a:pt x="0" y="412114"/>
                                </a:cubicBezTo>
                                <a:lnTo>
                                  <a:pt x="456565"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55" name="Shape 41875"/>
                        <wps:cNvSpPr/>
                        <wps:spPr>
                          <a:xfrm>
                            <a:off x="3120085" y="826898"/>
                            <a:ext cx="478028" cy="412114"/>
                          </a:xfrm>
                          <a:custGeom>
                            <a:avLst/>
                            <a:gdLst/>
                            <a:ahLst/>
                            <a:cxnLst/>
                            <a:rect l="0" t="0" r="0" b="0"/>
                            <a:pathLst>
                              <a:path w="478028" h="412114">
                                <a:moveTo>
                                  <a:pt x="478028" y="0"/>
                                </a:moveTo>
                                <a:lnTo>
                                  <a:pt x="21463" y="412114"/>
                                </a:lnTo>
                                <a:cubicBezTo>
                                  <a:pt x="14097" y="403987"/>
                                  <a:pt x="6858" y="395477"/>
                                  <a:pt x="0" y="386969"/>
                                </a:cubicBezTo>
                                <a:lnTo>
                                  <a:pt x="478028" y="0"/>
                                </a:ln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40956" name="Shape 41876"/>
                        <wps:cNvSpPr/>
                        <wps:spPr>
                          <a:xfrm>
                            <a:off x="3120085" y="826898"/>
                            <a:ext cx="478028" cy="412114"/>
                          </a:xfrm>
                          <a:custGeom>
                            <a:avLst/>
                            <a:gdLst/>
                            <a:ahLst/>
                            <a:cxnLst/>
                            <a:rect l="0" t="0" r="0" b="0"/>
                            <a:pathLst>
                              <a:path w="478028" h="412114">
                                <a:moveTo>
                                  <a:pt x="21463" y="412114"/>
                                </a:moveTo>
                                <a:cubicBezTo>
                                  <a:pt x="14097" y="403987"/>
                                  <a:pt x="6858" y="395477"/>
                                  <a:pt x="0" y="386969"/>
                                </a:cubicBezTo>
                                <a:lnTo>
                                  <a:pt x="478028"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57" name="Shape 41877"/>
                        <wps:cNvSpPr/>
                        <wps:spPr>
                          <a:xfrm>
                            <a:off x="3112592" y="826898"/>
                            <a:ext cx="485521" cy="386969"/>
                          </a:xfrm>
                          <a:custGeom>
                            <a:avLst/>
                            <a:gdLst/>
                            <a:ahLst/>
                            <a:cxnLst/>
                            <a:rect l="0" t="0" r="0" b="0"/>
                            <a:pathLst>
                              <a:path w="485521" h="386969">
                                <a:moveTo>
                                  <a:pt x="485521" y="0"/>
                                </a:moveTo>
                                <a:lnTo>
                                  <a:pt x="7493" y="386969"/>
                                </a:lnTo>
                                <a:cubicBezTo>
                                  <a:pt x="4953" y="383921"/>
                                  <a:pt x="2540" y="380746"/>
                                  <a:pt x="0" y="377571"/>
                                </a:cubicBezTo>
                                <a:lnTo>
                                  <a:pt x="485521" y="0"/>
                                </a:lnTo>
                                <a:close/>
                              </a:path>
                            </a:pathLst>
                          </a:custGeom>
                          <a:ln w="0" cap="flat">
                            <a:round/>
                          </a:ln>
                        </wps:spPr>
                        <wps:style>
                          <a:lnRef idx="0">
                            <a:srgbClr val="000000">
                              <a:alpha val="0"/>
                            </a:srgbClr>
                          </a:lnRef>
                          <a:fillRef idx="1">
                            <a:srgbClr val="FFC000"/>
                          </a:fillRef>
                          <a:effectRef idx="0">
                            <a:scrgbClr r="0" g="0" b="0"/>
                          </a:effectRef>
                          <a:fontRef idx="none"/>
                        </wps:style>
                        <wps:bodyPr/>
                      </wps:wsp>
                      <wps:wsp>
                        <wps:cNvPr id="40958" name="Shape 41878"/>
                        <wps:cNvSpPr/>
                        <wps:spPr>
                          <a:xfrm>
                            <a:off x="3112592" y="826898"/>
                            <a:ext cx="485521" cy="386969"/>
                          </a:xfrm>
                          <a:custGeom>
                            <a:avLst/>
                            <a:gdLst/>
                            <a:ahLst/>
                            <a:cxnLst/>
                            <a:rect l="0" t="0" r="0" b="0"/>
                            <a:pathLst>
                              <a:path w="485521" h="386969">
                                <a:moveTo>
                                  <a:pt x="7493" y="386969"/>
                                </a:moveTo>
                                <a:cubicBezTo>
                                  <a:pt x="4953" y="383921"/>
                                  <a:pt x="2540" y="380746"/>
                                  <a:pt x="0" y="377571"/>
                                </a:cubicBezTo>
                                <a:lnTo>
                                  <a:pt x="485521"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59" name="Shape 41879"/>
                        <wps:cNvSpPr/>
                        <wps:spPr>
                          <a:xfrm>
                            <a:off x="3094812" y="826898"/>
                            <a:ext cx="503301" cy="377571"/>
                          </a:xfrm>
                          <a:custGeom>
                            <a:avLst/>
                            <a:gdLst/>
                            <a:ahLst/>
                            <a:cxnLst/>
                            <a:rect l="0" t="0" r="0" b="0"/>
                            <a:pathLst>
                              <a:path w="503301" h="377571">
                                <a:moveTo>
                                  <a:pt x="503301" y="0"/>
                                </a:moveTo>
                                <a:lnTo>
                                  <a:pt x="17780" y="377571"/>
                                </a:lnTo>
                                <a:cubicBezTo>
                                  <a:pt x="11684" y="369697"/>
                                  <a:pt x="5715" y="361696"/>
                                  <a:pt x="0" y="353440"/>
                                </a:cubicBezTo>
                                <a:lnTo>
                                  <a:pt x="503301" y="0"/>
                                </a:lnTo>
                                <a:close/>
                              </a:path>
                            </a:pathLst>
                          </a:custGeom>
                          <a:ln w="0" cap="flat">
                            <a:round/>
                          </a:ln>
                        </wps:spPr>
                        <wps:style>
                          <a:lnRef idx="0">
                            <a:srgbClr val="000000">
                              <a:alpha val="0"/>
                            </a:srgbClr>
                          </a:lnRef>
                          <a:fillRef idx="1">
                            <a:srgbClr val="4472C4"/>
                          </a:fillRef>
                          <a:effectRef idx="0">
                            <a:scrgbClr r="0" g="0" b="0"/>
                          </a:effectRef>
                          <a:fontRef idx="none"/>
                        </wps:style>
                        <wps:bodyPr/>
                      </wps:wsp>
                      <wps:wsp>
                        <wps:cNvPr id="922449" name="Shape 41880"/>
                        <wps:cNvSpPr/>
                        <wps:spPr>
                          <a:xfrm>
                            <a:off x="3094812" y="826898"/>
                            <a:ext cx="503301" cy="377571"/>
                          </a:xfrm>
                          <a:custGeom>
                            <a:avLst/>
                            <a:gdLst/>
                            <a:ahLst/>
                            <a:cxnLst/>
                            <a:rect l="0" t="0" r="0" b="0"/>
                            <a:pathLst>
                              <a:path w="503301" h="377571">
                                <a:moveTo>
                                  <a:pt x="17780" y="377571"/>
                                </a:moveTo>
                                <a:cubicBezTo>
                                  <a:pt x="11684" y="369697"/>
                                  <a:pt x="5715" y="361696"/>
                                  <a:pt x="0" y="353440"/>
                                </a:cubicBezTo>
                                <a:lnTo>
                                  <a:pt x="503301"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922450" name="Shape 41881"/>
                        <wps:cNvSpPr/>
                        <wps:spPr>
                          <a:xfrm>
                            <a:off x="2899613" y="289179"/>
                            <a:ext cx="698500" cy="891159"/>
                          </a:xfrm>
                          <a:custGeom>
                            <a:avLst/>
                            <a:gdLst/>
                            <a:ahLst/>
                            <a:cxnLst/>
                            <a:rect l="0" t="0" r="0" b="0"/>
                            <a:pathLst>
                              <a:path w="698500" h="891159">
                                <a:moveTo>
                                  <a:pt x="400050" y="0"/>
                                </a:moveTo>
                                <a:lnTo>
                                  <a:pt x="698500" y="537718"/>
                                </a:lnTo>
                                <a:lnTo>
                                  <a:pt x="195199" y="891159"/>
                                </a:lnTo>
                                <a:cubicBezTo>
                                  <a:pt x="0" y="613156"/>
                                  <a:pt x="67056" y="229616"/>
                                  <a:pt x="345059" y="34417"/>
                                </a:cubicBezTo>
                                <a:cubicBezTo>
                                  <a:pt x="362712" y="21971"/>
                                  <a:pt x="381127" y="10414"/>
                                  <a:pt x="400050" y="0"/>
                                </a:cubicBezTo>
                                <a:close/>
                              </a:path>
                            </a:pathLst>
                          </a:custGeom>
                          <a:ln w="0" cap="flat">
                            <a:round/>
                          </a:ln>
                        </wps:spPr>
                        <wps:style>
                          <a:lnRef idx="0">
                            <a:srgbClr val="000000">
                              <a:alpha val="0"/>
                            </a:srgbClr>
                          </a:lnRef>
                          <a:fillRef idx="1">
                            <a:srgbClr val="70AD47"/>
                          </a:fillRef>
                          <a:effectRef idx="0">
                            <a:scrgbClr r="0" g="0" b="0"/>
                          </a:effectRef>
                          <a:fontRef idx="none"/>
                        </wps:style>
                        <wps:bodyPr/>
                      </wps:wsp>
                      <wps:wsp>
                        <wps:cNvPr id="922451" name="Shape 41882"/>
                        <wps:cNvSpPr/>
                        <wps:spPr>
                          <a:xfrm>
                            <a:off x="2899613" y="289179"/>
                            <a:ext cx="698500" cy="891159"/>
                          </a:xfrm>
                          <a:custGeom>
                            <a:avLst/>
                            <a:gdLst/>
                            <a:ahLst/>
                            <a:cxnLst/>
                            <a:rect l="0" t="0" r="0" b="0"/>
                            <a:pathLst>
                              <a:path w="698500" h="891159">
                                <a:moveTo>
                                  <a:pt x="195199" y="891159"/>
                                </a:moveTo>
                                <a:cubicBezTo>
                                  <a:pt x="0" y="613156"/>
                                  <a:pt x="67056" y="229616"/>
                                  <a:pt x="345059" y="34417"/>
                                </a:cubicBezTo>
                                <a:cubicBezTo>
                                  <a:pt x="362712" y="21971"/>
                                  <a:pt x="381127" y="10414"/>
                                  <a:pt x="400050" y="0"/>
                                </a:cubicBezTo>
                                <a:lnTo>
                                  <a:pt x="698500" y="537718"/>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922452" name="Shape 41883"/>
                        <wps:cNvSpPr/>
                        <wps:spPr>
                          <a:xfrm>
                            <a:off x="3299663" y="211836"/>
                            <a:ext cx="298450" cy="615062"/>
                          </a:xfrm>
                          <a:custGeom>
                            <a:avLst/>
                            <a:gdLst/>
                            <a:ahLst/>
                            <a:cxnLst/>
                            <a:rect l="0" t="0" r="0" b="0"/>
                            <a:pathLst>
                              <a:path w="298450" h="615062">
                                <a:moveTo>
                                  <a:pt x="294005" y="0"/>
                                </a:moveTo>
                                <a:lnTo>
                                  <a:pt x="298450" y="615062"/>
                                </a:lnTo>
                                <a:lnTo>
                                  <a:pt x="0" y="77343"/>
                                </a:lnTo>
                                <a:cubicBezTo>
                                  <a:pt x="90043" y="27305"/>
                                  <a:pt x="191135" y="762"/>
                                  <a:pt x="294005" y="0"/>
                                </a:cubicBezTo>
                                <a:close/>
                              </a:path>
                            </a:pathLst>
                          </a:custGeom>
                          <a:ln w="0" cap="flat">
                            <a:round/>
                          </a:ln>
                        </wps:spPr>
                        <wps:style>
                          <a:lnRef idx="0">
                            <a:srgbClr val="000000">
                              <a:alpha val="0"/>
                            </a:srgbClr>
                          </a:lnRef>
                          <a:fillRef idx="1">
                            <a:srgbClr val="255E91"/>
                          </a:fillRef>
                          <a:effectRef idx="0">
                            <a:scrgbClr r="0" g="0" b="0"/>
                          </a:effectRef>
                          <a:fontRef idx="none"/>
                        </wps:style>
                        <wps:bodyPr/>
                      </wps:wsp>
                      <wps:wsp>
                        <wps:cNvPr id="922453" name="Shape 41884"/>
                        <wps:cNvSpPr/>
                        <wps:spPr>
                          <a:xfrm>
                            <a:off x="3299663" y="211836"/>
                            <a:ext cx="298450" cy="615062"/>
                          </a:xfrm>
                          <a:custGeom>
                            <a:avLst/>
                            <a:gdLst/>
                            <a:ahLst/>
                            <a:cxnLst/>
                            <a:rect l="0" t="0" r="0" b="0"/>
                            <a:pathLst>
                              <a:path w="298450" h="615062">
                                <a:moveTo>
                                  <a:pt x="0" y="77343"/>
                                </a:moveTo>
                                <a:cubicBezTo>
                                  <a:pt x="90043" y="27305"/>
                                  <a:pt x="191135" y="762"/>
                                  <a:pt x="294005" y="0"/>
                                </a:cubicBezTo>
                                <a:lnTo>
                                  <a:pt x="298450" y="61506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922454" name="Shape 41885"/>
                        <wps:cNvSpPr/>
                        <wps:spPr>
                          <a:xfrm>
                            <a:off x="3593668" y="211836"/>
                            <a:ext cx="4445" cy="615062"/>
                          </a:xfrm>
                          <a:custGeom>
                            <a:avLst/>
                            <a:gdLst/>
                            <a:ahLst/>
                            <a:cxnLst/>
                            <a:rect l="0" t="0" r="0" b="0"/>
                            <a:pathLst>
                              <a:path w="4445" h="615062">
                                <a:moveTo>
                                  <a:pt x="0" y="0"/>
                                </a:moveTo>
                                <a:lnTo>
                                  <a:pt x="4445" y="61506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922455" name="Shape 41886"/>
                        <wps:cNvSpPr/>
                        <wps:spPr>
                          <a:xfrm>
                            <a:off x="3593668" y="211836"/>
                            <a:ext cx="4445" cy="615062"/>
                          </a:xfrm>
                          <a:custGeom>
                            <a:avLst/>
                            <a:gdLst/>
                            <a:ahLst/>
                            <a:cxnLst/>
                            <a:rect l="0" t="0" r="0" b="0"/>
                            <a:pathLst>
                              <a:path w="4445" h="615062">
                                <a:moveTo>
                                  <a:pt x="0" y="0"/>
                                </a:moveTo>
                                <a:lnTo>
                                  <a:pt x="4445" y="61506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922456" name="Shape 41887"/>
                        <wps:cNvSpPr/>
                        <wps:spPr>
                          <a:xfrm>
                            <a:off x="3593668" y="211836"/>
                            <a:ext cx="4445" cy="615062"/>
                          </a:xfrm>
                          <a:custGeom>
                            <a:avLst/>
                            <a:gdLst/>
                            <a:ahLst/>
                            <a:cxnLst/>
                            <a:rect l="0" t="0" r="0" b="0"/>
                            <a:pathLst>
                              <a:path w="4445" h="615062">
                                <a:moveTo>
                                  <a:pt x="0" y="0"/>
                                </a:moveTo>
                                <a:cubicBezTo>
                                  <a:pt x="1524" y="0"/>
                                  <a:pt x="3048" y="0"/>
                                  <a:pt x="4445" y="0"/>
                                </a:cubicBezTo>
                                <a:lnTo>
                                  <a:pt x="4445" y="615062"/>
                                </a:lnTo>
                                <a:lnTo>
                                  <a:pt x="0" y="0"/>
                                </a:lnTo>
                                <a:close/>
                              </a:path>
                            </a:pathLst>
                          </a:custGeom>
                          <a:ln w="0" cap="flat">
                            <a:round/>
                          </a:ln>
                        </wps:spPr>
                        <wps:style>
                          <a:lnRef idx="0">
                            <a:srgbClr val="000000">
                              <a:alpha val="0"/>
                            </a:srgbClr>
                          </a:lnRef>
                          <a:fillRef idx="1">
                            <a:srgbClr val="997300"/>
                          </a:fillRef>
                          <a:effectRef idx="0">
                            <a:scrgbClr r="0" g="0" b="0"/>
                          </a:effectRef>
                          <a:fontRef idx="none"/>
                        </wps:style>
                        <wps:bodyPr/>
                      </wps:wsp>
                      <wps:wsp>
                        <wps:cNvPr id="922457" name="Shape 41888"/>
                        <wps:cNvSpPr/>
                        <wps:spPr>
                          <a:xfrm>
                            <a:off x="3593668" y="211836"/>
                            <a:ext cx="4445" cy="615062"/>
                          </a:xfrm>
                          <a:custGeom>
                            <a:avLst/>
                            <a:gdLst/>
                            <a:ahLst/>
                            <a:cxnLst/>
                            <a:rect l="0" t="0" r="0" b="0"/>
                            <a:pathLst>
                              <a:path w="4445" h="615062">
                                <a:moveTo>
                                  <a:pt x="0" y="0"/>
                                </a:moveTo>
                                <a:cubicBezTo>
                                  <a:pt x="1524" y="0"/>
                                  <a:pt x="3048" y="0"/>
                                  <a:pt x="4445" y="0"/>
                                </a:cubicBezTo>
                                <a:lnTo>
                                  <a:pt x="4445" y="61506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922458" name="Shape 41889"/>
                        <wps:cNvSpPr/>
                        <wps:spPr>
                          <a:xfrm>
                            <a:off x="3598113" y="211836"/>
                            <a:ext cx="0" cy="615062"/>
                          </a:xfrm>
                          <a:custGeom>
                            <a:avLst/>
                            <a:gdLst/>
                            <a:ahLst/>
                            <a:cxnLst/>
                            <a:rect l="0" t="0" r="0" b="0"/>
                            <a:pathLst>
                              <a:path h="615062">
                                <a:moveTo>
                                  <a:pt x="0" y="0"/>
                                </a:moveTo>
                                <a:lnTo>
                                  <a:pt x="0" y="615062"/>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922459" name="Shape 41890"/>
                        <wps:cNvSpPr/>
                        <wps:spPr>
                          <a:xfrm>
                            <a:off x="4190695" y="994664"/>
                            <a:ext cx="0" cy="505968"/>
                          </a:xfrm>
                          <a:custGeom>
                            <a:avLst/>
                            <a:gdLst/>
                            <a:ahLst/>
                            <a:cxnLst/>
                            <a:rect l="0" t="0" r="0" b="0"/>
                            <a:pathLst>
                              <a:path h="505968">
                                <a:moveTo>
                                  <a:pt x="0" y="0"/>
                                </a:moveTo>
                                <a:lnTo>
                                  <a:pt x="0" y="505968"/>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922460" name="Shape 41891"/>
                        <wps:cNvSpPr/>
                        <wps:spPr>
                          <a:xfrm>
                            <a:off x="3204667" y="1299464"/>
                            <a:ext cx="0" cy="199644"/>
                          </a:xfrm>
                          <a:custGeom>
                            <a:avLst/>
                            <a:gdLst/>
                            <a:ahLst/>
                            <a:cxnLst/>
                            <a:rect l="0" t="0" r="0" b="0"/>
                            <a:pathLst>
                              <a:path h="199644">
                                <a:moveTo>
                                  <a:pt x="0" y="0"/>
                                </a:moveTo>
                                <a:lnTo>
                                  <a:pt x="0" y="199644"/>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922461" name="Shape 41892"/>
                        <wps:cNvSpPr/>
                        <wps:spPr>
                          <a:xfrm>
                            <a:off x="3049219" y="1226312"/>
                            <a:ext cx="80772" cy="289561"/>
                          </a:xfrm>
                          <a:custGeom>
                            <a:avLst/>
                            <a:gdLst/>
                            <a:ahLst/>
                            <a:cxnLst/>
                            <a:rect l="0" t="0" r="0" b="0"/>
                            <a:pathLst>
                              <a:path w="80772" h="289561">
                                <a:moveTo>
                                  <a:pt x="80772" y="0"/>
                                </a:moveTo>
                                <a:lnTo>
                                  <a:pt x="57912" y="289561"/>
                                </a:lnTo>
                                <a:lnTo>
                                  <a:pt x="0" y="289561"/>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922462" name="Shape 41893"/>
                        <wps:cNvSpPr/>
                        <wps:spPr>
                          <a:xfrm>
                            <a:off x="3049219" y="1209548"/>
                            <a:ext cx="67056" cy="173737"/>
                          </a:xfrm>
                          <a:custGeom>
                            <a:avLst/>
                            <a:gdLst/>
                            <a:ahLst/>
                            <a:cxnLst/>
                            <a:rect l="0" t="0" r="0" b="0"/>
                            <a:pathLst>
                              <a:path w="67056" h="173737">
                                <a:moveTo>
                                  <a:pt x="67056" y="0"/>
                                </a:moveTo>
                                <a:lnTo>
                                  <a:pt x="57912" y="173737"/>
                                </a:lnTo>
                                <a:lnTo>
                                  <a:pt x="0" y="173737"/>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922463" name="Shape 41894"/>
                        <wps:cNvSpPr/>
                        <wps:spPr>
                          <a:xfrm>
                            <a:off x="3203143" y="231140"/>
                            <a:ext cx="239268" cy="1524"/>
                          </a:xfrm>
                          <a:custGeom>
                            <a:avLst/>
                            <a:gdLst/>
                            <a:ahLst/>
                            <a:cxnLst/>
                            <a:rect l="0" t="0" r="0" b="0"/>
                            <a:pathLst>
                              <a:path w="239268" h="1524">
                                <a:moveTo>
                                  <a:pt x="239268" y="1524"/>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922464" name="Shape 41895"/>
                        <wps:cNvSpPr/>
                        <wps:spPr>
                          <a:xfrm>
                            <a:off x="3594811" y="337820"/>
                            <a:ext cx="371856" cy="33527"/>
                          </a:xfrm>
                          <a:custGeom>
                            <a:avLst/>
                            <a:gdLst/>
                            <a:ahLst/>
                            <a:cxnLst/>
                            <a:rect l="0" t="0" r="0" b="0"/>
                            <a:pathLst>
                              <a:path w="371856" h="33527">
                                <a:moveTo>
                                  <a:pt x="0" y="33527"/>
                                </a:moveTo>
                                <a:lnTo>
                                  <a:pt x="313944" y="0"/>
                                </a:lnTo>
                                <a:lnTo>
                                  <a:pt x="371856"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922465" name="Shape 41896"/>
                        <wps:cNvSpPr/>
                        <wps:spPr>
                          <a:xfrm>
                            <a:off x="3593287" y="191516"/>
                            <a:ext cx="143256" cy="19812"/>
                          </a:xfrm>
                          <a:custGeom>
                            <a:avLst/>
                            <a:gdLst/>
                            <a:ahLst/>
                            <a:cxnLst/>
                            <a:rect l="0" t="0" r="0" b="0"/>
                            <a:pathLst>
                              <a:path w="143256" h="19812">
                                <a:moveTo>
                                  <a:pt x="0" y="19812"/>
                                </a:moveTo>
                                <a:lnTo>
                                  <a:pt x="85344" y="0"/>
                                </a:lnTo>
                                <a:lnTo>
                                  <a:pt x="143256"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922466" name="Shape 41897"/>
                        <wps:cNvSpPr/>
                        <wps:spPr>
                          <a:xfrm>
                            <a:off x="3509467" y="86361"/>
                            <a:ext cx="86868" cy="124968"/>
                          </a:xfrm>
                          <a:custGeom>
                            <a:avLst/>
                            <a:gdLst/>
                            <a:ahLst/>
                            <a:cxnLst/>
                            <a:rect l="0" t="0" r="0" b="0"/>
                            <a:pathLst>
                              <a:path w="86868" h="124968">
                                <a:moveTo>
                                  <a:pt x="86868" y="124968"/>
                                </a:moveTo>
                                <a:lnTo>
                                  <a:pt x="57912" y="0"/>
                                </a:ln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922467" name="Shape 41898"/>
                        <wps:cNvSpPr/>
                        <wps:spPr>
                          <a:xfrm>
                            <a:off x="3597859" y="116840"/>
                            <a:ext cx="0" cy="94488"/>
                          </a:xfrm>
                          <a:custGeom>
                            <a:avLst/>
                            <a:gdLst/>
                            <a:ahLst/>
                            <a:cxnLst/>
                            <a:rect l="0" t="0" r="0" b="0"/>
                            <a:pathLst>
                              <a:path h="94488">
                                <a:moveTo>
                                  <a:pt x="0" y="94488"/>
                                </a:moveTo>
                                <a:lnTo>
                                  <a:pt x="0" y="0"/>
                                </a:lnTo>
                              </a:path>
                            </a:pathLst>
                          </a:custGeom>
                          <a:ln w="9144" cap="flat">
                            <a:round/>
                          </a:ln>
                        </wps:spPr>
                        <wps:style>
                          <a:lnRef idx="1">
                            <a:srgbClr val="A6A6A6"/>
                          </a:lnRef>
                          <a:fillRef idx="0">
                            <a:srgbClr val="000000">
                              <a:alpha val="0"/>
                            </a:srgbClr>
                          </a:fillRef>
                          <a:effectRef idx="0">
                            <a:scrgbClr r="0" g="0" b="0"/>
                          </a:effectRef>
                          <a:fontRef idx="none"/>
                        </wps:style>
                        <wps:bodyPr/>
                      </wps:wsp>
                      <wps:wsp>
                        <wps:cNvPr id="922468" name="Rectangle 922468"/>
                        <wps:cNvSpPr/>
                        <wps:spPr>
                          <a:xfrm>
                            <a:off x="4134307" y="1523111"/>
                            <a:ext cx="108694" cy="154840"/>
                          </a:xfrm>
                          <a:prstGeom prst="rect">
                            <a:avLst/>
                          </a:prstGeom>
                          <a:ln>
                            <a:noFill/>
                          </a:ln>
                        </wps:spPr>
                        <wps:txbx>
                          <w:txbxContent>
                            <w:p w14:paraId="7FFC891B"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922469" name="Rectangle 922469"/>
                        <wps:cNvSpPr/>
                        <wps:spPr>
                          <a:xfrm>
                            <a:off x="3873703" y="1523111"/>
                            <a:ext cx="346603" cy="154840"/>
                          </a:xfrm>
                          <a:prstGeom prst="rect">
                            <a:avLst/>
                          </a:prstGeom>
                          <a:ln>
                            <a:noFill/>
                          </a:ln>
                        </wps:spPr>
                        <wps:txbx>
                          <w:txbxContent>
                            <w:p w14:paraId="1624D236" w14:textId="77777777" w:rsidR="0014164F" w:rsidRDefault="0014164F" w:rsidP="00FD116C">
                              <w:r>
                                <w:rPr>
                                  <w:rFonts w:ascii="Calibri" w:hAnsi="Calibri" w:cs="Calibri"/>
                                  <w:color w:val="404040"/>
                                  <w:sz w:val="18"/>
                                </w:rPr>
                                <w:t>58.76</w:t>
                              </w:r>
                            </w:p>
                          </w:txbxContent>
                        </wps:txbx>
                        <wps:bodyPr horzOverflow="overflow" vert="horz" lIns="0" tIns="0" rIns="0" bIns="0" rtlCol="0">
                          <a:noAutofit/>
                        </wps:bodyPr>
                      </wps:wsp>
                      <wps:wsp>
                        <wps:cNvPr id="922470" name="Rectangle 922470"/>
                        <wps:cNvSpPr/>
                        <wps:spPr>
                          <a:xfrm>
                            <a:off x="3241459" y="1521587"/>
                            <a:ext cx="108694" cy="154840"/>
                          </a:xfrm>
                          <a:prstGeom prst="rect">
                            <a:avLst/>
                          </a:prstGeom>
                          <a:ln>
                            <a:noFill/>
                          </a:ln>
                        </wps:spPr>
                        <wps:txbx>
                          <w:txbxContent>
                            <w:p w14:paraId="1DA12FC5"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922482" name="Rectangle 922482"/>
                        <wps:cNvSpPr/>
                        <wps:spPr>
                          <a:xfrm>
                            <a:off x="3038805" y="1521587"/>
                            <a:ext cx="269530" cy="154840"/>
                          </a:xfrm>
                          <a:prstGeom prst="rect">
                            <a:avLst/>
                          </a:prstGeom>
                          <a:ln>
                            <a:noFill/>
                          </a:ln>
                        </wps:spPr>
                        <wps:txbx>
                          <w:txbxContent>
                            <w:p w14:paraId="4BB25D5A" w14:textId="77777777" w:rsidR="0014164F" w:rsidRDefault="0014164F" w:rsidP="00FD116C">
                              <w:r>
                                <w:rPr>
                                  <w:rFonts w:ascii="Calibri" w:hAnsi="Calibri" w:cs="Calibri"/>
                                  <w:color w:val="404040"/>
                                  <w:sz w:val="18"/>
                                </w:rPr>
                                <w:t>4.56</w:t>
                              </w:r>
                            </w:p>
                          </w:txbxContent>
                        </wps:txbx>
                        <wps:bodyPr horzOverflow="overflow" vert="horz" lIns="0" tIns="0" rIns="0" bIns="0" rtlCol="0">
                          <a:noAutofit/>
                        </wps:bodyPr>
                      </wps:wsp>
                      <wps:wsp>
                        <wps:cNvPr id="922483" name="Rectangle 922483"/>
                        <wps:cNvSpPr/>
                        <wps:spPr>
                          <a:xfrm>
                            <a:off x="2737053" y="1429512"/>
                            <a:ext cx="269530" cy="154840"/>
                          </a:xfrm>
                          <a:prstGeom prst="rect">
                            <a:avLst/>
                          </a:prstGeom>
                          <a:ln>
                            <a:noFill/>
                          </a:ln>
                        </wps:spPr>
                        <wps:txbx>
                          <w:txbxContent>
                            <w:p w14:paraId="14B415CC" w14:textId="77777777" w:rsidR="0014164F" w:rsidRDefault="0014164F" w:rsidP="00FD116C">
                              <w:r>
                                <w:rPr>
                                  <w:rFonts w:ascii="Calibri" w:hAnsi="Calibri" w:cs="Calibri"/>
                                  <w:color w:val="404040"/>
                                  <w:sz w:val="18"/>
                                </w:rPr>
                                <w:t>0.86</w:t>
                              </w:r>
                            </w:p>
                          </w:txbxContent>
                        </wps:txbx>
                        <wps:bodyPr horzOverflow="overflow" vert="horz" lIns="0" tIns="0" rIns="0" bIns="0" rtlCol="0">
                          <a:noAutofit/>
                        </wps:bodyPr>
                      </wps:wsp>
                      <wps:wsp>
                        <wps:cNvPr id="922484" name="Rectangle 922484"/>
                        <wps:cNvSpPr/>
                        <wps:spPr>
                          <a:xfrm>
                            <a:off x="2939707" y="1429512"/>
                            <a:ext cx="108694" cy="154840"/>
                          </a:xfrm>
                          <a:prstGeom prst="rect">
                            <a:avLst/>
                          </a:prstGeom>
                          <a:ln>
                            <a:noFill/>
                          </a:ln>
                        </wps:spPr>
                        <wps:txbx>
                          <w:txbxContent>
                            <w:p w14:paraId="5BB4ED41"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922485" name="Rectangle 922485"/>
                        <wps:cNvSpPr/>
                        <wps:spPr>
                          <a:xfrm>
                            <a:off x="2939707" y="1296924"/>
                            <a:ext cx="108694" cy="154840"/>
                          </a:xfrm>
                          <a:prstGeom prst="rect">
                            <a:avLst/>
                          </a:prstGeom>
                          <a:ln>
                            <a:noFill/>
                          </a:ln>
                        </wps:spPr>
                        <wps:txbx>
                          <w:txbxContent>
                            <w:p w14:paraId="46FEAEA7"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922486" name="Rectangle 922486"/>
                        <wps:cNvSpPr/>
                        <wps:spPr>
                          <a:xfrm>
                            <a:off x="2737053" y="1296924"/>
                            <a:ext cx="269530" cy="154840"/>
                          </a:xfrm>
                          <a:prstGeom prst="rect">
                            <a:avLst/>
                          </a:prstGeom>
                          <a:ln>
                            <a:noFill/>
                          </a:ln>
                        </wps:spPr>
                        <wps:txbx>
                          <w:txbxContent>
                            <w:p w14:paraId="337F26EB" w14:textId="77777777" w:rsidR="0014164F" w:rsidRDefault="0014164F" w:rsidP="00FD116C">
                              <w:r>
                                <w:rPr>
                                  <w:rFonts w:ascii="Calibri" w:hAnsi="Calibri" w:cs="Calibri"/>
                                  <w:color w:val="404040"/>
                                  <w:sz w:val="18"/>
                                </w:rPr>
                                <w:t>0.31</w:t>
                              </w:r>
                            </w:p>
                          </w:txbxContent>
                        </wps:txbx>
                        <wps:bodyPr horzOverflow="overflow" vert="horz" lIns="0" tIns="0" rIns="0" bIns="0" rtlCol="0">
                          <a:noAutofit/>
                        </wps:bodyPr>
                      </wps:wsp>
                      <wps:wsp>
                        <wps:cNvPr id="922487" name="Rectangle 922487"/>
                        <wps:cNvSpPr/>
                        <wps:spPr>
                          <a:xfrm>
                            <a:off x="2737053" y="1081151"/>
                            <a:ext cx="269530" cy="154840"/>
                          </a:xfrm>
                          <a:prstGeom prst="rect">
                            <a:avLst/>
                          </a:prstGeom>
                          <a:ln>
                            <a:noFill/>
                          </a:ln>
                        </wps:spPr>
                        <wps:txbx>
                          <w:txbxContent>
                            <w:p w14:paraId="3004CE94" w14:textId="77777777" w:rsidR="0014164F" w:rsidRDefault="0014164F" w:rsidP="00FD116C">
                              <w:r>
                                <w:rPr>
                                  <w:rFonts w:ascii="Calibri" w:hAnsi="Calibri" w:cs="Calibri"/>
                                  <w:color w:val="404040"/>
                                  <w:sz w:val="18"/>
                                </w:rPr>
                                <w:t>0.78</w:t>
                              </w:r>
                            </w:p>
                          </w:txbxContent>
                        </wps:txbx>
                        <wps:bodyPr horzOverflow="overflow" vert="horz" lIns="0" tIns="0" rIns="0" bIns="0" rtlCol="0">
                          <a:noAutofit/>
                        </wps:bodyPr>
                      </wps:wsp>
                      <wps:wsp>
                        <wps:cNvPr id="922488" name="Rectangle 922488"/>
                        <wps:cNvSpPr/>
                        <wps:spPr>
                          <a:xfrm>
                            <a:off x="2939707" y="1081151"/>
                            <a:ext cx="108694" cy="154840"/>
                          </a:xfrm>
                          <a:prstGeom prst="rect">
                            <a:avLst/>
                          </a:prstGeom>
                          <a:ln>
                            <a:noFill/>
                          </a:ln>
                        </wps:spPr>
                        <wps:txbx>
                          <w:txbxContent>
                            <w:p w14:paraId="4375C900"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922489" name="Rectangle 922489"/>
                        <wps:cNvSpPr/>
                        <wps:spPr>
                          <a:xfrm>
                            <a:off x="3320491" y="695325"/>
                            <a:ext cx="108694" cy="154840"/>
                          </a:xfrm>
                          <a:prstGeom prst="rect">
                            <a:avLst/>
                          </a:prstGeom>
                          <a:ln>
                            <a:noFill/>
                          </a:ln>
                        </wps:spPr>
                        <wps:txbx>
                          <w:txbxContent>
                            <w:p w14:paraId="18ACD88C"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922490" name="Rectangle 922490"/>
                        <wps:cNvSpPr/>
                        <wps:spPr>
                          <a:xfrm>
                            <a:off x="3059887" y="695325"/>
                            <a:ext cx="346603" cy="154840"/>
                          </a:xfrm>
                          <a:prstGeom prst="rect">
                            <a:avLst/>
                          </a:prstGeom>
                          <a:ln>
                            <a:noFill/>
                          </a:ln>
                        </wps:spPr>
                        <wps:txbx>
                          <w:txbxContent>
                            <w:p w14:paraId="39FC3AA4" w14:textId="77777777" w:rsidR="0014164F" w:rsidRDefault="0014164F" w:rsidP="00FD116C">
                              <w:r>
                                <w:rPr>
                                  <w:rFonts w:ascii="Calibri" w:hAnsi="Calibri" w:cs="Calibri"/>
                                  <w:color w:val="404040"/>
                                  <w:sz w:val="18"/>
                                </w:rPr>
                                <w:t>26.68</w:t>
                              </w:r>
                            </w:p>
                          </w:txbxContent>
                        </wps:txbx>
                        <wps:bodyPr horzOverflow="overflow" vert="horz" lIns="0" tIns="0" rIns="0" bIns="0" rtlCol="0">
                          <a:noAutofit/>
                        </wps:bodyPr>
                      </wps:wsp>
                      <wps:wsp>
                        <wps:cNvPr id="922491" name="Rectangle 922491"/>
                        <wps:cNvSpPr/>
                        <wps:spPr>
                          <a:xfrm>
                            <a:off x="3103410" y="144780"/>
                            <a:ext cx="108694" cy="154840"/>
                          </a:xfrm>
                          <a:prstGeom prst="rect">
                            <a:avLst/>
                          </a:prstGeom>
                          <a:ln>
                            <a:noFill/>
                          </a:ln>
                        </wps:spPr>
                        <wps:txbx>
                          <w:txbxContent>
                            <w:p w14:paraId="1C627FDF"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922492" name="Rectangle 922492"/>
                        <wps:cNvSpPr/>
                        <wps:spPr>
                          <a:xfrm>
                            <a:off x="2900756" y="144780"/>
                            <a:ext cx="269530" cy="154840"/>
                          </a:xfrm>
                          <a:prstGeom prst="rect">
                            <a:avLst/>
                          </a:prstGeom>
                          <a:ln>
                            <a:noFill/>
                          </a:ln>
                        </wps:spPr>
                        <wps:txbx>
                          <w:txbxContent>
                            <w:p w14:paraId="09D03CC5" w14:textId="77777777" w:rsidR="0014164F" w:rsidRDefault="0014164F" w:rsidP="00FD116C">
                              <w:r>
                                <w:rPr>
                                  <w:rFonts w:ascii="Calibri" w:hAnsi="Calibri" w:cs="Calibri"/>
                                  <w:color w:val="404040"/>
                                  <w:sz w:val="18"/>
                                </w:rPr>
                                <w:t>7.95</w:t>
                              </w:r>
                            </w:p>
                          </w:txbxContent>
                        </wps:txbx>
                        <wps:bodyPr horzOverflow="overflow" vert="horz" lIns="0" tIns="0" rIns="0" bIns="0" rtlCol="0">
                          <a:noAutofit/>
                        </wps:bodyPr>
                      </wps:wsp>
                      <wps:wsp>
                        <wps:cNvPr id="922494" name="Rectangle 922494"/>
                        <wps:cNvSpPr/>
                        <wps:spPr>
                          <a:xfrm>
                            <a:off x="3986479" y="251841"/>
                            <a:ext cx="269530" cy="154840"/>
                          </a:xfrm>
                          <a:prstGeom prst="rect">
                            <a:avLst/>
                          </a:prstGeom>
                          <a:ln>
                            <a:noFill/>
                          </a:ln>
                        </wps:spPr>
                        <wps:txbx>
                          <w:txbxContent>
                            <w:p w14:paraId="14B8123C" w14:textId="77777777" w:rsidR="0014164F" w:rsidRDefault="0014164F" w:rsidP="00FD116C">
                              <w:r>
                                <w:rPr>
                                  <w:rFonts w:ascii="Calibri" w:hAnsi="Calibri" w:cs="Calibri"/>
                                  <w:color w:val="404040"/>
                                  <w:sz w:val="18"/>
                                </w:rPr>
                                <w:t>0.00</w:t>
                              </w:r>
                            </w:p>
                          </w:txbxContent>
                        </wps:txbx>
                        <wps:bodyPr horzOverflow="overflow" vert="horz" lIns="0" tIns="0" rIns="0" bIns="0" rtlCol="0">
                          <a:noAutofit/>
                        </wps:bodyPr>
                      </wps:wsp>
                      <wps:wsp>
                        <wps:cNvPr id="922495" name="Rectangle 922495"/>
                        <wps:cNvSpPr/>
                        <wps:spPr>
                          <a:xfrm>
                            <a:off x="4189133" y="251841"/>
                            <a:ext cx="108694" cy="154840"/>
                          </a:xfrm>
                          <a:prstGeom prst="rect">
                            <a:avLst/>
                          </a:prstGeom>
                          <a:ln>
                            <a:noFill/>
                          </a:ln>
                        </wps:spPr>
                        <wps:txbx>
                          <w:txbxContent>
                            <w:p w14:paraId="74A031E7"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40960" name="Rectangle 40960"/>
                        <wps:cNvSpPr/>
                        <wps:spPr>
                          <a:xfrm>
                            <a:off x="3958755" y="104902"/>
                            <a:ext cx="108694" cy="154840"/>
                          </a:xfrm>
                          <a:prstGeom prst="rect">
                            <a:avLst/>
                          </a:prstGeom>
                          <a:ln>
                            <a:noFill/>
                          </a:ln>
                        </wps:spPr>
                        <wps:txbx>
                          <w:txbxContent>
                            <w:p w14:paraId="40A76E44"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40961" name="Rectangle 40961"/>
                        <wps:cNvSpPr/>
                        <wps:spPr>
                          <a:xfrm>
                            <a:off x="3756101" y="104902"/>
                            <a:ext cx="269530" cy="154840"/>
                          </a:xfrm>
                          <a:prstGeom prst="rect">
                            <a:avLst/>
                          </a:prstGeom>
                          <a:ln>
                            <a:noFill/>
                          </a:ln>
                        </wps:spPr>
                        <wps:txbx>
                          <w:txbxContent>
                            <w:p w14:paraId="723E1093" w14:textId="77777777" w:rsidR="0014164F" w:rsidRDefault="0014164F" w:rsidP="00FD116C">
                              <w:r>
                                <w:rPr>
                                  <w:rFonts w:ascii="Calibri" w:hAnsi="Calibri" w:cs="Calibri"/>
                                  <w:color w:val="404040"/>
                                  <w:sz w:val="18"/>
                                </w:rPr>
                                <w:t>0.00</w:t>
                              </w:r>
                            </w:p>
                          </w:txbxContent>
                        </wps:txbx>
                        <wps:bodyPr horzOverflow="overflow" vert="horz" lIns="0" tIns="0" rIns="0" bIns="0" rtlCol="0">
                          <a:noAutofit/>
                        </wps:bodyPr>
                      </wps:wsp>
                      <wps:wsp>
                        <wps:cNvPr id="40962" name="Rectangle 40962"/>
                        <wps:cNvSpPr/>
                        <wps:spPr>
                          <a:xfrm>
                            <a:off x="3410115" y="0"/>
                            <a:ext cx="108694" cy="154840"/>
                          </a:xfrm>
                          <a:prstGeom prst="rect">
                            <a:avLst/>
                          </a:prstGeom>
                          <a:ln>
                            <a:noFill/>
                          </a:ln>
                        </wps:spPr>
                        <wps:txbx>
                          <w:txbxContent>
                            <w:p w14:paraId="520ECA7E"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40963" name="Rectangle 40963"/>
                        <wps:cNvSpPr/>
                        <wps:spPr>
                          <a:xfrm>
                            <a:off x="3207461" y="0"/>
                            <a:ext cx="269530" cy="154840"/>
                          </a:xfrm>
                          <a:prstGeom prst="rect">
                            <a:avLst/>
                          </a:prstGeom>
                          <a:ln>
                            <a:noFill/>
                          </a:ln>
                        </wps:spPr>
                        <wps:txbx>
                          <w:txbxContent>
                            <w:p w14:paraId="1C7B1D9D" w14:textId="77777777" w:rsidR="0014164F" w:rsidRDefault="0014164F" w:rsidP="00FD116C">
                              <w:r>
                                <w:rPr>
                                  <w:rFonts w:ascii="Calibri" w:hAnsi="Calibri" w:cs="Calibri"/>
                                  <w:color w:val="404040"/>
                                  <w:sz w:val="18"/>
                                </w:rPr>
                                <w:t>0.12</w:t>
                              </w:r>
                            </w:p>
                          </w:txbxContent>
                        </wps:txbx>
                        <wps:bodyPr horzOverflow="overflow" vert="horz" lIns="0" tIns="0" rIns="0" bIns="0" rtlCol="0">
                          <a:noAutofit/>
                        </wps:bodyPr>
                      </wps:wsp>
                      <wps:wsp>
                        <wps:cNvPr id="40964" name="Rectangle 40964"/>
                        <wps:cNvSpPr/>
                        <wps:spPr>
                          <a:xfrm>
                            <a:off x="3684054" y="0"/>
                            <a:ext cx="108694" cy="154840"/>
                          </a:xfrm>
                          <a:prstGeom prst="rect">
                            <a:avLst/>
                          </a:prstGeom>
                          <a:ln>
                            <a:noFill/>
                          </a:ln>
                        </wps:spPr>
                        <wps:txbx>
                          <w:txbxContent>
                            <w:p w14:paraId="3A2BE1B5" w14:textId="77777777" w:rsidR="0014164F" w:rsidRDefault="0014164F" w:rsidP="00FD116C">
                              <w:r>
                                <w:rPr>
                                  <w:rFonts w:ascii="Calibri" w:hAnsi="Calibri" w:cs="Calibri"/>
                                  <w:color w:val="404040"/>
                                  <w:sz w:val="18"/>
                                </w:rPr>
                                <w:t>%</w:t>
                              </w:r>
                            </w:p>
                          </w:txbxContent>
                        </wps:txbx>
                        <wps:bodyPr horzOverflow="overflow" vert="horz" lIns="0" tIns="0" rIns="0" bIns="0" rtlCol="0">
                          <a:noAutofit/>
                        </wps:bodyPr>
                      </wps:wsp>
                      <wps:wsp>
                        <wps:cNvPr id="40965" name="Rectangle 40965"/>
                        <wps:cNvSpPr/>
                        <wps:spPr>
                          <a:xfrm>
                            <a:off x="3481400" y="0"/>
                            <a:ext cx="269530" cy="154840"/>
                          </a:xfrm>
                          <a:prstGeom prst="rect">
                            <a:avLst/>
                          </a:prstGeom>
                          <a:ln>
                            <a:noFill/>
                          </a:ln>
                        </wps:spPr>
                        <wps:txbx>
                          <w:txbxContent>
                            <w:p w14:paraId="407EB625" w14:textId="77777777" w:rsidR="0014164F" w:rsidRDefault="0014164F" w:rsidP="00FD116C">
                              <w:r>
                                <w:rPr>
                                  <w:rFonts w:ascii="Calibri" w:hAnsi="Calibri" w:cs="Calibri"/>
                                  <w:color w:val="404040"/>
                                  <w:sz w:val="18"/>
                                </w:rPr>
                                <w:t>0.00</w:t>
                              </w:r>
                            </w:p>
                          </w:txbxContent>
                        </wps:txbx>
                        <wps:bodyPr horzOverflow="overflow" vert="horz" lIns="0" tIns="0" rIns="0" bIns="0" rtlCol="0">
                          <a:noAutofit/>
                        </wps:bodyPr>
                      </wps:wsp>
                      <wps:wsp>
                        <wps:cNvPr id="40966" name="Shape 922394"/>
                        <wps:cNvSpPr/>
                        <wps:spPr>
                          <a:xfrm>
                            <a:off x="4538929" y="119126"/>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0969" name="Shape 41911"/>
                        <wps:cNvSpPr/>
                        <wps:spPr>
                          <a:xfrm>
                            <a:off x="4538929" y="119126"/>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72" name="Rectangle 40972"/>
                        <wps:cNvSpPr/>
                        <wps:spPr>
                          <a:xfrm>
                            <a:off x="4611319" y="83869"/>
                            <a:ext cx="472753" cy="151421"/>
                          </a:xfrm>
                          <a:prstGeom prst="rect">
                            <a:avLst/>
                          </a:prstGeom>
                          <a:ln>
                            <a:noFill/>
                          </a:ln>
                        </wps:spPr>
                        <wps:txbx>
                          <w:txbxContent>
                            <w:p w14:paraId="581E77AA" w14:textId="77777777" w:rsidR="0014164F" w:rsidRDefault="0014164F" w:rsidP="00FD116C">
                              <w:r>
                                <w:rPr>
                                  <w:rFonts w:ascii="Arial" w:eastAsia="Arial" w:hAnsi="Arial" w:cs="Arial"/>
                                  <w:color w:val="595959"/>
                                  <w:sz w:val="16"/>
                                </w:rPr>
                                <w:t>Plastika</w:t>
                              </w:r>
                            </w:p>
                          </w:txbxContent>
                        </wps:txbx>
                        <wps:bodyPr horzOverflow="overflow" vert="horz" lIns="0" tIns="0" rIns="0" bIns="0" rtlCol="0">
                          <a:noAutofit/>
                        </wps:bodyPr>
                      </wps:wsp>
                      <wps:wsp>
                        <wps:cNvPr id="40975" name="Shape 922395"/>
                        <wps:cNvSpPr/>
                        <wps:spPr>
                          <a:xfrm>
                            <a:off x="4538929" y="266954"/>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0978" name="Shape 41914"/>
                        <wps:cNvSpPr/>
                        <wps:spPr>
                          <a:xfrm>
                            <a:off x="4538929" y="266954"/>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81" name="Rectangle 40981"/>
                        <wps:cNvSpPr/>
                        <wps:spPr>
                          <a:xfrm>
                            <a:off x="4611319" y="232332"/>
                            <a:ext cx="368999" cy="151421"/>
                          </a:xfrm>
                          <a:prstGeom prst="rect">
                            <a:avLst/>
                          </a:prstGeom>
                          <a:ln>
                            <a:noFill/>
                          </a:ln>
                        </wps:spPr>
                        <wps:txbx>
                          <w:txbxContent>
                            <w:p w14:paraId="23E1A6E0" w14:textId="77777777" w:rsidR="0014164F" w:rsidRDefault="0014164F" w:rsidP="00FD116C">
                              <w:r>
                                <w:rPr>
                                  <w:rFonts w:ascii="Arial" w:eastAsia="Arial" w:hAnsi="Arial" w:cs="Arial"/>
                                  <w:color w:val="595959"/>
                                  <w:sz w:val="16"/>
                                </w:rPr>
                                <w:t>Guma</w:t>
                              </w:r>
                            </w:p>
                          </w:txbxContent>
                        </wps:txbx>
                        <wps:bodyPr horzOverflow="overflow" vert="horz" lIns="0" tIns="0" rIns="0" bIns="0" rtlCol="0">
                          <a:noAutofit/>
                        </wps:bodyPr>
                      </wps:wsp>
                      <wps:wsp>
                        <wps:cNvPr id="40984" name="Shape 922396"/>
                        <wps:cNvSpPr/>
                        <wps:spPr>
                          <a:xfrm>
                            <a:off x="4538929" y="416306"/>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0987" name="Shape 41917"/>
                        <wps:cNvSpPr/>
                        <wps:spPr>
                          <a:xfrm>
                            <a:off x="4538929" y="416306"/>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90" name="Rectangle 40990"/>
                        <wps:cNvSpPr/>
                        <wps:spPr>
                          <a:xfrm>
                            <a:off x="4611319" y="398865"/>
                            <a:ext cx="428189" cy="127647"/>
                          </a:xfrm>
                          <a:prstGeom prst="rect">
                            <a:avLst/>
                          </a:prstGeom>
                          <a:ln>
                            <a:noFill/>
                          </a:ln>
                        </wps:spPr>
                        <wps:txbx>
                          <w:txbxContent>
                            <w:p w14:paraId="7A797C93" w14:textId="77777777" w:rsidR="0014164F" w:rsidRDefault="0014164F" w:rsidP="00FD116C">
                              <w:r>
                                <w:rPr>
                                  <w:rFonts w:ascii="Arial" w:eastAsia="Arial" w:hAnsi="Arial" w:cs="Arial"/>
                                  <w:color w:val="595959"/>
                                  <w:sz w:val="16"/>
                                </w:rPr>
                                <w:t>Odjeća</w:t>
                              </w:r>
                            </w:p>
                          </w:txbxContent>
                        </wps:txbx>
                        <wps:bodyPr horzOverflow="overflow" vert="horz" lIns="0" tIns="0" rIns="0" bIns="0" rtlCol="0">
                          <a:noAutofit/>
                        </wps:bodyPr>
                      </wps:wsp>
                      <wps:wsp>
                        <wps:cNvPr id="40993" name="Shape 922397"/>
                        <wps:cNvSpPr/>
                        <wps:spPr>
                          <a:xfrm>
                            <a:off x="4538929" y="564134"/>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FFC000"/>
                          </a:fillRef>
                          <a:effectRef idx="0">
                            <a:scrgbClr r="0" g="0" b="0"/>
                          </a:effectRef>
                          <a:fontRef idx="none"/>
                        </wps:style>
                        <wps:bodyPr/>
                      </wps:wsp>
                      <wps:wsp>
                        <wps:cNvPr id="40996" name="Shape 41920"/>
                        <wps:cNvSpPr/>
                        <wps:spPr>
                          <a:xfrm>
                            <a:off x="4538929" y="564134"/>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0999" name="Rectangle 40999"/>
                        <wps:cNvSpPr/>
                        <wps:spPr>
                          <a:xfrm>
                            <a:off x="4611319" y="529131"/>
                            <a:ext cx="727657" cy="151421"/>
                          </a:xfrm>
                          <a:prstGeom prst="rect">
                            <a:avLst/>
                          </a:prstGeom>
                          <a:ln>
                            <a:noFill/>
                          </a:ln>
                        </wps:spPr>
                        <wps:txbx>
                          <w:txbxContent>
                            <w:p w14:paraId="0709DC2B" w14:textId="77777777" w:rsidR="0014164F" w:rsidRDefault="0014164F" w:rsidP="00FD116C">
                              <w:r>
                                <w:rPr>
                                  <w:rFonts w:ascii="Arial" w:eastAsia="Arial" w:hAnsi="Arial" w:cs="Arial"/>
                                  <w:color w:val="595959"/>
                                  <w:sz w:val="16"/>
                                </w:rPr>
                                <w:t>Papir/karton</w:t>
                              </w:r>
                            </w:p>
                          </w:txbxContent>
                        </wps:txbx>
                        <wps:bodyPr horzOverflow="overflow" vert="horz" lIns="0" tIns="0" rIns="0" bIns="0" rtlCol="0">
                          <a:noAutofit/>
                        </wps:bodyPr>
                      </wps:wsp>
                      <wps:wsp>
                        <wps:cNvPr id="41027" name="Shape 922398"/>
                        <wps:cNvSpPr/>
                        <wps:spPr>
                          <a:xfrm>
                            <a:off x="4538929" y="711962"/>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41028" name="Shape 41923"/>
                        <wps:cNvSpPr/>
                        <wps:spPr>
                          <a:xfrm>
                            <a:off x="4538929" y="711962"/>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29" name="Rectangle 41029"/>
                        <wps:cNvSpPr/>
                        <wps:spPr>
                          <a:xfrm>
                            <a:off x="4611319" y="696045"/>
                            <a:ext cx="901872" cy="127647"/>
                          </a:xfrm>
                          <a:prstGeom prst="rect">
                            <a:avLst/>
                          </a:prstGeom>
                          <a:ln>
                            <a:noFill/>
                          </a:ln>
                        </wps:spPr>
                        <wps:txbx>
                          <w:txbxContent>
                            <w:p w14:paraId="3876773B" w14:textId="77777777" w:rsidR="0014164F" w:rsidRDefault="0014164F" w:rsidP="00FD116C">
                              <w:r>
                                <w:rPr>
                                  <w:rFonts w:ascii="Arial" w:eastAsia="Arial" w:hAnsi="Arial" w:cs="Arial"/>
                                  <w:color w:val="595959"/>
                                  <w:sz w:val="16"/>
                                </w:rPr>
                                <w:t>Obrađeno drvo</w:t>
                              </w:r>
                            </w:p>
                          </w:txbxContent>
                        </wps:txbx>
                        <wps:bodyPr horzOverflow="overflow" vert="horz" lIns="0" tIns="0" rIns="0" bIns="0" rtlCol="0">
                          <a:noAutofit/>
                        </wps:bodyPr>
                      </wps:wsp>
                      <wps:wsp>
                        <wps:cNvPr id="41030" name="Shape 922399"/>
                        <wps:cNvSpPr/>
                        <wps:spPr>
                          <a:xfrm>
                            <a:off x="4538929" y="861314"/>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70AD47"/>
                          </a:fillRef>
                          <a:effectRef idx="0">
                            <a:scrgbClr r="0" g="0" b="0"/>
                          </a:effectRef>
                          <a:fontRef idx="none"/>
                        </wps:style>
                        <wps:bodyPr/>
                      </wps:wsp>
                      <wps:wsp>
                        <wps:cNvPr id="41031" name="Shape 41926"/>
                        <wps:cNvSpPr/>
                        <wps:spPr>
                          <a:xfrm>
                            <a:off x="4538929" y="861314"/>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32" name="Rectangle 41032"/>
                        <wps:cNvSpPr/>
                        <wps:spPr>
                          <a:xfrm>
                            <a:off x="4611319" y="826311"/>
                            <a:ext cx="330162" cy="151421"/>
                          </a:xfrm>
                          <a:prstGeom prst="rect">
                            <a:avLst/>
                          </a:prstGeom>
                          <a:ln>
                            <a:noFill/>
                          </a:ln>
                        </wps:spPr>
                        <wps:txbx>
                          <w:txbxContent>
                            <w:p w14:paraId="3EFA6125" w14:textId="77777777" w:rsidR="0014164F" w:rsidRDefault="0014164F" w:rsidP="00FD116C">
                              <w:r>
                                <w:rPr>
                                  <w:rFonts w:ascii="Arial" w:eastAsia="Arial" w:hAnsi="Arial" w:cs="Arial"/>
                                  <w:color w:val="595959"/>
                                  <w:sz w:val="16"/>
                                </w:rPr>
                                <w:t>Metal</w:t>
                              </w:r>
                            </w:p>
                          </w:txbxContent>
                        </wps:txbx>
                        <wps:bodyPr horzOverflow="overflow" vert="horz" lIns="0" tIns="0" rIns="0" bIns="0" rtlCol="0">
                          <a:noAutofit/>
                        </wps:bodyPr>
                      </wps:wsp>
                      <wps:wsp>
                        <wps:cNvPr id="41033" name="Shape 922400"/>
                        <wps:cNvSpPr/>
                        <wps:spPr>
                          <a:xfrm>
                            <a:off x="4538929" y="1009142"/>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255E91"/>
                          </a:fillRef>
                          <a:effectRef idx="0">
                            <a:scrgbClr r="0" g="0" b="0"/>
                          </a:effectRef>
                          <a:fontRef idx="none"/>
                        </wps:style>
                        <wps:bodyPr/>
                      </wps:wsp>
                      <wps:wsp>
                        <wps:cNvPr id="41034" name="Shape 41929"/>
                        <wps:cNvSpPr/>
                        <wps:spPr>
                          <a:xfrm>
                            <a:off x="4538929" y="1009142"/>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35" name="Rectangle 41035"/>
                        <wps:cNvSpPr/>
                        <wps:spPr>
                          <a:xfrm>
                            <a:off x="4611319" y="974774"/>
                            <a:ext cx="375246" cy="151421"/>
                          </a:xfrm>
                          <a:prstGeom prst="rect">
                            <a:avLst/>
                          </a:prstGeom>
                          <a:ln>
                            <a:noFill/>
                          </a:ln>
                        </wps:spPr>
                        <wps:txbx>
                          <w:txbxContent>
                            <w:p w14:paraId="5556A894" w14:textId="77777777" w:rsidR="0014164F" w:rsidRDefault="0014164F" w:rsidP="00FD116C">
                              <w:r>
                                <w:rPr>
                                  <w:rFonts w:ascii="Arial" w:eastAsia="Arial" w:hAnsi="Arial" w:cs="Arial"/>
                                  <w:color w:val="595959"/>
                                  <w:sz w:val="16"/>
                                </w:rPr>
                                <w:t>Staklo</w:t>
                              </w:r>
                            </w:p>
                          </w:txbxContent>
                        </wps:txbx>
                        <wps:bodyPr horzOverflow="overflow" vert="horz" lIns="0" tIns="0" rIns="0" bIns="0" rtlCol="0">
                          <a:noAutofit/>
                        </wps:bodyPr>
                      </wps:wsp>
                      <wps:wsp>
                        <wps:cNvPr id="41036" name="Shape 922401"/>
                        <wps:cNvSpPr/>
                        <wps:spPr>
                          <a:xfrm>
                            <a:off x="4538929" y="1158494"/>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9E480E"/>
                          </a:fillRef>
                          <a:effectRef idx="0">
                            <a:scrgbClr r="0" g="0" b="0"/>
                          </a:effectRef>
                          <a:fontRef idx="none"/>
                        </wps:style>
                        <wps:bodyPr/>
                      </wps:wsp>
                      <wps:wsp>
                        <wps:cNvPr id="41037" name="Shape 41932"/>
                        <wps:cNvSpPr/>
                        <wps:spPr>
                          <a:xfrm>
                            <a:off x="4538929" y="1158494"/>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38" name="Rectangle 41038"/>
                        <wps:cNvSpPr/>
                        <wps:spPr>
                          <a:xfrm>
                            <a:off x="4611319" y="1123490"/>
                            <a:ext cx="571754" cy="151421"/>
                          </a:xfrm>
                          <a:prstGeom prst="rect">
                            <a:avLst/>
                          </a:prstGeom>
                          <a:ln>
                            <a:noFill/>
                          </a:ln>
                        </wps:spPr>
                        <wps:txbx>
                          <w:txbxContent>
                            <w:p w14:paraId="0038399C" w14:textId="77777777" w:rsidR="0014164F" w:rsidRDefault="0014164F" w:rsidP="00FD116C">
                              <w:r>
                                <w:rPr>
                                  <w:rFonts w:ascii="Arial" w:eastAsia="Arial" w:hAnsi="Arial" w:cs="Arial"/>
                                  <w:color w:val="595959"/>
                                  <w:sz w:val="16"/>
                                </w:rPr>
                                <w:t>Keramika</w:t>
                              </w:r>
                            </w:p>
                          </w:txbxContent>
                        </wps:txbx>
                        <wps:bodyPr horzOverflow="overflow" vert="horz" lIns="0" tIns="0" rIns="0" bIns="0" rtlCol="0">
                          <a:noAutofit/>
                        </wps:bodyPr>
                      </wps:wsp>
                      <wps:wsp>
                        <wps:cNvPr id="41041" name="Shape 922402"/>
                        <wps:cNvSpPr/>
                        <wps:spPr>
                          <a:xfrm>
                            <a:off x="4538929" y="1306322"/>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636363"/>
                          </a:fillRef>
                          <a:effectRef idx="0">
                            <a:scrgbClr r="0" g="0" b="0"/>
                          </a:effectRef>
                          <a:fontRef idx="none"/>
                        </wps:style>
                        <wps:bodyPr/>
                      </wps:wsp>
                      <wps:wsp>
                        <wps:cNvPr id="41044" name="Shape 41935"/>
                        <wps:cNvSpPr/>
                        <wps:spPr>
                          <a:xfrm>
                            <a:off x="4538929" y="1306322"/>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47" name="Rectangle 41047"/>
                        <wps:cNvSpPr/>
                        <wps:spPr>
                          <a:xfrm>
                            <a:off x="4611319" y="1271953"/>
                            <a:ext cx="908004" cy="151421"/>
                          </a:xfrm>
                          <a:prstGeom prst="rect">
                            <a:avLst/>
                          </a:prstGeom>
                          <a:ln>
                            <a:noFill/>
                          </a:ln>
                        </wps:spPr>
                        <wps:txbx>
                          <w:txbxContent>
                            <w:p w14:paraId="070F0C1A" w14:textId="77777777" w:rsidR="0014164F" w:rsidRDefault="0014164F" w:rsidP="00FD116C">
                              <w:r>
                                <w:rPr>
                                  <w:rFonts w:ascii="Arial" w:eastAsia="Arial" w:hAnsi="Arial" w:cs="Arial"/>
                                  <w:color w:val="595959"/>
                                  <w:sz w:val="16"/>
                                </w:rPr>
                                <w:t>Sanitarni otpad</w:t>
                              </w:r>
                            </w:p>
                          </w:txbxContent>
                        </wps:txbx>
                        <wps:bodyPr horzOverflow="overflow" vert="horz" lIns="0" tIns="0" rIns="0" bIns="0" rtlCol="0">
                          <a:noAutofit/>
                        </wps:bodyPr>
                      </wps:wsp>
                      <wps:wsp>
                        <wps:cNvPr id="41050" name="Shape 922403"/>
                        <wps:cNvSpPr/>
                        <wps:spPr>
                          <a:xfrm>
                            <a:off x="4538929" y="1455674"/>
                            <a:ext cx="50292" cy="50292"/>
                          </a:xfrm>
                          <a:custGeom>
                            <a:avLst/>
                            <a:gdLst/>
                            <a:ahLst/>
                            <a:cxnLst/>
                            <a:rect l="0" t="0" r="0" b="0"/>
                            <a:pathLst>
                              <a:path w="50292" h="50292">
                                <a:moveTo>
                                  <a:pt x="0" y="0"/>
                                </a:moveTo>
                                <a:lnTo>
                                  <a:pt x="50292" y="0"/>
                                </a:lnTo>
                                <a:lnTo>
                                  <a:pt x="50292" y="50292"/>
                                </a:lnTo>
                                <a:lnTo>
                                  <a:pt x="0" y="50292"/>
                                </a:lnTo>
                                <a:lnTo>
                                  <a:pt x="0" y="0"/>
                                </a:lnTo>
                              </a:path>
                            </a:pathLst>
                          </a:custGeom>
                          <a:ln w="0" cap="flat">
                            <a:round/>
                          </a:ln>
                        </wps:spPr>
                        <wps:style>
                          <a:lnRef idx="0">
                            <a:srgbClr val="000000">
                              <a:alpha val="0"/>
                            </a:srgbClr>
                          </a:lnRef>
                          <a:fillRef idx="1">
                            <a:srgbClr val="997300"/>
                          </a:fillRef>
                          <a:effectRef idx="0">
                            <a:scrgbClr r="0" g="0" b="0"/>
                          </a:effectRef>
                          <a:fontRef idx="none"/>
                        </wps:style>
                        <wps:bodyPr/>
                      </wps:wsp>
                      <wps:wsp>
                        <wps:cNvPr id="41053" name="Shape 41938"/>
                        <wps:cNvSpPr/>
                        <wps:spPr>
                          <a:xfrm>
                            <a:off x="4538929" y="1455674"/>
                            <a:ext cx="50292" cy="50292"/>
                          </a:xfrm>
                          <a:custGeom>
                            <a:avLst/>
                            <a:gdLst/>
                            <a:ahLst/>
                            <a:cxnLst/>
                            <a:rect l="0" t="0" r="0" b="0"/>
                            <a:pathLst>
                              <a:path w="50292" h="50292">
                                <a:moveTo>
                                  <a:pt x="0" y="50292"/>
                                </a:moveTo>
                                <a:lnTo>
                                  <a:pt x="50292" y="50292"/>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56" name="Rectangle 41056"/>
                        <wps:cNvSpPr/>
                        <wps:spPr>
                          <a:xfrm>
                            <a:off x="4611319" y="1420416"/>
                            <a:ext cx="1007548" cy="151421"/>
                          </a:xfrm>
                          <a:prstGeom prst="rect">
                            <a:avLst/>
                          </a:prstGeom>
                          <a:ln>
                            <a:noFill/>
                          </a:ln>
                        </wps:spPr>
                        <wps:txbx>
                          <w:txbxContent>
                            <w:p w14:paraId="03959EDB" w14:textId="77777777" w:rsidR="0014164F" w:rsidRDefault="0014164F" w:rsidP="00FD116C">
                              <w:r>
                                <w:rPr>
                                  <w:rFonts w:ascii="Arial" w:eastAsia="Arial" w:hAnsi="Arial" w:cs="Arial"/>
                                  <w:color w:val="595959"/>
                                  <w:sz w:val="16"/>
                                </w:rPr>
                                <w:t>Medicinski otpad</w:t>
                              </w:r>
                            </w:p>
                          </w:txbxContent>
                        </wps:txbx>
                        <wps:bodyPr horzOverflow="overflow" vert="horz" lIns="0" tIns="0" rIns="0" bIns="0" rtlCol="0">
                          <a:noAutofit/>
                        </wps:bodyPr>
                      </wps:wsp>
                      <wps:wsp>
                        <wps:cNvPr id="41059" name="Shape 922404"/>
                        <wps:cNvSpPr/>
                        <wps:spPr>
                          <a:xfrm>
                            <a:off x="4538929" y="1603502"/>
                            <a:ext cx="50292" cy="51816"/>
                          </a:xfrm>
                          <a:custGeom>
                            <a:avLst/>
                            <a:gdLst/>
                            <a:ahLst/>
                            <a:cxnLst/>
                            <a:rect l="0" t="0" r="0" b="0"/>
                            <a:pathLst>
                              <a:path w="50292" h="51816">
                                <a:moveTo>
                                  <a:pt x="0" y="0"/>
                                </a:moveTo>
                                <a:lnTo>
                                  <a:pt x="50292" y="0"/>
                                </a:lnTo>
                                <a:lnTo>
                                  <a:pt x="50292" y="51816"/>
                                </a:lnTo>
                                <a:lnTo>
                                  <a:pt x="0" y="51816"/>
                                </a:lnTo>
                                <a:lnTo>
                                  <a:pt x="0" y="0"/>
                                </a:lnTo>
                              </a:path>
                            </a:pathLst>
                          </a:custGeom>
                          <a:ln w="0" cap="flat">
                            <a:round/>
                          </a:ln>
                        </wps:spPr>
                        <wps:style>
                          <a:lnRef idx="0">
                            <a:srgbClr val="000000">
                              <a:alpha val="0"/>
                            </a:srgbClr>
                          </a:lnRef>
                          <a:fillRef idx="1">
                            <a:srgbClr val="264478"/>
                          </a:fillRef>
                          <a:effectRef idx="0">
                            <a:scrgbClr r="0" g="0" b="0"/>
                          </a:effectRef>
                          <a:fontRef idx="none"/>
                        </wps:style>
                        <wps:bodyPr/>
                      </wps:wsp>
                      <wps:wsp>
                        <wps:cNvPr id="41062" name="Shape 41941"/>
                        <wps:cNvSpPr/>
                        <wps:spPr>
                          <a:xfrm>
                            <a:off x="4538929" y="1603502"/>
                            <a:ext cx="50292" cy="51816"/>
                          </a:xfrm>
                          <a:custGeom>
                            <a:avLst/>
                            <a:gdLst/>
                            <a:ahLst/>
                            <a:cxnLst/>
                            <a:rect l="0" t="0" r="0" b="0"/>
                            <a:pathLst>
                              <a:path w="50292" h="51816">
                                <a:moveTo>
                                  <a:pt x="0" y="51816"/>
                                </a:moveTo>
                                <a:lnTo>
                                  <a:pt x="50292" y="51816"/>
                                </a:lnTo>
                                <a:lnTo>
                                  <a:pt x="50292" y="0"/>
                                </a:lnTo>
                                <a:lnTo>
                                  <a:pt x="0" y="0"/>
                                </a:lnTo>
                                <a:close/>
                              </a:path>
                            </a:pathLst>
                          </a:custGeom>
                          <a:ln w="19812" cap="flat">
                            <a:round/>
                          </a:ln>
                        </wps:spPr>
                        <wps:style>
                          <a:lnRef idx="1">
                            <a:srgbClr val="FFFFFF"/>
                          </a:lnRef>
                          <a:fillRef idx="0">
                            <a:srgbClr val="000000">
                              <a:alpha val="0"/>
                            </a:srgbClr>
                          </a:fillRef>
                          <a:effectRef idx="0">
                            <a:scrgbClr r="0" g="0" b="0"/>
                          </a:effectRef>
                          <a:fontRef idx="none"/>
                        </wps:style>
                        <wps:bodyPr/>
                      </wps:wsp>
                      <wps:wsp>
                        <wps:cNvPr id="41065" name="Rectangle 41065"/>
                        <wps:cNvSpPr/>
                        <wps:spPr>
                          <a:xfrm>
                            <a:off x="4611319" y="1568879"/>
                            <a:ext cx="819439" cy="151421"/>
                          </a:xfrm>
                          <a:prstGeom prst="rect">
                            <a:avLst/>
                          </a:prstGeom>
                          <a:ln>
                            <a:noFill/>
                          </a:ln>
                        </wps:spPr>
                        <wps:txbx>
                          <w:txbxContent>
                            <w:p w14:paraId="62D3BCB1" w14:textId="77777777" w:rsidR="0014164F" w:rsidRDefault="0014164F" w:rsidP="00FD116C">
                              <w:r>
                                <w:rPr>
                                  <w:rFonts w:ascii="Arial" w:eastAsia="Arial" w:hAnsi="Arial" w:cs="Arial"/>
                                  <w:color w:val="595959"/>
                                  <w:sz w:val="16"/>
                                </w:rPr>
                                <w:t>Parafin/vosak</w:t>
                              </w:r>
                            </w:p>
                          </w:txbxContent>
                        </wps:txbx>
                        <wps:bodyPr horzOverflow="overflow" vert="horz" lIns="0" tIns="0" rIns="0" bIns="0" rtlCol="0">
                          <a:noAutofit/>
                        </wps:bodyPr>
                      </wps:wsp>
                    </wpg:wgp>
                  </a:graphicData>
                </a:graphic>
              </wp:inline>
            </w:drawing>
          </mc:Choice>
          <mc:Fallback>
            <w:pict>
              <v:group w14:anchorId="7315D39D" id="Group 3" o:spid="_x0000_s1925" style="width:422.75pt;height:144.85pt;mso-position-horizontal-relative:char;mso-position-vertical-relative:line" coordsize="53688,18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">
                <v:shape id="Shape 41800" o:spid="_x0000_s1926" style="position:absolute;left:7051;top:3817;width:5817;height:11614;visibility:visible;mso-wrap-style:square;v-text-anchor:top" coordsize="581660,116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58Qr4A&#10;AADaAAAADwAAAGRycy9kb3ducmV2LnhtbERPTYvCMBC9C/6HMIIX0VRZRKtRRKzs0a3ieWjGpthM&#10;ahO1++83Cwt7fLzv9baztXhR6yvHCqaTBARx4XTFpYLLORsvQPiArLF2TAq+ycN20++tMdXuzV/0&#10;ykMpYgj7FBWYEJpUSl8YsugnriGO3M21FkOEbSl1i+8Ybms5S5K5tFhxbDDY0N5Qcc+fVsHovDtR&#10;bU635Ty75o/myNkhzlPDQbdbgQjUhX/xn/tTK/iA3yvxBsjN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IefEK+AAAA2gAAAA8AAAAAAAAAAAAAAAAAmAIAAGRycy9kb3ducmV2&#10;LnhtbFBLBQYAAAAABAAEAPUAAACDAwAAAAA=&#10;" path="m,c321310,,581660,260477,581660,581787v,301879,-230886,553720,-531749,579628l,581787,,xe" fillcolor="#5b9bd5" stroked="f" strokeweight="0">
                  <v:stroke miterlimit="83231f" joinstyle="miter"/>
                  <v:path arrowok="t" textboxrect="0,0,581660,1161415"/>
                </v:shape>
                <v:shape id="Shape 41801" o:spid="_x0000_s1927" style="position:absolute;left:7051;top:3817;width:5817;height:11614;visibility:visible;mso-wrap-style:square;v-text-anchor:top" coordsize="581660,1161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B9hMIA&#10;AADaAAAADwAAAGRycy9kb3ducmV2LnhtbESPQYvCMBSE7wv+h/CEvSyauodSqlFEEBR2D1Xx/Gie&#10;bbV5qU3U6q83guBxmJlvmMmsM7W4UusqywpGwwgEcW51xYWC3XY5SEA4j6yxtkwK7uRgNu19TTDV&#10;9sYZXTe+EAHCLkUFpfdNKqXLSzLohrYhDt7BtgZ9kG0hdYu3ADe1/I2iWBqsOCyU2NCipPy0uRgF&#10;NnvI5meXrO/H/yhO9uc8s/s/pb773XwMwlPnP+F3e6UVxPC6Em6An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QH2EwgAAANoAAAAPAAAAAAAAAAAAAAAAAJgCAABkcnMvZG93&#10;bnJldi54bWxQSwUGAAAAAAQABAD1AAAAhwMAAAAA&#10;" path="m,c321310,,581660,260477,581660,581787v,301879,-230886,553720,-531749,579628l,581787,,xe" filled="f" strokecolor="white" strokeweight="1.56pt">
                  <v:path arrowok="t" textboxrect="0,0,581660,1161415"/>
                </v:shape>
                <v:shape id="Shape 41802" o:spid="_x0000_s1928" style="position:absolute;left:7051;top:9635;width:499;height:5813;visibility:visible;mso-wrap-style:square;v-text-anchor:top" coordsize="49911,581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0Qv70A&#10;AADaAAAADwAAAGRycy9kb3ducmV2LnhtbERPS26DMBDdV+odrKnUXTGwSFqCQVWVVt2G5gAjPMUQ&#10;PEbYAXL7elEpy6f3L+vNjmKh2feOFWRJCoK4dbrnTsH55/PlFYQPyBpHx6TgRh7q6vGhxEK7lU+0&#10;NKETMYR9gQpMCFMhpW8NWfSJm4gj9+tmiyHCuZN6xjWG21HmabqTFnuODQYn+jDUXpqrVcDH3Ddv&#10;mPtlGPYm250y83UblXp+2t4PIAJt4S7+d39rBXFrvBJvgKz+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80Qv70AAADaAAAADwAAAAAAAAAAAAAAAACYAgAAZHJzL2Rvd25yZXYu&#10;eG1sUEsFBgAAAAAEAAQA9QAAAIIDAAAAAA==&#10;" path="m,l49911,579628v-8255,762,-16637,1271,-24892,1651l,xe" fillcolor="#ed7d31" stroked="f" strokeweight="0">
                  <v:path arrowok="t" textboxrect="0,0,49911,581279"/>
                </v:shape>
                <v:shape id="Shape 41803" o:spid="_x0000_s1929" style="position:absolute;left:7051;top:9635;width:499;height:5813;visibility:visible;mso-wrap-style:square;v-text-anchor:top" coordsize="49911,5812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YD2MQA&#10;AADaAAAADwAAAGRycy9kb3ducmV2LnhtbESPT2vCQBTE7wW/w/KEXsRs9CBp6iqiKL36h9LentnX&#10;JJh9G3ZXE/303YLQ4zAzv2Hmy9404kbO15YVTJIUBHFhdc2lgtNxO85A+ICssbFMCu7kYbkYvMwx&#10;17bjPd0OoRQRwj5HBVUIbS6lLyoy6BPbEkfvxzqDIUpXSu2wi3DTyGmazqTBmuNChS2tKyouh6tR&#10;EM6z7edmNHWP1dfu+9qNsrvbZEq9DvvVO4hAffgPP9sfWsEb/F2JN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WA9jEAAAA2gAAAA8AAAAAAAAAAAAAAAAAmAIAAGRycy9k&#10;b3ducmV2LnhtbFBLBQYAAAAABAAEAPUAAACJAwAAAAA=&#10;" path="m49911,579628v-8255,762,-16637,1271,-24892,1651l,,49911,579628xe" filled="f" strokecolor="white" strokeweight="1.56pt">
                  <v:path arrowok="t" textboxrect="0,0,49911,581279"/>
                </v:shape>
                <v:shape id="Shape 41804" o:spid="_x0000_s1930" style="position:absolute;left:6551;top:9635;width:750;height:5823;visibility:visible;mso-wrap-style:square;v-text-anchor:top" coordsize="75057,58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fxsQA&#10;AADbAAAADwAAAGRycy9kb3ducmV2LnhtbERPTWvCQBC9C/6HZQRvZmOEUlNXEWmL4qFtDIXeptkx&#10;CWZn0+yq6b/vFgRv83ifs1j1phEX6lxtWcE0ikEQF1bXXCrIDy+TRxDOI2tsLJOCX3KwWg4HC0y1&#10;vfIHXTJfihDCLkUFlfdtKqUrKjLoItsSB+5oO4M+wK6UusNrCDeNTOL4QRqsOTRU2NKmouKUnY2C&#10;t/b9Z79Ozrvveb7/fJ195VmdPys1HvXrJxCeen8X39xbHeYn8P9LOE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jn8bEAAAA2wAAAA8AAAAAAAAAAAAAAAAAmAIAAGRycy9k&#10;b3ducmV2LnhtbFBLBQYAAAAABAAEAPUAAACJAwAAAAA=&#10;" path="m50038,l75057,581279c50038,582295,24892,581787,,579628l50038,xe" fillcolor="#a5a5a5" stroked="f" strokeweight="0">
                  <v:path arrowok="t" textboxrect="0,0,75057,582295"/>
                </v:shape>
                <v:shape id="Shape 41805" o:spid="_x0000_s1931" style="position:absolute;left:6551;top:9635;width:750;height:5823;visibility:visible;mso-wrap-style:square;v-text-anchor:top" coordsize="75057,582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1uhL8A&#10;AADbAAAADwAAAGRycy9kb3ducmV2LnhtbERP32vCMBB+F/Y/hBvszaZT0NEZZUyEPQlW1+ejuaVl&#10;zaUk0db/3giCb/fx/bzVZrSduJAPrWMF71kOgrh2umWj4HTcTT9AhIissXNMCq4UYLN+mayw0G7g&#10;A13KaEQK4VCggibGvpAy1A1ZDJnriRP357zFmKA3UnscUrjt5CzPF9Jiy6mhwZ6+G6r/y7NVsK2G&#10;YJbn0lRmX/e+Ct12jr9Kvb2OX58gIo3xKX64f3SaP4f7L+kAub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vW6EvwAAANsAAAAPAAAAAAAAAAAAAAAAAJgCAABkcnMvZG93bnJl&#10;di54bWxQSwUGAAAAAAQABAD1AAAAhAMAAAAA&#10;" path="m75057,581279c50038,582295,24892,581787,,579628l50038,,75057,581279xe" filled="f" strokecolor="white" strokeweight="1.56pt">
                  <v:path arrowok="t" textboxrect="0,0,75057,582295"/>
                </v:shape>
                <v:shape id="Shape 41806" o:spid="_x0000_s1932" style="position:absolute;left:6054;top:9635;width:997;height:5796;visibility:visible;mso-wrap-style:square;v-text-anchor:top" coordsize="99695,579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2XLsAA&#10;AADbAAAADwAAAGRycy9kb3ducmV2LnhtbERPTYvCMBC9C/6HMMLeNFWkaDXKIhQXL4tVPA/N2IZt&#10;JqWJbfffbxYW9jaP9zn742gb0VPnjWMFy0UCgrh02nCl4H7L5xsQPiBrbByTgm/ycDxMJ3vMtBv4&#10;Sn0RKhFD2GeooA6hzaT0ZU0W/cK1xJF7us5iiLCrpO5wiOG2kaskSaVFw7GhxpZONZVfxcsqWLWP&#10;28UN6wsmzWdq8ufWnB9bpd5m4/sORKAx/Iv/3B86zl/D7y/xAHn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M2XLsAAAADbAAAADwAAAAAAAAAAAAAAAACYAgAAZHJzL2Rvd25y&#10;ZXYueG1sUEsFBgAAAAAEAAQA9QAAAIUDAAAAAA==&#10;" path="m99695,l49657,579628c33020,578231,16510,576073,,573151l99695,xe" fillcolor="#ffc000" stroked="f" strokeweight="0">
                  <v:path arrowok="t" textboxrect="0,0,99695,579628"/>
                </v:shape>
                <v:shape id="Shape 41807" o:spid="_x0000_s1933" style="position:absolute;left:6054;top:9635;width:997;height:5796;visibility:visible;mso-wrap-style:square;v-text-anchor:top" coordsize="99695,579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Qjh8AA&#10;AADbAAAADwAAAGRycy9kb3ducmV2LnhtbERP32vCMBB+F/Y/hBv4ZtMJinRG2QYFwac5Efd2NGdT&#10;m1xKE7X+94sg7O0+vp+3XA/Oiiv1ofGs4C3LQRBXXjdcK9j/lJMFiBCRNVrPpOBOAdarl9ESC+1v&#10;/E3XXaxFCuFQoAITY1dIGSpDDkPmO+LEnXzvMCbY11L3eEvhzsppns+lw4ZTg8GOvgxV7e7iFLTd&#10;zFZlaQ88b3+tO5vhuA2fSo1fh493EJGG+C9+ujc6zZ/B45d0gF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kQjh8AAAADbAAAADwAAAAAAAAAAAAAAAACYAgAAZHJzL2Rvd25y&#10;ZXYueG1sUEsFBgAAAAAEAAQA9QAAAIUDAAAAAA==&#10;" path="m49657,579628c33020,578231,16510,576073,,573151l99695,,49657,579628xe" filled="f" strokecolor="white" strokeweight="1.56pt">
                  <v:path arrowok="t" textboxrect="0,0,99695,579628"/>
                </v:shape>
                <v:shape id="Shape 41808" o:spid="_x0000_s1934" style="position:absolute;left:5809;top:9635;width:1242;height:5732;visibility:visible;mso-wrap-style:square;v-text-anchor:top" coordsize="124206,573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Wi+cEA&#10;AADbAAAADwAAAGRycy9kb3ducmV2LnhtbERPS2sCMRC+C/6HMEJvmrUHka1RWtHWo2/obbqZbrZu&#10;JmET1+2/bwSht/n4njNbdLYWLTWhcqxgPMpAEBdOV1wqOB7WwymIEJE11o5JwS8FWMz7vRnm2t14&#10;R+0+liKFcMhRgYnR51KGwpDFMHKeOHHfrrEYE2xKqRu8pXBby+csm0iLFacGg56WhorL/moV+HZl&#10;2vPX57usPvxy+3b62eHxoNTToHt9ARGpi//ih3uj0/wJ3H9JB8j5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lovnBAAAA2wAAAA8AAAAAAAAAAAAAAAAAmAIAAGRycy9kb3du&#10;cmV2LnhtbFBLBQYAAAAABAAEAPUAAACGAwAAAAA=&#10;" path="m124206,l24511,573151c16256,571754,8128,570103,,568325l124206,xe" fillcolor="#4472c4" stroked="f" strokeweight="0">
                  <v:path arrowok="t" textboxrect="0,0,124206,573151"/>
                </v:shape>
                <v:shape id="Shape 41809" o:spid="_x0000_s1935" style="position:absolute;left:5809;top:9635;width:1242;height:5732;visibility:visible;mso-wrap-style:square;v-text-anchor:top" coordsize="124206,573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UabcAA&#10;AADbAAAADwAAAGRycy9kb3ducmV2LnhtbERPTYvCMBC9C/sfwix409Q9rNI1igoLnha0ongbmjEt&#10;20xKE9vqrzeC4G0e73Pmy95WoqXGl44VTMYJCOLc6ZKNgkP2O5qB8AFZY+WYFNzIw3LxMZhjql3H&#10;O2r3wYgYwj5FBUUIdSqlzwuy6MeuJo7cxTUWQ4SNkbrBLobbSn4lybe0WHJsKLCmTUH5//5qFaxd&#10;Vh4357+zmWUnI7tO3tvVRanhZ7/6ARGoD2/xy73Vcf4Unr/EA+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UabcAAAADbAAAADwAAAAAAAAAAAAAAAACYAgAAZHJzL2Rvd25y&#10;ZXYueG1sUEsFBgAAAAAEAAQA9QAAAIUDAAAAAA==&#10;" path="m24511,573151c16256,571754,8128,570103,,568325l124206,,24511,573151xe" filled="f" strokecolor="white" strokeweight="1.56pt">
                  <v:path arrowok="t" textboxrect="0,0,124206,573151"/>
                </v:shape>
                <v:shape id="Shape 41810" o:spid="_x0000_s1936" style="position:absolute;left:681;top:3903;width:6370;height:11415;visibility:visible;mso-wrap-style:square;v-text-anchor:top" coordsize="636981,1141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FfR8QA&#10;AADbAAAADwAAAGRycy9kb3ducmV2LnhtbESPQWvDMAyF74P9B6PCLqN1MsoYad1SMgY5dLCl+wEi&#10;VuPQWM5it03//XQo7Cbxnt77tN5OvlcXGmMX2EC+yEARN8F23Br4OXzM30DFhGyxD0wGbhRhu3l8&#10;WGNhw5W/6VKnVkkIxwINuJSGQuvYOPIYF2EgFu0YRo9J1rHVdsSrhPtev2TZq/bYsTQ4HKh01Jzq&#10;szdQfe6b5zJ3X+XJpjo/c7V7/10a8zSbditQiab0b75fV1bwBVZ+kQH0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xX0fEAAAA2wAAAA8AAAAAAAAAAAAAAAAAmAIAAGRycy9k&#10;b3ducmV2LnhtbFBLBQYAAAAABAAEAPUAAACJAwAAAAA=&#10;" path="m537286,r99695,573151l512775,1141476c198831,1072897,,762889,68605,448945,119088,217932,304368,40513,537286,xe" fillcolor="#70ad47" stroked="f" strokeweight="0">
                  <v:path arrowok="t" textboxrect="0,0,636981,1141476"/>
                </v:shape>
                <v:shape id="Shape 41811" o:spid="_x0000_s1937" style="position:absolute;left:681;top:3903;width:6370;height:11415;visibility:visible;mso-wrap-style:square;v-text-anchor:top" coordsize="636981,1141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uKQMEA&#10;AADbAAAADwAAAGRycy9kb3ducmV2LnhtbERP22oCMRB9L/gPYQTfatZaRFej6EKhUCjewNdhM25W&#10;N5Owibr9+6ZQ8G0O5zqLVWcbcac21I4VjIYZCOLS6ZorBcfDx+sURIjIGhvHpOCHAqyWvZcF5to9&#10;eEf3faxECuGQowITo8+lDKUhi2HoPHHizq61GBNsK6lbfKRw28i3LJtIizWnBoOeCkPldX+zCvQ0&#10;M9+X4ssXx3e5Od8u48ZvT0oN+t16DiJSF5/if/enTvNn8PdLOk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bikDBAAAA2wAAAA8AAAAAAAAAAAAAAAAAmAIAAGRycy9kb3du&#10;cmV2LnhtbFBLBQYAAAAABAAEAPUAAACGAwAAAAA=&#10;" path="m512775,1141476c198831,1072897,,762889,68605,448945,119088,217932,304368,40513,537286,r99695,573151l512775,1141476xe" filled="f" strokecolor="white" strokeweight="1.56pt">
                  <v:path arrowok="t" textboxrect="0,0,636981,1141476"/>
                </v:shape>
                <v:shape id="Shape 41812" o:spid="_x0000_s1938" style="position:absolute;left:6054;top:3839;width:997;height:5796;visibility:visible;mso-wrap-style:square;v-text-anchor:top" coordsize="99695,579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IxLsEA&#10;AADbAAAADwAAAGRycy9kb3ducmV2LnhtbERPy4rCMBTdD/gP4QqzGTS1MKNUo6iDj61aF+4uzbUp&#10;NjeliVr/frIQZnk479mis7V4UOsrxwpGwwQEceF0xaWC/LQZTED4gKyxdkwKXuRhMe99zDDT7skH&#10;ehxDKWII+wwVmBCaTEpfGLLoh64hjtzVtRZDhG0pdYvPGG5rmSbJj7RYcWww2NDaUHE73q2C8eo7&#10;zden7fZ39HW552bX7Mfni1Kf/W45BRGoC//it3uvFaRxffwSf4C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SMS7BAAAA2wAAAA8AAAAAAAAAAAAAAAAAmAIAAGRycy9kb3du&#10;cmV2LnhtbFBLBQYAAAAABAAEAPUAAACGAwAAAAA=&#10;" path="m49657,l99695,579627,,6476c16510,3683,33020,1524,49657,xe" fillcolor="#255e91" stroked="f" strokeweight="0">
                  <v:path arrowok="t" textboxrect="0,0,99695,579627"/>
                </v:shape>
                <v:shape id="Shape 41813" o:spid="_x0000_s1939" style="position:absolute;left:6054;top:3839;width:997;height:5796;visibility:visible;mso-wrap-style:square;v-text-anchor:top" coordsize="99695,579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u9L8QA&#10;AADbAAAADwAAAGRycy9kb3ducmV2LnhtbESPT4vCMBTE7wt+h/AEL7KmVZSlaxQRBA968A94fds8&#10;22rzUppUq5/eCMIeh5n5DTOdt6YUN6pdYVlBPIhAEKdWF5wpOB5W3z8gnEfWWFomBQ9yMJ91vqaY&#10;aHvnHd32PhMBwi5BBbn3VSKlS3My6Aa2Ig7e2dYGfZB1JnWN9wA3pRxG0UQaLDgs5FjRMqf0um+M&#10;AtOcFv3YlKPJdlOMq+3oQs3fU6let138gvDU+v/wp73WCoYxvL+EHyB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LvS/EAAAA2wAAAA8AAAAAAAAAAAAAAAAAmAIAAGRycy9k&#10;b3ducmV2LnhtbFBLBQYAAAAABAAEAPUAAACJAwAAAAA=&#10;" path="m,6476c16510,3683,33020,1524,49657,l99695,579627,,6476xe" filled="f" strokecolor="white" strokeweight="1.56pt">
                  <v:path arrowok="t" textboxrect="0,0,99695,579627"/>
                </v:shape>
                <v:shape id="Shape 41814" o:spid="_x0000_s1940" style="position:absolute;left:6551;top:3839;width:500;height:5796;visibility:visible;mso-wrap-style:square;v-text-anchor:top" coordsize="50038,579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bMMIA&#10;AADbAAAADwAAAGRycy9kb3ducmV2LnhtbESPT4vCMBTE74LfITzBi2hqWUSqUUQU9+Bl/XN/Ns+2&#10;mryUJmr99puFBY/DzPyGmS9ba8STGl85VjAeJSCIc6crLhScjtvhFIQPyBqNY1LwJg/LRbczx0y7&#10;F//Q8xAKESHsM1RQhlBnUvq8JIt+5Gri6F1dYzFE2RRSN/iKcGtkmiQTabHiuFBiTeuS8vvhYRUM&#10;vs5m976g2dvb/VrbzTTdH3Ol+r12NQMRqA2f8H/7WytIU/j7En+A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CVswwgAAANsAAAAPAAAAAAAAAAAAAAAAAJgCAABkcnMvZG93&#10;bnJldi54bWxQSwUGAAAAAAQABAD1AAAAhwMAAAAA&#10;" path="m,l50038,579627,,xe" filled="f" strokecolor="white" strokeweight="1.56pt">
                  <v:path arrowok="t" textboxrect="0,0,50038,579627"/>
                </v:shape>
                <v:shape id="Shape 41815" o:spid="_x0000_s1941" style="position:absolute;left:6551;top:3839;width:500;height:5796;visibility:visible;mso-wrap-style:square;v-text-anchor:top" coordsize="50038,579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X+q8QA&#10;AADbAAAADwAAAGRycy9kb3ducmV2LnhtbESPQWvCQBSE7wX/w/IKXkrdNC0i0TVIUdqDl6q9P7PP&#10;JM3u25Bdk/jvu4WCx2FmvmFW+WiN6KnztWMFL7MEBHHhdM2lgtNx97wA4QOyRuOYFNzIQ76ePKww&#10;027gL+oPoRQRwj5DBVUIbSalLyqy6GeuJY7exXUWQ5RdKXWHQ4RbI9MkmUuLNceFClt6r6hoDler&#10;4Ont23zczmj29qe5tHa7SPfHQqnp47hZggg0hnv4v/2pFaSv8Pcl/g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F/qvEAAAA2wAAAA8AAAAAAAAAAAAAAAAAmAIAAGRycy9k&#10;b3ducmV2LnhtbFBLBQYAAAAABAAEAPUAAACJAwAAAAA=&#10;" path="m,l50038,579627,,xe" filled="f" strokecolor="white" strokeweight="1.56pt">
                  <v:path arrowok="t" textboxrect="0,0,50038,579627"/>
                </v:shape>
                <v:shape id="Shape 41816" o:spid="_x0000_s1942" style="position:absolute;left:6551;top:3817;width:500;height:5818;visibility:visible;mso-wrap-style:square;v-text-anchor:top" coordsize="50038,581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7Tz8MA&#10;AADbAAAADwAAAGRycy9kb3ducmV2LnhtbESPQWvCQBSE70L/w/KE3nSjFGmiq0ij0Ftt7KHHR/aZ&#10;BHffhuyrpv++Wyj0OMzMN8xmN3qnbjTELrCBxTwDRVwH23Fj4ON8nD2DioJs0QUmA98UYbd9mGyw&#10;sOHO73SrpFEJwrFAA61IX2gd65Y8xnnoiZN3CYNHSXJotB3wnuDe6WWWrbTHjtNCiz29tFRfqy9v&#10;IMrnocwP4+rN5fZUNi4/HUsx5nE67teghEb5D/+1X62B5RP8fkk/QG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7Tz8MAAADbAAAADwAAAAAAAAAAAAAAAACYAgAAZHJzL2Rv&#10;d25yZXYueG1sUEsFBgAAAAAEAAQA9QAAAIgDAAAAAA==&#10;" path="m50038,r,581787l,2160c16637,762,33274,,50038,xe" fillcolor="#997300" stroked="f" strokeweight="0">
                  <v:path arrowok="t" textboxrect="0,0,50038,581787"/>
                </v:shape>
                <v:shape id="Shape 41817" o:spid="_x0000_s1943" style="position:absolute;left:6551;top:3817;width:500;height:5818;visibility:visible;mso-wrap-style:square;v-text-anchor:top" coordsize="50038,581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pgsMA&#10;AADbAAAADwAAAGRycy9kb3ducmV2LnhtbESPQWvCQBSE74L/YXlCL6KbSCttdA0SELw2VXt9Zl+T&#10;4O7bkF017a/vFgoeh5n5hlnngzXiRr1vHStI5wkI4srplmsFh4/d7BWED8gajWNS8E0e8s14tMZM&#10;uzu/060MtYgQ9hkqaELoMil91ZBFP3cdcfS+XG8xRNnXUvd4j3Br5CJJltJiy3GhwY6KhqpLebUK&#10;uk+pD/btXE4LaY77n+d0Z06pUk+TYbsCEWgIj/B/e68VLF7g70v8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pgsMAAADbAAAADwAAAAAAAAAAAAAAAACYAgAAZHJzL2Rv&#10;d25yZXYueG1sUEsFBgAAAAAEAAQA9QAAAIgDAAAAAA==&#10;" path="m,2160c16637,762,33274,,50038,r,581787l,2160xe" filled="f" strokecolor="white" strokeweight="1.56pt">
                  <v:path arrowok="t" textboxrect="0,0,50038,581787"/>
                </v:shape>
                <v:shape id="Shape 41818" o:spid="_x0000_s1944" style="position:absolute;left:7051;top:3817;width:0;height:5818;visibility:visible;mso-wrap-style:square;v-text-anchor:top" coordsize="0,581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AyFsMA&#10;AADbAAAADwAAAGRycy9kb3ducmV2LnhtbESPzW7CMBCE75X6DtZW4laccoAqxSDojwS3Frj0too3&#10;cUS8juJtSN4eIyH1OJqZbzTL9eAb1VMX68AGXqYZKOIi2JorA6fj1/MrqCjIFpvAZGCkCOvV48MS&#10;cxsu/EP9QSqVIBxzNOBE2lzrWDjyGKehJU5eGTqPkmRXadvhJcF9o2dZNtcea04LDlt6d1ScD3/e&#10;QP25/diN367/Lcu41zhKvziLMZOnYfMGSmiQ//C9vbMGZnO4fUk/QK+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AyFsMAAADbAAAADwAAAAAAAAAAAAAAAACYAgAAZHJzL2Rv&#10;d25yZXYueG1sUEsFBgAAAAAEAAQA9QAAAIgDAAAAAA==&#10;" path="m,l,581787,,xe" filled="f" strokecolor="white" strokeweight="1.56pt">
                  <v:path arrowok="t" textboxrect="0,0,0,581787"/>
                </v:shape>
                <v:shape id="Shape 41819" o:spid="_x0000_s1945" style="position:absolute;left:7434;top:15448;width:335;height:1783;visibility:visible;mso-wrap-style:square;v-text-anchor:top" coordsize="33528,178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B7ZMEA&#10;AADbAAAADwAAAGRycy9kb3ducmV2LnhtbESPQYvCMBSE74L/IbwFb5quBytdoywLgiC4aAWvj+Zt&#10;U01eShO1/vuNIHgcZuYbZrHqnRU36kLjWcHnJANBXHndcK3gWK7HcxAhImu0nknBgwKslsPBAgvt&#10;77yn2yHWIkE4FKjAxNgWUobKkMMw8S1x8v585zAm2dVSd3hPcGflNMtm0mHDacFgSz+Gqsvh6hSc&#10;t+5q8ryi3WZvH2V5svmvtkqNPvrvLxCR+vgOv9obrWCaw/NL+g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we2TBAAAA2wAAAA8AAAAAAAAAAAAAAAAAmAIAAGRycy9kb3du&#10;cmV2LnhtbFBLBQYAAAAABAAEAPUAAACGAwAAAAA=&#10;" path="m,l33528,178308e" filled="f" strokecolor="#a6a6a6" strokeweight=".72pt">
                  <v:path arrowok="t" textboxrect="0,0,33528,178308"/>
                </v:shape>
                <v:shape id="Shape 41820" o:spid="_x0000_s1946" style="position:absolute;left:6931;top:15448;width:0;height:1554;visibility:visible;mso-wrap-style:square;v-text-anchor:top" coordsize="0,155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Liib8A&#10;AADbAAAADwAAAGRycy9kb3ducmV2LnhtbERPTYvCMBC9C/sfwix4kTXVg0o1iqws6M1aYa9DM7bF&#10;ZtJNsm399+YgeHy8781uMI3oyPnasoLZNAFBXFhdc6ngmv98rUD4gKyxsUwKHuRht/0YbTDVtueM&#10;uksoRQxhn6KCKoQ2ldIXFRn0U9sSR+5mncEQoSuldtjHcNPIeZIspMGaY0OFLX1XVNwv/0ZBfxjO&#10;ycr+utPyNsn+auyy/C6VGn8O+zWIQEN4i1/uo1Ywj2Pjl/gD5PY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wuKJvwAAANsAAAAPAAAAAAAAAAAAAAAAAJgCAABkcnMvZG93bnJl&#10;di54bWxQSwUGAAAAAAQABAD1AAAAhAMAAAAA&#10;" path="m,l,155448e" filled="f" strokecolor="#a6a6a6" strokeweight=".72pt">
                  <v:path arrowok="t" textboxrect="0,0,0,155448"/>
                </v:shape>
                <v:shape id="Shape 41821" o:spid="_x0000_s1947" style="position:absolute;left:3471;top:15402;width:2835;height:107;visibility:visible;mso-wrap-style:square;v-text-anchor:top" coordsize="28346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Pi8MYA&#10;AADbAAAADwAAAGRycy9kb3ducmV2LnhtbESPQWvCQBSE74L/YXlCL0U35lBtdCMitLQ9VEyl0Nsj&#10;+0xCsm9jdjXpv+8KBY/DzHzDrDeDacSVOldZVjCfRSCIc6srLhQcv16mSxDOI2tsLJOCX3KwScej&#10;NSba9nyga+YLESDsElRQet8mUrq8JINuZlvi4J1sZ9AH2RVSd9gHuGlkHEVP0mDFYaHElnYl5XV2&#10;MQrq+HWx5Utjfvg9+z73H4/ZfP+p1MNk2K5AeBr8PfzfftMK4me4fQk/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tPi8MYAAADbAAAADwAAAAAAAAAAAAAAAACYAgAAZHJz&#10;L2Rvd25yZXYueG1sUEsFBgAAAAAEAAQA9QAAAIsDAAAAAA==&#10;" path="m283464,l57912,10668,,10668e" filled="f" strokecolor="#a6a6a6" strokeweight=".72pt">
                  <v:path arrowok="t" textboxrect="0,0,283464,10668"/>
                </v:shape>
                <v:shape id="Shape 41822" o:spid="_x0000_s1948" style="position:absolute;left:4751;top:15341;width:1174;height:1280;visibility:visible;mso-wrap-style:square;v-text-anchor:top" coordsize="117348,128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nccr4A&#10;AADbAAAADwAAAGRycy9kb3ducmV2LnhtbERPy4rCMBTdC/MP4Q6403QURDpGcWasj6U6H3Bprm2w&#10;uSlJtPXvzUJweTjvxaq3jbiTD8axgq9xBoK4dNpwpeD/XIzmIEJE1tg4JgUPCrBafgwWmGvX8ZHu&#10;p1iJFMIhRwV1jG0uZShrshjGriVO3MV5izFBX0ntsUvhtpGTLJtJi4ZTQ40t/dZUXk83q8Acij/9&#10;ozfb7awo0Plpl5ndWqnhZ7/+BhGpj2/xy73XCqZpffqSfoBcP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t53HK+AAAA2wAAAA8AAAAAAAAAAAAAAAAAmAIAAGRycy9kb3ducmV2&#10;LnhtbFBLBQYAAAAABAAEAPUAAACDAwAAAAA=&#10;" path="m117348,l57912,128015,,128015e" filled="f" strokecolor="#a6a6a6" strokeweight=".72pt">
                  <v:path arrowok="t" textboxrect="0,0,117348,128015"/>
                </v:shape>
                <v:shape id="Shape 41823" o:spid="_x0000_s1949" style="position:absolute;left:3029;top:3683;width:3277;height:182;visibility:visible;mso-wrap-style:square;v-text-anchor:top" coordsize="327660,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l5ZcQA&#10;AADbAAAADwAAAGRycy9kb3ducmV2LnhtbESPQWvCQBSE7wX/w/KE3ppNLEiNrqKi4EWhqbTXx+4z&#10;SZt9G7Orxv76bqHQ4zAz3zCzRW8bcaXO144VZEkKglg7U3Op4Pi2fXoB4QOywcYxKbiTh8V88DDD&#10;3Lgbv9K1CKWIEPY5KqhCaHMpva7Iok9cSxy9k+sshii7UpoObxFuGzlK07G0WHNcqLCldUX6q7hY&#10;BRI35+JzlZ3f+52efHwfzEGne6Ueh/1yCiJQH/7Df+2dUfCcwe+X+APk/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JeWXEAAAA2wAAAA8AAAAAAAAAAAAAAAAAmAIAAGRycy9k&#10;b3ducmV2LnhtbFBLBQYAAAAABAAEAPUAAACJAwAAAAA=&#10;" path="m327660,18288l57912,,,e" filled="f" strokecolor="#a6a6a6" strokeweight=".72pt">
                  <v:path arrowok="t" textboxrect="0,0,327660,18288"/>
                </v:shape>
                <v:shape id="Shape 41824" o:spid="_x0000_s1950" style="position:absolute;left:5925;top:3302;width:625;height:533;visibility:visible;mso-wrap-style:square;v-text-anchor:top" coordsize="62484,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MM2sQA&#10;AADbAAAADwAAAGRycy9kb3ducmV2LnhtbESPW2vCQBSE3wv9D8sp9E03KliJriKCeAGLl9LnQ/aY&#10;pM2eXbLbJP57VxD6OMzMN8xs0ZlKNFT70rKCQT8BQZxZXXKu4Ouy7k1A+ICssbJMCm7kYTF/fZlh&#10;qm3LJ2rOIRcRwj5FBUUILpXSZwUZ9H3riKN3tbXBEGWdS11jG+GmksMkGUuDJceFAh2tCsp+z38m&#10;UkbN8Xtd7m4f+83h07XOyh+7Ver9rVtOQQTqwn/42d5qBaMhPL7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DDNrEAAAA2wAAAA8AAAAAAAAAAAAAAAAAmAIAAGRycy9k&#10;b3ducmV2LnhtbFBLBQYAAAAABAAEAPUAAACJAwAAAAA=&#10;" path="m62484,53340l56388,,,e" filled="f" strokecolor="#a6a6a6" strokeweight=".72pt">
                  <v:path arrowok="t" textboxrect="0,0,62484,53340"/>
                </v:shape>
                <v:shape id="Shape 41825" o:spid="_x0000_s1951" style="position:absolute;left:6793;top:3271;width:1738;height:549;visibility:visible;mso-wrap-style:square;v-text-anchor:top" coordsize="173736,54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vPxsMA&#10;AADbAAAADwAAAGRycy9kb3ducmV2LnhtbESPQavCMBCE74L/IazgTVMV1NdnFBUFD16qHvS2r1nb&#10;8ppNaaLWf28EweMwO9/szBaNKcWdaldYVjDoRyCIU6sLzhScjtveFITzyBpLy6TgSQ4W83ZrhrG2&#10;D07ofvCZCBB2MSrIva9iKV2ak0HXtxVx8K62NuiDrDOpa3wEuCnlMIrG0mDBoSHHitY5pf+Hmwlv&#10;jP8mzX5/SVbZ6ry+XjY6eU5/lOp2muUvCE+N/x5/0jutYDSC95YAAD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vPxsMAAADbAAAADwAAAAAAAAAAAAAAAACYAgAAZHJzL2Rv&#10;d25yZXYueG1sUEsFBgAAAAAEAAQA9QAAAIgDAAAAAA==&#10;" path="m,54864l117348,r56388,e" filled="f" strokecolor="#a6a6a6" strokeweight=".72pt">
                  <v:path arrowok="t" textboxrect="0,0,173736,54864"/>
                </v:shape>
                <v:rect id="Rectangle 34" o:spid="_x0000_s1952" style="position:absolute;left:11914;top:11144;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14:paraId="1DD3ACC8" w14:textId="77777777" w:rsidR="0014164F" w:rsidRDefault="0014164F" w:rsidP="00FD116C">
                        <w:r>
                          <w:rPr>
                            <w:rFonts w:ascii="Calibri" w:hAnsi="Calibri" w:cs="Calibri"/>
                            <w:color w:val="404040"/>
                            <w:sz w:val="18"/>
                          </w:rPr>
                          <w:t>%</w:t>
                        </w:r>
                      </w:p>
                    </w:txbxContent>
                  </v:textbox>
                </v:rect>
                <v:rect id="Rectangle 35" o:spid="_x0000_s1953" style="position:absolute;left:9308;top:11144;width:346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14:paraId="5C98249C" w14:textId="77777777" w:rsidR="0014164F" w:rsidRDefault="0014164F" w:rsidP="00FD116C">
                        <w:r>
                          <w:rPr>
                            <w:rFonts w:ascii="Calibri" w:hAnsi="Calibri" w:cs="Calibri"/>
                            <w:color w:val="404040"/>
                            <w:sz w:val="18"/>
                          </w:rPr>
                          <w:t>48.63</w:t>
                        </w:r>
                      </w:p>
                    </w:txbxContent>
                  </v:textbox>
                </v:rect>
                <v:rect id="Rectangle 36" o:spid="_x0000_s1954" style="position:absolute;left:7967;top:16376;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14:paraId="53C1581A" w14:textId="77777777" w:rsidR="0014164F" w:rsidRDefault="0014164F" w:rsidP="00FD116C">
                        <w:r>
                          <w:rPr>
                            <w:rFonts w:ascii="Calibri" w:hAnsi="Calibri" w:cs="Calibri"/>
                            <w:color w:val="404040"/>
                            <w:sz w:val="18"/>
                          </w:rPr>
                          <w:t>0.68</w:t>
                        </w:r>
                      </w:p>
                    </w:txbxContent>
                  </v:textbox>
                </v:rect>
                <v:rect id="Rectangle 37" o:spid="_x0000_s1955" style="position:absolute;left:9994;top:16376;width:108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14:paraId="3B5DB8B5" w14:textId="77777777" w:rsidR="0014164F" w:rsidRDefault="0014164F" w:rsidP="00FD116C">
                        <w:r>
                          <w:rPr>
                            <w:rFonts w:ascii="Calibri" w:hAnsi="Calibri" w:cs="Calibri"/>
                            <w:color w:val="404040"/>
                            <w:sz w:val="18"/>
                          </w:rPr>
                          <w:t>%</w:t>
                        </w:r>
                      </w:p>
                    </w:txbxContent>
                  </v:textbox>
                </v:rect>
                <v:rect id="Rectangle 38" o:spid="_x0000_s1956" style="position:absolute;left:4187;top:17233;width:269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14:paraId="1583DABD" w14:textId="77777777" w:rsidR="0014164F" w:rsidRDefault="0014164F" w:rsidP="00FD116C">
                        <w:r>
                          <w:rPr>
                            <w:rFonts w:ascii="Calibri" w:hAnsi="Calibri" w:cs="Calibri"/>
                            <w:color w:val="404040"/>
                            <w:sz w:val="18"/>
                          </w:rPr>
                          <w:t>2.05</w:t>
                        </w:r>
                      </w:p>
                    </w:txbxContent>
                  </v:textbox>
                </v:rect>
                <v:rect id="Rectangle 39" o:spid="_x0000_s1957" style="position:absolute;left:6214;top:17233;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14:paraId="7E6B361C" w14:textId="77777777" w:rsidR="0014164F" w:rsidRDefault="0014164F" w:rsidP="00FD116C">
                        <w:r>
                          <w:rPr>
                            <w:rFonts w:ascii="Calibri" w:hAnsi="Calibri" w:cs="Calibri"/>
                            <w:color w:val="404040"/>
                            <w:sz w:val="18"/>
                          </w:rPr>
                          <w:t>%</w:t>
                        </w:r>
                      </w:p>
                    </w:txbxContent>
                  </v:textbox>
                </v:rect>
                <v:rect id="Rectangle 40" o:spid="_x0000_s1958" style="position:absolute;left:2468;top:1464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14:paraId="7207CBE0" w14:textId="77777777" w:rsidR="0014164F" w:rsidRDefault="0014164F" w:rsidP="00FD116C">
                        <w:r>
                          <w:rPr>
                            <w:rFonts w:ascii="Calibri" w:hAnsi="Calibri" w:cs="Calibri"/>
                            <w:color w:val="404040"/>
                            <w:sz w:val="18"/>
                          </w:rPr>
                          <w:t>%</w:t>
                        </w:r>
                      </w:p>
                    </w:txbxContent>
                  </v:textbox>
                </v:rect>
                <v:rect id="Rectangle 41" o:spid="_x0000_s1959" style="position:absolute;left:441;top:14649;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14:paraId="30254C62" w14:textId="77777777" w:rsidR="0014164F" w:rsidRDefault="0014164F" w:rsidP="00FD116C">
                        <w:r>
                          <w:rPr>
                            <w:rFonts w:ascii="Calibri" w:hAnsi="Calibri" w:cs="Calibri"/>
                            <w:color w:val="404040"/>
                            <w:sz w:val="18"/>
                          </w:rPr>
                          <w:t>1.37</w:t>
                        </w:r>
                      </w:p>
                    </w:txbxContent>
                  </v:textbox>
                </v:rect>
                <v:rect id="Rectangle 42" o:spid="_x0000_s1960" style="position:absolute;left:3748;top:15755;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14:paraId="21F016C2" w14:textId="77777777" w:rsidR="0014164F" w:rsidRDefault="0014164F" w:rsidP="00FD116C">
                        <w:r>
                          <w:rPr>
                            <w:rFonts w:ascii="Calibri" w:hAnsi="Calibri" w:cs="Calibri"/>
                            <w:color w:val="404040"/>
                            <w:sz w:val="18"/>
                          </w:rPr>
                          <w:t>%</w:t>
                        </w:r>
                      </w:p>
                    </w:txbxContent>
                  </v:textbox>
                </v:rect>
                <v:rect id="Rectangle 43" o:spid="_x0000_s1961" style="position:absolute;left:1722;top:15755;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14:paraId="12A5CB13" w14:textId="77777777" w:rsidR="0014164F" w:rsidRDefault="0014164F" w:rsidP="00FD116C">
                        <w:r>
                          <w:rPr>
                            <w:rFonts w:ascii="Calibri" w:hAnsi="Calibri" w:cs="Calibri"/>
                            <w:color w:val="404040"/>
                            <w:sz w:val="18"/>
                          </w:rPr>
                          <w:t>0.68</w:t>
                        </w:r>
                      </w:p>
                    </w:txbxContent>
                  </v:textbox>
                </v:rect>
                <v:rect id="Rectangle 44" o:spid="_x0000_s1962" style="position:absolute;left:4451;top:908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14:paraId="7D6C4D06" w14:textId="77777777" w:rsidR="0014164F" w:rsidRDefault="0014164F" w:rsidP="00FD116C">
                        <w:r>
                          <w:rPr>
                            <w:rFonts w:ascii="Calibri" w:hAnsi="Calibri" w:cs="Calibri"/>
                            <w:color w:val="404040"/>
                            <w:sz w:val="18"/>
                          </w:rPr>
                          <w:t>%</w:t>
                        </w:r>
                      </w:p>
                    </w:txbxContent>
                  </v:textbox>
                </v:rect>
                <v:rect id="Rectangle 45" o:spid="_x0000_s1963" style="position:absolute;left:1831;top:9089;width:3481;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14:paraId="3ED3D711" w14:textId="77777777" w:rsidR="0014164F" w:rsidRDefault="0014164F" w:rsidP="00FD116C">
                        <w:r>
                          <w:rPr>
                            <w:rFonts w:ascii="Calibri" w:hAnsi="Calibri" w:cs="Calibri"/>
                            <w:color w:val="404040"/>
                            <w:sz w:val="18"/>
                          </w:rPr>
                          <w:t>43.84</w:t>
                        </w:r>
                      </w:p>
                    </w:txbxContent>
                  </v:textbox>
                </v:rect>
                <v:rect id="Rectangle 46" o:spid="_x0000_s1964" style="position:absolute;top:2819;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14:paraId="5FEE72A0" w14:textId="77777777" w:rsidR="0014164F" w:rsidRDefault="0014164F" w:rsidP="00FD116C">
                        <w:r>
                          <w:rPr>
                            <w:rFonts w:ascii="Calibri" w:hAnsi="Calibri" w:cs="Calibri"/>
                            <w:color w:val="404040"/>
                            <w:sz w:val="18"/>
                          </w:rPr>
                          <w:t>1.37</w:t>
                        </w:r>
                      </w:p>
                    </w:txbxContent>
                  </v:textbox>
                </v:rect>
                <v:rect id="Rectangle 47" o:spid="_x0000_s1965" style="position:absolute;left:2026;top:281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14:paraId="59B060F4" w14:textId="77777777" w:rsidR="0014164F" w:rsidRDefault="0014164F" w:rsidP="00FD116C">
                        <w:r>
                          <w:rPr>
                            <w:rFonts w:ascii="Calibri" w:hAnsi="Calibri" w:cs="Calibri"/>
                            <w:color w:val="404040"/>
                            <w:sz w:val="18"/>
                          </w:rPr>
                          <w:t>%</w:t>
                        </w:r>
                      </w:p>
                    </w:txbxContent>
                  </v:textbox>
                </v:rect>
                <v:rect id="Rectangle 48" o:spid="_x0000_s1966" style="position:absolute;left:2485;top:4453;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14:paraId="5E846201" w14:textId="77777777" w:rsidR="0014164F" w:rsidRDefault="0014164F" w:rsidP="00FD116C">
                        <w:r>
                          <w:rPr>
                            <w:rFonts w:ascii="Calibri" w:hAnsi="Calibri" w:cs="Calibri"/>
                            <w:color w:val="404040"/>
                            <w:sz w:val="18"/>
                          </w:rPr>
                          <w:t>%</w:t>
                        </w:r>
                      </w:p>
                    </w:txbxContent>
                  </v:textbox>
                </v:rect>
                <v:rect id="Rectangle 49" o:spid="_x0000_s1967" style="position:absolute;left:448;top:4453;width:2706;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14:paraId="17B0B9C0" w14:textId="77777777" w:rsidR="0014164F" w:rsidRDefault="0014164F" w:rsidP="00FD116C">
                        <w:r>
                          <w:rPr>
                            <w:rFonts w:ascii="Calibri" w:hAnsi="Calibri" w:cs="Calibri"/>
                            <w:color w:val="404040"/>
                            <w:sz w:val="18"/>
                          </w:rPr>
                          <w:t>0.00</w:t>
                        </w:r>
                      </w:p>
                    </w:txbxContent>
                  </v:textbox>
                </v:rect>
                <v:rect id="Rectangle 50" o:spid="_x0000_s1968" style="position:absolute;left:4912;top:2442;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14:paraId="71D2B81D" w14:textId="77777777" w:rsidR="0014164F" w:rsidRDefault="0014164F" w:rsidP="00FD116C">
                        <w:r>
                          <w:rPr>
                            <w:rFonts w:ascii="Calibri" w:hAnsi="Calibri" w:cs="Calibri"/>
                            <w:color w:val="404040"/>
                            <w:sz w:val="18"/>
                          </w:rPr>
                          <w:t>%</w:t>
                        </w:r>
                      </w:p>
                    </w:txbxContent>
                  </v:textbox>
                </v:rect>
                <v:rect id="Rectangle 51" o:spid="_x0000_s1969" style="position:absolute;left:2886;top:2442;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14:paraId="3BEE27AC" w14:textId="77777777" w:rsidR="0014164F" w:rsidRDefault="0014164F" w:rsidP="00FD116C">
                        <w:r>
                          <w:rPr>
                            <w:rFonts w:ascii="Calibri" w:hAnsi="Calibri" w:cs="Calibri"/>
                            <w:color w:val="404040"/>
                            <w:sz w:val="18"/>
                          </w:rPr>
                          <w:t>0.00</w:t>
                        </w:r>
                      </w:p>
                    </w:txbxContent>
                  </v:textbox>
                </v:rect>
                <v:rect id="Rectangle 52" o:spid="_x0000_s1970" style="position:absolute;left:10753;top:2405;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14:paraId="3A74C422" w14:textId="77777777" w:rsidR="0014164F" w:rsidRDefault="0014164F" w:rsidP="00FD116C">
                        <w:r>
                          <w:rPr>
                            <w:rFonts w:ascii="Calibri" w:hAnsi="Calibri" w:cs="Calibri"/>
                            <w:color w:val="404040"/>
                            <w:sz w:val="18"/>
                          </w:rPr>
                          <w:t>%</w:t>
                        </w:r>
                      </w:p>
                    </w:txbxContent>
                  </v:textbox>
                </v:rect>
                <v:rect id="Rectangle 53" o:spid="_x0000_s1971" style="position:absolute;left:8726;top:2405;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14:paraId="2C950D3E" w14:textId="77777777" w:rsidR="0014164F" w:rsidRDefault="0014164F" w:rsidP="00FD116C">
                        <w:r>
                          <w:rPr>
                            <w:rFonts w:ascii="Calibri" w:hAnsi="Calibri" w:cs="Calibri"/>
                            <w:color w:val="404040"/>
                            <w:sz w:val="18"/>
                          </w:rPr>
                          <w:t>1.37</w:t>
                        </w:r>
                      </w:p>
                    </w:txbxContent>
                  </v:textbox>
                </v:rect>
                <v:rect id="Rectangle 54" o:spid="_x0000_s1972" style="position:absolute;left:10802;top:3450;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14:paraId="6D29C289" w14:textId="77777777" w:rsidR="0014164F" w:rsidRDefault="0014164F" w:rsidP="00FD116C">
                        <w:r>
                          <w:rPr>
                            <w:rFonts w:ascii="Calibri" w:hAnsi="Calibri" w:cs="Calibri"/>
                            <w:color w:val="404040"/>
                            <w:sz w:val="18"/>
                          </w:rPr>
                          <w:t>0.00</w:t>
                        </w:r>
                      </w:p>
                    </w:txbxContent>
                  </v:textbox>
                </v:rect>
                <v:rect id="Rectangle 55" o:spid="_x0000_s1973" style="position:absolute;left:12828;top:3450;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14:paraId="7618F8C1" w14:textId="77777777" w:rsidR="0014164F" w:rsidRDefault="0014164F" w:rsidP="00FD116C">
                        <w:r>
                          <w:rPr>
                            <w:rFonts w:ascii="Calibri" w:hAnsi="Calibri" w:cs="Calibri"/>
                            <w:color w:val="404040"/>
                            <w:sz w:val="18"/>
                          </w:rPr>
                          <w:t>%</w:t>
                        </w:r>
                      </w:p>
                    </w:txbxContent>
                  </v:textbox>
                </v:rect>
                <v:shape id="Shape 922383" o:spid="_x0000_s1974" style="position:absolute;left:15747;top:2806;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TdLMQA&#10;AADbAAAADwAAAGRycy9kb3ducmV2LnhtbESPzWrDMBCE74G8g9hAb4mcQkxxI4c20DTX2sG9Ltb6&#10;J7FWrqU69ttXhUKPw8x8w+wPk+nESINrLSvYbiIQxKXVLdcKLvnb+gmE88gaO8ukYCYHh3S52GOi&#10;7Z0/aMx8LQKEXYIKGu/7REpXNmTQbWxPHLzKDgZ9kEMt9YD3ADedfIyiWBpsOSw02NOxofKWfRsF&#10;xfU0f1Wjy/LiNTud4/x9N0efSj2sppdnEJ4m/x/+a5+1gl0Mv1/CD5D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03SzEAAAA2wAAAA8AAAAAAAAAAAAAAAAAmAIAAGRycy9k&#10;b3ducmV2LnhtbFBLBQYAAAAABAAEAPUAAACJAwAAAAA=&#10;" path="m,l50292,r,51816l,51816,,e" fillcolor="#5b9bd5" stroked="f" strokeweight="0">
                  <v:path arrowok="t" textboxrect="0,0,50292,51816"/>
                </v:shape>
                <v:shape id="Shape 41838" o:spid="_x0000_s1975" style="position:absolute;left:15747;top:2806;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3QIMMA&#10;AADbAAAADwAAAGRycy9kb3ducmV2LnhtbESPzWrDMBCE74W+g9hCbo3cQFrjRjah+SEll8TpAyzW&#10;1jK1VsZSEuXto0Khx2FmvmEWVbS9uNDoO8cKXqYZCOLG6Y5bBV+nzXMOwgdkjb1jUnAjD1X5+LDA&#10;QrsrH+lSh1YkCPsCFZgQhkJK3xiy6KduIE7etxsthiTHVuoRrwlueznLsldpseO0YHCgD0PNT322&#10;CnYxl4dlV+9XW48G13ncf2JUavIUl+8gAsXwH/5r77SC+Rv8fkk/QJ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3QIMMAAADbAAAADwAAAAAAAAAAAAAAAACYAgAAZHJzL2Rv&#10;d25yZXYueG1sUEsFBgAAAAAEAAQA9QAAAIgDAAAAAA==&#10;" path="m,51816r50292,l50292,,,,,51816xe" filled="f" strokecolor="white" strokeweight="1.56pt">
                  <v:path arrowok="t" textboxrect="0,0,50292,51816"/>
                </v:shape>
                <v:rect id="Rectangle 58" o:spid="_x0000_s1976" style="position:absolute;left:16468;top:2460;width:472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14:paraId="370BEF09" w14:textId="77777777" w:rsidR="0014164F" w:rsidRDefault="0014164F" w:rsidP="00FD116C">
                        <w:r>
                          <w:rPr>
                            <w:rFonts w:ascii="Arial" w:eastAsia="Arial" w:hAnsi="Arial" w:cs="Arial"/>
                            <w:color w:val="595959"/>
                            <w:sz w:val="16"/>
                          </w:rPr>
                          <w:t>Plastika</w:t>
                        </w:r>
                      </w:p>
                    </w:txbxContent>
                  </v:textbox>
                </v:rect>
                <v:shape id="Shape 922384" o:spid="_x0000_s1977" style="position:absolute;left:15747;top:4102;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lZIcUA&#10;AADbAAAADwAAAGRycy9kb3ducmV2LnhtbESPQWvCQBSE7wX/w/KE3nSjUKkxq0hECAiFxpbS2zP7&#10;moRm34bsmqT++m5B6HGYmW+YZDeaRvTUudqygsU8AkFcWF1zqeDtfJw9g3AeWWNjmRT8kIPddvKQ&#10;YKztwK/U574UAcIuRgWV920spSsqMujmtiUO3pftDPogu1LqDocAN41cRtFKGqw5LFTYUlpR8Z1f&#10;jYL0mn6u7Y0P76fs5XRZ5h9udWOlHqfjfgPC0+j/w/d2phU8reHvS/gB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iVkhxQAAANsAAAAPAAAAAAAAAAAAAAAAAJgCAABkcnMv&#10;ZG93bnJldi54bWxQSwUGAAAAAAQABAD1AAAAigMAAAAA&#10;" path="m,l50292,r,50292l,50292,,e" fillcolor="#ed7d31" stroked="f" strokeweight="0">
                  <v:path arrowok="t" textboxrect="0,0,50292,50292"/>
                </v:shape>
                <v:shape id="Shape 41841" o:spid="_x0000_s1978" style="position:absolute;left:15747;top:4102;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LiScEA&#10;AADbAAAADwAAAGRycy9kb3ducmV2LnhtbERP3WrCMBS+H/gO4QjejJkqI0g1yhgMNjeGOh/g2Bzb&#10;sOakJpmtb79cDHb58f2vNoNrxZVCtJ41zKYFCOLKG8u1huPXy8MCREzIBlvPpOFGETbr0d0KS+N7&#10;3tP1kGqRQziWqKFJqSuljFVDDuPUd8SZO/vgMGUYamkC9jnctXJeFEo6tJwbGuzouaHq+/DjNOy2&#10;9zJY9XF7k4/29Kmi2r73F60n4+FpCSLRkP7Ff+5Xo0Hl9flL/g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y4knBAAAA2wAAAA8AAAAAAAAAAAAAAAAAmAIAAGRycy9kb3du&#10;cmV2LnhtbFBLBQYAAAAABAAEAPUAAACGAwAAAAA=&#10;" path="m,50292r50292,l50292,,,,,50292xe" filled="f" strokecolor="white" strokeweight="1.56pt">
                  <v:path arrowok="t" textboxrect="0,0,50292,50292"/>
                </v:shape>
                <v:rect id="Rectangle 61" o:spid="_x0000_s1979" style="position:absolute;left:16468;top:3746;width:3690;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14:paraId="5FDE0DE6" w14:textId="77777777" w:rsidR="0014164F" w:rsidRDefault="0014164F" w:rsidP="00FD116C">
                        <w:r>
                          <w:rPr>
                            <w:rFonts w:ascii="Arial" w:eastAsia="Arial" w:hAnsi="Arial" w:cs="Arial"/>
                            <w:color w:val="595959"/>
                            <w:sz w:val="16"/>
                          </w:rPr>
                          <w:t>Guma</w:t>
                        </w:r>
                      </w:p>
                    </w:txbxContent>
                  </v:textbox>
                </v:rect>
                <v:shape id="Shape 922385" o:spid="_x0000_s1980" style="position:absolute;left:15747;top:5382;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w+YcQA&#10;AADbAAAADwAAAGRycy9kb3ducmV2LnhtbESPQWvCQBSE7wX/w/IKvdVNUxBJXUUUISCUqgl4fGZf&#10;k2D2bchuYvrvu4LgcZiZb5jFajSNGKhztWUFH9MIBHFhdc2lguy0e5+DcB5ZY2OZFPyRg9Vy8rLA&#10;RNsbH2g4+lIECLsEFVTet4mUrqjIoJvaljh4v7Yz6IPsSqk7vAW4aWQcRTNpsOawUGFLm4qK67E3&#10;Cq5Z/vN5rtOtbC7zLNeXfl9E30q9vY7rLxCeRv8MP9qpVjCL4f4l/A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8PmHEAAAA2wAAAA8AAAAAAAAAAAAAAAAAmAIAAGRycy9k&#10;b3ducmV2LnhtbFBLBQYAAAAABAAEAPUAAACJAwAAAAA=&#10;" path="m,l50292,r,51816l,51816,,e" fillcolor="#a5a5a5" stroked="f" strokeweight="0">
                  <v:path arrowok="t" textboxrect="0,0,50292,51816"/>
                </v:shape>
                <v:shape id="Shape 41844" o:spid="_x0000_s1981" style="position:absolute;left:15747;top:5382;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ocnsIA&#10;AADbAAAADwAAAGRycy9kb3ducmV2LnhtbESPUWvCMBSF3wf7D+EKe5upE6RUYyluisOXWf0Bl+ba&#10;FJub0kTN/v0yGOzxcM75DmdVRtuLO42+c6xgNs1AEDdOd9wqOJ+2rzkIH5A19o5JwTd5KNfPTyss&#10;tHvwke51aEWCsC9QgQlhKKT0jSGLfuoG4uRd3GgxJDm2Uo/4SHDby7csW0iLHacFgwNtDDXX+mYV&#10;7GMuv6quPrzvPBr8yOPhE6NSL5NYLUEEiuE//NfeawWLOfx+ST9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OhyewgAAANsAAAAPAAAAAAAAAAAAAAAAAJgCAABkcnMvZG93&#10;bnJldi54bWxQSwUGAAAAAAQABAD1AAAAhwMAAAAA&#10;" path="m,51816r50292,l50292,,,,,51816xe" filled="f" strokecolor="white" strokeweight="1.56pt">
                  <v:path arrowok="t" textboxrect="0,0,50292,51816"/>
                </v:shape>
                <v:rect id="Rectangle 40896" o:spid="_x0000_s1982" style="position:absolute;left:16468;top:5212;width:4282;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UQDMcA&#10;AADeAAAADwAAAGRycy9kb3ducmV2LnhtbESPW2vCQBSE3wX/w3KEvulGKZKkriJe0Md6Adu3Q/Y0&#10;CWbPhuxq0v76riD4OMzMN8xs0ZlK3KlxpWUF41EEgjizuuRcwfm0HcYgnEfWWFkmBb/kYDHv92aY&#10;atvyge5Hn4sAYZeigsL7OpXSZQUZdCNbEwfvxzYGfZBNLnWDbYCbSk6iaCoNlhwWCqxpVVB2Pd6M&#10;gl1cL7/29q/Nq8337vJ5SdanxCv1NuiWHyA8df4Vfrb3WsF7FCdTeNwJV0D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FEAzHAAAA3gAAAA8AAAAAAAAAAAAAAAAAmAIAAGRy&#10;cy9kb3ducmV2LnhtbFBLBQYAAAAABAAEAPUAAACMAwAAAAA=&#10;" filled="f" stroked="f">
                  <v:textbox inset="0,0,0,0">
                    <w:txbxContent>
                      <w:p w14:paraId="64C82464" w14:textId="77777777" w:rsidR="0014164F" w:rsidRDefault="0014164F" w:rsidP="00FD116C">
                        <w:r>
                          <w:rPr>
                            <w:rFonts w:ascii="Arial" w:eastAsia="Arial" w:hAnsi="Arial" w:cs="Arial"/>
                            <w:color w:val="595959"/>
                            <w:sz w:val="16"/>
                          </w:rPr>
                          <w:t>Odjeća</w:t>
                        </w:r>
                      </w:p>
                    </w:txbxContent>
                  </v:textbox>
                </v:rect>
                <v:shape id="Shape 922386" o:spid="_x0000_s1983" style="position:absolute;left:15747;top:6662;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0AL8cA&#10;AADeAAAADwAAAGRycy9kb3ducmV2LnhtbESPT2vCQBTE70K/w/IK3nTTYq2mrlKkUqEH/0Tw+si+&#10;JsHs25Bd4+qndwtCj8PM/IaZLYKpRUetqywreBkmIIhzqysuFByy1WACwnlkjbVlUnAlB4v5U2+G&#10;qbYX3lG394WIEHYpKii9b1IpXV6SQTe0DXH0fm1r0EfZFlK3eIlwU8vXJBlLgxXHhRIbWpaUn/Zn&#10;o2DLx1NWf21+vpdhe+uyLrwVTVCq/xw+P0B4Cv4//GivtYJRMpm+w9+de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RdAC/HAAAA3gAAAA8AAAAAAAAAAAAAAAAAmAIAAGRy&#10;cy9kb3ducmV2LnhtbFBLBQYAAAAABAAEAPUAAACMAwAAAAA=&#10;" path="m,l50292,r,51816l,51816,,e" fillcolor="#ffc000" stroked="f" strokeweight="0">
                  <v:path arrowok="t" textboxrect="0,0,50292,51816"/>
                </v:shape>
                <v:shape id="Shape 41847" o:spid="_x0000_s1984" style="position:absolute;left:15747;top:6662;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RPMIA&#10;AADeAAAADwAAAGRycy9kb3ducmV2LnhtbERP3WrCMBS+F/YO4Qx2p+lEpOuMpUwdDm+02wMcmmNT&#10;bE5KEzV7++VC2OXH978qo+3FjUbfOVbwOstAEDdOd9wq+PneTXMQPiBr7B2Tgl/yUK6fJisstLvz&#10;iW51aEUKYV+gAhPCUEjpG0MW/cwNxIk7u9FiSHBspR7xnsJtL+dZtpQWO04NBgf6MNRc6qtVsI+5&#10;PFZdfdh8ejS4zePhC6NSL8+xegcRKIZ/8cO91woWWf6W9qY76Qr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ZE8wgAAAN4AAAAPAAAAAAAAAAAAAAAAAJgCAABkcnMvZG93&#10;bnJldi54bWxQSwUGAAAAAAQABAD1AAAAhwMAAAAA&#10;" path="m,51816r50292,l50292,,,,,51816xe" filled="f" strokecolor="white" strokeweight="1.56pt">
                  <v:path arrowok="t" textboxrect="0,0,50292,51816"/>
                </v:shape>
                <v:rect id="Rectangle 40899" o:spid="_x0000_s1985" style="position:absolute;left:16468;top:6322;width:727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qEfscA&#10;AADeAAAADwAAAGRycy9kb3ducmV2LnhtbESPT2vCQBTE74V+h+UVequbliJJzEakf9BjNYJ6e2Sf&#10;STD7NmS3JvXTdwXB4zAzv2Gy+WhacabeNZYVvE4iEMSl1Q1XCrbF90sMwnlkja1lUvBHDub540OG&#10;qbYDr+m88ZUIEHYpKqi971IpXVmTQTexHXHwjrY36IPsK6l7HALctPItiqbSYMNhocaOPmoqT5tf&#10;o2AZd4v9yl6Gqv06LHc/u+SzSLxSz0/jYgbC0+jv4Vt7pRW8R3GSwPVOuAIy/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3ahH7HAAAA3gAAAA8AAAAAAAAAAAAAAAAAmAIAAGRy&#10;cy9kb3ducmV2LnhtbFBLBQYAAAAABAAEAPUAAACMAwAAAAA=&#10;" filled="f" stroked="f">
                  <v:textbox inset="0,0,0,0">
                    <w:txbxContent>
                      <w:p w14:paraId="6D29097C" w14:textId="77777777" w:rsidR="0014164F" w:rsidRDefault="0014164F" w:rsidP="00FD116C">
                        <w:r>
                          <w:rPr>
                            <w:rFonts w:ascii="Arial" w:eastAsia="Arial" w:hAnsi="Arial" w:cs="Arial"/>
                            <w:color w:val="595959"/>
                            <w:sz w:val="16"/>
                          </w:rPr>
                          <w:t>Papir/karton</w:t>
                        </w:r>
                      </w:p>
                    </w:txbxContent>
                  </v:textbox>
                </v:rect>
                <v:shape id="Shape 922387" o:spid="_x0000_s1986" style="position:absolute;left:15747;top:7957;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6h8scA&#10;AADeAAAADwAAAGRycy9kb3ducmV2LnhtbESPwUoDMRCG70LfIYzQm00si9pt0yKiVARBV4Uex824&#10;u+1msiSxXd/eOQgeh3/+b+ZbbUbfqyPF1AW2cDkzoIjr4DpuLLy/PVzcgEoZ2WEfmCz8UILNenK2&#10;wtKFE7/SscqNEginEi20OQ+l1qluyWOahYFYsq8QPWYZY6NdxJPAfa/nxlxpjx3LhRYHumupPlTf&#10;Xt7YHgb3cV0V1f385WkfPxfFjp6tnZ6Pt0tQmcb8v/zXfnQWCrMwIiA6wgC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eofLHAAAA3gAAAA8AAAAAAAAAAAAAAAAAmAIAAGRy&#10;cy9kb3ducmV2LnhtbFBLBQYAAAAABAAEAPUAAACMAwAAAAA=&#10;" path="m,l50292,r,50292l,50292,,e" fillcolor="#4472c4" stroked="f" strokeweight="0">
                  <v:path arrowok="t" textboxrect="0,0,50292,50292"/>
                </v:shape>
                <v:shape id="Shape 41850" o:spid="_x0000_s1987" style="position:absolute;left:15747;top:7957;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cQxccA&#10;AADeAAAADwAAAGRycy9kb3ducmV2LnhtbESP0UoDMRRE3wv+Q7hCX4pNWsqia9MiBUGrFK1+wHVz&#10;3Q1ubrZJ7G7/3giFPg4zc4ZZrgfXiiOFaD1rmE0VCOLKG8u1hs+Px5tbEDEhG2w9k4YTRVivrkZL&#10;LI3v+Z2O+1SLDOFYooYmpa6UMlYNOYxT3xFn79sHhynLUEsTsM9w18q5UoV0aDkvNNjRpqHqZ//r&#10;NLxtJzLY4vX0LBf2a1fEYvvSH7QeXw8P9yASDekSPrefjIaFulMz+L+Tr4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2nEMXHAAAA3gAAAA8AAAAAAAAAAAAAAAAAmAIAAGRy&#10;cy9kb3ducmV2LnhtbFBLBQYAAAAABAAEAPUAAACMAwAAAAA=&#10;" path="m,50292r50292,l50292,,,,,50292xe" filled="f" strokecolor="white" strokeweight="1.56pt">
                  <v:path arrowok="t" textboxrect="0,0,50292,50292"/>
                </v:shape>
                <v:rect id="Rectangle 40902" o:spid="_x0000_s1988" style="position:absolute;left:16468;top:7788;width:9019;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WMFcYA&#10;AADeAAAADwAAAGRycy9kb3ducmV2LnhtbESPW4vCMBSE3wX/QzjCvmmysoitRpG9oI/ewN23Q3Ns&#10;yzYnpcnarr/eCIKPw8x8w8yXna3EhRpfOtbwOlIgiDNnSs41HA9fwykIH5ANVo5Jwz95WC76vTmm&#10;xrW8o8s+5CJC2KeooQihTqX0WUEW/cjVxNE7u8ZiiLLJpWmwjXBbybFSE2mx5LhQYE3vBWW/+z+r&#10;YT2tV98bd23z6vNnfdqeko9DErR+GXSrGYhAXXiGH+2N0fCmEjWG+514Be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WMFcYAAADeAAAADwAAAAAAAAAAAAAAAACYAgAAZHJz&#10;L2Rvd25yZXYueG1sUEsFBgAAAAAEAAQA9QAAAIsDAAAAAA==&#10;" filled="f" stroked="f">
                  <v:textbox inset="0,0,0,0">
                    <w:txbxContent>
                      <w:p w14:paraId="5A5DCF3C" w14:textId="77777777" w:rsidR="0014164F" w:rsidRDefault="0014164F" w:rsidP="00FD116C">
                        <w:r>
                          <w:rPr>
                            <w:rFonts w:ascii="Arial" w:eastAsia="Arial" w:hAnsi="Arial" w:cs="Arial"/>
                            <w:color w:val="595959"/>
                            <w:sz w:val="16"/>
                          </w:rPr>
                          <w:t>Obrađeno drvo</w:t>
                        </w:r>
                      </w:p>
                    </w:txbxContent>
                  </v:textbox>
                </v:rect>
                <v:shape id="Shape 922388" o:spid="_x0000_s1989" style="position:absolute;left:15747;top:9237;width:503;height:519;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PuYsYA&#10;AADeAAAADwAAAGRycy9kb3ducmV2LnhtbESPQWsCMRSE70L/Q3iF3mriVmzdGkVERbzV2kNvj83r&#10;7uLmZU2iu/33jVDwOMzMN8xs0dtGXMmH2rGG0VCBIC6cqbnUcPzcPL+BCBHZYOOYNPxSgMX8YTDD&#10;3LiOP+h6iKVIEA45aqhibHMpQ1GRxTB0LXHyfpy3GJP0pTQeuwS3jcyUmkiLNaeFCltaVVScDher&#10;Ybc9r4/fU+yyzZetX/dbO+l8pvXTY798BxGpj/fwf3tnNIzVVL3A7U66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PuYsYAAADeAAAADwAAAAAAAAAAAAAAAACYAgAAZHJz&#10;L2Rvd25yZXYueG1sUEsFBgAAAAAEAAQA9QAAAIsDAAAAAA==&#10;" path="m,l50292,r,51816l,51816,,e" fillcolor="#70ad47" stroked="f" strokeweight="0">
                  <v:path arrowok="t" textboxrect="0,0,50292,51816"/>
                </v:shape>
                <v:shape id="Shape 41853" o:spid="_x0000_s1990" style="position:absolute;left:15747;top:9237;width:503;height:519;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cBI8QA&#10;AADeAAAADwAAAGRycy9kb3ducmV2LnhtbESP0WoCMRRE3wv+Q7iCbzVRpKxbo4jWovjSrv2Ay+Z2&#10;s3Rzs2xSTf++EQp9HGbmDLPaJNeJKw2h9axhNlUgiGtvWm40fFwOjwWIEJENdp5Jww8F2KxHDyss&#10;jb/xO12r2IgM4VCiBhtjX0oZaksOw9T3xNn79IPDmOXQSDPgLcNdJ+dKPUmHLecFiz3tLNVf1bfT&#10;cEyFfNu21Xn/GtDiS5HOJ0xaT8Zp+wwiUor/4b/20WhYqKVawP1Ov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XASPEAAAA3gAAAA8AAAAAAAAAAAAAAAAAmAIAAGRycy9k&#10;b3ducmV2LnhtbFBLBQYAAAAABAAEAPUAAACJAwAAAAA=&#10;" path="m,51816r50292,l50292,,,,,51816xe" filled="f" strokecolor="white" strokeweight="1.56pt">
                  <v:path arrowok="t" textboxrect="0,0,50292,51816"/>
                </v:shape>
                <v:rect id="Rectangle 40905" o:spid="_x0000_s1991" style="position:absolute;left:16468;top:8894;width:330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wUYcgA&#10;AADeAAAADwAAAGRycy9kb3ducmV2LnhtbESPT2vCQBTE7wW/w/KE3uqu0pYkuorYFj36p6DeHtln&#10;Esy+DdmtSfvpu0Khx2FmfsPMFr2txY1aXznWMB4pEMS5MxUXGj4PH08JCB+QDdaOScM3eVjMBw8z&#10;zIzreEe3fShEhLDPUEMZQpNJ6fOSLPqRa4ijd3GtxRBlW0jTYhfhtpYTpV6lxYrjQokNrUrKr/sv&#10;q2GdNMvTxv10Rf1+Xh+3x/TtkAatH4f9cgoiUB/+w3/tjdHwrFL1Avc78Qr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fBRhyAAAAN4AAAAPAAAAAAAAAAAAAAAAAJgCAABk&#10;cnMvZG93bnJldi54bWxQSwUGAAAAAAQABAD1AAAAjQMAAAAA&#10;" filled="f" stroked="f">
                  <v:textbox inset="0,0,0,0">
                    <w:txbxContent>
                      <w:p w14:paraId="5BE40DEE" w14:textId="77777777" w:rsidR="0014164F" w:rsidRDefault="0014164F" w:rsidP="00FD116C">
                        <w:r>
                          <w:rPr>
                            <w:rFonts w:ascii="Arial" w:eastAsia="Arial" w:hAnsi="Arial" w:cs="Arial"/>
                            <w:color w:val="595959"/>
                            <w:sz w:val="16"/>
                          </w:rPr>
                          <w:t>Metal</w:t>
                        </w:r>
                      </w:p>
                    </w:txbxContent>
                  </v:textbox>
                </v:rect>
                <v:shape id="Shape 922389" o:spid="_x0000_s1992" style="position:absolute;left:15747;top:10533;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LYc8cA&#10;AADeAAAADwAAAGRycy9kb3ducmV2LnhtbESPQUsDMRSE74L/ITzBW5tYS3HXpmVpKRSkolXw+tg8&#10;dxc3L9skttFf3wgFj8PMfMPMl8n24kg+dI413I0VCOLamY4bDe9vm9EDiBCRDfaOScMPBVgurq/m&#10;WBp34lc67mMjMoRDiRraGIdSylC3ZDGM3UCcvU/nLcYsfSONx1OG215OlJpJix3nhRYHWrVUf+2/&#10;rYan7cehoOp+mibpt18Xu5faP1da396k6hFEpBT/w5f21miYqkLN4O9OvgJycQ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y2HPHAAAA3gAAAA8AAAAAAAAAAAAAAAAAmAIAAGRy&#10;cy9kb3ducmV2LnhtbFBLBQYAAAAABAAEAPUAAACMAwAAAAA=&#10;" path="m,l50292,r,50292l,50292,,e" fillcolor="#255e91" stroked="f" strokeweight="0">
                  <v:path arrowok="t" textboxrect="0,0,50292,50292"/>
                </v:shape>
                <v:shape id="Shape 41856" o:spid="_x0000_s1993" style="position:absolute;left:15747;top:10533;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ItKscA&#10;AADeAAAADwAAAGRycy9kb3ducmV2LnhtbESP3UoDMRSE7wXfIRzBG2kTpax1bVpEEOwPorUPcLo5&#10;7gY3J2sSu9u3bwqCl8PMfMPMFoNrxYFCtJ413I4VCOLKG8u1ht3ny2gKIiZkg61n0nCkCIv55cUM&#10;S+N7/qDDNtUiQziWqKFJqSuljFVDDuPYd8TZ+/LBYcoy1NIE7DPctfJOqUI6tJwXGuzouaHqe/vr&#10;NLyvbmSwxea4lBO7fytisVr3P1pfXw1PjyASDek//Nd+NRom6kHdw/lOvgJyf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CLSrHAAAA3gAAAA8AAAAAAAAAAAAAAAAAmAIAAGRy&#10;cy9kb3ducmV2LnhtbFBLBQYAAAAABAAEAPUAAACMAwAAAAA=&#10;" path="m,50292r50292,l50292,,,,,50292xe" filled="f" strokecolor="white" strokeweight="1.56pt">
                  <v:path arrowok="t" textboxrect="0,0,50292,50292"/>
                </v:shape>
                <v:rect id="Rectangle 40908" o:spid="_x0000_s1994" style="position:absolute;left:16468;top:10178;width:3756;height:1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7/8QA&#10;AADeAAAADwAAAGRycy9kb3ducmV2LnhtbERPz2vCMBS+C/sfwhvspsmGDNuZFtkUPWoduN0ezVtb&#10;1ryUJtpuf705CB4/vt/LfLStuFDvG8canmcKBHHpTMOVhs/jZroA4QOywdYxafgjD3n2MFliatzA&#10;B7oUoRIxhH2KGuoQulRKX9Zk0c9cRxy5H9dbDBH2lTQ9DjHctvJFqVdpseHYUGNH7zWVv8XZatgu&#10;utXXzv0PVbv+3p72p+TjmAStnx7H1RuIQGO4i2/undEwV4mKe+OdeAVk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9u//EAAAA3gAAAA8AAAAAAAAAAAAAAAAAmAIAAGRycy9k&#10;b3ducmV2LnhtbFBLBQYAAAAABAAEAPUAAACJAwAAAAA=&#10;" filled="f" stroked="f">
                  <v:textbox inset="0,0,0,0">
                    <w:txbxContent>
                      <w:p w14:paraId="56F75B32" w14:textId="77777777" w:rsidR="0014164F" w:rsidRDefault="0014164F" w:rsidP="00FD116C">
                        <w:r>
                          <w:rPr>
                            <w:rFonts w:ascii="Arial" w:eastAsia="Arial" w:hAnsi="Arial" w:cs="Arial"/>
                            <w:color w:val="595959"/>
                            <w:sz w:val="16"/>
                          </w:rPr>
                          <w:t>Staklo</w:t>
                        </w:r>
                      </w:p>
                    </w:txbxContent>
                  </v:textbox>
                </v:rect>
                <v:shape id="Shape 922390" o:spid="_x0000_s1995" style="position:absolute;left:15747;top:11813;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rAtsUA&#10;AADeAAAADwAAAGRycy9kb3ducmV2LnhtbESP0WoCMRRE3wv+Q7iCbzVxkVJXo4htQR9K7dYPuCTX&#10;zeLmZtmkuv59Uyj0cZiZM8xqM/hWXKmPTWANs6kCQWyCbbjWcPp6e3wGEROyxTYwabhThM169LDC&#10;0oYbf9K1SrXIEI4lanApdaWU0TjyGKehI87eOfQeU5Z9LW2Ptwz3rSyUepIeG84LDjvaOTKX6ttr&#10;OJsimAMd+eDeq9doXz6KdJRaT8bDdgki0ZD+w3/tvdUwVwu1gN87+Qr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asC2xQAAAN4AAAAPAAAAAAAAAAAAAAAAAJgCAABkcnMv&#10;ZG93bnJldi54bWxQSwUGAAAAAAQABAD1AAAAigMAAAAA&#10;" path="m,l50292,r,51816l,51816,,e" fillcolor="#9e480e" stroked="f" strokeweight="0">
                  <v:path arrowok="t" textboxrect="0,0,50292,51816"/>
                </v:shape>
                <v:shape id="Shape 41859" o:spid="_x0000_s1996" style="position:absolute;left:15747;top:11813;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WR/cMA&#10;AADeAAAADwAAAGRycy9kb3ducmV2LnhtbESP32rCMBTG7we+QzjC7mbaIaNWYxE3h8MbrT7AoTk2&#10;xeakNJlmb79cDHb58f3jt6qi7cWdRt85VpDPMhDEjdMdtwou591LAcIHZI29Y1LwQx6q9eRphaV2&#10;Dz7RvQ6tSCPsS1RgQhhKKX1jyKKfuYE4eVc3WgxJjq3UIz7SuO3la5a9SYsdpweDA20NNbf62yrY&#10;x0IeN119eP/0aPCjiIcvjEo9T+NmCSJQDP/hv/ZeK5hnizwBJJyEAn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WR/cMAAADeAAAADwAAAAAAAAAAAAAAAACYAgAAZHJzL2Rv&#10;d25yZXYueG1sUEsFBgAAAAAEAAQA9QAAAIgDAAAAAA==&#10;" path="m,51816r50292,l50292,,,,,51816xe" filled="f" strokecolor="white" strokeweight="1.56pt">
                  <v:path arrowok="t" textboxrect="0,0,50292,51816"/>
                </v:shape>
                <v:rect id="Rectangle 40911" o:spid="_x0000_s1997" style="position:absolute;left:16468;top:11469;width:5718;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J6Ev8cA&#10;AADeAAAADwAAAGRycy9kb3ducmV2LnhtbESPT2vCQBTE70K/w/IK3nSTUsREV5HWokf/FNTbI/tM&#10;QrNvQ3Y10U/vCkKPw8z8hpnOO1OJKzWutKwgHkYgiDOrS84V/O5/BmMQziNrrCyTghs5mM/eelNM&#10;tW15S9edz0WAsEtRQeF9nUrpsoIMuqGtiYN3to1BH2STS91gG+Cmkh9RNJIGSw4LBdb0VVD2t7sY&#10;BatxvTiu7b3Nq+Vpddgcku994pXqv3eLCQhPnf8Pv9prreAzSuIYnnfCFZC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iehL/HAAAA3gAAAA8AAAAAAAAAAAAAAAAAmAIAAGRy&#10;cy9kb3ducmV2LnhtbFBLBQYAAAAABAAEAPUAAACMAwAAAAA=&#10;" filled="f" stroked="f">
                  <v:textbox inset="0,0,0,0">
                    <w:txbxContent>
                      <w:p w14:paraId="6A72710B" w14:textId="77777777" w:rsidR="0014164F" w:rsidRDefault="0014164F" w:rsidP="00FD116C">
                        <w:r>
                          <w:rPr>
                            <w:rFonts w:ascii="Arial" w:eastAsia="Arial" w:hAnsi="Arial" w:cs="Arial"/>
                            <w:color w:val="595959"/>
                            <w:sz w:val="16"/>
                          </w:rPr>
                          <w:t>Keramika</w:t>
                        </w:r>
                      </w:p>
                    </w:txbxContent>
                  </v:textbox>
                </v:rect>
                <v:shape id="Shape 922391" o:spid="_x0000_s1998" style="position:absolute;left:15747;top:13108;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ByVsYA&#10;AADeAAAADwAAAGRycy9kb3ducmV2LnhtbESPQWuDQBSE74X+h+UFcilxVZqSWFcJgUAOhZC0vT/c&#10;V5W4b8Xdqs2v7wYKPQ4z8w2Tl7PpxEiDay0rSKIYBHFldcu1go/3w2oDwnlkjZ1lUvBDDsri8SHH&#10;TNuJzzRefC0ChF2GChrv+0xKVzVk0EW2Jw7elx0M+iCHWuoBpwA3nUzj+EUabDksNNjTvqHqevk2&#10;CiZ967bVbd3vzGmvp6fPt8QenVLLxbx7BeFp9v/hv/ZRK3iOt0kK9zvhCsj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ByVsYAAADeAAAADwAAAAAAAAAAAAAAAACYAgAAZHJz&#10;L2Rvd25yZXYueG1sUEsFBgAAAAAEAAQA9QAAAIsDAAAAAA==&#10;" path="m,l50292,r,50292l,50292,,e" fillcolor="#636363" stroked="f" strokeweight="0">
                  <v:path arrowok="t" textboxrect="0,0,50292,50292"/>
                </v:shape>
                <v:shape id="Shape 41862" o:spid="_x0000_s1999" style="position:absolute;left:15747;top:13108;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99MgA&#10;AADeAAAADwAAAGRycy9kb3ducmV2LnhtbESP0WoCMRRE3wv+Q7iFvhTN2spiV6OIUGi1lKr9gOvm&#10;dje4udkmqbv+fVMQ+jjMzBlmvuxtI87kg3GsYDzKQBCXThuuFHwenodTECEia2wck4ILBVguBjdz&#10;LLTreEfnfaxEgnAoUEEdY1tIGcqaLIaRa4mT9+W8xZikr6T22CW4beRDluXSouG0UGNL65rK0/7H&#10;KvjY3Etv8rfLq5yY43se8s22+1bq7rZfzUBE6uN/+Np+0Qom2dP4Ef7up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n4L30yAAAAN4AAAAPAAAAAAAAAAAAAAAAAJgCAABk&#10;cnMvZG93bnJldi54bWxQSwUGAAAAAAQABAD1AAAAjQMAAAAA&#10;" path="m,50292r50292,l50292,,,,,50292xe" filled="f" strokecolor="white" strokeweight="1.56pt">
                  <v:path arrowok="t" textboxrect="0,0,50292,50292"/>
                </v:shape>
                <v:rect id="Rectangle 40914" o:spid="_x0000_s2000" style="position:absolute;left:16468;top:12756;width:908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nJ8cA&#10;AADeAAAADwAAAGRycy9kb3ducmV2LnhtbESPQWvCQBSE7wX/w/KE3uomJYhJXUPQih5bLdjeHtln&#10;Esy+DdnVpP76bqHQ4zAz3zDLfDStuFHvGssK4lkEgri0uuFKwcdx+7QA4TyyxtYyKfgmB/lq8rDE&#10;TNuB3+l28JUIEHYZKqi97zIpXVmTQTezHXHwzrY36IPsK6l7HALctPI5iubSYMNhocaO1jWVl8PV&#10;KNgtuuJzb+9D1b5+7U5vp3RzTL1Sj9OxeAHhafT/4b/2XitIojRO4P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pJyfHAAAA3gAAAA8AAAAAAAAAAAAAAAAAmAIAAGRy&#10;cy9kb3ducmV2LnhtbFBLBQYAAAAABAAEAPUAAACMAwAAAAA=&#10;" filled="f" stroked="f">
                  <v:textbox inset="0,0,0,0">
                    <w:txbxContent>
                      <w:p w14:paraId="436791B5" w14:textId="77777777" w:rsidR="0014164F" w:rsidRDefault="0014164F" w:rsidP="00FD116C">
                        <w:r>
                          <w:rPr>
                            <w:rFonts w:ascii="Arial" w:eastAsia="Arial" w:hAnsi="Arial" w:cs="Arial"/>
                            <w:color w:val="595959"/>
                            <w:sz w:val="16"/>
                          </w:rPr>
                          <w:t>Sanitarni otpad</w:t>
                        </w:r>
                      </w:p>
                    </w:txbxContent>
                  </v:textbox>
                </v:rect>
                <v:shape id="Shape 922392" o:spid="_x0000_s2001" style="position:absolute;left:15747;top:1438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yTMQA&#10;AADeAAAADwAAAGRycy9kb3ducmV2LnhtbESPT4vCMBTE7wt+h/AEL6KpoqLVKCL457TLqtDro3m2&#10;xealNLHWb2+EhT0OM/MbZrVpTSkaql1hWcFoGIEgTq0uOFNwvewHcxDOI2ssLZOCFznYrDtfK4y1&#10;ffIvNWefiQBhF6OC3PsqltKlORl0Q1sRB+9ma4M+yDqTusZngJtSjqNoJg0WHBZyrGiXU3o/P4wC&#10;m+yb8vD4kXM0mU8S9z052r5SvW67XYLw1Pr/8F/7pBVMosVoCp874QrI9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B8kzEAAAA3gAAAA8AAAAAAAAAAAAAAAAAmAIAAGRycy9k&#10;b3ducmV2LnhtbFBLBQYAAAAABAAEAPUAAACJAwAAAAA=&#10;" path="m,l50292,r,51816l,51816,,e" fillcolor="#997300" stroked="f" strokeweight="0">
                  <v:path arrowok="t" textboxrect="0,0,50292,51816"/>
                </v:shape>
                <v:shape id="Shape 41865" o:spid="_x0000_s2002" style="position:absolute;left:15747;top:1438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CsEsQA&#10;AADeAAAADwAAAGRycy9kb3ducmV2LnhtbESP0WoCMRRE3wv+Q7hC32rWIrKuRhFbi8UXXf2Ay+a6&#10;WdzcLJtU49+bQqGPw8ycYRaraFtxo943jhWMRxkI4srphmsF59P2LQfhA7LG1jEpeJCH1XLwssBC&#10;uzsf6VaGWiQI+wIVmBC6QkpfGbLoR64jTt7F9RZDkn0tdY/3BLetfM+yqbTYcFow2NHGUHUtf6yC&#10;XczlYd2U+48vjwY/87j/xqjU6zCu5yACxfAf/mvvtIJJNhtP4fdOug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QrBLEAAAA3gAAAA8AAAAAAAAAAAAAAAAAmAIAAGRycy9k&#10;b3ducmV2LnhtbFBLBQYAAAAABAAEAPUAAACJAwAAAAA=&#10;" path="m,51816r50292,l50292,,,,,51816xe" filled="f" strokecolor="white" strokeweight="1.56pt">
                  <v:path arrowok="t" textboxrect="0,0,50292,51816"/>
                </v:shape>
                <v:rect id="Rectangle 40917" o:spid="_x0000_s2003" style="position:absolute;left:16468;top:14040;width:10080;height:15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u5UMgA&#10;AADeAAAADwAAAGRycy9kb3ducmV2LnhtbESPT2vCQBTE74V+h+UVeqsbS7FJzCpSFT36p5B6e2Rf&#10;k9Ds25BdTeyn7woFj8PM/IbJ5oNpxIU6V1tWMB5FIIgLq2suFXwe1y8xCOeRNTaWScGVHMxnjw8Z&#10;ptr2vKfLwZciQNilqKDyvk2ldEVFBt3ItsTB+7adQR9kV0rdYR/gppGvUTSRBmsOCxW29FFR8XM4&#10;GwWbuF18be1vXzar0ybf5cnymHilnp+GxRSEp8Hfw//trVbwFiXjd7jdCVdAzv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O7lQyAAAAN4AAAAPAAAAAAAAAAAAAAAAAJgCAABk&#10;cnMvZG93bnJldi54bWxQSwUGAAAAAAQABAD1AAAAjQMAAAAA&#10;" filled="f" stroked="f">
                  <v:textbox inset="0,0,0,0">
                    <w:txbxContent>
                      <w:p w14:paraId="774D9701" w14:textId="77777777" w:rsidR="0014164F" w:rsidRDefault="0014164F" w:rsidP="00FD116C">
                        <w:r>
                          <w:rPr>
                            <w:rFonts w:ascii="Arial" w:eastAsia="Arial" w:hAnsi="Arial" w:cs="Arial"/>
                            <w:color w:val="595959"/>
                            <w:sz w:val="16"/>
                          </w:rPr>
                          <w:t>Medicinski otpad</w:t>
                        </w:r>
                      </w:p>
                    </w:txbxContent>
                  </v:textbox>
                </v:rect>
                <v:shape id="Shape 922393" o:spid="_x0000_s2004" style="position:absolute;left:15747;top:15684;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wd8EA&#10;AADeAAAADwAAAGRycy9kb3ducmV2LnhtbERPy4rCMBTdD/gP4QruxlSRQatRRBFcyfhAXV6aa1ps&#10;bkoStf69WQzM8nDes0Vra/EkHyrHCgb9DARx4XTFRsHpuPkegwgRWWPtmBS8KcBi3vmaYa7di/f0&#10;PEQjUgiHHBWUMTa5lKEoyWLou4Y4cTfnLcYEvZHa4yuF21oOs+xHWqw4NZTY0Kqk4n54WAX7jbus&#10;jf/dubFZbz014Xo8B6V63XY5BRGpjf/iP/dWKxhlk0Ham+6kKyD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E8HfBAAAA3gAAAA8AAAAAAAAAAAAAAAAAmAIAAGRycy9kb3du&#10;cmV2LnhtbFBLBQYAAAAABAAEAPUAAACGAwAAAAA=&#10;" path="m,l50292,r,50292l,50292,,e" fillcolor="#264478" stroked="f" strokeweight="0">
                  <v:path arrowok="t" textboxrect="0,0,50292,50292"/>
                </v:shape>
                <v:shape id="Shape 41868" o:spid="_x0000_s2005" style="position:absolute;left:15747;top:15684;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iKHscA&#10;AADeAAAADwAAAGRycy9kb3ducmV2LnhtbESP0WoCMRRE34X+Q7gFX0rNKrLoapRSEKwtorYfcLu5&#10;7oZubrZJ6q5/3xQKPg4zc4ZZrnvbiAv5YBwrGI8yEMSl04YrBR/vm8cZiBCRNTaOScGVAqxXd4Ml&#10;Ftp1fKTLKVYiQTgUqKCOsS2kDGVNFsPItcTJOztvMSbpK6k9dgluGznJslxaNJwWamzpuaby6/Rj&#10;FRx2D9Kb/O36Iqfmc5+HfPfafSs1vO+fFiAi9fEW/m9vtYJpNh/P4e9Oug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Iih7HAAAA3gAAAA8AAAAAAAAAAAAAAAAAmAIAAGRy&#10;cy9kb3ducmV2LnhtbFBLBQYAAAAABAAEAPUAAACMAwAAAAA=&#10;" path="m,50292r50292,l50292,,,,,50292xe" filled="f" strokecolor="white" strokeweight="1.56pt">
                  <v:path arrowok="t" textboxrect="0,0,50292,50292"/>
                </v:shape>
                <v:rect id="Rectangle 40920" o:spid="_x0000_s2006" style="position:absolute;left:16468;top:15331;width:8195;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7rmcQA&#10;AADeAAAADwAAAGRycy9kb3ducmV2LnhtbESPzYrCMBSF94LvEK4wO00VEVuNIjqiS0cFdXdprm2x&#10;uSlNxnZ8erMYcHk4f3zzZWtK8aTaFZYVDAcRCOLU6oIzBefTtj8F4TyyxtIyKfgjB8tFtzPHRNuG&#10;f+h59JkII+wSVJB7XyVSujQng25gK+Lg3W1t0AdZZ1LX2IRxU8pRFE2kwYLDQ44VrXNKH8dfo2A3&#10;rVbXvX01Wfl9210Ol3hzir1SX712NQPhqfWf8H97rxWMo3gUAAJOQAG5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65nEAAAA3gAAAA8AAAAAAAAAAAAAAAAAmAIAAGRycy9k&#10;b3ducmV2LnhtbFBLBQYAAAAABAAEAPUAAACJAwAAAAA=&#10;" filled="f" stroked="f">
                  <v:textbox inset="0,0,0,0">
                    <w:txbxContent>
                      <w:p w14:paraId="76A701CA" w14:textId="77777777" w:rsidR="0014164F" w:rsidRDefault="0014164F" w:rsidP="00FD116C">
                        <w:r>
                          <w:rPr>
                            <w:rFonts w:ascii="Arial" w:eastAsia="Arial" w:hAnsi="Arial" w:cs="Arial"/>
                            <w:color w:val="595959"/>
                            <w:sz w:val="16"/>
                          </w:rPr>
                          <w:t>Parafin/vosak</w:t>
                        </w:r>
                      </w:p>
                    </w:txbxContent>
                  </v:textbox>
                </v:rect>
                <v:shape id="Shape 41871" o:spid="_x0000_s2007" style="position:absolute;left:32765;top:2118;width:9366;height:12301;visibility:visible;mso-wrap-style:square;v-text-anchor:top" coordsize="936625,123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C238YA&#10;AADeAAAADwAAAGRycy9kb3ducmV2LnhtbESPQWvCQBSE70L/w/IKvenGIBpTVxHRIj1pWnp+ZF+T&#10;0OzbuLtq/PddQfA4zMw3zGLVm1ZcyPnGsoLxKAFBXFrdcKXg+2s3zED4gKyxtUwKbuRhtXwZLDDX&#10;9spHuhShEhHCPkcFdQhdLqUvazLoR7Yjjt6vdQZDlK6S2uE1wk0r0ySZSoMNx4UaO9rUVP4VZ6Mg&#10;2x2yLJ279fbnsz3N5MfmPAk3pd5e+/U7iEB9eIYf7b1WMEnm6Rjud+IVk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C238YAAADeAAAADwAAAAAAAAAAAAAAAACYAgAAZHJz&#10;L2Rvd25yZXYueG1sUEsFBgAAAAAEAAQA9QAAAIsDAAAAAA==&#10;" path="m321564,c661289,,936625,275337,936625,615062v,339725,-275336,615061,-615061,615061c208153,1230123,96774,1198753,,1139444l321564,615062,321564,xe" fillcolor="#5b9bd5" stroked="f" strokeweight="0">
                  <v:path arrowok="t" textboxrect="0,0,936625,1230123"/>
                </v:shape>
                <v:shape id="Shape 41872" o:spid="_x0000_s2008" style="position:absolute;left:32765;top:2118;width:9366;height:12301;visibility:visible;mso-wrap-style:square;v-text-anchor:top" coordsize="936625,12301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JFzccA&#10;AADeAAAADwAAAGRycy9kb3ducmV2LnhtbESPQWvCQBSE7wX/w/KE3uqmoZQaXaWIwVK8VD3o7ZF9&#10;JtHs27i71eivdwtCj8PMfMOMp51pxJmcry0reB0kIIgLq2suFWzW+csHCB+QNTaWScGVPEwnvacx&#10;Ztpe+IfOq1CKCGGfoYIqhDaT0hcVGfQD2xJHb2+dwRClK6V2eIlw08g0Sd6lwZrjQoUtzSoqjqtf&#10;o2C5+05Pc1xsXb4/HW52UeQ3u1Tqud99jkAE6sJ/+NH+0grekmGawt+deAXk5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cSRc3HAAAA3gAAAA8AAAAAAAAAAAAAAAAAmAIAAGRy&#10;cy9kb3ducmV2LnhtbFBLBQYAAAAABAAEAPUAAACMAwAAAAA=&#10;" path="m321564,c661289,,936625,275337,936625,615062v,339725,-275336,615061,-615061,615061c208153,1230123,96774,1198753,,1139444l321564,615062,321564,xe" filled="f" strokecolor="white" strokeweight="1.56pt">
                  <v:path arrowok="t" textboxrect="0,0,936625,1230123"/>
                </v:shape>
                <v:shape id="Shape 41873" o:spid="_x0000_s2009" style="position:absolute;left:31415;top:8268;width:4566;height:5244;visibility:visible;mso-wrap-style:square;v-text-anchor:top" coordsize="456565,524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Msv8cA&#10;AADeAAAADwAAAGRycy9kb3ducmV2LnhtbESPzWrCQBSF94LvMNyCO52opWjqKCoV3HRRLcXubjO3&#10;SWjmTjozifHtHUFweTg/H2ex6kwlWnK+tKxgPEpAEGdWl5wr+DzuhjMQPiBrrCyTggt5WC37vQWm&#10;2p75g9pDyEUcYZ+igiKEOpXSZwUZ9CNbE0fv1zqDIUqXS+3wHMdNJSdJ8iINlhwJBda0LSj7OzQm&#10;ct1pa782zc/m4v7bt3H3fvxuglKDp279CiJQFx7he3uvFTwn88kUbnfiFZ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TLL/HAAAA3gAAAA8AAAAAAAAAAAAAAAAAmAIAAGRy&#10;cy9kb3ducmV2LnhtbFBLBQYAAAAABAAEAPUAAACMAwAAAAA=&#10;" path="m456565,l135001,524383c84963,493522,39497,455802,,412114l456565,xe" fillcolor="#ed7d31" stroked="f" strokeweight="0">
                  <v:path arrowok="t" textboxrect="0,0,456565,524383"/>
                </v:shape>
                <v:shape id="Shape 41874" o:spid="_x0000_s2010" style="position:absolute;left:31415;top:8268;width:4566;height:5244;visibility:visible;mso-wrap-style:square;v-text-anchor:top" coordsize="456565,524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uc2sYA&#10;AADeAAAADwAAAGRycy9kb3ducmV2LnhtbESPT2sCMRTE74V+h/AKvdWsomK3RlkqQg968A/0+tg8&#10;N2s3L9sk6vrtjSB4HGbmN8x03tlGnMmH2rGCfi8DQVw6XXOlYL9bfkxAhIissXFMCq4UYD57fZli&#10;rt2FN3TexkokCIccFZgY21zKUBqyGHquJU7ewXmLMUlfSe3xkuC2kYMsG0uLNacFgy19Gyr/tier&#10;oFsvzPpQ94vf1aj493t5jKdwVOr9rSu+QETq4jP8aP9oBcPsczCE+510Be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uc2sYAAADeAAAADwAAAAAAAAAAAAAAAACYAgAAZHJz&#10;L2Rvd25yZXYueG1sUEsFBgAAAAAEAAQA9QAAAIsDAAAAAA==&#10;" path="m135001,524383c84963,493522,39497,455802,,412114l456565,,135001,524383xe" filled="f" strokecolor="white" strokeweight="1.56pt">
                  <v:path arrowok="t" textboxrect="0,0,456565,524383"/>
                </v:shape>
                <v:shape id="Shape 41875" o:spid="_x0000_s2011" style="position:absolute;left:31200;top:8268;width:4781;height:4122;visibility:visible;mso-wrap-style:square;v-text-anchor:top" coordsize="478028,412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pcT8kA&#10;AADeAAAADwAAAGRycy9kb3ducmV2LnhtbESPW2vCQBSE34X+h+UU+iK621I1pq7SCwURffACvh6y&#10;xyQ0ezbNbmP6711B8HGYmW+Y2aKzlWip8aVjDc9DBYI4c6bkXMNh/z1IQPiAbLByTBr+ycNi/tCb&#10;YWrcmbfU7kIuIoR9ihqKEOpUSp8VZNEPXU0cvZNrLIYom1yaBs8Rbiv5otRYWiw5LhRY02dB2c/u&#10;z2rIkq/15vihfvdteeqHyWY9WW0TrZ8eu/c3EIG6cA/f2kuj4VVNRyO43olXQM4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YpcT8kAAADeAAAADwAAAAAAAAAAAAAAAACYAgAA&#10;ZHJzL2Rvd25yZXYueG1sUEsFBgAAAAAEAAQA9QAAAI4DAAAAAA==&#10;" path="m478028,l21463,412114c14097,403987,6858,395477,,386969l478028,xe" fillcolor="#a5a5a5" stroked="f" strokeweight="0">
                  <v:path arrowok="t" textboxrect="0,0,478028,412114"/>
                </v:shape>
                <v:shape id="Shape 41876" o:spid="_x0000_s2012" style="position:absolute;left:31200;top:8268;width:4781;height:4122;visibility:visible;mso-wrap-style:square;v-text-anchor:top" coordsize="478028,412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w0PsYA&#10;AADeAAAADwAAAGRycy9kb3ducmV2LnhtbESP0WoCMRRE34X+Q7iFvmlSqdKuRqmFQq1CqfoBl811&#10;s7i5WZNU1783BcHHYWbOMNN55xpxohBrzxqeBwoEcelNzZWG3faz/woiJmSDjWfScKEI89lDb4qF&#10;8Wf+pdMmVSJDOBaowabUFlLG0pLDOPAtcfb2PjhMWYZKmoDnDHeNHCo1lg5rzgsWW/qwVB42f05D&#10;+b1ujyNnV8uf5cIcVtudCkel9dNj9z4BkahL9/Ct/WU0vKi30Rj+7+QrIG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w0PsYAAADeAAAADwAAAAAAAAAAAAAAAACYAgAAZHJz&#10;L2Rvd25yZXYueG1sUEsFBgAAAAAEAAQA9QAAAIsDAAAAAA==&#10;" path="m21463,412114c14097,403987,6858,395477,,386969l478028,,21463,412114xe" filled="f" strokecolor="white" strokeweight="1.56pt">
                  <v:path arrowok="t" textboxrect="0,0,478028,412114"/>
                </v:shape>
                <v:shape id="Shape 41877" o:spid="_x0000_s2013" style="position:absolute;left:31125;top:8268;width:4856;height:3870;visibility:visible;mso-wrap-style:square;v-text-anchor:top" coordsize="485521,386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xvtskA&#10;AADeAAAADwAAAGRycy9kb3ducmV2LnhtbESPzW7CMBCE75X6DtZW4lYcUGlpwCDUKvyoHFrKAyzx&#10;kgTidYgNpDw9RqrEcTQz32iG48aU4kS1Kywr6LQjEMSp1QVnCta/yXMfhPPIGkvLpOCPHIxHjw9D&#10;jLU98w+dVj4TAcIuRgW591UspUtzMujatiIO3tbWBn2QdSZ1jecAN6XsRtGrNFhwWMixoo+c0v3q&#10;aBT0vqeLZGcO65n+4k2/u7sckuWnUq2nZjIA4anx9/B/e64VvETvvTe43QlXQI6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oxvtskAAADeAAAADwAAAAAAAAAAAAAAAACYAgAA&#10;ZHJzL2Rvd25yZXYueG1sUEsFBgAAAAAEAAQA9QAAAI4DAAAAAA==&#10;" path="m485521,l7493,386969c4953,383921,2540,380746,,377571l485521,xe" fillcolor="#ffc000" stroked="f" strokeweight="0">
                  <v:path arrowok="t" textboxrect="0,0,485521,386969"/>
                </v:shape>
                <v:shape id="Shape 41878" o:spid="_x0000_s2014" style="position:absolute;left:31125;top:8268;width:4856;height:3870;visibility:visible;mso-wrap-style:square;v-text-anchor:top" coordsize="485521,3869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bTJ8QA&#10;AADeAAAADwAAAGRycy9kb3ducmV2LnhtbERPy2oCMRTdF/oP4RbciCYVrXZqFFEEtSufdHmZ3M5M&#10;ndwMk6jj35uF0OXhvMfTxpbiSrUvHGt47yoQxKkzBWcaDvtlZwTCB2SDpWPScCcP08nryxgT4268&#10;pesuZCKGsE9QQx5ClUjp05ws+q6riCP362qLIcI6k6bGWwy3pewp9SEtFhwbcqxonlN63l2shtFm&#10;8d3+G94z1ZyO561au+Wi/NG69dbMvkAEasK/+OleGQ199TmIe+OdeAX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20yfEAAAA3gAAAA8AAAAAAAAAAAAAAAAAmAIAAGRycy9k&#10;b3ducmV2LnhtbFBLBQYAAAAABAAEAPUAAACJAwAAAAA=&#10;" path="m7493,386969c4953,383921,2540,380746,,377571l485521,,7493,386969xe" filled="f" strokecolor="white" strokeweight="1.56pt">
                  <v:path arrowok="t" textboxrect="0,0,485521,386969"/>
                </v:shape>
                <v:shape id="Shape 41879" o:spid="_x0000_s2015" style="position:absolute;left:30948;top:8268;width:5033;height:3776;visibility:visible;mso-wrap-style:square;v-text-anchor:top" coordsize="503301,37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v1scA&#10;AADeAAAADwAAAGRycy9kb3ducmV2LnhtbESPQWvCQBSE70L/w/IK3nRTsaVJXaUKgvRkNVR6e2Rf&#10;smmzb2N21fjvuwXB4zAz3zCzRW8bcabO144VPI0TEMSF0zVXCvL9evQKwgdkjY1jUnAlD4v5w2CG&#10;mXYX/qTzLlQiQthnqMCE0GZS+sKQRT92LXH0StdZDFF2ldQdXiLcNnKSJC/SYs1xwWBLK0PF7+5k&#10;FTSVX67TnPbfx+3BlD9fXH+UB6WGj/37G4hAfbiHb+2NVjBN0ucU/u/EK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nb9bHAAAA3gAAAA8AAAAAAAAAAAAAAAAAmAIAAGRy&#10;cy9kb3ducmV2LnhtbFBLBQYAAAAABAAEAPUAAACMAwAAAAA=&#10;" path="m503301,l17780,377571c11684,369697,5715,361696,,353440l503301,xe" fillcolor="#4472c4" stroked="f" strokeweight="0">
                  <v:path arrowok="t" textboxrect="0,0,503301,377571"/>
                </v:shape>
                <v:shape id="Shape 41880" o:spid="_x0000_s2016" style="position:absolute;left:30948;top:8268;width:5033;height:3776;visibility:visible;mso-wrap-style:square;v-text-anchor:top" coordsize="503301,3775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TlK8cA&#10;AADfAAAADwAAAGRycy9kb3ducmV2LnhtbESPT4vCMBTE7wt+h/AEb2tqcRetRtGFlT0Ii38OHp/N&#10;sy02L6WJ2nx7s7DgcZiZ3zDzZWdqcafWVZYVjIYJCOLc6ooLBcfD9/sEhPPIGmvLpCCQg+Wi9zbH&#10;TNsH7+i+94WIEHYZKii9bzIpXV6SQTe0DXH0LrY16KNsC6lbfES4qWWaJJ/SYMVxocSGvkrKr/ub&#10;UXAKu490U18mIaxpe1ud+Tc4VmrQ71YzEJ46/wr/t3+0gmmajsdT+PsTv4BcP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05SvHAAAA3wAAAA8AAAAAAAAAAAAAAAAAmAIAAGRy&#10;cy9kb3ducmV2LnhtbFBLBQYAAAAABAAEAPUAAACMAwAAAAA=&#10;" path="m17780,377571c11684,369697,5715,361696,,353440l503301,,17780,377571xe" filled="f" strokecolor="white" strokeweight="1.56pt">
                  <v:path arrowok="t" textboxrect="0,0,503301,377571"/>
                </v:shape>
                <v:shape id="Shape 41881" o:spid="_x0000_s2017" style="position:absolute;left:28996;top:2891;width:6985;height:8912;visibility:visible;mso-wrap-style:square;v-text-anchor:top" coordsize="698500,891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JtyMUA&#10;AADfAAAADwAAAGRycy9kb3ducmV2LnhtbESPzWrCQBSF90LfYbhCdzoxWKnRUYqY4qpiqq4vmWsm&#10;mLkTMqOmffrOouDycP74luveNuJOna8dK5iMExDEpdM1VwqO3/noHYQPyBobx6TghzysVy+DJWba&#10;PfhA9yJUIo6wz1CBCaHNpPSlIYt+7Fri6F1cZzFE2VVSd/iI47aRaZLMpMWa44PBljaGymtxswpO&#10;u9/NPN9yfZhO8i/eX885mU+lXof9xwJEoD48w//tnVYwT9PpWySIPJEF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Mm3IxQAAAN8AAAAPAAAAAAAAAAAAAAAAAJgCAABkcnMv&#10;ZG93bnJldi54bWxQSwUGAAAAAAQABAD1AAAAigMAAAAA&#10;" path="m400050,l698500,537718,195199,891159c,613156,67056,229616,345059,34417,362712,21971,381127,10414,400050,xe" fillcolor="#70ad47" stroked="f" strokeweight="0">
                  <v:path arrowok="t" textboxrect="0,0,698500,891159"/>
                </v:shape>
                <v:shape id="Shape 41882" o:spid="_x0000_s2018" style="position:absolute;left:28996;top:2891;width:6985;height:8912;visibility:visible;mso-wrap-style:square;v-text-anchor:top" coordsize="698500,891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7OPMgA&#10;AADfAAAADwAAAGRycy9kb3ducmV2LnhtbESPQUvDQBSE70L/w/IEb3aTWG2adluqYC2IB1O9P7LP&#10;JG32bdhd0/Tfu4LgcZiZb5jVZjSdGMj51rKCdJqAIK6sbrlW8HF4vs1B+ICssbNMCi7kYbOeXK2w&#10;0PbM7zSUoRYRwr5ABU0IfSGlrxoy6Ke2J47el3UGQ5SultrhOcJNJ7MkeZAGW44LDfb01FB1Kr+N&#10;Ane3nT8eL8fxdTfM3l7K3SfnearUzfW4XYIINIb/8F97rxUssmx2n8Lvn/gF5P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Ds48yAAAAN8AAAAPAAAAAAAAAAAAAAAAAJgCAABk&#10;cnMvZG93bnJldi54bWxQSwUGAAAAAAQABAD1AAAAjQMAAAAA&#10;" path="m195199,891159c,613156,67056,229616,345059,34417,362712,21971,381127,10414,400050,l698500,537718,195199,891159xe" filled="f" strokecolor="white" strokeweight="1.56pt">
                  <v:path arrowok="t" textboxrect="0,0,698500,891159"/>
                </v:shape>
                <v:shape id="Shape 41883" o:spid="_x0000_s2019" style="position:absolute;left:32996;top:2118;width:2985;height:6150;visibility:visible;mso-wrap-style:square;v-text-anchor:top" coordsize="298450,61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qLd8cA&#10;AADfAAAADwAAAGRycy9kb3ducmV2LnhtbESPQWvCQBSE74X+h+UVvNWNwRSbukopCB68mAbPj+xr&#10;NjX7NsmuMfbXd4VCj8PMfMOst5NtxUiDbxwrWMwTEMSV0w3XCsrP3fMKhA/IGlvHpOBGHrabx4c1&#10;5tpd+UhjEWoRIexzVGBC6HIpfWXIop+7jjh6X26wGKIcaqkHvEa4bWWaJC/SYsNxwWBHH4aqc3Gx&#10;Ck5h0enpbGTdVMvs0Pffrkx+lJo9Te9vIAJN4T/8195rBa9pusxSuP+JX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1Ki3fHAAAA3wAAAA8AAAAAAAAAAAAAAAAAmAIAAGRy&#10;cy9kb3ducmV2LnhtbFBLBQYAAAAABAAEAPUAAACMAwAAAAA=&#10;" path="m294005,r4445,615062l,77343c90043,27305,191135,762,294005,xe" fillcolor="#255e91" stroked="f" strokeweight="0">
                  <v:path arrowok="t" textboxrect="0,0,298450,615062"/>
                </v:shape>
                <v:shape id="Shape 41884" o:spid="_x0000_s2020" style="position:absolute;left:32996;top:2118;width:2985;height:6150;visibility:visible;mso-wrap-style:square;v-text-anchor:top" coordsize="298450,61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7O8ckA&#10;AADfAAAADwAAAGRycy9kb3ducmV2LnhtbESPQWsCMRSE70L/Q3iF3jTrthZdjSLaoiA9VFvE22Pz&#10;3F3cvCxJ1G1/vSkIPQ4z8w0zmbWmFhdyvrKsoN9LQBDnVldcKPjavXeHIHxA1lhbJgU/5GE2fehM&#10;MNP2yp902YZCRAj7DBWUITSZlD4vyaDv2YY4ekfrDIYoXSG1w2uEm1qmSfIqDVYcF0psaFFSftqe&#10;jYLlZlRrtm9nOhwGq9/Vh9tvvp1ST4/tfAwiUBv+w/f2WisYpenL4Bn+/sQvIK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67O8ckAAADfAAAADwAAAAAAAAAAAAAAAACYAgAA&#10;ZHJzL2Rvd25yZXYueG1sUEsFBgAAAAAEAAQA9QAAAI4DAAAAAA==&#10;" path="m,77343c90043,27305,191135,762,294005,r4445,615062l,77343xe" filled="f" strokecolor="white" strokeweight="1.56pt">
                  <v:path arrowok="t" textboxrect="0,0,298450,615062"/>
                </v:shape>
                <v:shape id="Shape 41885" o:spid="_x0000_s2021" style="position:absolute;left:35936;top:2118;width:45;height:6150;visibility:visible;mso-wrap-style:square;v-text-anchor:top" coordsize="4445,61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W0WcgA&#10;AADfAAAADwAAAGRycy9kb3ducmV2LnhtbESPQUvDQBSE7wX/w/IEb2aTUIvGbktpEQtKqVHvz+wz&#10;CWbfxt1tEv+9Kwg9DjPzDbNcT6YTAznfWlaQJSkI4srqlmsFb68P17cgfEDW2FkmBT/kYb26mC2x&#10;0HbkFxrKUIsIYV+ggiaEvpDSVw0Z9IntiaP3aZ3BEKWrpXY4RrjpZJ6mC2mw5bjQYE/bhqqv8mQU&#10;PB2ke95ku8fj8FF9n8Yy2y/qd6WuLqfNPYhAUziH/9t7reAuz+c3c/j7E7+AX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5bRZyAAAAN8AAAAPAAAAAAAAAAAAAAAAAJgCAABk&#10;cnMvZG93bnJldi54bWxQSwUGAAAAAAQABAD1AAAAjQMAAAAA&#10;" path="m,l4445,615062,,xe" filled="f" strokecolor="white" strokeweight="1.56pt">
                  <v:path arrowok="t" textboxrect="0,0,4445,615062"/>
                </v:shape>
                <v:shape id="Shape 41886" o:spid="_x0000_s2022" style="position:absolute;left:35936;top:2118;width:45;height:6150;visibility:visible;mso-wrap-style:square;v-text-anchor:top" coordsize="4445,61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kRwsgA&#10;AADfAAAADwAAAGRycy9kb3ducmV2LnhtbESPQUvDQBSE74L/YXmCN7NJsEVjt6W0iAWl1Kj3Z/aZ&#10;BLNv4+42Sf99VxA8DjPzDbNYTaYTAznfWlaQJSkI4srqlmsF72+PN3cgfEDW2FkmBSfysFpeXiyw&#10;0HbkVxrKUIsIYV+ggiaEvpDSVw0Z9IntiaP3ZZ3BEKWrpXY4RrjpZJ6mc2mw5bjQYE+bhqrv8mgU&#10;PO+le1ln26fD8Fn9HMcy283rD6Wur6b1A4hAU/gP/7V3WsF9nt/OZvD7J34BuT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RHCyAAAAN8AAAAPAAAAAAAAAAAAAAAAAJgCAABk&#10;cnMvZG93bnJldi54bWxQSwUGAAAAAAQABAD1AAAAjQMAAAAA&#10;" path="m,l4445,615062,,xe" filled="f" strokecolor="white" strokeweight="1.56pt">
                  <v:path arrowok="t" textboxrect="0,0,4445,615062"/>
                </v:shape>
                <v:shape id="Shape 41887" o:spid="_x0000_s2023" style="position:absolute;left:35936;top:2118;width:45;height:6150;visibility:visible;mso-wrap-style:square;v-text-anchor:top" coordsize="4445,61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7xMcA&#10;AADfAAAADwAAAGRycy9kb3ducmV2LnhtbESPQUsDMRSE7wX/Q3iCtzbrokHXpkUsBcFDbS0Wb4/N&#10;c7O4eVmSuN3++6YgeBxm5htmvhxdJwYKsfWs4XZWgCCuvWm50bD/WE8fQMSEbLDzTBpOFGG5uJrM&#10;sTL+yFsadqkRGcKxQg02pb6SMtaWHMaZ74mz9+2Dw5RlaKQJeMxw18myKJR02HJesNjTi6X6Z/fr&#10;NBSbMOy/1Pbwqd6VeYsrtoM7aH1zPT4/gUg0pv/wX/vVaHgsy7t7BZc/+QvIxR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x+8THAAAA3wAAAA8AAAAAAAAAAAAAAAAAmAIAAGRy&#10;cy9kb3ducmV2LnhtbFBLBQYAAAAABAAEAPUAAACMAwAAAAA=&#10;" path="m,c1524,,3048,,4445,r,615062l,xe" fillcolor="#997300" stroked="f" strokeweight="0">
                  <v:path arrowok="t" textboxrect="0,0,4445,615062"/>
                </v:shape>
                <v:shape id="Shape 41888" o:spid="_x0000_s2024" style="position:absolute;left:35936;top:2118;width:45;height:6150;visibility:visible;mso-wrap-style:square;v-text-anchor:top" coordsize="4445,61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5Yh8gA&#10;AADfAAAADwAAAGRycy9kb3ducmV2LnhtbESP0WrCQBRE3wv+w3KFvunGWK2mriIGwYeqVPsBl+w1&#10;iWbvhuyq8e+7gtDHYWbOMLNFaypxo8aVlhUM+hEI4szqknMFv8d1bwLCeWSNlWVS8CAHi3nnbYaJ&#10;tnf+odvB5yJA2CWooPC+TqR0WUEGXd/WxME72cagD7LJpW7wHuCmknEUjaXBksNCgTWtCsouh6tR&#10;kKaTb7+p5OOcHrNTO1zvpvvtVan3brv8AuGp9f/hV3ujFUzj+GP0Cc8/4Qv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jliHyAAAAN8AAAAPAAAAAAAAAAAAAAAAAJgCAABk&#10;cnMvZG93bnJldi54bWxQSwUGAAAAAAQABAD1AAAAjQMAAAAA&#10;" path="m,c1524,,3048,,4445,r,615062l,xe" filled="f" strokecolor="white" strokeweight="1.56pt">
                  <v:path arrowok="t" textboxrect="0,0,4445,615062"/>
                </v:shape>
                <v:shape id="Shape 41889" o:spid="_x0000_s2025" style="position:absolute;left:35981;top:2118;width:0;height:6150;visibility:visible;mso-wrap-style:square;v-text-anchor:top" coordsize="0,615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jH58QA&#10;AADfAAAADwAAAGRycy9kb3ducmV2LnhtbERPzUoDMRC+C32HMAVvNnHRotumpRQVBVtp7QMMm+lm&#10;cTNZktiNb28OgseP73+5zq4XFwqx86zhdqZAEDfedNxqOH0+3zyAiAnZYO+ZNPxQhPVqcrXE2viR&#10;D3Q5plaUEI41arApDbWUsbHkMM78QFy4sw8OU4GhlSbgWMJdLyul5tJhx6XB4kBbS83X8dtpyOqw&#10;w6c3N56Dki/z/Yfdv3dZ6+tp3ixAJMrpX/znfjUaHqvq7r4MLn/KF5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Ix+fEAAAA3wAAAA8AAAAAAAAAAAAAAAAAmAIAAGRycy9k&#10;b3ducmV2LnhtbFBLBQYAAAAABAAEAPUAAACJAwAAAAA=&#10;" path="m,l,615062,,xe" filled="f" strokecolor="white" strokeweight="1.56pt">
                  <v:path arrowok="t" textboxrect="0,0,0,615062"/>
                </v:shape>
                <v:shape id="Shape 41890" o:spid="_x0000_s2026" style="position:absolute;left:41906;top:9946;width:0;height:5060;visibility:visible;mso-wrap-style:square;v-text-anchor:top" coordsize="0,505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r7hcYA&#10;AADfAAAADwAAAGRycy9kb3ducmV2LnhtbESPUWvCQBCE34X+h2MLfZF6aTDWpJ5SKgFfq/6AJbdN&#10;QnN7IbfGtL++Jwh9HGbmG2azm1ynRhpC69nAyyIBRVx523Jt4Hwqn9eggiBb7DyTgR8KsNs+zDZY&#10;WH/lTxqPUqsI4VCggUakL7QOVUMOw8L3xNH78oNDiXKotR3wGuGu02mSrLTDluNCgz19NFR9Hy/O&#10;wHo/x1L/yqj3thxfM8mzyyo35ulxen8DJTTJf/jePlgDeZousxxuf+IX0N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9r7hcYAAADfAAAADwAAAAAAAAAAAAAAAACYAgAAZHJz&#10;L2Rvd25yZXYueG1sUEsFBgAAAAAEAAQA9QAAAIsDAAAAAA==&#10;" path="m,l,505968e" filled="f" strokecolor="#a6a6a6" strokeweight=".72pt">
                  <v:path arrowok="t" textboxrect="0,0,0,505968"/>
                </v:shape>
                <v:shape id="Shape 41891" o:spid="_x0000_s2027" style="position:absolute;left:32046;top:12994;width:0;height:1997;visibility:visible;mso-wrap-style:square;v-text-anchor:top" coordsize="0,199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PrbcQA&#10;AADfAAAADwAAAGRycy9kb3ducmV2LnhtbESPy4rCMBSG94LvEM6AO02niDodU1FB0eWoMMzu0Jxe&#10;aHNSmmjr25uFMMuf/8a33gymEQ/qXGVZwecsAkGcWV1xoeB2PUxXIJxH1thYJgVPcrBJx6M1Jtr2&#10;/EOPiy9EGGGXoILS+zaR0mUlGXQz2xIHL7edQR9kV0jdYR/GTSPjKFpIgxWHhxJb2peU1Ze7UVA3&#10;v/SXZzu8ydN5mevoWCz7o1KTj2H7DcLT4P/D7/ZJK/iK4/kiEASewAIyf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j623EAAAA3wAAAA8AAAAAAAAAAAAAAAAAmAIAAGRycy9k&#10;b3ducmV2LnhtbFBLBQYAAAAABAAEAPUAAACJAwAAAAA=&#10;" path="m,l,199644e" filled="f" strokecolor="#a6a6a6" strokeweight=".72pt">
                  <v:path arrowok="t" textboxrect="0,0,0,199644"/>
                </v:shape>
                <v:shape id="Shape 41892" o:spid="_x0000_s2028" style="position:absolute;left:30492;top:12263;width:807;height:2895;visibility:visible;mso-wrap-style:square;v-text-anchor:top" coordsize="80772,2895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FzRsYA&#10;AADfAAAADwAAAGRycy9kb3ducmV2LnhtbESPQWvCQBSE70L/w/IK3nRjELGpq5SCIl5EbUuPj+xr&#10;NjT7NmTXJPrrXUHwOMzMN8xi1dtKtNT40rGCyTgBQZw7XXKh4Ou0Hs1B+ICssXJMCi7kYbV8GSww&#10;067jA7XHUIgIYZ+hAhNCnUnpc0MW/djVxNH7c43FEGVTSN1gF+G2kmmSzKTFkuOCwZo+DeX/x7NV&#10;0LW7ffe9d1f+QYmbX7Q706ZKDV/7j3cQgfrwDD/aW63gLU2nswnc/8Qv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7FzRsYAAADfAAAADwAAAAAAAAAAAAAAAACYAgAAZHJz&#10;L2Rvd25yZXYueG1sUEsFBgAAAAAEAAQA9QAAAIsDAAAAAA==&#10;" path="m80772,l57912,289561,,289561e" filled="f" strokecolor="#a6a6a6" strokeweight=".72pt">
                  <v:path arrowok="t" textboxrect="0,0,80772,289561"/>
                </v:shape>
                <v:shape id="Shape 41893" o:spid="_x0000_s2029" style="position:absolute;left:30492;top:12095;width:670;height:1737;visibility:visible;mso-wrap-style:square;v-text-anchor:top" coordsize="67056,173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l7MYA&#10;AADfAAAADwAAAGRycy9kb3ducmV2LnhtbESPQUvDQBSE74L/YXmCN7sxlKKx21IqQm8lrQi9PbLP&#10;bDD7XtzdpvHfdwXB4zAz3zDL9eR7NVKInbCBx1kBirgR23Fr4P349vAEKiZki70wGfihCOvV7c0S&#10;KysXrmk8pFZlCMcKDbiUhkrr2DjyGGcyEGfvU4LHlGVotQ14yXDf67IoFtpjx3nB4UBbR83X4ewN&#10;SN15Vxfb08frdzgPm6OMp70Yc383bV5AJZrSf/ivvbMGnstyvijh90/+Anp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l7MYAAADfAAAADwAAAAAAAAAAAAAAAACYAgAAZHJz&#10;L2Rvd25yZXYueG1sUEsFBgAAAAAEAAQA9QAAAIsDAAAAAA==&#10;" path="m67056,l57912,173737,,173737e" filled="f" strokecolor="#a6a6a6" strokeweight=".72pt">
                  <v:path arrowok="t" textboxrect="0,0,67056,173737"/>
                </v:shape>
                <v:shape id="Shape 41894" o:spid="_x0000_s2030" style="position:absolute;left:32031;top:2311;width:2393;height:15;visibility:visible;mso-wrap-style:square;v-text-anchor:top" coordsize="239268,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KCBsUA&#10;AADfAAAADwAAAGRycy9kb3ducmV2LnhtbESPT4vCMBTE78J+h/CEvWlqXfxTjbIIsl63Vc+P5tkU&#10;m5fSRK3ffiMIexxm5jfMetvbRtyp87VjBZNxAoK4dLrmSsGx2I8WIHxA1tg4JgVP8rDdfAzWmGn3&#10;4F+656ESEcI+QwUmhDaT0peGLPqxa4mjd3GdxRBlV0nd4SPCbSPTJJlJizXHBYMt7QyV1/xmFfxU&#10;izOV+bI4mttz3h/mzT74k1Kfw/57BSJQH/7D7/ZBK1im6ddsCq8/8Qv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koIGxQAAAN8AAAAPAAAAAAAAAAAAAAAAAJgCAABkcnMv&#10;ZG93bnJldi54bWxQSwUGAAAAAAQABAD1AAAAigMAAAAA&#10;" path="m239268,1524l57912,,,e" filled="f" strokecolor="#a6a6a6" strokeweight=".72pt">
                  <v:path arrowok="t" textboxrect="0,0,239268,1524"/>
                </v:shape>
                <v:shape id="Shape 41895" o:spid="_x0000_s2031" style="position:absolute;left:35948;top:3378;width:3718;height:335;visibility:visible;mso-wrap-style:square;v-text-anchor:top" coordsize="371856,33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oFt8kA&#10;AADfAAAADwAAAGRycy9kb3ducmV2LnhtbESPT2vCQBTE7wW/w/KEXqRuDFba1FWsIHqpYPrn/Mi+&#10;ZlOzb2N2Nem37xYEj8PM/IaZL3tbiwu1vnKsYDJOQBAXTldcKvh43zw8gfABWWPtmBT8koflYnA3&#10;x0y7jg90yUMpIoR9hgpMCE0mpS8MWfRj1xBH79u1FkOUbSl1i12E21qmSTKTFiuOCwYbWhsqjvnZ&#10;Knhd70/d6nGbf51GP9u3kT5s/KdR6n7Yr15ABOrDLXxt77SC5zSdzqbw/yd+Abn4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0DoFt8kAAADfAAAADwAAAAAAAAAAAAAAAACYAgAA&#10;ZHJzL2Rvd25yZXYueG1sUEsFBgAAAAAEAAQA9QAAAI4DAAAAAA==&#10;" path="m,33527l313944,r57912,e" filled="f" strokecolor="#a6a6a6" strokeweight=".72pt">
                  <v:path arrowok="t" textboxrect="0,0,371856,33527"/>
                </v:shape>
                <v:shape id="Shape 41896" o:spid="_x0000_s2032" style="position:absolute;left:35932;top:1915;width:1433;height:198;visibility:visible;mso-wrap-style:square;v-text-anchor:top" coordsize="143256,198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bFI8gA&#10;AADfAAAADwAAAGRycy9kb3ducmV2LnhtbESPUUvDQBCE3wX/w7GCb/Zi0FBjr6UIoqBIjYW+bnNr&#10;Es3thbttm/bXe4Lg4zAz3zCzxeh6tacQO88GricZKOLa244bA+uPx6spqCjIFnvPZOBIERbz87MZ&#10;ltYf+J32lTQqQTiWaKAVGUqtY92SwzjxA3HyPn1wKEmGRtuAhwR3vc6zrNAOO04LLQ700FL9Xe2c&#10;gVUlX6dieZTtW8CNbHbTp9PLqzGXF+PyHpTQKP/hv/azNXCX5zfFLfz+SV9A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VsUjyAAAAN8AAAAPAAAAAAAAAAAAAAAAAJgCAABk&#10;cnMvZG93bnJldi54bWxQSwUGAAAAAAQABAD1AAAAjQMAAAAA&#10;" path="m,19812l85344,r57912,e" filled="f" strokecolor="#a6a6a6" strokeweight=".72pt">
                  <v:path arrowok="t" textboxrect="0,0,143256,19812"/>
                </v:shape>
                <v:shape id="Shape 41897" o:spid="_x0000_s2033" style="position:absolute;left:35094;top:863;width:869;height:1250;visibility:visible;mso-wrap-style:square;v-text-anchor:top" coordsize="86868,1249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xzrsgA&#10;AADfAAAADwAAAGRycy9kb3ducmV2LnhtbESPQUvDQBSE70L/w/IK3uymQYKm3ZZSKdiDiFEPvT2z&#10;r9lg9m3Ibjfx37uC0OMwM98w6+1kOxFp8K1jBctFBoK4drrlRsHH++HuAYQPyBo7x6TghzxsN7Ob&#10;NZbajfxGsQqNSBD2JSowIfSllL42ZNEvXE+cvLMbLIYkh0bqAccEt53Ms6yQFltOCwZ72huqv6uL&#10;VRDiJT5VRxxf9ec57r6aozm8nJS6nU+7FYhAU7iG/9vPWsFjnt8XBfz9SV9Ab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7HOuyAAAAN8AAAAPAAAAAAAAAAAAAAAAAJgCAABk&#10;cnMvZG93bnJldi54bWxQSwUGAAAAAAQABAD1AAAAjQMAAAAA&#10;" path="m86868,124968l57912,,,e" filled="f" strokecolor="#a6a6a6" strokeweight=".72pt">
                  <v:path arrowok="t" textboxrect="0,0,86868,124968"/>
                </v:shape>
                <v:shape id="Shape 41898" o:spid="_x0000_s2034" style="position:absolute;left:35978;top:1168;width:0;height:945;visibility:visible;mso-wrap-style:square;v-text-anchor:top" coordsize="0,94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8pKMcA&#10;AADfAAAADwAAAGRycy9kb3ducmV2LnhtbESPQUvDQBSE70L/w/IK3uzGoK2N3RYpiD14sGkPHh/Z&#10;ZzaYfRvy1nT9964geBxm5htms0u+VxON0gU2cLsoQBE3wXbcGjifnm8eQElEttgHJgPfJLDbzq42&#10;WNlw4SNNdWxVhrBUaMDFOFRaS+PIoyzCQJy9jzB6jFmOrbYjXjLc97osiqX22HFecDjQ3lHzWX95&#10;A68i7j4c3tcvpaT0ltzenabamOt5enoEFSnF//Bf+2ANrMvybrmC3z/5C+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KSjHAAAA3wAAAA8AAAAAAAAAAAAAAAAAmAIAAGRy&#10;cy9kb3ducmV2LnhtbFBLBQYAAAAABAAEAPUAAACMAwAAAAA=&#10;" path="m,94488l,e" filled="f" strokecolor="#a6a6a6" strokeweight=".72pt">
                  <v:path arrowok="t" textboxrect="0,0,0,94488"/>
                </v:shape>
                <v:rect id="Rectangle 922468" o:spid="_x0000_s2035" style="position:absolute;left:41343;top:15231;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hjmMYA&#10;AADfAAAADwAAAGRycy9kb3ducmV2LnhtbERPTWvCQBC9F/wPywi9NRtDEZO6SrCVeGxViL0N2WkS&#10;mp0N2dWk/fXdQ8Hj432vt5PpxI0G11pWsIhiEMSV1S3XCs6n/dMKhPPIGjvLpOCHHGw3s4c1ZtqO&#10;/EG3o69FCGGXoYLG+z6T0lUNGXSR7YkD92UHgz7AoZZ6wDGEm04mcbyUBlsODQ32tGuo+j5ejYJi&#10;1eeXg/0d6+7tsyjfy/T1lHqlHudT/gLC0+Tv4n/3QStIk+R5GQaHP+EL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hjmMYAAADfAAAADwAAAAAAAAAAAAAAAACYAgAAZHJz&#10;L2Rvd25yZXYueG1sUEsFBgAAAAAEAAQA9QAAAIsDAAAAAA==&#10;" filled="f" stroked="f">
                  <v:textbox inset="0,0,0,0">
                    <w:txbxContent>
                      <w:p w14:paraId="7FFC891B" w14:textId="77777777" w:rsidR="0014164F" w:rsidRDefault="0014164F" w:rsidP="00FD116C">
                        <w:r>
                          <w:rPr>
                            <w:rFonts w:ascii="Calibri" w:hAnsi="Calibri" w:cs="Calibri"/>
                            <w:color w:val="404040"/>
                            <w:sz w:val="18"/>
                          </w:rPr>
                          <w:t>%</w:t>
                        </w:r>
                      </w:p>
                    </w:txbxContent>
                  </v:textbox>
                </v:rect>
                <v:rect id="Rectangle 922469" o:spid="_x0000_s2036" style="position:absolute;left:38737;top:15231;width:346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TGA8cA&#10;AADfAAAADwAAAGRycy9kb3ducmV2LnhtbESPQWvCQBSE74X+h+UVvNVNg4hJXUWqokc1BdvbI/ua&#10;hGbfhuxqor/eFQSPw8x8w0znvanFmVpXWVbwMYxAEOdWV1wo+M7W7xMQziNrrC2Tggs5mM9eX6aY&#10;atvxns4HX4gAYZeigtL7JpXS5SUZdEPbEAfvz7YGfZBtIXWLXYCbWsZRNJYGKw4LJTb0VVL+fzgZ&#10;BZtJs/jZ2mtX1KvfzXF3TJZZ4pUavPWLTxCeev8MP9pbrSCJ49E4gfuf8AX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ExgPHAAAA3wAAAA8AAAAAAAAAAAAAAAAAmAIAAGRy&#10;cy9kb3ducmV2LnhtbFBLBQYAAAAABAAEAPUAAACMAwAAAAA=&#10;" filled="f" stroked="f">
                  <v:textbox inset="0,0,0,0">
                    <w:txbxContent>
                      <w:p w14:paraId="1624D236" w14:textId="77777777" w:rsidR="0014164F" w:rsidRDefault="0014164F" w:rsidP="00FD116C">
                        <w:r>
                          <w:rPr>
                            <w:rFonts w:ascii="Calibri" w:hAnsi="Calibri" w:cs="Calibri"/>
                            <w:color w:val="404040"/>
                            <w:sz w:val="18"/>
                          </w:rPr>
                          <w:t>58.76</w:t>
                        </w:r>
                      </w:p>
                    </w:txbxContent>
                  </v:textbox>
                </v:rect>
                <v:rect id="Rectangle 922470" o:spid="_x0000_s2037" style="position:absolute;left:32414;top:15215;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f5Q8cA&#10;AADfAAAADwAAAGRycy9kb3ducmV2LnhtbESPzWrCQBSF90LfYbgFdzppKGrSjCJtRZdtLKTdXTK3&#10;SWjmTsiMJvr0nYXg8nD++LLNaFpxpt41lhU8zSMQxKXVDVcKvo672QqE88gaW8uk4EIONuuHSYap&#10;tgN/0jn3lQgj7FJUUHvfpVK6siaDbm474uD92t6gD7KvpO5xCOOmlXEULaTBhsNDjR291lT+5Sej&#10;YL/qtt8Hex2q9v1nX3wUydsx8UpNH8ftCwhPo7+Hb+2DVpDE8fMyEASewAJ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n+UPHAAAA3wAAAA8AAAAAAAAAAAAAAAAAmAIAAGRy&#10;cy9kb3ducmV2LnhtbFBLBQYAAAAABAAEAPUAAACMAwAAAAA=&#10;" filled="f" stroked="f">
                  <v:textbox inset="0,0,0,0">
                    <w:txbxContent>
                      <w:p w14:paraId="1DA12FC5" w14:textId="77777777" w:rsidR="0014164F" w:rsidRDefault="0014164F" w:rsidP="00FD116C">
                        <w:r>
                          <w:rPr>
                            <w:rFonts w:ascii="Calibri" w:hAnsi="Calibri" w:cs="Calibri"/>
                            <w:color w:val="404040"/>
                            <w:sz w:val="18"/>
                          </w:rPr>
                          <w:t>%</w:t>
                        </w:r>
                      </w:p>
                    </w:txbxContent>
                  </v:textbox>
                </v:rect>
                <v:rect id="Rectangle 922482" o:spid="_x0000_s2038" style="position:absolute;left:30388;top:15215;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yyiMgA&#10;AADfAAAADwAAAGRycy9kb3ducmV2LnhtbESPQWvCQBSE7wX/w/IEb3XTUCSJboJoix5bLdjeHtln&#10;Epp9G7JbE/313YLQ4zAz3zCrYjStuFDvGssKnuYRCOLS6oYrBR/H18cEhPPIGlvLpOBKDop88rDC&#10;TNuB3+ly8JUIEHYZKqi97zIpXVmTQTe3HXHwzrY36IPsK6l7HALctDKOooU02HBYqLGjTU3l9+HH&#10;KNgl3fpzb29D1b587U5vp3R7TL1Ss+m4XoLwNPr/8L291wrSOH5OYvj7E76AzH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rLKIyAAAAN8AAAAPAAAAAAAAAAAAAAAAAJgCAABk&#10;cnMvZG93bnJldi54bWxQSwUGAAAAAAQABAD1AAAAjQMAAAAA&#10;" filled="f" stroked="f">
                  <v:textbox inset="0,0,0,0">
                    <w:txbxContent>
                      <w:p w14:paraId="4BB25D5A" w14:textId="77777777" w:rsidR="0014164F" w:rsidRDefault="0014164F" w:rsidP="00FD116C">
                        <w:r>
                          <w:rPr>
                            <w:rFonts w:ascii="Calibri" w:hAnsi="Calibri" w:cs="Calibri"/>
                            <w:color w:val="404040"/>
                            <w:sz w:val="18"/>
                          </w:rPr>
                          <w:t>4.56</w:t>
                        </w:r>
                      </w:p>
                    </w:txbxContent>
                  </v:textbox>
                </v:rect>
                <v:rect id="Rectangle 922483" o:spid="_x0000_s2039" style="position:absolute;left:27370;top:14295;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AXE8gA&#10;AADfAAAADwAAAGRycy9kb3ducmV2LnhtbESPQWvCQBSE7wX/w/IEb3VjLCWJriK2RY+tCurtkX0m&#10;wezbkN2a1F/vFgo9DjPzDTNf9qYWN2pdZVnBZByBIM6trrhQcNh/PCcgnEfWWFsmBT/kYLkYPM0x&#10;07bjL7rtfCEChF2GCkrvm0xKl5dk0I1tQxy8i20N+iDbQuoWuwA3tYyj6FUarDgslNjQuqT8uvs2&#10;CjZJszpt7b0r6vfz5vh5TN/2qVdqNOxXMxCeev8f/mtvtYI0jl+SKfz+CV9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4BcTyAAAAN8AAAAPAAAAAAAAAAAAAAAAAJgCAABk&#10;cnMvZG93bnJldi54bWxQSwUGAAAAAAQABAD1AAAAjQMAAAAA&#10;" filled="f" stroked="f">
                  <v:textbox inset="0,0,0,0">
                    <w:txbxContent>
                      <w:p w14:paraId="14B415CC" w14:textId="77777777" w:rsidR="0014164F" w:rsidRDefault="0014164F" w:rsidP="00FD116C">
                        <w:r>
                          <w:rPr>
                            <w:rFonts w:ascii="Calibri" w:hAnsi="Calibri" w:cs="Calibri"/>
                            <w:color w:val="404040"/>
                            <w:sz w:val="18"/>
                          </w:rPr>
                          <w:t>0.86</w:t>
                        </w:r>
                      </w:p>
                    </w:txbxContent>
                  </v:textbox>
                </v:rect>
                <v:rect id="Rectangle 922484" o:spid="_x0000_s2040" style="position:absolute;left:29397;top:14295;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mPZ8cA&#10;AADfAAAADwAAAGRycy9kb3ducmV2LnhtbESPT4vCMBTE7wv7HcITvK2pRaStRpH9gx5dFdTbo3nb&#10;lm1eSpO11U9vFgSPw8z8hpkve1OLC7WusqxgPIpAEOdWV1woOOy/3hIQziNrrC2Tgis5WC5eX+aY&#10;advxN112vhABwi5DBaX3TSaly0sy6Ea2IQ7ej20N+iDbQuoWuwA3tYyjaCoNVhwWSmzovaT8d/dn&#10;FKyTZnXa2FtX1J/n9XF7TD/2qVdqOOhXMxCeev8MP9obrSCN40kygf8/4QvI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IJj2fHAAAA3wAAAA8AAAAAAAAAAAAAAAAAmAIAAGRy&#10;cy9kb3ducmV2LnhtbFBLBQYAAAAABAAEAPUAAACMAwAAAAA=&#10;" filled="f" stroked="f">
                  <v:textbox inset="0,0,0,0">
                    <w:txbxContent>
                      <w:p w14:paraId="5BB4ED41" w14:textId="77777777" w:rsidR="0014164F" w:rsidRDefault="0014164F" w:rsidP="00FD116C">
                        <w:r>
                          <w:rPr>
                            <w:rFonts w:ascii="Calibri" w:hAnsi="Calibri" w:cs="Calibri"/>
                            <w:color w:val="404040"/>
                            <w:sz w:val="18"/>
                          </w:rPr>
                          <w:t>%</w:t>
                        </w:r>
                      </w:p>
                    </w:txbxContent>
                  </v:textbox>
                </v:rect>
                <v:rect id="Rectangle 922485" o:spid="_x0000_s2041" style="position:absolute;left:29397;top:1296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Uq/MgA&#10;AADfAAAADwAAAGRycy9kb3ducmV2LnhtbESPQWvCQBSE7wX/w/IEb3VjsCWJriK2RY+tCurtkX0m&#10;wezbkN2a1F/vFgo9DjPzDTNf9qYWN2pdZVnBZByBIM6trrhQcNh/PCcgnEfWWFsmBT/kYLkYPM0x&#10;07bjL7rtfCEChF2GCkrvm0xKl5dk0I1tQxy8i20N+iDbQuoWuwA3tYyj6FUarDgslNjQuqT8uvs2&#10;CjZJszpt7b0r6vfz5vh5TN/2qVdqNOxXMxCeev8f/mtvtYI0jqfJC/z+CV9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RSr8yAAAAN8AAAAPAAAAAAAAAAAAAAAAAJgCAABk&#10;cnMvZG93bnJldi54bWxQSwUGAAAAAAQABAD1AAAAjQMAAAAA&#10;" filled="f" stroked="f">
                  <v:textbox inset="0,0,0,0">
                    <w:txbxContent>
                      <w:p w14:paraId="46FEAEA7" w14:textId="77777777" w:rsidR="0014164F" w:rsidRDefault="0014164F" w:rsidP="00FD116C">
                        <w:r>
                          <w:rPr>
                            <w:rFonts w:ascii="Calibri" w:hAnsi="Calibri" w:cs="Calibri"/>
                            <w:color w:val="404040"/>
                            <w:sz w:val="18"/>
                          </w:rPr>
                          <w:t>%</w:t>
                        </w:r>
                      </w:p>
                    </w:txbxContent>
                  </v:textbox>
                </v:rect>
                <v:rect id="Rectangle 922486" o:spid="_x0000_s2042" style="position:absolute;left:27370;top:12969;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e0i8cA&#10;AADfAAAADwAAAGRycy9kb3ducmV2LnhtbESPQWvCQBSE7wX/w/IEb3VjEEmiq4ha9NhqwXp7ZF+T&#10;0OzbkN2a6K/vFgSPw8x8wyxWvanFlVpXWVYwGUcgiHOrKy4UfJ7eXhMQziNrrC2Tghs5WC0HLwvM&#10;tO34g65HX4gAYZehgtL7JpPS5SUZdGPbEAfv27YGfZBtIXWLXYCbWsZRNJMGKw4LJTa0KSn/Of4a&#10;BfukWX8d7L0r6t1lf34/p9tT6pUaDfv1HISn3j/Dj/ZBK0jjeJrM4P9P+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2XtIvHAAAA3wAAAA8AAAAAAAAAAAAAAAAAmAIAAGRy&#10;cy9kb3ducmV2LnhtbFBLBQYAAAAABAAEAPUAAACMAwAAAAA=&#10;" filled="f" stroked="f">
                  <v:textbox inset="0,0,0,0">
                    <w:txbxContent>
                      <w:p w14:paraId="337F26EB" w14:textId="77777777" w:rsidR="0014164F" w:rsidRDefault="0014164F" w:rsidP="00FD116C">
                        <w:r>
                          <w:rPr>
                            <w:rFonts w:ascii="Calibri" w:hAnsi="Calibri" w:cs="Calibri"/>
                            <w:color w:val="404040"/>
                            <w:sz w:val="18"/>
                          </w:rPr>
                          <w:t>0.31</w:t>
                        </w:r>
                      </w:p>
                    </w:txbxContent>
                  </v:textbox>
                </v:rect>
                <v:rect id="Rectangle 922487" o:spid="_x0000_s2043" style="position:absolute;left:27370;top:10811;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sREMgA&#10;AADfAAAADwAAAGRycy9kb3ducmV2LnhtbESPQWvCQBSE7wX/w/IEb3VjkDaJriK2RY+tCurtkX0m&#10;wezbkN2a1F/vFgo9DjPzDTNf9qYWN2pdZVnBZByBIM6trrhQcNh/PCcgnEfWWFsmBT/kYLkYPM0x&#10;07bjL7rtfCEChF2GCkrvm0xKl5dk0I1tQxy8i20N+iDbQuoWuwA3tYyj6EUarDgslNjQuqT8uvs2&#10;CjZJszpt7b0r6vfz5vh5TN/2qVdqNOxXMxCeev8f/mtvtYI0jqfJK/z+CV9ALh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2xEQyAAAAN8AAAAPAAAAAAAAAAAAAAAAAJgCAABk&#10;cnMvZG93bnJldi54bWxQSwUGAAAAAAQABAD1AAAAjQMAAAAA&#10;" filled="f" stroked="f">
                  <v:textbox inset="0,0,0,0">
                    <w:txbxContent>
                      <w:p w14:paraId="3004CE94" w14:textId="77777777" w:rsidR="0014164F" w:rsidRDefault="0014164F" w:rsidP="00FD116C">
                        <w:r>
                          <w:rPr>
                            <w:rFonts w:ascii="Calibri" w:hAnsi="Calibri" w:cs="Calibri"/>
                            <w:color w:val="404040"/>
                            <w:sz w:val="18"/>
                          </w:rPr>
                          <w:t>0.78</w:t>
                        </w:r>
                      </w:p>
                    </w:txbxContent>
                  </v:textbox>
                </v:rect>
                <v:rect id="Rectangle 922488" o:spid="_x0000_s2044" style="position:absolute;left:29397;top:10811;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SFYsUA&#10;AADfAAAADwAAAGRycy9kb3ducmV2LnhtbERPTWvCQBC9C/0PyxS86aahSJK6irQWPWoUbG9DdpqE&#10;ZmdDdjXRX+8eBI+P9z1fDqYRF+pcbVnB2zQCQVxYXXOp4Hj4niQgnEfW2FgmBVdysFy8jOaYadvz&#10;ni65L0UIYZehgsr7NpPSFRUZdFPbEgfuz3YGfYBdKXWHfQg3jYyjaCYN1hwaKmzps6LiPz8bBZuk&#10;Xf1s7a0vm/Xv5rQ7pV+H1Cs1fh1WHyA8Df4pfri3WkEax+9JGBz+hC8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RIVixQAAAN8AAAAPAAAAAAAAAAAAAAAAAJgCAABkcnMv&#10;ZG93bnJldi54bWxQSwUGAAAAAAQABAD1AAAAigMAAAAA&#10;" filled="f" stroked="f">
                  <v:textbox inset="0,0,0,0">
                    <w:txbxContent>
                      <w:p w14:paraId="4375C900" w14:textId="77777777" w:rsidR="0014164F" w:rsidRDefault="0014164F" w:rsidP="00FD116C">
                        <w:r>
                          <w:rPr>
                            <w:rFonts w:ascii="Calibri" w:hAnsi="Calibri" w:cs="Calibri"/>
                            <w:color w:val="404040"/>
                            <w:sz w:val="18"/>
                          </w:rPr>
                          <w:t>%</w:t>
                        </w:r>
                      </w:p>
                    </w:txbxContent>
                  </v:textbox>
                </v:rect>
                <v:rect id="Rectangle 922489" o:spid="_x0000_s2045" style="position:absolute;left:33204;top:6953;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g+cgA&#10;AADfAAAADwAAAGRycy9kb3ducmV2LnhtbESPQWvCQBSE7wX/w/IEb3XTUCSJboJoix5bLdjeHtln&#10;Epp9G7JbE/313YLQ4zAz3zCrYjStuFDvGssKnuYRCOLS6oYrBR/H18cEhPPIGlvLpOBKDop88rDC&#10;TNuB3+ly8JUIEHYZKqi97zIpXVmTQTe3HXHwzrY36IPsK6l7HALctDKOooU02HBYqLGjTU3l9+HH&#10;KNgl3fpzb29D1b587U5vp3R7TL1Ss+m4XoLwNPr/8L291wrSOH5OUvj7E76AzH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CCD5yAAAAN8AAAAPAAAAAAAAAAAAAAAAAJgCAABk&#10;cnMvZG93bnJldi54bWxQSwUGAAAAAAQABAD1AAAAjQMAAAAA&#10;" filled="f" stroked="f">
                  <v:textbox inset="0,0,0,0">
                    <w:txbxContent>
                      <w:p w14:paraId="18ACD88C" w14:textId="77777777" w:rsidR="0014164F" w:rsidRDefault="0014164F" w:rsidP="00FD116C">
                        <w:r>
                          <w:rPr>
                            <w:rFonts w:ascii="Calibri" w:hAnsi="Calibri" w:cs="Calibri"/>
                            <w:color w:val="404040"/>
                            <w:sz w:val="18"/>
                          </w:rPr>
                          <w:t>%</w:t>
                        </w:r>
                      </w:p>
                    </w:txbxContent>
                  </v:textbox>
                </v:rect>
                <v:rect id="Rectangle 922490" o:spid="_x0000_s2046" style="position:absolute;left:30598;top:6953;width:346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sfuccA&#10;AADfAAAADwAAAGRycy9kb3ducmV2LnhtbESPzWrCQBSF9wXfYbiCu2bSIMVERxGtxGWrhbS7S+aa&#10;hGbuhMw0iX36zqLQ5eH88W12k2nFQL1rLCt4imIQxKXVDVcK3q+nxxUI55E1tpZJwZ0c7Lazhw1m&#10;2o78RsPFVyKMsMtQQe19l0npypoMush2xMG72d6gD7KvpO5xDOOmlUkcP0uDDYeHGjs61FR+Xb6N&#10;gnzV7T/O9mes2pfPvHgt0uM19Uot5tN+DcLT5P/Df+2zVpAmyTINBIEnsI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jrH7nHAAAA3wAAAA8AAAAAAAAAAAAAAAAAmAIAAGRy&#10;cy9kb3ducmV2LnhtbFBLBQYAAAAABAAEAPUAAACMAwAAAAA=&#10;" filled="f" stroked="f">
                  <v:textbox inset="0,0,0,0">
                    <w:txbxContent>
                      <w:p w14:paraId="39FC3AA4" w14:textId="77777777" w:rsidR="0014164F" w:rsidRDefault="0014164F" w:rsidP="00FD116C">
                        <w:r>
                          <w:rPr>
                            <w:rFonts w:ascii="Calibri" w:hAnsi="Calibri" w:cs="Calibri"/>
                            <w:color w:val="404040"/>
                            <w:sz w:val="18"/>
                          </w:rPr>
                          <w:t>26.68</w:t>
                        </w:r>
                      </w:p>
                    </w:txbxContent>
                  </v:textbox>
                </v:rect>
                <v:rect id="Rectangle 922491" o:spid="_x0000_s2047" style="position:absolute;left:31034;top:1447;width:1087;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e6IsgA&#10;AADfAAAADwAAAGRycy9kb3ducmV2LnhtbESPQWvCQBSE70L/w/IK3nRjKGLSrCKtRY9WC7a3R/Y1&#10;Cc2+Ddk1if56tyB4HGbmGyZbDaYWHbWusqxgNo1AEOdWV1wo+Dp+TBYgnEfWWFsmBRdysFo+jTJM&#10;te35k7qDL0SAsEtRQel9k0rp8pIMuqltiIP3a1uDPsi2kLrFPsBNLeMomkuDFYeFEht6Kyn/O5yN&#10;gu2iWX/v7LUv6s3P9rQ/Je/HxCs1fh7WryA8Df4Rvrd3WkESxy/JDP7/hC8gl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p7oiyAAAAN8AAAAPAAAAAAAAAAAAAAAAAJgCAABk&#10;cnMvZG93bnJldi54bWxQSwUGAAAAAAQABAD1AAAAjQMAAAAA&#10;" filled="f" stroked="f">
                  <v:textbox inset="0,0,0,0">
                    <w:txbxContent>
                      <w:p w14:paraId="1C627FDF" w14:textId="77777777" w:rsidR="0014164F" w:rsidRDefault="0014164F" w:rsidP="00FD116C">
                        <w:r>
                          <w:rPr>
                            <w:rFonts w:ascii="Calibri" w:hAnsi="Calibri" w:cs="Calibri"/>
                            <w:color w:val="404040"/>
                            <w:sz w:val="18"/>
                          </w:rPr>
                          <w:t>%</w:t>
                        </w:r>
                      </w:p>
                    </w:txbxContent>
                  </v:textbox>
                </v:rect>
                <v:rect id="Rectangle 922492" o:spid="_x0000_s2048" style="position:absolute;left:29007;top:1447;width:269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UkVccA&#10;AADfAAAADwAAAGRycy9kb3ducmV2LnhtbESPQWvCQBSE70L/w/IK3nTTIGJSV5FW0aOagu3tkX1N&#10;QrNvQ3Y10V/vCkKPw8x8w8yXvanFhVpXWVbwNo5AEOdWV1wo+Mo2oxkI55E11pZJwZUcLBcvgzmm&#10;2nZ8oMvRFyJA2KWooPS+SaV0eUkG3dg2xMH7ta1BH2RbSN1iF+CmlnEUTaXBisNCiQ19lJT/Hc9G&#10;wXbWrL539tYV9fpne9qfks8s8UoNX/vVOwhPvf8PP9s7rSCJ40kSw+NP+AJyc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1JFXHAAAA3wAAAA8AAAAAAAAAAAAAAAAAmAIAAGRy&#10;cy9kb3ducmV2LnhtbFBLBQYAAAAABAAEAPUAAACMAwAAAAA=&#10;" filled="f" stroked="f">
                  <v:textbox inset="0,0,0,0">
                    <w:txbxContent>
                      <w:p w14:paraId="09D03CC5" w14:textId="77777777" w:rsidR="0014164F" w:rsidRDefault="0014164F" w:rsidP="00FD116C">
                        <w:r>
                          <w:rPr>
                            <w:rFonts w:ascii="Calibri" w:hAnsi="Calibri" w:cs="Calibri"/>
                            <w:color w:val="404040"/>
                            <w:sz w:val="18"/>
                          </w:rPr>
                          <w:t>7.95</w:t>
                        </w:r>
                      </w:p>
                    </w:txbxContent>
                  </v:textbox>
                </v:rect>
                <v:rect id="Rectangle 922494" o:spid="_x0000_s2049" style="position:absolute;left:39864;top:2518;width:2696;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AZuscA&#10;AADfAAAADwAAAGRycy9kb3ducmV2LnhtbESPQWvCQBSE7wX/w/IEb3VjEDGpq4it6NFqwfb2yD6T&#10;YPZtyK4m+uvdguBxmJlvmNmiM5W4UuNKywpGwwgEcWZ1ybmCn8P6fQrCeWSNlWVScCMHi3nvbYap&#10;ti1/03XvcxEg7FJUUHhfp1K6rCCDbmhr4uCdbGPQB9nkUjfYBripZBxFE2mw5LBQYE2rgrLz/mIU&#10;bKb18ndr721eff1tjrtj8nlIvFKDfrf8AOGp86/ws73VCpI4Hidj+P8TvoCc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QGbrHAAAA3wAAAA8AAAAAAAAAAAAAAAAAmAIAAGRy&#10;cy9kb3ducmV2LnhtbFBLBQYAAAAABAAEAPUAAACMAwAAAAA=&#10;" filled="f" stroked="f">
                  <v:textbox inset="0,0,0,0">
                    <w:txbxContent>
                      <w:p w14:paraId="14B8123C" w14:textId="77777777" w:rsidR="0014164F" w:rsidRDefault="0014164F" w:rsidP="00FD116C">
                        <w:r>
                          <w:rPr>
                            <w:rFonts w:ascii="Calibri" w:hAnsi="Calibri" w:cs="Calibri"/>
                            <w:color w:val="404040"/>
                            <w:sz w:val="18"/>
                          </w:rPr>
                          <w:t>0.00</w:t>
                        </w:r>
                      </w:p>
                    </w:txbxContent>
                  </v:textbox>
                </v:rect>
                <v:rect id="Rectangle 922495" o:spid="_x0000_s2050" style="position:absolute;left:41891;top:2518;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8IccA&#10;AADfAAAADwAAAGRycy9kb3ducmV2LnhtbESPQWvCQBSE70L/w/IK3nTToGKiq0hb0WPVgvX2yD6T&#10;YPZtyK4m9td3C4LHYWa+YebLzlTiRo0rLSt4G0YgiDOrS84VfB/WgykI55E1VpZJwZ0cLBcvvTmm&#10;2ra8o9ve5yJA2KWooPC+TqV0WUEG3dDWxME728agD7LJpW6wDXBTyTiKJtJgyWGhwJreC8ou+6tR&#10;sJnWq5+t/W3z6vO0OX4dk49D4pXqv3arGQhPnX+GH+2tVpDE8SgZw/+f8AXk4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icvCHHAAAA3wAAAA8AAAAAAAAAAAAAAAAAmAIAAGRy&#10;cy9kb3ducmV2LnhtbFBLBQYAAAAABAAEAPUAAACMAwAAAAA=&#10;" filled="f" stroked="f">
                  <v:textbox inset="0,0,0,0">
                    <w:txbxContent>
                      <w:p w14:paraId="74A031E7" w14:textId="77777777" w:rsidR="0014164F" w:rsidRDefault="0014164F" w:rsidP="00FD116C">
                        <w:r>
                          <w:rPr>
                            <w:rFonts w:ascii="Calibri" w:hAnsi="Calibri" w:cs="Calibri"/>
                            <w:color w:val="404040"/>
                            <w:sz w:val="18"/>
                          </w:rPr>
                          <w:t>%</w:t>
                        </w:r>
                      </w:p>
                    </w:txbxContent>
                  </v:textbox>
                </v:rect>
                <v:rect id="Rectangle 40960" o:spid="_x0000_s2051" style="position:absolute;left:39587;top:1049;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RSWcUA&#10;AADeAAAADwAAAGRycy9kb3ducmV2LnhtbESPy4rCMBSG9wO+QziCuzEdEbEdo4gXdOlUQd0dmjNt&#10;meakNNFWn94sBlz+/De+2aIzlbhT40rLCr6GEQjizOqScwWn4/ZzCsJ5ZI2VZVLwIAeLee9jhom2&#10;Lf/QPfW5CCPsElRQeF8nUrqsIINuaGvi4P3axqAPssmlbrAN46aSoyiaSIMlh4cCa1oVlP2lN6Ng&#10;N62Xl719tnm1ue7Oh3O8PsZeqUG/W36D8NT5d/i/vdcKxlE8CQABJ6C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1FJZxQAAAN4AAAAPAAAAAAAAAAAAAAAAAJgCAABkcnMv&#10;ZG93bnJldi54bWxQSwUGAAAAAAQABAD1AAAAigMAAAAA&#10;" filled="f" stroked="f">
                  <v:textbox inset="0,0,0,0">
                    <w:txbxContent>
                      <w:p w14:paraId="40A76E44" w14:textId="77777777" w:rsidR="0014164F" w:rsidRDefault="0014164F" w:rsidP="00FD116C">
                        <w:r>
                          <w:rPr>
                            <w:rFonts w:ascii="Calibri" w:hAnsi="Calibri" w:cs="Calibri"/>
                            <w:color w:val="404040"/>
                            <w:sz w:val="18"/>
                          </w:rPr>
                          <w:t>%</w:t>
                        </w:r>
                      </w:p>
                    </w:txbxContent>
                  </v:textbox>
                </v:rect>
                <v:rect id="Rectangle 40961" o:spid="_x0000_s2052" style="position:absolute;left:37561;top:1049;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j3wscA&#10;AADeAAAADwAAAGRycy9kb3ducmV2LnhtbESPQWvCQBSE7wX/w/KE3uompYiJriFoSzy2Kqi3R/aZ&#10;BLNvQ3Zr0v76bqHQ4zAz3zCrbDStuFPvGssK4lkEgri0uuFKwfHw9rQA4TyyxtYyKfgiB9l68rDC&#10;VNuBP+i+95UIEHYpKqi971IpXVmTQTezHXHwrrY36IPsK6l7HALctPI5iubSYMNhocaONjWVt/2n&#10;UVAsuvy8s99D1b5eitP7KdkeEq/U43TMlyA8jf4//NfeaQUvUTKP4fdOu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CY98LHAAAA3gAAAA8AAAAAAAAAAAAAAAAAmAIAAGRy&#10;cy9kb3ducmV2LnhtbFBLBQYAAAAABAAEAPUAAACMAwAAAAA=&#10;" filled="f" stroked="f">
                  <v:textbox inset="0,0,0,0">
                    <w:txbxContent>
                      <w:p w14:paraId="723E1093" w14:textId="77777777" w:rsidR="0014164F" w:rsidRDefault="0014164F" w:rsidP="00FD116C">
                        <w:r>
                          <w:rPr>
                            <w:rFonts w:ascii="Calibri" w:hAnsi="Calibri" w:cs="Calibri"/>
                            <w:color w:val="404040"/>
                            <w:sz w:val="18"/>
                          </w:rPr>
                          <w:t>0.00</w:t>
                        </w:r>
                      </w:p>
                    </w:txbxContent>
                  </v:textbox>
                </v:rect>
                <v:rect id="Rectangle 40962" o:spid="_x0000_s2053" style="position:absolute;left:34101;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pptccA&#10;AADeAAAADwAAAGRycy9kb3ducmV2LnhtbESPQWvCQBSE74L/YXlCb7oxFDHRNQRbicdWC9bbI/ua&#10;hGbfhuxq0v76bqHQ4zAz3zDbbDStuFPvGssKlosIBHFpdcOVgrfzYb4G4TyyxtYyKfgiB9luOtli&#10;qu3Ar3Q/+UoECLsUFdTed6mUrqzJoFvYjjh4H7Y36IPsK6l7HALctDKOopU02HBYqLGjfU3l5+lm&#10;FBTrLn8/2u+hap+vxeXlkjydE6/Uw2zMNyA8jf4//Nc+agWPUbKK4fdOuAJy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KabXHAAAA3gAAAA8AAAAAAAAAAAAAAAAAmAIAAGRy&#10;cy9kb3ducmV2LnhtbFBLBQYAAAAABAAEAPUAAACMAwAAAAA=&#10;" filled="f" stroked="f">
                  <v:textbox inset="0,0,0,0">
                    <w:txbxContent>
                      <w:p w14:paraId="520ECA7E" w14:textId="77777777" w:rsidR="0014164F" w:rsidRDefault="0014164F" w:rsidP="00FD116C">
                        <w:r>
                          <w:rPr>
                            <w:rFonts w:ascii="Calibri" w:hAnsi="Calibri" w:cs="Calibri"/>
                            <w:color w:val="404040"/>
                            <w:sz w:val="18"/>
                          </w:rPr>
                          <w:t>%</w:t>
                        </w:r>
                      </w:p>
                    </w:txbxContent>
                  </v:textbox>
                </v:rect>
                <v:rect id="Rectangle 40963" o:spid="_x0000_s2054" style="position:absolute;left:32074;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bMLsgA&#10;AADeAAAADwAAAGRycy9kb3ducmV2LnhtbESPW2vCQBSE3wv9D8sp+FY3vSBJzCrSC/pYtZD6dsge&#10;k2D2bMiuJvrrXaHg4zAz3zDZfDCNOFHnassKXsYRCOLC6ppLBb/b7+cYhPPIGhvLpOBMDuazx4cM&#10;U217XtNp40sRIOxSVFB536ZSuqIig25sW+Lg7W1n0AfZlVJ32Ae4aeRrFE2kwZrDQoUtfVRUHDZH&#10;o2AZt4u/lb30ZfO1W+Y/efK5TbxSo6dhMQXhafD38H97pRW8R8nkDW53whW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vBswuyAAAAN4AAAAPAAAAAAAAAAAAAAAAAJgCAABk&#10;cnMvZG93bnJldi54bWxQSwUGAAAAAAQABAD1AAAAjQMAAAAA&#10;" filled="f" stroked="f">
                  <v:textbox inset="0,0,0,0">
                    <w:txbxContent>
                      <w:p w14:paraId="1C7B1D9D" w14:textId="77777777" w:rsidR="0014164F" w:rsidRDefault="0014164F" w:rsidP="00FD116C">
                        <w:r>
                          <w:rPr>
                            <w:rFonts w:ascii="Calibri" w:hAnsi="Calibri" w:cs="Calibri"/>
                            <w:color w:val="404040"/>
                            <w:sz w:val="18"/>
                          </w:rPr>
                          <w:t>0.12</w:t>
                        </w:r>
                      </w:p>
                    </w:txbxContent>
                  </v:textbox>
                </v:rect>
                <v:rect id="Rectangle 40964" o:spid="_x0000_s2055" style="position:absolute;left:36840;width:1087;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9UWscA&#10;AADeAAAADwAAAGRycy9kb3ducmV2LnhtbESPQWvCQBSE74X+h+UVequbShATXUOolnisWrDeHtnX&#10;JDT7NmRXE/31XaHQ4zAz3zDLbDStuFDvGssKXicRCOLS6oYrBZ+H95c5COeRNbaWScGVHGSrx4cl&#10;ptoOvKPL3lciQNilqKD2vkuldGVNBt3EdsTB+7a9QR9kX0nd4xDgppXTKJpJgw2HhRo7equp/Nmf&#10;jYJi3uVfW3sbqnZzKo4fx2R9SLxSz09jvgDhafT/4b/2ViuIo2QWw/1Ou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DvVFrHAAAA3gAAAA8AAAAAAAAAAAAAAAAAmAIAAGRy&#10;cy9kb3ducmV2LnhtbFBLBQYAAAAABAAEAPUAAACMAwAAAAA=&#10;" filled="f" stroked="f">
                  <v:textbox inset="0,0,0,0">
                    <w:txbxContent>
                      <w:p w14:paraId="3A2BE1B5" w14:textId="77777777" w:rsidR="0014164F" w:rsidRDefault="0014164F" w:rsidP="00FD116C">
                        <w:r>
                          <w:rPr>
                            <w:rFonts w:ascii="Calibri" w:hAnsi="Calibri" w:cs="Calibri"/>
                            <w:color w:val="404040"/>
                            <w:sz w:val="18"/>
                          </w:rPr>
                          <w:t>%</w:t>
                        </w:r>
                      </w:p>
                    </w:txbxContent>
                  </v:textbox>
                </v:rect>
                <v:rect id="Rectangle 40965" o:spid="_x0000_s2056" style="position:absolute;left:34814;width:2695;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PxwcgA&#10;AADeAAAADwAAAGRycy9kb3ducmV2LnhtbESPT2vCQBTE74V+h+UVvNVNSytJzCrSP+ixaiH19sg+&#10;k2D2bciuJvrpXaHgcZiZ3zDZfDCNOFHnassKXsYRCOLC6ppLBb/b7+cYhPPIGhvLpOBMDuazx4cM&#10;U217XtNp40sRIOxSVFB536ZSuqIig25sW+Lg7W1n0AfZlVJ32Ae4aeRrFE2kwZrDQoUtfVRUHDZH&#10;o2AZt4u/lb30ZfO1W+Y/efK5TbxSo6dhMQXhafD38H97pRW8RcnkHW53whWQs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Po/HByAAAAN4AAAAPAAAAAAAAAAAAAAAAAJgCAABk&#10;cnMvZG93bnJldi54bWxQSwUGAAAAAAQABAD1AAAAjQMAAAAA&#10;" filled="f" stroked="f">
                  <v:textbox inset="0,0,0,0">
                    <w:txbxContent>
                      <w:p w14:paraId="407EB625" w14:textId="77777777" w:rsidR="0014164F" w:rsidRDefault="0014164F" w:rsidP="00FD116C">
                        <w:r>
                          <w:rPr>
                            <w:rFonts w:ascii="Calibri" w:hAnsi="Calibri" w:cs="Calibri"/>
                            <w:color w:val="404040"/>
                            <w:sz w:val="18"/>
                          </w:rPr>
                          <w:t>0.00</w:t>
                        </w:r>
                      </w:p>
                    </w:txbxContent>
                  </v:textbox>
                </v:rect>
                <v:shape id="Shape 922394" o:spid="_x0000_s2057" style="position:absolute;left:45389;top:1191;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PzbccA&#10;AADeAAAADwAAAGRycy9kb3ducmV2LnhtbESPT2vCQBTE74V+h+UVvNVNVdI2uooI/gE9WM3F2yP7&#10;TGKzb0N2NfHbu0Khx2FmfsNMZp2pxI0aV1pW8NGPQBBnVpecK0iPy/cvEM4ja6wsk4I7OZhNX18m&#10;mGjb8g/dDj4XAcIuQQWF93UipcsKMuj6tiYO3tk2Bn2QTS51g22Am0oOoiiWBksOCwXWtCgo+z1c&#10;jYL9KbXrc3rZHT9P23rZmnY1dLlSvbduPgbhqfP/4b/2RisYRd9xDM874QrI6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j823HAAAA3gAAAA8AAAAAAAAAAAAAAAAAmAIAAGRy&#10;cy9kb3ducmV2LnhtbFBLBQYAAAAABAAEAPUAAACMAwAAAAA=&#10;" path="m,l50292,r,50292l,50292,,e" fillcolor="#5b9bd5" stroked="f" strokeweight="0">
                  <v:path arrowok="t" textboxrect="0,0,50292,50292"/>
                </v:shape>
                <v:shape id="Shape 41911" o:spid="_x0000_s2058" style="position:absolute;left:45389;top:1191;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75Y8cA&#10;AADeAAAADwAAAGRycy9kb3ducmV2LnhtbESP0UoDMRRE3wv+Q7hCX4rNtpRg16ZFBEGrFK1+wHVz&#10;3Q1ubrZJ7G7/3giFPg4zc4ZZbQbXiiOFaD1rmE0LEMSVN5ZrDZ8fjze3IGJCNth6Jg0nirBZX41W&#10;WBrf8zsd96kWGcKxRA1NSl0pZawachinviPO3rcPDlOWoZYmYJ/hrpXzolDSoeW80GBHDw1VP/tf&#10;p+FtO5HBqtfTs1zYr52KavvSH7QeXw/3dyASDekSPrefjIZFsVRL+L+Tr4B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4O+WPHAAAA3gAAAA8AAAAAAAAAAAAAAAAAmAIAAGRy&#10;cy9kb3ducmV2LnhtbFBLBQYAAAAABAAEAPUAAACMAwAAAAA=&#10;" path="m,50292r50292,l50292,,,,,50292xe" filled="f" strokecolor="white" strokeweight="1.56pt">
                  <v:path arrowok="t" textboxrect="0,0,50292,50292"/>
                </v:shape>
                <v:rect id="Rectangle 40972" o:spid="_x0000_s2059" style="position:absolute;left:46113;top:838;width:472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P/aMcA&#10;AADeAAAADwAAAGRycy9kb3ducmV2LnhtbESPT2vCQBTE74LfYXmCN90o0proKmJb9Fj/gHp7ZJ9J&#10;MPs2ZLcm9dO7hYLHYWZ+w8yXrSnFnWpXWFYwGkYgiFOrC84UHA9fgykI55E1lpZJwS85WC66nTkm&#10;2ja8o/veZyJA2CWoIPe+SqR0aU4G3dBWxMG72tqgD7LOpK6xCXBTynEUvUmDBYeFHCta55Te9j9G&#10;wWZarc5b+2iy8vOyOX2f4o9D7JXq99rVDISn1r/C/+2tVjCJ4vcx/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T/2jHAAAA3gAAAA8AAAAAAAAAAAAAAAAAmAIAAGRy&#10;cy9kb3ducmV2LnhtbFBLBQYAAAAABAAEAPUAAACMAwAAAAA=&#10;" filled="f" stroked="f">
                  <v:textbox inset="0,0,0,0">
                    <w:txbxContent>
                      <w:p w14:paraId="581E77AA" w14:textId="77777777" w:rsidR="0014164F" w:rsidRDefault="0014164F" w:rsidP="00FD116C">
                        <w:r>
                          <w:rPr>
                            <w:rFonts w:ascii="Arial" w:eastAsia="Arial" w:hAnsi="Arial" w:cs="Arial"/>
                            <w:color w:val="595959"/>
                            <w:sz w:val="16"/>
                          </w:rPr>
                          <w:t>Plastika</w:t>
                        </w:r>
                      </w:p>
                    </w:txbxContent>
                  </v:textbox>
                </v:rect>
                <v:shape id="Shape 922395" o:spid="_x0000_s2060" style="position:absolute;left:45389;top:266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V/KskA&#10;AADeAAAADwAAAGRycy9kb3ducmV2LnhtbESPQUsDMRSE7wX/Q3hCL2KzrVbr2rQUUaxQD9Yiensm&#10;r7uhm5clie3qrzeC0OMwM98w03nnGrGnEK1nBcNBAYJYe2O5UrB5fTifgIgJ2WDjmRR8U4T57KQ3&#10;xdL4A7/Qfp0qkSEcS1RQp9SWUkZdk8M48C1x9rY+OExZhkqagIcMd40cFcWVdGg5L9TY0l1Nerf+&#10;cgru3x/D2Yf++exW2trm+e3pwixbpfqn3eIWRKIuHcP/7aVRcFncXI/h706+AnL2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0V/KskAAADeAAAADwAAAAAAAAAAAAAAAACYAgAA&#10;ZHJzL2Rvd25yZXYueG1sUEsFBgAAAAAEAAQA9QAAAI4DAAAAAA==&#10;" path="m,l50292,r,51816l,51816,,e" fillcolor="#ed7d31" stroked="f" strokeweight="0">
                  <v:path arrowok="t" textboxrect="0,0,50292,51816"/>
                </v:shape>
                <v:shape id="Shape 41914" o:spid="_x0000_s2061" style="position:absolute;left:45389;top:266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x4W8IA&#10;AADeAAAADwAAAGRycy9kb3ducmV2LnhtbERP3WrCMBS+F3yHcITdaaqMWbumIu4HxRvt9gCH5qwp&#10;NielyTR7++VisMuP77/cRtuLG42+c6xguchAEDdOd9wq+Px4m+cgfEDW2DsmBT/kYVtNJyUW2t35&#10;Qrc6tCKFsC9QgQlhKKT0jSGLfuEG4sR9udFiSHBspR7xnsJtL1dZ9iQtdpwaDA60N9Rc62+r4BBz&#10;ed519enl3aPB1zyejhiVepjF3TOIQDH8i//cB63gMdus0950J10BWf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HHhbwgAAAN4AAAAPAAAAAAAAAAAAAAAAAJgCAABkcnMvZG93&#10;bnJldi54bWxQSwUGAAAAAAQABAD1AAAAhwMAAAAA&#10;" path="m,51816r50292,l50292,,,,,51816xe" filled="f" strokecolor="white" strokeweight="1.56pt">
                  <v:path arrowok="t" textboxrect="0,0,50292,51816"/>
                </v:shape>
                <v:rect id="Rectangle 40981" o:spid="_x0000_s2062" style="position:absolute;left:46113;top:2323;width:369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QROMYA&#10;AADeAAAADwAAAGRycy9kb3ducmV2LnhtbESPQWvCQBSE7wX/w/IEb3WjFEmiq4i26LFVQb09ss8k&#10;mH0bslsT/fXdguBxmJlvmNmiM5W4UeNKywpGwwgEcWZ1ybmCw/7rPQbhPLLGyjIpuJODxbz3NsNU&#10;25Z/6LbzuQgQdikqKLyvUyldVpBBN7Q1cfAutjHog2xyqRtsA9xUchxFE2mw5LBQYE2rgrLr7tco&#10;2MT18rS1jzavPs+b4/cxWe8Tr9Sg3y2nIDx1/hV+trdawUeUxCP4vx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JQROMYAAADeAAAADwAAAAAAAAAAAAAAAACYAgAAZHJz&#10;L2Rvd25yZXYueG1sUEsFBgAAAAAEAAQA9QAAAIsDAAAAAA==&#10;" filled="f" stroked="f">
                  <v:textbox inset="0,0,0,0">
                    <w:txbxContent>
                      <w:p w14:paraId="23E1A6E0" w14:textId="77777777" w:rsidR="0014164F" w:rsidRDefault="0014164F" w:rsidP="00FD116C">
                        <w:r>
                          <w:rPr>
                            <w:rFonts w:ascii="Arial" w:eastAsia="Arial" w:hAnsi="Arial" w:cs="Arial"/>
                            <w:color w:val="595959"/>
                            <w:sz w:val="16"/>
                          </w:rPr>
                          <w:t>Guma</w:t>
                        </w:r>
                      </w:p>
                    </w:txbxContent>
                  </v:textbox>
                </v:rect>
                <v:shape id="Shape 922396" o:spid="_x0000_s2063" style="position:absolute;left:45389;top:4163;width:503;height:502;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wqb8UA&#10;AADeAAAADwAAAGRycy9kb3ducmV2LnhtbESPQWvCQBSE74X+h+UJvYhuWqTY6CqlRfCaGJDeHtln&#10;NiT7Nuyumv57VxA8DjPzDbPejrYXF/KhdazgfZ6BIK6dbrlRUB12syWIEJE19o5JwT8F2G5eX9aY&#10;a3flgi5lbESCcMhRgYlxyKUMtSGLYe4G4uSdnLcYk/SN1B6vCW57+ZFln9Jiy2nB4EA/huquPFsF&#10;0Zjqt6FuWrnpeVf+FYXvjqNSb5PxewUi0hif4Ud7rxUssq/lAu530hWQm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PCpvxQAAAN4AAAAPAAAAAAAAAAAAAAAAAJgCAABkcnMv&#10;ZG93bnJldi54bWxQSwUGAAAAAAQABAD1AAAAigMAAAAA&#10;" path="m,l50292,r,50292l,50292,,e" fillcolor="#a5a5a5" stroked="f" strokeweight="0">
                  <v:path arrowok="t" textboxrect="0,0,50292,50292"/>
                </v:shape>
                <v:shape id="Shape 41917" o:spid="_x0000_s2064" style="position:absolute;left:45389;top:4163;width:503;height:502;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EucMgA&#10;AADeAAAADwAAAGRycy9kb3ducmV2LnhtbESP0WoCMRRE3wv+Q7iCL6VmFVnt1ihFKFgtxdp+wO3m&#10;djd0c7NNorv+fSMU+jjMzBlmue5tI87kg3GsYDLOQBCXThuuFHy8P90tQISIrLFxTAouFGC9Gtws&#10;sdCu4zc6H2MlEoRDgQrqGNtCylDWZDGMXUucvC/nLcYkfSW1xy7BbSOnWZZLi4bTQo0tbWoqv48n&#10;q+Cwu5Xe5C+XZzkzn695yHf77kep0bB/fAARqY//4b/2ViuYZfeLOVzvp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0S5wyAAAAN4AAAAPAAAAAAAAAAAAAAAAAJgCAABk&#10;cnMvZG93bnJldi54bWxQSwUGAAAAAAQABAD1AAAAjQMAAAAA&#10;" path="m,50292r50292,l50292,,,,,50292xe" filled="f" strokecolor="white" strokeweight="1.56pt">
                  <v:path arrowok="t" textboxrect="0,0,50292,50292"/>
                </v:shape>
                <v:rect id="Rectangle 40990" o:spid="_x0000_s2065" style="position:absolute;left:46113;top:3988;width:4282;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EifsYA&#10;AADeAAAADwAAAGRycy9kb3ducmV2LnhtbESPzWrCQBSF9wXfYbgFd3XSUsRERxHbkixbFdTdJXNN&#10;gjN3QmZqok/fWRRcHs4f32I1WCOu1PnGsYLXSQKCuHS64UrBfvf1MgPhA7JG45gU3MjDajl6WmCm&#10;Xc8/dN2GSsQR9hkqqENoMyl9WZNFP3EtcfTOrrMYouwqqTvs47g18i1JptJiw/GhxpY2NZWX7a9V&#10;kM/a9bFw974yn6f88H1IP3ZpUGr8PKznIAIN4RH+bxdawXuSphEg4kQU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EifsYAAADeAAAADwAAAAAAAAAAAAAAAACYAgAAZHJz&#10;L2Rvd25yZXYueG1sUEsFBgAAAAAEAAQA9QAAAIsDAAAAAA==&#10;" filled="f" stroked="f">
                  <v:textbox inset="0,0,0,0">
                    <w:txbxContent>
                      <w:p w14:paraId="7A797C93" w14:textId="77777777" w:rsidR="0014164F" w:rsidRDefault="0014164F" w:rsidP="00FD116C">
                        <w:r>
                          <w:rPr>
                            <w:rFonts w:ascii="Arial" w:eastAsia="Arial" w:hAnsi="Arial" w:cs="Arial"/>
                            <w:color w:val="595959"/>
                            <w:sz w:val="16"/>
                          </w:rPr>
                          <w:t>Odjeća</w:t>
                        </w:r>
                      </w:p>
                    </w:txbxContent>
                  </v:textbox>
                </v:rect>
                <v:shape id="Shape 922397" o:spid="_x0000_s2066" style="position:absolute;left:45389;top:5641;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cJsccA&#10;AADeAAAADwAAAGRycy9kb3ducmV2LnhtbESPT2vCQBTE70K/w/IK3nTTWoumrlKkUqEH/0Tw+si+&#10;JsHs25Bd4+qndwtCj8PM/IaZLYKpRUetqywreBkmIIhzqysuFByy1WACwnlkjbVlUnAlB4v5U2+G&#10;qbYX3lG394WIEHYpKii9b1IpXV6SQTe0DXH0fm1r0EfZFlK3eIlwU8vXJHmXBiuOCyU2tCwpP+3P&#10;RsGWj6es/tr8fC/D9tZlXRgXTVCq/xw+P0B4Cv4//GivtYK3ZDodwd+de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2HCbHHAAAA3gAAAA8AAAAAAAAAAAAAAAAAmAIAAGRy&#10;cy9kb3ducmV2LnhtbFBLBQYAAAAABAAEAPUAAACMAwAAAAA=&#10;" path="m,l50292,r,51816l,51816,,e" fillcolor="#ffc000" stroked="f" strokeweight="0">
                  <v:path arrowok="t" textboxrect="0,0,50292,51816"/>
                </v:shape>
                <v:shape id="Shape 41920" o:spid="_x0000_s2067" style="position:absolute;left:45389;top:5641;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OvSMQA&#10;AADeAAAADwAAAGRycy9kb3ducmV2LnhtbESP0WoCMRRE3wv+Q7hC32rWIrKuRhFbi8UXXf2Ay+a6&#10;WdzcLJtU49+bQqGPw8ycYRaraFtxo943jhWMRxkI4srphmsF59P2LQfhA7LG1jEpeJCH1XLwssBC&#10;uzsf6VaGWiQI+wIVmBC6QkpfGbLoR64jTt7F9RZDkn0tdY/3BLetfM+yqbTYcFow2NHGUHUtf6yC&#10;XczlYd2U+48vjwY/87j/xqjU6zCu5yACxfAf/mvvtIJJNptN4fdOug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Dr0jEAAAA3gAAAA8AAAAAAAAAAAAAAAAAmAIAAGRycy9k&#10;b3ducmV2LnhtbFBLBQYAAAAABAAEAPUAAACJAwAAAAA=&#10;" path="m,51816r50292,l50292,,,,,51816xe" filled="f" strokecolor="white" strokeweight="1.56pt">
                  <v:path arrowok="t" textboxrect="0,0,50292,51816"/>
                </v:shape>
                <v:rect id="Rectangle 40999" o:spid="_x0000_s2068" style="position:absolute;left:46113;top:5291;width:7276;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uL48YA&#10;AADeAAAADwAAAGRycy9kb3ducmV2LnhtbESPQWvCQBSE74L/YXlCb7qxSHGjq4it6NGqoN4e2WcS&#10;zL4N2a1J++vdQqHHYWa+YebLzlbiQY0vHWsYjxIQxJkzJecaTsfNcArCB2SDlWPS8E0elot+b46p&#10;cS1/0uMQchEh7FPUUIRQp1L6rCCLfuRq4ujdXGMxRNnk0jTYRrit5GuSvEmLJceFAmtaF5TdD19W&#10;w3Zary4799Pm1cd1e96f1ftRBa1fBt1qBiJQF/7Df+2d0TBJlFLweyde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uL48YAAADeAAAADwAAAAAAAAAAAAAAAACYAgAAZHJz&#10;L2Rvd25yZXYueG1sUEsFBgAAAAAEAAQA9QAAAIsDAAAAAA==&#10;" filled="f" stroked="f">
                  <v:textbox inset="0,0,0,0">
                    <w:txbxContent>
                      <w:p w14:paraId="0709DC2B" w14:textId="77777777" w:rsidR="0014164F" w:rsidRDefault="0014164F" w:rsidP="00FD116C">
                        <w:r>
                          <w:rPr>
                            <w:rFonts w:ascii="Arial" w:eastAsia="Arial" w:hAnsi="Arial" w:cs="Arial"/>
                            <w:color w:val="595959"/>
                            <w:sz w:val="16"/>
                          </w:rPr>
                          <w:t>Papir/karton</w:t>
                        </w:r>
                      </w:p>
                    </w:txbxContent>
                  </v:textbox>
                </v:rect>
                <v:shape id="Shape 922398" o:spid="_x0000_s2069" style="position:absolute;left:45389;top:711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V3rMUA&#10;AADeAAAADwAAAGRycy9kb3ducmV2LnhtbESPT2sCMRTE7wW/Q3hCbzXrotVujSJdFG/FP/T82Lxu&#10;FjcvSxJ1/fZGKPQ4zMxvmMWqt624kg+NYwXjUQaCuHK64VrB6bh5m4MIEVlj65gU3CnAajl4WWCh&#10;3Y33dD3EWiQIhwIVmBi7QspQGbIYRq4jTt6v8xZjkr6W2uMtwW0r8yx7lxYbTgsGO/oyVJ0PF6ug&#10;9pePbe6OfvpdTqTRpb2fyh+lXof9+hNEpD7+h//aO61gMs7yGTzvpCs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xXesxQAAAN4AAAAPAAAAAAAAAAAAAAAAAJgCAABkcnMv&#10;ZG93bnJldi54bWxQSwUGAAAAAAQABAD1AAAAigMAAAAA&#10;" path="m,l50292,r,51816l,51816,,e" fillcolor="#4472c4" stroked="f" strokeweight="0">
                  <v:path arrowok="t" textboxrect="0,0,50292,51816"/>
                </v:shape>
                <v:shape id="Shape 41923" o:spid="_x0000_s2070" style="position:absolute;left:45389;top:7119;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6UcEA&#10;AADeAAAADwAAAGRycy9kb3ducmV2LnhtbERPy4rCMBTdC/5DuMLsNFVESscoMj5wcKPVD7g0d5oy&#10;zU1pomb+frIQXB7Oe7mOthUP6n3jWMF0koEgrpxuuFZwu+7HOQgfkDW2jknBH3lYr4aDJRbaPflC&#10;jzLUIoWwL1CBCaErpPSVIYt+4jrixP243mJIsK+l7vGZwm0rZ1m2kBYbTg0GO/oyVP2Wd6vgGHN5&#10;3jTlaXvwaHCXx9M3RqU+RnHzCSJQDG/xy33UCubTbJb2pjvpCsjV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L+lHBAAAA3gAAAA8AAAAAAAAAAAAAAAAAmAIAAGRycy9kb3du&#10;cmV2LnhtbFBLBQYAAAAABAAEAPUAAACGAwAAAAA=&#10;" path="m,51816r50292,l50292,,,,,51816xe" filled="f" strokecolor="white" strokeweight="1.56pt">
                  <v:path arrowok="t" textboxrect="0,0,50292,51816"/>
                </v:shape>
                <v:rect id="Rectangle 41029" o:spid="_x0000_s2071" style="position:absolute;left:46113;top:6960;width:9018;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DvE8cA&#10;AADeAAAADwAAAGRycy9kb3ducmV2LnhtbESPQWvCQBSE7wX/w/KE3uomoRQTXUPQFj22Kqi3R/aZ&#10;BLNvQ3Zr0v76bqHQ4zAz3zDLfDStuFPvGssK4lkEgri0uuFKwfHw9jQH4TyyxtYyKfgiB/lq8rDE&#10;TNuBP+i+95UIEHYZKqi97zIpXVmTQTezHXHwrrY36IPsK6l7HALctDKJohdpsOGwUGNH65rK2/7T&#10;KNjOu+K8s99D1b5etqf3U7o5pF6px+lYLEB4Gv1/+K+90wqe4yhJ4f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g7xPHAAAA3gAAAA8AAAAAAAAAAAAAAAAAmAIAAGRy&#10;cy9kb3ducmV2LnhtbFBLBQYAAAAABAAEAPUAAACMAwAAAAA=&#10;" filled="f" stroked="f">
                  <v:textbox inset="0,0,0,0">
                    <w:txbxContent>
                      <w:p w14:paraId="3876773B" w14:textId="77777777" w:rsidR="0014164F" w:rsidRDefault="0014164F" w:rsidP="00FD116C">
                        <w:r>
                          <w:rPr>
                            <w:rFonts w:ascii="Arial" w:eastAsia="Arial" w:hAnsi="Arial" w:cs="Arial"/>
                            <w:color w:val="595959"/>
                            <w:sz w:val="16"/>
                          </w:rPr>
                          <w:t>Obrađeno drvo</w:t>
                        </w:r>
                      </w:p>
                    </w:txbxContent>
                  </v:textbox>
                </v:rect>
                <v:shape id="Shape 922399" o:spid="_x0000_s2072" style="position:absolute;left:45389;top:8613;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f8EcgA&#10;AADeAAAADwAAAGRycy9kb3ducmV2LnhtbESPXWvCMBSG7wf7D+EMvBGb6oZIZ5RtMD8QHFPBXh6a&#10;Y1tsTrom0/jvzcVgly/vF890HkwjLtS52rKCYZKCIC6srrlUcNh/DiYgnEfW2FgmBTdyMJ89Pkwx&#10;0/bK33TZ+VLEEXYZKqi8bzMpXVGRQZfYljh6J9sZ9FF2pdQdXuO4aeQoTcfSYM3xocKWPioqzrtf&#10;o2CT/0y2i/ezCev+4iscT8u8b5dK9Z7C2ysIT8H/h//aK63gZZg+R4CIE1FAzu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cl/wRyAAAAN4AAAAPAAAAAAAAAAAAAAAAAJgCAABk&#10;cnMvZG93bnJldi54bWxQSwUGAAAAAAQABAD1AAAAjQMAAAAA&#10;" path="m,l50292,r,50292l,50292,,e" fillcolor="#70ad47" stroked="f" strokeweight="0">
                  <v:path arrowok="t" textboxrect="0,0,50292,50292"/>
                </v:shape>
                <v:shape id="Shape 41926" o:spid="_x0000_s2073" style="position:absolute;left:45389;top:8613;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3b8cA&#10;AADeAAAADwAAAGRycy9kb3ducmV2LnhtbESP3UoDMRSE7wXfIRzBG2mzq2Upa9MiQqFWKf17gNPN&#10;cTe4OVmT2N2+vRGEXg4z8w0zWwy2FWfywThWkI8zEMSV04ZrBcfDcjQFESKyxtYxKbhQgMX89maG&#10;pXY97+i8j7VIEA4lKmhi7EopQ9WQxTB2HXHyPp23GJP0tdQe+wS3rXzMskJaNJwWGuzotaHqa/9j&#10;FWzXD9Kb4uPyJifmtClCsX7vv5W6vxtenkFEGuI1/N9eaQWTPHvK4e9Oug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vd2/HAAAA3gAAAA8AAAAAAAAAAAAAAAAAmAIAAGRy&#10;cy9kb3ducmV2LnhtbFBLBQYAAAAABAAEAPUAAACMAwAAAAA=&#10;" path="m,50292r50292,l50292,,,,,50292xe" filled="f" strokecolor="white" strokeweight="1.56pt">
                  <v:path arrowok="t" textboxrect="0,0,50292,50292"/>
                </v:shape>
                <v:rect id="Rectangle 41032" o:spid="_x0000_s2074" style="position:absolute;left:46113;top:8263;width:3301;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rv8cA&#10;AADeAAAADwAAAGRycy9kb3ducmV2LnhtbESPS4vCQBCE74L/YWjBm058sGh0FHF30eP6APXWZNok&#10;mOkJmVkT/fXOwoLHoqq+oubLxhTiTpXLLSsY9CMQxInVOacKjofv3gSE88gaC8uk4EEOlot2a46x&#10;tjXv6L73qQgQdjEqyLwvYyldkpFB17clcfCutjLog6xSqSusA9wUchhFH9JgzmEhw5LWGSW3/a9R&#10;sJmUq/PWPuu0+LpsTj+n6edh6pXqdprVDISnxr/D/+2tVjAeRKMh/N0JV0AuX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d67/HAAAA3gAAAA8AAAAAAAAAAAAAAAAAmAIAAGRy&#10;cy9kb3ducmV2LnhtbFBLBQYAAAAABAAEAPUAAACMAwAAAAA=&#10;" filled="f" stroked="f">
                  <v:textbox inset="0,0,0,0">
                    <w:txbxContent>
                      <w:p w14:paraId="3EFA6125" w14:textId="77777777" w:rsidR="0014164F" w:rsidRDefault="0014164F" w:rsidP="00FD116C">
                        <w:r>
                          <w:rPr>
                            <w:rFonts w:ascii="Arial" w:eastAsia="Arial" w:hAnsi="Arial" w:cs="Arial"/>
                            <w:color w:val="595959"/>
                            <w:sz w:val="16"/>
                          </w:rPr>
                          <w:t>Metal</w:t>
                        </w:r>
                      </w:p>
                    </w:txbxContent>
                  </v:textbox>
                </v:rect>
                <v:shape id="Shape 922400" o:spid="_x0000_s2075" style="position:absolute;left:45389;top:10091;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AGAMQA&#10;AADeAAAADwAAAGRycy9kb3ducmV2LnhtbESPT2sCMRTE7wW/Q3gFbzXrH7RsjSJiixcPru39sXnd&#10;BDcvS5Lq+u0bQfA4zMxvmOW6d624UIjWs4LxqABBXHttuVHwffp8ewcRE7LG1jMpuFGE9WrwssRS&#10;+ysf6VKlRmQIxxIVmJS6UspYG3IYR74jzt6vDw5TlqGROuA1w10rJ0Uxlw4t5wWDHW0N1efqzymw&#10;OtjZl6kW3NnDZDP/2cmz3Sk1fO03HyAS9ekZfrT3WsFsXEyncL+Tr4B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wBgDEAAAA3gAAAA8AAAAAAAAAAAAAAAAAmAIAAGRycy9k&#10;b3ducmV2LnhtbFBLBQYAAAAABAAEAPUAAACJAwAAAAA=&#10;" path="m,l50292,r,51816l,51816,,e" fillcolor="#255e91" stroked="f" strokeweight="0">
                  <v:path arrowok="t" textboxrect="0,0,50292,51816"/>
                </v:shape>
                <v:shape id="Shape 41929" o:spid="_x0000_s2076" style="position:absolute;left:45389;top:10091;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9micUA&#10;AADeAAAADwAAAGRycy9kb3ducmV2LnhtbESP3WoCMRSE74W+QzgF7zTrD2XZGkXUisUbXfsAh81x&#10;s7g5WTapxrdvCoVeDjPzDbNYRduKO/W+caxgMs5AEFdON1wr+Lp8jHIQPiBrbB2Tgid5WC1fBgss&#10;tHvwme5lqEWCsC9QgQmhK6T0lSGLfuw64uRdXW8xJNnXUvf4SHDbymmWvUmLDacFgx1tDFW38tsq&#10;OMRcntZNedzuPRrc5fH4iVGp4Wtcv4MIFMN/+K990Armk2w2h9876Qr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H2aJxQAAAN4AAAAPAAAAAAAAAAAAAAAAAJgCAABkcnMv&#10;ZG93bnJldi54bWxQSwUGAAAAAAQABAD1AAAAigMAAAAA&#10;" path="m,51816r50292,l50292,,,,,51816xe" filled="f" strokecolor="white" strokeweight="1.56pt">
                  <v:path arrowok="t" textboxrect="0,0,50292,51816"/>
                </v:shape>
                <v:rect id="Rectangle 41035" o:spid="_x0000_s2077" style="position:absolute;left:46113;top:9747;width:375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Rzy8gA&#10;AADeAAAADwAAAGRycy9kb3ducmV2LnhtbESPQWvCQBSE74L/YXlCb7qxtUVTV5FWSY42FtTbI/ua&#10;hGbfhuxq0v56Vyj0OMzMN8xy3ZtaXKl1lWUF00kEgji3uuJCwedhN56DcB5ZY22ZFPyQg/VqOFhi&#10;rG3HH3TNfCEChF2MCkrvm1hKl5dk0E1sQxy8L9sa9EG2hdQtdgFuavkYRS/SYMVhocSG3krKv7OL&#10;UZDMm80ptb9dUW/PyXF/XLwfFl6ph1G/eQXhqff/4b92qhXMptHTM9zvhCsgV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NHPLyAAAAN4AAAAPAAAAAAAAAAAAAAAAAJgCAABk&#10;cnMvZG93bnJldi54bWxQSwUGAAAAAAQABAD1AAAAjQMAAAAA&#10;" filled="f" stroked="f">
                  <v:textbox inset="0,0,0,0">
                    <w:txbxContent>
                      <w:p w14:paraId="5556A894" w14:textId="77777777" w:rsidR="0014164F" w:rsidRDefault="0014164F" w:rsidP="00FD116C">
                        <w:r>
                          <w:rPr>
                            <w:rFonts w:ascii="Arial" w:eastAsia="Arial" w:hAnsi="Arial" w:cs="Arial"/>
                            <w:color w:val="595959"/>
                            <w:sz w:val="16"/>
                          </w:rPr>
                          <w:t>Staklo</w:t>
                        </w:r>
                      </w:p>
                    </w:txbxContent>
                  </v:textbox>
                </v:rect>
                <v:shape id="Shape 922401" o:spid="_x0000_s2078" style="position:absolute;left:45389;top:11584;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jN9ckA&#10;AADeAAAADwAAAGRycy9kb3ducmV2LnhtbESPT2vCQBTE70K/w/IEL0U3tholukpRSj2I4r+Dt2f2&#10;mYRm34bsVuO37xYKHoeZ+Q0znTemFDeqXWFZQb8XgSBOrS44U3A8fHbHIJxH1lhaJgUPcjCfvbSm&#10;mGh75x3d9j4TAcIuQQW591UipUtzMuh6tiIO3tXWBn2QdSZ1jfcAN6V8i6JYGiw4LORY0SKn9Hv/&#10;YxRsNq+Lr8F2HQ/Pp8vq9Diu7XLklOq0m48JCE+Nf4b/2yutYNCP3mP4uxOugJz9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fYjN9ckAAADeAAAADwAAAAAAAAAAAAAAAACYAgAA&#10;ZHJzL2Rvd25yZXYueG1sUEsFBgAAAAAEAAQA9QAAAI4DAAAAAA==&#10;" path="m,l50292,r,50292l,50292,,e" fillcolor="#9e480e" stroked="f" strokeweight="0">
                  <v:path arrowok="t" textboxrect="0,0,50292,50292"/>
                </v:shape>
                <v:shape id="Shape 41932" o:spid="_x0000_s2079" style="position:absolute;left:45389;top:11584;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pKgMgA&#10;AADeAAAADwAAAGRycy9kb3ducmV2LnhtbESP0WoCMRRE3wv+Q7iFvhTN2spaVqOIUGi1lKr9gOvm&#10;dje4udkmqbv+fVMQ+jjMzBlmvuxtI87kg3GsYDzKQBCXThuuFHwenodPIEJE1tg4JgUXCrBcDG7m&#10;WGjX8Y7O+1iJBOFQoII6xraQMpQ1WQwj1xIn78t5izFJX0ntsUtw28iHLMulRcNpocaW1jWVp/2P&#10;VfCxuZfe5G+XVzkxx/c85Jtt963U3W2/moGI1Mf/8LX9ohVMxtnjFP7upCs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7SkqAyAAAAN4AAAAPAAAAAAAAAAAAAAAAAJgCAABk&#10;cnMvZG93bnJldi54bWxQSwUGAAAAAAQABAD1AAAAjQMAAAAA&#10;" path="m,50292r50292,l50292,,,,,50292xe" filled="f" strokecolor="white" strokeweight="1.56pt">
                  <v:path arrowok="t" textboxrect="0,0,50292,50292"/>
                </v:shape>
                <v:rect id="Rectangle 41038" o:spid="_x0000_s2080" style="position:absolute;left:46113;top:11234;width:5717;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XcVcUA&#10;AADeAAAADwAAAGRycy9kb3ducmV2LnhtbERPTWvCQBC9F/oflin0VjexpWh0DVJbkqNGQb0N2TEJ&#10;zc6G7Nak/fXuoeDx8b6X6WhacaXeNZYVxJMIBHFpdcOVgsP+62UGwnlkja1lUvBLDtLV48MSE20H&#10;3tG18JUIIewSVFB73yVSurImg25iO+LAXWxv0AfYV1L3OIRw08ppFL1Lgw2Hhho7+qip/C5+jIJs&#10;1q1Puf0bqvbznB23x/lmP/dKPT+N6wUIT6O/i//duVbwFkevYW+4E66A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NdxVxQAAAN4AAAAPAAAAAAAAAAAAAAAAAJgCAABkcnMv&#10;ZG93bnJldi54bWxQSwUGAAAAAAQABAD1AAAAigMAAAAA&#10;" filled="f" stroked="f">
                  <v:textbox inset="0,0,0,0">
                    <w:txbxContent>
                      <w:p w14:paraId="0038399C" w14:textId="77777777" w:rsidR="0014164F" w:rsidRDefault="0014164F" w:rsidP="00FD116C">
                        <w:r>
                          <w:rPr>
                            <w:rFonts w:ascii="Arial" w:eastAsia="Arial" w:hAnsi="Arial" w:cs="Arial"/>
                            <w:color w:val="595959"/>
                            <w:sz w:val="16"/>
                          </w:rPr>
                          <w:t>Keramika</w:t>
                        </w:r>
                      </w:p>
                    </w:txbxContent>
                  </v:textbox>
                </v:rect>
                <v:shape id="Shape 922402" o:spid="_x0000_s2081" style="position:absolute;left:45389;top:13063;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CUNcYA&#10;AADeAAAADwAAAGRycy9kb3ducmV2LnhtbESP0WoCMRRE3wX/IVyhb5rdVkRWo6hQWrB9WNsPuG6u&#10;2cXNzbqJmv59Uyj4OMzMGWa5jrYVN+p941hBPslAEFdON2wUfH+9jucgfEDW2DomBT/kYb0aDpZY&#10;aHfnkm6HYESCsC9QQR1CV0jpq5os+onriJN3cr3FkGRvpO7xnuC2lc9ZNpMWG04LNXa0q6k6H65W&#10;wQ73+9Pb1Vx4e5x9xNKWny8mKvU0ipsFiEAxPML/7XetYJpn0xz+7qQr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CUNcYAAADeAAAADwAAAAAAAAAAAAAAAACYAgAAZHJz&#10;L2Rvd25yZXYueG1sUEsFBgAAAAAEAAQA9QAAAIsDAAAAAA==&#10;" path="m,l50292,r,51816l,51816,,e" fillcolor="#636363" stroked="f" strokeweight="0">
                  <v:path arrowok="t" textboxrect="0,0,50292,51816"/>
                </v:shape>
                <v:shape id="Shape 41935" o:spid="_x0000_s2082" style="position:absolute;left:45389;top:13063;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kV9MQA&#10;AADeAAAADwAAAGRycy9kb3ducmV2LnhtbESPUWvCMBSF3wf+h3AF32bqKKNUo4hu4vDFdf6AS3Nt&#10;is1NaTLN/v0iCD4ezjnf4SxW0XbiSoNvHSuYTTMQxLXTLTcKTj+frwUIH5A1do5JwR95WC1HLwss&#10;tbvxN12r0IgEYV+iAhNCX0rpa0MW/dT1xMk7u8FiSHJopB7wluC2k29Z9i4ttpwWDPa0MVRfql+r&#10;YB8LeVy31WG782jwo4iHL4xKTcZxPQcRKIZn+NHeawX5LMtzuN9JV0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ZFfTEAAAA3gAAAA8AAAAAAAAAAAAAAAAAmAIAAGRycy9k&#10;b3ducmV2LnhtbFBLBQYAAAAABAAEAPUAAACJAwAAAAA=&#10;" path="m,51816r50292,l50292,,,,,51816xe" filled="f" strokecolor="white" strokeweight="1.56pt">
                  <v:path arrowok="t" textboxrect="0,0,50292,51816"/>
                </v:shape>
                <v:rect id="Rectangle 41047" o:spid="_x0000_s2083" style="position:absolute;left:46113;top:12719;width:9080;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w7WsYA&#10;AADeAAAADwAAAGRycy9kb3ducmV2LnhtbESPT4vCMBTE7wt+h/AEb2vqIq5Wo4ir6HH9A+rt0Tzb&#10;YvNSmmirn94sLHgcZuY3zGTWmELcqXK5ZQW9bgSCOLE651TBYb/6HIJwHlljYZkUPMjBbNr6mGCs&#10;bc1buu98KgKEXYwKMu/LWEqXZGTQdW1JHLyLrQz6IKtU6grrADeF/IqigTSYc1jIsKRFRsl1dzMK&#10;1sNyftrYZ50Wy/P6+Hsc/exHXqlOu5mPQXhq/Dv8395oBf1e1P+GvzvhCsjp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6w7WsYAAADeAAAADwAAAAAAAAAAAAAAAACYAgAAZHJz&#10;L2Rvd25yZXYueG1sUEsFBgAAAAAEAAQA9QAAAIsDAAAAAA==&#10;" filled="f" stroked="f">
                  <v:textbox inset="0,0,0,0">
                    <w:txbxContent>
                      <w:p w14:paraId="070F0C1A" w14:textId="77777777" w:rsidR="0014164F" w:rsidRDefault="0014164F" w:rsidP="00FD116C">
                        <w:r>
                          <w:rPr>
                            <w:rFonts w:ascii="Arial" w:eastAsia="Arial" w:hAnsi="Arial" w:cs="Arial"/>
                            <w:color w:val="595959"/>
                            <w:sz w:val="16"/>
                          </w:rPr>
                          <w:t>Sanitarni otpad</w:t>
                        </w:r>
                      </w:p>
                    </w:txbxContent>
                  </v:textbox>
                </v:rect>
                <v:shape id="Shape 922403" o:spid="_x0000_s2084" style="position:absolute;left:45389;top:14556;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9fMYA&#10;AADeAAAADwAAAGRycy9kb3ducmV2LnhtbESPy2rCQBSG9wXfYTiCuzpJaItER9GA1EVTqBXcHjMn&#10;F8ycCZkxSd++syh0+fPf+Da7ybRioN41lhXEywgEcWF1w5WCy/fxeQXCeWSNrWVS8EMOdtvZ0wZT&#10;bUf+ouHsKxFG2KWooPa+S6V0RU0G3dJ2xMErbW/QB9lXUvc4hnHTyiSK3qTBhsNDjR1lNRX388Mo&#10;WOWHvPzMJd7ek/wjO16Tx700Si3m034NwtPk/8N/7ZNW8BJHrwEg4AQUkN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v9fMYAAADeAAAADwAAAAAAAAAAAAAAAACYAgAAZHJz&#10;L2Rvd25yZXYueG1sUEsFBgAAAAAEAAQA9QAAAIsDAAAAAA==&#10;" path="m,l50292,r,50292l,50292,,e" fillcolor="#997300" stroked="f" strokeweight="0">
                  <v:path arrowok="t" textboxrect="0,0,50292,50292"/>
                </v:shape>
                <v:shape id="Shape 41938" o:spid="_x0000_s2085" style="position:absolute;left:45389;top:14556;width:503;height:503;visibility:visible;mso-wrap-style:square;v-text-anchor:top" coordsize="50292,502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6pI8gA&#10;AADeAAAADwAAAGRycy9kb3ducmV2LnhtbESP3UoDMRSE7wXfIRyhN6XNVtulrE2LCEJbRfrjAxw3&#10;x93g5mRN0u727Y1Q8HKYmW+Yxaq3jTiTD8axgsk4A0FcOm24UvBxfBnNQYSIrLFxTAouFGC1vL1Z&#10;YKFdx3s6H2IlEoRDgQrqGNtCylDWZDGMXUucvC/nLcYkfSW1xy7BbSPvsyyXFg2nhRpbeq6p/D6c&#10;rILddii9yd8uGzk1n+95yLev3Y9Sg7v+6RFEpD7+h6/ttVYwnWSzB/i7k66AX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ZrqkjyAAAAN4AAAAPAAAAAAAAAAAAAAAAAJgCAABk&#10;cnMvZG93bnJldi54bWxQSwUGAAAAAAQABAD1AAAAjQMAAAAA&#10;" path="m,50292r50292,l50292,,,,,50292xe" filled="f" strokecolor="white" strokeweight="1.56pt">
                  <v:path arrowok="t" textboxrect="0,0,50292,50292"/>
                </v:shape>
                <v:rect id="Rectangle 41056" o:spid="_x0000_s2086" style="position:absolute;left:46113;top:14204;width:10075;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kIHMgA&#10;AADeAAAADwAAAGRycy9kb3ducmV2LnhtbESPQWvCQBSE7wX/w/IKvdWNxUqMriLWYo41EWxvj+wz&#10;Cc2+DdmtSfvrXaHgcZiZb5jlejCNuFDnassKJuMIBHFhdc2lgmP+/hyDcB5ZY2OZFPySg/Vq9LDE&#10;RNueD3TJfCkChF2CCirv20RKV1Rk0I1tSxy8s+0M+iC7UuoO+wA3jXyJopk0WHNYqLClbUXFd/Zj&#10;FOzjdvOZ2r++bHZf+9PHaf6Wz71ST4/DZgHC0+Dv4f92qhVMJ9HrDG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OQgcyAAAAN4AAAAPAAAAAAAAAAAAAAAAAJgCAABk&#10;cnMvZG93bnJldi54bWxQSwUGAAAAAAQABAD1AAAAjQMAAAAA&#10;" filled="f" stroked="f">
                  <v:textbox inset="0,0,0,0">
                    <w:txbxContent>
                      <w:p w14:paraId="03959EDB" w14:textId="77777777" w:rsidR="0014164F" w:rsidRDefault="0014164F" w:rsidP="00FD116C">
                        <w:r>
                          <w:rPr>
                            <w:rFonts w:ascii="Arial" w:eastAsia="Arial" w:hAnsi="Arial" w:cs="Arial"/>
                            <w:color w:val="595959"/>
                            <w:sz w:val="16"/>
                          </w:rPr>
                          <w:t>Medicinski otpad</w:t>
                        </w:r>
                      </w:p>
                    </w:txbxContent>
                  </v:textbox>
                </v:rect>
                <v:shape id="Shape 922404" o:spid="_x0000_s2087" style="position:absolute;left:45389;top:16035;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1nsYA&#10;AADeAAAADwAAAGRycy9kb3ducmV2LnhtbESPQWvCQBSE74L/YXlCb7pJqVJTV9FCQGkvVaHX1+xr&#10;Nph9G7KbGP+9Wyh4HGbmG2a1GWwtemp95VhBOktAEBdOV1wqOJ/y6SsIH5A11o5JwY08bNbj0Qoz&#10;7a78Rf0xlCJC2GeowITQZFL6wpBFP3MNcfR+XWsxRNmWUrd4jXBby+ckWUiLFccFgw29Gyoux84q&#10;6C6mtx/f+mx/9rdq9znPtTukSj1Nhu0biEBDeIT/23ut4CVN5kv4uxOv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j1nsYAAADeAAAADwAAAAAAAAAAAAAAAACYAgAAZHJz&#10;L2Rvd25yZXYueG1sUEsFBgAAAAAEAAQA9QAAAIsDAAAAAA==&#10;" path="m,l50292,r,51816l,51816,,e" fillcolor="#264478" stroked="f" strokeweight="0">
                  <v:path arrowok="t" textboxrect="0,0,50292,51816"/>
                </v:shape>
                <v:shape id="Shape 41941" o:spid="_x0000_s2088" style="position:absolute;left:45389;top:16035;width:503;height:518;visibility:visible;mso-wrap-style:square;v-text-anchor:top" coordsize="50292,5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l0e8UA&#10;AADeAAAADwAAAGRycy9kb3ducmV2LnhtbESPzWrDMBCE74W+g9hCbo2cUIJxoxiTn5KSS+L2ARZr&#10;a5lYK2MpifL2VaGQ4zAz3zDLMtpeXGn0nWMFs2kGgrhxuuNWwffX7jUH4QOyxt4xKbiTh3L1/LTE&#10;Qrsbn+hah1YkCPsCFZgQhkJK3xiy6KduIE7ejxsthiTHVuoRbwlueznPsoW02HFaMDjQ2lBzri9W&#10;wT7m8lh19WHz4dHgNo+HT4xKTV5i9Q4iUAyP8H97rxW8zbLFHP7upC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CXR7xQAAAN4AAAAPAAAAAAAAAAAAAAAAAJgCAABkcnMv&#10;ZG93bnJldi54bWxQSwUGAAAAAAQABAD1AAAAigMAAAAA&#10;" path="m,51816r50292,l50292,,,,,51816xe" filled="f" strokecolor="white" strokeweight="1.56pt">
                  <v:path arrowok="t" textboxrect="0,0,50292,51816"/>
                </v:shape>
                <v:rect id="Rectangle 41065" o:spid="_x0000_s2089" style="position:absolute;left:46113;top:15688;width:8194;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dc1sgA&#10;AADeAAAADwAAAGRycy9kb3ducmV2LnhtbESPQWvCQBSE7wX/w/IKvdWNxUqMriLWYo41EWxvj+wz&#10;Cc2+DdmtSfvrXaHgcZiZb5jlejCNuFDnassKJuMIBHFhdc2lgmP+/hyDcB5ZY2OZFPySg/Vq9LDE&#10;RNueD3TJfCkChF2CCirv20RKV1Rk0I1tSxy8s+0M+iC7UuoO+wA3jXyJopk0WHNYqLClbUXFd/Zj&#10;FOzjdvOZ2r++bHZf+9PHaf6Wz71ST4/DZgHC0+Dv4f92qhVMJ9HsFW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h1zWyAAAAN4AAAAPAAAAAAAAAAAAAAAAAJgCAABk&#10;cnMvZG93bnJldi54bWxQSwUGAAAAAAQABAD1AAAAjQMAAAAA&#10;" filled="f" stroked="f">
                  <v:textbox inset="0,0,0,0">
                    <w:txbxContent>
                      <w:p w14:paraId="62D3BCB1" w14:textId="77777777" w:rsidR="0014164F" w:rsidRDefault="0014164F" w:rsidP="00FD116C">
                        <w:r>
                          <w:rPr>
                            <w:rFonts w:ascii="Arial" w:eastAsia="Arial" w:hAnsi="Arial" w:cs="Arial"/>
                            <w:color w:val="595959"/>
                            <w:sz w:val="16"/>
                          </w:rPr>
                          <w:t>Parafin/vosak</w:t>
                        </w:r>
                      </w:p>
                    </w:txbxContent>
                  </v:textbox>
                </v:rect>
                <w10:anchorlock/>
              </v:group>
            </w:pict>
          </mc:Fallback>
        </mc:AlternateContent>
      </w:r>
    </w:p>
    <w:p w14:paraId="1E51CC09" w14:textId="197F44F2" w:rsidR="006D5692" w:rsidRPr="006D5692" w:rsidRDefault="006D5692" w:rsidP="006D5692">
      <w:pPr>
        <w:rPr>
          <w:rFonts w:ascii="Arial" w:hAnsi="Arial" w:cs="Arial"/>
        </w:rPr>
      </w:pPr>
    </w:p>
    <w:p w14:paraId="430D3735" w14:textId="77777777" w:rsidR="006D5692" w:rsidRPr="006D5692" w:rsidRDefault="006D5692" w:rsidP="006D5692">
      <w:pPr>
        <w:rPr>
          <w:rFonts w:ascii="Arial" w:hAnsi="Arial" w:cs="Arial"/>
        </w:rPr>
      </w:pPr>
      <w:r w:rsidRPr="006D5692">
        <w:rPr>
          <w:rFonts w:ascii="Arial" w:hAnsi="Arial" w:cs="Arial"/>
        </w:rPr>
        <w:t xml:space="preserve"> </w:t>
      </w:r>
    </w:p>
    <w:p w14:paraId="23FDC95E" w14:textId="77777777" w:rsidR="006D5692" w:rsidRDefault="006D5692" w:rsidP="006D5692">
      <w:pPr>
        <w:rPr>
          <w:rFonts w:ascii="Arial" w:hAnsi="Arial" w:cs="Arial"/>
          <w:b/>
          <w:i/>
        </w:rPr>
      </w:pPr>
    </w:p>
    <w:p w14:paraId="6D0BC019" w14:textId="424C89D7" w:rsidR="006D5692" w:rsidRPr="006D5692" w:rsidRDefault="006D5692" w:rsidP="006D5692">
      <w:pPr>
        <w:pStyle w:val="Caption"/>
        <w:rPr>
          <w:rFonts w:ascii="Arial" w:hAnsi="Arial" w:cs="Arial"/>
          <w:b w:val="0"/>
          <w:i/>
        </w:rPr>
      </w:pPr>
      <w:r w:rsidRPr="003E4447">
        <w:rPr>
          <w:rFonts w:ascii="Arial" w:hAnsi="Arial" w:cs="Arial"/>
          <w:b w:val="0"/>
        </w:rPr>
        <w:t>Slika 11 Procentualna zastupljenost svih glavnih kategorija otpada na transektu dužine 100 m na Velikoj plaži na osnovu broja komada i težine sakupljenog otpada</w:t>
      </w:r>
      <w:r w:rsidRPr="006D5692">
        <w:rPr>
          <w:rFonts w:ascii="Arial" w:hAnsi="Arial" w:cs="Arial"/>
          <w:b w:val="0"/>
          <w:i/>
        </w:rPr>
        <w:t xml:space="preserve"> </w:t>
      </w:r>
    </w:p>
    <w:p w14:paraId="76D562BC" w14:textId="77777777" w:rsidR="006D5692" w:rsidRPr="006D5692" w:rsidRDefault="006D5692" w:rsidP="006D5692">
      <w:pPr>
        <w:rPr>
          <w:rFonts w:ascii="Arial" w:hAnsi="Arial" w:cs="Arial"/>
        </w:rPr>
      </w:pPr>
      <w:r w:rsidRPr="006D5692">
        <w:rPr>
          <w:rFonts w:ascii="Arial" w:hAnsi="Arial" w:cs="Arial"/>
        </w:rPr>
        <w:t xml:space="preserve"> </w:t>
      </w:r>
    </w:p>
    <w:p w14:paraId="7339B69D" w14:textId="55AD1229" w:rsidR="006D5692" w:rsidRPr="006F10A6" w:rsidRDefault="006D5692" w:rsidP="006F10A6">
      <w:pPr>
        <w:autoSpaceDE w:val="0"/>
        <w:autoSpaceDN w:val="0"/>
        <w:adjustRightInd w:val="0"/>
        <w:spacing w:before="120" w:after="120" w:line="360" w:lineRule="auto"/>
        <w:rPr>
          <w:rFonts w:ascii="Arial" w:hAnsi="Arial" w:cs="Arial"/>
          <w:lang w:val="sq-AL"/>
        </w:rPr>
      </w:pPr>
      <w:r w:rsidRPr="006F10A6">
        <w:rPr>
          <w:rFonts w:ascii="Arial" w:hAnsi="Arial" w:cs="Arial"/>
          <w:lang w:val="sq-AL"/>
        </w:rPr>
        <w:lastRenderedPageBreak/>
        <w:t xml:space="preserve">Prilikom obrade podkategorija u okviru navedenih glavnih kategorija otpada, analizirajući  brojnost otpada, dominantne kategorije su bile različite. Na Blatnoj plaži kao dominantna pod-kategorija po broju komada otpada izdvajaju se komadići plastike/polistirena veličine između 2.5 cm i 50cm (34 komada), zatim plastični poklopci i čepovi (17 komada) i plastične flaše za piće  (16 komada). </w:t>
      </w:r>
    </w:p>
    <w:p w14:paraId="081F89AB" w14:textId="610E6D49" w:rsidR="006D5692" w:rsidRPr="006F10A6" w:rsidRDefault="006D5692" w:rsidP="006F10A6">
      <w:pPr>
        <w:autoSpaceDE w:val="0"/>
        <w:autoSpaceDN w:val="0"/>
        <w:adjustRightInd w:val="0"/>
        <w:spacing w:before="120" w:after="120" w:line="360" w:lineRule="auto"/>
        <w:rPr>
          <w:rFonts w:ascii="Arial" w:hAnsi="Arial" w:cs="Arial"/>
          <w:lang w:val="sq-AL"/>
        </w:rPr>
      </w:pPr>
      <w:r w:rsidRPr="006F10A6">
        <w:rPr>
          <w:rFonts w:ascii="Arial" w:hAnsi="Arial" w:cs="Arial"/>
          <w:lang w:val="sq-AL"/>
        </w:rPr>
        <w:t>Najbrojniji komadi otpada na transektu dužine 100m na Blatnoj plaži</w:t>
      </w:r>
      <w:r w:rsidR="001C3525">
        <w:rPr>
          <w:rFonts w:ascii="Arial" w:hAnsi="Arial" w:cs="Arial"/>
          <w:lang w:val="sq-AL"/>
        </w:rPr>
        <w:t xml:space="preserve"> su:</w:t>
      </w:r>
    </w:p>
    <w:p w14:paraId="3CF11680" w14:textId="041FA969" w:rsidR="006D5692" w:rsidRPr="003E4447" w:rsidRDefault="006D5692" w:rsidP="003E4447">
      <w:pPr>
        <w:pStyle w:val="ListParagraph"/>
        <w:numPr>
          <w:ilvl w:val="0"/>
          <w:numId w:val="149"/>
        </w:numPr>
        <w:autoSpaceDE w:val="0"/>
        <w:autoSpaceDN w:val="0"/>
        <w:adjustRightInd w:val="0"/>
        <w:spacing w:before="120" w:after="120" w:line="360" w:lineRule="auto"/>
        <w:rPr>
          <w:rFonts w:ascii="Arial" w:hAnsi="Arial" w:cs="Arial"/>
          <w:lang w:val="sq-AL"/>
        </w:rPr>
      </w:pPr>
      <w:r w:rsidRPr="003E4447">
        <w:rPr>
          <w:rFonts w:ascii="Arial" w:hAnsi="Arial" w:cs="Arial"/>
          <w:lang w:val="sq-AL"/>
        </w:rPr>
        <w:t>Cipele i/sandale od v</w:t>
      </w:r>
      <w:r w:rsidR="001C3525" w:rsidRPr="003E4447">
        <w:rPr>
          <w:rFonts w:ascii="Arial" w:hAnsi="Arial" w:cs="Arial"/>
          <w:lang w:val="sq-AL"/>
        </w:rPr>
        <w:t>j</w:t>
      </w:r>
      <w:r w:rsidRPr="003E4447">
        <w:rPr>
          <w:rFonts w:ascii="Arial" w:hAnsi="Arial" w:cs="Arial"/>
          <w:lang w:val="sq-AL"/>
        </w:rPr>
        <w:t>eštačkog polimernog materijala</w:t>
      </w:r>
    </w:p>
    <w:p w14:paraId="07F8FAE1" w14:textId="77777777" w:rsidR="006D5692" w:rsidRPr="003E4447" w:rsidRDefault="006D5692" w:rsidP="003E4447">
      <w:pPr>
        <w:pStyle w:val="ListParagraph"/>
        <w:numPr>
          <w:ilvl w:val="0"/>
          <w:numId w:val="149"/>
        </w:numPr>
        <w:autoSpaceDE w:val="0"/>
        <w:autoSpaceDN w:val="0"/>
        <w:adjustRightInd w:val="0"/>
        <w:spacing w:before="120" w:after="120" w:line="360" w:lineRule="auto"/>
        <w:rPr>
          <w:rFonts w:ascii="Arial" w:hAnsi="Arial" w:cs="Arial"/>
          <w:lang w:val="sq-AL"/>
        </w:rPr>
      </w:pPr>
      <w:r w:rsidRPr="003E4447">
        <w:rPr>
          <w:rFonts w:ascii="Arial" w:hAnsi="Arial" w:cs="Arial"/>
          <w:lang w:val="sq-AL"/>
        </w:rPr>
        <w:t>Plastične čaše i poklopci</w:t>
      </w:r>
    </w:p>
    <w:p w14:paraId="75BD3D10" w14:textId="77777777" w:rsidR="006D5692" w:rsidRPr="003E4447" w:rsidRDefault="006D5692" w:rsidP="003E4447">
      <w:pPr>
        <w:pStyle w:val="ListParagraph"/>
        <w:numPr>
          <w:ilvl w:val="0"/>
          <w:numId w:val="149"/>
        </w:numPr>
        <w:autoSpaceDE w:val="0"/>
        <w:autoSpaceDN w:val="0"/>
        <w:adjustRightInd w:val="0"/>
        <w:spacing w:before="120" w:after="120" w:line="360" w:lineRule="auto"/>
        <w:rPr>
          <w:rFonts w:ascii="Arial" w:hAnsi="Arial" w:cs="Arial"/>
          <w:lang w:val="sq-AL"/>
        </w:rPr>
      </w:pPr>
      <w:r w:rsidRPr="003E4447">
        <w:rPr>
          <w:rFonts w:ascii="Arial" w:hAnsi="Arial" w:cs="Arial"/>
          <w:lang w:val="sq-AL"/>
        </w:rPr>
        <w:t>Pakovanja od čipsa, omoti od slatkiša, štapići od…</w:t>
      </w:r>
    </w:p>
    <w:p w14:paraId="77DC78E8" w14:textId="77777777" w:rsidR="006D5692" w:rsidRPr="003E4447" w:rsidRDefault="006D5692" w:rsidP="003E4447">
      <w:pPr>
        <w:pStyle w:val="ListParagraph"/>
        <w:numPr>
          <w:ilvl w:val="0"/>
          <w:numId w:val="149"/>
        </w:numPr>
        <w:autoSpaceDE w:val="0"/>
        <w:autoSpaceDN w:val="0"/>
        <w:adjustRightInd w:val="0"/>
        <w:spacing w:before="120" w:after="120" w:line="360" w:lineRule="auto"/>
        <w:rPr>
          <w:rFonts w:ascii="Arial" w:hAnsi="Arial" w:cs="Arial"/>
          <w:lang w:val="sq-AL"/>
        </w:rPr>
      </w:pPr>
      <w:r w:rsidRPr="003E4447">
        <w:rPr>
          <w:rFonts w:ascii="Arial" w:hAnsi="Arial" w:cs="Arial"/>
          <w:lang w:val="sq-AL"/>
        </w:rPr>
        <w:t>Flaše i bidoni za motorna ulja &lt;50cm</w:t>
      </w:r>
    </w:p>
    <w:p w14:paraId="60176446" w14:textId="77777777" w:rsidR="006D5692" w:rsidRPr="003E4447" w:rsidRDefault="006D5692" w:rsidP="003E4447">
      <w:pPr>
        <w:pStyle w:val="ListParagraph"/>
        <w:numPr>
          <w:ilvl w:val="0"/>
          <w:numId w:val="149"/>
        </w:numPr>
        <w:autoSpaceDE w:val="0"/>
        <w:autoSpaceDN w:val="0"/>
        <w:adjustRightInd w:val="0"/>
        <w:spacing w:before="120" w:after="120" w:line="360" w:lineRule="auto"/>
        <w:rPr>
          <w:rFonts w:ascii="Arial" w:hAnsi="Arial" w:cs="Arial"/>
          <w:lang w:val="sq-AL"/>
        </w:rPr>
      </w:pPr>
      <w:r w:rsidRPr="003E4447">
        <w:rPr>
          <w:rFonts w:ascii="Arial" w:hAnsi="Arial" w:cs="Arial"/>
          <w:lang w:val="sq-AL"/>
        </w:rPr>
        <w:t>Posude za hranu,uključujući i pakovanja (fast food)</w:t>
      </w:r>
    </w:p>
    <w:p w14:paraId="7C6EC557" w14:textId="77777777" w:rsidR="006D5692" w:rsidRPr="003E4447" w:rsidRDefault="006D5692" w:rsidP="003E4447">
      <w:pPr>
        <w:pStyle w:val="ListParagraph"/>
        <w:numPr>
          <w:ilvl w:val="0"/>
          <w:numId w:val="149"/>
        </w:numPr>
        <w:autoSpaceDE w:val="0"/>
        <w:autoSpaceDN w:val="0"/>
        <w:adjustRightInd w:val="0"/>
        <w:spacing w:before="120" w:after="120" w:line="360" w:lineRule="auto"/>
        <w:rPr>
          <w:rFonts w:ascii="Arial" w:hAnsi="Arial" w:cs="Arial"/>
          <w:lang w:val="sq-AL"/>
        </w:rPr>
      </w:pPr>
      <w:r w:rsidRPr="003E4447">
        <w:rPr>
          <w:rFonts w:ascii="Arial" w:hAnsi="Arial" w:cs="Arial"/>
          <w:lang w:val="sq-AL"/>
        </w:rPr>
        <w:t>Staklene flaše i djelovi</w:t>
      </w:r>
    </w:p>
    <w:p w14:paraId="40959ABC" w14:textId="77777777" w:rsidR="006D5692" w:rsidRPr="003E4447" w:rsidRDefault="006D5692" w:rsidP="003E4447">
      <w:pPr>
        <w:pStyle w:val="ListParagraph"/>
        <w:numPr>
          <w:ilvl w:val="0"/>
          <w:numId w:val="149"/>
        </w:numPr>
        <w:autoSpaceDE w:val="0"/>
        <w:autoSpaceDN w:val="0"/>
        <w:adjustRightInd w:val="0"/>
        <w:spacing w:before="120" w:after="120" w:line="360" w:lineRule="auto"/>
        <w:rPr>
          <w:rFonts w:ascii="Arial" w:hAnsi="Arial" w:cs="Arial"/>
          <w:lang w:val="sq-AL"/>
        </w:rPr>
      </w:pPr>
      <w:r w:rsidRPr="003E4447">
        <w:rPr>
          <w:rFonts w:ascii="Arial" w:hAnsi="Arial" w:cs="Arial"/>
          <w:lang w:val="sq-AL"/>
        </w:rPr>
        <w:t>Drugi plastični otpad (neidentifikovan) uključujući i… Plastične flaše za pića</w:t>
      </w:r>
    </w:p>
    <w:p w14:paraId="1BC64241" w14:textId="0D50C6C3" w:rsidR="006D5692" w:rsidRPr="001C3525" w:rsidRDefault="006D5692" w:rsidP="003E4447">
      <w:pPr>
        <w:pStyle w:val="ListParagraph"/>
        <w:numPr>
          <w:ilvl w:val="0"/>
          <w:numId w:val="149"/>
        </w:numPr>
        <w:autoSpaceDE w:val="0"/>
        <w:autoSpaceDN w:val="0"/>
        <w:adjustRightInd w:val="0"/>
        <w:spacing w:before="120" w:after="120" w:line="360" w:lineRule="auto"/>
        <w:rPr>
          <w:rFonts w:ascii="Arial" w:hAnsi="Arial" w:cs="Arial"/>
          <w:lang w:val="sq-AL"/>
        </w:rPr>
      </w:pPr>
      <w:r w:rsidRPr="003E4447">
        <w:rPr>
          <w:rFonts w:ascii="Arial" w:hAnsi="Arial" w:cs="Arial"/>
          <w:lang w:val="sq-AL"/>
        </w:rPr>
        <w:t xml:space="preserve">Plastični poklopci i čepovi </w:t>
      </w:r>
      <w:r w:rsidRPr="001C3525">
        <w:rPr>
          <w:rFonts w:ascii="Arial" w:hAnsi="Arial" w:cs="Arial"/>
          <w:lang w:val="sq-AL"/>
        </w:rPr>
        <w:t>Plastični djelovi 2.5 - 50 cm</w:t>
      </w:r>
    </w:p>
    <w:p w14:paraId="1219B67A" w14:textId="6EE5EF85" w:rsidR="006D5692" w:rsidRPr="006D5692" w:rsidRDefault="006D5692" w:rsidP="00F66AE0">
      <w:pPr>
        <w:autoSpaceDE w:val="0"/>
        <w:autoSpaceDN w:val="0"/>
        <w:adjustRightInd w:val="0"/>
        <w:spacing w:before="120" w:after="120" w:line="360" w:lineRule="auto"/>
        <w:rPr>
          <w:rFonts w:ascii="Arial" w:hAnsi="Arial" w:cs="Arial"/>
        </w:rPr>
      </w:pPr>
      <w:r w:rsidRPr="006F10A6">
        <w:rPr>
          <w:rFonts w:ascii="Arial" w:hAnsi="Arial" w:cs="Arial"/>
          <w:lang w:val="sq-AL"/>
        </w:rPr>
        <w:tab/>
      </w:r>
    </w:p>
    <w:p w14:paraId="7F7A1C1E" w14:textId="77777777" w:rsidR="006D5692" w:rsidRPr="006D5692" w:rsidRDefault="006D5692" w:rsidP="006D5692">
      <w:pPr>
        <w:rPr>
          <w:rFonts w:ascii="Arial" w:hAnsi="Arial" w:cs="Arial"/>
        </w:rPr>
      </w:pPr>
      <w:r w:rsidRPr="006D5692">
        <w:rPr>
          <w:rFonts w:ascii="Arial" w:hAnsi="Arial" w:cs="Arial"/>
        </w:rPr>
        <w:t xml:space="preserve"> </w:t>
      </w:r>
    </w:p>
    <w:p w14:paraId="0A9594C7" w14:textId="0E201C00" w:rsidR="006D5692" w:rsidRDefault="006D5692" w:rsidP="006F10A6">
      <w:pPr>
        <w:autoSpaceDE w:val="0"/>
        <w:autoSpaceDN w:val="0"/>
        <w:adjustRightInd w:val="0"/>
        <w:spacing w:before="120" w:after="120" w:line="360" w:lineRule="auto"/>
        <w:rPr>
          <w:rFonts w:ascii="Arial" w:hAnsi="Arial" w:cs="Arial"/>
          <w:lang w:val="sq-AL"/>
        </w:rPr>
      </w:pPr>
      <w:r w:rsidRPr="006F10A6">
        <w:rPr>
          <w:rFonts w:ascii="Arial" w:hAnsi="Arial" w:cs="Arial"/>
          <w:lang w:val="sq-AL"/>
        </w:rPr>
        <w:t>Dominantna podkateg</w:t>
      </w:r>
      <w:r w:rsidR="00F66AE0">
        <w:rPr>
          <w:rFonts w:ascii="Arial" w:hAnsi="Arial" w:cs="Arial"/>
          <w:lang w:val="sq-AL"/>
        </w:rPr>
        <w:t>ori</w:t>
      </w:r>
      <w:r w:rsidRPr="006F10A6">
        <w:rPr>
          <w:rFonts w:ascii="Arial" w:hAnsi="Arial" w:cs="Arial"/>
          <w:lang w:val="sq-AL"/>
        </w:rPr>
        <w:t xml:space="preserve">ja otpada (na osnovu brojnosti) na transektu na plaži Jaz bile su limenke od pića (47 komada), a pored njih kao brojnija podkategorija izdvajaju se plastične flaše za piće (21 komad). </w:t>
      </w:r>
    </w:p>
    <w:p w14:paraId="1B14F5A3" w14:textId="77777777" w:rsidR="00F66AE0" w:rsidRPr="006F10A6" w:rsidRDefault="00F66AE0" w:rsidP="006F10A6">
      <w:pPr>
        <w:autoSpaceDE w:val="0"/>
        <w:autoSpaceDN w:val="0"/>
        <w:adjustRightInd w:val="0"/>
        <w:spacing w:before="120" w:after="120" w:line="360" w:lineRule="auto"/>
        <w:rPr>
          <w:rFonts w:ascii="Arial" w:hAnsi="Arial" w:cs="Arial"/>
          <w:lang w:val="sq-AL"/>
        </w:rPr>
      </w:pPr>
    </w:p>
    <w:p w14:paraId="652B169E" w14:textId="77777777" w:rsidR="006D5692" w:rsidRPr="006D5692" w:rsidRDefault="006D5692" w:rsidP="006D5692">
      <w:pPr>
        <w:rPr>
          <w:rFonts w:ascii="Arial" w:hAnsi="Arial" w:cs="Arial"/>
        </w:rPr>
      </w:pPr>
      <w:r w:rsidRPr="006D5692">
        <w:rPr>
          <w:rFonts w:ascii="Arial" w:hAnsi="Arial" w:cs="Arial"/>
          <w:noProof/>
          <w:lang w:val="en-US"/>
        </w:rPr>
        <mc:AlternateContent>
          <mc:Choice Requires="wpg">
            <w:drawing>
              <wp:inline distT="0" distB="0" distL="0" distR="0" wp14:anchorId="6304056B" wp14:editId="0A35C789">
                <wp:extent cx="5359298" cy="2549955"/>
                <wp:effectExtent l="0" t="0" r="13335" b="0"/>
                <wp:docPr id="762778" name="Group 762778"/>
                <wp:cNvGraphicFramePr/>
                <a:graphic xmlns:a="http://schemas.openxmlformats.org/drawingml/2006/main">
                  <a:graphicData uri="http://schemas.microsoft.com/office/word/2010/wordprocessingGroup">
                    <wpg:wgp>
                      <wpg:cNvGrpSpPr/>
                      <wpg:grpSpPr>
                        <a:xfrm>
                          <a:off x="0" y="0"/>
                          <a:ext cx="5359298" cy="2549955"/>
                          <a:chOff x="0" y="20228"/>
                          <a:chExt cx="5359298" cy="2549955"/>
                        </a:xfrm>
                      </wpg:grpSpPr>
                      <wps:wsp>
                        <wps:cNvPr id="42656" name="Shape 42656"/>
                        <wps:cNvSpPr/>
                        <wps:spPr>
                          <a:xfrm>
                            <a:off x="221894" y="1786573"/>
                            <a:ext cx="5137404" cy="0"/>
                          </a:xfrm>
                          <a:custGeom>
                            <a:avLst/>
                            <a:gdLst/>
                            <a:ahLst/>
                            <a:cxnLst/>
                            <a:rect l="0" t="0" r="0" b="0"/>
                            <a:pathLst>
                              <a:path w="5137404">
                                <a:moveTo>
                                  <a:pt x="0" y="0"/>
                                </a:moveTo>
                                <a:lnTo>
                                  <a:pt x="51374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42657" name="Shape 42657"/>
                        <wps:cNvSpPr/>
                        <wps:spPr>
                          <a:xfrm>
                            <a:off x="221894" y="1486345"/>
                            <a:ext cx="5137404" cy="0"/>
                          </a:xfrm>
                          <a:custGeom>
                            <a:avLst/>
                            <a:gdLst/>
                            <a:ahLst/>
                            <a:cxnLst/>
                            <a:rect l="0" t="0" r="0" b="0"/>
                            <a:pathLst>
                              <a:path w="5137404">
                                <a:moveTo>
                                  <a:pt x="0" y="0"/>
                                </a:moveTo>
                                <a:lnTo>
                                  <a:pt x="51374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42658" name="Shape 42658"/>
                        <wps:cNvSpPr/>
                        <wps:spPr>
                          <a:xfrm>
                            <a:off x="221894" y="1186117"/>
                            <a:ext cx="5137404" cy="0"/>
                          </a:xfrm>
                          <a:custGeom>
                            <a:avLst/>
                            <a:gdLst/>
                            <a:ahLst/>
                            <a:cxnLst/>
                            <a:rect l="0" t="0" r="0" b="0"/>
                            <a:pathLst>
                              <a:path w="5137404">
                                <a:moveTo>
                                  <a:pt x="0" y="0"/>
                                </a:moveTo>
                                <a:lnTo>
                                  <a:pt x="51374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42659" name="Shape 42659"/>
                        <wps:cNvSpPr/>
                        <wps:spPr>
                          <a:xfrm>
                            <a:off x="221894" y="887413"/>
                            <a:ext cx="5137404" cy="0"/>
                          </a:xfrm>
                          <a:custGeom>
                            <a:avLst/>
                            <a:gdLst/>
                            <a:ahLst/>
                            <a:cxnLst/>
                            <a:rect l="0" t="0" r="0" b="0"/>
                            <a:pathLst>
                              <a:path w="5137404">
                                <a:moveTo>
                                  <a:pt x="0" y="0"/>
                                </a:moveTo>
                                <a:lnTo>
                                  <a:pt x="51374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42660" name="Shape 42660"/>
                        <wps:cNvSpPr/>
                        <wps:spPr>
                          <a:xfrm>
                            <a:off x="221894" y="587185"/>
                            <a:ext cx="5137404" cy="0"/>
                          </a:xfrm>
                          <a:custGeom>
                            <a:avLst/>
                            <a:gdLst/>
                            <a:ahLst/>
                            <a:cxnLst/>
                            <a:rect l="0" t="0" r="0" b="0"/>
                            <a:pathLst>
                              <a:path w="5137404">
                                <a:moveTo>
                                  <a:pt x="0" y="0"/>
                                </a:moveTo>
                                <a:lnTo>
                                  <a:pt x="51374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42661" name="Shape 42661"/>
                        <wps:cNvSpPr/>
                        <wps:spPr>
                          <a:xfrm>
                            <a:off x="221894" y="286957"/>
                            <a:ext cx="5137404" cy="0"/>
                          </a:xfrm>
                          <a:custGeom>
                            <a:avLst/>
                            <a:gdLst/>
                            <a:ahLst/>
                            <a:cxnLst/>
                            <a:rect l="0" t="0" r="0" b="0"/>
                            <a:pathLst>
                              <a:path w="5137404">
                                <a:moveTo>
                                  <a:pt x="0" y="0"/>
                                </a:moveTo>
                                <a:lnTo>
                                  <a:pt x="51374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922471" name="Shape 922471"/>
                        <wps:cNvSpPr/>
                        <wps:spPr>
                          <a:xfrm>
                            <a:off x="2954427" y="2027365"/>
                            <a:ext cx="149352" cy="59436"/>
                          </a:xfrm>
                          <a:custGeom>
                            <a:avLst/>
                            <a:gdLst/>
                            <a:ahLst/>
                            <a:cxnLst/>
                            <a:rect l="0" t="0" r="0" b="0"/>
                            <a:pathLst>
                              <a:path w="149352" h="59436">
                                <a:moveTo>
                                  <a:pt x="0" y="0"/>
                                </a:moveTo>
                                <a:lnTo>
                                  <a:pt x="149352" y="0"/>
                                </a:lnTo>
                                <a:lnTo>
                                  <a:pt x="149352" y="59436"/>
                                </a:lnTo>
                                <a:lnTo>
                                  <a:pt x="0" y="59436"/>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922472" name="Shape 922472"/>
                        <wps:cNvSpPr/>
                        <wps:spPr>
                          <a:xfrm>
                            <a:off x="1241450" y="2027365"/>
                            <a:ext cx="149352" cy="59436"/>
                          </a:xfrm>
                          <a:custGeom>
                            <a:avLst/>
                            <a:gdLst/>
                            <a:ahLst/>
                            <a:cxnLst/>
                            <a:rect l="0" t="0" r="0" b="0"/>
                            <a:pathLst>
                              <a:path w="149352" h="59436">
                                <a:moveTo>
                                  <a:pt x="0" y="0"/>
                                </a:moveTo>
                                <a:lnTo>
                                  <a:pt x="149352" y="0"/>
                                </a:lnTo>
                                <a:lnTo>
                                  <a:pt x="149352" y="59436"/>
                                </a:lnTo>
                                <a:lnTo>
                                  <a:pt x="0" y="59436"/>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922473" name="Shape 922473"/>
                        <wps:cNvSpPr/>
                        <wps:spPr>
                          <a:xfrm>
                            <a:off x="384962" y="587185"/>
                            <a:ext cx="149352" cy="1499616"/>
                          </a:xfrm>
                          <a:custGeom>
                            <a:avLst/>
                            <a:gdLst/>
                            <a:ahLst/>
                            <a:cxnLst/>
                            <a:rect l="0" t="0" r="0" b="0"/>
                            <a:pathLst>
                              <a:path w="149352" h="1499616">
                                <a:moveTo>
                                  <a:pt x="0" y="0"/>
                                </a:moveTo>
                                <a:lnTo>
                                  <a:pt x="149352" y="0"/>
                                </a:lnTo>
                                <a:lnTo>
                                  <a:pt x="149352" y="1499616"/>
                                </a:lnTo>
                                <a:lnTo>
                                  <a:pt x="0" y="1499616"/>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922474" name="Shape 922474"/>
                        <wps:cNvSpPr/>
                        <wps:spPr>
                          <a:xfrm>
                            <a:off x="3143403" y="2027365"/>
                            <a:ext cx="149352" cy="59436"/>
                          </a:xfrm>
                          <a:custGeom>
                            <a:avLst/>
                            <a:gdLst/>
                            <a:ahLst/>
                            <a:cxnLst/>
                            <a:rect l="0" t="0" r="0" b="0"/>
                            <a:pathLst>
                              <a:path w="149352" h="59436">
                                <a:moveTo>
                                  <a:pt x="0" y="0"/>
                                </a:moveTo>
                                <a:lnTo>
                                  <a:pt x="149352" y="0"/>
                                </a:lnTo>
                                <a:lnTo>
                                  <a:pt x="149352" y="59436"/>
                                </a:lnTo>
                                <a:lnTo>
                                  <a:pt x="0" y="5943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922475" name="Shape 922475"/>
                        <wps:cNvSpPr/>
                        <wps:spPr>
                          <a:xfrm>
                            <a:off x="1430427" y="2027365"/>
                            <a:ext cx="150876" cy="59436"/>
                          </a:xfrm>
                          <a:custGeom>
                            <a:avLst/>
                            <a:gdLst/>
                            <a:ahLst/>
                            <a:cxnLst/>
                            <a:rect l="0" t="0" r="0" b="0"/>
                            <a:pathLst>
                              <a:path w="150876" h="59436">
                                <a:moveTo>
                                  <a:pt x="0" y="0"/>
                                </a:moveTo>
                                <a:lnTo>
                                  <a:pt x="150876" y="0"/>
                                </a:lnTo>
                                <a:lnTo>
                                  <a:pt x="150876" y="59436"/>
                                </a:lnTo>
                                <a:lnTo>
                                  <a:pt x="0" y="5943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922476" name="Shape 922476"/>
                        <wps:cNvSpPr/>
                        <wps:spPr>
                          <a:xfrm>
                            <a:off x="575462" y="1486345"/>
                            <a:ext cx="149352" cy="600456"/>
                          </a:xfrm>
                          <a:custGeom>
                            <a:avLst/>
                            <a:gdLst/>
                            <a:ahLst/>
                            <a:cxnLst/>
                            <a:rect l="0" t="0" r="0" b="0"/>
                            <a:pathLst>
                              <a:path w="149352" h="600456">
                                <a:moveTo>
                                  <a:pt x="0" y="0"/>
                                </a:moveTo>
                                <a:lnTo>
                                  <a:pt x="149352" y="0"/>
                                </a:lnTo>
                                <a:lnTo>
                                  <a:pt x="149352" y="600456"/>
                                </a:lnTo>
                                <a:lnTo>
                                  <a:pt x="0" y="600456"/>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922477" name="Shape 922477"/>
                        <wps:cNvSpPr/>
                        <wps:spPr>
                          <a:xfrm>
                            <a:off x="3333903" y="1966405"/>
                            <a:ext cx="149352" cy="120397"/>
                          </a:xfrm>
                          <a:custGeom>
                            <a:avLst/>
                            <a:gdLst/>
                            <a:ahLst/>
                            <a:cxnLst/>
                            <a:rect l="0" t="0" r="0" b="0"/>
                            <a:pathLst>
                              <a:path w="149352" h="120397">
                                <a:moveTo>
                                  <a:pt x="0" y="0"/>
                                </a:moveTo>
                                <a:lnTo>
                                  <a:pt x="149352" y="0"/>
                                </a:lnTo>
                                <a:lnTo>
                                  <a:pt x="149352" y="120397"/>
                                </a:lnTo>
                                <a:lnTo>
                                  <a:pt x="0" y="120397"/>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922478" name="Shape 922478"/>
                        <wps:cNvSpPr/>
                        <wps:spPr>
                          <a:xfrm>
                            <a:off x="764438" y="1786573"/>
                            <a:ext cx="149352" cy="300228"/>
                          </a:xfrm>
                          <a:custGeom>
                            <a:avLst/>
                            <a:gdLst/>
                            <a:ahLst/>
                            <a:cxnLst/>
                            <a:rect l="0" t="0" r="0" b="0"/>
                            <a:pathLst>
                              <a:path w="149352" h="300228">
                                <a:moveTo>
                                  <a:pt x="0" y="0"/>
                                </a:moveTo>
                                <a:lnTo>
                                  <a:pt x="149352" y="0"/>
                                </a:lnTo>
                                <a:lnTo>
                                  <a:pt x="149352" y="300228"/>
                                </a:lnTo>
                                <a:lnTo>
                                  <a:pt x="0" y="300228"/>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2670" name="Shape 42670"/>
                        <wps:cNvSpPr/>
                        <wps:spPr>
                          <a:xfrm>
                            <a:off x="221894" y="2086801"/>
                            <a:ext cx="5137404" cy="0"/>
                          </a:xfrm>
                          <a:custGeom>
                            <a:avLst/>
                            <a:gdLst/>
                            <a:ahLst/>
                            <a:cxnLst/>
                            <a:rect l="0" t="0" r="0" b="0"/>
                            <a:pathLst>
                              <a:path w="5137404">
                                <a:moveTo>
                                  <a:pt x="0" y="0"/>
                                </a:moveTo>
                                <a:lnTo>
                                  <a:pt x="5137404" y="0"/>
                                </a:lnTo>
                              </a:path>
                            </a:pathLst>
                          </a:custGeom>
                          <a:ln w="9144" cap="flat">
                            <a:round/>
                          </a:ln>
                        </wps:spPr>
                        <wps:style>
                          <a:lnRef idx="1">
                            <a:srgbClr val="D9D9D9"/>
                          </a:lnRef>
                          <a:fillRef idx="0">
                            <a:srgbClr val="000000">
                              <a:alpha val="0"/>
                            </a:srgbClr>
                          </a:fillRef>
                          <a:effectRef idx="0">
                            <a:scrgbClr r="0" g="0" b="0"/>
                          </a:effectRef>
                          <a:fontRef idx="none"/>
                        </wps:style>
                        <wps:bodyPr/>
                      </wps:wsp>
                      <wps:wsp>
                        <wps:cNvPr id="42671" name="Rectangle 42671"/>
                        <wps:cNvSpPr/>
                        <wps:spPr>
                          <a:xfrm>
                            <a:off x="57912" y="2033715"/>
                            <a:ext cx="77074" cy="154840"/>
                          </a:xfrm>
                          <a:prstGeom prst="rect">
                            <a:avLst/>
                          </a:prstGeom>
                          <a:ln>
                            <a:noFill/>
                          </a:ln>
                        </wps:spPr>
                        <wps:txbx>
                          <w:txbxContent>
                            <w:p w14:paraId="4EF403E7" w14:textId="77777777" w:rsidR="0014164F" w:rsidRDefault="0014164F" w:rsidP="006D5692">
                              <w:r>
                                <w:rPr>
                                  <w:rFonts w:ascii="Calibri" w:hAnsi="Calibri" w:cs="Calibri"/>
                                  <w:color w:val="595959"/>
                                  <w:sz w:val="18"/>
                                </w:rPr>
                                <w:t>0</w:t>
                              </w:r>
                            </w:p>
                          </w:txbxContent>
                        </wps:txbx>
                        <wps:bodyPr horzOverflow="overflow" vert="horz" lIns="0" tIns="0" rIns="0" bIns="0" rtlCol="0">
                          <a:noAutofit/>
                        </wps:bodyPr>
                      </wps:wsp>
                      <wps:wsp>
                        <wps:cNvPr id="42672" name="Rectangle 42672"/>
                        <wps:cNvSpPr/>
                        <wps:spPr>
                          <a:xfrm>
                            <a:off x="57912" y="1733487"/>
                            <a:ext cx="77074" cy="154840"/>
                          </a:xfrm>
                          <a:prstGeom prst="rect">
                            <a:avLst/>
                          </a:prstGeom>
                          <a:ln>
                            <a:noFill/>
                          </a:ln>
                        </wps:spPr>
                        <wps:txbx>
                          <w:txbxContent>
                            <w:p w14:paraId="68669411" w14:textId="77777777" w:rsidR="0014164F" w:rsidRDefault="0014164F" w:rsidP="006D5692">
                              <w:r>
                                <w:rPr>
                                  <w:rFonts w:ascii="Calibri" w:hAnsi="Calibri" w:cs="Calibri"/>
                                  <w:color w:val="595959"/>
                                  <w:sz w:val="18"/>
                                </w:rPr>
                                <w:t>5</w:t>
                              </w:r>
                            </w:p>
                          </w:txbxContent>
                        </wps:txbx>
                        <wps:bodyPr horzOverflow="overflow" vert="horz" lIns="0" tIns="0" rIns="0" bIns="0" rtlCol="0">
                          <a:noAutofit/>
                        </wps:bodyPr>
                      </wps:wsp>
                      <wps:wsp>
                        <wps:cNvPr id="42673" name="Rectangle 42673"/>
                        <wps:cNvSpPr/>
                        <wps:spPr>
                          <a:xfrm>
                            <a:off x="0" y="1433513"/>
                            <a:ext cx="154097" cy="154840"/>
                          </a:xfrm>
                          <a:prstGeom prst="rect">
                            <a:avLst/>
                          </a:prstGeom>
                          <a:ln>
                            <a:noFill/>
                          </a:ln>
                        </wps:spPr>
                        <wps:txbx>
                          <w:txbxContent>
                            <w:p w14:paraId="5DFE65EC" w14:textId="77777777" w:rsidR="0014164F" w:rsidRDefault="0014164F" w:rsidP="006D5692">
                              <w:r>
                                <w:rPr>
                                  <w:rFonts w:ascii="Calibri" w:hAnsi="Calibri" w:cs="Calibri"/>
                                  <w:color w:val="595959"/>
                                  <w:sz w:val="18"/>
                                </w:rPr>
                                <w:t>10</w:t>
                              </w:r>
                            </w:p>
                          </w:txbxContent>
                        </wps:txbx>
                        <wps:bodyPr horzOverflow="overflow" vert="horz" lIns="0" tIns="0" rIns="0" bIns="0" rtlCol="0">
                          <a:noAutofit/>
                        </wps:bodyPr>
                      </wps:wsp>
                      <wps:wsp>
                        <wps:cNvPr id="42674" name="Rectangle 42674"/>
                        <wps:cNvSpPr/>
                        <wps:spPr>
                          <a:xfrm>
                            <a:off x="0" y="1133667"/>
                            <a:ext cx="154097" cy="154840"/>
                          </a:xfrm>
                          <a:prstGeom prst="rect">
                            <a:avLst/>
                          </a:prstGeom>
                          <a:ln>
                            <a:noFill/>
                          </a:ln>
                        </wps:spPr>
                        <wps:txbx>
                          <w:txbxContent>
                            <w:p w14:paraId="1C97DBA5" w14:textId="77777777" w:rsidR="0014164F" w:rsidRDefault="0014164F" w:rsidP="006D5692">
                              <w:r>
                                <w:rPr>
                                  <w:rFonts w:ascii="Calibri" w:hAnsi="Calibri" w:cs="Calibri"/>
                                  <w:color w:val="595959"/>
                                  <w:sz w:val="18"/>
                                </w:rPr>
                                <w:t>15</w:t>
                              </w:r>
                            </w:p>
                          </w:txbxContent>
                        </wps:txbx>
                        <wps:bodyPr horzOverflow="overflow" vert="horz" lIns="0" tIns="0" rIns="0" bIns="0" rtlCol="0">
                          <a:noAutofit/>
                        </wps:bodyPr>
                      </wps:wsp>
                      <wps:wsp>
                        <wps:cNvPr id="42675" name="Rectangle 42675"/>
                        <wps:cNvSpPr/>
                        <wps:spPr>
                          <a:xfrm>
                            <a:off x="0" y="833438"/>
                            <a:ext cx="154097" cy="154840"/>
                          </a:xfrm>
                          <a:prstGeom prst="rect">
                            <a:avLst/>
                          </a:prstGeom>
                          <a:ln>
                            <a:noFill/>
                          </a:ln>
                        </wps:spPr>
                        <wps:txbx>
                          <w:txbxContent>
                            <w:p w14:paraId="7D8AC6FC" w14:textId="77777777" w:rsidR="0014164F" w:rsidRDefault="0014164F" w:rsidP="006D5692">
                              <w:r>
                                <w:rPr>
                                  <w:rFonts w:ascii="Calibri" w:hAnsi="Calibri" w:cs="Calibri"/>
                                  <w:color w:val="595959"/>
                                  <w:sz w:val="18"/>
                                </w:rPr>
                                <w:t>20</w:t>
                              </w:r>
                            </w:p>
                          </w:txbxContent>
                        </wps:txbx>
                        <wps:bodyPr horzOverflow="overflow" vert="horz" lIns="0" tIns="0" rIns="0" bIns="0" rtlCol="0">
                          <a:noAutofit/>
                        </wps:bodyPr>
                      </wps:wsp>
                      <wps:wsp>
                        <wps:cNvPr id="42676" name="Rectangle 42676"/>
                        <wps:cNvSpPr/>
                        <wps:spPr>
                          <a:xfrm>
                            <a:off x="0" y="533464"/>
                            <a:ext cx="154097" cy="154840"/>
                          </a:xfrm>
                          <a:prstGeom prst="rect">
                            <a:avLst/>
                          </a:prstGeom>
                          <a:ln>
                            <a:noFill/>
                          </a:ln>
                        </wps:spPr>
                        <wps:txbx>
                          <w:txbxContent>
                            <w:p w14:paraId="4468333D" w14:textId="77777777" w:rsidR="0014164F" w:rsidRDefault="0014164F" w:rsidP="006D5692">
                              <w:r>
                                <w:rPr>
                                  <w:rFonts w:ascii="Calibri" w:hAnsi="Calibri" w:cs="Calibri"/>
                                  <w:color w:val="595959"/>
                                  <w:sz w:val="18"/>
                                </w:rPr>
                                <w:t>25</w:t>
                              </w:r>
                            </w:p>
                          </w:txbxContent>
                        </wps:txbx>
                        <wps:bodyPr horzOverflow="overflow" vert="horz" lIns="0" tIns="0" rIns="0" bIns="0" rtlCol="0">
                          <a:noAutofit/>
                        </wps:bodyPr>
                      </wps:wsp>
                      <wps:wsp>
                        <wps:cNvPr id="42677" name="Rectangle 42677"/>
                        <wps:cNvSpPr/>
                        <wps:spPr>
                          <a:xfrm>
                            <a:off x="0" y="233490"/>
                            <a:ext cx="154097" cy="154840"/>
                          </a:xfrm>
                          <a:prstGeom prst="rect">
                            <a:avLst/>
                          </a:prstGeom>
                          <a:ln>
                            <a:noFill/>
                          </a:ln>
                        </wps:spPr>
                        <wps:txbx>
                          <w:txbxContent>
                            <w:p w14:paraId="68996720" w14:textId="77777777" w:rsidR="0014164F" w:rsidRDefault="0014164F" w:rsidP="006D5692">
                              <w:r>
                                <w:rPr>
                                  <w:rFonts w:ascii="Calibri" w:hAnsi="Calibri" w:cs="Calibri"/>
                                  <w:color w:val="595959"/>
                                  <w:sz w:val="18"/>
                                </w:rPr>
                                <w:t>30</w:t>
                              </w:r>
                            </w:p>
                          </w:txbxContent>
                        </wps:txbx>
                        <wps:bodyPr horzOverflow="overflow" vert="horz" lIns="0" tIns="0" rIns="0" bIns="0" rtlCol="0">
                          <a:noAutofit/>
                        </wps:bodyPr>
                      </wps:wsp>
                      <wps:wsp>
                        <wps:cNvPr id="42678" name="Rectangle 42678"/>
                        <wps:cNvSpPr/>
                        <wps:spPr>
                          <a:xfrm>
                            <a:off x="449859" y="2156206"/>
                            <a:ext cx="532090" cy="169502"/>
                          </a:xfrm>
                          <a:prstGeom prst="rect">
                            <a:avLst/>
                          </a:prstGeom>
                          <a:ln>
                            <a:noFill/>
                          </a:ln>
                        </wps:spPr>
                        <wps:txbx>
                          <w:txbxContent>
                            <w:p w14:paraId="4A236FA9" w14:textId="77777777" w:rsidR="0014164F" w:rsidRDefault="0014164F" w:rsidP="006D5692">
                              <w:r>
                                <w:rPr>
                                  <w:rFonts w:ascii="Arial" w:eastAsia="Arial" w:hAnsi="Arial" w:cs="Arial"/>
                                  <w:color w:val="595959"/>
                                  <w:sz w:val="18"/>
                                </w:rPr>
                                <w:t>Plastika</w:t>
                              </w:r>
                            </w:p>
                          </w:txbxContent>
                        </wps:txbx>
                        <wps:bodyPr horzOverflow="overflow" vert="horz" lIns="0" tIns="0" rIns="0" bIns="0" rtlCol="0">
                          <a:noAutofit/>
                        </wps:bodyPr>
                      </wps:wsp>
                      <wps:wsp>
                        <wps:cNvPr id="42679" name="Rectangle 42679"/>
                        <wps:cNvSpPr/>
                        <wps:spPr>
                          <a:xfrm>
                            <a:off x="1350924" y="2156206"/>
                            <a:ext cx="414556" cy="169502"/>
                          </a:xfrm>
                          <a:prstGeom prst="rect">
                            <a:avLst/>
                          </a:prstGeom>
                          <a:ln>
                            <a:noFill/>
                          </a:ln>
                        </wps:spPr>
                        <wps:txbx>
                          <w:txbxContent>
                            <w:p w14:paraId="523F1147" w14:textId="77777777" w:rsidR="0014164F" w:rsidRDefault="0014164F" w:rsidP="006D5692">
                              <w:r>
                                <w:rPr>
                                  <w:rFonts w:ascii="Arial" w:eastAsia="Arial" w:hAnsi="Arial" w:cs="Arial"/>
                                  <w:color w:val="595959"/>
                                  <w:sz w:val="18"/>
                                </w:rPr>
                                <w:t>Guma</w:t>
                              </w:r>
                            </w:p>
                          </w:txbxContent>
                        </wps:txbx>
                        <wps:bodyPr horzOverflow="overflow" vert="horz" lIns="0" tIns="0" rIns="0" bIns="0" rtlCol="0">
                          <a:noAutofit/>
                        </wps:bodyPr>
                      </wps:wsp>
                      <wps:wsp>
                        <wps:cNvPr id="42680" name="Rectangle 42680"/>
                        <wps:cNvSpPr/>
                        <wps:spPr>
                          <a:xfrm>
                            <a:off x="2197634" y="2156206"/>
                            <a:ext cx="438753" cy="169502"/>
                          </a:xfrm>
                          <a:prstGeom prst="rect">
                            <a:avLst/>
                          </a:prstGeom>
                          <a:ln>
                            <a:noFill/>
                          </a:ln>
                        </wps:spPr>
                        <wps:txbx>
                          <w:txbxContent>
                            <w:p w14:paraId="442139EF" w14:textId="77777777" w:rsidR="0014164F" w:rsidRDefault="0014164F" w:rsidP="006D5692">
                              <w:r>
                                <w:rPr>
                                  <w:rFonts w:ascii="Arial" w:eastAsia="Arial" w:hAnsi="Arial" w:cs="Arial"/>
                                  <w:color w:val="595959"/>
                                  <w:sz w:val="18"/>
                                </w:rPr>
                                <w:t>Tekstil</w:t>
                              </w:r>
                            </w:p>
                          </w:txbxContent>
                        </wps:txbx>
                        <wps:bodyPr horzOverflow="overflow" vert="horz" lIns="0" tIns="0" rIns="0" bIns="0" rtlCol="0">
                          <a:noAutofit/>
                        </wps:bodyPr>
                      </wps:wsp>
                      <wps:wsp>
                        <wps:cNvPr id="42681" name="Rectangle 42681"/>
                        <wps:cNvSpPr/>
                        <wps:spPr>
                          <a:xfrm>
                            <a:off x="2901722" y="2156206"/>
                            <a:ext cx="844185" cy="169502"/>
                          </a:xfrm>
                          <a:prstGeom prst="rect">
                            <a:avLst/>
                          </a:prstGeom>
                          <a:ln>
                            <a:noFill/>
                          </a:ln>
                        </wps:spPr>
                        <wps:txbx>
                          <w:txbxContent>
                            <w:p w14:paraId="40C213DD" w14:textId="77777777" w:rsidR="0014164F" w:rsidRDefault="0014164F" w:rsidP="006D5692">
                              <w:r>
                                <w:rPr>
                                  <w:rFonts w:ascii="Arial" w:eastAsia="Arial" w:hAnsi="Arial" w:cs="Arial"/>
                                  <w:color w:val="595959"/>
                                  <w:sz w:val="18"/>
                                </w:rPr>
                                <w:t>Papir/Karton</w:t>
                              </w:r>
                            </w:p>
                          </w:txbxContent>
                        </wps:txbx>
                        <wps:bodyPr horzOverflow="overflow" vert="horz" lIns="0" tIns="0" rIns="0" bIns="0" rtlCol="0">
                          <a:noAutofit/>
                        </wps:bodyPr>
                      </wps:wsp>
                      <wps:wsp>
                        <wps:cNvPr id="42682" name="Rectangle 42682"/>
                        <wps:cNvSpPr/>
                        <wps:spPr>
                          <a:xfrm>
                            <a:off x="3694455" y="2176435"/>
                            <a:ext cx="1013815" cy="142889"/>
                          </a:xfrm>
                          <a:prstGeom prst="rect">
                            <a:avLst/>
                          </a:prstGeom>
                          <a:ln>
                            <a:noFill/>
                          </a:ln>
                        </wps:spPr>
                        <wps:txbx>
                          <w:txbxContent>
                            <w:p w14:paraId="181CC168" w14:textId="77777777" w:rsidR="0014164F" w:rsidRDefault="0014164F" w:rsidP="006D5692">
                              <w:r>
                                <w:rPr>
                                  <w:rFonts w:ascii="Arial" w:eastAsia="Arial" w:hAnsi="Arial" w:cs="Arial"/>
                                  <w:color w:val="595959"/>
                                  <w:sz w:val="18"/>
                                </w:rPr>
                                <w:t>Obrađeno drvo</w:t>
                              </w:r>
                            </w:p>
                          </w:txbxContent>
                        </wps:txbx>
                        <wps:bodyPr horzOverflow="overflow" vert="horz" lIns="0" tIns="0" rIns="0" bIns="0" rtlCol="0">
                          <a:noAutofit/>
                        </wps:bodyPr>
                      </wps:wsp>
                      <wps:wsp>
                        <wps:cNvPr id="42683" name="Rectangle 42683"/>
                        <wps:cNvSpPr/>
                        <wps:spPr>
                          <a:xfrm>
                            <a:off x="4792371" y="2156206"/>
                            <a:ext cx="371991" cy="169502"/>
                          </a:xfrm>
                          <a:prstGeom prst="rect">
                            <a:avLst/>
                          </a:prstGeom>
                          <a:ln>
                            <a:noFill/>
                          </a:ln>
                        </wps:spPr>
                        <wps:txbx>
                          <w:txbxContent>
                            <w:p w14:paraId="5218230F" w14:textId="77777777" w:rsidR="0014164F" w:rsidRDefault="0014164F" w:rsidP="006D5692">
                              <w:r>
                                <w:rPr>
                                  <w:rFonts w:ascii="Arial" w:eastAsia="Arial" w:hAnsi="Arial" w:cs="Arial"/>
                                  <w:color w:val="595959"/>
                                  <w:sz w:val="18"/>
                                </w:rPr>
                                <w:t>Metal</w:t>
                              </w:r>
                            </w:p>
                          </w:txbxContent>
                        </wps:txbx>
                        <wps:bodyPr horzOverflow="overflow" vert="horz" lIns="0" tIns="0" rIns="0" bIns="0" rtlCol="0">
                          <a:noAutofit/>
                        </wps:bodyPr>
                      </wps:wsp>
                      <wps:wsp>
                        <wps:cNvPr id="42685" name="Rectangle 42685"/>
                        <wps:cNvSpPr/>
                        <wps:spPr>
                          <a:xfrm>
                            <a:off x="1839747" y="20228"/>
                            <a:ext cx="76010" cy="142889"/>
                          </a:xfrm>
                          <a:prstGeom prst="rect">
                            <a:avLst/>
                          </a:prstGeom>
                          <a:ln>
                            <a:noFill/>
                          </a:ln>
                        </wps:spPr>
                        <wps:txbx>
                          <w:txbxContent>
                            <w:p w14:paraId="0A7D0B89" w14:textId="6E79AABA" w:rsidR="0014164F" w:rsidRDefault="0014164F" w:rsidP="006D5692"/>
                          </w:txbxContent>
                        </wps:txbx>
                        <wps:bodyPr horzOverflow="overflow" vert="horz" lIns="0" tIns="0" rIns="0" bIns="0" rtlCol="0">
                          <a:noAutofit/>
                        </wps:bodyPr>
                      </wps:wsp>
                      <wps:wsp>
                        <wps:cNvPr id="42687" name="Rectangle 42687"/>
                        <wps:cNvSpPr/>
                        <wps:spPr>
                          <a:xfrm>
                            <a:off x="2079015" y="20228"/>
                            <a:ext cx="2252466" cy="142889"/>
                          </a:xfrm>
                          <a:prstGeom prst="rect">
                            <a:avLst/>
                          </a:prstGeom>
                          <a:ln>
                            <a:noFill/>
                          </a:ln>
                        </wps:spPr>
                        <wps:txbx>
                          <w:txbxContent>
                            <w:p w14:paraId="0603E0DD" w14:textId="05432571" w:rsidR="0014164F" w:rsidRDefault="0014164F" w:rsidP="006D5692">
                              <w:r>
                                <w:rPr>
                                  <w:rFonts w:ascii="Arial" w:eastAsia="Arial" w:hAnsi="Arial" w:cs="Arial"/>
                                  <w:color w:val="595959"/>
                                  <w:sz w:val="18"/>
                                </w:rPr>
                                <w:t>Količina plutajućeg otpada na transektima</w:t>
                              </w:r>
                            </w:p>
                          </w:txbxContent>
                        </wps:txbx>
                        <wps:bodyPr horzOverflow="overflow" vert="horz" lIns="0" tIns="0" rIns="0" bIns="0" rtlCol="0">
                          <a:noAutofit/>
                        </wps:bodyPr>
                      </wps:wsp>
                      <wps:wsp>
                        <wps:cNvPr id="922479" name="Shape 922479"/>
                        <wps:cNvSpPr/>
                        <wps:spPr>
                          <a:xfrm>
                            <a:off x="1665122" y="2438845"/>
                            <a:ext cx="57912" cy="56388"/>
                          </a:xfrm>
                          <a:custGeom>
                            <a:avLst/>
                            <a:gdLst/>
                            <a:ahLst/>
                            <a:cxnLst/>
                            <a:rect l="0" t="0" r="0" b="0"/>
                            <a:pathLst>
                              <a:path w="57912" h="56388">
                                <a:moveTo>
                                  <a:pt x="0" y="0"/>
                                </a:moveTo>
                                <a:lnTo>
                                  <a:pt x="57912" y="0"/>
                                </a:lnTo>
                                <a:lnTo>
                                  <a:pt x="57912" y="56388"/>
                                </a:lnTo>
                                <a:lnTo>
                                  <a:pt x="0" y="56388"/>
                                </a:lnTo>
                                <a:lnTo>
                                  <a:pt x="0" y="0"/>
                                </a:lnTo>
                              </a:path>
                            </a:pathLst>
                          </a:custGeom>
                          <a:ln w="0" cap="flat">
                            <a:round/>
                          </a:ln>
                        </wps:spPr>
                        <wps:style>
                          <a:lnRef idx="0">
                            <a:srgbClr val="000000">
                              <a:alpha val="0"/>
                            </a:srgbClr>
                          </a:lnRef>
                          <a:fillRef idx="1">
                            <a:srgbClr val="5B9BD5"/>
                          </a:fillRef>
                          <a:effectRef idx="0">
                            <a:scrgbClr r="0" g="0" b="0"/>
                          </a:effectRef>
                          <a:fontRef idx="none"/>
                        </wps:style>
                        <wps:bodyPr/>
                      </wps:wsp>
                      <wps:wsp>
                        <wps:cNvPr id="42689" name="Rectangle 42689"/>
                        <wps:cNvSpPr/>
                        <wps:spPr>
                          <a:xfrm>
                            <a:off x="1747672" y="2400681"/>
                            <a:ext cx="718594" cy="169502"/>
                          </a:xfrm>
                          <a:prstGeom prst="rect">
                            <a:avLst/>
                          </a:prstGeom>
                          <a:ln>
                            <a:noFill/>
                          </a:ln>
                        </wps:spPr>
                        <wps:txbx>
                          <w:txbxContent>
                            <w:p w14:paraId="7B6E2C76" w14:textId="77777777" w:rsidR="0014164F" w:rsidRDefault="0014164F" w:rsidP="006D5692">
                              <w:r>
                                <w:rPr>
                                  <w:rFonts w:ascii="Arial" w:eastAsia="Arial" w:hAnsi="Arial" w:cs="Arial"/>
                                  <w:color w:val="595959"/>
                                  <w:sz w:val="18"/>
                                </w:rPr>
                                <w:t>Transekt 1</w:t>
                              </w:r>
                            </w:p>
                          </w:txbxContent>
                        </wps:txbx>
                        <wps:bodyPr horzOverflow="overflow" vert="horz" lIns="0" tIns="0" rIns="0" bIns="0" rtlCol="0">
                          <a:noAutofit/>
                        </wps:bodyPr>
                      </wps:wsp>
                      <wps:wsp>
                        <wps:cNvPr id="922480" name="Shape 922480"/>
                        <wps:cNvSpPr/>
                        <wps:spPr>
                          <a:xfrm>
                            <a:off x="2419503" y="2438845"/>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round/>
                          </a:ln>
                        </wps:spPr>
                        <wps:style>
                          <a:lnRef idx="0">
                            <a:srgbClr val="000000">
                              <a:alpha val="0"/>
                            </a:srgbClr>
                          </a:lnRef>
                          <a:fillRef idx="1">
                            <a:srgbClr val="ED7D31"/>
                          </a:fillRef>
                          <a:effectRef idx="0">
                            <a:scrgbClr r="0" g="0" b="0"/>
                          </a:effectRef>
                          <a:fontRef idx="none"/>
                        </wps:style>
                        <wps:bodyPr/>
                      </wps:wsp>
                      <wps:wsp>
                        <wps:cNvPr id="42691" name="Rectangle 42691"/>
                        <wps:cNvSpPr/>
                        <wps:spPr>
                          <a:xfrm>
                            <a:off x="2500910" y="2400681"/>
                            <a:ext cx="718594" cy="169502"/>
                          </a:xfrm>
                          <a:prstGeom prst="rect">
                            <a:avLst/>
                          </a:prstGeom>
                          <a:ln>
                            <a:noFill/>
                          </a:ln>
                        </wps:spPr>
                        <wps:txbx>
                          <w:txbxContent>
                            <w:p w14:paraId="13AACBA3" w14:textId="77777777" w:rsidR="0014164F" w:rsidRDefault="0014164F" w:rsidP="006D5692">
                              <w:r>
                                <w:rPr>
                                  <w:rFonts w:ascii="Arial" w:eastAsia="Arial" w:hAnsi="Arial" w:cs="Arial"/>
                                  <w:color w:val="595959"/>
                                  <w:sz w:val="18"/>
                                </w:rPr>
                                <w:t>Transekt 2</w:t>
                              </w:r>
                            </w:p>
                          </w:txbxContent>
                        </wps:txbx>
                        <wps:bodyPr horzOverflow="overflow" vert="horz" lIns="0" tIns="0" rIns="0" bIns="0" rtlCol="0">
                          <a:noAutofit/>
                        </wps:bodyPr>
                      </wps:wsp>
                      <wps:wsp>
                        <wps:cNvPr id="922481" name="Shape 922481"/>
                        <wps:cNvSpPr/>
                        <wps:spPr>
                          <a:xfrm>
                            <a:off x="3172359" y="2438845"/>
                            <a:ext cx="56388" cy="56388"/>
                          </a:xfrm>
                          <a:custGeom>
                            <a:avLst/>
                            <a:gdLst/>
                            <a:ahLst/>
                            <a:cxnLst/>
                            <a:rect l="0" t="0" r="0" b="0"/>
                            <a:pathLst>
                              <a:path w="56388" h="56388">
                                <a:moveTo>
                                  <a:pt x="0" y="0"/>
                                </a:moveTo>
                                <a:lnTo>
                                  <a:pt x="56388" y="0"/>
                                </a:lnTo>
                                <a:lnTo>
                                  <a:pt x="56388" y="56388"/>
                                </a:lnTo>
                                <a:lnTo>
                                  <a:pt x="0" y="56388"/>
                                </a:lnTo>
                                <a:lnTo>
                                  <a:pt x="0" y="0"/>
                                </a:lnTo>
                              </a:path>
                            </a:pathLst>
                          </a:custGeom>
                          <a:ln w="0" cap="flat">
                            <a:round/>
                          </a:ln>
                        </wps:spPr>
                        <wps:style>
                          <a:lnRef idx="0">
                            <a:srgbClr val="000000">
                              <a:alpha val="0"/>
                            </a:srgbClr>
                          </a:lnRef>
                          <a:fillRef idx="1">
                            <a:srgbClr val="A5A5A5"/>
                          </a:fillRef>
                          <a:effectRef idx="0">
                            <a:scrgbClr r="0" g="0" b="0"/>
                          </a:effectRef>
                          <a:fontRef idx="none"/>
                        </wps:style>
                        <wps:bodyPr/>
                      </wps:wsp>
                      <wps:wsp>
                        <wps:cNvPr id="42693" name="Rectangle 42693"/>
                        <wps:cNvSpPr/>
                        <wps:spPr>
                          <a:xfrm>
                            <a:off x="3254019" y="2400681"/>
                            <a:ext cx="718594" cy="169502"/>
                          </a:xfrm>
                          <a:prstGeom prst="rect">
                            <a:avLst/>
                          </a:prstGeom>
                          <a:ln>
                            <a:noFill/>
                          </a:ln>
                        </wps:spPr>
                        <wps:txbx>
                          <w:txbxContent>
                            <w:p w14:paraId="7C4D4D93" w14:textId="77777777" w:rsidR="0014164F" w:rsidRDefault="0014164F" w:rsidP="006D5692">
                              <w:r>
                                <w:rPr>
                                  <w:rFonts w:ascii="Arial" w:eastAsia="Arial" w:hAnsi="Arial" w:cs="Arial"/>
                                  <w:color w:val="595959"/>
                                  <w:sz w:val="18"/>
                                </w:rPr>
                                <w:t>Transekt 3</w:t>
                              </w:r>
                            </w:p>
                          </w:txbxContent>
                        </wps:txbx>
                        <wps:bodyPr horzOverflow="overflow" vert="horz" lIns="0" tIns="0" rIns="0" bIns="0" rtlCol="0">
                          <a:noAutofit/>
                        </wps:bodyPr>
                      </wps:wsp>
                    </wpg:wgp>
                  </a:graphicData>
                </a:graphic>
              </wp:inline>
            </w:drawing>
          </mc:Choice>
          <mc:Fallback>
            <w:pict>
              <v:group w14:anchorId="6304056B" id="Group 762778" o:spid="_x0000_s2090" style="width:422pt;height:200.8pt;mso-position-horizontal-relative:char;mso-position-vertical-relative:line" coordorigin=",202" coordsize="53592,25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">
                <v:shape id="Shape 42656" o:spid="_x0000_s2091" style="position:absolute;left:2218;top:17865;width:51374;height:0;visibility:visible;mso-wrap-style:square;v-text-anchor:top" coordsize="51374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6eA8UA&#10;AADeAAAADwAAAGRycy9kb3ducmV2LnhtbESP0WrCQBRE3wv+w3ILvpS6UTSV6CoiCiVvRj/gkr0m&#10;qdm7YXc1sV/fLRT6OMzMGWa9HUwrHuR8Y1nBdJKAIC6tbrhScDkf35cgfEDW2FomBU/ysN2MXtaY&#10;advziR5FqESEsM9QQR1Cl0npy5oM+ontiKN3tc5giNJVUjvsI9y0cpYkqTTYcFyosaN9TeWtuBsF&#10;eZkfbv7tO3V5/lWY3Yfvab5Uavw67FYgAg3hP/zX/tQK5rN0kcLvnXgF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3p4DxQAAAN4AAAAPAAAAAAAAAAAAAAAAAJgCAABkcnMv&#10;ZG93bnJldi54bWxQSwUGAAAAAAQABAD1AAAAigMAAAAA&#10;" path="m,l5137404,e" filled="f" strokecolor="#d9d9d9" strokeweight=".72pt">
                  <v:path arrowok="t" textboxrect="0,0,5137404,0"/>
                </v:shape>
                <v:shape id="Shape 42657" o:spid="_x0000_s2092" style="position:absolute;left:2218;top:14863;width:51374;height:0;visibility:visible;mso-wrap-style:square;v-text-anchor:top" coordsize="51374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I7mMYA&#10;AADeAAAADwAAAGRycy9kb3ducmV2LnhtbESP0WrCQBRE3wv+w3ILvhTdKDZK6ipSFCRvjX7AJXub&#10;pGbvht2tif36riD4OMzMGWa9HUwrruR8Y1nBbJqAIC6tbrhScD4dJisQPiBrbC2Tght52G5GL2vM&#10;tO35i65FqESEsM9QQR1Cl0npy5oM+qntiKP3bZ3BEKWrpHbYR7hp5TxJUmmw4bhQY0efNZWX4tco&#10;yMt8f/Fvf6nL85/C7Ja+p8VKqfHrsPsAEWgIz/CjfdQKFvP0fQn3O/EKy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5I7mMYAAADeAAAADwAAAAAAAAAAAAAAAACYAgAAZHJz&#10;L2Rvd25yZXYueG1sUEsFBgAAAAAEAAQA9QAAAIsDAAAAAA==&#10;" path="m,l5137404,e" filled="f" strokecolor="#d9d9d9" strokeweight=".72pt">
                  <v:path arrowok="t" textboxrect="0,0,5137404,0"/>
                </v:shape>
                <v:shape id="Shape 42658" o:spid="_x0000_s2093" style="position:absolute;left:2218;top:11861;width:51374;height:0;visibility:visible;mso-wrap-style:square;v-text-anchor:top" coordsize="51374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2v6sIA&#10;AADeAAAADwAAAGRycy9kb3ducmV2LnhtbERP3WrCMBS+H/gO4QjeDE0VV6UaRcaE0btVH+DQHNtq&#10;c1KSaKtPv1wMdvnx/W/3g2nFg5xvLCuYzxIQxKXVDVcKzqfjdA3CB2SNrWVS8CQP+93obYuZtj3/&#10;0KMIlYgh7DNUUIfQZVL6siaDfmY74shdrDMYInSV1A77GG5auUiSVBpsODbU2NFnTeWtuBsFeZl/&#10;3fz7K3V5fi3MYeV7Wq6VmoyHwwZEoCH8i//c31rBcpF+xL3xTrwC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a/qwgAAAN4AAAAPAAAAAAAAAAAAAAAAAJgCAABkcnMvZG93&#10;bnJldi54bWxQSwUGAAAAAAQABAD1AAAAhwMAAAAA&#10;" path="m,l5137404,e" filled="f" strokecolor="#d9d9d9" strokeweight=".72pt">
                  <v:path arrowok="t" textboxrect="0,0,5137404,0"/>
                </v:shape>
                <v:shape id="Shape 42659" o:spid="_x0000_s2094" style="position:absolute;left:2218;top:8874;width:51374;height:0;visibility:visible;mso-wrap-style:square;v-text-anchor:top" coordsize="51374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EKccYA&#10;AADeAAAADwAAAGRycy9kb3ducmV2LnhtbESP0WrCQBRE3wv+w3IFX0rdKDba1FWkWCh5M/oBl+xt&#10;Es3eDbtbE/36bqHg4zAzZ5j1djCtuJLzjWUFs2kCgri0uuFKwen4+bIC4QOyxtYyKbiRh+1m9LTG&#10;TNueD3QtQiUihH2GCuoQukxKX9Zk0E9tRxy9b+sMhihdJbXDPsJNK+dJkkqDDceFGjv6qKm8FD9G&#10;QV7m+4t/vqcuz8+F2S19T4uVUpPxsHsHEWgIj/B/+0srWMzT1zf4uxOv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EKccYAAADeAAAADwAAAAAAAAAAAAAAAACYAgAAZHJz&#10;L2Rvd25yZXYueG1sUEsFBgAAAAAEAAQA9QAAAIsDAAAAAA==&#10;" path="m,l5137404,e" filled="f" strokecolor="#d9d9d9" strokeweight=".72pt">
                  <v:path arrowok="t" textboxrect="0,0,5137404,0"/>
                </v:shape>
                <v:shape id="Shape 42660" o:spid="_x0000_s2095" style="position:absolute;left:2218;top:5871;width:51374;height:0;visibility:visible;mso-wrap-style:square;v-text-anchor:top" coordsize="51374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dpUcMA&#10;AADeAAAADwAAAGRycy9kb3ducmV2LnhtbESPzYrCMBSF9wO+Q7gDbgZNR6RKxygiCtKd1Qe4NHfa&#10;js1NSTK2+vRmIbg8nD++1WYwrbiR841lBd/TBARxaXXDlYLL+TBZgvABWWNrmRTcycNmPfpYYaZt&#10;zye6FaEScYR9hgrqELpMSl/WZNBPbUccvV/rDIYoXSW1wz6Om1bOkiSVBhuODzV2tKupvBb/RkFe&#10;5vur/3qkLs//CrNd+J7mS6XGn8P2B0SgIbzDr/ZRK5jP0jQCRJyI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dpUcMAAADeAAAADwAAAAAAAAAAAAAAAACYAgAAZHJzL2Rv&#10;d25yZXYueG1sUEsFBgAAAAAEAAQA9QAAAIgDAAAAAA==&#10;" path="m,l5137404,e" filled="f" strokecolor="#d9d9d9" strokeweight=".72pt">
                  <v:path arrowok="t" textboxrect="0,0,5137404,0"/>
                </v:shape>
                <v:shape id="Shape 42661" o:spid="_x0000_s2096" style="position:absolute;left:2218;top:2869;width:51374;height:0;visibility:visible;mso-wrap-style:square;v-text-anchor:top" coordsize="51374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vMysUA&#10;AADeAAAADwAAAGRycy9kb3ducmV2LnhtbESP0WrCQBRE3wv+w3IFX4puFIkSXUWkQslbox9wyV6T&#10;aPZu2N2atF/fFYQ+DjNzhtnuB9OKBznfWFYwnyUgiEurG64UXM6n6RqED8gaW8uk4Ic87Hejty1m&#10;2vb8RY8iVCJC2GeooA6hy6T0ZU0G/cx2xNG7WmcwROkqqR32EW5auUiSVBpsOC7U2NGxpvJefBsF&#10;eZl/3P37b+ry/FaYw8r3tFwrNRkPhw2IQEP4D7/an1rBcpGmc3jeiVdA7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W8zKxQAAAN4AAAAPAAAAAAAAAAAAAAAAAJgCAABkcnMv&#10;ZG93bnJldi54bWxQSwUGAAAAAAQABAD1AAAAigMAAAAA&#10;" path="m,l5137404,e" filled="f" strokecolor="#d9d9d9" strokeweight=".72pt">
                  <v:path arrowok="t" textboxrect="0,0,5137404,0"/>
                </v:shape>
                <v:shape id="Shape 922471" o:spid="_x0000_s2097" style="position:absolute;left:29544;top:20273;width:1493;height:595;visibility:visible;mso-wrap-style:square;v-text-anchor:top" coordsize="149352,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6U8cA&#10;AADfAAAADwAAAGRycy9kb3ducmV2LnhtbESPUUvDMBSF3wX/Q7iCby5tEZ112dgGgqiMrfYHXJpr&#10;W21uShKb6q83guDj4ZzzHc5qM5tBTOR8b1lBvshAEDdW99wqqF8frpYgfEDWOFgmBV/kYbM+P1th&#10;qW3kE01VaEWCsC9RQRfCWErpm44M+oUdiZP3Zp3BkKRrpXYYE9wMssiyG2mw57TQ4Uj7jpqP6tMo&#10;eOHh6fh+yqOLU7077Ooqfj/3Sl1ezNt7EIHm8B/+az9qBXdFcX2bw++f9AX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ulPHAAAA3wAAAA8AAAAAAAAAAAAAAAAAmAIAAGRy&#10;cy9kb3ducmV2LnhtbFBLBQYAAAAABAAEAPUAAACMAwAAAAA=&#10;" path="m,l149352,r,59436l,59436,,e" fillcolor="#5b9bd5" stroked="f" strokeweight="0">
                  <v:path arrowok="t" textboxrect="0,0,149352,59436"/>
                </v:shape>
                <v:shape id="Shape 922472" o:spid="_x0000_s2098" style="position:absolute;left:12414;top:20273;width:1494;height:595;visibility:visible;mso-wrap-style:square;v-text-anchor:top" coordsize="149352,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MkJMgA&#10;AADfAAAADwAAAGRycy9kb3ducmV2LnhtbESPUUvDMBSF34X9h3AHvrl0RXR2y4YTBFEZW+0PuDR3&#10;bbW5KUlsqr/eCIKPh3POdzib3WR6MZLznWUFy0UGgri2uuNGQfX2eLUC4QOyxt4yKfgiD7vt7GKD&#10;hbaRTzSWoREJwr5ABW0IQyGlr1sy6Bd2IE7e2TqDIUnXSO0wJrjpZZ5lN9Jgx2mhxYEeWqo/yk+j&#10;4JX75+P7aRldHKv9YV+V8fulU+pyPt2vQQSawn/4r/2kFdzl+fVtDr9/0heQ2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yQkyAAAAN8AAAAPAAAAAAAAAAAAAAAAAJgCAABk&#10;cnMvZG93bnJldi54bWxQSwUGAAAAAAQABAD1AAAAjQMAAAAA&#10;" path="m,l149352,r,59436l,59436,,e" fillcolor="#5b9bd5" stroked="f" strokeweight="0">
                  <v:path arrowok="t" textboxrect="0,0,149352,59436"/>
                </v:shape>
                <v:shape id="Shape 922473" o:spid="_x0000_s2099" style="position:absolute;left:3849;top:5871;width:1494;height:14997;visibility:visible;mso-wrap-style:square;v-text-anchor:top" coordsize="149352,1499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3UOcYA&#10;AADfAAAADwAAAGRycy9kb3ducmV2LnhtbESPzWrCQBSF9wXfYbiCuzoxptbGTEQUoYtuagtur5nb&#10;JJq5EzKjiW/fKRRcHs7Px8nWg2nEjTpXW1Ywm0YgiAuray4VfH/tn5cgnEfW2FgmBXdysM5HTxmm&#10;2vb8SbeDL0UYYZeigsr7NpXSFRUZdFPbEgfvx3YGfZBdKXWHfRg3jYyjaCEN1hwIFba0rai4HK4m&#10;cPf2YyHPid1tktOLbOnYH3tWajIeNisQngb/CP+337WCtzhOXufw9yd8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n3UOcYAAADfAAAADwAAAAAAAAAAAAAAAACYAgAAZHJz&#10;L2Rvd25yZXYueG1sUEsFBgAAAAAEAAQA9QAAAIsDAAAAAA==&#10;" path="m,l149352,r,1499616l,1499616,,e" fillcolor="#5b9bd5" stroked="f" strokeweight="0">
                  <v:path arrowok="t" textboxrect="0,0,149352,1499616"/>
                </v:shape>
                <v:shape id="Shape 922474" o:spid="_x0000_s2100" style="position:absolute;left:31434;top:20273;width:1493;height:595;visibility:visible;mso-wrap-style:square;v-text-anchor:top" coordsize="149352,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8ddscA&#10;AADfAAAADwAAAGRycy9kb3ducmV2LnhtbESPQWvCQBSE70L/w/IK3nRjEGujq4hQKAgBo1CPz+xr&#10;Epp9G7KrSf69Kwg9DjPzDbPe9qYWd2pdZVnBbBqBIM6trrhQcD59TZYgnEfWWFsmBQM52G7eRmtM&#10;tO34SPfMFyJA2CWooPS+SaR0eUkG3dQ2xMH7ta1BH2RbSN1iF+CmlnEULaTBisNCiQ3tS8r/sptR&#10;sMCf7tIfhlmaYXo7pfWQX66VUuP3frcC4an3/+FX+1sr+Izj+cccnn/CF5Cb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PHXbHAAAA3wAAAA8AAAAAAAAAAAAAAAAAmAIAAGRy&#10;cy9kb3ducmV2LnhtbFBLBQYAAAAABAAEAPUAAACMAwAAAAA=&#10;" path="m,l149352,r,59436l,59436,,e" fillcolor="#ed7d31" stroked="f" strokeweight="0">
                  <v:path arrowok="t" textboxrect="0,0,149352,59436"/>
                </v:shape>
                <v:shape id="Shape 922475" o:spid="_x0000_s2101" style="position:absolute;left:14304;top:20273;width:1509;height:595;visibility:visible;mso-wrap-style:square;v-text-anchor:top" coordsize="150876,59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c5EsgA&#10;AADfAAAADwAAAGRycy9kb3ducmV2LnhtbESPS2vCQBSF9wX/w3AFN0UnhtZH6ihS0BZctFXB7SVz&#10;mwQzd9LM5OG/dwqFLg/n8XFWm96UoqXaFZYVTCcRCOLU6oIzBefTbrwA4TyyxtIyKbiRg8168LDC&#10;RNuOv6g9+kyEEXYJKsi9rxIpXZqTQTexFXHwvm1t0AdZZ1LX2IVxU8o4imbSYMGBkGNFrzml12Nj&#10;Anf68XN4m80/4z3uqH1sLn25vCg1GvbbFxCeev8f/mu/awXLOH6aP8Pvn/AF5Po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xzkSyAAAAN8AAAAPAAAAAAAAAAAAAAAAAJgCAABk&#10;cnMvZG93bnJldi54bWxQSwUGAAAAAAQABAD1AAAAjQMAAAAA&#10;" path="m,l150876,r,59436l,59436,,e" fillcolor="#ed7d31" stroked="f" strokeweight="0">
                  <v:path arrowok="t" textboxrect="0,0,150876,59436"/>
                </v:shape>
                <v:shape id="Shape 922476" o:spid="_x0000_s2102" style="position:absolute;left:5754;top:14863;width:1494;height:6005;visibility:visible;mso-wrap-style:square;v-text-anchor:top" coordsize="149352,600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FDBcgA&#10;AADfAAAADwAAAGRycy9kb3ducmV2LnhtbESPzWrDMBCE74W8g9hALqWRakySulFCYyjkkEv+oMet&#10;tbXdWitjqY7z9lGhkOMwM98wy/VgG9FT52vHGp6nCgRx4UzNpYbT8f1pAcIHZIONY9JwJQ/r1ehh&#10;iZlxF95TfwiliBD2GWqoQmgzKX1RkUU/dS1x9L5cZzFE2ZXSdHiJcNvIRKmZtFhzXKiwpbyi4ufw&#10;azX06aLdqfP3fqP4w6UD54+fp1zryXh4ewURaAj38H97azS8JEk6n8Hfn/gF5Oo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gUMFyAAAAN8AAAAPAAAAAAAAAAAAAAAAAJgCAABk&#10;cnMvZG93bnJldi54bWxQSwUGAAAAAAQABAD1AAAAjQMAAAAA&#10;" path="m,l149352,r,600456l,600456,,e" fillcolor="#ed7d31" stroked="f" strokeweight="0">
                  <v:path arrowok="t" textboxrect="0,0,149352,600456"/>
                </v:shape>
                <v:shape id="Shape 922477" o:spid="_x0000_s2103" style="position:absolute;left:33339;top:19664;width:1493;height:1204;visibility:visible;mso-wrap-style:square;v-text-anchor:top" coordsize="149352,120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0cKscA&#10;AADfAAAADwAAAGRycy9kb3ducmV2LnhtbESPQWvCQBSE74X+h+UVvNWN0ZqauobSIEhvRg8eX7PP&#10;JDX7NmQ3mv77bqHgcZiZb5h1NppWXKl3jWUFs2kEgri0uuFKwfGwfX4F4TyyxtYyKfghB9nm8WGN&#10;qbY33tO18JUIEHYpKqi971IpXVmTQTe1HXHwzrY36IPsK6l7vAW4aWUcRUtpsOGwUGNHHzWVl2Iw&#10;CnJD+dzHbjidvoeX0n4dP5e7SKnJ0/j+BsLT6O/h//ZOK1jF8SJJ4O9P+AJy8w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9HCrHAAAA3wAAAA8AAAAAAAAAAAAAAAAAmAIAAGRy&#10;cy9kb3ducmV2LnhtbFBLBQYAAAAABAAEAPUAAACMAwAAAAA=&#10;" path="m,l149352,r,120397l,120397,,e" fillcolor="#a5a5a5" stroked="f" strokeweight="0">
                  <v:path arrowok="t" textboxrect="0,0,149352,120397"/>
                </v:shape>
                <v:shape id="Shape 922478" o:spid="_x0000_s2104" style="position:absolute;left:7644;top:17865;width:1493;height:3003;visibility:visible;mso-wrap-style:square;v-text-anchor:top" coordsize="149352,3002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rTkcMA&#10;AADfAAAADwAAAGRycy9kb3ducmV2LnhtbERPz2vCMBS+C/sfwhvsZtOVMbvOKGMgeBJXO3Z9NM+2&#10;rnkpTWzjf28Ogx0/vt/rbTC9mGh0nWUFz0kKgri2uuNGQXXaLXMQziNr7C2Tghs52G4eFmsstJ35&#10;i6bSNyKGsCtQQev9UEjp6pYMusQOxJE729Ggj3BspB5xjuGml1mavkqDHceGFgf6bKn+La9Gwcqk&#10;wWbToT5WVlchfNMl/7kq9fQYPt5BeAr+X/zn3msFb1n2soqD45/4Be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rTkcMAAADfAAAADwAAAAAAAAAAAAAAAACYAgAAZHJzL2Rv&#10;d25yZXYueG1sUEsFBgAAAAAEAAQA9QAAAIgDAAAAAA==&#10;" path="m,l149352,r,300228l,300228,,e" fillcolor="#a5a5a5" stroked="f" strokeweight="0">
                  <v:path arrowok="t" textboxrect="0,0,149352,300228"/>
                </v:shape>
                <v:shape id="Shape 42670" o:spid="_x0000_s2105" style="position:absolute;left:2218;top:20868;width:51374;height:0;visibility:visible;mso-wrap-style:square;v-text-anchor:top" coordsize="51374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7/jMMA&#10;AADeAAAADwAAAGRycy9kb3ducmV2LnhtbESPzYrCMBSF9wO+Q7jCbAZNR6RKNYqIwtCd1Qe4NNe2&#10;2tyUJGM78/RmIbg8nD++9XYwrXiQ841lBd/TBARxaXXDlYLL+ThZgvABWWNrmRT8kYftZvSxxkzb&#10;nk/0KEIl4gj7DBXUIXSZlL6syaCf2o44elfrDIYoXSW1wz6Om1bOkiSVBhuODzV2tK+pvBe/RkFe&#10;5oe7//pPXZ7fCrNb+J7mS6U+x8NuBSLQEN7hV/tHK5jP0kUEiDgRBeTm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7/jMMAAADeAAAADwAAAAAAAAAAAAAAAACYAgAAZHJzL2Rv&#10;d25yZXYueG1sUEsFBgAAAAAEAAQA9QAAAIgDAAAAAA==&#10;" path="m,l5137404,e" filled="f" strokecolor="#d9d9d9" strokeweight=".72pt">
                  <v:path arrowok="t" textboxrect="0,0,5137404,0"/>
                </v:shape>
                <v:rect id="Rectangle 42671" o:spid="_x0000_s2106" style="position:absolute;left:579;top:20337;width:77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Rz4cgA&#10;AADeAAAADwAAAGRycy9kb3ducmV2LnhtbESPQWvCQBSE70L/w/IKvenGIFajq4TWEo+tCurtkX0m&#10;wezbkN0maX99t1DocZiZb5j1djC16Kh1lWUF00kEgji3uuJCwen4Nl6AcB5ZY22ZFHyRg+3mYbTG&#10;RNueP6g7+EIECLsEFZTeN4mULi/JoJvYhjh4N9sa9EG2hdQt9gFuahlH0VwarDgslNjQS0n5/fBp&#10;FGSLJr3s7Xdf1Ltrdn4/L1+PS6/U0+OQrkB4Gvx/+K+91wpm8fx5C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RHPhyAAAAN4AAAAPAAAAAAAAAAAAAAAAAJgCAABk&#10;cnMvZG93bnJldi54bWxQSwUGAAAAAAQABAD1AAAAjQMAAAAA&#10;" filled="f" stroked="f">
                  <v:textbox inset="0,0,0,0">
                    <w:txbxContent>
                      <w:p w14:paraId="4EF403E7" w14:textId="77777777" w:rsidR="0014164F" w:rsidRDefault="0014164F" w:rsidP="006D5692">
                        <w:r>
                          <w:rPr>
                            <w:rFonts w:ascii="Calibri" w:hAnsi="Calibri" w:cs="Calibri"/>
                            <w:color w:val="595959"/>
                            <w:sz w:val="18"/>
                          </w:rPr>
                          <w:t>0</w:t>
                        </w:r>
                      </w:p>
                    </w:txbxContent>
                  </v:textbox>
                </v:rect>
                <v:rect id="Rectangle 42672" o:spid="_x0000_s2107" style="position:absolute;left:579;top:17334;width:77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btlsgA&#10;AADeAAAADwAAAGRycy9kb3ducmV2LnhtbESPT2vCQBTE7wW/w/KE3urGUNKYZhXRFj36D2xvj+xr&#10;Esy+DdmtSfvpu0LB4zAzv2HyxWAacaXO1ZYVTCcRCOLC6ppLBafj+1MKwnlkjY1lUvBDDhbz0UOO&#10;mbY97+l68KUIEHYZKqi8bzMpXVGRQTexLXHwvmxn0AfZlVJ32Ae4aWQcRYk0WHNYqLClVUXF5fBt&#10;FGzSdvmxtb992bx9bs6782x9nHmlHsfD8hWEp8Hfw//trVbwHCcvMdzuhCs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lu2WyAAAAN4AAAAPAAAAAAAAAAAAAAAAAJgCAABk&#10;cnMvZG93bnJldi54bWxQSwUGAAAAAAQABAD1AAAAjQMAAAAA&#10;" filled="f" stroked="f">
                  <v:textbox inset="0,0,0,0">
                    <w:txbxContent>
                      <w:p w14:paraId="68669411" w14:textId="77777777" w:rsidR="0014164F" w:rsidRDefault="0014164F" w:rsidP="006D5692">
                        <w:r>
                          <w:rPr>
                            <w:rFonts w:ascii="Calibri" w:hAnsi="Calibri" w:cs="Calibri"/>
                            <w:color w:val="595959"/>
                            <w:sz w:val="18"/>
                          </w:rPr>
                          <w:t>5</w:t>
                        </w:r>
                      </w:p>
                    </w:txbxContent>
                  </v:textbox>
                </v:rect>
                <v:rect id="Rectangle 42673" o:spid="_x0000_s2108" style="position:absolute;top:14335;width:154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pIDcgA&#10;AADeAAAADwAAAGRycy9kb3ducmV2LnhtbESPQWvCQBSE7wX/w/KE3uqmWtREV5Gq6FFjIfX2yL4m&#10;odm3Ibs1aX99t1DwOMzMN8xy3Zta3Kh1lWUFz6MIBHFudcWFgrfL/mkOwnlkjbVlUvBNDtarwcMS&#10;E207PtMt9YUIEHYJKii9bxIpXV6SQTeyDXHwPmxr0AfZFlK32AW4qeU4iqbSYMVhocSGXkvKP9Mv&#10;o+AwbzbvR/vTFfXueshOWby9xF6px2G/WYDw1Pt7+L991ApextPZB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2kgNyAAAAN4AAAAPAAAAAAAAAAAAAAAAAJgCAABk&#10;cnMvZG93bnJldi54bWxQSwUGAAAAAAQABAD1AAAAjQMAAAAA&#10;" filled="f" stroked="f">
                  <v:textbox inset="0,0,0,0">
                    <w:txbxContent>
                      <w:p w14:paraId="5DFE65EC" w14:textId="77777777" w:rsidR="0014164F" w:rsidRDefault="0014164F" w:rsidP="006D5692">
                        <w:r>
                          <w:rPr>
                            <w:rFonts w:ascii="Calibri" w:hAnsi="Calibri" w:cs="Calibri"/>
                            <w:color w:val="595959"/>
                            <w:sz w:val="18"/>
                          </w:rPr>
                          <w:t>10</w:t>
                        </w:r>
                      </w:p>
                    </w:txbxContent>
                  </v:textbox>
                </v:rect>
                <v:rect id="Rectangle 42674" o:spid="_x0000_s2109" style="position:absolute;top:11336;width:154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PQeccA&#10;AADeAAAADwAAAGRycy9kb3ducmV2LnhtbESPS4vCQBCE78L+h6EXvOlkRXxER5FV0aOPBddbk+lN&#10;wmZ6QmY00V/vCILHoqq+oqbzxhTiSpXLLSv46kYgiBOrc04V/BzXnREI55E1FpZJwY0czGcfrSnG&#10;2ta8p+vBpyJA2MWoIPO+jKV0SUYGXdeWxMH7s5VBH2SVSl1hHeCmkL0oGkiDOYeFDEv6zij5P1yM&#10;gs2oXPxu7b1Oi9V5c9qdxsvj2CvV/mwWExCeGv8Ov9pbraDfGwz78LwTroCcP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Iz0HnHAAAA3gAAAA8AAAAAAAAAAAAAAAAAmAIAAGRy&#10;cy9kb3ducmV2LnhtbFBLBQYAAAAABAAEAPUAAACMAwAAAAA=&#10;" filled="f" stroked="f">
                  <v:textbox inset="0,0,0,0">
                    <w:txbxContent>
                      <w:p w14:paraId="1C97DBA5" w14:textId="77777777" w:rsidR="0014164F" w:rsidRDefault="0014164F" w:rsidP="006D5692">
                        <w:r>
                          <w:rPr>
                            <w:rFonts w:ascii="Calibri" w:hAnsi="Calibri" w:cs="Calibri"/>
                            <w:color w:val="595959"/>
                            <w:sz w:val="18"/>
                          </w:rPr>
                          <w:t>15</w:t>
                        </w:r>
                      </w:p>
                    </w:txbxContent>
                  </v:textbox>
                </v:rect>
                <v:rect id="Rectangle 42675" o:spid="_x0000_s2110" style="position:absolute;top:8334;width:1540;height:1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914sgA&#10;AADeAAAADwAAAGRycy9kb3ducmV2LnhtbESPQWvCQBSE7wX/w/KE3uqmYtVEV5Gq6FFjIfX2yL4m&#10;odm3Ibs1aX99t1DwOMzMN8xy3Zta3Kh1lWUFz6MIBHFudcWFgrfL/mkOwnlkjbVlUvBNDtarwcMS&#10;E207PtMt9YUIEHYJKii9bxIpXV6SQTeyDXHwPmxr0AfZFlK32AW4qeU4iqbSYMVhocSGXkvKP9Mv&#10;o+AwbzbvR/vTFfXueshOWby9xF6px2G/WYDw1Pt7+L991Aom4+nsBf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f3XiyAAAAN4AAAAPAAAAAAAAAAAAAAAAAJgCAABk&#10;cnMvZG93bnJldi54bWxQSwUGAAAAAAQABAD1AAAAjQMAAAAA&#10;" filled="f" stroked="f">
                  <v:textbox inset="0,0,0,0">
                    <w:txbxContent>
                      <w:p w14:paraId="7D8AC6FC" w14:textId="77777777" w:rsidR="0014164F" w:rsidRDefault="0014164F" w:rsidP="006D5692">
                        <w:r>
                          <w:rPr>
                            <w:rFonts w:ascii="Calibri" w:hAnsi="Calibri" w:cs="Calibri"/>
                            <w:color w:val="595959"/>
                            <w:sz w:val="18"/>
                          </w:rPr>
                          <w:t>20</w:t>
                        </w:r>
                      </w:p>
                    </w:txbxContent>
                  </v:textbox>
                </v:rect>
                <v:rect id="Rectangle 42676" o:spid="_x0000_s2111" style="position:absolute;top:5334;width:154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3rlcgA&#10;AADeAAAADwAAAGRycy9kb3ducmV2LnhtbESPT2vCQBTE7wW/w/KE3upGKanGbES0RY/1D6i3R/aZ&#10;BLNvQ3Zr0n76bqHgcZiZ3zDpoje1uFPrKssKxqMIBHFudcWFguPh42UKwnlkjbVlUvBNDhbZ4CnF&#10;RNuOd3Tf+0IECLsEFZTeN4mULi/JoBvZhjh4V9sa9EG2hdQtdgFuajmJolgarDgslNjQqqT8tv8y&#10;CjbTZnne2p+uqN8vm9PnabY+zLxSz8N+OQfhqfeP8H97qxW8TuK3GP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reuVyAAAAN4AAAAPAAAAAAAAAAAAAAAAAJgCAABk&#10;cnMvZG93bnJldi54bWxQSwUGAAAAAAQABAD1AAAAjQMAAAAA&#10;" filled="f" stroked="f">
                  <v:textbox inset="0,0,0,0">
                    <w:txbxContent>
                      <w:p w14:paraId="4468333D" w14:textId="77777777" w:rsidR="0014164F" w:rsidRDefault="0014164F" w:rsidP="006D5692">
                        <w:r>
                          <w:rPr>
                            <w:rFonts w:ascii="Calibri" w:hAnsi="Calibri" w:cs="Calibri"/>
                            <w:color w:val="595959"/>
                            <w:sz w:val="18"/>
                          </w:rPr>
                          <w:t>25</w:t>
                        </w:r>
                      </w:p>
                    </w:txbxContent>
                  </v:textbox>
                </v:rect>
                <v:rect id="Rectangle 42677" o:spid="_x0000_s2112" style="position:absolute;top:2334;width:1540;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FODsgA&#10;AADeAAAADwAAAGRycy9kb3ducmV2LnhtbESPQWvCQBSE7wX/w/KE3upGKUajawi2xRxbFdTbI/ua&#10;hGbfhuzWRH99t1DocZiZb5h1OphGXKlztWUF00kEgriwuuZSwfHw9rQA4TyyxsYyKbiRg3Qzelhj&#10;om3PH3Td+1IECLsEFVTet4mUrqjIoJvYljh4n7Yz6IPsSqk77APcNHIWRXNpsOawUGFL24qKr/23&#10;UbBbtNk5t/e+bF4vu9P7aflyWHqlHsdDtgLhafD/4b92rhU8z+ZxDL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4U4OyAAAAN4AAAAPAAAAAAAAAAAAAAAAAJgCAABk&#10;cnMvZG93bnJldi54bWxQSwUGAAAAAAQABAD1AAAAjQMAAAAA&#10;" filled="f" stroked="f">
                  <v:textbox inset="0,0,0,0">
                    <w:txbxContent>
                      <w:p w14:paraId="68996720" w14:textId="77777777" w:rsidR="0014164F" w:rsidRDefault="0014164F" w:rsidP="006D5692">
                        <w:r>
                          <w:rPr>
                            <w:rFonts w:ascii="Calibri" w:hAnsi="Calibri" w:cs="Calibri"/>
                            <w:color w:val="595959"/>
                            <w:sz w:val="18"/>
                          </w:rPr>
                          <w:t>30</w:t>
                        </w:r>
                      </w:p>
                    </w:txbxContent>
                  </v:textbox>
                </v:rect>
                <v:rect id="Rectangle 42678" o:spid="_x0000_s2113" style="position:absolute;left:4498;top:21562;width:5321;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7afMQA&#10;AADeAAAADwAAAGRycy9kb3ducmV2LnhtbERPy4rCMBTdD/gP4QruxlQRR6tRxAe6dKqg7i7NtS02&#10;N6WJtjNfbxYDszyc93zZmlK8qHaFZQWDfgSCOLW64EzB+bT7nIBwHlljaZkU/JCD5aLzMcdY24a/&#10;6ZX4TIQQdjEqyL2vYildmpNB17cVceDutjboA6wzqWtsQrgp5TCKxtJgwaEhx4rWOaWP5GkU7CfV&#10;6nqwv01Wbm/7y/Ey3ZymXqlet13NQHhq/b/4z33QCkbD8VfYG+6EKyAX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2nzEAAAA3gAAAA8AAAAAAAAAAAAAAAAAmAIAAGRycy9k&#10;b3ducmV2LnhtbFBLBQYAAAAABAAEAPUAAACJAwAAAAA=&#10;" filled="f" stroked="f">
                  <v:textbox inset="0,0,0,0">
                    <w:txbxContent>
                      <w:p w14:paraId="4A236FA9" w14:textId="77777777" w:rsidR="0014164F" w:rsidRDefault="0014164F" w:rsidP="006D5692">
                        <w:r>
                          <w:rPr>
                            <w:rFonts w:ascii="Arial" w:eastAsia="Arial" w:hAnsi="Arial" w:cs="Arial"/>
                            <w:color w:val="595959"/>
                            <w:sz w:val="18"/>
                          </w:rPr>
                          <w:t>Plastika</w:t>
                        </w:r>
                      </w:p>
                    </w:txbxContent>
                  </v:textbox>
                </v:rect>
                <v:rect id="Rectangle 42679" o:spid="_x0000_s2114" style="position:absolute;left:13509;top:21562;width:4145;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J/58cA&#10;AADeAAAADwAAAGRycy9kb3ducmV2LnhtbESPQWvCQBSE70L/w/IKvemmImpiNiKtRY9VC+rtkX0m&#10;odm3Ibs1qb/eLQg9DjPzDZMue1OLK7WusqzgdRSBIM6trrhQ8HX4GM5BOI+ssbZMCn7JwTJ7GqSY&#10;aNvxjq57X4gAYZeggtL7JpHS5SUZdCPbEAfvYluDPsi2kLrFLsBNLcdRNJUGKw4LJTb0VlL+vf8x&#10;CjbzZnXa2ltX1Ovz5vh5jN8PsVfq5blfLUB46v1/+NHeagWT8XQWw9+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yf+fHAAAA3gAAAA8AAAAAAAAAAAAAAAAAmAIAAGRy&#10;cy9kb3ducmV2LnhtbFBLBQYAAAAABAAEAPUAAACMAwAAAAA=&#10;" filled="f" stroked="f">
                  <v:textbox inset="0,0,0,0">
                    <w:txbxContent>
                      <w:p w14:paraId="523F1147" w14:textId="77777777" w:rsidR="0014164F" w:rsidRDefault="0014164F" w:rsidP="006D5692">
                        <w:r>
                          <w:rPr>
                            <w:rFonts w:ascii="Arial" w:eastAsia="Arial" w:hAnsi="Arial" w:cs="Arial"/>
                            <w:color w:val="595959"/>
                            <w:sz w:val="18"/>
                          </w:rPr>
                          <w:t>Guma</w:t>
                        </w:r>
                      </w:p>
                    </w:txbxContent>
                  </v:textbox>
                </v:rect>
                <v:rect id="Rectangle 42680" o:spid="_x0000_s2115" style="position:absolute;left:21976;top:21562;width:4387;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2mXcQA&#10;AADeAAAADwAAAGRycy9kb3ducmV2LnhtbESPzYrCMBSF94LvEK7gTlNFpFajiDOiyxkV1N2lubbF&#10;5qY00VaffrIYcHk4f3yLVWtK8aTaFZYVjIYRCOLU6oIzBafjdhCDcB5ZY2mZFLzIwWrZ7Sww0bbh&#10;X3oefCbCCLsEFeTeV4mULs3JoBvaijh4N1sb9EHWmdQ1NmHclHIcRVNpsODwkGNFm5zS++FhFOzi&#10;an3Z23eTld/X3fnnPPs6zrxS/V67noPw1PpP+L+91wom42kcAAJOQA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dpl3EAAAA3gAAAA8AAAAAAAAAAAAAAAAAmAIAAGRycy9k&#10;b3ducmV2LnhtbFBLBQYAAAAABAAEAPUAAACJAwAAAAA=&#10;" filled="f" stroked="f">
                  <v:textbox inset="0,0,0,0">
                    <w:txbxContent>
                      <w:p w14:paraId="442139EF" w14:textId="77777777" w:rsidR="0014164F" w:rsidRDefault="0014164F" w:rsidP="006D5692">
                        <w:r>
                          <w:rPr>
                            <w:rFonts w:ascii="Arial" w:eastAsia="Arial" w:hAnsi="Arial" w:cs="Arial"/>
                            <w:color w:val="595959"/>
                            <w:sz w:val="18"/>
                          </w:rPr>
                          <w:t>Tekstil</w:t>
                        </w:r>
                      </w:p>
                    </w:txbxContent>
                  </v:textbox>
                </v:rect>
                <v:rect id="Rectangle 42681" o:spid="_x0000_s2116" style="position:absolute;left:29017;top:21562;width:8442;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EDxsYA&#10;AADeAAAADwAAAGRycy9kb3ducmV2LnhtbESPQYvCMBSE74L/ITzBm6aKSO0aRdRFj64K7t4ezdu2&#10;2LyUJmurv94sCB6HmfmGmS9bU4ob1a6wrGA0jEAQp1YXnCk4nz4HMQjnkTWWlknBnRwsF93OHBNt&#10;G/6i29FnIkDYJagg975KpHRpTgbd0FbEwfu1tUEfZJ1JXWMT4KaU4yiaSoMFh4UcK1rnlF6Pf0bB&#10;Lq5W33v7aLJy+7O7HC6zzWnmler32tUHCE+tf4df7b1WMBlP4xH83wlXQC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5EDxsYAAADeAAAADwAAAAAAAAAAAAAAAACYAgAAZHJz&#10;L2Rvd25yZXYueG1sUEsFBgAAAAAEAAQA9QAAAIsDAAAAAA==&#10;" filled="f" stroked="f">
                  <v:textbox inset="0,0,0,0">
                    <w:txbxContent>
                      <w:p w14:paraId="40C213DD" w14:textId="77777777" w:rsidR="0014164F" w:rsidRDefault="0014164F" w:rsidP="006D5692">
                        <w:r>
                          <w:rPr>
                            <w:rFonts w:ascii="Arial" w:eastAsia="Arial" w:hAnsi="Arial" w:cs="Arial"/>
                            <w:color w:val="595959"/>
                            <w:sz w:val="18"/>
                          </w:rPr>
                          <w:t>Papir/Karton</w:t>
                        </w:r>
                      </w:p>
                    </w:txbxContent>
                  </v:textbox>
                </v:rect>
                <v:rect id="Rectangle 42682" o:spid="_x0000_s2117" style="position:absolute;left:36944;top:21764;width:10138;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OdsccA&#10;AADeAAAADwAAAGRycy9kb3ducmV2LnhtbESPQWvCQBSE74L/YXlCb7oxFIlpVhFb0WPVgu3tkX0m&#10;wezbkF2TtL++KxR6HGbmGyZbD6YWHbWusqxgPotAEOdWV1wo+DjvpgkI55E11pZJwTc5WK/GowxT&#10;bXs+UnfyhQgQdikqKL1vUildXpJBN7MNcfCutjXog2wLqVvsA9zUMo6ihTRYcVgosaFtSfntdDcK&#10;9kmz+TzYn76o3772l/fL8vW89Eo9TYbNCwhPg/8P/7UPWsFzvEhieNw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dDnbHHAAAA3gAAAA8AAAAAAAAAAAAAAAAAmAIAAGRy&#10;cy9kb3ducmV2LnhtbFBLBQYAAAAABAAEAPUAAACMAwAAAAA=&#10;" filled="f" stroked="f">
                  <v:textbox inset="0,0,0,0">
                    <w:txbxContent>
                      <w:p w14:paraId="181CC168" w14:textId="77777777" w:rsidR="0014164F" w:rsidRDefault="0014164F" w:rsidP="006D5692">
                        <w:r>
                          <w:rPr>
                            <w:rFonts w:ascii="Arial" w:eastAsia="Arial" w:hAnsi="Arial" w:cs="Arial"/>
                            <w:color w:val="595959"/>
                            <w:sz w:val="18"/>
                          </w:rPr>
                          <w:t>Obrađeno drvo</w:t>
                        </w:r>
                      </w:p>
                    </w:txbxContent>
                  </v:textbox>
                </v:rect>
                <v:rect id="Rectangle 42683" o:spid="_x0000_s2118" style="position:absolute;left:47923;top:21562;width:3720;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4KsgA&#10;AADeAAAADwAAAGRycy9kb3ducmV2LnhtbESPQWvCQBSE7wX/w/KE3upGWySmriLakhw1Fmxvj+xr&#10;Esy+DdmtSfvrXUHocZiZb5jlejCNuFDnassKppMIBHFhdc2lgo/j+1MMwnlkjY1lUvBLDtar0cMS&#10;E217PtAl96UIEHYJKqi8bxMpXVGRQTexLXHwvm1n0AfZlVJ32Ae4aeQsiubSYM1hocKWthUV5/zH&#10;KEjjdvOZ2b++bN6+0tP+tNgdF16px/GweQXhafD/4Xs70wpeZvP4GW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DzgqyAAAAN4AAAAPAAAAAAAAAAAAAAAAAJgCAABk&#10;cnMvZG93bnJldi54bWxQSwUGAAAAAAQABAD1AAAAjQMAAAAA&#10;" filled="f" stroked="f">
                  <v:textbox inset="0,0,0,0">
                    <w:txbxContent>
                      <w:p w14:paraId="5218230F" w14:textId="77777777" w:rsidR="0014164F" w:rsidRDefault="0014164F" w:rsidP="006D5692">
                        <w:r>
                          <w:rPr>
                            <w:rFonts w:ascii="Arial" w:eastAsia="Arial" w:hAnsi="Arial" w:cs="Arial"/>
                            <w:color w:val="595959"/>
                            <w:sz w:val="18"/>
                          </w:rPr>
                          <w:t>Metal</w:t>
                        </w:r>
                      </w:p>
                    </w:txbxContent>
                  </v:textbox>
                </v:rect>
                <v:rect id="Rectangle 42685" o:spid="_x0000_s2119" style="position:absolute;left:18397;top:202;width:760;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oFxcgA&#10;AADeAAAADwAAAGRycy9kb3ducmV2LnhtbESPQWvCQBSE7wX/w/KE3upGaSWmriLakhw1Fmxvj+xr&#10;Esy+DdmtSfvrXUHocZiZb5jlejCNuFDnassKppMIBHFhdc2lgo/j+1MMwnlkjY1lUvBLDtar0cMS&#10;E217PtAl96UIEHYJKqi8bxMpXVGRQTexLXHwvm1n0AfZlVJ32Ae4aeQsiubSYM1hocKWthUV5/zH&#10;KEjjdvOZ2b++bN6+0tP+tNgdF16px/GweQXhafD/4Xs70wqeZ/P4BW53whWQq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qgXFyAAAAN4AAAAPAAAAAAAAAAAAAAAAAJgCAABk&#10;cnMvZG93bnJldi54bWxQSwUGAAAAAAQABAD1AAAAjQMAAAAA&#10;" filled="f" stroked="f">
                  <v:textbox inset="0,0,0,0">
                    <w:txbxContent>
                      <w:p w14:paraId="0A7D0B89" w14:textId="6E79AABA" w:rsidR="0014164F" w:rsidRDefault="0014164F" w:rsidP="006D5692"/>
                    </w:txbxContent>
                  </v:textbox>
                </v:rect>
                <v:rect id="Rectangle 42687" o:spid="_x0000_s2120" style="position:absolute;left:20790;top:202;width:22524;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KcgA&#10;AADeAAAADwAAAGRycy9kb3ducmV2LnhtbESPT2vCQBTE7wW/w/KE3upGKTbGbES0RY/1D6i3R/aZ&#10;BLNvQ3Zr0n76bqHgcZiZ3zDpoje1uFPrKssKxqMIBHFudcWFguPh4yUG4TyyxtoyKfgmB4ts8JRi&#10;om3HO7rvfSEChF2CCkrvm0RKl5dk0I1sQxy8q20N+iDbQuoWuwA3tZxE0VQarDgslNjQqqT8tv8y&#10;CjZxszxv7U9X1O+XzenzNFsfZl6p52G/nIPw1PtH+L+91QpeJ9P4Df7uhCsg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ND4pyAAAAN4AAAAPAAAAAAAAAAAAAAAAAJgCAABk&#10;cnMvZG93bnJldi54bWxQSwUGAAAAAAQABAD1AAAAjQMAAAAA&#10;" filled="f" stroked="f">
                  <v:textbox inset="0,0,0,0">
                    <w:txbxContent>
                      <w:p w14:paraId="0603E0DD" w14:textId="05432571" w:rsidR="0014164F" w:rsidRDefault="0014164F" w:rsidP="006D5692">
                        <w:r>
                          <w:rPr>
                            <w:rFonts w:ascii="Arial" w:eastAsia="Arial" w:hAnsi="Arial" w:cs="Arial"/>
                            <w:color w:val="595959"/>
                            <w:sz w:val="18"/>
                          </w:rPr>
                          <w:t>Količina plutajućeg otpada na transektima</w:t>
                        </w:r>
                      </w:p>
                    </w:txbxContent>
                  </v:textbox>
                </v:rect>
                <v:shape id="Shape 922479" o:spid="_x0000_s2121" style="position:absolute;left:16651;top:24388;width:579;height:564;visibility:visible;mso-wrap-style:square;v-text-anchor:top" coordsize="57912,56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jH48UA&#10;AADfAAAADwAAAGRycy9kb3ducmV2LnhtbESPT4vCMBTE74LfITzBi2xTy6Jrt1FEELyu/4+P5m1b&#10;bF5qE7V++82C4HGYmd8w2aIztbhT6yrLCsZRDII4t7riQsF+t/74AuE8ssbaMil4koPFvN/LMNX2&#10;wT903/pCBAi7FBWU3jeplC4vyaCLbEMcvF/bGvRBtoXULT4C3NQyieOJNFhxWCixoVVJ+WV7MwpO&#10;3fPs9Oh8OOQri7t4dNRXe1RqOOiW3yA8df4dfrU3WsEsST6nM/j/E76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GMfjxQAAAN8AAAAPAAAAAAAAAAAAAAAAAJgCAABkcnMv&#10;ZG93bnJldi54bWxQSwUGAAAAAAQABAD1AAAAigMAAAAA&#10;" path="m,l57912,r,56388l,56388,,e" fillcolor="#5b9bd5" stroked="f" strokeweight="0">
                  <v:path arrowok="t" textboxrect="0,0,57912,56388"/>
                </v:shape>
                <v:rect id="Rectangle 42689" o:spid="_x0000_s2122" style="position:absolute;left:17476;top:24006;width:718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PwMcA&#10;AADeAAAADwAAAGRycy9kb3ducmV2LnhtbESPQWvCQBSE74L/YXlCb7pRiiRpVhFb0WOrBdvbI/tM&#10;gtm3Ibsm0V/fLRR6HGbmGyZbD6YWHbWusqxgPotAEOdWV1wo+DztpjEI55E11pZJwZ0crFfjUYap&#10;tj1/UHf0hQgQdikqKL1vUildXpJBN7MNcfAutjXog2wLqVvsA9zUchFFS2mw4rBQYkPbkvLr8WYU&#10;7ONm83Wwj76o37735/dz8npKvFJPk2HzAsLT4P/Df+2DVvC8WMYJ/N4JV0C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nnD8DHAAAA3gAAAA8AAAAAAAAAAAAAAAAAmAIAAGRy&#10;cy9kb3ducmV2LnhtbFBLBQYAAAAABAAEAPUAAACMAwAAAAA=&#10;" filled="f" stroked="f">
                  <v:textbox inset="0,0,0,0">
                    <w:txbxContent>
                      <w:p w14:paraId="7B6E2C76" w14:textId="77777777" w:rsidR="0014164F" w:rsidRDefault="0014164F" w:rsidP="006D5692">
                        <w:r>
                          <w:rPr>
                            <w:rFonts w:ascii="Arial" w:eastAsia="Arial" w:hAnsi="Arial" w:cs="Arial"/>
                            <w:color w:val="595959"/>
                            <w:sz w:val="18"/>
                          </w:rPr>
                          <w:t>Transekt 1</w:t>
                        </w:r>
                      </w:p>
                    </w:txbxContent>
                  </v:textbox>
                </v:rect>
                <v:shape id="Shape 922480" o:spid="_x0000_s2123" style="position:absolute;left:24195;top:24388;width:563;height:564;visibility:visible;mso-wrap-style:square;v-text-anchor:top" coordsize="56388,56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Ux8UA&#10;AADfAAAADwAAAGRycy9kb3ducmV2LnhtbESPXWvCMBSG74X9h3AGu9PUsI22GmWMDbwZWBWvD82x&#10;KTYnJcm0+/fLxWCXL+8Xz3o7uUHcKMTes4blogBB3HrTc6fhdPyclyBiQjY4eCYNPxRhu3mYrbE2&#10;/s4N3Q6pE3mEY40abEpjLWVsLTmMCz8SZ+/ig8OUZeikCXjP426QqihepcOe84PFkd4ttdfDt9Mw&#10;VbulVHJ/3ldBlS/GNt3HV6P10+P0tgKRaEr/4b/2zmiolHouM0HmySw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JTHxQAAAN8AAAAPAAAAAAAAAAAAAAAAAJgCAABkcnMv&#10;ZG93bnJldi54bWxQSwUGAAAAAAQABAD1AAAAigMAAAAA&#10;" path="m,l56388,r,56388l,56388,,e" fillcolor="#ed7d31" stroked="f" strokeweight="0">
                  <v:path arrowok="t" textboxrect="0,0,56388,56388"/>
                </v:shape>
                <v:rect id="Rectangle 42691" o:spid="_x0000_s2124" style="position:absolute;left:25009;top:24006;width:718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iVG8YA&#10;AADeAAAADwAAAGRycy9kb3ducmV2LnhtbESPT4vCMBTE7wv7HcJb8LamioitRpFV0aN/FtTbo3m2&#10;ZZuX0kRb/fRGEPY4zMxvmMmsNaW4Ue0Kywp63QgEcWp1wZmC38PqewTCeWSNpWVScCcHs+nnxwQT&#10;bRve0W3vMxEg7BJUkHtfJVK6NCeDrmsr4uBdbG3QB1lnUtfYBLgpZT+KhtJgwWEhx4p+ckr/9lej&#10;YD2q5qeNfTRZuTyvj9tjvDjEXqnOVzsfg/DU+v/wu73RCgb9YdyD151wBeT0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kiVG8YAAADeAAAADwAAAAAAAAAAAAAAAACYAgAAZHJz&#10;L2Rvd25yZXYueG1sUEsFBgAAAAAEAAQA9QAAAIsDAAAAAA==&#10;" filled="f" stroked="f">
                  <v:textbox inset="0,0,0,0">
                    <w:txbxContent>
                      <w:p w14:paraId="13AACBA3" w14:textId="77777777" w:rsidR="0014164F" w:rsidRDefault="0014164F" w:rsidP="006D5692">
                        <w:r>
                          <w:rPr>
                            <w:rFonts w:ascii="Arial" w:eastAsia="Arial" w:hAnsi="Arial" w:cs="Arial"/>
                            <w:color w:val="595959"/>
                            <w:sz w:val="18"/>
                          </w:rPr>
                          <w:t>Transekt 2</w:t>
                        </w:r>
                      </w:p>
                    </w:txbxContent>
                  </v:textbox>
                </v:rect>
                <v:shape id="Shape 922481" o:spid="_x0000_s2125" style="position:absolute;left:31723;top:24388;width:564;height:564;visibility:visible;mso-wrap-style:square;v-text-anchor:top" coordsize="56388,563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fAG8YA&#10;AADfAAAADwAAAGRycy9kb3ducmV2LnhtbESPQYvCMBSE74L/ITzBi2jaIqLVKCLsIrIXXfX8aJ5t&#10;sXkpTdTqr98Iwh6HmfmGWaxaU4k7Na60rCAeRSCIM6tLzhUcf7+GUxDOI2usLJOCJzlYLbudBaba&#10;PnhP94PPRYCwS1FB4X2dSumyggy6ka2Jg3exjUEfZJNL3eAjwE0lkyiaSIMlh4UCa9oUlF0PN6Mg&#10;8tbFr13+PH/PTke7ndzk/megVL/XrucgPLX+P/xpb7WCWZKMpzG8/4Qv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fAG8YAAADfAAAADwAAAAAAAAAAAAAAAACYAgAAZHJz&#10;L2Rvd25yZXYueG1sUEsFBgAAAAAEAAQA9QAAAIsDAAAAAA==&#10;" path="m,l56388,r,56388l,56388,,e" fillcolor="#a5a5a5" stroked="f" strokeweight="0">
                  <v:path arrowok="t" textboxrect="0,0,56388,56388"/>
                </v:shape>
                <v:rect id="Rectangle 42693" o:spid="_x0000_s2126" style="position:absolute;left:32540;top:24006;width:7186;height:1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u98cA&#10;AADeAAAADwAAAGRycy9kb3ducmV2LnhtbESPT2vCQBTE70K/w/IK3nRTFUlSV5FW0aP/wPb2yL4m&#10;odm3Ibua6KfvFgSPw8z8hpktOlOJKzWutKzgbRiBIM6sLjlXcDquBzEI55E1VpZJwY0cLOYvvRmm&#10;2ra8p+vB5yJA2KWooPC+TqV0WUEG3dDWxMH7sY1BH2STS91gG+CmkqMomkqDJYeFAmv6KCj7PVyM&#10;gk1cL7+29t7m1ep7c96dk89j4pXqv3bLdxCeOv8MP9pbrWAymiZj+L8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3WrvfHAAAA3gAAAA8AAAAAAAAAAAAAAAAAmAIAAGRy&#10;cy9kb3ducmV2LnhtbFBLBQYAAAAABAAEAPUAAACMAwAAAAA=&#10;" filled="f" stroked="f">
                  <v:textbox inset="0,0,0,0">
                    <w:txbxContent>
                      <w:p w14:paraId="7C4D4D93" w14:textId="77777777" w:rsidR="0014164F" w:rsidRDefault="0014164F" w:rsidP="006D5692">
                        <w:r>
                          <w:rPr>
                            <w:rFonts w:ascii="Arial" w:eastAsia="Arial" w:hAnsi="Arial" w:cs="Arial"/>
                            <w:color w:val="595959"/>
                            <w:sz w:val="18"/>
                          </w:rPr>
                          <w:t>Transekt 3</w:t>
                        </w:r>
                      </w:p>
                    </w:txbxContent>
                  </v:textbox>
                </v:rect>
                <w10:anchorlock/>
              </v:group>
            </w:pict>
          </mc:Fallback>
        </mc:AlternateContent>
      </w:r>
    </w:p>
    <w:p w14:paraId="410F9DBD" w14:textId="77777777" w:rsidR="006D5692" w:rsidRPr="006D5692" w:rsidRDefault="006D5692" w:rsidP="006D5692">
      <w:pPr>
        <w:rPr>
          <w:rFonts w:ascii="Arial" w:hAnsi="Arial" w:cs="Arial"/>
        </w:rPr>
      </w:pPr>
      <w:r w:rsidRPr="006D5692">
        <w:rPr>
          <w:rFonts w:ascii="Arial" w:hAnsi="Arial" w:cs="Arial"/>
        </w:rPr>
        <w:t xml:space="preserve"> </w:t>
      </w:r>
    </w:p>
    <w:p w14:paraId="0F233C8C" w14:textId="528E279A" w:rsidR="006D5692" w:rsidRPr="003E4447" w:rsidRDefault="00F66AE0" w:rsidP="00F66AE0">
      <w:pPr>
        <w:pStyle w:val="Caption"/>
        <w:rPr>
          <w:rFonts w:ascii="Arial" w:hAnsi="Arial" w:cs="Arial"/>
          <w:b w:val="0"/>
        </w:rPr>
      </w:pPr>
      <w:r w:rsidRPr="003E4447">
        <w:rPr>
          <w:rFonts w:ascii="Arial" w:hAnsi="Arial" w:cs="Arial"/>
          <w:b w:val="0"/>
        </w:rPr>
        <w:t>Slika 12</w:t>
      </w:r>
      <w:r w:rsidR="006D5692" w:rsidRPr="003E4447">
        <w:rPr>
          <w:rFonts w:ascii="Arial" w:hAnsi="Arial" w:cs="Arial"/>
          <w:b w:val="0"/>
        </w:rPr>
        <w:t xml:space="preserve"> Količina plutajućeg otpada zabilježena na transektima u Bokokotorskom zalivu </w:t>
      </w:r>
    </w:p>
    <w:p w14:paraId="55D67504" w14:textId="77777777" w:rsidR="006D5692" w:rsidRPr="006D5692" w:rsidRDefault="006D5692" w:rsidP="006D5692">
      <w:pPr>
        <w:rPr>
          <w:rFonts w:ascii="Arial" w:hAnsi="Arial" w:cs="Arial"/>
        </w:rPr>
      </w:pPr>
      <w:r w:rsidRPr="006D5692">
        <w:rPr>
          <w:rFonts w:ascii="Arial" w:hAnsi="Arial" w:cs="Arial"/>
        </w:rPr>
        <w:t xml:space="preserve"> </w:t>
      </w:r>
    </w:p>
    <w:p w14:paraId="2ECB0DC9" w14:textId="0C0113C5" w:rsidR="006D5692" w:rsidRPr="00F66AE0" w:rsidRDefault="006D5692" w:rsidP="00F66AE0">
      <w:pPr>
        <w:autoSpaceDE w:val="0"/>
        <w:autoSpaceDN w:val="0"/>
        <w:adjustRightInd w:val="0"/>
        <w:spacing w:before="120" w:after="120" w:line="360" w:lineRule="auto"/>
        <w:rPr>
          <w:rFonts w:ascii="Arial" w:hAnsi="Arial" w:cs="Arial"/>
          <w:lang w:val="sq-AL"/>
        </w:rPr>
      </w:pPr>
      <w:r w:rsidRPr="00F66AE0">
        <w:rPr>
          <w:rFonts w:ascii="Arial" w:hAnsi="Arial" w:cs="Arial"/>
          <w:lang w:val="sq-AL"/>
        </w:rPr>
        <w:t xml:space="preserve">U 2022. godini realizacija monitoringa morskog ekosistema za program praćenja eutrofikacije otpočela je u oktobru mjesecu, pa su u ovom izvještaju obuhvaćena samo tri mjeseca mjeranja i to oktobar, novembar i decembar. Procjena stanja eutrofikacije u skladu sa kriterijumima datim u UNEP-MAP dokumentu Assessment Criteria Metodologies for IMAP Common Indicator 13: Reference Boundary Values for DIN and TP in the Adriatic Sea Sub-region nije urađena, jer se kriterijumi odnose na procječne godišnje </w:t>
      </w:r>
      <w:r w:rsidRPr="00F66AE0">
        <w:rPr>
          <w:rFonts w:ascii="Arial" w:hAnsi="Arial" w:cs="Arial"/>
          <w:lang w:val="sq-AL"/>
        </w:rPr>
        <w:lastRenderedPageBreak/>
        <w:t>vrijedn</w:t>
      </w:r>
      <w:r w:rsidR="001512C1">
        <w:rPr>
          <w:rFonts w:ascii="Arial" w:hAnsi="Arial" w:cs="Arial"/>
          <w:lang w:val="sq-AL"/>
        </w:rPr>
        <w:t>o</w:t>
      </w:r>
      <w:r w:rsidRPr="00F66AE0">
        <w:rPr>
          <w:rFonts w:ascii="Arial" w:hAnsi="Arial" w:cs="Arial"/>
          <w:lang w:val="sq-AL"/>
        </w:rPr>
        <w:t xml:space="preserve">sti, pa će se ovi kriterijumi primjenjivati prilikom izrade godišnjeg izvještaja, nakon završetka monitoringa. </w:t>
      </w:r>
    </w:p>
    <w:p w14:paraId="3EDCB023" w14:textId="77777777" w:rsidR="006D5692" w:rsidRPr="00F66AE0" w:rsidRDefault="006D5692" w:rsidP="00F66AE0">
      <w:pPr>
        <w:autoSpaceDE w:val="0"/>
        <w:autoSpaceDN w:val="0"/>
        <w:adjustRightInd w:val="0"/>
        <w:spacing w:before="120" w:after="120" w:line="360" w:lineRule="auto"/>
        <w:rPr>
          <w:rFonts w:ascii="Arial" w:hAnsi="Arial" w:cs="Arial"/>
          <w:lang w:val="sq-AL"/>
        </w:rPr>
      </w:pPr>
      <w:r w:rsidRPr="00F66AE0">
        <w:rPr>
          <w:rFonts w:ascii="Arial" w:hAnsi="Arial" w:cs="Arial"/>
          <w:lang w:val="sq-AL"/>
        </w:rPr>
        <w:t xml:space="preserve">Temperatura i salinitet na svim ispitivanim lokacijama imaju sličan trend u ispitivanom periodu. Na lokacijama IBM-Dobrota, Kotorski zaliv i Risan zabilježeno je nešto drugačiji trend temperature i saliniteta od ostalih lokacija, pa se može zaključiti da su ove lokacije pod najvećim uticajem pritoka slatke vode. Sličan trend je prisutan i na dubinama, međutim, promjene nisu jako izražene kao u površinskom sloju. Vrijednost pH u ispitivanom periodu su se kretala u intervalu karakterističnom za morsku vodu. Koncentracije ispitanih nutrijenata se nalaze na istom ili sličnom nivou kao prilikom ranijih ispitivanja, a razlike u sadržaju nutrijenata u zalivskoj oblasti i zonama otvorenog mora, kao i značajan uticaj kopnenih voda na zalivsku oblast je potvrđen i tokom ova tri mjeseca monitoringa. </w:t>
      </w:r>
    </w:p>
    <w:p w14:paraId="335DF992" w14:textId="1146BA08" w:rsidR="006D5692" w:rsidRPr="00F66AE0" w:rsidRDefault="006D5692" w:rsidP="00F66AE0">
      <w:pPr>
        <w:autoSpaceDE w:val="0"/>
        <w:autoSpaceDN w:val="0"/>
        <w:adjustRightInd w:val="0"/>
        <w:spacing w:before="120" w:after="120" w:line="360" w:lineRule="auto"/>
        <w:rPr>
          <w:rFonts w:ascii="Arial" w:hAnsi="Arial" w:cs="Arial"/>
          <w:lang w:val="sq-AL"/>
        </w:rPr>
      </w:pPr>
      <w:r w:rsidRPr="00F66AE0">
        <w:rPr>
          <w:rFonts w:ascii="Arial" w:hAnsi="Arial" w:cs="Arial"/>
          <w:lang w:val="sq-AL"/>
        </w:rPr>
        <w:t>Na osnovu podataka koji su zabilježeni tokom istraživanja može se zaključiti da su vrijednosti fitoplanktona generalno bile veće u zalivskom području u odnosu na vanzalivsko što je i očekivano s obzirom da je u zalivskom području veći priliv nutrijenata</w:t>
      </w:r>
      <w:r w:rsidR="001512C1">
        <w:rPr>
          <w:rFonts w:ascii="Arial" w:hAnsi="Arial" w:cs="Arial"/>
          <w:lang w:val="sq-AL"/>
        </w:rPr>
        <w:t>,</w:t>
      </w:r>
      <w:r w:rsidRPr="00F66AE0">
        <w:rPr>
          <w:rFonts w:ascii="Arial" w:hAnsi="Arial" w:cs="Arial"/>
          <w:lang w:val="sq-AL"/>
        </w:rPr>
        <w:t xml:space="preserve"> kao i slabija dinamika vodenih masa. Brojnost mikroplanktona je na pojedinim lokalitetima u zalivu dostizala vrijednosti do 105 ćelija. Vrijednosti mikroplanktona i fitoplanktonskih grupa: dijatomeja, dinoflagelata, kokolitoforida i silikoflagelata koje su zabilježene tokom istraživanja i dostizale brojnost do 104 ćelija/l su uglavnom karakteristične za oligotrofno-mezotrofno područje izuzev mjeseca i lokaliteta kada su brojnosti bile do 105 ćelija/l, koje su karakteristične za mezotrofno-eutrofno područje (Kitsiou i Karydis 2001, 2002</w:t>
      </w:r>
      <w:r w:rsidR="001512C1">
        <w:rPr>
          <w:rFonts w:ascii="Arial" w:hAnsi="Arial" w:cs="Arial"/>
          <w:lang w:val="sq-AL"/>
        </w:rPr>
        <w:t>.</w:t>
      </w:r>
      <w:r w:rsidRPr="00F66AE0">
        <w:rPr>
          <w:rFonts w:ascii="Arial" w:hAnsi="Arial" w:cs="Arial"/>
          <w:lang w:val="sq-AL"/>
        </w:rPr>
        <w:t>). U umjereno toplim morima (Jadran) intenzivni razvoj fitoplanktona javlja se dva puta godišnje: proljećnji i jesenji maksimum (bimodalni ciklus) (Mura i sar., 1996). Za bimodalni ciklus je karakterističan mnogo veći maksimum u obalnom moru u odnosu na otvoreno more, zbog veće koncentracije nutrijenata (Cebrián i Valiela, 199</w:t>
      </w:r>
      <w:r w:rsidRPr="00D92CE1">
        <w:rPr>
          <w:rFonts w:ascii="Arial" w:hAnsi="Arial" w:cs="Arial"/>
          <w:lang w:val="sq-AL"/>
        </w:rPr>
        <w:t>9</w:t>
      </w:r>
      <w:r w:rsidR="001512C1" w:rsidRPr="00D92CE1">
        <w:rPr>
          <w:rFonts w:ascii="Arial" w:hAnsi="Arial" w:cs="Arial"/>
          <w:lang w:val="sq-AL"/>
        </w:rPr>
        <w:t>.</w:t>
      </w:r>
      <w:r w:rsidRPr="00D92CE1">
        <w:rPr>
          <w:rFonts w:ascii="Arial" w:hAnsi="Arial" w:cs="Arial"/>
          <w:lang w:val="sq-AL"/>
        </w:rPr>
        <w:t>).</w:t>
      </w:r>
      <w:r w:rsidRPr="00F66AE0">
        <w:rPr>
          <w:rFonts w:ascii="Arial" w:hAnsi="Arial" w:cs="Arial"/>
          <w:lang w:val="sq-AL"/>
        </w:rPr>
        <w:t xml:space="preserve"> Većina vrsta koje su bile dominantne (Bacteriastrum hyalinum, Chaetoceros spp., Leptocylindrus danicus, Proboscia alata, Pseudonitzschia spp. i Thalassionema nitzschioides) su karakteristične za područja bogata nutrijentima (Revelante i Gilmartin 1980, 1985, Pucher-Petković i Marasović 1980</w:t>
      </w:r>
      <w:r w:rsidR="001512C1">
        <w:rPr>
          <w:rFonts w:ascii="Arial" w:hAnsi="Arial" w:cs="Arial"/>
          <w:lang w:val="sq-AL"/>
        </w:rPr>
        <w:t>.</w:t>
      </w:r>
      <w:r w:rsidRPr="00F66AE0">
        <w:rPr>
          <w:rFonts w:ascii="Arial" w:hAnsi="Arial" w:cs="Arial"/>
          <w:lang w:val="sq-AL"/>
        </w:rPr>
        <w:t>). Ove vrste su indikatori stanja ekosistema, koje mogu da pokažu karakteristike jednog ekosistema. Tokom istraživanja zabilježene su manje brojnosti i raznovrsnost toksičnih vrsta iz grupe dinoflagelata (rodovi Dinophysis, Lingulodinium, Phalacroma, Prorocentrum), dok su potencijalno toksične dijatomejske vrste iz roda Pseudo-nitzschia bile česte i brojne, dostizale su brojnost do 104 ćelija/l. Potencijalno toksični dinoflagelat Prorocentrum micans je bio često zastupljen. Prisustvo vrsta koje preferiraju područja bogata nutrijentima i prisustvo toksičnih vrsta iako još uvjek sa malom brojnošću ukazuju na promjene koje se ne smiju zanemarivati. One ukazuju na neophodnost monitoringa da bi se spiječile moguće negativne posljedice po morski ekosistem i zdravlje čovjeka. Procjena postignutog hemijskog statusa za analizirane organske i neorganske kontaminante u uzorcima sedimenta, biote (Mitilus galloprovincialis) i morske vode izvršena je poređenjem dobijenih vrijednosti koncentracija zagađivača tokom perioda istraživanja sa UNEP/MAP</w:t>
      </w:r>
      <w:r w:rsidR="00D92CE1">
        <w:rPr>
          <w:rFonts w:ascii="Arial" w:hAnsi="Arial" w:cs="Arial"/>
          <w:lang w:val="sq-AL"/>
        </w:rPr>
        <w:t xml:space="preserve"> kriterijumi.</w:t>
      </w:r>
      <w:r w:rsidRPr="00F66AE0">
        <w:rPr>
          <w:rFonts w:ascii="Arial" w:hAnsi="Arial" w:cs="Arial"/>
          <w:lang w:val="sq-AL"/>
        </w:rPr>
        <w:t xml:space="preserve"> Poređenje je obavljeno kako bi se utvrdilo da li su izmjerene koncentracije zagađujućih materija dostigle definisane granične vrednosti bliske prirodnim koncentracijama (BAC) ili granične vrednosti pri kojima se mogu očekivati neželjeni efekti (ERL ili EAC) i da li su izmjerene koncentracije zagađujućih materija premašile standarde kvaliteta životne sredine (EKS) za ocjenu hemijskog stanja u vodi.  </w:t>
      </w:r>
    </w:p>
    <w:p w14:paraId="17E9603C" w14:textId="615B6EA4" w:rsidR="006D5692" w:rsidRPr="00F66AE0" w:rsidRDefault="006D5692" w:rsidP="00F66AE0">
      <w:pPr>
        <w:autoSpaceDE w:val="0"/>
        <w:autoSpaceDN w:val="0"/>
        <w:adjustRightInd w:val="0"/>
        <w:spacing w:before="120" w:after="120" w:line="360" w:lineRule="auto"/>
        <w:rPr>
          <w:rFonts w:ascii="Arial" w:hAnsi="Arial" w:cs="Arial"/>
          <w:lang w:val="sq-AL"/>
        </w:rPr>
      </w:pPr>
      <w:r w:rsidRPr="00F66AE0">
        <w:rPr>
          <w:rFonts w:ascii="Arial" w:hAnsi="Arial" w:cs="Arial"/>
          <w:lang w:val="sq-AL"/>
        </w:rPr>
        <w:lastRenderedPageBreak/>
        <w:t xml:space="preserve">Imajući u vidu da su OSPAR kriterijumi definisani za područje morske sredine severoistočnog Atlantika, njegovi kriterijumi nisu korišćeni za ocjenu hemijskog statusa morskog ekosistema jer se ne mogu uzeti kao adekvatni za Jadransko more. Rezultati analiziranih zagađivača u sedimentu, bioti i morskoj vodi pokazuju da: </w:t>
      </w:r>
    </w:p>
    <w:p w14:paraId="6F1DADD1" w14:textId="71CC4317" w:rsidR="006D5692" w:rsidRPr="00D92CE1" w:rsidRDefault="006D5692" w:rsidP="00D92CE1">
      <w:pPr>
        <w:pStyle w:val="ListParagraph"/>
        <w:numPr>
          <w:ilvl w:val="0"/>
          <w:numId w:val="150"/>
        </w:numPr>
        <w:autoSpaceDE w:val="0"/>
        <w:autoSpaceDN w:val="0"/>
        <w:adjustRightInd w:val="0"/>
        <w:spacing w:before="120" w:after="120" w:line="360" w:lineRule="auto"/>
        <w:rPr>
          <w:rFonts w:ascii="Arial" w:hAnsi="Arial" w:cs="Arial"/>
          <w:lang w:val="sq-AL"/>
        </w:rPr>
      </w:pPr>
      <w:r w:rsidRPr="00D92CE1">
        <w:rPr>
          <w:rFonts w:ascii="Arial" w:hAnsi="Arial" w:cs="Arial"/>
          <w:lang w:val="sq-AL"/>
        </w:rPr>
        <w:t>u sediment nije postignuto dobro hemijsko stanje na 10 lokacija. Uglavnom, u pitanju su lokacije koje su pod većim ili manjim antropogenim uticajem</w:t>
      </w:r>
      <w:r w:rsidR="001512C1" w:rsidRPr="00D92CE1">
        <w:rPr>
          <w:rFonts w:ascii="Arial" w:hAnsi="Arial" w:cs="Arial"/>
          <w:lang w:val="sq-AL"/>
        </w:rPr>
        <w:t>,</w:t>
      </w:r>
      <w:r w:rsidRPr="00D92CE1">
        <w:rPr>
          <w:rFonts w:ascii="Arial" w:hAnsi="Arial" w:cs="Arial"/>
          <w:lang w:val="sq-AL"/>
        </w:rPr>
        <w:t xml:space="preserve">  </w:t>
      </w:r>
    </w:p>
    <w:p w14:paraId="60A22AD4" w14:textId="0BB06A17" w:rsidR="006D5692" w:rsidRPr="00D92CE1" w:rsidRDefault="006D5692" w:rsidP="00D92CE1">
      <w:pPr>
        <w:pStyle w:val="ListParagraph"/>
        <w:numPr>
          <w:ilvl w:val="0"/>
          <w:numId w:val="150"/>
        </w:numPr>
        <w:spacing w:after="160" w:line="259" w:lineRule="auto"/>
        <w:rPr>
          <w:rFonts w:ascii="Arial" w:hAnsi="Arial" w:cs="Arial"/>
        </w:rPr>
      </w:pPr>
      <w:r w:rsidRPr="00D92CE1">
        <w:rPr>
          <w:rFonts w:ascii="Arial" w:hAnsi="Arial" w:cs="Arial"/>
        </w:rPr>
        <w:t>u bioti, dobar hemijski status nije postignut na 3 lokacije</w:t>
      </w:r>
      <w:r w:rsidR="001512C1">
        <w:rPr>
          <w:rFonts w:ascii="Arial" w:hAnsi="Arial" w:cs="Arial"/>
        </w:rPr>
        <w:t>,</w:t>
      </w:r>
      <w:r w:rsidRPr="00D92CE1">
        <w:rPr>
          <w:rFonts w:ascii="Arial" w:hAnsi="Arial" w:cs="Arial"/>
        </w:rPr>
        <w:t xml:space="preserve"> </w:t>
      </w:r>
    </w:p>
    <w:p w14:paraId="0887FF19" w14:textId="6440086F" w:rsidR="006D5692" w:rsidRPr="001E3D9B" w:rsidRDefault="006D5692" w:rsidP="006D5692">
      <w:pPr>
        <w:pStyle w:val="ListParagraph"/>
        <w:numPr>
          <w:ilvl w:val="0"/>
          <w:numId w:val="150"/>
        </w:numPr>
        <w:spacing w:after="160" w:line="259" w:lineRule="auto"/>
        <w:rPr>
          <w:rFonts w:ascii="Arial" w:hAnsi="Arial" w:cs="Arial"/>
        </w:rPr>
      </w:pPr>
      <w:r w:rsidRPr="00D92CE1">
        <w:rPr>
          <w:rFonts w:ascii="Arial" w:hAnsi="Arial" w:cs="Arial"/>
        </w:rPr>
        <w:t xml:space="preserve">u morskoj vodi je postignuto dobro hemijsko stanje na svim ispitivanim lokacijama. </w:t>
      </w:r>
    </w:p>
    <w:p w14:paraId="14A911BE" w14:textId="07906943" w:rsidR="00C232D7" w:rsidRPr="002A6F4E" w:rsidRDefault="006D5692" w:rsidP="00C232D7">
      <w:pPr>
        <w:widowControl w:val="0"/>
        <w:spacing w:before="120" w:after="120" w:line="360" w:lineRule="auto"/>
        <w:rPr>
          <w:rFonts w:ascii="Arial" w:hAnsi="Arial" w:cs="Arial"/>
          <w:lang w:val="sq-AL"/>
        </w:rPr>
      </w:pPr>
      <w:r w:rsidRPr="00F66AE0">
        <w:rPr>
          <w:rFonts w:ascii="Arial" w:hAnsi="Arial" w:cs="Arial"/>
          <w:lang w:val="sq-AL"/>
        </w:rPr>
        <w:t xml:space="preserve">Što se tiče otpada na plažama i plutajućeg otpada, najzastupljenija kategorija bila je plastika, u obje analizirane sezone. Problem plastike predstavlja globalni problem. Naime, mala težina plastičnih predmeta omogućuva da bude prenesena talasima i vjetrom na velike udaljenosti. S toga, otpad u moru predstavlja međunarodni problem i tako mu treba i pristupiti. Potrebno je donijeti zakonske akte koji će smanjiti upotrebu ili potpuno zabraniti korišćenje </w:t>
      </w:r>
      <w:r w:rsidR="00051EF9">
        <w:rPr>
          <w:rFonts w:ascii="Arial" w:hAnsi="Arial" w:cs="Arial"/>
          <w:lang w:val="sq-AL"/>
        </w:rPr>
        <w:t xml:space="preserve">otpada </w:t>
      </w:r>
      <w:r w:rsidR="00EF43E2">
        <w:rPr>
          <w:rFonts w:ascii="Arial" w:hAnsi="Arial" w:cs="Arial"/>
          <w:lang w:val="sq-AL"/>
        </w:rPr>
        <w:t xml:space="preserve">od plastičnih proizvoda za </w:t>
      </w:r>
      <w:r w:rsidRPr="00F66AE0">
        <w:rPr>
          <w:rFonts w:ascii="Arial" w:hAnsi="Arial" w:cs="Arial"/>
          <w:lang w:val="sq-AL"/>
        </w:rPr>
        <w:t>jednokratn</w:t>
      </w:r>
      <w:r w:rsidR="00EF43E2">
        <w:rPr>
          <w:rFonts w:ascii="Arial" w:hAnsi="Arial" w:cs="Arial"/>
          <w:lang w:val="sq-AL"/>
        </w:rPr>
        <w:t>u upotrebu</w:t>
      </w:r>
      <w:r w:rsidRPr="00F66AE0">
        <w:rPr>
          <w:rFonts w:ascii="Arial" w:hAnsi="Arial" w:cs="Arial"/>
          <w:lang w:val="sq-AL"/>
        </w:rPr>
        <w:t xml:space="preserve">. Slični zakoni su u Evropi ranije donešeni, dok su u zemljama okruženja nedavno stupili na snagu već daju određene rezultate. </w:t>
      </w:r>
    </w:p>
    <w:p w14:paraId="51E212E6" w14:textId="681CF0A9" w:rsidR="00C232D7" w:rsidRPr="002A6F4E" w:rsidRDefault="00E27795" w:rsidP="002E65F0">
      <w:pPr>
        <w:pStyle w:val="Heading1"/>
        <w:numPr>
          <w:ilvl w:val="0"/>
          <w:numId w:val="0"/>
        </w:numPr>
        <w:ind w:left="360"/>
        <w:rPr>
          <w:sz w:val="20"/>
          <w:szCs w:val="20"/>
        </w:rPr>
      </w:pPr>
      <w:bookmarkStart w:id="786" w:name="_Toc193354005"/>
      <w:r w:rsidRPr="002A6F4E">
        <w:rPr>
          <w:sz w:val="20"/>
          <w:szCs w:val="20"/>
        </w:rPr>
        <w:t>5.</w:t>
      </w:r>
      <w:r w:rsidR="00C232D7" w:rsidRPr="002A6F4E">
        <w:rPr>
          <w:sz w:val="20"/>
          <w:szCs w:val="20"/>
        </w:rPr>
        <w:t xml:space="preserve"> </w:t>
      </w:r>
      <w:r w:rsidR="00417919">
        <w:rPr>
          <w:sz w:val="20"/>
          <w:szCs w:val="20"/>
        </w:rPr>
        <w:t>Analiza postojećeg</w:t>
      </w:r>
      <w:r w:rsidR="00B37A71">
        <w:rPr>
          <w:sz w:val="20"/>
          <w:szCs w:val="20"/>
        </w:rPr>
        <w:t xml:space="preserve"> stanja</w:t>
      </w:r>
      <w:r w:rsidR="00B37A71" w:rsidRPr="002A6F4E">
        <w:rPr>
          <w:sz w:val="20"/>
          <w:szCs w:val="20"/>
        </w:rPr>
        <w:t xml:space="preserve"> </w:t>
      </w:r>
      <w:r w:rsidR="00C232D7" w:rsidRPr="002A6F4E">
        <w:rPr>
          <w:sz w:val="20"/>
          <w:szCs w:val="20"/>
        </w:rPr>
        <w:t>upravljanja otpadom</w:t>
      </w:r>
      <w:bookmarkEnd w:id="786"/>
    </w:p>
    <w:p w14:paraId="68FBEF66" w14:textId="7DE427F5" w:rsidR="00C232D7" w:rsidRPr="002A6F4E" w:rsidRDefault="00E27795" w:rsidP="00F57909">
      <w:pPr>
        <w:pStyle w:val="Heading2"/>
      </w:pPr>
      <w:bookmarkStart w:id="787" w:name="_Toc193354006"/>
      <w:r w:rsidRPr="002A6F4E">
        <w:t xml:space="preserve">5.1. </w:t>
      </w:r>
      <w:r w:rsidR="00C232D7" w:rsidRPr="002A6F4E">
        <w:t>Rezultati procjene</w:t>
      </w:r>
      <w:bookmarkEnd w:id="787"/>
    </w:p>
    <w:p w14:paraId="241C00D6" w14:textId="7186A124" w:rsidR="00C232D7" w:rsidRPr="002A6F4E" w:rsidRDefault="00C232D7" w:rsidP="00C232D7">
      <w:pPr>
        <w:widowControl w:val="0"/>
        <w:shd w:val="clear" w:color="auto" w:fill="C5E0B3" w:themeFill="accent6" w:themeFillTint="66"/>
        <w:spacing w:before="120" w:after="120" w:line="360" w:lineRule="auto"/>
        <w:rPr>
          <w:rFonts w:ascii="Arial" w:hAnsi="Arial" w:cs="Arial"/>
          <w:lang w:val="sq-AL"/>
        </w:rPr>
      </w:pPr>
      <w:bookmarkStart w:id="788" w:name="_Hlk44675393"/>
      <w:r w:rsidRPr="002A6F4E">
        <w:rPr>
          <w:rFonts w:ascii="Arial" w:hAnsi="Arial" w:cs="Arial"/>
          <w:lang w:val="sq-AL"/>
        </w:rPr>
        <w:t>Analiza postojećeg stanja otkriva da u Crnoj Gori postoji značajan potencijal da se poboljša upravljanje otpad</w:t>
      </w:r>
      <w:r w:rsidR="00AD74D3">
        <w:rPr>
          <w:rFonts w:ascii="Arial" w:hAnsi="Arial" w:cs="Arial"/>
          <w:lang w:val="sq-AL"/>
        </w:rPr>
        <w:t>om</w:t>
      </w:r>
      <w:r w:rsidRPr="002A6F4E">
        <w:rPr>
          <w:rFonts w:ascii="Arial" w:hAnsi="Arial" w:cs="Arial"/>
          <w:lang w:val="sq-AL"/>
        </w:rPr>
        <w:t xml:space="preserve">. Pored toga, prevencija stvaranja otpada će se podsticati da bi se bolje koristili  resursi, a da se istovremeno smanji </w:t>
      </w:r>
      <w:r w:rsidR="00EF43E2">
        <w:rPr>
          <w:rFonts w:ascii="Arial" w:hAnsi="Arial" w:cs="Arial"/>
          <w:lang w:val="sq-AL"/>
        </w:rPr>
        <w:t>negativan</w:t>
      </w:r>
      <w:r w:rsidR="00EF43E2" w:rsidRPr="002A6F4E">
        <w:rPr>
          <w:rFonts w:ascii="Arial" w:hAnsi="Arial" w:cs="Arial"/>
          <w:lang w:val="sq-AL"/>
        </w:rPr>
        <w:t xml:space="preserve"> </w:t>
      </w:r>
      <w:r w:rsidRPr="002A6F4E">
        <w:rPr>
          <w:rFonts w:ascii="Arial" w:hAnsi="Arial" w:cs="Arial"/>
          <w:lang w:val="sq-AL"/>
        </w:rPr>
        <w:t xml:space="preserve">uticaj otpada na životnu sredinu i </w:t>
      </w:r>
      <w:r w:rsidRPr="002A6F4E">
        <w:rPr>
          <w:rFonts w:ascii="Arial" w:hAnsi="Arial" w:cs="Arial"/>
          <w:lang w:val="sr-Latn-ME"/>
        </w:rPr>
        <w:t>zdravlje ljudi</w:t>
      </w:r>
      <w:r w:rsidRPr="002A6F4E">
        <w:rPr>
          <w:rFonts w:ascii="Arial" w:hAnsi="Arial" w:cs="Arial"/>
          <w:lang w:val="sq-AL"/>
        </w:rPr>
        <w:t>.</w:t>
      </w:r>
    </w:p>
    <w:p w14:paraId="275612B7" w14:textId="3830546B"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Sistem sakupljanja otpada koji se implementira u Crnoj Gori sastoji se prvenstveno od sakupljanja i odlaganja </w:t>
      </w:r>
      <w:r w:rsidR="00A0513B">
        <w:rPr>
          <w:rFonts w:ascii="Arial" w:hAnsi="Arial" w:cs="Arial"/>
          <w:lang w:val="sq-AL"/>
        </w:rPr>
        <w:t>miješanog</w:t>
      </w:r>
      <w:r w:rsidRPr="002A6F4E">
        <w:rPr>
          <w:rFonts w:ascii="Arial" w:hAnsi="Arial" w:cs="Arial"/>
          <w:lang w:val="sq-AL"/>
        </w:rPr>
        <w:t xml:space="preserve"> otpada na postojećim deponijama u Podgorici i Baru, kao i na zakonitim i nezakonitim odlagalištima. U nekim opštinama (npr.</w:t>
      </w:r>
      <w:r w:rsidR="00180128">
        <w:rPr>
          <w:rFonts w:ascii="Arial" w:hAnsi="Arial" w:cs="Arial"/>
          <w:lang w:val="sq-AL"/>
        </w:rPr>
        <w:t xml:space="preserve"> </w:t>
      </w:r>
      <w:r w:rsidR="00EF43E2">
        <w:rPr>
          <w:rFonts w:ascii="Arial" w:hAnsi="Arial" w:cs="Arial"/>
          <w:lang w:val="sq-AL"/>
        </w:rPr>
        <w:t>G</w:t>
      </w:r>
      <w:r w:rsidR="00180128">
        <w:rPr>
          <w:rFonts w:ascii="Arial" w:hAnsi="Arial" w:cs="Arial"/>
          <w:lang w:val="sq-AL"/>
        </w:rPr>
        <w:t>lavnom gradu</w:t>
      </w:r>
      <w:r w:rsidRPr="002A6F4E">
        <w:rPr>
          <w:rFonts w:ascii="Arial" w:hAnsi="Arial" w:cs="Arial"/>
          <w:lang w:val="sq-AL"/>
        </w:rPr>
        <w:t xml:space="preserve"> Podgorica) sprovode se odvojene aktivnosti sakupljanja i povrata recikl</w:t>
      </w:r>
      <w:r w:rsidR="00EF43E2">
        <w:rPr>
          <w:rFonts w:ascii="Arial" w:hAnsi="Arial" w:cs="Arial"/>
          <w:lang w:val="sq-AL"/>
        </w:rPr>
        <w:t>iranog</w:t>
      </w:r>
      <w:r w:rsidRPr="002A6F4E">
        <w:rPr>
          <w:rFonts w:ascii="Arial" w:hAnsi="Arial" w:cs="Arial"/>
          <w:lang w:val="sq-AL"/>
        </w:rPr>
        <w:t xml:space="preserve"> otpada, zelenog i kabastog otpada.</w:t>
      </w:r>
      <w:r w:rsidR="001E3D9B">
        <w:rPr>
          <w:rFonts w:ascii="Arial" w:hAnsi="Arial" w:cs="Arial"/>
          <w:lang w:val="sq-AL"/>
        </w:rPr>
        <w:t xml:space="preserve"> </w:t>
      </w:r>
      <w:r w:rsidRPr="002A6F4E">
        <w:rPr>
          <w:rFonts w:ascii="Arial" w:hAnsi="Arial" w:cs="Arial"/>
          <w:lang w:val="sq-AL"/>
        </w:rPr>
        <w:t xml:space="preserve">U sljedećoj tabeli dat je </w:t>
      </w:r>
      <w:r w:rsidR="00AD74D3">
        <w:rPr>
          <w:rFonts w:ascii="Arial" w:hAnsi="Arial" w:cs="Arial"/>
          <w:lang w:val="sq-AL"/>
        </w:rPr>
        <w:t>pregled</w:t>
      </w:r>
      <w:r w:rsidRPr="002A6F4E">
        <w:rPr>
          <w:rFonts w:ascii="Arial" w:hAnsi="Arial" w:cs="Arial"/>
          <w:lang w:val="sq-AL"/>
        </w:rPr>
        <w:t xml:space="preserve"> statusa upravljanja otpadom u Crnoj Gori.</w:t>
      </w:r>
    </w:p>
    <w:p w14:paraId="2C18AEAE" w14:textId="0B0DE4C4" w:rsidR="00C232D7" w:rsidRPr="00C92E31" w:rsidRDefault="00C232D7" w:rsidP="00C232D7">
      <w:pPr>
        <w:pStyle w:val="Caption"/>
        <w:rPr>
          <w:rFonts w:ascii="Arial" w:hAnsi="Arial" w:cs="Arial"/>
          <w:b w:val="0"/>
          <w:sz w:val="20"/>
          <w:szCs w:val="20"/>
          <w:lang w:val="sq-AL"/>
        </w:rPr>
      </w:pPr>
      <w:bookmarkStart w:id="789" w:name="_Toc189515602"/>
      <w:bookmarkStart w:id="790" w:name="_Toc190160719"/>
      <w:r w:rsidRPr="00C464BC">
        <w:rPr>
          <w:rFonts w:ascii="Arial" w:hAnsi="Arial" w:cs="Arial"/>
          <w:b w:val="0"/>
          <w:szCs w:val="20"/>
          <w:lang w:val="sq-AL"/>
        </w:rPr>
        <w:t xml:space="preserve">Tabela </w:t>
      </w:r>
      <w:r w:rsidRPr="00C464BC">
        <w:rPr>
          <w:rFonts w:ascii="Arial" w:hAnsi="Arial" w:cs="Arial"/>
          <w:b w:val="0"/>
          <w:szCs w:val="20"/>
        </w:rPr>
        <w:fldChar w:fldCharType="begin"/>
      </w:r>
      <w:r w:rsidRPr="00C464BC">
        <w:rPr>
          <w:rFonts w:ascii="Arial" w:hAnsi="Arial" w:cs="Arial"/>
          <w:b w:val="0"/>
          <w:szCs w:val="20"/>
          <w:lang w:val="sq-AL"/>
        </w:rPr>
        <w:instrText xml:space="preserve"> SEQ Tabela \* ARABIC </w:instrText>
      </w:r>
      <w:r w:rsidRPr="00C464BC">
        <w:rPr>
          <w:rFonts w:ascii="Arial" w:hAnsi="Arial" w:cs="Arial"/>
          <w:b w:val="0"/>
          <w:szCs w:val="20"/>
        </w:rPr>
        <w:fldChar w:fldCharType="separate"/>
      </w:r>
      <w:r w:rsidR="007274DA">
        <w:rPr>
          <w:rFonts w:ascii="Arial" w:hAnsi="Arial" w:cs="Arial"/>
          <w:b w:val="0"/>
          <w:noProof/>
          <w:szCs w:val="20"/>
          <w:lang w:val="sq-AL"/>
        </w:rPr>
        <w:t>29</w:t>
      </w:r>
      <w:r w:rsidRPr="00C464BC">
        <w:rPr>
          <w:rFonts w:ascii="Arial" w:hAnsi="Arial" w:cs="Arial"/>
          <w:b w:val="0"/>
          <w:szCs w:val="20"/>
        </w:rPr>
        <w:fldChar w:fldCharType="end"/>
      </w:r>
      <w:r w:rsidRPr="00C464BC">
        <w:rPr>
          <w:rFonts w:ascii="Arial" w:hAnsi="Arial" w:cs="Arial"/>
          <w:b w:val="0"/>
          <w:szCs w:val="20"/>
          <w:lang w:val="sq-AL"/>
        </w:rPr>
        <w:t xml:space="preserve"> </w:t>
      </w:r>
      <w:r w:rsidR="00AD74D3" w:rsidRPr="00C464BC">
        <w:rPr>
          <w:rFonts w:ascii="Arial" w:hAnsi="Arial" w:cs="Arial"/>
          <w:b w:val="0"/>
          <w:szCs w:val="20"/>
          <w:lang w:val="sq-AL"/>
        </w:rPr>
        <w:t>Postojeće stanje</w:t>
      </w:r>
      <w:r w:rsidRPr="00C464BC">
        <w:rPr>
          <w:rFonts w:ascii="Arial" w:hAnsi="Arial" w:cs="Arial"/>
          <w:b w:val="0"/>
          <w:szCs w:val="20"/>
          <w:lang w:val="sq-AL"/>
        </w:rPr>
        <w:t xml:space="preserve"> upravljanj</w:t>
      </w:r>
      <w:r w:rsidR="00C464BC">
        <w:rPr>
          <w:rFonts w:ascii="Arial" w:hAnsi="Arial" w:cs="Arial"/>
          <w:b w:val="0"/>
          <w:szCs w:val="20"/>
          <w:lang w:val="sq-AL"/>
        </w:rPr>
        <w:t>a</w:t>
      </w:r>
      <w:r w:rsidRPr="00C464BC">
        <w:rPr>
          <w:rFonts w:ascii="Arial" w:hAnsi="Arial" w:cs="Arial"/>
          <w:b w:val="0"/>
          <w:szCs w:val="20"/>
          <w:lang w:val="sq-AL"/>
        </w:rPr>
        <w:t xml:space="preserve"> otpadom u Crnoj Gori</w:t>
      </w:r>
      <w:bookmarkEnd w:id="789"/>
      <w:bookmarkEnd w:id="790"/>
      <w:r w:rsidR="00AD74D3">
        <w:rPr>
          <w:rStyle w:val="FootnoteReference"/>
          <w:rFonts w:eastAsia="Times New Roman" w:cs="Arial"/>
          <w:color w:val="000000"/>
        </w:rPr>
        <w:footnoteReference w:id="30"/>
      </w:r>
    </w:p>
    <w:tbl>
      <w:tblPr>
        <w:tblW w:w="5000" w:type="pct"/>
        <w:tblLook w:val="04A0" w:firstRow="1" w:lastRow="0" w:firstColumn="1" w:lastColumn="0" w:noHBand="0" w:noVBand="1"/>
      </w:tblPr>
      <w:tblGrid>
        <w:gridCol w:w="2702"/>
        <w:gridCol w:w="1543"/>
        <w:gridCol w:w="1759"/>
        <w:gridCol w:w="1666"/>
        <w:gridCol w:w="1668"/>
      </w:tblGrid>
      <w:tr w:rsidR="00C232D7" w:rsidRPr="002A6F4E" w14:paraId="5F8DA2F6" w14:textId="77777777" w:rsidTr="00C232D7">
        <w:trPr>
          <w:trHeight w:val="315"/>
        </w:trPr>
        <w:tc>
          <w:tcPr>
            <w:tcW w:w="1446" w:type="pct"/>
            <w:vMerge w:val="restart"/>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49F20587"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 </w:t>
            </w:r>
          </w:p>
        </w:tc>
        <w:tc>
          <w:tcPr>
            <w:tcW w:w="1768" w:type="pct"/>
            <w:gridSpan w:val="2"/>
            <w:tcBorders>
              <w:top w:val="single" w:sz="8" w:space="0" w:color="auto"/>
              <w:left w:val="nil"/>
              <w:bottom w:val="single" w:sz="8" w:space="0" w:color="auto"/>
              <w:right w:val="single" w:sz="8" w:space="0" w:color="000000"/>
            </w:tcBorders>
            <w:shd w:val="clear" w:color="auto" w:fill="F2F2F2" w:themeFill="background1" w:themeFillShade="F2"/>
            <w:vAlign w:val="center"/>
          </w:tcPr>
          <w:p w14:paraId="64CAEE59" w14:textId="77777777" w:rsidR="00C232D7" w:rsidRPr="009C3860" w:rsidRDefault="00C232D7" w:rsidP="00C232D7">
            <w:pPr>
              <w:spacing w:line="360" w:lineRule="auto"/>
              <w:rPr>
                <w:rFonts w:ascii="Arial" w:eastAsia="Times New Roman" w:hAnsi="Arial" w:cs="Arial"/>
                <w:b/>
                <w:bCs/>
                <w:color w:val="000000"/>
                <w:sz w:val="16"/>
                <w:szCs w:val="18"/>
                <w:lang w:val="sq-AL" w:eastAsia="el-GR"/>
              </w:rPr>
            </w:pPr>
            <w:r w:rsidRPr="009C3860">
              <w:rPr>
                <w:rFonts w:ascii="Arial" w:eastAsia="Times New Roman" w:hAnsi="Arial" w:cs="Arial"/>
                <w:b/>
                <w:bCs/>
                <w:sz w:val="16"/>
                <w:szCs w:val="18"/>
                <w:lang w:val="sq-AL" w:eastAsia="el-GR"/>
              </w:rPr>
              <w:t>2022</w:t>
            </w:r>
          </w:p>
        </w:tc>
        <w:tc>
          <w:tcPr>
            <w:tcW w:w="1785" w:type="pct"/>
            <w:gridSpan w:val="2"/>
            <w:tcBorders>
              <w:top w:val="single" w:sz="8" w:space="0" w:color="auto"/>
              <w:left w:val="nil"/>
              <w:bottom w:val="single" w:sz="8" w:space="0" w:color="auto"/>
              <w:right w:val="single" w:sz="8" w:space="0" w:color="000000"/>
            </w:tcBorders>
            <w:shd w:val="clear" w:color="auto" w:fill="F2F2F2" w:themeFill="background1" w:themeFillShade="F2"/>
            <w:vAlign w:val="center"/>
          </w:tcPr>
          <w:p w14:paraId="5826B229" w14:textId="77777777" w:rsidR="00C232D7" w:rsidRPr="009C3860" w:rsidRDefault="00C232D7" w:rsidP="00C232D7">
            <w:pPr>
              <w:spacing w:line="360" w:lineRule="auto"/>
              <w:rPr>
                <w:rFonts w:ascii="Arial" w:eastAsia="Times New Roman" w:hAnsi="Arial" w:cs="Arial"/>
                <w:b/>
                <w:bCs/>
                <w:color w:val="000000"/>
                <w:sz w:val="16"/>
                <w:szCs w:val="18"/>
                <w:lang w:val="sq-AL" w:eastAsia="el-GR"/>
              </w:rPr>
            </w:pPr>
            <w:r w:rsidRPr="009C3860">
              <w:rPr>
                <w:rFonts w:ascii="Arial" w:eastAsia="Times New Roman" w:hAnsi="Arial" w:cs="Arial"/>
                <w:b/>
                <w:bCs/>
                <w:sz w:val="16"/>
                <w:szCs w:val="18"/>
                <w:lang w:val="sq-AL" w:eastAsia="el-GR"/>
              </w:rPr>
              <w:t>2023</w:t>
            </w:r>
          </w:p>
        </w:tc>
      </w:tr>
      <w:tr w:rsidR="00C232D7" w:rsidRPr="002A6F4E" w14:paraId="0E2F76B7" w14:textId="77777777" w:rsidTr="00C232D7">
        <w:trPr>
          <w:trHeight w:val="315"/>
        </w:trPr>
        <w:tc>
          <w:tcPr>
            <w:tcW w:w="1446" w:type="pct"/>
            <w:vMerge/>
            <w:tcBorders>
              <w:top w:val="single" w:sz="8" w:space="0" w:color="auto"/>
              <w:left w:val="single" w:sz="8" w:space="0" w:color="auto"/>
              <w:bottom w:val="single" w:sz="8" w:space="0" w:color="000000"/>
              <w:right w:val="single" w:sz="8" w:space="0" w:color="auto"/>
            </w:tcBorders>
            <w:shd w:val="clear" w:color="auto" w:fill="F2F2F2" w:themeFill="background1" w:themeFillShade="F2"/>
            <w:vAlign w:val="center"/>
          </w:tcPr>
          <w:p w14:paraId="57B1AFED" w14:textId="77777777" w:rsidR="00C232D7" w:rsidRPr="009C3860" w:rsidRDefault="00C232D7" w:rsidP="00C232D7">
            <w:pPr>
              <w:spacing w:line="360" w:lineRule="auto"/>
              <w:rPr>
                <w:rFonts w:ascii="Arial" w:eastAsia="Times New Roman" w:hAnsi="Arial" w:cs="Arial"/>
                <w:color w:val="000000"/>
                <w:sz w:val="16"/>
                <w:szCs w:val="18"/>
                <w:lang w:val="sq-AL" w:eastAsia="el-GR"/>
              </w:rPr>
            </w:pPr>
          </w:p>
        </w:tc>
        <w:tc>
          <w:tcPr>
            <w:tcW w:w="826" w:type="pct"/>
            <w:tcBorders>
              <w:top w:val="nil"/>
              <w:left w:val="nil"/>
              <w:bottom w:val="single" w:sz="8" w:space="0" w:color="auto"/>
              <w:right w:val="single" w:sz="8" w:space="0" w:color="auto"/>
            </w:tcBorders>
            <w:shd w:val="clear" w:color="auto" w:fill="F2F2F2" w:themeFill="background1" w:themeFillShade="F2"/>
            <w:vAlign w:val="center"/>
          </w:tcPr>
          <w:p w14:paraId="56B6FAE7" w14:textId="77777777" w:rsidR="00C232D7" w:rsidRPr="009C3860" w:rsidRDefault="00C232D7" w:rsidP="00C232D7">
            <w:pPr>
              <w:spacing w:line="360" w:lineRule="auto"/>
              <w:rPr>
                <w:rFonts w:ascii="Arial" w:eastAsia="Times New Roman" w:hAnsi="Arial" w:cs="Arial"/>
                <w:b/>
                <w:bCs/>
                <w:color w:val="000000"/>
                <w:sz w:val="16"/>
                <w:szCs w:val="18"/>
                <w:lang w:val="sq-AL" w:eastAsia="el-GR"/>
              </w:rPr>
            </w:pPr>
            <w:r w:rsidRPr="009C3860">
              <w:rPr>
                <w:rFonts w:ascii="Arial" w:eastAsia="Times New Roman" w:hAnsi="Arial" w:cs="Arial"/>
                <w:b/>
                <w:bCs/>
                <w:sz w:val="16"/>
                <w:szCs w:val="18"/>
                <w:lang w:val="sq-AL" w:eastAsia="el-GR"/>
              </w:rPr>
              <w:t>t/god</w:t>
            </w:r>
          </w:p>
        </w:tc>
        <w:tc>
          <w:tcPr>
            <w:tcW w:w="942" w:type="pct"/>
            <w:tcBorders>
              <w:top w:val="nil"/>
              <w:left w:val="nil"/>
              <w:bottom w:val="single" w:sz="8" w:space="0" w:color="auto"/>
              <w:right w:val="single" w:sz="8" w:space="0" w:color="auto"/>
            </w:tcBorders>
            <w:shd w:val="clear" w:color="auto" w:fill="F2F2F2" w:themeFill="background1" w:themeFillShade="F2"/>
            <w:vAlign w:val="center"/>
          </w:tcPr>
          <w:p w14:paraId="44C447A9" w14:textId="77777777" w:rsidR="00C232D7" w:rsidRPr="009C3860" w:rsidRDefault="00C232D7" w:rsidP="00C232D7">
            <w:pPr>
              <w:spacing w:line="360" w:lineRule="auto"/>
              <w:rPr>
                <w:rFonts w:ascii="Arial" w:eastAsia="Times New Roman" w:hAnsi="Arial" w:cs="Arial"/>
                <w:b/>
                <w:bCs/>
                <w:color w:val="000000"/>
                <w:sz w:val="16"/>
                <w:szCs w:val="18"/>
                <w:lang w:val="sq-AL" w:eastAsia="el-GR"/>
              </w:rPr>
            </w:pPr>
            <w:r w:rsidRPr="009C3860">
              <w:rPr>
                <w:rFonts w:ascii="Arial" w:eastAsia="Times New Roman" w:hAnsi="Arial" w:cs="Arial"/>
                <w:b/>
                <w:bCs/>
                <w:sz w:val="16"/>
                <w:szCs w:val="18"/>
                <w:lang w:val="sq-AL" w:eastAsia="el-GR"/>
              </w:rPr>
              <w:t>%</w:t>
            </w:r>
          </w:p>
        </w:tc>
        <w:tc>
          <w:tcPr>
            <w:tcW w:w="892" w:type="pct"/>
            <w:tcBorders>
              <w:top w:val="nil"/>
              <w:left w:val="nil"/>
              <w:bottom w:val="single" w:sz="8" w:space="0" w:color="auto"/>
              <w:right w:val="single" w:sz="8" w:space="0" w:color="auto"/>
            </w:tcBorders>
            <w:shd w:val="clear" w:color="auto" w:fill="F2F2F2" w:themeFill="background1" w:themeFillShade="F2"/>
            <w:vAlign w:val="center"/>
          </w:tcPr>
          <w:p w14:paraId="38FDECC5" w14:textId="77777777" w:rsidR="00C232D7" w:rsidRPr="009C3860" w:rsidRDefault="00C232D7" w:rsidP="00C232D7">
            <w:pPr>
              <w:spacing w:line="360" w:lineRule="auto"/>
              <w:rPr>
                <w:rFonts w:ascii="Arial" w:eastAsia="Times New Roman" w:hAnsi="Arial" w:cs="Arial"/>
                <w:b/>
                <w:bCs/>
                <w:color w:val="000000"/>
                <w:sz w:val="16"/>
                <w:szCs w:val="18"/>
                <w:lang w:val="sq-AL" w:eastAsia="el-GR"/>
              </w:rPr>
            </w:pPr>
            <w:r w:rsidRPr="009C3860">
              <w:rPr>
                <w:rFonts w:ascii="Arial" w:eastAsia="Times New Roman" w:hAnsi="Arial" w:cs="Arial"/>
                <w:b/>
                <w:bCs/>
                <w:sz w:val="16"/>
                <w:szCs w:val="18"/>
                <w:lang w:val="sq-AL" w:eastAsia="el-GR"/>
              </w:rPr>
              <w:t>t/god</w:t>
            </w:r>
          </w:p>
        </w:tc>
        <w:tc>
          <w:tcPr>
            <w:tcW w:w="893" w:type="pct"/>
            <w:tcBorders>
              <w:top w:val="nil"/>
              <w:left w:val="nil"/>
              <w:bottom w:val="single" w:sz="8" w:space="0" w:color="auto"/>
              <w:right w:val="single" w:sz="8" w:space="0" w:color="auto"/>
            </w:tcBorders>
            <w:shd w:val="clear" w:color="auto" w:fill="F2F2F2" w:themeFill="background1" w:themeFillShade="F2"/>
            <w:vAlign w:val="center"/>
          </w:tcPr>
          <w:p w14:paraId="00711B43" w14:textId="77777777" w:rsidR="00C232D7" w:rsidRPr="009C3860" w:rsidRDefault="00C232D7" w:rsidP="00C232D7">
            <w:pPr>
              <w:spacing w:line="360" w:lineRule="auto"/>
              <w:rPr>
                <w:rFonts w:ascii="Arial" w:eastAsia="Times New Roman" w:hAnsi="Arial" w:cs="Arial"/>
                <w:b/>
                <w:bCs/>
                <w:color w:val="000000"/>
                <w:sz w:val="16"/>
                <w:szCs w:val="18"/>
                <w:lang w:val="sq-AL" w:eastAsia="el-GR"/>
              </w:rPr>
            </w:pPr>
            <w:r w:rsidRPr="009C3860">
              <w:rPr>
                <w:rFonts w:ascii="Arial" w:eastAsia="Times New Roman" w:hAnsi="Arial" w:cs="Arial"/>
                <w:b/>
                <w:bCs/>
                <w:sz w:val="16"/>
                <w:szCs w:val="18"/>
                <w:lang w:val="sq-AL" w:eastAsia="el-GR"/>
              </w:rPr>
              <w:t>%</w:t>
            </w:r>
          </w:p>
        </w:tc>
      </w:tr>
      <w:tr w:rsidR="00C232D7" w:rsidRPr="002A6F4E" w14:paraId="78C1676D" w14:textId="77777777" w:rsidTr="00C232D7">
        <w:trPr>
          <w:trHeight w:val="315"/>
        </w:trPr>
        <w:tc>
          <w:tcPr>
            <w:tcW w:w="1446" w:type="pct"/>
            <w:tcBorders>
              <w:top w:val="nil"/>
              <w:left w:val="single" w:sz="8" w:space="0" w:color="auto"/>
              <w:bottom w:val="single" w:sz="8" w:space="0" w:color="auto"/>
              <w:right w:val="single" w:sz="8" w:space="0" w:color="auto"/>
            </w:tcBorders>
            <w:shd w:val="clear" w:color="auto" w:fill="auto"/>
            <w:vAlign w:val="center"/>
          </w:tcPr>
          <w:p w14:paraId="4DEA05C0" w14:textId="0B69B306"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Generisani otpad</w:t>
            </w:r>
          </w:p>
          <w:p w14:paraId="25EB6FBB" w14:textId="77777777" w:rsidR="00C232D7" w:rsidRPr="009C3860" w:rsidRDefault="00C232D7" w:rsidP="00C232D7">
            <w:pPr>
              <w:spacing w:line="360" w:lineRule="auto"/>
              <w:rPr>
                <w:rFonts w:ascii="Arial" w:eastAsia="Times New Roman" w:hAnsi="Arial" w:cs="Arial"/>
                <w:color w:val="000000"/>
                <w:sz w:val="16"/>
                <w:szCs w:val="18"/>
                <w:lang w:val="sq-AL" w:eastAsia="el-GR"/>
              </w:rPr>
            </w:pPr>
          </w:p>
        </w:tc>
        <w:tc>
          <w:tcPr>
            <w:tcW w:w="826" w:type="pct"/>
            <w:tcBorders>
              <w:top w:val="nil"/>
              <w:left w:val="nil"/>
              <w:bottom w:val="single" w:sz="8" w:space="0" w:color="auto"/>
              <w:right w:val="single" w:sz="8" w:space="0" w:color="auto"/>
            </w:tcBorders>
            <w:shd w:val="clear" w:color="auto" w:fill="auto"/>
            <w:vAlign w:val="center"/>
          </w:tcPr>
          <w:p w14:paraId="542A13FA" w14:textId="77777777" w:rsidR="00C232D7" w:rsidRPr="009C3860" w:rsidRDefault="00C232D7" w:rsidP="00C232D7">
            <w:pPr>
              <w:spacing w:line="360" w:lineRule="auto"/>
              <w:rPr>
                <w:rFonts w:ascii="Arial" w:eastAsia="Times New Roman" w:hAnsi="Arial" w:cs="Arial"/>
                <w:b/>
                <w:bCs/>
                <w:color w:val="000000"/>
                <w:sz w:val="16"/>
                <w:szCs w:val="18"/>
                <w:lang w:val="sq-AL" w:eastAsia="el-GR"/>
              </w:rPr>
            </w:pPr>
            <w:r w:rsidRPr="009C3860">
              <w:rPr>
                <w:rFonts w:ascii="Arial" w:eastAsia="Times New Roman" w:hAnsi="Arial" w:cs="Arial"/>
                <w:b/>
                <w:bCs/>
                <w:color w:val="000000"/>
                <w:sz w:val="16"/>
                <w:szCs w:val="18"/>
                <w:lang w:val="sq-AL" w:eastAsia="el-GR"/>
              </w:rPr>
              <w:t xml:space="preserve">292.077 </w:t>
            </w:r>
          </w:p>
        </w:tc>
        <w:tc>
          <w:tcPr>
            <w:tcW w:w="942" w:type="pct"/>
            <w:tcBorders>
              <w:top w:val="nil"/>
              <w:left w:val="nil"/>
              <w:bottom w:val="single" w:sz="8" w:space="0" w:color="auto"/>
              <w:right w:val="single" w:sz="8" w:space="0" w:color="auto"/>
            </w:tcBorders>
            <w:shd w:val="clear" w:color="auto" w:fill="auto"/>
            <w:vAlign w:val="center"/>
          </w:tcPr>
          <w:p w14:paraId="6D4D3CC1" w14:textId="77777777" w:rsidR="00C232D7" w:rsidRPr="009C3860" w:rsidRDefault="00C232D7" w:rsidP="00C232D7">
            <w:pPr>
              <w:spacing w:line="360" w:lineRule="auto"/>
              <w:rPr>
                <w:rFonts w:ascii="Arial" w:eastAsia="Times New Roman" w:hAnsi="Arial" w:cs="Arial"/>
                <w:b/>
                <w:bCs/>
                <w:color w:val="000000"/>
                <w:sz w:val="16"/>
                <w:szCs w:val="18"/>
                <w:lang w:val="sq-AL" w:eastAsia="el-GR"/>
              </w:rPr>
            </w:pPr>
            <w:r w:rsidRPr="009C3860">
              <w:rPr>
                <w:rFonts w:ascii="Arial" w:eastAsia="Times New Roman" w:hAnsi="Arial" w:cs="Arial"/>
                <w:b/>
                <w:bCs/>
                <w:color w:val="000000"/>
                <w:sz w:val="16"/>
                <w:szCs w:val="18"/>
                <w:lang w:val="sq-AL" w:eastAsia="el-GR"/>
              </w:rPr>
              <w:t>100.0%</w:t>
            </w:r>
          </w:p>
        </w:tc>
        <w:tc>
          <w:tcPr>
            <w:tcW w:w="892" w:type="pct"/>
            <w:tcBorders>
              <w:top w:val="nil"/>
              <w:left w:val="nil"/>
              <w:bottom w:val="single" w:sz="8" w:space="0" w:color="auto"/>
              <w:right w:val="single" w:sz="8" w:space="0" w:color="auto"/>
            </w:tcBorders>
            <w:shd w:val="clear" w:color="auto" w:fill="auto"/>
            <w:vAlign w:val="center"/>
          </w:tcPr>
          <w:p w14:paraId="47209746" w14:textId="77777777" w:rsidR="00C232D7" w:rsidRPr="009C3860" w:rsidRDefault="00C232D7" w:rsidP="00C232D7">
            <w:pPr>
              <w:spacing w:line="360" w:lineRule="auto"/>
              <w:rPr>
                <w:rFonts w:ascii="Arial" w:eastAsia="Times New Roman" w:hAnsi="Arial" w:cs="Arial"/>
                <w:b/>
                <w:bCs/>
                <w:color w:val="000000"/>
                <w:sz w:val="16"/>
                <w:szCs w:val="18"/>
                <w:lang w:val="sq-AL" w:eastAsia="el-GR"/>
              </w:rPr>
            </w:pPr>
            <w:r w:rsidRPr="009C3860">
              <w:rPr>
                <w:rFonts w:ascii="Arial" w:hAnsi="Arial" w:cs="Arial"/>
                <w:b/>
                <w:sz w:val="16"/>
                <w:szCs w:val="18"/>
                <w:lang w:val="sr-Latn-RS"/>
              </w:rPr>
              <w:t>339.087</w:t>
            </w:r>
          </w:p>
        </w:tc>
        <w:tc>
          <w:tcPr>
            <w:tcW w:w="893" w:type="pct"/>
            <w:tcBorders>
              <w:top w:val="nil"/>
              <w:left w:val="nil"/>
              <w:bottom w:val="single" w:sz="8" w:space="0" w:color="auto"/>
              <w:right w:val="single" w:sz="8" w:space="0" w:color="auto"/>
            </w:tcBorders>
            <w:shd w:val="clear" w:color="auto" w:fill="auto"/>
            <w:vAlign w:val="center"/>
          </w:tcPr>
          <w:p w14:paraId="48582648" w14:textId="77777777" w:rsidR="00C232D7" w:rsidRPr="009C3860" w:rsidRDefault="00C232D7" w:rsidP="00C232D7">
            <w:pPr>
              <w:spacing w:line="360" w:lineRule="auto"/>
              <w:rPr>
                <w:rFonts w:ascii="Arial" w:eastAsia="Times New Roman" w:hAnsi="Arial" w:cs="Arial"/>
                <w:b/>
                <w:bCs/>
                <w:color w:val="000000"/>
                <w:sz w:val="16"/>
                <w:szCs w:val="18"/>
                <w:lang w:val="sq-AL" w:eastAsia="el-GR"/>
              </w:rPr>
            </w:pPr>
            <w:r w:rsidRPr="009C3860">
              <w:rPr>
                <w:rFonts w:ascii="Arial" w:eastAsia="Times New Roman" w:hAnsi="Arial" w:cs="Arial"/>
                <w:b/>
                <w:bCs/>
                <w:color w:val="000000"/>
                <w:sz w:val="16"/>
                <w:szCs w:val="18"/>
                <w:lang w:val="sq-AL" w:eastAsia="el-GR"/>
              </w:rPr>
              <w:t>100.0%</w:t>
            </w:r>
          </w:p>
        </w:tc>
      </w:tr>
      <w:tr w:rsidR="00C232D7" w:rsidRPr="002A6F4E" w14:paraId="4D073BAF" w14:textId="77777777" w:rsidTr="00C232D7">
        <w:trPr>
          <w:trHeight w:val="315"/>
        </w:trPr>
        <w:tc>
          <w:tcPr>
            <w:tcW w:w="1446" w:type="pct"/>
            <w:tcBorders>
              <w:top w:val="nil"/>
              <w:left w:val="single" w:sz="8" w:space="0" w:color="auto"/>
              <w:bottom w:val="single" w:sz="8" w:space="0" w:color="auto"/>
              <w:right w:val="single" w:sz="8" w:space="0" w:color="auto"/>
            </w:tcBorders>
            <w:shd w:val="clear" w:color="auto" w:fill="auto"/>
            <w:vAlign w:val="center"/>
          </w:tcPr>
          <w:p w14:paraId="2EA9C78B"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Sakupljeni otpad</w:t>
            </w:r>
          </w:p>
        </w:tc>
        <w:tc>
          <w:tcPr>
            <w:tcW w:w="826" w:type="pct"/>
            <w:tcBorders>
              <w:top w:val="nil"/>
              <w:left w:val="nil"/>
              <w:bottom w:val="single" w:sz="8" w:space="0" w:color="auto"/>
              <w:right w:val="single" w:sz="8" w:space="0" w:color="auto"/>
            </w:tcBorders>
            <w:shd w:val="clear" w:color="auto" w:fill="auto"/>
            <w:vAlign w:val="center"/>
          </w:tcPr>
          <w:p w14:paraId="4258FE95"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 xml:space="preserve">287.316 </w:t>
            </w:r>
          </w:p>
        </w:tc>
        <w:tc>
          <w:tcPr>
            <w:tcW w:w="942" w:type="pct"/>
            <w:tcBorders>
              <w:top w:val="nil"/>
              <w:left w:val="nil"/>
              <w:bottom w:val="single" w:sz="8" w:space="0" w:color="auto"/>
              <w:right w:val="single" w:sz="8" w:space="0" w:color="auto"/>
            </w:tcBorders>
            <w:shd w:val="clear" w:color="auto" w:fill="auto"/>
            <w:vAlign w:val="center"/>
          </w:tcPr>
          <w:p w14:paraId="6B2B60DC"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94.5%</w:t>
            </w:r>
          </w:p>
        </w:tc>
        <w:tc>
          <w:tcPr>
            <w:tcW w:w="892" w:type="pct"/>
            <w:tcBorders>
              <w:top w:val="nil"/>
              <w:left w:val="nil"/>
              <w:bottom w:val="single" w:sz="8" w:space="0" w:color="auto"/>
              <w:right w:val="single" w:sz="8" w:space="0" w:color="auto"/>
            </w:tcBorders>
            <w:shd w:val="clear" w:color="auto" w:fill="auto"/>
            <w:vAlign w:val="center"/>
          </w:tcPr>
          <w:p w14:paraId="7A2FC3BE"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 xml:space="preserve">308.904 </w:t>
            </w:r>
          </w:p>
        </w:tc>
        <w:tc>
          <w:tcPr>
            <w:tcW w:w="893" w:type="pct"/>
            <w:tcBorders>
              <w:top w:val="nil"/>
              <w:left w:val="nil"/>
              <w:bottom w:val="single" w:sz="8" w:space="0" w:color="auto"/>
              <w:right w:val="single" w:sz="8" w:space="0" w:color="auto"/>
            </w:tcBorders>
            <w:shd w:val="clear" w:color="auto" w:fill="auto"/>
            <w:vAlign w:val="center"/>
          </w:tcPr>
          <w:p w14:paraId="1575388D"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94.8%</w:t>
            </w:r>
          </w:p>
        </w:tc>
      </w:tr>
      <w:tr w:rsidR="00C232D7" w:rsidRPr="002A6F4E" w14:paraId="0B0CF49F" w14:textId="77777777" w:rsidTr="00C232D7">
        <w:trPr>
          <w:trHeight w:val="315"/>
        </w:trPr>
        <w:tc>
          <w:tcPr>
            <w:tcW w:w="1446" w:type="pct"/>
            <w:tcBorders>
              <w:top w:val="nil"/>
              <w:left w:val="single" w:sz="8" w:space="0" w:color="auto"/>
              <w:bottom w:val="single" w:sz="8" w:space="0" w:color="auto"/>
              <w:right w:val="single" w:sz="8" w:space="0" w:color="auto"/>
            </w:tcBorders>
            <w:shd w:val="clear" w:color="auto" w:fill="auto"/>
            <w:vAlign w:val="center"/>
          </w:tcPr>
          <w:p w14:paraId="298986D6"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Odvojeno sakupljene frakcije</w:t>
            </w:r>
          </w:p>
        </w:tc>
        <w:tc>
          <w:tcPr>
            <w:tcW w:w="826" w:type="pct"/>
            <w:tcBorders>
              <w:top w:val="nil"/>
              <w:left w:val="nil"/>
              <w:bottom w:val="single" w:sz="8" w:space="0" w:color="auto"/>
              <w:right w:val="single" w:sz="8" w:space="0" w:color="auto"/>
            </w:tcBorders>
            <w:shd w:val="clear" w:color="auto" w:fill="auto"/>
            <w:vAlign w:val="center"/>
          </w:tcPr>
          <w:p w14:paraId="1C06868D"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63.502</w:t>
            </w:r>
          </w:p>
        </w:tc>
        <w:tc>
          <w:tcPr>
            <w:tcW w:w="942" w:type="pct"/>
            <w:tcBorders>
              <w:top w:val="nil"/>
              <w:left w:val="nil"/>
              <w:bottom w:val="single" w:sz="8" w:space="0" w:color="auto"/>
              <w:right w:val="single" w:sz="8" w:space="0" w:color="auto"/>
            </w:tcBorders>
            <w:shd w:val="clear" w:color="auto" w:fill="auto"/>
            <w:vAlign w:val="center"/>
          </w:tcPr>
          <w:p w14:paraId="41649BA6"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20.9%</w:t>
            </w:r>
          </w:p>
        </w:tc>
        <w:tc>
          <w:tcPr>
            <w:tcW w:w="892" w:type="pct"/>
            <w:tcBorders>
              <w:top w:val="nil"/>
              <w:left w:val="nil"/>
              <w:bottom w:val="single" w:sz="8" w:space="0" w:color="auto"/>
              <w:right w:val="single" w:sz="8" w:space="0" w:color="auto"/>
            </w:tcBorders>
            <w:shd w:val="clear" w:color="auto" w:fill="auto"/>
            <w:vAlign w:val="center"/>
          </w:tcPr>
          <w:p w14:paraId="4BB413A2"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68.022</w:t>
            </w:r>
          </w:p>
        </w:tc>
        <w:tc>
          <w:tcPr>
            <w:tcW w:w="893" w:type="pct"/>
            <w:tcBorders>
              <w:top w:val="nil"/>
              <w:left w:val="nil"/>
              <w:bottom w:val="single" w:sz="8" w:space="0" w:color="auto"/>
              <w:right w:val="single" w:sz="8" w:space="0" w:color="auto"/>
            </w:tcBorders>
            <w:shd w:val="clear" w:color="auto" w:fill="auto"/>
            <w:vAlign w:val="center"/>
          </w:tcPr>
          <w:p w14:paraId="56621002"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20.9%</w:t>
            </w:r>
          </w:p>
        </w:tc>
      </w:tr>
      <w:tr w:rsidR="00C232D7" w:rsidRPr="002A6F4E" w14:paraId="6DA66863" w14:textId="77777777" w:rsidTr="00C232D7">
        <w:trPr>
          <w:trHeight w:val="315"/>
        </w:trPr>
        <w:tc>
          <w:tcPr>
            <w:tcW w:w="1446" w:type="pct"/>
            <w:tcBorders>
              <w:top w:val="nil"/>
              <w:left w:val="single" w:sz="8" w:space="0" w:color="auto"/>
              <w:bottom w:val="single" w:sz="8" w:space="0" w:color="auto"/>
              <w:right w:val="single" w:sz="8" w:space="0" w:color="auto"/>
            </w:tcBorders>
            <w:shd w:val="clear" w:color="auto" w:fill="auto"/>
          </w:tcPr>
          <w:p w14:paraId="0B112DB7"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Ambalažni otpad</w:t>
            </w:r>
          </w:p>
        </w:tc>
        <w:tc>
          <w:tcPr>
            <w:tcW w:w="826" w:type="pct"/>
            <w:tcBorders>
              <w:top w:val="nil"/>
              <w:left w:val="nil"/>
              <w:bottom w:val="single" w:sz="8" w:space="0" w:color="auto"/>
              <w:right w:val="single" w:sz="8" w:space="0" w:color="auto"/>
            </w:tcBorders>
            <w:shd w:val="clear" w:color="auto" w:fill="auto"/>
            <w:vAlign w:val="center"/>
          </w:tcPr>
          <w:p w14:paraId="2D137091"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21,766</w:t>
            </w:r>
          </w:p>
        </w:tc>
        <w:tc>
          <w:tcPr>
            <w:tcW w:w="942" w:type="pct"/>
            <w:tcBorders>
              <w:top w:val="nil"/>
              <w:left w:val="nil"/>
              <w:bottom w:val="single" w:sz="8" w:space="0" w:color="auto"/>
              <w:right w:val="single" w:sz="8" w:space="0" w:color="auto"/>
            </w:tcBorders>
            <w:shd w:val="clear" w:color="auto" w:fill="auto"/>
            <w:vAlign w:val="center"/>
          </w:tcPr>
          <w:p w14:paraId="5DD22F29"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7.2%</w:t>
            </w:r>
          </w:p>
        </w:tc>
        <w:tc>
          <w:tcPr>
            <w:tcW w:w="892" w:type="pct"/>
            <w:tcBorders>
              <w:top w:val="nil"/>
              <w:left w:val="nil"/>
              <w:bottom w:val="single" w:sz="8" w:space="0" w:color="auto"/>
              <w:right w:val="single" w:sz="8" w:space="0" w:color="auto"/>
            </w:tcBorders>
            <w:shd w:val="clear" w:color="auto" w:fill="auto"/>
            <w:vAlign w:val="center"/>
          </w:tcPr>
          <w:p w14:paraId="6368127B"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23,315</w:t>
            </w:r>
          </w:p>
        </w:tc>
        <w:tc>
          <w:tcPr>
            <w:tcW w:w="893" w:type="pct"/>
            <w:tcBorders>
              <w:top w:val="nil"/>
              <w:left w:val="nil"/>
              <w:bottom w:val="single" w:sz="8" w:space="0" w:color="auto"/>
              <w:right w:val="single" w:sz="8" w:space="0" w:color="auto"/>
            </w:tcBorders>
            <w:shd w:val="clear" w:color="auto" w:fill="auto"/>
            <w:vAlign w:val="center"/>
          </w:tcPr>
          <w:p w14:paraId="2A99E9AD"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7.2%</w:t>
            </w:r>
          </w:p>
        </w:tc>
      </w:tr>
      <w:tr w:rsidR="00C232D7" w:rsidRPr="002A6F4E" w14:paraId="30B6143F" w14:textId="77777777" w:rsidTr="00C232D7">
        <w:trPr>
          <w:trHeight w:val="315"/>
        </w:trPr>
        <w:tc>
          <w:tcPr>
            <w:tcW w:w="1446" w:type="pct"/>
            <w:tcBorders>
              <w:top w:val="nil"/>
              <w:left w:val="single" w:sz="8" w:space="0" w:color="auto"/>
              <w:bottom w:val="single" w:sz="8" w:space="0" w:color="auto"/>
              <w:right w:val="single" w:sz="8" w:space="0" w:color="auto"/>
            </w:tcBorders>
            <w:shd w:val="clear" w:color="auto" w:fill="auto"/>
          </w:tcPr>
          <w:p w14:paraId="23FF964D"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Zeleni otpad</w:t>
            </w:r>
          </w:p>
        </w:tc>
        <w:tc>
          <w:tcPr>
            <w:tcW w:w="826" w:type="pct"/>
            <w:tcBorders>
              <w:top w:val="nil"/>
              <w:left w:val="nil"/>
              <w:bottom w:val="single" w:sz="8" w:space="0" w:color="auto"/>
              <w:right w:val="single" w:sz="8" w:space="0" w:color="auto"/>
            </w:tcBorders>
            <w:shd w:val="clear" w:color="auto" w:fill="auto"/>
            <w:vAlign w:val="center"/>
          </w:tcPr>
          <w:p w14:paraId="1F35D706"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6,997</w:t>
            </w:r>
          </w:p>
        </w:tc>
        <w:tc>
          <w:tcPr>
            <w:tcW w:w="942" w:type="pct"/>
            <w:tcBorders>
              <w:top w:val="nil"/>
              <w:left w:val="nil"/>
              <w:bottom w:val="single" w:sz="8" w:space="0" w:color="auto"/>
              <w:right w:val="single" w:sz="8" w:space="0" w:color="auto"/>
            </w:tcBorders>
            <w:shd w:val="clear" w:color="auto" w:fill="auto"/>
            <w:vAlign w:val="center"/>
          </w:tcPr>
          <w:p w14:paraId="6F86CCDB"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2.3%</w:t>
            </w:r>
          </w:p>
        </w:tc>
        <w:tc>
          <w:tcPr>
            <w:tcW w:w="892" w:type="pct"/>
            <w:tcBorders>
              <w:top w:val="nil"/>
              <w:left w:val="nil"/>
              <w:bottom w:val="single" w:sz="8" w:space="0" w:color="auto"/>
              <w:right w:val="single" w:sz="8" w:space="0" w:color="auto"/>
            </w:tcBorders>
            <w:shd w:val="clear" w:color="auto" w:fill="auto"/>
            <w:vAlign w:val="center"/>
          </w:tcPr>
          <w:p w14:paraId="216DD8EF"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7,495</w:t>
            </w:r>
          </w:p>
        </w:tc>
        <w:tc>
          <w:tcPr>
            <w:tcW w:w="893" w:type="pct"/>
            <w:tcBorders>
              <w:top w:val="nil"/>
              <w:left w:val="nil"/>
              <w:bottom w:val="single" w:sz="8" w:space="0" w:color="auto"/>
              <w:right w:val="single" w:sz="8" w:space="0" w:color="auto"/>
            </w:tcBorders>
            <w:shd w:val="clear" w:color="auto" w:fill="auto"/>
            <w:vAlign w:val="center"/>
          </w:tcPr>
          <w:p w14:paraId="0E28078B"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2.3%</w:t>
            </w:r>
          </w:p>
        </w:tc>
      </w:tr>
      <w:tr w:rsidR="00C232D7" w:rsidRPr="002A6F4E" w14:paraId="50C2F530" w14:textId="77777777" w:rsidTr="00C232D7">
        <w:trPr>
          <w:trHeight w:val="315"/>
        </w:trPr>
        <w:tc>
          <w:tcPr>
            <w:tcW w:w="1446" w:type="pct"/>
            <w:tcBorders>
              <w:top w:val="nil"/>
              <w:left w:val="single" w:sz="8" w:space="0" w:color="auto"/>
              <w:bottom w:val="single" w:sz="8" w:space="0" w:color="auto"/>
              <w:right w:val="single" w:sz="8" w:space="0" w:color="auto"/>
            </w:tcBorders>
            <w:shd w:val="clear" w:color="auto" w:fill="auto"/>
          </w:tcPr>
          <w:p w14:paraId="543389EE"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lastRenderedPageBreak/>
              <w:t>Drugi otpad (npr. kabasti)</w:t>
            </w:r>
          </w:p>
        </w:tc>
        <w:tc>
          <w:tcPr>
            <w:tcW w:w="826" w:type="pct"/>
            <w:tcBorders>
              <w:top w:val="nil"/>
              <w:left w:val="nil"/>
              <w:bottom w:val="single" w:sz="8" w:space="0" w:color="auto"/>
              <w:right w:val="single" w:sz="8" w:space="0" w:color="auto"/>
            </w:tcBorders>
            <w:shd w:val="clear" w:color="auto" w:fill="auto"/>
            <w:vAlign w:val="center"/>
          </w:tcPr>
          <w:p w14:paraId="583F4F85"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34,739</w:t>
            </w:r>
          </w:p>
        </w:tc>
        <w:tc>
          <w:tcPr>
            <w:tcW w:w="942" w:type="pct"/>
            <w:tcBorders>
              <w:top w:val="nil"/>
              <w:left w:val="nil"/>
              <w:bottom w:val="single" w:sz="8" w:space="0" w:color="auto"/>
              <w:right w:val="single" w:sz="8" w:space="0" w:color="auto"/>
            </w:tcBorders>
            <w:shd w:val="clear" w:color="auto" w:fill="auto"/>
            <w:vAlign w:val="center"/>
          </w:tcPr>
          <w:p w14:paraId="0FDA75EA"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11.4%</w:t>
            </w:r>
          </w:p>
        </w:tc>
        <w:tc>
          <w:tcPr>
            <w:tcW w:w="892" w:type="pct"/>
            <w:tcBorders>
              <w:top w:val="nil"/>
              <w:left w:val="nil"/>
              <w:bottom w:val="single" w:sz="8" w:space="0" w:color="auto"/>
              <w:right w:val="single" w:sz="8" w:space="0" w:color="auto"/>
            </w:tcBorders>
            <w:shd w:val="clear" w:color="auto" w:fill="auto"/>
            <w:vAlign w:val="center"/>
          </w:tcPr>
          <w:p w14:paraId="4AEA4841"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37,212</w:t>
            </w:r>
          </w:p>
        </w:tc>
        <w:tc>
          <w:tcPr>
            <w:tcW w:w="893" w:type="pct"/>
            <w:tcBorders>
              <w:top w:val="nil"/>
              <w:left w:val="nil"/>
              <w:bottom w:val="single" w:sz="8" w:space="0" w:color="auto"/>
              <w:right w:val="single" w:sz="8" w:space="0" w:color="auto"/>
            </w:tcBorders>
            <w:shd w:val="clear" w:color="auto" w:fill="auto"/>
            <w:vAlign w:val="center"/>
          </w:tcPr>
          <w:p w14:paraId="18E2D2F0"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11.4%</w:t>
            </w:r>
          </w:p>
        </w:tc>
      </w:tr>
      <w:tr w:rsidR="00C232D7" w:rsidRPr="002A6F4E" w14:paraId="67900DAB" w14:textId="77777777" w:rsidTr="00C232D7">
        <w:trPr>
          <w:trHeight w:val="315"/>
        </w:trPr>
        <w:tc>
          <w:tcPr>
            <w:tcW w:w="1446" w:type="pct"/>
            <w:tcBorders>
              <w:top w:val="nil"/>
              <w:left w:val="single" w:sz="8" w:space="0" w:color="auto"/>
              <w:bottom w:val="single" w:sz="8" w:space="0" w:color="auto"/>
              <w:right w:val="single" w:sz="8" w:space="0" w:color="auto"/>
            </w:tcBorders>
            <w:shd w:val="clear" w:color="auto" w:fill="auto"/>
            <w:vAlign w:val="center"/>
          </w:tcPr>
          <w:p w14:paraId="62450E86" w14:textId="177C9D8D"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 xml:space="preserve">Sakupljen </w:t>
            </w:r>
            <w:r w:rsidR="00C464BC" w:rsidRPr="009C3860">
              <w:rPr>
                <w:rFonts w:ascii="Arial" w:eastAsia="Times New Roman" w:hAnsi="Arial" w:cs="Arial"/>
                <w:color w:val="000000"/>
                <w:sz w:val="16"/>
                <w:szCs w:val="18"/>
                <w:lang w:val="sq-AL" w:eastAsia="el-GR"/>
              </w:rPr>
              <w:t>miješani</w:t>
            </w:r>
            <w:r w:rsidRPr="009C3860">
              <w:rPr>
                <w:rFonts w:ascii="Arial" w:eastAsia="Times New Roman" w:hAnsi="Arial" w:cs="Arial"/>
                <w:color w:val="000000"/>
                <w:sz w:val="16"/>
                <w:szCs w:val="18"/>
                <w:lang w:val="sq-AL" w:eastAsia="el-GR"/>
              </w:rPr>
              <w:t xml:space="preserve"> otpad</w:t>
            </w:r>
          </w:p>
        </w:tc>
        <w:tc>
          <w:tcPr>
            <w:tcW w:w="826" w:type="pct"/>
            <w:tcBorders>
              <w:top w:val="nil"/>
              <w:left w:val="nil"/>
              <w:bottom w:val="single" w:sz="8" w:space="0" w:color="auto"/>
              <w:right w:val="single" w:sz="8" w:space="0" w:color="auto"/>
            </w:tcBorders>
            <w:shd w:val="clear" w:color="auto" w:fill="auto"/>
            <w:vAlign w:val="center"/>
          </w:tcPr>
          <w:p w14:paraId="0E4B0D97"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 xml:space="preserve">213.814 </w:t>
            </w:r>
          </w:p>
        </w:tc>
        <w:tc>
          <w:tcPr>
            <w:tcW w:w="942" w:type="pct"/>
            <w:tcBorders>
              <w:top w:val="nil"/>
              <w:left w:val="nil"/>
              <w:bottom w:val="single" w:sz="8" w:space="0" w:color="auto"/>
              <w:right w:val="single" w:sz="8" w:space="0" w:color="auto"/>
            </w:tcBorders>
            <w:shd w:val="clear" w:color="auto" w:fill="auto"/>
            <w:vAlign w:val="center"/>
          </w:tcPr>
          <w:p w14:paraId="70550456"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73.6%</w:t>
            </w:r>
          </w:p>
        </w:tc>
        <w:tc>
          <w:tcPr>
            <w:tcW w:w="892" w:type="pct"/>
            <w:tcBorders>
              <w:top w:val="nil"/>
              <w:left w:val="nil"/>
              <w:bottom w:val="single" w:sz="8" w:space="0" w:color="auto"/>
              <w:right w:val="single" w:sz="8" w:space="0" w:color="auto"/>
            </w:tcBorders>
            <w:shd w:val="clear" w:color="auto" w:fill="auto"/>
            <w:vAlign w:val="center"/>
          </w:tcPr>
          <w:p w14:paraId="08945713"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 xml:space="preserve">240.882 </w:t>
            </w:r>
          </w:p>
        </w:tc>
        <w:tc>
          <w:tcPr>
            <w:tcW w:w="893" w:type="pct"/>
            <w:tcBorders>
              <w:top w:val="nil"/>
              <w:left w:val="nil"/>
              <w:bottom w:val="single" w:sz="8" w:space="0" w:color="auto"/>
              <w:right w:val="single" w:sz="8" w:space="0" w:color="auto"/>
            </w:tcBorders>
            <w:shd w:val="clear" w:color="auto" w:fill="auto"/>
            <w:vAlign w:val="center"/>
          </w:tcPr>
          <w:p w14:paraId="3DDD22E2"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74%</w:t>
            </w:r>
          </w:p>
        </w:tc>
      </w:tr>
      <w:tr w:rsidR="00C232D7" w:rsidRPr="002A6F4E" w14:paraId="4E0ED00D" w14:textId="77777777" w:rsidTr="00C232D7">
        <w:trPr>
          <w:trHeight w:val="315"/>
        </w:trPr>
        <w:tc>
          <w:tcPr>
            <w:tcW w:w="1446" w:type="pct"/>
            <w:tcBorders>
              <w:top w:val="nil"/>
              <w:left w:val="single" w:sz="8" w:space="0" w:color="auto"/>
              <w:bottom w:val="single" w:sz="8" w:space="0" w:color="auto"/>
              <w:right w:val="single" w:sz="8" w:space="0" w:color="auto"/>
            </w:tcBorders>
            <w:shd w:val="clear" w:color="auto" w:fill="auto"/>
            <w:vAlign w:val="center"/>
          </w:tcPr>
          <w:p w14:paraId="1C694399" w14:textId="3E07ACC5"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 xml:space="preserve">Otpad za </w:t>
            </w:r>
            <w:r w:rsidRPr="009C3860">
              <w:rPr>
                <w:rFonts w:ascii="Arial" w:eastAsia="Times New Roman" w:hAnsi="Arial" w:cs="Arial"/>
                <w:color w:val="000000"/>
                <w:sz w:val="16"/>
                <w:szCs w:val="18"/>
                <w:lang w:val="de-DE" w:eastAsia="el-GR"/>
              </w:rPr>
              <w:t>sortiranje</w:t>
            </w:r>
            <w:r w:rsidR="00EF43E2" w:rsidRPr="009C3860">
              <w:rPr>
                <w:rFonts w:ascii="Arial" w:eastAsia="Times New Roman" w:hAnsi="Arial" w:cs="Arial"/>
                <w:color w:val="000000"/>
                <w:sz w:val="16"/>
                <w:szCs w:val="18"/>
                <w:lang w:val="de-DE" w:eastAsia="el-GR"/>
              </w:rPr>
              <w:t xml:space="preserve"> </w:t>
            </w:r>
            <w:r w:rsidRPr="009C3860">
              <w:rPr>
                <w:rFonts w:ascii="Arial" w:eastAsia="Times New Roman" w:hAnsi="Arial" w:cs="Arial"/>
                <w:color w:val="000000"/>
                <w:sz w:val="16"/>
                <w:szCs w:val="18"/>
                <w:lang w:val="de-DE" w:eastAsia="el-GR"/>
              </w:rPr>
              <w:t>-MRF/postrojenja za kompostiranje</w:t>
            </w:r>
          </w:p>
        </w:tc>
        <w:tc>
          <w:tcPr>
            <w:tcW w:w="826" w:type="pct"/>
            <w:tcBorders>
              <w:top w:val="nil"/>
              <w:left w:val="nil"/>
              <w:bottom w:val="single" w:sz="8" w:space="0" w:color="auto"/>
              <w:right w:val="single" w:sz="8" w:space="0" w:color="auto"/>
            </w:tcBorders>
            <w:shd w:val="clear" w:color="auto" w:fill="auto"/>
            <w:vAlign w:val="center"/>
          </w:tcPr>
          <w:p w14:paraId="0D52FC55"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53.614</w:t>
            </w:r>
          </w:p>
        </w:tc>
        <w:tc>
          <w:tcPr>
            <w:tcW w:w="942" w:type="pct"/>
            <w:tcBorders>
              <w:top w:val="nil"/>
              <w:left w:val="nil"/>
              <w:bottom w:val="single" w:sz="8" w:space="0" w:color="auto"/>
              <w:right w:val="single" w:sz="8" w:space="0" w:color="auto"/>
            </w:tcBorders>
            <w:shd w:val="clear" w:color="auto" w:fill="auto"/>
            <w:vAlign w:val="center"/>
          </w:tcPr>
          <w:p w14:paraId="43A701C0"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18.0%</w:t>
            </w:r>
          </w:p>
        </w:tc>
        <w:tc>
          <w:tcPr>
            <w:tcW w:w="892" w:type="pct"/>
            <w:tcBorders>
              <w:top w:val="nil"/>
              <w:left w:val="nil"/>
              <w:bottom w:val="single" w:sz="8" w:space="0" w:color="auto"/>
              <w:right w:val="single" w:sz="8" w:space="0" w:color="auto"/>
            </w:tcBorders>
            <w:shd w:val="clear" w:color="auto" w:fill="auto"/>
            <w:vAlign w:val="center"/>
          </w:tcPr>
          <w:p w14:paraId="78FAF76A"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58.502</w:t>
            </w:r>
          </w:p>
        </w:tc>
        <w:tc>
          <w:tcPr>
            <w:tcW w:w="893" w:type="pct"/>
            <w:tcBorders>
              <w:top w:val="nil"/>
              <w:left w:val="nil"/>
              <w:bottom w:val="single" w:sz="8" w:space="0" w:color="auto"/>
              <w:right w:val="single" w:sz="8" w:space="0" w:color="auto"/>
            </w:tcBorders>
            <w:shd w:val="clear" w:color="auto" w:fill="auto"/>
            <w:vAlign w:val="center"/>
          </w:tcPr>
          <w:p w14:paraId="4EF2A773"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18.0%</w:t>
            </w:r>
          </w:p>
        </w:tc>
      </w:tr>
      <w:tr w:rsidR="00C232D7" w:rsidRPr="002A6F4E" w14:paraId="4C8CD77E" w14:textId="77777777" w:rsidTr="00C232D7">
        <w:trPr>
          <w:trHeight w:val="315"/>
        </w:trPr>
        <w:tc>
          <w:tcPr>
            <w:tcW w:w="1446" w:type="pct"/>
            <w:tcBorders>
              <w:top w:val="nil"/>
              <w:left w:val="single" w:sz="8" w:space="0" w:color="auto"/>
              <w:bottom w:val="single" w:sz="8" w:space="0" w:color="auto"/>
              <w:right w:val="single" w:sz="8" w:space="0" w:color="auto"/>
            </w:tcBorders>
            <w:shd w:val="clear" w:color="auto" w:fill="auto"/>
            <w:vAlign w:val="center"/>
          </w:tcPr>
          <w:p w14:paraId="2950646E" w14:textId="6E2CE543" w:rsidR="00C232D7" w:rsidRPr="009C3860" w:rsidRDefault="00C232D7" w:rsidP="00C232D7">
            <w:pPr>
              <w:spacing w:line="360" w:lineRule="auto"/>
              <w:rPr>
                <w:rFonts w:ascii="Arial" w:eastAsia="Times New Roman" w:hAnsi="Arial" w:cs="Arial"/>
                <w:color w:val="000000"/>
                <w:sz w:val="16"/>
                <w:szCs w:val="18"/>
                <w:highlight w:val="cyan"/>
                <w:lang w:val="sq-AL" w:eastAsia="el-GR"/>
              </w:rPr>
            </w:pPr>
            <w:r w:rsidRPr="009C3860">
              <w:rPr>
                <w:rFonts w:ascii="Arial" w:eastAsia="Times New Roman" w:hAnsi="Arial" w:cs="Arial"/>
                <w:color w:val="000000"/>
                <w:sz w:val="16"/>
                <w:szCs w:val="18"/>
                <w:lang w:eastAsia="el-GR"/>
              </w:rPr>
              <w:t>Recik</w:t>
            </w:r>
            <w:r w:rsidR="00EF43E2" w:rsidRPr="009C3860">
              <w:rPr>
                <w:rFonts w:ascii="Arial" w:eastAsia="Times New Roman" w:hAnsi="Arial" w:cs="Arial"/>
                <w:color w:val="000000"/>
                <w:sz w:val="16"/>
                <w:szCs w:val="18"/>
                <w:lang w:eastAsia="el-GR"/>
              </w:rPr>
              <w:t>irani</w:t>
            </w:r>
            <w:r w:rsidRPr="009C3860">
              <w:rPr>
                <w:rFonts w:ascii="Arial" w:eastAsia="Times New Roman" w:hAnsi="Arial" w:cs="Arial"/>
                <w:color w:val="000000"/>
                <w:sz w:val="16"/>
                <w:szCs w:val="18"/>
                <w:lang w:eastAsia="el-GR"/>
              </w:rPr>
              <w:t xml:space="preserve"> otpad iz </w:t>
            </w:r>
            <w:r w:rsidR="00C464BC" w:rsidRPr="009C3860">
              <w:rPr>
                <w:rFonts w:ascii="Arial" w:eastAsia="Times New Roman" w:hAnsi="Arial" w:cs="Arial"/>
                <w:color w:val="000000"/>
                <w:sz w:val="16"/>
                <w:szCs w:val="18"/>
                <w:lang w:eastAsia="el-GR"/>
              </w:rPr>
              <w:t>miješanog</w:t>
            </w:r>
            <w:r w:rsidRPr="009C3860">
              <w:rPr>
                <w:rFonts w:ascii="Arial" w:eastAsia="Times New Roman" w:hAnsi="Arial" w:cs="Arial"/>
                <w:color w:val="000000"/>
                <w:sz w:val="16"/>
                <w:szCs w:val="18"/>
                <w:lang w:eastAsia="el-GR"/>
              </w:rPr>
              <w:t xml:space="preserve"> otpada</w:t>
            </w:r>
          </w:p>
        </w:tc>
        <w:tc>
          <w:tcPr>
            <w:tcW w:w="826" w:type="pct"/>
            <w:tcBorders>
              <w:top w:val="nil"/>
              <w:left w:val="nil"/>
              <w:bottom w:val="single" w:sz="8" w:space="0" w:color="auto"/>
              <w:right w:val="single" w:sz="8" w:space="0" w:color="auto"/>
            </w:tcBorders>
            <w:shd w:val="clear" w:color="auto" w:fill="auto"/>
            <w:vAlign w:val="center"/>
          </w:tcPr>
          <w:p w14:paraId="0C29A469"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21,530</w:t>
            </w:r>
          </w:p>
        </w:tc>
        <w:tc>
          <w:tcPr>
            <w:tcW w:w="942" w:type="pct"/>
            <w:tcBorders>
              <w:top w:val="nil"/>
              <w:left w:val="nil"/>
              <w:bottom w:val="single" w:sz="8" w:space="0" w:color="auto"/>
              <w:right w:val="single" w:sz="8" w:space="0" w:color="auto"/>
            </w:tcBorders>
            <w:shd w:val="clear" w:color="auto" w:fill="auto"/>
            <w:vAlign w:val="center"/>
          </w:tcPr>
          <w:p w14:paraId="3494F875"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7.1%</w:t>
            </w:r>
          </w:p>
        </w:tc>
        <w:tc>
          <w:tcPr>
            <w:tcW w:w="892" w:type="pct"/>
            <w:tcBorders>
              <w:top w:val="nil"/>
              <w:left w:val="nil"/>
              <w:bottom w:val="single" w:sz="8" w:space="0" w:color="auto"/>
              <w:right w:val="single" w:sz="8" w:space="0" w:color="auto"/>
            </w:tcBorders>
            <w:shd w:val="clear" w:color="auto" w:fill="auto"/>
            <w:vAlign w:val="center"/>
          </w:tcPr>
          <w:p w14:paraId="520C6FB4"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23,063</w:t>
            </w:r>
          </w:p>
        </w:tc>
        <w:tc>
          <w:tcPr>
            <w:tcW w:w="893" w:type="pct"/>
            <w:tcBorders>
              <w:top w:val="nil"/>
              <w:left w:val="nil"/>
              <w:bottom w:val="single" w:sz="8" w:space="0" w:color="auto"/>
              <w:right w:val="single" w:sz="8" w:space="0" w:color="auto"/>
            </w:tcBorders>
            <w:shd w:val="clear" w:color="auto" w:fill="auto"/>
            <w:vAlign w:val="center"/>
          </w:tcPr>
          <w:p w14:paraId="42262601"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7.1%</w:t>
            </w:r>
          </w:p>
        </w:tc>
      </w:tr>
      <w:tr w:rsidR="00C232D7" w:rsidRPr="002A6F4E" w14:paraId="3C2E7E7A" w14:textId="77777777" w:rsidTr="00C232D7">
        <w:trPr>
          <w:trHeight w:val="315"/>
        </w:trPr>
        <w:tc>
          <w:tcPr>
            <w:tcW w:w="1446" w:type="pct"/>
            <w:tcBorders>
              <w:top w:val="nil"/>
              <w:left w:val="single" w:sz="8" w:space="0" w:color="auto"/>
              <w:bottom w:val="single" w:sz="8" w:space="0" w:color="auto"/>
              <w:right w:val="single" w:sz="8" w:space="0" w:color="auto"/>
            </w:tcBorders>
            <w:shd w:val="clear" w:color="auto" w:fill="auto"/>
            <w:vAlign w:val="center"/>
          </w:tcPr>
          <w:p w14:paraId="5233E286" w14:textId="049F4136" w:rsidR="00C232D7" w:rsidRPr="009C3860" w:rsidRDefault="00C232D7" w:rsidP="00C232D7">
            <w:pPr>
              <w:spacing w:line="360" w:lineRule="auto"/>
              <w:rPr>
                <w:rFonts w:ascii="Arial" w:eastAsia="Times New Roman" w:hAnsi="Arial" w:cs="Arial"/>
                <w:color w:val="000000"/>
                <w:sz w:val="16"/>
                <w:szCs w:val="18"/>
                <w:highlight w:val="cyan"/>
                <w:lang w:val="sq-AL" w:eastAsia="el-GR"/>
              </w:rPr>
            </w:pPr>
            <w:r w:rsidRPr="009C3860">
              <w:rPr>
                <w:rFonts w:ascii="Arial" w:eastAsia="Times New Roman" w:hAnsi="Arial" w:cs="Arial"/>
                <w:color w:val="000000"/>
                <w:sz w:val="16"/>
                <w:szCs w:val="18"/>
                <w:lang w:eastAsia="el-GR"/>
              </w:rPr>
              <w:t>Odvojeno sakupljeni ambalažni otpad</w:t>
            </w:r>
          </w:p>
        </w:tc>
        <w:tc>
          <w:tcPr>
            <w:tcW w:w="826" w:type="pct"/>
            <w:tcBorders>
              <w:top w:val="nil"/>
              <w:left w:val="nil"/>
              <w:bottom w:val="single" w:sz="8" w:space="0" w:color="auto"/>
              <w:right w:val="single" w:sz="8" w:space="0" w:color="auto"/>
            </w:tcBorders>
            <w:shd w:val="clear" w:color="auto" w:fill="auto"/>
            <w:vAlign w:val="center"/>
          </w:tcPr>
          <w:p w14:paraId="2B862225"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21,766</w:t>
            </w:r>
          </w:p>
        </w:tc>
        <w:tc>
          <w:tcPr>
            <w:tcW w:w="942" w:type="pct"/>
            <w:tcBorders>
              <w:top w:val="nil"/>
              <w:left w:val="nil"/>
              <w:bottom w:val="single" w:sz="8" w:space="0" w:color="auto"/>
              <w:right w:val="single" w:sz="8" w:space="0" w:color="auto"/>
            </w:tcBorders>
            <w:shd w:val="clear" w:color="auto" w:fill="auto"/>
            <w:vAlign w:val="center"/>
          </w:tcPr>
          <w:p w14:paraId="53D8BBC2"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7.2%</w:t>
            </w:r>
          </w:p>
        </w:tc>
        <w:tc>
          <w:tcPr>
            <w:tcW w:w="892" w:type="pct"/>
            <w:tcBorders>
              <w:top w:val="nil"/>
              <w:left w:val="nil"/>
              <w:bottom w:val="single" w:sz="8" w:space="0" w:color="auto"/>
              <w:right w:val="single" w:sz="8" w:space="0" w:color="auto"/>
            </w:tcBorders>
            <w:shd w:val="clear" w:color="auto" w:fill="auto"/>
            <w:vAlign w:val="center"/>
          </w:tcPr>
          <w:p w14:paraId="3CA7E4E8"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23,315</w:t>
            </w:r>
          </w:p>
        </w:tc>
        <w:tc>
          <w:tcPr>
            <w:tcW w:w="893" w:type="pct"/>
            <w:tcBorders>
              <w:top w:val="nil"/>
              <w:left w:val="nil"/>
              <w:bottom w:val="single" w:sz="8" w:space="0" w:color="auto"/>
              <w:right w:val="single" w:sz="8" w:space="0" w:color="auto"/>
            </w:tcBorders>
            <w:shd w:val="clear" w:color="auto" w:fill="auto"/>
            <w:vAlign w:val="center"/>
          </w:tcPr>
          <w:p w14:paraId="1005738C"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7.2%</w:t>
            </w:r>
          </w:p>
        </w:tc>
      </w:tr>
      <w:tr w:rsidR="00C232D7" w:rsidRPr="002A6F4E" w14:paraId="7143F07D" w14:textId="77777777" w:rsidTr="00C232D7">
        <w:trPr>
          <w:trHeight w:val="315"/>
        </w:trPr>
        <w:tc>
          <w:tcPr>
            <w:tcW w:w="1446" w:type="pct"/>
            <w:tcBorders>
              <w:top w:val="nil"/>
              <w:left w:val="single" w:sz="8" w:space="0" w:color="auto"/>
              <w:bottom w:val="single" w:sz="8" w:space="0" w:color="auto"/>
              <w:right w:val="single" w:sz="8" w:space="0" w:color="auto"/>
            </w:tcBorders>
            <w:shd w:val="clear" w:color="auto" w:fill="auto"/>
            <w:vAlign w:val="center"/>
          </w:tcPr>
          <w:p w14:paraId="5EB6E622" w14:textId="11EC661A" w:rsidR="00C232D7" w:rsidRPr="009C3860" w:rsidRDefault="00C464BC" w:rsidP="00C232D7">
            <w:pPr>
              <w:spacing w:line="360" w:lineRule="auto"/>
              <w:rPr>
                <w:rFonts w:ascii="Arial" w:eastAsia="Times New Roman" w:hAnsi="Arial" w:cs="Arial"/>
                <w:color w:val="000000"/>
                <w:sz w:val="16"/>
                <w:szCs w:val="18"/>
                <w:highlight w:val="cyan"/>
                <w:lang w:val="sq-AL" w:eastAsia="el-GR"/>
              </w:rPr>
            </w:pPr>
            <w:r w:rsidRPr="009C3860">
              <w:rPr>
                <w:rFonts w:ascii="Arial" w:eastAsia="Times New Roman" w:hAnsi="Arial" w:cs="Arial"/>
                <w:color w:val="000000"/>
                <w:sz w:val="16"/>
                <w:szCs w:val="18"/>
                <w:lang w:eastAsia="el-GR"/>
              </w:rPr>
              <w:t>B</w:t>
            </w:r>
            <w:r w:rsidR="00C232D7" w:rsidRPr="009C3860">
              <w:rPr>
                <w:rFonts w:ascii="Arial" w:eastAsia="Times New Roman" w:hAnsi="Arial" w:cs="Arial"/>
                <w:color w:val="000000"/>
                <w:sz w:val="16"/>
                <w:szCs w:val="18"/>
                <w:lang w:eastAsia="el-GR"/>
              </w:rPr>
              <w:t>iootpad</w:t>
            </w:r>
          </w:p>
        </w:tc>
        <w:tc>
          <w:tcPr>
            <w:tcW w:w="826" w:type="pct"/>
            <w:tcBorders>
              <w:top w:val="nil"/>
              <w:left w:val="nil"/>
              <w:bottom w:val="single" w:sz="8" w:space="0" w:color="auto"/>
              <w:right w:val="single" w:sz="8" w:space="0" w:color="auto"/>
            </w:tcBorders>
            <w:shd w:val="clear" w:color="auto" w:fill="auto"/>
            <w:vAlign w:val="center"/>
          </w:tcPr>
          <w:p w14:paraId="29A7A20F"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5,713</w:t>
            </w:r>
          </w:p>
        </w:tc>
        <w:tc>
          <w:tcPr>
            <w:tcW w:w="942" w:type="pct"/>
            <w:tcBorders>
              <w:top w:val="nil"/>
              <w:left w:val="nil"/>
              <w:bottom w:val="single" w:sz="8" w:space="0" w:color="auto"/>
              <w:right w:val="single" w:sz="8" w:space="0" w:color="auto"/>
            </w:tcBorders>
            <w:shd w:val="clear" w:color="auto" w:fill="auto"/>
            <w:vAlign w:val="center"/>
          </w:tcPr>
          <w:p w14:paraId="1F00EF05"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1.9%</w:t>
            </w:r>
          </w:p>
        </w:tc>
        <w:tc>
          <w:tcPr>
            <w:tcW w:w="892" w:type="pct"/>
            <w:tcBorders>
              <w:top w:val="nil"/>
              <w:left w:val="nil"/>
              <w:bottom w:val="single" w:sz="8" w:space="0" w:color="auto"/>
              <w:right w:val="single" w:sz="8" w:space="0" w:color="auto"/>
            </w:tcBorders>
            <w:shd w:val="clear" w:color="auto" w:fill="auto"/>
            <w:vAlign w:val="center"/>
          </w:tcPr>
          <w:p w14:paraId="01DE56EE"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6.120</w:t>
            </w:r>
          </w:p>
        </w:tc>
        <w:tc>
          <w:tcPr>
            <w:tcW w:w="893" w:type="pct"/>
            <w:tcBorders>
              <w:top w:val="nil"/>
              <w:left w:val="nil"/>
              <w:bottom w:val="single" w:sz="8" w:space="0" w:color="auto"/>
              <w:right w:val="single" w:sz="8" w:space="0" w:color="auto"/>
            </w:tcBorders>
            <w:shd w:val="clear" w:color="auto" w:fill="auto"/>
            <w:vAlign w:val="center"/>
          </w:tcPr>
          <w:p w14:paraId="49B9A035"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eastAsia="el-GR"/>
              </w:rPr>
              <w:t>1.9%</w:t>
            </w:r>
          </w:p>
        </w:tc>
      </w:tr>
      <w:tr w:rsidR="00C232D7" w:rsidRPr="002A6F4E" w14:paraId="25099C5C" w14:textId="77777777" w:rsidTr="00C232D7">
        <w:trPr>
          <w:trHeight w:val="315"/>
        </w:trPr>
        <w:tc>
          <w:tcPr>
            <w:tcW w:w="1446" w:type="pct"/>
            <w:tcBorders>
              <w:top w:val="nil"/>
              <w:left w:val="single" w:sz="8" w:space="0" w:color="auto"/>
              <w:bottom w:val="single" w:sz="8" w:space="0" w:color="auto"/>
              <w:right w:val="single" w:sz="8" w:space="0" w:color="auto"/>
            </w:tcBorders>
            <w:shd w:val="clear" w:color="auto" w:fill="auto"/>
            <w:vAlign w:val="center"/>
          </w:tcPr>
          <w:p w14:paraId="566DD715" w14:textId="77777777" w:rsidR="00C232D7" w:rsidRPr="009C3860" w:rsidRDefault="00C232D7" w:rsidP="00C232D7">
            <w:pPr>
              <w:spacing w:line="360" w:lineRule="auto"/>
              <w:rPr>
                <w:rFonts w:ascii="Arial" w:eastAsia="Times New Roman" w:hAnsi="Arial" w:cs="Arial"/>
                <w:color w:val="000000"/>
                <w:sz w:val="16"/>
                <w:szCs w:val="18"/>
                <w:highlight w:val="cyan"/>
                <w:lang w:eastAsia="el-GR"/>
              </w:rPr>
            </w:pPr>
            <w:r w:rsidRPr="009C3860">
              <w:rPr>
                <w:rFonts w:ascii="Arial" w:eastAsia="Times New Roman" w:hAnsi="Arial" w:cs="Arial"/>
                <w:color w:val="000000"/>
                <w:sz w:val="16"/>
                <w:szCs w:val="18"/>
                <w:lang w:val="sq-AL" w:eastAsia="el-GR"/>
              </w:rPr>
              <w:t>Drugi otpad (npr. kabasti)</w:t>
            </w:r>
          </w:p>
        </w:tc>
        <w:tc>
          <w:tcPr>
            <w:tcW w:w="826" w:type="pct"/>
            <w:tcBorders>
              <w:top w:val="nil"/>
              <w:left w:val="nil"/>
              <w:bottom w:val="single" w:sz="8" w:space="0" w:color="auto"/>
              <w:right w:val="single" w:sz="8" w:space="0" w:color="auto"/>
            </w:tcBorders>
            <w:shd w:val="clear" w:color="auto" w:fill="auto"/>
            <w:vAlign w:val="center"/>
          </w:tcPr>
          <w:p w14:paraId="4EE11B37" w14:textId="77777777" w:rsidR="00C232D7" w:rsidRPr="009C3860" w:rsidRDefault="00C232D7" w:rsidP="00C232D7">
            <w:pPr>
              <w:spacing w:line="360" w:lineRule="auto"/>
              <w:rPr>
                <w:rFonts w:ascii="Arial" w:eastAsia="Times New Roman" w:hAnsi="Arial" w:cs="Arial"/>
                <w:color w:val="000000"/>
                <w:sz w:val="16"/>
                <w:szCs w:val="18"/>
                <w:lang w:eastAsia="el-GR"/>
              </w:rPr>
            </w:pPr>
            <w:r w:rsidRPr="009C3860">
              <w:rPr>
                <w:rFonts w:ascii="Arial" w:eastAsia="Times New Roman" w:hAnsi="Arial" w:cs="Arial"/>
                <w:color w:val="000000"/>
                <w:sz w:val="16"/>
                <w:szCs w:val="18"/>
                <w:lang w:eastAsia="el-GR"/>
              </w:rPr>
              <w:t>5.605</w:t>
            </w:r>
          </w:p>
        </w:tc>
        <w:tc>
          <w:tcPr>
            <w:tcW w:w="942" w:type="pct"/>
            <w:tcBorders>
              <w:top w:val="nil"/>
              <w:left w:val="nil"/>
              <w:bottom w:val="single" w:sz="8" w:space="0" w:color="auto"/>
              <w:right w:val="single" w:sz="8" w:space="0" w:color="auto"/>
            </w:tcBorders>
            <w:shd w:val="clear" w:color="auto" w:fill="auto"/>
            <w:vAlign w:val="center"/>
          </w:tcPr>
          <w:p w14:paraId="2CDDFDF9" w14:textId="77777777" w:rsidR="00C232D7" w:rsidRPr="009C3860" w:rsidRDefault="00C232D7" w:rsidP="00C232D7">
            <w:pPr>
              <w:spacing w:line="360" w:lineRule="auto"/>
              <w:rPr>
                <w:rFonts w:ascii="Arial" w:eastAsia="Times New Roman" w:hAnsi="Arial" w:cs="Arial"/>
                <w:color w:val="000000"/>
                <w:sz w:val="16"/>
                <w:szCs w:val="18"/>
                <w:lang w:eastAsia="el-GR"/>
              </w:rPr>
            </w:pPr>
            <w:r w:rsidRPr="009C3860">
              <w:rPr>
                <w:rFonts w:ascii="Arial" w:eastAsia="Times New Roman" w:hAnsi="Arial" w:cs="Arial"/>
                <w:color w:val="000000"/>
                <w:sz w:val="16"/>
                <w:szCs w:val="18"/>
                <w:lang w:eastAsia="el-GR"/>
              </w:rPr>
              <w:t>1.8%</w:t>
            </w:r>
          </w:p>
        </w:tc>
        <w:tc>
          <w:tcPr>
            <w:tcW w:w="892" w:type="pct"/>
            <w:tcBorders>
              <w:top w:val="nil"/>
              <w:left w:val="nil"/>
              <w:bottom w:val="single" w:sz="8" w:space="0" w:color="auto"/>
              <w:right w:val="single" w:sz="8" w:space="0" w:color="auto"/>
            </w:tcBorders>
            <w:shd w:val="clear" w:color="auto" w:fill="auto"/>
            <w:vAlign w:val="center"/>
          </w:tcPr>
          <w:p w14:paraId="5B650FFF" w14:textId="77777777" w:rsidR="00C232D7" w:rsidRPr="009C3860" w:rsidRDefault="00C232D7" w:rsidP="00C232D7">
            <w:pPr>
              <w:spacing w:line="360" w:lineRule="auto"/>
              <w:rPr>
                <w:rFonts w:ascii="Arial" w:eastAsia="Times New Roman" w:hAnsi="Arial" w:cs="Arial"/>
                <w:color w:val="000000"/>
                <w:sz w:val="16"/>
                <w:szCs w:val="18"/>
                <w:lang w:eastAsia="el-GR"/>
              </w:rPr>
            </w:pPr>
            <w:r w:rsidRPr="009C3860">
              <w:rPr>
                <w:rFonts w:ascii="Arial" w:eastAsia="Times New Roman" w:hAnsi="Arial" w:cs="Arial"/>
                <w:color w:val="000000"/>
                <w:sz w:val="16"/>
                <w:szCs w:val="18"/>
                <w:lang w:eastAsia="el-GR"/>
              </w:rPr>
              <w:t>6.004</w:t>
            </w:r>
          </w:p>
        </w:tc>
        <w:tc>
          <w:tcPr>
            <w:tcW w:w="893" w:type="pct"/>
            <w:tcBorders>
              <w:top w:val="nil"/>
              <w:left w:val="nil"/>
              <w:bottom w:val="single" w:sz="8" w:space="0" w:color="auto"/>
              <w:right w:val="single" w:sz="8" w:space="0" w:color="auto"/>
            </w:tcBorders>
            <w:shd w:val="clear" w:color="auto" w:fill="auto"/>
            <w:vAlign w:val="center"/>
          </w:tcPr>
          <w:p w14:paraId="4F23A1F9" w14:textId="77777777" w:rsidR="00C232D7" w:rsidRPr="009C3860" w:rsidRDefault="00C232D7" w:rsidP="00C232D7">
            <w:pPr>
              <w:spacing w:line="360" w:lineRule="auto"/>
              <w:rPr>
                <w:rFonts w:ascii="Arial" w:eastAsia="Times New Roman" w:hAnsi="Arial" w:cs="Arial"/>
                <w:color w:val="000000"/>
                <w:sz w:val="16"/>
                <w:szCs w:val="18"/>
                <w:lang w:eastAsia="el-GR"/>
              </w:rPr>
            </w:pPr>
            <w:r w:rsidRPr="009C3860">
              <w:rPr>
                <w:rFonts w:ascii="Arial" w:eastAsia="Times New Roman" w:hAnsi="Arial" w:cs="Arial"/>
                <w:color w:val="000000"/>
                <w:sz w:val="16"/>
                <w:szCs w:val="18"/>
                <w:lang w:eastAsia="el-GR"/>
              </w:rPr>
              <w:t>1.8%</w:t>
            </w:r>
          </w:p>
        </w:tc>
      </w:tr>
      <w:tr w:rsidR="00C232D7" w:rsidRPr="002A6F4E" w14:paraId="5BEB4235" w14:textId="77777777" w:rsidTr="00C464BC">
        <w:trPr>
          <w:trHeight w:val="315"/>
        </w:trPr>
        <w:tc>
          <w:tcPr>
            <w:tcW w:w="1446" w:type="pct"/>
            <w:tcBorders>
              <w:top w:val="single" w:sz="4" w:space="0" w:color="auto"/>
              <w:left w:val="single" w:sz="8" w:space="0" w:color="auto"/>
              <w:bottom w:val="single" w:sz="8" w:space="0" w:color="auto"/>
              <w:right w:val="single" w:sz="8" w:space="0" w:color="auto"/>
            </w:tcBorders>
            <w:shd w:val="clear" w:color="auto" w:fill="auto"/>
            <w:vAlign w:val="center"/>
          </w:tcPr>
          <w:p w14:paraId="7CC03329" w14:textId="5EDE4E6A"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Otpad pr</w:t>
            </w:r>
            <w:r w:rsidR="00941EF9" w:rsidRPr="009C3860">
              <w:rPr>
                <w:rFonts w:ascii="Arial" w:eastAsia="Times New Roman" w:hAnsi="Arial" w:cs="Arial"/>
                <w:color w:val="000000"/>
                <w:sz w:val="16"/>
                <w:szCs w:val="18"/>
                <w:lang w:val="sq-AL" w:eastAsia="el-GR"/>
              </w:rPr>
              <w:t>ipremljen za ponovnu upotrebu</w:t>
            </w:r>
            <w:r w:rsidR="00EF43E2" w:rsidRPr="009C3860">
              <w:rPr>
                <w:rFonts w:ascii="Arial" w:eastAsia="Times New Roman" w:hAnsi="Arial" w:cs="Arial"/>
                <w:color w:val="000000"/>
                <w:sz w:val="16"/>
                <w:szCs w:val="18"/>
                <w:lang w:val="sq-AL" w:eastAsia="el-GR"/>
              </w:rPr>
              <w:t>/recikliranje</w:t>
            </w:r>
            <w:r w:rsidR="00941EF9" w:rsidRPr="009C3860">
              <w:rPr>
                <w:rFonts w:ascii="Arial" w:eastAsia="Times New Roman" w:hAnsi="Arial" w:cs="Arial"/>
                <w:color w:val="000000"/>
                <w:sz w:val="16"/>
                <w:szCs w:val="18"/>
                <w:lang w:val="sq-AL" w:eastAsia="el-GR"/>
              </w:rPr>
              <w:t xml:space="preserve"> </w:t>
            </w:r>
          </w:p>
        </w:tc>
        <w:tc>
          <w:tcPr>
            <w:tcW w:w="826" w:type="pct"/>
            <w:tcBorders>
              <w:top w:val="single" w:sz="4" w:space="0" w:color="auto"/>
              <w:left w:val="nil"/>
              <w:bottom w:val="single" w:sz="8" w:space="0" w:color="auto"/>
              <w:right w:val="single" w:sz="8" w:space="0" w:color="auto"/>
            </w:tcBorders>
            <w:shd w:val="clear" w:color="auto" w:fill="auto"/>
            <w:vAlign w:val="center"/>
          </w:tcPr>
          <w:p w14:paraId="74779F82"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20.805</w:t>
            </w:r>
          </w:p>
        </w:tc>
        <w:tc>
          <w:tcPr>
            <w:tcW w:w="942" w:type="pct"/>
            <w:tcBorders>
              <w:top w:val="single" w:sz="4" w:space="0" w:color="auto"/>
              <w:left w:val="nil"/>
              <w:bottom w:val="single" w:sz="8" w:space="0" w:color="auto"/>
              <w:right w:val="single" w:sz="8" w:space="0" w:color="auto"/>
            </w:tcBorders>
            <w:shd w:val="clear" w:color="auto" w:fill="auto"/>
            <w:vAlign w:val="center"/>
          </w:tcPr>
          <w:p w14:paraId="2C2F228F"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6.8%</w:t>
            </w:r>
          </w:p>
        </w:tc>
        <w:tc>
          <w:tcPr>
            <w:tcW w:w="892" w:type="pct"/>
            <w:tcBorders>
              <w:top w:val="single" w:sz="4" w:space="0" w:color="auto"/>
              <w:left w:val="nil"/>
              <w:bottom w:val="single" w:sz="8" w:space="0" w:color="auto"/>
              <w:right w:val="single" w:sz="8" w:space="0" w:color="auto"/>
            </w:tcBorders>
            <w:shd w:val="clear" w:color="auto" w:fill="auto"/>
            <w:vAlign w:val="center"/>
          </w:tcPr>
          <w:p w14:paraId="274D83D2"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22.286</w:t>
            </w:r>
          </w:p>
        </w:tc>
        <w:tc>
          <w:tcPr>
            <w:tcW w:w="893" w:type="pct"/>
            <w:tcBorders>
              <w:top w:val="single" w:sz="4" w:space="0" w:color="auto"/>
              <w:left w:val="nil"/>
              <w:bottom w:val="single" w:sz="8" w:space="0" w:color="auto"/>
              <w:right w:val="single" w:sz="8" w:space="0" w:color="auto"/>
            </w:tcBorders>
            <w:shd w:val="clear" w:color="auto" w:fill="auto"/>
            <w:vAlign w:val="center"/>
          </w:tcPr>
          <w:p w14:paraId="63C6C7C8"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6.8%</w:t>
            </w:r>
          </w:p>
        </w:tc>
      </w:tr>
      <w:tr w:rsidR="00C232D7" w:rsidRPr="002A6F4E" w14:paraId="4DBF3589" w14:textId="77777777" w:rsidTr="00C232D7">
        <w:trPr>
          <w:trHeight w:val="315"/>
        </w:trPr>
        <w:tc>
          <w:tcPr>
            <w:tcW w:w="1446" w:type="pct"/>
            <w:tcBorders>
              <w:top w:val="nil"/>
              <w:left w:val="single" w:sz="8" w:space="0" w:color="auto"/>
              <w:bottom w:val="single" w:sz="8" w:space="0" w:color="auto"/>
              <w:right w:val="single" w:sz="8" w:space="0" w:color="auto"/>
            </w:tcBorders>
            <w:shd w:val="clear" w:color="auto" w:fill="auto"/>
            <w:vAlign w:val="center"/>
          </w:tcPr>
          <w:p w14:paraId="6B57E370" w14:textId="725A3C42"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Količine izvezenog otpada</w:t>
            </w:r>
          </w:p>
        </w:tc>
        <w:tc>
          <w:tcPr>
            <w:tcW w:w="826" w:type="pct"/>
            <w:tcBorders>
              <w:top w:val="nil"/>
              <w:left w:val="nil"/>
              <w:bottom w:val="single" w:sz="8" w:space="0" w:color="auto"/>
              <w:right w:val="single" w:sz="8" w:space="0" w:color="auto"/>
            </w:tcBorders>
            <w:shd w:val="clear" w:color="auto" w:fill="auto"/>
            <w:vAlign w:val="center"/>
          </w:tcPr>
          <w:p w14:paraId="25BD2704"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 xml:space="preserve">14.723 </w:t>
            </w:r>
          </w:p>
        </w:tc>
        <w:tc>
          <w:tcPr>
            <w:tcW w:w="942" w:type="pct"/>
            <w:tcBorders>
              <w:top w:val="nil"/>
              <w:left w:val="nil"/>
              <w:bottom w:val="single" w:sz="8" w:space="0" w:color="auto"/>
              <w:right w:val="single" w:sz="8" w:space="0" w:color="auto"/>
            </w:tcBorders>
            <w:shd w:val="clear" w:color="auto" w:fill="auto"/>
            <w:vAlign w:val="center"/>
          </w:tcPr>
          <w:p w14:paraId="648E8A82"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4.8%</w:t>
            </w:r>
          </w:p>
        </w:tc>
        <w:tc>
          <w:tcPr>
            <w:tcW w:w="892" w:type="pct"/>
            <w:tcBorders>
              <w:top w:val="nil"/>
              <w:left w:val="nil"/>
              <w:bottom w:val="single" w:sz="8" w:space="0" w:color="auto"/>
              <w:right w:val="single" w:sz="8" w:space="0" w:color="auto"/>
            </w:tcBorders>
            <w:shd w:val="clear" w:color="auto" w:fill="auto"/>
            <w:vAlign w:val="center"/>
          </w:tcPr>
          <w:p w14:paraId="4B64970F"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15.771</w:t>
            </w:r>
          </w:p>
        </w:tc>
        <w:tc>
          <w:tcPr>
            <w:tcW w:w="893" w:type="pct"/>
            <w:tcBorders>
              <w:top w:val="nil"/>
              <w:left w:val="nil"/>
              <w:bottom w:val="single" w:sz="8" w:space="0" w:color="auto"/>
              <w:right w:val="single" w:sz="8" w:space="0" w:color="auto"/>
            </w:tcBorders>
            <w:shd w:val="clear" w:color="auto" w:fill="auto"/>
            <w:vAlign w:val="center"/>
          </w:tcPr>
          <w:p w14:paraId="6D0401A0"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4.8%</w:t>
            </w:r>
          </w:p>
        </w:tc>
      </w:tr>
      <w:tr w:rsidR="00C232D7" w:rsidRPr="002A6F4E" w14:paraId="338C49CA" w14:textId="77777777" w:rsidTr="00C232D7">
        <w:trPr>
          <w:trHeight w:val="315"/>
        </w:trPr>
        <w:tc>
          <w:tcPr>
            <w:tcW w:w="1446" w:type="pct"/>
            <w:tcBorders>
              <w:top w:val="nil"/>
              <w:left w:val="single" w:sz="8" w:space="0" w:color="auto"/>
              <w:bottom w:val="single" w:sz="8" w:space="0" w:color="auto"/>
              <w:right w:val="single" w:sz="8" w:space="0" w:color="auto"/>
            </w:tcBorders>
            <w:shd w:val="clear" w:color="auto" w:fill="auto"/>
            <w:vAlign w:val="center"/>
          </w:tcPr>
          <w:p w14:paraId="3B759D84"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 xml:space="preserve">Otpad koji se ne sakuplja i odlaže </w:t>
            </w:r>
          </w:p>
        </w:tc>
        <w:tc>
          <w:tcPr>
            <w:tcW w:w="826" w:type="pct"/>
            <w:tcBorders>
              <w:top w:val="nil"/>
              <w:left w:val="nil"/>
              <w:bottom w:val="single" w:sz="8" w:space="0" w:color="auto"/>
              <w:right w:val="single" w:sz="8" w:space="0" w:color="auto"/>
            </w:tcBorders>
            <w:shd w:val="clear" w:color="auto" w:fill="auto"/>
            <w:vAlign w:val="center"/>
          </w:tcPr>
          <w:p w14:paraId="2A289524"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 xml:space="preserve">16.747 </w:t>
            </w:r>
          </w:p>
        </w:tc>
        <w:tc>
          <w:tcPr>
            <w:tcW w:w="942" w:type="pct"/>
            <w:tcBorders>
              <w:top w:val="nil"/>
              <w:left w:val="nil"/>
              <w:bottom w:val="single" w:sz="8" w:space="0" w:color="auto"/>
              <w:right w:val="single" w:sz="8" w:space="0" w:color="auto"/>
            </w:tcBorders>
            <w:shd w:val="clear" w:color="auto" w:fill="auto"/>
            <w:vAlign w:val="center"/>
          </w:tcPr>
          <w:p w14:paraId="71EE44CA"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5.5%</w:t>
            </w:r>
          </w:p>
        </w:tc>
        <w:tc>
          <w:tcPr>
            <w:tcW w:w="892" w:type="pct"/>
            <w:tcBorders>
              <w:top w:val="nil"/>
              <w:left w:val="nil"/>
              <w:bottom w:val="single" w:sz="8" w:space="0" w:color="auto"/>
              <w:right w:val="single" w:sz="8" w:space="0" w:color="auto"/>
            </w:tcBorders>
            <w:shd w:val="clear" w:color="auto" w:fill="auto"/>
            <w:vAlign w:val="center"/>
          </w:tcPr>
          <w:p w14:paraId="5CD1FADC"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 xml:space="preserve">16.803 </w:t>
            </w:r>
          </w:p>
        </w:tc>
        <w:tc>
          <w:tcPr>
            <w:tcW w:w="893" w:type="pct"/>
            <w:tcBorders>
              <w:top w:val="nil"/>
              <w:left w:val="nil"/>
              <w:bottom w:val="single" w:sz="8" w:space="0" w:color="auto"/>
              <w:right w:val="single" w:sz="8" w:space="0" w:color="auto"/>
            </w:tcBorders>
            <w:shd w:val="clear" w:color="auto" w:fill="auto"/>
            <w:vAlign w:val="center"/>
          </w:tcPr>
          <w:p w14:paraId="7E919EF6"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5.2%</w:t>
            </w:r>
          </w:p>
        </w:tc>
      </w:tr>
      <w:tr w:rsidR="00C232D7" w:rsidRPr="002A6F4E" w14:paraId="16CD1424" w14:textId="77777777" w:rsidTr="00C232D7">
        <w:trPr>
          <w:trHeight w:val="315"/>
        </w:trPr>
        <w:tc>
          <w:tcPr>
            <w:tcW w:w="1446" w:type="pct"/>
            <w:tcBorders>
              <w:top w:val="nil"/>
              <w:left w:val="single" w:sz="8" w:space="0" w:color="auto"/>
              <w:bottom w:val="single" w:sz="8" w:space="0" w:color="auto"/>
              <w:right w:val="single" w:sz="8" w:space="0" w:color="auto"/>
            </w:tcBorders>
            <w:shd w:val="clear" w:color="auto" w:fill="auto"/>
            <w:vAlign w:val="center"/>
          </w:tcPr>
          <w:p w14:paraId="27F79F21"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Količine odloženog otpada</w:t>
            </w:r>
          </w:p>
        </w:tc>
        <w:tc>
          <w:tcPr>
            <w:tcW w:w="826" w:type="pct"/>
            <w:tcBorders>
              <w:top w:val="nil"/>
              <w:left w:val="nil"/>
              <w:bottom w:val="single" w:sz="8" w:space="0" w:color="auto"/>
              <w:right w:val="single" w:sz="8" w:space="0" w:color="auto"/>
            </w:tcBorders>
            <w:shd w:val="clear" w:color="auto" w:fill="auto"/>
            <w:vAlign w:val="center"/>
          </w:tcPr>
          <w:p w14:paraId="61A0792C"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234.725</w:t>
            </w:r>
          </w:p>
        </w:tc>
        <w:tc>
          <w:tcPr>
            <w:tcW w:w="942" w:type="pct"/>
            <w:tcBorders>
              <w:top w:val="nil"/>
              <w:left w:val="nil"/>
              <w:bottom w:val="single" w:sz="8" w:space="0" w:color="auto"/>
              <w:right w:val="single" w:sz="8" w:space="0" w:color="auto"/>
            </w:tcBorders>
            <w:shd w:val="clear" w:color="auto" w:fill="auto"/>
            <w:vAlign w:val="center"/>
          </w:tcPr>
          <w:p w14:paraId="64557210"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77.2%</w:t>
            </w:r>
          </w:p>
        </w:tc>
        <w:tc>
          <w:tcPr>
            <w:tcW w:w="892" w:type="pct"/>
            <w:tcBorders>
              <w:top w:val="nil"/>
              <w:left w:val="nil"/>
              <w:bottom w:val="single" w:sz="8" w:space="0" w:color="auto"/>
              <w:right w:val="single" w:sz="8" w:space="0" w:color="auto"/>
            </w:tcBorders>
            <w:shd w:val="clear" w:color="auto" w:fill="auto"/>
            <w:vAlign w:val="center"/>
          </w:tcPr>
          <w:p w14:paraId="3D05AAED"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251.434</w:t>
            </w:r>
          </w:p>
        </w:tc>
        <w:tc>
          <w:tcPr>
            <w:tcW w:w="893" w:type="pct"/>
            <w:tcBorders>
              <w:top w:val="nil"/>
              <w:left w:val="nil"/>
              <w:bottom w:val="single" w:sz="8" w:space="0" w:color="auto"/>
              <w:right w:val="single" w:sz="8" w:space="0" w:color="auto"/>
            </w:tcBorders>
            <w:shd w:val="clear" w:color="auto" w:fill="auto"/>
            <w:vAlign w:val="center"/>
          </w:tcPr>
          <w:p w14:paraId="1D7B1B25" w14:textId="77777777" w:rsidR="00C232D7" w:rsidRPr="009C3860" w:rsidRDefault="00C232D7" w:rsidP="00C232D7">
            <w:pPr>
              <w:spacing w:line="360" w:lineRule="auto"/>
              <w:rPr>
                <w:rFonts w:ascii="Arial" w:eastAsia="Times New Roman" w:hAnsi="Arial" w:cs="Arial"/>
                <w:color w:val="000000"/>
                <w:sz w:val="16"/>
                <w:szCs w:val="18"/>
                <w:lang w:val="sq-AL" w:eastAsia="el-GR"/>
              </w:rPr>
            </w:pPr>
            <w:r w:rsidRPr="009C3860">
              <w:rPr>
                <w:rFonts w:ascii="Arial" w:eastAsia="Times New Roman" w:hAnsi="Arial" w:cs="Arial"/>
                <w:color w:val="000000"/>
                <w:sz w:val="16"/>
                <w:szCs w:val="18"/>
                <w:lang w:val="sq-AL" w:eastAsia="el-GR"/>
              </w:rPr>
              <w:t>77.2%</w:t>
            </w:r>
          </w:p>
        </w:tc>
      </w:tr>
    </w:tbl>
    <w:p w14:paraId="7B7114D5" w14:textId="77777777" w:rsidR="009C3860" w:rsidRDefault="009C3860" w:rsidP="00941EF9">
      <w:pPr>
        <w:pStyle w:val="Caption"/>
        <w:rPr>
          <w:rFonts w:ascii="Arial" w:hAnsi="Arial" w:cs="Arial"/>
          <w:b w:val="0"/>
          <w:lang w:val="sq-AL"/>
        </w:rPr>
      </w:pPr>
      <w:bookmarkStart w:id="792" w:name="_Toc189515603"/>
      <w:bookmarkStart w:id="793" w:name="_Toc190160720"/>
      <w:bookmarkStart w:id="794" w:name="_Toc53574928"/>
      <w:bookmarkStart w:id="795" w:name="_Toc44934043"/>
      <w:bookmarkStart w:id="796" w:name="_Toc44934101"/>
      <w:bookmarkStart w:id="797" w:name="_Hlk44675564"/>
      <w:bookmarkStart w:id="798" w:name="_Hlk109255470"/>
      <w:bookmarkEnd w:id="788"/>
    </w:p>
    <w:p w14:paraId="3C392D8F" w14:textId="77777777" w:rsidR="009C3860" w:rsidRDefault="009C3860" w:rsidP="00941EF9">
      <w:pPr>
        <w:pStyle w:val="Caption"/>
        <w:rPr>
          <w:rFonts w:ascii="Arial" w:hAnsi="Arial" w:cs="Arial"/>
          <w:b w:val="0"/>
          <w:lang w:val="sq-AL"/>
        </w:rPr>
      </w:pPr>
    </w:p>
    <w:p w14:paraId="5A444E4F" w14:textId="646894B4" w:rsidR="00C232D7" w:rsidRPr="003E4447" w:rsidRDefault="00C232D7" w:rsidP="00941EF9">
      <w:pPr>
        <w:pStyle w:val="Caption"/>
        <w:rPr>
          <w:rFonts w:ascii="Arial" w:hAnsi="Arial" w:cs="Arial"/>
          <w:b w:val="0"/>
          <w:lang w:val="sq-AL"/>
        </w:rPr>
      </w:pPr>
      <w:r w:rsidRPr="003E4447">
        <w:rPr>
          <w:rFonts w:ascii="Arial" w:hAnsi="Arial" w:cs="Arial"/>
          <w:b w:val="0"/>
          <w:lang w:val="sq-AL"/>
        </w:rPr>
        <w:t xml:space="preserve">Tabela </w:t>
      </w:r>
      <w:r w:rsidRPr="003E4447">
        <w:rPr>
          <w:rFonts w:ascii="Arial" w:hAnsi="Arial" w:cs="Arial"/>
          <w:b w:val="0"/>
          <w:lang w:val="sq-AL"/>
        </w:rPr>
        <w:fldChar w:fldCharType="begin"/>
      </w:r>
      <w:r w:rsidRPr="003E4447">
        <w:rPr>
          <w:rFonts w:ascii="Arial" w:hAnsi="Arial" w:cs="Arial"/>
          <w:b w:val="0"/>
          <w:lang w:val="sq-AL"/>
        </w:rPr>
        <w:instrText xml:space="preserve"> SEQ Tabela \* ARABIC </w:instrText>
      </w:r>
      <w:r w:rsidRPr="003E4447">
        <w:rPr>
          <w:rFonts w:ascii="Arial" w:hAnsi="Arial" w:cs="Arial"/>
          <w:b w:val="0"/>
          <w:lang w:val="sq-AL"/>
        </w:rPr>
        <w:fldChar w:fldCharType="separate"/>
      </w:r>
      <w:r w:rsidR="007274DA">
        <w:rPr>
          <w:rFonts w:ascii="Arial" w:hAnsi="Arial" w:cs="Arial"/>
          <w:b w:val="0"/>
          <w:noProof/>
          <w:lang w:val="sq-AL"/>
        </w:rPr>
        <w:t>30</w:t>
      </w:r>
      <w:r w:rsidRPr="003E4447">
        <w:rPr>
          <w:rFonts w:ascii="Arial" w:hAnsi="Arial" w:cs="Arial"/>
          <w:b w:val="0"/>
          <w:lang w:val="sq-AL"/>
        </w:rPr>
        <w:fldChar w:fldCharType="end"/>
      </w:r>
      <w:r w:rsidRPr="003E4447">
        <w:rPr>
          <w:rFonts w:ascii="Arial" w:hAnsi="Arial" w:cs="Arial"/>
          <w:b w:val="0"/>
          <w:lang w:val="sq-AL"/>
        </w:rPr>
        <w:t xml:space="preserve"> Prednosti i nedostaci upravljanja otpadom u Crnoj Gori</w:t>
      </w:r>
      <w:bookmarkEnd w:id="792"/>
      <w:bookmarkEnd w:id="793"/>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3184"/>
        <w:gridCol w:w="4856"/>
      </w:tblGrid>
      <w:tr w:rsidR="00C232D7" w:rsidRPr="003E4447" w14:paraId="67F9A103" w14:textId="77777777" w:rsidTr="00E03CBD">
        <w:trPr>
          <w:trHeight w:val="300"/>
          <w:tblHeader/>
          <w:jc w:val="center"/>
        </w:trPr>
        <w:tc>
          <w:tcPr>
            <w:tcW w:w="1302" w:type="dxa"/>
            <w:shd w:val="clear" w:color="auto" w:fill="D9D9D9" w:themeFill="background1" w:themeFillShade="D9"/>
            <w:vAlign w:val="center"/>
          </w:tcPr>
          <w:p w14:paraId="097D1A06" w14:textId="77777777" w:rsidR="00C232D7" w:rsidRPr="009C3860" w:rsidRDefault="00C232D7" w:rsidP="00CD2328">
            <w:pPr>
              <w:spacing w:line="360" w:lineRule="auto"/>
              <w:ind w:left="30" w:hanging="30"/>
              <w:rPr>
                <w:rFonts w:ascii="Arial" w:hAnsi="Arial" w:cs="Arial"/>
                <w:b/>
                <w:sz w:val="17"/>
                <w:szCs w:val="17"/>
                <w:lang w:val="sq-AL"/>
              </w:rPr>
            </w:pPr>
            <w:bookmarkStart w:id="799" w:name="_Hlk123657489"/>
            <w:bookmarkEnd w:id="794"/>
            <w:bookmarkEnd w:id="795"/>
            <w:bookmarkEnd w:id="796"/>
            <w:r w:rsidRPr="009C3860">
              <w:rPr>
                <w:rFonts w:ascii="Arial" w:hAnsi="Arial" w:cs="Arial"/>
                <w:b/>
                <w:sz w:val="17"/>
                <w:szCs w:val="17"/>
                <w:lang w:val="sq-AL"/>
              </w:rPr>
              <w:t>Faza upravljanja otpadom</w:t>
            </w:r>
          </w:p>
        </w:tc>
        <w:tc>
          <w:tcPr>
            <w:tcW w:w="3184" w:type="dxa"/>
            <w:shd w:val="clear" w:color="auto" w:fill="D9D9D9" w:themeFill="background1" w:themeFillShade="D9"/>
            <w:vAlign w:val="center"/>
          </w:tcPr>
          <w:p w14:paraId="1F5C0C2F" w14:textId="77777777" w:rsidR="00C232D7" w:rsidRPr="009C3860" w:rsidRDefault="00C232D7" w:rsidP="00C232D7">
            <w:pPr>
              <w:spacing w:line="360" w:lineRule="auto"/>
              <w:rPr>
                <w:rFonts w:ascii="Arial" w:hAnsi="Arial" w:cs="Arial"/>
                <w:b/>
                <w:bCs/>
                <w:sz w:val="17"/>
                <w:szCs w:val="17"/>
                <w:lang w:val="sq-AL"/>
              </w:rPr>
            </w:pPr>
            <w:r w:rsidRPr="009C3860">
              <w:rPr>
                <w:rFonts w:ascii="Arial" w:hAnsi="Arial" w:cs="Arial"/>
                <w:b/>
                <w:bCs/>
                <w:sz w:val="17"/>
                <w:szCs w:val="17"/>
                <w:lang w:val="sq-AL"/>
              </w:rPr>
              <w:t>Prednosti</w:t>
            </w:r>
          </w:p>
        </w:tc>
        <w:tc>
          <w:tcPr>
            <w:tcW w:w="4856" w:type="dxa"/>
            <w:shd w:val="clear" w:color="auto" w:fill="D9D9D9" w:themeFill="background1" w:themeFillShade="D9"/>
            <w:noWrap/>
            <w:vAlign w:val="center"/>
          </w:tcPr>
          <w:p w14:paraId="294C1CCD" w14:textId="77777777" w:rsidR="00C232D7" w:rsidRPr="009C3860" w:rsidRDefault="00C232D7" w:rsidP="00C232D7">
            <w:pPr>
              <w:spacing w:line="360" w:lineRule="auto"/>
              <w:rPr>
                <w:rFonts w:ascii="Arial" w:hAnsi="Arial" w:cs="Arial"/>
                <w:b/>
                <w:bCs/>
                <w:sz w:val="17"/>
                <w:szCs w:val="17"/>
                <w:lang w:val="sq-AL"/>
              </w:rPr>
            </w:pPr>
            <w:r w:rsidRPr="009C3860">
              <w:rPr>
                <w:rFonts w:ascii="Arial" w:hAnsi="Arial" w:cs="Arial"/>
                <w:b/>
                <w:bCs/>
                <w:sz w:val="17"/>
                <w:szCs w:val="17"/>
                <w:lang w:val="sq-AL"/>
              </w:rPr>
              <w:t>Nedostaci</w:t>
            </w:r>
          </w:p>
        </w:tc>
      </w:tr>
      <w:tr w:rsidR="00C232D7" w:rsidRPr="003E4447" w14:paraId="7B490830" w14:textId="77777777" w:rsidTr="00E03CBD">
        <w:trPr>
          <w:trHeight w:val="337"/>
          <w:jc w:val="center"/>
        </w:trPr>
        <w:tc>
          <w:tcPr>
            <w:tcW w:w="1302" w:type="dxa"/>
            <w:shd w:val="clear" w:color="auto" w:fill="auto"/>
          </w:tcPr>
          <w:p w14:paraId="6EA2E74C" w14:textId="77777777" w:rsidR="00C232D7" w:rsidRPr="009C3860" w:rsidRDefault="00C232D7" w:rsidP="00C232D7">
            <w:pPr>
              <w:spacing w:line="360" w:lineRule="auto"/>
              <w:rPr>
                <w:rFonts w:ascii="Arial" w:hAnsi="Arial" w:cs="Arial"/>
                <w:color w:val="000000"/>
                <w:sz w:val="17"/>
                <w:szCs w:val="17"/>
                <w:lang w:val="sq-AL"/>
              </w:rPr>
            </w:pPr>
            <w:r w:rsidRPr="009C3860">
              <w:rPr>
                <w:rFonts w:ascii="Arial" w:hAnsi="Arial" w:cs="Arial"/>
                <w:color w:val="000000"/>
                <w:sz w:val="17"/>
                <w:szCs w:val="17"/>
                <w:lang w:val="sq-AL"/>
              </w:rPr>
              <w:t>Sakupljanje otpada</w:t>
            </w:r>
          </w:p>
        </w:tc>
        <w:tc>
          <w:tcPr>
            <w:tcW w:w="3184" w:type="dxa"/>
          </w:tcPr>
          <w:p w14:paraId="0D1DF409" w14:textId="7308E946" w:rsidR="00C232D7" w:rsidRPr="009C3860" w:rsidRDefault="00C232D7" w:rsidP="00A23ED0">
            <w:pPr>
              <w:pStyle w:val="ListParagraph"/>
              <w:numPr>
                <w:ilvl w:val="0"/>
                <w:numId w:val="28"/>
              </w:numPr>
              <w:spacing w:line="360" w:lineRule="auto"/>
              <w:rPr>
                <w:rFonts w:ascii="Arial" w:hAnsi="Arial" w:cs="Arial"/>
                <w:color w:val="000000"/>
                <w:sz w:val="17"/>
                <w:szCs w:val="17"/>
                <w:lang w:val="sq-AL"/>
              </w:rPr>
            </w:pPr>
            <w:r w:rsidRPr="009C3860">
              <w:rPr>
                <w:rFonts w:ascii="Arial" w:hAnsi="Arial" w:cs="Arial"/>
                <w:color w:val="000000"/>
                <w:sz w:val="17"/>
                <w:szCs w:val="17"/>
                <w:lang w:val="sq-AL"/>
              </w:rPr>
              <w:t xml:space="preserve">Više od 85% stanovništva pokriveno </w:t>
            </w:r>
            <w:r w:rsidR="00CD2328" w:rsidRPr="009C3860">
              <w:rPr>
                <w:rFonts w:ascii="Arial" w:hAnsi="Arial" w:cs="Arial"/>
                <w:color w:val="000000"/>
                <w:sz w:val="17"/>
                <w:szCs w:val="17"/>
                <w:lang w:val="sq-AL"/>
              </w:rPr>
              <w:t>komunalnim</w:t>
            </w:r>
            <w:r w:rsidRPr="009C3860">
              <w:rPr>
                <w:rFonts w:ascii="Arial" w:hAnsi="Arial" w:cs="Arial"/>
                <w:color w:val="000000"/>
                <w:sz w:val="17"/>
                <w:szCs w:val="17"/>
                <w:lang w:val="sq-AL"/>
              </w:rPr>
              <w:t xml:space="preserve"> uslugama i više od 90% otpada se sakuplja;</w:t>
            </w:r>
          </w:p>
          <w:p w14:paraId="7A13684C" w14:textId="77777777" w:rsidR="00C232D7" w:rsidRPr="009C3860" w:rsidRDefault="00C232D7" w:rsidP="00A23ED0">
            <w:pPr>
              <w:pStyle w:val="ListParagraph"/>
              <w:numPr>
                <w:ilvl w:val="0"/>
                <w:numId w:val="28"/>
              </w:numPr>
              <w:spacing w:line="360" w:lineRule="auto"/>
              <w:contextualSpacing w:val="0"/>
              <w:rPr>
                <w:rFonts w:ascii="Arial" w:hAnsi="Arial" w:cs="Arial"/>
                <w:color w:val="000000"/>
                <w:sz w:val="17"/>
                <w:szCs w:val="17"/>
                <w:lang w:val="sq-AL"/>
              </w:rPr>
            </w:pPr>
            <w:r w:rsidRPr="009C3860">
              <w:rPr>
                <w:rFonts w:ascii="Arial" w:hAnsi="Arial" w:cs="Arial"/>
                <w:color w:val="000000"/>
                <w:sz w:val="17"/>
                <w:szCs w:val="17"/>
                <w:lang w:val="sq-AL"/>
              </w:rPr>
              <w:t>Postoji mreža transfer stanica i reciklažnih dvorišta;</w:t>
            </w:r>
          </w:p>
        </w:tc>
        <w:tc>
          <w:tcPr>
            <w:tcW w:w="4856" w:type="dxa"/>
            <w:shd w:val="clear" w:color="auto" w:fill="auto"/>
            <w:noWrap/>
          </w:tcPr>
          <w:p w14:paraId="56C45C0D" w14:textId="77777777" w:rsidR="00C232D7" w:rsidRPr="009C3860" w:rsidRDefault="00C232D7" w:rsidP="00A23ED0">
            <w:pPr>
              <w:pStyle w:val="ListParagraph"/>
              <w:numPr>
                <w:ilvl w:val="0"/>
                <w:numId w:val="28"/>
              </w:numPr>
              <w:spacing w:line="360" w:lineRule="auto"/>
              <w:contextualSpacing w:val="0"/>
              <w:rPr>
                <w:rFonts w:ascii="Arial" w:hAnsi="Arial" w:cs="Arial"/>
                <w:color w:val="000000"/>
                <w:sz w:val="17"/>
                <w:szCs w:val="17"/>
                <w:lang w:val="sq-AL"/>
              </w:rPr>
            </w:pPr>
            <w:r w:rsidRPr="009C3860">
              <w:rPr>
                <w:rFonts w:ascii="Arial" w:hAnsi="Arial" w:cs="Arial"/>
                <w:color w:val="000000"/>
                <w:sz w:val="17"/>
                <w:szCs w:val="17"/>
                <w:lang w:val="sq-AL"/>
              </w:rPr>
              <w:t>Relativno niska stopa sakupljanja otpada u ruralnim područjima (oko 85%);</w:t>
            </w:r>
          </w:p>
          <w:p w14:paraId="460C36D7" w14:textId="70312EA4" w:rsidR="00C232D7" w:rsidRPr="009C3860" w:rsidRDefault="00C232D7" w:rsidP="00A23ED0">
            <w:pPr>
              <w:pStyle w:val="ListParagraph"/>
              <w:numPr>
                <w:ilvl w:val="0"/>
                <w:numId w:val="28"/>
              </w:numPr>
              <w:spacing w:line="360" w:lineRule="auto"/>
              <w:contextualSpacing w:val="0"/>
              <w:rPr>
                <w:rFonts w:ascii="Arial" w:hAnsi="Arial" w:cs="Arial"/>
                <w:color w:val="000000"/>
                <w:sz w:val="17"/>
                <w:szCs w:val="17"/>
                <w:lang w:val="sq-AL"/>
              </w:rPr>
            </w:pPr>
            <w:r w:rsidRPr="009C3860">
              <w:rPr>
                <w:rFonts w:ascii="Arial" w:hAnsi="Arial" w:cs="Arial"/>
                <w:color w:val="000000"/>
                <w:sz w:val="17"/>
                <w:szCs w:val="17"/>
                <w:lang w:val="sq-AL"/>
              </w:rPr>
              <w:t xml:space="preserve">Odvojeno sakupljanje otpada </w:t>
            </w:r>
            <w:r w:rsidR="00EA54D7" w:rsidRPr="009C3860">
              <w:rPr>
                <w:rFonts w:ascii="Arial" w:hAnsi="Arial" w:cs="Arial"/>
                <w:color w:val="000000"/>
                <w:sz w:val="17"/>
                <w:szCs w:val="17"/>
                <w:lang w:val="sq-AL"/>
              </w:rPr>
              <w:t>nije na zadovoljavajućem nivou</w:t>
            </w:r>
            <w:r w:rsidRPr="009C3860">
              <w:rPr>
                <w:rFonts w:ascii="Arial" w:hAnsi="Arial" w:cs="Arial"/>
                <w:color w:val="000000"/>
                <w:sz w:val="17"/>
                <w:szCs w:val="17"/>
                <w:lang w:val="sq-AL"/>
              </w:rPr>
              <w:t xml:space="preserve">. Obično se odvojeno sakupljene frakcije miješaju. Građani </w:t>
            </w:r>
            <w:r w:rsidR="00951F47" w:rsidRPr="009C3860">
              <w:rPr>
                <w:rFonts w:ascii="Arial" w:hAnsi="Arial" w:cs="Arial"/>
                <w:sz w:val="17"/>
                <w:szCs w:val="17"/>
                <w:lang w:val="sq-AL" w:eastAsia="pl-PL"/>
              </w:rPr>
              <w:t>nijesu</w:t>
            </w:r>
            <w:r w:rsidRPr="009C3860">
              <w:rPr>
                <w:rFonts w:ascii="Arial" w:hAnsi="Arial" w:cs="Arial"/>
                <w:color w:val="000000"/>
                <w:sz w:val="17"/>
                <w:szCs w:val="17"/>
                <w:lang w:val="sq-AL"/>
              </w:rPr>
              <w:t xml:space="preserve"> motivisani da učestvuju u odvojenom sakupljanju ili dovoze otpad u reciklažna dvorišta;</w:t>
            </w:r>
          </w:p>
          <w:p w14:paraId="5DA0A0F5" w14:textId="2DFBC89E" w:rsidR="00C232D7" w:rsidRPr="009C3860" w:rsidRDefault="00C232D7" w:rsidP="00A23ED0">
            <w:pPr>
              <w:pStyle w:val="ListParagraph"/>
              <w:numPr>
                <w:ilvl w:val="0"/>
                <w:numId w:val="28"/>
              </w:numPr>
              <w:spacing w:line="360" w:lineRule="auto"/>
              <w:contextualSpacing w:val="0"/>
              <w:rPr>
                <w:rFonts w:ascii="Arial" w:hAnsi="Arial" w:cs="Arial"/>
                <w:color w:val="000000"/>
                <w:sz w:val="17"/>
                <w:szCs w:val="17"/>
                <w:lang w:val="sq-AL"/>
              </w:rPr>
            </w:pPr>
            <w:r w:rsidRPr="009C3860">
              <w:rPr>
                <w:rFonts w:ascii="Arial" w:hAnsi="Arial" w:cs="Arial"/>
                <w:color w:val="000000"/>
                <w:sz w:val="17"/>
                <w:szCs w:val="17"/>
                <w:lang w:val="sq-AL"/>
              </w:rPr>
              <w:t xml:space="preserve">Sistem sakupljanja otpada, u odnosu na lokaciju </w:t>
            </w:r>
            <w:r w:rsidR="007B1545" w:rsidRPr="009C3860">
              <w:rPr>
                <w:rFonts w:ascii="Arial" w:hAnsi="Arial" w:cs="Arial"/>
                <w:color w:val="000000"/>
                <w:sz w:val="17"/>
                <w:szCs w:val="17"/>
                <w:lang w:val="sq-AL"/>
              </w:rPr>
              <w:t>posuda</w:t>
            </w:r>
            <w:r w:rsidRPr="009C3860">
              <w:rPr>
                <w:rFonts w:ascii="Arial" w:hAnsi="Arial" w:cs="Arial"/>
                <w:color w:val="000000"/>
                <w:sz w:val="17"/>
                <w:szCs w:val="17"/>
                <w:lang w:val="sq-AL"/>
              </w:rPr>
              <w:t xml:space="preserve"> i kontejnera, rute koje se koriste i učestalost sakupljanja</w:t>
            </w:r>
            <w:r w:rsidR="00EA54D7" w:rsidRPr="009C3860">
              <w:rPr>
                <w:rFonts w:ascii="Arial" w:hAnsi="Arial" w:cs="Arial"/>
                <w:color w:val="000000"/>
                <w:sz w:val="17"/>
                <w:szCs w:val="17"/>
                <w:lang w:val="sq-AL"/>
              </w:rPr>
              <w:t xml:space="preserve"> nije održiv.</w:t>
            </w:r>
          </w:p>
          <w:p w14:paraId="764BC273" w14:textId="0324618D" w:rsidR="00C232D7" w:rsidRPr="009C3860" w:rsidRDefault="00C232D7" w:rsidP="00A23ED0">
            <w:pPr>
              <w:pStyle w:val="ListParagraph"/>
              <w:numPr>
                <w:ilvl w:val="0"/>
                <w:numId w:val="28"/>
              </w:numPr>
              <w:spacing w:line="360" w:lineRule="auto"/>
              <w:contextualSpacing w:val="0"/>
              <w:rPr>
                <w:rFonts w:ascii="Arial" w:hAnsi="Arial" w:cs="Arial"/>
                <w:color w:val="000000"/>
                <w:sz w:val="17"/>
                <w:szCs w:val="17"/>
                <w:lang w:val="sq-AL"/>
              </w:rPr>
            </w:pPr>
            <w:r w:rsidRPr="009C3860">
              <w:rPr>
                <w:rFonts w:ascii="Arial" w:hAnsi="Arial" w:cs="Arial"/>
                <w:color w:val="000000"/>
                <w:sz w:val="17"/>
                <w:szCs w:val="17"/>
                <w:lang w:val="sq-AL"/>
              </w:rPr>
              <w:t>Ne sprovodi se kontinuiran monitoring aktivnosti sakupljanja otpada</w:t>
            </w:r>
            <w:r w:rsidR="00EA54D7" w:rsidRPr="009C3860">
              <w:rPr>
                <w:rFonts w:ascii="Arial" w:hAnsi="Arial" w:cs="Arial"/>
                <w:color w:val="000000"/>
                <w:sz w:val="17"/>
                <w:szCs w:val="17"/>
                <w:lang w:val="sq-AL"/>
              </w:rPr>
              <w:t>,</w:t>
            </w:r>
            <w:r w:rsidRPr="009C3860">
              <w:rPr>
                <w:rFonts w:ascii="Arial" w:hAnsi="Arial" w:cs="Arial"/>
                <w:color w:val="000000"/>
                <w:sz w:val="17"/>
                <w:szCs w:val="17"/>
                <w:lang w:val="sq-AL"/>
              </w:rPr>
              <w:t xml:space="preserve">  u smislu stvarnih ruta koje se koriste;</w:t>
            </w:r>
          </w:p>
          <w:p w14:paraId="536FA1C0" w14:textId="16B4C03E" w:rsidR="00C232D7" w:rsidRPr="009C3860" w:rsidRDefault="00C232D7" w:rsidP="00A23ED0">
            <w:pPr>
              <w:pStyle w:val="ListParagraph"/>
              <w:numPr>
                <w:ilvl w:val="0"/>
                <w:numId w:val="28"/>
              </w:numPr>
              <w:spacing w:line="360" w:lineRule="auto"/>
              <w:contextualSpacing w:val="0"/>
              <w:rPr>
                <w:rFonts w:ascii="Arial" w:hAnsi="Arial" w:cs="Arial"/>
                <w:color w:val="000000"/>
                <w:sz w:val="17"/>
                <w:szCs w:val="17"/>
                <w:lang w:val="sq-AL"/>
              </w:rPr>
            </w:pPr>
            <w:r w:rsidRPr="009C3860">
              <w:rPr>
                <w:rFonts w:ascii="Arial" w:hAnsi="Arial" w:cs="Arial"/>
                <w:color w:val="000000"/>
                <w:sz w:val="17"/>
                <w:szCs w:val="17"/>
                <w:lang w:val="sq-AL"/>
              </w:rPr>
              <w:t xml:space="preserve">Otpad je prisutan oko </w:t>
            </w:r>
            <w:r w:rsidR="007B1545" w:rsidRPr="009C3860">
              <w:rPr>
                <w:rFonts w:ascii="Arial" w:hAnsi="Arial" w:cs="Arial"/>
                <w:color w:val="000000"/>
                <w:sz w:val="17"/>
                <w:szCs w:val="17"/>
                <w:lang w:val="sq-AL"/>
              </w:rPr>
              <w:t>posuda</w:t>
            </w:r>
            <w:r w:rsidRPr="009C3860">
              <w:rPr>
                <w:rFonts w:ascii="Arial" w:hAnsi="Arial" w:cs="Arial"/>
                <w:color w:val="000000"/>
                <w:sz w:val="17"/>
                <w:szCs w:val="17"/>
                <w:lang w:val="sq-AL"/>
              </w:rPr>
              <w:t xml:space="preserve"> i kontejnera;</w:t>
            </w:r>
          </w:p>
          <w:p w14:paraId="7C9D12D8" w14:textId="5A9EA515" w:rsidR="00C232D7" w:rsidRPr="009C3860" w:rsidRDefault="00C232D7" w:rsidP="00A23ED0">
            <w:pPr>
              <w:pStyle w:val="ListParagraph"/>
              <w:numPr>
                <w:ilvl w:val="0"/>
                <w:numId w:val="28"/>
              </w:numPr>
              <w:spacing w:line="360" w:lineRule="auto"/>
              <w:contextualSpacing w:val="0"/>
              <w:rPr>
                <w:rFonts w:ascii="Arial" w:hAnsi="Arial" w:cs="Arial"/>
                <w:color w:val="000000"/>
                <w:sz w:val="17"/>
                <w:szCs w:val="17"/>
                <w:lang w:val="sq-AL"/>
              </w:rPr>
            </w:pPr>
            <w:r w:rsidRPr="009C3860">
              <w:rPr>
                <w:rFonts w:ascii="Arial" w:hAnsi="Arial" w:cs="Arial"/>
                <w:color w:val="000000"/>
                <w:sz w:val="17"/>
                <w:szCs w:val="17"/>
                <w:lang w:val="sq-AL"/>
              </w:rPr>
              <w:t xml:space="preserve">U postojećim transfer stanicama se ne vrši </w:t>
            </w:r>
            <w:r w:rsidR="00EA54D7" w:rsidRPr="009C3860">
              <w:rPr>
                <w:rFonts w:ascii="Arial" w:hAnsi="Arial" w:cs="Arial"/>
                <w:color w:val="000000"/>
                <w:sz w:val="17"/>
                <w:szCs w:val="17"/>
                <w:lang w:val="sq-AL"/>
              </w:rPr>
              <w:t>kompaktiranje</w:t>
            </w:r>
            <w:r w:rsidRPr="009C3860">
              <w:rPr>
                <w:rFonts w:ascii="Arial" w:hAnsi="Arial" w:cs="Arial"/>
                <w:color w:val="000000"/>
                <w:sz w:val="17"/>
                <w:szCs w:val="17"/>
                <w:lang w:val="sq-AL"/>
              </w:rPr>
              <w:t xml:space="preserve"> otpada;</w:t>
            </w:r>
          </w:p>
          <w:p w14:paraId="7332B4A5" w14:textId="77777777" w:rsidR="00C232D7" w:rsidRPr="009C3860" w:rsidRDefault="00C232D7" w:rsidP="00A23ED0">
            <w:pPr>
              <w:pStyle w:val="ListParagraph"/>
              <w:numPr>
                <w:ilvl w:val="0"/>
                <w:numId w:val="28"/>
              </w:numPr>
              <w:spacing w:line="360" w:lineRule="auto"/>
              <w:contextualSpacing w:val="0"/>
              <w:rPr>
                <w:rFonts w:ascii="Arial" w:hAnsi="Arial" w:cs="Arial"/>
                <w:color w:val="000000"/>
                <w:sz w:val="17"/>
                <w:szCs w:val="17"/>
                <w:lang w:val="sq-AL"/>
              </w:rPr>
            </w:pPr>
            <w:r w:rsidRPr="009C3860">
              <w:rPr>
                <w:rFonts w:ascii="Arial" w:hAnsi="Arial" w:cs="Arial"/>
                <w:color w:val="000000"/>
                <w:sz w:val="17"/>
                <w:szCs w:val="17"/>
                <w:lang w:val="sq-AL"/>
              </w:rPr>
              <w:t>Oprema za sakupljanje otpada i transfer stanica je stara i često se kvari.</w:t>
            </w:r>
          </w:p>
        </w:tc>
      </w:tr>
      <w:tr w:rsidR="00C232D7" w:rsidRPr="0014164F" w14:paraId="4D340914" w14:textId="77777777" w:rsidTr="00E03CBD">
        <w:trPr>
          <w:trHeight w:val="337"/>
          <w:jc w:val="center"/>
        </w:trPr>
        <w:tc>
          <w:tcPr>
            <w:tcW w:w="1302" w:type="dxa"/>
            <w:shd w:val="clear" w:color="auto" w:fill="auto"/>
          </w:tcPr>
          <w:p w14:paraId="3BCC0928" w14:textId="7017E673" w:rsidR="00C232D7" w:rsidRPr="009C3860" w:rsidRDefault="00C232D7" w:rsidP="00C232D7">
            <w:pPr>
              <w:spacing w:line="360" w:lineRule="auto"/>
              <w:rPr>
                <w:rFonts w:ascii="Arial" w:hAnsi="Arial" w:cs="Arial"/>
                <w:color w:val="000000"/>
                <w:sz w:val="17"/>
                <w:szCs w:val="17"/>
                <w:lang w:val="sq-AL"/>
              </w:rPr>
            </w:pPr>
            <w:r w:rsidRPr="009C3860">
              <w:rPr>
                <w:rFonts w:ascii="Arial" w:hAnsi="Arial" w:cs="Arial"/>
                <w:color w:val="000000"/>
                <w:sz w:val="17"/>
                <w:szCs w:val="17"/>
                <w:lang w:val="sq-AL"/>
              </w:rPr>
              <w:t>Recikl</w:t>
            </w:r>
            <w:r w:rsidR="00F35CFF" w:rsidRPr="009C3860">
              <w:rPr>
                <w:rFonts w:ascii="Arial" w:hAnsi="Arial" w:cs="Arial"/>
                <w:color w:val="000000"/>
                <w:sz w:val="17"/>
                <w:szCs w:val="17"/>
                <w:lang w:val="sq-AL"/>
              </w:rPr>
              <w:t>iranje</w:t>
            </w:r>
          </w:p>
        </w:tc>
        <w:tc>
          <w:tcPr>
            <w:tcW w:w="3184" w:type="dxa"/>
          </w:tcPr>
          <w:p w14:paraId="1D8816C7" w14:textId="77777777" w:rsidR="00C232D7" w:rsidRPr="009C3860" w:rsidRDefault="00C232D7" w:rsidP="00A23ED0">
            <w:pPr>
              <w:pStyle w:val="ListParagraph"/>
              <w:numPr>
                <w:ilvl w:val="0"/>
                <w:numId w:val="28"/>
              </w:numPr>
              <w:spacing w:line="360" w:lineRule="auto"/>
              <w:contextualSpacing w:val="0"/>
              <w:rPr>
                <w:rFonts w:ascii="Arial" w:hAnsi="Arial" w:cs="Arial"/>
                <w:color w:val="000000"/>
                <w:sz w:val="17"/>
                <w:szCs w:val="17"/>
                <w:lang w:val="sq-AL"/>
              </w:rPr>
            </w:pPr>
            <w:r w:rsidRPr="009C3860">
              <w:rPr>
                <w:rFonts w:ascii="Arial" w:hAnsi="Arial" w:cs="Arial"/>
                <w:color w:val="000000"/>
                <w:sz w:val="17"/>
                <w:szCs w:val="17"/>
                <w:lang w:val="sq-AL"/>
              </w:rPr>
              <w:t>Infrastruktura za reciklažu postoji u Podgorici, Kotoru, Herceg Novom i Žabljaku</w:t>
            </w:r>
          </w:p>
        </w:tc>
        <w:tc>
          <w:tcPr>
            <w:tcW w:w="4856" w:type="dxa"/>
            <w:shd w:val="clear" w:color="auto" w:fill="auto"/>
            <w:noWrap/>
          </w:tcPr>
          <w:p w14:paraId="08DEA291" w14:textId="299AFDC4" w:rsidR="00C232D7" w:rsidRPr="009C3860" w:rsidRDefault="00C232D7" w:rsidP="00A23ED0">
            <w:pPr>
              <w:pStyle w:val="ListParagraph"/>
              <w:numPr>
                <w:ilvl w:val="0"/>
                <w:numId w:val="28"/>
              </w:numPr>
              <w:spacing w:line="360" w:lineRule="auto"/>
              <w:rPr>
                <w:rFonts w:ascii="Arial" w:hAnsi="Arial" w:cs="Arial"/>
                <w:color w:val="000000"/>
                <w:sz w:val="17"/>
                <w:szCs w:val="17"/>
                <w:lang w:val="sq-AL"/>
              </w:rPr>
            </w:pPr>
            <w:r w:rsidRPr="009C3860">
              <w:rPr>
                <w:rFonts w:ascii="Arial" w:hAnsi="Arial" w:cs="Arial"/>
                <w:color w:val="000000"/>
                <w:sz w:val="17"/>
                <w:szCs w:val="17"/>
                <w:lang w:val="sq-AL"/>
              </w:rPr>
              <w:t xml:space="preserve">Postrojenja u Herceg Novom i Žabljaku </w:t>
            </w:r>
            <w:r w:rsidR="00951F47" w:rsidRPr="009C3860">
              <w:rPr>
                <w:rFonts w:ascii="Arial" w:hAnsi="Arial" w:cs="Arial"/>
                <w:sz w:val="17"/>
                <w:szCs w:val="17"/>
                <w:lang w:val="sq-AL" w:eastAsia="pl-PL"/>
              </w:rPr>
              <w:t>nijesu</w:t>
            </w:r>
            <w:r w:rsidRPr="009C3860">
              <w:rPr>
                <w:rFonts w:ascii="Arial" w:hAnsi="Arial" w:cs="Arial"/>
                <w:color w:val="000000"/>
                <w:sz w:val="17"/>
                <w:szCs w:val="17"/>
                <w:lang w:val="sq-AL"/>
              </w:rPr>
              <w:t xml:space="preserve"> u funkciji;</w:t>
            </w:r>
          </w:p>
          <w:p w14:paraId="600F5915" w14:textId="23B2021B" w:rsidR="00C232D7" w:rsidRPr="009C3860" w:rsidRDefault="00C232D7" w:rsidP="00A23ED0">
            <w:pPr>
              <w:pStyle w:val="ListParagraph"/>
              <w:numPr>
                <w:ilvl w:val="0"/>
                <w:numId w:val="28"/>
              </w:numPr>
              <w:spacing w:line="360" w:lineRule="auto"/>
              <w:rPr>
                <w:rFonts w:ascii="Arial" w:hAnsi="Arial" w:cs="Arial"/>
                <w:color w:val="000000"/>
                <w:sz w:val="17"/>
                <w:szCs w:val="17"/>
                <w:lang w:val="sq-AL"/>
              </w:rPr>
            </w:pPr>
            <w:r w:rsidRPr="009C3860">
              <w:rPr>
                <w:rFonts w:ascii="Arial" w:hAnsi="Arial" w:cs="Arial"/>
                <w:color w:val="000000"/>
                <w:sz w:val="17"/>
                <w:szCs w:val="17"/>
                <w:lang w:val="sq-AL"/>
              </w:rPr>
              <w:t xml:space="preserve">Stope povrata u Podgorici i Kotoru su veoma niske (ispod 10%) uglavnom zbog činjenice da se </w:t>
            </w:r>
            <w:r w:rsidR="003C5994" w:rsidRPr="009C3860">
              <w:rPr>
                <w:rFonts w:ascii="Arial" w:hAnsi="Arial" w:cs="Arial"/>
                <w:color w:val="000000"/>
                <w:sz w:val="17"/>
                <w:szCs w:val="17"/>
                <w:lang w:val="sq-AL"/>
              </w:rPr>
              <w:t xml:space="preserve">otpad </w:t>
            </w:r>
            <w:r w:rsidRPr="009C3860">
              <w:rPr>
                <w:rFonts w:ascii="Arial" w:hAnsi="Arial" w:cs="Arial"/>
                <w:color w:val="000000"/>
                <w:sz w:val="17"/>
                <w:szCs w:val="17"/>
                <w:lang w:val="sq-AL"/>
              </w:rPr>
              <w:t>ne sakuplja odvojeno;</w:t>
            </w:r>
          </w:p>
          <w:p w14:paraId="47D9749D" w14:textId="220BD685" w:rsidR="00C232D7" w:rsidRPr="009C3860" w:rsidRDefault="00C232D7" w:rsidP="00A23ED0">
            <w:pPr>
              <w:pStyle w:val="ListParagraph"/>
              <w:numPr>
                <w:ilvl w:val="0"/>
                <w:numId w:val="28"/>
              </w:numPr>
              <w:spacing w:line="360" w:lineRule="auto"/>
              <w:rPr>
                <w:rFonts w:ascii="Arial" w:hAnsi="Arial" w:cs="Arial"/>
                <w:color w:val="000000"/>
                <w:sz w:val="17"/>
                <w:szCs w:val="17"/>
                <w:lang w:val="sq-AL"/>
              </w:rPr>
            </w:pPr>
            <w:r w:rsidRPr="009C3860">
              <w:rPr>
                <w:rFonts w:ascii="Arial" w:hAnsi="Arial" w:cs="Arial"/>
                <w:color w:val="000000"/>
                <w:sz w:val="17"/>
                <w:szCs w:val="17"/>
                <w:lang w:val="sq-AL"/>
              </w:rPr>
              <w:t>Visoki operativni troškovi u postrojenjima za recikl</w:t>
            </w:r>
            <w:r w:rsidR="00F35CFF" w:rsidRPr="009C3860">
              <w:rPr>
                <w:rFonts w:ascii="Arial" w:hAnsi="Arial" w:cs="Arial"/>
                <w:color w:val="000000"/>
                <w:sz w:val="17"/>
                <w:szCs w:val="17"/>
                <w:lang w:val="sq-AL"/>
              </w:rPr>
              <w:t>iranje</w:t>
            </w:r>
            <w:r w:rsidRPr="009C3860">
              <w:rPr>
                <w:rFonts w:ascii="Arial" w:hAnsi="Arial" w:cs="Arial"/>
                <w:color w:val="000000"/>
                <w:sz w:val="17"/>
                <w:szCs w:val="17"/>
                <w:lang w:val="sq-AL"/>
              </w:rPr>
              <w:t>;</w:t>
            </w:r>
          </w:p>
          <w:p w14:paraId="7C5B79C8" w14:textId="77777777" w:rsidR="00C232D7" w:rsidRPr="009C3860" w:rsidRDefault="00C232D7" w:rsidP="00A23ED0">
            <w:pPr>
              <w:pStyle w:val="ListParagraph"/>
              <w:numPr>
                <w:ilvl w:val="0"/>
                <w:numId w:val="28"/>
              </w:numPr>
              <w:spacing w:line="360" w:lineRule="auto"/>
              <w:rPr>
                <w:rFonts w:ascii="Arial" w:hAnsi="Arial" w:cs="Arial"/>
                <w:color w:val="000000"/>
                <w:sz w:val="17"/>
                <w:szCs w:val="17"/>
                <w:lang w:val="sq-AL"/>
              </w:rPr>
            </w:pPr>
            <w:r w:rsidRPr="009C3860">
              <w:rPr>
                <w:rFonts w:ascii="Arial" w:hAnsi="Arial" w:cs="Arial"/>
                <w:color w:val="000000"/>
                <w:sz w:val="17"/>
                <w:szCs w:val="17"/>
                <w:lang w:val="sq-AL"/>
              </w:rPr>
              <w:t>Dnevno poslovanje je znatno ispod projektovanog kapaciteta;</w:t>
            </w:r>
          </w:p>
          <w:p w14:paraId="5C5BEA30" w14:textId="77777777" w:rsidR="00C232D7" w:rsidRPr="009C3860" w:rsidRDefault="00C232D7" w:rsidP="00A23ED0">
            <w:pPr>
              <w:pStyle w:val="ListParagraph"/>
              <w:numPr>
                <w:ilvl w:val="0"/>
                <w:numId w:val="28"/>
              </w:numPr>
              <w:spacing w:line="360" w:lineRule="auto"/>
              <w:contextualSpacing w:val="0"/>
              <w:rPr>
                <w:rFonts w:ascii="Arial" w:hAnsi="Arial" w:cs="Arial"/>
                <w:color w:val="000000"/>
                <w:sz w:val="17"/>
                <w:szCs w:val="17"/>
                <w:lang w:val="sq-AL"/>
              </w:rPr>
            </w:pPr>
            <w:r w:rsidRPr="009C3860">
              <w:rPr>
                <w:rFonts w:ascii="Arial" w:hAnsi="Arial" w:cs="Arial"/>
                <w:color w:val="000000"/>
                <w:sz w:val="17"/>
                <w:szCs w:val="17"/>
                <w:lang w:val="sq-AL"/>
              </w:rPr>
              <w:lastRenderedPageBreak/>
              <w:t>Rad manjih lokalnih postrojenja otežava njihovu održivost, posebno kada se uzmu u obzir trenutni uslovi rada koji ne dozvoljavaju povraćaj operativnih troškova</w:t>
            </w:r>
          </w:p>
        </w:tc>
      </w:tr>
      <w:tr w:rsidR="00C232D7" w:rsidRPr="0014164F" w14:paraId="2811CFA0" w14:textId="77777777" w:rsidTr="00E03CBD">
        <w:trPr>
          <w:trHeight w:val="337"/>
          <w:jc w:val="center"/>
        </w:trPr>
        <w:tc>
          <w:tcPr>
            <w:tcW w:w="1302" w:type="dxa"/>
            <w:shd w:val="clear" w:color="auto" w:fill="auto"/>
          </w:tcPr>
          <w:p w14:paraId="0E0AFB88" w14:textId="77777777" w:rsidR="00C232D7" w:rsidRPr="009C3860" w:rsidRDefault="00C232D7" w:rsidP="00C232D7">
            <w:pPr>
              <w:spacing w:line="360" w:lineRule="auto"/>
              <w:rPr>
                <w:rFonts w:ascii="Arial" w:hAnsi="Arial" w:cs="Arial"/>
                <w:color w:val="000000"/>
                <w:sz w:val="17"/>
                <w:szCs w:val="17"/>
                <w:lang w:val="sq-AL"/>
              </w:rPr>
            </w:pPr>
            <w:r w:rsidRPr="009C3860">
              <w:rPr>
                <w:rFonts w:ascii="Arial" w:hAnsi="Arial" w:cs="Arial"/>
                <w:color w:val="000000"/>
                <w:sz w:val="17"/>
                <w:szCs w:val="17"/>
                <w:lang w:val="sq-AL"/>
              </w:rPr>
              <w:lastRenderedPageBreak/>
              <w:t>Odlaganje</w:t>
            </w:r>
          </w:p>
        </w:tc>
        <w:tc>
          <w:tcPr>
            <w:tcW w:w="3184" w:type="dxa"/>
          </w:tcPr>
          <w:p w14:paraId="56605989" w14:textId="47A2207D" w:rsidR="00C232D7" w:rsidRPr="009C3860" w:rsidRDefault="00C232D7" w:rsidP="00A23ED0">
            <w:pPr>
              <w:pStyle w:val="ListParagraph"/>
              <w:numPr>
                <w:ilvl w:val="0"/>
                <w:numId w:val="28"/>
              </w:numPr>
              <w:spacing w:line="360" w:lineRule="auto"/>
              <w:rPr>
                <w:rFonts w:ascii="Arial" w:hAnsi="Arial" w:cs="Arial"/>
                <w:color w:val="000000"/>
                <w:sz w:val="17"/>
                <w:szCs w:val="17"/>
                <w:lang w:val="sq-AL"/>
              </w:rPr>
            </w:pPr>
            <w:r w:rsidRPr="009C3860">
              <w:rPr>
                <w:rFonts w:ascii="Arial" w:hAnsi="Arial" w:cs="Arial"/>
                <w:color w:val="000000"/>
                <w:sz w:val="17"/>
                <w:szCs w:val="17"/>
                <w:lang w:val="sq-AL"/>
              </w:rPr>
              <w:t xml:space="preserve">Deponije u Baru i Podgorici </w:t>
            </w:r>
            <w:r w:rsidR="008A7732" w:rsidRPr="009C3860">
              <w:rPr>
                <w:rFonts w:ascii="Arial" w:hAnsi="Arial" w:cs="Arial"/>
                <w:color w:val="000000"/>
                <w:sz w:val="17"/>
                <w:szCs w:val="17"/>
                <w:lang w:val="sq-AL"/>
              </w:rPr>
              <w:t>su operativne</w:t>
            </w:r>
            <w:r w:rsidRPr="009C3860">
              <w:rPr>
                <w:rFonts w:ascii="Arial" w:hAnsi="Arial" w:cs="Arial"/>
                <w:color w:val="000000"/>
                <w:sz w:val="17"/>
                <w:szCs w:val="17"/>
                <w:lang w:val="sq-AL"/>
              </w:rPr>
              <w:t>;</w:t>
            </w:r>
          </w:p>
          <w:p w14:paraId="4957C166" w14:textId="77777777" w:rsidR="00C232D7" w:rsidRPr="009C3860" w:rsidRDefault="00C232D7" w:rsidP="00A23ED0">
            <w:pPr>
              <w:pStyle w:val="ListParagraph"/>
              <w:numPr>
                <w:ilvl w:val="0"/>
                <w:numId w:val="28"/>
              </w:numPr>
              <w:spacing w:line="360" w:lineRule="auto"/>
              <w:rPr>
                <w:rFonts w:ascii="Arial" w:hAnsi="Arial" w:cs="Arial"/>
                <w:color w:val="000000"/>
                <w:sz w:val="17"/>
                <w:szCs w:val="17"/>
                <w:lang w:val="sq-AL"/>
              </w:rPr>
            </w:pPr>
            <w:r w:rsidRPr="009C3860">
              <w:rPr>
                <w:rFonts w:ascii="Arial" w:hAnsi="Arial" w:cs="Arial"/>
                <w:color w:val="000000"/>
                <w:sz w:val="17"/>
                <w:szCs w:val="17"/>
                <w:lang w:val="sq-AL"/>
              </w:rPr>
              <w:t>Obje deponije imaju dovoljno prostora za proširenje;</w:t>
            </w:r>
          </w:p>
          <w:p w14:paraId="46A33DB9" w14:textId="0F0813D4" w:rsidR="00C232D7" w:rsidRPr="009C3860" w:rsidRDefault="00C232D7" w:rsidP="00A23ED0">
            <w:pPr>
              <w:pStyle w:val="ListParagraph"/>
              <w:numPr>
                <w:ilvl w:val="0"/>
                <w:numId w:val="28"/>
              </w:numPr>
              <w:spacing w:line="360" w:lineRule="auto"/>
              <w:rPr>
                <w:rFonts w:ascii="Arial" w:hAnsi="Arial" w:cs="Arial"/>
                <w:color w:val="000000"/>
                <w:sz w:val="17"/>
                <w:szCs w:val="17"/>
                <w:lang w:val="sq-AL"/>
              </w:rPr>
            </w:pPr>
            <w:r w:rsidRPr="009C3860">
              <w:rPr>
                <w:rFonts w:ascii="Arial" w:hAnsi="Arial" w:cs="Arial"/>
                <w:color w:val="000000"/>
                <w:sz w:val="17"/>
                <w:szCs w:val="17"/>
                <w:lang w:val="sq-AL"/>
              </w:rPr>
              <w:t xml:space="preserve">Obje deponije su opremljene </w:t>
            </w:r>
            <w:r w:rsidR="008A7732" w:rsidRPr="009C3860">
              <w:rPr>
                <w:rFonts w:ascii="Arial" w:hAnsi="Arial" w:cs="Arial"/>
                <w:color w:val="000000"/>
                <w:sz w:val="17"/>
                <w:szCs w:val="17"/>
                <w:lang w:val="sq-AL"/>
              </w:rPr>
              <w:t>opremom</w:t>
            </w:r>
            <w:r w:rsidRPr="009C3860">
              <w:rPr>
                <w:rFonts w:ascii="Arial" w:hAnsi="Arial" w:cs="Arial"/>
                <w:color w:val="000000"/>
                <w:sz w:val="17"/>
                <w:szCs w:val="17"/>
                <w:lang w:val="sq-AL"/>
              </w:rPr>
              <w:t xml:space="preserve"> za preradu kabastog i zelenog otpada</w:t>
            </w:r>
            <w:r w:rsidR="008A7732" w:rsidRPr="009C3860">
              <w:rPr>
                <w:rFonts w:ascii="Arial" w:hAnsi="Arial" w:cs="Arial"/>
                <w:color w:val="000000"/>
                <w:sz w:val="17"/>
                <w:szCs w:val="17"/>
                <w:lang w:val="sq-AL"/>
              </w:rPr>
              <w:t>;</w:t>
            </w:r>
          </w:p>
          <w:p w14:paraId="7F83A99C" w14:textId="32D60C67" w:rsidR="00C232D7" w:rsidRPr="009C3860" w:rsidRDefault="008A7732" w:rsidP="00A23ED0">
            <w:pPr>
              <w:pStyle w:val="ListParagraph"/>
              <w:numPr>
                <w:ilvl w:val="0"/>
                <w:numId w:val="28"/>
              </w:numPr>
              <w:spacing w:line="360" w:lineRule="auto"/>
              <w:contextualSpacing w:val="0"/>
              <w:rPr>
                <w:rFonts w:ascii="Arial" w:hAnsi="Arial" w:cs="Arial"/>
                <w:color w:val="000000"/>
                <w:sz w:val="17"/>
                <w:szCs w:val="17"/>
                <w:lang w:val="sq-AL"/>
              </w:rPr>
            </w:pPr>
            <w:r w:rsidRPr="009C3860">
              <w:rPr>
                <w:rFonts w:ascii="Arial" w:hAnsi="Arial" w:cs="Arial"/>
                <w:color w:val="000000"/>
                <w:sz w:val="17"/>
                <w:szCs w:val="17"/>
                <w:lang w:val="sq-AL"/>
              </w:rPr>
              <w:t>Prema studiji izvodljivosti</w:t>
            </w:r>
            <w:r w:rsidR="003F3C43" w:rsidRPr="009C3860">
              <w:rPr>
                <w:rFonts w:ascii="Arial" w:hAnsi="Arial" w:cs="Arial"/>
                <w:color w:val="000000"/>
                <w:sz w:val="17"/>
                <w:szCs w:val="17"/>
                <w:lang w:val="sq-AL"/>
              </w:rPr>
              <w:t xml:space="preserve"> (čija je izrada u završnoj fazi)</w:t>
            </w:r>
            <w:r w:rsidRPr="009C3860">
              <w:rPr>
                <w:rFonts w:ascii="Arial" w:hAnsi="Arial" w:cs="Arial"/>
                <w:color w:val="000000"/>
                <w:sz w:val="17"/>
                <w:szCs w:val="17"/>
                <w:lang w:val="sq-AL"/>
              </w:rPr>
              <w:t xml:space="preserve"> postoji mogućnost korišćenja b</w:t>
            </w:r>
            <w:r w:rsidR="00C232D7" w:rsidRPr="009C3860">
              <w:rPr>
                <w:rFonts w:ascii="Arial" w:hAnsi="Arial" w:cs="Arial"/>
                <w:color w:val="000000"/>
                <w:sz w:val="17"/>
                <w:szCs w:val="17"/>
                <w:lang w:val="sq-AL"/>
              </w:rPr>
              <w:t>iogas</w:t>
            </w:r>
            <w:r w:rsidRPr="009C3860">
              <w:rPr>
                <w:rFonts w:ascii="Arial" w:hAnsi="Arial" w:cs="Arial"/>
                <w:color w:val="000000"/>
                <w:sz w:val="17"/>
                <w:szCs w:val="17"/>
                <w:lang w:val="sq-AL"/>
              </w:rPr>
              <w:t>a</w:t>
            </w:r>
            <w:r w:rsidR="00C232D7" w:rsidRPr="009C3860">
              <w:rPr>
                <w:rFonts w:ascii="Arial" w:hAnsi="Arial" w:cs="Arial"/>
                <w:color w:val="000000"/>
                <w:sz w:val="17"/>
                <w:szCs w:val="17"/>
                <w:lang w:val="sq-AL"/>
              </w:rPr>
              <w:t xml:space="preserve"> na deponiji u Podgorici</w:t>
            </w:r>
            <w:r w:rsidRPr="009C3860">
              <w:rPr>
                <w:rFonts w:ascii="Arial" w:hAnsi="Arial" w:cs="Arial"/>
                <w:color w:val="000000"/>
                <w:sz w:val="17"/>
                <w:szCs w:val="17"/>
                <w:lang w:val="sq-AL"/>
              </w:rPr>
              <w:t>;</w:t>
            </w:r>
          </w:p>
        </w:tc>
        <w:tc>
          <w:tcPr>
            <w:tcW w:w="4856" w:type="dxa"/>
            <w:shd w:val="clear" w:color="auto" w:fill="auto"/>
            <w:noWrap/>
          </w:tcPr>
          <w:p w14:paraId="790EC9D8" w14:textId="07E66BBA" w:rsidR="00C232D7" w:rsidRPr="009C3860" w:rsidRDefault="00C232D7" w:rsidP="00A23ED0">
            <w:pPr>
              <w:pStyle w:val="ListParagraph"/>
              <w:numPr>
                <w:ilvl w:val="0"/>
                <w:numId w:val="28"/>
              </w:numPr>
              <w:spacing w:line="360" w:lineRule="auto"/>
              <w:rPr>
                <w:rFonts w:ascii="Arial" w:hAnsi="Arial" w:cs="Arial"/>
                <w:color w:val="000000"/>
                <w:sz w:val="17"/>
                <w:szCs w:val="17"/>
                <w:lang w:val="sq-AL"/>
              </w:rPr>
            </w:pPr>
            <w:r w:rsidRPr="009C3860">
              <w:rPr>
                <w:rFonts w:ascii="Arial" w:hAnsi="Arial" w:cs="Arial"/>
                <w:color w:val="000000"/>
                <w:sz w:val="17"/>
                <w:szCs w:val="17"/>
                <w:lang w:val="sq-AL"/>
              </w:rPr>
              <w:t>Više od 80% otpada se odlaže bez prethodn</w:t>
            </w:r>
            <w:r w:rsidR="008A7732" w:rsidRPr="009C3860">
              <w:rPr>
                <w:rFonts w:ascii="Arial" w:hAnsi="Arial" w:cs="Arial"/>
                <w:color w:val="000000"/>
                <w:sz w:val="17"/>
                <w:szCs w:val="17"/>
                <w:lang w:val="sq-AL"/>
              </w:rPr>
              <w:t>e obrade</w:t>
            </w:r>
            <w:r w:rsidRPr="009C3860">
              <w:rPr>
                <w:rFonts w:ascii="Arial" w:hAnsi="Arial" w:cs="Arial"/>
                <w:color w:val="000000"/>
                <w:sz w:val="17"/>
                <w:szCs w:val="17"/>
                <w:lang w:val="sq-AL"/>
              </w:rPr>
              <w:t>;</w:t>
            </w:r>
          </w:p>
          <w:p w14:paraId="47624D31" w14:textId="77777777" w:rsidR="00C232D7" w:rsidRPr="009C3860" w:rsidRDefault="00C232D7" w:rsidP="00A23ED0">
            <w:pPr>
              <w:pStyle w:val="ListParagraph"/>
              <w:numPr>
                <w:ilvl w:val="0"/>
                <w:numId w:val="28"/>
              </w:numPr>
              <w:spacing w:line="360" w:lineRule="auto"/>
              <w:rPr>
                <w:rFonts w:ascii="Arial" w:hAnsi="Arial" w:cs="Arial"/>
                <w:color w:val="000000"/>
                <w:sz w:val="17"/>
                <w:szCs w:val="17"/>
                <w:lang w:val="sq-AL"/>
              </w:rPr>
            </w:pPr>
            <w:r w:rsidRPr="009C3860">
              <w:rPr>
                <w:rFonts w:ascii="Arial" w:hAnsi="Arial" w:cs="Arial"/>
                <w:color w:val="000000"/>
                <w:sz w:val="17"/>
                <w:szCs w:val="17"/>
                <w:lang w:val="sq-AL"/>
              </w:rPr>
              <w:t>Deponija u Baru nije opremljena postrojenjem za tretman ocjednih voda (sadašnja praksa uključuje recirkulaciju);</w:t>
            </w:r>
          </w:p>
          <w:p w14:paraId="21383608" w14:textId="0FA060F8" w:rsidR="00C232D7" w:rsidRPr="009C3860" w:rsidRDefault="00C232D7" w:rsidP="00A23ED0">
            <w:pPr>
              <w:pStyle w:val="ListParagraph"/>
              <w:numPr>
                <w:ilvl w:val="0"/>
                <w:numId w:val="28"/>
              </w:numPr>
              <w:spacing w:line="360" w:lineRule="auto"/>
              <w:rPr>
                <w:rFonts w:ascii="Arial" w:hAnsi="Arial" w:cs="Arial"/>
                <w:color w:val="000000"/>
                <w:sz w:val="17"/>
                <w:szCs w:val="17"/>
                <w:lang w:val="sq-AL"/>
              </w:rPr>
            </w:pPr>
            <w:r w:rsidRPr="009C3860">
              <w:rPr>
                <w:rFonts w:ascii="Arial" w:hAnsi="Arial" w:cs="Arial"/>
                <w:color w:val="000000"/>
                <w:sz w:val="17"/>
                <w:szCs w:val="17"/>
                <w:lang w:val="sq-AL"/>
              </w:rPr>
              <w:t>Životni vijek postojeće deponij</w:t>
            </w:r>
            <w:r w:rsidR="008A7732" w:rsidRPr="009C3860">
              <w:rPr>
                <w:rFonts w:ascii="Arial" w:hAnsi="Arial" w:cs="Arial"/>
                <w:color w:val="000000"/>
                <w:sz w:val="17"/>
                <w:szCs w:val="17"/>
                <w:lang w:val="sq-AL"/>
              </w:rPr>
              <w:t>e</w:t>
            </w:r>
            <w:r w:rsidRPr="009C3860">
              <w:rPr>
                <w:rFonts w:ascii="Arial" w:hAnsi="Arial" w:cs="Arial"/>
                <w:color w:val="000000"/>
                <w:sz w:val="17"/>
                <w:szCs w:val="17"/>
                <w:lang w:val="sq-AL"/>
              </w:rPr>
              <w:t xml:space="preserve"> u Baru </w:t>
            </w:r>
            <w:r w:rsidR="00287A64" w:rsidRPr="009C3860">
              <w:rPr>
                <w:rFonts w:ascii="Arial" w:hAnsi="Arial" w:cs="Arial"/>
                <w:color w:val="000000"/>
                <w:sz w:val="17"/>
                <w:szCs w:val="17"/>
                <w:lang w:val="sq-AL"/>
              </w:rPr>
              <w:t>oko četiri godine</w:t>
            </w:r>
            <w:r w:rsidRPr="009C3860">
              <w:rPr>
                <w:rFonts w:ascii="Arial" w:hAnsi="Arial" w:cs="Arial"/>
                <w:color w:val="000000"/>
                <w:sz w:val="17"/>
                <w:szCs w:val="17"/>
                <w:lang w:val="sq-AL"/>
              </w:rPr>
              <w:t>;</w:t>
            </w:r>
          </w:p>
          <w:p w14:paraId="6093FB05" w14:textId="4F7B9BF2" w:rsidR="00C232D7" w:rsidRPr="009C3860" w:rsidRDefault="00C232D7" w:rsidP="00A23ED0">
            <w:pPr>
              <w:pStyle w:val="ListParagraph"/>
              <w:numPr>
                <w:ilvl w:val="0"/>
                <w:numId w:val="28"/>
              </w:numPr>
              <w:spacing w:line="360" w:lineRule="auto"/>
              <w:contextualSpacing w:val="0"/>
              <w:rPr>
                <w:rFonts w:ascii="Arial" w:hAnsi="Arial" w:cs="Arial"/>
                <w:color w:val="000000"/>
                <w:sz w:val="17"/>
                <w:szCs w:val="17"/>
                <w:lang w:val="sq-AL"/>
              </w:rPr>
            </w:pPr>
            <w:r w:rsidRPr="009C3860">
              <w:rPr>
                <w:rFonts w:ascii="Arial" w:hAnsi="Arial" w:cs="Arial"/>
                <w:color w:val="000000"/>
                <w:sz w:val="17"/>
                <w:szCs w:val="17"/>
                <w:lang w:val="sq-AL"/>
              </w:rPr>
              <w:t>I dalje se praktikuje odlaganje</w:t>
            </w:r>
            <w:r w:rsidR="00287A64" w:rsidRPr="009C3860">
              <w:rPr>
                <w:rFonts w:ascii="Arial" w:hAnsi="Arial" w:cs="Arial"/>
                <w:color w:val="000000"/>
                <w:sz w:val="17"/>
                <w:szCs w:val="17"/>
                <w:lang w:val="sq-AL"/>
              </w:rPr>
              <w:t xml:space="preserve"> otpada</w:t>
            </w:r>
            <w:r w:rsidRPr="009C3860">
              <w:rPr>
                <w:rFonts w:ascii="Arial" w:hAnsi="Arial" w:cs="Arial"/>
                <w:color w:val="000000"/>
                <w:sz w:val="17"/>
                <w:szCs w:val="17"/>
                <w:lang w:val="sq-AL"/>
              </w:rPr>
              <w:t xml:space="preserve"> na </w:t>
            </w:r>
            <w:r w:rsidR="00287A64" w:rsidRPr="009C3860">
              <w:rPr>
                <w:rFonts w:ascii="Arial" w:hAnsi="Arial" w:cs="Arial"/>
                <w:color w:val="000000"/>
                <w:sz w:val="17"/>
                <w:szCs w:val="17"/>
                <w:lang w:val="sq-AL"/>
              </w:rPr>
              <w:t>neuređenim</w:t>
            </w:r>
            <w:r w:rsidRPr="009C3860">
              <w:rPr>
                <w:rFonts w:ascii="Arial" w:hAnsi="Arial" w:cs="Arial"/>
                <w:color w:val="000000"/>
                <w:sz w:val="17"/>
                <w:szCs w:val="17"/>
                <w:lang w:val="sq-AL"/>
              </w:rPr>
              <w:t xml:space="preserve"> </w:t>
            </w:r>
            <w:r w:rsidR="00287A64" w:rsidRPr="009C3860">
              <w:rPr>
                <w:rFonts w:ascii="Arial" w:hAnsi="Arial" w:cs="Arial"/>
                <w:color w:val="000000"/>
                <w:sz w:val="17"/>
                <w:szCs w:val="17"/>
                <w:lang w:val="sq-AL"/>
              </w:rPr>
              <w:t>odlagalištima</w:t>
            </w:r>
            <w:r w:rsidRPr="009C3860">
              <w:rPr>
                <w:rFonts w:ascii="Arial" w:hAnsi="Arial" w:cs="Arial"/>
                <w:color w:val="000000"/>
                <w:sz w:val="17"/>
                <w:szCs w:val="17"/>
                <w:lang w:val="sq-AL"/>
              </w:rPr>
              <w:t xml:space="preserve"> (u Crnoj Gori postoje 334 </w:t>
            </w:r>
            <w:r w:rsidR="008A7732" w:rsidRPr="009C3860">
              <w:rPr>
                <w:rFonts w:ascii="Arial" w:hAnsi="Arial" w:cs="Arial"/>
                <w:color w:val="000000"/>
                <w:sz w:val="17"/>
                <w:szCs w:val="17"/>
                <w:lang w:val="sq-AL"/>
              </w:rPr>
              <w:t>neuređena odlagališta</w:t>
            </w:r>
            <w:r w:rsidRPr="009C3860">
              <w:rPr>
                <w:rFonts w:ascii="Arial" w:hAnsi="Arial" w:cs="Arial"/>
                <w:color w:val="000000"/>
                <w:sz w:val="17"/>
                <w:szCs w:val="17"/>
                <w:lang w:val="sq-AL"/>
              </w:rPr>
              <w:t>)</w:t>
            </w:r>
            <w:r w:rsidR="00287A64" w:rsidRPr="009C3860">
              <w:rPr>
                <w:rFonts w:ascii="Arial" w:hAnsi="Arial" w:cs="Arial"/>
                <w:color w:val="000000"/>
                <w:sz w:val="17"/>
                <w:szCs w:val="17"/>
                <w:lang w:val="sq-AL"/>
              </w:rPr>
              <w:t>.</w:t>
            </w:r>
          </w:p>
        </w:tc>
      </w:tr>
    </w:tbl>
    <w:bookmarkEnd w:id="797"/>
    <w:bookmarkEnd w:id="799"/>
    <w:p w14:paraId="4E56FAAD" w14:textId="63697F4A"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Što se tiče recikl</w:t>
      </w:r>
      <w:r w:rsidR="00F35CFF">
        <w:rPr>
          <w:rFonts w:ascii="Arial" w:hAnsi="Arial" w:cs="Arial"/>
          <w:lang w:val="sq-AL"/>
        </w:rPr>
        <w:t>iranja</w:t>
      </w:r>
      <w:r w:rsidRPr="002A6F4E">
        <w:rPr>
          <w:rFonts w:ascii="Arial" w:hAnsi="Arial" w:cs="Arial"/>
          <w:lang w:val="sq-AL"/>
        </w:rPr>
        <w:t>, potrebn</w:t>
      </w:r>
      <w:r w:rsidR="00EA54D7">
        <w:rPr>
          <w:rFonts w:ascii="Arial" w:hAnsi="Arial" w:cs="Arial"/>
          <w:lang w:val="sq-AL"/>
        </w:rPr>
        <w:t>o</w:t>
      </w:r>
      <w:r w:rsidR="00B02DF2">
        <w:rPr>
          <w:rFonts w:ascii="Arial" w:hAnsi="Arial" w:cs="Arial"/>
          <w:lang w:val="sq-AL"/>
        </w:rPr>
        <w:t xml:space="preserve"> je</w:t>
      </w:r>
      <w:r w:rsidRPr="002A6F4E">
        <w:rPr>
          <w:rFonts w:ascii="Arial" w:hAnsi="Arial" w:cs="Arial"/>
          <w:lang w:val="sq-AL"/>
        </w:rPr>
        <w:t xml:space="preserve"> uključiti građan</w:t>
      </w:r>
      <w:r w:rsidR="00EA54D7">
        <w:rPr>
          <w:rFonts w:ascii="Arial" w:hAnsi="Arial" w:cs="Arial"/>
          <w:lang w:val="sq-AL"/>
        </w:rPr>
        <w:t>e</w:t>
      </w:r>
      <w:r w:rsidRPr="002A6F4E">
        <w:rPr>
          <w:rFonts w:ascii="Arial" w:hAnsi="Arial" w:cs="Arial"/>
          <w:lang w:val="sq-AL"/>
        </w:rPr>
        <w:t xml:space="preserve"> i </w:t>
      </w:r>
      <w:r w:rsidR="00EA54D7">
        <w:rPr>
          <w:rFonts w:ascii="Arial" w:hAnsi="Arial" w:cs="Arial"/>
          <w:lang w:val="sq-AL"/>
        </w:rPr>
        <w:t>unaprijediti</w:t>
      </w:r>
      <w:r w:rsidRPr="002A6F4E">
        <w:rPr>
          <w:rFonts w:ascii="Arial" w:hAnsi="Arial" w:cs="Arial"/>
          <w:lang w:val="sq-AL"/>
        </w:rPr>
        <w:t xml:space="preserve"> sistem odvojenog sakupljanja otpada. Ovo će omogućiti bolji rad postrojenja koja su projektovana </w:t>
      </w:r>
      <w:r w:rsidR="00F35CFF">
        <w:rPr>
          <w:rFonts w:ascii="Arial" w:hAnsi="Arial" w:cs="Arial"/>
          <w:lang w:val="sq-AL"/>
        </w:rPr>
        <w:t>za recikliranje</w:t>
      </w:r>
      <w:r w:rsidRPr="002A6F4E">
        <w:rPr>
          <w:rFonts w:ascii="Arial" w:hAnsi="Arial" w:cs="Arial"/>
          <w:lang w:val="sq-AL"/>
        </w:rPr>
        <w:t xml:space="preserve"> i uprkos tome primaju </w:t>
      </w:r>
      <w:r w:rsidR="00EA54D7">
        <w:rPr>
          <w:rFonts w:ascii="Arial" w:hAnsi="Arial" w:cs="Arial"/>
          <w:lang w:val="sq-AL"/>
        </w:rPr>
        <w:t>miješani</w:t>
      </w:r>
      <w:r w:rsidRPr="002A6F4E">
        <w:rPr>
          <w:rFonts w:ascii="Arial" w:hAnsi="Arial" w:cs="Arial"/>
          <w:lang w:val="sq-AL"/>
        </w:rPr>
        <w:t xml:space="preserve"> otpad. Pored toga, dostupnost manjih lokalnih postrojenja može ometati njihovu održivost, posebno kada se uzmu u obzir trenutni uslovi poslovanja koji ne dozvoljavaju povraćaj operativnih troškova.</w:t>
      </w:r>
    </w:p>
    <w:bookmarkEnd w:id="798"/>
    <w:p w14:paraId="79DB989C" w14:textId="7394FBDA"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Deponiji </w:t>
      </w:r>
      <w:r w:rsidR="00F35CFF">
        <w:rPr>
          <w:rFonts w:ascii="Arial" w:hAnsi="Arial" w:cs="Arial"/>
          <w:lang w:val="sq-AL"/>
        </w:rPr>
        <w:t>“</w:t>
      </w:r>
      <w:r w:rsidRPr="002A6F4E">
        <w:rPr>
          <w:rFonts w:ascii="Arial" w:hAnsi="Arial" w:cs="Arial"/>
          <w:lang w:val="sq-AL"/>
        </w:rPr>
        <w:t>Možura</w:t>
      </w:r>
      <w:r w:rsidR="00F35CFF">
        <w:rPr>
          <w:rFonts w:ascii="Arial" w:hAnsi="Arial" w:cs="Arial"/>
          <w:lang w:val="sq-AL"/>
        </w:rPr>
        <w:t>”</w:t>
      </w:r>
      <w:r w:rsidRPr="002A6F4E">
        <w:rPr>
          <w:rFonts w:ascii="Arial" w:hAnsi="Arial" w:cs="Arial"/>
          <w:lang w:val="sq-AL"/>
        </w:rPr>
        <w:t xml:space="preserve"> je potrebno postrojenje za tretman ocjednih voda budući da se trenutno odvija samo recirkulacija. Pored toga, preporučuje se izrada Studije izvodljivosti u pogledu mogućnosti proizvodnje električne energije, posebno na deponiji u Podgorici.</w:t>
      </w:r>
    </w:p>
    <w:p w14:paraId="787A89BC" w14:textId="63AA30D9"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Veoma važan zadatak za naredni period je sanacija odlagališta. </w:t>
      </w:r>
      <w:r w:rsidR="007D204A">
        <w:rPr>
          <w:rFonts w:ascii="Arial" w:hAnsi="Arial" w:cs="Arial"/>
          <w:lang w:val="sq-AL"/>
        </w:rPr>
        <w:t>U</w:t>
      </w:r>
      <w:r w:rsidRPr="002A6F4E">
        <w:rPr>
          <w:rFonts w:ascii="Arial" w:hAnsi="Arial" w:cs="Arial"/>
          <w:lang w:val="sq-AL"/>
        </w:rPr>
        <w:t xml:space="preserve"> Crnoj Gori </w:t>
      </w:r>
      <w:r w:rsidR="007D204A">
        <w:rPr>
          <w:rFonts w:ascii="Arial" w:hAnsi="Arial" w:cs="Arial"/>
          <w:lang w:val="sq-AL"/>
        </w:rPr>
        <w:t>je popisano</w:t>
      </w:r>
      <w:r w:rsidRPr="002A6F4E">
        <w:rPr>
          <w:rFonts w:ascii="Arial" w:hAnsi="Arial" w:cs="Arial"/>
          <w:lang w:val="sq-AL"/>
        </w:rPr>
        <w:t xml:space="preserve"> 33</w:t>
      </w:r>
      <w:r w:rsidR="00F35CFF">
        <w:rPr>
          <w:rFonts w:ascii="Arial" w:hAnsi="Arial" w:cs="Arial"/>
          <w:lang w:val="sq-AL"/>
        </w:rPr>
        <w:t>4</w:t>
      </w:r>
      <w:r w:rsidRPr="002A6F4E">
        <w:rPr>
          <w:rFonts w:ascii="Arial" w:hAnsi="Arial" w:cs="Arial"/>
          <w:lang w:val="sq-AL"/>
        </w:rPr>
        <w:t xml:space="preserve"> ne</w:t>
      </w:r>
      <w:r w:rsidR="00F35CFF">
        <w:rPr>
          <w:rFonts w:ascii="Arial" w:hAnsi="Arial" w:cs="Arial"/>
          <w:lang w:val="sq-AL"/>
        </w:rPr>
        <w:t>uređenih</w:t>
      </w:r>
      <w:r w:rsidRPr="002A6F4E">
        <w:rPr>
          <w:rFonts w:ascii="Arial" w:hAnsi="Arial" w:cs="Arial"/>
          <w:lang w:val="sq-AL"/>
        </w:rPr>
        <w:t xml:space="preserve"> odlagališta otpada na koja se odlažu različite količine i vrste otpada. Ova odlagališta otpada treba zatvoriti i sanirati u skladu sa postojećim propisima.</w:t>
      </w:r>
    </w:p>
    <w:p w14:paraId="1002F540" w14:textId="1320E5AD" w:rsidR="00C232D7" w:rsidRPr="002A6F4E" w:rsidRDefault="00C232D7" w:rsidP="00C232D7">
      <w:pPr>
        <w:widowControl w:val="0"/>
        <w:spacing w:before="120" w:after="120" w:line="360" w:lineRule="auto"/>
        <w:rPr>
          <w:rFonts w:ascii="Arial" w:hAnsi="Arial" w:cs="Arial"/>
          <w:lang w:val="sq-AL"/>
        </w:rPr>
      </w:pPr>
      <w:r w:rsidRPr="002A6F4E">
        <w:rPr>
          <w:rFonts w:ascii="Arial" w:hAnsi="Arial" w:cs="Arial"/>
          <w:lang w:val="sq-AL"/>
        </w:rPr>
        <w:t xml:space="preserve">Treba obratiti pažnju na posebne tokove otpada, posebno na </w:t>
      </w:r>
      <w:r w:rsidR="00F35CFF">
        <w:rPr>
          <w:rFonts w:ascii="Arial" w:hAnsi="Arial" w:cs="Arial"/>
          <w:lang w:val="sq-AL"/>
        </w:rPr>
        <w:t>otpadne</w:t>
      </w:r>
      <w:r w:rsidR="00F35CFF" w:rsidRPr="002A6F4E">
        <w:rPr>
          <w:rFonts w:ascii="Arial" w:hAnsi="Arial" w:cs="Arial"/>
          <w:lang w:val="sq-AL"/>
        </w:rPr>
        <w:t xml:space="preserve"> </w:t>
      </w:r>
      <w:r w:rsidRPr="002A6F4E">
        <w:rPr>
          <w:rFonts w:ascii="Arial" w:hAnsi="Arial" w:cs="Arial"/>
          <w:lang w:val="sq-AL"/>
        </w:rPr>
        <w:t>gume, kabasti otpad i građevinski otpad.</w:t>
      </w:r>
    </w:p>
    <w:p w14:paraId="5C8746C7" w14:textId="73B8E3B9" w:rsidR="00C232D7" w:rsidRPr="002A6F4E" w:rsidRDefault="00E27795" w:rsidP="00F57909">
      <w:pPr>
        <w:pStyle w:val="Heading2"/>
      </w:pPr>
      <w:bookmarkStart w:id="800" w:name="_Toc121759026"/>
      <w:bookmarkStart w:id="801" w:name="_Toc193354007"/>
      <w:r w:rsidRPr="002A6F4E">
        <w:t>5.2</w:t>
      </w:r>
      <w:r w:rsidR="00C232D7" w:rsidRPr="002A6F4E">
        <w:t>. Planiranje za budućnost</w:t>
      </w:r>
      <w:bookmarkEnd w:id="800"/>
      <w:bookmarkEnd w:id="801"/>
      <w:r w:rsidR="00C232D7" w:rsidRPr="002A6F4E">
        <w:t xml:space="preserve"> </w:t>
      </w:r>
    </w:p>
    <w:p w14:paraId="4CB338C7" w14:textId="5E884370"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Jedna od primarnih odgovornosti Državnog plana upravljanja otpadom je uspostavljanje vizije, ciljeva i zadataka za upravljanje otpadom u zemlji. Ovo odražava prioritete Crne Gore u pogledu ispunjavanja dugoročnih zahtjeva za upravljanje otpadom i resursima. Ciljevi i zadaci daju smjernice za određivanje da li je zemlja na putu da zadovolji potrebe zajednice.</w:t>
      </w:r>
    </w:p>
    <w:p w14:paraId="12960722"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Vizija Državnog plana upravljanja otpadom je:</w:t>
      </w:r>
    </w:p>
    <w:p w14:paraId="209C58DA" w14:textId="77777777" w:rsidR="00C232D7" w:rsidRPr="002A6F4E" w:rsidRDefault="00C232D7" w:rsidP="00C232D7">
      <w:pPr>
        <w:shd w:val="clear" w:color="auto" w:fill="C5E0B3" w:themeFill="accent6" w:themeFillTint="66"/>
        <w:spacing w:before="120" w:after="120" w:line="360" w:lineRule="auto"/>
        <w:rPr>
          <w:rFonts w:ascii="Arial" w:hAnsi="Arial" w:cs="Arial"/>
          <w:bCs/>
          <w:i/>
          <w:lang w:val="sq-AL"/>
        </w:rPr>
      </w:pPr>
      <w:r w:rsidRPr="00D92CE1">
        <w:rPr>
          <w:rFonts w:ascii="Arial" w:hAnsi="Arial" w:cs="Arial"/>
          <w:bCs/>
          <w:i/>
          <w:lang w:val="sq-AL"/>
        </w:rPr>
        <w:t>Do 2029. godine, o</w:t>
      </w:r>
      <w:r w:rsidRPr="002A6F4E">
        <w:rPr>
          <w:rFonts w:ascii="Arial" w:hAnsi="Arial" w:cs="Arial"/>
          <w:bCs/>
          <w:i/>
          <w:lang w:val="sq-AL"/>
        </w:rPr>
        <w:t xml:space="preserve">sigurati prelazak Crne Gore na ekološki održivu cirkularnu ekonomiju </w:t>
      </w:r>
      <w:r w:rsidRPr="002A6F4E">
        <w:rPr>
          <w:rFonts w:ascii="Arial" w:hAnsi="Arial" w:cs="Arial"/>
          <w:i/>
          <w:lang w:val="sq-AL"/>
        </w:rPr>
        <w:t>i obezbijedi efektivno i efikasno upravljanje otpadom</w:t>
      </w:r>
      <w:r w:rsidRPr="002A6F4E">
        <w:rPr>
          <w:rFonts w:ascii="Arial" w:hAnsi="Arial" w:cs="Arial"/>
          <w:lang w:val="sq-AL"/>
        </w:rPr>
        <w:t>.</w:t>
      </w:r>
    </w:p>
    <w:p w14:paraId="29097133" w14:textId="23890E5C" w:rsidR="00C232D7" w:rsidRPr="002A6F4E" w:rsidRDefault="006913A1" w:rsidP="00F57909">
      <w:pPr>
        <w:pStyle w:val="Heading2"/>
      </w:pPr>
      <w:bookmarkStart w:id="802" w:name="_Toc193354008"/>
      <w:r>
        <w:lastRenderedPageBreak/>
        <w:t>5.3</w:t>
      </w:r>
      <w:r w:rsidR="00C232D7" w:rsidRPr="002A6F4E">
        <w:t>. Strateški stubovi i ciljevi</w:t>
      </w:r>
      <w:bookmarkEnd w:id="802"/>
    </w:p>
    <w:p w14:paraId="6A48685F" w14:textId="03E0C1FE"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Da bi se podržala tranzicija Crne Gore ka resursno efikasnijoj i cirkularnoj ekonomiji, mora se obezbijediti da svaki otpad koji se stvara bude efikasno i efektivno </w:t>
      </w:r>
      <w:r w:rsidR="00950E01">
        <w:rPr>
          <w:rFonts w:ascii="Arial" w:hAnsi="Arial" w:cs="Arial"/>
          <w:lang w:val="sq-AL"/>
        </w:rPr>
        <w:t>obrađen</w:t>
      </w:r>
      <w:r w:rsidRPr="002A6F4E">
        <w:rPr>
          <w:rFonts w:ascii="Arial" w:hAnsi="Arial" w:cs="Arial"/>
          <w:lang w:val="sq-AL"/>
        </w:rPr>
        <w:t>, kako bi se smanjio njegov uticaj na životnu sredinu, a istovremeno maksimizirao njegov potencijal kao resurs. Ovo će se postići kroz:</w:t>
      </w:r>
    </w:p>
    <w:p w14:paraId="76D90336" w14:textId="77777777" w:rsidR="00C232D7" w:rsidRPr="002A6F4E" w:rsidRDefault="00C232D7" w:rsidP="00A23ED0">
      <w:pPr>
        <w:pStyle w:val="ListParagraph"/>
        <w:numPr>
          <w:ilvl w:val="0"/>
          <w:numId w:val="29"/>
        </w:numPr>
        <w:spacing w:before="120" w:after="120" w:line="360" w:lineRule="auto"/>
        <w:rPr>
          <w:rFonts w:ascii="Arial" w:hAnsi="Arial" w:cs="Arial"/>
          <w:lang w:val="sq-AL"/>
        </w:rPr>
      </w:pPr>
      <w:r w:rsidRPr="002A6F4E">
        <w:rPr>
          <w:rFonts w:ascii="Arial" w:hAnsi="Arial" w:cs="Arial"/>
          <w:lang w:val="sq-AL"/>
        </w:rPr>
        <w:t xml:space="preserve">sprovođenje mjera za podsticanje </w:t>
      </w:r>
      <w:r w:rsidRPr="002A6F4E">
        <w:rPr>
          <w:rFonts w:ascii="Arial" w:hAnsi="Arial" w:cs="Arial"/>
          <w:u w:val="single"/>
          <w:lang w:val="sq-AL"/>
        </w:rPr>
        <w:t>prevencije generisanja otpada</w:t>
      </w:r>
      <w:r w:rsidRPr="002A6F4E">
        <w:rPr>
          <w:rFonts w:ascii="Arial" w:hAnsi="Arial" w:cs="Arial"/>
          <w:lang w:val="sq-AL"/>
        </w:rPr>
        <w:t>, odvajanja otpada na izvoru i smanjenja količina zaostalog otpada iz privrednih subjekata;</w:t>
      </w:r>
    </w:p>
    <w:p w14:paraId="7E5D34BC" w14:textId="7C3691CD" w:rsidR="00C232D7" w:rsidRPr="002A6F4E" w:rsidRDefault="00C232D7" w:rsidP="00A23ED0">
      <w:pPr>
        <w:pStyle w:val="ListParagraph"/>
        <w:numPr>
          <w:ilvl w:val="0"/>
          <w:numId w:val="29"/>
        </w:numPr>
        <w:spacing w:before="120" w:after="120" w:line="360" w:lineRule="auto"/>
        <w:rPr>
          <w:rFonts w:ascii="Arial" w:hAnsi="Arial" w:cs="Arial"/>
          <w:lang w:val="sq-AL"/>
        </w:rPr>
      </w:pPr>
      <w:r w:rsidRPr="002A6F4E">
        <w:rPr>
          <w:rFonts w:ascii="Arial" w:hAnsi="Arial" w:cs="Arial"/>
          <w:lang w:val="sq-AL"/>
        </w:rPr>
        <w:t>implementacij</w:t>
      </w:r>
      <w:r w:rsidR="00950E01">
        <w:rPr>
          <w:rFonts w:ascii="Arial" w:hAnsi="Arial" w:cs="Arial"/>
          <w:lang w:val="sq-AL"/>
        </w:rPr>
        <w:t>u</w:t>
      </w:r>
      <w:r w:rsidRPr="002A6F4E">
        <w:rPr>
          <w:rFonts w:ascii="Arial" w:hAnsi="Arial" w:cs="Arial"/>
          <w:lang w:val="sq-AL"/>
        </w:rPr>
        <w:t xml:space="preserve"> okvira </w:t>
      </w:r>
      <w:r w:rsidRPr="002A6F4E">
        <w:rPr>
          <w:rFonts w:ascii="Arial" w:hAnsi="Arial" w:cs="Arial"/>
          <w:u w:val="single"/>
          <w:lang w:val="sq-AL"/>
        </w:rPr>
        <w:t xml:space="preserve">proširene odgovornosti proizvođača </w:t>
      </w:r>
      <w:r w:rsidRPr="002A6F4E">
        <w:rPr>
          <w:rFonts w:ascii="Arial" w:hAnsi="Arial" w:cs="Arial"/>
          <w:lang w:val="sq-AL"/>
        </w:rPr>
        <w:t>kako bi se uspostavili jednaki uslovi i kako bi se osiguralo da troškove upravljanja otpadom snose proizvođači;</w:t>
      </w:r>
    </w:p>
    <w:p w14:paraId="7F85EB9D" w14:textId="3B316676" w:rsidR="00950E01" w:rsidRDefault="00C232D7" w:rsidP="00A23ED0">
      <w:pPr>
        <w:pStyle w:val="ListParagraph"/>
        <w:numPr>
          <w:ilvl w:val="0"/>
          <w:numId w:val="29"/>
        </w:numPr>
        <w:spacing w:before="120" w:after="120" w:line="360" w:lineRule="auto"/>
        <w:contextualSpacing w:val="0"/>
        <w:rPr>
          <w:rFonts w:ascii="Arial" w:hAnsi="Arial" w:cs="Arial"/>
          <w:lang w:val="sq-AL"/>
        </w:rPr>
      </w:pPr>
      <w:r w:rsidRPr="00950E01">
        <w:rPr>
          <w:rFonts w:ascii="Arial" w:hAnsi="Arial" w:cs="Arial"/>
          <w:lang w:val="sq-AL"/>
        </w:rPr>
        <w:t>ulaganje</w:t>
      </w:r>
      <w:r w:rsidR="00950E01" w:rsidRPr="00950E01">
        <w:rPr>
          <w:rFonts w:ascii="Arial" w:hAnsi="Arial" w:cs="Arial"/>
          <w:lang w:val="sq-AL"/>
        </w:rPr>
        <w:t>m</w:t>
      </w:r>
      <w:r w:rsidRPr="00950E01">
        <w:rPr>
          <w:rFonts w:ascii="Arial" w:hAnsi="Arial" w:cs="Arial"/>
          <w:lang w:val="sq-AL"/>
        </w:rPr>
        <w:t xml:space="preserve"> u nove i postojeće objekte za upravljanje otpadom kako bi se obezbijedila </w:t>
      </w:r>
      <w:r w:rsidRPr="00950E01">
        <w:rPr>
          <w:rFonts w:ascii="Arial" w:hAnsi="Arial" w:cs="Arial"/>
          <w:u w:val="single"/>
          <w:lang w:val="sq-AL"/>
        </w:rPr>
        <w:t>moderna i efikasna infrastruktura</w:t>
      </w:r>
      <w:r w:rsidRPr="00950E01">
        <w:rPr>
          <w:rFonts w:ascii="Arial" w:hAnsi="Arial" w:cs="Arial"/>
          <w:lang w:val="sq-AL"/>
        </w:rPr>
        <w:t xml:space="preserve"> za otpad</w:t>
      </w:r>
      <w:r w:rsidR="00950E01" w:rsidRPr="00950E01">
        <w:rPr>
          <w:rFonts w:ascii="Arial" w:hAnsi="Arial" w:cs="Arial"/>
          <w:lang w:val="sq-AL"/>
        </w:rPr>
        <w:t>,</w:t>
      </w:r>
      <w:r w:rsidRPr="00950E01">
        <w:rPr>
          <w:rFonts w:ascii="Arial" w:hAnsi="Arial" w:cs="Arial"/>
          <w:lang w:val="sq-AL"/>
        </w:rPr>
        <w:t xml:space="preserve"> koja ne samo da će zadovoljiti trenutne potrebe Crne Gore, već će uspostaviti potrebna postrojenja za </w:t>
      </w:r>
      <w:r w:rsidR="00F35CFF">
        <w:rPr>
          <w:rFonts w:ascii="Arial" w:hAnsi="Arial" w:cs="Arial"/>
          <w:lang w:val="sq-AL"/>
        </w:rPr>
        <w:t>obradu</w:t>
      </w:r>
      <w:r w:rsidR="00F35CFF" w:rsidRPr="00950E01">
        <w:rPr>
          <w:rFonts w:ascii="Arial" w:hAnsi="Arial" w:cs="Arial"/>
          <w:lang w:val="sq-AL"/>
        </w:rPr>
        <w:t xml:space="preserve"> </w:t>
      </w:r>
      <w:r w:rsidRPr="00950E01">
        <w:rPr>
          <w:rFonts w:ascii="Arial" w:hAnsi="Arial" w:cs="Arial"/>
          <w:lang w:val="sq-AL"/>
        </w:rPr>
        <w:t xml:space="preserve">otpada u budućnosti. </w:t>
      </w:r>
    </w:p>
    <w:p w14:paraId="68FDC6EF" w14:textId="09417289" w:rsidR="00C232D7" w:rsidRPr="00950E01" w:rsidRDefault="00C232D7" w:rsidP="00950E01">
      <w:pPr>
        <w:spacing w:before="120" w:after="120" w:line="360" w:lineRule="auto"/>
        <w:rPr>
          <w:rFonts w:ascii="Arial" w:hAnsi="Arial" w:cs="Arial"/>
          <w:lang w:val="sq-AL"/>
        </w:rPr>
      </w:pPr>
      <w:r w:rsidRPr="00950E01">
        <w:rPr>
          <w:rFonts w:ascii="Arial" w:hAnsi="Arial" w:cs="Arial"/>
          <w:lang w:val="sq-AL"/>
        </w:rPr>
        <w:t>Glavni cilj DPUO 2025-2029</w:t>
      </w:r>
      <w:r w:rsidR="002E740E" w:rsidRPr="00950E01">
        <w:rPr>
          <w:rFonts w:ascii="Arial" w:hAnsi="Arial" w:cs="Arial"/>
          <w:lang w:val="sq-AL"/>
        </w:rPr>
        <w:t>. godina</w:t>
      </w:r>
      <w:r w:rsidRPr="00950E01">
        <w:rPr>
          <w:rFonts w:ascii="Arial" w:hAnsi="Arial" w:cs="Arial"/>
          <w:lang w:val="sq-AL"/>
        </w:rPr>
        <w:t xml:space="preserve"> je da </w:t>
      </w:r>
      <w:r w:rsidR="002D27C5">
        <w:rPr>
          <w:rFonts w:ascii="Arial" w:hAnsi="Arial" w:cs="Arial"/>
          <w:lang w:val="sq-AL"/>
        </w:rPr>
        <w:t>smjernice</w:t>
      </w:r>
      <w:r w:rsidRPr="00950E01">
        <w:rPr>
          <w:rFonts w:ascii="Arial" w:hAnsi="Arial" w:cs="Arial"/>
          <w:lang w:val="sq-AL"/>
        </w:rPr>
        <w:t xml:space="preserve"> da </w:t>
      </w:r>
      <w:r w:rsidR="00B61926">
        <w:rPr>
          <w:rFonts w:ascii="Arial" w:hAnsi="Arial" w:cs="Arial"/>
          <w:lang w:val="sq-AL"/>
        </w:rPr>
        <w:t xml:space="preserve">se </w:t>
      </w:r>
      <w:r w:rsidRPr="00950E01">
        <w:rPr>
          <w:rFonts w:ascii="Arial" w:hAnsi="Arial" w:cs="Arial"/>
          <w:u w:val="single"/>
          <w:lang w:val="sq-AL"/>
        </w:rPr>
        <w:t>minimizira</w:t>
      </w:r>
      <w:r w:rsidR="00B61926">
        <w:rPr>
          <w:rFonts w:ascii="Arial" w:hAnsi="Arial" w:cs="Arial"/>
          <w:u w:val="single"/>
          <w:lang w:val="sq-AL"/>
        </w:rPr>
        <w:t>ju</w:t>
      </w:r>
      <w:r w:rsidRPr="00950E01">
        <w:rPr>
          <w:rFonts w:ascii="Arial" w:hAnsi="Arial" w:cs="Arial"/>
          <w:u w:val="single"/>
          <w:lang w:val="sq-AL"/>
        </w:rPr>
        <w:t xml:space="preserve"> uticaj</w:t>
      </w:r>
      <w:r w:rsidR="00B61926">
        <w:rPr>
          <w:rFonts w:ascii="Arial" w:hAnsi="Arial" w:cs="Arial"/>
          <w:u w:val="single"/>
          <w:lang w:val="sq-AL"/>
        </w:rPr>
        <w:t>i</w:t>
      </w:r>
      <w:r w:rsidRPr="00950E01">
        <w:rPr>
          <w:rFonts w:ascii="Arial" w:hAnsi="Arial" w:cs="Arial"/>
          <w:u w:val="single"/>
          <w:lang w:val="sq-AL"/>
        </w:rPr>
        <w:t xml:space="preserve"> na životnu sredinu</w:t>
      </w:r>
      <w:r w:rsidRPr="00950E01">
        <w:rPr>
          <w:rFonts w:ascii="Arial" w:hAnsi="Arial" w:cs="Arial"/>
          <w:lang w:val="sq-AL"/>
        </w:rPr>
        <w:t xml:space="preserve"> koji se dovode u vezu sa aktivnostima upravljanja otpadom, kao i da promoviše primjenu </w:t>
      </w:r>
      <w:r w:rsidRPr="00950E01">
        <w:rPr>
          <w:rFonts w:ascii="Arial" w:hAnsi="Arial" w:cs="Arial"/>
          <w:u w:val="single"/>
          <w:lang w:val="sq-AL"/>
        </w:rPr>
        <w:t>najboljih praksi</w:t>
      </w:r>
      <w:r w:rsidRPr="00950E01">
        <w:rPr>
          <w:rFonts w:ascii="Arial" w:hAnsi="Arial" w:cs="Arial"/>
          <w:lang w:val="sq-AL"/>
        </w:rPr>
        <w:t xml:space="preserve"> za usluge upravljanja otpadom. </w:t>
      </w:r>
    </w:p>
    <w:p w14:paraId="6AC5A95F" w14:textId="33DA9213"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 tom smislu, DPUO nastoji da uspostavi okvir i postavi put za smanjenje generisanja otpada u Crnoj Gori i usmjeri razvoj i unapređenje postojećih praksi upravljanja otpadom kako bi se obezbijedi</w:t>
      </w:r>
      <w:r w:rsidR="00950E01">
        <w:rPr>
          <w:rFonts w:ascii="Arial" w:hAnsi="Arial" w:cs="Arial"/>
          <w:lang w:val="sq-AL"/>
        </w:rPr>
        <w:t>la</w:t>
      </w:r>
      <w:r w:rsidRPr="002A6F4E">
        <w:rPr>
          <w:rFonts w:ascii="Arial" w:hAnsi="Arial" w:cs="Arial"/>
          <w:lang w:val="sq-AL"/>
        </w:rPr>
        <w:t xml:space="preserve"> njihov</w:t>
      </w:r>
      <w:r w:rsidR="00950E01">
        <w:rPr>
          <w:rFonts w:ascii="Arial" w:hAnsi="Arial" w:cs="Arial"/>
          <w:lang w:val="sq-AL"/>
        </w:rPr>
        <w:t>a</w:t>
      </w:r>
      <w:r w:rsidRPr="002A6F4E">
        <w:rPr>
          <w:rFonts w:ascii="Arial" w:hAnsi="Arial" w:cs="Arial"/>
          <w:lang w:val="sq-AL"/>
        </w:rPr>
        <w:t xml:space="preserve"> održiv</w:t>
      </w:r>
      <w:r w:rsidR="00950E01">
        <w:rPr>
          <w:rFonts w:ascii="Arial" w:hAnsi="Arial" w:cs="Arial"/>
          <w:lang w:val="sq-AL"/>
        </w:rPr>
        <w:t>ost</w:t>
      </w:r>
      <w:r w:rsidRPr="002A6F4E">
        <w:rPr>
          <w:rFonts w:ascii="Arial" w:hAnsi="Arial" w:cs="Arial"/>
          <w:lang w:val="sq-AL"/>
        </w:rPr>
        <w:t xml:space="preserve"> </w:t>
      </w:r>
      <w:r w:rsidR="00950E01">
        <w:rPr>
          <w:rFonts w:ascii="Arial" w:hAnsi="Arial" w:cs="Arial"/>
          <w:lang w:val="sq-AL"/>
        </w:rPr>
        <w:t xml:space="preserve">i </w:t>
      </w:r>
      <w:r w:rsidRPr="002A6F4E">
        <w:rPr>
          <w:rFonts w:ascii="Arial" w:hAnsi="Arial" w:cs="Arial"/>
          <w:lang w:val="sq-AL"/>
        </w:rPr>
        <w:t>zaštita životne sredine i javnog zdravlja.</w:t>
      </w:r>
    </w:p>
    <w:p w14:paraId="54DB2A0B" w14:textId="1B7ECE65" w:rsidR="00C232D7" w:rsidRPr="002A6F4E" w:rsidRDefault="00C232D7" w:rsidP="00C232D7">
      <w:pPr>
        <w:spacing w:before="120" w:after="120" w:line="360" w:lineRule="auto"/>
        <w:rPr>
          <w:rFonts w:ascii="Arial" w:hAnsi="Arial" w:cs="Arial"/>
          <w:lang w:val="sq-AL"/>
        </w:rPr>
      </w:pPr>
      <w:bookmarkStart w:id="803" w:name="_Toc497405760"/>
      <w:bookmarkStart w:id="804" w:name="_Toc463949108"/>
      <w:bookmarkStart w:id="805" w:name="_Toc528145776"/>
      <w:bookmarkStart w:id="806" w:name="_Toc528054612"/>
      <w:r w:rsidRPr="002A6F4E">
        <w:rPr>
          <w:rFonts w:ascii="Arial" w:hAnsi="Arial" w:cs="Arial"/>
          <w:lang w:val="sq-AL"/>
        </w:rPr>
        <w:t>Ovaj plan se zasniva na postojećem stanju u pogledu upravljanja otpadom i viziji MERS u cilju razvoja optimalnog sistema upravljanja otpadom koji bi se implementirao u zemlji. Plan ima za cilj da definiše ciljeve i mjere za postepenu realizaciju ovih ciljeva u periodu 2025-2029. godine. Bitna komponenta Plana je kontinuirano praćenje postizanja postavljenih ciljeva i implementacije usvojene vizije.</w:t>
      </w:r>
    </w:p>
    <w:p w14:paraId="46DCDB33" w14:textId="4E937431" w:rsidR="00C232D7" w:rsidRPr="002A6F4E" w:rsidRDefault="00C232D7" w:rsidP="00C232D7">
      <w:pPr>
        <w:spacing w:before="120" w:after="120" w:line="360" w:lineRule="auto"/>
        <w:rPr>
          <w:rFonts w:ascii="Arial" w:hAnsi="Arial" w:cs="Arial"/>
          <w:lang w:val="sq-AL"/>
        </w:rPr>
      </w:pPr>
      <w:bookmarkStart w:id="807" w:name="_Hlk121698624"/>
      <w:bookmarkStart w:id="808" w:name="_Hlk124019294"/>
      <w:r w:rsidRPr="002A6F4E">
        <w:rPr>
          <w:rFonts w:ascii="Arial" w:hAnsi="Arial" w:cs="Arial"/>
          <w:lang w:val="sq-AL"/>
        </w:rPr>
        <w:t>Plan, odnosno DPUO 2025-2029</w:t>
      </w:r>
      <w:r w:rsidR="002E740E">
        <w:rPr>
          <w:rFonts w:ascii="Arial" w:hAnsi="Arial" w:cs="Arial"/>
          <w:lang w:val="sq-AL"/>
        </w:rPr>
        <w:t>. godina</w:t>
      </w:r>
      <w:r w:rsidRPr="002A6F4E">
        <w:rPr>
          <w:rFonts w:ascii="Arial" w:hAnsi="Arial" w:cs="Arial"/>
          <w:lang w:val="sq-AL"/>
        </w:rPr>
        <w:t xml:space="preserve"> ima sljedeće strateške osnove i ciljeve:</w:t>
      </w:r>
      <w:bookmarkStart w:id="809" w:name="_Toc2701799"/>
      <w:bookmarkStart w:id="810" w:name="_Toc367181"/>
      <w:bookmarkStart w:id="811" w:name="_Toc352109"/>
      <w:bookmarkStart w:id="812" w:name="_Toc530663849"/>
      <w:bookmarkStart w:id="813" w:name="_Toc3384202"/>
      <w:bookmarkStart w:id="814" w:name="_Toc530557909"/>
      <w:bookmarkStart w:id="815" w:name="_Toc189515604"/>
      <w:bookmarkEnd w:id="807"/>
    </w:p>
    <w:p w14:paraId="21D1FB29" w14:textId="60301729" w:rsidR="00C232D7" w:rsidRPr="002A6F4E" w:rsidRDefault="00C232D7" w:rsidP="00C232D7">
      <w:pPr>
        <w:pStyle w:val="Caption"/>
        <w:rPr>
          <w:rFonts w:ascii="Arial" w:hAnsi="Arial" w:cs="Arial"/>
          <w:b w:val="0"/>
          <w:sz w:val="20"/>
          <w:szCs w:val="20"/>
          <w:lang w:val="sq-AL"/>
        </w:rPr>
      </w:pPr>
      <w:bookmarkStart w:id="816" w:name="_Toc190160721"/>
      <w:r w:rsidRPr="006E4038">
        <w:rPr>
          <w:rFonts w:ascii="Arial" w:hAnsi="Arial" w:cs="Arial"/>
          <w:b w:val="0"/>
          <w:szCs w:val="20"/>
        </w:rPr>
        <w:t xml:space="preserve">Tabela </w:t>
      </w:r>
      <w:r w:rsidRPr="006E4038">
        <w:rPr>
          <w:rFonts w:ascii="Arial" w:hAnsi="Arial" w:cs="Arial"/>
          <w:b w:val="0"/>
          <w:szCs w:val="20"/>
        </w:rPr>
        <w:fldChar w:fldCharType="begin"/>
      </w:r>
      <w:r w:rsidRPr="006E4038">
        <w:rPr>
          <w:rFonts w:ascii="Arial" w:hAnsi="Arial" w:cs="Arial"/>
          <w:b w:val="0"/>
          <w:szCs w:val="20"/>
        </w:rPr>
        <w:instrText xml:space="preserve"> SEQ Tabela \* ARABIC </w:instrText>
      </w:r>
      <w:r w:rsidRPr="006E4038">
        <w:rPr>
          <w:rFonts w:ascii="Arial" w:hAnsi="Arial" w:cs="Arial"/>
          <w:b w:val="0"/>
          <w:szCs w:val="20"/>
        </w:rPr>
        <w:fldChar w:fldCharType="separate"/>
      </w:r>
      <w:r w:rsidR="007274DA">
        <w:rPr>
          <w:rFonts w:ascii="Arial" w:hAnsi="Arial" w:cs="Arial"/>
          <w:b w:val="0"/>
          <w:noProof/>
          <w:szCs w:val="20"/>
        </w:rPr>
        <w:t>31</w:t>
      </w:r>
      <w:r w:rsidRPr="006E4038">
        <w:rPr>
          <w:rFonts w:ascii="Arial" w:hAnsi="Arial" w:cs="Arial"/>
          <w:b w:val="0"/>
          <w:szCs w:val="20"/>
        </w:rPr>
        <w:fldChar w:fldCharType="end"/>
      </w:r>
      <w:r w:rsidRPr="006E4038">
        <w:rPr>
          <w:rFonts w:ascii="Arial" w:hAnsi="Arial" w:cs="Arial"/>
          <w:b w:val="0"/>
          <w:szCs w:val="20"/>
          <w:lang w:val="sq-AL"/>
        </w:rPr>
        <w:t xml:space="preserve"> Strateške osnove i ciljevi</w:t>
      </w:r>
      <w:bookmarkEnd w:id="809"/>
      <w:bookmarkEnd w:id="810"/>
      <w:bookmarkEnd w:id="811"/>
      <w:bookmarkEnd w:id="812"/>
      <w:bookmarkEnd w:id="813"/>
      <w:bookmarkEnd w:id="814"/>
      <w:bookmarkEnd w:id="815"/>
      <w:bookmarkEnd w:id="816"/>
    </w:p>
    <w:tbl>
      <w:tblPr>
        <w:tblW w:w="97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32"/>
        <w:gridCol w:w="7399"/>
      </w:tblGrid>
      <w:tr w:rsidR="00C232D7" w:rsidRPr="002A6F4E" w14:paraId="64C2CD29" w14:textId="77777777" w:rsidTr="00C232D7">
        <w:trPr>
          <w:trHeight w:val="307"/>
          <w:tblHeader/>
          <w:jc w:val="center"/>
        </w:trPr>
        <w:tc>
          <w:tcPr>
            <w:tcW w:w="2332" w:type="dxa"/>
            <w:shd w:val="clear" w:color="auto" w:fill="D9D9D9"/>
            <w:vAlign w:val="center"/>
          </w:tcPr>
          <w:p w14:paraId="0F9D2040" w14:textId="77777777" w:rsidR="00C232D7" w:rsidRPr="003E4447" w:rsidRDefault="00C232D7" w:rsidP="00C232D7">
            <w:pPr>
              <w:spacing w:before="40" w:after="40" w:line="360" w:lineRule="auto"/>
              <w:rPr>
                <w:rFonts w:ascii="Arial" w:eastAsia="Times New Roman" w:hAnsi="Arial" w:cs="Arial"/>
                <w:b/>
                <w:bCs/>
                <w:sz w:val="18"/>
                <w:szCs w:val="18"/>
                <w:lang w:val="sq-AL"/>
              </w:rPr>
            </w:pPr>
            <w:r w:rsidRPr="003E4447">
              <w:rPr>
                <w:rFonts w:ascii="Arial" w:eastAsia="Times New Roman" w:hAnsi="Arial" w:cs="Arial"/>
                <w:b/>
                <w:bCs/>
                <w:sz w:val="18"/>
                <w:szCs w:val="18"/>
                <w:lang w:val="sq-AL"/>
              </w:rPr>
              <w:t>Osnove</w:t>
            </w:r>
          </w:p>
        </w:tc>
        <w:tc>
          <w:tcPr>
            <w:tcW w:w="7399" w:type="dxa"/>
            <w:shd w:val="clear" w:color="auto" w:fill="D9D9D9"/>
          </w:tcPr>
          <w:p w14:paraId="19EAEE40" w14:textId="77777777" w:rsidR="00C232D7" w:rsidRPr="003E4447" w:rsidRDefault="00C232D7" w:rsidP="00C232D7">
            <w:pPr>
              <w:spacing w:before="40" w:after="40" w:line="360" w:lineRule="auto"/>
              <w:ind w:left="6"/>
              <w:rPr>
                <w:rFonts w:ascii="Arial" w:eastAsiaTheme="minorHAnsi" w:hAnsi="Arial" w:cs="Arial"/>
                <w:b/>
                <w:bCs/>
                <w:sz w:val="18"/>
                <w:szCs w:val="18"/>
                <w:lang w:val="sq-AL"/>
              </w:rPr>
            </w:pPr>
            <w:r w:rsidRPr="003E4447">
              <w:rPr>
                <w:rFonts w:ascii="Arial" w:hAnsi="Arial" w:cs="Arial"/>
                <w:b/>
                <w:bCs/>
                <w:sz w:val="18"/>
                <w:szCs w:val="18"/>
                <w:lang w:val="sq-AL"/>
              </w:rPr>
              <w:t>Ciljevi</w:t>
            </w:r>
          </w:p>
        </w:tc>
      </w:tr>
      <w:tr w:rsidR="00C232D7" w:rsidRPr="002A6F4E" w14:paraId="6785940C" w14:textId="77777777" w:rsidTr="00C232D7">
        <w:trPr>
          <w:trHeight w:val="321"/>
          <w:jc w:val="center"/>
        </w:trPr>
        <w:tc>
          <w:tcPr>
            <w:tcW w:w="2332" w:type="dxa"/>
          </w:tcPr>
          <w:p w14:paraId="20459BC7" w14:textId="77777777" w:rsidR="00C232D7" w:rsidRPr="003E4447" w:rsidRDefault="00C232D7" w:rsidP="00C232D7">
            <w:pPr>
              <w:spacing w:before="40" w:after="40" w:line="360" w:lineRule="auto"/>
              <w:rPr>
                <w:rFonts w:ascii="Arial" w:hAnsi="Arial" w:cs="Arial"/>
                <w:sz w:val="18"/>
                <w:szCs w:val="18"/>
                <w:lang w:val="sq-AL"/>
              </w:rPr>
            </w:pPr>
            <w:r w:rsidRPr="003E4447">
              <w:rPr>
                <w:rFonts w:ascii="Arial" w:hAnsi="Arial" w:cs="Arial"/>
                <w:sz w:val="18"/>
                <w:szCs w:val="18"/>
                <w:lang w:val="sq-AL"/>
              </w:rPr>
              <w:t>A. Politika, zakonodavstvo i sprovođenje</w:t>
            </w:r>
          </w:p>
        </w:tc>
        <w:tc>
          <w:tcPr>
            <w:tcW w:w="7399" w:type="dxa"/>
          </w:tcPr>
          <w:p w14:paraId="2975DAC4" w14:textId="5B3ACA29"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Podržati aktivnosti upravljanja otpadom,  praktičnim, efektivnim i primenljivim zakonima koji dopunjuju Zakon o upravljanju otpadom;</w:t>
            </w:r>
          </w:p>
          <w:p w14:paraId="295650E5" w14:textId="5EC0EF41"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Osigurati ekološki prihvatljivo dugoročno planiranje</w:t>
            </w:r>
            <w:r w:rsidR="003617DE" w:rsidRPr="003E4447">
              <w:rPr>
                <w:rFonts w:ascii="Arial" w:hAnsi="Arial" w:cs="Arial"/>
                <w:sz w:val="18"/>
                <w:szCs w:val="18"/>
                <w:lang w:val="sq-AL"/>
              </w:rPr>
              <w:t>,</w:t>
            </w:r>
            <w:r w:rsidRPr="003E4447">
              <w:rPr>
                <w:rFonts w:ascii="Arial" w:hAnsi="Arial" w:cs="Arial"/>
                <w:sz w:val="18"/>
                <w:szCs w:val="18"/>
                <w:lang w:val="sq-AL"/>
              </w:rPr>
              <w:t xml:space="preserve"> </w:t>
            </w:r>
            <w:r w:rsidR="000F5B83" w:rsidRPr="003E4447">
              <w:rPr>
                <w:rFonts w:ascii="Arial" w:hAnsi="Arial" w:cs="Arial"/>
                <w:sz w:val="18"/>
                <w:szCs w:val="18"/>
                <w:lang w:val="sq-AL"/>
              </w:rPr>
              <w:t>kao</w:t>
            </w:r>
            <w:r w:rsidRPr="003E4447">
              <w:rPr>
                <w:rFonts w:ascii="Arial" w:hAnsi="Arial" w:cs="Arial"/>
                <w:sz w:val="18"/>
                <w:szCs w:val="18"/>
                <w:lang w:val="sq-AL"/>
              </w:rPr>
              <w:t xml:space="preserve"> osnov</w:t>
            </w:r>
            <w:r w:rsidR="000F5B83" w:rsidRPr="003E4447">
              <w:rPr>
                <w:rFonts w:ascii="Arial" w:hAnsi="Arial" w:cs="Arial"/>
                <w:sz w:val="18"/>
                <w:szCs w:val="18"/>
                <w:lang w:val="sq-AL"/>
              </w:rPr>
              <w:t>u</w:t>
            </w:r>
            <w:r w:rsidRPr="003E4447">
              <w:rPr>
                <w:rFonts w:ascii="Arial" w:hAnsi="Arial" w:cs="Arial"/>
                <w:sz w:val="18"/>
                <w:szCs w:val="18"/>
                <w:lang w:val="sq-AL"/>
              </w:rPr>
              <w:t xml:space="preserve"> za sve razvojne odluke - Bolje koordinisati državne aktivnosti upravljanja otpadom i osigurati da se plan periodično pregleda i ažurira kako bi se postigao navedeni cilj i svrha;</w:t>
            </w:r>
          </w:p>
          <w:p w14:paraId="6F6A23CD" w14:textId="77777777"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Uspostaviti i ojačati procedure za monitoring i sprovođenje;</w:t>
            </w:r>
          </w:p>
          <w:p w14:paraId="55EC5BAB" w14:textId="796A6719" w:rsidR="00C232D7" w:rsidRPr="003E4447" w:rsidRDefault="00B61926"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 xml:space="preserve">Uspostaviti </w:t>
            </w:r>
            <w:r w:rsidR="00C232D7" w:rsidRPr="003E4447">
              <w:rPr>
                <w:rFonts w:ascii="Arial" w:hAnsi="Arial" w:cs="Arial"/>
                <w:sz w:val="18"/>
                <w:szCs w:val="18"/>
                <w:lang w:val="sq-AL"/>
              </w:rPr>
              <w:t>informacioni sistem;</w:t>
            </w:r>
          </w:p>
        </w:tc>
      </w:tr>
      <w:tr w:rsidR="00C232D7" w:rsidRPr="002A6F4E" w14:paraId="1EF26A98" w14:textId="77777777" w:rsidTr="00C232D7">
        <w:trPr>
          <w:trHeight w:val="321"/>
          <w:jc w:val="center"/>
        </w:trPr>
        <w:tc>
          <w:tcPr>
            <w:tcW w:w="2332" w:type="dxa"/>
          </w:tcPr>
          <w:p w14:paraId="0A8D83E7" w14:textId="77777777" w:rsidR="00C232D7" w:rsidRPr="003E4447" w:rsidRDefault="00C232D7" w:rsidP="00C232D7">
            <w:pPr>
              <w:spacing w:before="40" w:after="40" w:line="360" w:lineRule="auto"/>
              <w:rPr>
                <w:rFonts w:ascii="Arial" w:hAnsi="Arial" w:cs="Arial"/>
                <w:sz w:val="18"/>
                <w:szCs w:val="18"/>
                <w:lang w:val="sq-AL"/>
              </w:rPr>
            </w:pPr>
            <w:r w:rsidRPr="003E4447">
              <w:rPr>
                <w:rFonts w:ascii="Arial" w:hAnsi="Arial" w:cs="Arial"/>
                <w:sz w:val="18"/>
                <w:szCs w:val="18"/>
                <w:lang w:val="sq-AL"/>
              </w:rPr>
              <w:t>B. Održivo finansiranje</w:t>
            </w:r>
          </w:p>
        </w:tc>
        <w:tc>
          <w:tcPr>
            <w:tcW w:w="7399" w:type="dxa"/>
          </w:tcPr>
          <w:p w14:paraId="7209EBD6" w14:textId="020232FB" w:rsidR="00C232D7" w:rsidRPr="003E4447" w:rsidRDefault="00B61926"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 xml:space="preserve">Uspostaviti </w:t>
            </w:r>
            <w:r w:rsidR="00C232D7" w:rsidRPr="003E4447">
              <w:rPr>
                <w:rFonts w:ascii="Arial" w:hAnsi="Arial" w:cs="Arial"/>
                <w:sz w:val="18"/>
                <w:szCs w:val="18"/>
                <w:lang w:val="sq-AL"/>
              </w:rPr>
              <w:t>sisteme i programe upravljanja otpadom koji su finansijski samoodrživi;</w:t>
            </w:r>
          </w:p>
          <w:p w14:paraId="01A9766B" w14:textId="5E2D89CA"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Uspostaviti podsticajne programe koj</w:t>
            </w:r>
            <w:r w:rsidR="002D595E" w:rsidRPr="003E4447">
              <w:rPr>
                <w:rFonts w:ascii="Arial" w:hAnsi="Arial" w:cs="Arial"/>
                <w:sz w:val="18"/>
                <w:szCs w:val="18"/>
                <w:lang w:val="sq-AL"/>
              </w:rPr>
              <w:t>i</w:t>
            </w:r>
            <w:r w:rsidRPr="003E4447">
              <w:rPr>
                <w:rFonts w:ascii="Arial" w:hAnsi="Arial" w:cs="Arial"/>
                <w:sz w:val="18"/>
                <w:szCs w:val="18"/>
                <w:lang w:val="sq-AL"/>
              </w:rPr>
              <w:t xml:space="preserve"> primjenjuju princip </w:t>
            </w:r>
            <w:r w:rsidR="00FB5884" w:rsidRPr="003E4447">
              <w:rPr>
                <w:rFonts w:ascii="Arial" w:hAnsi="Arial" w:cs="Arial"/>
                <w:sz w:val="18"/>
                <w:szCs w:val="18"/>
                <w:lang w:val="sq-AL"/>
              </w:rPr>
              <w:t>“zagađivač plaća”</w:t>
            </w:r>
            <w:r w:rsidR="00B61926" w:rsidRPr="003E4447">
              <w:rPr>
                <w:rFonts w:ascii="Arial" w:hAnsi="Arial" w:cs="Arial"/>
                <w:sz w:val="18"/>
                <w:szCs w:val="18"/>
                <w:lang w:val="sq-AL"/>
              </w:rPr>
              <w:t>,</w:t>
            </w:r>
            <w:r w:rsidRPr="003E4447">
              <w:rPr>
                <w:rFonts w:ascii="Arial" w:hAnsi="Arial" w:cs="Arial"/>
                <w:sz w:val="18"/>
                <w:szCs w:val="18"/>
                <w:lang w:val="sq-AL"/>
              </w:rPr>
              <w:t xml:space="preserve"> podsticanjem </w:t>
            </w:r>
            <w:r w:rsidR="00B61926" w:rsidRPr="003E4447">
              <w:rPr>
                <w:rFonts w:ascii="Arial" w:hAnsi="Arial" w:cs="Arial"/>
                <w:sz w:val="18"/>
                <w:szCs w:val="18"/>
                <w:lang w:val="sq-AL"/>
              </w:rPr>
              <w:t>“</w:t>
            </w:r>
            <w:r w:rsidRPr="003E4447">
              <w:rPr>
                <w:rFonts w:ascii="Arial" w:hAnsi="Arial" w:cs="Arial"/>
                <w:sz w:val="18"/>
                <w:szCs w:val="18"/>
                <w:lang w:val="sq-AL"/>
              </w:rPr>
              <w:t>čistije</w:t>
            </w:r>
            <w:r w:rsidR="00B61926" w:rsidRPr="003E4447">
              <w:rPr>
                <w:rFonts w:ascii="Arial" w:hAnsi="Arial" w:cs="Arial"/>
                <w:sz w:val="18"/>
                <w:szCs w:val="18"/>
                <w:lang w:val="sq-AL"/>
              </w:rPr>
              <w:t>”</w:t>
            </w:r>
            <w:r w:rsidRPr="003E4447">
              <w:rPr>
                <w:rFonts w:ascii="Arial" w:hAnsi="Arial" w:cs="Arial"/>
                <w:sz w:val="18"/>
                <w:szCs w:val="18"/>
                <w:lang w:val="sq-AL"/>
              </w:rPr>
              <w:t xml:space="preserve"> proizvodnje i povrata materijala iz otpada;</w:t>
            </w:r>
          </w:p>
          <w:p w14:paraId="5D309C25" w14:textId="296A7544" w:rsidR="00C232D7" w:rsidRPr="003E4447" w:rsidRDefault="00B61926"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 xml:space="preserve">Uspostaviti </w:t>
            </w:r>
            <w:r w:rsidR="00C232D7" w:rsidRPr="003E4447">
              <w:rPr>
                <w:rFonts w:ascii="Arial" w:hAnsi="Arial" w:cs="Arial"/>
                <w:sz w:val="18"/>
                <w:szCs w:val="18"/>
                <w:lang w:val="sq-AL"/>
              </w:rPr>
              <w:t xml:space="preserve">proširenu odgovornost proizvođača  i princip </w:t>
            </w:r>
            <w:r w:rsidR="00FB5884" w:rsidRPr="003E4447">
              <w:rPr>
                <w:rFonts w:ascii="Arial" w:hAnsi="Arial" w:cs="Arial"/>
                <w:sz w:val="18"/>
                <w:szCs w:val="18"/>
                <w:lang w:val="sq-AL"/>
              </w:rPr>
              <w:t>“zagađivač plaća”</w:t>
            </w:r>
            <w:r w:rsidR="00C232D7" w:rsidRPr="003E4447">
              <w:rPr>
                <w:rFonts w:ascii="Arial" w:hAnsi="Arial" w:cs="Arial"/>
                <w:sz w:val="18"/>
                <w:szCs w:val="18"/>
                <w:lang w:val="sq-AL"/>
              </w:rPr>
              <w:t>;</w:t>
            </w:r>
          </w:p>
          <w:p w14:paraId="2CE316E7" w14:textId="77777777"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Usvojiti i primijeniti ekonomske instrumente;</w:t>
            </w:r>
          </w:p>
        </w:tc>
      </w:tr>
      <w:tr w:rsidR="00C232D7" w:rsidRPr="0014164F" w14:paraId="5F4A2619" w14:textId="77777777" w:rsidTr="00C232D7">
        <w:trPr>
          <w:trHeight w:val="321"/>
          <w:jc w:val="center"/>
        </w:trPr>
        <w:tc>
          <w:tcPr>
            <w:tcW w:w="2332" w:type="dxa"/>
          </w:tcPr>
          <w:p w14:paraId="54F0186B" w14:textId="77777777" w:rsidR="00C232D7" w:rsidRPr="003E4447" w:rsidRDefault="00C232D7" w:rsidP="00C232D7">
            <w:pPr>
              <w:spacing w:before="40" w:after="40" w:line="360" w:lineRule="auto"/>
              <w:rPr>
                <w:rFonts w:ascii="Arial" w:hAnsi="Arial" w:cs="Arial"/>
                <w:sz w:val="18"/>
                <w:szCs w:val="18"/>
                <w:lang w:val="sq-AL"/>
              </w:rPr>
            </w:pPr>
            <w:r w:rsidRPr="003E4447">
              <w:rPr>
                <w:rFonts w:ascii="Arial" w:hAnsi="Arial" w:cs="Arial"/>
                <w:sz w:val="18"/>
                <w:szCs w:val="18"/>
                <w:lang w:val="sq-AL"/>
              </w:rPr>
              <w:t>C. Razvoj kapaciteta</w:t>
            </w:r>
          </w:p>
        </w:tc>
        <w:tc>
          <w:tcPr>
            <w:tcW w:w="7399" w:type="dxa"/>
          </w:tcPr>
          <w:p w14:paraId="19E59A7D" w14:textId="74218061"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 xml:space="preserve">Definisati uloge i odgovornosti na </w:t>
            </w:r>
            <w:r w:rsidR="00BA52D9" w:rsidRPr="003E4447">
              <w:rPr>
                <w:rFonts w:ascii="Arial" w:hAnsi="Arial" w:cs="Arial"/>
                <w:sz w:val="18"/>
                <w:szCs w:val="18"/>
                <w:lang w:val="sq-AL"/>
              </w:rPr>
              <w:t>državnom</w:t>
            </w:r>
            <w:r w:rsidRPr="003E4447">
              <w:rPr>
                <w:rFonts w:ascii="Arial" w:hAnsi="Arial" w:cs="Arial"/>
                <w:sz w:val="18"/>
                <w:szCs w:val="18"/>
                <w:lang w:val="sq-AL"/>
              </w:rPr>
              <w:t xml:space="preserve"> i lokalnom/ nivou;</w:t>
            </w:r>
          </w:p>
          <w:p w14:paraId="18646A2E" w14:textId="77777777"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lastRenderedPageBreak/>
              <w:t>Jačanje kapaciteta onih koji se bave upravljanjem otpadom;</w:t>
            </w:r>
          </w:p>
        </w:tc>
      </w:tr>
      <w:tr w:rsidR="00C232D7" w:rsidRPr="0014164F" w14:paraId="2F782D97" w14:textId="77777777" w:rsidTr="00C232D7">
        <w:trPr>
          <w:trHeight w:val="321"/>
          <w:jc w:val="center"/>
        </w:trPr>
        <w:tc>
          <w:tcPr>
            <w:tcW w:w="2332" w:type="dxa"/>
          </w:tcPr>
          <w:p w14:paraId="3AA4808C" w14:textId="77777777" w:rsidR="00C232D7" w:rsidRPr="003E4447" w:rsidRDefault="00C232D7" w:rsidP="00C232D7">
            <w:pPr>
              <w:spacing w:before="40" w:after="40" w:line="360" w:lineRule="auto"/>
              <w:rPr>
                <w:rFonts w:ascii="Arial" w:hAnsi="Arial" w:cs="Arial"/>
                <w:sz w:val="18"/>
                <w:szCs w:val="18"/>
                <w:lang w:val="sq-AL"/>
              </w:rPr>
            </w:pPr>
            <w:r w:rsidRPr="003E4447">
              <w:rPr>
                <w:rFonts w:ascii="Arial" w:hAnsi="Arial" w:cs="Arial"/>
                <w:sz w:val="18"/>
                <w:szCs w:val="18"/>
                <w:lang w:val="sq-AL"/>
              </w:rPr>
              <w:lastRenderedPageBreak/>
              <w:t>D. Održivo integrisano upravljanje otpadom</w:t>
            </w:r>
          </w:p>
        </w:tc>
        <w:tc>
          <w:tcPr>
            <w:tcW w:w="7399" w:type="dxa"/>
          </w:tcPr>
          <w:p w14:paraId="53E4512D" w14:textId="1C2E0FBE"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Pobolj</w:t>
            </w:r>
            <w:r w:rsidRPr="003E4447">
              <w:rPr>
                <w:rFonts w:ascii="Arial" w:hAnsi="Arial" w:cs="Arial"/>
                <w:sz w:val="18"/>
                <w:szCs w:val="18"/>
                <w:lang w:val="sr-Latn-ME"/>
              </w:rPr>
              <w:t xml:space="preserve">šati </w:t>
            </w:r>
            <w:r w:rsidRPr="003E4447">
              <w:rPr>
                <w:rFonts w:ascii="Arial" w:hAnsi="Arial" w:cs="Arial"/>
                <w:sz w:val="18"/>
                <w:szCs w:val="18"/>
                <w:lang w:val="sq-AL"/>
              </w:rPr>
              <w:t>održivost praksi upravljanja otpadom;</w:t>
            </w:r>
          </w:p>
          <w:p w14:paraId="790B0EC6" w14:textId="678339E6"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Progresivno se kretati ka cirkularnoj ekonomiji i efikasnosti resursa;</w:t>
            </w:r>
          </w:p>
          <w:p w14:paraId="3842C38E" w14:textId="6AC0C138"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 xml:space="preserve">Promovisati efikasno sakupljanje otpada (uzimajući u obzir proces </w:t>
            </w:r>
            <w:r w:rsidR="00B61926" w:rsidRPr="003E4447">
              <w:rPr>
                <w:rFonts w:ascii="Arial" w:hAnsi="Arial" w:cs="Arial"/>
                <w:sz w:val="18"/>
                <w:szCs w:val="18"/>
                <w:lang w:val="sq-AL"/>
              </w:rPr>
              <w:t xml:space="preserve">odvajanja otpada </w:t>
            </w:r>
            <w:r w:rsidRPr="003E4447">
              <w:rPr>
                <w:rFonts w:ascii="Arial" w:hAnsi="Arial" w:cs="Arial"/>
                <w:sz w:val="18"/>
                <w:szCs w:val="18"/>
                <w:lang w:val="sq-AL"/>
              </w:rPr>
              <w:t>na izvoru) i odlaganje širom Crne Gore i smanjiti uticaj upravljanja otpadom na ljude i ekosisteme;</w:t>
            </w:r>
          </w:p>
          <w:p w14:paraId="745501B7" w14:textId="7FC17AF3"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Promovisati hijerarhiju upravljanja otpadom – Promovisati prevenciju otpada, minimiziranje, ponovno korišćenje i recikl</w:t>
            </w:r>
            <w:r w:rsidR="00B61926" w:rsidRPr="003E4447">
              <w:rPr>
                <w:rFonts w:ascii="Arial" w:hAnsi="Arial" w:cs="Arial"/>
                <w:sz w:val="18"/>
                <w:szCs w:val="18"/>
                <w:lang w:val="sq-AL"/>
              </w:rPr>
              <w:t>iranje</w:t>
            </w:r>
            <w:r w:rsidRPr="003E4447">
              <w:rPr>
                <w:rFonts w:ascii="Arial" w:hAnsi="Arial" w:cs="Arial"/>
                <w:sz w:val="18"/>
                <w:szCs w:val="18"/>
                <w:lang w:val="sq-AL"/>
              </w:rPr>
              <w:t>;</w:t>
            </w:r>
          </w:p>
          <w:p w14:paraId="7C2FAF3B" w14:textId="77777777"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Promovisati decentralizovano upravljanje otpadom;</w:t>
            </w:r>
          </w:p>
          <w:p w14:paraId="4C625E0C" w14:textId="77777777"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Smanjiti količine generisanog i deponovanog otpada;</w:t>
            </w:r>
          </w:p>
          <w:p w14:paraId="74BED6AF" w14:textId="3C96B4EA"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 xml:space="preserve">Maksimizirati </w:t>
            </w:r>
            <w:r w:rsidR="00B61926" w:rsidRPr="003E4447">
              <w:rPr>
                <w:rFonts w:ascii="Arial" w:hAnsi="Arial" w:cs="Arial"/>
                <w:sz w:val="18"/>
                <w:szCs w:val="18"/>
                <w:lang w:val="sq-AL"/>
              </w:rPr>
              <w:t xml:space="preserve">ponovnu upotrebu </w:t>
            </w:r>
            <w:r w:rsidRPr="003E4447">
              <w:rPr>
                <w:rFonts w:ascii="Arial" w:hAnsi="Arial" w:cs="Arial"/>
                <w:sz w:val="18"/>
                <w:szCs w:val="18"/>
                <w:lang w:val="sq-AL"/>
              </w:rPr>
              <w:t>otpada;</w:t>
            </w:r>
          </w:p>
          <w:p w14:paraId="583F0018" w14:textId="77777777"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Poboljšati infrastrukturu za upravljanje otpadom i podržati održivi rad i održavanje;</w:t>
            </w:r>
          </w:p>
          <w:p w14:paraId="03F370C3" w14:textId="77777777"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Promovisati korišćenje najboljih dostupnih tehnika za upravljanje otpadom;</w:t>
            </w:r>
          </w:p>
          <w:p w14:paraId="2D39ACBA" w14:textId="77777777"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Planirati inicijative za poboljšanje povrata resursa;</w:t>
            </w:r>
          </w:p>
          <w:p w14:paraId="18A424C7" w14:textId="6CD9340D"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 xml:space="preserve">Podsticati participativni pristup tokom razvoja i implementacije sistema upravljanja otpadom, </w:t>
            </w:r>
            <w:r w:rsidR="00BA52D9" w:rsidRPr="003E4447">
              <w:rPr>
                <w:rFonts w:ascii="Arial" w:hAnsi="Arial" w:cs="Arial"/>
                <w:sz w:val="18"/>
                <w:szCs w:val="18"/>
                <w:lang w:val="sq-AL"/>
              </w:rPr>
              <w:t>kroz</w:t>
            </w:r>
            <w:r w:rsidRPr="003E4447">
              <w:rPr>
                <w:rFonts w:ascii="Arial" w:hAnsi="Arial" w:cs="Arial"/>
                <w:sz w:val="18"/>
                <w:szCs w:val="18"/>
                <w:lang w:val="sq-AL"/>
              </w:rPr>
              <w:t xml:space="preserve"> uključivanje neformalnog sektora i promociju privatnog učešća;</w:t>
            </w:r>
          </w:p>
          <w:p w14:paraId="6C23AB86" w14:textId="414CEC95"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Osigurati javno zdravlje i zaštitu životne sredine bezbijednim odlaganjem</w:t>
            </w:r>
            <w:r w:rsidR="00BA52D9" w:rsidRPr="003E4447">
              <w:rPr>
                <w:rFonts w:ascii="Arial" w:hAnsi="Arial" w:cs="Arial"/>
                <w:sz w:val="18"/>
                <w:szCs w:val="18"/>
                <w:lang w:val="sq-AL"/>
              </w:rPr>
              <w:t>;</w:t>
            </w:r>
          </w:p>
        </w:tc>
      </w:tr>
      <w:tr w:rsidR="00C232D7" w:rsidRPr="0014164F" w14:paraId="006CD877" w14:textId="77777777" w:rsidTr="00C232D7">
        <w:trPr>
          <w:trHeight w:val="321"/>
          <w:jc w:val="center"/>
        </w:trPr>
        <w:tc>
          <w:tcPr>
            <w:tcW w:w="2332" w:type="dxa"/>
          </w:tcPr>
          <w:p w14:paraId="3079C1B7" w14:textId="77777777" w:rsidR="00C232D7" w:rsidRPr="003E4447" w:rsidRDefault="00C232D7" w:rsidP="00C232D7">
            <w:pPr>
              <w:spacing w:before="40" w:after="40" w:line="360" w:lineRule="auto"/>
              <w:rPr>
                <w:rFonts w:ascii="Arial" w:hAnsi="Arial" w:cs="Arial"/>
                <w:sz w:val="18"/>
                <w:szCs w:val="18"/>
                <w:lang w:val="sq-AL"/>
              </w:rPr>
            </w:pPr>
            <w:r w:rsidRPr="003E4447">
              <w:rPr>
                <w:rFonts w:ascii="Arial" w:hAnsi="Arial" w:cs="Arial"/>
                <w:sz w:val="18"/>
                <w:szCs w:val="18"/>
                <w:lang w:val="sq-AL"/>
              </w:rPr>
              <w:t>E. Javna svijest/konsultacije</w:t>
            </w:r>
          </w:p>
        </w:tc>
        <w:tc>
          <w:tcPr>
            <w:tcW w:w="7399" w:type="dxa"/>
          </w:tcPr>
          <w:p w14:paraId="4A094460" w14:textId="77777777"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Povećati svijest javnosti o njihovim odgovornostima u pogledu upravljanja otpadom;</w:t>
            </w:r>
          </w:p>
          <w:p w14:paraId="6090E7DF" w14:textId="77777777"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​​Uvesti i poboljšati učešće zajednice u upravljanju otpadom;</w:t>
            </w:r>
          </w:p>
          <w:p w14:paraId="321C3D6A" w14:textId="77777777" w:rsidR="00C232D7" w:rsidRPr="003E4447" w:rsidRDefault="00C232D7" w:rsidP="00A23ED0">
            <w:pPr>
              <w:pStyle w:val="ListParagraph"/>
              <w:numPr>
                <w:ilvl w:val="0"/>
                <w:numId w:val="30"/>
              </w:numPr>
              <w:spacing w:before="40" w:after="40" w:line="360" w:lineRule="auto"/>
              <w:ind w:left="456"/>
              <w:contextualSpacing w:val="0"/>
              <w:rPr>
                <w:rFonts w:ascii="Arial" w:hAnsi="Arial" w:cs="Arial"/>
                <w:sz w:val="18"/>
                <w:szCs w:val="18"/>
                <w:lang w:val="sq-AL"/>
              </w:rPr>
            </w:pPr>
            <w:r w:rsidRPr="003E4447">
              <w:rPr>
                <w:rFonts w:ascii="Arial" w:hAnsi="Arial" w:cs="Arial"/>
                <w:sz w:val="18"/>
                <w:szCs w:val="18"/>
                <w:lang w:val="sq-AL"/>
              </w:rPr>
              <w:t>Promovisati smanjenje otpada, recikliranje i ponovno korišćenje u javnosti.</w:t>
            </w:r>
          </w:p>
        </w:tc>
        <w:bookmarkEnd w:id="803"/>
        <w:bookmarkEnd w:id="804"/>
        <w:bookmarkEnd w:id="805"/>
        <w:bookmarkEnd w:id="806"/>
      </w:tr>
    </w:tbl>
    <w:p w14:paraId="4DE23E08" w14:textId="2E0772AA" w:rsidR="00B14384" w:rsidRDefault="00B14384" w:rsidP="002E740E">
      <w:pPr>
        <w:rPr>
          <w:lang w:val="sq-AL" w:eastAsia="pl-PL"/>
        </w:rPr>
      </w:pPr>
      <w:bookmarkStart w:id="817" w:name="_Toc130832657"/>
      <w:bookmarkStart w:id="818" w:name="_Toc121761363"/>
      <w:bookmarkStart w:id="819" w:name="_Toc121759029"/>
      <w:bookmarkStart w:id="820" w:name="_Toc117607199"/>
      <w:bookmarkEnd w:id="808"/>
    </w:p>
    <w:p w14:paraId="6AB8EF3F" w14:textId="5FB951F7" w:rsidR="00C232D7" w:rsidRPr="002A6F4E" w:rsidRDefault="006913A1" w:rsidP="00F57909">
      <w:pPr>
        <w:pStyle w:val="Heading2"/>
      </w:pPr>
      <w:bookmarkStart w:id="821" w:name="_Toc193354009"/>
      <w:r>
        <w:t>5.4</w:t>
      </w:r>
      <w:r w:rsidR="00C232D7" w:rsidRPr="002A6F4E">
        <w:t>. Ciljevi upravljanja otpadom</w:t>
      </w:r>
      <w:bookmarkEnd w:id="821"/>
    </w:p>
    <w:p w14:paraId="7913C043" w14:textId="77777777" w:rsidR="00941EF9" w:rsidRDefault="00C232D7" w:rsidP="00941EF9">
      <w:pPr>
        <w:pStyle w:val="NoSpacing1"/>
        <w:rPr>
          <w:rFonts w:ascii="Arial" w:hAnsi="Arial" w:cs="Arial"/>
          <w:sz w:val="20"/>
          <w:szCs w:val="20"/>
          <w:lang w:val="sq-AL"/>
        </w:rPr>
      </w:pPr>
      <w:r w:rsidRPr="002A6F4E">
        <w:rPr>
          <w:rFonts w:ascii="Arial" w:hAnsi="Arial" w:cs="Arial"/>
          <w:sz w:val="20"/>
          <w:szCs w:val="20"/>
          <w:lang w:val="sq-AL"/>
        </w:rPr>
        <w:t xml:space="preserve">Kvantifikacija glavnih ciljeva upravljanja komunalnim otpadom prikazana je u sljedećoj tabeli: </w:t>
      </w:r>
      <w:bookmarkStart w:id="822" w:name="_Toc189515605"/>
      <w:bookmarkStart w:id="823" w:name="_Toc130832976"/>
      <w:bookmarkEnd w:id="817"/>
    </w:p>
    <w:p w14:paraId="44C4F6A8" w14:textId="77777777" w:rsidR="00941EF9" w:rsidRDefault="00941EF9" w:rsidP="00941EF9">
      <w:pPr>
        <w:pStyle w:val="NoSpacing1"/>
        <w:rPr>
          <w:rFonts w:ascii="Arial" w:hAnsi="Arial" w:cs="Arial"/>
          <w:sz w:val="20"/>
          <w:szCs w:val="20"/>
          <w:lang w:val="sq-AL"/>
        </w:rPr>
      </w:pPr>
    </w:p>
    <w:p w14:paraId="689066ED" w14:textId="0E30207B" w:rsidR="00C232D7" w:rsidRPr="003E4447" w:rsidRDefault="00C232D7" w:rsidP="00941EF9">
      <w:pPr>
        <w:pStyle w:val="Caption"/>
        <w:rPr>
          <w:rFonts w:ascii="Arial" w:hAnsi="Arial" w:cs="Arial"/>
          <w:b w:val="0"/>
          <w:lang w:val="sq-AL"/>
        </w:rPr>
      </w:pPr>
      <w:bookmarkStart w:id="824" w:name="_Toc190160722"/>
      <w:r w:rsidRPr="003E4447">
        <w:rPr>
          <w:rFonts w:ascii="Arial" w:hAnsi="Arial" w:cs="Arial"/>
          <w:b w:val="0"/>
          <w:lang w:val="sq-AL"/>
        </w:rPr>
        <w:t xml:space="preserve">Tabela </w:t>
      </w:r>
      <w:r w:rsidRPr="003E4447">
        <w:rPr>
          <w:rFonts w:ascii="Arial" w:hAnsi="Arial" w:cs="Arial"/>
          <w:b w:val="0"/>
          <w:lang w:val="sq-AL"/>
        </w:rPr>
        <w:fldChar w:fldCharType="begin"/>
      </w:r>
      <w:r w:rsidRPr="003E4447">
        <w:rPr>
          <w:rFonts w:ascii="Arial" w:hAnsi="Arial" w:cs="Arial"/>
          <w:b w:val="0"/>
          <w:lang w:val="sq-AL"/>
        </w:rPr>
        <w:instrText xml:space="preserve"> SEQ Tabela \* ARABIC </w:instrText>
      </w:r>
      <w:r w:rsidRPr="003E4447">
        <w:rPr>
          <w:rFonts w:ascii="Arial" w:hAnsi="Arial" w:cs="Arial"/>
          <w:b w:val="0"/>
          <w:lang w:val="sq-AL"/>
        </w:rPr>
        <w:fldChar w:fldCharType="separate"/>
      </w:r>
      <w:r w:rsidR="007274DA">
        <w:rPr>
          <w:rFonts w:ascii="Arial" w:hAnsi="Arial" w:cs="Arial"/>
          <w:b w:val="0"/>
          <w:noProof/>
          <w:lang w:val="sq-AL"/>
        </w:rPr>
        <w:t>32</w:t>
      </w:r>
      <w:r w:rsidRPr="003E4447">
        <w:rPr>
          <w:rFonts w:ascii="Arial" w:hAnsi="Arial" w:cs="Arial"/>
          <w:b w:val="0"/>
          <w:lang w:val="sq-AL"/>
        </w:rPr>
        <w:fldChar w:fldCharType="end"/>
      </w:r>
      <w:r w:rsidRPr="003E4447">
        <w:rPr>
          <w:rFonts w:ascii="Arial" w:hAnsi="Arial" w:cs="Arial"/>
          <w:b w:val="0"/>
          <w:lang w:val="sq-AL"/>
        </w:rPr>
        <w:t xml:space="preserve"> Kvantifikacija ciljeva upravljanja komunalnim otpadom</w:t>
      </w:r>
      <w:bookmarkEnd w:id="822"/>
      <w:bookmarkEnd w:id="824"/>
      <w:r w:rsidRPr="003E4447">
        <w:rPr>
          <w:rFonts w:ascii="Arial" w:hAnsi="Arial" w:cs="Arial"/>
          <w:b w:val="0"/>
          <w:lang w:val="sq-AL"/>
        </w:rPr>
        <w:t xml:space="preserve"> </w:t>
      </w:r>
      <w:bookmarkEnd w:id="823"/>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1497"/>
        <w:gridCol w:w="3075"/>
        <w:gridCol w:w="1592"/>
        <w:gridCol w:w="1590"/>
        <w:gridCol w:w="1588"/>
      </w:tblGrid>
      <w:tr w:rsidR="00C232D7" w:rsidRPr="003E4447" w14:paraId="692C17EE" w14:textId="77777777" w:rsidTr="00C232D7">
        <w:trPr>
          <w:trHeight w:val="521"/>
          <w:tblHeader/>
          <w:jc w:val="center"/>
        </w:trPr>
        <w:tc>
          <w:tcPr>
            <w:tcW w:w="801" w:type="pct"/>
            <w:shd w:val="clear" w:color="auto" w:fill="F2F2F2" w:themeFill="background1" w:themeFillShade="F2"/>
            <w:vAlign w:val="center"/>
          </w:tcPr>
          <w:p w14:paraId="06C9741C" w14:textId="77777777" w:rsidR="00C232D7" w:rsidRPr="003E4447" w:rsidRDefault="00C232D7" w:rsidP="00C232D7">
            <w:pPr>
              <w:spacing w:after="120" w:line="360" w:lineRule="auto"/>
              <w:ind w:right="45"/>
              <w:rPr>
                <w:rFonts w:ascii="Arial" w:hAnsi="Arial" w:cs="Arial"/>
                <w:b/>
                <w:bCs/>
                <w:sz w:val="18"/>
                <w:szCs w:val="18"/>
              </w:rPr>
            </w:pPr>
            <w:r w:rsidRPr="003E4447">
              <w:rPr>
                <w:rFonts w:ascii="Arial" w:hAnsi="Arial" w:cs="Arial"/>
                <w:b/>
                <w:bCs/>
                <w:sz w:val="18"/>
                <w:szCs w:val="18"/>
              </w:rPr>
              <w:t>Vrsta otpada</w:t>
            </w:r>
          </w:p>
        </w:tc>
        <w:tc>
          <w:tcPr>
            <w:tcW w:w="1646" w:type="pct"/>
            <w:shd w:val="clear" w:color="auto" w:fill="F2F2F2" w:themeFill="background1" w:themeFillShade="F2"/>
            <w:vAlign w:val="center"/>
          </w:tcPr>
          <w:p w14:paraId="7977F9C2" w14:textId="77777777" w:rsidR="00C232D7" w:rsidRPr="003E4447" w:rsidRDefault="00C232D7" w:rsidP="00C232D7">
            <w:pPr>
              <w:spacing w:after="120" w:line="360" w:lineRule="auto"/>
              <w:ind w:right="45"/>
              <w:rPr>
                <w:rFonts w:ascii="Arial" w:hAnsi="Arial" w:cs="Arial"/>
                <w:b/>
                <w:bCs/>
                <w:sz w:val="18"/>
                <w:szCs w:val="18"/>
              </w:rPr>
            </w:pPr>
          </w:p>
          <w:p w14:paraId="0AB59266" w14:textId="77777777" w:rsidR="00C232D7" w:rsidRPr="003E4447" w:rsidRDefault="00C232D7" w:rsidP="00C232D7">
            <w:pPr>
              <w:spacing w:after="120" w:line="360" w:lineRule="auto"/>
              <w:ind w:right="45"/>
              <w:rPr>
                <w:rFonts w:ascii="Arial" w:hAnsi="Arial" w:cs="Arial"/>
                <w:b/>
                <w:bCs/>
                <w:sz w:val="18"/>
                <w:szCs w:val="18"/>
              </w:rPr>
            </w:pPr>
            <w:r w:rsidRPr="003E4447">
              <w:rPr>
                <w:rFonts w:ascii="Arial" w:hAnsi="Arial" w:cs="Arial"/>
                <w:b/>
                <w:bCs/>
                <w:sz w:val="18"/>
                <w:szCs w:val="18"/>
              </w:rPr>
              <w:t>Opis cilja</w:t>
            </w:r>
          </w:p>
          <w:p w14:paraId="72BDFD89" w14:textId="77777777" w:rsidR="00C232D7" w:rsidRPr="003E4447" w:rsidRDefault="00C232D7" w:rsidP="00C232D7">
            <w:pPr>
              <w:spacing w:after="120" w:line="360" w:lineRule="auto"/>
              <w:ind w:right="45"/>
              <w:rPr>
                <w:rFonts w:ascii="Arial" w:hAnsi="Arial" w:cs="Arial"/>
                <w:b/>
                <w:bCs/>
                <w:sz w:val="18"/>
                <w:szCs w:val="18"/>
              </w:rPr>
            </w:pPr>
          </w:p>
        </w:tc>
        <w:tc>
          <w:tcPr>
            <w:tcW w:w="852" w:type="pct"/>
            <w:shd w:val="clear" w:color="auto" w:fill="F2F2F2" w:themeFill="background1" w:themeFillShade="F2"/>
            <w:vAlign w:val="center"/>
          </w:tcPr>
          <w:p w14:paraId="7DB47098" w14:textId="77777777" w:rsidR="00C232D7" w:rsidRPr="003E4447" w:rsidRDefault="00C232D7" w:rsidP="00C232D7">
            <w:pPr>
              <w:spacing w:after="120" w:line="360" w:lineRule="auto"/>
              <w:ind w:right="45"/>
              <w:rPr>
                <w:rFonts w:ascii="Arial" w:hAnsi="Arial" w:cs="Arial"/>
                <w:b/>
                <w:bCs/>
                <w:sz w:val="18"/>
                <w:szCs w:val="18"/>
              </w:rPr>
            </w:pPr>
          </w:p>
          <w:p w14:paraId="0E5072EE" w14:textId="77777777" w:rsidR="00C232D7" w:rsidRPr="003E4447" w:rsidRDefault="00C232D7" w:rsidP="00C232D7">
            <w:pPr>
              <w:spacing w:after="120" w:line="360" w:lineRule="auto"/>
              <w:ind w:right="45"/>
              <w:rPr>
                <w:rFonts w:ascii="Arial" w:hAnsi="Arial" w:cs="Arial"/>
                <w:b/>
                <w:bCs/>
                <w:sz w:val="18"/>
                <w:szCs w:val="18"/>
              </w:rPr>
            </w:pPr>
            <w:r w:rsidRPr="003E4447">
              <w:rPr>
                <w:rFonts w:ascii="Arial" w:hAnsi="Arial" w:cs="Arial"/>
                <w:b/>
                <w:bCs/>
                <w:sz w:val="18"/>
                <w:szCs w:val="18"/>
              </w:rPr>
              <w:t>Ciljna godina</w:t>
            </w:r>
          </w:p>
          <w:p w14:paraId="3F55C3BE" w14:textId="77777777" w:rsidR="00C232D7" w:rsidRPr="003E4447" w:rsidRDefault="00C232D7" w:rsidP="00C232D7">
            <w:pPr>
              <w:spacing w:after="120" w:line="360" w:lineRule="auto"/>
              <w:ind w:right="45"/>
              <w:rPr>
                <w:rFonts w:ascii="Arial" w:hAnsi="Arial" w:cs="Arial"/>
                <w:b/>
                <w:bCs/>
                <w:sz w:val="18"/>
                <w:szCs w:val="18"/>
              </w:rPr>
            </w:pPr>
          </w:p>
        </w:tc>
        <w:tc>
          <w:tcPr>
            <w:tcW w:w="851" w:type="pct"/>
            <w:shd w:val="clear" w:color="auto" w:fill="F2F2F2" w:themeFill="background1" w:themeFillShade="F2"/>
            <w:vAlign w:val="center"/>
          </w:tcPr>
          <w:p w14:paraId="58431B1A" w14:textId="77777777" w:rsidR="00C232D7" w:rsidRPr="003E4447" w:rsidRDefault="00C232D7" w:rsidP="00C232D7">
            <w:pPr>
              <w:spacing w:after="120" w:line="360" w:lineRule="auto"/>
              <w:ind w:right="45"/>
              <w:rPr>
                <w:rFonts w:ascii="Arial" w:hAnsi="Arial" w:cs="Arial"/>
                <w:b/>
                <w:bCs/>
                <w:sz w:val="18"/>
                <w:szCs w:val="18"/>
              </w:rPr>
            </w:pPr>
            <w:r w:rsidRPr="003E4447">
              <w:rPr>
                <w:rFonts w:ascii="Arial" w:hAnsi="Arial" w:cs="Arial"/>
                <w:b/>
                <w:bCs/>
                <w:sz w:val="18"/>
                <w:szCs w:val="18"/>
              </w:rPr>
              <w:t>Kvantifikovani cilj</w:t>
            </w:r>
            <w:r w:rsidRPr="003E4447">
              <w:rPr>
                <w:rFonts w:ascii="Arial" w:hAnsi="Arial" w:cs="Arial"/>
                <w:b/>
                <w:bCs/>
                <w:sz w:val="18"/>
                <w:szCs w:val="18"/>
              </w:rPr>
              <w:br/>
              <w:t>(t/god)</w:t>
            </w:r>
          </w:p>
        </w:tc>
        <w:tc>
          <w:tcPr>
            <w:tcW w:w="850" w:type="pct"/>
            <w:shd w:val="clear" w:color="auto" w:fill="F2F2F2" w:themeFill="background1" w:themeFillShade="F2"/>
            <w:vAlign w:val="center"/>
          </w:tcPr>
          <w:p w14:paraId="21738E70" w14:textId="77777777" w:rsidR="00C232D7" w:rsidRPr="003E4447" w:rsidRDefault="00C232D7" w:rsidP="00C232D7">
            <w:pPr>
              <w:spacing w:after="120" w:line="360" w:lineRule="auto"/>
              <w:ind w:right="45"/>
              <w:rPr>
                <w:rFonts w:ascii="Arial" w:hAnsi="Arial" w:cs="Arial"/>
                <w:b/>
                <w:bCs/>
                <w:sz w:val="18"/>
                <w:szCs w:val="18"/>
              </w:rPr>
            </w:pPr>
            <w:r w:rsidRPr="003E4447">
              <w:rPr>
                <w:rFonts w:ascii="Arial" w:hAnsi="Arial" w:cs="Arial"/>
                <w:b/>
                <w:bCs/>
                <w:sz w:val="18"/>
                <w:szCs w:val="18"/>
              </w:rPr>
              <w:t>Pravna referenca</w:t>
            </w:r>
          </w:p>
        </w:tc>
      </w:tr>
      <w:tr w:rsidR="00C232D7" w:rsidRPr="002E6BE8" w14:paraId="7A2BFF98" w14:textId="77777777" w:rsidTr="00C232D7">
        <w:trPr>
          <w:jc w:val="center"/>
        </w:trPr>
        <w:tc>
          <w:tcPr>
            <w:tcW w:w="801" w:type="pct"/>
            <w:shd w:val="clear" w:color="auto" w:fill="auto"/>
            <w:vAlign w:val="center"/>
          </w:tcPr>
          <w:p w14:paraId="5B9EFCF8" w14:textId="77777777" w:rsidR="00C232D7" w:rsidRPr="003E4447" w:rsidRDefault="00C232D7" w:rsidP="00C232D7">
            <w:pPr>
              <w:spacing w:after="120" w:line="360" w:lineRule="auto"/>
              <w:rPr>
                <w:rFonts w:ascii="Arial" w:hAnsi="Arial" w:cs="Arial"/>
                <w:sz w:val="18"/>
                <w:szCs w:val="18"/>
              </w:rPr>
            </w:pPr>
            <w:r w:rsidRPr="003E4447">
              <w:rPr>
                <w:rFonts w:ascii="Arial" w:hAnsi="Arial" w:cs="Arial"/>
                <w:sz w:val="18"/>
                <w:szCs w:val="18"/>
              </w:rPr>
              <w:t>Komunalni otpad</w:t>
            </w:r>
          </w:p>
          <w:p w14:paraId="7D5BAB6E" w14:textId="77777777" w:rsidR="00C232D7" w:rsidRPr="003E4447" w:rsidRDefault="00C232D7" w:rsidP="00C232D7">
            <w:pPr>
              <w:spacing w:after="120" w:line="360" w:lineRule="auto"/>
              <w:rPr>
                <w:rFonts w:ascii="Arial" w:hAnsi="Arial" w:cs="Arial"/>
                <w:sz w:val="18"/>
                <w:szCs w:val="18"/>
                <w:lang w:bidi="ar-AE"/>
              </w:rPr>
            </w:pPr>
          </w:p>
        </w:tc>
        <w:tc>
          <w:tcPr>
            <w:tcW w:w="1646" w:type="pct"/>
            <w:vAlign w:val="center"/>
          </w:tcPr>
          <w:p w14:paraId="40CC8609" w14:textId="7D624900" w:rsidR="00C232D7" w:rsidRPr="003E4447" w:rsidRDefault="00C232D7" w:rsidP="00C232D7">
            <w:pPr>
              <w:spacing w:after="120" w:line="360" w:lineRule="auto"/>
              <w:rPr>
                <w:rFonts w:ascii="Arial" w:hAnsi="Arial" w:cs="Arial"/>
                <w:sz w:val="18"/>
                <w:szCs w:val="18"/>
              </w:rPr>
            </w:pPr>
            <w:r w:rsidRPr="003E4447">
              <w:rPr>
                <w:rFonts w:ascii="Arial" w:hAnsi="Arial" w:cs="Arial"/>
                <w:sz w:val="18"/>
                <w:szCs w:val="18"/>
              </w:rPr>
              <w:t>Najmanje 50% otpadnih materijala, kao što su papir, metal, plastika i staklo, iz domaćinstava i drugih izvora u kojima su tokovi otpada slični tokovima kućnog otpada, treba pripremiti za ponovnu upotrebu i recikl</w:t>
            </w:r>
            <w:r w:rsidR="00DE4664" w:rsidRPr="003E4447">
              <w:rPr>
                <w:rFonts w:ascii="Arial" w:hAnsi="Arial" w:cs="Arial"/>
                <w:sz w:val="18"/>
                <w:szCs w:val="18"/>
              </w:rPr>
              <w:t>iranje</w:t>
            </w:r>
          </w:p>
        </w:tc>
        <w:tc>
          <w:tcPr>
            <w:tcW w:w="852" w:type="pct"/>
            <w:vAlign w:val="center"/>
          </w:tcPr>
          <w:p w14:paraId="013ED07B" w14:textId="77777777" w:rsidR="00C232D7" w:rsidRPr="003E4447" w:rsidRDefault="00C232D7" w:rsidP="00C232D7">
            <w:pPr>
              <w:spacing w:after="120" w:line="360" w:lineRule="auto"/>
              <w:rPr>
                <w:rFonts w:ascii="Arial" w:hAnsi="Arial" w:cs="Arial"/>
                <w:sz w:val="18"/>
                <w:szCs w:val="18"/>
                <w:lang w:bidi="ar-AE"/>
              </w:rPr>
            </w:pPr>
            <w:r w:rsidRPr="003E4447">
              <w:rPr>
                <w:rFonts w:ascii="Arial" w:hAnsi="Arial" w:cs="Arial"/>
                <w:sz w:val="18"/>
                <w:szCs w:val="18"/>
                <w:lang w:bidi="ar-AE"/>
              </w:rPr>
              <w:t>2030</w:t>
            </w:r>
          </w:p>
        </w:tc>
        <w:tc>
          <w:tcPr>
            <w:tcW w:w="851" w:type="pct"/>
            <w:vAlign w:val="center"/>
          </w:tcPr>
          <w:p w14:paraId="61D09D8D" w14:textId="77777777" w:rsidR="00C232D7" w:rsidRPr="003E4447" w:rsidRDefault="00C232D7" w:rsidP="00C232D7">
            <w:pPr>
              <w:spacing w:after="120" w:line="360" w:lineRule="auto"/>
              <w:rPr>
                <w:rFonts w:ascii="Arial" w:hAnsi="Arial" w:cs="Arial"/>
                <w:sz w:val="18"/>
                <w:szCs w:val="18"/>
                <w:lang w:bidi="ar-AE"/>
              </w:rPr>
            </w:pPr>
            <w:r w:rsidRPr="003E4447">
              <w:rPr>
                <w:rFonts w:ascii="Arial" w:hAnsi="Arial" w:cs="Arial"/>
                <w:sz w:val="18"/>
                <w:szCs w:val="18"/>
                <w:lang w:bidi="ar-AE"/>
              </w:rPr>
              <w:t>96.714</w:t>
            </w:r>
          </w:p>
        </w:tc>
        <w:tc>
          <w:tcPr>
            <w:tcW w:w="850" w:type="pct"/>
            <w:vAlign w:val="center"/>
          </w:tcPr>
          <w:p w14:paraId="1B392422" w14:textId="598199FA" w:rsidR="00C232D7" w:rsidRPr="002E6BE8" w:rsidRDefault="00086BBC" w:rsidP="00C232D7">
            <w:pPr>
              <w:spacing w:after="120" w:line="360" w:lineRule="auto"/>
              <w:rPr>
                <w:rFonts w:ascii="Arial" w:hAnsi="Arial" w:cs="Arial"/>
                <w:sz w:val="18"/>
                <w:szCs w:val="18"/>
              </w:rPr>
            </w:pPr>
            <w:r w:rsidRPr="002E6BE8">
              <w:rPr>
                <w:rFonts w:ascii="Arial" w:hAnsi="Arial" w:cs="Arial"/>
                <w:sz w:val="18"/>
                <w:szCs w:val="18"/>
              </w:rPr>
              <w:t>Prema čl. 21 Zakona o upravljanju otpadom</w:t>
            </w:r>
            <w:r w:rsidR="00C232D7" w:rsidRPr="002E6BE8">
              <w:rPr>
                <w:rFonts w:ascii="Arial" w:hAnsi="Arial" w:cs="Arial"/>
                <w:sz w:val="18"/>
                <w:szCs w:val="18"/>
              </w:rPr>
              <w:t xml:space="preserve"> </w:t>
            </w:r>
          </w:p>
        </w:tc>
      </w:tr>
      <w:tr w:rsidR="00C232D7" w:rsidRPr="0014164F" w14:paraId="3D48E7F5" w14:textId="77777777" w:rsidTr="00C232D7">
        <w:trPr>
          <w:jc w:val="center"/>
        </w:trPr>
        <w:tc>
          <w:tcPr>
            <w:tcW w:w="801" w:type="pct"/>
            <w:shd w:val="clear" w:color="auto" w:fill="auto"/>
          </w:tcPr>
          <w:p w14:paraId="04F962DB" w14:textId="77777777" w:rsidR="00C232D7" w:rsidRPr="003E4447" w:rsidRDefault="00C232D7" w:rsidP="00C232D7">
            <w:pPr>
              <w:spacing w:after="120" w:line="360" w:lineRule="auto"/>
              <w:rPr>
                <w:rFonts w:ascii="Arial" w:hAnsi="Arial" w:cs="Arial"/>
                <w:sz w:val="18"/>
                <w:szCs w:val="18"/>
              </w:rPr>
            </w:pPr>
            <w:r w:rsidRPr="003E4447">
              <w:rPr>
                <w:rFonts w:ascii="Arial" w:hAnsi="Arial" w:cs="Arial"/>
                <w:sz w:val="18"/>
                <w:szCs w:val="18"/>
              </w:rPr>
              <w:t>Ambalažni otpad</w:t>
            </w:r>
          </w:p>
        </w:tc>
        <w:tc>
          <w:tcPr>
            <w:tcW w:w="1646" w:type="pct"/>
            <w:vAlign w:val="center"/>
          </w:tcPr>
          <w:p w14:paraId="278BE370" w14:textId="77777777" w:rsidR="00C232D7" w:rsidRPr="003E4447" w:rsidRDefault="00C232D7" w:rsidP="00C232D7">
            <w:pPr>
              <w:spacing w:after="120" w:line="360" w:lineRule="auto"/>
              <w:rPr>
                <w:rFonts w:ascii="Arial" w:hAnsi="Arial" w:cs="Arial"/>
                <w:sz w:val="18"/>
                <w:szCs w:val="18"/>
              </w:rPr>
            </w:pPr>
            <w:r w:rsidRPr="003E4447">
              <w:rPr>
                <w:rFonts w:ascii="Arial" w:hAnsi="Arial" w:cs="Arial"/>
                <w:sz w:val="18"/>
                <w:szCs w:val="18"/>
              </w:rPr>
              <w:t>50% generisanog ambalažnog otpada koji se sakuplja za preradu, uključujući i energetsku obnovu</w:t>
            </w:r>
          </w:p>
          <w:p w14:paraId="3CA0FC9B" w14:textId="77777777" w:rsidR="00D879B2" w:rsidRPr="003E4447" w:rsidRDefault="00D879B2" w:rsidP="00D879B2">
            <w:pPr>
              <w:spacing w:line="360" w:lineRule="auto"/>
              <w:rPr>
                <w:rFonts w:ascii="Arial" w:hAnsi="Arial" w:cs="Arial"/>
                <w:sz w:val="18"/>
                <w:szCs w:val="18"/>
              </w:rPr>
            </w:pPr>
            <w:r w:rsidRPr="003E4447">
              <w:rPr>
                <w:rFonts w:ascii="Arial" w:hAnsi="Arial" w:cs="Arial"/>
                <w:sz w:val="18"/>
                <w:szCs w:val="18"/>
              </w:rPr>
              <w:lastRenderedPageBreak/>
              <w:t>35% ambalažnog otpada se reciklira</w:t>
            </w:r>
          </w:p>
          <w:p w14:paraId="070793A3" w14:textId="77777777" w:rsidR="00D879B2" w:rsidRPr="003E4447" w:rsidRDefault="00D879B2" w:rsidP="00D879B2">
            <w:pPr>
              <w:spacing w:line="360" w:lineRule="auto"/>
              <w:rPr>
                <w:rFonts w:ascii="Arial" w:hAnsi="Arial" w:cs="Arial"/>
                <w:sz w:val="18"/>
                <w:szCs w:val="18"/>
              </w:rPr>
            </w:pPr>
            <w:r w:rsidRPr="003E4447">
              <w:rPr>
                <w:rFonts w:ascii="Arial" w:hAnsi="Arial" w:cs="Arial"/>
                <w:sz w:val="18"/>
                <w:szCs w:val="18"/>
              </w:rPr>
              <w:t>Recikliranje 40% mase staklene ambalaže</w:t>
            </w:r>
          </w:p>
          <w:p w14:paraId="48B79913" w14:textId="77777777" w:rsidR="00D879B2" w:rsidRPr="003E4447" w:rsidRDefault="00D879B2" w:rsidP="00D879B2">
            <w:pPr>
              <w:spacing w:line="360" w:lineRule="auto"/>
              <w:rPr>
                <w:rFonts w:ascii="Arial" w:hAnsi="Arial" w:cs="Arial"/>
                <w:sz w:val="18"/>
                <w:szCs w:val="18"/>
              </w:rPr>
            </w:pPr>
            <w:r w:rsidRPr="003E4447">
              <w:rPr>
                <w:rFonts w:ascii="Arial" w:hAnsi="Arial" w:cs="Arial"/>
                <w:sz w:val="18"/>
                <w:szCs w:val="18"/>
              </w:rPr>
              <w:t>Reciklaža 40% mase papirne i kartonske ambalaže</w:t>
            </w:r>
          </w:p>
          <w:p w14:paraId="467844F8" w14:textId="77777777" w:rsidR="00D879B2" w:rsidRPr="003E4447" w:rsidRDefault="00D879B2" w:rsidP="00D879B2">
            <w:pPr>
              <w:spacing w:line="360" w:lineRule="auto"/>
              <w:rPr>
                <w:rFonts w:ascii="Arial" w:hAnsi="Arial" w:cs="Arial"/>
                <w:sz w:val="18"/>
                <w:szCs w:val="18"/>
              </w:rPr>
            </w:pPr>
            <w:r w:rsidRPr="003E4447">
              <w:rPr>
                <w:rFonts w:ascii="Arial" w:hAnsi="Arial" w:cs="Arial"/>
                <w:sz w:val="18"/>
                <w:szCs w:val="18"/>
              </w:rPr>
              <w:t>Recikliranje 50% mase metalne ambalaže</w:t>
            </w:r>
          </w:p>
          <w:p w14:paraId="0EFABA7C" w14:textId="77777777" w:rsidR="00D879B2" w:rsidRPr="003E4447" w:rsidRDefault="00D879B2" w:rsidP="00D879B2">
            <w:pPr>
              <w:spacing w:line="360" w:lineRule="auto"/>
              <w:rPr>
                <w:rFonts w:ascii="Arial" w:hAnsi="Arial" w:cs="Arial"/>
                <w:sz w:val="18"/>
                <w:szCs w:val="18"/>
              </w:rPr>
            </w:pPr>
            <w:r w:rsidRPr="003E4447">
              <w:rPr>
                <w:rFonts w:ascii="Arial" w:hAnsi="Arial" w:cs="Arial"/>
                <w:sz w:val="18"/>
                <w:szCs w:val="18"/>
              </w:rPr>
              <w:t>Reciklaža 22,5% mase plastične ambalaže</w:t>
            </w:r>
          </w:p>
          <w:p w14:paraId="6E52301E" w14:textId="43D0D919" w:rsidR="00D879B2" w:rsidRPr="003E4447" w:rsidRDefault="00D879B2" w:rsidP="00D879B2">
            <w:pPr>
              <w:spacing w:after="120" w:line="360" w:lineRule="auto"/>
              <w:rPr>
                <w:rFonts w:ascii="Arial" w:hAnsi="Arial" w:cs="Arial"/>
                <w:sz w:val="18"/>
                <w:szCs w:val="18"/>
              </w:rPr>
            </w:pPr>
            <w:r w:rsidRPr="003E4447">
              <w:rPr>
                <w:rFonts w:ascii="Arial" w:hAnsi="Arial" w:cs="Arial"/>
                <w:sz w:val="18"/>
                <w:szCs w:val="18"/>
              </w:rPr>
              <w:t>Reciklaža 10% drvne mase</w:t>
            </w:r>
          </w:p>
        </w:tc>
        <w:tc>
          <w:tcPr>
            <w:tcW w:w="852" w:type="pct"/>
            <w:vAlign w:val="center"/>
          </w:tcPr>
          <w:p w14:paraId="620CD074" w14:textId="77777777" w:rsidR="00C232D7" w:rsidRPr="003E4447" w:rsidRDefault="00C232D7" w:rsidP="00C232D7">
            <w:pPr>
              <w:spacing w:after="120" w:line="360" w:lineRule="auto"/>
              <w:rPr>
                <w:rFonts w:ascii="Arial" w:hAnsi="Arial" w:cs="Arial"/>
                <w:sz w:val="18"/>
                <w:szCs w:val="18"/>
                <w:lang w:bidi="ar-AE"/>
              </w:rPr>
            </w:pPr>
            <w:r w:rsidRPr="003E4447">
              <w:rPr>
                <w:rFonts w:ascii="Arial" w:hAnsi="Arial" w:cs="Arial"/>
                <w:sz w:val="18"/>
                <w:szCs w:val="18"/>
                <w:lang w:bidi="ar-AE"/>
              </w:rPr>
              <w:lastRenderedPageBreak/>
              <w:t>2030</w:t>
            </w:r>
          </w:p>
        </w:tc>
        <w:tc>
          <w:tcPr>
            <w:tcW w:w="851" w:type="pct"/>
            <w:vAlign w:val="center"/>
          </w:tcPr>
          <w:p w14:paraId="2FF431B1" w14:textId="77777777" w:rsidR="00C232D7" w:rsidRPr="003E4447" w:rsidRDefault="00C232D7" w:rsidP="00C232D7">
            <w:pPr>
              <w:spacing w:after="120" w:line="360" w:lineRule="auto"/>
              <w:rPr>
                <w:rFonts w:ascii="Arial" w:hAnsi="Arial" w:cs="Arial"/>
                <w:sz w:val="18"/>
                <w:szCs w:val="18"/>
                <w:lang w:bidi="ar-AE"/>
              </w:rPr>
            </w:pPr>
            <w:r w:rsidRPr="003E4447">
              <w:rPr>
                <w:rFonts w:ascii="Arial" w:hAnsi="Arial" w:cs="Arial"/>
                <w:sz w:val="18"/>
                <w:szCs w:val="18"/>
                <w:lang w:bidi="ar-AE"/>
              </w:rPr>
              <w:t>49.786</w:t>
            </w:r>
          </w:p>
          <w:p w14:paraId="46231D08" w14:textId="77777777" w:rsidR="00D879B2" w:rsidRPr="003E4447" w:rsidRDefault="00D879B2" w:rsidP="00D879B2">
            <w:pPr>
              <w:spacing w:line="360" w:lineRule="auto"/>
              <w:rPr>
                <w:rFonts w:ascii="Arial" w:hAnsi="Arial" w:cs="Arial"/>
                <w:sz w:val="18"/>
                <w:szCs w:val="18"/>
                <w:lang w:bidi="ar-AE"/>
              </w:rPr>
            </w:pPr>
            <w:r w:rsidRPr="003E4447">
              <w:rPr>
                <w:rFonts w:ascii="Arial" w:hAnsi="Arial" w:cs="Arial"/>
                <w:sz w:val="18"/>
                <w:szCs w:val="18"/>
                <w:lang w:bidi="ar-AE"/>
              </w:rPr>
              <w:t>34.850</w:t>
            </w:r>
          </w:p>
          <w:p w14:paraId="4C1D8B8E" w14:textId="77777777" w:rsidR="00D879B2" w:rsidRPr="003E4447" w:rsidRDefault="00D879B2" w:rsidP="00D879B2">
            <w:pPr>
              <w:spacing w:line="360" w:lineRule="auto"/>
              <w:rPr>
                <w:rFonts w:ascii="Arial" w:hAnsi="Arial" w:cs="Arial"/>
                <w:sz w:val="18"/>
                <w:szCs w:val="18"/>
                <w:lang w:bidi="ar-AE"/>
              </w:rPr>
            </w:pPr>
            <w:r w:rsidRPr="003E4447">
              <w:rPr>
                <w:rFonts w:ascii="Arial" w:hAnsi="Arial" w:cs="Arial"/>
                <w:sz w:val="18"/>
                <w:szCs w:val="18"/>
                <w:lang w:bidi="ar-AE"/>
              </w:rPr>
              <w:t>5.638</w:t>
            </w:r>
          </w:p>
          <w:p w14:paraId="247FA3A6" w14:textId="77777777" w:rsidR="00D879B2" w:rsidRPr="003E4447" w:rsidRDefault="00D879B2" w:rsidP="00D879B2">
            <w:pPr>
              <w:spacing w:line="360" w:lineRule="auto"/>
              <w:rPr>
                <w:rFonts w:ascii="Arial" w:hAnsi="Arial" w:cs="Arial"/>
                <w:sz w:val="18"/>
                <w:szCs w:val="18"/>
                <w:lang w:bidi="ar-AE"/>
              </w:rPr>
            </w:pPr>
            <w:r w:rsidRPr="003E4447">
              <w:rPr>
                <w:rFonts w:ascii="Arial" w:hAnsi="Arial" w:cs="Arial"/>
                <w:sz w:val="18"/>
                <w:szCs w:val="18"/>
                <w:lang w:bidi="ar-AE"/>
              </w:rPr>
              <w:lastRenderedPageBreak/>
              <w:t>11.535</w:t>
            </w:r>
          </w:p>
          <w:p w14:paraId="4FB5E1B5" w14:textId="77777777" w:rsidR="00D879B2" w:rsidRPr="003E4447" w:rsidRDefault="00D879B2" w:rsidP="00D879B2">
            <w:pPr>
              <w:spacing w:line="360" w:lineRule="auto"/>
              <w:rPr>
                <w:rFonts w:ascii="Arial" w:hAnsi="Arial" w:cs="Arial"/>
                <w:sz w:val="18"/>
                <w:szCs w:val="18"/>
                <w:lang w:bidi="ar-AE"/>
              </w:rPr>
            </w:pPr>
          </w:p>
          <w:p w14:paraId="0FA0C4C2" w14:textId="77777777" w:rsidR="00D879B2" w:rsidRPr="003E4447" w:rsidRDefault="00D879B2" w:rsidP="00D879B2">
            <w:pPr>
              <w:spacing w:line="360" w:lineRule="auto"/>
              <w:rPr>
                <w:rFonts w:ascii="Arial" w:hAnsi="Arial" w:cs="Arial"/>
                <w:sz w:val="18"/>
                <w:szCs w:val="18"/>
                <w:lang w:bidi="ar-AE"/>
              </w:rPr>
            </w:pPr>
            <w:r w:rsidRPr="003E4447">
              <w:rPr>
                <w:rFonts w:ascii="Arial" w:hAnsi="Arial" w:cs="Arial"/>
                <w:sz w:val="18"/>
                <w:szCs w:val="18"/>
                <w:lang w:bidi="ar-AE"/>
              </w:rPr>
              <w:t>4.760</w:t>
            </w:r>
          </w:p>
          <w:p w14:paraId="25A8FE73" w14:textId="77777777" w:rsidR="00D879B2" w:rsidRPr="003E4447" w:rsidRDefault="00D879B2" w:rsidP="00D879B2">
            <w:pPr>
              <w:spacing w:line="360" w:lineRule="auto"/>
              <w:rPr>
                <w:rFonts w:ascii="Arial" w:hAnsi="Arial" w:cs="Arial"/>
                <w:sz w:val="18"/>
                <w:szCs w:val="18"/>
                <w:lang w:bidi="ar-AE"/>
              </w:rPr>
            </w:pPr>
            <w:r w:rsidRPr="003E4447">
              <w:rPr>
                <w:rFonts w:ascii="Arial" w:hAnsi="Arial" w:cs="Arial"/>
                <w:sz w:val="18"/>
                <w:szCs w:val="18"/>
                <w:lang w:bidi="ar-AE"/>
              </w:rPr>
              <w:t>7.939</w:t>
            </w:r>
          </w:p>
          <w:p w14:paraId="20A5DF2A" w14:textId="5F364F8D" w:rsidR="00D879B2" w:rsidRPr="003E4447" w:rsidRDefault="00D879B2" w:rsidP="00D879B2">
            <w:pPr>
              <w:spacing w:after="120" w:line="360" w:lineRule="auto"/>
              <w:rPr>
                <w:rFonts w:ascii="Arial" w:hAnsi="Arial" w:cs="Arial"/>
                <w:sz w:val="18"/>
                <w:szCs w:val="18"/>
                <w:lang w:bidi="ar-AE"/>
              </w:rPr>
            </w:pPr>
            <w:r w:rsidRPr="003E4447">
              <w:rPr>
                <w:rFonts w:ascii="Arial" w:hAnsi="Arial" w:cs="Arial"/>
                <w:sz w:val="18"/>
                <w:szCs w:val="18"/>
                <w:lang w:bidi="ar-AE"/>
              </w:rPr>
              <w:t>192</w:t>
            </w:r>
          </w:p>
        </w:tc>
        <w:tc>
          <w:tcPr>
            <w:tcW w:w="850" w:type="pct"/>
            <w:vAlign w:val="center"/>
          </w:tcPr>
          <w:p w14:paraId="166F0CC0" w14:textId="77777777" w:rsidR="00C232D7" w:rsidRPr="003E4447" w:rsidRDefault="00C232D7" w:rsidP="00C232D7">
            <w:pPr>
              <w:spacing w:after="120" w:line="360" w:lineRule="auto"/>
              <w:rPr>
                <w:rFonts w:ascii="Arial" w:hAnsi="Arial" w:cs="Arial"/>
                <w:sz w:val="18"/>
                <w:szCs w:val="18"/>
                <w:lang w:val="de-DE" w:bidi="ar-AE"/>
              </w:rPr>
            </w:pPr>
            <w:r w:rsidRPr="003E4447">
              <w:rPr>
                <w:rFonts w:ascii="Arial" w:hAnsi="Arial" w:cs="Arial"/>
                <w:sz w:val="18"/>
                <w:szCs w:val="18"/>
                <w:lang w:val="de-DE"/>
              </w:rPr>
              <w:lastRenderedPageBreak/>
              <w:t>Prema čl. 62 Zakona o UO</w:t>
            </w:r>
          </w:p>
        </w:tc>
      </w:tr>
      <w:tr w:rsidR="00C232D7" w:rsidRPr="0014164F" w14:paraId="4422DDCF" w14:textId="77777777" w:rsidTr="00C232D7">
        <w:trPr>
          <w:jc w:val="center"/>
        </w:trPr>
        <w:tc>
          <w:tcPr>
            <w:tcW w:w="801" w:type="pct"/>
            <w:vMerge w:val="restart"/>
            <w:shd w:val="clear" w:color="auto" w:fill="auto"/>
            <w:vAlign w:val="center"/>
          </w:tcPr>
          <w:p w14:paraId="3B02BBC4" w14:textId="77777777" w:rsidR="00C232D7" w:rsidRPr="003E4447" w:rsidRDefault="00C232D7" w:rsidP="00C232D7">
            <w:pPr>
              <w:spacing w:after="120" w:line="360" w:lineRule="auto"/>
              <w:rPr>
                <w:rFonts w:ascii="Arial" w:hAnsi="Arial" w:cs="Arial"/>
                <w:sz w:val="18"/>
                <w:szCs w:val="18"/>
              </w:rPr>
            </w:pPr>
            <w:r w:rsidRPr="003E4447">
              <w:rPr>
                <w:rFonts w:ascii="Arial" w:hAnsi="Arial" w:cs="Arial"/>
                <w:sz w:val="18"/>
                <w:szCs w:val="18"/>
              </w:rPr>
              <w:t>Biorazgradivi otpad</w:t>
            </w:r>
            <w:r w:rsidRPr="003E4447">
              <w:rPr>
                <w:rStyle w:val="FootnoteReference"/>
                <w:rFonts w:ascii="Arial" w:hAnsi="Arial" w:cs="Arial"/>
                <w:sz w:val="18"/>
                <w:szCs w:val="18"/>
                <w:lang w:val="en-GB"/>
              </w:rPr>
              <w:footnoteReference w:id="31"/>
            </w:r>
          </w:p>
        </w:tc>
        <w:tc>
          <w:tcPr>
            <w:tcW w:w="1646" w:type="pct"/>
          </w:tcPr>
          <w:p w14:paraId="72EA1708" w14:textId="77777777" w:rsidR="00C232D7" w:rsidRPr="003E4447" w:rsidRDefault="00C232D7" w:rsidP="00C232D7">
            <w:pPr>
              <w:spacing w:after="120" w:line="360" w:lineRule="auto"/>
              <w:rPr>
                <w:rFonts w:ascii="Arial" w:hAnsi="Arial" w:cs="Arial"/>
                <w:sz w:val="18"/>
                <w:szCs w:val="18"/>
              </w:rPr>
            </w:pPr>
            <w:r w:rsidRPr="003E4447">
              <w:rPr>
                <w:rFonts w:ascii="Arial" w:hAnsi="Arial" w:cs="Arial"/>
                <w:sz w:val="18"/>
                <w:szCs w:val="18"/>
              </w:rPr>
              <w:t>Maksimalna odložena količina od 75% biorazgradivog otpada generisanog u 2010.</w:t>
            </w:r>
          </w:p>
        </w:tc>
        <w:tc>
          <w:tcPr>
            <w:tcW w:w="852" w:type="pct"/>
            <w:vAlign w:val="center"/>
          </w:tcPr>
          <w:p w14:paraId="19827D07" w14:textId="77777777" w:rsidR="00C232D7" w:rsidRPr="003E4447" w:rsidRDefault="00C232D7" w:rsidP="00C232D7">
            <w:pPr>
              <w:spacing w:after="120" w:line="360" w:lineRule="auto"/>
              <w:rPr>
                <w:rFonts w:ascii="Arial" w:hAnsi="Arial" w:cs="Arial"/>
                <w:sz w:val="18"/>
                <w:szCs w:val="18"/>
                <w:lang w:bidi="ar-AE"/>
              </w:rPr>
            </w:pPr>
            <w:r w:rsidRPr="003E4447">
              <w:rPr>
                <w:rFonts w:ascii="Arial" w:hAnsi="Arial" w:cs="Arial"/>
                <w:sz w:val="18"/>
                <w:szCs w:val="18"/>
                <w:lang w:bidi="ar-AE"/>
              </w:rPr>
              <w:t>2025</w:t>
            </w:r>
          </w:p>
        </w:tc>
        <w:tc>
          <w:tcPr>
            <w:tcW w:w="851" w:type="pct"/>
            <w:vAlign w:val="center"/>
          </w:tcPr>
          <w:p w14:paraId="3E033768" w14:textId="77777777" w:rsidR="00C232D7" w:rsidRPr="003E4447" w:rsidRDefault="00C232D7" w:rsidP="00C232D7">
            <w:pPr>
              <w:spacing w:after="120" w:line="360" w:lineRule="auto"/>
              <w:rPr>
                <w:rFonts w:ascii="Arial" w:hAnsi="Arial" w:cs="Arial"/>
                <w:sz w:val="18"/>
                <w:szCs w:val="18"/>
                <w:lang w:bidi="ar-AE"/>
              </w:rPr>
            </w:pPr>
            <w:r w:rsidRPr="003E4447">
              <w:rPr>
                <w:rFonts w:ascii="Arial" w:hAnsi="Arial" w:cs="Arial"/>
                <w:sz w:val="18"/>
                <w:szCs w:val="18"/>
                <w:lang w:bidi="ar-AE"/>
              </w:rPr>
              <w:t>109.500</w:t>
            </w:r>
          </w:p>
        </w:tc>
        <w:tc>
          <w:tcPr>
            <w:tcW w:w="850" w:type="pct"/>
            <w:vMerge w:val="restart"/>
            <w:vAlign w:val="center"/>
          </w:tcPr>
          <w:p w14:paraId="1C715DA9" w14:textId="77777777" w:rsidR="00C232D7" w:rsidRPr="003E4447" w:rsidRDefault="00C232D7" w:rsidP="00C232D7">
            <w:pPr>
              <w:spacing w:after="120" w:line="360" w:lineRule="auto"/>
              <w:rPr>
                <w:rFonts w:ascii="Arial" w:hAnsi="Arial" w:cs="Arial"/>
                <w:sz w:val="18"/>
                <w:szCs w:val="18"/>
                <w:lang w:val="de-DE" w:bidi="ar-AE"/>
              </w:rPr>
            </w:pPr>
            <w:r w:rsidRPr="003E4447">
              <w:rPr>
                <w:rFonts w:ascii="Arial" w:hAnsi="Arial" w:cs="Arial"/>
                <w:sz w:val="18"/>
                <w:szCs w:val="18"/>
                <w:lang w:val="de-DE"/>
              </w:rPr>
              <w:t>Prema čl. 27 Zakona o UO</w:t>
            </w:r>
          </w:p>
        </w:tc>
      </w:tr>
      <w:tr w:rsidR="00C232D7" w:rsidRPr="003E4447" w14:paraId="3C0D21C1" w14:textId="77777777" w:rsidTr="00C232D7">
        <w:trPr>
          <w:jc w:val="center"/>
        </w:trPr>
        <w:tc>
          <w:tcPr>
            <w:tcW w:w="801" w:type="pct"/>
            <w:vMerge/>
            <w:shd w:val="clear" w:color="auto" w:fill="auto"/>
            <w:vAlign w:val="center"/>
          </w:tcPr>
          <w:p w14:paraId="08A417A2" w14:textId="77777777" w:rsidR="00C232D7" w:rsidRPr="003E4447" w:rsidRDefault="00C232D7" w:rsidP="00C232D7">
            <w:pPr>
              <w:spacing w:after="120" w:line="360" w:lineRule="auto"/>
              <w:rPr>
                <w:rFonts w:ascii="Arial" w:hAnsi="Arial" w:cs="Arial"/>
                <w:sz w:val="18"/>
                <w:szCs w:val="18"/>
                <w:lang w:val="de-DE"/>
              </w:rPr>
            </w:pPr>
          </w:p>
        </w:tc>
        <w:tc>
          <w:tcPr>
            <w:tcW w:w="1646" w:type="pct"/>
          </w:tcPr>
          <w:p w14:paraId="1A2B55A1" w14:textId="77777777" w:rsidR="00C232D7" w:rsidRPr="003E4447" w:rsidRDefault="00C232D7" w:rsidP="00C232D7">
            <w:pPr>
              <w:spacing w:after="120" w:line="360" w:lineRule="auto"/>
              <w:rPr>
                <w:rFonts w:ascii="Arial" w:hAnsi="Arial" w:cs="Arial"/>
                <w:sz w:val="18"/>
                <w:szCs w:val="18"/>
                <w:lang w:val="de-DE"/>
              </w:rPr>
            </w:pPr>
            <w:r w:rsidRPr="003E4447">
              <w:rPr>
                <w:rFonts w:ascii="Arial" w:hAnsi="Arial" w:cs="Arial"/>
                <w:sz w:val="18"/>
                <w:szCs w:val="18"/>
                <w:lang w:val="de-DE"/>
              </w:rPr>
              <w:t>Maksimalna odložena količina od 50% biorazgradivog otpada generisanog u 2010.</w:t>
            </w:r>
          </w:p>
        </w:tc>
        <w:tc>
          <w:tcPr>
            <w:tcW w:w="852" w:type="pct"/>
            <w:vAlign w:val="center"/>
          </w:tcPr>
          <w:p w14:paraId="0B80C8AC" w14:textId="77777777" w:rsidR="00C232D7" w:rsidRPr="003E4447" w:rsidRDefault="00C232D7" w:rsidP="00C232D7">
            <w:pPr>
              <w:spacing w:after="120" w:line="360" w:lineRule="auto"/>
              <w:rPr>
                <w:rFonts w:ascii="Arial" w:hAnsi="Arial" w:cs="Arial"/>
                <w:sz w:val="18"/>
                <w:szCs w:val="18"/>
                <w:lang w:bidi="ar-AE"/>
              </w:rPr>
            </w:pPr>
            <w:r w:rsidRPr="003E4447">
              <w:rPr>
                <w:rFonts w:ascii="Arial" w:hAnsi="Arial" w:cs="Arial"/>
                <w:sz w:val="18"/>
                <w:szCs w:val="18"/>
                <w:lang w:bidi="ar-AE"/>
              </w:rPr>
              <w:t>2029</w:t>
            </w:r>
          </w:p>
        </w:tc>
        <w:tc>
          <w:tcPr>
            <w:tcW w:w="851" w:type="pct"/>
            <w:vAlign w:val="center"/>
          </w:tcPr>
          <w:p w14:paraId="669F3763" w14:textId="77777777" w:rsidR="00C232D7" w:rsidRPr="003E4447" w:rsidRDefault="00C232D7" w:rsidP="00C232D7">
            <w:pPr>
              <w:spacing w:after="120" w:line="360" w:lineRule="auto"/>
              <w:rPr>
                <w:rFonts w:ascii="Arial" w:hAnsi="Arial" w:cs="Arial"/>
                <w:sz w:val="18"/>
                <w:szCs w:val="18"/>
                <w:lang w:bidi="ar-AE"/>
              </w:rPr>
            </w:pPr>
            <w:r w:rsidRPr="003E4447">
              <w:rPr>
                <w:rFonts w:ascii="Arial" w:hAnsi="Arial" w:cs="Arial"/>
                <w:sz w:val="18"/>
                <w:szCs w:val="18"/>
                <w:lang w:bidi="ar-AE"/>
              </w:rPr>
              <w:t>73.000</w:t>
            </w:r>
          </w:p>
        </w:tc>
        <w:tc>
          <w:tcPr>
            <w:tcW w:w="850" w:type="pct"/>
            <w:vMerge/>
            <w:vAlign w:val="center"/>
          </w:tcPr>
          <w:p w14:paraId="051CC70E" w14:textId="77777777" w:rsidR="00C232D7" w:rsidRPr="003E4447" w:rsidRDefault="00C232D7" w:rsidP="00C232D7">
            <w:pPr>
              <w:spacing w:after="120" w:line="360" w:lineRule="auto"/>
              <w:rPr>
                <w:rFonts w:ascii="Arial" w:hAnsi="Arial" w:cs="Arial"/>
                <w:sz w:val="18"/>
                <w:szCs w:val="18"/>
                <w:lang w:bidi="ar-AE"/>
              </w:rPr>
            </w:pPr>
          </w:p>
        </w:tc>
      </w:tr>
      <w:tr w:rsidR="00C232D7" w:rsidRPr="003E4447" w14:paraId="0D156A51" w14:textId="77777777" w:rsidTr="00C232D7">
        <w:trPr>
          <w:jc w:val="center"/>
        </w:trPr>
        <w:tc>
          <w:tcPr>
            <w:tcW w:w="801" w:type="pct"/>
            <w:vMerge/>
            <w:shd w:val="clear" w:color="auto" w:fill="auto"/>
            <w:vAlign w:val="center"/>
          </w:tcPr>
          <w:p w14:paraId="5ED4AF65" w14:textId="77777777" w:rsidR="00C232D7" w:rsidRPr="003E4447" w:rsidRDefault="00C232D7" w:rsidP="00C232D7">
            <w:pPr>
              <w:spacing w:after="120" w:line="360" w:lineRule="auto"/>
              <w:rPr>
                <w:rFonts w:ascii="Arial" w:hAnsi="Arial" w:cs="Arial"/>
                <w:sz w:val="18"/>
                <w:szCs w:val="18"/>
              </w:rPr>
            </w:pPr>
          </w:p>
        </w:tc>
        <w:tc>
          <w:tcPr>
            <w:tcW w:w="1646" w:type="pct"/>
          </w:tcPr>
          <w:p w14:paraId="20599E12" w14:textId="77777777" w:rsidR="00C232D7" w:rsidRPr="003E4447" w:rsidRDefault="00C232D7" w:rsidP="00C232D7">
            <w:pPr>
              <w:spacing w:after="120" w:line="360" w:lineRule="auto"/>
              <w:rPr>
                <w:rFonts w:ascii="Arial" w:hAnsi="Arial" w:cs="Arial"/>
                <w:sz w:val="18"/>
                <w:szCs w:val="18"/>
              </w:rPr>
            </w:pPr>
            <w:r w:rsidRPr="003E4447">
              <w:rPr>
                <w:rFonts w:ascii="Arial" w:hAnsi="Arial" w:cs="Arial"/>
                <w:sz w:val="18"/>
                <w:szCs w:val="18"/>
              </w:rPr>
              <w:t>Maksimalna odložena količina od 35% biorazgradivog otpada generisanog u 2010.</w:t>
            </w:r>
          </w:p>
        </w:tc>
        <w:tc>
          <w:tcPr>
            <w:tcW w:w="852" w:type="pct"/>
            <w:vAlign w:val="center"/>
          </w:tcPr>
          <w:p w14:paraId="2911CCFE" w14:textId="77777777" w:rsidR="00C232D7" w:rsidRPr="003E4447" w:rsidRDefault="00C232D7" w:rsidP="00C232D7">
            <w:pPr>
              <w:spacing w:after="120" w:line="360" w:lineRule="auto"/>
              <w:rPr>
                <w:rFonts w:ascii="Arial" w:hAnsi="Arial" w:cs="Arial"/>
                <w:sz w:val="18"/>
                <w:szCs w:val="18"/>
                <w:lang w:bidi="ar-AE"/>
              </w:rPr>
            </w:pPr>
            <w:r w:rsidRPr="003E4447">
              <w:rPr>
                <w:rFonts w:ascii="Arial" w:hAnsi="Arial" w:cs="Arial"/>
                <w:sz w:val="18"/>
                <w:szCs w:val="18"/>
                <w:lang w:bidi="ar-AE"/>
              </w:rPr>
              <w:t>2033</w:t>
            </w:r>
          </w:p>
        </w:tc>
        <w:tc>
          <w:tcPr>
            <w:tcW w:w="851" w:type="pct"/>
            <w:vAlign w:val="center"/>
          </w:tcPr>
          <w:p w14:paraId="2AF1E572" w14:textId="77777777" w:rsidR="00C232D7" w:rsidRPr="003E4447" w:rsidRDefault="00C232D7" w:rsidP="00C232D7">
            <w:pPr>
              <w:spacing w:after="120" w:line="360" w:lineRule="auto"/>
              <w:rPr>
                <w:rFonts w:ascii="Arial" w:hAnsi="Arial" w:cs="Arial"/>
                <w:sz w:val="18"/>
                <w:szCs w:val="18"/>
                <w:lang w:bidi="ar-AE"/>
              </w:rPr>
            </w:pPr>
            <w:r w:rsidRPr="003E4447">
              <w:rPr>
                <w:rFonts w:ascii="Arial" w:hAnsi="Arial" w:cs="Arial"/>
                <w:sz w:val="18"/>
                <w:szCs w:val="18"/>
                <w:lang w:bidi="ar-AE"/>
              </w:rPr>
              <w:t>51.100</w:t>
            </w:r>
          </w:p>
        </w:tc>
        <w:tc>
          <w:tcPr>
            <w:tcW w:w="850" w:type="pct"/>
            <w:vMerge/>
            <w:vAlign w:val="center"/>
          </w:tcPr>
          <w:p w14:paraId="1CFC1098" w14:textId="77777777" w:rsidR="00C232D7" w:rsidRPr="003E4447" w:rsidRDefault="00C232D7" w:rsidP="00C232D7">
            <w:pPr>
              <w:spacing w:after="120" w:line="360" w:lineRule="auto"/>
              <w:rPr>
                <w:rFonts w:ascii="Arial" w:hAnsi="Arial" w:cs="Arial"/>
                <w:sz w:val="18"/>
                <w:szCs w:val="18"/>
                <w:lang w:bidi="ar-AE"/>
              </w:rPr>
            </w:pPr>
          </w:p>
        </w:tc>
      </w:tr>
    </w:tbl>
    <w:bookmarkEnd w:id="818"/>
    <w:p w14:paraId="50922A7E" w14:textId="69C34505" w:rsidR="00C232D7" w:rsidRPr="003E4447" w:rsidRDefault="008266BA" w:rsidP="00C232D7">
      <w:pPr>
        <w:spacing w:before="120" w:after="120" w:line="360" w:lineRule="auto"/>
        <w:rPr>
          <w:rFonts w:ascii="Arial" w:hAnsi="Arial" w:cs="Arial"/>
          <w:iCs/>
          <w:sz w:val="18"/>
          <w:szCs w:val="18"/>
        </w:rPr>
      </w:pPr>
      <w:r w:rsidRPr="003E4447">
        <w:rPr>
          <w:rFonts w:ascii="Arial" w:hAnsi="Arial" w:cs="Arial"/>
          <w:iCs/>
          <w:sz w:val="18"/>
          <w:szCs w:val="18"/>
        </w:rPr>
        <w:t>S</w:t>
      </w:r>
      <w:r w:rsidR="00C232D7" w:rsidRPr="003E4447">
        <w:rPr>
          <w:rFonts w:ascii="Arial" w:hAnsi="Arial" w:cs="Arial"/>
          <w:iCs/>
          <w:sz w:val="18"/>
          <w:szCs w:val="18"/>
        </w:rPr>
        <w:t>l</w:t>
      </w:r>
      <w:r w:rsidR="0079476A" w:rsidRPr="003E4447">
        <w:rPr>
          <w:rFonts w:ascii="Arial" w:hAnsi="Arial" w:cs="Arial"/>
          <w:iCs/>
          <w:sz w:val="18"/>
          <w:szCs w:val="18"/>
        </w:rPr>
        <w:t>j</w:t>
      </w:r>
      <w:r w:rsidR="00C232D7" w:rsidRPr="003E4447">
        <w:rPr>
          <w:rFonts w:ascii="Arial" w:hAnsi="Arial" w:cs="Arial"/>
          <w:iCs/>
          <w:sz w:val="18"/>
          <w:szCs w:val="18"/>
        </w:rPr>
        <w:t>edeća tabela predstavlja odgovarajuće ciljeve za krajnju godinu tekućeg DPUO, odnosno 2029. godin</w:t>
      </w:r>
      <w:r w:rsidRPr="003E4447">
        <w:rPr>
          <w:rFonts w:ascii="Arial" w:hAnsi="Arial" w:cs="Arial"/>
          <w:iCs/>
          <w:sz w:val="18"/>
          <w:szCs w:val="18"/>
        </w:rPr>
        <w:t>u</w:t>
      </w:r>
      <w:r w:rsidR="00C232D7" w:rsidRPr="003E4447">
        <w:rPr>
          <w:rFonts w:ascii="Arial" w:hAnsi="Arial" w:cs="Arial"/>
          <w:iCs/>
          <w:sz w:val="18"/>
          <w:szCs w:val="18"/>
        </w:rPr>
        <w:t>.</w:t>
      </w:r>
    </w:p>
    <w:p w14:paraId="1274F6A6" w14:textId="0841AB91" w:rsidR="00C232D7" w:rsidRPr="003E4447" w:rsidRDefault="00C232D7" w:rsidP="00C232D7">
      <w:pPr>
        <w:pStyle w:val="Caption"/>
        <w:rPr>
          <w:rFonts w:ascii="Arial" w:hAnsi="Arial" w:cs="Arial"/>
          <w:b w:val="0"/>
        </w:rPr>
      </w:pPr>
      <w:bookmarkStart w:id="826" w:name="_Toc130832977"/>
      <w:bookmarkStart w:id="827" w:name="_Toc189515606"/>
      <w:bookmarkStart w:id="828" w:name="_Toc190160723"/>
      <w:r w:rsidRPr="003E4447">
        <w:rPr>
          <w:rFonts w:ascii="Arial" w:hAnsi="Arial" w:cs="Arial"/>
          <w:b w:val="0"/>
        </w:rPr>
        <w:t xml:space="preserve">Tabela </w:t>
      </w:r>
      <w:r w:rsidRPr="003E4447">
        <w:rPr>
          <w:rFonts w:ascii="Arial" w:hAnsi="Arial" w:cs="Arial"/>
          <w:b w:val="0"/>
        </w:rPr>
        <w:fldChar w:fldCharType="begin"/>
      </w:r>
      <w:r w:rsidRPr="003E4447">
        <w:rPr>
          <w:rFonts w:ascii="Arial" w:hAnsi="Arial" w:cs="Arial"/>
          <w:b w:val="0"/>
        </w:rPr>
        <w:instrText xml:space="preserve"> SEQ Tabela \* ARABIC </w:instrText>
      </w:r>
      <w:r w:rsidRPr="003E4447">
        <w:rPr>
          <w:rFonts w:ascii="Arial" w:hAnsi="Arial" w:cs="Arial"/>
          <w:b w:val="0"/>
        </w:rPr>
        <w:fldChar w:fldCharType="separate"/>
      </w:r>
      <w:r w:rsidR="007274DA">
        <w:rPr>
          <w:rFonts w:ascii="Arial" w:hAnsi="Arial" w:cs="Arial"/>
          <w:b w:val="0"/>
          <w:noProof/>
        </w:rPr>
        <w:t>33</w:t>
      </w:r>
      <w:r w:rsidRPr="003E4447">
        <w:rPr>
          <w:rFonts w:ascii="Arial" w:hAnsi="Arial" w:cs="Arial"/>
          <w:b w:val="0"/>
        </w:rPr>
        <w:fldChar w:fldCharType="end"/>
      </w:r>
      <w:r w:rsidRPr="003E4447">
        <w:rPr>
          <w:rFonts w:ascii="Arial" w:hAnsi="Arial" w:cs="Arial"/>
          <w:b w:val="0"/>
        </w:rPr>
        <w:t xml:space="preserve"> Kvantifikacija ciljeva upravljanja komunalnim otpadom za 202</w:t>
      </w:r>
      <w:r w:rsidR="00FE289C" w:rsidRPr="003E4447">
        <w:rPr>
          <w:rFonts w:ascii="Arial" w:hAnsi="Arial" w:cs="Arial"/>
          <w:b w:val="0"/>
        </w:rPr>
        <w:t>9</w:t>
      </w:r>
      <w:r w:rsidRPr="003E4447">
        <w:rPr>
          <w:rFonts w:ascii="Arial" w:hAnsi="Arial" w:cs="Arial"/>
          <w:b w:val="0"/>
        </w:rPr>
        <w:t>. godinu</w:t>
      </w:r>
      <w:bookmarkEnd w:id="826"/>
      <w:bookmarkEnd w:id="827"/>
      <w:bookmarkEnd w:id="828"/>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1795"/>
        <w:gridCol w:w="5641"/>
        <w:gridCol w:w="1906"/>
      </w:tblGrid>
      <w:tr w:rsidR="00C232D7" w:rsidRPr="003E4447" w14:paraId="159349A3" w14:textId="77777777" w:rsidTr="00C232D7">
        <w:trPr>
          <w:trHeight w:val="521"/>
          <w:tblHeader/>
          <w:jc w:val="center"/>
        </w:trPr>
        <w:tc>
          <w:tcPr>
            <w:tcW w:w="961" w:type="pct"/>
            <w:shd w:val="clear" w:color="auto" w:fill="F2F2F2" w:themeFill="background1" w:themeFillShade="F2"/>
          </w:tcPr>
          <w:p w14:paraId="2C26EDBC" w14:textId="77777777" w:rsidR="00C232D7" w:rsidRPr="003E4447" w:rsidRDefault="00C232D7" w:rsidP="00C232D7">
            <w:pPr>
              <w:spacing w:after="120" w:line="360" w:lineRule="auto"/>
              <w:ind w:right="45"/>
              <w:rPr>
                <w:rFonts w:ascii="Arial" w:hAnsi="Arial" w:cs="Arial"/>
                <w:b/>
                <w:bCs/>
                <w:sz w:val="18"/>
                <w:szCs w:val="18"/>
                <w:highlight w:val="cyan"/>
              </w:rPr>
            </w:pPr>
            <w:r w:rsidRPr="003E4447">
              <w:rPr>
                <w:rFonts w:ascii="Arial" w:hAnsi="Arial" w:cs="Arial"/>
                <w:b/>
                <w:sz w:val="18"/>
                <w:szCs w:val="18"/>
              </w:rPr>
              <w:t>Vrsta otpada</w:t>
            </w:r>
          </w:p>
        </w:tc>
        <w:tc>
          <w:tcPr>
            <w:tcW w:w="3019" w:type="pct"/>
            <w:shd w:val="clear" w:color="auto" w:fill="F2F2F2" w:themeFill="background1" w:themeFillShade="F2"/>
          </w:tcPr>
          <w:p w14:paraId="6C7B1E4F" w14:textId="77777777" w:rsidR="00C232D7" w:rsidRPr="003E4447" w:rsidRDefault="00C232D7" w:rsidP="00C232D7">
            <w:pPr>
              <w:spacing w:after="120" w:line="360" w:lineRule="auto"/>
              <w:ind w:right="45"/>
              <w:rPr>
                <w:rFonts w:ascii="Arial" w:hAnsi="Arial" w:cs="Arial"/>
                <w:b/>
                <w:bCs/>
                <w:sz w:val="18"/>
                <w:szCs w:val="18"/>
                <w:highlight w:val="cyan"/>
              </w:rPr>
            </w:pPr>
            <w:r w:rsidRPr="003E4447">
              <w:rPr>
                <w:rFonts w:ascii="Arial" w:hAnsi="Arial" w:cs="Arial"/>
                <w:b/>
                <w:bCs/>
                <w:sz w:val="18"/>
                <w:szCs w:val="18"/>
              </w:rPr>
              <w:t>Opis cilja</w:t>
            </w:r>
          </w:p>
        </w:tc>
        <w:tc>
          <w:tcPr>
            <w:tcW w:w="1020" w:type="pct"/>
            <w:shd w:val="clear" w:color="auto" w:fill="F2F2F2" w:themeFill="background1" w:themeFillShade="F2"/>
            <w:vAlign w:val="center"/>
          </w:tcPr>
          <w:p w14:paraId="4A46B4CF" w14:textId="77777777" w:rsidR="00C232D7" w:rsidRPr="003E4447" w:rsidRDefault="00C232D7" w:rsidP="00C232D7">
            <w:pPr>
              <w:spacing w:after="120" w:line="360" w:lineRule="auto"/>
              <w:ind w:right="45"/>
              <w:rPr>
                <w:rFonts w:ascii="Arial" w:hAnsi="Arial" w:cs="Arial"/>
                <w:b/>
                <w:bCs/>
                <w:sz w:val="18"/>
                <w:szCs w:val="18"/>
              </w:rPr>
            </w:pPr>
            <w:r w:rsidRPr="003E4447">
              <w:rPr>
                <w:rFonts w:ascii="Arial" w:hAnsi="Arial" w:cs="Arial"/>
                <w:b/>
                <w:bCs/>
                <w:sz w:val="18"/>
                <w:szCs w:val="18"/>
              </w:rPr>
              <w:t>Kvantifikovani cilj</w:t>
            </w:r>
            <w:r w:rsidRPr="003E4447">
              <w:rPr>
                <w:rFonts w:ascii="Arial" w:hAnsi="Arial" w:cs="Arial"/>
                <w:b/>
                <w:bCs/>
                <w:sz w:val="18"/>
                <w:szCs w:val="18"/>
              </w:rPr>
              <w:br/>
              <w:t>(t/god)</w:t>
            </w:r>
          </w:p>
        </w:tc>
      </w:tr>
      <w:tr w:rsidR="00C232D7" w:rsidRPr="003E4447" w14:paraId="79DF5D07" w14:textId="77777777" w:rsidTr="00C232D7">
        <w:trPr>
          <w:jc w:val="center"/>
        </w:trPr>
        <w:tc>
          <w:tcPr>
            <w:tcW w:w="961" w:type="pct"/>
            <w:shd w:val="clear" w:color="auto" w:fill="auto"/>
            <w:vAlign w:val="center"/>
          </w:tcPr>
          <w:p w14:paraId="4E7C9CEC" w14:textId="77777777" w:rsidR="00C232D7" w:rsidRPr="003E4447" w:rsidRDefault="00C232D7" w:rsidP="00C232D7">
            <w:pPr>
              <w:spacing w:after="120" w:line="360" w:lineRule="auto"/>
              <w:rPr>
                <w:rFonts w:ascii="Arial" w:hAnsi="Arial" w:cs="Arial"/>
                <w:sz w:val="18"/>
                <w:szCs w:val="18"/>
              </w:rPr>
            </w:pPr>
            <w:r w:rsidRPr="003E4447">
              <w:rPr>
                <w:rFonts w:ascii="Arial" w:hAnsi="Arial" w:cs="Arial"/>
                <w:sz w:val="18"/>
                <w:szCs w:val="18"/>
              </w:rPr>
              <w:t>Komunalni otpad</w:t>
            </w:r>
          </w:p>
          <w:p w14:paraId="1D9CF81B" w14:textId="77777777" w:rsidR="00C232D7" w:rsidRPr="003E4447" w:rsidRDefault="00C232D7" w:rsidP="00C232D7">
            <w:pPr>
              <w:spacing w:after="120" w:line="360" w:lineRule="auto"/>
              <w:rPr>
                <w:rFonts w:ascii="Arial" w:hAnsi="Arial" w:cs="Arial"/>
                <w:sz w:val="18"/>
                <w:szCs w:val="18"/>
                <w:highlight w:val="cyan"/>
                <w:lang w:bidi="ar-AE"/>
              </w:rPr>
            </w:pPr>
          </w:p>
        </w:tc>
        <w:tc>
          <w:tcPr>
            <w:tcW w:w="3019" w:type="pct"/>
            <w:vAlign w:val="center"/>
          </w:tcPr>
          <w:p w14:paraId="29E6ECA4" w14:textId="77777777" w:rsidR="00C232D7" w:rsidRPr="003E4447" w:rsidRDefault="00C232D7" w:rsidP="00C232D7">
            <w:pPr>
              <w:spacing w:after="120" w:line="360" w:lineRule="auto"/>
              <w:rPr>
                <w:rFonts w:ascii="Arial" w:hAnsi="Arial" w:cs="Arial"/>
                <w:sz w:val="18"/>
                <w:szCs w:val="18"/>
                <w:highlight w:val="cyan"/>
              </w:rPr>
            </w:pPr>
            <w:r w:rsidRPr="003E4447">
              <w:rPr>
                <w:rFonts w:ascii="Arial" w:hAnsi="Arial" w:cs="Arial"/>
                <w:sz w:val="18"/>
                <w:szCs w:val="18"/>
              </w:rPr>
              <w:t>Najmanje 30% otpadnih materijala, kao što su papir, metal, plastika i staklo, iz domaćinstava i drugih izvora u kojima su tokovi otpada slični tokovima kućnog otpada, treba pripremiti za ponovnu upotrebu i reciklažu</w:t>
            </w:r>
          </w:p>
        </w:tc>
        <w:tc>
          <w:tcPr>
            <w:tcW w:w="1020" w:type="pct"/>
            <w:vAlign w:val="center"/>
          </w:tcPr>
          <w:p w14:paraId="1B111856" w14:textId="77777777" w:rsidR="00C232D7" w:rsidRPr="003E4447" w:rsidRDefault="00C232D7" w:rsidP="00C232D7">
            <w:pPr>
              <w:spacing w:after="120" w:line="360" w:lineRule="auto"/>
              <w:rPr>
                <w:rFonts w:ascii="Arial" w:hAnsi="Arial" w:cs="Arial"/>
                <w:sz w:val="18"/>
                <w:szCs w:val="18"/>
                <w:lang w:bidi="ar-AE"/>
              </w:rPr>
            </w:pPr>
            <w:r w:rsidRPr="003E4447">
              <w:rPr>
                <w:rFonts w:ascii="Arial" w:hAnsi="Arial" w:cs="Arial"/>
                <w:sz w:val="18"/>
                <w:szCs w:val="18"/>
                <w:lang w:bidi="ar-AE"/>
              </w:rPr>
              <w:t>57.048</w:t>
            </w:r>
          </w:p>
        </w:tc>
      </w:tr>
      <w:tr w:rsidR="00C232D7" w:rsidRPr="003E4447" w14:paraId="4B96B449" w14:textId="77777777" w:rsidTr="00C232D7">
        <w:trPr>
          <w:jc w:val="center"/>
        </w:trPr>
        <w:tc>
          <w:tcPr>
            <w:tcW w:w="961" w:type="pct"/>
            <w:shd w:val="clear" w:color="auto" w:fill="auto"/>
          </w:tcPr>
          <w:p w14:paraId="0900C1D1" w14:textId="77777777" w:rsidR="00C232D7" w:rsidRPr="003E4447" w:rsidRDefault="00C232D7" w:rsidP="00C232D7">
            <w:pPr>
              <w:spacing w:after="120" w:line="360" w:lineRule="auto"/>
              <w:rPr>
                <w:rFonts w:ascii="Arial" w:hAnsi="Arial" w:cs="Arial"/>
                <w:sz w:val="18"/>
                <w:szCs w:val="18"/>
                <w:highlight w:val="cyan"/>
              </w:rPr>
            </w:pPr>
            <w:r w:rsidRPr="003E4447">
              <w:rPr>
                <w:rFonts w:ascii="Arial" w:hAnsi="Arial" w:cs="Arial"/>
                <w:sz w:val="18"/>
                <w:szCs w:val="18"/>
              </w:rPr>
              <w:t>Ambalažni otpad</w:t>
            </w:r>
          </w:p>
        </w:tc>
        <w:tc>
          <w:tcPr>
            <w:tcW w:w="3019" w:type="pct"/>
            <w:vAlign w:val="center"/>
          </w:tcPr>
          <w:p w14:paraId="7D183488" w14:textId="77777777" w:rsidR="00C232D7" w:rsidRPr="003E4447" w:rsidRDefault="00C232D7" w:rsidP="00C232D7">
            <w:pPr>
              <w:spacing w:after="120" w:line="360" w:lineRule="auto"/>
              <w:rPr>
                <w:rFonts w:ascii="Arial" w:hAnsi="Arial" w:cs="Arial"/>
                <w:sz w:val="18"/>
                <w:szCs w:val="18"/>
                <w:highlight w:val="cyan"/>
              </w:rPr>
            </w:pPr>
            <w:r w:rsidRPr="003E4447">
              <w:rPr>
                <w:rFonts w:ascii="Arial" w:hAnsi="Arial" w:cs="Arial"/>
                <w:sz w:val="18"/>
                <w:szCs w:val="18"/>
              </w:rPr>
              <w:t>35% generisanog ambalažnog otpada koji se sakuplja za preradu, uključujući i energetsku obnovu</w:t>
            </w:r>
          </w:p>
        </w:tc>
        <w:tc>
          <w:tcPr>
            <w:tcW w:w="1020" w:type="pct"/>
            <w:vAlign w:val="center"/>
          </w:tcPr>
          <w:p w14:paraId="24A43BCC" w14:textId="77777777" w:rsidR="00C232D7" w:rsidRPr="003E4447" w:rsidRDefault="00C232D7" w:rsidP="00C232D7">
            <w:pPr>
              <w:spacing w:after="120" w:line="360" w:lineRule="auto"/>
              <w:rPr>
                <w:rFonts w:ascii="Arial" w:hAnsi="Arial" w:cs="Arial"/>
                <w:sz w:val="18"/>
                <w:szCs w:val="18"/>
                <w:lang w:bidi="ar-AE"/>
              </w:rPr>
            </w:pPr>
            <w:r w:rsidRPr="003E4447">
              <w:rPr>
                <w:rFonts w:ascii="Arial" w:hAnsi="Arial" w:cs="Arial"/>
                <w:sz w:val="18"/>
                <w:szCs w:val="18"/>
                <w:lang w:bidi="ar-AE"/>
              </w:rPr>
              <w:t>34.524</w:t>
            </w:r>
          </w:p>
        </w:tc>
      </w:tr>
      <w:tr w:rsidR="00C232D7" w:rsidRPr="003E4447" w14:paraId="07A9B5DF" w14:textId="77777777" w:rsidTr="00C232D7">
        <w:trPr>
          <w:jc w:val="center"/>
        </w:trPr>
        <w:tc>
          <w:tcPr>
            <w:tcW w:w="961" w:type="pct"/>
            <w:shd w:val="clear" w:color="auto" w:fill="auto"/>
          </w:tcPr>
          <w:p w14:paraId="6F8F30AE" w14:textId="77777777" w:rsidR="00C232D7" w:rsidRPr="003E4447" w:rsidRDefault="00C232D7" w:rsidP="00C232D7">
            <w:pPr>
              <w:spacing w:after="120" w:line="360" w:lineRule="auto"/>
              <w:rPr>
                <w:rFonts w:ascii="Arial" w:hAnsi="Arial" w:cs="Arial"/>
                <w:sz w:val="18"/>
                <w:szCs w:val="18"/>
                <w:highlight w:val="cyan"/>
              </w:rPr>
            </w:pPr>
            <w:r w:rsidRPr="003E4447">
              <w:rPr>
                <w:rFonts w:ascii="Arial" w:hAnsi="Arial" w:cs="Arial"/>
                <w:sz w:val="18"/>
                <w:szCs w:val="18"/>
              </w:rPr>
              <w:t>Ambalažni otpad</w:t>
            </w:r>
          </w:p>
        </w:tc>
        <w:tc>
          <w:tcPr>
            <w:tcW w:w="3019" w:type="pct"/>
            <w:vAlign w:val="center"/>
          </w:tcPr>
          <w:p w14:paraId="634B6D15" w14:textId="77777777" w:rsidR="00C232D7" w:rsidRPr="003E4447" w:rsidRDefault="00C232D7" w:rsidP="00C232D7">
            <w:pPr>
              <w:spacing w:line="360" w:lineRule="auto"/>
              <w:rPr>
                <w:rFonts w:ascii="Arial" w:hAnsi="Arial" w:cs="Arial"/>
                <w:sz w:val="18"/>
                <w:szCs w:val="18"/>
              </w:rPr>
            </w:pPr>
            <w:r w:rsidRPr="003E4447">
              <w:rPr>
                <w:rFonts w:ascii="Arial" w:hAnsi="Arial" w:cs="Arial"/>
                <w:sz w:val="18"/>
                <w:szCs w:val="18"/>
              </w:rPr>
              <w:t>25% ambalažnog otpada se reciklira</w:t>
            </w:r>
          </w:p>
          <w:p w14:paraId="5FA4B1CB" w14:textId="77777777" w:rsidR="00C232D7" w:rsidRPr="003E4447" w:rsidRDefault="00C232D7" w:rsidP="00C232D7">
            <w:pPr>
              <w:spacing w:line="360" w:lineRule="auto"/>
              <w:rPr>
                <w:rFonts w:ascii="Arial" w:hAnsi="Arial" w:cs="Arial"/>
                <w:sz w:val="18"/>
                <w:szCs w:val="18"/>
              </w:rPr>
            </w:pPr>
            <w:r w:rsidRPr="003E4447">
              <w:rPr>
                <w:rFonts w:ascii="Arial" w:hAnsi="Arial" w:cs="Arial"/>
                <w:sz w:val="18"/>
                <w:szCs w:val="18"/>
              </w:rPr>
              <w:t>Recikliranje 30% mase staklene ambalaže</w:t>
            </w:r>
          </w:p>
          <w:p w14:paraId="4C45998E" w14:textId="77777777" w:rsidR="00C232D7" w:rsidRPr="003E4447" w:rsidRDefault="00C232D7" w:rsidP="00C232D7">
            <w:pPr>
              <w:spacing w:line="360" w:lineRule="auto"/>
              <w:rPr>
                <w:rFonts w:ascii="Arial" w:hAnsi="Arial" w:cs="Arial"/>
                <w:sz w:val="18"/>
                <w:szCs w:val="18"/>
              </w:rPr>
            </w:pPr>
            <w:r w:rsidRPr="003E4447">
              <w:rPr>
                <w:rFonts w:ascii="Arial" w:hAnsi="Arial" w:cs="Arial"/>
                <w:sz w:val="18"/>
                <w:szCs w:val="18"/>
              </w:rPr>
              <w:t>Reciklaža 30% mase papirne i kartonske ambalaže</w:t>
            </w:r>
          </w:p>
          <w:p w14:paraId="2520AA24" w14:textId="77777777" w:rsidR="00C232D7" w:rsidRPr="003E4447" w:rsidRDefault="00C232D7" w:rsidP="00C232D7">
            <w:pPr>
              <w:spacing w:line="360" w:lineRule="auto"/>
              <w:rPr>
                <w:rFonts w:ascii="Arial" w:hAnsi="Arial" w:cs="Arial"/>
                <w:sz w:val="18"/>
                <w:szCs w:val="18"/>
              </w:rPr>
            </w:pPr>
            <w:r w:rsidRPr="003E4447">
              <w:rPr>
                <w:rFonts w:ascii="Arial" w:hAnsi="Arial" w:cs="Arial"/>
                <w:sz w:val="18"/>
                <w:szCs w:val="18"/>
              </w:rPr>
              <w:t>Recikliranje 40% mase metalne ambalaže</w:t>
            </w:r>
          </w:p>
          <w:p w14:paraId="712BDA7A" w14:textId="77777777" w:rsidR="00C232D7" w:rsidRPr="003E4447" w:rsidRDefault="00C232D7" w:rsidP="00C232D7">
            <w:pPr>
              <w:spacing w:line="360" w:lineRule="auto"/>
              <w:rPr>
                <w:rFonts w:ascii="Arial" w:hAnsi="Arial" w:cs="Arial"/>
                <w:sz w:val="18"/>
                <w:szCs w:val="18"/>
              </w:rPr>
            </w:pPr>
            <w:r w:rsidRPr="003E4447">
              <w:rPr>
                <w:rFonts w:ascii="Arial" w:hAnsi="Arial" w:cs="Arial"/>
                <w:sz w:val="18"/>
                <w:szCs w:val="18"/>
              </w:rPr>
              <w:t>Reciklaža 15% mase plastične ambalaže</w:t>
            </w:r>
          </w:p>
          <w:p w14:paraId="3A696B63" w14:textId="77777777" w:rsidR="00C232D7" w:rsidRPr="003E4447" w:rsidRDefault="00C232D7" w:rsidP="00C232D7">
            <w:pPr>
              <w:spacing w:after="120" w:line="360" w:lineRule="auto"/>
              <w:rPr>
                <w:rFonts w:ascii="Arial" w:hAnsi="Arial" w:cs="Arial"/>
                <w:sz w:val="18"/>
                <w:szCs w:val="18"/>
                <w:highlight w:val="cyan"/>
              </w:rPr>
            </w:pPr>
            <w:r w:rsidRPr="003E4447">
              <w:rPr>
                <w:rFonts w:ascii="Arial" w:hAnsi="Arial" w:cs="Arial"/>
                <w:sz w:val="18"/>
                <w:szCs w:val="18"/>
              </w:rPr>
              <w:lastRenderedPageBreak/>
              <w:t>Reciklaža 5% drvne mase</w:t>
            </w:r>
          </w:p>
        </w:tc>
        <w:tc>
          <w:tcPr>
            <w:tcW w:w="1020" w:type="pct"/>
            <w:vAlign w:val="center"/>
          </w:tcPr>
          <w:p w14:paraId="7949928C" w14:textId="77777777" w:rsidR="00C232D7" w:rsidRPr="003E4447" w:rsidRDefault="00C232D7" w:rsidP="00C232D7">
            <w:pPr>
              <w:spacing w:line="360" w:lineRule="auto"/>
              <w:rPr>
                <w:rFonts w:ascii="Arial" w:hAnsi="Arial" w:cs="Arial"/>
                <w:sz w:val="18"/>
                <w:szCs w:val="18"/>
                <w:lang w:bidi="ar-AE"/>
              </w:rPr>
            </w:pPr>
            <w:r w:rsidRPr="003E4447">
              <w:rPr>
                <w:rFonts w:ascii="Arial" w:hAnsi="Arial" w:cs="Arial"/>
                <w:sz w:val="18"/>
                <w:szCs w:val="18"/>
                <w:lang w:bidi="ar-AE"/>
              </w:rPr>
              <w:lastRenderedPageBreak/>
              <w:t>24.660</w:t>
            </w:r>
          </w:p>
          <w:p w14:paraId="1688000B" w14:textId="77777777" w:rsidR="00C232D7" w:rsidRPr="003E4447" w:rsidRDefault="00C232D7" w:rsidP="00C232D7">
            <w:pPr>
              <w:spacing w:line="360" w:lineRule="auto"/>
              <w:rPr>
                <w:rFonts w:ascii="Arial" w:hAnsi="Arial" w:cs="Arial"/>
                <w:sz w:val="18"/>
                <w:szCs w:val="18"/>
                <w:lang w:bidi="ar-AE"/>
              </w:rPr>
            </w:pPr>
            <w:r w:rsidRPr="003E4447">
              <w:rPr>
                <w:rFonts w:ascii="Arial" w:hAnsi="Arial" w:cs="Arial"/>
                <w:sz w:val="18"/>
                <w:szCs w:val="18"/>
                <w:lang w:bidi="ar-AE"/>
              </w:rPr>
              <w:t>4.189</w:t>
            </w:r>
          </w:p>
          <w:p w14:paraId="7A767125" w14:textId="77777777" w:rsidR="00C232D7" w:rsidRPr="003E4447" w:rsidRDefault="00C232D7" w:rsidP="00C232D7">
            <w:pPr>
              <w:spacing w:line="360" w:lineRule="auto"/>
              <w:rPr>
                <w:rFonts w:ascii="Arial" w:hAnsi="Arial" w:cs="Arial"/>
                <w:sz w:val="18"/>
                <w:szCs w:val="18"/>
                <w:lang w:bidi="ar-AE"/>
              </w:rPr>
            </w:pPr>
            <w:r w:rsidRPr="003E4447">
              <w:rPr>
                <w:rFonts w:ascii="Arial" w:hAnsi="Arial" w:cs="Arial"/>
                <w:sz w:val="18"/>
                <w:szCs w:val="18"/>
                <w:lang w:bidi="ar-AE"/>
              </w:rPr>
              <w:t>8.570</w:t>
            </w:r>
          </w:p>
          <w:p w14:paraId="2CDF9FC3" w14:textId="77777777" w:rsidR="00C232D7" w:rsidRPr="003E4447" w:rsidRDefault="00C232D7" w:rsidP="00C232D7">
            <w:pPr>
              <w:spacing w:line="360" w:lineRule="auto"/>
              <w:rPr>
                <w:rFonts w:ascii="Arial" w:hAnsi="Arial" w:cs="Arial"/>
                <w:sz w:val="18"/>
                <w:szCs w:val="18"/>
                <w:lang w:bidi="ar-AE"/>
              </w:rPr>
            </w:pPr>
            <w:r w:rsidRPr="003E4447">
              <w:rPr>
                <w:rFonts w:ascii="Arial" w:hAnsi="Arial" w:cs="Arial"/>
                <w:sz w:val="18"/>
                <w:szCs w:val="18"/>
                <w:lang w:bidi="ar-AE"/>
              </w:rPr>
              <w:t>3.772</w:t>
            </w:r>
          </w:p>
          <w:p w14:paraId="1A00D77B" w14:textId="77777777" w:rsidR="00C232D7" w:rsidRPr="003E4447" w:rsidRDefault="00C232D7" w:rsidP="00C232D7">
            <w:pPr>
              <w:spacing w:line="360" w:lineRule="auto"/>
              <w:rPr>
                <w:rFonts w:ascii="Arial" w:hAnsi="Arial" w:cs="Arial"/>
                <w:sz w:val="18"/>
                <w:szCs w:val="18"/>
                <w:lang w:bidi="ar-AE"/>
              </w:rPr>
            </w:pPr>
            <w:r w:rsidRPr="003E4447">
              <w:rPr>
                <w:rFonts w:ascii="Arial" w:hAnsi="Arial" w:cs="Arial"/>
                <w:sz w:val="18"/>
                <w:szCs w:val="18"/>
                <w:lang w:bidi="ar-AE"/>
              </w:rPr>
              <w:t>5.243</w:t>
            </w:r>
          </w:p>
          <w:p w14:paraId="2D5742C8" w14:textId="77777777" w:rsidR="00C232D7" w:rsidRPr="003E4447" w:rsidRDefault="00C232D7" w:rsidP="00C232D7">
            <w:pPr>
              <w:spacing w:line="360" w:lineRule="auto"/>
              <w:rPr>
                <w:rFonts w:ascii="Arial" w:hAnsi="Arial" w:cs="Arial"/>
                <w:sz w:val="18"/>
                <w:szCs w:val="18"/>
                <w:lang w:bidi="ar-AE"/>
              </w:rPr>
            </w:pPr>
            <w:r w:rsidRPr="003E4447">
              <w:rPr>
                <w:rFonts w:ascii="Arial" w:hAnsi="Arial" w:cs="Arial"/>
                <w:sz w:val="18"/>
                <w:szCs w:val="18"/>
                <w:lang w:bidi="ar-AE"/>
              </w:rPr>
              <w:lastRenderedPageBreak/>
              <w:t>95</w:t>
            </w:r>
          </w:p>
        </w:tc>
      </w:tr>
      <w:tr w:rsidR="00C232D7" w:rsidRPr="003E4447" w14:paraId="18DD49F3" w14:textId="77777777" w:rsidTr="00C232D7">
        <w:trPr>
          <w:jc w:val="center"/>
        </w:trPr>
        <w:tc>
          <w:tcPr>
            <w:tcW w:w="961" w:type="pct"/>
            <w:shd w:val="clear" w:color="auto" w:fill="auto"/>
            <w:vAlign w:val="center"/>
          </w:tcPr>
          <w:p w14:paraId="14B2DCDE" w14:textId="77777777" w:rsidR="00C232D7" w:rsidRPr="003E4447" w:rsidRDefault="00C232D7" w:rsidP="00C232D7">
            <w:pPr>
              <w:spacing w:after="120" w:line="360" w:lineRule="auto"/>
              <w:rPr>
                <w:rFonts w:ascii="Arial" w:hAnsi="Arial" w:cs="Arial"/>
                <w:sz w:val="18"/>
                <w:szCs w:val="18"/>
                <w:highlight w:val="cyan"/>
              </w:rPr>
            </w:pPr>
            <w:r w:rsidRPr="003E4447">
              <w:rPr>
                <w:rFonts w:ascii="Arial" w:hAnsi="Arial" w:cs="Arial"/>
                <w:sz w:val="18"/>
                <w:szCs w:val="18"/>
              </w:rPr>
              <w:lastRenderedPageBreak/>
              <w:t>Biorazgradivi otpad</w:t>
            </w:r>
            <w:r w:rsidRPr="003E4447">
              <w:rPr>
                <w:rStyle w:val="FootnoteReference"/>
                <w:rFonts w:ascii="Arial" w:hAnsi="Arial" w:cs="Arial"/>
                <w:sz w:val="18"/>
                <w:szCs w:val="18"/>
                <w:lang w:val="en-GB"/>
              </w:rPr>
              <w:footnoteReference w:id="32"/>
            </w:r>
          </w:p>
        </w:tc>
        <w:tc>
          <w:tcPr>
            <w:tcW w:w="3019" w:type="pct"/>
          </w:tcPr>
          <w:p w14:paraId="2CCFF49C" w14:textId="77777777" w:rsidR="00C232D7" w:rsidRPr="003E4447" w:rsidRDefault="00C232D7" w:rsidP="00C232D7">
            <w:pPr>
              <w:spacing w:after="120" w:line="360" w:lineRule="auto"/>
              <w:rPr>
                <w:rFonts w:ascii="Arial" w:hAnsi="Arial" w:cs="Arial"/>
                <w:sz w:val="18"/>
                <w:szCs w:val="18"/>
                <w:highlight w:val="cyan"/>
              </w:rPr>
            </w:pPr>
            <w:r w:rsidRPr="003E4447">
              <w:rPr>
                <w:rFonts w:ascii="Arial" w:hAnsi="Arial" w:cs="Arial"/>
                <w:sz w:val="18"/>
                <w:szCs w:val="18"/>
              </w:rPr>
              <w:t>Maksimalna odložena količina od 70% biorazgradivog otpada generisanog u 2010.</w:t>
            </w:r>
          </w:p>
        </w:tc>
        <w:tc>
          <w:tcPr>
            <w:tcW w:w="1020" w:type="pct"/>
            <w:vAlign w:val="center"/>
          </w:tcPr>
          <w:p w14:paraId="40E7D4D8" w14:textId="77777777" w:rsidR="00C232D7" w:rsidRPr="003E4447" w:rsidRDefault="00C232D7" w:rsidP="00C232D7">
            <w:pPr>
              <w:spacing w:after="120" w:line="360" w:lineRule="auto"/>
              <w:rPr>
                <w:rFonts w:ascii="Arial" w:hAnsi="Arial" w:cs="Arial"/>
                <w:sz w:val="18"/>
                <w:szCs w:val="18"/>
                <w:lang w:bidi="ar-AE"/>
              </w:rPr>
            </w:pPr>
            <w:r w:rsidRPr="003E4447">
              <w:rPr>
                <w:rFonts w:ascii="Arial" w:hAnsi="Arial" w:cs="Arial"/>
                <w:sz w:val="18"/>
                <w:szCs w:val="18"/>
                <w:lang w:bidi="ar-AE"/>
              </w:rPr>
              <w:t>102.200</w:t>
            </w:r>
          </w:p>
        </w:tc>
      </w:tr>
    </w:tbl>
    <w:p w14:paraId="7C6A9CD5" w14:textId="52717179" w:rsidR="00C232D7" w:rsidRPr="002A6F4E" w:rsidRDefault="006913A1" w:rsidP="00F57909">
      <w:pPr>
        <w:pStyle w:val="Heading2"/>
      </w:pPr>
      <w:bookmarkStart w:id="829" w:name="_Toc193354010"/>
      <w:r>
        <w:rPr>
          <w:lang w:val="en-US"/>
        </w:rPr>
        <w:t>5.5</w:t>
      </w:r>
      <w:r w:rsidR="00C232D7" w:rsidRPr="002A6F4E">
        <w:rPr>
          <w:lang w:val="en-US"/>
        </w:rPr>
        <w:t xml:space="preserve">. </w:t>
      </w:r>
      <w:r w:rsidR="00C232D7" w:rsidRPr="002A6F4E">
        <w:t>Prognoza generisanja otpada</w:t>
      </w:r>
      <w:bookmarkEnd w:id="819"/>
      <w:bookmarkEnd w:id="820"/>
      <w:bookmarkEnd w:id="829"/>
    </w:p>
    <w:p w14:paraId="210F8201"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Procjena količine komunalnog otpada koja će nastati u narednih 20 godina zasnovana je na:</w:t>
      </w:r>
    </w:p>
    <w:p w14:paraId="6AFB261F" w14:textId="68E87BFB" w:rsidR="00C232D7" w:rsidRPr="002A6F4E" w:rsidRDefault="00C232D7" w:rsidP="00A23ED0">
      <w:pPr>
        <w:pStyle w:val="ListParagraph"/>
        <w:numPr>
          <w:ilvl w:val="0"/>
          <w:numId w:val="31"/>
        </w:numPr>
        <w:spacing w:before="120" w:after="120" w:line="360" w:lineRule="auto"/>
        <w:contextualSpacing w:val="0"/>
        <w:rPr>
          <w:rFonts w:ascii="Arial" w:hAnsi="Arial" w:cs="Arial"/>
          <w:lang w:val="sq-AL"/>
        </w:rPr>
      </w:pPr>
      <w:r w:rsidRPr="002A6F4E">
        <w:rPr>
          <w:rFonts w:ascii="Arial" w:hAnsi="Arial" w:cs="Arial"/>
          <w:lang w:val="sq-AL"/>
        </w:rPr>
        <w:t>Projekciji stanovništva prema podacima MONSTAT</w:t>
      </w:r>
      <w:r w:rsidR="00B14384">
        <w:rPr>
          <w:rFonts w:ascii="Arial" w:hAnsi="Arial" w:cs="Arial"/>
          <w:lang w:val="sq-AL"/>
        </w:rPr>
        <w:t>,</w:t>
      </w:r>
    </w:p>
    <w:p w14:paraId="3FF25139" w14:textId="751B4A92" w:rsidR="00C232D7" w:rsidRPr="002A6F4E" w:rsidRDefault="00C232D7" w:rsidP="00A23ED0">
      <w:pPr>
        <w:pStyle w:val="ListParagraph"/>
        <w:numPr>
          <w:ilvl w:val="0"/>
          <w:numId w:val="31"/>
        </w:numPr>
        <w:spacing w:before="120" w:after="120" w:line="360" w:lineRule="auto"/>
        <w:contextualSpacing w:val="0"/>
        <w:rPr>
          <w:rFonts w:ascii="Arial" w:hAnsi="Arial" w:cs="Arial"/>
          <w:lang w:val="sq-AL"/>
        </w:rPr>
      </w:pPr>
      <w:r w:rsidRPr="002A6F4E">
        <w:rPr>
          <w:rFonts w:ascii="Arial" w:hAnsi="Arial" w:cs="Arial"/>
          <w:lang w:val="sq-AL"/>
        </w:rPr>
        <w:t>Pretpostavka da će turistička aktivnost povećati</w:t>
      </w:r>
      <w:r w:rsidR="00972C45" w:rsidRPr="002A6F4E">
        <w:rPr>
          <w:rFonts w:ascii="Arial" w:hAnsi="Arial" w:cs="Arial"/>
          <w:lang w:val="sq-AL"/>
        </w:rPr>
        <w:t>.</w:t>
      </w:r>
    </w:p>
    <w:p w14:paraId="278BC804" w14:textId="77777777" w:rsidR="00C232D7" w:rsidRPr="002A6F4E" w:rsidRDefault="00C232D7" w:rsidP="00C232D7">
      <w:pPr>
        <w:spacing w:before="120" w:after="120" w:line="360" w:lineRule="auto"/>
        <w:rPr>
          <w:rFonts w:ascii="Arial" w:hAnsi="Arial" w:cs="Arial"/>
          <w:iCs/>
          <w:lang w:val="sq-AL"/>
        </w:rPr>
      </w:pPr>
      <w:r w:rsidRPr="002A6F4E">
        <w:rPr>
          <w:rFonts w:ascii="Arial" w:hAnsi="Arial" w:cs="Arial"/>
          <w:iCs/>
          <w:lang w:val="sq-AL"/>
        </w:rPr>
        <w:t>Projekcija sastava otpada je uglavnom zasnovana na:</w:t>
      </w:r>
    </w:p>
    <w:p w14:paraId="38851C0B" w14:textId="77777777" w:rsidR="00C232D7" w:rsidRPr="002A6F4E" w:rsidRDefault="00C232D7" w:rsidP="00A23ED0">
      <w:pPr>
        <w:pStyle w:val="ListParagraph"/>
        <w:numPr>
          <w:ilvl w:val="0"/>
          <w:numId w:val="14"/>
        </w:numPr>
        <w:spacing w:before="120" w:after="120" w:line="360" w:lineRule="auto"/>
        <w:ind w:left="714" w:hanging="357"/>
        <w:contextualSpacing w:val="0"/>
        <w:rPr>
          <w:rFonts w:ascii="Arial" w:hAnsi="Arial" w:cs="Arial"/>
          <w:iCs/>
          <w:lang w:val="sq-AL"/>
        </w:rPr>
      </w:pPr>
      <w:r w:rsidRPr="002A6F4E">
        <w:rPr>
          <w:rFonts w:ascii="Arial" w:hAnsi="Arial" w:cs="Arial"/>
          <w:iCs/>
          <w:lang w:val="sq-AL"/>
        </w:rPr>
        <w:t>Ekonomskom rastu;</w:t>
      </w:r>
    </w:p>
    <w:p w14:paraId="65919C9F" w14:textId="687E13AE" w:rsidR="00C232D7" w:rsidRPr="002A6F4E" w:rsidRDefault="00C232D7" w:rsidP="00A23ED0">
      <w:pPr>
        <w:pStyle w:val="ListParagraph"/>
        <w:numPr>
          <w:ilvl w:val="0"/>
          <w:numId w:val="14"/>
        </w:numPr>
        <w:spacing w:before="120" w:after="120" w:line="360" w:lineRule="auto"/>
        <w:ind w:left="714" w:hanging="357"/>
        <w:contextualSpacing w:val="0"/>
        <w:rPr>
          <w:rFonts w:ascii="Arial" w:hAnsi="Arial" w:cs="Arial"/>
          <w:iCs/>
          <w:lang w:val="sq-AL"/>
        </w:rPr>
      </w:pPr>
      <w:r w:rsidRPr="002A6F4E">
        <w:rPr>
          <w:rFonts w:ascii="Arial" w:hAnsi="Arial" w:cs="Arial"/>
          <w:iCs/>
          <w:lang w:val="sq-AL"/>
        </w:rPr>
        <w:t>Promjen</w:t>
      </w:r>
      <w:r w:rsidR="00150D85">
        <w:rPr>
          <w:rFonts w:ascii="Arial" w:hAnsi="Arial" w:cs="Arial"/>
          <w:iCs/>
          <w:lang w:val="sq-AL"/>
        </w:rPr>
        <w:t>i</w:t>
      </w:r>
      <w:r w:rsidRPr="002A6F4E">
        <w:rPr>
          <w:rFonts w:ascii="Arial" w:hAnsi="Arial" w:cs="Arial"/>
          <w:iCs/>
          <w:lang w:val="sq-AL"/>
        </w:rPr>
        <w:t xml:space="preserve"> načina života građana;</w:t>
      </w:r>
    </w:p>
    <w:p w14:paraId="1E327CAB" w14:textId="5487DCF4" w:rsidR="00C232D7" w:rsidRPr="002A6F4E" w:rsidRDefault="00C232D7" w:rsidP="00A23ED0">
      <w:pPr>
        <w:pStyle w:val="ListParagraph"/>
        <w:numPr>
          <w:ilvl w:val="0"/>
          <w:numId w:val="14"/>
        </w:numPr>
        <w:spacing w:before="120" w:after="120" w:line="360" w:lineRule="auto"/>
        <w:ind w:left="714" w:hanging="357"/>
        <w:contextualSpacing w:val="0"/>
        <w:rPr>
          <w:rFonts w:ascii="Arial" w:hAnsi="Arial" w:cs="Arial"/>
          <w:iCs/>
          <w:lang w:val="sq-AL"/>
        </w:rPr>
      </w:pPr>
      <w:r w:rsidRPr="002A6F4E">
        <w:rPr>
          <w:rFonts w:ascii="Arial" w:hAnsi="Arial" w:cs="Arial"/>
          <w:iCs/>
          <w:lang w:val="sq-AL"/>
        </w:rPr>
        <w:t xml:space="preserve">Mjerama koje će se sprovoditi na vrijeme za sprečavanje i smanjenje količine generisanog otpada (sa naglaskom na organski otpad za koji se pretpostavlja da će se smanjivati za 3% svakih </w:t>
      </w:r>
      <w:r w:rsidR="00DE4664">
        <w:rPr>
          <w:rFonts w:ascii="Arial" w:hAnsi="Arial" w:cs="Arial"/>
          <w:iCs/>
          <w:lang w:val="sq-AL"/>
        </w:rPr>
        <w:t xml:space="preserve">pet </w:t>
      </w:r>
      <w:r w:rsidRPr="002A6F4E">
        <w:rPr>
          <w:rFonts w:ascii="Arial" w:hAnsi="Arial" w:cs="Arial"/>
          <w:iCs/>
          <w:lang w:val="sq-AL"/>
        </w:rPr>
        <w:t>godina).</w:t>
      </w:r>
    </w:p>
    <w:p w14:paraId="11E57E19" w14:textId="36FFA2C8"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Projekcija sastava komunalnog otpada je u korelaciji sa projekcijom nastajanja ambalažnog otpada. Evropska statistika pokazuje da, kako prihod raste, udio recikl</w:t>
      </w:r>
      <w:r w:rsidR="00DE4664">
        <w:rPr>
          <w:rFonts w:ascii="Arial" w:hAnsi="Arial" w:cs="Arial"/>
          <w:lang w:val="sq-AL"/>
        </w:rPr>
        <w:t>iranog</w:t>
      </w:r>
      <w:r w:rsidRPr="002A6F4E">
        <w:rPr>
          <w:rFonts w:ascii="Arial" w:hAnsi="Arial" w:cs="Arial"/>
          <w:lang w:val="sq-AL"/>
        </w:rPr>
        <w:t xml:space="preserve"> materijala (uglavnom ambalaž</w:t>
      </w:r>
      <w:r w:rsidR="00DE4664">
        <w:rPr>
          <w:rFonts w:ascii="Arial" w:hAnsi="Arial" w:cs="Arial"/>
          <w:lang w:val="sq-AL"/>
        </w:rPr>
        <w:t>e</w:t>
      </w:r>
      <w:r w:rsidRPr="002A6F4E">
        <w:rPr>
          <w:rFonts w:ascii="Arial" w:hAnsi="Arial" w:cs="Arial"/>
          <w:lang w:val="sq-AL"/>
        </w:rPr>
        <w:t xml:space="preserve">) raste 50% brže od ukupnog rasta otpada po glavi stanovnika, dok se organska frakcija otpada smanjuje. Takođe, procenat ambalažnog otpada povećava </w:t>
      </w:r>
      <w:r w:rsidR="00FB0212">
        <w:rPr>
          <w:rFonts w:ascii="Arial" w:hAnsi="Arial" w:cs="Arial"/>
          <w:lang w:val="sq-AL"/>
        </w:rPr>
        <w:t xml:space="preserve">se </w:t>
      </w:r>
      <w:r w:rsidRPr="002A6F4E">
        <w:rPr>
          <w:rFonts w:ascii="Arial" w:hAnsi="Arial" w:cs="Arial"/>
          <w:lang w:val="sq-AL"/>
        </w:rPr>
        <w:t>sa rastom BD</w:t>
      </w:r>
      <w:r w:rsidR="00B14384">
        <w:rPr>
          <w:rFonts w:ascii="Arial" w:hAnsi="Arial" w:cs="Arial"/>
          <w:lang w:val="sq-AL"/>
        </w:rPr>
        <w:t>P</w:t>
      </w:r>
      <w:r w:rsidRPr="002A6F4E">
        <w:rPr>
          <w:rFonts w:ascii="Arial" w:hAnsi="Arial" w:cs="Arial"/>
          <w:lang w:val="sq-AL"/>
        </w:rPr>
        <w:t xml:space="preserve"> i prihoda, dok se procenat organske frakcije otpada shodno tome smanjuje. U tom pogledu, smatra se da će frakcija recikl</w:t>
      </w:r>
      <w:r w:rsidR="00DE4664">
        <w:rPr>
          <w:rFonts w:ascii="Arial" w:hAnsi="Arial" w:cs="Arial"/>
          <w:lang w:val="sq-AL"/>
        </w:rPr>
        <w:t>iranog</w:t>
      </w:r>
      <w:r w:rsidRPr="002A6F4E">
        <w:rPr>
          <w:rFonts w:ascii="Arial" w:hAnsi="Arial" w:cs="Arial"/>
          <w:lang w:val="sq-AL"/>
        </w:rPr>
        <w:t xml:space="preserve"> materijala rasti 50% brže od ukupne proizvodnje otpada po glavi stanovnika do 2030. godine, a nakon toga će se stabilizovati.</w:t>
      </w:r>
    </w:p>
    <w:p w14:paraId="2C232D9F" w14:textId="5C2CC940" w:rsidR="00C232D7" w:rsidRPr="002A6F4E" w:rsidRDefault="00C232D7" w:rsidP="00F57909">
      <w:pPr>
        <w:pStyle w:val="Heading2"/>
      </w:pPr>
      <w:bookmarkStart w:id="830" w:name="_Toc193354011"/>
      <w:r w:rsidRPr="002A6F4E">
        <w:t>5.</w:t>
      </w:r>
      <w:r w:rsidR="006913A1">
        <w:t>6</w:t>
      </w:r>
      <w:r w:rsidRPr="002A6F4E">
        <w:t>. Rezultati o projektovanom generisanju i sastavu otpada</w:t>
      </w:r>
      <w:bookmarkEnd w:id="830"/>
    </w:p>
    <w:p w14:paraId="7F039389" w14:textId="77777777" w:rsidR="006913A1" w:rsidRDefault="00ED44F7" w:rsidP="00C232D7">
      <w:pPr>
        <w:pStyle w:val="Caption"/>
        <w:rPr>
          <w:rFonts w:ascii="Arial" w:hAnsi="Arial" w:cs="Arial"/>
          <w:lang w:val="sq-AL"/>
        </w:rPr>
      </w:pPr>
      <w:r w:rsidRPr="006913A1">
        <w:rPr>
          <w:rFonts w:ascii="Arial" w:hAnsi="Arial" w:cs="Arial"/>
          <w:b w:val="0"/>
          <w:bCs w:val="0"/>
          <w:color w:val="auto"/>
          <w:sz w:val="20"/>
          <w:szCs w:val="20"/>
          <w:lang w:val="sq-AL"/>
        </w:rPr>
        <w:t>U</w:t>
      </w:r>
      <w:r w:rsidR="00C232D7" w:rsidRPr="006913A1">
        <w:rPr>
          <w:rFonts w:ascii="Arial" w:hAnsi="Arial" w:cs="Arial"/>
          <w:b w:val="0"/>
          <w:bCs w:val="0"/>
          <w:color w:val="auto"/>
          <w:sz w:val="20"/>
          <w:szCs w:val="20"/>
          <w:lang w:val="sq-AL"/>
        </w:rPr>
        <w:t xml:space="preserve"> sljedećoj tabeli i</w:t>
      </w:r>
      <w:r w:rsidRPr="006913A1">
        <w:rPr>
          <w:rFonts w:ascii="Arial" w:hAnsi="Arial" w:cs="Arial"/>
          <w:b w:val="0"/>
          <w:bCs w:val="0"/>
          <w:color w:val="auto"/>
          <w:sz w:val="20"/>
          <w:szCs w:val="20"/>
          <w:lang w:val="sq-AL"/>
        </w:rPr>
        <w:t xml:space="preserve"> na</w:t>
      </w:r>
      <w:r w:rsidR="00C232D7" w:rsidRPr="006913A1">
        <w:rPr>
          <w:rFonts w:ascii="Arial" w:hAnsi="Arial" w:cs="Arial"/>
          <w:b w:val="0"/>
          <w:bCs w:val="0"/>
          <w:color w:val="auto"/>
          <w:sz w:val="20"/>
          <w:szCs w:val="20"/>
          <w:lang w:val="sq-AL"/>
        </w:rPr>
        <w:t xml:space="preserve"> slici prikazana je </w:t>
      </w:r>
      <w:r w:rsidR="00DE4664" w:rsidRPr="006913A1">
        <w:rPr>
          <w:rFonts w:ascii="Arial" w:hAnsi="Arial" w:cs="Arial"/>
          <w:b w:val="0"/>
          <w:bCs w:val="0"/>
          <w:color w:val="auto"/>
          <w:sz w:val="20"/>
          <w:szCs w:val="20"/>
          <w:lang w:val="sq-AL"/>
        </w:rPr>
        <w:t xml:space="preserve">procjena generisanja i sastava </w:t>
      </w:r>
      <w:r w:rsidR="00C232D7" w:rsidRPr="006913A1">
        <w:rPr>
          <w:rFonts w:ascii="Arial" w:hAnsi="Arial" w:cs="Arial"/>
          <w:b w:val="0"/>
          <w:bCs w:val="0"/>
          <w:color w:val="auto"/>
          <w:sz w:val="20"/>
          <w:szCs w:val="20"/>
          <w:lang w:val="sq-AL"/>
        </w:rPr>
        <w:t>otpada u Crnoj Gori za period 2022–2041. godine.</w:t>
      </w:r>
      <w:r w:rsidR="00C232D7" w:rsidRPr="002A6F4E">
        <w:rPr>
          <w:rFonts w:ascii="Arial" w:hAnsi="Arial" w:cs="Arial"/>
          <w:lang w:val="sq-AL"/>
        </w:rPr>
        <w:t xml:space="preserve"> </w:t>
      </w:r>
      <w:bookmarkStart w:id="831" w:name="_Toc189515608"/>
      <w:bookmarkStart w:id="832" w:name="_Toc190160724"/>
    </w:p>
    <w:p w14:paraId="17C6241E" w14:textId="473FE335" w:rsidR="00C232D7" w:rsidRPr="002A6F4E" w:rsidRDefault="00C232D7" w:rsidP="00C232D7">
      <w:pPr>
        <w:pStyle w:val="Caption"/>
        <w:rPr>
          <w:rFonts w:ascii="Arial" w:hAnsi="Arial" w:cs="Arial"/>
          <w:b w:val="0"/>
          <w:sz w:val="20"/>
          <w:szCs w:val="20"/>
          <w:lang w:val="sq-AL"/>
        </w:rPr>
      </w:pPr>
      <w:r w:rsidRPr="00ED44F7">
        <w:rPr>
          <w:rFonts w:ascii="Arial" w:hAnsi="Arial" w:cs="Arial"/>
          <w:b w:val="0"/>
          <w:szCs w:val="20"/>
          <w:lang w:val="de-DE"/>
        </w:rPr>
        <w:t xml:space="preserve">Tabela </w:t>
      </w:r>
      <w:r w:rsidRPr="00ED44F7">
        <w:rPr>
          <w:rFonts w:ascii="Arial" w:hAnsi="Arial" w:cs="Arial"/>
          <w:b w:val="0"/>
          <w:szCs w:val="20"/>
        </w:rPr>
        <w:fldChar w:fldCharType="begin"/>
      </w:r>
      <w:r w:rsidRPr="00ED44F7">
        <w:rPr>
          <w:rFonts w:ascii="Arial" w:hAnsi="Arial" w:cs="Arial"/>
          <w:b w:val="0"/>
          <w:szCs w:val="20"/>
          <w:lang w:val="de-DE"/>
        </w:rPr>
        <w:instrText xml:space="preserve"> SEQ Tabela \* ARABIC </w:instrText>
      </w:r>
      <w:r w:rsidRPr="00ED44F7">
        <w:rPr>
          <w:rFonts w:ascii="Arial" w:hAnsi="Arial" w:cs="Arial"/>
          <w:b w:val="0"/>
          <w:szCs w:val="20"/>
        </w:rPr>
        <w:fldChar w:fldCharType="separate"/>
      </w:r>
      <w:r w:rsidR="007274DA">
        <w:rPr>
          <w:rFonts w:ascii="Arial" w:hAnsi="Arial" w:cs="Arial"/>
          <w:b w:val="0"/>
          <w:noProof/>
          <w:szCs w:val="20"/>
          <w:lang w:val="de-DE"/>
        </w:rPr>
        <w:t>34</w:t>
      </w:r>
      <w:r w:rsidRPr="00ED44F7">
        <w:rPr>
          <w:rFonts w:ascii="Arial" w:hAnsi="Arial" w:cs="Arial"/>
          <w:b w:val="0"/>
          <w:szCs w:val="20"/>
        </w:rPr>
        <w:fldChar w:fldCharType="end"/>
      </w:r>
      <w:r w:rsidRPr="00ED44F7">
        <w:rPr>
          <w:rFonts w:ascii="Arial" w:hAnsi="Arial" w:cs="Arial"/>
          <w:b w:val="0"/>
          <w:szCs w:val="20"/>
          <w:lang w:val="de-DE"/>
        </w:rPr>
        <w:t xml:space="preserve">  </w:t>
      </w:r>
      <w:r w:rsidRPr="00ED44F7">
        <w:rPr>
          <w:rFonts w:ascii="Arial" w:hAnsi="Arial" w:cs="Arial"/>
          <w:b w:val="0"/>
          <w:szCs w:val="20"/>
          <w:lang w:val="sq-AL"/>
        </w:rPr>
        <w:t>Projekcija generisanja otpada u Crnoj Gori</w:t>
      </w:r>
      <w:bookmarkEnd w:id="831"/>
      <w:bookmarkEnd w:id="832"/>
    </w:p>
    <w:tbl>
      <w:tblPr>
        <w:tblW w:w="8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198"/>
        <w:gridCol w:w="1170"/>
        <w:gridCol w:w="1170"/>
        <w:gridCol w:w="1170"/>
        <w:gridCol w:w="1124"/>
        <w:gridCol w:w="1306"/>
      </w:tblGrid>
      <w:tr w:rsidR="00C232D7" w:rsidRPr="002A6F4E" w14:paraId="3DAD27A9" w14:textId="77777777" w:rsidTr="00C232D7">
        <w:trPr>
          <w:trHeight w:val="300"/>
          <w:jc w:val="center"/>
        </w:trPr>
        <w:tc>
          <w:tcPr>
            <w:tcW w:w="1317" w:type="dxa"/>
            <w:vMerge w:val="restart"/>
            <w:shd w:val="clear" w:color="auto" w:fill="F2F2F2" w:themeFill="background1" w:themeFillShade="F2"/>
            <w:noWrap/>
            <w:vAlign w:val="center"/>
          </w:tcPr>
          <w:p w14:paraId="276450CB" w14:textId="77777777" w:rsidR="00C232D7" w:rsidRPr="003E4447" w:rsidRDefault="00C232D7" w:rsidP="00C232D7">
            <w:pPr>
              <w:spacing w:before="40" w:after="40" w:line="360" w:lineRule="auto"/>
              <w:rPr>
                <w:rFonts w:ascii="Arial" w:eastAsia="Times New Roman" w:hAnsi="Arial" w:cs="Arial"/>
                <w:b/>
                <w:bCs/>
                <w:color w:val="000000"/>
                <w:sz w:val="18"/>
                <w:szCs w:val="18"/>
                <w:lang w:val="sq-AL" w:eastAsia="el-GR"/>
              </w:rPr>
            </w:pPr>
            <w:r w:rsidRPr="003E4447">
              <w:rPr>
                <w:rFonts w:ascii="Arial" w:eastAsia="Times New Roman" w:hAnsi="Arial" w:cs="Arial"/>
                <w:b/>
                <w:bCs/>
                <w:color w:val="000000"/>
                <w:sz w:val="18"/>
                <w:szCs w:val="18"/>
                <w:lang w:val="sq-AL" w:eastAsia="el-GR"/>
              </w:rPr>
              <w:t>Godina</w:t>
            </w:r>
          </w:p>
        </w:tc>
        <w:tc>
          <w:tcPr>
            <w:tcW w:w="3538" w:type="dxa"/>
            <w:gridSpan w:val="3"/>
            <w:shd w:val="clear" w:color="auto" w:fill="F2F2F2" w:themeFill="background1" w:themeFillShade="F2"/>
            <w:noWrap/>
            <w:vAlign w:val="center"/>
          </w:tcPr>
          <w:p w14:paraId="4E7C3092" w14:textId="77777777" w:rsidR="00C232D7" w:rsidRPr="003E4447" w:rsidRDefault="00C232D7" w:rsidP="00C232D7">
            <w:pPr>
              <w:spacing w:before="40" w:after="40" w:line="360" w:lineRule="auto"/>
              <w:rPr>
                <w:rFonts w:ascii="Arial" w:eastAsia="Times New Roman" w:hAnsi="Arial" w:cs="Arial"/>
                <w:b/>
                <w:bCs/>
                <w:color w:val="000000"/>
                <w:sz w:val="18"/>
                <w:szCs w:val="18"/>
                <w:lang w:val="sq-AL" w:eastAsia="el-GR"/>
              </w:rPr>
            </w:pPr>
            <w:r w:rsidRPr="003E4447">
              <w:rPr>
                <w:rFonts w:ascii="Arial" w:eastAsia="Times New Roman" w:hAnsi="Arial" w:cs="Arial"/>
                <w:b/>
                <w:bCs/>
                <w:color w:val="000000"/>
                <w:sz w:val="18"/>
                <w:szCs w:val="18"/>
                <w:lang w:val="sq-AL" w:eastAsia="el-GR"/>
              </w:rPr>
              <w:t>Ekvivalent stanovnika</w:t>
            </w:r>
          </w:p>
        </w:tc>
        <w:tc>
          <w:tcPr>
            <w:tcW w:w="3600" w:type="dxa"/>
            <w:gridSpan w:val="3"/>
            <w:shd w:val="clear" w:color="auto" w:fill="F2F2F2" w:themeFill="background1" w:themeFillShade="F2"/>
            <w:noWrap/>
            <w:vAlign w:val="center"/>
          </w:tcPr>
          <w:p w14:paraId="0D602D0E" w14:textId="77777777" w:rsidR="00C232D7" w:rsidRPr="003E4447" w:rsidRDefault="00C232D7" w:rsidP="00C232D7">
            <w:pPr>
              <w:spacing w:before="40" w:after="40" w:line="360" w:lineRule="auto"/>
              <w:rPr>
                <w:rFonts w:ascii="Arial" w:eastAsia="Times New Roman" w:hAnsi="Arial" w:cs="Arial"/>
                <w:b/>
                <w:bCs/>
                <w:color w:val="000000"/>
                <w:sz w:val="18"/>
                <w:szCs w:val="18"/>
                <w:lang w:val="sq-AL" w:eastAsia="el-GR"/>
              </w:rPr>
            </w:pPr>
            <w:r w:rsidRPr="003E4447">
              <w:rPr>
                <w:rFonts w:ascii="Arial" w:eastAsia="Times New Roman" w:hAnsi="Arial" w:cs="Arial"/>
                <w:b/>
                <w:bCs/>
                <w:color w:val="000000"/>
                <w:sz w:val="18"/>
                <w:szCs w:val="18"/>
                <w:lang w:val="sq-AL" w:eastAsia="el-GR"/>
              </w:rPr>
              <w:t>Generisanje otpada</w:t>
            </w:r>
          </w:p>
        </w:tc>
      </w:tr>
      <w:tr w:rsidR="00C232D7" w:rsidRPr="002A6F4E" w14:paraId="78DA0653" w14:textId="77777777" w:rsidTr="00C232D7">
        <w:trPr>
          <w:trHeight w:val="391"/>
          <w:jc w:val="center"/>
        </w:trPr>
        <w:tc>
          <w:tcPr>
            <w:tcW w:w="1317" w:type="dxa"/>
            <w:vMerge/>
            <w:shd w:val="clear" w:color="auto" w:fill="F2F2F2" w:themeFill="background1" w:themeFillShade="F2"/>
            <w:vAlign w:val="center"/>
          </w:tcPr>
          <w:p w14:paraId="36D7535D" w14:textId="77777777" w:rsidR="00C232D7" w:rsidRPr="003E4447" w:rsidRDefault="00C232D7" w:rsidP="00C232D7">
            <w:pPr>
              <w:spacing w:before="40" w:after="40" w:line="360" w:lineRule="auto"/>
              <w:rPr>
                <w:rFonts w:ascii="Arial" w:eastAsia="Times New Roman" w:hAnsi="Arial" w:cs="Arial"/>
                <w:b/>
                <w:bCs/>
                <w:color w:val="000000"/>
                <w:sz w:val="18"/>
                <w:szCs w:val="18"/>
                <w:lang w:val="sq-AL" w:eastAsia="el-GR"/>
              </w:rPr>
            </w:pPr>
          </w:p>
        </w:tc>
        <w:tc>
          <w:tcPr>
            <w:tcW w:w="1198" w:type="dxa"/>
            <w:shd w:val="clear" w:color="auto" w:fill="F2F2F2" w:themeFill="background1" w:themeFillShade="F2"/>
            <w:noWrap/>
            <w:vAlign w:val="center"/>
          </w:tcPr>
          <w:p w14:paraId="7DA5EFDF" w14:textId="77777777" w:rsidR="00C232D7" w:rsidRPr="003E4447" w:rsidRDefault="00C232D7" w:rsidP="00C232D7">
            <w:pPr>
              <w:spacing w:before="40" w:after="40" w:line="360" w:lineRule="auto"/>
              <w:rPr>
                <w:rFonts w:ascii="Arial" w:eastAsia="Times New Roman" w:hAnsi="Arial" w:cs="Arial"/>
                <w:b/>
                <w:bCs/>
                <w:color w:val="000000"/>
                <w:sz w:val="18"/>
                <w:szCs w:val="18"/>
                <w:lang w:val="sq-AL" w:eastAsia="el-GR"/>
              </w:rPr>
            </w:pPr>
            <w:r w:rsidRPr="003E4447">
              <w:rPr>
                <w:rFonts w:ascii="Arial" w:eastAsia="Times New Roman" w:hAnsi="Arial" w:cs="Arial"/>
                <w:b/>
                <w:bCs/>
                <w:color w:val="000000"/>
                <w:sz w:val="18"/>
                <w:szCs w:val="18"/>
                <w:lang w:val="sq-AL" w:eastAsia="el-GR"/>
              </w:rPr>
              <w:t>Urbana sredina</w:t>
            </w:r>
          </w:p>
        </w:tc>
        <w:tc>
          <w:tcPr>
            <w:tcW w:w="1170" w:type="dxa"/>
            <w:shd w:val="clear" w:color="auto" w:fill="F2F2F2" w:themeFill="background1" w:themeFillShade="F2"/>
            <w:noWrap/>
            <w:vAlign w:val="center"/>
          </w:tcPr>
          <w:p w14:paraId="61F03D17" w14:textId="77777777" w:rsidR="00C232D7" w:rsidRPr="003E4447" w:rsidRDefault="00C232D7" w:rsidP="00C232D7">
            <w:pPr>
              <w:spacing w:before="40" w:after="40" w:line="360" w:lineRule="auto"/>
              <w:rPr>
                <w:rFonts w:ascii="Arial" w:eastAsia="Times New Roman" w:hAnsi="Arial" w:cs="Arial"/>
                <w:b/>
                <w:bCs/>
                <w:color w:val="000000"/>
                <w:sz w:val="18"/>
                <w:szCs w:val="18"/>
                <w:lang w:val="sq-AL" w:eastAsia="el-GR"/>
              </w:rPr>
            </w:pPr>
            <w:r w:rsidRPr="003E4447">
              <w:rPr>
                <w:rFonts w:ascii="Arial" w:eastAsia="Times New Roman" w:hAnsi="Arial" w:cs="Arial"/>
                <w:b/>
                <w:bCs/>
                <w:color w:val="000000"/>
                <w:sz w:val="18"/>
                <w:szCs w:val="18"/>
                <w:lang w:val="sq-AL" w:eastAsia="el-GR"/>
              </w:rPr>
              <w:t>Ruralna sredina</w:t>
            </w:r>
          </w:p>
        </w:tc>
        <w:tc>
          <w:tcPr>
            <w:tcW w:w="1170" w:type="dxa"/>
            <w:shd w:val="clear" w:color="auto" w:fill="F2F2F2" w:themeFill="background1" w:themeFillShade="F2"/>
            <w:noWrap/>
            <w:vAlign w:val="center"/>
          </w:tcPr>
          <w:p w14:paraId="58647797" w14:textId="77777777" w:rsidR="00C232D7" w:rsidRPr="003E4447" w:rsidRDefault="00C232D7" w:rsidP="00C232D7">
            <w:pPr>
              <w:spacing w:before="40" w:after="40" w:line="360" w:lineRule="auto"/>
              <w:rPr>
                <w:rFonts w:ascii="Arial" w:eastAsia="Times New Roman" w:hAnsi="Arial" w:cs="Arial"/>
                <w:b/>
                <w:bCs/>
                <w:color w:val="000000"/>
                <w:sz w:val="18"/>
                <w:szCs w:val="18"/>
                <w:lang w:val="sq-AL" w:eastAsia="el-GR"/>
              </w:rPr>
            </w:pPr>
            <w:r w:rsidRPr="003E4447">
              <w:rPr>
                <w:rFonts w:ascii="Arial" w:eastAsia="Times New Roman" w:hAnsi="Arial" w:cs="Arial"/>
                <w:b/>
                <w:bCs/>
                <w:color w:val="000000"/>
                <w:sz w:val="18"/>
                <w:szCs w:val="18"/>
                <w:lang w:val="sq-AL" w:eastAsia="el-GR"/>
              </w:rPr>
              <w:t>Ukupno</w:t>
            </w:r>
          </w:p>
        </w:tc>
        <w:tc>
          <w:tcPr>
            <w:tcW w:w="1170" w:type="dxa"/>
            <w:shd w:val="clear" w:color="auto" w:fill="F2F2F2" w:themeFill="background1" w:themeFillShade="F2"/>
            <w:noWrap/>
            <w:vAlign w:val="center"/>
          </w:tcPr>
          <w:p w14:paraId="214CCCB3" w14:textId="77777777" w:rsidR="00C232D7" w:rsidRPr="003E4447" w:rsidRDefault="00C232D7" w:rsidP="00C232D7">
            <w:pPr>
              <w:spacing w:before="40" w:after="40" w:line="360" w:lineRule="auto"/>
              <w:rPr>
                <w:rFonts w:ascii="Arial" w:eastAsia="Times New Roman" w:hAnsi="Arial" w:cs="Arial"/>
                <w:b/>
                <w:bCs/>
                <w:color w:val="000000"/>
                <w:sz w:val="18"/>
                <w:szCs w:val="18"/>
                <w:lang w:val="sq-AL" w:eastAsia="el-GR"/>
              </w:rPr>
            </w:pPr>
            <w:r w:rsidRPr="003E4447">
              <w:rPr>
                <w:rFonts w:ascii="Arial" w:eastAsia="Times New Roman" w:hAnsi="Arial" w:cs="Arial"/>
                <w:b/>
                <w:bCs/>
                <w:color w:val="000000"/>
                <w:sz w:val="18"/>
                <w:szCs w:val="18"/>
                <w:lang w:val="sq-AL" w:eastAsia="el-GR"/>
              </w:rPr>
              <w:t>Urbana sredina</w:t>
            </w:r>
          </w:p>
        </w:tc>
        <w:tc>
          <w:tcPr>
            <w:tcW w:w="1124" w:type="dxa"/>
            <w:shd w:val="clear" w:color="auto" w:fill="F2F2F2" w:themeFill="background1" w:themeFillShade="F2"/>
            <w:noWrap/>
            <w:vAlign w:val="center"/>
          </w:tcPr>
          <w:p w14:paraId="1A55B7A3" w14:textId="77777777" w:rsidR="00C232D7" w:rsidRPr="003E4447" w:rsidRDefault="00C232D7" w:rsidP="00C232D7">
            <w:pPr>
              <w:spacing w:before="40" w:after="40" w:line="360" w:lineRule="auto"/>
              <w:rPr>
                <w:rFonts w:ascii="Arial" w:eastAsia="Times New Roman" w:hAnsi="Arial" w:cs="Arial"/>
                <w:b/>
                <w:bCs/>
                <w:color w:val="000000"/>
                <w:sz w:val="18"/>
                <w:szCs w:val="18"/>
                <w:lang w:val="sq-AL" w:eastAsia="el-GR"/>
              </w:rPr>
            </w:pPr>
            <w:r w:rsidRPr="003E4447">
              <w:rPr>
                <w:rFonts w:ascii="Arial" w:eastAsia="Times New Roman" w:hAnsi="Arial" w:cs="Arial"/>
                <w:b/>
                <w:bCs/>
                <w:color w:val="000000"/>
                <w:sz w:val="18"/>
                <w:szCs w:val="18"/>
                <w:lang w:val="sq-AL" w:eastAsia="el-GR"/>
              </w:rPr>
              <w:t>Ruralna sredina</w:t>
            </w:r>
          </w:p>
        </w:tc>
        <w:tc>
          <w:tcPr>
            <w:tcW w:w="1306" w:type="dxa"/>
            <w:shd w:val="clear" w:color="auto" w:fill="F2F2F2" w:themeFill="background1" w:themeFillShade="F2"/>
            <w:noWrap/>
            <w:vAlign w:val="center"/>
          </w:tcPr>
          <w:p w14:paraId="65729C10" w14:textId="77777777" w:rsidR="00C232D7" w:rsidRPr="003E4447" w:rsidRDefault="00C232D7" w:rsidP="00C232D7">
            <w:pPr>
              <w:spacing w:before="40" w:after="40" w:line="360" w:lineRule="auto"/>
              <w:rPr>
                <w:rFonts w:ascii="Arial" w:eastAsia="Times New Roman" w:hAnsi="Arial" w:cs="Arial"/>
                <w:b/>
                <w:bCs/>
                <w:color w:val="000000"/>
                <w:sz w:val="18"/>
                <w:szCs w:val="18"/>
                <w:lang w:val="sq-AL" w:eastAsia="el-GR"/>
              </w:rPr>
            </w:pPr>
            <w:r w:rsidRPr="003E4447">
              <w:rPr>
                <w:rFonts w:ascii="Arial" w:eastAsia="Times New Roman" w:hAnsi="Arial" w:cs="Arial"/>
                <w:b/>
                <w:bCs/>
                <w:color w:val="000000"/>
                <w:sz w:val="18"/>
                <w:szCs w:val="18"/>
                <w:lang w:val="sq-AL" w:eastAsia="el-GR"/>
              </w:rPr>
              <w:t>Ukupno</w:t>
            </w:r>
          </w:p>
        </w:tc>
      </w:tr>
      <w:tr w:rsidR="00C232D7" w:rsidRPr="002A6F4E" w14:paraId="4B54F0CA" w14:textId="77777777" w:rsidTr="00C232D7">
        <w:trPr>
          <w:trHeight w:val="300"/>
          <w:jc w:val="center"/>
        </w:trPr>
        <w:tc>
          <w:tcPr>
            <w:tcW w:w="1317" w:type="dxa"/>
            <w:shd w:val="clear" w:color="auto" w:fill="auto"/>
            <w:noWrap/>
            <w:vAlign w:val="bottom"/>
          </w:tcPr>
          <w:p w14:paraId="5F31894C"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eastAsia="Times New Roman" w:hAnsi="Arial" w:cs="Arial"/>
                <w:color w:val="000000"/>
                <w:sz w:val="18"/>
                <w:szCs w:val="18"/>
                <w:lang w:val="sq-AL" w:eastAsia="el-GR"/>
              </w:rPr>
              <w:t>2025</w:t>
            </w:r>
          </w:p>
        </w:tc>
        <w:tc>
          <w:tcPr>
            <w:tcW w:w="1198" w:type="dxa"/>
            <w:shd w:val="clear" w:color="auto" w:fill="auto"/>
            <w:noWrap/>
            <w:vAlign w:val="bottom"/>
          </w:tcPr>
          <w:p w14:paraId="0A6D1F39"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464.705</w:t>
            </w:r>
          </w:p>
        </w:tc>
        <w:tc>
          <w:tcPr>
            <w:tcW w:w="1170" w:type="dxa"/>
            <w:shd w:val="clear" w:color="auto" w:fill="auto"/>
            <w:noWrap/>
            <w:vAlign w:val="bottom"/>
          </w:tcPr>
          <w:p w14:paraId="175395CA"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209.519</w:t>
            </w:r>
          </w:p>
        </w:tc>
        <w:tc>
          <w:tcPr>
            <w:tcW w:w="1170" w:type="dxa"/>
            <w:shd w:val="clear" w:color="auto" w:fill="auto"/>
            <w:noWrap/>
            <w:vAlign w:val="bottom"/>
          </w:tcPr>
          <w:p w14:paraId="7CA6362E"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674.224</w:t>
            </w:r>
          </w:p>
        </w:tc>
        <w:tc>
          <w:tcPr>
            <w:tcW w:w="1170" w:type="dxa"/>
            <w:shd w:val="clear" w:color="auto" w:fill="auto"/>
            <w:noWrap/>
            <w:vAlign w:val="bottom"/>
          </w:tcPr>
          <w:p w14:paraId="0F796DB6"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274.884</w:t>
            </w:r>
          </w:p>
        </w:tc>
        <w:tc>
          <w:tcPr>
            <w:tcW w:w="1124" w:type="dxa"/>
            <w:shd w:val="clear" w:color="auto" w:fill="auto"/>
            <w:noWrap/>
            <w:vAlign w:val="bottom"/>
          </w:tcPr>
          <w:p w14:paraId="4072A147"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81.561</w:t>
            </w:r>
          </w:p>
        </w:tc>
        <w:tc>
          <w:tcPr>
            <w:tcW w:w="1306" w:type="dxa"/>
            <w:shd w:val="clear" w:color="auto" w:fill="auto"/>
            <w:noWrap/>
            <w:vAlign w:val="bottom"/>
          </w:tcPr>
          <w:p w14:paraId="08A2098C"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356.444</w:t>
            </w:r>
          </w:p>
        </w:tc>
      </w:tr>
      <w:tr w:rsidR="00C232D7" w:rsidRPr="002A6F4E" w14:paraId="4257D862" w14:textId="77777777" w:rsidTr="00C232D7">
        <w:trPr>
          <w:trHeight w:val="300"/>
          <w:jc w:val="center"/>
        </w:trPr>
        <w:tc>
          <w:tcPr>
            <w:tcW w:w="1317" w:type="dxa"/>
            <w:shd w:val="clear" w:color="auto" w:fill="auto"/>
            <w:noWrap/>
            <w:vAlign w:val="bottom"/>
          </w:tcPr>
          <w:p w14:paraId="14A64050"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eastAsia="Times New Roman" w:hAnsi="Arial" w:cs="Arial"/>
                <w:color w:val="000000"/>
                <w:sz w:val="18"/>
                <w:szCs w:val="18"/>
                <w:lang w:val="sq-AL" w:eastAsia="el-GR"/>
              </w:rPr>
              <w:t>2030</w:t>
            </w:r>
          </w:p>
        </w:tc>
        <w:tc>
          <w:tcPr>
            <w:tcW w:w="1198" w:type="dxa"/>
            <w:shd w:val="clear" w:color="auto" w:fill="auto"/>
            <w:noWrap/>
            <w:vAlign w:val="bottom"/>
          </w:tcPr>
          <w:p w14:paraId="48FE091D"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471.988</w:t>
            </w:r>
          </w:p>
        </w:tc>
        <w:tc>
          <w:tcPr>
            <w:tcW w:w="1170" w:type="dxa"/>
            <w:shd w:val="clear" w:color="auto" w:fill="auto"/>
            <w:noWrap/>
            <w:vAlign w:val="bottom"/>
          </w:tcPr>
          <w:p w14:paraId="54B08563"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206.904</w:t>
            </w:r>
          </w:p>
        </w:tc>
        <w:tc>
          <w:tcPr>
            <w:tcW w:w="1170" w:type="dxa"/>
            <w:shd w:val="clear" w:color="auto" w:fill="auto"/>
            <w:noWrap/>
            <w:vAlign w:val="bottom"/>
          </w:tcPr>
          <w:p w14:paraId="12F9F75E"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678.892</w:t>
            </w:r>
          </w:p>
        </w:tc>
        <w:tc>
          <w:tcPr>
            <w:tcW w:w="1170" w:type="dxa"/>
            <w:shd w:val="clear" w:color="auto" w:fill="auto"/>
            <w:noWrap/>
            <w:vAlign w:val="bottom"/>
          </w:tcPr>
          <w:p w14:paraId="1A9380CE"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282.147</w:t>
            </w:r>
          </w:p>
        </w:tc>
        <w:tc>
          <w:tcPr>
            <w:tcW w:w="1124" w:type="dxa"/>
            <w:shd w:val="clear" w:color="auto" w:fill="auto"/>
            <w:noWrap/>
            <w:vAlign w:val="bottom"/>
          </w:tcPr>
          <w:p w14:paraId="27C12665"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81.047</w:t>
            </w:r>
          </w:p>
        </w:tc>
        <w:tc>
          <w:tcPr>
            <w:tcW w:w="1306" w:type="dxa"/>
            <w:shd w:val="clear" w:color="auto" w:fill="auto"/>
            <w:noWrap/>
            <w:vAlign w:val="bottom"/>
          </w:tcPr>
          <w:p w14:paraId="37EAB613"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363.195</w:t>
            </w:r>
          </w:p>
        </w:tc>
      </w:tr>
      <w:tr w:rsidR="00C232D7" w:rsidRPr="002A6F4E" w14:paraId="391E068B" w14:textId="77777777" w:rsidTr="00C232D7">
        <w:trPr>
          <w:trHeight w:val="300"/>
          <w:jc w:val="center"/>
        </w:trPr>
        <w:tc>
          <w:tcPr>
            <w:tcW w:w="1317" w:type="dxa"/>
            <w:shd w:val="clear" w:color="auto" w:fill="auto"/>
            <w:noWrap/>
            <w:vAlign w:val="bottom"/>
          </w:tcPr>
          <w:p w14:paraId="3F150D81"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eastAsia="Times New Roman" w:hAnsi="Arial" w:cs="Arial"/>
                <w:color w:val="000000"/>
                <w:sz w:val="18"/>
                <w:szCs w:val="18"/>
                <w:lang w:val="sq-AL" w:eastAsia="el-GR"/>
              </w:rPr>
              <w:t>2035</w:t>
            </w:r>
          </w:p>
        </w:tc>
        <w:tc>
          <w:tcPr>
            <w:tcW w:w="1198" w:type="dxa"/>
            <w:shd w:val="clear" w:color="auto" w:fill="auto"/>
            <w:noWrap/>
            <w:vAlign w:val="bottom"/>
          </w:tcPr>
          <w:p w14:paraId="25B3E8E7"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475.434</w:t>
            </w:r>
          </w:p>
        </w:tc>
        <w:tc>
          <w:tcPr>
            <w:tcW w:w="1170" w:type="dxa"/>
            <w:shd w:val="clear" w:color="auto" w:fill="auto"/>
            <w:noWrap/>
            <w:vAlign w:val="bottom"/>
          </w:tcPr>
          <w:p w14:paraId="01FAB3FF"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208.594</w:t>
            </w:r>
          </w:p>
        </w:tc>
        <w:tc>
          <w:tcPr>
            <w:tcW w:w="1170" w:type="dxa"/>
            <w:shd w:val="clear" w:color="auto" w:fill="auto"/>
            <w:noWrap/>
            <w:vAlign w:val="bottom"/>
          </w:tcPr>
          <w:p w14:paraId="09D7FB75"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684.028</w:t>
            </w:r>
          </w:p>
        </w:tc>
        <w:tc>
          <w:tcPr>
            <w:tcW w:w="1170" w:type="dxa"/>
            <w:shd w:val="clear" w:color="auto" w:fill="auto"/>
            <w:noWrap/>
            <w:vAlign w:val="bottom"/>
          </w:tcPr>
          <w:p w14:paraId="3DD6655D"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287.280</w:t>
            </w:r>
          </w:p>
        </w:tc>
        <w:tc>
          <w:tcPr>
            <w:tcW w:w="1124" w:type="dxa"/>
            <w:shd w:val="clear" w:color="auto" w:fill="auto"/>
            <w:noWrap/>
            <w:vAlign w:val="bottom"/>
          </w:tcPr>
          <w:p w14:paraId="64FB718C"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82.221</w:t>
            </w:r>
          </w:p>
        </w:tc>
        <w:tc>
          <w:tcPr>
            <w:tcW w:w="1306" w:type="dxa"/>
            <w:shd w:val="clear" w:color="auto" w:fill="auto"/>
            <w:noWrap/>
            <w:vAlign w:val="bottom"/>
          </w:tcPr>
          <w:p w14:paraId="1D3FF170"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369.501</w:t>
            </w:r>
          </w:p>
        </w:tc>
      </w:tr>
      <w:tr w:rsidR="00C232D7" w:rsidRPr="002A6F4E" w14:paraId="2C7DB490" w14:textId="77777777" w:rsidTr="00C232D7">
        <w:trPr>
          <w:trHeight w:val="300"/>
          <w:jc w:val="center"/>
        </w:trPr>
        <w:tc>
          <w:tcPr>
            <w:tcW w:w="1317" w:type="dxa"/>
            <w:shd w:val="clear" w:color="auto" w:fill="auto"/>
            <w:noWrap/>
            <w:vAlign w:val="bottom"/>
          </w:tcPr>
          <w:p w14:paraId="4FEDC675"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eastAsia="Times New Roman" w:hAnsi="Arial" w:cs="Arial"/>
                <w:color w:val="000000"/>
                <w:sz w:val="18"/>
                <w:szCs w:val="18"/>
                <w:lang w:val="sq-AL" w:eastAsia="el-GR"/>
              </w:rPr>
              <w:t>2040</w:t>
            </w:r>
          </w:p>
        </w:tc>
        <w:tc>
          <w:tcPr>
            <w:tcW w:w="1198" w:type="dxa"/>
            <w:shd w:val="clear" w:color="auto" w:fill="auto"/>
            <w:noWrap/>
            <w:vAlign w:val="bottom"/>
          </w:tcPr>
          <w:p w14:paraId="6FE346AD"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479.402</w:t>
            </w:r>
          </w:p>
        </w:tc>
        <w:tc>
          <w:tcPr>
            <w:tcW w:w="1170" w:type="dxa"/>
            <w:shd w:val="clear" w:color="auto" w:fill="auto"/>
            <w:noWrap/>
            <w:vAlign w:val="bottom"/>
          </w:tcPr>
          <w:p w14:paraId="7D1B4252"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210.549</w:t>
            </w:r>
          </w:p>
        </w:tc>
        <w:tc>
          <w:tcPr>
            <w:tcW w:w="1170" w:type="dxa"/>
            <w:shd w:val="clear" w:color="auto" w:fill="auto"/>
            <w:noWrap/>
            <w:vAlign w:val="bottom"/>
          </w:tcPr>
          <w:p w14:paraId="19CC3E26"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689.951</w:t>
            </w:r>
          </w:p>
        </w:tc>
        <w:tc>
          <w:tcPr>
            <w:tcW w:w="1170" w:type="dxa"/>
            <w:shd w:val="clear" w:color="auto" w:fill="auto"/>
            <w:noWrap/>
            <w:vAlign w:val="bottom"/>
          </w:tcPr>
          <w:p w14:paraId="4B79031B"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292.816</w:t>
            </w:r>
          </w:p>
        </w:tc>
        <w:tc>
          <w:tcPr>
            <w:tcW w:w="1124" w:type="dxa"/>
            <w:shd w:val="clear" w:color="auto" w:fill="auto"/>
            <w:noWrap/>
            <w:vAlign w:val="bottom"/>
          </w:tcPr>
          <w:p w14:paraId="7C7911B3"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83.512</w:t>
            </w:r>
          </w:p>
        </w:tc>
        <w:tc>
          <w:tcPr>
            <w:tcW w:w="1306" w:type="dxa"/>
            <w:shd w:val="clear" w:color="auto" w:fill="auto"/>
            <w:noWrap/>
            <w:vAlign w:val="bottom"/>
          </w:tcPr>
          <w:p w14:paraId="4BA8F9A3" w14:textId="77777777" w:rsidR="00C232D7" w:rsidRPr="003E4447" w:rsidRDefault="00C232D7" w:rsidP="00C232D7">
            <w:pPr>
              <w:spacing w:before="40" w:after="40" w:line="360" w:lineRule="auto"/>
              <w:rPr>
                <w:rFonts w:ascii="Arial" w:eastAsia="Times New Roman" w:hAnsi="Arial" w:cs="Arial"/>
                <w:color w:val="000000"/>
                <w:sz w:val="18"/>
                <w:szCs w:val="18"/>
                <w:lang w:val="sq-AL" w:eastAsia="el-GR"/>
              </w:rPr>
            </w:pPr>
            <w:r w:rsidRPr="003E4447">
              <w:rPr>
                <w:rFonts w:ascii="Arial" w:hAnsi="Arial" w:cs="Arial"/>
                <w:color w:val="000000"/>
                <w:sz w:val="18"/>
                <w:szCs w:val="18"/>
                <w:lang w:val="sq-AL"/>
              </w:rPr>
              <w:t>376.328</w:t>
            </w:r>
          </w:p>
        </w:tc>
      </w:tr>
    </w:tbl>
    <w:p w14:paraId="4D4783AC" w14:textId="7C2A2FB2" w:rsidR="00C232D7" w:rsidRPr="002A6F4E" w:rsidRDefault="003E4447" w:rsidP="00C232D7">
      <w:pPr>
        <w:spacing w:line="360" w:lineRule="auto"/>
        <w:rPr>
          <w:rFonts w:ascii="Arial" w:hAnsi="Arial" w:cs="Arial"/>
          <w:lang w:val="sq-AL"/>
        </w:rPr>
      </w:pPr>
      <w:r>
        <w:rPr>
          <w:rFonts w:ascii="Arial" w:hAnsi="Arial" w:cs="Arial"/>
          <w:i/>
          <w:lang w:val="sq-AL"/>
        </w:rPr>
        <w:lastRenderedPageBreak/>
        <w:t xml:space="preserve">            </w:t>
      </w:r>
    </w:p>
    <w:p w14:paraId="4B933719" w14:textId="27FB07A8" w:rsidR="00C232D7" w:rsidRPr="00ED44F7" w:rsidRDefault="00C232D7" w:rsidP="00C232D7">
      <w:pPr>
        <w:pStyle w:val="Caption"/>
        <w:rPr>
          <w:rFonts w:ascii="Arial" w:eastAsia="Times New Roman" w:hAnsi="Arial" w:cs="Arial"/>
          <w:b w:val="0"/>
          <w:lang w:val="sq-AL" w:eastAsia="el-GR"/>
        </w:rPr>
      </w:pPr>
      <w:bookmarkStart w:id="833" w:name="_Toc7004299"/>
      <w:bookmarkStart w:id="834" w:name="_Toc2862854"/>
      <w:bookmarkStart w:id="835" w:name="_Toc256860936"/>
      <w:bookmarkStart w:id="836" w:name="_Toc114147740"/>
      <w:bookmarkStart w:id="837" w:name="_Toc44934148"/>
      <w:bookmarkStart w:id="838" w:name="_Toc287088552"/>
      <w:bookmarkStart w:id="839" w:name="_Toc53574760"/>
      <w:bookmarkStart w:id="840" w:name="_Toc189548753"/>
      <w:bookmarkStart w:id="841" w:name="_Toc190160842"/>
      <w:r w:rsidRPr="00ED44F7">
        <w:rPr>
          <w:rFonts w:ascii="Arial" w:hAnsi="Arial" w:cs="Arial"/>
          <w:b w:val="0"/>
          <w:noProof/>
          <w:lang w:val="en-US"/>
        </w:rPr>
        <w:drawing>
          <wp:anchor distT="0" distB="0" distL="114300" distR="114300" simplePos="0" relativeHeight="251666432" behindDoc="1" locked="0" layoutInCell="1" allowOverlap="1" wp14:anchorId="09586D0F" wp14:editId="205C9538">
            <wp:simplePos x="0" y="0"/>
            <wp:positionH relativeFrom="column">
              <wp:posOffset>-68580</wp:posOffset>
            </wp:positionH>
            <wp:positionV relativeFrom="paragraph">
              <wp:posOffset>347345</wp:posOffset>
            </wp:positionV>
            <wp:extent cx="6115685" cy="1997075"/>
            <wp:effectExtent l="19050" t="19050" r="18415" b="22225"/>
            <wp:wrapTight wrapText="bothSides">
              <wp:wrapPolygon edited="0">
                <wp:start x="-67" y="-206"/>
                <wp:lineTo x="-67" y="21634"/>
                <wp:lineTo x="21598" y="21634"/>
                <wp:lineTo x="21598" y="-206"/>
                <wp:lineTo x="-67" y="-206"/>
              </wp:wrapPolygon>
            </wp:wrapTight>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Picture 112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6115685" cy="1997075"/>
                    </a:xfrm>
                    <a:prstGeom prst="rect">
                      <a:avLst/>
                    </a:prstGeom>
                    <a:ln>
                      <a:solidFill>
                        <a:schemeClr val="tx1"/>
                      </a:solidFill>
                    </a:ln>
                  </pic:spPr>
                </pic:pic>
              </a:graphicData>
            </a:graphic>
          </wp:anchor>
        </w:drawing>
      </w:r>
      <w:r w:rsidRPr="00ED44F7">
        <w:rPr>
          <w:rFonts w:ascii="Arial" w:hAnsi="Arial" w:cs="Arial"/>
          <w:b w:val="0"/>
          <w:lang w:val="sq-AL"/>
        </w:rPr>
        <w:t xml:space="preserve">Slika </w:t>
      </w:r>
      <w:r w:rsidR="005812AD" w:rsidRPr="003E4447">
        <w:rPr>
          <w:rFonts w:ascii="Arial" w:hAnsi="Arial" w:cs="Arial"/>
          <w:b w:val="0"/>
          <w:lang w:val="sq-AL"/>
        </w:rPr>
        <w:t>13</w:t>
      </w:r>
      <w:r w:rsidRPr="00ED44F7">
        <w:rPr>
          <w:rFonts w:ascii="Arial" w:eastAsia="Times New Roman" w:hAnsi="Arial" w:cs="Arial"/>
          <w:b w:val="0"/>
          <w:lang w:val="sq-AL" w:eastAsia="el-GR"/>
        </w:rPr>
        <w:t xml:space="preserve"> </w:t>
      </w:r>
      <w:bookmarkEnd w:id="833"/>
      <w:bookmarkEnd w:id="834"/>
      <w:bookmarkEnd w:id="835"/>
      <w:bookmarkEnd w:id="836"/>
      <w:bookmarkEnd w:id="837"/>
      <w:bookmarkEnd w:id="838"/>
      <w:bookmarkEnd w:id="839"/>
      <w:r w:rsidRPr="00ED44F7">
        <w:rPr>
          <w:rFonts w:ascii="Arial" w:eastAsia="Times New Roman" w:hAnsi="Arial" w:cs="Arial"/>
          <w:b w:val="0"/>
          <w:lang w:val="sq-AL" w:eastAsia="el-GR"/>
        </w:rPr>
        <w:t xml:space="preserve">Projekcija </w:t>
      </w:r>
      <w:r w:rsidR="00D92CE1" w:rsidRPr="00D92CE1">
        <w:rPr>
          <w:rFonts w:ascii="Arial" w:eastAsia="Times New Roman" w:hAnsi="Arial" w:cs="Arial"/>
          <w:b w:val="0"/>
          <w:lang w:val="sq-AL" w:eastAsia="el-GR"/>
        </w:rPr>
        <w:t xml:space="preserve">nastanka </w:t>
      </w:r>
      <w:r w:rsidRPr="00ED44F7">
        <w:rPr>
          <w:rFonts w:ascii="Arial" w:eastAsia="Times New Roman" w:hAnsi="Arial" w:cs="Arial"/>
          <w:b w:val="0"/>
          <w:lang w:val="sq-AL" w:eastAsia="el-GR"/>
        </w:rPr>
        <w:t>komunalnog otpada u Crnoj Gori</w:t>
      </w:r>
      <w:bookmarkEnd w:id="840"/>
      <w:bookmarkEnd w:id="841"/>
    </w:p>
    <w:p w14:paraId="62B2A19A" w14:textId="2F6417DC" w:rsidR="00B14384" w:rsidRPr="002A6F4E" w:rsidRDefault="00C232D7" w:rsidP="00C232D7">
      <w:pPr>
        <w:spacing w:before="120" w:after="120" w:line="360" w:lineRule="auto"/>
        <w:rPr>
          <w:rFonts w:ascii="Arial" w:hAnsi="Arial" w:cs="Arial"/>
          <w:b/>
          <w:bCs/>
          <w:lang w:val="sq-AL"/>
        </w:rPr>
      </w:pPr>
      <w:r w:rsidRPr="002A6F4E">
        <w:rPr>
          <w:rFonts w:ascii="Arial" w:hAnsi="Arial" w:cs="Arial"/>
          <w:lang w:val="sq-AL"/>
        </w:rPr>
        <w:t xml:space="preserve">Uopšteno, </w:t>
      </w:r>
      <w:r w:rsidRPr="002A6F4E">
        <w:rPr>
          <w:rFonts w:ascii="Arial" w:hAnsi="Arial" w:cs="Arial"/>
          <w:b/>
          <w:bCs/>
          <w:lang w:val="sq-AL"/>
        </w:rPr>
        <w:t>u periodu između 2025. i 2040. godine, količina otpada će se povećati za skoro 12%</w:t>
      </w:r>
      <w:r w:rsidRPr="002A6F4E">
        <w:rPr>
          <w:rFonts w:ascii="Arial" w:hAnsi="Arial" w:cs="Arial"/>
          <w:lang w:val="sq-AL"/>
        </w:rPr>
        <w:t xml:space="preserve">, ostajući relativno stabilna. Što se tiče </w:t>
      </w:r>
      <w:r w:rsidR="00D92CE1" w:rsidRPr="00D92CE1">
        <w:rPr>
          <w:rFonts w:ascii="Arial" w:hAnsi="Arial" w:cs="Arial"/>
          <w:b/>
          <w:bCs/>
          <w:lang w:val="sq-AL"/>
        </w:rPr>
        <w:t xml:space="preserve">stvaranja </w:t>
      </w:r>
      <w:r w:rsidRPr="002A6F4E">
        <w:rPr>
          <w:rFonts w:ascii="Arial" w:hAnsi="Arial" w:cs="Arial"/>
          <w:b/>
          <w:bCs/>
          <w:lang w:val="sq-AL"/>
        </w:rPr>
        <w:t>otpada po glavi stanovnika, očekuje se da će porasti sa 504 kg/po glavi stanovnika godišnje na 547 kg/ po glavi stanovnika godišnje.</w:t>
      </w:r>
    </w:p>
    <w:p w14:paraId="775D065E" w14:textId="77777777" w:rsidR="00C232D7" w:rsidRDefault="00C232D7" w:rsidP="00C232D7">
      <w:pPr>
        <w:spacing w:before="120" w:after="120" w:line="360" w:lineRule="auto"/>
        <w:rPr>
          <w:rFonts w:ascii="Arial" w:hAnsi="Arial" w:cs="Arial"/>
          <w:lang w:val="sq-AL"/>
        </w:rPr>
      </w:pPr>
      <w:r w:rsidRPr="002A6F4E">
        <w:rPr>
          <w:rFonts w:ascii="Arial" w:hAnsi="Arial" w:cs="Arial"/>
          <w:lang w:val="sq-AL"/>
        </w:rPr>
        <w:t>Što se tiče vrsta komunalnog otpada, u sljedećoj tabeli su prikazane odgovarajuće projekcije.</w:t>
      </w:r>
    </w:p>
    <w:p w14:paraId="7DEB3C33" w14:textId="77777777" w:rsidR="00BF596F" w:rsidRPr="002A6F4E" w:rsidRDefault="00BF596F" w:rsidP="00C232D7">
      <w:pPr>
        <w:spacing w:before="120" w:after="120" w:line="360" w:lineRule="auto"/>
        <w:rPr>
          <w:rFonts w:ascii="Arial" w:hAnsi="Arial" w:cs="Arial"/>
          <w:lang w:val="sq-AL"/>
        </w:rPr>
      </w:pPr>
    </w:p>
    <w:p w14:paraId="46CA379D" w14:textId="42436BD6" w:rsidR="00C232D7" w:rsidRPr="00E75558" w:rsidRDefault="00C232D7" w:rsidP="00C232D7">
      <w:pPr>
        <w:pStyle w:val="Caption"/>
        <w:rPr>
          <w:rFonts w:ascii="Arial" w:hAnsi="Arial" w:cs="Arial"/>
          <w:b w:val="0"/>
          <w:szCs w:val="20"/>
          <w:lang w:val="sq-AL"/>
        </w:rPr>
      </w:pPr>
      <w:bookmarkStart w:id="842" w:name="_Toc114147713"/>
      <w:bookmarkStart w:id="843" w:name="_Toc117607235"/>
      <w:bookmarkStart w:id="844" w:name="_Toc189515609"/>
      <w:bookmarkStart w:id="845" w:name="_Toc190160725"/>
      <w:r w:rsidRPr="00E75558">
        <w:rPr>
          <w:rFonts w:ascii="Arial" w:hAnsi="Arial" w:cs="Arial"/>
          <w:b w:val="0"/>
          <w:szCs w:val="20"/>
          <w:lang w:val="sq-AL"/>
        </w:rPr>
        <w:t xml:space="preserve">Tabela </w:t>
      </w:r>
      <w:r w:rsidRPr="00E75558">
        <w:rPr>
          <w:rFonts w:ascii="Arial" w:hAnsi="Arial" w:cs="Arial"/>
          <w:b w:val="0"/>
          <w:szCs w:val="20"/>
        </w:rPr>
        <w:fldChar w:fldCharType="begin"/>
      </w:r>
      <w:r w:rsidRPr="00E75558">
        <w:rPr>
          <w:rFonts w:ascii="Arial" w:hAnsi="Arial" w:cs="Arial"/>
          <w:b w:val="0"/>
          <w:szCs w:val="20"/>
          <w:lang w:val="sq-AL"/>
        </w:rPr>
        <w:instrText xml:space="preserve"> SEQ Tabela \* ARABIC </w:instrText>
      </w:r>
      <w:r w:rsidRPr="00E75558">
        <w:rPr>
          <w:rFonts w:ascii="Arial" w:hAnsi="Arial" w:cs="Arial"/>
          <w:b w:val="0"/>
          <w:szCs w:val="20"/>
        </w:rPr>
        <w:fldChar w:fldCharType="separate"/>
      </w:r>
      <w:r w:rsidR="007274DA">
        <w:rPr>
          <w:rFonts w:ascii="Arial" w:hAnsi="Arial" w:cs="Arial"/>
          <w:b w:val="0"/>
          <w:noProof/>
          <w:szCs w:val="20"/>
          <w:lang w:val="sq-AL"/>
        </w:rPr>
        <w:t>35</w:t>
      </w:r>
      <w:r w:rsidRPr="00E75558">
        <w:rPr>
          <w:rFonts w:ascii="Arial" w:hAnsi="Arial" w:cs="Arial"/>
          <w:b w:val="0"/>
          <w:szCs w:val="20"/>
        </w:rPr>
        <w:fldChar w:fldCharType="end"/>
      </w:r>
      <w:r w:rsidRPr="00E75558">
        <w:rPr>
          <w:rFonts w:ascii="Arial" w:hAnsi="Arial" w:cs="Arial"/>
          <w:b w:val="0"/>
          <w:szCs w:val="20"/>
          <w:lang w:val="sq-AL"/>
        </w:rPr>
        <w:t xml:space="preserve"> </w:t>
      </w:r>
      <w:bookmarkEnd w:id="842"/>
      <w:bookmarkEnd w:id="843"/>
      <w:r w:rsidRPr="00E75558">
        <w:rPr>
          <w:rFonts w:ascii="Arial" w:hAnsi="Arial" w:cs="Arial"/>
          <w:b w:val="0"/>
          <w:szCs w:val="20"/>
          <w:lang w:val="sq-AL"/>
        </w:rPr>
        <w:t xml:space="preserve">Projekcija </w:t>
      </w:r>
      <w:r w:rsidR="00D92CE1" w:rsidRPr="00D92CE1">
        <w:rPr>
          <w:rFonts w:ascii="Arial" w:hAnsi="Arial" w:cs="Arial"/>
          <w:b w:val="0"/>
          <w:szCs w:val="20"/>
          <w:lang w:val="sq-AL"/>
        </w:rPr>
        <w:t>stvaranja</w:t>
      </w:r>
      <w:r w:rsidRPr="00E75558">
        <w:rPr>
          <w:rFonts w:ascii="Arial" w:hAnsi="Arial" w:cs="Arial"/>
          <w:b w:val="0"/>
          <w:szCs w:val="20"/>
          <w:lang w:val="sq-AL"/>
        </w:rPr>
        <w:t xml:space="preserve"> komunalnog otpada po vrsti otpada</w:t>
      </w:r>
      <w:bookmarkEnd w:id="844"/>
      <w:bookmarkEnd w:id="845"/>
    </w:p>
    <w:tbl>
      <w:tblPr>
        <w:tblW w:w="42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1473"/>
        <w:gridCol w:w="1473"/>
        <w:gridCol w:w="1473"/>
        <w:gridCol w:w="1473"/>
      </w:tblGrid>
      <w:tr w:rsidR="00ED44F7" w:rsidRPr="00E75558" w14:paraId="347D7DAF" w14:textId="77777777" w:rsidTr="00ED44F7">
        <w:trPr>
          <w:trHeight w:val="315"/>
          <w:jc w:val="center"/>
        </w:trPr>
        <w:tc>
          <w:tcPr>
            <w:tcW w:w="1260" w:type="pct"/>
            <w:shd w:val="clear" w:color="auto" w:fill="F2F2F2" w:themeFill="background1" w:themeFillShade="F2"/>
            <w:vAlign w:val="center"/>
          </w:tcPr>
          <w:p w14:paraId="56C4586D" w14:textId="77777777" w:rsidR="00ED44F7" w:rsidRPr="009C3860" w:rsidRDefault="00ED44F7" w:rsidP="00C232D7">
            <w:pPr>
              <w:spacing w:line="360" w:lineRule="auto"/>
              <w:rPr>
                <w:rFonts w:ascii="Arial" w:hAnsi="Arial" w:cs="Arial"/>
                <w:b/>
                <w:color w:val="000000"/>
                <w:sz w:val="16"/>
                <w:lang w:val="sq-AL"/>
              </w:rPr>
            </w:pPr>
            <w:r w:rsidRPr="009C3860">
              <w:rPr>
                <w:rFonts w:ascii="Arial" w:hAnsi="Arial" w:cs="Arial"/>
                <w:b/>
                <w:color w:val="000000"/>
                <w:sz w:val="16"/>
                <w:lang w:val="sq-AL"/>
              </w:rPr>
              <w:t>Vrsta otpada</w:t>
            </w:r>
          </w:p>
        </w:tc>
        <w:tc>
          <w:tcPr>
            <w:tcW w:w="935" w:type="pct"/>
            <w:shd w:val="clear" w:color="auto" w:fill="F2F2F2" w:themeFill="background1" w:themeFillShade="F2"/>
            <w:vAlign w:val="center"/>
          </w:tcPr>
          <w:p w14:paraId="458137FF" w14:textId="77777777" w:rsidR="00ED44F7" w:rsidRPr="009C3860" w:rsidRDefault="00ED44F7" w:rsidP="00C232D7">
            <w:pPr>
              <w:spacing w:line="360" w:lineRule="auto"/>
              <w:rPr>
                <w:rFonts w:ascii="Arial" w:hAnsi="Arial" w:cs="Arial"/>
                <w:b/>
                <w:color w:val="000000"/>
                <w:sz w:val="16"/>
                <w:lang w:val="sq-AL"/>
              </w:rPr>
            </w:pPr>
            <w:r w:rsidRPr="009C3860">
              <w:rPr>
                <w:rFonts w:ascii="Arial" w:hAnsi="Arial" w:cs="Arial"/>
                <w:b/>
                <w:color w:val="000000"/>
                <w:sz w:val="16"/>
                <w:lang w:val="sq-AL"/>
              </w:rPr>
              <w:t>2025</w:t>
            </w:r>
          </w:p>
        </w:tc>
        <w:tc>
          <w:tcPr>
            <w:tcW w:w="935" w:type="pct"/>
            <w:shd w:val="clear" w:color="auto" w:fill="F2F2F2" w:themeFill="background1" w:themeFillShade="F2"/>
            <w:vAlign w:val="center"/>
          </w:tcPr>
          <w:p w14:paraId="094E08C8" w14:textId="77777777" w:rsidR="00ED44F7" w:rsidRPr="009C3860" w:rsidRDefault="00ED44F7" w:rsidP="00C232D7">
            <w:pPr>
              <w:spacing w:line="360" w:lineRule="auto"/>
              <w:rPr>
                <w:rFonts w:ascii="Arial" w:hAnsi="Arial" w:cs="Arial"/>
                <w:b/>
                <w:color w:val="000000"/>
                <w:sz w:val="16"/>
                <w:lang w:val="sq-AL"/>
              </w:rPr>
            </w:pPr>
            <w:r w:rsidRPr="009C3860">
              <w:rPr>
                <w:rFonts w:ascii="Arial" w:hAnsi="Arial" w:cs="Arial"/>
                <w:b/>
                <w:color w:val="000000"/>
                <w:sz w:val="16"/>
                <w:lang w:val="sq-AL"/>
              </w:rPr>
              <w:t>2030</w:t>
            </w:r>
          </w:p>
        </w:tc>
        <w:tc>
          <w:tcPr>
            <w:tcW w:w="935" w:type="pct"/>
            <w:shd w:val="clear" w:color="auto" w:fill="F2F2F2" w:themeFill="background1" w:themeFillShade="F2"/>
            <w:vAlign w:val="center"/>
          </w:tcPr>
          <w:p w14:paraId="11B39DA7" w14:textId="77777777" w:rsidR="00ED44F7" w:rsidRPr="009C3860" w:rsidRDefault="00ED44F7" w:rsidP="00C232D7">
            <w:pPr>
              <w:spacing w:line="360" w:lineRule="auto"/>
              <w:rPr>
                <w:rFonts w:ascii="Arial" w:hAnsi="Arial" w:cs="Arial"/>
                <w:b/>
                <w:color w:val="000000"/>
                <w:sz w:val="16"/>
                <w:lang w:val="sq-AL"/>
              </w:rPr>
            </w:pPr>
            <w:r w:rsidRPr="009C3860">
              <w:rPr>
                <w:rFonts w:ascii="Arial" w:hAnsi="Arial" w:cs="Arial"/>
                <w:b/>
                <w:color w:val="000000"/>
                <w:sz w:val="16"/>
                <w:lang w:val="sq-AL"/>
              </w:rPr>
              <w:t>2035</w:t>
            </w:r>
          </w:p>
        </w:tc>
        <w:tc>
          <w:tcPr>
            <w:tcW w:w="935" w:type="pct"/>
            <w:shd w:val="clear" w:color="auto" w:fill="F2F2F2" w:themeFill="background1" w:themeFillShade="F2"/>
            <w:vAlign w:val="center"/>
          </w:tcPr>
          <w:p w14:paraId="32B3BD9A" w14:textId="77777777" w:rsidR="00ED44F7" w:rsidRPr="009C3860" w:rsidRDefault="00ED44F7" w:rsidP="00C232D7">
            <w:pPr>
              <w:spacing w:line="360" w:lineRule="auto"/>
              <w:rPr>
                <w:rFonts w:ascii="Arial" w:hAnsi="Arial" w:cs="Arial"/>
                <w:b/>
                <w:color w:val="000000"/>
                <w:sz w:val="16"/>
                <w:lang w:val="sq-AL"/>
              </w:rPr>
            </w:pPr>
            <w:r w:rsidRPr="009C3860">
              <w:rPr>
                <w:rFonts w:ascii="Arial" w:hAnsi="Arial" w:cs="Arial"/>
                <w:b/>
                <w:color w:val="000000"/>
                <w:sz w:val="16"/>
                <w:lang w:val="sq-AL"/>
              </w:rPr>
              <w:t>2040</w:t>
            </w:r>
          </w:p>
        </w:tc>
      </w:tr>
      <w:tr w:rsidR="00ED44F7" w:rsidRPr="00E75558" w14:paraId="45C5299A" w14:textId="77777777" w:rsidTr="00ED44F7">
        <w:trPr>
          <w:trHeight w:val="315"/>
          <w:jc w:val="center"/>
        </w:trPr>
        <w:tc>
          <w:tcPr>
            <w:tcW w:w="1260" w:type="pct"/>
            <w:vAlign w:val="center"/>
          </w:tcPr>
          <w:p w14:paraId="4D4B7A04" w14:textId="77777777" w:rsidR="00ED44F7" w:rsidRPr="009C3860" w:rsidRDefault="00ED44F7" w:rsidP="00C232D7">
            <w:pPr>
              <w:spacing w:line="360" w:lineRule="auto"/>
              <w:rPr>
                <w:rFonts w:ascii="Arial" w:hAnsi="Arial" w:cs="Arial"/>
                <w:sz w:val="16"/>
                <w:lang w:val="sq-AL"/>
              </w:rPr>
            </w:pPr>
            <w:r w:rsidRPr="009C3860">
              <w:rPr>
                <w:rFonts w:ascii="Arial" w:hAnsi="Arial" w:cs="Arial"/>
                <w:sz w:val="16"/>
                <w:lang w:val="sq-AL"/>
              </w:rPr>
              <w:t>Domaćinstva</w:t>
            </w:r>
          </w:p>
          <w:p w14:paraId="6394C451" w14:textId="77777777" w:rsidR="00ED44F7" w:rsidRPr="009C3860" w:rsidRDefault="00ED44F7" w:rsidP="00C232D7">
            <w:pPr>
              <w:spacing w:line="360" w:lineRule="auto"/>
              <w:rPr>
                <w:rFonts w:ascii="Arial" w:hAnsi="Arial" w:cs="Arial"/>
                <w:sz w:val="16"/>
                <w:lang w:val="sq-AL"/>
              </w:rPr>
            </w:pPr>
          </w:p>
        </w:tc>
        <w:tc>
          <w:tcPr>
            <w:tcW w:w="935" w:type="pct"/>
            <w:vAlign w:val="center"/>
          </w:tcPr>
          <w:p w14:paraId="5D3C4199" w14:textId="77777777" w:rsidR="00ED44F7" w:rsidRPr="009C3860" w:rsidRDefault="00ED44F7" w:rsidP="00C232D7">
            <w:pPr>
              <w:spacing w:before="40" w:after="40" w:line="360" w:lineRule="auto"/>
              <w:rPr>
                <w:rFonts w:ascii="Arial" w:hAnsi="Arial" w:cs="Arial"/>
                <w:color w:val="000000"/>
                <w:sz w:val="16"/>
                <w:lang w:val="sq-AL"/>
              </w:rPr>
            </w:pPr>
            <w:r w:rsidRPr="009C3860">
              <w:rPr>
                <w:rFonts w:ascii="Arial" w:hAnsi="Arial" w:cs="Arial"/>
                <w:color w:val="000000"/>
                <w:sz w:val="16"/>
              </w:rPr>
              <w:t>211,896</w:t>
            </w:r>
          </w:p>
        </w:tc>
        <w:tc>
          <w:tcPr>
            <w:tcW w:w="935" w:type="pct"/>
            <w:vAlign w:val="center"/>
          </w:tcPr>
          <w:p w14:paraId="6BAD732E" w14:textId="77777777" w:rsidR="00ED44F7" w:rsidRPr="009C3860" w:rsidRDefault="00ED44F7" w:rsidP="00C232D7">
            <w:pPr>
              <w:spacing w:before="40" w:after="40" w:line="360" w:lineRule="auto"/>
              <w:rPr>
                <w:rFonts w:ascii="Arial" w:hAnsi="Arial" w:cs="Arial"/>
                <w:color w:val="000000"/>
                <w:sz w:val="16"/>
                <w:highlight w:val="yellow"/>
                <w:lang w:val="sq-AL"/>
              </w:rPr>
            </w:pPr>
            <w:r w:rsidRPr="009C3860">
              <w:rPr>
                <w:rFonts w:ascii="Arial" w:hAnsi="Arial" w:cs="Arial"/>
                <w:color w:val="000000"/>
                <w:sz w:val="16"/>
              </w:rPr>
              <w:t>217,240</w:t>
            </w:r>
          </w:p>
        </w:tc>
        <w:tc>
          <w:tcPr>
            <w:tcW w:w="935" w:type="pct"/>
            <w:vAlign w:val="center"/>
          </w:tcPr>
          <w:p w14:paraId="78289B6D" w14:textId="77777777" w:rsidR="00ED44F7" w:rsidRPr="009C3860" w:rsidRDefault="00ED44F7" w:rsidP="00C232D7">
            <w:pPr>
              <w:spacing w:before="40" w:after="40" w:line="360" w:lineRule="auto"/>
              <w:rPr>
                <w:rFonts w:ascii="Arial" w:hAnsi="Arial" w:cs="Arial"/>
                <w:color w:val="000000"/>
                <w:sz w:val="16"/>
                <w:highlight w:val="yellow"/>
                <w:lang w:val="sq-AL"/>
              </w:rPr>
            </w:pPr>
            <w:r w:rsidRPr="009C3860">
              <w:rPr>
                <w:rFonts w:ascii="Arial" w:hAnsi="Arial" w:cs="Arial"/>
                <w:color w:val="000000"/>
                <w:sz w:val="16"/>
              </w:rPr>
              <w:t>221,609</w:t>
            </w:r>
          </w:p>
        </w:tc>
        <w:tc>
          <w:tcPr>
            <w:tcW w:w="935" w:type="pct"/>
            <w:vAlign w:val="center"/>
          </w:tcPr>
          <w:p w14:paraId="48DF9E35" w14:textId="77777777" w:rsidR="00ED44F7" w:rsidRPr="009C3860" w:rsidRDefault="00ED44F7" w:rsidP="00C232D7">
            <w:pPr>
              <w:spacing w:before="40" w:after="40" w:line="360" w:lineRule="auto"/>
              <w:rPr>
                <w:rFonts w:ascii="Arial" w:hAnsi="Arial" w:cs="Arial"/>
                <w:color w:val="000000"/>
                <w:sz w:val="16"/>
                <w:highlight w:val="yellow"/>
                <w:lang w:val="sq-AL"/>
              </w:rPr>
            </w:pPr>
            <w:r w:rsidRPr="009C3860">
              <w:rPr>
                <w:rFonts w:ascii="Arial" w:hAnsi="Arial" w:cs="Arial"/>
                <w:color w:val="000000"/>
                <w:sz w:val="16"/>
              </w:rPr>
              <w:t>226,307</w:t>
            </w:r>
          </w:p>
        </w:tc>
      </w:tr>
      <w:tr w:rsidR="00ED44F7" w:rsidRPr="00E75558" w14:paraId="41554425" w14:textId="77777777" w:rsidTr="00ED44F7">
        <w:trPr>
          <w:trHeight w:val="315"/>
          <w:jc w:val="center"/>
        </w:trPr>
        <w:tc>
          <w:tcPr>
            <w:tcW w:w="1260" w:type="pct"/>
            <w:vAlign w:val="center"/>
          </w:tcPr>
          <w:p w14:paraId="37D9C453" w14:textId="77777777" w:rsidR="00ED44F7" w:rsidRPr="009C3860" w:rsidRDefault="00ED44F7" w:rsidP="00C232D7">
            <w:pPr>
              <w:spacing w:line="360" w:lineRule="auto"/>
              <w:rPr>
                <w:rFonts w:ascii="Arial" w:hAnsi="Arial" w:cs="Arial"/>
                <w:sz w:val="16"/>
                <w:lang w:val="sq-AL"/>
              </w:rPr>
            </w:pPr>
            <w:r w:rsidRPr="009C3860">
              <w:rPr>
                <w:rFonts w:ascii="Arial" w:hAnsi="Arial" w:cs="Arial"/>
                <w:sz w:val="16"/>
                <w:lang w:val="sq-AL"/>
              </w:rPr>
              <w:t>Sličan otpad iz trgovine, industrije i turizma</w:t>
            </w:r>
          </w:p>
        </w:tc>
        <w:tc>
          <w:tcPr>
            <w:tcW w:w="935" w:type="pct"/>
            <w:vAlign w:val="center"/>
          </w:tcPr>
          <w:p w14:paraId="384D73A7" w14:textId="77777777" w:rsidR="00ED44F7" w:rsidRPr="009C3860" w:rsidRDefault="00ED44F7" w:rsidP="00C232D7">
            <w:pPr>
              <w:spacing w:before="40" w:after="40" w:line="360" w:lineRule="auto"/>
              <w:rPr>
                <w:rFonts w:ascii="Arial" w:hAnsi="Arial" w:cs="Arial"/>
                <w:color w:val="000000"/>
                <w:sz w:val="16"/>
                <w:lang w:val="sq-AL"/>
              </w:rPr>
            </w:pPr>
            <w:r w:rsidRPr="009C3860">
              <w:rPr>
                <w:rFonts w:ascii="Arial" w:hAnsi="Arial" w:cs="Arial"/>
                <w:color w:val="000000"/>
                <w:sz w:val="16"/>
              </w:rPr>
              <w:t>106,836</w:t>
            </w:r>
          </w:p>
        </w:tc>
        <w:tc>
          <w:tcPr>
            <w:tcW w:w="935" w:type="pct"/>
            <w:vAlign w:val="center"/>
          </w:tcPr>
          <w:p w14:paraId="0E5A9CCC" w14:textId="77777777" w:rsidR="00ED44F7" w:rsidRPr="009C3860" w:rsidRDefault="00ED44F7" w:rsidP="00C232D7">
            <w:pPr>
              <w:spacing w:before="40" w:after="40" w:line="360" w:lineRule="auto"/>
              <w:rPr>
                <w:rFonts w:ascii="Arial" w:hAnsi="Arial" w:cs="Arial"/>
                <w:color w:val="000000"/>
                <w:sz w:val="16"/>
                <w:highlight w:val="yellow"/>
                <w:lang w:val="sq-AL"/>
              </w:rPr>
            </w:pPr>
            <w:r w:rsidRPr="009C3860">
              <w:rPr>
                <w:rFonts w:ascii="Arial" w:hAnsi="Arial" w:cs="Arial"/>
                <w:color w:val="000000"/>
                <w:sz w:val="16"/>
              </w:rPr>
              <w:t>108,464</w:t>
            </w:r>
          </w:p>
        </w:tc>
        <w:tc>
          <w:tcPr>
            <w:tcW w:w="935" w:type="pct"/>
            <w:vAlign w:val="center"/>
          </w:tcPr>
          <w:p w14:paraId="453DEA64" w14:textId="77777777" w:rsidR="00ED44F7" w:rsidRPr="009C3860" w:rsidRDefault="00ED44F7" w:rsidP="00C232D7">
            <w:pPr>
              <w:spacing w:before="40" w:after="40" w:line="360" w:lineRule="auto"/>
              <w:rPr>
                <w:rFonts w:ascii="Arial" w:hAnsi="Arial" w:cs="Arial"/>
                <w:color w:val="000000"/>
                <w:sz w:val="16"/>
                <w:highlight w:val="yellow"/>
                <w:lang w:val="sq-AL"/>
              </w:rPr>
            </w:pPr>
            <w:r w:rsidRPr="009C3860">
              <w:rPr>
                <w:rFonts w:ascii="Arial" w:hAnsi="Arial" w:cs="Arial"/>
                <w:color w:val="000000"/>
                <w:sz w:val="16"/>
              </w:rPr>
              <w:t>109,873</w:t>
            </w:r>
          </w:p>
        </w:tc>
        <w:tc>
          <w:tcPr>
            <w:tcW w:w="935" w:type="pct"/>
            <w:vAlign w:val="center"/>
          </w:tcPr>
          <w:p w14:paraId="7355E594" w14:textId="77777777" w:rsidR="00ED44F7" w:rsidRPr="009C3860" w:rsidRDefault="00ED44F7" w:rsidP="00C232D7">
            <w:pPr>
              <w:spacing w:before="40" w:after="40" w:line="360" w:lineRule="auto"/>
              <w:rPr>
                <w:rFonts w:ascii="Arial" w:hAnsi="Arial" w:cs="Arial"/>
                <w:color w:val="000000"/>
                <w:sz w:val="16"/>
                <w:highlight w:val="yellow"/>
                <w:lang w:val="sq-AL"/>
              </w:rPr>
            </w:pPr>
            <w:r w:rsidRPr="009C3860">
              <w:rPr>
                <w:rFonts w:ascii="Arial" w:hAnsi="Arial" w:cs="Arial"/>
                <w:color w:val="000000"/>
                <w:sz w:val="16"/>
              </w:rPr>
              <w:t>111,428</w:t>
            </w:r>
          </w:p>
        </w:tc>
      </w:tr>
      <w:tr w:rsidR="00ED44F7" w:rsidRPr="00E75558" w14:paraId="45686D6F" w14:textId="77777777" w:rsidTr="00ED44F7">
        <w:trPr>
          <w:trHeight w:val="315"/>
          <w:jc w:val="center"/>
        </w:trPr>
        <w:tc>
          <w:tcPr>
            <w:tcW w:w="1260" w:type="pct"/>
            <w:vAlign w:val="center"/>
          </w:tcPr>
          <w:p w14:paraId="7F241023" w14:textId="77777777" w:rsidR="00ED44F7" w:rsidRPr="009C3860" w:rsidRDefault="00ED44F7" w:rsidP="00C232D7">
            <w:pPr>
              <w:spacing w:line="360" w:lineRule="auto"/>
              <w:rPr>
                <w:rFonts w:ascii="Arial" w:hAnsi="Arial" w:cs="Arial"/>
                <w:sz w:val="16"/>
                <w:lang w:val="sq-AL"/>
              </w:rPr>
            </w:pPr>
            <w:r w:rsidRPr="009C3860">
              <w:rPr>
                <w:rFonts w:ascii="Arial" w:hAnsi="Arial" w:cs="Arial"/>
                <w:sz w:val="16"/>
              </w:rPr>
              <w:t>Otpad iz vrtova i parkova</w:t>
            </w:r>
          </w:p>
        </w:tc>
        <w:tc>
          <w:tcPr>
            <w:tcW w:w="935" w:type="pct"/>
            <w:vAlign w:val="center"/>
          </w:tcPr>
          <w:p w14:paraId="258C009C" w14:textId="77777777" w:rsidR="00ED44F7" w:rsidRPr="009C3860" w:rsidRDefault="00ED44F7" w:rsidP="00C232D7">
            <w:pPr>
              <w:spacing w:before="40" w:after="40" w:line="360" w:lineRule="auto"/>
              <w:rPr>
                <w:rFonts w:ascii="Arial" w:hAnsi="Arial" w:cs="Arial"/>
                <w:color w:val="000000"/>
                <w:sz w:val="16"/>
                <w:highlight w:val="yellow"/>
                <w:lang w:val="sq-AL"/>
              </w:rPr>
            </w:pPr>
            <w:r w:rsidRPr="009C3860">
              <w:rPr>
                <w:rFonts w:ascii="Arial" w:hAnsi="Arial" w:cs="Arial"/>
                <w:color w:val="000000"/>
                <w:sz w:val="16"/>
              </w:rPr>
              <w:t>24,620</w:t>
            </w:r>
          </w:p>
        </w:tc>
        <w:tc>
          <w:tcPr>
            <w:tcW w:w="935" w:type="pct"/>
            <w:vAlign w:val="center"/>
          </w:tcPr>
          <w:p w14:paraId="070017BF" w14:textId="77777777" w:rsidR="00ED44F7" w:rsidRPr="009C3860" w:rsidRDefault="00ED44F7" w:rsidP="00C232D7">
            <w:pPr>
              <w:spacing w:before="40" w:after="40" w:line="360" w:lineRule="auto"/>
              <w:rPr>
                <w:rFonts w:ascii="Arial" w:hAnsi="Arial" w:cs="Arial"/>
                <w:color w:val="000000"/>
                <w:sz w:val="16"/>
                <w:highlight w:val="yellow"/>
                <w:lang w:val="sq-AL"/>
              </w:rPr>
            </w:pPr>
            <w:r w:rsidRPr="009C3860">
              <w:rPr>
                <w:rFonts w:ascii="Arial" w:hAnsi="Arial" w:cs="Arial"/>
                <w:color w:val="000000"/>
                <w:sz w:val="16"/>
              </w:rPr>
              <w:t>25,433</w:t>
            </w:r>
          </w:p>
        </w:tc>
        <w:tc>
          <w:tcPr>
            <w:tcW w:w="935" w:type="pct"/>
            <w:vAlign w:val="center"/>
          </w:tcPr>
          <w:p w14:paraId="299BC145" w14:textId="77777777" w:rsidR="00ED44F7" w:rsidRPr="009C3860" w:rsidRDefault="00ED44F7" w:rsidP="00C232D7">
            <w:pPr>
              <w:spacing w:before="40" w:after="40" w:line="360" w:lineRule="auto"/>
              <w:rPr>
                <w:rFonts w:ascii="Arial" w:hAnsi="Arial" w:cs="Arial"/>
                <w:color w:val="000000"/>
                <w:sz w:val="16"/>
                <w:highlight w:val="yellow"/>
                <w:lang w:val="sq-AL"/>
              </w:rPr>
            </w:pPr>
            <w:r w:rsidRPr="009C3860">
              <w:rPr>
                <w:rFonts w:ascii="Arial" w:hAnsi="Arial" w:cs="Arial"/>
                <w:color w:val="000000"/>
                <w:sz w:val="16"/>
              </w:rPr>
              <w:t>25,138</w:t>
            </w:r>
          </w:p>
        </w:tc>
        <w:tc>
          <w:tcPr>
            <w:tcW w:w="935" w:type="pct"/>
            <w:vAlign w:val="center"/>
          </w:tcPr>
          <w:p w14:paraId="57524776" w14:textId="77777777" w:rsidR="00ED44F7" w:rsidRPr="009C3860" w:rsidRDefault="00ED44F7" w:rsidP="00C232D7">
            <w:pPr>
              <w:spacing w:before="40" w:after="40" w:line="360" w:lineRule="auto"/>
              <w:rPr>
                <w:rFonts w:ascii="Arial" w:hAnsi="Arial" w:cs="Arial"/>
                <w:color w:val="000000"/>
                <w:sz w:val="16"/>
                <w:highlight w:val="yellow"/>
                <w:lang w:val="sq-AL"/>
              </w:rPr>
            </w:pPr>
            <w:r w:rsidRPr="009C3860">
              <w:rPr>
                <w:rFonts w:ascii="Arial" w:hAnsi="Arial" w:cs="Arial"/>
                <w:color w:val="000000"/>
                <w:sz w:val="16"/>
              </w:rPr>
              <w:t>25,574</w:t>
            </w:r>
          </w:p>
        </w:tc>
      </w:tr>
      <w:tr w:rsidR="00ED44F7" w:rsidRPr="00E75558" w14:paraId="12B16E13" w14:textId="77777777" w:rsidTr="00ED44F7">
        <w:trPr>
          <w:trHeight w:val="315"/>
          <w:jc w:val="center"/>
        </w:trPr>
        <w:tc>
          <w:tcPr>
            <w:tcW w:w="1260" w:type="pct"/>
            <w:vAlign w:val="center"/>
          </w:tcPr>
          <w:p w14:paraId="523B0FB1" w14:textId="77777777" w:rsidR="00ED44F7" w:rsidRPr="009C3860" w:rsidRDefault="00ED44F7" w:rsidP="00C232D7">
            <w:pPr>
              <w:spacing w:line="360" w:lineRule="auto"/>
              <w:rPr>
                <w:rFonts w:ascii="Arial" w:hAnsi="Arial" w:cs="Arial"/>
                <w:sz w:val="16"/>
                <w:lang w:val="sq-AL"/>
              </w:rPr>
            </w:pPr>
            <w:r w:rsidRPr="009C3860">
              <w:rPr>
                <w:rFonts w:ascii="Arial" w:hAnsi="Arial" w:cs="Arial"/>
                <w:sz w:val="16"/>
                <w:lang w:val="sq-AL"/>
              </w:rPr>
              <w:t>Otpad sa javnih površina</w:t>
            </w:r>
          </w:p>
        </w:tc>
        <w:tc>
          <w:tcPr>
            <w:tcW w:w="935" w:type="pct"/>
            <w:vAlign w:val="center"/>
          </w:tcPr>
          <w:p w14:paraId="3ED5E75F" w14:textId="77777777" w:rsidR="00ED44F7" w:rsidRPr="009C3860" w:rsidRDefault="00ED44F7" w:rsidP="00C232D7">
            <w:pPr>
              <w:spacing w:before="40" w:after="40" w:line="360" w:lineRule="auto"/>
              <w:rPr>
                <w:rFonts w:ascii="Arial" w:hAnsi="Arial" w:cs="Arial"/>
                <w:color w:val="000000"/>
                <w:sz w:val="16"/>
                <w:lang w:val="sq-AL"/>
              </w:rPr>
            </w:pPr>
            <w:r w:rsidRPr="009C3860">
              <w:rPr>
                <w:rFonts w:ascii="Arial" w:hAnsi="Arial" w:cs="Arial"/>
                <w:color w:val="000000"/>
                <w:sz w:val="16"/>
              </w:rPr>
              <w:t>11,514</w:t>
            </w:r>
          </w:p>
        </w:tc>
        <w:tc>
          <w:tcPr>
            <w:tcW w:w="935" w:type="pct"/>
            <w:vAlign w:val="center"/>
          </w:tcPr>
          <w:p w14:paraId="2F19FAD5" w14:textId="77777777" w:rsidR="00ED44F7" w:rsidRPr="009C3860" w:rsidRDefault="00ED44F7" w:rsidP="00C232D7">
            <w:pPr>
              <w:spacing w:before="40" w:after="40" w:line="360" w:lineRule="auto"/>
              <w:rPr>
                <w:rFonts w:ascii="Arial" w:hAnsi="Arial" w:cs="Arial"/>
                <w:color w:val="000000"/>
                <w:sz w:val="16"/>
                <w:lang w:val="sq-AL"/>
              </w:rPr>
            </w:pPr>
            <w:r w:rsidRPr="009C3860">
              <w:rPr>
                <w:rFonts w:ascii="Arial" w:hAnsi="Arial" w:cs="Arial"/>
                <w:color w:val="000000"/>
                <w:sz w:val="16"/>
              </w:rPr>
              <w:t>12,279</w:t>
            </w:r>
          </w:p>
        </w:tc>
        <w:tc>
          <w:tcPr>
            <w:tcW w:w="935" w:type="pct"/>
            <w:vAlign w:val="center"/>
          </w:tcPr>
          <w:p w14:paraId="12B8969F" w14:textId="77777777" w:rsidR="00ED44F7" w:rsidRPr="009C3860" w:rsidRDefault="00ED44F7" w:rsidP="00C232D7">
            <w:pPr>
              <w:spacing w:before="40" w:after="40" w:line="360" w:lineRule="auto"/>
              <w:rPr>
                <w:rFonts w:ascii="Arial" w:hAnsi="Arial" w:cs="Arial"/>
                <w:color w:val="000000"/>
                <w:sz w:val="16"/>
                <w:lang w:val="sq-AL"/>
              </w:rPr>
            </w:pPr>
            <w:r w:rsidRPr="009C3860">
              <w:rPr>
                <w:rFonts w:ascii="Arial" w:hAnsi="Arial" w:cs="Arial"/>
                <w:color w:val="000000"/>
                <w:sz w:val="16"/>
              </w:rPr>
              <w:t>12,353</w:t>
            </w:r>
          </w:p>
        </w:tc>
        <w:tc>
          <w:tcPr>
            <w:tcW w:w="935" w:type="pct"/>
            <w:vAlign w:val="center"/>
          </w:tcPr>
          <w:p w14:paraId="4E77120D" w14:textId="77777777" w:rsidR="00ED44F7" w:rsidRPr="009C3860" w:rsidRDefault="00ED44F7" w:rsidP="00C232D7">
            <w:pPr>
              <w:spacing w:before="40" w:after="40" w:line="360" w:lineRule="auto"/>
              <w:rPr>
                <w:rFonts w:ascii="Arial" w:hAnsi="Arial" w:cs="Arial"/>
                <w:color w:val="000000"/>
                <w:sz w:val="16"/>
                <w:lang w:val="sq-AL"/>
              </w:rPr>
            </w:pPr>
            <w:r w:rsidRPr="009C3860">
              <w:rPr>
                <w:rFonts w:ascii="Arial" w:hAnsi="Arial" w:cs="Arial"/>
                <w:color w:val="000000"/>
                <w:sz w:val="16"/>
              </w:rPr>
              <w:t>12,446</w:t>
            </w:r>
          </w:p>
        </w:tc>
      </w:tr>
      <w:tr w:rsidR="00ED44F7" w:rsidRPr="00E75558" w14:paraId="5CD500F5" w14:textId="77777777" w:rsidTr="00ED44F7">
        <w:trPr>
          <w:trHeight w:val="286"/>
          <w:jc w:val="center"/>
        </w:trPr>
        <w:tc>
          <w:tcPr>
            <w:tcW w:w="1260" w:type="pct"/>
            <w:vAlign w:val="bottom"/>
          </w:tcPr>
          <w:p w14:paraId="3BD89077" w14:textId="77777777" w:rsidR="00ED44F7" w:rsidRPr="009C3860" w:rsidRDefault="00ED44F7" w:rsidP="00C232D7">
            <w:pPr>
              <w:spacing w:line="360" w:lineRule="auto"/>
              <w:rPr>
                <w:rFonts w:ascii="Arial" w:hAnsi="Arial" w:cs="Arial"/>
                <w:b/>
                <w:bCs/>
                <w:sz w:val="16"/>
                <w:lang w:val="sq-AL"/>
              </w:rPr>
            </w:pPr>
            <w:r w:rsidRPr="009C3860">
              <w:rPr>
                <w:rFonts w:ascii="Arial" w:hAnsi="Arial" w:cs="Arial"/>
                <w:b/>
                <w:bCs/>
                <w:sz w:val="16"/>
                <w:lang w:val="sq-AL"/>
              </w:rPr>
              <w:t>Ukupno</w:t>
            </w:r>
          </w:p>
        </w:tc>
        <w:tc>
          <w:tcPr>
            <w:tcW w:w="935" w:type="pct"/>
            <w:vAlign w:val="center"/>
          </w:tcPr>
          <w:p w14:paraId="7E2AFC98" w14:textId="77777777" w:rsidR="00ED44F7" w:rsidRPr="009C3860" w:rsidRDefault="00ED44F7" w:rsidP="00C232D7">
            <w:pPr>
              <w:spacing w:before="40" w:after="40" w:line="360" w:lineRule="auto"/>
              <w:rPr>
                <w:rFonts w:ascii="Arial" w:hAnsi="Arial" w:cs="Arial"/>
                <w:b/>
                <w:bCs/>
                <w:color w:val="000000"/>
                <w:sz w:val="16"/>
                <w:highlight w:val="yellow"/>
                <w:lang w:val="sq-AL"/>
              </w:rPr>
            </w:pPr>
            <w:r w:rsidRPr="009C3860">
              <w:rPr>
                <w:rFonts w:ascii="Arial" w:hAnsi="Arial" w:cs="Arial"/>
                <w:b/>
                <w:bCs/>
                <w:color w:val="000000"/>
                <w:sz w:val="16"/>
              </w:rPr>
              <w:t>338,759</w:t>
            </w:r>
          </w:p>
        </w:tc>
        <w:tc>
          <w:tcPr>
            <w:tcW w:w="935" w:type="pct"/>
            <w:vAlign w:val="center"/>
          </w:tcPr>
          <w:p w14:paraId="52294B7A" w14:textId="77777777" w:rsidR="00ED44F7" w:rsidRPr="009C3860" w:rsidRDefault="00ED44F7" w:rsidP="00C232D7">
            <w:pPr>
              <w:spacing w:before="40" w:after="40" w:line="360" w:lineRule="auto"/>
              <w:rPr>
                <w:rFonts w:ascii="Arial" w:hAnsi="Arial" w:cs="Arial"/>
                <w:b/>
                <w:bCs/>
                <w:color w:val="000000"/>
                <w:sz w:val="16"/>
                <w:highlight w:val="yellow"/>
                <w:lang w:val="sq-AL"/>
              </w:rPr>
            </w:pPr>
            <w:r w:rsidRPr="009C3860">
              <w:rPr>
                <w:rFonts w:ascii="Arial" w:hAnsi="Arial" w:cs="Arial"/>
                <w:b/>
                <w:bCs/>
                <w:color w:val="000000"/>
                <w:sz w:val="16"/>
              </w:rPr>
              <w:t>356,444</w:t>
            </w:r>
          </w:p>
        </w:tc>
        <w:tc>
          <w:tcPr>
            <w:tcW w:w="935" w:type="pct"/>
            <w:vAlign w:val="center"/>
          </w:tcPr>
          <w:p w14:paraId="154175B1" w14:textId="77777777" w:rsidR="00ED44F7" w:rsidRPr="009C3860" w:rsidRDefault="00ED44F7" w:rsidP="00C232D7">
            <w:pPr>
              <w:spacing w:before="40" w:after="40" w:line="360" w:lineRule="auto"/>
              <w:rPr>
                <w:rFonts w:ascii="Arial" w:hAnsi="Arial" w:cs="Arial"/>
                <w:b/>
                <w:bCs/>
                <w:color w:val="000000"/>
                <w:sz w:val="16"/>
                <w:highlight w:val="yellow"/>
                <w:lang w:val="sq-AL"/>
              </w:rPr>
            </w:pPr>
            <w:r w:rsidRPr="009C3860">
              <w:rPr>
                <w:rFonts w:ascii="Arial" w:hAnsi="Arial" w:cs="Arial"/>
                <w:b/>
                <w:bCs/>
                <w:color w:val="000000"/>
                <w:sz w:val="16"/>
              </w:rPr>
              <w:t>363,195</w:t>
            </w:r>
          </w:p>
        </w:tc>
        <w:tc>
          <w:tcPr>
            <w:tcW w:w="935" w:type="pct"/>
            <w:vAlign w:val="center"/>
          </w:tcPr>
          <w:p w14:paraId="0B4CD022" w14:textId="77777777" w:rsidR="00ED44F7" w:rsidRPr="009C3860" w:rsidRDefault="00ED44F7" w:rsidP="00C232D7">
            <w:pPr>
              <w:spacing w:before="40" w:after="40" w:line="360" w:lineRule="auto"/>
              <w:rPr>
                <w:rFonts w:ascii="Arial" w:hAnsi="Arial" w:cs="Arial"/>
                <w:b/>
                <w:bCs/>
                <w:color w:val="000000"/>
                <w:sz w:val="16"/>
                <w:highlight w:val="yellow"/>
                <w:lang w:val="sq-AL"/>
              </w:rPr>
            </w:pPr>
            <w:r w:rsidRPr="009C3860">
              <w:rPr>
                <w:rFonts w:ascii="Arial" w:hAnsi="Arial" w:cs="Arial"/>
                <w:b/>
                <w:bCs/>
                <w:color w:val="000000"/>
                <w:sz w:val="16"/>
              </w:rPr>
              <w:t>369,501</w:t>
            </w:r>
          </w:p>
        </w:tc>
      </w:tr>
    </w:tbl>
    <w:p w14:paraId="44716EDB" w14:textId="77777777" w:rsidR="00BF596F" w:rsidRDefault="00BF596F" w:rsidP="004E0BD6">
      <w:pPr>
        <w:spacing w:before="120" w:after="120" w:line="360" w:lineRule="auto"/>
        <w:rPr>
          <w:rFonts w:ascii="Arial" w:hAnsi="Arial" w:cs="Arial"/>
          <w:lang w:val="sq-AL"/>
        </w:rPr>
      </w:pPr>
    </w:p>
    <w:p w14:paraId="1C389DFF" w14:textId="67E1D212" w:rsidR="0080611B" w:rsidRDefault="00C232D7" w:rsidP="004E0BD6">
      <w:pPr>
        <w:spacing w:before="120" w:after="120" w:line="360" w:lineRule="auto"/>
        <w:rPr>
          <w:rFonts w:ascii="Arial" w:hAnsi="Arial" w:cs="Arial"/>
          <w:lang w:val="sq-AL"/>
        </w:rPr>
      </w:pPr>
      <w:r w:rsidRPr="002A6F4E">
        <w:rPr>
          <w:rFonts w:ascii="Arial" w:hAnsi="Arial" w:cs="Arial"/>
          <w:lang w:val="sq-AL"/>
        </w:rPr>
        <w:t>Povećanje recikla</w:t>
      </w:r>
      <w:r w:rsidR="006154A8">
        <w:rPr>
          <w:rFonts w:ascii="Arial" w:hAnsi="Arial" w:cs="Arial"/>
          <w:lang w:val="sq-AL"/>
        </w:rPr>
        <w:t>bilne</w:t>
      </w:r>
      <w:r w:rsidRPr="002A6F4E">
        <w:rPr>
          <w:rFonts w:ascii="Arial" w:hAnsi="Arial" w:cs="Arial"/>
          <w:lang w:val="sq-AL"/>
        </w:rPr>
        <w:t xml:space="preserve"> frakcije otpada po glavi stanovnika, u narednih 20 godina, biće oko 24%. Pod pretpostavkom </w:t>
      </w:r>
      <w:r w:rsidR="00DD561F">
        <w:rPr>
          <w:rFonts w:ascii="Arial" w:hAnsi="Arial" w:cs="Arial"/>
          <w:lang w:val="sq-AL"/>
        </w:rPr>
        <w:t>planiranih</w:t>
      </w:r>
      <w:r w:rsidRPr="002A6F4E">
        <w:rPr>
          <w:rFonts w:ascii="Arial" w:hAnsi="Arial" w:cs="Arial"/>
          <w:lang w:val="sq-AL"/>
        </w:rPr>
        <w:t xml:space="preserve"> promjena, u sljedećoj tabeli i na slici prikazan</w:t>
      </w:r>
      <w:r w:rsidR="00DD561F">
        <w:rPr>
          <w:rFonts w:ascii="Arial" w:hAnsi="Arial" w:cs="Arial"/>
          <w:lang w:val="sq-AL"/>
        </w:rPr>
        <w:t xml:space="preserve">a je projekcija </w:t>
      </w:r>
      <w:r w:rsidRPr="002A6F4E">
        <w:rPr>
          <w:rFonts w:ascii="Arial" w:hAnsi="Arial" w:cs="Arial"/>
          <w:lang w:val="sq-AL"/>
        </w:rPr>
        <w:t>sastava otpada za 2025, 2030. i 2040. godinu.</w:t>
      </w:r>
      <w:bookmarkStart w:id="846" w:name="_Toc114147714"/>
      <w:bookmarkStart w:id="847" w:name="_Toc117607236"/>
    </w:p>
    <w:p w14:paraId="4EB6AAFD" w14:textId="77777777" w:rsidR="00BF596F" w:rsidRDefault="00BF596F" w:rsidP="004E0BD6">
      <w:pPr>
        <w:spacing w:before="120" w:after="120" w:line="360" w:lineRule="auto"/>
        <w:rPr>
          <w:rFonts w:ascii="Arial" w:hAnsi="Arial" w:cs="Arial"/>
          <w:lang w:val="sq-AL"/>
        </w:rPr>
      </w:pPr>
    </w:p>
    <w:p w14:paraId="3F02D33A" w14:textId="77777777" w:rsidR="00BF596F" w:rsidRDefault="00BF596F" w:rsidP="004E0BD6">
      <w:pPr>
        <w:spacing w:before="120" w:after="120" w:line="360" w:lineRule="auto"/>
        <w:rPr>
          <w:rFonts w:ascii="Arial" w:hAnsi="Arial" w:cs="Arial"/>
          <w:lang w:val="sq-AL"/>
        </w:rPr>
      </w:pPr>
    </w:p>
    <w:p w14:paraId="3A2480A2" w14:textId="77777777" w:rsidR="00BF596F" w:rsidRDefault="00BF596F" w:rsidP="004E0BD6">
      <w:pPr>
        <w:spacing w:before="120" w:after="120" w:line="360" w:lineRule="auto"/>
        <w:rPr>
          <w:rFonts w:ascii="Arial" w:hAnsi="Arial" w:cs="Arial"/>
          <w:lang w:val="sq-AL"/>
        </w:rPr>
      </w:pPr>
    </w:p>
    <w:p w14:paraId="28F339DB" w14:textId="77777777" w:rsidR="00BF596F" w:rsidRDefault="00BF596F" w:rsidP="004E0BD6">
      <w:pPr>
        <w:spacing w:before="120" w:after="120" w:line="360" w:lineRule="auto"/>
        <w:rPr>
          <w:rFonts w:ascii="Arial" w:hAnsi="Arial" w:cs="Arial"/>
          <w:lang w:val="sq-AL"/>
        </w:rPr>
      </w:pPr>
    </w:p>
    <w:p w14:paraId="66F126FA" w14:textId="77777777" w:rsidR="00BF596F" w:rsidRDefault="00BF596F" w:rsidP="004E0BD6">
      <w:pPr>
        <w:spacing w:before="120" w:after="120" w:line="360" w:lineRule="auto"/>
        <w:rPr>
          <w:rFonts w:ascii="Arial" w:hAnsi="Arial" w:cs="Arial"/>
          <w:lang w:val="sq-AL"/>
        </w:rPr>
      </w:pPr>
    </w:p>
    <w:p w14:paraId="1CF9DD92" w14:textId="77777777" w:rsidR="00BF596F" w:rsidRPr="00DD561F" w:rsidRDefault="00BF596F" w:rsidP="004E0BD6">
      <w:pPr>
        <w:spacing w:before="120" w:after="120" w:line="360" w:lineRule="auto"/>
        <w:rPr>
          <w:rFonts w:ascii="Arial" w:hAnsi="Arial" w:cs="Arial"/>
          <w:lang w:val="sq-AL"/>
        </w:rPr>
      </w:pPr>
    </w:p>
    <w:p w14:paraId="418FE1C6" w14:textId="20B5D7AA" w:rsidR="00C232D7" w:rsidRPr="00E75558" w:rsidRDefault="00C232D7" w:rsidP="00C232D7">
      <w:pPr>
        <w:pStyle w:val="Caption"/>
        <w:rPr>
          <w:rFonts w:ascii="Arial" w:hAnsi="Arial" w:cs="Arial"/>
          <w:b w:val="0"/>
          <w:lang w:val="sq-AL"/>
        </w:rPr>
      </w:pPr>
      <w:bookmarkStart w:id="848" w:name="_Toc189515610"/>
      <w:bookmarkStart w:id="849" w:name="_Toc190160726"/>
      <w:r w:rsidRPr="00E75558">
        <w:rPr>
          <w:rFonts w:ascii="Arial" w:hAnsi="Arial" w:cs="Arial"/>
          <w:b w:val="0"/>
          <w:lang w:val="sq-AL"/>
        </w:rPr>
        <w:lastRenderedPageBreak/>
        <w:t xml:space="preserve">Tabela </w:t>
      </w:r>
      <w:r w:rsidRPr="00E75558">
        <w:rPr>
          <w:rFonts w:ascii="Arial" w:hAnsi="Arial" w:cs="Arial"/>
          <w:b w:val="0"/>
        </w:rPr>
        <w:fldChar w:fldCharType="begin"/>
      </w:r>
      <w:r w:rsidRPr="00E75558">
        <w:rPr>
          <w:rFonts w:ascii="Arial" w:hAnsi="Arial" w:cs="Arial"/>
          <w:b w:val="0"/>
          <w:lang w:val="sq-AL"/>
        </w:rPr>
        <w:instrText xml:space="preserve"> SEQ Tabela \* ARABIC </w:instrText>
      </w:r>
      <w:r w:rsidRPr="00E75558">
        <w:rPr>
          <w:rFonts w:ascii="Arial" w:hAnsi="Arial" w:cs="Arial"/>
          <w:b w:val="0"/>
        </w:rPr>
        <w:fldChar w:fldCharType="separate"/>
      </w:r>
      <w:r w:rsidR="007274DA">
        <w:rPr>
          <w:rFonts w:ascii="Arial" w:hAnsi="Arial" w:cs="Arial"/>
          <w:b w:val="0"/>
          <w:noProof/>
          <w:lang w:val="sq-AL"/>
        </w:rPr>
        <w:t>36</w:t>
      </w:r>
      <w:r w:rsidRPr="00E75558">
        <w:rPr>
          <w:rFonts w:ascii="Arial" w:hAnsi="Arial" w:cs="Arial"/>
          <w:b w:val="0"/>
        </w:rPr>
        <w:fldChar w:fldCharType="end"/>
      </w:r>
      <w:r w:rsidRPr="00E75558">
        <w:rPr>
          <w:rFonts w:ascii="Arial" w:hAnsi="Arial" w:cs="Arial"/>
          <w:b w:val="0"/>
          <w:lang w:val="sq-AL"/>
        </w:rPr>
        <w:t xml:space="preserve"> </w:t>
      </w:r>
      <w:bookmarkEnd w:id="846"/>
      <w:bookmarkEnd w:id="847"/>
      <w:r w:rsidRPr="00E75558">
        <w:rPr>
          <w:rFonts w:ascii="Arial" w:hAnsi="Arial" w:cs="Arial"/>
          <w:b w:val="0"/>
          <w:lang w:val="sq-AL"/>
        </w:rPr>
        <w:t>Projekcija sastava otpada u Crnoj Gori</w:t>
      </w:r>
      <w:bookmarkEnd w:id="848"/>
      <w:bookmarkEnd w:id="849"/>
    </w:p>
    <w:tbl>
      <w:tblPr>
        <w:tblW w:w="40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968"/>
        <w:gridCol w:w="1132"/>
        <w:gridCol w:w="9"/>
        <w:gridCol w:w="967"/>
        <w:gridCol w:w="1128"/>
        <w:gridCol w:w="9"/>
        <w:gridCol w:w="967"/>
        <w:gridCol w:w="1125"/>
        <w:gridCol w:w="8"/>
      </w:tblGrid>
      <w:tr w:rsidR="00C232D7" w:rsidRPr="00E75558" w14:paraId="5B313170" w14:textId="77777777" w:rsidTr="00C232D7">
        <w:trPr>
          <w:gridAfter w:val="1"/>
          <w:wAfter w:w="5" w:type="pct"/>
          <w:trHeight w:val="315"/>
          <w:tblHeader/>
          <w:jc w:val="center"/>
        </w:trPr>
        <w:tc>
          <w:tcPr>
            <w:tcW w:w="808" w:type="pct"/>
            <w:vMerge w:val="restart"/>
            <w:shd w:val="clear" w:color="auto" w:fill="F2F2F2" w:themeFill="background1" w:themeFillShade="F2"/>
            <w:vAlign w:val="center"/>
          </w:tcPr>
          <w:p w14:paraId="47D54BAF" w14:textId="77777777" w:rsidR="00C232D7" w:rsidRPr="00E75558" w:rsidRDefault="00C232D7" w:rsidP="00C232D7">
            <w:pPr>
              <w:spacing w:line="360" w:lineRule="auto"/>
              <w:rPr>
                <w:rFonts w:ascii="Arial" w:hAnsi="Arial" w:cs="Arial"/>
                <w:b/>
                <w:sz w:val="18"/>
                <w:szCs w:val="18"/>
                <w:lang w:val="sq-AL"/>
              </w:rPr>
            </w:pPr>
            <w:r w:rsidRPr="00E75558">
              <w:rPr>
                <w:rFonts w:ascii="Arial" w:hAnsi="Arial" w:cs="Arial"/>
                <w:b/>
                <w:sz w:val="18"/>
                <w:szCs w:val="18"/>
                <w:lang w:val="sq-AL"/>
              </w:rPr>
              <w:t>Frakcija</w:t>
            </w:r>
          </w:p>
        </w:tc>
        <w:tc>
          <w:tcPr>
            <w:tcW w:w="1395" w:type="pct"/>
            <w:gridSpan w:val="2"/>
            <w:shd w:val="clear" w:color="auto" w:fill="F2F2F2" w:themeFill="background1" w:themeFillShade="F2"/>
          </w:tcPr>
          <w:p w14:paraId="5CC561D9" w14:textId="77777777" w:rsidR="00C232D7" w:rsidRPr="00E75558" w:rsidRDefault="00C232D7" w:rsidP="00C232D7">
            <w:pPr>
              <w:spacing w:line="360" w:lineRule="auto"/>
              <w:rPr>
                <w:rFonts w:ascii="Arial" w:hAnsi="Arial" w:cs="Arial"/>
                <w:b/>
                <w:color w:val="000000"/>
                <w:sz w:val="18"/>
                <w:szCs w:val="18"/>
                <w:lang w:val="sq-AL"/>
              </w:rPr>
            </w:pPr>
            <w:r w:rsidRPr="00E75558">
              <w:rPr>
                <w:rFonts w:ascii="Arial" w:hAnsi="Arial" w:cs="Arial"/>
                <w:b/>
                <w:color w:val="000000"/>
                <w:sz w:val="18"/>
                <w:szCs w:val="18"/>
                <w:lang w:val="sq-AL"/>
              </w:rPr>
              <w:t>2025</w:t>
            </w:r>
          </w:p>
        </w:tc>
        <w:tc>
          <w:tcPr>
            <w:tcW w:w="1397" w:type="pct"/>
            <w:gridSpan w:val="3"/>
            <w:shd w:val="clear" w:color="auto" w:fill="F2F2F2" w:themeFill="background1" w:themeFillShade="F2"/>
          </w:tcPr>
          <w:p w14:paraId="1B47A38B" w14:textId="77777777" w:rsidR="00C232D7" w:rsidRPr="00E75558" w:rsidRDefault="00C232D7" w:rsidP="00C232D7">
            <w:pPr>
              <w:spacing w:line="360" w:lineRule="auto"/>
              <w:rPr>
                <w:rFonts w:ascii="Arial" w:hAnsi="Arial" w:cs="Arial"/>
                <w:b/>
                <w:color w:val="000000"/>
                <w:sz w:val="18"/>
                <w:szCs w:val="18"/>
                <w:lang w:val="sq-AL"/>
              </w:rPr>
            </w:pPr>
            <w:r w:rsidRPr="00E75558">
              <w:rPr>
                <w:rFonts w:ascii="Arial" w:hAnsi="Arial" w:cs="Arial"/>
                <w:b/>
                <w:color w:val="000000"/>
                <w:sz w:val="18"/>
                <w:szCs w:val="18"/>
                <w:lang w:val="sq-AL"/>
              </w:rPr>
              <w:t>2030</w:t>
            </w:r>
          </w:p>
        </w:tc>
        <w:tc>
          <w:tcPr>
            <w:tcW w:w="1395" w:type="pct"/>
            <w:gridSpan w:val="3"/>
            <w:shd w:val="clear" w:color="auto" w:fill="F2F2F2" w:themeFill="background1" w:themeFillShade="F2"/>
          </w:tcPr>
          <w:p w14:paraId="2659B994" w14:textId="77777777" w:rsidR="00C232D7" w:rsidRPr="00E75558" w:rsidRDefault="00C232D7" w:rsidP="00C232D7">
            <w:pPr>
              <w:spacing w:line="360" w:lineRule="auto"/>
              <w:rPr>
                <w:rFonts w:ascii="Arial" w:hAnsi="Arial" w:cs="Arial"/>
                <w:b/>
                <w:color w:val="000000"/>
                <w:sz w:val="18"/>
                <w:szCs w:val="18"/>
                <w:lang w:val="sq-AL"/>
              </w:rPr>
            </w:pPr>
            <w:r w:rsidRPr="00E75558">
              <w:rPr>
                <w:rFonts w:ascii="Arial" w:hAnsi="Arial" w:cs="Arial"/>
                <w:b/>
                <w:color w:val="000000"/>
                <w:sz w:val="18"/>
                <w:szCs w:val="18"/>
                <w:lang w:val="sq-AL"/>
              </w:rPr>
              <w:t>2040</w:t>
            </w:r>
          </w:p>
        </w:tc>
      </w:tr>
      <w:tr w:rsidR="00C232D7" w:rsidRPr="00E75558" w14:paraId="50CB7F47" w14:textId="77777777" w:rsidTr="00C232D7">
        <w:trPr>
          <w:trHeight w:val="315"/>
          <w:tblHeader/>
          <w:jc w:val="center"/>
        </w:trPr>
        <w:tc>
          <w:tcPr>
            <w:tcW w:w="808" w:type="pct"/>
            <w:vMerge/>
            <w:shd w:val="clear" w:color="auto" w:fill="F2F2F2" w:themeFill="background1" w:themeFillShade="F2"/>
            <w:vAlign w:val="center"/>
          </w:tcPr>
          <w:p w14:paraId="09428B41" w14:textId="77777777" w:rsidR="00C232D7" w:rsidRPr="00E75558" w:rsidRDefault="00C232D7" w:rsidP="00C232D7">
            <w:pPr>
              <w:spacing w:line="360" w:lineRule="auto"/>
              <w:rPr>
                <w:rFonts w:ascii="Arial" w:hAnsi="Arial" w:cs="Arial"/>
                <w:b/>
                <w:color w:val="000000"/>
                <w:sz w:val="18"/>
                <w:szCs w:val="18"/>
                <w:lang w:val="sq-AL"/>
              </w:rPr>
            </w:pPr>
          </w:p>
        </w:tc>
        <w:tc>
          <w:tcPr>
            <w:tcW w:w="643" w:type="pct"/>
            <w:shd w:val="clear" w:color="auto" w:fill="F2F2F2" w:themeFill="background1" w:themeFillShade="F2"/>
            <w:vAlign w:val="center"/>
          </w:tcPr>
          <w:p w14:paraId="58E4EFDD" w14:textId="77777777" w:rsidR="00C232D7" w:rsidRPr="00E75558" w:rsidRDefault="00C232D7" w:rsidP="00C232D7">
            <w:pPr>
              <w:spacing w:line="360" w:lineRule="auto"/>
              <w:rPr>
                <w:rFonts w:ascii="Arial" w:hAnsi="Arial" w:cs="Arial"/>
                <w:b/>
                <w:color w:val="000000"/>
                <w:sz w:val="18"/>
                <w:szCs w:val="18"/>
                <w:lang w:val="sq-AL"/>
              </w:rPr>
            </w:pPr>
            <w:r w:rsidRPr="00E75558">
              <w:rPr>
                <w:rFonts w:ascii="Arial" w:hAnsi="Arial" w:cs="Arial"/>
                <w:b/>
                <w:color w:val="000000"/>
                <w:sz w:val="18"/>
                <w:szCs w:val="18"/>
                <w:lang w:val="sq-AL"/>
              </w:rPr>
              <w:t>% komun.</w:t>
            </w:r>
          </w:p>
          <w:p w14:paraId="61D2D46A" w14:textId="77777777" w:rsidR="00C232D7" w:rsidRPr="00E75558" w:rsidRDefault="00C232D7" w:rsidP="00C232D7">
            <w:pPr>
              <w:spacing w:line="360" w:lineRule="auto"/>
              <w:rPr>
                <w:rFonts w:ascii="Arial" w:hAnsi="Arial" w:cs="Arial"/>
                <w:b/>
                <w:color w:val="000000"/>
                <w:sz w:val="18"/>
                <w:szCs w:val="18"/>
                <w:lang w:val="sq-AL"/>
              </w:rPr>
            </w:pPr>
            <w:r w:rsidRPr="00E75558">
              <w:rPr>
                <w:rFonts w:ascii="Arial" w:hAnsi="Arial" w:cs="Arial"/>
                <w:b/>
                <w:color w:val="000000"/>
                <w:sz w:val="18"/>
                <w:szCs w:val="18"/>
                <w:lang w:val="sq-AL"/>
              </w:rPr>
              <w:t>otpada</w:t>
            </w:r>
          </w:p>
        </w:tc>
        <w:tc>
          <w:tcPr>
            <w:tcW w:w="758" w:type="pct"/>
            <w:gridSpan w:val="2"/>
            <w:shd w:val="clear" w:color="auto" w:fill="F2F2F2" w:themeFill="background1" w:themeFillShade="F2"/>
            <w:vAlign w:val="center"/>
          </w:tcPr>
          <w:p w14:paraId="702BCC42" w14:textId="77777777" w:rsidR="00C232D7" w:rsidRPr="00E75558" w:rsidRDefault="00C232D7" w:rsidP="00C232D7">
            <w:pPr>
              <w:spacing w:line="360" w:lineRule="auto"/>
              <w:rPr>
                <w:rFonts w:ascii="Arial" w:hAnsi="Arial" w:cs="Arial"/>
                <w:b/>
                <w:color w:val="000000"/>
                <w:sz w:val="18"/>
                <w:szCs w:val="18"/>
                <w:lang w:val="sq-AL"/>
              </w:rPr>
            </w:pPr>
            <w:r w:rsidRPr="00E75558">
              <w:rPr>
                <w:rFonts w:ascii="Arial" w:hAnsi="Arial" w:cs="Arial"/>
                <w:b/>
                <w:color w:val="000000"/>
                <w:sz w:val="18"/>
                <w:szCs w:val="18"/>
                <w:lang w:val="sq-AL"/>
              </w:rPr>
              <w:t xml:space="preserve">t/god </w:t>
            </w:r>
          </w:p>
        </w:tc>
        <w:tc>
          <w:tcPr>
            <w:tcW w:w="642" w:type="pct"/>
            <w:shd w:val="clear" w:color="auto" w:fill="F2F2F2" w:themeFill="background1" w:themeFillShade="F2"/>
            <w:vAlign w:val="center"/>
          </w:tcPr>
          <w:p w14:paraId="5B47F371" w14:textId="77777777" w:rsidR="00C232D7" w:rsidRPr="00E75558" w:rsidRDefault="00C232D7" w:rsidP="00C232D7">
            <w:pPr>
              <w:spacing w:line="360" w:lineRule="auto"/>
              <w:rPr>
                <w:rFonts w:ascii="Arial" w:hAnsi="Arial" w:cs="Arial"/>
                <w:b/>
                <w:color w:val="000000"/>
                <w:sz w:val="18"/>
                <w:szCs w:val="18"/>
                <w:lang w:val="sq-AL"/>
              </w:rPr>
            </w:pPr>
            <w:r w:rsidRPr="00E75558">
              <w:rPr>
                <w:rFonts w:ascii="Arial" w:hAnsi="Arial" w:cs="Arial"/>
                <w:b/>
                <w:color w:val="000000"/>
                <w:sz w:val="18"/>
                <w:szCs w:val="18"/>
                <w:lang w:val="sq-AL"/>
              </w:rPr>
              <w:t>% komun.</w:t>
            </w:r>
          </w:p>
          <w:p w14:paraId="72530C71" w14:textId="77777777" w:rsidR="00C232D7" w:rsidRPr="00E75558" w:rsidRDefault="00C232D7" w:rsidP="00C232D7">
            <w:pPr>
              <w:spacing w:line="360" w:lineRule="auto"/>
              <w:rPr>
                <w:rFonts w:ascii="Arial" w:hAnsi="Arial" w:cs="Arial"/>
                <w:b/>
                <w:color w:val="000000"/>
                <w:sz w:val="18"/>
                <w:szCs w:val="18"/>
                <w:lang w:val="sq-AL"/>
              </w:rPr>
            </w:pPr>
            <w:r w:rsidRPr="00E75558">
              <w:rPr>
                <w:rFonts w:ascii="Arial" w:hAnsi="Arial" w:cs="Arial"/>
                <w:b/>
                <w:color w:val="000000"/>
                <w:sz w:val="18"/>
                <w:szCs w:val="18"/>
                <w:lang w:val="sq-AL"/>
              </w:rPr>
              <w:t>otpada</w:t>
            </w:r>
          </w:p>
        </w:tc>
        <w:tc>
          <w:tcPr>
            <w:tcW w:w="755" w:type="pct"/>
            <w:gridSpan w:val="2"/>
            <w:shd w:val="clear" w:color="auto" w:fill="F2F2F2" w:themeFill="background1" w:themeFillShade="F2"/>
            <w:vAlign w:val="center"/>
          </w:tcPr>
          <w:p w14:paraId="77113572" w14:textId="77777777" w:rsidR="00C232D7" w:rsidRPr="00E75558" w:rsidRDefault="00C232D7" w:rsidP="00C232D7">
            <w:pPr>
              <w:spacing w:line="360" w:lineRule="auto"/>
              <w:rPr>
                <w:rFonts w:ascii="Arial" w:hAnsi="Arial" w:cs="Arial"/>
                <w:b/>
                <w:color w:val="000000"/>
                <w:sz w:val="18"/>
                <w:szCs w:val="18"/>
                <w:lang w:val="sq-AL"/>
              </w:rPr>
            </w:pPr>
            <w:r w:rsidRPr="00E75558">
              <w:rPr>
                <w:rFonts w:ascii="Arial" w:hAnsi="Arial" w:cs="Arial"/>
                <w:b/>
                <w:color w:val="000000"/>
                <w:sz w:val="18"/>
                <w:szCs w:val="18"/>
                <w:lang w:val="sq-AL"/>
              </w:rPr>
              <w:t xml:space="preserve">t/god </w:t>
            </w:r>
          </w:p>
        </w:tc>
        <w:tc>
          <w:tcPr>
            <w:tcW w:w="642" w:type="pct"/>
            <w:shd w:val="clear" w:color="auto" w:fill="F2F2F2" w:themeFill="background1" w:themeFillShade="F2"/>
            <w:vAlign w:val="center"/>
          </w:tcPr>
          <w:p w14:paraId="6A3C53EB" w14:textId="77777777" w:rsidR="00C232D7" w:rsidRPr="00E75558" w:rsidRDefault="00C232D7" w:rsidP="00C232D7">
            <w:pPr>
              <w:spacing w:line="360" w:lineRule="auto"/>
              <w:rPr>
                <w:rFonts w:ascii="Arial" w:hAnsi="Arial" w:cs="Arial"/>
                <w:b/>
                <w:color w:val="000000"/>
                <w:sz w:val="18"/>
                <w:szCs w:val="18"/>
                <w:lang w:val="sq-AL"/>
              </w:rPr>
            </w:pPr>
            <w:r w:rsidRPr="00E75558">
              <w:rPr>
                <w:rFonts w:ascii="Arial" w:hAnsi="Arial" w:cs="Arial"/>
                <w:b/>
                <w:color w:val="000000"/>
                <w:sz w:val="18"/>
                <w:szCs w:val="18"/>
                <w:lang w:val="sq-AL"/>
              </w:rPr>
              <w:t>% komun.</w:t>
            </w:r>
          </w:p>
          <w:p w14:paraId="276C41CE" w14:textId="77777777" w:rsidR="00C232D7" w:rsidRPr="00E75558" w:rsidRDefault="00C232D7" w:rsidP="00C232D7">
            <w:pPr>
              <w:spacing w:line="360" w:lineRule="auto"/>
              <w:rPr>
                <w:rFonts w:ascii="Arial" w:hAnsi="Arial" w:cs="Arial"/>
                <w:b/>
                <w:color w:val="000000"/>
                <w:sz w:val="18"/>
                <w:szCs w:val="18"/>
                <w:lang w:val="sq-AL"/>
              </w:rPr>
            </w:pPr>
            <w:r w:rsidRPr="00E75558">
              <w:rPr>
                <w:rFonts w:ascii="Arial" w:hAnsi="Arial" w:cs="Arial"/>
                <w:b/>
                <w:color w:val="000000"/>
                <w:sz w:val="18"/>
                <w:szCs w:val="18"/>
                <w:lang w:val="sq-AL"/>
              </w:rPr>
              <w:t>otpada</w:t>
            </w:r>
          </w:p>
        </w:tc>
        <w:tc>
          <w:tcPr>
            <w:tcW w:w="754" w:type="pct"/>
            <w:gridSpan w:val="2"/>
            <w:shd w:val="clear" w:color="auto" w:fill="F2F2F2" w:themeFill="background1" w:themeFillShade="F2"/>
            <w:vAlign w:val="center"/>
          </w:tcPr>
          <w:p w14:paraId="7F2530BB" w14:textId="77777777" w:rsidR="00C232D7" w:rsidRPr="00E75558" w:rsidRDefault="00C232D7" w:rsidP="00C232D7">
            <w:pPr>
              <w:spacing w:line="360" w:lineRule="auto"/>
              <w:rPr>
                <w:rFonts w:ascii="Arial" w:hAnsi="Arial" w:cs="Arial"/>
                <w:b/>
                <w:color w:val="000000"/>
                <w:sz w:val="18"/>
                <w:szCs w:val="18"/>
                <w:lang w:val="sq-AL"/>
              </w:rPr>
            </w:pPr>
            <w:r w:rsidRPr="00E75558">
              <w:rPr>
                <w:rFonts w:ascii="Arial" w:hAnsi="Arial" w:cs="Arial"/>
                <w:b/>
                <w:color w:val="000000"/>
                <w:sz w:val="18"/>
                <w:szCs w:val="18"/>
                <w:lang w:val="sq-AL"/>
              </w:rPr>
              <w:t xml:space="preserve">t/god </w:t>
            </w:r>
          </w:p>
        </w:tc>
      </w:tr>
      <w:tr w:rsidR="00C232D7" w:rsidRPr="00E75558" w14:paraId="202DC8B2" w14:textId="77777777" w:rsidTr="00C232D7">
        <w:trPr>
          <w:trHeight w:val="315"/>
          <w:jc w:val="center"/>
        </w:trPr>
        <w:tc>
          <w:tcPr>
            <w:tcW w:w="808" w:type="pct"/>
            <w:vAlign w:val="center"/>
          </w:tcPr>
          <w:p w14:paraId="29DE9EAF" w14:textId="77777777" w:rsidR="00C232D7" w:rsidRPr="00E75558" w:rsidRDefault="00C232D7" w:rsidP="00C232D7">
            <w:pPr>
              <w:spacing w:line="360" w:lineRule="auto"/>
              <w:rPr>
                <w:rFonts w:ascii="Arial" w:hAnsi="Arial" w:cs="Arial"/>
                <w:sz w:val="18"/>
                <w:szCs w:val="18"/>
                <w:lang w:val="sq-AL"/>
              </w:rPr>
            </w:pPr>
            <w:r w:rsidRPr="00E75558">
              <w:rPr>
                <w:rFonts w:ascii="Arial" w:hAnsi="Arial" w:cs="Arial"/>
                <w:sz w:val="18"/>
                <w:szCs w:val="18"/>
                <w:lang w:val="sq-AL"/>
              </w:rPr>
              <w:t>Organski otpad</w:t>
            </w:r>
          </w:p>
        </w:tc>
        <w:tc>
          <w:tcPr>
            <w:tcW w:w="643" w:type="pct"/>
            <w:vAlign w:val="center"/>
          </w:tcPr>
          <w:p w14:paraId="5C7A7BE2"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39.44%</w:t>
            </w:r>
          </w:p>
        </w:tc>
        <w:tc>
          <w:tcPr>
            <w:tcW w:w="758" w:type="pct"/>
            <w:gridSpan w:val="2"/>
            <w:vAlign w:val="center"/>
          </w:tcPr>
          <w:p w14:paraId="61EF84E9"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140,598</w:t>
            </w:r>
          </w:p>
        </w:tc>
        <w:tc>
          <w:tcPr>
            <w:tcW w:w="642" w:type="pct"/>
            <w:vAlign w:val="center"/>
          </w:tcPr>
          <w:p w14:paraId="3CCAC97E"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38.26%</w:t>
            </w:r>
          </w:p>
        </w:tc>
        <w:tc>
          <w:tcPr>
            <w:tcW w:w="755" w:type="pct"/>
            <w:gridSpan w:val="2"/>
            <w:vAlign w:val="center"/>
          </w:tcPr>
          <w:p w14:paraId="4AA0C15D"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138,962</w:t>
            </w:r>
          </w:p>
        </w:tc>
        <w:tc>
          <w:tcPr>
            <w:tcW w:w="642" w:type="pct"/>
            <w:vAlign w:val="bottom"/>
          </w:tcPr>
          <w:p w14:paraId="1426D76B"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38.26%</w:t>
            </w:r>
          </w:p>
        </w:tc>
        <w:tc>
          <w:tcPr>
            <w:tcW w:w="754" w:type="pct"/>
            <w:gridSpan w:val="2"/>
            <w:vAlign w:val="center"/>
          </w:tcPr>
          <w:p w14:paraId="3122D40D"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143,987</w:t>
            </w:r>
          </w:p>
        </w:tc>
      </w:tr>
      <w:tr w:rsidR="00C232D7" w:rsidRPr="00E75558" w14:paraId="351377FA" w14:textId="77777777" w:rsidTr="00C232D7">
        <w:trPr>
          <w:trHeight w:val="315"/>
          <w:jc w:val="center"/>
        </w:trPr>
        <w:tc>
          <w:tcPr>
            <w:tcW w:w="808" w:type="pct"/>
            <w:vAlign w:val="center"/>
          </w:tcPr>
          <w:p w14:paraId="17792391" w14:textId="77777777" w:rsidR="00C232D7" w:rsidRPr="00E75558" w:rsidRDefault="00C232D7" w:rsidP="00C232D7">
            <w:pPr>
              <w:spacing w:line="360" w:lineRule="auto"/>
              <w:rPr>
                <w:rFonts w:ascii="Arial" w:hAnsi="Arial" w:cs="Arial"/>
                <w:sz w:val="18"/>
                <w:szCs w:val="18"/>
                <w:lang w:val="sq-AL"/>
              </w:rPr>
            </w:pPr>
            <w:r w:rsidRPr="00E75558">
              <w:rPr>
                <w:rFonts w:ascii="Arial" w:hAnsi="Arial" w:cs="Arial"/>
                <w:sz w:val="18"/>
                <w:szCs w:val="18"/>
                <w:lang w:val="sq-AL"/>
              </w:rPr>
              <w:t>Plastika</w:t>
            </w:r>
          </w:p>
        </w:tc>
        <w:tc>
          <w:tcPr>
            <w:tcW w:w="643" w:type="pct"/>
            <w:vAlign w:val="center"/>
          </w:tcPr>
          <w:p w14:paraId="1D562F6B"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17.64%</w:t>
            </w:r>
          </w:p>
        </w:tc>
        <w:tc>
          <w:tcPr>
            <w:tcW w:w="758" w:type="pct"/>
            <w:gridSpan w:val="2"/>
            <w:vAlign w:val="center"/>
          </w:tcPr>
          <w:p w14:paraId="0E65E920"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62,849</w:t>
            </w:r>
          </w:p>
        </w:tc>
        <w:tc>
          <w:tcPr>
            <w:tcW w:w="642" w:type="pct"/>
            <w:vAlign w:val="center"/>
          </w:tcPr>
          <w:p w14:paraId="76AD2E83"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18.06%</w:t>
            </w:r>
          </w:p>
        </w:tc>
        <w:tc>
          <w:tcPr>
            <w:tcW w:w="755" w:type="pct"/>
            <w:gridSpan w:val="2"/>
            <w:vAlign w:val="center"/>
          </w:tcPr>
          <w:p w14:paraId="6CDE5923"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65,575</w:t>
            </w:r>
          </w:p>
        </w:tc>
        <w:tc>
          <w:tcPr>
            <w:tcW w:w="642" w:type="pct"/>
            <w:vAlign w:val="bottom"/>
          </w:tcPr>
          <w:p w14:paraId="290E962B"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18.06%</w:t>
            </w:r>
          </w:p>
        </w:tc>
        <w:tc>
          <w:tcPr>
            <w:tcW w:w="754" w:type="pct"/>
            <w:gridSpan w:val="2"/>
            <w:vAlign w:val="center"/>
          </w:tcPr>
          <w:p w14:paraId="2FA3AC3D"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67,946</w:t>
            </w:r>
          </w:p>
        </w:tc>
      </w:tr>
      <w:tr w:rsidR="00C232D7" w:rsidRPr="00E75558" w14:paraId="166E41E3" w14:textId="77777777" w:rsidTr="00C232D7">
        <w:trPr>
          <w:trHeight w:val="315"/>
          <w:jc w:val="center"/>
        </w:trPr>
        <w:tc>
          <w:tcPr>
            <w:tcW w:w="808" w:type="pct"/>
            <w:vAlign w:val="center"/>
          </w:tcPr>
          <w:p w14:paraId="46EE872A" w14:textId="77777777" w:rsidR="00C232D7" w:rsidRPr="00E75558" w:rsidRDefault="00C232D7" w:rsidP="00C232D7">
            <w:pPr>
              <w:spacing w:line="360" w:lineRule="auto"/>
              <w:rPr>
                <w:rFonts w:ascii="Arial" w:hAnsi="Arial" w:cs="Arial"/>
                <w:sz w:val="18"/>
                <w:szCs w:val="18"/>
                <w:lang w:val="sq-AL"/>
              </w:rPr>
            </w:pPr>
            <w:r w:rsidRPr="00E75558">
              <w:rPr>
                <w:rFonts w:ascii="Arial" w:hAnsi="Arial" w:cs="Arial"/>
                <w:sz w:val="18"/>
                <w:szCs w:val="18"/>
                <w:lang w:val="sq-AL"/>
              </w:rPr>
              <w:t>Papir/karton</w:t>
            </w:r>
          </w:p>
        </w:tc>
        <w:tc>
          <w:tcPr>
            <w:tcW w:w="643" w:type="pct"/>
            <w:vAlign w:val="center"/>
          </w:tcPr>
          <w:p w14:paraId="47C42BD3"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17.30%</w:t>
            </w:r>
          </w:p>
        </w:tc>
        <w:tc>
          <w:tcPr>
            <w:tcW w:w="758" w:type="pct"/>
            <w:gridSpan w:val="2"/>
            <w:vAlign w:val="center"/>
          </w:tcPr>
          <w:p w14:paraId="4BD22820"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61,640</w:t>
            </w:r>
          </w:p>
        </w:tc>
        <w:tc>
          <w:tcPr>
            <w:tcW w:w="642" w:type="pct"/>
            <w:vAlign w:val="center"/>
          </w:tcPr>
          <w:p w14:paraId="585A31BC"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17.71%</w:t>
            </w:r>
          </w:p>
        </w:tc>
        <w:tc>
          <w:tcPr>
            <w:tcW w:w="755" w:type="pct"/>
            <w:gridSpan w:val="2"/>
            <w:vAlign w:val="center"/>
          </w:tcPr>
          <w:p w14:paraId="1732D889"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64,313</w:t>
            </w:r>
          </w:p>
        </w:tc>
        <w:tc>
          <w:tcPr>
            <w:tcW w:w="642" w:type="pct"/>
            <w:vAlign w:val="bottom"/>
          </w:tcPr>
          <w:p w14:paraId="14A9AE14"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17.71%</w:t>
            </w:r>
          </w:p>
        </w:tc>
        <w:tc>
          <w:tcPr>
            <w:tcW w:w="754" w:type="pct"/>
            <w:gridSpan w:val="2"/>
            <w:vAlign w:val="center"/>
          </w:tcPr>
          <w:p w14:paraId="4C87F27B"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66,638</w:t>
            </w:r>
          </w:p>
        </w:tc>
      </w:tr>
      <w:tr w:rsidR="00C232D7" w:rsidRPr="00E75558" w14:paraId="5AE0C6E6" w14:textId="77777777" w:rsidTr="00C232D7">
        <w:trPr>
          <w:trHeight w:val="315"/>
          <w:jc w:val="center"/>
        </w:trPr>
        <w:tc>
          <w:tcPr>
            <w:tcW w:w="808" w:type="pct"/>
            <w:vAlign w:val="center"/>
          </w:tcPr>
          <w:p w14:paraId="1EE255D8" w14:textId="77777777" w:rsidR="00C232D7" w:rsidRPr="00E75558" w:rsidRDefault="00C232D7" w:rsidP="00C232D7">
            <w:pPr>
              <w:spacing w:line="360" w:lineRule="auto"/>
              <w:rPr>
                <w:rFonts w:ascii="Arial" w:hAnsi="Arial" w:cs="Arial"/>
                <w:sz w:val="18"/>
                <w:szCs w:val="18"/>
                <w:lang w:val="sq-AL"/>
              </w:rPr>
            </w:pPr>
            <w:r w:rsidRPr="00E75558">
              <w:rPr>
                <w:rFonts w:ascii="Arial" w:hAnsi="Arial" w:cs="Arial"/>
                <w:sz w:val="18"/>
                <w:szCs w:val="18"/>
                <w:lang w:val="sq-AL"/>
              </w:rPr>
              <w:t>Kompozitno pakovanje</w:t>
            </w:r>
          </w:p>
        </w:tc>
        <w:tc>
          <w:tcPr>
            <w:tcW w:w="643" w:type="pct"/>
            <w:vAlign w:val="center"/>
          </w:tcPr>
          <w:p w14:paraId="6C03F1AB"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2.97%</w:t>
            </w:r>
          </w:p>
        </w:tc>
        <w:tc>
          <w:tcPr>
            <w:tcW w:w="758" w:type="pct"/>
            <w:gridSpan w:val="2"/>
            <w:vAlign w:val="center"/>
          </w:tcPr>
          <w:p w14:paraId="6E5B21C8"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10,593</w:t>
            </w:r>
          </w:p>
        </w:tc>
        <w:tc>
          <w:tcPr>
            <w:tcW w:w="642" w:type="pct"/>
            <w:vAlign w:val="center"/>
          </w:tcPr>
          <w:p w14:paraId="392BEED1"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3.04%</w:t>
            </w:r>
          </w:p>
        </w:tc>
        <w:tc>
          <w:tcPr>
            <w:tcW w:w="755" w:type="pct"/>
            <w:gridSpan w:val="2"/>
            <w:vAlign w:val="center"/>
          </w:tcPr>
          <w:p w14:paraId="657596D3"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11,053</w:t>
            </w:r>
          </w:p>
        </w:tc>
        <w:tc>
          <w:tcPr>
            <w:tcW w:w="642" w:type="pct"/>
            <w:vAlign w:val="bottom"/>
          </w:tcPr>
          <w:p w14:paraId="6B2800C1"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3.04%</w:t>
            </w:r>
          </w:p>
        </w:tc>
        <w:tc>
          <w:tcPr>
            <w:tcW w:w="754" w:type="pct"/>
            <w:gridSpan w:val="2"/>
            <w:vAlign w:val="center"/>
          </w:tcPr>
          <w:p w14:paraId="78B1DFB9"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11,452</w:t>
            </w:r>
          </w:p>
        </w:tc>
      </w:tr>
      <w:tr w:rsidR="00C232D7" w:rsidRPr="00E75558" w14:paraId="08CB22C9" w14:textId="77777777" w:rsidTr="00C232D7">
        <w:trPr>
          <w:trHeight w:val="315"/>
          <w:jc w:val="center"/>
        </w:trPr>
        <w:tc>
          <w:tcPr>
            <w:tcW w:w="808" w:type="pct"/>
            <w:vAlign w:val="center"/>
          </w:tcPr>
          <w:p w14:paraId="7C3B47C8" w14:textId="77777777" w:rsidR="00C232D7" w:rsidRPr="00E75558" w:rsidRDefault="00C232D7" w:rsidP="00C232D7">
            <w:pPr>
              <w:spacing w:line="360" w:lineRule="auto"/>
              <w:rPr>
                <w:rFonts w:ascii="Arial" w:hAnsi="Arial" w:cs="Arial"/>
                <w:sz w:val="18"/>
                <w:szCs w:val="18"/>
                <w:lang w:val="sq-AL"/>
              </w:rPr>
            </w:pPr>
            <w:r w:rsidRPr="00E75558">
              <w:rPr>
                <w:rFonts w:ascii="Arial" w:hAnsi="Arial" w:cs="Arial"/>
                <w:sz w:val="18"/>
                <w:szCs w:val="18"/>
                <w:lang w:val="sq-AL"/>
              </w:rPr>
              <w:t>Metali</w:t>
            </w:r>
          </w:p>
        </w:tc>
        <w:tc>
          <w:tcPr>
            <w:tcW w:w="643" w:type="pct"/>
            <w:vAlign w:val="center"/>
          </w:tcPr>
          <w:p w14:paraId="093DC8E2"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3.81%</w:t>
            </w:r>
          </w:p>
        </w:tc>
        <w:tc>
          <w:tcPr>
            <w:tcW w:w="758" w:type="pct"/>
            <w:gridSpan w:val="2"/>
            <w:vAlign w:val="center"/>
          </w:tcPr>
          <w:p w14:paraId="22503815"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13,565</w:t>
            </w:r>
          </w:p>
        </w:tc>
        <w:tc>
          <w:tcPr>
            <w:tcW w:w="642" w:type="pct"/>
            <w:vAlign w:val="center"/>
          </w:tcPr>
          <w:p w14:paraId="7A843705"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3.90%</w:t>
            </w:r>
          </w:p>
        </w:tc>
        <w:tc>
          <w:tcPr>
            <w:tcW w:w="755" w:type="pct"/>
            <w:gridSpan w:val="2"/>
            <w:vAlign w:val="center"/>
          </w:tcPr>
          <w:p w14:paraId="3D3FC044"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14,154</w:t>
            </w:r>
          </w:p>
        </w:tc>
        <w:tc>
          <w:tcPr>
            <w:tcW w:w="642" w:type="pct"/>
            <w:vAlign w:val="bottom"/>
          </w:tcPr>
          <w:p w14:paraId="51BFB782"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3.90%</w:t>
            </w:r>
          </w:p>
        </w:tc>
        <w:tc>
          <w:tcPr>
            <w:tcW w:w="754" w:type="pct"/>
            <w:gridSpan w:val="2"/>
            <w:vAlign w:val="center"/>
          </w:tcPr>
          <w:p w14:paraId="42EFE904"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14,665</w:t>
            </w:r>
          </w:p>
        </w:tc>
      </w:tr>
      <w:tr w:rsidR="00C232D7" w:rsidRPr="00E75558" w14:paraId="748B4231" w14:textId="77777777" w:rsidTr="00C232D7">
        <w:trPr>
          <w:trHeight w:val="315"/>
          <w:jc w:val="center"/>
        </w:trPr>
        <w:tc>
          <w:tcPr>
            <w:tcW w:w="808" w:type="pct"/>
            <w:vAlign w:val="center"/>
          </w:tcPr>
          <w:p w14:paraId="740234CF" w14:textId="77777777" w:rsidR="00C232D7" w:rsidRPr="00E75558" w:rsidRDefault="00C232D7" w:rsidP="00C232D7">
            <w:pPr>
              <w:spacing w:line="360" w:lineRule="auto"/>
              <w:rPr>
                <w:rFonts w:ascii="Arial" w:hAnsi="Arial" w:cs="Arial"/>
                <w:sz w:val="18"/>
                <w:szCs w:val="18"/>
                <w:lang w:val="sq-AL"/>
              </w:rPr>
            </w:pPr>
            <w:r w:rsidRPr="00E75558">
              <w:rPr>
                <w:rFonts w:ascii="Arial" w:hAnsi="Arial" w:cs="Arial"/>
                <w:sz w:val="18"/>
                <w:szCs w:val="18"/>
                <w:lang w:val="sq-AL"/>
              </w:rPr>
              <w:t>Staklo</w:t>
            </w:r>
          </w:p>
        </w:tc>
        <w:tc>
          <w:tcPr>
            <w:tcW w:w="643" w:type="pct"/>
            <w:vAlign w:val="center"/>
          </w:tcPr>
          <w:p w14:paraId="13B0E775"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6.50%</w:t>
            </w:r>
          </w:p>
        </w:tc>
        <w:tc>
          <w:tcPr>
            <w:tcW w:w="758" w:type="pct"/>
            <w:gridSpan w:val="2"/>
            <w:vAlign w:val="center"/>
          </w:tcPr>
          <w:p w14:paraId="04AC2988"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23,176</w:t>
            </w:r>
          </w:p>
        </w:tc>
        <w:tc>
          <w:tcPr>
            <w:tcW w:w="642" w:type="pct"/>
            <w:vAlign w:val="center"/>
          </w:tcPr>
          <w:p w14:paraId="5BC1F875"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6.66%</w:t>
            </w:r>
          </w:p>
        </w:tc>
        <w:tc>
          <w:tcPr>
            <w:tcW w:w="755" w:type="pct"/>
            <w:gridSpan w:val="2"/>
            <w:vAlign w:val="center"/>
          </w:tcPr>
          <w:p w14:paraId="3B65873B"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24,181</w:t>
            </w:r>
          </w:p>
        </w:tc>
        <w:tc>
          <w:tcPr>
            <w:tcW w:w="642" w:type="pct"/>
            <w:vAlign w:val="bottom"/>
          </w:tcPr>
          <w:p w14:paraId="4101BD66"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6.66%</w:t>
            </w:r>
          </w:p>
        </w:tc>
        <w:tc>
          <w:tcPr>
            <w:tcW w:w="754" w:type="pct"/>
            <w:gridSpan w:val="2"/>
            <w:vAlign w:val="center"/>
          </w:tcPr>
          <w:p w14:paraId="7ACBB929"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25,055</w:t>
            </w:r>
          </w:p>
        </w:tc>
      </w:tr>
      <w:tr w:rsidR="00C232D7" w:rsidRPr="00E75558" w14:paraId="46B9CCAA" w14:textId="77777777" w:rsidTr="00C232D7">
        <w:trPr>
          <w:trHeight w:val="315"/>
          <w:jc w:val="center"/>
        </w:trPr>
        <w:tc>
          <w:tcPr>
            <w:tcW w:w="808" w:type="pct"/>
            <w:vAlign w:val="center"/>
          </w:tcPr>
          <w:p w14:paraId="1D774C03" w14:textId="77777777" w:rsidR="00C232D7" w:rsidRPr="00E75558" w:rsidRDefault="00C232D7" w:rsidP="00C232D7">
            <w:pPr>
              <w:spacing w:line="360" w:lineRule="auto"/>
              <w:rPr>
                <w:rFonts w:ascii="Arial" w:hAnsi="Arial" w:cs="Arial"/>
                <w:sz w:val="18"/>
                <w:szCs w:val="18"/>
                <w:lang w:val="sq-AL"/>
              </w:rPr>
            </w:pPr>
            <w:r w:rsidRPr="00E75558">
              <w:rPr>
                <w:rFonts w:ascii="Arial" w:hAnsi="Arial" w:cs="Arial"/>
                <w:sz w:val="18"/>
                <w:szCs w:val="18"/>
                <w:lang w:val="sq-AL"/>
              </w:rPr>
              <w:t>Drvo</w:t>
            </w:r>
          </w:p>
        </w:tc>
        <w:tc>
          <w:tcPr>
            <w:tcW w:w="643" w:type="pct"/>
            <w:vAlign w:val="center"/>
          </w:tcPr>
          <w:p w14:paraId="04ABCC76"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2.89%</w:t>
            </w:r>
          </w:p>
        </w:tc>
        <w:tc>
          <w:tcPr>
            <w:tcW w:w="758" w:type="pct"/>
            <w:gridSpan w:val="2"/>
            <w:vAlign w:val="center"/>
          </w:tcPr>
          <w:p w14:paraId="4DCF7547"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10,284</w:t>
            </w:r>
          </w:p>
        </w:tc>
        <w:tc>
          <w:tcPr>
            <w:tcW w:w="642" w:type="pct"/>
            <w:vAlign w:val="center"/>
          </w:tcPr>
          <w:p w14:paraId="2AD2F74A"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2.96%</w:t>
            </w:r>
          </w:p>
        </w:tc>
        <w:tc>
          <w:tcPr>
            <w:tcW w:w="755" w:type="pct"/>
            <w:gridSpan w:val="2"/>
            <w:vAlign w:val="center"/>
          </w:tcPr>
          <w:p w14:paraId="7A65AB32"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10,730</w:t>
            </w:r>
          </w:p>
        </w:tc>
        <w:tc>
          <w:tcPr>
            <w:tcW w:w="642" w:type="pct"/>
            <w:vAlign w:val="bottom"/>
          </w:tcPr>
          <w:p w14:paraId="29658AC9"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2.96%</w:t>
            </w:r>
          </w:p>
        </w:tc>
        <w:tc>
          <w:tcPr>
            <w:tcW w:w="754" w:type="pct"/>
            <w:gridSpan w:val="2"/>
            <w:vAlign w:val="center"/>
          </w:tcPr>
          <w:p w14:paraId="378A10F8"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11,118</w:t>
            </w:r>
          </w:p>
        </w:tc>
      </w:tr>
      <w:tr w:rsidR="00C232D7" w:rsidRPr="00E75558" w14:paraId="05E50D3D" w14:textId="77777777" w:rsidTr="00C232D7">
        <w:trPr>
          <w:trHeight w:val="315"/>
          <w:jc w:val="center"/>
        </w:trPr>
        <w:tc>
          <w:tcPr>
            <w:tcW w:w="808" w:type="pct"/>
            <w:vAlign w:val="center"/>
          </w:tcPr>
          <w:p w14:paraId="60ED760A" w14:textId="77777777" w:rsidR="00C232D7" w:rsidRPr="00E75558" w:rsidRDefault="00C232D7" w:rsidP="00C232D7">
            <w:pPr>
              <w:spacing w:line="360" w:lineRule="auto"/>
              <w:rPr>
                <w:rFonts w:ascii="Arial" w:hAnsi="Arial" w:cs="Arial"/>
                <w:sz w:val="18"/>
                <w:szCs w:val="18"/>
                <w:lang w:val="sq-AL"/>
              </w:rPr>
            </w:pPr>
            <w:r w:rsidRPr="00E75558">
              <w:rPr>
                <w:rFonts w:ascii="Arial" w:hAnsi="Arial" w:cs="Arial"/>
                <w:sz w:val="18"/>
                <w:szCs w:val="18"/>
                <w:lang w:val="sq-AL"/>
              </w:rPr>
              <w:t>Tekstil</w:t>
            </w:r>
          </w:p>
        </w:tc>
        <w:tc>
          <w:tcPr>
            <w:tcW w:w="643" w:type="pct"/>
            <w:vAlign w:val="center"/>
          </w:tcPr>
          <w:p w14:paraId="10D64723"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3.30%</w:t>
            </w:r>
          </w:p>
        </w:tc>
        <w:tc>
          <w:tcPr>
            <w:tcW w:w="758" w:type="pct"/>
            <w:gridSpan w:val="2"/>
            <w:vAlign w:val="center"/>
          </w:tcPr>
          <w:p w14:paraId="0773B39B"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11,772</w:t>
            </w:r>
          </w:p>
        </w:tc>
        <w:tc>
          <w:tcPr>
            <w:tcW w:w="642" w:type="pct"/>
            <w:vAlign w:val="center"/>
          </w:tcPr>
          <w:p w14:paraId="7CBDE306"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3.30%</w:t>
            </w:r>
          </w:p>
        </w:tc>
        <w:tc>
          <w:tcPr>
            <w:tcW w:w="755" w:type="pct"/>
            <w:gridSpan w:val="2"/>
            <w:vAlign w:val="center"/>
          </w:tcPr>
          <w:p w14:paraId="1BBB5358"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11,995</w:t>
            </w:r>
          </w:p>
        </w:tc>
        <w:tc>
          <w:tcPr>
            <w:tcW w:w="642" w:type="pct"/>
            <w:vAlign w:val="bottom"/>
          </w:tcPr>
          <w:p w14:paraId="7C791BAD"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3.30%</w:t>
            </w:r>
          </w:p>
        </w:tc>
        <w:tc>
          <w:tcPr>
            <w:tcW w:w="754" w:type="pct"/>
            <w:gridSpan w:val="2"/>
            <w:vAlign w:val="center"/>
          </w:tcPr>
          <w:p w14:paraId="4D27AB57"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12,429</w:t>
            </w:r>
          </w:p>
        </w:tc>
      </w:tr>
      <w:tr w:rsidR="00C232D7" w:rsidRPr="00E75558" w14:paraId="3904C102" w14:textId="77777777" w:rsidTr="00C232D7">
        <w:trPr>
          <w:trHeight w:val="315"/>
          <w:jc w:val="center"/>
        </w:trPr>
        <w:tc>
          <w:tcPr>
            <w:tcW w:w="808" w:type="pct"/>
            <w:vAlign w:val="center"/>
          </w:tcPr>
          <w:p w14:paraId="3F398E77" w14:textId="77777777" w:rsidR="00C232D7" w:rsidRPr="00E75558" w:rsidRDefault="00C232D7" w:rsidP="00C232D7">
            <w:pPr>
              <w:spacing w:line="360" w:lineRule="auto"/>
              <w:rPr>
                <w:rFonts w:ascii="Arial" w:hAnsi="Arial" w:cs="Arial"/>
                <w:sz w:val="18"/>
                <w:szCs w:val="18"/>
                <w:lang w:val="sq-AL"/>
              </w:rPr>
            </w:pPr>
            <w:r w:rsidRPr="00E75558">
              <w:rPr>
                <w:rFonts w:ascii="Arial" w:hAnsi="Arial" w:cs="Arial"/>
                <w:sz w:val="18"/>
                <w:szCs w:val="18"/>
                <w:lang w:val="sq-AL"/>
              </w:rPr>
              <w:t>Ostalo</w:t>
            </w:r>
          </w:p>
        </w:tc>
        <w:tc>
          <w:tcPr>
            <w:tcW w:w="643" w:type="pct"/>
            <w:vAlign w:val="center"/>
          </w:tcPr>
          <w:p w14:paraId="1E1B32A4"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6.15%</w:t>
            </w:r>
          </w:p>
        </w:tc>
        <w:tc>
          <w:tcPr>
            <w:tcW w:w="758" w:type="pct"/>
            <w:gridSpan w:val="2"/>
            <w:vAlign w:val="center"/>
          </w:tcPr>
          <w:p w14:paraId="14727507"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21,967</w:t>
            </w:r>
          </w:p>
        </w:tc>
        <w:tc>
          <w:tcPr>
            <w:tcW w:w="642" w:type="pct"/>
            <w:vAlign w:val="center"/>
          </w:tcPr>
          <w:p w14:paraId="060050E8"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6.10%</w:t>
            </w:r>
          </w:p>
        </w:tc>
        <w:tc>
          <w:tcPr>
            <w:tcW w:w="755" w:type="pct"/>
            <w:gridSpan w:val="2"/>
            <w:vAlign w:val="center"/>
          </w:tcPr>
          <w:p w14:paraId="552C9312"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22,232</w:t>
            </w:r>
          </w:p>
        </w:tc>
        <w:tc>
          <w:tcPr>
            <w:tcW w:w="642" w:type="pct"/>
            <w:vAlign w:val="bottom"/>
          </w:tcPr>
          <w:p w14:paraId="2A12FB9F" w14:textId="77777777" w:rsidR="00C232D7" w:rsidRPr="00E75558" w:rsidRDefault="00C232D7" w:rsidP="00C232D7">
            <w:pPr>
              <w:spacing w:before="40" w:after="40" w:line="360" w:lineRule="auto"/>
              <w:rPr>
                <w:rFonts w:ascii="Arial" w:hAnsi="Arial" w:cs="Arial"/>
                <w:color w:val="000000"/>
                <w:sz w:val="18"/>
                <w:szCs w:val="18"/>
                <w:lang w:val="sq-AL"/>
              </w:rPr>
            </w:pPr>
            <w:r w:rsidRPr="00E75558">
              <w:rPr>
                <w:rFonts w:ascii="Arial" w:hAnsi="Arial" w:cs="Arial"/>
                <w:color w:val="000000"/>
                <w:sz w:val="18"/>
                <w:szCs w:val="18"/>
                <w:lang w:val="sq-AL"/>
              </w:rPr>
              <w:t>6.10%</w:t>
            </w:r>
          </w:p>
        </w:tc>
        <w:tc>
          <w:tcPr>
            <w:tcW w:w="754" w:type="pct"/>
            <w:gridSpan w:val="2"/>
            <w:vAlign w:val="center"/>
          </w:tcPr>
          <w:p w14:paraId="354BD3AF" w14:textId="77777777" w:rsidR="00C232D7" w:rsidRPr="00E75558" w:rsidRDefault="00C232D7" w:rsidP="00C232D7">
            <w:pPr>
              <w:spacing w:before="40" w:after="40" w:line="360" w:lineRule="auto"/>
              <w:rPr>
                <w:rFonts w:ascii="Arial" w:hAnsi="Arial" w:cs="Arial"/>
                <w:color w:val="000000"/>
                <w:sz w:val="18"/>
                <w:szCs w:val="18"/>
                <w:highlight w:val="yellow"/>
                <w:lang w:val="sq-AL"/>
              </w:rPr>
            </w:pPr>
            <w:r w:rsidRPr="00E75558">
              <w:rPr>
                <w:rFonts w:ascii="Arial" w:hAnsi="Arial" w:cs="Arial"/>
                <w:color w:val="000000"/>
                <w:sz w:val="18"/>
                <w:szCs w:val="18"/>
              </w:rPr>
              <w:t>23,036</w:t>
            </w:r>
          </w:p>
        </w:tc>
      </w:tr>
      <w:tr w:rsidR="00C232D7" w:rsidRPr="00E75558" w14:paraId="4C166F4C" w14:textId="77777777" w:rsidTr="00C232D7">
        <w:trPr>
          <w:trHeight w:val="436"/>
          <w:jc w:val="center"/>
        </w:trPr>
        <w:tc>
          <w:tcPr>
            <w:tcW w:w="808" w:type="pct"/>
            <w:vAlign w:val="center"/>
          </w:tcPr>
          <w:p w14:paraId="066D3ACE" w14:textId="77777777" w:rsidR="00C232D7" w:rsidRPr="00E75558" w:rsidRDefault="00C232D7" w:rsidP="00C232D7">
            <w:pPr>
              <w:spacing w:line="360" w:lineRule="auto"/>
              <w:rPr>
                <w:rFonts w:ascii="Arial" w:hAnsi="Arial" w:cs="Arial"/>
                <w:b/>
                <w:bCs/>
                <w:sz w:val="18"/>
                <w:szCs w:val="18"/>
                <w:lang w:val="sq-AL"/>
              </w:rPr>
            </w:pPr>
            <w:r w:rsidRPr="00E75558">
              <w:rPr>
                <w:rFonts w:ascii="Arial" w:hAnsi="Arial" w:cs="Arial"/>
                <w:b/>
                <w:bCs/>
                <w:sz w:val="18"/>
                <w:szCs w:val="18"/>
                <w:lang w:val="sq-AL"/>
              </w:rPr>
              <w:t>Ukupno</w:t>
            </w:r>
          </w:p>
        </w:tc>
        <w:tc>
          <w:tcPr>
            <w:tcW w:w="643" w:type="pct"/>
            <w:vAlign w:val="center"/>
          </w:tcPr>
          <w:p w14:paraId="2775927B" w14:textId="77777777" w:rsidR="00C232D7" w:rsidRPr="00E75558" w:rsidRDefault="00C232D7" w:rsidP="00C232D7">
            <w:pPr>
              <w:spacing w:before="40" w:after="40" w:line="360" w:lineRule="auto"/>
              <w:rPr>
                <w:rFonts w:ascii="Arial" w:hAnsi="Arial" w:cs="Arial"/>
                <w:b/>
                <w:bCs/>
                <w:color w:val="000000"/>
                <w:sz w:val="18"/>
                <w:szCs w:val="18"/>
                <w:lang w:val="sq-AL"/>
              </w:rPr>
            </w:pPr>
            <w:r w:rsidRPr="00E75558">
              <w:rPr>
                <w:rFonts w:ascii="Arial" w:hAnsi="Arial" w:cs="Arial"/>
                <w:b/>
                <w:bCs/>
                <w:color w:val="000000"/>
                <w:sz w:val="18"/>
                <w:szCs w:val="18"/>
                <w:lang w:val="sq-AL"/>
              </w:rPr>
              <w:t>100.00%</w:t>
            </w:r>
          </w:p>
        </w:tc>
        <w:tc>
          <w:tcPr>
            <w:tcW w:w="758" w:type="pct"/>
            <w:gridSpan w:val="2"/>
            <w:vAlign w:val="center"/>
          </w:tcPr>
          <w:p w14:paraId="64814183" w14:textId="77777777" w:rsidR="00C232D7" w:rsidRPr="00E75558" w:rsidRDefault="00C232D7" w:rsidP="00C232D7">
            <w:pPr>
              <w:spacing w:before="40" w:after="40" w:line="360" w:lineRule="auto"/>
              <w:rPr>
                <w:rFonts w:ascii="Arial" w:hAnsi="Arial" w:cs="Arial"/>
                <w:b/>
                <w:bCs/>
                <w:color w:val="000000"/>
                <w:sz w:val="18"/>
                <w:szCs w:val="18"/>
                <w:highlight w:val="yellow"/>
                <w:lang w:val="sq-AL"/>
              </w:rPr>
            </w:pPr>
            <w:r w:rsidRPr="00E75558">
              <w:rPr>
                <w:rFonts w:ascii="Arial" w:hAnsi="Arial" w:cs="Arial"/>
                <w:b/>
                <w:bCs/>
                <w:color w:val="000000"/>
                <w:sz w:val="18"/>
                <w:szCs w:val="18"/>
              </w:rPr>
              <w:t>356,444</w:t>
            </w:r>
          </w:p>
        </w:tc>
        <w:tc>
          <w:tcPr>
            <w:tcW w:w="642" w:type="pct"/>
            <w:vAlign w:val="center"/>
          </w:tcPr>
          <w:p w14:paraId="4DBB2DB5" w14:textId="77777777" w:rsidR="00C232D7" w:rsidRPr="00E75558" w:rsidRDefault="00C232D7" w:rsidP="00C232D7">
            <w:pPr>
              <w:spacing w:before="40" w:after="40" w:line="360" w:lineRule="auto"/>
              <w:rPr>
                <w:rFonts w:ascii="Arial" w:hAnsi="Arial" w:cs="Arial"/>
                <w:b/>
                <w:bCs/>
                <w:color w:val="000000"/>
                <w:sz w:val="18"/>
                <w:szCs w:val="18"/>
                <w:lang w:val="sq-AL"/>
              </w:rPr>
            </w:pPr>
            <w:r w:rsidRPr="00E75558">
              <w:rPr>
                <w:rFonts w:ascii="Arial" w:hAnsi="Arial" w:cs="Arial"/>
                <w:b/>
                <w:bCs/>
                <w:color w:val="000000"/>
                <w:sz w:val="18"/>
                <w:szCs w:val="18"/>
                <w:lang w:val="sq-AL"/>
              </w:rPr>
              <w:t>100.00%</w:t>
            </w:r>
          </w:p>
        </w:tc>
        <w:tc>
          <w:tcPr>
            <w:tcW w:w="755" w:type="pct"/>
            <w:gridSpan w:val="2"/>
            <w:vAlign w:val="center"/>
          </w:tcPr>
          <w:p w14:paraId="20D560E8" w14:textId="77777777" w:rsidR="00C232D7" w:rsidRPr="00E75558" w:rsidRDefault="00C232D7" w:rsidP="00C232D7">
            <w:pPr>
              <w:spacing w:before="40" w:after="40" w:line="360" w:lineRule="auto"/>
              <w:rPr>
                <w:rFonts w:ascii="Arial" w:hAnsi="Arial" w:cs="Arial"/>
                <w:b/>
                <w:bCs/>
                <w:color w:val="000000"/>
                <w:sz w:val="18"/>
                <w:szCs w:val="18"/>
                <w:highlight w:val="yellow"/>
                <w:lang w:val="sq-AL"/>
              </w:rPr>
            </w:pPr>
            <w:r w:rsidRPr="00E75558">
              <w:rPr>
                <w:rFonts w:ascii="Arial" w:hAnsi="Arial" w:cs="Arial"/>
                <w:b/>
                <w:bCs/>
                <w:color w:val="000000"/>
                <w:sz w:val="18"/>
                <w:szCs w:val="18"/>
              </w:rPr>
              <w:t>363,195</w:t>
            </w:r>
          </w:p>
        </w:tc>
        <w:tc>
          <w:tcPr>
            <w:tcW w:w="642" w:type="pct"/>
            <w:vAlign w:val="center"/>
          </w:tcPr>
          <w:p w14:paraId="34F36A31" w14:textId="77777777" w:rsidR="00C232D7" w:rsidRPr="00E75558" w:rsidRDefault="00C232D7" w:rsidP="00C232D7">
            <w:pPr>
              <w:spacing w:before="40" w:after="40" w:line="360" w:lineRule="auto"/>
              <w:rPr>
                <w:rFonts w:ascii="Arial" w:hAnsi="Arial" w:cs="Arial"/>
                <w:b/>
                <w:bCs/>
                <w:color w:val="000000"/>
                <w:sz w:val="18"/>
                <w:szCs w:val="18"/>
                <w:lang w:val="sq-AL"/>
              </w:rPr>
            </w:pPr>
            <w:r w:rsidRPr="00E75558">
              <w:rPr>
                <w:rFonts w:ascii="Arial" w:hAnsi="Arial" w:cs="Arial"/>
                <w:b/>
                <w:bCs/>
                <w:color w:val="000000"/>
                <w:sz w:val="18"/>
                <w:szCs w:val="18"/>
                <w:lang w:val="sq-AL"/>
              </w:rPr>
              <w:t>100.00%</w:t>
            </w:r>
          </w:p>
        </w:tc>
        <w:tc>
          <w:tcPr>
            <w:tcW w:w="754" w:type="pct"/>
            <w:gridSpan w:val="2"/>
            <w:vAlign w:val="center"/>
          </w:tcPr>
          <w:p w14:paraId="793D9F55" w14:textId="77777777" w:rsidR="00C232D7" w:rsidRPr="00E75558" w:rsidRDefault="00C232D7" w:rsidP="00C232D7">
            <w:pPr>
              <w:spacing w:before="40" w:after="40" w:line="360" w:lineRule="auto"/>
              <w:rPr>
                <w:rFonts w:ascii="Arial" w:hAnsi="Arial" w:cs="Arial"/>
                <w:b/>
                <w:bCs/>
                <w:color w:val="000000"/>
                <w:sz w:val="18"/>
                <w:szCs w:val="18"/>
                <w:highlight w:val="yellow"/>
                <w:lang w:val="sq-AL"/>
              </w:rPr>
            </w:pPr>
            <w:r w:rsidRPr="00E75558">
              <w:rPr>
                <w:rFonts w:ascii="Arial" w:hAnsi="Arial" w:cs="Arial"/>
                <w:b/>
                <w:bCs/>
                <w:color w:val="000000"/>
                <w:sz w:val="18"/>
                <w:szCs w:val="18"/>
              </w:rPr>
              <w:t>376,328</w:t>
            </w:r>
          </w:p>
        </w:tc>
      </w:tr>
    </w:tbl>
    <w:p w14:paraId="26D8523D" w14:textId="37C4ACC4" w:rsidR="00C232D7" w:rsidRDefault="00C232D7" w:rsidP="00DD561F">
      <w:pPr>
        <w:spacing w:line="360" w:lineRule="auto"/>
        <w:rPr>
          <w:rFonts w:ascii="Arial" w:hAnsi="Arial" w:cs="Arial"/>
          <w:i/>
          <w:lang w:val="sq-AL"/>
        </w:rPr>
      </w:pPr>
      <w:r w:rsidRPr="002A6F4E">
        <w:rPr>
          <w:rFonts w:ascii="Arial" w:hAnsi="Arial" w:cs="Arial"/>
          <w:i/>
          <w:lang w:val="sq-AL"/>
        </w:rPr>
        <w:t xml:space="preserve">                  </w:t>
      </w:r>
    </w:p>
    <w:p w14:paraId="78959C4A" w14:textId="77777777" w:rsidR="009C3860" w:rsidRPr="00DD561F" w:rsidRDefault="009C3860" w:rsidP="00DD561F">
      <w:pPr>
        <w:spacing w:line="360" w:lineRule="auto"/>
        <w:rPr>
          <w:rFonts w:ascii="Arial" w:hAnsi="Arial" w:cs="Arial"/>
          <w:i/>
          <w:lang w:val="sq-AL"/>
        </w:rPr>
      </w:pPr>
    </w:p>
    <w:p w14:paraId="59698C06" w14:textId="2F4F6DB9" w:rsidR="00C232D7" w:rsidRPr="002A6F4E" w:rsidRDefault="00C232D7" w:rsidP="00F57909">
      <w:pPr>
        <w:pStyle w:val="Heading2"/>
      </w:pPr>
      <w:bookmarkStart w:id="850" w:name="_Toc193354012"/>
      <w:r w:rsidRPr="002A6F4E">
        <w:t>5.</w:t>
      </w:r>
      <w:r w:rsidR="006913A1">
        <w:t>7</w:t>
      </w:r>
      <w:r w:rsidRPr="002A6F4E">
        <w:t>. Potrebe u pogledu upravljanja otpadom</w:t>
      </w:r>
      <w:bookmarkEnd w:id="850"/>
    </w:p>
    <w:p w14:paraId="412D9D71" w14:textId="0813712F"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Potrebe za procjenom upravljanja otpadom, utvrđuju se uzimajući u obzir procjenu trenutnog stanja i sljedeće glavne parametre:</w:t>
      </w:r>
    </w:p>
    <w:p w14:paraId="0DFDDB09" w14:textId="4B70AF8A" w:rsidR="00C232D7" w:rsidRPr="002A6F4E" w:rsidRDefault="00C232D7" w:rsidP="00A23ED0">
      <w:pPr>
        <w:pStyle w:val="ListParagraph"/>
        <w:numPr>
          <w:ilvl w:val="0"/>
          <w:numId w:val="32"/>
        </w:numPr>
        <w:spacing w:before="120" w:after="120" w:line="360" w:lineRule="auto"/>
        <w:contextualSpacing w:val="0"/>
        <w:rPr>
          <w:rFonts w:ascii="Arial" w:hAnsi="Arial" w:cs="Arial"/>
          <w:lang w:val="sq-AL"/>
        </w:rPr>
      </w:pPr>
      <w:r w:rsidRPr="002A6F4E">
        <w:rPr>
          <w:rFonts w:ascii="Arial" w:hAnsi="Arial" w:cs="Arial"/>
          <w:lang w:val="sq-AL"/>
        </w:rPr>
        <w:t>Stanovništvo koje treba da bude pokriveno uslu</w:t>
      </w:r>
      <w:r w:rsidR="00F9335D">
        <w:rPr>
          <w:rFonts w:ascii="Arial" w:hAnsi="Arial" w:cs="Arial"/>
          <w:lang w:val="sq-AL"/>
        </w:rPr>
        <w:t>gom,</w:t>
      </w:r>
    </w:p>
    <w:p w14:paraId="5EC899B8" w14:textId="6FF69E87" w:rsidR="00C232D7" w:rsidRPr="002A6F4E" w:rsidRDefault="00C232D7" w:rsidP="00A23ED0">
      <w:pPr>
        <w:pStyle w:val="ListParagraph"/>
        <w:numPr>
          <w:ilvl w:val="0"/>
          <w:numId w:val="32"/>
        </w:numPr>
        <w:spacing w:before="120" w:after="120" w:line="360" w:lineRule="auto"/>
        <w:contextualSpacing w:val="0"/>
        <w:rPr>
          <w:rFonts w:ascii="Arial" w:hAnsi="Arial" w:cs="Arial"/>
          <w:lang w:val="sq-AL"/>
        </w:rPr>
      </w:pPr>
      <w:r w:rsidRPr="002A6F4E">
        <w:rPr>
          <w:rFonts w:ascii="Arial" w:hAnsi="Arial" w:cs="Arial"/>
          <w:lang w:val="sq-AL"/>
        </w:rPr>
        <w:t>Otpad koji treba sakupiti</w:t>
      </w:r>
      <w:r w:rsidR="00F9335D">
        <w:rPr>
          <w:rFonts w:ascii="Arial" w:hAnsi="Arial" w:cs="Arial"/>
          <w:lang w:val="sq-AL"/>
        </w:rPr>
        <w:t>,</w:t>
      </w:r>
    </w:p>
    <w:p w14:paraId="50BE238D" w14:textId="427A9C53" w:rsidR="00C232D7" w:rsidRPr="002A6F4E" w:rsidRDefault="00C232D7" w:rsidP="00A23ED0">
      <w:pPr>
        <w:pStyle w:val="ListParagraph"/>
        <w:numPr>
          <w:ilvl w:val="0"/>
          <w:numId w:val="32"/>
        </w:numPr>
        <w:spacing w:before="120" w:after="120" w:line="360" w:lineRule="auto"/>
        <w:contextualSpacing w:val="0"/>
        <w:rPr>
          <w:rFonts w:ascii="Arial" w:hAnsi="Arial" w:cs="Arial"/>
          <w:lang w:val="sq-AL"/>
        </w:rPr>
      </w:pPr>
      <w:r w:rsidRPr="002A6F4E">
        <w:rPr>
          <w:rFonts w:ascii="Arial" w:hAnsi="Arial" w:cs="Arial"/>
          <w:lang w:val="sq-AL"/>
        </w:rPr>
        <w:t>Generisanje materijala koji se može reciklirati</w:t>
      </w:r>
      <w:r w:rsidR="00F9335D">
        <w:rPr>
          <w:rFonts w:ascii="Arial" w:hAnsi="Arial" w:cs="Arial"/>
          <w:lang w:val="sq-AL"/>
        </w:rPr>
        <w:t>,</w:t>
      </w:r>
    </w:p>
    <w:p w14:paraId="5E007573" w14:textId="1DE8E8DD" w:rsidR="0080611B" w:rsidRDefault="00C232D7" w:rsidP="0080611B">
      <w:pPr>
        <w:pStyle w:val="ListParagraph"/>
        <w:numPr>
          <w:ilvl w:val="0"/>
          <w:numId w:val="32"/>
        </w:numPr>
        <w:spacing w:before="120" w:after="120" w:line="360" w:lineRule="auto"/>
        <w:contextualSpacing w:val="0"/>
        <w:rPr>
          <w:rFonts w:ascii="Arial" w:hAnsi="Arial" w:cs="Arial"/>
          <w:lang w:val="sq-AL"/>
        </w:rPr>
      </w:pPr>
      <w:r w:rsidRPr="002A6F4E">
        <w:rPr>
          <w:rFonts w:ascii="Arial" w:hAnsi="Arial" w:cs="Arial"/>
          <w:lang w:val="sq-AL"/>
        </w:rPr>
        <w:t>Gene</w:t>
      </w:r>
      <w:r w:rsidR="00F9335D">
        <w:rPr>
          <w:rFonts w:ascii="Arial" w:hAnsi="Arial" w:cs="Arial"/>
          <w:lang w:val="sq-AL"/>
        </w:rPr>
        <w:t>risanje biorazgradivog otpada.</w:t>
      </w:r>
    </w:p>
    <w:p w14:paraId="1E99BED1" w14:textId="77777777" w:rsidR="009C3860" w:rsidRPr="007D0CC9" w:rsidRDefault="009C3860" w:rsidP="009C3860">
      <w:pPr>
        <w:pStyle w:val="ListParagraph"/>
        <w:spacing w:before="120" w:after="120" w:line="360" w:lineRule="auto"/>
        <w:contextualSpacing w:val="0"/>
        <w:rPr>
          <w:rFonts w:ascii="Arial" w:hAnsi="Arial" w:cs="Arial"/>
          <w:lang w:val="sq-AL"/>
        </w:rPr>
      </w:pPr>
    </w:p>
    <w:p w14:paraId="64674033" w14:textId="034BAEFC" w:rsidR="00042E27" w:rsidRDefault="00C232D7" w:rsidP="00F67DBA">
      <w:pPr>
        <w:tabs>
          <w:tab w:val="left" w:pos="764"/>
        </w:tabs>
        <w:rPr>
          <w:rFonts w:ascii="Arial" w:hAnsi="Arial" w:cs="Arial"/>
          <w:lang w:val="sq-AL"/>
        </w:rPr>
      </w:pPr>
      <w:r w:rsidRPr="002A6F4E">
        <w:rPr>
          <w:rFonts w:ascii="Arial" w:hAnsi="Arial" w:cs="Arial"/>
          <w:lang w:val="sq-AL"/>
        </w:rPr>
        <w:t xml:space="preserve">U sljedećoj tabeli sumirane su potrebe </w:t>
      </w:r>
      <w:r w:rsidR="007D0CC9">
        <w:rPr>
          <w:rFonts w:ascii="Arial" w:hAnsi="Arial" w:cs="Arial"/>
          <w:lang w:val="sq-AL"/>
        </w:rPr>
        <w:t>u pogledu</w:t>
      </w:r>
      <w:r w:rsidRPr="002A6F4E">
        <w:rPr>
          <w:rFonts w:ascii="Arial" w:hAnsi="Arial" w:cs="Arial"/>
          <w:lang w:val="sq-AL"/>
        </w:rPr>
        <w:t xml:space="preserve"> upravljanja otpadom.</w:t>
      </w:r>
    </w:p>
    <w:p w14:paraId="03483342" w14:textId="77777777" w:rsidR="009C3860" w:rsidRDefault="009C3860" w:rsidP="00F67DBA">
      <w:pPr>
        <w:tabs>
          <w:tab w:val="left" w:pos="764"/>
        </w:tabs>
        <w:rPr>
          <w:rFonts w:ascii="Arial" w:hAnsi="Arial" w:cs="Arial"/>
          <w:lang w:val="sq-AL"/>
        </w:rPr>
      </w:pPr>
    </w:p>
    <w:p w14:paraId="03E31A09" w14:textId="77777777" w:rsidR="009C3860" w:rsidRDefault="009C3860" w:rsidP="00F67DBA">
      <w:pPr>
        <w:tabs>
          <w:tab w:val="left" w:pos="764"/>
        </w:tabs>
        <w:rPr>
          <w:rFonts w:ascii="Arial" w:hAnsi="Arial" w:cs="Arial"/>
          <w:lang w:val="sq-AL"/>
        </w:rPr>
      </w:pPr>
    </w:p>
    <w:p w14:paraId="3A6A8172" w14:textId="77777777" w:rsidR="009C3860" w:rsidRDefault="009C3860" w:rsidP="00F67DBA">
      <w:pPr>
        <w:tabs>
          <w:tab w:val="left" w:pos="764"/>
        </w:tabs>
        <w:rPr>
          <w:rFonts w:ascii="Arial" w:hAnsi="Arial" w:cs="Arial"/>
          <w:lang w:val="sq-AL"/>
        </w:rPr>
      </w:pPr>
    </w:p>
    <w:p w14:paraId="22F4C966" w14:textId="77777777" w:rsidR="009C3860" w:rsidRDefault="009C3860" w:rsidP="00F67DBA">
      <w:pPr>
        <w:tabs>
          <w:tab w:val="left" w:pos="764"/>
        </w:tabs>
        <w:rPr>
          <w:rFonts w:ascii="Arial" w:hAnsi="Arial" w:cs="Arial"/>
          <w:lang w:val="sq-AL"/>
        </w:rPr>
      </w:pPr>
    </w:p>
    <w:p w14:paraId="23DF1431" w14:textId="77777777" w:rsidR="009C3860" w:rsidRDefault="009C3860" w:rsidP="00F67DBA">
      <w:pPr>
        <w:tabs>
          <w:tab w:val="left" w:pos="764"/>
        </w:tabs>
        <w:rPr>
          <w:rFonts w:ascii="Arial" w:hAnsi="Arial" w:cs="Arial"/>
          <w:lang w:val="sq-AL"/>
        </w:rPr>
      </w:pPr>
    </w:p>
    <w:p w14:paraId="40164FE0" w14:textId="77777777" w:rsidR="009C3860" w:rsidRDefault="009C3860" w:rsidP="00F67DBA">
      <w:pPr>
        <w:tabs>
          <w:tab w:val="left" w:pos="764"/>
        </w:tabs>
        <w:rPr>
          <w:rFonts w:ascii="Arial" w:hAnsi="Arial" w:cs="Arial"/>
          <w:lang w:val="sq-AL"/>
        </w:rPr>
      </w:pPr>
    </w:p>
    <w:p w14:paraId="3303276E" w14:textId="77777777" w:rsidR="009C3860" w:rsidRDefault="009C3860" w:rsidP="00F67DBA">
      <w:pPr>
        <w:tabs>
          <w:tab w:val="left" w:pos="764"/>
        </w:tabs>
        <w:rPr>
          <w:rFonts w:ascii="Arial" w:hAnsi="Arial" w:cs="Arial"/>
          <w:lang w:val="sq-AL"/>
        </w:rPr>
      </w:pPr>
    </w:p>
    <w:p w14:paraId="4A73C19C" w14:textId="77777777" w:rsidR="009C3860" w:rsidRDefault="009C3860" w:rsidP="00C232D7">
      <w:pPr>
        <w:pStyle w:val="Caption"/>
        <w:rPr>
          <w:rFonts w:ascii="Arial" w:hAnsi="Arial" w:cs="Arial"/>
          <w:b w:val="0"/>
          <w:szCs w:val="20"/>
          <w:lang w:val="sq-AL"/>
        </w:rPr>
      </w:pPr>
      <w:bookmarkStart w:id="851" w:name="_Toc189515611"/>
      <w:bookmarkStart w:id="852" w:name="_Toc190160727"/>
      <w:bookmarkStart w:id="853" w:name="_Toc367499"/>
      <w:bookmarkStart w:id="854" w:name="_Toc117607237"/>
      <w:bookmarkStart w:id="855" w:name="_Toc353978"/>
      <w:bookmarkStart w:id="856" w:name="_Toc2703372"/>
      <w:bookmarkStart w:id="857" w:name="_Toc3385258"/>
    </w:p>
    <w:p w14:paraId="2A0817C6" w14:textId="77777777" w:rsidR="00BF596F" w:rsidRDefault="00BF596F" w:rsidP="00BF596F">
      <w:pPr>
        <w:rPr>
          <w:lang w:val="sq-AL"/>
        </w:rPr>
      </w:pPr>
    </w:p>
    <w:p w14:paraId="1384C3A0" w14:textId="77777777" w:rsidR="00BF596F" w:rsidRDefault="00BF596F" w:rsidP="00BF596F">
      <w:pPr>
        <w:rPr>
          <w:lang w:val="sq-AL"/>
        </w:rPr>
      </w:pPr>
    </w:p>
    <w:p w14:paraId="6751898B" w14:textId="77777777" w:rsidR="00BF596F" w:rsidRDefault="00BF596F" w:rsidP="00BF596F">
      <w:pPr>
        <w:rPr>
          <w:lang w:val="sq-AL"/>
        </w:rPr>
      </w:pPr>
    </w:p>
    <w:p w14:paraId="3E169115" w14:textId="77777777" w:rsidR="00BF596F" w:rsidRPr="00BF596F" w:rsidRDefault="00BF596F" w:rsidP="00BF596F">
      <w:pPr>
        <w:rPr>
          <w:lang w:val="sq-AL"/>
        </w:rPr>
      </w:pPr>
    </w:p>
    <w:p w14:paraId="452E97AB" w14:textId="5A955929" w:rsidR="00C232D7" w:rsidRPr="002A6F4E" w:rsidRDefault="00DD561F" w:rsidP="00C232D7">
      <w:pPr>
        <w:pStyle w:val="Caption"/>
        <w:rPr>
          <w:rFonts w:ascii="Arial" w:hAnsi="Arial" w:cs="Arial"/>
          <w:b w:val="0"/>
          <w:sz w:val="20"/>
          <w:szCs w:val="20"/>
          <w:lang w:val="sq-AL"/>
        </w:rPr>
      </w:pPr>
      <w:r w:rsidRPr="00504DD9">
        <w:rPr>
          <w:rFonts w:ascii="Arial" w:hAnsi="Arial" w:cs="Arial"/>
          <w:b w:val="0"/>
          <w:szCs w:val="20"/>
          <w:lang w:val="sq-AL"/>
        </w:rPr>
        <w:lastRenderedPageBreak/>
        <w:t>T</w:t>
      </w:r>
      <w:r w:rsidR="00C232D7" w:rsidRPr="00504DD9">
        <w:rPr>
          <w:rFonts w:ascii="Arial" w:hAnsi="Arial" w:cs="Arial"/>
          <w:b w:val="0"/>
          <w:szCs w:val="20"/>
          <w:lang w:val="sq-AL"/>
        </w:rPr>
        <w:t xml:space="preserve">abela </w:t>
      </w:r>
      <w:r w:rsidR="00C232D7" w:rsidRPr="00504DD9">
        <w:rPr>
          <w:rFonts w:ascii="Arial" w:hAnsi="Arial" w:cs="Arial"/>
          <w:b w:val="0"/>
          <w:szCs w:val="20"/>
        </w:rPr>
        <w:fldChar w:fldCharType="begin"/>
      </w:r>
      <w:r w:rsidR="00C232D7" w:rsidRPr="00504DD9">
        <w:rPr>
          <w:rFonts w:ascii="Arial" w:hAnsi="Arial" w:cs="Arial"/>
          <w:b w:val="0"/>
          <w:szCs w:val="20"/>
          <w:lang w:val="sq-AL"/>
        </w:rPr>
        <w:instrText xml:space="preserve"> SEQ Tabela \* ARABIC </w:instrText>
      </w:r>
      <w:r w:rsidR="00C232D7" w:rsidRPr="00504DD9">
        <w:rPr>
          <w:rFonts w:ascii="Arial" w:hAnsi="Arial" w:cs="Arial"/>
          <w:b w:val="0"/>
          <w:szCs w:val="20"/>
        </w:rPr>
        <w:fldChar w:fldCharType="separate"/>
      </w:r>
      <w:r w:rsidR="007274DA">
        <w:rPr>
          <w:rFonts w:ascii="Arial" w:hAnsi="Arial" w:cs="Arial"/>
          <w:b w:val="0"/>
          <w:noProof/>
          <w:szCs w:val="20"/>
          <w:lang w:val="sq-AL"/>
        </w:rPr>
        <w:t>37</w:t>
      </w:r>
      <w:r w:rsidR="00C232D7" w:rsidRPr="00504DD9">
        <w:rPr>
          <w:rFonts w:ascii="Arial" w:hAnsi="Arial" w:cs="Arial"/>
          <w:b w:val="0"/>
          <w:szCs w:val="20"/>
        </w:rPr>
        <w:fldChar w:fldCharType="end"/>
      </w:r>
      <w:r w:rsidR="00C232D7" w:rsidRPr="00504DD9">
        <w:rPr>
          <w:rFonts w:ascii="Arial" w:hAnsi="Arial" w:cs="Arial"/>
          <w:b w:val="0"/>
          <w:szCs w:val="20"/>
          <w:lang w:val="sq-AL"/>
        </w:rPr>
        <w:t xml:space="preserve"> Potrebe u pogledu upravljanja otpadom</w:t>
      </w:r>
      <w:bookmarkEnd w:id="851"/>
      <w:bookmarkEnd w:id="852"/>
      <w:bookmarkEnd w:id="853"/>
      <w:bookmarkEnd w:id="854"/>
      <w:bookmarkEnd w:id="855"/>
      <w:bookmarkEnd w:id="856"/>
      <w:bookmarkEnd w:id="857"/>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1736"/>
        <w:gridCol w:w="3471"/>
        <w:gridCol w:w="4135"/>
      </w:tblGrid>
      <w:tr w:rsidR="00C232D7" w:rsidRPr="002A6F4E" w14:paraId="0238A302" w14:textId="77777777" w:rsidTr="00E854B6">
        <w:trPr>
          <w:trHeight w:val="521"/>
          <w:tblHeader/>
          <w:jc w:val="center"/>
        </w:trPr>
        <w:tc>
          <w:tcPr>
            <w:tcW w:w="929" w:type="pct"/>
            <w:shd w:val="clear" w:color="auto" w:fill="F2F2F2" w:themeFill="background1" w:themeFillShade="F2"/>
          </w:tcPr>
          <w:p w14:paraId="277D5A5B" w14:textId="77777777" w:rsidR="00C232D7" w:rsidRPr="009C3860" w:rsidRDefault="00C232D7" w:rsidP="00C232D7">
            <w:pPr>
              <w:spacing w:after="120" w:line="360" w:lineRule="auto"/>
              <w:ind w:right="45"/>
              <w:rPr>
                <w:rFonts w:ascii="Arial" w:hAnsi="Arial" w:cs="Arial"/>
                <w:b/>
                <w:bCs/>
                <w:sz w:val="16"/>
                <w:lang w:val="sq-AL"/>
              </w:rPr>
            </w:pPr>
            <w:r w:rsidRPr="009C3860">
              <w:rPr>
                <w:rFonts w:ascii="Arial" w:hAnsi="Arial" w:cs="Arial"/>
                <w:b/>
                <w:bCs/>
                <w:sz w:val="16"/>
                <w:lang w:val="sq-AL"/>
              </w:rPr>
              <w:t>Parametar procjene</w:t>
            </w:r>
          </w:p>
        </w:tc>
        <w:tc>
          <w:tcPr>
            <w:tcW w:w="1858" w:type="pct"/>
            <w:shd w:val="clear" w:color="auto" w:fill="F2F2F2" w:themeFill="background1" w:themeFillShade="F2"/>
          </w:tcPr>
          <w:p w14:paraId="0F0029BB" w14:textId="77777777" w:rsidR="00C232D7" w:rsidRPr="009C3860" w:rsidRDefault="00C232D7" w:rsidP="00C232D7">
            <w:pPr>
              <w:spacing w:after="120" w:line="360" w:lineRule="auto"/>
              <w:ind w:right="45"/>
              <w:rPr>
                <w:rFonts w:ascii="Arial" w:hAnsi="Arial" w:cs="Arial"/>
                <w:b/>
                <w:bCs/>
                <w:sz w:val="16"/>
                <w:lang w:val="sq-AL"/>
              </w:rPr>
            </w:pPr>
            <w:r w:rsidRPr="009C3860">
              <w:rPr>
                <w:rFonts w:ascii="Arial" w:hAnsi="Arial" w:cs="Arial"/>
                <w:b/>
                <w:bCs/>
                <w:sz w:val="16"/>
                <w:lang w:val="sq-AL"/>
              </w:rPr>
              <w:t xml:space="preserve">Identifikovani  problemi </w:t>
            </w:r>
          </w:p>
        </w:tc>
        <w:tc>
          <w:tcPr>
            <w:tcW w:w="2213" w:type="pct"/>
            <w:shd w:val="clear" w:color="auto" w:fill="F2F2F2" w:themeFill="background1" w:themeFillShade="F2"/>
          </w:tcPr>
          <w:p w14:paraId="144DA827" w14:textId="77777777" w:rsidR="00C232D7" w:rsidRPr="009C3860" w:rsidRDefault="00C232D7" w:rsidP="00C232D7">
            <w:pPr>
              <w:spacing w:after="120" w:line="360" w:lineRule="auto"/>
              <w:ind w:right="45"/>
              <w:rPr>
                <w:rFonts w:ascii="Arial" w:hAnsi="Arial" w:cs="Arial"/>
                <w:b/>
                <w:bCs/>
                <w:sz w:val="16"/>
                <w:lang w:val="sq-AL"/>
              </w:rPr>
            </w:pPr>
            <w:r w:rsidRPr="009C3860">
              <w:rPr>
                <w:rFonts w:ascii="Arial" w:hAnsi="Arial" w:cs="Arial"/>
                <w:b/>
                <w:bCs/>
                <w:sz w:val="16"/>
                <w:lang w:val="sq-AL"/>
              </w:rPr>
              <w:t xml:space="preserve">Potrebe za upravljanjem otpada </w:t>
            </w:r>
          </w:p>
        </w:tc>
      </w:tr>
      <w:tr w:rsidR="00C232D7" w:rsidRPr="0014164F" w14:paraId="769FCD67" w14:textId="77777777" w:rsidTr="00E854B6">
        <w:trPr>
          <w:jc w:val="center"/>
        </w:trPr>
        <w:tc>
          <w:tcPr>
            <w:tcW w:w="929" w:type="pct"/>
            <w:shd w:val="clear" w:color="auto" w:fill="auto"/>
          </w:tcPr>
          <w:p w14:paraId="51D2381A" w14:textId="77777777"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Sakupljanje i transport otpada</w:t>
            </w:r>
          </w:p>
        </w:tc>
        <w:tc>
          <w:tcPr>
            <w:tcW w:w="1858" w:type="pct"/>
          </w:tcPr>
          <w:p w14:paraId="08BF1604" w14:textId="77777777"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Relativno niska stopa sakupljanja otpada u ruralnim područjima;</w:t>
            </w:r>
          </w:p>
          <w:p w14:paraId="25BC5665" w14:textId="4A2366CB"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 xml:space="preserve">Nema organizovanog </w:t>
            </w:r>
            <w:r w:rsidR="00E8025E" w:rsidRPr="009C3860">
              <w:rPr>
                <w:rFonts w:ascii="Arial" w:hAnsi="Arial" w:cs="Arial"/>
                <w:sz w:val="16"/>
                <w:lang w:val="sq-AL" w:bidi="ar-AE"/>
              </w:rPr>
              <w:t>selektivnog sakupljanja</w:t>
            </w:r>
            <w:r w:rsidRPr="009C3860">
              <w:rPr>
                <w:rFonts w:ascii="Arial" w:hAnsi="Arial" w:cs="Arial"/>
                <w:sz w:val="16"/>
                <w:lang w:val="sq-AL" w:bidi="ar-AE"/>
              </w:rPr>
              <w:t xml:space="preserve"> </w:t>
            </w:r>
            <w:r w:rsidR="00E8025E" w:rsidRPr="009C3860">
              <w:rPr>
                <w:rFonts w:ascii="Arial" w:hAnsi="Arial" w:cs="Arial"/>
                <w:sz w:val="16"/>
                <w:lang w:val="sq-AL" w:bidi="ar-AE"/>
              </w:rPr>
              <w:t xml:space="preserve">na izvoru, </w:t>
            </w:r>
            <w:r w:rsidRPr="009C3860">
              <w:rPr>
                <w:rFonts w:ascii="Arial" w:hAnsi="Arial" w:cs="Arial"/>
                <w:sz w:val="16"/>
                <w:lang w:val="sq-AL" w:bidi="ar-AE"/>
              </w:rPr>
              <w:t>koj</w:t>
            </w:r>
            <w:r w:rsidR="00E8025E" w:rsidRPr="009C3860">
              <w:rPr>
                <w:rFonts w:ascii="Arial" w:hAnsi="Arial" w:cs="Arial"/>
                <w:sz w:val="16"/>
                <w:lang w:val="sq-AL" w:bidi="ar-AE"/>
              </w:rPr>
              <w:t>e</w:t>
            </w:r>
            <w:r w:rsidRPr="009C3860">
              <w:rPr>
                <w:rFonts w:ascii="Arial" w:hAnsi="Arial" w:cs="Arial"/>
                <w:sz w:val="16"/>
                <w:lang w:val="sq-AL" w:bidi="ar-AE"/>
              </w:rPr>
              <w:t xml:space="preserve"> će olakšati korišćenje materijala iz otpada;</w:t>
            </w:r>
          </w:p>
          <w:p w14:paraId="6FA46103" w14:textId="29E0BF16"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 xml:space="preserve">Skup sistem jer nedostaje </w:t>
            </w:r>
            <w:r w:rsidR="006154A8" w:rsidRPr="009C3860">
              <w:rPr>
                <w:rFonts w:ascii="Arial" w:hAnsi="Arial" w:cs="Arial"/>
                <w:sz w:val="16"/>
                <w:lang w:val="sq-AL" w:bidi="ar-AE"/>
              </w:rPr>
              <w:t>“</w:t>
            </w:r>
            <w:r w:rsidRPr="009C3860">
              <w:rPr>
                <w:rFonts w:ascii="Arial" w:hAnsi="Arial" w:cs="Arial"/>
                <w:sz w:val="16"/>
                <w:lang w:val="sq-AL" w:bidi="ar-AE"/>
              </w:rPr>
              <w:t>ekonomija obima</w:t>
            </w:r>
            <w:r w:rsidR="006154A8" w:rsidRPr="009C3860">
              <w:rPr>
                <w:rFonts w:ascii="Arial" w:hAnsi="Arial" w:cs="Arial"/>
                <w:sz w:val="16"/>
                <w:lang w:val="sq-AL" w:bidi="ar-AE"/>
              </w:rPr>
              <w:t>”</w:t>
            </w:r>
            <w:r w:rsidRPr="009C3860">
              <w:rPr>
                <w:rFonts w:ascii="Arial" w:hAnsi="Arial" w:cs="Arial"/>
                <w:sz w:val="16"/>
                <w:lang w:val="sq-AL" w:bidi="ar-AE"/>
              </w:rPr>
              <w:t xml:space="preserve"> budući da svaka jedinica lokalne samouprave  organizuje sopstveni sistem sakupljanja;</w:t>
            </w:r>
          </w:p>
          <w:p w14:paraId="102A9146" w14:textId="5083FC82"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 xml:space="preserve">Sistem sakupljanja otpada, u odnosu na lokaciju </w:t>
            </w:r>
            <w:r w:rsidR="00743204" w:rsidRPr="009C3860">
              <w:rPr>
                <w:rFonts w:ascii="Arial" w:hAnsi="Arial" w:cs="Arial"/>
                <w:sz w:val="16"/>
                <w:lang w:val="sq-AL" w:bidi="ar-AE"/>
              </w:rPr>
              <w:t>posuda</w:t>
            </w:r>
            <w:r w:rsidRPr="009C3860">
              <w:rPr>
                <w:rFonts w:ascii="Arial" w:hAnsi="Arial" w:cs="Arial"/>
                <w:sz w:val="16"/>
                <w:lang w:val="sq-AL" w:bidi="ar-AE"/>
              </w:rPr>
              <w:t xml:space="preserve"> i kontejnera, rute koje se prate i učestalost sakupljanja</w:t>
            </w:r>
            <w:r w:rsidR="00743204" w:rsidRPr="009C3860">
              <w:rPr>
                <w:rFonts w:ascii="Arial" w:hAnsi="Arial" w:cs="Arial"/>
                <w:sz w:val="16"/>
                <w:lang w:val="sq-AL" w:bidi="ar-AE"/>
              </w:rPr>
              <w:t>,</w:t>
            </w:r>
            <w:r w:rsidRPr="009C3860">
              <w:rPr>
                <w:rFonts w:ascii="Arial" w:hAnsi="Arial" w:cs="Arial"/>
                <w:sz w:val="16"/>
                <w:lang w:val="sq-AL" w:bidi="ar-AE"/>
              </w:rPr>
              <w:t xml:space="preserve">  </w:t>
            </w:r>
            <w:r w:rsidR="00951F47" w:rsidRPr="009C3860">
              <w:rPr>
                <w:rFonts w:ascii="Arial" w:hAnsi="Arial" w:cs="Arial"/>
                <w:sz w:val="16"/>
                <w:lang w:val="sq-AL" w:eastAsia="pl-PL"/>
              </w:rPr>
              <w:t>nijesu</w:t>
            </w:r>
            <w:r w:rsidRPr="009C3860">
              <w:rPr>
                <w:rFonts w:ascii="Arial" w:hAnsi="Arial" w:cs="Arial"/>
                <w:sz w:val="16"/>
                <w:lang w:val="sq-AL" w:bidi="ar-AE"/>
              </w:rPr>
              <w:t xml:space="preserve"> rezultat optimizacije;</w:t>
            </w:r>
          </w:p>
          <w:p w14:paraId="4C13F489" w14:textId="77777777" w:rsidR="00C232D7" w:rsidRPr="009C3860" w:rsidRDefault="00C232D7" w:rsidP="00C232D7">
            <w:pPr>
              <w:spacing w:after="120" w:line="360" w:lineRule="auto"/>
              <w:rPr>
                <w:rFonts w:ascii="Arial" w:hAnsi="Arial" w:cs="Arial"/>
                <w:sz w:val="16"/>
                <w:lang w:val="sq-AL" w:bidi="ar-AE"/>
              </w:rPr>
            </w:pPr>
            <w:r w:rsidRPr="009C3860">
              <w:rPr>
                <w:rFonts w:ascii="Arial" w:hAnsi="Arial" w:cs="Arial"/>
                <w:color w:val="000000"/>
                <w:sz w:val="16"/>
                <w:lang w:val="sq-AL"/>
              </w:rPr>
              <w:t>Ne sprovodi se kontinuiran monitoring aktivnosti sakupljanja otpada  u smislu stvarnih ruta koje se koriste</w:t>
            </w:r>
            <w:r w:rsidRPr="009C3860">
              <w:rPr>
                <w:rFonts w:ascii="Arial" w:hAnsi="Arial" w:cs="Arial"/>
                <w:sz w:val="16"/>
                <w:lang w:val="sq-AL" w:bidi="ar-AE"/>
              </w:rPr>
              <w:t>;</w:t>
            </w:r>
          </w:p>
          <w:p w14:paraId="3498F7E6" w14:textId="77777777"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Oprema za sakupljanje otpada je neodgovarajuća, nedovoljna i nije pravilno održavana;</w:t>
            </w:r>
          </w:p>
        </w:tc>
        <w:tc>
          <w:tcPr>
            <w:tcW w:w="2213" w:type="pct"/>
          </w:tcPr>
          <w:p w14:paraId="6B6AFB02" w14:textId="77777777"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Uspostavljanje i monitoring  uslova za odvojeno sakupljanje otpada;</w:t>
            </w:r>
          </w:p>
          <w:p w14:paraId="022C6E5F" w14:textId="3C431E07"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Postavljanje okvira, smjernica i propisa koji se odnose na oblasti sakupljanja i usluga</w:t>
            </w:r>
            <w:r w:rsidR="00743204" w:rsidRPr="009C3860">
              <w:rPr>
                <w:rFonts w:ascii="Arial" w:hAnsi="Arial" w:cs="Arial"/>
                <w:sz w:val="16"/>
                <w:lang w:val="sq-AL" w:bidi="ar-AE"/>
              </w:rPr>
              <w:t>;</w:t>
            </w:r>
          </w:p>
          <w:p w14:paraId="7D92E2B0" w14:textId="7EBE6228"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Neophodne specifikacije i oprema za sakupljanje otpada (</w:t>
            </w:r>
            <w:r w:rsidR="00E854B6" w:rsidRPr="009C3860">
              <w:rPr>
                <w:rFonts w:ascii="Arial" w:hAnsi="Arial" w:cs="Arial"/>
                <w:sz w:val="16"/>
                <w:lang w:val="sq-AL" w:bidi="ar-AE"/>
              </w:rPr>
              <w:t>posude</w:t>
            </w:r>
            <w:r w:rsidRPr="009C3860">
              <w:rPr>
                <w:rFonts w:ascii="Arial" w:hAnsi="Arial" w:cs="Arial"/>
                <w:sz w:val="16"/>
                <w:lang w:val="sq-AL" w:bidi="ar-AE"/>
              </w:rPr>
              <w:t>, kontejneri i kamioni) su utvrđene i uskla</w:t>
            </w:r>
            <w:r w:rsidR="002A57AF" w:rsidRPr="009C3860">
              <w:rPr>
                <w:rFonts w:ascii="Arial" w:hAnsi="Arial" w:cs="Arial"/>
                <w:sz w:val="16"/>
                <w:lang w:val="sq-AL" w:bidi="ar-AE"/>
              </w:rPr>
              <w:t>đ</w:t>
            </w:r>
            <w:r w:rsidRPr="009C3860">
              <w:rPr>
                <w:rFonts w:ascii="Arial" w:hAnsi="Arial" w:cs="Arial"/>
                <w:sz w:val="16"/>
                <w:lang w:val="sq-AL" w:bidi="ar-AE"/>
              </w:rPr>
              <w:t>ene sa odgovarajućim uslovima (uključujući lokacije), za sakupljanje ukupne generisane količine otpada</w:t>
            </w:r>
            <w:r w:rsidR="00743204" w:rsidRPr="009C3860">
              <w:rPr>
                <w:rFonts w:ascii="Arial" w:hAnsi="Arial" w:cs="Arial"/>
                <w:sz w:val="16"/>
                <w:lang w:val="sq-AL" w:bidi="ar-AE"/>
              </w:rPr>
              <w:t>;</w:t>
            </w:r>
          </w:p>
          <w:p w14:paraId="070F7247" w14:textId="77777777"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Optimizacija logistike i smanjenje troškova sakupljanja otpada postiže se putem mreže transfer stanica i kooperativnih aranžmana za ekonomiju obima;</w:t>
            </w:r>
          </w:p>
        </w:tc>
      </w:tr>
      <w:tr w:rsidR="00C232D7" w:rsidRPr="0014164F" w14:paraId="128B5D2F" w14:textId="77777777" w:rsidTr="00E854B6">
        <w:trPr>
          <w:jc w:val="center"/>
        </w:trPr>
        <w:tc>
          <w:tcPr>
            <w:tcW w:w="929" w:type="pct"/>
            <w:shd w:val="clear" w:color="auto" w:fill="auto"/>
          </w:tcPr>
          <w:p w14:paraId="6B97F0C9" w14:textId="233D9CD3"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 xml:space="preserve">Povrat i </w:t>
            </w:r>
            <w:r w:rsidR="006154A8" w:rsidRPr="009C3860">
              <w:rPr>
                <w:rFonts w:ascii="Arial" w:hAnsi="Arial" w:cs="Arial"/>
                <w:sz w:val="16"/>
                <w:lang w:val="sq-AL" w:bidi="ar-AE"/>
              </w:rPr>
              <w:t xml:space="preserve">obrada </w:t>
            </w:r>
            <w:r w:rsidRPr="009C3860">
              <w:rPr>
                <w:rFonts w:ascii="Arial" w:hAnsi="Arial" w:cs="Arial"/>
                <w:sz w:val="16"/>
                <w:lang w:val="sq-AL" w:bidi="ar-AE"/>
              </w:rPr>
              <w:t>otpada</w:t>
            </w:r>
          </w:p>
        </w:tc>
        <w:tc>
          <w:tcPr>
            <w:tcW w:w="1858" w:type="pct"/>
          </w:tcPr>
          <w:p w14:paraId="3EFD3F56" w14:textId="0DB604F3"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Niske performanse i loš rad postojećih postrojenja sa veoma niskim stopama recikl</w:t>
            </w:r>
            <w:r w:rsidR="006154A8" w:rsidRPr="009C3860">
              <w:rPr>
                <w:rFonts w:ascii="Arial" w:hAnsi="Arial" w:cs="Arial"/>
                <w:sz w:val="16"/>
                <w:lang w:val="sq-AL" w:bidi="ar-AE"/>
              </w:rPr>
              <w:t>iranja</w:t>
            </w:r>
            <w:r w:rsidRPr="009C3860">
              <w:rPr>
                <w:rFonts w:ascii="Arial" w:hAnsi="Arial" w:cs="Arial"/>
                <w:sz w:val="16"/>
                <w:lang w:val="sq-AL" w:bidi="ar-AE"/>
              </w:rPr>
              <w:t xml:space="preserve"> i maksimalnom stopom odlaganja;</w:t>
            </w:r>
          </w:p>
          <w:p w14:paraId="1473AAE0" w14:textId="68FE15D5"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Ukupn</w:t>
            </w:r>
            <w:r w:rsidR="006154A8" w:rsidRPr="009C3860">
              <w:rPr>
                <w:rFonts w:ascii="Arial" w:hAnsi="Arial" w:cs="Arial"/>
                <w:sz w:val="16"/>
                <w:lang w:val="sq-AL" w:bidi="ar-AE"/>
              </w:rPr>
              <w:t>o</w:t>
            </w:r>
            <w:r w:rsidRPr="009C3860">
              <w:rPr>
                <w:rFonts w:ascii="Arial" w:hAnsi="Arial" w:cs="Arial"/>
                <w:sz w:val="16"/>
                <w:lang w:val="sq-AL" w:bidi="ar-AE"/>
              </w:rPr>
              <w:t xml:space="preserve"> recikl</w:t>
            </w:r>
            <w:r w:rsidR="006154A8" w:rsidRPr="009C3860">
              <w:rPr>
                <w:rFonts w:ascii="Arial" w:hAnsi="Arial" w:cs="Arial"/>
                <w:sz w:val="16"/>
                <w:lang w:val="sq-AL" w:bidi="ar-AE"/>
              </w:rPr>
              <w:t>iranje</w:t>
            </w:r>
            <w:r w:rsidRPr="009C3860">
              <w:rPr>
                <w:rFonts w:ascii="Arial" w:hAnsi="Arial" w:cs="Arial"/>
                <w:sz w:val="16"/>
                <w:lang w:val="sq-AL" w:bidi="ar-AE"/>
              </w:rPr>
              <w:t xml:space="preserve"> je na veoma niskom nivou;</w:t>
            </w:r>
          </w:p>
          <w:p w14:paraId="346F04AE" w14:textId="5B02232C"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 xml:space="preserve">Neformalni sektor možda postiže veće stope reciklaže od formalnog sektora, uprkos postojećim postrojenjima, što je jasan pokazatelj da je rad postrojenja za </w:t>
            </w:r>
            <w:r w:rsidR="00743204" w:rsidRPr="009C3860">
              <w:rPr>
                <w:rFonts w:ascii="Arial" w:hAnsi="Arial" w:cs="Arial"/>
                <w:sz w:val="16"/>
                <w:lang w:val="sq-AL" w:bidi="ar-AE"/>
              </w:rPr>
              <w:t>obradu</w:t>
            </w:r>
            <w:r w:rsidRPr="009C3860">
              <w:rPr>
                <w:rFonts w:ascii="Arial" w:hAnsi="Arial" w:cs="Arial"/>
                <w:sz w:val="16"/>
                <w:lang w:val="sq-AL" w:bidi="ar-AE"/>
              </w:rPr>
              <w:t xml:space="preserve"> otpada veoma problematičan;</w:t>
            </w:r>
          </w:p>
          <w:p w14:paraId="22134E9F" w14:textId="523EFADA"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Neformalni sektor nije integrisan u organizovani sistem upravljanja otpadom;</w:t>
            </w:r>
          </w:p>
          <w:p w14:paraId="59BBE135" w14:textId="77777777"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Potrebno je u praksi poboljšati zdravlje i bezbjednost radnika;</w:t>
            </w:r>
          </w:p>
          <w:p w14:paraId="17BB97FB" w14:textId="76987CB2"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Visoki operativni troškovi u postrojenjima za recikl</w:t>
            </w:r>
            <w:r w:rsidR="003D5729" w:rsidRPr="009C3860">
              <w:rPr>
                <w:rFonts w:ascii="Arial" w:hAnsi="Arial" w:cs="Arial"/>
                <w:sz w:val="16"/>
                <w:lang w:val="sq-AL" w:bidi="ar-AE"/>
              </w:rPr>
              <w:t>iranje</w:t>
            </w:r>
            <w:r w:rsidRPr="009C3860">
              <w:rPr>
                <w:rFonts w:ascii="Arial" w:hAnsi="Arial" w:cs="Arial"/>
                <w:sz w:val="16"/>
                <w:lang w:val="sq-AL" w:bidi="ar-AE"/>
              </w:rPr>
              <w:t>, koja rade znatno ispod svojih kapaciteta;</w:t>
            </w:r>
          </w:p>
          <w:p w14:paraId="12C236FA" w14:textId="77777777"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Operateri za upravljanje otpadom ne posluju optimalno  zbog nedostatka finansijskih i ljudskih resursa za ispravnu izgradnju i rad postrojenja;</w:t>
            </w:r>
          </w:p>
          <w:p w14:paraId="3FC3D08A" w14:textId="337C298D"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 xml:space="preserve">Nema postrojenja za </w:t>
            </w:r>
            <w:r w:rsidR="00743204" w:rsidRPr="009C3860">
              <w:rPr>
                <w:rFonts w:ascii="Arial" w:hAnsi="Arial" w:cs="Arial"/>
                <w:sz w:val="16"/>
                <w:lang w:val="sq-AL" w:bidi="ar-AE"/>
              </w:rPr>
              <w:t>obradu</w:t>
            </w:r>
            <w:r w:rsidRPr="009C3860">
              <w:rPr>
                <w:rFonts w:ascii="Arial" w:hAnsi="Arial" w:cs="Arial"/>
                <w:sz w:val="16"/>
                <w:lang w:val="sq-AL" w:bidi="ar-AE"/>
              </w:rPr>
              <w:t xml:space="preserve"> </w:t>
            </w:r>
            <w:r w:rsidR="00743204" w:rsidRPr="009C3860">
              <w:rPr>
                <w:rFonts w:ascii="Arial" w:hAnsi="Arial" w:cs="Arial"/>
                <w:sz w:val="16"/>
                <w:lang w:val="sq-AL" w:bidi="ar-AE"/>
              </w:rPr>
              <w:t>miješanog</w:t>
            </w:r>
            <w:r w:rsidRPr="009C3860">
              <w:rPr>
                <w:rFonts w:ascii="Arial" w:hAnsi="Arial" w:cs="Arial"/>
                <w:sz w:val="16"/>
                <w:lang w:val="sq-AL" w:bidi="ar-AE"/>
              </w:rPr>
              <w:t xml:space="preserve"> otpada (uključujući biorazgradivu frakciju otpada).</w:t>
            </w:r>
          </w:p>
        </w:tc>
        <w:tc>
          <w:tcPr>
            <w:tcW w:w="2213" w:type="pct"/>
          </w:tcPr>
          <w:p w14:paraId="56240F0E" w14:textId="52F49D38" w:rsidR="00C232D7" w:rsidRPr="009C3860" w:rsidRDefault="006154A8" w:rsidP="00C232D7">
            <w:pPr>
              <w:spacing w:after="120" w:line="360" w:lineRule="auto"/>
              <w:rPr>
                <w:rFonts w:ascii="Arial" w:hAnsi="Arial" w:cs="Arial"/>
                <w:sz w:val="16"/>
                <w:lang w:val="sq-AL" w:bidi="ar-AE"/>
              </w:rPr>
            </w:pPr>
            <w:r w:rsidRPr="009C3860">
              <w:rPr>
                <w:rFonts w:ascii="Arial" w:hAnsi="Arial" w:cs="Arial"/>
                <w:sz w:val="16"/>
                <w:lang w:val="sq-AL" w:bidi="ar-AE"/>
              </w:rPr>
              <w:t>Uspostavljeni su</w:t>
            </w:r>
            <w:r w:rsidR="00C232D7" w:rsidRPr="009C3860">
              <w:rPr>
                <w:rFonts w:ascii="Arial" w:hAnsi="Arial" w:cs="Arial"/>
                <w:sz w:val="16"/>
                <w:lang w:val="sq-AL" w:bidi="ar-AE"/>
              </w:rPr>
              <w:t xml:space="preserve"> odvojeni sistemi sakupljanja;</w:t>
            </w:r>
          </w:p>
          <w:p w14:paraId="40626C85" w14:textId="07E980E6"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 xml:space="preserve">Stope </w:t>
            </w:r>
            <w:r w:rsidR="006154A8" w:rsidRPr="009C3860">
              <w:rPr>
                <w:rFonts w:ascii="Arial" w:hAnsi="Arial" w:cs="Arial"/>
                <w:sz w:val="16"/>
                <w:lang w:val="sq-AL" w:bidi="ar-AE"/>
              </w:rPr>
              <w:t xml:space="preserve">povrata materijala i </w:t>
            </w:r>
            <w:r w:rsidRPr="009C3860">
              <w:rPr>
                <w:rFonts w:ascii="Arial" w:hAnsi="Arial" w:cs="Arial"/>
                <w:sz w:val="16"/>
                <w:lang w:val="sq-AL" w:bidi="ar-AE"/>
              </w:rPr>
              <w:t>recikl</w:t>
            </w:r>
            <w:r w:rsidR="006154A8" w:rsidRPr="009C3860">
              <w:rPr>
                <w:rFonts w:ascii="Arial" w:hAnsi="Arial" w:cs="Arial"/>
                <w:sz w:val="16"/>
                <w:lang w:val="sq-AL" w:bidi="ar-AE"/>
              </w:rPr>
              <w:t>iranja</w:t>
            </w:r>
            <w:r w:rsidRPr="009C3860">
              <w:rPr>
                <w:rFonts w:ascii="Arial" w:hAnsi="Arial" w:cs="Arial"/>
                <w:sz w:val="16"/>
                <w:lang w:val="sq-AL" w:bidi="ar-AE"/>
              </w:rPr>
              <w:t xml:space="preserve"> i se povećavaju kako bi se ispunili postavljeni ciljevi;</w:t>
            </w:r>
          </w:p>
          <w:p w14:paraId="1AE9FB64" w14:textId="33D4322C" w:rsidR="00C232D7" w:rsidRPr="009C3860" w:rsidRDefault="00743204" w:rsidP="00C232D7">
            <w:pPr>
              <w:spacing w:after="120" w:line="360" w:lineRule="auto"/>
              <w:rPr>
                <w:rFonts w:ascii="Arial" w:hAnsi="Arial" w:cs="Arial"/>
                <w:sz w:val="16"/>
                <w:lang w:val="sq-AL" w:bidi="ar-AE"/>
              </w:rPr>
            </w:pPr>
            <w:r w:rsidRPr="009C3860">
              <w:rPr>
                <w:rFonts w:ascii="Arial" w:hAnsi="Arial" w:cs="Arial"/>
                <w:sz w:val="16"/>
                <w:lang w:val="sq-AL" w:bidi="ar-AE"/>
              </w:rPr>
              <w:t>Smanjivanje količina</w:t>
            </w:r>
            <w:r w:rsidR="00C232D7" w:rsidRPr="009C3860">
              <w:rPr>
                <w:rFonts w:ascii="Arial" w:hAnsi="Arial" w:cs="Arial"/>
                <w:sz w:val="16"/>
                <w:lang w:val="sq-AL" w:bidi="ar-AE"/>
              </w:rPr>
              <w:t xml:space="preserve"> biorazgradivog otpada </w:t>
            </w:r>
            <w:r w:rsidRPr="009C3860">
              <w:rPr>
                <w:rFonts w:ascii="Arial" w:hAnsi="Arial" w:cs="Arial"/>
                <w:sz w:val="16"/>
                <w:lang w:val="sq-AL" w:bidi="ar-AE"/>
              </w:rPr>
              <w:t>odloženog na</w:t>
            </w:r>
            <w:r w:rsidR="00C232D7" w:rsidRPr="009C3860">
              <w:rPr>
                <w:rFonts w:ascii="Arial" w:hAnsi="Arial" w:cs="Arial"/>
                <w:sz w:val="16"/>
                <w:lang w:val="sq-AL" w:bidi="ar-AE"/>
              </w:rPr>
              <w:t xml:space="preserve"> deponij</w:t>
            </w:r>
            <w:r w:rsidRPr="009C3860">
              <w:rPr>
                <w:rFonts w:ascii="Arial" w:hAnsi="Arial" w:cs="Arial"/>
                <w:sz w:val="16"/>
                <w:lang w:val="sq-AL" w:bidi="ar-AE"/>
              </w:rPr>
              <w:t>am</w:t>
            </w:r>
            <w:r w:rsidR="00C232D7" w:rsidRPr="009C3860">
              <w:rPr>
                <w:rFonts w:ascii="Arial" w:hAnsi="Arial" w:cs="Arial"/>
                <w:sz w:val="16"/>
                <w:lang w:val="sq-AL" w:bidi="ar-AE"/>
              </w:rPr>
              <w:t>a</w:t>
            </w:r>
            <w:r w:rsidR="00FF3352" w:rsidRPr="009C3860">
              <w:rPr>
                <w:rFonts w:ascii="Arial" w:hAnsi="Arial" w:cs="Arial"/>
                <w:sz w:val="16"/>
                <w:lang w:val="sq-AL" w:bidi="ar-AE"/>
              </w:rPr>
              <w:t>,</w:t>
            </w:r>
            <w:r w:rsidR="00C232D7" w:rsidRPr="009C3860">
              <w:rPr>
                <w:rFonts w:ascii="Arial" w:hAnsi="Arial" w:cs="Arial"/>
                <w:sz w:val="16"/>
                <w:lang w:val="sq-AL" w:bidi="ar-AE"/>
              </w:rPr>
              <w:t xml:space="preserve"> kako bi se ispunili postavljeni ciljevi;</w:t>
            </w:r>
          </w:p>
          <w:p w14:paraId="1D5DF356" w14:textId="187040AA"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 xml:space="preserve">Kapaciteti za </w:t>
            </w:r>
            <w:r w:rsidR="00743204" w:rsidRPr="009C3860">
              <w:rPr>
                <w:rFonts w:ascii="Arial" w:hAnsi="Arial" w:cs="Arial"/>
                <w:sz w:val="16"/>
                <w:lang w:val="sq-AL" w:bidi="ar-AE"/>
              </w:rPr>
              <w:t>obradu</w:t>
            </w:r>
            <w:r w:rsidRPr="009C3860">
              <w:rPr>
                <w:rFonts w:ascii="Arial" w:hAnsi="Arial" w:cs="Arial"/>
                <w:sz w:val="16"/>
                <w:lang w:val="sq-AL" w:bidi="ar-AE"/>
              </w:rPr>
              <w:t xml:space="preserve"> otpada su takvi da </w:t>
            </w:r>
            <w:r w:rsidR="009041E1" w:rsidRPr="009C3860">
              <w:rPr>
                <w:rFonts w:ascii="Arial" w:hAnsi="Arial" w:cs="Arial"/>
                <w:sz w:val="16"/>
                <w:lang w:val="sq-AL" w:bidi="ar-AE"/>
              </w:rPr>
              <w:t>obrađuju</w:t>
            </w:r>
            <w:r w:rsidRPr="009C3860">
              <w:rPr>
                <w:rFonts w:ascii="Arial" w:hAnsi="Arial" w:cs="Arial"/>
                <w:sz w:val="16"/>
                <w:lang w:val="sq-AL" w:bidi="ar-AE"/>
              </w:rPr>
              <w:t xml:space="preserve"> ukupne sakupljene količine otpada sa fokusom na povrat</w:t>
            </w:r>
            <w:r w:rsidR="003D5729" w:rsidRPr="009C3860">
              <w:rPr>
                <w:rFonts w:ascii="Arial" w:hAnsi="Arial" w:cs="Arial"/>
                <w:sz w:val="16"/>
                <w:lang w:val="sq-AL" w:bidi="ar-AE"/>
              </w:rPr>
              <w:t xml:space="preserve"> materijala </w:t>
            </w:r>
            <w:r w:rsidRPr="009C3860">
              <w:rPr>
                <w:rFonts w:ascii="Arial" w:hAnsi="Arial" w:cs="Arial"/>
                <w:sz w:val="16"/>
                <w:lang w:val="sq-AL" w:bidi="ar-AE"/>
              </w:rPr>
              <w:t>/recikl</w:t>
            </w:r>
            <w:r w:rsidR="003D5729" w:rsidRPr="009C3860">
              <w:rPr>
                <w:rFonts w:ascii="Arial" w:hAnsi="Arial" w:cs="Arial"/>
                <w:sz w:val="16"/>
                <w:lang w:val="sq-AL" w:bidi="ar-AE"/>
              </w:rPr>
              <w:t>iranje</w:t>
            </w:r>
            <w:r w:rsidRPr="009C3860">
              <w:rPr>
                <w:rFonts w:ascii="Arial" w:hAnsi="Arial" w:cs="Arial"/>
                <w:sz w:val="16"/>
                <w:lang w:val="sq-AL" w:bidi="ar-AE"/>
              </w:rPr>
              <w:t>, nakon čega slijedi povrat resursa i odlaganje ostataka;</w:t>
            </w:r>
          </w:p>
          <w:p w14:paraId="384CF313" w14:textId="50982EE1"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 xml:space="preserve">Postojeća postrojenja za </w:t>
            </w:r>
            <w:r w:rsidR="009041E1" w:rsidRPr="009C3860">
              <w:rPr>
                <w:rFonts w:ascii="Arial" w:hAnsi="Arial" w:cs="Arial"/>
                <w:sz w:val="16"/>
                <w:lang w:val="sq-AL" w:bidi="ar-AE"/>
              </w:rPr>
              <w:t>obradu</w:t>
            </w:r>
            <w:r w:rsidRPr="009C3860">
              <w:rPr>
                <w:rFonts w:ascii="Arial" w:hAnsi="Arial" w:cs="Arial"/>
                <w:sz w:val="16"/>
                <w:lang w:val="sq-AL" w:bidi="ar-AE"/>
              </w:rPr>
              <w:t xml:space="preserve"> otpada se integrišu u sistem</w:t>
            </w:r>
            <w:r w:rsidR="009041E1" w:rsidRPr="009C3860">
              <w:rPr>
                <w:rFonts w:ascii="Arial" w:hAnsi="Arial" w:cs="Arial"/>
                <w:sz w:val="16"/>
                <w:lang w:val="sq-AL" w:bidi="ar-AE"/>
              </w:rPr>
              <w:t>,</w:t>
            </w:r>
            <w:r w:rsidRPr="009C3860">
              <w:rPr>
                <w:rFonts w:ascii="Arial" w:hAnsi="Arial" w:cs="Arial"/>
                <w:sz w:val="16"/>
                <w:lang w:val="sq-AL" w:bidi="ar-AE"/>
              </w:rPr>
              <w:t xml:space="preserve"> gdje je to moguće, kako bi se doprinijelo postizanju postavljenih ciljeva;</w:t>
            </w:r>
          </w:p>
          <w:p w14:paraId="7B15E8A8" w14:textId="3BF54DDC" w:rsidR="00C232D7" w:rsidRPr="009C3860" w:rsidRDefault="00C232D7" w:rsidP="00C232D7">
            <w:pPr>
              <w:spacing w:after="120" w:line="360" w:lineRule="auto"/>
              <w:rPr>
                <w:rFonts w:ascii="Arial" w:hAnsi="Arial" w:cs="Arial"/>
                <w:sz w:val="16"/>
                <w:lang w:val="sq-AL" w:bidi="ar-AE"/>
              </w:rPr>
            </w:pPr>
            <w:r w:rsidRPr="009C3860">
              <w:rPr>
                <w:rFonts w:ascii="Arial" w:hAnsi="Arial" w:cs="Arial"/>
                <w:sz w:val="16"/>
                <w:lang w:val="sq-AL" w:bidi="ar-AE"/>
              </w:rPr>
              <w:t xml:space="preserve">Nova integrisana postrojenja, uključujući tehnologije u rasponu od mehaničkog biološkog tretmana (MBT) do termičke </w:t>
            </w:r>
            <w:r w:rsidR="003D5729" w:rsidRPr="009C3860">
              <w:rPr>
                <w:rFonts w:ascii="Arial" w:hAnsi="Arial" w:cs="Arial"/>
                <w:sz w:val="16"/>
                <w:lang w:val="sq-AL" w:bidi="ar-AE"/>
              </w:rPr>
              <w:t xml:space="preserve">obrade </w:t>
            </w:r>
            <w:r w:rsidRPr="009C3860">
              <w:rPr>
                <w:rFonts w:ascii="Arial" w:hAnsi="Arial" w:cs="Arial"/>
                <w:sz w:val="16"/>
                <w:lang w:val="sq-AL" w:bidi="ar-AE"/>
              </w:rPr>
              <w:t xml:space="preserve">i proizvodnje energije (TDPE), treba da se </w:t>
            </w:r>
            <w:r w:rsidR="003D5729" w:rsidRPr="009C3860">
              <w:rPr>
                <w:rFonts w:ascii="Arial" w:hAnsi="Arial" w:cs="Arial"/>
                <w:sz w:val="16"/>
                <w:lang w:val="sq-AL" w:bidi="ar-AE"/>
              </w:rPr>
              <w:t xml:space="preserve">izgrade </w:t>
            </w:r>
            <w:r w:rsidRPr="009C3860">
              <w:rPr>
                <w:rFonts w:ascii="Arial" w:hAnsi="Arial" w:cs="Arial"/>
                <w:sz w:val="16"/>
                <w:lang w:val="sq-AL" w:bidi="ar-AE"/>
              </w:rPr>
              <w:t>u skladu sa potrebama kapaciteta</w:t>
            </w:r>
            <w:r w:rsidR="003D5729" w:rsidRPr="009C3860">
              <w:rPr>
                <w:rFonts w:ascii="Arial" w:hAnsi="Arial" w:cs="Arial"/>
                <w:sz w:val="16"/>
                <w:lang w:val="sq-AL" w:bidi="ar-AE"/>
              </w:rPr>
              <w:t>.</w:t>
            </w:r>
          </w:p>
        </w:tc>
      </w:tr>
    </w:tbl>
    <w:p w14:paraId="7FFEE8D7" w14:textId="77777777" w:rsidR="00C232D7" w:rsidRPr="002A6F4E" w:rsidRDefault="00C232D7" w:rsidP="00C232D7">
      <w:pPr>
        <w:spacing w:before="120" w:after="120" w:line="360" w:lineRule="auto"/>
        <w:rPr>
          <w:rFonts w:ascii="Arial" w:hAnsi="Arial" w:cs="Arial"/>
          <w:lang w:val="sq-AL"/>
        </w:rPr>
      </w:pPr>
    </w:p>
    <w:p w14:paraId="5534D029" w14:textId="1B28B1E3" w:rsidR="00C232D7" w:rsidRPr="002A6F4E" w:rsidRDefault="00C232D7" w:rsidP="00F57909">
      <w:pPr>
        <w:pStyle w:val="Heading2"/>
      </w:pPr>
      <w:bookmarkStart w:id="858" w:name="_Toc193354013"/>
      <w:r w:rsidRPr="002A1003">
        <w:lastRenderedPageBreak/>
        <w:t>5.</w:t>
      </w:r>
      <w:r w:rsidR="006913A1">
        <w:t>8</w:t>
      </w:r>
      <w:r w:rsidRPr="002A1003">
        <w:t xml:space="preserve">. </w:t>
      </w:r>
      <w:r w:rsidRPr="002A6F4E">
        <w:t>Predložene uslužne oblasti</w:t>
      </w:r>
      <w:bookmarkEnd w:id="858"/>
    </w:p>
    <w:p w14:paraId="66229314" w14:textId="7715C212" w:rsidR="00C232D7" w:rsidRPr="002A6F4E" w:rsidRDefault="009041E1" w:rsidP="00C232D7">
      <w:pPr>
        <w:spacing w:before="120" w:after="120" w:line="360" w:lineRule="auto"/>
        <w:rPr>
          <w:rFonts w:ascii="Arial" w:hAnsi="Arial" w:cs="Arial"/>
          <w:lang w:val="sq-AL"/>
        </w:rPr>
      </w:pPr>
      <w:r>
        <w:rPr>
          <w:rFonts w:ascii="Arial" w:hAnsi="Arial" w:cs="Arial"/>
          <w:lang w:val="sq-AL"/>
        </w:rPr>
        <w:t>Osnova</w:t>
      </w:r>
      <w:r w:rsidR="00C232D7" w:rsidRPr="002A6F4E">
        <w:rPr>
          <w:rFonts w:ascii="Arial" w:hAnsi="Arial" w:cs="Arial"/>
          <w:lang w:val="sq-AL"/>
        </w:rPr>
        <w:t xml:space="preserve"> svakog integrisanog sistema upravljanja otpadom je </w:t>
      </w:r>
      <w:r w:rsidR="003D5729">
        <w:rPr>
          <w:rFonts w:ascii="Arial" w:hAnsi="Arial" w:cs="Arial"/>
          <w:lang w:val="sq-AL"/>
        </w:rPr>
        <w:t>uspostavljanje</w:t>
      </w:r>
      <w:r w:rsidR="003D5729" w:rsidRPr="002A6F4E">
        <w:rPr>
          <w:rFonts w:ascii="Arial" w:hAnsi="Arial" w:cs="Arial"/>
          <w:lang w:val="sq-AL"/>
        </w:rPr>
        <w:t xml:space="preserve"> </w:t>
      </w:r>
      <w:r w:rsidR="00C232D7" w:rsidRPr="002A6F4E">
        <w:rPr>
          <w:rFonts w:ascii="Arial" w:hAnsi="Arial" w:cs="Arial"/>
          <w:u w:val="single"/>
          <w:lang w:val="sq-AL"/>
        </w:rPr>
        <w:t>odgovarajućih zona upravljanja otpadom</w:t>
      </w:r>
      <w:r w:rsidR="00C232D7" w:rsidRPr="002A6F4E">
        <w:rPr>
          <w:rFonts w:ascii="Arial" w:hAnsi="Arial" w:cs="Arial"/>
          <w:lang w:val="sq-AL"/>
        </w:rPr>
        <w:t>, jer će naselja koja su uključena u svaku zonu imati zajedničk</w:t>
      </w:r>
      <w:r w:rsidR="003D5729">
        <w:rPr>
          <w:rFonts w:ascii="Arial" w:hAnsi="Arial" w:cs="Arial"/>
          <w:lang w:val="sq-AL"/>
        </w:rPr>
        <w:t>u</w:t>
      </w:r>
      <w:r w:rsidR="00C232D7" w:rsidRPr="002A6F4E">
        <w:rPr>
          <w:rFonts w:ascii="Arial" w:hAnsi="Arial" w:cs="Arial"/>
          <w:lang w:val="sq-AL"/>
        </w:rPr>
        <w:t xml:space="preserve"> </w:t>
      </w:r>
      <w:r w:rsidR="003D5729">
        <w:rPr>
          <w:rFonts w:ascii="Arial" w:hAnsi="Arial" w:cs="Arial"/>
          <w:lang w:val="sq-AL"/>
        </w:rPr>
        <w:t>obradu otpada</w:t>
      </w:r>
      <w:r w:rsidR="00C232D7" w:rsidRPr="002A6F4E">
        <w:rPr>
          <w:rFonts w:ascii="Arial" w:hAnsi="Arial" w:cs="Arial"/>
          <w:lang w:val="sq-AL"/>
        </w:rPr>
        <w:t xml:space="preserve">, odnosno opslužiće ih ista infrastruktura za upravljanje otpadom (postrojenja za </w:t>
      </w:r>
      <w:r w:rsidR="003D5729">
        <w:rPr>
          <w:rFonts w:ascii="Arial" w:hAnsi="Arial" w:cs="Arial"/>
          <w:lang w:val="sq-AL"/>
        </w:rPr>
        <w:t>obradu</w:t>
      </w:r>
      <w:r w:rsidR="00C232D7" w:rsidRPr="002A6F4E">
        <w:rPr>
          <w:rFonts w:ascii="Arial" w:hAnsi="Arial" w:cs="Arial"/>
          <w:lang w:val="sq-AL"/>
        </w:rPr>
        <w:t xml:space="preserve"> i sl.).</w:t>
      </w:r>
    </w:p>
    <w:p w14:paraId="57714C77"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Uspješan izbor ovih zona u velikoj mjeri određuje efikasnost predloženog sistema upravljanja otpadom. U sljedećoj tabeli ilustrovane su prednosti i nedostaci zonskog upravljanja otpadom.</w:t>
      </w:r>
    </w:p>
    <w:p w14:paraId="308F6825" w14:textId="0138BBDD" w:rsidR="00C232D7" w:rsidRPr="002A6F4E" w:rsidRDefault="00473E3A" w:rsidP="00473E3A">
      <w:pPr>
        <w:pStyle w:val="Caption"/>
        <w:rPr>
          <w:rFonts w:ascii="Arial" w:hAnsi="Arial" w:cs="Arial"/>
          <w:b w:val="0"/>
          <w:sz w:val="20"/>
          <w:szCs w:val="20"/>
          <w:lang w:val="sq-AL"/>
        </w:rPr>
      </w:pPr>
      <w:bookmarkStart w:id="859" w:name="_Toc335132090"/>
      <w:bookmarkStart w:id="860" w:name="_Toc264289034"/>
      <w:bookmarkStart w:id="861" w:name="_Toc497406067"/>
      <w:bookmarkStart w:id="862" w:name="_Toc110350556"/>
      <w:bookmarkStart w:id="863" w:name="_Toc110612549"/>
      <w:bookmarkStart w:id="864" w:name="_Toc110350461"/>
      <w:bookmarkStart w:id="865" w:name="_Toc117607238"/>
      <w:bookmarkStart w:id="866" w:name="_Toc468723432"/>
      <w:bookmarkStart w:id="867" w:name="_Toc191634894"/>
      <w:bookmarkStart w:id="868" w:name="_Toc189515613"/>
      <w:bookmarkStart w:id="869" w:name="_Toc190160729"/>
      <w:r w:rsidRPr="00473E3A">
        <w:rPr>
          <w:rFonts w:ascii="Arial" w:hAnsi="Arial" w:cs="Arial"/>
          <w:b w:val="0"/>
        </w:rPr>
        <w:t xml:space="preserve">Tabela </w:t>
      </w:r>
      <w:r w:rsidRPr="00473E3A">
        <w:rPr>
          <w:rFonts w:ascii="Arial" w:hAnsi="Arial" w:cs="Arial"/>
          <w:b w:val="0"/>
        </w:rPr>
        <w:fldChar w:fldCharType="begin"/>
      </w:r>
      <w:r w:rsidRPr="00473E3A">
        <w:rPr>
          <w:rFonts w:ascii="Arial" w:hAnsi="Arial" w:cs="Arial"/>
          <w:b w:val="0"/>
        </w:rPr>
        <w:instrText xml:space="preserve"> SEQ Tabela \* ARABIC </w:instrText>
      </w:r>
      <w:r w:rsidRPr="00473E3A">
        <w:rPr>
          <w:rFonts w:ascii="Arial" w:hAnsi="Arial" w:cs="Arial"/>
          <w:b w:val="0"/>
        </w:rPr>
        <w:fldChar w:fldCharType="separate"/>
      </w:r>
      <w:r w:rsidR="007274DA">
        <w:rPr>
          <w:rFonts w:ascii="Arial" w:hAnsi="Arial" w:cs="Arial"/>
          <w:b w:val="0"/>
          <w:noProof/>
        </w:rPr>
        <w:t>38</w:t>
      </w:r>
      <w:r w:rsidRPr="00473E3A">
        <w:rPr>
          <w:rFonts w:ascii="Arial" w:hAnsi="Arial" w:cs="Arial"/>
          <w:b w:val="0"/>
        </w:rPr>
        <w:fldChar w:fldCharType="end"/>
      </w:r>
      <w:r w:rsidR="00C232D7" w:rsidRPr="00F017D4">
        <w:rPr>
          <w:rFonts w:ascii="Arial" w:hAnsi="Arial" w:cs="Arial"/>
          <w:b w:val="0"/>
          <w:sz w:val="20"/>
          <w:szCs w:val="20"/>
          <w:lang w:val="sq-AL"/>
        </w:rPr>
        <w:t xml:space="preserve"> </w:t>
      </w:r>
      <w:r w:rsidR="00C232D7" w:rsidRPr="00473E3A">
        <w:rPr>
          <w:rFonts w:ascii="Arial" w:hAnsi="Arial" w:cs="Arial"/>
          <w:b w:val="0"/>
          <w:szCs w:val="20"/>
          <w:lang w:val="sq-AL"/>
        </w:rPr>
        <w:t>Prednosti i nedostaci zonskog upravljanja otpadom</w:t>
      </w:r>
      <w:bookmarkEnd w:id="859"/>
      <w:bookmarkEnd w:id="860"/>
      <w:bookmarkEnd w:id="861"/>
      <w:bookmarkEnd w:id="862"/>
      <w:bookmarkEnd w:id="863"/>
      <w:bookmarkEnd w:id="864"/>
      <w:bookmarkEnd w:id="865"/>
      <w:bookmarkEnd w:id="866"/>
      <w:bookmarkEnd w:id="867"/>
      <w:bookmarkEnd w:id="868"/>
      <w:bookmarkEnd w:id="869"/>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4008"/>
        <w:gridCol w:w="3505"/>
      </w:tblGrid>
      <w:tr w:rsidR="00C232D7" w:rsidRPr="002A6F4E" w14:paraId="731F519F" w14:textId="77777777" w:rsidTr="00C232D7">
        <w:trPr>
          <w:trHeight w:val="508"/>
          <w:tblHeader/>
          <w:jc w:val="center"/>
        </w:trPr>
        <w:tc>
          <w:tcPr>
            <w:tcW w:w="4008" w:type="dxa"/>
            <w:shd w:val="clear" w:color="auto" w:fill="F2F2F2" w:themeFill="background1" w:themeFillShade="F2"/>
            <w:vAlign w:val="center"/>
          </w:tcPr>
          <w:p w14:paraId="089B1109" w14:textId="77777777" w:rsidR="00C232D7" w:rsidRPr="00E75558" w:rsidRDefault="00C232D7" w:rsidP="00C232D7">
            <w:pPr>
              <w:spacing w:before="40" w:after="40" w:line="360" w:lineRule="auto"/>
              <w:ind w:left="-14"/>
              <w:rPr>
                <w:rFonts w:ascii="Arial" w:hAnsi="Arial" w:cs="Arial"/>
                <w:b/>
                <w:bCs/>
                <w:sz w:val="18"/>
                <w:szCs w:val="18"/>
                <w:lang w:val="sq-AL"/>
              </w:rPr>
            </w:pPr>
            <w:r w:rsidRPr="00E75558">
              <w:rPr>
                <w:rFonts w:ascii="Arial" w:hAnsi="Arial" w:cs="Arial"/>
                <w:b/>
                <w:bCs/>
                <w:sz w:val="18"/>
                <w:szCs w:val="18"/>
                <w:lang w:val="sq-AL"/>
              </w:rPr>
              <w:t>Prednosti</w:t>
            </w:r>
          </w:p>
        </w:tc>
        <w:tc>
          <w:tcPr>
            <w:tcW w:w="3505" w:type="dxa"/>
            <w:shd w:val="clear" w:color="auto" w:fill="F2F2F2" w:themeFill="background1" w:themeFillShade="F2"/>
            <w:vAlign w:val="center"/>
          </w:tcPr>
          <w:p w14:paraId="3FE94596" w14:textId="77777777" w:rsidR="00C232D7" w:rsidRPr="00E75558" w:rsidRDefault="00C232D7" w:rsidP="00C232D7">
            <w:pPr>
              <w:spacing w:before="40" w:after="40" w:line="360" w:lineRule="auto"/>
              <w:rPr>
                <w:rFonts w:ascii="Arial" w:hAnsi="Arial" w:cs="Arial"/>
                <w:b/>
                <w:bCs/>
                <w:sz w:val="18"/>
                <w:szCs w:val="18"/>
                <w:lang w:val="sq-AL"/>
              </w:rPr>
            </w:pPr>
            <w:r w:rsidRPr="00E75558">
              <w:rPr>
                <w:rFonts w:ascii="Arial" w:hAnsi="Arial" w:cs="Arial"/>
                <w:b/>
                <w:bCs/>
                <w:sz w:val="18"/>
                <w:szCs w:val="18"/>
                <w:lang w:val="sq-AL"/>
              </w:rPr>
              <w:t>Nedostaci</w:t>
            </w:r>
          </w:p>
        </w:tc>
      </w:tr>
      <w:tr w:rsidR="00C232D7" w:rsidRPr="0014164F" w14:paraId="2AE463F0" w14:textId="77777777" w:rsidTr="00C232D7">
        <w:trPr>
          <w:jc w:val="center"/>
        </w:trPr>
        <w:tc>
          <w:tcPr>
            <w:tcW w:w="4008" w:type="dxa"/>
            <w:shd w:val="clear" w:color="auto" w:fill="auto"/>
            <w:vAlign w:val="center"/>
          </w:tcPr>
          <w:p w14:paraId="138B4191" w14:textId="18C31751" w:rsidR="00C232D7" w:rsidRPr="00E75558" w:rsidRDefault="00C232D7" w:rsidP="00C232D7">
            <w:pPr>
              <w:spacing w:before="40" w:after="40" w:line="360" w:lineRule="auto"/>
              <w:ind w:left="-14"/>
              <w:rPr>
                <w:rFonts w:ascii="Arial" w:hAnsi="Arial" w:cs="Arial"/>
                <w:sz w:val="18"/>
                <w:szCs w:val="18"/>
                <w:lang w:val="sq-AL"/>
              </w:rPr>
            </w:pPr>
            <w:r w:rsidRPr="00E75558">
              <w:rPr>
                <w:rFonts w:ascii="Arial" w:hAnsi="Arial" w:cs="Arial"/>
                <w:sz w:val="18"/>
                <w:szCs w:val="18"/>
                <w:lang w:val="sq-AL"/>
              </w:rPr>
              <w:t>Povećanje veličine/</w:t>
            </w:r>
          </w:p>
          <w:p w14:paraId="605F1471" w14:textId="77777777" w:rsidR="00C232D7" w:rsidRPr="00E75558" w:rsidRDefault="00C232D7" w:rsidP="00C232D7">
            <w:pPr>
              <w:spacing w:before="40" w:after="40" w:line="360" w:lineRule="auto"/>
              <w:ind w:left="-14"/>
              <w:rPr>
                <w:rFonts w:ascii="Arial" w:hAnsi="Arial" w:cs="Arial"/>
                <w:sz w:val="18"/>
                <w:szCs w:val="18"/>
                <w:lang w:val="sq-AL"/>
              </w:rPr>
            </w:pPr>
            <w:r w:rsidRPr="00E75558">
              <w:rPr>
                <w:rFonts w:ascii="Arial" w:hAnsi="Arial" w:cs="Arial"/>
                <w:sz w:val="18"/>
                <w:szCs w:val="18"/>
                <w:lang w:val="sq-AL"/>
              </w:rPr>
              <w:t>Smanjeni troškovi upravljanja</w:t>
            </w:r>
          </w:p>
        </w:tc>
        <w:tc>
          <w:tcPr>
            <w:tcW w:w="3505" w:type="dxa"/>
            <w:shd w:val="clear" w:color="auto" w:fill="auto"/>
            <w:vAlign w:val="center"/>
          </w:tcPr>
          <w:p w14:paraId="3AA018CE" w14:textId="0F622BC3" w:rsidR="00C232D7" w:rsidRPr="00E75558" w:rsidRDefault="00C232D7" w:rsidP="00C232D7">
            <w:pPr>
              <w:spacing w:before="40" w:after="40" w:line="360" w:lineRule="auto"/>
              <w:ind w:left="-14"/>
              <w:rPr>
                <w:rFonts w:ascii="Arial" w:hAnsi="Arial" w:cs="Arial"/>
                <w:sz w:val="18"/>
                <w:szCs w:val="18"/>
                <w:lang w:val="sq-AL"/>
              </w:rPr>
            </w:pPr>
            <w:r w:rsidRPr="00E75558">
              <w:rPr>
                <w:rFonts w:ascii="Arial" w:hAnsi="Arial" w:cs="Arial"/>
                <w:sz w:val="18"/>
                <w:szCs w:val="18"/>
                <w:lang w:val="sq-AL"/>
              </w:rPr>
              <w:t>Više kamionskih ruta za otpad/ povećan apsolutni trošak (€) za transport otpada</w:t>
            </w:r>
          </w:p>
        </w:tc>
      </w:tr>
      <w:tr w:rsidR="00C232D7" w:rsidRPr="002A6F4E" w14:paraId="6E945482" w14:textId="77777777" w:rsidTr="00C232D7">
        <w:trPr>
          <w:jc w:val="center"/>
        </w:trPr>
        <w:tc>
          <w:tcPr>
            <w:tcW w:w="4008" w:type="dxa"/>
            <w:shd w:val="clear" w:color="auto" w:fill="auto"/>
            <w:vAlign w:val="center"/>
          </w:tcPr>
          <w:p w14:paraId="16DAC482" w14:textId="77777777" w:rsidR="00C232D7" w:rsidRPr="00E75558" w:rsidRDefault="00C232D7" w:rsidP="00C232D7">
            <w:pPr>
              <w:spacing w:before="40" w:after="40" w:line="360" w:lineRule="auto"/>
              <w:ind w:left="-14"/>
              <w:rPr>
                <w:rFonts w:ascii="Arial" w:hAnsi="Arial" w:cs="Arial"/>
                <w:sz w:val="18"/>
                <w:szCs w:val="18"/>
                <w:lang w:val="sq-AL"/>
              </w:rPr>
            </w:pPr>
            <w:r w:rsidRPr="00E75558">
              <w:rPr>
                <w:rFonts w:ascii="Arial" w:hAnsi="Arial" w:cs="Arial"/>
                <w:sz w:val="18"/>
                <w:szCs w:val="18"/>
                <w:lang w:val="sq-AL"/>
              </w:rPr>
              <w:t>Veća finansijska sposobnost</w:t>
            </w:r>
          </w:p>
        </w:tc>
        <w:tc>
          <w:tcPr>
            <w:tcW w:w="3505" w:type="dxa"/>
            <w:shd w:val="clear" w:color="auto" w:fill="auto"/>
            <w:vAlign w:val="center"/>
          </w:tcPr>
          <w:p w14:paraId="61B16C4B" w14:textId="77777777" w:rsidR="00C232D7" w:rsidRPr="00E75558" w:rsidRDefault="00C232D7" w:rsidP="00C232D7">
            <w:pPr>
              <w:spacing w:before="40" w:after="40" w:line="360" w:lineRule="auto"/>
              <w:rPr>
                <w:rFonts w:ascii="Arial" w:hAnsi="Arial" w:cs="Arial"/>
                <w:sz w:val="18"/>
                <w:szCs w:val="18"/>
                <w:lang w:val="sq-AL"/>
              </w:rPr>
            </w:pPr>
            <w:r w:rsidRPr="00E75558">
              <w:rPr>
                <w:rFonts w:ascii="Arial" w:hAnsi="Arial" w:cs="Arial"/>
                <w:sz w:val="18"/>
                <w:szCs w:val="18"/>
                <w:lang w:val="sq-AL"/>
              </w:rPr>
              <w:t>-</w:t>
            </w:r>
          </w:p>
        </w:tc>
      </w:tr>
      <w:tr w:rsidR="00C232D7" w:rsidRPr="0014164F" w14:paraId="21CADEC1" w14:textId="77777777" w:rsidTr="00C232D7">
        <w:trPr>
          <w:jc w:val="center"/>
        </w:trPr>
        <w:tc>
          <w:tcPr>
            <w:tcW w:w="4008" w:type="dxa"/>
            <w:shd w:val="clear" w:color="auto" w:fill="auto"/>
            <w:vAlign w:val="center"/>
          </w:tcPr>
          <w:p w14:paraId="4B7AE235" w14:textId="77777777" w:rsidR="00C232D7" w:rsidRPr="00E75558" w:rsidRDefault="00C232D7" w:rsidP="00C232D7">
            <w:pPr>
              <w:spacing w:before="40" w:after="40" w:line="360" w:lineRule="auto"/>
              <w:ind w:left="-14"/>
              <w:rPr>
                <w:rFonts w:ascii="Arial" w:hAnsi="Arial" w:cs="Arial"/>
                <w:sz w:val="18"/>
                <w:szCs w:val="18"/>
                <w:lang w:val="sq-AL"/>
              </w:rPr>
            </w:pPr>
            <w:r w:rsidRPr="00E75558">
              <w:rPr>
                <w:rFonts w:ascii="Arial" w:hAnsi="Arial" w:cs="Arial"/>
                <w:sz w:val="18"/>
                <w:szCs w:val="18"/>
                <w:lang w:val="sq-AL"/>
              </w:rPr>
              <w:t>Bolji ekološki učinak u upravljanju otpadom</w:t>
            </w:r>
          </w:p>
        </w:tc>
        <w:tc>
          <w:tcPr>
            <w:tcW w:w="3505" w:type="dxa"/>
            <w:shd w:val="clear" w:color="auto" w:fill="auto"/>
            <w:vAlign w:val="center"/>
          </w:tcPr>
          <w:p w14:paraId="4444E325" w14:textId="77777777" w:rsidR="00C232D7" w:rsidRPr="00E75558" w:rsidRDefault="00C232D7" w:rsidP="00C232D7">
            <w:pPr>
              <w:spacing w:before="40" w:after="40" w:line="360" w:lineRule="auto"/>
              <w:ind w:left="-14"/>
              <w:rPr>
                <w:rFonts w:ascii="Arial" w:hAnsi="Arial" w:cs="Arial"/>
                <w:sz w:val="18"/>
                <w:szCs w:val="18"/>
                <w:lang w:val="sq-AL"/>
              </w:rPr>
            </w:pPr>
            <w:r w:rsidRPr="00E75558">
              <w:rPr>
                <w:rFonts w:ascii="Arial" w:hAnsi="Arial" w:cs="Arial"/>
                <w:sz w:val="18"/>
                <w:szCs w:val="18"/>
                <w:lang w:val="sq-AL"/>
              </w:rPr>
              <w:t>Povećanje emisija u vazduh iz kamiona za otpad</w:t>
            </w:r>
          </w:p>
        </w:tc>
      </w:tr>
      <w:tr w:rsidR="00C232D7" w:rsidRPr="002A6F4E" w14:paraId="1D54A066" w14:textId="77777777" w:rsidTr="00C232D7">
        <w:trPr>
          <w:jc w:val="center"/>
        </w:trPr>
        <w:tc>
          <w:tcPr>
            <w:tcW w:w="4008" w:type="dxa"/>
            <w:shd w:val="clear" w:color="auto" w:fill="auto"/>
            <w:vAlign w:val="center"/>
          </w:tcPr>
          <w:p w14:paraId="7ED0638F" w14:textId="77777777" w:rsidR="00C232D7" w:rsidRPr="00E75558" w:rsidRDefault="00C232D7" w:rsidP="00C232D7">
            <w:pPr>
              <w:spacing w:before="40" w:after="40" w:line="360" w:lineRule="auto"/>
              <w:ind w:left="-14"/>
              <w:rPr>
                <w:rFonts w:ascii="Arial" w:hAnsi="Arial" w:cs="Arial"/>
                <w:sz w:val="18"/>
                <w:szCs w:val="18"/>
                <w:lang w:val="sq-AL"/>
              </w:rPr>
            </w:pPr>
            <w:r w:rsidRPr="00E75558">
              <w:rPr>
                <w:rFonts w:ascii="Arial" w:hAnsi="Arial" w:cs="Arial"/>
                <w:sz w:val="18"/>
                <w:szCs w:val="18"/>
                <w:lang w:val="sq-AL"/>
              </w:rPr>
              <w:t>Efikasnije tehničko i administrativno upravljanje</w:t>
            </w:r>
          </w:p>
        </w:tc>
        <w:tc>
          <w:tcPr>
            <w:tcW w:w="3505" w:type="dxa"/>
            <w:shd w:val="clear" w:color="auto" w:fill="auto"/>
            <w:vAlign w:val="center"/>
          </w:tcPr>
          <w:p w14:paraId="1B884FCD" w14:textId="77777777" w:rsidR="00C232D7" w:rsidRPr="00E75558" w:rsidRDefault="00C232D7" w:rsidP="00C232D7">
            <w:pPr>
              <w:spacing w:before="40" w:after="40" w:line="360" w:lineRule="auto"/>
              <w:ind w:left="-14"/>
              <w:rPr>
                <w:rFonts w:ascii="Arial" w:hAnsi="Arial" w:cs="Arial"/>
                <w:sz w:val="18"/>
                <w:szCs w:val="18"/>
                <w:lang w:val="sq-AL"/>
              </w:rPr>
            </w:pPr>
            <w:r w:rsidRPr="00E75558">
              <w:rPr>
                <w:rFonts w:ascii="Arial" w:hAnsi="Arial" w:cs="Arial"/>
                <w:sz w:val="18"/>
                <w:szCs w:val="18"/>
                <w:lang w:val="sq-AL"/>
              </w:rPr>
              <w:t>Smanjena fleksibilnost</w:t>
            </w:r>
          </w:p>
          <w:p w14:paraId="576A1FD9" w14:textId="77777777" w:rsidR="00C232D7" w:rsidRPr="00E75558" w:rsidRDefault="00C232D7" w:rsidP="00C232D7">
            <w:pPr>
              <w:spacing w:before="40" w:after="40" w:line="360" w:lineRule="auto"/>
              <w:rPr>
                <w:rFonts w:ascii="Arial" w:hAnsi="Arial" w:cs="Arial"/>
                <w:sz w:val="18"/>
                <w:szCs w:val="18"/>
                <w:lang w:val="sq-AL"/>
              </w:rPr>
            </w:pPr>
          </w:p>
        </w:tc>
      </w:tr>
      <w:tr w:rsidR="00C232D7" w:rsidRPr="002A6F4E" w14:paraId="1FD57084" w14:textId="77777777" w:rsidTr="00C232D7">
        <w:trPr>
          <w:jc w:val="center"/>
        </w:trPr>
        <w:tc>
          <w:tcPr>
            <w:tcW w:w="4008" w:type="dxa"/>
            <w:shd w:val="clear" w:color="auto" w:fill="auto"/>
            <w:vAlign w:val="center"/>
          </w:tcPr>
          <w:p w14:paraId="529A375B" w14:textId="77777777" w:rsidR="00C232D7" w:rsidRPr="00E75558" w:rsidRDefault="00C232D7" w:rsidP="00C232D7">
            <w:pPr>
              <w:spacing w:before="40" w:after="40" w:line="360" w:lineRule="auto"/>
              <w:ind w:left="-14"/>
              <w:rPr>
                <w:rFonts w:ascii="Arial" w:hAnsi="Arial" w:cs="Arial"/>
                <w:sz w:val="18"/>
                <w:szCs w:val="18"/>
                <w:lang w:val="sq-AL"/>
              </w:rPr>
            </w:pPr>
            <w:r w:rsidRPr="00E75558">
              <w:rPr>
                <w:rFonts w:ascii="Arial" w:hAnsi="Arial" w:cs="Arial"/>
                <w:sz w:val="18"/>
                <w:szCs w:val="18"/>
                <w:lang w:val="sq-AL"/>
              </w:rPr>
              <w:t>Potencijal za implementaciju savremenih tehnologija i programa reciklaže</w:t>
            </w:r>
          </w:p>
        </w:tc>
        <w:tc>
          <w:tcPr>
            <w:tcW w:w="3505" w:type="dxa"/>
            <w:shd w:val="clear" w:color="auto" w:fill="auto"/>
            <w:vAlign w:val="center"/>
          </w:tcPr>
          <w:p w14:paraId="014A70C9" w14:textId="77777777" w:rsidR="00C232D7" w:rsidRPr="00E75558" w:rsidRDefault="00C232D7" w:rsidP="00C232D7">
            <w:pPr>
              <w:spacing w:before="40" w:after="40" w:line="360" w:lineRule="auto"/>
              <w:rPr>
                <w:rFonts w:ascii="Arial" w:hAnsi="Arial" w:cs="Arial"/>
                <w:sz w:val="18"/>
                <w:szCs w:val="18"/>
                <w:lang w:val="sq-AL"/>
              </w:rPr>
            </w:pPr>
            <w:r w:rsidRPr="00E75558">
              <w:rPr>
                <w:rFonts w:ascii="Arial" w:hAnsi="Arial" w:cs="Arial"/>
                <w:sz w:val="18"/>
                <w:szCs w:val="18"/>
                <w:lang w:val="sq-AL"/>
              </w:rPr>
              <w:t>-</w:t>
            </w:r>
          </w:p>
        </w:tc>
      </w:tr>
      <w:tr w:rsidR="00C232D7" w:rsidRPr="0014164F" w14:paraId="30270B9B" w14:textId="77777777" w:rsidTr="00C232D7">
        <w:trPr>
          <w:jc w:val="center"/>
        </w:trPr>
        <w:tc>
          <w:tcPr>
            <w:tcW w:w="4008" w:type="dxa"/>
            <w:shd w:val="clear" w:color="auto" w:fill="auto"/>
            <w:vAlign w:val="center"/>
          </w:tcPr>
          <w:p w14:paraId="5A4A32D9" w14:textId="77777777" w:rsidR="00C232D7" w:rsidRPr="00E75558" w:rsidRDefault="00C232D7" w:rsidP="00C232D7">
            <w:pPr>
              <w:spacing w:before="40" w:after="40" w:line="360" w:lineRule="auto"/>
              <w:ind w:left="-14"/>
              <w:rPr>
                <w:rFonts w:ascii="Arial" w:hAnsi="Arial" w:cs="Arial"/>
                <w:sz w:val="18"/>
                <w:szCs w:val="18"/>
                <w:lang w:val="sq-AL"/>
              </w:rPr>
            </w:pPr>
            <w:r w:rsidRPr="00E75558">
              <w:rPr>
                <w:rFonts w:ascii="Arial" w:hAnsi="Arial" w:cs="Arial"/>
                <w:sz w:val="18"/>
                <w:szCs w:val="18"/>
                <w:lang w:val="sq-AL"/>
              </w:rPr>
              <w:t xml:space="preserve">Centralno planiranje omogućava kontrolu i monitoring uslova životne sredine oko infrastrukture za upravljanje otpadom. </w:t>
            </w:r>
          </w:p>
        </w:tc>
        <w:tc>
          <w:tcPr>
            <w:tcW w:w="3505" w:type="dxa"/>
            <w:shd w:val="clear" w:color="auto" w:fill="auto"/>
            <w:vAlign w:val="center"/>
          </w:tcPr>
          <w:p w14:paraId="6B8D8B54" w14:textId="77777777" w:rsidR="00C232D7" w:rsidRPr="00E75558" w:rsidRDefault="00C232D7" w:rsidP="00C232D7">
            <w:pPr>
              <w:spacing w:before="40" w:after="40" w:line="360" w:lineRule="auto"/>
              <w:rPr>
                <w:rFonts w:ascii="Arial" w:hAnsi="Arial" w:cs="Arial"/>
                <w:sz w:val="18"/>
                <w:szCs w:val="18"/>
                <w:lang w:val="sq-AL"/>
              </w:rPr>
            </w:pPr>
            <w:r w:rsidRPr="00E75558">
              <w:rPr>
                <w:rFonts w:ascii="Arial" w:hAnsi="Arial" w:cs="Arial"/>
                <w:sz w:val="18"/>
                <w:szCs w:val="18"/>
                <w:lang w:val="sq-AL"/>
              </w:rPr>
              <w:t>Povećanje uticaja na životnu sredinu od objekata za upravljanje otpadom</w:t>
            </w:r>
          </w:p>
        </w:tc>
      </w:tr>
    </w:tbl>
    <w:p w14:paraId="470239DA" w14:textId="77777777" w:rsidR="00485F6A" w:rsidRPr="00D92CE1" w:rsidRDefault="00485F6A" w:rsidP="00485F6A">
      <w:pPr>
        <w:spacing w:before="120" w:after="120" w:line="360" w:lineRule="auto"/>
        <w:rPr>
          <w:lang w:val="sq-AL"/>
        </w:rPr>
      </w:pPr>
      <w:bookmarkStart w:id="870" w:name="_Toc117607203"/>
      <w:bookmarkStart w:id="871" w:name="_Toc110612486"/>
      <w:bookmarkStart w:id="872" w:name="_Toc110350450"/>
      <w:bookmarkStart w:id="873" w:name="_Toc121759035"/>
    </w:p>
    <w:p w14:paraId="64F4F6F9" w14:textId="5838349C" w:rsidR="00C232D7" w:rsidRPr="00D92CE1" w:rsidRDefault="0004329C" w:rsidP="007378E8">
      <w:pPr>
        <w:pStyle w:val="Heading3"/>
        <w:rPr>
          <w:lang w:val="sq-AL"/>
        </w:rPr>
      </w:pPr>
      <w:bookmarkStart w:id="874" w:name="_Toc193354014"/>
      <w:r w:rsidRPr="00D92CE1">
        <w:rPr>
          <w:lang w:val="sq-AL"/>
        </w:rPr>
        <w:t>5.</w:t>
      </w:r>
      <w:r w:rsidR="006913A1">
        <w:rPr>
          <w:lang w:val="sq-AL"/>
        </w:rPr>
        <w:t>8</w:t>
      </w:r>
      <w:r w:rsidRPr="00D92CE1">
        <w:rPr>
          <w:lang w:val="sq-AL"/>
        </w:rPr>
        <w:t>.1</w:t>
      </w:r>
      <w:r w:rsidR="00C232D7" w:rsidRPr="00D92CE1">
        <w:rPr>
          <w:lang w:val="sq-AL"/>
        </w:rPr>
        <w:t>.  Određivanje zona upravljanja otpadom</w:t>
      </w:r>
      <w:bookmarkEnd w:id="870"/>
      <w:bookmarkEnd w:id="871"/>
      <w:bookmarkEnd w:id="872"/>
      <w:bookmarkEnd w:id="873"/>
      <w:bookmarkEnd w:id="874"/>
    </w:p>
    <w:p w14:paraId="24B39B1B"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Ne postoji posebna metodologija za raspodjelu površina u zonama upravljanja otpadom. Za optimizaciju sistema zoniranja koriste se sljedeći kriterijumi:</w:t>
      </w:r>
    </w:p>
    <w:p w14:paraId="19521CD3" w14:textId="77777777" w:rsidR="00C232D7" w:rsidRPr="002A6F4E" w:rsidRDefault="00C232D7" w:rsidP="00A23ED0">
      <w:pPr>
        <w:pStyle w:val="ListParagraph"/>
        <w:numPr>
          <w:ilvl w:val="0"/>
          <w:numId w:val="33"/>
        </w:numPr>
        <w:spacing w:before="120" w:after="120" w:line="360" w:lineRule="auto"/>
        <w:ind w:left="720"/>
        <w:contextualSpacing w:val="0"/>
        <w:rPr>
          <w:rFonts w:ascii="Arial" w:hAnsi="Arial" w:cs="Arial"/>
          <w:lang w:val="sq-AL"/>
        </w:rPr>
      </w:pPr>
      <w:r w:rsidRPr="002A6F4E">
        <w:rPr>
          <w:rFonts w:ascii="Arial" w:hAnsi="Arial" w:cs="Arial"/>
          <w:lang w:val="sq-AL"/>
        </w:rPr>
        <w:t>Kriterijumi prostornog planiranja</w:t>
      </w:r>
    </w:p>
    <w:p w14:paraId="7E287F19" w14:textId="51DF2AA9" w:rsidR="00C232D7" w:rsidRPr="002A6F4E" w:rsidRDefault="00C232D7" w:rsidP="00A23ED0">
      <w:pPr>
        <w:pStyle w:val="ListParagraph"/>
        <w:numPr>
          <w:ilvl w:val="1"/>
          <w:numId w:val="33"/>
        </w:numPr>
        <w:spacing w:before="120" w:after="120" w:line="360" w:lineRule="auto"/>
        <w:ind w:left="1170"/>
        <w:contextualSpacing w:val="0"/>
        <w:rPr>
          <w:rFonts w:ascii="Arial" w:hAnsi="Arial" w:cs="Arial"/>
          <w:lang w:val="sq-AL"/>
        </w:rPr>
      </w:pPr>
      <w:r w:rsidRPr="002A6F4E">
        <w:rPr>
          <w:rFonts w:ascii="Arial" w:hAnsi="Arial" w:cs="Arial"/>
          <w:lang w:val="sq-AL"/>
        </w:rPr>
        <w:t xml:space="preserve">Geografska/prirodna podjela područja, uglavnom zbog </w:t>
      </w:r>
      <w:r w:rsidR="003D5729">
        <w:rPr>
          <w:rFonts w:ascii="Arial" w:hAnsi="Arial" w:cs="Arial"/>
          <w:lang w:val="sq-AL"/>
        </w:rPr>
        <w:t>konfiguracije terena</w:t>
      </w:r>
      <w:r w:rsidRPr="002A6F4E">
        <w:rPr>
          <w:rFonts w:ascii="Arial" w:hAnsi="Arial" w:cs="Arial"/>
          <w:lang w:val="sq-AL"/>
        </w:rPr>
        <w:t>;</w:t>
      </w:r>
    </w:p>
    <w:p w14:paraId="72A0E7FA" w14:textId="79747347" w:rsidR="00C232D7" w:rsidRPr="002A6F4E" w:rsidRDefault="00C232D7" w:rsidP="00A23ED0">
      <w:pPr>
        <w:pStyle w:val="ListParagraph"/>
        <w:numPr>
          <w:ilvl w:val="1"/>
          <w:numId w:val="33"/>
        </w:numPr>
        <w:spacing w:before="120" w:after="120" w:line="360" w:lineRule="auto"/>
        <w:ind w:left="1170"/>
        <w:contextualSpacing w:val="0"/>
        <w:rPr>
          <w:rFonts w:ascii="Arial" w:hAnsi="Arial" w:cs="Arial"/>
          <w:lang w:val="sq-AL"/>
        </w:rPr>
      </w:pPr>
      <w:r w:rsidRPr="002A6F4E">
        <w:rPr>
          <w:rFonts w:ascii="Arial" w:hAnsi="Arial" w:cs="Arial"/>
          <w:lang w:val="sq-AL"/>
        </w:rPr>
        <w:t>Stanovništvo u cilju dostizanja nivoa u kojem rješenja za upravljanje otpadom postaju tehnički i finansijski održiva;</w:t>
      </w:r>
    </w:p>
    <w:p w14:paraId="21F05271" w14:textId="77777777" w:rsidR="00C232D7" w:rsidRPr="002A6F4E" w:rsidRDefault="00C232D7" w:rsidP="00A23ED0">
      <w:pPr>
        <w:pStyle w:val="ListParagraph"/>
        <w:numPr>
          <w:ilvl w:val="1"/>
          <w:numId w:val="33"/>
        </w:numPr>
        <w:spacing w:before="120" w:after="120" w:line="360" w:lineRule="auto"/>
        <w:ind w:left="1170"/>
        <w:contextualSpacing w:val="0"/>
        <w:rPr>
          <w:rFonts w:ascii="Arial" w:hAnsi="Arial" w:cs="Arial"/>
          <w:lang w:val="sq-AL"/>
        </w:rPr>
      </w:pPr>
      <w:r w:rsidRPr="002A6F4E">
        <w:rPr>
          <w:rFonts w:ascii="Arial" w:hAnsi="Arial" w:cs="Arial"/>
          <w:lang w:val="sq-AL"/>
        </w:rPr>
        <w:t>Geomorfologija područja;</w:t>
      </w:r>
    </w:p>
    <w:p w14:paraId="1B976CD4" w14:textId="77777777" w:rsidR="00C232D7" w:rsidRPr="002A6F4E" w:rsidRDefault="00C232D7" w:rsidP="00A23ED0">
      <w:pPr>
        <w:pStyle w:val="ListParagraph"/>
        <w:numPr>
          <w:ilvl w:val="1"/>
          <w:numId w:val="33"/>
        </w:numPr>
        <w:spacing w:before="120" w:after="120" w:line="360" w:lineRule="auto"/>
        <w:ind w:left="1170"/>
        <w:contextualSpacing w:val="0"/>
        <w:rPr>
          <w:rFonts w:ascii="Arial" w:hAnsi="Arial" w:cs="Arial"/>
          <w:lang w:val="sq-AL"/>
        </w:rPr>
      </w:pPr>
      <w:r w:rsidRPr="002A6F4E">
        <w:rPr>
          <w:rFonts w:ascii="Arial" w:hAnsi="Arial" w:cs="Arial"/>
          <w:lang w:val="sq-AL"/>
        </w:rPr>
        <w:t>Postojeća putna mreža;</w:t>
      </w:r>
    </w:p>
    <w:p w14:paraId="1B36C833" w14:textId="77777777" w:rsidR="00C232D7" w:rsidRPr="002A6F4E" w:rsidRDefault="00C232D7" w:rsidP="00A23ED0">
      <w:pPr>
        <w:pStyle w:val="ListParagraph"/>
        <w:numPr>
          <w:ilvl w:val="1"/>
          <w:numId w:val="33"/>
        </w:numPr>
        <w:spacing w:before="120" w:after="120" w:line="360" w:lineRule="auto"/>
        <w:ind w:left="1170"/>
        <w:contextualSpacing w:val="0"/>
        <w:rPr>
          <w:rFonts w:ascii="Arial" w:hAnsi="Arial" w:cs="Arial"/>
          <w:lang w:val="sq-AL"/>
        </w:rPr>
      </w:pPr>
      <w:r w:rsidRPr="002A6F4E">
        <w:rPr>
          <w:rFonts w:ascii="Arial" w:hAnsi="Arial" w:cs="Arial"/>
          <w:lang w:val="sq-AL"/>
        </w:rPr>
        <w:t>Postojeća administrativna podjela zemlje;</w:t>
      </w:r>
    </w:p>
    <w:p w14:paraId="1FAB156F" w14:textId="77777777" w:rsidR="00C232D7" w:rsidRPr="002A6F4E" w:rsidRDefault="00C232D7" w:rsidP="00A23ED0">
      <w:pPr>
        <w:pStyle w:val="ListParagraph"/>
        <w:numPr>
          <w:ilvl w:val="0"/>
          <w:numId w:val="33"/>
        </w:numPr>
        <w:spacing w:before="120" w:after="120" w:line="360" w:lineRule="auto"/>
        <w:ind w:left="720" w:hanging="357"/>
        <w:contextualSpacing w:val="0"/>
        <w:rPr>
          <w:rFonts w:ascii="Arial" w:hAnsi="Arial" w:cs="Arial"/>
          <w:lang w:val="sq-AL"/>
        </w:rPr>
      </w:pPr>
      <w:r w:rsidRPr="002A6F4E">
        <w:rPr>
          <w:rFonts w:ascii="Arial" w:hAnsi="Arial" w:cs="Arial"/>
          <w:lang w:val="sq-AL"/>
        </w:rPr>
        <w:t>Kriterijumi životne sredine:</w:t>
      </w:r>
    </w:p>
    <w:p w14:paraId="0162130D" w14:textId="77777777" w:rsidR="00C232D7" w:rsidRPr="002A6F4E" w:rsidRDefault="00C232D7" w:rsidP="00A23ED0">
      <w:pPr>
        <w:pStyle w:val="ListParagraph"/>
        <w:numPr>
          <w:ilvl w:val="1"/>
          <w:numId w:val="33"/>
        </w:numPr>
        <w:spacing w:before="120" w:after="120" w:line="360" w:lineRule="auto"/>
        <w:ind w:left="1170"/>
        <w:contextualSpacing w:val="0"/>
        <w:rPr>
          <w:rFonts w:ascii="Arial" w:hAnsi="Arial" w:cs="Arial"/>
          <w:lang w:val="sq-AL"/>
        </w:rPr>
      </w:pPr>
      <w:r w:rsidRPr="002A6F4E">
        <w:rPr>
          <w:rFonts w:ascii="Arial" w:hAnsi="Arial" w:cs="Arial"/>
          <w:lang w:val="sq-AL"/>
        </w:rPr>
        <w:t>Generisanje otpada u različitim lokalnim zajednicama;</w:t>
      </w:r>
    </w:p>
    <w:p w14:paraId="2A819764" w14:textId="03775B7D" w:rsidR="00C232D7" w:rsidRPr="002A6F4E" w:rsidRDefault="00C232D7" w:rsidP="00A23ED0">
      <w:pPr>
        <w:pStyle w:val="ListParagraph"/>
        <w:numPr>
          <w:ilvl w:val="1"/>
          <w:numId w:val="33"/>
        </w:numPr>
        <w:spacing w:before="120" w:after="120" w:line="360" w:lineRule="auto"/>
        <w:ind w:left="1170"/>
        <w:contextualSpacing w:val="0"/>
        <w:rPr>
          <w:rFonts w:ascii="Arial" w:hAnsi="Arial" w:cs="Arial"/>
          <w:lang w:val="sq-AL"/>
        </w:rPr>
      </w:pPr>
      <w:r w:rsidRPr="002A6F4E">
        <w:rPr>
          <w:rFonts w:ascii="Arial" w:hAnsi="Arial" w:cs="Arial"/>
          <w:lang w:val="sq-AL"/>
        </w:rPr>
        <w:t xml:space="preserve">Postojeća i </w:t>
      </w:r>
      <w:r w:rsidR="005449A7">
        <w:rPr>
          <w:rFonts w:ascii="Arial" w:hAnsi="Arial" w:cs="Arial"/>
          <w:lang w:val="sq-AL"/>
        </w:rPr>
        <w:t xml:space="preserve">buduća </w:t>
      </w:r>
      <w:r w:rsidRPr="002A6F4E">
        <w:rPr>
          <w:rFonts w:ascii="Arial" w:hAnsi="Arial" w:cs="Arial"/>
          <w:lang w:val="sq-AL"/>
        </w:rPr>
        <w:t>infrastruktura za upravljanje otpadom;</w:t>
      </w:r>
    </w:p>
    <w:p w14:paraId="48999D9D" w14:textId="5DBF098F" w:rsidR="00C232D7" w:rsidRPr="002A6F4E" w:rsidRDefault="00C232D7" w:rsidP="00A23ED0">
      <w:pPr>
        <w:pStyle w:val="ListParagraph"/>
        <w:numPr>
          <w:ilvl w:val="1"/>
          <w:numId w:val="33"/>
        </w:numPr>
        <w:spacing w:before="120" w:after="120" w:line="360" w:lineRule="auto"/>
        <w:ind w:left="1170"/>
        <w:contextualSpacing w:val="0"/>
        <w:rPr>
          <w:rFonts w:ascii="Arial" w:hAnsi="Arial" w:cs="Arial"/>
          <w:lang w:val="sq-AL"/>
        </w:rPr>
      </w:pPr>
      <w:r w:rsidRPr="002A6F4E">
        <w:rPr>
          <w:rFonts w:ascii="Arial" w:hAnsi="Arial" w:cs="Arial"/>
          <w:lang w:val="sq-AL"/>
        </w:rPr>
        <w:lastRenderedPageBreak/>
        <w:t>Minimiziranje uticaja na životnu sredinu od upravljanja otpadom na zonskom i regionalnom nivou;</w:t>
      </w:r>
    </w:p>
    <w:p w14:paraId="48405D8C" w14:textId="77777777" w:rsidR="00C232D7" w:rsidRPr="002A6F4E" w:rsidRDefault="00C232D7" w:rsidP="00A23ED0">
      <w:pPr>
        <w:pStyle w:val="ListParagraph"/>
        <w:numPr>
          <w:ilvl w:val="0"/>
          <w:numId w:val="33"/>
        </w:numPr>
        <w:spacing w:before="120" w:after="120" w:line="360" w:lineRule="auto"/>
        <w:ind w:left="720" w:hanging="357"/>
        <w:contextualSpacing w:val="0"/>
        <w:rPr>
          <w:rFonts w:ascii="Arial" w:hAnsi="Arial" w:cs="Arial"/>
          <w:lang w:val="sq-AL"/>
        </w:rPr>
      </w:pPr>
      <w:r w:rsidRPr="002A6F4E">
        <w:rPr>
          <w:rFonts w:ascii="Arial" w:hAnsi="Arial" w:cs="Arial"/>
          <w:lang w:val="sq-AL"/>
        </w:rPr>
        <w:t>Ekonomski kriterijumi:</w:t>
      </w:r>
    </w:p>
    <w:p w14:paraId="6851AD5B" w14:textId="247D7A2F" w:rsidR="00C232D7" w:rsidRPr="002A6F4E" w:rsidRDefault="00C232D7" w:rsidP="00A23ED0">
      <w:pPr>
        <w:pStyle w:val="ListParagraph"/>
        <w:numPr>
          <w:ilvl w:val="1"/>
          <w:numId w:val="33"/>
        </w:numPr>
        <w:spacing w:before="120" w:after="120" w:line="360" w:lineRule="auto"/>
        <w:ind w:left="1170"/>
        <w:contextualSpacing w:val="0"/>
        <w:rPr>
          <w:rFonts w:ascii="Arial" w:hAnsi="Arial" w:cs="Arial"/>
          <w:lang w:val="sq-AL"/>
        </w:rPr>
      </w:pPr>
      <w:r w:rsidRPr="002A6F4E">
        <w:rPr>
          <w:rFonts w:ascii="Arial" w:hAnsi="Arial" w:cs="Arial"/>
          <w:lang w:val="sq-AL"/>
        </w:rPr>
        <w:t>Povećanje količine: otpada koji se sakuplja/</w:t>
      </w:r>
      <w:r w:rsidR="005449A7">
        <w:rPr>
          <w:rFonts w:ascii="Arial" w:hAnsi="Arial" w:cs="Arial"/>
          <w:lang w:val="sq-AL"/>
        </w:rPr>
        <w:t>obrađuje</w:t>
      </w:r>
      <w:r w:rsidR="005449A7" w:rsidRPr="002A6F4E">
        <w:rPr>
          <w:rFonts w:ascii="Arial" w:hAnsi="Arial" w:cs="Arial"/>
          <w:lang w:val="sq-AL"/>
        </w:rPr>
        <w:t xml:space="preserve"> </w:t>
      </w:r>
      <w:r w:rsidRPr="002A6F4E">
        <w:rPr>
          <w:rFonts w:ascii="Arial" w:hAnsi="Arial" w:cs="Arial"/>
          <w:lang w:val="sq-AL"/>
        </w:rPr>
        <w:t>u svakoj zoni treba da rezultira prihvatljivim naknadama za upravljanje otpadom, s obzirom na investicionu i operativnu cijenu sistema;</w:t>
      </w:r>
    </w:p>
    <w:p w14:paraId="207472AC" w14:textId="77777777" w:rsidR="00C232D7" w:rsidRPr="002A6F4E" w:rsidRDefault="00C232D7" w:rsidP="00A23ED0">
      <w:pPr>
        <w:pStyle w:val="ListParagraph"/>
        <w:numPr>
          <w:ilvl w:val="0"/>
          <w:numId w:val="33"/>
        </w:numPr>
        <w:spacing w:before="120" w:after="120" w:line="360" w:lineRule="auto"/>
        <w:ind w:left="720" w:hanging="357"/>
        <w:contextualSpacing w:val="0"/>
        <w:rPr>
          <w:rFonts w:ascii="Arial" w:hAnsi="Arial" w:cs="Arial"/>
          <w:lang w:val="sq-AL"/>
        </w:rPr>
      </w:pPr>
      <w:r w:rsidRPr="002A6F4E">
        <w:rPr>
          <w:rFonts w:ascii="Arial" w:hAnsi="Arial" w:cs="Arial"/>
          <w:lang w:val="sq-AL"/>
        </w:rPr>
        <w:t>Društveni kriterijumi:</w:t>
      </w:r>
    </w:p>
    <w:p w14:paraId="2E5FF891" w14:textId="77777777" w:rsidR="00C232D7" w:rsidRPr="002A6F4E" w:rsidRDefault="00C232D7" w:rsidP="00A23ED0">
      <w:pPr>
        <w:pStyle w:val="ListParagraph"/>
        <w:numPr>
          <w:ilvl w:val="1"/>
          <w:numId w:val="33"/>
        </w:numPr>
        <w:spacing w:before="120" w:after="120" w:line="360" w:lineRule="auto"/>
        <w:ind w:left="1170"/>
        <w:contextualSpacing w:val="0"/>
        <w:rPr>
          <w:rFonts w:ascii="Arial" w:hAnsi="Arial" w:cs="Arial"/>
          <w:lang w:val="sq-AL"/>
        </w:rPr>
      </w:pPr>
      <w:r w:rsidRPr="002A6F4E">
        <w:rPr>
          <w:rFonts w:ascii="Arial" w:hAnsi="Arial" w:cs="Arial"/>
          <w:lang w:val="sq-AL"/>
        </w:rPr>
        <w:t>Tradicionalni odnosi između susjednih područja.</w:t>
      </w:r>
    </w:p>
    <w:p w14:paraId="32CFA27A" w14:textId="04438B74"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Crna Gora je podijeljena na jedinice lokalne samouprave, odnosno na opštine, i ne postoji podjela na teritorijalne jedinice. Regionalna podjela zemlje predstavljena je </w:t>
      </w:r>
      <w:r w:rsidRPr="002A6F4E">
        <w:rPr>
          <w:rFonts w:ascii="Arial" w:hAnsi="Arial" w:cs="Arial"/>
          <w:i/>
          <w:iCs/>
          <w:lang w:val="sq-AL"/>
        </w:rPr>
        <w:t>u Prostornom planu Crne Gore do 2020. godine (iz 2008. godine)</w:t>
      </w:r>
      <w:r w:rsidRPr="002A6F4E">
        <w:rPr>
          <w:rFonts w:ascii="Arial" w:hAnsi="Arial" w:cs="Arial"/>
          <w:lang w:val="sq-AL"/>
        </w:rPr>
        <w:t xml:space="preserve"> i obuhvata</w:t>
      </w:r>
      <w:r w:rsidRPr="002A6F4E">
        <w:rPr>
          <w:rStyle w:val="FootnoteReference"/>
          <w:rFonts w:ascii="Arial" w:hAnsi="Arial" w:cs="Arial"/>
          <w:sz w:val="20"/>
          <w:szCs w:val="20"/>
          <w:lang w:val="sq-AL"/>
        </w:rPr>
        <w:footnoteReference w:id="33"/>
      </w:r>
      <w:r w:rsidRPr="002A6F4E">
        <w:rPr>
          <w:rFonts w:ascii="Arial" w:hAnsi="Arial" w:cs="Arial"/>
          <w:lang w:val="sq-AL"/>
        </w:rPr>
        <w:t>:</w:t>
      </w:r>
    </w:p>
    <w:p w14:paraId="6298E6F4" w14:textId="54E96E00" w:rsidR="00C232D7" w:rsidRPr="002A6F4E" w:rsidRDefault="00C232D7" w:rsidP="00A23ED0">
      <w:pPr>
        <w:pStyle w:val="ListParagraph"/>
        <w:numPr>
          <w:ilvl w:val="0"/>
          <w:numId w:val="33"/>
        </w:numPr>
        <w:spacing w:before="120" w:after="120" w:line="360" w:lineRule="auto"/>
        <w:ind w:left="720" w:hanging="357"/>
        <w:contextualSpacing w:val="0"/>
        <w:rPr>
          <w:rFonts w:ascii="Arial" w:hAnsi="Arial" w:cs="Arial"/>
          <w:lang w:val="sq-AL"/>
        </w:rPr>
      </w:pPr>
      <w:r w:rsidRPr="002A6F4E">
        <w:rPr>
          <w:rFonts w:ascii="Arial" w:hAnsi="Arial" w:cs="Arial"/>
          <w:lang w:val="sq-AL"/>
        </w:rPr>
        <w:t>Region Centar (Podgoric</w:t>
      </w:r>
      <w:r w:rsidR="00DF3BCD">
        <w:rPr>
          <w:rFonts w:ascii="Arial" w:hAnsi="Arial" w:cs="Arial"/>
          <w:lang w:val="sq-AL"/>
        </w:rPr>
        <w:t>a, Zeta, Danilovgrad, Nikšić, Cetinje i</w:t>
      </w:r>
      <w:r w:rsidRPr="002A6F4E">
        <w:rPr>
          <w:rFonts w:ascii="Arial" w:hAnsi="Arial" w:cs="Arial"/>
          <w:lang w:val="sq-AL"/>
        </w:rPr>
        <w:t xml:space="preserve"> Tuzi);</w:t>
      </w:r>
    </w:p>
    <w:p w14:paraId="1EE1072B" w14:textId="77777777" w:rsidR="00C232D7" w:rsidRPr="002A6F4E" w:rsidRDefault="00C232D7" w:rsidP="00A23ED0">
      <w:pPr>
        <w:pStyle w:val="ListParagraph"/>
        <w:numPr>
          <w:ilvl w:val="0"/>
          <w:numId w:val="33"/>
        </w:numPr>
        <w:spacing w:before="120" w:after="120" w:line="360" w:lineRule="auto"/>
        <w:ind w:left="720" w:hanging="357"/>
        <w:contextualSpacing w:val="0"/>
        <w:rPr>
          <w:rFonts w:ascii="Arial" w:hAnsi="Arial" w:cs="Arial"/>
          <w:lang w:val="sq-AL"/>
        </w:rPr>
      </w:pPr>
      <w:r w:rsidRPr="002A6F4E">
        <w:rPr>
          <w:rFonts w:ascii="Arial" w:hAnsi="Arial" w:cs="Arial"/>
          <w:lang w:val="sq-AL"/>
        </w:rPr>
        <w:t>Region Sjever (Plužine, Šavnik, Žabljak, Pljevlja, Mojkovac, Kolašin, Bijelo Polje, Berane, Petnjica, Andrijevica, Plav, Gusinje i Rožaje);</w:t>
      </w:r>
    </w:p>
    <w:p w14:paraId="39DCBF02" w14:textId="610D8782" w:rsidR="00C232D7" w:rsidRPr="002A6F4E" w:rsidRDefault="00C232D7" w:rsidP="00A23ED0">
      <w:pPr>
        <w:pStyle w:val="ListParagraph"/>
        <w:numPr>
          <w:ilvl w:val="0"/>
          <w:numId w:val="33"/>
        </w:numPr>
        <w:spacing w:before="120" w:after="120" w:line="360" w:lineRule="auto"/>
        <w:ind w:left="720" w:hanging="357"/>
        <w:contextualSpacing w:val="0"/>
        <w:rPr>
          <w:rFonts w:ascii="Arial" w:hAnsi="Arial" w:cs="Arial"/>
          <w:lang w:val="sq-AL"/>
        </w:rPr>
      </w:pPr>
      <w:r w:rsidRPr="002A6F4E">
        <w:rPr>
          <w:rFonts w:ascii="Arial" w:hAnsi="Arial" w:cs="Arial"/>
          <w:lang w:val="sq-AL"/>
        </w:rPr>
        <w:t>Region primorje (opštine Herceg Novi, Kotor, Tivat, Budva, Bar i Ulcinj).</w:t>
      </w:r>
    </w:p>
    <w:p w14:paraId="64988704" w14:textId="41366ADB" w:rsidR="00C232D7" w:rsidRPr="002A6F4E" w:rsidRDefault="009C3860" w:rsidP="00C232D7">
      <w:pPr>
        <w:spacing w:before="120" w:after="120" w:line="360" w:lineRule="auto"/>
        <w:rPr>
          <w:rFonts w:ascii="Arial" w:hAnsi="Arial" w:cs="Arial"/>
          <w:lang w:val="sq-AL"/>
        </w:rPr>
      </w:pPr>
      <w:r w:rsidRPr="002A6F4E">
        <w:rPr>
          <w:rFonts w:ascii="Arial" w:hAnsi="Arial" w:cs="Arial"/>
          <w:noProof/>
          <w:lang w:val="en-US"/>
        </w:rPr>
        <w:drawing>
          <wp:anchor distT="0" distB="0" distL="114300" distR="114300" simplePos="0" relativeHeight="251665408" behindDoc="0" locked="0" layoutInCell="1" allowOverlap="1" wp14:anchorId="4E9AF85F" wp14:editId="3AE9B6AB">
            <wp:simplePos x="0" y="0"/>
            <wp:positionH relativeFrom="margin">
              <wp:posOffset>1868805</wp:posOffset>
            </wp:positionH>
            <wp:positionV relativeFrom="paragraph">
              <wp:posOffset>63500</wp:posOffset>
            </wp:positionV>
            <wp:extent cx="2476500" cy="299402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476500" cy="2994025"/>
                    </a:xfrm>
                    <a:prstGeom prst="rect">
                      <a:avLst/>
                    </a:prstGeom>
                    <a:noFill/>
                  </pic:spPr>
                </pic:pic>
              </a:graphicData>
            </a:graphic>
            <wp14:sizeRelH relativeFrom="margin">
              <wp14:pctWidth>0</wp14:pctWidth>
            </wp14:sizeRelH>
            <wp14:sizeRelV relativeFrom="margin">
              <wp14:pctHeight>0</wp14:pctHeight>
            </wp14:sizeRelV>
          </wp:anchor>
        </w:drawing>
      </w:r>
    </w:p>
    <w:p w14:paraId="4A8095BF" w14:textId="3F15C514" w:rsidR="00C232D7" w:rsidRPr="002A6F4E" w:rsidRDefault="00C232D7" w:rsidP="00C232D7">
      <w:pPr>
        <w:spacing w:before="120" w:after="120" w:line="360" w:lineRule="auto"/>
        <w:rPr>
          <w:rFonts w:ascii="Arial" w:hAnsi="Arial" w:cs="Arial"/>
          <w:lang w:val="sq-AL"/>
        </w:rPr>
      </w:pPr>
    </w:p>
    <w:p w14:paraId="41FD8C70" w14:textId="4BA38189" w:rsidR="00C232D7" w:rsidRPr="002A6F4E" w:rsidRDefault="00C232D7" w:rsidP="00C232D7">
      <w:pPr>
        <w:spacing w:before="120" w:after="120" w:line="360" w:lineRule="auto"/>
        <w:rPr>
          <w:rFonts w:ascii="Arial" w:hAnsi="Arial" w:cs="Arial"/>
          <w:lang w:val="sq-AL"/>
        </w:rPr>
      </w:pPr>
    </w:p>
    <w:p w14:paraId="37018C8A" w14:textId="77777777" w:rsidR="00C232D7" w:rsidRPr="002A6F4E" w:rsidRDefault="00C232D7" w:rsidP="00C232D7">
      <w:pPr>
        <w:spacing w:before="120" w:after="120" w:line="360" w:lineRule="auto"/>
        <w:rPr>
          <w:rFonts w:ascii="Arial" w:hAnsi="Arial" w:cs="Arial"/>
          <w:lang w:val="sq-AL"/>
        </w:rPr>
      </w:pPr>
    </w:p>
    <w:p w14:paraId="51795A88" w14:textId="77777777" w:rsidR="00C232D7" w:rsidRPr="002A6F4E" w:rsidRDefault="00C232D7" w:rsidP="00C232D7">
      <w:pPr>
        <w:spacing w:before="120" w:after="120" w:line="360" w:lineRule="auto"/>
        <w:rPr>
          <w:rFonts w:ascii="Arial" w:hAnsi="Arial" w:cs="Arial"/>
          <w:lang w:val="sq-AL"/>
        </w:rPr>
      </w:pPr>
    </w:p>
    <w:p w14:paraId="3792E96D" w14:textId="77777777" w:rsidR="00C232D7" w:rsidRPr="002A6F4E" w:rsidRDefault="00C232D7" w:rsidP="00C232D7">
      <w:pPr>
        <w:spacing w:before="120" w:after="120" w:line="360" w:lineRule="auto"/>
        <w:rPr>
          <w:rFonts w:ascii="Arial" w:hAnsi="Arial" w:cs="Arial"/>
          <w:lang w:val="sq-AL"/>
        </w:rPr>
      </w:pPr>
    </w:p>
    <w:p w14:paraId="1A11C228" w14:textId="77777777" w:rsidR="00C232D7" w:rsidRPr="002A6F4E" w:rsidRDefault="00C232D7" w:rsidP="00C232D7">
      <w:pPr>
        <w:spacing w:before="120" w:after="120" w:line="360" w:lineRule="auto"/>
        <w:rPr>
          <w:rFonts w:ascii="Arial" w:hAnsi="Arial" w:cs="Arial"/>
          <w:lang w:val="sq-AL"/>
        </w:rPr>
      </w:pPr>
    </w:p>
    <w:p w14:paraId="36523DEA" w14:textId="77777777" w:rsidR="00C232D7" w:rsidRPr="002A6F4E" w:rsidRDefault="00C232D7" w:rsidP="00C232D7">
      <w:pPr>
        <w:spacing w:before="120" w:after="120" w:line="360" w:lineRule="auto"/>
        <w:rPr>
          <w:rFonts w:ascii="Arial" w:hAnsi="Arial" w:cs="Arial"/>
          <w:lang w:val="sq-AL"/>
        </w:rPr>
      </w:pPr>
    </w:p>
    <w:p w14:paraId="0C1E1B7E" w14:textId="77777777" w:rsidR="00C232D7" w:rsidRPr="002A6F4E" w:rsidRDefault="00C232D7" w:rsidP="00C232D7">
      <w:pPr>
        <w:spacing w:before="120" w:after="120" w:line="360" w:lineRule="auto"/>
        <w:rPr>
          <w:rFonts w:ascii="Arial" w:hAnsi="Arial" w:cs="Arial"/>
          <w:lang w:val="sq-AL"/>
        </w:rPr>
      </w:pPr>
    </w:p>
    <w:p w14:paraId="7A11704F" w14:textId="77777777" w:rsidR="00C232D7" w:rsidRPr="002A6F4E" w:rsidRDefault="00C232D7" w:rsidP="00C232D7">
      <w:pPr>
        <w:spacing w:before="120" w:after="120" w:line="360" w:lineRule="auto"/>
        <w:rPr>
          <w:rFonts w:ascii="Arial" w:hAnsi="Arial" w:cs="Arial"/>
          <w:lang w:val="sq-AL"/>
        </w:rPr>
      </w:pPr>
    </w:p>
    <w:p w14:paraId="0A0E881B" w14:textId="77777777" w:rsidR="00C232D7" w:rsidRPr="002A6F4E" w:rsidRDefault="00C232D7" w:rsidP="00C232D7">
      <w:pPr>
        <w:spacing w:before="120" w:after="120" w:line="360" w:lineRule="auto"/>
        <w:rPr>
          <w:rFonts w:ascii="Arial" w:hAnsi="Arial" w:cs="Arial"/>
          <w:lang w:val="sq-AL"/>
        </w:rPr>
      </w:pPr>
    </w:p>
    <w:p w14:paraId="3CE799BA" w14:textId="7F5CADBC" w:rsidR="00C232D7" w:rsidRPr="007B047C" w:rsidRDefault="00C232D7" w:rsidP="00C232D7">
      <w:pPr>
        <w:pStyle w:val="Caption"/>
        <w:rPr>
          <w:rFonts w:ascii="Arial" w:hAnsi="Arial" w:cs="Arial"/>
          <w:szCs w:val="20"/>
          <w:lang w:val="sq-AL"/>
        </w:rPr>
      </w:pPr>
      <w:bookmarkStart w:id="875" w:name="_Toc189548755"/>
      <w:bookmarkStart w:id="876" w:name="_Toc190160844"/>
      <w:r w:rsidRPr="007B047C">
        <w:rPr>
          <w:rFonts w:ascii="Arial" w:hAnsi="Arial" w:cs="Arial"/>
          <w:b w:val="0"/>
          <w:szCs w:val="20"/>
        </w:rPr>
        <w:t xml:space="preserve">Slika </w:t>
      </w:r>
      <w:r w:rsidR="005812AD">
        <w:rPr>
          <w:rFonts w:ascii="Arial" w:hAnsi="Arial" w:cs="Arial"/>
          <w:b w:val="0"/>
          <w:szCs w:val="20"/>
        </w:rPr>
        <w:t>14</w:t>
      </w:r>
      <w:r w:rsidRPr="007B047C">
        <w:rPr>
          <w:rFonts w:ascii="Arial" w:eastAsia="Times New Roman" w:hAnsi="Arial" w:cs="Arial"/>
          <w:b w:val="0"/>
          <w:szCs w:val="20"/>
          <w:lang w:val="sq-AL" w:eastAsia="el-GR"/>
        </w:rPr>
        <w:t xml:space="preserve"> Opštine  i statistička regionalna podjela Crne Gore</w:t>
      </w:r>
      <w:bookmarkEnd w:id="875"/>
      <w:bookmarkEnd w:id="876"/>
    </w:p>
    <w:p w14:paraId="608062CA" w14:textId="2C91B09C" w:rsidR="007B047C" w:rsidRDefault="00C232D7" w:rsidP="00C232D7">
      <w:pPr>
        <w:spacing w:before="120" w:after="120" w:line="360" w:lineRule="auto"/>
        <w:rPr>
          <w:rFonts w:ascii="Arial" w:hAnsi="Arial" w:cs="Arial"/>
          <w:lang w:val="sq-AL"/>
        </w:rPr>
      </w:pPr>
      <w:r w:rsidRPr="002A6F4E">
        <w:rPr>
          <w:rFonts w:ascii="Arial" w:hAnsi="Arial" w:cs="Arial"/>
          <w:lang w:val="sq-AL"/>
        </w:rPr>
        <w:t xml:space="preserve">Ova podjela je korišćena kao osnova u analizi, a u sljedećoj tabeli je prikazano stanovništvo i </w:t>
      </w:r>
      <w:r w:rsidRPr="00AA057A">
        <w:rPr>
          <w:rFonts w:ascii="Arial" w:hAnsi="Arial" w:cs="Arial"/>
          <w:lang w:val="sq-AL"/>
        </w:rPr>
        <w:t>generisanje</w:t>
      </w:r>
      <w:r w:rsidRPr="002A6F4E">
        <w:rPr>
          <w:rFonts w:ascii="Arial" w:hAnsi="Arial" w:cs="Arial"/>
          <w:lang w:val="sq-AL"/>
        </w:rPr>
        <w:t xml:space="preserve"> otpada u svakom od gore navedenih regiona (procjena za 202</w:t>
      </w:r>
      <w:r w:rsidR="00FE289C" w:rsidRPr="002A6F4E">
        <w:rPr>
          <w:rFonts w:ascii="Arial" w:hAnsi="Arial" w:cs="Arial"/>
          <w:lang w:val="sq-AL"/>
        </w:rPr>
        <w:t>9</w:t>
      </w:r>
      <w:r w:rsidRPr="002A6F4E">
        <w:rPr>
          <w:rFonts w:ascii="Arial" w:hAnsi="Arial" w:cs="Arial"/>
          <w:lang w:val="sq-AL"/>
        </w:rPr>
        <w:t>. godinu, koja je godina analize).</w:t>
      </w:r>
    </w:p>
    <w:p w14:paraId="77FAA16B" w14:textId="3011712D" w:rsidR="00C232D7" w:rsidRPr="002A6F4E" w:rsidRDefault="00C232D7" w:rsidP="00C232D7">
      <w:pPr>
        <w:pStyle w:val="Caption"/>
        <w:rPr>
          <w:rFonts w:ascii="Arial" w:hAnsi="Arial" w:cs="Arial"/>
          <w:b w:val="0"/>
          <w:sz w:val="20"/>
          <w:szCs w:val="20"/>
          <w:lang w:val="sq-AL"/>
        </w:rPr>
      </w:pPr>
      <w:bookmarkStart w:id="877" w:name="_Toc110612550"/>
      <w:bookmarkStart w:id="878" w:name="_Toc110350462"/>
      <w:bookmarkStart w:id="879" w:name="_Toc110350557"/>
      <w:bookmarkStart w:id="880" w:name="_Toc117607239"/>
      <w:bookmarkStart w:id="881" w:name="_Toc189515614"/>
      <w:bookmarkStart w:id="882" w:name="_Toc190160730"/>
      <w:r w:rsidRPr="007B047C">
        <w:rPr>
          <w:rFonts w:ascii="Arial" w:hAnsi="Arial" w:cs="Arial"/>
          <w:b w:val="0"/>
          <w:szCs w:val="20"/>
          <w:lang w:val="de-DE"/>
        </w:rPr>
        <w:lastRenderedPageBreak/>
        <w:t xml:space="preserve">Tabela </w:t>
      </w:r>
      <w:r w:rsidRPr="007B047C">
        <w:rPr>
          <w:rFonts w:ascii="Arial" w:hAnsi="Arial" w:cs="Arial"/>
          <w:b w:val="0"/>
          <w:szCs w:val="20"/>
        </w:rPr>
        <w:fldChar w:fldCharType="begin"/>
      </w:r>
      <w:r w:rsidRPr="007B047C">
        <w:rPr>
          <w:rFonts w:ascii="Arial" w:hAnsi="Arial" w:cs="Arial"/>
          <w:b w:val="0"/>
          <w:szCs w:val="20"/>
          <w:lang w:val="de-DE"/>
        </w:rPr>
        <w:instrText xml:space="preserve"> SEQ Tabela \* ARABIC </w:instrText>
      </w:r>
      <w:r w:rsidRPr="007B047C">
        <w:rPr>
          <w:rFonts w:ascii="Arial" w:hAnsi="Arial" w:cs="Arial"/>
          <w:b w:val="0"/>
          <w:szCs w:val="20"/>
        </w:rPr>
        <w:fldChar w:fldCharType="separate"/>
      </w:r>
      <w:r w:rsidR="007274DA">
        <w:rPr>
          <w:rFonts w:ascii="Arial" w:hAnsi="Arial" w:cs="Arial"/>
          <w:b w:val="0"/>
          <w:noProof/>
          <w:szCs w:val="20"/>
          <w:lang w:val="de-DE"/>
        </w:rPr>
        <w:t>39</w:t>
      </w:r>
      <w:r w:rsidRPr="007B047C">
        <w:rPr>
          <w:rFonts w:ascii="Arial" w:hAnsi="Arial" w:cs="Arial"/>
          <w:b w:val="0"/>
          <w:szCs w:val="20"/>
        </w:rPr>
        <w:fldChar w:fldCharType="end"/>
      </w:r>
      <w:r w:rsidRPr="007B047C">
        <w:rPr>
          <w:rFonts w:ascii="Arial" w:hAnsi="Arial" w:cs="Arial"/>
          <w:b w:val="0"/>
          <w:szCs w:val="20"/>
          <w:lang w:val="sq-AL"/>
        </w:rPr>
        <w:t xml:space="preserve"> </w:t>
      </w:r>
      <w:bookmarkEnd w:id="877"/>
      <w:bookmarkEnd w:id="878"/>
      <w:bookmarkEnd w:id="879"/>
      <w:bookmarkEnd w:id="880"/>
      <w:r w:rsidRPr="007B047C">
        <w:rPr>
          <w:rFonts w:ascii="Arial" w:hAnsi="Arial" w:cs="Arial"/>
          <w:b w:val="0"/>
          <w:szCs w:val="20"/>
          <w:lang w:val="sq-AL"/>
        </w:rPr>
        <w:t>Glavne karakteristike regiona Crne Gore</w:t>
      </w:r>
      <w:bookmarkEnd w:id="881"/>
      <w:bookmarkEnd w:id="882"/>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1800"/>
        <w:gridCol w:w="2418"/>
        <w:gridCol w:w="1548"/>
        <w:gridCol w:w="1800"/>
      </w:tblGrid>
      <w:tr w:rsidR="00C232D7" w:rsidRPr="0014164F" w14:paraId="0641FEF5" w14:textId="77777777" w:rsidTr="00C232D7">
        <w:trPr>
          <w:tblHeader/>
          <w:jc w:val="center"/>
        </w:trPr>
        <w:tc>
          <w:tcPr>
            <w:tcW w:w="1800" w:type="dxa"/>
            <w:shd w:val="clear" w:color="auto" w:fill="F2F2F2" w:themeFill="background1" w:themeFillShade="F2"/>
            <w:vAlign w:val="center"/>
          </w:tcPr>
          <w:p w14:paraId="650F8EEA" w14:textId="77777777" w:rsidR="00C232D7" w:rsidRPr="00076A6D" w:rsidRDefault="00C232D7" w:rsidP="00C232D7">
            <w:pPr>
              <w:spacing w:before="40" w:after="40" w:line="360" w:lineRule="auto"/>
              <w:ind w:left="-14"/>
              <w:rPr>
                <w:rFonts w:ascii="Arial" w:hAnsi="Arial" w:cs="Arial"/>
                <w:b/>
                <w:bCs/>
                <w:sz w:val="18"/>
                <w:szCs w:val="18"/>
                <w:lang w:val="sq-AL"/>
              </w:rPr>
            </w:pPr>
            <w:r w:rsidRPr="00076A6D">
              <w:rPr>
                <w:rFonts w:ascii="Arial" w:hAnsi="Arial" w:cs="Arial"/>
                <w:b/>
                <w:bCs/>
                <w:sz w:val="18"/>
                <w:szCs w:val="18"/>
                <w:lang w:val="sq-AL"/>
              </w:rPr>
              <w:t>Regionalna podjela</w:t>
            </w:r>
          </w:p>
        </w:tc>
        <w:tc>
          <w:tcPr>
            <w:tcW w:w="2418" w:type="dxa"/>
            <w:shd w:val="clear" w:color="auto" w:fill="F2F2F2" w:themeFill="background1" w:themeFillShade="F2"/>
            <w:vAlign w:val="center"/>
          </w:tcPr>
          <w:p w14:paraId="20EA8964" w14:textId="77777777" w:rsidR="00C232D7" w:rsidRPr="00076A6D" w:rsidRDefault="00C232D7" w:rsidP="00C232D7">
            <w:pPr>
              <w:spacing w:before="40" w:after="40" w:line="360" w:lineRule="auto"/>
              <w:rPr>
                <w:rFonts w:ascii="Arial" w:hAnsi="Arial" w:cs="Arial"/>
                <w:b/>
                <w:bCs/>
                <w:sz w:val="18"/>
                <w:szCs w:val="18"/>
                <w:lang w:val="sq-AL"/>
              </w:rPr>
            </w:pPr>
            <w:r w:rsidRPr="00076A6D">
              <w:rPr>
                <w:rFonts w:ascii="Arial" w:hAnsi="Arial" w:cs="Arial"/>
                <w:b/>
                <w:bCs/>
                <w:sz w:val="18"/>
                <w:szCs w:val="18"/>
                <w:lang w:val="sq-AL"/>
              </w:rPr>
              <w:t>Opštine</w:t>
            </w:r>
          </w:p>
        </w:tc>
        <w:tc>
          <w:tcPr>
            <w:tcW w:w="1548" w:type="dxa"/>
            <w:shd w:val="clear" w:color="auto" w:fill="F2F2F2" w:themeFill="background1" w:themeFillShade="F2"/>
            <w:vAlign w:val="center"/>
          </w:tcPr>
          <w:p w14:paraId="60A587C2" w14:textId="23A5E88A" w:rsidR="00C232D7" w:rsidRPr="00076A6D" w:rsidRDefault="00C232D7" w:rsidP="00FE289C">
            <w:pPr>
              <w:spacing w:before="40" w:after="40" w:line="360" w:lineRule="auto"/>
              <w:rPr>
                <w:rFonts w:ascii="Arial" w:hAnsi="Arial" w:cs="Arial"/>
                <w:b/>
                <w:bCs/>
                <w:sz w:val="18"/>
                <w:szCs w:val="18"/>
                <w:lang w:val="sq-AL"/>
              </w:rPr>
            </w:pPr>
            <w:r w:rsidRPr="00076A6D">
              <w:rPr>
                <w:rFonts w:ascii="Arial" w:hAnsi="Arial" w:cs="Arial"/>
                <w:b/>
                <w:bCs/>
                <w:sz w:val="18"/>
                <w:szCs w:val="18"/>
                <w:lang w:val="sq-AL"/>
              </w:rPr>
              <w:t>Stanovništvo u 202</w:t>
            </w:r>
            <w:r w:rsidR="00FE289C" w:rsidRPr="00076A6D">
              <w:rPr>
                <w:rFonts w:ascii="Arial" w:hAnsi="Arial" w:cs="Arial"/>
                <w:b/>
                <w:bCs/>
                <w:sz w:val="18"/>
                <w:szCs w:val="18"/>
                <w:lang w:val="sq-AL"/>
              </w:rPr>
              <w:t>9</w:t>
            </w:r>
            <w:r w:rsidRPr="00076A6D">
              <w:rPr>
                <w:rFonts w:ascii="Arial" w:hAnsi="Arial" w:cs="Arial"/>
                <w:b/>
                <w:bCs/>
                <w:sz w:val="18"/>
                <w:szCs w:val="18"/>
                <w:lang w:val="sq-AL"/>
              </w:rPr>
              <w:br/>
            </w:r>
            <w:r w:rsidR="00D7322D" w:rsidRPr="00076A6D">
              <w:rPr>
                <w:rFonts w:ascii="Arial" w:hAnsi="Arial" w:cs="Arial"/>
                <w:b/>
                <w:bCs/>
                <w:sz w:val="18"/>
                <w:szCs w:val="18"/>
                <w:lang w:val="sq-AL"/>
              </w:rPr>
              <w:t>(br.stan.)</w:t>
            </w:r>
          </w:p>
        </w:tc>
        <w:tc>
          <w:tcPr>
            <w:tcW w:w="1800" w:type="dxa"/>
            <w:shd w:val="clear" w:color="auto" w:fill="F2F2F2" w:themeFill="background1" w:themeFillShade="F2"/>
            <w:vAlign w:val="center"/>
          </w:tcPr>
          <w:p w14:paraId="495613CA" w14:textId="0DEF5AB1" w:rsidR="00C232D7" w:rsidRPr="00076A6D" w:rsidRDefault="00C232D7" w:rsidP="00FE289C">
            <w:pPr>
              <w:spacing w:before="40" w:after="40" w:line="360" w:lineRule="auto"/>
              <w:rPr>
                <w:rFonts w:ascii="Arial" w:hAnsi="Arial" w:cs="Arial"/>
                <w:b/>
                <w:bCs/>
                <w:sz w:val="18"/>
                <w:szCs w:val="18"/>
                <w:lang w:val="sq-AL"/>
              </w:rPr>
            </w:pPr>
            <w:r w:rsidRPr="00076A6D">
              <w:rPr>
                <w:rFonts w:ascii="Arial" w:hAnsi="Arial" w:cs="Arial"/>
                <w:b/>
                <w:bCs/>
                <w:sz w:val="18"/>
                <w:szCs w:val="18"/>
                <w:lang w:val="sq-AL"/>
              </w:rPr>
              <w:t>Generisanje otpada</w:t>
            </w:r>
            <w:r w:rsidR="007B047C" w:rsidRPr="00076A6D">
              <w:rPr>
                <w:rFonts w:ascii="Arial" w:hAnsi="Arial" w:cs="Arial"/>
                <w:b/>
                <w:bCs/>
                <w:sz w:val="18"/>
                <w:szCs w:val="18"/>
                <w:lang w:val="sq-AL"/>
              </w:rPr>
              <w:t xml:space="preserve"> u</w:t>
            </w:r>
            <w:r w:rsidRPr="00076A6D">
              <w:rPr>
                <w:rFonts w:ascii="Arial" w:hAnsi="Arial" w:cs="Arial"/>
                <w:b/>
                <w:bCs/>
                <w:sz w:val="18"/>
                <w:szCs w:val="18"/>
                <w:lang w:val="sq-AL"/>
              </w:rPr>
              <w:t xml:space="preserve"> 202</w:t>
            </w:r>
            <w:r w:rsidR="00FE289C" w:rsidRPr="00076A6D">
              <w:rPr>
                <w:rFonts w:ascii="Arial" w:hAnsi="Arial" w:cs="Arial"/>
                <w:b/>
                <w:bCs/>
                <w:sz w:val="18"/>
                <w:szCs w:val="18"/>
                <w:lang w:val="sq-AL"/>
              </w:rPr>
              <w:t>9</w:t>
            </w:r>
            <w:r w:rsidRPr="00076A6D">
              <w:rPr>
                <w:rFonts w:ascii="Arial" w:hAnsi="Arial" w:cs="Arial"/>
                <w:b/>
                <w:bCs/>
                <w:sz w:val="18"/>
                <w:szCs w:val="18"/>
                <w:lang w:val="sq-AL"/>
              </w:rPr>
              <w:t xml:space="preserve"> (t/god)</w:t>
            </w:r>
          </w:p>
        </w:tc>
      </w:tr>
      <w:tr w:rsidR="00C232D7" w:rsidRPr="002A6F4E" w14:paraId="2B17F9ED" w14:textId="77777777" w:rsidTr="00C232D7">
        <w:trPr>
          <w:jc w:val="center"/>
        </w:trPr>
        <w:tc>
          <w:tcPr>
            <w:tcW w:w="1800" w:type="dxa"/>
            <w:shd w:val="clear" w:color="auto" w:fill="auto"/>
            <w:vAlign w:val="center"/>
          </w:tcPr>
          <w:p w14:paraId="2CDEB6ED"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Centar</w:t>
            </w:r>
          </w:p>
        </w:tc>
        <w:tc>
          <w:tcPr>
            <w:tcW w:w="2418" w:type="dxa"/>
            <w:vAlign w:val="center"/>
          </w:tcPr>
          <w:p w14:paraId="771C653B"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Cetinje</w:t>
            </w:r>
          </w:p>
          <w:p w14:paraId="17647F0C"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 xml:space="preserve">Danilovgrad </w:t>
            </w:r>
          </w:p>
          <w:p w14:paraId="056AB785"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 xml:space="preserve">Nikšić </w:t>
            </w:r>
          </w:p>
          <w:p w14:paraId="6A0F19B8"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 xml:space="preserve">Podgorica </w:t>
            </w:r>
          </w:p>
          <w:p w14:paraId="605A8EB8"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Zeta</w:t>
            </w:r>
          </w:p>
          <w:p w14:paraId="0D2211BF"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Tuzi</w:t>
            </w:r>
          </w:p>
        </w:tc>
        <w:tc>
          <w:tcPr>
            <w:tcW w:w="1548" w:type="dxa"/>
            <w:shd w:val="clear" w:color="auto" w:fill="auto"/>
            <w:vAlign w:val="center"/>
          </w:tcPr>
          <w:p w14:paraId="6F0F8B40"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309.132</w:t>
            </w:r>
          </w:p>
        </w:tc>
        <w:tc>
          <w:tcPr>
            <w:tcW w:w="1800" w:type="dxa"/>
            <w:vAlign w:val="center"/>
          </w:tcPr>
          <w:p w14:paraId="425DFF4D"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170.122</w:t>
            </w:r>
          </w:p>
        </w:tc>
      </w:tr>
      <w:tr w:rsidR="00C232D7" w:rsidRPr="002A6F4E" w14:paraId="4F9498F8" w14:textId="77777777" w:rsidTr="00C232D7">
        <w:trPr>
          <w:jc w:val="center"/>
        </w:trPr>
        <w:tc>
          <w:tcPr>
            <w:tcW w:w="1800" w:type="dxa"/>
            <w:shd w:val="clear" w:color="auto" w:fill="auto"/>
            <w:vAlign w:val="center"/>
          </w:tcPr>
          <w:p w14:paraId="51DBC17A"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Sjever</w:t>
            </w:r>
          </w:p>
        </w:tc>
        <w:tc>
          <w:tcPr>
            <w:tcW w:w="2418" w:type="dxa"/>
            <w:vAlign w:val="center"/>
          </w:tcPr>
          <w:p w14:paraId="769A50FD"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 xml:space="preserve">Andrijevica </w:t>
            </w:r>
          </w:p>
          <w:p w14:paraId="1921FACA"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Berane</w:t>
            </w:r>
          </w:p>
          <w:p w14:paraId="479EDB0B"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 xml:space="preserve">Bijelo Polje </w:t>
            </w:r>
          </w:p>
          <w:p w14:paraId="34460FA9"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 xml:space="preserve">Gusinje </w:t>
            </w:r>
          </w:p>
          <w:p w14:paraId="7ED397FD"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Kolašin</w:t>
            </w:r>
          </w:p>
          <w:p w14:paraId="167ABDB3"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 xml:space="preserve">Mojkovac </w:t>
            </w:r>
          </w:p>
          <w:p w14:paraId="7DCC2802"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 xml:space="preserve">Petnjica </w:t>
            </w:r>
          </w:p>
          <w:p w14:paraId="1C27C678"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Plav</w:t>
            </w:r>
          </w:p>
          <w:p w14:paraId="3CF5B93E"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Plužine</w:t>
            </w:r>
          </w:p>
          <w:p w14:paraId="39D05C96"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 xml:space="preserve">Pljevlja </w:t>
            </w:r>
          </w:p>
          <w:p w14:paraId="097CB0E6"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 xml:space="preserve">Rožaje </w:t>
            </w:r>
          </w:p>
          <w:p w14:paraId="0F9B2932"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Šavnik</w:t>
            </w:r>
          </w:p>
          <w:p w14:paraId="4E881B23"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Žabljak</w:t>
            </w:r>
          </w:p>
        </w:tc>
        <w:tc>
          <w:tcPr>
            <w:tcW w:w="1548" w:type="dxa"/>
            <w:shd w:val="clear" w:color="auto" w:fill="auto"/>
            <w:vAlign w:val="center"/>
          </w:tcPr>
          <w:p w14:paraId="5685DB7D"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160.213</w:t>
            </w:r>
          </w:p>
        </w:tc>
        <w:tc>
          <w:tcPr>
            <w:tcW w:w="1800" w:type="dxa"/>
            <w:vAlign w:val="center"/>
          </w:tcPr>
          <w:p w14:paraId="68423914"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75.394</w:t>
            </w:r>
          </w:p>
        </w:tc>
      </w:tr>
      <w:tr w:rsidR="00C232D7" w:rsidRPr="002A6F4E" w14:paraId="29B09B7D" w14:textId="77777777" w:rsidTr="00C232D7">
        <w:trPr>
          <w:jc w:val="center"/>
        </w:trPr>
        <w:tc>
          <w:tcPr>
            <w:tcW w:w="1800" w:type="dxa"/>
            <w:shd w:val="clear" w:color="auto" w:fill="auto"/>
            <w:vAlign w:val="center"/>
          </w:tcPr>
          <w:p w14:paraId="12BD40BB"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Primorje</w:t>
            </w:r>
          </w:p>
        </w:tc>
        <w:tc>
          <w:tcPr>
            <w:tcW w:w="2418" w:type="dxa"/>
            <w:vAlign w:val="center"/>
          </w:tcPr>
          <w:p w14:paraId="01690939"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 xml:space="preserve">Bar </w:t>
            </w:r>
          </w:p>
          <w:p w14:paraId="35938788"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Budva</w:t>
            </w:r>
          </w:p>
          <w:p w14:paraId="77C32C3E"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Herceg Novi</w:t>
            </w:r>
          </w:p>
          <w:p w14:paraId="158548E7"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Kotor</w:t>
            </w:r>
          </w:p>
          <w:p w14:paraId="354A7B7E"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Tivat</w:t>
            </w:r>
          </w:p>
          <w:p w14:paraId="057065BF"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Ulcinj</w:t>
            </w:r>
          </w:p>
        </w:tc>
        <w:tc>
          <w:tcPr>
            <w:tcW w:w="1548" w:type="dxa"/>
            <w:shd w:val="clear" w:color="auto" w:fill="auto"/>
            <w:vAlign w:val="center"/>
          </w:tcPr>
          <w:p w14:paraId="43FC031D"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207.563</w:t>
            </w:r>
          </w:p>
        </w:tc>
        <w:tc>
          <w:tcPr>
            <w:tcW w:w="1800" w:type="dxa"/>
            <w:vAlign w:val="center"/>
          </w:tcPr>
          <w:p w14:paraId="36104840"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114.916</w:t>
            </w:r>
          </w:p>
        </w:tc>
      </w:tr>
      <w:tr w:rsidR="00C232D7" w:rsidRPr="002A6F4E" w14:paraId="05F75A33" w14:textId="77777777" w:rsidTr="00C232D7">
        <w:trPr>
          <w:trHeight w:val="562"/>
          <w:jc w:val="center"/>
        </w:trPr>
        <w:tc>
          <w:tcPr>
            <w:tcW w:w="1800" w:type="dxa"/>
            <w:shd w:val="clear" w:color="auto" w:fill="E2EFD9" w:themeFill="accent6" w:themeFillTint="33"/>
            <w:vAlign w:val="center"/>
          </w:tcPr>
          <w:p w14:paraId="7749D4E3" w14:textId="77777777" w:rsidR="00C232D7" w:rsidRPr="00076A6D" w:rsidRDefault="00C232D7" w:rsidP="00C232D7">
            <w:pPr>
              <w:spacing w:before="40" w:after="40" w:line="360" w:lineRule="auto"/>
              <w:ind w:left="-14"/>
              <w:rPr>
                <w:rFonts w:ascii="Arial" w:hAnsi="Arial" w:cs="Arial"/>
                <w:b/>
                <w:bCs/>
                <w:sz w:val="18"/>
                <w:szCs w:val="18"/>
                <w:lang w:val="sq-AL"/>
              </w:rPr>
            </w:pPr>
            <w:r w:rsidRPr="00076A6D">
              <w:rPr>
                <w:rFonts w:ascii="Arial" w:hAnsi="Arial" w:cs="Arial"/>
                <w:b/>
                <w:bCs/>
                <w:sz w:val="18"/>
                <w:szCs w:val="18"/>
                <w:lang w:val="sq-AL"/>
              </w:rPr>
              <w:t>Ukupno</w:t>
            </w:r>
          </w:p>
        </w:tc>
        <w:tc>
          <w:tcPr>
            <w:tcW w:w="2418" w:type="dxa"/>
            <w:shd w:val="clear" w:color="auto" w:fill="E2EFD9" w:themeFill="accent6" w:themeFillTint="33"/>
            <w:vAlign w:val="center"/>
          </w:tcPr>
          <w:p w14:paraId="6678F76E"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w:t>
            </w:r>
          </w:p>
        </w:tc>
        <w:tc>
          <w:tcPr>
            <w:tcW w:w="1548" w:type="dxa"/>
            <w:shd w:val="clear" w:color="auto" w:fill="E2EFD9" w:themeFill="accent6" w:themeFillTint="33"/>
            <w:vAlign w:val="center"/>
          </w:tcPr>
          <w:p w14:paraId="49B9379D" w14:textId="77777777" w:rsidR="00C232D7" w:rsidRPr="00076A6D" w:rsidRDefault="00C232D7" w:rsidP="00C232D7">
            <w:pPr>
              <w:spacing w:before="40" w:after="40" w:line="360" w:lineRule="auto"/>
              <w:rPr>
                <w:rFonts w:ascii="Arial" w:hAnsi="Arial" w:cs="Arial"/>
                <w:b/>
                <w:bCs/>
                <w:sz w:val="18"/>
                <w:szCs w:val="18"/>
                <w:lang w:val="sq-AL"/>
              </w:rPr>
            </w:pPr>
            <w:r w:rsidRPr="00076A6D">
              <w:rPr>
                <w:rFonts w:ascii="Arial" w:hAnsi="Arial" w:cs="Arial"/>
                <w:b/>
                <w:bCs/>
                <w:sz w:val="18"/>
                <w:szCs w:val="18"/>
                <w:lang w:val="sq-AL"/>
              </w:rPr>
              <w:t>676.908</w:t>
            </w:r>
          </w:p>
        </w:tc>
        <w:tc>
          <w:tcPr>
            <w:tcW w:w="1800" w:type="dxa"/>
            <w:shd w:val="clear" w:color="auto" w:fill="E2EFD9" w:themeFill="accent6" w:themeFillTint="33"/>
            <w:vAlign w:val="center"/>
          </w:tcPr>
          <w:p w14:paraId="61975727" w14:textId="77777777" w:rsidR="00C232D7" w:rsidRPr="00076A6D" w:rsidRDefault="00C232D7" w:rsidP="00C232D7">
            <w:pPr>
              <w:spacing w:before="40" w:after="40" w:line="360" w:lineRule="auto"/>
              <w:rPr>
                <w:rFonts w:ascii="Arial" w:hAnsi="Arial" w:cs="Arial"/>
                <w:b/>
                <w:bCs/>
                <w:sz w:val="18"/>
                <w:szCs w:val="18"/>
                <w:lang w:val="sq-AL"/>
              </w:rPr>
            </w:pPr>
            <w:r w:rsidRPr="00076A6D">
              <w:rPr>
                <w:rFonts w:ascii="Arial" w:hAnsi="Arial" w:cs="Arial"/>
                <w:b/>
                <w:bCs/>
                <w:sz w:val="18"/>
                <w:szCs w:val="18"/>
                <w:lang w:val="sq-AL"/>
              </w:rPr>
              <w:t>360.433</w:t>
            </w:r>
          </w:p>
        </w:tc>
      </w:tr>
    </w:tbl>
    <w:p w14:paraId="0D0956C0" w14:textId="77777777" w:rsidR="00E854B6" w:rsidRDefault="00C232D7" w:rsidP="00C232D7">
      <w:pPr>
        <w:spacing w:line="360" w:lineRule="auto"/>
        <w:rPr>
          <w:rFonts w:ascii="Arial" w:hAnsi="Arial" w:cs="Arial"/>
          <w:i/>
          <w:lang w:val="sq-AL"/>
        </w:rPr>
      </w:pPr>
      <w:r w:rsidRPr="002A6F4E">
        <w:rPr>
          <w:rFonts w:ascii="Arial" w:hAnsi="Arial" w:cs="Arial"/>
          <w:i/>
          <w:lang w:val="sq-AL"/>
        </w:rPr>
        <w:t xml:space="preserve">       </w:t>
      </w:r>
    </w:p>
    <w:p w14:paraId="30DCA338" w14:textId="710BC9FF" w:rsidR="00E854B6" w:rsidRDefault="00C232D7" w:rsidP="00C232D7">
      <w:pPr>
        <w:spacing w:line="360" w:lineRule="auto"/>
        <w:rPr>
          <w:rFonts w:ascii="Arial" w:hAnsi="Arial" w:cs="Arial"/>
          <w:i/>
          <w:lang w:val="sq-AL"/>
        </w:rPr>
      </w:pPr>
      <w:r w:rsidRPr="002A6F4E">
        <w:rPr>
          <w:rFonts w:ascii="Arial" w:hAnsi="Arial" w:cs="Arial"/>
          <w:i/>
          <w:lang w:val="sq-AL"/>
        </w:rPr>
        <w:t xml:space="preserve">      </w:t>
      </w:r>
    </w:p>
    <w:p w14:paraId="3311A141" w14:textId="77777777" w:rsidR="009C3860" w:rsidRDefault="009C3860" w:rsidP="00C232D7">
      <w:pPr>
        <w:spacing w:line="360" w:lineRule="auto"/>
        <w:rPr>
          <w:rFonts w:ascii="Arial" w:hAnsi="Arial" w:cs="Arial"/>
          <w:i/>
          <w:lang w:val="sq-AL"/>
        </w:rPr>
      </w:pPr>
    </w:p>
    <w:p w14:paraId="74F63C8C" w14:textId="77777777" w:rsidR="009C3860" w:rsidRDefault="009C3860" w:rsidP="00C232D7">
      <w:pPr>
        <w:spacing w:line="360" w:lineRule="auto"/>
        <w:rPr>
          <w:rFonts w:ascii="Arial" w:hAnsi="Arial" w:cs="Arial"/>
          <w:i/>
          <w:lang w:val="sq-AL"/>
        </w:rPr>
      </w:pPr>
    </w:p>
    <w:p w14:paraId="257DAA4B" w14:textId="77777777" w:rsidR="009C3860" w:rsidRDefault="009C3860" w:rsidP="00C232D7">
      <w:pPr>
        <w:spacing w:line="360" w:lineRule="auto"/>
        <w:rPr>
          <w:rFonts w:ascii="Arial" w:hAnsi="Arial" w:cs="Arial"/>
          <w:i/>
          <w:lang w:val="sq-AL"/>
        </w:rPr>
      </w:pPr>
    </w:p>
    <w:p w14:paraId="60FAB438" w14:textId="77777777" w:rsidR="009C3860" w:rsidRPr="002A6F4E" w:rsidRDefault="009C3860" w:rsidP="00C232D7">
      <w:pPr>
        <w:spacing w:line="360" w:lineRule="auto"/>
        <w:rPr>
          <w:rFonts w:ascii="Arial" w:hAnsi="Arial" w:cs="Arial"/>
          <w:i/>
          <w:lang w:val="sq-AL"/>
        </w:rPr>
      </w:pPr>
    </w:p>
    <w:p w14:paraId="0CE0B24C" w14:textId="77777777" w:rsidR="009C3860" w:rsidRDefault="009C3860" w:rsidP="00D7322D">
      <w:pPr>
        <w:spacing w:before="120" w:after="120" w:line="360" w:lineRule="auto"/>
        <w:rPr>
          <w:rFonts w:ascii="Arial" w:hAnsi="Arial" w:cs="Arial"/>
          <w:lang w:val="sq-AL"/>
        </w:rPr>
      </w:pPr>
    </w:p>
    <w:p w14:paraId="7CFCA16E" w14:textId="2324BAF1" w:rsidR="00120736" w:rsidRPr="009C3860" w:rsidRDefault="00C232D7" w:rsidP="00D7322D">
      <w:pPr>
        <w:spacing w:before="120" w:after="120" w:line="360" w:lineRule="auto"/>
        <w:rPr>
          <w:rFonts w:ascii="Arial" w:hAnsi="Arial" w:cs="Arial"/>
          <w:lang w:val="sq-AL"/>
        </w:rPr>
      </w:pPr>
      <w:r w:rsidRPr="002A6F4E">
        <w:rPr>
          <w:rFonts w:ascii="Arial" w:hAnsi="Arial" w:cs="Arial"/>
          <w:lang w:val="sq-AL"/>
        </w:rPr>
        <w:lastRenderedPageBreak/>
        <w:t xml:space="preserve">U sljedećoj tabeli prikazana je postojeća i planirana infrastruktura iz prethodnog perioda koja opslužuje </w:t>
      </w:r>
      <w:r w:rsidRPr="00D7322D">
        <w:rPr>
          <w:rFonts w:ascii="Arial" w:hAnsi="Arial" w:cs="Arial"/>
          <w:lang w:val="sq-AL"/>
        </w:rPr>
        <w:t>svaku opštinu.</w:t>
      </w:r>
      <w:bookmarkStart w:id="883" w:name="_Toc110350558"/>
      <w:bookmarkStart w:id="884" w:name="_Toc110350463"/>
      <w:bookmarkStart w:id="885" w:name="_Toc110612551"/>
      <w:bookmarkStart w:id="886" w:name="_Toc117607240"/>
    </w:p>
    <w:p w14:paraId="1C64D668" w14:textId="3F0F66DD" w:rsidR="00C232D7" w:rsidRPr="00076A6D" w:rsidRDefault="00C232D7" w:rsidP="00C232D7">
      <w:pPr>
        <w:pStyle w:val="Caption"/>
        <w:rPr>
          <w:rFonts w:ascii="Arial" w:hAnsi="Arial" w:cs="Arial"/>
          <w:b w:val="0"/>
          <w:lang w:val="sq-AL"/>
        </w:rPr>
      </w:pPr>
      <w:bookmarkStart w:id="887" w:name="_Toc189515615"/>
      <w:bookmarkStart w:id="888" w:name="_Toc190160731"/>
      <w:r w:rsidRPr="00AA057A">
        <w:rPr>
          <w:rFonts w:ascii="Arial" w:hAnsi="Arial" w:cs="Arial"/>
          <w:b w:val="0"/>
          <w:lang w:val="sq-AL"/>
        </w:rPr>
        <w:t xml:space="preserve">Tabela </w:t>
      </w:r>
      <w:r w:rsidRPr="00076A6D">
        <w:rPr>
          <w:rFonts w:ascii="Arial" w:hAnsi="Arial" w:cs="Arial"/>
          <w:b w:val="0"/>
        </w:rPr>
        <w:fldChar w:fldCharType="begin"/>
      </w:r>
      <w:r w:rsidRPr="00AA057A">
        <w:rPr>
          <w:rFonts w:ascii="Arial" w:hAnsi="Arial" w:cs="Arial"/>
          <w:b w:val="0"/>
          <w:lang w:val="sq-AL"/>
        </w:rPr>
        <w:instrText xml:space="preserve"> SEQ Tabela \* ARABIC </w:instrText>
      </w:r>
      <w:r w:rsidRPr="00076A6D">
        <w:rPr>
          <w:rFonts w:ascii="Arial" w:hAnsi="Arial" w:cs="Arial"/>
          <w:b w:val="0"/>
        </w:rPr>
        <w:fldChar w:fldCharType="separate"/>
      </w:r>
      <w:r w:rsidR="007274DA">
        <w:rPr>
          <w:rFonts w:ascii="Arial" w:hAnsi="Arial" w:cs="Arial"/>
          <w:b w:val="0"/>
          <w:noProof/>
          <w:lang w:val="sq-AL"/>
        </w:rPr>
        <w:t>40</w:t>
      </w:r>
      <w:r w:rsidRPr="00076A6D">
        <w:rPr>
          <w:rFonts w:ascii="Arial" w:hAnsi="Arial" w:cs="Arial"/>
          <w:b w:val="0"/>
        </w:rPr>
        <w:fldChar w:fldCharType="end"/>
      </w:r>
      <w:r w:rsidRPr="00076A6D">
        <w:rPr>
          <w:rFonts w:ascii="Arial" w:hAnsi="Arial" w:cs="Arial"/>
          <w:b w:val="0"/>
          <w:lang w:val="sq-AL"/>
        </w:rPr>
        <w:t xml:space="preserve"> </w:t>
      </w:r>
      <w:bookmarkEnd w:id="883"/>
      <w:bookmarkEnd w:id="884"/>
      <w:bookmarkEnd w:id="885"/>
      <w:bookmarkEnd w:id="886"/>
      <w:r w:rsidRPr="00076A6D">
        <w:rPr>
          <w:rFonts w:ascii="Arial" w:hAnsi="Arial" w:cs="Arial"/>
          <w:b w:val="0"/>
          <w:lang w:val="sq-AL"/>
        </w:rPr>
        <w:t>Postojeća i planirana infrastruktura za upravljanje otpadom</w:t>
      </w:r>
      <w:bookmarkEnd w:id="887"/>
      <w:bookmarkEnd w:id="888"/>
      <w:r w:rsidR="00D7322D" w:rsidRPr="00076A6D">
        <w:rPr>
          <w:rFonts w:ascii="Arial" w:hAnsi="Arial" w:cs="Arial"/>
          <w:b w:val="0"/>
          <w:lang w:val="sq-AL"/>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272"/>
        <w:gridCol w:w="1386"/>
        <w:gridCol w:w="1124"/>
        <w:gridCol w:w="1386"/>
        <w:gridCol w:w="1347"/>
        <w:gridCol w:w="1324"/>
        <w:gridCol w:w="1513"/>
      </w:tblGrid>
      <w:tr w:rsidR="001F7291" w:rsidRPr="00076A6D" w14:paraId="4EC3F64A" w14:textId="77777777" w:rsidTr="001F7291">
        <w:trPr>
          <w:tblHeader/>
        </w:trPr>
        <w:tc>
          <w:tcPr>
            <w:tcW w:w="680" w:type="pct"/>
            <w:shd w:val="clear" w:color="auto" w:fill="F2F2F2" w:themeFill="background1" w:themeFillShade="F2"/>
            <w:vAlign w:val="center"/>
          </w:tcPr>
          <w:p w14:paraId="63822214" w14:textId="77777777" w:rsidR="00C232D7" w:rsidRPr="00076A6D" w:rsidRDefault="00C232D7" w:rsidP="00C232D7">
            <w:pPr>
              <w:spacing w:before="40" w:after="40" w:line="360" w:lineRule="auto"/>
              <w:ind w:left="-14"/>
              <w:rPr>
                <w:rFonts w:ascii="Arial" w:hAnsi="Arial" w:cs="Arial"/>
                <w:b/>
                <w:bCs/>
                <w:sz w:val="18"/>
                <w:szCs w:val="18"/>
                <w:lang w:val="sq-AL"/>
              </w:rPr>
            </w:pPr>
            <w:bookmarkStart w:id="889" w:name="_Hlk110345719"/>
            <w:r w:rsidRPr="00076A6D">
              <w:rPr>
                <w:rFonts w:ascii="Arial" w:hAnsi="Arial" w:cs="Arial"/>
                <w:b/>
                <w:bCs/>
                <w:sz w:val="18"/>
                <w:szCs w:val="18"/>
                <w:lang w:val="sq-AL"/>
              </w:rPr>
              <w:t>Region</w:t>
            </w:r>
          </w:p>
        </w:tc>
        <w:tc>
          <w:tcPr>
            <w:tcW w:w="741" w:type="pct"/>
            <w:shd w:val="clear" w:color="auto" w:fill="F2F2F2" w:themeFill="background1" w:themeFillShade="F2"/>
            <w:vAlign w:val="center"/>
          </w:tcPr>
          <w:p w14:paraId="1262525A" w14:textId="77777777" w:rsidR="00C232D7" w:rsidRPr="00076A6D" w:rsidRDefault="00C232D7" w:rsidP="00C232D7">
            <w:pPr>
              <w:spacing w:before="40" w:after="40" w:line="360" w:lineRule="auto"/>
              <w:rPr>
                <w:rFonts w:ascii="Arial" w:hAnsi="Arial" w:cs="Arial"/>
                <w:b/>
                <w:bCs/>
                <w:sz w:val="18"/>
                <w:szCs w:val="18"/>
                <w:lang w:val="sq-AL"/>
              </w:rPr>
            </w:pPr>
            <w:r w:rsidRPr="00076A6D">
              <w:rPr>
                <w:rFonts w:ascii="Arial" w:hAnsi="Arial" w:cs="Arial"/>
                <w:b/>
                <w:bCs/>
                <w:sz w:val="18"/>
                <w:szCs w:val="18"/>
                <w:lang w:val="sq-AL"/>
              </w:rPr>
              <w:t>Naziv</w:t>
            </w:r>
          </w:p>
        </w:tc>
        <w:tc>
          <w:tcPr>
            <w:tcW w:w="601" w:type="pct"/>
            <w:shd w:val="clear" w:color="auto" w:fill="F2F2F2" w:themeFill="background1" w:themeFillShade="F2"/>
            <w:vAlign w:val="center"/>
          </w:tcPr>
          <w:p w14:paraId="60FE0E8D" w14:textId="77777777" w:rsidR="00C232D7" w:rsidRPr="00076A6D" w:rsidRDefault="00C232D7" w:rsidP="00C232D7">
            <w:pPr>
              <w:spacing w:before="40" w:after="40" w:line="360" w:lineRule="auto"/>
              <w:rPr>
                <w:rFonts w:ascii="Arial" w:hAnsi="Arial" w:cs="Arial"/>
                <w:b/>
                <w:bCs/>
                <w:sz w:val="18"/>
                <w:szCs w:val="18"/>
                <w:lang w:val="sq-AL"/>
              </w:rPr>
            </w:pPr>
            <w:r w:rsidRPr="00076A6D">
              <w:rPr>
                <w:rFonts w:ascii="Arial" w:hAnsi="Arial" w:cs="Arial"/>
                <w:b/>
                <w:bCs/>
                <w:sz w:val="18"/>
                <w:szCs w:val="18"/>
                <w:lang w:val="sq-AL"/>
              </w:rPr>
              <w:t>Lokacija</w:t>
            </w:r>
          </w:p>
        </w:tc>
        <w:tc>
          <w:tcPr>
            <w:tcW w:w="741" w:type="pct"/>
            <w:shd w:val="clear" w:color="auto" w:fill="F2F2F2" w:themeFill="background1" w:themeFillShade="F2"/>
            <w:vAlign w:val="center"/>
          </w:tcPr>
          <w:p w14:paraId="0D81187C" w14:textId="77777777" w:rsidR="00C232D7" w:rsidRPr="00076A6D" w:rsidRDefault="00C232D7" w:rsidP="00C232D7">
            <w:pPr>
              <w:spacing w:before="40" w:after="40" w:line="360" w:lineRule="auto"/>
              <w:rPr>
                <w:rFonts w:ascii="Arial" w:hAnsi="Arial" w:cs="Arial"/>
                <w:b/>
                <w:bCs/>
                <w:sz w:val="18"/>
                <w:szCs w:val="18"/>
                <w:lang w:val="sq-AL"/>
              </w:rPr>
            </w:pPr>
            <w:r w:rsidRPr="00076A6D">
              <w:rPr>
                <w:rFonts w:ascii="Arial" w:hAnsi="Arial" w:cs="Arial"/>
                <w:b/>
                <w:bCs/>
                <w:sz w:val="18"/>
                <w:szCs w:val="18"/>
                <w:lang w:val="sq-AL"/>
              </w:rPr>
              <w:t>Vrsta postrojenja</w:t>
            </w:r>
          </w:p>
        </w:tc>
        <w:tc>
          <w:tcPr>
            <w:tcW w:w="720" w:type="pct"/>
            <w:shd w:val="clear" w:color="auto" w:fill="F2F2F2" w:themeFill="background1" w:themeFillShade="F2"/>
            <w:vAlign w:val="center"/>
          </w:tcPr>
          <w:p w14:paraId="2C94F7AF" w14:textId="77777777" w:rsidR="00C232D7" w:rsidRPr="00076A6D" w:rsidRDefault="00C232D7" w:rsidP="00C232D7">
            <w:pPr>
              <w:spacing w:before="40" w:after="40" w:line="360" w:lineRule="auto"/>
              <w:rPr>
                <w:rFonts w:ascii="Arial" w:hAnsi="Arial" w:cs="Arial"/>
                <w:b/>
                <w:bCs/>
                <w:sz w:val="18"/>
                <w:szCs w:val="18"/>
                <w:lang w:val="sq-AL"/>
              </w:rPr>
            </w:pPr>
            <w:r w:rsidRPr="00076A6D">
              <w:rPr>
                <w:rFonts w:ascii="Arial" w:hAnsi="Arial" w:cs="Arial"/>
                <w:b/>
                <w:bCs/>
                <w:sz w:val="18"/>
                <w:szCs w:val="18"/>
                <w:lang w:val="sq-AL"/>
              </w:rPr>
              <w:t>Status</w:t>
            </w:r>
          </w:p>
        </w:tc>
        <w:tc>
          <w:tcPr>
            <w:tcW w:w="708" w:type="pct"/>
            <w:shd w:val="clear" w:color="auto" w:fill="F2F2F2" w:themeFill="background1" w:themeFillShade="F2"/>
            <w:vAlign w:val="center"/>
          </w:tcPr>
          <w:p w14:paraId="69EEB59C" w14:textId="77777777" w:rsidR="00C232D7" w:rsidRPr="00076A6D" w:rsidRDefault="00C232D7" w:rsidP="00C232D7">
            <w:pPr>
              <w:spacing w:before="40" w:after="40" w:line="360" w:lineRule="auto"/>
              <w:rPr>
                <w:rFonts w:ascii="Arial" w:hAnsi="Arial" w:cs="Arial"/>
                <w:b/>
                <w:bCs/>
                <w:sz w:val="18"/>
                <w:szCs w:val="18"/>
                <w:lang w:val="sq-AL"/>
              </w:rPr>
            </w:pPr>
            <w:r w:rsidRPr="00076A6D">
              <w:rPr>
                <w:rFonts w:ascii="Arial" w:hAnsi="Arial" w:cs="Arial"/>
                <w:b/>
                <w:bCs/>
                <w:sz w:val="18"/>
                <w:szCs w:val="18"/>
                <w:lang w:val="sq-AL"/>
              </w:rPr>
              <w:t>Kapacitet (</w:t>
            </w:r>
            <w:r w:rsidRPr="00076A6D">
              <w:rPr>
                <w:rFonts w:ascii="Arial" w:hAnsi="Arial" w:cs="Arial"/>
                <w:b/>
                <w:bCs/>
                <w:sz w:val="18"/>
                <w:szCs w:val="18"/>
              </w:rPr>
              <w:t>m</w:t>
            </w:r>
            <w:r w:rsidRPr="00076A6D">
              <w:rPr>
                <w:rFonts w:ascii="Arial" w:hAnsi="Arial" w:cs="Arial"/>
                <w:b/>
                <w:bCs/>
                <w:sz w:val="18"/>
                <w:szCs w:val="18"/>
                <w:vertAlign w:val="superscript"/>
              </w:rPr>
              <w:t>3</w:t>
            </w:r>
            <w:r w:rsidRPr="00076A6D">
              <w:rPr>
                <w:rFonts w:ascii="Arial" w:hAnsi="Arial" w:cs="Arial"/>
                <w:b/>
                <w:bCs/>
                <w:sz w:val="18"/>
                <w:szCs w:val="18"/>
              </w:rPr>
              <w:t>)</w:t>
            </w:r>
          </w:p>
        </w:tc>
        <w:tc>
          <w:tcPr>
            <w:tcW w:w="809" w:type="pct"/>
            <w:shd w:val="clear" w:color="auto" w:fill="F2F2F2" w:themeFill="background1" w:themeFillShade="F2"/>
            <w:vAlign w:val="center"/>
          </w:tcPr>
          <w:p w14:paraId="05BA14FE" w14:textId="77777777" w:rsidR="00C232D7" w:rsidRPr="00076A6D" w:rsidRDefault="00C232D7" w:rsidP="00C232D7">
            <w:pPr>
              <w:spacing w:before="40" w:after="40" w:line="360" w:lineRule="auto"/>
              <w:rPr>
                <w:rFonts w:ascii="Arial" w:hAnsi="Arial" w:cs="Arial"/>
                <w:b/>
                <w:bCs/>
                <w:sz w:val="18"/>
                <w:szCs w:val="18"/>
                <w:lang w:val="sq-AL"/>
              </w:rPr>
            </w:pPr>
            <w:r w:rsidRPr="00076A6D">
              <w:rPr>
                <w:rFonts w:ascii="Arial" w:hAnsi="Arial" w:cs="Arial"/>
                <w:b/>
                <w:bCs/>
                <w:sz w:val="18"/>
                <w:szCs w:val="18"/>
                <w:lang w:val="sq-AL"/>
              </w:rPr>
              <w:t>Opslužena opština</w:t>
            </w:r>
          </w:p>
        </w:tc>
      </w:tr>
      <w:tr w:rsidR="001F7291" w:rsidRPr="00076A6D" w14:paraId="2A5FB7F0" w14:textId="77777777" w:rsidTr="001F7291">
        <w:tc>
          <w:tcPr>
            <w:tcW w:w="680" w:type="pct"/>
            <w:vMerge w:val="restart"/>
            <w:shd w:val="clear" w:color="auto" w:fill="auto"/>
            <w:vAlign w:val="center"/>
          </w:tcPr>
          <w:p w14:paraId="4ECC608E"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Centar</w:t>
            </w:r>
          </w:p>
        </w:tc>
        <w:tc>
          <w:tcPr>
            <w:tcW w:w="741" w:type="pct"/>
            <w:vAlign w:val="center"/>
          </w:tcPr>
          <w:p w14:paraId="11A1021A"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Livade</w:t>
            </w:r>
          </w:p>
        </w:tc>
        <w:tc>
          <w:tcPr>
            <w:tcW w:w="601" w:type="pct"/>
            <w:shd w:val="clear" w:color="auto" w:fill="auto"/>
            <w:vAlign w:val="center"/>
          </w:tcPr>
          <w:p w14:paraId="68DA631A"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Podgorica</w:t>
            </w:r>
          </w:p>
        </w:tc>
        <w:tc>
          <w:tcPr>
            <w:tcW w:w="741" w:type="pct"/>
            <w:vAlign w:val="center"/>
          </w:tcPr>
          <w:p w14:paraId="1D18DD79" w14:textId="37FBFCA8"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Sanitarna deponija</w:t>
            </w:r>
          </w:p>
        </w:tc>
        <w:tc>
          <w:tcPr>
            <w:tcW w:w="720" w:type="pct"/>
            <w:vAlign w:val="center"/>
          </w:tcPr>
          <w:p w14:paraId="5DF53C8D"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Operativna</w:t>
            </w:r>
          </w:p>
        </w:tc>
        <w:tc>
          <w:tcPr>
            <w:tcW w:w="708" w:type="pct"/>
            <w:vAlign w:val="center"/>
          </w:tcPr>
          <w:p w14:paraId="2420E602"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Ukupno 2.400.000</w:t>
            </w:r>
          </w:p>
          <w:p w14:paraId="1D24AD13"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Preostaje</w:t>
            </w:r>
          </w:p>
          <w:p w14:paraId="23107D48"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1.200.000</w:t>
            </w:r>
          </w:p>
        </w:tc>
        <w:tc>
          <w:tcPr>
            <w:tcW w:w="809" w:type="pct"/>
            <w:vAlign w:val="center"/>
          </w:tcPr>
          <w:p w14:paraId="4AA302A8"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 xml:space="preserve">Podgorica </w:t>
            </w:r>
          </w:p>
          <w:p w14:paraId="6AA9B627"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 xml:space="preserve">Danilovgrad </w:t>
            </w:r>
          </w:p>
          <w:p w14:paraId="0BBDEF2E"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Cetinje</w:t>
            </w:r>
          </w:p>
          <w:p w14:paraId="108D789A"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Tuzi</w:t>
            </w:r>
          </w:p>
          <w:p w14:paraId="1E586AF6"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Plužine</w:t>
            </w:r>
          </w:p>
          <w:p w14:paraId="410C2FFE"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Šavnik</w:t>
            </w:r>
          </w:p>
          <w:p w14:paraId="0B99E7D6"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Zeta</w:t>
            </w:r>
          </w:p>
        </w:tc>
      </w:tr>
      <w:tr w:rsidR="001F7291" w:rsidRPr="00076A6D" w14:paraId="13A86F0E" w14:textId="77777777" w:rsidTr="001F7291">
        <w:tc>
          <w:tcPr>
            <w:tcW w:w="680" w:type="pct"/>
            <w:vMerge/>
            <w:shd w:val="clear" w:color="auto" w:fill="auto"/>
            <w:vAlign w:val="center"/>
          </w:tcPr>
          <w:p w14:paraId="352038B2" w14:textId="77777777" w:rsidR="00C232D7" w:rsidRPr="00076A6D" w:rsidRDefault="00C232D7" w:rsidP="00C232D7">
            <w:pPr>
              <w:spacing w:before="40" w:after="40" w:line="360" w:lineRule="auto"/>
              <w:ind w:left="-14"/>
              <w:rPr>
                <w:rFonts w:ascii="Arial" w:hAnsi="Arial" w:cs="Arial"/>
                <w:sz w:val="18"/>
                <w:szCs w:val="18"/>
                <w:lang w:val="sq-AL"/>
              </w:rPr>
            </w:pPr>
          </w:p>
        </w:tc>
        <w:tc>
          <w:tcPr>
            <w:tcW w:w="741" w:type="pct"/>
            <w:vAlign w:val="center"/>
          </w:tcPr>
          <w:p w14:paraId="302BDB95"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Podgorica Reciklažni centar</w:t>
            </w:r>
          </w:p>
        </w:tc>
        <w:tc>
          <w:tcPr>
            <w:tcW w:w="601" w:type="pct"/>
            <w:shd w:val="clear" w:color="auto" w:fill="auto"/>
            <w:vAlign w:val="center"/>
          </w:tcPr>
          <w:p w14:paraId="1D93B195"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Podgorica</w:t>
            </w:r>
          </w:p>
        </w:tc>
        <w:tc>
          <w:tcPr>
            <w:tcW w:w="741" w:type="pct"/>
            <w:vAlign w:val="center"/>
          </w:tcPr>
          <w:p w14:paraId="46105B6C"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Postrojenje za povrat materijala (MRF)</w:t>
            </w:r>
          </w:p>
        </w:tc>
        <w:tc>
          <w:tcPr>
            <w:tcW w:w="720" w:type="pct"/>
            <w:vAlign w:val="center"/>
          </w:tcPr>
          <w:p w14:paraId="7C902435"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Operativna</w:t>
            </w:r>
          </w:p>
        </w:tc>
        <w:tc>
          <w:tcPr>
            <w:tcW w:w="708" w:type="pct"/>
            <w:vAlign w:val="center"/>
          </w:tcPr>
          <w:p w14:paraId="40CA0DA0"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90.000</w:t>
            </w:r>
          </w:p>
        </w:tc>
        <w:tc>
          <w:tcPr>
            <w:tcW w:w="809" w:type="pct"/>
            <w:vAlign w:val="center"/>
          </w:tcPr>
          <w:p w14:paraId="22797D15"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 xml:space="preserve">Podgorica </w:t>
            </w:r>
          </w:p>
          <w:p w14:paraId="29C04CD2"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 xml:space="preserve">Danilovgrad </w:t>
            </w:r>
          </w:p>
          <w:p w14:paraId="514FE4FC"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Cetinje</w:t>
            </w:r>
          </w:p>
          <w:p w14:paraId="01108971"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Tuzi</w:t>
            </w:r>
          </w:p>
          <w:p w14:paraId="72756B1F" w14:textId="2228C4F1"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Plu</w:t>
            </w:r>
            <w:r w:rsidR="00B17B01" w:rsidRPr="00076A6D">
              <w:rPr>
                <w:rFonts w:ascii="Arial" w:hAnsi="Arial" w:cs="Arial"/>
                <w:sz w:val="18"/>
                <w:szCs w:val="18"/>
                <w:lang w:val="sq-AL"/>
              </w:rPr>
              <w:t>ž</w:t>
            </w:r>
            <w:r w:rsidRPr="00076A6D">
              <w:rPr>
                <w:rFonts w:ascii="Arial" w:hAnsi="Arial" w:cs="Arial"/>
                <w:sz w:val="18"/>
                <w:szCs w:val="18"/>
                <w:lang w:val="sq-AL"/>
              </w:rPr>
              <w:t>ine</w:t>
            </w:r>
          </w:p>
          <w:p w14:paraId="1D9B7183" w14:textId="12B278E7" w:rsidR="00C232D7" w:rsidRPr="00076A6D" w:rsidRDefault="00B17B01" w:rsidP="00C232D7">
            <w:pPr>
              <w:spacing w:before="40" w:after="40" w:line="360" w:lineRule="auto"/>
              <w:rPr>
                <w:rFonts w:ascii="Arial" w:hAnsi="Arial" w:cs="Arial"/>
                <w:sz w:val="18"/>
                <w:szCs w:val="18"/>
                <w:lang w:val="sq-AL"/>
              </w:rPr>
            </w:pPr>
            <w:r w:rsidRPr="00076A6D">
              <w:rPr>
                <w:rFonts w:ascii="Arial" w:hAnsi="Arial" w:cs="Arial"/>
                <w:sz w:val="18"/>
                <w:szCs w:val="18"/>
                <w:lang w:val="sq-AL"/>
              </w:rPr>
              <w:t>Š</w:t>
            </w:r>
            <w:r w:rsidR="00C232D7" w:rsidRPr="00076A6D">
              <w:rPr>
                <w:rFonts w:ascii="Arial" w:hAnsi="Arial" w:cs="Arial"/>
                <w:sz w:val="18"/>
                <w:szCs w:val="18"/>
                <w:lang w:val="sq-AL"/>
              </w:rPr>
              <w:t>avnik</w:t>
            </w:r>
          </w:p>
          <w:p w14:paraId="6F5E6728"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Zeta</w:t>
            </w:r>
          </w:p>
        </w:tc>
      </w:tr>
      <w:tr w:rsidR="001F7291" w:rsidRPr="00076A6D" w14:paraId="499C7D25" w14:textId="77777777" w:rsidTr="001F7291">
        <w:tc>
          <w:tcPr>
            <w:tcW w:w="680" w:type="pct"/>
            <w:vMerge w:val="restart"/>
            <w:shd w:val="clear" w:color="auto" w:fill="auto"/>
            <w:vAlign w:val="center"/>
          </w:tcPr>
          <w:p w14:paraId="3FB939F0"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Sjever</w:t>
            </w:r>
          </w:p>
        </w:tc>
        <w:tc>
          <w:tcPr>
            <w:tcW w:w="741" w:type="pct"/>
            <w:vAlign w:val="center"/>
          </w:tcPr>
          <w:p w14:paraId="3FF07B76"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Mojkovac</w:t>
            </w:r>
          </w:p>
        </w:tc>
        <w:tc>
          <w:tcPr>
            <w:tcW w:w="601" w:type="pct"/>
            <w:shd w:val="clear" w:color="auto" w:fill="auto"/>
            <w:vAlign w:val="center"/>
          </w:tcPr>
          <w:p w14:paraId="07BD3E74" w14:textId="14CA0EFB"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Bjelojevi</w:t>
            </w:r>
            <w:r w:rsidR="00B17B01" w:rsidRPr="00076A6D">
              <w:rPr>
                <w:rFonts w:ascii="Arial" w:hAnsi="Arial" w:cs="Arial"/>
                <w:sz w:val="18"/>
                <w:szCs w:val="18"/>
                <w:lang w:val="sq-AL"/>
              </w:rPr>
              <w:t>ći</w:t>
            </w:r>
          </w:p>
        </w:tc>
        <w:tc>
          <w:tcPr>
            <w:tcW w:w="741" w:type="pct"/>
            <w:vAlign w:val="center"/>
          </w:tcPr>
          <w:p w14:paraId="0211A0CA"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Transfer stanica</w:t>
            </w:r>
          </w:p>
        </w:tc>
        <w:tc>
          <w:tcPr>
            <w:tcW w:w="720" w:type="pct"/>
            <w:vAlign w:val="center"/>
          </w:tcPr>
          <w:p w14:paraId="79522525"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Izgrađeno - nije u funkciji</w:t>
            </w:r>
          </w:p>
        </w:tc>
        <w:tc>
          <w:tcPr>
            <w:tcW w:w="708" w:type="pct"/>
            <w:vAlign w:val="center"/>
          </w:tcPr>
          <w:p w14:paraId="5F67EC63"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6.000</w:t>
            </w:r>
          </w:p>
        </w:tc>
        <w:tc>
          <w:tcPr>
            <w:tcW w:w="809" w:type="pct"/>
            <w:vAlign w:val="center"/>
          </w:tcPr>
          <w:p w14:paraId="30E46AC2"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 xml:space="preserve">Mojkovac </w:t>
            </w:r>
          </w:p>
          <w:p w14:paraId="45E05151" w14:textId="0C344EFB"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Kola</w:t>
            </w:r>
            <w:r w:rsidR="00B17B01" w:rsidRPr="00076A6D">
              <w:rPr>
                <w:rFonts w:ascii="Arial" w:hAnsi="Arial" w:cs="Arial"/>
                <w:sz w:val="18"/>
                <w:szCs w:val="18"/>
                <w:lang w:val="sq-AL"/>
              </w:rPr>
              <w:t>š</w:t>
            </w:r>
            <w:r w:rsidRPr="00076A6D">
              <w:rPr>
                <w:rFonts w:ascii="Arial" w:hAnsi="Arial" w:cs="Arial"/>
                <w:sz w:val="18"/>
                <w:szCs w:val="18"/>
                <w:lang w:val="sq-AL"/>
              </w:rPr>
              <w:t>in</w:t>
            </w:r>
          </w:p>
        </w:tc>
      </w:tr>
      <w:tr w:rsidR="001F7291" w:rsidRPr="00076A6D" w14:paraId="4DBBE856" w14:textId="77777777" w:rsidTr="001F7291">
        <w:tc>
          <w:tcPr>
            <w:tcW w:w="680" w:type="pct"/>
            <w:vMerge/>
            <w:shd w:val="clear" w:color="auto" w:fill="auto"/>
            <w:vAlign w:val="center"/>
          </w:tcPr>
          <w:p w14:paraId="1379E3CA" w14:textId="77777777" w:rsidR="00C232D7" w:rsidRPr="00076A6D" w:rsidRDefault="00C232D7" w:rsidP="00C232D7">
            <w:pPr>
              <w:spacing w:before="40" w:after="40" w:line="360" w:lineRule="auto"/>
              <w:ind w:left="-14"/>
              <w:rPr>
                <w:rFonts w:ascii="Arial" w:hAnsi="Arial" w:cs="Arial"/>
                <w:sz w:val="18"/>
                <w:szCs w:val="18"/>
                <w:lang w:val="sq-AL"/>
              </w:rPr>
            </w:pPr>
          </w:p>
        </w:tc>
        <w:tc>
          <w:tcPr>
            <w:tcW w:w="741" w:type="pct"/>
            <w:vAlign w:val="center"/>
          </w:tcPr>
          <w:p w14:paraId="46246CB6"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Pljevlja</w:t>
            </w:r>
          </w:p>
        </w:tc>
        <w:tc>
          <w:tcPr>
            <w:tcW w:w="601" w:type="pct"/>
            <w:shd w:val="clear" w:color="auto" w:fill="auto"/>
            <w:vAlign w:val="center"/>
          </w:tcPr>
          <w:p w14:paraId="7E6B6206"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Jagnjilo</w:t>
            </w:r>
          </w:p>
        </w:tc>
        <w:tc>
          <w:tcPr>
            <w:tcW w:w="741" w:type="pct"/>
          </w:tcPr>
          <w:p w14:paraId="789C6D32"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Transfer stanica</w:t>
            </w:r>
          </w:p>
        </w:tc>
        <w:tc>
          <w:tcPr>
            <w:tcW w:w="720" w:type="pct"/>
          </w:tcPr>
          <w:p w14:paraId="24162275"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Planirano</w:t>
            </w:r>
          </w:p>
        </w:tc>
        <w:tc>
          <w:tcPr>
            <w:tcW w:w="708" w:type="pct"/>
            <w:vAlign w:val="center"/>
          </w:tcPr>
          <w:p w14:paraId="0034AFC2"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11.000</w:t>
            </w:r>
          </w:p>
        </w:tc>
        <w:tc>
          <w:tcPr>
            <w:tcW w:w="809" w:type="pct"/>
            <w:vAlign w:val="center"/>
          </w:tcPr>
          <w:p w14:paraId="0047635F"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Pljevlja</w:t>
            </w:r>
          </w:p>
        </w:tc>
      </w:tr>
      <w:tr w:rsidR="001F7291" w:rsidRPr="00076A6D" w14:paraId="43C6224E" w14:textId="77777777" w:rsidTr="001F7291">
        <w:tc>
          <w:tcPr>
            <w:tcW w:w="680" w:type="pct"/>
            <w:vMerge/>
            <w:shd w:val="clear" w:color="auto" w:fill="auto"/>
            <w:vAlign w:val="center"/>
          </w:tcPr>
          <w:p w14:paraId="3CCD15A1" w14:textId="77777777" w:rsidR="00C232D7" w:rsidRPr="00076A6D" w:rsidRDefault="00C232D7" w:rsidP="00C232D7">
            <w:pPr>
              <w:spacing w:before="40" w:after="40" w:line="360" w:lineRule="auto"/>
              <w:ind w:left="-14"/>
              <w:rPr>
                <w:rFonts w:ascii="Arial" w:hAnsi="Arial" w:cs="Arial"/>
                <w:sz w:val="18"/>
                <w:szCs w:val="18"/>
                <w:lang w:val="sq-AL"/>
              </w:rPr>
            </w:pPr>
          </w:p>
        </w:tc>
        <w:tc>
          <w:tcPr>
            <w:tcW w:w="741" w:type="pct"/>
            <w:vAlign w:val="center"/>
          </w:tcPr>
          <w:p w14:paraId="22C39303"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Rožaje</w:t>
            </w:r>
          </w:p>
        </w:tc>
        <w:tc>
          <w:tcPr>
            <w:tcW w:w="601" w:type="pct"/>
            <w:shd w:val="clear" w:color="auto" w:fill="auto"/>
            <w:vAlign w:val="center"/>
          </w:tcPr>
          <w:p w14:paraId="43EBA58B" w14:textId="530DFB6F" w:rsidR="00C232D7" w:rsidRPr="00076A6D" w:rsidRDefault="00085C85" w:rsidP="00C232D7">
            <w:pPr>
              <w:spacing w:before="40" w:after="40" w:line="360" w:lineRule="auto"/>
              <w:rPr>
                <w:rFonts w:ascii="Arial" w:hAnsi="Arial" w:cs="Arial"/>
                <w:sz w:val="18"/>
                <w:szCs w:val="18"/>
                <w:lang w:val="sq-AL"/>
              </w:rPr>
            </w:pPr>
            <w:r w:rsidRPr="00076A6D">
              <w:rPr>
                <w:rFonts w:ascii="Arial" w:hAnsi="Arial" w:cs="Arial"/>
                <w:sz w:val="18"/>
                <w:szCs w:val="18"/>
                <w:lang w:val="sq-AL"/>
              </w:rPr>
              <w:t>Mostina</w:t>
            </w:r>
          </w:p>
        </w:tc>
        <w:tc>
          <w:tcPr>
            <w:tcW w:w="741" w:type="pct"/>
          </w:tcPr>
          <w:p w14:paraId="423A9BF7"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Transfer stanica</w:t>
            </w:r>
          </w:p>
        </w:tc>
        <w:tc>
          <w:tcPr>
            <w:tcW w:w="720" w:type="pct"/>
          </w:tcPr>
          <w:p w14:paraId="5D7E1DBB"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Planirano</w:t>
            </w:r>
          </w:p>
        </w:tc>
        <w:tc>
          <w:tcPr>
            <w:tcW w:w="708" w:type="pct"/>
            <w:vAlign w:val="center"/>
          </w:tcPr>
          <w:p w14:paraId="4A478851"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9.000</w:t>
            </w:r>
          </w:p>
        </w:tc>
        <w:tc>
          <w:tcPr>
            <w:tcW w:w="809" w:type="pct"/>
            <w:vAlign w:val="center"/>
          </w:tcPr>
          <w:p w14:paraId="35456F28"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Rožaje</w:t>
            </w:r>
          </w:p>
        </w:tc>
      </w:tr>
      <w:tr w:rsidR="001F7291" w:rsidRPr="00076A6D" w14:paraId="651019DF" w14:textId="77777777" w:rsidTr="001F7291">
        <w:tc>
          <w:tcPr>
            <w:tcW w:w="680" w:type="pct"/>
            <w:vMerge/>
            <w:shd w:val="clear" w:color="auto" w:fill="auto"/>
            <w:vAlign w:val="center"/>
          </w:tcPr>
          <w:p w14:paraId="231EDCD6" w14:textId="77777777" w:rsidR="00C232D7" w:rsidRPr="00076A6D" w:rsidRDefault="00C232D7" w:rsidP="00C232D7">
            <w:pPr>
              <w:spacing w:before="40" w:after="40" w:line="360" w:lineRule="auto"/>
              <w:ind w:left="-14"/>
              <w:rPr>
                <w:rFonts w:ascii="Arial" w:hAnsi="Arial" w:cs="Arial"/>
                <w:sz w:val="18"/>
                <w:szCs w:val="18"/>
                <w:lang w:val="sq-AL"/>
              </w:rPr>
            </w:pPr>
          </w:p>
        </w:tc>
        <w:tc>
          <w:tcPr>
            <w:tcW w:w="741" w:type="pct"/>
            <w:vMerge w:val="restart"/>
            <w:vAlign w:val="center"/>
          </w:tcPr>
          <w:p w14:paraId="720AB0B1" w14:textId="3B56C66C"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 xml:space="preserve">Bijelo Polje Regionalni </w:t>
            </w:r>
            <w:r w:rsidR="003405FF" w:rsidRPr="00076A6D">
              <w:rPr>
                <w:rFonts w:ascii="Arial" w:hAnsi="Arial" w:cs="Arial"/>
                <w:sz w:val="18"/>
                <w:szCs w:val="18"/>
                <w:lang w:val="sq-AL"/>
              </w:rPr>
              <w:t xml:space="preserve">centar </w:t>
            </w:r>
            <w:r w:rsidRPr="00076A6D">
              <w:rPr>
                <w:rFonts w:ascii="Arial" w:hAnsi="Arial" w:cs="Arial"/>
                <w:sz w:val="18"/>
                <w:szCs w:val="18"/>
                <w:lang w:val="sq-AL"/>
              </w:rPr>
              <w:t>upravljanja otpadom</w:t>
            </w:r>
          </w:p>
        </w:tc>
        <w:tc>
          <w:tcPr>
            <w:tcW w:w="601" w:type="pct"/>
            <w:shd w:val="clear" w:color="auto" w:fill="auto"/>
            <w:vAlign w:val="center"/>
          </w:tcPr>
          <w:p w14:paraId="1F2963EC" w14:textId="030118F4" w:rsidR="00C232D7" w:rsidRPr="00076A6D" w:rsidRDefault="00C232D7" w:rsidP="00C232D7">
            <w:pPr>
              <w:spacing w:before="40" w:after="40" w:line="360" w:lineRule="auto"/>
              <w:rPr>
                <w:rFonts w:ascii="Arial" w:hAnsi="Arial" w:cs="Arial"/>
                <w:sz w:val="18"/>
                <w:szCs w:val="18"/>
                <w:lang w:val="sq-AL"/>
              </w:rPr>
            </w:pPr>
          </w:p>
        </w:tc>
        <w:tc>
          <w:tcPr>
            <w:tcW w:w="741" w:type="pct"/>
            <w:vAlign w:val="center"/>
          </w:tcPr>
          <w:p w14:paraId="11EB24B0" w14:textId="45024440" w:rsidR="00C232D7" w:rsidRPr="00076A6D" w:rsidRDefault="00C232D7" w:rsidP="00C232D7">
            <w:pPr>
              <w:spacing w:before="40" w:after="40" w:line="360" w:lineRule="auto"/>
              <w:rPr>
                <w:rFonts w:ascii="Arial" w:hAnsi="Arial" w:cs="Arial"/>
                <w:sz w:val="18"/>
                <w:szCs w:val="18"/>
                <w:lang w:val="sq-AL"/>
              </w:rPr>
            </w:pPr>
          </w:p>
        </w:tc>
        <w:tc>
          <w:tcPr>
            <w:tcW w:w="720" w:type="pct"/>
          </w:tcPr>
          <w:p w14:paraId="04EB2026" w14:textId="5C2709FA" w:rsidR="00C232D7" w:rsidRPr="00076A6D" w:rsidRDefault="00C232D7" w:rsidP="00C232D7">
            <w:pPr>
              <w:spacing w:before="40" w:after="40" w:line="360" w:lineRule="auto"/>
              <w:rPr>
                <w:rFonts w:ascii="Arial" w:hAnsi="Arial" w:cs="Arial"/>
                <w:sz w:val="18"/>
                <w:szCs w:val="18"/>
                <w:lang w:val="sq-AL"/>
              </w:rPr>
            </w:pPr>
          </w:p>
        </w:tc>
        <w:tc>
          <w:tcPr>
            <w:tcW w:w="708" w:type="pct"/>
            <w:vAlign w:val="center"/>
          </w:tcPr>
          <w:p w14:paraId="4B3D0BB9" w14:textId="60B6A4A5" w:rsidR="00C232D7" w:rsidRPr="00076A6D" w:rsidRDefault="00C232D7" w:rsidP="00C232D7">
            <w:pPr>
              <w:spacing w:before="40" w:after="40" w:line="360" w:lineRule="auto"/>
              <w:rPr>
                <w:rFonts w:ascii="Arial" w:hAnsi="Arial" w:cs="Arial"/>
                <w:sz w:val="18"/>
                <w:szCs w:val="18"/>
                <w:lang w:val="sq-AL"/>
              </w:rPr>
            </w:pPr>
          </w:p>
        </w:tc>
        <w:tc>
          <w:tcPr>
            <w:tcW w:w="809" w:type="pct"/>
            <w:vMerge w:val="restart"/>
            <w:vAlign w:val="center"/>
          </w:tcPr>
          <w:p w14:paraId="7FF7A1B4" w14:textId="2CFD6598"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Bijelo</w:t>
            </w:r>
            <w:r w:rsidR="003405FF" w:rsidRPr="00076A6D">
              <w:rPr>
                <w:rFonts w:ascii="Arial" w:hAnsi="Arial" w:cs="Arial"/>
                <w:sz w:val="18"/>
                <w:szCs w:val="18"/>
                <w:lang w:val="sq-AL"/>
              </w:rPr>
              <w:t xml:space="preserve"> </w:t>
            </w:r>
            <w:r w:rsidRPr="00076A6D">
              <w:rPr>
                <w:rFonts w:ascii="Arial" w:hAnsi="Arial" w:cs="Arial"/>
                <w:sz w:val="18"/>
                <w:szCs w:val="18"/>
                <w:lang w:val="sq-AL"/>
              </w:rPr>
              <w:t xml:space="preserve">Polje Berane </w:t>
            </w:r>
          </w:p>
          <w:p w14:paraId="50798785"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Rožaje</w:t>
            </w:r>
          </w:p>
          <w:p w14:paraId="6150D015"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 xml:space="preserve">Plav </w:t>
            </w:r>
          </w:p>
          <w:p w14:paraId="744B9C81"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 xml:space="preserve">Andrijevica Petnjica </w:t>
            </w:r>
          </w:p>
          <w:p w14:paraId="13BFE9C4"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Gusinje</w:t>
            </w:r>
          </w:p>
          <w:p w14:paraId="41834C3A" w14:textId="6B2A141F"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Mojkovac</w:t>
            </w:r>
          </w:p>
        </w:tc>
      </w:tr>
      <w:tr w:rsidR="001F7291" w:rsidRPr="00076A6D" w14:paraId="4CE4A423" w14:textId="77777777" w:rsidTr="001F7291">
        <w:tc>
          <w:tcPr>
            <w:tcW w:w="680" w:type="pct"/>
            <w:vMerge/>
            <w:shd w:val="clear" w:color="auto" w:fill="auto"/>
            <w:vAlign w:val="center"/>
          </w:tcPr>
          <w:p w14:paraId="35BD60D2" w14:textId="77777777" w:rsidR="00C232D7" w:rsidRPr="00076A6D" w:rsidRDefault="00C232D7" w:rsidP="00C232D7">
            <w:pPr>
              <w:spacing w:before="40" w:after="40" w:line="360" w:lineRule="auto"/>
              <w:ind w:left="-14"/>
              <w:rPr>
                <w:rFonts w:ascii="Arial" w:hAnsi="Arial" w:cs="Arial"/>
                <w:sz w:val="18"/>
                <w:szCs w:val="18"/>
                <w:lang w:val="sq-AL"/>
              </w:rPr>
            </w:pPr>
          </w:p>
        </w:tc>
        <w:tc>
          <w:tcPr>
            <w:tcW w:w="741" w:type="pct"/>
            <w:vMerge/>
            <w:vAlign w:val="center"/>
          </w:tcPr>
          <w:p w14:paraId="3D3825D7" w14:textId="77777777" w:rsidR="00C232D7" w:rsidRPr="00076A6D" w:rsidRDefault="00C232D7" w:rsidP="00C232D7">
            <w:pPr>
              <w:spacing w:before="40" w:after="40" w:line="360" w:lineRule="auto"/>
              <w:ind w:left="-14"/>
              <w:rPr>
                <w:rFonts w:ascii="Arial" w:hAnsi="Arial" w:cs="Arial"/>
                <w:sz w:val="18"/>
                <w:szCs w:val="18"/>
                <w:lang w:val="sq-AL"/>
              </w:rPr>
            </w:pPr>
          </w:p>
        </w:tc>
        <w:tc>
          <w:tcPr>
            <w:tcW w:w="601" w:type="pct"/>
            <w:shd w:val="clear" w:color="auto" w:fill="auto"/>
            <w:vAlign w:val="center"/>
          </w:tcPr>
          <w:p w14:paraId="2E1082DF"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Nije definisano</w:t>
            </w:r>
          </w:p>
        </w:tc>
        <w:tc>
          <w:tcPr>
            <w:tcW w:w="741" w:type="pct"/>
            <w:vAlign w:val="center"/>
          </w:tcPr>
          <w:p w14:paraId="4A796FB7"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Postrojenje za povrat materijala (MRF)</w:t>
            </w:r>
          </w:p>
        </w:tc>
        <w:tc>
          <w:tcPr>
            <w:tcW w:w="720" w:type="pct"/>
          </w:tcPr>
          <w:p w14:paraId="2FBF9CFE"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Planirano</w:t>
            </w:r>
          </w:p>
        </w:tc>
        <w:tc>
          <w:tcPr>
            <w:tcW w:w="708" w:type="pct"/>
            <w:vAlign w:val="center"/>
          </w:tcPr>
          <w:p w14:paraId="64F68A1F"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7.500</w:t>
            </w:r>
          </w:p>
        </w:tc>
        <w:tc>
          <w:tcPr>
            <w:tcW w:w="809" w:type="pct"/>
            <w:vMerge/>
            <w:vAlign w:val="center"/>
          </w:tcPr>
          <w:p w14:paraId="611DBCE6" w14:textId="77777777" w:rsidR="00C232D7" w:rsidRPr="00076A6D" w:rsidRDefault="00C232D7" w:rsidP="00C232D7">
            <w:pPr>
              <w:spacing w:before="40" w:after="40" w:line="360" w:lineRule="auto"/>
              <w:rPr>
                <w:rFonts w:ascii="Arial" w:hAnsi="Arial" w:cs="Arial"/>
                <w:sz w:val="18"/>
                <w:szCs w:val="18"/>
                <w:lang w:val="sq-AL"/>
              </w:rPr>
            </w:pPr>
          </w:p>
        </w:tc>
      </w:tr>
      <w:tr w:rsidR="001F7291" w:rsidRPr="00076A6D" w14:paraId="71E0D048" w14:textId="77777777" w:rsidTr="001F7291">
        <w:tc>
          <w:tcPr>
            <w:tcW w:w="680" w:type="pct"/>
            <w:vMerge/>
            <w:shd w:val="clear" w:color="auto" w:fill="auto"/>
            <w:vAlign w:val="center"/>
          </w:tcPr>
          <w:p w14:paraId="7EE6E423" w14:textId="77777777" w:rsidR="00C232D7" w:rsidRPr="00076A6D" w:rsidRDefault="00C232D7" w:rsidP="00C232D7">
            <w:pPr>
              <w:spacing w:before="40" w:after="40" w:line="360" w:lineRule="auto"/>
              <w:ind w:left="-14"/>
              <w:rPr>
                <w:rFonts w:ascii="Arial" w:hAnsi="Arial" w:cs="Arial"/>
                <w:sz w:val="18"/>
                <w:szCs w:val="18"/>
                <w:lang w:val="sq-AL"/>
              </w:rPr>
            </w:pPr>
          </w:p>
        </w:tc>
        <w:tc>
          <w:tcPr>
            <w:tcW w:w="741" w:type="pct"/>
            <w:vMerge/>
            <w:vAlign w:val="center"/>
          </w:tcPr>
          <w:p w14:paraId="7ACB05BA" w14:textId="77777777" w:rsidR="00C232D7" w:rsidRPr="00076A6D" w:rsidRDefault="00C232D7" w:rsidP="00C232D7">
            <w:pPr>
              <w:spacing w:before="40" w:after="40" w:line="360" w:lineRule="auto"/>
              <w:ind w:left="-14"/>
              <w:rPr>
                <w:rFonts w:ascii="Arial" w:hAnsi="Arial" w:cs="Arial"/>
                <w:sz w:val="18"/>
                <w:szCs w:val="18"/>
                <w:lang w:val="sq-AL"/>
              </w:rPr>
            </w:pPr>
          </w:p>
        </w:tc>
        <w:tc>
          <w:tcPr>
            <w:tcW w:w="601" w:type="pct"/>
            <w:shd w:val="clear" w:color="auto" w:fill="auto"/>
          </w:tcPr>
          <w:p w14:paraId="59A7A9E1"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Nije definisano</w:t>
            </w:r>
          </w:p>
        </w:tc>
        <w:tc>
          <w:tcPr>
            <w:tcW w:w="741" w:type="pct"/>
            <w:vAlign w:val="center"/>
          </w:tcPr>
          <w:p w14:paraId="102CF994" w14:textId="61B20540"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Postrojenje za mehaničko-biološk</w:t>
            </w:r>
            <w:r w:rsidR="00CD5209" w:rsidRPr="00076A6D">
              <w:rPr>
                <w:rFonts w:ascii="Arial" w:hAnsi="Arial" w:cs="Arial"/>
                <w:sz w:val="18"/>
                <w:szCs w:val="18"/>
                <w:lang w:val="sq-AL"/>
              </w:rPr>
              <w:t>u</w:t>
            </w:r>
            <w:r w:rsidRPr="00076A6D">
              <w:rPr>
                <w:rFonts w:ascii="Arial" w:hAnsi="Arial" w:cs="Arial"/>
                <w:sz w:val="18"/>
                <w:szCs w:val="18"/>
                <w:lang w:val="sq-AL"/>
              </w:rPr>
              <w:t xml:space="preserve"> (MBT)</w:t>
            </w:r>
          </w:p>
        </w:tc>
        <w:tc>
          <w:tcPr>
            <w:tcW w:w="720" w:type="pct"/>
            <w:vAlign w:val="center"/>
          </w:tcPr>
          <w:p w14:paraId="286F5844"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Planirano</w:t>
            </w:r>
          </w:p>
        </w:tc>
        <w:tc>
          <w:tcPr>
            <w:tcW w:w="708" w:type="pct"/>
            <w:vAlign w:val="center"/>
          </w:tcPr>
          <w:p w14:paraId="5299F6B4"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32.000</w:t>
            </w:r>
          </w:p>
        </w:tc>
        <w:tc>
          <w:tcPr>
            <w:tcW w:w="809" w:type="pct"/>
            <w:vAlign w:val="center"/>
          </w:tcPr>
          <w:p w14:paraId="779A3499" w14:textId="77777777" w:rsidR="00C232D7" w:rsidRPr="00076A6D" w:rsidRDefault="00C232D7" w:rsidP="00C232D7">
            <w:pPr>
              <w:spacing w:before="40" w:after="40" w:line="360" w:lineRule="auto"/>
              <w:rPr>
                <w:rFonts w:ascii="Arial" w:hAnsi="Arial" w:cs="Arial"/>
                <w:sz w:val="18"/>
                <w:szCs w:val="18"/>
                <w:lang w:val="sq-AL"/>
              </w:rPr>
            </w:pPr>
          </w:p>
        </w:tc>
      </w:tr>
      <w:tr w:rsidR="001F7291" w:rsidRPr="00076A6D" w14:paraId="6233C4F4" w14:textId="77777777" w:rsidTr="001F7291">
        <w:tc>
          <w:tcPr>
            <w:tcW w:w="680" w:type="pct"/>
            <w:vMerge/>
            <w:shd w:val="clear" w:color="auto" w:fill="auto"/>
            <w:vAlign w:val="center"/>
          </w:tcPr>
          <w:p w14:paraId="58A3605A" w14:textId="77777777" w:rsidR="00C232D7" w:rsidRPr="00076A6D" w:rsidRDefault="00C232D7" w:rsidP="00C232D7">
            <w:pPr>
              <w:spacing w:before="40" w:after="40" w:line="360" w:lineRule="auto"/>
              <w:ind w:left="-14"/>
              <w:rPr>
                <w:rFonts w:ascii="Arial" w:hAnsi="Arial" w:cs="Arial"/>
                <w:sz w:val="18"/>
                <w:szCs w:val="18"/>
                <w:lang w:val="sq-AL"/>
              </w:rPr>
            </w:pPr>
          </w:p>
        </w:tc>
        <w:tc>
          <w:tcPr>
            <w:tcW w:w="741" w:type="pct"/>
            <w:vAlign w:val="center"/>
          </w:tcPr>
          <w:p w14:paraId="0EB442D3"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Žabljak Reciklažni centar</w:t>
            </w:r>
          </w:p>
        </w:tc>
        <w:tc>
          <w:tcPr>
            <w:tcW w:w="601" w:type="pct"/>
            <w:shd w:val="clear" w:color="auto" w:fill="auto"/>
            <w:vAlign w:val="center"/>
          </w:tcPr>
          <w:p w14:paraId="3474623C"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Žabljak</w:t>
            </w:r>
          </w:p>
        </w:tc>
        <w:tc>
          <w:tcPr>
            <w:tcW w:w="741" w:type="pct"/>
            <w:vAlign w:val="center"/>
          </w:tcPr>
          <w:p w14:paraId="6FE95982"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MRF i transfer stanica</w:t>
            </w:r>
          </w:p>
        </w:tc>
        <w:tc>
          <w:tcPr>
            <w:tcW w:w="720" w:type="pct"/>
            <w:vAlign w:val="center"/>
          </w:tcPr>
          <w:p w14:paraId="661BB587"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Izgrađeno - nije u funkciji</w:t>
            </w:r>
          </w:p>
        </w:tc>
        <w:tc>
          <w:tcPr>
            <w:tcW w:w="708" w:type="pct"/>
            <w:vAlign w:val="center"/>
          </w:tcPr>
          <w:p w14:paraId="500FEC0F"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Nema podataka</w:t>
            </w:r>
          </w:p>
        </w:tc>
        <w:tc>
          <w:tcPr>
            <w:tcW w:w="809" w:type="pct"/>
            <w:vAlign w:val="center"/>
          </w:tcPr>
          <w:p w14:paraId="0DDFEA7F"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Žabljak</w:t>
            </w:r>
          </w:p>
        </w:tc>
      </w:tr>
      <w:tr w:rsidR="001F7291" w:rsidRPr="00076A6D" w14:paraId="6B782823" w14:textId="77777777" w:rsidTr="001F7291">
        <w:tc>
          <w:tcPr>
            <w:tcW w:w="680" w:type="pct"/>
            <w:vMerge w:val="restart"/>
            <w:shd w:val="clear" w:color="auto" w:fill="auto"/>
            <w:vAlign w:val="center"/>
          </w:tcPr>
          <w:p w14:paraId="00273C20"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Primorje</w:t>
            </w:r>
          </w:p>
          <w:p w14:paraId="21BF3388" w14:textId="77777777" w:rsidR="002A3379" w:rsidRPr="00076A6D" w:rsidRDefault="002A3379" w:rsidP="00C232D7">
            <w:pPr>
              <w:spacing w:before="40" w:after="40" w:line="360" w:lineRule="auto"/>
              <w:ind w:left="-14"/>
              <w:rPr>
                <w:rFonts w:ascii="Arial" w:hAnsi="Arial" w:cs="Arial"/>
                <w:sz w:val="18"/>
                <w:szCs w:val="18"/>
                <w:lang w:val="sq-AL"/>
              </w:rPr>
            </w:pPr>
          </w:p>
          <w:p w14:paraId="0B9C58B7" w14:textId="77777777" w:rsidR="001928B2" w:rsidRPr="00076A6D" w:rsidRDefault="001928B2" w:rsidP="00C232D7">
            <w:pPr>
              <w:spacing w:before="40" w:after="40" w:line="360" w:lineRule="auto"/>
              <w:ind w:left="-14"/>
              <w:rPr>
                <w:rFonts w:ascii="Arial" w:hAnsi="Arial" w:cs="Arial"/>
                <w:sz w:val="18"/>
                <w:szCs w:val="18"/>
                <w:lang w:val="sq-AL"/>
              </w:rPr>
            </w:pPr>
          </w:p>
          <w:p w14:paraId="1F76EAEC" w14:textId="77777777" w:rsidR="001928B2" w:rsidRPr="00076A6D" w:rsidRDefault="001928B2" w:rsidP="00C232D7">
            <w:pPr>
              <w:spacing w:before="40" w:after="40" w:line="360" w:lineRule="auto"/>
              <w:ind w:left="-14"/>
              <w:rPr>
                <w:rFonts w:ascii="Arial" w:hAnsi="Arial" w:cs="Arial"/>
                <w:sz w:val="18"/>
                <w:szCs w:val="18"/>
                <w:lang w:val="sq-AL"/>
              </w:rPr>
            </w:pPr>
          </w:p>
          <w:p w14:paraId="33369008" w14:textId="77777777" w:rsidR="001928B2" w:rsidRPr="00076A6D" w:rsidRDefault="001928B2" w:rsidP="00C232D7">
            <w:pPr>
              <w:spacing w:before="40" w:after="40" w:line="360" w:lineRule="auto"/>
              <w:ind w:left="-14"/>
              <w:rPr>
                <w:rFonts w:ascii="Arial" w:hAnsi="Arial" w:cs="Arial"/>
                <w:sz w:val="18"/>
                <w:szCs w:val="18"/>
                <w:lang w:val="sq-AL"/>
              </w:rPr>
            </w:pPr>
          </w:p>
          <w:p w14:paraId="71E56C0F" w14:textId="77777777" w:rsidR="001928B2" w:rsidRPr="00076A6D" w:rsidRDefault="001928B2" w:rsidP="00C232D7">
            <w:pPr>
              <w:spacing w:before="40" w:after="40" w:line="360" w:lineRule="auto"/>
              <w:ind w:left="-14"/>
              <w:rPr>
                <w:rFonts w:ascii="Arial" w:hAnsi="Arial" w:cs="Arial"/>
                <w:sz w:val="18"/>
                <w:szCs w:val="18"/>
                <w:lang w:val="sq-AL"/>
              </w:rPr>
            </w:pPr>
          </w:p>
          <w:p w14:paraId="11BCEBE3" w14:textId="77777777" w:rsidR="001928B2" w:rsidRPr="00076A6D" w:rsidRDefault="001928B2" w:rsidP="00C232D7">
            <w:pPr>
              <w:spacing w:before="40" w:after="40" w:line="360" w:lineRule="auto"/>
              <w:ind w:left="-14"/>
              <w:rPr>
                <w:rFonts w:ascii="Arial" w:hAnsi="Arial" w:cs="Arial"/>
                <w:sz w:val="18"/>
                <w:szCs w:val="18"/>
                <w:lang w:val="sq-AL"/>
              </w:rPr>
            </w:pPr>
          </w:p>
          <w:p w14:paraId="28D02E93" w14:textId="77777777" w:rsidR="001928B2" w:rsidRPr="00076A6D" w:rsidRDefault="001928B2" w:rsidP="00C232D7">
            <w:pPr>
              <w:spacing w:before="40" w:after="40" w:line="360" w:lineRule="auto"/>
              <w:ind w:left="-14"/>
              <w:rPr>
                <w:rFonts w:ascii="Arial" w:hAnsi="Arial" w:cs="Arial"/>
                <w:sz w:val="18"/>
                <w:szCs w:val="18"/>
                <w:lang w:val="sq-AL"/>
              </w:rPr>
            </w:pPr>
          </w:p>
          <w:p w14:paraId="30DD365D" w14:textId="77777777" w:rsidR="001928B2" w:rsidRPr="00076A6D" w:rsidRDefault="001928B2" w:rsidP="00C232D7">
            <w:pPr>
              <w:spacing w:before="40" w:after="40" w:line="360" w:lineRule="auto"/>
              <w:ind w:left="-14"/>
              <w:rPr>
                <w:rFonts w:ascii="Arial" w:hAnsi="Arial" w:cs="Arial"/>
                <w:sz w:val="18"/>
                <w:szCs w:val="18"/>
                <w:lang w:val="sq-AL"/>
              </w:rPr>
            </w:pPr>
          </w:p>
          <w:p w14:paraId="658E1EF1" w14:textId="77777777" w:rsidR="001928B2" w:rsidRPr="00076A6D" w:rsidRDefault="001928B2" w:rsidP="00C232D7">
            <w:pPr>
              <w:spacing w:before="40" w:after="40" w:line="360" w:lineRule="auto"/>
              <w:ind w:left="-14"/>
              <w:rPr>
                <w:rFonts w:ascii="Arial" w:hAnsi="Arial" w:cs="Arial"/>
                <w:sz w:val="18"/>
                <w:szCs w:val="18"/>
                <w:lang w:val="sq-AL"/>
              </w:rPr>
            </w:pPr>
          </w:p>
          <w:p w14:paraId="4FA384F3" w14:textId="77777777" w:rsidR="001928B2" w:rsidRPr="00076A6D" w:rsidRDefault="001928B2" w:rsidP="00C232D7">
            <w:pPr>
              <w:spacing w:before="40" w:after="40" w:line="360" w:lineRule="auto"/>
              <w:ind w:left="-14"/>
              <w:rPr>
                <w:rFonts w:ascii="Arial" w:hAnsi="Arial" w:cs="Arial"/>
                <w:sz w:val="18"/>
                <w:szCs w:val="18"/>
                <w:lang w:val="sq-AL"/>
              </w:rPr>
            </w:pPr>
          </w:p>
          <w:p w14:paraId="0A49ED07" w14:textId="77777777" w:rsidR="001928B2" w:rsidRPr="00076A6D" w:rsidRDefault="001928B2" w:rsidP="00C232D7">
            <w:pPr>
              <w:spacing w:before="40" w:after="40" w:line="360" w:lineRule="auto"/>
              <w:ind w:left="-14"/>
              <w:rPr>
                <w:rFonts w:ascii="Arial" w:hAnsi="Arial" w:cs="Arial"/>
                <w:sz w:val="18"/>
                <w:szCs w:val="18"/>
                <w:lang w:val="sq-AL"/>
              </w:rPr>
            </w:pPr>
          </w:p>
          <w:p w14:paraId="752E7F5F" w14:textId="77777777" w:rsidR="001928B2" w:rsidRPr="00076A6D" w:rsidRDefault="001928B2" w:rsidP="00C232D7">
            <w:pPr>
              <w:spacing w:before="40" w:after="40" w:line="360" w:lineRule="auto"/>
              <w:ind w:left="-14"/>
              <w:rPr>
                <w:rFonts w:ascii="Arial" w:hAnsi="Arial" w:cs="Arial"/>
                <w:sz w:val="18"/>
                <w:szCs w:val="18"/>
                <w:lang w:val="sq-AL"/>
              </w:rPr>
            </w:pPr>
          </w:p>
          <w:p w14:paraId="7717B508" w14:textId="1020DE2B" w:rsidR="001928B2" w:rsidRPr="00076A6D" w:rsidRDefault="001928B2" w:rsidP="001F7291">
            <w:pPr>
              <w:spacing w:before="40" w:after="40" w:line="360" w:lineRule="auto"/>
              <w:rPr>
                <w:rFonts w:ascii="Arial" w:hAnsi="Arial" w:cs="Arial"/>
                <w:sz w:val="18"/>
                <w:szCs w:val="18"/>
                <w:lang w:val="sq-AL"/>
              </w:rPr>
            </w:pPr>
          </w:p>
        </w:tc>
        <w:tc>
          <w:tcPr>
            <w:tcW w:w="741" w:type="pct"/>
            <w:vAlign w:val="center"/>
          </w:tcPr>
          <w:p w14:paraId="6388DF6D"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Možura</w:t>
            </w:r>
          </w:p>
        </w:tc>
        <w:tc>
          <w:tcPr>
            <w:tcW w:w="601" w:type="pct"/>
            <w:shd w:val="clear" w:color="auto" w:fill="auto"/>
            <w:vAlign w:val="center"/>
          </w:tcPr>
          <w:p w14:paraId="14F04B9E"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Bar</w:t>
            </w:r>
          </w:p>
        </w:tc>
        <w:tc>
          <w:tcPr>
            <w:tcW w:w="741" w:type="pct"/>
            <w:vAlign w:val="center"/>
          </w:tcPr>
          <w:p w14:paraId="24A79CF5" w14:textId="16AB88BF" w:rsidR="00CD5209" w:rsidRPr="00076A6D" w:rsidRDefault="00CD5209" w:rsidP="00C232D7">
            <w:pPr>
              <w:spacing w:before="40" w:after="40" w:line="360" w:lineRule="auto"/>
              <w:rPr>
                <w:rFonts w:ascii="Arial" w:hAnsi="Arial" w:cs="Arial"/>
                <w:sz w:val="18"/>
                <w:szCs w:val="18"/>
                <w:lang w:val="sq-AL"/>
              </w:rPr>
            </w:pPr>
          </w:p>
          <w:p w14:paraId="619198E7" w14:textId="4DA9BC6F" w:rsidR="00C232D7" w:rsidRPr="00076A6D" w:rsidRDefault="00CD5209" w:rsidP="00C232D7">
            <w:pPr>
              <w:spacing w:before="40" w:after="40" w:line="360" w:lineRule="auto"/>
              <w:rPr>
                <w:rFonts w:ascii="Arial" w:hAnsi="Arial" w:cs="Arial"/>
                <w:sz w:val="18"/>
                <w:szCs w:val="18"/>
                <w:lang w:val="sq-AL"/>
              </w:rPr>
            </w:pPr>
            <w:r w:rsidRPr="00076A6D">
              <w:rPr>
                <w:rFonts w:ascii="Arial" w:hAnsi="Arial" w:cs="Arial"/>
                <w:sz w:val="18"/>
                <w:szCs w:val="18"/>
                <w:lang w:val="sq-AL"/>
              </w:rPr>
              <w:t>D</w:t>
            </w:r>
            <w:r w:rsidR="00C232D7" w:rsidRPr="00076A6D">
              <w:rPr>
                <w:rFonts w:ascii="Arial" w:hAnsi="Arial" w:cs="Arial"/>
                <w:sz w:val="18"/>
                <w:szCs w:val="18"/>
                <w:lang w:val="sq-AL"/>
              </w:rPr>
              <w:t>eponija</w:t>
            </w:r>
          </w:p>
        </w:tc>
        <w:tc>
          <w:tcPr>
            <w:tcW w:w="720" w:type="pct"/>
            <w:vAlign w:val="center"/>
          </w:tcPr>
          <w:p w14:paraId="29A3D213"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Operativna</w:t>
            </w:r>
          </w:p>
        </w:tc>
        <w:tc>
          <w:tcPr>
            <w:tcW w:w="708" w:type="pct"/>
            <w:vAlign w:val="center"/>
          </w:tcPr>
          <w:p w14:paraId="0CBEFBEC"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Ukupno 1.050.000</w:t>
            </w:r>
          </w:p>
          <w:p w14:paraId="15D3381F"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Preostalo</w:t>
            </w:r>
          </w:p>
          <w:p w14:paraId="631CB741"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305.000</w:t>
            </w:r>
          </w:p>
        </w:tc>
        <w:tc>
          <w:tcPr>
            <w:tcW w:w="809" w:type="pct"/>
            <w:vAlign w:val="center"/>
          </w:tcPr>
          <w:p w14:paraId="5FAF2914"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 xml:space="preserve">Bar </w:t>
            </w:r>
          </w:p>
          <w:p w14:paraId="5DC7D6C1"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 xml:space="preserve">Ulcinj </w:t>
            </w:r>
          </w:p>
          <w:p w14:paraId="568698EE"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Tivat</w:t>
            </w:r>
          </w:p>
          <w:p w14:paraId="04A5D51B"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Budva</w:t>
            </w:r>
          </w:p>
          <w:p w14:paraId="68ED1CD6"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Kotor</w:t>
            </w:r>
          </w:p>
        </w:tc>
      </w:tr>
      <w:tr w:rsidR="001F7291" w:rsidRPr="00076A6D" w14:paraId="2D858EC5" w14:textId="77777777" w:rsidTr="001F7291">
        <w:tc>
          <w:tcPr>
            <w:tcW w:w="680" w:type="pct"/>
            <w:vMerge/>
            <w:shd w:val="clear" w:color="auto" w:fill="auto"/>
            <w:vAlign w:val="center"/>
          </w:tcPr>
          <w:p w14:paraId="7BA8C437" w14:textId="77777777" w:rsidR="00C232D7" w:rsidRPr="00076A6D" w:rsidRDefault="00C232D7" w:rsidP="00C232D7">
            <w:pPr>
              <w:spacing w:before="40" w:after="40" w:line="360" w:lineRule="auto"/>
              <w:ind w:left="-14"/>
              <w:rPr>
                <w:rFonts w:ascii="Arial" w:hAnsi="Arial" w:cs="Arial"/>
                <w:sz w:val="18"/>
                <w:szCs w:val="18"/>
                <w:lang w:val="sq-AL"/>
              </w:rPr>
            </w:pPr>
          </w:p>
        </w:tc>
        <w:tc>
          <w:tcPr>
            <w:tcW w:w="741" w:type="pct"/>
            <w:vAlign w:val="center"/>
          </w:tcPr>
          <w:p w14:paraId="147C7BC7" w14:textId="77777777"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Meljine Reciklažni centar</w:t>
            </w:r>
          </w:p>
        </w:tc>
        <w:tc>
          <w:tcPr>
            <w:tcW w:w="601" w:type="pct"/>
            <w:shd w:val="clear" w:color="auto" w:fill="auto"/>
            <w:vAlign w:val="center"/>
          </w:tcPr>
          <w:p w14:paraId="06A53645"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Herceg Novi</w:t>
            </w:r>
          </w:p>
        </w:tc>
        <w:tc>
          <w:tcPr>
            <w:tcW w:w="741" w:type="pct"/>
            <w:vAlign w:val="center"/>
          </w:tcPr>
          <w:p w14:paraId="0B1FB8A8"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MRF i transfer stanica</w:t>
            </w:r>
          </w:p>
        </w:tc>
        <w:tc>
          <w:tcPr>
            <w:tcW w:w="720" w:type="pct"/>
            <w:vAlign w:val="center"/>
          </w:tcPr>
          <w:p w14:paraId="04F66F82"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Izgrađeno, TS u funkciji</w:t>
            </w:r>
          </w:p>
          <w:p w14:paraId="7D2079E8"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MRF nije operativno</w:t>
            </w:r>
          </w:p>
        </w:tc>
        <w:tc>
          <w:tcPr>
            <w:tcW w:w="708" w:type="pct"/>
            <w:vAlign w:val="center"/>
          </w:tcPr>
          <w:p w14:paraId="61F1B583"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15.000</w:t>
            </w:r>
          </w:p>
        </w:tc>
        <w:tc>
          <w:tcPr>
            <w:tcW w:w="809" w:type="pct"/>
            <w:vAlign w:val="center"/>
          </w:tcPr>
          <w:p w14:paraId="10CD42BA"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Herceg Novi</w:t>
            </w:r>
          </w:p>
        </w:tc>
      </w:tr>
      <w:tr w:rsidR="001F7291" w:rsidRPr="00076A6D" w14:paraId="730FC0A6" w14:textId="77777777" w:rsidTr="001F7291">
        <w:tc>
          <w:tcPr>
            <w:tcW w:w="680" w:type="pct"/>
            <w:vMerge/>
            <w:shd w:val="clear" w:color="auto" w:fill="auto"/>
            <w:vAlign w:val="center"/>
          </w:tcPr>
          <w:p w14:paraId="77C2F40E" w14:textId="77777777" w:rsidR="00C232D7" w:rsidRPr="00076A6D" w:rsidRDefault="00C232D7" w:rsidP="00C232D7">
            <w:pPr>
              <w:spacing w:before="40" w:after="40" w:line="360" w:lineRule="auto"/>
              <w:ind w:left="-14"/>
              <w:rPr>
                <w:rFonts w:ascii="Arial" w:hAnsi="Arial" w:cs="Arial"/>
                <w:sz w:val="18"/>
                <w:szCs w:val="18"/>
                <w:lang w:val="sq-AL"/>
              </w:rPr>
            </w:pPr>
          </w:p>
        </w:tc>
        <w:tc>
          <w:tcPr>
            <w:tcW w:w="741" w:type="pct"/>
            <w:vAlign w:val="center"/>
          </w:tcPr>
          <w:p w14:paraId="0D19AAC9" w14:textId="058049F6" w:rsidR="00C232D7" w:rsidRPr="00076A6D" w:rsidRDefault="00C232D7" w:rsidP="00C232D7">
            <w:pPr>
              <w:spacing w:before="40" w:after="40" w:line="360" w:lineRule="auto"/>
              <w:ind w:left="-14"/>
              <w:rPr>
                <w:rFonts w:ascii="Arial" w:hAnsi="Arial" w:cs="Arial"/>
                <w:sz w:val="18"/>
                <w:szCs w:val="18"/>
                <w:lang w:val="sq-AL"/>
              </w:rPr>
            </w:pPr>
            <w:r w:rsidRPr="00076A6D">
              <w:rPr>
                <w:rFonts w:ascii="Arial" w:hAnsi="Arial" w:cs="Arial"/>
                <w:sz w:val="18"/>
                <w:szCs w:val="18"/>
                <w:lang w:val="sq-AL"/>
              </w:rPr>
              <w:t xml:space="preserve">Kotor </w:t>
            </w:r>
            <w:r w:rsidR="00CD5209" w:rsidRPr="00076A6D">
              <w:rPr>
                <w:rFonts w:ascii="Arial" w:hAnsi="Arial" w:cs="Arial"/>
                <w:sz w:val="18"/>
                <w:szCs w:val="18"/>
                <w:lang w:val="sq-AL"/>
              </w:rPr>
              <w:t>Reciklažni centar</w:t>
            </w:r>
          </w:p>
        </w:tc>
        <w:tc>
          <w:tcPr>
            <w:tcW w:w="601" w:type="pct"/>
            <w:vMerge w:val="restart"/>
            <w:shd w:val="clear" w:color="auto" w:fill="auto"/>
            <w:vAlign w:val="center"/>
          </w:tcPr>
          <w:p w14:paraId="2CB99180"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Kotor</w:t>
            </w:r>
          </w:p>
        </w:tc>
        <w:tc>
          <w:tcPr>
            <w:tcW w:w="741" w:type="pct"/>
            <w:vAlign w:val="center"/>
          </w:tcPr>
          <w:p w14:paraId="660FA2FB"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MRF i transfer stanica</w:t>
            </w:r>
          </w:p>
        </w:tc>
        <w:tc>
          <w:tcPr>
            <w:tcW w:w="720" w:type="pct"/>
            <w:vAlign w:val="center"/>
          </w:tcPr>
          <w:p w14:paraId="00EC5BF7"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Operativna</w:t>
            </w:r>
          </w:p>
        </w:tc>
        <w:tc>
          <w:tcPr>
            <w:tcW w:w="708" w:type="pct"/>
            <w:vAlign w:val="center"/>
          </w:tcPr>
          <w:p w14:paraId="0690D1F9"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15.000</w:t>
            </w:r>
          </w:p>
        </w:tc>
        <w:tc>
          <w:tcPr>
            <w:tcW w:w="809" w:type="pct"/>
            <w:vMerge w:val="restart"/>
            <w:vAlign w:val="center"/>
          </w:tcPr>
          <w:p w14:paraId="7CD3FC9F"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Kotor</w:t>
            </w:r>
          </w:p>
          <w:p w14:paraId="589A4852"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Tivat</w:t>
            </w:r>
          </w:p>
          <w:p w14:paraId="6B8F49D1" w14:textId="0B5B4361" w:rsidR="001928B2" w:rsidRPr="00076A6D" w:rsidRDefault="001928B2" w:rsidP="00C232D7">
            <w:pPr>
              <w:spacing w:before="40" w:after="40" w:line="360" w:lineRule="auto"/>
              <w:rPr>
                <w:rFonts w:ascii="Arial" w:hAnsi="Arial" w:cs="Arial"/>
                <w:sz w:val="18"/>
                <w:szCs w:val="18"/>
                <w:lang w:val="sq-AL"/>
              </w:rPr>
            </w:pPr>
          </w:p>
        </w:tc>
      </w:tr>
      <w:bookmarkEnd w:id="889"/>
      <w:tr w:rsidR="001F7291" w:rsidRPr="00076A6D" w14:paraId="2B4509E9" w14:textId="77777777" w:rsidTr="00D130B9">
        <w:trPr>
          <w:trHeight w:val="2601"/>
        </w:trPr>
        <w:tc>
          <w:tcPr>
            <w:tcW w:w="680" w:type="pct"/>
            <w:vMerge/>
            <w:tcBorders>
              <w:bottom w:val="single" w:sz="4" w:space="0" w:color="auto"/>
            </w:tcBorders>
            <w:shd w:val="clear" w:color="auto" w:fill="auto"/>
            <w:vAlign w:val="center"/>
          </w:tcPr>
          <w:p w14:paraId="3E5E8589" w14:textId="77777777" w:rsidR="00C232D7" w:rsidRPr="00076A6D" w:rsidRDefault="00C232D7" w:rsidP="00C232D7">
            <w:pPr>
              <w:spacing w:before="40" w:after="40" w:line="360" w:lineRule="auto"/>
              <w:ind w:left="-14"/>
              <w:rPr>
                <w:rFonts w:ascii="Arial" w:hAnsi="Arial" w:cs="Arial"/>
                <w:sz w:val="18"/>
                <w:szCs w:val="18"/>
                <w:lang w:val="sq-AL"/>
              </w:rPr>
            </w:pPr>
          </w:p>
        </w:tc>
        <w:tc>
          <w:tcPr>
            <w:tcW w:w="741" w:type="pct"/>
            <w:tcBorders>
              <w:bottom w:val="single" w:sz="4" w:space="0" w:color="auto"/>
            </w:tcBorders>
            <w:vAlign w:val="center"/>
          </w:tcPr>
          <w:p w14:paraId="4B359B88" w14:textId="77777777" w:rsidR="00C232D7" w:rsidRPr="00076A6D" w:rsidRDefault="00C232D7" w:rsidP="001928B2">
            <w:pPr>
              <w:spacing w:before="40" w:after="40" w:line="360" w:lineRule="auto"/>
              <w:rPr>
                <w:rFonts w:ascii="Arial" w:hAnsi="Arial" w:cs="Arial"/>
                <w:sz w:val="18"/>
                <w:szCs w:val="18"/>
                <w:lang w:val="sq-AL"/>
              </w:rPr>
            </w:pPr>
            <w:r w:rsidRPr="00076A6D">
              <w:rPr>
                <w:rFonts w:ascii="Arial" w:hAnsi="Arial" w:cs="Arial"/>
                <w:sz w:val="18"/>
                <w:szCs w:val="18"/>
                <w:lang w:val="sq-AL"/>
              </w:rPr>
              <w:t xml:space="preserve">Kotor </w:t>
            </w:r>
            <w:r w:rsidRPr="00076A6D">
              <w:rPr>
                <w:rFonts w:ascii="Arial" w:eastAsia="Times New Roman" w:hAnsi="Arial" w:cs="Arial"/>
                <w:color w:val="000000"/>
                <w:sz w:val="18"/>
                <w:szCs w:val="18"/>
                <w:lang w:val="sq-AL" w:eastAsia="el-GR"/>
              </w:rPr>
              <w:t>Postrojenje za kompostiranje</w:t>
            </w:r>
          </w:p>
        </w:tc>
        <w:tc>
          <w:tcPr>
            <w:tcW w:w="601" w:type="pct"/>
            <w:vMerge/>
            <w:tcBorders>
              <w:bottom w:val="single" w:sz="4" w:space="0" w:color="auto"/>
            </w:tcBorders>
            <w:shd w:val="clear" w:color="auto" w:fill="auto"/>
            <w:vAlign w:val="center"/>
          </w:tcPr>
          <w:p w14:paraId="629C842D" w14:textId="77777777" w:rsidR="00C232D7" w:rsidRPr="00076A6D" w:rsidRDefault="00C232D7" w:rsidP="00C232D7">
            <w:pPr>
              <w:spacing w:before="40" w:after="40" w:line="360" w:lineRule="auto"/>
              <w:rPr>
                <w:rFonts w:ascii="Arial" w:hAnsi="Arial" w:cs="Arial"/>
                <w:sz w:val="18"/>
                <w:szCs w:val="18"/>
                <w:lang w:val="sq-AL"/>
              </w:rPr>
            </w:pPr>
          </w:p>
        </w:tc>
        <w:tc>
          <w:tcPr>
            <w:tcW w:w="741" w:type="pct"/>
            <w:tcBorders>
              <w:bottom w:val="single" w:sz="4" w:space="0" w:color="auto"/>
            </w:tcBorders>
            <w:vAlign w:val="center"/>
          </w:tcPr>
          <w:p w14:paraId="29878F09"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eastAsia="Times New Roman" w:hAnsi="Arial" w:cs="Arial"/>
                <w:color w:val="000000"/>
                <w:sz w:val="18"/>
                <w:szCs w:val="18"/>
                <w:lang w:val="sq-AL" w:eastAsia="el-GR"/>
              </w:rPr>
              <w:t>Postrojenje za kompostiranje</w:t>
            </w:r>
          </w:p>
        </w:tc>
        <w:tc>
          <w:tcPr>
            <w:tcW w:w="720" w:type="pct"/>
            <w:tcBorders>
              <w:bottom w:val="single" w:sz="4" w:space="0" w:color="auto"/>
            </w:tcBorders>
            <w:vAlign w:val="center"/>
          </w:tcPr>
          <w:p w14:paraId="50871A32"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Operativna</w:t>
            </w:r>
          </w:p>
        </w:tc>
        <w:tc>
          <w:tcPr>
            <w:tcW w:w="708" w:type="pct"/>
            <w:tcBorders>
              <w:bottom w:val="single" w:sz="4" w:space="0" w:color="auto"/>
            </w:tcBorders>
            <w:vAlign w:val="center"/>
          </w:tcPr>
          <w:p w14:paraId="6A04C667" w14:textId="77777777" w:rsidR="00C232D7" w:rsidRPr="00076A6D" w:rsidRDefault="00C232D7" w:rsidP="00C232D7">
            <w:pPr>
              <w:spacing w:before="40" w:after="40" w:line="360" w:lineRule="auto"/>
              <w:rPr>
                <w:rFonts w:ascii="Arial" w:hAnsi="Arial" w:cs="Arial"/>
                <w:sz w:val="18"/>
                <w:szCs w:val="18"/>
                <w:lang w:val="sq-AL"/>
              </w:rPr>
            </w:pPr>
            <w:r w:rsidRPr="00076A6D">
              <w:rPr>
                <w:rFonts w:ascii="Arial" w:hAnsi="Arial" w:cs="Arial"/>
                <w:sz w:val="18"/>
                <w:szCs w:val="18"/>
                <w:lang w:val="sq-AL"/>
              </w:rPr>
              <w:t>700</w:t>
            </w:r>
          </w:p>
        </w:tc>
        <w:tc>
          <w:tcPr>
            <w:tcW w:w="809" w:type="pct"/>
            <w:vMerge/>
            <w:tcBorders>
              <w:bottom w:val="single" w:sz="4" w:space="0" w:color="auto"/>
            </w:tcBorders>
            <w:vAlign w:val="center"/>
          </w:tcPr>
          <w:p w14:paraId="543C603E" w14:textId="77777777" w:rsidR="00C232D7" w:rsidRPr="00076A6D" w:rsidRDefault="00C232D7" w:rsidP="00C232D7">
            <w:pPr>
              <w:spacing w:before="40" w:after="40" w:line="360" w:lineRule="auto"/>
              <w:rPr>
                <w:rFonts w:ascii="Arial" w:hAnsi="Arial" w:cs="Arial"/>
                <w:sz w:val="18"/>
                <w:szCs w:val="18"/>
                <w:lang w:val="sq-AL"/>
              </w:rPr>
            </w:pPr>
          </w:p>
        </w:tc>
      </w:tr>
      <w:tr w:rsidR="001F7291" w:rsidRPr="00076A6D" w14:paraId="0396EFCE" w14:textId="77777777" w:rsidTr="00D130B9">
        <w:trPr>
          <w:trHeight w:val="2272"/>
        </w:trPr>
        <w:tc>
          <w:tcPr>
            <w:tcW w:w="680" w:type="pct"/>
            <w:tcBorders>
              <w:top w:val="single" w:sz="4" w:space="0" w:color="auto"/>
            </w:tcBorders>
            <w:shd w:val="clear" w:color="auto" w:fill="auto"/>
            <w:vAlign w:val="center"/>
          </w:tcPr>
          <w:p w14:paraId="7168DADB" w14:textId="41601FD3" w:rsidR="001F7291" w:rsidRPr="00076A6D" w:rsidRDefault="00CD5209" w:rsidP="001F7291">
            <w:pPr>
              <w:spacing w:before="40" w:after="40" w:line="360" w:lineRule="auto"/>
              <w:ind w:left="-14"/>
              <w:rPr>
                <w:rFonts w:ascii="Arial" w:hAnsi="Arial" w:cs="Arial"/>
                <w:sz w:val="18"/>
                <w:szCs w:val="18"/>
                <w:lang w:val="sq-AL"/>
              </w:rPr>
            </w:pPr>
            <w:r w:rsidRPr="00076A6D">
              <w:rPr>
                <w:rFonts w:ascii="Arial" w:hAnsi="Arial" w:cs="Arial"/>
                <w:sz w:val="18"/>
                <w:szCs w:val="18"/>
                <w:lang w:val="sq-AL"/>
              </w:rPr>
              <w:t>C</w:t>
            </w:r>
            <w:r w:rsidR="001F7291" w:rsidRPr="00076A6D">
              <w:rPr>
                <w:rFonts w:ascii="Arial" w:hAnsi="Arial" w:cs="Arial"/>
                <w:sz w:val="18"/>
                <w:szCs w:val="18"/>
                <w:lang w:val="sq-AL"/>
              </w:rPr>
              <w:t>entar/</w:t>
            </w:r>
            <w:r w:rsidRPr="00076A6D">
              <w:rPr>
                <w:rFonts w:ascii="Arial" w:hAnsi="Arial" w:cs="Arial"/>
                <w:sz w:val="18"/>
                <w:szCs w:val="18"/>
                <w:lang w:val="sq-AL"/>
              </w:rPr>
              <w:t>S</w:t>
            </w:r>
            <w:r w:rsidR="001F7291" w:rsidRPr="00076A6D">
              <w:rPr>
                <w:rFonts w:ascii="Arial" w:hAnsi="Arial" w:cs="Arial"/>
                <w:sz w:val="18"/>
                <w:szCs w:val="18"/>
                <w:lang w:val="sq-AL"/>
              </w:rPr>
              <w:t>jever</w:t>
            </w:r>
          </w:p>
        </w:tc>
        <w:tc>
          <w:tcPr>
            <w:tcW w:w="741" w:type="pct"/>
            <w:tcBorders>
              <w:top w:val="single" w:sz="4" w:space="0" w:color="auto"/>
            </w:tcBorders>
            <w:vAlign w:val="center"/>
          </w:tcPr>
          <w:p w14:paraId="5EA0EFAE" w14:textId="2D5B5D46" w:rsidR="001F7291" w:rsidRPr="00076A6D" w:rsidRDefault="001F7291" w:rsidP="001F7291">
            <w:pPr>
              <w:spacing w:before="40" w:after="40" w:line="360" w:lineRule="auto"/>
              <w:rPr>
                <w:rFonts w:ascii="Arial" w:hAnsi="Arial" w:cs="Arial"/>
                <w:sz w:val="18"/>
                <w:szCs w:val="18"/>
                <w:lang w:val="sq-AL"/>
              </w:rPr>
            </w:pPr>
            <w:r w:rsidRPr="00076A6D">
              <w:rPr>
                <w:rFonts w:ascii="Arial" w:hAnsi="Arial" w:cs="Arial"/>
                <w:bCs/>
                <w:sz w:val="18"/>
                <w:szCs w:val="18"/>
                <w:lang w:val="sq-AL"/>
              </w:rPr>
              <w:t>Regionalni centar upravljanja otpadom</w:t>
            </w:r>
          </w:p>
        </w:tc>
        <w:tc>
          <w:tcPr>
            <w:tcW w:w="601" w:type="pct"/>
            <w:tcBorders>
              <w:top w:val="single" w:sz="4" w:space="0" w:color="auto"/>
            </w:tcBorders>
            <w:shd w:val="clear" w:color="auto" w:fill="auto"/>
            <w:vAlign w:val="center"/>
          </w:tcPr>
          <w:p w14:paraId="5F17C43F" w14:textId="18F8F212" w:rsidR="001F7291" w:rsidRPr="00076A6D" w:rsidRDefault="001F7291" w:rsidP="001F7291">
            <w:pPr>
              <w:spacing w:before="40" w:after="40" w:line="360" w:lineRule="auto"/>
              <w:rPr>
                <w:rFonts w:ascii="Arial" w:hAnsi="Arial" w:cs="Arial"/>
                <w:sz w:val="18"/>
                <w:szCs w:val="18"/>
                <w:lang w:val="sq-AL"/>
              </w:rPr>
            </w:pPr>
            <w:r w:rsidRPr="00076A6D">
              <w:rPr>
                <w:rFonts w:ascii="Arial" w:hAnsi="Arial" w:cs="Arial"/>
                <w:sz w:val="18"/>
                <w:szCs w:val="18"/>
                <w:lang w:val="sq-AL"/>
              </w:rPr>
              <w:t>Nikšić</w:t>
            </w:r>
          </w:p>
        </w:tc>
        <w:tc>
          <w:tcPr>
            <w:tcW w:w="741" w:type="pct"/>
            <w:tcBorders>
              <w:top w:val="single" w:sz="4" w:space="0" w:color="auto"/>
            </w:tcBorders>
            <w:vAlign w:val="center"/>
          </w:tcPr>
          <w:p w14:paraId="2DD07D27" w14:textId="466EB249" w:rsidR="001F7291" w:rsidRPr="00076A6D" w:rsidRDefault="001F7291" w:rsidP="001F7291">
            <w:pPr>
              <w:spacing w:before="40" w:after="40" w:line="360" w:lineRule="auto"/>
              <w:rPr>
                <w:rFonts w:ascii="Arial" w:eastAsia="Times New Roman" w:hAnsi="Arial" w:cs="Arial"/>
                <w:color w:val="000000"/>
                <w:sz w:val="18"/>
                <w:szCs w:val="18"/>
                <w:lang w:val="sq-AL" w:eastAsia="el-GR"/>
              </w:rPr>
            </w:pPr>
            <w:r w:rsidRPr="00076A6D">
              <w:rPr>
                <w:rFonts w:ascii="Arial" w:hAnsi="Arial" w:cs="Arial"/>
                <w:sz w:val="18"/>
                <w:szCs w:val="18"/>
                <w:lang w:val="sq-AL"/>
              </w:rPr>
              <w:t>Postrojenje za povrat materijala (MRF)</w:t>
            </w:r>
          </w:p>
        </w:tc>
        <w:tc>
          <w:tcPr>
            <w:tcW w:w="720" w:type="pct"/>
            <w:tcBorders>
              <w:top w:val="single" w:sz="4" w:space="0" w:color="auto"/>
            </w:tcBorders>
            <w:vAlign w:val="center"/>
          </w:tcPr>
          <w:p w14:paraId="325E19F6" w14:textId="0C694601" w:rsidR="001F7291" w:rsidRPr="00076A6D" w:rsidRDefault="001F7291" w:rsidP="001F7291">
            <w:pPr>
              <w:spacing w:before="40" w:after="40" w:line="360" w:lineRule="auto"/>
              <w:rPr>
                <w:rFonts w:ascii="Arial" w:hAnsi="Arial" w:cs="Arial"/>
                <w:sz w:val="18"/>
                <w:szCs w:val="18"/>
                <w:lang w:val="sq-AL"/>
              </w:rPr>
            </w:pPr>
            <w:r w:rsidRPr="00076A6D">
              <w:rPr>
                <w:rFonts w:ascii="Arial" w:hAnsi="Arial" w:cs="Arial"/>
                <w:sz w:val="18"/>
                <w:szCs w:val="18"/>
                <w:lang w:val="sq-AL"/>
              </w:rPr>
              <w:t>Planirano</w:t>
            </w:r>
          </w:p>
        </w:tc>
        <w:tc>
          <w:tcPr>
            <w:tcW w:w="708" w:type="pct"/>
            <w:tcBorders>
              <w:top w:val="single" w:sz="4" w:space="0" w:color="auto"/>
            </w:tcBorders>
            <w:vAlign w:val="center"/>
          </w:tcPr>
          <w:p w14:paraId="5F16AF35" w14:textId="385B2224" w:rsidR="001F7291" w:rsidRPr="00076A6D" w:rsidRDefault="009919E7" w:rsidP="001F7291">
            <w:pPr>
              <w:spacing w:before="40" w:after="40" w:line="360" w:lineRule="auto"/>
              <w:rPr>
                <w:rFonts w:ascii="Arial" w:hAnsi="Arial" w:cs="Arial"/>
                <w:sz w:val="18"/>
                <w:szCs w:val="18"/>
                <w:lang w:val="sq-AL"/>
              </w:rPr>
            </w:pPr>
            <w:r w:rsidRPr="00076A6D">
              <w:rPr>
                <w:rFonts w:ascii="Arial" w:hAnsi="Arial" w:cs="Arial"/>
                <w:sz w:val="18"/>
                <w:szCs w:val="18"/>
                <w:lang w:val="sq-AL"/>
              </w:rPr>
              <w:t>Projektom će biti definisan</w:t>
            </w:r>
            <w:r w:rsidR="002D0573" w:rsidRPr="00076A6D">
              <w:rPr>
                <w:rFonts w:ascii="Arial" w:hAnsi="Arial" w:cs="Arial"/>
                <w:sz w:val="18"/>
                <w:szCs w:val="18"/>
                <w:lang w:val="sq-AL"/>
              </w:rPr>
              <w:t>o</w:t>
            </w:r>
          </w:p>
        </w:tc>
        <w:tc>
          <w:tcPr>
            <w:tcW w:w="809" w:type="pct"/>
            <w:tcBorders>
              <w:top w:val="single" w:sz="4" w:space="0" w:color="auto"/>
            </w:tcBorders>
            <w:vAlign w:val="center"/>
          </w:tcPr>
          <w:p w14:paraId="290ADC05" w14:textId="77777777" w:rsidR="00D130B9" w:rsidRPr="00076A6D" w:rsidRDefault="001F7291" w:rsidP="001F7291">
            <w:pPr>
              <w:spacing w:before="40" w:after="40" w:line="360" w:lineRule="auto"/>
              <w:rPr>
                <w:rFonts w:ascii="Arial" w:hAnsi="Arial" w:cs="Arial"/>
                <w:sz w:val="18"/>
                <w:szCs w:val="18"/>
                <w:lang w:val="sq-AL"/>
              </w:rPr>
            </w:pPr>
            <w:r w:rsidRPr="00076A6D">
              <w:rPr>
                <w:rFonts w:ascii="Arial" w:hAnsi="Arial" w:cs="Arial"/>
                <w:sz w:val="18"/>
                <w:szCs w:val="18"/>
                <w:lang w:val="sq-AL"/>
              </w:rPr>
              <w:t xml:space="preserve">Nikšić, </w:t>
            </w:r>
          </w:p>
          <w:p w14:paraId="2373371D" w14:textId="77777777" w:rsidR="00D130B9" w:rsidRPr="00076A6D" w:rsidRDefault="001F7291" w:rsidP="001F7291">
            <w:pPr>
              <w:spacing w:before="40" w:after="40" w:line="360" w:lineRule="auto"/>
              <w:rPr>
                <w:rFonts w:ascii="Arial" w:hAnsi="Arial" w:cs="Arial"/>
                <w:sz w:val="18"/>
                <w:szCs w:val="18"/>
                <w:lang w:val="sq-AL"/>
              </w:rPr>
            </w:pPr>
            <w:r w:rsidRPr="00076A6D">
              <w:rPr>
                <w:rFonts w:ascii="Arial" w:hAnsi="Arial" w:cs="Arial"/>
                <w:sz w:val="18"/>
                <w:szCs w:val="18"/>
                <w:lang w:val="sq-AL"/>
              </w:rPr>
              <w:t xml:space="preserve">Plužine, Žabljak, Pljevlja, Šavnik, </w:t>
            </w:r>
          </w:p>
          <w:p w14:paraId="6AAC9AFF" w14:textId="77777777" w:rsidR="00D130B9" w:rsidRPr="00076A6D" w:rsidRDefault="001F7291" w:rsidP="001F7291">
            <w:pPr>
              <w:spacing w:before="40" w:after="40" w:line="360" w:lineRule="auto"/>
              <w:rPr>
                <w:rFonts w:ascii="Arial" w:hAnsi="Arial" w:cs="Arial"/>
                <w:sz w:val="18"/>
                <w:szCs w:val="18"/>
                <w:lang w:val="sq-AL"/>
              </w:rPr>
            </w:pPr>
            <w:r w:rsidRPr="00076A6D">
              <w:rPr>
                <w:rFonts w:ascii="Arial" w:hAnsi="Arial" w:cs="Arial"/>
                <w:sz w:val="18"/>
                <w:szCs w:val="18"/>
                <w:lang w:val="sq-AL"/>
              </w:rPr>
              <w:t xml:space="preserve">Kotor, </w:t>
            </w:r>
          </w:p>
          <w:p w14:paraId="044C70FB" w14:textId="16162596" w:rsidR="001F7291" w:rsidRPr="00076A6D" w:rsidRDefault="001F7291" w:rsidP="001F7291">
            <w:pPr>
              <w:spacing w:before="40" w:after="40" w:line="360" w:lineRule="auto"/>
              <w:rPr>
                <w:rFonts w:ascii="Arial" w:hAnsi="Arial" w:cs="Arial"/>
                <w:sz w:val="18"/>
                <w:szCs w:val="18"/>
                <w:lang w:val="sq-AL"/>
              </w:rPr>
            </w:pPr>
            <w:r w:rsidRPr="00076A6D">
              <w:rPr>
                <w:rFonts w:ascii="Arial" w:hAnsi="Arial" w:cs="Arial"/>
                <w:sz w:val="18"/>
                <w:szCs w:val="18"/>
                <w:lang w:val="sq-AL"/>
              </w:rPr>
              <w:t>Herceg Novi</w:t>
            </w:r>
          </w:p>
        </w:tc>
      </w:tr>
    </w:tbl>
    <w:p w14:paraId="39095E80" w14:textId="658D1A39" w:rsidR="006111DD" w:rsidRPr="006111DD" w:rsidRDefault="00C232D7" w:rsidP="007378E8">
      <w:pPr>
        <w:pStyle w:val="Heading3"/>
      </w:pPr>
      <w:bookmarkStart w:id="890" w:name="_Toc193354015"/>
      <w:r w:rsidRPr="00216163">
        <w:t>5.</w:t>
      </w:r>
      <w:r w:rsidR="006913A1">
        <w:t>8</w:t>
      </w:r>
      <w:r w:rsidRPr="00216163">
        <w:t>.</w:t>
      </w:r>
      <w:r w:rsidR="00A34BF2" w:rsidRPr="00216163">
        <w:t>2.</w:t>
      </w:r>
      <w:r w:rsidRPr="00216163">
        <w:t xml:space="preserve"> Zone upravljanja otpadom</w:t>
      </w:r>
      <w:bookmarkEnd w:id="890"/>
    </w:p>
    <w:p w14:paraId="35FB3ECE" w14:textId="77777777" w:rsidR="00C232D7" w:rsidRPr="002A6F4E" w:rsidRDefault="00C232D7" w:rsidP="00C232D7">
      <w:pPr>
        <w:spacing w:before="120" w:after="120" w:line="360" w:lineRule="auto"/>
        <w:rPr>
          <w:rFonts w:ascii="Arial" w:hAnsi="Arial" w:cs="Arial"/>
          <w:bCs/>
          <w:lang w:val="sq-AL"/>
        </w:rPr>
      </w:pPr>
      <w:r w:rsidRPr="002A6F4E">
        <w:rPr>
          <w:rFonts w:ascii="Arial" w:hAnsi="Arial" w:cs="Arial"/>
          <w:bCs/>
          <w:lang w:val="sq-AL"/>
        </w:rPr>
        <w:t>Na osnovu analize navedenih kriterijuma, podataka i informacija planirana su 4 regionalna centra upravljanja otpadom i to:</w:t>
      </w:r>
    </w:p>
    <w:p w14:paraId="02A5286D" w14:textId="4939FF58" w:rsidR="00C232D7" w:rsidRPr="002A6F4E" w:rsidRDefault="00C232D7" w:rsidP="00A23ED0">
      <w:pPr>
        <w:pStyle w:val="ListParagraph"/>
        <w:numPr>
          <w:ilvl w:val="0"/>
          <w:numId w:val="34"/>
        </w:numPr>
        <w:spacing w:before="120" w:after="120" w:line="360" w:lineRule="auto"/>
        <w:contextualSpacing w:val="0"/>
        <w:rPr>
          <w:rFonts w:ascii="Arial" w:hAnsi="Arial" w:cs="Arial"/>
          <w:bCs/>
          <w:lang w:val="sq-AL"/>
        </w:rPr>
      </w:pPr>
      <w:r w:rsidRPr="002A6F4E">
        <w:rPr>
          <w:rFonts w:ascii="Arial" w:hAnsi="Arial" w:cs="Arial"/>
          <w:bCs/>
          <w:lang w:val="sq-AL"/>
        </w:rPr>
        <w:t>Regionalni centar za upravljanje otpadom Podgorica</w:t>
      </w:r>
      <w:r w:rsidR="00CD5209">
        <w:rPr>
          <w:rFonts w:ascii="Arial" w:hAnsi="Arial" w:cs="Arial"/>
          <w:bCs/>
          <w:lang w:val="sq-AL"/>
        </w:rPr>
        <w:t>,</w:t>
      </w:r>
      <w:r w:rsidRPr="002A6F4E">
        <w:rPr>
          <w:rFonts w:ascii="Arial" w:hAnsi="Arial" w:cs="Arial"/>
          <w:bCs/>
          <w:lang w:val="sq-AL"/>
        </w:rPr>
        <w:t xml:space="preserve"> </w:t>
      </w:r>
    </w:p>
    <w:p w14:paraId="150C8AEF" w14:textId="5105B50D" w:rsidR="00C232D7" w:rsidRPr="002A6F4E" w:rsidRDefault="00C232D7" w:rsidP="00A23ED0">
      <w:pPr>
        <w:pStyle w:val="ListParagraph"/>
        <w:numPr>
          <w:ilvl w:val="0"/>
          <w:numId w:val="34"/>
        </w:numPr>
        <w:spacing w:before="120" w:after="120" w:line="360" w:lineRule="auto"/>
        <w:contextualSpacing w:val="0"/>
        <w:rPr>
          <w:rFonts w:ascii="Arial" w:hAnsi="Arial" w:cs="Arial"/>
          <w:bCs/>
          <w:lang w:val="sq-AL"/>
        </w:rPr>
      </w:pPr>
      <w:r w:rsidRPr="002A6F4E">
        <w:rPr>
          <w:rFonts w:ascii="Arial" w:hAnsi="Arial" w:cs="Arial"/>
          <w:bCs/>
          <w:lang w:val="sq-AL"/>
        </w:rPr>
        <w:t>Regionalni centar upravljanja otpadom Nikšić</w:t>
      </w:r>
      <w:r w:rsidR="00CD5209">
        <w:rPr>
          <w:rFonts w:ascii="Arial" w:hAnsi="Arial" w:cs="Arial"/>
          <w:bCs/>
          <w:lang w:val="sq-AL"/>
        </w:rPr>
        <w:t>,</w:t>
      </w:r>
    </w:p>
    <w:p w14:paraId="1D3AA22F" w14:textId="1FB1BCEB" w:rsidR="00C232D7" w:rsidRPr="002A6F4E" w:rsidRDefault="00C232D7" w:rsidP="00A23ED0">
      <w:pPr>
        <w:pStyle w:val="ListParagraph"/>
        <w:numPr>
          <w:ilvl w:val="0"/>
          <w:numId w:val="34"/>
        </w:numPr>
        <w:spacing w:before="120" w:after="120" w:line="360" w:lineRule="auto"/>
        <w:contextualSpacing w:val="0"/>
        <w:rPr>
          <w:rFonts w:ascii="Arial" w:hAnsi="Arial" w:cs="Arial"/>
          <w:bCs/>
          <w:lang w:val="sq-AL"/>
        </w:rPr>
      </w:pPr>
      <w:r w:rsidRPr="002A6F4E">
        <w:rPr>
          <w:rFonts w:ascii="Arial" w:hAnsi="Arial" w:cs="Arial"/>
        </w:rPr>
        <w:t>Regionalni centar upravljanja otpadom Bar</w:t>
      </w:r>
      <w:r w:rsidR="00CD5209">
        <w:rPr>
          <w:rFonts w:ascii="Arial" w:hAnsi="Arial" w:cs="Arial"/>
        </w:rPr>
        <w:t>,</w:t>
      </w:r>
    </w:p>
    <w:p w14:paraId="6D6CA7C2" w14:textId="7F908E5F" w:rsidR="00C232D7" w:rsidRPr="002A6F4E" w:rsidRDefault="00C232D7" w:rsidP="00A23ED0">
      <w:pPr>
        <w:pStyle w:val="ListParagraph"/>
        <w:numPr>
          <w:ilvl w:val="0"/>
          <w:numId w:val="34"/>
        </w:numPr>
        <w:spacing w:before="120" w:after="120" w:line="360" w:lineRule="auto"/>
        <w:contextualSpacing w:val="0"/>
        <w:rPr>
          <w:rFonts w:ascii="Arial" w:hAnsi="Arial" w:cs="Arial"/>
          <w:bCs/>
          <w:lang w:val="sq-AL"/>
        </w:rPr>
      </w:pPr>
      <w:r w:rsidRPr="002A6F4E">
        <w:rPr>
          <w:rFonts w:ascii="Arial" w:hAnsi="Arial" w:cs="Arial"/>
          <w:bCs/>
          <w:lang w:val="sq-AL"/>
        </w:rPr>
        <w:t>Regionalni centar za upravljanje otpadom Bijelo Polje</w:t>
      </w:r>
      <w:r w:rsidR="00CD5209">
        <w:rPr>
          <w:rFonts w:ascii="Arial" w:hAnsi="Arial" w:cs="Arial"/>
          <w:bCs/>
          <w:lang w:val="sq-AL"/>
        </w:rPr>
        <w:t>.</w:t>
      </w:r>
    </w:p>
    <w:p w14:paraId="70C16475" w14:textId="66B71D18" w:rsidR="00C232D7" w:rsidRPr="002A6F4E" w:rsidRDefault="00C232D7" w:rsidP="00C232D7">
      <w:pPr>
        <w:spacing w:before="120" w:after="120" w:line="360" w:lineRule="auto"/>
        <w:rPr>
          <w:rFonts w:ascii="Arial" w:hAnsi="Arial" w:cs="Arial"/>
          <w:bCs/>
          <w:lang w:val="sq-AL"/>
        </w:rPr>
      </w:pPr>
      <w:r w:rsidRPr="002A6F4E">
        <w:rPr>
          <w:rFonts w:ascii="Arial" w:hAnsi="Arial" w:cs="Arial"/>
          <w:bCs/>
          <w:lang w:val="sq-AL"/>
        </w:rPr>
        <w:lastRenderedPageBreak/>
        <w:t xml:space="preserve">Što se tiče proizvodnje električne energije iz biotpada anaerobnom/aerobnom digestijom, može biti u svakom regionalnom centru, ali je potrebno da se uradi </w:t>
      </w:r>
      <w:r w:rsidRPr="00AA057A">
        <w:rPr>
          <w:rFonts w:ascii="Arial" w:hAnsi="Arial" w:cs="Arial"/>
          <w:bCs/>
          <w:lang w:val="sq-AL"/>
        </w:rPr>
        <w:t>studija izvodljivosti</w:t>
      </w:r>
      <w:r w:rsidRPr="002A6F4E">
        <w:rPr>
          <w:rFonts w:ascii="Arial" w:hAnsi="Arial" w:cs="Arial"/>
          <w:bCs/>
          <w:lang w:val="sq-AL"/>
        </w:rPr>
        <w:t>, u odnosu na proizvodnju električne energije u odnosu na termičku obradu kako bi se izabrao optimal</w:t>
      </w:r>
      <w:r w:rsidR="00CD5209">
        <w:rPr>
          <w:rFonts w:ascii="Arial" w:hAnsi="Arial" w:cs="Arial"/>
          <w:bCs/>
          <w:lang w:val="sq-AL"/>
        </w:rPr>
        <w:t>a</w:t>
      </w:r>
      <w:r w:rsidRPr="002A6F4E">
        <w:rPr>
          <w:rFonts w:ascii="Arial" w:hAnsi="Arial" w:cs="Arial"/>
          <w:bCs/>
          <w:lang w:val="sq-AL"/>
        </w:rPr>
        <w:t xml:space="preserve">n metod. </w:t>
      </w:r>
    </w:p>
    <w:p w14:paraId="4637D776" w14:textId="5F6672DF" w:rsidR="00C232D7" w:rsidRPr="002A6F4E" w:rsidRDefault="00C232D7" w:rsidP="00C232D7">
      <w:pPr>
        <w:spacing w:before="120" w:after="120" w:line="360" w:lineRule="auto"/>
        <w:rPr>
          <w:rFonts w:ascii="Arial" w:hAnsi="Arial" w:cs="Arial"/>
          <w:bCs/>
          <w:lang w:val="sq-AL"/>
        </w:rPr>
      </w:pPr>
      <w:r w:rsidRPr="002A6F4E">
        <w:rPr>
          <w:rFonts w:ascii="Arial" w:hAnsi="Arial" w:cs="Arial"/>
          <w:bCs/>
          <w:lang w:val="sq-AL"/>
        </w:rPr>
        <w:t xml:space="preserve">Takođe, studijom treba razmotriti opciju da proizvodnja električne energije iz biomase bude na jednoj lokaciji, što znači da je potrebno da sva biomasa doprema na jednom mjestu obrade, a na svim </w:t>
      </w:r>
      <w:r w:rsidR="00CD5209">
        <w:rPr>
          <w:rFonts w:ascii="Arial" w:hAnsi="Arial" w:cs="Arial"/>
          <w:bCs/>
          <w:lang w:val="sq-AL"/>
        </w:rPr>
        <w:t>tijelima deponije</w:t>
      </w:r>
      <w:r w:rsidRPr="002A6F4E">
        <w:rPr>
          <w:rFonts w:ascii="Arial" w:hAnsi="Arial" w:cs="Arial"/>
          <w:bCs/>
          <w:lang w:val="sq-AL"/>
        </w:rPr>
        <w:t xml:space="preserve">,  koje imaju potencijal, predvidjeti izgradnju </w:t>
      </w:r>
      <w:r w:rsidR="009E550A">
        <w:rPr>
          <w:rFonts w:ascii="Arial" w:hAnsi="Arial" w:cs="Arial"/>
          <w:bCs/>
          <w:lang w:val="sq-AL"/>
        </w:rPr>
        <w:t xml:space="preserve">postrojenja za proizvodnju deponijskog gasa </w:t>
      </w:r>
      <w:r w:rsidRPr="002A6F4E">
        <w:rPr>
          <w:rFonts w:ascii="Arial" w:hAnsi="Arial" w:cs="Arial"/>
          <w:bCs/>
          <w:lang w:val="sq-AL"/>
        </w:rPr>
        <w:t>.</w:t>
      </w:r>
    </w:p>
    <w:p w14:paraId="6751A68D" w14:textId="09C11EC7" w:rsidR="00C232D7" w:rsidRPr="002A6F4E" w:rsidRDefault="00C232D7" w:rsidP="00C232D7">
      <w:pPr>
        <w:spacing w:before="120" w:after="120" w:line="360" w:lineRule="auto"/>
        <w:rPr>
          <w:rFonts w:ascii="Arial" w:hAnsi="Arial" w:cs="Arial"/>
          <w:bCs/>
          <w:lang w:val="sq-AL"/>
        </w:rPr>
      </w:pPr>
      <w:r w:rsidRPr="002A6F4E">
        <w:rPr>
          <w:rFonts w:ascii="Arial" w:hAnsi="Arial" w:cs="Arial"/>
          <w:bCs/>
          <w:lang w:val="sq-AL"/>
        </w:rPr>
        <w:t xml:space="preserve">Planirano je da se prvo izgrade regionalni centri za upravljanje otpadom, a nakon toga u roku od godinu dana, potrebno je na teritoriji lokalnih samouprava obezbijede nedostajuću infrastrukturu i opremu, da bi se poslovalo u skladu sa </w:t>
      </w:r>
      <w:r w:rsidR="00CD5209">
        <w:rPr>
          <w:rFonts w:ascii="Arial" w:hAnsi="Arial" w:cs="Arial"/>
          <w:bCs/>
          <w:lang w:val="sq-AL"/>
        </w:rPr>
        <w:t>D</w:t>
      </w:r>
      <w:r w:rsidRPr="002A6F4E">
        <w:rPr>
          <w:rFonts w:ascii="Arial" w:hAnsi="Arial" w:cs="Arial"/>
          <w:bCs/>
          <w:lang w:val="sq-AL"/>
        </w:rPr>
        <w:t>ržavnim planom.</w:t>
      </w:r>
    </w:p>
    <w:p w14:paraId="426F6383" w14:textId="7EA448E9"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Obzirom da već imamo izgrađe</w:t>
      </w:r>
      <w:r w:rsidR="009D6E37">
        <w:rPr>
          <w:rFonts w:ascii="Arial" w:hAnsi="Arial" w:cs="Arial"/>
          <w:lang w:val="sq-AL"/>
        </w:rPr>
        <w:t>n</w:t>
      </w:r>
      <w:r w:rsidRPr="002A6F4E">
        <w:rPr>
          <w:rFonts w:ascii="Arial" w:hAnsi="Arial" w:cs="Arial"/>
          <w:lang w:val="sq-AL"/>
        </w:rPr>
        <w:t xml:space="preserve"> </w:t>
      </w:r>
      <w:r w:rsidR="009E550A">
        <w:rPr>
          <w:rFonts w:ascii="Arial" w:hAnsi="Arial" w:cs="Arial"/>
          <w:lang w:val="sq-AL"/>
        </w:rPr>
        <w:t>Postrojenje za recikliranje otpadnih</w:t>
      </w:r>
      <w:r w:rsidRPr="002A6F4E">
        <w:rPr>
          <w:rFonts w:ascii="Arial" w:hAnsi="Arial" w:cs="Arial"/>
          <w:lang w:val="sq-AL"/>
        </w:rPr>
        <w:t xml:space="preserve"> vozila u sklopu Deponije “ Livade”, </w:t>
      </w:r>
      <w:r w:rsidR="00A86869">
        <w:rPr>
          <w:rFonts w:ascii="Arial" w:hAnsi="Arial" w:cs="Arial"/>
          <w:lang w:val="sq-AL"/>
        </w:rPr>
        <w:t xml:space="preserve">u </w:t>
      </w:r>
      <w:r w:rsidRPr="002A6F4E">
        <w:rPr>
          <w:rFonts w:ascii="Arial" w:hAnsi="Arial" w:cs="Arial"/>
          <w:lang w:val="sq-AL"/>
        </w:rPr>
        <w:t>Podgoric</w:t>
      </w:r>
      <w:r w:rsidR="00A86869">
        <w:rPr>
          <w:rFonts w:ascii="Arial" w:hAnsi="Arial" w:cs="Arial"/>
          <w:lang w:val="sq-AL"/>
        </w:rPr>
        <w:t>i</w:t>
      </w:r>
      <w:r w:rsidRPr="002A6F4E">
        <w:rPr>
          <w:rFonts w:ascii="Arial" w:hAnsi="Arial" w:cs="Arial"/>
          <w:lang w:val="sq-AL"/>
        </w:rPr>
        <w:t xml:space="preserve">, preporuka je da je otpadna vozila </w:t>
      </w:r>
      <w:r w:rsidR="00A86869">
        <w:rPr>
          <w:rFonts w:ascii="Arial" w:hAnsi="Arial" w:cs="Arial"/>
          <w:lang w:val="sq-AL"/>
        </w:rPr>
        <w:t xml:space="preserve">transportuju </w:t>
      </w:r>
      <w:r w:rsidRPr="002A6F4E">
        <w:rPr>
          <w:rFonts w:ascii="Arial" w:hAnsi="Arial" w:cs="Arial"/>
          <w:lang w:val="sq-AL"/>
        </w:rPr>
        <w:t>u R</w:t>
      </w:r>
      <w:r w:rsidR="00A86869">
        <w:rPr>
          <w:rFonts w:ascii="Arial" w:hAnsi="Arial" w:cs="Arial"/>
          <w:lang w:val="sq-AL"/>
        </w:rPr>
        <w:t>egionalni centar za upravljanje otpadom u Podgorici</w:t>
      </w:r>
      <w:r w:rsidRPr="002A6F4E">
        <w:rPr>
          <w:rFonts w:ascii="Arial" w:hAnsi="Arial" w:cs="Arial"/>
          <w:lang w:val="sq-AL"/>
        </w:rPr>
        <w:t>.</w:t>
      </w:r>
    </w:p>
    <w:p w14:paraId="46496ED5" w14:textId="556C7699" w:rsidR="00C232D7" w:rsidRDefault="00C232D7" w:rsidP="00C232D7">
      <w:pPr>
        <w:spacing w:before="120" w:after="120" w:line="360" w:lineRule="auto"/>
        <w:rPr>
          <w:rFonts w:ascii="Arial" w:hAnsi="Arial" w:cs="Arial"/>
          <w:bCs/>
          <w:lang w:val="sq-AL"/>
        </w:rPr>
      </w:pPr>
      <w:r w:rsidRPr="002A6F4E">
        <w:rPr>
          <w:rFonts w:ascii="Arial" w:hAnsi="Arial" w:cs="Arial"/>
          <w:bCs/>
          <w:lang w:val="sq-AL"/>
        </w:rPr>
        <w:t>Preporuka je da se otpadne gume, zbog lakšeg transporta, prvo obrade u tri regionaln</w:t>
      </w:r>
      <w:r w:rsidR="00A86869">
        <w:rPr>
          <w:rFonts w:ascii="Arial" w:hAnsi="Arial" w:cs="Arial"/>
          <w:bCs/>
          <w:lang w:val="sq-AL"/>
        </w:rPr>
        <w:t>a</w:t>
      </w:r>
      <w:r w:rsidRPr="002A6F4E">
        <w:rPr>
          <w:rFonts w:ascii="Arial" w:hAnsi="Arial" w:cs="Arial"/>
          <w:bCs/>
          <w:lang w:val="sq-AL"/>
        </w:rPr>
        <w:t xml:space="preserve"> centra N</w:t>
      </w:r>
      <w:r w:rsidR="00A86869">
        <w:rPr>
          <w:rFonts w:ascii="Arial" w:hAnsi="Arial" w:cs="Arial"/>
          <w:bCs/>
          <w:lang w:val="sq-AL"/>
        </w:rPr>
        <w:t>ikšić</w:t>
      </w:r>
      <w:r w:rsidRPr="002A6F4E">
        <w:rPr>
          <w:rFonts w:ascii="Arial" w:hAnsi="Arial" w:cs="Arial"/>
          <w:bCs/>
          <w:lang w:val="sq-AL"/>
        </w:rPr>
        <w:t>, B</w:t>
      </w:r>
      <w:r w:rsidR="00A86869">
        <w:rPr>
          <w:rFonts w:ascii="Arial" w:hAnsi="Arial" w:cs="Arial"/>
          <w:bCs/>
          <w:lang w:val="sq-AL"/>
        </w:rPr>
        <w:t>ar</w:t>
      </w:r>
      <w:r w:rsidRPr="002A6F4E">
        <w:rPr>
          <w:rFonts w:ascii="Arial" w:hAnsi="Arial" w:cs="Arial"/>
          <w:bCs/>
          <w:lang w:val="sq-AL"/>
        </w:rPr>
        <w:t xml:space="preserve"> i B</w:t>
      </w:r>
      <w:r w:rsidR="00A86869">
        <w:rPr>
          <w:rFonts w:ascii="Arial" w:hAnsi="Arial" w:cs="Arial"/>
          <w:bCs/>
          <w:lang w:val="sq-AL"/>
        </w:rPr>
        <w:t xml:space="preserve">ijelo </w:t>
      </w:r>
      <w:r w:rsidRPr="002A6F4E">
        <w:rPr>
          <w:rFonts w:ascii="Arial" w:hAnsi="Arial" w:cs="Arial"/>
          <w:bCs/>
          <w:lang w:val="sq-AL"/>
        </w:rPr>
        <w:t>P</w:t>
      </w:r>
      <w:r w:rsidR="00A86869">
        <w:rPr>
          <w:rFonts w:ascii="Arial" w:hAnsi="Arial" w:cs="Arial"/>
          <w:bCs/>
          <w:lang w:val="sq-AL"/>
        </w:rPr>
        <w:t>olje</w:t>
      </w:r>
      <w:r w:rsidRPr="002A6F4E">
        <w:rPr>
          <w:rFonts w:ascii="Arial" w:hAnsi="Arial" w:cs="Arial"/>
          <w:bCs/>
          <w:lang w:val="sq-AL"/>
        </w:rPr>
        <w:t>, a nakon toga transportuju u regionalni centar P</w:t>
      </w:r>
      <w:r w:rsidR="00A86869">
        <w:rPr>
          <w:rFonts w:ascii="Arial" w:hAnsi="Arial" w:cs="Arial"/>
          <w:bCs/>
          <w:lang w:val="sq-AL"/>
        </w:rPr>
        <w:t>odgorici</w:t>
      </w:r>
      <w:r w:rsidRPr="002A6F4E">
        <w:rPr>
          <w:rFonts w:ascii="Arial" w:hAnsi="Arial" w:cs="Arial"/>
          <w:bCs/>
          <w:lang w:val="sq-AL"/>
        </w:rPr>
        <w:t>.</w:t>
      </w:r>
    </w:p>
    <w:p w14:paraId="670FD62A" w14:textId="77777777" w:rsidR="00D8386F" w:rsidRPr="002A6F4E" w:rsidRDefault="00D8386F" w:rsidP="00D8386F">
      <w:pPr>
        <w:pStyle w:val="NoSpacing"/>
        <w:rPr>
          <w:rFonts w:ascii="Arial" w:hAnsi="Arial" w:cs="Arial"/>
          <w:b/>
          <w:lang w:val="sr-Latn-CS"/>
        </w:rPr>
      </w:pPr>
      <w:r w:rsidRPr="002A6F4E">
        <w:rPr>
          <w:rFonts w:ascii="Arial" w:hAnsi="Arial" w:cs="Arial"/>
          <w:b/>
          <w:lang w:val="sr-Latn-CS"/>
        </w:rPr>
        <w:t>Regionalni centar za upravljanje otpadom:</w:t>
      </w:r>
    </w:p>
    <w:p w14:paraId="6597EDF6" w14:textId="77777777" w:rsidR="00D8386F" w:rsidRDefault="00D8386F" w:rsidP="00D8386F">
      <w:pPr>
        <w:spacing w:before="120" w:after="120" w:line="360" w:lineRule="auto"/>
        <w:rPr>
          <w:rFonts w:ascii="Arial" w:hAnsi="Arial" w:cs="Arial"/>
          <w:lang w:val="sq-AL"/>
        </w:rPr>
      </w:pPr>
      <w:r w:rsidRPr="002A6F4E">
        <w:rPr>
          <w:rFonts w:ascii="Arial" w:hAnsi="Arial" w:cs="Arial"/>
          <w:lang w:val="sq-AL"/>
        </w:rPr>
        <w:t xml:space="preserve">Regionalni centri za upravljanje otpadom su kompleksne infrastrukture koje služe za </w:t>
      </w:r>
      <w:r>
        <w:rPr>
          <w:rFonts w:ascii="Arial" w:hAnsi="Arial" w:cs="Arial"/>
          <w:lang w:val="sq-AL"/>
        </w:rPr>
        <w:t>sa</w:t>
      </w:r>
      <w:r w:rsidRPr="002A6F4E">
        <w:rPr>
          <w:rFonts w:ascii="Arial" w:hAnsi="Arial" w:cs="Arial"/>
          <w:lang w:val="sq-AL"/>
        </w:rPr>
        <w:t>kupljanje, obradu, recikl</w:t>
      </w:r>
      <w:r>
        <w:rPr>
          <w:rFonts w:ascii="Arial" w:hAnsi="Arial" w:cs="Arial"/>
          <w:lang w:val="sq-AL"/>
        </w:rPr>
        <w:t>iranje</w:t>
      </w:r>
      <w:r w:rsidRPr="002A6F4E">
        <w:rPr>
          <w:rFonts w:ascii="Arial" w:hAnsi="Arial" w:cs="Arial"/>
          <w:lang w:val="sq-AL"/>
        </w:rPr>
        <w:t xml:space="preserve"> i deponovanje otpada sa šireg geografskog područja. Takvi centri obuhvataju integrisana r</w:t>
      </w:r>
      <w:r>
        <w:rPr>
          <w:rFonts w:ascii="Arial" w:hAnsi="Arial" w:cs="Arial"/>
          <w:lang w:val="sq-AL"/>
        </w:rPr>
        <w:t>j</w:t>
      </w:r>
      <w:r w:rsidRPr="002A6F4E">
        <w:rPr>
          <w:rFonts w:ascii="Arial" w:hAnsi="Arial" w:cs="Arial"/>
          <w:lang w:val="sq-AL"/>
        </w:rPr>
        <w:t>ešenja z</w:t>
      </w:r>
      <w:r>
        <w:rPr>
          <w:rFonts w:ascii="Arial" w:hAnsi="Arial" w:cs="Arial"/>
          <w:lang w:val="sq-AL"/>
        </w:rPr>
        <w:t xml:space="preserve">a održivo upravljanje otpadom. </w:t>
      </w:r>
    </w:p>
    <w:p w14:paraId="1090D501" w14:textId="77777777" w:rsidR="00D8386F" w:rsidRPr="00D8386F" w:rsidRDefault="00D8386F" w:rsidP="00D8386F">
      <w:pPr>
        <w:pStyle w:val="NoSpacing1"/>
        <w:rPr>
          <w:rFonts w:ascii="Arial" w:hAnsi="Arial" w:cs="Arial"/>
          <w:b/>
          <w:sz w:val="20"/>
          <w:szCs w:val="20"/>
          <w:lang w:val="sq-AL"/>
        </w:rPr>
      </w:pPr>
      <w:r w:rsidRPr="00D8386F">
        <w:rPr>
          <w:rFonts w:ascii="Arial" w:hAnsi="Arial" w:cs="Arial"/>
          <w:b/>
          <w:sz w:val="20"/>
          <w:szCs w:val="20"/>
          <w:lang w:val="sq-AL"/>
        </w:rPr>
        <w:t>Osnovne funkcije reciklažnog centra:</w:t>
      </w:r>
    </w:p>
    <w:p w14:paraId="1F484AA7" w14:textId="77777777" w:rsidR="00D8386F" w:rsidRPr="002A6F4E" w:rsidRDefault="00D8386F" w:rsidP="00D8386F">
      <w:pPr>
        <w:numPr>
          <w:ilvl w:val="0"/>
          <w:numId w:val="126"/>
        </w:numPr>
        <w:spacing w:before="100" w:beforeAutospacing="1" w:after="100" w:afterAutospacing="1"/>
        <w:jc w:val="left"/>
        <w:rPr>
          <w:rFonts w:ascii="Arial" w:eastAsia="Times New Roman" w:hAnsi="Arial" w:cs="Arial"/>
          <w:lang w:val="sr-Latn-CS"/>
        </w:rPr>
      </w:pPr>
      <w:r>
        <w:rPr>
          <w:rFonts w:ascii="Arial" w:eastAsia="Times New Roman" w:hAnsi="Arial" w:cs="Arial"/>
          <w:b/>
          <w:bCs/>
          <w:lang w:val="sr-Latn-CS"/>
        </w:rPr>
        <w:t>Sakupljanje</w:t>
      </w:r>
      <w:r w:rsidRPr="002A6F4E">
        <w:rPr>
          <w:rFonts w:ascii="Arial" w:eastAsia="Times New Roman" w:hAnsi="Arial" w:cs="Arial"/>
          <w:b/>
          <w:bCs/>
          <w:lang w:val="sr-Latn-CS"/>
        </w:rPr>
        <w:t xml:space="preserve"> otpada:</w:t>
      </w:r>
    </w:p>
    <w:p w14:paraId="0B05995B" w14:textId="6795CA13" w:rsidR="0004657F" w:rsidRPr="0004657F" w:rsidRDefault="00D8386F" w:rsidP="0004657F">
      <w:pPr>
        <w:numPr>
          <w:ilvl w:val="1"/>
          <w:numId w:val="126"/>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lang w:val="sr-Latn-CS"/>
        </w:rPr>
        <w:t>Centar može primati različite vrste otpada, uključujući plastiku, staklo, metal, papir, elektronski otpad</w:t>
      </w:r>
      <w:r w:rsidRPr="00AA057A">
        <w:rPr>
          <w:rFonts w:ascii="Arial" w:eastAsia="Times New Roman" w:hAnsi="Arial" w:cs="Arial"/>
          <w:lang w:val="sr-Latn-CS"/>
        </w:rPr>
        <w:t xml:space="preserve"> i biološki otpad</w:t>
      </w:r>
      <w:r w:rsidRPr="002A6F4E">
        <w:rPr>
          <w:rFonts w:ascii="Arial" w:eastAsia="Times New Roman" w:hAnsi="Arial" w:cs="Arial"/>
          <w:lang w:val="sr-Latn-CS"/>
        </w:rPr>
        <w:t>.</w:t>
      </w:r>
    </w:p>
    <w:p w14:paraId="366DC19D" w14:textId="77777777" w:rsidR="00D8386F" w:rsidRPr="002A6F4E" w:rsidRDefault="00D8386F" w:rsidP="00D8386F">
      <w:pPr>
        <w:numPr>
          <w:ilvl w:val="0"/>
          <w:numId w:val="126"/>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Razvrstavanje:</w:t>
      </w:r>
    </w:p>
    <w:p w14:paraId="2BA97496" w14:textId="77777777" w:rsidR="00D8386F" w:rsidRPr="002A6F4E" w:rsidRDefault="00D8386F" w:rsidP="00D8386F">
      <w:pPr>
        <w:numPr>
          <w:ilvl w:val="1"/>
          <w:numId w:val="126"/>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lang w:val="sr-Latn-CS"/>
        </w:rPr>
        <w:t>Otpad se razvrstava prema materijalima i kategorijama kako bi se olakšala dalja obrada.</w:t>
      </w:r>
    </w:p>
    <w:p w14:paraId="1EEA5C16" w14:textId="77777777" w:rsidR="00D8386F" w:rsidRPr="002A6F4E" w:rsidRDefault="00D8386F" w:rsidP="00D8386F">
      <w:pPr>
        <w:numPr>
          <w:ilvl w:val="0"/>
          <w:numId w:val="126"/>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Skladištenje:</w:t>
      </w:r>
    </w:p>
    <w:p w14:paraId="1FDB774F" w14:textId="77777777" w:rsidR="00D8386F" w:rsidRPr="002A6F4E" w:rsidRDefault="00D8386F" w:rsidP="00D8386F">
      <w:pPr>
        <w:numPr>
          <w:ilvl w:val="1"/>
          <w:numId w:val="126"/>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lang w:val="sr-Latn-CS"/>
        </w:rPr>
        <w:t>Privremeno skladištenje otpada dok se ne preveze do postrojenja</w:t>
      </w:r>
      <w:r>
        <w:rPr>
          <w:rFonts w:ascii="Arial" w:eastAsia="Times New Roman" w:hAnsi="Arial" w:cs="Arial"/>
          <w:lang w:val="sr-Latn-CS"/>
        </w:rPr>
        <w:t xml:space="preserve"> za recikliranje</w:t>
      </w:r>
      <w:r w:rsidRPr="002A6F4E">
        <w:rPr>
          <w:rFonts w:ascii="Arial" w:eastAsia="Times New Roman" w:hAnsi="Arial" w:cs="Arial"/>
          <w:lang w:val="sr-Latn-CS"/>
        </w:rPr>
        <w:t xml:space="preserve"> ili drugih lokacija za obradu.</w:t>
      </w:r>
    </w:p>
    <w:p w14:paraId="417CD7D5" w14:textId="77777777" w:rsidR="00D8386F" w:rsidRPr="002A6F4E" w:rsidRDefault="00D8386F" w:rsidP="00D8386F">
      <w:pPr>
        <w:numPr>
          <w:ilvl w:val="0"/>
          <w:numId w:val="126"/>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Reciklaža i obrada:</w:t>
      </w:r>
    </w:p>
    <w:p w14:paraId="6D70E0D1" w14:textId="77777777" w:rsidR="00D8386F" w:rsidRPr="002A6F4E" w:rsidRDefault="00D8386F" w:rsidP="00D8386F">
      <w:pPr>
        <w:numPr>
          <w:ilvl w:val="1"/>
          <w:numId w:val="126"/>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lang w:val="sr-Latn-CS"/>
        </w:rPr>
        <w:t>Neki reciklažni centri imaju opremu za obradu otpada, poput mašina za presovanje plastike ili drobilica za staklo.</w:t>
      </w:r>
    </w:p>
    <w:p w14:paraId="1E6D94FC" w14:textId="77777777" w:rsidR="00D8386F" w:rsidRPr="002A6F4E" w:rsidRDefault="00D8386F" w:rsidP="00D8386F">
      <w:pPr>
        <w:numPr>
          <w:ilvl w:val="0"/>
          <w:numId w:val="126"/>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Edukacija i podizanje svesti:</w:t>
      </w:r>
    </w:p>
    <w:p w14:paraId="6CF9401E" w14:textId="77777777" w:rsidR="00D8386F" w:rsidRPr="002A6F4E" w:rsidRDefault="00D8386F" w:rsidP="00D8386F">
      <w:pPr>
        <w:numPr>
          <w:ilvl w:val="1"/>
          <w:numId w:val="126"/>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lang w:val="sr-Latn-CS"/>
        </w:rPr>
        <w:t>Organizacija programa za edukaciju građana o pravilnom odlaganju otpada i važnosti recikl</w:t>
      </w:r>
      <w:r>
        <w:rPr>
          <w:rFonts w:ascii="Arial" w:eastAsia="Times New Roman" w:hAnsi="Arial" w:cs="Arial"/>
          <w:lang w:val="sr-Latn-CS"/>
        </w:rPr>
        <w:t>iranja</w:t>
      </w:r>
      <w:r w:rsidRPr="002A6F4E">
        <w:rPr>
          <w:rFonts w:ascii="Arial" w:eastAsia="Times New Roman" w:hAnsi="Arial" w:cs="Arial"/>
          <w:lang w:val="sr-Latn-CS"/>
        </w:rPr>
        <w:t>.</w:t>
      </w:r>
    </w:p>
    <w:p w14:paraId="311D9E0F" w14:textId="77777777" w:rsidR="00D8386F" w:rsidRPr="002A6F4E" w:rsidRDefault="00D8386F" w:rsidP="00D8386F">
      <w:pPr>
        <w:pStyle w:val="NoSpacing"/>
        <w:rPr>
          <w:rFonts w:ascii="Arial" w:hAnsi="Arial" w:cs="Arial"/>
          <w:b/>
          <w:lang w:val="sr-Latn-CS"/>
        </w:rPr>
      </w:pPr>
      <w:r>
        <w:rPr>
          <w:rFonts w:ascii="Arial" w:hAnsi="Arial" w:cs="Arial"/>
          <w:b/>
          <w:lang w:val="sr-Latn-CS"/>
        </w:rPr>
        <w:t>Organizacija</w:t>
      </w:r>
      <w:r w:rsidRPr="002A6F4E">
        <w:rPr>
          <w:rFonts w:ascii="Arial" w:hAnsi="Arial" w:cs="Arial"/>
          <w:b/>
          <w:lang w:val="sr-Latn-CS"/>
        </w:rPr>
        <w:t xml:space="preserve"> regionalnog centra za upravljanje otpadom</w:t>
      </w:r>
    </w:p>
    <w:p w14:paraId="5845734C" w14:textId="77777777" w:rsidR="00D8386F" w:rsidRPr="002A6F4E" w:rsidRDefault="00D8386F" w:rsidP="00D8386F">
      <w:pPr>
        <w:pStyle w:val="NoSpacing"/>
        <w:rPr>
          <w:rFonts w:ascii="Arial" w:hAnsi="Arial" w:cs="Arial"/>
          <w:b/>
          <w:lang w:val="sr-Latn-CS"/>
        </w:rPr>
      </w:pPr>
    </w:p>
    <w:p w14:paraId="7B65203E" w14:textId="77777777" w:rsidR="00D8386F" w:rsidRDefault="00D8386F" w:rsidP="00D8386F">
      <w:pPr>
        <w:pStyle w:val="NoSpacing"/>
        <w:rPr>
          <w:rFonts w:ascii="Arial" w:hAnsi="Arial" w:cs="Arial"/>
          <w:b/>
          <w:lang w:val="sr-Latn-CS"/>
        </w:rPr>
      </w:pPr>
      <w:r w:rsidRPr="002A6F4E">
        <w:rPr>
          <w:rFonts w:ascii="Arial" w:hAnsi="Arial" w:cs="Arial"/>
          <w:b/>
          <w:lang w:val="sr-Latn-CS"/>
        </w:rPr>
        <w:t>Prijem otpada</w:t>
      </w:r>
    </w:p>
    <w:p w14:paraId="7192F177" w14:textId="77777777" w:rsidR="00D8386F" w:rsidRPr="002A6F4E" w:rsidRDefault="00D8386F" w:rsidP="00D8386F">
      <w:pPr>
        <w:pStyle w:val="NoSpacing"/>
        <w:rPr>
          <w:rFonts w:ascii="Arial" w:hAnsi="Arial" w:cs="Arial"/>
          <w:b/>
          <w:lang w:val="sr-Latn-CS"/>
        </w:rPr>
      </w:pPr>
    </w:p>
    <w:p w14:paraId="2D4667AE" w14:textId="77777777" w:rsidR="00D8386F" w:rsidRPr="002A6F4E" w:rsidRDefault="00D8386F" w:rsidP="00D8386F">
      <w:pPr>
        <w:pStyle w:val="NoSpacing"/>
        <w:numPr>
          <w:ilvl w:val="0"/>
          <w:numId w:val="116"/>
        </w:numPr>
        <w:jc w:val="left"/>
        <w:rPr>
          <w:rFonts w:ascii="Arial" w:hAnsi="Arial" w:cs="Arial"/>
          <w:lang w:val="sr-Latn-CS"/>
        </w:rPr>
      </w:pPr>
      <w:r w:rsidRPr="002A6F4E">
        <w:rPr>
          <w:rFonts w:ascii="Arial" w:hAnsi="Arial" w:cs="Arial"/>
          <w:b/>
          <w:bCs/>
          <w:lang w:val="sr-Latn-CS"/>
        </w:rPr>
        <w:t>Zona za prijem:</w:t>
      </w:r>
      <w:r w:rsidRPr="002A6F4E">
        <w:rPr>
          <w:rFonts w:ascii="Arial" w:hAnsi="Arial" w:cs="Arial"/>
          <w:lang w:val="sr-Latn-CS"/>
        </w:rPr>
        <w:t xml:space="preserve"> Kamioni dovoze različite vrste otpada.</w:t>
      </w:r>
    </w:p>
    <w:p w14:paraId="01044506" w14:textId="77777777" w:rsidR="00D8386F" w:rsidRPr="002A6F4E" w:rsidRDefault="00D8386F" w:rsidP="00D8386F">
      <w:pPr>
        <w:pStyle w:val="NoSpacing"/>
        <w:ind w:left="720"/>
        <w:rPr>
          <w:rFonts w:ascii="Arial" w:hAnsi="Arial" w:cs="Arial"/>
          <w:lang w:val="sr-Latn-CS"/>
        </w:rPr>
      </w:pPr>
    </w:p>
    <w:p w14:paraId="1BD89D3F" w14:textId="77777777" w:rsidR="00D8386F" w:rsidRPr="002A6F4E" w:rsidRDefault="00D8386F" w:rsidP="00D8386F">
      <w:pPr>
        <w:pStyle w:val="NoSpacing"/>
        <w:numPr>
          <w:ilvl w:val="0"/>
          <w:numId w:val="116"/>
        </w:numPr>
        <w:jc w:val="left"/>
        <w:rPr>
          <w:rFonts w:ascii="Arial" w:hAnsi="Arial" w:cs="Arial"/>
          <w:lang w:val="sr-Latn-CS"/>
        </w:rPr>
      </w:pPr>
      <w:r w:rsidRPr="002A6F4E">
        <w:rPr>
          <w:rFonts w:ascii="Arial" w:hAnsi="Arial" w:cs="Arial"/>
          <w:b/>
          <w:bCs/>
          <w:lang w:val="sr-Latn-CS"/>
        </w:rPr>
        <w:t>Vage za mjerenje:</w:t>
      </w:r>
      <w:r w:rsidRPr="002A6F4E">
        <w:rPr>
          <w:rFonts w:ascii="Arial" w:hAnsi="Arial" w:cs="Arial"/>
          <w:lang w:val="sr-Latn-CS"/>
        </w:rPr>
        <w:t xml:space="preserve"> Svaki teret se mjeri radi praćenja količina otpada.</w:t>
      </w:r>
    </w:p>
    <w:p w14:paraId="601537DA" w14:textId="77777777" w:rsidR="00D8386F" w:rsidRPr="002A6F4E" w:rsidRDefault="00D8386F" w:rsidP="00D8386F">
      <w:pPr>
        <w:pStyle w:val="NoSpacing"/>
        <w:rPr>
          <w:rFonts w:ascii="Arial" w:hAnsi="Arial" w:cs="Arial"/>
          <w:lang w:val="sr-Latn-CS"/>
        </w:rPr>
      </w:pPr>
    </w:p>
    <w:p w14:paraId="290C93DB" w14:textId="77777777" w:rsidR="00D8386F" w:rsidRPr="002A6F4E" w:rsidRDefault="00D8386F" w:rsidP="00D8386F">
      <w:pPr>
        <w:pStyle w:val="NoSpacing"/>
        <w:numPr>
          <w:ilvl w:val="0"/>
          <w:numId w:val="116"/>
        </w:numPr>
        <w:jc w:val="left"/>
        <w:rPr>
          <w:rFonts w:ascii="Arial" w:hAnsi="Arial" w:cs="Arial"/>
          <w:lang w:val="sr-Latn-CS"/>
        </w:rPr>
      </w:pPr>
      <w:r w:rsidRPr="002A6F4E">
        <w:rPr>
          <w:rFonts w:ascii="Arial" w:hAnsi="Arial" w:cs="Arial"/>
          <w:b/>
          <w:bCs/>
          <w:lang w:val="sr-Latn-CS"/>
        </w:rPr>
        <w:t>Inspekcija otpada:</w:t>
      </w:r>
      <w:r w:rsidRPr="002A6F4E">
        <w:rPr>
          <w:rFonts w:ascii="Arial" w:hAnsi="Arial" w:cs="Arial"/>
          <w:lang w:val="sr-Latn-CS"/>
        </w:rPr>
        <w:t xml:space="preserve"> Provjera sadržaja i kategorizacija otpada prema tipu (komunalni, opasni, biološki, itd).</w:t>
      </w:r>
    </w:p>
    <w:p w14:paraId="6290F8B2" w14:textId="77777777" w:rsidR="00D8386F" w:rsidRDefault="00D8386F" w:rsidP="00D8386F">
      <w:pPr>
        <w:pStyle w:val="NoSpacing"/>
        <w:rPr>
          <w:rFonts w:ascii="Arial" w:eastAsia="Times New Roman" w:hAnsi="Arial" w:cs="Arial"/>
          <w:b/>
          <w:bCs/>
          <w:lang w:val="sr-Latn-CS"/>
        </w:rPr>
      </w:pPr>
    </w:p>
    <w:p w14:paraId="33DBE446" w14:textId="77777777" w:rsidR="00F70BEF" w:rsidRPr="002A6F4E" w:rsidRDefault="00F70BEF" w:rsidP="00D8386F">
      <w:pPr>
        <w:pStyle w:val="NoSpacing"/>
        <w:rPr>
          <w:rFonts w:ascii="Arial" w:eastAsia="Times New Roman" w:hAnsi="Arial" w:cs="Arial"/>
          <w:b/>
          <w:bCs/>
          <w:lang w:val="sr-Latn-CS"/>
        </w:rPr>
      </w:pPr>
    </w:p>
    <w:p w14:paraId="6EA1B115" w14:textId="77777777" w:rsidR="00D8386F" w:rsidRPr="002A6F4E" w:rsidRDefault="00D8386F" w:rsidP="00D8386F">
      <w:pPr>
        <w:pStyle w:val="NoSpacing"/>
        <w:rPr>
          <w:rFonts w:ascii="Arial" w:hAnsi="Arial" w:cs="Arial"/>
          <w:b/>
          <w:lang w:val="sr-Latn-CS"/>
        </w:rPr>
      </w:pPr>
      <w:r w:rsidRPr="002A6F4E">
        <w:rPr>
          <w:rFonts w:ascii="Arial" w:eastAsia="Times New Roman" w:hAnsi="Arial" w:cs="Arial"/>
          <w:b/>
          <w:bCs/>
          <w:lang w:val="sr-Latn-CS"/>
        </w:rPr>
        <w:lastRenderedPageBreak/>
        <w:t>Postrojenje za mehaničko razvrstavanje otpada</w:t>
      </w:r>
    </w:p>
    <w:p w14:paraId="4C136C76" w14:textId="77777777" w:rsidR="00D8386F" w:rsidRPr="002A6F4E" w:rsidRDefault="00D8386F" w:rsidP="00D8386F">
      <w:pPr>
        <w:numPr>
          <w:ilvl w:val="0"/>
          <w:numId w:val="117"/>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lang w:val="sr-Latn-CS"/>
        </w:rPr>
        <w:t>Glavna linija za mehaničku obradu otpada omogućava:</w:t>
      </w:r>
    </w:p>
    <w:p w14:paraId="2034D232" w14:textId="77777777" w:rsidR="00D8386F" w:rsidRPr="002A6F4E" w:rsidRDefault="00D8386F" w:rsidP="00D8386F">
      <w:pPr>
        <w:numPr>
          <w:ilvl w:val="1"/>
          <w:numId w:val="117"/>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Razvrstavanje otpada:</w:t>
      </w:r>
      <w:r w:rsidRPr="002A6F4E">
        <w:rPr>
          <w:rFonts w:ascii="Arial" w:eastAsia="Times New Roman" w:hAnsi="Arial" w:cs="Arial"/>
          <w:lang w:val="sr-Latn-CS"/>
        </w:rPr>
        <w:t xml:space="preserve"> Automatski i ručno, uz pomoć traka, vibracionih sita i magneta.</w:t>
      </w:r>
    </w:p>
    <w:p w14:paraId="25708E26" w14:textId="77777777" w:rsidR="00D8386F" w:rsidRPr="002A6F4E" w:rsidRDefault="00D8386F" w:rsidP="00D8386F">
      <w:pPr>
        <w:numPr>
          <w:ilvl w:val="1"/>
          <w:numId w:val="117"/>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Optički separatori:</w:t>
      </w:r>
      <w:r w:rsidRPr="002A6F4E">
        <w:rPr>
          <w:rFonts w:ascii="Arial" w:eastAsia="Times New Roman" w:hAnsi="Arial" w:cs="Arial"/>
          <w:lang w:val="sr-Latn-CS"/>
        </w:rPr>
        <w:t xml:space="preserve"> Za precizno odvajanje plastike po vrsti i boji.</w:t>
      </w:r>
    </w:p>
    <w:p w14:paraId="6A0A144E" w14:textId="77777777" w:rsidR="00D8386F" w:rsidRPr="002A6F4E" w:rsidRDefault="00D8386F" w:rsidP="00D8386F">
      <w:pPr>
        <w:numPr>
          <w:ilvl w:val="1"/>
          <w:numId w:val="117"/>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Magnetni separatori:</w:t>
      </w:r>
      <w:r w:rsidRPr="002A6F4E">
        <w:rPr>
          <w:rFonts w:ascii="Arial" w:eastAsia="Times New Roman" w:hAnsi="Arial" w:cs="Arial"/>
          <w:lang w:val="sr-Latn-CS"/>
        </w:rPr>
        <w:t xml:space="preserve"> Za izdvajanje feromagnetnih metala.</w:t>
      </w:r>
    </w:p>
    <w:p w14:paraId="1FB9DFA3" w14:textId="77777777" w:rsidR="00D8386F" w:rsidRPr="002A6F4E" w:rsidRDefault="00D8386F" w:rsidP="00D8386F">
      <w:pPr>
        <w:pStyle w:val="NoSpacing"/>
        <w:jc w:val="left"/>
        <w:rPr>
          <w:rFonts w:ascii="Arial" w:hAnsi="Arial" w:cs="Arial"/>
          <w:b/>
          <w:lang w:val="sr-Latn-CS"/>
        </w:rPr>
      </w:pPr>
      <w:r w:rsidRPr="002A6F4E">
        <w:rPr>
          <w:rFonts w:ascii="Arial" w:hAnsi="Arial" w:cs="Arial"/>
          <w:b/>
          <w:lang w:val="sr-Latn-CS"/>
        </w:rPr>
        <w:t>Optički separator</w:t>
      </w:r>
    </w:p>
    <w:p w14:paraId="38C527E3" w14:textId="77777777" w:rsidR="00D8386F" w:rsidRPr="002A6F4E" w:rsidRDefault="00D8386F" w:rsidP="00D8386F">
      <w:pPr>
        <w:numPr>
          <w:ilvl w:val="0"/>
          <w:numId w:val="118"/>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Funkcija:</w:t>
      </w:r>
    </w:p>
    <w:p w14:paraId="7E9807BA" w14:textId="77777777" w:rsidR="00D8386F" w:rsidRPr="002A6F4E" w:rsidRDefault="00D8386F" w:rsidP="00D8386F">
      <w:pPr>
        <w:numPr>
          <w:ilvl w:val="1"/>
          <w:numId w:val="118"/>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lang w:val="sr-Latn-CS"/>
        </w:rPr>
        <w:t>Razvrstava materijale na osnovu boje, oblika, veličine ili hemijskog sastava.</w:t>
      </w:r>
    </w:p>
    <w:p w14:paraId="296D69BA" w14:textId="77777777" w:rsidR="00D8386F" w:rsidRPr="002A6F4E" w:rsidRDefault="00D8386F" w:rsidP="00D8386F">
      <w:pPr>
        <w:numPr>
          <w:ilvl w:val="1"/>
          <w:numId w:val="118"/>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lang w:val="sr-Latn-CS"/>
        </w:rPr>
        <w:t>Idealno za sortiranje plastike, papira, stakla i m</w:t>
      </w:r>
      <w:r>
        <w:rPr>
          <w:rFonts w:ascii="Arial" w:eastAsia="Times New Roman" w:hAnsi="Arial" w:cs="Arial"/>
          <w:lang w:val="sr-Latn-CS"/>
        </w:rPr>
        <w:t>ješovito</w:t>
      </w:r>
      <w:r w:rsidRPr="002A6F4E">
        <w:rPr>
          <w:rFonts w:ascii="Arial" w:eastAsia="Times New Roman" w:hAnsi="Arial" w:cs="Arial"/>
          <w:lang w:val="sr-Latn-CS"/>
        </w:rPr>
        <w:t>g otpada.</w:t>
      </w:r>
    </w:p>
    <w:p w14:paraId="12A41A77" w14:textId="59ABEE25" w:rsidR="00F70BEF" w:rsidRPr="00F70BEF" w:rsidRDefault="00D8386F" w:rsidP="00F70BEF">
      <w:pPr>
        <w:numPr>
          <w:ilvl w:val="0"/>
          <w:numId w:val="118"/>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Tehnologija:</w:t>
      </w:r>
    </w:p>
    <w:p w14:paraId="2474A5BD" w14:textId="77777777" w:rsidR="00D8386F" w:rsidRPr="002A6F4E" w:rsidRDefault="00D8386F" w:rsidP="00D8386F">
      <w:pPr>
        <w:numPr>
          <w:ilvl w:val="1"/>
          <w:numId w:val="118"/>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Senzori:</w:t>
      </w:r>
      <w:r w:rsidRPr="002A6F4E">
        <w:rPr>
          <w:rFonts w:ascii="Arial" w:eastAsia="Times New Roman" w:hAnsi="Arial" w:cs="Arial"/>
          <w:lang w:val="sr-Latn-CS"/>
        </w:rPr>
        <w:t xml:space="preserve"> Koristi infracrvene  senzore, kamere visokog kapaciteta i laserske sisteme za identifikaciju materijala.</w:t>
      </w:r>
    </w:p>
    <w:p w14:paraId="2A070885" w14:textId="77777777" w:rsidR="00D8386F" w:rsidRPr="002A6F4E" w:rsidRDefault="00D8386F" w:rsidP="00D8386F">
      <w:pPr>
        <w:numPr>
          <w:ilvl w:val="1"/>
          <w:numId w:val="118"/>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Rad:</w:t>
      </w:r>
      <w:r w:rsidRPr="002A6F4E">
        <w:rPr>
          <w:rFonts w:ascii="Arial" w:eastAsia="Times New Roman" w:hAnsi="Arial" w:cs="Arial"/>
          <w:lang w:val="sr-Latn-CS"/>
        </w:rPr>
        <w:t xml:space="preserve"> Kada senzor detektuje</w:t>
      </w:r>
      <w:r>
        <w:rPr>
          <w:rFonts w:ascii="Arial" w:eastAsia="Times New Roman" w:hAnsi="Arial" w:cs="Arial"/>
          <w:lang w:val="sr-Latn-CS"/>
        </w:rPr>
        <w:t>,</w:t>
      </w:r>
      <w:r w:rsidRPr="002A6F4E">
        <w:rPr>
          <w:rFonts w:ascii="Arial" w:eastAsia="Times New Roman" w:hAnsi="Arial" w:cs="Arial"/>
          <w:lang w:val="sr-Latn-CS"/>
        </w:rPr>
        <w:t xml:space="preserve"> određeni materijal</w:t>
      </w:r>
      <w:r>
        <w:rPr>
          <w:rFonts w:ascii="Arial" w:eastAsia="Times New Roman" w:hAnsi="Arial" w:cs="Arial"/>
          <w:lang w:val="sr-Latn-CS"/>
        </w:rPr>
        <w:t xml:space="preserve"> se</w:t>
      </w:r>
      <w:r w:rsidRPr="002A6F4E">
        <w:rPr>
          <w:rFonts w:ascii="Arial" w:eastAsia="Times New Roman" w:hAnsi="Arial" w:cs="Arial"/>
          <w:lang w:val="sr-Latn-CS"/>
        </w:rPr>
        <w:t xml:space="preserve"> izdvaja sa pokretne trake.</w:t>
      </w:r>
    </w:p>
    <w:p w14:paraId="6ADEAD61" w14:textId="77777777" w:rsidR="00D8386F" w:rsidRPr="002A6F4E" w:rsidRDefault="00D8386F" w:rsidP="00D8386F">
      <w:pPr>
        <w:numPr>
          <w:ilvl w:val="0"/>
          <w:numId w:val="118"/>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Prednosti:</w:t>
      </w:r>
    </w:p>
    <w:p w14:paraId="7BAE64FC" w14:textId="77777777" w:rsidR="00D8386F" w:rsidRPr="00DF0B9D" w:rsidRDefault="00D8386F" w:rsidP="009C3860">
      <w:pPr>
        <w:numPr>
          <w:ilvl w:val="1"/>
          <w:numId w:val="118"/>
        </w:numPr>
        <w:spacing w:before="100" w:beforeAutospacing="1" w:after="100" w:afterAutospacing="1"/>
        <w:jc w:val="left"/>
        <w:rPr>
          <w:rFonts w:ascii="Arial" w:eastAsia="Times New Roman" w:hAnsi="Arial" w:cs="Arial"/>
          <w:lang w:val="sr-Latn-CS"/>
        </w:rPr>
      </w:pPr>
      <w:r w:rsidRPr="00DF0B9D">
        <w:rPr>
          <w:rFonts w:ascii="Arial" w:eastAsia="Times New Roman" w:hAnsi="Arial" w:cs="Arial"/>
          <w:lang w:val="sr-Latn-CS"/>
        </w:rPr>
        <w:t>Brza i precizna obrada velikih količina otpada</w:t>
      </w:r>
      <w:r>
        <w:rPr>
          <w:rFonts w:ascii="Arial" w:eastAsia="Times New Roman" w:hAnsi="Arial" w:cs="Arial"/>
          <w:lang w:val="sr-Latn-CS"/>
        </w:rPr>
        <w:t>,</w:t>
      </w:r>
    </w:p>
    <w:p w14:paraId="7D1934D2" w14:textId="5D4CA281" w:rsidR="00D8386F" w:rsidRPr="009C3860" w:rsidRDefault="00D8386F" w:rsidP="00D8386F">
      <w:pPr>
        <w:numPr>
          <w:ilvl w:val="1"/>
          <w:numId w:val="118"/>
        </w:numPr>
        <w:spacing w:before="100" w:beforeAutospacing="1" w:after="100" w:afterAutospacing="1"/>
        <w:jc w:val="left"/>
        <w:rPr>
          <w:rFonts w:ascii="Arial" w:eastAsia="Times New Roman" w:hAnsi="Arial" w:cs="Arial"/>
          <w:lang w:val="sr-Latn-CS"/>
        </w:rPr>
      </w:pPr>
      <w:r w:rsidRPr="00DF0B9D">
        <w:rPr>
          <w:rFonts w:ascii="Arial" w:eastAsia="Times New Roman" w:hAnsi="Arial" w:cs="Arial"/>
          <w:lang w:val="sr-Latn-CS"/>
        </w:rPr>
        <w:t>Može razlikovati slične materijale, poput različitih vrsta plastike (PET, HDPE)</w:t>
      </w:r>
      <w:r>
        <w:rPr>
          <w:rFonts w:ascii="Arial" w:eastAsia="Times New Roman" w:hAnsi="Arial" w:cs="Arial"/>
          <w:lang w:val="sr-Latn-CS"/>
        </w:rPr>
        <w:t>.</w:t>
      </w:r>
    </w:p>
    <w:p w14:paraId="4B0C608A" w14:textId="77777777" w:rsidR="00D8386F" w:rsidRPr="002A6F4E" w:rsidRDefault="00D8386F" w:rsidP="00D8386F">
      <w:pPr>
        <w:pStyle w:val="NoSpacing"/>
        <w:jc w:val="left"/>
        <w:rPr>
          <w:rFonts w:ascii="Arial" w:hAnsi="Arial" w:cs="Arial"/>
          <w:b/>
          <w:lang w:val="sr-Latn-CS"/>
        </w:rPr>
      </w:pPr>
      <w:r w:rsidRPr="002A6F4E">
        <w:rPr>
          <w:rFonts w:ascii="Arial" w:hAnsi="Arial" w:cs="Arial"/>
          <w:b/>
          <w:lang w:val="sr-Latn-CS"/>
        </w:rPr>
        <w:t>Magnetni separator</w:t>
      </w:r>
    </w:p>
    <w:p w14:paraId="34E0588A" w14:textId="77777777" w:rsidR="00D8386F" w:rsidRPr="002A6F4E" w:rsidRDefault="00D8386F" w:rsidP="00D8386F">
      <w:pPr>
        <w:numPr>
          <w:ilvl w:val="0"/>
          <w:numId w:val="119"/>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Funkcija:</w:t>
      </w:r>
    </w:p>
    <w:p w14:paraId="1DB167C6" w14:textId="77777777" w:rsidR="00D8386F" w:rsidRPr="002A6F4E" w:rsidRDefault="00D8386F" w:rsidP="00D8386F">
      <w:pPr>
        <w:numPr>
          <w:ilvl w:val="1"/>
          <w:numId w:val="119"/>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lang w:val="sr-Latn-CS"/>
        </w:rPr>
        <w:t>Odvaja metalne materijale (feromagnetične metale poput gvožđa i čelika) iz miješanog otpada.</w:t>
      </w:r>
    </w:p>
    <w:p w14:paraId="39E6CEE7" w14:textId="77777777" w:rsidR="00D8386F" w:rsidRPr="00222391" w:rsidRDefault="00D8386F" w:rsidP="00D8386F">
      <w:pPr>
        <w:numPr>
          <w:ilvl w:val="1"/>
          <w:numId w:val="119"/>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lang w:val="sr-Latn-CS"/>
        </w:rPr>
        <w:t>Koristi se za razvrstavanje otpada kao što su limenke, čelični delovi i metalne strugotine.</w:t>
      </w:r>
    </w:p>
    <w:p w14:paraId="669C41B1" w14:textId="77777777" w:rsidR="00D8386F" w:rsidRPr="002A6F4E" w:rsidRDefault="00D8386F" w:rsidP="00D8386F">
      <w:pPr>
        <w:numPr>
          <w:ilvl w:val="0"/>
          <w:numId w:val="119"/>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Tehnologija:</w:t>
      </w:r>
    </w:p>
    <w:p w14:paraId="139111F9" w14:textId="77777777" w:rsidR="00D8386F" w:rsidRPr="002A6F4E" w:rsidRDefault="00D8386F" w:rsidP="00D8386F">
      <w:pPr>
        <w:numPr>
          <w:ilvl w:val="1"/>
          <w:numId w:val="119"/>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Magnetni valjci:</w:t>
      </w:r>
      <w:r w:rsidRPr="002A6F4E">
        <w:rPr>
          <w:rFonts w:ascii="Arial" w:eastAsia="Times New Roman" w:hAnsi="Arial" w:cs="Arial"/>
          <w:lang w:val="sr-Latn-CS"/>
        </w:rPr>
        <w:t xml:space="preserve"> Postavljeni iznad pokretne trake za hvatanje metalnih predmeta.</w:t>
      </w:r>
    </w:p>
    <w:p w14:paraId="3F6B3BCC" w14:textId="77777777" w:rsidR="00D8386F" w:rsidRPr="002A6F4E" w:rsidRDefault="00D8386F" w:rsidP="00D8386F">
      <w:pPr>
        <w:numPr>
          <w:ilvl w:val="1"/>
          <w:numId w:val="119"/>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Elektromagneti:</w:t>
      </w:r>
      <w:r w:rsidRPr="002A6F4E">
        <w:rPr>
          <w:rFonts w:ascii="Arial" w:eastAsia="Times New Roman" w:hAnsi="Arial" w:cs="Arial"/>
          <w:lang w:val="sr-Latn-CS"/>
        </w:rPr>
        <w:t xml:space="preserve"> Mogu se uključiti i isključiti, omogućavajući precizniju separaciju.</w:t>
      </w:r>
    </w:p>
    <w:p w14:paraId="0FE1DFBF" w14:textId="77777777" w:rsidR="00D8386F" w:rsidRPr="00222391" w:rsidRDefault="00D8386F" w:rsidP="00D8386F">
      <w:pPr>
        <w:numPr>
          <w:ilvl w:val="1"/>
          <w:numId w:val="119"/>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Eddy current separatori:</w:t>
      </w:r>
      <w:r w:rsidRPr="002A6F4E">
        <w:rPr>
          <w:rFonts w:ascii="Arial" w:eastAsia="Times New Roman" w:hAnsi="Arial" w:cs="Arial"/>
          <w:lang w:val="sr-Latn-CS"/>
        </w:rPr>
        <w:t xml:space="preserve"> Za odvajanje obojenih metala (aluminijum, bakar</w:t>
      </w:r>
      <w:r>
        <w:rPr>
          <w:rFonts w:ascii="Arial" w:eastAsia="Times New Roman" w:hAnsi="Arial" w:cs="Arial"/>
          <w:lang w:val="sr-Latn-CS"/>
        </w:rPr>
        <w:t xml:space="preserve"> i dr.</w:t>
      </w:r>
      <w:r w:rsidRPr="002A6F4E">
        <w:rPr>
          <w:rFonts w:ascii="Arial" w:eastAsia="Times New Roman" w:hAnsi="Arial" w:cs="Arial"/>
          <w:lang w:val="sr-Latn-CS"/>
        </w:rPr>
        <w:t>) pomoću indukovanih električnih struja.</w:t>
      </w:r>
    </w:p>
    <w:p w14:paraId="675165AC" w14:textId="77777777" w:rsidR="00D8386F" w:rsidRPr="002A6F4E" w:rsidRDefault="00D8386F" w:rsidP="00D8386F">
      <w:pPr>
        <w:numPr>
          <w:ilvl w:val="0"/>
          <w:numId w:val="119"/>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b/>
          <w:bCs/>
          <w:lang w:val="sr-Latn-CS"/>
        </w:rPr>
        <w:t>Prednosti:</w:t>
      </w:r>
    </w:p>
    <w:p w14:paraId="38B655AC" w14:textId="77777777" w:rsidR="00D8386F" w:rsidRPr="002A6F4E" w:rsidRDefault="00D8386F" w:rsidP="00D8386F">
      <w:pPr>
        <w:numPr>
          <w:ilvl w:val="1"/>
          <w:numId w:val="119"/>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lang w:val="sr-Latn-CS"/>
        </w:rPr>
        <w:t>Jednostavna konstrukcija i niski troškovi održavanja.</w:t>
      </w:r>
    </w:p>
    <w:p w14:paraId="46016753" w14:textId="77777777" w:rsidR="00D8386F" w:rsidRPr="002A6F4E" w:rsidRDefault="00D8386F" w:rsidP="00D8386F">
      <w:pPr>
        <w:numPr>
          <w:ilvl w:val="1"/>
          <w:numId w:val="119"/>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lang w:val="sr-Latn-CS"/>
        </w:rPr>
        <w:t>Efikasan u odvajanju feromagnetnih i obojenih metala.</w:t>
      </w:r>
    </w:p>
    <w:p w14:paraId="3EE5ABB3" w14:textId="77777777" w:rsidR="00D8386F" w:rsidRPr="002A6F4E" w:rsidRDefault="00D8386F" w:rsidP="00D8386F">
      <w:pPr>
        <w:pStyle w:val="NoSpacing"/>
        <w:jc w:val="left"/>
        <w:rPr>
          <w:rFonts w:ascii="Arial" w:hAnsi="Arial" w:cs="Arial"/>
          <w:b/>
          <w:lang w:val="sr-Latn-CS"/>
        </w:rPr>
      </w:pPr>
      <w:r w:rsidRPr="002A6F4E">
        <w:rPr>
          <w:rFonts w:ascii="Arial" w:hAnsi="Arial" w:cs="Arial"/>
          <w:b/>
          <w:lang w:val="sr-Latn-CS"/>
        </w:rPr>
        <w:t>Kombinovana primjena</w:t>
      </w:r>
    </w:p>
    <w:p w14:paraId="0BF8D5FC" w14:textId="77777777" w:rsidR="00D8386F" w:rsidRPr="002A6F4E" w:rsidRDefault="00D8386F" w:rsidP="00D8386F">
      <w:pPr>
        <w:spacing w:before="100" w:beforeAutospacing="1" w:after="100" w:afterAutospacing="1"/>
        <w:rPr>
          <w:rFonts w:ascii="Arial" w:eastAsia="Times New Roman" w:hAnsi="Arial" w:cs="Arial"/>
          <w:lang w:val="sr-Latn-CS"/>
        </w:rPr>
      </w:pPr>
      <w:r w:rsidRPr="002A6F4E">
        <w:rPr>
          <w:rFonts w:ascii="Arial" w:eastAsia="Times New Roman" w:hAnsi="Arial" w:cs="Arial"/>
          <w:lang w:val="sr-Latn-CS"/>
        </w:rPr>
        <w:t>U modernim reciklažnim centrima, optički i magnetni separatori često se koriste zajedno:</w:t>
      </w:r>
    </w:p>
    <w:p w14:paraId="6435E3DC" w14:textId="77777777" w:rsidR="00D8386F" w:rsidRPr="002A6F4E" w:rsidRDefault="00D8386F" w:rsidP="00D8386F">
      <w:pPr>
        <w:numPr>
          <w:ilvl w:val="0"/>
          <w:numId w:val="120"/>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lang w:val="sr-Latn-CS"/>
        </w:rPr>
        <w:t>Prvo se magnetni separator koristi za izdvajanje metala.</w:t>
      </w:r>
    </w:p>
    <w:p w14:paraId="02735B6C" w14:textId="77777777" w:rsidR="00D8386F" w:rsidRPr="002A6F4E" w:rsidRDefault="00D8386F" w:rsidP="00D8386F">
      <w:pPr>
        <w:numPr>
          <w:ilvl w:val="0"/>
          <w:numId w:val="120"/>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lang w:val="sr-Latn-CS"/>
        </w:rPr>
        <w:t>Optički separator zatim razvrstava preostali materijal na osnovu vrste.</w:t>
      </w:r>
    </w:p>
    <w:p w14:paraId="1E86F250" w14:textId="77777777" w:rsidR="00D8386F" w:rsidRPr="002A6F4E" w:rsidRDefault="00D8386F" w:rsidP="00D8386F">
      <w:pPr>
        <w:spacing w:before="100" w:beforeAutospacing="1" w:after="100" w:afterAutospacing="1"/>
        <w:rPr>
          <w:rFonts w:ascii="Arial" w:eastAsia="Times New Roman" w:hAnsi="Arial" w:cs="Arial"/>
          <w:lang w:val="sr-Latn-CS"/>
        </w:rPr>
      </w:pPr>
      <w:r w:rsidRPr="002A6F4E">
        <w:rPr>
          <w:rFonts w:ascii="Arial" w:eastAsia="Times New Roman" w:hAnsi="Arial" w:cs="Arial"/>
          <w:lang w:val="sr-Latn-CS"/>
        </w:rPr>
        <w:t>Ova kombinacija osigurava maksimalnu iskorišćenost otpada i povećava kvalitet recikliranih materijala.</w:t>
      </w:r>
    </w:p>
    <w:p w14:paraId="3A0AA3C2" w14:textId="77777777" w:rsidR="00D8386F" w:rsidRPr="002A6F4E" w:rsidRDefault="00D8386F" w:rsidP="00D8386F">
      <w:pPr>
        <w:pStyle w:val="NoSpacing"/>
        <w:rPr>
          <w:rFonts w:ascii="Arial" w:hAnsi="Arial" w:cs="Arial"/>
          <w:b/>
          <w:lang w:val="sr-Latn-CS"/>
        </w:rPr>
      </w:pPr>
      <w:r w:rsidRPr="002A6F4E">
        <w:rPr>
          <w:rFonts w:ascii="Arial" w:hAnsi="Arial" w:cs="Arial"/>
          <w:b/>
          <w:lang w:val="sr-Latn-CS"/>
        </w:rPr>
        <w:t>Baliranje materijala</w:t>
      </w:r>
    </w:p>
    <w:p w14:paraId="453918E7" w14:textId="77777777" w:rsidR="00D8386F" w:rsidRDefault="00D8386F" w:rsidP="00D8386F">
      <w:pPr>
        <w:pStyle w:val="NoSpacing"/>
        <w:ind w:firstLine="720"/>
        <w:rPr>
          <w:rFonts w:ascii="Arial" w:hAnsi="Arial" w:cs="Arial"/>
          <w:lang w:val="sr-Latn-CS"/>
        </w:rPr>
      </w:pPr>
    </w:p>
    <w:p w14:paraId="3A7D1E13" w14:textId="77777777" w:rsidR="00D8386F" w:rsidRPr="002A6F4E" w:rsidRDefault="00D8386F" w:rsidP="00D8386F">
      <w:pPr>
        <w:pStyle w:val="NoSpacing"/>
        <w:ind w:firstLine="720"/>
        <w:rPr>
          <w:rFonts w:ascii="Arial" w:hAnsi="Arial" w:cs="Arial"/>
          <w:lang w:val="sr-Latn-CS"/>
        </w:rPr>
      </w:pPr>
      <w:r w:rsidRPr="002A6F4E">
        <w:rPr>
          <w:rFonts w:ascii="Arial" w:hAnsi="Arial" w:cs="Arial"/>
          <w:lang w:val="sr-Latn-CS"/>
        </w:rPr>
        <w:t>Baling (presovanje):</w:t>
      </w:r>
    </w:p>
    <w:p w14:paraId="6CF795AB" w14:textId="77777777" w:rsidR="00D8386F" w:rsidRPr="002A6F4E" w:rsidRDefault="00D8386F" w:rsidP="00D8386F">
      <w:pPr>
        <w:pStyle w:val="NoSpacing"/>
        <w:numPr>
          <w:ilvl w:val="0"/>
          <w:numId w:val="124"/>
        </w:numPr>
        <w:rPr>
          <w:rFonts w:ascii="Arial" w:hAnsi="Arial" w:cs="Arial"/>
          <w:lang w:val="sr-Latn-CS"/>
        </w:rPr>
      </w:pPr>
      <w:r w:rsidRPr="002A6F4E">
        <w:rPr>
          <w:rFonts w:ascii="Arial" w:hAnsi="Arial" w:cs="Arial"/>
          <w:lang w:val="sr-Latn-CS"/>
        </w:rPr>
        <w:t>Materijali se presuju u kompaktne bale kako bi se smanjila zapremina za transport.</w:t>
      </w:r>
    </w:p>
    <w:p w14:paraId="7135A7FF" w14:textId="77777777" w:rsidR="00D8386F" w:rsidRPr="002A6F4E" w:rsidRDefault="00D8386F" w:rsidP="00D8386F">
      <w:pPr>
        <w:pStyle w:val="NoSpacing"/>
        <w:ind w:left="1440"/>
        <w:rPr>
          <w:rFonts w:ascii="Arial" w:hAnsi="Arial" w:cs="Arial"/>
          <w:lang w:val="sr-Latn-CS"/>
        </w:rPr>
      </w:pPr>
    </w:p>
    <w:p w14:paraId="327ACA9D" w14:textId="77777777" w:rsidR="00D8386F" w:rsidRPr="002A6F4E" w:rsidRDefault="00D8386F" w:rsidP="00D8386F">
      <w:pPr>
        <w:pStyle w:val="NoSpacing"/>
        <w:rPr>
          <w:rFonts w:ascii="Arial" w:hAnsi="Arial" w:cs="Arial"/>
          <w:b/>
          <w:lang w:val="sr-Latn-CS"/>
        </w:rPr>
      </w:pPr>
      <w:r w:rsidRPr="002A6F4E">
        <w:rPr>
          <w:rFonts w:ascii="Arial" w:hAnsi="Arial" w:cs="Arial"/>
          <w:b/>
          <w:lang w:val="sr-Latn-CS"/>
        </w:rPr>
        <w:t>Proizvodnja sekundarnih sirovina</w:t>
      </w:r>
    </w:p>
    <w:p w14:paraId="2BBBAEF2" w14:textId="77777777" w:rsidR="00D8386F" w:rsidRPr="002A6F4E" w:rsidRDefault="00D8386F" w:rsidP="00D8386F">
      <w:pPr>
        <w:numPr>
          <w:ilvl w:val="0"/>
          <w:numId w:val="122"/>
        </w:numPr>
        <w:spacing w:before="100" w:beforeAutospacing="1" w:after="100" w:afterAutospacing="1"/>
        <w:jc w:val="left"/>
        <w:rPr>
          <w:rFonts w:ascii="Arial" w:eastAsia="Times New Roman" w:hAnsi="Arial" w:cs="Arial"/>
          <w:lang w:val="sr-Latn-CS"/>
        </w:rPr>
      </w:pPr>
      <w:r w:rsidRPr="002A6F4E">
        <w:rPr>
          <w:rFonts w:ascii="Arial" w:eastAsia="Times New Roman" w:hAnsi="Arial" w:cs="Arial"/>
          <w:lang w:val="sr-Latn-CS"/>
        </w:rPr>
        <w:t>Nakon obrade, izdvojeni materijali postaju sekundarne sirovine, uključujući:</w:t>
      </w:r>
    </w:p>
    <w:p w14:paraId="5A333F72" w14:textId="77777777" w:rsidR="00D8386F" w:rsidRPr="002A6F4E" w:rsidRDefault="00D8386F" w:rsidP="00D8386F">
      <w:pPr>
        <w:numPr>
          <w:ilvl w:val="1"/>
          <w:numId w:val="123"/>
        </w:numPr>
        <w:spacing w:before="100" w:beforeAutospacing="1" w:after="100" w:afterAutospacing="1"/>
        <w:rPr>
          <w:rFonts w:ascii="Arial" w:eastAsia="Times New Roman" w:hAnsi="Arial" w:cs="Arial"/>
          <w:lang w:val="sr-Latn-CS"/>
        </w:rPr>
      </w:pPr>
      <w:r w:rsidRPr="002A6F4E">
        <w:rPr>
          <w:rFonts w:ascii="Arial" w:eastAsia="Times New Roman" w:hAnsi="Arial" w:cs="Arial"/>
          <w:b/>
          <w:bCs/>
          <w:lang w:val="sr-Latn-CS"/>
        </w:rPr>
        <w:t>Reciklirani papir,</w:t>
      </w:r>
      <w:r w:rsidRPr="002A6F4E">
        <w:rPr>
          <w:rFonts w:ascii="Arial" w:eastAsia="Times New Roman" w:hAnsi="Arial" w:cs="Arial"/>
          <w:lang w:val="sr-Latn-CS"/>
        </w:rPr>
        <w:t xml:space="preserve"> koji se vraća u proizvodnju kartona, novinskog papira i sličnih proizvoda.</w:t>
      </w:r>
    </w:p>
    <w:p w14:paraId="7B15E7D4" w14:textId="77777777" w:rsidR="00D8386F" w:rsidRPr="002A6F4E" w:rsidRDefault="00D8386F" w:rsidP="00D8386F">
      <w:pPr>
        <w:numPr>
          <w:ilvl w:val="1"/>
          <w:numId w:val="123"/>
        </w:numPr>
        <w:spacing w:before="100" w:beforeAutospacing="1" w:after="100" w:afterAutospacing="1"/>
        <w:rPr>
          <w:rFonts w:ascii="Arial" w:eastAsia="Times New Roman" w:hAnsi="Arial" w:cs="Arial"/>
          <w:lang w:val="sr-Latn-CS"/>
        </w:rPr>
      </w:pPr>
      <w:r w:rsidRPr="002A6F4E">
        <w:rPr>
          <w:rFonts w:ascii="Arial" w:eastAsia="Times New Roman" w:hAnsi="Arial" w:cs="Arial"/>
          <w:b/>
          <w:bCs/>
          <w:lang w:val="sr-Latn-CS"/>
        </w:rPr>
        <w:t>Recikliranu plastiku,</w:t>
      </w:r>
      <w:r w:rsidRPr="002A6F4E">
        <w:rPr>
          <w:rFonts w:ascii="Arial" w:eastAsia="Times New Roman" w:hAnsi="Arial" w:cs="Arial"/>
          <w:lang w:val="sr-Latn-CS"/>
        </w:rPr>
        <w:t xml:space="preserve"> koja se koristi za proizvodnju novih plastičnih proizvoda, ambalaže ili tekstila.</w:t>
      </w:r>
    </w:p>
    <w:p w14:paraId="126BB40B" w14:textId="77777777" w:rsidR="00D8386F" w:rsidRPr="002A6F4E" w:rsidRDefault="00D8386F" w:rsidP="00D8386F">
      <w:pPr>
        <w:numPr>
          <w:ilvl w:val="1"/>
          <w:numId w:val="123"/>
        </w:numPr>
        <w:spacing w:before="100" w:beforeAutospacing="1" w:after="100" w:afterAutospacing="1"/>
        <w:rPr>
          <w:rFonts w:ascii="Arial" w:eastAsia="Times New Roman" w:hAnsi="Arial" w:cs="Arial"/>
          <w:lang w:val="sr-Latn-CS"/>
        </w:rPr>
      </w:pPr>
      <w:r w:rsidRPr="002A6F4E">
        <w:rPr>
          <w:rFonts w:ascii="Arial" w:eastAsia="Times New Roman" w:hAnsi="Arial" w:cs="Arial"/>
          <w:b/>
          <w:bCs/>
          <w:lang w:val="sr-Latn-CS"/>
        </w:rPr>
        <w:lastRenderedPageBreak/>
        <w:t>Metal,</w:t>
      </w:r>
      <w:r w:rsidRPr="002A6F4E">
        <w:rPr>
          <w:rFonts w:ascii="Arial" w:eastAsia="Times New Roman" w:hAnsi="Arial" w:cs="Arial"/>
          <w:lang w:val="sr-Latn-CS"/>
        </w:rPr>
        <w:t xml:space="preserve"> koji se topi i koristi u proizvodnji novih metalnih predmeta ili industrijskih komponenti.</w:t>
      </w:r>
    </w:p>
    <w:p w14:paraId="48E6BF92" w14:textId="77777777" w:rsidR="00D8386F" w:rsidRPr="002A6F4E" w:rsidRDefault="00D8386F" w:rsidP="00D8386F">
      <w:pPr>
        <w:numPr>
          <w:ilvl w:val="1"/>
          <w:numId w:val="123"/>
        </w:numPr>
        <w:spacing w:before="100" w:beforeAutospacing="1" w:after="100" w:afterAutospacing="1"/>
        <w:rPr>
          <w:rFonts w:ascii="Arial" w:eastAsia="Times New Roman" w:hAnsi="Arial" w:cs="Arial"/>
          <w:lang w:val="sr-Latn-CS"/>
        </w:rPr>
      </w:pPr>
      <w:r w:rsidRPr="002A6F4E">
        <w:rPr>
          <w:rFonts w:ascii="Arial" w:eastAsia="Times New Roman" w:hAnsi="Arial" w:cs="Arial"/>
          <w:b/>
          <w:bCs/>
          <w:lang w:val="sr-Latn-CS"/>
        </w:rPr>
        <w:t>Staklo,</w:t>
      </w:r>
      <w:r w:rsidRPr="002A6F4E">
        <w:rPr>
          <w:rFonts w:ascii="Arial" w:eastAsia="Times New Roman" w:hAnsi="Arial" w:cs="Arial"/>
          <w:lang w:val="sr-Latn-CS"/>
        </w:rPr>
        <w:t xml:space="preserve"> koje se prerađuje u novu staklenu ambalažu ili građevinske materijale.</w:t>
      </w:r>
    </w:p>
    <w:p w14:paraId="57501902" w14:textId="4591262F" w:rsidR="00D8386F" w:rsidRPr="00F17722" w:rsidRDefault="00D8386F" w:rsidP="00D8386F">
      <w:pPr>
        <w:numPr>
          <w:ilvl w:val="1"/>
          <w:numId w:val="123"/>
        </w:numPr>
        <w:spacing w:before="100" w:beforeAutospacing="1" w:after="100" w:afterAutospacing="1"/>
        <w:rPr>
          <w:rFonts w:ascii="Arial" w:eastAsia="Times New Roman" w:hAnsi="Arial" w:cs="Arial"/>
          <w:lang w:val="sr-Latn-CS"/>
        </w:rPr>
      </w:pPr>
      <w:r w:rsidRPr="002A6F4E">
        <w:rPr>
          <w:rFonts w:ascii="Arial" w:eastAsia="Times New Roman" w:hAnsi="Arial" w:cs="Arial"/>
          <w:b/>
          <w:bCs/>
          <w:lang w:val="sr-Latn-CS"/>
        </w:rPr>
        <w:t>Gume</w:t>
      </w:r>
      <w:r w:rsidRPr="00A32F55">
        <w:rPr>
          <w:rFonts w:ascii="Arial" w:eastAsia="Times New Roman" w:hAnsi="Arial" w:cs="Arial"/>
          <w:bCs/>
          <w:lang w:val="sr-Latn-CS"/>
        </w:rPr>
        <w:t>,</w:t>
      </w:r>
    </w:p>
    <w:p w14:paraId="36DC3AD1" w14:textId="77777777" w:rsidR="00D8386F" w:rsidRPr="002A6F4E" w:rsidRDefault="00D8386F" w:rsidP="00D8386F">
      <w:pPr>
        <w:numPr>
          <w:ilvl w:val="1"/>
          <w:numId w:val="123"/>
        </w:numPr>
        <w:spacing w:before="100" w:beforeAutospacing="1" w:after="100" w:afterAutospacing="1"/>
        <w:rPr>
          <w:rFonts w:ascii="Arial" w:eastAsia="Times New Roman" w:hAnsi="Arial" w:cs="Arial"/>
          <w:b/>
          <w:lang w:val="sr-Latn-CS"/>
        </w:rPr>
      </w:pPr>
      <w:r w:rsidRPr="002A6F4E">
        <w:rPr>
          <w:rFonts w:ascii="Arial" w:eastAsia="Times New Roman" w:hAnsi="Arial" w:cs="Arial"/>
          <w:b/>
          <w:lang w:val="sr-Latn-CS"/>
        </w:rPr>
        <w:t>Otpadna vozila</w:t>
      </w:r>
      <w:r>
        <w:rPr>
          <w:rFonts w:ascii="Arial" w:eastAsia="Times New Roman" w:hAnsi="Arial" w:cs="Arial"/>
          <w:b/>
          <w:lang w:val="sr-Latn-CS"/>
        </w:rPr>
        <w:t>.</w:t>
      </w:r>
    </w:p>
    <w:p w14:paraId="39C93CA4" w14:textId="1211834A" w:rsidR="00D8386F" w:rsidRPr="002A6F4E" w:rsidRDefault="00F70BEF" w:rsidP="00D8386F">
      <w:pPr>
        <w:pStyle w:val="NoSpacing"/>
        <w:rPr>
          <w:rFonts w:ascii="Arial" w:hAnsi="Arial" w:cs="Arial"/>
          <w:b/>
          <w:lang w:val="sr-Latn-CS"/>
        </w:rPr>
      </w:pPr>
      <w:r>
        <w:rPr>
          <w:rFonts w:ascii="Arial" w:hAnsi="Arial" w:cs="Arial"/>
          <w:b/>
          <w:lang w:val="sr-Latn-CS"/>
        </w:rPr>
        <w:t>Tretman biootpada</w:t>
      </w:r>
    </w:p>
    <w:p w14:paraId="78283BD0" w14:textId="77777777" w:rsidR="00D8386F" w:rsidRPr="002A6F4E" w:rsidRDefault="00D8386F" w:rsidP="00D8386F">
      <w:pPr>
        <w:pStyle w:val="NoSpacing"/>
        <w:numPr>
          <w:ilvl w:val="0"/>
          <w:numId w:val="129"/>
        </w:numPr>
        <w:jc w:val="left"/>
        <w:rPr>
          <w:rFonts w:ascii="Arial" w:hAnsi="Arial" w:cs="Arial"/>
          <w:lang w:val="sr-Latn-CS"/>
        </w:rPr>
      </w:pPr>
      <w:r w:rsidRPr="002A6F4E">
        <w:rPr>
          <w:rFonts w:ascii="Arial" w:hAnsi="Arial" w:cs="Arial"/>
          <w:lang w:val="sr-Latn-CS"/>
        </w:rPr>
        <w:t>Obrada biorazgradivog otpada iz domaćinstava i komunalnih sistema</w:t>
      </w:r>
      <w:r>
        <w:rPr>
          <w:rFonts w:ascii="Arial" w:hAnsi="Arial" w:cs="Arial"/>
          <w:lang w:val="sr-Latn-CS"/>
        </w:rPr>
        <w:t>.</w:t>
      </w:r>
    </w:p>
    <w:p w14:paraId="3A8B8B68" w14:textId="77777777" w:rsidR="00D8386F" w:rsidRPr="002A6F4E" w:rsidRDefault="00D8386F" w:rsidP="00D8386F">
      <w:pPr>
        <w:pStyle w:val="NoSpacing"/>
        <w:numPr>
          <w:ilvl w:val="0"/>
          <w:numId w:val="129"/>
        </w:numPr>
        <w:jc w:val="left"/>
        <w:rPr>
          <w:rFonts w:ascii="Arial" w:hAnsi="Arial" w:cs="Arial"/>
          <w:lang w:val="sr-Latn-CS"/>
        </w:rPr>
      </w:pPr>
      <w:r w:rsidRPr="002A6F4E">
        <w:rPr>
          <w:rFonts w:ascii="Arial" w:hAnsi="Arial" w:cs="Arial"/>
          <w:lang w:val="sr-Latn-CS"/>
        </w:rPr>
        <w:t xml:space="preserve">Rezultat je </w:t>
      </w:r>
      <w:r>
        <w:rPr>
          <w:rFonts w:ascii="Arial" w:hAnsi="Arial" w:cs="Arial"/>
          <w:lang w:val="sr-Latn-CS"/>
        </w:rPr>
        <w:t>električna energija.</w:t>
      </w:r>
    </w:p>
    <w:p w14:paraId="166FDD8A" w14:textId="77777777" w:rsidR="00D8386F" w:rsidRPr="002A6F4E" w:rsidRDefault="00D8386F" w:rsidP="00D8386F">
      <w:pPr>
        <w:pStyle w:val="NoSpacing"/>
        <w:rPr>
          <w:rFonts w:ascii="Arial" w:hAnsi="Arial" w:cs="Arial"/>
          <w:lang w:val="sr-Latn-CS"/>
        </w:rPr>
      </w:pPr>
    </w:p>
    <w:p w14:paraId="5C92B8EB" w14:textId="77777777" w:rsidR="00D8386F" w:rsidRPr="002A6F4E" w:rsidRDefault="00D8386F" w:rsidP="00D8386F">
      <w:pPr>
        <w:pStyle w:val="NoSpacing"/>
        <w:rPr>
          <w:rFonts w:ascii="Arial" w:hAnsi="Arial" w:cs="Arial"/>
          <w:b/>
          <w:lang w:val="sr-Latn-CS"/>
        </w:rPr>
      </w:pPr>
      <w:r w:rsidRPr="002A6F4E">
        <w:rPr>
          <w:rFonts w:ascii="Arial" w:hAnsi="Arial" w:cs="Arial"/>
          <w:b/>
          <w:lang w:val="sr-Latn-CS"/>
        </w:rPr>
        <w:t>Zona za opasan otpad</w:t>
      </w:r>
    </w:p>
    <w:p w14:paraId="03CCFBA5" w14:textId="77777777" w:rsidR="00D8386F" w:rsidRPr="002A6F4E" w:rsidRDefault="00D8386F" w:rsidP="00D8386F">
      <w:pPr>
        <w:pStyle w:val="NoSpacing"/>
        <w:numPr>
          <w:ilvl w:val="0"/>
          <w:numId w:val="125"/>
        </w:numPr>
        <w:jc w:val="left"/>
        <w:rPr>
          <w:rFonts w:ascii="Arial" w:hAnsi="Arial" w:cs="Arial"/>
          <w:lang w:val="sr-Latn-CS"/>
        </w:rPr>
      </w:pPr>
      <w:r w:rsidRPr="002A6F4E">
        <w:rPr>
          <w:rFonts w:ascii="Arial" w:hAnsi="Arial" w:cs="Arial"/>
          <w:lang w:val="sr-Latn-CS"/>
        </w:rPr>
        <w:t>Posebna zona za skladištenje i tretman opasnog otpada (npr. baterije, elektronski otpad, hemikalije).</w:t>
      </w:r>
    </w:p>
    <w:p w14:paraId="69DEAE79" w14:textId="77777777" w:rsidR="00D8386F" w:rsidRPr="002A6F4E" w:rsidRDefault="00D8386F" w:rsidP="00D8386F">
      <w:pPr>
        <w:pStyle w:val="NoSpacing"/>
        <w:numPr>
          <w:ilvl w:val="0"/>
          <w:numId w:val="125"/>
        </w:numPr>
        <w:jc w:val="left"/>
        <w:rPr>
          <w:rFonts w:ascii="Arial" w:hAnsi="Arial" w:cs="Arial"/>
          <w:lang w:val="sr-Latn-CS"/>
        </w:rPr>
      </w:pPr>
      <w:r w:rsidRPr="002A6F4E">
        <w:rPr>
          <w:rFonts w:ascii="Arial" w:hAnsi="Arial" w:cs="Arial"/>
          <w:lang w:val="sr-Latn-CS"/>
        </w:rPr>
        <w:t>Saradnja sa specijalizovanim postrojenjima za neutralizaciju opasnog otpada.</w:t>
      </w:r>
    </w:p>
    <w:p w14:paraId="1ED84761" w14:textId="77777777" w:rsidR="00D8386F" w:rsidRPr="002A6F4E" w:rsidRDefault="00D8386F" w:rsidP="00D8386F">
      <w:pPr>
        <w:pStyle w:val="NoSpacing"/>
        <w:rPr>
          <w:rFonts w:ascii="Arial" w:hAnsi="Arial" w:cs="Arial"/>
          <w:lang w:val="sr-Latn-CS"/>
        </w:rPr>
      </w:pPr>
    </w:p>
    <w:p w14:paraId="6A370B88" w14:textId="77777777" w:rsidR="00D8386F" w:rsidRPr="002A6F4E" w:rsidRDefault="00D8386F" w:rsidP="00D8386F">
      <w:pPr>
        <w:shd w:val="clear" w:color="auto" w:fill="FFFFFF"/>
        <w:rPr>
          <w:rFonts w:ascii="Arial" w:eastAsia="Times New Roman" w:hAnsi="Arial" w:cs="Arial"/>
          <w:b/>
          <w:color w:val="1D2228"/>
          <w:lang w:val="sr-Latn-CS"/>
        </w:rPr>
      </w:pPr>
      <w:r w:rsidRPr="002A6F4E">
        <w:rPr>
          <w:rFonts w:ascii="Arial" w:eastAsia="Times New Roman" w:hAnsi="Arial" w:cs="Arial"/>
          <w:b/>
          <w:color w:val="1D2228"/>
          <w:lang w:val="sr-Latn-CS"/>
        </w:rPr>
        <w:t>Energetsko iskorišćavanje</w:t>
      </w:r>
      <w:r>
        <w:rPr>
          <w:rFonts w:ascii="Arial" w:eastAsia="Times New Roman" w:hAnsi="Arial" w:cs="Arial"/>
          <w:b/>
          <w:color w:val="1D2228"/>
          <w:lang w:val="sr-Latn-CS"/>
        </w:rPr>
        <w:t xml:space="preserve"> (Podgorica)</w:t>
      </w:r>
      <w:r w:rsidRPr="002A6F4E">
        <w:rPr>
          <w:rFonts w:ascii="Arial" w:eastAsia="Times New Roman" w:hAnsi="Arial" w:cs="Arial"/>
          <w:b/>
          <w:color w:val="1D2228"/>
          <w:lang w:val="sr-Latn-CS"/>
        </w:rPr>
        <w:t>:</w:t>
      </w:r>
    </w:p>
    <w:p w14:paraId="5CC2628E" w14:textId="77777777" w:rsidR="00D8386F" w:rsidRDefault="00D8386F" w:rsidP="00D8386F">
      <w:pPr>
        <w:pStyle w:val="ListParagraph"/>
        <w:numPr>
          <w:ilvl w:val="0"/>
          <w:numId w:val="128"/>
        </w:numPr>
        <w:shd w:val="clear" w:color="auto" w:fill="FFFFFF"/>
        <w:jc w:val="left"/>
        <w:rPr>
          <w:rFonts w:ascii="Arial" w:eastAsia="Times New Roman" w:hAnsi="Arial" w:cs="Arial"/>
          <w:color w:val="1D2228"/>
          <w:lang w:val="sr-Latn-CS"/>
        </w:rPr>
      </w:pPr>
      <w:r w:rsidRPr="002A6F4E">
        <w:rPr>
          <w:rFonts w:ascii="Arial" w:eastAsia="Times New Roman" w:hAnsi="Arial" w:cs="Arial"/>
          <w:color w:val="1D2228"/>
          <w:lang w:val="sr-Latn-CS"/>
        </w:rPr>
        <w:t xml:space="preserve">Otpad koji se ne može reciklirati može se </w:t>
      </w:r>
      <w:r>
        <w:rPr>
          <w:rFonts w:ascii="Arial" w:eastAsia="Times New Roman" w:hAnsi="Arial" w:cs="Arial"/>
          <w:color w:val="1D2228"/>
          <w:lang w:val="sr-Latn-CS"/>
        </w:rPr>
        <w:t>termički obraditi</w:t>
      </w:r>
      <w:r w:rsidRPr="002A6F4E">
        <w:rPr>
          <w:rFonts w:ascii="Arial" w:eastAsia="Times New Roman" w:hAnsi="Arial" w:cs="Arial"/>
          <w:color w:val="1D2228"/>
          <w:lang w:val="sr-Latn-CS"/>
        </w:rPr>
        <w:t xml:space="preserve"> kako bi se proizvela energija (toplotna i električna).</w:t>
      </w:r>
    </w:p>
    <w:p w14:paraId="284BCEFC" w14:textId="77777777" w:rsidR="00D8386F" w:rsidRPr="00120736" w:rsidRDefault="00D8386F" w:rsidP="00D8386F">
      <w:pPr>
        <w:pStyle w:val="ListParagraph"/>
        <w:shd w:val="clear" w:color="auto" w:fill="FFFFFF"/>
        <w:ind w:left="1080"/>
        <w:jc w:val="left"/>
        <w:rPr>
          <w:rFonts w:ascii="Arial" w:eastAsia="Times New Roman" w:hAnsi="Arial" w:cs="Arial"/>
          <w:color w:val="1D2228"/>
          <w:lang w:val="sr-Latn-CS"/>
        </w:rPr>
      </w:pPr>
    </w:p>
    <w:p w14:paraId="7F505483" w14:textId="77777777" w:rsidR="00D8386F" w:rsidRPr="002A6F4E" w:rsidRDefault="00D8386F" w:rsidP="00D8386F">
      <w:pPr>
        <w:shd w:val="clear" w:color="auto" w:fill="FFFFFF"/>
        <w:rPr>
          <w:rFonts w:ascii="Arial" w:eastAsia="Times New Roman" w:hAnsi="Arial" w:cs="Arial"/>
          <w:b/>
          <w:color w:val="1D2228"/>
          <w:lang w:val="sr-Latn-CS"/>
        </w:rPr>
      </w:pPr>
      <w:r w:rsidRPr="002A6F4E">
        <w:rPr>
          <w:rFonts w:ascii="Arial" w:eastAsia="Times New Roman" w:hAnsi="Arial" w:cs="Arial"/>
          <w:b/>
          <w:color w:val="1D2228"/>
          <w:lang w:val="sr-Latn-CS"/>
        </w:rPr>
        <w:t>Deponovanje:</w:t>
      </w:r>
    </w:p>
    <w:p w14:paraId="511CCBCF" w14:textId="3C11894A" w:rsidR="00D8386F" w:rsidRDefault="00D8386F" w:rsidP="00D8386F">
      <w:pPr>
        <w:pStyle w:val="ListParagraph"/>
        <w:numPr>
          <w:ilvl w:val="0"/>
          <w:numId w:val="127"/>
        </w:numPr>
        <w:shd w:val="clear" w:color="auto" w:fill="FFFFFF"/>
        <w:jc w:val="left"/>
        <w:rPr>
          <w:rFonts w:ascii="Arial" w:eastAsia="Times New Roman" w:hAnsi="Arial" w:cs="Arial"/>
          <w:color w:val="1D2228"/>
          <w:lang w:val="sr-Latn-CS"/>
        </w:rPr>
      </w:pPr>
      <w:r w:rsidRPr="002A6F4E">
        <w:rPr>
          <w:rFonts w:ascii="Arial" w:eastAsia="Times New Roman" w:hAnsi="Arial" w:cs="Arial"/>
          <w:color w:val="1D2228"/>
          <w:lang w:val="sr-Latn-CS"/>
        </w:rPr>
        <w:t xml:space="preserve">Otpad koji se ne može reciklirati </w:t>
      </w:r>
      <w:r w:rsidRPr="00AA057A">
        <w:rPr>
          <w:rFonts w:ascii="Arial" w:eastAsia="Times New Roman" w:hAnsi="Arial" w:cs="Arial"/>
          <w:color w:val="1D2228"/>
          <w:lang w:val="sr-Latn-CS"/>
        </w:rPr>
        <w:t>niti iskoristiti za proizvodnju energije</w:t>
      </w:r>
      <w:r w:rsidRPr="002A6F4E">
        <w:rPr>
          <w:rFonts w:ascii="Arial" w:eastAsia="Times New Roman" w:hAnsi="Arial" w:cs="Arial"/>
          <w:color w:val="1D2228"/>
          <w:lang w:val="sr-Latn-CS"/>
        </w:rPr>
        <w:t xml:space="preserve"> se odlaže na deponiju u Podgorici</w:t>
      </w:r>
      <w:r>
        <w:rPr>
          <w:rFonts w:ascii="Arial" w:eastAsia="Times New Roman" w:hAnsi="Arial" w:cs="Arial"/>
          <w:color w:val="1D2228"/>
          <w:lang w:val="sr-Latn-CS"/>
        </w:rPr>
        <w:t xml:space="preserve"> i Baru</w:t>
      </w:r>
      <w:r w:rsidRPr="002A6F4E">
        <w:rPr>
          <w:rFonts w:ascii="Arial" w:eastAsia="Times New Roman" w:hAnsi="Arial" w:cs="Arial"/>
          <w:color w:val="1D2228"/>
          <w:lang w:val="sr-Latn-CS"/>
        </w:rPr>
        <w:t>.</w:t>
      </w:r>
    </w:p>
    <w:p w14:paraId="07CCBA12" w14:textId="77777777" w:rsidR="00D8386F" w:rsidRPr="00D8386F" w:rsidRDefault="00D8386F" w:rsidP="00D8386F">
      <w:pPr>
        <w:pStyle w:val="ListParagraph"/>
        <w:shd w:val="clear" w:color="auto" w:fill="FFFFFF"/>
        <w:ind w:left="1080"/>
        <w:jc w:val="left"/>
        <w:rPr>
          <w:rFonts w:ascii="Arial" w:eastAsia="Times New Roman" w:hAnsi="Arial" w:cs="Arial"/>
          <w:color w:val="1D2228"/>
          <w:lang w:val="sr-Latn-CS"/>
        </w:rPr>
      </w:pPr>
    </w:p>
    <w:p w14:paraId="0A2DBDD8" w14:textId="77777777" w:rsidR="00C232D7" w:rsidRPr="002A6F4E" w:rsidRDefault="00C232D7" w:rsidP="00C232D7">
      <w:pPr>
        <w:spacing w:before="120" w:after="120" w:line="360" w:lineRule="auto"/>
        <w:rPr>
          <w:rFonts w:ascii="Arial" w:hAnsi="Arial" w:cs="Arial"/>
          <w:b/>
          <w:u w:val="single"/>
          <w:lang w:val="sq-AL"/>
        </w:rPr>
      </w:pPr>
      <w:bookmarkStart w:id="891" w:name="_Hlk185878645"/>
      <w:r w:rsidRPr="002A6F4E">
        <w:rPr>
          <w:rFonts w:ascii="Arial" w:hAnsi="Arial" w:cs="Arial"/>
          <w:b/>
          <w:u w:val="single"/>
          <w:lang w:val="sq-AL"/>
        </w:rPr>
        <w:t>Regionalni centar za upravljanje otpadom Podgorica</w:t>
      </w:r>
      <w:bookmarkEnd w:id="891"/>
    </w:p>
    <w:p w14:paraId="17D8C07E" w14:textId="3D0EA81E" w:rsidR="00C232D7" w:rsidRPr="002A6F4E" w:rsidRDefault="00C232D7" w:rsidP="00C232D7">
      <w:pPr>
        <w:spacing w:before="120" w:after="120" w:line="360" w:lineRule="auto"/>
        <w:rPr>
          <w:rFonts w:ascii="Arial" w:hAnsi="Arial" w:cs="Arial"/>
          <w:bCs/>
          <w:lang w:val="sq-AL"/>
        </w:rPr>
      </w:pPr>
      <w:r w:rsidRPr="002A6F4E">
        <w:rPr>
          <w:rFonts w:ascii="Arial" w:hAnsi="Arial" w:cs="Arial"/>
          <w:bCs/>
          <w:lang w:val="sq-AL"/>
        </w:rPr>
        <w:t xml:space="preserve">Regionalni centar za upravljanje otpadom </w:t>
      </w:r>
      <w:r w:rsidR="000D3FCC">
        <w:rPr>
          <w:rFonts w:ascii="Arial" w:hAnsi="Arial" w:cs="Arial"/>
          <w:bCs/>
          <w:lang w:val="sq-AL"/>
        </w:rPr>
        <w:t xml:space="preserve">u </w:t>
      </w:r>
      <w:r w:rsidRPr="002A6F4E">
        <w:rPr>
          <w:rFonts w:ascii="Arial" w:hAnsi="Arial" w:cs="Arial"/>
          <w:bCs/>
          <w:lang w:val="sq-AL"/>
        </w:rPr>
        <w:t>Podgoric</w:t>
      </w:r>
      <w:r w:rsidR="000D3FCC">
        <w:rPr>
          <w:rFonts w:ascii="Arial" w:hAnsi="Arial" w:cs="Arial"/>
          <w:bCs/>
          <w:lang w:val="sq-AL"/>
        </w:rPr>
        <w:t>i</w:t>
      </w:r>
      <w:r w:rsidRPr="002A6F4E">
        <w:rPr>
          <w:rFonts w:ascii="Arial" w:hAnsi="Arial" w:cs="Arial"/>
          <w:bCs/>
          <w:lang w:val="sq-AL"/>
        </w:rPr>
        <w:t xml:space="preserve"> obuhvata op</w:t>
      </w:r>
      <w:r w:rsidRPr="002A6F4E">
        <w:rPr>
          <w:rFonts w:ascii="Arial" w:hAnsi="Arial" w:cs="Arial"/>
          <w:bCs/>
          <w:lang w:val="sr-Latn-ME"/>
        </w:rPr>
        <w:t>štine koje su navedene u narednoj tabeli</w:t>
      </w:r>
      <w:r w:rsidRPr="002A6F4E">
        <w:rPr>
          <w:rFonts w:ascii="Arial" w:hAnsi="Arial" w:cs="Arial"/>
          <w:bCs/>
          <w:lang w:val="sq-AL"/>
        </w:rPr>
        <w:t>.</w:t>
      </w:r>
    </w:p>
    <w:p w14:paraId="715D5E03" w14:textId="5E10742D" w:rsidR="00C232D7" w:rsidRPr="002D0573" w:rsidRDefault="00C232D7" w:rsidP="00C232D7">
      <w:pPr>
        <w:pStyle w:val="Caption"/>
        <w:rPr>
          <w:rFonts w:ascii="Arial" w:hAnsi="Arial" w:cs="Arial"/>
          <w:b w:val="0"/>
          <w:szCs w:val="20"/>
          <w:lang w:val="sq-AL"/>
        </w:rPr>
      </w:pPr>
      <w:bookmarkStart w:id="892" w:name="_Toc189515616"/>
      <w:bookmarkStart w:id="893" w:name="_Toc190160732"/>
      <w:r w:rsidRPr="002D0573">
        <w:rPr>
          <w:rFonts w:ascii="Arial" w:hAnsi="Arial" w:cs="Arial"/>
          <w:b w:val="0"/>
          <w:szCs w:val="20"/>
          <w:lang w:val="sq-AL"/>
        </w:rPr>
        <w:t xml:space="preserve">Tabela </w:t>
      </w:r>
      <w:r w:rsidRPr="002D0573">
        <w:rPr>
          <w:rFonts w:ascii="Arial" w:hAnsi="Arial" w:cs="Arial"/>
          <w:b w:val="0"/>
          <w:szCs w:val="20"/>
        </w:rPr>
        <w:fldChar w:fldCharType="begin"/>
      </w:r>
      <w:r w:rsidRPr="002D0573">
        <w:rPr>
          <w:rFonts w:ascii="Arial" w:hAnsi="Arial" w:cs="Arial"/>
          <w:b w:val="0"/>
          <w:szCs w:val="20"/>
          <w:lang w:val="sq-AL"/>
        </w:rPr>
        <w:instrText xml:space="preserve"> SEQ Tabela \* ARABIC </w:instrText>
      </w:r>
      <w:r w:rsidRPr="002D0573">
        <w:rPr>
          <w:rFonts w:ascii="Arial" w:hAnsi="Arial" w:cs="Arial"/>
          <w:b w:val="0"/>
          <w:szCs w:val="20"/>
        </w:rPr>
        <w:fldChar w:fldCharType="separate"/>
      </w:r>
      <w:r w:rsidR="007274DA">
        <w:rPr>
          <w:rFonts w:ascii="Arial" w:hAnsi="Arial" w:cs="Arial"/>
          <w:b w:val="0"/>
          <w:noProof/>
          <w:szCs w:val="20"/>
          <w:lang w:val="sq-AL"/>
        </w:rPr>
        <w:t>41</w:t>
      </w:r>
      <w:r w:rsidRPr="002D0573">
        <w:rPr>
          <w:rFonts w:ascii="Arial" w:hAnsi="Arial" w:cs="Arial"/>
          <w:b w:val="0"/>
          <w:szCs w:val="20"/>
        </w:rPr>
        <w:fldChar w:fldCharType="end"/>
      </w:r>
      <w:r w:rsidRPr="002D0573">
        <w:rPr>
          <w:rFonts w:ascii="Arial" w:hAnsi="Arial" w:cs="Arial"/>
          <w:b w:val="0"/>
          <w:szCs w:val="20"/>
          <w:lang w:val="sq-AL"/>
        </w:rPr>
        <w:t xml:space="preserve"> Područje koje opslužuje Regionalni centar za upravljanje otpadom Podgorica</w:t>
      </w:r>
      <w:bookmarkEnd w:id="892"/>
      <w:bookmarkEnd w:id="893"/>
      <w:r w:rsidRPr="002D0573">
        <w:rPr>
          <w:rFonts w:ascii="Arial" w:hAnsi="Arial" w:cs="Arial"/>
          <w:b w:val="0"/>
          <w:szCs w:val="20"/>
          <w:lang w:val="sq-AL"/>
        </w:rPr>
        <w:t xml:space="preserve"> </w:t>
      </w:r>
    </w:p>
    <w:tbl>
      <w:tblPr>
        <w:tblW w:w="378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259"/>
        <w:gridCol w:w="2371"/>
        <w:gridCol w:w="2448"/>
      </w:tblGrid>
      <w:tr w:rsidR="00C232D7" w:rsidRPr="002A6F4E" w14:paraId="789C8002" w14:textId="77777777" w:rsidTr="00C232D7">
        <w:trPr>
          <w:tblHeader/>
          <w:jc w:val="center"/>
        </w:trPr>
        <w:tc>
          <w:tcPr>
            <w:tcW w:w="1596" w:type="pct"/>
            <w:shd w:val="clear" w:color="auto" w:fill="F2F2F2" w:themeFill="background1" w:themeFillShade="F2"/>
            <w:vAlign w:val="center"/>
          </w:tcPr>
          <w:p w14:paraId="25EC9ACB" w14:textId="77777777" w:rsidR="00C232D7" w:rsidRPr="009D6E37" w:rsidRDefault="00C232D7" w:rsidP="00C232D7">
            <w:pPr>
              <w:spacing w:before="40" w:after="40" w:line="360" w:lineRule="auto"/>
              <w:rPr>
                <w:rFonts w:ascii="Arial" w:hAnsi="Arial" w:cs="Arial"/>
                <w:b/>
                <w:bCs/>
                <w:sz w:val="18"/>
                <w:lang w:val="sq-AL"/>
              </w:rPr>
            </w:pPr>
            <w:r w:rsidRPr="009D6E37">
              <w:rPr>
                <w:rFonts w:ascii="Arial" w:hAnsi="Arial" w:cs="Arial"/>
                <w:b/>
                <w:bCs/>
                <w:sz w:val="18"/>
                <w:lang w:val="sq-AL"/>
              </w:rPr>
              <w:t>Opština</w:t>
            </w:r>
          </w:p>
        </w:tc>
        <w:tc>
          <w:tcPr>
            <w:tcW w:w="1675" w:type="pct"/>
            <w:shd w:val="clear" w:color="auto" w:fill="F2F2F2" w:themeFill="background1" w:themeFillShade="F2"/>
            <w:vAlign w:val="center"/>
          </w:tcPr>
          <w:p w14:paraId="00FB2169" w14:textId="5AE272FB" w:rsidR="00C232D7" w:rsidRPr="009D6E37" w:rsidRDefault="00C232D7" w:rsidP="00FE289C">
            <w:pPr>
              <w:spacing w:before="40" w:after="40" w:line="360" w:lineRule="auto"/>
              <w:rPr>
                <w:rFonts w:ascii="Arial" w:hAnsi="Arial" w:cs="Arial"/>
                <w:b/>
                <w:bCs/>
                <w:sz w:val="18"/>
                <w:lang w:val="sq-AL"/>
              </w:rPr>
            </w:pPr>
            <w:r w:rsidRPr="009D6E37">
              <w:rPr>
                <w:rFonts w:ascii="Arial" w:hAnsi="Arial" w:cs="Arial"/>
                <w:b/>
                <w:bCs/>
                <w:sz w:val="18"/>
                <w:lang w:val="sq-AL"/>
              </w:rPr>
              <w:t xml:space="preserve">Stanovništvo - </w:t>
            </w:r>
            <w:r w:rsidRPr="009D6E37">
              <w:rPr>
                <w:rFonts w:ascii="Arial" w:hAnsi="Arial" w:cs="Arial"/>
                <w:b/>
                <w:bCs/>
                <w:sz w:val="18"/>
                <w:lang w:val="sq-AL"/>
              </w:rPr>
              <w:br/>
            </w:r>
            <w:r w:rsidR="00FE289C" w:rsidRPr="009D6E37">
              <w:rPr>
                <w:rFonts w:ascii="Arial" w:hAnsi="Arial" w:cs="Arial"/>
                <w:b/>
                <w:bCs/>
                <w:sz w:val="18"/>
                <w:lang w:val="sq-AL"/>
              </w:rPr>
              <w:t>2029</w:t>
            </w:r>
          </w:p>
        </w:tc>
        <w:tc>
          <w:tcPr>
            <w:tcW w:w="1729" w:type="pct"/>
            <w:shd w:val="clear" w:color="auto" w:fill="F2F2F2" w:themeFill="background1" w:themeFillShade="F2"/>
            <w:vAlign w:val="center"/>
          </w:tcPr>
          <w:p w14:paraId="3D3D6D72" w14:textId="5D881107" w:rsidR="00C232D7" w:rsidRPr="009D6E37" w:rsidRDefault="00C232D7" w:rsidP="00C232D7">
            <w:pPr>
              <w:spacing w:before="40" w:after="40" w:line="360" w:lineRule="auto"/>
              <w:rPr>
                <w:rFonts w:ascii="Arial" w:hAnsi="Arial" w:cs="Arial"/>
                <w:b/>
                <w:bCs/>
                <w:sz w:val="18"/>
                <w:lang w:val="sq-AL"/>
              </w:rPr>
            </w:pPr>
            <w:r w:rsidRPr="009D6E37">
              <w:rPr>
                <w:rFonts w:ascii="Arial" w:hAnsi="Arial" w:cs="Arial"/>
                <w:b/>
                <w:bCs/>
                <w:sz w:val="18"/>
                <w:lang w:val="sq-AL"/>
              </w:rPr>
              <w:t>Ge</w:t>
            </w:r>
            <w:r w:rsidR="00FE289C" w:rsidRPr="009D6E37">
              <w:rPr>
                <w:rFonts w:ascii="Arial" w:hAnsi="Arial" w:cs="Arial"/>
                <w:b/>
                <w:bCs/>
                <w:sz w:val="18"/>
                <w:lang w:val="sq-AL"/>
              </w:rPr>
              <w:t xml:space="preserve">nerisanje otpada </w:t>
            </w:r>
            <w:r w:rsidR="00FE289C" w:rsidRPr="009D6E37">
              <w:rPr>
                <w:rFonts w:ascii="Arial" w:hAnsi="Arial" w:cs="Arial"/>
                <w:b/>
                <w:bCs/>
                <w:sz w:val="18"/>
                <w:lang w:val="sq-AL"/>
              </w:rPr>
              <w:br/>
              <w:t xml:space="preserve">(t/god) </w:t>
            </w:r>
            <w:r w:rsidR="00B06B86">
              <w:rPr>
                <w:rFonts w:ascii="Arial" w:hAnsi="Arial" w:cs="Arial"/>
                <w:b/>
                <w:bCs/>
                <w:sz w:val="18"/>
                <w:lang w:val="sq-AL"/>
              </w:rPr>
              <w:t>–</w:t>
            </w:r>
            <w:r w:rsidR="00FE289C" w:rsidRPr="009D6E37">
              <w:rPr>
                <w:rFonts w:ascii="Arial" w:hAnsi="Arial" w:cs="Arial"/>
                <w:b/>
                <w:bCs/>
                <w:sz w:val="18"/>
                <w:lang w:val="sq-AL"/>
              </w:rPr>
              <w:t xml:space="preserve"> 2029</w:t>
            </w:r>
          </w:p>
        </w:tc>
      </w:tr>
      <w:tr w:rsidR="00C232D7" w:rsidRPr="002A6F4E" w14:paraId="61578116" w14:textId="77777777" w:rsidTr="00C232D7">
        <w:trPr>
          <w:jc w:val="center"/>
        </w:trPr>
        <w:tc>
          <w:tcPr>
            <w:tcW w:w="1596" w:type="pct"/>
            <w:vAlign w:val="center"/>
          </w:tcPr>
          <w:p w14:paraId="26E7D0FA" w14:textId="77777777" w:rsidR="00C232D7" w:rsidRPr="009D6E37" w:rsidRDefault="00C232D7" w:rsidP="00C232D7">
            <w:pPr>
              <w:spacing w:before="40" w:after="40" w:line="360" w:lineRule="auto"/>
              <w:ind w:left="-14"/>
              <w:rPr>
                <w:rFonts w:ascii="Arial" w:hAnsi="Arial" w:cs="Arial"/>
                <w:sz w:val="18"/>
                <w:lang w:val="sq-AL"/>
              </w:rPr>
            </w:pPr>
            <w:r w:rsidRPr="009D6E37">
              <w:rPr>
                <w:rFonts w:ascii="Arial" w:hAnsi="Arial" w:cs="Arial"/>
                <w:sz w:val="18"/>
                <w:lang w:val="sq-AL"/>
              </w:rPr>
              <w:t>PODGORICA</w:t>
            </w:r>
          </w:p>
        </w:tc>
        <w:tc>
          <w:tcPr>
            <w:tcW w:w="1675" w:type="pct"/>
            <w:shd w:val="clear" w:color="auto" w:fill="auto"/>
            <w:vAlign w:val="center"/>
          </w:tcPr>
          <w:p w14:paraId="2648D13A" w14:textId="77777777" w:rsidR="00C232D7" w:rsidRPr="009D6E37" w:rsidRDefault="00C232D7" w:rsidP="00C232D7">
            <w:pPr>
              <w:spacing w:before="40" w:after="40" w:line="360" w:lineRule="auto"/>
              <w:rPr>
                <w:rFonts w:ascii="Arial" w:hAnsi="Arial" w:cs="Arial"/>
                <w:color w:val="000000"/>
                <w:sz w:val="18"/>
                <w:lang w:val="sq-AL"/>
              </w:rPr>
            </w:pPr>
            <w:r w:rsidRPr="009D6E37">
              <w:rPr>
                <w:rFonts w:ascii="Arial" w:hAnsi="Arial" w:cs="Arial"/>
                <w:color w:val="000000"/>
                <w:sz w:val="18"/>
              </w:rPr>
              <w:t>178,237</w:t>
            </w:r>
          </w:p>
        </w:tc>
        <w:tc>
          <w:tcPr>
            <w:tcW w:w="1729" w:type="pct"/>
            <w:vAlign w:val="center"/>
          </w:tcPr>
          <w:p w14:paraId="528F5FB5" w14:textId="77777777" w:rsidR="00C232D7" w:rsidRPr="009D6E37" w:rsidRDefault="00C232D7" w:rsidP="00C232D7">
            <w:pPr>
              <w:spacing w:before="40" w:after="40" w:line="360" w:lineRule="auto"/>
              <w:rPr>
                <w:rFonts w:ascii="Arial" w:hAnsi="Arial" w:cs="Arial"/>
                <w:color w:val="000000"/>
                <w:sz w:val="18"/>
                <w:highlight w:val="yellow"/>
                <w:lang w:val="sq-AL"/>
              </w:rPr>
            </w:pPr>
            <w:r w:rsidRPr="009D6E37">
              <w:rPr>
                <w:rFonts w:ascii="Arial" w:hAnsi="Arial" w:cs="Arial"/>
                <w:color w:val="000000"/>
                <w:sz w:val="18"/>
              </w:rPr>
              <w:t>101,604</w:t>
            </w:r>
          </w:p>
        </w:tc>
      </w:tr>
      <w:tr w:rsidR="00C232D7" w:rsidRPr="002A6F4E" w14:paraId="789788CD" w14:textId="77777777" w:rsidTr="00C232D7">
        <w:trPr>
          <w:jc w:val="center"/>
        </w:trPr>
        <w:tc>
          <w:tcPr>
            <w:tcW w:w="1596" w:type="pct"/>
            <w:vAlign w:val="center"/>
          </w:tcPr>
          <w:p w14:paraId="75001D21" w14:textId="77777777" w:rsidR="00C232D7" w:rsidRPr="009D6E37" w:rsidRDefault="00C232D7" w:rsidP="00C232D7">
            <w:pPr>
              <w:spacing w:before="40" w:after="40" w:line="360" w:lineRule="auto"/>
              <w:ind w:left="-14"/>
              <w:rPr>
                <w:rFonts w:ascii="Arial" w:hAnsi="Arial" w:cs="Arial"/>
                <w:sz w:val="18"/>
                <w:lang w:val="sq-AL"/>
              </w:rPr>
            </w:pPr>
            <w:r w:rsidRPr="009D6E37">
              <w:rPr>
                <w:rFonts w:ascii="Arial" w:hAnsi="Arial" w:cs="Arial"/>
                <w:sz w:val="18"/>
                <w:lang w:val="sq-AL"/>
              </w:rPr>
              <w:t>CETINJE</w:t>
            </w:r>
          </w:p>
        </w:tc>
        <w:tc>
          <w:tcPr>
            <w:tcW w:w="1675" w:type="pct"/>
            <w:shd w:val="clear" w:color="auto" w:fill="auto"/>
            <w:vAlign w:val="center"/>
          </w:tcPr>
          <w:p w14:paraId="206A69A9" w14:textId="77777777" w:rsidR="00C232D7" w:rsidRPr="009D6E37" w:rsidRDefault="00C232D7" w:rsidP="00C232D7">
            <w:pPr>
              <w:spacing w:before="40" w:after="40" w:line="360" w:lineRule="auto"/>
              <w:rPr>
                <w:rFonts w:ascii="Arial" w:hAnsi="Arial" w:cs="Arial"/>
                <w:sz w:val="18"/>
                <w:lang w:val="sq-AL"/>
              </w:rPr>
            </w:pPr>
            <w:r w:rsidRPr="009D6E37">
              <w:rPr>
                <w:rFonts w:ascii="Arial" w:hAnsi="Arial" w:cs="Arial"/>
                <w:color w:val="000000"/>
                <w:sz w:val="18"/>
              </w:rPr>
              <w:t>15,056</w:t>
            </w:r>
          </w:p>
        </w:tc>
        <w:tc>
          <w:tcPr>
            <w:tcW w:w="1729" w:type="pct"/>
            <w:vAlign w:val="center"/>
          </w:tcPr>
          <w:p w14:paraId="2D6436D0" w14:textId="77777777" w:rsidR="00C232D7" w:rsidRPr="009D6E37" w:rsidRDefault="00C232D7" w:rsidP="00C232D7">
            <w:pPr>
              <w:spacing w:before="40" w:after="40" w:line="360" w:lineRule="auto"/>
              <w:rPr>
                <w:rFonts w:ascii="Arial" w:hAnsi="Arial" w:cs="Arial"/>
                <w:sz w:val="18"/>
                <w:highlight w:val="yellow"/>
                <w:lang w:val="sq-AL"/>
              </w:rPr>
            </w:pPr>
            <w:r w:rsidRPr="009D6E37">
              <w:rPr>
                <w:rFonts w:ascii="Arial" w:hAnsi="Arial" w:cs="Arial"/>
                <w:color w:val="000000"/>
                <w:sz w:val="18"/>
              </w:rPr>
              <w:t>8,418</w:t>
            </w:r>
          </w:p>
        </w:tc>
      </w:tr>
      <w:tr w:rsidR="00C232D7" w:rsidRPr="002A6F4E" w14:paraId="1C7AE8D6" w14:textId="77777777" w:rsidTr="00C232D7">
        <w:trPr>
          <w:jc w:val="center"/>
        </w:trPr>
        <w:tc>
          <w:tcPr>
            <w:tcW w:w="1596" w:type="pct"/>
            <w:vAlign w:val="center"/>
          </w:tcPr>
          <w:p w14:paraId="68680600" w14:textId="77777777" w:rsidR="00C232D7" w:rsidRPr="009D6E37" w:rsidRDefault="00C232D7" w:rsidP="00C232D7">
            <w:pPr>
              <w:spacing w:before="40" w:after="40" w:line="360" w:lineRule="auto"/>
              <w:ind w:left="-14"/>
              <w:rPr>
                <w:rFonts w:ascii="Arial" w:hAnsi="Arial" w:cs="Arial"/>
                <w:sz w:val="18"/>
                <w:lang w:val="sq-AL"/>
              </w:rPr>
            </w:pPr>
            <w:r w:rsidRPr="009D6E37">
              <w:rPr>
                <w:rFonts w:ascii="Arial" w:hAnsi="Arial" w:cs="Arial"/>
                <w:sz w:val="18"/>
                <w:lang w:val="sq-AL"/>
              </w:rPr>
              <w:t>TUZI</w:t>
            </w:r>
          </w:p>
        </w:tc>
        <w:tc>
          <w:tcPr>
            <w:tcW w:w="1675" w:type="pct"/>
            <w:shd w:val="clear" w:color="auto" w:fill="auto"/>
            <w:vAlign w:val="center"/>
          </w:tcPr>
          <w:p w14:paraId="79BB0CA2" w14:textId="77777777" w:rsidR="00C232D7" w:rsidRPr="009D6E37" w:rsidRDefault="00C232D7" w:rsidP="00C232D7">
            <w:pPr>
              <w:spacing w:before="40" w:after="40" w:line="360" w:lineRule="auto"/>
              <w:rPr>
                <w:rFonts w:ascii="Arial" w:hAnsi="Arial" w:cs="Arial"/>
                <w:sz w:val="18"/>
                <w:highlight w:val="yellow"/>
                <w:lang w:val="sq-AL"/>
              </w:rPr>
            </w:pPr>
            <w:r w:rsidRPr="009D6E37">
              <w:rPr>
                <w:rFonts w:ascii="Arial" w:hAnsi="Arial" w:cs="Arial"/>
                <w:color w:val="000000"/>
                <w:sz w:val="18"/>
              </w:rPr>
              <w:t>12,454</w:t>
            </w:r>
          </w:p>
        </w:tc>
        <w:tc>
          <w:tcPr>
            <w:tcW w:w="1729" w:type="pct"/>
            <w:vAlign w:val="center"/>
          </w:tcPr>
          <w:p w14:paraId="17E08C81" w14:textId="77777777" w:rsidR="00C232D7" w:rsidRPr="009D6E37" w:rsidRDefault="00C232D7" w:rsidP="00C232D7">
            <w:pPr>
              <w:spacing w:before="40" w:after="40" w:line="360" w:lineRule="auto"/>
              <w:rPr>
                <w:rFonts w:ascii="Arial" w:hAnsi="Arial" w:cs="Arial"/>
                <w:sz w:val="18"/>
                <w:highlight w:val="yellow"/>
                <w:lang w:val="sq-AL"/>
              </w:rPr>
            </w:pPr>
            <w:r w:rsidRPr="009D6E37">
              <w:rPr>
                <w:rFonts w:ascii="Arial" w:hAnsi="Arial" w:cs="Arial"/>
                <w:color w:val="000000"/>
                <w:sz w:val="18"/>
              </w:rPr>
              <w:t>6,982</w:t>
            </w:r>
          </w:p>
        </w:tc>
      </w:tr>
      <w:tr w:rsidR="00C232D7" w:rsidRPr="002A6F4E" w14:paraId="3E9A34DE" w14:textId="77777777" w:rsidTr="00C232D7">
        <w:trPr>
          <w:jc w:val="center"/>
        </w:trPr>
        <w:tc>
          <w:tcPr>
            <w:tcW w:w="1596" w:type="pct"/>
            <w:vAlign w:val="center"/>
          </w:tcPr>
          <w:p w14:paraId="32432785" w14:textId="77777777" w:rsidR="00C232D7" w:rsidRPr="009D6E37" w:rsidRDefault="00C232D7" w:rsidP="00C232D7">
            <w:pPr>
              <w:spacing w:before="40" w:after="40"/>
              <w:ind w:left="-14"/>
              <w:jc w:val="left"/>
              <w:rPr>
                <w:rFonts w:ascii="Arial" w:hAnsi="Arial" w:cs="Arial"/>
                <w:sz w:val="18"/>
                <w:lang w:val="sq-AL"/>
              </w:rPr>
            </w:pPr>
            <w:r w:rsidRPr="009D6E37">
              <w:rPr>
                <w:rFonts w:ascii="Arial" w:hAnsi="Arial" w:cs="Arial"/>
                <w:sz w:val="18"/>
                <w:lang w:val="sq-AL"/>
              </w:rPr>
              <w:t>DANILOVGRAD</w:t>
            </w:r>
          </w:p>
        </w:tc>
        <w:tc>
          <w:tcPr>
            <w:tcW w:w="1675" w:type="pct"/>
            <w:shd w:val="clear" w:color="auto" w:fill="auto"/>
            <w:vAlign w:val="center"/>
          </w:tcPr>
          <w:p w14:paraId="554FE19F" w14:textId="77777777" w:rsidR="00C232D7" w:rsidRPr="009D6E37" w:rsidRDefault="00C232D7" w:rsidP="00C232D7">
            <w:pPr>
              <w:spacing w:before="40" w:after="40"/>
              <w:jc w:val="left"/>
              <w:rPr>
                <w:rFonts w:ascii="Arial" w:hAnsi="Arial" w:cs="Arial"/>
                <w:sz w:val="18"/>
                <w:lang w:val="sq-AL"/>
              </w:rPr>
            </w:pPr>
            <w:r w:rsidRPr="009D6E37">
              <w:rPr>
                <w:rFonts w:ascii="Arial" w:hAnsi="Arial" w:cs="Arial"/>
                <w:color w:val="000000"/>
                <w:sz w:val="18"/>
              </w:rPr>
              <w:t>18,468</w:t>
            </w:r>
          </w:p>
        </w:tc>
        <w:tc>
          <w:tcPr>
            <w:tcW w:w="1729" w:type="pct"/>
            <w:vAlign w:val="center"/>
          </w:tcPr>
          <w:p w14:paraId="748F7576" w14:textId="77777777" w:rsidR="00C232D7" w:rsidRPr="009D6E37" w:rsidRDefault="00C232D7" w:rsidP="00C232D7">
            <w:pPr>
              <w:spacing w:before="40" w:after="40"/>
              <w:jc w:val="left"/>
              <w:rPr>
                <w:rFonts w:ascii="Arial" w:hAnsi="Arial" w:cs="Arial"/>
                <w:sz w:val="18"/>
                <w:highlight w:val="yellow"/>
                <w:lang w:val="sq-AL"/>
              </w:rPr>
            </w:pPr>
            <w:r w:rsidRPr="009D6E37">
              <w:rPr>
                <w:rFonts w:ascii="Arial" w:hAnsi="Arial" w:cs="Arial"/>
                <w:color w:val="000000"/>
                <w:sz w:val="18"/>
              </w:rPr>
              <w:t>8,580</w:t>
            </w:r>
          </w:p>
        </w:tc>
      </w:tr>
      <w:tr w:rsidR="00C232D7" w:rsidRPr="002A6F4E" w14:paraId="2C4EF337" w14:textId="77777777" w:rsidTr="00C232D7">
        <w:trPr>
          <w:jc w:val="center"/>
        </w:trPr>
        <w:tc>
          <w:tcPr>
            <w:tcW w:w="1596" w:type="pct"/>
            <w:vAlign w:val="center"/>
          </w:tcPr>
          <w:p w14:paraId="3CEAEC02" w14:textId="77777777" w:rsidR="00C232D7" w:rsidRPr="009D6E37" w:rsidRDefault="00C232D7" w:rsidP="00C232D7">
            <w:pPr>
              <w:spacing w:before="40" w:after="40" w:line="360" w:lineRule="auto"/>
              <w:ind w:left="-14"/>
              <w:rPr>
                <w:rFonts w:ascii="Arial" w:hAnsi="Arial" w:cs="Arial"/>
                <w:sz w:val="18"/>
                <w:lang w:val="sq-AL"/>
              </w:rPr>
            </w:pPr>
            <w:r w:rsidRPr="009D6E37">
              <w:rPr>
                <w:rFonts w:ascii="Arial" w:hAnsi="Arial" w:cs="Arial"/>
                <w:sz w:val="18"/>
                <w:lang w:val="sq-AL"/>
              </w:rPr>
              <w:t>ZETA</w:t>
            </w:r>
          </w:p>
        </w:tc>
        <w:tc>
          <w:tcPr>
            <w:tcW w:w="1675" w:type="pct"/>
            <w:shd w:val="clear" w:color="auto" w:fill="auto"/>
            <w:vAlign w:val="center"/>
          </w:tcPr>
          <w:p w14:paraId="1B6CEDE2" w14:textId="77777777" w:rsidR="00C232D7" w:rsidRPr="009D6E37" w:rsidRDefault="00C232D7" w:rsidP="00C232D7">
            <w:pPr>
              <w:spacing w:before="40" w:after="40" w:line="360" w:lineRule="auto"/>
              <w:rPr>
                <w:rFonts w:ascii="Arial" w:hAnsi="Arial" w:cs="Arial"/>
                <w:color w:val="000000"/>
                <w:sz w:val="18"/>
                <w:lang w:val="sq-AL"/>
              </w:rPr>
            </w:pPr>
            <w:r w:rsidRPr="009D6E37">
              <w:rPr>
                <w:rFonts w:ascii="Arial" w:hAnsi="Arial" w:cs="Arial"/>
                <w:color w:val="000000"/>
                <w:sz w:val="18"/>
              </w:rPr>
              <w:t>16,142</w:t>
            </w:r>
          </w:p>
        </w:tc>
        <w:tc>
          <w:tcPr>
            <w:tcW w:w="1729" w:type="pct"/>
            <w:vAlign w:val="center"/>
          </w:tcPr>
          <w:p w14:paraId="3CEEB2D2" w14:textId="77777777" w:rsidR="00C232D7" w:rsidRPr="009D6E37" w:rsidRDefault="00C232D7" w:rsidP="00C232D7">
            <w:pPr>
              <w:spacing w:before="40" w:after="40" w:line="360" w:lineRule="auto"/>
              <w:rPr>
                <w:rFonts w:ascii="Arial" w:hAnsi="Arial" w:cs="Arial"/>
                <w:color w:val="000000"/>
                <w:sz w:val="18"/>
                <w:highlight w:val="yellow"/>
                <w:lang w:val="sq-AL"/>
              </w:rPr>
            </w:pPr>
            <w:r w:rsidRPr="009D6E37">
              <w:rPr>
                <w:rFonts w:ascii="Arial" w:hAnsi="Arial" w:cs="Arial"/>
                <w:color w:val="000000"/>
                <w:sz w:val="18"/>
              </w:rPr>
              <w:t>6,868</w:t>
            </w:r>
          </w:p>
        </w:tc>
      </w:tr>
      <w:tr w:rsidR="00C232D7" w:rsidRPr="002A6F4E" w14:paraId="2C230F8C" w14:textId="77777777" w:rsidTr="00C232D7">
        <w:trPr>
          <w:trHeight w:val="445"/>
          <w:jc w:val="center"/>
        </w:trPr>
        <w:tc>
          <w:tcPr>
            <w:tcW w:w="1596" w:type="pct"/>
            <w:shd w:val="clear" w:color="auto" w:fill="E2EFD9" w:themeFill="accent6" w:themeFillTint="33"/>
            <w:vAlign w:val="center"/>
          </w:tcPr>
          <w:p w14:paraId="6BD53F0C" w14:textId="77777777" w:rsidR="00C232D7" w:rsidRPr="009D6E37" w:rsidRDefault="00C232D7" w:rsidP="00C232D7">
            <w:pPr>
              <w:spacing w:before="40" w:after="40" w:line="360" w:lineRule="auto"/>
              <w:ind w:left="-14"/>
              <w:rPr>
                <w:rFonts w:ascii="Arial" w:hAnsi="Arial" w:cs="Arial"/>
                <w:b/>
                <w:bCs/>
                <w:sz w:val="18"/>
                <w:lang w:val="sq-AL"/>
              </w:rPr>
            </w:pPr>
            <w:r w:rsidRPr="009D6E37">
              <w:rPr>
                <w:rFonts w:ascii="Arial" w:hAnsi="Arial" w:cs="Arial"/>
                <w:b/>
                <w:bCs/>
                <w:sz w:val="18"/>
                <w:lang w:val="sq-AL"/>
              </w:rPr>
              <w:t>Ukupno</w:t>
            </w:r>
          </w:p>
        </w:tc>
        <w:tc>
          <w:tcPr>
            <w:tcW w:w="1675" w:type="pct"/>
            <w:shd w:val="clear" w:color="auto" w:fill="E2EFD9" w:themeFill="accent6" w:themeFillTint="33"/>
            <w:vAlign w:val="bottom"/>
          </w:tcPr>
          <w:p w14:paraId="6EE0A6CB" w14:textId="77777777" w:rsidR="00C232D7" w:rsidRPr="009D6E37" w:rsidRDefault="00C232D7" w:rsidP="00C232D7">
            <w:pPr>
              <w:spacing w:before="40" w:after="40" w:line="360" w:lineRule="auto"/>
              <w:rPr>
                <w:rFonts w:ascii="Arial" w:hAnsi="Arial" w:cs="Arial"/>
                <w:b/>
                <w:bCs/>
                <w:sz w:val="18"/>
                <w:lang w:val="sq-AL"/>
              </w:rPr>
            </w:pPr>
            <w:r w:rsidRPr="009D6E37">
              <w:rPr>
                <w:rFonts w:ascii="Arial" w:hAnsi="Arial" w:cs="Arial"/>
                <w:b/>
                <w:bCs/>
                <w:color w:val="000000"/>
                <w:sz w:val="18"/>
              </w:rPr>
              <w:t>243,368</w:t>
            </w:r>
          </w:p>
        </w:tc>
        <w:tc>
          <w:tcPr>
            <w:tcW w:w="1729" w:type="pct"/>
            <w:shd w:val="clear" w:color="auto" w:fill="E2EFD9" w:themeFill="accent6" w:themeFillTint="33"/>
            <w:vAlign w:val="bottom"/>
          </w:tcPr>
          <w:p w14:paraId="3B6BA844" w14:textId="77777777" w:rsidR="00C232D7" w:rsidRPr="009D6E37" w:rsidRDefault="00C232D7" w:rsidP="00C232D7">
            <w:pPr>
              <w:spacing w:before="40" w:after="40" w:line="360" w:lineRule="auto"/>
              <w:rPr>
                <w:rFonts w:ascii="Arial" w:hAnsi="Arial" w:cs="Arial"/>
                <w:b/>
                <w:bCs/>
                <w:sz w:val="18"/>
                <w:highlight w:val="yellow"/>
                <w:lang w:val="sq-AL"/>
              </w:rPr>
            </w:pPr>
            <w:r w:rsidRPr="009D6E37">
              <w:rPr>
                <w:rFonts w:ascii="Arial" w:hAnsi="Arial" w:cs="Arial"/>
                <w:b/>
                <w:bCs/>
                <w:color w:val="000000"/>
                <w:sz w:val="18"/>
              </w:rPr>
              <w:t>133,948</w:t>
            </w:r>
          </w:p>
        </w:tc>
      </w:tr>
    </w:tbl>
    <w:p w14:paraId="158E31CD" w14:textId="77777777" w:rsidR="002D0573" w:rsidRDefault="002D0573" w:rsidP="00C232D7">
      <w:pPr>
        <w:spacing w:before="120" w:after="120" w:line="360" w:lineRule="auto"/>
        <w:rPr>
          <w:rFonts w:ascii="Arial" w:hAnsi="Arial" w:cs="Arial"/>
          <w:lang w:val="sq-AL"/>
        </w:rPr>
      </w:pPr>
      <w:bookmarkStart w:id="894" w:name="_Hlk117089871"/>
    </w:p>
    <w:p w14:paraId="61FDA834" w14:textId="565BDBFB" w:rsidR="00C232D7" w:rsidRDefault="00C232D7" w:rsidP="00C232D7">
      <w:pPr>
        <w:spacing w:before="120" w:after="120" w:line="360" w:lineRule="auto"/>
        <w:rPr>
          <w:rFonts w:ascii="Arial" w:hAnsi="Arial" w:cs="Arial"/>
          <w:lang w:val="sq-AL"/>
        </w:rPr>
      </w:pPr>
      <w:r w:rsidRPr="002A6F4E">
        <w:rPr>
          <w:rFonts w:ascii="Arial" w:hAnsi="Arial" w:cs="Arial"/>
          <w:lang w:val="sq-AL"/>
        </w:rPr>
        <w:t xml:space="preserve">Infrastruktura za upravljanje otpadom za koju se predlaže da bude operativna u centralnom </w:t>
      </w:r>
      <w:r w:rsidR="000D3FCC">
        <w:rPr>
          <w:rFonts w:ascii="Arial" w:hAnsi="Arial" w:cs="Arial"/>
          <w:lang w:val="sq-AL"/>
        </w:rPr>
        <w:t>regionu</w:t>
      </w:r>
      <w:r w:rsidR="000D3FCC" w:rsidRPr="002A6F4E">
        <w:rPr>
          <w:rFonts w:ascii="Arial" w:hAnsi="Arial" w:cs="Arial"/>
          <w:lang w:val="sq-AL"/>
        </w:rPr>
        <w:t xml:space="preserve"> </w:t>
      </w:r>
      <w:r w:rsidRPr="002A6F4E">
        <w:rPr>
          <w:rFonts w:ascii="Arial" w:hAnsi="Arial" w:cs="Arial"/>
          <w:lang w:val="sq-AL"/>
        </w:rPr>
        <w:t xml:space="preserve">prikazana je u </w:t>
      </w:r>
      <w:r w:rsidR="00F2503C">
        <w:rPr>
          <w:rFonts w:ascii="Arial" w:hAnsi="Arial" w:cs="Arial"/>
          <w:lang w:val="sq-AL"/>
        </w:rPr>
        <w:t xml:space="preserve">sledećoj </w:t>
      </w:r>
      <w:r w:rsidRPr="002A6F4E">
        <w:rPr>
          <w:rFonts w:ascii="Arial" w:hAnsi="Arial" w:cs="Arial"/>
          <w:lang w:val="sq-AL"/>
        </w:rPr>
        <w:t>tabeli</w:t>
      </w:r>
      <w:bookmarkStart w:id="895" w:name="_Toc110612553"/>
      <w:bookmarkStart w:id="896" w:name="_Toc117607242"/>
      <w:bookmarkStart w:id="897" w:name="_Toc110350560"/>
      <w:bookmarkStart w:id="898" w:name="_Toc110350465"/>
      <w:r w:rsidRPr="002A6F4E">
        <w:rPr>
          <w:rFonts w:ascii="Arial" w:hAnsi="Arial" w:cs="Arial"/>
          <w:lang w:val="sq-AL"/>
        </w:rPr>
        <w:t>.</w:t>
      </w:r>
    </w:p>
    <w:p w14:paraId="1D1312FD" w14:textId="1DC06F0A" w:rsidR="00120736" w:rsidRDefault="00120736" w:rsidP="00C232D7">
      <w:pPr>
        <w:spacing w:before="120" w:after="120" w:line="360" w:lineRule="auto"/>
        <w:rPr>
          <w:rFonts w:ascii="Arial" w:hAnsi="Arial" w:cs="Arial"/>
          <w:lang w:val="sq-AL"/>
        </w:rPr>
      </w:pPr>
    </w:p>
    <w:p w14:paraId="7A708428" w14:textId="267994E1" w:rsidR="00120736" w:rsidRDefault="00120736" w:rsidP="00C232D7">
      <w:pPr>
        <w:spacing w:before="120" w:after="120" w:line="360" w:lineRule="auto"/>
        <w:rPr>
          <w:rFonts w:ascii="Arial" w:hAnsi="Arial" w:cs="Arial"/>
          <w:lang w:val="sq-AL"/>
        </w:rPr>
      </w:pPr>
    </w:p>
    <w:p w14:paraId="2151301E" w14:textId="0F8EE21C" w:rsidR="00120736" w:rsidRDefault="00120736" w:rsidP="00C232D7">
      <w:pPr>
        <w:spacing w:before="120" w:after="120" w:line="360" w:lineRule="auto"/>
        <w:rPr>
          <w:rFonts w:ascii="Arial" w:hAnsi="Arial" w:cs="Arial"/>
          <w:lang w:val="sq-AL"/>
        </w:rPr>
      </w:pPr>
    </w:p>
    <w:p w14:paraId="77851406" w14:textId="126CE0BD" w:rsidR="00120736" w:rsidRDefault="00120736" w:rsidP="00C232D7">
      <w:pPr>
        <w:spacing w:before="120" w:after="120" w:line="360" w:lineRule="auto"/>
        <w:rPr>
          <w:rFonts w:ascii="Arial" w:hAnsi="Arial" w:cs="Arial"/>
          <w:lang w:val="sq-AL"/>
        </w:rPr>
      </w:pPr>
    </w:p>
    <w:p w14:paraId="30AED2E1" w14:textId="77777777" w:rsidR="004D2EA8" w:rsidRDefault="004D2EA8" w:rsidP="00C232D7">
      <w:pPr>
        <w:spacing w:before="120" w:after="120" w:line="360" w:lineRule="auto"/>
        <w:rPr>
          <w:rFonts w:ascii="Arial" w:hAnsi="Arial" w:cs="Arial"/>
          <w:lang w:val="sq-AL"/>
        </w:rPr>
      </w:pPr>
    </w:p>
    <w:p w14:paraId="53301B27" w14:textId="77777777" w:rsidR="0016387A" w:rsidRPr="002A6F4E" w:rsidRDefault="0016387A" w:rsidP="00C232D7">
      <w:pPr>
        <w:spacing w:before="120" w:after="120" w:line="360" w:lineRule="auto"/>
        <w:rPr>
          <w:rFonts w:ascii="Arial" w:hAnsi="Arial" w:cs="Arial"/>
          <w:lang w:val="sq-AL"/>
        </w:rPr>
      </w:pPr>
    </w:p>
    <w:p w14:paraId="5B2AB86B" w14:textId="5E38E738" w:rsidR="00C232D7" w:rsidRPr="00F2503C" w:rsidRDefault="00C232D7" w:rsidP="00C232D7">
      <w:pPr>
        <w:pStyle w:val="Caption"/>
        <w:rPr>
          <w:rFonts w:ascii="Arial" w:hAnsi="Arial" w:cs="Arial"/>
          <w:b w:val="0"/>
          <w:szCs w:val="20"/>
          <w:lang w:val="sq-AL"/>
        </w:rPr>
      </w:pPr>
      <w:bookmarkStart w:id="899" w:name="_Toc189515617"/>
      <w:bookmarkStart w:id="900" w:name="_Toc190160733"/>
      <w:bookmarkStart w:id="901" w:name="_Hlk123493179"/>
      <w:bookmarkEnd w:id="895"/>
      <w:bookmarkEnd w:id="896"/>
      <w:bookmarkEnd w:id="897"/>
      <w:bookmarkEnd w:id="898"/>
      <w:r w:rsidRPr="00F2503C">
        <w:rPr>
          <w:rFonts w:ascii="Arial" w:hAnsi="Arial" w:cs="Arial"/>
          <w:b w:val="0"/>
          <w:szCs w:val="20"/>
          <w:lang w:val="sq-AL"/>
        </w:rPr>
        <w:lastRenderedPageBreak/>
        <w:t xml:space="preserve">Tabela </w:t>
      </w:r>
      <w:r w:rsidRPr="00F2503C">
        <w:rPr>
          <w:rFonts w:ascii="Arial" w:hAnsi="Arial" w:cs="Arial"/>
          <w:b w:val="0"/>
          <w:szCs w:val="20"/>
        </w:rPr>
        <w:fldChar w:fldCharType="begin"/>
      </w:r>
      <w:r w:rsidRPr="00F2503C">
        <w:rPr>
          <w:rFonts w:ascii="Arial" w:hAnsi="Arial" w:cs="Arial"/>
          <w:b w:val="0"/>
          <w:szCs w:val="20"/>
          <w:lang w:val="sq-AL"/>
        </w:rPr>
        <w:instrText xml:space="preserve"> SEQ Tabela \* ARABIC </w:instrText>
      </w:r>
      <w:r w:rsidRPr="00F2503C">
        <w:rPr>
          <w:rFonts w:ascii="Arial" w:hAnsi="Arial" w:cs="Arial"/>
          <w:b w:val="0"/>
          <w:szCs w:val="20"/>
        </w:rPr>
        <w:fldChar w:fldCharType="separate"/>
      </w:r>
      <w:r w:rsidR="007274DA">
        <w:rPr>
          <w:rFonts w:ascii="Arial" w:hAnsi="Arial" w:cs="Arial"/>
          <w:b w:val="0"/>
          <w:noProof/>
          <w:szCs w:val="20"/>
          <w:lang w:val="sq-AL"/>
        </w:rPr>
        <w:t>42</w:t>
      </w:r>
      <w:r w:rsidRPr="00F2503C">
        <w:rPr>
          <w:rFonts w:ascii="Arial" w:hAnsi="Arial" w:cs="Arial"/>
          <w:b w:val="0"/>
          <w:szCs w:val="20"/>
        </w:rPr>
        <w:fldChar w:fldCharType="end"/>
      </w:r>
      <w:r w:rsidRPr="00F2503C">
        <w:rPr>
          <w:rFonts w:ascii="Arial" w:hAnsi="Arial" w:cs="Arial"/>
          <w:b w:val="0"/>
          <w:szCs w:val="20"/>
          <w:lang w:val="sq-AL"/>
        </w:rPr>
        <w:t xml:space="preserve"> Predložena infrastruktura upravljanja otpadom koja opslužuje Centralni </w:t>
      </w:r>
      <w:bookmarkEnd w:id="899"/>
      <w:bookmarkEnd w:id="900"/>
      <w:r w:rsidR="00B06B86">
        <w:rPr>
          <w:rFonts w:ascii="Arial" w:hAnsi="Arial" w:cs="Arial"/>
          <w:b w:val="0"/>
          <w:szCs w:val="20"/>
          <w:lang w:val="sq-AL"/>
        </w:rPr>
        <w:t>region</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696"/>
        <w:gridCol w:w="1418"/>
        <w:gridCol w:w="1418"/>
        <w:gridCol w:w="1220"/>
        <w:gridCol w:w="2244"/>
        <w:gridCol w:w="1356"/>
      </w:tblGrid>
      <w:tr w:rsidR="00C232D7" w:rsidRPr="002A6F4E" w14:paraId="0DCB6DC1" w14:textId="77777777" w:rsidTr="00F755AE">
        <w:trPr>
          <w:tblHeader/>
          <w:jc w:val="center"/>
        </w:trPr>
        <w:tc>
          <w:tcPr>
            <w:tcW w:w="907" w:type="pct"/>
            <w:shd w:val="clear" w:color="auto" w:fill="F2F2F2" w:themeFill="background1" w:themeFillShade="F2"/>
            <w:vAlign w:val="center"/>
          </w:tcPr>
          <w:p w14:paraId="10F1BF6F" w14:textId="77777777" w:rsidR="00C232D7" w:rsidRPr="009D6E37" w:rsidRDefault="00C232D7" w:rsidP="00C232D7">
            <w:pPr>
              <w:spacing w:before="40" w:after="40" w:line="360" w:lineRule="auto"/>
              <w:rPr>
                <w:rFonts w:ascii="Arial" w:hAnsi="Arial" w:cs="Arial"/>
                <w:b/>
                <w:bCs/>
                <w:sz w:val="18"/>
                <w:szCs w:val="18"/>
                <w:lang w:val="sq-AL"/>
              </w:rPr>
            </w:pPr>
            <w:bookmarkStart w:id="902" w:name="_Hlk110343711"/>
            <w:r w:rsidRPr="009D6E37">
              <w:rPr>
                <w:rFonts w:ascii="Arial" w:hAnsi="Arial" w:cs="Arial"/>
                <w:b/>
                <w:bCs/>
                <w:sz w:val="18"/>
                <w:szCs w:val="18"/>
                <w:lang w:val="sq-AL"/>
              </w:rPr>
              <w:t>Opština</w:t>
            </w:r>
          </w:p>
        </w:tc>
        <w:tc>
          <w:tcPr>
            <w:tcW w:w="758" w:type="pct"/>
            <w:shd w:val="clear" w:color="auto" w:fill="F2F2F2" w:themeFill="background1" w:themeFillShade="F2"/>
          </w:tcPr>
          <w:p w14:paraId="2549C1A5" w14:textId="77777777" w:rsidR="00C232D7" w:rsidRPr="009D6E37" w:rsidRDefault="00C232D7" w:rsidP="00C232D7">
            <w:pPr>
              <w:spacing w:before="40" w:after="40" w:line="360" w:lineRule="auto"/>
              <w:rPr>
                <w:rFonts w:ascii="Arial" w:hAnsi="Arial" w:cs="Arial"/>
                <w:b/>
                <w:bCs/>
                <w:sz w:val="18"/>
                <w:szCs w:val="18"/>
                <w:lang w:val="sq-AL"/>
              </w:rPr>
            </w:pPr>
            <w:r w:rsidRPr="009D6E37">
              <w:rPr>
                <w:rFonts w:ascii="Arial" w:hAnsi="Arial" w:cs="Arial"/>
                <w:b/>
                <w:bCs/>
                <w:sz w:val="18"/>
                <w:szCs w:val="18"/>
                <w:lang w:val="sq-AL"/>
              </w:rPr>
              <w:t>Lokacija</w:t>
            </w:r>
          </w:p>
        </w:tc>
        <w:tc>
          <w:tcPr>
            <w:tcW w:w="758" w:type="pct"/>
            <w:shd w:val="clear" w:color="auto" w:fill="F2F2F2" w:themeFill="background1" w:themeFillShade="F2"/>
            <w:vAlign w:val="center"/>
          </w:tcPr>
          <w:p w14:paraId="199692E3" w14:textId="77777777" w:rsidR="00C232D7" w:rsidRPr="009D6E37" w:rsidRDefault="00C232D7" w:rsidP="00C232D7">
            <w:pPr>
              <w:spacing w:before="40" w:after="40" w:line="360" w:lineRule="auto"/>
              <w:rPr>
                <w:rFonts w:ascii="Arial" w:hAnsi="Arial" w:cs="Arial"/>
                <w:b/>
                <w:bCs/>
                <w:sz w:val="18"/>
                <w:szCs w:val="18"/>
                <w:lang w:val="sq-AL"/>
              </w:rPr>
            </w:pPr>
            <w:r w:rsidRPr="009D6E37">
              <w:rPr>
                <w:rFonts w:ascii="Arial" w:hAnsi="Arial" w:cs="Arial"/>
                <w:b/>
                <w:bCs/>
                <w:sz w:val="18"/>
                <w:szCs w:val="18"/>
                <w:lang w:val="sq-AL"/>
              </w:rPr>
              <w:t>Vrsta postrojenja</w:t>
            </w:r>
          </w:p>
        </w:tc>
        <w:tc>
          <w:tcPr>
            <w:tcW w:w="652" w:type="pct"/>
            <w:shd w:val="clear" w:color="auto" w:fill="F2F2F2" w:themeFill="background1" w:themeFillShade="F2"/>
            <w:vAlign w:val="center"/>
          </w:tcPr>
          <w:p w14:paraId="408DCDEE" w14:textId="77777777" w:rsidR="00C232D7" w:rsidRPr="009D6E37" w:rsidRDefault="00C232D7" w:rsidP="00C232D7">
            <w:pPr>
              <w:spacing w:before="40" w:after="40" w:line="360" w:lineRule="auto"/>
              <w:rPr>
                <w:rFonts w:ascii="Arial" w:hAnsi="Arial" w:cs="Arial"/>
                <w:b/>
                <w:bCs/>
                <w:sz w:val="18"/>
                <w:szCs w:val="18"/>
                <w:lang w:val="sq-AL"/>
              </w:rPr>
            </w:pPr>
            <w:r w:rsidRPr="009D6E37">
              <w:rPr>
                <w:rFonts w:ascii="Arial" w:hAnsi="Arial" w:cs="Arial"/>
                <w:b/>
                <w:bCs/>
                <w:sz w:val="18"/>
                <w:szCs w:val="18"/>
                <w:lang w:val="sq-AL"/>
              </w:rPr>
              <w:t>Status</w:t>
            </w:r>
          </w:p>
        </w:tc>
        <w:tc>
          <w:tcPr>
            <w:tcW w:w="1200" w:type="pct"/>
            <w:shd w:val="clear" w:color="auto" w:fill="F2F2F2" w:themeFill="background1" w:themeFillShade="F2"/>
            <w:vAlign w:val="center"/>
          </w:tcPr>
          <w:p w14:paraId="1B21F788" w14:textId="77777777" w:rsidR="00C232D7" w:rsidRPr="009D6E37" w:rsidRDefault="00C232D7" w:rsidP="00C232D7">
            <w:pPr>
              <w:spacing w:before="40" w:after="40" w:line="360" w:lineRule="auto"/>
              <w:rPr>
                <w:rFonts w:ascii="Arial" w:hAnsi="Arial" w:cs="Arial"/>
                <w:b/>
                <w:bCs/>
                <w:sz w:val="18"/>
                <w:szCs w:val="18"/>
                <w:lang w:val="sq-AL"/>
              </w:rPr>
            </w:pPr>
            <w:r w:rsidRPr="009D6E37">
              <w:rPr>
                <w:rFonts w:ascii="Arial" w:hAnsi="Arial" w:cs="Arial"/>
                <w:b/>
                <w:bCs/>
                <w:sz w:val="18"/>
                <w:szCs w:val="18"/>
                <w:lang w:val="sq-AL"/>
              </w:rPr>
              <w:t>Vrsta ulazne frakcije otpada</w:t>
            </w:r>
          </w:p>
        </w:tc>
        <w:tc>
          <w:tcPr>
            <w:tcW w:w="727" w:type="pct"/>
            <w:shd w:val="clear" w:color="auto" w:fill="F2F2F2" w:themeFill="background1" w:themeFillShade="F2"/>
            <w:vAlign w:val="center"/>
          </w:tcPr>
          <w:p w14:paraId="0121EE9B" w14:textId="290B46DB" w:rsidR="00C232D7" w:rsidRPr="009D6E37" w:rsidRDefault="00C232D7" w:rsidP="00FE289C">
            <w:pPr>
              <w:spacing w:before="40" w:after="40" w:line="360" w:lineRule="auto"/>
              <w:rPr>
                <w:rFonts w:ascii="Arial" w:hAnsi="Arial" w:cs="Arial"/>
                <w:b/>
                <w:bCs/>
                <w:sz w:val="18"/>
                <w:szCs w:val="18"/>
                <w:lang w:val="sq-AL"/>
              </w:rPr>
            </w:pPr>
            <w:r w:rsidRPr="009D6E37">
              <w:rPr>
                <w:rFonts w:ascii="Arial" w:hAnsi="Arial" w:cs="Arial"/>
                <w:b/>
                <w:bCs/>
                <w:sz w:val="18"/>
                <w:szCs w:val="18"/>
                <w:lang w:val="sq-AL"/>
              </w:rPr>
              <w:t xml:space="preserve">Kapacitet (t/god) – </w:t>
            </w:r>
            <w:r w:rsidR="00FE289C" w:rsidRPr="009D6E37">
              <w:rPr>
                <w:rFonts w:ascii="Arial" w:hAnsi="Arial" w:cs="Arial"/>
                <w:b/>
                <w:bCs/>
                <w:sz w:val="18"/>
                <w:szCs w:val="18"/>
                <w:lang w:val="sq-AL"/>
              </w:rPr>
              <w:t>2029</w:t>
            </w:r>
          </w:p>
        </w:tc>
      </w:tr>
      <w:tr w:rsidR="00C232D7" w:rsidRPr="002A6F4E" w14:paraId="7EFE47DC" w14:textId="77777777" w:rsidTr="00F755AE">
        <w:trPr>
          <w:jc w:val="center"/>
        </w:trPr>
        <w:tc>
          <w:tcPr>
            <w:tcW w:w="907" w:type="pct"/>
            <w:vAlign w:val="center"/>
          </w:tcPr>
          <w:p w14:paraId="503E367E"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 xml:space="preserve">CETINJE </w:t>
            </w:r>
          </w:p>
          <w:p w14:paraId="7DBD59A5"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DANILOVGRAD</w:t>
            </w:r>
          </w:p>
          <w:p w14:paraId="64251D9A"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PODGORICA</w:t>
            </w:r>
          </w:p>
          <w:p w14:paraId="7EED9726"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ZETA</w:t>
            </w:r>
          </w:p>
          <w:p w14:paraId="7BCC96D2" w14:textId="77777777" w:rsidR="00C232D7" w:rsidRPr="009D6E37" w:rsidRDefault="00C232D7" w:rsidP="00C232D7">
            <w:pPr>
              <w:spacing w:before="40" w:after="40" w:line="360" w:lineRule="auto"/>
              <w:ind w:left="-14"/>
              <w:rPr>
                <w:rFonts w:ascii="Arial" w:hAnsi="Arial" w:cs="Arial"/>
                <w:sz w:val="18"/>
                <w:szCs w:val="18"/>
                <w:lang w:val="sq-AL"/>
              </w:rPr>
            </w:pPr>
            <w:r w:rsidRPr="009D6E37">
              <w:rPr>
                <w:rFonts w:ascii="Arial" w:hAnsi="Arial" w:cs="Arial"/>
                <w:color w:val="000000"/>
                <w:sz w:val="18"/>
                <w:szCs w:val="18"/>
                <w:lang w:val="sq-AL"/>
              </w:rPr>
              <w:t>TUZI</w:t>
            </w:r>
          </w:p>
        </w:tc>
        <w:tc>
          <w:tcPr>
            <w:tcW w:w="758" w:type="pct"/>
            <w:vAlign w:val="center"/>
          </w:tcPr>
          <w:p w14:paraId="72C2E69B" w14:textId="77777777" w:rsidR="00C232D7" w:rsidRPr="009D6E37" w:rsidRDefault="00C232D7" w:rsidP="00C232D7">
            <w:pPr>
              <w:spacing w:before="40" w:after="40" w:line="360" w:lineRule="auto"/>
              <w:rPr>
                <w:rFonts w:ascii="Arial" w:hAnsi="Arial" w:cs="Arial"/>
                <w:color w:val="000000"/>
                <w:sz w:val="18"/>
                <w:szCs w:val="18"/>
                <w:lang w:val="sq-AL"/>
              </w:rPr>
            </w:pPr>
            <w:r w:rsidRPr="009D6E37">
              <w:rPr>
                <w:rFonts w:ascii="Arial" w:hAnsi="Arial" w:cs="Arial"/>
                <w:color w:val="000000"/>
                <w:sz w:val="18"/>
                <w:szCs w:val="18"/>
                <w:lang w:val="sq-AL"/>
              </w:rPr>
              <w:t>Podgorica</w:t>
            </w:r>
          </w:p>
        </w:tc>
        <w:tc>
          <w:tcPr>
            <w:tcW w:w="758" w:type="pct"/>
            <w:shd w:val="clear" w:color="auto" w:fill="auto"/>
            <w:vAlign w:val="center"/>
          </w:tcPr>
          <w:p w14:paraId="3A15ACF0" w14:textId="77777777" w:rsidR="00C232D7" w:rsidRPr="009D6E37" w:rsidRDefault="00C232D7" w:rsidP="00C232D7">
            <w:pPr>
              <w:spacing w:before="40" w:after="40" w:line="360" w:lineRule="auto"/>
              <w:rPr>
                <w:rFonts w:ascii="Arial" w:hAnsi="Arial" w:cs="Arial"/>
                <w:sz w:val="18"/>
                <w:szCs w:val="18"/>
                <w:lang w:val="sq-AL"/>
              </w:rPr>
            </w:pPr>
            <w:r w:rsidRPr="009D6E37">
              <w:rPr>
                <w:rFonts w:ascii="Arial" w:hAnsi="Arial" w:cs="Arial"/>
                <w:color w:val="000000"/>
                <w:sz w:val="18"/>
                <w:szCs w:val="18"/>
                <w:lang w:val="sq-AL"/>
              </w:rPr>
              <w:t>MRF</w:t>
            </w:r>
          </w:p>
        </w:tc>
        <w:tc>
          <w:tcPr>
            <w:tcW w:w="652" w:type="pct"/>
            <w:vAlign w:val="center"/>
          </w:tcPr>
          <w:p w14:paraId="6C984AED" w14:textId="77777777" w:rsidR="00C232D7" w:rsidRPr="009D6E37" w:rsidRDefault="00C232D7" w:rsidP="00C232D7">
            <w:pPr>
              <w:spacing w:before="40" w:after="40" w:line="360" w:lineRule="auto"/>
              <w:rPr>
                <w:rFonts w:ascii="Arial" w:hAnsi="Arial" w:cs="Arial"/>
                <w:sz w:val="18"/>
                <w:szCs w:val="18"/>
                <w:lang w:val="sq-AL"/>
              </w:rPr>
            </w:pPr>
            <w:r w:rsidRPr="009D6E37">
              <w:rPr>
                <w:rFonts w:ascii="Arial" w:hAnsi="Arial" w:cs="Arial"/>
                <w:color w:val="000000"/>
                <w:sz w:val="18"/>
                <w:szCs w:val="18"/>
                <w:lang w:val="sq-AL"/>
              </w:rPr>
              <w:t>Operativno</w:t>
            </w:r>
          </w:p>
        </w:tc>
        <w:tc>
          <w:tcPr>
            <w:tcW w:w="1200" w:type="pct"/>
            <w:vAlign w:val="center"/>
          </w:tcPr>
          <w:p w14:paraId="297F5AD6" w14:textId="1FF00EBD" w:rsidR="00C232D7" w:rsidRPr="009D6E37" w:rsidRDefault="00C232D7" w:rsidP="00C232D7">
            <w:pPr>
              <w:spacing w:before="40" w:after="40" w:line="360" w:lineRule="auto"/>
              <w:rPr>
                <w:rFonts w:ascii="Arial" w:hAnsi="Arial" w:cs="Arial"/>
                <w:sz w:val="18"/>
                <w:szCs w:val="18"/>
                <w:lang w:val="sq-AL"/>
              </w:rPr>
            </w:pPr>
            <w:r w:rsidRPr="009D6E37">
              <w:rPr>
                <w:rFonts w:ascii="Arial" w:hAnsi="Arial" w:cs="Arial"/>
                <w:sz w:val="18"/>
                <w:szCs w:val="18"/>
                <w:lang w:val="sq-AL"/>
              </w:rPr>
              <w:t>Odvojeno sakupljeni recikla</w:t>
            </w:r>
            <w:r w:rsidR="000D3FCC" w:rsidRPr="009D6E37">
              <w:rPr>
                <w:rFonts w:ascii="Arial" w:hAnsi="Arial" w:cs="Arial"/>
                <w:sz w:val="18"/>
                <w:szCs w:val="18"/>
                <w:lang w:val="sq-AL"/>
              </w:rPr>
              <w:t>bilni</w:t>
            </w:r>
            <w:r w:rsidRPr="009D6E37">
              <w:rPr>
                <w:rFonts w:ascii="Arial" w:hAnsi="Arial" w:cs="Arial"/>
                <w:sz w:val="18"/>
                <w:szCs w:val="18"/>
                <w:lang w:val="sq-AL"/>
              </w:rPr>
              <w:t xml:space="preserve"> materijali</w:t>
            </w:r>
          </w:p>
          <w:p w14:paraId="15CC9D96" w14:textId="77777777" w:rsidR="00C232D7" w:rsidRPr="009D6E37" w:rsidRDefault="00C232D7" w:rsidP="00C232D7">
            <w:pPr>
              <w:spacing w:before="40" w:after="40" w:line="360" w:lineRule="auto"/>
              <w:rPr>
                <w:rFonts w:ascii="Arial" w:hAnsi="Arial" w:cs="Arial"/>
                <w:sz w:val="18"/>
                <w:szCs w:val="18"/>
                <w:lang w:val="sq-AL"/>
              </w:rPr>
            </w:pPr>
          </w:p>
        </w:tc>
        <w:tc>
          <w:tcPr>
            <w:tcW w:w="727" w:type="pct"/>
            <w:vAlign w:val="center"/>
          </w:tcPr>
          <w:p w14:paraId="65C62ECC" w14:textId="77777777" w:rsidR="00C232D7" w:rsidRPr="009D6E37" w:rsidRDefault="00C232D7" w:rsidP="00C232D7">
            <w:pPr>
              <w:spacing w:before="40" w:after="40" w:line="360" w:lineRule="auto"/>
              <w:rPr>
                <w:rFonts w:ascii="Arial" w:hAnsi="Arial" w:cs="Arial"/>
                <w:sz w:val="18"/>
                <w:szCs w:val="18"/>
                <w:lang w:val="sq-AL"/>
              </w:rPr>
            </w:pPr>
            <w:r w:rsidRPr="009D6E37">
              <w:rPr>
                <w:rFonts w:ascii="Arial" w:hAnsi="Arial" w:cs="Arial"/>
                <w:sz w:val="18"/>
                <w:szCs w:val="18"/>
                <w:lang w:val="sq-AL"/>
              </w:rPr>
              <w:t>25,683</w:t>
            </w:r>
          </w:p>
        </w:tc>
      </w:tr>
      <w:tr w:rsidR="00C232D7" w:rsidRPr="002A6F4E" w14:paraId="67ABDF20" w14:textId="77777777" w:rsidTr="00F755AE">
        <w:trPr>
          <w:jc w:val="center"/>
        </w:trPr>
        <w:tc>
          <w:tcPr>
            <w:tcW w:w="907" w:type="pct"/>
            <w:vAlign w:val="center"/>
          </w:tcPr>
          <w:p w14:paraId="7C17B782"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 xml:space="preserve">CETINJE </w:t>
            </w:r>
          </w:p>
          <w:p w14:paraId="34E7E858"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DANILOVGRAD</w:t>
            </w:r>
          </w:p>
          <w:p w14:paraId="3FC94405"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PODGORICA</w:t>
            </w:r>
          </w:p>
          <w:p w14:paraId="27435BAB"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ZETA</w:t>
            </w:r>
          </w:p>
          <w:p w14:paraId="5E207F85"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TUZI</w:t>
            </w:r>
          </w:p>
          <w:p w14:paraId="1FC8E756" w14:textId="77777777" w:rsidR="00C232D7" w:rsidRPr="009D6E37" w:rsidRDefault="00C232D7" w:rsidP="00C232D7">
            <w:pPr>
              <w:spacing w:before="40" w:after="40" w:line="360" w:lineRule="auto"/>
              <w:ind w:left="-14"/>
              <w:rPr>
                <w:rFonts w:ascii="Arial" w:hAnsi="Arial" w:cs="Arial"/>
                <w:sz w:val="18"/>
                <w:szCs w:val="18"/>
                <w:lang w:val="sq-AL"/>
              </w:rPr>
            </w:pPr>
            <w:r w:rsidRPr="009D6E37">
              <w:rPr>
                <w:rFonts w:ascii="Arial" w:hAnsi="Arial" w:cs="Arial"/>
                <w:sz w:val="18"/>
                <w:szCs w:val="18"/>
                <w:lang w:val="sq-AL"/>
              </w:rPr>
              <w:t>NIKŠIĆ**</w:t>
            </w:r>
          </w:p>
        </w:tc>
        <w:tc>
          <w:tcPr>
            <w:tcW w:w="758" w:type="pct"/>
            <w:vAlign w:val="center"/>
          </w:tcPr>
          <w:p w14:paraId="795F95CC" w14:textId="77777777" w:rsidR="00C232D7" w:rsidRPr="009D6E37" w:rsidRDefault="00C232D7" w:rsidP="00F017D4">
            <w:pPr>
              <w:spacing w:before="40" w:after="40" w:line="360" w:lineRule="auto"/>
              <w:jc w:val="center"/>
              <w:rPr>
                <w:rFonts w:ascii="Arial" w:hAnsi="Arial" w:cs="Arial"/>
                <w:color w:val="000000"/>
                <w:sz w:val="18"/>
                <w:szCs w:val="18"/>
                <w:lang w:val="sq-AL"/>
              </w:rPr>
            </w:pPr>
            <w:r w:rsidRPr="009D6E37">
              <w:rPr>
                <w:rFonts w:ascii="Arial" w:hAnsi="Arial" w:cs="Arial"/>
                <w:color w:val="000000"/>
                <w:sz w:val="18"/>
                <w:szCs w:val="18"/>
                <w:lang w:val="sq-AL"/>
              </w:rPr>
              <w:t>Podgorica</w:t>
            </w:r>
          </w:p>
        </w:tc>
        <w:tc>
          <w:tcPr>
            <w:tcW w:w="758" w:type="pct"/>
            <w:shd w:val="clear" w:color="auto" w:fill="auto"/>
            <w:vAlign w:val="center"/>
          </w:tcPr>
          <w:p w14:paraId="63029EDB" w14:textId="57721E15" w:rsidR="00C232D7" w:rsidRPr="009D6E37" w:rsidRDefault="00C232D7" w:rsidP="00F017D4">
            <w:pPr>
              <w:spacing w:before="40" w:after="40" w:line="360" w:lineRule="auto"/>
              <w:jc w:val="center"/>
              <w:rPr>
                <w:rFonts w:ascii="Arial" w:hAnsi="Arial" w:cs="Arial"/>
                <w:sz w:val="18"/>
                <w:szCs w:val="18"/>
                <w:lang w:val="sq-AL"/>
              </w:rPr>
            </w:pPr>
            <w:r w:rsidRPr="009D6E37">
              <w:rPr>
                <w:rFonts w:ascii="Arial" w:hAnsi="Arial" w:cs="Arial"/>
                <w:color w:val="000000"/>
                <w:sz w:val="18"/>
                <w:szCs w:val="18"/>
                <w:lang w:val="sq-AL"/>
              </w:rPr>
              <w:t xml:space="preserve">Postrojenje za </w:t>
            </w:r>
            <w:r w:rsidR="000D3FCC" w:rsidRPr="009D6E37">
              <w:rPr>
                <w:rFonts w:ascii="Arial" w:hAnsi="Arial" w:cs="Arial"/>
                <w:color w:val="000000"/>
                <w:sz w:val="18"/>
                <w:szCs w:val="18"/>
                <w:lang w:val="sq-AL"/>
              </w:rPr>
              <w:t xml:space="preserve">obradu </w:t>
            </w:r>
            <w:r w:rsidRPr="009D6E37">
              <w:rPr>
                <w:rFonts w:ascii="Arial" w:hAnsi="Arial" w:cs="Arial"/>
                <w:color w:val="000000"/>
                <w:sz w:val="18"/>
                <w:szCs w:val="18"/>
                <w:lang w:val="sq-AL"/>
              </w:rPr>
              <w:t>biootpada*</w:t>
            </w:r>
          </w:p>
        </w:tc>
        <w:tc>
          <w:tcPr>
            <w:tcW w:w="652" w:type="pct"/>
          </w:tcPr>
          <w:p w14:paraId="76951930" w14:textId="77777777" w:rsidR="00C232D7" w:rsidRPr="009D6E37" w:rsidRDefault="00C232D7" w:rsidP="00F017D4">
            <w:pPr>
              <w:spacing w:before="40" w:after="40" w:line="360" w:lineRule="auto"/>
              <w:jc w:val="center"/>
              <w:rPr>
                <w:rFonts w:ascii="Arial" w:hAnsi="Arial" w:cs="Arial"/>
                <w:color w:val="000000"/>
                <w:sz w:val="18"/>
                <w:szCs w:val="18"/>
                <w:lang w:val="sq-AL"/>
              </w:rPr>
            </w:pPr>
          </w:p>
          <w:p w14:paraId="50F43A47" w14:textId="77777777" w:rsidR="00C232D7" w:rsidRPr="009D6E37" w:rsidRDefault="00C232D7" w:rsidP="00F017D4">
            <w:pPr>
              <w:spacing w:before="40" w:after="40" w:line="360" w:lineRule="auto"/>
              <w:jc w:val="center"/>
              <w:rPr>
                <w:rFonts w:ascii="Arial" w:hAnsi="Arial" w:cs="Arial"/>
                <w:sz w:val="18"/>
                <w:szCs w:val="18"/>
                <w:lang w:val="sq-AL"/>
              </w:rPr>
            </w:pPr>
            <w:r w:rsidRPr="009D6E37">
              <w:rPr>
                <w:rFonts w:ascii="Arial" w:hAnsi="Arial" w:cs="Arial"/>
                <w:color w:val="000000"/>
                <w:sz w:val="18"/>
                <w:szCs w:val="18"/>
                <w:lang w:val="sq-AL"/>
              </w:rPr>
              <w:t>Predloženo-novo</w:t>
            </w:r>
          </w:p>
        </w:tc>
        <w:tc>
          <w:tcPr>
            <w:tcW w:w="1200" w:type="pct"/>
            <w:vAlign w:val="center"/>
          </w:tcPr>
          <w:p w14:paraId="446C88BD" w14:textId="77777777" w:rsidR="00C232D7" w:rsidRPr="009D6E37" w:rsidRDefault="00C232D7" w:rsidP="00F017D4">
            <w:pPr>
              <w:spacing w:before="40" w:after="40" w:line="360" w:lineRule="auto"/>
              <w:jc w:val="center"/>
              <w:rPr>
                <w:rFonts w:ascii="Arial" w:hAnsi="Arial" w:cs="Arial"/>
                <w:sz w:val="18"/>
                <w:szCs w:val="18"/>
                <w:lang w:val="sq-AL"/>
              </w:rPr>
            </w:pPr>
            <w:r w:rsidRPr="009D6E37">
              <w:rPr>
                <w:rFonts w:ascii="Arial" w:hAnsi="Arial" w:cs="Arial"/>
                <w:sz w:val="18"/>
                <w:szCs w:val="18"/>
                <w:lang w:val="sq-AL"/>
              </w:rPr>
              <w:t>Odvojeno sakupljeni biootpad</w:t>
            </w:r>
          </w:p>
        </w:tc>
        <w:tc>
          <w:tcPr>
            <w:tcW w:w="727" w:type="pct"/>
            <w:vAlign w:val="center"/>
          </w:tcPr>
          <w:p w14:paraId="12C6976D" w14:textId="77777777" w:rsidR="00C232D7" w:rsidRPr="009D6E37" w:rsidRDefault="00C232D7" w:rsidP="00F017D4">
            <w:pPr>
              <w:spacing w:before="40" w:after="40" w:line="360" w:lineRule="auto"/>
              <w:jc w:val="center"/>
              <w:rPr>
                <w:rFonts w:ascii="Arial" w:hAnsi="Arial" w:cs="Arial"/>
                <w:sz w:val="18"/>
                <w:szCs w:val="18"/>
                <w:lang w:val="sq-AL"/>
              </w:rPr>
            </w:pPr>
            <w:r w:rsidRPr="009D6E37">
              <w:rPr>
                <w:rFonts w:ascii="Arial" w:hAnsi="Arial" w:cs="Arial"/>
                <w:sz w:val="18"/>
                <w:szCs w:val="18"/>
                <w:lang w:val="sq-AL"/>
              </w:rPr>
              <w:t>9,312</w:t>
            </w:r>
          </w:p>
        </w:tc>
      </w:tr>
      <w:tr w:rsidR="00C232D7" w:rsidRPr="002A6F4E" w14:paraId="4880E437" w14:textId="77777777" w:rsidTr="00F755AE">
        <w:trPr>
          <w:jc w:val="center"/>
        </w:trPr>
        <w:tc>
          <w:tcPr>
            <w:tcW w:w="907" w:type="pct"/>
            <w:vMerge w:val="restart"/>
            <w:vAlign w:val="center"/>
          </w:tcPr>
          <w:p w14:paraId="479BC71C"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 xml:space="preserve">CETINJE </w:t>
            </w:r>
          </w:p>
          <w:p w14:paraId="3E325A02"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DANILOVGRAD</w:t>
            </w:r>
          </w:p>
          <w:p w14:paraId="2CB3DA97"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PODGORICA</w:t>
            </w:r>
          </w:p>
          <w:p w14:paraId="0AD5A0DC"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ZETA</w:t>
            </w:r>
          </w:p>
          <w:p w14:paraId="4088CEC5"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TUZI</w:t>
            </w:r>
          </w:p>
          <w:p w14:paraId="5B7133E8" w14:textId="77777777" w:rsidR="00C232D7" w:rsidRPr="009D6E37" w:rsidRDefault="00C232D7" w:rsidP="00C232D7">
            <w:pPr>
              <w:spacing w:before="40" w:after="40" w:line="360" w:lineRule="auto"/>
              <w:ind w:left="-14"/>
              <w:rPr>
                <w:rFonts w:ascii="Arial" w:hAnsi="Arial" w:cs="Arial"/>
                <w:sz w:val="18"/>
                <w:szCs w:val="18"/>
                <w:lang w:val="sq-AL"/>
              </w:rPr>
            </w:pPr>
            <w:r w:rsidRPr="009D6E37">
              <w:rPr>
                <w:rFonts w:ascii="Arial" w:hAnsi="Arial" w:cs="Arial"/>
                <w:sz w:val="18"/>
                <w:szCs w:val="18"/>
                <w:lang w:val="sq-AL"/>
              </w:rPr>
              <w:t>NIKŠIĆ**</w:t>
            </w:r>
          </w:p>
        </w:tc>
        <w:tc>
          <w:tcPr>
            <w:tcW w:w="758" w:type="pct"/>
            <w:vMerge w:val="restart"/>
            <w:vAlign w:val="center"/>
          </w:tcPr>
          <w:p w14:paraId="20E12B0B" w14:textId="77777777" w:rsidR="00C232D7" w:rsidRPr="009D6E37" w:rsidRDefault="00C232D7" w:rsidP="00C232D7">
            <w:pPr>
              <w:spacing w:before="40" w:after="40" w:line="360" w:lineRule="auto"/>
              <w:rPr>
                <w:rFonts w:ascii="Arial" w:hAnsi="Arial" w:cs="Arial"/>
                <w:color w:val="000000"/>
                <w:sz w:val="18"/>
                <w:szCs w:val="18"/>
                <w:lang w:val="sq-AL"/>
              </w:rPr>
            </w:pPr>
            <w:r w:rsidRPr="009D6E37">
              <w:rPr>
                <w:rFonts w:ascii="Arial" w:hAnsi="Arial" w:cs="Arial"/>
                <w:color w:val="000000"/>
                <w:sz w:val="18"/>
                <w:szCs w:val="18"/>
                <w:lang w:val="sq-AL"/>
              </w:rPr>
              <w:t>Podgorica</w:t>
            </w:r>
          </w:p>
        </w:tc>
        <w:tc>
          <w:tcPr>
            <w:tcW w:w="758" w:type="pct"/>
            <w:shd w:val="clear" w:color="auto" w:fill="auto"/>
            <w:vAlign w:val="center"/>
          </w:tcPr>
          <w:p w14:paraId="793CFDB7" w14:textId="77777777" w:rsidR="00C232D7" w:rsidRPr="009D6E37" w:rsidRDefault="00C232D7" w:rsidP="00C232D7">
            <w:pPr>
              <w:spacing w:before="40" w:after="40" w:line="360" w:lineRule="auto"/>
              <w:rPr>
                <w:rFonts w:ascii="Arial" w:hAnsi="Arial" w:cs="Arial"/>
                <w:color w:val="000000"/>
                <w:sz w:val="18"/>
                <w:szCs w:val="18"/>
                <w:lang w:val="sq-AL"/>
              </w:rPr>
            </w:pPr>
            <w:r w:rsidRPr="00AA057A">
              <w:rPr>
                <w:rFonts w:ascii="Arial" w:hAnsi="Arial" w:cs="Arial"/>
                <w:color w:val="000000"/>
                <w:lang w:val="sq-AL"/>
              </w:rPr>
              <w:t>TDPE</w:t>
            </w:r>
          </w:p>
        </w:tc>
        <w:tc>
          <w:tcPr>
            <w:tcW w:w="652" w:type="pct"/>
          </w:tcPr>
          <w:p w14:paraId="33DE4294" w14:textId="210076BF" w:rsidR="00C232D7" w:rsidRPr="009D6E37" w:rsidRDefault="00C232D7" w:rsidP="00C232D7">
            <w:pPr>
              <w:spacing w:before="40" w:after="40" w:line="360" w:lineRule="auto"/>
              <w:rPr>
                <w:rFonts w:ascii="Arial" w:hAnsi="Arial" w:cs="Arial"/>
                <w:color w:val="000000"/>
                <w:sz w:val="18"/>
                <w:szCs w:val="18"/>
                <w:lang w:val="sq-AL"/>
              </w:rPr>
            </w:pPr>
            <w:r w:rsidRPr="009D6E37">
              <w:rPr>
                <w:rFonts w:ascii="Arial" w:hAnsi="Arial" w:cs="Arial"/>
                <w:color w:val="000000"/>
                <w:sz w:val="18"/>
                <w:szCs w:val="18"/>
                <w:lang w:val="sq-AL"/>
              </w:rPr>
              <w:t>Predloženo</w:t>
            </w:r>
            <w:r w:rsidR="000D3FCC" w:rsidRPr="009D6E37">
              <w:rPr>
                <w:rFonts w:ascii="Arial" w:hAnsi="Arial" w:cs="Arial"/>
                <w:color w:val="000000"/>
                <w:sz w:val="18"/>
                <w:szCs w:val="18"/>
                <w:lang w:val="sq-AL"/>
              </w:rPr>
              <w:t xml:space="preserve"> </w:t>
            </w:r>
            <w:r w:rsidRPr="009D6E37">
              <w:rPr>
                <w:rFonts w:ascii="Arial" w:hAnsi="Arial" w:cs="Arial"/>
                <w:color w:val="000000"/>
                <w:sz w:val="18"/>
                <w:szCs w:val="18"/>
                <w:lang w:val="sq-AL"/>
              </w:rPr>
              <w:t>-</w:t>
            </w:r>
            <w:r w:rsidR="000D3FCC" w:rsidRPr="009D6E37">
              <w:rPr>
                <w:rFonts w:ascii="Arial" w:hAnsi="Arial" w:cs="Arial"/>
                <w:color w:val="000000"/>
                <w:sz w:val="18"/>
                <w:szCs w:val="18"/>
                <w:lang w:val="sq-AL"/>
              </w:rPr>
              <w:t xml:space="preserve"> </w:t>
            </w:r>
            <w:r w:rsidRPr="009D6E37">
              <w:rPr>
                <w:rFonts w:ascii="Arial" w:hAnsi="Arial" w:cs="Arial"/>
                <w:color w:val="000000"/>
                <w:sz w:val="18"/>
                <w:szCs w:val="18"/>
                <w:lang w:val="sq-AL"/>
              </w:rPr>
              <w:t>novo</w:t>
            </w:r>
          </w:p>
        </w:tc>
        <w:tc>
          <w:tcPr>
            <w:tcW w:w="1200" w:type="pct"/>
            <w:vAlign w:val="center"/>
          </w:tcPr>
          <w:p w14:paraId="70ACED39" w14:textId="77777777" w:rsidR="00C232D7" w:rsidRPr="009D6E37" w:rsidRDefault="00C232D7" w:rsidP="00C232D7">
            <w:pPr>
              <w:spacing w:before="40" w:after="40" w:line="360" w:lineRule="auto"/>
              <w:rPr>
                <w:rFonts w:ascii="Arial" w:hAnsi="Arial" w:cs="Arial"/>
                <w:color w:val="000000"/>
                <w:sz w:val="18"/>
                <w:szCs w:val="18"/>
                <w:lang w:val="sq-AL"/>
              </w:rPr>
            </w:pPr>
            <w:r w:rsidRPr="009D6E37">
              <w:rPr>
                <w:rFonts w:ascii="Arial" w:hAnsi="Arial" w:cs="Arial"/>
                <w:color w:val="000000"/>
                <w:sz w:val="18"/>
                <w:szCs w:val="18"/>
                <w:lang w:val="sq-AL"/>
              </w:rPr>
              <w:t>Rezidualni otpad</w:t>
            </w:r>
          </w:p>
          <w:p w14:paraId="35158C28" w14:textId="77777777" w:rsidR="00C232D7" w:rsidRPr="009D6E37" w:rsidRDefault="00C232D7" w:rsidP="00C232D7">
            <w:pPr>
              <w:spacing w:before="40" w:after="40" w:line="360" w:lineRule="auto"/>
              <w:rPr>
                <w:rFonts w:ascii="Arial" w:hAnsi="Arial" w:cs="Arial"/>
                <w:color w:val="000000"/>
                <w:sz w:val="18"/>
                <w:szCs w:val="18"/>
                <w:lang w:val="sq-AL"/>
              </w:rPr>
            </w:pPr>
          </w:p>
        </w:tc>
        <w:tc>
          <w:tcPr>
            <w:tcW w:w="727" w:type="pct"/>
            <w:vAlign w:val="center"/>
          </w:tcPr>
          <w:p w14:paraId="16AEBC77" w14:textId="77777777" w:rsidR="00C232D7" w:rsidRPr="009D6E37" w:rsidRDefault="00C232D7" w:rsidP="00C232D7">
            <w:pPr>
              <w:spacing w:before="40" w:after="40" w:line="360" w:lineRule="auto"/>
              <w:rPr>
                <w:rFonts w:ascii="Arial" w:hAnsi="Arial" w:cs="Arial"/>
                <w:sz w:val="18"/>
                <w:szCs w:val="18"/>
                <w:lang w:val="sq-AL"/>
              </w:rPr>
            </w:pPr>
            <w:r w:rsidRPr="009D6E37">
              <w:rPr>
                <w:rFonts w:ascii="Arial" w:hAnsi="Arial" w:cs="Arial"/>
                <w:sz w:val="18"/>
                <w:szCs w:val="18"/>
                <w:lang w:val="sq-AL"/>
              </w:rPr>
              <w:t>119,754</w:t>
            </w:r>
          </w:p>
        </w:tc>
      </w:tr>
      <w:tr w:rsidR="00C232D7" w:rsidRPr="002A6F4E" w14:paraId="17552E36" w14:textId="77777777" w:rsidTr="00F755AE">
        <w:trPr>
          <w:jc w:val="center"/>
        </w:trPr>
        <w:tc>
          <w:tcPr>
            <w:tcW w:w="907" w:type="pct"/>
            <w:vMerge/>
            <w:vAlign w:val="center"/>
          </w:tcPr>
          <w:p w14:paraId="13BFFAA9" w14:textId="77777777" w:rsidR="00C232D7" w:rsidRPr="009D6E37" w:rsidRDefault="00C232D7" w:rsidP="00C232D7">
            <w:pPr>
              <w:spacing w:before="40" w:after="40" w:line="360" w:lineRule="auto"/>
              <w:ind w:left="-14"/>
              <w:rPr>
                <w:rFonts w:ascii="Arial" w:hAnsi="Arial" w:cs="Arial"/>
                <w:color w:val="000000"/>
                <w:sz w:val="18"/>
                <w:szCs w:val="18"/>
                <w:lang w:val="sq-AL"/>
              </w:rPr>
            </w:pPr>
          </w:p>
        </w:tc>
        <w:tc>
          <w:tcPr>
            <w:tcW w:w="758" w:type="pct"/>
            <w:vMerge/>
          </w:tcPr>
          <w:p w14:paraId="46FFCF5B" w14:textId="77777777" w:rsidR="00C232D7" w:rsidRPr="009D6E37" w:rsidRDefault="00C232D7" w:rsidP="00C232D7">
            <w:pPr>
              <w:spacing w:before="40" w:after="40" w:line="360" w:lineRule="auto"/>
              <w:rPr>
                <w:rFonts w:ascii="Arial" w:hAnsi="Arial" w:cs="Arial"/>
                <w:color w:val="000000"/>
                <w:sz w:val="18"/>
                <w:szCs w:val="18"/>
                <w:lang w:val="sq-AL"/>
              </w:rPr>
            </w:pPr>
          </w:p>
        </w:tc>
        <w:tc>
          <w:tcPr>
            <w:tcW w:w="758" w:type="pct"/>
            <w:shd w:val="clear" w:color="auto" w:fill="auto"/>
            <w:vAlign w:val="center"/>
          </w:tcPr>
          <w:p w14:paraId="5EC2A51B" w14:textId="77777777" w:rsidR="00C232D7" w:rsidRPr="009D6E37" w:rsidRDefault="00C232D7" w:rsidP="00C232D7">
            <w:pPr>
              <w:spacing w:before="40" w:after="40" w:line="360" w:lineRule="auto"/>
              <w:rPr>
                <w:rFonts w:ascii="Arial" w:hAnsi="Arial" w:cs="Arial"/>
                <w:color w:val="000000"/>
                <w:sz w:val="18"/>
                <w:szCs w:val="18"/>
                <w:lang w:val="sq-AL"/>
              </w:rPr>
            </w:pPr>
            <w:r w:rsidRPr="009D6E37">
              <w:rPr>
                <w:rFonts w:ascii="Arial" w:hAnsi="Arial" w:cs="Arial"/>
                <w:color w:val="000000"/>
                <w:sz w:val="18"/>
                <w:szCs w:val="18"/>
                <w:lang w:val="sq-AL"/>
              </w:rPr>
              <w:t>Deponija</w:t>
            </w:r>
          </w:p>
        </w:tc>
        <w:tc>
          <w:tcPr>
            <w:tcW w:w="652" w:type="pct"/>
            <w:vAlign w:val="center"/>
          </w:tcPr>
          <w:p w14:paraId="6C44EED9" w14:textId="77777777" w:rsidR="00C232D7" w:rsidRPr="009D6E37" w:rsidRDefault="00C232D7" w:rsidP="00C232D7">
            <w:pPr>
              <w:spacing w:before="40" w:after="40" w:line="360" w:lineRule="auto"/>
              <w:rPr>
                <w:rFonts w:ascii="Arial" w:hAnsi="Arial" w:cs="Arial"/>
                <w:color w:val="000000"/>
                <w:sz w:val="18"/>
                <w:szCs w:val="18"/>
                <w:lang w:val="sq-AL"/>
              </w:rPr>
            </w:pPr>
            <w:r w:rsidRPr="009D6E37">
              <w:rPr>
                <w:rFonts w:ascii="Arial" w:hAnsi="Arial" w:cs="Arial"/>
                <w:color w:val="000000"/>
                <w:sz w:val="18"/>
                <w:szCs w:val="18"/>
                <w:lang w:val="sq-AL"/>
              </w:rPr>
              <w:t>Operativno</w:t>
            </w:r>
          </w:p>
        </w:tc>
        <w:tc>
          <w:tcPr>
            <w:tcW w:w="1200" w:type="pct"/>
            <w:vAlign w:val="center"/>
          </w:tcPr>
          <w:p w14:paraId="2B8BE635" w14:textId="77777777" w:rsidR="00C232D7" w:rsidRPr="009D6E37" w:rsidRDefault="00C232D7" w:rsidP="00C232D7">
            <w:pPr>
              <w:spacing w:before="40" w:after="40" w:line="360" w:lineRule="auto"/>
              <w:rPr>
                <w:rFonts w:ascii="Arial" w:hAnsi="Arial" w:cs="Arial"/>
                <w:color w:val="000000"/>
                <w:sz w:val="18"/>
                <w:szCs w:val="18"/>
                <w:lang w:val="sq-AL"/>
              </w:rPr>
            </w:pPr>
            <w:r w:rsidRPr="009D6E37">
              <w:rPr>
                <w:rFonts w:ascii="Arial" w:hAnsi="Arial" w:cs="Arial"/>
                <w:color w:val="000000"/>
                <w:sz w:val="18"/>
                <w:szCs w:val="18"/>
                <w:lang w:val="sq-AL"/>
              </w:rPr>
              <w:t>Rezidualni otpad, ostaci od MRF-a i postrojenja za kompostiranje*</w:t>
            </w:r>
          </w:p>
        </w:tc>
        <w:tc>
          <w:tcPr>
            <w:tcW w:w="727" w:type="pct"/>
            <w:vAlign w:val="center"/>
          </w:tcPr>
          <w:p w14:paraId="310B3DF8" w14:textId="77777777" w:rsidR="00C232D7" w:rsidRPr="009D6E37" w:rsidRDefault="00C232D7" w:rsidP="00C232D7">
            <w:pPr>
              <w:spacing w:before="40" w:after="40" w:line="360" w:lineRule="auto"/>
              <w:rPr>
                <w:rFonts w:ascii="Arial" w:hAnsi="Arial" w:cs="Arial"/>
                <w:sz w:val="18"/>
                <w:szCs w:val="18"/>
                <w:lang w:val="sq-AL"/>
              </w:rPr>
            </w:pPr>
            <w:r w:rsidRPr="009D6E37">
              <w:rPr>
                <w:rFonts w:ascii="Arial" w:hAnsi="Arial" w:cs="Arial"/>
                <w:sz w:val="18"/>
                <w:szCs w:val="18"/>
                <w:lang w:val="sq-AL"/>
              </w:rPr>
              <w:t>82,371</w:t>
            </w:r>
          </w:p>
        </w:tc>
      </w:tr>
      <w:tr w:rsidR="00C232D7" w:rsidRPr="002A6F4E" w14:paraId="45A26717" w14:textId="77777777" w:rsidTr="00F755AE">
        <w:trPr>
          <w:jc w:val="center"/>
        </w:trPr>
        <w:tc>
          <w:tcPr>
            <w:tcW w:w="907" w:type="pct"/>
            <w:vAlign w:val="center"/>
          </w:tcPr>
          <w:p w14:paraId="39DA7C4C"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 xml:space="preserve">CETINJE </w:t>
            </w:r>
          </w:p>
          <w:p w14:paraId="0DDF4FAC"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DANILOVGRAD</w:t>
            </w:r>
          </w:p>
          <w:p w14:paraId="4B0027B7"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PODGORICA</w:t>
            </w:r>
          </w:p>
          <w:p w14:paraId="60007417"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ZETA</w:t>
            </w:r>
          </w:p>
          <w:p w14:paraId="0C7283AE"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color w:val="000000"/>
                <w:sz w:val="18"/>
                <w:szCs w:val="18"/>
                <w:lang w:val="sq-AL"/>
              </w:rPr>
              <w:t>TUZI</w:t>
            </w:r>
          </w:p>
          <w:p w14:paraId="20325E37" w14:textId="77777777" w:rsidR="00C232D7" w:rsidRPr="009D6E37" w:rsidRDefault="00C232D7" w:rsidP="00C232D7">
            <w:pPr>
              <w:spacing w:before="40" w:after="40" w:line="360" w:lineRule="auto"/>
              <w:ind w:left="-14"/>
              <w:rPr>
                <w:rFonts w:ascii="Arial" w:hAnsi="Arial" w:cs="Arial"/>
                <w:color w:val="000000"/>
                <w:sz w:val="18"/>
                <w:szCs w:val="18"/>
                <w:lang w:val="sq-AL"/>
              </w:rPr>
            </w:pPr>
            <w:r w:rsidRPr="009D6E37">
              <w:rPr>
                <w:rFonts w:ascii="Arial" w:hAnsi="Arial" w:cs="Arial"/>
                <w:sz w:val="18"/>
                <w:szCs w:val="18"/>
                <w:lang w:val="sq-AL"/>
              </w:rPr>
              <w:t>NIKŠIĆ**</w:t>
            </w:r>
          </w:p>
        </w:tc>
        <w:tc>
          <w:tcPr>
            <w:tcW w:w="758" w:type="pct"/>
          </w:tcPr>
          <w:p w14:paraId="475519B4" w14:textId="77777777" w:rsidR="00C232D7" w:rsidRPr="009D6E37" w:rsidRDefault="00C232D7" w:rsidP="00C232D7">
            <w:pPr>
              <w:spacing w:before="40" w:after="40" w:line="360" w:lineRule="auto"/>
              <w:rPr>
                <w:rFonts w:ascii="Arial" w:hAnsi="Arial" w:cs="Arial"/>
                <w:color w:val="000000"/>
                <w:sz w:val="18"/>
                <w:szCs w:val="18"/>
                <w:lang w:val="sq-AL"/>
              </w:rPr>
            </w:pPr>
          </w:p>
          <w:p w14:paraId="26C7F14C" w14:textId="77777777" w:rsidR="00C232D7" w:rsidRPr="009D6E37" w:rsidRDefault="00C232D7" w:rsidP="00C232D7">
            <w:pPr>
              <w:spacing w:before="40" w:after="40" w:line="360" w:lineRule="auto"/>
              <w:rPr>
                <w:rFonts w:ascii="Arial" w:hAnsi="Arial" w:cs="Arial"/>
                <w:color w:val="000000"/>
                <w:sz w:val="18"/>
                <w:szCs w:val="18"/>
                <w:lang w:val="sq-AL"/>
              </w:rPr>
            </w:pPr>
          </w:p>
          <w:p w14:paraId="5F80C175" w14:textId="77777777" w:rsidR="00C232D7" w:rsidRPr="009D6E37" w:rsidRDefault="00C232D7" w:rsidP="00C232D7">
            <w:pPr>
              <w:spacing w:before="40" w:after="40" w:line="360" w:lineRule="auto"/>
              <w:rPr>
                <w:rFonts w:ascii="Arial" w:hAnsi="Arial" w:cs="Arial"/>
                <w:color w:val="000000"/>
                <w:sz w:val="18"/>
                <w:szCs w:val="18"/>
                <w:lang w:val="sq-AL"/>
              </w:rPr>
            </w:pPr>
            <w:r w:rsidRPr="009D6E37">
              <w:rPr>
                <w:rFonts w:ascii="Arial" w:hAnsi="Arial" w:cs="Arial"/>
                <w:color w:val="000000"/>
                <w:sz w:val="18"/>
                <w:szCs w:val="18"/>
                <w:lang w:val="sq-AL"/>
              </w:rPr>
              <w:t>Podgorica</w:t>
            </w:r>
          </w:p>
        </w:tc>
        <w:tc>
          <w:tcPr>
            <w:tcW w:w="758" w:type="pct"/>
            <w:shd w:val="clear" w:color="auto" w:fill="auto"/>
            <w:vAlign w:val="center"/>
          </w:tcPr>
          <w:p w14:paraId="698A7EF7" w14:textId="77777777" w:rsidR="00C232D7" w:rsidRPr="009D6E37" w:rsidRDefault="00C232D7" w:rsidP="00C232D7">
            <w:pPr>
              <w:spacing w:before="40" w:after="40" w:line="360" w:lineRule="auto"/>
              <w:rPr>
                <w:rFonts w:ascii="Arial" w:hAnsi="Arial" w:cs="Arial"/>
                <w:color w:val="000000"/>
                <w:sz w:val="18"/>
                <w:szCs w:val="18"/>
                <w:lang w:val="sq-AL"/>
              </w:rPr>
            </w:pPr>
            <w:r w:rsidRPr="009D6E37">
              <w:rPr>
                <w:rFonts w:ascii="Arial" w:hAnsi="Arial" w:cs="Arial"/>
                <w:color w:val="000000"/>
                <w:sz w:val="18"/>
                <w:szCs w:val="18"/>
                <w:lang w:val="sq-AL"/>
              </w:rPr>
              <w:t>Postrojenje za proizvodnju energije iz biootpada</w:t>
            </w:r>
          </w:p>
        </w:tc>
        <w:tc>
          <w:tcPr>
            <w:tcW w:w="652" w:type="pct"/>
            <w:vAlign w:val="center"/>
          </w:tcPr>
          <w:p w14:paraId="0135C54B" w14:textId="77777777" w:rsidR="00C232D7" w:rsidRPr="009D6E37" w:rsidRDefault="00C232D7" w:rsidP="00C232D7">
            <w:pPr>
              <w:spacing w:before="40" w:after="40" w:line="360" w:lineRule="auto"/>
              <w:rPr>
                <w:rFonts w:ascii="Arial" w:hAnsi="Arial" w:cs="Arial"/>
                <w:color w:val="000000"/>
                <w:sz w:val="18"/>
                <w:szCs w:val="18"/>
                <w:lang w:val="sq-AL"/>
              </w:rPr>
            </w:pPr>
            <w:r w:rsidRPr="009D6E37">
              <w:rPr>
                <w:rFonts w:ascii="Arial" w:hAnsi="Arial" w:cs="Arial"/>
                <w:color w:val="000000"/>
                <w:sz w:val="18"/>
                <w:szCs w:val="18"/>
                <w:lang w:val="sq-AL"/>
              </w:rPr>
              <w:t>Predloženo - novo</w:t>
            </w:r>
          </w:p>
        </w:tc>
        <w:tc>
          <w:tcPr>
            <w:tcW w:w="1200" w:type="pct"/>
            <w:vAlign w:val="center"/>
          </w:tcPr>
          <w:p w14:paraId="06DE6F85" w14:textId="77777777" w:rsidR="00C232D7" w:rsidRPr="009D6E37" w:rsidRDefault="00C232D7" w:rsidP="00C232D7">
            <w:pPr>
              <w:spacing w:before="40" w:after="40" w:line="360" w:lineRule="auto"/>
              <w:rPr>
                <w:rFonts w:ascii="Arial" w:hAnsi="Arial" w:cs="Arial"/>
                <w:color w:val="000000"/>
                <w:sz w:val="18"/>
                <w:szCs w:val="18"/>
                <w:lang w:val="sq-AL"/>
              </w:rPr>
            </w:pPr>
            <w:r w:rsidRPr="009D6E37">
              <w:rPr>
                <w:rFonts w:ascii="Arial" w:hAnsi="Arial" w:cs="Arial"/>
                <w:color w:val="000000"/>
                <w:sz w:val="18"/>
                <w:szCs w:val="18"/>
                <w:lang w:val="sq-AL"/>
              </w:rPr>
              <w:t>Biootpad*</w:t>
            </w:r>
          </w:p>
        </w:tc>
        <w:tc>
          <w:tcPr>
            <w:tcW w:w="727" w:type="pct"/>
            <w:vAlign w:val="center"/>
          </w:tcPr>
          <w:p w14:paraId="1E68E74F" w14:textId="77777777" w:rsidR="00C232D7" w:rsidRPr="009D6E37" w:rsidRDefault="00C232D7" w:rsidP="00C232D7">
            <w:pPr>
              <w:rPr>
                <w:rFonts w:ascii="Arial" w:hAnsi="Arial" w:cs="Arial"/>
                <w:sz w:val="18"/>
                <w:szCs w:val="18"/>
                <w:lang w:val="en-US"/>
              </w:rPr>
            </w:pPr>
            <w:r w:rsidRPr="009D6E37">
              <w:rPr>
                <w:rFonts w:ascii="Arial" w:hAnsi="Arial" w:cs="Arial"/>
                <w:sz w:val="18"/>
                <w:szCs w:val="18"/>
              </w:rPr>
              <w:t>10,743.7</w:t>
            </w:r>
          </w:p>
          <w:p w14:paraId="397E8433" w14:textId="77777777" w:rsidR="00C232D7" w:rsidRPr="009D6E37" w:rsidRDefault="00C232D7" w:rsidP="00C232D7">
            <w:pPr>
              <w:spacing w:before="40" w:after="40" w:line="360" w:lineRule="auto"/>
              <w:rPr>
                <w:rFonts w:ascii="Arial" w:hAnsi="Arial" w:cs="Arial"/>
                <w:sz w:val="18"/>
                <w:szCs w:val="18"/>
                <w:highlight w:val="yellow"/>
                <w:lang w:val="sq-AL"/>
              </w:rPr>
            </w:pPr>
          </w:p>
        </w:tc>
      </w:tr>
    </w:tbl>
    <w:bookmarkEnd w:id="902"/>
    <w:p w14:paraId="0259B553" w14:textId="037532A0" w:rsidR="00C232D7" w:rsidRPr="00594607" w:rsidRDefault="00C232D7" w:rsidP="00594607">
      <w:pPr>
        <w:rPr>
          <w:rFonts w:ascii="Arial" w:hAnsi="Arial" w:cs="Arial"/>
          <w:sz w:val="16"/>
          <w:lang w:val="sq-AL"/>
        </w:rPr>
      </w:pPr>
      <w:r w:rsidRPr="00594607">
        <w:rPr>
          <w:rFonts w:ascii="Arial" w:hAnsi="Arial" w:cs="Arial"/>
          <w:sz w:val="16"/>
          <w:lang w:val="sq-AL"/>
        </w:rPr>
        <w:t xml:space="preserve">* U slučaju </w:t>
      </w:r>
      <w:r w:rsidR="00F2503C" w:rsidRPr="00594607">
        <w:rPr>
          <w:rFonts w:ascii="Arial" w:hAnsi="Arial" w:cs="Arial"/>
          <w:sz w:val="16"/>
          <w:lang w:val="sq-AL"/>
        </w:rPr>
        <w:t>obrade</w:t>
      </w:r>
      <w:r w:rsidRPr="00594607">
        <w:rPr>
          <w:rFonts w:ascii="Arial" w:hAnsi="Arial" w:cs="Arial"/>
          <w:sz w:val="16"/>
          <w:lang w:val="sq-AL"/>
        </w:rPr>
        <w:t xml:space="preserve"> biootpada u TDPE pogon za tretman biomase nije potreban.</w:t>
      </w:r>
    </w:p>
    <w:p w14:paraId="468DEE12" w14:textId="77777777" w:rsidR="00C232D7" w:rsidRPr="002A6F4E" w:rsidRDefault="00C232D7" w:rsidP="00594607">
      <w:pPr>
        <w:rPr>
          <w:rFonts w:ascii="Arial" w:hAnsi="Arial" w:cs="Arial"/>
          <w:lang w:val="sq-AL"/>
        </w:rPr>
      </w:pPr>
      <w:r w:rsidRPr="00594607">
        <w:rPr>
          <w:rFonts w:ascii="Arial" w:hAnsi="Arial" w:cs="Arial"/>
          <w:sz w:val="16"/>
          <w:lang w:val="sq-AL"/>
        </w:rPr>
        <w:t>** Iz Regionalnog centra Nikšić</w:t>
      </w:r>
    </w:p>
    <w:p w14:paraId="413FD859" w14:textId="77777777" w:rsidR="0016387A" w:rsidRDefault="0016387A" w:rsidP="00C232D7">
      <w:pPr>
        <w:rPr>
          <w:rFonts w:ascii="Arial" w:hAnsi="Arial" w:cs="Arial"/>
          <w:b/>
          <w:u w:val="single"/>
          <w:lang w:val="sq-AL"/>
        </w:rPr>
      </w:pPr>
      <w:bookmarkStart w:id="903" w:name="_Hlk185879376"/>
      <w:bookmarkEnd w:id="901"/>
    </w:p>
    <w:p w14:paraId="44E65C57" w14:textId="77777777" w:rsidR="00F70BEF" w:rsidRDefault="00F70BEF" w:rsidP="00C232D7">
      <w:pPr>
        <w:rPr>
          <w:rFonts w:ascii="Arial" w:hAnsi="Arial" w:cs="Arial"/>
          <w:b/>
          <w:u w:val="single"/>
          <w:lang w:val="sq-AL"/>
        </w:rPr>
      </w:pPr>
    </w:p>
    <w:p w14:paraId="547140C2" w14:textId="77777777" w:rsidR="00F70BEF" w:rsidRDefault="00F70BEF" w:rsidP="00C232D7">
      <w:pPr>
        <w:rPr>
          <w:rFonts w:ascii="Arial" w:hAnsi="Arial" w:cs="Arial"/>
          <w:b/>
          <w:u w:val="single"/>
          <w:lang w:val="sq-AL"/>
        </w:rPr>
      </w:pPr>
    </w:p>
    <w:p w14:paraId="17CE3370" w14:textId="77777777" w:rsidR="00F70BEF" w:rsidRDefault="00F70BEF" w:rsidP="00C232D7">
      <w:pPr>
        <w:rPr>
          <w:rFonts w:ascii="Arial" w:hAnsi="Arial" w:cs="Arial"/>
          <w:b/>
          <w:u w:val="single"/>
          <w:lang w:val="sq-AL"/>
        </w:rPr>
      </w:pPr>
    </w:p>
    <w:p w14:paraId="5C9804CF" w14:textId="77777777" w:rsidR="00F70BEF" w:rsidRDefault="00F70BEF" w:rsidP="00C232D7">
      <w:pPr>
        <w:rPr>
          <w:rFonts w:ascii="Arial" w:hAnsi="Arial" w:cs="Arial"/>
          <w:b/>
          <w:u w:val="single"/>
          <w:lang w:val="sq-AL"/>
        </w:rPr>
      </w:pPr>
    </w:p>
    <w:p w14:paraId="4EFD7115" w14:textId="77777777" w:rsidR="00F70BEF" w:rsidRDefault="00F70BEF" w:rsidP="00C232D7">
      <w:pPr>
        <w:rPr>
          <w:rFonts w:ascii="Arial" w:hAnsi="Arial" w:cs="Arial"/>
          <w:b/>
          <w:u w:val="single"/>
          <w:lang w:val="sq-AL"/>
        </w:rPr>
      </w:pPr>
    </w:p>
    <w:p w14:paraId="6BE82471" w14:textId="77777777" w:rsidR="00F70BEF" w:rsidRDefault="00F70BEF" w:rsidP="00C232D7">
      <w:pPr>
        <w:rPr>
          <w:rFonts w:ascii="Arial" w:hAnsi="Arial" w:cs="Arial"/>
          <w:b/>
          <w:u w:val="single"/>
          <w:lang w:val="sq-AL"/>
        </w:rPr>
      </w:pPr>
    </w:p>
    <w:p w14:paraId="43CAFFE2" w14:textId="77777777" w:rsidR="00F70BEF" w:rsidRDefault="00F70BEF" w:rsidP="00C232D7">
      <w:pPr>
        <w:rPr>
          <w:rFonts w:ascii="Arial" w:hAnsi="Arial" w:cs="Arial"/>
          <w:b/>
          <w:u w:val="single"/>
          <w:lang w:val="sq-AL"/>
        </w:rPr>
      </w:pPr>
    </w:p>
    <w:p w14:paraId="5DC74C41" w14:textId="77777777" w:rsidR="00F70BEF" w:rsidRDefault="00F70BEF" w:rsidP="00C232D7">
      <w:pPr>
        <w:rPr>
          <w:rFonts w:ascii="Arial" w:hAnsi="Arial" w:cs="Arial"/>
          <w:b/>
          <w:u w:val="single"/>
          <w:lang w:val="sq-AL"/>
        </w:rPr>
      </w:pPr>
    </w:p>
    <w:p w14:paraId="41C53A92" w14:textId="77777777" w:rsidR="00F70BEF" w:rsidRDefault="00F70BEF" w:rsidP="00C232D7">
      <w:pPr>
        <w:rPr>
          <w:rFonts w:ascii="Arial" w:hAnsi="Arial" w:cs="Arial"/>
          <w:b/>
          <w:u w:val="single"/>
          <w:lang w:val="sq-AL"/>
        </w:rPr>
      </w:pPr>
    </w:p>
    <w:p w14:paraId="4664CE87" w14:textId="77777777" w:rsidR="00F70BEF" w:rsidRDefault="00F70BEF" w:rsidP="00C232D7">
      <w:pPr>
        <w:rPr>
          <w:rFonts w:ascii="Arial" w:hAnsi="Arial" w:cs="Arial"/>
          <w:b/>
          <w:u w:val="single"/>
          <w:lang w:val="sq-AL"/>
        </w:rPr>
      </w:pPr>
    </w:p>
    <w:p w14:paraId="2453E291" w14:textId="77777777" w:rsidR="00F70BEF" w:rsidRDefault="00F70BEF" w:rsidP="00C232D7">
      <w:pPr>
        <w:rPr>
          <w:rFonts w:ascii="Arial" w:hAnsi="Arial" w:cs="Arial"/>
          <w:b/>
          <w:u w:val="single"/>
          <w:lang w:val="sq-AL"/>
        </w:rPr>
      </w:pPr>
    </w:p>
    <w:p w14:paraId="4127A021" w14:textId="77777777" w:rsidR="00F70BEF" w:rsidRDefault="00F70BEF" w:rsidP="00C232D7">
      <w:pPr>
        <w:rPr>
          <w:rFonts w:ascii="Arial" w:hAnsi="Arial" w:cs="Arial"/>
          <w:b/>
          <w:u w:val="single"/>
          <w:lang w:val="sq-AL"/>
        </w:rPr>
      </w:pPr>
    </w:p>
    <w:p w14:paraId="2836E875" w14:textId="77777777" w:rsidR="00F70BEF" w:rsidRDefault="00F70BEF" w:rsidP="00C232D7">
      <w:pPr>
        <w:rPr>
          <w:rFonts w:ascii="Arial" w:hAnsi="Arial" w:cs="Arial"/>
          <w:b/>
          <w:u w:val="single"/>
          <w:lang w:val="sq-AL"/>
        </w:rPr>
      </w:pPr>
    </w:p>
    <w:p w14:paraId="5D809B81" w14:textId="77777777" w:rsidR="00F70BEF" w:rsidRDefault="00F70BEF" w:rsidP="00C232D7">
      <w:pPr>
        <w:rPr>
          <w:rFonts w:ascii="Arial" w:hAnsi="Arial" w:cs="Arial"/>
          <w:b/>
          <w:u w:val="single"/>
          <w:lang w:val="sq-AL"/>
        </w:rPr>
      </w:pPr>
    </w:p>
    <w:p w14:paraId="29DA9D40" w14:textId="77777777" w:rsidR="00F70BEF" w:rsidRDefault="00F70BEF" w:rsidP="00C232D7">
      <w:pPr>
        <w:rPr>
          <w:rFonts w:ascii="Arial" w:hAnsi="Arial" w:cs="Arial"/>
          <w:b/>
          <w:u w:val="single"/>
          <w:lang w:val="sq-AL"/>
        </w:rPr>
      </w:pPr>
    </w:p>
    <w:p w14:paraId="42CF5D9E" w14:textId="77777777" w:rsidR="00F70BEF" w:rsidRDefault="00F70BEF" w:rsidP="00C232D7">
      <w:pPr>
        <w:rPr>
          <w:rFonts w:ascii="Arial" w:hAnsi="Arial" w:cs="Arial"/>
          <w:b/>
          <w:u w:val="single"/>
          <w:lang w:val="sq-AL"/>
        </w:rPr>
      </w:pPr>
    </w:p>
    <w:p w14:paraId="2847472C" w14:textId="77777777" w:rsidR="00F70BEF" w:rsidRDefault="00F70BEF" w:rsidP="00C232D7">
      <w:pPr>
        <w:rPr>
          <w:rFonts w:ascii="Arial" w:hAnsi="Arial" w:cs="Arial"/>
          <w:b/>
          <w:u w:val="single"/>
          <w:lang w:val="sq-AL"/>
        </w:rPr>
      </w:pPr>
    </w:p>
    <w:p w14:paraId="0749F6EA" w14:textId="77777777" w:rsidR="00D8640F" w:rsidRDefault="00D8640F" w:rsidP="00C232D7">
      <w:pPr>
        <w:rPr>
          <w:rFonts w:ascii="Arial" w:hAnsi="Arial" w:cs="Arial"/>
          <w:b/>
          <w:u w:val="single"/>
          <w:lang w:val="sq-AL"/>
        </w:rPr>
      </w:pPr>
    </w:p>
    <w:p w14:paraId="59EE6EA6" w14:textId="77777777" w:rsidR="00C232D7" w:rsidRPr="002A6F4E" w:rsidRDefault="00C232D7" w:rsidP="00C232D7">
      <w:pPr>
        <w:rPr>
          <w:rFonts w:ascii="Arial" w:hAnsi="Arial" w:cs="Arial"/>
          <w:b/>
          <w:u w:val="single"/>
          <w:lang w:val="sq-AL"/>
        </w:rPr>
      </w:pPr>
      <w:r w:rsidRPr="002A6F4E">
        <w:rPr>
          <w:rFonts w:ascii="Arial" w:hAnsi="Arial" w:cs="Arial"/>
          <w:b/>
          <w:u w:val="single"/>
          <w:lang w:val="sq-AL"/>
        </w:rPr>
        <w:t>Regionalni centar upravljanja otpadom Nikšić</w:t>
      </w:r>
    </w:p>
    <w:bookmarkEnd w:id="903"/>
    <w:p w14:paraId="2B17ABA6" w14:textId="77777777" w:rsidR="00C232D7" w:rsidRPr="002A6F4E" w:rsidRDefault="00C232D7" w:rsidP="00C232D7">
      <w:pPr>
        <w:rPr>
          <w:rFonts w:ascii="Arial" w:hAnsi="Arial" w:cs="Arial"/>
          <w:lang w:val="sq-AL"/>
        </w:rPr>
      </w:pPr>
    </w:p>
    <w:p w14:paraId="4620D4DF" w14:textId="437014B8" w:rsidR="00C232D7" w:rsidRPr="002A6F4E" w:rsidRDefault="0016387A" w:rsidP="00C232D7">
      <w:pPr>
        <w:rPr>
          <w:rFonts w:ascii="Arial" w:hAnsi="Arial" w:cs="Arial"/>
          <w:lang w:val="sq-AL"/>
        </w:rPr>
      </w:pPr>
      <w:r>
        <w:rPr>
          <w:rFonts w:ascii="Arial" w:hAnsi="Arial" w:cs="Arial"/>
          <w:lang w:val="sq-AL"/>
        </w:rPr>
        <w:t>R</w:t>
      </w:r>
      <w:r w:rsidR="00C232D7" w:rsidRPr="002A6F4E">
        <w:rPr>
          <w:rFonts w:ascii="Arial" w:hAnsi="Arial" w:cs="Arial"/>
          <w:lang w:val="sq-AL"/>
        </w:rPr>
        <w:t xml:space="preserve">egionalni </w:t>
      </w:r>
      <w:r>
        <w:rPr>
          <w:rFonts w:ascii="Arial" w:hAnsi="Arial" w:cs="Arial"/>
          <w:lang w:val="sq-AL"/>
        </w:rPr>
        <w:t>centar</w:t>
      </w:r>
      <w:r w:rsidR="00C232D7" w:rsidRPr="002A6F4E">
        <w:rPr>
          <w:rFonts w:ascii="Arial" w:hAnsi="Arial" w:cs="Arial"/>
          <w:lang w:val="sq-AL"/>
        </w:rPr>
        <w:t xml:space="preserve"> upravljanja otpadom </w:t>
      </w:r>
      <w:r>
        <w:rPr>
          <w:rFonts w:ascii="Arial" w:hAnsi="Arial" w:cs="Arial"/>
          <w:lang w:val="sq-AL"/>
        </w:rPr>
        <w:t xml:space="preserve">Nikšić </w:t>
      </w:r>
      <w:r w:rsidR="00C232D7" w:rsidRPr="002A6F4E">
        <w:rPr>
          <w:rFonts w:ascii="Arial" w:hAnsi="Arial" w:cs="Arial"/>
          <w:lang w:val="sq-AL"/>
        </w:rPr>
        <w:t>opsluživaće opštine iz sljedeće tabele.</w:t>
      </w:r>
    </w:p>
    <w:p w14:paraId="75B8A9B6" w14:textId="77777777" w:rsidR="00030782" w:rsidRPr="002A6F4E" w:rsidRDefault="00030782" w:rsidP="00C232D7">
      <w:pPr>
        <w:rPr>
          <w:rFonts w:ascii="Arial" w:hAnsi="Arial" w:cs="Arial"/>
          <w:lang w:val="sq-AL"/>
        </w:rPr>
      </w:pPr>
    </w:p>
    <w:p w14:paraId="48539BF6" w14:textId="77777777" w:rsidR="00030782" w:rsidRPr="002A6F4E" w:rsidRDefault="00030782" w:rsidP="00C232D7">
      <w:pPr>
        <w:rPr>
          <w:rFonts w:ascii="Arial" w:hAnsi="Arial" w:cs="Arial"/>
          <w:lang w:val="sq-AL"/>
        </w:rPr>
      </w:pPr>
    </w:p>
    <w:p w14:paraId="7493597B" w14:textId="06276D91" w:rsidR="00C232D7" w:rsidRPr="008B6C9F" w:rsidRDefault="00C232D7" w:rsidP="00C232D7">
      <w:pPr>
        <w:pStyle w:val="Caption"/>
        <w:rPr>
          <w:rFonts w:ascii="Arial" w:hAnsi="Arial" w:cs="Arial"/>
          <w:b w:val="0"/>
          <w:szCs w:val="20"/>
          <w:lang w:val="sq-AL"/>
        </w:rPr>
      </w:pPr>
      <w:bookmarkStart w:id="904" w:name="_Toc189515618"/>
      <w:bookmarkStart w:id="905" w:name="_Toc190160734"/>
      <w:r w:rsidRPr="008B6C9F">
        <w:rPr>
          <w:rFonts w:ascii="Arial" w:hAnsi="Arial" w:cs="Arial"/>
          <w:b w:val="0"/>
          <w:szCs w:val="20"/>
          <w:lang w:val="sq-AL"/>
        </w:rPr>
        <w:t xml:space="preserve">Tabela </w:t>
      </w:r>
      <w:r w:rsidRPr="008B6C9F">
        <w:rPr>
          <w:rFonts w:ascii="Arial" w:hAnsi="Arial" w:cs="Arial"/>
          <w:b w:val="0"/>
          <w:szCs w:val="20"/>
        </w:rPr>
        <w:fldChar w:fldCharType="begin"/>
      </w:r>
      <w:r w:rsidRPr="008B6C9F">
        <w:rPr>
          <w:rFonts w:ascii="Arial" w:hAnsi="Arial" w:cs="Arial"/>
          <w:b w:val="0"/>
          <w:szCs w:val="20"/>
          <w:lang w:val="sq-AL"/>
        </w:rPr>
        <w:instrText xml:space="preserve"> SEQ Tabela \* ARABIC </w:instrText>
      </w:r>
      <w:r w:rsidRPr="008B6C9F">
        <w:rPr>
          <w:rFonts w:ascii="Arial" w:hAnsi="Arial" w:cs="Arial"/>
          <w:b w:val="0"/>
          <w:szCs w:val="20"/>
        </w:rPr>
        <w:fldChar w:fldCharType="separate"/>
      </w:r>
      <w:r w:rsidR="007274DA">
        <w:rPr>
          <w:rFonts w:ascii="Arial" w:hAnsi="Arial" w:cs="Arial"/>
          <w:b w:val="0"/>
          <w:noProof/>
          <w:szCs w:val="20"/>
          <w:lang w:val="sq-AL"/>
        </w:rPr>
        <w:t>43</w:t>
      </w:r>
      <w:r w:rsidRPr="008B6C9F">
        <w:rPr>
          <w:rFonts w:ascii="Arial" w:hAnsi="Arial" w:cs="Arial"/>
          <w:b w:val="0"/>
          <w:szCs w:val="20"/>
        </w:rPr>
        <w:fldChar w:fldCharType="end"/>
      </w:r>
      <w:r w:rsidRPr="008B6C9F">
        <w:rPr>
          <w:rFonts w:ascii="Arial" w:hAnsi="Arial" w:cs="Arial"/>
          <w:b w:val="0"/>
          <w:szCs w:val="20"/>
          <w:lang w:val="sq-AL"/>
        </w:rPr>
        <w:t xml:space="preserve"> Područja koje opslužuje </w:t>
      </w:r>
      <w:bookmarkEnd w:id="904"/>
      <w:bookmarkEnd w:id="905"/>
      <w:r w:rsidR="0016387A" w:rsidRPr="0016387A">
        <w:rPr>
          <w:rFonts w:ascii="Arial" w:hAnsi="Arial" w:cs="Arial"/>
          <w:b w:val="0"/>
          <w:szCs w:val="20"/>
          <w:lang w:val="sq-AL"/>
        </w:rPr>
        <w:t xml:space="preserve">Regionalni centar upravljanja otpadom </w:t>
      </w:r>
      <w:r w:rsidR="0016387A">
        <w:rPr>
          <w:rFonts w:ascii="Arial" w:hAnsi="Arial" w:cs="Arial"/>
          <w:b w:val="0"/>
          <w:szCs w:val="20"/>
          <w:lang w:val="sq-AL"/>
        </w:rPr>
        <w:t>Nikšić</w:t>
      </w:r>
    </w:p>
    <w:tbl>
      <w:tblPr>
        <w:tblW w:w="378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259"/>
        <w:gridCol w:w="2371"/>
        <w:gridCol w:w="2448"/>
      </w:tblGrid>
      <w:tr w:rsidR="00C232D7" w:rsidRPr="00DF0B9D" w14:paraId="469D4297" w14:textId="77777777" w:rsidTr="00C232D7">
        <w:trPr>
          <w:tblHeader/>
          <w:jc w:val="center"/>
        </w:trPr>
        <w:tc>
          <w:tcPr>
            <w:tcW w:w="1596" w:type="pct"/>
            <w:shd w:val="clear" w:color="auto" w:fill="F2F2F2" w:themeFill="background1" w:themeFillShade="F2"/>
            <w:vAlign w:val="center"/>
          </w:tcPr>
          <w:p w14:paraId="53DCC828" w14:textId="77777777" w:rsidR="00C232D7" w:rsidRPr="00DF0B9D" w:rsidRDefault="00C232D7" w:rsidP="00C232D7">
            <w:pPr>
              <w:rPr>
                <w:rFonts w:ascii="Arial" w:hAnsi="Arial" w:cs="Arial"/>
                <w:b/>
                <w:sz w:val="18"/>
              </w:rPr>
            </w:pPr>
            <w:r w:rsidRPr="00DF0B9D">
              <w:rPr>
                <w:rFonts w:ascii="Arial" w:hAnsi="Arial" w:cs="Arial"/>
                <w:b/>
                <w:sz w:val="18"/>
              </w:rPr>
              <w:t>Opština</w:t>
            </w:r>
          </w:p>
        </w:tc>
        <w:tc>
          <w:tcPr>
            <w:tcW w:w="1675" w:type="pct"/>
            <w:shd w:val="clear" w:color="auto" w:fill="F2F2F2" w:themeFill="background1" w:themeFillShade="F2"/>
            <w:vAlign w:val="center"/>
          </w:tcPr>
          <w:p w14:paraId="57F785C4" w14:textId="7250DA9C" w:rsidR="00C232D7" w:rsidRPr="00DF0B9D" w:rsidRDefault="00FE289C" w:rsidP="00C232D7">
            <w:pPr>
              <w:rPr>
                <w:rFonts w:ascii="Arial" w:hAnsi="Arial" w:cs="Arial"/>
                <w:b/>
                <w:sz w:val="18"/>
              </w:rPr>
            </w:pPr>
            <w:r w:rsidRPr="00DF0B9D">
              <w:rPr>
                <w:rFonts w:ascii="Arial" w:hAnsi="Arial" w:cs="Arial"/>
                <w:b/>
                <w:sz w:val="18"/>
              </w:rPr>
              <w:t>Stanovništvo</w:t>
            </w:r>
            <w:r w:rsidR="00A55E6E" w:rsidRPr="00DF0B9D">
              <w:rPr>
                <w:rFonts w:ascii="Arial" w:hAnsi="Arial" w:cs="Arial"/>
                <w:b/>
                <w:sz w:val="18"/>
              </w:rPr>
              <w:t xml:space="preserve"> (ekvivalent stanovnika, tj. turista) - </w:t>
            </w:r>
            <w:r w:rsidR="00A55E6E" w:rsidRPr="00DF0B9D">
              <w:rPr>
                <w:rFonts w:ascii="Arial" w:hAnsi="Arial" w:cs="Arial"/>
                <w:b/>
                <w:sz w:val="18"/>
              </w:rPr>
              <w:br/>
              <w:t>2029</w:t>
            </w:r>
          </w:p>
        </w:tc>
        <w:tc>
          <w:tcPr>
            <w:tcW w:w="1729" w:type="pct"/>
            <w:shd w:val="clear" w:color="auto" w:fill="F2F2F2" w:themeFill="background1" w:themeFillShade="F2"/>
            <w:vAlign w:val="center"/>
          </w:tcPr>
          <w:p w14:paraId="4DD384DF" w14:textId="4D7EAC52" w:rsidR="00C232D7" w:rsidRPr="00DF0B9D" w:rsidRDefault="00C232D7" w:rsidP="00C232D7">
            <w:pPr>
              <w:rPr>
                <w:rFonts w:ascii="Arial" w:hAnsi="Arial" w:cs="Arial"/>
                <w:b/>
                <w:sz w:val="18"/>
              </w:rPr>
            </w:pPr>
            <w:r w:rsidRPr="00DF0B9D">
              <w:rPr>
                <w:rFonts w:ascii="Arial" w:hAnsi="Arial" w:cs="Arial"/>
                <w:b/>
                <w:sz w:val="18"/>
              </w:rPr>
              <w:t xml:space="preserve">Generisanje otpada </w:t>
            </w:r>
            <w:r w:rsidRPr="00DF0B9D">
              <w:rPr>
                <w:rFonts w:ascii="Arial" w:hAnsi="Arial" w:cs="Arial"/>
                <w:b/>
                <w:sz w:val="18"/>
              </w:rPr>
              <w:br/>
              <w:t>(t/go</w:t>
            </w:r>
            <w:r w:rsidR="00FE289C" w:rsidRPr="00DF0B9D">
              <w:rPr>
                <w:rFonts w:ascii="Arial" w:hAnsi="Arial" w:cs="Arial"/>
                <w:b/>
                <w:sz w:val="18"/>
              </w:rPr>
              <w:t xml:space="preserve">d) </w:t>
            </w:r>
            <w:r w:rsidR="0016387A">
              <w:rPr>
                <w:rFonts w:ascii="Arial" w:hAnsi="Arial" w:cs="Arial"/>
                <w:b/>
                <w:sz w:val="18"/>
              </w:rPr>
              <w:t>–</w:t>
            </w:r>
            <w:r w:rsidR="00FE289C" w:rsidRPr="00DF0B9D">
              <w:rPr>
                <w:rFonts w:ascii="Arial" w:hAnsi="Arial" w:cs="Arial"/>
                <w:b/>
                <w:sz w:val="18"/>
              </w:rPr>
              <w:t xml:space="preserve"> 2029</w:t>
            </w:r>
          </w:p>
        </w:tc>
      </w:tr>
      <w:tr w:rsidR="00C232D7" w:rsidRPr="00DF0B9D" w14:paraId="5E7CCCA4" w14:textId="77777777" w:rsidTr="00C232D7">
        <w:trPr>
          <w:jc w:val="center"/>
        </w:trPr>
        <w:tc>
          <w:tcPr>
            <w:tcW w:w="1596" w:type="pct"/>
            <w:vAlign w:val="center"/>
          </w:tcPr>
          <w:p w14:paraId="1A10840F" w14:textId="77777777" w:rsidR="00C232D7" w:rsidRPr="00DF0B9D" w:rsidRDefault="00C232D7" w:rsidP="00C232D7">
            <w:pPr>
              <w:rPr>
                <w:rFonts w:ascii="Arial" w:hAnsi="Arial" w:cs="Arial"/>
                <w:sz w:val="18"/>
              </w:rPr>
            </w:pPr>
            <w:r w:rsidRPr="00DF0B9D">
              <w:rPr>
                <w:rFonts w:ascii="Arial" w:hAnsi="Arial" w:cs="Arial"/>
                <w:sz w:val="18"/>
              </w:rPr>
              <w:t>NIKŠIĆ</w:t>
            </w:r>
          </w:p>
        </w:tc>
        <w:tc>
          <w:tcPr>
            <w:tcW w:w="1675" w:type="pct"/>
            <w:shd w:val="clear" w:color="auto" w:fill="auto"/>
            <w:vAlign w:val="center"/>
          </w:tcPr>
          <w:p w14:paraId="06A6E7D4" w14:textId="77777777" w:rsidR="00C232D7" w:rsidRPr="00DF0B9D" w:rsidRDefault="00C232D7" w:rsidP="00C232D7">
            <w:pPr>
              <w:rPr>
                <w:rFonts w:ascii="Arial" w:hAnsi="Arial" w:cs="Arial"/>
                <w:sz w:val="18"/>
              </w:rPr>
            </w:pPr>
            <w:r w:rsidRPr="00DF0B9D">
              <w:rPr>
                <w:rFonts w:ascii="Arial" w:hAnsi="Arial" w:cs="Arial"/>
                <w:sz w:val="18"/>
              </w:rPr>
              <w:t>68.775</w:t>
            </w:r>
          </w:p>
        </w:tc>
        <w:tc>
          <w:tcPr>
            <w:tcW w:w="1729" w:type="pct"/>
            <w:vAlign w:val="center"/>
          </w:tcPr>
          <w:p w14:paraId="4C186238" w14:textId="77777777" w:rsidR="00C232D7" w:rsidRPr="00DF0B9D" w:rsidRDefault="00C232D7" w:rsidP="00C232D7">
            <w:pPr>
              <w:rPr>
                <w:rFonts w:ascii="Arial" w:hAnsi="Arial" w:cs="Arial"/>
                <w:sz w:val="18"/>
                <w:highlight w:val="yellow"/>
              </w:rPr>
            </w:pPr>
            <w:r w:rsidRPr="00DF0B9D">
              <w:rPr>
                <w:rFonts w:ascii="Arial" w:hAnsi="Arial" w:cs="Arial"/>
                <w:sz w:val="18"/>
              </w:rPr>
              <w:t>37,640</w:t>
            </w:r>
          </w:p>
        </w:tc>
      </w:tr>
      <w:tr w:rsidR="00C232D7" w:rsidRPr="00DF0B9D" w14:paraId="07DD071E" w14:textId="77777777" w:rsidTr="00C232D7">
        <w:trPr>
          <w:jc w:val="center"/>
        </w:trPr>
        <w:tc>
          <w:tcPr>
            <w:tcW w:w="1596" w:type="pct"/>
            <w:vAlign w:val="center"/>
          </w:tcPr>
          <w:p w14:paraId="74C3A8A9" w14:textId="77777777" w:rsidR="00C232D7" w:rsidRPr="00DF0B9D" w:rsidRDefault="00C232D7" w:rsidP="00C232D7">
            <w:pPr>
              <w:spacing w:before="40" w:after="40" w:line="360" w:lineRule="auto"/>
              <w:ind w:left="-14"/>
              <w:rPr>
                <w:rFonts w:ascii="Arial" w:hAnsi="Arial" w:cs="Arial"/>
                <w:sz w:val="18"/>
                <w:lang w:val="sq-AL"/>
              </w:rPr>
            </w:pPr>
            <w:r w:rsidRPr="00DF0B9D">
              <w:rPr>
                <w:rFonts w:ascii="Arial" w:hAnsi="Arial" w:cs="Arial"/>
                <w:color w:val="000000"/>
                <w:sz w:val="18"/>
                <w:lang w:val="sq-AL"/>
              </w:rPr>
              <w:t>HERCEG NOVI</w:t>
            </w:r>
          </w:p>
        </w:tc>
        <w:tc>
          <w:tcPr>
            <w:tcW w:w="1675" w:type="pct"/>
            <w:shd w:val="clear" w:color="auto" w:fill="auto"/>
            <w:vAlign w:val="center"/>
          </w:tcPr>
          <w:p w14:paraId="112A499E" w14:textId="77777777" w:rsidR="00C232D7" w:rsidRPr="00DF0B9D" w:rsidRDefault="00C232D7" w:rsidP="00C232D7">
            <w:pPr>
              <w:spacing w:before="40" w:after="40" w:line="360" w:lineRule="auto"/>
              <w:rPr>
                <w:rFonts w:ascii="Arial" w:hAnsi="Arial" w:cs="Arial"/>
                <w:sz w:val="18"/>
                <w:lang w:val="sq-AL"/>
              </w:rPr>
            </w:pPr>
            <w:r w:rsidRPr="00DF0B9D">
              <w:rPr>
                <w:rFonts w:ascii="Arial" w:hAnsi="Arial" w:cs="Arial"/>
                <w:color w:val="000000"/>
                <w:sz w:val="18"/>
                <w:lang w:val="sq-AL"/>
              </w:rPr>
              <w:t>41.712</w:t>
            </w:r>
          </w:p>
        </w:tc>
        <w:tc>
          <w:tcPr>
            <w:tcW w:w="1729" w:type="pct"/>
            <w:vAlign w:val="center"/>
          </w:tcPr>
          <w:p w14:paraId="1E56ED5F" w14:textId="77777777" w:rsidR="00C232D7" w:rsidRPr="00DF0B9D" w:rsidRDefault="00C232D7" w:rsidP="00C232D7">
            <w:pPr>
              <w:spacing w:before="40" w:after="40" w:line="360" w:lineRule="auto"/>
              <w:rPr>
                <w:rFonts w:ascii="Arial" w:hAnsi="Arial" w:cs="Arial"/>
                <w:sz w:val="18"/>
                <w:highlight w:val="yellow"/>
                <w:lang w:val="sq-AL"/>
              </w:rPr>
            </w:pPr>
            <w:r w:rsidRPr="00DF0B9D">
              <w:rPr>
                <w:rFonts w:ascii="Arial" w:hAnsi="Arial" w:cs="Arial"/>
                <w:color w:val="000000"/>
                <w:sz w:val="18"/>
              </w:rPr>
              <w:t>23.528</w:t>
            </w:r>
          </w:p>
        </w:tc>
      </w:tr>
      <w:tr w:rsidR="00C232D7" w:rsidRPr="00DF0B9D" w14:paraId="2AD16806" w14:textId="77777777" w:rsidTr="00C232D7">
        <w:trPr>
          <w:jc w:val="center"/>
        </w:trPr>
        <w:tc>
          <w:tcPr>
            <w:tcW w:w="1596" w:type="pct"/>
            <w:vAlign w:val="center"/>
          </w:tcPr>
          <w:p w14:paraId="4566C6D1" w14:textId="77777777" w:rsidR="00C232D7" w:rsidRPr="00DF0B9D" w:rsidRDefault="00C232D7" w:rsidP="00C232D7">
            <w:pPr>
              <w:spacing w:before="40" w:after="40" w:line="360" w:lineRule="auto"/>
              <w:ind w:left="-14"/>
              <w:rPr>
                <w:rFonts w:ascii="Arial" w:hAnsi="Arial" w:cs="Arial"/>
                <w:sz w:val="18"/>
                <w:lang w:val="sq-AL"/>
              </w:rPr>
            </w:pPr>
            <w:r w:rsidRPr="00DF0B9D">
              <w:rPr>
                <w:rFonts w:ascii="Arial" w:hAnsi="Arial" w:cs="Arial"/>
                <w:color w:val="000000"/>
                <w:sz w:val="18"/>
                <w:lang w:val="sq-AL"/>
              </w:rPr>
              <w:t>KOTOR</w:t>
            </w:r>
          </w:p>
        </w:tc>
        <w:tc>
          <w:tcPr>
            <w:tcW w:w="1675" w:type="pct"/>
            <w:shd w:val="clear" w:color="auto" w:fill="auto"/>
            <w:vAlign w:val="center"/>
          </w:tcPr>
          <w:p w14:paraId="12E60D41" w14:textId="77777777" w:rsidR="00C232D7" w:rsidRPr="00DF0B9D" w:rsidRDefault="00C232D7" w:rsidP="00C232D7">
            <w:pPr>
              <w:spacing w:before="40" w:after="40" w:line="360" w:lineRule="auto"/>
              <w:rPr>
                <w:rFonts w:ascii="Arial" w:hAnsi="Arial" w:cs="Arial"/>
                <w:sz w:val="18"/>
                <w:lang w:val="sq-AL"/>
              </w:rPr>
            </w:pPr>
            <w:r w:rsidRPr="00DF0B9D">
              <w:rPr>
                <w:rFonts w:ascii="Arial" w:hAnsi="Arial" w:cs="Arial"/>
                <w:color w:val="000000"/>
                <w:sz w:val="18"/>
                <w:lang w:val="sq-AL"/>
              </w:rPr>
              <w:t>25.599</w:t>
            </w:r>
          </w:p>
        </w:tc>
        <w:tc>
          <w:tcPr>
            <w:tcW w:w="1729" w:type="pct"/>
            <w:vAlign w:val="center"/>
          </w:tcPr>
          <w:p w14:paraId="1E973B7A" w14:textId="77777777" w:rsidR="00C232D7" w:rsidRPr="00DF0B9D" w:rsidRDefault="00C232D7" w:rsidP="00C232D7">
            <w:pPr>
              <w:spacing w:before="40" w:after="40" w:line="360" w:lineRule="auto"/>
              <w:rPr>
                <w:rFonts w:ascii="Arial" w:hAnsi="Arial" w:cs="Arial"/>
                <w:sz w:val="18"/>
                <w:highlight w:val="yellow"/>
                <w:lang w:val="sq-AL"/>
              </w:rPr>
            </w:pPr>
            <w:r w:rsidRPr="00DF0B9D">
              <w:rPr>
                <w:rFonts w:ascii="Arial" w:hAnsi="Arial" w:cs="Arial"/>
                <w:color w:val="000000"/>
                <w:sz w:val="18"/>
              </w:rPr>
              <w:t>13.357</w:t>
            </w:r>
          </w:p>
        </w:tc>
      </w:tr>
      <w:tr w:rsidR="00C232D7" w:rsidRPr="00DF0B9D" w14:paraId="41857298" w14:textId="77777777" w:rsidTr="00C232D7">
        <w:trPr>
          <w:jc w:val="center"/>
        </w:trPr>
        <w:tc>
          <w:tcPr>
            <w:tcW w:w="1596" w:type="pct"/>
            <w:vAlign w:val="center"/>
          </w:tcPr>
          <w:p w14:paraId="3E908A91" w14:textId="77777777" w:rsidR="00C232D7" w:rsidRPr="00DF0B9D" w:rsidRDefault="00C232D7" w:rsidP="00C232D7">
            <w:pPr>
              <w:rPr>
                <w:rFonts w:ascii="Arial" w:hAnsi="Arial" w:cs="Arial"/>
                <w:sz w:val="18"/>
              </w:rPr>
            </w:pPr>
            <w:r w:rsidRPr="00DF0B9D">
              <w:rPr>
                <w:rFonts w:ascii="Arial" w:hAnsi="Arial" w:cs="Arial"/>
                <w:sz w:val="18"/>
              </w:rPr>
              <w:t>PLUŽINE</w:t>
            </w:r>
          </w:p>
        </w:tc>
        <w:tc>
          <w:tcPr>
            <w:tcW w:w="1675" w:type="pct"/>
            <w:shd w:val="clear" w:color="auto" w:fill="auto"/>
            <w:vAlign w:val="center"/>
          </w:tcPr>
          <w:p w14:paraId="4A20B517" w14:textId="77777777" w:rsidR="00C232D7" w:rsidRPr="00DF0B9D" w:rsidRDefault="00C232D7" w:rsidP="00C232D7">
            <w:pPr>
              <w:rPr>
                <w:rFonts w:ascii="Arial" w:hAnsi="Arial" w:cs="Arial"/>
                <w:sz w:val="18"/>
              </w:rPr>
            </w:pPr>
            <w:r w:rsidRPr="00DF0B9D">
              <w:rPr>
                <w:rFonts w:ascii="Arial" w:hAnsi="Arial" w:cs="Arial"/>
                <w:sz w:val="18"/>
              </w:rPr>
              <w:t>2.508</w:t>
            </w:r>
          </w:p>
        </w:tc>
        <w:tc>
          <w:tcPr>
            <w:tcW w:w="1729" w:type="pct"/>
            <w:vAlign w:val="center"/>
          </w:tcPr>
          <w:p w14:paraId="63D01A15" w14:textId="77777777" w:rsidR="00C232D7" w:rsidRPr="00DF0B9D" w:rsidRDefault="00C232D7" w:rsidP="00C232D7">
            <w:pPr>
              <w:rPr>
                <w:rFonts w:ascii="Arial" w:hAnsi="Arial" w:cs="Arial"/>
                <w:sz w:val="18"/>
                <w:highlight w:val="yellow"/>
              </w:rPr>
            </w:pPr>
            <w:r w:rsidRPr="00DF0B9D">
              <w:rPr>
                <w:rFonts w:ascii="Arial" w:hAnsi="Arial" w:cs="Arial"/>
                <w:sz w:val="18"/>
              </w:rPr>
              <w:t>1,186</w:t>
            </w:r>
          </w:p>
        </w:tc>
      </w:tr>
      <w:tr w:rsidR="00C232D7" w:rsidRPr="00DF0B9D" w14:paraId="5D59D833" w14:textId="77777777" w:rsidTr="00C232D7">
        <w:trPr>
          <w:trHeight w:val="477"/>
          <w:jc w:val="center"/>
        </w:trPr>
        <w:tc>
          <w:tcPr>
            <w:tcW w:w="1596" w:type="pct"/>
            <w:vAlign w:val="center"/>
          </w:tcPr>
          <w:p w14:paraId="3789F854" w14:textId="77777777" w:rsidR="00C232D7" w:rsidRPr="00DF0B9D" w:rsidRDefault="00C232D7" w:rsidP="00C232D7">
            <w:pPr>
              <w:rPr>
                <w:rFonts w:ascii="Arial" w:hAnsi="Arial" w:cs="Arial"/>
                <w:sz w:val="18"/>
              </w:rPr>
            </w:pPr>
            <w:r w:rsidRPr="00DF0B9D">
              <w:rPr>
                <w:rFonts w:ascii="Arial" w:hAnsi="Arial" w:cs="Arial"/>
                <w:sz w:val="18"/>
              </w:rPr>
              <w:t>ŠAVNIK</w:t>
            </w:r>
          </w:p>
        </w:tc>
        <w:tc>
          <w:tcPr>
            <w:tcW w:w="1675" w:type="pct"/>
            <w:shd w:val="clear" w:color="auto" w:fill="auto"/>
            <w:vAlign w:val="center"/>
          </w:tcPr>
          <w:p w14:paraId="43087074" w14:textId="77777777" w:rsidR="00C232D7" w:rsidRPr="00DF0B9D" w:rsidRDefault="00C232D7" w:rsidP="00C232D7">
            <w:pPr>
              <w:rPr>
                <w:rFonts w:ascii="Arial" w:hAnsi="Arial" w:cs="Arial"/>
                <w:sz w:val="18"/>
              </w:rPr>
            </w:pPr>
            <w:r w:rsidRPr="00DF0B9D">
              <w:rPr>
                <w:rFonts w:ascii="Arial" w:hAnsi="Arial" w:cs="Arial"/>
                <w:sz w:val="18"/>
              </w:rPr>
              <w:t>1.438</w:t>
            </w:r>
          </w:p>
        </w:tc>
        <w:tc>
          <w:tcPr>
            <w:tcW w:w="1729" w:type="pct"/>
            <w:vAlign w:val="center"/>
          </w:tcPr>
          <w:p w14:paraId="35CEE5FD" w14:textId="77777777" w:rsidR="00C232D7" w:rsidRPr="00DF0B9D" w:rsidRDefault="00C232D7" w:rsidP="00C232D7">
            <w:pPr>
              <w:rPr>
                <w:rFonts w:ascii="Arial" w:hAnsi="Arial" w:cs="Arial"/>
                <w:sz w:val="18"/>
                <w:highlight w:val="yellow"/>
              </w:rPr>
            </w:pPr>
            <w:r w:rsidRPr="00DF0B9D">
              <w:rPr>
                <w:rFonts w:ascii="Arial" w:hAnsi="Arial" w:cs="Arial"/>
                <w:sz w:val="18"/>
              </w:rPr>
              <w:t>627</w:t>
            </w:r>
          </w:p>
        </w:tc>
      </w:tr>
      <w:tr w:rsidR="00C232D7" w:rsidRPr="00DF0B9D" w14:paraId="22DDD7DD" w14:textId="77777777" w:rsidTr="00C232D7">
        <w:trPr>
          <w:jc w:val="center"/>
        </w:trPr>
        <w:tc>
          <w:tcPr>
            <w:tcW w:w="1596" w:type="pct"/>
            <w:vAlign w:val="center"/>
          </w:tcPr>
          <w:p w14:paraId="5AC80CB2" w14:textId="77777777" w:rsidR="00C232D7" w:rsidRPr="00DF0B9D" w:rsidRDefault="00C232D7" w:rsidP="00C232D7">
            <w:pPr>
              <w:rPr>
                <w:rFonts w:ascii="Arial" w:hAnsi="Arial" w:cs="Arial"/>
                <w:sz w:val="18"/>
              </w:rPr>
            </w:pPr>
            <w:r w:rsidRPr="00DF0B9D">
              <w:rPr>
                <w:rFonts w:ascii="Arial" w:hAnsi="Arial" w:cs="Arial"/>
                <w:sz w:val="18"/>
              </w:rPr>
              <w:t>ŽABLJAK</w:t>
            </w:r>
          </w:p>
        </w:tc>
        <w:tc>
          <w:tcPr>
            <w:tcW w:w="1675" w:type="pct"/>
            <w:shd w:val="clear" w:color="auto" w:fill="auto"/>
            <w:vAlign w:val="center"/>
          </w:tcPr>
          <w:p w14:paraId="479BDF48" w14:textId="77777777" w:rsidR="00C232D7" w:rsidRPr="00DF0B9D" w:rsidRDefault="00C232D7" w:rsidP="00C232D7">
            <w:pPr>
              <w:rPr>
                <w:rFonts w:ascii="Arial" w:hAnsi="Arial" w:cs="Arial"/>
                <w:sz w:val="18"/>
              </w:rPr>
            </w:pPr>
            <w:r w:rsidRPr="00DF0B9D">
              <w:rPr>
                <w:rFonts w:ascii="Arial" w:hAnsi="Arial" w:cs="Arial"/>
                <w:sz w:val="18"/>
              </w:rPr>
              <w:t>3.011</w:t>
            </w:r>
          </w:p>
        </w:tc>
        <w:tc>
          <w:tcPr>
            <w:tcW w:w="1729" w:type="pct"/>
            <w:vAlign w:val="center"/>
          </w:tcPr>
          <w:p w14:paraId="41D1A619" w14:textId="77777777" w:rsidR="00C232D7" w:rsidRPr="00DF0B9D" w:rsidRDefault="00C232D7" w:rsidP="00C232D7">
            <w:pPr>
              <w:rPr>
                <w:rFonts w:ascii="Arial" w:hAnsi="Arial" w:cs="Arial"/>
                <w:sz w:val="18"/>
                <w:highlight w:val="yellow"/>
              </w:rPr>
            </w:pPr>
            <w:r w:rsidRPr="00DF0B9D">
              <w:rPr>
                <w:rFonts w:ascii="Arial" w:hAnsi="Arial" w:cs="Arial"/>
                <w:sz w:val="18"/>
              </w:rPr>
              <w:t>1,466</w:t>
            </w:r>
          </w:p>
        </w:tc>
      </w:tr>
      <w:tr w:rsidR="00C232D7" w:rsidRPr="00DF0B9D" w14:paraId="1E9DB034" w14:textId="77777777" w:rsidTr="00C232D7">
        <w:trPr>
          <w:trHeight w:val="445"/>
          <w:jc w:val="center"/>
        </w:trPr>
        <w:tc>
          <w:tcPr>
            <w:tcW w:w="1596" w:type="pct"/>
            <w:shd w:val="clear" w:color="auto" w:fill="E2EFD9" w:themeFill="accent6" w:themeFillTint="33"/>
            <w:vAlign w:val="center"/>
          </w:tcPr>
          <w:p w14:paraId="33AEF767" w14:textId="77777777" w:rsidR="00C232D7" w:rsidRPr="00DF0B9D" w:rsidRDefault="00C232D7" w:rsidP="00C232D7">
            <w:pPr>
              <w:rPr>
                <w:rFonts w:ascii="Arial" w:hAnsi="Arial" w:cs="Arial"/>
                <w:sz w:val="18"/>
              </w:rPr>
            </w:pPr>
            <w:r w:rsidRPr="00DF0B9D">
              <w:rPr>
                <w:rFonts w:ascii="Arial" w:hAnsi="Arial" w:cs="Arial"/>
                <w:sz w:val="18"/>
              </w:rPr>
              <w:t>UKUPNO</w:t>
            </w:r>
          </w:p>
        </w:tc>
        <w:tc>
          <w:tcPr>
            <w:tcW w:w="1675" w:type="pct"/>
            <w:shd w:val="clear" w:color="auto" w:fill="E2EFD9" w:themeFill="accent6" w:themeFillTint="33"/>
            <w:vAlign w:val="bottom"/>
          </w:tcPr>
          <w:p w14:paraId="5A55F425" w14:textId="77777777" w:rsidR="00C232D7" w:rsidRPr="00DF0B9D" w:rsidRDefault="00C232D7" w:rsidP="00C232D7">
            <w:pPr>
              <w:rPr>
                <w:rFonts w:ascii="Arial" w:hAnsi="Arial" w:cs="Arial"/>
                <w:sz w:val="18"/>
              </w:rPr>
            </w:pPr>
            <w:r w:rsidRPr="00DF0B9D">
              <w:rPr>
                <w:rFonts w:ascii="Arial" w:hAnsi="Arial" w:cs="Arial"/>
                <w:sz w:val="18"/>
              </w:rPr>
              <w:t>75.732</w:t>
            </w:r>
          </w:p>
        </w:tc>
        <w:tc>
          <w:tcPr>
            <w:tcW w:w="1729" w:type="pct"/>
            <w:shd w:val="clear" w:color="auto" w:fill="E2EFD9" w:themeFill="accent6" w:themeFillTint="33"/>
            <w:vAlign w:val="bottom"/>
          </w:tcPr>
          <w:p w14:paraId="2E842574" w14:textId="77777777" w:rsidR="00C232D7" w:rsidRPr="00DF0B9D" w:rsidRDefault="00C232D7" w:rsidP="00C232D7">
            <w:pPr>
              <w:rPr>
                <w:rFonts w:ascii="Arial" w:hAnsi="Arial" w:cs="Arial"/>
                <w:sz w:val="18"/>
                <w:highlight w:val="yellow"/>
              </w:rPr>
            </w:pPr>
            <w:r w:rsidRPr="00DF0B9D">
              <w:rPr>
                <w:rFonts w:ascii="Arial" w:hAnsi="Arial" w:cs="Arial"/>
                <w:sz w:val="18"/>
              </w:rPr>
              <w:t>40,919</w:t>
            </w:r>
          </w:p>
        </w:tc>
      </w:tr>
    </w:tbl>
    <w:p w14:paraId="446F763F" w14:textId="77777777" w:rsidR="00C232D7" w:rsidRPr="00DF0B9D" w:rsidRDefault="00C232D7" w:rsidP="00C232D7">
      <w:pPr>
        <w:rPr>
          <w:rFonts w:ascii="Arial" w:hAnsi="Arial" w:cs="Arial"/>
          <w:sz w:val="18"/>
        </w:rPr>
      </w:pPr>
    </w:p>
    <w:p w14:paraId="03182D3A" w14:textId="31A2F8B1" w:rsidR="00C232D7" w:rsidRPr="0016387A" w:rsidRDefault="00C232D7" w:rsidP="00C232D7">
      <w:pPr>
        <w:rPr>
          <w:rFonts w:ascii="Arial" w:hAnsi="Arial" w:cs="Arial"/>
          <w:lang w:val="de-DE"/>
        </w:rPr>
      </w:pPr>
      <w:r w:rsidRPr="0016387A">
        <w:rPr>
          <w:rFonts w:ascii="Arial" w:hAnsi="Arial" w:cs="Arial"/>
          <w:lang w:val="de-DE"/>
        </w:rPr>
        <w:t>Infrastruktura za upravljanje otpadom za koju se predlaže da bude operativna prikazana je u tabeli ispod.</w:t>
      </w:r>
    </w:p>
    <w:p w14:paraId="518BB17B" w14:textId="77777777" w:rsidR="00C232D7" w:rsidRPr="0016387A" w:rsidRDefault="00C232D7" w:rsidP="00C232D7">
      <w:pPr>
        <w:rPr>
          <w:rFonts w:ascii="Arial" w:hAnsi="Arial" w:cs="Arial"/>
          <w:lang w:val="de-DE"/>
        </w:rPr>
      </w:pPr>
    </w:p>
    <w:p w14:paraId="12D45A9F" w14:textId="0C908590" w:rsidR="00C232D7" w:rsidRPr="00673670" w:rsidRDefault="00C232D7" w:rsidP="00120736">
      <w:pPr>
        <w:pStyle w:val="Caption"/>
        <w:rPr>
          <w:rFonts w:ascii="Arial" w:hAnsi="Arial" w:cs="Arial"/>
          <w:b w:val="0"/>
          <w:szCs w:val="20"/>
          <w:lang w:val="de-DE"/>
        </w:rPr>
      </w:pPr>
      <w:bookmarkStart w:id="906" w:name="_Toc189515619"/>
      <w:bookmarkStart w:id="907" w:name="_Toc190160735"/>
      <w:r w:rsidRPr="00673670">
        <w:rPr>
          <w:rFonts w:ascii="Arial" w:hAnsi="Arial" w:cs="Arial"/>
          <w:b w:val="0"/>
          <w:szCs w:val="20"/>
          <w:lang w:val="de-DE"/>
        </w:rPr>
        <w:t xml:space="preserve">Tabela </w:t>
      </w:r>
      <w:r w:rsidRPr="008B6C9F">
        <w:rPr>
          <w:rFonts w:ascii="Arial" w:hAnsi="Arial" w:cs="Arial"/>
          <w:b w:val="0"/>
          <w:szCs w:val="20"/>
        </w:rPr>
        <w:fldChar w:fldCharType="begin"/>
      </w:r>
      <w:r w:rsidRPr="00673670">
        <w:rPr>
          <w:rFonts w:ascii="Arial" w:hAnsi="Arial" w:cs="Arial"/>
          <w:b w:val="0"/>
          <w:szCs w:val="20"/>
          <w:lang w:val="de-DE"/>
        </w:rPr>
        <w:instrText xml:space="preserve"> SEQ Tabela \* ARABIC </w:instrText>
      </w:r>
      <w:r w:rsidRPr="008B6C9F">
        <w:rPr>
          <w:rFonts w:ascii="Arial" w:hAnsi="Arial" w:cs="Arial"/>
          <w:b w:val="0"/>
          <w:szCs w:val="20"/>
        </w:rPr>
        <w:fldChar w:fldCharType="separate"/>
      </w:r>
      <w:r w:rsidR="007274DA">
        <w:rPr>
          <w:rFonts w:ascii="Arial" w:hAnsi="Arial" w:cs="Arial"/>
          <w:b w:val="0"/>
          <w:noProof/>
          <w:szCs w:val="20"/>
          <w:lang w:val="de-DE"/>
        </w:rPr>
        <w:t>44</w:t>
      </w:r>
      <w:r w:rsidRPr="008B6C9F">
        <w:rPr>
          <w:rFonts w:ascii="Arial" w:hAnsi="Arial" w:cs="Arial"/>
          <w:b w:val="0"/>
          <w:szCs w:val="20"/>
        </w:rPr>
        <w:fldChar w:fldCharType="end"/>
      </w:r>
      <w:r w:rsidRPr="00673670">
        <w:rPr>
          <w:rFonts w:ascii="Arial" w:hAnsi="Arial" w:cs="Arial"/>
          <w:b w:val="0"/>
          <w:szCs w:val="20"/>
          <w:lang w:val="de-DE"/>
        </w:rPr>
        <w:t xml:space="preserve"> Predložena infrastruktura upravljanja otpadom koja opslužuje Regionalni centar upravljanja otpadom Nikšić</w:t>
      </w:r>
      <w:r w:rsidR="00877FBD" w:rsidRPr="00673670">
        <w:rPr>
          <w:rFonts w:ascii="Arial" w:hAnsi="Arial" w:cs="Arial"/>
          <w:b w:val="0"/>
          <w:szCs w:val="20"/>
          <w:lang w:val="de-DE"/>
        </w:rPr>
        <w:t xml:space="preserve"> </w:t>
      </w:r>
      <w:r w:rsidRPr="00673670">
        <w:rPr>
          <w:rFonts w:ascii="Arial" w:hAnsi="Arial" w:cs="Arial"/>
          <w:b w:val="0"/>
          <w:szCs w:val="20"/>
          <w:lang w:val="de-DE"/>
        </w:rPr>
        <w:t>– Opcija 1</w:t>
      </w:r>
      <w:bookmarkEnd w:id="906"/>
      <w:bookmarkEnd w:id="907"/>
    </w:p>
    <w:tbl>
      <w:tblPr>
        <w:tblStyle w:val="TableGrid"/>
        <w:tblW w:w="8944" w:type="dxa"/>
        <w:jc w:val="center"/>
        <w:tblLayout w:type="fixed"/>
        <w:tblLook w:val="04A0" w:firstRow="1" w:lastRow="0" w:firstColumn="1" w:lastColumn="0" w:noHBand="0" w:noVBand="1"/>
      </w:tblPr>
      <w:tblGrid>
        <w:gridCol w:w="1558"/>
        <w:gridCol w:w="1322"/>
        <w:gridCol w:w="1558"/>
        <w:gridCol w:w="1558"/>
        <w:gridCol w:w="1558"/>
        <w:gridCol w:w="1390"/>
      </w:tblGrid>
      <w:tr w:rsidR="00DF0B9D" w:rsidRPr="004D2EA8" w14:paraId="0C277B55" w14:textId="77777777" w:rsidTr="00AE0C12">
        <w:trPr>
          <w:jc w:val="center"/>
        </w:trPr>
        <w:tc>
          <w:tcPr>
            <w:tcW w:w="1558" w:type="dxa"/>
            <w:shd w:val="clear" w:color="auto" w:fill="F2F2F2" w:themeFill="background1" w:themeFillShade="F2"/>
          </w:tcPr>
          <w:p w14:paraId="48E96667" w14:textId="77777777" w:rsidR="00DF0B9D" w:rsidRPr="004D2EA8" w:rsidRDefault="00DF0B9D" w:rsidP="003F6F69">
            <w:pPr>
              <w:ind w:left="337"/>
              <w:rPr>
                <w:rFonts w:ascii="Arial" w:hAnsi="Arial" w:cs="Arial"/>
                <w:b/>
                <w:sz w:val="17"/>
                <w:szCs w:val="17"/>
              </w:rPr>
            </w:pPr>
            <w:bookmarkStart w:id="908" w:name="_Toc189515620"/>
            <w:r w:rsidRPr="004D2EA8">
              <w:rPr>
                <w:rFonts w:ascii="Arial" w:hAnsi="Arial" w:cs="Arial"/>
                <w:b/>
                <w:sz w:val="17"/>
                <w:szCs w:val="17"/>
              </w:rPr>
              <w:t>Opština</w:t>
            </w:r>
          </w:p>
        </w:tc>
        <w:tc>
          <w:tcPr>
            <w:tcW w:w="1322" w:type="dxa"/>
            <w:shd w:val="clear" w:color="auto" w:fill="F2F2F2" w:themeFill="background1" w:themeFillShade="F2"/>
          </w:tcPr>
          <w:p w14:paraId="3D0A4BDE" w14:textId="77777777" w:rsidR="00DF0B9D" w:rsidRPr="004D2EA8" w:rsidRDefault="00DF0B9D" w:rsidP="003F6F69">
            <w:pPr>
              <w:ind w:left="337"/>
              <w:rPr>
                <w:rFonts w:ascii="Arial" w:hAnsi="Arial" w:cs="Arial"/>
                <w:b/>
                <w:sz w:val="17"/>
                <w:szCs w:val="17"/>
              </w:rPr>
            </w:pPr>
            <w:r w:rsidRPr="004D2EA8">
              <w:rPr>
                <w:rFonts w:ascii="Arial" w:hAnsi="Arial" w:cs="Arial"/>
                <w:b/>
                <w:sz w:val="17"/>
                <w:szCs w:val="17"/>
              </w:rPr>
              <w:t>Lokacija</w:t>
            </w:r>
          </w:p>
        </w:tc>
        <w:tc>
          <w:tcPr>
            <w:tcW w:w="1558" w:type="dxa"/>
            <w:shd w:val="clear" w:color="auto" w:fill="F2F2F2" w:themeFill="background1" w:themeFillShade="F2"/>
          </w:tcPr>
          <w:p w14:paraId="4F0D644E" w14:textId="77777777" w:rsidR="00DF0B9D" w:rsidRPr="004D2EA8" w:rsidRDefault="00DF0B9D" w:rsidP="003F6F69">
            <w:pPr>
              <w:ind w:left="337"/>
              <w:rPr>
                <w:rFonts w:ascii="Arial" w:hAnsi="Arial" w:cs="Arial"/>
                <w:b/>
                <w:sz w:val="17"/>
                <w:szCs w:val="17"/>
              </w:rPr>
            </w:pPr>
            <w:r w:rsidRPr="004D2EA8">
              <w:rPr>
                <w:rFonts w:ascii="Arial" w:hAnsi="Arial" w:cs="Arial"/>
                <w:b/>
                <w:sz w:val="17"/>
                <w:szCs w:val="17"/>
              </w:rPr>
              <w:t>Vrsta postrojenja</w:t>
            </w:r>
          </w:p>
        </w:tc>
        <w:tc>
          <w:tcPr>
            <w:tcW w:w="1558" w:type="dxa"/>
            <w:shd w:val="clear" w:color="auto" w:fill="F2F2F2" w:themeFill="background1" w:themeFillShade="F2"/>
          </w:tcPr>
          <w:p w14:paraId="4FCDEA50" w14:textId="77777777" w:rsidR="00DF0B9D" w:rsidRPr="004D2EA8" w:rsidRDefault="00DF0B9D" w:rsidP="003F6F69">
            <w:pPr>
              <w:ind w:left="337"/>
              <w:rPr>
                <w:rFonts w:ascii="Arial" w:hAnsi="Arial" w:cs="Arial"/>
                <w:b/>
                <w:sz w:val="17"/>
                <w:szCs w:val="17"/>
              </w:rPr>
            </w:pPr>
            <w:r w:rsidRPr="004D2EA8">
              <w:rPr>
                <w:rFonts w:ascii="Arial" w:hAnsi="Arial" w:cs="Arial"/>
                <w:b/>
                <w:sz w:val="17"/>
                <w:szCs w:val="17"/>
              </w:rPr>
              <w:t>Status</w:t>
            </w:r>
          </w:p>
        </w:tc>
        <w:tc>
          <w:tcPr>
            <w:tcW w:w="1558" w:type="dxa"/>
            <w:shd w:val="clear" w:color="auto" w:fill="F2F2F2" w:themeFill="background1" w:themeFillShade="F2"/>
          </w:tcPr>
          <w:p w14:paraId="29A2E112" w14:textId="77777777" w:rsidR="00DF0B9D" w:rsidRPr="004D2EA8" w:rsidRDefault="00DF0B9D" w:rsidP="003F6F69">
            <w:pPr>
              <w:ind w:left="0"/>
              <w:rPr>
                <w:rFonts w:ascii="Arial" w:hAnsi="Arial" w:cs="Arial"/>
                <w:b/>
                <w:sz w:val="17"/>
                <w:szCs w:val="17"/>
              </w:rPr>
            </w:pPr>
            <w:r w:rsidRPr="004D2EA8">
              <w:rPr>
                <w:rFonts w:ascii="Arial" w:hAnsi="Arial" w:cs="Arial"/>
                <w:b/>
                <w:sz w:val="17"/>
                <w:szCs w:val="17"/>
              </w:rPr>
              <w:t>Vrsta ulazne frakcije otpada</w:t>
            </w:r>
          </w:p>
        </w:tc>
        <w:tc>
          <w:tcPr>
            <w:tcW w:w="1390" w:type="dxa"/>
            <w:shd w:val="clear" w:color="auto" w:fill="F2F2F2" w:themeFill="background1" w:themeFillShade="F2"/>
          </w:tcPr>
          <w:p w14:paraId="68A1397E" w14:textId="77777777" w:rsidR="00DF0B9D" w:rsidRPr="004D2EA8" w:rsidRDefault="00DF0B9D" w:rsidP="00AE0C12">
            <w:pPr>
              <w:ind w:left="80" w:right="245"/>
              <w:rPr>
                <w:rFonts w:ascii="Arial" w:hAnsi="Arial" w:cs="Arial"/>
                <w:b/>
                <w:sz w:val="17"/>
                <w:szCs w:val="17"/>
              </w:rPr>
            </w:pPr>
            <w:r w:rsidRPr="004D2EA8">
              <w:rPr>
                <w:rFonts w:ascii="Arial" w:hAnsi="Arial" w:cs="Arial"/>
                <w:b/>
                <w:sz w:val="17"/>
                <w:szCs w:val="17"/>
              </w:rPr>
              <w:t>Kapacitet (t/god) – 2029</w:t>
            </w:r>
          </w:p>
        </w:tc>
      </w:tr>
      <w:tr w:rsidR="00DF0B9D" w:rsidRPr="004D2EA8" w14:paraId="1F566C41" w14:textId="77777777" w:rsidTr="00AE0C12">
        <w:trPr>
          <w:trHeight w:val="940"/>
          <w:jc w:val="center"/>
        </w:trPr>
        <w:tc>
          <w:tcPr>
            <w:tcW w:w="1558" w:type="dxa"/>
            <w:vAlign w:val="center"/>
          </w:tcPr>
          <w:p w14:paraId="61B31636" w14:textId="77777777" w:rsidR="00DF0B9D" w:rsidRPr="004D2EA8" w:rsidRDefault="00DF0B9D" w:rsidP="003F6F69">
            <w:pPr>
              <w:pStyle w:val="Caption"/>
              <w:ind w:left="337"/>
              <w:rPr>
                <w:rFonts w:ascii="Arial" w:hAnsi="Arial" w:cs="Arial"/>
                <w:b w:val="0"/>
                <w:color w:val="000000" w:themeColor="text1"/>
                <w:sz w:val="17"/>
                <w:szCs w:val="17"/>
              </w:rPr>
            </w:pPr>
            <w:r w:rsidRPr="004D2EA8">
              <w:rPr>
                <w:rFonts w:ascii="Arial" w:hAnsi="Arial" w:cs="Arial"/>
                <w:b w:val="0"/>
                <w:color w:val="000000" w:themeColor="text1"/>
                <w:sz w:val="17"/>
                <w:szCs w:val="17"/>
              </w:rPr>
              <w:t xml:space="preserve">NIKŠIĆ </w:t>
            </w:r>
          </w:p>
        </w:tc>
        <w:tc>
          <w:tcPr>
            <w:tcW w:w="1322" w:type="dxa"/>
          </w:tcPr>
          <w:p w14:paraId="2E680782" w14:textId="77777777" w:rsidR="00DF0B9D" w:rsidRPr="004D2EA8" w:rsidRDefault="00DF0B9D" w:rsidP="003F6F69">
            <w:pPr>
              <w:pStyle w:val="Caption"/>
              <w:ind w:left="445"/>
              <w:rPr>
                <w:rFonts w:ascii="Arial" w:hAnsi="Arial" w:cs="Arial"/>
                <w:b w:val="0"/>
                <w:color w:val="000000" w:themeColor="text1"/>
                <w:sz w:val="17"/>
                <w:szCs w:val="17"/>
              </w:rPr>
            </w:pPr>
            <w:r w:rsidRPr="004D2EA8">
              <w:rPr>
                <w:rFonts w:ascii="Arial" w:hAnsi="Arial" w:cs="Arial"/>
                <w:b w:val="0"/>
                <w:color w:val="000000" w:themeColor="text1"/>
                <w:sz w:val="17"/>
                <w:szCs w:val="17"/>
              </w:rPr>
              <w:t>Nikšić</w:t>
            </w:r>
          </w:p>
        </w:tc>
        <w:tc>
          <w:tcPr>
            <w:tcW w:w="1558" w:type="dxa"/>
          </w:tcPr>
          <w:p w14:paraId="67F4E3A9" w14:textId="77777777" w:rsidR="00DF0B9D" w:rsidRPr="004D2EA8" w:rsidRDefault="00DF0B9D" w:rsidP="003F6F69">
            <w:pPr>
              <w:pStyle w:val="Caption"/>
              <w:ind w:left="188"/>
              <w:rPr>
                <w:rFonts w:ascii="Arial" w:hAnsi="Arial" w:cs="Arial"/>
                <w:b w:val="0"/>
                <w:color w:val="000000" w:themeColor="text1"/>
                <w:sz w:val="17"/>
                <w:szCs w:val="17"/>
              </w:rPr>
            </w:pPr>
            <w:r w:rsidRPr="004D2EA8">
              <w:rPr>
                <w:rFonts w:ascii="Arial" w:hAnsi="Arial" w:cs="Arial"/>
                <w:b w:val="0"/>
                <w:color w:val="000000" w:themeColor="text1"/>
                <w:sz w:val="17"/>
                <w:szCs w:val="17"/>
              </w:rPr>
              <w:t>Regionalni centar za upravljanje otpadom</w:t>
            </w:r>
          </w:p>
        </w:tc>
        <w:tc>
          <w:tcPr>
            <w:tcW w:w="1558" w:type="dxa"/>
          </w:tcPr>
          <w:p w14:paraId="38CEB7A4" w14:textId="77777777" w:rsidR="00DF0B9D" w:rsidRPr="004D2EA8" w:rsidRDefault="00DF0B9D" w:rsidP="003F6F69">
            <w:pPr>
              <w:ind w:left="107"/>
              <w:rPr>
                <w:rFonts w:ascii="Arial" w:hAnsi="Arial" w:cs="Arial"/>
                <w:sz w:val="17"/>
                <w:szCs w:val="17"/>
              </w:rPr>
            </w:pPr>
            <w:r w:rsidRPr="004D2EA8">
              <w:rPr>
                <w:rFonts w:ascii="Arial" w:hAnsi="Arial" w:cs="Arial"/>
                <w:sz w:val="17"/>
                <w:szCs w:val="17"/>
              </w:rPr>
              <w:t>Planirano</w:t>
            </w:r>
          </w:p>
          <w:p w14:paraId="6D67E1F9" w14:textId="77777777" w:rsidR="00DF0B9D" w:rsidRPr="004D2EA8" w:rsidRDefault="00DF0B9D" w:rsidP="003F6F69">
            <w:pPr>
              <w:pStyle w:val="Caption"/>
              <w:ind w:left="107"/>
              <w:rPr>
                <w:rFonts w:ascii="Arial" w:hAnsi="Arial" w:cs="Arial"/>
                <w:b w:val="0"/>
                <w:sz w:val="17"/>
                <w:szCs w:val="17"/>
              </w:rPr>
            </w:pPr>
          </w:p>
        </w:tc>
        <w:tc>
          <w:tcPr>
            <w:tcW w:w="1558" w:type="dxa"/>
          </w:tcPr>
          <w:p w14:paraId="4554EDAA" w14:textId="77777777" w:rsidR="00DF0B9D" w:rsidRPr="004D2EA8" w:rsidRDefault="00DF0B9D" w:rsidP="003F6F69">
            <w:pPr>
              <w:pStyle w:val="Caption"/>
              <w:ind w:left="16"/>
              <w:rPr>
                <w:rFonts w:ascii="Arial" w:hAnsi="Arial" w:cs="Arial"/>
                <w:b w:val="0"/>
                <w:color w:val="000000" w:themeColor="text1"/>
                <w:sz w:val="17"/>
                <w:szCs w:val="17"/>
              </w:rPr>
            </w:pPr>
            <w:r w:rsidRPr="004D2EA8">
              <w:rPr>
                <w:rFonts w:ascii="Arial" w:hAnsi="Arial" w:cs="Arial"/>
                <w:b w:val="0"/>
                <w:color w:val="000000" w:themeColor="text1"/>
                <w:sz w:val="17"/>
                <w:szCs w:val="17"/>
              </w:rPr>
              <w:t>Sve vrste otpada</w:t>
            </w:r>
          </w:p>
        </w:tc>
        <w:tc>
          <w:tcPr>
            <w:tcW w:w="1390" w:type="dxa"/>
          </w:tcPr>
          <w:p w14:paraId="662E7549" w14:textId="77777777" w:rsidR="00DF0B9D" w:rsidRPr="004D2EA8" w:rsidRDefault="00DF0B9D" w:rsidP="00AE0C12">
            <w:pPr>
              <w:pStyle w:val="Caption"/>
              <w:ind w:right="245"/>
              <w:rPr>
                <w:rFonts w:ascii="Arial" w:hAnsi="Arial" w:cs="Arial"/>
                <w:b w:val="0"/>
                <w:sz w:val="17"/>
                <w:szCs w:val="17"/>
              </w:rPr>
            </w:pPr>
          </w:p>
        </w:tc>
      </w:tr>
      <w:tr w:rsidR="00DF0B9D" w:rsidRPr="004D2EA8" w14:paraId="17CE3AAE" w14:textId="77777777" w:rsidTr="00AE0C12">
        <w:trPr>
          <w:jc w:val="center"/>
        </w:trPr>
        <w:tc>
          <w:tcPr>
            <w:tcW w:w="1558" w:type="dxa"/>
            <w:vAlign w:val="center"/>
          </w:tcPr>
          <w:p w14:paraId="5183C152" w14:textId="77777777" w:rsidR="00DF0B9D" w:rsidRPr="004D2EA8" w:rsidRDefault="00DF0B9D" w:rsidP="003F6F69">
            <w:pPr>
              <w:pStyle w:val="Caption"/>
              <w:ind w:left="337"/>
              <w:rPr>
                <w:rFonts w:ascii="Arial" w:hAnsi="Arial" w:cs="Arial"/>
                <w:b w:val="0"/>
                <w:color w:val="000000" w:themeColor="text1"/>
                <w:sz w:val="17"/>
                <w:szCs w:val="17"/>
              </w:rPr>
            </w:pPr>
            <w:r w:rsidRPr="004D2EA8">
              <w:rPr>
                <w:rFonts w:ascii="Arial" w:hAnsi="Arial" w:cs="Arial"/>
                <w:b w:val="0"/>
                <w:color w:val="000000" w:themeColor="text1"/>
                <w:sz w:val="17"/>
                <w:szCs w:val="17"/>
              </w:rPr>
              <w:t>PLUŽINE</w:t>
            </w:r>
          </w:p>
        </w:tc>
        <w:tc>
          <w:tcPr>
            <w:tcW w:w="1322" w:type="dxa"/>
          </w:tcPr>
          <w:p w14:paraId="469C3A1C" w14:textId="77777777" w:rsidR="00DF0B9D" w:rsidRPr="004D2EA8" w:rsidRDefault="00DF0B9D" w:rsidP="003F6F69">
            <w:pPr>
              <w:pStyle w:val="Caption"/>
              <w:ind w:left="445"/>
              <w:rPr>
                <w:rFonts w:ascii="Arial" w:hAnsi="Arial" w:cs="Arial"/>
                <w:b w:val="0"/>
                <w:color w:val="000000" w:themeColor="text1"/>
                <w:sz w:val="17"/>
                <w:szCs w:val="17"/>
              </w:rPr>
            </w:pPr>
            <w:r w:rsidRPr="004D2EA8">
              <w:rPr>
                <w:rFonts w:ascii="Arial" w:hAnsi="Arial" w:cs="Arial"/>
                <w:b w:val="0"/>
                <w:color w:val="000000" w:themeColor="text1"/>
                <w:sz w:val="17"/>
                <w:szCs w:val="17"/>
              </w:rPr>
              <w:t>Plužine</w:t>
            </w:r>
          </w:p>
        </w:tc>
        <w:tc>
          <w:tcPr>
            <w:tcW w:w="1558" w:type="dxa"/>
          </w:tcPr>
          <w:p w14:paraId="726E1D69" w14:textId="77777777" w:rsidR="00DF0B9D" w:rsidRPr="004D2EA8" w:rsidRDefault="00DF0B9D" w:rsidP="003F6F69">
            <w:pPr>
              <w:pStyle w:val="Caption"/>
              <w:ind w:left="188"/>
              <w:rPr>
                <w:rFonts w:ascii="Arial" w:hAnsi="Arial" w:cs="Arial"/>
                <w:b w:val="0"/>
                <w:color w:val="000000" w:themeColor="text1"/>
                <w:sz w:val="17"/>
                <w:szCs w:val="17"/>
              </w:rPr>
            </w:pPr>
            <w:r w:rsidRPr="004D2EA8">
              <w:rPr>
                <w:rFonts w:ascii="Arial" w:hAnsi="Arial" w:cs="Arial"/>
                <w:b w:val="0"/>
                <w:color w:val="000000" w:themeColor="text1"/>
                <w:sz w:val="17"/>
                <w:szCs w:val="17"/>
              </w:rPr>
              <w:t>Reciklažno dvorište</w:t>
            </w:r>
          </w:p>
        </w:tc>
        <w:tc>
          <w:tcPr>
            <w:tcW w:w="1558" w:type="dxa"/>
          </w:tcPr>
          <w:p w14:paraId="056B2BCD" w14:textId="77777777" w:rsidR="00DF0B9D" w:rsidRPr="004D2EA8" w:rsidRDefault="00DF0B9D" w:rsidP="003F6F69">
            <w:pPr>
              <w:ind w:left="107"/>
              <w:rPr>
                <w:rFonts w:ascii="Arial" w:hAnsi="Arial" w:cs="Arial"/>
                <w:sz w:val="17"/>
                <w:szCs w:val="17"/>
              </w:rPr>
            </w:pPr>
            <w:r w:rsidRPr="004D2EA8">
              <w:rPr>
                <w:rFonts w:ascii="Arial" w:hAnsi="Arial" w:cs="Arial"/>
                <w:sz w:val="17"/>
                <w:szCs w:val="17"/>
              </w:rPr>
              <w:t>Planirano</w:t>
            </w:r>
          </w:p>
          <w:p w14:paraId="7B7C0540" w14:textId="77777777" w:rsidR="00DF0B9D" w:rsidRPr="004D2EA8" w:rsidRDefault="00DF0B9D" w:rsidP="003F6F69">
            <w:pPr>
              <w:pStyle w:val="Caption"/>
              <w:ind w:left="107"/>
              <w:rPr>
                <w:rFonts w:ascii="Arial" w:hAnsi="Arial" w:cs="Arial"/>
                <w:b w:val="0"/>
                <w:sz w:val="17"/>
                <w:szCs w:val="17"/>
              </w:rPr>
            </w:pPr>
          </w:p>
        </w:tc>
        <w:tc>
          <w:tcPr>
            <w:tcW w:w="1558" w:type="dxa"/>
          </w:tcPr>
          <w:p w14:paraId="5FE267C7" w14:textId="77777777" w:rsidR="00DF0B9D" w:rsidRPr="004D2EA8" w:rsidRDefault="00DF0B9D" w:rsidP="003F6F69">
            <w:pPr>
              <w:pStyle w:val="Caption"/>
              <w:ind w:left="16"/>
              <w:rPr>
                <w:rFonts w:ascii="Arial" w:hAnsi="Arial" w:cs="Arial"/>
                <w:b w:val="0"/>
                <w:color w:val="000000" w:themeColor="text1"/>
                <w:sz w:val="17"/>
                <w:szCs w:val="17"/>
              </w:rPr>
            </w:pPr>
            <w:r w:rsidRPr="004D2EA8">
              <w:rPr>
                <w:rFonts w:ascii="Arial" w:hAnsi="Arial" w:cs="Arial"/>
                <w:b w:val="0"/>
                <w:color w:val="000000" w:themeColor="text1"/>
                <w:sz w:val="17"/>
                <w:szCs w:val="17"/>
              </w:rPr>
              <w:t>Sve vrste otpada</w:t>
            </w:r>
          </w:p>
        </w:tc>
        <w:tc>
          <w:tcPr>
            <w:tcW w:w="1390" w:type="dxa"/>
          </w:tcPr>
          <w:p w14:paraId="0BB41D21" w14:textId="77777777" w:rsidR="00DF0B9D" w:rsidRPr="004D2EA8" w:rsidRDefault="00DF0B9D" w:rsidP="00AE0C12">
            <w:pPr>
              <w:pStyle w:val="Caption"/>
              <w:ind w:right="245"/>
              <w:rPr>
                <w:rFonts w:ascii="Arial" w:hAnsi="Arial" w:cs="Arial"/>
                <w:b w:val="0"/>
                <w:sz w:val="17"/>
                <w:szCs w:val="17"/>
              </w:rPr>
            </w:pPr>
          </w:p>
        </w:tc>
      </w:tr>
      <w:tr w:rsidR="00DF0B9D" w:rsidRPr="004D2EA8" w14:paraId="549D6176" w14:textId="77777777" w:rsidTr="00AE0C12">
        <w:trPr>
          <w:jc w:val="center"/>
        </w:trPr>
        <w:tc>
          <w:tcPr>
            <w:tcW w:w="1558" w:type="dxa"/>
            <w:vAlign w:val="center"/>
          </w:tcPr>
          <w:p w14:paraId="5DADE7D2" w14:textId="77777777" w:rsidR="00DF0B9D" w:rsidRPr="004D2EA8" w:rsidRDefault="00DF0B9D" w:rsidP="003F6F69">
            <w:pPr>
              <w:pStyle w:val="Caption"/>
              <w:ind w:left="337"/>
              <w:rPr>
                <w:rFonts w:ascii="Arial" w:hAnsi="Arial" w:cs="Arial"/>
                <w:b w:val="0"/>
                <w:color w:val="000000" w:themeColor="text1"/>
                <w:sz w:val="17"/>
                <w:szCs w:val="17"/>
              </w:rPr>
            </w:pPr>
            <w:r w:rsidRPr="004D2EA8">
              <w:rPr>
                <w:rFonts w:ascii="Arial" w:hAnsi="Arial" w:cs="Arial"/>
                <w:b w:val="0"/>
                <w:color w:val="000000" w:themeColor="text1"/>
                <w:sz w:val="17"/>
                <w:szCs w:val="17"/>
              </w:rPr>
              <w:t xml:space="preserve">ŠAVNIK </w:t>
            </w:r>
          </w:p>
        </w:tc>
        <w:tc>
          <w:tcPr>
            <w:tcW w:w="1322" w:type="dxa"/>
          </w:tcPr>
          <w:p w14:paraId="73A34F7C" w14:textId="77777777" w:rsidR="00DF0B9D" w:rsidRPr="004D2EA8" w:rsidRDefault="00DF0B9D" w:rsidP="003F6F69">
            <w:pPr>
              <w:pStyle w:val="Caption"/>
              <w:ind w:left="445"/>
              <w:rPr>
                <w:rFonts w:ascii="Arial" w:hAnsi="Arial" w:cs="Arial"/>
                <w:b w:val="0"/>
                <w:color w:val="000000" w:themeColor="text1"/>
                <w:sz w:val="17"/>
                <w:szCs w:val="17"/>
              </w:rPr>
            </w:pPr>
            <w:r w:rsidRPr="004D2EA8">
              <w:rPr>
                <w:rFonts w:ascii="Arial" w:hAnsi="Arial" w:cs="Arial"/>
                <w:b w:val="0"/>
                <w:color w:val="000000" w:themeColor="text1"/>
                <w:sz w:val="17"/>
                <w:szCs w:val="17"/>
              </w:rPr>
              <w:t>Šavnik</w:t>
            </w:r>
          </w:p>
        </w:tc>
        <w:tc>
          <w:tcPr>
            <w:tcW w:w="1558" w:type="dxa"/>
          </w:tcPr>
          <w:p w14:paraId="5B2D2CF9" w14:textId="77777777" w:rsidR="00DF0B9D" w:rsidRPr="004D2EA8" w:rsidRDefault="00DF0B9D" w:rsidP="003F6F69">
            <w:pPr>
              <w:pStyle w:val="Caption"/>
              <w:ind w:left="188"/>
              <w:rPr>
                <w:rFonts w:ascii="Arial" w:hAnsi="Arial" w:cs="Arial"/>
                <w:b w:val="0"/>
                <w:color w:val="000000" w:themeColor="text1"/>
                <w:sz w:val="17"/>
                <w:szCs w:val="17"/>
              </w:rPr>
            </w:pPr>
            <w:r w:rsidRPr="004D2EA8">
              <w:rPr>
                <w:rFonts w:ascii="Arial" w:hAnsi="Arial" w:cs="Arial"/>
                <w:b w:val="0"/>
                <w:color w:val="000000" w:themeColor="text1"/>
                <w:sz w:val="17"/>
                <w:szCs w:val="17"/>
              </w:rPr>
              <w:t>Reciklažno dvorište</w:t>
            </w:r>
          </w:p>
        </w:tc>
        <w:tc>
          <w:tcPr>
            <w:tcW w:w="1558" w:type="dxa"/>
          </w:tcPr>
          <w:p w14:paraId="6F234012" w14:textId="77777777" w:rsidR="00DF0B9D" w:rsidRPr="004D2EA8" w:rsidRDefault="00DF0B9D" w:rsidP="003F6F69">
            <w:pPr>
              <w:ind w:left="107"/>
              <w:rPr>
                <w:rFonts w:ascii="Arial" w:hAnsi="Arial" w:cs="Arial"/>
                <w:sz w:val="17"/>
                <w:szCs w:val="17"/>
              </w:rPr>
            </w:pPr>
            <w:r w:rsidRPr="004D2EA8">
              <w:rPr>
                <w:rFonts w:ascii="Arial" w:hAnsi="Arial" w:cs="Arial"/>
                <w:sz w:val="17"/>
                <w:szCs w:val="17"/>
              </w:rPr>
              <w:t>Planirano</w:t>
            </w:r>
          </w:p>
          <w:p w14:paraId="365DD6CB" w14:textId="77777777" w:rsidR="00DF0B9D" w:rsidRPr="004D2EA8" w:rsidRDefault="00DF0B9D" w:rsidP="003F6F69">
            <w:pPr>
              <w:pStyle w:val="Caption"/>
              <w:ind w:left="107"/>
              <w:rPr>
                <w:rFonts w:ascii="Arial" w:hAnsi="Arial" w:cs="Arial"/>
                <w:b w:val="0"/>
                <w:sz w:val="17"/>
                <w:szCs w:val="17"/>
              </w:rPr>
            </w:pPr>
          </w:p>
        </w:tc>
        <w:tc>
          <w:tcPr>
            <w:tcW w:w="1558" w:type="dxa"/>
          </w:tcPr>
          <w:p w14:paraId="49060515" w14:textId="77777777" w:rsidR="00DF0B9D" w:rsidRPr="004D2EA8" w:rsidRDefault="00DF0B9D" w:rsidP="003F6F69">
            <w:pPr>
              <w:pStyle w:val="Caption"/>
              <w:ind w:left="16"/>
              <w:rPr>
                <w:rFonts w:ascii="Arial" w:hAnsi="Arial" w:cs="Arial"/>
                <w:b w:val="0"/>
                <w:color w:val="000000" w:themeColor="text1"/>
                <w:sz w:val="17"/>
                <w:szCs w:val="17"/>
              </w:rPr>
            </w:pPr>
            <w:r w:rsidRPr="004D2EA8">
              <w:rPr>
                <w:rFonts w:ascii="Arial" w:hAnsi="Arial" w:cs="Arial"/>
                <w:b w:val="0"/>
                <w:color w:val="000000" w:themeColor="text1"/>
                <w:sz w:val="17"/>
                <w:szCs w:val="17"/>
              </w:rPr>
              <w:t>Sve vrste otpada</w:t>
            </w:r>
          </w:p>
        </w:tc>
        <w:tc>
          <w:tcPr>
            <w:tcW w:w="1390" w:type="dxa"/>
          </w:tcPr>
          <w:p w14:paraId="06FDE095" w14:textId="77777777" w:rsidR="00DF0B9D" w:rsidRPr="004D2EA8" w:rsidRDefault="00DF0B9D" w:rsidP="00AE0C12">
            <w:pPr>
              <w:pStyle w:val="Caption"/>
              <w:ind w:right="245"/>
              <w:rPr>
                <w:rFonts w:ascii="Arial" w:hAnsi="Arial" w:cs="Arial"/>
                <w:b w:val="0"/>
                <w:sz w:val="17"/>
                <w:szCs w:val="17"/>
              </w:rPr>
            </w:pPr>
          </w:p>
        </w:tc>
      </w:tr>
      <w:tr w:rsidR="00DF0B9D" w:rsidRPr="004D2EA8" w14:paraId="79E5BED4" w14:textId="77777777" w:rsidTr="00AE0C12">
        <w:trPr>
          <w:trHeight w:val="230"/>
          <w:jc w:val="center"/>
        </w:trPr>
        <w:tc>
          <w:tcPr>
            <w:tcW w:w="1558" w:type="dxa"/>
            <w:vMerge w:val="restart"/>
            <w:vAlign w:val="center"/>
          </w:tcPr>
          <w:p w14:paraId="34B0C196" w14:textId="77777777" w:rsidR="00DF0B9D" w:rsidRPr="004D2EA8" w:rsidRDefault="00DF0B9D" w:rsidP="003F6F69">
            <w:pPr>
              <w:pStyle w:val="Caption"/>
              <w:ind w:left="337"/>
              <w:rPr>
                <w:rFonts w:ascii="Arial" w:hAnsi="Arial" w:cs="Arial"/>
                <w:b w:val="0"/>
                <w:color w:val="000000" w:themeColor="text1"/>
                <w:sz w:val="17"/>
                <w:szCs w:val="17"/>
              </w:rPr>
            </w:pPr>
            <w:r w:rsidRPr="004D2EA8">
              <w:rPr>
                <w:rFonts w:ascii="Arial" w:hAnsi="Arial" w:cs="Arial"/>
                <w:b w:val="0"/>
                <w:color w:val="000000" w:themeColor="text1"/>
                <w:sz w:val="17"/>
                <w:szCs w:val="17"/>
              </w:rPr>
              <w:t>ŽABLJAK</w:t>
            </w:r>
          </w:p>
        </w:tc>
        <w:tc>
          <w:tcPr>
            <w:tcW w:w="1322" w:type="dxa"/>
            <w:vMerge w:val="restart"/>
            <w:vAlign w:val="center"/>
          </w:tcPr>
          <w:p w14:paraId="7BFF6989" w14:textId="77777777" w:rsidR="00DF0B9D" w:rsidRPr="004D2EA8" w:rsidRDefault="00DF0B9D" w:rsidP="003F6F69">
            <w:pPr>
              <w:pStyle w:val="Caption"/>
              <w:ind w:left="445"/>
              <w:rPr>
                <w:rFonts w:ascii="Arial" w:hAnsi="Arial" w:cs="Arial"/>
                <w:b w:val="0"/>
                <w:color w:val="000000" w:themeColor="text1"/>
                <w:sz w:val="17"/>
                <w:szCs w:val="17"/>
              </w:rPr>
            </w:pPr>
            <w:r w:rsidRPr="004D2EA8">
              <w:rPr>
                <w:rFonts w:ascii="Arial" w:hAnsi="Arial" w:cs="Arial"/>
                <w:b w:val="0"/>
                <w:color w:val="000000" w:themeColor="text1"/>
                <w:sz w:val="17"/>
                <w:szCs w:val="17"/>
              </w:rPr>
              <w:t>Žabljak</w:t>
            </w:r>
          </w:p>
        </w:tc>
        <w:tc>
          <w:tcPr>
            <w:tcW w:w="1558" w:type="dxa"/>
          </w:tcPr>
          <w:p w14:paraId="1080A901" w14:textId="77777777" w:rsidR="00DF0B9D" w:rsidRPr="004D2EA8" w:rsidRDefault="00DF0B9D" w:rsidP="003F6F69">
            <w:pPr>
              <w:pStyle w:val="Caption"/>
              <w:ind w:left="188"/>
              <w:rPr>
                <w:rFonts w:ascii="Arial" w:hAnsi="Arial" w:cs="Arial"/>
                <w:b w:val="0"/>
                <w:color w:val="000000" w:themeColor="text1"/>
                <w:sz w:val="17"/>
                <w:szCs w:val="17"/>
              </w:rPr>
            </w:pPr>
            <w:r w:rsidRPr="004D2EA8">
              <w:rPr>
                <w:rFonts w:ascii="Arial" w:hAnsi="Arial" w:cs="Arial"/>
                <w:b w:val="0"/>
                <w:color w:val="000000" w:themeColor="text1"/>
                <w:sz w:val="17"/>
                <w:szCs w:val="17"/>
              </w:rPr>
              <w:t>Transfer stanica</w:t>
            </w:r>
          </w:p>
        </w:tc>
        <w:tc>
          <w:tcPr>
            <w:tcW w:w="1558" w:type="dxa"/>
          </w:tcPr>
          <w:p w14:paraId="32E04522" w14:textId="77777777" w:rsidR="00DF0B9D" w:rsidRPr="004D2EA8" w:rsidRDefault="00DF0B9D" w:rsidP="003F6F69">
            <w:pPr>
              <w:pStyle w:val="Caption"/>
              <w:ind w:left="107"/>
              <w:rPr>
                <w:rFonts w:ascii="Arial" w:hAnsi="Arial" w:cs="Arial"/>
                <w:b w:val="0"/>
                <w:color w:val="000000" w:themeColor="text1"/>
                <w:sz w:val="17"/>
                <w:szCs w:val="17"/>
              </w:rPr>
            </w:pPr>
            <w:r w:rsidRPr="004D2EA8">
              <w:rPr>
                <w:rFonts w:ascii="Arial" w:hAnsi="Arial" w:cs="Arial"/>
                <w:b w:val="0"/>
                <w:color w:val="000000" w:themeColor="text1"/>
                <w:sz w:val="17"/>
                <w:szCs w:val="17"/>
              </w:rPr>
              <w:t>Izgrađeno-nije u funkciji</w:t>
            </w:r>
          </w:p>
        </w:tc>
        <w:tc>
          <w:tcPr>
            <w:tcW w:w="1558" w:type="dxa"/>
          </w:tcPr>
          <w:p w14:paraId="60C904EA" w14:textId="77777777" w:rsidR="00DF0B9D" w:rsidRPr="004D2EA8" w:rsidRDefault="00DF0B9D" w:rsidP="003F6F69">
            <w:pPr>
              <w:pStyle w:val="Caption"/>
              <w:ind w:left="16"/>
              <w:rPr>
                <w:rFonts w:ascii="Arial" w:hAnsi="Arial" w:cs="Arial"/>
                <w:b w:val="0"/>
                <w:color w:val="000000" w:themeColor="text1"/>
                <w:sz w:val="17"/>
                <w:szCs w:val="17"/>
              </w:rPr>
            </w:pPr>
            <w:r w:rsidRPr="004D2EA8">
              <w:rPr>
                <w:rFonts w:ascii="Arial" w:hAnsi="Arial" w:cs="Arial"/>
                <w:b w:val="0"/>
                <w:color w:val="000000" w:themeColor="text1"/>
                <w:sz w:val="17"/>
                <w:szCs w:val="17"/>
              </w:rPr>
              <w:t>Rezidualni otpad, ostaci od MRF-a</w:t>
            </w:r>
          </w:p>
        </w:tc>
        <w:tc>
          <w:tcPr>
            <w:tcW w:w="1390" w:type="dxa"/>
          </w:tcPr>
          <w:p w14:paraId="1ACE5D80" w14:textId="77777777" w:rsidR="00DF0B9D" w:rsidRPr="004D2EA8" w:rsidRDefault="00DF0B9D" w:rsidP="00AE0C12">
            <w:pPr>
              <w:pStyle w:val="Caption"/>
              <w:ind w:left="360" w:right="245"/>
              <w:rPr>
                <w:rFonts w:ascii="Arial" w:hAnsi="Arial" w:cs="Arial"/>
                <w:b w:val="0"/>
                <w:color w:val="000000" w:themeColor="text1"/>
                <w:sz w:val="17"/>
                <w:szCs w:val="17"/>
              </w:rPr>
            </w:pPr>
            <w:r w:rsidRPr="004D2EA8">
              <w:rPr>
                <w:rFonts w:ascii="Arial" w:hAnsi="Arial" w:cs="Arial"/>
                <w:b w:val="0"/>
                <w:color w:val="000000" w:themeColor="text1"/>
                <w:sz w:val="17"/>
                <w:szCs w:val="17"/>
              </w:rPr>
              <w:t>1,108</w:t>
            </w:r>
          </w:p>
        </w:tc>
      </w:tr>
      <w:tr w:rsidR="00DF0B9D" w:rsidRPr="004D2EA8" w14:paraId="42CB74D0" w14:textId="77777777" w:rsidTr="00AE0C12">
        <w:trPr>
          <w:trHeight w:val="230"/>
          <w:jc w:val="center"/>
        </w:trPr>
        <w:tc>
          <w:tcPr>
            <w:tcW w:w="1558" w:type="dxa"/>
            <w:vMerge/>
            <w:vAlign w:val="center"/>
          </w:tcPr>
          <w:p w14:paraId="7DD6C838" w14:textId="77777777" w:rsidR="00DF0B9D" w:rsidRPr="004D2EA8" w:rsidRDefault="00DF0B9D" w:rsidP="003F6F69">
            <w:pPr>
              <w:pStyle w:val="Caption"/>
              <w:ind w:left="337"/>
              <w:rPr>
                <w:rFonts w:ascii="Arial" w:hAnsi="Arial" w:cs="Arial"/>
                <w:b w:val="0"/>
                <w:color w:val="000000" w:themeColor="text1"/>
                <w:sz w:val="17"/>
                <w:szCs w:val="17"/>
              </w:rPr>
            </w:pPr>
          </w:p>
        </w:tc>
        <w:tc>
          <w:tcPr>
            <w:tcW w:w="1322" w:type="dxa"/>
            <w:vMerge/>
            <w:vAlign w:val="center"/>
          </w:tcPr>
          <w:p w14:paraId="33CBFA44" w14:textId="77777777" w:rsidR="00DF0B9D" w:rsidRPr="004D2EA8" w:rsidRDefault="00DF0B9D" w:rsidP="003F6F69">
            <w:pPr>
              <w:pStyle w:val="Caption"/>
              <w:ind w:left="445"/>
              <w:rPr>
                <w:rFonts w:ascii="Arial" w:hAnsi="Arial" w:cs="Arial"/>
                <w:b w:val="0"/>
                <w:color w:val="000000" w:themeColor="text1"/>
                <w:sz w:val="17"/>
                <w:szCs w:val="17"/>
              </w:rPr>
            </w:pPr>
          </w:p>
        </w:tc>
        <w:tc>
          <w:tcPr>
            <w:tcW w:w="1558" w:type="dxa"/>
          </w:tcPr>
          <w:p w14:paraId="334CC82A" w14:textId="77777777" w:rsidR="00DF0B9D" w:rsidRPr="004D2EA8" w:rsidRDefault="00DF0B9D" w:rsidP="003F6F69">
            <w:pPr>
              <w:pStyle w:val="Caption"/>
              <w:ind w:left="188"/>
              <w:rPr>
                <w:rFonts w:ascii="Arial" w:hAnsi="Arial" w:cs="Arial"/>
                <w:b w:val="0"/>
                <w:color w:val="000000" w:themeColor="text1"/>
                <w:sz w:val="17"/>
                <w:szCs w:val="17"/>
              </w:rPr>
            </w:pPr>
            <w:r w:rsidRPr="004D2EA8">
              <w:rPr>
                <w:rFonts w:ascii="Arial" w:hAnsi="Arial" w:cs="Arial"/>
                <w:b w:val="0"/>
                <w:color w:val="000000" w:themeColor="text1"/>
                <w:sz w:val="17"/>
                <w:szCs w:val="17"/>
              </w:rPr>
              <w:t>MRF</w:t>
            </w:r>
          </w:p>
        </w:tc>
        <w:tc>
          <w:tcPr>
            <w:tcW w:w="1558" w:type="dxa"/>
          </w:tcPr>
          <w:p w14:paraId="23A7B559" w14:textId="77777777" w:rsidR="00DF0B9D" w:rsidRPr="004D2EA8" w:rsidRDefault="00DF0B9D" w:rsidP="003F6F69">
            <w:pPr>
              <w:pStyle w:val="Caption"/>
              <w:ind w:left="107"/>
              <w:rPr>
                <w:rFonts w:ascii="Arial" w:hAnsi="Arial" w:cs="Arial"/>
                <w:b w:val="0"/>
                <w:color w:val="000000" w:themeColor="text1"/>
                <w:sz w:val="17"/>
                <w:szCs w:val="17"/>
              </w:rPr>
            </w:pPr>
            <w:r w:rsidRPr="004D2EA8">
              <w:rPr>
                <w:rFonts w:ascii="Arial" w:hAnsi="Arial" w:cs="Arial"/>
                <w:b w:val="0"/>
                <w:color w:val="000000" w:themeColor="text1"/>
                <w:sz w:val="17"/>
                <w:szCs w:val="17"/>
              </w:rPr>
              <w:t>Izgrađeno-nije u funkciji</w:t>
            </w:r>
          </w:p>
        </w:tc>
        <w:tc>
          <w:tcPr>
            <w:tcW w:w="1558" w:type="dxa"/>
          </w:tcPr>
          <w:p w14:paraId="73E4D2BF" w14:textId="77777777" w:rsidR="00DF0B9D" w:rsidRPr="004D2EA8" w:rsidRDefault="00DF0B9D" w:rsidP="003F6F69">
            <w:pPr>
              <w:pStyle w:val="Caption"/>
              <w:ind w:left="16"/>
              <w:rPr>
                <w:rFonts w:ascii="Arial" w:hAnsi="Arial" w:cs="Arial"/>
                <w:b w:val="0"/>
                <w:color w:val="000000" w:themeColor="text1"/>
                <w:sz w:val="17"/>
                <w:szCs w:val="17"/>
              </w:rPr>
            </w:pPr>
            <w:r w:rsidRPr="004D2EA8">
              <w:rPr>
                <w:rFonts w:ascii="Arial" w:hAnsi="Arial" w:cs="Arial"/>
                <w:b w:val="0"/>
                <w:color w:val="000000" w:themeColor="text1"/>
                <w:sz w:val="17"/>
                <w:szCs w:val="17"/>
              </w:rPr>
              <w:t>Odvojeno sakupljeni reciklabilni materijali</w:t>
            </w:r>
          </w:p>
        </w:tc>
        <w:tc>
          <w:tcPr>
            <w:tcW w:w="1390" w:type="dxa"/>
          </w:tcPr>
          <w:p w14:paraId="2C75EB2A" w14:textId="77777777" w:rsidR="00DF0B9D" w:rsidRPr="004D2EA8" w:rsidRDefault="00DF0B9D" w:rsidP="00AE0C12">
            <w:pPr>
              <w:pStyle w:val="Caption"/>
              <w:ind w:left="360" w:right="245"/>
              <w:rPr>
                <w:rFonts w:ascii="Arial" w:hAnsi="Arial" w:cs="Arial"/>
                <w:b w:val="0"/>
                <w:color w:val="000000" w:themeColor="text1"/>
                <w:sz w:val="17"/>
                <w:szCs w:val="17"/>
              </w:rPr>
            </w:pPr>
            <w:r w:rsidRPr="004D2EA8">
              <w:rPr>
                <w:rFonts w:ascii="Arial" w:hAnsi="Arial" w:cs="Arial"/>
                <w:b w:val="0"/>
                <w:color w:val="000000" w:themeColor="text1"/>
                <w:sz w:val="17"/>
                <w:szCs w:val="17"/>
              </w:rPr>
              <w:t>284</w:t>
            </w:r>
          </w:p>
        </w:tc>
      </w:tr>
      <w:tr w:rsidR="00DF0B9D" w:rsidRPr="004D2EA8" w14:paraId="5F67EE24" w14:textId="77777777" w:rsidTr="00AE0C12">
        <w:trPr>
          <w:jc w:val="center"/>
        </w:trPr>
        <w:tc>
          <w:tcPr>
            <w:tcW w:w="1558" w:type="dxa"/>
            <w:vAlign w:val="center"/>
          </w:tcPr>
          <w:p w14:paraId="124D1F24" w14:textId="77777777" w:rsidR="00DF0B9D" w:rsidRPr="004D2EA8" w:rsidRDefault="00DF0B9D" w:rsidP="003F6F69">
            <w:pPr>
              <w:pStyle w:val="Caption"/>
              <w:ind w:left="337"/>
              <w:rPr>
                <w:rFonts w:ascii="Arial" w:hAnsi="Arial" w:cs="Arial"/>
                <w:b w:val="0"/>
                <w:color w:val="000000" w:themeColor="text1"/>
                <w:sz w:val="17"/>
                <w:szCs w:val="17"/>
              </w:rPr>
            </w:pPr>
            <w:r w:rsidRPr="004D2EA8">
              <w:rPr>
                <w:rFonts w:ascii="Arial" w:hAnsi="Arial" w:cs="Arial"/>
                <w:b w:val="0"/>
                <w:color w:val="000000" w:themeColor="text1"/>
                <w:sz w:val="17"/>
                <w:szCs w:val="17"/>
              </w:rPr>
              <w:t>HERCEG NOVI</w:t>
            </w:r>
          </w:p>
        </w:tc>
        <w:tc>
          <w:tcPr>
            <w:tcW w:w="1322" w:type="dxa"/>
          </w:tcPr>
          <w:p w14:paraId="33B057CF" w14:textId="77777777" w:rsidR="00DF0B9D" w:rsidRPr="004D2EA8" w:rsidRDefault="00DF0B9D" w:rsidP="003F6F69">
            <w:pPr>
              <w:pStyle w:val="Caption"/>
              <w:ind w:left="445"/>
              <w:rPr>
                <w:rFonts w:ascii="Arial" w:hAnsi="Arial" w:cs="Arial"/>
                <w:b w:val="0"/>
                <w:sz w:val="17"/>
                <w:szCs w:val="17"/>
              </w:rPr>
            </w:pPr>
            <w:r w:rsidRPr="004D2EA8">
              <w:rPr>
                <w:rFonts w:ascii="Arial" w:hAnsi="Arial" w:cs="Arial"/>
                <w:b w:val="0"/>
                <w:color w:val="000000" w:themeColor="text1"/>
                <w:sz w:val="17"/>
                <w:szCs w:val="17"/>
              </w:rPr>
              <w:t>Herceg Novi</w:t>
            </w:r>
          </w:p>
        </w:tc>
        <w:tc>
          <w:tcPr>
            <w:tcW w:w="1558" w:type="dxa"/>
          </w:tcPr>
          <w:p w14:paraId="0F256EBA" w14:textId="77777777" w:rsidR="00DF0B9D" w:rsidRPr="004D2EA8" w:rsidRDefault="00DF0B9D" w:rsidP="003F6F69">
            <w:pPr>
              <w:pStyle w:val="Caption"/>
              <w:ind w:left="122"/>
              <w:rPr>
                <w:rFonts w:ascii="Arial" w:hAnsi="Arial" w:cs="Arial"/>
                <w:b w:val="0"/>
                <w:sz w:val="17"/>
                <w:szCs w:val="17"/>
              </w:rPr>
            </w:pPr>
            <w:r w:rsidRPr="004D2EA8">
              <w:rPr>
                <w:rFonts w:ascii="Arial" w:hAnsi="Arial" w:cs="Arial"/>
                <w:b w:val="0"/>
                <w:color w:val="000000" w:themeColor="text1"/>
                <w:sz w:val="17"/>
                <w:szCs w:val="17"/>
              </w:rPr>
              <w:t>Transfer stanica</w:t>
            </w:r>
          </w:p>
        </w:tc>
        <w:tc>
          <w:tcPr>
            <w:tcW w:w="1558" w:type="dxa"/>
          </w:tcPr>
          <w:p w14:paraId="2A1596D6" w14:textId="77777777" w:rsidR="00DF0B9D" w:rsidRPr="004D2EA8" w:rsidRDefault="00DF0B9D" w:rsidP="003F6F69">
            <w:pPr>
              <w:pStyle w:val="Caption"/>
              <w:ind w:left="107"/>
              <w:rPr>
                <w:rFonts w:ascii="Arial" w:hAnsi="Arial" w:cs="Arial"/>
                <w:b w:val="0"/>
                <w:sz w:val="17"/>
                <w:szCs w:val="17"/>
              </w:rPr>
            </w:pPr>
            <w:r w:rsidRPr="004D2EA8">
              <w:rPr>
                <w:rFonts w:ascii="Arial" w:hAnsi="Arial" w:cs="Arial"/>
                <w:b w:val="0"/>
                <w:color w:val="000000"/>
                <w:sz w:val="17"/>
                <w:szCs w:val="17"/>
                <w:lang w:val="sq-AL"/>
              </w:rPr>
              <w:t>Operativno</w:t>
            </w:r>
          </w:p>
        </w:tc>
        <w:tc>
          <w:tcPr>
            <w:tcW w:w="1558" w:type="dxa"/>
          </w:tcPr>
          <w:p w14:paraId="19484B3D" w14:textId="77777777" w:rsidR="00DF0B9D" w:rsidRPr="004D2EA8" w:rsidRDefault="00DF0B9D" w:rsidP="003F6F69">
            <w:pPr>
              <w:pStyle w:val="Caption"/>
              <w:ind w:left="16"/>
              <w:rPr>
                <w:rFonts w:ascii="Arial" w:hAnsi="Arial" w:cs="Arial"/>
                <w:b w:val="0"/>
                <w:color w:val="000000" w:themeColor="text1"/>
                <w:sz w:val="17"/>
                <w:szCs w:val="17"/>
              </w:rPr>
            </w:pPr>
            <w:r w:rsidRPr="004D2EA8">
              <w:rPr>
                <w:rFonts w:ascii="Arial" w:hAnsi="Arial" w:cs="Arial"/>
                <w:b w:val="0"/>
                <w:color w:val="000000" w:themeColor="text1"/>
                <w:sz w:val="17"/>
                <w:szCs w:val="17"/>
              </w:rPr>
              <w:t>Rezidualni otpad, ostaci od MRF-a</w:t>
            </w:r>
          </w:p>
        </w:tc>
        <w:tc>
          <w:tcPr>
            <w:tcW w:w="1390" w:type="dxa"/>
          </w:tcPr>
          <w:p w14:paraId="057B1F2E" w14:textId="77777777" w:rsidR="00DF0B9D" w:rsidRPr="004D2EA8" w:rsidRDefault="00DF0B9D" w:rsidP="00AE0C12">
            <w:pPr>
              <w:pStyle w:val="Caption"/>
              <w:ind w:left="360" w:right="245"/>
              <w:rPr>
                <w:rFonts w:ascii="Arial" w:hAnsi="Arial" w:cs="Arial"/>
                <w:b w:val="0"/>
                <w:color w:val="000000" w:themeColor="text1"/>
                <w:sz w:val="17"/>
                <w:szCs w:val="17"/>
              </w:rPr>
            </w:pPr>
            <w:r w:rsidRPr="004D2EA8">
              <w:rPr>
                <w:rFonts w:ascii="Arial" w:hAnsi="Arial" w:cs="Arial"/>
                <w:b w:val="0"/>
                <w:color w:val="000000" w:themeColor="text1"/>
                <w:sz w:val="17"/>
                <w:szCs w:val="17"/>
              </w:rPr>
              <w:t>17.783</w:t>
            </w:r>
          </w:p>
        </w:tc>
      </w:tr>
      <w:tr w:rsidR="00DF0B9D" w:rsidRPr="004D2EA8" w14:paraId="324EAA1A" w14:textId="77777777" w:rsidTr="00AE0C12">
        <w:trPr>
          <w:jc w:val="center"/>
        </w:trPr>
        <w:tc>
          <w:tcPr>
            <w:tcW w:w="1558" w:type="dxa"/>
            <w:vAlign w:val="center"/>
          </w:tcPr>
          <w:p w14:paraId="3127D164" w14:textId="77777777" w:rsidR="00DF0B9D" w:rsidRPr="004D2EA8" w:rsidRDefault="00DF0B9D" w:rsidP="003F6F69">
            <w:pPr>
              <w:pStyle w:val="Caption"/>
              <w:ind w:left="337"/>
              <w:rPr>
                <w:rFonts w:ascii="Arial" w:hAnsi="Arial" w:cs="Arial"/>
                <w:b w:val="0"/>
                <w:color w:val="000000" w:themeColor="text1"/>
                <w:sz w:val="17"/>
                <w:szCs w:val="17"/>
              </w:rPr>
            </w:pPr>
            <w:r w:rsidRPr="004D2EA8">
              <w:rPr>
                <w:rFonts w:ascii="Arial" w:hAnsi="Arial" w:cs="Arial"/>
                <w:b w:val="0"/>
                <w:color w:val="000000" w:themeColor="text1"/>
                <w:sz w:val="17"/>
                <w:szCs w:val="17"/>
              </w:rPr>
              <w:t>KOTOR</w:t>
            </w:r>
          </w:p>
        </w:tc>
        <w:tc>
          <w:tcPr>
            <w:tcW w:w="1322" w:type="dxa"/>
          </w:tcPr>
          <w:p w14:paraId="5F98BBE6" w14:textId="77777777" w:rsidR="00DF0B9D" w:rsidRPr="004D2EA8" w:rsidRDefault="00DF0B9D" w:rsidP="003F6F69">
            <w:pPr>
              <w:pStyle w:val="Caption"/>
              <w:ind w:left="0"/>
              <w:jc w:val="center"/>
              <w:rPr>
                <w:rFonts w:ascii="Arial" w:hAnsi="Arial" w:cs="Arial"/>
                <w:b w:val="0"/>
                <w:sz w:val="17"/>
                <w:szCs w:val="17"/>
              </w:rPr>
            </w:pPr>
            <w:r w:rsidRPr="004D2EA8">
              <w:rPr>
                <w:rFonts w:ascii="Arial" w:hAnsi="Arial" w:cs="Arial"/>
                <w:b w:val="0"/>
                <w:color w:val="000000" w:themeColor="text1"/>
                <w:sz w:val="17"/>
                <w:szCs w:val="17"/>
              </w:rPr>
              <w:t>Kotor</w:t>
            </w:r>
          </w:p>
        </w:tc>
        <w:tc>
          <w:tcPr>
            <w:tcW w:w="1558" w:type="dxa"/>
          </w:tcPr>
          <w:p w14:paraId="016D46D7" w14:textId="77777777" w:rsidR="00DF0B9D" w:rsidRPr="004D2EA8" w:rsidRDefault="00DF0B9D" w:rsidP="003F6F69">
            <w:pPr>
              <w:pStyle w:val="Caption"/>
              <w:ind w:left="122"/>
              <w:rPr>
                <w:rFonts w:ascii="Arial" w:hAnsi="Arial" w:cs="Arial"/>
                <w:b w:val="0"/>
                <w:sz w:val="17"/>
                <w:szCs w:val="17"/>
              </w:rPr>
            </w:pPr>
            <w:r w:rsidRPr="004D2EA8">
              <w:rPr>
                <w:rFonts w:ascii="Arial" w:hAnsi="Arial" w:cs="Arial"/>
                <w:b w:val="0"/>
                <w:color w:val="000000" w:themeColor="text1"/>
                <w:sz w:val="17"/>
                <w:szCs w:val="17"/>
              </w:rPr>
              <w:t>MRF</w:t>
            </w:r>
          </w:p>
        </w:tc>
        <w:tc>
          <w:tcPr>
            <w:tcW w:w="1558" w:type="dxa"/>
          </w:tcPr>
          <w:p w14:paraId="5843693D" w14:textId="77777777" w:rsidR="00DF0B9D" w:rsidRPr="004D2EA8" w:rsidRDefault="00DF0B9D" w:rsidP="003F6F69">
            <w:pPr>
              <w:pStyle w:val="Caption"/>
              <w:ind w:left="107"/>
              <w:rPr>
                <w:rFonts w:ascii="Arial" w:hAnsi="Arial" w:cs="Arial"/>
                <w:b w:val="0"/>
                <w:sz w:val="17"/>
                <w:szCs w:val="17"/>
              </w:rPr>
            </w:pPr>
            <w:r w:rsidRPr="004D2EA8">
              <w:rPr>
                <w:rFonts w:ascii="Arial" w:hAnsi="Arial" w:cs="Arial"/>
                <w:b w:val="0"/>
                <w:color w:val="000000"/>
                <w:sz w:val="17"/>
                <w:szCs w:val="17"/>
                <w:lang w:val="sq-AL"/>
              </w:rPr>
              <w:t>Operativno</w:t>
            </w:r>
          </w:p>
        </w:tc>
        <w:tc>
          <w:tcPr>
            <w:tcW w:w="1558" w:type="dxa"/>
          </w:tcPr>
          <w:p w14:paraId="2D293FC6" w14:textId="77777777" w:rsidR="00DF0B9D" w:rsidRPr="004D2EA8" w:rsidRDefault="00DF0B9D" w:rsidP="003F6F69">
            <w:pPr>
              <w:pStyle w:val="Caption"/>
              <w:ind w:left="16"/>
              <w:rPr>
                <w:rFonts w:ascii="Arial" w:hAnsi="Arial" w:cs="Arial"/>
                <w:b w:val="0"/>
                <w:color w:val="000000" w:themeColor="text1"/>
                <w:sz w:val="17"/>
                <w:szCs w:val="17"/>
              </w:rPr>
            </w:pPr>
            <w:r w:rsidRPr="004D2EA8">
              <w:rPr>
                <w:rFonts w:ascii="Arial" w:hAnsi="Arial" w:cs="Arial"/>
                <w:b w:val="0"/>
                <w:color w:val="000000" w:themeColor="text1"/>
                <w:sz w:val="17"/>
                <w:szCs w:val="17"/>
              </w:rPr>
              <w:t>Odvojeno sakupljeni reciklabilni materijali</w:t>
            </w:r>
          </w:p>
        </w:tc>
        <w:tc>
          <w:tcPr>
            <w:tcW w:w="1390" w:type="dxa"/>
          </w:tcPr>
          <w:p w14:paraId="2280627A" w14:textId="77777777" w:rsidR="00DF0B9D" w:rsidRPr="004D2EA8" w:rsidRDefault="00DF0B9D" w:rsidP="00AE0C12">
            <w:pPr>
              <w:pStyle w:val="Caption"/>
              <w:ind w:left="360" w:right="245"/>
              <w:rPr>
                <w:rFonts w:ascii="Arial" w:hAnsi="Arial" w:cs="Arial"/>
                <w:b w:val="0"/>
                <w:color w:val="000000" w:themeColor="text1"/>
                <w:sz w:val="17"/>
                <w:szCs w:val="17"/>
              </w:rPr>
            </w:pPr>
            <w:r w:rsidRPr="004D2EA8">
              <w:rPr>
                <w:rFonts w:ascii="Arial" w:hAnsi="Arial" w:cs="Arial"/>
                <w:b w:val="0"/>
                <w:color w:val="000000" w:themeColor="text1"/>
                <w:sz w:val="17"/>
                <w:szCs w:val="17"/>
              </w:rPr>
              <w:t>4.772</w:t>
            </w:r>
          </w:p>
        </w:tc>
      </w:tr>
    </w:tbl>
    <w:p w14:paraId="5EE5F810" w14:textId="77777777" w:rsidR="004D2EA8" w:rsidRDefault="004D2EA8" w:rsidP="00C232D7">
      <w:pPr>
        <w:pStyle w:val="Caption"/>
        <w:rPr>
          <w:rFonts w:ascii="Arial" w:hAnsi="Arial" w:cs="Arial"/>
          <w:b w:val="0"/>
          <w:szCs w:val="20"/>
        </w:rPr>
      </w:pPr>
      <w:bookmarkStart w:id="909" w:name="_Toc190160736"/>
    </w:p>
    <w:p w14:paraId="77A55209" w14:textId="073391E7" w:rsidR="00C232D7" w:rsidRPr="00F80D6E" w:rsidRDefault="00C232D7" w:rsidP="00C232D7">
      <w:pPr>
        <w:pStyle w:val="Caption"/>
        <w:rPr>
          <w:rFonts w:ascii="Arial" w:hAnsi="Arial" w:cs="Arial"/>
          <w:b w:val="0"/>
          <w:szCs w:val="20"/>
          <w:u w:val="single"/>
        </w:rPr>
      </w:pPr>
      <w:r w:rsidRPr="00F80D6E">
        <w:rPr>
          <w:rFonts w:ascii="Arial" w:hAnsi="Arial" w:cs="Arial"/>
          <w:b w:val="0"/>
          <w:szCs w:val="20"/>
        </w:rPr>
        <w:lastRenderedPageBreak/>
        <w:t xml:space="preserve">Tabela </w:t>
      </w:r>
      <w:r w:rsidRPr="00F80D6E">
        <w:rPr>
          <w:rFonts w:ascii="Arial" w:hAnsi="Arial" w:cs="Arial"/>
          <w:b w:val="0"/>
          <w:szCs w:val="20"/>
        </w:rPr>
        <w:fldChar w:fldCharType="begin"/>
      </w:r>
      <w:r w:rsidRPr="00F80D6E">
        <w:rPr>
          <w:rFonts w:ascii="Arial" w:hAnsi="Arial" w:cs="Arial"/>
          <w:b w:val="0"/>
          <w:szCs w:val="20"/>
        </w:rPr>
        <w:instrText xml:space="preserve"> SEQ Tabela \* ARABIC </w:instrText>
      </w:r>
      <w:r w:rsidRPr="00F80D6E">
        <w:rPr>
          <w:rFonts w:ascii="Arial" w:hAnsi="Arial" w:cs="Arial"/>
          <w:b w:val="0"/>
          <w:szCs w:val="20"/>
        </w:rPr>
        <w:fldChar w:fldCharType="separate"/>
      </w:r>
      <w:r w:rsidR="007274DA">
        <w:rPr>
          <w:rFonts w:ascii="Arial" w:hAnsi="Arial" w:cs="Arial"/>
          <w:b w:val="0"/>
          <w:noProof/>
          <w:szCs w:val="20"/>
        </w:rPr>
        <w:t>45</w:t>
      </w:r>
      <w:r w:rsidRPr="00F80D6E">
        <w:rPr>
          <w:rFonts w:ascii="Arial" w:hAnsi="Arial" w:cs="Arial"/>
          <w:b w:val="0"/>
          <w:szCs w:val="20"/>
        </w:rPr>
        <w:fldChar w:fldCharType="end"/>
      </w:r>
      <w:r w:rsidRPr="00F80D6E">
        <w:rPr>
          <w:rFonts w:ascii="Arial" w:hAnsi="Arial" w:cs="Arial"/>
          <w:b w:val="0"/>
          <w:szCs w:val="20"/>
        </w:rPr>
        <w:t xml:space="preserve"> Predložena infrastruktura upravljanja otpadom koja opslužuje Regionalni centar upravljanja otpadom Nikšić – Opcija 2</w:t>
      </w:r>
      <w:bookmarkEnd w:id="908"/>
      <w:bookmarkEnd w:id="909"/>
    </w:p>
    <w:tbl>
      <w:tblPr>
        <w:tblStyle w:val="TableGrid"/>
        <w:tblW w:w="0" w:type="auto"/>
        <w:tblLook w:val="04A0" w:firstRow="1" w:lastRow="0" w:firstColumn="1" w:lastColumn="0" w:noHBand="0" w:noVBand="1"/>
      </w:tblPr>
      <w:tblGrid>
        <w:gridCol w:w="1558"/>
        <w:gridCol w:w="1558"/>
        <w:gridCol w:w="1558"/>
        <w:gridCol w:w="1558"/>
        <w:gridCol w:w="1558"/>
        <w:gridCol w:w="1558"/>
      </w:tblGrid>
      <w:tr w:rsidR="004D63B7" w14:paraId="6C42DD9F" w14:textId="77777777" w:rsidTr="003F6F69">
        <w:tc>
          <w:tcPr>
            <w:tcW w:w="1558" w:type="dxa"/>
            <w:shd w:val="clear" w:color="auto" w:fill="F2F2F2" w:themeFill="background1" w:themeFillShade="F2"/>
          </w:tcPr>
          <w:p w14:paraId="15879ACC" w14:textId="77777777" w:rsidR="004D63B7" w:rsidRDefault="004D63B7" w:rsidP="003F6F69">
            <w:pPr>
              <w:ind w:left="337"/>
              <w:rPr>
                <w:rFonts w:ascii="Arial" w:hAnsi="Arial" w:cs="Arial"/>
                <w:b/>
              </w:rPr>
            </w:pPr>
            <w:r w:rsidRPr="00716B83">
              <w:rPr>
                <w:rFonts w:ascii="Arial" w:hAnsi="Arial" w:cs="Arial"/>
                <w:b/>
                <w:sz w:val="18"/>
                <w:szCs w:val="18"/>
              </w:rPr>
              <w:t>Opština</w:t>
            </w:r>
          </w:p>
        </w:tc>
        <w:tc>
          <w:tcPr>
            <w:tcW w:w="1558" w:type="dxa"/>
            <w:shd w:val="clear" w:color="auto" w:fill="F2F2F2" w:themeFill="background1" w:themeFillShade="F2"/>
          </w:tcPr>
          <w:p w14:paraId="0E4A509D" w14:textId="77777777" w:rsidR="004D63B7" w:rsidRDefault="004D63B7" w:rsidP="003F6F69">
            <w:pPr>
              <w:ind w:left="337"/>
              <w:rPr>
                <w:rFonts w:ascii="Arial" w:hAnsi="Arial" w:cs="Arial"/>
                <w:b/>
              </w:rPr>
            </w:pPr>
            <w:r w:rsidRPr="00716B83">
              <w:rPr>
                <w:rFonts w:ascii="Arial" w:hAnsi="Arial" w:cs="Arial"/>
                <w:b/>
                <w:sz w:val="18"/>
                <w:szCs w:val="18"/>
              </w:rPr>
              <w:t>Lokacija</w:t>
            </w:r>
          </w:p>
        </w:tc>
        <w:tc>
          <w:tcPr>
            <w:tcW w:w="1558" w:type="dxa"/>
            <w:shd w:val="clear" w:color="auto" w:fill="F2F2F2" w:themeFill="background1" w:themeFillShade="F2"/>
          </w:tcPr>
          <w:p w14:paraId="54035BF8" w14:textId="77777777" w:rsidR="004D63B7" w:rsidRDefault="004D63B7" w:rsidP="003F6F69">
            <w:pPr>
              <w:ind w:left="337"/>
              <w:rPr>
                <w:rFonts w:ascii="Arial" w:hAnsi="Arial" w:cs="Arial"/>
                <w:b/>
              </w:rPr>
            </w:pPr>
            <w:r w:rsidRPr="00716B83">
              <w:rPr>
                <w:rFonts w:ascii="Arial" w:hAnsi="Arial" w:cs="Arial"/>
                <w:b/>
                <w:sz w:val="18"/>
                <w:szCs w:val="18"/>
              </w:rPr>
              <w:t>Vrsta postrojenja</w:t>
            </w:r>
          </w:p>
        </w:tc>
        <w:tc>
          <w:tcPr>
            <w:tcW w:w="1558" w:type="dxa"/>
            <w:shd w:val="clear" w:color="auto" w:fill="F2F2F2" w:themeFill="background1" w:themeFillShade="F2"/>
          </w:tcPr>
          <w:p w14:paraId="1FEC1722" w14:textId="77777777" w:rsidR="004D63B7" w:rsidRDefault="004D63B7" w:rsidP="003F6F69">
            <w:pPr>
              <w:ind w:left="337"/>
              <w:rPr>
                <w:rFonts w:ascii="Arial" w:hAnsi="Arial" w:cs="Arial"/>
                <w:b/>
              </w:rPr>
            </w:pPr>
            <w:r w:rsidRPr="00716B83">
              <w:rPr>
                <w:rFonts w:ascii="Arial" w:hAnsi="Arial" w:cs="Arial"/>
                <w:b/>
                <w:sz w:val="18"/>
                <w:szCs w:val="18"/>
              </w:rPr>
              <w:t>Status</w:t>
            </w:r>
          </w:p>
        </w:tc>
        <w:tc>
          <w:tcPr>
            <w:tcW w:w="1558" w:type="dxa"/>
            <w:shd w:val="clear" w:color="auto" w:fill="F2F2F2" w:themeFill="background1" w:themeFillShade="F2"/>
          </w:tcPr>
          <w:p w14:paraId="3F402541" w14:textId="77777777" w:rsidR="004D63B7" w:rsidRDefault="004D63B7" w:rsidP="003F6F69">
            <w:pPr>
              <w:ind w:left="0"/>
              <w:rPr>
                <w:rFonts w:ascii="Arial" w:hAnsi="Arial" w:cs="Arial"/>
                <w:b/>
              </w:rPr>
            </w:pPr>
            <w:r w:rsidRPr="00716B83">
              <w:rPr>
                <w:rFonts w:ascii="Arial" w:hAnsi="Arial" w:cs="Arial"/>
                <w:b/>
                <w:sz w:val="18"/>
                <w:szCs w:val="18"/>
              </w:rPr>
              <w:t>Vrsta ulazne frakcije otpada</w:t>
            </w:r>
          </w:p>
        </w:tc>
        <w:tc>
          <w:tcPr>
            <w:tcW w:w="1558" w:type="dxa"/>
            <w:shd w:val="clear" w:color="auto" w:fill="F2F2F2" w:themeFill="background1" w:themeFillShade="F2"/>
          </w:tcPr>
          <w:p w14:paraId="1AE20768" w14:textId="77777777" w:rsidR="004D63B7" w:rsidRDefault="004D63B7" w:rsidP="003F6F69">
            <w:pPr>
              <w:ind w:left="80"/>
              <w:rPr>
                <w:rFonts w:ascii="Arial" w:hAnsi="Arial" w:cs="Arial"/>
                <w:b/>
              </w:rPr>
            </w:pPr>
            <w:r w:rsidRPr="00716B83">
              <w:rPr>
                <w:rFonts w:ascii="Arial" w:hAnsi="Arial" w:cs="Arial"/>
                <w:b/>
                <w:sz w:val="18"/>
                <w:szCs w:val="18"/>
              </w:rPr>
              <w:t>Kapacitet (t/god) – 2029</w:t>
            </w:r>
          </w:p>
        </w:tc>
      </w:tr>
      <w:tr w:rsidR="004D63B7" w14:paraId="108CE6D2" w14:textId="77777777" w:rsidTr="003F6F69">
        <w:trPr>
          <w:trHeight w:val="949"/>
        </w:trPr>
        <w:tc>
          <w:tcPr>
            <w:tcW w:w="1558" w:type="dxa"/>
            <w:vAlign w:val="center"/>
          </w:tcPr>
          <w:p w14:paraId="5C3D097B" w14:textId="77777777" w:rsidR="004D63B7" w:rsidRPr="00716B83" w:rsidRDefault="004D63B7" w:rsidP="003F6F69">
            <w:pPr>
              <w:pStyle w:val="Caption"/>
              <w:ind w:left="337"/>
              <w:rPr>
                <w:rFonts w:ascii="Arial" w:hAnsi="Arial" w:cs="Arial"/>
                <w:b w:val="0"/>
                <w:color w:val="000000" w:themeColor="text1"/>
                <w:sz w:val="20"/>
                <w:szCs w:val="20"/>
              </w:rPr>
            </w:pPr>
            <w:r w:rsidRPr="00716B83">
              <w:rPr>
                <w:rFonts w:ascii="Arial" w:hAnsi="Arial" w:cs="Arial"/>
                <w:b w:val="0"/>
                <w:color w:val="000000" w:themeColor="text1"/>
              </w:rPr>
              <w:t xml:space="preserve">NIKŠIĆ </w:t>
            </w:r>
          </w:p>
        </w:tc>
        <w:tc>
          <w:tcPr>
            <w:tcW w:w="1558" w:type="dxa"/>
          </w:tcPr>
          <w:p w14:paraId="2CA1A31A" w14:textId="77777777" w:rsidR="004D63B7" w:rsidRPr="00716B83" w:rsidRDefault="004D63B7" w:rsidP="003F6F69">
            <w:pPr>
              <w:pStyle w:val="Caption"/>
              <w:ind w:left="445"/>
              <w:rPr>
                <w:rFonts w:ascii="Arial" w:hAnsi="Arial" w:cs="Arial"/>
                <w:b w:val="0"/>
                <w:color w:val="000000" w:themeColor="text1"/>
                <w:sz w:val="20"/>
                <w:szCs w:val="20"/>
              </w:rPr>
            </w:pPr>
            <w:r w:rsidRPr="00716B83">
              <w:rPr>
                <w:rFonts w:ascii="Arial" w:hAnsi="Arial" w:cs="Arial"/>
                <w:b w:val="0"/>
                <w:color w:val="000000" w:themeColor="text1"/>
              </w:rPr>
              <w:t>Nikšić</w:t>
            </w:r>
          </w:p>
        </w:tc>
        <w:tc>
          <w:tcPr>
            <w:tcW w:w="1558" w:type="dxa"/>
          </w:tcPr>
          <w:p w14:paraId="4FFAFA1B" w14:textId="77777777" w:rsidR="004D63B7" w:rsidRPr="00716B83" w:rsidRDefault="004D63B7" w:rsidP="003F6F69">
            <w:pPr>
              <w:pStyle w:val="Caption"/>
              <w:ind w:left="188"/>
              <w:rPr>
                <w:rFonts w:ascii="Arial" w:hAnsi="Arial" w:cs="Arial"/>
                <w:b w:val="0"/>
                <w:color w:val="000000" w:themeColor="text1"/>
                <w:sz w:val="20"/>
                <w:szCs w:val="20"/>
              </w:rPr>
            </w:pPr>
            <w:r w:rsidRPr="00716B83">
              <w:rPr>
                <w:rFonts w:ascii="Arial" w:hAnsi="Arial" w:cs="Arial"/>
                <w:b w:val="0"/>
                <w:color w:val="000000" w:themeColor="text1"/>
              </w:rPr>
              <w:t>Regionalni centar za upravljanje otpadom</w:t>
            </w:r>
          </w:p>
        </w:tc>
        <w:tc>
          <w:tcPr>
            <w:tcW w:w="1558" w:type="dxa"/>
          </w:tcPr>
          <w:p w14:paraId="6A59B998" w14:textId="77777777" w:rsidR="004D63B7" w:rsidRPr="00716B83" w:rsidRDefault="004D63B7" w:rsidP="003F6F69">
            <w:pPr>
              <w:ind w:left="107"/>
              <w:rPr>
                <w:rFonts w:ascii="Arial" w:hAnsi="Arial" w:cs="Arial"/>
                <w:sz w:val="18"/>
                <w:szCs w:val="18"/>
              </w:rPr>
            </w:pPr>
            <w:r w:rsidRPr="00716B83">
              <w:rPr>
                <w:rFonts w:ascii="Arial" w:hAnsi="Arial" w:cs="Arial"/>
                <w:sz w:val="18"/>
                <w:szCs w:val="18"/>
              </w:rPr>
              <w:t>Planirano</w:t>
            </w:r>
          </w:p>
          <w:p w14:paraId="0F31E99E" w14:textId="77777777" w:rsidR="004D63B7" w:rsidRDefault="004D63B7" w:rsidP="003F6F69">
            <w:pPr>
              <w:pStyle w:val="Caption"/>
              <w:ind w:left="107"/>
              <w:rPr>
                <w:rFonts w:ascii="Arial" w:hAnsi="Arial" w:cs="Arial"/>
                <w:b w:val="0"/>
                <w:sz w:val="20"/>
                <w:szCs w:val="20"/>
              </w:rPr>
            </w:pPr>
          </w:p>
        </w:tc>
        <w:tc>
          <w:tcPr>
            <w:tcW w:w="1558" w:type="dxa"/>
          </w:tcPr>
          <w:p w14:paraId="08DC0D5F" w14:textId="77777777" w:rsidR="004D63B7" w:rsidRPr="00222C7B" w:rsidRDefault="004D63B7" w:rsidP="003F6F69">
            <w:pPr>
              <w:pStyle w:val="Caption"/>
              <w:ind w:left="16"/>
              <w:rPr>
                <w:rFonts w:ascii="Arial" w:hAnsi="Arial" w:cs="Arial"/>
                <w:b w:val="0"/>
                <w:color w:val="000000" w:themeColor="text1"/>
                <w:sz w:val="20"/>
                <w:szCs w:val="20"/>
              </w:rPr>
            </w:pPr>
            <w:r w:rsidRPr="00222C7B">
              <w:rPr>
                <w:rFonts w:ascii="Arial" w:hAnsi="Arial" w:cs="Arial"/>
                <w:b w:val="0"/>
                <w:color w:val="000000" w:themeColor="text1"/>
              </w:rPr>
              <w:t>Sve vrste otpada</w:t>
            </w:r>
          </w:p>
        </w:tc>
        <w:tc>
          <w:tcPr>
            <w:tcW w:w="1558" w:type="dxa"/>
          </w:tcPr>
          <w:p w14:paraId="7CF9A71C" w14:textId="77777777" w:rsidR="004D63B7" w:rsidRDefault="004D63B7" w:rsidP="003F6F69">
            <w:pPr>
              <w:pStyle w:val="Caption"/>
              <w:rPr>
                <w:rFonts w:ascii="Arial" w:hAnsi="Arial" w:cs="Arial"/>
                <w:b w:val="0"/>
                <w:sz w:val="20"/>
                <w:szCs w:val="20"/>
              </w:rPr>
            </w:pPr>
          </w:p>
        </w:tc>
      </w:tr>
      <w:tr w:rsidR="004D63B7" w14:paraId="7EDA2F23" w14:textId="77777777" w:rsidTr="003F6F69">
        <w:tc>
          <w:tcPr>
            <w:tcW w:w="1558" w:type="dxa"/>
            <w:vAlign w:val="center"/>
          </w:tcPr>
          <w:p w14:paraId="087FAD55" w14:textId="77777777" w:rsidR="004D63B7" w:rsidRPr="00716B83" w:rsidRDefault="004D63B7" w:rsidP="003F6F69">
            <w:pPr>
              <w:pStyle w:val="Caption"/>
              <w:ind w:left="337"/>
              <w:rPr>
                <w:rFonts w:ascii="Arial" w:hAnsi="Arial" w:cs="Arial"/>
                <w:b w:val="0"/>
                <w:color w:val="000000" w:themeColor="text1"/>
                <w:sz w:val="20"/>
                <w:szCs w:val="20"/>
              </w:rPr>
            </w:pPr>
            <w:r w:rsidRPr="00716B83">
              <w:rPr>
                <w:rFonts w:ascii="Arial" w:hAnsi="Arial" w:cs="Arial"/>
                <w:b w:val="0"/>
                <w:color w:val="000000" w:themeColor="text1"/>
              </w:rPr>
              <w:t>PLUŽINE</w:t>
            </w:r>
          </w:p>
        </w:tc>
        <w:tc>
          <w:tcPr>
            <w:tcW w:w="1558" w:type="dxa"/>
          </w:tcPr>
          <w:p w14:paraId="25293B58" w14:textId="77777777" w:rsidR="004D63B7" w:rsidRPr="00716B83" w:rsidRDefault="004D63B7" w:rsidP="003F6F69">
            <w:pPr>
              <w:pStyle w:val="Caption"/>
              <w:ind w:left="445"/>
              <w:rPr>
                <w:rFonts w:ascii="Arial" w:hAnsi="Arial" w:cs="Arial"/>
                <w:b w:val="0"/>
                <w:color w:val="000000" w:themeColor="text1"/>
                <w:sz w:val="20"/>
                <w:szCs w:val="20"/>
              </w:rPr>
            </w:pPr>
            <w:r w:rsidRPr="00716B83">
              <w:rPr>
                <w:rFonts w:ascii="Arial" w:hAnsi="Arial" w:cs="Arial"/>
                <w:b w:val="0"/>
                <w:color w:val="000000" w:themeColor="text1"/>
              </w:rPr>
              <w:t>Plužine</w:t>
            </w:r>
          </w:p>
        </w:tc>
        <w:tc>
          <w:tcPr>
            <w:tcW w:w="1558" w:type="dxa"/>
          </w:tcPr>
          <w:p w14:paraId="39D671EA" w14:textId="77777777" w:rsidR="004D63B7" w:rsidRPr="00716B83" w:rsidRDefault="004D63B7" w:rsidP="003F6F69">
            <w:pPr>
              <w:pStyle w:val="Caption"/>
              <w:ind w:left="188"/>
              <w:rPr>
                <w:rFonts w:ascii="Arial" w:hAnsi="Arial" w:cs="Arial"/>
                <w:b w:val="0"/>
                <w:color w:val="000000" w:themeColor="text1"/>
                <w:sz w:val="20"/>
                <w:szCs w:val="20"/>
              </w:rPr>
            </w:pPr>
            <w:r w:rsidRPr="00716B83">
              <w:rPr>
                <w:rFonts w:ascii="Arial" w:hAnsi="Arial" w:cs="Arial"/>
                <w:b w:val="0"/>
                <w:color w:val="000000" w:themeColor="text1"/>
              </w:rPr>
              <w:t>Reciklažno dvorište</w:t>
            </w:r>
          </w:p>
        </w:tc>
        <w:tc>
          <w:tcPr>
            <w:tcW w:w="1558" w:type="dxa"/>
          </w:tcPr>
          <w:p w14:paraId="72DCFAC4" w14:textId="77777777" w:rsidR="004D63B7" w:rsidRPr="00716B83" w:rsidRDefault="004D63B7" w:rsidP="003F6F69">
            <w:pPr>
              <w:ind w:left="107"/>
              <w:rPr>
                <w:rFonts w:ascii="Arial" w:hAnsi="Arial" w:cs="Arial"/>
                <w:sz w:val="18"/>
                <w:szCs w:val="18"/>
              </w:rPr>
            </w:pPr>
            <w:r w:rsidRPr="00716B83">
              <w:rPr>
                <w:rFonts w:ascii="Arial" w:hAnsi="Arial" w:cs="Arial"/>
                <w:sz w:val="18"/>
                <w:szCs w:val="18"/>
              </w:rPr>
              <w:t>Planirano</w:t>
            </w:r>
          </w:p>
          <w:p w14:paraId="228D2C76" w14:textId="77777777" w:rsidR="004D63B7" w:rsidRDefault="004D63B7" w:rsidP="003F6F69">
            <w:pPr>
              <w:pStyle w:val="Caption"/>
              <w:ind w:left="107"/>
              <w:rPr>
                <w:rFonts w:ascii="Arial" w:hAnsi="Arial" w:cs="Arial"/>
                <w:b w:val="0"/>
                <w:sz w:val="20"/>
                <w:szCs w:val="20"/>
              </w:rPr>
            </w:pPr>
          </w:p>
        </w:tc>
        <w:tc>
          <w:tcPr>
            <w:tcW w:w="1558" w:type="dxa"/>
          </w:tcPr>
          <w:p w14:paraId="1CEF7D11" w14:textId="77777777" w:rsidR="004D63B7" w:rsidRPr="00222C7B" w:rsidRDefault="004D63B7" w:rsidP="003F6F69">
            <w:pPr>
              <w:pStyle w:val="Caption"/>
              <w:ind w:left="16"/>
              <w:rPr>
                <w:rFonts w:ascii="Arial" w:hAnsi="Arial" w:cs="Arial"/>
                <w:b w:val="0"/>
                <w:color w:val="000000" w:themeColor="text1"/>
                <w:sz w:val="20"/>
                <w:szCs w:val="20"/>
              </w:rPr>
            </w:pPr>
            <w:r w:rsidRPr="00222C7B">
              <w:rPr>
                <w:rFonts w:ascii="Arial" w:hAnsi="Arial" w:cs="Arial"/>
                <w:b w:val="0"/>
                <w:color w:val="000000" w:themeColor="text1"/>
              </w:rPr>
              <w:t>Sve vrste otpada</w:t>
            </w:r>
          </w:p>
        </w:tc>
        <w:tc>
          <w:tcPr>
            <w:tcW w:w="1558" w:type="dxa"/>
          </w:tcPr>
          <w:p w14:paraId="2A9DB29E" w14:textId="77777777" w:rsidR="004D63B7" w:rsidRDefault="004D63B7" w:rsidP="003F6F69">
            <w:pPr>
              <w:pStyle w:val="Caption"/>
              <w:rPr>
                <w:rFonts w:ascii="Arial" w:hAnsi="Arial" w:cs="Arial"/>
                <w:b w:val="0"/>
                <w:sz w:val="20"/>
                <w:szCs w:val="20"/>
              </w:rPr>
            </w:pPr>
          </w:p>
        </w:tc>
      </w:tr>
      <w:tr w:rsidR="004D63B7" w14:paraId="1C0491C3" w14:textId="77777777" w:rsidTr="003F6F69">
        <w:tc>
          <w:tcPr>
            <w:tcW w:w="1558" w:type="dxa"/>
            <w:vAlign w:val="center"/>
          </w:tcPr>
          <w:p w14:paraId="134F4675" w14:textId="77777777" w:rsidR="004D63B7" w:rsidRPr="00716B83" w:rsidRDefault="004D63B7" w:rsidP="003F6F69">
            <w:pPr>
              <w:pStyle w:val="Caption"/>
              <w:ind w:left="337"/>
              <w:rPr>
                <w:rFonts w:ascii="Arial" w:hAnsi="Arial" w:cs="Arial"/>
                <w:b w:val="0"/>
                <w:color w:val="000000" w:themeColor="text1"/>
                <w:sz w:val="20"/>
                <w:szCs w:val="20"/>
              </w:rPr>
            </w:pPr>
            <w:r w:rsidRPr="00716B83">
              <w:rPr>
                <w:rFonts w:ascii="Arial" w:hAnsi="Arial" w:cs="Arial"/>
                <w:b w:val="0"/>
                <w:color w:val="000000" w:themeColor="text1"/>
              </w:rPr>
              <w:t xml:space="preserve">ŠAVNIK </w:t>
            </w:r>
          </w:p>
        </w:tc>
        <w:tc>
          <w:tcPr>
            <w:tcW w:w="1558" w:type="dxa"/>
          </w:tcPr>
          <w:p w14:paraId="634EA9FA" w14:textId="77777777" w:rsidR="004D63B7" w:rsidRPr="00716B83" w:rsidRDefault="004D63B7" w:rsidP="003F6F69">
            <w:pPr>
              <w:pStyle w:val="Caption"/>
              <w:ind w:left="445"/>
              <w:rPr>
                <w:rFonts w:ascii="Arial" w:hAnsi="Arial" w:cs="Arial"/>
                <w:b w:val="0"/>
                <w:color w:val="000000" w:themeColor="text1"/>
                <w:sz w:val="20"/>
                <w:szCs w:val="20"/>
              </w:rPr>
            </w:pPr>
            <w:r w:rsidRPr="00716B83">
              <w:rPr>
                <w:rFonts w:ascii="Arial" w:hAnsi="Arial" w:cs="Arial"/>
                <w:b w:val="0"/>
                <w:color w:val="000000" w:themeColor="text1"/>
              </w:rPr>
              <w:t>Šavnik</w:t>
            </w:r>
          </w:p>
        </w:tc>
        <w:tc>
          <w:tcPr>
            <w:tcW w:w="1558" w:type="dxa"/>
          </w:tcPr>
          <w:p w14:paraId="5BDBD3DB" w14:textId="77777777" w:rsidR="004D63B7" w:rsidRPr="00716B83" w:rsidRDefault="004D63B7" w:rsidP="003F6F69">
            <w:pPr>
              <w:pStyle w:val="Caption"/>
              <w:ind w:left="188"/>
              <w:rPr>
                <w:rFonts w:ascii="Arial" w:hAnsi="Arial" w:cs="Arial"/>
                <w:b w:val="0"/>
                <w:color w:val="000000" w:themeColor="text1"/>
                <w:sz w:val="20"/>
                <w:szCs w:val="20"/>
              </w:rPr>
            </w:pPr>
            <w:r w:rsidRPr="00716B83">
              <w:rPr>
                <w:rFonts w:ascii="Arial" w:hAnsi="Arial" w:cs="Arial"/>
                <w:b w:val="0"/>
                <w:color w:val="000000" w:themeColor="text1"/>
              </w:rPr>
              <w:t>Reciklažno dvorište</w:t>
            </w:r>
          </w:p>
        </w:tc>
        <w:tc>
          <w:tcPr>
            <w:tcW w:w="1558" w:type="dxa"/>
          </w:tcPr>
          <w:p w14:paraId="1B5B51F3" w14:textId="77777777" w:rsidR="004D63B7" w:rsidRPr="00716B83" w:rsidRDefault="004D63B7" w:rsidP="003F6F69">
            <w:pPr>
              <w:ind w:left="107"/>
              <w:rPr>
                <w:rFonts w:ascii="Arial" w:hAnsi="Arial" w:cs="Arial"/>
                <w:sz w:val="18"/>
                <w:szCs w:val="18"/>
              </w:rPr>
            </w:pPr>
            <w:r w:rsidRPr="00716B83">
              <w:rPr>
                <w:rFonts w:ascii="Arial" w:hAnsi="Arial" w:cs="Arial"/>
                <w:sz w:val="18"/>
                <w:szCs w:val="18"/>
              </w:rPr>
              <w:t>Planirano</w:t>
            </w:r>
          </w:p>
          <w:p w14:paraId="1963A581" w14:textId="77777777" w:rsidR="004D63B7" w:rsidRDefault="004D63B7" w:rsidP="003F6F69">
            <w:pPr>
              <w:pStyle w:val="Caption"/>
              <w:ind w:left="107"/>
              <w:rPr>
                <w:rFonts w:ascii="Arial" w:hAnsi="Arial" w:cs="Arial"/>
                <w:b w:val="0"/>
                <w:sz w:val="20"/>
                <w:szCs w:val="20"/>
              </w:rPr>
            </w:pPr>
          </w:p>
        </w:tc>
        <w:tc>
          <w:tcPr>
            <w:tcW w:w="1558" w:type="dxa"/>
          </w:tcPr>
          <w:p w14:paraId="1ED1119E" w14:textId="77777777" w:rsidR="004D63B7" w:rsidRPr="00222C7B" w:rsidRDefault="004D63B7" w:rsidP="003F6F69">
            <w:pPr>
              <w:pStyle w:val="Caption"/>
              <w:ind w:left="16"/>
              <w:rPr>
                <w:rFonts w:ascii="Arial" w:hAnsi="Arial" w:cs="Arial"/>
                <w:b w:val="0"/>
                <w:color w:val="000000" w:themeColor="text1"/>
                <w:sz w:val="20"/>
                <w:szCs w:val="20"/>
              </w:rPr>
            </w:pPr>
            <w:r w:rsidRPr="00222C7B">
              <w:rPr>
                <w:rFonts w:ascii="Arial" w:hAnsi="Arial" w:cs="Arial"/>
                <w:b w:val="0"/>
                <w:color w:val="000000" w:themeColor="text1"/>
              </w:rPr>
              <w:t>Sve vrste otpada</w:t>
            </w:r>
          </w:p>
        </w:tc>
        <w:tc>
          <w:tcPr>
            <w:tcW w:w="1558" w:type="dxa"/>
          </w:tcPr>
          <w:p w14:paraId="559DA660" w14:textId="77777777" w:rsidR="004D63B7" w:rsidRDefault="004D63B7" w:rsidP="003F6F69">
            <w:pPr>
              <w:pStyle w:val="Caption"/>
              <w:rPr>
                <w:rFonts w:ascii="Arial" w:hAnsi="Arial" w:cs="Arial"/>
                <w:b w:val="0"/>
                <w:sz w:val="20"/>
                <w:szCs w:val="20"/>
              </w:rPr>
            </w:pPr>
          </w:p>
        </w:tc>
      </w:tr>
      <w:tr w:rsidR="004D63B7" w14:paraId="4E005D8F" w14:textId="77777777" w:rsidTr="003F6F69">
        <w:trPr>
          <w:trHeight w:val="230"/>
        </w:trPr>
        <w:tc>
          <w:tcPr>
            <w:tcW w:w="1558" w:type="dxa"/>
            <w:vMerge w:val="restart"/>
            <w:vAlign w:val="center"/>
          </w:tcPr>
          <w:p w14:paraId="765893FE" w14:textId="77777777" w:rsidR="004D63B7" w:rsidRPr="00716B83" w:rsidRDefault="004D63B7" w:rsidP="003F6F69">
            <w:pPr>
              <w:pStyle w:val="Caption"/>
              <w:ind w:left="337"/>
              <w:rPr>
                <w:rFonts w:ascii="Arial" w:hAnsi="Arial" w:cs="Arial"/>
                <w:b w:val="0"/>
                <w:color w:val="000000" w:themeColor="text1"/>
                <w:sz w:val="20"/>
                <w:szCs w:val="20"/>
              </w:rPr>
            </w:pPr>
            <w:r w:rsidRPr="00716B83">
              <w:rPr>
                <w:rFonts w:ascii="Arial" w:hAnsi="Arial" w:cs="Arial"/>
                <w:b w:val="0"/>
                <w:color w:val="000000" w:themeColor="text1"/>
              </w:rPr>
              <w:t>ŽABLJAK</w:t>
            </w:r>
          </w:p>
        </w:tc>
        <w:tc>
          <w:tcPr>
            <w:tcW w:w="1558" w:type="dxa"/>
            <w:vMerge w:val="restart"/>
            <w:vAlign w:val="center"/>
          </w:tcPr>
          <w:p w14:paraId="3F327348" w14:textId="77777777" w:rsidR="004D63B7" w:rsidRPr="00716B83" w:rsidRDefault="004D63B7" w:rsidP="003F6F69">
            <w:pPr>
              <w:pStyle w:val="Caption"/>
              <w:ind w:left="445"/>
              <w:rPr>
                <w:rFonts w:ascii="Arial" w:hAnsi="Arial" w:cs="Arial"/>
                <w:b w:val="0"/>
                <w:color w:val="000000" w:themeColor="text1"/>
                <w:sz w:val="20"/>
                <w:szCs w:val="20"/>
              </w:rPr>
            </w:pPr>
            <w:r w:rsidRPr="00716B83">
              <w:rPr>
                <w:rFonts w:ascii="Arial" w:hAnsi="Arial" w:cs="Arial"/>
                <w:b w:val="0"/>
                <w:color w:val="000000" w:themeColor="text1"/>
              </w:rPr>
              <w:t>Žabljak</w:t>
            </w:r>
          </w:p>
        </w:tc>
        <w:tc>
          <w:tcPr>
            <w:tcW w:w="1558" w:type="dxa"/>
          </w:tcPr>
          <w:p w14:paraId="0D7D5C50" w14:textId="77777777" w:rsidR="004D63B7" w:rsidRPr="00222C7B" w:rsidRDefault="004D63B7" w:rsidP="003F6F69">
            <w:pPr>
              <w:pStyle w:val="Caption"/>
              <w:ind w:left="188"/>
              <w:rPr>
                <w:rFonts w:ascii="Arial" w:hAnsi="Arial" w:cs="Arial"/>
                <w:b w:val="0"/>
                <w:color w:val="000000" w:themeColor="text1"/>
              </w:rPr>
            </w:pPr>
            <w:r w:rsidRPr="00222C7B">
              <w:rPr>
                <w:rFonts w:ascii="Arial" w:hAnsi="Arial" w:cs="Arial"/>
                <w:b w:val="0"/>
                <w:color w:val="000000" w:themeColor="text1"/>
              </w:rPr>
              <w:t>Transfer stanica</w:t>
            </w:r>
          </w:p>
        </w:tc>
        <w:tc>
          <w:tcPr>
            <w:tcW w:w="1558" w:type="dxa"/>
          </w:tcPr>
          <w:p w14:paraId="1D4B23A9" w14:textId="77777777" w:rsidR="004D63B7" w:rsidRPr="00222C7B" w:rsidRDefault="004D63B7" w:rsidP="003F6F69">
            <w:pPr>
              <w:pStyle w:val="Caption"/>
              <w:ind w:left="107"/>
              <w:rPr>
                <w:rFonts w:ascii="Arial" w:hAnsi="Arial" w:cs="Arial"/>
                <w:b w:val="0"/>
                <w:color w:val="000000" w:themeColor="text1"/>
                <w:sz w:val="20"/>
                <w:szCs w:val="20"/>
              </w:rPr>
            </w:pPr>
            <w:r w:rsidRPr="00222C7B">
              <w:rPr>
                <w:rFonts w:ascii="Arial" w:hAnsi="Arial" w:cs="Arial"/>
                <w:b w:val="0"/>
                <w:color w:val="000000" w:themeColor="text1"/>
              </w:rPr>
              <w:t>Izgrađeno-nije u funkciji</w:t>
            </w:r>
          </w:p>
        </w:tc>
        <w:tc>
          <w:tcPr>
            <w:tcW w:w="1558" w:type="dxa"/>
          </w:tcPr>
          <w:p w14:paraId="66A3BF84" w14:textId="77777777" w:rsidR="004D63B7" w:rsidRPr="00222C7B" w:rsidRDefault="004D63B7" w:rsidP="003F6F69">
            <w:pPr>
              <w:pStyle w:val="Caption"/>
              <w:ind w:left="16"/>
              <w:rPr>
                <w:rFonts w:ascii="Arial" w:hAnsi="Arial" w:cs="Arial"/>
                <w:b w:val="0"/>
                <w:color w:val="000000" w:themeColor="text1"/>
                <w:sz w:val="20"/>
                <w:szCs w:val="20"/>
              </w:rPr>
            </w:pPr>
            <w:r w:rsidRPr="00222C7B">
              <w:rPr>
                <w:rFonts w:ascii="Arial" w:hAnsi="Arial" w:cs="Arial"/>
                <w:b w:val="0"/>
                <w:color w:val="000000" w:themeColor="text1"/>
              </w:rPr>
              <w:t>Rezidualni otpad, ostaci od MRF-a</w:t>
            </w:r>
          </w:p>
        </w:tc>
        <w:tc>
          <w:tcPr>
            <w:tcW w:w="1558" w:type="dxa"/>
          </w:tcPr>
          <w:p w14:paraId="32F722D7" w14:textId="77777777" w:rsidR="004D63B7" w:rsidRPr="00222C7B" w:rsidRDefault="004D63B7" w:rsidP="003F6F69">
            <w:pPr>
              <w:pStyle w:val="Caption"/>
              <w:ind w:left="360"/>
              <w:rPr>
                <w:rFonts w:ascii="Arial" w:hAnsi="Arial" w:cs="Arial"/>
                <w:b w:val="0"/>
                <w:color w:val="000000" w:themeColor="text1"/>
                <w:sz w:val="20"/>
                <w:szCs w:val="20"/>
              </w:rPr>
            </w:pPr>
            <w:r w:rsidRPr="00222C7B">
              <w:rPr>
                <w:rFonts w:ascii="Arial" w:hAnsi="Arial" w:cs="Arial"/>
                <w:b w:val="0"/>
                <w:color w:val="000000" w:themeColor="text1"/>
              </w:rPr>
              <w:t>1,108</w:t>
            </w:r>
          </w:p>
        </w:tc>
      </w:tr>
      <w:tr w:rsidR="004D63B7" w14:paraId="5A742C98" w14:textId="77777777" w:rsidTr="003F6F69">
        <w:trPr>
          <w:trHeight w:val="230"/>
        </w:trPr>
        <w:tc>
          <w:tcPr>
            <w:tcW w:w="1558" w:type="dxa"/>
            <w:vMerge/>
            <w:vAlign w:val="center"/>
          </w:tcPr>
          <w:p w14:paraId="7F120D6A" w14:textId="77777777" w:rsidR="004D63B7" w:rsidRPr="00716B83" w:rsidRDefault="004D63B7" w:rsidP="003F6F69">
            <w:pPr>
              <w:pStyle w:val="Caption"/>
              <w:ind w:left="337"/>
              <w:rPr>
                <w:rFonts w:ascii="Arial" w:hAnsi="Arial" w:cs="Arial"/>
                <w:b w:val="0"/>
                <w:color w:val="000000" w:themeColor="text1"/>
              </w:rPr>
            </w:pPr>
          </w:p>
        </w:tc>
        <w:tc>
          <w:tcPr>
            <w:tcW w:w="1558" w:type="dxa"/>
            <w:vMerge/>
            <w:vAlign w:val="center"/>
          </w:tcPr>
          <w:p w14:paraId="72998CDF" w14:textId="77777777" w:rsidR="004D63B7" w:rsidRPr="00716B83" w:rsidRDefault="004D63B7" w:rsidP="003F6F69">
            <w:pPr>
              <w:pStyle w:val="Caption"/>
              <w:ind w:left="445"/>
              <w:rPr>
                <w:rFonts w:ascii="Arial" w:hAnsi="Arial" w:cs="Arial"/>
                <w:b w:val="0"/>
                <w:color w:val="000000" w:themeColor="text1"/>
              </w:rPr>
            </w:pPr>
          </w:p>
        </w:tc>
        <w:tc>
          <w:tcPr>
            <w:tcW w:w="1558" w:type="dxa"/>
          </w:tcPr>
          <w:p w14:paraId="07BE4079" w14:textId="77777777" w:rsidR="004D63B7" w:rsidRPr="00C87884" w:rsidRDefault="004D63B7" w:rsidP="003F6F69">
            <w:pPr>
              <w:pStyle w:val="Caption"/>
              <w:ind w:left="188"/>
              <w:rPr>
                <w:rFonts w:ascii="Arial" w:hAnsi="Arial" w:cs="Arial"/>
                <w:b w:val="0"/>
                <w:color w:val="000000" w:themeColor="text1"/>
              </w:rPr>
            </w:pPr>
            <w:r w:rsidRPr="00C87884">
              <w:rPr>
                <w:rFonts w:ascii="Arial" w:hAnsi="Arial" w:cs="Arial"/>
                <w:b w:val="0"/>
                <w:color w:val="000000" w:themeColor="text1"/>
              </w:rPr>
              <w:t>MRF</w:t>
            </w:r>
          </w:p>
        </w:tc>
        <w:tc>
          <w:tcPr>
            <w:tcW w:w="1558" w:type="dxa"/>
          </w:tcPr>
          <w:p w14:paraId="28BC265E" w14:textId="77777777" w:rsidR="004D63B7" w:rsidRPr="00C87884" w:rsidRDefault="004D63B7" w:rsidP="003F6F69">
            <w:pPr>
              <w:pStyle w:val="Caption"/>
              <w:ind w:left="107"/>
              <w:rPr>
                <w:rFonts w:ascii="Arial" w:hAnsi="Arial" w:cs="Arial"/>
                <w:b w:val="0"/>
                <w:color w:val="000000" w:themeColor="text1"/>
                <w:sz w:val="20"/>
                <w:szCs w:val="20"/>
              </w:rPr>
            </w:pPr>
            <w:r w:rsidRPr="00C87884">
              <w:rPr>
                <w:rFonts w:ascii="Arial" w:hAnsi="Arial" w:cs="Arial"/>
                <w:b w:val="0"/>
                <w:color w:val="000000" w:themeColor="text1"/>
              </w:rPr>
              <w:t>Izgrađeno-nije u funkciji</w:t>
            </w:r>
          </w:p>
        </w:tc>
        <w:tc>
          <w:tcPr>
            <w:tcW w:w="1558" w:type="dxa"/>
          </w:tcPr>
          <w:p w14:paraId="5518B7C4" w14:textId="77777777" w:rsidR="004D63B7" w:rsidRPr="00C87884" w:rsidRDefault="004D63B7" w:rsidP="003F6F69">
            <w:pPr>
              <w:pStyle w:val="Caption"/>
              <w:ind w:left="16"/>
              <w:rPr>
                <w:rFonts w:ascii="Arial" w:hAnsi="Arial" w:cs="Arial"/>
                <w:b w:val="0"/>
                <w:color w:val="000000" w:themeColor="text1"/>
                <w:sz w:val="20"/>
                <w:szCs w:val="20"/>
              </w:rPr>
            </w:pPr>
            <w:r w:rsidRPr="00C87884">
              <w:rPr>
                <w:rFonts w:ascii="Arial" w:hAnsi="Arial" w:cs="Arial"/>
                <w:b w:val="0"/>
                <w:color w:val="000000" w:themeColor="text1"/>
              </w:rPr>
              <w:t>Odvojeno sakupljeni reciklažni materijali</w:t>
            </w:r>
          </w:p>
        </w:tc>
        <w:tc>
          <w:tcPr>
            <w:tcW w:w="1558" w:type="dxa"/>
          </w:tcPr>
          <w:p w14:paraId="304ECF51" w14:textId="77777777" w:rsidR="004D63B7" w:rsidRPr="00C87884" w:rsidRDefault="004D63B7" w:rsidP="003F6F69">
            <w:pPr>
              <w:pStyle w:val="Caption"/>
              <w:ind w:left="360"/>
              <w:rPr>
                <w:rFonts w:ascii="Arial" w:hAnsi="Arial" w:cs="Arial"/>
                <w:b w:val="0"/>
                <w:color w:val="000000" w:themeColor="text1"/>
                <w:sz w:val="20"/>
                <w:szCs w:val="20"/>
              </w:rPr>
            </w:pPr>
            <w:r w:rsidRPr="00C87884">
              <w:rPr>
                <w:rFonts w:ascii="Arial" w:hAnsi="Arial" w:cs="Arial"/>
                <w:b w:val="0"/>
                <w:color w:val="000000" w:themeColor="text1"/>
              </w:rPr>
              <w:t>284</w:t>
            </w:r>
          </w:p>
        </w:tc>
      </w:tr>
    </w:tbl>
    <w:p w14:paraId="4F132A83" w14:textId="01B73CAD" w:rsidR="00C232D7" w:rsidRPr="002A6F4E" w:rsidRDefault="00C232D7" w:rsidP="00C232D7">
      <w:pPr>
        <w:rPr>
          <w:rFonts w:ascii="Arial" w:hAnsi="Arial" w:cs="Arial"/>
          <w:b/>
          <w:u w:val="single"/>
        </w:rPr>
      </w:pPr>
    </w:p>
    <w:p w14:paraId="162BE6C8" w14:textId="77777777" w:rsidR="00120736" w:rsidRPr="00120736" w:rsidRDefault="00120736" w:rsidP="0016387A">
      <w:pPr>
        <w:pStyle w:val="NoSpacing"/>
        <w:jc w:val="left"/>
        <w:rPr>
          <w:rFonts w:ascii="Arial" w:hAnsi="Arial" w:cs="Arial"/>
          <w:lang w:val="sr-Latn-CS"/>
        </w:rPr>
      </w:pPr>
      <w:bookmarkStart w:id="910" w:name="_Hlk185879673"/>
    </w:p>
    <w:p w14:paraId="348FFDC9" w14:textId="35C19AC7" w:rsidR="00120736" w:rsidRPr="00120736" w:rsidRDefault="00C232D7" w:rsidP="00C232D7">
      <w:pPr>
        <w:spacing w:before="120" w:after="120" w:line="360" w:lineRule="auto"/>
        <w:rPr>
          <w:rFonts w:ascii="Arial" w:hAnsi="Arial" w:cs="Arial"/>
          <w:b/>
          <w:u w:val="single"/>
          <w:lang w:val="sq-AL"/>
        </w:rPr>
      </w:pPr>
      <w:bookmarkStart w:id="911" w:name="_Hlk185922111"/>
      <w:r w:rsidRPr="002A6F4E">
        <w:rPr>
          <w:rFonts w:ascii="Arial" w:hAnsi="Arial" w:cs="Arial"/>
          <w:b/>
          <w:u w:val="single"/>
          <w:lang w:val="sq-AL"/>
        </w:rPr>
        <w:t>Regionalni centar za upravljanje otpadom Bar</w:t>
      </w:r>
    </w:p>
    <w:bookmarkEnd w:id="910"/>
    <w:p w14:paraId="1880DC26" w14:textId="4C4BA1BE" w:rsidR="00120736" w:rsidRPr="0016387A" w:rsidRDefault="00C232D7" w:rsidP="00120736">
      <w:pPr>
        <w:spacing w:before="120" w:after="120" w:line="360" w:lineRule="auto"/>
        <w:rPr>
          <w:rFonts w:ascii="Arial" w:hAnsi="Arial" w:cs="Arial"/>
          <w:lang w:val="sq-AL"/>
        </w:rPr>
      </w:pPr>
      <w:r w:rsidRPr="002A6F4E">
        <w:rPr>
          <w:rFonts w:ascii="Arial" w:hAnsi="Arial" w:cs="Arial"/>
          <w:lang w:val="sq-AL"/>
        </w:rPr>
        <w:t>Regionalni centar za upravljanje otpadom Bar</w:t>
      </w:r>
      <w:r w:rsidRPr="002A6F4E">
        <w:rPr>
          <w:rFonts w:ascii="Arial" w:hAnsi="Arial" w:cs="Arial"/>
          <w:bCs/>
          <w:lang w:val="sq-AL"/>
        </w:rPr>
        <w:t xml:space="preserve"> obuhvata op</w:t>
      </w:r>
      <w:r w:rsidRPr="002A6F4E">
        <w:rPr>
          <w:rFonts w:ascii="Arial" w:hAnsi="Arial" w:cs="Arial"/>
          <w:bCs/>
          <w:lang w:val="sr-Latn-ME"/>
        </w:rPr>
        <w:t>štine koje su navedene u narednoj tabeli</w:t>
      </w:r>
      <w:r w:rsidRPr="002A6F4E">
        <w:rPr>
          <w:rFonts w:ascii="Arial" w:hAnsi="Arial" w:cs="Arial"/>
          <w:bCs/>
          <w:lang w:val="sq-AL"/>
        </w:rPr>
        <w:t>.</w:t>
      </w:r>
      <w:r w:rsidR="00120736">
        <w:rPr>
          <w:rFonts w:ascii="Arial" w:hAnsi="Arial" w:cs="Arial"/>
          <w:bCs/>
          <w:lang w:val="sq-AL"/>
        </w:rPr>
        <w:t xml:space="preserve"> </w:t>
      </w:r>
    </w:p>
    <w:p w14:paraId="64325BC5" w14:textId="6900537A" w:rsidR="00C232D7" w:rsidRPr="00927F69" w:rsidRDefault="00C232D7" w:rsidP="00C232D7">
      <w:pPr>
        <w:pStyle w:val="Caption"/>
        <w:rPr>
          <w:rFonts w:ascii="Arial" w:hAnsi="Arial" w:cs="Arial"/>
          <w:b w:val="0"/>
          <w:bCs w:val="0"/>
          <w:szCs w:val="20"/>
          <w:lang w:val="sq-AL"/>
        </w:rPr>
      </w:pPr>
      <w:bookmarkStart w:id="912" w:name="_Toc190160737"/>
      <w:r w:rsidRPr="00927F69">
        <w:rPr>
          <w:rFonts w:ascii="Arial" w:hAnsi="Arial" w:cs="Arial"/>
          <w:b w:val="0"/>
          <w:szCs w:val="20"/>
        </w:rPr>
        <w:t xml:space="preserve">Tabela </w:t>
      </w:r>
      <w:r w:rsidRPr="00927F69">
        <w:rPr>
          <w:rFonts w:ascii="Arial" w:hAnsi="Arial" w:cs="Arial"/>
          <w:b w:val="0"/>
          <w:szCs w:val="20"/>
        </w:rPr>
        <w:fldChar w:fldCharType="begin"/>
      </w:r>
      <w:r w:rsidRPr="00927F69">
        <w:rPr>
          <w:rFonts w:ascii="Arial" w:hAnsi="Arial" w:cs="Arial"/>
          <w:b w:val="0"/>
          <w:szCs w:val="20"/>
        </w:rPr>
        <w:instrText xml:space="preserve"> SEQ Tabela \* ARABIC </w:instrText>
      </w:r>
      <w:r w:rsidRPr="00927F69">
        <w:rPr>
          <w:rFonts w:ascii="Arial" w:hAnsi="Arial" w:cs="Arial"/>
          <w:b w:val="0"/>
          <w:szCs w:val="20"/>
        </w:rPr>
        <w:fldChar w:fldCharType="separate"/>
      </w:r>
      <w:r w:rsidR="007274DA">
        <w:rPr>
          <w:rFonts w:ascii="Arial" w:hAnsi="Arial" w:cs="Arial"/>
          <w:b w:val="0"/>
          <w:noProof/>
          <w:szCs w:val="20"/>
        </w:rPr>
        <w:t>46</w:t>
      </w:r>
      <w:r w:rsidRPr="00927F69">
        <w:rPr>
          <w:rFonts w:ascii="Arial" w:hAnsi="Arial" w:cs="Arial"/>
          <w:b w:val="0"/>
          <w:szCs w:val="20"/>
        </w:rPr>
        <w:fldChar w:fldCharType="end"/>
      </w:r>
      <w:r w:rsidRPr="00927F69">
        <w:rPr>
          <w:rFonts w:ascii="Arial" w:hAnsi="Arial" w:cs="Arial"/>
          <w:b w:val="0"/>
          <w:szCs w:val="20"/>
          <w:lang w:val="sq-AL"/>
        </w:rPr>
        <w:t xml:space="preserve"> Regionalni centar za upravljanje otpadom Bar</w:t>
      </w:r>
      <w:r w:rsidR="00A6285E" w:rsidRPr="00927F69">
        <w:rPr>
          <w:rFonts w:ascii="Arial" w:hAnsi="Arial" w:cs="Arial"/>
          <w:b w:val="0"/>
          <w:szCs w:val="20"/>
          <w:lang w:val="sq-AL"/>
        </w:rPr>
        <w:t xml:space="preserve"> </w:t>
      </w:r>
      <w:r w:rsidRPr="00927F69">
        <w:rPr>
          <w:rFonts w:ascii="Arial" w:hAnsi="Arial" w:cs="Arial"/>
          <w:b w:val="0"/>
          <w:szCs w:val="20"/>
          <w:lang w:val="sq-AL"/>
        </w:rPr>
        <w:t>-</w:t>
      </w:r>
      <w:r w:rsidR="00A6285E" w:rsidRPr="00927F69">
        <w:rPr>
          <w:rFonts w:ascii="Arial" w:hAnsi="Arial" w:cs="Arial"/>
          <w:b w:val="0"/>
          <w:szCs w:val="20"/>
          <w:lang w:val="sq-AL"/>
        </w:rPr>
        <w:t xml:space="preserve"> </w:t>
      </w:r>
      <w:r w:rsidRPr="00927F69">
        <w:rPr>
          <w:rFonts w:ascii="Arial" w:hAnsi="Arial" w:cs="Arial"/>
          <w:b w:val="0"/>
          <w:szCs w:val="20"/>
          <w:lang w:val="sq-AL"/>
        </w:rPr>
        <w:t>Opcija 1</w:t>
      </w:r>
      <w:bookmarkEnd w:id="912"/>
      <w:r w:rsidRPr="00927F69">
        <w:rPr>
          <w:rFonts w:ascii="Arial" w:hAnsi="Arial" w:cs="Arial"/>
          <w:b w:val="0"/>
          <w:szCs w:val="20"/>
          <w:lang w:val="sq-AL"/>
        </w:rPr>
        <w:t xml:space="preserve"> </w:t>
      </w:r>
    </w:p>
    <w:tbl>
      <w:tblPr>
        <w:tblW w:w="337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997"/>
        <w:gridCol w:w="2110"/>
        <w:gridCol w:w="2213"/>
      </w:tblGrid>
      <w:tr w:rsidR="00C232D7" w:rsidRPr="002A6F4E" w14:paraId="19028D8D" w14:textId="77777777" w:rsidTr="00C232D7">
        <w:trPr>
          <w:tblHeader/>
          <w:jc w:val="center"/>
        </w:trPr>
        <w:tc>
          <w:tcPr>
            <w:tcW w:w="1580" w:type="pct"/>
            <w:shd w:val="clear" w:color="auto" w:fill="F2F2F2" w:themeFill="background1" w:themeFillShade="F2"/>
            <w:vAlign w:val="center"/>
          </w:tcPr>
          <w:p w14:paraId="7AF77DFD" w14:textId="77777777" w:rsidR="00C232D7" w:rsidRPr="003F6F69" w:rsidRDefault="00C232D7" w:rsidP="004C71A4">
            <w:pPr>
              <w:spacing w:before="40" w:after="40" w:line="360" w:lineRule="auto"/>
              <w:jc w:val="center"/>
              <w:rPr>
                <w:rFonts w:ascii="Arial" w:hAnsi="Arial" w:cs="Arial"/>
                <w:b/>
                <w:bCs/>
                <w:sz w:val="18"/>
                <w:lang w:val="sq-AL"/>
              </w:rPr>
            </w:pPr>
            <w:r w:rsidRPr="003F6F69">
              <w:rPr>
                <w:rFonts w:ascii="Arial" w:hAnsi="Arial" w:cs="Arial"/>
                <w:b/>
                <w:bCs/>
                <w:sz w:val="18"/>
                <w:lang w:val="sq-AL"/>
              </w:rPr>
              <w:t>Opština</w:t>
            </w:r>
          </w:p>
        </w:tc>
        <w:tc>
          <w:tcPr>
            <w:tcW w:w="1669" w:type="pct"/>
            <w:shd w:val="clear" w:color="auto" w:fill="F2F2F2" w:themeFill="background1" w:themeFillShade="F2"/>
            <w:vAlign w:val="center"/>
          </w:tcPr>
          <w:p w14:paraId="03A9428F" w14:textId="7CFBEC8F" w:rsidR="00C232D7" w:rsidRPr="003F6F69" w:rsidRDefault="00C232D7" w:rsidP="004C71A4">
            <w:pPr>
              <w:spacing w:before="40" w:after="40" w:line="360" w:lineRule="auto"/>
              <w:jc w:val="center"/>
              <w:rPr>
                <w:rFonts w:ascii="Arial" w:hAnsi="Arial" w:cs="Arial"/>
                <w:b/>
                <w:bCs/>
                <w:sz w:val="18"/>
                <w:lang w:val="sq-AL"/>
              </w:rPr>
            </w:pPr>
            <w:r w:rsidRPr="003F6F69">
              <w:rPr>
                <w:rFonts w:ascii="Arial" w:hAnsi="Arial" w:cs="Arial"/>
                <w:b/>
                <w:bCs/>
                <w:sz w:val="18"/>
                <w:lang w:val="sq-AL"/>
              </w:rPr>
              <w:t xml:space="preserve">Stanovništvo - </w:t>
            </w:r>
            <w:r w:rsidRPr="003F6F69">
              <w:rPr>
                <w:rFonts w:ascii="Arial" w:hAnsi="Arial" w:cs="Arial"/>
                <w:b/>
                <w:bCs/>
                <w:sz w:val="18"/>
                <w:lang w:val="sq-AL"/>
              </w:rPr>
              <w:br/>
            </w:r>
            <w:r w:rsidR="00FE289C" w:rsidRPr="003F6F69">
              <w:rPr>
                <w:rFonts w:ascii="Arial" w:hAnsi="Arial" w:cs="Arial"/>
                <w:b/>
                <w:bCs/>
                <w:sz w:val="18"/>
                <w:lang w:val="sq-AL"/>
              </w:rPr>
              <w:t>2029</w:t>
            </w:r>
          </w:p>
        </w:tc>
        <w:tc>
          <w:tcPr>
            <w:tcW w:w="1751" w:type="pct"/>
            <w:shd w:val="clear" w:color="auto" w:fill="F2F2F2" w:themeFill="background1" w:themeFillShade="F2"/>
            <w:vAlign w:val="center"/>
          </w:tcPr>
          <w:p w14:paraId="0F6B0DF1" w14:textId="0D7DA8CE" w:rsidR="00C232D7" w:rsidRPr="003F6F69" w:rsidRDefault="00C232D7" w:rsidP="004C71A4">
            <w:pPr>
              <w:spacing w:before="40" w:after="40" w:line="360" w:lineRule="auto"/>
              <w:jc w:val="center"/>
              <w:rPr>
                <w:rFonts w:ascii="Arial" w:hAnsi="Arial" w:cs="Arial"/>
                <w:b/>
                <w:bCs/>
                <w:sz w:val="18"/>
                <w:lang w:val="sq-AL"/>
              </w:rPr>
            </w:pPr>
            <w:r w:rsidRPr="003F6F69">
              <w:rPr>
                <w:rFonts w:ascii="Arial" w:hAnsi="Arial" w:cs="Arial"/>
                <w:b/>
                <w:bCs/>
                <w:sz w:val="18"/>
                <w:lang w:val="sq-AL"/>
              </w:rPr>
              <w:t>Generisanje ot</w:t>
            </w:r>
            <w:r w:rsidR="00FE289C" w:rsidRPr="003F6F69">
              <w:rPr>
                <w:rFonts w:ascii="Arial" w:hAnsi="Arial" w:cs="Arial"/>
                <w:b/>
                <w:bCs/>
                <w:sz w:val="18"/>
                <w:lang w:val="sq-AL"/>
              </w:rPr>
              <w:t xml:space="preserve">pada </w:t>
            </w:r>
            <w:r w:rsidR="00FE289C" w:rsidRPr="003F6F69">
              <w:rPr>
                <w:rFonts w:ascii="Arial" w:hAnsi="Arial" w:cs="Arial"/>
                <w:b/>
                <w:bCs/>
                <w:sz w:val="18"/>
                <w:lang w:val="sq-AL"/>
              </w:rPr>
              <w:br/>
              <w:t>(t/god) - 2029</w:t>
            </w:r>
          </w:p>
        </w:tc>
      </w:tr>
      <w:tr w:rsidR="00C232D7" w:rsidRPr="002A6F4E" w14:paraId="34D759C2" w14:textId="77777777" w:rsidTr="00C232D7">
        <w:trPr>
          <w:jc w:val="center"/>
        </w:trPr>
        <w:tc>
          <w:tcPr>
            <w:tcW w:w="1580" w:type="pct"/>
            <w:vAlign w:val="center"/>
          </w:tcPr>
          <w:p w14:paraId="11FD1A24" w14:textId="77777777" w:rsidR="00C232D7" w:rsidRPr="003F6F69" w:rsidRDefault="00C232D7" w:rsidP="004C71A4">
            <w:pPr>
              <w:spacing w:before="40" w:after="40" w:line="360" w:lineRule="auto"/>
              <w:ind w:left="-14"/>
              <w:jc w:val="center"/>
              <w:rPr>
                <w:rFonts w:ascii="Arial" w:hAnsi="Arial" w:cs="Arial"/>
                <w:sz w:val="18"/>
                <w:lang w:val="sq-AL"/>
              </w:rPr>
            </w:pPr>
            <w:r w:rsidRPr="003F6F69">
              <w:rPr>
                <w:rFonts w:ascii="Arial" w:hAnsi="Arial" w:cs="Arial"/>
                <w:color w:val="000000"/>
                <w:sz w:val="18"/>
                <w:lang w:val="sq-AL"/>
              </w:rPr>
              <w:t>BAR</w:t>
            </w:r>
          </w:p>
        </w:tc>
        <w:tc>
          <w:tcPr>
            <w:tcW w:w="1669" w:type="pct"/>
            <w:shd w:val="clear" w:color="auto" w:fill="auto"/>
            <w:vAlign w:val="center"/>
          </w:tcPr>
          <w:p w14:paraId="35E0883B" w14:textId="77777777" w:rsidR="00C232D7" w:rsidRPr="003F6F69" w:rsidRDefault="00C232D7" w:rsidP="004C71A4">
            <w:pPr>
              <w:spacing w:before="40" w:after="40" w:line="360" w:lineRule="auto"/>
              <w:jc w:val="center"/>
              <w:rPr>
                <w:rFonts w:ascii="Arial" w:hAnsi="Arial" w:cs="Arial"/>
                <w:sz w:val="18"/>
                <w:lang w:val="sq-AL"/>
              </w:rPr>
            </w:pPr>
            <w:r w:rsidRPr="003F6F69">
              <w:rPr>
                <w:rFonts w:ascii="Arial" w:hAnsi="Arial" w:cs="Arial"/>
                <w:color w:val="000000"/>
                <w:sz w:val="18"/>
                <w:lang w:val="sq-AL"/>
              </w:rPr>
              <w:t>52.020</w:t>
            </w:r>
          </w:p>
        </w:tc>
        <w:tc>
          <w:tcPr>
            <w:tcW w:w="1751" w:type="pct"/>
            <w:vAlign w:val="center"/>
          </w:tcPr>
          <w:p w14:paraId="01D71F45" w14:textId="77777777" w:rsidR="00C232D7" w:rsidRPr="003F6F69" w:rsidRDefault="00C232D7" w:rsidP="004C71A4">
            <w:pPr>
              <w:spacing w:before="40" w:after="40" w:line="360" w:lineRule="auto"/>
              <w:jc w:val="center"/>
              <w:rPr>
                <w:rFonts w:ascii="Arial" w:hAnsi="Arial" w:cs="Arial"/>
                <w:sz w:val="18"/>
                <w:highlight w:val="yellow"/>
                <w:lang w:val="sq-AL"/>
              </w:rPr>
            </w:pPr>
            <w:r w:rsidRPr="003F6F69">
              <w:rPr>
                <w:rFonts w:ascii="Arial" w:hAnsi="Arial" w:cs="Arial"/>
                <w:color w:val="000000"/>
                <w:sz w:val="18"/>
              </w:rPr>
              <w:t>26.342</w:t>
            </w:r>
          </w:p>
        </w:tc>
      </w:tr>
      <w:tr w:rsidR="00C232D7" w:rsidRPr="002A6F4E" w14:paraId="5A07A7C2" w14:textId="77777777" w:rsidTr="00C232D7">
        <w:trPr>
          <w:jc w:val="center"/>
        </w:trPr>
        <w:tc>
          <w:tcPr>
            <w:tcW w:w="1580" w:type="pct"/>
            <w:vAlign w:val="center"/>
          </w:tcPr>
          <w:p w14:paraId="449B2A17" w14:textId="77777777" w:rsidR="00C232D7" w:rsidRPr="003F6F69" w:rsidRDefault="00C232D7" w:rsidP="004C71A4">
            <w:pPr>
              <w:spacing w:before="40" w:after="40" w:line="360" w:lineRule="auto"/>
              <w:ind w:left="-14"/>
              <w:jc w:val="center"/>
              <w:rPr>
                <w:rFonts w:ascii="Arial" w:hAnsi="Arial" w:cs="Arial"/>
                <w:sz w:val="18"/>
                <w:lang w:val="sq-AL"/>
              </w:rPr>
            </w:pPr>
            <w:r w:rsidRPr="003F6F69">
              <w:rPr>
                <w:rFonts w:ascii="Arial" w:hAnsi="Arial" w:cs="Arial"/>
                <w:color w:val="000000"/>
                <w:sz w:val="18"/>
                <w:lang w:val="sq-AL"/>
              </w:rPr>
              <w:t>BUDVA</w:t>
            </w:r>
          </w:p>
        </w:tc>
        <w:tc>
          <w:tcPr>
            <w:tcW w:w="1669" w:type="pct"/>
            <w:shd w:val="clear" w:color="auto" w:fill="auto"/>
            <w:vAlign w:val="center"/>
          </w:tcPr>
          <w:p w14:paraId="0FAA9132" w14:textId="77777777" w:rsidR="00C232D7" w:rsidRPr="003F6F69" w:rsidRDefault="00C232D7" w:rsidP="004C71A4">
            <w:pPr>
              <w:spacing w:before="40" w:after="40" w:line="360" w:lineRule="auto"/>
              <w:jc w:val="center"/>
              <w:rPr>
                <w:rFonts w:ascii="Arial" w:hAnsi="Arial" w:cs="Arial"/>
                <w:sz w:val="18"/>
                <w:lang w:val="sq-AL"/>
              </w:rPr>
            </w:pPr>
            <w:r w:rsidRPr="003F6F69">
              <w:rPr>
                <w:rFonts w:ascii="Arial" w:hAnsi="Arial" w:cs="Arial"/>
                <w:color w:val="000000"/>
                <w:sz w:val="18"/>
                <w:lang w:val="sq-AL"/>
              </w:rPr>
              <w:t>41.808</w:t>
            </w:r>
          </w:p>
        </w:tc>
        <w:tc>
          <w:tcPr>
            <w:tcW w:w="1751" w:type="pct"/>
            <w:vAlign w:val="center"/>
          </w:tcPr>
          <w:p w14:paraId="1D90E0AA" w14:textId="77777777" w:rsidR="00C232D7" w:rsidRPr="003F6F69" w:rsidRDefault="00C232D7" w:rsidP="004C71A4">
            <w:pPr>
              <w:spacing w:before="40" w:after="40" w:line="360" w:lineRule="auto"/>
              <w:jc w:val="center"/>
              <w:rPr>
                <w:rFonts w:ascii="Arial" w:hAnsi="Arial" w:cs="Arial"/>
                <w:sz w:val="18"/>
                <w:highlight w:val="yellow"/>
                <w:lang w:val="sq-AL"/>
              </w:rPr>
            </w:pPr>
            <w:r w:rsidRPr="003F6F69">
              <w:rPr>
                <w:rFonts w:ascii="Arial" w:hAnsi="Arial" w:cs="Arial"/>
                <w:color w:val="000000"/>
                <w:sz w:val="18"/>
              </w:rPr>
              <w:t>25.883</w:t>
            </w:r>
          </w:p>
        </w:tc>
      </w:tr>
      <w:tr w:rsidR="00C232D7" w:rsidRPr="002A6F4E" w14:paraId="3A3E712E" w14:textId="77777777" w:rsidTr="00C232D7">
        <w:trPr>
          <w:jc w:val="center"/>
        </w:trPr>
        <w:tc>
          <w:tcPr>
            <w:tcW w:w="1580" w:type="pct"/>
            <w:vAlign w:val="center"/>
          </w:tcPr>
          <w:p w14:paraId="72BB9AAF" w14:textId="77777777" w:rsidR="00C232D7" w:rsidRPr="003F6F69" w:rsidRDefault="00C232D7" w:rsidP="004C71A4">
            <w:pPr>
              <w:spacing w:before="40" w:after="40" w:line="360" w:lineRule="auto"/>
              <w:ind w:left="-14"/>
              <w:jc w:val="center"/>
              <w:rPr>
                <w:rFonts w:ascii="Arial" w:hAnsi="Arial" w:cs="Arial"/>
                <w:sz w:val="18"/>
                <w:lang w:val="sq-AL"/>
              </w:rPr>
            </w:pPr>
            <w:r w:rsidRPr="003F6F69">
              <w:rPr>
                <w:rFonts w:ascii="Arial" w:hAnsi="Arial" w:cs="Arial"/>
                <w:color w:val="000000"/>
                <w:sz w:val="18"/>
                <w:lang w:val="sq-AL"/>
              </w:rPr>
              <w:t>TIVAT</w:t>
            </w:r>
          </w:p>
        </w:tc>
        <w:tc>
          <w:tcPr>
            <w:tcW w:w="1669" w:type="pct"/>
            <w:shd w:val="clear" w:color="auto" w:fill="auto"/>
            <w:vAlign w:val="center"/>
          </w:tcPr>
          <w:p w14:paraId="222A2A48" w14:textId="77777777" w:rsidR="00C232D7" w:rsidRPr="003F6F69" w:rsidRDefault="00C232D7" w:rsidP="004C71A4">
            <w:pPr>
              <w:spacing w:before="40" w:after="40" w:line="360" w:lineRule="auto"/>
              <w:jc w:val="center"/>
              <w:rPr>
                <w:rFonts w:ascii="Arial" w:hAnsi="Arial" w:cs="Arial"/>
                <w:sz w:val="18"/>
                <w:lang w:val="sq-AL"/>
              </w:rPr>
            </w:pPr>
            <w:r w:rsidRPr="003F6F69">
              <w:rPr>
                <w:rFonts w:ascii="Arial" w:hAnsi="Arial" w:cs="Arial"/>
                <w:color w:val="000000"/>
                <w:sz w:val="18"/>
                <w:lang w:val="sq-AL"/>
              </w:rPr>
              <w:t>19.766</w:t>
            </w:r>
          </w:p>
        </w:tc>
        <w:tc>
          <w:tcPr>
            <w:tcW w:w="1751" w:type="pct"/>
            <w:vAlign w:val="center"/>
          </w:tcPr>
          <w:p w14:paraId="46A4C5A0" w14:textId="77777777" w:rsidR="00C232D7" w:rsidRPr="003F6F69" w:rsidRDefault="00C232D7" w:rsidP="004C71A4">
            <w:pPr>
              <w:spacing w:before="40" w:after="40" w:line="360" w:lineRule="auto"/>
              <w:jc w:val="center"/>
              <w:rPr>
                <w:rFonts w:ascii="Arial" w:hAnsi="Arial" w:cs="Arial"/>
                <w:sz w:val="18"/>
                <w:highlight w:val="yellow"/>
                <w:lang w:val="sq-AL"/>
              </w:rPr>
            </w:pPr>
            <w:r w:rsidRPr="003F6F69">
              <w:rPr>
                <w:rFonts w:ascii="Arial" w:hAnsi="Arial" w:cs="Arial"/>
                <w:color w:val="000000"/>
                <w:sz w:val="18"/>
              </w:rPr>
              <w:t>11.260</w:t>
            </w:r>
          </w:p>
        </w:tc>
      </w:tr>
      <w:tr w:rsidR="00C232D7" w:rsidRPr="002A6F4E" w14:paraId="42AD3E92" w14:textId="77777777" w:rsidTr="00C232D7">
        <w:trPr>
          <w:jc w:val="center"/>
        </w:trPr>
        <w:tc>
          <w:tcPr>
            <w:tcW w:w="1580" w:type="pct"/>
            <w:vAlign w:val="center"/>
          </w:tcPr>
          <w:p w14:paraId="0888B453" w14:textId="77777777" w:rsidR="00C232D7" w:rsidRPr="003F6F69" w:rsidRDefault="00C232D7" w:rsidP="004C71A4">
            <w:pPr>
              <w:spacing w:before="40" w:after="40" w:line="360" w:lineRule="auto"/>
              <w:ind w:left="-14"/>
              <w:jc w:val="center"/>
              <w:rPr>
                <w:rFonts w:ascii="Arial" w:hAnsi="Arial" w:cs="Arial"/>
                <w:sz w:val="18"/>
                <w:lang w:val="sq-AL"/>
              </w:rPr>
            </w:pPr>
            <w:r w:rsidRPr="003F6F69">
              <w:rPr>
                <w:rFonts w:ascii="Arial" w:hAnsi="Arial" w:cs="Arial"/>
                <w:color w:val="000000"/>
                <w:sz w:val="18"/>
                <w:lang w:val="sq-AL"/>
              </w:rPr>
              <w:t>ULCINJ</w:t>
            </w:r>
          </w:p>
        </w:tc>
        <w:tc>
          <w:tcPr>
            <w:tcW w:w="1669" w:type="pct"/>
            <w:shd w:val="clear" w:color="auto" w:fill="auto"/>
            <w:vAlign w:val="center"/>
          </w:tcPr>
          <w:p w14:paraId="7F7A99FB" w14:textId="77777777" w:rsidR="00C232D7" w:rsidRPr="003F6F69" w:rsidRDefault="00C232D7" w:rsidP="004C71A4">
            <w:pPr>
              <w:spacing w:before="40" w:after="40" w:line="360" w:lineRule="auto"/>
              <w:jc w:val="center"/>
              <w:rPr>
                <w:rFonts w:ascii="Arial" w:hAnsi="Arial" w:cs="Arial"/>
                <w:sz w:val="18"/>
                <w:lang w:val="sq-AL"/>
              </w:rPr>
            </w:pPr>
            <w:r w:rsidRPr="003F6F69">
              <w:rPr>
                <w:rFonts w:ascii="Arial" w:hAnsi="Arial" w:cs="Arial"/>
                <w:color w:val="000000"/>
                <w:sz w:val="18"/>
                <w:lang w:val="sq-AL"/>
              </w:rPr>
              <w:t>26.658</w:t>
            </w:r>
          </w:p>
        </w:tc>
        <w:tc>
          <w:tcPr>
            <w:tcW w:w="1751" w:type="pct"/>
            <w:vAlign w:val="center"/>
          </w:tcPr>
          <w:p w14:paraId="1D723D7A" w14:textId="77777777" w:rsidR="00C232D7" w:rsidRPr="003F6F69" w:rsidRDefault="00C232D7" w:rsidP="004C71A4">
            <w:pPr>
              <w:spacing w:before="40" w:after="40" w:line="360" w:lineRule="auto"/>
              <w:jc w:val="center"/>
              <w:rPr>
                <w:rFonts w:ascii="Arial" w:hAnsi="Arial" w:cs="Arial"/>
                <w:sz w:val="18"/>
                <w:highlight w:val="yellow"/>
                <w:lang w:val="sq-AL"/>
              </w:rPr>
            </w:pPr>
            <w:r w:rsidRPr="003F6F69">
              <w:rPr>
                <w:rFonts w:ascii="Arial" w:hAnsi="Arial" w:cs="Arial"/>
                <w:color w:val="000000"/>
                <w:sz w:val="18"/>
              </w:rPr>
              <w:t>14.546</w:t>
            </w:r>
          </w:p>
        </w:tc>
      </w:tr>
      <w:tr w:rsidR="00C232D7" w:rsidRPr="002A6F4E" w14:paraId="411ED42E" w14:textId="77777777" w:rsidTr="00C232D7">
        <w:trPr>
          <w:jc w:val="center"/>
        </w:trPr>
        <w:tc>
          <w:tcPr>
            <w:tcW w:w="1580" w:type="pct"/>
            <w:shd w:val="clear" w:color="auto" w:fill="E2EFD9" w:themeFill="accent6" w:themeFillTint="33"/>
            <w:vAlign w:val="center"/>
          </w:tcPr>
          <w:p w14:paraId="0B464B4C" w14:textId="77777777" w:rsidR="00C232D7" w:rsidRPr="003F6F69" w:rsidRDefault="00C232D7" w:rsidP="004C71A4">
            <w:pPr>
              <w:spacing w:before="40" w:after="40" w:line="360" w:lineRule="auto"/>
              <w:ind w:left="-14"/>
              <w:jc w:val="center"/>
              <w:rPr>
                <w:rFonts w:ascii="Arial" w:hAnsi="Arial" w:cs="Arial"/>
                <w:b/>
                <w:bCs/>
                <w:sz w:val="18"/>
                <w:lang w:val="sq-AL"/>
              </w:rPr>
            </w:pPr>
            <w:r w:rsidRPr="003F6F69">
              <w:rPr>
                <w:rFonts w:ascii="Arial" w:hAnsi="Arial" w:cs="Arial"/>
                <w:b/>
                <w:bCs/>
                <w:color w:val="000000"/>
                <w:sz w:val="18"/>
                <w:lang w:val="sq-AL"/>
              </w:rPr>
              <w:t>UKUPNO</w:t>
            </w:r>
          </w:p>
        </w:tc>
        <w:tc>
          <w:tcPr>
            <w:tcW w:w="1669" w:type="pct"/>
            <w:shd w:val="clear" w:color="auto" w:fill="E2EFD9" w:themeFill="accent6" w:themeFillTint="33"/>
            <w:vAlign w:val="bottom"/>
          </w:tcPr>
          <w:p w14:paraId="22C35770" w14:textId="77777777" w:rsidR="00C232D7" w:rsidRPr="003F6F69" w:rsidRDefault="00C232D7" w:rsidP="004C71A4">
            <w:pPr>
              <w:spacing w:before="40" w:after="40" w:line="360" w:lineRule="auto"/>
              <w:jc w:val="center"/>
              <w:rPr>
                <w:rFonts w:ascii="Arial" w:hAnsi="Arial" w:cs="Arial"/>
                <w:sz w:val="18"/>
                <w:lang w:val="sq-AL"/>
              </w:rPr>
            </w:pPr>
            <w:r w:rsidRPr="003F6F69">
              <w:rPr>
                <w:rFonts w:ascii="Arial" w:hAnsi="Arial" w:cs="Arial"/>
                <w:b/>
                <w:bCs/>
                <w:color w:val="000000"/>
                <w:sz w:val="18"/>
                <w:lang w:val="sq-AL"/>
              </w:rPr>
              <w:t>207.563</w:t>
            </w:r>
          </w:p>
        </w:tc>
        <w:tc>
          <w:tcPr>
            <w:tcW w:w="1751" w:type="pct"/>
            <w:shd w:val="clear" w:color="auto" w:fill="E2EFD9" w:themeFill="accent6" w:themeFillTint="33"/>
            <w:vAlign w:val="bottom"/>
          </w:tcPr>
          <w:p w14:paraId="3AFE1956" w14:textId="77777777" w:rsidR="00C232D7" w:rsidRPr="003F6F69" w:rsidRDefault="00C232D7" w:rsidP="004C71A4">
            <w:pPr>
              <w:spacing w:before="40" w:after="40" w:line="360" w:lineRule="auto"/>
              <w:jc w:val="center"/>
              <w:rPr>
                <w:rFonts w:ascii="Arial" w:hAnsi="Arial" w:cs="Arial"/>
                <w:sz w:val="18"/>
                <w:highlight w:val="yellow"/>
                <w:lang w:val="sq-AL"/>
              </w:rPr>
            </w:pPr>
            <w:r w:rsidRPr="003F6F69">
              <w:rPr>
                <w:rFonts w:ascii="Arial" w:hAnsi="Arial" w:cs="Arial"/>
                <w:b/>
                <w:bCs/>
                <w:color w:val="000000"/>
                <w:sz w:val="18"/>
              </w:rPr>
              <w:t>114.916</w:t>
            </w:r>
          </w:p>
        </w:tc>
      </w:tr>
    </w:tbl>
    <w:p w14:paraId="40AA8DE5" w14:textId="77777777" w:rsidR="00120736" w:rsidRDefault="00120736" w:rsidP="00C232D7">
      <w:pPr>
        <w:pStyle w:val="Caption"/>
        <w:rPr>
          <w:rFonts w:ascii="Arial" w:hAnsi="Arial" w:cs="Arial"/>
          <w:b w:val="0"/>
          <w:szCs w:val="20"/>
        </w:rPr>
      </w:pPr>
      <w:bookmarkStart w:id="913" w:name="_Toc110350563"/>
      <w:bookmarkStart w:id="914" w:name="_Toc110612556"/>
      <w:bookmarkStart w:id="915" w:name="_Toc117607245"/>
      <w:bookmarkStart w:id="916" w:name="_Toc110350468"/>
      <w:bookmarkStart w:id="917" w:name="_Toc190160738"/>
      <w:bookmarkStart w:id="918" w:name="_Hlk185961441"/>
    </w:p>
    <w:p w14:paraId="1F9845D5" w14:textId="77777777" w:rsidR="00917080" w:rsidRDefault="00917080" w:rsidP="00C232D7">
      <w:pPr>
        <w:pStyle w:val="Caption"/>
        <w:rPr>
          <w:rFonts w:ascii="Arial" w:hAnsi="Arial" w:cs="Arial"/>
          <w:b w:val="0"/>
          <w:szCs w:val="20"/>
        </w:rPr>
      </w:pPr>
    </w:p>
    <w:p w14:paraId="2FBBAC8F" w14:textId="77777777" w:rsidR="00917080" w:rsidRDefault="00917080" w:rsidP="00C232D7">
      <w:pPr>
        <w:pStyle w:val="Caption"/>
        <w:rPr>
          <w:rFonts w:ascii="Arial" w:hAnsi="Arial" w:cs="Arial"/>
          <w:b w:val="0"/>
          <w:szCs w:val="20"/>
        </w:rPr>
      </w:pPr>
    </w:p>
    <w:p w14:paraId="4DD7BBEC" w14:textId="77777777" w:rsidR="00917080" w:rsidRDefault="00917080" w:rsidP="00C232D7">
      <w:pPr>
        <w:pStyle w:val="Caption"/>
        <w:rPr>
          <w:rFonts w:ascii="Arial" w:hAnsi="Arial" w:cs="Arial"/>
          <w:b w:val="0"/>
          <w:szCs w:val="20"/>
        </w:rPr>
      </w:pPr>
    </w:p>
    <w:p w14:paraId="68511BA2" w14:textId="77777777" w:rsidR="00917080" w:rsidRDefault="00917080" w:rsidP="00C232D7">
      <w:pPr>
        <w:pStyle w:val="Caption"/>
        <w:rPr>
          <w:rFonts w:ascii="Arial" w:hAnsi="Arial" w:cs="Arial"/>
          <w:b w:val="0"/>
          <w:szCs w:val="20"/>
        </w:rPr>
      </w:pPr>
    </w:p>
    <w:p w14:paraId="0A9DF9F6" w14:textId="77777777" w:rsidR="00917080" w:rsidRDefault="00917080" w:rsidP="00C232D7">
      <w:pPr>
        <w:pStyle w:val="Caption"/>
        <w:rPr>
          <w:rFonts w:ascii="Arial" w:hAnsi="Arial" w:cs="Arial"/>
          <w:b w:val="0"/>
          <w:szCs w:val="20"/>
        </w:rPr>
      </w:pPr>
    </w:p>
    <w:p w14:paraId="698AF941" w14:textId="77777777" w:rsidR="00917080" w:rsidRDefault="00917080" w:rsidP="00C232D7">
      <w:pPr>
        <w:pStyle w:val="Caption"/>
        <w:rPr>
          <w:rFonts w:ascii="Arial" w:hAnsi="Arial" w:cs="Arial"/>
          <w:b w:val="0"/>
          <w:szCs w:val="20"/>
        </w:rPr>
      </w:pPr>
    </w:p>
    <w:p w14:paraId="138916DF" w14:textId="77777777" w:rsidR="00917080" w:rsidRDefault="00917080" w:rsidP="00C232D7">
      <w:pPr>
        <w:pStyle w:val="Caption"/>
        <w:rPr>
          <w:rFonts w:ascii="Arial" w:hAnsi="Arial" w:cs="Arial"/>
          <w:b w:val="0"/>
          <w:szCs w:val="20"/>
        </w:rPr>
      </w:pPr>
    </w:p>
    <w:p w14:paraId="2F8F83B0" w14:textId="6614A27D" w:rsidR="00C232D7" w:rsidRPr="00927F69" w:rsidRDefault="00C232D7" w:rsidP="00C232D7">
      <w:pPr>
        <w:pStyle w:val="Caption"/>
        <w:rPr>
          <w:rFonts w:ascii="Arial" w:hAnsi="Arial" w:cs="Arial"/>
          <w:b w:val="0"/>
          <w:bCs w:val="0"/>
          <w:szCs w:val="20"/>
          <w:lang w:val="sq-AL"/>
        </w:rPr>
      </w:pPr>
      <w:r w:rsidRPr="00927F69">
        <w:rPr>
          <w:rFonts w:ascii="Arial" w:hAnsi="Arial" w:cs="Arial"/>
          <w:b w:val="0"/>
          <w:szCs w:val="20"/>
        </w:rPr>
        <w:lastRenderedPageBreak/>
        <w:t xml:space="preserve">Tabela </w:t>
      </w:r>
      <w:r w:rsidRPr="00927F69">
        <w:rPr>
          <w:rFonts w:ascii="Arial" w:hAnsi="Arial" w:cs="Arial"/>
          <w:b w:val="0"/>
          <w:szCs w:val="20"/>
        </w:rPr>
        <w:fldChar w:fldCharType="begin"/>
      </w:r>
      <w:r w:rsidRPr="00927F69">
        <w:rPr>
          <w:rFonts w:ascii="Arial" w:hAnsi="Arial" w:cs="Arial"/>
          <w:b w:val="0"/>
          <w:szCs w:val="20"/>
        </w:rPr>
        <w:instrText xml:space="preserve"> SEQ Tabela \* ARABIC </w:instrText>
      </w:r>
      <w:r w:rsidRPr="00927F69">
        <w:rPr>
          <w:rFonts w:ascii="Arial" w:hAnsi="Arial" w:cs="Arial"/>
          <w:b w:val="0"/>
          <w:szCs w:val="20"/>
        </w:rPr>
        <w:fldChar w:fldCharType="separate"/>
      </w:r>
      <w:r w:rsidR="007274DA">
        <w:rPr>
          <w:rFonts w:ascii="Arial" w:hAnsi="Arial" w:cs="Arial"/>
          <w:b w:val="0"/>
          <w:noProof/>
          <w:szCs w:val="20"/>
        </w:rPr>
        <w:t>47</w:t>
      </w:r>
      <w:r w:rsidRPr="00927F69">
        <w:rPr>
          <w:rFonts w:ascii="Arial" w:hAnsi="Arial" w:cs="Arial"/>
          <w:b w:val="0"/>
          <w:szCs w:val="20"/>
        </w:rPr>
        <w:fldChar w:fldCharType="end"/>
      </w:r>
      <w:r w:rsidRPr="00927F69">
        <w:rPr>
          <w:rFonts w:ascii="Arial" w:hAnsi="Arial" w:cs="Arial"/>
          <w:b w:val="0"/>
          <w:szCs w:val="20"/>
          <w:lang w:val="sq-AL"/>
        </w:rPr>
        <w:t xml:space="preserve"> </w:t>
      </w:r>
      <w:bookmarkEnd w:id="913"/>
      <w:bookmarkEnd w:id="914"/>
      <w:bookmarkEnd w:id="915"/>
      <w:bookmarkEnd w:id="916"/>
      <w:r w:rsidRPr="00927F69">
        <w:rPr>
          <w:rFonts w:ascii="Arial" w:hAnsi="Arial" w:cs="Arial"/>
          <w:b w:val="0"/>
          <w:szCs w:val="20"/>
          <w:lang w:val="sq-AL"/>
        </w:rPr>
        <w:t>Regionalni centar za upravljanje otpadom Bar</w:t>
      </w:r>
      <w:r w:rsidR="00927F69" w:rsidRPr="00927F69">
        <w:rPr>
          <w:rFonts w:ascii="Arial" w:hAnsi="Arial" w:cs="Arial"/>
          <w:b w:val="0"/>
          <w:szCs w:val="20"/>
          <w:lang w:val="sq-AL"/>
        </w:rPr>
        <w:t xml:space="preserve"> </w:t>
      </w:r>
      <w:r w:rsidRPr="00927F69">
        <w:rPr>
          <w:rFonts w:ascii="Arial" w:hAnsi="Arial" w:cs="Arial"/>
          <w:b w:val="0"/>
          <w:szCs w:val="20"/>
          <w:lang w:val="sq-AL"/>
        </w:rPr>
        <w:t>-</w:t>
      </w:r>
      <w:r w:rsidR="00927F69" w:rsidRPr="00927F69">
        <w:rPr>
          <w:rFonts w:ascii="Arial" w:hAnsi="Arial" w:cs="Arial"/>
          <w:b w:val="0"/>
          <w:szCs w:val="20"/>
          <w:lang w:val="sq-AL"/>
        </w:rPr>
        <w:t xml:space="preserve"> </w:t>
      </w:r>
      <w:r w:rsidRPr="00927F69">
        <w:rPr>
          <w:rFonts w:ascii="Arial" w:hAnsi="Arial" w:cs="Arial"/>
          <w:b w:val="0"/>
          <w:szCs w:val="20"/>
          <w:lang w:val="sq-AL"/>
        </w:rPr>
        <w:t>Opcija 2</w:t>
      </w:r>
      <w:bookmarkEnd w:id="917"/>
      <w:r w:rsidRPr="00927F69">
        <w:rPr>
          <w:rFonts w:ascii="Arial" w:hAnsi="Arial" w:cs="Arial"/>
          <w:b w:val="0"/>
          <w:szCs w:val="20"/>
          <w:lang w:val="sq-AL"/>
        </w:rPr>
        <w:t xml:space="preserve"> </w:t>
      </w:r>
    </w:p>
    <w:tbl>
      <w:tblPr>
        <w:tblW w:w="337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997"/>
        <w:gridCol w:w="2110"/>
        <w:gridCol w:w="2213"/>
      </w:tblGrid>
      <w:tr w:rsidR="00C232D7" w:rsidRPr="002A6F4E" w14:paraId="5182CDFA" w14:textId="77777777" w:rsidTr="00C232D7">
        <w:trPr>
          <w:tblHeader/>
          <w:jc w:val="center"/>
        </w:trPr>
        <w:tc>
          <w:tcPr>
            <w:tcW w:w="1580" w:type="pct"/>
            <w:shd w:val="clear" w:color="auto" w:fill="F2F2F2" w:themeFill="background1" w:themeFillShade="F2"/>
            <w:vAlign w:val="center"/>
          </w:tcPr>
          <w:bookmarkEnd w:id="918"/>
          <w:p w14:paraId="2FBBD32D" w14:textId="77777777" w:rsidR="00C232D7" w:rsidRPr="003F6F69" w:rsidRDefault="00C232D7" w:rsidP="00C232D7">
            <w:pPr>
              <w:spacing w:before="40" w:after="40" w:line="360" w:lineRule="auto"/>
              <w:rPr>
                <w:rFonts w:ascii="Arial" w:hAnsi="Arial" w:cs="Arial"/>
                <w:b/>
                <w:bCs/>
                <w:sz w:val="18"/>
                <w:lang w:val="sq-AL"/>
              </w:rPr>
            </w:pPr>
            <w:r w:rsidRPr="003F6F69">
              <w:rPr>
                <w:rFonts w:ascii="Arial" w:hAnsi="Arial" w:cs="Arial"/>
                <w:b/>
                <w:bCs/>
                <w:sz w:val="18"/>
                <w:lang w:val="sq-AL"/>
              </w:rPr>
              <w:t>Opština</w:t>
            </w:r>
          </w:p>
        </w:tc>
        <w:tc>
          <w:tcPr>
            <w:tcW w:w="1669" w:type="pct"/>
            <w:shd w:val="clear" w:color="auto" w:fill="F2F2F2" w:themeFill="background1" w:themeFillShade="F2"/>
            <w:vAlign w:val="center"/>
          </w:tcPr>
          <w:p w14:paraId="53A12FD3" w14:textId="0AA6B838" w:rsidR="00C232D7" w:rsidRPr="003F6F69" w:rsidRDefault="00C232D7" w:rsidP="00FE289C">
            <w:pPr>
              <w:spacing w:before="40" w:after="40" w:line="360" w:lineRule="auto"/>
              <w:rPr>
                <w:rFonts w:ascii="Arial" w:hAnsi="Arial" w:cs="Arial"/>
                <w:b/>
                <w:bCs/>
                <w:sz w:val="18"/>
                <w:lang w:val="sq-AL"/>
              </w:rPr>
            </w:pPr>
            <w:r w:rsidRPr="003F6F69">
              <w:rPr>
                <w:rFonts w:ascii="Arial" w:hAnsi="Arial" w:cs="Arial"/>
                <w:b/>
                <w:bCs/>
                <w:sz w:val="18"/>
                <w:lang w:val="sq-AL"/>
              </w:rPr>
              <w:t xml:space="preserve">Stanovništvo - </w:t>
            </w:r>
            <w:r w:rsidRPr="003F6F69">
              <w:rPr>
                <w:rFonts w:ascii="Arial" w:hAnsi="Arial" w:cs="Arial"/>
                <w:b/>
                <w:bCs/>
                <w:sz w:val="18"/>
                <w:lang w:val="sq-AL"/>
              </w:rPr>
              <w:br/>
            </w:r>
            <w:r w:rsidR="00FE289C" w:rsidRPr="003F6F69">
              <w:rPr>
                <w:rFonts w:ascii="Arial" w:hAnsi="Arial" w:cs="Arial"/>
                <w:b/>
                <w:bCs/>
                <w:sz w:val="18"/>
                <w:lang w:val="sq-AL"/>
              </w:rPr>
              <w:t>2029</w:t>
            </w:r>
          </w:p>
        </w:tc>
        <w:tc>
          <w:tcPr>
            <w:tcW w:w="1751" w:type="pct"/>
            <w:shd w:val="clear" w:color="auto" w:fill="F2F2F2" w:themeFill="background1" w:themeFillShade="F2"/>
            <w:vAlign w:val="center"/>
          </w:tcPr>
          <w:p w14:paraId="69B4A09E" w14:textId="57FF408E" w:rsidR="00C232D7" w:rsidRPr="003F6F69" w:rsidRDefault="00C232D7" w:rsidP="00FE289C">
            <w:pPr>
              <w:spacing w:before="40" w:after="40" w:line="360" w:lineRule="auto"/>
              <w:rPr>
                <w:rFonts w:ascii="Arial" w:hAnsi="Arial" w:cs="Arial"/>
                <w:b/>
                <w:bCs/>
                <w:sz w:val="18"/>
                <w:lang w:val="sq-AL"/>
              </w:rPr>
            </w:pPr>
            <w:r w:rsidRPr="003F6F69">
              <w:rPr>
                <w:rFonts w:ascii="Arial" w:hAnsi="Arial" w:cs="Arial"/>
                <w:b/>
                <w:bCs/>
                <w:sz w:val="18"/>
                <w:lang w:val="sq-AL"/>
              </w:rPr>
              <w:t xml:space="preserve">Generisanje otpada </w:t>
            </w:r>
            <w:r w:rsidRPr="003F6F69">
              <w:rPr>
                <w:rFonts w:ascii="Arial" w:hAnsi="Arial" w:cs="Arial"/>
                <w:b/>
                <w:bCs/>
                <w:sz w:val="18"/>
                <w:lang w:val="sq-AL"/>
              </w:rPr>
              <w:br/>
              <w:t xml:space="preserve">(t/god) </w:t>
            </w:r>
            <w:r w:rsidR="00CB2D48">
              <w:rPr>
                <w:rFonts w:ascii="Arial" w:hAnsi="Arial" w:cs="Arial"/>
                <w:b/>
                <w:bCs/>
                <w:sz w:val="18"/>
                <w:lang w:val="sq-AL"/>
              </w:rPr>
              <w:t>–</w:t>
            </w:r>
            <w:r w:rsidRPr="003F6F69">
              <w:rPr>
                <w:rFonts w:ascii="Arial" w:hAnsi="Arial" w:cs="Arial"/>
                <w:b/>
                <w:bCs/>
                <w:sz w:val="18"/>
                <w:lang w:val="sq-AL"/>
              </w:rPr>
              <w:t xml:space="preserve"> </w:t>
            </w:r>
            <w:r w:rsidR="00FE289C" w:rsidRPr="003F6F69">
              <w:rPr>
                <w:rFonts w:ascii="Arial" w:hAnsi="Arial" w:cs="Arial"/>
                <w:b/>
                <w:bCs/>
                <w:sz w:val="18"/>
                <w:lang w:val="sq-AL"/>
              </w:rPr>
              <w:t>2029</w:t>
            </w:r>
          </w:p>
        </w:tc>
      </w:tr>
      <w:tr w:rsidR="00C232D7" w:rsidRPr="002A6F4E" w14:paraId="5E3B5458" w14:textId="77777777" w:rsidTr="00C232D7">
        <w:trPr>
          <w:jc w:val="center"/>
        </w:trPr>
        <w:tc>
          <w:tcPr>
            <w:tcW w:w="1580" w:type="pct"/>
            <w:vAlign w:val="center"/>
          </w:tcPr>
          <w:p w14:paraId="2224BDF9" w14:textId="77777777" w:rsidR="00C232D7" w:rsidRPr="003F6F69" w:rsidRDefault="00C232D7" w:rsidP="00C232D7">
            <w:pPr>
              <w:spacing w:before="40" w:after="40" w:line="360" w:lineRule="auto"/>
              <w:ind w:left="-14"/>
              <w:rPr>
                <w:rFonts w:ascii="Arial" w:hAnsi="Arial" w:cs="Arial"/>
                <w:sz w:val="18"/>
                <w:lang w:val="sq-AL"/>
              </w:rPr>
            </w:pPr>
            <w:r w:rsidRPr="003F6F69">
              <w:rPr>
                <w:rFonts w:ascii="Arial" w:hAnsi="Arial" w:cs="Arial"/>
                <w:color w:val="000000"/>
                <w:sz w:val="18"/>
                <w:lang w:val="sq-AL"/>
              </w:rPr>
              <w:t>BAR</w:t>
            </w:r>
          </w:p>
        </w:tc>
        <w:tc>
          <w:tcPr>
            <w:tcW w:w="1669" w:type="pct"/>
            <w:shd w:val="clear" w:color="auto" w:fill="auto"/>
            <w:vAlign w:val="center"/>
          </w:tcPr>
          <w:p w14:paraId="7698BE3D" w14:textId="77777777" w:rsidR="00C232D7" w:rsidRPr="003F6F69" w:rsidRDefault="00C232D7" w:rsidP="00C232D7">
            <w:pPr>
              <w:spacing w:before="40" w:after="40" w:line="360" w:lineRule="auto"/>
              <w:rPr>
                <w:rFonts w:ascii="Arial" w:hAnsi="Arial" w:cs="Arial"/>
                <w:sz w:val="18"/>
                <w:lang w:val="sq-AL"/>
              </w:rPr>
            </w:pPr>
            <w:r w:rsidRPr="003F6F69">
              <w:rPr>
                <w:rFonts w:ascii="Arial" w:hAnsi="Arial" w:cs="Arial"/>
                <w:color w:val="000000"/>
                <w:sz w:val="18"/>
                <w:lang w:val="sq-AL"/>
              </w:rPr>
              <w:t>52.020</w:t>
            </w:r>
          </w:p>
        </w:tc>
        <w:tc>
          <w:tcPr>
            <w:tcW w:w="1751" w:type="pct"/>
            <w:vAlign w:val="center"/>
          </w:tcPr>
          <w:p w14:paraId="5CC7209F" w14:textId="77777777" w:rsidR="00C232D7" w:rsidRPr="003F6F69" w:rsidRDefault="00C232D7" w:rsidP="00C232D7">
            <w:pPr>
              <w:spacing w:before="40" w:after="40" w:line="360" w:lineRule="auto"/>
              <w:rPr>
                <w:rFonts w:ascii="Arial" w:hAnsi="Arial" w:cs="Arial"/>
                <w:sz w:val="18"/>
                <w:highlight w:val="yellow"/>
                <w:lang w:val="sq-AL"/>
              </w:rPr>
            </w:pPr>
            <w:r w:rsidRPr="003F6F69">
              <w:rPr>
                <w:rFonts w:ascii="Arial" w:hAnsi="Arial" w:cs="Arial"/>
                <w:color w:val="000000"/>
                <w:sz w:val="18"/>
              </w:rPr>
              <w:t>26.342</w:t>
            </w:r>
          </w:p>
        </w:tc>
      </w:tr>
      <w:tr w:rsidR="00C232D7" w:rsidRPr="002A6F4E" w14:paraId="2FC356A3" w14:textId="77777777" w:rsidTr="00C232D7">
        <w:trPr>
          <w:jc w:val="center"/>
        </w:trPr>
        <w:tc>
          <w:tcPr>
            <w:tcW w:w="1580" w:type="pct"/>
            <w:vAlign w:val="center"/>
          </w:tcPr>
          <w:p w14:paraId="251F92FB" w14:textId="77777777" w:rsidR="00C232D7" w:rsidRPr="003F6F69" w:rsidRDefault="00C232D7" w:rsidP="00C232D7">
            <w:pPr>
              <w:spacing w:before="40" w:after="40" w:line="360" w:lineRule="auto"/>
              <w:ind w:left="-14"/>
              <w:rPr>
                <w:rFonts w:ascii="Arial" w:hAnsi="Arial" w:cs="Arial"/>
                <w:sz w:val="18"/>
                <w:lang w:val="sq-AL"/>
              </w:rPr>
            </w:pPr>
            <w:r w:rsidRPr="003F6F69">
              <w:rPr>
                <w:rFonts w:ascii="Arial" w:hAnsi="Arial" w:cs="Arial"/>
                <w:color w:val="000000"/>
                <w:sz w:val="18"/>
                <w:lang w:val="sq-AL"/>
              </w:rPr>
              <w:t>KOTOR</w:t>
            </w:r>
          </w:p>
        </w:tc>
        <w:tc>
          <w:tcPr>
            <w:tcW w:w="1669" w:type="pct"/>
            <w:shd w:val="clear" w:color="auto" w:fill="auto"/>
            <w:vAlign w:val="center"/>
          </w:tcPr>
          <w:p w14:paraId="475666F3" w14:textId="77777777" w:rsidR="00C232D7" w:rsidRPr="003F6F69" w:rsidRDefault="00C232D7" w:rsidP="00C232D7">
            <w:pPr>
              <w:spacing w:before="40" w:after="40" w:line="360" w:lineRule="auto"/>
              <w:rPr>
                <w:rFonts w:ascii="Arial" w:hAnsi="Arial" w:cs="Arial"/>
                <w:sz w:val="18"/>
                <w:lang w:val="sq-AL"/>
              </w:rPr>
            </w:pPr>
            <w:r w:rsidRPr="003F6F69">
              <w:rPr>
                <w:rFonts w:ascii="Arial" w:hAnsi="Arial" w:cs="Arial"/>
                <w:color w:val="000000"/>
                <w:sz w:val="18"/>
                <w:lang w:val="sq-AL"/>
              </w:rPr>
              <w:t>25.599</w:t>
            </w:r>
          </w:p>
        </w:tc>
        <w:tc>
          <w:tcPr>
            <w:tcW w:w="1751" w:type="pct"/>
            <w:vAlign w:val="center"/>
          </w:tcPr>
          <w:p w14:paraId="58B841DB" w14:textId="77777777" w:rsidR="00C232D7" w:rsidRPr="003F6F69" w:rsidRDefault="00C232D7" w:rsidP="00C232D7">
            <w:pPr>
              <w:spacing w:before="40" w:after="40" w:line="360" w:lineRule="auto"/>
              <w:rPr>
                <w:rFonts w:ascii="Arial" w:hAnsi="Arial" w:cs="Arial"/>
                <w:sz w:val="18"/>
                <w:highlight w:val="yellow"/>
                <w:lang w:val="sq-AL"/>
              </w:rPr>
            </w:pPr>
            <w:r w:rsidRPr="003F6F69">
              <w:rPr>
                <w:rFonts w:ascii="Arial" w:hAnsi="Arial" w:cs="Arial"/>
                <w:color w:val="000000"/>
                <w:sz w:val="18"/>
              </w:rPr>
              <w:t>13.357</w:t>
            </w:r>
          </w:p>
        </w:tc>
      </w:tr>
      <w:tr w:rsidR="00C232D7" w:rsidRPr="002A6F4E" w14:paraId="6C062BF3" w14:textId="77777777" w:rsidTr="00C232D7">
        <w:trPr>
          <w:jc w:val="center"/>
        </w:trPr>
        <w:tc>
          <w:tcPr>
            <w:tcW w:w="1580" w:type="pct"/>
            <w:vAlign w:val="center"/>
          </w:tcPr>
          <w:p w14:paraId="73DF6A27" w14:textId="77777777" w:rsidR="00C232D7" w:rsidRPr="003F6F69" w:rsidRDefault="00C232D7" w:rsidP="00C232D7">
            <w:pPr>
              <w:spacing w:before="40" w:after="40" w:line="360" w:lineRule="auto"/>
              <w:ind w:left="-14"/>
              <w:rPr>
                <w:rFonts w:ascii="Arial" w:hAnsi="Arial" w:cs="Arial"/>
                <w:sz w:val="18"/>
                <w:lang w:val="sq-AL"/>
              </w:rPr>
            </w:pPr>
            <w:r w:rsidRPr="003F6F69">
              <w:rPr>
                <w:rFonts w:ascii="Arial" w:hAnsi="Arial" w:cs="Arial"/>
                <w:color w:val="000000"/>
                <w:sz w:val="18"/>
                <w:lang w:val="sq-AL"/>
              </w:rPr>
              <w:t>BUDVA</w:t>
            </w:r>
          </w:p>
        </w:tc>
        <w:tc>
          <w:tcPr>
            <w:tcW w:w="1669" w:type="pct"/>
            <w:shd w:val="clear" w:color="auto" w:fill="auto"/>
            <w:vAlign w:val="center"/>
          </w:tcPr>
          <w:p w14:paraId="5CF84A2F" w14:textId="77777777" w:rsidR="00C232D7" w:rsidRPr="003F6F69" w:rsidRDefault="00C232D7" w:rsidP="00C232D7">
            <w:pPr>
              <w:spacing w:before="40" w:after="40" w:line="360" w:lineRule="auto"/>
              <w:rPr>
                <w:rFonts w:ascii="Arial" w:hAnsi="Arial" w:cs="Arial"/>
                <w:sz w:val="18"/>
                <w:lang w:val="sq-AL"/>
              </w:rPr>
            </w:pPr>
            <w:r w:rsidRPr="003F6F69">
              <w:rPr>
                <w:rFonts w:ascii="Arial" w:hAnsi="Arial" w:cs="Arial"/>
                <w:color w:val="000000"/>
                <w:sz w:val="18"/>
                <w:lang w:val="sq-AL"/>
              </w:rPr>
              <w:t>41.808</w:t>
            </w:r>
          </w:p>
        </w:tc>
        <w:tc>
          <w:tcPr>
            <w:tcW w:w="1751" w:type="pct"/>
            <w:vAlign w:val="center"/>
          </w:tcPr>
          <w:p w14:paraId="3C42DC32" w14:textId="77777777" w:rsidR="00C232D7" w:rsidRPr="003F6F69" w:rsidRDefault="00C232D7" w:rsidP="00C232D7">
            <w:pPr>
              <w:spacing w:before="40" w:after="40" w:line="360" w:lineRule="auto"/>
              <w:rPr>
                <w:rFonts w:ascii="Arial" w:hAnsi="Arial" w:cs="Arial"/>
                <w:sz w:val="18"/>
                <w:highlight w:val="yellow"/>
                <w:lang w:val="sq-AL"/>
              </w:rPr>
            </w:pPr>
            <w:r w:rsidRPr="003F6F69">
              <w:rPr>
                <w:rFonts w:ascii="Arial" w:hAnsi="Arial" w:cs="Arial"/>
                <w:color w:val="000000"/>
                <w:sz w:val="18"/>
              </w:rPr>
              <w:t>25.883</w:t>
            </w:r>
          </w:p>
        </w:tc>
      </w:tr>
      <w:tr w:rsidR="00C232D7" w:rsidRPr="002A6F4E" w14:paraId="0E0696F6" w14:textId="77777777" w:rsidTr="00C232D7">
        <w:trPr>
          <w:jc w:val="center"/>
        </w:trPr>
        <w:tc>
          <w:tcPr>
            <w:tcW w:w="1580" w:type="pct"/>
            <w:vAlign w:val="center"/>
          </w:tcPr>
          <w:p w14:paraId="43D0F58C" w14:textId="77777777" w:rsidR="00C232D7" w:rsidRPr="003F6F69" w:rsidRDefault="00C232D7" w:rsidP="00C232D7">
            <w:pPr>
              <w:spacing w:before="40" w:after="40" w:line="360" w:lineRule="auto"/>
              <w:ind w:left="-14"/>
              <w:rPr>
                <w:rFonts w:ascii="Arial" w:hAnsi="Arial" w:cs="Arial"/>
                <w:sz w:val="18"/>
                <w:lang w:val="sq-AL"/>
              </w:rPr>
            </w:pPr>
            <w:r w:rsidRPr="003F6F69">
              <w:rPr>
                <w:rFonts w:ascii="Arial" w:hAnsi="Arial" w:cs="Arial"/>
                <w:color w:val="000000"/>
                <w:sz w:val="18"/>
                <w:lang w:val="sq-AL"/>
              </w:rPr>
              <w:t>TIVAT</w:t>
            </w:r>
          </w:p>
        </w:tc>
        <w:tc>
          <w:tcPr>
            <w:tcW w:w="1669" w:type="pct"/>
            <w:shd w:val="clear" w:color="auto" w:fill="auto"/>
            <w:vAlign w:val="center"/>
          </w:tcPr>
          <w:p w14:paraId="4268E7D5" w14:textId="77777777" w:rsidR="00C232D7" w:rsidRPr="003F6F69" w:rsidRDefault="00C232D7" w:rsidP="00C232D7">
            <w:pPr>
              <w:spacing w:before="40" w:after="40" w:line="360" w:lineRule="auto"/>
              <w:rPr>
                <w:rFonts w:ascii="Arial" w:hAnsi="Arial" w:cs="Arial"/>
                <w:sz w:val="18"/>
                <w:lang w:val="sq-AL"/>
              </w:rPr>
            </w:pPr>
            <w:r w:rsidRPr="003F6F69">
              <w:rPr>
                <w:rFonts w:ascii="Arial" w:hAnsi="Arial" w:cs="Arial"/>
                <w:color w:val="000000"/>
                <w:sz w:val="18"/>
                <w:lang w:val="sq-AL"/>
              </w:rPr>
              <w:t>19.766</w:t>
            </w:r>
          </w:p>
        </w:tc>
        <w:tc>
          <w:tcPr>
            <w:tcW w:w="1751" w:type="pct"/>
            <w:vAlign w:val="center"/>
          </w:tcPr>
          <w:p w14:paraId="4D92A667" w14:textId="77777777" w:rsidR="00C232D7" w:rsidRPr="003F6F69" w:rsidRDefault="00C232D7" w:rsidP="00C232D7">
            <w:pPr>
              <w:spacing w:before="40" w:after="40" w:line="360" w:lineRule="auto"/>
              <w:rPr>
                <w:rFonts w:ascii="Arial" w:hAnsi="Arial" w:cs="Arial"/>
                <w:sz w:val="18"/>
                <w:highlight w:val="yellow"/>
                <w:lang w:val="sq-AL"/>
              </w:rPr>
            </w:pPr>
            <w:r w:rsidRPr="003F6F69">
              <w:rPr>
                <w:rFonts w:ascii="Arial" w:hAnsi="Arial" w:cs="Arial"/>
                <w:color w:val="000000"/>
                <w:sz w:val="18"/>
              </w:rPr>
              <w:t>11.260</w:t>
            </w:r>
          </w:p>
        </w:tc>
      </w:tr>
      <w:tr w:rsidR="00C232D7" w:rsidRPr="002A6F4E" w14:paraId="594DFC1A" w14:textId="77777777" w:rsidTr="00C232D7">
        <w:trPr>
          <w:jc w:val="center"/>
        </w:trPr>
        <w:tc>
          <w:tcPr>
            <w:tcW w:w="1580" w:type="pct"/>
            <w:vAlign w:val="center"/>
          </w:tcPr>
          <w:p w14:paraId="2DDA112B" w14:textId="77777777" w:rsidR="00C232D7" w:rsidRPr="003F6F69" w:rsidRDefault="00C232D7" w:rsidP="00C232D7">
            <w:pPr>
              <w:spacing w:before="40" w:after="40" w:line="360" w:lineRule="auto"/>
              <w:ind w:left="-14"/>
              <w:rPr>
                <w:rFonts w:ascii="Arial" w:hAnsi="Arial" w:cs="Arial"/>
                <w:sz w:val="18"/>
                <w:lang w:val="sq-AL"/>
              </w:rPr>
            </w:pPr>
            <w:r w:rsidRPr="003F6F69">
              <w:rPr>
                <w:rFonts w:ascii="Arial" w:hAnsi="Arial" w:cs="Arial"/>
                <w:color w:val="000000"/>
                <w:sz w:val="18"/>
                <w:lang w:val="sq-AL"/>
              </w:rPr>
              <w:t>ULCINJ</w:t>
            </w:r>
          </w:p>
        </w:tc>
        <w:tc>
          <w:tcPr>
            <w:tcW w:w="1669" w:type="pct"/>
            <w:shd w:val="clear" w:color="auto" w:fill="auto"/>
            <w:vAlign w:val="center"/>
          </w:tcPr>
          <w:p w14:paraId="21D16222" w14:textId="77777777" w:rsidR="00C232D7" w:rsidRPr="003F6F69" w:rsidRDefault="00C232D7" w:rsidP="00C232D7">
            <w:pPr>
              <w:spacing w:before="40" w:after="40" w:line="360" w:lineRule="auto"/>
              <w:rPr>
                <w:rFonts w:ascii="Arial" w:hAnsi="Arial" w:cs="Arial"/>
                <w:sz w:val="18"/>
                <w:lang w:val="sq-AL"/>
              </w:rPr>
            </w:pPr>
            <w:r w:rsidRPr="003F6F69">
              <w:rPr>
                <w:rFonts w:ascii="Arial" w:hAnsi="Arial" w:cs="Arial"/>
                <w:color w:val="000000"/>
                <w:sz w:val="18"/>
                <w:lang w:val="sq-AL"/>
              </w:rPr>
              <w:t>26.658</w:t>
            </w:r>
          </w:p>
        </w:tc>
        <w:tc>
          <w:tcPr>
            <w:tcW w:w="1751" w:type="pct"/>
            <w:vAlign w:val="center"/>
          </w:tcPr>
          <w:p w14:paraId="78AE7F13" w14:textId="77777777" w:rsidR="00C232D7" w:rsidRPr="003F6F69" w:rsidRDefault="00C232D7" w:rsidP="00C232D7">
            <w:pPr>
              <w:spacing w:before="40" w:after="40" w:line="360" w:lineRule="auto"/>
              <w:rPr>
                <w:rFonts w:ascii="Arial" w:hAnsi="Arial" w:cs="Arial"/>
                <w:sz w:val="18"/>
                <w:highlight w:val="yellow"/>
                <w:lang w:val="sq-AL"/>
              </w:rPr>
            </w:pPr>
            <w:r w:rsidRPr="003F6F69">
              <w:rPr>
                <w:rFonts w:ascii="Arial" w:hAnsi="Arial" w:cs="Arial"/>
                <w:color w:val="000000"/>
                <w:sz w:val="18"/>
              </w:rPr>
              <w:t>14.546</w:t>
            </w:r>
          </w:p>
        </w:tc>
      </w:tr>
      <w:tr w:rsidR="00C232D7" w:rsidRPr="002A6F4E" w14:paraId="059A4DF3" w14:textId="77777777" w:rsidTr="00C232D7">
        <w:trPr>
          <w:jc w:val="center"/>
        </w:trPr>
        <w:tc>
          <w:tcPr>
            <w:tcW w:w="1580" w:type="pct"/>
            <w:vAlign w:val="center"/>
          </w:tcPr>
          <w:p w14:paraId="1FCD698F" w14:textId="77777777" w:rsidR="00C232D7" w:rsidRPr="003F6F69" w:rsidRDefault="00C232D7" w:rsidP="00C232D7">
            <w:pPr>
              <w:spacing w:before="40" w:after="40" w:line="360" w:lineRule="auto"/>
              <w:ind w:left="-14"/>
              <w:rPr>
                <w:rFonts w:ascii="Arial" w:hAnsi="Arial" w:cs="Arial"/>
                <w:sz w:val="18"/>
                <w:lang w:val="sq-AL"/>
              </w:rPr>
            </w:pPr>
            <w:r w:rsidRPr="003F6F69">
              <w:rPr>
                <w:rFonts w:ascii="Arial" w:hAnsi="Arial" w:cs="Arial"/>
                <w:color w:val="000000"/>
                <w:sz w:val="18"/>
                <w:lang w:val="sq-AL"/>
              </w:rPr>
              <w:t>HERCEG NOVI</w:t>
            </w:r>
          </w:p>
        </w:tc>
        <w:tc>
          <w:tcPr>
            <w:tcW w:w="1669" w:type="pct"/>
            <w:shd w:val="clear" w:color="auto" w:fill="auto"/>
            <w:vAlign w:val="center"/>
          </w:tcPr>
          <w:p w14:paraId="26574CF2" w14:textId="77777777" w:rsidR="00C232D7" w:rsidRPr="003F6F69" w:rsidRDefault="00C232D7" w:rsidP="00C232D7">
            <w:pPr>
              <w:spacing w:before="40" w:after="40" w:line="360" w:lineRule="auto"/>
              <w:rPr>
                <w:rFonts w:ascii="Arial" w:hAnsi="Arial" w:cs="Arial"/>
                <w:sz w:val="18"/>
                <w:lang w:val="sq-AL"/>
              </w:rPr>
            </w:pPr>
            <w:r w:rsidRPr="003F6F69">
              <w:rPr>
                <w:rFonts w:ascii="Arial" w:hAnsi="Arial" w:cs="Arial"/>
                <w:color w:val="000000"/>
                <w:sz w:val="18"/>
                <w:lang w:val="sq-AL"/>
              </w:rPr>
              <w:t>41.712</w:t>
            </w:r>
          </w:p>
        </w:tc>
        <w:tc>
          <w:tcPr>
            <w:tcW w:w="1751" w:type="pct"/>
            <w:vAlign w:val="center"/>
          </w:tcPr>
          <w:p w14:paraId="7E2FAA04" w14:textId="77777777" w:rsidR="00C232D7" w:rsidRPr="003F6F69" w:rsidRDefault="00C232D7" w:rsidP="00C232D7">
            <w:pPr>
              <w:spacing w:before="40" w:after="40" w:line="360" w:lineRule="auto"/>
              <w:rPr>
                <w:rFonts w:ascii="Arial" w:hAnsi="Arial" w:cs="Arial"/>
                <w:sz w:val="18"/>
                <w:highlight w:val="yellow"/>
                <w:lang w:val="sq-AL"/>
              </w:rPr>
            </w:pPr>
            <w:r w:rsidRPr="003F6F69">
              <w:rPr>
                <w:rFonts w:ascii="Arial" w:hAnsi="Arial" w:cs="Arial"/>
                <w:color w:val="000000"/>
                <w:sz w:val="18"/>
              </w:rPr>
              <w:t>23.528</w:t>
            </w:r>
          </w:p>
        </w:tc>
      </w:tr>
      <w:tr w:rsidR="00C232D7" w:rsidRPr="002A6F4E" w14:paraId="1A3FC655" w14:textId="77777777" w:rsidTr="00C232D7">
        <w:trPr>
          <w:jc w:val="center"/>
        </w:trPr>
        <w:tc>
          <w:tcPr>
            <w:tcW w:w="1580" w:type="pct"/>
            <w:shd w:val="clear" w:color="auto" w:fill="E2EFD9" w:themeFill="accent6" w:themeFillTint="33"/>
            <w:vAlign w:val="center"/>
          </w:tcPr>
          <w:p w14:paraId="0BAD0560" w14:textId="77777777" w:rsidR="00C232D7" w:rsidRPr="003F6F69" w:rsidRDefault="00C232D7" w:rsidP="00C232D7">
            <w:pPr>
              <w:spacing w:before="40" w:after="40" w:line="360" w:lineRule="auto"/>
              <w:ind w:left="-14"/>
              <w:rPr>
                <w:rFonts w:ascii="Arial" w:hAnsi="Arial" w:cs="Arial"/>
                <w:b/>
                <w:bCs/>
                <w:sz w:val="18"/>
                <w:lang w:val="sq-AL"/>
              </w:rPr>
            </w:pPr>
            <w:r w:rsidRPr="003F6F69">
              <w:rPr>
                <w:rFonts w:ascii="Arial" w:hAnsi="Arial" w:cs="Arial"/>
                <w:b/>
                <w:bCs/>
                <w:color w:val="000000"/>
                <w:sz w:val="18"/>
                <w:lang w:val="sq-AL"/>
              </w:rPr>
              <w:t>UKUPNO</w:t>
            </w:r>
          </w:p>
        </w:tc>
        <w:tc>
          <w:tcPr>
            <w:tcW w:w="1669" w:type="pct"/>
            <w:shd w:val="clear" w:color="auto" w:fill="E2EFD9" w:themeFill="accent6" w:themeFillTint="33"/>
            <w:vAlign w:val="bottom"/>
          </w:tcPr>
          <w:p w14:paraId="07B3D9CB" w14:textId="77777777" w:rsidR="00C232D7" w:rsidRPr="003F6F69" w:rsidRDefault="00C232D7" w:rsidP="00C232D7">
            <w:pPr>
              <w:spacing w:before="40" w:after="40" w:line="360" w:lineRule="auto"/>
              <w:rPr>
                <w:rFonts w:ascii="Arial" w:hAnsi="Arial" w:cs="Arial"/>
                <w:sz w:val="18"/>
                <w:lang w:val="sq-AL"/>
              </w:rPr>
            </w:pPr>
            <w:r w:rsidRPr="003F6F69">
              <w:rPr>
                <w:rFonts w:ascii="Arial" w:hAnsi="Arial" w:cs="Arial"/>
                <w:b/>
                <w:bCs/>
                <w:color w:val="000000"/>
                <w:sz w:val="18"/>
                <w:lang w:val="sq-AL"/>
              </w:rPr>
              <w:t>207.563</w:t>
            </w:r>
          </w:p>
        </w:tc>
        <w:tc>
          <w:tcPr>
            <w:tcW w:w="1751" w:type="pct"/>
            <w:shd w:val="clear" w:color="auto" w:fill="E2EFD9" w:themeFill="accent6" w:themeFillTint="33"/>
            <w:vAlign w:val="bottom"/>
          </w:tcPr>
          <w:p w14:paraId="19B6F0C7" w14:textId="77777777" w:rsidR="00C232D7" w:rsidRPr="003F6F69" w:rsidRDefault="00C232D7" w:rsidP="00C232D7">
            <w:pPr>
              <w:spacing w:before="40" w:after="40" w:line="360" w:lineRule="auto"/>
              <w:rPr>
                <w:rFonts w:ascii="Arial" w:hAnsi="Arial" w:cs="Arial"/>
                <w:sz w:val="18"/>
                <w:highlight w:val="yellow"/>
                <w:lang w:val="sq-AL"/>
              </w:rPr>
            </w:pPr>
            <w:r w:rsidRPr="003F6F69">
              <w:rPr>
                <w:rFonts w:ascii="Arial" w:hAnsi="Arial" w:cs="Arial"/>
                <w:b/>
                <w:bCs/>
                <w:color w:val="000000"/>
                <w:sz w:val="18"/>
              </w:rPr>
              <w:t>114.916</w:t>
            </w:r>
          </w:p>
        </w:tc>
      </w:tr>
    </w:tbl>
    <w:p w14:paraId="24D11F63" w14:textId="5F085EBB" w:rsidR="00C232D7" w:rsidRPr="002A6F4E" w:rsidRDefault="00C232D7" w:rsidP="00927F69">
      <w:pPr>
        <w:rPr>
          <w:rFonts w:ascii="Arial" w:hAnsi="Arial" w:cs="Arial"/>
          <w:i/>
          <w:lang w:val="sq-AL"/>
        </w:rPr>
      </w:pPr>
      <w:r w:rsidRPr="002A6F4E">
        <w:rPr>
          <w:rFonts w:ascii="Arial" w:hAnsi="Arial" w:cs="Arial"/>
          <w:i/>
          <w:lang w:val="sq-AL"/>
        </w:rPr>
        <w:t xml:space="preserve">    </w:t>
      </w:r>
    </w:p>
    <w:p w14:paraId="05ADED43" w14:textId="71BD4C88"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Infrastruktura za upravljanje otpadom za koju se predlaže da bude operativna u pri</w:t>
      </w:r>
      <w:r w:rsidR="00E40B84">
        <w:rPr>
          <w:rFonts w:ascii="Arial" w:hAnsi="Arial" w:cs="Arial"/>
          <w:lang w:val="sq-AL"/>
        </w:rPr>
        <w:t>morskom regionu</w:t>
      </w:r>
      <w:r w:rsidR="00D8386F">
        <w:rPr>
          <w:rFonts w:ascii="Arial" w:hAnsi="Arial" w:cs="Arial"/>
          <w:lang w:val="sq-AL"/>
        </w:rPr>
        <w:t xml:space="preserve"> </w:t>
      </w:r>
      <w:r w:rsidRPr="002A6F4E">
        <w:rPr>
          <w:rFonts w:ascii="Arial" w:hAnsi="Arial" w:cs="Arial"/>
          <w:lang w:val="sq-AL"/>
        </w:rPr>
        <w:t xml:space="preserve">prikazana je u </w:t>
      </w:r>
      <w:r w:rsidR="00E40B84">
        <w:rPr>
          <w:rFonts w:ascii="Arial" w:hAnsi="Arial" w:cs="Arial"/>
          <w:lang w:val="sq-AL"/>
        </w:rPr>
        <w:t xml:space="preserve">sljedećoj </w:t>
      </w:r>
      <w:r w:rsidRPr="002A6F4E">
        <w:rPr>
          <w:rFonts w:ascii="Arial" w:hAnsi="Arial" w:cs="Arial"/>
          <w:lang w:val="sq-AL"/>
        </w:rPr>
        <w:t>tabeli.</w:t>
      </w:r>
    </w:p>
    <w:p w14:paraId="60678403" w14:textId="5182357B" w:rsidR="00E43C22" w:rsidRPr="00AF012C" w:rsidRDefault="00C232D7" w:rsidP="00F70BEF">
      <w:pPr>
        <w:pStyle w:val="Caption"/>
        <w:rPr>
          <w:rFonts w:ascii="Arial" w:hAnsi="Arial" w:cs="Arial"/>
          <w:b w:val="0"/>
          <w:lang w:val="sq-AL"/>
        </w:rPr>
      </w:pPr>
      <w:bookmarkStart w:id="919" w:name="_Toc110350469"/>
      <w:bookmarkStart w:id="920" w:name="_Toc110350564"/>
      <w:bookmarkStart w:id="921" w:name="_Toc117607246"/>
      <w:bookmarkStart w:id="922" w:name="_Toc110612557"/>
      <w:bookmarkStart w:id="923" w:name="_Toc189515621"/>
      <w:bookmarkStart w:id="924" w:name="_Toc190160739"/>
      <w:r w:rsidRPr="003F6F69">
        <w:rPr>
          <w:rFonts w:ascii="Arial" w:hAnsi="Arial" w:cs="Arial"/>
          <w:b w:val="0"/>
          <w:lang w:val="sq-AL"/>
        </w:rPr>
        <w:t xml:space="preserve">Tabela </w:t>
      </w:r>
      <w:r w:rsidRPr="003F6F69">
        <w:rPr>
          <w:rFonts w:ascii="Arial" w:hAnsi="Arial" w:cs="Arial"/>
          <w:b w:val="0"/>
        </w:rPr>
        <w:fldChar w:fldCharType="begin"/>
      </w:r>
      <w:r w:rsidRPr="003F6F69">
        <w:rPr>
          <w:rFonts w:ascii="Arial" w:hAnsi="Arial" w:cs="Arial"/>
          <w:b w:val="0"/>
          <w:lang w:val="sq-AL"/>
        </w:rPr>
        <w:instrText xml:space="preserve"> SEQ Tabela \* ARABIC </w:instrText>
      </w:r>
      <w:r w:rsidRPr="003F6F69">
        <w:rPr>
          <w:rFonts w:ascii="Arial" w:hAnsi="Arial" w:cs="Arial"/>
          <w:b w:val="0"/>
        </w:rPr>
        <w:fldChar w:fldCharType="separate"/>
      </w:r>
      <w:r w:rsidR="007274DA">
        <w:rPr>
          <w:rFonts w:ascii="Arial" w:hAnsi="Arial" w:cs="Arial"/>
          <w:b w:val="0"/>
          <w:noProof/>
          <w:lang w:val="sq-AL"/>
        </w:rPr>
        <w:t>48</w:t>
      </w:r>
      <w:r w:rsidRPr="003F6F69">
        <w:rPr>
          <w:rFonts w:ascii="Arial" w:hAnsi="Arial" w:cs="Arial"/>
          <w:b w:val="0"/>
        </w:rPr>
        <w:fldChar w:fldCharType="end"/>
      </w:r>
      <w:r w:rsidRPr="003F6F69">
        <w:rPr>
          <w:rFonts w:ascii="Arial" w:hAnsi="Arial" w:cs="Arial"/>
          <w:b w:val="0"/>
          <w:lang w:val="sq-AL"/>
        </w:rPr>
        <w:t xml:space="preserve"> </w:t>
      </w:r>
      <w:bookmarkEnd w:id="919"/>
      <w:bookmarkEnd w:id="920"/>
      <w:bookmarkEnd w:id="921"/>
      <w:bookmarkEnd w:id="922"/>
      <w:r w:rsidRPr="003F6F69">
        <w:rPr>
          <w:rFonts w:ascii="Arial" w:hAnsi="Arial" w:cs="Arial"/>
          <w:b w:val="0"/>
          <w:lang w:val="sq-AL"/>
        </w:rPr>
        <w:t>Predložena infrastruktura upravljanja otpadom koja opslužuje Regionalni centar za upravljanje otpadom Bar</w:t>
      </w:r>
      <w:bookmarkStart w:id="925" w:name="_Hlk110349295"/>
      <w:bookmarkEnd w:id="911"/>
      <w:bookmarkEnd w:id="923"/>
      <w:bookmarkEnd w:id="924"/>
    </w:p>
    <w:p w14:paraId="4E930E5C" w14:textId="77777777" w:rsidR="00FD6E69" w:rsidRPr="00AF012C" w:rsidRDefault="00FD6E69" w:rsidP="00C232D7">
      <w:pPr>
        <w:rPr>
          <w:rFonts w:ascii="Arial" w:hAnsi="Arial" w:cs="Arial"/>
          <w:b/>
          <w:sz w:val="18"/>
          <w:szCs w:val="18"/>
          <w:lang w:val="sq-AL"/>
        </w:rPr>
      </w:pPr>
    </w:p>
    <w:tbl>
      <w:tblPr>
        <w:tblStyle w:val="TableGrid"/>
        <w:tblW w:w="0" w:type="auto"/>
        <w:jc w:val="center"/>
        <w:tblLook w:val="04A0" w:firstRow="1" w:lastRow="0" w:firstColumn="1" w:lastColumn="0" w:noHBand="0" w:noVBand="1"/>
      </w:tblPr>
      <w:tblGrid>
        <w:gridCol w:w="1558"/>
        <w:gridCol w:w="1558"/>
        <w:gridCol w:w="1558"/>
        <w:gridCol w:w="1558"/>
        <w:gridCol w:w="1558"/>
        <w:gridCol w:w="1558"/>
      </w:tblGrid>
      <w:tr w:rsidR="00FD6E69" w:rsidRPr="003F6F69" w14:paraId="50856EF1" w14:textId="77777777" w:rsidTr="00FD6E69">
        <w:trPr>
          <w:jc w:val="center"/>
        </w:trPr>
        <w:tc>
          <w:tcPr>
            <w:tcW w:w="1558" w:type="dxa"/>
            <w:shd w:val="clear" w:color="auto" w:fill="F2F2F2" w:themeFill="background1" w:themeFillShade="F2"/>
          </w:tcPr>
          <w:p w14:paraId="20348950" w14:textId="77777777" w:rsidR="00FD6E69" w:rsidRPr="003F6F69" w:rsidRDefault="00FD6E69" w:rsidP="00FD6E69">
            <w:pPr>
              <w:ind w:left="337"/>
              <w:rPr>
                <w:rFonts w:ascii="Arial" w:hAnsi="Arial" w:cs="Arial"/>
                <w:b/>
                <w:sz w:val="18"/>
                <w:szCs w:val="18"/>
              </w:rPr>
            </w:pPr>
            <w:r w:rsidRPr="003F6F69">
              <w:rPr>
                <w:rFonts w:ascii="Arial" w:hAnsi="Arial" w:cs="Arial"/>
                <w:b/>
                <w:sz w:val="18"/>
                <w:szCs w:val="18"/>
              </w:rPr>
              <w:t>Opština</w:t>
            </w:r>
          </w:p>
        </w:tc>
        <w:tc>
          <w:tcPr>
            <w:tcW w:w="1558" w:type="dxa"/>
            <w:shd w:val="clear" w:color="auto" w:fill="F2F2F2" w:themeFill="background1" w:themeFillShade="F2"/>
          </w:tcPr>
          <w:p w14:paraId="1A8475FE" w14:textId="77777777" w:rsidR="00FD6E69" w:rsidRPr="003F6F69" w:rsidRDefault="00FD6E69" w:rsidP="00FD6E69">
            <w:pPr>
              <w:ind w:left="337"/>
              <w:rPr>
                <w:rFonts w:ascii="Arial" w:hAnsi="Arial" w:cs="Arial"/>
                <w:b/>
                <w:sz w:val="18"/>
                <w:szCs w:val="18"/>
              </w:rPr>
            </w:pPr>
            <w:r w:rsidRPr="003F6F69">
              <w:rPr>
                <w:rFonts w:ascii="Arial" w:hAnsi="Arial" w:cs="Arial"/>
                <w:b/>
                <w:sz w:val="18"/>
                <w:szCs w:val="18"/>
              </w:rPr>
              <w:t>Lokacija</w:t>
            </w:r>
          </w:p>
        </w:tc>
        <w:tc>
          <w:tcPr>
            <w:tcW w:w="1558" w:type="dxa"/>
            <w:shd w:val="clear" w:color="auto" w:fill="F2F2F2" w:themeFill="background1" w:themeFillShade="F2"/>
          </w:tcPr>
          <w:p w14:paraId="66AF4007" w14:textId="77777777" w:rsidR="00FD6E69" w:rsidRPr="003F6F69" w:rsidRDefault="00FD6E69" w:rsidP="00FD6E69">
            <w:pPr>
              <w:ind w:left="337"/>
              <w:rPr>
                <w:rFonts w:ascii="Arial" w:hAnsi="Arial" w:cs="Arial"/>
                <w:b/>
                <w:sz w:val="18"/>
                <w:szCs w:val="18"/>
              </w:rPr>
            </w:pPr>
            <w:r w:rsidRPr="003F6F69">
              <w:rPr>
                <w:rFonts w:ascii="Arial" w:hAnsi="Arial" w:cs="Arial"/>
                <w:b/>
                <w:sz w:val="18"/>
                <w:szCs w:val="18"/>
              </w:rPr>
              <w:t>Vrsta postrojenja</w:t>
            </w:r>
          </w:p>
        </w:tc>
        <w:tc>
          <w:tcPr>
            <w:tcW w:w="1558" w:type="dxa"/>
            <w:shd w:val="clear" w:color="auto" w:fill="F2F2F2" w:themeFill="background1" w:themeFillShade="F2"/>
          </w:tcPr>
          <w:p w14:paraId="6C383391" w14:textId="77777777" w:rsidR="00FD6E69" w:rsidRPr="003F6F69" w:rsidRDefault="00FD6E69" w:rsidP="00FD6E69">
            <w:pPr>
              <w:ind w:left="337"/>
              <w:rPr>
                <w:rFonts w:ascii="Arial" w:hAnsi="Arial" w:cs="Arial"/>
                <w:b/>
                <w:sz w:val="18"/>
                <w:szCs w:val="18"/>
              </w:rPr>
            </w:pPr>
            <w:r w:rsidRPr="003F6F69">
              <w:rPr>
                <w:rFonts w:ascii="Arial" w:hAnsi="Arial" w:cs="Arial"/>
                <w:b/>
                <w:sz w:val="18"/>
                <w:szCs w:val="18"/>
              </w:rPr>
              <w:t>Status</w:t>
            </w:r>
          </w:p>
        </w:tc>
        <w:tc>
          <w:tcPr>
            <w:tcW w:w="1558" w:type="dxa"/>
            <w:shd w:val="clear" w:color="auto" w:fill="F2F2F2" w:themeFill="background1" w:themeFillShade="F2"/>
          </w:tcPr>
          <w:p w14:paraId="431F3883" w14:textId="77777777" w:rsidR="00FD6E69" w:rsidRPr="003F6F69" w:rsidRDefault="00FD6E69" w:rsidP="00FD6E69">
            <w:pPr>
              <w:ind w:left="0"/>
              <w:rPr>
                <w:rFonts w:ascii="Arial" w:hAnsi="Arial" w:cs="Arial"/>
                <w:b/>
                <w:sz w:val="18"/>
                <w:szCs w:val="18"/>
              </w:rPr>
            </w:pPr>
            <w:r w:rsidRPr="003F6F69">
              <w:rPr>
                <w:rFonts w:ascii="Arial" w:hAnsi="Arial" w:cs="Arial"/>
                <w:b/>
                <w:sz w:val="18"/>
                <w:szCs w:val="18"/>
              </w:rPr>
              <w:t>Vrsta ulazne frakcije otpada</w:t>
            </w:r>
          </w:p>
        </w:tc>
        <w:tc>
          <w:tcPr>
            <w:tcW w:w="1558" w:type="dxa"/>
            <w:shd w:val="clear" w:color="auto" w:fill="F2F2F2" w:themeFill="background1" w:themeFillShade="F2"/>
          </w:tcPr>
          <w:p w14:paraId="1FC7D6BA" w14:textId="77777777" w:rsidR="00FD6E69" w:rsidRPr="003F6F69" w:rsidRDefault="00FD6E69" w:rsidP="00FD6E69">
            <w:pPr>
              <w:ind w:left="80"/>
              <w:rPr>
                <w:rFonts w:ascii="Arial" w:hAnsi="Arial" w:cs="Arial"/>
                <w:b/>
                <w:sz w:val="18"/>
                <w:szCs w:val="18"/>
              </w:rPr>
            </w:pPr>
            <w:r w:rsidRPr="003F6F69">
              <w:rPr>
                <w:rFonts w:ascii="Arial" w:hAnsi="Arial" w:cs="Arial"/>
                <w:b/>
                <w:sz w:val="18"/>
                <w:szCs w:val="18"/>
              </w:rPr>
              <w:t>Kapacitet (t/god) – 2029</w:t>
            </w:r>
          </w:p>
        </w:tc>
      </w:tr>
      <w:tr w:rsidR="00FD6E69" w:rsidRPr="003F6F69" w14:paraId="283B064E" w14:textId="77777777" w:rsidTr="00FD6E69">
        <w:trPr>
          <w:trHeight w:val="480"/>
          <w:jc w:val="center"/>
        </w:trPr>
        <w:tc>
          <w:tcPr>
            <w:tcW w:w="1558" w:type="dxa"/>
            <w:vMerge w:val="restart"/>
            <w:vAlign w:val="center"/>
          </w:tcPr>
          <w:p w14:paraId="29FDF76F" w14:textId="77777777" w:rsidR="00FD6E69" w:rsidRPr="003F6F69" w:rsidRDefault="00FD6E69" w:rsidP="00FD6E69">
            <w:pPr>
              <w:pStyle w:val="Caption"/>
              <w:ind w:left="337"/>
              <w:rPr>
                <w:rFonts w:ascii="Arial" w:hAnsi="Arial" w:cs="Arial"/>
                <w:b w:val="0"/>
                <w:color w:val="000000" w:themeColor="text1"/>
              </w:rPr>
            </w:pPr>
            <w:r w:rsidRPr="003F6F69">
              <w:rPr>
                <w:rFonts w:ascii="Arial" w:hAnsi="Arial" w:cs="Arial"/>
                <w:b w:val="0"/>
                <w:color w:val="000000" w:themeColor="text1"/>
              </w:rPr>
              <w:t>BUDVA</w:t>
            </w:r>
          </w:p>
          <w:p w14:paraId="0F0A15AC" w14:textId="77777777" w:rsidR="00FD6E69" w:rsidRPr="003F6F69" w:rsidRDefault="00FD6E69" w:rsidP="00FD6E69">
            <w:pPr>
              <w:pStyle w:val="Caption"/>
              <w:ind w:left="337"/>
              <w:rPr>
                <w:rFonts w:ascii="Arial" w:hAnsi="Arial" w:cs="Arial"/>
                <w:b w:val="0"/>
                <w:color w:val="000000" w:themeColor="text1"/>
              </w:rPr>
            </w:pPr>
            <w:r w:rsidRPr="003F6F69">
              <w:rPr>
                <w:rFonts w:ascii="Arial" w:hAnsi="Arial" w:cs="Arial"/>
                <w:b w:val="0"/>
                <w:color w:val="000000" w:themeColor="text1"/>
              </w:rPr>
              <w:t xml:space="preserve">TIVAT </w:t>
            </w:r>
          </w:p>
        </w:tc>
        <w:tc>
          <w:tcPr>
            <w:tcW w:w="1558" w:type="dxa"/>
            <w:vMerge w:val="restart"/>
            <w:vAlign w:val="center"/>
          </w:tcPr>
          <w:p w14:paraId="10EE31BE" w14:textId="77777777" w:rsidR="00FD6E69" w:rsidRPr="003F6F69" w:rsidRDefault="00FD6E69" w:rsidP="00FD6E69">
            <w:pPr>
              <w:pStyle w:val="Caption"/>
              <w:ind w:left="0"/>
              <w:jc w:val="center"/>
              <w:rPr>
                <w:rFonts w:ascii="Arial" w:hAnsi="Arial" w:cs="Arial"/>
                <w:b w:val="0"/>
                <w:color w:val="000000" w:themeColor="text1"/>
              </w:rPr>
            </w:pPr>
            <w:r w:rsidRPr="003F6F69">
              <w:rPr>
                <w:rFonts w:ascii="Arial" w:hAnsi="Arial" w:cs="Arial"/>
                <w:b w:val="0"/>
                <w:color w:val="000000" w:themeColor="text1"/>
              </w:rPr>
              <w:t>Budva</w:t>
            </w:r>
          </w:p>
        </w:tc>
        <w:tc>
          <w:tcPr>
            <w:tcW w:w="1558" w:type="dxa"/>
            <w:vAlign w:val="center"/>
          </w:tcPr>
          <w:p w14:paraId="1CF6F9BA" w14:textId="77777777" w:rsidR="00FD6E69" w:rsidRPr="003F6F69" w:rsidRDefault="00FD6E69" w:rsidP="00FD6E69">
            <w:pPr>
              <w:pStyle w:val="Caption"/>
              <w:ind w:left="188"/>
              <w:rPr>
                <w:rFonts w:ascii="Arial" w:hAnsi="Arial" w:cs="Arial"/>
                <w:b w:val="0"/>
                <w:color w:val="000000" w:themeColor="text1"/>
              </w:rPr>
            </w:pPr>
            <w:r w:rsidRPr="003F6F69">
              <w:rPr>
                <w:rFonts w:ascii="Arial" w:hAnsi="Arial" w:cs="Arial"/>
                <w:b w:val="0"/>
                <w:color w:val="000000" w:themeColor="text1"/>
              </w:rPr>
              <w:t xml:space="preserve">Transfer stanica </w:t>
            </w:r>
          </w:p>
        </w:tc>
        <w:tc>
          <w:tcPr>
            <w:tcW w:w="1558" w:type="dxa"/>
            <w:vAlign w:val="center"/>
          </w:tcPr>
          <w:p w14:paraId="49D714C9" w14:textId="77777777" w:rsidR="00FD6E69" w:rsidRPr="003F6F69" w:rsidRDefault="00FD6E69" w:rsidP="00FD6E69">
            <w:pPr>
              <w:pStyle w:val="Caption"/>
              <w:ind w:left="188"/>
              <w:rPr>
                <w:rFonts w:ascii="Arial" w:hAnsi="Arial" w:cs="Arial"/>
                <w:b w:val="0"/>
              </w:rPr>
            </w:pPr>
            <w:r w:rsidRPr="003F6F69">
              <w:rPr>
                <w:rFonts w:ascii="Arial" w:hAnsi="Arial" w:cs="Arial"/>
                <w:b w:val="0"/>
                <w:color w:val="000000" w:themeColor="text1"/>
              </w:rPr>
              <w:t>Predloženo-novo</w:t>
            </w:r>
            <w:r w:rsidRPr="003F6F69">
              <w:rPr>
                <w:rFonts w:ascii="Arial" w:hAnsi="Arial" w:cs="Arial"/>
                <w:b w:val="0"/>
              </w:rPr>
              <w:t xml:space="preserve"> </w:t>
            </w:r>
          </w:p>
        </w:tc>
        <w:tc>
          <w:tcPr>
            <w:tcW w:w="1558" w:type="dxa"/>
            <w:vAlign w:val="center"/>
          </w:tcPr>
          <w:p w14:paraId="5B45300B" w14:textId="77777777" w:rsidR="00FD6E69" w:rsidRPr="003F6F69" w:rsidRDefault="00FD6E69" w:rsidP="00FD6E69">
            <w:pPr>
              <w:pStyle w:val="Caption"/>
              <w:ind w:left="188"/>
              <w:rPr>
                <w:rFonts w:ascii="Arial" w:hAnsi="Arial" w:cs="Arial"/>
                <w:b w:val="0"/>
                <w:color w:val="000000" w:themeColor="text1"/>
              </w:rPr>
            </w:pPr>
            <w:r w:rsidRPr="003F6F69">
              <w:rPr>
                <w:rFonts w:ascii="Arial" w:hAnsi="Arial" w:cs="Arial"/>
                <w:b w:val="0"/>
                <w:color w:val="000000" w:themeColor="text1"/>
              </w:rPr>
              <w:t>Ostaci od MRF-a</w:t>
            </w:r>
          </w:p>
        </w:tc>
        <w:tc>
          <w:tcPr>
            <w:tcW w:w="1558" w:type="dxa"/>
            <w:vAlign w:val="center"/>
          </w:tcPr>
          <w:p w14:paraId="08510BB6" w14:textId="77777777" w:rsidR="00FD6E69" w:rsidRPr="003F6F69" w:rsidRDefault="00FD6E69" w:rsidP="00FD6E69">
            <w:pPr>
              <w:pStyle w:val="Caption"/>
              <w:ind w:left="270"/>
              <w:rPr>
                <w:rFonts w:ascii="Arial" w:hAnsi="Arial" w:cs="Arial"/>
                <w:b w:val="0"/>
              </w:rPr>
            </w:pPr>
            <w:r w:rsidRPr="003F6F69">
              <w:rPr>
                <w:rFonts w:ascii="Arial" w:hAnsi="Arial" w:cs="Arial"/>
                <w:b w:val="0"/>
                <w:color w:val="000000" w:themeColor="text1"/>
              </w:rPr>
              <w:t>19.563</w:t>
            </w:r>
          </w:p>
        </w:tc>
      </w:tr>
      <w:tr w:rsidR="00FD6E69" w:rsidRPr="003F6F69" w14:paraId="25B216CE" w14:textId="77777777" w:rsidTr="00FD6E69">
        <w:trPr>
          <w:trHeight w:val="480"/>
          <w:jc w:val="center"/>
        </w:trPr>
        <w:tc>
          <w:tcPr>
            <w:tcW w:w="1558" w:type="dxa"/>
            <w:vMerge/>
            <w:vAlign w:val="center"/>
          </w:tcPr>
          <w:p w14:paraId="7B6DB938" w14:textId="77777777" w:rsidR="00FD6E69" w:rsidRPr="003F6F69" w:rsidRDefault="00FD6E69" w:rsidP="00FD6E69">
            <w:pPr>
              <w:pStyle w:val="Caption"/>
              <w:ind w:left="337"/>
              <w:rPr>
                <w:rFonts w:ascii="Arial" w:hAnsi="Arial" w:cs="Arial"/>
                <w:b w:val="0"/>
                <w:color w:val="000000" w:themeColor="text1"/>
              </w:rPr>
            </w:pPr>
          </w:p>
        </w:tc>
        <w:tc>
          <w:tcPr>
            <w:tcW w:w="1558" w:type="dxa"/>
            <w:vMerge/>
            <w:vAlign w:val="center"/>
          </w:tcPr>
          <w:p w14:paraId="3B67A636" w14:textId="77777777" w:rsidR="00FD6E69" w:rsidRPr="003F6F69" w:rsidRDefault="00FD6E69" w:rsidP="00FD6E69">
            <w:pPr>
              <w:pStyle w:val="Caption"/>
              <w:ind w:left="445"/>
              <w:rPr>
                <w:rFonts w:ascii="Arial" w:hAnsi="Arial" w:cs="Arial"/>
                <w:b w:val="0"/>
                <w:color w:val="000000" w:themeColor="text1"/>
              </w:rPr>
            </w:pPr>
          </w:p>
        </w:tc>
        <w:tc>
          <w:tcPr>
            <w:tcW w:w="1558" w:type="dxa"/>
            <w:vAlign w:val="center"/>
          </w:tcPr>
          <w:p w14:paraId="12602BAE" w14:textId="1ED43971" w:rsidR="00FD6E69" w:rsidRPr="00C87884" w:rsidRDefault="00FD6E69" w:rsidP="00FD6E69">
            <w:pPr>
              <w:pStyle w:val="Caption"/>
              <w:ind w:left="188"/>
              <w:rPr>
                <w:rFonts w:ascii="Arial" w:hAnsi="Arial" w:cs="Arial"/>
                <w:b w:val="0"/>
                <w:color w:val="000000" w:themeColor="text1"/>
              </w:rPr>
            </w:pPr>
            <w:r w:rsidRPr="00C87884">
              <w:rPr>
                <w:rFonts w:ascii="Arial" w:hAnsi="Arial" w:cs="Arial"/>
                <w:b w:val="0"/>
                <w:color w:val="000000" w:themeColor="text1"/>
              </w:rPr>
              <w:t>MRF</w:t>
            </w:r>
          </w:p>
        </w:tc>
        <w:tc>
          <w:tcPr>
            <w:tcW w:w="1558" w:type="dxa"/>
            <w:vAlign w:val="center"/>
          </w:tcPr>
          <w:p w14:paraId="0E785F52" w14:textId="77777777" w:rsidR="00FD6E69" w:rsidRPr="00C87884" w:rsidRDefault="00FD6E69" w:rsidP="00FD6E69">
            <w:pPr>
              <w:ind w:left="107"/>
              <w:rPr>
                <w:rFonts w:ascii="Arial" w:hAnsi="Arial" w:cs="Arial"/>
                <w:sz w:val="18"/>
                <w:szCs w:val="18"/>
              </w:rPr>
            </w:pPr>
            <w:r w:rsidRPr="00C87884">
              <w:rPr>
                <w:rFonts w:ascii="Arial" w:hAnsi="Arial" w:cs="Arial"/>
                <w:color w:val="000000" w:themeColor="text1"/>
                <w:sz w:val="18"/>
                <w:szCs w:val="18"/>
              </w:rPr>
              <w:t>Predloženo-novo</w:t>
            </w:r>
          </w:p>
        </w:tc>
        <w:tc>
          <w:tcPr>
            <w:tcW w:w="1558" w:type="dxa"/>
            <w:vAlign w:val="center"/>
          </w:tcPr>
          <w:p w14:paraId="3AED8D9A" w14:textId="77777777" w:rsidR="00FD6E69" w:rsidRPr="00C87884" w:rsidRDefault="00FD6E69" w:rsidP="00FD6E69">
            <w:pPr>
              <w:pStyle w:val="Caption"/>
              <w:ind w:left="16"/>
              <w:rPr>
                <w:rFonts w:ascii="Arial" w:hAnsi="Arial" w:cs="Arial"/>
                <w:b w:val="0"/>
                <w:color w:val="000000" w:themeColor="text1"/>
              </w:rPr>
            </w:pPr>
            <w:r w:rsidRPr="00C87884">
              <w:rPr>
                <w:rFonts w:ascii="Arial" w:hAnsi="Arial" w:cs="Arial"/>
                <w:b w:val="0"/>
                <w:color w:val="000000" w:themeColor="text1"/>
                <w:lang w:val="sq-AL"/>
              </w:rPr>
              <w:t>Odvojeno sakupljeni reciklažni materijali</w:t>
            </w:r>
          </w:p>
        </w:tc>
        <w:tc>
          <w:tcPr>
            <w:tcW w:w="1558" w:type="dxa"/>
            <w:vAlign w:val="center"/>
          </w:tcPr>
          <w:p w14:paraId="465E2B5B" w14:textId="77777777" w:rsidR="00FD6E69" w:rsidRPr="00C87884" w:rsidRDefault="00FD6E69" w:rsidP="00FD6E69">
            <w:pPr>
              <w:pStyle w:val="Caption"/>
              <w:ind w:left="350"/>
              <w:rPr>
                <w:rFonts w:ascii="Arial" w:hAnsi="Arial" w:cs="Arial"/>
                <w:b w:val="0"/>
              </w:rPr>
            </w:pPr>
            <w:r w:rsidRPr="00C87884">
              <w:rPr>
                <w:rFonts w:ascii="Arial" w:hAnsi="Arial" w:cs="Arial"/>
                <w:b w:val="0"/>
                <w:color w:val="000000"/>
              </w:rPr>
              <w:t>5.018</w:t>
            </w:r>
          </w:p>
        </w:tc>
      </w:tr>
      <w:tr w:rsidR="00FD6E69" w:rsidRPr="003F6F69" w14:paraId="40FE8281" w14:textId="77777777" w:rsidTr="00FD6E69">
        <w:trPr>
          <w:jc w:val="center"/>
        </w:trPr>
        <w:tc>
          <w:tcPr>
            <w:tcW w:w="1558" w:type="dxa"/>
            <w:vAlign w:val="center"/>
          </w:tcPr>
          <w:p w14:paraId="3C21A105" w14:textId="77777777" w:rsidR="00FD6E69" w:rsidRPr="003F6F69" w:rsidRDefault="00FD6E69" w:rsidP="00FD6E69">
            <w:pPr>
              <w:pStyle w:val="Caption"/>
              <w:ind w:left="337"/>
              <w:rPr>
                <w:rFonts w:ascii="Arial" w:hAnsi="Arial" w:cs="Arial"/>
                <w:b w:val="0"/>
                <w:color w:val="000000" w:themeColor="text1"/>
              </w:rPr>
            </w:pPr>
            <w:r w:rsidRPr="003F6F69">
              <w:rPr>
                <w:rFonts w:ascii="Arial" w:hAnsi="Arial" w:cs="Arial"/>
                <w:b w:val="0"/>
                <w:color w:val="000000" w:themeColor="text1"/>
              </w:rPr>
              <w:t>BAR</w:t>
            </w:r>
          </w:p>
        </w:tc>
        <w:tc>
          <w:tcPr>
            <w:tcW w:w="1558" w:type="dxa"/>
            <w:vAlign w:val="center"/>
          </w:tcPr>
          <w:p w14:paraId="712B21E4" w14:textId="77777777" w:rsidR="00FD6E69" w:rsidRPr="003F6F69" w:rsidRDefault="00FD6E69" w:rsidP="00FD6E69">
            <w:pPr>
              <w:pStyle w:val="Caption"/>
              <w:ind w:left="445"/>
              <w:rPr>
                <w:rFonts w:ascii="Arial" w:hAnsi="Arial" w:cs="Arial"/>
                <w:b w:val="0"/>
                <w:color w:val="000000" w:themeColor="text1"/>
              </w:rPr>
            </w:pPr>
            <w:r w:rsidRPr="003F6F69">
              <w:rPr>
                <w:rFonts w:ascii="Arial" w:hAnsi="Arial" w:cs="Arial"/>
                <w:b w:val="0"/>
                <w:color w:val="000000" w:themeColor="text1"/>
              </w:rPr>
              <w:t>Bar</w:t>
            </w:r>
          </w:p>
        </w:tc>
        <w:tc>
          <w:tcPr>
            <w:tcW w:w="1558" w:type="dxa"/>
            <w:vAlign w:val="center"/>
          </w:tcPr>
          <w:p w14:paraId="1EC0294E" w14:textId="77777777" w:rsidR="00FD6E69" w:rsidRPr="003F6F69" w:rsidRDefault="00FD6E69" w:rsidP="00FD6E69">
            <w:pPr>
              <w:pStyle w:val="Caption"/>
              <w:ind w:left="188"/>
              <w:rPr>
                <w:rFonts w:ascii="Arial" w:hAnsi="Arial" w:cs="Arial"/>
                <w:b w:val="0"/>
                <w:color w:val="000000" w:themeColor="text1"/>
              </w:rPr>
            </w:pPr>
            <w:r w:rsidRPr="003F6F69">
              <w:rPr>
                <w:rFonts w:ascii="Arial" w:hAnsi="Arial" w:cs="Arial"/>
                <w:b w:val="0"/>
                <w:color w:val="000000"/>
                <w:lang w:val="sq-AL"/>
              </w:rPr>
              <w:t>MRF</w:t>
            </w:r>
          </w:p>
        </w:tc>
        <w:tc>
          <w:tcPr>
            <w:tcW w:w="1558" w:type="dxa"/>
            <w:vAlign w:val="center"/>
          </w:tcPr>
          <w:p w14:paraId="4CFD6A61" w14:textId="77777777" w:rsidR="00FD6E69" w:rsidRPr="003F6F69" w:rsidRDefault="00FD6E69" w:rsidP="00FD6E69">
            <w:pPr>
              <w:pStyle w:val="Caption"/>
              <w:ind w:left="107"/>
              <w:rPr>
                <w:rFonts w:ascii="Arial" w:hAnsi="Arial" w:cs="Arial"/>
                <w:b w:val="0"/>
              </w:rPr>
            </w:pPr>
            <w:r w:rsidRPr="003F6F69">
              <w:rPr>
                <w:rFonts w:ascii="Arial" w:hAnsi="Arial" w:cs="Arial"/>
                <w:b w:val="0"/>
                <w:color w:val="000000" w:themeColor="text1"/>
              </w:rPr>
              <w:t>Predloženo-novo</w:t>
            </w:r>
          </w:p>
        </w:tc>
        <w:tc>
          <w:tcPr>
            <w:tcW w:w="1558" w:type="dxa"/>
            <w:vAlign w:val="center"/>
          </w:tcPr>
          <w:p w14:paraId="30E6EB4C" w14:textId="77777777" w:rsidR="00FD6E69" w:rsidRPr="003F6F69" w:rsidRDefault="00FD6E69" w:rsidP="00FD6E69">
            <w:pPr>
              <w:pStyle w:val="Caption"/>
              <w:ind w:left="16"/>
              <w:rPr>
                <w:rFonts w:ascii="Arial" w:hAnsi="Arial" w:cs="Arial"/>
                <w:b w:val="0"/>
                <w:color w:val="000000" w:themeColor="text1"/>
              </w:rPr>
            </w:pPr>
            <w:r w:rsidRPr="003F6F69">
              <w:rPr>
                <w:rFonts w:ascii="Arial" w:hAnsi="Arial" w:cs="Arial"/>
                <w:b w:val="0"/>
                <w:color w:val="000000" w:themeColor="text1"/>
                <w:lang w:val="sq-AL"/>
              </w:rPr>
              <w:t>Odvojeno sakupljeni reciklažni materijali</w:t>
            </w:r>
          </w:p>
        </w:tc>
        <w:tc>
          <w:tcPr>
            <w:tcW w:w="1558" w:type="dxa"/>
            <w:vAlign w:val="center"/>
          </w:tcPr>
          <w:p w14:paraId="25DD9735" w14:textId="77777777" w:rsidR="00FD6E69" w:rsidRPr="003F6F69" w:rsidRDefault="00FD6E69" w:rsidP="00FD6E69">
            <w:pPr>
              <w:pStyle w:val="Caption"/>
              <w:ind w:left="350"/>
              <w:rPr>
                <w:rFonts w:ascii="Arial" w:hAnsi="Arial" w:cs="Arial"/>
                <w:b w:val="0"/>
              </w:rPr>
            </w:pPr>
            <w:r w:rsidRPr="003F6F69">
              <w:rPr>
                <w:rFonts w:ascii="Arial" w:hAnsi="Arial" w:cs="Arial"/>
                <w:b w:val="0"/>
                <w:color w:val="000000"/>
              </w:rPr>
              <w:t>7.927</w:t>
            </w:r>
          </w:p>
        </w:tc>
      </w:tr>
      <w:tr w:rsidR="00FD6E69" w:rsidRPr="003F6F69" w14:paraId="4BCDDD6B" w14:textId="77777777" w:rsidTr="00FD6E69">
        <w:trPr>
          <w:jc w:val="center"/>
        </w:trPr>
        <w:tc>
          <w:tcPr>
            <w:tcW w:w="1558" w:type="dxa"/>
            <w:vAlign w:val="center"/>
          </w:tcPr>
          <w:p w14:paraId="7EE155D1" w14:textId="77777777" w:rsidR="00FD6E69" w:rsidRPr="003F6F69" w:rsidRDefault="00FD6E69" w:rsidP="00FD6E69">
            <w:pPr>
              <w:pStyle w:val="Caption"/>
              <w:ind w:left="337"/>
              <w:rPr>
                <w:rFonts w:ascii="Arial" w:hAnsi="Arial" w:cs="Arial"/>
                <w:b w:val="0"/>
                <w:color w:val="000000" w:themeColor="text1"/>
              </w:rPr>
            </w:pPr>
            <w:r w:rsidRPr="003F6F69">
              <w:rPr>
                <w:rFonts w:ascii="Arial" w:hAnsi="Arial" w:cs="Arial"/>
                <w:b w:val="0"/>
                <w:color w:val="000000" w:themeColor="text1"/>
              </w:rPr>
              <w:t xml:space="preserve">ULCINJ </w:t>
            </w:r>
          </w:p>
        </w:tc>
        <w:tc>
          <w:tcPr>
            <w:tcW w:w="1558" w:type="dxa"/>
            <w:vAlign w:val="center"/>
          </w:tcPr>
          <w:p w14:paraId="25A633A8" w14:textId="77777777" w:rsidR="00FD6E69" w:rsidRPr="003F6F69" w:rsidRDefault="00FD6E69" w:rsidP="00FD6E69">
            <w:pPr>
              <w:pStyle w:val="Caption"/>
              <w:ind w:left="445"/>
              <w:rPr>
                <w:rFonts w:ascii="Arial" w:hAnsi="Arial" w:cs="Arial"/>
                <w:b w:val="0"/>
                <w:color w:val="000000" w:themeColor="text1"/>
              </w:rPr>
            </w:pPr>
            <w:r w:rsidRPr="003F6F69">
              <w:rPr>
                <w:rFonts w:ascii="Arial" w:hAnsi="Arial" w:cs="Arial"/>
                <w:b w:val="0"/>
                <w:color w:val="000000" w:themeColor="text1"/>
              </w:rPr>
              <w:t>Ulcinj</w:t>
            </w:r>
          </w:p>
        </w:tc>
        <w:tc>
          <w:tcPr>
            <w:tcW w:w="1558" w:type="dxa"/>
            <w:vAlign w:val="center"/>
          </w:tcPr>
          <w:p w14:paraId="741869E7" w14:textId="77777777" w:rsidR="00FD6E69" w:rsidRPr="003F6F69" w:rsidRDefault="00FD6E69" w:rsidP="00FD6E69">
            <w:pPr>
              <w:pStyle w:val="Caption"/>
              <w:ind w:left="188"/>
              <w:rPr>
                <w:rFonts w:ascii="Arial" w:hAnsi="Arial" w:cs="Arial"/>
                <w:b w:val="0"/>
                <w:color w:val="000000" w:themeColor="text1"/>
              </w:rPr>
            </w:pPr>
            <w:r w:rsidRPr="003F6F69">
              <w:rPr>
                <w:rFonts w:ascii="Arial" w:hAnsi="Arial" w:cs="Arial"/>
                <w:b w:val="0"/>
                <w:color w:val="000000"/>
                <w:lang w:val="sq-AL"/>
              </w:rPr>
              <w:t>Reciklažno dvorište</w:t>
            </w:r>
          </w:p>
        </w:tc>
        <w:tc>
          <w:tcPr>
            <w:tcW w:w="1558" w:type="dxa"/>
            <w:vAlign w:val="center"/>
          </w:tcPr>
          <w:p w14:paraId="67A3B3C2" w14:textId="77777777" w:rsidR="00FD6E69" w:rsidRPr="003F6F69" w:rsidRDefault="00FD6E69" w:rsidP="00FD6E69">
            <w:pPr>
              <w:pStyle w:val="Caption"/>
              <w:ind w:left="107"/>
              <w:rPr>
                <w:rFonts w:ascii="Arial" w:hAnsi="Arial" w:cs="Arial"/>
                <w:b w:val="0"/>
              </w:rPr>
            </w:pPr>
            <w:r w:rsidRPr="003F6F69">
              <w:rPr>
                <w:rFonts w:ascii="Arial" w:hAnsi="Arial" w:cs="Arial"/>
                <w:b w:val="0"/>
                <w:color w:val="000000" w:themeColor="text1"/>
              </w:rPr>
              <w:t>Predloženo-novo</w:t>
            </w:r>
          </w:p>
        </w:tc>
        <w:tc>
          <w:tcPr>
            <w:tcW w:w="1558" w:type="dxa"/>
            <w:vAlign w:val="center"/>
          </w:tcPr>
          <w:p w14:paraId="0E340899" w14:textId="77777777" w:rsidR="00FD6E69" w:rsidRPr="003F6F69" w:rsidRDefault="00FD6E69" w:rsidP="00FD6E69">
            <w:pPr>
              <w:pStyle w:val="Caption"/>
              <w:ind w:left="16"/>
              <w:rPr>
                <w:rFonts w:ascii="Arial" w:hAnsi="Arial" w:cs="Arial"/>
                <w:b w:val="0"/>
                <w:color w:val="000000" w:themeColor="text1"/>
              </w:rPr>
            </w:pPr>
            <w:r w:rsidRPr="003F6F69">
              <w:rPr>
                <w:rFonts w:ascii="Arial" w:hAnsi="Arial" w:cs="Arial"/>
                <w:b w:val="0"/>
                <w:color w:val="000000" w:themeColor="text1"/>
                <w:lang w:val="sq-AL"/>
              </w:rPr>
              <w:t>Odvojeno sakupljeni reciklažni materijali</w:t>
            </w:r>
          </w:p>
        </w:tc>
        <w:tc>
          <w:tcPr>
            <w:tcW w:w="1558" w:type="dxa"/>
            <w:vAlign w:val="center"/>
          </w:tcPr>
          <w:p w14:paraId="7D3A975E" w14:textId="77777777" w:rsidR="00FD6E69" w:rsidRPr="003F6F69" w:rsidRDefault="00FD6E69" w:rsidP="00FD6E69">
            <w:pPr>
              <w:pStyle w:val="Caption"/>
              <w:rPr>
                <w:rFonts w:ascii="Arial" w:hAnsi="Arial" w:cs="Arial"/>
                <w:b w:val="0"/>
              </w:rPr>
            </w:pPr>
          </w:p>
        </w:tc>
      </w:tr>
      <w:tr w:rsidR="00FD6E69" w:rsidRPr="003F6F69" w14:paraId="331AD266" w14:textId="77777777" w:rsidTr="00FD6E69">
        <w:trPr>
          <w:trHeight w:val="1087"/>
          <w:jc w:val="center"/>
        </w:trPr>
        <w:tc>
          <w:tcPr>
            <w:tcW w:w="1558" w:type="dxa"/>
            <w:vAlign w:val="center"/>
          </w:tcPr>
          <w:p w14:paraId="33B43DD8" w14:textId="77777777" w:rsidR="00FD6E69" w:rsidRPr="003F6F69" w:rsidRDefault="00FD6E69" w:rsidP="00FD6E69">
            <w:pPr>
              <w:pStyle w:val="Caption"/>
              <w:ind w:left="337"/>
              <w:rPr>
                <w:rFonts w:ascii="Arial" w:hAnsi="Arial" w:cs="Arial"/>
                <w:b w:val="0"/>
                <w:color w:val="000000" w:themeColor="text1"/>
              </w:rPr>
            </w:pPr>
            <w:r w:rsidRPr="003F6F69">
              <w:rPr>
                <w:rFonts w:ascii="Arial" w:hAnsi="Arial" w:cs="Arial"/>
                <w:b w:val="0"/>
                <w:color w:val="000000" w:themeColor="text1"/>
              </w:rPr>
              <w:t>SVE OPŠTINE</w:t>
            </w:r>
          </w:p>
        </w:tc>
        <w:tc>
          <w:tcPr>
            <w:tcW w:w="1558" w:type="dxa"/>
            <w:vAlign w:val="center"/>
          </w:tcPr>
          <w:p w14:paraId="24B5577F" w14:textId="77777777" w:rsidR="00FD6E69" w:rsidRPr="003F6F69" w:rsidRDefault="00FD6E69" w:rsidP="00FD6E69">
            <w:pPr>
              <w:pStyle w:val="Caption"/>
              <w:ind w:left="445"/>
              <w:rPr>
                <w:rFonts w:ascii="Arial" w:hAnsi="Arial" w:cs="Arial"/>
                <w:b w:val="0"/>
                <w:color w:val="000000" w:themeColor="text1"/>
              </w:rPr>
            </w:pPr>
            <w:r w:rsidRPr="003F6F69">
              <w:rPr>
                <w:rFonts w:ascii="Arial" w:hAnsi="Arial" w:cs="Arial"/>
                <w:b w:val="0"/>
                <w:color w:val="000000" w:themeColor="text1"/>
              </w:rPr>
              <w:t>Bar</w:t>
            </w:r>
          </w:p>
        </w:tc>
        <w:tc>
          <w:tcPr>
            <w:tcW w:w="1558" w:type="dxa"/>
            <w:vAlign w:val="center"/>
          </w:tcPr>
          <w:p w14:paraId="5BEA5650" w14:textId="77777777" w:rsidR="00FD6E69" w:rsidRPr="003F6F69" w:rsidRDefault="00FD6E69" w:rsidP="00FD6E69">
            <w:pPr>
              <w:pStyle w:val="Caption"/>
              <w:ind w:left="188"/>
              <w:rPr>
                <w:rFonts w:ascii="Arial" w:hAnsi="Arial" w:cs="Arial"/>
                <w:b w:val="0"/>
                <w:color w:val="000000" w:themeColor="text1"/>
              </w:rPr>
            </w:pPr>
            <w:r w:rsidRPr="003F6F69">
              <w:rPr>
                <w:rFonts w:ascii="Arial" w:hAnsi="Arial" w:cs="Arial"/>
                <w:b w:val="0"/>
                <w:color w:val="000000" w:themeColor="text1"/>
              </w:rPr>
              <w:t>Deponija</w:t>
            </w:r>
          </w:p>
        </w:tc>
        <w:tc>
          <w:tcPr>
            <w:tcW w:w="1558" w:type="dxa"/>
            <w:vAlign w:val="center"/>
          </w:tcPr>
          <w:p w14:paraId="47FE1739" w14:textId="77777777" w:rsidR="00FD6E69" w:rsidRPr="003F6F69" w:rsidRDefault="00FD6E69" w:rsidP="00FD6E69">
            <w:pPr>
              <w:pStyle w:val="Caption"/>
              <w:ind w:left="107"/>
              <w:rPr>
                <w:rFonts w:ascii="Arial" w:hAnsi="Arial" w:cs="Arial"/>
                <w:b w:val="0"/>
                <w:color w:val="000000" w:themeColor="text1"/>
              </w:rPr>
            </w:pPr>
            <w:r w:rsidRPr="003F6F69">
              <w:rPr>
                <w:rFonts w:ascii="Arial" w:hAnsi="Arial" w:cs="Arial"/>
                <w:b w:val="0"/>
                <w:color w:val="000000"/>
                <w:lang w:val="sq-AL"/>
              </w:rPr>
              <w:t>Operativno</w:t>
            </w:r>
          </w:p>
        </w:tc>
        <w:tc>
          <w:tcPr>
            <w:tcW w:w="1558" w:type="dxa"/>
            <w:vAlign w:val="center"/>
          </w:tcPr>
          <w:p w14:paraId="79CDCF94" w14:textId="77777777" w:rsidR="00FD6E69" w:rsidRPr="003F6F69" w:rsidRDefault="00FD6E69" w:rsidP="00FD6E69">
            <w:pPr>
              <w:pStyle w:val="Caption"/>
              <w:ind w:left="16"/>
              <w:rPr>
                <w:rFonts w:ascii="Arial" w:hAnsi="Arial" w:cs="Arial"/>
                <w:b w:val="0"/>
                <w:color w:val="000000" w:themeColor="text1"/>
              </w:rPr>
            </w:pPr>
            <w:r w:rsidRPr="003F6F69">
              <w:rPr>
                <w:rFonts w:ascii="Arial" w:hAnsi="Arial" w:cs="Arial"/>
                <w:b w:val="0"/>
                <w:color w:val="000000" w:themeColor="text1"/>
                <w:lang w:val="sq-AL"/>
              </w:rPr>
              <w:t>Rezidualni otpad, ostaci od MRF-a</w:t>
            </w:r>
          </w:p>
        </w:tc>
        <w:tc>
          <w:tcPr>
            <w:tcW w:w="1558" w:type="dxa"/>
            <w:vAlign w:val="center"/>
          </w:tcPr>
          <w:p w14:paraId="67A153DA" w14:textId="77777777" w:rsidR="00FD6E69" w:rsidRPr="003F6F69" w:rsidRDefault="00FD6E69" w:rsidP="00FD6E69">
            <w:pPr>
              <w:pStyle w:val="Caption"/>
              <w:ind w:left="360"/>
              <w:rPr>
                <w:rFonts w:ascii="Arial" w:hAnsi="Arial" w:cs="Arial"/>
                <w:b w:val="0"/>
                <w:color w:val="000000" w:themeColor="text1"/>
              </w:rPr>
            </w:pPr>
            <w:r w:rsidRPr="003F6F69">
              <w:rPr>
                <w:rFonts w:ascii="Arial" w:hAnsi="Arial" w:cs="Arial"/>
                <w:b w:val="0"/>
                <w:color w:val="000000"/>
              </w:rPr>
              <w:t>54.589</w:t>
            </w:r>
          </w:p>
        </w:tc>
      </w:tr>
    </w:tbl>
    <w:p w14:paraId="7A9AD043" w14:textId="77777777" w:rsidR="00FD6E69" w:rsidRDefault="00FD6E69" w:rsidP="00C232D7">
      <w:pPr>
        <w:rPr>
          <w:rFonts w:ascii="Arial" w:hAnsi="Arial" w:cs="Arial"/>
          <w:b/>
        </w:rPr>
      </w:pPr>
    </w:p>
    <w:p w14:paraId="58220B2C" w14:textId="77777777" w:rsidR="00C232D7" w:rsidRPr="002A6F4E" w:rsidRDefault="00C232D7" w:rsidP="00C232D7">
      <w:pPr>
        <w:pStyle w:val="ListParagraph"/>
        <w:shd w:val="clear" w:color="auto" w:fill="FFFFFF"/>
        <w:ind w:left="1080"/>
        <w:jc w:val="left"/>
        <w:rPr>
          <w:rFonts w:ascii="Arial" w:eastAsia="Times New Roman" w:hAnsi="Arial" w:cs="Arial"/>
          <w:color w:val="1D2228"/>
          <w:lang w:val="sr-Latn-CS"/>
        </w:rPr>
      </w:pPr>
    </w:p>
    <w:p w14:paraId="473E4693" w14:textId="79012C9C" w:rsidR="00C232D7" w:rsidRPr="002A6F4E" w:rsidRDefault="00C232D7" w:rsidP="00C232D7">
      <w:pPr>
        <w:rPr>
          <w:rFonts w:ascii="Arial" w:hAnsi="Arial" w:cs="Arial"/>
          <w:b/>
          <w:u w:val="single"/>
          <w:lang w:val="sq-AL"/>
        </w:rPr>
      </w:pPr>
      <w:bookmarkStart w:id="926" w:name="_Toc117607254"/>
      <w:bookmarkEnd w:id="894"/>
      <w:bookmarkEnd w:id="925"/>
      <w:r w:rsidRPr="002A6F4E">
        <w:rPr>
          <w:rFonts w:ascii="Arial" w:hAnsi="Arial" w:cs="Arial"/>
          <w:b/>
          <w:u w:val="single"/>
          <w:lang w:val="sq-AL"/>
        </w:rPr>
        <w:t>Regionalni centar za upravljanja otpadom</w:t>
      </w:r>
      <w:r w:rsidR="00FA4BA6">
        <w:rPr>
          <w:rFonts w:ascii="Arial" w:hAnsi="Arial" w:cs="Arial"/>
          <w:b/>
          <w:u w:val="single"/>
          <w:lang w:val="sq-AL"/>
        </w:rPr>
        <w:t xml:space="preserve"> u opštini</w:t>
      </w:r>
      <w:r w:rsidRPr="002A6F4E">
        <w:rPr>
          <w:rFonts w:ascii="Arial" w:hAnsi="Arial" w:cs="Arial"/>
          <w:b/>
          <w:u w:val="single"/>
          <w:lang w:val="sq-AL"/>
        </w:rPr>
        <w:t xml:space="preserve"> Bijelo Polje</w:t>
      </w:r>
    </w:p>
    <w:p w14:paraId="6A8F0812" w14:textId="48B4E4CE" w:rsidR="00FA4BA6" w:rsidRDefault="00C232D7" w:rsidP="000B2E82">
      <w:pPr>
        <w:spacing w:before="120" w:after="120" w:line="360" w:lineRule="auto"/>
        <w:rPr>
          <w:rFonts w:ascii="Arial" w:hAnsi="Arial" w:cs="Arial"/>
          <w:lang w:val="sq-AL"/>
        </w:rPr>
      </w:pPr>
      <w:r w:rsidRPr="002A6F4E">
        <w:rPr>
          <w:rFonts w:ascii="Arial" w:hAnsi="Arial" w:cs="Arial"/>
          <w:lang w:val="sq-AL"/>
        </w:rPr>
        <w:t xml:space="preserve">Sjeverni regionalni sistem upravljanja otpadom je zasnovan na </w:t>
      </w:r>
      <w:r w:rsidR="004A44D5">
        <w:rPr>
          <w:rFonts w:ascii="Arial" w:hAnsi="Arial" w:cs="Arial"/>
          <w:lang w:val="sq-AL"/>
        </w:rPr>
        <w:t>pozicioniranosti opštine Bijelo Polje u odnosu na druge sjeverne opštine</w:t>
      </w:r>
      <w:r w:rsidRPr="002A6F4E">
        <w:rPr>
          <w:rFonts w:ascii="Arial" w:hAnsi="Arial" w:cs="Arial"/>
          <w:lang w:val="sq-AL"/>
        </w:rPr>
        <w:t xml:space="preserve"> i obuhvata opštine koje su</w:t>
      </w:r>
      <w:bookmarkStart w:id="927" w:name="_Toc110350466"/>
      <w:bookmarkStart w:id="928" w:name="_Toc110350561"/>
      <w:bookmarkStart w:id="929" w:name="_Toc110612554"/>
      <w:bookmarkStart w:id="930" w:name="_Toc117607243"/>
      <w:bookmarkStart w:id="931" w:name="_Toc189515622"/>
      <w:bookmarkStart w:id="932" w:name="_Toc190160740"/>
      <w:r w:rsidR="000B2E82">
        <w:rPr>
          <w:rFonts w:ascii="Arial" w:hAnsi="Arial" w:cs="Arial"/>
          <w:lang w:val="sq-AL"/>
        </w:rPr>
        <w:t xml:space="preserve"> navedene u narednoj tabeli.</w:t>
      </w:r>
    </w:p>
    <w:p w14:paraId="0B4A8900" w14:textId="77777777" w:rsidR="00F70BEF" w:rsidRDefault="00F70BEF" w:rsidP="000B2E82">
      <w:pPr>
        <w:spacing w:before="120" w:after="120" w:line="360" w:lineRule="auto"/>
        <w:rPr>
          <w:rFonts w:ascii="Arial" w:hAnsi="Arial" w:cs="Arial"/>
          <w:lang w:val="sq-AL"/>
        </w:rPr>
      </w:pPr>
    </w:p>
    <w:p w14:paraId="23D0B6C3" w14:textId="77777777" w:rsidR="00F70BEF" w:rsidRPr="000B2E82" w:rsidRDefault="00F70BEF" w:rsidP="000B2E82">
      <w:pPr>
        <w:spacing w:before="120" w:after="120" w:line="360" w:lineRule="auto"/>
        <w:rPr>
          <w:rFonts w:ascii="Arial" w:hAnsi="Arial" w:cs="Arial"/>
          <w:lang w:val="sq-AL"/>
        </w:rPr>
      </w:pPr>
    </w:p>
    <w:p w14:paraId="29AAFEEE" w14:textId="6F385797" w:rsidR="00C232D7" w:rsidRPr="00927F69" w:rsidRDefault="00C232D7" w:rsidP="00C232D7">
      <w:pPr>
        <w:pStyle w:val="Caption"/>
        <w:rPr>
          <w:rFonts w:ascii="Arial" w:hAnsi="Arial" w:cs="Arial"/>
          <w:b w:val="0"/>
          <w:szCs w:val="20"/>
          <w:lang w:val="sq-AL"/>
        </w:rPr>
      </w:pPr>
      <w:r w:rsidRPr="00927F69">
        <w:rPr>
          <w:rFonts w:ascii="Arial" w:hAnsi="Arial" w:cs="Arial"/>
          <w:b w:val="0"/>
          <w:szCs w:val="20"/>
          <w:lang w:val="sq-AL"/>
        </w:rPr>
        <w:lastRenderedPageBreak/>
        <w:t xml:space="preserve">Tabela </w:t>
      </w:r>
      <w:r w:rsidRPr="00927F69">
        <w:rPr>
          <w:rFonts w:ascii="Arial" w:hAnsi="Arial" w:cs="Arial"/>
          <w:b w:val="0"/>
          <w:szCs w:val="20"/>
          <w:lang w:val="sq-AL"/>
        </w:rPr>
        <w:fldChar w:fldCharType="begin"/>
      </w:r>
      <w:r w:rsidRPr="00927F69">
        <w:rPr>
          <w:rFonts w:ascii="Arial" w:hAnsi="Arial" w:cs="Arial"/>
          <w:b w:val="0"/>
          <w:szCs w:val="20"/>
          <w:lang w:val="sq-AL"/>
        </w:rPr>
        <w:instrText xml:space="preserve"> SEQ Tabela \* ARABIC </w:instrText>
      </w:r>
      <w:r w:rsidRPr="00927F69">
        <w:rPr>
          <w:rFonts w:ascii="Arial" w:hAnsi="Arial" w:cs="Arial"/>
          <w:b w:val="0"/>
          <w:szCs w:val="20"/>
          <w:lang w:val="sq-AL"/>
        </w:rPr>
        <w:fldChar w:fldCharType="separate"/>
      </w:r>
      <w:r w:rsidR="007274DA">
        <w:rPr>
          <w:rFonts w:ascii="Arial" w:hAnsi="Arial" w:cs="Arial"/>
          <w:b w:val="0"/>
          <w:noProof/>
          <w:szCs w:val="20"/>
          <w:lang w:val="sq-AL"/>
        </w:rPr>
        <w:t>49</w:t>
      </w:r>
      <w:r w:rsidRPr="00927F69">
        <w:rPr>
          <w:rFonts w:ascii="Arial" w:hAnsi="Arial" w:cs="Arial"/>
          <w:b w:val="0"/>
          <w:szCs w:val="20"/>
          <w:lang w:val="sq-AL"/>
        </w:rPr>
        <w:fldChar w:fldCharType="end"/>
      </w:r>
      <w:r w:rsidRPr="00927F69">
        <w:rPr>
          <w:rFonts w:ascii="Arial" w:hAnsi="Arial" w:cs="Arial"/>
          <w:b w:val="0"/>
          <w:szCs w:val="20"/>
          <w:lang w:val="sq-AL"/>
        </w:rPr>
        <w:t xml:space="preserve"> Područja koje opslužuje sjeverni R</w:t>
      </w:r>
      <w:bookmarkEnd w:id="927"/>
      <w:bookmarkEnd w:id="928"/>
      <w:bookmarkEnd w:id="929"/>
      <w:bookmarkEnd w:id="930"/>
      <w:r w:rsidRPr="00927F69">
        <w:rPr>
          <w:rFonts w:ascii="Arial" w:hAnsi="Arial" w:cs="Arial"/>
          <w:b w:val="0"/>
          <w:szCs w:val="20"/>
          <w:lang w:val="sq-AL"/>
        </w:rPr>
        <w:t>CUO</w:t>
      </w:r>
      <w:bookmarkEnd w:id="931"/>
      <w:bookmarkEnd w:id="932"/>
    </w:p>
    <w:tbl>
      <w:tblPr>
        <w:tblW w:w="347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172"/>
        <w:gridCol w:w="2109"/>
        <w:gridCol w:w="2213"/>
      </w:tblGrid>
      <w:tr w:rsidR="00C232D7" w:rsidRPr="002A6F4E" w14:paraId="6AEB1F1F" w14:textId="77777777" w:rsidTr="00C232D7">
        <w:trPr>
          <w:tblHeader/>
          <w:jc w:val="center"/>
        </w:trPr>
        <w:tc>
          <w:tcPr>
            <w:tcW w:w="1672" w:type="pct"/>
            <w:shd w:val="clear" w:color="auto" w:fill="F2F2F2" w:themeFill="background1" w:themeFillShade="F2"/>
            <w:vAlign w:val="center"/>
          </w:tcPr>
          <w:p w14:paraId="2002AFB4" w14:textId="77777777" w:rsidR="00C232D7" w:rsidRPr="003F6F69" w:rsidRDefault="00C232D7" w:rsidP="00C232D7">
            <w:pPr>
              <w:rPr>
                <w:rFonts w:ascii="Arial" w:hAnsi="Arial" w:cs="Arial"/>
                <w:sz w:val="18"/>
                <w:szCs w:val="18"/>
              </w:rPr>
            </w:pPr>
            <w:r w:rsidRPr="003F6F69">
              <w:rPr>
                <w:rFonts w:ascii="Arial" w:hAnsi="Arial" w:cs="Arial"/>
                <w:sz w:val="18"/>
                <w:szCs w:val="18"/>
              </w:rPr>
              <w:t>Opština</w:t>
            </w:r>
          </w:p>
        </w:tc>
        <w:tc>
          <w:tcPr>
            <w:tcW w:w="1624" w:type="pct"/>
            <w:shd w:val="clear" w:color="auto" w:fill="F2F2F2" w:themeFill="background1" w:themeFillShade="F2"/>
            <w:vAlign w:val="center"/>
          </w:tcPr>
          <w:p w14:paraId="221B4B8F" w14:textId="1F502287" w:rsidR="00C232D7" w:rsidRPr="003F6F69" w:rsidRDefault="00C232D7" w:rsidP="00FE289C">
            <w:pPr>
              <w:rPr>
                <w:rFonts w:ascii="Arial" w:hAnsi="Arial" w:cs="Arial"/>
                <w:sz w:val="18"/>
                <w:szCs w:val="18"/>
              </w:rPr>
            </w:pPr>
            <w:r w:rsidRPr="003F6F69">
              <w:rPr>
                <w:rFonts w:ascii="Arial" w:hAnsi="Arial" w:cs="Arial"/>
                <w:sz w:val="18"/>
                <w:szCs w:val="18"/>
              </w:rPr>
              <w:t xml:space="preserve">Stanovništvo - </w:t>
            </w:r>
            <w:r w:rsidRPr="003F6F69">
              <w:rPr>
                <w:rFonts w:ascii="Arial" w:hAnsi="Arial" w:cs="Arial"/>
                <w:sz w:val="18"/>
                <w:szCs w:val="18"/>
              </w:rPr>
              <w:br/>
            </w:r>
            <w:r w:rsidR="00FE289C" w:rsidRPr="003F6F69">
              <w:rPr>
                <w:rFonts w:ascii="Arial" w:hAnsi="Arial" w:cs="Arial"/>
                <w:sz w:val="18"/>
                <w:szCs w:val="18"/>
              </w:rPr>
              <w:t>2029</w:t>
            </w:r>
          </w:p>
        </w:tc>
        <w:tc>
          <w:tcPr>
            <w:tcW w:w="1704" w:type="pct"/>
            <w:shd w:val="clear" w:color="auto" w:fill="F2F2F2" w:themeFill="background1" w:themeFillShade="F2"/>
            <w:vAlign w:val="center"/>
          </w:tcPr>
          <w:p w14:paraId="0C2E6526" w14:textId="70DD5583" w:rsidR="00C232D7" w:rsidRPr="003F6F69" w:rsidRDefault="00C232D7" w:rsidP="00FE289C">
            <w:pPr>
              <w:rPr>
                <w:rFonts w:ascii="Arial" w:hAnsi="Arial" w:cs="Arial"/>
                <w:sz w:val="18"/>
                <w:szCs w:val="18"/>
              </w:rPr>
            </w:pPr>
            <w:r w:rsidRPr="003F6F69">
              <w:rPr>
                <w:rFonts w:ascii="Arial" w:hAnsi="Arial" w:cs="Arial"/>
                <w:sz w:val="18"/>
                <w:szCs w:val="18"/>
              </w:rPr>
              <w:t xml:space="preserve">Generisanje otpada </w:t>
            </w:r>
            <w:r w:rsidRPr="003F6F69">
              <w:rPr>
                <w:rFonts w:ascii="Arial" w:hAnsi="Arial" w:cs="Arial"/>
                <w:sz w:val="18"/>
                <w:szCs w:val="18"/>
              </w:rPr>
              <w:br/>
              <w:t xml:space="preserve">(t/god) </w:t>
            </w:r>
            <w:r w:rsidR="003F6F69" w:rsidRPr="003F6F69">
              <w:rPr>
                <w:rFonts w:ascii="Arial" w:hAnsi="Arial" w:cs="Arial"/>
                <w:sz w:val="18"/>
                <w:szCs w:val="18"/>
              </w:rPr>
              <w:t>–</w:t>
            </w:r>
            <w:r w:rsidRPr="003F6F69">
              <w:rPr>
                <w:rFonts w:ascii="Arial" w:hAnsi="Arial" w:cs="Arial"/>
                <w:sz w:val="18"/>
                <w:szCs w:val="18"/>
              </w:rPr>
              <w:t xml:space="preserve"> </w:t>
            </w:r>
            <w:r w:rsidR="00FE289C" w:rsidRPr="003F6F69">
              <w:rPr>
                <w:rFonts w:ascii="Arial" w:hAnsi="Arial" w:cs="Arial"/>
                <w:sz w:val="18"/>
                <w:szCs w:val="18"/>
              </w:rPr>
              <w:t>2029</w:t>
            </w:r>
          </w:p>
        </w:tc>
      </w:tr>
      <w:tr w:rsidR="00C232D7" w:rsidRPr="002A6F4E" w14:paraId="3B5BBD05" w14:textId="77777777" w:rsidTr="00C232D7">
        <w:trPr>
          <w:jc w:val="center"/>
        </w:trPr>
        <w:tc>
          <w:tcPr>
            <w:tcW w:w="1672" w:type="pct"/>
            <w:vAlign w:val="center"/>
          </w:tcPr>
          <w:p w14:paraId="5915CA91" w14:textId="77777777" w:rsidR="00C232D7" w:rsidRPr="003F6F69" w:rsidRDefault="00C232D7" w:rsidP="00C232D7">
            <w:pPr>
              <w:rPr>
                <w:rFonts w:ascii="Arial" w:hAnsi="Arial" w:cs="Arial"/>
                <w:sz w:val="18"/>
                <w:szCs w:val="18"/>
              </w:rPr>
            </w:pPr>
            <w:r w:rsidRPr="003F6F69">
              <w:rPr>
                <w:rFonts w:ascii="Arial" w:hAnsi="Arial" w:cs="Arial"/>
                <w:sz w:val="18"/>
                <w:szCs w:val="18"/>
              </w:rPr>
              <w:t>ANDRIJEVICA</w:t>
            </w:r>
          </w:p>
        </w:tc>
        <w:tc>
          <w:tcPr>
            <w:tcW w:w="1624" w:type="pct"/>
            <w:shd w:val="clear" w:color="auto" w:fill="auto"/>
            <w:vAlign w:val="center"/>
          </w:tcPr>
          <w:p w14:paraId="34090281" w14:textId="77777777" w:rsidR="00C232D7" w:rsidRPr="003F6F69" w:rsidRDefault="00C232D7" w:rsidP="00C232D7">
            <w:pPr>
              <w:rPr>
                <w:rFonts w:ascii="Arial" w:hAnsi="Arial" w:cs="Arial"/>
                <w:sz w:val="18"/>
                <w:szCs w:val="18"/>
              </w:rPr>
            </w:pPr>
            <w:r w:rsidRPr="003F6F69">
              <w:rPr>
                <w:rFonts w:ascii="Arial" w:hAnsi="Arial" w:cs="Arial"/>
                <w:sz w:val="18"/>
                <w:szCs w:val="18"/>
              </w:rPr>
              <w:t>4.442</w:t>
            </w:r>
          </w:p>
        </w:tc>
        <w:tc>
          <w:tcPr>
            <w:tcW w:w="1704" w:type="pct"/>
            <w:vAlign w:val="center"/>
          </w:tcPr>
          <w:p w14:paraId="58B1E2EF"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1,918</w:t>
            </w:r>
          </w:p>
        </w:tc>
      </w:tr>
      <w:tr w:rsidR="00C232D7" w:rsidRPr="002A6F4E" w14:paraId="388A73DA" w14:textId="77777777" w:rsidTr="00C232D7">
        <w:trPr>
          <w:jc w:val="center"/>
        </w:trPr>
        <w:tc>
          <w:tcPr>
            <w:tcW w:w="1672" w:type="pct"/>
            <w:vAlign w:val="center"/>
          </w:tcPr>
          <w:p w14:paraId="496F4C9F" w14:textId="77777777" w:rsidR="00C232D7" w:rsidRPr="003F6F69" w:rsidRDefault="00C232D7" w:rsidP="00C232D7">
            <w:pPr>
              <w:rPr>
                <w:rFonts w:ascii="Arial" w:hAnsi="Arial" w:cs="Arial"/>
                <w:sz w:val="18"/>
                <w:szCs w:val="18"/>
              </w:rPr>
            </w:pPr>
            <w:r w:rsidRPr="003F6F69">
              <w:rPr>
                <w:rFonts w:ascii="Arial" w:hAnsi="Arial" w:cs="Arial"/>
                <w:sz w:val="18"/>
                <w:szCs w:val="18"/>
              </w:rPr>
              <w:t>BERANE</w:t>
            </w:r>
          </w:p>
        </w:tc>
        <w:tc>
          <w:tcPr>
            <w:tcW w:w="1624" w:type="pct"/>
            <w:shd w:val="clear" w:color="auto" w:fill="auto"/>
            <w:vAlign w:val="center"/>
          </w:tcPr>
          <w:p w14:paraId="4DDB4781" w14:textId="77777777" w:rsidR="00C232D7" w:rsidRPr="003F6F69" w:rsidRDefault="00C232D7" w:rsidP="00C232D7">
            <w:pPr>
              <w:rPr>
                <w:rFonts w:ascii="Arial" w:hAnsi="Arial" w:cs="Arial"/>
                <w:sz w:val="18"/>
                <w:szCs w:val="18"/>
              </w:rPr>
            </w:pPr>
            <w:r w:rsidRPr="003F6F69">
              <w:rPr>
                <w:rFonts w:ascii="Arial" w:hAnsi="Arial" w:cs="Arial"/>
                <w:sz w:val="18"/>
                <w:szCs w:val="18"/>
              </w:rPr>
              <w:t>26.242</w:t>
            </w:r>
          </w:p>
        </w:tc>
        <w:tc>
          <w:tcPr>
            <w:tcW w:w="1704" w:type="pct"/>
            <w:vAlign w:val="center"/>
          </w:tcPr>
          <w:p w14:paraId="7052EE3C"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11,957</w:t>
            </w:r>
          </w:p>
        </w:tc>
      </w:tr>
      <w:tr w:rsidR="00C232D7" w:rsidRPr="002A6F4E" w14:paraId="7413A429" w14:textId="77777777" w:rsidTr="00C232D7">
        <w:trPr>
          <w:jc w:val="center"/>
        </w:trPr>
        <w:tc>
          <w:tcPr>
            <w:tcW w:w="1672" w:type="pct"/>
            <w:vAlign w:val="center"/>
          </w:tcPr>
          <w:p w14:paraId="328B3602" w14:textId="77777777" w:rsidR="00C232D7" w:rsidRPr="003F6F69" w:rsidRDefault="00C232D7" w:rsidP="00C232D7">
            <w:pPr>
              <w:rPr>
                <w:rFonts w:ascii="Arial" w:hAnsi="Arial" w:cs="Arial"/>
                <w:sz w:val="18"/>
                <w:szCs w:val="18"/>
              </w:rPr>
            </w:pPr>
            <w:r w:rsidRPr="003F6F69">
              <w:rPr>
                <w:rFonts w:ascii="Arial" w:hAnsi="Arial" w:cs="Arial"/>
                <w:sz w:val="18"/>
                <w:szCs w:val="18"/>
              </w:rPr>
              <w:t>BIJELO POLJE</w:t>
            </w:r>
          </w:p>
        </w:tc>
        <w:tc>
          <w:tcPr>
            <w:tcW w:w="1624" w:type="pct"/>
            <w:shd w:val="clear" w:color="auto" w:fill="auto"/>
            <w:vAlign w:val="center"/>
          </w:tcPr>
          <w:p w14:paraId="21A3ACF7" w14:textId="77777777" w:rsidR="00C232D7" w:rsidRPr="003F6F69" w:rsidRDefault="00C232D7" w:rsidP="00C232D7">
            <w:pPr>
              <w:rPr>
                <w:rFonts w:ascii="Arial" w:hAnsi="Arial" w:cs="Arial"/>
                <w:sz w:val="18"/>
                <w:szCs w:val="18"/>
              </w:rPr>
            </w:pPr>
            <w:r w:rsidRPr="003F6F69">
              <w:rPr>
                <w:rFonts w:ascii="Arial" w:hAnsi="Arial" w:cs="Arial"/>
                <w:sz w:val="18"/>
                <w:szCs w:val="18"/>
              </w:rPr>
              <w:t>41.380</w:t>
            </w:r>
          </w:p>
        </w:tc>
        <w:tc>
          <w:tcPr>
            <w:tcW w:w="1704" w:type="pct"/>
            <w:vAlign w:val="center"/>
          </w:tcPr>
          <w:p w14:paraId="1F2F4916"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18,923</w:t>
            </w:r>
          </w:p>
        </w:tc>
      </w:tr>
      <w:tr w:rsidR="00C232D7" w:rsidRPr="002A6F4E" w14:paraId="2B9A03A5" w14:textId="77777777" w:rsidTr="00C232D7">
        <w:trPr>
          <w:jc w:val="center"/>
        </w:trPr>
        <w:tc>
          <w:tcPr>
            <w:tcW w:w="1672" w:type="pct"/>
            <w:vAlign w:val="center"/>
          </w:tcPr>
          <w:p w14:paraId="308DAA90" w14:textId="77777777" w:rsidR="00C232D7" w:rsidRPr="003F6F69" w:rsidRDefault="00C232D7" w:rsidP="00C232D7">
            <w:pPr>
              <w:rPr>
                <w:rFonts w:ascii="Arial" w:hAnsi="Arial" w:cs="Arial"/>
                <w:sz w:val="18"/>
                <w:szCs w:val="18"/>
              </w:rPr>
            </w:pPr>
            <w:r w:rsidRPr="003F6F69">
              <w:rPr>
                <w:rFonts w:ascii="Arial" w:hAnsi="Arial" w:cs="Arial"/>
                <w:sz w:val="18"/>
                <w:szCs w:val="18"/>
              </w:rPr>
              <w:t>GUSINJE</w:t>
            </w:r>
          </w:p>
        </w:tc>
        <w:tc>
          <w:tcPr>
            <w:tcW w:w="1624" w:type="pct"/>
            <w:shd w:val="clear" w:color="auto" w:fill="auto"/>
            <w:vAlign w:val="center"/>
          </w:tcPr>
          <w:p w14:paraId="45D51EEB" w14:textId="77777777" w:rsidR="00C232D7" w:rsidRPr="003F6F69" w:rsidRDefault="00C232D7" w:rsidP="00C232D7">
            <w:pPr>
              <w:rPr>
                <w:rFonts w:ascii="Arial" w:hAnsi="Arial" w:cs="Arial"/>
                <w:sz w:val="18"/>
                <w:szCs w:val="18"/>
              </w:rPr>
            </w:pPr>
            <w:r w:rsidRPr="003F6F69">
              <w:rPr>
                <w:rFonts w:ascii="Arial" w:hAnsi="Arial" w:cs="Arial"/>
                <w:sz w:val="18"/>
                <w:szCs w:val="18"/>
              </w:rPr>
              <w:t>4.032</w:t>
            </w:r>
          </w:p>
        </w:tc>
        <w:tc>
          <w:tcPr>
            <w:tcW w:w="1704" w:type="pct"/>
            <w:vAlign w:val="center"/>
          </w:tcPr>
          <w:p w14:paraId="1C0FF796"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1,905</w:t>
            </w:r>
          </w:p>
        </w:tc>
      </w:tr>
      <w:tr w:rsidR="00C232D7" w:rsidRPr="002A6F4E" w14:paraId="3862C888" w14:textId="77777777" w:rsidTr="00C232D7">
        <w:trPr>
          <w:jc w:val="center"/>
        </w:trPr>
        <w:tc>
          <w:tcPr>
            <w:tcW w:w="1672" w:type="pct"/>
            <w:vAlign w:val="center"/>
          </w:tcPr>
          <w:p w14:paraId="4E8A95BA" w14:textId="77777777" w:rsidR="00C232D7" w:rsidRPr="003F6F69" w:rsidRDefault="00C232D7" w:rsidP="00C232D7">
            <w:pPr>
              <w:rPr>
                <w:rFonts w:ascii="Arial" w:hAnsi="Arial" w:cs="Arial"/>
                <w:sz w:val="18"/>
                <w:szCs w:val="18"/>
              </w:rPr>
            </w:pPr>
            <w:r w:rsidRPr="003F6F69">
              <w:rPr>
                <w:rFonts w:ascii="Arial" w:hAnsi="Arial" w:cs="Arial"/>
                <w:sz w:val="18"/>
                <w:szCs w:val="18"/>
              </w:rPr>
              <w:t>KOLAŠIN</w:t>
            </w:r>
          </w:p>
        </w:tc>
        <w:tc>
          <w:tcPr>
            <w:tcW w:w="1624" w:type="pct"/>
            <w:shd w:val="clear" w:color="auto" w:fill="auto"/>
            <w:vAlign w:val="center"/>
          </w:tcPr>
          <w:p w14:paraId="359ED0AB" w14:textId="77777777" w:rsidR="00C232D7" w:rsidRPr="003F6F69" w:rsidRDefault="00C232D7" w:rsidP="00C232D7">
            <w:pPr>
              <w:rPr>
                <w:rFonts w:ascii="Arial" w:hAnsi="Arial" w:cs="Arial"/>
                <w:sz w:val="18"/>
                <w:szCs w:val="18"/>
              </w:rPr>
            </w:pPr>
            <w:r w:rsidRPr="003F6F69">
              <w:rPr>
                <w:rFonts w:ascii="Arial" w:hAnsi="Arial" w:cs="Arial"/>
                <w:sz w:val="18"/>
                <w:szCs w:val="18"/>
              </w:rPr>
              <w:t>7.005</w:t>
            </w:r>
          </w:p>
        </w:tc>
        <w:tc>
          <w:tcPr>
            <w:tcW w:w="1704" w:type="pct"/>
            <w:vAlign w:val="center"/>
          </w:tcPr>
          <w:p w14:paraId="28B810A1"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3,190</w:t>
            </w:r>
          </w:p>
        </w:tc>
      </w:tr>
      <w:tr w:rsidR="00C232D7" w:rsidRPr="002A6F4E" w14:paraId="1DCF186C" w14:textId="77777777" w:rsidTr="00C232D7">
        <w:trPr>
          <w:jc w:val="center"/>
        </w:trPr>
        <w:tc>
          <w:tcPr>
            <w:tcW w:w="1672" w:type="pct"/>
            <w:vAlign w:val="center"/>
          </w:tcPr>
          <w:p w14:paraId="40B3CD4B" w14:textId="77777777" w:rsidR="00C232D7" w:rsidRPr="003F6F69" w:rsidRDefault="00C232D7" w:rsidP="00C232D7">
            <w:pPr>
              <w:rPr>
                <w:rFonts w:ascii="Arial" w:hAnsi="Arial" w:cs="Arial"/>
                <w:sz w:val="18"/>
                <w:szCs w:val="18"/>
              </w:rPr>
            </w:pPr>
            <w:r w:rsidRPr="003F6F69">
              <w:rPr>
                <w:rFonts w:ascii="Arial" w:hAnsi="Arial" w:cs="Arial"/>
                <w:sz w:val="18"/>
                <w:szCs w:val="18"/>
              </w:rPr>
              <w:t>MOJKOVAC</w:t>
            </w:r>
          </w:p>
        </w:tc>
        <w:tc>
          <w:tcPr>
            <w:tcW w:w="1624" w:type="pct"/>
            <w:shd w:val="clear" w:color="auto" w:fill="auto"/>
            <w:vAlign w:val="center"/>
          </w:tcPr>
          <w:p w14:paraId="4CD77F73" w14:textId="77777777" w:rsidR="00C232D7" w:rsidRPr="003F6F69" w:rsidRDefault="00C232D7" w:rsidP="00C232D7">
            <w:pPr>
              <w:rPr>
                <w:rFonts w:ascii="Arial" w:hAnsi="Arial" w:cs="Arial"/>
                <w:sz w:val="18"/>
                <w:szCs w:val="18"/>
              </w:rPr>
            </w:pPr>
            <w:r w:rsidRPr="003F6F69">
              <w:rPr>
                <w:rFonts w:ascii="Arial" w:hAnsi="Arial" w:cs="Arial"/>
                <w:sz w:val="18"/>
                <w:szCs w:val="18"/>
              </w:rPr>
              <w:t>7.296</w:t>
            </w:r>
          </w:p>
        </w:tc>
        <w:tc>
          <w:tcPr>
            <w:tcW w:w="1704" w:type="pct"/>
            <w:vAlign w:val="center"/>
          </w:tcPr>
          <w:p w14:paraId="02414A61"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3,456</w:t>
            </w:r>
          </w:p>
        </w:tc>
      </w:tr>
      <w:tr w:rsidR="00C232D7" w:rsidRPr="002A6F4E" w14:paraId="37D2549D" w14:textId="77777777" w:rsidTr="00C232D7">
        <w:trPr>
          <w:jc w:val="center"/>
        </w:trPr>
        <w:tc>
          <w:tcPr>
            <w:tcW w:w="1672" w:type="pct"/>
            <w:vAlign w:val="center"/>
          </w:tcPr>
          <w:p w14:paraId="2CE8AF05" w14:textId="77777777" w:rsidR="00C232D7" w:rsidRPr="003F6F69" w:rsidRDefault="00C232D7" w:rsidP="00C232D7">
            <w:pPr>
              <w:rPr>
                <w:rFonts w:ascii="Arial" w:hAnsi="Arial" w:cs="Arial"/>
                <w:sz w:val="18"/>
                <w:szCs w:val="18"/>
              </w:rPr>
            </w:pPr>
            <w:r w:rsidRPr="003F6F69">
              <w:rPr>
                <w:rFonts w:ascii="Arial" w:hAnsi="Arial" w:cs="Arial"/>
                <w:sz w:val="18"/>
                <w:szCs w:val="18"/>
              </w:rPr>
              <w:t>PETNJICA</w:t>
            </w:r>
          </w:p>
        </w:tc>
        <w:tc>
          <w:tcPr>
            <w:tcW w:w="1624" w:type="pct"/>
            <w:shd w:val="clear" w:color="auto" w:fill="auto"/>
            <w:vAlign w:val="center"/>
          </w:tcPr>
          <w:p w14:paraId="758F1DBE" w14:textId="77777777" w:rsidR="00C232D7" w:rsidRPr="003F6F69" w:rsidRDefault="00C232D7" w:rsidP="00C232D7">
            <w:pPr>
              <w:rPr>
                <w:rFonts w:ascii="Arial" w:hAnsi="Arial" w:cs="Arial"/>
                <w:sz w:val="18"/>
                <w:szCs w:val="18"/>
              </w:rPr>
            </w:pPr>
            <w:r w:rsidRPr="003F6F69">
              <w:rPr>
                <w:rFonts w:ascii="Arial" w:hAnsi="Arial" w:cs="Arial"/>
                <w:sz w:val="18"/>
                <w:szCs w:val="18"/>
              </w:rPr>
              <w:t>5.321</w:t>
            </w:r>
          </w:p>
        </w:tc>
        <w:tc>
          <w:tcPr>
            <w:tcW w:w="1704" w:type="pct"/>
            <w:vAlign w:val="center"/>
          </w:tcPr>
          <w:p w14:paraId="0E74F471"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2,424</w:t>
            </w:r>
          </w:p>
        </w:tc>
      </w:tr>
      <w:tr w:rsidR="00C232D7" w:rsidRPr="002A6F4E" w14:paraId="67DE5D48" w14:textId="77777777" w:rsidTr="00C232D7">
        <w:trPr>
          <w:jc w:val="center"/>
        </w:trPr>
        <w:tc>
          <w:tcPr>
            <w:tcW w:w="1672" w:type="pct"/>
            <w:vAlign w:val="center"/>
          </w:tcPr>
          <w:p w14:paraId="1B04E267" w14:textId="77777777" w:rsidR="00C232D7" w:rsidRPr="003F6F69" w:rsidRDefault="00C232D7" w:rsidP="00C232D7">
            <w:pPr>
              <w:rPr>
                <w:rFonts w:ascii="Arial" w:hAnsi="Arial" w:cs="Arial"/>
                <w:sz w:val="18"/>
                <w:szCs w:val="18"/>
              </w:rPr>
            </w:pPr>
            <w:r w:rsidRPr="003F6F69">
              <w:rPr>
                <w:rFonts w:ascii="Arial" w:hAnsi="Arial" w:cs="Arial"/>
                <w:sz w:val="18"/>
                <w:szCs w:val="18"/>
              </w:rPr>
              <w:t>PLAV</w:t>
            </w:r>
          </w:p>
        </w:tc>
        <w:tc>
          <w:tcPr>
            <w:tcW w:w="1624" w:type="pct"/>
            <w:shd w:val="clear" w:color="auto" w:fill="auto"/>
            <w:vAlign w:val="center"/>
          </w:tcPr>
          <w:p w14:paraId="256E5B51" w14:textId="77777777" w:rsidR="00C232D7" w:rsidRPr="003F6F69" w:rsidRDefault="00C232D7" w:rsidP="00C232D7">
            <w:pPr>
              <w:rPr>
                <w:rFonts w:ascii="Arial" w:hAnsi="Arial" w:cs="Arial"/>
                <w:sz w:val="18"/>
                <w:szCs w:val="18"/>
              </w:rPr>
            </w:pPr>
            <w:r w:rsidRPr="003F6F69">
              <w:rPr>
                <w:rFonts w:ascii="Arial" w:hAnsi="Arial" w:cs="Arial"/>
                <w:sz w:val="18"/>
                <w:szCs w:val="18"/>
              </w:rPr>
              <w:t>8.262</w:t>
            </w:r>
          </w:p>
        </w:tc>
        <w:tc>
          <w:tcPr>
            <w:tcW w:w="1704" w:type="pct"/>
            <w:vAlign w:val="center"/>
          </w:tcPr>
          <w:p w14:paraId="15B1FA5C"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3,904</w:t>
            </w:r>
          </w:p>
        </w:tc>
      </w:tr>
      <w:tr w:rsidR="00C232D7" w:rsidRPr="002A6F4E" w14:paraId="36F2C952" w14:textId="77777777" w:rsidTr="00C232D7">
        <w:trPr>
          <w:jc w:val="center"/>
        </w:trPr>
        <w:tc>
          <w:tcPr>
            <w:tcW w:w="1672" w:type="pct"/>
            <w:vAlign w:val="center"/>
          </w:tcPr>
          <w:p w14:paraId="58AD8665" w14:textId="77777777" w:rsidR="00C232D7" w:rsidRPr="003F6F69" w:rsidRDefault="00C232D7" w:rsidP="00C232D7">
            <w:pPr>
              <w:rPr>
                <w:rFonts w:ascii="Arial" w:hAnsi="Arial" w:cs="Arial"/>
                <w:sz w:val="18"/>
                <w:szCs w:val="18"/>
              </w:rPr>
            </w:pPr>
            <w:r w:rsidRPr="003F6F69">
              <w:rPr>
                <w:rFonts w:ascii="Arial" w:hAnsi="Arial" w:cs="Arial"/>
                <w:sz w:val="18"/>
                <w:szCs w:val="18"/>
              </w:rPr>
              <w:t>PLJEVLJA</w:t>
            </w:r>
          </w:p>
        </w:tc>
        <w:tc>
          <w:tcPr>
            <w:tcW w:w="1624" w:type="pct"/>
            <w:shd w:val="clear" w:color="auto" w:fill="auto"/>
            <w:vAlign w:val="center"/>
          </w:tcPr>
          <w:p w14:paraId="1409B878" w14:textId="77777777" w:rsidR="00C232D7" w:rsidRPr="003F6F69" w:rsidRDefault="00C232D7" w:rsidP="00C232D7">
            <w:pPr>
              <w:rPr>
                <w:rFonts w:ascii="Arial" w:hAnsi="Arial" w:cs="Arial"/>
                <w:sz w:val="18"/>
                <w:szCs w:val="18"/>
              </w:rPr>
            </w:pPr>
            <w:r w:rsidRPr="003F6F69">
              <w:rPr>
                <w:rFonts w:ascii="Arial" w:hAnsi="Arial" w:cs="Arial"/>
                <w:sz w:val="18"/>
                <w:szCs w:val="18"/>
              </w:rPr>
              <w:t>26.146</w:t>
            </w:r>
          </w:p>
        </w:tc>
        <w:tc>
          <w:tcPr>
            <w:tcW w:w="1704" w:type="pct"/>
            <w:vAlign w:val="center"/>
          </w:tcPr>
          <w:p w14:paraId="53F69D06"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13,511</w:t>
            </w:r>
          </w:p>
        </w:tc>
      </w:tr>
      <w:tr w:rsidR="00C232D7" w:rsidRPr="002A6F4E" w14:paraId="610ECC41" w14:textId="77777777" w:rsidTr="00C232D7">
        <w:trPr>
          <w:jc w:val="center"/>
        </w:trPr>
        <w:tc>
          <w:tcPr>
            <w:tcW w:w="1672" w:type="pct"/>
            <w:tcBorders>
              <w:bottom w:val="single" w:sz="2" w:space="0" w:color="auto"/>
            </w:tcBorders>
            <w:vAlign w:val="center"/>
          </w:tcPr>
          <w:p w14:paraId="1B2215F9" w14:textId="77777777" w:rsidR="00C232D7" w:rsidRPr="003F6F69" w:rsidRDefault="00C232D7" w:rsidP="00C232D7">
            <w:pPr>
              <w:rPr>
                <w:rFonts w:ascii="Arial" w:hAnsi="Arial" w:cs="Arial"/>
                <w:sz w:val="18"/>
                <w:szCs w:val="18"/>
              </w:rPr>
            </w:pPr>
            <w:r w:rsidRPr="003F6F69">
              <w:rPr>
                <w:rFonts w:ascii="Arial" w:hAnsi="Arial" w:cs="Arial"/>
                <w:sz w:val="18"/>
                <w:szCs w:val="18"/>
              </w:rPr>
              <w:t>ROŽAJE</w:t>
            </w:r>
          </w:p>
        </w:tc>
        <w:tc>
          <w:tcPr>
            <w:tcW w:w="1624" w:type="pct"/>
            <w:tcBorders>
              <w:bottom w:val="single" w:sz="2" w:space="0" w:color="auto"/>
            </w:tcBorders>
            <w:shd w:val="clear" w:color="auto" w:fill="auto"/>
            <w:vAlign w:val="center"/>
          </w:tcPr>
          <w:p w14:paraId="05B1BA5E" w14:textId="77777777" w:rsidR="00C232D7" w:rsidRPr="003F6F69" w:rsidRDefault="00C232D7" w:rsidP="00C232D7">
            <w:pPr>
              <w:rPr>
                <w:rFonts w:ascii="Arial" w:hAnsi="Arial" w:cs="Arial"/>
                <w:sz w:val="18"/>
                <w:szCs w:val="18"/>
              </w:rPr>
            </w:pPr>
            <w:r w:rsidRPr="003F6F69">
              <w:rPr>
                <w:rFonts w:ascii="Arial" w:hAnsi="Arial" w:cs="Arial"/>
                <w:sz w:val="18"/>
                <w:szCs w:val="18"/>
              </w:rPr>
              <w:t>23.130</w:t>
            </w:r>
          </w:p>
        </w:tc>
        <w:tc>
          <w:tcPr>
            <w:tcW w:w="1704" w:type="pct"/>
            <w:tcBorders>
              <w:bottom w:val="single" w:sz="2" w:space="0" w:color="auto"/>
            </w:tcBorders>
            <w:vAlign w:val="center"/>
          </w:tcPr>
          <w:p w14:paraId="0E475183"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10,926</w:t>
            </w:r>
          </w:p>
        </w:tc>
      </w:tr>
      <w:tr w:rsidR="00C232D7" w:rsidRPr="002A6F4E" w14:paraId="3587FFC3" w14:textId="77777777" w:rsidTr="00C232D7">
        <w:trPr>
          <w:jc w:val="center"/>
        </w:trPr>
        <w:tc>
          <w:tcPr>
            <w:tcW w:w="1672" w:type="pct"/>
            <w:shd w:val="clear" w:color="auto" w:fill="E2EFD9" w:themeFill="accent6" w:themeFillTint="33"/>
            <w:vAlign w:val="center"/>
          </w:tcPr>
          <w:p w14:paraId="0FBEC643" w14:textId="77777777" w:rsidR="00C232D7" w:rsidRPr="003F6F69" w:rsidRDefault="00C232D7" w:rsidP="00C232D7">
            <w:pPr>
              <w:rPr>
                <w:rFonts w:ascii="Arial" w:hAnsi="Arial" w:cs="Arial"/>
                <w:sz w:val="18"/>
                <w:szCs w:val="18"/>
              </w:rPr>
            </w:pPr>
            <w:r w:rsidRPr="003F6F69">
              <w:rPr>
                <w:rFonts w:ascii="Arial" w:hAnsi="Arial" w:cs="Arial"/>
                <w:sz w:val="18"/>
                <w:szCs w:val="18"/>
              </w:rPr>
              <w:t>UKUPNO</w:t>
            </w:r>
          </w:p>
        </w:tc>
        <w:tc>
          <w:tcPr>
            <w:tcW w:w="1624" w:type="pct"/>
            <w:shd w:val="clear" w:color="auto" w:fill="E2EFD9" w:themeFill="accent6" w:themeFillTint="33"/>
            <w:vAlign w:val="bottom"/>
          </w:tcPr>
          <w:p w14:paraId="24C8BA5B" w14:textId="77777777" w:rsidR="00C232D7" w:rsidRPr="003F6F69" w:rsidRDefault="00C232D7" w:rsidP="00C232D7">
            <w:pPr>
              <w:rPr>
                <w:rFonts w:ascii="Arial" w:hAnsi="Arial" w:cs="Arial"/>
                <w:sz w:val="18"/>
                <w:szCs w:val="18"/>
              </w:rPr>
            </w:pPr>
            <w:r w:rsidRPr="003F6F69">
              <w:rPr>
                <w:rFonts w:ascii="Arial" w:hAnsi="Arial" w:cs="Arial"/>
                <w:sz w:val="18"/>
                <w:szCs w:val="18"/>
              </w:rPr>
              <w:t>153.256</w:t>
            </w:r>
          </w:p>
        </w:tc>
        <w:tc>
          <w:tcPr>
            <w:tcW w:w="1704" w:type="pct"/>
            <w:shd w:val="clear" w:color="auto" w:fill="E2EFD9" w:themeFill="accent6" w:themeFillTint="33"/>
            <w:vAlign w:val="bottom"/>
          </w:tcPr>
          <w:p w14:paraId="43A1E982"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72,115</w:t>
            </w:r>
          </w:p>
        </w:tc>
      </w:tr>
    </w:tbl>
    <w:p w14:paraId="65CCE0E9" w14:textId="77777777" w:rsidR="00C232D7" w:rsidRPr="002A6F4E" w:rsidRDefault="00C232D7" w:rsidP="00C232D7">
      <w:pPr>
        <w:rPr>
          <w:rFonts w:ascii="Arial" w:hAnsi="Arial" w:cs="Arial"/>
        </w:rPr>
      </w:pPr>
    </w:p>
    <w:p w14:paraId="7FDD3557" w14:textId="6A126706" w:rsidR="00C232D7" w:rsidRDefault="00C232D7" w:rsidP="00C232D7">
      <w:pPr>
        <w:rPr>
          <w:rFonts w:ascii="Arial" w:hAnsi="Arial" w:cs="Arial"/>
        </w:rPr>
      </w:pPr>
      <w:r w:rsidRPr="002A6F4E">
        <w:rPr>
          <w:rFonts w:ascii="Arial" w:hAnsi="Arial" w:cs="Arial"/>
        </w:rPr>
        <w:t xml:space="preserve">Infrastruktura za upravljanje otpadom za koju se predlaže da bude operativna u sjevernom </w:t>
      </w:r>
      <w:r w:rsidR="00FA4BA6">
        <w:rPr>
          <w:rFonts w:ascii="Arial" w:hAnsi="Arial" w:cs="Arial"/>
        </w:rPr>
        <w:t>regionu</w:t>
      </w:r>
      <w:r w:rsidR="00FA4BA6" w:rsidRPr="002A6F4E">
        <w:rPr>
          <w:rFonts w:ascii="Arial" w:hAnsi="Arial" w:cs="Arial"/>
        </w:rPr>
        <w:t xml:space="preserve"> </w:t>
      </w:r>
      <w:r w:rsidRPr="002A6F4E">
        <w:rPr>
          <w:rFonts w:ascii="Arial" w:hAnsi="Arial" w:cs="Arial"/>
        </w:rPr>
        <w:t xml:space="preserve">prikazana je u </w:t>
      </w:r>
      <w:r w:rsidR="00FA4BA6">
        <w:rPr>
          <w:rFonts w:ascii="Arial" w:hAnsi="Arial" w:cs="Arial"/>
        </w:rPr>
        <w:t xml:space="preserve">sljedećoj </w:t>
      </w:r>
      <w:r w:rsidRPr="002A6F4E">
        <w:rPr>
          <w:rFonts w:ascii="Arial" w:hAnsi="Arial" w:cs="Arial"/>
        </w:rPr>
        <w:t>tabeli.</w:t>
      </w:r>
    </w:p>
    <w:p w14:paraId="3E592BF8" w14:textId="77777777" w:rsidR="00120736" w:rsidRPr="002A6F4E" w:rsidRDefault="00120736" w:rsidP="00C232D7">
      <w:pPr>
        <w:rPr>
          <w:rFonts w:ascii="Arial" w:hAnsi="Arial" w:cs="Arial"/>
        </w:rPr>
      </w:pPr>
    </w:p>
    <w:p w14:paraId="64543D9E" w14:textId="77777777" w:rsidR="00C232D7" w:rsidRPr="002A6F4E" w:rsidRDefault="00C232D7" w:rsidP="00C232D7">
      <w:pPr>
        <w:rPr>
          <w:rFonts w:ascii="Arial" w:hAnsi="Arial" w:cs="Arial"/>
        </w:rPr>
      </w:pPr>
    </w:p>
    <w:p w14:paraId="0ECCCFB6" w14:textId="6639CE56" w:rsidR="00C232D7" w:rsidRPr="00927F69" w:rsidRDefault="00C232D7" w:rsidP="00C232D7">
      <w:pPr>
        <w:pStyle w:val="Caption"/>
        <w:rPr>
          <w:rFonts w:ascii="Arial" w:hAnsi="Arial" w:cs="Arial"/>
          <w:b w:val="0"/>
          <w:szCs w:val="20"/>
          <w:lang w:val="sq-AL"/>
        </w:rPr>
      </w:pPr>
      <w:bookmarkStart w:id="933" w:name="_Toc110350467"/>
      <w:bookmarkStart w:id="934" w:name="_Toc110350562"/>
      <w:bookmarkStart w:id="935" w:name="_Toc110612555"/>
      <w:bookmarkStart w:id="936" w:name="_Toc117607244"/>
      <w:bookmarkStart w:id="937" w:name="_Toc189515623"/>
      <w:bookmarkStart w:id="938" w:name="_Toc190160741"/>
      <w:r w:rsidRPr="00927F69">
        <w:rPr>
          <w:rFonts w:ascii="Arial" w:hAnsi="Arial" w:cs="Arial"/>
          <w:b w:val="0"/>
          <w:szCs w:val="20"/>
          <w:lang w:val="sq-AL"/>
        </w:rPr>
        <w:t xml:space="preserve">Tabela </w:t>
      </w:r>
      <w:r w:rsidRPr="00927F69">
        <w:rPr>
          <w:rFonts w:ascii="Arial" w:hAnsi="Arial" w:cs="Arial"/>
          <w:b w:val="0"/>
          <w:szCs w:val="20"/>
          <w:lang w:val="sq-AL"/>
        </w:rPr>
        <w:fldChar w:fldCharType="begin"/>
      </w:r>
      <w:r w:rsidRPr="00927F69">
        <w:rPr>
          <w:rFonts w:ascii="Arial" w:hAnsi="Arial" w:cs="Arial"/>
          <w:b w:val="0"/>
          <w:szCs w:val="20"/>
          <w:lang w:val="sq-AL"/>
        </w:rPr>
        <w:instrText xml:space="preserve"> SEQ Tabela \* ARABIC </w:instrText>
      </w:r>
      <w:r w:rsidRPr="00927F69">
        <w:rPr>
          <w:rFonts w:ascii="Arial" w:hAnsi="Arial" w:cs="Arial"/>
          <w:b w:val="0"/>
          <w:szCs w:val="20"/>
          <w:lang w:val="sq-AL"/>
        </w:rPr>
        <w:fldChar w:fldCharType="separate"/>
      </w:r>
      <w:r w:rsidR="007274DA">
        <w:rPr>
          <w:rFonts w:ascii="Arial" w:hAnsi="Arial" w:cs="Arial"/>
          <w:b w:val="0"/>
          <w:noProof/>
          <w:szCs w:val="20"/>
          <w:lang w:val="sq-AL"/>
        </w:rPr>
        <w:t>50</w:t>
      </w:r>
      <w:r w:rsidRPr="00927F69">
        <w:rPr>
          <w:rFonts w:ascii="Arial" w:hAnsi="Arial" w:cs="Arial"/>
          <w:b w:val="0"/>
          <w:szCs w:val="20"/>
          <w:lang w:val="sq-AL"/>
        </w:rPr>
        <w:fldChar w:fldCharType="end"/>
      </w:r>
      <w:r w:rsidRPr="00927F69">
        <w:rPr>
          <w:rFonts w:ascii="Arial" w:hAnsi="Arial" w:cs="Arial"/>
          <w:b w:val="0"/>
          <w:szCs w:val="20"/>
          <w:lang w:val="sq-AL"/>
        </w:rPr>
        <w:t xml:space="preserve"> </w:t>
      </w:r>
      <w:bookmarkEnd w:id="933"/>
      <w:bookmarkEnd w:id="934"/>
      <w:bookmarkEnd w:id="935"/>
      <w:bookmarkEnd w:id="936"/>
      <w:r w:rsidRPr="00927F69">
        <w:rPr>
          <w:rFonts w:ascii="Arial" w:hAnsi="Arial" w:cs="Arial"/>
          <w:b w:val="0"/>
          <w:szCs w:val="20"/>
          <w:lang w:val="sq-AL"/>
        </w:rPr>
        <w:t>Predložena infrastruktura upra</w:t>
      </w:r>
      <w:r w:rsidR="000B2E82">
        <w:rPr>
          <w:rFonts w:ascii="Arial" w:hAnsi="Arial" w:cs="Arial"/>
          <w:b w:val="0"/>
          <w:szCs w:val="20"/>
          <w:lang w:val="sq-AL"/>
        </w:rPr>
        <w:t>vljanja otpadom za s</w:t>
      </w:r>
      <w:r w:rsidRPr="00927F69">
        <w:rPr>
          <w:rFonts w:ascii="Arial" w:hAnsi="Arial" w:cs="Arial"/>
          <w:b w:val="0"/>
          <w:szCs w:val="20"/>
          <w:lang w:val="sq-AL"/>
        </w:rPr>
        <w:t xml:space="preserve">jeverni </w:t>
      </w:r>
      <w:r w:rsidR="000B2E82">
        <w:rPr>
          <w:rFonts w:ascii="Arial" w:hAnsi="Arial" w:cs="Arial"/>
          <w:b w:val="0"/>
          <w:szCs w:val="20"/>
          <w:lang w:val="sq-AL"/>
        </w:rPr>
        <w:t>region</w:t>
      </w:r>
      <w:bookmarkEnd w:id="937"/>
      <w:bookmarkEnd w:id="938"/>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968"/>
        <w:gridCol w:w="1378"/>
        <w:gridCol w:w="1386"/>
        <w:gridCol w:w="1117"/>
        <w:gridCol w:w="2179"/>
        <w:gridCol w:w="1324"/>
      </w:tblGrid>
      <w:tr w:rsidR="00C232D7" w:rsidRPr="003F6F69" w14:paraId="44552930" w14:textId="77777777" w:rsidTr="004127E5">
        <w:trPr>
          <w:tblHeader/>
          <w:jc w:val="center"/>
        </w:trPr>
        <w:tc>
          <w:tcPr>
            <w:tcW w:w="1052" w:type="pct"/>
            <w:shd w:val="clear" w:color="auto" w:fill="F2F2F2" w:themeFill="background1" w:themeFillShade="F2"/>
            <w:vAlign w:val="center"/>
          </w:tcPr>
          <w:p w14:paraId="62492F83" w14:textId="77777777" w:rsidR="00C232D7" w:rsidRPr="003F6F69" w:rsidRDefault="00C232D7" w:rsidP="00C232D7">
            <w:pPr>
              <w:rPr>
                <w:rFonts w:ascii="Arial" w:hAnsi="Arial" w:cs="Arial"/>
                <w:sz w:val="18"/>
                <w:szCs w:val="18"/>
              </w:rPr>
            </w:pPr>
            <w:bookmarkStart w:id="939" w:name="_Hlk117089644"/>
            <w:r w:rsidRPr="003F6F69">
              <w:rPr>
                <w:rFonts w:ascii="Arial" w:hAnsi="Arial" w:cs="Arial"/>
                <w:sz w:val="18"/>
                <w:szCs w:val="18"/>
              </w:rPr>
              <w:t>Opština</w:t>
            </w:r>
          </w:p>
        </w:tc>
        <w:tc>
          <w:tcPr>
            <w:tcW w:w="737" w:type="pct"/>
            <w:shd w:val="clear" w:color="auto" w:fill="F2F2F2" w:themeFill="background1" w:themeFillShade="F2"/>
          </w:tcPr>
          <w:p w14:paraId="2CB0AFD9" w14:textId="77777777" w:rsidR="00C232D7" w:rsidRPr="003F6F69" w:rsidRDefault="00C232D7" w:rsidP="00C232D7">
            <w:pPr>
              <w:rPr>
                <w:rFonts w:ascii="Arial" w:hAnsi="Arial" w:cs="Arial"/>
                <w:sz w:val="18"/>
                <w:szCs w:val="18"/>
              </w:rPr>
            </w:pPr>
            <w:r w:rsidRPr="003F6F69">
              <w:rPr>
                <w:rFonts w:ascii="Arial" w:hAnsi="Arial" w:cs="Arial"/>
                <w:sz w:val="18"/>
                <w:szCs w:val="18"/>
              </w:rPr>
              <w:t>Lokacija</w:t>
            </w:r>
          </w:p>
        </w:tc>
        <w:tc>
          <w:tcPr>
            <w:tcW w:w="741" w:type="pct"/>
            <w:shd w:val="clear" w:color="auto" w:fill="F2F2F2" w:themeFill="background1" w:themeFillShade="F2"/>
            <w:vAlign w:val="center"/>
          </w:tcPr>
          <w:p w14:paraId="1156E9F5" w14:textId="77777777" w:rsidR="00C232D7" w:rsidRPr="003F6F69" w:rsidRDefault="00C232D7" w:rsidP="00C232D7">
            <w:pPr>
              <w:rPr>
                <w:rFonts w:ascii="Arial" w:hAnsi="Arial" w:cs="Arial"/>
                <w:sz w:val="18"/>
                <w:szCs w:val="18"/>
              </w:rPr>
            </w:pPr>
            <w:r w:rsidRPr="003F6F69">
              <w:rPr>
                <w:rFonts w:ascii="Arial" w:hAnsi="Arial" w:cs="Arial"/>
                <w:sz w:val="18"/>
                <w:szCs w:val="18"/>
              </w:rPr>
              <w:t>Vrsta postrojenja</w:t>
            </w:r>
          </w:p>
        </w:tc>
        <w:tc>
          <w:tcPr>
            <w:tcW w:w="597" w:type="pct"/>
            <w:shd w:val="clear" w:color="auto" w:fill="F2F2F2" w:themeFill="background1" w:themeFillShade="F2"/>
            <w:vAlign w:val="center"/>
          </w:tcPr>
          <w:p w14:paraId="4E5A127A" w14:textId="77777777" w:rsidR="00C232D7" w:rsidRPr="003F6F69" w:rsidRDefault="00C232D7" w:rsidP="00C232D7">
            <w:pPr>
              <w:rPr>
                <w:rFonts w:ascii="Arial" w:hAnsi="Arial" w:cs="Arial"/>
                <w:sz w:val="18"/>
                <w:szCs w:val="18"/>
              </w:rPr>
            </w:pPr>
            <w:r w:rsidRPr="003F6F69">
              <w:rPr>
                <w:rFonts w:ascii="Arial" w:hAnsi="Arial" w:cs="Arial"/>
                <w:sz w:val="18"/>
                <w:szCs w:val="18"/>
              </w:rPr>
              <w:t>Status</w:t>
            </w:r>
          </w:p>
        </w:tc>
        <w:tc>
          <w:tcPr>
            <w:tcW w:w="1165" w:type="pct"/>
            <w:shd w:val="clear" w:color="auto" w:fill="F2F2F2" w:themeFill="background1" w:themeFillShade="F2"/>
            <w:vAlign w:val="center"/>
          </w:tcPr>
          <w:p w14:paraId="7083AE2E" w14:textId="77777777" w:rsidR="00C232D7" w:rsidRPr="003F6F69" w:rsidRDefault="00C232D7" w:rsidP="00C232D7">
            <w:pPr>
              <w:rPr>
                <w:rFonts w:ascii="Arial" w:hAnsi="Arial" w:cs="Arial"/>
                <w:sz w:val="18"/>
                <w:szCs w:val="18"/>
              </w:rPr>
            </w:pPr>
            <w:r w:rsidRPr="003F6F69">
              <w:rPr>
                <w:rFonts w:ascii="Arial" w:hAnsi="Arial" w:cs="Arial"/>
                <w:sz w:val="18"/>
                <w:szCs w:val="18"/>
              </w:rPr>
              <w:t>Vrsta ulazne frakcije otpada</w:t>
            </w:r>
          </w:p>
        </w:tc>
        <w:tc>
          <w:tcPr>
            <w:tcW w:w="708" w:type="pct"/>
            <w:shd w:val="clear" w:color="auto" w:fill="F2F2F2" w:themeFill="background1" w:themeFillShade="F2"/>
            <w:vAlign w:val="center"/>
          </w:tcPr>
          <w:p w14:paraId="06BE0F14" w14:textId="3C3A95A3" w:rsidR="00C232D7" w:rsidRPr="003F6F69" w:rsidRDefault="00C232D7" w:rsidP="00FE289C">
            <w:pPr>
              <w:rPr>
                <w:rFonts w:ascii="Arial" w:hAnsi="Arial" w:cs="Arial"/>
                <w:sz w:val="18"/>
                <w:szCs w:val="18"/>
              </w:rPr>
            </w:pPr>
            <w:r w:rsidRPr="003F6F69">
              <w:rPr>
                <w:rFonts w:ascii="Arial" w:hAnsi="Arial" w:cs="Arial"/>
                <w:sz w:val="18"/>
                <w:szCs w:val="18"/>
              </w:rPr>
              <w:t xml:space="preserve">Kapacitet (t/god) – </w:t>
            </w:r>
            <w:r w:rsidR="00FE289C" w:rsidRPr="003F6F69">
              <w:rPr>
                <w:rFonts w:ascii="Arial" w:hAnsi="Arial" w:cs="Arial"/>
                <w:sz w:val="18"/>
                <w:szCs w:val="18"/>
              </w:rPr>
              <w:t>2029</w:t>
            </w:r>
          </w:p>
        </w:tc>
      </w:tr>
      <w:tr w:rsidR="00C232D7" w:rsidRPr="003F6F69" w14:paraId="412F1B9E" w14:textId="77777777" w:rsidTr="004127E5">
        <w:trPr>
          <w:jc w:val="center"/>
        </w:trPr>
        <w:tc>
          <w:tcPr>
            <w:tcW w:w="1052" w:type="pct"/>
            <w:vAlign w:val="center"/>
          </w:tcPr>
          <w:p w14:paraId="1219F5C0" w14:textId="77777777" w:rsidR="00C232D7" w:rsidRPr="003F6F69" w:rsidRDefault="00C232D7" w:rsidP="00C232D7">
            <w:pPr>
              <w:rPr>
                <w:rFonts w:ascii="Arial" w:hAnsi="Arial" w:cs="Arial"/>
                <w:sz w:val="18"/>
                <w:szCs w:val="18"/>
              </w:rPr>
            </w:pPr>
            <w:r w:rsidRPr="003F6F69">
              <w:rPr>
                <w:rFonts w:ascii="Arial" w:hAnsi="Arial" w:cs="Arial"/>
                <w:sz w:val="18"/>
                <w:szCs w:val="18"/>
              </w:rPr>
              <w:t xml:space="preserve">MOJKOVAC </w:t>
            </w:r>
          </w:p>
          <w:p w14:paraId="08F57C07" w14:textId="77777777" w:rsidR="00C232D7" w:rsidRPr="003F6F69" w:rsidRDefault="00C232D7" w:rsidP="00C232D7">
            <w:pPr>
              <w:rPr>
                <w:rFonts w:ascii="Arial" w:hAnsi="Arial" w:cs="Arial"/>
                <w:sz w:val="18"/>
                <w:szCs w:val="18"/>
              </w:rPr>
            </w:pPr>
            <w:r w:rsidRPr="003F6F69">
              <w:rPr>
                <w:rFonts w:ascii="Arial" w:hAnsi="Arial" w:cs="Arial"/>
                <w:sz w:val="18"/>
                <w:szCs w:val="18"/>
              </w:rPr>
              <w:t>KOLAŠIN</w:t>
            </w:r>
          </w:p>
        </w:tc>
        <w:tc>
          <w:tcPr>
            <w:tcW w:w="737" w:type="pct"/>
            <w:vAlign w:val="center"/>
          </w:tcPr>
          <w:p w14:paraId="4CA3D1A3" w14:textId="77777777" w:rsidR="00C232D7" w:rsidRPr="003F6F69" w:rsidRDefault="00C232D7" w:rsidP="00C232D7">
            <w:pPr>
              <w:rPr>
                <w:rFonts w:ascii="Arial" w:hAnsi="Arial" w:cs="Arial"/>
                <w:sz w:val="18"/>
                <w:szCs w:val="18"/>
              </w:rPr>
            </w:pPr>
            <w:r w:rsidRPr="003F6F69">
              <w:rPr>
                <w:rFonts w:ascii="Arial" w:hAnsi="Arial" w:cs="Arial"/>
                <w:sz w:val="18"/>
                <w:szCs w:val="18"/>
              </w:rPr>
              <w:t>Mojkovac</w:t>
            </w:r>
          </w:p>
        </w:tc>
        <w:tc>
          <w:tcPr>
            <w:tcW w:w="741" w:type="pct"/>
            <w:shd w:val="clear" w:color="auto" w:fill="auto"/>
            <w:vAlign w:val="center"/>
          </w:tcPr>
          <w:p w14:paraId="43AE43CA" w14:textId="77777777" w:rsidR="00C232D7" w:rsidRPr="003F6F69" w:rsidRDefault="00C232D7" w:rsidP="00C232D7">
            <w:pPr>
              <w:rPr>
                <w:rFonts w:ascii="Arial" w:hAnsi="Arial" w:cs="Arial"/>
                <w:sz w:val="18"/>
                <w:szCs w:val="18"/>
              </w:rPr>
            </w:pPr>
            <w:r w:rsidRPr="003F6F69">
              <w:rPr>
                <w:rFonts w:ascii="Arial" w:hAnsi="Arial" w:cs="Arial"/>
                <w:sz w:val="18"/>
                <w:szCs w:val="18"/>
              </w:rPr>
              <w:t>Transfer stanica</w:t>
            </w:r>
          </w:p>
        </w:tc>
        <w:tc>
          <w:tcPr>
            <w:tcW w:w="597" w:type="pct"/>
            <w:vAlign w:val="center"/>
          </w:tcPr>
          <w:p w14:paraId="0F6B739A" w14:textId="77777777" w:rsidR="00C232D7" w:rsidRPr="003F6F69" w:rsidRDefault="00C232D7" w:rsidP="009466DB">
            <w:pPr>
              <w:jc w:val="left"/>
              <w:rPr>
                <w:rFonts w:ascii="Arial" w:hAnsi="Arial" w:cs="Arial"/>
                <w:sz w:val="18"/>
                <w:szCs w:val="18"/>
              </w:rPr>
            </w:pPr>
            <w:r w:rsidRPr="003F6F69">
              <w:rPr>
                <w:rFonts w:ascii="Arial" w:hAnsi="Arial" w:cs="Arial"/>
                <w:sz w:val="18"/>
                <w:szCs w:val="18"/>
              </w:rPr>
              <w:t>Izgrađeno-nije u funkciji</w:t>
            </w:r>
          </w:p>
        </w:tc>
        <w:tc>
          <w:tcPr>
            <w:tcW w:w="1165" w:type="pct"/>
          </w:tcPr>
          <w:p w14:paraId="283E9EE8" w14:textId="77777777" w:rsidR="00C232D7" w:rsidRPr="003F6F69" w:rsidRDefault="00C232D7" w:rsidP="00C232D7">
            <w:pPr>
              <w:rPr>
                <w:rFonts w:ascii="Arial" w:hAnsi="Arial" w:cs="Arial"/>
                <w:sz w:val="18"/>
                <w:szCs w:val="18"/>
              </w:rPr>
            </w:pPr>
            <w:r w:rsidRPr="003F6F69">
              <w:rPr>
                <w:rFonts w:ascii="Arial" w:hAnsi="Arial" w:cs="Arial"/>
                <w:sz w:val="18"/>
                <w:szCs w:val="18"/>
              </w:rPr>
              <w:t>Rezidualni otpad</w:t>
            </w:r>
          </w:p>
        </w:tc>
        <w:tc>
          <w:tcPr>
            <w:tcW w:w="708" w:type="pct"/>
            <w:vAlign w:val="center"/>
          </w:tcPr>
          <w:p w14:paraId="0562FA75" w14:textId="77777777" w:rsidR="00C232D7" w:rsidRPr="003F6F69" w:rsidRDefault="00C232D7" w:rsidP="00C232D7">
            <w:pPr>
              <w:rPr>
                <w:rFonts w:ascii="Arial" w:hAnsi="Arial" w:cs="Arial"/>
                <w:sz w:val="18"/>
                <w:szCs w:val="18"/>
              </w:rPr>
            </w:pPr>
            <w:r w:rsidRPr="003F6F69">
              <w:rPr>
                <w:rFonts w:ascii="Arial" w:hAnsi="Arial" w:cs="Arial"/>
                <w:sz w:val="18"/>
                <w:szCs w:val="18"/>
              </w:rPr>
              <w:t>6,378</w:t>
            </w:r>
          </w:p>
        </w:tc>
      </w:tr>
      <w:tr w:rsidR="00C232D7" w:rsidRPr="003F6F69" w14:paraId="4E1224C5" w14:textId="77777777" w:rsidTr="004127E5">
        <w:trPr>
          <w:jc w:val="center"/>
        </w:trPr>
        <w:tc>
          <w:tcPr>
            <w:tcW w:w="1052" w:type="pct"/>
            <w:vAlign w:val="center"/>
          </w:tcPr>
          <w:p w14:paraId="47435051" w14:textId="77777777" w:rsidR="00C232D7" w:rsidRPr="003F6F69" w:rsidRDefault="00C232D7" w:rsidP="00C232D7">
            <w:pPr>
              <w:rPr>
                <w:rFonts w:ascii="Arial" w:hAnsi="Arial" w:cs="Arial"/>
                <w:sz w:val="18"/>
                <w:szCs w:val="18"/>
              </w:rPr>
            </w:pPr>
            <w:r w:rsidRPr="003F6F69">
              <w:rPr>
                <w:rFonts w:ascii="Arial" w:hAnsi="Arial" w:cs="Arial"/>
                <w:sz w:val="18"/>
                <w:szCs w:val="18"/>
              </w:rPr>
              <w:t>ROŽAJE</w:t>
            </w:r>
          </w:p>
        </w:tc>
        <w:tc>
          <w:tcPr>
            <w:tcW w:w="737" w:type="pct"/>
            <w:vAlign w:val="center"/>
          </w:tcPr>
          <w:p w14:paraId="7C6D1E0C" w14:textId="77777777" w:rsidR="00C232D7" w:rsidRPr="003F6F69" w:rsidRDefault="00C232D7" w:rsidP="00C232D7">
            <w:pPr>
              <w:rPr>
                <w:rFonts w:ascii="Arial" w:hAnsi="Arial" w:cs="Arial"/>
                <w:sz w:val="18"/>
                <w:szCs w:val="18"/>
              </w:rPr>
            </w:pPr>
            <w:r w:rsidRPr="003F6F69">
              <w:rPr>
                <w:rFonts w:ascii="Arial" w:hAnsi="Arial" w:cs="Arial"/>
                <w:sz w:val="18"/>
                <w:szCs w:val="18"/>
              </w:rPr>
              <w:t>Rožaje</w:t>
            </w:r>
          </w:p>
        </w:tc>
        <w:tc>
          <w:tcPr>
            <w:tcW w:w="741" w:type="pct"/>
            <w:shd w:val="clear" w:color="auto" w:fill="auto"/>
          </w:tcPr>
          <w:p w14:paraId="01269E69" w14:textId="77777777" w:rsidR="00C232D7" w:rsidRPr="003F6F69" w:rsidRDefault="00C232D7" w:rsidP="00C232D7">
            <w:pPr>
              <w:rPr>
                <w:rFonts w:ascii="Arial" w:hAnsi="Arial" w:cs="Arial"/>
                <w:sz w:val="18"/>
                <w:szCs w:val="18"/>
              </w:rPr>
            </w:pPr>
            <w:r w:rsidRPr="003F6F69">
              <w:rPr>
                <w:rFonts w:ascii="Arial" w:hAnsi="Arial" w:cs="Arial"/>
                <w:sz w:val="18"/>
                <w:szCs w:val="18"/>
              </w:rPr>
              <w:t>Transfer stanica</w:t>
            </w:r>
          </w:p>
        </w:tc>
        <w:tc>
          <w:tcPr>
            <w:tcW w:w="597" w:type="pct"/>
            <w:vAlign w:val="center"/>
          </w:tcPr>
          <w:p w14:paraId="4197D2EC" w14:textId="77777777" w:rsidR="00C232D7" w:rsidRPr="003F6F69" w:rsidRDefault="00C232D7" w:rsidP="009466DB">
            <w:pPr>
              <w:jc w:val="left"/>
              <w:rPr>
                <w:rFonts w:ascii="Arial" w:hAnsi="Arial" w:cs="Arial"/>
                <w:sz w:val="18"/>
                <w:szCs w:val="18"/>
              </w:rPr>
            </w:pPr>
            <w:r w:rsidRPr="003F6F69">
              <w:rPr>
                <w:rFonts w:ascii="Arial" w:hAnsi="Arial" w:cs="Arial"/>
                <w:sz w:val="18"/>
                <w:szCs w:val="18"/>
              </w:rPr>
              <w:t>Planirano</w:t>
            </w:r>
          </w:p>
        </w:tc>
        <w:tc>
          <w:tcPr>
            <w:tcW w:w="1165" w:type="pct"/>
          </w:tcPr>
          <w:p w14:paraId="78838B16" w14:textId="77777777" w:rsidR="00C232D7" w:rsidRPr="003F6F69" w:rsidRDefault="00C232D7" w:rsidP="00C232D7">
            <w:pPr>
              <w:rPr>
                <w:rFonts w:ascii="Arial" w:hAnsi="Arial" w:cs="Arial"/>
                <w:sz w:val="18"/>
                <w:szCs w:val="18"/>
              </w:rPr>
            </w:pPr>
            <w:r w:rsidRPr="003F6F69">
              <w:rPr>
                <w:rFonts w:ascii="Arial" w:hAnsi="Arial" w:cs="Arial"/>
                <w:sz w:val="18"/>
                <w:szCs w:val="18"/>
              </w:rPr>
              <w:t>Rezidualni otpad</w:t>
            </w:r>
          </w:p>
        </w:tc>
        <w:tc>
          <w:tcPr>
            <w:tcW w:w="708" w:type="pct"/>
            <w:vAlign w:val="center"/>
          </w:tcPr>
          <w:p w14:paraId="697BD11D"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10,486</w:t>
            </w:r>
          </w:p>
        </w:tc>
      </w:tr>
      <w:tr w:rsidR="00C232D7" w:rsidRPr="003F6F69" w14:paraId="058402C0" w14:textId="77777777" w:rsidTr="004127E5">
        <w:trPr>
          <w:jc w:val="center"/>
        </w:trPr>
        <w:tc>
          <w:tcPr>
            <w:tcW w:w="1052" w:type="pct"/>
            <w:vAlign w:val="center"/>
          </w:tcPr>
          <w:p w14:paraId="29196E3D" w14:textId="77777777" w:rsidR="00C232D7" w:rsidRPr="003F6F69" w:rsidRDefault="00C232D7" w:rsidP="00C232D7">
            <w:pPr>
              <w:rPr>
                <w:rFonts w:ascii="Arial" w:hAnsi="Arial" w:cs="Arial"/>
                <w:sz w:val="18"/>
                <w:szCs w:val="18"/>
              </w:rPr>
            </w:pPr>
            <w:r w:rsidRPr="003F6F69">
              <w:rPr>
                <w:rFonts w:ascii="Arial" w:hAnsi="Arial" w:cs="Arial"/>
                <w:sz w:val="18"/>
                <w:szCs w:val="18"/>
              </w:rPr>
              <w:t>PLJEVLJA</w:t>
            </w:r>
          </w:p>
        </w:tc>
        <w:tc>
          <w:tcPr>
            <w:tcW w:w="737" w:type="pct"/>
            <w:vAlign w:val="center"/>
          </w:tcPr>
          <w:p w14:paraId="4FA6D760" w14:textId="77777777" w:rsidR="00C232D7" w:rsidRPr="003F6F69" w:rsidRDefault="00C232D7" w:rsidP="00C232D7">
            <w:pPr>
              <w:rPr>
                <w:rFonts w:ascii="Arial" w:hAnsi="Arial" w:cs="Arial"/>
                <w:sz w:val="18"/>
                <w:szCs w:val="18"/>
              </w:rPr>
            </w:pPr>
            <w:r w:rsidRPr="003F6F69">
              <w:rPr>
                <w:rFonts w:ascii="Arial" w:hAnsi="Arial" w:cs="Arial"/>
                <w:sz w:val="18"/>
                <w:szCs w:val="18"/>
              </w:rPr>
              <w:t>Pljevlja</w:t>
            </w:r>
          </w:p>
        </w:tc>
        <w:tc>
          <w:tcPr>
            <w:tcW w:w="741" w:type="pct"/>
            <w:shd w:val="clear" w:color="auto" w:fill="auto"/>
          </w:tcPr>
          <w:p w14:paraId="4EA16713" w14:textId="77777777" w:rsidR="00C232D7" w:rsidRPr="003F6F69" w:rsidRDefault="00C232D7" w:rsidP="00C232D7">
            <w:pPr>
              <w:rPr>
                <w:rFonts w:ascii="Arial" w:hAnsi="Arial" w:cs="Arial"/>
                <w:sz w:val="18"/>
                <w:szCs w:val="18"/>
              </w:rPr>
            </w:pPr>
            <w:r w:rsidRPr="003F6F69">
              <w:rPr>
                <w:rFonts w:ascii="Arial" w:hAnsi="Arial" w:cs="Arial"/>
                <w:sz w:val="18"/>
                <w:szCs w:val="18"/>
              </w:rPr>
              <w:t>Transfer stanica</w:t>
            </w:r>
          </w:p>
        </w:tc>
        <w:tc>
          <w:tcPr>
            <w:tcW w:w="597" w:type="pct"/>
          </w:tcPr>
          <w:p w14:paraId="20FC1EA5" w14:textId="77777777" w:rsidR="00C232D7" w:rsidRPr="003F6F69" w:rsidRDefault="00C232D7" w:rsidP="009466DB">
            <w:pPr>
              <w:jc w:val="left"/>
              <w:rPr>
                <w:rFonts w:ascii="Arial" w:hAnsi="Arial" w:cs="Arial"/>
                <w:sz w:val="18"/>
                <w:szCs w:val="18"/>
              </w:rPr>
            </w:pPr>
            <w:r w:rsidRPr="003F6F69">
              <w:rPr>
                <w:rFonts w:ascii="Arial" w:hAnsi="Arial" w:cs="Arial"/>
                <w:sz w:val="18"/>
                <w:szCs w:val="18"/>
              </w:rPr>
              <w:t>Planirano</w:t>
            </w:r>
          </w:p>
        </w:tc>
        <w:tc>
          <w:tcPr>
            <w:tcW w:w="1165" w:type="pct"/>
          </w:tcPr>
          <w:p w14:paraId="03305226" w14:textId="77777777" w:rsidR="00C232D7" w:rsidRPr="003F6F69" w:rsidRDefault="00C232D7" w:rsidP="00C232D7">
            <w:pPr>
              <w:rPr>
                <w:rFonts w:ascii="Arial" w:hAnsi="Arial" w:cs="Arial"/>
                <w:sz w:val="18"/>
                <w:szCs w:val="18"/>
              </w:rPr>
            </w:pPr>
            <w:r w:rsidRPr="003F6F69">
              <w:rPr>
                <w:rFonts w:ascii="Arial" w:hAnsi="Arial" w:cs="Arial"/>
                <w:sz w:val="18"/>
                <w:szCs w:val="18"/>
              </w:rPr>
              <w:t>Rezidualni otpad</w:t>
            </w:r>
          </w:p>
        </w:tc>
        <w:tc>
          <w:tcPr>
            <w:tcW w:w="708" w:type="pct"/>
            <w:vAlign w:val="center"/>
          </w:tcPr>
          <w:p w14:paraId="6FCC23BD"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12,967</w:t>
            </w:r>
          </w:p>
        </w:tc>
      </w:tr>
      <w:tr w:rsidR="005F34EE" w:rsidRPr="003F6F69" w14:paraId="61D7772F" w14:textId="77777777" w:rsidTr="004127E5">
        <w:trPr>
          <w:jc w:val="center"/>
        </w:trPr>
        <w:tc>
          <w:tcPr>
            <w:tcW w:w="1052" w:type="pct"/>
            <w:vAlign w:val="center"/>
          </w:tcPr>
          <w:p w14:paraId="5BC7836E" w14:textId="2ADABE6C" w:rsidR="005F34EE" w:rsidRPr="003F6F69" w:rsidRDefault="005F34EE" w:rsidP="00C232D7">
            <w:pPr>
              <w:rPr>
                <w:rFonts w:ascii="Arial" w:hAnsi="Arial" w:cs="Arial"/>
                <w:sz w:val="18"/>
                <w:szCs w:val="18"/>
              </w:rPr>
            </w:pPr>
            <w:r w:rsidRPr="003F6F69">
              <w:rPr>
                <w:rFonts w:ascii="Arial" w:hAnsi="Arial" w:cs="Arial"/>
                <w:sz w:val="18"/>
                <w:szCs w:val="18"/>
              </w:rPr>
              <w:t>BERANE</w:t>
            </w:r>
          </w:p>
        </w:tc>
        <w:tc>
          <w:tcPr>
            <w:tcW w:w="737" w:type="pct"/>
            <w:vAlign w:val="center"/>
          </w:tcPr>
          <w:p w14:paraId="100A0082" w14:textId="1A6A6F3E" w:rsidR="005F34EE" w:rsidRPr="003F6F69" w:rsidRDefault="005F34EE" w:rsidP="00C232D7">
            <w:pPr>
              <w:rPr>
                <w:rFonts w:ascii="Arial" w:hAnsi="Arial" w:cs="Arial"/>
                <w:sz w:val="18"/>
                <w:szCs w:val="18"/>
              </w:rPr>
            </w:pPr>
            <w:r w:rsidRPr="003F6F69">
              <w:rPr>
                <w:rFonts w:ascii="Arial" w:hAnsi="Arial" w:cs="Arial"/>
                <w:sz w:val="18"/>
                <w:szCs w:val="18"/>
              </w:rPr>
              <w:t>Berane</w:t>
            </w:r>
          </w:p>
        </w:tc>
        <w:tc>
          <w:tcPr>
            <w:tcW w:w="741" w:type="pct"/>
            <w:shd w:val="clear" w:color="auto" w:fill="auto"/>
          </w:tcPr>
          <w:p w14:paraId="6AC24421" w14:textId="0E8F0FCF" w:rsidR="005F34EE" w:rsidRPr="003F6F69" w:rsidRDefault="005F34EE" w:rsidP="00C232D7">
            <w:pPr>
              <w:rPr>
                <w:rFonts w:ascii="Arial" w:hAnsi="Arial" w:cs="Arial"/>
                <w:sz w:val="18"/>
                <w:szCs w:val="18"/>
              </w:rPr>
            </w:pPr>
            <w:r w:rsidRPr="003F6F69">
              <w:rPr>
                <w:rFonts w:ascii="Arial" w:hAnsi="Arial" w:cs="Arial"/>
                <w:sz w:val="18"/>
                <w:szCs w:val="18"/>
              </w:rPr>
              <w:t>Reciklažni centar</w:t>
            </w:r>
          </w:p>
        </w:tc>
        <w:tc>
          <w:tcPr>
            <w:tcW w:w="597" w:type="pct"/>
          </w:tcPr>
          <w:p w14:paraId="39BC9C13" w14:textId="32D89360" w:rsidR="005F34EE" w:rsidRPr="003F6F69" w:rsidRDefault="005F34EE" w:rsidP="009466DB">
            <w:pPr>
              <w:jc w:val="left"/>
              <w:rPr>
                <w:rFonts w:ascii="Arial" w:hAnsi="Arial" w:cs="Arial"/>
                <w:sz w:val="18"/>
                <w:szCs w:val="18"/>
              </w:rPr>
            </w:pPr>
            <w:r w:rsidRPr="003F6F69">
              <w:rPr>
                <w:rFonts w:ascii="Arial" w:hAnsi="Arial" w:cs="Arial"/>
                <w:sz w:val="18"/>
                <w:szCs w:val="18"/>
              </w:rPr>
              <w:t>Planirano</w:t>
            </w:r>
          </w:p>
        </w:tc>
        <w:tc>
          <w:tcPr>
            <w:tcW w:w="1165" w:type="pct"/>
          </w:tcPr>
          <w:p w14:paraId="13BC68EF" w14:textId="65BA6493" w:rsidR="005F34EE" w:rsidRPr="003F6F69" w:rsidRDefault="005F34EE" w:rsidP="00C232D7">
            <w:pPr>
              <w:rPr>
                <w:rFonts w:ascii="Arial" w:hAnsi="Arial" w:cs="Arial"/>
                <w:sz w:val="18"/>
                <w:szCs w:val="18"/>
              </w:rPr>
            </w:pPr>
            <w:r w:rsidRPr="003F6F69">
              <w:rPr>
                <w:rFonts w:ascii="Arial" w:hAnsi="Arial" w:cs="Arial"/>
                <w:sz w:val="18"/>
                <w:szCs w:val="18"/>
              </w:rPr>
              <w:t>Rezidualni otpad</w:t>
            </w:r>
          </w:p>
        </w:tc>
        <w:tc>
          <w:tcPr>
            <w:tcW w:w="708" w:type="pct"/>
            <w:vAlign w:val="center"/>
          </w:tcPr>
          <w:p w14:paraId="3E125F1B" w14:textId="77777777" w:rsidR="005F34EE" w:rsidRPr="003F6F69" w:rsidRDefault="005F34EE" w:rsidP="00C232D7">
            <w:pPr>
              <w:rPr>
                <w:rFonts w:ascii="Arial" w:hAnsi="Arial" w:cs="Arial"/>
                <w:sz w:val="18"/>
                <w:szCs w:val="18"/>
              </w:rPr>
            </w:pPr>
          </w:p>
        </w:tc>
      </w:tr>
      <w:tr w:rsidR="00C232D7" w:rsidRPr="003F6F69" w14:paraId="1A76336A" w14:textId="77777777" w:rsidTr="004127E5">
        <w:trPr>
          <w:jc w:val="center"/>
        </w:trPr>
        <w:tc>
          <w:tcPr>
            <w:tcW w:w="1052" w:type="pct"/>
            <w:vMerge w:val="restart"/>
            <w:vAlign w:val="center"/>
          </w:tcPr>
          <w:p w14:paraId="346A3852" w14:textId="77777777" w:rsidR="00C232D7" w:rsidRPr="003F6F69" w:rsidRDefault="00C232D7" w:rsidP="00C232D7">
            <w:pPr>
              <w:rPr>
                <w:rFonts w:ascii="Arial" w:hAnsi="Arial" w:cs="Arial"/>
                <w:sz w:val="18"/>
                <w:szCs w:val="18"/>
              </w:rPr>
            </w:pPr>
            <w:r w:rsidRPr="003F6F69">
              <w:rPr>
                <w:rFonts w:ascii="Arial" w:hAnsi="Arial" w:cs="Arial"/>
                <w:sz w:val="18"/>
                <w:szCs w:val="18"/>
              </w:rPr>
              <w:t>SVE OPŠTINE</w:t>
            </w:r>
          </w:p>
        </w:tc>
        <w:tc>
          <w:tcPr>
            <w:tcW w:w="737" w:type="pct"/>
            <w:vMerge w:val="restart"/>
            <w:vAlign w:val="center"/>
          </w:tcPr>
          <w:p w14:paraId="69FF80F2" w14:textId="77777777" w:rsidR="00C232D7" w:rsidRPr="003F6F69" w:rsidRDefault="00C232D7" w:rsidP="00C232D7">
            <w:pPr>
              <w:rPr>
                <w:rFonts w:ascii="Arial" w:hAnsi="Arial" w:cs="Arial"/>
                <w:sz w:val="18"/>
                <w:szCs w:val="18"/>
              </w:rPr>
            </w:pPr>
            <w:r w:rsidRPr="003F6F69">
              <w:rPr>
                <w:rFonts w:ascii="Arial" w:hAnsi="Arial" w:cs="Arial"/>
                <w:sz w:val="18"/>
                <w:szCs w:val="18"/>
              </w:rPr>
              <w:t>Bijelo Polje</w:t>
            </w:r>
          </w:p>
        </w:tc>
        <w:tc>
          <w:tcPr>
            <w:tcW w:w="741" w:type="pct"/>
            <w:shd w:val="clear" w:color="auto" w:fill="auto"/>
            <w:vAlign w:val="center"/>
          </w:tcPr>
          <w:p w14:paraId="0A02B7FB" w14:textId="77777777" w:rsidR="00C232D7" w:rsidRPr="003F6F69" w:rsidRDefault="00C232D7" w:rsidP="00C232D7">
            <w:pPr>
              <w:rPr>
                <w:rFonts w:ascii="Arial" w:hAnsi="Arial" w:cs="Arial"/>
                <w:sz w:val="18"/>
                <w:szCs w:val="18"/>
              </w:rPr>
            </w:pPr>
            <w:r w:rsidRPr="003F6F69">
              <w:rPr>
                <w:rFonts w:ascii="Arial" w:hAnsi="Arial" w:cs="Arial"/>
                <w:sz w:val="18"/>
                <w:szCs w:val="18"/>
              </w:rPr>
              <w:t>MRF</w:t>
            </w:r>
          </w:p>
        </w:tc>
        <w:tc>
          <w:tcPr>
            <w:tcW w:w="597" w:type="pct"/>
          </w:tcPr>
          <w:p w14:paraId="2558D986" w14:textId="77777777" w:rsidR="00C232D7" w:rsidRPr="003F6F69" w:rsidRDefault="00C232D7" w:rsidP="009466DB">
            <w:pPr>
              <w:jc w:val="left"/>
              <w:rPr>
                <w:rFonts w:ascii="Arial" w:hAnsi="Arial" w:cs="Arial"/>
                <w:sz w:val="18"/>
                <w:szCs w:val="18"/>
              </w:rPr>
            </w:pPr>
            <w:r w:rsidRPr="003F6F69">
              <w:rPr>
                <w:rFonts w:ascii="Arial" w:hAnsi="Arial" w:cs="Arial"/>
                <w:sz w:val="18"/>
                <w:szCs w:val="18"/>
              </w:rPr>
              <w:t>Planirano</w:t>
            </w:r>
          </w:p>
        </w:tc>
        <w:tc>
          <w:tcPr>
            <w:tcW w:w="1165" w:type="pct"/>
            <w:vAlign w:val="center"/>
          </w:tcPr>
          <w:p w14:paraId="5C9DAC24" w14:textId="77777777" w:rsidR="00C232D7" w:rsidRPr="003F6F69" w:rsidRDefault="00C232D7" w:rsidP="00C232D7">
            <w:pPr>
              <w:rPr>
                <w:rFonts w:ascii="Arial" w:hAnsi="Arial" w:cs="Arial"/>
                <w:sz w:val="18"/>
                <w:szCs w:val="18"/>
              </w:rPr>
            </w:pPr>
            <w:r w:rsidRPr="003F6F69">
              <w:rPr>
                <w:rFonts w:ascii="Arial" w:hAnsi="Arial" w:cs="Arial"/>
                <w:sz w:val="18"/>
                <w:szCs w:val="18"/>
              </w:rPr>
              <w:t>Odvojeno sakupljeni reciklažni materijali</w:t>
            </w:r>
          </w:p>
        </w:tc>
        <w:tc>
          <w:tcPr>
            <w:tcW w:w="708" w:type="pct"/>
            <w:vAlign w:val="center"/>
          </w:tcPr>
          <w:p w14:paraId="27E1BF57"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13,980</w:t>
            </w:r>
          </w:p>
        </w:tc>
      </w:tr>
      <w:tr w:rsidR="00C232D7" w:rsidRPr="003F6F69" w14:paraId="06D3904B" w14:textId="77777777" w:rsidTr="004127E5">
        <w:trPr>
          <w:jc w:val="center"/>
        </w:trPr>
        <w:tc>
          <w:tcPr>
            <w:tcW w:w="1052" w:type="pct"/>
            <w:vMerge/>
            <w:vAlign w:val="center"/>
          </w:tcPr>
          <w:p w14:paraId="439F35EF" w14:textId="77777777" w:rsidR="00C232D7" w:rsidRPr="003F6F69" w:rsidRDefault="00C232D7" w:rsidP="00C232D7">
            <w:pPr>
              <w:rPr>
                <w:rFonts w:ascii="Arial" w:hAnsi="Arial" w:cs="Arial"/>
                <w:sz w:val="18"/>
                <w:szCs w:val="18"/>
              </w:rPr>
            </w:pPr>
          </w:p>
        </w:tc>
        <w:tc>
          <w:tcPr>
            <w:tcW w:w="737" w:type="pct"/>
            <w:vMerge/>
          </w:tcPr>
          <w:p w14:paraId="4DE4F627" w14:textId="77777777" w:rsidR="00C232D7" w:rsidRPr="003F6F69" w:rsidRDefault="00C232D7" w:rsidP="00C232D7">
            <w:pPr>
              <w:rPr>
                <w:rFonts w:ascii="Arial" w:hAnsi="Arial" w:cs="Arial"/>
                <w:sz w:val="18"/>
                <w:szCs w:val="18"/>
              </w:rPr>
            </w:pPr>
          </w:p>
        </w:tc>
        <w:tc>
          <w:tcPr>
            <w:tcW w:w="741" w:type="pct"/>
            <w:shd w:val="clear" w:color="auto" w:fill="auto"/>
            <w:vAlign w:val="center"/>
          </w:tcPr>
          <w:p w14:paraId="63C41852" w14:textId="77777777" w:rsidR="00C232D7" w:rsidRPr="003F6F69" w:rsidRDefault="00C232D7" w:rsidP="00C232D7">
            <w:pPr>
              <w:rPr>
                <w:rFonts w:ascii="Arial" w:hAnsi="Arial" w:cs="Arial"/>
                <w:sz w:val="18"/>
                <w:szCs w:val="18"/>
              </w:rPr>
            </w:pPr>
            <w:r w:rsidRPr="003F6F69">
              <w:rPr>
                <w:rFonts w:ascii="Arial" w:hAnsi="Arial" w:cs="Arial"/>
                <w:sz w:val="18"/>
                <w:szCs w:val="18"/>
              </w:rPr>
              <w:t>Postrojenje za kompostiranje</w:t>
            </w:r>
          </w:p>
        </w:tc>
        <w:tc>
          <w:tcPr>
            <w:tcW w:w="597" w:type="pct"/>
          </w:tcPr>
          <w:p w14:paraId="74E6000A" w14:textId="77777777" w:rsidR="00C232D7" w:rsidRPr="003F6F69" w:rsidRDefault="00C232D7" w:rsidP="009466DB">
            <w:pPr>
              <w:jc w:val="left"/>
              <w:rPr>
                <w:rFonts w:ascii="Arial" w:hAnsi="Arial" w:cs="Arial"/>
                <w:sz w:val="18"/>
                <w:szCs w:val="18"/>
              </w:rPr>
            </w:pPr>
            <w:r w:rsidRPr="003F6F69">
              <w:rPr>
                <w:rFonts w:ascii="Arial" w:hAnsi="Arial" w:cs="Arial"/>
                <w:sz w:val="18"/>
                <w:szCs w:val="18"/>
              </w:rPr>
              <w:t>Planirano</w:t>
            </w:r>
          </w:p>
        </w:tc>
        <w:tc>
          <w:tcPr>
            <w:tcW w:w="1165" w:type="pct"/>
            <w:vAlign w:val="center"/>
          </w:tcPr>
          <w:p w14:paraId="369C824F" w14:textId="77777777" w:rsidR="00C232D7" w:rsidRPr="003F6F69" w:rsidRDefault="00C232D7" w:rsidP="00C232D7">
            <w:pPr>
              <w:rPr>
                <w:rFonts w:ascii="Arial" w:hAnsi="Arial" w:cs="Arial"/>
                <w:sz w:val="18"/>
                <w:szCs w:val="18"/>
              </w:rPr>
            </w:pPr>
            <w:r w:rsidRPr="003F6F69">
              <w:rPr>
                <w:rFonts w:ascii="Arial" w:hAnsi="Arial" w:cs="Arial"/>
                <w:sz w:val="18"/>
                <w:szCs w:val="18"/>
              </w:rPr>
              <w:t>Odvojeno sakupljeni biološki otpad</w:t>
            </w:r>
          </w:p>
        </w:tc>
        <w:tc>
          <w:tcPr>
            <w:tcW w:w="708" w:type="pct"/>
            <w:vAlign w:val="center"/>
          </w:tcPr>
          <w:p w14:paraId="2D3FE226"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5,069</w:t>
            </w:r>
          </w:p>
        </w:tc>
      </w:tr>
      <w:tr w:rsidR="00C232D7" w:rsidRPr="003F6F69" w14:paraId="6BC93BE0" w14:textId="77777777" w:rsidTr="004127E5">
        <w:trPr>
          <w:jc w:val="center"/>
        </w:trPr>
        <w:tc>
          <w:tcPr>
            <w:tcW w:w="1052" w:type="pct"/>
            <w:vMerge/>
            <w:vAlign w:val="center"/>
          </w:tcPr>
          <w:p w14:paraId="7D534178" w14:textId="77777777" w:rsidR="00C232D7" w:rsidRPr="003F6F69" w:rsidRDefault="00C232D7" w:rsidP="00C232D7">
            <w:pPr>
              <w:rPr>
                <w:rFonts w:ascii="Arial" w:hAnsi="Arial" w:cs="Arial"/>
                <w:sz w:val="18"/>
                <w:szCs w:val="18"/>
              </w:rPr>
            </w:pPr>
          </w:p>
        </w:tc>
        <w:tc>
          <w:tcPr>
            <w:tcW w:w="737" w:type="pct"/>
            <w:vMerge/>
          </w:tcPr>
          <w:p w14:paraId="7E038995" w14:textId="77777777" w:rsidR="00C232D7" w:rsidRPr="003F6F69" w:rsidRDefault="00C232D7" w:rsidP="00C232D7">
            <w:pPr>
              <w:rPr>
                <w:rFonts w:ascii="Arial" w:hAnsi="Arial" w:cs="Arial"/>
                <w:sz w:val="18"/>
                <w:szCs w:val="18"/>
              </w:rPr>
            </w:pPr>
          </w:p>
        </w:tc>
        <w:tc>
          <w:tcPr>
            <w:tcW w:w="741" w:type="pct"/>
            <w:shd w:val="clear" w:color="auto" w:fill="auto"/>
            <w:vAlign w:val="center"/>
          </w:tcPr>
          <w:p w14:paraId="68C21608" w14:textId="77777777" w:rsidR="00C232D7" w:rsidRPr="003F6F69" w:rsidRDefault="00C232D7" w:rsidP="00C232D7">
            <w:pPr>
              <w:rPr>
                <w:rFonts w:ascii="Arial" w:hAnsi="Arial" w:cs="Arial"/>
                <w:sz w:val="18"/>
                <w:szCs w:val="18"/>
              </w:rPr>
            </w:pPr>
            <w:r w:rsidRPr="003F6F69">
              <w:rPr>
                <w:rFonts w:ascii="Arial" w:hAnsi="Arial" w:cs="Arial"/>
                <w:sz w:val="18"/>
                <w:szCs w:val="18"/>
              </w:rPr>
              <w:t>MBT</w:t>
            </w:r>
          </w:p>
        </w:tc>
        <w:tc>
          <w:tcPr>
            <w:tcW w:w="597" w:type="pct"/>
          </w:tcPr>
          <w:p w14:paraId="78D42950" w14:textId="77777777" w:rsidR="00C232D7" w:rsidRPr="003F6F69" w:rsidRDefault="00C232D7" w:rsidP="009466DB">
            <w:pPr>
              <w:jc w:val="left"/>
              <w:rPr>
                <w:rFonts w:ascii="Arial" w:hAnsi="Arial" w:cs="Arial"/>
                <w:sz w:val="18"/>
                <w:szCs w:val="18"/>
              </w:rPr>
            </w:pPr>
            <w:r w:rsidRPr="003F6F69">
              <w:rPr>
                <w:rFonts w:ascii="Arial" w:hAnsi="Arial" w:cs="Arial"/>
                <w:sz w:val="18"/>
                <w:szCs w:val="18"/>
              </w:rPr>
              <w:t>Planirano</w:t>
            </w:r>
          </w:p>
        </w:tc>
        <w:tc>
          <w:tcPr>
            <w:tcW w:w="1165" w:type="pct"/>
            <w:vAlign w:val="center"/>
          </w:tcPr>
          <w:p w14:paraId="7E41DE4A" w14:textId="1ED8AA04" w:rsidR="00C232D7" w:rsidRPr="003F6F69" w:rsidRDefault="0018737C" w:rsidP="00C232D7">
            <w:pPr>
              <w:rPr>
                <w:rFonts w:ascii="Arial" w:hAnsi="Arial" w:cs="Arial"/>
                <w:sz w:val="18"/>
                <w:szCs w:val="18"/>
              </w:rPr>
            </w:pPr>
            <w:r w:rsidRPr="003F6F69">
              <w:rPr>
                <w:rFonts w:ascii="Arial" w:hAnsi="Arial" w:cs="Arial"/>
                <w:sz w:val="18"/>
                <w:szCs w:val="18"/>
              </w:rPr>
              <w:t>Rezidualni otpad</w:t>
            </w:r>
          </w:p>
        </w:tc>
        <w:tc>
          <w:tcPr>
            <w:tcW w:w="708" w:type="pct"/>
            <w:vAlign w:val="center"/>
          </w:tcPr>
          <w:p w14:paraId="3FF9C361"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49,804</w:t>
            </w:r>
          </w:p>
        </w:tc>
      </w:tr>
      <w:tr w:rsidR="00C232D7" w:rsidRPr="003F6F69" w14:paraId="22A2D904" w14:textId="77777777" w:rsidTr="004127E5">
        <w:trPr>
          <w:jc w:val="center"/>
        </w:trPr>
        <w:tc>
          <w:tcPr>
            <w:tcW w:w="1052" w:type="pct"/>
            <w:vMerge/>
            <w:vAlign w:val="center"/>
          </w:tcPr>
          <w:p w14:paraId="220ADFD6" w14:textId="77777777" w:rsidR="00C232D7" w:rsidRPr="003F6F69" w:rsidRDefault="00C232D7" w:rsidP="00C232D7">
            <w:pPr>
              <w:rPr>
                <w:rFonts w:ascii="Arial" w:hAnsi="Arial" w:cs="Arial"/>
                <w:sz w:val="18"/>
                <w:szCs w:val="18"/>
              </w:rPr>
            </w:pPr>
          </w:p>
        </w:tc>
        <w:tc>
          <w:tcPr>
            <w:tcW w:w="737" w:type="pct"/>
            <w:vMerge/>
          </w:tcPr>
          <w:p w14:paraId="1639D81B" w14:textId="77777777" w:rsidR="00C232D7" w:rsidRPr="003F6F69" w:rsidRDefault="00C232D7" w:rsidP="00C232D7">
            <w:pPr>
              <w:rPr>
                <w:rFonts w:ascii="Arial" w:hAnsi="Arial" w:cs="Arial"/>
                <w:sz w:val="18"/>
                <w:szCs w:val="18"/>
              </w:rPr>
            </w:pPr>
          </w:p>
        </w:tc>
        <w:tc>
          <w:tcPr>
            <w:tcW w:w="741" w:type="pct"/>
            <w:shd w:val="clear" w:color="auto" w:fill="auto"/>
            <w:vAlign w:val="center"/>
          </w:tcPr>
          <w:p w14:paraId="44244299" w14:textId="77777777" w:rsidR="00C232D7" w:rsidRPr="003F6F69" w:rsidRDefault="00C232D7" w:rsidP="00C232D7">
            <w:pPr>
              <w:rPr>
                <w:rFonts w:ascii="Arial" w:hAnsi="Arial" w:cs="Arial"/>
                <w:sz w:val="18"/>
                <w:szCs w:val="18"/>
              </w:rPr>
            </w:pPr>
            <w:r w:rsidRPr="003F6F69">
              <w:rPr>
                <w:rFonts w:ascii="Arial" w:hAnsi="Arial" w:cs="Arial"/>
                <w:sz w:val="18"/>
                <w:szCs w:val="18"/>
              </w:rPr>
              <w:t>Deponija</w:t>
            </w:r>
          </w:p>
        </w:tc>
        <w:tc>
          <w:tcPr>
            <w:tcW w:w="597" w:type="pct"/>
          </w:tcPr>
          <w:p w14:paraId="3E1BC9AA" w14:textId="77777777" w:rsidR="00C232D7" w:rsidRPr="003F6F69" w:rsidRDefault="00C232D7" w:rsidP="009466DB">
            <w:pPr>
              <w:jc w:val="left"/>
              <w:rPr>
                <w:rFonts w:ascii="Arial" w:hAnsi="Arial" w:cs="Arial"/>
                <w:sz w:val="18"/>
                <w:szCs w:val="18"/>
              </w:rPr>
            </w:pPr>
            <w:r w:rsidRPr="003F6F69">
              <w:rPr>
                <w:rFonts w:ascii="Arial" w:hAnsi="Arial" w:cs="Arial"/>
                <w:sz w:val="18"/>
                <w:szCs w:val="18"/>
              </w:rPr>
              <w:t>Planirano</w:t>
            </w:r>
          </w:p>
        </w:tc>
        <w:tc>
          <w:tcPr>
            <w:tcW w:w="1165" w:type="pct"/>
            <w:vAlign w:val="center"/>
          </w:tcPr>
          <w:p w14:paraId="4B144FAE" w14:textId="6D754DAC" w:rsidR="00C232D7" w:rsidRPr="003F6F69" w:rsidRDefault="00C232D7" w:rsidP="00C232D7">
            <w:pPr>
              <w:rPr>
                <w:rFonts w:ascii="Arial" w:hAnsi="Arial" w:cs="Arial"/>
                <w:sz w:val="18"/>
                <w:szCs w:val="18"/>
              </w:rPr>
            </w:pPr>
            <w:r w:rsidRPr="003F6F69">
              <w:rPr>
                <w:rFonts w:ascii="Arial" w:hAnsi="Arial" w:cs="Arial"/>
                <w:sz w:val="18"/>
                <w:szCs w:val="18"/>
              </w:rPr>
              <w:t>Rezidualni otpad, ostaci od MRF i postrojenja za kompostiranje</w:t>
            </w:r>
          </w:p>
        </w:tc>
        <w:tc>
          <w:tcPr>
            <w:tcW w:w="708" w:type="pct"/>
            <w:vAlign w:val="center"/>
          </w:tcPr>
          <w:p w14:paraId="6541A6A4" w14:textId="77777777" w:rsidR="00C232D7" w:rsidRPr="003F6F69" w:rsidRDefault="00C232D7" w:rsidP="00C232D7">
            <w:pPr>
              <w:rPr>
                <w:rFonts w:ascii="Arial" w:hAnsi="Arial" w:cs="Arial"/>
                <w:sz w:val="18"/>
                <w:szCs w:val="18"/>
                <w:highlight w:val="yellow"/>
              </w:rPr>
            </w:pPr>
            <w:r w:rsidRPr="003F6F69">
              <w:rPr>
                <w:rFonts w:ascii="Arial" w:hAnsi="Arial" w:cs="Arial"/>
                <w:sz w:val="18"/>
                <w:szCs w:val="18"/>
              </w:rPr>
              <w:t>34,257</w:t>
            </w:r>
          </w:p>
        </w:tc>
      </w:tr>
      <w:bookmarkEnd w:id="926"/>
      <w:bookmarkEnd w:id="939"/>
    </w:tbl>
    <w:p w14:paraId="447D9F55" w14:textId="2256541A" w:rsidR="00445170" w:rsidRDefault="00445170" w:rsidP="00445170">
      <w:pPr>
        <w:pStyle w:val="NoSpacing"/>
        <w:jc w:val="left"/>
        <w:rPr>
          <w:rFonts w:ascii="Arial" w:hAnsi="Arial" w:cs="Arial"/>
          <w:lang w:val="sr-Latn-CS"/>
        </w:rPr>
      </w:pPr>
    </w:p>
    <w:p w14:paraId="64E52337" w14:textId="1FDBA012" w:rsidR="00445170" w:rsidRPr="00445170" w:rsidRDefault="00445170" w:rsidP="00445170">
      <w:pPr>
        <w:pStyle w:val="NoSpacing"/>
        <w:jc w:val="left"/>
        <w:rPr>
          <w:rFonts w:ascii="Arial" w:hAnsi="Arial" w:cs="Arial"/>
          <w:b/>
          <w:lang w:val="sr-Latn-CS"/>
        </w:rPr>
      </w:pPr>
      <w:r w:rsidRPr="00445170">
        <w:rPr>
          <w:rFonts w:ascii="Arial" w:hAnsi="Arial" w:cs="Arial"/>
          <w:b/>
          <w:lang w:val="sr-Latn-CS"/>
        </w:rPr>
        <w:t>ZAKLJUČAK:</w:t>
      </w:r>
    </w:p>
    <w:p w14:paraId="4798A4E3" w14:textId="45FA63D8" w:rsidR="00445170" w:rsidRDefault="00445170" w:rsidP="00445170">
      <w:pPr>
        <w:pStyle w:val="NoSpacing"/>
        <w:jc w:val="left"/>
        <w:rPr>
          <w:rFonts w:ascii="Arial" w:hAnsi="Arial" w:cs="Arial"/>
          <w:lang w:val="sr-Latn-CS"/>
        </w:rPr>
      </w:pPr>
    </w:p>
    <w:p w14:paraId="23A7E2B7" w14:textId="3BDBF23A" w:rsidR="00CB2D48" w:rsidRDefault="00CB2D48" w:rsidP="00A41D06">
      <w:pPr>
        <w:pStyle w:val="NoSpacing"/>
        <w:rPr>
          <w:rFonts w:ascii="Arial" w:hAnsi="Arial" w:cs="Arial"/>
          <w:b/>
          <w:lang w:val="sr-Latn-CS"/>
        </w:rPr>
      </w:pPr>
      <w:r w:rsidRPr="00A41D06">
        <w:rPr>
          <w:rFonts w:ascii="Arial" w:hAnsi="Arial" w:cs="Arial"/>
          <w:b/>
          <w:lang w:val="sr-Latn-CS"/>
        </w:rPr>
        <w:t xml:space="preserve">Planirano je da se svi regionalni centri za upravljanje otpadom izgrade do kraja 2026. godine i puste u rad. </w:t>
      </w:r>
    </w:p>
    <w:p w14:paraId="703B4D13" w14:textId="77777777" w:rsidR="001F3E10" w:rsidRDefault="001F3E10" w:rsidP="00A41D06">
      <w:pPr>
        <w:pStyle w:val="NoSpacing"/>
        <w:rPr>
          <w:rFonts w:ascii="Arial" w:hAnsi="Arial" w:cs="Arial"/>
          <w:b/>
          <w:lang w:val="sr-Latn-CS"/>
        </w:rPr>
      </w:pPr>
    </w:p>
    <w:p w14:paraId="2E08C0F3" w14:textId="20B4B675" w:rsidR="001F3E10" w:rsidRDefault="001F3E10" w:rsidP="00A41D06">
      <w:pPr>
        <w:pStyle w:val="NoSpacing"/>
        <w:rPr>
          <w:rFonts w:ascii="Arial" w:hAnsi="Arial" w:cs="Arial"/>
          <w:b/>
          <w:lang w:val="sr-Latn-CS"/>
        </w:rPr>
      </w:pPr>
      <w:r>
        <w:rPr>
          <w:rFonts w:ascii="Arial" w:hAnsi="Arial" w:cs="Arial"/>
          <w:b/>
          <w:lang w:val="sr-Latn-CS"/>
        </w:rPr>
        <w:t>Obrada guma i otpadnih vozila se vrši u Regionalnom centru</w:t>
      </w:r>
      <w:r w:rsidRPr="00445170">
        <w:rPr>
          <w:rFonts w:ascii="Arial" w:hAnsi="Arial" w:cs="Arial"/>
          <w:b/>
          <w:lang w:val="sr-Latn-CS"/>
        </w:rPr>
        <w:t xml:space="preserve"> Podgoric</w:t>
      </w:r>
      <w:r>
        <w:rPr>
          <w:rFonts w:ascii="Arial" w:hAnsi="Arial" w:cs="Arial"/>
          <w:b/>
          <w:lang w:val="sr-Latn-CS"/>
        </w:rPr>
        <w:t>a.</w:t>
      </w:r>
    </w:p>
    <w:p w14:paraId="5DF481A5" w14:textId="2C81071A" w:rsidR="00A41D06" w:rsidRPr="00A41D06" w:rsidRDefault="00A41D06" w:rsidP="00A41D06">
      <w:pPr>
        <w:pStyle w:val="NoSpacing"/>
        <w:rPr>
          <w:rFonts w:ascii="Arial" w:hAnsi="Arial" w:cs="Arial"/>
          <w:b/>
          <w:lang w:val="sr-Latn-CS"/>
        </w:rPr>
      </w:pPr>
    </w:p>
    <w:p w14:paraId="765C773A" w14:textId="3992F2F4" w:rsidR="00CB2D48" w:rsidRDefault="00CB2D48" w:rsidP="00CB2D48">
      <w:pPr>
        <w:rPr>
          <w:rFonts w:ascii="Arial" w:hAnsi="Arial" w:cs="Arial"/>
          <w:b/>
          <w:lang w:val="sq-AL"/>
        </w:rPr>
      </w:pPr>
      <w:bookmarkStart w:id="940" w:name="_Hlk185920604"/>
      <w:r w:rsidRPr="00CB2D48">
        <w:rPr>
          <w:rFonts w:ascii="Arial" w:hAnsi="Arial" w:cs="Arial"/>
          <w:b/>
          <w:lang w:val="sq-AL"/>
        </w:rPr>
        <w:t xml:space="preserve">Razmotriti </w:t>
      </w:r>
      <w:r w:rsidR="00A41D06">
        <w:rPr>
          <w:rFonts w:ascii="Arial" w:hAnsi="Arial" w:cs="Arial"/>
          <w:b/>
          <w:lang w:val="sq-AL"/>
        </w:rPr>
        <w:t>opcije</w:t>
      </w:r>
      <w:r w:rsidRPr="00CB2D48">
        <w:rPr>
          <w:rFonts w:ascii="Arial" w:hAnsi="Arial" w:cs="Arial"/>
          <w:b/>
          <w:lang w:val="sq-AL"/>
        </w:rPr>
        <w:t xml:space="preserve"> da</w:t>
      </w:r>
      <w:r w:rsidR="00A41D06">
        <w:rPr>
          <w:rFonts w:ascii="Arial" w:hAnsi="Arial" w:cs="Arial"/>
          <w:b/>
          <w:lang w:val="sq-AL"/>
        </w:rPr>
        <w:t xml:space="preserve"> se</w:t>
      </w:r>
      <w:r w:rsidRPr="00CB2D48">
        <w:rPr>
          <w:rFonts w:ascii="Arial" w:hAnsi="Arial" w:cs="Arial"/>
          <w:b/>
          <w:lang w:val="sq-AL"/>
        </w:rPr>
        <w:t xml:space="preserve"> sakupljeni otpad sa teritorije opština Kotor i Herceg Novi odvozi u regionalne centre za upravljanje otpadom u opštinama Nikšić ili Bar</w:t>
      </w:r>
      <w:bookmarkEnd w:id="940"/>
      <w:r w:rsidR="00A41D06">
        <w:rPr>
          <w:rFonts w:ascii="Arial" w:hAnsi="Arial" w:cs="Arial"/>
          <w:b/>
          <w:lang w:val="sq-AL"/>
        </w:rPr>
        <w:t>, sa aspekta efikasnosti i ekonomičnosti.</w:t>
      </w:r>
    </w:p>
    <w:p w14:paraId="46931A27" w14:textId="77777777" w:rsidR="00CB2D48" w:rsidRPr="00CB2D48" w:rsidRDefault="00CB2D48" w:rsidP="00CB2D48">
      <w:pPr>
        <w:rPr>
          <w:rFonts w:ascii="Arial" w:hAnsi="Arial" w:cs="Arial"/>
          <w:b/>
          <w:lang w:val="sq-AL"/>
        </w:rPr>
      </w:pPr>
    </w:p>
    <w:p w14:paraId="2BCC2906" w14:textId="77777777" w:rsidR="00A41D06" w:rsidRDefault="00445170" w:rsidP="00445170">
      <w:pPr>
        <w:pStyle w:val="NoSpacing"/>
        <w:jc w:val="left"/>
        <w:rPr>
          <w:rFonts w:ascii="Arial" w:hAnsi="Arial" w:cs="Arial"/>
          <w:b/>
          <w:lang w:val="sr-Latn-CS"/>
        </w:rPr>
      </w:pPr>
      <w:r w:rsidRPr="00CB2D48">
        <w:rPr>
          <w:rFonts w:ascii="Arial" w:hAnsi="Arial" w:cs="Arial"/>
          <w:b/>
          <w:lang w:val="sr-Latn-CS"/>
        </w:rPr>
        <w:t>Primarna selekcija svog otpada se vrši na nivou lokalne samouprave</w:t>
      </w:r>
      <w:r w:rsidR="006B1561" w:rsidRPr="00CB2D48">
        <w:rPr>
          <w:rFonts w:ascii="Arial" w:hAnsi="Arial" w:cs="Arial"/>
          <w:b/>
          <w:lang w:val="sr-Latn-CS"/>
        </w:rPr>
        <w:t>,</w:t>
      </w:r>
      <w:r w:rsidR="00A41D06">
        <w:rPr>
          <w:rFonts w:ascii="Arial" w:hAnsi="Arial" w:cs="Arial"/>
          <w:b/>
          <w:lang w:val="sr-Latn-CS"/>
        </w:rPr>
        <w:t xml:space="preserve"> a nakon toga u regionalnim</w:t>
      </w:r>
      <w:r w:rsidRPr="00CB2D48">
        <w:rPr>
          <w:rFonts w:ascii="Arial" w:hAnsi="Arial" w:cs="Arial"/>
          <w:b/>
          <w:lang w:val="sr-Latn-CS"/>
        </w:rPr>
        <w:t xml:space="preserve"> centr</w:t>
      </w:r>
      <w:r w:rsidR="00A41D06">
        <w:rPr>
          <w:rFonts w:ascii="Arial" w:hAnsi="Arial" w:cs="Arial"/>
          <w:b/>
          <w:lang w:val="sr-Latn-CS"/>
        </w:rPr>
        <w:t>ima</w:t>
      </w:r>
      <w:r w:rsidRPr="00CB2D48">
        <w:rPr>
          <w:rFonts w:ascii="Arial" w:hAnsi="Arial" w:cs="Arial"/>
          <w:b/>
          <w:lang w:val="sr-Latn-CS"/>
        </w:rPr>
        <w:t xml:space="preserve"> za</w:t>
      </w:r>
      <w:r w:rsidRPr="00445170">
        <w:rPr>
          <w:rFonts w:ascii="Arial" w:hAnsi="Arial" w:cs="Arial"/>
          <w:b/>
          <w:lang w:val="sr-Latn-CS"/>
        </w:rPr>
        <w:t xml:space="preserve"> upravljanje otpado</w:t>
      </w:r>
      <w:r w:rsidR="00A41D06">
        <w:rPr>
          <w:rFonts w:ascii="Arial" w:hAnsi="Arial" w:cs="Arial"/>
          <w:b/>
          <w:lang w:val="sr-Latn-CS"/>
        </w:rPr>
        <w:t xml:space="preserve">m shodno gore navedenom planu.  </w:t>
      </w:r>
    </w:p>
    <w:p w14:paraId="453B73D0" w14:textId="77777777" w:rsidR="00047730" w:rsidRDefault="00047730" w:rsidP="00445170">
      <w:pPr>
        <w:pStyle w:val="NoSpacing"/>
        <w:jc w:val="left"/>
        <w:rPr>
          <w:rFonts w:ascii="Arial" w:hAnsi="Arial" w:cs="Arial"/>
          <w:b/>
          <w:lang w:val="sr-Latn-CS"/>
        </w:rPr>
      </w:pPr>
    </w:p>
    <w:p w14:paraId="19D1F7B5" w14:textId="32E4025C" w:rsidR="001F3E10" w:rsidRDefault="00047730" w:rsidP="00445170">
      <w:pPr>
        <w:pStyle w:val="NoSpacing"/>
        <w:jc w:val="left"/>
        <w:rPr>
          <w:rFonts w:ascii="Arial" w:hAnsi="Arial" w:cs="Arial"/>
          <w:b/>
          <w:lang w:val="sr-Latn-CS"/>
        </w:rPr>
      </w:pPr>
      <w:r>
        <w:rPr>
          <w:rFonts w:ascii="Arial" w:hAnsi="Arial" w:cs="Arial"/>
          <w:b/>
          <w:lang w:val="sr-Latn-CS"/>
        </w:rPr>
        <w:t>Uraditi studiju izvodljivosti za tretman biootpada.</w:t>
      </w:r>
    </w:p>
    <w:p w14:paraId="2B7CE0C1" w14:textId="77777777" w:rsidR="00A41D06" w:rsidRDefault="00A41D06" w:rsidP="00445170">
      <w:pPr>
        <w:pStyle w:val="NoSpacing"/>
        <w:jc w:val="left"/>
        <w:rPr>
          <w:rFonts w:ascii="Arial" w:hAnsi="Arial" w:cs="Arial"/>
          <w:b/>
          <w:lang w:val="sr-Latn-CS"/>
        </w:rPr>
      </w:pPr>
    </w:p>
    <w:p w14:paraId="2970B58A" w14:textId="40683454" w:rsidR="00445170" w:rsidRDefault="00A41D06" w:rsidP="00A41D06">
      <w:pPr>
        <w:pStyle w:val="NoSpacing"/>
        <w:rPr>
          <w:rFonts w:ascii="Arial" w:hAnsi="Arial" w:cs="Arial"/>
          <w:b/>
          <w:lang w:val="sr-Latn-CS"/>
        </w:rPr>
      </w:pPr>
      <w:r>
        <w:rPr>
          <w:rFonts w:ascii="Arial" w:hAnsi="Arial" w:cs="Arial"/>
          <w:b/>
          <w:lang w:val="sr-Latn-CS"/>
        </w:rPr>
        <w:t>Uraditi studiju izvodljivosti za postrojenje za insineraciju u regionalnom centru</w:t>
      </w:r>
      <w:r w:rsidRPr="00445170">
        <w:rPr>
          <w:rFonts w:ascii="Arial" w:hAnsi="Arial" w:cs="Arial"/>
          <w:b/>
          <w:lang w:val="sr-Latn-CS"/>
        </w:rPr>
        <w:t xml:space="preserve"> </w:t>
      </w:r>
      <w:r>
        <w:rPr>
          <w:rFonts w:ascii="Arial" w:hAnsi="Arial" w:cs="Arial"/>
          <w:b/>
          <w:lang w:val="sr-Latn-CS"/>
        </w:rPr>
        <w:t xml:space="preserve">u </w:t>
      </w:r>
      <w:r w:rsidRPr="00445170">
        <w:rPr>
          <w:rFonts w:ascii="Arial" w:hAnsi="Arial" w:cs="Arial"/>
          <w:b/>
          <w:lang w:val="sr-Latn-CS"/>
        </w:rPr>
        <w:t>Podgoric</w:t>
      </w:r>
      <w:r>
        <w:rPr>
          <w:rFonts w:ascii="Arial" w:hAnsi="Arial" w:cs="Arial"/>
          <w:b/>
          <w:lang w:val="sr-Latn-CS"/>
        </w:rPr>
        <w:t>i. Ukoliko se studijom pokaže opravdanost izgradnje postroojenja za insineraciju, s</w:t>
      </w:r>
      <w:r w:rsidR="00445170" w:rsidRPr="00445170">
        <w:rPr>
          <w:rFonts w:ascii="Arial" w:hAnsi="Arial" w:cs="Arial"/>
          <w:b/>
          <w:lang w:val="sr-Latn-CS"/>
        </w:rPr>
        <w:t>av otpad koji se ne može dalje reciklirati će se transportovati u Regionalni centar Podgoric</w:t>
      </w:r>
      <w:r>
        <w:rPr>
          <w:rFonts w:ascii="Arial" w:hAnsi="Arial" w:cs="Arial"/>
          <w:b/>
          <w:lang w:val="sr-Latn-CS"/>
        </w:rPr>
        <w:t>a</w:t>
      </w:r>
      <w:r w:rsidR="00445170" w:rsidRPr="00445170">
        <w:rPr>
          <w:rFonts w:ascii="Arial" w:hAnsi="Arial" w:cs="Arial"/>
          <w:b/>
          <w:lang w:val="sr-Latn-CS"/>
        </w:rPr>
        <w:t xml:space="preserve"> na insineraciju.</w:t>
      </w:r>
      <w:r>
        <w:rPr>
          <w:rFonts w:ascii="Arial" w:hAnsi="Arial" w:cs="Arial"/>
          <w:b/>
          <w:lang w:val="sr-Latn-CS"/>
        </w:rPr>
        <w:t xml:space="preserve"> </w:t>
      </w:r>
    </w:p>
    <w:p w14:paraId="5F83C0F3" w14:textId="77777777" w:rsidR="00CB2D48" w:rsidRPr="00445170" w:rsidRDefault="00CB2D48" w:rsidP="00445170">
      <w:pPr>
        <w:pStyle w:val="NoSpacing"/>
        <w:jc w:val="left"/>
        <w:rPr>
          <w:rFonts w:ascii="Arial" w:hAnsi="Arial" w:cs="Arial"/>
          <w:b/>
          <w:lang w:val="sr-Latn-CS"/>
        </w:rPr>
      </w:pPr>
    </w:p>
    <w:p w14:paraId="29467296" w14:textId="6CDD08FA" w:rsidR="00C232D7" w:rsidRPr="002A6F4E" w:rsidRDefault="00DC47C3" w:rsidP="00F57909">
      <w:pPr>
        <w:pStyle w:val="Heading2"/>
      </w:pPr>
      <w:bookmarkStart w:id="941" w:name="_Toc189759686"/>
      <w:bookmarkStart w:id="942" w:name="_Toc193354016"/>
      <w:r>
        <w:lastRenderedPageBreak/>
        <w:t>5.</w:t>
      </w:r>
      <w:r w:rsidR="006913A1">
        <w:t>9</w:t>
      </w:r>
      <w:r w:rsidR="00C232D7" w:rsidRPr="002A6F4E">
        <w:t>. Sakupljanje i transport otpada</w:t>
      </w:r>
      <w:bookmarkEnd w:id="941"/>
      <w:bookmarkEnd w:id="942"/>
    </w:p>
    <w:p w14:paraId="29F8418F" w14:textId="33506350" w:rsidR="00C232D7" w:rsidRPr="003F6F69" w:rsidRDefault="00C232D7" w:rsidP="00F70BEF">
      <w:pPr>
        <w:spacing w:before="120" w:after="120" w:line="360" w:lineRule="auto"/>
        <w:rPr>
          <w:rFonts w:ascii="Arial" w:hAnsi="Arial" w:cs="Arial"/>
          <w:lang w:val="sq-AL"/>
        </w:rPr>
      </w:pPr>
      <w:r w:rsidRPr="002A6F4E">
        <w:rPr>
          <w:rFonts w:ascii="Arial" w:hAnsi="Arial" w:cs="Arial"/>
          <w:lang w:val="sq-AL"/>
        </w:rPr>
        <w:t xml:space="preserve">Kako je </w:t>
      </w:r>
      <w:r w:rsidR="006B1561">
        <w:rPr>
          <w:rFonts w:ascii="Arial" w:hAnsi="Arial" w:cs="Arial"/>
          <w:lang w:val="sq-AL"/>
        </w:rPr>
        <w:t>uspostavljanje</w:t>
      </w:r>
      <w:r w:rsidR="006B1561" w:rsidRPr="002A6F4E">
        <w:rPr>
          <w:rFonts w:ascii="Arial" w:hAnsi="Arial" w:cs="Arial"/>
          <w:lang w:val="sq-AL"/>
        </w:rPr>
        <w:t xml:space="preserve"> </w:t>
      </w:r>
      <w:r w:rsidRPr="002A6F4E">
        <w:rPr>
          <w:rFonts w:ascii="Arial" w:hAnsi="Arial" w:cs="Arial"/>
          <w:lang w:val="sq-AL"/>
        </w:rPr>
        <w:t>sistema odvojenog sakupljanja u Crnoj Gori jedan od okvirnih ciljeva i glavno sredstvo za ispunjavanje ciljeva u vezi sa recikl</w:t>
      </w:r>
      <w:r w:rsidR="006B1561">
        <w:rPr>
          <w:rFonts w:ascii="Arial" w:hAnsi="Arial" w:cs="Arial"/>
          <w:lang w:val="sq-AL"/>
        </w:rPr>
        <w:t>iranjom</w:t>
      </w:r>
      <w:r w:rsidRPr="002A6F4E">
        <w:rPr>
          <w:rFonts w:ascii="Arial" w:hAnsi="Arial" w:cs="Arial"/>
          <w:lang w:val="sq-AL"/>
        </w:rPr>
        <w:t xml:space="preserve"> (odvojeno sakupljanje doprinosi i cilju koji se odnosi na odvođenje biorazgradivog otpada sa deponija) veoma je važno donijeti odluku o vrsti programa sakupljanja ot</w:t>
      </w:r>
      <w:r w:rsidR="00F70BEF">
        <w:rPr>
          <w:rFonts w:ascii="Arial" w:hAnsi="Arial" w:cs="Arial"/>
          <w:lang w:val="sq-AL"/>
        </w:rPr>
        <w:t>pada  koji će se primjenjivati.</w:t>
      </w:r>
    </w:p>
    <w:p w14:paraId="33F7CCAA" w14:textId="4A929726" w:rsidR="00C232D7" w:rsidRPr="002A6F4E" w:rsidRDefault="00DC47C3" w:rsidP="00F57909">
      <w:pPr>
        <w:pStyle w:val="Heading2"/>
      </w:pPr>
      <w:bookmarkStart w:id="943" w:name="_Toc132402624"/>
      <w:bookmarkStart w:id="944" w:name="_Toc117607210"/>
      <w:bookmarkStart w:id="945" w:name="_Toc121759042"/>
      <w:bookmarkStart w:id="946" w:name="_Toc189759687"/>
      <w:bookmarkStart w:id="947" w:name="_Toc193354017"/>
      <w:bookmarkEnd w:id="943"/>
      <w:r>
        <w:t>5.</w:t>
      </w:r>
      <w:r w:rsidR="006913A1">
        <w:t>10</w:t>
      </w:r>
      <w:r w:rsidR="00002B90" w:rsidRPr="002A6F4E">
        <w:t>.</w:t>
      </w:r>
      <w:r w:rsidR="00C232D7" w:rsidRPr="002A6F4E">
        <w:t>Ciljevi i zadaci</w:t>
      </w:r>
      <w:bookmarkEnd w:id="944"/>
      <w:bookmarkEnd w:id="945"/>
      <w:bookmarkEnd w:id="946"/>
      <w:bookmarkEnd w:id="947"/>
    </w:p>
    <w:p w14:paraId="447354B3" w14:textId="57FD51B1" w:rsidR="00C232D7" w:rsidRPr="002A6F4E" w:rsidRDefault="00C232D7" w:rsidP="00C232D7">
      <w:pPr>
        <w:shd w:val="clear" w:color="auto" w:fill="E2EFD9" w:themeFill="accent6" w:themeFillTint="33"/>
        <w:spacing w:before="120" w:after="120" w:line="360" w:lineRule="auto"/>
        <w:rPr>
          <w:rFonts w:ascii="Arial" w:hAnsi="Arial" w:cs="Arial"/>
          <w:i/>
          <w:lang w:val="sq-AL"/>
        </w:rPr>
      </w:pPr>
      <w:r w:rsidRPr="002A6F4E">
        <w:rPr>
          <w:rFonts w:ascii="Arial" w:hAnsi="Arial" w:cs="Arial"/>
          <w:b/>
          <w:bCs/>
          <w:iCs/>
          <w:lang w:val="sq-AL"/>
        </w:rPr>
        <w:t>Cilj:</w:t>
      </w:r>
      <w:r w:rsidRPr="002A6F4E">
        <w:rPr>
          <w:rFonts w:ascii="Arial" w:hAnsi="Arial" w:cs="Arial"/>
          <w:i/>
          <w:lang w:val="sq-AL"/>
        </w:rPr>
        <w:t xml:space="preserve"> Stanovnici Crne Gore će biti povezani sa organizovanim uslugama odvojenog sakupljanja otpada čime će se obezbijediti maksimalni povrat materijala,</w:t>
      </w:r>
      <w:r w:rsidR="00002B90" w:rsidRPr="002A6F4E">
        <w:rPr>
          <w:rFonts w:ascii="Arial" w:hAnsi="Arial" w:cs="Arial"/>
          <w:i/>
          <w:lang w:val="sq-AL"/>
        </w:rPr>
        <w:t xml:space="preserve"> </w:t>
      </w:r>
      <w:r w:rsidRPr="002A6F4E">
        <w:rPr>
          <w:rFonts w:ascii="Arial" w:hAnsi="Arial" w:cs="Arial"/>
          <w:i/>
          <w:lang w:val="sq-AL"/>
        </w:rPr>
        <w:t xml:space="preserve">efikasnost troškova i </w:t>
      </w:r>
      <w:r w:rsidR="006B1561">
        <w:rPr>
          <w:rFonts w:ascii="Arial" w:hAnsi="Arial" w:cs="Arial"/>
          <w:i/>
          <w:lang w:val="sq-AL"/>
        </w:rPr>
        <w:t>“</w:t>
      </w:r>
      <w:r w:rsidRPr="002A6F4E">
        <w:rPr>
          <w:rFonts w:ascii="Arial" w:hAnsi="Arial" w:cs="Arial"/>
          <w:i/>
          <w:lang w:val="sq-AL"/>
        </w:rPr>
        <w:t>ekonomija obima</w:t>
      </w:r>
      <w:r w:rsidR="006B1561">
        <w:rPr>
          <w:rFonts w:ascii="Arial" w:hAnsi="Arial" w:cs="Arial"/>
          <w:i/>
          <w:lang w:val="sq-AL"/>
        </w:rPr>
        <w:t>”</w:t>
      </w:r>
      <w:r w:rsidRPr="002A6F4E">
        <w:rPr>
          <w:rFonts w:ascii="Arial" w:hAnsi="Arial" w:cs="Arial"/>
          <w:i/>
          <w:lang w:val="sq-AL"/>
        </w:rPr>
        <w:t>.</w:t>
      </w:r>
    </w:p>
    <w:p w14:paraId="6943A241" w14:textId="0766BCF6" w:rsidR="00C232D7" w:rsidRPr="002A6F4E" w:rsidRDefault="00C232D7" w:rsidP="00C232D7">
      <w:pPr>
        <w:spacing w:before="120" w:after="120" w:line="360" w:lineRule="auto"/>
        <w:rPr>
          <w:rFonts w:ascii="Arial" w:hAnsi="Arial" w:cs="Arial"/>
          <w:bCs/>
          <w:lang w:val="sq-AL"/>
        </w:rPr>
      </w:pPr>
      <w:r w:rsidRPr="002A6F4E">
        <w:rPr>
          <w:rFonts w:ascii="Arial" w:hAnsi="Arial" w:cs="Arial"/>
          <w:bCs/>
          <w:lang w:val="sq-AL"/>
        </w:rPr>
        <w:t>Glavni cilj strategije upravljanja otpadom je uspostavljanje ekonomičnog sistema sakupljanuja otpada koji se prati i koji je prilagođen potrebama urbanih i ruralnih područja zemlje, koristeći u najvećoj mogućoj mjeri postojeće prakse, opremu i infrastrukturu.</w:t>
      </w:r>
      <w:r w:rsidR="00120736">
        <w:rPr>
          <w:rFonts w:ascii="Arial" w:hAnsi="Arial" w:cs="Arial"/>
          <w:bCs/>
          <w:lang w:val="sq-AL"/>
        </w:rPr>
        <w:t xml:space="preserve"> </w:t>
      </w:r>
      <w:r w:rsidRPr="002A6F4E">
        <w:rPr>
          <w:rFonts w:ascii="Arial" w:hAnsi="Arial" w:cs="Arial"/>
          <w:bCs/>
          <w:lang w:val="sq-AL"/>
        </w:rPr>
        <w:t>Glavni ciljevi za sakupljanje komunalnog otpada prikazani su u sljedećoj tabeli, prema zakonodavstvu</w:t>
      </w:r>
      <w:r w:rsidR="006B1561">
        <w:rPr>
          <w:rFonts w:ascii="Arial" w:hAnsi="Arial" w:cs="Arial"/>
          <w:bCs/>
          <w:lang w:val="sq-AL"/>
        </w:rPr>
        <w:t xml:space="preserve"> Crne Gore</w:t>
      </w:r>
      <w:r w:rsidRPr="002A6F4E">
        <w:rPr>
          <w:rFonts w:ascii="Arial" w:hAnsi="Arial" w:cs="Arial"/>
          <w:bCs/>
          <w:lang w:val="sq-AL"/>
        </w:rPr>
        <w:t xml:space="preserve">, a prvenstveno prema </w:t>
      </w:r>
      <w:r w:rsidRPr="002A6F4E">
        <w:rPr>
          <w:rFonts w:ascii="Arial" w:hAnsi="Arial" w:cs="Arial"/>
          <w:bCs/>
          <w:iCs/>
          <w:lang w:val="sq-AL"/>
        </w:rPr>
        <w:t>Zakonu o upravljanju otpadom.</w:t>
      </w:r>
      <w:r w:rsidRPr="002A6F4E">
        <w:rPr>
          <w:rFonts w:ascii="Arial" w:hAnsi="Arial" w:cs="Arial"/>
          <w:bCs/>
          <w:lang w:val="sq-AL"/>
        </w:rPr>
        <w:t xml:space="preserve"> Pored toga, u sljedećoj tabeli su predstavljeni ciljevi usvojeni od strane </w:t>
      </w:r>
      <w:r w:rsidRPr="003F6F69">
        <w:rPr>
          <w:rFonts w:ascii="Arial" w:hAnsi="Arial" w:cs="Arial"/>
          <w:bCs/>
          <w:iCs/>
          <w:lang w:val="sq-AL"/>
        </w:rPr>
        <w:t>DPUO 2025-2029</w:t>
      </w:r>
      <w:r w:rsidR="003F6F69">
        <w:rPr>
          <w:rFonts w:ascii="Arial" w:hAnsi="Arial" w:cs="Arial"/>
          <w:bCs/>
          <w:iCs/>
          <w:lang w:val="sq-AL"/>
        </w:rPr>
        <w:t>. godina</w:t>
      </w:r>
      <w:r w:rsidRPr="002A6F4E">
        <w:rPr>
          <w:rFonts w:ascii="Arial" w:hAnsi="Arial" w:cs="Arial"/>
          <w:bCs/>
          <w:lang w:val="sq-AL"/>
        </w:rPr>
        <w:t xml:space="preserve"> u vezi sa sakupljanjem komunalnog otpada, kako bi</w:t>
      </w:r>
      <w:r w:rsidR="00087955">
        <w:rPr>
          <w:rFonts w:ascii="Arial" w:hAnsi="Arial" w:cs="Arial"/>
          <w:bCs/>
          <w:lang w:val="sq-AL"/>
        </w:rPr>
        <w:t xml:space="preserve"> I</w:t>
      </w:r>
      <w:r w:rsidRPr="002A6F4E">
        <w:rPr>
          <w:rFonts w:ascii="Arial" w:hAnsi="Arial" w:cs="Arial"/>
          <w:bCs/>
          <w:lang w:val="sq-AL"/>
        </w:rPr>
        <w:t xml:space="preserve">) olakšali postizanje ciljeva uključenih u pravni okvir i </w:t>
      </w:r>
      <w:r w:rsidR="00087955">
        <w:rPr>
          <w:rFonts w:ascii="Arial" w:hAnsi="Arial" w:cs="Arial"/>
          <w:bCs/>
          <w:lang w:val="sq-AL"/>
        </w:rPr>
        <w:t>II</w:t>
      </w:r>
      <w:r w:rsidRPr="002A6F4E">
        <w:rPr>
          <w:rFonts w:ascii="Arial" w:hAnsi="Arial" w:cs="Arial"/>
          <w:bCs/>
          <w:lang w:val="sq-AL"/>
        </w:rPr>
        <w:t>) približili zemlju odredbama paketa cirkularne ekonomije koji je usvojila EU.</w:t>
      </w:r>
    </w:p>
    <w:p w14:paraId="62B478CB" w14:textId="5C47E7A9" w:rsidR="00C232D7" w:rsidRPr="005017B5" w:rsidRDefault="00A73244" w:rsidP="00A73244">
      <w:pPr>
        <w:pStyle w:val="Caption"/>
        <w:rPr>
          <w:rFonts w:ascii="Arial" w:hAnsi="Arial" w:cs="Arial"/>
          <w:b w:val="0"/>
          <w:szCs w:val="20"/>
          <w:lang w:val="sq-AL"/>
        </w:rPr>
      </w:pPr>
      <w:bookmarkStart w:id="948" w:name="_Toc189515625"/>
      <w:bookmarkStart w:id="949" w:name="_Toc190160743"/>
      <w:r w:rsidRPr="00A73244">
        <w:rPr>
          <w:rFonts w:ascii="Arial" w:hAnsi="Arial" w:cs="Arial"/>
          <w:b w:val="0"/>
          <w:szCs w:val="20"/>
          <w:lang w:val="sq-AL"/>
        </w:rPr>
        <w:t xml:space="preserve">Tabela </w:t>
      </w:r>
      <w:r w:rsidRPr="00A73244">
        <w:rPr>
          <w:rFonts w:ascii="Arial" w:hAnsi="Arial" w:cs="Arial"/>
          <w:b w:val="0"/>
          <w:szCs w:val="20"/>
          <w:lang w:val="sq-AL"/>
        </w:rPr>
        <w:fldChar w:fldCharType="begin"/>
      </w:r>
      <w:r w:rsidRPr="00A73244">
        <w:rPr>
          <w:rFonts w:ascii="Arial" w:hAnsi="Arial" w:cs="Arial"/>
          <w:b w:val="0"/>
          <w:szCs w:val="20"/>
          <w:lang w:val="sq-AL"/>
        </w:rPr>
        <w:instrText xml:space="preserve"> SEQ Tabela \* ARABIC </w:instrText>
      </w:r>
      <w:r w:rsidRPr="00A73244">
        <w:rPr>
          <w:rFonts w:ascii="Arial" w:hAnsi="Arial" w:cs="Arial"/>
          <w:b w:val="0"/>
          <w:szCs w:val="20"/>
          <w:lang w:val="sq-AL"/>
        </w:rPr>
        <w:fldChar w:fldCharType="separate"/>
      </w:r>
      <w:r w:rsidR="007274DA">
        <w:rPr>
          <w:rFonts w:ascii="Arial" w:hAnsi="Arial" w:cs="Arial"/>
          <w:b w:val="0"/>
          <w:noProof/>
          <w:szCs w:val="20"/>
          <w:lang w:val="sq-AL"/>
        </w:rPr>
        <w:t>51</w:t>
      </w:r>
      <w:r w:rsidRPr="00A73244">
        <w:rPr>
          <w:rFonts w:ascii="Arial" w:hAnsi="Arial" w:cs="Arial"/>
          <w:b w:val="0"/>
          <w:szCs w:val="20"/>
          <w:lang w:val="sq-AL"/>
        </w:rPr>
        <w:fldChar w:fldCharType="end"/>
      </w:r>
      <w:r w:rsidRPr="00A73244">
        <w:rPr>
          <w:lang w:val="sq-AL"/>
        </w:rPr>
        <w:t xml:space="preserve"> </w:t>
      </w:r>
      <w:r w:rsidR="00C232D7" w:rsidRPr="005017B5">
        <w:rPr>
          <w:rFonts w:ascii="Arial" w:hAnsi="Arial" w:cs="Arial"/>
          <w:b w:val="0"/>
          <w:szCs w:val="20"/>
          <w:lang w:val="sq-AL"/>
        </w:rPr>
        <w:t>Ciljevi sakupljanja komunalnog otpada usvojeni u DPUO 2025-2029</w:t>
      </w:r>
      <w:bookmarkEnd w:id="948"/>
      <w:bookmarkEnd w:id="949"/>
    </w:p>
    <w:tbl>
      <w:tblPr>
        <w:tblW w:w="9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4677"/>
        <w:gridCol w:w="993"/>
        <w:gridCol w:w="1950"/>
      </w:tblGrid>
      <w:tr w:rsidR="00C232D7" w:rsidRPr="002A6F4E" w14:paraId="09B7CA4E" w14:textId="77777777" w:rsidTr="00C232D7">
        <w:trPr>
          <w:trHeight w:val="395"/>
          <w:tblHeader/>
          <w:jc w:val="center"/>
        </w:trPr>
        <w:tc>
          <w:tcPr>
            <w:tcW w:w="2122" w:type="dxa"/>
            <w:shd w:val="clear" w:color="auto" w:fill="F2F2F2" w:themeFill="background1" w:themeFillShade="F2"/>
            <w:noWrap/>
            <w:vAlign w:val="center"/>
          </w:tcPr>
          <w:p w14:paraId="408AF424" w14:textId="77777777" w:rsidR="00C232D7" w:rsidRPr="00F70BEF" w:rsidRDefault="00C232D7" w:rsidP="00C232D7">
            <w:pPr>
              <w:spacing w:before="60" w:after="60" w:line="360" w:lineRule="auto"/>
              <w:rPr>
                <w:rFonts w:ascii="Arial" w:hAnsi="Arial" w:cs="Arial"/>
                <w:b/>
                <w:bCs/>
                <w:sz w:val="16"/>
                <w:szCs w:val="18"/>
                <w:lang w:val="sq-AL"/>
              </w:rPr>
            </w:pPr>
            <w:bookmarkStart w:id="950" w:name="_Hlk117515766"/>
            <w:r w:rsidRPr="00F70BEF">
              <w:rPr>
                <w:rFonts w:ascii="Arial" w:hAnsi="Arial" w:cs="Arial"/>
                <w:b/>
                <w:bCs/>
                <w:sz w:val="16"/>
                <w:szCs w:val="18"/>
                <w:lang w:val="sq-AL"/>
              </w:rPr>
              <w:t>Vrsta otpada</w:t>
            </w:r>
          </w:p>
        </w:tc>
        <w:tc>
          <w:tcPr>
            <w:tcW w:w="4677" w:type="dxa"/>
            <w:shd w:val="clear" w:color="auto" w:fill="F2F2F2" w:themeFill="background1" w:themeFillShade="F2"/>
            <w:noWrap/>
            <w:vAlign w:val="center"/>
          </w:tcPr>
          <w:p w14:paraId="2DC4CE3D" w14:textId="77777777" w:rsidR="00C232D7" w:rsidRPr="00F70BEF" w:rsidRDefault="00C232D7" w:rsidP="00C232D7">
            <w:pPr>
              <w:spacing w:before="60" w:after="60" w:line="360" w:lineRule="auto"/>
              <w:rPr>
                <w:rFonts w:ascii="Arial" w:hAnsi="Arial" w:cs="Arial"/>
                <w:b/>
                <w:bCs/>
                <w:sz w:val="16"/>
                <w:szCs w:val="18"/>
                <w:lang w:val="sq-AL"/>
              </w:rPr>
            </w:pPr>
            <w:r w:rsidRPr="00F70BEF">
              <w:rPr>
                <w:rFonts w:ascii="Arial" w:hAnsi="Arial" w:cs="Arial"/>
                <w:b/>
                <w:bCs/>
                <w:sz w:val="16"/>
                <w:szCs w:val="18"/>
                <w:lang w:val="sq-AL"/>
              </w:rPr>
              <w:t>Opis cilja</w:t>
            </w:r>
          </w:p>
        </w:tc>
        <w:tc>
          <w:tcPr>
            <w:tcW w:w="993" w:type="dxa"/>
            <w:shd w:val="clear" w:color="auto" w:fill="F2F2F2" w:themeFill="background1" w:themeFillShade="F2"/>
            <w:vAlign w:val="center"/>
          </w:tcPr>
          <w:p w14:paraId="7228C6BC" w14:textId="77777777" w:rsidR="00C232D7" w:rsidRPr="00F70BEF" w:rsidRDefault="00C232D7" w:rsidP="00C232D7">
            <w:pPr>
              <w:spacing w:before="60" w:after="60" w:line="360" w:lineRule="auto"/>
              <w:rPr>
                <w:rFonts w:ascii="Arial" w:hAnsi="Arial" w:cs="Arial"/>
                <w:b/>
                <w:bCs/>
                <w:sz w:val="16"/>
                <w:szCs w:val="18"/>
                <w:lang w:val="sq-AL"/>
              </w:rPr>
            </w:pPr>
            <w:r w:rsidRPr="00F70BEF">
              <w:rPr>
                <w:rFonts w:ascii="Arial" w:hAnsi="Arial" w:cs="Arial"/>
                <w:b/>
                <w:bCs/>
                <w:sz w:val="16"/>
                <w:szCs w:val="18"/>
                <w:lang w:val="sq-AL"/>
              </w:rPr>
              <w:t>Ciljna godina</w:t>
            </w:r>
          </w:p>
        </w:tc>
        <w:tc>
          <w:tcPr>
            <w:tcW w:w="1950" w:type="dxa"/>
            <w:shd w:val="clear" w:color="auto" w:fill="F2F2F2" w:themeFill="background1" w:themeFillShade="F2"/>
            <w:vAlign w:val="center"/>
          </w:tcPr>
          <w:p w14:paraId="215D0C91" w14:textId="77777777" w:rsidR="00C232D7" w:rsidRPr="00F70BEF" w:rsidRDefault="00C232D7" w:rsidP="00C232D7">
            <w:pPr>
              <w:spacing w:before="60" w:after="60" w:line="360" w:lineRule="auto"/>
              <w:rPr>
                <w:rFonts w:ascii="Arial" w:hAnsi="Arial" w:cs="Arial"/>
                <w:b/>
                <w:bCs/>
                <w:sz w:val="16"/>
                <w:szCs w:val="18"/>
                <w:lang w:val="sq-AL"/>
              </w:rPr>
            </w:pPr>
            <w:r w:rsidRPr="00F70BEF">
              <w:rPr>
                <w:rFonts w:ascii="Arial" w:hAnsi="Arial" w:cs="Arial"/>
                <w:b/>
                <w:bCs/>
                <w:sz w:val="16"/>
                <w:szCs w:val="18"/>
                <w:lang w:val="sq-AL"/>
              </w:rPr>
              <w:t>Komentar</w:t>
            </w:r>
          </w:p>
        </w:tc>
      </w:tr>
      <w:tr w:rsidR="00C232D7" w:rsidRPr="002A6F4E" w14:paraId="06BE4692" w14:textId="77777777" w:rsidTr="00C232D7">
        <w:trPr>
          <w:trHeight w:val="300"/>
          <w:jc w:val="center"/>
        </w:trPr>
        <w:tc>
          <w:tcPr>
            <w:tcW w:w="2122" w:type="dxa"/>
            <w:shd w:val="clear" w:color="auto" w:fill="auto"/>
            <w:noWrap/>
            <w:vAlign w:val="center"/>
          </w:tcPr>
          <w:p w14:paraId="6AD8CB94" w14:textId="149514B0"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Komunalni otpad</w:t>
            </w:r>
          </w:p>
          <w:p w14:paraId="1A06E447" w14:textId="77777777" w:rsidR="00C232D7" w:rsidRPr="00F70BEF" w:rsidRDefault="00C232D7" w:rsidP="00C232D7">
            <w:pPr>
              <w:spacing w:before="60" w:after="60" w:line="360" w:lineRule="auto"/>
              <w:rPr>
                <w:rFonts w:ascii="Arial" w:hAnsi="Arial" w:cs="Arial"/>
                <w:sz w:val="16"/>
                <w:szCs w:val="18"/>
                <w:lang w:val="sq-AL"/>
              </w:rPr>
            </w:pPr>
          </w:p>
        </w:tc>
        <w:tc>
          <w:tcPr>
            <w:tcW w:w="4677" w:type="dxa"/>
            <w:shd w:val="clear" w:color="auto" w:fill="auto"/>
            <w:noWrap/>
            <w:vAlign w:val="center"/>
          </w:tcPr>
          <w:p w14:paraId="157046D8"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100% stanovništva pokriveno uslugama sakupljanja otpada</w:t>
            </w:r>
          </w:p>
        </w:tc>
        <w:tc>
          <w:tcPr>
            <w:tcW w:w="993" w:type="dxa"/>
            <w:shd w:val="clear" w:color="auto" w:fill="auto"/>
            <w:vAlign w:val="center"/>
          </w:tcPr>
          <w:p w14:paraId="0F5A9826"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2025</w:t>
            </w:r>
          </w:p>
        </w:tc>
        <w:tc>
          <w:tcPr>
            <w:tcW w:w="1950" w:type="dxa"/>
            <w:shd w:val="clear" w:color="auto" w:fill="auto"/>
            <w:vAlign w:val="center"/>
          </w:tcPr>
          <w:p w14:paraId="218BAED1"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Dodatni cilj</w:t>
            </w:r>
          </w:p>
        </w:tc>
      </w:tr>
      <w:tr w:rsidR="00C232D7" w:rsidRPr="002A6F4E" w14:paraId="7E7F7B8B" w14:textId="77777777" w:rsidTr="00C232D7">
        <w:trPr>
          <w:trHeight w:val="300"/>
          <w:jc w:val="center"/>
        </w:trPr>
        <w:tc>
          <w:tcPr>
            <w:tcW w:w="2122" w:type="dxa"/>
            <w:shd w:val="clear" w:color="auto" w:fill="auto"/>
            <w:noWrap/>
            <w:vAlign w:val="center"/>
          </w:tcPr>
          <w:p w14:paraId="4CA5FCD2" w14:textId="77777777" w:rsidR="00C232D7" w:rsidRPr="00F70BEF" w:rsidRDefault="00C232D7" w:rsidP="00C232D7">
            <w:pPr>
              <w:spacing w:before="60" w:after="60" w:line="360" w:lineRule="auto"/>
              <w:rPr>
                <w:rFonts w:ascii="Arial" w:hAnsi="Arial" w:cs="Arial"/>
                <w:sz w:val="16"/>
                <w:szCs w:val="18"/>
                <w:lang w:val="sr-Latn-ME"/>
              </w:rPr>
            </w:pPr>
            <w:r w:rsidRPr="00F70BEF">
              <w:rPr>
                <w:rFonts w:ascii="Arial" w:hAnsi="Arial" w:cs="Arial"/>
                <w:sz w:val="16"/>
                <w:szCs w:val="18"/>
                <w:lang w:val="sq-AL"/>
              </w:rPr>
              <w:t>Otpad koji može da se reciklira</w:t>
            </w:r>
          </w:p>
        </w:tc>
        <w:tc>
          <w:tcPr>
            <w:tcW w:w="4677" w:type="dxa"/>
            <w:shd w:val="clear" w:color="auto" w:fill="auto"/>
            <w:noWrap/>
            <w:vAlign w:val="center"/>
          </w:tcPr>
          <w:p w14:paraId="16E0DD75"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15% da se posebno sakuplja</w:t>
            </w:r>
          </w:p>
          <w:p w14:paraId="4B9C8AD3"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40% da se posebno sakuplja</w:t>
            </w:r>
          </w:p>
        </w:tc>
        <w:tc>
          <w:tcPr>
            <w:tcW w:w="993" w:type="dxa"/>
            <w:shd w:val="clear" w:color="auto" w:fill="auto"/>
            <w:vAlign w:val="center"/>
          </w:tcPr>
          <w:p w14:paraId="4F8698C4"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2025</w:t>
            </w:r>
          </w:p>
          <w:p w14:paraId="799F886B"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2030</w:t>
            </w:r>
          </w:p>
        </w:tc>
        <w:tc>
          <w:tcPr>
            <w:tcW w:w="1950" w:type="dxa"/>
            <w:shd w:val="clear" w:color="auto" w:fill="auto"/>
            <w:vAlign w:val="center"/>
          </w:tcPr>
          <w:p w14:paraId="78415C51"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Dodatni cilj</w:t>
            </w:r>
          </w:p>
        </w:tc>
      </w:tr>
      <w:tr w:rsidR="00C232D7" w:rsidRPr="002A6F4E" w14:paraId="18B70ED9" w14:textId="77777777" w:rsidTr="00C232D7">
        <w:trPr>
          <w:trHeight w:val="300"/>
          <w:jc w:val="center"/>
        </w:trPr>
        <w:tc>
          <w:tcPr>
            <w:tcW w:w="2122" w:type="dxa"/>
            <w:shd w:val="clear" w:color="auto" w:fill="auto"/>
            <w:noWrap/>
            <w:vAlign w:val="center"/>
          </w:tcPr>
          <w:p w14:paraId="7BB387E4"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Ambalažni otpad</w:t>
            </w:r>
          </w:p>
          <w:p w14:paraId="31713488" w14:textId="77777777" w:rsidR="00C232D7" w:rsidRPr="00F70BEF" w:rsidRDefault="00C232D7" w:rsidP="00C232D7">
            <w:pPr>
              <w:spacing w:before="60" w:after="60" w:line="360" w:lineRule="auto"/>
              <w:rPr>
                <w:rFonts w:ascii="Arial" w:hAnsi="Arial" w:cs="Arial"/>
                <w:sz w:val="16"/>
                <w:szCs w:val="18"/>
                <w:lang w:val="sq-AL"/>
              </w:rPr>
            </w:pPr>
          </w:p>
        </w:tc>
        <w:tc>
          <w:tcPr>
            <w:tcW w:w="4677" w:type="dxa"/>
            <w:shd w:val="clear" w:color="auto" w:fill="auto"/>
            <w:noWrap/>
            <w:vAlign w:val="center"/>
          </w:tcPr>
          <w:p w14:paraId="5EF9253D"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50% da se posebno sakuplja</w:t>
            </w:r>
          </w:p>
          <w:p w14:paraId="17167B37"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60% da se posebno sakuplja</w:t>
            </w:r>
          </w:p>
        </w:tc>
        <w:tc>
          <w:tcPr>
            <w:tcW w:w="993" w:type="dxa"/>
            <w:shd w:val="clear" w:color="auto" w:fill="auto"/>
            <w:vAlign w:val="center"/>
          </w:tcPr>
          <w:p w14:paraId="5481AF97"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2030</w:t>
            </w:r>
          </w:p>
          <w:p w14:paraId="0E3A200E"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2035</w:t>
            </w:r>
          </w:p>
        </w:tc>
        <w:tc>
          <w:tcPr>
            <w:tcW w:w="1950" w:type="dxa"/>
            <w:shd w:val="clear" w:color="auto" w:fill="auto"/>
          </w:tcPr>
          <w:p w14:paraId="66EC77A6"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Dodatni cilj</w:t>
            </w:r>
          </w:p>
        </w:tc>
      </w:tr>
      <w:tr w:rsidR="00C232D7" w:rsidRPr="002A6F4E" w14:paraId="262617CC" w14:textId="77777777" w:rsidTr="00C232D7">
        <w:trPr>
          <w:trHeight w:val="300"/>
          <w:jc w:val="center"/>
        </w:trPr>
        <w:tc>
          <w:tcPr>
            <w:tcW w:w="2122" w:type="dxa"/>
            <w:shd w:val="clear" w:color="auto" w:fill="auto"/>
            <w:noWrap/>
            <w:vAlign w:val="center"/>
          </w:tcPr>
          <w:p w14:paraId="41C151C1"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Zeleni otpad</w:t>
            </w:r>
          </w:p>
          <w:p w14:paraId="306A386C" w14:textId="77777777" w:rsidR="00C232D7" w:rsidRPr="00F70BEF" w:rsidRDefault="00C232D7" w:rsidP="00C232D7">
            <w:pPr>
              <w:spacing w:before="60" w:after="60" w:line="360" w:lineRule="auto"/>
              <w:rPr>
                <w:rFonts w:ascii="Arial" w:hAnsi="Arial" w:cs="Arial"/>
                <w:sz w:val="16"/>
                <w:szCs w:val="18"/>
                <w:lang w:val="sq-AL"/>
              </w:rPr>
            </w:pPr>
          </w:p>
        </w:tc>
        <w:tc>
          <w:tcPr>
            <w:tcW w:w="4677" w:type="dxa"/>
            <w:shd w:val="clear" w:color="auto" w:fill="auto"/>
            <w:noWrap/>
            <w:vAlign w:val="center"/>
          </w:tcPr>
          <w:p w14:paraId="760362DE"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 xml:space="preserve">50% da se posebno sakuplja </w:t>
            </w:r>
          </w:p>
          <w:p w14:paraId="7AF4E478"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60% da se posebno sakuplja</w:t>
            </w:r>
          </w:p>
        </w:tc>
        <w:tc>
          <w:tcPr>
            <w:tcW w:w="993" w:type="dxa"/>
            <w:shd w:val="clear" w:color="auto" w:fill="auto"/>
            <w:vAlign w:val="center"/>
          </w:tcPr>
          <w:p w14:paraId="1FEDB952"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2025</w:t>
            </w:r>
          </w:p>
          <w:p w14:paraId="7DEB3DA7"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2030</w:t>
            </w:r>
          </w:p>
        </w:tc>
        <w:tc>
          <w:tcPr>
            <w:tcW w:w="1950" w:type="dxa"/>
            <w:shd w:val="clear" w:color="auto" w:fill="auto"/>
          </w:tcPr>
          <w:p w14:paraId="44A918B8"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Dodatni cilj</w:t>
            </w:r>
          </w:p>
        </w:tc>
      </w:tr>
      <w:tr w:rsidR="00C232D7" w:rsidRPr="002A6F4E" w14:paraId="5210A57F" w14:textId="77777777" w:rsidTr="00C232D7">
        <w:trPr>
          <w:trHeight w:val="300"/>
          <w:jc w:val="center"/>
        </w:trPr>
        <w:tc>
          <w:tcPr>
            <w:tcW w:w="2122" w:type="dxa"/>
            <w:shd w:val="clear" w:color="auto" w:fill="auto"/>
            <w:noWrap/>
            <w:vAlign w:val="center"/>
          </w:tcPr>
          <w:p w14:paraId="1E6BB57E"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Biootpad</w:t>
            </w:r>
          </w:p>
        </w:tc>
        <w:tc>
          <w:tcPr>
            <w:tcW w:w="4677" w:type="dxa"/>
            <w:shd w:val="clear" w:color="auto" w:fill="auto"/>
            <w:noWrap/>
            <w:vAlign w:val="center"/>
          </w:tcPr>
          <w:p w14:paraId="251E6816" w14:textId="598FA755"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17% da se odvojeno sakuplja (50% za zeleni otpad i 10% za biootpad</w:t>
            </w:r>
            <w:r w:rsidR="00AB3B85" w:rsidRPr="00F70BEF">
              <w:rPr>
                <w:rFonts w:ascii="Arial" w:hAnsi="Arial" w:cs="Arial"/>
                <w:sz w:val="16"/>
                <w:szCs w:val="18"/>
                <w:lang w:val="sq-AL"/>
              </w:rPr>
              <w:t>,</w:t>
            </w:r>
            <w:r w:rsidRPr="00F70BEF">
              <w:rPr>
                <w:rFonts w:ascii="Arial" w:hAnsi="Arial" w:cs="Arial"/>
                <w:sz w:val="16"/>
                <w:szCs w:val="18"/>
                <w:lang w:val="sq-AL"/>
              </w:rPr>
              <w:t xml:space="preserve"> uključujući jestiva ulja)</w:t>
            </w:r>
          </w:p>
          <w:p w14:paraId="1A8BC825"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4% za kućno kompostiranje</w:t>
            </w:r>
          </w:p>
          <w:p w14:paraId="7F89F719" w14:textId="771346BC"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27% da će se odvojeno sakuplja (60% za zeleni otpad i 20% za biootpad</w:t>
            </w:r>
            <w:r w:rsidR="00AB3B85" w:rsidRPr="00F70BEF">
              <w:rPr>
                <w:rFonts w:ascii="Arial" w:hAnsi="Arial" w:cs="Arial"/>
                <w:sz w:val="16"/>
                <w:szCs w:val="18"/>
                <w:lang w:val="sq-AL"/>
              </w:rPr>
              <w:t>,</w:t>
            </w:r>
            <w:r w:rsidRPr="00F70BEF">
              <w:rPr>
                <w:rFonts w:ascii="Arial" w:hAnsi="Arial" w:cs="Arial"/>
                <w:sz w:val="16"/>
                <w:szCs w:val="18"/>
                <w:lang w:val="sq-AL"/>
              </w:rPr>
              <w:t xml:space="preserve"> uključujući </w:t>
            </w:r>
            <w:r w:rsidR="00AB3B85" w:rsidRPr="00F70BEF">
              <w:rPr>
                <w:rFonts w:ascii="Arial" w:hAnsi="Arial" w:cs="Arial"/>
                <w:sz w:val="16"/>
                <w:szCs w:val="18"/>
                <w:lang w:val="sq-AL"/>
              </w:rPr>
              <w:t xml:space="preserve">otpadna </w:t>
            </w:r>
            <w:r w:rsidRPr="00F70BEF">
              <w:rPr>
                <w:rFonts w:ascii="Arial" w:hAnsi="Arial" w:cs="Arial"/>
                <w:sz w:val="16"/>
                <w:szCs w:val="18"/>
                <w:lang w:val="sq-AL"/>
              </w:rPr>
              <w:t>jestiva ulja</w:t>
            </w:r>
            <w:r w:rsidR="00AB3B85" w:rsidRPr="00F70BEF">
              <w:rPr>
                <w:rFonts w:ascii="Arial" w:hAnsi="Arial" w:cs="Arial"/>
                <w:sz w:val="16"/>
                <w:szCs w:val="18"/>
                <w:lang w:val="sq-AL"/>
              </w:rPr>
              <w:t xml:space="preserve"> i masti</w:t>
            </w:r>
            <w:r w:rsidRPr="00F70BEF">
              <w:rPr>
                <w:rFonts w:ascii="Arial" w:hAnsi="Arial" w:cs="Arial"/>
                <w:sz w:val="16"/>
                <w:szCs w:val="18"/>
                <w:lang w:val="sq-AL"/>
              </w:rPr>
              <w:t>)</w:t>
            </w:r>
          </w:p>
        </w:tc>
        <w:tc>
          <w:tcPr>
            <w:tcW w:w="993" w:type="dxa"/>
            <w:shd w:val="clear" w:color="auto" w:fill="auto"/>
          </w:tcPr>
          <w:p w14:paraId="6AD97B1B"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2025</w:t>
            </w:r>
          </w:p>
          <w:p w14:paraId="3454B2EB" w14:textId="77777777" w:rsidR="00C232D7" w:rsidRPr="00F70BEF" w:rsidRDefault="00C232D7" w:rsidP="00C232D7">
            <w:pPr>
              <w:spacing w:before="60" w:after="60" w:line="360" w:lineRule="auto"/>
              <w:rPr>
                <w:rFonts w:ascii="Arial" w:hAnsi="Arial" w:cs="Arial"/>
                <w:sz w:val="16"/>
                <w:szCs w:val="18"/>
                <w:lang w:val="sq-AL"/>
              </w:rPr>
            </w:pPr>
          </w:p>
          <w:p w14:paraId="3060C1CE" w14:textId="3718B62D"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2025</w:t>
            </w:r>
          </w:p>
          <w:p w14:paraId="0AF7CCE9"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2030</w:t>
            </w:r>
          </w:p>
        </w:tc>
        <w:tc>
          <w:tcPr>
            <w:tcW w:w="1950" w:type="dxa"/>
            <w:shd w:val="clear" w:color="auto" w:fill="auto"/>
          </w:tcPr>
          <w:p w14:paraId="5F7CCEA6"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Dodatni cilj</w:t>
            </w:r>
          </w:p>
        </w:tc>
      </w:tr>
      <w:tr w:rsidR="00C232D7" w:rsidRPr="002A6F4E" w14:paraId="41BAEEAD" w14:textId="77777777" w:rsidTr="00C232D7">
        <w:trPr>
          <w:trHeight w:val="300"/>
          <w:jc w:val="center"/>
        </w:trPr>
        <w:tc>
          <w:tcPr>
            <w:tcW w:w="2122" w:type="dxa"/>
            <w:shd w:val="clear" w:color="auto" w:fill="auto"/>
            <w:noWrap/>
            <w:vAlign w:val="center"/>
          </w:tcPr>
          <w:p w14:paraId="63A9E841"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Tekstil</w:t>
            </w:r>
          </w:p>
        </w:tc>
        <w:tc>
          <w:tcPr>
            <w:tcW w:w="4677" w:type="dxa"/>
            <w:shd w:val="clear" w:color="auto" w:fill="auto"/>
            <w:noWrap/>
            <w:vAlign w:val="center"/>
          </w:tcPr>
          <w:p w14:paraId="083FEDC4"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10% da se posebno sakuplja</w:t>
            </w:r>
          </w:p>
          <w:p w14:paraId="17913E1D"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 da se posebno sakuplja</w:t>
            </w:r>
          </w:p>
        </w:tc>
        <w:tc>
          <w:tcPr>
            <w:tcW w:w="993" w:type="dxa"/>
            <w:shd w:val="clear" w:color="auto" w:fill="auto"/>
            <w:vAlign w:val="center"/>
          </w:tcPr>
          <w:p w14:paraId="3A08A412"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202</w:t>
            </w:r>
            <w:r w:rsidRPr="00F70BEF">
              <w:rPr>
                <w:rFonts w:ascii="Arial" w:hAnsi="Arial" w:cs="Arial"/>
                <w:sz w:val="16"/>
                <w:lang w:val="sq-AL"/>
              </w:rPr>
              <w:t>5</w:t>
            </w:r>
          </w:p>
          <w:p w14:paraId="788B0F97"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2030</w:t>
            </w:r>
          </w:p>
        </w:tc>
        <w:tc>
          <w:tcPr>
            <w:tcW w:w="1950" w:type="dxa"/>
            <w:shd w:val="clear" w:color="auto" w:fill="auto"/>
          </w:tcPr>
          <w:p w14:paraId="09E217E2"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Dodatni cilj</w:t>
            </w:r>
          </w:p>
        </w:tc>
      </w:tr>
      <w:tr w:rsidR="00C232D7" w:rsidRPr="002A6F4E" w14:paraId="436649EF" w14:textId="77777777" w:rsidTr="00C232D7">
        <w:trPr>
          <w:trHeight w:val="300"/>
          <w:jc w:val="center"/>
        </w:trPr>
        <w:tc>
          <w:tcPr>
            <w:tcW w:w="2122" w:type="dxa"/>
            <w:shd w:val="clear" w:color="auto" w:fill="auto"/>
            <w:noWrap/>
            <w:vAlign w:val="center"/>
          </w:tcPr>
          <w:p w14:paraId="3B6337D1"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Kabasti otpad</w:t>
            </w:r>
          </w:p>
          <w:p w14:paraId="68612603" w14:textId="77777777" w:rsidR="00C232D7" w:rsidRPr="00F70BEF" w:rsidRDefault="00C232D7" w:rsidP="00C232D7">
            <w:pPr>
              <w:spacing w:before="60" w:after="60" w:line="360" w:lineRule="auto"/>
              <w:rPr>
                <w:rFonts w:ascii="Arial" w:hAnsi="Arial" w:cs="Arial"/>
                <w:sz w:val="16"/>
                <w:szCs w:val="18"/>
                <w:lang w:val="sq-AL"/>
              </w:rPr>
            </w:pPr>
          </w:p>
        </w:tc>
        <w:tc>
          <w:tcPr>
            <w:tcW w:w="4677" w:type="dxa"/>
            <w:shd w:val="clear" w:color="auto" w:fill="auto"/>
            <w:noWrap/>
            <w:vAlign w:val="center"/>
          </w:tcPr>
          <w:p w14:paraId="71FC402A"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 da se posebno sakuplja</w:t>
            </w:r>
          </w:p>
          <w:p w14:paraId="75368DDB"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40% da se posebno sakuplja</w:t>
            </w:r>
          </w:p>
        </w:tc>
        <w:tc>
          <w:tcPr>
            <w:tcW w:w="993" w:type="dxa"/>
            <w:shd w:val="clear" w:color="auto" w:fill="auto"/>
            <w:vAlign w:val="center"/>
          </w:tcPr>
          <w:p w14:paraId="48ECFB7A"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2025</w:t>
            </w:r>
          </w:p>
          <w:p w14:paraId="467846F8"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2030</w:t>
            </w:r>
          </w:p>
        </w:tc>
        <w:tc>
          <w:tcPr>
            <w:tcW w:w="1950" w:type="dxa"/>
            <w:shd w:val="clear" w:color="auto" w:fill="auto"/>
          </w:tcPr>
          <w:p w14:paraId="0F477528"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Dodatni cilj</w:t>
            </w:r>
          </w:p>
        </w:tc>
      </w:tr>
      <w:tr w:rsidR="00C232D7" w:rsidRPr="002A6F4E" w14:paraId="76CCAD09" w14:textId="77777777" w:rsidTr="00C232D7">
        <w:trPr>
          <w:trHeight w:val="300"/>
          <w:jc w:val="center"/>
        </w:trPr>
        <w:tc>
          <w:tcPr>
            <w:tcW w:w="2122" w:type="dxa"/>
            <w:shd w:val="clear" w:color="auto" w:fill="auto"/>
            <w:noWrap/>
            <w:vAlign w:val="center"/>
          </w:tcPr>
          <w:p w14:paraId="462F3DD3"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Ukupno odvojeno sakupljanje otpada</w:t>
            </w:r>
          </w:p>
        </w:tc>
        <w:tc>
          <w:tcPr>
            <w:tcW w:w="4677" w:type="dxa"/>
            <w:shd w:val="clear" w:color="auto" w:fill="auto"/>
            <w:noWrap/>
            <w:vAlign w:val="center"/>
          </w:tcPr>
          <w:p w14:paraId="1D63A5FD"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 da se posebno sakuplja</w:t>
            </w:r>
          </w:p>
          <w:p w14:paraId="12E3A8B0"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35% da se posebno sakuplja</w:t>
            </w:r>
          </w:p>
        </w:tc>
        <w:tc>
          <w:tcPr>
            <w:tcW w:w="993" w:type="dxa"/>
            <w:shd w:val="clear" w:color="auto" w:fill="auto"/>
            <w:vAlign w:val="center"/>
          </w:tcPr>
          <w:p w14:paraId="42CB303E"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2025</w:t>
            </w:r>
          </w:p>
          <w:p w14:paraId="08069F3B"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2030</w:t>
            </w:r>
          </w:p>
        </w:tc>
        <w:tc>
          <w:tcPr>
            <w:tcW w:w="1950" w:type="dxa"/>
            <w:shd w:val="clear" w:color="auto" w:fill="auto"/>
          </w:tcPr>
          <w:p w14:paraId="011752B5" w14:textId="77777777" w:rsidR="00C232D7" w:rsidRPr="00F70BEF" w:rsidRDefault="00C232D7" w:rsidP="00C232D7">
            <w:pPr>
              <w:spacing w:before="60" w:after="60" w:line="360" w:lineRule="auto"/>
              <w:rPr>
                <w:rFonts w:ascii="Arial" w:hAnsi="Arial" w:cs="Arial"/>
                <w:sz w:val="16"/>
                <w:szCs w:val="18"/>
                <w:lang w:val="sq-AL"/>
              </w:rPr>
            </w:pPr>
            <w:r w:rsidRPr="00F70BEF">
              <w:rPr>
                <w:rFonts w:ascii="Arial" w:hAnsi="Arial" w:cs="Arial"/>
                <w:sz w:val="16"/>
                <w:szCs w:val="18"/>
                <w:lang w:val="sq-AL"/>
              </w:rPr>
              <w:t>Dodatni cilj</w:t>
            </w:r>
          </w:p>
        </w:tc>
      </w:tr>
    </w:tbl>
    <w:bookmarkEnd w:id="950"/>
    <w:p w14:paraId="13489607" w14:textId="1CB1B1CA" w:rsidR="009C6A9D" w:rsidRPr="00F70BEF" w:rsidRDefault="00F70BEF" w:rsidP="00F70BEF">
      <w:pPr>
        <w:spacing w:before="120" w:after="120" w:line="360" w:lineRule="auto"/>
        <w:rPr>
          <w:rFonts w:ascii="Arial" w:hAnsi="Arial" w:cs="Arial"/>
          <w:bCs/>
          <w:lang w:val="sq-AL"/>
        </w:rPr>
      </w:pPr>
      <w:r>
        <w:rPr>
          <w:rFonts w:ascii="Arial" w:hAnsi="Arial" w:cs="Arial"/>
        </w:rPr>
        <w:lastRenderedPageBreak/>
        <w:t>U</w:t>
      </w:r>
      <w:r w:rsidR="00C232D7" w:rsidRPr="002A6F4E">
        <w:rPr>
          <w:rFonts w:ascii="Arial" w:hAnsi="Arial" w:cs="Arial"/>
        </w:rPr>
        <w:t xml:space="preserve"> </w:t>
      </w:r>
      <w:r w:rsidR="00C232D7" w:rsidRPr="002A6F4E">
        <w:rPr>
          <w:rFonts w:ascii="Arial" w:hAnsi="Arial" w:cs="Arial"/>
          <w:bCs/>
          <w:lang w:val="sq-AL"/>
        </w:rPr>
        <w:t>sljedećoj tabeli data je kvantifikacija gore</w:t>
      </w:r>
      <w:r>
        <w:rPr>
          <w:rFonts w:ascii="Arial" w:hAnsi="Arial" w:cs="Arial"/>
          <w:bCs/>
          <w:lang w:val="sq-AL"/>
        </w:rPr>
        <w:t xml:space="preserve"> navedenih ciljeva za Crnu Goru.</w:t>
      </w:r>
    </w:p>
    <w:p w14:paraId="210857CE" w14:textId="581D4703" w:rsidR="009C6A9D" w:rsidRDefault="009C6A9D" w:rsidP="009C6A9D">
      <w:pPr>
        <w:rPr>
          <w:lang w:val="sq-AL"/>
        </w:rPr>
      </w:pPr>
    </w:p>
    <w:p w14:paraId="763A1B5F" w14:textId="1C634B9C" w:rsidR="009C6A9D" w:rsidRDefault="008F716B" w:rsidP="009C6A9D">
      <w:pPr>
        <w:rPr>
          <w:lang w:val="sq-AL"/>
        </w:rPr>
      </w:pPr>
      <w:r w:rsidRPr="009C6A9D">
        <w:rPr>
          <w:rFonts w:ascii="Arial" w:hAnsi="Arial" w:cs="Arial"/>
          <w:color w:val="5B9BD5" w:themeColor="accent1"/>
          <w:sz w:val="18"/>
          <w:lang w:val="sq-AL"/>
        </w:rPr>
        <w:t xml:space="preserve">Tabela </w:t>
      </w:r>
      <w:r w:rsidRPr="009C6A9D">
        <w:rPr>
          <w:rFonts w:ascii="Arial" w:hAnsi="Arial" w:cs="Arial"/>
          <w:color w:val="5B9BD5" w:themeColor="accent1"/>
          <w:sz w:val="18"/>
          <w:lang w:val="sq-AL"/>
        </w:rPr>
        <w:fldChar w:fldCharType="begin"/>
      </w:r>
      <w:r w:rsidRPr="009C6A9D">
        <w:rPr>
          <w:rFonts w:ascii="Arial" w:hAnsi="Arial" w:cs="Arial"/>
          <w:color w:val="5B9BD5" w:themeColor="accent1"/>
          <w:sz w:val="18"/>
          <w:lang w:val="sq-AL"/>
        </w:rPr>
        <w:instrText xml:space="preserve"> SEQ Tabela \* ARABIC </w:instrText>
      </w:r>
      <w:r w:rsidRPr="009C6A9D">
        <w:rPr>
          <w:rFonts w:ascii="Arial" w:hAnsi="Arial" w:cs="Arial"/>
          <w:color w:val="5B9BD5" w:themeColor="accent1"/>
          <w:sz w:val="18"/>
          <w:lang w:val="sq-AL"/>
        </w:rPr>
        <w:fldChar w:fldCharType="separate"/>
      </w:r>
      <w:r w:rsidR="007274DA">
        <w:rPr>
          <w:rFonts w:ascii="Arial" w:hAnsi="Arial" w:cs="Arial"/>
          <w:noProof/>
          <w:color w:val="5B9BD5" w:themeColor="accent1"/>
          <w:sz w:val="18"/>
          <w:lang w:val="sq-AL"/>
        </w:rPr>
        <w:t>52</w:t>
      </w:r>
      <w:r w:rsidRPr="009C6A9D">
        <w:rPr>
          <w:rFonts w:ascii="Arial" w:hAnsi="Arial" w:cs="Arial"/>
          <w:color w:val="5B9BD5" w:themeColor="accent1"/>
          <w:sz w:val="18"/>
          <w:lang w:val="sq-AL"/>
        </w:rPr>
        <w:fldChar w:fldCharType="end"/>
      </w:r>
      <w:r w:rsidRPr="009C6A9D">
        <w:rPr>
          <w:rFonts w:ascii="Arial" w:hAnsi="Arial" w:cs="Arial"/>
          <w:color w:val="5B9BD5" w:themeColor="accent1"/>
          <w:sz w:val="18"/>
          <w:lang w:val="sq-AL"/>
        </w:rPr>
        <w:t xml:space="preserve"> Kvantifikacija ciljeva sakupljanja otpada</w:t>
      </w:r>
    </w:p>
    <w:p w14:paraId="177C7A4F" w14:textId="3E389971" w:rsidR="009C6A9D" w:rsidRPr="009C6A9D" w:rsidRDefault="009C6A9D" w:rsidP="009C6A9D">
      <w:pPr>
        <w:rPr>
          <w:color w:val="5B9BD5" w:themeColor="accent1"/>
          <w:sz w:val="18"/>
          <w:lang w:val="sq-AL"/>
        </w:rPr>
      </w:pPr>
    </w:p>
    <w:tbl>
      <w:tblPr>
        <w:tblpPr w:leftFromText="180" w:rightFromText="180" w:vertAnchor="page" w:horzAnchor="margin" w:tblpY="1846"/>
        <w:tblW w:w="9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655"/>
        <w:gridCol w:w="1452"/>
        <w:gridCol w:w="1582"/>
        <w:gridCol w:w="1121"/>
        <w:gridCol w:w="1187"/>
      </w:tblGrid>
      <w:tr w:rsidR="00C232D7" w:rsidRPr="002A6F4E" w14:paraId="580AC575" w14:textId="77777777" w:rsidTr="009C6A9D">
        <w:trPr>
          <w:trHeight w:val="300"/>
          <w:tblHeader/>
        </w:trPr>
        <w:tc>
          <w:tcPr>
            <w:tcW w:w="1271" w:type="dxa"/>
            <w:shd w:val="clear" w:color="auto" w:fill="F2F2F2" w:themeFill="background1" w:themeFillShade="F2"/>
            <w:noWrap/>
            <w:vAlign w:val="center"/>
          </w:tcPr>
          <w:p w14:paraId="78B708C6" w14:textId="77777777" w:rsidR="00C232D7" w:rsidRPr="00820D17" w:rsidRDefault="00C232D7" w:rsidP="00C232D7">
            <w:pPr>
              <w:spacing w:before="60" w:after="60" w:line="360" w:lineRule="auto"/>
              <w:rPr>
                <w:rFonts w:ascii="Arial" w:hAnsi="Arial" w:cs="Arial"/>
                <w:b/>
                <w:bCs/>
                <w:sz w:val="18"/>
                <w:szCs w:val="18"/>
                <w:lang w:val="sq-AL"/>
              </w:rPr>
            </w:pPr>
            <w:r w:rsidRPr="00820D17">
              <w:rPr>
                <w:rFonts w:ascii="Arial" w:hAnsi="Arial" w:cs="Arial"/>
                <w:b/>
                <w:bCs/>
                <w:sz w:val="18"/>
                <w:szCs w:val="18"/>
                <w:lang w:val="sq-AL"/>
              </w:rPr>
              <w:t>Vrsta otpada</w:t>
            </w:r>
          </w:p>
        </w:tc>
        <w:tc>
          <w:tcPr>
            <w:tcW w:w="2655" w:type="dxa"/>
            <w:shd w:val="clear" w:color="auto" w:fill="F2F2F2" w:themeFill="background1" w:themeFillShade="F2"/>
            <w:noWrap/>
            <w:vAlign w:val="center"/>
          </w:tcPr>
          <w:p w14:paraId="20D88D51" w14:textId="520DE8FA" w:rsidR="00C232D7" w:rsidRPr="00820D17" w:rsidRDefault="00C232D7" w:rsidP="00C232D7">
            <w:pPr>
              <w:spacing w:before="60" w:after="60" w:line="360" w:lineRule="auto"/>
              <w:rPr>
                <w:rFonts w:ascii="Arial" w:hAnsi="Arial" w:cs="Arial"/>
                <w:b/>
                <w:bCs/>
                <w:sz w:val="18"/>
                <w:szCs w:val="18"/>
                <w:lang w:val="sq-AL"/>
              </w:rPr>
            </w:pPr>
            <w:r w:rsidRPr="00820D17">
              <w:rPr>
                <w:rFonts w:ascii="Arial" w:hAnsi="Arial" w:cs="Arial"/>
                <w:b/>
                <w:bCs/>
                <w:sz w:val="18"/>
                <w:szCs w:val="18"/>
                <w:lang w:val="sq-AL"/>
              </w:rPr>
              <w:t>Opis cilja</w:t>
            </w:r>
          </w:p>
        </w:tc>
        <w:tc>
          <w:tcPr>
            <w:tcW w:w="1452" w:type="dxa"/>
            <w:shd w:val="clear" w:color="auto" w:fill="F2F2F2" w:themeFill="background1" w:themeFillShade="F2"/>
            <w:vAlign w:val="center"/>
          </w:tcPr>
          <w:p w14:paraId="2EB219CB" w14:textId="77777777" w:rsidR="00C232D7" w:rsidRPr="00820D17" w:rsidRDefault="00C232D7" w:rsidP="00C232D7">
            <w:pPr>
              <w:spacing w:before="60" w:after="60" w:line="360" w:lineRule="auto"/>
              <w:rPr>
                <w:rFonts w:ascii="Arial" w:hAnsi="Arial" w:cs="Arial"/>
                <w:b/>
                <w:bCs/>
                <w:sz w:val="18"/>
                <w:szCs w:val="18"/>
                <w:lang w:val="sq-AL"/>
              </w:rPr>
            </w:pPr>
            <w:r w:rsidRPr="00820D17">
              <w:rPr>
                <w:rFonts w:ascii="Arial" w:hAnsi="Arial" w:cs="Arial"/>
                <w:b/>
                <w:bCs/>
                <w:sz w:val="18"/>
                <w:szCs w:val="18"/>
                <w:lang w:val="sq-AL"/>
              </w:rPr>
              <w:t>Kvantifikovani cilj</w:t>
            </w:r>
          </w:p>
          <w:p w14:paraId="01945186" w14:textId="77777777" w:rsidR="00C232D7" w:rsidRPr="00820D17" w:rsidRDefault="00C232D7" w:rsidP="00C232D7">
            <w:pPr>
              <w:spacing w:before="60" w:after="60" w:line="360" w:lineRule="auto"/>
              <w:rPr>
                <w:rFonts w:ascii="Arial" w:hAnsi="Arial" w:cs="Arial"/>
                <w:b/>
                <w:bCs/>
                <w:sz w:val="18"/>
                <w:szCs w:val="18"/>
                <w:lang w:val="sq-AL"/>
              </w:rPr>
            </w:pPr>
            <w:r w:rsidRPr="00820D17">
              <w:rPr>
                <w:rFonts w:ascii="Arial" w:hAnsi="Arial" w:cs="Arial"/>
                <w:b/>
                <w:bCs/>
                <w:sz w:val="18"/>
                <w:szCs w:val="18"/>
                <w:lang w:val="sq-AL"/>
              </w:rPr>
              <w:t>(t/god)</w:t>
            </w:r>
          </w:p>
          <w:p w14:paraId="32082DD0" w14:textId="77777777" w:rsidR="00C232D7" w:rsidRPr="00820D17" w:rsidRDefault="00C232D7" w:rsidP="00C232D7">
            <w:pPr>
              <w:spacing w:before="60" w:after="60" w:line="360" w:lineRule="auto"/>
              <w:rPr>
                <w:rFonts w:ascii="Arial" w:hAnsi="Arial" w:cs="Arial"/>
                <w:b/>
                <w:bCs/>
                <w:sz w:val="18"/>
                <w:szCs w:val="18"/>
                <w:lang w:val="sq-AL"/>
              </w:rPr>
            </w:pPr>
          </w:p>
        </w:tc>
        <w:tc>
          <w:tcPr>
            <w:tcW w:w="1582" w:type="dxa"/>
            <w:shd w:val="clear" w:color="auto" w:fill="F2F2F2" w:themeFill="background1" w:themeFillShade="F2"/>
            <w:vAlign w:val="center"/>
          </w:tcPr>
          <w:p w14:paraId="7ED25DE0" w14:textId="77777777" w:rsidR="00C232D7" w:rsidRPr="00820D17" w:rsidRDefault="00C232D7" w:rsidP="00C232D7">
            <w:pPr>
              <w:spacing w:before="60" w:after="60" w:line="360" w:lineRule="auto"/>
              <w:rPr>
                <w:rFonts w:ascii="Arial" w:hAnsi="Arial" w:cs="Arial"/>
                <w:b/>
                <w:bCs/>
                <w:sz w:val="18"/>
                <w:szCs w:val="18"/>
                <w:lang w:val="sq-AL"/>
              </w:rPr>
            </w:pPr>
            <w:r w:rsidRPr="00820D17">
              <w:rPr>
                <w:rFonts w:ascii="Arial" w:hAnsi="Arial" w:cs="Arial"/>
                <w:b/>
                <w:bCs/>
                <w:sz w:val="18"/>
                <w:szCs w:val="18"/>
                <w:lang w:val="sq-AL"/>
              </w:rPr>
              <w:t>Kvantifikovani cilj (kg/kap.god.)</w:t>
            </w:r>
          </w:p>
          <w:p w14:paraId="6768537F" w14:textId="77777777" w:rsidR="00C232D7" w:rsidRPr="00820D17" w:rsidRDefault="00C232D7" w:rsidP="00C232D7">
            <w:pPr>
              <w:spacing w:before="60" w:after="60" w:line="360" w:lineRule="auto"/>
              <w:rPr>
                <w:rFonts w:ascii="Arial" w:hAnsi="Arial" w:cs="Arial"/>
                <w:b/>
                <w:bCs/>
                <w:sz w:val="18"/>
                <w:szCs w:val="18"/>
                <w:lang w:val="sq-AL"/>
              </w:rPr>
            </w:pPr>
          </w:p>
        </w:tc>
        <w:tc>
          <w:tcPr>
            <w:tcW w:w="1121" w:type="dxa"/>
            <w:shd w:val="clear" w:color="auto" w:fill="F2F2F2" w:themeFill="background1" w:themeFillShade="F2"/>
            <w:vAlign w:val="center"/>
          </w:tcPr>
          <w:p w14:paraId="28580DC6" w14:textId="77777777" w:rsidR="00C232D7" w:rsidRPr="00820D17" w:rsidRDefault="00C232D7" w:rsidP="00C232D7">
            <w:pPr>
              <w:spacing w:before="60" w:after="60" w:line="360" w:lineRule="auto"/>
              <w:rPr>
                <w:rFonts w:ascii="Arial" w:hAnsi="Arial" w:cs="Arial"/>
                <w:b/>
                <w:bCs/>
                <w:sz w:val="18"/>
                <w:szCs w:val="18"/>
                <w:lang w:val="sq-AL"/>
              </w:rPr>
            </w:pPr>
            <w:r w:rsidRPr="00820D17">
              <w:rPr>
                <w:rFonts w:ascii="Arial" w:hAnsi="Arial" w:cs="Arial"/>
                <w:b/>
                <w:bCs/>
                <w:sz w:val="18"/>
                <w:szCs w:val="18"/>
                <w:lang w:val="sq-AL"/>
              </w:rPr>
              <w:t>Ciljna godina</w:t>
            </w:r>
          </w:p>
          <w:p w14:paraId="55152837" w14:textId="77777777" w:rsidR="00C232D7" w:rsidRPr="00820D17" w:rsidRDefault="00C232D7" w:rsidP="00C232D7">
            <w:pPr>
              <w:spacing w:before="60" w:after="60" w:line="360" w:lineRule="auto"/>
              <w:rPr>
                <w:rFonts w:ascii="Arial" w:hAnsi="Arial" w:cs="Arial"/>
                <w:b/>
                <w:bCs/>
                <w:sz w:val="18"/>
                <w:szCs w:val="18"/>
                <w:lang w:val="sq-AL"/>
              </w:rPr>
            </w:pPr>
          </w:p>
        </w:tc>
        <w:tc>
          <w:tcPr>
            <w:tcW w:w="1187" w:type="dxa"/>
            <w:shd w:val="clear" w:color="auto" w:fill="F2F2F2" w:themeFill="background1" w:themeFillShade="F2"/>
            <w:vAlign w:val="center"/>
          </w:tcPr>
          <w:p w14:paraId="27B4A42B" w14:textId="77777777" w:rsidR="00C232D7" w:rsidRPr="00820D17" w:rsidRDefault="00C232D7" w:rsidP="00C232D7">
            <w:pPr>
              <w:spacing w:before="60" w:after="60" w:line="360" w:lineRule="auto"/>
              <w:rPr>
                <w:rFonts w:ascii="Arial" w:hAnsi="Arial" w:cs="Arial"/>
                <w:b/>
                <w:bCs/>
                <w:sz w:val="18"/>
                <w:szCs w:val="18"/>
                <w:lang w:val="sq-AL"/>
              </w:rPr>
            </w:pPr>
            <w:r w:rsidRPr="00820D17">
              <w:rPr>
                <w:rFonts w:ascii="Arial" w:hAnsi="Arial" w:cs="Arial"/>
                <w:b/>
                <w:bCs/>
                <w:sz w:val="18"/>
                <w:szCs w:val="18"/>
                <w:lang w:val="sq-AL"/>
              </w:rPr>
              <w:t xml:space="preserve">% ostvarenog cilja </w:t>
            </w:r>
          </w:p>
        </w:tc>
      </w:tr>
      <w:tr w:rsidR="00C232D7" w:rsidRPr="002A6F4E" w14:paraId="508A87C5" w14:textId="77777777" w:rsidTr="009C6A9D">
        <w:trPr>
          <w:trHeight w:val="300"/>
        </w:trPr>
        <w:tc>
          <w:tcPr>
            <w:tcW w:w="1271" w:type="dxa"/>
            <w:shd w:val="clear" w:color="auto" w:fill="FDE9D9"/>
            <w:noWrap/>
            <w:vAlign w:val="center"/>
          </w:tcPr>
          <w:p w14:paraId="3046106B" w14:textId="3647559E"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Komunalni otpad</w:t>
            </w:r>
          </w:p>
        </w:tc>
        <w:tc>
          <w:tcPr>
            <w:tcW w:w="2655" w:type="dxa"/>
            <w:shd w:val="clear" w:color="auto" w:fill="FDE9D9"/>
            <w:noWrap/>
            <w:vAlign w:val="center"/>
          </w:tcPr>
          <w:p w14:paraId="0AF09677"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100% stanovništva pokriveno uslugama sakupljanja otpada</w:t>
            </w:r>
          </w:p>
        </w:tc>
        <w:tc>
          <w:tcPr>
            <w:tcW w:w="1452" w:type="dxa"/>
            <w:shd w:val="clear" w:color="auto" w:fill="FDE9D9"/>
            <w:vAlign w:val="center"/>
          </w:tcPr>
          <w:p w14:paraId="4AC9128B"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350.424</w:t>
            </w:r>
          </w:p>
        </w:tc>
        <w:tc>
          <w:tcPr>
            <w:tcW w:w="1582" w:type="dxa"/>
            <w:shd w:val="clear" w:color="auto" w:fill="FDE9D9"/>
            <w:vAlign w:val="center"/>
          </w:tcPr>
          <w:p w14:paraId="1ED94AFF"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520.29</w:t>
            </w:r>
          </w:p>
        </w:tc>
        <w:tc>
          <w:tcPr>
            <w:tcW w:w="1121" w:type="dxa"/>
            <w:shd w:val="clear" w:color="auto" w:fill="FDE9D9"/>
            <w:vAlign w:val="center"/>
          </w:tcPr>
          <w:p w14:paraId="111ECCB7"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2025</w:t>
            </w:r>
          </w:p>
        </w:tc>
        <w:tc>
          <w:tcPr>
            <w:tcW w:w="1187" w:type="dxa"/>
            <w:shd w:val="clear" w:color="auto" w:fill="FDE9D9"/>
            <w:vAlign w:val="center"/>
          </w:tcPr>
          <w:p w14:paraId="65A0452C"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93%</w:t>
            </w:r>
          </w:p>
        </w:tc>
      </w:tr>
      <w:tr w:rsidR="00C232D7" w:rsidRPr="002A6F4E" w14:paraId="4C23C236" w14:textId="77777777" w:rsidTr="009C6A9D">
        <w:trPr>
          <w:trHeight w:val="300"/>
        </w:trPr>
        <w:tc>
          <w:tcPr>
            <w:tcW w:w="1271" w:type="dxa"/>
            <w:vMerge w:val="restart"/>
            <w:shd w:val="clear" w:color="auto" w:fill="DEEAF6" w:themeFill="accent1" w:themeFillTint="33"/>
            <w:noWrap/>
            <w:vAlign w:val="center"/>
          </w:tcPr>
          <w:p w14:paraId="6D8761C9"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Otpad koji može da se reciklira</w:t>
            </w:r>
          </w:p>
        </w:tc>
        <w:tc>
          <w:tcPr>
            <w:tcW w:w="2655" w:type="dxa"/>
            <w:shd w:val="clear" w:color="auto" w:fill="DEEAF6" w:themeFill="accent1" w:themeFillTint="33"/>
            <w:noWrap/>
          </w:tcPr>
          <w:p w14:paraId="7DBF5852"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15% da se posebno sakuplja</w:t>
            </w:r>
          </w:p>
        </w:tc>
        <w:tc>
          <w:tcPr>
            <w:tcW w:w="1452" w:type="dxa"/>
            <w:shd w:val="clear" w:color="auto" w:fill="DEEAF6" w:themeFill="accent1" w:themeFillTint="33"/>
            <w:vAlign w:val="center"/>
          </w:tcPr>
          <w:p w14:paraId="30AC4F2E"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27.316</w:t>
            </w:r>
          </w:p>
        </w:tc>
        <w:tc>
          <w:tcPr>
            <w:tcW w:w="1582" w:type="dxa"/>
            <w:shd w:val="clear" w:color="auto" w:fill="DEEAF6" w:themeFill="accent1" w:themeFillTint="33"/>
            <w:vAlign w:val="center"/>
          </w:tcPr>
          <w:p w14:paraId="5D666842"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40.52</w:t>
            </w:r>
          </w:p>
        </w:tc>
        <w:tc>
          <w:tcPr>
            <w:tcW w:w="1121" w:type="dxa"/>
            <w:shd w:val="clear" w:color="auto" w:fill="DEEAF6" w:themeFill="accent1" w:themeFillTint="33"/>
            <w:vAlign w:val="center"/>
          </w:tcPr>
          <w:p w14:paraId="3CBA8FEE"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2025</w:t>
            </w:r>
          </w:p>
        </w:tc>
        <w:tc>
          <w:tcPr>
            <w:tcW w:w="1187" w:type="dxa"/>
            <w:shd w:val="clear" w:color="auto" w:fill="DEEAF6" w:themeFill="accent1" w:themeFillTint="33"/>
            <w:vAlign w:val="center"/>
          </w:tcPr>
          <w:p w14:paraId="5C308323"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85%</w:t>
            </w:r>
          </w:p>
        </w:tc>
      </w:tr>
      <w:tr w:rsidR="00C232D7" w:rsidRPr="002A6F4E" w14:paraId="2695E81D" w14:textId="77777777" w:rsidTr="009C6A9D">
        <w:trPr>
          <w:trHeight w:val="300"/>
        </w:trPr>
        <w:tc>
          <w:tcPr>
            <w:tcW w:w="1271" w:type="dxa"/>
            <w:vMerge/>
            <w:shd w:val="clear" w:color="auto" w:fill="DEEAF6" w:themeFill="accent1" w:themeFillTint="33"/>
            <w:noWrap/>
            <w:vAlign w:val="center"/>
          </w:tcPr>
          <w:p w14:paraId="12DE6C0F" w14:textId="77777777" w:rsidR="00C232D7" w:rsidRPr="00820D17" w:rsidRDefault="00C232D7" w:rsidP="00C232D7">
            <w:pPr>
              <w:spacing w:before="40" w:after="40" w:line="360" w:lineRule="auto"/>
              <w:rPr>
                <w:rFonts w:ascii="Arial" w:hAnsi="Arial" w:cs="Arial"/>
                <w:sz w:val="18"/>
                <w:szCs w:val="18"/>
                <w:lang w:val="sq-AL"/>
              </w:rPr>
            </w:pPr>
          </w:p>
        </w:tc>
        <w:tc>
          <w:tcPr>
            <w:tcW w:w="2655" w:type="dxa"/>
            <w:shd w:val="clear" w:color="auto" w:fill="DEEAF6" w:themeFill="accent1" w:themeFillTint="33"/>
            <w:noWrap/>
          </w:tcPr>
          <w:p w14:paraId="79E43823"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40% da se posebno sakuplja</w:t>
            </w:r>
          </w:p>
        </w:tc>
        <w:tc>
          <w:tcPr>
            <w:tcW w:w="1452" w:type="dxa"/>
            <w:shd w:val="clear" w:color="auto" w:fill="DEEAF6" w:themeFill="accent1" w:themeFillTint="33"/>
            <w:vAlign w:val="center"/>
          </w:tcPr>
          <w:p w14:paraId="434A9BDD"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76.002</w:t>
            </w:r>
          </w:p>
        </w:tc>
        <w:tc>
          <w:tcPr>
            <w:tcW w:w="1582" w:type="dxa"/>
            <w:shd w:val="clear" w:color="auto" w:fill="DEEAF6" w:themeFill="accent1" w:themeFillTint="33"/>
            <w:vAlign w:val="center"/>
          </w:tcPr>
          <w:p w14:paraId="204A3E96"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111.95</w:t>
            </w:r>
          </w:p>
        </w:tc>
        <w:tc>
          <w:tcPr>
            <w:tcW w:w="1121" w:type="dxa"/>
            <w:shd w:val="clear" w:color="auto" w:fill="DEEAF6" w:themeFill="accent1" w:themeFillTint="33"/>
            <w:vAlign w:val="center"/>
          </w:tcPr>
          <w:p w14:paraId="5B4FB70A"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2030</w:t>
            </w:r>
          </w:p>
        </w:tc>
        <w:tc>
          <w:tcPr>
            <w:tcW w:w="1187" w:type="dxa"/>
            <w:shd w:val="clear" w:color="auto" w:fill="DEEAF6" w:themeFill="accent1" w:themeFillTint="33"/>
            <w:vAlign w:val="center"/>
          </w:tcPr>
          <w:p w14:paraId="1C2DDD77"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31%</w:t>
            </w:r>
          </w:p>
        </w:tc>
      </w:tr>
      <w:tr w:rsidR="00C232D7" w:rsidRPr="002A6F4E" w14:paraId="62A1C4CE" w14:textId="77777777" w:rsidTr="009C6A9D">
        <w:trPr>
          <w:trHeight w:val="300"/>
        </w:trPr>
        <w:tc>
          <w:tcPr>
            <w:tcW w:w="1271" w:type="dxa"/>
            <w:vMerge w:val="restart"/>
            <w:shd w:val="clear" w:color="auto" w:fill="FDE9D9"/>
            <w:noWrap/>
            <w:vAlign w:val="center"/>
          </w:tcPr>
          <w:p w14:paraId="5FF657C1" w14:textId="77777777" w:rsidR="00C232D7" w:rsidRPr="00820D17" w:rsidRDefault="00C232D7" w:rsidP="00C232D7">
            <w:pPr>
              <w:spacing w:before="60" w:after="60" w:line="360" w:lineRule="auto"/>
              <w:rPr>
                <w:rFonts w:ascii="Arial" w:hAnsi="Arial" w:cs="Arial"/>
                <w:sz w:val="18"/>
                <w:szCs w:val="18"/>
                <w:lang w:val="sq-AL"/>
              </w:rPr>
            </w:pPr>
            <w:r w:rsidRPr="00820D17">
              <w:rPr>
                <w:rFonts w:ascii="Arial" w:hAnsi="Arial" w:cs="Arial"/>
                <w:sz w:val="18"/>
                <w:szCs w:val="18"/>
                <w:lang w:val="sq-AL"/>
              </w:rPr>
              <w:t>Ambalažni otpad</w:t>
            </w:r>
          </w:p>
          <w:p w14:paraId="0891824D" w14:textId="77777777" w:rsidR="00C232D7" w:rsidRPr="00820D17" w:rsidRDefault="00C232D7" w:rsidP="00C232D7">
            <w:pPr>
              <w:spacing w:before="40" w:after="40" w:line="360" w:lineRule="auto"/>
              <w:rPr>
                <w:rFonts w:ascii="Arial" w:hAnsi="Arial" w:cs="Arial"/>
                <w:sz w:val="18"/>
                <w:szCs w:val="18"/>
                <w:lang w:val="sq-AL"/>
              </w:rPr>
            </w:pPr>
          </w:p>
        </w:tc>
        <w:tc>
          <w:tcPr>
            <w:tcW w:w="2655" w:type="dxa"/>
            <w:shd w:val="clear" w:color="auto" w:fill="FDE9D9"/>
            <w:noWrap/>
            <w:vAlign w:val="center"/>
          </w:tcPr>
          <w:p w14:paraId="514068C3"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50% da se posebno sakuplja</w:t>
            </w:r>
          </w:p>
        </w:tc>
        <w:tc>
          <w:tcPr>
            <w:tcW w:w="1452" w:type="dxa"/>
            <w:shd w:val="clear" w:color="auto" w:fill="FDE9D9"/>
            <w:vAlign w:val="center"/>
          </w:tcPr>
          <w:p w14:paraId="2EFFE1CC"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49.786</w:t>
            </w:r>
          </w:p>
        </w:tc>
        <w:tc>
          <w:tcPr>
            <w:tcW w:w="1582" w:type="dxa"/>
            <w:shd w:val="clear" w:color="auto" w:fill="FDE9D9"/>
            <w:vAlign w:val="center"/>
          </w:tcPr>
          <w:p w14:paraId="29862A99"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73.33</w:t>
            </w:r>
          </w:p>
        </w:tc>
        <w:tc>
          <w:tcPr>
            <w:tcW w:w="1121" w:type="dxa"/>
            <w:shd w:val="clear" w:color="auto" w:fill="FDE9D9"/>
            <w:vAlign w:val="center"/>
          </w:tcPr>
          <w:p w14:paraId="1B1D011B"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2030</w:t>
            </w:r>
          </w:p>
        </w:tc>
        <w:tc>
          <w:tcPr>
            <w:tcW w:w="1187" w:type="dxa"/>
            <w:shd w:val="clear" w:color="auto" w:fill="FDE9D9"/>
            <w:vAlign w:val="center"/>
          </w:tcPr>
          <w:p w14:paraId="42C03443"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47%</w:t>
            </w:r>
          </w:p>
        </w:tc>
      </w:tr>
      <w:tr w:rsidR="00C232D7" w:rsidRPr="002A6F4E" w14:paraId="213A712E" w14:textId="77777777" w:rsidTr="009C6A9D">
        <w:trPr>
          <w:trHeight w:val="300"/>
        </w:trPr>
        <w:tc>
          <w:tcPr>
            <w:tcW w:w="1271" w:type="dxa"/>
            <w:vMerge/>
            <w:shd w:val="clear" w:color="auto" w:fill="FDE9D9"/>
            <w:noWrap/>
            <w:vAlign w:val="center"/>
          </w:tcPr>
          <w:p w14:paraId="73080433" w14:textId="77777777" w:rsidR="00C232D7" w:rsidRPr="00820D17" w:rsidRDefault="00C232D7" w:rsidP="00C232D7">
            <w:pPr>
              <w:spacing w:before="40" w:after="40" w:line="360" w:lineRule="auto"/>
              <w:rPr>
                <w:rFonts w:ascii="Arial" w:hAnsi="Arial" w:cs="Arial"/>
                <w:sz w:val="18"/>
                <w:szCs w:val="18"/>
                <w:lang w:val="sq-AL"/>
              </w:rPr>
            </w:pPr>
          </w:p>
        </w:tc>
        <w:tc>
          <w:tcPr>
            <w:tcW w:w="2655" w:type="dxa"/>
            <w:shd w:val="clear" w:color="auto" w:fill="FDE9D9"/>
            <w:noWrap/>
            <w:vAlign w:val="center"/>
          </w:tcPr>
          <w:p w14:paraId="159611EA"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60% da se posebno sakuplja</w:t>
            </w:r>
          </w:p>
        </w:tc>
        <w:tc>
          <w:tcPr>
            <w:tcW w:w="1452" w:type="dxa"/>
            <w:shd w:val="clear" w:color="auto" w:fill="FDE9D9"/>
            <w:vAlign w:val="center"/>
          </w:tcPr>
          <w:p w14:paraId="3939FB60"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59.744</w:t>
            </w:r>
          </w:p>
        </w:tc>
        <w:tc>
          <w:tcPr>
            <w:tcW w:w="1582" w:type="dxa"/>
            <w:shd w:val="clear" w:color="auto" w:fill="FDE9D9"/>
            <w:vAlign w:val="center"/>
          </w:tcPr>
          <w:p w14:paraId="006D62A7"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87.34</w:t>
            </w:r>
          </w:p>
        </w:tc>
        <w:tc>
          <w:tcPr>
            <w:tcW w:w="1121" w:type="dxa"/>
            <w:shd w:val="clear" w:color="auto" w:fill="FDE9D9"/>
            <w:vAlign w:val="center"/>
          </w:tcPr>
          <w:p w14:paraId="7F6E4CCC"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2035</w:t>
            </w:r>
          </w:p>
        </w:tc>
        <w:tc>
          <w:tcPr>
            <w:tcW w:w="1187" w:type="dxa"/>
            <w:shd w:val="clear" w:color="auto" w:fill="FDE9D9"/>
            <w:vAlign w:val="center"/>
          </w:tcPr>
          <w:p w14:paraId="45852DCA"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39%</w:t>
            </w:r>
          </w:p>
        </w:tc>
      </w:tr>
      <w:tr w:rsidR="00C232D7" w:rsidRPr="002A6F4E" w14:paraId="4C94224F" w14:textId="77777777" w:rsidTr="009C6A9D">
        <w:trPr>
          <w:trHeight w:val="300"/>
        </w:trPr>
        <w:tc>
          <w:tcPr>
            <w:tcW w:w="1271" w:type="dxa"/>
            <w:vMerge w:val="restart"/>
            <w:shd w:val="clear" w:color="auto" w:fill="DEEAF6" w:themeFill="accent1" w:themeFillTint="33"/>
            <w:noWrap/>
            <w:vAlign w:val="center"/>
          </w:tcPr>
          <w:p w14:paraId="5A14C089"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Biootpad</w:t>
            </w:r>
          </w:p>
        </w:tc>
        <w:tc>
          <w:tcPr>
            <w:tcW w:w="2655" w:type="dxa"/>
            <w:shd w:val="clear" w:color="auto" w:fill="DEEAF6" w:themeFill="accent1" w:themeFillTint="33"/>
            <w:noWrap/>
          </w:tcPr>
          <w:p w14:paraId="692B24E7" w14:textId="77777777" w:rsidR="00C232D7" w:rsidRPr="00820D17" w:rsidRDefault="00C232D7" w:rsidP="00C232D7">
            <w:pPr>
              <w:spacing w:before="60" w:after="60" w:line="360" w:lineRule="auto"/>
              <w:rPr>
                <w:rFonts w:ascii="Arial" w:hAnsi="Arial" w:cs="Arial"/>
                <w:sz w:val="18"/>
                <w:szCs w:val="18"/>
                <w:lang w:val="sq-AL"/>
              </w:rPr>
            </w:pPr>
            <w:r w:rsidRPr="00820D17">
              <w:rPr>
                <w:rFonts w:ascii="Arial" w:hAnsi="Arial" w:cs="Arial"/>
                <w:sz w:val="18"/>
                <w:szCs w:val="18"/>
                <w:lang w:val="sq-AL"/>
              </w:rPr>
              <w:t>17,2% da se odvojeno sakuplja (50% za zeleni otpad i 10% za biološki otpad uključujući jestiva ulja)</w:t>
            </w:r>
          </w:p>
        </w:tc>
        <w:tc>
          <w:tcPr>
            <w:tcW w:w="1452" w:type="dxa"/>
            <w:shd w:val="clear" w:color="auto" w:fill="DEEAF6" w:themeFill="accent1" w:themeFillTint="33"/>
            <w:vAlign w:val="center"/>
          </w:tcPr>
          <w:p w14:paraId="3733A9A7"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24.233</w:t>
            </w:r>
          </w:p>
        </w:tc>
        <w:tc>
          <w:tcPr>
            <w:tcW w:w="1582" w:type="dxa"/>
            <w:shd w:val="clear" w:color="auto" w:fill="DEEAF6" w:themeFill="accent1" w:themeFillTint="33"/>
            <w:vAlign w:val="center"/>
          </w:tcPr>
          <w:p w14:paraId="54004F8C"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35.94</w:t>
            </w:r>
          </w:p>
        </w:tc>
        <w:tc>
          <w:tcPr>
            <w:tcW w:w="1121" w:type="dxa"/>
            <w:vMerge w:val="restart"/>
            <w:shd w:val="clear" w:color="auto" w:fill="DEEAF6" w:themeFill="accent1" w:themeFillTint="33"/>
            <w:vAlign w:val="center"/>
          </w:tcPr>
          <w:p w14:paraId="2AF88C92"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2025</w:t>
            </w:r>
          </w:p>
        </w:tc>
        <w:tc>
          <w:tcPr>
            <w:tcW w:w="1187" w:type="dxa"/>
            <w:shd w:val="clear" w:color="auto" w:fill="DEEAF6" w:themeFill="accent1" w:themeFillTint="33"/>
            <w:vAlign w:val="center"/>
          </w:tcPr>
          <w:p w14:paraId="1C35874C"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31%</w:t>
            </w:r>
          </w:p>
        </w:tc>
      </w:tr>
      <w:tr w:rsidR="00C232D7" w:rsidRPr="002A6F4E" w14:paraId="4E171A2F" w14:textId="77777777" w:rsidTr="009C6A9D">
        <w:trPr>
          <w:trHeight w:val="300"/>
        </w:trPr>
        <w:tc>
          <w:tcPr>
            <w:tcW w:w="1271" w:type="dxa"/>
            <w:vMerge/>
            <w:shd w:val="clear" w:color="auto" w:fill="DEEAF6" w:themeFill="accent1" w:themeFillTint="33"/>
            <w:noWrap/>
            <w:vAlign w:val="center"/>
          </w:tcPr>
          <w:p w14:paraId="69F51746" w14:textId="77777777" w:rsidR="00C232D7" w:rsidRPr="00820D17" w:rsidRDefault="00C232D7" w:rsidP="00C232D7">
            <w:pPr>
              <w:spacing w:before="40" w:after="40" w:line="360" w:lineRule="auto"/>
              <w:rPr>
                <w:rFonts w:ascii="Arial" w:hAnsi="Arial" w:cs="Arial"/>
                <w:sz w:val="18"/>
                <w:szCs w:val="18"/>
                <w:lang w:val="sq-AL"/>
              </w:rPr>
            </w:pPr>
          </w:p>
        </w:tc>
        <w:tc>
          <w:tcPr>
            <w:tcW w:w="2655" w:type="dxa"/>
            <w:shd w:val="clear" w:color="auto" w:fill="DEEAF6" w:themeFill="accent1" w:themeFillTint="33"/>
            <w:noWrap/>
          </w:tcPr>
          <w:p w14:paraId="7A8ACBD1" w14:textId="77777777" w:rsidR="00C232D7" w:rsidRPr="00820D17" w:rsidRDefault="00C232D7" w:rsidP="00C232D7">
            <w:pPr>
              <w:spacing w:before="60" w:after="60" w:line="360" w:lineRule="auto"/>
              <w:rPr>
                <w:rFonts w:ascii="Arial" w:hAnsi="Arial" w:cs="Arial"/>
                <w:sz w:val="18"/>
                <w:szCs w:val="18"/>
                <w:lang w:val="sq-AL"/>
              </w:rPr>
            </w:pPr>
            <w:r w:rsidRPr="00820D17">
              <w:rPr>
                <w:rFonts w:ascii="Arial" w:hAnsi="Arial" w:cs="Arial"/>
                <w:sz w:val="18"/>
                <w:szCs w:val="18"/>
                <w:lang w:val="sq-AL"/>
              </w:rPr>
              <w:t>4% za kućno kompostiranje</w:t>
            </w:r>
          </w:p>
        </w:tc>
        <w:tc>
          <w:tcPr>
            <w:tcW w:w="1452" w:type="dxa"/>
            <w:shd w:val="clear" w:color="auto" w:fill="DEEAF6" w:themeFill="accent1" w:themeFillTint="33"/>
            <w:vAlign w:val="center"/>
          </w:tcPr>
          <w:p w14:paraId="39BA06A4"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5.624</w:t>
            </w:r>
          </w:p>
        </w:tc>
        <w:tc>
          <w:tcPr>
            <w:tcW w:w="1582" w:type="dxa"/>
            <w:shd w:val="clear" w:color="auto" w:fill="DEEAF6" w:themeFill="accent1" w:themeFillTint="33"/>
            <w:vAlign w:val="center"/>
          </w:tcPr>
          <w:p w14:paraId="309D82D8"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8.34</w:t>
            </w:r>
          </w:p>
        </w:tc>
        <w:tc>
          <w:tcPr>
            <w:tcW w:w="1121" w:type="dxa"/>
            <w:vMerge/>
            <w:shd w:val="clear" w:color="auto" w:fill="DEEAF6" w:themeFill="accent1" w:themeFillTint="33"/>
            <w:vAlign w:val="center"/>
          </w:tcPr>
          <w:p w14:paraId="25B153F7" w14:textId="77777777" w:rsidR="00C232D7" w:rsidRPr="00820D17" w:rsidRDefault="00C232D7" w:rsidP="00C232D7">
            <w:pPr>
              <w:spacing w:before="40" w:after="40" w:line="360" w:lineRule="auto"/>
              <w:rPr>
                <w:rFonts w:ascii="Arial" w:hAnsi="Arial" w:cs="Arial"/>
                <w:sz w:val="18"/>
                <w:szCs w:val="18"/>
                <w:lang w:val="sq-AL"/>
              </w:rPr>
            </w:pPr>
          </w:p>
        </w:tc>
        <w:tc>
          <w:tcPr>
            <w:tcW w:w="1187" w:type="dxa"/>
            <w:shd w:val="clear" w:color="auto" w:fill="DEEAF6" w:themeFill="accent1" w:themeFillTint="33"/>
            <w:vAlign w:val="center"/>
          </w:tcPr>
          <w:p w14:paraId="1EEEE6C0"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0</w:t>
            </w:r>
          </w:p>
        </w:tc>
      </w:tr>
      <w:tr w:rsidR="00C232D7" w:rsidRPr="002A6F4E" w14:paraId="728C90B5" w14:textId="77777777" w:rsidTr="009C6A9D">
        <w:trPr>
          <w:trHeight w:val="300"/>
        </w:trPr>
        <w:tc>
          <w:tcPr>
            <w:tcW w:w="1271" w:type="dxa"/>
            <w:vMerge/>
            <w:shd w:val="clear" w:color="auto" w:fill="DEEAF6" w:themeFill="accent1" w:themeFillTint="33"/>
            <w:noWrap/>
            <w:vAlign w:val="center"/>
          </w:tcPr>
          <w:p w14:paraId="67544D05" w14:textId="77777777" w:rsidR="00C232D7" w:rsidRPr="00820D17" w:rsidRDefault="00C232D7" w:rsidP="00C232D7">
            <w:pPr>
              <w:spacing w:before="40" w:after="40" w:line="360" w:lineRule="auto"/>
              <w:rPr>
                <w:rFonts w:ascii="Arial" w:hAnsi="Arial" w:cs="Arial"/>
                <w:sz w:val="18"/>
                <w:szCs w:val="18"/>
                <w:lang w:val="sq-AL"/>
              </w:rPr>
            </w:pPr>
          </w:p>
        </w:tc>
        <w:tc>
          <w:tcPr>
            <w:tcW w:w="2655" w:type="dxa"/>
            <w:shd w:val="clear" w:color="auto" w:fill="DEEAF6" w:themeFill="accent1" w:themeFillTint="33"/>
            <w:noWrap/>
          </w:tcPr>
          <w:p w14:paraId="281BB1C1"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27,2% da će se odvojeno sakuplja (60% za zeleni otpad i 20% za biološki otpad uključujući jestiva ulja)</w:t>
            </w:r>
          </w:p>
        </w:tc>
        <w:tc>
          <w:tcPr>
            <w:tcW w:w="1452" w:type="dxa"/>
            <w:shd w:val="clear" w:color="auto" w:fill="DEEAF6" w:themeFill="accent1" w:themeFillTint="33"/>
            <w:vAlign w:val="center"/>
          </w:tcPr>
          <w:p w14:paraId="497EF308"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37.847</w:t>
            </w:r>
          </w:p>
        </w:tc>
        <w:tc>
          <w:tcPr>
            <w:tcW w:w="1582" w:type="dxa"/>
            <w:shd w:val="clear" w:color="auto" w:fill="DEEAF6" w:themeFill="accent1" w:themeFillTint="33"/>
            <w:vAlign w:val="center"/>
          </w:tcPr>
          <w:p w14:paraId="263E6368"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55.75</w:t>
            </w:r>
          </w:p>
        </w:tc>
        <w:tc>
          <w:tcPr>
            <w:tcW w:w="1121" w:type="dxa"/>
            <w:shd w:val="clear" w:color="auto" w:fill="DEEAF6" w:themeFill="accent1" w:themeFillTint="33"/>
            <w:vAlign w:val="center"/>
          </w:tcPr>
          <w:p w14:paraId="42785D08"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2030</w:t>
            </w:r>
          </w:p>
        </w:tc>
        <w:tc>
          <w:tcPr>
            <w:tcW w:w="1187" w:type="dxa"/>
            <w:shd w:val="clear" w:color="auto" w:fill="DEEAF6" w:themeFill="accent1" w:themeFillTint="33"/>
            <w:vAlign w:val="center"/>
          </w:tcPr>
          <w:p w14:paraId="1E95C3FD"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20%</w:t>
            </w:r>
          </w:p>
        </w:tc>
      </w:tr>
      <w:tr w:rsidR="00C232D7" w:rsidRPr="002A6F4E" w14:paraId="79059B75" w14:textId="77777777" w:rsidTr="009C6A9D">
        <w:trPr>
          <w:trHeight w:val="300"/>
        </w:trPr>
        <w:tc>
          <w:tcPr>
            <w:tcW w:w="1271" w:type="dxa"/>
            <w:vMerge w:val="restart"/>
            <w:shd w:val="clear" w:color="auto" w:fill="FDE9D9"/>
            <w:noWrap/>
            <w:vAlign w:val="center"/>
          </w:tcPr>
          <w:p w14:paraId="15985AC1"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Tekstil</w:t>
            </w:r>
          </w:p>
        </w:tc>
        <w:tc>
          <w:tcPr>
            <w:tcW w:w="2655" w:type="dxa"/>
            <w:shd w:val="clear" w:color="auto" w:fill="FDE9D9"/>
            <w:noWrap/>
            <w:vAlign w:val="center"/>
          </w:tcPr>
          <w:p w14:paraId="10DE6047"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10% da se posebno sakuplja</w:t>
            </w:r>
          </w:p>
        </w:tc>
        <w:tc>
          <w:tcPr>
            <w:tcW w:w="1452" w:type="dxa"/>
            <w:shd w:val="clear" w:color="auto" w:fill="FDE9D9"/>
            <w:vAlign w:val="center"/>
          </w:tcPr>
          <w:p w14:paraId="3E20462E"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1.177</w:t>
            </w:r>
          </w:p>
        </w:tc>
        <w:tc>
          <w:tcPr>
            <w:tcW w:w="1582" w:type="dxa"/>
            <w:shd w:val="clear" w:color="auto" w:fill="FDE9D9"/>
            <w:vAlign w:val="center"/>
          </w:tcPr>
          <w:p w14:paraId="77312A00"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1.75</w:t>
            </w:r>
          </w:p>
        </w:tc>
        <w:tc>
          <w:tcPr>
            <w:tcW w:w="1121" w:type="dxa"/>
            <w:shd w:val="clear" w:color="auto" w:fill="FDE9D9"/>
            <w:vAlign w:val="center"/>
          </w:tcPr>
          <w:p w14:paraId="3425334B"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2025</w:t>
            </w:r>
          </w:p>
        </w:tc>
        <w:tc>
          <w:tcPr>
            <w:tcW w:w="1187" w:type="dxa"/>
            <w:shd w:val="clear" w:color="auto" w:fill="FDE9D9"/>
            <w:vAlign w:val="center"/>
          </w:tcPr>
          <w:p w14:paraId="122D904D"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0</w:t>
            </w:r>
          </w:p>
        </w:tc>
      </w:tr>
      <w:tr w:rsidR="00C232D7" w:rsidRPr="002A6F4E" w14:paraId="2DAB4242" w14:textId="77777777" w:rsidTr="009C6A9D">
        <w:trPr>
          <w:trHeight w:val="300"/>
        </w:trPr>
        <w:tc>
          <w:tcPr>
            <w:tcW w:w="1271" w:type="dxa"/>
            <w:vMerge/>
            <w:shd w:val="clear" w:color="auto" w:fill="FDE9D9"/>
            <w:noWrap/>
            <w:vAlign w:val="center"/>
          </w:tcPr>
          <w:p w14:paraId="6729CE43" w14:textId="77777777" w:rsidR="00C232D7" w:rsidRPr="00820D17" w:rsidRDefault="00C232D7" w:rsidP="00C232D7">
            <w:pPr>
              <w:spacing w:before="40" w:after="40" w:line="360" w:lineRule="auto"/>
              <w:rPr>
                <w:rFonts w:ascii="Arial" w:hAnsi="Arial" w:cs="Arial"/>
                <w:sz w:val="18"/>
                <w:szCs w:val="18"/>
                <w:lang w:val="sq-AL"/>
              </w:rPr>
            </w:pPr>
          </w:p>
        </w:tc>
        <w:tc>
          <w:tcPr>
            <w:tcW w:w="2655" w:type="dxa"/>
            <w:shd w:val="clear" w:color="auto" w:fill="FDE9D9"/>
            <w:noWrap/>
            <w:vAlign w:val="center"/>
          </w:tcPr>
          <w:p w14:paraId="49DADCCC"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20% da se posebno sakuplja</w:t>
            </w:r>
          </w:p>
        </w:tc>
        <w:tc>
          <w:tcPr>
            <w:tcW w:w="1452" w:type="dxa"/>
            <w:shd w:val="clear" w:color="auto" w:fill="FDE9D9"/>
            <w:vAlign w:val="center"/>
          </w:tcPr>
          <w:p w14:paraId="6C554CA2"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2.399</w:t>
            </w:r>
          </w:p>
        </w:tc>
        <w:tc>
          <w:tcPr>
            <w:tcW w:w="1582" w:type="dxa"/>
            <w:shd w:val="clear" w:color="auto" w:fill="FDE9D9"/>
            <w:vAlign w:val="center"/>
          </w:tcPr>
          <w:p w14:paraId="1F69CA7B"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3.53</w:t>
            </w:r>
          </w:p>
        </w:tc>
        <w:tc>
          <w:tcPr>
            <w:tcW w:w="1121" w:type="dxa"/>
            <w:shd w:val="clear" w:color="auto" w:fill="FDE9D9"/>
            <w:vAlign w:val="center"/>
          </w:tcPr>
          <w:p w14:paraId="38898C41"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2030</w:t>
            </w:r>
          </w:p>
        </w:tc>
        <w:tc>
          <w:tcPr>
            <w:tcW w:w="1187" w:type="dxa"/>
            <w:shd w:val="clear" w:color="auto" w:fill="FDE9D9"/>
            <w:vAlign w:val="center"/>
          </w:tcPr>
          <w:p w14:paraId="0FD65C9A"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0</w:t>
            </w:r>
          </w:p>
        </w:tc>
      </w:tr>
      <w:tr w:rsidR="00C232D7" w:rsidRPr="002A6F4E" w14:paraId="6C3FE1EE" w14:textId="77777777" w:rsidTr="009C6A9D">
        <w:trPr>
          <w:trHeight w:val="300"/>
        </w:trPr>
        <w:tc>
          <w:tcPr>
            <w:tcW w:w="1271" w:type="dxa"/>
            <w:vMerge w:val="restart"/>
            <w:shd w:val="clear" w:color="auto" w:fill="DEEAF6" w:themeFill="accent1" w:themeFillTint="33"/>
            <w:noWrap/>
            <w:vAlign w:val="center"/>
          </w:tcPr>
          <w:p w14:paraId="1E19AE4D"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Kabasti otpad</w:t>
            </w:r>
          </w:p>
        </w:tc>
        <w:tc>
          <w:tcPr>
            <w:tcW w:w="2655" w:type="dxa"/>
            <w:shd w:val="clear" w:color="auto" w:fill="DEEAF6" w:themeFill="accent1" w:themeFillTint="33"/>
            <w:noWrap/>
            <w:vAlign w:val="center"/>
          </w:tcPr>
          <w:p w14:paraId="5A408F05"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20% da se posebno sakuplja</w:t>
            </w:r>
          </w:p>
        </w:tc>
        <w:tc>
          <w:tcPr>
            <w:tcW w:w="1452" w:type="dxa"/>
            <w:shd w:val="clear" w:color="auto" w:fill="DEEAF6" w:themeFill="accent1" w:themeFillTint="33"/>
            <w:vAlign w:val="center"/>
          </w:tcPr>
          <w:p w14:paraId="79BBA4DB"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1.646</w:t>
            </w:r>
          </w:p>
        </w:tc>
        <w:tc>
          <w:tcPr>
            <w:tcW w:w="1582" w:type="dxa"/>
            <w:shd w:val="clear" w:color="auto" w:fill="DEEAF6" w:themeFill="accent1" w:themeFillTint="33"/>
            <w:vAlign w:val="center"/>
          </w:tcPr>
          <w:p w14:paraId="2EB050EF"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2.44</w:t>
            </w:r>
          </w:p>
        </w:tc>
        <w:tc>
          <w:tcPr>
            <w:tcW w:w="1121" w:type="dxa"/>
            <w:shd w:val="clear" w:color="auto" w:fill="DEEAF6" w:themeFill="accent1" w:themeFillTint="33"/>
            <w:vAlign w:val="center"/>
          </w:tcPr>
          <w:p w14:paraId="3D1D9F8A"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2025</w:t>
            </w:r>
          </w:p>
        </w:tc>
        <w:tc>
          <w:tcPr>
            <w:tcW w:w="1187" w:type="dxa"/>
            <w:shd w:val="clear" w:color="auto" w:fill="DEEAF6" w:themeFill="accent1" w:themeFillTint="33"/>
            <w:vAlign w:val="center"/>
          </w:tcPr>
          <w:p w14:paraId="347E4C3F"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50%</w:t>
            </w:r>
          </w:p>
        </w:tc>
      </w:tr>
      <w:tr w:rsidR="00C232D7" w:rsidRPr="002A6F4E" w14:paraId="5589354A" w14:textId="77777777" w:rsidTr="009C6A9D">
        <w:trPr>
          <w:trHeight w:val="300"/>
        </w:trPr>
        <w:tc>
          <w:tcPr>
            <w:tcW w:w="1271" w:type="dxa"/>
            <w:vMerge/>
            <w:shd w:val="clear" w:color="auto" w:fill="DEEAF6" w:themeFill="accent1" w:themeFillTint="33"/>
            <w:noWrap/>
            <w:vAlign w:val="center"/>
          </w:tcPr>
          <w:p w14:paraId="69CB4784" w14:textId="77777777" w:rsidR="00C232D7" w:rsidRPr="00820D17" w:rsidRDefault="00C232D7" w:rsidP="00C232D7">
            <w:pPr>
              <w:spacing w:before="40" w:after="40" w:line="360" w:lineRule="auto"/>
              <w:rPr>
                <w:rFonts w:ascii="Arial" w:hAnsi="Arial" w:cs="Arial"/>
                <w:sz w:val="18"/>
                <w:szCs w:val="18"/>
                <w:lang w:val="sq-AL"/>
              </w:rPr>
            </w:pPr>
          </w:p>
        </w:tc>
        <w:tc>
          <w:tcPr>
            <w:tcW w:w="2655" w:type="dxa"/>
            <w:shd w:val="clear" w:color="auto" w:fill="DEEAF6" w:themeFill="accent1" w:themeFillTint="33"/>
            <w:noWrap/>
            <w:vAlign w:val="center"/>
          </w:tcPr>
          <w:p w14:paraId="36838E10"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40% da se posebno sakuplja</w:t>
            </w:r>
          </w:p>
        </w:tc>
        <w:tc>
          <w:tcPr>
            <w:tcW w:w="1452" w:type="dxa"/>
            <w:shd w:val="clear" w:color="auto" w:fill="DEEAF6" w:themeFill="accent1" w:themeFillTint="33"/>
            <w:vAlign w:val="center"/>
          </w:tcPr>
          <w:p w14:paraId="6FEDBFFF"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3.331</w:t>
            </w:r>
          </w:p>
        </w:tc>
        <w:tc>
          <w:tcPr>
            <w:tcW w:w="1582" w:type="dxa"/>
            <w:shd w:val="clear" w:color="auto" w:fill="DEEAF6" w:themeFill="accent1" w:themeFillTint="33"/>
            <w:vAlign w:val="center"/>
          </w:tcPr>
          <w:p w14:paraId="0EEB7EB8"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4.91</w:t>
            </w:r>
          </w:p>
        </w:tc>
        <w:tc>
          <w:tcPr>
            <w:tcW w:w="1121" w:type="dxa"/>
            <w:shd w:val="clear" w:color="auto" w:fill="DEEAF6" w:themeFill="accent1" w:themeFillTint="33"/>
            <w:vAlign w:val="center"/>
          </w:tcPr>
          <w:p w14:paraId="7B690DAA"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2030</w:t>
            </w:r>
          </w:p>
        </w:tc>
        <w:tc>
          <w:tcPr>
            <w:tcW w:w="1187" w:type="dxa"/>
            <w:shd w:val="clear" w:color="auto" w:fill="DEEAF6" w:themeFill="accent1" w:themeFillTint="33"/>
            <w:vAlign w:val="center"/>
          </w:tcPr>
          <w:p w14:paraId="083E3523"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25%</w:t>
            </w:r>
          </w:p>
        </w:tc>
      </w:tr>
      <w:tr w:rsidR="00C232D7" w:rsidRPr="002A6F4E" w14:paraId="5C3A2916" w14:textId="77777777" w:rsidTr="009C6A9D">
        <w:trPr>
          <w:trHeight w:val="300"/>
        </w:trPr>
        <w:tc>
          <w:tcPr>
            <w:tcW w:w="1271" w:type="dxa"/>
            <w:vMerge w:val="restart"/>
            <w:shd w:val="clear" w:color="auto" w:fill="FDE9D9"/>
            <w:noWrap/>
            <w:vAlign w:val="center"/>
          </w:tcPr>
          <w:p w14:paraId="0BCE2CDB"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Ukupno odvojeno sakupljanje otpada</w:t>
            </w:r>
          </w:p>
        </w:tc>
        <w:tc>
          <w:tcPr>
            <w:tcW w:w="2655" w:type="dxa"/>
            <w:shd w:val="clear" w:color="auto" w:fill="FDE9D9"/>
            <w:noWrap/>
          </w:tcPr>
          <w:p w14:paraId="7F9B8048"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 xml:space="preserve">20% da se posebno sakuplja </w:t>
            </w:r>
          </w:p>
        </w:tc>
        <w:tc>
          <w:tcPr>
            <w:tcW w:w="1452" w:type="dxa"/>
            <w:shd w:val="clear" w:color="auto" w:fill="FDE9D9"/>
            <w:vAlign w:val="center"/>
          </w:tcPr>
          <w:p w14:paraId="0B95493D"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53.467</w:t>
            </w:r>
          </w:p>
        </w:tc>
        <w:tc>
          <w:tcPr>
            <w:tcW w:w="1582" w:type="dxa"/>
            <w:shd w:val="clear" w:color="auto" w:fill="FDE9D9"/>
            <w:vAlign w:val="center"/>
          </w:tcPr>
          <w:p w14:paraId="79275F08"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79.30</w:t>
            </w:r>
          </w:p>
        </w:tc>
        <w:tc>
          <w:tcPr>
            <w:tcW w:w="1121" w:type="dxa"/>
            <w:shd w:val="clear" w:color="auto" w:fill="FDE9D9"/>
            <w:vAlign w:val="center"/>
          </w:tcPr>
          <w:p w14:paraId="7675A6BF"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2025</w:t>
            </w:r>
          </w:p>
        </w:tc>
        <w:tc>
          <w:tcPr>
            <w:tcW w:w="1187" w:type="dxa"/>
            <w:shd w:val="clear" w:color="auto" w:fill="FDE9D9"/>
            <w:vAlign w:val="center"/>
          </w:tcPr>
          <w:p w14:paraId="1A8ADC82"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69%</w:t>
            </w:r>
          </w:p>
        </w:tc>
      </w:tr>
      <w:tr w:rsidR="00C232D7" w:rsidRPr="002A6F4E" w14:paraId="40FA054C" w14:textId="77777777" w:rsidTr="009C6A9D">
        <w:trPr>
          <w:trHeight w:val="300"/>
        </w:trPr>
        <w:tc>
          <w:tcPr>
            <w:tcW w:w="1271" w:type="dxa"/>
            <w:vMerge/>
            <w:shd w:val="clear" w:color="auto" w:fill="FDE9D9"/>
            <w:noWrap/>
            <w:vAlign w:val="center"/>
          </w:tcPr>
          <w:p w14:paraId="3E47243B" w14:textId="77777777" w:rsidR="00C232D7" w:rsidRPr="00820D17" w:rsidRDefault="00C232D7" w:rsidP="00C232D7">
            <w:pPr>
              <w:spacing w:before="40" w:after="40" w:line="360" w:lineRule="auto"/>
              <w:rPr>
                <w:rFonts w:ascii="Arial" w:hAnsi="Arial" w:cs="Arial"/>
                <w:sz w:val="18"/>
                <w:szCs w:val="18"/>
                <w:lang w:val="sq-AL"/>
              </w:rPr>
            </w:pPr>
          </w:p>
        </w:tc>
        <w:tc>
          <w:tcPr>
            <w:tcW w:w="2655" w:type="dxa"/>
            <w:shd w:val="clear" w:color="auto" w:fill="FDE9D9"/>
            <w:noWrap/>
          </w:tcPr>
          <w:p w14:paraId="4A45D335"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35% da se posebno sakuplja</w:t>
            </w:r>
          </w:p>
        </w:tc>
        <w:tc>
          <w:tcPr>
            <w:tcW w:w="1452" w:type="dxa"/>
            <w:shd w:val="clear" w:color="auto" w:fill="FDE9D9"/>
            <w:vAlign w:val="center"/>
          </w:tcPr>
          <w:p w14:paraId="73C4880B"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123.486</w:t>
            </w:r>
          </w:p>
        </w:tc>
        <w:tc>
          <w:tcPr>
            <w:tcW w:w="1582" w:type="dxa"/>
            <w:shd w:val="clear" w:color="auto" w:fill="FDE9D9"/>
            <w:vAlign w:val="center"/>
          </w:tcPr>
          <w:p w14:paraId="55A40E7F"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181.89</w:t>
            </w:r>
          </w:p>
        </w:tc>
        <w:tc>
          <w:tcPr>
            <w:tcW w:w="1121" w:type="dxa"/>
            <w:shd w:val="clear" w:color="auto" w:fill="FDE9D9"/>
            <w:vAlign w:val="center"/>
          </w:tcPr>
          <w:p w14:paraId="11CD0BC3"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lang w:val="sq-AL"/>
              </w:rPr>
              <w:t>2030</w:t>
            </w:r>
          </w:p>
        </w:tc>
        <w:tc>
          <w:tcPr>
            <w:tcW w:w="1187" w:type="dxa"/>
            <w:shd w:val="clear" w:color="auto" w:fill="FDE9D9"/>
            <w:vAlign w:val="center"/>
          </w:tcPr>
          <w:p w14:paraId="0248E15B" w14:textId="77777777" w:rsidR="00C232D7" w:rsidRPr="00820D17" w:rsidRDefault="00C232D7" w:rsidP="00C232D7">
            <w:pPr>
              <w:spacing w:before="40" w:after="40" w:line="360" w:lineRule="auto"/>
              <w:rPr>
                <w:rFonts w:ascii="Arial" w:hAnsi="Arial" w:cs="Arial"/>
                <w:sz w:val="18"/>
                <w:szCs w:val="18"/>
                <w:lang w:val="sq-AL"/>
              </w:rPr>
            </w:pPr>
            <w:r w:rsidRPr="00820D17">
              <w:rPr>
                <w:rFonts w:ascii="Arial" w:hAnsi="Arial" w:cs="Arial"/>
                <w:sz w:val="18"/>
                <w:szCs w:val="18"/>
              </w:rPr>
              <w:t>30%</w:t>
            </w:r>
          </w:p>
        </w:tc>
      </w:tr>
    </w:tbl>
    <w:p w14:paraId="58C5D6EB" w14:textId="53921EA5" w:rsidR="00C232D7" w:rsidRPr="002A6F4E" w:rsidRDefault="00C232D7" w:rsidP="00C232D7">
      <w:pPr>
        <w:spacing w:before="120" w:after="120" w:line="360" w:lineRule="auto"/>
        <w:rPr>
          <w:rFonts w:ascii="Arial" w:hAnsi="Arial" w:cs="Arial"/>
          <w:lang w:val="sq-AL"/>
        </w:rPr>
      </w:pPr>
      <w:bookmarkStart w:id="951" w:name="_Toc355281"/>
      <w:bookmarkStart w:id="952" w:name="_Toc367693"/>
      <w:bookmarkStart w:id="953" w:name="_Toc3385819"/>
      <w:bookmarkStart w:id="954" w:name="_Toc530385933"/>
      <w:bookmarkStart w:id="955" w:name="_Toc530666931"/>
      <w:bookmarkStart w:id="956" w:name="_Toc2782311"/>
      <w:bookmarkStart w:id="957" w:name="_Toc530667058"/>
      <w:bookmarkStart w:id="958" w:name="_Toc2782379"/>
      <w:bookmarkStart w:id="959" w:name="_Toc530667038"/>
      <w:bookmarkStart w:id="960" w:name="_Toc530667088"/>
      <w:r w:rsidRPr="002A6F4E">
        <w:rPr>
          <w:rFonts w:ascii="Arial" w:hAnsi="Arial" w:cs="Arial"/>
          <w:lang w:val="sq-AL"/>
        </w:rPr>
        <w:t>Pored gore navedenih ciljeva, postavljeni su i sljedeći operativni ciljevi:</w:t>
      </w:r>
    </w:p>
    <w:p w14:paraId="38D2CD56" w14:textId="77777777"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Modernizacija sistema sakupljanja i transporta otpada;</w:t>
      </w:r>
    </w:p>
    <w:p w14:paraId="0A1C3F87" w14:textId="77777777"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Reorganizacija područja koji su pokriveni uslugama sakupljanja otpada, novi zonski koncept i poboljšanje planova ruta, urbana/ruralna područja;</w:t>
      </w:r>
    </w:p>
    <w:p w14:paraId="78BDC501" w14:textId="77777777"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Optimizacija logistike dovršavanjem postojeće mreže transfer stanica i razvoj mreže reciklažnih dvorišta;</w:t>
      </w:r>
    </w:p>
    <w:p w14:paraId="233BA296" w14:textId="77777777"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lastRenderedPageBreak/>
        <w:t>Ojačati odvojeno sakupljanje otpadnih jestivih ulja i masti.</w:t>
      </w:r>
    </w:p>
    <w:p w14:paraId="41D92BA2" w14:textId="22BE269B" w:rsidR="00C232D7" w:rsidRPr="002A6F4E" w:rsidRDefault="004F5CD0" w:rsidP="00F57909">
      <w:pPr>
        <w:pStyle w:val="Heading2"/>
      </w:pPr>
      <w:bookmarkStart w:id="961" w:name="_Toc193354018"/>
      <w:bookmarkEnd w:id="951"/>
      <w:bookmarkEnd w:id="952"/>
      <w:bookmarkEnd w:id="953"/>
      <w:bookmarkEnd w:id="954"/>
      <w:bookmarkEnd w:id="955"/>
      <w:bookmarkEnd w:id="956"/>
      <w:bookmarkEnd w:id="957"/>
      <w:bookmarkEnd w:id="958"/>
      <w:bookmarkEnd w:id="959"/>
      <w:bookmarkEnd w:id="960"/>
      <w:r w:rsidRPr="002A6F4E">
        <w:t>5.1</w:t>
      </w:r>
      <w:r w:rsidR="006913A1">
        <w:t>1</w:t>
      </w:r>
      <w:r w:rsidRPr="002A6F4E">
        <w:t>.</w:t>
      </w:r>
      <w:r w:rsidR="00C232D7" w:rsidRPr="002A6F4E">
        <w:t xml:space="preserve"> </w:t>
      </w:r>
      <w:bookmarkStart w:id="962" w:name="_Toc189759689"/>
      <w:r w:rsidR="00C232D7" w:rsidRPr="002A6F4E">
        <w:t>Moguće opcije za sakupljanje otpada</w:t>
      </w:r>
      <w:bookmarkEnd w:id="961"/>
      <w:bookmarkEnd w:id="962"/>
    </w:p>
    <w:p w14:paraId="366A2D0E" w14:textId="1C3A9B00" w:rsidR="009C6A9D" w:rsidRPr="002A6F4E" w:rsidRDefault="00C232D7" w:rsidP="00C232D7">
      <w:pPr>
        <w:spacing w:before="120" w:after="120" w:line="360" w:lineRule="auto"/>
        <w:rPr>
          <w:rFonts w:ascii="Arial" w:hAnsi="Arial" w:cs="Arial"/>
          <w:lang w:val="sq-AL"/>
        </w:rPr>
      </w:pPr>
      <w:r w:rsidRPr="002A6F4E">
        <w:rPr>
          <w:rFonts w:ascii="Arial" w:hAnsi="Arial" w:cs="Arial"/>
          <w:lang w:val="sq-AL"/>
        </w:rPr>
        <w:t>Za razvoj alternativnih opcija (osim uobičajenog poslovanja, koji uključuje inicijative koje već postoje), moguće opcije za sakupljanje otpada su predstavljene u nastavku.</w:t>
      </w:r>
    </w:p>
    <w:p w14:paraId="1912CA8D" w14:textId="023BBA70" w:rsidR="00C232D7" w:rsidRPr="002A6F4E" w:rsidRDefault="00C232D7" w:rsidP="00C232D7">
      <w:pPr>
        <w:spacing w:line="360" w:lineRule="auto"/>
        <w:rPr>
          <w:rFonts w:ascii="Arial" w:hAnsi="Arial" w:cs="Arial"/>
          <w:b/>
          <w:bCs/>
          <w:lang w:val="sq-AL"/>
        </w:rPr>
      </w:pPr>
      <w:r w:rsidRPr="002A6F4E">
        <w:rPr>
          <w:rFonts w:ascii="Arial" w:hAnsi="Arial" w:cs="Arial"/>
          <w:b/>
          <w:bCs/>
          <w:lang w:val="sq-AL"/>
        </w:rPr>
        <w:t>Odvojeni sistem sakupljanja</w:t>
      </w:r>
    </w:p>
    <w:p w14:paraId="00F143F7" w14:textId="6725FD69"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Opcije uzimaju u obzir </w:t>
      </w:r>
      <w:r w:rsidR="00AB3B85">
        <w:rPr>
          <w:rFonts w:ascii="Arial" w:hAnsi="Arial" w:cs="Arial"/>
          <w:lang w:val="sq-AL"/>
        </w:rPr>
        <w:t>uspostavljanje</w:t>
      </w:r>
      <w:r w:rsidR="00AB3B85" w:rsidRPr="002A6F4E">
        <w:rPr>
          <w:rFonts w:ascii="Arial" w:hAnsi="Arial" w:cs="Arial"/>
          <w:lang w:val="sq-AL"/>
        </w:rPr>
        <w:t xml:space="preserve"> </w:t>
      </w:r>
      <w:r w:rsidRPr="002A6F4E">
        <w:rPr>
          <w:rFonts w:ascii="Arial" w:hAnsi="Arial" w:cs="Arial"/>
          <w:lang w:val="sq-AL"/>
        </w:rPr>
        <w:t xml:space="preserve">odvojenog </w:t>
      </w:r>
      <w:bookmarkStart w:id="963" w:name="_Hlk123665833"/>
      <w:r w:rsidRPr="002A6F4E">
        <w:rPr>
          <w:rFonts w:ascii="Arial" w:hAnsi="Arial" w:cs="Arial"/>
          <w:lang w:val="sq-AL"/>
        </w:rPr>
        <w:t xml:space="preserve">sakupljanja frakcija otpada koji može da se reciklira </w:t>
      </w:r>
      <w:bookmarkEnd w:id="963"/>
      <w:r w:rsidRPr="002A6F4E">
        <w:rPr>
          <w:rFonts w:ascii="Arial" w:hAnsi="Arial" w:cs="Arial"/>
          <w:lang w:val="sq-AL"/>
        </w:rPr>
        <w:t>i biorazgradivog  otpada kako je predviđeno zakonodavstvom i strateškim dokumentima.</w:t>
      </w:r>
    </w:p>
    <w:p w14:paraId="42C90BCF"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Dostupne opcije uključuju:</w:t>
      </w:r>
    </w:p>
    <w:p w14:paraId="35D6DD11" w14:textId="5B8ABC7B" w:rsidR="00C232D7" w:rsidRPr="002A6F4E" w:rsidRDefault="005C4A0C" w:rsidP="00A23ED0">
      <w:pPr>
        <w:pStyle w:val="ListParagraph"/>
        <w:numPr>
          <w:ilvl w:val="0"/>
          <w:numId w:val="37"/>
        </w:numPr>
        <w:spacing w:before="120" w:after="120" w:line="360" w:lineRule="auto"/>
        <w:contextualSpacing w:val="0"/>
        <w:rPr>
          <w:rFonts w:ascii="Arial" w:hAnsi="Arial" w:cs="Arial"/>
          <w:lang w:val="sq-AL"/>
        </w:rPr>
      </w:pPr>
      <w:r>
        <w:rPr>
          <w:rFonts w:ascii="Arial" w:hAnsi="Arial" w:cs="Arial"/>
          <w:lang w:val="sq-AL"/>
        </w:rPr>
        <w:t>Posude</w:t>
      </w:r>
      <w:r w:rsidR="00C232D7" w:rsidRPr="002A6F4E">
        <w:rPr>
          <w:rFonts w:ascii="Arial" w:hAnsi="Arial" w:cs="Arial"/>
          <w:lang w:val="sq-AL"/>
        </w:rPr>
        <w:t xml:space="preserve"> na ulicama;</w:t>
      </w:r>
    </w:p>
    <w:p w14:paraId="0EEBA474" w14:textId="2A523114" w:rsidR="00C232D7" w:rsidRPr="002A6F4E" w:rsidRDefault="005C4A0C" w:rsidP="00A23ED0">
      <w:pPr>
        <w:pStyle w:val="ListParagraph"/>
        <w:numPr>
          <w:ilvl w:val="0"/>
          <w:numId w:val="37"/>
        </w:numPr>
        <w:spacing w:before="120" w:after="120" w:line="360" w:lineRule="auto"/>
        <w:contextualSpacing w:val="0"/>
        <w:rPr>
          <w:rFonts w:ascii="Arial" w:hAnsi="Arial" w:cs="Arial"/>
          <w:lang w:val="sq-AL"/>
        </w:rPr>
      </w:pPr>
      <w:r>
        <w:rPr>
          <w:rFonts w:ascii="Arial" w:hAnsi="Arial" w:cs="Arial"/>
          <w:lang w:val="sq-AL"/>
        </w:rPr>
        <w:t>Posude</w:t>
      </w:r>
      <w:r w:rsidR="00C232D7" w:rsidRPr="002A6F4E">
        <w:rPr>
          <w:rFonts w:ascii="Arial" w:hAnsi="Arial" w:cs="Arial"/>
          <w:lang w:val="sq-AL"/>
        </w:rPr>
        <w:t xml:space="preserve"> u posebnim lokacijama unutar zgrada ili na spoljašnjosti zgrada;</w:t>
      </w:r>
    </w:p>
    <w:p w14:paraId="0110B05D" w14:textId="77777777" w:rsidR="00C232D7" w:rsidRPr="002A6F4E" w:rsidRDefault="00C232D7" w:rsidP="00A23ED0">
      <w:pPr>
        <w:pStyle w:val="ListParagraph"/>
        <w:numPr>
          <w:ilvl w:val="0"/>
          <w:numId w:val="37"/>
        </w:numPr>
        <w:spacing w:before="120" w:after="120" w:line="360" w:lineRule="auto"/>
        <w:contextualSpacing w:val="0"/>
        <w:rPr>
          <w:rFonts w:ascii="Arial" w:hAnsi="Arial" w:cs="Arial"/>
          <w:lang w:val="sq-AL"/>
        </w:rPr>
      </w:pPr>
      <w:r w:rsidRPr="002A6F4E">
        <w:rPr>
          <w:rFonts w:ascii="Arial" w:hAnsi="Arial" w:cs="Arial"/>
          <w:lang w:val="sq-AL"/>
        </w:rPr>
        <w:t>Različiti sistemi za odvojeno sakupljanje frakcija otpada koji može da se reciklira (višestruke frakcije naspram kombinovanog sakupljanja);</w:t>
      </w:r>
    </w:p>
    <w:p w14:paraId="784A986E" w14:textId="77777777" w:rsidR="00C232D7" w:rsidRPr="002A6F4E" w:rsidRDefault="00C232D7" w:rsidP="00A23ED0">
      <w:pPr>
        <w:pStyle w:val="ListParagraph"/>
        <w:numPr>
          <w:ilvl w:val="0"/>
          <w:numId w:val="37"/>
        </w:numPr>
        <w:spacing w:before="120" w:after="120" w:line="360" w:lineRule="auto"/>
        <w:contextualSpacing w:val="0"/>
        <w:rPr>
          <w:rFonts w:ascii="Arial" w:hAnsi="Arial" w:cs="Arial"/>
          <w:lang w:val="sq-AL"/>
        </w:rPr>
      </w:pPr>
      <w:r w:rsidRPr="002A6F4E">
        <w:rPr>
          <w:rFonts w:ascii="Arial" w:hAnsi="Arial" w:cs="Arial"/>
          <w:lang w:val="sq-AL"/>
        </w:rPr>
        <w:t>Odvojeno sakupljanje biorazgradivog otpada (odvojeno za kuhinjski otpad, otpad sa pijaca i zeleni otpad);</w:t>
      </w:r>
    </w:p>
    <w:p w14:paraId="60C69A16" w14:textId="77777777" w:rsidR="00C232D7" w:rsidRPr="002A6F4E" w:rsidRDefault="00C232D7" w:rsidP="00C232D7">
      <w:pPr>
        <w:autoSpaceDE w:val="0"/>
        <w:autoSpaceDN w:val="0"/>
        <w:adjustRightInd w:val="0"/>
        <w:spacing w:before="120" w:after="120" w:line="360" w:lineRule="auto"/>
        <w:rPr>
          <w:rFonts w:ascii="Arial" w:hAnsi="Arial" w:cs="Arial"/>
          <w:b/>
          <w:bCs/>
          <w:color w:val="000000"/>
          <w:lang w:val="sq-AL"/>
        </w:rPr>
      </w:pPr>
      <w:r w:rsidRPr="002A6F4E">
        <w:rPr>
          <w:rFonts w:ascii="Arial" w:hAnsi="Arial" w:cs="Arial"/>
          <w:b/>
          <w:bCs/>
          <w:color w:val="000000"/>
          <w:lang w:val="sq-AL"/>
        </w:rPr>
        <w:t>Mjesta za sakupljanje otpada</w:t>
      </w:r>
    </w:p>
    <w:p w14:paraId="3E12398D" w14:textId="77777777" w:rsidR="00C232D7" w:rsidRPr="002A6F4E" w:rsidRDefault="00C232D7" w:rsidP="00C232D7">
      <w:pPr>
        <w:autoSpaceDE w:val="0"/>
        <w:autoSpaceDN w:val="0"/>
        <w:adjustRightInd w:val="0"/>
        <w:spacing w:before="120" w:after="120" w:line="360" w:lineRule="auto"/>
        <w:rPr>
          <w:rFonts w:ascii="Arial" w:hAnsi="Arial" w:cs="Arial"/>
          <w:color w:val="000000"/>
          <w:lang w:val="sq-AL"/>
        </w:rPr>
      </w:pPr>
      <w:r w:rsidRPr="002A6F4E">
        <w:rPr>
          <w:rFonts w:ascii="Arial" w:hAnsi="Arial" w:cs="Arial"/>
          <w:color w:val="000000"/>
          <w:lang w:val="sq-AL"/>
        </w:rPr>
        <w:t>Mjesta za sakupljanje otpada se odnose na lokacije na kojima se otpad prenosi od proizvođača do službi za sakupljanje otpada. Postoje tri tipa ovih lokacija:</w:t>
      </w:r>
    </w:p>
    <w:p w14:paraId="70FDEDA7" w14:textId="77777777" w:rsidR="009751D2" w:rsidRDefault="00C232D7" w:rsidP="00C232D7">
      <w:pPr>
        <w:autoSpaceDE w:val="0"/>
        <w:autoSpaceDN w:val="0"/>
        <w:adjustRightInd w:val="0"/>
        <w:spacing w:before="120" w:after="120" w:line="360" w:lineRule="auto"/>
        <w:rPr>
          <w:rFonts w:ascii="Arial" w:hAnsi="Arial" w:cs="Arial"/>
          <w:color w:val="000000"/>
          <w:lang w:val="sq-AL"/>
        </w:rPr>
      </w:pPr>
      <w:r w:rsidRPr="002A6F4E">
        <w:rPr>
          <w:rFonts w:ascii="Arial" w:hAnsi="Arial" w:cs="Arial"/>
          <w:color w:val="000000"/>
          <w:lang w:val="sq-AL"/>
        </w:rPr>
        <w:t xml:space="preserve">U </w:t>
      </w:r>
      <w:r w:rsidRPr="002A6F4E">
        <w:rPr>
          <w:rFonts w:ascii="Arial" w:hAnsi="Arial" w:cs="Arial"/>
          <w:b/>
          <w:bCs/>
          <w:color w:val="000000"/>
          <w:lang w:val="sq-AL"/>
        </w:rPr>
        <w:t>sistemima za dovoz</w:t>
      </w:r>
      <w:r w:rsidRPr="002A6F4E">
        <w:rPr>
          <w:rFonts w:ascii="Arial" w:hAnsi="Arial" w:cs="Arial"/>
          <w:color w:val="000000"/>
          <w:lang w:val="sq-AL"/>
        </w:rPr>
        <w:t xml:space="preserve">, proizvođači dovoze otpad na namjenske lokacije u blizini svojih oblasti gdje su </w:t>
      </w:r>
      <w:r w:rsidR="005C4A0C" w:rsidRPr="00B45509">
        <w:rPr>
          <w:rFonts w:ascii="Arial" w:hAnsi="Arial" w:cs="Arial"/>
          <w:color w:val="000000"/>
          <w:lang w:val="sq-AL"/>
        </w:rPr>
        <w:t>posude</w:t>
      </w:r>
      <w:r w:rsidRPr="002A6F4E">
        <w:rPr>
          <w:rFonts w:ascii="Arial" w:hAnsi="Arial" w:cs="Arial"/>
          <w:color w:val="000000"/>
          <w:lang w:val="sq-AL"/>
        </w:rPr>
        <w:t xml:space="preserve">/kontejneri na </w:t>
      </w:r>
      <w:r w:rsidR="009751D2">
        <w:rPr>
          <w:rFonts w:ascii="Arial" w:hAnsi="Arial" w:cs="Arial"/>
          <w:color w:val="000000"/>
          <w:lang w:val="sq-AL"/>
        </w:rPr>
        <w:t xml:space="preserve">raspolaganju za prihvat otpada. </w:t>
      </w:r>
      <w:r w:rsidRPr="002A6F4E">
        <w:rPr>
          <w:rFonts w:ascii="Arial" w:hAnsi="Arial" w:cs="Arial"/>
          <w:color w:val="000000"/>
          <w:lang w:val="sq-AL"/>
        </w:rPr>
        <w:t xml:space="preserve">Proizvođači dovoze otpad i odlažu ga  u </w:t>
      </w:r>
      <w:r w:rsidR="005C4A0C" w:rsidRPr="00B45509">
        <w:rPr>
          <w:rFonts w:ascii="Arial" w:hAnsi="Arial" w:cs="Arial"/>
          <w:color w:val="000000"/>
          <w:lang w:val="sq-AL"/>
        </w:rPr>
        <w:t>posude</w:t>
      </w:r>
      <w:r w:rsidRPr="002A6F4E">
        <w:rPr>
          <w:rFonts w:ascii="Arial" w:hAnsi="Arial" w:cs="Arial"/>
          <w:color w:val="000000"/>
          <w:lang w:val="sq-AL"/>
        </w:rPr>
        <w:t xml:space="preserve">, kese i druge kontejnere da bi ga preuzeli operateri za sakupljanje otpada. </w:t>
      </w:r>
    </w:p>
    <w:p w14:paraId="3652A6E9" w14:textId="58930951" w:rsidR="00C232D7" w:rsidRPr="002A6F4E" w:rsidRDefault="00C232D7" w:rsidP="00C232D7">
      <w:pPr>
        <w:autoSpaceDE w:val="0"/>
        <w:autoSpaceDN w:val="0"/>
        <w:adjustRightInd w:val="0"/>
        <w:spacing w:before="120" w:after="120" w:line="360" w:lineRule="auto"/>
        <w:rPr>
          <w:rFonts w:ascii="Arial" w:hAnsi="Arial" w:cs="Arial"/>
          <w:color w:val="000000"/>
          <w:lang w:val="sq-AL"/>
        </w:rPr>
      </w:pPr>
      <w:r w:rsidRPr="009751D2">
        <w:rPr>
          <w:rFonts w:ascii="Arial" w:hAnsi="Arial" w:cs="Arial"/>
          <w:b/>
          <w:color w:val="000000"/>
          <w:lang w:val="sq-AL"/>
        </w:rPr>
        <w:t>Druga opcija</w:t>
      </w:r>
      <w:r w:rsidRPr="002A6F4E">
        <w:rPr>
          <w:rFonts w:ascii="Arial" w:hAnsi="Arial" w:cs="Arial"/>
          <w:color w:val="000000"/>
          <w:lang w:val="sq-AL"/>
        </w:rPr>
        <w:t xml:space="preserve"> je da operateri za sakupljanje otpada vrše prihvat otpada sa svake lokacije u unaprijed definisano vrijeme i dan, a proizvođači isporučuju otpad operateru. Takođe postoje sistemi </w:t>
      </w:r>
      <w:r w:rsidR="00830392">
        <w:rPr>
          <w:rFonts w:ascii="Arial" w:hAnsi="Arial" w:cs="Arial"/>
          <w:color w:val="000000"/>
          <w:lang w:val="sq-AL"/>
        </w:rPr>
        <w:t>“</w:t>
      </w:r>
      <w:r w:rsidRPr="002A6F4E">
        <w:rPr>
          <w:rFonts w:ascii="Arial" w:hAnsi="Arial" w:cs="Arial"/>
          <w:color w:val="000000"/>
          <w:lang w:val="sq-AL"/>
        </w:rPr>
        <w:t>od vrata do vrata</w:t>
      </w:r>
      <w:r w:rsidR="00830392">
        <w:rPr>
          <w:rFonts w:ascii="Arial" w:hAnsi="Arial" w:cs="Arial"/>
          <w:color w:val="000000"/>
          <w:lang w:val="sq-AL"/>
        </w:rPr>
        <w:t>”</w:t>
      </w:r>
      <w:r w:rsidRPr="002A6F4E">
        <w:rPr>
          <w:rFonts w:ascii="Arial" w:hAnsi="Arial" w:cs="Arial"/>
          <w:color w:val="000000"/>
          <w:lang w:val="sq-AL"/>
        </w:rPr>
        <w:t>, gdje proizvođači otpada odlažu svoj otpad u svojim dvorištima ili u namjenskim prostorima u okviru stambenih zgrada, a komunalne službe ulaze u prostorije kako bi preuzeli otpad.</w:t>
      </w:r>
    </w:p>
    <w:p w14:paraId="37A03F40" w14:textId="0EF29D02" w:rsidR="0085183B" w:rsidRPr="002A6F4E" w:rsidRDefault="00C232D7" w:rsidP="00C232D7">
      <w:pPr>
        <w:autoSpaceDE w:val="0"/>
        <w:autoSpaceDN w:val="0"/>
        <w:adjustRightInd w:val="0"/>
        <w:spacing w:before="120" w:after="120" w:line="360" w:lineRule="auto"/>
        <w:rPr>
          <w:rFonts w:ascii="Arial" w:hAnsi="Arial" w:cs="Arial"/>
          <w:color w:val="000000"/>
          <w:lang w:val="sq-AL"/>
        </w:rPr>
      </w:pPr>
      <w:r w:rsidRPr="002A6F4E">
        <w:rPr>
          <w:rFonts w:ascii="Arial" w:hAnsi="Arial" w:cs="Arial"/>
          <w:color w:val="000000"/>
          <w:lang w:val="sq-AL"/>
        </w:rPr>
        <w:t xml:space="preserve">U </w:t>
      </w:r>
      <w:r w:rsidRPr="002A6F4E">
        <w:rPr>
          <w:rFonts w:ascii="Arial" w:hAnsi="Arial" w:cs="Arial"/>
          <w:b/>
          <w:bCs/>
          <w:color w:val="000000"/>
          <w:lang w:val="sq-AL"/>
        </w:rPr>
        <w:t>reciklažnim dvorištima</w:t>
      </w:r>
      <w:r w:rsidRPr="002A6F4E">
        <w:rPr>
          <w:rFonts w:ascii="Arial" w:hAnsi="Arial" w:cs="Arial"/>
          <w:color w:val="000000"/>
          <w:lang w:val="sq-AL"/>
        </w:rPr>
        <w:t xml:space="preserve">, proizvođači  dovoze posebne tokove otpada (mogu uključivati otpad od električne i elektronske opreme, kabasti otpad, </w:t>
      </w:r>
      <w:r w:rsidRPr="002A6F4E">
        <w:rPr>
          <w:rFonts w:ascii="Arial" w:hAnsi="Arial" w:cs="Arial"/>
          <w:lang w:val="sq-AL"/>
        </w:rPr>
        <w:t>frakcije otpada koji može da se reciklira</w:t>
      </w:r>
      <w:r w:rsidRPr="002A6F4E">
        <w:rPr>
          <w:rFonts w:ascii="Arial" w:hAnsi="Arial" w:cs="Arial"/>
          <w:color w:val="000000"/>
          <w:lang w:val="sq-AL"/>
        </w:rPr>
        <w:t xml:space="preserve">, i </w:t>
      </w:r>
      <w:r w:rsidRPr="00B45509">
        <w:rPr>
          <w:rFonts w:ascii="Arial" w:hAnsi="Arial" w:cs="Arial"/>
          <w:color w:val="000000"/>
          <w:lang w:val="sq-AL"/>
        </w:rPr>
        <w:t>sl</w:t>
      </w:r>
      <w:r w:rsidRPr="002A6F4E">
        <w:rPr>
          <w:rFonts w:ascii="Arial" w:hAnsi="Arial" w:cs="Arial"/>
          <w:color w:val="000000"/>
          <w:lang w:val="sq-AL"/>
        </w:rPr>
        <w:t xml:space="preserve">) na lokacije koje posjeduju neophodnu infrastrukturu i opremu za skladištenje i predtretman ovih tokova otpada. Obično su ove lokacije daleko od izvora </w:t>
      </w:r>
      <w:r w:rsidRPr="00B45509">
        <w:rPr>
          <w:rFonts w:ascii="Arial" w:hAnsi="Arial" w:cs="Arial"/>
          <w:color w:val="000000"/>
          <w:lang w:val="sq-AL"/>
        </w:rPr>
        <w:t>generisanja</w:t>
      </w:r>
      <w:r w:rsidRPr="002A6F4E">
        <w:rPr>
          <w:rFonts w:ascii="Arial" w:hAnsi="Arial" w:cs="Arial"/>
          <w:color w:val="000000"/>
          <w:lang w:val="sq-AL"/>
        </w:rPr>
        <w:t xml:space="preserve"> otpada.</w:t>
      </w:r>
    </w:p>
    <w:p w14:paraId="188B0AA5" w14:textId="77777777" w:rsidR="00C232D7" w:rsidRPr="002A6F4E" w:rsidRDefault="00C232D7" w:rsidP="00C232D7">
      <w:pPr>
        <w:spacing w:before="120" w:after="120" w:line="360" w:lineRule="auto"/>
        <w:rPr>
          <w:rFonts w:ascii="Arial" w:hAnsi="Arial" w:cs="Arial"/>
          <w:b/>
          <w:bCs/>
          <w:color w:val="000000"/>
          <w:lang w:val="sq-AL"/>
        </w:rPr>
      </w:pPr>
      <w:r w:rsidRPr="002A6F4E">
        <w:rPr>
          <w:rFonts w:ascii="Arial" w:hAnsi="Arial" w:cs="Arial"/>
          <w:b/>
          <w:bCs/>
          <w:color w:val="000000"/>
          <w:lang w:val="sq-AL"/>
        </w:rPr>
        <w:t>Raspored sakupljanja</w:t>
      </w:r>
    </w:p>
    <w:p w14:paraId="29240D19" w14:textId="77777777" w:rsidR="00C232D7" w:rsidRPr="002A6F4E" w:rsidRDefault="00C232D7" w:rsidP="00C232D7">
      <w:pPr>
        <w:spacing w:before="120" w:after="120" w:line="360" w:lineRule="auto"/>
        <w:rPr>
          <w:rFonts w:ascii="Arial" w:hAnsi="Arial" w:cs="Arial"/>
          <w:color w:val="000000"/>
          <w:lang w:val="sq-AL"/>
        </w:rPr>
      </w:pPr>
      <w:r w:rsidRPr="002A6F4E">
        <w:rPr>
          <w:rFonts w:ascii="Arial" w:hAnsi="Arial" w:cs="Arial"/>
          <w:color w:val="000000"/>
          <w:lang w:val="sq-AL"/>
        </w:rPr>
        <w:t>Najčešći problemi kojima se treba baviti prilikom koncipiranja usluga sakupljanja otpada odnose se na učestalost sakupljanja i definisanje ruta za sakuplje otpada. Oba ova parametra utiču na kvalitet i cijenu usluga sakupljanja otpada.</w:t>
      </w:r>
    </w:p>
    <w:p w14:paraId="41E6E2DD" w14:textId="7203EE7A" w:rsidR="002C4B12" w:rsidRPr="00B22569" w:rsidRDefault="00C232D7" w:rsidP="00C232D7">
      <w:pPr>
        <w:spacing w:before="120" w:after="120" w:line="360" w:lineRule="auto"/>
        <w:rPr>
          <w:rFonts w:ascii="Arial" w:hAnsi="Arial" w:cs="Arial"/>
          <w:color w:val="000000"/>
          <w:lang w:val="sq-AL"/>
        </w:rPr>
      </w:pPr>
      <w:r w:rsidRPr="002A6F4E">
        <w:rPr>
          <w:rFonts w:ascii="Arial" w:hAnsi="Arial" w:cs="Arial"/>
          <w:color w:val="000000"/>
          <w:lang w:val="sq-AL"/>
        </w:rPr>
        <w:t>Obično se oba parametra definišu empirijski, kao što je slučaj u Crnoj Gori, ali je nedavno razvijeno nekoliko softverskih alata koji olakšavaju koncipir</w:t>
      </w:r>
      <w:r w:rsidR="00B22569">
        <w:rPr>
          <w:rFonts w:ascii="Arial" w:hAnsi="Arial" w:cs="Arial"/>
          <w:color w:val="000000"/>
          <w:lang w:val="sq-AL"/>
        </w:rPr>
        <w:t>anje usluga sakupljanja otpada.</w:t>
      </w:r>
    </w:p>
    <w:p w14:paraId="7FD4D445" w14:textId="403B66E3" w:rsidR="00C232D7" w:rsidRPr="002A6F4E" w:rsidRDefault="00C232D7" w:rsidP="00C232D7">
      <w:pPr>
        <w:spacing w:before="120" w:after="120" w:line="360" w:lineRule="auto"/>
        <w:rPr>
          <w:rFonts w:ascii="Arial" w:hAnsi="Arial" w:cs="Arial"/>
          <w:b/>
          <w:bCs/>
          <w:color w:val="000000"/>
          <w:lang w:val="sq-AL"/>
        </w:rPr>
      </w:pPr>
      <w:r w:rsidRPr="002A6F4E">
        <w:rPr>
          <w:rFonts w:ascii="Arial" w:hAnsi="Arial" w:cs="Arial"/>
          <w:b/>
          <w:bCs/>
          <w:color w:val="000000"/>
          <w:lang w:val="sq-AL"/>
        </w:rPr>
        <w:lastRenderedPageBreak/>
        <w:t>Transport otpada</w:t>
      </w:r>
    </w:p>
    <w:p w14:paraId="22E06A68" w14:textId="77777777" w:rsidR="00C232D7" w:rsidRPr="002A6F4E" w:rsidRDefault="00C232D7" w:rsidP="00C232D7">
      <w:pPr>
        <w:spacing w:before="120" w:after="120" w:line="360" w:lineRule="auto"/>
        <w:rPr>
          <w:rFonts w:ascii="Arial" w:hAnsi="Arial" w:cs="Arial"/>
          <w:color w:val="000000"/>
          <w:lang w:val="sq-AL"/>
        </w:rPr>
      </w:pPr>
      <w:r w:rsidRPr="002A6F4E">
        <w:rPr>
          <w:rFonts w:ascii="Arial" w:hAnsi="Arial" w:cs="Arial"/>
          <w:color w:val="000000"/>
          <w:lang w:val="sq-AL"/>
        </w:rPr>
        <w:t>Sakupljeni otpad se transportuje do krajnjeg primaoca (trenutno na deponije ili odlagališta)  direktno ili preko mreže transfer stanica (analizirano u posebnom poglavlju).</w:t>
      </w:r>
    </w:p>
    <w:p w14:paraId="165EDDB1" w14:textId="77777777" w:rsidR="00C232D7" w:rsidRPr="002A6F4E" w:rsidRDefault="00C232D7" w:rsidP="00C232D7">
      <w:pPr>
        <w:spacing w:before="120" w:after="120" w:line="360" w:lineRule="auto"/>
        <w:rPr>
          <w:rFonts w:ascii="Arial" w:hAnsi="Arial" w:cs="Arial"/>
          <w:b/>
          <w:bCs/>
          <w:lang w:val="sq-AL"/>
        </w:rPr>
      </w:pPr>
      <w:r w:rsidRPr="002A6F4E">
        <w:rPr>
          <w:rFonts w:ascii="Arial" w:hAnsi="Arial" w:cs="Arial"/>
          <w:b/>
          <w:bCs/>
          <w:lang w:val="sq-AL"/>
        </w:rPr>
        <w:t>Oprema za sakupljanje otpada</w:t>
      </w:r>
    </w:p>
    <w:p w14:paraId="506B94D5"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Dostupna je sljedeća oprema za sakupljanje i transport otpada:</w:t>
      </w:r>
    </w:p>
    <w:p w14:paraId="4A399ECC" w14:textId="77777777" w:rsidR="00C232D7" w:rsidRPr="002A6F4E" w:rsidRDefault="00C232D7" w:rsidP="00A23ED0">
      <w:pPr>
        <w:pStyle w:val="ListParagraph"/>
        <w:numPr>
          <w:ilvl w:val="0"/>
          <w:numId w:val="37"/>
        </w:numPr>
        <w:spacing w:before="120" w:after="120" w:line="360" w:lineRule="auto"/>
        <w:contextualSpacing w:val="0"/>
        <w:rPr>
          <w:rFonts w:ascii="Arial" w:hAnsi="Arial" w:cs="Arial"/>
          <w:lang w:val="sq-AL"/>
        </w:rPr>
      </w:pPr>
      <w:r w:rsidRPr="002A6F4E">
        <w:rPr>
          <w:rFonts w:ascii="Arial" w:hAnsi="Arial" w:cs="Arial"/>
          <w:lang w:val="sq-AL"/>
        </w:rPr>
        <w:t>vreće zapremine od 10 l ili 50 l;</w:t>
      </w:r>
    </w:p>
    <w:p w14:paraId="1F8DD5C6" w14:textId="42601C49" w:rsidR="00C232D7" w:rsidRPr="002A6F4E" w:rsidRDefault="005C4A0C" w:rsidP="00A23ED0">
      <w:pPr>
        <w:pStyle w:val="ListParagraph"/>
        <w:numPr>
          <w:ilvl w:val="0"/>
          <w:numId w:val="37"/>
        </w:numPr>
        <w:spacing w:before="120" w:after="120" w:line="360" w:lineRule="auto"/>
        <w:contextualSpacing w:val="0"/>
        <w:rPr>
          <w:rFonts w:ascii="Arial" w:hAnsi="Arial" w:cs="Arial"/>
          <w:lang w:val="sq-AL"/>
        </w:rPr>
      </w:pPr>
      <w:r w:rsidRPr="00B45509">
        <w:rPr>
          <w:rFonts w:ascii="Arial" w:hAnsi="Arial" w:cs="Arial"/>
          <w:lang w:val="sq-AL"/>
        </w:rPr>
        <w:t>posude</w:t>
      </w:r>
      <w:r w:rsidR="00C232D7" w:rsidRPr="002A6F4E">
        <w:rPr>
          <w:rFonts w:ascii="Arial" w:hAnsi="Arial" w:cs="Arial"/>
          <w:lang w:val="sq-AL"/>
        </w:rPr>
        <w:t xml:space="preserve"> i kontejneri zapremine od 10 l  do 2.5 m</w:t>
      </w:r>
      <w:r w:rsidR="00C232D7" w:rsidRPr="002A6F4E">
        <w:rPr>
          <w:rFonts w:ascii="Arial" w:hAnsi="Arial" w:cs="Arial"/>
          <w:vertAlign w:val="superscript"/>
          <w:lang w:val="sq-AL"/>
        </w:rPr>
        <w:t>3</w:t>
      </w:r>
      <w:r w:rsidR="00C232D7" w:rsidRPr="002A6F4E">
        <w:rPr>
          <w:rFonts w:ascii="Arial" w:hAnsi="Arial" w:cs="Arial"/>
          <w:lang w:val="sq-AL"/>
        </w:rPr>
        <w:t>;</w:t>
      </w:r>
    </w:p>
    <w:p w14:paraId="1F4EC25B" w14:textId="77777777" w:rsidR="00C232D7" w:rsidRPr="002A6F4E" w:rsidRDefault="00C232D7" w:rsidP="00A23ED0">
      <w:pPr>
        <w:pStyle w:val="ListParagraph"/>
        <w:numPr>
          <w:ilvl w:val="0"/>
          <w:numId w:val="37"/>
        </w:numPr>
        <w:spacing w:before="120" w:after="120" w:line="360" w:lineRule="auto"/>
        <w:contextualSpacing w:val="0"/>
        <w:rPr>
          <w:rFonts w:ascii="Arial" w:hAnsi="Arial" w:cs="Arial"/>
          <w:lang w:val="sq-AL"/>
        </w:rPr>
      </w:pPr>
      <w:r w:rsidRPr="002A6F4E">
        <w:rPr>
          <w:rFonts w:ascii="Arial" w:hAnsi="Arial" w:cs="Arial"/>
          <w:lang w:val="sq-AL"/>
        </w:rPr>
        <w:t>podzemni kontejneri zapremine od 3 do 5 m</w:t>
      </w:r>
      <w:r w:rsidRPr="002A6F4E">
        <w:rPr>
          <w:rFonts w:ascii="Arial" w:hAnsi="Arial" w:cs="Arial"/>
          <w:vertAlign w:val="superscript"/>
          <w:lang w:val="sq-AL"/>
        </w:rPr>
        <w:t>3</w:t>
      </w:r>
      <w:r w:rsidRPr="002A6F4E">
        <w:rPr>
          <w:rFonts w:ascii="Arial" w:hAnsi="Arial" w:cs="Arial"/>
          <w:lang w:val="sq-AL"/>
        </w:rPr>
        <w:t>;</w:t>
      </w:r>
    </w:p>
    <w:p w14:paraId="2B82E418" w14:textId="77777777" w:rsidR="00C232D7" w:rsidRPr="002A6F4E" w:rsidRDefault="00C232D7" w:rsidP="00A23ED0">
      <w:pPr>
        <w:pStyle w:val="ListParagraph"/>
        <w:numPr>
          <w:ilvl w:val="0"/>
          <w:numId w:val="37"/>
        </w:numPr>
        <w:spacing w:before="120" w:after="120" w:line="360" w:lineRule="auto"/>
        <w:contextualSpacing w:val="0"/>
        <w:rPr>
          <w:rFonts w:ascii="Arial" w:hAnsi="Arial" w:cs="Arial"/>
          <w:lang w:val="sq-AL"/>
        </w:rPr>
      </w:pPr>
      <w:r w:rsidRPr="002A6F4E">
        <w:rPr>
          <w:rFonts w:ascii="Arial" w:hAnsi="Arial" w:cs="Arial"/>
          <w:lang w:val="sq-AL"/>
        </w:rPr>
        <w:t>skip kontejneri zapremine 7 m</w:t>
      </w:r>
      <w:r w:rsidRPr="002A6F4E">
        <w:rPr>
          <w:rFonts w:ascii="Arial" w:hAnsi="Arial" w:cs="Arial"/>
          <w:vertAlign w:val="superscript"/>
          <w:lang w:val="sq-AL"/>
        </w:rPr>
        <w:t>3</w:t>
      </w:r>
      <w:r w:rsidRPr="002A6F4E">
        <w:rPr>
          <w:rFonts w:ascii="Arial" w:hAnsi="Arial" w:cs="Arial"/>
          <w:lang w:val="sq-AL"/>
        </w:rPr>
        <w:t xml:space="preserve"> za posebne tokove otpada;</w:t>
      </w:r>
    </w:p>
    <w:p w14:paraId="577527B0" w14:textId="77777777" w:rsidR="00C232D7" w:rsidRPr="002A6F4E" w:rsidRDefault="00C232D7" w:rsidP="00A23ED0">
      <w:pPr>
        <w:pStyle w:val="ListParagraph"/>
        <w:numPr>
          <w:ilvl w:val="0"/>
          <w:numId w:val="37"/>
        </w:numPr>
        <w:spacing w:before="120" w:after="120" w:line="360" w:lineRule="auto"/>
        <w:contextualSpacing w:val="0"/>
        <w:rPr>
          <w:rFonts w:ascii="Arial" w:hAnsi="Arial" w:cs="Arial"/>
          <w:lang w:val="sq-AL"/>
        </w:rPr>
      </w:pPr>
      <w:r w:rsidRPr="002A6F4E">
        <w:rPr>
          <w:rFonts w:ascii="Arial" w:hAnsi="Arial" w:cs="Arial"/>
          <w:lang w:val="sq-AL"/>
        </w:rPr>
        <w:t>vozila sa presom za sabijanje otpada (mlinovi ili prese) zapremine od 4 m</w:t>
      </w:r>
      <w:r w:rsidRPr="002A6F4E">
        <w:rPr>
          <w:rFonts w:ascii="Arial" w:hAnsi="Arial" w:cs="Arial"/>
          <w:vertAlign w:val="superscript"/>
          <w:lang w:val="sq-AL"/>
        </w:rPr>
        <w:t>3</w:t>
      </w:r>
      <w:r w:rsidRPr="002A6F4E">
        <w:rPr>
          <w:rFonts w:ascii="Arial" w:hAnsi="Arial" w:cs="Arial"/>
          <w:lang w:val="sq-AL"/>
        </w:rPr>
        <w:t xml:space="preserve">  do 22 m</w:t>
      </w:r>
      <w:r w:rsidRPr="002A6F4E">
        <w:rPr>
          <w:rFonts w:ascii="Arial" w:hAnsi="Arial" w:cs="Arial"/>
          <w:vertAlign w:val="superscript"/>
          <w:lang w:val="sq-AL"/>
        </w:rPr>
        <w:t>3</w:t>
      </w:r>
      <w:r w:rsidRPr="002A6F4E">
        <w:rPr>
          <w:rFonts w:ascii="Arial" w:hAnsi="Arial" w:cs="Arial"/>
          <w:lang w:val="sq-AL"/>
        </w:rPr>
        <w:t>;</w:t>
      </w:r>
    </w:p>
    <w:p w14:paraId="448062E7" w14:textId="77777777" w:rsidR="00C232D7" w:rsidRPr="002A6F4E" w:rsidRDefault="00C232D7" w:rsidP="00A23ED0">
      <w:pPr>
        <w:pStyle w:val="ListParagraph"/>
        <w:numPr>
          <w:ilvl w:val="0"/>
          <w:numId w:val="37"/>
        </w:numPr>
        <w:spacing w:before="120" w:after="120" w:line="360" w:lineRule="auto"/>
        <w:contextualSpacing w:val="0"/>
        <w:rPr>
          <w:rFonts w:ascii="Arial" w:hAnsi="Arial" w:cs="Arial"/>
          <w:lang w:val="sq-AL"/>
        </w:rPr>
      </w:pPr>
      <w:r w:rsidRPr="002A6F4E">
        <w:rPr>
          <w:rFonts w:ascii="Arial" w:hAnsi="Arial" w:cs="Arial"/>
          <w:lang w:val="sq-AL"/>
        </w:rPr>
        <w:t>otvoreni kiperi za zeleni otpad (6 m</w:t>
      </w:r>
      <w:r w:rsidRPr="002A6F4E">
        <w:rPr>
          <w:rFonts w:ascii="Arial" w:hAnsi="Arial" w:cs="Arial"/>
          <w:vertAlign w:val="superscript"/>
          <w:lang w:val="sq-AL"/>
        </w:rPr>
        <w:t>3</w:t>
      </w:r>
      <w:r w:rsidRPr="002A6F4E">
        <w:rPr>
          <w:rFonts w:ascii="Arial" w:hAnsi="Arial" w:cs="Arial"/>
          <w:lang w:val="sq-AL"/>
        </w:rPr>
        <w:t>).</w:t>
      </w:r>
    </w:p>
    <w:p w14:paraId="0C5F1B34"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Osnovni parametri koji utiču na sistem sakupljanja i transporta otpada su:</w:t>
      </w:r>
    </w:p>
    <w:p w14:paraId="37A340DB" w14:textId="77777777"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Oblasti pokrivene uslugom sakupljanja otpada;</w:t>
      </w:r>
    </w:p>
    <w:p w14:paraId="0CFBD66C" w14:textId="77777777"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Količine i sastav otpada;</w:t>
      </w:r>
    </w:p>
    <w:p w14:paraId="345D9DF0" w14:textId="33AEAF68"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Količine određenih vrsta otpada (uglavnom otpad koji se može reciklirati i biorazgradivi otpad) za koje su postavljeni specifični kvantitativni ciljevi;</w:t>
      </w:r>
    </w:p>
    <w:p w14:paraId="0680DC94" w14:textId="4279774A" w:rsidR="00C232D7" w:rsidRPr="002A6F4E" w:rsidRDefault="0085183B" w:rsidP="00A23ED0">
      <w:pPr>
        <w:pStyle w:val="ListParagraph"/>
        <w:numPr>
          <w:ilvl w:val="0"/>
          <w:numId w:val="36"/>
        </w:numPr>
        <w:spacing w:before="120" w:after="120" w:line="360" w:lineRule="auto"/>
        <w:contextualSpacing w:val="0"/>
        <w:rPr>
          <w:rFonts w:ascii="Arial" w:hAnsi="Arial" w:cs="Arial"/>
          <w:lang w:val="sq-AL"/>
        </w:rPr>
      </w:pPr>
      <w:r>
        <w:rPr>
          <w:rFonts w:ascii="Arial" w:hAnsi="Arial" w:cs="Arial"/>
          <w:lang w:val="sq-AL"/>
        </w:rPr>
        <w:t>Postojeći pro</w:t>
      </w:r>
      <w:r w:rsidR="00C232D7" w:rsidRPr="002A6F4E">
        <w:rPr>
          <w:rFonts w:ascii="Arial" w:hAnsi="Arial" w:cs="Arial"/>
          <w:lang w:val="sq-AL"/>
        </w:rPr>
        <w:t>grami sakupljanja otpada;</w:t>
      </w:r>
    </w:p>
    <w:p w14:paraId="189ACBD2" w14:textId="77777777"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 xml:space="preserve">Parametri prostornog planiranja kao što su geografska/prirodna podjela područja, stanovništvo i njegova distribucija, geomorfologija područja, postojeća putna mreža, osjetljiva područja, i </w:t>
      </w:r>
      <w:r w:rsidRPr="00B45509">
        <w:rPr>
          <w:rFonts w:ascii="Arial" w:hAnsi="Arial" w:cs="Arial"/>
          <w:lang w:val="sq-AL"/>
        </w:rPr>
        <w:t>sl.</w:t>
      </w:r>
      <w:r w:rsidRPr="002A6F4E">
        <w:rPr>
          <w:rFonts w:ascii="Arial" w:hAnsi="Arial" w:cs="Arial"/>
          <w:lang w:val="sq-AL"/>
        </w:rPr>
        <w:t>;</w:t>
      </w:r>
    </w:p>
    <w:p w14:paraId="0589F7A8" w14:textId="77777777"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Parametri životne sredine kao što su korišćenje zemljišta, trenutna ili planirana infrastruktura za upravljanje otpadom i sl.</w:t>
      </w:r>
    </w:p>
    <w:p w14:paraId="18EE9CA2" w14:textId="54EF0318"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Analiza tehničkih opcija za sakupljanje otpada biće sprovedena sa kvalitativne tačke gledišta na osnovu trenutne situacije u zemlji, ciljeva koji se moraju postići, kao i na osnovu međunarodnog iskustva. Kvalitativna analiza tehničkih opcija za sakupljanje (posebnih frakcija otpada i ostataka) će se izvršiti kvantifikacijom učinka svake opcije imajući u vidu kriterijume</w:t>
      </w:r>
      <w:r w:rsidR="00830392">
        <w:rPr>
          <w:rFonts w:ascii="Arial" w:hAnsi="Arial" w:cs="Arial"/>
          <w:lang w:val="sq-AL"/>
        </w:rPr>
        <w:t>,</w:t>
      </w:r>
      <w:r w:rsidRPr="002A6F4E">
        <w:rPr>
          <w:rFonts w:ascii="Arial" w:hAnsi="Arial" w:cs="Arial"/>
          <w:lang w:val="sq-AL"/>
        </w:rPr>
        <w:t xml:space="preserve"> kao što slijedi:</w:t>
      </w:r>
    </w:p>
    <w:p w14:paraId="14FBB9F6" w14:textId="77777777"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finansijske kriterijume;</w:t>
      </w:r>
    </w:p>
    <w:p w14:paraId="1819D44F" w14:textId="77777777"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kriterijum zaštite životne sredine;</w:t>
      </w:r>
    </w:p>
    <w:p w14:paraId="31F2882F" w14:textId="77777777"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kriterijum društvenog prihvatanja;</w:t>
      </w:r>
    </w:p>
    <w:p w14:paraId="405F305E" w14:textId="77777777"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kriterijum usklađenost sa zakonskim normama i standardima.</w:t>
      </w:r>
    </w:p>
    <w:p w14:paraId="1ECF4FF5" w14:textId="2E46E234" w:rsidR="00C232D7" w:rsidRPr="002A6F4E" w:rsidRDefault="00425801" w:rsidP="00F57909">
      <w:pPr>
        <w:pStyle w:val="Heading2"/>
      </w:pPr>
      <w:bookmarkStart w:id="964" w:name="_Toc189759690"/>
      <w:bookmarkStart w:id="965" w:name="_Toc193354019"/>
      <w:r>
        <w:t>5.1</w:t>
      </w:r>
      <w:r w:rsidR="00FB0212">
        <w:t>2</w:t>
      </w:r>
      <w:r>
        <w:t>.</w:t>
      </w:r>
      <w:r w:rsidR="00266D6E" w:rsidRPr="002A6F4E">
        <w:t xml:space="preserve"> </w:t>
      </w:r>
      <w:r w:rsidR="00C232D7" w:rsidRPr="002A6F4E">
        <w:t>Sakupljanje otpada</w:t>
      </w:r>
      <w:bookmarkEnd w:id="964"/>
      <w:bookmarkEnd w:id="965"/>
    </w:p>
    <w:p w14:paraId="123B1A43" w14:textId="77777777" w:rsidR="00C232D7" w:rsidRPr="002A6F4E" w:rsidRDefault="00C232D7" w:rsidP="00C232D7">
      <w:pPr>
        <w:spacing w:before="120" w:after="120" w:line="360" w:lineRule="auto"/>
        <w:rPr>
          <w:rFonts w:ascii="Arial" w:hAnsi="Arial" w:cs="Arial"/>
          <w:bCs/>
          <w:iCs/>
          <w:lang w:val="sq-AL"/>
        </w:rPr>
      </w:pPr>
      <w:r w:rsidRPr="002A6F4E">
        <w:rPr>
          <w:rFonts w:ascii="Arial" w:hAnsi="Arial" w:cs="Arial"/>
          <w:bCs/>
          <w:iCs/>
          <w:lang w:val="sq-AL"/>
        </w:rPr>
        <w:t>Biće razmotrene i analizirane tri tehničke opcije u vezi sa sakupljanjem ostatka otpada, i to:</w:t>
      </w:r>
    </w:p>
    <w:p w14:paraId="006B2EEC" w14:textId="48C90995" w:rsidR="00C232D7" w:rsidRPr="002A6F4E" w:rsidRDefault="00C232D7" w:rsidP="00C232D7">
      <w:pPr>
        <w:spacing w:before="120" w:after="120" w:line="360" w:lineRule="auto"/>
        <w:rPr>
          <w:rFonts w:ascii="Arial" w:hAnsi="Arial" w:cs="Arial"/>
          <w:b/>
          <w:i/>
          <w:lang w:val="sq-AL"/>
        </w:rPr>
      </w:pPr>
      <w:r w:rsidRPr="002A6F4E">
        <w:rPr>
          <w:rFonts w:ascii="Arial" w:hAnsi="Arial" w:cs="Arial"/>
          <w:b/>
          <w:i/>
          <w:lang w:val="sq-AL"/>
        </w:rPr>
        <w:lastRenderedPageBreak/>
        <w:t xml:space="preserve">Opcija RS1 – Sakupljanje otpada po sistemu </w:t>
      </w:r>
      <w:r w:rsidR="00830392">
        <w:rPr>
          <w:rFonts w:ascii="Arial" w:hAnsi="Arial" w:cs="Arial"/>
          <w:b/>
          <w:i/>
          <w:lang w:val="sq-AL"/>
        </w:rPr>
        <w:t>“</w:t>
      </w:r>
      <w:r w:rsidRPr="002A6F4E">
        <w:rPr>
          <w:rFonts w:ascii="Arial" w:hAnsi="Arial" w:cs="Arial"/>
          <w:b/>
          <w:i/>
          <w:lang w:val="sq-AL"/>
        </w:rPr>
        <w:t>od vrata do vrata</w:t>
      </w:r>
      <w:r w:rsidR="00830392">
        <w:rPr>
          <w:rFonts w:ascii="Arial" w:hAnsi="Arial" w:cs="Arial"/>
          <w:b/>
          <w:i/>
          <w:lang w:val="sq-AL"/>
        </w:rPr>
        <w:t>”</w:t>
      </w:r>
      <w:r w:rsidRPr="002A6F4E">
        <w:rPr>
          <w:rFonts w:ascii="Arial" w:hAnsi="Arial" w:cs="Arial"/>
          <w:b/>
          <w:i/>
          <w:lang w:val="sq-AL"/>
        </w:rPr>
        <w:t>, sa vrećama</w:t>
      </w:r>
    </w:p>
    <w:p w14:paraId="2AF3B827" w14:textId="5DB666E7" w:rsidR="00C232D7" w:rsidRPr="002A6F4E" w:rsidRDefault="00C232D7" w:rsidP="00C232D7">
      <w:pPr>
        <w:spacing w:before="120" w:after="120" w:line="360" w:lineRule="auto"/>
        <w:rPr>
          <w:rFonts w:ascii="Arial" w:hAnsi="Arial" w:cs="Arial"/>
          <w:bCs/>
          <w:iCs/>
          <w:lang w:val="sq-AL"/>
        </w:rPr>
      </w:pPr>
      <w:r w:rsidRPr="002A6F4E">
        <w:rPr>
          <w:rFonts w:ascii="Arial" w:hAnsi="Arial" w:cs="Arial"/>
          <w:bCs/>
          <w:iCs/>
          <w:lang w:val="sq-AL"/>
        </w:rPr>
        <w:t>Otpad se prethodno sakuplja u plastične vreće (50 ili 80</w:t>
      </w:r>
      <w:r w:rsidR="00517C60">
        <w:rPr>
          <w:rFonts w:ascii="Arial" w:hAnsi="Arial" w:cs="Arial"/>
          <w:bCs/>
          <w:iCs/>
          <w:lang w:val="sq-AL"/>
        </w:rPr>
        <w:t xml:space="preserve"> </w:t>
      </w:r>
      <w:r w:rsidRPr="002A6F4E">
        <w:rPr>
          <w:rFonts w:ascii="Arial" w:hAnsi="Arial" w:cs="Arial"/>
          <w:bCs/>
          <w:iCs/>
          <w:lang w:val="sq-AL"/>
        </w:rPr>
        <w:t>l</w:t>
      </w:r>
      <w:r w:rsidR="00517C60">
        <w:rPr>
          <w:rFonts w:ascii="Arial" w:hAnsi="Arial" w:cs="Arial"/>
          <w:bCs/>
          <w:iCs/>
          <w:lang w:val="sq-AL"/>
        </w:rPr>
        <w:t>itara</w:t>
      </w:r>
      <w:r w:rsidRPr="002A6F4E">
        <w:rPr>
          <w:rFonts w:ascii="Arial" w:hAnsi="Arial" w:cs="Arial"/>
          <w:bCs/>
          <w:iCs/>
          <w:lang w:val="sq-AL"/>
        </w:rPr>
        <w:t xml:space="preserve">) koje se iznose na ulicu, ispred zgrada, otprilike u vrijeme sakupljanja. Vreće ručno sakupljaju operateri i </w:t>
      </w:r>
      <w:r w:rsidR="00B45509" w:rsidRPr="00B45509">
        <w:rPr>
          <w:rFonts w:ascii="Arial" w:hAnsi="Arial" w:cs="Arial"/>
          <w:bCs/>
          <w:iCs/>
          <w:lang w:val="sq-AL"/>
        </w:rPr>
        <w:t>u</w:t>
      </w:r>
      <w:r w:rsidRPr="00B45509">
        <w:rPr>
          <w:rFonts w:ascii="Arial" w:hAnsi="Arial" w:cs="Arial"/>
          <w:bCs/>
          <w:iCs/>
          <w:lang w:val="sq-AL"/>
        </w:rPr>
        <w:t>bac</w:t>
      </w:r>
      <w:r w:rsidR="00B45509" w:rsidRPr="00B45509">
        <w:rPr>
          <w:rFonts w:ascii="Arial" w:hAnsi="Arial" w:cs="Arial"/>
          <w:bCs/>
          <w:iCs/>
          <w:lang w:val="sq-AL"/>
        </w:rPr>
        <w:t>u</w:t>
      </w:r>
      <w:r w:rsidRPr="00B45509">
        <w:rPr>
          <w:rFonts w:ascii="Arial" w:hAnsi="Arial" w:cs="Arial"/>
          <w:bCs/>
          <w:iCs/>
          <w:lang w:val="sq-AL"/>
        </w:rPr>
        <w:t>ju</w:t>
      </w:r>
      <w:r w:rsidRPr="002A6F4E">
        <w:rPr>
          <w:rFonts w:ascii="Arial" w:hAnsi="Arial" w:cs="Arial"/>
          <w:bCs/>
          <w:iCs/>
          <w:lang w:val="sq-AL"/>
        </w:rPr>
        <w:t xml:space="preserve"> u kamion za </w:t>
      </w:r>
      <w:r w:rsidR="00B45509">
        <w:rPr>
          <w:rFonts w:ascii="Arial" w:hAnsi="Arial" w:cs="Arial"/>
          <w:bCs/>
          <w:iCs/>
          <w:lang w:val="sq-AL"/>
        </w:rPr>
        <w:t xml:space="preserve">sakupljanje </w:t>
      </w:r>
      <w:r w:rsidRPr="002A6F4E">
        <w:rPr>
          <w:rFonts w:ascii="Arial" w:hAnsi="Arial" w:cs="Arial"/>
          <w:bCs/>
          <w:iCs/>
          <w:lang w:val="sq-AL"/>
        </w:rPr>
        <w:t>otpad</w:t>
      </w:r>
      <w:r w:rsidR="00B45509">
        <w:rPr>
          <w:rFonts w:ascii="Arial" w:hAnsi="Arial" w:cs="Arial"/>
          <w:bCs/>
          <w:iCs/>
          <w:lang w:val="sq-AL"/>
        </w:rPr>
        <w:t>a</w:t>
      </w:r>
      <w:r w:rsidRPr="002A6F4E">
        <w:rPr>
          <w:rFonts w:ascii="Arial" w:hAnsi="Arial" w:cs="Arial"/>
          <w:bCs/>
          <w:iCs/>
          <w:lang w:val="sq-AL"/>
        </w:rPr>
        <w:t>.</w:t>
      </w:r>
    </w:p>
    <w:p w14:paraId="62EC6E48" w14:textId="381DE3C7" w:rsidR="00C232D7" w:rsidRPr="002A6F4E" w:rsidRDefault="00C232D7" w:rsidP="00C232D7">
      <w:pPr>
        <w:spacing w:before="120" w:after="120" w:line="360" w:lineRule="auto"/>
        <w:rPr>
          <w:rFonts w:ascii="Arial" w:hAnsi="Arial" w:cs="Arial"/>
          <w:b/>
          <w:i/>
          <w:lang w:val="sq-AL"/>
        </w:rPr>
      </w:pPr>
      <w:r w:rsidRPr="002A6F4E">
        <w:rPr>
          <w:rFonts w:ascii="Arial" w:hAnsi="Arial" w:cs="Arial"/>
          <w:b/>
          <w:i/>
          <w:lang w:val="sq-AL"/>
        </w:rPr>
        <w:t xml:space="preserve">Opcija RS2 – Sakupljanje otpada zasnovano na sistemu </w:t>
      </w:r>
      <w:r w:rsidR="00A91763">
        <w:rPr>
          <w:rFonts w:ascii="Arial" w:hAnsi="Arial" w:cs="Arial"/>
          <w:b/>
          <w:i/>
          <w:lang w:val="sq-AL"/>
        </w:rPr>
        <w:t>“</w:t>
      </w:r>
      <w:r w:rsidRPr="002A6F4E">
        <w:rPr>
          <w:rFonts w:ascii="Arial" w:hAnsi="Arial" w:cs="Arial"/>
          <w:b/>
          <w:i/>
          <w:lang w:val="sq-AL"/>
        </w:rPr>
        <w:t>od vrata do vrata</w:t>
      </w:r>
      <w:r w:rsidR="00A91763">
        <w:rPr>
          <w:rFonts w:ascii="Arial" w:hAnsi="Arial" w:cs="Arial"/>
          <w:b/>
          <w:i/>
          <w:lang w:val="sq-AL"/>
        </w:rPr>
        <w:t>”</w:t>
      </w:r>
      <w:r w:rsidRPr="002A6F4E">
        <w:rPr>
          <w:rFonts w:ascii="Arial" w:hAnsi="Arial" w:cs="Arial"/>
          <w:b/>
          <w:i/>
          <w:lang w:val="sq-AL"/>
        </w:rPr>
        <w:t xml:space="preserve">, sa </w:t>
      </w:r>
      <w:r w:rsidR="005C4A0C" w:rsidRPr="00B45509">
        <w:rPr>
          <w:rFonts w:ascii="Arial" w:hAnsi="Arial" w:cs="Arial"/>
          <w:b/>
          <w:i/>
          <w:lang w:val="sq-AL"/>
        </w:rPr>
        <w:t>posuda</w:t>
      </w:r>
      <w:r w:rsidRPr="00B45509">
        <w:rPr>
          <w:rFonts w:ascii="Arial" w:hAnsi="Arial" w:cs="Arial"/>
          <w:b/>
          <w:i/>
          <w:lang w:val="sq-AL"/>
        </w:rPr>
        <w:t>ma</w:t>
      </w:r>
      <w:r w:rsidRPr="002A6F4E">
        <w:rPr>
          <w:rFonts w:ascii="Arial" w:hAnsi="Arial" w:cs="Arial"/>
          <w:b/>
          <w:i/>
          <w:lang w:val="sq-AL"/>
        </w:rPr>
        <w:t xml:space="preserve"> i pojedinačnim kontejnerima </w:t>
      </w:r>
    </w:p>
    <w:p w14:paraId="234FBBC1" w14:textId="3996A6CD" w:rsidR="00C232D7" w:rsidRPr="002A6F4E" w:rsidRDefault="00C232D7" w:rsidP="00C232D7">
      <w:pPr>
        <w:spacing w:before="120" w:after="120" w:line="360" w:lineRule="auto"/>
        <w:rPr>
          <w:rFonts w:ascii="Arial" w:hAnsi="Arial" w:cs="Arial"/>
          <w:bCs/>
          <w:iCs/>
          <w:lang w:val="sq-AL"/>
        </w:rPr>
      </w:pPr>
      <w:r w:rsidRPr="002A6F4E">
        <w:rPr>
          <w:rFonts w:ascii="Arial" w:hAnsi="Arial" w:cs="Arial"/>
          <w:bCs/>
          <w:iCs/>
          <w:lang w:val="sq-AL"/>
        </w:rPr>
        <w:t xml:space="preserve">U slučaju ovog sistema, svako pojedinačno domaćinstvo dobija </w:t>
      </w:r>
      <w:r w:rsidR="00517C60" w:rsidRPr="00B45509">
        <w:rPr>
          <w:rFonts w:ascii="Arial" w:hAnsi="Arial" w:cs="Arial"/>
          <w:bCs/>
          <w:iCs/>
          <w:lang w:val="sq-AL"/>
        </w:rPr>
        <w:t>posude</w:t>
      </w:r>
      <w:r w:rsidRPr="002A6F4E">
        <w:rPr>
          <w:rFonts w:ascii="Arial" w:hAnsi="Arial" w:cs="Arial"/>
          <w:bCs/>
          <w:iCs/>
          <w:lang w:val="sq-AL"/>
        </w:rPr>
        <w:t xml:space="preserve"> i kontejnere (</w:t>
      </w:r>
      <w:r w:rsidR="005C4A0C">
        <w:rPr>
          <w:rFonts w:ascii="Arial" w:hAnsi="Arial" w:cs="Arial"/>
          <w:bCs/>
          <w:iCs/>
          <w:lang w:val="sq-AL"/>
        </w:rPr>
        <w:t>posude</w:t>
      </w:r>
      <w:r w:rsidRPr="002A6F4E">
        <w:rPr>
          <w:rFonts w:ascii="Arial" w:hAnsi="Arial" w:cs="Arial"/>
          <w:bCs/>
          <w:iCs/>
          <w:lang w:val="sq-AL"/>
        </w:rPr>
        <w:t xml:space="preserve"> od 120, odnosno 240</w:t>
      </w:r>
      <w:r w:rsidR="00517C60">
        <w:rPr>
          <w:rFonts w:ascii="Arial" w:hAnsi="Arial" w:cs="Arial"/>
          <w:bCs/>
          <w:iCs/>
          <w:lang w:val="sq-AL"/>
        </w:rPr>
        <w:t xml:space="preserve"> </w:t>
      </w:r>
      <w:r w:rsidR="00517C60" w:rsidRPr="002A6F4E">
        <w:rPr>
          <w:rFonts w:ascii="Arial" w:hAnsi="Arial" w:cs="Arial"/>
          <w:bCs/>
          <w:iCs/>
          <w:lang w:val="sq-AL"/>
        </w:rPr>
        <w:t>l</w:t>
      </w:r>
      <w:r w:rsidRPr="002A6F4E">
        <w:rPr>
          <w:rFonts w:ascii="Arial" w:hAnsi="Arial" w:cs="Arial"/>
          <w:bCs/>
          <w:iCs/>
          <w:lang w:val="sq-AL"/>
        </w:rPr>
        <w:t>).</w:t>
      </w:r>
    </w:p>
    <w:p w14:paraId="44E29303" w14:textId="77777777" w:rsidR="00C232D7" w:rsidRPr="002A6F4E" w:rsidRDefault="00C232D7" w:rsidP="00C232D7">
      <w:pPr>
        <w:spacing w:before="120" w:after="120" w:line="360" w:lineRule="auto"/>
        <w:rPr>
          <w:rFonts w:ascii="Arial" w:hAnsi="Arial" w:cs="Arial"/>
          <w:b/>
          <w:i/>
          <w:lang w:val="sq-AL"/>
        </w:rPr>
      </w:pPr>
      <w:r w:rsidRPr="002A6F4E">
        <w:rPr>
          <w:rFonts w:ascii="Arial" w:hAnsi="Arial" w:cs="Arial"/>
          <w:b/>
          <w:i/>
          <w:lang w:val="sq-AL"/>
        </w:rPr>
        <w:t>Opcija RS3 – Sistem dovoza otpada na lokacije gdje se sakuplja otpad</w:t>
      </w:r>
    </w:p>
    <w:p w14:paraId="432EA0E6" w14:textId="77777777" w:rsidR="00C232D7" w:rsidRPr="002A6F4E" w:rsidRDefault="00C232D7" w:rsidP="00C232D7">
      <w:pPr>
        <w:spacing w:before="120" w:after="120" w:line="360" w:lineRule="auto"/>
        <w:rPr>
          <w:rFonts w:ascii="Arial" w:hAnsi="Arial" w:cs="Arial"/>
          <w:lang w:val="sq-AL" w:eastAsia="el-GR"/>
        </w:rPr>
      </w:pPr>
      <w:r w:rsidRPr="002A6F4E">
        <w:rPr>
          <w:rFonts w:ascii="Arial" w:hAnsi="Arial" w:cs="Arial"/>
          <w:lang w:val="sq-AL" w:eastAsia="el-GR"/>
        </w:rPr>
        <w:t xml:space="preserve">Na svakoj lokaciji za sakupljanje otpada nalazi se jedan ili više kontejnera i građani su dužni da odlažu otpad u kontejnere. Broj i veličina kontejnera će se prilagoditi zahtjevima sistema sakupljanja, raspoloživoj zapremini i potrebnom kapacitetu za sakupljeni otpad. Obično se kontejneri od 1,1 </w:t>
      </w:r>
      <w:r w:rsidRPr="002A6F4E">
        <w:rPr>
          <w:rFonts w:ascii="Arial" w:hAnsi="Arial" w:cs="Arial"/>
          <w:lang w:val="sq-AL"/>
        </w:rPr>
        <w:t>m</w:t>
      </w:r>
      <w:r w:rsidRPr="002A6F4E">
        <w:rPr>
          <w:rFonts w:ascii="Arial" w:hAnsi="Arial" w:cs="Arial"/>
          <w:vertAlign w:val="superscript"/>
          <w:lang w:val="sq-AL"/>
        </w:rPr>
        <w:t>3</w:t>
      </w:r>
      <w:r w:rsidRPr="002A6F4E">
        <w:rPr>
          <w:rFonts w:ascii="Arial" w:hAnsi="Arial" w:cs="Arial"/>
          <w:lang w:val="sq-AL" w:eastAsia="el-GR"/>
        </w:rPr>
        <w:t xml:space="preserve"> nalaze na centralnim tačkama i stanovnici koji žive u okolini ih koriste za skladištenje otpada. Kontejneri koji primaju rezidualni otpad su odgovarajuće obojeni.</w:t>
      </w:r>
    </w:p>
    <w:p w14:paraId="6EDF63FB" w14:textId="19628500" w:rsidR="00C232D7" w:rsidRPr="002A6F4E" w:rsidRDefault="00C232D7" w:rsidP="00C232D7">
      <w:pPr>
        <w:spacing w:before="120" w:after="120" w:line="360" w:lineRule="auto"/>
        <w:rPr>
          <w:rFonts w:ascii="Arial" w:hAnsi="Arial" w:cs="Arial"/>
          <w:lang w:val="sq-AL" w:eastAsia="el-GR"/>
        </w:rPr>
      </w:pPr>
      <w:r w:rsidRPr="002A6F4E">
        <w:rPr>
          <w:rFonts w:ascii="Arial" w:hAnsi="Arial" w:cs="Arial"/>
          <w:lang w:val="sq-AL" w:eastAsia="el-GR"/>
        </w:rPr>
        <w:t xml:space="preserve">Većina </w:t>
      </w:r>
      <w:r w:rsidRPr="00B45509">
        <w:rPr>
          <w:rFonts w:ascii="Arial" w:hAnsi="Arial" w:cs="Arial"/>
          <w:lang w:val="sq-AL" w:eastAsia="el-GR"/>
        </w:rPr>
        <w:t>generisanog</w:t>
      </w:r>
      <w:r w:rsidRPr="002A6F4E">
        <w:rPr>
          <w:rFonts w:ascii="Arial" w:hAnsi="Arial" w:cs="Arial"/>
          <w:lang w:val="sq-AL" w:eastAsia="el-GR"/>
        </w:rPr>
        <w:t xml:space="preserve"> komunalnog otpada sakuplja se u </w:t>
      </w:r>
      <w:r w:rsidR="005C4A0C">
        <w:rPr>
          <w:rFonts w:ascii="Arial" w:hAnsi="Arial" w:cs="Arial"/>
          <w:lang w:val="sq-AL" w:eastAsia="el-GR"/>
        </w:rPr>
        <w:t>posude</w:t>
      </w:r>
      <w:r w:rsidRPr="002A6F4E">
        <w:rPr>
          <w:rFonts w:ascii="Arial" w:hAnsi="Arial" w:cs="Arial"/>
          <w:lang w:val="sq-AL" w:eastAsia="el-GR"/>
        </w:rPr>
        <w:t xml:space="preserve"> od 120 l – 1,1 </w:t>
      </w:r>
      <w:r w:rsidRPr="002A6F4E">
        <w:rPr>
          <w:rFonts w:ascii="Arial" w:hAnsi="Arial" w:cs="Arial"/>
          <w:lang w:val="sq-AL"/>
        </w:rPr>
        <w:t>m</w:t>
      </w:r>
      <w:r w:rsidRPr="002A6F4E">
        <w:rPr>
          <w:rFonts w:ascii="Arial" w:hAnsi="Arial" w:cs="Arial"/>
          <w:vertAlign w:val="superscript"/>
          <w:lang w:val="sq-AL"/>
        </w:rPr>
        <w:t>3</w:t>
      </w:r>
      <w:r w:rsidRPr="002A6F4E">
        <w:rPr>
          <w:rFonts w:ascii="Arial" w:hAnsi="Arial" w:cs="Arial"/>
          <w:lang w:val="sq-AL" w:eastAsia="el-GR"/>
        </w:rPr>
        <w:t xml:space="preserve">. </w:t>
      </w:r>
    </w:p>
    <w:p w14:paraId="0B0B7884" w14:textId="45B674D4" w:rsidR="00C232D7" w:rsidRPr="002A6F4E" w:rsidRDefault="00425801" w:rsidP="00F57909">
      <w:pPr>
        <w:pStyle w:val="Heading2"/>
      </w:pPr>
      <w:bookmarkStart w:id="966" w:name="_Toc189759691"/>
      <w:bookmarkStart w:id="967" w:name="_Toc193354020"/>
      <w:r>
        <w:t>5.1</w:t>
      </w:r>
      <w:r w:rsidR="00FB0212">
        <w:t>3</w:t>
      </w:r>
      <w:r w:rsidR="004F5CD0" w:rsidRPr="002A6F4E">
        <w:t xml:space="preserve">. </w:t>
      </w:r>
      <w:r w:rsidR="00C232D7" w:rsidRPr="002A6F4E">
        <w:t>Sakupljanje otpada koji može da se reciklira</w:t>
      </w:r>
      <w:bookmarkEnd w:id="966"/>
      <w:bookmarkEnd w:id="967"/>
    </w:p>
    <w:p w14:paraId="521B1BD2" w14:textId="6389DC1D"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Što se tiče odvojenog sakupljanja otpada koji se može reciklirati (koji se odnosi na m</w:t>
      </w:r>
      <w:r w:rsidR="00A91763">
        <w:rPr>
          <w:rFonts w:ascii="Arial" w:hAnsi="Arial" w:cs="Arial"/>
          <w:lang w:val="sq-AL"/>
        </w:rPr>
        <w:t>iješani</w:t>
      </w:r>
      <w:r w:rsidRPr="002A6F4E">
        <w:rPr>
          <w:rFonts w:ascii="Arial" w:hAnsi="Arial" w:cs="Arial"/>
          <w:lang w:val="sq-AL"/>
        </w:rPr>
        <w:t xml:space="preserve"> otpad koji može da se reciklira ili odvojene frakcije), postoje dvije glavne tehničke opcije:</w:t>
      </w:r>
    </w:p>
    <w:p w14:paraId="75072625" w14:textId="53B6AE1C" w:rsidR="00C232D7" w:rsidRPr="002A6F4E" w:rsidRDefault="00C232D7" w:rsidP="00C232D7">
      <w:pPr>
        <w:spacing w:before="120" w:after="120" w:line="360" w:lineRule="auto"/>
        <w:rPr>
          <w:rFonts w:ascii="Arial" w:hAnsi="Arial" w:cs="Arial"/>
          <w:b/>
          <w:bCs/>
          <w:i/>
          <w:iCs/>
          <w:lang w:val="sq-AL"/>
        </w:rPr>
      </w:pPr>
      <w:r w:rsidRPr="002A6F4E">
        <w:rPr>
          <w:rFonts w:ascii="Arial" w:hAnsi="Arial" w:cs="Arial"/>
          <w:b/>
          <w:bCs/>
          <w:i/>
          <w:iCs/>
          <w:lang w:val="sq-AL"/>
        </w:rPr>
        <w:t xml:space="preserve">Opcija RC1 – Sakupljanje otpada po sistemu </w:t>
      </w:r>
      <w:r w:rsidR="00A91763">
        <w:rPr>
          <w:rFonts w:ascii="Arial" w:hAnsi="Arial" w:cs="Arial"/>
          <w:b/>
          <w:bCs/>
          <w:i/>
          <w:iCs/>
          <w:lang w:val="sq-AL"/>
        </w:rPr>
        <w:t>“</w:t>
      </w:r>
      <w:r w:rsidRPr="002A6F4E">
        <w:rPr>
          <w:rFonts w:ascii="Arial" w:hAnsi="Arial" w:cs="Arial"/>
          <w:b/>
          <w:bCs/>
          <w:i/>
          <w:iCs/>
          <w:lang w:val="sq-AL"/>
        </w:rPr>
        <w:t>od vrata do vrata</w:t>
      </w:r>
      <w:r w:rsidR="00A91763">
        <w:rPr>
          <w:rFonts w:ascii="Arial" w:hAnsi="Arial" w:cs="Arial"/>
          <w:b/>
          <w:bCs/>
          <w:i/>
          <w:iCs/>
          <w:lang w:val="sq-AL"/>
        </w:rPr>
        <w:t>”</w:t>
      </w:r>
      <w:r w:rsidRPr="002A6F4E">
        <w:rPr>
          <w:rFonts w:ascii="Arial" w:hAnsi="Arial" w:cs="Arial"/>
          <w:b/>
          <w:bCs/>
          <w:i/>
          <w:iCs/>
          <w:lang w:val="sq-AL"/>
        </w:rPr>
        <w:t>, u posebnim kontejnerima za svako domaćinstvo</w:t>
      </w:r>
    </w:p>
    <w:p w14:paraId="2E4F57FF"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 slučaju ovakvog sistema, svako pojedinačno domaćinstvo dobija jedan ili više kontejnera za odvojeno sakupljanje otpada koji se može reciklirati.</w:t>
      </w:r>
    </w:p>
    <w:p w14:paraId="34EFA389" w14:textId="77777777" w:rsidR="00C232D7" w:rsidRPr="002A6F4E" w:rsidRDefault="00C232D7" w:rsidP="00C232D7">
      <w:pPr>
        <w:spacing w:before="120" w:after="120" w:line="360" w:lineRule="auto"/>
        <w:rPr>
          <w:rFonts w:ascii="Arial" w:hAnsi="Arial" w:cs="Arial"/>
          <w:b/>
          <w:bCs/>
          <w:i/>
          <w:iCs/>
          <w:lang w:val="sq-AL"/>
        </w:rPr>
      </w:pPr>
      <w:r w:rsidRPr="002A6F4E">
        <w:rPr>
          <w:rFonts w:ascii="Arial" w:hAnsi="Arial" w:cs="Arial"/>
          <w:b/>
          <w:bCs/>
          <w:i/>
          <w:iCs/>
          <w:lang w:val="sq-AL"/>
        </w:rPr>
        <w:t xml:space="preserve">Opcija RC2 – </w:t>
      </w:r>
      <w:r w:rsidRPr="002A6F4E">
        <w:rPr>
          <w:rFonts w:ascii="Arial" w:hAnsi="Arial" w:cs="Arial"/>
          <w:b/>
          <w:i/>
          <w:lang w:val="sq-AL"/>
        </w:rPr>
        <w:t xml:space="preserve"> Sistem dovoza otpada na lokacije gdje se sakuplja otpad</w:t>
      </w:r>
    </w:p>
    <w:p w14:paraId="686186B3"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Na svakoj lokaciji postavlja se po jedan ili više kontejnera (u zavisnosti od broja frakcija koje će se odvojeno sakupljati) i građani će dovoziti otpad i odlagati u kontejnere. Broj i veličina kontejnera prilagođavaju se zahtjevima sistema sakupljanja, raspoloživoj zapremini i potrebnom kapacitetu za sakupljeni otpad. Kada je riječ o broju  frakcija za odvojeno sakupljanje otpada koji se može reciklirati, postoje sljedeće opcije:</w:t>
      </w:r>
    </w:p>
    <w:p w14:paraId="00796942" w14:textId="77777777"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Sakupljanje u četiri ili više frakcija: staklo – po posebnim bojama ili mješovito, papir i karton, plastični otpad, metalni otpad;</w:t>
      </w:r>
    </w:p>
    <w:p w14:paraId="4CC7AF7D" w14:textId="2242574B"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Sakupljanje u tri frakcije: staklo;/ papir i karton / plastični otpad</w:t>
      </w:r>
      <w:r w:rsidR="00A91763">
        <w:rPr>
          <w:rFonts w:ascii="Arial" w:hAnsi="Arial" w:cs="Arial"/>
          <w:lang w:val="sq-AL"/>
        </w:rPr>
        <w:t>,</w:t>
      </w:r>
      <w:r w:rsidRPr="002A6F4E">
        <w:rPr>
          <w:rFonts w:ascii="Arial" w:hAnsi="Arial" w:cs="Arial"/>
          <w:lang w:val="sq-AL"/>
        </w:rPr>
        <w:t xml:space="preserve"> zajedno sa metalnim otpadom;</w:t>
      </w:r>
    </w:p>
    <w:p w14:paraId="23A43630" w14:textId="661B9A08"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Sakupljanje u 2 frakcije: staklo;/ papir i karton i plastični otpad</w:t>
      </w:r>
      <w:r w:rsidR="00A91763">
        <w:rPr>
          <w:rFonts w:ascii="Arial" w:hAnsi="Arial" w:cs="Arial"/>
          <w:lang w:val="sq-AL"/>
        </w:rPr>
        <w:t>,</w:t>
      </w:r>
      <w:r w:rsidRPr="002A6F4E">
        <w:rPr>
          <w:rFonts w:ascii="Arial" w:hAnsi="Arial" w:cs="Arial"/>
          <w:lang w:val="sq-AL"/>
        </w:rPr>
        <w:t xml:space="preserve"> zajedno sa metalnim otpadom;</w:t>
      </w:r>
    </w:p>
    <w:p w14:paraId="6DBFA454" w14:textId="3777862D" w:rsidR="00C232D7" w:rsidRPr="002A6F4E" w:rsidRDefault="00C232D7" w:rsidP="00A23ED0">
      <w:pPr>
        <w:pStyle w:val="ListParagraph"/>
        <w:numPr>
          <w:ilvl w:val="0"/>
          <w:numId w:val="36"/>
        </w:numPr>
        <w:spacing w:before="120" w:after="120" w:line="360" w:lineRule="auto"/>
        <w:contextualSpacing w:val="0"/>
        <w:rPr>
          <w:rFonts w:ascii="Arial" w:hAnsi="Arial" w:cs="Arial"/>
          <w:lang w:val="sq-AL"/>
        </w:rPr>
      </w:pPr>
      <w:r w:rsidRPr="002A6F4E">
        <w:rPr>
          <w:rFonts w:ascii="Arial" w:hAnsi="Arial" w:cs="Arial"/>
          <w:lang w:val="sq-AL"/>
        </w:rPr>
        <w:t xml:space="preserve">Sakupljanje </w:t>
      </w:r>
      <w:r w:rsidR="00A91763">
        <w:rPr>
          <w:rFonts w:ascii="Arial" w:hAnsi="Arial" w:cs="Arial"/>
          <w:lang w:val="sq-AL"/>
        </w:rPr>
        <w:t>miješanog</w:t>
      </w:r>
      <w:r w:rsidR="00A91763" w:rsidRPr="002A6F4E">
        <w:rPr>
          <w:rFonts w:ascii="Arial" w:hAnsi="Arial" w:cs="Arial"/>
          <w:lang w:val="sq-AL"/>
        </w:rPr>
        <w:t xml:space="preserve"> </w:t>
      </w:r>
      <w:r w:rsidRPr="002A6F4E">
        <w:rPr>
          <w:rFonts w:ascii="Arial" w:hAnsi="Arial" w:cs="Arial"/>
          <w:lang w:val="sq-AL"/>
        </w:rPr>
        <w:t>otpada koji se može reciklirati u jednom kontejneru (jedna frakcija).</w:t>
      </w:r>
    </w:p>
    <w:p w14:paraId="6C1022FF" w14:textId="7F634ECD"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Kontejneri treba da budu obojeni u zavisnosti od vrste recikla</w:t>
      </w:r>
      <w:r w:rsidR="00A91763">
        <w:rPr>
          <w:rFonts w:ascii="Arial" w:hAnsi="Arial" w:cs="Arial"/>
          <w:lang w:val="sq-AL"/>
        </w:rPr>
        <w:t>bilnog</w:t>
      </w:r>
      <w:r w:rsidRPr="002A6F4E">
        <w:rPr>
          <w:rFonts w:ascii="Arial" w:hAnsi="Arial" w:cs="Arial"/>
          <w:lang w:val="sq-AL"/>
        </w:rPr>
        <w:t xml:space="preserve"> materijala koji se u njih odlaže.</w:t>
      </w:r>
    </w:p>
    <w:p w14:paraId="421B93D6" w14:textId="14ED268B" w:rsidR="00C232D7" w:rsidRPr="002A6F4E" w:rsidRDefault="00620A47" w:rsidP="00F57909">
      <w:pPr>
        <w:pStyle w:val="Heading2"/>
      </w:pPr>
      <w:bookmarkStart w:id="968" w:name="_Toc189759692"/>
      <w:bookmarkStart w:id="969" w:name="_Toc193354021"/>
      <w:r>
        <w:lastRenderedPageBreak/>
        <w:t>5.1</w:t>
      </w:r>
      <w:r w:rsidR="00FB0212">
        <w:t>4</w:t>
      </w:r>
      <w:r>
        <w:t xml:space="preserve">. </w:t>
      </w:r>
      <w:r w:rsidR="00C232D7" w:rsidRPr="002A6F4E">
        <w:t>Sakupljanje biorazgradivog otpada</w:t>
      </w:r>
      <w:bookmarkEnd w:id="968"/>
      <w:bookmarkEnd w:id="969"/>
    </w:p>
    <w:p w14:paraId="370354AE" w14:textId="1FD3023D" w:rsidR="00C232D7" w:rsidRDefault="00C232D7" w:rsidP="00C232D7">
      <w:pPr>
        <w:spacing w:before="120" w:after="120" w:line="360" w:lineRule="auto"/>
        <w:rPr>
          <w:rFonts w:ascii="Arial" w:hAnsi="Arial" w:cs="Arial"/>
          <w:lang w:val="sq-AL"/>
        </w:rPr>
      </w:pPr>
      <w:r w:rsidRPr="002A6F4E">
        <w:rPr>
          <w:rFonts w:ascii="Arial" w:hAnsi="Arial" w:cs="Arial"/>
          <w:lang w:val="sq-AL"/>
        </w:rPr>
        <w:t>Predložena opcija za državu za odvojeno sakupljanje biorazgradivog otpada odnosi se na sistem dovoza otpada korišćenjem kontejnera zapremine 1,1 m</w:t>
      </w:r>
      <w:r w:rsidRPr="002A6F4E">
        <w:rPr>
          <w:rFonts w:ascii="Arial" w:hAnsi="Arial" w:cs="Arial"/>
          <w:vertAlign w:val="superscript"/>
          <w:lang w:val="sq-AL"/>
        </w:rPr>
        <w:t>3</w:t>
      </w:r>
      <w:r w:rsidRPr="002A6F4E">
        <w:rPr>
          <w:rFonts w:ascii="Arial" w:hAnsi="Arial" w:cs="Arial"/>
          <w:lang w:val="sq-AL"/>
        </w:rPr>
        <w:t xml:space="preserve">. (sakupljanje pored ivičnjaka) u urbanim sredinama i </w:t>
      </w:r>
      <w:r w:rsidR="005C4A0C" w:rsidRPr="005A1BF5">
        <w:rPr>
          <w:rFonts w:ascii="Arial" w:hAnsi="Arial" w:cs="Arial"/>
          <w:lang w:val="sq-AL"/>
        </w:rPr>
        <w:t>posude</w:t>
      </w:r>
      <w:r w:rsidRPr="002A6F4E">
        <w:rPr>
          <w:rFonts w:ascii="Arial" w:hAnsi="Arial" w:cs="Arial"/>
          <w:lang w:val="sq-AL"/>
        </w:rPr>
        <w:t xml:space="preserve"> od 120/240l u ruralnim sredinama i pojedinačnim stanovima (sistem </w:t>
      </w:r>
      <w:r w:rsidR="00A91763">
        <w:rPr>
          <w:rFonts w:ascii="Arial" w:hAnsi="Arial" w:cs="Arial"/>
          <w:lang w:val="sq-AL"/>
        </w:rPr>
        <w:t>“</w:t>
      </w:r>
      <w:r w:rsidRPr="002A6F4E">
        <w:rPr>
          <w:rFonts w:ascii="Arial" w:hAnsi="Arial" w:cs="Arial"/>
          <w:lang w:val="sq-AL"/>
        </w:rPr>
        <w:t>od vrata do vrata</w:t>
      </w:r>
      <w:r w:rsidR="00A91763">
        <w:rPr>
          <w:rFonts w:ascii="Arial" w:hAnsi="Arial" w:cs="Arial"/>
          <w:lang w:val="sq-AL"/>
        </w:rPr>
        <w:t>”</w:t>
      </w:r>
      <w:r w:rsidRPr="002A6F4E">
        <w:rPr>
          <w:rFonts w:ascii="Arial" w:hAnsi="Arial" w:cs="Arial"/>
          <w:lang w:val="sq-AL"/>
        </w:rPr>
        <w:t>). Očekuje se da većina biorazgradivog otpada potiče od velikih proizvođača odnosno restorana, javnih pijaca, hotela, parkova i sl. Kontejneri treba da budu na odgovarajući način označeni/obojeni.</w:t>
      </w:r>
    </w:p>
    <w:p w14:paraId="376A60A5" w14:textId="77777777" w:rsidR="004D2EA8" w:rsidRPr="002A6F4E" w:rsidRDefault="004D2EA8" w:rsidP="00C232D7">
      <w:pPr>
        <w:spacing w:before="120" w:after="120" w:line="360" w:lineRule="auto"/>
        <w:rPr>
          <w:rFonts w:ascii="Arial" w:hAnsi="Arial" w:cs="Arial"/>
          <w:lang w:val="sq-AL"/>
        </w:rPr>
      </w:pPr>
    </w:p>
    <w:p w14:paraId="15D46C2F" w14:textId="06B6D326" w:rsidR="00C232D7" w:rsidRPr="002A6F4E" w:rsidRDefault="00620A47" w:rsidP="00F57909">
      <w:pPr>
        <w:pStyle w:val="Heading2"/>
      </w:pPr>
      <w:bookmarkStart w:id="970" w:name="_Toc117607216"/>
      <w:bookmarkStart w:id="971" w:name="_Toc121759048"/>
      <w:bookmarkStart w:id="972" w:name="_Toc109647308"/>
      <w:bookmarkStart w:id="973" w:name="_Toc98752682"/>
      <w:bookmarkStart w:id="974" w:name="_Toc189759693"/>
      <w:bookmarkStart w:id="975" w:name="_Toc193354022"/>
      <w:r>
        <w:t>5.1</w:t>
      </w:r>
      <w:r w:rsidR="00A32F55">
        <w:t>5</w:t>
      </w:r>
      <w:r>
        <w:t xml:space="preserve">. </w:t>
      </w:r>
      <w:r w:rsidR="005C4A0C" w:rsidRPr="005A1BF5">
        <w:t>Posude</w:t>
      </w:r>
      <w:r w:rsidR="00C232D7" w:rsidRPr="002A6F4E">
        <w:t>/Kontejneri za otpad</w:t>
      </w:r>
      <w:bookmarkEnd w:id="970"/>
      <w:bookmarkEnd w:id="971"/>
      <w:bookmarkEnd w:id="972"/>
      <w:bookmarkEnd w:id="973"/>
      <w:bookmarkEnd w:id="974"/>
      <w:bookmarkEnd w:id="975"/>
    </w:p>
    <w:p w14:paraId="1146F9CE" w14:textId="21AB8DF6"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Postoje dvije vrste materijala koji se koriste u proizvodnji </w:t>
      </w:r>
      <w:r w:rsidR="007B1545">
        <w:rPr>
          <w:rFonts w:ascii="Arial" w:hAnsi="Arial" w:cs="Arial"/>
          <w:lang w:val="sq-AL"/>
        </w:rPr>
        <w:t>posuda</w:t>
      </w:r>
      <w:r w:rsidRPr="002A6F4E">
        <w:rPr>
          <w:rFonts w:ascii="Arial" w:hAnsi="Arial" w:cs="Arial"/>
          <w:lang w:val="sq-AL"/>
        </w:rPr>
        <w:t>/kontejnera za sakupljanje otpada</w:t>
      </w:r>
      <w:r w:rsidR="007C5F60">
        <w:rPr>
          <w:rFonts w:ascii="Arial" w:hAnsi="Arial" w:cs="Arial"/>
          <w:lang w:val="sq-AL"/>
        </w:rPr>
        <w:t>:</w:t>
      </w:r>
      <w:r w:rsidRPr="002A6F4E">
        <w:rPr>
          <w:rFonts w:ascii="Arial" w:hAnsi="Arial" w:cs="Arial"/>
          <w:lang w:val="sq-AL"/>
        </w:rPr>
        <w:t xml:space="preserve"> metalni i plastični. Dok je plastika lakša za manevrisanje i jeftinija, metalne </w:t>
      </w:r>
      <w:r w:rsidR="005C4A0C">
        <w:rPr>
          <w:rFonts w:ascii="Arial" w:hAnsi="Arial" w:cs="Arial"/>
          <w:lang w:val="sq-AL"/>
        </w:rPr>
        <w:t>posude</w:t>
      </w:r>
      <w:r w:rsidRPr="002A6F4E">
        <w:rPr>
          <w:rFonts w:ascii="Arial" w:hAnsi="Arial" w:cs="Arial"/>
          <w:lang w:val="sq-AL"/>
        </w:rPr>
        <w:t xml:space="preserve"> se obično predlažu za sakupljanje rezidualnog otpada. Razlog tome je  što m</w:t>
      </w:r>
      <w:r w:rsidR="00A91763">
        <w:rPr>
          <w:rFonts w:ascii="Arial" w:hAnsi="Arial" w:cs="Arial"/>
          <w:lang w:val="sq-AL"/>
        </w:rPr>
        <w:t>iješani</w:t>
      </w:r>
      <w:r w:rsidRPr="002A6F4E">
        <w:rPr>
          <w:rFonts w:ascii="Arial" w:hAnsi="Arial" w:cs="Arial"/>
          <w:lang w:val="sq-AL"/>
        </w:rPr>
        <w:t xml:space="preserve"> otpad može da sadrži pepeo ili drugi otpad koji može izazvati požar i kao takve metalne </w:t>
      </w:r>
      <w:r w:rsidR="005C4A0C">
        <w:rPr>
          <w:rFonts w:ascii="Arial" w:hAnsi="Arial" w:cs="Arial"/>
          <w:lang w:val="sq-AL"/>
        </w:rPr>
        <w:t>posude</w:t>
      </w:r>
      <w:r w:rsidRPr="002A6F4E">
        <w:rPr>
          <w:rFonts w:ascii="Arial" w:hAnsi="Arial" w:cs="Arial"/>
          <w:lang w:val="sq-AL"/>
        </w:rPr>
        <w:t xml:space="preserve"> se koriste kako bi se spriječili potencijalni požari. Pored toga, metalne </w:t>
      </w:r>
      <w:r w:rsidR="005C4A0C">
        <w:rPr>
          <w:rFonts w:ascii="Arial" w:hAnsi="Arial" w:cs="Arial"/>
          <w:lang w:val="sq-AL"/>
        </w:rPr>
        <w:t>posude</w:t>
      </w:r>
      <w:r w:rsidRPr="002A6F4E">
        <w:rPr>
          <w:rFonts w:ascii="Arial" w:hAnsi="Arial" w:cs="Arial"/>
          <w:lang w:val="sq-AL"/>
        </w:rPr>
        <w:t xml:space="preserve"> imaju bolju izdržljivost zbog veće otpornosti na vremenske uslove i nepravilnog rukovanja. Za tokove otpada koji može da se reciklira i biorazgradivi otpad obično se koriste plastične </w:t>
      </w:r>
      <w:r w:rsidR="005C4A0C">
        <w:rPr>
          <w:rFonts w:ascii="Arial" w:hAnsi="Arial" w:cs="Arial"/>
          <w:lang w:val="sq-AL"/>
        </w:rPr>
        <w:t>posude</w:t>
      </w:r>
      <w:r w:rsidRPr="002A6F4E">
        <w:rPr>
          <w:rFonts w:ascii="Arial" w:hAnsi="Arial" w:cs="Arial"/>
          <w:lang w:val="sq-AL"/>
        </w:rPr>
        <w:t>.</w:t>
      </w:r>
    </w:p>
    <w:p w14:paraId="6AEA062F" w14:textId="01BD2E6A"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Pored različitih materijala koji se koriste za proizvodnju </w:t>
      </w:r>
      <w:r w:rsidR="007B1545">
        <w:rPr>
          <w:rFonts w:ascii="Arial" w:hAnsi="Arial" w:cs="Arial"/>
          <w:lang w:val="sq-AL"/>
        </w:rPr>
        <w:t>posuda</w:t>
      </w:r>
      <w:r w:rsidRPr="002A6F4E">
        <w:rPr>
          <w:rFonts w:ascii="Arial" w:hAnsi="Arial" w:cs="Arial"/>
          <w:lang w:val="sq-AL"/>
        </w:rPr>
        <w:t xml:space="preserve"> za sakupljanje otpada, postoje i različiti sistemi sakupljanja (koji se odnose na sakupljanje na ivičnjacima), uključujući:</w:t>
      </w:r>
    </w:p>
    <w:p w14:paraId="2EFC3BAD" w14:textId="69402492" w:rsidR="00C232D7" w:rsidRPr="002A6F4E" w:rsidRDefault="00C232D7" w:rsidP="00A23ED0">
      <w:pPr>
        <w:pStyle w:val="ListParagraph"/>
        <w:numPr>
          <w:ilvl w:val="0"/>
          <w:numId w:val="38"/>
        </w:numPr>
        <w:spacing w:before="120" w:after="120" w:line="360" w:lineRule="auto"/>
        <w:contextualSpacing w:val="0"/>
        <w:rPr>
          <w:rFonts w:ascii="Arial" w:hAnsi="Arial" w:cs="Arial"/>
          <w:lang w:val="sq-AL"/>
        </w:rPr>
      </w:pPr>
      <w:r w:rsidRPr="002A6F4E">
        <w:rPr>
          <w:rFonts w:ascii="Arial" w:hAnsi="Arial" w:cs="Arial"/>
          <w:lang w:val="sq-AL"/>
        </w:rPr>
        <w:t>Kontejneri sa točkovima zapremine 1,1 m</w:t>
      </w:r>
      <w:r w:rsidRPr="002A6F4E">
        <w:rPr>
          <w:rFonts w:ascii="Arial" w:hAnsi="Arial" w:cs="Arial"/>
          <w:vertAlign w:val="superscript"/>
          <w:lang w:val="sq-AL"/>
        </w:rPr>
        <w:t>3</w:t>
      </w:r>
      <w:r w:rsidRPr="002A6F4E">
        <w:rPr>
          <w:rFonts w:ascii="Arial" w:hAnsi="Arial" w:cs="Arial"/>
          <w:lang w:val="sq-AL"/>
        </w:rPr>
        <w:t xml:space="preserve"> (sistem koji se trenutno koristi)</w:t>
      </w:r>
      <w:r w:rsidR="00590AD2">
        <w:rPr>
          <w:rFonts w:ascii="Arial" w:hAnsi="Arial" w:cs="Arial"/>
          <w:lang w:val="sq-AL"/>
        </w:rPr>
        <w:t>,</w:t>
      </w:r>
    </w:p>
    <w:p w14:paraId="1D8A2667" w14:textId="5CC7F77D" w:rsidR="00C232D7" w:rsidRPr="002A6F4E" w:rsidRDefault="00C232D7" w:rsidP="00A23ED0">
      <w:pPr>
        <w:pStyle w:val="ListParagraph"/>
        <w:numPr>
          <w:ilvl w:val="0"/>
          <w:numId w:val="38"/>
        </w:numPr>
        <w:spacing w:before="120" w:after="120" w:line="360" w:lineRule="auto"/>
        <w:contextualSpacing w:val="0"/>
        <w:rPr>
          <w:rFonts w:ascii="Arial" w:hAnsi="Arial" w:cs="Arial"/>
          <w:lang w:val="sq-AL"/>
        </w:rPr>
      </w:pPr>
      <w:r w:rsidRPr="002A6F4E">
        <w:rPr>
          <w:rFonts w:ascii="Arial" w:hAnsi="Arial" w:cs="Arial"/>
          <w:lang w:val="sq-AL"/>
        </w:rPr>
        <w:t>Kontejneri bez točkova zapremine 2,5 m</w:t>
      </w:r>
      <w:r w:rsidRPr="002A6F4E">
        <w:rPr>
          <w:rFonts w:ascii="Arial" w:hAnsi="Arial" w:cs="Arial"/>
          <w:vertAlign w:val="superscript"/>
          <w:lang w:val="sq-AL"/>
        </w:rPr>
        <w:t>3</w:t>
      </w:r>
      <w:r w:rsidR="00590AD2">
        <w:rPr>
          <w:rFonts w:ascii="Arial" w:hAnsi="Arial" w:cs="Arial"/>
          <w:lang w:val="sq-AL"/>
        </w:rPr>
        <w:t>,</w:t>
      </w:r>
    </w:p>
    <w:p w14:paraId="57F00CFE" w14:textId="7E6E5950" w:rsidR="00C232D7" w:rsidRDefault="00C232D7" w:rsidP="00A23ED0">
      <w:pPr>
        <w:pStyle w:val="ListParagraph"/>
        <w:numPr>
          <w:ilvl w:val="0"/>
          <w:numId w:val="38"/>
        </w:numPr>
        <w:spacing w:before="120" w:after="120" w:line="360" w:lineRule="auto"/>
        <w:contextualSpacing w:val="0"/>
        <w:rPr>
          <w:rFonts w:ascii="Arial" w:hAnsi="Arial" w:cs="Arial"/>
          <w:lang w:val="sq-AL"/>
        </w:rPr>
      </w:pPr>
      <w:r w:rsidRPr="002A6F4E">
        <w:rPr>
          <w:rFonts w:ascii="Arial" w:hAnsi="Arial" w:cs="Arial"/>
          <w:lang w:val="sq-AL"/>
        </w:rPr>
        <w:t>Polu/potpuno podzemni kontejneri zapremine od 3 do  5 m</w:t>
      </w:r>
      <w:r w:rsidRPr="002A6F4E">
        <w:rPr>
          <w:rFonts w:ascii="Arial" w:hAnsi="Arial" w:cs="Arial"/>
          <w:vertAlign w:val="superscript"/>
          <w:lang w:val="sq-AL"/>
        </w:rPr>
        <w:t>3</w:t>
      </w:r>
      <w:r w:rsidR="00590AD2">
        <w:rPr>
          <w:rFonts w:ascii="Arial" w:hAnsi="Arial" w:cs="Arial"/>
          <w:lang w:val="sq-AL"/>
        </w:rPr>
        <w:t>.</w:t>
      </w:r>
    </w:p>
    <w:p w14:paraId="1E260232" w14:textId="77777777" w:rsidR="004D2EA8" w:rsidRPr="002A6F4E" w:rsidRDefault="004D2EA8" w:rsidP="004D2EA8">
      <w:pPr>
        <w:pStyle w:val="ListParagraph"/>
        <w:spacing w:before="120" w:after="120" w:line="360" w:lineRule="auto"/>
        <w:contextualSpacing w:val="0"/>
        <w:rPr>
          <w:rFonts w:ascii="Arial" w:hAnsi="Arial" w:cs="Arial"/>
          <w:lang w:val="sq-AL"/>
        </w:rPr>
      </w:pPr>
    </w:p>
    <w:p w14:paraId="2F2F425E" w14:textId="5A27E008" w:rsidR="00C232D7" w:rsidRPr="002A6F4E" w:rsidRDefault="00620A47" w:rsidP="00F57909">
      <w:pPr>
        <w:pStyle w:val="Heading2"/>
      </w:pPr>
      <w:bookmarkStart w:id="976" w:name="_Toc367699"/>
      <w:bookmarkStart w:id="977" w:name="_Toc2782385"/>
      <w:bookmarkStart w:id="978" w:name="_Toc3385825"/>
      <w:bookmarkStart w:id="979" w:name="_Toc355287"/>
      <w:bookmarkStart w:id="980" w:name="_Toc2782317"/>
      <w:bookmarkStart w:id="981" w:name="_Toc98752683"/>
      <w:bookmarkStart w:id="982" w:name="_Toc109647309"/>
      <w:bookmarkStart w:id="983" w:name="_Toc117607217"/>
      <w:bookmarkStart w:id="984" w:name="_Toc121759049"/>
      <w:bookmarkStart w:id="985" w:name="_Toc189759694"/>
      <w:bookmarkStart w:id="986" w:name="_Toc193354023"/>
      <w:r>
        <w:t>5.1</w:t>
      </w:r>
      <w:r w:rsidR="00A32F55">
        <w:t>6</w:t>
      </w:r>
      <w:r>
        <w:t xml:space="preserve">. </w:t>
      </w:r>
      <w:r w:rsidR="00C232D7" w:rsidRPr="002A6F4E">
        <w:t>Kamioni za sakupljanje otpada</w:t>
      </w:r>
      <w:bookmarkEnd w:id="976"/>
      <w:bookmarkEnd w:id="977"/>
      <w:bookmarkEnd w:id="978"/>
      <w:bookmarkEnd w:id="979"/>
      <w:bookmarkEnd w:id="980"/>
      <w:bookmarkEnd w:id="981"/>
      <w:bookmarkEnd w:id="982"/>
      <w:bookmarkEnd w:id="983"/>
      <w:bookmarkEnd w:id="984"/>
      <w:bookmarkEnd w:id="985"/>
      <w:bookmarkEnd w:id="986"/>
    </w:p>
    <w:p w14:paraId="4311DEAC" w14:textId="18C17915" w:rsidR="00C232D7" w:rsidRDefault="00C232D7" w:rsidP="00C232D7">
      <w:pPr>
        <w:spacing w:before="120" w:after="120" w:line="360" w:lineRule="auto"/>
        <w:rPr>
          <w:rFonts w:ascii="Arial" w:hAnsi="Arial" w:cs="Arial"/>
          <w:lang w:val="sq-AL"/>
        </w:rPr>
      </w:pPr>
      <w:r w:rsidRPr="002A6F4E">
        <w:rPr>
          <w:rFonts w:ascii="Arial" w:hAnsi="Arial" w:cs="Arial"/>
          <w:lang w:val="sq-AL"/>
        </w:rPr>
        <w:t xml:space="preserve">Kamioni sa sistemom sabijanja otpada su ekonomski najpogodnija vozila za predloženi sistem sakupljanja otpada. U posljednjih </w:t>
      </w:r>
      <w:r w:rsidR="00590AD2">
        <w:rPr>
          <w:rFonts w:ascii="Arial" w:hAnsi="Arial" w:cs="Arial"/>
          <w:lang w:val="sq-AL"/>
        </w:rPr>
        <w:t>trideset</w:t>
      </w:r>
      <w:r w:rsidR="00590AD2" w:rsidRPr="002A6F4E">
        <w:rPr>
          <w:rFonts w:ascii="Arial" w:hAnsi="Arial" w:cs="Arial"/>
          <w:lang w:val="sq-AL"/>
        </w:rPr>
        <w:t xml:space="preserve"> </w:t>
      </w:r>
      <w:r w:rsidRPr="002A6F4E">
        <w:rPr>
          <w:rFonts w:ascii="Arial" w:hAnsi="Arial" w:cs="Arial"/>
          <w:lang w:val="sq-AL"/>
        </w:rPr>
        <w:t xml:space="preserve">godina prisutan je međunarodni trend za povećanjem </w:t>
      </w:r>
      <w:r w:rsidR="00590AD2">
        <w:rPr>
          <w:rFonts w:ascii="Arial" w:hAnsi="Arial" w:cs="Arial"/>
          <w:lang w:val="sq-AL"/>
        </w:rPr>
        <w:t>kapaciteta</w:t>
      </w:r>
      <w:r w:rsidR="00590AD2" w:rsidRPr="002A6F4E">
        <w:rPr>
          <w:rFonts w:ascii="Arial" w:hAnsi="Arial" w:cs="Arial"/>
          <w:lang w:val="sq-AL"/>
        </w:rPr>
        <w:t xml:space="preserve"> </w:t>
      </w:r>
      <w:r w:rsidRPr="002A6F4E">
        <w:rPr>
          <w:rFonts w:ascii="Arial" w:hAnsi="Arial" w:cs="Arial"/>
          <w:lang w:val="sq-AL"/>
        </w:rPr>
        <w:t xml:space="preserve">vozila za sakupljanje komunalnog otpada. Taj trend je povezan sa povećanjem složenosti i većim stepenom sabijanja. Međutim, to povećanje </w:t>
      </w:r>
      <w:r w:rsidR="00590AD2">
        <w:rPr>
          <w:rFonts w:ascii="Arial" w:hAnsi="Arial" w:cs="Arial"/>
          <w:lang w:val="sq-AL"/>
        </w:rPr>
        <w:t>kapaciteta</w:t>
      </w:r>
      <w:r w:rsidR="00590AD2" w:rsidRPr="002A6F4E">
        <w:rPr>
          <w:rFonts w:ascii="Arial" w:hAnsi="Arial" w:cs="Arial"/>
          <w:lang w:val="sq-AL"/>
        </w:rPr>
        <w:t xml:space="preserve"> </w:t>
      </w:r>
      <w:r w:rsidRPr="002A6F4E">
        <w:rPr>
          <w:rFonts w:ascii="Arial" w:hAnsi="Arial" w:cs="Arial"/>
          <w:lang w:val="sq-AL"/>
        </w:rPr>
        <w:t xml:space="preserve">je pokrenulo pitanja manevrisanja u zakrčenim ulicama, pitanja bezbijednosti na putevima, buke i </w:t>
      </w:r>
      <w:r w:rsidR="00590AD2">
        <w:rPr>
          <w:rFonts w:ascii="Arial" w:hAnsi="Arial" w:cs="Arial"/>
          <w:lang w:val="sq-AL"/>
        </w:rPr>
        <w:t xml:space="preserve">negativnih </w:t>
      </w:r>
      <w:r w:rsidRPr="002A6F4E">
        <w:rPr>
          <w:rFonts w:ascii="Arial" w:hAnsi="Arial" w:cs="Arial"/>
          <w:lang w:val="sq-AL"/>
        </w:rPr>
        <w:t>uticaja na životnu sredinu. Uzimajući u obzir postojeće stanje u pogledu raspoloživosti kamiona, predlaže se korišćenje sljedećih tipova kamiona:</w:t>
      </w:r>
    </w:p>
    <w:p w14:paraId="4BEA5A17" w14:textId="77777777" w:rsidR="004D2EA8" w:rsidRPr="002A6F4E" w:rsidRDefault="004D2EA8" w:rsidP="00C232D7">
      <w:pPr>
        <w:spacing w:before="120" w:after="120" w:line="360" w:lineRule="auto"/>
        <w:rPr>
          <w:rFonts w:ascii="Arial" w:hAnsi="Arial" w:cs="Arial"/>
          <w:lang w:val="sq-AL"/>
        </w:rPr>
      </w:pPr>
    </w:p>
    <w:p w14:paraId="1F98541D" w14:textId="77777777" w:rsidR="00C232D7" w:rsidRPr="002A6F4E" w:rsidRDefault="00C232D7" w:rsidP="00A23ED0">
      <w:pPr>
        <w:pStyle w:val="ListParagraph"/>
        <w:widowControl w:val="0"/>
        <w:numPr>
          <w:ilvl w:val="0"/>
          <w:numId w:val="39"/>
        </w:numPr>
        <w:shd w:val="clear" w:color="auto" w:fill="FFFFFF"/>
        <w:suppressAutoHyphens/>
        <w:autoSpaceDE w:val="0"/>
        <w:spacing w:before="120" w:after="120" w:line="360" w:lineRule="auto"/>
        <w:contextualSpacing w:val="0"/>
        <w:rPr>
          <w:rFonts w:ascii="Arial" w:hAnsi="Arial" w:cs="Arial"/>
          <w:lang w:val="sq-AL"/>
        </w:rPr>
      </w:pPr>
      <w:r w:rsidRPr="002A6F4E">
        <w:rPr>
          <w:rFonts w:ascii="Arial" w:hAnsi="Arial" w:cs="Arial"/>
          <w:lang w:val="sq-AL"/>
        </w:rPr>
        <w:t>Kamioni zapremine  12 – 22 m</w:t>
      </w:r>
      <w:r w:rsidRPr="002A6F4E">
        <w:rPr>
          <w:rFonts w:ascii="Arial" w:hAnsi="Arial" w:cs="Arial"/>
          <w:vertAlign w:val="superscript"/>
          <w:lang w:val="sq-AL"/>
        </w:rPr>
        <w:t>3</w:t>
      </w:r>
      <w:r w:rsidRPr="002A6F4E">
        <w:rPr>
          <w:rFonts w:ascii="Arial" w:hAnsi="Arial" w:cs="Arial"/>
          <w:lang w:val="sq-AL"/>
        </w:rPr>
        <w:t xml:space="preserve">  za urbana područja sa višespratnim zgradama za sakupljanje rezidualnog otpada i otpada koji može da se reciklira, otvoreni kiper zapremine 4 – 6 m</w:t>
      </w:r>
      <w:r w:rsidRPr="002A6F4E">
        <w:rPr>
          <w:rFonts w:ascii="Arial" w:hAnsi="Arial" w:cs="Arial"/>
          <w:vertAlign w:val="superscript"/>
          <w:lang w:val="sq-AL"/>
        </w:rPr>
        <w:t>3</w:t>
      </w:r>
      <w:r w:rsidRPr="002A6F4E">
        <w:rPr>
          <w:rFonts w:ascii="Arial" w:hAnsi="Arial" w:cs="Arial"/>
          <w:lang w:val="sq-AL"/>
        </w:rPr>
        <w:t xml:space="preserve"> se takođe može koristiti za otpad koji može da se reciklira;</w:t>
      </w:r>
    </w:p>
    <w:p w14:paraId="31DF9808" w14:textId="77777777" w:rsidR="00C232D7" w:rsidRPr="002A6F4E" w:rsidRDefault="00C232D7" w:rsidP="00A23ED0">
      <w:pPr>
        <w:pStyle w:val="ListParagraph"/>
        <w:widowControl w:val="0"/>
        <w:numPr>
          <w:ilvl w:val="0"/>
          <w:numId w:val="39"/>
        </w:numPr>
        <w:shd w:val="clear" w:color="auto" w:fill="FFFFFF"/>
        <w:suppressAutoHyphens/>
        <w:autoSpaceDE w:val="0"/>
        <w:spacing w:before="120" w:after="120" w:line="360" w:lineRule="auto"/>
        <w:contextualSpacing w:val="0"/>
        <w:rPr>
          <w:rFonts w:ascii="Arial" w:hAnsi="Arial" w:cs="Arial"/>
          <w:lang w:val="sq-AL"/>
        </w:rPr>
      </w:pPr>
      <w:r w:rsidRPr="002A6F4E">
        <w:rPr>
          <w:rFonts w:ascii="Arial" w:hAnsi="Arial" w:cs="Arial"/>
          <w:lang w:val="sq-AL"/>
        </w:rPr>
        <w:t>Kamioni zapremine 6 – 12 m</w:t>
      </w:r>
      <w:r w:rsidRPr="002A6F4E">
        <w:rPr>
          <w:rFonts w:ascii="Arial" w:hAnsi="Arial" w:cs="Arial"/>
          <w:vertAlign w:val="superscript"/>
          <w:lang w:val="sq-AL"/>
        </w:rPr>
        <w:t>3</w:t>
      </w:r>
      <w:r w:rsidRPr="002A6F4E">
        <w:rPr>
          <w:rFonts w:ascii="Arial" w:hAnsi="Arial" w:cs="Arial"/>
          <w:lang w:val="sq-AL"/>
        </w:rPr>
        <w:t xml:space="preserve"> u ostalim urbanim sredinama za sakupljanje rezidualnog otpada i otpada koji može da se reciklira, otvoreni kiper zapremine 4 – 6 m</w:t>
      </w:r>
      <w:r w:rsidRPr="002A6F4E">
        <w:rPr>
          <w:rFonts w:ascii="Arial" w:hAnsi="Arial" w:cs="Arial"/>
          <w:vertAlign w:val="superscript"/>
          <w:lang w:val="sq-AL"/>
        </w:rPr>
        <w:t>3</w:t>
      </w:r>
      <w:r w:rsidRPr="002A6F4E">
        <w:rPr>
          <w:rFonts w:ascii="Arial" w:hAnsi="Arial" w:cs="Arial"/>
          <w:lang w:val="sq-AL"/>
        </w:rPr>
        <w:t xml:space="preserve"> se takođe može koristiti za otpad koji može da se reciklira;</w:t>
      </w:r>
    </w:p>
    <w:p w14:paraId="69D826EC" w14:textId="77777777" w:rsidR="00C232D7" w:rsidRPr="002A6F4E" w:rsidRDefault="00C232D7" w:rsidP="00A23ED0">
      <w:pPr>
        <w:pStyle w:val="ListParagraph"/>
        <w:widowControl w:val="0"/>
        <w:numPr>
          <w:ilvl w:val="0"/>
          <w:numId w:val="39"/>
        </w:numPr>
        <w:shd w:val="clear" w:color="auto" w:fill="FFFFFF"/>
        <w:suppressAutoHyphens/>
        <w:autoSpaceDE w:val="0"/>
        <w:spacing w:before="120" w:after="120" w:line="360" w:lineRule="auto"/>
        <w:contextualSpacing w:val="0"/>
        <w:rPr>
          <w:rFonts w:ascii="Arial" w:hAnsi="Arial" w:cs="Arial"/>
          <w:lang w:val="sq-AL"/>
        </w:rPr>
      </w:pPr>
      <w:r w:rsidRPr="002A6F4E">
        <w:rPr>
          <w:rFonts w:ascii="Arial" w:hAnsi="Arial" w:cs="Arial"/>
          <w:lang w:val="sq-AL"/>
        </w:rPr>
        <w:lastRenderedPageBreak/>
        <w:t>Kamioni zapremine  5 – 6 m</w:t>
      </w:r>
      <w:r w:rsidRPr="002A6F4E">
        <w:rPr>
          <w:rFonts w:ascii="Arial" w:hAnsi="Arial" w:cs="Arial"/>
          <w:vertAlign w:val="superscript"/>
          <w:lang w:val="sq-AL"/>
        </w:rPr>
        <w:t>3</w:t>
      </w:r>
      <w:r w:rsidRPr="002A6F4E">
        <w:rPr>
          <w:rFonts w:ascii="Arial" w:hAnsi="Arial" w:cs="Arial"/>
          <w:lang w:val="sq-AL"/>
        </w:rPr>
        <w:t xml:space="preserve"> za urbana područja sa pojedinačnim kućama i za ruralna područja za sakupljanje rezidualnog otpada i otpada koji može da se reciklira, otvoreni kiper zapremine 4 – 6 m</w:t>
      </w:r>
      <w:r w:rsidRPr="002A6F4E">
        <w:rPr>
          <w:rFonts w:ascii="Arial" w:hAnsi="Arial" w:cs="Arial"/>
          <w:vertAlign w:val="superscript"/>
          <w:lang w:val="sq-AL"/>
        </w:rPr>
        <w:t>3</w:t>
      </w:r>
      <w:r w:rsidRPr="002A6F4E">
        <w:rPr>
          <w:rFonts w:ascii="Arial" w:hAnsi="Arial" w:cs="Arial"/>
          <w:lang w:val="sq-AL"/>
        </w:rPr>
        <w:t xml:space="preserve"> se takođe može koristiti za otpad koji može da se reciklira;</w:t>
      </w:r>
    </w:p>
    <w:p w14:paraId="245A1888" w14:textId="77777777" w:rsidR="00C232D7" w:rsidRDefault="00C232D7" w:rsidP="00A23ED0">
      <w:pPr>
        <w:pStyle w:val="ListParagraph"/>
        <w:widowControl w:val="0"/>
        <w:numPr>
          <w:ilvl w:val="0"/>
          <w:numId w:val="39"/>
        </w:numPr>
        <w:shd w:val="clear" w:color="auto" w:fill="FFFFFF"/>
        <w:suppressAutoHyphens/>
        <w:autoSpaceDE w:val="0"/>
        <w:spacing w:before="120" w:after="120" w:line="360" w:lineRule="auto"/>
        <w:contextualSpacing w:val="0"/>
        <w:rPr>
          <w:rFonts w:ascii="Arial" w:hAnsi="Arial" w:cs="Arial"/>
          <w:lang w:val="sq-AL"/>
        </w:rPr>
      </w:pPr>
      <w:r w:rsidRPr="002A6F4E">
        <w:rPr>
          <w:rFonts w:ascii="Arial" w:hAnsi="Arial" w:cs="Arial"/>
          <w:lang w:val="sq-AL"/>
        </w:rPr>
        <w:t>Otvoreni kamion zapremine 6 – 10 m</w:t>
      </w:r>
      <w:r w:rsidRPr="002A6F4E">
        <w:rPr>
          <w:rFonts w:ascii="Arial" w:hAnsi="Arial" w:cs="Arial"/>
          <w:vertAlign w:val="superscript"/>
          <w:lang w:val="sq-AL"/>
        </w:rPr>
        <w:t>3</w:t>
      </w:r>
      <w:r w:rsidRPr="002A6F4E">
        <w:rPr>
          <w:rFonts w:ascii="Arial" w:hAnsi="Arial" w:cs="Arial"/>
          <w:lang w:val="sq-AL"/>
        </w:rPr>
        <w:t xml:space="preserve"> opremljen kranom za sakupljanje zelenog i biorazgradivog otpada.</w:t>
      </w:r>
    </w:p>
    <w:p w14:paraId="608B2257" w14:textId="77777777" w:rsidR="004D2EA8" w:rsidRPr="002A6F4E" w:rsidRDefault="004D2EA8" w:rsidP="004D2EA8">
      <w:pPr>
        <w:pStyle w:val="ListParagraph"/>
        <w:widowControl w:val="0"/>
        <w:shd w:val="clear" w:color="auto" w:fill="FFFFFF"/>
        <w:suppressAutoHyphens/>
        <w:autoSpaceDE w:val="0"/>
        <w:spacing w:before="120" w:after="120" w:line="360" w:lineRule="auto"/>
        <w:contextualSpacing w:val="0"/>
        <w:rPr>
          <w:rFonts w:ascii="Arial" w:hAnsi="Arial" w:cs="Arial"/>
          <w:lang w:val="sq-AL"/>
        </w:rPr>
      </w:pPr>
    </w:p>
    <w:p w14:paraId="2F6BE95B" w14:textId="77777777" w:rsidR="00C232D7" w:rsidRDefault="00C232D7" w:rsidP="00C232D7">
      <w:pPr>
        <w:spacing w:before="120" w:after="120" w:line="360" w:lineRule="auto"/>
        <w:rPr>
          <w:rFonts w:ascii="Arial" w:hAnsi="Arial" w:cs="Arial"/>
          <w:lang w:val="sq-AL"/>
        </w:rPr>
      </w:pPr>
      <w:r w:rsidRPr="002A6F4E">
        <w:rPr>
          <w:rFonts w:ascii="Arial" w:hAnsi="Arial" w:cs="Arial"/>
          <w:lang w:val="sq-AL"/>
        </w:rPr>
        <w:t>Što se tiče kamiona sa sistemom sabijanja otpada, postoje dva osnovna tipa, a to su prese (samostalni) kamioni sa  sistemom sabijanja i kamioni sa sistemom za sabijanje sa rotacionim bubnjem, koji se mogu koristiti.</w:t>
      </w:r>
    </w:p>
    <w:p w14:paraId="54B15BF0" w14:textId="77777777" w:rsidR="004D2EA8" w:rsidRPr="002A6F4E" w:rsidRDefault="004D2EA8" w:rsidP="00C232D7">
      <w:pPr>
        <w:spacing w:before="120" w:after="120" w:line="360" w:lineRule="auto"/>
        <w:rPr>
          <w:rFonts w:ascii="Arial" w:hAnsi="Arial" w:cs="Arial"/>
          <w:lang w:val="sq-AL"/>
        </w:rPr>
      </w:pPr>
    </w:p>
    <w:p w14:paraId="59E41AA1" w14:textId="60025E50" w:rsidR="00C232D7" w:rsidRPr="002A6F4E" w:rsidRDefault="00620A47" w:rsidP="00F57909">
      <w:pPr>
        <w:pStyle w:val="Heading2"/>
      </w:pPr>
      <w:bookmarkStart w:id="987" w:name="_Toc189759695"/>
      <w:bookmarkStart w:id="988" w:name="_Toc193354024"/>
      <w:r>
        <w:t>5.1</w:t>
      </w:r>
      <w:r w:rsidR="00A32F55">
        <w:t>7</w:t>
      </w:r>
      <w:r>
        <w:t xml:space="preserve">. </w:t>
      </w:r>
      <w:r w:rsidR="00C232D7" w:rsidRPr="002A6F4E">
        <w:t>Preliminarna analiza opcija sakupljanja otpada</w:t>
      </w:r>
      <w:bookmarkEnd w:id="987"/>
      <w:bookmarkEnd w:id="988"/>
    </w:p>
    <w:p w14:paraId="1EDE72C6"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Određivanje sistema sakupljanja otpada koji će se implementirati u svakoj oblasti, kao i tehničke specifikacije opreme koja će se koristiti, biće potrebno definisati na osnovu studija koje će biti razrađene u svakoj konkretnoj oblasti, uzimajući u obzir njene specifične karakteristike.</w:t>
      </w:r>
    </w:p>
    <w:p w14:paraId="56E5D910" w14:textId="3320FB74"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U svakom slučaju, sve </w:t>
      </w:r>
      <w:r w:rsidR="005C4A0C">
        <w:rPr>
          <w:rFonts w:ascii="Arial" w:hAnsi="Arial" w:cs="Arial"/>
          <w:lang w:val="sq-AL"/>
        </w:rPr>
        <w:t>posude</w:t>
      </w:r>
      <w:r w:rsidRPr="002A6F4E">
        <w:rPr>
          <w:rFonts w:ascii="Arial" w:hAnsi="Arial" w:cs="Arial"/>
          <w:lang w:val="sq-AL"/>
        </w:rPr>
        <w:t xml:space="preserve"> i kontejneri koji će se koristiti moraju biti plastični ili metalni, zatvoreni poklopcem ili pokrivkom i u skladu sa </w:t>
      </w:r>
      <w:r w:rsidR="00590AD2">
        <w:rPr>
          <w:rFonts w:ascii="Arial" w:hAnsi="Arial" w:cs="Arial"/>
          <w:lang w:val="sq-AL"/>
        </w:rPr>
        <w:t>standardima u Crnoj Gori</w:t>
      </w:r>
      <w:r w:rsidR="00590AD2" w:rsidRPr="002A6F4E">
        <w:rPr>
          <w:rFonts w:ascii="Arial" w:hAnsi="Arial" w:cs="Arial"/>
          <w:lang w:val="sq-AL"/>
        </w:rPr>
        <w:t xml:space="preserve"> </w:t>
      </w:r>
      <w:r w:rsidRPr="002A6F4E">
        <w:rPr>
          <w:rFonts w:ascii="Arial" w:hAnsi="Arial" w:cs="Arial"/>
          <w:lang w:val="sq-AL"/>
        </w:rPr>
        <w:t>i međunarodnim standardima (npr. EN ISO 1461 standard, EN 840, i sl).</w:t>
      </w:r>
    </w:p>
    <w:p w14:paraId="4AC5316C" w14:textId="56823C46" w:rsidR="00C232D7" w:rsidRDefault="00C232D7" w:rsidP="00C232D7">
      <w:pPr>
        <w:spacing w:before="120" w:after="120" w:line="360" w:lineRule="auto"/>
        <w:rPr>
          <w:rFonts w:ascii="Arial" w:hAnsi="Arial" w:cs="Arial"/>
          <w:lang w:val="sq-AL"/>
        </w:rPr>
      </w:pPr>
      <w:r w:rsidRPr="002A6F4E">
        <w:rPr>
          <w:rFonts w:ascii="Arial" w:hAnsi="Arial" w:cs="Arial"/>
          <w:lang w:val="sq-AL"/>
        </w:rPr>
        <w:t>U narednoj tabeli  prikazan</w:t>
      </w:r>
      <w:r w:rsidR="00465823">
        <w:rPr>
          <w:rFonts w:ascii="Arial" w:hAnsi="Arial" w:cs="Arial"/>
          <w:lang w:val="sq-AL"/>
        </w:rPr>
        <w:t xml:space="preserve"> je metod</w:t>
      </w:r>
      <w:r w:rsidRPr="002A6F4E">
        <w:rPr>
          <w:rFonts w:ascii="Arial" w:hAnsi="Arial" w:cs="Arial"/>
          <w:lang w:val="sq-AL"/>
        </w:rPr>
        <w:t xml:space="preserve"> koji mogu da koriste organi uprave prilikom određivanja sistema sakupljanja koji treba primjeniti.</w:t>
      </w:r>
    </w:p>
    <w:p w14:paraId="135B4EE2" w14:textId="77777777" w:rsidR="004D2EA8" w:rsidRDefault="004D2EA8" w:rsidP="00C232D7">
      <w:pPr>
        <w:spacing w:before="120" w:after="120" w:line="360" w:lineRule="auto"/>
        <w:rPr>
          <w:rFonts w:ascii="Arial" w:hAnsi="Arial" w:cs="Arial"/>
          <w:lang w:val="sq-AL"/>
        </w:rPr>
      </w:pPr>
    </w:p>
    <w:p w14:paraId="30EE015B" w14:textId="77777777" w:rsidR="004D2EA8" w:rsidRDefault="004D2EA8" w:rsidP="00C232D7">
      <w:pPr>
        <w:spacing w:before="120" w:after="120" w:line="360" w:lineRule="auto"/>
        <w:rPr>
          <w:rFonts w:ascii="Arial" w:hAnsi="Arial" w:cs="Arial"/>
          <w:lang w:val="sq-AL"/>
        </w:rPr>
      </w:pPr>
    </w:p>
    <w:p w14:paraId="6546273E" w14:textId="77777777" w:rsidR="004D2EA8" w:rsidRDefault="004D2EA8" w:rsidP="00C232D7">
      <w:pPr>
        <w:spacing w:before="120" w:after="120" w:line="360" w:lineRule="auto"/>
        <w:rPr>
          <w:rFonts w:ascii="Arial" w:hAnsi="Arial" w:cs="Arial"/>
          <w:lang w:val="sq-AL"/>
        </w:rPr>
      </w:pPr>
    </w:p>
    <w:p w14:paraId="62FD1AD5" w14:textId="77777777" w:rsidR="004D2EA8" w:rsidRDefault="004D2EA8" w:rsidP="00C232D7">
      <w:pPr>
        <w:spacing w:before="120" w:after="120" w:line="360" w:lineRule="auto"/>
        <w:rPr>
          <w:rFonts w:ascii="Arial" w:hAnsi="Arial" w:cs="Arial"/>
          <w:lang w:val="sq-AL"/>
        </w:rPr>
      </w:pPr>
    </w:p>
    <w:p w14:paraId="197F0B7C" w14:textId="77777777" w:rsidR="004D2EA8" w:rsidRDefault="004D2EA8" w:rsidP="00C232D7">
      <w:pPr>
        <w:spacing w:before="120" w:after="120" w:line="360" w:lineRule="auto"/>
        <w:rPr>
          <w:rFonts w:ascii="Arial" w:hAnsi="Arial" w:cs="Arial"/>
          <w:lang w:val="sq-AL"/>
        </w:rPr>
      </w:pPr>
    </w:p>
    <w:p w14:paraId="3E8D4841" w14:textId="77777777" w:rsidR="004D2EA8" w:rsidRDefault="004D2EA8" w:rsidP="00C232D7">
      <w:pPr>
        <w:spacing w:before="120" w:after="120" w:line="360" w:lineRule="auto"/>
        <w:rPr>
          <w:rFonts w:ascii="Arial" w:hAnsi="Arial" w:cs="Arial"/>
          <w:lang w:val="sq-AL"/>
        </w:rPr>
      </w:pPr>
    </w:p>
    <w:p w14:paraId="71A647AC" w14:textId="77777777" w:rsidR="004D2EA8" w:rsidRDefault="004D2EA8" w:rsidP="00C232D7">
      <w:pPr>
        <w:spacing w:before="120" w:after="120" w:line="360" w:lineRule="auto"/>
        <w:rPr>
          <w:rFonts w:ascii="Arial" w:hAnsi="Arial" w:cs="Arial"/>
          <w:lang w:val="sq-AL"/>
        </w:rPr>
      </w:pPr>
    </w:p>
    <w:p w14:paraId="4366D28E" w14:textId="77777777" w:rsidR="004D2EA8" w:rsidRDefault="004D2EA8" w:rsidP="00C232D7">
      <w:pPr>
        <w:spacing w:before="120" w:after="120" w:line="360" w:lineRule="auto"/>
        <w:rPr>
          <w:rFonts w:ascii="Arial" w:hAnsi="Arial" w:cs="Arial"/>
          <w:lang w:val="sq-AL"/>
        </w:rPr>
      </w:pPr>
    </w:p>
    <w:p w14:paraId="08C2A68F" w14:textId="77777777" w:rsidR="004D2EA8" w:rsidRDefault="004D2EA8" w:rsidP="00C232D7">
      <w:pPr>
        <w:spacing w:before="120" w:after="120" w:line="360" w:lineRule="auto"/>
        <w:rPr>
          <w:rFonts w:ascii="Arial" w:hAnsi="Arial" w:cs="Arial"/>
          <w:lang w:val="sq-AL"/>
        </w:rPr>
      </w:pPr>
    </w:p>
    <w:p w14:paraId="23F505E4" w14:textId="77777777" w:rsidR="004D2EA8" w:rsidRDefault="004D2EA8" w:rsidP="00C232D7">
      <w:pPr>
        <w:spacing w:before="120" w:after="120" w:line="360" w:lineRule="auto"/>
        <w:rPr>
          <w:rFonts w:ascii="Arial" w:hAnsi="Arial" w:cs="Arial"/>
          <w:lang w:val="sq-AL"/>
        </w:rPr>
      </w:pPr>
    </w:p>
    <w:p w14:paraId="6A8AAB2D" w14:textId="77777777" w:rsidR="004D2EA8" w:rsidRDefault="004D2EA8" w:rsidP="00C232D7">
      <w:pPr>
        <w:spacing w:before="120" w:after="120" w:line="360" w:lineRule="auto"/>
        <w:rPr>
          <w:rFonts w:ascii="Arial" w:hAnsi="Arial" w:cs="Arial"/>
          <w:lang w:val="sq-AL"/>
        </w:rPr>
      </w:pPr>
    </w:p>
    <w:p w14:paraId="3863F0D9" w14:textId="77777777" w:rsidR="004D2EA8" w:rsidRDefault="004D2EA8" w:rsidP="00C232D7">
      <w:pPr>
        <w:spacing w:before="120" w:after="120" w:line="360" w:lineRule="auto"/>
        <w:rPr>
          <w:rFonts w:ascii="Arial" w:hAnsi="Arial" w:cs="Arial"/>
          <w:lang w:val="sq-AL"/>
        </w:rPr>
      </w:pPr>
    </w:p>
    <w:p w14:paraId="176CF923" w14:textId="77777777" w:rsidR="004D2EA8" w:rsidRPr="002A6F4E" w:rsidRDefault="004D2EA8" w:rsidP="00C232D7">
      <w:pPr>
        <w:spacing w:before="120" w:after="120" w:line="360" w:lineRule="auto"/>
        <w:rPr>
          <w:rFonts w:ascii="Arial" w:hAnsi="Arial" w:cs="Arial"/>
          <w:lang w:val="sq-AL"/>
        </w:rPr>
      </w:pPr>
    </w:p>
    <w:p w14:paraId="2008E503" w14:textId="50F609E7" w:rsidR="00C232D7" w:rsidRPr="005C4A0C" w:rsidRDefault="00C232D7" w:rsidP="004F774D">
      <w:pPr>
        <w:pStyle w:val="Caption"/>
        <w:rPr>
          <w:rFonts w:ascii="Arial" w:hAnsi="Arial" w:cs="Arial"/>
          <w:b w:val="0"/>
          <w:szCs w:val="20"/>
          <w:lang w:val="sq-AL"/>
        </w:rPr>
      </w:pPr>
      <w:bookmarkStart w:id="989" w:name="_Toc355302"/>
      <w:bookmarkStart w:id="990" w:name="_Toc367741"/>
      <w:bookmarkStart w:id="991" w:name="_Toc109647422"/>
      <w:bookmarkStart w:id="992" w:name="_Toc117607264"/>
      <w:bookmarkStart w:id="993" w:name="_Toc3385862"/>
      <w:bookmarkStart w:id="994" w:name="_Toc98752936"/>
      <w:bookmarkStart w:id="995" w:name="_Toc2782403"/>
      <w:bookmarkStart w:id="996" w:name="_Toc189515629"/>
      <w:bookmarkStart w:id="997" w:name="_Toc190160746"/>
      <w:r w:rsidRPr="005C4A0C">
        <w:rPr>
          <w:rFonts w:ascii="Arial" w:hAnsi="Arial" w:cs="Arial"/>
          <w:b w:val="0"/>
          <w:szCs w:val="20"/>
          <w:lang w:val="sq-AL"/>
        </w:rPr>
        <w:lastRenderedPageBreak/>
        <w:t xml:space="preserve">Tabela </w:t>
      </w:r>
      <w:r w:rsidRPr="005C4A0C">
        <w:rPr>
          <w:rFonts w:ascii="Arial" w:hAnsi="Arial" w:cs="Arial"/>
          <w:b w:val="0"/>
          <w:szCs w:val="20"/>
          <w:lang w:val="sq-AL"/>
        </w:rPr>
        <w:fldChar w:fldCharType="begin"/>
      </w:r>
      <w:r w:rsidRPr="005C4A0C">
        <w:rPr>
          <w:rFonts w:ascii="Arial" w:hAnsi="Arial" w:cs="Arial"/>
          <w:b w:val="0"/>
          <w:szCs w:val="20"/>
          <w:lang w:val="sq-AL"/>
        </w:rPr>
        <w:instrText xml:space="preserve"> SEQ Tabela \* ARABIC </w:instrText>
      </w:r>
      <w:r w:rsidRPr="005C4A0C">
        <w:rPr>
          <w:rFonts w:ascii="Arial" w:hAnsi="Arial" w:cs="Arial"/>
          <w:b w:val="0"/>
          <w:szCs w:val="20"/>
          <w:lang w:val="sq-AL"/>
        </w:rPr>
        <w:fldChar w:fldCharType="separate"/>
      </w:r>
      <w:r w:rsidR="007274DA">
        <w:rPr>
          <w:rFonts w:ascii="Arial" w:hAnsi="Arial" w:cs="Arial"/>
          <w:b w:val="0"/>
          <w:noProof/>
          <w:szCs w:val="20"/>
          <w:lang w:val="sq-AL"/>
        </w:rPr>
        <w:t>53</w:t>
      </w:r>
      <w:r w:rsidRPr="005C4A0C">
        <w:rPr>
          <w:rFonts w:ascii="Arial" w:hAnsi="Arial" w:cs="Arial"/>
          <w:b w:val="0"/>
          <w:szCs w:val="20"/>
          <w:lang w:val="sq-AL"/>
        </w:rPr>
        <w:fldChar w:fldCharType="end"/>
      </w:r>
      <w:r w:rsidRPr="005C4A0C">
        <w:rPr>
          <w:rFonts w:ascii="Arial" w:hAnsi="Arial" w:cs="Arial"/>
          <w:b w:val="0"/>
          <w:szCs w:val="20"/>
          <w:lang w:val="sq-AL"/>
        </w:rPr>
        <w:t xml:space="preserve"> </w:t>
      </w:r>
      <w:bookmarkEnd w:id="989"/>
      <w:bookmarkEnd w:id="990"/>
      <w:bookmarkEnd w:id="991"/>
      <w:bookmarkEnd w:id="992"/>
      <w:bookmarkEnd w:id="993"/>
      <w:bookmarkEnd w:id="994"/>
      <w:bookmarkEnd w:id="995"/>
      <w:r w:rsidRPr="005C4A0C">
        <w:rPr>
          <w:rFonts w:ascii="Arial" w:hAnsi="Arial" w:cs="Arial"/>
          <w:b w:val="0"/>
          <w:szCs w:val="20"/>
          <w:lang w:val="sq-AL"/>
        </w:rPr>
        <w:t>Indikativni sistem sakupljanja otpada</w:t>
      </w:r>
      <w:bookmarkEnd w:id="996"/>
      <w:bookmarkEnd w:id="997"/>
    </w:p>
    <w:tbl>
      <w:tblPr>
        <w:tblW w:w="97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217"/>
        <w:gridCol w:w="3172"/>
        <w:gridCol w:w="2025"/>
        <w:gridCol w:w="2350"/>
      </w:tblGrid>
      <w:tr w:rsidR="00C232D7" w:rsidRPr="00B22569" w14:paraId="1885594D" w14:textId="77777777" w:rsidTr="00C232D7">
        <w:trPr>
          <w:trHeight w:val="670"/>
          <w:tblHeader/>
          <w:jc w:val="center"/>
        </w:trPr>
        <w:tc>
          <w:tcPr>
            <w:tcW w:w="2217" w:type="dxa"/>
            <w:shd w:val="clear" w:color="auto" w:fill="F2F2F2" w:themeFill="background1" w:themeFillShade="F2"/>
            <w:vAlign w:val="center"/>
          </w:tcPr>
          <w:p w14:paraId="104668BA" w14:textId="77777777" w:rsidR="00C232D7" w:rsidRPr="00C149AB" w:rsidRDefault="00C232D7" w:rsidP="00C232D7">
            <w:pPr>
              <w:spacing w:before="40" w:after="40" w:line="360" w:lineRule="auto"/>
              <w:rPr>
                <w:rFonts w:ascii="Arial" w:hAnsi="Arial" w:cs="Arial"/>
                <w:b/>
                <w:sz w:val="18"/>
                <w:szCs w:val="18"/>
                <w:lang w:val="sq-AL"/>
              </w:rPr>
            </w:pPr>
            <w:r w:rsidRPr="00C149AB">
              <w:rPr>
                <w:rFonts w:ascii="Arial" w:hAnsi="Arial" w:cs="Arial"/>
                <w:b/>
                <w:sz w:val="18"/>
                <w:szCs w:val="18"/>
                <w:lang w:val="sq-AL"/>
              </w:rPr>
              <w:t>Otpad koji se sakuplja</w:t>
            </w:r>
          </w:p>
          <w:p w14:paraId="782C69BB" w14:textId="77777777" w:rsidR="00C232D7" w:rsidRPr="00C149AB" w:rsidRDefault="00C232D7" w:rsidP="00C232D7">
            <w:pPr>
              <w:spacing w:before="40" w:after="40" w:line="360" w:lineRule="auto"/>
              <w:rPr>
                <w:rFonts w:ascii="Arial" w:hAnsi="Arial" w:cs="Arial"/>
                <w:b/>
                <w:sz w:val="18"/>
                <w:szCs w:val="18"/>
                <w:lang w:val="sq-AL"/>
              </w:rPr>
            </w:pPr>
          </w:p>
        </w:tc>
        <w:tc>
          <w:tcPr>
            <w:tcW w:w="3172" w:type="dxa"/>
            <w:shd w:val="clear" w:color="auto" w:fill="F2F2F2" w:themeFill="background1" w:themeFillShade="F2"/>
            <w:vAlign w:val="center"/>
          </w:tcPr>
          <w:p w14:paraId="5AE113AF" w14:textId="77777777" w:rsidR="00C232D7" w:rsidRPr="00C149AB" w:rsidRDefault="00C232D7" w:rsidP="00C232D7">
            <w:pPr>
              <w:spacing w:before="40" w:after="40" w:line="360" w:lineRule="auto"/>
              <w:rPr>
                <w:rFonts w:ascii="Arial" w:hAnsi="Arial" w:cs="Arial"/>
                <w:b/>
                <w:sz w:val="18"/>
                <w:szCs w:val="18"/>
                <w:lang w:val="sq-AL"/>
              </w:rPr>
            </w:pPr>
            <w:r w:rsidRPr="00C149AB">
              <w:rPr>
                <w:rFonts w:ascii="Arial" w:hAnsi="Arial" w:cs="Arial"/>
                <w:b/>
                <w:sz w:val="18"/>
                <w:szCs w:val="18"/>
                <w:lang w:val="sq-AL"/>
              </w:rPr>
              <w:t>Sistem sakupljanja</w:t>
            </w:r>
          </w:p>
          <w:p w14:paraId="07BCF805" w14:textId="77777777" w:rsidR="00C232D7" w:rsidRPr="00C149AB" w:rsidRDefault="00C232D7" w:rsidP="00C232D7">
            <w:pPr>
              <w:spacing w:before="40" w:after="40" w:line="360" w:lineRule="auto"/>
              <w:rPr>
                <w:rFonts w:ascii="Arial" w:hAnsi="Arial" w:cs="Arial"/>
                <w:b/>
                <w:sz w:val="18"/>
                <w:szCs w:val="18"/>
                <w:lang w:val="sq-AL"/>
              </w:rPr>
            </w:pPr>
          </w:p>
        </w:tc>
        <w:tc>
          <w:tcPr>
            <w:tcW w:w="2025" w:type="dxa"/>
            <w:shd w:val="clear" w:color="auto" w:fill="F2F2F2" w:themeFill="background1" w:themeFillShade="F2"/>
            <w:noWrap/>
            <w:vAlign w:val="center"/>
          </w:tcPr>
          <w:p w14:paraId="77838A51" w14:textId="4790E769" w:rsidR="00C232D7" w:rsidRPr="00C149AB" w:rsidRDefault="00C232D7" w:rsidP="00C232D7">
            <w:pPr>
              <w:spacing w:before="40" w:after="40" w:line="360" w:lineRule="auto"/>
              <w:rPr>
                <w:rFonts w:ascii="Arial" w:hAnsi="Arial" w:cs="Arial"/>
                <w:b/>
                <w:sz w:val="18"/>
                <w:szCs w:val="18"/>
                <w:lang w:val="sq-AL"/>
              </w:rPr>
            </w:pPr>
            <w:r w:rsidRPr="00C149AB">
              <w:rPr>
                <w:rFonts w:ascii="Arial" w:hAnsi="Arial" w:cs="Arial"/>
                <w:b/>
                <w:sz w:val="18"/>
                <w:szCs w:val="18"/>
                <w:lang w:val="sq-AL"/>
              </w:rPr>
              <w:t xml:space="preserve">Tip </w:t>
            </w:r>
            <w:r w:rsidR="005C4A0C" w:rsidRPr="005A1BF5">
              <w:rPr>
                <w:rFonts w:ascii="Arial" w:hAnsi="Arial" w:cs="Arial"/>
                <w:b/>
                <w:sz w:val="18"/>
                <w:szCs w:val="18"/>
                <w:lang w:val="sq-AL"/>
              </w:rPr>
              <w:t>posude</w:t>
            </w:r>
            <w:r w:rsidRPr="00C149AB">
              <w:rPr>
                <w:rFonts w:ascii="Arial" w:hAnsi="Arial" w:cs="Arial"/>
                <w:b/>
                <w:sz w:val="18"/>
                <w:szCs w:val="18"/>
                <w:lang w:val="sq-AL"/>
              </w:rPr>
              <w:t>/kontejnera</w:t>
            </w:r>
          </w:p>
          <w:p w14:paraId="0C5E2F9A" w14:textId="77777777" w:rsidR="00C232D7" w:rsidRPr="00C149AB" w:rsidRDefault="00C232D7" w:rsidP="00C232D7">
            <w:pPr>
              <w:spacing w:before="40" w:after="40" w:line="360" w:lineRule="auto"/>
              <w:rPr>
                <w:rFonts w:ascii="Arial" w:hAnsi="Arial" w:cs="Arial"/>
                <w:b/>
                <w:sz w:val="18"/>
                <w:szCs w:val="18"/>
                <w:lang w:val="sq-AL"/>
              </w:rPr>
            </w:pPr>
          </w:p>
        </w:tc>
        <w:tc>
          <w:tcPr>
            <w:tcW w:w="2350" w:type="dxa"/>
            <w:shd w:val="clear" w:color="auto" w:fill="F2F2F2" w:themeFill="background1" w:themeFillShade="F2"/>
            <w:noWrap/>
            <w:vAlign w:val="center"/>
          </w:tcPr>
          <w:p w14:paraId="1454E943" w14:textId="77777777" w:rsidR="00C232D7" w:rsidRPr="00C149AB" w:rsidRDefault="00C232D7" w:rsidP="00C232D7">
            <w:pPr>
              <w:spacing w:before="40" w:after="40" w:line="360" w:lineRule="auto"/>
              <w:rPr>
                <w:rFonts w:ascii="Arial" w:hAnsi="Arial" w:cs="Arial"/>
                <w:b/>
                <w:sz w:val="18"/>
                <w:szCs w:val="18"/>
                <w:lang w:val="sq-AL"/>
              </w:rPr>
            </w:pPr>
            <w:r w:rsidRPr="00C149AB">
              <w:rPr>
                <w:rFonts w:ascii="Arial" w:hAnsi="Arial" w:cs="Arial"/>
                <w:b/>
                <w:sz w:val="18"/>
                <w:szCs w:val="18"/>
                <w:lang w:val="sq-AL"/>
              </w:rPr>
              <w:t>Tip kamiona</w:t>
            </w:r>
          </w:p>
        </w:tc>
      </w:tr>
      <w:tr w:rsidR="00C232D7" w:rsidRPr="00B22569" w14:paraId="2A83E7DC" w14:textId="77777777" w:rsidTr="00C232D7">
        <w:trPr>
          <w:trHeight w:val="476"/>
          <w:jc w:val="center"/>
        </w:trPr>
        <w:tc>
          <w:tcPr>
            <w:tcW w:w="9764" w:type="dxa"/>
            <w:gridSpan w:val="4"/>
            <w:shd w:val="clear" w:color="auto" w:fill="F2F2F2" w:themeFill="background1" w:themeFillShade="F2"/>
          </w:tcPr>
          <w:p w14:paraId="4EBFAE05" w14:textId="77777777" w:rsidR="00C232D7" w:rsidRPr="00C149AB" w:rsidRDefault="00C232D7" w:rsidP="00C232D7">
            <w:pPr>
              <w:spacing w:before="40" w:after="40" w:line="360" w:lineRule="auto"/>
              <w:rPr>
                <w:rFonts w:ascii="Arial" w:hAnsi="Arial" w:cs="Arial"/>
                <w:b/>
                <w:sz w:val="18"/>
                <w:szCs w:val="18"/>
                <w:lang w:val="sq-AL"/>
              </w:rPr>
            </w:pPr>
            <w:r w:rsidRPr="00C149AB">
              <w:rPr>
                <w:rFonts w:ascii="Arial" w:hAnsi="Arial" w:cs="Arial"/>
                <w:b/>
                <w:sz w:val="18"/>
                <w:szCs w:val="18"/>
                <w:lang w:val="sq-AL"/>
              </w:rPr>
              <w:t>Urbana područja</w:t>
            </w:r>
          </w:p>
        </w:tc>
      </w:tr>
      <w:tr w:rsidR="00C232D7" w:rsidRPr="0014164F" w14:paraId="1FE7E235" w14:textId="77777777" w:rsidTr="00C232D7">
        <w:trPr>
          <w:trHeight w:val="337"/>
          <w:jc w:val="center"/>
        </w:trPr>
        <w:tc>
          <w:tcPr>
            <w:tcW w:w="2217" w:type="dxa"/>
            <w:vAlign w:val="center"/>
          </w:tcPr>
          <w:p w14:paraId="2162A7EF" w14:textId="77777777" w:rsidR="00C232D7" w:rsidRPr="00C149AB" w:rsidRDefault="00C232D7" w:rsidP="00C232D7">
            <w:p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Rezidualni otpad</w:t>
            </w:r>
          </w:p>
          <w:p w14:paraId="60D13A76" w14:textId="77777777" w:rsidR="00C232D7" w:rsidRPr="00C149AB" w:rsidRDefault="00C232D7" w:rsidP="00C232D7">
            <w:pPr>
              <w:spacing w:before="40" w:after="40" w:line="360" w:lineRule="auto"/>
              <w:rPr>
                <w:rFonts w:ascii="Arial" w:hAnsi="Arial" w:cs="Arial"/>
                <w:color w:val="000000"/>
                <w:sz w:val="18"/>
                <w:szCs w:val="18"/>
                <w:lang w:val="sq-AL"/>
              </w:rPr>
            </w:pPr>
          </w:p>
        </w:tc>
        <w:tc>
          <w:tcPr>
            <w:tcW w:w="3172" w:type="dxa"/>
            <w:vAlign w:val="center"/>
          </w:tcPr>
          <w:p w14:paraId="55BCBB60" w14:textId="0B35FCC3"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 xml:space="preserve">sistem </w:t>
            </w:r>
            <w:r w:rsidR="00465823" w:rsidRPr="00C149AB">
              <w:rPr>
                <w:rFonts w:ascii="Arial" w:hAnsi="Arial" w:cs="Arial"/>
                <w:color w:val="000000"/>
                <w:sz w:val="18"/>
                <w:szCs w:val="18"/>
                <w:lang w:val="sq-AL"/>
              </w:rPr>
              <w:t>“</w:t>
            </w:r>
            <w:r w:rsidRPr="00C149AB">
              <w:rPr>
                <w:rFonts w:ascii="Arial" w:hAnsi="Arial" w:cs="Arial"/>
                <w:color w:val="000000"/>
                <w:sz w:val="18"/>
                <w:szCs w:val="18"/>
                <w:lang w:val="sq-AL"/>
              </w:rPr>
              <w:t>od vrata do vrata</w:t>
            </w:r>
            <w:r w:rsidR="00465823" w:rsidRPr="00C149AB">
              <w:rPr>
                <w:rFonts w:ascii="Arial" w:hAnsi="Arial" w:cs="Arial"/>
                <w:color w:val="000000"/>
                <w:sz w:val="18"/>
                <w:szCs w:val="18"/>
                <w:lang w:val="sq-AL"/>
              </w:rPr>
              <w:t>”</w:t>
            </w:r>
            <w:r w:rsidRPr="00C149AB">
              <w:rPr>
                <w:rFonts w:ascii="Arial" w:hAnsi="Arial" w:cs="Arial"/>
                <w:color w:val="000000"/>
                <w:sz w:val="18"/>
                <w:szCs w:val="18"/>
                <w:lang w:val="sq-AL"/>
              </w:rPr>
              <w:t>, za gdje je ovaj sistem već implementiran, kao i za pojedinačna domaćinstva;</w:t>
            </w:r>
          </w:p>
          <w:p w14:paraId="446D2B0A" w14:textId="4CBE3AA6"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Sistem dovoza otpada koji koristi lokacije za sakupljanje otpada uglavnom za  stambene zgrade (</w:t>
            </w:r>
            <w:r w:rsidR="00465823" w:rsidRPr="00C149AB">
              <w:rPr>
                <w:rFonts w:ascii="Arial" w:hAnsi="Arial" w:cs="Arial"/>
                <w:color w:val="000000"/>
                <w:sz w:val="18"/>
                <w:szCs w:val="18"/>
                <w:lang w:val="sq-AL"/>
              </w:rPr>
              <w:t xml:space="preserve">jedna </w:t>
            </w:r>
            <w:r w:rsidR="005C4A0C" w:rsidRPr="00C149AB">
              <w:rPr>
                <w:rFonts w:ascii="Arial" w:hAnsi="Arial" w:cs="Arial"/>
                <w:color w:val="000000"/>
                <w:sz w:val="18"/>
                <w:szCs w:val="18"/>
                <w:lang w:val="sq-AL"/>
              </w:rPr>
              <w:t>posuda</w:t>
            </w:r>
            <w:r w:rsidRPr="00C149AB">
              <w:rPr>
                <w:rFonts w:ascii="Arial" w:hAnsi="Arial" w:cs="Arial"/>
                <w:color w:val="000000"/>
                <w:sz w:val="18"/>
                <w:szCs w:val="18"/>
                <w:lang w:val="sq-AL"/>
              </w:rPr>
              <w:t xml:space="preserve"> na 100 – 150 stanovnika);</w:t>
            </w:r>
          </w:p>
        </w:tc>
        <w:tc>
          <w:tcPr>
            <w:tcW w:w="2025" w:type="dxa"/>
            <w:noWrap/>
            <w:vAlign w:val="center"/>
          </w:tcPr>
          <w:p w14:paraId="2B18FE51" w14:textId="0C2C17EE"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 xml:space="preserve">120 – 240 l </w:t>
            </w:r>
            <w:r w:rsidR="005C4A0C" w:rsidRPr="00C149AB">
              <w:rPr>
                <w:rFonts w:ascii="Arial" w:hAnsi="Arial" w:cs="Arial"/>
                <w:color w:val="000000"/>
                <w:sz w:val="18"/>
                <w:szCs w:val="18"/>
                <w:lang w:val="sq-AL"/>
              </w:rPr>
              <w:t>posude</w:t>
            </w:r>
            <w:r w:rsidRPr="00C149AB">
              <w:rPr>
                <w:rFonts w:ascii="Arial" w:hAnsi="Arial" w:cs="Arial"/>
                <w:color w:val="000000"/>
                <w:sz w:val="18"/>
                <w:szCs w:val="18"/>
                <w:lang w:val="sq-AL"/>
              </w:rPr>
              <w:t>;</w:t>
            </w:r>
          </w:p>
          <w:p w14:paraId="78E1418A" w14:textId="77777777" w:rsidR="00C232D7" w:rsidRPr="00C149AB" w:rsidRDefault="00C232D7" w:rsidP="00C232D7">
            <w:pPr>
              <w:spacing w:before="40" w:after="40" w:line="360" w:lineRule="auto"/>
              <w:rPr>
                <w:rFonts w:ascii="Arial" w:hAnsi="Arial" w:cs="Arial"/>
                <w:color w:val="000000"/>
                <w:sz w:val="18"/>
                <w:szCs w:val="18"/>
                <w:lang w:val="sq-AL"/>
              </w:rPr>
            </w:pPr>
          </w:p>
          <w:p w14:paraId="749C3C59" w14:textId="70CA4298"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1,1 m</w:t>
            </w:r>
            <w:r w:rsidRPr="00C149AB">
              <w:rPr>
                <w:rFonts w:ascii="Arial" w:hAnsi="Arial" w:cs="Arial"/>
                <w:color w:val="000000"/>
                <w:sz w:val="18"/>
                <w:szCs w:val="18"/>
                <w:vertAlign w:val="superscript"/>
                <w:lang w:val="sq-AL"/>
              </w:rPr>
              <w:t>3</w:t>
            </w:r>
            <w:r w:rsidRPr="00C149AB">
              <w:rPr>
                <w:rFonts w:ascii="Arial" w:hAnsi="Arial" w:cs="Arial"/>
                <w:color w:val="000000"/>
                <w:sz w:val="18"/>
                <w:szCs w:val="18"/>
                <w:lang w:val="sq-AL"/>
              </w:rPr>
              <w:t xml:space="preserve"> </w:t>
            </w:r>
            <w:r w:rsidR="005C4A0C" w:rsidRPr="00C149AB">
              <w:rPr>
                <w:rFonts w:ascii="Arial" w:hAnsi="Arial" w:cs="Arial"/>
                <w:color w:val="000000"/>
                <w:sz w:val="18"/>
                <w:szCs w:val="18"/>
                <w:lang w:val="sq-AL"/>
              </w:rPr>
              <w:t>posude</w:t>
            </w:r>
          </w:p>
          <w:p w14:paraId="28C40DDB" w14:textId="77777777" w:rsidR="00C232D7" w:rsidRPr="00C149AB" w:rsidRDefault="00C232D7" w:rsidP="00C232D7">
            <w:pPr>
              <w:pStyle w:val="ListParagraph"/>
              <w:spacing w:before="40" w:after="40" w:line="360" w:lineRule="auto"/>
              <w:rPr>
                <w:rFonts w:ascii="Arial" w:hAnsi="Arial" w:cs="Arial"/>
                <w:color w:val="000000"/>
                <w:sz w:val="18"/>
                <w:szCs w:val="18"/>
                <w:lang w:val="sq-AL"/>
              </w:rPr>
            </w:pPr>
          </w:p>
        </w:tc>
        <w:tc>
          <w:tcPr>
            <w:tcW w:w="2350" w:type="dxa"/>
            <w:noWrap/>
            <w:vAlign w:val="center"/>
          </w:tcPr>
          <w:p w14:paraId="04545737" w14:textId="77777777"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Kamioni od 12 – 22 m</w:t>
            </w:r>
            <w:r w:rsidRPr="00C149AB">
              <w:rPr>
                <w:rFonts w:ascii="Arial" w:hAnsi="Arial" w:cs="Arial"/>
                <w:color w:val="000000"/>
                <w:sz w:val="18"/>
                <w:szCs w:val="18"/>
                <w:vertAlign w:val="superscript"/>
                <w:lang w:val="sq-AL"/>
              </w:rPr>
              <w:t>3</w:t>
            </w:r>
            <w:r w:rsidRPr="00C149AB">
              <w:rPr>
                <w:rFonts w:ascii="Arial" w:hAnsi="Arial" w:cs="Arial"/>
                <w:color w:val="000000"/>
                <w:sz w:val="18"/>
                <w:szCs w:val="18"/>
                <w:lang w:val="sq-AL"/>
              </w:rPr>
              <w:t xml:space="preserve"> u urbanim sredinama sa višespratnicama;</w:t>
            </w:r>
          </w:p>
          <w:p w14:paraId="32A2857D" w14:textId="77777777"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Kamioni od 8 – 22 m</w:t>
            </w:r>
            <w:r w:rsidRPr="00C149AB">
              <w:rPr>
                <w:rFonts w:ascii="Arial" w:hAnsi="Arial" w:cs="Arial"/>
                <w:color w:val="000000"/>
                <w:sz w:val="18"/>
                <w:szCs w:val="18"/>
                <w:vertAlign w:val="superscript"/>
                <w:lang w:val="sq-AL"/>
              </w:rPr>
              <w:t>3</w:t>
            </w:r>
            <w:r w:rsidRPr="00C149AB">
              <w:rPr>
                <w:rFonts w:ascii="Arial" w:hAnsi="Arial" w:cs="Arial"/>
                <w:color w:val="000000"/>
                <w:sz w:val="18"/>
                <w:szCs w:val="18"/>
                <w:lang w:val="sq-AL"/>
              </w:rPr>
              <w:t xml:space="preserve"> u ostalim urbanim sredinama</w:t>
            </w:r>
          </w:p>
        </w:tc>
      </w:tr>
      <w:tr w:rsidR="00C232D7" w:rsidRPr="0014164F" w14:paraId="437AB4C1" w14:textId="77777777" w:rsidTr="00C232D7">
        <w:trPr>
          <w:trHeight w:val="337"/>
          <w:jc w:val="center"/>
        </w:trPr>
        <w:tc>
          <w:tcPr>
            <w:tcW w:w="2217" w:type="dxa"/>
            <w:vAlign w:val="center"/>
          </w:tcPr>
          <w:p w14:paraId="1DDDBDE8" w14:textId="77777777" w:rsidR="00C232D7" w:rsidRPr="00C149AB" w:rsidRDefault="00C232D7" w:rsidP="00C232D7">
            <w:p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Odvojeno sakupljeni otpad koji može da se reciklira</w:t>
            </w:r>
          </w:p>
          <w:p w14:paraId="5ECB3F07" w14:textId="77777777" w:rsidR="00C232D7" w:rsidRPr="00C149AB" w:rsidRDefault="00C232D7" w:rsidP="00C232D7">
            <w:p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 xml:space="preserve"> </w:t>
            </w:r>
          </w:p>
          <w:p w14:paraId="363DCFE7" w14:textId="77777777" w:rsidR="00C232D7" w:rsidRPr="00C149AB" w:rsidRDefault="00C232D7" w:rsidP="00C232D7">
            <w:pPr>
              <w:spacing w:before="40" w:after="40" w:line="360" w:lineRule="auto"/>
              <w:rPr>
                <w:rFonts w:ascii="Arial" w:hAnsi="Arial" w:cs="Arial"/>
                <w:color w:val="000000"/>
                <w:sz w:val="18"/>
                <w:szCs w:val="18"/>
                <w:lang w:val="sq-AL"/>
              </w:rPr>
            </w:pPr>
          </w:p>
        </w:tc>
        <w:tc>
          <w:tcPr>
            <w:tcW w:w="3172" w:type="dxa"/>
            <w:vAlign w:val="center"/>
          </w:tcPr>
          <w:p w14:paraId="7C5D9B05" w14:textId="141503F9"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 xml:space="preserve"> Sakupljanje reciklažnog materijala u zajedničku </w:t>
            </w:r>
            <w:r w:rsidR="005C4A0C" w:rsidRPr="00C149AB">
              <w:rPr>
                <w:rFonts w:ascii="Arial" w:hAnsi="Arial" w:cs="Arial"/>
                <w:color w:val="000000"/>
                <w:sz w:val="18"/>
                <w:szCs w:val="18"/>
                <w:lang w:val="sq-AL"/>
              </w:rPr>
              <w:t>posudu</w:t>
            </w:r>
            <w:r w:rsidRPr="00C149AB">
              <w:rPr>
                <w:rFonts w:ascii="Arial" w:hAnsi="Arial" w:cs="Arial"/>
                <w:color w:val="000000"/>
                <w:sz w:val="18"/>
                <w:szCs w:val="18"/>
                <w:lang w:val="sq-AL"/>
              </w:rPr>
              <w:t xml:space="preserve"> – ako je ekonomski isplativo odvojeno sakupljanje stakla;</w:t>
            </w:r>
          </w:p>
          <w:p w14:paraId="2E11014F" w14:textId="3DBC465C" w:rsidR="00C232D7" w:rsidRPr="00C149AB" w:rsidRDefault="00C232D7" w:rsidP="00A23ED0">
            <w:pPr>
              <w:pStyle w:val="ListParagraph"/>
              <w:numPr>
                <w:ilvl w:val="0"/>
                <w:numId w:val="40"/>
              </w:numPr>
              <w:spacing w:before="40" w:after="40" w:line="360" w:lineRule="auto"/>
              <w:rPr>
                <w:rFonts w:ascii="Arial" w:hAnsi="Arial" w:cs="Arial"/>
                <w:b/>
                <w:color w:val="000000"/>
                <w:sz w:val="18"/>
                <w:szCs w:val="18"/>
                <w:lang w:val="sq-AL"/>
              </w:rPr>
            </w:pPr>
            <w:r w:rsidRPr="00C149AB">
              <w:rPr>
                <w:rFonts w:ascii="Arial" w:hAnsi="Arial" w:cs="Arial"/>
                <w:color w:val="000000"/>
                <w:sz w:val="18"/>
                <w:szCs w:val="18"/>
                <w:lang w:val="sq-AL"/>
              </w:rPr>
              <w:t xml:space="preserve"> Sistem dovoza koristeći sabirne punktove (1 </w:t>
            </w:r>
            <w:r w:rsidR="005C4A0C" w:rsidRPr="00C149AB">
              <w:rPr>
                <w:rFonts w:ascii="Arial" w:hAnsi="Arial" w:cs="Arial"/>
                <w:color w:val="000000"/>
                <w:sz w:val="18"/>
                <w:szCs w:val="18"/>
                <w:lang w:val="sq-AL"/>
              </w:rPr>
              <w:t>posuda</w:t>
            </w:r>
            <w:r w:rsidRPr="00C149AB">
              <w:rPr>
                <w:rFonts w:ascii="Arial" w:hAnsi="Arial" w:cs="Arial"/>
                <w:color w:val="000000"/>
                <w:sz w:val="18"/>
                <w:szCs w:val="18"/>
                <w:lang w:val="sq-AL"/>
              </w:rPr>
              <w:t xml:space="preserve"> na 150 – 200 stanovnika);</w:t>
            </w:r>
          </w:p>
        </w:tc>
        <w:tc>
          <w:tcPr>
            <w:tcW w:w="2025" w:type="dxa"/>
            <w:noWrap/>
            <w:vAlign w:val="center"/>
          </w:tcPr>
          <w:p w14:paraId="5D6BFC27" w14:textId="6553A7CF"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1,1 m</w:t>
            </w:r>
            <w:r w:rsidRPr="00C149AB">
              <w:rPr>
                <w:rFonts w:ascii="Arial" w:hAnsi="Arial" w:cs="Arial"/>
                <w:color w:val="000000"/>
                <w:sz w:val="18"/>
                <w:szCs w:val="18"/>
                <w:vertAlign w:val="superscript"/>
                <w:lang w:val="sq-AL"/>
              </w:rPr>
              <w:t>3</w:t>
            </w:r>
            <w:r w:rsidRPr="00C149AB">
              <w:rPr>
                <w:rFonts w:ascii="Arial" w:hAnsi="Arial" w:cs="Arial"/>
                <w:color w:val="000000"/>
                <w:sz w:val="18"/>
                <w:szCs w:val="18"/>
                <w:lang w:val="sq-AL"/>
              </w:rPr>
              <w:t xml:space="preserve"> </w:t>
            </w:r>
            <w:r w:rsidR="005C4A0C" w:rsidRPr="00C149AB">
              <w:rPr>
                <w:rFonts w:ascii="Arial" w:hAnsi="Arial" w:cs="Arial"/>
                <w:color w:val="000000"/>
                <w:sz w:val="18"/>
                <w:szCs w:val="18"/>
                <w:lang w:val="sq-AL"/>
              </w:rPr>
              <w:t>posude</w:t>
            </w:r>
          </w:p>
          <w:p w14:paraId="12B556D0" w14:textId="68FCFD30" w:rsidR="00C232D7" w:rsidRPr="00C149AB" w:rsidRDefault="005C4A0C" w:rsidP="00A23ED0">
            <w:pPr>
              <w:pStyle w:val="ListParagraph"/>
              <w:numPr>
                <w:ilvl w:val="0"/>
                <w:numId w:val="40"/>
              </w:numPr>
              <w:spacing w:before="40" w:after="40" w:line="360" w:lineRule="auto"/>
              <w:rPr>
                <w:rFonts w:ascii="Arial" w:hAnsi="Arial" w:cs="Arial"/>
                <w:b/>
                <w:color w:val="000000"/>
                <w:sz w:val="18"/>
                <w:szCs w:val="18"/>
                <w:lang w:val="sq-AL"/>
              </w:rPr>
            </w:pPr>
            <w:r w:rsidRPr="00C149AB">
              <w:rPr>
                <w:rFonts w:ascii="Arial" w:hAnsi="Arial" w:cs="Arial"/>
                <w:color w:val="000000"/>
                <w:sz w:val="18"/>
                <w:szCs w:val="18"/>
                <w:lang w:val="sq-AL"/>
              </w:rPr>
              <w:t>Posude</w:t>
            </w:r>
            <w:r w:rsidR="00C232D7" w:rsidRPr="00C149AB">
              <w:rPr>
                <w:rFonts w:ascii="Arial" w:hAnsi="Arial" w:cs="Arial"/>
                <w:color w:val="000000"/>
                <w:sz w:val="18"/>
                <w:szCs w:val="18"/>
                <w:lang w:val="sq-AL"/>
              </w:rPr>
              <w:t xml:space="preserve"> za odvojeno sakupljanje stakla</w:t>
            </w:r>
          </w:p>
        </w:tc>
        <w:tc>
          <w:tcPr>
            <w:tcW w:w="2350" w:type="dxa"/>
            <w:noWrap/>
            <w:vAlign w:val="center"/>
          </w:tcPr>
          <w:p w14:paraId="51D01997" w14:textId="77777777"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Kamioni 12 – 22 m</w:t>
            </w:r>
            <w:r w:rsidRPr="00C149AB">
              <w:rPr>
                <w:rFonts w:ascii="Arial" w:hAnsi="Arial" w:cs="Arial"/>
                <w:color w:val="000000"/>
                <w:sz w:val="18"/>
                <w:szCs w:val="18"/>
                <w:vertAlign w:val="superscript"/>
                <w:lang w:val="sq-AL"/>
              </w:rPr>
              <w:t>3</w:t>
            </w:r>
            <w:r w:rsidRPr="00C149AB">
              <w:rPr>
                <w:rFonts w:ascii="Arial" w:hAnsi="Arial" w:cs="Arial"/>
                <w:color w:val="000000"/>
                <w:sz w:val="18"/>
                <w:szCs w:val="18"/>
                <w:lang w:val="sq-AL"/>
              </w:rPr>
              <w:t xml:space="preserve"> ili otvoreni kiper 4 – 6 m</w:t>
            </w:r>
            <w:r w:rsidRPr="00C149AB">
              <w:rPr>
                <w:rFonts w:ascii="Arial" w:hAnsi="Arial" w:cs="Arial"/>
                <w:color w:val="000000"/>
                <w:sz w:val="18"/>
                <w:szCs w:val="18"/>
                <w:vertAlign w:val="superscript"/>
                <w:lang w:val="sq-AL"/>
              </w:rPr>
              <w:t>3</w:t>
            </w:r>
            <w:r w:rsidRPr="00C149AB">
              <w:rPr>
                <w:rFonts w:ascii="Arial" w:hAnsi="Arial" w:cs="Arial"/>
                <w:color w:val="000000"/>
                <w:sz w:val="18"/>
                <w:szCs w:val="18"/>
                <w:lang w:val="sq-AL"/>
              </w:rPr>
              <w:t xml:space="preserve"> u urbanim sredinama sa višespratnicama;</w:t>
            </w:r>
          </w:p>
          <w:p w14:paraId="3772A041" w14:textId="77777777"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Kamioni 8-22 m</w:t>
            </w:r>
            <w:r w:rsidRPr="00C149AB">
              <w:rPr>
                <w:rFonts w:ascii="Arial" w:hAnsi="Arial" w:cs="Arial"/>
                <w:color w:val="000000"/>
                <w:sz w:val="18"/>
                <w:szCs w:val="18"/>
                <w:vertAlign w:val="superscript"/>
                <w:lang w:val="sq-AL"/>
              </w:rPr>
              <w:t>3</w:t>
            </w:r>
            <w:r w:rsidRPr="00C149AB">
              <w:rPr>
                <w:rFonts w:ascii="Arial" w:hAnsi="Arial" w:cs="Arial"/>
                <w:color w:val="000000"/>
                <w:sz w:val="18"/>
                <w:szCs w:val="18"/>
                <w:lang w:val="sq-AL"/>
              </w:rPr>
              <w:t xml:space="preserve"> ili otvoreni kiper 4 – 6 m</w:t>
            </w:r>
            <w:r w:rsidRPr="00C149AB">
              <w:rPr>
                <w:rFonts w:ascii="Arial" w:hAnsi="Arial" w:cs="Arial"/>
                <w:color w:val="000000"/>
                <w:sz w:val="18"/>
                <w:szCs w:val="18"/>
                <w:vertAlign w:val="superscript"/>
                <w:lang w:val="sq-AL"/>
              </w:rPr>
              <w:t>3</w:t>
            </w:r>
            <w:r w:rsidRPr="00C149AB">
              <w:rPr>
                <w:rFonts w:ascii="Arial" w:hAnsi="Arial" w:cs="Arial"/>
                <w:color w:val="000000"/>
                <w:sz w:val="18"/>
                <w:szCs w:val="18"/>
                <w:lang w:val="sq-AL"/>
              </w:rPr>
              <w:t xml:space="preserve"> u ostalim urbanim sredinama</w:t>
            </w:r>
          </w:p>
        </w:tc>
      </w:tr>
      <w:tr w:rsidR="00C232D7" w:rsidRPr="0014164F" w14:paraId="68362D03" w14:textId="77777777" w:rsidTr="00C232D7">
        <w:trPr>
          <w:trHeight w:val="337"/>
          <w:jc w:val="center"/>
        </w:trPr>
        <w:tc>
          <w:tcPr>
            <w:tcW w:w="2217" w:type="dxa"/>
            <w:vAlign w:val="center"/>
          </w:tcPr>
          <w:p w14:paraId="55753378" w14:textId="77777777" w:rsidR="00C232D7" w:rsidRPr="00C149AB" w:rsidRDefault="00C232D7" w:rsidP="00C232D7">
            <w:p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Biorazgradivi otpad</w:t>
            </w:r>
          </w:p>
        </w:tc>
        <w:tc>
          <w:tcPr>
            <w:tcW w:w="3172" w:type="dxa"/>
            <w:vAlign w:val="center"/>
          </w:tcPr>
          <w:p w14:paraId="0C4456E4" w14:textId="77777777" w:rsidR="00C232D7" w:rsidRPr="00C149AB" w:rsidRDefault="00C232D7" w:rsidP="00C232D7">
            <w:pPr>
              <w:spacing w:before="40" w:after="40" w:line="360" w:lineRule="auto"/>
              <w:rPr>
                <w:rFonts w:ascii="Arial" w:hAnsi="Arial" w:cs="Arial"/>
                <w:b/>
                <w:color w:val="000000"/>
                <w:sz w:val="18"/>
                <w:szCs w:val="18"/>
                <w:lang w:val="sq-AL"/>
              </w:rPr>
            </w:pPr>
            <w:r w:rsidRPr="00C149AB">
              <w:rPr>
                <w:rFonts w:ascii="Arial" w:hAnsi="Arial" w:cs="Arial"/>
                <w:color w:val="000000"/>
                <w:sz w:val="18"/>
                <w:szCs w:val="18"/>
                <w:lang w:val="sq-AL"/>
              </w:rPr>
              <w:t>Sistem dovoza otpada;</w:t>
            </w:r>
          </w:p>
        </w:tc>
        <w:tc>
          <w:tcPr>
            <w:tcW w:w="2025" w:type="dxa"/>
            <w:noWrap/>
            <w:vAlign w:val="center"/>
          </w:tcPr>
          <w:p w14:paraId="34C62991" w14:textId="7CFBA11D"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1,1 m</w:t>
            </w:r>
            <w:r w:rsidRPr="00C149AB">
              <w:rPr>
                <w:rFonts w:ascii="Arial" w:hAnsi="Arial" w:cs="Arial"/>
                <w:color w:val="000000"/>
                <w:sz w:val="18"/>
                <w:szCs w:val="18"/>
                <w:vertAlign w:val="superscript"/>
                <w:lang w:val="sq-AL"/>
              </w:rPr>
              <w:t>3</w:t>
            </w:r>
            <w:r w:rsidRPr="00C149AB">
              <w:rPr>
                <w:rFonts w:ascii="Arial" w:hAnsi="Arial" w:cs="Arial"/>
                <w:color w:val="000000"/>
                <w:sz w:val="18"/>
                <w:szCs w:val="18"/>
                <w:lang w:val="sq-AL"/>
              </w:rPr>
              <w:t xml:space="preserve"> </w:t>
            </w:r>
            <w:r w:rsidR="005C4A0C" w:rsidRPr="00C149AB">
              <w:rPr>
                <w:rFonts w:ascii="Arial" w:hAnsi="Arial" w:cs="Arial"/>
                <w:color w:val="000000"/>
                <w:sz w:val="18"/>
                <w:szCs w:val="18"/>
                <w:lang w:val="sq-AL"/>
              </w:rPr>
              <w:t>posude</w:t>
            </w:r>
          </w:p>
          <w:p w14:paraId="3135771E" w14:textId="77777777" w:rsidR="00C232D7" w:rsidRPr="00C149AB" w:rsidRDefault="00C232D7" w:rsidP="00C232D7">
            <w:pPr>
              <w:spacing w:before="40" w:after="40" w:line="360" w:lineRule="auto"/>
              <w:rPr>
                <w:rFonts w:ascii="Arial" w:hAnsi="Arial" w:cs="Arial"/>
                <w:b/>
                <w:color w:val="000000"/>
                <w:sz w:val="18"/>
                <w:szCs w:val="18"/>
                <w:lang w:val="sq-AL"/>
              </w:rPr>
            </w:pPr>
          </w:p>
        </w:tc>
        <w:tc>
          <w:tcPr>
            <w:tcW w:w="2350" w:type="dxa"/>
            <w:noWrap/>
            <w:vAlign w:val="center"/>
          </w:tcPr>
          <w:p w14:paraId="6B2792C3" w14:textId="26A7C357"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Otvoreni kamion 6-10 m</w:t>
            </w:r>
            <w:r w:rsidRPr="00C149AB">
              <w:rPr>
                <w:rFonts w:ascii="Arial" w:hAnsi="Arial" w:cs="Arial"/>
                <w:color w:val="000000"/>
                <w:sz w:val="18"/>
                <w:szCs w:val="18"/>
                <w:vertAlign w:val="superscript"/>
                <w:lang w:val="sq-AL"/>
              </w:rPr>
              <w:t>3</w:t>
            </w:r>
            <w:r w:rsidRPr="00C149AB">
              <w:rPr>
                <w:rFonts w:ascii="Arial" w:hAnsi="Arial" w:cs="Arial"/>
                <w:color w:val="000000"/>
                <w:sz w:val="18"/>
                <w:szCs w:val="18"/>
                <w:lang w:val="sq-AL"/>
              </w:rPr>
              <w:t xml:space="preserve"> opremljen kranom</w:t>
            </w:r>
          </w:p>
        </w:tc>
      </w:tr>
      <w:tr w:rsidR="00C232D7" w:rsidRPr="002A6F4E" w14:paraId="4F489387" w14:textId="77777777" w:rsidTr="00C232D7">
        <w:trPr>
          <w:trHeight w:val="431"/>
          <w:tblHeader/>
          <w:jc w:val="center"/>
        </w:trPr>
        <w:tc>
          <w:tcPr>
            <w:tcW w:w="9764" w:type="dxa"/>
            <w:gridSpan w:val="4"/>
            <w:shd w:val="clear" w:color="auto" w:fill="F2F2F2" w:themeFill="background1" w:themeFillShade="F2"/>
          </w:tcPr>
          <w:p w14:paraId="0169B4C5" w14:textId="77777777" w:rsidR="00C232D7" w:rsidRPr="00C149AB" w:rsidRDefault="00C232D7" w:rsidP="00C232D7">
            <w:pPr>
              <w:spacing w:before="40" w:after="40" w:line="360" w:lineRule="auto"/>
              <w:rPr>
                <w:rFonts w:ascii="Arial" w:hAnsi="Arial" w:cs="Arial"/>
                <w:b/>
                <w:sz w:val="18"/>
                <w:szCs w:val="18"/>
                <w:lang w:val="sq-AL"/>
              </w:rPr>
            </w:pPr>
            <w:r w:rsidRPr="00C149AB">
              <w:rPr>
                <w:rFonts w:ascii="Arial" w:hAnsi="Arial" w:cs="Arial"/>
                <w:b/>
                <w:sz w:val="18"/>
                <w:szCs w:val="18"/>
                <w:lang w:val="sq-AL"/>
              </w:rPr>
              <w:t>Ruralna područja</w:t>
            </w:r>
          </w:p>
        </w:tc>
      </w:tr>
      <w:tr w:rsidR="00C232D7" w:rsidRPr="002A6F4E" w14:paraId="3D6FFCD6" w14:textId="77777777" w:rsidTr="00C232D7">
        <w:trPr>
          <w:trHeight w:val="337"/>
          <w:jc w:val="center"/>
        </w:trPr>
        <w:tc>
          <w:tcPr>
            <w:tcW w:w="2217" w:type="dxa"/>
            <w:vAlign w:val="center"/>
          </w:tcPr>
          <w:p w14:paraId="2E507118" w14:textId="77777777" w:rsidR="00C232D7" w:rsidRPr="00C149AB" w:rsidRDefault="00C232D7" w:rsidP="00C232D7">
            <w:p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Rezidualni otpad</w:t>
            </w:r>
          </w:p>
          <w:p w14:paraId="5F0F7CDC" w14:textId="77777777" w:rsidR="00C232D7" w:rsidRPr="00C149AB" w:rsidRDefault="00C232D7" w:rsidP="00C232D7">
            <w:pPr>
              <w:spacing w:before="40" w:after="40" w:line="360" w:lineRule="auto"/>
              <w:rPr>
                <w:rFonts w:ascii="Arial" w:hAnsi="Arial" w:cs="Arial"/>
                <w:color w:val="000000"/>
                <w:sz w:val="18"/>
                <w:szCs w:val="18"/>
                <w:lang w:val="sq-AL"/>
              </w:rPr>
            </w:pPr>
          </w:p>
        </w:tc>
        <w:tc>
          <w:tcPr>
            <w:tcW w:w="3172" w:type="dxa"/>
            <w:vAlign w:val="center"/>
          </w:tcPr>
          <w:p w14:paraId="7035E746" w14:textId="5134FAB6"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 xml:space="preserve">sistem </w:t>
            </w:r>
            <w:r w:rsidR="00EB449A">
              <w:rPr>
                <w:rFonts w:ascii="Arial" w:hAnsi="Arial" w:cs="Arial"/>
                <w:color w:val="000000"/>
                <w:sz w:val="18"/>
                <w:szCs w:val="18"/>
                <w:lang w:val="sq-AL"/>
              </w:rPr>
              <w:t>“</w:t>
            </w:r>
            <w:r w:rsidRPr="00C149AB">
              <w:rPr>
                <w:rFonts w:ascii="Arial" w:hAnsi="Arial" w:cs="Arial"/>
                <w:color w:val="000000"/>
                <w:sz w:val="18"/>
                <w:szCs w:val="18"/>
                <w:lang w:val="sq-AL"/>
              </w:rPr>
              <w:t>od vrata do vrata</w:t>
            </w:r>
            <w:r w:rsidR="00EB449A">
              <w:rPr>
                <w:rFonts w:ascii="Arial" w:hAnsi="Arial" w:cs="Arial"/>
                <w:color w:val="000000"/>
                <w:sz w:val="18"/>
                <w:szCs w:val="18"/>
                <w:lang w:val="sq-AL"/>
              </w:rPr>
              <w:t>”</w:t>
            </w:r>
            <w:r w:rsidRPr="00C149AB">
              <w:rPr>
                <w:rFonts w:ascii="Arial" w:hAnsi="Arial" w:cs="Arial"/>
                <w:color w:val="000000"/>
                <w:sz w:val="18"/>
                <w:szCs w:val="18"/>
                <w:lang w:val="sq-AL"/>
              </w:rPr>
              <w:t>, za gdje je ovaj sistem već implementiran, kao i za pojedinačna domaćinstva;</w:t>
            </w:r>
          </w:p>
          <w:p w14:paraId="5EF66316" w14:textId="77777777"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Sistem dovoza otpada koji koristi lokacije za sakupljanje otpada u područjima sa otežanim pristupom</w:t>
            </w:r>
          </w:p>
        </w:tc>
        <w:tc>
          <w:tcPr>
            <w:tcW w:w="2025" w:type="dxa"/>
            <w:noWrap/>
            <w:vAlign w:val="center"/>
          </w:tcPr>
          <w:p w14:paraId="2D442A2B" w14:textId="77777777" w:rsidR="00C232D7" w:rsidRPr="00C149AB" w:rsidRDefault="00C232D7" w:rsidP="00C232D7">
            <w:pPr>
              <w:pStyle w:val="ListParagraph"/>
              <w:spacing w:before="40" w:after="40" w:line="360" w:lineRule="auto"/>
              <w:ind w:left="360"/>
              <w:rPr>
                <w:rFonts w:ascii="Arial" w:hAnsi="Arial" w:cs="Arial"/>
                <w:color w:val="000000"/>
                <w:sz w:val="18"/>
                <w:szCs w:val="18"/>
                <w:lang w:val="sq-AL"/>
              </w:rPr>
            </w:pPr>
          </w:p>
          <w:p w14:paraId="2B129208" w14:textId="5C60C34E"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 xml:space="preserve">120 – 240 l </w:t>
            </w:r>
            <w:r w:rsidR="005C4A0C" w:rsidRPr="00C149AB">
              <w:rPr>
                <w:rFonts w:ascii="Arial" w:hAnsi="Arial" w:cs="Arial"/>
                <w:color w:val="000000"/>
                <w:sz w:val="18"/>
                <w:szCs w:val="18"/>
                <w:lang w:val="sq-AL"/>
              </w:rPr>
              <w:t>posude</w:t>
            </w:r>
            <w:r w:rsidRPr="00C149AB">
              <w:rPr>
                <w:rFonts w:ascii="Arial" w:hAnsi="Arial" w:cs="Arial"/>
                <w:color w:val="000000"/>
                <w:sz w:val="18"/>
                <w:szCs w:val="18"/>
                <w:lang w:val="sq-AL"/>
              </w:rPr>
              <w:t>;</w:t>
            </w:r>
          </w:p>
          <w:p w14:paraId="027911A7" w14:textId="77777777" w:rsidR="00C232D7" w:rsidRPr="00C149AB" w:rsidRDefault="00C232D7" w:rsidP="00C232D7">
            <w:pPr>
              <w:spacing w:before="40" w:after="40" w:line="360" w:lineRule="auto"/>
              <w:rPr>
                <w:rFonts w:ascii="Arial" w:hAnsi="Arial" w:cs="Arial"/>
                <w:color w:val="000000"/>
                <w:sz w:val="18"/>
                <w:szCs w:val="18"/>
                <w:lang w:val="sq-AL"/>
              </w:rPr>
            </w:pPr>
          </w:p>
          <w:p w14:paraId="79A6F7D9" w14:textId="0731653A"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1,1 m</w:t>
            </w:r>
            <w:r w:rsidRPr="00C149AB">
              <w:rPr>
                <w:rFonts w:ascii="Arial" w:hAnsi="Arial" w:cs="Arial"/>
                <w:color w:val="000000"/>
                <w:sz w:val="18"/>
                <w:szCs w:val="18"/>
                <w:vertAlign w:val="superscript"/>
                <w:lang w:val="sq-AL"/>
              </w:rPr>
              <w:t>3</w:t>
            </w:r>
            <w:r w:rsidRPr="00C149AB">
              <w:rPr>
                <w:rFonts w:ascii="Arial" w:hAnsi="Arial" w:cs="Arial"/>
                <w:color w:val="000000"/>
                <w:sz w:val="18"/>
                <w:szCs w:val="18"/>
                <w:lang w:val="sq-AL"/>
              </w:rPr>
              <w:t xml:space="preserve"> </w:t>
            </w:r>
            <w:r w:rsidR="005C4A0C" w:rsidRPr="00C149AB">
              <w:rPr>
                <w:rFonts w:ascii="Arial" w:hAnsi="Arial" w:cs="Arial"/>
                <w:color w:val="000000"/>
                <w:sz w:val="18"/>
                <w:szCs w:val="18"/>
                <w:lang w:val="sq-AL"/>
              </w:rPr>
              <w:t>posude</w:t>
            </w:r>
          </w:p>
          <w:p w14:paraId="157F4B47" w14:textId="77777777" w:rsidR="00C232D7" w:rsidRPr="00C149AB" w:rsidRDefault="00C232D7" w:rsidP="005C4A0C">
            <w:pPr>
              <w:pStyle w:val="ListParagraph"/>
              <w:spacing w:before="40" w:after="40" w:line="360" w:lineRule="auto"/>
              <w:ind w:left="360"/>
              <w:rPr>
                <w:rFonts w:ascii="Arial" w:hAnsi="Arial" w:cs="Arial"/>
                <w:color w:val="000000"/>
                <w:sz w:val="18"/>
                <w:szCs w:val="18"/>
                <w:lang w:val="sq-AL"/>
              </w:rPr>
            </w:pPr>
          </w:p>
        </w:tc>
        <w:tc>
          <w:tcPr>
            <w:tcW w:w="2350" w:type="dxa"/>
            <w:noWrap/>
            <w:vAlign w:val="center"/>
          </w:tcPr>
          <w:p w14:paraId="4F77AE8B" w14:textId="77777777"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4 – 8 m</w:t>
            </w:r>
            <w:r w:rsidRPr="00C149AB">
              <w:rPr>
                <w:rFonts w:ascii="Arial" w:hAnsi="Arial" w:cs="Arial"/>
                <w:color w:val="000000"/>
                <w:sz w:val="18"/>
                <w:szCs w:val="18"/>
                <w:vertAlign w:val="superscript"/>
                <w:lang w:val="sq-AL"/>
              </w:rPr>
              <w:t>3</w:t>
            </w:r>
            <w:r w:rsidRPr="00C149AB">
              <w:rPr>
                <w:rFonts w:ascii="Arial" w:hAnsi="Arial" w:cs="Arial"/>
                <w:color w:val="000000"/>
                <w:sz w:val="18"/>
                <w:szCs w:val="18"/>
                <w:lang w:val="sq-AL"/>
              </w:rPr>
              <w:t xml:space="preserve"> kamioni;</w:t>
            </w:r>
          </w:p>
        </w:tc>
      </w:tr>
      <w:tr w:rsidR="00C232D7" w:rsidRPr="0014164F" w14:paraId="214AF200" w14:textId="77777777" w:rsidTr="00C232D7">
        <w:trPr>
          <w:trHeight w:val="337"/>
          <w:jc w:val="center"/>
        </w:trPr>
        <w:tc>
          <w:tcPr>
            <w:tcW w:w="2217" w:type="dxa"/>
            <w:vAlign w:val="center"/>
          </w:tcPr>
          <w:p w14:paraId="0C437EA1" w14:textId="77777777" w:rsidR="00C232D7" w:rsidRPr="00C149AB" w:rsidRDefault="00C232D7" w:rsidP="00C232D7">
            <w:p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Odvojeno sakupljeni otpad koji može da se reciklira</w:t>
            </w:r>
          </w:p>
          <w:p w14:paraId="145D94A6" w14:textId="77777777" w:rsidR="00C232D7" w:rsidRPr="00C149AB" w:rsidRDefault="00C232D7" w:rsidP="00C232D7">
            <w:p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 xml:space="preserve"> </w:t>
            </w:r>
          </w:p>
          <w:p w14:paraId="651C5395" w14:textId="77777777" w:rsidR="00C232D7" w:rsidRPr="00C149AB" w:rsidRDefault="00C232D7" w:rsidP="00C232D7">
            <w:pPr>
              <w:spacing w:before="40" w:after="40" w:line="360" w:lineRule="auto"/>
              <w:rPr>
                <w:rFonts w:ascii="Arial" w:hAnsi="Arial" w:cs="Arial"/>
                <w:color w:val="000000"/>
                <w:sz w:val="18"/>
                <w:szCs w:val="18"/>
                <w:lang w:val="sq-AL"/>
              </w:rPr>
            </w:pPr>
          </w:p>
        </w:tc>
        <w:tc>
          <w:tcPr>
            <w:tcW w:w="3172" w:type="dxa"/>
            <w:vAlign w:val="center"/>
          </w:tcPr>
          <w:p w14:paraId="0ABF6C93" w14:textId="0D05060A" w:rsidR="00C232D7" w:rsidRPr="00C149AB" w:rsidRDefault="00C232D7" w:rsidP="00A23ED0">
            <w:pPr>
              <w:pStyle w:val="ListParagraph"/>
              <w:numPr>
                <w:ilvl w:val="0"/>
                <w:numId w:val="40"/>
              </w:numPr>
              <w:spacing w:before="40" w:after="40" w:line="360" w:lineRule="auto"/>
              <w:rPr>
                <w:rFonts w:ascii="Arial" w:hAnsi="Arial" w:cs="Arial"/>
                <w:b/>
                <w:color w:val="000000"/>
                <w:sz w:val="18"/>
                <w:szCs w:val="18"/>
                <w:lang w:val="sq-AL"/>
              </w:rPr>
            </w:pPr>
            <w:r w:rsidRPr="00C149AB">
              <w:rPr>
                <w:rFonts w:ascii="Arial" w:hAnsi="Arial" w:cs="Arial"/>
                <w:color w:val="000000"/>
                <w:sz w:val="18"/>
                <w:szCs w:val="18"/>
                <w:lang w:val="sq-AL"/>
              </w:rPr>
              <w:t>Sakupljanje recikla</w:t>
            </w:r>
            <w:r w:rsidR="007354BF">
              <w:rPr>
                <w:rFonts w:ascii="Arial" w:hAnsi="Arial" w:cs="Arial"/>
                <w:color w:val="000000"/>
                <w:sz w:val="18"/>
                <w:szCs w:val="18"/>
                <w:lang w:val="sq-AL"/>
              </w:rPr>
              <w:t>bilnog</w:t>
            </w:r>
            <w:r w:rsidRPr="00C149AB">
              <w:rPr>
                <w:rFonts w:ascii="Arial" w:hAnsi="Arial" w:cs="Arial"/>
                <w:color w:val="000000"/>
                <w:sz w:val="18"/>
                <w:szCs w:val="18"/>
                <w:lang w:val="sq-AL"/>
              </w:rPr>
              <w:t xml:space="preserve"> materijala u zajedničku </w:t>
            </w:r>
            <w:r w:rsidR="005C4A0C" w:rsidRPr="00C149AB">
              <w:rPr>
                <w:rFonts w:ascii="Arial" w:hAnsi="Arial" w:cs="Arial"/>
                <w:color w:val="000000"/>
                <w:sz w:val="18"/>
                <w:szCs w:val="18"/>
                <w:lang w:val="sq-AL"/>
              </w:rPr>
              <w:t>posudu</w:t>
            </w:r>
          </w:p>
          <w:p w14:paraId="6CB4F707" w14:textId="1BF277F1" w:rsidR="00C232D7" w:rsidRPr="00C149AB" w:rsidRDefault="00C232D7" w:rsidP="00A23ED0">
            <w:pPr>
              <w:pStyle w:val="ListParagraph"/>
              <w:numPr>
                <w:ilvl w:val="0"/>
                <w:numId w:val="40"/>
              </w:numPr>
              <w:spacing w:before="40" w:after="40" w:line="360" w:lineRule="auto"/>
              <w:rPr>
                <w:rFonts w:ascii="Arial" w:hAnsi="Arial" w:cs="Arial"/>
                <w:b/>
                <w:color w:val="000000"/>
                <w:sz w:val="18"/>
                <w:szCs w:val="18"/>
                <w:lang w:val="sq-AL"/>
              </w:rPr>
            </w:pPr>
            <w:r w:rsidRPr="00C149AB">
              <w:rPr>
                <w:rFonts w:ascii="Arial" w:hAnsi="Arial" w:cs="Arial"/>
                <w:color w:val="000000"/>
                <w:sz w:val="18"/>
                <w:szCs w:val="18"/>
                <w:lang w:val="sq-AL"/>
              </w:rPr>
              <w:t xml:space="preserve">Sistem dovoza koristeći sabirne punktove (1 </w:t>
            </w:r>
            <w:r w:rsidR="005C4A0C" w:rsidRPr="00C149AB">
              <w:rPr>
                <w:rFonts w:ascii="Arial" w:hAnsi="Arial" w:cs="Arial"/>
                <w:color w:val="000000"/>
                <w:sz w:val="18"/>
                <w:szCs w:val="18"/>
                <w:lang w:val="sq-AL"/>
              </w:rPr>
              <w:t>posuda</w:t>
            </w:r>
            <w:r w:rsidRPr="00C149AB">
              <w:rPr>
                <w:rFonts w:ascii="Arial" w:hAnsi="Arial" w:cs="Arial"/>
                <w:color w:val="000000"/>
                <w:sz w:val="18"/>
                <w:szCs w:val="18"/>
                <w:lang w:val="sq-AL"/>
              </w:rPr>
              <w:t xml:space="preserve"> na 300 stanovnika); </w:t>
            </w:r>
          </w:p>
        </w:tc>
        <w:tc>
          <w:tcPr>
            <w:tcW w:w="2025" w:type="dxa"/>
            <w:noWrap/>
            <w:vAlign w:val="center"/>
          </w:tcPr>
          <w:p w14:paraId="7575A726" w14:textId="14C5684E"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1,1 m</w:t>
            </w:r>
            <w:r w:rsidRPr="00C149AB">
              <w:rPr>
                <w:rFonts w:ascii="Arial" w:hAnsi="Arial" w:cs="Arial"/>
                <w:color w:val="000000"/>
                <w:sz w:val="18"/>
                <w:szCs w:val="18"/>
                <w:vertAlign w:val="superscript"/>
                <w:lang w:val="sq-AL"/>
              </w:rPr>
              <w:t>3</w:t>
            </w:r>
            <w:r w:rsidRPr="00C149AB">
              <w:rPr>
                <w:rFonts w:ascii="Arial" w:hAnsi="Arial" w:cs="Arial"/>
                <w:color w:val="000000"/>
                <w:sz w:val="18"/>
                <w:szCs w:val="18"/>
                <w:lang w:val="sq-AL"/>
              </w:rPr>
              <w:t xml:space="preserve"> </w:t>
            </w:r>
            <w:r w:rsidR="005C4A0C" w:rsidRPr="00C149AB">
              <w:rPr>
                <w:rFonts w:ascii="Arial" w:hAnsi="Arial" w:cs="Arial"/>
                <w:color w:val="000000"/>
                <w:sz w:val="18"/>
                <w:szCs w:val="18"/>
                <w:lang w:val="sq-AL"/>
              </w:rPr>
              <w:t>posude</w:t>
            </w:r>
          </w:p>
          <w:p w14:paraId="3D9A5451" w14:textId="77777777" w:rsidR="00C232D7" w:rsidRPr="00C149AB" w:rsidRDefault="00C232D7" w:rsidP="005C4A0C">
            <w:pPr>
              <w:pStyle w:val="ListParagraph"/>
              <w:spacing w:before="40" w:after="40" w:line="360" w:lineRule="auto"/>
              <w:ind w:left="360"/>
              <w:rPr>
                <w:rFonts w:ascii="Arial" w:hAnsi="Arial" w:cs="Arial"/>
                <w:b/>
                <w:color w:val="000000"/>
                <w:sz w:val="18"/>
                <w:szCs w:val="18"/>
                <w:lang w:val="sq-AL"/>
              </w:rPr>
            </w:pPr>
          </w:p>
        </w:tc>
        <w:tc>
          <w:tcPr>
            <w:tcW w:w="2350" w:type="dxa"/>
            <w:noWrap/>
            <w:vAlign w:val="center"/>
          </w:tcPr>
          <w:p w14:paraId="64A17679" w14:textId="4DD0CED1"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Kamioni 4-8 m</w:t>
            </w:r>
            <w:r w:rsidRPr="00C149AB">
              <w:rPr>
                <w:rFonts w:ascii="Arial" w:hAnsi="Arial" w:cs="Arial"/>
                <w:color w:val="000000"/>
                <w:sz w:val="18"/>
                <w:szCs w:val="18"/>
                <w:vertAlign w:val="superscript"/>
                <w:lang w:val="sq-AL"/>
              </w:rPr>
              <w:t>3</w:t>
            </w:r>
            <w:r w:rsidR="00EB449A">
              <w:rPr>
                <w:rFonts w:ascii="Arial" w:hAnsi="Arial" w:cs="Arial"/>
                <w:color w:val="000000"/>
                <w:sz w:val="18"/>
                <w:szCs w:val="18"/>
                <w:vertAlign w:val="superscript"/>
                <w:lang w:val="sq-AL"/>
              </w:rPr>
              <w:t xml:space="preserve"> </w:t>
            </w:r>
            <w:r w:rsidRPr="00C149AB">
              <w:rPr>
                <w:rFonts w:ascii="Arial" w:hAnsi="Arial" w:cs="Arial"/>
                <w:color w:val="000000"/>
                <w:sz w:val="18"/>
                <w:szCs w:val="18"/>
                <w:lang w:val="sq-AL"/>
              </w:rPr>
              <w:t>ili otvoreni kiper 4 – 6 m</w:t>
            </w:r>
            <w:r w:rsidRPr="00C149AB">
              <w:rPr>
                <w:rFonts w:ascii="Arial" w:hAnsi="Arial" w:cs="Arial"/>
                <w:color w:val="000000"/>
                <w:sz w:val="18"/>
                <w:szCs w:val="18"/>
                <w:vertAlign w:val="superscript"/>
                <w:lang w:val="sq-AL"/>
              </w:rPr>
              <w:t>3</w:t>
            </w:r>
          </w:p>
        </w:tc>
      </w:tr>
      <w:tr w:rsidR="00C232D7" w:rsidRPr="0014164F" w14:paraId="3F427F0F" w14:textId="77777777" w:rsidTr="00C232D7">
        <w:trPr>
          <w:trHeight w:val="337"/>
          <w:jc w:val="center"/>
        </w:trPr>
        <w:tc>
          <w:tcPr>
            <w:tcW w:w="2217" w:type="dxa"/>
            <w:vAlign w:val="center"/>
          </w:tcPr>
          <w:p w14:paraId="5332AF02" w14:textId="77777777" w:rsidR="00C232D7" w:rsidRPr="00C149AB" w:rsidRDefault="00C232D7" w:rsidP="00C232D7">
            <w:p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Biorazgradivi otpad</w:t>
            </w:r>
          </w:p>
        </w:tc>
        <w:tc>
          <w:tcPr>
            <w:tcW w:w="3172" w:type="dxa"/>
            <w:vAlign w:val="center"/>
          </w:tcPr>
          <w:p w14:paraId="5A70C4BB" w14:textId="77777777" w:rsidR="00C232D7" w:rsidRPr="00C149AB" w:rsidRDefault="00C232D7" w:rsidP="00C232D7">
            <w:pPr>
              <w:spacing w:before="40" w:after="40" w:line="360" w:lineRule="auto"/>
              <w:rPr>
                <w:rFonts w:ascii="Arial" w:hAnsi="Arial" w:cs="Arial"/>
                <w:b/>
                <w:color w:val="000000"/>
                <w:sz w:val="18"/>
                <w:szCs w:val="18"/>
                <w:lang w:val="sq-AL"/>
              </w:rPr>
            </w:pPr>
            <w:r w:rsidRPr="00C149AB">
              <w:rPr>
                <w:rFonts w:ascii="Arial" w:hAnsi="Arial" w:cs="Arial"/>
                <w:color w:val="000000"/>
                <w:sz w:val="18"/>
                <w:szCs w:val="18"/>
                <w:lang w:val="sq-AL"/>
              </w:rPr>
              <w:t>Sistem dovoza otpada;</w:t>
            </w:r>
          </w:p>
        </w:tc>
        <w:tc>
          <w:tcPr>
            <w:tcW w:w="2025" w:type="dxa"/>
            <w:noWrap/>
            <w:vAlign w:val="center"/>
          </w:tcPr>
          <w:p w14:paraId="33380E14" w14:textId="743F346D"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1,1 m</w:t>
            </w:r>
            <w:r w:rsidRPr="00C149AB">
              <w:rPr>
                <w:rFonts w:ascii="Arial" w:hAnsi="Arial" w:cs="Arial"/>
                <w:color w:val="000000"/>
                <w:sz w:val="18"/>
                <w:szCs w:val="18"/>
                <w:vertAlign w:val="superscript"/>
                <w:lang w:val="sq-AL"/>
              </w:rPr>
              <w:t>3</w:t>
            </w:r>
            <w:r w:rsidRPr="00C149AB">
              <w:rPr>
                <w:rFonts w:ascii="Arial" w:hAnsi="Arial" w:cs="Arial"/>
                <w:color w:val="000000"/>
                <w:sz w:val="18"/>
                <w:szCs w:val="18"/>
                <w:lang w:val="sq-AL"/>
              </w:rPr>
              <w:t xml:space="preserve"> </w:t>
            </w:r>
            <w:r w:rsidR="005C4A0C" w:rsidRPr="00C149AB">
              <w:rPr>
                <w:rFonts w:ascii="Arial" w:hAnsi="Arial" w:cs="Arial"/>
                <w:color w:val="000000"/>
                <w:sz w:val="18"/>
                <w:szCs w:val="18"/>
                <w:lang w:val="sq-AL"/>
              </w:rPr>
              <w:t>posude</w:t>
            </w:r>
          </w:p>
          <w:p w14:paraId="0880EE6F" w14:textId="77777777" w:rsidR="00C232D7" w:rsidRPr="00C149AB" w:rsidRDefault="00C232D7" w:rsidP="00C232D7">
            <w:pPr>
              <w:spacing w:before="40" w:after="40" w:line="360" w:lineRule="auto"/>
              <w:rPr>
                <w:rFonts w:ascii="Arial" w:hAnsi="Arial" w:cs="Arial"/>
                <w:b/>
                <w:color w:val="000000"/>
                <w:sz w:val="18"/>
                <w:szCs w:val="18"/>
                <w:lang w:val="sq-AL"/>
              </w:rPr>
            </w:pPr>
          </w:p>
        </w:tc>
        <w:tc>
          <w:tcPr>
            <w:tcW w:w="2350" w:type="dxa"/>
            <w:noWrap/>
            <w:vAlign w:val="center"/>
          </w:tcPr>
          <w:p w14:paraId="5547D1A5" w14:textId="77777777" w:rsidR="00C232D7" w:rsidRPr="00C149AB" w:rsidRDefault="00C232D7" w:rsidP="00A23ED0">
            <w:pPr>
              <w:pStyle w:val="ListParagraph"/>
              <w:numPr>
                <w:ilvl w:val="0"/>
                <w:numId w:val="40"/>
              </w:numPr>
              <w:spacing w:before="40" w:after="40" w:line="360" w:lineRule="auto"/>
              <w:rPr>
                <w:rFonts w:ascii="Arial" w:hAnsi="Arial" w:cs="Arial"/>
                <w:color w:val="000000"/>
                <w:sz w:val="18"/>
                <w:szCs w:val="18"/>
                <w:lang w:val="sq-AL"/>
              </w:rPr>
            </w:pPr>
            <w:r w:rsidRPr="00C149AB">
              <w:rPr>
                <w:rFonts w:ascii="Arial" w:hAnsi="Arial" w:cs="Arial"/>
                <w:color w:val="000000"/>
                <w:sz w:val="18"/>
                <w:szCs w:val="18"/>
                <w:lang w:val="sq-AL"/>
              </w:rPr>
              <w:t>Otvoreni kamion 6-10 m</w:t>
            </w:r>
            <w:r w:rsidRPr="00C149AB">
              <w:rPr>
                <w:rFonts w:ascii="Arial" w:hAnsi="Arial" w:cs="Arial"/>
                <w:color w:val="000000"/>
                <w:sz w:val="18"/>
                <w:szCs w:val="18"/>
                <w:vertAlign w:val="superscript"/>
                <w:lang w:val="sq-AL"/>
              </w:rPr>
              <w:t>3</w:t>
            </w:r>
            <w:r w:rsidRPr="00C149AB">
              <w:rPr>
                <w:rFonts w:ascii="Arial" w:hAnsi="Arial" w:cs="Arial"/>
                <w:color w:val="000000"/>
                <w:sz w:val="18"/>
                <w:szCs w:val="18"/>
                <w:lang w:val="sq-AL"/>
              </w:rPr>
              <w:t xml:space="preserve"> opremljen kranom</w:t>
            </w:r>
          </w:p>
        </w:tc>
      </w:tr>
    </w:tbl>
    <w:p w14:paraId="2F03CE6C" w14:textId="6A7F4A72" w:rsidR="00C232D7" w:rsidRPr="002A6F4E" w:rsidRDefault="00DC47C3" w:rsidP="00F57909">
      <w:pPr>
        <w:pStyle w:val="Heading2"/>
      </w:pPr>
      <w:bookmarkStart w:id="998" w:name="_Toc117607220"/>
      <w:bookmarkStart w:id="999" w:name="_Toc121759051"/>
      <w:bookmarkStart w:id="1000" w:name="_Toc189759696"/>
      <w:bookmarkStart w:id="1001" w:name="_Toc193354025"/>
      <w:r>
        <w:lastRenderedPageBreak/>
        <w:t>5.1</w:t>
      </w:r>
      <w:r w:rsidR="00A32F55">
        <w:t>8</w:t>
      </w:r>
      <w:r w:rsidR="00620A47">
        <w:t xml:space="preserve">. </w:t>
      </w:r>
      <w:r w:rsidR="00C232D7" w:rsidRPr="002A6F4E">
        <w:t>Analiza opcija – Sakupljanje otpada</w:t>
      </w:r>
      <w:bookmarkEnd w:id="998"/>
      <w:bookmarkEnd w:id="999"/>
      <w:bookmarkEnd w:id="1000"/>
      <w:bookmarkEnd w:id="1001"/>
    </w:p>
    <w:p w14:paraId="4012CAFE" w14:textId="369299B5"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Razvoj </w:t>
      </w:r>
      <w:r w:rsidRPr="002A6F4E">
        <w:rPr>
          <w:rFonts w:ascii="Arial" w:hAnsi="Arial" w:cs="Arial"/>
          <w:u w:val="single"/>
          <w:lang w:val="sq-AL"/>
        </w:rPr>
        <w:t>alternativnih opcija,</w:t>
      </w:r>
      <w:r w:rsidRPr="002A6F4E">
        <w:rPr>
          <w:rFonts w:ascii="Arial" w:hAnsi="Arial" w:cs="Arial"/>
          <w:lang w:val="sq-AL"/>
        </w:rPr>
        <w:t xml:space="preserve"> izbor </w:t>
      </w:r>
      <w:r w:rsidRPr="002A6F4E">
        <w:rPr>
          <w:rFonts w:ascii="Arial" w:hAnsi="Arial" w:cs="Arial"/>
          <w:u w:val="single"/>
          <w:lang w:val="sq-AL"/>
        </w:rPr>
        <w:t>kriterijuma za evaluaciju</w:t>
      </w:r>
      <w:r w:rsidRPr="002A6F4E">
        <w:rPr>
          <w:rFonts w:ascii="Arial" w:hAnsi="Arial" w:cs="Arial"/>
          <w:lang w:val="sq-AL"/>
        </w:rPr>
        <w:t xml:space="preserve"> i </w:t>
      </w:r>
      <w:r w:rsidRPr="002A6F4E">
        <w:rPr>
          <w:rFonts w:ascii="Arial" w:hAnsi="Arial" w:cs="Arial"/>
          <w:u w:val="single"/>
          <w:lang w:val="sq-AL"/>
        </w:rPr>
        <w:t>uporedna procjena</w:t>
      </w:r>
      <w:r w:rsidRPr="002A6F4E">
        <w:rPr>
          <w:rFonts w:ascii="Arial" w:hAnsi="Arial" w:cs="Arial"/>
          <w:lang w:val="sq-AL"/>
        </w:rPr>
        <w:t xml:space="preserve"> performansi opcija u odnosu na postavljene kriterijume su osnovni metodološki koraci za </w:t>
      </w:r>
      <w:r w:rsidR="009751D2">
        <w:rPr>
          <w:rFonts w:ascii="Arial" w:hAnsi="Arial" w:cs="Arial"/>
          <w:lang w:val="sq-AL"/>
        </w:rPr>
        <w:t>uspostavljanje</w:t>
      </w:r>
      <w:r w:rsidRPr="002A6F4E">
        <w:rPr>
          <w:rFonts w:ascii="Arial" w:hAnsi="Arial" w:cs="Arial"/>
          <w:lang w:val="sq-AL"/>
        </w:rPr>
        <w:t xml:space="preserve"> efikasnog sistema upravljanja otpadom.</w:t>
      </w:r>
    </w:p>
    <w:p w14:paraId="2C02503C"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 ovom okviru, najvažniji aspekt za razvoj alternativnih opcija upravljanja otpadom i kvantifikaciju učinka svakog predloženog sistema, jeste da se uzmu u obzir svi parametri uključeni u sakupljanje otpada uključujući:</w:t>
      </w:r>
    </w:p>
    <w:p w14:paraId="6FCCDF17" w14:textId="77777777" w:rsidR="00C232D7" w:rsidRPr="002A6F4E" w:rsidRDefault="00C232D7" w:rsidP="00A23ED0">
      <w:pPr>
        <w:pStyle w:val="ListParagraph"/>
        <w:numPr>
          <w:ilvl w:val="0"/>
          <w:numId w:val="37"/>
        </w:numPr>
        <w:spacing w:before="120" w:after="120" w:line="360" w:lineRule="auto"/>
        <w:contextualSpacing w:val="0"/>
        <w:rPr>
          <w:rFonts w:ascii="Arial" w:hAnsi="Arial" w:cs="Arial"/>
          <w:lang w:val="sq-AL"/>
        </w:rPr>
      </w:pPr>
      <w:r w:rsidRPr="002A6F4E">
        <w:rPr>
          <w:rFonts w:ascii="Arial" w:hAnsi="Arial" w:cs="Arial"/>
          <w:lang w:val="sq-AL"/>
        </w:rPr>
        <w:t>Generisanje otpada;</w:t>
      </w:r>
    </w:p>
    <w:p w14:paraId="219778A2" w14:textId="77777777" w:rsidR="00C232D7" w:rsidRPr="002A6F4E" w:rsidRDefault="00C232D7" w:rsidP="00A23ED0">
      <w:pPr>
        <w:pStyle w:val="ListParagraph"/>
        <w:numPr>
          <w:ilvl w:val="0"/>
          <w:numId w:val="37"/>
        </w:numPr>
        <w:spacing w:before="120" w:after="120" w:line="360" w:lineRule="auto"/>
        <w:contextualSpacing w:val="0"/>
        <w:rPr>
          <w:rFonts w:ascii="Arial" w:hAnsi="Arial" w:cs="Arial"/>
          <w:lang w:val="sq-AL"/>
        </w:rPr>
      </w:pPr>
      <w:r w:rsidRPr="002A6F4E">
        <w:rPr>
          <w:rFonts w:ascii="Arial" w:hAnsi="Arial" w:cs="Arial"/>
          <w:lang w:val="sq-AL"/>
        </w:rPr>
        <w:t>Privremeno skladištenje, sakupljanje (odvojeno-mješovito) i transport;</w:t>
      </w:r>
    </w:p>
    <w:p w14:paraId="4AFB9B51" w14:textId="089814B1" w:rsidR="00C232D7" w:rsidRPr="002A6F4E" w:rsidRDefault="0043751D" w:rsidP="00A23ED0">
      <w:pPr>
        <w:pStyle w:val="ListParagraph"/>
        <w:numPr>
          <w:ilvl w:val="0"/>
          <w:numId w:val="37"/>
        </w:numPr>
        <w:spacing w:before="120" w:after="120" w:line="360" w:lineRule="auto"/>
        <w:contextualSpacing w:val="0"/>
        <w:rPr>
          <w:rFonts w:ascii="Arial" w:hAnsi="Arial" w:cs="Arial"/>
          <w:lang w:val="sq-AL"/>
        </w:rPr>
      </w:pPr>
      <w:r>
        <w:rPr>
          <w:rFonts w:ascii="Arial" w:hAnsi="Arial" w:cs="Arial"/>
          <w:lang w:val="sq-AL"/>
        </w:rPr>
        <w:t>Obrada otpada</w:t>
      </w:r>
      <w:r w:rsidR="00C232D7" w:rsidRPr="002A6F4E">
        <w:rPr>
          <w:rFonts w:ascii="Arial" w:hAnsi="Arial" w:cs="Arial"/>
          <w:lang w:val="sq-AL"/>
        </w:rPr>
        <w:t>;</w:t>
      </w:r>
    </w:p>
    <w:p w14:paraId="318262AB" w14:textId="77777777" w:rsidR="00C232D7" w:rsidRPr="002A6F4E" w:rsidRDefault="00C232D7" w:rsidP="00A23ED0">
      <w:pPr>
        <w:pStyle w:val="ListParagraph"/>
        <w:numPr>
          <w:ilvl w:val="0"/>
          <w:numId w:val="37"/>
        </w:numPr>
        <w:spacing w:before="120" w:after="120" w:line="360" w:lineRule="auto"/>
        <w:contextualSpacing w:val="0"/>
        <w:rPr>
          <w:rFonts w:ascii="Arial" w:hAnsi="Arial" w:cs="Arial"/>
          <w:lang w:val="sq-AL"/>
        </w:rPr>
      </w:pPr>
      <w:r w:rsidRPr="002A6F4E">
        <w:rPr>
          <w:rFonts w:ascii="Arial" w:hAnsi="Arial" w:cs="Arial"/>
          <w:lang w:val="sq-AL"/>
        </w:rPr>
        <w:t>Troškovi upravljanja otpadom.</w:t>
      </w:r>
    </w:p>
    <w:p w14:paraId="721017B4" w14:textId="3D0EECD6"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Svaka faza upravljanja otpadom utiče i na uzvodne i nizvodne aktivnosti. Na primjer, implementacija odvojenog sakupljanja biorazgradivog otpada povezana je sa dostupnošću postrojenja za </w:t>
      </w:r>
      <w:r w:rsidR="0043751D">
        <w:rPr>
          <w:rFonts w:ascii="Arial" w:hAnsi="Arial" w:cs="Arial"/>
          <w:lang w:val="sq-AL"/>
        </w:rPr>
        <w:t>obradu</w:t>
      </w:r>
      <w:r w:rsidR="0043751D" w:rsidRPr="002A6F4E">
        <w:rPr>
          <w:rFonts w:ascii="Arial" w:hAnsi="Arial" w:cs="Arial"/>
          <w:lang w:val="sq-AL"/>
        </w:rPr>
        <w:t xml:space="preserve"> </w:t>
      </w:r>
      <w:r w:rsidRPr="002A6F4E">
        <w:rPr>
          <w:rFonts w:ascii="Arial" w:hAnsi="Arial" w:cs="Arial"/>
          <w:lang w:val="sq-AL"/>
        </w:rPr>
        <w:t xml:space="preserve">otpada (postrojenja za kompostiranje ili postrojenja za anaerobnu digestiju), u suprotnom će </w:t>
      </w:r>
      <w:r w:rsidR="0043751D">
        <w:rPr>
          <w:rFonts w:ascii="Arial" w:hAnsi="Arial" w:cs="Arial"/>
          <w:lang w:val="sq-AL"/>
        </w:rPr>
        <w:t>sve aktivnosti biti nedovoljne</w:t>
      </w:r>
      <w:r w:rsidRPr="002A6F4E">
        <w:rPr>
          <w:rFonts w:ascii="Arial" w:hAnsi="Arial" w:cs="Arial"/>
          <w:lang w:val="sq-AL"/>
        </w:rPr>
        <w:t>.</w:t>
      </w:r>
    </w:p>
    <w:p w14:paraId="6E6A4F92" w14:textId="1A14E689"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Obimni program reciklaže otpada, uključujući odvojeno sakupljanje materijala i kampanje za podizanje svijesti javnosti i pod pretpostavkom da su sve frakcije efikasno sakupljene, trebalo bi da se kombinuje sa dostupnošću postrojenja za reciklažu materijala, kao i tržišta za </w:t>
      </w:r>
      <w:r w:rsidR="0043751D">
        <w:rPr>
          <w:rFonts w:ascii="Arial" w:hAnsi="Arial" w:cs="Arial"/>
          <w:lang w:val="sq-AL"/>
        </w:rPr>
        <w:t>plasman</w:t>
      </w:r>
      <w:r w:rsidR="0043751D" w:rsidRPr="002A6F4E">
        <w:rPr>
          <w:rFonts w:ascii="Arial" w:hAnsi="Arial" w:cs="Arial"/>
          <w:lang w:val="sq-AL"/>
        </w:rPr>
        <w:t xml:space="preserve"> </w:t>
      </w:r>
      <w:r w:rsidRPr="002A6F4E">
        <w:rPr>
          <w:rFonts w:ascii="Arial" w:hAnsi="Arial" w:cs="Arial"/>
          <w:lang w:val="sq-AL"/>
        </w:rPr>
        <w:t xml:space="preserve">povraćenog materijala, kako se ta vrsta frakcija ne bi odlagala na deponije. To znači da nije dovoljno informisati i motivisati građane na reciklažu, kada ne postoji tržište za apsorpciju materijala ili nema postrojenja za </w:t>
      </w:r>
      <w:r w:rsidR="0043751D">
        <w:rPr>
          <w:rFonts w:ascii="Arial" w:hAnsi="Arial" w:cs="Arial"/>
          <w:lang w:val="sq-AL"/>
        </w:rPr>
        <w:t>obradu</w:t>
      </w:r>
      <w:r w:rsidR="0043751D" w:rsidRPr="002A6F4E">
        <w:rPr>
          <w:rFonts w:ascii="Arial" w:hAnsi="Arial" w:cs="Arial"/>
          <w:lang w:val="sq-AL"/>
        </w:rPr>
        <w:t xml:space="preserve"> </w:t>
      </w:r>
      <w:r w:rsidRPr="002A6F4E">
        <w:rPr>
          <w:rFonts w:ascii="Arial" w:hAnsi="Arial" w:cs="Arial"/>
          <w:lang w:val="sq-AL"/>
        </w:rPr>
        <w:t>i povrat frakcija otpada koji može da se reciklira.</w:t>
      </w:r>
    </w:p>
    <w:p w14:paraId="7F7B858D"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 tom smislu, osim razmatranja tehničkih alternativa za sakupljanje otpada, potrebno je ispitati i faze investicionih mjera koje će se sprovesti, kako bi se osiguralo da sve predložene mjere imaju najveći pozitivan efekat u ispunjavanju ciljeva upravljanja otpadom. Ova faza može obuhvatati postepeni razvoj sistema odvojenog sakupljanja od programa koji se fokusiraju na urbana područja do punog obima, kako bi se napravila preliminarna procjena svakog sistema i nastavilo sa neophodnom intervencijom prije nego što se isti implementira u punom obimu.</w:t>
      </w:r>
    </w:p>
    <w:p w14:paraId="0CA984EF" w14:textId="68D1652D" w:rsidR="00C232D7" w:rsidRDefault="00905524" w:rsidP="00C232D7">
      <w:pPr>
        <w:spacing w:before="120" w:after="120" w:line="360" w:lineRule="auto"/>
        <w:rPr>
          <w:rFonts w:ascii="Arial" w:hAnsi="Arial" w:cs="Arial"/>
          <w:lang w:val="sq-AL"/>
        </w:rPr>
      </w:pPr>
      <w:r>
        <w:rPr>
          <w:rFonts w:ascii="Arial" w:hAnsi="Arial" w:cs="Arial"/>
          <w:lang w:val="sq-AL"/>
        </w:rPr>
        <w:t>Prema Izvještaju o sprovođenju Državnog plana, t</w:t>
      </w:r>
      <w:r w:rsidR="00C232D7" w:rsidRPr="002A6F4E">
        <w:rPr>
          <w:rFonts w:ascii="Arial" w:hAnsi="Arial" w:cs="Arial"/>
          <w:lang w:val="sq-AL"/>
        </w:rPr>
        <w:t>renutno se oko ~18% otpada koji nastane u Crnoj Gori reciklira, dok se ostatak odlaže na postojeće deponije i odlagališta. Odvojeno sakupljanje nije organizovano na nivou</w:t>
      </w:r>
      <w:r w:rsidR="0043751D">
        <w:rPr>
          <w:rFonts w:ascii="Arial" w:hAnsi="Arial" w:cs="Arial"/>
          <w:lang w:val="sq-AL"/>
        </w:rPr>
        <w:t xml:space="preserve"> Crne Gore</w:t>
      </w:r>
      <w:r w:rsidR="00C232D7" w:rsidRPr="002A6F4E">
        <w:rPr>
          <w:rFonts w:ascii="Arial" w:hAnsi="Arial" w:cs="Arial"/>
          <w:lang w:val="sq-AL"/>
        </w:rPr>
        <w:t xml:space="preserve"> (~10% otpada koji se odnosi na ambalažu i zeleni otpad se trenutno sakuplja odvojeno), dok se prije odlaganja ne primjenjuje </w:t>
      </w:r>
      <w:r w:rsidR="0043751D">
        <w:rPr>
          <w:rFonts w:ascii="Arial" w:hAnsi="Arial" w:cs="Arial"/>
          <w:lang w:val="sq-AL"/>
        </w:rPr>
        <w:t>obradu</w:t>
      </w:r>
      <w:r w:rsidR="0043751D" w:rsidRPr="002A6F4E">
        <w:rPr>
          <w:rFonts w:ascii="Arial" w:hAnsi="Arial" w:cs="Arial"/>
          <w:lang w:val="sq-AL"/>
        </w:rPr>
        <w:t xml:space="preserve"> </w:t>
      </w:r>
      <w:r w:rsidR="00C232D7" w:rsidRPr="002A6F4E">
        <w:rPr>
          <w:rFonts w:ascii="Arial" w:hAnsi="Arial" w:cs="Arial"/>
          <w:lang w:val="sq-AL"/>
        </w:rPr>
        <w:t xml:space="preserve">biorazgradivog otpada (sa izuzetkom postrojenja za kompostiranje zelenog otpada u </w:t>
      </w:r>
      <w:r w:rsidR="0043751D">
        <w:rPr>
          <w:rFonts w:ascii="Arial" w:hAnsi="Arial" w:cs="Arial"/>
          <w:lang w:val="sq-AL"/>
        </w:rPr>
        <w:t xml:space="preserve">opštini </w:t>
      </w:r>
      <w:r w:rsidR="00F70BEF">
        <w:rPr>
          <w:rFonts w:ascii="Arial" w:hAnsi="Arial" w:cs="Arial"/>
          <w:lang w:val="sq-AL"/>
        </w:rPr>
        <w:t>Kotor).</w:t>
      </w:r>
    </w:p>
    <w:p w14:paraId="5CF6A943" w14:textId="77777777" w:rsidR="004D2EA8" w:rsidRDefault="004D2EA8" w:rsidP="00C232D7">
      <w:pPr>
        <w:spacing w:before="120" w:after="120" w:line="360" w:lineRule="auto"/>
        <w:rPr>
          <w:rFonts w:ascii="Arial" w:hAnsi="Arial" w:cs="Arial"/>
          <w:lang w:val="sq-AL"/>
        </w:rPr>
      </w:pPr>
    </w:p>
    <w:p w14:paraId="068CFCB8" w14:textId="77777777" w:rsidR="004D2EA8" w:rsidRPr="002A6F4E" w:rsidRDefault="004D2EA8" w:rsidP="00C232D7">
      <w:pPr>
        <w:spacing w:before="120" w:after="120" w:line="360" w:lineRule="auto"/>
        <w:rPr>
          <w:rFonts w:ascii="Arial" w:hAnsi="Arial" w:cs="Arial"/>
          <w:lang w:val="sq-AL"/>
        </w:rPr>
      </w:pPr>
    </w:p>
    <w:p w14:paraId="5E5D72D4" w14:textId="34FAB12A" w:rsidR="00C232D7" w:rsidRPr="002A6F4E" w:rsidRDefault="00620A47" w:rsidP="00F57909">
      <w:pPr>
        <w:pStyle w:val="Heading2"/>
      </w:pPr>
      <w:bookmarkStart w:id="1002" w:name="_Toc189759697"/>
      <w:bookmarkStart w:id="1003" w:name="_Toc193354026"/>
      <w:r>
        <w:lastRenderedPageBreak/>
        <w:t>5.1</w:t>
      </w:r>
      <w:r w:rsidR="00A32F55">
        <w:t>9</w:t>
      </w:r>
      <w:r>
        <w:t xml:space="preserve">. </w:t>
      </w:r>
      <w:r w:rsidR="00C232D7" w:rsidRPr="002A6F4E">
        <w:t>Metodologija za uporednu evaluaciju alternativnih scenarija sakupljanja</w:t>
      </w:r>
      <w:bookmarkEnd w:id="1002"/>
      <w:bookmarkEnd w:id="1003"/>
    </w:p>
    <w:p w14:paraId="420B1D16" w14:textId="311F732C"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Prilikom upoređivanja opcija upravljanja otpadom, potrebno je ispuniti sljedeće:</w:t>
      </w:r>
    </w:p>
    <w:p w14:paraId="3F67A850" w14:textId="4CBD8118" w:rsidR="00C232D7" w:rsidRPr="002A6F4E" w:rsidRDefault="00C232D7" w:rsidP="00A23ED0">
      <w:pPr>
        <w:pStyle w:val="ListParagraph"/>
        <w:numPr>
          <w:ilvl w:val="0"/>
          <w:numId w:val="41"/>
        </w:numPr>
        <w:spacing w:before="120" w:after="120" w:line="360" w:lineRule="auto"/>
        <w:contextualSpacing w:val="0"/>
        <w:rPr>
          <w:rFonts w:ascii="Arial" w:hAnsi="Arial" w:cs="Arial"/>
          <w:lang w:val="sq-AL"/>
        </w:rPr>
      </w:pPr>
      <w:r w:rsidRPr="002A6F4E">
        <w:rPr>
          <w:rFonts w:ascii="Arial" w:hAnsi="Arial" w:cs="Arial"/>
          <w:lang w:val="sq-AL"/>
        </w:rPr>
        <w:t>Mora biti jasno koji su aspekti/parametri/faktori koji razlikuju opcije (npr. različita tehnologija ili oprema, različito vrijeme, itd);</w:t>
      </w:r>
    </w:p>
    <w:p w14:paraId="06B0DE4E" w14:textId="77777777" w:rsidR="00C232D7" w:rsidRPr="002A6F4E" w:rsidRDefault="00C232D7" w:rsidP="00A23ED0">
      <w:pPr>
        <w:pStyle w:val="ListParagraph"/>
        <w:numPr>
          <w:ilvl w:val="0"/>
          <w:numId w:val="41"/>
        </w:numPr>
        <w:spacing w:before="120" w:after="120" w:line="360" w:lineRule="auto"/>
        <w:contextualSpacing w:val="0"/>
        <w:rPr>
          <w:rFonts w:ascii="Arial" w:hAnsi="Arial" w:cs="Arial"/>
          <w:lang w:val="sq-AL"/>
        </w:rPr>
      </w:pPr>
      <w:r w:rsidRPr="002A6F4E">
        <w:rPr>
          <w:rFonts w:ascii="Arial" w:hAnsi="Arial" w:cs="Arial"/>
          <w:lang w:val="sq-AL"/>
        </w:rPr>
        <w:t>Sve opcije treba da obezbijede isti nivo usluge, npr. sve opcije treba da služe istom stanovništvu ili da se odnose na iste količine otpada;</w:t>
      </w:r>
    </w:p>
    <w:p w14:paraId="4A4D16A0" w14:textId="77777777" w:rsidR="00C232D7" w:rsidRDefault="00C232D7" w:rsidP="00A23ED0">
      <w:pPr>
        <w:pStyle w:val="ListParagraph"/>
        <w:numPr>
          <w:ilvl w:val="0"/>
          <w:numId w:val="41"/>
        </w:numPr>
        <w:spacing w:before="120" w:after="120" w:line="360" w:lineRule="auto"/>
        <w:contextualSpacing w:val="0"/>
        <w:rPr>
          <w:rFonts w:ascii="Arial" w:hAnsi="Arial" w:cs="Arial"/>
          <w:lang w:val="sq-AL"/>
        </w:rPr>
      </w:pPr>
      <w:r w:rsidRPr="002A6F4E">
        <w:rPr>
          <w:rFonts w:ascii="Arial" w:hAnsi="Arial" w:cs="Arial"/>
          <w:lang w:val="sq-AL"/>
        </w:rPr>
        <w:t>Sve opcije treba da budu zasnovane na zajedničkim polaznim osnovama.</w:t>
      </w:r>
    </w:p>
    <w:p w14:paraId="78CECAAE" w14:textId="77777777" w:rsidR="004D2EA8" w:rsidRPr="002A6F4E" w:rsidRDefault="004D2EA8" w:rsidP="004D2EA8">
      <w:pPr>
        <w:pStyle w:val="ListParagraph"/>
        <w:spacing w:before="120" w:after="120" w:line="360" w:lineRule="auto"/>
        <w:ind w:left="1080"/>
        <w:contextualSpacing w:val="0"/>
        <w:rPr>
          <w:rFonts w:ascii="Arial" w:hAnsi="Arial" w:cs="Arial"/>
          <w:lang w:val="sq-AL"/>
        </w:rPr>
      </w:pPr>
    </w:p>
    <w:p w14:paraId="0A69CC20" w14:textId="1A28D4E1" w:rsidR="00C232D7" w:rsidRDefault="00A32F55" w:rsidP="00F57909">
      <w:pPr>
        <w:pStyle w:val="Heading2"/>
      </w:pPr>
      <w:bookmarkStart w:id="1004" w:name="_Toc189759698"/>
      <w:bookmarkStart w:id="1005" w:name="_Toc193354027"/>
      <w:r>
        <w:t>5.20</w:t>
      </w:r>
      <w:r w:rsidR="00620A47">
        <w:t xml:space="preserve">. </w:t>
      </w:r>
      <w:r w:rsidR="00C232D7" w:rsidRPr="002A6F4E">
        <w:t>Opis opcija sakupljanja</w:t>
      </w:r>
      <w:bookmarkEnd w:id="1004"/>
      <w:bookmarkEnd w:id="1005"/>
    </w:p>
    <w:p w14:paraId="6F961FE5" w14:textId="77777777" w:rsidR="004D2EA8" w:rsidRPr="004D2EA8" w:rsidRDefault="004D2EA8" w:rsidP="004D2EA8">
      <w:pPr>
        <w:rPr>
          <w:lang w:val="sq-AL" w:eastAsia="pl-PL"/>
        </w:rPr>
      </w:pPr>
    </w:p>
    <w:p w14:paraId="17C88C7E" w14:textId="77777777" w:rsidR="00C232D7" w:rsidRPr="002A6F4E" w:rsidRDefault="00C232D7" w:rsidP="00C232D7">
      <w:pPr>
        <w:shd w:val="clear" w:color="auto" w:fill="D9D9D9" w:themeFill="background1" w:themeFillShade="D9"/>
        <w:spacing w:before="120" w:after="120" w:line="360" w:lineRule="auto"/>
        <w:rPr>
          <w:rFonts w:ascii="Arial" w:hAnsi="Arial" w:cs="Arial"/>
          <w:b/>
          <w:i/>
          <w:lang w:val="sq-AL"/>
        </w:rPr>
      </w:pPr>
      <w:r w:rsidRPr="002A6F4E">
        <w:rPr>
          <w:rFonts w:ascii="Arial" w:hAnsi="Arial" w:cs="Arial"/>
          <w:b/>
          <w:i/>
          <w:lang w:val="sq-AL"/>
        </w:rPr>
        <w:t>Opcija I: Uobičajeno poslovanje</w:t>
      </w:r>
    </w:p>
    <w:p w14:paraId="03C27F57" w14:textId="77777777" w:rsidR="00C232D7" w:rsidRDefault="00C232D7" w:rsidP="00C232D7">
      <w:pPr>
        <w:spacing w:before="120" w:after="120" w:line="360" w:lineRule="auto"/>
        <w:rPr>
          <w:rFonts w:ascii="Arial" w:hAnsi="Arial" w:cs="Arial"/>
          <w:lang w:val="sq-AL"/>
        </w:rPr>
      </w:pPr>
      <w:r w:rsidRPr="002A6F4E">
        <w:rPr>
          <w:rFonts w:ascii="Arial" w:hAnsi="Arial" w:cs="Arial"/>
          <w:lang w:val="sq-AL"/>
        </w:rPr>
        <w:t>Opcija “uobičajeno poslovanje” opisuje postojeću situaciju bez dodatnih ulaganja ili promjena u sistemu sakupljanja otpada. Opcija “uobičajeno poslovanje” će služiti kao osnova za uporednu procjenu svih ostalih opcija.</w:t>
      </w:r>
    </w:p>
    <w:p w14:paraId="6D5274B2" w14:textId="77777777" w:rsidR="004D2EA8" w:rsidRPr="002A6F4E" w:rsidRDefault="004D2EA8" w:rsidP="00C232D7">
      <w:pPr>
        <w:spacing w:before="120" w:after="120" w:line="360" w:lineRule="auto"/>
        <w:rPr>
          <w:rFonts w:ascii="Arial" w:hAnsi="Arial" w:cs="Arial"/>
          <w:lang w:val="sq-AL"/>
        </w:rPr>
      </w:pPr>
    </w:p>
    <w:p w14:paraId="579BDD9C"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Opcija “uobičajeno poslovanje” se sastoji od sljedećih elemenata:</w:t>
      </w:r>
    </w:p>
    <w:p w14:paraId="11917B92" w14:textId="7665C389" w:rsidR="00C232D7" w:rsidRPr="002A6F4E" w:rsidRDefault="00C232D7" w:rsidP="00A23ED0">
      <w:pPr>
        <w:pStyle w:val="ListParagraph"/>
        <w:widowControl w:val="0"/>
        <w:numPr>
          <w:ilvl w:val="0"/>
          <w:numId w:val="42"/>
        </w:numPr>
        <w:spacing w:before="120" w:after="120" w:line="360" w:lineRule="auto"/>
        <w:ind w:hanging="357"/>
        <w:contextualSpacing w:val="0"/>
        <w:rPr>
          <w:rFonts w:ascii="Arial" w:hAnsi="Arial" w:cs="Arial"/>
          <w:lang w:val="sq-AL"/>
        </w:rPr>
      </w:pPr>
      <w:r w:rsidRPr="002A6F4E">
        <w:rPr>
          <w:rFonts w:ascii="Arial" w:hAnsi="Arial" w:cs="Arial"/>
          <w:lang w:val="sq-AL"/>
        </w:rPr>
        <w:t>Sakupljanje i odlaganje m</w:t>
      </w:r>
      <w:r w:rsidR="00C56DAC">
        <w:rPr>
          <w:rFonts w:ascii="Arial" w:hAnsi="Arial" w:cs="Arial"/>
          <w:lang w:val="sq-AL"/>
        </w:rPr>
        <w:t>iješanog</w:t>
      </w:r>
      <w:r w:rsidRPr="002A6F4E">
        <w:rPr>
          <w:rFonts w:ascii="Arial" w:hAnsi="Arial" w:cs="Arial"/>
          <w:lang w:val="sq-AL"/>
        </w:rPr>
        <w:t xml:space="preserve"> otpada na postojećim deponijama;</w:t>
      </w:r>
    </w:p>
    <w:p w14:paraId="153E57F9" w14:textId="77777777" w:rsidR="00C232D7" w:rsidRPr="002A6F4E" w:rsidRDefault="00C232D7" w:rsidP="00A23ED0">
      <w:pPr>
        <w:pStyle w:val="ListParagraph"/>
        <w:widowControl w:val="0"/>
        <w:numPr>
          <w:ilvl w:val="0"/>
          <w:numId w:val="42"/>
        </w:numPr>
        <w:spacing w:before="120" w:after="120" w:line="360" w:lineRule="auto"/>
        <w:ind w:hanging="357"/>
        <w:contextualSpacing w:val="0"/>
        <w:rPr>
          <w:rFonts w:ascii="Arial" w:hAnsi="Arial" w:cs="Arial"/>
          <w:lang w:val="sq-AL"/>
        </w:rPr>
      </w:pPr>
      <w:r w:rsidRPr="002A6F4E">
        <w:rPr>
          <w:rFonts w:ascii="Arial" w:hAnsi="Arial" w:cs="Arial"/>
          <w:lang w:val="sq-AL"/>
        </w:rPr>
        <w:t>Određene aktivnosti odvojenog sakupljanja i povrata materijala iz otpada koji se može reciklirati sprovode se na fragmentisan način;</w:t>
      </w:r>
    </w:p>
    <w:p w14:paraId="13C1AD52" w14:textId="390B4665" w:rsidR="00C232D7" w:rsidRDefault="00C232D7" w:rsidP="00A23ED0">
      <w:pPr>
        <w:pStyle w:val="ListParagraph"/>
        <w:widowControl w:val="0"/>
        <w:numPr>
          <w:ilvl w:val="0"/>
          <w:numId w:val="42"/>
        </w:numPr>
        <w:spacing w:before="120" w:after="120" w:line="360" w:lineRule="auto"/>
        <w:ind w:hanging="357"/>
        <w:contextualSpacing w:val="0"/>
        <w:rPr>
          <w:rFonts w:ascii="Arial" w:hAnsi="Arial" w:cs="Arial"/>
          <w:lang w:val="sq-AL"/>
        </w:rPr>
      </w:pPr>
      <w:r w:rsidRPr="002A6F4E">
        <w:rPr>
          <w:rFonts w:ascii="Arial" w:hAnsi="Arial" w:cs="Arial"/>
          <w:lang w:val="sq-AL"/>
        </w:rPr>
        <w:t>Neorganizovano sakupljanje otpada u dijelovima zemlje i nezakonito odlaganje otpada na odlagališta.</w:t>
      </w:r>
    </w:p>
    <w:p w14:paraId="0F53CF12" w14:textId="77777777" w:rsidR="004D2EA8" w:rsidRPr="002A6F4E" w:rsidRDefault="004D2EA8" w:rsidP="004D2EA8">
      <w:pPr>
        <w:pStyle w:val="ListParagraph"/>
        <w:widowControl w:val="0"/>
        <w:spacing w:before="120" w:after="120" w:line="360" w:lineRule="auto"/>
        <w:contextualSpacing w:val="0"/>
        <w:rPr>
          <w:rFonts w:ascii="Arial" w:hAnsi="Arial" w:cs="Arial"/>
          <w:lang w:val="sq-AL"/>
        </w:rPr>
      </w:pPr>
    </w:p>
    <w:p w14:paraId="0822EFAB" w14:textId="1BEBFE8F" w:rsidR="00C232D7" w:rsidRDefault="00C232D7" w:rsidP="00C232D7">
      <w:pPr>
        <w:spacing w:before="120" w:after="120" w:line="360" w:lineRule="auto"/>
        <w:rPr>
          <w:rFonts w:ascii="Arial" w:hAnsi="Arial" w:cs="Arial"/>
          <w:lang w:val="sq-AL"/>
        </w:rPr>
      </w:pPr>
      <w:r w:rsidRPr="002A6F4E">
        <w:rPr>
          <w:rFonts w:ascii="Arial" w:hAnsi="Arial" w:cs="Arial"/>
          <w:lang w:val="sq-AL"/>
        </w:rPr>
        <w:t>Na sljedećoj slici prikazan je tok upravljanja otpadom</w:t>
      </w:r>
      <w:r w:rsidR="00EC605E">
        <w:rPr>
          <w:rFonts w:ascii="Arial" w:hAnsi="Arial" w:cs="Arial"/>
          <w:lang w:val="sq-AL"/>
        </w:rPr>
        <w:t xml:space="preserve"> u količinama,</w:t>
      </w:r>
      <w:r w:rsidRPr="002A6F4E">
        <w:rPr>
          <w:rFonts w:ascii="Arial" w:hAnsi="Arial" w:cs="Arial"/>
          <w:lang w:val="sq-AL"/>
        </w:rPr>
        <w:t xml:space="preserve"> prema uobičajenom poslovanju za 2029. godinu. </w:t>
      </w:r>
    </w:p>
    <w:p w14:paraId="1D3BA980" w14:textId="77777777" w:rsidR="004D2EA8" w:rsidRPr="002A6F4E" w:rsidRDefault="004D2EA8" w:rsidP="00C232D7">
      <w:pPr>
        <w:spacing w:before="120" w:after="120" w:line="360" w:lineRule="auto"/>
        <w:rPr>
          <w:rFonts w:ascii="Arial" w:hAnsi="Arial" w:cs="Arial"/>
          <w:lang w:val="sq-AL"/>
        </w:rPr>
      </w:pPr>
    </w:p>
    <w:p w14:paraId="3F513489" w14:textId="009872A0" w:rsidR="00C232D7" w:rsidRDefault="00C232D7" w:rsidP="00C232D7">
      <w:pPr>
        <w:spacing w:before="120" w:after="120" w:line="360" w:lineRule="auto"/>
        <w:rPr>
          <w:rFonts w:ascii="Arial" w:hAnsi="Arial" w:cs="Arial"/>
          <w:lang w:val="sq-AL"/>
        </w:rPr>
      </w:pPr>
      <w:r w:rsidRPr="002A6F4E">
        <w:rPr>
          <w:rFonts w:ascii="Arial" w:hAnsi="Arial" w:cs="Arial"/>
          <w:lang w:val="sq-AL"/>
        </w:rPr>
        <w:t xml:space="preserve">Za potrebe ove opcije, postojeća oprema za sakupljanje će se koristiti za sakupljanje otpada. </w:t>
      </w:r>
      <w:r w:rsidR="00951F47">
        <w:rPr>
          <w:rFonts w:ascii="Arial" w:hAnsi="Arial" w:cs="Arial"/>
          <w:lang w:val="sq-AL" w:eastAsia="pl-PL"/>
        </w:rPr>
        <w:t>Nijesu</w:t>
      </w:r>
      <w:r w:rsidRPr="002A6F4E">
        <w:rPr>
          <w:rFonts w:ascii="Arial" w:hAnsi="Arial" w:cs="Arial"/>
          <w:lang w:val="sq-AL"/>
        </w:rPr>
        <w:t xml:space="preserve"> predviđeni dodatni investicioni troškovi za ovu opciju, koja služi kao osnovna.</w:t>
      </w:r>
    </w:p>
    <w:p w14:paraId="14E263AD" w14:textId="77777777" w:rsidR="004D2EA8" w:rsidRDefault="004D2EA8" w:rsidP="00C232D7">
      <w:pPr>
        <w:spacing w:before="120" w:after="120" w:line="360" w:lineRule="auto"/>
        <w:rPr>
          <w:rFonts w:ascii="Arial" w:hAnsi="Arial" w:cs="Arial"/>
          <w:lang w:val="sq-AL"/>
        </w:rPr>
      </w:pPr>
    </w:p>
    <w:p w14:paraId="4C16A4F6" w14:textId="77777777" w:rsidR="004D2EA8" w:rsidRDefault="004D2EA8" w:rsidP="00C232D7">
      <w:pPr>
        <w:spacing w:before="120" w:after="120" w:line="360" w:lineRule="auto"/>
        <w:rPr>
          <w:rFonts w:ascii="Arial" w:hAnsi="Arial" w:cs="Arial"/>
          <w:lang w:val="sq-AL"/>
        </w:rPr>
      </w:pPr>
    </w:p>
    <w:p w14:paraId="6E810D1F" w14:textId="77777777" w:rsidR="004D2EA8" w:rsidRDefault="004D2EA8" w:rsidP="00C232D7">
      <w:pPr>
        <w:spacing w:before="120" w:after="120" w:line="360" w:lineRule="auto"/>
        <w:rPr>
          <w:rFonts w:ascii="Arial" w:hAnsi="Arial" w:cs="Arial"/>
          <w:lang w:val="sq-AL"/>
        </w:rPr>
      </w:pPr>
    </w:p>
    <w:p w14:paraId="37DDBB55" w14:textId="77777777" w:rsidR="004D2EA8" w:rsidRDefault="004D2EA8" w:rsidP="00C232D7">
      <w:pPr>
        <w:spacing w:before="120" w:after="120" w:line="360" w:lineRule="auto"/>
        <w:rPr>
          <w:rFonts w:ascii="Arial" w:hAnsi="Arial" w:cs="Arial"/>
          <w:lang w:val="sq-AL"/>
        </w:rPr>
      </w:pPr>
    </w:p>
    <w:p w14:paraId="3DB4B619" w14:textId="77777777" w:rsidR="004D2EA8" w:rsidRPr="002A6F4E" w:rsidRDefault="004D2EA8" w:rsidP="00C232D7">
      <w:pPr>
        <w:spacing w:before="120" w:after="120" w:line="360" w:lineRule="auto"/>
        <w:rPr>
          <w:rFonts w:ascii="Arial" w:hAnsi="Arial" w:cs="Arial"/>
          <w:lang w:val="sq-AL"/>
        </w:rPr>
      </w:pPr>
    </w:p>
    <w:p w14:paraId="5E5ABFAA" w14:textId="102E8D46" w:rsidR="00C232D7" w:rsidRPr="00906B4E" w:rsidRDefault="00C232D7" w:rsidP="00C232D7">
      <w:pPr>
        <w:pStyle w:val="Caption"/>
        <w:rPr>
          <w:rFonts w:ascii="Arial" w:hAnsi="Arial" w:cs="Arial"/>
          <w:b w:val="0"/>
          <w:sz w:val="20"/>
          <w:szCs w:val="20"/>
          <w:lang w:val="sq-AL"/>
        </w:rPr>
      </w:pPr>
      <w:bookmarkStart w:id="1006" w:name="_Toc109051546"/>
      <w:bookmarkStart w:id="1007" w:name="_Toc117607265"/>
      <w:bookmarkStart w:id="1008" w:name="_Toc66354952"/>
      <w:bookmarkStart w:id="1009" w:name="_Toc189515630"/>
      <w:bookmarkStart w:id="1010" w:name="_Hlk96772011"/>
      <w:bookmarkStart w:id="1011" w:name="_Toc190160747"/>
      <w:r w:rsidRPr="00906B4E">
        <w:rPr>
          <w:rFonts w:ascii="Arial" w:hAnsi="Arial" w:cs="Arial"/>
          <w:b w:val="0"/>
          <w:sz w:val="20"/>
          <w:szCs w:val="20"/>
          <w:lang w:val="sq-AL"/>
        </w:rPr>
        <w:lastRenderedPageBreak/>
        <w:t xml:space="preserve">Tabela </w:t>
      </w:r>
      <w:r w:rsidRPr="00906B4E">
        <w:rPr>
          <w:rFonts w:ascii="Arial" w:hAnsi="Arial" w:cs="Arial"/>
          <w:b w:val="0"/>
          <w:sz w:val="20"/>
          <w:szCs w:val="20"/>
        </w:rPr>
        <w:fldChar w:fldCharType="begin"/>
      </w:r>
      <w:r w:rsidRPr="00906B4E">
        <w:rPr>
          <w:rFonts w:ascii="Arial" w:hAnsi="Arial" w:cs="Arial"/>
          <w:b w:val="0"/>
          <w:sz w:val="20"/>
          <w:szCs w:val="20"/>
          <w:lang w:val="sq-AL"/>
        </w:rPr>
        <w:instrText xml:space="preserve"> SEQ Tabela \* ARABIC </w:instrText>
      </w:r>
      <w:r w:rsidRPr="00906B4E">
        <w:rPr>
          <w:rFonts w:ascii="Arial" w:hAnsi="Arial" w:cs="Arial"/>
          <w:b w:val="0"/>
          <w:sz w:val="20"/>
          <w:szCs w:val="20"/>
        </w:rPr>
        <w:fldChar w:fldCharType="separate"/>
      </w:r>
      <w:r w:rsidR="007274DA">
        <w:rPr>
          <w:rFonts w:ascii="Arial" w:hAnsi="Arial" w:cs="Arial"/>
          <w:b w:val="0"/>
          <w:noProof/>
          <w:sz w:val="20"/>
          <w:szCs w:val="20"/>
          <w:lang w:val="sq-AL"/>
        </w:rPr>
        <w:t>54</w:t>
      </w:r>
      <w:r w:rsidRPr="00906B4E">
        <w:rPr>
          <w:rFonts w:ascii="Arial" w:hAnsi="Arial" w:cs="Arial"/>
          <w:b w:val="0"/>
          <w:sz w:val="20"/>
          <w:szCs w:val="20"/>
        </w:rPr>
        <w:fldChar w:fldCharType="end"/>
      </w:r>
      <w:r w:rsidRPr="00906B4E">
        <w:rPr>
          <w:rFonts w:ascii="Arial" w:hAnsi="Arial" w:cs="Arial"/>
          <w:b w:val="0"/>
          <w:sz w:val="20"/>
          <w:szCs w:val="20"/>
          <w:lang w:val="sq-AL"/>
        </w:rPr>
        <w:t xml:space="preserve"> </w:t>
      </w:r>
      <w:bookmarkEnd w:id="1006"/>
      <w:bookmarkEnd w:id="1007"/>
      <w:bookmarkEnd w:id="1008"/>
      <w:r w:rsidRPr="00906B4E">
        <w:rPr>
          <w:rFonts w:ascii="Arial" w:hAnsi="Arial" w:cs="Arial"/>
          <w:b w:val="0"/>
          <w:sz w:val="20"/>
          <w:szCs w:val="20"/>
          <w:lang w:val="sq-AL"/>
        </w:rPr>
        <w:t>Učinak Opcije I u odnosu na postavljene ciljeve</w:t>
      </w:r>
      <w:bookmarkEnd w:id="1009"/>
      <w:bookmarkEnd w:id="1010"/>
      <w:bookmarkEnd w:id="1011"/>
    </w:p>
    <w:tbl>
      <w:tblPr>
        <w:tblStyle w:val="GridTable4-Accent11"/>
        <w:tblW w:w="52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1"/>
        <w:gridCol w:w="2882"/>
        <w:gridCol w:w="2920"/>
        <w:gridCol w:w="1455"/>
      </w:tblGrid>
      <w:tr w:rsidR="00C232D7" w:rsidRPr="002A6F4E" w14:paraId="5E55190B" w14:textId="77777777" w:rsidTr="00484F6C">
        <w:trPr>
          <w:cnfStyle w:val="100000000000" w:firstRow="1" w:lastRow="0" w:firstColumn="0" w:lastColumn="0" w:oddVBand="0" w:evenVBand="0" w:oddHBand="0" w:evenHBand="0" w:firstRowFirstColumn="0" w:firstRowLastColumn="0" w:lastRowFirstColumn="0" w:lastRowLastColumn="0"/>
          <w:trHeight w:val="433"/>
          <w:tblHeader/>
          <w:jc w:val="center"/>
        </w:trPr>
        <w:tc>
          <w:tcPr>
            <w:cnfStyle w:val="001000000000" w:firstRow="0" w:lastRow="0" w:firstColumn="1" w:lastColumn="0" w:oddVBand="0" w:evenVBand="0" w:oddHBand="0" w:evenHBand="0" w:firstRowFirstColumn="0" w:firstRowLastColumn="0" w:lastRowFirstColumn="0" w:lastRowLastColumn="0"/>
            <w:tcW w:w="1334" w:type="pct"/>
            <w:shd w:val="clear" w:color="auto" w:fill="F2F2F2" w:themeFill="background1" w:themeFillShade="F2"/>
            <w:vAlign w:val="center"/>
          </w:tcPr>
          <w:p w14:paraId="5A77CA4D"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bookmarkStart w:id="1012" w:name="_Hlk96772032"/>
            <w:r w:rsidRPr="00C149AB">
              <w:rPr>
                <w:rFonts w:ascii="Arial" w:hAnsi="Arial" w:cs="Arial"/>
                <w:color w:val="auto"/>
                <w:sz w:val="18"/>
                <w:szCs w:val="20"/>
                <w:lang w:val="sq-AL"/>
              </w:rPr>
              <w:t>Faza upravljanja otpadom</w:t>
            </w:r>
          </w:p>
          <w:p w14:paraId="4098DB3E"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p>
        </w:tc>
        <w:tc>
          <w:tcPr>
            <w:tcW w:w="1456" w:type="pct"/>
            <w:shd w:val="clear" w:color="auto" w:fill="F2F2F2" w:themeFill="background1" w:themeFillShade="F2"/>
            <w:vAlign w:val="center"/>
          </w:tcPr>
          <w:p w14:paraId="431FA93F"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Potražnja</w:t>
            </w:r>
          </w:p>
        </w:tc>
        <w:tc>
          <w:tcPr>
            <w:tcW w:w="1475" w:type="pct"/>
            <w:shd w:val="clear" w:color="auto" w:fill="F2F2F2" w:themeFill="background1" w:themeFillShade="F2"/>
            <w:vAlign w:val="center"/>
          </w:tcPr>
          <w:p w14:paraId="30ACB9EB"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Učinak</w:t>
            </w:r>
          </w:p>
        </w:tc>
        <w:tc>
          <w:tcPr>
            <w:tcW w:w="735" w:type="pct"/>
            <w:shd w:val="clear" w:color="auto" w:fill="F2F2F2" w:themeFill="background1" w:themeFillShade="F2"/>
            <w:vAlign w:val="center"/>
          </w:tcPr>
          <w:p w14:paraId="6D6532A7"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Nivo ispunjenosti</w:t>
            </w:r>
          </w:p>
        </w:tc>
      </w:tr>
      <w:tr w:rsidR="00C232D7" w:rsidRPr="002A6F4E" w14:paraId="1BEE282B" w14:textId="77777777" w:rsidTr="00484F6C">
        <w:trPr>
          <w:jc w:val="center"/>
        </w:trPr>
        <w:tc>
          <w:tcPr>
            <w:cnfStyle w:val="001000000000" w:firstRow="0" w:lastRow="0" w:firstColumn="1" w:lastColumn="0" w:oddVBand="0" w:evenVBand="0" w:oddHBand="0" w:evenHBand="0" w:firstRowFirstColumn="0" w:firstRowLastColumn="0" w:lastRowFirstColumn="0" w:lastRowLastColumn="0"/>
            <w:tcW w:w="1334" w:type="pct"/>
            <w:shd w:val="clear" w:color="auto" w:fill="auto"/>
            <w:vAlign w:val="center"/>
          </w:tcPr>
          <w:p w14:paraId="01AE95E3" w14:textId="77777777" w:rsidR="00C232D7" w:rsidRPr="00C149AB" w:rsidRDefault="00C232D7" w:rsidP="00C232D7">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Ukupno sakupljene količine otpada</w:t>
            </w:r>
          </w:p>
        </w:tc>
        <w:tc>
          <w:tcPr>
            <w:tcW w:w="1456" w:type="pct"/>
            <w:shd w:val="clear" w:color="auto" w:fill="auto"/>
            <w:vAlign w:val="center"/>
          </w:tcPr>
          <w:p w14:paraId="21B8E59B" w14:textId="1EA72F8A" w:rsidR="00C232D7" w:rsidRPr="00C149AB" w:rsidRDefault="00F017D4"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w:t>
            </w:r>
            <w:r w:rsidR="009E5039" w:rsidRPr="005A1BF5">
              <w:rPr>
                <w:rFonts w:ascii="Arial" w:hAnsi="Arial" w:cs="Arial"/>
                <w:sz w:val="18"/>
                <w:lang w:val="sr-Latn-RS"/>
              </w:rPr>
              <w:t>5</w:t>
            </w:r>
            <w:r w:rsidRPr="00C149AB">
              <w:rPr>
                <w:rFonts w:ascii="Arial" w:hAnsi="Arial" w:cs="Arial"/>
                <w:sz w:val="18"/>
                <w:lang w:val="mk-MK"/>
              </w:rPr>
              <w:t>: 350.424 t/god (</w:t>
            </w:r>
            <w:r w:rsidR="00C232D7" w:rsidRPr="00C149AB">
              <w:rPr>
                <w:rFonts w:ascii="Arial" w:hAnsi="Arial" w:cs="Arial"/>
                <w:sz w:val="18"/>
                <w:lang w:val="mk-MK"/>
              </w:rPr>
              <w:t>100% ukupnog otpada)</w:t>
            </w:r>
          </w:p>
          <w:p w14:paraId="4D4D315E" w14:textId="00D9164A"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eastAsia="en-GB"/>
              </w:rPr>
            </w:pPr>
            <w:r w:rsidRPr="00C149AB">
              <w:rPr>
                <w:rFonts w:ascii="Arial" w:hAnsi="Arial" w:cs="Arial"/>
                <w:sz w:val="18"/>
                <w:lang w:val="en-US"/>
              </w:rPr>
              <w:t>2029</w:t>
            </w:r>
            <w:r w:rsidR="00F017D4" w:rsidRPr="00C149AB">
              <w:rPr>
                <w:rFonts w:ascii="Arial" w:hAnsi="Arial" w:cs="Arial"/>
                <w:sz w:val="18"/>
                <w:lang w:val="mk-MK"/>
              </w:rPr>
              <w:t>: 360.433 t/god (</w:t>
            </w:r>
            <w:r w:rsidR="00C232D7" w:rsidRPr="00C149AB">
              <w:rPr>
                <w:rFonts w:ascii="Arial" w:hAnsi="Arial" w:cs="Arial"/>
                <w:sz w:val="18"/>
                <w:lang w:val="mk-MK"/>
              </w:rPr>
              <w:t>100% ukupnog otpada)</w:t>
            </w:r>
          </w:p>
        </w:tc>
        <w:tc>
          <w:tcPr>
            <w:tcW w:w="1475" w:type="pct"/>
            <w:shd w:val="clear" w:color="auto" w:fill="auto"/>
            <w:vAlign w:val="center"/>
          </w:tcPr>
          <w:p w14:paraId="256BCDA0" w14:textId="06F791F2"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w:t>
            </w:r>
            <w:r w:rsidR="00BE13E4" w:rsidRPr="00C149AB">
              <w:rPr>
                <w:rFonts w:ascii="Arial" w:hAnsi="Arial" w:cs="Arial"/>
                <w:sz w:val="18"/>
                <w:lang w:val="sr-Latn-RS"/>
              </w:rPr>
              <w:t>5</w:t>
            </w:r>
            <w:r w:rsidRPr="00C149AB">
              <w:rPr>
                <w:rFonts w:ascii="Arial" w:hAnsi="Arial" w:cs="Arial"/>
                <w:sz w:val="18"/>
                <w:lang w:val="mk-MK"/>
              </w:rPr>
              <w:t>: 332.968 t/god (</w:t>
            </w:r>
            <w:r w:rsidR="00F017D4" w:rsidRPr="00C149AB">
              <w:rPr>
                <w:rFonts w:ascii="Arial" w:hAnsi="Arial" w:cs="Arial"/>
                <w:sz w:val="18"/>
                <w:lang w:val="sr-Latn-ME"/>
              </w:rPr>
              <w:t>9</w:t>
            </w:r>
            <w:r w:rsidRPr="00C149AB">
              <w:rPr>
                <w:rFonts w:ascii="Arial" w:hAnsi="Arial" w:cs="Arial"/>
                <w:sz w:val="18"/>
                <w:lang w:val="mk-MK"/>
              </w:rPr>
              <w:t>5.0% ukupnog otpada)</w:t>
            </w:r>
          </w:p>
          <w:p w14:paraId="33BC2ADF" w14:textId="3D5B87FA" w:rsidR="00C232D7" w:rsidRPr="00C149AB" w:rsidRDefault="00FE289C" w:rsidP="00F017D4">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eastAsia="en-GB"/>
              </w:rPr>
            </w:pPr>
            <w:r w:rsidRPr="00C149AB">
              <w:rPr>
                <w:rFonts w:ascii="Arial" w:hAnsi="Arial" w:cs="Arial"/>
                <w:sz w:val="18"/>
                <w:lang w:val="en-US"/>
              </w:rPr>
              <w:t>2029</w:t>
            </w:r>
            <w:r w:rsidR="00C232D7" w:rsidRPr="00C149AB">
              <w:rPr>
                <w:rFonts w:ascii="Arial" w:hAnsi="Arial" w:cs="Arial"/>
                <w:sz w:val="18"/>
                <w:lang w:val="mk-MK"/>
              </w:rPr>
              <w:t>: 342.776 t/god (95.1% ukupnog otpada)</w:t>
            </w:r>
          </w:p>
        </w:tc>
        <w:tc>
          <w:tcPr>
            <w:tcW w:w="735" w:type="pct"/>
            <w:shd w:val="clear" w:color="auto" w:fill="auto"/>
            <w:vAlign w:val="center"/>
          </w:tcPr>
          <w:p w14:paraId="54C58C3F" w14:textId="3B3245FD"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w:t>
            </w:r>
            <w:r w:rsidR="005C4A0C" w:rsidRPr="00C149AB">
              <w:rPr>
                <w:rFonts w:ascii="Arial" w:hAnsi="Arial" w:cs="Arial"/>
                <w:sz w:val="18"/>
                <w:lang w:val="sr-Latn-RS"/>
              </w:rPr>
              <w:t>5</w:t>
            </w:r>
            <w:r w:rsidRPr="00C149AB">
              <w:rPr>
                <w:rFonts w:ascii="Arial" w:hAnsi="Arial" w:cs="Arial"/>
                <w:sz w:val="18"/>
                <w:lang w:val="mk-MK"/>
              </w:rPr>
              <w:t xml:space="preserve">: 95.0% </w:t>
            </w:r>
          </w:p>
          <w:p w14:paraId="39A2218E" w14:textId="6E570871"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rPr>
            </w:pPr>
            <w:r w:rsidRPr="00C149AB">
              <w:rPr>
                <w:rFonts w:ascii="Arial" w:hAnsi="Arial" w:cs="Arial"/>
                <w:sz w:val="18"/>
                <w:lang w:val="en-US"/>
              </w:rPr>
              <w:t>2029</w:t>
            </w:r>
            <w:r w:rsidR="00C232D7" w:rsidRPr="00C149AB">
              <w:rPr>
                <w:rFonts w:ascii="Arial" w:hAnsi="Arial" w:cs="Arial"/>
                <w:sz w:val="18"/>
                <w:lang w:val="mk-MK"/>
              </w:rPr>
              <w:t>: 95.1%</w:t>
            </w:r>
          </w:p>
        </w:tc>
      </w:tr>
      <w:tr w:rsidR="00C232D7" w:rsidRPr="002A6F4E" w14:paraId="0E8990B2" w14:textId="77777777" w:rsidTr="00484F6C">
        <w:trPr>
          <w:jc w:val="center"/>
        </w:trPr>
        <w:tc>
          <w:tcPr>
            <w:cnfStyle w:val="001000000000" w:firstRow="0" w:lastRow="0" w:firstColumn="1" w:lastColumn="0" w:oddVBand="0" w:evenVBand="0" w:oddHBand="0" w:evenHBand="0" w:firstRowFirstColumn="0" w:firstRowLastColumn="0" w:lastRowFirstColumn="0" w:lastRowLastColumn="0"/>
            <w:tcW w:w="1334" w:type="pct"/>
            <w:shd w:val="clear" w:color="auto" w:fill="auto"/>
            <w:vAlign w:val="center"/>
          </w:tcPr>
          <w:p w14:paraId="1A87BC76" w14:textId="77777777" w:rsidR="00C232D7" w:rsidRPr="00C149AB" w:rsidRDefault="00C232D7" w:rsidP="00C232D7">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Odvojeno sakupljanje otpada koji se može reciklirati</w:t>
            </w:r>
          </w:p>
        </w:tc>
        <w:tc>
          <w:tcPr>
            <w:tcW w:w="1456" w:type="pct"/>
            <w:shd w:val="clear" w:color="auto" w:fill="auto"/>
            <w:vAlign w:val="center"/>
          </w:tcPr>
          <w:p w14:paraId="6455AF3D" w14:textId="7B7C69BE"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 xml:space="preserve">2025: 27.316 t/god (15% </w:t>
            </w:r>
            <w:r w:rsidRPr="00C149AB">
              <w:rPr>
                <w:rFonts w:ascii="Arial" w:hAnsi="Arial" w:cs="Arial"/>
                <w:sz w:val="18"/>
                <w:lang w:val="sq-AL"/>
              </w:rPr>
              <w:t>otpada koji se može reciklirati</w:t>
            </w:r>
            <w:r w:rsidRPr="00C149AB">
              <w:rPr>
                <w:rFonts w:ascii="Arial" w:hAnsi="Arial" w:cs="Arial"/>
                <w:sz w:val="18"/>
                <w:lang w:val="mk-MK"/>
              </w:rPr>
              <w:t>)</w:t>
            </w:r>
          </w:p>
          <w:p w14:paraId="4630B617" w14:textId="4B92B3D6" w:rsidR="00C232D7" w:rsidRPr="00C149AB" w:rsidRDefault="00FE289C" w:rsidP="00F017D4">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eastAsia="en-GB"/>
              </w:rPr>
            </w:pPr>
            <w:r w:rsidRPr="00C149AB">
              <w:rPr>
                <w:rFonts w:ascii="Arial" w:hAnsi="Arial" w:cs="Arial"/>
                <w:sz w:val="18"/>
                <w:lang w:val="sq-AL"/>
              </w:rPr>
              <w:t>2029</w:t>
            </w:r>
            <w:r w:rsidR="00C232D7" w:rsidRPr="00C149AB">
              <w:rPr>
                <w:rFonts w:ascii="Arial" w:hAnsi="Arial" w:cs="Arial"/>
                <w:sz w:val="18"/>
                <w:lang w:val="mk-MK"/>
              </w:rPr>
              <w:t xml:space="preserve">: 46.999 t/god (25% </w:t>
            </w:r>
            <w:r w:rsidR="00C232D7" w:rsidRPr="00C149AB">
              <w:rPr>
                <w:rFonts w:ascii="Arial" w:hAnsi="Arial" w:cs="Arial"/>
                <w:sz w:val="18"/>
                <w:lang w:val="sq-AL"/>
              </w:rPr>
              <w:t>otpada koji se može reciklirati</w:t>
            </w:r>
            <w:r w:rsidR="00C232D7" w:rsidRPr="00C149AB">
              <w:rPr>
                <w:rFonts w:ascii="Arial" w:hAnsi="Arial" w:cs="Arial"/>
                <w:sz w:val="18"/>
                <w:lang w:val="mk-MK"/>
              </w:rPr>
              <w:t>)</w:t>
            </w:r>
          </w:p>
        </w:tc>
        <w:tc>
          <w:tcPr>
            <w:tcW w:w="1475" w:type="pct"/>
            <w:shd w:val="clear" w:color="auto" w:fill="auto"/>
            <w:vAlign w:val="center"/>
          </w:tcPr>
          <w:p w14:paraId="55C65EA8" w14:textId="6EF19BC0"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 xml:space="preserve">2025: 25.516 t/god (14% </w:t>
            </w:r>
            <w:r w:rsidRPr="00C149AB">
              <w:rPr>
                <w:rFonts w:ascii="Arial" w:hAnsi="Arial" w:cs="Arial"/>
                <w:sz w:val="18"/>
                <w:lang w:val="sq-AL"/>
              </w:rPr>
              <w:t>otpada koji se može reciklirati</w:t>
            </w:r>
            <w:r w:rsidRPr="00C149AB">
              <w:rPr>
                <w:rFonts w:ascii="Arial" w:hAnsi="Arial" w:cs="Arial"/>
                <w:sz w:val="18"/>
                <w:lang w:val="mk-MK"/>
              </w:rPr>
              <w:t>)</w:t>
            </w:r>
          </w:p>
          <w:p w14:paraId="362A25C1" w14:textId="45F10D29" w:rsidR="00C232D7" w:rsidRPr="00C149AB" w:rsidRDefault="00FE289C" w:rsidP="00F017D4">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xml:space="preserve">: 25.801 t/god (15% </w:t>
            </w:r>
            <w:r w:rsidR="00C232D7" w:rsidRPr="00C149AB">
              <w:rPr>
                <w:rFonts w:ascii="Arial" w:hAnsi="Arial" w:cs="Arial"/>
                <w:sz w:val="18"/>
                <w:szCs w:val="20"/>
                <w:lang w:val="sq-AL"/>
              </w:rPr>
              <w:t>otpada koji se može reciklirati</w:t>
            </w:r>
            <w:r w:rsidR="00C232D7" w:rsidRPr="00C149AB">
              <w:rPr>
                <w:rFonts w:ascii="Arial" w:hAnsi="Arial" w:cs="Arial"/>
                <w:sz w:val="18"/>
                <w:szCs w:val="20"/>
                <w:lang w:val="mk-MK"/>
              </w:rPr>
              <w:t>)</w:t>
            </w:r>
          </w:p>
        </w:tc>
        <w:tc>
          <w:tcPr>
            <w:tcW w:w="735" w:type="pct"/>
            <w:shd w:val="clear" w:color="auto" w:fill="auto"/>
            <w:vAlign w:val="center"/>
          </w:tcPr>
          <w:p w14:paraId="09F724F9" w14:textId="77777777"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 xml:space="preserve">2025: 93% </w:t>
            </w:r>
          </w:p>
          <w:p w14:paraId="69521F59" w14:textId="6CE0D1F7"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rPr>
            </w:pPr>
            <w:r w:rsidRPr="00C149AB">
              <w:rPr>
                <w:rFonts w:ascii="Arial" w:hAnsi="Arial" w:cs="Arial"/>
                <w:sz w:val="18"/>
                <w:lang w:val="en-US"/>
              </w:rPr>
              <w:t>2029</w:t>
            </w:r>
            <w:r w:rsidR="00C232D7" w:rsidRPr="00C149AB">
              <w:rPr>
                <w:rFonts w:ascii="Arial" w:hAnsi="Arial" w:cs="Arial"/>
                <w:sz w:val="18"/>
                <w:lang w:val="mk-MK"/>
              </w:rPr>
              <w:t>: 55%</w:t>
            </w:r>
          </w:p>
        </w:tc>
      </w:tr>
      <w:tr w:rsidR="00C232D7" w:rsidRPr="002A6F4E" w14:paraId="247ADDE1" w14:textId="77777777" w:rsidTr="00484F6C">
        <w:trPr>
          <w:jc w:val="center"/>
        </w:trPr>
        <w:tc>
          <w:tcPr>
            <w:cnfStyle w:val="001000000000" w:firstRow="0" w:lastRow="0" w:firstColumn="1" w:lastColumn="0" w:oddVBand="0" w:evenVBand="0" w:oddHBand="0" w:evenHBand="0" w:firstRowFirstColumn="0" w:firstRowLastColumn="0" w:lastRowFirstColumn="0" w:lastRowLastColumn="0"/>
            <w:tcW w:w="1334" w:type="pct"/>
            <w:shd w:val="clear" w:color="auto" w:fill="auto"/>
            <w:vAlign w:val="center"/>
          </w:tcPr>
          <w:p w14:paraId="4E80BDB4"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sq-AL"/>
              </w:rPr>
              <w:t>Odvojeno sakupljanje ambalažnog otpada</w:t>
            </w:r>
          </w:p>
        </w:tc>
        <w:tc>
          <w:tcPr>
            <w:tcW w:w="1456" w:type="pct"/>
            <w:shd w:val="clear" w:color="auto" w:fill="auto"/>
            <w:vAlign w:val="center"/>
          </w:tcPr>
          <w:p w14:paraId="3BFA6F58" w14:textId="39E5357B"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xml:space="preserve">: 34.524 t/god (35% </w:t>
            </w:r>
            <w:r w:rsidR="00C232D7" w:rsidRPr="00C149AB">
              <w:rPr>
                <w:rFonts w:ascii="Arial" w:hAnsi="Arial" w:cs="Arial"/>
                <w:sz w:val="18"/>
                <w:lang w:val="sr-Latn-ME"/>
              </w:rPr>
              <w:t>ambalažnog otpada</w:t>
            </w:r>
            <w:r w:rsidR="00C232D7" w:rsidRPr="00C149AB">
              <w:rPr>
                <w:rFonts w:ascii="Arial" w:hAnsi="Arial" w:cs="Arial"/>
                <w:sz w:val="18"/>
                <w:lang w:val="mk-MK"/>
              </w:rPr>
              <w:t>)</w:t>
            </w:r>
          </w:p>
        </w:tc>
        <w:tc>
          <w:tcPr>
            <w:tcW w:w="1475" w:type="pct"/>
            <w:shd w:val="clear" w:color="auto" w:fill="auto"/>
            <w:vAlign w:val="center"/>
          </w:tcPr>
          <w:p w14:paraId="118E4B5A" w14:textId="350A873A"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xml:space="preserve">: 20.641 t/god (21% </w:t>
            </w:r>
            <w:r w:rsidR="00C232D7" w:rsidRPr="00C149AB">
              <w:rPr>
                <w:rFonts w:ascii="Arial" w:hAnsi="Arial" w:cs="Arial"/>
                <w:sz w:val="18"/>
                <w:lang w:val="sr-Latn-ME"/>
              </w:rPr>
              <w:t>ambalažnog otpada</w:t>
            </w:r>
            <w:r w:rsidR="00C232D7" w:rsidRPr="00C149AB">
              <w:rPr>
                <w:rFonts w:ascii="Arial" w:hAnsi="Arial" w:cs="Arial"/>
                <w:sz w:val="18"/>
                <w:lang w:val="mk-MK"/>
              </w:rPr>
              <w:t>)</w:t>
            </w:r>
          </w:p>
        </w:tc>
        <w:tc>
          <w:tcPr>
            <w:tcW w:w="735" w:type="pct"/>
            <w:shd w:val="clear" w:color="auto" w:fill="auto"/>
            <w:vAlign w:val="center"/>
          </w:tcPr>
          <w:p w14:paraId="1AED8102" w14:textId="4161E227"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60%</w:t>
            </w:r>
          </w:p>
        </w:tc>
      </w:tr>
      <w:tr w:rsidR="00C232D7" w:rsidRPr="002A6F4E" w14:paraId="1851960D" w14:textId="77777777" w:rsidTr="00484F6C">
        <w:trPr>
          <w:jc w:val="center"/>
        </w:trPr>
        <w:tc>
          <w:tcPr>
            <w:cnfStyle w:val="001000000000" w:firstRow="0" w:lastRow="0" w:firstColumn="1" w:lastColumn="0" w:oddVBand="0" w:evenVBand="0" w:oddHBand="0" w:evenHBand="0" w:firstRowFirstColumn="0" w:firstRowLastColumn="0" w:lastRowFirstColumn="0" w:lastRowLastColumn="0"/>
            <w:tcW w:w="1334" w:type="pct"/>
            <w:shd w:val="clear" w:color="auto" w:fill="auto"/>
          </w:tcPr>
          <w:p w14:paraId="189EC467" w14:textId="77777777" w:rsidR="00C232D7" w:rsidRPr="00C149AB" w:rsidRDefault="00C232D7" w:rsidP="00C232D7">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Odvojeno sakupljanje biorazgradivog otpada</w:t>
            </w:r>
          </w:p>
        </w:tc>
        <w:tc>
          <w:tcPr>
            <w:tcW w:w="1456" w:type="pct"/>
            <w:shd w:val="clear" w:color="auto" w:fill="auto"/>
            <w:vAlign w:val="center"/>
          </w:tcPr>
          <w:p w14:paraId="1DE157B8" w14:textId="040967BB"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24.233 t/god (7 % ukupnog otpada)</w:t>
            </w:r>
          </w:p>
          <w:p w14:paraId="68EEFF70" w14:textId="77DD33FE" w:rsidR="00C232D7" w:rsidRPr="00C149AB" w:rsidRDefault="00FE289C" w:rsidP="00F017D4">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24.063 t/god (7 % ukupnog otpada)</w:t>
            </w:r>
          </w:p>
        </w:tc>
        <w:tc>
          <w:tcPr>
            <w:tcW w:w="1475" w:type="pct"/>
            <w:shd w:val="clear" w:color="auto" w:fill="auto"/>
            <w:vAlign w:val="center"/>
          </w:tcPr>
          <w:p w14:paraId="33CA6479" w14:textId="5609FFB1"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8.202 t/god (2% ukupnog otpada)</w:t>
            </w:r>
          </w:p>
          <w:p w14:paraId="767D484D" w14:textId="58A3192B" w:rsidR="00C232D7" w:rsidRPr="00C149AB" w:rsidRDefault="00FE289C" w:rsidP="00F017D4">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8.294 t/god (2% ukupnog otpada)</w:t>
            </w:r>
          </w:p>
        </w:tc>
        <w:tc>
          <w:tcPr>
            <w:tcW w:w="735" w:type="pct"/>
            <w:shd w:val="clear" w:color="auto" w:fill="auto"/>
            <w:vAlign w:val="center"/>
          </w:tcPr>
          <w:p w14:paraId="3F4BA3B7"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34% </w:t>
            </w:r>
          </w:p>
          <w:p w14:paraId="53D47321" w14:textId="45ED1880"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34%</w:t>
            </w:r>
          </w:p>
        </w:tc>
      </w:tr>
      <w:tr w:rsidR="00C232D7" w:rsidRPr="002A6F4E" w14:paraId="5C89950F" w14:textId="77777777" w:rsidTr="00484F6C">
        <w:trPr>
          <w:jc w:val="center"/>
        </w:trPr>
        <w:tc>
          <w:tcPr>
            <w:cnfStyle w:val="001000000000" w:firstRow="0" w:lastRow="0" w:firstColumn="1" w:lastColumn="0" w:oddVBand="0" w:evenVBand="0" w:oddHBand="0" w:evenHBand="0" w:firstRowFirstColumn="0" w:firstRowLastColumn="0" w:lastRowFirstColumn="0" w:lastRowLastColumn="0"/>
            <w:tcW w:w="1334" w:type="pct"/>
            <w:shd w:val="clear" w:color="auto" w:fill="auto"/>
          </w:tcPr>
          <w:p w14:paraId="0CF63B21" w14:textId="77777777" w:rsidR="00C232D7" w:rsidRPr="00C149AB" w:rsidRDefault="00C232D7" w:rsidP="00C232D7">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Kućno kompostiranje</w:t>
            </w:r>
          </w:p>
        </w:tc>
        <w:tc>
          <w:tcPr>
            <w:tcW w:w="1456" w:type="pct"/>
            <w:shd w:val="clear" w:color="auto" w:fill="auto"/>
            <w:vAlign w:val="center"/>
          </w:tcPr>
          <w:p w14:paraId="5D4722A0" w14:textId="7C2086EA"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5.624 t/god (1.6%  ukupnog otpada)</w:t>
            </w:r>
          </w:p>
          <w:p w14:paraId="0D083277" w14:textId="4E63F7D3" w:rsidR="00C232D7" w:rsidRPr="00C149AB" w:rsidRDefault="00FE289C" w:rsidP="00F017D4">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5.584 t/god (1.6% ukupnog otpada)</w:t>
            </w:r>
          </w:p>
        </w:tc>
        <w:tc>
          <w:tcPr>
            <w:tcW w:w="1475" w:type="pct"/>
            <w:shd w:val="clear" w:color="auto" w:fill="auto"/>
            <w:vAlign w:val="center"/>
          </w:tcPr>
          <w:p w14:paraId="0E84A6A5" w14:textId="06E4B1BA"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5.624 t/god (1.6% ukupnog otpada)</w:t>
            </w:r>
          </w:p>
          <w:p w14:paraId="11F9D040" w14:textId="0E82E3A5" w:rsidR="00C232D7" w:rsidRPr="00C149AB" w:rsidRDefault="00FE289C" w:rsidP="00F017D4">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5.584 t/god (1.6% ukupnog otpada)</w:t>
            </w:r>
          </w:p>
        </w:tc>
        <w:tc>
          <w:tcPr>
            <w:tcW w:w="735" w:type="pct"/>
            <w:shd w:val="clear" w:color="auto" w:fill="auto"/>
            <w:vAlign w:val="center"/>
          </w:tcPr>
          <w:p w14:paraId="37B6E597"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100% </w:t>
            </w:r>
          </w:p>
          <w:p w14:paraId="7E92B07D" w14:textId="7038793C"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100%</w:t>
            </w:r>
          </w:p>
        </w:tc>
      </w:tr>
      <w:tr w:rsidR="00C232D7" w:rsidRPr="002A6F4E" w14:paraId="66E652DC" w14:textId="77777777" w:rsidTr="00484F6C">
        <w:trPr>
          <w:jc w:val="center"/>
        </w:trPr>
        <w:tc>
          <w:tcPr>
            <w:cnfStyle w:val="001000000000" w:firstRow="0" w:lastRow="0" w:firstColumn="1" w:lastColumn="0" w:oddVBand="0" w:evenVBand="0" w:oddHBand="0" w:evenHBand="0" w:firstRowFirstColumn="0" w:firstRowLastColumn="0" w:lastRowFirstColumn="0" w:lastRowLastColumn="0"/>
            <w:tcW w:w="1334" w:type="pct"/>
            <w:shd w:val="clear" w:color="auto" w:fill="auto"/>
            <w:vAlign w:val="center"/>
          </w:tcPr>
          <w:p w14:paraId="25283EC9" w14:textId="77777777" w:rsidR="00C232D7" w:rsidRPr="00C149AB" w:rsidRDefault="00C232D7" w:rsidP="00C232D7">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Ukupno odvojeno sakupljanje otpada</w:t>
            </w:r>
          </w:p>
        </w:tc>
        <w:tc>
          <w:tcPr>
            <w:tcW w:w="1456" w:type="pct"/>
            <w:shd w:val="clear" w:color="auto" w:fill="auto"/>
            <w:vAlign w:val="center"/>
          </w:tcPr>
          <w:p w14:paraId="13FD72CC" w14:textId="6C272D0C"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53.467 t/god (15.0% ukupnog otpada)</w:t>
            </w:r>
          </w:p>
          <w:p w14:paraId="7D29C469" w14:textId="5062BB9F" w:rsidR="00C232D7" w:rsidRPr="00C149AB" w:rsidRDefault="00FE289C" w:rsidP="00F017D4">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75.691 t/god (21.0% ukupnog otpada)</w:t>
            </w:r>
          </w:p>
        </w:tc>
        <w:tc>
          <w:tcPr>
            <w:tcW w:w="1475" w:type="pct"/>
            <w:shd w:val="clear" w:color="auto" w:fill="auto"/>
            <w:vAlign w:val="center"/>
          </w:tcPr>
          <w:p w14:paraId="4660FB36" w14:textId="35F80591"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37.693 t/god (10.6% ukupnog otpada)</w:t>
            </w:r>
          </w:p>
          <w:p w14:paraId="11922541" w14:textId="06FA6E36" w:rsidR="00C232D7" w:rsidRPr="00C149AB" w:rsidRDefault="00FE289C" w:rsidP="00F017D4">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38.103 t/god (10.6% ukupnog otpada)</w:t>
            </w:r>
          </w:p>
        </w:tc>
        <w:tc>
          <w:tcPr>
            <w:tcW w:w="735" w:type="pct"/>
            <w:shd w:val="clear" w:color="auto" w:fill="auto"/>
            <w:vAlign w:val="center"/>
          </w:tcPr>
          <w:p w14:paraId="2EABF1E6"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70% </w:t>
            </w:r>
          </w:p>
          <w:p w14:paraId="156BE2BE" w14:textId="7C887666"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50%</w:t>
            </w:r>
          </w:p>
        </w:tc>
      </w:tr>
    </w:tbl>
    <w:p w14:paraId="582025DE" w14:textId="77777777" w:rsidR="004D2EA8" w:rsidRDefault="004D2EA8" w:rsidP="00C232D7">
      <w:pPr>
        <w:spacing w:before="120" w:after="120" w:line="360" w:lineRule="auto"/>
        <w:rPr>
          <w:rFonts w:ascii="Arial" w:hAnsi="Arial" w:cs="Arial"/>
          <w:lang w:val="sq-AL"/>
        </w:rPr>
      </w:pPr>
      <w:bookmarkStart w:id="1013" w:name="_Hlk123726459"/>
      <w:bookmarkEnd w:id="1012"/>
    </w:p>
    <w:p w14:paraId="4F90A755" w14:textId="5C19B63E" w:rsidR="00C232D7" w:rsidRDefault="00C232D7" w:rsidP="00C232D7">
      <w:pPr>
        <w:spacing w:before="120" w:after="120" w:line="360" w:lineRule="auto"/>
        <w:rPr>
          <w:rFonts w:ascii="Arial" w:hAnsi="Arial" w:cs="Arial"/>
          <w:lang w:val="sq-AL"/>
        </w:rPr>
      </w:pPr>
      <w:r w:rsidRPr="002A6F4E">
        <w:rPr>
          <w:rFonts w:ascii="Arial" w:hAnsi="Arial" w:cs="Arial"/>
          <w:lang w:val="sq-AL"/>
        </w:rPr>
        <w:t>Kao što je prikazano u gornjoj tabeli, opcija I predstavlja nedostatke u ciljevima koji se odnose na  povezivanje sa sanitarnim uslugama i odvojeno sakupljanje otpada.</w:t>
      </w:r>
    </w:p>
    <w:p w14:paraId="5EA294E3" w14:textId="77777777" w:rsidR="004D2EA8" w:rsidRPr="002A6F4E" w:rsidRDefault="004D2EA8" w:rsidP="00C232D7">
      <w:pPr>
        <w:spacing w:before="120" w:after="120" w:line="360" w:lineRule="auto"/>
        <w:rPr>
          <w:rFonts w:ascii="Arial" w:hAnsi="Arial" w:cs="Arial"/>
          <w:lang w:val="sq-AL"/>
        </w:rPr>
      </w:pPr>
    </w:p>
    <w:p w14:paraId="7B704D8E" w14:textId="16044817" w:rsidR="00C232D7" w:rsidRPr="002A6F4E" w:rsidRDefault="00C232D7" w:rsidP="00C232D7">
      <w:pPr>
        <w:shd w:val="clear" w:color="auto" w:fill="D9D9D9" w:themeFill="background1" w:themeFillShade="D9"/>
        <w:spacing w:before="120" w:after="120" w:line="360" w:lineRule="auto"/>
        <w:rPr>
          <w:rFonts w:ascii="Arial" w:hAnsi="Arial" w:cs="Arial"/>
          <w:b/>
          <w:i/>
          <w:lang w:val="sq-AL"/>
        </w:rPr>
      </w:pPr>
      <w:r w:rsidRPr="002A6F4E">
        <w:rPr>
          <w:rFonts w:ascii="Arial" w:hAnsi="Arial" w:cs="Arial"/>
          <w:b/>
          <w:i/>
          <w:lang w:val="sq-AL"/>
        </w:rPr>
        <w:t>Opcija II: Proširenje postojećeg sistema kako bi se pokrilo sv</w:t>
      </w:r>
      <w:r w:rsidR="009751D2">
        <w:rPr>
          <w:rFonts w:ascii="Arial" w:hAnsi="Arial" w:cs="Arial"/>
          <w:b/>
          <w:i/>
          <w:lang w:val="sq-AL"/>
        </w:rPr>
        <w:t>o</w:t>
      </w:r>
      <w:r w:rsidRPr="002A6F4E">
        <w:rPr>
          <w:rFonts w:ascii="Arial" w:hAnsi="Arial" w:cs="Arial"/>
          <w:b/>
          <w:i/>
          <w:lang w:val="sq-AL"/>
        </w:rPr>
        <w:t xml:space="preserve"> stanovništvo uslugama sakupljanja otpada</w:t>
      </w:r>
    </w:p>
    <w:p w14:paraId="1E36A681" w14:textId="77777777" w:rsidR="004D2EA8" w:rsidRDefault="004D2EA8" w:rsidP="00C232D7">
      <w:pPr>
        <w:spacing w:before="120" w:after="120" w:line="360" w:lineRule="auto"/>
        <w:rPr>
          <w:rFonts w:ascii="Arial" w:hAnsi="Arial" w:cs="Arial"/>
          <w:lang w:val="sq-AL"/>
        </w:rPr>
      </w:pPr>
    </w:p>
    <w:p w14:paraId="1E5C2D16"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Ova opcija se odnosi na opciju „uradi minimum“, odnosno proširenje sistema sakupljanja otpada kako bi se pokrilo svo stanovništvo zemlje.</w:t>
      </w:r>
    </w:p>
    <w:p w14:paraId="513A5911" w14:textId="006E71A8"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lastRenderedPageBreak/>
        <w:t>Slično, kao i Opcija I, ova opcija se odnosi na sakupljanje i odlaganje otpada na postojećim deponijama, kao i na nastavak postojećih aktivnosti odvojenog sakupljanja i povrata materijala iz otpada koji može da s</w:t>
      </w:r>
      <w:r w:rsidR="009751D2">
        <w:rPr>
          <w:rFonts w:ascii="Arial" w:hAnsi="Arial" w:cs="Arial"/>
          <w:lang w:val="sq-AL"/>
        </w:rPr>
        <w:t>e reciklira.</w:t>
      </w:r>
    </w:p>
    <w:bookmarkEnd w:id="1013"/>
    <w:p w14:paraId="4677C43B" w14:textId="7D5345D8"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U tabelama u nastavku sumirane su  indikativne dodatne potrebe za opremom za sakupljanje otpada na nivou zemlje. Napominje se da se tačan broj potrebnih </w:t>
      </w:r>
      <w:r w:rsidR="007B1545">
        <w:rPr>
          <w:rFonts w:ascii="Arial" w:hAnsi="Arial" w:cs="Arial"/>
          <w:lang w:val="sq-AL"/>
        </w:rPr>
        <w:t>posuda</w:t>
      </w:r>
      <w:r w:rsidRPr="002A6F4E">
        <w:rPr>
          <w:rFonts w:ascii="Arial" w:hAnsi="Arial" w:cs="Arial"/>
          <w:lang w:val="sq-AL"/>
        </w:rPr>
        <w:t xml:space="preserve">, kontejnera i vozila odnosi na sistem sakupljanja otpada i raspored koji će se sprovoditi, kao i za potrebe zamjene postojećih </w:t>
      </w:r>
      <w:r w:rsidR="007B1545">
        <w:rPr>
          <w:rFonts w:ascii="Arial" w:hAnsi="Arial" w:cs="Arial"/>
          <w:lang w:val="sq-AL"/>
        </w:rPr>
        <w:t>posuda</w:t>
      </w:r>
      <w:r w:rsidRPr="002A6F4E">
        <w:rPr>
          <w:rFonts w:ascii="Arial" w:hAnsi="Arial" w:cs="Arial"/>
          <w:lang w:val="sq-AL"/>
        </w:rPr>
        <w:t>.</w:t>
      </w:r>
    </w:p>
    <w:p w14:paraId="7BAFEA37" w14:textId="54C16646" w:rsidR="00C232D7" w:rsidRPr="00C149AB" w:rsidRDefault="00C232D7" w:rsidP="00A27DDD">
      <w:pPr>
        <w:pStyle w:val="Caption"/>
        <w:rPr>
          <w:rFonts w:ascii="Arial" w:hAnsi="Arial" w:cs="Arial"/>
          <w:b w:val="0"/>
          <w:szCs w:val="20"/>
          <w:lang w:val="sq-AL"/>
        </w:rPr>
      </w:pPr>
      <w:bookmarkStart w:id="1014" w:name="_Toc109051547"/>
      <w:bookmarkStart w:id="1015" w:name="_Toc117607266"/>
      <w:bookmarkStart w:id="1016" w:name="_Toc66354953"/>
      <w:bookmarkStart w:id="1017" w:name="_Toc189515631"/>
      <w:bookmarkStart w:id="1018" w:name="_Toc190160748"/>
      <w:r w:rsidRPr="00C149AB">
        <w:rPr>
          <w:rFonts w:ascii="Arial" w:hAnsi="Arial" w:cs="Arial"/>
          <w:b w:val="0"/>
          <w:szCs w:val="20"/>
          <w:lang w:val="sq-AL"/>
        </w:rPr>
        <w:t xml:space="preserve">Tabela </w:t>
      </w:r>
      <w:r w:rsidRPr="00C149AB">
        <w:rPr>
          <w:rFonts w:ascii="Arial" w:hAnsi="Arial" w:cs="Arial"/>
          <w:b w:val="0"/>
          <w:szCs w:val="20"/>
          <w:lang w:val="sq-AL"/>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lang w:val="sq-AL"/>
        </w:rPr>
        <w:fldChar w:fldCharType="separate"/>
      </w:r>
      <w:r w:rsidR="007274DA">
        <w:rPr>
          <w:rFonts w:ascii="Arial" w:hAnsi="Arial" w:cs="Arial"/>
          <w:b w:val="0"/>
          <w:noProof/>
          <w:szCs w:val="20"/>
          <w:lang w:val="sq-AL"/>
        </w:rPr>
        <w:t>55</w:t>
      </w:r>
      <w:r w:rsidRPr="00C149AB">
        <w:rPr>
          <w:rFonts w:ascii="Arial" w:hAnsi="Arial" w:cs="Arial"/>
          <w:b w:val="0"/>
          <w:szCs w:val="20"/>
          <w:lang w:val="sq-AL"/>
        </w:rPr>
        <w:fldChar w:fldCharType="end"/>
      </w:r>
      <w:r w:rsidRPr="00C149AB">
        <w:rPr>
          <w:rFonts w:ascii="Arial" w:hAnsi="Arial" w:cs="Arial"/>
          <w:b w:val="0"/>
          <w:szCs w:val="20"/>
          <w:lang w:val="sq-AL"/>
        </w:rPr>
        <w:t xml:space="preserve"> </w:t>
      </w:r>
      <w:bookmarkEnd w:id="1014"/>
      <w:bookmarkEnd w:id="1015"/>
      <w:bookmarkEnd w:id="1016"/>
      <w:r w:rsidRPr="00C149AB">
        <w:rPr>
          <w:rFonts w:ascii="Arial" w:hAnsi="Arial" w:cs="Arial"/>
          <w:b w:val="0"/>
          <w:szCs w:val="20"/>
          <w:lang w:val="sq-AL"/>
        </w:rPr>
        <w:t xml:space="preserve">Broj dodatnih </w:t>
      </w:r>
      <w:r w:rsidR="00DE5397" w:rsidRPr="00C149AB">
        <w:rPr>
          <w:rFonts w:ascii="Arial" w:hAnsi="Arial" w:cs="Arial"/>
          <w:b w:val="0"/>
          <w:szCs w:val="20"/>
          <w:lang w:val="sq-AL"/>
        </w:rPr>
        <w:t>posuda</w:t>
      </w:r>
      <w:r w:rsidRPr="00C149AB">
        <w:rPr>
          <w:rFonts w:ascii="Arial" w:hAnsi="Arial" w:cs="Arial"/>
          <w:b w:val="0"/>
          <w:szCs w:val="20"/>
          <w:lang w:val="sq-AL"/>
        </w:rPr>
        <w:t>/kontejnera neophodnih za opciju II</w:t>
      </w:r>
      <w:bookmarkEnd w:id="1017"/>
      <w:bookmarkEnd w:id="1018"/>
    </w:p>
    <w:tbl>
      <w:tblPr>
        <w:tblW w:w="29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1816"/>
        <w:gridCol w:w="1201"/>
      </w:tblGrid>
      <w:tr w:rsidR="00C232D7" w:rsidRPr="002A6F4E" w14:paraId="461A135A" w14:textId="77777777" w:rsidTr="00A73A41">
        <w:trPr>
          <w:trHeight w:val="288"/>
          <w:tblHeader/>
          <w:jc w:val="center"/>
        </w:trPr>
        <w:tc>
          <w:tcPr>
            <w:tcW w:w="2290"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6B93791" w14:textId="1A12951D"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 xml:space="preserve">Vrsta </w:t>
            </w:r>
            <w:r w:rsidR="005C4A0C" w:rsidRPr="00C149AB">
              <w:rPr>
                <w:rFonts w:ascii="Arial" w:hAnsi="Arial" w:cs="Arial"/>
                <w:b/>
                <w:bCs/>
                <w:color w:val="000000"/>
                <w:sz w:val="18"/>
                <w:lang w:val="sq-AL"/>
              </w:rPr>
              <w:t>posude</w:t>
            </w:r>
            <w:r w:rsidRPr="00C149AB">
              <w:rPr>
                <w:rFonts w:ascii="Arial" w:hAnsi="Arial" w:cs="Arial"/>
                <w:b/>
                <w:bCs/>
                <w:color w:val="000000"/>
                <w:sz w:val="18"/>
                <w:lang w:val="sq-AL"/>
              </w:rPr>
              <w:t>/kontejnera</w:t>
            </w:r>
          </w:p>
        </w:tc>
        <w:tc>
          <w:tcPr>
            <w:tcW w:w="271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A958B9F" w14:textId="2E8BC460" w:rsidR="00C232D7" w:rsidRPr="00C149AB" w:rsidRDefault="00FE289C"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2029</w:t>
            </w:r>
          </w:p>
        </w:tc>
      </w:tr>
      <w:tr w:rsidR="00C232D7" w:rsidRPr="002A6F4E" w14:paraId="7A292B12" w14:textId="77777777" w:rsidTr="00A73A41">
        <w:trPr>
          <w:trHeight w:val="288"/>
          <w:tblHeader/>
          <w:jc w:val="center"/>
        </w:trPr>
        <w:tc>
          <w:tcPr>
            <w:tcW w:w="2290" w:type="pct"/>
            <w:vMerge/>
            <w:tcBorders>
              <w:top w:val="single" w:sz="4" w:space="0" w:color="auto"/>
              <w:left w:val="single" w:sz="4" w:space="0" w:color="auto"/>
              <w:bottom w:val="single" w:sz="4" w:space="0" w:color="auto"/>
              <w:right w:val="single" w:sz="4" w:space="0" w:color="auto"/>
            </w:tcBorders>
            <w:vAlign w:val="center"/>
          </w:tcPr>
          <w:p w14:paraId="71652D33" w14:textId="77777777" w:rsidR="00C232D7" w:rsidRPr="00C149AB" w:rsidRDefault="00C232D7" w:rsidP="00C232D7">
            <w:pPr>
              <w:spacing w:before="60" w:after="60" w:line="360" w:lineRule="auto"/>
              <w:rPr>
                <w:rFonts w:ascii="Arial" w:eastAsia="Times New Roman" w:hAnsi="Arial" w:cs="Arial"/>
                <w:b/>
                <w:bCs/>
                <w:color w:val="000000"/>
                <w:sz w:val="18"/>
                <w:lang w:val="sq-AL"/>
              </w:rPr>
            </w:pPr>
          </w:p>
        </w:tc>
        <w:tc>
          <w:tcPr>
            <w:tcW w:w="163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183DEA2"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Rezidualni otpad</w:t>
            </w:r>
          </w:p>
        </w:tc>
        <w:tc>
          <w:tcPr>
            <w:tcW w:w="10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00D646"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Otpad koji se može reciklirati</w:t>
            </w:r>
          </w:p>
        </w:tc>
      </w:tr>
      <w:tr w:rsidR="00C232D7" w:rsidRPr="002A6F4E" w14:paraId="1DA8A94D" w14:textId="77777777" w:rsidTr="00A73A41">
        <w:trPr>
          <w:trHeight w:val="312"/>
          <w:jc w:val="center"/>
        </w:trPr>
        <w:tc>
          <w:tcPr>
            <w:tcW w:w="2290" w:type="pct"/>
            <w:tcBorders>
              <w:top w:val="single" w:sz="4" w:space="0" w:color="auto"/>
              <w:left w:val="single" w:sz="4" w:space="0" w:color="auto"/>
              <w:bottom w:val="single" w:sz="4" w:space="0" w:color="auto"/>
              <w:right w:val="single" w:sz="4" w:space="0" w:color="auto"/>
            </w:tcBorders>
            <w:noWrap/>
          </w:tcPr>
          <w:p w14:paraId="1866441B"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Zapremine 1.1 m</w:t>
            </w:r>
            <w:r w:rsidRPr="00C149AB">
              <w:rPr>
                <w:rFonts w:ascii="Arial" w:hAnsi="Arial" w:cs="Arial"/>
                <w:color w:val="000000"/>
                <w:sz w:val="18"/>
                <w:vertAlign w:val="superscript"/>
                <w:lang w:val="sq-AL"/>
              </w:rPr>
              <w:t>3</w:t>
            </w:r>
          </w:p>
        </w:tc>
        <w:tc>
          <w:tcPr>
            <w:tcW w:w="1631" w:type="pct"/>
            <w:tcBorders>
              <w:top w:val="single" w:sz="4" w:space="0" w:color="auto"/>
              <w:left w:val="single" w:sz="4" w:space="0" w:color="auto"/>
              <w:bottom w:val="single" w:sz="4" w:space="0" w:color="auto"/>
              <w:right w:val="single" w:sz="4" w:space="0" w:color="auto"/>
            </w:tcBorders>
            <w:noWrap/>
            <w:vAlign w:val="center"/>
          </w:tcPr>
          <w:p w14:paraId="264F8F4F"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14.821</w:t>
            </w:r>
          </w:p>
        </w:tc>
        <w:tc>
          <w:tcPr>
            <w:tcW w:w="1079" w:type="pct"/>
            <w:tcBorders>
              <w:top w:val="single" w:sz="4" w:space="0" w:color="auto"/>
              <w:left w:val="single" w:sz="4" w:space="0" w:color="auto"/>
              <w:bottom w:val="single" w:sz="4" w:space="0" w:color="auto"/>
              <w:right w:val="single" w:sz="4" w:space="0" w:color="auto"/>
            </w:tcBorders>
            <w:vAlign w:val="center"/>
          </w:tcPr>
          <w:p w14:paraId="553998D3"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6.403</w:t>
            </w:r>
          </w:p>
        </w:tc>
      </w:tr>
      <w:tr w:rsidR="00C232D7" w:rsidRPr="002A6F4E" w14:paraId="587E5424" w14:textId="77777777" w:rsidTr="00A73A41">
        <w:trPr>
          <w:trHeight w:val="288"/>
          <w:jc w:val="center"/>
        </w:trPr>
        <w:tc>
          <w:tcPr>
            <w:tcW w:w="2290" w:type="pct"/>
            <w:tcBorders>
              <w:top w:val="single" w:sz="4" w:space="0" w:color="auto"/>
              <w:left w:val="single" w:sz="4" w:space="0" w:color="auto"/>
              <w:bottom w:val="single" w:sz="4" w:space="0" w:color="auto"/>
              <w:right w:val="single" w:sz="4" w:space="0" w:color="auto"/>
            </w:tcBorders>
            <w:noWrap/>
          </w:tcPr>
          <w:p w14:paraId="6A73AFDC"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broj</w:t>
            </w:r>
          </w:p>
        </w:tc>
        <w:tc>
          <w:tcPr>
            <w:tcW w:w="1631" w:type="pct"/>
            <w:tcBorders>
              <w:top w:val="single" w:sz="4" w:space="0" w:color="auto"/>
              <w:left w:val="single" w:sz="4" w:space="0" w:color="auto"/>
              <w:bottom w:val="single" w:sz="4" w:space="0" w:color="auto"/>
              <w:right w:val="single" w:sz="4" w:space="0" w:color="auto"/>
            </w:tcBorders>
            <w:noWrap/>
            <w:vAlign w:val="center"/>
          </w:tcPr>
          <w:p w14:paraId="732E704C"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14.821</w:t>
            </w:r>
          </w:p>
        </w:tc>
        <w:tc>
          <w:tcPr>
            <w:tcW w:w="1079" w:type="pct"/>
            <w:tcBorders>
              <w:top w:val="single" w:sz="4" w:space="0" w:color="auto"/>
              <w:left w:val="single" w:sz="4" w:space="0" w:color="auto"/>
              <w:bottom w:val="single" w:sz="4" w:space="0" w:color="auto"/>
              <w:right w:val="single" w:sz="4" w:space="0" w:color="auto"/>
            </w:tcBorders>
            <w:vAlign w:val="center"/>
          </w:tcPr>
          <w:p w14:paraId="57970A98"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color w:val="000000"/>
                <w:sz w:val="18"/>
              </w:rPr>
              <w:t>6.</w:t>
            </w:r>
            <w:r w:rsidRPr="00C149AB">
              <w:rPr>
                <w:rFonts w:ascii="Arial" w:hAnsi="Arial" w:cs="Arial"/>
                <w:b/>
                <w:bCs/>
                <w:color w:val="000000"/>
                <w:sz w:val="18"/>
              </w:rPr>
              <w:t>403</w:t>
            </w:r>
          </w:p>
        </w:tc>
      </w:tr>
      <w:tr w:rsidR="00C232D7" w:rsidRPr="002A6F4E" w14:paraId="6503F293" w14:textId="77777777" w:rsidTr="00A73A41">
        <w:trPr>
          <w:trHeight w:val="288"/>
          <w:jc w:val="center"/>
        </w:trPr>
        <w:tc>
          <w:tcPr>
            <w:tcW w:w="2290" w:type="pct"/>
            <w:tcBorders>
              <w:top w:val="single" w:sz="4" w:space="0" w:color="auto"/>
              <w:left w:val="single" w:sz="4" w:space="0" w:color="auto"/>
              <w:bottom w:val="single" w:sz="4" w:space="0" w:color="auto"/>
              <w:right w:val="single" w:sz="4" w:space="0" w:color="auto"/>
            </w:tcBorders>
            <w:noWrap/>
          </w:tcPr>
          <w:p w14:paraId="016ECAA4"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kapacitet (m</w:t>
            </w:r>
            <w:r w:rsidRPr="00C149AB">
              <w:rPr>
                <w:rFonts w:ascii="Arial" w:hAnsi="Arial" w:cs="Arial"/>
                <w:b/>
                <w:bCs/>
                <w:color w:val="000000"/>
                <w:sz w:val="18"/>
                <w:vertAlign w:val="superscript"/>
                <w:lang w:val="sq-AL"/>
              </w:rPr>
              <w:t>3</w:t>
            </w:r>
            <w:r w:rsidRPr="00C149AB">
              <w:rPr>
                <w:rFonts w:ascii="Arial" w:hAnsi="Arial" w:cs="Arial"/>
                <w:b/>
                <w:bCs/>
                <w:color w:val="000000"/>
                <w:sz w:val="18"/>
                <w:lang w:val="sq-AL"/>
              </w:rPr>
              <w:t>)</w:t>
            </w:r>
          </w:p>
        </w:tc>
        <w:tc>
          <w:tcPr>
            <w:tcW w:w="1631" w:type="pct"/>
            <w:tcBorders>
              <w:top w:val="single" w:sz="4" w:space="0" w:color="auto"/>
              <w:left w:val="single" w:sz="4" w:space="0" w:color="auto"/>
              <w:bottom w:val="single" w:sz="4" w:space="0" w:color="auto"/>
              <w:right w:val="single" w:sz="4" w:space="0" w:color="auto"/>
            </w:tcBorders>
            <w:noWrap/>
            <w:vAlign w:val="center"/>
          </w:tcPr>
          <w:p w14:paraId="126095BA"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color w:val="000000"/>
                <w:sz w:val="18"/>
              </w:rPr>
              <w:t>16.</w:t>
            </w:r>
            <w:r w:rsidRPr="00C149AB">
              <w:rPr>
                <w:rFonts w:ascii="Arial" w:hAnsi="Arial" w:cs="Arial"/>
                <w:b/>
                <w:bCs/>
                <w:color w:val="000000"/>
                <w:sz w:val="18"/>
              </w:rPr>
              <w:t>303</w:t>
            </w:r>
          </w:p>
        </w:tc>
        <w:tc>
          <w:tcPr>
            <w:tcW w:w="1079" w:type="pct"/>
            <w:tcBorders>
              <w:top w:val="single" w:sz="4" w:space="0" w:color="auto"/>
              <w:left w:val="single" w:sz="4" w:space="0" w:color="auto"/>
              <w:bottom w:val="single" w:sz="4" w:space="0" w:color="auto"/>
              <w:right w:val="single" w:sz="4" w:space="0" w:color="auto"/>
            </w:tcBorders>
            <w:vAlign w:val="center"/>
          </w:tcPr>
          <w:p w14:paraId="1E5CB121"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color w:val="000000"/>
                <w:sz w:val="18"/>
              </w:rPr>
              <w:t>7.</w:t>
            </w:r>
            <w:r w:rsidRPr="00C149AB">
              <w:rPr>
                <w:rFonts w:ascii="Arial" w:hAnsi="Arial" w:cs="Arial"/>
                <w:b/>
                <w:bCs/>
                <w:color w:val="000000"/>
                <w:sz w:val="18"/>
              </w:rPr>
              <w:t>043</w:t>
            </w:r>
          </w:p>
        </w:tc>
      </w:tr>
    </w:tbl>
    <w:p w14:paraId="0C0D13CE" w14:textId="77777777" w:rsidR="00A73A41" w:rsidRDefault="00A73A41" w:rsidP="00C232D7">
      <w:pPr>
        <w:pStyle w:val="Caption"/>
        <w:rPr>
          <w:rFonts w:ascii="Arial" w:hAnsi="Arial" w:cs="Arial"/>
          <w:b w:val="0"/>
          <w:sz w:val="20"/>
          <w:szCs w:val="20"/>
        </w:rPr>
      </w:pPr>
      <w:bookmarkStart w:id="1019" w:name="_Toc190160749"/>
    </w:p>
    <w:p w14:paraId="6F22661A" w14:textId="2BC537E7" w:rsidR="00C232D7" w:rsidRPr="00C149AB" w:rsidRDefault="00C232D7" w:rsidP="00C232D7">
      <w:pPr>
        <w:pStyle w:val="Caption"/>
        <w:rPr>
          <w:rFonts w:ascii="Arial" w:hAnsi="Arial" w:cs="Arial"/>
          <w:b w:val="0"/>
          <w:szCs w:val="20"/>
          <w:lang w:val="sq-AL"/>
        </w:rPr>
      </w:pPr>
      <w:r w:rsidRPr="00C149AB">
        <w:rPr>
          <w:rFonts w:ascii="Arial" w:hAnsi="Arial" w:cs="Arial"/>
          <w:b w:val="0"/>
          <w:szCs w:val="20"/>
        </w:rPr>
        <w:t xml:space="preserve">Tabela </w:t>
      </w:r>
      <w:r w:rsidRPr="00C149AB">
        <w:rPr>
          <w:rFonts w:ascii="Arial" w:hAnsi="Arial" w:cs="Arial"/>
          <w:b w:val="0"/>
          <w:szCs w:val="20"/>
        </w:rPr>
        <w:fldChar w:fldCharType="begin"/>
      </w:r>
      <w:r w:rsidRPr="00C149AB">
        <w:rPr>
          <w:rFonts w:ascii="Arial" w:hAnsi="Arial" w:cs="Arial"/>
          <w:b w:val="0"/>
          <w:szCs w:val="20"/>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rPr>
        <w:t>56</w:t>
      </w:r>
      <w:r w:rsidRPr="00C149AB">
        <w:rPr>
          <w:rFonts w:ascii="Arial" w:hAnsi="Arial" w:cs="Arial"/>
          <w:b w:val="0"/>
          <w:szCs w:val="20"/>
        </w:rPr>
        <w:fldChar w:fldCharType="end"/>
      </w:r>
      <w:r w:rsidRPr="00C149AB">
        <w:rPr>
          <w:rFonts w:ascii="Arial" w:hAnsi="Arial" w:cs="Arial"/>
          <w:b w:val="0"/>
          <w:szCs w:val="20"/>
          <w:lang w:val="sq-AL"/>
        </w:rPr>
        <w:t xml:space="preserve"> Broj dodatnih kamiona za sakupljanje otpada neophodnih za opciju II</w:t>
      </w:r>
      <w:bookmarkEnd w:id="1019"/>
    </w:p>
    <w:tbl>
      <w:tblPr>
        <w:tblpPr w:leftFromText="180" w:rightFromText="180" w:vertAnchor="text" w:horzAnchor="page" w:tblpX="3044" w:tblpY="-39"/>
        <w:tblW w:w="4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5"/>
        <w:gridCol w:w="854"/>
      </w:tblGrid>
      <w:tr w:rsidR="00C232D7" w:rsidRPr="00C149AB" w14:paraId="76EAED4C" w14:textId="77777777" w:rsidTr="00C232D7">
        <w:trPr>
          <w:trHeight w:val="288"/>
          <w:tblHeader/>
        </w:trPr>
        <w:tc>
          <w:tcPr>
            <w:tcW w:w="405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5B3F84C" w14:textId="501DE0FA" w:rsidR="00C232D7" w:rsidRPr="00C149AB" w:rsidRDefault="00FC03E4"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 xml:space="preserve">Kapacitet </w:t>
            </w:r>
            <w:r w:rsidR="00C232D7" w:rsidRPr="00C149AB">
              <w:rPr>
                <w:rFonts w:ascii="Arial" w:hAnsi="Arial" w:cs="Arial"/>
                <w:b/>
                <w:bCs/>
                <w:color w:val="000000"/>
                <w:sz w:val="18"/>
                <w:lang w:val="sq-AL"/>
              </w:rPr>
              <w:t>kamiona za sakupljanje otpada</w:t>
            </w:r>
          </w:p>
        </w:tc>
        <w:tc>
          <w:tcPr>
            <w:tcW w:w="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4493109" w14:textId="2C8F51DE" w:rsidR="00C232D7" w:rsidRPr="00C149AB" w:rsidRDefault="00FE289C"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2029</w:t>
            </w:r>
          </w:p>
        </w:tc>
      </w:tr>
      <w:tr w:rsidR="00C232D7" w:rsidRPr="00C149AB" w14:paraId="6C1E591F" w14:textId="77777777" w:rsidTr="00C232D7">
        <w:trPr>
          <w:trHeight w:val="288"/>
        </w:trPr>
        <w:tc>
          <w:tcPr>
            <w:tcW w:w="4055" w:type="dxa"/>
            <w:tcBorders>
              <w:top w:val="single" w:sz="4" w:space="0" w:color="auto"/>
              <w:left w:val="single" w:sz="4" w:space="0" w:color="auto"/>
              <w:bottom w:val="single" w:sz="4" w:space="0" w:color="auto"/>
              <w:right w:val="single" w:sz="4" w:space="0" w:color="auto"/>
            </w:tcBorders>
            <w:noWrap/>
            <w:vAlign w:val="center"/>
          </w:tcPr>
          <w:p w14:paraId="2D9E844E"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22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35467C61"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11</w:t>
            </w:r>
          </w:p>
        </w:tc>
      </w:tr>
      <w:tr w:rsidR="00C232D7" w:rsidRPr="00C149AB" w14:paraId="70B41B73" w14:textId="77777777" w:rsidTr="00C232D7">
        <w:trPr>
          <w:trHeight w:val="288"/>
        </w:trPr>
        <w:tc>
          <w:tcPr>
            <w:tcW w:w="4055" w:type="dxa"/>
            <w:tcBorders>
              <w:top w:val="single" w:sz="4" w:space="0" w:color="auto"/>
              <w:left w:val="single" w:sz="4" w:space="0" w:color="auto"/>
              <w:bottom w:val="single" w:sz="4" w:space="0" w:color="auto"/>
              <w:right w:val="single" w:sz="4" w:space="0" w:color="auto"/>
            </w:tcBorders>
            <w:noWrap/>
            <w:vAlign w:val="center"/>
          </w:tcPr>
          <w:p w14:paraId="634DE9D4"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16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3F1055B0"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24</w:t>
            </w:r>
          </w:p>
        </w:tc>
      </w:tr>
      <w:tr w:rsidR="00C232D7" w:rsidRPr="00C149AB" w14:paraId="4253EB2F" w14:textId="77777777" w:rsidTr="00C232D7">
        <w:trPr>
          <w:trHeight w:val="288"/>
        </w:trPr>
        <w:tc>
          <w:tcPr>
            <w:tcW w:w="4055" w:type="dxa"/>
            <w:tcBorders>
              <w:top w:val="single" w:sz="4" w:space="0" w:color="auto"/>
              <w:left w:val="single" w:sz="4" w:space="0" w:color="auto"/>
              <w:bottom w:val="single" w:sz="4" w:space="0" w:color="auto"/>
              <w:right w:val="single" w:sz="4" w:space="0" w:color="auto"/>
            </w:tcBorders>
            <w:noWrap/>
            <w:vAlign w:val="center"/>
          </w:tcPr>
          <w:p w14:paraId="488DF4CD"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8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08F53737"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21</w:t>
            </w:r>
          </w:p>
        </w:tc>
      </w:tr>
      <w:tr w:rsidR="00C232D7" w:rsidRPr="00C149AB" w14:paraId="5AE9EE70" w14:textId="77777777" w:rsidTr="00C232D7">
        <w:trPr>
          <w:trHeight w:val="288"/>
        </w:trPr>
        <w:tc>
          <w:tcPr>
            <w:tcW w:w="4055" w:type="dxa"/>
            <w:tcBorders>
              <w:top w:val="single" w:sz="4" w:space="0" w:color="auto"/>
              <w:left w:val="single" w:sz="4" w:space="0" w:color="auto"/>
              <w:bottom w:val="single" w:sz="4" w:space="0" w:color="auto"/>
              <w:right w:val="single" w:sz="4" w:space="0" w:color="auto"/>
            </w:tcBorders>
            <w:noWrap/>
            <w:vAlign w:val="center"/>
          </w:tcPr>
          <w:p w14:paraId="28723860"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6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40E98D99"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10</w:t>
            </w:r>
          </w:p>
        </w:tc>
      </w:tr>
      <w:tr w:rsidR="00C232D7" w:rsidRPr="00C149AB" w14:paraId="3E8C6D0C" w14:textId="77777777" w:rsidTr="00C232D7">
        <w:trPr>
          <w:trHeight w:val="288"/>
        </w:trPr>
        <w:tc>
          <w:tcPr>
            <w:tcW w:w="4055" w:type="dxa"/>
            <w:tcBorders>
              <w:top w:val="single" w:sz="4" w:space="0" w:color="auto"/>
              <w:left w:val="single" w:sz="4" w:space="0" w:color="auto"/>
              <w:bottom w:val="single" w:sz="4" w:space="0" w:color="auto"/>
              <w:right w:val="single" w:sz="4" w:space="0" w:color="auto"/>
            </w:tcBorders>
            <w:noWrap/>
            <w:vAlign w:val="center"/>
          </w:tcPr>
          <w:p w14:paraId="5B6D1FF1"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4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046F57EA"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3</w:t>
            </w:r>
          </w:p>
        </w:tc>
      </w:tr>
      <w:tr w:rsidR="00C232D7" w:rsidRPr="00C149AB" w14:paraId="11ACADBA" w14:textId="77777777" w:rsidTr="00C232D7">
        <w:trPr>
          <w:trHeight w:val="288"/>
        </w:trPr>
        <w:tc>
          <w:tcPr>
            <w:tcW w:w="4055" w:type="dxa"/>
            <w:tcBorders>
              <w:top w:val="single" w:sz="4" w:space="0" w:color="auto"/>
              <w:left w:val="single" w:sz="4" w:space="0" w:color="auto"/>
              <w:bottom w:val="single" w:sz="4" w:space="0" w:color="auto"/>
              <w:right w:val="single" w:sz="4" w:space="0" w:color="auto"/>
            </w:tcBorders>
            <w:noWrap/>
          </w:tcPr>
          <w:p w14:paraId="2C403250"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broj</w:t>
            </w:r>
          </w:p>
        </w:tc>
        <w:tc>
          <w:tcPr>
            <w:tcW w:w="854" w:type="dxa"/>
            <w:tcBorders>
              <w:top w:val="single" w:sz="4" w:space="0" w:color="auto"/>
              <w:left w:val="single" w:sz="4" w:space="0" w:color="auto"/>
              <w:bottom w:val="single" w:sz="4" w:space="0" w:color="auto"/>
              <w:right w:val="single" w:sz="4" w:space="0" w:color="auto"/>
            </w:tcBorders>
            <w:noWrap/>
            <w:vAlign w:val="bottom"/>
          </w:tcPr>
          <w:p w14:paraId="35D6EF72"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69</w:t>
            </w:r>
          </w:p>
        </w:tc>
      </w:tr>
      <w:tr w:rsidR="00C232D7" w:rsidRPr="00C149AB" w14:paraId="4634F750" w14:textId="77777777" w:rsidTr="00C232D7">
        <w:trPr>
          <w:trHeight w:val="300"/>
        </w:trPr>
        <w:tc>
          <w:tcPr>
            <w:tcW w:w="4055" w:type="dxa"/>
            <w:tcBorders>
              <w:top w:val="single" w:sz="4" w:space="0" w:color="auto"/>
              <w:left w:val="single" w:sz="4" w:space="0" w:color="auto"/>
              <w:bottom w:val="single" w:sz="4" w:space="0" w:color="auto"/>
              <w:right w:val="single" w:sz="4" w:space="0" w:color="auto"/>
            </w:tcBorders>
            <w:noWrap/>
          </w:tcPr>
          <w:p w14:paraId="28916CB9"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kapacitet (m</w:t>
            </w:r>
            <w:r w:rsidRPr="00C149AB">
              <w:rPr>
                <w:rFonts w:ascii="Arial" w:hAnsi="Arial" w:cs="Arial"/>
                <w:b/>
                <w:bCs/>
                <w:color w:val="000000"/>
                <w:sz w:val="18"/>
                <w:vertAlign w:val="superscript"/>
                <w:lang w:val="sq-AL"/>
              </w:rPr>
              <w:t>3</w:t>
            </w:r>
            <w:r w:rsidRPr="00C149AB">
              <w:rPr>
                <w:rFonts w:ascii="Arial" w:hAnsi="Arial" w:cs="Arial"/>
                <w:b/>
                <w:bCs/>
                <w:color w:val="000000"/>
                <w:sz w:val="18"/>
                <w:lang w:val="sq-AL"/>
              </w:rPr>
              <w:t>)</w:t>
            </w:r>
          </w:p>
        </w:tc>
        <w:tc>
          <w:tcPr>
            <w:tcW w:w="854" w:type="dxa"/>
            <w:tcBorders>
              <w:top w:val="single" w:sz="4" w:space="0" w:color="auto"/>
              <w:left w:val="single" w:sz="4" w:space="0" w:color="auto"/>
              <w:bottom w:val="single" w:sz="4" w:space="0" w:color="auto"/>
              <w:right w:val="single" w:sz="4" w:space="0" w:color="auto"/>
            </w:tcBorders>
            <w:noWrap/>
            <w:vAlign w:val="bottom"/>
          </w:tcPr>
          <w:p w14:paraId="6E04B8DD"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866</w:t>
            </w:r>
          </w:p>
        </w:tc>
      </w:tr>
    </w:tbl>
    <w:p w14:paraId="293FB1F9" w14:textId="77777777" w:rsidR="00C232D7" w:rsidRPr="002A6F4E" w:rsidRDefault="00C232D7" w:rsidP="00C232D7">
      <w:pPr>
        <w:spacing w:before="120" w:after="120" w:line="360" w:lineRule="auto"/>
        <w:rPr>
          <w:rFonts w:ascii="Arial" w:hAnsi="Arial" w:cs="Arial"/>
          <w:lang w:val="sq-AL"/>
        </w:rPr>
      </w:pPr>
    </w:p>
    <w:p w14:paraId="25D994C6" w14:textId="77777777" w:rsidR="007306F8" w:rsidRPr="002A6F4E" w:rsidRDefault="007306F8" w:rsidP="00C232D7">
      <w:pPr>
        <w:spacing w:before="120" w:after="120" w:line="360" w:lineRule="auto"/>
        <w:rPr>
          <w:rFonts w:ascii="Arial" w:hAnsi="Arial" w:cs="Arial"/>
          <w:lang w:val="sq-AL"/>
        </w:rPr>
      </w:pPr>
    </w:p>
    <w:p w14:paraId="0BB0E791" w14:textId="77777777" w:rsidR="007306F8" w:rsidRPr="002A6F4E" w:rsidRDefault="007306F8" w:rsidP="00C232D7">
      <w:pPr>
        <w:spacing w:before="120" w:after="120" w:line="360" w:lineRule="auto"/>
        <w:rPr>
          <w:rFonts w:ascii="Arial" w:hAnsi="Arial" w:cs="Arial"/>
          <w:lang w:val="sq-AL"/>
        </w:rPr>
      </w:pPr>
    </w:p>
    <w:p w14:paraId="3433A086" w14:textId="77777777" w:rsidR="007306F8" w:rsidRPr="002A6F4E" w:rsidRDefault="007306F8" w:rsidP="00C232D7">
      <w:pPr>
        <w:spacing w:before="120" w:after="120" w:line="360" w:lineRule="auto"/>
        <w:rPr>
          <w:rFonts w:ascii="Arial" w:hAnsi="Arial" w:cs="Arial"/>
          <w:lang w:val="sq-AL"/>
        </w:rPr>
      </w:pPr>
    </w:p>
    <w:p w14:paraId="4F8A5EBA" w14:textId="77777777" w:rsidR="007306F8" w:rsidRPr="002A6F4E" w:rsidRDefault="007306F8" w:rsidP="00C232D7">
      <w:pPr>
        <w:spacing w:before="120" w:after="120" w:line="360" w:lineRule="auto"/>
        <w:rPr>
          <w:rFonts w:ascii="Arial" w:hAnsi="Arial" w:cs="Arial"/>
          <w:lang w:val="sq-AL"/>
        </w:rPr>
      </w:pPr>
    </w:p>
    <w:p w14:paraId="4067BC54" w14:textId="77777777" w:rsidR="007306F8" w:rsidRPr="002A6F4E" w:rsidRDefault="007306F8" w:rsidP="00C232D7">
      <w:pPr>
        <w:spacing w:before="120" w:after="120" w:line="360" w:lineRule="auto"/>
        <w:rPr>
          <w:rFonts w:ascii="Arial" w:hAnsi="Arial" w:cs="Arial"/>
          <w:lang w:val="sq-AL"/>
        </w:rPr>
      </w:pPr>
    </w:p>
    <w:p w14:paraId="229EBE9B" w14:textId="77777777" w:rsidR="007306F8" w:rsidRPr="002A6F4E" w:rsidRDefault="007306F8" w:rsidP="00C232D7">
      <w:pPr>
        <w:spacing w:before="120" w:after="120" w:line="360" w:lineRule="auto"/>
        <w:rPr>
          <w:rFonts w:ascii="Arial" w:hAnsi="Arial" w:cs="Arial"/>
          <w:lang w:val="sq-AL"/>
        </w:rPr>
      </w:pPr>
    </w:p>
    <w:p w14:paraId="2A12E025" w14:textId="77777777" w:rsidR="00CD7537" w:rsidRDefault="00CD7537" w:rsidP="00C232D7">
      <w:pPr>
        <w:spacing w:before="120" w:after="120" w:line="360" w:lineRule="auto"/>
        <w:rPr>
          <w:rFonts w:ascii="Arial" w:hAnsi="Arial" w:cs="Arial"/>
          <w:highlight w:val="yellow"/>
        </w:rPr>
      </w:pPr>
    </w:p>
    <w:p w14:paraId="566576F4" w14:textId="18EBABCF"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Pored navedenih biće neophodna i mobilna vozila za čišćenje </w:t>
      </w:r>
      <w:r w:rsidR="00CD7537">
        <w:rPr>
          <w:rFonts w:ascii="Arial" w:hAnsi="Arial" w:cs="Arial"/>
          <w:lang w:val="sq-AL"/>
        </w:rPr>
        <w:t>posuda</w:t>
      </w:r>
      <w:r w:rsidRPr="002A6F4E">
        <w:rPr>
          <w:rFonts w:ascii="Arial" w:hAnsi="Arial" w:cs="Arial"/>
          <w:lang w:val="sq-AL"/>
        </w:rPr>
        <w:t xml:space="preserve"> za sakupljanje otpada. Predlaže se utvrđivanje rasporeda dvonedeljnog čišćenja svake </w:t>
      </w:r>
      <w:r w:rsidR="005C4A0C">
        <w:rPr>
          <w:rFonts w:ascii="Arial" w:hAnsi="Arial" w:cs="Arial"/>
          <w:lang w:val="sq-AL"/>
        </w:rPr>
        <w:t>posude</w:t>
      </w:r>
      <w:r w:rsidRPr="002A6F4E">
        <w:rPr>
          <w:rFonts w:ascii="Arial" w:hAnsi="Arial" w:cs="Arial"/>
          <w:lang w:val="sq-AL"/>
        </w:rPr>
        <w:t xml:space="preserve"> za sakupljanje (odnosi se na </w:t>
      </w:r>
      <w:r w:rsidR="005C4A0C">
        <w:rPr>
          <w:rFonts w:ascii="Arial" w:hAnsi="Arial" w:cs="Arial"/>
          <w:lang w:val="sq-AL"/>
        </w:rPr>
        <w:t>posude</w:t>
      </w:r>
      <w:r w:rsidRPr="002A6F4E">
        <w:rPr>
          <w:rFonts w:ascii="Arial" w:hAnsi="Arial" w:cs="Arial"/>
          <w:lang w:val="sq-AL"/>
        </w:rPr>
        <w:t xml:space="preserve"> zapremine 1,1</w:t>
      </w:r>
      <w:r w:rsidRPr="002A6F4E">
        <w:rPr>
          <w:rFonts w:ascii="Arial" w:hAnsi="Arial" w:cs="Arial"/>
          <w:color w:val="000000"/>
          <w:lang w:val="sq-AL"/>
        </w:rPr>
        <w:t xml:space="preserve"> m</w:t>
      </w:r>
      <w:r w:rsidRPr="002A6F4E">
        <w:rPr>
          <w:rFonts w:ascii="Arial" w:hAnsi="Arial" w:cs="Arial"/>
          <w:color w:val="000000"/>
          <w:vertAlign w:val="superscript"/>
          <w:lang w:val="sq-AL"/>
        </w:rPr>
        <w:t>3</w:t>
      </w:r>
      <w:r w:rsidRPr="002A6F4E">
        <w:rPr>
          <w:rFonts w:ascii="Arial" w:hAnsi="Arial" w:cs="Arial"/>
          <w:lang w:val="sq-AL"/>
        </w:rPr>
        <w:t xml:space="preserve">). S obzirom na prosječnu količinu od 250 </w:t>
      </w:r>
      <w:r w:rsidR="00CD7537">
        <w:rPr>
          <w:rFonts w:ascii="Arial" w:hAnsi="Arial" w:cs="Arial"/>
          <w:lang w:val="sq-AL"/>
        </w:rPr>
        <w:t>posuda</w:t>
      </w:r>
      <w:r w:rsidRPr="002A6F4E">
        <w:rPr>
          <w:rFonts w:ascii="Arial" w:hAnsi="Arial" w:cs="Arial"/>
          <w:lang w:val="sq-AL"/>
        </w:rPr>
        <w:t xml:space="preserve"> koje se svakodnevno čiste (iznutra i spolja) smatra se da će za cijelu zemlju biti potrebno </w:t>
      </w:r>
      <w:r w:rsidR="00C56DAC">
        <w:rPr>
          <w:rFonts w:ascii="Arial" w:hAnsi="Arial" w:cs="Arial"/>
          <w:lang w:val="sq-AL"/>
        </w:rPr>
        <w:t>osam</w:t>
      </w:r>
      <w:r w:rsidRPr="002A6F4E">
        <w:rPr>
          <w:rFonts w:ascii="Arial" w:hAnsi="Arial" w:cs="Arial"/>
          <w:lang w:val="sq-AL"/>
        </w:rPr>
        <w:t xml:space="preserve"> vozila za pranje.</w:t>
      </w:r>
    </w:p>
    <w:p w14:paraId="0D915539" w14:textId="44099AA9" w:rsidR="00C232D7" w:rsidRDefault="00C232D7" w:rsidP="00C232D7">
      <w:pPr>
        <w:spacing w:before="120" w:after="120" w:line="360" w:lineRule="auto"/>
        <w:rPr>
          <w:rFonts w:ascii="Arial" w:hAnsi="Arial" w:cs="Arial"/>
          <w:lang w:val="sq-AL"/>
        </w:rPr>
      </w:pPr>
      <w:r w:rsidRPr="002A6F4E">
        <w:rPr>
          <w:rFonts w:ascii="Arial" w:hAnsi="Arial" w:cs="Arial"/>
          <w:lang w:val="sq-AL"/>
        </w:rPr>
        <w:t xml:space="preserve">Na osnovu gornje analize, troškovi opreme za sakupljanje otpada u vezi sa ovom opcijom su predstavljeni u sljedećoj tabeli (odgovara </w:t>
      </w:r>
      <w:r w:rsidR="00FE289C" w:rsidRPr="002A6F4E">
        <w:rPr>
          <w:rFonts w:ascii="Arial" w:hAnsi="Arial" w:cs="Arial"/>
          <w:lang w:val="sq-AL"/>
        </w:rPr>
        <w:t>2029</w:t>
      </w:r>
      <w:r w:rsidRPr="002A6F4E">
        <w:rPr>
          <w:rFonts w:ascii="Arial" w:hAnsi="Arial" w:cs="Arial"/>
          <w:lang w:val="sq-AL"/>
        </w:rPr>
        <w:t>. godini).</w:t>
      </w:r>
    </w:p>
    <w:p w14:paraId="44234D15" w14:textId="77777777" w:rsidR="00F70BEF" w:rsidRDefault="00F70BEF" w:rsidP="00C232D7">
      <w:pPr>
        <w:spacing w:before="120" w:after="120" w:line="360" w:lineRule="auto"/>
        <w:rPr>
          <w:rFonts w:ascii="Arial" w:hAnsi="Arial" w:cs="Arial"/>
          <w:lang w:val="sq-AL"/>
        </w:rPr>
      </w:pPr>
    </w:p>
    <w:p w14:paraId="19510163" w14:textId="77777777" w:rsidR="00F70BEF" w:rsidRDefault="00F70BEF" w:rsidP="00C232D7">
      <w:pPr>
        <w:spacing w:before="120" w:after="120" w:line="360" w:lineRule="auto"/>
        <w:rPr>
          <w:rFonts w:ascii="Arial" w:hAnsi="Arial" w:cs="Arial"/>
          <w:lang w:val="sq-AL"/>
        </w:rPr>
      </w:pPr>
    </w:p>
    <w:p w14:paraId="0A411E14" w14:textId="77777777" w:rsidR="00F70BEF" w:rsidRPr="002A6F4E" w:rsidRDefault="00F70BEF" w:rsidP="00C232D7">
      <w:pPr>
        <w:spacing w:before="120" w:after="120" w:line="360" w:lineRule="auto"/>
        <w:rPr>
          <w:rFonts w:ascii="Arial" w:hAnsi="Arial" w:cs="Arial"/>
          <w:lang w:val="sq-AL"/>
        </w:rPr>
      </w:pPr>
    </w:p>
    <w:p w14:paraId="1B7F125F" w14:textId="6FD03D38" w:rsidR="00C232D7" w:rsidRPr="00C149AB" w:rsidRDefault="00984189" w:rsidP="00984189">
      <w:pPr>
        <w:pStyle w:val="Caption"/>
        <w:rPr>
          <w:rFonts w:ascii="Arial" w:hAnsi="Arial" w:cs="Arial"/>
          <w:b w:val="0"/>
          <w:szCs w:val="20"/>
          <w:lang w:val="sq-AL"/>
        </w:rPr>
      </w:pPr>
      <w:bookmarkStart w:id="1020" w:name="_Toc109051549"/>
      <w:bookmarkStart w:id="1021" w:name="_Toc66354955"/>
      <w:bookmarkStart w:id="1022" w:name="_Toc117607268"/>
      <w:bookmarkStart w:id="1023" w:name="_Toc189515633"/>
      <w:bookmarkStart w:id="1024" w:name="_Toc190160751"/>
      <w:r w:rsidRPr="00AF012C">
        <w:rPr>
          <w:rFonts w:ascii="Arial" w:hAnsi="Arial" w:cs="Arial"/>
          <w:b w:val="0"/>
          <w:sz w:val="20"/>
          <w:lang w:val="sq-AL"/>
        </w:rPr>
        <w:lastRenderedPageBreak/>
        <w:t xml:space="preserve">Tabela </w:t>
      </w:r>
      <w:r w:rsidRPr="00C149AB">
        <w:rPr>
          <w:rFonts w:ascii="Arial" w:hAnsi="Arial" w:cs="Arial"/>
          <w:b w:val="0"/>
        </w:rPr>
        <w:fldChar w:fldCharType="begin"/>
      </w:r>
      <w:r w:rsidRPr="00AF012C">
        <w:rPr>
          <w:rFonts w:ascii="Arial" w:hAnsi="Arial" w:cs="Arial"/>
          <w:b w:val="0"/>
          <w:sz w:val="20"/>
          <w:lang w:val="sq-AL"/>
        </w:rPr>
        <w:instrText xml:space="preserve"> SEQ Tabela \* ARABIC </w:instrText>
      </w:r>
      <w:r w:rsidRPr="00C149AB">
        <w:rPr>
          <w:rFonts w:ascii="Arial" w:hAnsi="Arial" w:cs="Arial"/>
          <w:b w:val="0"/>
        </w:rPr>
        <w:fldChar w:fldCharType="separate"/>
      </w:r>
      <w:r w:rsidR="007274DA">
        <w:rPr>
          <w:rFonts w:ascii="Arial" w:hAnsi="Arial" w:cs="Arial"/>
          <w:b w:val="0"/>
          <w:noProof/>
          <w:sz w:val="20"/>
          <w:lang w:val="sq-AL"/>
        </w:rPr>
        <w:t>57</w:t>
      </w:r>
      <w:r w:rsidRPr="00C149AB">
        <w:rPr>
          <w:rFonts w:ascii="Arial" w:hAnsi="Arial" w:cs="Arial"/>
          <w:b w:val="0"/>
        </w:rPr>
        <w:fldChar w:fldCharType="end"/>
      </w:r>
      <w:r w:rsidR="00C232D7" w:rsidRPr="00C149AB">
        <w:rPr>
          <w:rFonts w:ascii="Arial" w:hAnsi="Arial" w:cs="Arial"/>
          <w:b w:val="0"/>
          <w:szCs w:val="20"/>
          <w:lang w:val="sq-AL"/>
        </w:rPr>
        <w:t xml:space="preserve"> </w:t>
      </w:r>
      <w:bookmarkEnd w:id="1020"/>
      <w:bookmarkEnd w:id="1021"/>
      <w:bookmarkEnd w:id="1022"/>
      <w:r w:rsidR="00C232D7" w:rsidRPr="00C149AB">
        <w:rPr>
          <w:rFonts w:ascii="Arial" w:hAnsi="Arial" w:cs="Arial"/>
          <w:b w:val="0"/>
          <w:szCs w:val="20"/>
          <w:lang w:val="sq-AL"/>
        </w:rPr>
        <w:t>Troškovi sakupljanja otpada za opciju II</w:t>
      </w:r>
      <w:bookmarkEnd w:id="1023"/>
      <w:bookmarkEnd w:id="1024"/>
    </w:p>
    <w:tbl>
      <w:tblPr>
        <w:tblW w:w="7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480"/>
        <w:gridCol w:w="1193"/>
        <w:gridCol w:w="1940"/>
      </w:tblGrid>
      <w:tr w:rsidR="00C232D7" w:rsidRPr="00C149AB" w14:paraId="5E466A26" w14:textId="77777777" w:rsidTr="00C232D7">
        <w:trPr>
          <w:trHeight w:val="312"/>
          <w:jc w:val="center"/>
        </w:trPr>
        <w:tc>
          <w:tcPr>
            <w:tcW w:w="2370" w:type="dxa"/>
            <w:shd w:val="clear" w:color="auto" w:fill="F2F2F2" w:themeFill="background1" w:themeFillShade="F2"/>
            <w:vAlign w:val="center"/>
          </w:tcPr>
          <w:p w14:paraId="74F095DC"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Vrsta opreme</w:t>
            </w:r>
          </w:p>
          <w:p w14:paraId="4CB20079" w14:textId="77777777" w:rsidR="00C232D7" w:rsidRPr="00C149AB" w:rsidRDefault="00C232D7" w:rsidP="00C232D7">
            <w:pPr>
              <w:spacing w:line="360" w:lineRule="auto"/>
              <w:rPr>
                <w:rFonts w:ascii="Arial" w:hAnsi="Arial" w:cs="Arial"/>
                <w:b/>
                <w:bCs/>
                <w:sz w:val="18"/>
                <w:lang w:val="sq-AL"/>
              </w:rPr>
            </w:pPr>
          </w:p>
        </w:tc>
        <w:tc>
          <w:tcPr>
            <w:tcW w:w="2480" w:type="dxa"/>
            <w:shd w:val="clear" w:color="auto" w:fill="F2F2F2" w:themeFill="background1" w:themeFillShade="F2"/>
            <w:vAlign w:val="center"/>
          </w:tcPr>
          <w:p w14:paraId="63C8FCFE"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Jedinična cijena (€/oprema)</w:t>
            </w:r>
          </w:p>
          <w:p w14:paraId="309E90B7" w14:textId="77777777" w:rsidR="00C232D7" w:rsidRPr="00C149AB" w:rsidRDefault="00C232D7" w:rsidP="00C232D7">
            <w:pPr>
              <w:spacing w:line="360" w:lineRule="auto"/>
              <w:rPr>
                <w:rFonts w:ascii="Arial" w:hAnsi="Arial" w:cs="Arial"/>
                <w:b/>
                <w:bCs/>
                <w:sz w:val="18"/>
                <w:lang w:val="sq-AL"/>
              </w:rPr>
            </w:pPr>
          </w:p>
        </w:tc>
        <w:tc>
          <w:tcPr>
            <w:tcW w:w="1193" w:type="dxa"/>
            <w:shd w:val="clear" w:color="auto" w:fill="F2F2F2" w:themeFill="background1" w:themeFillShade="F2"/>
            <w:vAlign w:val="center"/>
          </w:tcPr>
          <w:p w14:paraId="4E227A4C" w14:textId="4DB8764C"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broj jedinica</w:t>
            </w:r>
          </w:p>
        </w:tc>
        <w:tc>
          <w:tcPr>
            <w:tcW w:w="1940" w:type="dxa"/>
            <w:shd w:val="clear" w:color="auto" w:fill="F2F2F2" w:themeFill="background1" w:themeFillShade="F2"/>
            <w:vAlign w:val="center"/>
          </w:tcPr>
          <w:p w14:paraId="1BBA89D5"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Ukupna cijena (€)</w:t>
            </w:r>
          </w:p>
        </w:tc>
      </w:tr>
      <w:tr w:rsidR="00C232D7" w:rsidRPr="00C149AB" w14:paraId="11432EE5" w14:textId="77777777" w:rsidTr="00C232D7">
        <w:trPr>
          <w:trHeight w:val="312"/>
          <w:jc w:val="center"/>
        </w:trPr>
        <w:tc>
          <w:tcPr>
            <w:tcW w:w="2370" w:type="dxa"/>
            <w:shd w:val="clear" w:color="auto" w:fill="auto"/>
            <w:vAlign w:val="center"/>
          </w:tcPr>
          <w:p w14:paraId="4E630F5E" w14:textId="1AE2F68C" w:rsidR="00C232D7" w:rsidRPr="00C149AB" w:rsidRDefault="005C4A0C" w:rsidP="00C232D7">
            <w:pPr>
              <w:spacing w:line="360" w:lineRule="auto"/>
              <w:rPr>
                <w:rFonts w:ascii="Arial" w:hAnsi="Arial" w:cs="Arial"/>
                <w:sz w:val="18"/>
                <w:lang w:val="sq-AL"/>
              </w:rPr>
            </w:pPr>
            <w:r w:rsidRPr="00C149AB">
              <w:rPr>
                <w:rFonts w:ascii="Arial" w:hAnsi="Arial" w:cs="Arial"/>
                <w:sz w:val="18"/>
                <w:lang w:val="sq-AL"/>
              </w:rPr>
              <w:t>Posude</w:t>
            </w:r>
            <w:r w:rsidR="00C232D7" w:rsidRPr="00C149AB">
              <w:rPr>
                <w:rFonts w:ascii="Arial" w:hAnsi="Arial" w:cs="Arial"/>
                <w:sz w:val="18"/>
                <w:lang w:val="sq-AL"/>
              </w:rPr>
              <w:t xml:space="preserve"> zapremine  1,1 m</w:t>
            </w:r>
            <w:r w:rsidR="00C232D7" w:rsidRPr="00C149AB">
              <w:rPr>
                <w:rFonts w:ascii="Arial" w:hAnsi="Arial" w:cs="Arial"/>
                <w:sz w:val="18"/>
                <w:vertAlign w:val="superscript"/>
                <w:lang w:val="sq-AL"/>
              </w:rPr>
              <w:t>3</w:t>
            </w:r>
          </w:p>
        </w:tc>
        <w:tc>
          <w:tcPr>
            <w:tcW w:w="2480" w:type="dxa"/>
            <w:shd w:val="clear" w:color="auto" w:fill="auto"/>
            <w:vAlign w:val="center"/>
          </w:tcPr>
          <w:p w14:paraId="495161A3"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490</w:t>
            </w:r>
          </w:p>
        </w:tc>
        <w:tc>
          <w:tcPr>
            <w:tcW w:w="1193" w:type="dxa"/>
            <w:shd w:val="clear" w:color="auto" w:fill="auto"/>
            <w:vAlign w:val="center"/>
          </w:tcPr>
          <w:p w14:paraId="521B97E9"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21.224</w:t>
            </w:r>
          </w:p>
        </w:tc>
        <w:tc>
          <w:tcPr>
            <w:tcW w:w="1940" w:type="dxa"/>
            <w:shd w:val="clear" w:color="auto" w:fill="auto"/>
            <w:vAlign w:val="center"/>
          </w:tcPr>
          <w:p w14:paraId="079F9C7D"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10.399.760</w:t>
            </w:r>
          </w:p>
        </w:tc>
      </w:tr>
      <w:tr w:rsidR="00C232D7" w:rsidRPr="00C149AB" w14:paraId="0C2F350D" w14:textId="77777777" w:rsidTr="00C232D7">
        <w:trPr>
          <w:trHeight w:val="348"/>
          <w:jc w:val="center"/>
        </w:trPr>
        <w:tc>
          <w:tcPr>
            <w:tcW w:w="2370" w:type="dxa"/>
            <w:shd w:val="clear" w:color="auto" w:fill="auto"/>
            <w:vAlign w:val="center"/>
          </w:tcPr>
          <w:p w14:paraId="596AC59B"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22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480" w:type="dxa"/>
            <w:shd w:val="clear" w:color="auto" w:fill="auto"/>
            <w:vAlign w:val="center"/>
          </w:tcPr>
          <w:p w14:paraId="702BB0E9"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180.000</w:t>
            </w:r>
          </w:p>
        </w:tc>
        <w:tc>
          <w:tcPr>
            <w:tcW w:w="1193" w:type="dxa"/>
            <w:shd w:val="clear" w:color="auto" w:fill="auto"/>
            <w:vAlign w:val="center"/>
          </w:tcPr>
          <w:p w14:paraId="572EC02C"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11</w:t>
            </w:r>
          </w:p>
        </w:tc>
        <w:tc>
          <w:tcPr>
            <w:tcW w:w="1940" w:type="dxa"/>
            <w:shd w:val="clear" w:color="auto" w:fill="auto"/>
            <w:vAlign w:val="center"/>
          </w:tcPr>
          <w:p w14:paraId="378F369F"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1.980.000</w:t>
            </w:r>
          </w:p>
        </w:tc>
      </w:tr>
      <w:tr w:rsidR="00C232D7" w:rsidRPr="00C149AB" w14:paraId="3D195FBD" w14:textId="77777777" w:rsidTr="00C232D7">
        <w:trPr>
          <w:trHeight w:val="348"/>
          <w:jc w:val="center"/>
        </w:trPr>
        <w:tc>
          <w:tcPr>
            <w:tcW w:w="2370" w:type="dxa"/>
            <w:shd w:val="clear" w:color="auto" w:fill="auto"/>
            <w:vAlign w:val="center"/>
          </w:tcPr>
          <w:p w14:paraId="0A12EB8C"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16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480" w:type="dxa"/>
            <w:shd w:val="clear" w:color="auto" w:fill="auto"/>
            <w:vAlign w:val="center"/>
          </w:tcPr>
          <w:p w14:paraId="12E319B4"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150.000</w:t>
            </w:r>
          </w:p>
        </w:tc>
        <w:tc>
          <w:tcPr>
            <w:tcW w:w="1193" w:type="dxa"/>
            <w:shd w:val="clear" w:color="auto" w:fill="auto"/>
            <w:vAlign w:val="center"/>
          </w:tcPr>
          <w:p w14:paraId="2D5DB894"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24</w:t>
            </w:r>
          </w:p>
        </w:tc>
        <w:tc>
          <w:tcPr>
            <w:tcW w:w="1940" w:type="dxa"/>
            <w:shd w:val="clear" w:color="auto" w:fill="auto"/>
            <w:vAlign w:val="center"/>
          </w:tcPr>
          <w:p w14:paraId="7F7EC35A"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3.600.000</w:t>
            </w:r>
          </w:p>
        </w:tc>
      </w:tr>
      <w:tr w:rsidR="00C232D7" w:rsidRPr="00C149AB" w14:paraId="297DAB86" w14:textId="77777777" w:rsidTr="00C232D7">
        <w:trPr>
          <w:trHeight w:val="348"/>
          <w:jc w:val="center"/>
        </w:trPr>
        <w:tc>
          <w:tcPr>
            <w:tcW w:w="2370" w:type="dxa"/>
            <w:shd w:val="clear" w:color="auto" w:fill="auto"/>
            <w:vAlign w:val="center"/>
          </w:tcPr>
          <w:p w14:paraId="117A9BDF"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8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480" w:type="dxa"/>
            <w:shd w:val="clear" w:color="auto" w:fill="auto"/>
            <w:vAlign w:val="center"/>
          </w:tcPr>
          <w:p w14:paraId="27BA750F"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110.000</w:t>
            </w:r>
          </w:p>
        </w:tc>
        <w:tc>
          <w:tcPr>
            <w:tcW w:w="1193" w:type="dxa"/>
            <w:shd w:val="clear" w:color="auto" w:fill="auto"/>
            <w:vAlign w:val="center"/>
          </w:tcPr>
          <w:p w14:paraId="37297905"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21</w:t>
            </w:r>
          </w:p>
        </w:tc>
        <w:tc>
          <w:tcPr>
            <w:tcW w:w="1940" w:type="dxa"/>
            <w:shd w:val="clear" w:color="auto" w:fill="auto"/>
            <w:vAlign w:val="center"/>
          </w:tcPr>
          <w:p w14:paraId="4D1493FA"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2.310.000</w:t>
            </w:r>
          </w:p>
        </w:tc>
      </w:tr>
      <w:tr w:rsidR="00C232D7" w:rsidRPr="00C149AB" w14:paraId="06C6C19F" w14:textId="77777777" w:rsidTr="00C232D7">
        <w:trPr>
          <w:trHeight w:val="348"/>
          <w:jc w:val="center"/>
        </w:trPr>
        <w:tc>
          <w:tcPr>
            <w:tcW w:w="2370" w:type="dxa"/>
            <w:shd w:val="clear" w:color="auto" w:fill="auto"/>
            <w:vAlign w:val="center"/>
          </w:tcPr>
          <w:p w14:paraId="5529F504"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4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480" w:type="dxa"/>
            <w:shd w:val="clear" w:color="auto" w:fill="auto"/>
            <w:vAlign w:val="center"/>
          </w:tcPr>
          <w:p w14:paraId="45A98347"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80.000</w:t>
            </w:r>
          </w:p>
        </w:tc>
        <w:tc>
          <w:tcPr>
            <w:tcW w:w="1193" w:type="dxa"/>
            <w:shd w:val="clear" w:color="auto" w:fill="auto"/>
            <w:vAlign w:val="center"/>
          </w:tcPr>
          <w:p w14:paraId="131E190E"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3</w:t>
            </w:r>
          </w:p>
        </w:tc>
        <w:tc>
          <w:tcPr>
            <w:tcW w:w="1940" w:type="dxa"/>
            <w:shd w:val="clear" w:color="auto" w:fill="auto"/>
            <w:vAlign w:val="center"/>
          </w:tcPr>
          <w:p w14:paraId="04B3F4E6"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240.000</w:t>
            </w:r>
          </w:p>
        </w:tc>
      </w:tr>
      <w:tr w:rsidR="00C232D7" w:rsidRPr="00C149AB" w14:paraId="4365971B" w14:textId="77777777" w:rsidTr="00C232D7">
        <w:trPr>
          <w:trHeight w:val="348"/>
          <w:jc w:val="center"/>
        </w:trPr>
        <w:tc>
          <w:tcPr>
            <w:tcW w:w="2370" w:type="dxa"/>
            <w:shd w:val="clear" w:color="auto" w:fill="auto"/>
            <w:vAlign w:val="center"/>
          </w:tcPr>
          <w:p w14:paraId="11FEAEBB"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6 m</w:t>
            </w:r>
            <w:r w:rsidRPr="00C149AB">
              <w:rPr>
                <w:rFonts w:ascii="Arial" w:hAnsi="Arial" w:cs="Arial"/>
                <w:sz w:val="18"/>
                <w:vertAlign w:val="superscript"/>
                <w:lang w:val="sq-AL"/>
              </w:rPr>
              <w:t>3</w:t>
            </w:r>
            <w:r w:rsidRPr="00C149AB">
              <w:rPr>
                <w:rFonts w:ascii="Arial" w:hAnsi="Arial" w:cs="Arial"/>
                <w:sz w:val="18"/>
                <w:lang w:val="sq-AL"/>
              </w:rPr>
              <w:t xml:space="preserve"> otvoreni kamion</w:t>
            </w:r>
          </w:p>
        </w:tc>
        <w:tc>
          <w:tcPr>
            <w:tcW w:w="2480" w:type="dxa"/>
            <w:shd w:val="clear" w:color="auto" w:fill="auto"/>
            <w:vAlign w:val="center"/>
          </w:tcPr>
          <w:p w14:paraId="7281F7B9"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70.000</w:t>
            </w:r>
          </w:p>
        </w:tc>
        <w:tc>
          <w:tcPr>
            <w:tcW w:w="1193" w:type="dxa"/>
            <w:shd w:val="clear" w:color="auto" w:fill="auto"/>
            <w:vAlign w:val="center"/>
          </w:tcPr>
          <w:p w14:paraId="7F097275"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10</w:t>
            </w:r>
          </w:p>
        </w:tc>
        <w:tc>
          <w:tcPr>
            <w:tcW w:w="1940" w:type="dxa"/>
            <w:shd w:val="clear" w:color="auto" w:fill="auto"/>
            <w:vAlign w:val="center"/>
          </w:tcPr>
          <w:p w14:paraId="2878F541"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700.000</w:t>
            </w:r>
          </w:p>
        </w:tc>
      </w:tr>
      <w:tr w:rsidR="00C232D7" w:rsidRPr="00C149AB" w14:paraId="5A069414" w14:textId="77777777" w:rsidTr="00C232D7">
        <w:trPr>
          <w:trHeight w:val="312"/>
          <w:jc w:val="center"/>
        </w:trPr>
        <w:tc>
          <w:tcPr>
            <w:tcW w:w="2370" w:type="dxa"/>
            <w:shd w:val="clear" w:color="auto" w:fill="auto"/>
            <w:vAlign w:val="center"/>
          </w:tcPr>
          <w:p w14:paraId="2B62AE24" w14:textId="74BAF0C4"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 xml:space="preserve">Vozilo za pranje </w:t>
            </w:r>
            <w:r w:rsidR="007B1545" w:rsidRPr="00C149AB">
              <w:rPr>
                <w:rFonts w:ascii="Arial" w:hAnsi="Arial" w:cs="Arial"/>
                <w:sz w:val="18"/>
                <w:lang w:val="sq-AL"/>
              </w:rPr>
              <w:t>posuda</w:t>
            </w:r>
          </w:p>
        </w:tc>
        <w:tc>
          <w:tcPr>
            <w:tcW w:w="2480" w:type="dxa"/>
            <w:shd w:val="clear" w:color="auto" w:fill="auto"/>
            <w:vAlign w:val="center"/>
          </w:tcPr>
          <w:p w14:paraId="03BF71ED"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120.000</w:t>
            </w:r>
          </w:p>
        </w:tc>
        <w:tc>
          <w:tcPr>
            <w:tcW w:w="1193" w:type="dxa"/>
            <w:shd w:val="clear" w:color="auto" w:fill="auto"/>
            <w:vAlign w:val="center"/>
          </w:tcPr>
          <w:p w14:paraId="62823237"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8</w:t>
            </w:r>
          </w:p>
        </w:tc>
        <w:tc>
          <w:tcPr>
            <w:tcW w:w="1940" w:type="dxa"/>
            <w:shd w:val="clear" w:color="auto" w:fill="auto"/>
            <w:vAlign w:val="center"/>
          </w:tcPr>
          <w:p w14:paraId="37CD4CC3"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960.000</w:t>
            </w:r>
          </w:p>
        </w:tc>
      </w:tr>
      <w:tr w:rsidR="00C232D7" w:rsidRPr="00C149AB" w14:paraId="2048AC4E" w14:textId="77777777" w:rsidTr="00C232D7">
        <w:trPr>
          <w:trHeight w:val="312"/>
          <w:jc w:val="center"/>
        </w:trPr>
        <w:tc>
          <w:tcPr>
            <w:tcW w:w="2370" w:type="dxa"/>
            <w:shd w:val="clear" w:color="auto" w:fill="auto"/>
            <w:vAlign w:val="center"/>
          </w:tcPr>
          <w:p w14:paraId="496BA8CB"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Ukupno</w:t>
            </w:r>
          </w:p>
        </w:tc>
        <w:tc>
          <w:tcPr>
            <w:tcW w:w="2480" w:type="dxa"/>
            <w:shd w:val="clear" w:color="auto" w:fill="auto"/>
            <w:vAlign w:val="center"/>
          </w:tcPr>
          <w:p w14:paraId="4237524E"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rPr>
              <w:t> </w:t>
            </w:r>
          </w:p>
        </w:tc>
        <w:tc>
          <w:tcPr>
            <w:tcW w:w="1193" w:type="dxa"/>
            <w:shd w:val="clear" w:color="auto" w:fill="auto"/>
            <w:vAlign w:val="center"/>
          </w:tcPr>
          <w:p w14:paraId="5F5D5D04"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 </w:t>
            </w:r>
          </w:p>
        </w:tc>
        <w:tc>
          <w:tcPr>
            <w:tcW w:w="1940" w:type="dxa"/>
            <w:shd w:val="clear" w:color="auto" w:fill="auto"/>
            <w:vAlign w:val="center"/>
          </w:tcPr>
          <w:p w14:paraId="1BC644C3" w14:textId="77777777" w:rsidR="00C232D7" w:rsidRPr="00C149AB" w:rsidRDefault="00C232D7" w:rsidP="00C232D7">
            <w:pPr>
              <w:spacing w:line="360" w:lineRule="auto"/>
              <w:rPr>
                <w:rFonts w:ascii="Arial" w:hAnsi="Arial" w:cs="Arial"/>
                <w:b/>
                <w:bCs/>
                <w:sz w:val="18"/>
                <w:highlight w:val="yellow"/>
                <w:lang w:val="sq-AL"/>
              </w:rPr>
            </w:pPr>
            <w:r w:rsidRPr="00C149AB">
              <w:rPr>
                <w:rFonts w:ascii="Arial" w:hAnsi="Arial" w:cs="Arial"/>
                <w:b/>
                <w:bCs/>
                <w:sz w:val="18"/>
              </w:rPr>
              <w:t>20.189.760</w:t>
            </w:r>
          </w:p>
        </w:tc>
      </w:tr>
    </w:tbl>
    <w:p w14:paraId="6AA767FA" w14:textId="10D357D4" w:rsidR="00C232D7" w:rsidRPr="00C149AB" w:rsidRDefault="00FF4705" w:rsidP="00FF4705">
      <w:pPr>
        <w:pStyle w:val="Caption"/>
        <w:rPr>
          <w:rFonts w:ascii="Arial" w:hAnsi="Arial" w:cs="Arial"/>
          <w:b w:val="0"/>
          <w:szCs w:val="20"/>
          <w:lang w:val="sq-AL"/>
        </w:rPr>
      </w:pPr>
      <w:bookmarkStart w:id="1025" w:name="_Toc189515634"/>
      <w:bookmarkStart w:id="1026" w:name="_Toc190160752"/>
      <w:r w:rsidRPr="00C149AB">
        <w:rPr>
          <w:rFonts w:ascii="Arial" w:hAnsi="Arial" w:cs="Arial"/>
          <w:b w:val="0"/>
          <w:lang w:val="sq-AL"/>
        </w:rPr>
        <w:t xml:space="preserve">Tabela </w:t>
      </w:r>
      <w:r w:rsidRPr="00C149AB">
        <w:rPr>
          <w:rFonts w:ascii="Arial" w:hAnsi="Arial" w:cs="Arial"/>
          <w:b w:val="0"/>
        </w:rPr>
        <w:fldChar w:fldCharType="begin"/>
      </w:r>
      <w:r w:rsidRPr="00C149AB">
        <w:rPr>
          <w:rFonts w:ascii="Arial" w:hAnsi="Arial" w:cs="Arial"/>
          <w:b w:val="0"/>
          <w:lang w:val="sq-AL"/>
        </w:rPr>
        <w:instrText xml:space="preserve"> SEQ Tabela \* ARABIC </w:instrText>
      </w:r>
      <w:r w:rsidRPr="00C149AB">
        <w:rPr>
          <w:rFonts w:ascii="Arial" w:hAnsi="Arial" w:cs="Arial"/>
          <w:b w:val="0"/>
        </w:rPr>
        <w:fldChar w:fldCharType="separate"/>
      </w:r>
      <w:r w:rsidR="007274DA">
        <w:rPr>
          <w:rFonts w:ascii="Arial" w:hAnsi="Arial" w:cs="Arial"/>
          <w:b w:val="0"/>
          <w:noProof/>
          <w:lang w:val="sq-AL"/>
        </w:rPr>
        <w:t>58</w:t>
      </w:r>
      <w:r w:rsidRPr="00C149AB">
        <w:rPr>
          <w:rFonts w:ascii="Arial" w:hAnsi="Arial" w:cs="Arial"/>
          <w:b w:val="0"/>
        </w:rPr>
        <w:fldChar w:fldCharType="end"/>
      </w:r>
      <w:r w:rsidRPr="00AF012C">
        <w:rPr>
          <w:rFonts w:ascii="Arial" w:hAnsi="Arial" w:cs="Arial"/>
          <w:b w:val="0"/>
          <w:lang w:val="sq-AL"/>
        </w:rPr>
        <w:t xml:space="preserve"> </w:t>
      </w:r>
      <w:r w:rsidR="00C232D7" w:rsidRPr="00AF012C">
        <w:rPr>
          <w:rFonts w:ascii="Arial" w:hAnsi="Arial" w:cs="Arial"/>
          <w:b w:val="0"/>
          <w:lang w:val="sq-AL"/>
        </w:rPr>
        <w:t>Učinak</w:t>
      </w:r>
      <w:r w:rsidR="00C232D7" w:rsidRPr="00C149AB">
        <w:rPr>
          <w:rFonts w:ascii="Arial" w:hAnsi="Arial" w:cs="Arial"/>
          <w:b w:val="0"/>
          <w:szCs w:val="20"/>
          <w:lang w:val="sq-AL"/>
        </w:rPr>
        <w:t xml:space="preserve"> Opcije II u odnosu na postavljene ciljeve</w:t>
      </w:r>
      <w:bookmarkEnd w:id="1025"/>
      <w:bookmarkEnd w:id="1026"/>
    </w:p>
    <w:tbl>
      <w:tblPr>
        <w:tblStyle w:val="GridTable4-Accent11"/>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2863"/>
        <w:gridCol w:w="2899"/>
        <w:gridCol w:w="1266"/>
      </w:tblGrid>
      <w:tr w:rsidR="00C232D7" w:rsidRPr="00C149AB" w14:paraId="74AA66BE" w14:textId="77777777" w:rsidTr="00C232D7">
        <w:trPr>
          <w:cnfStyle w:val="100000000000" w:firstRow="1" w:lastRow="0" w:firstColumn="0" w:lastColumn="0" w:oddVBand="0" w:evenVBand="0" w:oddHBand="0" w:evenHBand="0" w:firstRowFirstColumn="0" w:firstRowLastColumn="0" w:lastRowFirstColumn="0" w:lastRowLastColumn="0"/>
          <w:trHeight w:val="433"/>
          <w:tblHeader/>
          <w:jc w:val="center"/>
        </w:trPr>
        <w:tc>
          <w:tcPr>
            <w:cnfStyle w:val="001000000000" w:firstRow="0" w:lastRow="0" w:firstColumn="1" w:lastColumn="0" w:oddVBand="0" w:evenVBand="0" w:oddHBand="0" w:evenHBand="0" w:firstRowFirstColumn="0" w:firstRowLastColumn="0" w:lastRowFirstColumn="0" w:lastRowLastColumn="0"/>
            <w:tcW w:w="1247" w:type="pct"/>
            <w:tcBorders>
              <w:top w:val="single" w:sz="4" w:space="0" w:color="auto"/>
              <w:left w:val="single" w:sz="4" w:space="0" w:color="auto"/>
              <w:bottom w:val="single" w:sz="4" w:space="0" w:color="auto"/>
            </w:tcBorders>
            <w:shd w:val="clear" w:color="auto" w:fill="F2F2F2" w:themeFill="background1" w:themeFillShade="F2"/>
            <w:vAlign w:val="center"/>
          </w:tcPr>
          <w:p w14:paraId="334CC5A0"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color w:val="auto"/>
                <w:sz w:val="18"/>
                <w:szCs w:val="20"/>
                <w:lang w:val="sq-AL"/>
              </w:rPr>
              <w:t>Faza upravljanja otpadom</w:t>
            </w:r>
          </w:p>
        </w:tc>
        <w:tc>
          <w:tcPr>
            <w:tcW w:w="1529" w:type="pct"/>
            <w:tcBorders>
              <w:top w:val="single" w:sz="4" w:space="0" w:color="auto"/>
              <w:left w:val="single" w:sz="4" w:space="0" w:color="auto"/>
              <w:bottom w:val="single" w:sz="4" w:space="0" w:color="auto"/>
            </w:tcBorders>
            <w:shd w:val="clear" w:color="auto" w:fill="F2F2F2" w:themeFill="background1" w:themeFillShade="F2"/>
            <w:vAlign w:val="center"/>
          </w:tcPr>
          <w:p w14:paraId="234662DE"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Potražnja</w:t>
            </w:r>
          </w:p>
        </w:tc>
        <w:tc>
          <w:tcPr>
            <w:tcW w:w="1548" w:type="pct"/>
            <w:tcBorders>
              <w:top w:val="single" w:sz="4" w:space="0" w:color="auto"/>
              <w:left w:val="single" w:sz="4" w:space="0" w:color="auto"/>
              <w:bottom w:val="single" w:sz="4" w:space="0" w:color="auto"/>
            </w:tcBorders>
            <w:shd w:val="clear" w:color="auto" w:fill="F2F2F2" w:themeFill="background1" w:themeFillShade="F2"/>
            <w:vAlign w:val="center"/>
          </w:tcPr>
          <w:p w14:paraId="5E4BAD06"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Učinak</w:t>
            </w:r>
          </w:p>
        </w:tc>
        <w:tc>
          <w:tcPr>
            <w:tcW w:w="67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3998DF"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Nivo ispunjenosti</w:t>
            </w:r>
          </w:p>
        </w:tc>
      </w:tr>
      <w:tr w:rsidR="00C232D7" w:rsidRPr="00C149AB" w14:paraId="5C6D2B52"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47" w:type="pct"/>
            <w:tcBorders>
              <w:top w:val="single" w:sz="4" w:space="0" w:color="auto"/>
            </w:tcBorders>
            <w:shd w:val="clear" w:color="auto" w:fill="auto"/>
            <w:vAlign w:val="center"/>
          </w:tcPr>
          <w:p w14:paraId="48348F05" w14:textId="77777777" w:rsidR="00C232D7" w:rsidRPr="00C149AB" w:rsidRDefault="00C232D7" w:rsidP="00C232D7">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Ukupno sakupljene količine otpada</w:t>
            </w:r>
          </w:p>
        </w:tc>
        <w:tc>
          <w:tcPr>
            <w:tcW w:w="1529" w:type="pct"/>
            <w:tcBorders>
              <w:top w:val="single" w:sz="4" w:space="0" w:color="auto"/>
            </w:tcBorders>
            <w:shd w:val="clear" w:color="auto" w:fill="auto"/>
            <w:vAlign w:val="center"/>
          </w:tcPr>
          <w:p w14:paraId="235F805F" w14:textId="019A663E"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w:t>
            </w:r>
            <w:r w:rsidR="00C46201" w:rsidRPr="005A1BF5">
              <w:rPr>
                <w:rFonts w:ascii="Arial" w:hAnsi="Arial" w:cs="Arial"/>
                <w:sz w:val="18"/>
                <w:lang w:val="sr-Latn-RS"/>
              </w:rPr>
              <w:t>5</w:t>
            </w:r>
            <w:r w:rsidRPr="00C149AB">
              <w:rPr>
                <w:rFonts w:ascii="Arial" w:hAnsi="Arial" w:cs="Arial"/>
                <w:sz w:val="18"/>
                <w:lang w:val="mk-MK"/>
              </w:rPr>
              <w:t>: 350.424 t/god</w:t>
            </w:r>
            <w:r w:rsidRPr="00C149AB">
              <w:rPr>
                <w:rFonts w:ascii="Arial" w:hAnsi="Arial" w:cs="Arial"/>
                <w:sz w:val="18"/>
                <w:lang w:val="sr-Latn-ME"/>
              </w:rPr>
              <w:t xml:space="preserve"> </w:t>
            </w:r>
            <w:r w:rsidRPr="00C149AB">
              <w:rPr>
                <w:rFonts w:ascii="Arial" w:hAnsi="Arial" w:cs="Arial"/>
                <w:sz w:val="18"/>
                <w:lang w:val="mk-MK"/>
              </w:rPr>
              <w:t>(100% ukupnog otpada)</w:t>
            </w:r>
          </w:p>
          <w:p w14:paraId="21CC6FEA" w14:textId="76064072"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360.433 t/god</w:t>
            </w:r>
            <w:r w:rsidR="00C232D7" w:rsidRPr="00C149AB">
              <w:rPr>
                <w:rFonts w:ascii="Arial" w:hAnsi="Arial" w:cs="Arial"/>
                <w:sz w:val="18"/>
                <w:lang w:val="sr-Latn-ME"/>
              </w:rPr>
              <w:t xml:space="preserve"> </w:t>
            </w:r>
            <w:r w:rsidR="00C232D7" w:rsidRPr="00C149AB">
              <w:rPr>
                <w:rFonts w:ascii="Arial" w:hAnsi="Arial" w:cs="Arial"/>
                <w:sz w:val="18"/>
                <w:lang w:val="mk-MK"/>
              </w:rPr>
              <w:t>(100% ukupnog otpada)</w:t>
            </w:r>
          </w:p>
        </w:tc>
        <w:tc>
          <w:tcPr>
            <w:tcW w:w="1548" w:type="pct"/>
            <w:tcBorders>
              <w:top w:val="single" w:sz="4" w:space="0" w:color="auto"/>
            </w:tcBorders>
            <w:shd w:val="clear" w:color="auto" w:fill="auto"/>
            <w:vAlign w:val="center"/>
          </w:tcPr>
          <w:p w14:paraId="3AEE2EB6" w14:textId="0EE47213"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w:t>
            </w:r>
            <w:r w:rsidR="00C46201" w:rsidRPr="00C149AB">
              <w:rPr>
                <w:rFonts w:ascii="Arial" w:hAnsi="Arial" w:cs="Arial"/>
                <w:sz w:val="18"/>
                <w:lang w:val="sr-Latn-RS"/>
              </w:rPr>
              <w:t>5</w:t>
            </w:r>
            <w:r w:rsidRPr="00C149AB">
              <w:rPr>
                <w:rFonts w:ascii="Arial" w:hAnsi="Arial" w:cs="Arial"/>
                <w:sz w:val="18"/>
                <w:lang w:val="mk-MK"/>
              </w:rPr>
              <w:t>: 350.424 t/god</w:t>
            </w:r>
            <w:r w:rsidR="007306F8" w:rsidRPr="00C149AB">
              <w:rPr>
                <w:rFonts w:ascii="Arial" w:hAnsi="Arial" w:cs="Arial"/>
                <w:sz w:val="18"/>
                <w:lang w:val="sr-Latn-ME"/>
              </w:rPr>
              <w:t xml:space="preserve"> </w:t>
            </w:r>
            <w:r w:rsidRPr="00C149AB">
              <w:rPr>
                <w:rFonts w:ascii="Arial" w:hAnsi="Arial" w:cs="Arial"/>
                <w:sz w:val="18"/>
                <w:lang w:val="mk-MK"/>
              </w:rPr>
              <w:t>(100% ukupnog otpada)</w:t>
            </w:r>
          </w:p>
          <w:p w14:paraId="5E82D9A0" w14:textId="0BCA4A79"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360.433 t/god</w:t>
            </w:r>
            <w:r w:rsidR="007306F8" w:rsidRPr="00C149AB">
              <w:rPr>
                <w:rFonts w:ascii="Arial" w:hAnsi="Arial" w:cs="Arial"/>
                <w:sz w:val="18"/>
                <w:lang w:val="sr-Latn-ME"/>
              </w:rPr>
              <w:t xml:space="preserve"> </w:t>
            </w:r>
            <w:r w:rsidR="00C232D7" w:rsidRPr="00C149AB">
              <w:rPr>
                <w:rFonts w:ascii="Arial" w:hAnsi="Arial" w:cs="Arial"/>
                <w:sz w:val="18"/>
                <w:lang w:val="mk-MK"/>
              </w:rPr>
              <w:t>(100% ukupnog otpada)</w:t>
            </w:r>
          </w:p>
        </w:tc>
        <w:tc>
          <w:tcPr>
            <w:tcW w:w="676" w:type="pct"/>
            <w:tcBorders>
              <w:top w:val="single" w:sz="4" w:space="0" w:color="auto"/>
            </w:tcBorders>
            <w:shd w:val="clear" w:color="auto" w:fill="auto"/>
            <w:vAlign w:val="center"/>
          </w:tcPr>
          <w:p w14:paraId="5CE3C356" w14:textId="25B90CDB"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w:t>
            </w:r>
            <w:r w:rsidR="00C46201" w:rsidRPr="00C149AB">
              <w:rPr>
                <w:rFonts w:ascii="Arial" w:hAnsi="Arial" w:cs="Arial"/>
                <w:sz w:val="18"/>
                <w:lang w:val="sr-Latn-RS"/>
              </w:rPr>
              <w:t>5</w:t>
            </w:r>
            <w:r w:rsidRPr="00C149AB">
              <w:rPr>
                <w:rFonts w:ascii="Arial" w:hAnsi="Arial" w:cs="Arial"/>
                <w:sz w:val="18"/>
                <w:lang w:val="mk-MK"/>
              </w:rPr>
              <w:t xml:space="preserve">: 100% </w:t>
            </w:r>
          </w:p>
          <w:p w14:paraId="28C9AFE2" w14:textId="3571D489"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100%</w:t>
            </w:r>
          </w:p>
        </w:tc>
      </w:tr>
      <w:tr w:rsidR="00C232D7" w:rsidRPr="00C149AB" w14:paraId="66ECFDFD"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47" w:type="pct"/>
            <w:shd w:val="clear" w:color="auto" w:fill="auto"/>
            <w:vAlign w:val="center"/>
          </w:tcPr>
          <w:p w14:paraId="6323C7CC" w14:textId="77777777" w:rsidR="00C232D7" w:rsidRPr="00C149AB" w:rsidRDefault="00C232D7" w:rsidP="00C232D7">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Odvojeno sakupljanje otpada koji se može reciklirati</w:t>
            </w:r>
          </w:p>
        </w:tc>
        <w:tc>
          <w:tcPr>
            <w:tcW w:w="1529" w:type="pct"/>
            <w:shd w:val="clear" w:color="auto" w:fill="auto"/>
            <w:vAlign w:val="center"/>
          </w:tcPr>
          <w:p w14:paraId="6EB4C33C" w14:textId="040FC592"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2025: 27.316 t/god</w:t>
            </w:r>
            <w:r w:rsidR="007306F8" w:rsidRPr="00C149AB">
              <w:rPr>
                <w:rFonts w:ascii="Arial" w:hAnsi="Arial" w:cs="Arial"/>
                <w:sz w:val="18"/>
                <w:lang w:val="sr-Latn-ME"/>
              </w:rPr>
              <w:t xml:space="preserve"> </w:t>
            </w:r>
            <w:r w:rsidRPr="00C149AB">
              <w:rPr>
                <w:rFonts w:ascii="Arial" w:hAnsi="Arial" w:cs="Arial"/>
                <w:sz w:val="18"/>
                <w:lang w:val="mk-MK"/>
              </w:rPr>
              <w:t>(15%</w:t>
            </w:r>
            <w:r w:rsidR="00906B4E" w:rsidRPr="00C149AB">
              <w:rPr>
                <w:rFonts w:ascii="Arial" w:hAnsi="Arial" w:cs="Arial"/>
                <w:sz w:val="18"/>
                <w:lang w:val="en-US"/>
              </w:rPr>
              <w:t xml:space="preserve"> reciklabilnog</w:t>
            </w:r>
            <w:r w:rsidRPr="00C149AB">
              <w:rPr>
                <w:rFonts w:ascii="Arial" w:hAnsi="Arial" w:cs="Arial"/>
                <w:sz w:val="18"/>
                <w:lang w:val="mk-MK"/>
              </w:rPr>
              <w:t>)</w:t>
            </w:r>
          </w:p>
          <w:p w14:paraId="27B2C4BE" w14:textId="74D4A6CD" w:rsidR="00C232D7" w:rsidRPr="00C149AB" w:rsidRDefault="00FE289C" w:rsidP="00906B4E">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46.999 t/god</w:t>
            </w:r>
            <w:r w:rsidR="007306F8" w:rsidRPr="00C149AB">
              <w:rPr>
                <w:rFonts w:ascii="Arial" w:hAnsi="Arial" w:cs="Arial"/>
                <w:sz w:val="18"/>
                <w:lang w:val="sr-Latn-ME"/>
              </w:rPr>
              <w:t xml:space="preserve"> </w:t>
            </w:r>
            <w:r w:rsidR="00906B4E" w:rsidRPr="00C149AB">
              <w:rPr>
                <w:rFonts w:ascii="Arial" w:hAnsi="Arial" w:cs="Arial"/>
                <w:sz w:val="18"/>
                <w:lang w:val="mk-MK"/>
              </w:rPr>
              <w:t>(</w:t>
            </w:r>
            <w:r w:rsidR="00C232D7" w:rsidRPr="00C149AB">
              <w:rPr>
                <w:rFonts w:ascii="Arial" w:hAnsi="Arial" w:cs="Arial"/>
                <w:sz w:val="18"/>
                <w:lang w:val="mk-MK"/>
              </w:rPr>
              <w:t xml:space="preserve"> 25% </w:t>
            </w:r>
            <w:r w:rsidR="00906B4E" w:rsidRPr="00C149AB">
              <w:rPr>
                <w:rFonts w:ascii="Arial" w:hAnsi="Arial" w:cs="Arial"/>
                <w:sz w:val="18"/>
                <w:lang w:val="en-US"/>
              </w:rPr>
              <w:t>reciklabilnog</w:t>
            </w:r>
            <w:r w:rsidR="00C232D7" w:rsidRPr="00C149AB">
              <w:rPr>
                <w:rFonts w:ascii="Arial" w:hAnsi="Arial" w:cs="Arial"/>
                <w:sz w:val="18"/>
                <w:lang w:val="mk-MK"/>
              </w:rPr>
              <w:t>)</w:t>
            </w:r>
          </w:p>
        </w:tc>
        <w:tc>
          <w:tcPr>
            <w:tcW w:w="1548" w:type="pct"/>
            <w:shd w:val="clear" w:color="auto" w:fill="auto"/>
            <w:vAlign w:val="center"/>
          </w:tcPr>
          <w:p w14:paraId="10326EE3" w14:textId="39A0F7FB"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2025: 25.516 t/god</w:t>
            </w:r>
            <w:r w:rsidR="007306F8" w:rsidRPr="00C149AB">
              <w:rPr>
                <w:rFonts w:ascii="Arial" w:hAnsi="Arial" w:cs="Arial"/>
                <w:sz w:val="18"/>
                <w:lang w:val="sr-Latn-ME"/>
              </w:rPr>
              <w:t xml:space="preserve"> </w:t>
            </w:r>
            <w:r w:rsidRPr="00C149AB">
              <w:rPr>
                <w:rFonts w:ascii="Arial" w:hAnsi="Arial" w:cs="Arial"/>
                <w:sz w:val="18"/>
                <w:lang w:val="mk-MK"/>
              </w:rPr>
              <w:t>(14%</w:t>
            </w:r>
            <w:r w:rsidR="00906B4E" w:rsidRPr="00C149AB">
              <w:rPr>
                <w:rFonts w:ascii="Arial" w:hAnsi="Arial" w:cs="Arial"/>
                <w:sz w:val="18"/>
                <w:lang w:val="en-US"/>
              </w:rPr>
              <w:t xml:space="preserve"> reciklabilnog</w:t>
            </w:r>
            <w:r w:rsidRPr="00C149AB">
              <w:rPr>
                <w:rFonts w:ascii="Arial" w:hAnsi="Arial" w:cs="Arial"/>
                <w:sz w:val="18"/>
                <w:lang w:val="mk-MK"/>
              </w:rPr>
              <w:t>)</w:t>
            </w:r>
          </w:p>
          <w:p w14:paraId="79D4C757" w14:textId="564E9E6E"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C232D7" w:rsidRPr="00C149AB">
              <w:rPr>
                <w:rFonts w:ascii="Arial" w:hAnsi="Arial" w:cs="Arial"/>
                <w:sz w:val="18"/>
                <w:szCs w:val="20"/>
                <w:lang w:val="mk-MK"/>
              </w:rPr>
              <w:t>: 25.801 t/god</w:t>
            </w:r>
            <w:r w:rsidR="007306F8" w:rsidRPr="00C149AB">
              <w:rPr>
                <w:rFonts w:ascii="Arial" w:hAnsi="Arial" w:cs="Arial"/>
                <w:sz w:val="18"/>
                <w:szCs w:val="20"/>
                <w:lang w:val="sr-Latn-ME"/>
              </w:rPr>
              <w:t xml:space="preserve"> </w:t>
            </w:r>
            <w:r w:rsidR="00C232D7" w:rsidRPr="00C149AB">
              <w:rPr>
                <w:rFonts w:ascii="Arial" w:hAnsi="Arial" w:cs="Arial"/>
                <w:sz w:val="18"/>
                <w:szCs w:val="20"/>
                <w:lang w:val="mk-MK"/>
              </w:rPr>
              <w:t xml:space="preserve">(15% </w:t>
            </w:r>
            <w:r w:rsidR="00906B4E" w:rsidRPr="00C149AB">
              <w:rPr>
                <w:rFonts w:ascii="Arial" w:hAnsi="Arial" w:cs="Arial"/>
                <w:sz w:val="20"/>
              </w:rPr>
              <w:t>reciklabilnog</w:t>
            </w:r>
            <w:r w:rsidR="00C232D7" w:rsidRPr="00C149AB">
              <w:rPr>
                <w:rFonts w:ascii="Arial" w:hAnsi="Arial" w:cs="Arial"/>
                <w:sz w:val="18"/>
                <w:szCs w:val="20"/>
                <w:lang w:val="mk-MK"/>
              </w:rPr>
              <w:t>)</w:t>
            </w:r>
          </w:p>
        </w:tc>
        <w:tc>
          <w:tcPr>
            <w:tcW w:w="676" w:type="pct"/>
            <w:shd w:val="clear" w:color="auto" w:fill="auto"/>
            <w:vAlign w:val="center"/>
          </w:tcPr>
          <w:p w14:paraId="72F03C61" w14:textId="77777777"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 xml:space="preserve">2025: 93% </w:t>
            </w:r>
          </w:p>
          <w:p w14:paraId="0549451C" w14:textId="4E5D771D"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55%</w:t>
            </w:r>
          </w:p>
        </w:tc>
      </w:tr>
      <w:tr w:rsidR="00C232D7" w:rsidRPr="00C149AB" w14:paraId="2DD7D184"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47" w:type="pct"/>
            <w:shd w:val="clear" w:color="auto" w:fill="auto"/>
            <w:vAlign w:val="center"/>
          </w:tcPr>
          <w:p w14:paraId="2CD8C34E"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sq-AL"/>
              </w:rPr>
              <w:t>Odvojeno sakupljanje ambalažnog otpada</w:t>
            </w:r>
          </w:p>
        </w:tc>
        <w:tc>
          <w:tcPr>
            <w:tcW w:w="1529" w:type="pct"/>
            <w:shd w:val="clear" w:color="auto" w:fill="auto"/>
            <w:vAlign w:val="center"/>
          </w:tcPr>
          <w:p w14:paraId="12C94C7F" w14:textId="313BD805"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34.524 t/god</w:t>
            </w:r>
            <w:r w:rsidR="00C232D7" w:rsidRPr="00C149AB">
              <w:rPr>
                <w:rFonts w:ascii="Arial" w:hAnsi="Arial" w:cs="Arial"/>
                <w:sz w:val="18"/>
                <w:lang w:val="sr-Latn-ME"/>
              </w:rPr>
              <w:t xml:space="preserve"> </w:t>
            </w:r>
            <w:r w:rsidR="00C232D7" w:rsidRPr="00C149AB">
              <w:rPr>
                <w:rFonts w:ascii="Arial" w:hAnsi="Arial" w:cs="Arial"/>
                <w:sz w:val="18"/>
                <w:lang w:val="mk-MK"/>
              </w:rPr>
              <w:t>(35% ambalažnog otpada)</w:t>
            </w:r>
          </w:p>
        </w:tc>
        <w:tc>
          <w:tcPr>
            <w:tcW w:w="1548" w:type="pct"/>
            <w:shd w:val="clear" w:color="auto" w:fill="auto"/>
            <w:vAlign w:val="center"/>
          </w:tcPr>
          <w:p w14:paraId="4F8870B6" w14:textId="233F47B8"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C232D7" w:rsidRPr="00C149AB">
              <w:rPr>
                <w:rFonts w:ascii="Arial" w:hAnsi="Arial" w:cs="Arial"/>
                <w:sz w:val="18"/>
                <w:szCs w:val="20"/>
                <w:lang w:val="mk-MK"/>
              </w:rPr>
              <w:t>: 20.641 t/god</w:t>
            </w:r>
            <w:r w:rsidR="00C232D7" w:rsidRPr="00C149AB">
              <w:rPr>
                <w:rFonts w:ascii="Arial" w:hAnsi="Arial" w:cs="Arial"/>
                <w:sz w:val="18"/>
                <w:szCs w:val="20"/>
                <w:lang w:val="sr-Latn-ME"/>
              </w:rPr>
              <w:t xml:space="preserve"> </w:t>
            </w:r>
            <w:r w:rsidR="00C232D7" w:rsidRPr="00C149AB">
              <w:rPr>
                <w:rFonts w:ascii="Arial" w:hAnsi="Arial" w:cs="Arial"/>
                <w:sz w:val="18"/>
                <w:szCs w:val="20"/>
                <w:lang w:val="mk-MK"/>
              </w:rPr>
              <w:t>(21% ambalažnog otpada)</w:t>
            </w:r>
          </w:p>
        </w:tc>
        <w:tc>
          <w:tcPr>
            <w:tcW w:w="676" w:type="pct"/>
            <w:shd w:val="clear" w:color="auto" w:fill="auto"/>
            <w:vAlign w:val="center"/>
          </w:tcPr>
          <w:p w14:paraId="4058E862" w14:textId="725BB6EC"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60%</w:t>
            </w:r>
          </w:p>
        </w:tc>
      </w:tr>
      <w:tr w:rsidR="00C232D7" w:rsidRPr="00C149AB" w14:paraId="7322BA49"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47" w:type="pct"/>
            <w:shd w:val="clear" w:color="auto" w:fill="auto"/>
          </w:tcPr>
          <w:p w14:paraId="4B8D8D98" w14:textId="77777777" w:rsidR="00C232D7" w:rsidRPr="00C149AB" w:rsidRDefault="00C232D7" w:rsidP="00C232D7">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Odvojeno sakupljanje biorazgradivog otpada</w:t>
            </w:r>
          </w:p>
        </w:tc>
        <w:tc>
          <w:tcPr>
            <w:tcW w:w="1529" w:type="pct"/>
            <w:shd w:val="clear" w:color="auto" w:fill="auto"/>
            <w:vAlign w:val="center"/>
          </w:tcPr>
          <w:p w14:paraId="107DD57E"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24.233 t/god</w:t>
            </w:r>
            <w:r w:rsidRPr="00C149AB">
              <w:rPr>
                <w:rFonts w:ascii="Arial" w:hAnsi="Arial" w:cs="Arial"/>
                <w:sz w:val="18"/>
                <w:szCs w:val="20"/>
                <w:lang w:val="sr-Latn-ME"/>
              </w:rPr>
              <w:t xml:space="preserve"> </w:t>
            </w:r>
            <w:r w:rsidRPr="00C149AB">
              <w:rPr>
                <w:rFonts w:ascii="Arial" w:hAnsi="Arial" w:cs="Arial"/>
                <w:sz w:val="18"/>
                <w:szCs w:val="20"/>
                <w:lang w:val="mk-MK"/>
              </w:rPr>
              <w:t>(7% ukupnog otpada)</w:t>
            </w:r>
          </w:p>
          <w:p w14:paraId="4673EB03" w14:textId="10CAFFDF"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24.063 t/god</w:t>
            </w:r>
            <w:r w:rsidR="00C232D7" w:rsidRPr="00C149AB">
              <w:rPr>
                <w:rFonts w:ascii="Arial" w:hAnsi="Arial" w:cs="Arial"/>
                <w:sz w:val="18"/>
                <w:lang w:val="sr-Latn-ME"/>
              </w:rPr>
              <w:t xml:space="preserve"> </w:t>
            </w:r>
            <w:r w:rsidR="00C232D7" w:rsidRPr="00C149AB">
              <w:rPr>
                <w:rFonts w:ascii="Arial" w:hAnsi="Arial" w:cs="Arial"/>
                <w:sz w:val="18"/>
                <w:lang w:val="mk-MK"/>
              </w:rPr>
              <w:t>(7% ukupnog otpada)</w:t>
            </w:r>
          </w:p>
        </w:tc>
        <w:tc>
          <w:tcPr>
            <w:tcW w:w="1548" w:type="pct"/>
            <w:shd w:val="clear" w:color="auto" w:fill="auto"/>
            <w:vAlign w:val="center"/>
          </w:tcPr>
          <w:p w14:paraId="680B9A52"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8.202 t/god</w:t>
            </w:r>
            <w:r w:rsidRPr="00C149AB">
              <w:rPr>
                <w:rFonts w:ascii="Arial" w:hAnsi="Arial" w:cs="Arial"/>
                <w:sz w:val="18"/>
                <w:szCs w:val="20"/>
                <w:lang w:val="sr-Latn-ME"/>
              </w:rPr>
              <w:t xml:space="preserve"> </w:t>
            </w:r>
            <w:r w:rsidRPr="00C149AB">
              <w:rPr>
                <w:rFonts w:ascii="Arial" w:hAnsi="Arial" w:cs="Arial"/>
                <w:sz w:val="18"/>
                <w:szCs w:val="20"/>
                <w:lang w:val="mk-MK"/>
              </w:rPr>
              <w:t>(2% ukupnog otpada)</w:t>
            </w:r>
          </w:p>
          <w:p w14:paraId="202C1987" w14:textId="01F168DD"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C232D7" w:rsidRPr="00C149AB">
              <w:rPr>
                <w:rFonts w:ascii="Arial" w:hAnsi="Arial" w:cs="Arial"/>
                <w:sz w:val="18"/>
                <w:szCs w:val="20"/>
                <w:lang w:val="mk-MK"/>
              </w:rPr>
              <w:t>: 8.294 t/god</w:t>
            </w:r>
            <w:r w:rsidR="00C232D7" w:rsidRPr="00C149AB">
              <w:rPr>
                <w:rFonts w:ascii="Arial" w:hAnsi="Arial" w:cs="Arial"/>
                <w:sz w:val="18"/>
                <w:szCs w:val="20"/>
                <w:lang w:val="sr-Latn-ME"/>
              </w:rPr>
              <w:t xml:space="preserve"> </w:t>
            </w:r>
            <w:r w:rsidR="00C232D7" w:rsidRPr="00C149AB">
              <w:rPr>
                <w:rFonts w:ascii="Arial" w:hAnsi="Arial" w:cs="Arial"/>
                <w:sz w:val="18"/>
                <w:szCs w:val="20"/>
                <w:lang w:val="mk-MK"/>
              </w:rPr>
              <w:t>(2% ukupnog otpada)</w:t>
            </w:r>
          </w:p>
        </w:tc>
        <w:tc>
          <w:tcPr>
            <w:tcW w:w="676" w:type="pct"/>
            <w:shd w:val="clear" w:color="auto" w:fill="auto"/>
            <w:vAlign w:val="center"/>
          </w:tcPr>
          <w:p w14:paraId="56DC0C6F"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34% </w:t>
            </w:r>
          </w:p>
          <w:p w14:paraId="52D5E799" w14:textId="2EBEC579"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C232D7" w:rsidRPr="00C149AB">
              <w:rPr>
                <w:rFonts w:ascii="Arial" w:hAnsi="Arial" w:cs="Arial"/>
                <w:sz w:val="18"/>
                <w:szCs w:val="20"/>
                <w:lang w:val="mk-MK"/>
              </w:rPr>
              <w:t>: 34%</w:t>
            </w:r>
          </w:p>
        </w:tc>
      </w:tr>
      <w:tr w:rsidR="00C232D7" w:rsidRPr="00C149AB" w14:paraId="32231B46"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47" w:type="pct"/>
            <w:shd w:val="clear" w:color="auto" w:fill="auto"/>
          </w:tcPr>
          <w:p w14:paraId="16517D54" w14:textId="77777777" w:rsidR="00C232D7" w:rsidRPr="00C149AB" w:rsidRDefault="00C232D7" w:rsidP="00C232D7">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Kućno kompostiranje</w:t>
            </w:r>
          </w:p>
        </w:tc>
        <w:tc>
          <w:tcPr>
            <w:tcW w:w="1529" w:type="pct"/>
            <w:shd w:val="clear" w:color="auto" w:fill="auto"/>
            <w:vAlign w:val="center"/>
          </w:tcPr>
          <w:p w14:paraId="4F41CE44" w14:textId="106C609F" w:rsidR="00C232D7" w:rsidRPr="00C149AB" w:rsidRDefault="00644BF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5.624 t/god(</w:t>
            </w:r>
            <w:r w:rsidR="00C232D7" w:rsidRPr="00C149AB">
              <w:rPr>
                <w:rFonts w:ascii="Arial" w:hAnsi="Arial" w:cs="Arial"/>
                <w:sz w:val="18"/>
                <w:szCs w:val="20"/>
                <w:lang w:val="mk-MK"/>
              </w:rPr>
              <w:t>1.6% ukupnog otpada)</w:t>
            </w:r>
          </w:p>
          <w:p w14:paraId="2A92DCDF" w14:textId="43E43BCF"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5.584 t/god</w:t>
            </w:r>
            <w:r w:rsidR="00C232D7" w:rsidRPr="00C149AB">
              <w:rPr>
                <w:rFonts w:ascii="Arial" w:hAnsi="Arial" w:cs="Arial"/>
                <w:sz w:val="18"/>
                <w:lang w:val="sr-Latn-ME"/>
              </w:rPr>
              <w:t xml:space="preserve"> </w:t>
            </w:r>
            <w:r w:rsidR="00644BF5" w:rsidRPr="00C149AB">
              <w:rPr>
                <w:rFonts w:ascii="Arial" w:hAnsi="Arial" w:cs="Arial"/>
                <w:sz w:val="18"/>
                <w:lang w:val="mk-MK"/>
              </w:rPr>
              <w:t>(</w:t>
            </w:r>
            <w:r w:rsidR="00C232D7" w:rsidRPr="00C149AB">
              <w:rPr>
                <w:rFonts w:ascii="Arial" w:hAnsi="Arial" w:cs="Arial"/>
                <w:sz w:val="18"/>
                <w:lang w:val="mk-MK"/>
              </w:rPr>
              <w:t>1.6% ukupnog otpada)</w:t>
            </w:r>
          </w:p>
        </w:tc>
        <w:tc>
          <w:tcPr>
            <w:tcW w:w="1548" w:type="pct"/>
            <w:shd w:val="clear" w:color="auto" w:fill="auto"/>
            <w:vAlign w:val="center"/>
          </w:tcPr>
          <w:p w14:paraId="5F302C81" w14:textId="377FC6AA" w:rsidR="00C232D7" w:rsidRPr="00C149AB" w:rsidRDefault="00644BF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5.624 t/god(</w:t>
            </w:r>
            <w:r w:rsidR="00C232D7" w:rsidRPr="00C149AB">
              <w:rPr>
                <w:rFonts w:ascii="Arial" w:hAnsi="Arial" w:cs="Arial"/>
                <w:sz w:val="18"/>
                <w:szCs w:val="20"/>
                <w:lang w:val="mk-MK"/>
              </w:rPr>
              <w:t>1.6% ukupnog otpada)</w:t>
            </w:r>
          </w:p>
          <w:p w14:paraId="5628345E" w14:textId="10A56059"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644BF5" w:rsidRPr="00C149AB">
              <w:rPr>
                <w:rFonts w:ascii="Arial" w:hAnsi="Arial" w:cs="Arial"/>
                <w:sz w:val="18"/>
                <w:szCs w:val="20"/>
                <w:lang w:val="mk-MK"/>
              </w:rPr>
              <w:t>: 5.584 t/god(</w:t>
            </w:r>
            <w:r w:rsidR="00C232D7" w:rsidRPr="00C149AB">
              <w:rPr>
                <w:rFonts w:ascii="Arial" w:hAnsi="Arial" w:cs="Arial"/>
                <w:sz w:val="18"/>
                <w:szCs w:val="20"/>
                <w:lang w:val="mk-MK"/>
              </w:rPr>
              <w:t>1.6% ukupnog otpada)</w:t>
            </w:r>
          </w:p>
        </w:tc>
        <w:tc>
          <w:tcPr>
            <w:tcW w:w="676" w:type="pct"/>
            <w:shd w:val="clear" w:color="auto" w:fill="auto"/>
            <w:vAlign w:val="center"/>
          </w:tcPr>
          <w:p w14:paraId="5F6DDC61"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100% </w:t>
            </w:r>
          </w:p>
          <w:p w14:paraId="14AC541A" w14:textId="42BE53A4"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C232D7" w:rsidRPr="00C149AB">
              <w:rPr>
                <w:rFonts w:ascii="Arial" w:hAnsi="Arial" w:cs="Arial"/>
                <w:sz w:val="18"/>
                <w:szCs w:val="20"/>
                <w:lang w:val="mk-MK"/>
              </w:rPr>
              <w:t>: 100%</w:t>
            </w:r>
          </w:p>
        </w:tc>
      </w:tr>
      <w:tr w:rsidR="00C232D7" w:rsidRPr="00C149AB" w14:paraId="209A352B"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47" w:type="pct"/>
            <w:shd w:val="clear" w:color="auto" w:fill="auto"/>
            <w:vAlign w:val="center"/>
          </w:tcPr>
          <w:p w14:paraId="07DA1E41" w14:textId="77777777" w:rsidR="00C232D7" w:rsidRPr="00C149AB" w:rsidRDefault="00C232D7" w:rsidP="00C232D7">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Ukupno odvojeno sakupljanje otpada</w:t>
            </w:r>
          </w:p>
        </w:tc>
        <w:tc>
          <w:tcPr>
            <w:tcW w:w="1529" w:type="pct"/>
            <w:shd w:val="clear" w:color="auto" w:fill="auto"/>
            <w:vAlign w:val="center"/>
          </w:tcPr>
          <w:p w14:paraId="55C76493" w14:textId="349609CD"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53.467 t/god</w:t>
            </w:r>
            <w:r w:rsidRPr="00C149AB">
              <w:rPr>
                <w:rFonts w:ascii="Arial" w:hAnsi="Arial" w:cs="Arial"/>
                <w:sz w:val="18"/>
                <w:szCs w:val="20"/>
                <w:lang w:val="sr-Latn-ME"/>
              </w:rPr>
              <w:t xml:space="preserve"> </w:t>
            </w:r>
            <w:r w:rsidR="00644BF5" w:rsidRPr="00C149AB">
              <w:rPr>
                <w:rFonts w:ascii="Arial" w:hAnsi="Arial" w:cs="Arial"/>
                <w:sz w:val="18"/>
                <w:szCs w:val="20"/>
                <w:lang w:val="mk-MK"/>
              </w:rPr>
              <w:t>(</w:t>
            </w:r>
            <w:r w:rsidRPr="00C149AB">
              <w:rPr>
                <w:rFonts w:ascii="Arial" w:hAnsi="Arial" w:cs="Arial"/>
                <w:sz w:val="18"/>
                <w:szCs w:val="20"/>
                <w:lang w:val="mk-MK"/>
              </w:rPr>
              <w:t>15.0% ukupnog otpada)</w:t>
            </w:r>
          </w:p>
          <w:p w14:paraId="5D6A47BF" w14:textId="412C0B61"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644BF5" w:rsidRPr="00C149AB">
              <w:rPr>
                <w:rFonts w:ascii="Arial" w:hAnsi="Arial" w:cs="Arial"/>
                <w:sz w:val="18"/>
                <w:lang w:val="mk-MK"/>
              </w:rPr>
              <w:t>: 75.691 t/god(</w:t>
            </w:r>
            <w:r w:rsidR="00C232D7" w:rsidRPr="00C149AB">
              <w:rPr>
                <w:rFonts w:ascii="Arial" w:hAnsi="Arial" w:cs="Arial"/>
                <w:sz w:val="18"/>
                <w:lang w:val="mk-MK"/>
              </w:rPr>
              <w:t>21.0% ukupnog otpada)</w:t>
            </w:r>
          </w:p>
        </w:tc>
        <w:tc>
          <w:tcPr>
            <w:tcW w:w="1548" w:type="pct"/>
            <w:shd w:val="clear" w:color="auto" w:fill="auto"/>
            <w:vAlign w:val="center"/>
          </w:tcPr>
          <w:p w14:paraId="514F5D40" w14:textId="4E344682" w:rsidR="00C232D7" w:rsidRPr="00C149AB" w:rsidRDefault="00644BF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37.693 t/god(</w:t>
            </w:r>
            <w:r w:rsidR="00C232D7" w:rsidRPr="00C149AB">
              <w:rPr>
                <w:rFonts w:ascii="Arial" w:hAnsi="Arial" w:cs="Arial"/>
                <w:sz w:val="18"/>
                <w:szCs w:val="20"/>
                <w:lang w:val="mk-MK"/>
              </w:rPr>
              <w:t>10.6% ukupnog otpada)</w:t>
            </w:r>
          </w:p>
          <w:p w14:paraId="6CB94B8B" w14:textId="75FAE2F1"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644BF5" w:rsidRPr="00C149AB">
              <w:rPr>
                <w:rFonts w:ascii="Arial" w:hAnsi="Arial" w:cs="Arial"/>
                <w:sz w:val="18"/>
                <w:szCs w:val="20"/>
                <w:lang w:val="mk-MK"/>
              </w:rPr>
              <w:t>: 38.103 t/god(</w:t>
            </w:r>
            <w:r w:rsidR="00C232D7" w:rsidRPr="00C149AB">
              <w:rPr>
                <w:rFonts w:ascii="Arial" w:hAnsi="Arial" w:cs="Arial"/>
                <w:sz w:val="18"/>
                <w:szCs w:val="20"/>
                <w:lang w:val="mk-MK"/>
              </w:rPr>
              <w:t xml:space="preserve">10.6% ukupnog otpada) </w:t>
            </w:r>
          </w:p>
        </w:tc>
        <w:tc>
          <w:tcPr>
            <w:tcW w:w="676" w:type="pct"/>
            <w:shd w:val="clear" w:color="auto" w:fill="auto"/>
            <w:vAlign w:val="center"/>
          </w:tcPr>
          <w:p w14:paraId="1B9417E6"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70% </w:t>
            </w:r>
          </w:p>
          <w:p w14:paraId="1B658489" w14:textId="57DDED29"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C232D7" w:rsidRPr="00C149AB">
              <w:rPr>
                <w:rFonts w:ascii="Arial" w:hAnsi="Arial" w:cs="Arial"/>
                <w:sz w:val="18"/>
                <w:szCs w:val="20"/>
                <w:lang w:val="mk-MK"/>
              </w:rPr>
              <w:t>: 50%</w:t>
            </w:r>
          </w:p>
        </w:tc>
      </w:tr>
    </w:tbl>
    <w:p w14:paraId="57931FD9" w14:textId="19275D36" w:rsidR="00C232D7" w:rsidRDefault="00C232D7" w:rsidP="00C232D7">
      <w:pPr>
        <w:spacing w:before="120" w:after="120" w:line="360" w:lineRule="auto"/>
        <w:rPr>
          <w:rFonts w:ascii="Arial" w:hAnsi="Arial" w:cs="Arial"/>
          <w:lang w:val="sq-AL"/>
        </w:rPr>
      </w:pPr>
      <w:bookmarkStart w:id="1027" w:name="_Hlk123729426"/>
      <w:r w:rsidRPr="002A6F4E">
        <w:rPr>
          <w:rFonts w:ascii="Arial" w:hAnsi="Arial" w:cs="Arial"/>
          <w:lang w:val="sq-AL"/>
        </w:rPr>
        <w:lastRenderedPageBreak/>
        <w:t>Kao što je prikazano u gornjoj tabeli, opcija II predstavlja nedostatke u ciljevima koji se odnose na  odvojeno sakupljanje otpada.</w:t>
      </w:r>
    </w:p>
    <w:p w14:paraId="2226BBFF" w14:textId="77777777" w:rsidR="004D2EA8" w:rsidRPr="002A6F4E" w:rsidRDefault="004D2EA8" w:rsidP="00C232D7">
      <w:pPr>
        <w:spacing w:before="120" w:after="120" w:line="360" w:lineRule="auto"/>
        <w:rPr>
          <w:rFonts w:ascii="Arial" w:hAnsi="Arial" w:cs="Arial"/>
          <w:lang w:val="sq-AL"/>
        </w:rPr>
      </w:pPr>
    </w:p>
    <w:p w14:paraId="4239B048" w14:textId="10192032" w:rsidR="00C232D7" w:rsidRPr="002A6F4E" w:rsidRDefault="00C232D7" w:rsidP="00C232D7">
      <w:pPr>
        <w:shd w:val="clear" w:color="auto" w:fill="D9D9D9" w:themeFill="background1" w:themeFillShade="D9"/>
        <w:spacing w:before="120" w:after="120" w:line="360" w:lineRule="auto"/>
        <w:rPr>
          <w:rFonts w:ascii="Arial" w:hAnsi="Arial" w:cs="Arial"/>
          <w:b/>
          <w:i/>
          <w:lang w:val="sq-AL"/>
        </w:rPr>
      </w:pPr>
      <w:r w:rsidRPr="002A6F4E">
        <w:rPr>
          <w:rFonts w:ascii="Arial" w:hAnsi="Arial" w:cs="Arial"/>
          <w:b/>
          <w:i/>
          <w:lang w:val="sq-AL"/>
        </w:rPr>
        <w:t xml:space="preserve">Opcija IIIa: </w:t>
      </w:r>
      <w:r w:rsidR="00C56DAC">
        <w:rPr>
          <w:rFonts w:ascii="Arial" w:hAnsi="Arial" w:cs="Arial"/>
          <w:b/>
          <w:i/>
          <w:lang w:val="sq-AL"/>
        </w:rPr>
        <w:t>Uspostavljanje</w:t>
      </w:r>
      <w:r w:rsidR="00C56DAC" w:rsidRPr="002A6F4E">
        <w:rPr>
          <w:rFonts w:ascii="Arial" w:hAnsi="Arial" w:cs="Arial"/>
          <w:b/>
          <w:i/>
          <w:lang w:val="sq-AL"/>
        </w:rPr>
        <w:t xml:space="preserve"> </w:t>
      </w:r>
      <w:r w:rsidRPr="002A6F4E">
        <w:rPr>
          <w:rFonts w:ascii="Arial" w:hAnsi="Arial" w:cs="Arial"/>
          <w:b/>
          <w:i/>
          <w:lang w:val="sq-AL"/>
        </w:rPr>
        <w:t>odvojenog sakupljanja miješanog otpada koji se može reciklirati u sistemu dovoza otpada</w:t>
      </w:r>
    </w:p>
    <w:p w14:paraId="4306E27B" w14:textId="77777777" w:rsidR="004D2EA8" w:rsidRDefault="004D2EA8" w:rsidP="00C232D7">
      <w:pPr>
        <w:spacing w:before="120" w:after="120" w:line="360" w:lineRule="auto"/>
        <w:rPr>
          <w:rFonts w:ascii="Arial" w:hAnsi="Arial" w:cs="Arial"/>
          <w:color w:val="000000"/>
          <w:lang w:val="sq-AL"/>
        </w:rPr>
      </w:pPr>
    </w:p>
    <w:p w14:paraId="3A2C9BF0" w14:textId="77777777" w:rsidR="00C232D7" w:rsidRDefault="00C232D7" w:rsidP="00C232D7">
      <w:pPr>
        <w:spacing w:before="120" w:after="120" w:line="360" w:lineRule="auto"/>
        <w:rPr>
          <w:rFonts w:ascii="Arial" w:hAnsi="Arial" w:cs="Arial"/>
          <w:color w:val="000000"/>
          <w:lang w:val="sq-AL"/>
        </w:rPr>
      </w:pPr>
      <w:r w:rsidRPr="002A6F4E">
        <w:rPr>
          <w:rFonts w:ascii="Arial" w:hAnsi="Arial" w:cs="Arial"/>
          <w:color w:val="000000"/>
          <w:lang w:val="sq-AL"/>
        </w:rPr>
        <w:t>Opcija IIIa se sastoji od sljedećih elemenata:</w:t>
      </w:r>
    </w:p>
    <w:p w14:paraId="7A2B4F0A" w14:textId="77777777" w:rsidR="004D2EA8" w:rsidRPr="002A6F4E" w:rsidRDefault="004D2EA8" w:rsidP="00C232D7">
      <w:pPr>
        <w:spacing w:before="120" w:after="120" w:line="360" w:lineRule="auto"/>
        <w:rPr>
          <w:rFonts w:ascii="Arial" w:hAnsi="Arial" w:cs="Arial"/>
          <w:color w:val="000000"/>
          <w:lang w:val="sq-AL"/>
        </w:rPr>
      </w:pPr>
    </w:p>
    <w:p w14:paraId="5C672199" w14:textId="2EF4CEA5"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Proširenje sistema sakupljanja otpada kako bi se obuhvatilo </w:t>
      </w:r>
      <w:r w:rsidR="00C56DAC">
        <w:rPr>
          <w:rFonts w:ascii="Arial" w:hAnsi="Arial" w:cs="Arial"/>
          <w:color w:val="000000"/>
          <w:lang w:val="sq-AL"/>
        </w:rPr>
        <w:t>cjelokupno</w:t>
      </w:r>
      <w:r w:rsidR="00C56DAC" w:rsidRPr="002A6F4E">
        <w:rPr>
          <w:rFonts w:ascii="Arial" w:hAnsi="Arial" w:cs="Arial"/>
          <w:color w:val="000000"/>
          <w:lang w:val="sq-AL"/>
        </w:rPr>
        <w:t xml:space="preserve"> </w:t>
      </w:r>
      <w:r w:rsidRPr="002A6F4E">
        <w:rPr>
          <w:rFonts w:ascii="Arial" w:hAnsi="Arial" w:cs="Arial"/>
          <w:color w:val="000000"/>
          <w:lang w:val="sq-AL"/>
        </w:rPr>
        <w:t>stanovništvo Crne Gore;</w:t>
      </w:r>
    </w:p>
    <w:p w14:paraId="7B80DB7F" w14:textId="00A8576D" w:rsidR="00C232D7" w:rsidRPr="002A6F4E" w:rsidRDefault="00777714" w:rsidP="00A23ED0">
      <w:pPr>
        <w:pStyle w:val="ListParagraph"/>
        <w:numPr>
          <w:ilvl w:val="0"/>
          <w:numId w:val="42"/>
        </w:numPr>
        <w:spacing w:before="120" w:after="120" w:line="360" w:lineRule="auto"/>
        <w:contextualSpacing w:val="0"/>
        <w:rPr>
          <w:rFonts w:ascii="Arial" w:hAnsi="Arial" w:cs="Arial"/>
          <w:color w:val="000000"/>
          <w:lang w:val="sq-AL"/>
        </w:rPr>
      </w:pPr>
      <w:r>
        <w:rPr>
          <w:rFonts w:ascii="Arial" w:hAnsi="Arial" w:cs="Arial"/>
          <w:color w:val="000000"/>
          <w:lang w:val="sq-AL"/>
        </w:rPr>
        <w:t>M</w:t>
      </w:r>
      <w:r w:rsidR="00C232D7" w:rsidRPr="002A6F4E">
        <w:rPr>
          <w:rFonts w:ascii="Arial" w:hAnsi="Arial" w:cs="Arial"/>
          <w:color w:val="000000"/>
          <w:lang w:val="sq-AL"/>
        </w:rPr>
        <w:t xml:space="preserve">iješani otpad koji se može reciklirati sakuplja se u kontejnere zapremine 1,1 </w:t>
      </w:r>
      <w:r w:rsidR="00C232D7" w:rsidRPr="002A6F4E">
        <w:rPr>
          <w:rFonts w:ascii="Arial" w:hAnsi="Arial" w:cs="Arial"/>
          <w:lang w:val="sq-AL"/>
        </w:rPr>
        <w:t>m</w:t>
      </w:r>
      <w:r w:rsidR="00C232D7" w:rsidRPr="002A6F4E">
        <w:rPr>
          <w:rFonts w:ascii="Arial" w:hAnsi="Arial" w:cs="Arial"/>
          <w:vertAlign w:val="superscript"/>
          <w:lang w:val="sq-AL"/>
        </w:rPr>
        <w:t>3</w:t>
      </w:r>
      <w:r w:rsidR="000D6D65">
        <w:rPr>
          <w:rFonts w:ascii="Arial" w:hAnsi="Arial" w:cs="Arial"/>
          <w:lang w:val="sq-AL"/>
        </w:rPr>
        <w:t>,</w:t>
      </w:r>
      <w:r w:rsidR="00C232D7" w:rsidRPr="002A6F4E">
        <w:rPr>
          <w:rFonts w:ascii="Arial" w:hAnsi="Arial" w:cs="Arial"/>
          <w:vertAlign w:val="superscript"/>
          <w:lang w:val="sq-AL"/>
        </w:rPr>
        <w:t xml:space="preserve"> </w:t>
      </w:r>
      <w:r w:rsidR="00C232D7" w:rsidRPr="002A6F4E">
        <w:rPr>
          <w:rFonts w:ascii="Arial" w:hAnsi="Arial" w:cs="Arial"/>
          <w:color w:val="000000"/>
          <w:lang w:val="sq-AL"/>
        </w:rPr>
        <w:t>a zatim se odvozi u postojeća i nova MRF postrojenja koja će se uspostaviti; (vidjeti sljedeća poglavlja);</w:t>
      </w:r>
    </w:p>
    <w:p w14:paraId="19718D14" w14:textId="552EAF03"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Odvojeno sakupljanje drveta biće odgovornost proizvođača/trgovaca i ove frakcije otpada preko predloženih </w:t>
      </w:r>
      <w:r w:rsidR="00364F02">
        <w:rPr>
          <w:rFonts w:ascii="Arial" w:hAnsi="Arial" w:cs="Arial"/>
          <w:color w:val="000000"/>
          <w:lang w:val="sq-AL"/>
        </w:rPr>
        <w:t>reciklažnih centara</w:t>
      </w:r>
      <w:r w:rsidRPr="002A6F4E">
        <w:rPr>
          <w:rFonts w:ascii="Arial" w:hAnsi="Arial" w:cs="Arial"/>
          <w:color w:val="000000"/>
          <w:lang w:val="sq-AL"/>
        </w:rPr>
        <w:t xml:space="preserve"> koja treba da se uspostave odvoze se na recikliranje;</w:t>
      </w:r>
    </w:p>
    <w:p w14:paraId="343DE825" w14:textId="7E50BF61"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Zeleni otpad se sakuplja u većim količinama, korišćenjem otvorenih kipera zapremine </w:t>
      </w:r>
      <w:r w:rsidRPr="002A6F4E">
        <w:rPr>
          <w:rFonts w:ascii="Arial" w:hAnsi="Arial" w:cs="Arial"/>
          <w:lang w:val="sq-AL"/>
        </w:rPr>
        <w:t>6m</w:t>
      </w:r>
      <w:r w:rsidRPr="002A6F4E">
        <w:rPr>
          <w:rFonts w:ascii="Arial" w:hAnsi="Arial" w:cs="Arial"/>
          <w:vertAlign w:val="superscript"/>
          <w:lang w:val="sq-AL"/>
        </w:rPr>
        <w:t>3</w:t>
      </w:r>
      <w:r w:rsidR="004D3247" w:rsidRPr="002A6F4E">
        <w:rPr>
          <w:rFonts w:ascii="Arial" w:hAnsi="Arial" w:cs="Arial"/>
          <w:lang w:val="sq-AL"/>
        </w:rPr>
        <w:t>,</w:t>
      </w:r>
      <w:r w:rsidRPr="002A6F4E">
        <w:rPr>
          <w:rFonts w:ascii="Arial" w:hAnsi="Arial" w:cs="Arial"/>
          <w:lang w:val="sq-AL"/>
        </w:rPr>
        <w:t xml:space="preserve"> </w:t>
      </w:r>
      <w:r w:rsidRPr="002A6F4E">
        <w:rPr>
          <w:rFonts w:ascii="Arial" w:hAnsi="Arial" w:cs="Arial"/>
          <w:color w:val="000000"/>
          <w:lang w:val="sq-AL"/>
        </w:rPr>
        <w:t xml:space="preserve">a zatim se odvozi u postojeća postrojenja za kompostiranje; </w:t>
      </w:r>
    </w:p>
    <w:p w14:paraId="45FFAFE7" w14:textId="77777777"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Rezidualni otpad se sakuplja u sistemu za dovoz otpada koji se trenutno primenjuje;</w:t>
      </w:r>
    </w:p>
    <w:p w14:paraId="7D0C104C" w14:textId="7AFCEBB1"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Otpad će se odlagati na postojeće i nove deponije koje će se izgraditi (vidjeti sljedeća poglavlja).</w:t>
      </w:r>
    </w:p>
    <w:p w14:paraId="6A8421F9" w14:textId="77777777" w:rsidR="004D2EA8" w:rsidRDefault="004D2EA8" w:rsidP="00C232D7">
      <w:pPr>
        <w:spacing w:before="120" w:after="120" w:line="360" w:lineRule="auto"/>
        <w:rPr>
          <w:rFonts w:ascii="Arial" w:hAnsi="Arial" w:cs="Arial"/>
          <w:lang w:val="sq-AL"/>
        </w:rPr>
      </w:pPr>
    </w:p>
    <w:bookmarkEnd w:id="1027"/>
    <w:p w14:paraId="1952D51B" w14:textId="53EAD64B" w:rsidR="00C232D7" w:rsidRDefault="00C232D7" w:rsidP="00C232D7">
      <w:pPr>
        <w:spacing w:before="120" w:after="120" w:line="360" w:lineRule="auto"/>
        <w:rPr>
          <w:rFonts w:ascii="Arial" w:hAnsi="Arial" w:cs="Arial"/>
          <w:lang w:val="sq-AL"/>
        </w:rPr>
      </w:pPr>
      <w:r w:rsidRPr="002A6F4E">
        <w:rPr>
          <w:rFonts w:ascii="Arial" w:hAnsi="Arial" w:cs="Arial"/>
          <w:lang w:val="sq-AL"/>
        </w:rPr>
        <w:t xml:space="preserve">U tabelama u nastavku sumirane su indikativne dodatne potrebe za opremom za sakupljanje otpada na nivou zemlje. Napominje se da se tačan broj potrebnih </w:t>
      </w:r>
      <w:r w:rsidR="007B1545">
        <w:rPr>
          <w:rFonts w:ascii="Arial" w:hAnsi="Arial" w:cs="Arial"/>
          <w:lang w:val="sq-AL"/>
        </w:rPr>
        <w:t>posuda</w:t>
      </w:r>
      <w:r w:rsidRPr="002A6F4E">
        <w:rPr>
          <w:rFonts w:ascii="Arial" w:hAnsi="Arial" w:cs="Arial"/>
          <w:lang w:val="sq-AL"/>
        </w:rPr>
        <w:t xml:space="preserve">, kontejnera i </w:t>
      </w:r>
      <w:r w:rsidRPr="005A1BF5">
        <w:rPr>
          <w:rFonts w:ascii="Arial" w:hAnsi="Arial" w:cs="Arial"/>
          <w:lang w:val="sq-AL"/>
        </w:rPr>
        <w:t>vozila</w:t>
      </w:r>
      <w:r w:rsidRPr="002A6F4E">
        <w:rPr>
          <w:rFonts w:ascii="Arial" w:hAnsi="Arial" w:cs="Arial"/>
          <w:lang w:val="sq-AL"/>
        </w:rPr>
        <w:t xml:space="preserve"> odnosi na sistem sakupljanja otpada i raspored koji će se sprovoditi, kao i za potrebe zamijene postojećih </w:t>
      </w:r>
      <w:r w:rsidR="007B1545">
        <w:rPr>
          <w:rFonts w:ascii="Arial" w:hAnsi="Arial" w:cs="Arial"/>
          <w:lang w:val="sq-AL"/>
        </w:rPr>
        <w:t>posuda</w:t>
      </w:r>
      <w:r w:rsidRPr="002A6F4E">
        <w:rPr>
          <w:rFonts w:ascii="Arial" w:hAnsi="Arial" w:cs="Arial"/>
          <w:lang w:val="sq-AL"/>
        </w:rPr>
        <w:t>.</w:t>
      </w:r>
    </w:p>
    <w:p w14:paraId="31A339B2" w14:textId="77777777" w:rsidR="00D33BB9" w:rsidRPr="002A6F4E" w:rsidRDefault="00D33BB9" w:rsidP="00C232D7">
      <w:pPr>
        <w:spacing w:before="120" w:after="120" w:line="360" w:lineRule="auto"/>
        <w:rPr>
          <w:rFonts w:ascii="Arial" w:hAnsi="Arial" w:cs="Arial"/>
          <w:lang w:val="sq-AL"/>
        </w:rPr>
      </w:pPr>
    </w:p>
    <w:p w14:paraId="19C63066" w14:textId="30A46082" w:rsidR="00C232D7" w:rsidRPr="00C149AB" w:rsidRDefault="001B387E" w:rsidP="001B387E">
      <w:pPr>
        <w:pStyle w:val="Caption"/>
        <w:rPr>
          <w:rFonts w:ascii="Arial" w:hAnsi="Arial" w:cs="Arial"/>
          <w:b w:val="0"/>
          <w:szCs w:val="20"/>
          <w:lang w:val="sq-AL"/>
        </w:rPr>
      </w:pPr>
      <w:bookmarkStart w:id="1028" w:name="_Toc189515635"/>
      <w:bookmarkStart w:id="1029" w:name="_Toc190160753"/>
      <w:r w:rsidRPr="00C149AB">
        <w:rPr>
          <w:rFonts w:ascii="Arial" w:hAnsi="Arial" w:cs="Arial"/>
          <w:b w:val="0"/>
          <w:szCs w:val="20"/>
          <w:lang w:val="sq-AL"/>
        </w:rPr>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59</w:t>
      </w:r>
      <w:r w:rsidRPr="00C149AB">
        <w:rPr>
          <w:rFonts w:ascii="Arial" w:hAnsi="Arial" w:cs="Arial"/>
          <w:b w:val="0"/>
          <w:szCs w:val="20"/>
        </w:rPr>
        <w:fldChar w:fldCharType="end"/>
      </w:r>
      <w:r w:rsidRPr="00AF012C">
        <w:rPr>
          <w:sz w:val="16"/>
          <w:lang w:val="sq-AL"/>
        </w:rPr>
        <w:t xml:space="preserve"> </w:t>
      </w:r>
      <w:r w:rsidR="004D3247" w:rsidRPr="00C149AB">
        <w:rPr>
          <w:rFonts w:ascii="Arial" w:hAnsi="Arial" w:cs="Arial"/>
          <w:b w:val="0"/>
          <w:szCs w:val="20"/>
          <w:lang w:val="sq-AL"/>
        </w:rPr>
        <w:t xml:space="preserve">Broj </w:t>
      </w:r>
      <w:r w:rsidR="00C232D7" w:rsidRPr="00C149AB">
        <w:rPr>
          <w:rFonts w:ascii="Arial" w:hAnsi="Arial" w:cs="Arial"/>
          <w:b w:val="0"/>
          <w:szCs w:val="20"/>
          <w:lang w:val="sq-AL"/>
        </w:rPr>
        <w:t xml:space="preserve">dodatnih </w:t>
      </w:r>
      <w:r w:rsidR="007B1545" w:rsidRPr="00C149AB">
        <w:rPr>
          <w:rFonts w:ascii="Arial" w:hAnsi="Arial" w:cs="Arial"/>
          <w:b w:val="0"/>
          <w:szCs w:val="20"/>
          <w:lang w:val="sq-AL"/>
        </w:rPr>
        <w:t>posuda</w:t>
      </w:r>
      <w:r w:rsidR="00C232D7" w:rsidRPr="00C149AB">
        <w:rPr>
          <w:rFonts w:ascii="Arial" w:hAnsi="Arial" w:cs="Arial"/>
          <w:b w:val="0"/>
          <w:szCs w:val="20"/>
          <w:lang w:val="sq-AL"/>
        </w:rPr>
        <w:t>/kontejnera neophodnih za opciju IIIa</w:t>
      </w:r>
      <w:bookmarkEnd w:id="1028"/>
      <w:bookmarkEnd w:id="1029"/>
    </w:p>
    <w:tbl>
      <w:tblPr>
        <w:tblW w:w="35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3"/>
        <w:gridCol w:w="1968"/>
        <w:gridCol w:w="1604"/>
      </w:tblGrid>
      <w:tr w:rsidR="00C232D7" w:rsidRPr="00C149AB" w14:paraId="6D87409E" w14:textId="77777777" w:rsidTr="00C232D7">
        <w:trPr>
          <w:trHeight w:val="288"/>
          <w:tblHeader/>
          <w:jc w:val="center"/>
        </w:trPr>
        <w:tc>
          <w:tcPr>
            <w:tcW w:w="233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33B6662" w14:textId="3FD0C58B"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 xml:space="preserve">Vrsta </w:t>
            </w:r>
            <w:r w:rsidR="005C4A0C" w:rsidRPr="00C149AB">
              <w:rPr>
                <w:rFonts w:ascii="Arial" w:hAnsi="Arial" w:cs="Arial"/>
                <w:b/>
                <w:bCs/>
                <w:color w:val="000000"/>
                <w:sz w:val="18"/>
                <w:lang w:val="sq-AL"/>
              </w:rPr>
              <w:t>posude</w:t>
            </w:r>
            <w:r w:rsidRPr="00C149AB">
              <w:rPr>
                <w:rFonts w:ascii="Arial" w:hAnsi="Arial" w:cs="Arial"/>
                <w:b/>
                <w:bCs/>
                <w:color w:val="000000"/>
                <w:sz w:val="18"/>
                <w:lang w:val="sq-AL"/>
              </w:rPr>
              <w:t>/kontejnera</w:t>
            </w:r>
          </w:p>
        </w:tc>
        <w:tc>
          <w:tcPr>
            <w:tcW w:w="266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8D3B9AE" w14:textId="098C4A54" w:rsidR="00C232D7" w:rsidRPr="00C149AB" w:rsidRDefault="00FE289C"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2029</w:t>
            </w:r>
          </w:p>
        </w:tc>
      </w:tr>
      <w:tr w:rsidR="00C232D7" w:rsidRPr="00C149AB" w14:paraId="6C672ED3" w14:textId="77777777" w:rsidTr="00C232D7">
        <w:trPr>
          <w:trHeight w:val="288"/>
          <w:tblHeader/>
          <w:jc w:val="center"/>
        </w:trPr>
        <w:tc>
          <w:tcPr>
            <w:tcW w:w="2332" w:type="pct"/>
            <w:vMerge/>
            <w:tcBorders>
              <w:top w:val="single" w:sz="4" w:space="0" w:color="auto"/>
              <w:left w:val="single" w:sz="4" w:space="0" w:color="auto"/>
              <w:bottom w:val="single" w:sz="4" w:space="0" w:color="auto"/>
              <w:right w:val="single" w:sz="4" w:space="0" w:color="auto"/>
            </w:tcBorders>
            <w:vAlign w:val="center"/>
          </w:tcPr>
          <w:p w14:paraId="78C6E9B4" w14:textId="77777777" w:rsidR="00C232D7" w:rsidRPr="00C149AB" w:rsidRDefault="00C232D7" w:rsidP="00C232D7">
            <w:pPr>
              <w:spacing w:before="60" w:after="60" w:line="360" w:lineRule="auto"/>
              <w:rPr>
                <w:rFonts w:ascii="Arial" w:eastAsia="Times New Roman" w:hAnsi="Arial" w:cs="Arial"/>
                <w:b/>
                <w:bCs/>
                <w:color w:val="000000"/>
                <w:sz w:val="18"/>
                <w:lang w:val="sq-AL"/>
              </w:rPr>
            </w:pPr>
          </w:p>
        </w:tc>
        <w:tc>
          <w:tcPr>
            <w:tcW w:w="147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0200856C"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Rezidualni otpad</w:t>
            </w:r>
          </w:p>
        </w:tc>
        <w:tc>
          <w:tcPr>
            <w:tcW w:w="119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0B2A6B"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Otpad koji se može reciklirati</w:t>
            </w:r>
          </w:p>
        </w:tc>
      </w:tr>
      <w:tr w:rsidR="00C232D7" w:rsidRPr="00C149AB" w14:paraId="1564425A" w14:textId="77777777" w:rsidTr="00C232D7">
        <w:trPr>
          <w:trHeight w:val="312"/>
          <w:jc w:val="center"/>
        </w:trPr>
        <w:tc>
          <w:tcPr>
            <w:tcW w:w="2332" w:type="pct"/>
            <w:tcBorders>
              <w:top w:val="single" w:sz="4" w:space="0" w:color="auto"/>
              <w:left w:val="single" w:sz="4" w:space="0" w:color="auto"/>
              <w:bottom w:val="single" w:sz="4" w:space="0" w:color="auto"/>
              <w:right w:val="single" w:sz="4" w:space="0" w:color="auto"/>
            </w:tcBorders>
            <w:noWrap/>
          </w:tcPr>
          <w:p w14:paraId="4D7C5155"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Zapremine 1.1 m</w:t>
            </w:r>
            <w:r w:rsidRPr="00C149AB">
              <w:rPr>
                <w:rFonts w:ascii="Arial" w:hAnsi="Arial" w:cs="Arial"/>
                <w:color w:val="000000"/>
                <w:sz w:val="18"/>
                <w:vertAlign w:val="superscript"/>
                <w:lang w:val="sq-AL"/>
              </w:rPr>
              <w:t>3</w:t>
            </w:r>
          </w:p>
        </w:tc>
        <w:tc>
          <w:tcPr>
            <w:tcW w:w="1470" w:type="pct"/>
            <w:tcBorders>
              <w:top w:val="single" w:sz="4" w:space="0" w:color="auto"/>
              <w:left w:val="single" w:sz="4" w:space="0" w:color="auto"/>
              <w:bottom w:val="single" w:sz="4" w:space="0" w:color="auto"/>
              <w:right w:val="single" w:sz="4" w:space="0" w:color="auto"/>
            </w:tcBorders>
            <w:noWrap/>
            <w:vAlign w:val="center"/>
          </w:tcPr>
          <w:p w14:paraId="35490D4F"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11.845</w:t>
            </w:r>
          </w:p>
        </w:tc>
        <w:tc>
          <w:tcPr>
            <w:tcW w:w="1198" w:type="pct"/>
            <w:tcBorders>
              <w:top w:val="single" w:sz="4" w:space="0" w:color="auto"/>
              <w:left w:val="single" w:sz="4" w:space="0" w:color="auto"/>
              <w:bottom w:val="single" w:sz="4" w:space="0" w:color="auto"/>
              <w:right w:val="single" w:sz="4" w:space="0" w:color="auto"/>
            </w:tcBorders>
            <w:vAlign w:val="center"/>
          </w:tcPr>
          <w:p w14:paraId="4E906AF6"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21.405</w:t>
            </w:r>
          </w:p>
        </w:tc>
      </w:tr>
      <w:tr w:rsidR="00C232D7" w:rsidRPr="00C149AB" w14:paraId="4BF1F8FC" w14:textId="77777777" w:rsidTr="00C232D7">
        <w:trPr>
          <w:trHeight w:val="288"/>
          <w:jc w:val="center"/>
        </w:trPr>
        <w:tc>
          <w:tcPr>
            <w:tcW w:w="2332" w:type="pct"/>
            <w:tcBorders>
              <w:top w:val="single" w:sz="4" w:space="0" w:color="auto"/>
              <w:left w:val="single" w:sz="4" w:space="0" w:color="auto"/>
              <w:bottom w:val="single" w:sz="4" w:space="0" w:color="auto"/>
              <w:right w:val="single" w:sz="4" w:space="0" w:color="auto"/>
            </w:tcBorders>
            <w:noWrap/>
          </w:tcPr>
          <w:p w14:paraId="42522826"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broj</w:t>
            </w:r>
          </w:p>
        </w:tc>
        <w:tc>
          <w:tcPr>
            <w:tcW w:w="1470" w:type="pct"/>
            <w:tcBorders>
              <w:top w:val="single" w:sz="4" w:space="0" w:color="auto"/>
              <w:left w:val="single" w:sz="4" w:space="0" w:color="auto"/>
              <w:bottom w:val="single" w:sz="4" w:space="0" w:color="auto"/>
              <w:right w:val="single" w:sz="4" w:space="0" w:color="auto"/>
            </w:tcBorders>
            <w:noWrap/>
            <w:vAlign w:val="center"/>
          </w:tcPr>
          <w:p w14:paraId="64DB0F25"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color w:val="000000"/>
                <w:sz w:val="18"/>
              </w:rPr>
              <w:t>11.</w:t>
            </w:r>
            <w:r w:rsidRPr="00C149AB">
              <w:rPr>
                <w:rFonts w:ascii="Arial" w:hAnsi="Arial" w:cs="Arial"/>
                <w:b/>
                <w:bCs/>
                <w:color w:val="000000"/>
                <w:sz w:val="18"/>
              </w:rPr>
              <w:t>845</w:t>
            </w:r>
          </w:p>
        </w:tc>
        <w:tc>
          <w:tcPr>
            <w:tcW w:w="1198" w:type="pct"/>
            <w:tcBorders>
              <w:top w:val="single" w:sz="4" w:space="0" w:color="auto"/>
              <w:left w:val="single" w:sz="4" w:space="0" w:color="auto"/>
              <w:bottom w:val="single" w:sz="4" w:space="0" w:color="auto"/>
              <w:right w:val="single" w:sz="4" w:space="0" w:color="auto"/>
            </w:tcBorders>
            <w:vAlign w:val="center"/>
          </w:tcPr>
          <w:p w14:paraId="42E0FA5F"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color w:val="000000"/>
                <w:sz w:val="18"/>
              </w:rPr>
              <w:t>21.</w:t>
            </w:r>
            <w:r w:rsidRPr="00C149AB">
              <w:rPr>
                <w:rFonts w:ascii="Arial" w:hAnsi="Arial" w:cs="Arial"/>
                <w:b/>
                <w:bCs/>
                <w:color w:val="000000"/>
                <w:sz w:val="18"/>
              </w:rPr>
              <w:t>405</w:t>
            </w:r>
          </w:p>
        </w:tc>
      </w:tr>
      <w:tr w:rsidR="00C232D7" w:rsidRPr="00C149AB" w14:paraId="5D09FA17" w14:textId="77777777" w:rsidTr="00C232D7">
        <w:trPr>
          <w:trHeight w:val="288"/>
          <w:jc w:val="center"/>
        </w:trPr>
        <w:tc>
          <w:tcPr>
            <w:tcW w:w="2332" w:type="pct"/>
            <w:tcBorders>
              <w:top w:val="single" w:sz="4" w:space="0" w:color="auto"/>
              <w:left w:val="single" w:sz="4" w:space="0" w:color="auto"/>
              <w:bottom w:val="single" w:sz="4" w:space="0" w:color="auto"/>
              <w:right w:val="single" w:sz="4" w:space="0" w:color="auto"/>
            </w:tcBorders>
            <w:noWrap/>
          </w:tcPr>
          <w:p w14:paraId="1CE9B9A9"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kapacitet (m</w:t>
            </w:r>
            <w:r w:rsidRPr="00C149AB">
              <w:rPr>
                <w:rFonts w:ascii="Arial" w:hAnsi="Arial" w:cs="Arial"/>
                <w:b/>
                <w:bCs/>
                <w:color w:val="000000"/>
                <w:sz w:val="18"/>
                <w:vertAlign w:val="superscript"/>
                <w:lang w:val="sq-AL"/>
              </w:rPr>
              <w:t>3</w:t>
            </w:r>
            <w:r w:rsidRPr="00C149AB">
              <w:rPr>
                <w:rFonts w:ascii="Arial" w:hAnsi="Arial" w:cs="Arial"/>
                <w:b/>
                <w:bCs/>
                <w:color w:val="000000"/>
                <w:sz w:val="18"/>
                <w:lang w:val="sq-AL"/>
              </w:rPr>
              <w:t>)</w:t>
            </w:r>
          </w:p>
        </w:tc>
        <w:tc>
          <w:tcPr>
            <w:tcW w:w="1470" w:type="pct"/>
            <w:tcBorders>
              <w:top w:val="single" w:sz="4" w:space="0" w:color="auto"/>
              <w:left w:val="single" w:sz="4" w:space="0" w:color="auto"/>
              <w:bottom w:val="single" w:sz="4" w:space="0" w:color="auto"/>
              <w:right w:val="single" w:sz="4" w:space="0" w:color="auto"/>
            </w:tcBorders>
            <w:noWrap/>
            <w:vAlign w:val="center"/>
          </w:tcPr>
          <w:p w14:paraId="4D844144"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color w:val="000000"/>
                <w:sz w:val="18"/>
              </w:rPr>
              <w:t>13.</w:t>
            </w:r>
            <w:r w:rsidRPr="00C149AB">
              <w:rPr>
                <w:rFonts w:ascii="Arial" w:hAnsi="Arial" w:cs="Arial"/>
                <w:b/>
                <w:bCs/>
                <w:color w:val="000000"/>
                <w:sz w:val="18"/>
              </w:rPr>
              <w:t>030</w:t>
            </w:r>
          </w:p>
        </w:tc>
        <w:tc>
          <w:tcPr>
            <w:tcW w:w="1198" w:type="pct"/>
            <w:tcBorders>
              <w:top w:val="single" w:sz="4" w:space="0" w:color="auto"/>
              <w:left w:val="single" w:sz="4" w:space="0" w:color="auto"/>
              <w:bottom w:val="single" w:sz="4" w:space="0" w:color="auto"/>
              <w:right w:val="single" w:sz="4" w:space="0" w:color="auto"/>
            </w:tcBorders>
            <w:vAlign w:val="center"/>
          </w:tcPr>
          <w:p w14:paraId="65C8A25F"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23.546</w:t>
            </w:r>
          </w:p>
        </w:tc>
      </w:tr>
    </w:tbl>
    <w:p w14:paraId="6EB950CF" w14:textId="77777777" w:rsidR="00D15092" w:rsidRDefault="00D15092" w:rsidP="00C232D7">
      <w:pPr>
        <w:pStyle w:val="Caption"/>
        <w:rPr>
          <w:rFonts w:ascii="Arial" w:hAnsi="Arial" w:cs="Arial"/>
          <w:b w:val="0"/>
          <w:color w:val="000000" w:themeColor="text1"/>
          <w:highlight w:val="yellow"/>
        </w:rPr>
      </w:pPr>
      <w:bookmarkStart w:id="1030" w:name="_Toc117607271"/>
      <w:bookmarkStart w:id="1031" w:name="_Toc189515636"/>
      <w:bookmarkStart w:id="1032" w:name="_Toc190160754"/>
    </w:p>
    <w:p w14:paraId="5DE91FC7" w14:textId="77777777" w:rsidR="00D33BB9" w:rsidRDefault="00D33BB9" w:rsidP="00C232D7">
      <w:pPr>
        <w:pStyle w:val="Caption"/>
        <w:rPr>
          <w:rFonts w:ascii="Arial" w:hAnsi="Arial" w:cs="Arial"/>
          <w:b w:val="0"/>
          <w:szCs w:val="20"/>
          <w:lang w:val="sq-AL"/>
        </w:rPr>
      </w:pPr>
    </w:p>
    <w:p w14:paraId="53750563" w14:textId="77777777" w:rsidR="00D33BB9" w:rsidRDefault="00D33BB9" w:rsidP="00C232D7">
      <w:pPr>
        <w:pStyle w:val="Caption"/>
        <w:rPr>
          <w:rFonts w:ascii="Arial" w:hAnsi="Arial" w:cs="Arial"/>
          <w:b w:val="0"/>
          <w:szCs w:val="20"/>
          <w:lang w:val="sq-AL"/>
        </w:rPr>
      </w:pPr>
    </w:p>
    <w:p w14:paraId="24DC140D" w14:textId="77777777" w:rsidR="00D33BB9" w:rsidRDefault="00D33BB9" w:rsidP="00C232D7">
      <w:pPr>
        <w:pStyle w:val="Caption"/>
        <w:rPr>
          <w:rFonts w:ascii="Arial" w:hAnsi="Arial" w:cs="Arial"/>
          <w:b w:val="0"/>
          <w:szCs w:val="20"/>
          <w:lang w:val="sq-AL"/>
        </w:rPr>
      </w:pPr>
    </w:p>
    <w:p w14:paraId="1B131C25" w14:textId="5C212495" w:rsidR="00C232D7" w:rsidRPr="00C149AB" w:rsidRDefault="00C232D7" w:rsidP="00C232D7">
      <w:pPr>
        <w:pStyle w:val="Caption"/>
        <w:rPr>
          <w:rFonts w:ascii="Arial" w:hAnsi="Arial" w:cs="Arial"/>
          <w:b w:val="0"/>
          <w:szCs w:val="20"/>
          <w:lang w:val="sq-AL"/>
        </w:rPr>
      </w:pPr>
      <w:r w:rsidRPr="00C149AB">
        <w:rPr>
          <w:rFonts w:ascii="Arial" w:hAnsi="Arial" w:cs="Arial"/>
          <w:b w:val="0"/>
          <w:szCs w:val="20"/>
          <w:lang w:val="sq-AL"/>
        </w:rPr>
        <w:lastRenderedPageBreak/>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60</w:t>
      </w:r>
      <w:r w:rsidRPr="00C149AB">
        <w:rPr>
          <w:rFonts w:ascii="Arial" w:hAnsi="Arial" w:cs="Arial"/>
          <w:b w:val="0"/>
          <w:szCs w:val="20"/>
        </w:rPr>
        <w:fldChar w:fldCharType="end"/>
      </w:r>
      <w:r w:rsidRPr="00C149AB">
        <w:rPr>
          <w:rFonts w:ascii="Arial" w:hAnsi="Arial" w:cs="Arial"/>
          <w:b w:val="0"/>
          <w:szCs w:val="20"/>
          <w:lang w:val="sq-AL"/>
        </w:rPr>
        <w:t xml:space="preserve"> </w:t>
      </w:r>
      <w:bookmarkEnd w:id="1030"/>
      <w:r w:rsidRPr="00C149AB">
        <w:rPr>
          <w:rFonts w:ascii="Arial" w:hAnsi="Arial" w:cs="Arial"/>
          <w:b w:val="0"/>
          <w:szCs w:val="20"/>
          <w:lang w:val="sq-AL"/>
        </w:rPr>
        <w:t>Broj dodatnih kamiona za sakupljanje otpada neophodnih za opciju IIIa</w:t>
      </w:r>
      <w:bookmarkEnd w:id="1031"/>
      <w:bookmarkEnd w:id="1032"/>
    </w:p>
    <w:tbl>
      <w:tblPr>
        <w:tblW w:w="4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854"/>
      </w:tblGrid>
      <w:tr w:rsidR="00C232D7" w:rsidRPr="00C149AB" w14:paraId="41E27ACB" w14:textId="77777777" w:rsidTr="00C232D7">
        <w:trPr>
          <w:trHeight w:val="288"/>
          <w:tblHeader/>
          <w:jc w:val="center"/>
        </w:trPr>
        <w:tc>
          <w:tcPr>
            <w:tcW w:w="333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72B8A2A"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Tip kamiona za sakupljanje otpada</w:t>
            </w:r>
          </w:p>
        </w:tc>
        <w:tc>
          <w:tcPr>
            <w:tcW w:w="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C60351D" w14:textId="70E4DD0A" w:rsidR="00C232D7" w:rsidRPr="00C149AB" w:rsidRDefault="00FE289C"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2029</w:t>
            </w:r>
          </w:p>
        </w:tc>
      </w:tr>
      <w:tr w:rsidR="00C232D7" w:rsidRPr="00C149AB" w14:paraId="44EC5455" w14:textId="77777777" w:rsidTr="00C232D7">
        <w:trPr>
          <w:trHeight w:val="288"/>
          <w:jc w:val="center"/>
        </w:trPr>
        <w:tc>
          <w:tcPr>
            <w:tcW w:w="3335" w:type="dxa"/>
            <w:tcBorders>
              <w:top w:val="single" w:sz="4" w:space="0" w:color="auto"/>
              <w:left w:val="single" w:sz="4" w:space="0" w:color="auto"/>
              <w:bottom w:val="single" w:sz="4" w:space="0" w:color="auto"/>
              <w:right w:val="single" w:sz="4" w:space="0" w:color="auto"/>
            </w:tcBorders>
            <w:noWrap/>
            <w:vAlign w:val="center"/>
          </w:tcPr>
          <w:p w14:paraId="288D8EE5"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22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59AFB62A"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14</w:t>
            </w:r>
          </w:p>
        </w:tc>
      </w:tr>
      <w:tr w:rsidR="00C232D7" w:rsidRPr="00C149AB" w14:paraId="336121BA" w14:textId="77777777" w:rsidTr="00C232D7">
        <w:trPr>
          <w:trHeight w:val="288"/>
          <w:jc w:val="center"/>
        </w:trPr>
        <w:tc>
          <w:tcPr>
            <w:tcW w:w="3335" w:type="dxa"/>
            <w:tcBorders>
              <w:top w:val="single" w:sz="4" w:space="0" w:color="auto"/>
              <w:left w:val="single" w:sz="4" w:space="0" w:color="auto"/>
              <w:bottom w:val="single" w:sz="4" w:space="0" w:color="auto"/>
              <w:right w:val="single" w:sz="4" w:space="0" w:color="auto"/>
            </w:tcBorders>
            <w:noWrap/>
            <w:vAlign w:val="center"/>
          </w:tcPr>
          <w:p w14:paraId="396C0A02"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16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00C8D35C"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35</w:t>
            </w:r>
          </w:p>
        </w:tc>
      </w:tr>
      <w:tr w:rsidR="00C232D7" w:rsidRPr="00C149AB" w14:paraId="3BC4C55C" w14:textId="77777777" w:rsidTr="00C232D7">
        <w:trPr>
          <w:trHeight w:val="288"/>
          <w:jc w:val="center"/>
        </w:trPr>
        <w:tc>
          <w:tcPr>
            <w:tcW w:w="3335" w:type="dxa"/>
            <w:tcBorders>
              <w:top w:val="single" w:sz="4" w:space="0" w:color="auto"/>
              <w:left w:val="single" w:sz="4" w:space="0" w:color="auto"/>
              <w:bottom w:val="single" w:sz="4" w:space="0" w:color="auto"/>
              <w:right w:val="single" w:sz="4" w:space="0" w:color="auto"/>
            </w:tcBorders>
            <w:noWrap/>
            <w:vAlign w:val="center"/>
          </w:tcPr>
          <w:p w14:paraId="3057A3FB"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8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2D3A9722"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33</w:t>
            </w:r>
          </w:p>
        </w:tc>
      </w:tr>
      <w:tr w:rsidR="00C232D7" w:rsidRPr="00C149AB" w14:paraId="140E5870" w14:textId="77777777" w:rsidTr="00C232D7">
        <w:trPr>
          <w:trHeight w:val="288"/>
          <w:jc w:val="center"/>
        </w:trPr>
        <w:tc>
          <w:tcPr>
            <w:tcW w:w="3335" w:type="dxa"/>
            <w:tcBorders>
              <w:top w:val="single" w:sz="4" w:space="0" w:color="auto"/>
              <w:left w:val="single" w:sz="4" w:space="0" w:color="auto"/>
              <w:bottom w:val="single" w:sz="4" w:space="0" w:color="auto"/>
              <w:right w:val="single" w:sz="4" w:space="0" w:color="auto"/>
            </w:tcBorders>
            <w:noWrap/>
            <w:vAlign w:val="center"/>
          </w:tcPr>
          <w:p w14:paraId="06D43FFE"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6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17A79BBD"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10</w:t>
            </w:r>
          </w:p>
        </w:tc>
      </w:tr>
      <w:tr w:rsidR="00C232D7" w:rsidRPr="00C149AB" w14:paraId="4DEF0634" w14:textId="77777777" w:rsidTr="00C232D7">
        <w:trPr>
          <w:trHeight w:val="288"/>
          <w:jc w:val="center"/>
        </w:trPr>
        <w:tc>
          <w:tcPr>
            <w:tcW w:w="3335" w:type="dxa"/>
            <w:tcBorders>
              <w:top w:val="single" w:sz="4" w:space="0" w:color="auto"/>
              <w:left w:val="single" w:sz="4" w:space="0" w:color="auto"/>
              <w:bottom w:val="single" w:sz="4" w:space="0" w:color="auto"/>
              <w:right w:val="single" w:sz="4" w:space="0" w:color="auto"/>
            </w:tcBorders>
            <w:noWrap/>
            <w:vAlign w:val="center"/>
          </w:tcPr>
          <w:p w14:paraId="05636BB3"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4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52276F8B"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2</w:t>
            </w:r>
          </w:p>
        </w:tc>
      </w:tr>
      <w:tr w:rsidR="00C232D7" w:rsidRPr="00C149AB" w14:paraId="0D25CF77" w14:textId="77777777" w:rsidTr="00C232D7">
        <w:trPr>
          <w:trHeight w:val="288"/>
          <w:jc w:val="center"/>
        </w:trPr>
        <w:tc>
          <w:tcPr>
            <w:tcW w:w="3335" w:type="dxa"/>
            <w:tcBorders>
              <w:top w:val="single" w:sz="4" w:space="0" w:color="auto"/>
              <w:left w:val="single" w:sz="4" w:space="0" w:color="auto"/>
              <w:bottom w:val="single" w:sz="4" w:space="0" w:color="auto"/>
              <w:right w:val="single" w:sz="4" w:space="0" w:color="auto"/>
            </w:tcBorders>
            <w:noWrap/>
          </w:tcPr>
          <w:p w14:paraId="65CDE982"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broj</w:t>
            </w:r>
          </w:p>
        </w:tc>
        <w:tc>
          <w:tcPr>
            <w:tcW w:w="854" w:type="dxa"/>
            <w:tcBorders>
              <w:top w:val="single" w:sz="4" w:space="0" w:color="auto"/>
              <w:left w:val="single" w:sz="4" w:space="0" w:color="auto"/>
              <w:bottom w:val="single" w:sz="4" w:space="0" w:color="auto"/>
              <w:right w:val="single" w:sz="4" w:space="0" w:color="auto"/>
            </w:tcBorders>
            <w:noWrap/>
            <w:vAlign w:val="bottom"/>
          </w:tcPr>
          <w:p w14:paraId="2783FA4B"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94</w:t>
            </w:r>
          </w:p>
        </w:tc>
      </w:tr>
      <w:tr w:rsidR="00C232D7" w:rsidRPr="00C149AB" w14:paraId="7332D3C1" w14:textId="77777777" w:rsidTr="00C232D7">
        <w:trPr>
          <w:trHeight w:val="300"/>
          <w:jc w:val="center"/>
        </w:trPr>
        <w:tc>
          <w:tcPr>
            <w:tcW w:w="3335" w:type="dxa"/>
            <w:tcBorders>
              <w:top w:val="single" w:sz="4" w:space="0" w:color="auto"/>
              <w:left w:val="single" w:sz="4" w:space="0" w:color="auto"/>
              <w:bottom w:val="single" w:sz="4" w:space="0" w:color="auto"/>
              <w:right w:val="single" w:sz="4" w:space="0" w:color="auto"/>
            </w:tcBorders>
            <w:noWrap/>
          </w:tcPr>
          <w:p w14:paraId="7E94AEE4"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kapacitet (m</w:t>
            </w:r>
            <w:r w:rsidRPr="00C149AB">
              <w:rPr>
                <w:rFonts w:ascii="Arial" w:hAnsi="Arial" w:cs="Arial"/>
                <w:b/>
                <w:bCs/>
                <w:color w:val="000000"/>
                <w:sz w:val="18"/>
                <w:vertAlign w:val="superscript"/>
                <w:lang w:val="sq-AL"/>
              </w:rPr>
              <w:t>3</w:t>
            </w:r>
            <w:r w:rsidRPr="00C149AB">
              <w:rPr>
                <w:rFonts w:ascii="Arial" w:hAnsi="Arial" w:cs="Arial"/>
                <w:b/>
                <w:bCs/>
                <w:color w:val="000000"/>
                <w:sz w:val="18"/>
                <w:lang w:val="sq-AL"/>
              </w:rPr>
              <w:t>)</w:t>
            </w:r>
          </w:p>
        </w:tc>
        <w:tc>
          <w:tcPr>
            <w:tcW w:w="854" w:type="dxa"/>
            <w:tcBorders>
              <w:top w:val="single" w:sz="4" w:space="0" w:color="auto"/>
              <w:left w:val="single" w:sz="4" w:space="0" w:color="auto"/>
              <w:bottom w:val="single" w:sz="4" w:space="0" w:color="auto"/>
              <w:right w:val="single" w:sz="4" w:space="0" w:color="auto"/>
            </w:tcBorders>
            <w:noWrap/>
            <w:vAlign w:val="bottom"/>
          </w:tcPr>
          <w:p w14:paraId="2906568B"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1.200</w:t>
            </w:r>
          </w:p>
        </w:tc>
      </w:tr>
    </w:tbl>
    <w:p w14:paraId="71A18B29" w14:textId="77777777" w:rsidR="00D15092" w:rsidRDefault="00D15092" w:rsidP="00C232D7">
      <w:pPr>
        <w:spacing w:before="120" w:after="120" w:line="360" w:lineRule="auto"/>
        <w:rPr>
          <w:rFonts w:ascii="Arial" w:hAnsi="Arial" w:cs="Arial"/>
          <w:highlight w:val="yellow"/>
        </w:rPr>
      </w:pPr>
    </w:p>
    <w:p w14:paraId="7FF29B54" w14:textId="731C045A"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Pored navedenih biće neophodna i mobilna vozila za čišćenje </w:t>
      </w:r>
      <w:r w:rsidR="007B1545">
        <w:rPr>
          <w:rFonts w:ascii="Arial" w:hAnsi="Arial" w:cs="Arial"/>
          <w:lang w:val="sq-AL"/>
        </w:rPr>
        <w:t>posuda</w:t>
      </w:r>
      <w:r w:rsidRPr="002A6F4E">
        <w:rPr>
          <w:rFonts w:ascii="Arial" w:hAnsi="Arial" w:cs="Arial"/>
          <w:lang w:val="sq-AL"/>
        </w:rPr>
        <w:t xml:space="preserve"> za sakupljanje otpada. Predlaže se utvrđivanje rasporeda dvonedeljnog čišćenja svake </w:t>
      </w:r>
      <w:r w:rsidR="005C4A0C">
        <w:rPr>
          <w:rFonts w:ascii="Arial" w:hAnsi="Arial" w:cs="Arial"/>
          <w:lang w:val="sq-AL"/>
        </w:rPr>
        <w:t>posude</w:t>
      </w:r>
      <w:r w:rsidRPr="002A6F4E">
        <w:rPr>
          <w:rFonts w:ascii="Arial" w:hAnsi="Arial" w:cs="Arial"/>
          <w:lang w:val="sq-AL"/>
        </w:rPr>
        <w:t xml:space="preserve"> za sakupljanje (odnosi se na </w:t>
      </w:r>
      <w:r w:rsidR="005C4A0C">
        <w:rPr>
          <w:rFonts w:ascii="Arial" w:hAnsi="Arial" w:cs="Arial"/>
          <w:lang w:val="sq-AL"/>
        </w:rPr>
        <w:t>posude</w:t>
      </w:r>
      <w:r w:rsidRPr="002A6F4E">
        <w:rPr>
          <w:rFonts w:ascii="Arial" w:hAnsi="Arial" w:cs="Arial"/>
          <w:lang w:val="sq-AL"/>
        </w:rPr>
        <w:t xml:space="preserve"> zapremine 1.1</w:t>
      </w:r>
      <w:r w:rsidRPr="002A6F4E">
        <w:rPr>
          <w:rFonts w:ascii="Arial" w:hAnsi="Arial" w:cs="Arial"/>
          <w:color w:val="000000"/>
          <w:lang w:val="sq-AL"/>
        </w:rPr>
        <w:t xml:space="preserve"> m</w:t>
      </w:r>
      <w:r w:rsidRPr="002A6F4E">
        <w:rPr>
          <w:rFonts w:ascii="Arial" w:hAnsi="Arial" w:cs="Arial"/>
          <w:color w:val="000000"/>
          <w:vertAlign w:val="superscript"/>
          <w:lang w:val="sq-AL"/>
        </w:rPr>
        <w:t>3</w:t>
      </w:r>
      <w:r w:rsidRPr="002A6F4E">
        <w:rPr>
          <w:rFonts w:ascii="Arial" w:hAnsi="Arial" w:cs="Arial"/>
          <w:lang w:val="sq-AL"/>
        </w:rPr>
        <w:t xml:space="preserve">). S obzirom na prosječnu količinu od 250 </w:t>
      </w:r>
      <w:r w:rsidR="00D15092">
        <w:rPr>
          <w:rFonts w:ascii="Arial" w:hAnsi="Arial" w:cs="Arial"/>
          <w:lang w:val="sq-AL"/>
        </w:rPr>
        <w:t>posuda</w:t>
      </w:r>
      <w:r w:rsidRPr="002A6F4E">
        <w:rPr>
          <w:rFonts w:ascii="Arial" w:hAnsi="Arial" w:cs="Arial"/>
          <w:lang w:val="sq-AL"/>
        </w:rPr>
        <w:t xml:space="preserve"> koje se svakodnevno čiste (iznutra i spolja) smatra se da će za cijelu zemlju biti potrebno  17 </w:t>
      </w:r>
      <w:r w:rsidRPr="005A1BF5">
        <w:rPr>
          <w:rFonts w:ascii="Arial" w:hAnsi="Arial" w:cs="Arial"/>
          <w:lang w:val="sq-AL"/>
        </w:rPr>
        <w:t>vozila</w:t>
      </w:r>
      <w:r w:rsidRPr="002A6F4E">
        <w:rPr>
          <w:rFonts w:ascii="Arial" w:hAnsi="Arial" w:cs="Arial"/>
          <w:lang w:val="sq-AL"/>
        </w:rPr>
        <w:t xml:space="preserve"> za pranje.</w:t>
      </w:r>
    </w:p>
    <w:p w14:paraId="4B7F5245" w14:textId="29F9EEB2" w:rsidR="00D15092"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Na osnovu gornje analize, troškovi opreme za sakupljanje otpada u vezi sa ovom opcijom su predstavljeni u sljedećoj tabeli (odgovara </w:t>
      </w:r>
      <w:r w:rsidR="00FE289C" w:rsidRPr="002A6F4E">
        <w:rPr>
          <w:rFonts w:ascii="Arial" w:hAnsi="Arial" w:cs="Arial"/>
          <w:lang w:val="sq-AL"/>
        </w:rPr>
        <w:t>2029</w:t>
      </w:r>
      <w:r w:rsidRPr="002A6F4E">
        <w:rPr>
          <w:rFonts w:ascii="Arial" w:hAnsi="Arial" w:cs="Arial"/>
          <w:lang w:val="sq-AL"/>
        </w:rPr>
        <w:t>. godini).</w:t>
      </w:r>
    </w:p>
    <w:p w14:paraId="77F00696" w14:textId="5E405390" w:rsidR="00C232D7" w:rsidRPr="00C149AB" w:rsidRDefault="00C232D7" w:rsidP="00C232D7">
      <w:pPr>
        <w:pStyle w:val="Caption"/>
        <w:rPr>
          <w:rFonts w:ascii="Arial" w:hAnsi="Arial" w:cs="Arial"/>
          <w:b w:val="0"/>
          <w:szCs w:val="20"/>
          <w:lang w:val="sq-AL"/>
        </w:rPr>
      </w:pPr>
      <w:bookmarkStart w:id="1033" w:name="_Toc189515637"/>
      <w:bookmarkStart w:id="1034" w:name="_Toc190160755"/>
      <w:r w:rsidRPr="00C149AB">
        <w:rPr>
          <w:rFonts w:ascii="Arial" w:hAnsi="Arial" w:cs="Arial"/>
          <w:b w:val="0"/>
          <w:szCs w:val="20"/>
          <w:lang w:val="sq-AL"/>
        </w:rPr>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61</w:t>
      </w:r>
      <w:r w:rsidRPr="00C149AB">
        <w:rPr>
          <w:rFonts w:ascii="Arial" w:hAnsi="Arial" w:cs="Arial"/>
          <w:b w:val="0"/>
          <w:szCs w:val="20"/>
        </w:rPr>
        <w:fldChar w:fldCharType="end"/>
      </w:r>
      <w:r w:rsidRPr="00C149AB">
        <w:rPr>
          <w:rFonts w:ascii="Arial" w:hAnsi="Arial" w:cs="Arial"/>
          <w:b w:val="0"/>
          <w:szCs w:val="20"/>
          <w:lang w:val="sq-AL"/>
        </w:rPr>
        <w:t xml:space="preserve"> Troškovi sakupljanja otpada za opciju IIIa</w:t>
      </w:r>
      <w:bookmarkEnd w:id="1033"/>
      <w:bookmarkEnd w:id="1034"/>
    </w:p>
    <w:tbl>
      <w:tblPr>
        <w:tblW w:w="7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480"/>
        <w:gridCol w:w="1193"/>
        <w:gridCol w:w="1940"/>
      </w:tblGrid>
      <w:tr w:rsidR="00C232D7" w:rsidRPr="00C149AB" w14:paraId="00FE3A52" w14:textId="77777777" w:rsidTr="00C232D7">
        <w:trPr>
          <w:trHeight w:val="312"/>
          <w:jc w:val="center"/>
        </w:trPr>
        <w:tc>
          <w:tcPr>
            <w:tcW w:w="2370" w:type="dxa"/>
            <w:shd w:val="clear" w:color="auto" w:fill="F2F2F2" w:themeFill="background1" w:themeFillShade="F2"/>
            <w:vAlign w:val="center"/>
          </w:tcPr>
          <w:p w14:paraId="4E399D88"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Vrsta opreme</w:t>
            </w:r>
          </w:p>
          <w:p w14:paraId="135D39C2" w14:textId="77777777" w:rsidR="00C232D7" w:rsidRPr="00C149AB" w:rsidRDefault="00C232D7" w:rsidP="00C232D7">
            <w:pPr>
              <w:spacing w:line="360" w:lineRule="auto"/>
              <w:rPr>
                <w:rFonts w:ascii="Arial" w:hAnsi="Arial" w:cs="Arial"/>
                <w:b/>
                <w:bCs/>
                <w:sz w:val="18"/>
                <w:lang w:val="sq-AL"/>
              </w:rPr>
            </w:pPr>
          </w:p>
        </w:tc>
        <w:tc>
          <w:tcPr>
            <w:tcW w:w="2480" w:type="dxa"/>
            <w:shd w:val="clear" w:color="auto" w:fill="F2F2F2" w:themeFill="background1" w:themeFillShade="F2"/>
            <w:vAlign w:val="center"/>
          </w:tcPr>
          <w:p w14:paraId="7A7D88A9"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Jedinična cijena (€/oprema)</w:t>
            </w:r>
          </w:p>
          <w:p w14:paraId="3CF0BCA5" w14:textId="77777777" w:rsidR="00C232D7" w:rsidRPr="00C149AB" w:rsidRDefault="00C232D7" w:rsidP="00C232D7">
            <w:pPr>
              <w:spacing w:line="360" w:lineRule="auto"/>
              <w:rPr>
                <w:rFonts w:ascii="Arial" w:hAnsi="Arial" w:cs="Arial"/>
                <w:b/>
                <w:bCs/>
                <w:sz w:val="18"/>
                <w:lang w:val="sq-AL"/>
              </w:rPr>
            </w:pPr>
          </w:p>
        </w:tc>
        <w:tc>
          <w:tcPr>
            <w:tcW w:w="1193" w:type="dxa"/>
            <w:shd w:val="clear" w:color="auto" w:fill="F2F2F2" w:themeFill="background1" w:themeFillShade="F2"/>
            <w:vAlign w:val="center"/>
          </w:tcPr>
          <w:p w14:paraId="7A81EC84"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#broj jedinica</w:t>
            </w:r>
          </w:p>
        </w:tc>
        <w:tc>
          <w:tcPr>
            <w:tcW w:w="1940" w:type="dxa"/>
            <w:shd w:val="clear" w:color="auto" w:fill="F2F2F2" w:themeFill="background1" w:themeFillShade="F2"/>
            <w:vAlign w:val="center"/>
          </w:tcPr>
          <w:p w14:paraId="655B7757"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Ukupna cijena (€)</w:t>
            </w:r>
          </w:p>
        </w:tc>
      </w:tr>
      <w:tr w:rsidR="00C232D7" w:rsidRPr="00C149AB" w14:paraId="5E462405" w14:textId="77777777" w:rsidTr="00C232D7">
        <w:trPr>
          <w:trHeight w:val="312"/>
          <w:jc w:val="center"/>
        </w:trPr>
        <w:tc>
          <w:tcPr>
            <w:tcW w:w="2370" w:type="dxa"/>
            <w:shd w:val="clear" w:color="auto" w:fill="auto"/>
            <w:vAlign w:val="center"/>
          </w:tcPr>
          <w:p w14:paraId="34101CFA" w14:textId="6C8B8BEC" w:rsidR="00C232D7" w:rsidRPr="00C149AB" w:rsidRDefault="005C4A0C" w:rsidP="00C232D7">
            <w:pPr>
              <w:spacing w:line="360" w:lineRule="auto"/>
              <w:rPr>
                <w:rFonts w:ascii="Arial" w:hAnsi="Arial" w:cs="Arial"/>
                <w:sz w:val="18"/>
                <w:lang w:val="sq-AL"/>
              </w:rPr>
            </w:pPr>
            <w:r w:rsidRPr="00C149AB">
              <w:rPr>
                <w:rFonts w:ascii="Arial" w:hAnsi="Arial" w:cs="Arial"/>
                <w:sz w:val="18"/>
                <w:lang w:val="sq-AL"/>
              </w:rPr>
              <w:t>Posude</w:t>
            </w:r>
            <w:r w:rsidR="00C232D7" w:rsidRPr="00C149AB">
              <w:rPr>
                <w:rFonts w:ascii="Arial" w:hAnsi="Arial" w:cs="Arial"/>
                <w:sz w:val="18"/>
                <w:lang w:val="sq-AL"/>
              </w:rPr>
              <w:t xml:space="preserve"> zapremine  1,1 m</w:t>
            </w:r>
            <w:r w:rsidR="00C232D7" w:rsidRPr="00C149AB">
              <w:rPr>
                <w:rFonts w:ascii="Arial" w:hAnsi="Arial" w:cs="Arial"/>
                <w:sz w:val="18"/>
                <w:vertAlign w:val="superscript"/>
                <w:lang w:val="sq-AL"/>
              </w:rPr>
              <w:t>3</w:t>
            </w:r>
          </w:p>
        </w:tc>
        <w:tc>
          <w:tcPr>
            <w:tcW w:w="2480" w:type="dxa"/>
            <w:shd w:val="clear" w:color="auto" w:fill="auto"/>
            <w:vAlign w:val="center"/>
          </w:tcPr>
          <w:p w14:paraId="69347DB5"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490</w:t>
            </w:r>
          </w:p>
        </w:tc>
        <w:tc>
          <w:tcPr>
            <w:tcW w:w="1193" w:type="dxa"/>
            <w:shd w:val="clear" w:color="auto" w:fill="auto"/>
            <w:vAlign w:val="center"/>
          </w:tcPr>
          <w:p w14:paraId="1DC77AC2"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33,250</w:t>
            </w:r>
          </w:p>
        </w:tc>
        <w:tc>
          <w:tcPr>
            <w:tcW w:w="1940" w:type="dxa"/>
            <w:shd w:val="clear" w:color="auto" w:fill="auto"/>
            <w:vAlign w:val="center"/>
          </w:tcPr>
          <w:p w14:paraId="08BD3926"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16.292.500</w:t>
            </w:r>
          </w:p>
        </w:tc>
      </w:tr>
      <w:tr w:rsidR="00C232D7" w:rsidRPr="00C149AB" w14:paraId="086D2380" w14:textId="77777777" w:rsidTr="00C232D7">
        <w:trPr>
          <w:trHeight w:val="348"/>
          <w:jc w:val="center"/>
        </w:trPr>
        <w:tc>
          <w:tcPr>
            <w:tcW w:w="2370" w:type="dxa"/>
            <w:shd w:val="clear" w:color="auto" w:fill="auto"/>
            <w:vAlign w:val="center"/>
          </w:tcPr>
          <w:p w14:paraId="43E0BD04"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22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480" w:type="dxa"/>
            <w:shd w:val="clear" w:color="auto" w:fill="auto"/>
            <w:vAlign w:val="center"/>
          </w:tcPr>
          <w:p w14:paraId="1FC01D32"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180.000</w:t>
            </w:r>
          </w:p>
        </w:tc>
        <w:tc>
          <w:tcPr>
            <w:tcW w:w="1193" w:type="dxa"/>
            <w:shd w:val="clear" w:color="auto" w:fill="auto"/>
            <w:vAlign w:val="center"/>
          </w:tcPr>
          <w:p w14:paraId="282CB95E"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14</w:t>
            </w:r>
          </w:p>
        </w:tc>
        <w:tc>
          <w:tcPr>
            <w:tcW w:w="1940" w:type="dxa"/>
            <w:shd w:val="clear" w:color="auto" w:fill="auto"/>
            <w:vAlign w:val="center"/>
          </w:tcPr>
          <w:p w14:paraId="56D01973"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2.520.000</w:t>
            </w:r>
          </w:p>
        </w:tc>
      </w:tr>
      <w:tr w:rsidR="00C232D7" w:rsidRPr="00C149AB" w14:paraId="0D29B42C" w14:textId="77777777" w:rsidTr="00C232D7">
        <w:trPr>
          <w:trHeight w:val="348"/>
          <w:jc w:val="center"/>
        </w:trPr>
        <w:tc>
          <w:tcPr>
            <w:tcW w:w="2370" w:type="dxa"/>
            <w:shd w:val="clear" w:color="auto" w:fill="auto"/>
            <w:vAlign w:val="center"/>
          </w:tcPr>
          <w:p w14:paraId="5DF7AD5B"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16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480" w:type="dxa"/>
            <w:shd w:val="clear" w:color="auto" w:fill="auto"/>
            <w:vAlign w:val="center"/>
          </w:tcPr>
          <w:p w14:paraId="01C25D52"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150.000</w:t>
            </w:r>
          </w:p>
        </w:tc>
        <w:tc>
          <w:tcPr>
            <w:tcW w:w="1193" w:type="dxa"/>
            <w:shd w:val="clear" w:color="auto" w:fill="auto"/>
            <w:vAlign w:val="center"/>
          </w:tcPr>
          <w:p w14:paraId="1882BD6D"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35</w:t>
            </w:r>
          </w:p>
        </w:tc>
        <w:tc>
          <w:tcPr>
            <w:tcW w:w="1940" w:type="dxa"/>
            <w:shd w:val="clear" w:color="auto" w:fill="auto"/>
            <w:vAlign w:val="center"/>
          </w:tcPr>
          <w:p w14:paraId="6AA9BFA3"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5.250.000</w:t>
            </w:r>
          </w:p>
        </w:tc>
      </w:tr>
      <w:tr w:rsidR="00C232D7" w:rsidRPr="00C149AB" w14:paraId="7741F455" w14:textId="77777777" w:rsidTr="00C232D7">
        <w:trPr>
          <w:trHeight w:val="348"/>
          <w:jc w:val="center"/>
        </w:trPr>
        <w:tc>
          <w:tcPr>
            <w:tcW w:w="2370" w:type="dxa"/>
            <w:shd w:val="clear" w:color="auto" w:fill="auto"/>
            <w:vAlign w:val="center"/>
          </w:tcPr>
          <w:p w14:paraId="13F1BB4D"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8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480" w:type="dxa"/>
            <w:shd w:val="clear" w:color="auto" w:fill="auto"/>
            <w:vAlign w:val="center"/>
          </w:tcPr>
          <w:p w14:paraId="3BAB3F1B"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110.000</w:t>
            </w:r>
          </w:p>
        </w:tc>
        <w:tc>
          <w:tcPr>
            <w:tcW w:w="1193" w:type="dxa"/>
            <w:shd w:val="clear" w:color="auto" w:fill="auto"/>
            <w:vAlign w:val="center"/>
          </w:tcPr>
          <w:p w14:paraId="33A0C940"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33</w:t>
            </w:r>
          </w:p>
        </w:tc>
        <w:tc>
          <w:tcPr>
            <w:tcW w:w="1940" w:type="dxa"/>
            <w:shd w:val="clear" w:color="auto" w:fill="auto"/>
            <w:vAlign w:val="center"/>
          </w:tcPr>
          <w:p w14:paraId="3A5558F1"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3.630.000</w:t>
            </w:r>
          </w:p>
        </w:tc>
      </w:tr>
      <w:tr w:rsidR="00C232D7" w:rsidRPr="00C149AB" w14:paraId="75894468" w14:textId="77777777" w:rsidTr="00C232D7">
        <w:trPr>
          <w:trHeight w:val="348"/>
          <w:jc w:val="center"/>
        </w:trPr>
        <w:tc>
          <w:tcPr>
            <w:tcW w:w="2370" w:type="dxa"/>
            <w:shd w:val="clear" w:color="auto" w:fill="auto"/>
            <w:vAlign w:val="center"/>
          </w:tcPr>
          <w:p w14:paraId="38475877"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4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480" w:type="dxa"/>
            <w:shd w:val="clear" w:color="auto" w:fill="auto"/>
            <w:vAlign w:val="center"/>
          </w:tcPr>
          <w:p w14:paraId="2419A32D"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80.000</w:t>
            </w:r>
          </w:p>
        </w:tc>
        <w:tc>
          <w:tcPr>
            <w:tcW w:w="1193" w:type="dxa"/>
            <w:shd w:val="clear" w:color="auto" w:fill="auto"/>
            <w:vAlign w:val="center"/>
          </w:tcPr>
          <w:p w14:paraId="0695B5F1"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2</w:t>
            </w:r>
          </w:p>
        </w:tc>
        <w:tc>
          <w:tcPr>
            <w:tcW w:w="1940" w:type="dxa"/>
            <w:shd w:val="clear" w:color="auto" w:fill="auto"/>
            <w:vAlign w:val="center"/>
          </w:tcPr>
          <w:p w14:paraId="387181B1"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160.000</w:t>
            </w:r>
          </w:p>
        </w:tc>
      </w:tr>
      <w:tr w:rsidR="00C232D7" w:rsidRPr="00C149AB" w14:paraId="1AD3A976" w14:textId="77777777" w:rsidTr="00C232D7">
        <w:trPr>
          <w:trHeight w:val="348"/>
          <w:jc w:val="center"/>
        </w:trPr>
        <w:tc>
          <w:tcPr>
            <w:tcW w:w="2370" w:type="dxa"/>
            <w:shd w:val="clear" w:color="auto" w:fill="auto"/>
            <w:vAlign w:val="center"/>
          </w:tcPr>
          <w:p w14:paraId="2E123335"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6 m</w:t>
            </w:r>
            <w:r w:rsidRPr="00C149AB">
              <w:rPr>
                <w:rFonts w:ascii="Arial" w:hAnsi="Arial" w:cs="Arial"/>
                <w:sz w:val="18"/>
                <w:vertAlign w:val="superscript"/>
                <w:lang w:val="sq-AL"/>
              </w:rPr>
              <w:t>3</w:t>
            </w:r>
            <w:r w:rsidRPr="00C149AB">
              <w:rPr>
                <w:rFonts w:ascii="Arial" w:hAnsi="Arial" w:cs="Arial"/>
                <w:sz w:val="18"/>
                <w:lang w:val="sq-AL"/>
              </w:rPr>
              <w:t xml:space="preserve"> otvoreni kamion</w:t>
            </w:r>
          </w:p>
        </w:tc>
        <w:tc>
          <w:tcPr>
            <w:tcW w:w="2480" w:type="dxa"/>
            <w:shd w:val="clear" w:color="auto" w:fill="auto"/>
            <w:vAlign w:val="center"/>
          </w:tcPr>
          <w:p w14:paraId="0B43419D"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70.000</w:t>
            </w:r>
          </w:p>
        </w:tc>
        <w:tc>
          <w:tcPr>
            <w:tcW w:w="1193" w:type="dxa"/>
            <w:shd w:val="clear" w:color="auto" w:fill="auto"/>
            <w:vAlign w:val="center"/>
          </w:tcPr>
          <w:p w14:paraId="2E38D0D8"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10</w:t>
            </w:r>
          </w:p>
        </w:tc>
        <w:tc>
          <w:tcPr>
            <w:tcW w:w="1940" w:type="dxa"/>
            <w:shd w:val="clear" w:color="auto" w:fill="auto"/>
            <w:vAlign w:val="center"/>
          </w:tcPr>
          <w:p w14:paraId="54B0B9C5"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700.000</w:t>
            </w:r>
          </w:p>
        </w:tc>
      </w:tr>
      <w:tr w:rsidR="00C232D7" w:rsidRPr="00C149AB" w14:paraId="532829FF" w14:textId="77777777" w:rsidTr="00C232D7">
        <w:trPr>
          <w:trHeight w:val="312"/>
          <w:jc w:val="center"/>
        </w:trPr>
        <w:tc>
          <w:tcPr>
            <w:tcW w:w="2370" w:type="dxa"/>
            <w:shd w:val="clear" w:color="auto" w:fill="auto"/>
            <w:vAlign w:val="center"/>
          </w:tcPr>
          <w:p w14:paraId="4518E71D" w14:textId="61506EC2"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 xml:space="preserve">Vozilo za pranje </w:t>
            </w:r>
            <w:r w:rsidR="007B1545" w:rsidRPr="00C149AB">
              <w:rPr>
                <w:rFonts w:ascii="Arial" w:hAnsi="Arial" w:cs="Arial"/>
                <w:sz w:val="18"/>
                <w:lang w:val="sq-AL"/>
              </w:rPr>
              <w:t>posuda</w:t>
            </w:r>
          </w:p>
        </w:tc>
        <w:tc>
          <w:tcPr>
            <w:tcW w:w="2480" w:type="dxa"/>
            <w:shd w:val="clear" w:color="auto" w:fill="auto"/>
            <w:vAlign w:val="center"/>
          </w:tcPr>
          <w:p w14:paraId="676715CE"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120.000</w:t>
            </w:r>
          </w:p>
        </w:tc>
        <w:tc>
          <w:tcPr>
            <w:tcW w:w="1193" w:type="dxa"/>
            <w:shd w:val="clear" w:color="auto" w:fill="auto"/>
            <w:vAlign w:val="center"/>
          </w:tcPr>
          <w:p w14:paraId="78BC6A9B"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16</w:t>
            </w:r>
          </w:p>
        </w:tc>
        <w:tc>
          <w:tcPr>
            <w:tcW w:w="1940" w:type="dxa"/>
            <w:shd w:val="clear" w:color="auto" w:fill="auto"/>
            <w:vAlign w:val="center"/>
          </w:tcPr>
          <w:p w14:paraId="6F52B64A"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sz w:val="18"/>
              </w:rPr>
              <w:t>1.920.000</w:t>
            </w:r>
          </w:p>
        </w:tc>
      </w:tr>
      <w:tr w:rsidR="00C232D7" w:rsidRPr="00C149AB" w14:paraId="37076B97" w14:textId="77777777" w:rsidTr="00C232D7">
        <w:trPr>
          <w:trHeight w:val="312"/>
          <w:jc w:val="center"/>
        </w:trPr>
        <w:tc>
          <w:tcPr>
            <w:tcW w:w="2370" w:type="dxa"/>
            <w:shd w:val="clear" w:color="auto" w:fill="auto"/>
            <w:vAlign w:val="center"/>
          </w:tcPr>
          <w:p w14:paraId="46DFF1E1"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Ukupno</w:t>
            </w:r>
          </w:p>
        </w:tc>
        <w:tc>
          <w:tcPr>
            <w:tcW w:w="2480" w:type="dxa"/>
            <w:shd w:val="clear" w:color="auto" w:fill="auto"/>
            <w:vAlign w:val="center"/>
          </w:tcPr>
          <w:p w14:paraId="184F2134"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rPr>
              <w:t> </w:t>
            </w:r>
          </w:p>
        </w:tc>
        <w:tc>
          <w:tcPr>
            <w:tcW w:w="1193" w:type="dxa"/>
            <w:shd w:val="clear" w:color="auto" w:fill="auto"/>
            <w:vAlign w:val="center"/>
          </w:tcPr>
          <w:p w14:paraId="2EB980EA" w14:textId="77777777" w:rsidR="00C232D7" w:rsidRPr="00C149AB" w:rsidRDefault="00C232D7" w:rsidP="00C232D7">
            <w:pPr>
              <w:spacing w:line="360" w:lineRule="auto"/>
              <w:rPr>
                <w:rFonts w:ascii="Arial" w:hAnsi="Arial" w:cs="Arial"/>
                <w:sz w:val="18"/>
                <w:highlight w:val="yellow"/>
                <w:lang w:val="sq-AL"/>
              </w:rPr>
            </w:pPr>
            <w:r w:rsidRPr="00C149AB">
              <w:rPr>
                <w:rFonts w:ascii="Arial" w:hAnsi="Arial" w:cs="Arial"/>
                <w:b/>
                <w:bCs/>
                <w:sz w:val="18"/>
              </w:rPr>
              <w:t> </w:t>
            </w:r>
          </w:p>
        </w:tc>
        <w:tc>
          <w:tcPr>
            <w:tcW w:w="1940" w:type="dxa"/>
            <w:shd w:val="clear" w:color="auto" w:fill="auto"/>
            <w:vAlign w:val="center"/>
          </w:tcPr>
          <w:p w14:paraId="1D934D41" w14:textId="77777777" w:rsidR="00C232D7" w:rsidRPr="00C149AB" w:rsidRDefault="00C232D7" w:rsidP="00C232D7">
            <w:pPr>
              <w:spacing w:line="360" w:lineRule="auto"/>
              <w:rPr>
                <w:rFonts w:ascii="Arial" w:hAnsi="Arial" w:cs="Arial"/>
                <w:b/>
                <w:bCs/>
                <w:sz w:val="18"/>
                <w:highlight w:val="yellow"/>
                <w:lang w:val="sq-AL"/>
              </w:rPr>
            </w:pPr>
            <w:r w:rsidRPr="00C149AB">
              <w:rPr>
                <w:rFonts w:ascii="Arial" w:hAnsi="Arial" w:cs="Arial"/>
                <w:b/>
                <w:bCs/>
                <w:sz w:val="18"/>
              </w:rPr>
              <w:t>30.472.500</w:t>
            </w:r>
          </w:p>
        </w:tc>
      </w:tr>
    </w:tbl>
    <w:p w14:paraId="77966D72" w14:textId="77777777" w:rsidR="00D15092" w:rsidRDefault="00D15092" w:rsidP="00C232D7">
      <w:pPr>
        <w:spacing w:before="120" w:after="120" w:line="360" w:lineRule="auto"/>
        <w:rPr>
          <w:rFonts w:ascii="Arial" w:hAnsi="Arial" w:cs="Arial"/>
          <w:lang w:val="sq-AL"/>
        </w:rPr>
      </w:pPr>
    </w:p>
    <w:p w14:paraId="7B1F8A1A" w14:textId="51E14E96" w:rsidR="00C232D7" w:rsidRDefault="00C232D7" w:rsidP="00C232D7">
      <w:pPr>
        <w:spacing w:before="120" w:after="120" w:line="360" w:lineRule="auto"/>
        <w:rPr>
          <w:rFonts w:ascii="Arial" w:hAnsi="Arial" w:cs="Arial"/>
          <w:lang w:val="sq-AL"/>
        </w:rPr>
      </w:pPr>
      <w:r w:rsidRPr="002A6F4E">
        <w:rPr>
          <w:rFonts w:ascii="Arial" w:hAnsi="Arial" w:cs="Arial"/>
          <w:lang w:val="sq-AL"/>
        </w:rPr>
        <w:t>U narednoj tabeli prikazan je  učinak ove opcije u o</w:t>
      </w:r>
      <w:r w:rsidR="00E57399">
        <w:rPr>
          <w:rFonts w:ascii="Arial" w:hAnsi="Arial" w:cs="Arial"/>
          <w:lang w:val="sq-AL"/>
        </w:rPr>
        <w:t>dnosu na kvantitativne ciljeve.</w:t>
      </w:r>
    </w:p>
    <w:p w14:paraId="4B90A6A9" w14:textId="075676E4" w:rsidR="004F28CF" w:rsidRDefault="004F28CF" w:rsidP="00C232D7">
      <w:pPr>
        <w:spacing w:before="120" w:after="120" w:line="360" w:lineRule="auto"/>
        <w:rPr>
          <w:rFonts w:ascii="Arial" w:hAnsi="Arial" w:cs="Arial"/>
          <w:lang w:val="sq-AL"/>
        </w:rPr>
      </w:pPr>
    </w:p>
    <w:p w14:paraId="7446F070" w14:textId="77777777" w:rsidR="00D33BB9" w:rsidRDefault="00D33BB9" w:rsidP="00C232D7">
      <w:pPr>
        <w:spacing w:before="120" w:after="120" w:line="360" w:lineRule="auto"/>
        <w:rPr>
          <w:rFonts w:ascii="Arial" w:hAnsi="Arial" w:cs="Arial"/>
          <w:lang w:val="sq-AL"/>
        </w:rPr>
      </w:pPr>
    </w:p>
    <w:p w14:paraId="6082E75B" w14:textId="77777777" w:rsidR="00D33BB9" w:rsidRDefault="00D33BB9" w:rsidP="00C232D7">
      <w:pPr>
        <w:spacing w:before="120" w:after="120" w:line="360" w:lineRule="auto"/>
        <w:rPr>
          <w:rFonts w:ascii="Arial" w:hAnsi="Arial" w:cs="Arial"/>
          <w:lang w:val="sq-AL"/>
        </w:rPr>
      </w:pPr>
    </w:p>
    <w:p w14:paraId="1B1BC5F9" w14:textId="77777777" w:rsidR="004F28CF" w:rsidRPr="002A6F4E" w:rsidRDefault="004F28CF" w:rsidP="00C232D7">
      <w:pPr>
        <w:spacing w:before="120" w:after="120" w:line="360" w:lineRule="auto"/>
        <w:rPr>
          <w:rFonts w:ascii="Arial" w:hAnsi="Arial" w:cs="Arial"/>
          <w:lang w:val="sq-AL"/>
        </w:rPr>
      </w:pPr>
    </w:p>
    <w:p w14:paraId="0401FFDC" w14:textId="5A6CC11F" w:rsidR="00C232D7" w:rsidRPr="00C149AB" w:rsidRDefault="00C232D7" w:rsidP="00C232D7">
      <w:pPr>
        <w:pStyle w:val="Caption"/>
        <w:rPr>
          <w:rFonts w:ascii="Arial" w:hAnsi="Arial" w:cs="Arial"/>
          <w:b w:val="0"/>
          <w:szCs w:val="20"/>
          <w:lang w:val="sq-AL"/>
        </w:rPr>
      </w:pPr>
      <w:bookmarkStart w:id="1035" w:name="_Toc189515638"/>
      <w:bookmarkStart w:id="1036" w:name="_Hlk123726226"/>
      <w:bookmarkStart w:id="1037" w:name="_Toc190160756"/>
      <w:r w:rsidRPr="00C149AB">
        <w:rPr>
          <w:rFonts w:ascii="Arial" w:hAnsi="Arial" w:cs="Arial"/>
          <w:b w:val="0"/>
          <w:szCs w:val="20"/>
          <w:lang w:val="sq-AL"/>
        </w:rPr>
        <w:lastRenderedPageBreak/>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62</w:t>
      </w:r>
      <w:r w:rsidRPr="00C149AB">
        <w:rPr>
          <w:rFonts w:ascii="Arial" w:hAnsi="Arial" w:cs="Arial"/>
          <w:b w:val="0"/>
          <w:szCs w:val="20"/>
        </w:rPr>
        <w:fldChar w:fldCharType="end"/>
      </w:r>
      <w:r w:rsidRPr="00C149AB">
        <w:rPr>
          <w:rFonts w:ascii="Arial" w:hAnsi="Arial" w:cs="Arial"/>
          <w:b w:val="0"/>
          <w:szCs w:val="20"/>
          <w:lang w:val="sq-AL"/>
        </w:rPr>
        <w:t xml:space="preserve"> Učinak Opcije IIIa u odnosu na postavljene ciljeve</w:t>
      </w:r>
      <w:bookmarkEnd w:id="1035"/>
      <w:bookmarkEnd w:id="1036"/>
      <w:bookmarkEnd w:id="1037"/>
    </w:p>
    <w:tbl>
      <w:tblPr>
        <w:tblStyle w:val="GridTable4-Accent11"/>
        <w:tblW w:w="51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2862"/>
        <w:gridCol w:w="2899"/>
        <w:gridCol w:w="1445"/>
      </w:tblGrid>
      <w:tr w:rsidR="00C232D7" w:rsidRPr="00C149AB" w14:paraId="06C49ACA" w14:textId="77777777" w:rsidTr="00C232D7">
        <w:trPr>
          <w:cnfStyle w:val="100000000000" w:firstRow="1" w:lastRow="0" w:firstColumn="0" w:lastColumn="0" w:oddVBand="0" w:evenVBand="0" w:oddHBand="0" w:evenHBand="0" w:firstRowFirstColumn="0" w:firstRowLastColumn="0" w:lastRowFirstColumn="0" w:lastRowLastColumn="0"/>
          <w:trHeight w:val="433"/>
          <w:tblHeader/>
          <w:jc w:val="center"/>
        </w:trPr>
        <w:tc>
          <w:tcPr>
            <w:cnfStyle w:val="001000000000" w:firstRow="0" w:lastRow="0" w:firstColumn="1" w:lastColumn="0" w:oddVBand="0" w:evenVBand="0" w:oddHBand="0" w:evenHBand="0" w:firstRowFirstColumn="0" w:firstRowLastColumn="0" w:lastRowFirstColumn="0" w:lastRowLastColumn="0"/>
            <w:tcW w:w="1224" w:type="pct"/>
            <w:tcBorders>
              <w:top w:val="single" w:sz="4" w:space="0" w:color="auto"/>
              <w:left w:val="single" w:sz="4" w:space="0" w:color="auto"/>
              <w:bottom w:val="single" w:sz="4" w:space="0" w:color="auto"/>
            </w:tcBorders>
            <w:shd w:val="clear" w:color="auto" w:fill="F2F2F2" w:themeFill="background1" w:themeFillShade="F2"/>
            <w:vAlign w:val="center"/>
          </w:tcPr>
          <w:p w14:paraId="5BC14A80"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color w:val="auto"/>
                <w:sz w:val="18"/>
                <w:szCs w:val="20"/>
                <w:lang w:val="sq-AL"/>
              </w:rPr>
              <w:t>Faza upravljanja otpadom</w:t>
            </w:r>
          </w:p>
        </w:tc>
        <w:tc>
          <w:tcPr>
            <w:tcW w:w="1500" w:type="pct"/>
            <w:tcBorders>
              <w:top w:val="single" w:sz="4" w:space="0" w:color="auto"/>
              <w:left w:val="single" w:sz="4" w:space="0" w:color="auto"/>
              <w:bottom w:val="single" w:sz="4" w:space="0" w:color="auto"/>
            </w:tcBorders>
            <w:shd w:val="clear" w:color="auto" w:fill="F2F2F2" w:themeFill="background1" w:themeFillShade="F2"/>
            <w:vAlign w:val="center"/>
          </w:tcPr>
          <w:p w14:paraId="2153F774"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Potražnja</w:t>
            </w:r>
          </w:p>
        </w:tc>
        <w:tc>
          <w:tcPr>
            <w:tcW w:w="1519" w:type="pct"/>
            <w:tcBorders>
              <w:top w:val="single" w:sz="4" w:space="0" w:color="auto"/>
              <w:left w:val="single" w:sz="4" w:space="0" w:color="auto"/>
              <w:bottom w:val="single" w:sz="4" w:space="0" w:color="auto"/>
            </w:tcBorders>
            <w:shd w:val="clear" w:color="auto" w:fill="F2F2F2" w:themeFill="background1" w:themeFillShade="F2"/>
            <w:vAlign w:val="center"/>
          </w:tcPr>
          <w:p w14:paraId="2D48E6A6"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Učinak</w:t>
            </w:r>
          </w:p>
        </w:tc>
        <w:tc>
          <w:tcPr>
            <w:tcW w:w="75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C5290C"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Nivo ispunjenosti</w:t>
            </w:r>
          </w:p>
        </w:tc>
      </w:tr>
      <w:tr w:rsidR="00C232D7" w:rsidRPr="00C149AB" w14:paraId="624F0D72"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24" w:type="pct"/>
            <w:tcBorders>
              <w:top w:val="single" w:sz="4" w:space="0" w:color="auto"/>
            </w:tcBorders>
            <w:shd w:val="clear" w:color="auto" w:fill="auto"/>
            <w:vAlign w:val="center"/>
          </w:tcPr>
          <w:p w14:paraId="3F72DA4D"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sq-AL"/>
              </w:rPr>
              <w:t>Ukupno sakupljene količine otpada</w:t>
            </w:r>
          </w:p>
        </w:tc>
        <w:tc>
          <w:tcPr>
            <w:tcW w:w="1500" w:type="pct"/>
            <w:tcBorders>
              <w:top w:val="single" w:sz="4" w:space="0" w:color="auto"/>
            </w:tcBorders>
            <w:shd w:val="clear" w:color="auto" w:fill="auto"/>
            <w:vAlign w:val="center"/>
          </w:tcPr>
          <w:p w14:paraId="342D882D" w14:textId="57183525" w:rsidR="00C232D7" w:rsidRPr="00C149AB" w:rsidRDefault="00E57399"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w:t>
            </w:r>
            <w:r w:rsidRPr="005A1BF5">
              <w:rPr>
                <w:rFonts w:ascii="Arial" w:hAnsi="Arial" w:cs="Arial"/>
                <w:sz w:val="18"/>
                <w:lang w:val="mk-MK"/>
              </w:rPr>
              <w:t>2</w:t>
            </w:r>
            <w:r w:rsidR="00D15092" w:rsidRPr="005A1BF5">
              <w:rPr>
                <w:rFonts w:ascii="Arial" w:hAnsi="Arial" w:cs="Arial"/>
                <w:sz w:val="18"/>
                <w:lang w:val="sr-Latn-RS"/>
              </w:rPr>
              <w:t>5</w:t>
            </w:r>
            <w:r w:rsidRPr="00C149AB">
              <w:rPr>
                <w:rFonts w:ascii="Arial" w:hAnsi="Arial" w:cs="Arial"/>
                <w:sz w:val="18"/>
                <w:lang w:val="mk-MK"/>
              </w:rPr>
              <w:t>: 350.424 t/god (</w:t>
            </w:r>
            <w:r w:rsidR="00C232D7" w:rsidRPr="00C149AB">
              <w:rPr>
                <w:rFonts w:ascii="Arial" w:hAnsi="Arial" w:cs="Arial"/>
                <w:sz w:val="18"/>
                <w:lang w:val="mk-MK"/>
              </w:rPr>
              <w:t>100% ukupnog otpada)</w:t>
            </w:r>
          </w:p>
          <w:p w14:paraId="51CDF5C5" w14:textId="40AC64A0"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eastAsia="en-GB"/>
              </w:rPr>
            </w:pPr>
            <w:r w:rsidRPr="00C149AB">
              <w:rPr>
                <w:rFonts w:ascii="Arial" w:hAnsi="Arial" w:cs="Arial"/>
                <w:sz w:val="18"/>
                <w:lang w:val="en-US"/>
              </w:rPr>
              <w:t>2029</w:t>
            </w:r>
            <w:r w:rsidR="00E57399" w:rsidRPr="00C149AB">
              <w:rPr>
                <w:rFonts w:ascii="Arial" w:hAnsi="Arial" w:cs="Arial"/>
                <w:sz w:val="18"/>
                <w:lang w:val="mk-MK"/>
              </w:rPr>
              <w:t>: 360.433 t/god (</w:t>
            </w:r>
            <w:r w:rsidR="00C232D7" w:rsidRPr="00C149AB">
              <w:rPr>
                <w:rFonts w:ascii="Arial" w:hAnsi="Arial" w:cs="Arial"/>
                <w:sz w:val="18"/>
                <w:lang w:val="mk-MK"/>
              </w:rPr>
              <w:t>100% ukupnog otpada)</w:t>
            </w:r>
          </w:p>
        </w:tc>
        <w:tc>
          <w:tcPr>
            <w:tcW w:w="1519" w:type="pct"/>
            <w:tcBorders>
              <w:top w:val="single" w:sz="4" w:space="0" w:color="auto"/>
            </w:tcBorders>
            <w:shd w:val="clear" w:color="auto" w:fill="auto"/>
            <w:vAlign w:val="center"/>
          </w:tcPr>
          <w:p w14:paraId="655A7515" w14:textId="32BEF568" w:rsidR="00C232D7" w:rsidRPr="00C149AB" w:rsidRDefault="00E57399"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w:t>
            </w:r>
            <w:r w:rsidR="00D15092" w:rsidRPr="00C149AB">
              <w:rPr>
                <w:rFonts w:ascii="Arial" w:hAnsi="Arial" w:cs="Arial"/>
                <w:sz w:val="18"/>
                <w:lang w:val="sr-Latn-RS"/>
              </w:rPr>
              <w:t>5</w:t>
            </w:r>
            <w:r w:rsidRPr="00C149AB">
              <w:rPr>
                <w:rFonts w:ascii="Arial" w:hAnsi="Arial" w:cs="Arial"/>
                <w:sz w:val="18"/>
                <w:lang w:val="mk-MK"/>
              </w:rPr>
              <w:t>: 350.424 t/god (</w:t>
            </w:r>
            <w:r w:rsidR="00C232D7" w:rsidRPr="00C149AB">
              <w:rPr>
                <w:rFonts w:ascii="Arial" w:hAnsi="Arial" w:cs="Arial"/>
                <w:sz w:val="18"/>
                <w:lang w:val="mk-MK"/>
              </w:rPr>
              <w:t>100% ukupnog otpada)</w:t>
            </w:r>
          </w:p>
          <w:p w14:paraId="5A4AA3C2" w14:textId="66C1DBD4"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eastAsia="en-GB"/>
              </w:rPr>
            </w:pPr>
            <w:r w:rsidRPr="00C149AB">
              <w:rPr>
                <w:rFonts w:ascii="Arial" w:hAnsi="Arial" w:cs="Arial"/>
                <w:sz w:val="18"/>
                <w:lang w:val="en-US"/>
              </w:rPr>
              <w:t>2029</w:t>
            </w:r>
            <w:r w:rsidR="00E57399" w:rsidRPr="00C149AB">
              <w:rPr>
                <w:rFonts w:ascii="Arial" w:hAnsi="Arial" w:cs="Arial"/>
                <w:sz w:val="18"/>
                <w:lang w:val="mk-MK"/>
              </w:rPr>
              <w:t>: 360.433 t/god (</w:t>
            </w:r>
            <w:r w:rsidR="00C232D7" w:rsidRPr="00C149AB">
              <w:rPr>
                <w:rFonts w:ascii="Arial" w:hAnsi="Arial" w:cs="Arial"/>
                <w:sz w:val="18"/>
                <w:lang w:val="mk-MK"/>
              </w:rPr>
              <w:t>100% ukupnog otpada)</w:t>
            </w:r>
          </w:p>
        </w:tc>
        <w:tc>
          <w:tcPr>
            <w:tcW w:w="757" w:type="pct"/>
            <w:tcBorders>
              <w:top w:val="single" w:sz="4" w:space="0" w:color="auto"/>
            </w:tcBorders>
            <w:shd w:val="clear" w:color="auto" w:fill="auto"/>
            <w:vAlign w:val="center"/>
          </w:tcPr>
          <w:p w14:paraId="7C79305A" w14:textId="4738DE2C"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w:t>
            </w:r>
            <w:r w:rsidR="00D15092" w:rsidRPr="00C149AB">
              <w:rPr>
                <w:rFonts w:ascii="Arial" w:hAnsi="Arial" w:cs="Arial"/>
                <w:sz w:val="18"/>
                <w:lang w:val="sr-Latn-RS"/>
              </w:rPr>
              <w:t>5</w:t>
            </w:r>
            <w:r w:rsidRPr="00C149AB">
              <w:rPr>
                <w:rFonts w:ascii="Arial" w:hAnsi="Arial" w:cs="Arial"/>
                <w:sz w:val="18"/>
                <w:lang w:val="mk-MK"/>
              </w:rPr>
              <w:t xml:space="preserve">: 100% </w:t>
            </w:r>
          </w:p>
          <w:p w14:paraId="5040D598" w14:textId="5C1E0C54"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rPr>
            </w:pPr>
            <w:r w:rsidRPr="00C149AB">
              <w:rPr>
                <w:rFonts w:ascii="Arial" w:hAnsi="Arial" w:cs="Arial"/>
                <w:sz w:val="18"/>
                <w:lang w:val="en-US"/>
              </w:rPr>
              <w:t>2029</w:t>
            </w:r>
            <w:r w:rsidR="00C232D7" w:rsidRPr="00C149AB">
              <w:rPr>
                <w:rFonts w:ascii="Arial" w:hAnsi="Arial" w:cs="Arial"/>
                <w:sz w:val="18"/>
                <w:lang w:val="mk-MK"/>
              </w:rPr>
              <w:t>: 100%</w:t>
            </w:r>
          </w:p>
        </w:tc>
      </w:tr>
      <w:tr w:rsidR="00C232D7" w:rsidRPr="00C149AB" w14:paraId="6AD72920"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24" w:type="pct"/>
            <w:shd w:val="clear" w:color="auto" w:fill="auto"/>
            <w:vAlign w:val="center"/>
          </w:tcPr>
          <w:p w14:paraId="0DC3B778"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sq-AL"/>
              </w:rPr>
              <w:t>Odvojeno sakupljanje otpada koji se može reciklirati</w:t>
            </w:r>
          </w:p>
        </w:tc>
        <w:tc>
          <w:tcPr>
            <w:tcW w:w="1500" w:type="pct"/>
            <w:shd w:val="clear" w:color="auto" w:fill="auto"/>
            <w:vAlign w:val="center"/>
          </w:tcPr>
          <w:p w14:paraId="28621D09" w14:textId="15E8CD3E" w:rsidR="00C232D7" w:rsidRPr="00C149AB" w:rsidRDefault="00E57399"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2025: 27.316 t/god (</w:t>
            </w:r>
            <w:r w:rsidR="00C232D7" w:rsidRPr="00C149AB">
              <w:rPr>
                <w:rFonts w:ascii="Arial" w:hAnsi="Arial" w:cs="Arial"/>
                <w:sz w:val="18"/>
                <w:lang w:val="mk-MK"/>
              </w:rPr>
              <w:t xml:space="preserve">15% </w:t>
            </w:r>
            <w:r w:rsidR="00C232D7" w:rsidRPr="00C149AB">
              <w:rPr>
                <w:rFonts w:ascii="Arial" w:hAnsi="Arial" w:cs="Arial"/>
                <w:sz w:val="18"/>
                <w:lang w:val="sq-AL"/>
              </w:rPr>
              <w:t>otpada koji se može reciklirati</w:t>
            </w:r>
            <w:r w:rsidR="00C232D7" w:rsidRPr="00C149AB">
              <w:rPr>
                <w:rFonts w:ascii="Arial" w:hAnsi="Arial" w:cs="Arial"/>
                <w:sz w:val="18"/>
                <w:lang w:val="mk-MK"/>
              </w:rPr>
              <w:t>)</w:t>
            </w:r>
          </w:p>
          <w:p w14:paraId="57009CB6" w14:textId="60258D65"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eastAsia="en-GB"/>
              </w:rPr>
            </w:pPr>
            <w:r w:rsidRPr="00C149AB">
              <w:rPr>
                <w:rFonts w:ascii="Arial" w:hAnsi="Arial" w:cs="Arial"/>
                <w:sz w:val="18"/>
                <w:lang w:val="en-US"/>
              </w:rPr>
              <w:t>2029</w:t>
            </w:r>
            <w:r w:rsidR="00C232D7" w:rsidRPr="00C149AB">
              <w:rPr>
                <w:rFonts w:ascii="Arial" w:hAnsi="Arial" w:cs="Arial"/>
                <w:sz w:val="18"/>
                <w:lang w:val="mk-MK"/>
              </w:rPr>
              <w:t>: 46.999 t/</w:t>
            </w:r>
            <w:r w:rsidR="00E57399" w:rsidRPr="00C149AB">
              <w:rPr>
                <w:rFonts w:ascii="Arial" w:hAnsi="Arial" w:cs="Arial"/>
                <w:sz w:val="18"/>
                <w:lang w:val="mk-MK"/>
              </w:rPr>
              <w:t>god (</w:t>
            </w:r>
            <w:r w:rsidR="00C232D7" w:rsidRPr="00C149AB">
              <w:rPr>
                <w:rFonts w:ascii="Arial" w:hAnsi="Arial" w:cs="Arial"/>
                <w:sz w:val="18"/>
                <w:lang w:val="mk-MK"/>
              </w:rPr>
              <w:t xml:space="preserve">25% </w:t>
            </w:r>
            <w:r w:rsidR="00C232D7" w:rsidRPr="00C149AB">
              <w:rPr>
                <w:rFonts w:ascii="Arial" w:hAnsi="Arial" w:cs="Arial"/>
                <w:sz w:val="18"/>
                <w:lang w:val="sq-AL"/>
              </w:rPr>
              <w:t>otpada koji se može reciklirati</w:t>
            </w:r>
            <w:r w:rsidR="00C232D7" w:rsidRPr="00C149AB">
              <w:rPr>
                <w:rFonts w:ascii="Arial" w:hAnsi="Arial" w:cs="Arial"/>
                <w:sz w:val="18"/>
                <w:lang w:val="mk-MK"/>
              </w:rPr>
              <w:t>)</w:t>
            </w:r>
          </w:p>
        </w:tc>
        <w:tc>
          <w:tcPr>
            <w:tcW w:w="1519" w:type="pct"/>
            <w:shd w:val="clear" w:color="auto" w:fill="auto"/>
            <w:vAlign w:val="center"/>
          </w:tcPr>
          <w:p w14:paraId="4D88E608" w14:textId="6B5742E1" w:rsidR="00C232D7" w:rsidRPr="00C149AB" w:rsidRDefault="00E57399"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33.783 t/god (</w:t>
            </w:r>
            <w:r w:rsidR="00C232D7" w:rsidRPr="00C149AB">
              <w:rPr>
                <w:rFonts w:ascii="Arial" w:hAnsi="Arial" w:cs="Arial"/>
                <w:sz w:val="18"/>
                <w:szCs w:val="20"/>
                <w:lang w:val="mk-MK"/>
              </w:rPr>
              <w:t xml:space="preserve">19% </w:t>
            </w:r>
            <w:r w:rsidR="00C232D7" w:rsidRPr="00C149AB">
              <w:rPr>
                <w:rFonts w:ascii="Arial" w:hAnsi="Arial" w:cs="Arial"/>
                <w:sz w:val="18"/>
                <w:szCs w:val="20"/>
                <w:lang w:val="sq-AL"/>
              </w:rPr>
              <w:t>otpada koji se može reciklirati</w:t>
            </w:r>
            <w:r w:rsidR="00C232D7" w:rsidRPr="00C149AB">
              <w:rPr>
                <w:rFonts w:ascii="Arial" w:hAnsi="Arial" w:cs="Arial"/>
                <w:sz w:val="18"/>
                <w:szCs w:val="20"/>
                <w:lang w:val="mk-MK"/>
              </w:rPr>
              <w:t>)</w:t>
            </w:r>
          </w:p>
          <w:p w14:paraId="17ED9AAC" w14:textId="772BEE7C"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E57399" w:rsidRPr="00C149AB">
              <w:rPr>
                <w:rFonts w:ascii="Arial" w:hAnsi="Arial" w:cs="Arial"/>
                <w:sz w:val="18"/>
                <w:szCs w:val="20"/>
                <w:lang w:val="mk-MK"/>
              </w:rPr>
              <w:t>: 57.681 t/god (</w:t>
            </w:r>
            <w:r w:rsidR="00C232D7" w:rsidRPr="00C149AB">
              <w:rPr>
                <w:rFonts w:ascii="Arial" w:hAnsi="Arial" w:cs="Arial"/>
                <w:sz w:val="18"/>
                <w:szCs w:val="20"/>
                <w:lang w:val="mk-MK"/>
              </w:rPr>
              <w:t xml:space="preserve">31% </w:t>
            </w:r>
            <w:r w:rsidR="00C232D7" w:rsidRPr="00C149AB">
              <w:rPr>
                <w:rFonts w:ascii="Arial" w:hAnsi="Arial" w:cs="Arial"/>
                <w:sz w:val="18"/>
                <w:szCs w:val="20"/>
                <w:lang w:val="sq-AL"/>
              </w:rPr>
              <w:t>otpada koji se može reciklirati</w:t>
            </w:r>
            <w:r w:rsidR="00C232D7" w:rsidRPr="00C149AB">
              <w:rPr>
                <w:rFonts w:ascii="Arial" w:hAnsi="Arial" w:cs="Arial"/>
                <w:sz w:val="18"/>
                <w:szCs w:val="20"/>
                <w:lang w:val="mk-MK"/>
              </w:rPr>
              <w:t>)</w:t>
            </w:r>
          </w:p>
        </w:tc>
        <w:tc>
          <w:tcPr>
            <w:tcW w:w="757" w:type="pct"/>
            <w:shd w:val="clear" w:color="auto" w:fill="auto"/>
            <w:vAlign w:val="center"/>
          </w:tcPr>
          <w:p w14:paraId="11538331" w14:textId="77777777"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 xml:space="preserve">2025: 100% </w:t>
            </w:r>
          </w:p>
          <w:p w14:paraId="4BDCA5F3" w14:textId="2EBE678E"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rPr>
            </w:pPr>
            <w:r w:rsidRPr="00C149AB">
              <w:rPr>
                <w:rFonts w:ascii="Arial" w:hAnsi="Arial" w:cs="Arial"/>
                <w:sz w:val="18"/>
                <w:lang w:val="en-US"/>
              </w:rPr>
              <w:t>2029</w:t>
            </w:r>
            <w:r w:rsidR="00C232D7" w:rsidRPr="00C149AB">
              <w:rPr>
                <w:rFonts w:ascii="Arial" w:hAnsi="Arial" w:cs="Arial"/>
                <w:sz w:val="18"/>
                <w:lang w:val="mk-MK"/>
              </w:rPr>
              <w:t>: 100%</w:t>
            </w:r>
          </w:p>
        </w:tc>
      </w:tr>
      <w:tr w:rsidR="00C232D7" w:rsidRPr="00C149AB" w14:paraId="50ACF927"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24" w:type="pct"/>
            <w:shd w:val="clear" w:color="auto" w:fill="auto"/>
            <w:vAlign w:val="center"/>
          </w:tcPr>
          <w:p w14:paraId="5B51A643"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sq-AL"/>
              </w:rPr>
              <w:t>Odvojeno sakupljanje</w:t>
            </w:r>
            <w:r w:rsidRPr="00C149AB">
              <w:rPr>
                <w:rFonts w:ascii="Arial" w:hAnsi="Arial" w:cs="Arial"/>
                <w:sz w:val="18"/>
                <w:szCs w:val="20"/>
                <w:lang w:val="mk-MK"/>
              </w:rPr>
              <w:t xml:space="preserve"> </w:t>
            </w:r>
            <w:r w:rsidRPr="00C149AB">
              <w:rPr>
                <w:rFonts w:ascii="Arial" w:hAnsi="Arial" w:cs="Arial"/>
                <w:sz w:val="18"/>
                <w:szCs w:val="20"/>
                <w:lang w:val="sq-AL"/>
              </w:rPr>
              <w:t>ambalažnog</w:t>
            </w:r>
            <w:r w:rsidRPr="00C149AB">
              <w:rPr>
                <w:rFonts w:ascii="Arial" w:hAnsi="Arial" w:cs="Arial"/>
                <w:sz w:val="18"/>
                <w:szCs w:val="20"/>
                <w:lang w:val="mk-MK"/>
              </w:rPr>
              <w:t xml:space="preserve"> otpada</w:t>
            </w:r>
          </w:p>
        </w:tc>
        <w:tc>
          <w:tcPr>
            <w:tcW w:w="1500" w:type="pct"/>
            <w:shd w:val="clear" w:color="auto" w:fill="auto"/>
            <w:vAlign w:val="center"/>
          </w:tcPr>
          <w:p w14:paraId="66643912" w14:textId="3FFC43ED"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eastAsia="en-GB"/>
              </w:rPr>
            </w:pPr>
            <w:r w:rsidRPr="00C149AB">
              <w:rPr>
                <w:rFonts w:ascii="Arial" w:hAnsi="Arial" w:cs="Arial"/>
                <w:sz w:val="18"/>
                <w:lang w:val="en-US"/>
              </w:rPr>
              <w:t>2029</w:t>
            </w:r>
            <w:r w:rsidR="00C232D7" w:rsidRPr="00C149AB">
              <w:rPr>
                <w:rFonts w:ascii="Arial" w:hAnsi="Arial" w:cs="Arial"/>
                <w:sz w:val="18"/>
                <w:lang w:val="mk-MK"/>
              </w:rPr>
              <w:t xml:space="preserve">: 34.524 t/god (35% </w:t>
            </w:r>
            <w:r w:rsidR="00C232D7" w:rsidRPr="00C149AB">
              <w:rPr>
                <w:rFonts w:ascii="Arial" w:hAnsi="Arial" w:cs="Arial"/>
                <w:sz w:val="18"/>
                <w:lang w:val="sq-AL"/>
              </w:rPr>
              <w:t>ambalažnog</w:t>
            </w:r>
            <w:r w:rsidR="00C232D7" w:rsidRPr="00C149AB">
              <w:rPr>
                <w:rFonts w:ascii="Arial" w:hAnsi="Arial" w:cs="Arial"/>
                <w:b/>
                <w:bCs/>
                <w:sz w:val="18"/>
                <w:lang w:val="mk-MK"/>
              </w:rPr>
              <w:t xml:space="preserve"> </w:t>
            </w:r>
            <w:r w:rsidR="00C232D7" w:rsidRPr="00C149AB">
              <w:rPr>
                <w:rFonts w:ascii="Arial" w:hAnsi="Arial" w:cs="Arial"/>
                <w:bCs/>
                <w:sz w:val="18"/>
                <w:lang w:val="mk-MK"/>
              </w:rPr>
              <w:t>otpada</w:t>
            </w:r>
            <w:r w:rsidR="00C232D7" w:rsidRPr="00C149AB">
              <w:rPr>
                <w:rFonts w:ascii="Arial" w:hAnsi="Arial" w:cs="Arial"/>
                <w:sz w:val="18"/>
                <w:lang w:val="mk-MK"/>
              </w:rPr>
              <w:t>)</w:t>
            </w:r>
          </w:p>
        </w:tc>
        <w:tc>
          <w:tcPr>
            <w:tcW w:w="1519" w:type="pct"/>
            <w:shd w:val="clear" w:color="auto" w:fill="auto"/>
            <w:vAlign w:val="center"/>
          </w:tcPr>
          <w:p w14:paraId="2DEE547C" w14:textId="14CAB2A3"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xml:space="preserve">: 40.377 t/god (41% </w:t>
            </w:r>
            <w:r w:rsidR="00C232D7" w:rsidRPr="00C149AB">
              <w:rPr>
                <w:rFonts w:ascii="Arial" w:hAnsi="Arial" w:cs="Arial"/>
                <w:sz w:val="18"/>
                <w:szCs w:val="20"/>
                <w:lang w:val="sq-AL"/>
              </w:rPr>
              <w:t>ambalažnog</w:t>
            </w:r>
            <w:r w:rsidR="00C232D7" w:rsidRPr="00C149AB">
              <w:rPr>
                <w:rFonts w:ascii="Arial" w:hAnsi="Arial" w:cs="Arial"/>
                <w:b/>
                <w:bCs/>
                <w:sz w:val="18"/>
                <w:szCs w:val="20"/>
                <w:lang w:val="mk-MK"/>
              </w:rPr>
              <w:t xml:space="preserve"> </w:t>
            </w:r>
            <w:r w:rsidR="00C232D7" w:rsidRPr="00C149AB">
              <w:rPr>
                <w:rFonts w:ascii="Arial" w:hAnsi="Arial" w:cs="Arial"/>
                <w:bCs/>
                <w:sz w:val="18"/>
                <w:szCs w:val="20"/>
                <w:lang w:val="mk-MK"/>
              </w:rPr>
              <w:t>otpada</w:t>
            </w:r>
            <w:r w:rsidR="00C232D7" w:rsidRPr="00C149AB">
              <w:rPr>
                <w:rFonts w:ascii="Arial" w:hAnsi="Arial" w:cs="Arial"/>
                <w:sz w:val="18"/>
                <w:szCs w:val="20"/>
                <w:lang w:val="mk-MK"/>
              </w:rPr>
              <w:t>)</w:t>
            </w:r>
          </w:p>
        </w:tc>
        <w:tc>
          <w:tcPr>
            <w:tcW w:w="757" w:type="pct"/>
            <w:shd w:val="clear" w:color="auto" w:fill="auto"/>
            <w:vAlign w:val="center"/>
          </w:tcPr>
          <w:p w14:paraId="2B2BF6EF" w14:textId="3B18358A"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rPr>
            </w:pPr>
            <w:r w:rsidRPr="00C149AB">
              <w:rPr>
                <w:rFonts w:ascii="Arial" w:hAnsi="Arial" w:cs="Arial"/>
                <w:sz w:val="18"/>
                <w:lang w:val="en-US"/>
              </w:rPr>
              <w:t>2029</w:t>
            </w:r>
            <w:r w:rsidR="00C232D7" w:rsidRPr="00C149AB">
              <w:rPr>
                <w:rFonts w:ascii="Arial" w:hAnsi="Arial" w:cs="Arial"/>
                <w:sz w:val="18"/>
                <w:lang w:val="mk-MK"/>
              </w:rPr>
              <w:t>: 100%</w:t>
            </w:r>
          </w:p>
        </w:tc>
      </w:tr>
      <w:tr w:rsidR="00C232D7" w:rsidRPr="00C149AB" w14:paraId="1028D731"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24" w:type="pct"/>
            <w:shd w:val="clear" w:color="auto" w:fill="auto"/>
          </w:tcPr>
          <w:p w14:paraId="16DF2E34"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sq-AL"/>
              </w:rPr>
              <w:t>Odvojeno sakupljanje biorazgradivog otpada</w:t>
            </w:r>
          </w:p>
        </w:tc>
        <w:tc>
          <w:tcPr>
            <w:tcW w:w="1500" w:type="pct"/>
            <w:shd w:val="clear" w:color="auto" w:fill="auto"/>
            <w:vAlign w:val="center"/>
          </w:tcPr>
          <w:p w14:paraId="0AFC3CFD" w14:textId="16F95E7D" w:rsidR="00C232D7" w:rsidRPr="00C149AB" w:rsidRDefault="00E57399"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24.233 t/god (</w:t>
            </w:r>
            <w:r w:rsidR="00C232D7" w:rsidRPr="00C149AB">
              <w:rPr>
                <w:rFonts w:ascii="Arial" w:hAnsi="Arial" w:cs="Arial"/>
                <w:sz w:val="18"/>
                <w:szCs w:val="20"/>
                <w:lang w:val="mk-MK"/>
              </w:rPr>
              <w:t>7% ukupnog otpada)</w:t>
            </w:r>
          </w:p>
          <w:p w14:paraId="09BC5CF4" w14:textId="080D4B82"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E57399" w:rsidRPr="00C149AB">
              <w:rPr>
                <w:rFonts w:ascii="Arial" w:hAnsi="Arial" w:cs="Arial"/>
                <w:sz w:val="18"/>
                <w:szCs w:val="20"/>
                <w:lang w:val="mk-MK"/>
              </w:rPr>
              <w:t>: 24.063 t/god (</w:t>
            </w:r>
            <w:r w:rsidR="00C232D7" w:rsidRPr="00C149AB">
              <w:rPr>
                <w:rFonts w:ascii="Arial" w:hAnsi="Arial" w:cs="Arial"/>
                <w:sz w:val="18"/>
                <w:szCs w:val="20"/>
                <w:lang w:val="mk-MK"/>
              </w:rPr>
              <w:t>7% ukupnog otpada)</w:t>
            </w:r>
          </w:p>
        </w:tc>
        <w:tc>
          <w:tcPr>
            <w:tcW w:w="1519" w:type="pct"/>
            <w:shd w:val="clear" w:color="auto" w:fill="auto"/>
            <w:vAlign w:val="center"/>
          </w:tcPr>
          <w:p w14:paraId="1A46A21B" w14:textId="67FD78C2" w:rsidR="00C232D7" w:rsidRPr="00C149AB" w:rsidRDefault="00E57399"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8.202 t/god (</w:t>
            </w:r>
            <w:r w:rsidR="00C232D7" w:rsidRPr="00C149AB">
              <w:rPr>
                <w:rFonts w:ascii="Arial" w:hAnsi="Arial" w:cs="Arial"/>
                <w:sz w:val="18"/>
                <w:szCs w:val="20"/>
                <w:lang w:val="mk-MK"/>
              </w:rPr>
              <w:t>2% ukupnog otpada)</w:t>
            </w:r>
          </w:p>
          <w:p w14:paraId="22C5B8C2" w14:textId="2671EC21"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xml:space="preserve">: 8.294 t/god </w:t>
            </w:r>
            <w:r w:rsidR="00E57399" w:rsidRPr="00C149AB">
              <w:rPr>
                <w:rFonts w:ascii="Arial" w:hAnsi="Arial" w:cs="Arial"/>
                <w:sz w:val="18"/>
                <w:szCs w:val="20"/>
                <w:lang w:val="mk-MK"/>
              </w:rPr>
              <w:t>(</w:t>
            </w:r>
            <w:r w:rsidR="00C232D7" w:rsidRPr="00C149AB">
              <w:rPr>
                <w:rFonts w:ascii="Arial" w:hAnsi="Arial" w:cs="Arial"/>
                <w:sz w:val="18"/>
                <w:szCs w:val="20"/>
                <w:lang w:val="mk-MK"/>
              </w:rPr>
              <w:t>2% ukupnog otpada)</w:t>
            </w:r>
          </w:p>
        </w:tc>
        <w:tc>
          <w:tcPr>
            <w:tcW w:w="757" w:type="pct"/>
            <w:shd w:val="clear" w:color="auto" w:fill="auto"/>
            <w:vAlign w:val="center"/>
          </w:tcPr>
          <w:p w14:paraId="164DA0E1" w14:textId="77777777"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 xml:space="preserve">2025: 34% </w:t>
            </w:r>
          </w:p>
          <w:p w14:paraId="3B218645" w14:textId="67AB6470"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34%</w:t>
            </w:r>
          </w:p>
        </w:tc>
      </w:tr>
      <w:tr w:rsidR="00C232D7" w:rsidRPr="00C149AB" w14:paraId="5D1A3F27"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24" w:type="pct"/>
            <w:shd w:val="clear" w:color="auto" w:fill="auto"/>
          </w:tcPr>
          <w:p w14:paraId="09D42947"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sq-AL"/>
              </w:rPr>
              <w:t>Kućno kompostiranje</w:t>
            </w:r>
          </w:p>
        </w:tc>
        <w:tc>
          <w:tcPr>
            <w:tcW w:w="1500" w:type="pct"/>
            <w:shd w:val="clear" w:color="auto" w:fill="auto"/>
            <w:vAlign w:val="center"/>
          </w:tcPr>
          <w:p w14:paraId="2B403E4B" w14:textId="204F6181" w:rsidR="00C232D7" w:rsidRPr="00C149AB" w:rsidRDefault="00E57399"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5.624 t/god (</w:t>
            </w:r>
            <w:r w:rsidR="00C232D7" w:rsidRPr="00C149AB">
              <w:rPr>
                <w:rFonts w:ascii="Arial" w:hAnsi="Arial" w:cs="Arial"/>
                <w:sz w:val="18"/>
                <w:szCs w:val="20"/>
                <w:lang w:val="mk-MK"/>
              </w:rPr>
              <w:t>1.6% ukupnog otpada)</w:t>
            </w:r>
          </w:p>
          <w:p w14:paraId="5AA2913F" w14:textId="60550246"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E57399" w:rsidRPr="00C149AB">
              <w:rPr>
                <w:rFonts w:ascii="Arial" w:hAnsi="Arial" w:cs="Arial"/>
                <w:sz w:val="18"/>
                <w:szCs w:val="20"/>
                <w:lang w:val="mk-MK"/>
              </w:rPr>
              <w:t>: 5.584 t/god (</w:t>
            </w:r>
            <w:r w:rsidR="00C232D7" w:rsidRPr="00C149AB">
              <w:rPr>
                <w:rFonts w:ascii="Arial" w:hAnsi="Arial" w:cs="Arial"/>
                <w:sz w:val="18"/>
                <w:szCs w:val="20"/>
                <w:lang w:val="mk-MK"/>
              </w:rPr>
              <w:t>1.6% ukupnog otpada)</w:t>
            </w:r>
          </w:p>
        </w:tc>
        <w:tc>
          <w:tcPr>
            <w:tcW w:w="1519" w:type="pct"/>
            <w:shd w:val="clear" w:color="auto" w:fill="auto"/>
            <w:vAlign w:val="center"/>
          </w:tcPr>
          <w:p w14:paraId="29AAFB19" w14:textId="2CD24363" w:rsidR="00C232D7" w:rsidRPr="00C149AB" w:rsidRDefault="00E57399"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5.624 t/god (</w:t>
            </w:r>
            <w:r w:rsidR="00C232D7" w:rsidRPr="00C149AB">
              <w:rPr>
                <w:rFonts w:ascii="Arial" w:hAnsi="Arial" w:cs="Arial"/>
                <w:sz w:val="18"/>
                <w:szCs w:val="20"/>
                <w:lang w:val="mk-MK"/>
              </w:rPr>
              <w:t>1.6% ukupnog otpada)</w:t>
            </w:r>
          </w:p>
          <w:p w14:paraId="1F6FC66D" w14:textId="46FDF0FA"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E57399" w:rsidRPr="00C149AB">
              <w:rPr>
                <w:rFonts w:ascii="Arial" w:hAnsi="Arial" w:cs="Arial"/>
                <w:sz w:val="18"/>
                <w:szCs w:val="20"/>
                <w:lang w:val="mk-MK"/>
              </w:rPr>
              <w:t>: 5.584 t/god (</w:t>
            </w:r>
            <w:r w:rsidR="00C232D7" w:rsidRPr="00C149AB">
              <w:rPr>
                <w:rFonts w:ascii="Arial" w:hAnsi="Arial" w:cs="Arial"/>
                <w:sz w:val="18"/>
                <w:szCs w:val="20"/>
                <w:lang w:val="mk-MK"/>
              </w:rPr>
              <w:t>1.6% ukupnog otpada)</w:t>
            </w:r>
          </w:p>
        </w:tc>
        <w:tc>
          <w:tcPr>
            <w:tcW w:w="757" w:type="pct"/>
            <w:shd w:val="clear" w:color="auto" w:fill="auto"/>
            <w:vAlign w:val="center"/>
          </w:tcPr>
          <w:p w14:paraId="1E1BFCFF"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100% </w:t>
            </w:r>
          </w:p>
          <w:p w14:paraId="32C57B5C" w14:textId="0F3F2083"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100%</w:t>
            </w:r>
          </w:p>
        </w:tc>
      </w:tr>
      <w:tr w:rsidR="00C232D7" w:rsidRPr="00C149AB" w14:paraId="22C3221E"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24" w:type="pct"/>
            <w:shd w:val="clear" w:color="auto" w:fill="auto"/>
            <w:vAlign w:val="center"/>
          </w:tcPr>
          <w:p w14:paraId="52F5A6FD"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sq-AL"/>
              </w:rPr>
              <w:t>Ukupno odvojeno sakupljanje otpada</w:t>
            </w:r>
          </w:p>
        </w:tc>
        <w:tc>
          <w:tcPr>
            <w:tcW w:w="1500" w:type="pct"/>
            <w:shd w:val="clear" w:color="auto" w:fill="auto"/>
            <w:vAlign w:val="center"/>
          </w:tcPr>
          <w:p w14:paraId="3514205C" w14:textId="09E67829" w:rsidR="00C232D7" w:rsidRPr="00C149AB" w:rsidRDefault="00E57399"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53.467 t/god (</w:t>
            </w:r>
            <w:r w:rsidR="00C232D7" w:rsidRPr="00C149AB">
              <w:rPr>
                <w:rFonts w:ascii="Arial" w:hAnsi="Arial" w:cs="Arial"/>
                <w:sz w:val="18"/>
                <w:szCs w:val="20"/>
                <w:lang w:val="mk-MK"/>
              </w:rPr>
              <w:t>15.0% ukupnog otpada)</w:t>
            </w:r>
          </w:p>
          <w:p w14:paraId="602A4B34" w14:textId="3ABD2E87"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E57399" w:rsidRPr="00C149AB">
              <w:rPr>
                <w:rFonts w:ascii="Arial" w:hAnsi="Arial" w:cs="Arial"/>
                <w:sz w:val="18"/>
                <w:szCs w:val="20"/>
                <w:lang w:val="mk-MK"/>
              </w:rPr>
              <w:t>: 75.691 t/god (</w:t>
            </w:r>
            <w:r w:rsidR="00C232D7" w:rsidRPr="00C149AB">
              <w:rPr>
                <w:rFonts w:ascii="Arial" w:hAnsi="Arial" w:cs="Arial"/>
                <w:sz w:val="18"/>
                <w:szCs w:val="20"/>
                <w:lang w:val="mk-MK"/>
              </w:rPr>
              <w:t>21.0% ukupnog otpada)</w:t>
            </w:r>
          </w:p>
        </w:tc>
        <w:tc>
          <w:tcPr>
            <w:tcW w:w="1519" w:type="pct"/>
            <w:shd w:val="clear" w:color="auto" w:fill="auto"/>
            <w:vAlign w:val="center"/>
          </w:tcPr>
          <w:p w14:paraId="5193E54D" w14:textId="3E594338" w:rsidR="00C232D7" w:rsidRPr="00C149AB" w:rsidRDefault="00E57399"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54.409 t/god (</w:t>
            </w:r>
            <w:r w:rsidR="00C232D7" w:rsidRPr="00C149AB">
              <w:rPr>
                <w:rFonts w:ascii="Arial" w:hAnsi="Arial" w:cs="Arial"/>
                <w:sz w:val="18"/>
                <w:szCs w:val="20"/>
                <w:lang w:val="mk-MK"/>
              </w:rPr>
              <w:t>15% ukupnog otpada)</w:t>
            </w:r>
          </w:p>
          <w:p w14:paraId="31D0ABE4" w14:textId="1122D17E"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E57399" w:rsidRPr="00C149AB">
              <w:rPr>
                <w:rFonts w:ascii="Arial" w:hAnsi="Arial" w:cs="Arial"/>
                <w:sz w:val="18"/>
                <w:szCs w:val="20"/>
                <w:lang w:val="mk-MK"/>
              </w:rPr>
              <w:t>: 80.119 t/god (</w:t>
            </w:r>
            <w:r w:rsidR="00C232D7" w:rsidRPr="00C149AB">
              <w:rPr>
                <w:rFonts w:ascii="Arial" w:hAnsi="Arial" w:cs="Arial"/>
                <w:sz w:val="18"/>
                <w:szCs w:val="20"/>
                <w:lang w:val="mk-MK"/>
              </w:rPr>
              <w:t>22% ukupnog otpada)</w:t>
            </w:r>
          </w:p>
        </w:tc>
        <w:tc>
          <w:tcPr>
            <w:tcW w:w="757" w:type="pct"/>
            <w:shd w:val="clear" w:color="auto" w:fill="auto"/>
            <w:vAlign w:val="center"/>
          </w:tcPr>
          <w:p w14:paraId="2D5F1967"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100% </w:t>
            </w:r>
          </w:p>
          <w:p w14:paraId="345E5A83" w14:textId="15093642"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100%</w:t>
            </w:r>
          </w:p>
        </w:tc>
      </w:tr>
    </w:tbl>
    <w:p w14:paraId="7BDC54F7"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Kao što je prikazano u gornjoj tabeli, opcija IIIa predstavlja nedostatke u ciljevima koji se odnose na  odvojeno sakupljanje otpada.</w:t>
      </w:r>
    </w:p>
    <w:p w14:paraId="4EB480AA" w14:textId="1BABECF0" w:rsidR="00C232D7" w:rsidRPr="002A6F4E" w:rsidRDefault="00C232D7" w:rsidP="00C232D7">
      <w:pPr>
        <w:shd w:val="clear" w:color="auto" w:fill="D9D9D9" w:themeFill="background1" w:themeFillShade="D9"/>
        <w:spacing w:before="120" w:after="120" w:line="360" w:lineRule="auto"/>
        <w:rPr>
          <w:rFonts w:ascii="Arial" w:hAnsi="Arial" w:cs="Arial"/>
          <w:b/>
          <w:i/>
          <w:lang w:val="sq-AL"/>
        </w:rPr>
      </w:pPr>
      <w:r w:rsidRPr="002A6F4E">
        <w:rPr>
          <w:rFonts w:ascii="Arial" w:hAnsi="Arial" w:cs="Arial"/>
          <w:b/>
          <w:i/>
          <w:lang w:val="sq-AL"/>
        </w:rPr>
        <w:t xml:space="preserve">Opcija IIIb: </w:t>
      </w:r>
      <w:r w:rsidR="003624CC">
        <w:rPr>
          <w:rFonts w:ascii="Arial" w:hAnsi="Arial" w:cs="Arial"/>
          <w:b/>
          <w:i/>
          <w:lang w:val="sq-AL"/>
        </w:rPr>
        <w:t>Uspostavljanje</w:t>
      </w:r>
      <w:r w:rsidR="003624CC" w:rsidRPr="002A6F4E">
        <w:rPr>
          <w:rFonts w:ascii="Arial" w:hAnsi="Arial" w:cs="Arial"/>
          <w:b/>
          <w:i/>
          <w:lang w:val="sq-AL"/>
        </w:rPr>
        <w:t xml:space="preserve"> </w:t>
      </w:r>
      <w:r w:rsidRPr="002A6F4E">
        <w:rPr>
          <w:rFonts w:ascii="Arial" w:hAnsi="Arial" w:cs="Arial"/>
          <w:b/>
          <w:i/>
          <w:lang w:val="sq-AL"/>
        </w:rPr>
        <w:t xml:space="preserve">odvojenog sakupljanja miješanog otpada koji se može reciklirati u sistemu dovoza otpada u urbanim sredinama i sistem </w:t>
      </w:r>
      <w:r w:rsidR="003624CC">
        <w:rPr>
          <w:rFonts w:ascii="Arial" w:hAnsi="Arial" w:cs="Arial"/>
          <w:b/>
          <w:i/>
          <w:lang w:val="sq-AL"/>
        </w:rPr>
        <w:t>“</w:t>
      </w:r>
      <w:r w:rsidRPr="002A6F4E">
        <w:rPr>
          <w:rFonts w:ascii="Arial" w:hAnsi="Arial" w:cs="Arial"/>
          <w:b/>
          <w:i/>
          <w:lang w:val="sq-AL"/>
        </w:rPr>
        <w:t>od vrata do vrata</w:t>
      </w:r>
      <w:r w:rsidR="003624CC">
        <w:rPr>
          <w:rFonts w:ascii="Arial" w:hAnsi="Arial" w:cs="Arial"/>
          <w:b/>
          <w:i/>
          <w:lang w:val="sq-AL"/>
        </w:rPr>
        <w:t>”</w:t>
      </w:r>
      <w:r w:rsidRPr="002A6F4E">
        <w:rPr>
          <w:rFonts w:ascii="Arial" w:hAnsi="Arial" w:cs="Arial"/>
          <w:b/>
          <w:i/>
          <w:lang w:val="sq-AL"/>
        </w:rPr>
        <w:t>, u ruralnim područjima i pojedinačnim stanovima u urbanim sredinama</w:t>
      </w:r>
    </w:p>
    <w:p w14:paraId="7DB8DA30" w14:textId="77777777" w:rsidR="00C232D7" w:rsidRPr="002A6F4E" w:rsidRDefault="00C232D7" w:rsidP="00C232D7">
      <w:pPr>
        <w:spacing w:before="120" w:after="120" w:line="360" w:lineRule="auto"/>
        <w:rPr>
          <w:rFonts w:ascii="Arial" w:hAnsi="Arial" w:cs="Arial"/>
          <w:color w:val="000000"/>
          <w:lang w:val="sq-AL"/>
        </w:rPr>
      </w:pPr>
      <w:r w:rsidRPr="002A6F4E">
        <w:rPr>
          <w:rFonts w:ascii="Arial" w:hAnsi="Arial" w:cs="Arial"/>
          <w:color w:val="000000"/>
          <w:lang w:val="sq-AL"/>
        </w:rPr>
        <w:t>Opcija IIIb se sastoji od sljedećih elemenata:</w:t>
      </w:r>
    </w:p>
    <w:p w14:paraId="37975AE0" w14:textId="2DAD6F48"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Proširenje sistema sakupljanja otpada kako bi se obuhvatilo </w:t>
      </w:r>
      <w:r w:rsidR="003624CC">
        <w:rPr>
          <w:rFonts w:ascii="Arial" w:hAnsi="Arial" w:cs="Arial"/>
          <w:color w:val="000000"/>
          <w:lang w:val="sq-AL"/>
        </w:rPr>
        <w:t>cjelokupno</w:t>
      </w:r>
      <w:r w:rsidR="003624CC" w:rsidRPr="002A6F4E">
        <w:rPr>
          <w:rFonts w:ascii="Arial" w:hAnsi="Arial" w:cs="Arial"/>
          <w:color w:val="000000"/>
          <w:lang w:val="sq-AL"/>
        </w:rPr>
        <w:t xml:space="preserve"> </w:t>
      </w:r>
      <w:r w:rsidRPr="002A6F4E">
        <w:rPr>
          <w:rFonts w:ascii="Arial" w:hAnsi="Arial" w:cs="Arial"/>
          <w:color w:val="000000"/>
          <w:lang w:val="sq-AL"/>
        </w:rPr>
        <w:t>stanovništvo Crne Gore;</w:t>
      </w:r>
    </w:p>
    <w:p w14:paraId="44860B88" w14:textId="7192EA8E" w:rsidR="00C232D7" w:rsidRPr="002A6F4E" w:rsidRDefault="00777714" w:rsidP="00A23ED0">
      <w:pPr>
        <w:pStyle w:val="ListParagraph"/>
        <w:numPr>
          <w:ilvl w:val="0"/>
          <w:numId w:val="42"/>
        </w:numPr>
        <w:spacing w:before="120" w:after="120" w:line="360" w:lineRule="auto"/>
        <w:contextualSpacing w:val="0"/>
        <w:rPr>
          <w:rFonts w:ascii="Arial" w:hAnsi="Arial" w:cs="Arial"/>
          <w:color w:val="000000"/>
          <w:lang w:val="sq-AL"/>
        </w:rPr>
      </w:pPr>
      <w:r>
        <w:rPr>
          <w:rFonts w:ascii="Arial" w:hAnsi="Arial" w:cs="Arial"/>
          <w:color w:val="000000"/>
          <w:lang w:val="sq-AL"/>
        </w:rPr>
        <w:t>M</w:t>
      </w:r>
      <w:r w:rsidR="00C232D7" w:rsidRPr="002A6F4E">
        <w:rPr>
          <w:rFonts w:ascii="Arial" w:hAnsi="Arial" w:cs="Arial"/>
          <w:color w:val="000000"/>
          <w:lang w:val="sq-AL"/>
        </w:rPr>
        <w:t xml:space="preserve">iješani otpad koji se može reciklirati sakuplja se u kontejnere zapremine  1,1 </w:t>
      </w:r>
      <w:r w:rsidR="00C232D7" w:rsidRPr="002A6F4E">
        <w:rPr>
          <w:rFonts w:ascii="Arial" w:hAnsi="Arial" w:cs="Arial"/>
          <w:lang w:val="sq-AL"/>
        </w:rPr>
        <w:t>m</w:t>
      </w:r>
      <w:r w:rsidR="00C232D7" w:rsidRPr="002A6F4E">
        <w:rPr>
          <w:rFonts w:ascii="Arial" w:hAnsi="Arial" w:cs="Arial"/>
          <w:vertAlign w:val="superscript"/>
          <w:lang w:val="sq-AL"/>
        </w:rPr>
        <w:t>3</w:t>
      </w:r>
      <w:r w:rsidR="00045FDB">
        <w:rPr>
          <w:rFonts w:ascii="Arial" w:hAnsi="Arial" w:cs="Arial"/>
          <w:lang w:val="sq-AL"/>
        </w:rPr>
        <w:t>,</w:t>
      </w:r>
      <w:r w:rsidR="00C232D7" w:rsidRPr="002A6F4E">
        <w:rPr>
          <w:rFonts w:ascii="Arial" w:hAnsi="Arial" w:cs="Arial"/>
          <w:vertAlign w:val="superscript"/>
          <w:lang w:val="sq-AL"/>
        </w:rPr>
        <w:t xml:space="preserve"> </w:t>
      </w:r>
      <w:r w:rsidR="00C232D7" w:rsidRPr="002A6F4E">
        <w:rPr>
          <w:rFonts w:ascii="Arial" w:hAnsi="Arial" w:cs="Arial"/>
          <w:color w:val="000000"/>
          <w:lang w:val="sq-AL"/>
        </w:rPr>
        <w:t>a zatim se odvozi u postojeća i nova MRF postrojenja koja će se uspostaviti; (vidjeti sljedeća poglavlja);</w:t>
      </w:r>
    </w:p>
    <w:p w14:paraId="6575372C" w14:textId="43B444EC" w:rsidR="00C232D7" w:rsidRPr="002A6F4E" w:rsidRDefault="00777714" w:rsidP="00A23ED0">
      <w:pPr>
        <w:pStyle w:val="ListParagraph"/>
        <w:numPr>
          <w:ilvl w:val="0"/>
          <w:numId w:val="42"/>
        </w:numPr>
        <w:spacing w:before="120" w:after="120" w:line="360" w:lineRule="auto"/>
        <w:contextualSpacing w:val="0"/>
        <w:rPr>
          <w:rFonts w:ascii="Arial" w:hAnsi="Arial" w:cs="Arial"/>
          <w:color w:val="000000"/>
          <w:lang w:val="sq-AL"/>
        </w:rPr>
      </w:pPr>
      <w:r>
        <w:rPr>
          <w:rFonts w:ascii="Arial" w:hAnsi="Arial" w:cs="Arial"/>
          <w:color w:val="000000"/>
          <w:lang w:val="sq-AL"/>
        </w:rPr>
        <w:t>M</w:t>
      </w:r>
      <w:r w:rsidR="00C232D7" w:rsidRPr="002A6F4E">
        <w:rPr>
          <w:rFonts w:ascii="Arial" w:hAnsi="Arial" w:cs="Arial"/>
          <w:color w:val="000000"/>
          <w:lang w:val="sq-AL"/>
        </w:rPr>
        <w:t xml:space="preserve">iješani ambalažni otpad u ruralnim područjima i pojedinačnim stanovima u urbanim sredinama, kao i u velikim proizvođačima (npr. supermarketi, tržni centri, itd) sakuplja se </w:t>
      </w:r>
      <w:r w:rsidR="00045FDB">
        <w:rPr>
          <w:rFonts w:ascii="Arial" w:hAnsi="Arial" w:cs="Arial"/>
          <w:color w:val="000000"/>
          <w:lang w:val="sq-AL"/>
        </w:rPr>
        <w:t>po sistemu “</w:t>
      </w:r>
      <w:r w:rsidR="00C232D7" w:rsidRPr="002A6F4E">
        <w:rPr>
          <w:rFonts w:ascii="Arial" w:hAnsi="Arial" w:cs="Arial"/>
          <w:color w:val="000000"/>
          <w:lang w:val="sq-AL"/>
        </w:rPr>
        <w:t xml:space="preserve">od vrata </w:t>
      </w:r>
      <w:r w:rsidR="00C232D7" w:rsidRPr="002A6F4E">
        <w:rPr>
          <w:rFonts w:ascii="Arial" w:hAnsi="Arial" w:cs="Arial"/>
          <w:color w:val="000000"/>
          <w:lang w:val="sq-AL"/>
        </w:rPr>
        <w:lastRenderedPageBreak/>
        <w:t>do vrata</w:t>
      </w:r>
      <w:r w:rsidR="00045FDB">
        <w:rPr>
          <w:rFonts w:ascii="Arial" w:hAnsi="Arial" w:cs="Arial"/>
          <w:color w:val="000000"/>
          <w:lang w:val="sq-AL"/>
        </w:rPr>
        <w:t>”</w:t>
      </w:r>
      <w:r w:rsidR="00C232D7" w:rsidRPr="002A6F4E">
        <w:rPr>
          <w:rFonts w:ascii="Arial" w:hAnsi="Arial" w:cs="Arial"/>
          <w:color w:val="000000"/>
          <w:lang w:val="sq-AL"/>
        </w:rPr>
        <w:t xml:space="preserve"> u </w:t>
      </w:r>
      <w:r w:rsidR="005C4A0C">
        <w:rPr>
          <w:rFonts w:ascii="Arial" w:hAnsi="Arial" w:cs="Arial"/>
          <w:color w:val="000000"/>
          <w:lang w:val="sq-AL"/>
        </w:rPr>
        <w:t>posude</w:t>
      </w:r>
      <w:r w:rsidR="00C232D7" w:rsidRPr="002A6F4E">
        <w:rPr>
          <w:rFonts w:ascii="Arial" w:hAnsi="Arial" w:cs="Arial"/>
          <w:color w:val="000000"/>
          <w:lang w:val="sq-AL"/>
        </w:rPr>
        <w:t xml:space="preserve"> zapremine 120/240 l, a zatim se odvozi u postojeća i nova MRF postrojenja koja će se uspostaviti; (vidjeti sljedeća poglavlja);</w:t>
      </w:r>
    </w:p>
    <w:p w14:paraId="5CD279DC" w14:textId="75C4E6A0"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lang w:val="sq-AL"/>
        </w:rPr>
        <w:t>Odvojeno sakupljanje drveta će biti odgovornost proizvođača/trgovaca i transportovati</w:t>
      </w:r>
      <w:r w:rsidR="00045FDB">
        <w:rPr>
          <w:rFonts w:ascii="Arial" w:hAnsi="Arial" w:cs="Arial"/>
          <w:lang w:val="sq-AL"/>
        </w:rPr>
        <w:t xml:space="preserve"> će se</w:t>
      </w:r>
      <w:r w:rsidRPr="002A6F4E">
        <w:rPr>
          <w:rFonts w:ascii="Arial" w:hAnsi="Arial" w:cs="Arial"/>
          <w:lang w:val="sq-AL"/>
        </w:rPr>
        <w:t xml:space="preserve"> do reciklera preko predloženih Centara za sakupljanje otpada;</w:t>
      </w:r>
    </w:p>
    <w:p w14:paraId="1199D5D3" w14:textId="5F2AD66A" w:rsidR="00C232D7" w:rsidRPr="002A6F4E" w:rsidRDefault="00C232D7" w:rsidP="00A23ED0">
      <w:pPr>
        <w:pStyle w:val="ListParagraph"/>
        <w:numPr>
          <w:ilvl w:val="0"/>
          <w:numId w:val="42"/>
        </w:numPr>
        <w:spacing w:before="120" w:after="120" w:line="360" w:lineRule="auto"/>
        <w:contextualSpacing w:val="0"/>
        <w:rPr>
          <w:rFonts w:ascii="Arial" w:hAnsi="Arial" w:cs="Arial"/>
          <w:lang w:val="sq-AL"/>
        </w:rPr>
      </w:pPr>
      <w:r w:rsidRPr="002A6F4E">
        <w:rPr>
          <w:rFonts w:ascii="Arial" w:hAnsi="Arial" w:cs="Arial"/>
          <w:color w:val="000000"/>
          <w:lang w:val="sq-AL"/>
        </w:rPr>
        <w:t xml:space="preserve">Zeleni otpad se sakuplja u većim količinama, korišćenjem otvorenih kipera zapremine </w:t>
      </w:r>
      <w:r w:rsidRPr="002A6F4E">
        <w:rPr>
          <w:rFonts w:ascii="Arial" w:hAnsi="Arial" w:cs="Arial"/>
          <w:lang w:val="sq-AL"/>
        </w:rPr>
        <w:t>6m</w:t>
      </w:r>
      <w:r w:rsidRPr="002A6F4E">
        <w:rPr>
          <w:rFonts w:ascii="Arial" w:hAnsi="Arial" w:cs="Arial"/>
          <w:vertAlign w:val="superscript"/>
          <w:lang w:val="sq-AL"/>
        </w:rPr>
        <w:t>3</w:t>
      </w:r>
      <w:r w:rsidR="00045FDB">
        <w:rPr>
          <w:rFonts w:ascii="Arial" w:hAnsi="Arial" w:cs="Arial"/>
          <w:lang w:val="sq-AL"/>
        </w:rPr>
        <w:t>,</w:t>
      </w:r>
      <w:r w:rsidRPr="002A6F4E">
        <w:rPr>
          <w:rFonts w:ascii="Arial" w:hAnsi="Arial" w:cs="Arial"/>
          <w:lang w:val="sq-AL"/>
        </w:rPr>
        <w:t xml:space="preserve"> </w:t>
      </w:r>
      <w:r w:rsidRPr="002A6F4E">
        <w:rPr>
          <w:rFonts w:ascii="Arial" w:hAnsi="Arial" w:cs="Arial"/>
          <w:color w:val="000000"/>
          <w:lang w:val="sq-AL"/>
        </w:rPr>
        <w:t xml:space="preserve">a zatim se odvozi u postojeća postrojenja za kompostiranje; </w:t>
      </w:r>
    </w:p>
    <w:p w14:paraId="55ACBE84" w14:textId="3F6ADB27"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Rezidualni otpad se sakuplja u sistemu za dovoz otpada u urbanim sredinama i sistem </w:t>
      </w:r>
      <w:r w:rsidR="00045FDB">
        <w:rPr>
          <w:rFonts w:ascii="Arial" w:hAnsi="Arial" w:cs="Arial"/>
          <w:color w:val="000000"/>
          <w:lang w:val="sq-AL"/>
        </w:rPr>
        <w:t>“</w:t>
      </w:r>
      <w:r w:rsidRPr="002A6F4E">
        <w:rPr>
          <w:rFonts w:ascii="Arial" w:hAnsi="Arial" w:cs="Arial"/>
          <w:color w:val="000000"/>
          <w:lang w:val="sq-AL"/>
        </w:rPr>
        <w:t>od vrata do vrata</w:t>
      </w:r>
      <w:r w:rsidR="00045FDB">
        <w:rPr>
          <w:rFonts w:ascii="Arial" w:hAnsi="Arial" w:cs="Arial"/>
          <w:color w:val="000000"/>
          <w:lang w:val="sq-AL"/>
        </w:rPr>
        <w:t>”</w:t>
      </w:r>
      <w:r w:rsidRPr="002A6F4E">
        <w:rPr>
          <w:rFonts w:ascii="Arial" w:hAnsi="Arial" w:cs="Arial"/>
          <w:color w:val="000000"/>
          <w:lang w:val="sq-AL"/>
        </w:rPr>
        <w:t xml:space="preserve"> u ruralnim sredinama i pojedinačnim stanovima u urbanim sredinama;</w:t>
      </w:r>
    </w:p>
    <w:p w14:paraId="5F15B700" w14:textId="1DD0809D"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Otpad će se odlagati na postojeće i nove deponije koje će se izgraditi (vidjeti sljedeća poglavlja).</w:t>
      </w:r>
    </w:p>
    <w:p w14:paraId="5F1A6E2A" w14:textId="44DD2102" w:rsidR="00C232D7" w:rsidRPr="002A6F4E" w:rsidRDefault="00C232D7" w:rsidP="00C232D7">
      <w:pPr>
        <w:spacing w:before="120" w:after="120" w:line="360" w:lineRule="auto"/>
        <w:rPr>
          <w:rFonts w:ascii="Arial" w:hAnsi="Arial" w:cs="Arial"/>
          <w:i/>
          <w:iCs/>
          <w:u w:val="single"/>
          <w:lang w:val="sq-AL"/>
        </w:rPr>
      </w:pPr>
      <w:r w:rsidRPr="002A6F4E">
        <w:rPr>
          <w:rFonts w:ascii="Arial" w:hAnsi="Arial" w:cs="Arial"/>
          <w:lang w:val="sq-AL"/>
        </w:rPr>
        <w:t>Na sljedećoj slici prikazan je tok upravljanja otpadom</w:t>
      </w:r>
      <w:r w:rsidR="00A36E15">
        <w:rPr>
          <w:rFonts w:ascii="Arial" w:hAnsi="Arial" w:cs="Arial"/>
          <w:lang w:val="sq-AL"/>
        </w:rPr>
        <w:t xml:space="preserve"> u količinama</w:t>
      </w:r>
      <w:r w:rsidRPr="002A6F4E">
        <w:rPr>
          <w:rFonts w:ascii="Arial" w:hAnsi="Arial" w:cs="Arial"/>
          <w:lang w:val="sq-AL"/>
        </w:rPr>
        <w:t xml:space="preserve"> prema opciji IIIb </w:t>
      </w:r>
      <w:r w:rsidR="00045FDB">
        <w:rPr>
          <w:rFonts w:ascii="Arial" w:hAnsi="Arial" w:cs="Arial"/>
          <w:lang w:val="sq-AL"/>
        </w:rPr>
        <w:t xml:space="preserve">za </w:t>
      </w:r>
      <w:r w:rsidR="00FE289C" w:rsidRPr="002A6F4E">
        <w:rPr>
          <w:rFonts w:ascii="Arial" w:hAnsi="Arial" w:cs="Arial"/>
          <w:lang w:val="sq-AL"/>
        </w:rPr>
        <w:t>2029</w:t>
      </w:r>
      <w:r w:rsidRPr="002A6F4E">
        <w:rPr>
          <w:rFonts w:ascii="Arial" w:hAnsi="Arial" w:cs="Arial"/>
          <w:lang w:val="sq-AL"/>
        </w:rPr>
        <w:t xml:space="preserve">. godinu. </w:t>
      </w:r>
    </w:p>
    <w:p w14:paraId="14012211" w14:textId="62E2BD82"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U tabelama u nastavku sumirane su  indikativne dodatne potrebe za opremom za sakupljanje otpada na nivou zemlje. Napominje se da se tačan broj potrebnih </w:t>
      </w:r>
      <w:r w:rsidR="007B1545">
        <w:rPr>
          <w:rFonts w:ascii="Arial" w:hAnsi="Arial" w:cs="Arial"/>
          <w:lang w:val="sq-AL"/>
        </w:rPr>
        <w:t>posuda</w:t>
      </w:r>
      <w:r w:rsidRPr="002A6F4E">
        <w:rPr>
          <w:rFonts w:ascii="Arial" w:hAnsi="Arial" w:cs="Arial"/>
          <w:lang w:val="sq-AL"/>
        </w:rPr>
        <w:t xml:space="preserve">, kontejnera i </w:t>
      </w:r>
      <w:r w:rsidRPr="005A1BF5">
        <w:rPr>
          <w:rFonts w:ascii="Arial" w:hAnsi="Arial" w:cs="Arial"/>
          <w:lang w:val="sq-AL"/>
        </w:rPr>
        <w:t>vozila</w:t>
      </w:r>
      <w:r w:rsidRPr="002A6F4E">
        <w:rPr>
          <w:rFonts w:ascii="Arial" w:hAnsi="Arial" w:cs="Arial"/>
          <w:lang w:val="sq-AL"/>
        </w:rPr>
        <w:t xml:space="preserve"> odnosi na sistem sakupljanja otpada i raspored koji će se sprovoditi, kao i za potrebe zamijene postojećih </w:t>
      </w:r>
      <w:r w:rsidR="007B1545">
        <w:rPr>
          <w:rFonts w:ascii="Arial" w:hAnsi="Arial" w:cs="Arial"/>
          <w:lang w:val="sq-AL"/>
        </w:rPr>
        <w:t>posuda</w:t>
      </w:r>
      <w:r w:rsidRPr="002A6F4E">
        <w:rPr>
          <w:rFonts w:ascii="Arial" w:hAnsi="Arial" w:cs="Arial"/>
          <w:lang w:val="sq-AL"/>
        </w:rPr>
        <w:t>.</w:t>
      </w:r>
    </w:p>
    <w:p w14:paraId="436CB573" w14:textId="0F252C72" w:rsidR="00C232D7" w:rsidRPr="00C149AB" w:rsidRDefault="00C232D7" w:rsidP="00C232D7">
      <w:pPr>
        <w:pStyle w:val="Caption"/>
        <w:rPr>
          <w:rFonts w:ascii="Arial" w:hAnsi="Arial" w:cs="Arial"/>
          <w:b w:val="0"/>
          <w:szCs w:val="20"/>
          <w:lang w:val="sq-AL"/>
        </w:rPr>
      </w:pPr>
      <w:bookmarkStart w:id="1038" w:name="_Toc189515639"/>
      <w:bookmarkStart w:id="1039" w:name="_Toc190160757"/>
      <w:r w:rsidRPr="00C149AB">
        <w:rPr>
          <w:rFonts w:ascii="Arial" w:hAnsi="Arial" w:cs="Arial"/>
          <w:b w:val="0"/>
          <w:szCs w:val="20"/>
          <w:lang w:val="sq-AL"/>
        </w:rPr>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63</w:t>
      </w:r>
      <w:r w:rsidRPr="00C149AB">
        <w:rPr>
          <w:rFonts w:ascii="Arial" w:hAnsi="Arial" w:cs="Arial"/>
          <w:b w:val="0"/>
          <w:szCs w:val="20"/>
        </w:rPr>
        <w:fldChar w:fldCharType="end"/>
      </w:r>
      <w:r w:rsidRPr="00C149AB">
        <w:rPr>
          <w:rFonts w:ascii="Arial" w:hAnsi="Arial" w:cs="Arial"/>
          <w:b w:val="0"/>
          <w:szCs w:val="20"/>
          <w:lang w:val="sq-AL"/>
        </w:rPr>
        <w:t xml:space="preserve"> Broj dodatnih </w:t>
      </w:r>
      <w:r w:rsidR="007B1545" w:rsidRPr="00C149AB">
        <w:rPr>
          <w:rFonts w:ascii="Arial" w:hAnsi="Arial" w:cs="Arial"/>
          <w:b w:val="0"/>
          <w:szCs w:val="20"/>
          <w:lang w:val="sq-AL"/>
        </w:rPr>
        <w:t>posuda</w:t>
      </w:r>
      <w:r w:rsidRPr="00C149AB">
        <w:rPr>
          <w:rFonts w:ascii="Arial" w:hAnsi="Arial" w:cs="Arial"/>
          <w:b w:val="0"/>
          <w:szCs w:val="20"/>
          <w:lang w:val="sq-AL"/>
        </w:rPr>
        <w:t>/kontejnera neophodnih za opciju IIIb</w:t>
      </w:r>
      <w:bookmarkEnd w:id="1038"/>
      <w:bookmarkEnd w:id="1039"/>
    </w:p>
    <w:tbl>
      <w:tblPr>
        <w:tblW w:w="3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1816"/>
        <w:gridCol w:w="1509"/>
      </w:tblGrid>
      <w:tr w:rsidR="00C232D7" w:rsidRPr="00C149AB" w14:paraId="3E0A6258" w14:textId="77777777" w:rsidTr="00A36E15">
        <w:trPr>
          <w:trHeight w:val="293"/>
          <w:tblHeader/>
          <w:jc w:val="center"/>
        </w:trPr>
        <w:tc>
          <w:tcPr>
            <w:tcW w:w="215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3C79CC0D" w14:textId="4F49405B"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 xml:space="preserve">Vrsta </w:t>
            </w:r>
            <w:r w:rsidR="005C4A0C" w:rsidRPr="00C149AB">
              <w:rPr>
                <w:rFonts w:ascii="Arial" w:hAnsi="Arial" w:cs="Arial"/>
                <w:b/>
                <w:bCs/>
                <w:color w:val="000000"/>
                <w:sz w:val="18"/>
                <w:lang w:val="sq-AL"/>
              </w:rPr>
              <w:t>posude</w:t>
            </w:r>
            <w:r w:rsidRPr="00C149AB">
              <w:rPr>
                <w:rFonts w:ascii="Arial" w:hAnsi="Arial" w:cs="Arial"/>
                <w:b/>
                <w:bCs/>
                <w:color w:val="000000"/>
                <w:sz w:val="18"/>
                <w:lang w:val="sq-AL"/>
              </w:rPr>
              <w:t>/kontejnera</w:t>
            </w:r>
          </w:p>
        </w:tc>
        <w:tc>
          <w:tcPr>
            <w:tcW w:w="284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2795EF4F" w14:textId="39BB9709" w:rsidR="00C232D7" w:rsidRPr="00C149AB" w:rsidRDefault="00FE289C"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2029</w:t>
            </w:r>
          </w:p>
        </w:tc>
      </w:tr>
      <w:tr w:rsidR="00C232D7" w:rsidRPr="00C149AB" w14:paraId="2FC187E6" w14:textId="77777777" w:rsidTr="00A36E15">
        <w:trPr>
          <w:trHeight w:val="293"/>
          <w:tblHeader/>
          <w:jc w:val="center"/>
        </w:trPr>
        <w:tc>
          <w:tcPr>
            <w:tcW w:w="215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6BB019" w14:textId="77777777" w:rsidR="00C232D7" w:rsidRPr="00C149AB" w:rsidRDefault="00C232D7" w:rsidP="00C232D7">
            <w:pPr>
              <w:spacing w:before="60" w:after="60" w:line="360" w:lineRule="auto"/>
              <w:rPr>
                <w:rFonts w:ascii="Arial" w:hAnsi="Arial" w:cs="Arial"/>
                <w:b/>
                <w:bCs/>
                <w:color w:val="000000"/>
                <w:sz w:val="18"/>
                <w:lang w:val="sq-AL"/>
              </w:rPr>
            </w:pPr>
          </w:p>
        </w:tc>
        <w:tc>
          <w:tcPr>
            <w:tcW w:w="1554"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14F78A9"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Rezidualni otpad</w:t>
            </w:r>
          </w:p>
        </w:tc>
        <w:tc>
          <w:tcPr>
            <w:tcW w:w="129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D4D378"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Otpad koji se može reciklirati</w:t>
            </w:r>
          </w:p>
        </w:tc>
      </w:tr>
      <w:tr w:rsidR="00C232D7" w:rsidRPr="00C149AB" w14:paraId="19DC45C7" w14:textId="77777777" w:rsidTr="00A36E15">
        <w:trPr>
          <w:trHeight w:val="318"/>
          <w:jc w:val="center"/>
        </w:trPr>
        <w:tc>
          <w:tcPr>
            <w:tcW w:w="2155" w:type="pct"/>
            <w:tcBorders>
              <w:top w:val="single" w:sz="4" w:space="0" w:color="auto"/>
              <w:left w:val="single" w:sz="4" w:space="0" w:color="auto"/>
              <w:bottom w:val="single" w:sz="4" w:space="0" w:color="auto"/>
              <w:right w:val="single" w:sz="4" w:space="0" w:color="auto"/>
            </w:tcBorders>
            <w:noWrap/>
          </w:tcPr>
          <w:p w14:paraId="2E874C36" w14:textId="41B721B2" w:rsidR="00C232D7" w:rsidRPr="00C149AB" w:rsidRDefault="00045FDB" w:rsidP="00C232D7">
            <w:pPr>
              <w:spacing w:before="60" w:after="60" w:line="360" w:lineRule="auto"/>
              <w:rPr>
                <w:rFonts w:ascii="Arial" w:hAnsi="Arial" w:cs="Arial"/>
                <w:color w:val="000000"/>
                <w:sz w:val="18"/>
                <w:lang w:val="sq-AL"/>
              </w:rPr>
            </w:pPr>
            <w:r>
              <w:rPr>
                <w:rFonts w:ascii="Arial" w:hAnsi="Arial" w:cs="Arial"/>
                <w:color w:val="000000"/>
                <w:sz w:val="18"/>
                <w:lang w:val="sq-AL"/>
              </w:rPr>
              <w:t>Kontejneri</w:t>
            </w:r>
            <w:r w:rsidRPr="00C149AB">
              <w:rPr>
                <w:rFonts w:ascii="Arial" w:hAnsi="Arial" w:cs="Arial"/>
                <w:color w:val="000000"/>
                <w:sz w:val="18"/>
                <w:lang w:val="sq-AL"/>
              </w:rPr>
              <w:t xml:space="preserve"> </w:t>
            </w:r>
            <w:r w:rsidR="00C232D7" w:rsidRPr="00C149AB">
              <w:rPr>
                <w:rFonts w:ascii="Arial" w:hAnsi="Arial" w:cs="Arial"/>
                <w:color w:val="000000"/>
                <w:sz w:val="18"/>
                <w:lang w:val="sq-AL"/>
              </w:rPr>
              <w:t>1.1 m</w:t>
            </w:r>
            <w:r w:rsidR="00C232D7" w:rsidRPr="00C149AB">
              <w:rPr>
                <w:rFonts w:ascii="Arial" w:hAnsi="Arial" w:cs="Arial"/>
                <w:color w:val="000000"/>
                <w:sz w:val="18"/>
                <w:vertAlign w:val="superscript"/>
                <w:lang w:val="sq-AL"/>
              </w:rPr>
              <w:t>3</w:t>
            </w:r>
          </w:p>
        </w:tc>
        <w:tc>
          <w:tcPr>
            <w:tcW w:w="1554" w:type="pct"/>
            <w:tcBorders>
              <w:top w:val="single" w:sz="4" w:space="0" w:color="auto"/>
              <w:left w:val="single" w:sz="4" w:space="0" w:color="auto"/>
              <w:bottom w:val="single" w:sz="4" w:space="0" w:color="auto"/>
              <w:right w:val="single" w:sz="4" w:space="0" w:color="auto"/>
            </w:tcBorders>
            <w:noWrap/>
            <w:vAlign w:val="bottom"/>
          </w:tcPr>
          <w:p w14:paraId="17837C4D"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512</w:t>
            </w:r>
          </w:p>
        </w:tc>
        <w:tc>
          <w:tcPr>
            <w:tcW w:w="1291" w:type="pct"/>
            <w:tcBorders>
              <w:top w:val="single" w:sz="4" w:space="0" w:color="auto"/>
              <w:left w:val="single" w:sz="4" w:space="0" w:color="auto"/>
              <w:bottom w:val="single" w:sz="4" w:space="0" w:color="auto"/>
              <w:right w:val="single" w:sz="4" w:space="0" w:color="auto"/>
            </w:tcBorders>
            <w:vAlign w:val="bottom"/>
          </w:tcPr>
          <w:p w14:paraId="2A4450CB"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10,524</w:t>
            </w:r>
          </w:p>
        </w:tc>
      </w:tr>
      <w:tr w:rsidR="00C232D7" w:rsidRPr="00C149AB" w14:paraId="7AD4054C" w14:textId="77777777" w:rsidTr="00A36E15">
        <w:trPr>
          <w:trHeight w:val="318"/>
          <w:jc w:val="center"/>
        </w:trPr>
        <w:tc>
          <w:tcPr>
            <w:tcW w:w="2155" w:type="pct"/>
            <w:tcBorders>
              <w:top w:val="single" w:sz="4" w:space="0" w:color="auto"/>
              <w:left w:val="single" w:sz="4" w:space="0" w:color="auto"/>
              <w:bottom w:val="single" w:sz="4" w:space="0" w:color="auto"/>
              <w:right w:val="single" w:sz="4" w:space="0" w:color="auto"/>
            </w:tcBorders>
            <w:noWrap/>
          </w:tcPr>
          <w:p w14:paraId="326DA874"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240 l</w:t>
            </w:r>
          </w:p>
        </w:tc>
        <w:tc>
          <w:tcPr>
            <w:tcW w:w="1554" w:type="pct"/>
            <w:tcBorders>
              <w:top w:val="single" w:sz="4" w:space="0" w:color="auto"/>
              <w:left w:val="single" w:sz="4" w:space="0" w:color="auto"/>
              <w:bottom w:val="single" w:sz="4" w:space="0" w:color="auto"/>
              <w:right w:val="single" w:sz="4" w:space="0" w:color="auto"/>
            </w:tcBorders>
            <w:noWrap/>
            <w:vAlign w:val="bottom"/>
          </w:tcPr>
          <w:p w14:paraId="33E436B8"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3,835</w:t>
            </w:r>
          </w:p>
        </w:tc>
        <w:tc>
          <w:tcPr>
            <w:tcW w:w="1291" w:type="pct"/>
            <w:tcBorders>
              <w:top w:val="single" w:sz="4" w:space="0" w:color="auto"/>
              <w:left w:val="single" w:sz="4" w:space="0" w:color="auto"/>
              <w:bottom w:val="single" w:sz="4" w:space="0" w:color="auto"/>
              <w:right w:val="single" w:sz="4" w:space="0" w:color="auto"/>
            </w:tcBorders>
            <w:vAlign w:val="bottom"/>
          </w:tcPr>
          <w:p w14:paraId="5513FCBF"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4,411</w:t>
            </w:r>
          </w:p>
        </w:tc>
      </w:tr>
      <w:tr w:rsidR="00C232D7" w:rsidRPr="00C149AB" w14:paraId="5EAE2A4F" w14:textId="77777777" w:rsidTr="00A36E15">
        <w:trPr>
          <w:trHeight w:val="318"/>
          <w:jc w:val="center"/>
        </w:trPr>
        <w:tc>
          <w:tcPr>
            <w:tcW w:w="2155" w:type="pct"/>
            <w:tcBorders>
              <w:top w:val="single" w:sz="4" w:space="0" w:color="auto"/>
              <w:left w:val="single" w:sz="4" w:space="0" w:color="auto"/>
              <w:bottom w:val="single" w:sz="4" w:space="0" w:color="auto"/>
              <w:right w:val="single" w:sz="4" w:space="0" w:color="auto"/>
            </w:tcBorders>
            <w:noWrap/>
          </w:tcPr>
          <w:p w14:paraId="32DC339D"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120 l</w:t>
            </w:r>
          </w:p>
        </w:tc>
        <w:tc>
          <w:tcPr>
            <w:tcW w:w="1554" w:type="pct"/>
            <w:tcBorders>
              <w:top w:val="single" w:sz="4" w:space="0" w:color="auto"/>
              <w:left w:val="single" w:sz="4" w:space="0" w:color="auto"/>
              <w:bottom w:val="single" w:sz="4" w:space="0" w:color="auto"/>
              <w:right w:val="single" w:sz="4" w:space="0" w:color="auto"/>
            </w:tcBorders>
            <w:noWrap/>
            <w:vAlign w:val="bottom"/>
          </w:tcPr>
          <w:p w14:paraId="44B4E361"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90,996</w:t>
            </w:r>
          </w:p>
        </w:tc>
        <w:tc>
          <w:tcPr>
            <w:tcW w:w="1291" w:type="pct"/>
            <w:tcBorders>
              <w:top w:val="single" w:sz="4" w:space="0" w:color="auto"/>
              <w:left w:val="single" w:sz="4" w:space="0" w:color="auto"/>
              <w:bottom w:val="single" w:sz="4" w:space="0" w:color="auto"/>
              <w:right w:val="single" w:sz="4" w:space="0" w:color="auto"/>
            </w:tcBorders>
            <w:vAlign w:val="bottom"/>
          </w:tcPr>
          <w:p w14:paraId="6A83D5CE"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90,996</w:t>
            </w:r>
          </w:p>
        </w:tc>
      </w:tr>
      <w:tr w:rsidR="00C232D7" w:rsidRPr="00C149AB" w14:paraId="7C66A3DA" w14:textId="77777777" w:rsidTr="00A36E15">
        <w:trPr>
          <w:trHeight w:val="293"/>
          <w:jc w:val="center"/>
        </w:trPr>
        <w:tc>
          <w:tcPr>
            <w:tcW w:w="2155" w:type="pct"/>
            <w:tcBorders>
              <w:top w:val="single" w:sz="4" w:space="0" w:color="auto"/>
              <w:left w:val="single" w:sz="4" w:space="0" w:color="auto"/>
              <w:bottom w:val="single" w:sz="4" w:space="0" w:color="auto"/>
              <w:right w:val="single" w:sz="4" w:space="0" w:color="auto"/>
            </w:tcBorders>
            <w:noWrap/>
          </w:tcPr>
          <w:p w14:paraId="5A99F6CF"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broj</w:t>
            </w:r>
          </w:p>
        </w:tc>
        <w:tc>
          <w:tcPr>
            <w:tcW w:w="1554" w:type="pct"/>
            <w:tcBorders>
              <w:top w:val="single" w:sz="4" w:space="0" w:color="auto"/>
              <w:left w:val="single" w:sz="4" w:space="0" w:color="auto"/>
              <w:bottom w:val="single" w:sz="4" w:space="0" w:color="auto"/>
              <w:right w:val="single" w:sz="4" w:space="0" w:color="auto"/>
            </w:tcBorders>
            <w:noWrap/>
            <w:vAlign w:val="bottom"/>
          </w:tcPr>
          <w:p w14:paraId="5F9E426E"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95,343</w:t>
            </w:r>
          </w:p>
        </w:tc>
        <w:tc>
          <w:tcPr>
            <w:tcW w:w="1291" w:type="pct"/>
            <w:tcBorders>
              <w:top w:val="single" w:sz="4" w:space="0" w:color="auto"/>
              <w:left w:val="single" w:sz="4" w:space="0" w:color="auto"/>
              <w:bottom w:val="single" w:sz="4" w:space="0" w:color="auto"/>
              <w:right w:val="single" w:sz="4" w:space="0" w:color="auto"/>
            </w:tcBorders>
            <w:vAlign w:val="bottom"/>
          </w:tcPr>
          <w:p w14:paraId="556770FE"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105,931</w:t>
            </w:r>
          </w:p>
        </w:tc>
      </w:tr>
      <w:tr w:rsidR="00C232D7" w:rsidRPr="00C149AB" w14:paraId="5FE72957" w14:textId="77777777" w:rsidTr="00A36E15">
        <w:trPr>
          <w:trHeight w:val="293"/>
          <w:jc w:val="center"/>
        </w:trPr>
        <w:tc>
          <w:tcPr>
            <w:tcW w:w="2155" w:type="pct"/>
            <w:tcBorders>
              <w:top w:val="single" w:sz="4" w:space="0" w:color="auto"/>
              <w:left w:val="single" w:sz="4" w:space="0" w:color="auto"/>
              <w:bottom w:val="single" w:sz="4" w:space="0" w:color="auto"/>
              <w:right w:val="single" w:sz="4" w:space="0" w:color="auto"/>
            </w:tcBorders>
            <w:noWrap/>
          </w:tcPr>
          <w:p w14:paraId="08A8CB66"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kapacitet (m</w:t>
            </w:r>
            <w:r w:rsidRPr="00C149AB">
              <w:rPr>
                <w:rFonts w:ascii="Arial" w:hAnsi="Arial" w:cs="Arial"/>
                <w:b/>
                <w:bCs/>
                <w:color w:val="000000"/>
                <w:sz w:val="18"/>
                <w:vertAlign w:val="superscript"/>
                <w:lang w:val="sq-AL"/>
              </w:rPr>
              <w:t>3</w:t>
            </w:r>
            <w:r w:rsidRPr="00C149AB">
              <w:rPr>
                <w:rFonts w:ascii="Arial" w:hAnsi="Arial" w:cs="Arial"/>
                <w:b/>
                <w:bCs/>
                <w:color w:val="000000"/>
                <w:sz w:val="18"/>
                <w:lang w:val="sq-AL"/>
              </w:rPr>
              <w:t>)</w:t>
            </w:r>
          </w:p>
        </w:tc>
        <w:tc>
          <w:tcPr>
            <w:tcW w:w="1554" w:type="pct"/>
            <w:tcBorders>
              <w:top w:val="single" w:sz="4" w:space="0" w:color="auto"/>
              <w:left w:val="single" w:sz="4" w:space="0" w:color="auto"/>
              <w:bottom w:val="single" w:sz="4" w:space="0" w:color="auto"/>
              <w:right w:val="single" w:sz="4" w:space="0" w:color="auto"/>
            </w:tcBorders>
            <w:noWrap/>
            <w:vAlign w:val="bottom"/>
          </w:tcPr>
          <w:p w14:paraId="4E8FBC6E"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12,403</w:t>
            </w:r>
          </w:p>
        </w:tc>
        <w:tc>
          <w:tcPr>
            <w:tcW w:w="1291" w:type="pct"/>
            <w:tcBorders>
              <w:top w:val="single" w:sz="4" w:space="0" w:color="auto"/>
              <w:left w:val="single" w:sz="4" w:space="0" w:color="auto"/>
              <w:bottom w:val="single" w:sz="4" w:space="0" w:color="auto"/>
              <w:right w:val="single" w:sz="4" w:space="0" w:color="auto"/>
            </w:tcBorders>
            <w:vAlign w:val="bottom"/>
          </w:tcPr>
          <w:p w14:paraId="7B3CA086"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23,555</w:t>
            </w:r>
          </w:p>
        </w:tc>
      </w:tr>
    </w:tbl>
    <w:p w14:paraId="4E1E67E7" w14:textId="77777777" w:rsidR="007B1545" w:rsidRDefault="007B1545" w:rsidP="00C232D7">
      <w:pPr>
        <w:pStyle w:val="Caption"/>
        <w:rPr>
          <w:rFonts w:ascii="Arial" w:hAnsi="Arial" w:cs="Arial"/>
          <w:b w:val="0"/>
          <w:color w:val="000000" w:themeColor="text1"/>
          <w:sz w:val="20"/>
          <w:highlight w:val="yellow"/>
        </w:rPr>
      </w:pPr>
      <w:bookmarkStart w:id="1040" w:name="_Toc189515640"/>
      <w:bookmarkStart w:id="1041" w:name="_Toc190160758"/>
    </w:p>
    <w:p w14:paraId="4229E7C4" w14:textId="3978A4A0" w:rsidR="00C232D7" w:rsidRPr="00C149AB" w:rsidRDefault="00C232D7" w:rsidP="00C232D7">
      <w:pPr>
        <w:pStyle w:val="Caption"/>
        <w:rPr>
          <w:rFonts w:ascii="Arial" w:hAnsi="Arial" w:cs="Arial"/>
          <w:b w:val="0"/>
          <w:szCs w:val="20"/>
          <w:lang w:val="sq-AL"/>
        </w:rPr>
      </w:pPr>
      <w:r w:rsidRPr="00C149AB">
        <w:rPr>
          <w:rFonts w:ascii="Arial" w:hAnsi="Arial" w:cs="Arial"/>
          <w:b w:val="0"/>
          <w:szCs w:val="20"/>
        </w:rPr>
        <w:t xml:space="preserve">Tabela </w:t>
      </w:r>
      <w:r w:rsidRPr="00C149AB">
        <w:rPr>
          <w:rFonts w:ascii="Arial" w:hAnsi="Arial" w:cs="Arial"/>
          <w:b w:val="0"/>
          <w:szCs w:val="20"/>
        </w:rPr>
        <w:fldChar w:fldCharType="begin"/>
      </w:r>
      <w:r w:rsidRPr="00C149AB">
        <w:rPr>
          <w:rFonts w:ascii="Arial" w:hAnsi="Arial" w:cs="Arial"/>
          <w:b w:val="0"/>
          <w:szCs w:val="20"/>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rPr>
        <w:t>64</w:t>
      </w:r>
      <w:r w:rsidRPr="00C149AB">
        <w:rPr>
          <w:rFonts w:ascii="Arial" w:hAnsi="Arial" w:cs="Arial"/>
          <w:b w:val="0"/>
          <w:szCs w:val="20"/>
        </w:rPr>
        <w:fldChar w:fldCharType="end"/>
      </w:r>
      <w:r w:rsidRPr="00C149AB">
        <w:rPr>
          <w:rFonts w:ascii="Arial" w:hAnsi="Arial" w:cs="Arial"/>
          <w:b w:val="0"/>
          <w:szCs w:val="20"/>
          <w:lang w:val="sq-AL"/>
        </w:rPr>
        <w:t xml:space="preserve"> Broj dodatnih kamiona za sakupljanje otpada neophodnih za opciju IIIb</w:t>
      </w:r>
      <w:bookmarkEnd w:id="1040"/>
      <w:bookmarkEnd w:id="1041"/>
    </w:p>
    <w:tbl>
      <w:tblPr>
        <w:tblW w:w="4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5"/>
        <w:gridCol w:w="854"/>
      </w:tblGrid>
      <w:tr w:rsidR="00C232D7" w:rsidRPr="00C149AB" w14:paraId="36282A96" w14:textId="77777777" w:rsidTr="00C232D7">
        <w:trPr>
          <w:trHeight w:val="288"/>
          <w:tblHeader/>
          <w:jc w:val="center"/>
        </w:trPr>
        <w:tc>
          <w:tcPr>
            <w:tcW w:w="3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CAD1907" w14:textId="48EFA2A5" w:rsidR="00C232D7" w:rsidRPr="00C149AB" w:rsidRDefault="00A36E15"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Kapacitet</w:t>
            </w:r>
            <w:r w:rsidR="00C232D7" w:rsidRPr="00C149AB">
              <w:rPr>
                <w:rFonts w:ascii="Arial" w:hAnsi="Arial" w:cs="Arial"/>
                <w:b/>
                <w:bCs/>
                <w:color w:val="000000"/>
                <w:sz w:val="18"/>
                <w:lang w:val="sq-AL"/>
              </w:rPr>
              <w:t xml:space="preserve"> kamiona za sakupljanje otpada</w:t>
            </w:r>
          </w:p>
        </w:tc>
        <w:tc>
          <w:tcPr>
            <w:tcW w:w="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7A5FEAD" w14:textId="0509E727" w:rsidR="00C232D7" w:rsidRPr="00C149AB" w:rsidRDefault="00FE289C"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2029</w:t>
            </w:r>
          </w:p>
        </w:tc>
      </w:tr>
      <w:tr w:rsidR="00C232D7" w:rsidRPr="00C149AB" w14:paraId="646CCFB9" w14:textId="77777777" w:rsidTr="00C232D7">
        <w:trPr>
          <w:trHeight w:val="288"/>
          <w:jc w:val="center"/>
        </w:trPr>
        <w:tc>
          <w:tcPr>
            <w:tcW w:w="3695" w:type="dxa"/>
            <w:tcBorders>
              <w:top w:val="single" w:sz="4" w:space="0" w:color="auto"/>
              <w:left w:val="single" w:sz="4" w:space="0" w:color="auto"/>
              <w:bottom w:val="single" w:sz="4" w:space="0" w:color="auto"/>
              <w:right w:val="single" w:sz="4" w:space="0" w:color="auto"/>
            </w:tcBorders>
            <w:noWrap/>
            <w:vAlign w:val="center"/>
          </w:tcPr>
          <w:p w14:paraId="3DF67A29"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22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33B93D2E"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8</w:t>
            </w:r>
          </w:p>
        </w:tc>
      </w:tr>
      <w:tr w:rsidR="00C232D7" w:rsidRPr="00C149AB" w14:paraId="3D9F48E0" w14:textId="77777777" w:rsidTr="00C232D7">
        <w:trPr>
          <w:trHeight w:val="288"/>
          <w:jc w:val="center"/>
        </w:trPr>
        <w:tc>
          <w:tcPr>
            <w:tcW w:w="3695" w:type="dxa"/>
            <w:tcBorders>
              <w:top w:val="single" w:sz="4" w:space="0" w:color="auto"/>
              <w:left w:val="single" w:sz="4" w:space="0" w:color="auto"/>
              <w:bottom w:val="single" w:sz="4" w:space="0" w:color="auto"/>
              <w:right w:val="single" w:sz="4" w:space="0" w:color="auto"/>
            </w:tcBorders>
            <w:noWrap/>
            <w:vAlign w:val="center"/>
          </w:tcPr>
          <w:p w14:paraId="3D69C705"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16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1E04EA5A"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39</w:t>
            </w:r>
          </w:p>
        </w:tc>
      </w:tr>
      <w:tr w:rsidR="00C232D7" w:rsidRPr="00C149AB" w14:paraId="3B1283E6" w14:textId="77777777" w:rsidTr="00C232D7">
        <w:trPr>
          <w:trHeight w:val="288"/>
          <w:jc w:val="center"/>
        </w:trPr>
        <w:tc>
          <w:tcPr>
            <w:tcW w:w="3695" w:type="dxa"/>
            <w:tcBorders>
              <w:top w:val="single" w:sz="4" w:space="0" w:color="auto"/>
              <w:left w:val="single" w:sz="4" w:space="0" w:color="auto"/>
              <w:bottom w:val="single" w:sz="4" w:space="0" w:color="auto"/>
              <w:right w:val="single" w:sz="4" w:space="0" w:color="auto"/>
            </w:tcBorders>
            <w:noWrap/>
            <w:vAlign w:val="center"/>
          </w:tcPr>
          <w:p w14:paraId="22BB8C79"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8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1008C24B"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31</w:t>
            </w:r>
          </w:p>
        </w:tc>
      </w:tr>
      <w:tr w:rsidR="00C232D7" w:rsidRPr="00C149AB" w14:paraId="578E1D58" w14:textId="77777777" w:rsidTr="00C232D7">
        <w:trPr>
          <w:trHeight w:val="288"/>
          <w:jc w:val="center"/>
        </w:trPr>
        <w:tc>
          <w:tcPr>
            <w:tcW w:w="3695" w:type="dxa"/>
            <w:tcBorders>
              <w:top w:val="single" w:sz="4" w:space="0" w:color="auto"/>
              <w:left w:val="single" w:sz="4" w:space="0" w:color="auto"/>
              <w:bottom w:val="single" w:sz="4" w:space="0" w:color="auto"/>
              <w:right w:val="single" w:sz="4" w:space="0" w:color="auto"/>
            </w:tcBorders>
            <w:noWrap/>
            <w:vAlign w:val="center"/>
          </w:tcPr>
          <w:p w14:paraId="505AE16D"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6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4986E864"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10</w:t>
            </w:r>
          </w:p>
        </w:tc>
      </w:tr>
      <w:tr w:rsidR="00C232D7" w:rsidRPr="00C149AB" w14:paraId="50AEF836" w14:textId="77777777" w:rsidTr="00C232D7">
        <w:trPr>
          <w:trHeight w:val="288"/>
          <w:jc w:val="center"/>
        </w:trPr>
        <w:tc>
          <w:tcPr>
            <w:tcW w:w="3695" w:type="dxa"/>
            <w:tcBorders>
              <w:top w:val="single" w:sz="4" w:space="0" w:color="auto"/>
              <w:left w:val="single" w:sz="4" w:space="0" w:color="auto"/>
              <w:bottom w:val="single" w:sz="4" w:space="0" w:color="auto"/>
              <w:right w:val="single" w:sz="4" w:space="0" w:color="auto"/>
            </w:tcBorders>
            <w:noWrap/>
            <w:vAlign w:val="center"/>
          </w:tcPr>
          <w:p w14:paraId="02088AB8"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4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1CBE6ED7"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2</w:t>
            </w:r>
          </w:p>
        </w:tc>
      </w:tr>
      <w:tr w:rsidR="00C232D7" w:rsidRPr="00C149AB" w14:paraId="161AA52F" w14:textId="77777777" w:rsidTr="00C232D7">
        <w:trPr>
          <w:trHeight w:val="288"/>
          <w:jc w:val="center"/>
        </w:trPr>
        <w:tc>
          <w:tcPr>
            <w:tcW w:w="3695" w:type="dxa"/>
            <w:tcBorders>
              <w:top w:val="single" w:sz="4" w:space="0" w:color="auto"/>
              <w:left w:val="single" w:sz="4" w:space="0" w:color="auto"/>
              <w:bottom w:val="single" w:sz="4" w:space="0" w:color="auto"/>
              <w:right w:val="single" w:sz="4" w:space="0" w:color="auto"/>
            </w:tcBorders>
            <w:noWrap/>
          </w:tcPr>
          <w:p w14:paraId="637512BF"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broj</w:t>
            </w:r>
          </w:p>
        </w:tc>
        <w:tc>
          <w:tcPr>
            <w:tcW w:w="854" w:type="dxa"/>
            <w:tcBorders>
              <w:top w:val="single" w:sz="4" w:space="0" w:color="auto"/>
              <w:left w:val="single" w:sz="4" w:space="0" w:color="auto"/>
              <w:bottom w:val="single" w:sz="4" w:space="0" w:color="auto"/>
              <w:right w:val="single" w:sz="4" w:space="0" w:color="auto"/>
            </w:tcBorders>
            <w:noWrap/>
            <w:vAlign w:val="bottom"/>
          </w:tcPr>
          <w:p w14:paraId="1D5D0F24"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90</w:t>
            </w:r>
          </w:p>
        </w:tc>
      </w:tr>
      <w:tr w:rsidR="00C232D7" w:rsidRPr="00C149AB" w14:paraId="17B60AB9" w14:textId="77777777" w:rsidTr="00C232D7">
        <w:trPr>
          <w:trHeight w:val="300"/>
          <w:jc w:val="center"/>
        </w:trPr>
        <w:tc>
          <w:tcPr>
            <w:tcW w:w="3695" w:type="dxa"/>
            <w:tcBorders>
              <w:top w:val="single" w:sz="4" w:space="0" w:color="auto"/>
              <w:left w:val="single" w:sz="4" w:space="0" w:color="auto"/>
              <w:bottom w:val="single" w:sz="4" w:space="0" w:color="auto"/>
              <w:right w:val="single" w:sz="4" w:space="0" w:color="auto"/>
            </w:tcBorders>
            <w:noWrap/>
          </w:tcPr>
          <w:p w14:paraId="173FAC08"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kapacitet (m</w:t>
            </w:r>
            <w:r w:rsidRPr="00C149AB">
              <w:rPr>
                <w:rFonts w:ascii="Arial" w:hAnsi="Arial" w:cs="Arial"/>
                <w:b/>
                <w:bCs/>
                <w:color w:val="000000"/>
                <w:sz w:val="18"/>
                <w:vertAlign w:val="superscript"/>
                <w:lang w:val="sq-AL"/>
              </w:rPr>
              <w:t>3</w:t>
            </w:r>
            <w:r w:rsidRPr="00C149AB">
              <w:rPr>
                <w:rFonts w:ascii="Arial" w:hAnsi="Arial" w:cs="Arial"/>
                <w:b/>
                <w:bCs/>
                <w:color w:val="000000"/>
                <w:sz w:val="18"/>
                <w:lang w:val="sq-AL"/>
              </w:rPr>
              <w:t>)</w:t>
            </w:r>
          </w:p>
        </w:tc>
        <w:tc>
          <w:tcPr>
            <w:tcW w:w="854" w:type="dxa"/>
            <w:tcBorders>
              <w:top w:val="single" w:sz="4" w:space="0" w:color="auto"/>
              <w:left w:val="single" w:sz="4" w:space="0" w:color="auto"/>
              <w:bottom w:val="single" w:sz="4" w:space="0" w:color="auto"/>
              <w:right w:val="single" w:sz="4" w:space="0" w:color="auto"/>
            </w:tcBorders>
            <w:noWrap/>
            <w:vAlign w:val="bottom"/>
          </w:tcPr>
          <w:p w14:paraId="00B76BFA"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1,116</w:t>
            </w:r>
          </w:p>
        </w:tc>
      </w:tr>
    </w:tbl>
    <w:p w14:paraId="03D907CA" w14:textId="524BE8F9" w:rsidR="004D3247" w:rsidRDefault="00C232D7" w:rsidP="00C232D7">
      <w:pPr>
        <w:spacing w:before="120" w:after="120" w:line="360" w:lineRule="auto"/>
        <w:rPr>
          <w:rFonts w:ascii="Arial" w:hAnsi="Arial" w:cs="Arial"/>
          <w:lang w:val="sq-AL"/>
        </w:rPr>
      </w:pPr>
      <w:r w:rsidRPr="002A6F4E">
        <w:rPr>
          <w:rFonts w:ascii="Arial" w:hAnsi="Arial" w:cs="Arial"/>
          <w:lang w:val="sq-AL"/>
        </w:rPr>
        <w:lastRenderedPageBreak/>
        <w:t xml:space="preserve">Pored navedenih biće neophodna i mobilna vozila za čišćenje </w:t>
      </w:r>
      <w:r w:rsidR="007B1545">
        <w:rPr>
          <w:rFonts w:ascii="Arial" w:hAnsi="Arial" w:cs="Arial"/>
          <w:lang w:val="sq-AL"/>
        </w:rPr>
        <w:t>posuda</w:t>
      </w:r>
      <w:r w:rsidRPr="002A6F4E">
        <w:rPr>
          <w:rFonts w:ascii="Arial" w:hAnsi="Arial" w:cs="Arial"/>
          <w:lang w:val="sq-AL"/>
        </w:rPr>
        <w:t xml:space="preserve"> za sakupljanje otpada. Predlaže se utvrđivanje rasporeda dvonedeljnog čišćenja svake </w:t>
      </w:r>
      <w:r w:rsidR="005C4A0C">
        <w:rPr>
          <w:rFonts w:ascii="Arial" w:hAnsi="Arial" w:cs="Arial"/>
          <w:lang w:val="sq-AL"/>
        </w:rPr>
        <w:t>posude</w:t>
      </w:r>
      <w:r w:rsidRPr="002A6F4E">
        <w:rPr>
          <w:rFonts w:ascii="Arial" w:hAnsi="Arial" w:cs="Arial"/>
          <w:lang w:val="sq-AL"/>
        </w:rPr>
        <w:t xml:space="preserve"> za sakupljanje (odnosi se na </w:t>
      </w:r>
      <w:r w:rsidR="00045FDB">
        <w:rPr>
          <w:rFonts w:ascii="Arial" w:hAnsi="Arial" w:cs="Arial"/>
          <w:lang w:val="sq-AL"/>
        </w:rPr>
        <w:t>kontejnere</w:t>
      </w:r>
      <w:r w:rsidR="00045FDB" w:rsidRPr="002A6F4E">
        <w:rPr>
          <w:rFonts w:ascii="Arial" w:hAnsi="Arial" w:cs="Arial"/>
          <w:lang w:val="sq-AL"/>
        </w:rPr>
        <w:t xml:space="preserve"> </w:t>
      </w:r>
      <w:r w:rsidRPr="002A6F4E">
        <w:rPr>
          <w:rFonts w:ascii="Arial" w:hAnsi="Arial" w:cs="Arial"/>
          <w:lang w:val="sq-AL"/>
        </w:rPr>
        <w:t>zapremine 1.1</w:t>
      </w:r>
      <w:r w:rsidRPr="002A6F4E">
        <w:rPr>
          <w:rFonts w:ascii="Arial" w:hAnsi="Arial" w:cs="Arial"/>
          <w:color w:val="000000"/>
          <w:lang w:val="sq-AL"/>
        </w:rPr>
        <w:t xml:space="preserve"> m</w:t>
      </w:r>
      <w:r w:rsidRPr="002A6F4E">
        <w:rPr>
          <w:rFonts w:ascii="Arial" w:hAnsi="Arial" w:cs="Arial"/>
          <w:color w:val="000000"/>
          <w:vertAlign w:val="superscript"/>
          <w:lang w:val="sq-AL"/>
        </w:rPr>
        <w:t>3</w:t>
      </w:r>
      <w:r w:rsidRPr="002A6F4E">
        <w:rPr>
          <w:rFonts w:ascii="Arial" w:hAnsi="Arial" w:cs="Arial"/>
          <w:lang w:val="sq-AL"/>
        </w:rPr>
        <w:t xml:space="preserve">). S obzirom na prosječnu količinu od 250 </w:t>
      </w:r>
      <w:r w:rsidR="007B1545">
        <w:rPr>
          <w:rFonts w:ascii="Arial" w:hAnsi="Arial" w:cs="Arial"/>
          <w:lang w:val="sq-AL"/>
        </w:rPr>
        <w:t>posuda</w:t>
      </w:r>
      <w:r w:rsidRPr="002A6F4E">
        <w:rPr>
          <w:rFonts w:ascii="Arial" w:hAnsi="Arial" w:cs="Arial"/>
          <w:lang w:val="sq-AL"/>
        </w:rPr>
        <w:t xml:space="preserve"> koje se svakodnevno čiste (iznutra i spolja) smatra se da će za cijelu zemlju biti potrebno </w:t>
      </w:r>
      <w:r w:rsidR="00045FDB">
        <w:rPr>
          <w:rFonts w:ascii="Arial" w:hAnsi="Arial" w:cs="Arial"/>
          <w:lang w:val="sq-AL"/>
        </w:rPr>
        <w:t xml:space="preserve">osam </w:t>
      </w:r>
      <w:r w:rsidRPr="002A6F4E">
        <w:rPr>
          <w:rFonts w:ascii="Arial" w:hAnsi="Arial" w:cs="Arial"/>
          <w:lang w:val="sq-AL"/>
        </w:rPr>
        <w:t>vozila za pranje.</w:t>
      </w:r>
      <w:r w:rsidR="004D3247" w:rsidRPr="002A6F4E">
        <w:rPr>
          <w:rFonts w:ascii="Arial" w:hAnsi="Arial" w:cs="Arial"/>
          <w:lang w:val="sq-AL"/>
        </w:rPr>
        <w:t xml:space="preserve"> </w:t>
      </w:r>
      <w:r w:rsidRPr="002A6F4E">
        <w:rPr>
          <w:rFonts w:ascii="Arial" w:hAnsi="Arial" w:cs="Arial"/>
          <w:lang w:val="sq-AL"/>
        </w:rPr>
        <w:t xml:space="preserve">Na osnovu gornje analize, troškovi opreme za sakupljanje otpada u vezi sa ovom opcijom su predstavljeni u sljedećoj tabeli (odgovara </w:t>
      </w:r>
      <w:r w:rsidR="00FE289C" w:rsidRPr="002A6F4E">
        <w:rPr>
          <w:rFonts w:ascii="Arial" w:hAnsi="Arial" w:cs="Arial"/>
          <w:lang w:val="sq-AL"/>
        </w:rPr>
        <w:t>2029</w:t>
      </w:r>
      <w:r w:rsidRPr="002A6F4E">
        <w:rPr>
          <w:rFonts w:ascii="Arial" w:hAnsi="Arial" w:cs="Arial"/>
          <w:lang w:val="sq-AL"/>
        </w:rPr>
        <w:t>.</w:t>
      </w:r>
      <w:r w:rsidR="00E57399">
        <w:rPr>
          <w:rFonts w:ascii="Arial" w:hAnsi="Arial" w:cs="Arial"/>
          <w:lang w:val="sq-AL"/>
        </w:rPr>
        <w:t xml:space="preserve"> godini).</w:t>
      </w:r>
    </w:p>
    <w:p w14:paraId="6A184AA9" w14:textId="77777777" w:rsidR="004D2EA8" w:rsidRPr="002A6F4E" w:rsidRDefault="004D2EA8" w:rsidP="00C232D7">
      <w:pPr>
        <w:spacing w:before="120" w:after="120" w:line="360" w:lineRule="auto"/>
        <w:rPr>
          <w:rFonts w:ascii="Arial" w:hAnsi="Arial" w:cs="Arial"/>
          <w:lang w:val="sq-AL"/>
        </w:rPr>
      </w:pPr>
    </w:p>
    <w:p w14:paraId="738CDCF8" w14:textId="7762FD2D" w:rsidR="00C232D7" w:rsidRPr="00C149AB" w:rsidRDefault="00C232D7" w:rsidP="00C232D7">
      <w:pPr>
        <w:pStyle w:val="Caption"/>
        <w:rPr>
          <w:rFonts w:ascii="Arial" w:hAnsi="Arial" w:cs="Arial"/>
          <w:b w:val="0"/>
          <w:szCs w:val="20"/>
          <w:lang w:val="sq-AL"/>
        </w:rPr>
      </w:pPr>
      <w:bookmarkStart w:id="1042" w:name="_Toc189515641"/>
      <w:bookmarkStart w:id="1043" w:name="_Toc190160759"/>
      <w:r w:rsidRPr="00C149AB">
        <w:rPr>
          <w:rFonts w:ascii="Arial" w:hAnsi="Arial" w:cs="Arial"/>
          <w:b w:val="0"/>
          <w:szCs w:val="20"/>
          <w:lang w:val="sq-AL"/>
        </w:rPr>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65</w:t>
      </w:r>
      <w:r w:rsidRPr="00C149AB">
        <w:rPr>
          <w:rFonts w:ascii="Arial" w:hAnsi="Arial" w:cs="Arial"/>
          <w:b w:val="0"/>
          <w:szCs w:val="20"/>
        </w:rPr>
        <w:fldChar w:fldCharType="end"/>
      </w:r>
      <w:r w:rsidRPr="00C149AB">
        <w:rPr>
          <w:rFonts w:ascii="Arial" w:hAnsi="Arial" w:cs="Arial"/>
          <w:b w:val="0"/>
          <w:szCs w:val="20"/>
          <w:lang w:val="sq-AL"/>
        </w:rPr>
        <w:t xml:space="preserve"> Troškovi sakupljanja otpada za opciju IIIb</w:t>
      </w:r>
      <w:bookmarkEnd w:id="1042"/>
      <w:bookmarkEnd w:id="1043"/>
    </w:p>
    <w:tbl>
      <w:tblPr>
        <w:tblW w:w="7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395"/>
        <w:gridCol w:w="1416"/>
        <w:gridCol w:w="1887"/>
      </w:tblGrid>
      <w:tr w:rsidR="00C232D7" w:rsidRPr="00C149AB" w14:paraId="69F160F3" w14:textId="77777777" w:rsidTr="00C232D7">
        <w:trPr>
          <w:trHeight w:val="312"/>
          <w:jc w:val="center"/>
        </w:trPr>
        <w:tc>
          <w:tcPr>
            <w:tcW w:w="2285" w:type="dxa"/>
            <w:shd w:val="clear" w:color="auto" w:fill="F2F2F2" w:themeFill="background1" w:themeFillShade="F2"/>
            <w:vAlign w:val="center"/>
          </w:tcPr>
          <w:p w14:paraId="7E05FA0B"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Vrsta opreme</w:t>
            </w:r>
          </w:p>
          <w:p w14:paraId="46568430" w14:textId="77777777" w:rsidR="00C232D7" w:rsidRPr="00C149AB" w:rsidRDefault="00C232D7" w:rsidP="00C232D7">
            <w:pPr>
              <w:spacing w:line="360" w:lineRule="auto"/>
              <w:rPr>
                <w:rFonts w:ascii="Arial" w:hAnsi="Arial" w:cs="Arial"/>
                <w:b/>
                <w:bCs/>
                <w:sz w:val="18"/>
                <w:lang w:val="sq-AL"/>
              </w:rPr>
            </w:pPr>
          </w:p>
        </w:tc>
        <w:tc>
          <w:tcPr>
            <w:tcW w:w="2395" w:type="dxa"/>
            <w:shd w:val="clear" w:color="auto" w:fill="F2F2F2" w:themeFill="background1" w:themeFillShade="F2"/>
            <w:vAlign w:val="center"/>
          </w:tcPr>
          <w:p w14:paraId="0019F996"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Jedinična cijena (€/oprema)</w:t>
            </w:r>
          </w:p>
          <w:p w14:paraId="7F88A24A" w14:textId="77777777" w:rsidR="00C232D7" w:rsidRPr="00C149AB" w:rsidRDefault="00C232D7" w:rsidP="00C232D7">
            <w:pPr>
              <w:spacing w:line="360" w:lineRule="auto"/>
              <w:rPr>
                <w:rFonts w:ascii="Arial" w:hAnsi="Arial" w:cs="Arial"/>
                <w:b/>
                <w:bCs/>
                <w:sz w:val="18"/>
                <w:lang w:val="sq-AL"/>
              </w:rPr>
            </w:pPr>
          </w:p>
        </w:tc>
        <w:tc>
          <w:tcPr>
            <w:tcW w:w="1416" w:type="dxa"/>
            <w:shd w:val="clear" w:color="auto" w:fill="F2F2F2" w:themeFill="background1" w:themeFillShade="F2"/>
            <w:vAlign w:val="center"/>
          </w:tcPr>
          <w:p w14:paraId="37C6F6EF"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#broj jedinica</w:t>
            </w:r>
          </w:p>
        </w:tc>
        <w:tc>
          <w:tcPr>
            <w:tcW w:w="1887" w:type="dxa"/>
            <w:shd w:val="clear" w:color="auto" w:fill="F2F2F2" w:themeFill="background1" w:themeFillShade="F2"/>
            <w:vAlign w:val="center"/>
          </w:tcPr>
          <w:p w14:paraId="66FBEE49"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Ukupna cijena (€)</w:t>
            </w:r>
          </w:p>
        </w:tc>
      </w:tr>
      <w:tr w:rsidR="00C232D7" w:rsidRPr="00C149AB" w14:paraId="3D43CA7B" w14:textId="77777777" w:rsidTr="00C232D7">
        <w:trPr>
          <w:trHeight w:val="312"/>
          <w:jc w:val="center"/>
        </w:trPr>
        <w:tc>
          <w:tcPr>
            <w:tcW w:w="2285" w:type="dxa"/>
            <w:shd w:val="clear" w:color="auto" w:fill="auto"/>
            <w:vAlign w:val="center"/>
          </w:tcPr>
          <w:p w14:paraId="6C2142D6" w14:textId="2F7FB2FF" w:rsidR="00C232D7" w:rsidRPr="00C149AB" w:rsidRDefault="00045FDB" w:rsidP="00C232D7">
            <w:pPr>
              <w:spacing w:line="360" w:lineRule="auto"/>
              <w:rPr>
                <w:rFonts w:ascii="Arial" w:hAnsi="Arial" w:cs="Arial"/>
                <w:sz w:val="18"/>
                <w:lang w:val="sq-AL"/>
              </w:rPr>
            </w:pPr>
            <w:r>
              <w:rPr>
                <w:rFonts w:ascii="Arial" w:hAnsi="Arial" w:cs="Arial"/>
                <w:sz w:val="18"/>
                <w:lang w:val="sq-AL"/>
              </w:rPr>
              <w:t>Kontejneri</w:t>
            </w:r>
            <w:r w:rsidRPr="00C149AB">
              <w:rPr>
                <w:rFonts w:ascii="Arial" w:hAnsi="Arial" w:cs="Arial"/>
                <w:sz w:val="18"/>
                <w:lang w:val="sq-AL"/>
              </w:rPr>
              <w:t xml:space="preserve"> </w:t>
            </w:r>
            <w:r w:rsidR="00C232D7" w:rsidRPr="00C149AB">
              <w:rPr>
                <w:rFonts w:ascii="Arial" w:hAnsi="Arial" w:cs="Arial"/>
                <w:sz w:val="18"/>
                <w:lang w:val="sq-AL"/>
              </w:rPr>
              <w:t>zapremine  1.1 m</w:t>
            </w:r>
            <w:r w:rsidR="00C232D7" w:rsidRPr="00C149AB">
              <w:rPr>
                <w:rFonts w:ascii="Arial" w:hAnsi="Arial" w:cs="Arial"/>
                <w:sz w:val="18"/>
                <w:vertAlign w:val="superscript"/>
                <w:lang w:val="sq-AL"/>
              </w:rPr>
              <w:t>3</w:t>
            </w:r>
          </w:p>
        </w:tc>
        <w:tc>
          <w:tcPr>
            <w:tcW w:w="2395" w:type="dxa"/>
            <w:shd w:val="clear" w:color="auto" w:fill="auto"/>
            <w:vAlign w:val="center"/>
          </w:tcPr>
          <w:p w14:paraId="530DEF8C"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40</w:t>
            </w:r>
          </w:p>
        </w:tc>
        <w:tc>
          <w:tcPr>
            <w:tcW w:w="1416" w:type="dxa"/>
            <w:shd w:val="clear" w:color="auto" w:fill="auto"/>
            <w:vAlign w:val="center"/>
          </w:tcPr>
          <w:p w14:paraId="58ABA599"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181.993</w:t>
            </w:r>
          </w:p>
        </w:tc>
        <w:tc>
          <w:tcPr>
            <w:tcW w:w="1887" w:type="dxa"/>
            <w:shd w:val="clear" w:color="auto" w:fill="auto"/>
            <w:vAlign w:val="center"/>
          </w:tcPr>
          <w:p w14:paraId="4BFCD352"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7.279.700</w:t>
            </w:r>
          </w:p>
        </w:tc>
      </w:tr>
      <w:tr w:rsidR="00C232D7" w:rsidRPr="00C149AB" w14:paraId="55D78C01" w14:textId="77777777" w:rsidTr="00C232D7">
        <w:trPr>
          <w:trHeight w:val="312"/>
          <w:jc w:val="center"/>
        </w:trPr>
        <w:tc>
          <w:tcPr>
            <w:tcW w:w="2285" w:type="dxa"/>
            <w:shd w:val="clear" w:color="auto" w:fill="auto"/>
            <w:vAlign w:val="center"/>
          </w:tcPr>
          <w:p w14:paraId="6CBB946B" w14:textId="6F799A58" w:rsidR="00C232D7" w:rsidRPr="00C149AB" w:rsidRDefault="005C4A0C" w:rsidP="00C232D7">
            <w:pPr>
              <w:spacing w:line="360" w:lineRule="auto"/>
              <w:rPr>
                <w:rFonts w:ascii="Arial" w:hAnsi="Arial" w:cs="Arial"/>
                <w:sz w:val="18"/>
                <w:lang w:val="sq-AL"/>
              </w:rPr>
            </w:pPr>
            <w:r w:rsidRPr="00C149AB">
              <w:rPr>
                <w:rFonts w:ascii="Arial" w:hAnsi="Arial" w:cs="Arial"/>
                <w:sz w:val="18"/>
                <w:lang w:val="sq-AL"/>
              </w:rPr>
              <w:t>Posude</w:t>
            </w:r>
            <w:r w:rsidR="00C232D7" w:rsidRPr="00C149AB">
              <w:rPr>
                <w:rFonts w:ascii="Arial" w:hAnsi="Arial" w:cs="Arial"/>
                <w:sz w:val="18"/>
                <w:lang w:val="sq-AL"/>
              </w:rPr>
              <w:t xml:space="preserve"> zapremine  240l</w:t>
            </w:r>
          </w:p>
        </w:tc>
        <w:tc>
          <w:tcPr>
            <w:tcW w:w="2395" w:type="dxa"/>
            <w:shd w:val="clear" w:color="auto" w:fill="auto"/>
            <w:vAlign w:val="center"/>
          </w:tcPr>
          <w:p w14:paraId="7339AE80"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60</w:t>
            </w:r>
          </w:p>
        </w:tc>
        <w:tc>
          <w:tcPr>
            <w:tcW w:w="1416" w:type="dxa"/>
            <w:shd w:val="clear" w:color="auto" w:fill="auto"/>
            <w:vAlign w:val="center"/>
          </w:tcPr>
          <w:p w14:paraId="06E8586B"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8.246</w:t>
            </w:r>
          </w:p>
        </w:tc>
        <w:tc>
          <w:tcPr>
            <w:tcW w:w="1887" w:type="dxa"/>
            <w:shd w:val="clear" w:color="auto" w:fill="auto"/>
            <w:vAlign w:val="center"/>
          </w:tcPr>
          <w:p w14:paraId="1A94B459"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494.760</w:t>
            </w:r>
          </w:p>
        </w:tc>
      </w:tr>
      <w:tr w:rsidR="00C232D7" w:rsidRPr="00C149AB" w14:paraId="351DF4F0" w14:textId="77777777" w:rsidTr="00C232D7">
        <w:trPr>
          <w:trHeight w:val="312"/>
          <w:jc w:val="center"/>
        </w:trPr>
        <w:tc>
          <w:tcPr>
            <w:tcW w:w="2285" w:type="dxa"/>
            <w:shd w:val="clear" w:color="auto" w:fill="auto"/>
            <w:vAlign w:val="center"/>
          </w:tcPr>
          <w:p w14:paraId="4922DBC1" w14:textId="096169A1" w:rsidR="00C232D7" w:rsidRPr="00C149AB" w:rsidRDefault="005C4A0C" w:rsidP="00C232D7">
            <w:pPr>
              <w:spacing w:line="360" w:lineRule="auto"/>
              <w:rPr>
                <w:rFonts w:ascii="Arial" w:hAnsi="Arial" w:cs="Arial"/>
                <w:sz w:val="18"/>
                <w:lang w:val="sq-AL"/>
              </w:rPr>
            </w:pPr>
            <w:r w:rsidRPr="00C149AB">
              <w:rPr>
                <w:rFonts w:ascii="Arial" w:hAnsi="Arial" w:cs="Arial"/>
                <w:sz w:val="18"/>
                <w:lang w:val="sq-AL"/>
              </w:rPr>
              <w:t>Posude</w:t>
            </w:r>
            <w:r w:rsidR="00C232D7" w:rsidRPr="00C149AB">
              <w:rPr>
                <w:rFonts w:ascii="Arial" w:hAnsi="Arial" w:cs="Arial"/>
                <w:sz w:val="18"/>
                <w:lang w:val="sq-AL"/>
              </w:rPr>
              <w:t xml:space="preserve"> zapremine  120l</w:t>
            </w:r>
          </w:p>
        </w:tc>
        <w:tc>
          <w:tcPr>
            <w:tcW w:w="2395" w:type="dxa"/>
            <w:shd w:val="clear" w:color="auto" w:fill="auto"/>
            <w:vAlign w:val="center"/>
          </w:tcPr>
          <w:p w14:paraId="59554956"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490</w:t>
            </w:r>
          </w:p>
        </w:tc>
        <w:tc>
          <w:tcPr>
            <w:tcW w:w="1416" w:type="dxa"/>
            <w:shd w:val="clear" w:color="auto" w:fill="auto"/>
            <w:vAlign w:val="center"/>
          </w:tcPr>
          <w:p w14:paraId="37EB5A5C"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11.036</w:t>
            </w:r>
          </w:p>
        </w:tc>
        <w:tc>
          <w:tcPr>
            <w:tcW w:w="1887" w:type="dxa"/>
            <w:shd w:val="clear" w:color="auto" w:fill="auto"/>
            <w:vAlign w:val="center"/>
          </w:tcPr>
          <w:p w14:paraId="5AF64766"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5.407.640</w:t>
            </w:r>
          </w:p>
        </w:tc>
      </w:tr>
      <w:tr w:rsidR="00C232D7" w:rsidRPr="00C149AB" w14:paraId="70F7EF36" w14:textId="77777777" w:rsidTr="00C232D7">
        <w:trPr>
          <w:trHeight w:val="348"/>
          <w:jc w:val="center"/>
        </w:trPr>
        <w:tc>
          <w:tcPr>
            <w:tcW w:w="2285" w:type="dxa"/>
            <w:shd w:val="clear" w:color="auto" w:fill="auto"/>
            <w:vAlign w:val="center"/>
          </w:tcPr>
          <w:p w14:paraId="594A6FB5"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22 m</w:t>
            </w:r>
            <w:r w:rsidRPr="00C149AB">
              <w:rPr>
                <w:rFonts w:ascii="Arial" w:hAnsi="Arial" w:cs="Arial"/>
                <w:sz w:val="18"/>
                <w:vertAlign w:val="superscript"/>
                <w:lang w:val="sq-AL"/>
              </w:rPr>
              <w:t>3</w:t>
            </w:r>
            <w:r w:rsidRPr="00C149AB">
              <w:rPr>
                <w:rFonts w:ascii="Arial" w:hAnsi="Arial" w:cs="Arial"/>
                <w:sz w:val="18"/>
                <w:lang w:val="sq-AL"/>
              </w:rPr>
              <w:t xml:space="preserve"> </w:t>
            </w:r>
            <w:r w:rsidRPr="009440AA">
              <w:rPr>
                <w:rFonts w:ascii="Arial" w:hAnsi="Arial" w:cs="Arial"/>
                <w:sz w:val="18"/>
                <w:lang w:val="sq-AL"/>
              </w:rPr>
              <w:t>kamion</w:t>
            </w:r>
            <w:r w:rsidRPr="00C149AB">
              <w:rPr>
                <w:rFonts w:ascii="Arial" w:hAnsi="Arial" w:cs="Arial"/>
                <w:sz w:val="18"/>
                <w:lang w:val="sq-AL"/>
              </w:rPr>
              <w:t xml:space="preserve"> sa presom</w:t>
            </w:r>
          </w:p>
        </w:tc>
        <w:tc>
          <w:tcPr>
            <w:tcW w:w="2395" w:type="dxa"/>
            <w:shd w:val="clear" w:color="auto" w:fill="auto"/>
            <w:vAlign w:val="center"/>
          </w:tcPr>
          <w:p w14:paraId="17AC4866"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180.000</w:t>
            </w:r>
          </w:p>
        </w:tc>
        <w:tc>
          <w:tcPr>
            <w:tcW w:w="1416" w:type="dxa"/>
            <w:shd w:val="clear" w:color="auto" w:fill="auto"/>
            <w:vAlign w:val="center"/>
          </w:tcPr>
          <w:p w14:paraId="47623C22"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8</w:t>
            </w:r>
          </w:p>
        </w:tc>
        <w:tc>
          <w:tcPr>
            <w:tcW w:w="1887" w:type="dxa"/>
            <w:shd w:val="clear" w:color="auto" w:fill="auto"/>
            <w:vAlign w:val="center"/>
          </w:tcPr>
          <w:p w14:paraId="1EA9BE58"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1.440.000</w:t>
            </w:r>
          </w:p>
        </w:tc>
      </w:tr>
      <w:tr w:rsidR="00C232D7" w:rsidRPr="00C149AB" w14:paraId="581FA595" w14:textId="77777777" w:rsidTr="00C232D7">
        <w:trPr>
          <w:trHeight w:val="348"/>
          <w:jc w:val="center"/>
        </w:trPr>
        <w:tc>
          <w:tcPr>
            <w:tcW w:w="2285" w:type="dxa"/>
            <w:shd w:val="clear" w:color="auto" w:fill="auto"/>
            <w:vAlign w:val="center"/>
          </w:tcPr>
          <w:p w14:paraId="72A0E220"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16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395" w:type="dxa"/>
            <w:shd w:val="clear" w:color="auto" w:fill="auto"/>
            <w:vAlign w:val="center"/>
          </w:tcPr>
          <w:p w14:paraId="210FDB0A"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150.000</w:t>
            </w:r>
          </w:p>
        </w:tc>
        <w:tc>
          <w:tcPr>
            <w:tcW w:w="1416" w:type="dxa"/>
            <w:shd w:val="clear" w:color="auto" w:fill="auto"/>
            <w:vAlign w:val="center"/>
          </w:tcPr>
          <w:p w14:paraId="7852DA62"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39</w:t>
            </w:r>
          </w:p>
        </w:tc>
        <w:tc>
          <w:tcPr>
            <w:tcW w:w="1887" w:type="dxa"/>
            <w:shd w:val="clear" w:color="auto" w:fill="auto"/>
            <w:vAlign w:val="center"/>
          </w:tcPr>
          <w:p w14:paraId="1D90D3F2"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5.850.000</w:t>
            </w:r>
          </w:p>
        </w:tc>
      </w:tr>
      <w:tr w:rsidR="00C232D7" w:rsidRPr="00C149AB" w14:paraId="5D441E99" w14:textId="77777777" w:rsidTr="00C232D7">
        <w:trPr>
          <w:trHeight w:val="348"/>
          <w:jc w:val="center"/>
        </w:trPr>
        <w:tc>
          <w:tcPr>
            <w:tcW w:w="2285" w:type="dxa"/>
            <w:shd w:val="clear" w:color="auto" w:fill="auto"/>
            <w:vAlign w:val="center"/>
          </w:tcPr>
          <w:p w14:paraId="51202795"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8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395" w:type="dxa"/>
            <w:shd w:val="clear" w:color="auto" w:fill="auto"/>
            <w:vAlign w:val="center"/>
          </w:tcPr>
          <w:p w14:paraId="599B72E4"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110.000</w:t>
            </w:r>
          </w:p>
        </w:tc>
        <w:tc>
          <w:tcPr>
            <w:tcW w:w="1416" w:type="dxa"/>
            <w:shd w:val="clear" w:color="auto" w:fill="auto"/>
            <w:vAlign w:val="center"/>
          </w:tcPr>
          <w:p w14:paraId="3B938705"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31</w:t>
            </w:r>
          </w:p>
        </w:tc>
        <w:tc>
          <w:tcPr>
            <w:tcW w:w="1887" w:type="dxa"/>
            <w:shd w:val="clear" w:color="auto" w:fill="auto"/>
            <w:vAlign w:val="center"/>
          </w:tcPr>
          <w:p w14:paraId="25AF9DC4"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3.410.000</w:t>
            </w:r>
          </w:p>
        </w:tc>
      </w:tr>
      <w:tr w:rsidR="00C232D7" w:rsidRPr="00C149AB" w14:paraId="3F958E71" w14:textId="77777777" w:rsidTr="00C232D7">
        <w:trPr>
          <w:trHeight w:val="348"/>
          <w:jc w:val="center"/>
        </w:trPr>
        <w:tc>
          <w:tcPr>
            <w:tcW w:w="2285" w:type="dxa"/>
            <w:shd w:val="clear" w:color="auto" w:fill="auto"/>
            <w:vAlign w:val="center"/>
          </w:tcPr>
          <w:p w14:paraId="1956CED7"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4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395" w:type="dxa"/>
            <w:shd w:val="clear" w:color="auto" w:fill="auto"/>
            <w:vAlign w:val="center"/>
          </w:tcPr>
          <w:p w14:paraId="3249E03A"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80.000</w:t>
            </w:r>
          </w:p>
        </w:tc>
        <w:tc>
          <w:tcPr>
            <w:tcW w:w="1416" w:type="dxa"/>
            <w:shd w:val="clear" w:color="auto" w:fill="auto"/>
            <w:vAlign w:val="center"/>
          </w:tcPr>
          <w:p w14:paraId="572BEDE8"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2</w:t>
            </w:r>
          </w:p>
        </w:tc>
        <w:tc>
          <w:tcPr>
            <w:tcW w:w="1887" w:type="dxa"/>
            <w:shd w:val="clear" w:color="auto" w:fill="auto"/>
            <w:vAlign w:val="center"/>
          </w:tcPr>
          <w:p w14:paraId="4B52B925"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160.000</w:t>
            </w:r>
          </w:p>
        </w:tc>
      </w:tr>
      <w:tr w:rsidR="00C232D7" w:rsidRPr="00C149AB" w14:paraId="0DFB5E86" w14:textId="77777777" w:rsidTr="00C232D7">
        <w:trPr>
          <w:trHeight w:val="348"/>
          <w:jc w:val="center"/>
        </w:trPr>
        <w:tc>
          <w:tcPr>
            <w:tcW w:w="2285" w:type="dxa"/>
            <w:shd w:val="clear" w:color="auto" w:fill="auto"/>
            <w:vAlign w:val="center"/>
          </w:tcPr>
          <w:p w14:paraId="67866242"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6 m</w:t>
            </w:r>
            <w:r w:rsidRPr="00C149AB">
              <w:rPr>
                <w:rFonts w:ascii="Arial" w:hAnsi="Arial" w:cs="Arial"/>
                <w:sz w:val="18"/>
                <w:vertAlign w:val="superscript"/>
                <w:lang w:val="sq-AL"/>
              </w:rPr>
              <w:t>3</w:t>
            </w:r>
            <w:r w:rsidRPr="00C149AB">
              <w:rPr>
                <w:rFonts w:ascii="Arial" w:hAnsi="Arial" w:cs="Arial"/>
                <w:sz w:val="18"/>
                <w:lang w:val="sq-AL"/>
              </w:rPr>
              <w:t xml:space="preserve"> otvoreni kamion</w:t>
            </w:r>
          </w:p>
        </w:tc>
        <w:tc>
          <w:tcPr>
            <w:tcW w:w="2395" w:type="dxa"/>
            <w:shd w:val="clear" w:color="auto" w:fill="auto"/>
            <w:vAlign w:val="center"/>
          </w:tcPr>
          <w:p w14:paraId="29747CAF"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70.000</w:t>
            </w:r>
          </w:p>
        </w:tc>
        <w:tc>
          <w:tcPr>
            <w:tcW w:w="1416" w:type="dxa"/>
            <w:shd w:val="clear" w:color="auto" w:fill="auto"/>
            <w:vAlign w:val="center"/>
          </w:tcPr>
          <w:p w14:paraId="74DFFEF7"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10</w:t>
            </w:r>
          </w:p>
        </w:tc>
        <w:tc>
          <w:tcPr>
            <w:tcW w:w="1887" w:type="dxa"/>
            <w:shd w:val="clear" w:color="auto" w:fill="auto"/>
            <w:vAlign w:val="center"/>
          </w:tcPr>
          <w:p w14:paraId="50454F2D"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700.000</w:t>
            </w:r>
          </w:p>
        </w:tc>
      </w:tr>
      <w:tr w:rsidR="00C232D7" w:rsidRPr="00C149AB" w14:paraId="0A2DBF47" w14:textId="77777777" w:rsidTr="00C232D7">
        <w:trPr>
          <w:trHeight w:val="312"/>
          <w:jc w:val="center"/>
        </w:trPr>
        <w:tc>
          <w:tcPr>
            <w:tcW w:w="2285" w:type="dxa"/>
            <w:shd w:val="clear" w:color="auto" w:fill="auto"/>
            <w:vAlign w:val="center"/>
          </w:tcPr>
          <w:p w14:paraId="7F65E0BD" w14:textId="2B21B425" w:rsidR="00C232D7" w:rsidRPr="00C149AB" w:rsidRDefault="00C232D7" w:rsidP="00C232D7">
            <w:pPr>
              <w:spacing w:line="360" w:lineRule="auto"/>
              <w:rPr>
                <w:rFonts w:ascii="Arial" w:hAnsi="Arial" w:cs="Arial"/>
                <w:sz w:val="18"/>
                <w:lang w:val="sq-AL"/>
              </w:rPr>
            </w:pPr>
            <w:r w:rsidRPr="009440AA">
              <w:rPr>
                <w:rFonts w:ascii="Arial" w:hAnsi="Arial" w:cs="Arial"/>
                <w:sz w:val="18"/>
                <w:lang w:val="sq-AL"/>
              </w:rPr>
              <w:t>Vozilo</w:t>
            </w:r>
            <w:r w:rsidRPr="00C149AB">
              <w:rPr>
                <w:rFonts w:ascii="Arial" w:hAnsi="Arial" w:cs="Arial"/>
                <w:sz w:val="18"/>
                <w:lang w:val="sq-AL"/>
              </w:rPr>
              <w:t xml:space="preserve"> za pranje </w:t>
            </w:r>
            <w:r w:rsidR="007B1545" w:rsidRPr="00C149AB">
              <w:rPr>
                <w:rFonts w:ascii="Arial" w:hAnsi="Arial" w:cs="Arial"/>
                <w:sz w:val="18"/>
                <w:lang w:val="sq-AL"/>
              </w:rPr>
              <w:t>posuda</w:t>
            </w:r>
          </w:p>
        </w:tc>
        <w:tc>
          <w:tcPr>
            <w:tcW w:w="2395" w:type="dxa"/>
            <w:shd w:val="clear" w:color="auto" w:fill="auto"/>
            <w:vAlign w:val="center"/>
          </w:tcPr>
          <w:p w14:paraId="026BBD5B"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120.000</w:t>
            </w:r>
          </w:p>
        </w:tc>
        <w:tc>
          <w:tcPr>
            <w:tcW w:w="1416" w:type="dxa"/>
            <w:shd w:val="clear" w:color="auto" w:fill="auto"/>
            <w:vAlign w:val="center"/>
          </w:tcPr>
          <w:p w14:paraId="7A4C07EC"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8</w:t>
            </w:r>
          </w:p>
        </w:tc>
        <w:tc>
          <w:tcPr>
            <w:tcW w:w="1887" w:type="dxa"/>
            <w:shd w:val="clear" w:color="auto" w:fill="auto"/>
            <w:vAlign w:val="center"/>
          </w:tcPr>
          <w:p w14:paraId="51D8EDF5"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960.000</w:t>
            </w:r>
          </w:p>
        </w:tc>
      </w:tr>
      <w:tr w:rsidR="00C232D7" w:rsidRPr="00C149AB" w14:paraId="7D6B9137" w14:textId="77777777" w:rsidTr="00C232D7">
        <w:trPr>
          <w:trHeight w:val="312"/>
          <w:jc w:val="center"/>
        </w:trPr>
        <w:tc>
          <w:tcPr>
            <w:tcW w:w="2285" w:type="dxa"/>
            <w:shd w:val="clear" w:color="auto" w:fill="auto"/>
            <w:vAlign w:val="center"/>
          </w:tcPr>
          <w:p w14:paraId="180FB028"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Ukupno</w:t>
            </w:r>
          </w:p>
        </w:tc>
        <w:tc>
          <w:tcPr>
            <w:tcW w:w="2395" w:type="dxa"/>
            <w:shd w:val="clear" w:color="auto" w:fill="auto"/>
            <w:vAlign w:val="center"/>
          </w:tcPr>
          <w:p w14:paraId="2CE5AC33"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 </w:t>
            </w:r>
          </w:p>
        </w:tc>
        <w:tc>
          <w:tcPr>
            <w:tcW w:w="1416" w:type="dxa"/>
            <w:shd w:val="clear" w:color="auto" w:fill="auto"/>
            <w:vAlign w:val="center"/>
          </w:tcPr>
          <w:p w14:paraId="020BE6D0"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 </w:t>
            </w:r>
          </w:p>
        </w:tc>
        <w:tc>
          <w:tcPr>
            <w:tcW w:w="1887" w:type="dxa"/>
            <w:shd w:val="clear" w:color="auto" w:fill="auto"/>
            <w:vAlign w:val="center"/>
          </w:tcPr>
          <w:p w14:paraId="1DA27B94"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rPr>
              <w:t>25.702.100</w:t>
            </w:r>
          </w:p>
        </w:tc>
      </w:tr>
    </w:tbl>
    <w:p w14:paraId="40F5233D" w14:textId="77777777" w:rsidR="004D2EA8" w:rsidRDefault="004D2EA8" w:rsidP="00E57399">
      <w:pPr>
        <w:spacing w:before="120" w:after="120" w:line="360" w:lineRule="auto"/>
        <w:rPr>
          <w:rFonts w:ascii="Arial" w:hAnsi="Arial" w:cs="Arial"/>
          <w:lang w:val="sq-AL"/>
        </w:rPr>
      </w:pPr>
    </w:p>
    <w:p w14:paraId="6E6261B1" w14:textId="77777777" w:rsidR="00E57399" w:rsidRDefault="00C232D7" w:rsidP="00E57399">
      <w:pPr>
        <w:spacing w:before="120" w:after="120" w:line="360" w:lineRule="auto"/>
        <w:rPr>
          <w:rFonts w:ascii="Arial" w:hAnsi="Arial" w:cs="Arial"/>
          <w:lang w:val="sq-AL"/>
        </w:rPr>
      </w:pPr>
      <w:r w:rsidRPr="002A6F4E">
        <w:rPr>
          <w:rFonts w:ascii="Arial" w:hAnsi="Arial" w:cs="Arial"/>
          <w:lang w:val="sq-AL"/>
        </w:rPr>
        <w:t>U narednoj tabeli prikazan je  učinak ove opcije u odnosu na kvantitativne ciljeve.</w:t>
      </w:r>
      <w:bookmarkStart w:id="1044" w:name="_Toc189515642"/>
    </w:p>
    <w:p w14:paraId="18F272D7" w14:textId="77777777" w:rsidR="00D33BB9" w:rsidRDefault="00D33BB9" w:rsidP="00E57399">
      <w:pPr>
        <w:pStyle w:val="Caption"/>
        <w:rPr>
          <w:rFonts w:ascii="Arial" w:hAnsi="Arial" w:cs="Arial"/>
          <w:b w:val="0"/>
          <w:szCs w:val="20"/>
          <w:lang w:val="sq-AL"/>
        </w:rPr>
      </w:pPr>
      <w:bookmarkStart w:id="1045" w:name="_Toc190160760"/>
    </w:p>
    <w:p w14:paraId="282C6159" w14:textId="77777777" w:rsidR="00D33BB9" w:rsidRDefault="00D33BB9" w:rsidP="00E57399">
      <w:pPr>
        <w:pStyle w:val="Caption"/>
        <w:rPr>
          <w:rFonts w:ascii="Arial" w:hAnsi="Arial" w:cs="Arial"/>
          <w:b w:val="0"/>
          <w:szCs w:val="20"/>
          <w:lang w:val="sq-AL"/>
        </w:rPr>
      </w:pPr>
    </w:p>
    <w:p w14:paraId="499F527F" w14:textId="77777777" w:rsidR="00D33BB9" w:rsidRDefault="00D33BB9" w:rsidP="00E57399">
      <w:pPr>
        <w:pStyle w:val="Caption"/>
        <w:rPr>
          <w:rFonts w:ascii="Arial" w:hAnsi="Arial" w:cs="Arial"/>
          <w:b w:val="0"/>
          <w:szCs w:val="20"/>
          <w:lang w:val="sq-AL"/>
        </w:rPr>
      </w:pPr>
    </w:p>
    <w:p w14:paraId="48B93547" w14:textId="77777777" w:rsidR="00D33BB9" w:rsidRDefault="00D33BB9" w:rsidP="00D33BB9">
      <w:pPr>
        <w:rPr>
          <w:lang w:val="sq-AL"/>
        </w:rPr>
      </w:pPr>
    </w:p>
    <w:p w14:paraId="043DB2A6" w14:textId="77777777" w:rsidR="00D33BB9" w:rsidRDefault="00D33BB9" w:rsidP="00D33BB9">
      <w:pPr>
        <w:rPr>
          <w:lang w:val="sq-AL"/>
        </w:rPr>
      </w:pPr>
    </w:p>
    <w:p w14:paraId="4DFB3337" w14:textId="77777777" w:rsidR="00D33BB9" w:rsidRDefault="00D33BB9" w:rsidP="00D33BB9">
      <w:pPr>
        <w:rPr>
          <w:lang w:val="sq-AL"/>
        </w:rPr>
      </w:pPr>
    </w:p>
    <w:p w14:paraId="38E8A590" w14:textId="77777777" w:rsidR="00D33BB9" w:rsidRPr="00D33BB9" w:rsidRDefault="00D33BB9" w:rsidP="00D33BB9">
      <w:pPr>
        <w:rPr>
          <w:lang w:val="sq-AL"/>
        </w:rPr>
      </w:pPr>
    </w:p>
    <w:p w14:paraId="002CB0B3" w14:textId="77777777" w:rsidR="00D33BB9" w:rsidRDefault="00D33BB9" w:rsidP="00E57399">
      <w:pPr>
        <w:pStyle w:val="Caption"/>
        <w:rPr>
          <w:rFonts w:ascii="Arial" w:hAnsi="Arial" w:cs="Arial"/>
          <w:b w:val="0"/>
          <w:szCs w:val="20"/>
          <w:lang w:val="sq-AL"/>
        </w:rPr>
      </w:pPr>
    </w:p>
    <w:p w14:paraId="4D837F58" w14:textId="77777777" w:rsidR="00D33BB9" w:rsidRDefault="00D33BB9" w:rsidP="00E57399">
      <w:pPr>
        <w:pStyle w:val="Caption"/>
        <w:rPr>
          <w:rFonts w:ascii="Arial" w:hAnsi="Arial" w:cs="Arial"/>
          <w:b w:val="0"/>
          <w:szCs w:val="20"/>
          <w:lang w:val="sq-AL"/>
        </w:rPr>
      </w:pPr>
    </w:p>
    <w:p w14:paraId="50246452" w14:textId="77777777" w:rsidR="00D33BB9" w:rsidRDefault="00D33BB9" w:rsidP="00D33BB9">
      <w:pPr>
        <w:rPr>
          <w:lang w:val="sq-AL"/>
        </w:rPr>
      </w:pPr>
    </w:p>
    <w:p w14:paraId="1F2983EB" w14:textId="77777777" w:rsidR="00D33BB9" w:rsidRDefault="00D33BB9" w:rsidP="00D33BB9">
      <w:pPr>
        <w:rPr>
          <w:lang w:val="sq-AL"/>
        </w:rPr>
      </w:pPr>
    </w:p>
    <w:p w14:paraId="16B697F4" w14:textId="77777777" w:rsidR="00D33BB9" w:rsidRDefault="00D33BB9" w:rsidP="00D33BB9">
      <w:pPr>
        <w:rPr>
          <w:lang w:val="sq-AL"/>
        </w:rPr>
      </w:pPr>
    </w:p>
    <w:p w14:paraId="75F02D5A" w14:textId="77777777" w:rsidR="00D33BB9" w:rsidRDefault="00D33BB9" w:rsidP="00D33BB9">
      <w:pPr>
        <w:rPr>
          <w:lang w:val="sq-AL"/>
        </w:rPr>
      </w:pPr>
    </w:p>
    <w:p w14:paraId="1A08BB00" w14:textId="77777777" w:rsidR="00D33BB9" w:rsidRDefault="00D33BB9" w:rsidP="00D33BB9">
      <w:pPr>
        <w:rPr>
          <w:lang w:val="sq-AL"/>
        </w:rPr>
      </w:pPr>
    </w:p>
    <w:p w14:paraId="5BFAB8A7" w14:textId="77777777" w:rsidR="00D33BB9" w:rsidRDefault="00D33BB9" w:rsidP="00D33BB9">
      <w:pPr>
        <w:rPr>
          <w:lang w:val="sq-AL"/>
        </w:rPr>
      </w:pPr>
    </w:p>
    <w:p w14:paraId="3C8ACDB6" w14:textId="77777777" w:rsidR="00D33BB9" w:rsidRDefault="00D33BB9" w:rsidP="00D33BB9">
      <w:pPr>
        <w:rPr>
          <w:lang w:val="sq-AL"/>
        </w:rPr>
      </w:pPr>
    </w:p>
    <w:p w14:paraId="3402A04D" w14:textId="77777777" w:rsidR="00D33BB9" w:rsidRDefault="00D33BB9" w:rsidP="00D33BB9">
      <w:pPr>
        <w:rPr>
          <w:lang w:val="sq-AL"/>
        </w:rPr>
      </w:pPr>
    </w:p>
    <w:p w14:paraId="63CC7400" w14:textId="77777777" w:rsidR="00D33BB9" w:rsidRDefault="00D33BB9" w:rsidP="00D33BB9">
      <w:pPr>
        <w:rPr>
          <w:lang w:val="sq-AL"/>
        </w:rPr>
      </w:pPr>
    </w:p>
    <w:p w14:paraId="358B0F86" w14:textId="77777777" w:rsidR="00D33BB9" w:rsidRDefault="00D33BB9" w:rsidP="00D33BB9">
      <w:pPr>
        <w:rPr>
          <w:lang w:val="sq-AL"/>
        </w:rPr>
      </w:pPr>
    </w:p>
    <w:p w14:paraId="06684BA0" w14:textId="07937ACD" w:rsidR="00C232D7" w:rsidRPr="00C149AB" w:rsidRDefault="00E57399" w:rsidP="00E57399">
      <w:pPr>
        <w:pStyle w:val="Caption"/>
        <w:rPr>
          <w:rFonts w:ascii="Arial" w:hAnsi="Arial" w:cs="Arial"/>
          <w:b w:val="0"/>
          <w:szCs w:val="20"/>
          <w:lang w:val="sq-AL"/>
        </w:rPr>
      </w:pPr>
      <w:r w:rsidRPr="00C149AB">
        <w:rPr>
          <w:rFonts w:ascii="Arial" w:hAnsi="Arial" w:cs="Arial"/>
          <w:b w:val="0"/>
          <w:szCs w:val="20"/>
          <w:lang w:val="sq-AL"/>
        </w:rPr>
        <w:t>T</w:t>
      </w:r>
      <w:r w:rsidR="00C232D7" w:rsidRPr="00C149AB">
        <w:rPr>
          <w:rFonts w:ascii="Arial" w:hAnsi="Arial" w:cs="Arial"/>
          <w:b w:val="0"/>
          <w:szCs w:val="20"/>
          <w:lang w:val="sq-AL"/>
        </w:rPr>
        <w:t xml:space="preserve">abela </w:t>
      </w:r>
      <w:r w:rsidR="00C232D7" w:rsidRPr="00C149AB">
        <w:rPr>
          <w:rFonts w:ascii="Arial" w:hAnsi="Arial" w:cs="Arial"/>
          <w:b w:val="0"/>
          <w:szCs w:val="20"/>
          <w:lang w:val="sq-AL"/>
        </w:rPr>
        <w:fldChar w:fldCharType="begin"/>
      </w:r>
      <w:r w:rsidR="00C232D7" w:rsidRPr="00C149AB">
        <w:rPr>
          <w:rFonts w:ascii="Arial" w:hAnsi="Arial" w:cs="Arial"/>
          <w:b w:val="0"/>
          <w:szCs w:val="20"/>
          <w:lang w:val="sq-AL"/>
        </w:rPr>
        <w:instrText xml:space="preserve"> SEQ Tabela \* ARABIC </w:instrText>
      </w:r>
      <w:r w:rsidR="00C232D7" w:rsidRPr="00C149AB">
        <w:rPr>
          <w:rFonts w:ascii="Arial" w:hAnsi="Arial" w:cs="Arial"/>
          <w:b w:val="0"/>
          <w:szCs w:val="20"/>
          <w:lang w:val="sq-AL"/>
        </w:rPr>
        <w:fldChar w:fldCharType="separate"/>
      </w:r>
      <w:r w:rsidR="007274DA">
        <w:rPr>
          <w:rFonts w:ascii="Arial" w:hAnsi="Arial" w:cs="Arial"/>
          <w:b w:val="0"/>
          <w:noProof/>
          <w:szCs w:val="20"/>
          <w:lang w:val="sq-AL"/>
        </w:rPr>
        <w:t>66</w:t>
      </w:r>
      <w:r w:rsidR="00C232D7" w:rsidRPr="00C149AB">
        <w:rPr>
          <w:rFonts w:ascii="Arial" w:hAnsi="Arial" w:cs="Arial"/>
          <w:b w:val="0"/>
          <w:szCs w:val="20"/>
          <w:lang w:val="sq-AL"/>
        </w:rPr>
        <w:fldChar w:fldCharType="end"/>
      </w:r>
      <w:r w:rsidR="00C232D7" w:rsidRPr="00C149AB">
        <w:rPr>
          <w:rFonts w:ascii="Arial" w:hAnsi="Arial" w:cs="Arial"/>
          <w:b w:val="0"/>
          <w:szCs w:val="20"/>
          <w:lang w:val="sq-AL"/>
        </w:rPr>
        <w:t xml:space="preserve"> Učinak opcije IIIb u odnosu na postavljene ciljeve</w:t>
      </w:r>
      <w:bookmarkEnd w:id="1044"/>
      <w:bookmarkEnd w:id="1045"/>
    </w:p>
    <w:tbl>
      <w:tblPr>
        <w:tblStyle w:val="GridTable4-Accent11"/>
        <w:tblW w:w="49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6"/>
        <w:gridCol w:w="2755"/>
        <w:gridCol w:w="2792"/>
        <w:gridCol w:w="1390"/>
      </w:tblGrid>
      <w:tr w:rsidR="00C232D7" w:rsidRPr="00C149AB" w14:paraId="6EA0567D" w14:textId="77777777" w:rsidTr="00C232D7">
        <w:trPr>
          <w:cnfStyle w:val="100000000000" w:firstRow="1" w:lastRow="0" w:firstColumn="0" w:lastColumn="0" w:oddVBand="0" w:evenVBand="0" w:oddHBand="0" w:evenHBand="0" w:firstRowFirstColumn="0" w:firstRowLastColumn="0" w:lastRowFirstColumn="0" w:lastRowLastColumn="0"/>
          <w:trHeight w:val="413"/>
          <w:tblHeader/>
          <w:jc w:val="center"/>
        </w:trPr>
        <w:tc>
          <w:tcPr>
            <w:cnfStyle w:val="001000000000" w:firstRow="0" w:lastRow="0" w:firstColumn="1" w:lastColumn="0" w:oddVBand="0" w:evenVBand="0" w:oddHBand="0" w:evenHBand="0" w:firstRowFirstColumn="0" w:firstRowLastColumn="0" w:lastRowFirstColumn="0" w:lastRowLastColumn="0"/>
            <w:tcW w:w="1223" w:type="pct"/>
            <w:tcBorders>
              <w:top w:val="single" w:sz="4" w:space="0" w:color="auto"/>
              <w:left w:val="single" w:sz="4" w:space="0" w:color="auto"/>
              <w:bottom w:val="single" w:sz="4" w:space="0" w:color="auto"/>
            </w:tcBorders>
            <w:shd w:val="clear" w:color="auto" w:fill="F2F2F2" w:themeFill="background1" w:themeFillShade="F2"/>
            <w:vAlign w:val="center"/>
          </w:tcPr>
          <w:p w14:paraId="6A29F524"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color w:val="auto"/>
                <w:sz w:val="18"/>
                <w:szCs w:val="20"/>
                <w:lang w:val="sq-AL"/>
              </w:rPr>
              <w:t>Faza upravljanja otpadom</w:t>
            </w:r>
          </w:p>
        </w:tc>
        <w:tc>
          <w:tcPr>
            <w:tcW w:w="1500" w:type="pct"/>
            <w:tcBorders>
              <w:top w:val="single" w:sz="4" w:space="0" w:color="auto"/>
              <w:left w:val="single" w:sz="4" w:space="0" w:color="auto"/>
              <w:bottom w:val="single" w:sz="4" w:space="0" w:color="auto"/>
            </w:tcBorders>
            <w:shd w:val="clear" w:color="auto" w:fill="F2F2F2" w:themeFill="background1" w:themeFillShade="F2"/>
            <w:vAlign w:val="center"/>
          </w:tcPr>
          <w:p w14:paraId="66AE52DF"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Potražnja</w:t>
            </w:r>
          </w:p>
        </w:tc>
        <w:tc>
          <w:tcPr>
            <w:tcW w:w="1520" w:type="pct"/>
            <w:tcBorders>
              <w:top w:val="single" w:sz="4" w:space="0" w:color="auto"/>
              <w:left w:val="single" w:sz="4" w:space="0" w:color="auto"/>
              <w:bottom w:val="single" w:sz="4" w:space="0" w:color="auto"/>
            </w:tcBorders>
            <w:shd w:val="clear" w:color="auto" w:fill="F2F2F2" w:themeFill="background1" w:themeFillShade="F2"/>
            <w:vAlign w:val="center"/>
          </w:tcPr>
          <w:p w14:paraId="48AE2B53"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Učinak</w:t>
            </w:r>
          </w:p>
        </w:tc>
        <w:tc>
          <w:tcPr>
            <w:tcW w:w="75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C0E1B9"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Nivo ispunjenosti</w:t>
            </w:r>
          </w:p>
        </w:tc>
      </w:tr>
      <w:tr w:rsidR="00C232D7" w:rsidRPr="00C149AB" w14:paraId="3BC86E96" w14:textId="77777777" w:rsidTr="00C232D7">
        <w:trPr>
          <w:trHeight w:val="1620"/>
          <w:jc w:val="center"/>
        </w:trPr>
        <w:tc>
          <w:tcPr>
            <w:cnfStyle w:val="001000000000" w:firstRow="0" w:lastRow="0" w:firstColumn="1" w:lastColumn="0" w:oddVBand="0" w:evenVBand="0" w:oddHBand="0" w:evenHBand="0" w:firstRowFirstColumn="0" w:firstRowLastColumn="0" w:lastRowFirstColumn="0" w:lastRowLastColumn="0"/>
            <w:tcW w:w="1223" w:type="pct"/>
            <w:tcBorders>
              <w:top w:val="single" w:sz="4" w:space="0" w:color="auto"/>
            </w:tcBorders>
            <w:shd w:val="clear" w:color="auto" w:fill="auto"/>
            <w:vAlign w:val="center"/>
          </w:tcPr>
          <w:p w14:paraId="1822E2E9"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bookmarkStart w:id="1046" w:name="_Hlk123735128"/>
            <w:r w:rsidRPr="00C149AB">
              <w:rPr>
                <w:rFonts w:ascii="Arial" w:hAnsi="Arial" w:cs="Arial"/>
                <w:sz w:val="18"/>
                <w:szCs w:val="20"/>
                <w:lang w:val="sq-AL"/>
              </w:rPr>
              <w:t>Ukupno sakupljene količine otpada</w:t>
            </w:r>
          </w:p>
        </w:tc>
        <w:tc>
          <w:tcPr>
            <w:tcW w:w="1500" w:type="pct"/>
            <w:tcBorders>
              <w:top w:val="single" w:sz="4" w:space="0" w:color="auto"/>
            </w:tcBorders>
            <w:shd w:val="clear" w:color="auto" w:fill="auto"/>
            <w:vAlign w:val="center"/>
          </w:tcPr>
          <w:p w14:paraId="0D67D4E5" w14:textId="5453B5D2" w:rsidR="00C232D7" w:rsidRPr="00C149AB" w:rsidRDefault="00141126"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9440AA">
              <w:rPr>
                <w:rFonts w:ascii="Arial" w:hAnsi="Arial" w:cs="Arial"/>
                <w:sz w:val="18"/>
                <w:lang w:val="mk-MK"/>
              </w:rPr>
              <w:t>202</w:t>
            </w:r>
            <w:r w:rsidR="007B1545" w:rsidRPr="009440AA">
              <w:rPr>
                <w:rFonts w:ascii="Arial" w:hAnsi="Arial" w:cs="Arial"/>
                <w:sz w:val="18"/>
                <w:lang w:val="sr-Latn-RS"/>
              </w:rPr>
              <w:t>5</w:t>
            </w:r>
            <w:r w:rsidRPr="00C149AB">
              <w:rPr>
                <w:rFonts w:ascii="Arial" w:hAnsi="Arial" w:cs="Arial"/>
                <w:sz w:val="18"/>
                <w:lang w:val="mk-MK"/>
              </w:rPr>
              <w:t>: 350.424 t/god (</w:t>
            </w:r>
            <w:r w:rsidR="00C232D7" w:rsidRPr="00C149AB">
              <w:rPr>
                <w:rFonts w:ascii="Arial" w:hAnsi="Arial" w:cs="Arial"/>
                <w:sz w:val="18"/>
                <w:lang w:val="mk-MK"/>
              </w:rPr>
              <w:t>100% ukupnog otpada)</w:t>
            </w:r>
          </w:p>
          <w:p w14:paraId="635F1D45" w14:textId="2F8B965C" w:rsidR="00C232D7" w:rsidRPr="00C149AB" w:rsidRDefault="00FE289C" w:rsidP="00141126">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eastAsia="en-GB"/>
              </w:rPr>
            </w:pPr>
            <w:r w:rsidRPr="00C149AB">
              <w:rPr>
                <w:rFonts w:ascii="Arial" w:hAnsi="Arial" w:cs="Arial"/>
                <w:sz w:val="18"/>
                <w:lang w:val="en-US"/>
              </w:rPr>
              <w:t>2029</w:t>
            </w:r>
            <w:r w:rsidR="00C232D7" w:rsidRPr="00C149AB">
              <w:rPr>
                <w:rFonts w:ascii="Arial" w:hAnsi="Arial" w:cs="Arial"/>
                <w:sz w:val="18"/>
                <w:lang w:val="mk-MK"/>
              </w:rPr>
              <w:t>: 360.433 t/god (100% ukupnog otpada)</w:t>
            </w:r>
          </w:p>
        </w:tc>
        <w:tc>
          <w:tcPr>
            <w:tcW w:w="1520" w:type="pct"/>
            <w:tcBorders>
              <w:top w:val="single" w:sz="4" w:space="0" w:color="auto"/>
            </w:tcBorders>
            <w:shd w:val="clear" w:color="auto" w:fill="auto"/>
            <w:vAlign w:val="center"/>
          </w:tcPr>
          <w:p w14:paraId="52F2D63A" w14:textId="1F1E6338"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w:t>
            </w:r>
            <w:r w:rsidR="007B1545" w:rsidRPr="00C149AB">
              <w:rPr>
                <w:rFonts w:ascii="Arial" w:hAnsi="Arial" w:cs="Arial"/>
                <w:sz w:val="18"/>
                <w:lang w:val="sr-Latn-RS"/>
              </w:rPr>
              <w:t>5</w:t>
            </w:r>
            <w:r w:rsidRPr="00C149AB">
              <w:rPr>
                <w:rFonts w:ascii="Arial" w:hAnsi="Arial" w:cs="Arial"/>
                <w:sz w:val="18"/>
                <w:lang w:val="mk-MK"/>
              </w:rPr>
              <w:t>: 332,968 t/god (95.0% ukupnog otpada)</w:t>
            </w:r>
          </w:p>
          <w:p w14:paraId="49115A11" w14:textId="7145DA65" w:rsidR="00C232D7" w:rsidRPr="00C149AB" w:rsidRDefault="00FE289C" w:rsidP="00141126">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rPr>
            </w:pPr>
            <w:r w:rsidRPr="00C149AB">
              <w:rPr>
                <w:rFonts w:ascii="Arial" w:hAnsi="Arial" w:cs="Arial"/>
                <w:sz w:val="18"/>
                <w:lang w:val="en-US"/>
              </w:rPr>
              <w:t>2029</w:t>
            </w:r>
            <w:r w:rsidR="00C232D7" w:rsidRPr="00C149AB">
              <w:rPr>
                <w:rFonts w:ascii="Arial" w:hAnsi="Arial" w:cs="Arial"/>
                <w:sz w:val="18"/>
                <w:lang w:val="mk-MK"/>
              </w:rPr>
              <w:t>: 342.776 t/god (95.1% ukupnog otpada)</w:t>
            </w:r>
          </w:p>
        </w:tc>
        <w:tc>
          <w:tcPr>
            <w:tcW w:w="757" w:type="pct"/>
            <w:tcBorders>
              <w:top w:val="single" w:sz="4" w:space="0" w:color="auto"/>
            </w:tcBorders>
            <w:shd w:val="clear" w:color="auto" w:fill="auto"/>
            <w:vAlign w:val="center"/>
          </w:tcPr>
          <w:p w14:paraId="39B926B4" w14:textId="4F7CF116"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w:t>
            </w:r>
            <w:r w:rsidR="007B1545" w:rsidRPr="00C149AB">
              <w:rPr>
                <w:rFonts w:ascii="Arial" w:hAnsi="Arial" w:cs="Arial"/>
                <w:sz w:val="18"/>
                <w:lang w:val="sr-Latn-RS"/>
              </w:rPr>
              <w:t>5</w:t>
            </w:r>
            <w:r w:rsidRPr="00C149AB">
              <w:rPr>
                <w:rFonts w:ascii="Arial" w:hAnsi="Arial" w:cs="Arial"/>
                <w:sz w:val="18"/>
                <w:lang w:val="mk-MK"/>
              </w:rPr>
              <w:t xml:space="preserve">: 100% </w:t>
            </w:r>
          </w:p>
          <w:p w14:paraId="0F0E89C8" w14:textId="5EC2C391"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rPr>
            </w:pPr>
            <w:r w:rsidRPr="00C149AB">
              <w:rPr>
                <w:rFonts w:ascii="Arial" w:hAnsi="Arial" w:cs="Arial"/>
                <w:sz w:val="18"/>
                <w:lang w:val="en-US"/>
              </w:rPr>
              <w:t>2029</w:t>
            </w:r>
            <w:r w:rsidR="00C232D7" w:rsidRPr="00C149AB">
              <w:rPr>
                <w:rFonts w:ascii="Arial" w:hAnsi="Arial" w:cs="Arial"/>
                <w:sz w:val="18"/>
                <w:lang w:val="mk-MK"/>
              </w:rPr>
              <w:t>: 100%</w:t>
            </w:r>
          </w:p>
        </w:tc>
      </w:tr>
      <w:tr w:rsidR="00C232D7" w:rsidRPr="00C149AB" w14:paraId="76489E2E" w14:textId="77777777" w:rsidTr="00C232D7">
        <w:trPr>
          <w:trHeight w:val="2347"/>
          <w:jc w:val="center"/>
        </w:trPr>
        <w:tc>
          <w:tcPr>
            <w:cnfStyle w:val="001000000000" w:firstRow="0" w:lastRow="0" w:firstColumn="1" w:lastColumn="0" w:oddVBand="0" w:evenVBand="0" w:oddHBand="0" w:evenHBand="0" w:firstRowFirstColumn="0" w:firstRowLastColumn="0" w:lastRowFirstColumn="0" w:lastRowLastColumn="0"/>
            <w:tcW w:w="1223" w:type="pct"/>
            <w:shd w:val="clear" w:color="auto" w:fill="auto"/>
            <w:vAlign w:val="center"/>
          </w:tcPr>
          <w:p w14:paraId="13473B6C"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sq-AL"/>
              </w:rPr>
              <w:t>Odvojeno sakupljanje otpada koji se može reciklirati</w:t>
            </w:r>
          </w:p>
        </w:tc>
        <w:tc>
          <w:tcPr>
            <w:tcW w:w="1500" w:type="pct"/>
            <w:shd w:val="clear" w:color="auto" w:fill="auto"/>
            <w:vAlign w:val="center"/>
          </w:tcPr>
          <w:p w14:paraId="2EBF6A4A" w14:textId="29F72727"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 xml:space="preserve">2025: 27.316 t/god (15% </w:t>
            </w:r>
            <w:r w:rsidRPr="00C149AB">
              <w:rPr>
                <w:rFonts w:ascii="Arial" w:hAnsi="Arial" w:cs="Arial"/>
                <w:sz w:val="18"/>
                <w:lang w:val="sq-AL"/>
              </w:rPr>
              <w:t>otpada koji se može reciklirati</w:t>
            </w:r>
            <w:r w:rsidRPr="00C149AB">
              <w:rPr>
                <w:rFonts w:ascii="Arial" w:hAnsi="Arial" w:cs="Arial"/>
                <w:sz w:val="18"/>
                <w:lang w:val="mk-MK"/>
              </w:rPr>
              <w:t>)</w:t>
            </w:r>
          </w:p>
          <w:p w14:paraId="005D5A60" w14:textId="351B253D" w:rsidR="00C232D7" w:rsidRPr="00C149AB" w:rsidRDefault="00FE289C" w:rsidP="00141126">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eastAsia="en-GB"/>
              </w:rPr>
            </w:pPr>
            <w:r w:rsidRPr="00C149AB">
              <w:rPr>
                <w:rFonts w:ascii="Arial" w:hAnsi="Arial" w:cs="Arial"/>
                <w:sz w:val="18"/>
                <w:lang w:val="en-US"/>
              </w:rPr>
              <w:t>2029</w:t>
            </w:r>
            <w:r w:rsidR="00141126" w:rsidRPr="00C149AB">
              <w:rPr>
                <w:rFonts w:ascii="Arial" w:hAnsi="Arial" w:cs="Arial"/>
                <w:sz w:val="18"/>
                <w:lang w:val="mk-MK"/>
              </w:rPr>
              <w:t xml:space="preserve">: 46.999 t/god </w:t>
            </w:r>
            <w:r w:rsidR="00141126" w:rsidRPr="00C149AB">
              <w:rPr>
                <w:rFonts w:ascii="Arial" w:hAnsi="Arial" w:cs="Arial"/>
                <w:sz w:val="18"/>
                <w:lang w:val="en-US"/>
              </w:rPr>
              <w:t>(</w:t>
            </w:r>
            <w:r w:rsidR="00C232D7" w:rsidRPr="00C149AB">
              <w:rPr>
                <w:rFonts w:ascii="Arial" w:hAnsi="Arial" w:cs="Arial"/>
                <w:sz w:val="18"/>
                <w:lang w:val="mk-MK"/>
              </w:rPr>
              <w:t xml:space="preserve">25% </w:t>
            </w:r>
            <w:r w:rsidR="00C232D7" w:rsidRPr="00C149AB">
              <w:rPr>
                <w:rFonts w:ascii="Arial" w:hAnsi="Arial" w:cs="Arial"/>
                <w:sz w:val="18"/>
                <w:lang w:val="sq-AL"/>
              </w:rPr>
              <w:t>otpada koji se može reciklirati</w:t>
            </w:r>
            <w:r w:rsidR="00C232D7" w:rsidRPr="00C149AB">
              <w:rPr>
                <w:rFonts w:ascii="Arial" w:hAnsi="Arial" w:cs="Arial"/>
                <w:sz w:val="18"/>
                <w:lang w:val="mk-MK"/>
              </w:rPr>
              <w:t>)</w:t>
            </w:r>
          </w:p>
        </w:tc>
        <w:tc>
          <w:tcPr>
            <w:tcW w:w="1520" w:type="pct"/>
            <w:shd w:val="clear" w:color="auto" w:fill="auto"/>
            <w:vAlign w:val="center"/>
          </w:tcPr>
          <w:p w14:paraId="1860BEEA" w14:textId="74DC2E71" w:rsidR="00C232D7" w:rsidRPr="00C149AB" w:rsidRDefault="00141126"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31.078 t/god (</w:t>
            </w:r>
            <w:r w:rsidR="00C232D7" w:rsidRPr="00C149AB">
              <w:rPr>
                <w:rFonts w:ascii="Arial" w:hAnsi="Arial" w:cs="Arial"/>
                <w:sz w:val="18"/>
                <w:szCs w:val="20"/>
                <w:lang w:val="mk-MK"/>
              </w:rPr>
              <w:t xml:space="preserve">17% </w:t>
            </w:r>
            <w:r w:rsidR="00C232D7" w:rsidRPr="00C149AB">
              <w:rPr>
                <w:rFonts w:ascii="Arial" w:hAnsi="Arial" w:cs="Arial"/>
                <w:sz w:val="18"/>
                <w:szCs w:val="20"/>
                <w:lang w:val="sq-AL"/>
              </w:rPr>
              <w:t>otpada koji se može reciklirati</w:t>
            </w:r>
            <w:r w:rsidR="00C232D7" w:rsidRPr="00C149AB">
              <w:rPr>
                <w:rFonts w:ascii="Arial" w:hAnsi="Arial" w:cs="Arial"/>
                <w:sz w:val="18"/>
                <w:szCs w:val="20"/>
                <w:lang w:val="mk-MK"/>
              </w:rPr>
              <w:t>)</w:t>
            </w:r>
          </w:p>
          <w:p w14:paraId="5288C6AA" w14:textId="79D1803E"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141126" w:rsidRPr="00C149AB">
              <w:rPr>
                <w:rFonts w:ascii="Arial" w:hAnsi="Arial" w:cs="Arial"/>
                <w:sz w:val="18"/>
                <w:szCs w:val="20"/>
                <w:lang w:val="mk-MK"/>
              </w:rPr>
              <w:t>: 53.287 t/god (</w:t>
            </w:r>
            <w:r w:rsidR="00C232D7" w:rsidRPr="00C149AB">
              <w:rPr>
                <w:rFonts w:ascii="Arial" w:hAnsi="Arial" w:cs="Arial"/>
                <w:sz w:val="18"/>
                <w:szCs w:val="20"/>
                <w:lang w:val="mk-MK"/>
              </w:rPr>
              <w:t xml:space="preserve">29% </w:t>
            </w:r>
            <w:r w:rsidR="00C232D7" w:rsidRPr="00C149AB">
              <w:rPr>
                <w:rFonts w:ascii="Arial" w:hAnsi="Arial" w:cs="Arial"/>
                <w:sz w:val="18"/>
                <w:szCs w:val="20"/>
                <w:lang w:val="sq-AL"/>
              </w:rPr>
              <w:t>otpada koji se može reciklirati</w:t>
            </w:r>
            <w:r w:rsidR="00C232D7" w:rsidRPr="00C149AB">
              <w:rPr>
                <w:rFonts w:ascii="Arial" w:hAnsi="Arial" w:cs="Arial"/>
                <w:sz w:val="18"/>
                <w:szCs w:val="20"/>
                <w:lang w:val="mk-MK"/>
              </w:rPr>
              <w:t>)</w:t>
            </w:r>
          </w:p>
        </w:tc>
        <w:tc>
          <w:tcPr>
            <w:tcW w:w="757" w:type="pct"/>
            <w:shd w:val="clear" w:color="auto" w:fill="auto"/>
            <w:vAlign w:val="center"/>
          </w:tcPr>
          <w:p w14:paraId="643A3DAE" w14:textId="77777777"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 xml:space="preserve">2025: 100% </w:t>
            </w:r>
          </w:p>
          <w:p w14:paraId="295D2B08" w14:textId="77777777"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rPr>
            </w:pPr>
            <w:r w:rsidRPr="00C149AB">
              <w:rPr>
                <w:rFonts w:ascii="Arial" w:hAnsi="Arial" w:cs="Arial"/>
                <w:sz w:val="18"/>
                <w:lang w:val="mk-MK"/>
              </w:rPr>
              <w:t>2029: 100%</w:t>
            </w:r>
          </w:p>
        </w:tc>
      </w:tr>
      <w:tr w:rsidR="00C232D7" w:rsidRPr="00C149AB" w14:paraId="4A943AF7" w14:textId="77777777" w:rsidTr="00C232D7">
        <w:trPr>
          <w:trHeight w:val="829"/>
          <w:jc w:val="center"/>
        </w:trPr>
        <w:tc>
          <w:tcPr>
            <w:cnfStyle w:val="001000000000" w:firstRow="0" w:lastRow="0" w:firstColumn="1" w:lastColumn="0" w:oddVBand="0" w:evenVBand="0" w:oddHBand="0" w:evenHBand="0" w:firstRowFirstColumn="0" w:firstRowLastColumn="0" w:lastRowFirstColumn="0" w:lastRowLastColumn="0"/>
            <w:tcW w:w="1223" w:type="pct"/>
            <w:shd w:val="clear" w:color="auto" w:fill="auto"/>
            <w:vAlign w:val="center"/>
          </w:tcPr>
          <w:p w14:paraId="5AE94777"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sq-AL"/>
              </w:rPr>
              <w:t>Odvojeno sakupljanje ambalažnog otpada</w:t>
            </w:r>
          </w:p>
        </w:tc>
        <w:tc>
          <w:tcPr>
            <w:tcW w:w="1500" w:type="pct"/>
            <w:shd w:val="clear" w:color="auto" w:fill="auto"/>
            <w:vAlign w:val="center"/>
          </w:tcPr>
          <w:p w14:paraId="42678AB4" w14:textId="47217AE4"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eastAsia="en-GB"/>
              </w:rPr>
            </w:pPr>
            <w:r w:rsidRPr="00C149AB">
              <w:rPr>
                <w:rFonts w:ascii="Arial" w:hAnsi="Arial" w:cs="Arial"/>
                <w:sz w:val="18"/>
                <w:lang w:val="en-US"/>
              </w:rPr>
              <w:t>2029</w:t>
            </w:r>
            <w:r w:rsidR="00C232D7" w:rsidRPr="00C149AB">
              <w:rPr>
                <w:rFonts w:ascii="Arial" w:hAnsi="Arial" w:cs="Arial"/>
                <w:sz w:val="18"/>
                <w:lang w:val="mk-MK"/>
              </w:rPr>
              <w:t xml:space="preserve">: 34.524 t/god (35% </w:t>
            </w:r>
            <w:r w:rsidR="00C232D7" w:rsidRPr="00C149AB">
              <w:rPr>
                <w:rFonts w:ascii="Arial" w:hAnsi="Arial" w:cs="Arial"/>
                <w:sz w:val="18"/>
                <w:lang w:val="sq-AL"/>
              </w:rPr>
              <w:t>ambalažnog otpada</w:t>
            </w:r>
            <w:r w:rsidR="00C232D7" w:rsidRPr="00C149AB">
              <w:rPr>
                <w:rFonts w:ascii="Arial" w:hAnsi="Arial" w:cs="Arial"/>
                <w:sz w:val="18"/>
                <w:lang w:val="mk-MK"/>
              </w:rPr>
              <w:t>)</w:t>
            </w:r>
          </w:p>
        </w:tc>
        <w:tc>
          <w:tcPr>
            <w:tcW w:w="1520" w:type="pct"/>
            <w:shd w:val="clear" w:color="auto" w:fill="auto"/>
            <w:vAlign w:val="center"/>
          </w:tcPr>
          <w:p w14:paraId="1940F981" w14:textId="2F23ACF1"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C232D7" w:rsidRPr="00C149AB">
              <w:rPr>
                <w:rFonts w:ascii="Arial" w:hAnsi="Arial" w:cs="Arial"/>
                <w:sz w:val="18"/>
                <w:szCs w:val="20"/>
                <w:lang w:val="mk-MK"/>
              </w:rPr>
              <w:t xml:space="preserve">: 37.301 t/god (38% </w:t>
            </w:r>
            <w:r w:rsidR="00C232D7" w:rsidRPr="00C149AB">
              <w:rPr>
                <w:rFonts w:ascii="Arial" w:hAnsi="Arial" w:cs="Arial"/>
                <w:sz w:val="18"/>
                <w:szCs w:val="20"/>
                <w:lang w:val="sq-AL"/>
              </w:rPr>
              <w:t>ambalažnog otpada</w:t>
            </w:r>
            <w:r w:rsidR="00C232D7" w:rsidRPr="00C149AB">
              <w:rPr>
                <w:rFonts w:ascii="Arial" w:hAnsi="Arial" w:cs="Arial"/>
                <w:sz w:val="18"/>
                <w:szCs w:val="20"/>
                <w:lang w:val="mk-MK"/>
              </w:rPr>
              <w:t>)</w:t>
            </w:r>
          </w:p>
        </w:tc>
        <w:tc>
          <w:tcPr>
            <w:tcW w:w="757" w:type="pct"/>
            <w:shd w:val="clear" w:color="auto" w:fill="auto"/>
            <w:vAlign w:val="center"/>
          </w:tcPr>
          <w:p w14:paraId="6CB082BB" w14:textId="52946668" w:rsidR="00C232D7" w:rsidRPr="00C149AB" w:rsidRDefault="00FE289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rPr>
            </w:pPr>
            <w:r w:rsidRPr="00C149AB">
              <w:rPr>
                <w:rFonts w:ascii="Arial" w:hAnsi="Arial" w:cs="Arial"/>
                <w:sz w:val="18"/>
                <w:lang w:val="en-US"/>
              </w:rPr>
              <w:t>2029</w:t>
            </w:r>
            <w:r w:rsidR="00C232D7" w:rsidRPr="00C149AB">
              <w:rPr>
                <w:rFonts w:ascii="Arial" w:hAnsi="Arial" w:cs="Arial"/>
                <w:sz w:val="18"/>
                <w:lang w:val="mk-MK"/>
              </w:rPr>
              <w:t>: 100%</w:t>
            </w:r>
          </w:p>
        </w:tc>
      </w:tr>
      <w:tr w:rsidR="00C232D7" w:rsidRPr="00C149AB" w14:paraId="79A50C3B" w14:textId="77777777" w:rsidTr="00C232D7">
        <w:trPr>
          <w:trHeight w:val="1620"/>
          <w:jc w:val="center"/>
        </w:trPr>
        <w:tc>
          <w:tcPr>
            <w:cnfStyle w:val="001000000000" w:firstRow="0" w:lastRow="0" w:firstColumn="1" w:lastColumn="0" w:oddVBand="0" w:evenVBand="0" w:oddHBand="0" w:evenHBand="0" w:firstRowFirstColumn="0" w:firstRowLastColumn="0" w:lastRowFirstColumn="0" w:lastRowLastColumn="0"/>
            <w:tcW w:w="1223" w:type="pct"/>
            <w:shd w:val="clear" w:color="auto" w:fill="auto"/>
          </w:tcPr>
          <w:p w14:paraId="33A6F976"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sq-AL"/>
              </w:rPr>
              <w:t>Odvojeno sakupljanje biorazgradivog otpada</w:t>
            </w:r>
          </w:p>
        </w:tc>
        <w:tc>
          <w:tcPr>
            <w:tcW w:w="1500" w:type="pct"/>
            <w:shd w:val="clear" w:color="auto" w:fill="auto"/>
            <w:vAlign w:val="center"/>
          </w:tcPr>
          <w:p w14:paraId="27BCF4A4" w14:textId="27AFC5B6" w:rsidR="00C232D7" w:rsidRPr="00C149AB" w:rsidRDefault="00141126"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24.233 t/god (</w:t>
            </w:r>
            <w:r w:rsidR="00C232D7" w:rsidRPr="00C149AB">
              <w:rPr>
                <w:rFonts w:ascii="Arial" w:hAnsi="Arial" w:cs="Arial"/>
                <w:sz w:val="18"/>
                <w:szCs w:val="20"/>
                <w:lang w:val="mk-MK"/>
              </w:rPr>
              <w:t>7% ukupnog otpada)</w:t>
            </w:r>
          </w:p>
          <w:p w14:paraId="17020A14" w14:textId="38C5725E"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24.06</w:t>
            </w:r>
            <w:r w:rsidR="00141126" w:rsidRPr="00C149AB">
              <w:rPr>
                <w:rFonts w:ascii="Arial" w:hAnsi="Arial" w:cs="Arial"/>
                <w:sz w:val="18"/>
                <w:szCs w:val="20"/>
                <w:lang w:val="mk-MK"/>
              </w:rPr>
              <w:t>3 t/god (</w:t>
            </w:r>
            <w:r w:rsidR="00C232D7" w:rsidRPr="00C149AB">
              <w:rPr>
                <w:rFonts w:ascii="Arial" w:hAnsi="Arial" w:cs="Arial"/>
                <w:sz w:val="18"/>
                <w:szCs w:val="20"/>
                <w:lang w:val="mk-MK"/>
              </w:rPr>
              <w:t>7% ukupnog otpada)</w:t>
            </w:r>
          </w:p>
        </w:tc>
        <w:tc>
          <w:tcPr>
            <w:tcW w:w="1520" w:type="pct"/>
            <w:shd w:val="clear" w:color="auto" w:fill="auto"/>
            <w:vAlign w:val="center"/>
          </w:tcPr>
          <w:p w14:paraId="44495438" w14:textId="40CE8649" w:rsidR="00C232D7" w:rsidRPr="00C149AB" w:rsidRDefault="00141126"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8.202 t/god (</w:t>
            </w:r>
            <w:r w:rsidR="00C232D7" w:rsidRPr="00C149AB">
              <w:rPr>
                <w:rFonts w:ascii="Arial" w:hAnsi="Arial" w:cs="Arial"/>
                <w:sz w:val="18"/>
                <w:szCs w:val="20"/>
                <w:lang w:val="mk-MK"/>
              </w:rPr>
              <w:t>2% ukupnog otpada)</w:t>
            </w:r>
          </w:p>
          <w:p w14:paraId="4C30AF9A" w14:textId="3A95C407" w:rsidR="00C232D7" w:rsidRPr="00C149AB" w:rsidRDefault="00B40E88" w:rsidP="00766B61">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w:t>
            </w:r>
            <w:r w:rsidR="00766B61" w:rsidRPr="00C149AB">
              <w:rPr>
                <w:rFonts w:ascii="Arial" w:hAnsi="Arial" w:cs="Arial"/>
                <w:sz w:val="18"/>
                <w:szCs w:val="20"/>
              </w:rPr>
              <w:t>9</w:t>
            </w:r>
            <w:r w:rsidR="00141126" w:rsidRPr="00C149AB">
              <w:rPr>
                <w:rFonts w:ascii="Arial" w:hAnsi="Arial" w:cs="Arial"/>
                <w:sz w:val="18"/>
                <w:szCs w:val="20"/>
                <w:lang w:val="mk-MK"/>
              </w:rPr>
              <w:t>: 8.294 t/god (</w:t>
            </w:r>
            <w:r w:rsidR="00C232D7" w:rsidRPr="00C149AB">
              <w:rPr>
                <w:rFonts w:ascii="Arial" w:hAnsi="Arial" w:cs="Arial"/>
                <w:sz w:val="18"/>
                <w:szCs w:val="20"/>
                <w:lang w:val="mk-MK"/>
              </w:rPr>
              <w:t>2% ukupnog otpada)</w:t>
            </w:r>
          </w:p>
        </w:tc>
        <w:tc>
          <w:tcPr>
            <w:tcW w:w="757" w:type="pct"/>
            <w:shd w:val="clear" w:color="auto" w:fill="auto"/>
            <w:vAlign w:val="center"/>
          </w:tcPr>
          <w:p w14:paraId="02CD76D3"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34% </w:t>
            </w:r>
          </w:p>
          <w:p w14:paraId="1F5421E5" w14:textId="3B1DBBBF"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34%</w:t>
            </w:r>
          </w:p>
        </w:tc>
      </w:tr>
      <w:tr w:rsidR="00C232D7" w:rsidRPr="00C149AB" w14:paraId="59EB6C6A" w14:textId="77777777" w:rsidTr="00C232D7">
        <w:trPr>
          <w:trHeight w:val="1620"/>
          <w:jc w:val="center"/>
        </w:trPr>
        <w:tc>
          <w:tcPr>
            <w:cnfStyle w:val="001000000000" w:firstRow="0" w:lastRow="0" w:firstColumn="1" w:lastColumn="0" w:oddVBand="0" w:evenVBand="0" w:oddHBand="0" w:evenHBand="0" w:firstRowFirstColumn="0" w:firstRowLastColumn="0" w:lastRowFirstColumn="0" w:lastRowLastColumn="0"/>
            <w:tcW w:w="1223" w:type="pct"/>
            <w:shd w:val="clear" w:color="auto" w:fill="auto"/>
          </w:tcPr>
          <w:p w14:paraId="4BD33390"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sq-AL"/>
              </w:rPr>
              <w:t>Kućno kompostiranje</w:t>
            </w:r>
          </w:p>
        </w:tc>
        <w:tc>
          <w:tcPr>
            <w:tcW w:w="1500" w:type="pct"/>
            <w:shd w:val="clear" w:color="auto" w:fill="auto"/>
            <w:vAlign w:val="center"/>
          </w:tcPr>
          <w:p w14:paraId="006DE62C" w14:textId="240B68C7" w:rsidR="00C232D7" w:rsidRPr="00C149AB" w:rsidRDefault="00A4253A"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5.624 t/god (</w:t>
            </w:r>
            <w:r w:rsidR="00C232D7" w:rsidRPr="00C149AB">
              <w:rPr>
                <w:rFonts w:ascii="Arial" w:hAnsi="Arial" w:cs="Arial"/>
                <w:sz w:val="18"/>
                <w:szCs w:val="20"/>
                <w:lang w:val="mk-MK"/>
              </w:rPr>
              <w:t>1.6% ukupnog otpada)</w:t>
            </w:r>
          </w:p>
          <w:p w14:paraId="1323C4B5" w14:textId="12BB1601"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A4253A" w:rsidRPr="00C149AB">
              <w:rPr>
                <w:rFonts w:ascii="Arial" w:hAnsi="Arial" w:cs="Arial"/>
                <w:sz w:val="18"/>
                <w:szCs w:val="20"/>
                <w:lang w:val="mk-MK"/>
              </w:rPr>
              <w:t>: 5.584 t/god (</w:t>
            </w:r>
            <w:r w:rsidR="00C232D7" w:rsidRPr="00C149AB">
              <w:rPr>
                <w:rFonts w:ascii="Arial" w:hAnsi="Arial" w:cs="Arial"/>
                <w:sz w:val="18"/>
                <w:szCs w:val="20"/>
                <w:lang w:val="mk-MK"/>
              </w:rPr>
              <w:t>1.6% ukupnog otpada)</w:t>
            </w:r>
          </w:p>
        </w:tc>
        <w:tc>
          <w:tcPr>
            <w:tcW w:w="1520" w:type="pct"/>
            <w:shd w:val="clear" w:color="auto" w:fill="auto"/>
            <w:vAlign w:val="center"/>
          </w:tcPr>
          <w:p w14:paraId="5E3E195D" w14:textId="494D971E"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5.624 t/</w:t>
            </w:r>
            <w:r w:rsidR="00A4253A" w:rsidRPr="00C149AB">
              <w:rPr>
                <w:rFonts w:ascii="Arial" w:hAnsi="Arial" w:cs="Arial"/>
                <w:sz w:val="18"/>
                <w:szCs w:val="20"/>
                <w:lang w:val="mk-MK"/>
              </w:rPr>
              <w:t>god (</w:t>
            </w:r>
            <w:r w:rsidRPr="00C149AB">
              <w:rPr>
                <w:rFonts w:ascii="Arial" w:hAnsi="Arial" w:cs="Arial"/>
                <w:sz w:val="18"/>
                <w:szCs w:val="20"/>
                <w:lang w:val="mk-MK"/>
              </w:rPr>
              <w:t>1.6% ukupnog otpada)</w:t>
            </w:r>
          </w:p>
          <w:p w14:paraId="0F5FE050" w14:textId="16E2D6BC"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A4253A" w:rsidRPr="00C149AB">
              <w:rPr>
                <w:rFonts w:ascii="Arial" w:hAnsi="Arial" w:cs="Arial"/>
                <w:sz w:val="18"/>
                <w:szCs w:val="20"/>
                <w:lang w:val="mk-MK"/>
              </w:rPr>
              <w:t>: 5.584 t/god (</w:t>
            </w:r>
            <w:r w:rsidR="00C232D7" w:rsidRPr="00C149AB">
              <w:rPr>
                <w:rFonts w:ascii="Arial" w:hAnsi="Arial" w:cs="Arial"/>
                <w:sz w:val="18"/>
                <w:szCs w:val="20"/>
                <w:lang w:val="mk-MK"/>
              </w:rPr>
              <w:t>1.6% ukupnog otpada)</w:t>
            </w:r>
          </w:p>
        </w:tc>
        <w:tc>
          <w:tcPr>
            <w:tcW w:w="757" w:type="pct"/>
            <w:shd w:val="clear" w:color="auto" w:fill="auto"/>
            <w:vAlign w:val="center"/>
          </w:tcPr>
          <w:p w14:paraId="6C2D1ED9"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100% </w:t>
            </w:r>
          </w:p>
          <w:p w14:paraId="1A05571B" w14:textId="3B747473"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100%</w:t>
            </w:r>
          </w:p>
        </w:tc>
      </w:tr>
      <w:tr w:rsidR="00C232D7" w:rsidRPr="00C149AB" w14:paraId="516E5F69" w14:textId="77777777" w:rsidTr="00C232D7">
        <w:trPr>
          <w:trHeight w:val="895"/>
          <w:jc w:val="center"/>
        </w:trPr>
        <w:tc>
          <w:tcPr>
            <w:cnfStyle w:val="001000000000" w:firstRow="0" w:lastRow="0" w:firstColumn="1" w:lastColumn="0" w:oddVBand="0" w:evenVBand="0" w:oddHBand="0" w:evenHBand="0" w:firstRowFirstColumn="0" w:firstRowLastColumn="0" w:lastRowFirstColumn="0" w:lastRowLastColumn="0"/>
            <w:tcW w:w="1223" w:type="pct"/>
            <w:shd w:val="clear" w:color="auto" w:fill="auto"/>
            <w:vAlign w:val="center"/>
          </w:tcPr>
          <w:p w14:paraId="37AB14E5"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sq-AL"/>
              </w:rPr>
              <w:t>Ukupno odvojeno sakupljanje otpada</w:t>
            </w:r>
          </w:p>
        </w:tc>
        <w:tc>
          <w:tcPr>
            <w:tcW w:w="1500" w:type="pct"/>
            <w:shd w:val="clear" w:color="auto" w:fill="auto"/>
            <w:vAlign w:val="center"/>
          </w:tcPr>
          <w:p w14:paraId="394D6EBB" w14:textId="0858E57D" w:rsidR="00C232D7" w:rsidRPr="00C149AB" w:rsidRDefault="00A4253A"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53.467 t/god (</w:t>
            </w:r>
            <w:r w:rsidR="00C232D7" w:rsidRPr="00C149AB">
              <w:rPr>
                <w:rFonts w:ascii="Arial" w:hAnsi="Arial" w:cs="Arial"/>
                <w:sz w:val="18"/>
                <w:szCs w:val="20"/>
                <w:lang w:val="mk-MK"/>
              </w:rPr>
              <w:t>15.0% ukupnog otpada)</w:t>
            </w:r>
          </w:p>
          <w:p w14:paraId="6A9DD818" w14:textId="6A3982BC"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A4253A" w:rsidRPr="00C149AB">
              <w:rPr>
                <w:rFonts w:ascii="Arial" w:hAnsi="Arial" w:cs="Arial"/>
                <w:sz w:val="18"/>
                <w:szCs w:val="20"/>
                <w:lang w:val="mk-MK"/>
              </w:rPr>
              <w:t>: 75.691 t/god (</w:t>
            </w:r>
            <w:r w:rsidR="00C232D7" w:rsidRPr="00C149AB">
              <w:rPr>
                <w:rFonts w:ascii="Arial" w:hAnsi="Arial" w:cs="Arial"/>
                <w:sz w:val="18"/>
                <w:szCs w:val="20"/>
                <w:lang w:val="mk-MK"/>
              </w:rPr>
              <w:t>21.0% ukupnog otpada)</w:t>
            </w:r>
          </w:p>
        </w:tc>
        <w:tc>
          <w:tcPr>
            <w:tcW w:w="1520" w:type="pct"/>
            <w:shd w:val="clear" w:color="auto" w:fill="auto"/>
            <w:vAlign w:val="center"/>
          </w:tcPr>
          <w:p w14:paraId="4477FA98" w14:textId="151CB128" w:rsidR="00C232D7" w:rsidRPr="00C149AB" w:rsidRDefault="00A4253A"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55.906 t/god (</w:t>
            </w:r>
            <w:r w:rsidR="00C232D7" w:rsidRPr="00C149AB">
              <w:rPr>
                <w:rFonts w:ascii="Arial" w:hAnsi="Arial" w:cs="Arial"/>
                <w:sz w:val="18"/>
                <w:szCs w:val="20"/>
                <w:lang w:val="mk-MK"/>
              </w:rPr>
              <w:t>16% ukupnog otpada)</w:t>
            </w:r>
          </w:p>
          <w:p w14:paraId="49D565F2" w14:textId="7D6126C3"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A4253A" w:rsidRPr="00C149AB">
              <w:rPr>
                <w:rFonts w:ascii="Arial" w:hAnsi="Arial" w:cs="Arial"/>
                <w:sz w:val="18"/>
                <w:szCs w:val="20"/>
                <w:lang w:val="mk-MK"/>
              </w:rPr>
              <w:t>: 83.841 t/god (</w:t>
            </w:r>
            <w:r w:rsidR="00C232D7" w:rsidRPr="00C149AB">
              <w:rPr>
                <w:rFonts w:ascii="Arial" w:hAnsi="Arial" w:cs="Arial"/>
                <w:sz w:val="18"/>
                <w:szCs w:val="20"/>
                <w:lang w:val="mk-MK"/>
              </w:rPr>
              <w:t>23% ukupnog otpada)</w:t>
            </w:r>
          </w:p>
        </w:tc>
        <w:tc>
          <w:tcPr>
            <w:tcW w:w="757" w:type="pct"/>
            <w:shd w:val="clear" w:color="auto" w:fill="auto"/>
            <w:vAlign w:val="center"/>
          </w:tcPr>
          <w:p w14:paraId="1AB4CEC1"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100% </w:t>
            </w:r>
          </w:p>
          <w:p w14:paraId="256C93C9" w14:textId="331EE7F1" w:rsidR="00C232D7" w:rsidRPr="00C149AB" w:rsidRDefault="00FE289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rPr>
              <w:t>2029</w:t>
            </w:r>
            <w:r w:rsidR="00C232D7" w:rsidRPr="00C149AB">
              <w:rPr>
                <w:rFonts w:ascii="Arial" w:hAnsi="Arial" w:cs="Arial"/>
                <w:sz w:val="18"/>
                <w:szCs w:val="20"/>
                <w:lang w:val="mk-MK"/>
              </w:rPr>
              <w:t>: 100%</w:t>
            </w:r>
          </w:p>
        </w:tc>
      </w:tr>
      <w:bookmarkEnd w:id="1046"/>
    </w:tbl>
    <w:p w14:paraId="0D8A37BF" w14:textId="77777777" w:rsidR="00F33DEC" w:rsidRDefault="00F33DEC" w:rsidP="00A4253A">
      <w:pPr>
        <w:spacing w:line="360" w:lineRule="auto"/>
        <w:rPr>
          <w:rFonts w:ascii="Arial" w:hAnsi="Arial" w:cs="Arial"/>
          <w:lang w:val="sq-AL"/>
        </w:rPr>
      </w:pPr>
    </w:p>
    <w:p w14:paraId="201871FB" w14:textId="5376BF00" w:rsidR="00C232D7" w:rsidRPr="002A6F4E" w:rsidRDefault="00C232D7" w:rsidP="00A4253A">
      <w:pPr>
        <w:spacing w:line="360" w:lineRule="auto"/>
        <w:rPr>
          <w:rFonts w:ascii="Arial" w:hAnsi="Arial" w:cs="Arial"/>
          <w:lang w:val="sq-AL"/>
        </w:rPr>
      </w:pPr>
      <w:r w:rsidRPr="002A6F4E">
        <w:rPr>
          <w:rFonts w:ascii="Arial" w:hAnsi="Arial" w:cs="Arial"/>
          <w:lang w:val="sq-AL"/>
        </w:rPr>
        <w:t>Kao što je prikazano u gornjoj tabeli, opcija IIIb predstavlja nedostatke u ciljevima koji se odnose na  odvojeno sakupljanje otpada.</w:t>
      </w:r>
    </w:p>
    <w:p w14:paraId="64D97795" w14:textId="0EF6011F" w:rsidR="00C232D7" w:rsidRPr="002A6F4E" w:rsidRDefault="00C232D7" w:rsidP="00C232D7">
      <w:pPr>
        <w:shd w:val="clear" w:color="auto" w:fill="D9D9D9" w:themeFill="background1" w:themeFillShade="D9"/>
        <w:spacing w:before="120" w:after="120" w:line="360" w:lineRule="auto"/>
        <w:rPr>
          <w:rFonts w:ascii="Arial" w:hAnsi="Arial" w:cs="Arial"/>
          <w:b/>
          <w:i/>
          <w:lang w:val="sq-AL"/>
        </w:rPr>
      </w:pPr>
      <w:r w:rsidRPr="002A6F4E">
        <w:rPr>
          <w:rFonts w:ascii="Arial" w:hAnsi="Arial" w:cs="Arial"/>
          <w:b/>
          <w:i/>
          <w:lang w:val="sq-AL"/>
        </w:rPr>
        <w:t xml:space="preserve">Opcija IV: </w:t>
      </w:r>
      <w:r w:rsidR="004127DF">
        <w:rPr>
          <w:rFonts w:ascii="Arial" w:hAnsi="Arial" w:cs="Arial"/>
          <w:b/>
          <w:i/>
          <w:lang w:val="sq-AL"/>
        </w:rPr>
        <w:t>Uspostavljanje</w:t>
      </w:r>
      <w:r w:rsidR="004127DF" w:rsidRPr="002A6F4E">
        <w:rPr>
          <w:rFonts w:ascii="Arial" w:hAnsi="Arial" w:cs="Arial"/>
          <w:b/>
          <w:i/>
          <w:lang w:val="sq-AL"/>
        </w:rPr>
        <w:t xml:space="preserve"> </w:t>
      </w:r>
      <w:r w:rsidRPr="002A6F4E">
        <w:rPr>
          <w:rFonts w:ascii="Arial" w:hAnsi="Arial" w:cs="Arial"/>
          <w:b/>
          <w:i/>
          <w:lang w:val="sq-AL"/>
        </w:rPr>
        <w:t>odvojenog sakupljanja miješanog otpada koji se može reciklirati i biorazgradivog otpada u sistemu dovoza otpada</w:t>
      </w:r>
    </w:p>
    <w:p w14:paraId="05CD8153" w14:textId="77777777" w:rsidR="00C232D7" w:rsidRPr="002A6F4E" w:rsidRDefault="00C232D7" w:rsidP="00C232D7">
      <w:pPr>
        <w:spacing w:before="120" w:after="120" w:line="360" w:lineRule="auto"/>
        <w:rPr>
          <w:rFonts w:ascii="Arial" w:hAnsi="Arial" w:cs="Arial"/>
          <w:color w:val="000000"/>
          <w:lang w:val="sq-AL"/>
        </w:rPr>
      </w:pPr>
      <w:r w:rsidRPr="002A6F4E">
        <w:rPr>
          <w:rFonts w:ascii="Arial" w:hAnsi="Arial" w:cs="Arial"/>
          <w:color w:val="000000"/>
          <w:lang w:val="sq-AL"/>
        </w:rPr>
        <w:t>Opcija IV se sastoji od sljedećih elemenata:</w:t>
      </w:r>
    </w:p>
    <w:p w14:paraId="37E6F9BC" w14:textId="0E95AD80"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Proširenje sistema sakupljanja otpada kako bi se obuhvatilo </w:t>
      </w:r>
      <w:r w:rsidR="004127DF">
        <w:rPr>
          <w:rFonts w:ascii="Arial" w:hAnsi="Arial" w:cs="Arial"/>
          <w:color w:val="000000"/>
          <w:lang w:val="sq-AL"/>
        </w:rPr>
        <w:t>cjelokupno</w:t>
      </w:r>
      <w:r w:rsidR="004127DF" w:rsidRPr="002A6F4E">
        <w:rPr>
          <w:rFonts w:ascii="Arial" w:hAnsi="Arial" w:cs="Arial"/>
          <w:color w:val="000000"/>
          <w:lang w:val="sq-AL"/>
        </w:rPr>
        <w:t xml:space="preserve"> </w:t>
      </w:r>
      <w:r w:rsidRPr="002A6F4E">
        <w:rPr>
          <w:rFonts w:ascii="Arial" w:hAnsi="Arial" w:cs="Arial"/>
          <w:color w:val="000000"/>
          <w:lang w:val="sq-AL"/>
        </w:rPr>
        <w:t>stanovništvo Crne Gore;</w:t>
      </w:r>
    </w:p>
    <w:p w14:paraId="33077E0F" w14:textId="374E474C" w:rsidR="00C232D7" w:rsidRPr="002A6F4E" w:rsidRDefault="00777714" w:rsidP="00A23ED0">
      <w:pPr>
        <w:pStyle w:val="ListParagraph"/>
        <w:numPr>
          <w:ilvl w:val="0"/>
          <w:numId w:val="42"/>
        </w:numPr>
        <w:spacing w:before="120" w:after="120" w:line="360" w:lineRule="auto"/>
        <w:contextualSpacing w:val="0"/>
        <w:rPr>
          <w:rFonts w:ascii="Arial" w:hAnsi="Arial" w:cs="Arial"/>
          <w:color w:val="000000"/>
          <w:lang w:val="sq-AL"/>
        </w:rPr>
      </w:pPr>
      <w:r>
        <w:rPr>
          <w:rFonts w:ascii="Arial" w:hAnsi="Arial" w:cs="Arial"/>
          <w:color w:val="000000"/>
          <w:lang w:val="sq-AL"/>
        </w:rPr>
        <w:lastRenderedPageBreak/>
        <w:t>M</w:t>
      </w:r>
      <w:r w:rsidR="00C232D7" w:rsidRPr="002A6F4E">
        <w:rPr>
          <w:rFonts w:ascii="Arial" w:hAnsi="Arial" w:cs="Arial"/>
          <w:color w:val="000000"/>
          <w:lang w:val="sq-AL"/>
        </w:rPr>
        <w:t xml:space="preserve">iješani otpad koji se može reciklirati sakuplja se u kontejnere zapremine 1,1 </w:t>
      </w:r>
      <w:r w:rsidR="00C232D7" w:rsidRPr="002A6F4E">
        <w:rPr>
          <w:rFonts w:ascii="Arial" w:hAnsi="Arial" w:cs="Arial"/>
          <w:lang w:val="sq-AL"/>
        </w:rPr>
        <w:t>m</w:t>
      </w:r>
      <w:r w:rsidR="00C232D7" w:rsidRPr="002A6F4E">
        <w:rPr>
          <w:rFonts w:ascii="Arial" w:hAnsi="Arial" w:cs="Arial"/>
          <w:vertAlign w:val="superscript"/>
          <w:lang w:val="sq-AL"/>
        </w:rPr>
        <w:t>3</w:t>
      </w:r>
      <w:r w:rsidR="004127DF">
        <w:rPr>
          <w:rFonts w:ascii="Arial" w:hAnsi="Arial" w:cs="Arial"/>
          <w:lang w:val="sq-AL"/>
        </w:rPr>
        <w:t>,</w:t>
      </w:r>
      <w:r w:rsidR="00C232D7" w:rsidRPr="002A6F4E">
        <w:rPr>
          <w:rFonts w:ascii="Arial" w:hAnsi="Arial" w:cs="Arial"/>
          <w:vertAlign w:val="superscript"/>
          <w:lang w:val="sq-AL"/>
        </w:rPr>
        <w:t xml:space="preserve"> </w:t>
      </w:r>
      <w:r w:rsidR="00C232D7" w:rsidRPr="002A6F4E">
        <w:rPr>
          <w:rFonts w:ascii="Arial" w:hAnsi="Arial" w:cs="Arial"/>
          <w:color w:val="000000"/>
          <w:lang w:val="sq-AL"/>
        </w:rPr>
        <w:t>a zatim se odvozi u postojeća i nova MRF postrojenja koja će se uspostaviti (vidjeti sljedeća poglavlja);</w:t>
      </w:r>
    </w:p>
    <w:p w14:paraId="417BDA58" w14:textId="39B02E69"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lang w:val="sq-AL"/>
        </w:rPr>
        <w:t xml:space="preserve">Biootpad (otpad iz kuhinje, pijaca, itd. isključujući zeleni otpad) </w:t>
      </w:r>
      <w:r w:rsidRPr="002A6F4E">
        <w:rPr>
          <w:rFonts w:ascii="Arial" w:hAnsi="Arial" w:cs="Arial"/>
          <w:color w:val="000000"/>
          <w:lang w:val="sq-AL"/>
        </w:rPr>
        <w:t xml:space="preserve">sakuplja se u kontejnere zapremine 1,1 </w:t>
      </w:r>
      <w:r w:rsidRPr="002A6F4E">
        <w:rPr>
          <w:rFonts w:ascii="Arial" w:hAnsi="Arial" w:cs="Arial"/>
          <w:lang w:val="sq-AL"/>
        </w:rPr>
        <w:t>m</w:t>
      </w:r>
      <w:r w:rsidRPr="002A6F4E">
        <w:rPr>
          <w:rFonts w:ascii="Arial" w:hAnsi="Arial" w:cs="Arial"/>
          <w:vertAlign w:val="superscript"/>
          <w:lang w:val="sq-AL"/>
        </w:rPr>
        <w:t>3</w:t>
      </w:r>
      <w:r w:rsidR="004127DF">
        <w:rPr>
          <w:rFonts w:ascii="Arial" w:hAnsi="Arial" w:cs="Arial"/>
          <w:lang w:val="sq-AL"/>
        </w:rPr>
        <w:t>,</w:t>
      </w:r>
      <w:r w:rsidRPr="002A6F4E">
        <w:rPr>
          <w:rFonts w:ascii="Arial" w:hAnsi="Arial" w:cs="Arial"/>
          <w:vertAlign w:val="superscript"/>
          <w:lang w:val="sq-AL"/>
        </w:rPr>
        <w:t xml:space="preserve"> </w:t>
      </w:r>
      <w:r w:rsidRPr="002A6F4E">
        <w:rPr>
          <w:rFonts w:ascii="Arial" w:hAnsi="Arial" w:cs="Arial"/>
          <w:color w:val="000000"/>
          <w:lang w:val="sq-AL"/>
        </w:rPr>
        <w:t>a zatim se odvozi u postojeća i nova postrojenja za kompostiranje koja će se uspostaviti(vidjeti sljedeća poglavlja);</w:t>
      </w:r>
    </w:p>
    <w:p w14:paraId="47743417" w14:textId="6061C6B6"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lang w:val="sq-AL"/>
        </w:rPr>
        <w:t>Odvojeno sakupljanje drveta će biti odgovornost proizvođača/trgovaca i transportovati</w:t>
      </w:r>
      <w:r w:rsidR="004127DF">
        <w:rPr>
          <w:rFonts w:ascii="Arial" w:hAnsi="Arial" w:cs="Arial"/>
          <w:lang w:val="sq-AL"/>
        </w:rPr>
        <w:t xml:space="preserve"> će se </w:t>
      </w:r>
      <w:r w:rsidRPr="002A6F4E">
        <w:rPr>
          <w:rFonts w:ascii="Arial" w:hAnsi="Arial" w:cs="Arial"/>
          <w:lang w:val="sq-AL"/>
        </w:rPr>
        <w:t>do reciklera preko predloženih Centara za sakupljanje otpada;</w:t>
      </w:r>
    </w:p>
    <w:p w14:paraId="4FFF3331" w14:textId="0553CA88"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Zeleni otpad se sakuplja u većim količinama, korišćenjem otvorenih kipera zapremine </w:t>
      </w:r>
      <w:r w:rsidRPr="002A6F4E">
        <w:rPr>
          <w:rFonts w:ascii="Arial" w:hAnsi="Arial" w:cs="Arial"/>
          <w:lang w:val="sq-AL"/>
        </w:rPr>
        <w:t>6m</w:t>
      </w:r>
      <w:r w:rsidRPr="002A6F4E">
        <w:rPr>
          <w:rFonts w:ascii="Arial" w:hAnsi="Arial" w:cs="Arial"/>
          <w:vertAlign w:val="superscript"/>
          <w:lang w:val="sq-AL"/>
        </w:rPr>
        <w:t>3</w:t>
      </w:r>
      <w:r w:rsidR="004127DF">
        <w:rPr>
          <w:rFonts w:ascii="Arial" w:hAnsi="Arial" w:cs="Arial"/>
          <w:lang w:val="sq-AL"/>
        </w:rPr>
        <w:t>,</w:t>
      </w:r>
      <w:r w:rsidRPr="002A6F4E">
        <w:rPr>
          <w:rFonts w:ascii="Arial" w:hAnsi="Arial" w:cs="Arial"/>
          <w:lang w:val="sq-AL"/>
        </w:rPr>
        <w:t xml:space="preserve"> </w:t>
      </w:r>
      <w:r w:rsidRPr="002A6F4E">
        <w:rPr>
          <w:rFonts w:ascii="Arial" w:hAnsi="Arial" w:cs="Arial"/>
          <w:color w:val="000000"/>
          <w:lang w:val="sq-AL"/>
        </w:rPr>
        <w:t>a zatim se odvozi u postojeća i nova postrojenja za kompostiranje koja će se uspostaviti (vidjeti sljedeća poglavlja );</w:t>
      </w:r>
    </w:p>
    <w:p w14:paraId="0C5BBAAB" w14:textId="7A8D6DAA"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Rezidualni otpad se </w:t>
      </w:r>
      <w:r w:rsidR="004127DF">
        <w:rPr>
          <w:rFonts w:ascii="Arial" w:hAnsi="Arial" w:cs="Arial"/>
          <w:color w:val="000000"/>
          <w:lang w:val="sq-AL"/>
        </w:rPr>
        <w:t>sa</w:t>
      </w:r>
      <w:r w:rsidRPr="002A6F4E">
        <w:rPr>
          <w:rFonts w:ascii="Arial" w:hAnsi="Arial" w:cs="Arial"/>
          <w:color w:val="000000"/>
          <w:lang w:val="sq-AL"/>
        </w:rPr>
        <w:t>kuplja u sistemu za dovoz otpada koji se trenutno primjenjuje;</w:t>
      </w:r>
    </w:p>
    <w:p w14:paraId="3614D9C2" w14:textId="1EB4FDAF"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Otpad će se odlagati na postojeće i nove deponije koje će se izgraditi (vidjeti sljedeća poglavlja).</w:t>
      </w:r>
    </w:p>
    <w:p w14:paraId="1E8E1C7B" w14:textId="4EC318A7" w:rsidR="00766B61"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U tabelama u nastavku sumirane su indikativne dodatne potrebe za opremom za sakupljanje otpada na nivou zemlje. Napominje se da se tačan broj potrebnih </w:t>
      </w:r>
      <w:r w:rsidR="007B1545">
        <w:rPr>
          <w:rFonts w:ascii="Arial" w:hAnsi="Arial" w:cs="Arial"/>
          <w:lang w:val="sq-AL"/>
        </w:rPr>
        <w:t>posuda</w:t>
      </w:r>
      <w:r w:rsidRPr="002A6F4E">
        <w:rPr>
          <w:rFonts w:ascii="Arial" w:hAnsi="Arial" w:cs="Arial"/>
          <w:lang w:val="sq-AL"/>
        </w:rPr>
        <w:t xml:space="preserve">, kontejnera i vozila odnosi na sistem sakupljanja otpada i raspored koji će se sprovoditi, kao i za potrebe zamijene postojećih </w:t>
      </w:r>
      <w:r w:rsidR="007B1545">
        <w:rPr>
          <w:rFonts w:ascii="Arial" w:hAnsi="Arial" w:cs="Arial"/>
          <w:lang w:val="sq-AL"/>
        </w:rPr>
        <w:t>posuda</w:t>
      </w:r>
      <w:r w:rsidRPr="002A6F4E">
        <w:rPr>
          <w:rFonts w:ascii="Arial" w:hAnsi="Arial" w:cs="Arial"/>
          <w:lang w:val="sq-AL"/>
        </w:rPr>
        <w:t>.</w:t>
      </w:r>
    </w:p>
    <w:p w14:paraId="17F6BF8E" w14:textId="16C16C2B" w:rsidR="00C232D7" w:rsidRPr="00C149AB" w:rsidRDefault="00C232D7" w:rsidP="00C232D7">
      <w:pPr>
        <w:pStyle w:val="Caption"/>
        <w:rPr>
          <w:rFonts w:ascii="Arial" w:hAnsi="Arial" w:cs="Arial"/>
          <w:b w:val="0"/>
          <w:szCs w:val="20"/>
          <w:lang w:val="sq-AL"/>
        </w:rPr>
      </w:pPr>
      <w:bookmarkStart w:id="1047" w:name="_Toc189515643"/>
      <w:bookmarkStart w:id="1048" w:name="_Toc190160761"/>
      <w:r w:rsidRPr="00C149AB">
        <w:rPr>
          <w:rFonts w:ascii="Arial" w:hAnsi="Arial" w:cs="Arial"/>
          <w:b w:val="0"/>
          <w:szCs w:val="20"/>
          <w:lang w:val="sq-AL"/>
        </w:rPr>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67</w:t>
      </w:r>
      <w:r w:rsidRPr="00C149AB">
        <w:rPr>
          <w:rFonts w:ascii="Arial" w:hAnsi="Arial" w:cs="Arial"/>
          <w:b w:val="0"/>
          <w:szCs w:val="20"/>
        </w:rPr>
        <w:fldChar w:fldCharType="end"/>
      </w:r>
      <w:r w:rsidRPr="00C149AB">
        <w:rPr>
          <w:rFonts w:ascii="Arial" w:hAnsi="Arial" w:cs="Arial"/>
          <w:b w:val="0"/>
          <w:szCs w:val="20"/>
          <w:lang w:val="sq-AL"/>
        </w:rPr>
        <w:t xml:space="preserve"> Broj dodatnih </w:t>
      </w:r>
      <w:r w:rsidR="007B1545" w:rsidRPr="00C149AB">
        <w:rPr>
          <w:rFonts w:ascii="Arial" w:hAnsi="Arial" w:cs="Arial"/>
          <w:b w:val="0"/>
          <w:szCs w:val="20"/>
          <w:lang w:val="sq-AL"/>
        </w:rPr>
        <w:t>posuda</w:t>
      </w:r>
      <w:r w:rsidRPr="00C149AB">
        <w:rPr>
          <w:rFonts w:ascii="Arial" w:hAnsi="Arial" w:cs="Arial"/>
          <w:b w:val="0"/>
          <w:szCs w:val="20"/>
          <w:lang w:val="sq-AL"/>
        </w:rPr>
        <w:t>/kontejnera neophodnih za opciju IV</w:t>
      </w:r>
      <w:bookmarkEnd w:id="1047"/>
      <w:bookmarkEnd w:id="1048"/>
    </w:p>
    <w:tbl>
      <w:tblPr>
        <w:tblW w:w="37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2"/>
        <w:gridCol w:w="1872"/>
        <w:gridCol w:w="2053"/>
      </w:tblGrid>
      <w:tr w:rsidR="00C232D7" w:rsidRPr="00C149AB" w14:paraId="08A4FFB8" w14:textId="77777777" w:rsidTr="008303B0">
        <w:trPr>
          <w:trHeight w:val="298"/>
          <w:tblHeader/>
          <w:jc w:val="center"/>
        </w:trPr>
        <w:tc>
          <w:tcPr>
            <w:tcW w:w="2199"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01F6374" w14:textId="6A18D94F"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 xml:space="preserve">Vrsta </w:t>
            </w:r>
            <w:r w:rsidR="005C4A0C" w:rsidRPr="00C149AB">
              <w:rPr>
                <w:rFonts w:ascii="Arial" w:hAnsi="Arial" w:cs="Arial"/>
                <w:b/>
                <w:bCs/>
                <w:color w:val="000000"/>
                <w:sz w:val="18"/>
                <w:lang w:val="sq-AL"/>
              </w:rPr>
              <w:t>posude</w:t>
            </w:r>
            <w:r w:rsidRPr="00C149AB">
              <w:rPr>
                <w:rFonts w:ascii="Arial" w:hAnsi="Arial" w:cs="Arial"/>
                <w:b/>
                <w:bCs/>
                <w:color w:val="000000"/>
                <w:sz w:val="18"/>
                <w:lang w:val="sq-AL"/>
              </w:rPr>
              <w:t>/kontejnera</w:t>
            </w:r>
          </w:p>
        </w:tc>
        <w:tc>
          <w:tcPr>
            <w:tcW w:w="2801"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F37542B" w14:textId="51182AD7" w:rsidR="00C232D7" w:rsidRPr="00C149AB" w:rsidRDefault="00B40E88"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2029</w:t>
            </w:r>
          </w:p>
        </w:tc>
      </w:tr>
      <w:tr w:rsidR="00C232D7" w:rsidRPr="00C149AB" w14:paraId="680441DE" w14:textId="77777777" w:rsidTr="008303B0">
        <w:trPr>
          <w:trHeight w:val="298"/>
          <w:tblHeader/>
          <w:jc w:val="center"/>
        </w:trPr>
        <w:tc>
          <w:tcPr>
            <w:tcW w:w="2199"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F2E054" w14:textId="77777777" w:rsidR="00C232D7" w:rsidRPr="00C149AB" w:rsidRDefault="00C232D7" w:rsidP="00C232D7">
            <w:pPr>
              <w:spacing w:before="60" w:after="60" w:line="360" w:lineRule="auto"/>
              <w:rPr>
                <w:rFonts w:ascii="Arial" w:hAnsi="Arial" w:cs="Arial"/>
                <w:b/>
                <w:bCs/>
                <w:color w:val="000000"/>
                <w:sz w:val="18"/>
                <w:lang w:val="sq-AL"/>
              </w:rPr>
            </w:pPr>
          </w:p>
        </w:tc>
        <w:tc>
          <w:tcPr>
            <w:tcW w:w="133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4C94CFFB"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Rezidualni otpad</w:t>
            </w:r>
          </w:p>
        </w:tc>
        <w:tc>
          <w:tcPr>
            <w:tcW w:w="146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FBA562"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Otpad koji se može reciklirati</w:t>
            </w:r>
          </w:p>
        </w:tc>
      </w:tr>
      <w:tr w:rsidR="00C232D7" w:rsidRPr="00C149AB" w14:paraId="6B84905C" w14:textId="77777777" w:rsidTr="008303B0">
        <w:trPr>
          <w:trHeight w:val="324"/>
          <w:jc w:val="center"/>
        </w:trPr>
        <w:tc>
          <w:tcPr>
            <w:tcW w:w="2199" w:type="pct"/>
            <w:tcBorders>
              <w:top w:val="single" w:sz="4" w:space="0" w:color="auto"/>
              <w:left w:val="single" w:sz="4" w:space="0" w:color="auto"/>
              <w:bottom w:val="single" w:sz="4" w:space="0" w:color="auto"/>
              <w:right w:val="single" w:sz="4" w:space="0" w:color="auto"/>
            </w:tcBorders>
            <w:noWrap/>
          </w:tcPr>
          <w:p w14:paraId="065FD45E" w14:textId="4BECF33A"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Zapremin</w:t>
            </w:r>
            <w:r w:rsidR="004127DF">
              <w:rPr>
                <w:rFonts w:ascii="Arial" w:hAnsi="Arial" w:cs="Arial"/>
                <w:color w:val="000000"/>
                <w:sz w:val="18"/>
                <w:lang w:val="sq-AL"/>
              </w:rPr>
              <w:t>a kontejnera</w:t>
            </w:r>
            <w:r w:rsidRPr="00C149AB">
              <w:rPr>
                <w:rFonts w:ascii="Arial" w:hAnsi="Arial" w:cs="Arial"/>
                <w:color w:val="000000"/>
                <w:sz w:val="18"/>
                <w:lang w:val="sq-AL"/>
              </w:rPr>
              <w:t xml:space="preserve"> 1.1 m</w:t>
            </w:r>
            <w:r w:rsidRPr="00C149AB">
              <w:rPr>
                <w:rFonts w:ascii="Arial" w:hAnsi="Arial" w:cs="Arial"/>
                <w:color w:val="000000"/>
                <w:sz w:val="18"/>
                <w:vertAlign w:val="superscript"/>
                <w:lang w:val="sq-AL"/>
              </w:rPr>
              <w:t>3</w:t>
            </w:r>
          </w:p>
        </w:tc>
        <w:tc>
          <w:tcPr>
            <w:tcW w:w="1336" w:type="pct"/>
            <w:tcBorders>
              <w:top w:val="single" w:sz="4" w:space="0" w:color="auto"/>
              <w:left w:val="single" w:sz="4" w:space="0" w:color="auto"/>
              <w:bottom w:val="single" w:sz="4" w:space="0" w:color="auto"/>
              <w:right w:val="single" w:sz="4" w:space="0" w:color="auto"/>
            </w:tcBorders>
            <w:noWrap/>
            <w:vAlign w:val="bottom"/>
          </w:tcPr>
          <w:p w14:paraId="2562D126"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10.739</w:t>
            </w:r>
          </w:p>
        </w:tc>
        <w:tc>
          <w:tcPr>
            <w:tcW w:w="1466" w:type="pct"/>
            <w:tcBorders>
              <w:top w:val="single" w:sz="4" w:space="0" w:color="auto"/>
              <w:left w:val="single" w:sz="4" w:space="0" w:color="auto"/>
              <w:bottom w:val="single" w:sz="4" w:space="0" w:color="auto"/>
              <w:right w:val="single" w:sz="4" w:space="0" w:color="auto"/>
            </w:tcBorders>
            <w:vAlign w:val="bottom"/>
          </w:tcPr>
          <w:p w14:paraId="5AFE5EB8"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22.790</w:t>
            </w:r>
          </w:p>
        </w:tc>
      </w:tr>
      <w:tr w:rsidR="00C232D7" w:rsidRPr="00C149AB" w14:paraId="74C0CE05" w14:textId="77777777" w:rsidTr="008303B0">
        <w:trPr>
          <w:trHeight w:val="298"/>
          <w:jc w:val="center"/>
        </w:trPr>
        <w:tc>
          <w:tcPr>
            <w:tcW w:w="2199" w:type="pct"/>
            <w:tcBorders>
              <w:top w:val="single" w:sz="4" w:space="0" w:color="auto"/>
              <w:left w:val="single" w:sz="4" w:space="0" w:color="auto"/>
              <w:bottom w:val="single" w:sz="4" w:space="0" w:color="auto"/>
              <w:right w:val="single" w:sz="4" w:space="0" w:color="auto"/>
            </w:tcBorders>
            <w:noWrap/>
          </w:tcPr>
          <w:p w14:paraId="57A2F941"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broj</w:t>
            </w:r>
          </w:p>
        </w:tc>
        <w:tc>
          <w:tcPr>
            <w:tcW w:w="1336" w:type="pct"/>
            <w:tcBorders>
              <w:top w:val="single" w:sz="4" w:space="0" w:color="auto"/>
              <w:left w:val="single" w:sz="4" w:space="0" w:color="auto"/>
              <w:bottom w:val="single" w:sz="4" w:space="0" w:color="auto"/>
              <w:right w:val="single" w:sz="4" w:space="0" w:color="auto"/>
            </w:tcBorders>
            <w:noWrap/>
            <w:vAlign w:val="bottom"/>
          </w:tcPr>
          <w:p w14:paraId="224118BE"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10.739</w:t>
            </w:r>
          </w:p>
        </w:tc>
        <w:tc>
          <w:tcPr>
            <w:tcW w:w="1466" w:type="pct"/>
            <w:tcBorders>
              <w:top w:val="single" w:sz="4" w:space="0" w:color="auto"/>
              <w:left w:val="single" w:sz="4" w:space="0" w:color="auto"/>
              <w:bottom w:val="single" w:sz="4" w:space="0" w:color="auto"/>
              <w:right w:val="single" w:sz="4" w:space="0" w:color="auto"/>
            </w:tcBorders>
            <w:vAlign w:val="bottom"/>
          </w:tcPr>
          <w:p w14:paraId="365EFA9B"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22.790</w:t>
            </w:r>
          </w:p>
        </w:tc>
      </w:tr>
      <w:tr w:rsidR="00C232D7" w:rsidRPr="00C149AB" w14:paraId="1FDA98E8" w14:textId="77777777" w:rsidTr="008303B0">
        <w:trPr>
          <w:trHeight w:val="298"/>
          <w:jc w:val="center"/>
        </w:trPr>
        <w:tc>
          <w:tcPr>
            <w:tcW w:w="2199" w:type="pct"/>
            <w:tcBorders>
              <w:top w:val="single" w:sz="4" w:space="0" w:color="auto"/>
              <w:left w:val="single" w:sz="4" w:space="0" w:color="auto"/>
              <w:bottom w:val="single" w:sz="4" w:space="0" w:color="auto"/>
              <w:right w:val="single" w:sz="4" w:space="0" w:color="auto"/>
            </w:tcBorders>
            <w:noWrap/>
          </w:tcPr>
          <w:p w14:paraId="23AC7B1F"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kapacitet (m</w:t>
            </w:r>
            <w:r w:rsidRPr="00C149AB">
              <w:rPr>
                <w:rFonts w:ascii="Arial" w:hAnsi="Arial" w:cs="Arial"/>
                <w:b/>
                <w:bCs/>
                <w:color w:val="000000"/>
                <w:sz w:val="18"/>
                <w:vertAlign w:val="superscript"/>
                <w:lang w:val="sq-AL"/>
              </w:rPr>
              <w:t>3</w:t>
            </w:r>
            <w:r w:rsidRPr="00C149AB">
              <w:rPr>
                <w:rFonts w:ascii="Arial" w:hAnsi="Arial" w:cs="Arial"/>
                <w:b/>
                <w:bCs/>
                <w:color w:val="000000"/>
                <w:sz w:val="18"/>
                <w:lang w:val="sq-AL"/>
              </w:rPr>
              <w:t>)</w:t>
            </w:r>
          </w:p>
        </w:tc>
        <w:tc>
          <w:tcPr>
            <w:tcW w:w="1336" w:type="pct"/>
            <w:tcBorders>
              <w:top w:val="single" w:sz="4" w:space="0" w:color="auto"/>
              <w:left w:val="single" w:sz="4" w:space="0" w:color="auto"/>
              <w:bottom w:val="single" w:sz="4" w:space="0" w:color="auto"/>
              <w:right w:val="single" w:sz="4" w:space="0" w:color="auto"/>
            </w:tcBorders>
            <w:noWrap/>
            <w:vAlign w:val="bottom"/>
          </w:tcPr>
          <w:p w14:paraId="2AFC1DEB"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11.813</w:t>
            </w:r>
          </w:p>
        </w:tc>
        <w:tc>
          <w:tcPr>
            <w:tcW w:w="1466" w:type="pct"/>
            <w:tcBorders>
              <w:top w:val="single" w:sz="4" w:space="0" w:color="auto"/>
              <w:left w:val="single" w:sz="4" w:space="0" w:color="auto"/>
              <w:bottom w:val="single" w:sz="4" w:space="0" w:color="auto"/>
              <w:right w:val="single" w:sz="4" w:space="0" w:color="auto"/>
            </w:tcBorders>
            <w:vAlign w:val="bottom"/>
          </w:tcPr>
          <w:p w14:paraId="2514890E"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25.069</w:t>
            </w:r>
          </w:p>
        </w:tc>
      </w:tr>
    </w:tbl>
    <w:p w14:paraId="3783DF1F" w14:textId="77777777" w:rsidR="004D3247" w:rsidRPr="00C149AB" w:rsidRDefault="004D3247" w:rsidP="00C232D7">
      <w:pPr>
        <w:pStyle w:val="Caption"/>
        <w:rPr>
          <w:rFonts w:ascii="Arial" w:hAnsi="Arial" w:cs="Arial"/>
          <w:szCs w:val="20"/>
        </w:rPr>
      </w:pPr>
      <w:bookmarkStart w:id="1049" w:name="_Toc189515644"/>
    </w:p>
    <w:p w14:paraId="2028C650" w14:textId="7051278A" w:rsidR="00C232D7" w:rsidRPr="00C149AB" w:rsidRDefault="00C232D7" w:rsidP="00C232D7">
      <w:pPr>
        <w:pStyle w:val="Caption"/>
        <w:rPr>
          <w:rFonts w:ascii="Arial" w:hAnsi="Arial" w:cs="Arial"/>
          <w:b w:val="0"/>
          <w:szCs w:val="20"/>
          <w:lang w:val="sq-AL"/>
        </w:rPr>
      </w:pPr>
      <w:bookmarkStart w:id="1050" w:name="_Toc190160762"/>
      <w:r w:rsidRPr="00C149AB">
        <w:rPr>
          <w:rFonts w:ascii="Arial" w:hAnsi="Arial" w:cs="Arial"/>
          <w:b w:val="0"/>
          <w:szCs w:val="20"/>
        </w:rPr>
        <w:t xml:space="preserve">Tabela </w:t>
      </w:r>
      <w:r w:rsidRPr="00C149AB">
        <w:rPr>
          <w:rFonts w:ascii="Arial" w:hAnsi="Arial" w:cs="Arial"/>
          <w:b w:val="0"/>
          <w:szCs w:val="20"/>
        </w:rPr>
        <w:fldChar w:fldCharType="begin"/>
      </w:r>
      <w:r w:rsidRPr="00C149AB">
        <w:rPr>
          <w:rFonts w:ascii="Arial" w:hAnsi="Arial" w:cs="Arial"/>
          <w:b w:val="0"/>
          <w:szCs w:val="20"/>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rPr>
        <w:t>68</w:t>
      </w:r>
      <w:r w:rsidRPr="00C149AB">
        <w:rPr>
          <w:rFonts w:ascii="Arial" w:hAnsi="Arial" w:cs="Arial"/>
          <w:b w:val="0"/>
          <w:szCs w:val="20"/>
        </w:rPr>
        <w:fldChar w:fldCharType="end"/>
      </w:r>
      <w:r w:rsidRPr="00C149AB">
        <w:rPr>
          <w:rFonts w:ascii="Arial" w:hAnsi="Arial" w:cs="Arial"/>
          <w:b w:val="0"/>
          <w:szCs w:val="20"/>
          <w:lang w:val="sq-AL"/>
        </w:rPr>
        <w:t xml:space="preserve"> Broj dodatnih kamiona za sakupljanje otpada neophodnih za opciju IV</w:t>
      </w:r>
      <w:bookmarkEnd w:id="1049"/>
      <w:bookmarkEnd w:id="1050"/>
    </w:p>
    <w:tbl>
      <w:tblPr>
        <w:tblW w:w="4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5"/>
        <w:gridCol w:w="854"/>
      </w:tblGrid>
      <w:tr w:rsidR="00C232D7" w:rsidRPr="00C149AB" w14:paraId="15E8876D" w14:textId="77777777" w:rsidTr="00C232D7">
        <w:trPr>
          <w:trHeight w:val="288"/>
          <w:tblHeader/>
          <w:jc w:val="center"/>
        </w:trPr>
        <w:tc>
          <w:tcPr>
            <w:tcW w:w="378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74CB038"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Tip kamiona za sakupljanje otpada</w:t>
            </w:r>
          </w:p>
        </w:tc>
        <w:tc>
          <w:tcPr>
            <w:tcW w:w="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4114749" w14:textId="09DA1D17" w:rsidR="00C232D7" w:rsidRPr="00C149AB" w:rsidRDefault="00B40E88"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2029</w:t>
            </w:r>
          </w:p>
        </w:tc>
      </w:tr>
      <w:tr w:rsidR="00C232D7" w:rsidRPr="00C149AB" w14:paraId="7DC9C0AE" w14:textId="77777777" w:rsidTr="00C232D7">
        <w:trPr>
          <w:trHeight w:val="288"/>
          <w:jc w:val="center"/>
        </w:trPr>
        <w:tc>
          <w:tcPr>
            <w:tcW w:w="3785" w:type="dxa"/>
            <w:tcBorders>
              <w:top w:val="single" w:sz="4" w:space="0" w:color="auto"/>
              <w:left w:val="single" w:sz="4" w:space="0" w:color="auto"/>
              <w:bottom w:val="single" w:sz="4" w:space="0" w:color="auto"/>
              <w:right w:val="single" w:sz="4" w:space="0" w:color="auto"/>
            </w:tcBorders>
            <w:noWrap/>
            <w:vAlign w:val="center"/>
          </w:tcPr>
          <w:p w14:paraId="14A01427"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22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5C31CE72"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14</w:t>
            </w:r>
          </w:p>
        </w:tc>
      </w:tr>
      <w:tr w:rsidR="00C232D7" w:rsidRPr="00C149AB" w14:paraId="449FA15F" w14:textId="77777777" w:rsidTr="00C232D7">
        <w:trPr>
          <w:trHeight w:val="288"/>
          <w:jc w:val="center"/>
        </w:trPr>
        <w:tc>
          <w:tcPr>
            <w:tcW w:w="3785" w:type="dxa"/>
            <w:tcBorders>
              <w:top w:val="single" w:sz="4" w:space="0" w:color="auto"/>
              <w:left w:val="single" w:sz="4" w:space="0" w:color="auto"/>
              <w:bottom w:val="single" w:sz="4" w:space="0" w:color="auto"/>
              <w:right w:val="single" w:sz="4" w:space="0" w:color="auto"/>
            </w:tcBorders>
            <w:noWrap/>
            <w:vAlign w:val="center"/>
          </w:tcPr>
          <w:p w14:paraId="3FF1C82D"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16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39992EA7"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35</w:t>
            </w:r>
          </w:p>
        </w:tc>
      </w:tr>
      <w:tr w:rsidR="00C232D7" w:rsidRPr="00C149AB" w14:paraId="5E40298A" w14:textId="77777777" w:rsidTr="00C232D7">
        <w:trPr>
          <w:trHeight w:val="288"/>
          <w:jc w:val="center"/>
        </w:trPr>
        <w:tc>
          <w:tcPr>
            <w:tcW w:w="3785" w:type="dxa"/>
            <w:tcBorders>
              <w:top w:val="single" w:sz="4" w:space="0" w:color="auto"/>
              <w:left w:val="single" w:sz="4" w:space="0" w:color="auto"/>
              <w:bottom w:val="single" w:sz="4" w:space="0" w:color="auto"/>
              <w:right w:val="single" w:sz="4" w:space="0" w:color="auto"/>
            </w:tcBorders>
            <w:noWrap/>
            <w:vAlign w:val="center"/>
          </w:tcPr>
          <w:p w14:paraId="3AFE9826"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8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541FAD17"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33</w:t>
            </w:r>
          </w:p>
        </w:tc>
      </w:tr>
      <w:tr w:rsidR="00C232D7" w:rsidRPr="00C149AB" w14:paraId="09FD3157" w14:textId="77777777" w:rsidTr="00C232D7">
        <w:trPr>
          <w:trHeight w:val="288"/>
          <w:jc w:val="center"/>
        </w:trPr>
        <w:tc>
          <w:tcPr>
            <w:tcW w:w="3785" w:type="dxa"/>
            <w:tcBorders>
              <w:top w:val="single" w:sz="4" w:space="0" w:color="auto"/>
              <w:left w:val="single" w:sz="4" w:space="0" w:color="auto"/>
              <w:bottom w:val="single" w:sz="4" w:space="0" w:color="auto"/>
              <w:right w:val="single" w:sz="4" w:space="0" w:color="auto"/>
            </w:tcBorders>
            <w:noWrap/>
            <w:vAlign w:val="center"/>
          </w:tcPr>
          <w:p w14:paraId="5E867955"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6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67E9A8CA"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18</w:t>
            </w:r>
          </w:p>
        </w:tc>
      </w:tr>
      <w:tr w:rsidR="00C232D7" w:rsidRPr="00C149AB" w14:paraId="0BFCD317" w14:textId="77777777" w:rsidTr="00C232D7">
        <w:trPr>
          <w:trHeight w:val="288"/>
          <w:jc w:val="center"/>
        </w:trPr>
        <w:tc>
          <w:tcPr>
            <w:tcW w:w="3785" w:type="dxa"/>
            <w:tcBorders>
              <w:top w:val="single" w:sz="4" w:space="0" w:color="auto"/>
              <w:left w:val="single" w:sz="4" w:space="0" w:color="auto"/>
              <w:bottom w:val="single" w:sz="4" w:space="0" w:color="auto"/>
              <w:right w:val="single" w:sz="4" w:space="0" w:color="auto"/>
            </w:tcBorders>
            <w:noWrap/>
            <w:vAlign w:val="center"/>
          </w:tcPr>
          <w:p w14:paraId="515A95EB"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4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1B3644DF"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2</w:t>
            </w:r>
          </w:p>
        </w:tc>
      </w:tr>
      <w:tr w:rsidR="00C232D7" w:rsidRPr="00C149AB" w14:paraId="09F881BE" w14:textId="77777777" w:rsidTr="00C232D7">
        <w:trPr>
          <w:trHeight w:val="288"/>
          <w:jc w:val="center"/>
        </w:trPr>
        <w:tc>
          <w:tcPr>
            <w:tcW w:w="3785" w:type="dxa"/>
            <w:tcBorders>
              <w:top w:val="single" w:sz="4" w:space="0" w:color="auto"/>
              <w:left w:val="single" w:sz="4" w:space="0" w:color="auto"/>
              <w:bottom w:val="single" w:sz="4" w:space="0" w:color="auto"/>
              <w:right w:val="single" w:sz="4" w:space="0" w:color="auto"/>
            </w:tcBorders>
            <w:noWrap/>
          </w:tcPr>
          <w:p w14:paraId="7D3AD60B"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broj</w:t>
            </w:r>
          </w:p>
        </w:tc>
        <w:tc>
          <w:tcPr>
            <w:tcW w:w="854" w:type="dxa"/>
            <w:tcBorders>
              <w:top w:val="single" w:sz="4" w:space="0" w:color="auto"/>
              <w:left w:val="single" w:sz="4" w:space="0" w:color="auto"/>
              <w:bottom w:val="single" w:sz="4" w:space="0" w:color="auto"/>
              <w:right w:val="single" w:sz="4" w:space="0" w:color="auto"/>
            </w:tcBorders>
            <w:noWrap/>
            <w:vAlign w:val="bottom"/>
          </w:tcPr>
          <w:p w14:paraId="55326925"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102</w:t>
            </w:r>
          </w:p>
        </w:tc>
      </w:tr>
      <w:tr w:rsidR="00C232D7" w:rsidRPr="00C149AB" w14:paraId="156C77E5" w14:textId="77777777" w:rsidTr="00C232D7">
        <w:trPr>
          <w:trHeight w:val="300"/>
          <w:jc w:val="center"/>
        </w:trPr>
        <w:tc>
          <w:tcPr>
            <w:tcW w:w="3785" w:type="dxa"/>
            <w:tcBorders>
              <w:top w:val="single" w:sz="4" w:space="0" w:color="auto"/>
              <w:left w:val="single" w:sz="4" w:space="0" w:color="auto"/>
              <w:bottom w:val="single" w:sz="4" w:space="0" w:color="auto"/>
              <w:right w:val="single" w:sz="4" w:space="0" w:color="auto"/>
            </w:tcBorders>
            <w:noWrap/>
          </w:tcPr>
          <w:p w14:paraId="1D960C93"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kapacitet (m</w:t>
            </w:r>
            <w:r w:rsidRPr="00C149AB">
              <w:rPr>
                <w:rFonts w:ascii="Arial" w:hAnsi="Arial" w:cs="Arial"/>
                <w:b/>
                <w:bCs/>
                <w:color w:val="000000"/>
                <w:sz w:val="18"/>
                <w:vertAlign w:val="superscript"/>
                <w:lang w:val="sq-AL"/>
              </w:rPr>
              <w:t>3</w:t>
            </w:r>
            <w:r w:rsidRPr="00C149AB">
              <w:rPr>
                <w:rFonts w:ascii="Arial" w:hAnsi="Arial" w:cs="Arial"/>
                <w:b/>
                <w:bCs/>
                <w:color w:val="000000"/>
                <w:sz w:val="18"/>
                <w:lang w:val="sq-AL"/>
              </w:rPr>
              <w:t>)</w:t>
            </w:r>
          </w:p>
        </w:tc>
        <w:tc>
          <w:tcPr>
            <w:tcW w:w="854" w:type="dxa"/>
            <w:tcBorders>
              <w:top w:val="single" w:sz="4" w:space="0" w:color="auto"/>
              <w:left w:val="single" w:sz="4" w:space="0" w:color="auto"/>
              <w:bottom w:val="single" w:sz="4" w:space="0" w:color="auto"/>
              <w:right w:val="single" w:sz="4" w:space="0" w:color="auto"/>
            </w:tcBorders>
            <w:noWrap/>
            <w:vAlign w:val="bottom"/>
          </w:tcPr>
          <w:p w14:paraId="206D1FDF"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1,248</w:t>
            </w:r>
          </w:p>
        </w:tc>
      </w:tr>
    </w:tbl>
    <w:p w14:paraId="5E02D166" w14:textId="77777777" w:rsidR="00333305" w:rsidRDefault="00333305" w:rsidP="00C232D7">
      <w:pPr>
        <w:spacing w:before="120" w:after="120" w:line="360" w:lineRule="auto"/>
        <w:rPr>
          <w:rFonts w:ascii="Arial" w:hAnsi="Arial" w:cs="Arial"/>
          <w:lang w:val="sq-AL"/>
        </w:rPr>
      </w:pPr>
    </w:p>
    <w:p w14:paraId="7D404369" w14:textId="7C5E3B6B" w:rsidR="00C232D7" w:rsidRDefault="00C232D7" w:rsidP="00C232D7">
      <w:pPr>
        <w:spacing w:before="120" w:after="120" w:line="360" w:lineRule="auto"/>
        <w:rPr>
          <w:rFonts w:ascii="Arial" w:hAnsi="Arial" w:cs="Arial"/>
          <w:lang w:val="sq-AL"/>
        </w:rPr>
      </w:pPr>
      <w:r w:rsidRPr="002A6F4E">
        <w:rPr>
          <w:rFonts w:ascii="Arial" w:hAnsi="Arial" w:cs="Arial"/>
          <w:lang w:val="sq-AL"/>
        </w:rPr>
        <w:lastRenderedPageBreak/>
        <w:t xml:space="preserve">Pored navedenih biće neophodna i mobilna </w:t>
      </w:r>
      <w:r w:rsidRPr="009440AA">
        <w:rPr>
          <w:rFonts w:ascii="Arial" w:hAnsi="Arial" w:cs="Arial"/>
          <w:lang w:val="sq-AL"/>
        </w:rPr>
        <w:t>vozila</w:t>
      </w:r>
      <w:r w:rsidRPr="002A6F4E">
        <w:rPr>
          <w:rFonts w:ascii="Arial" w:hAnsi="Arial" w:cs="Arial"/>
          <w:lang w:val="sq-AL"/>
        </w:rPr>
        <w:t xml:space="preserve"> za čišćenje </w:t>
      </w:r>
      <w:r w:rsidR="007B1545">
        <w:rPr>
          <w:rFonts w:ascii="Arial" w:hAnsi="Arial" w:cs="Arial"/>
          <w:lang w:val="sq-AL"/>
        </w:rPr>
        <w:t>posuda</w:t>
      </w:r>
      <w:r w:rsidRPr="002A6F4E">
        <w:rPr>
          <w:rFonts w:ascii="Arial" w:hAnsi="Arial" w:cs="Arial"/>
          <w:lang w:val="sq-AL"/>
        </w:rPr>
        <w:t xml:space="preserve"> za sakupljanje otpada. Predlaže se utvrđivanje rasporeda dvonedeljnog čišćenja svake </w:t>
      </w:r>
      <w:r w:rsidR="005C4A0C">
        <w:rPr>
          <w:rFonts w:ascii="Arial" w:hAnsi="Arial" w:cs="Arial"/>
          <w:lang w:val="sq-AL"/>
        </w:rPr>
        <w:t>posude</w:t>
      </w:r>
      <w:r w:rsidRPr="002A6F4E">
        <w:rPr>
          <w:rFonts w:ascii="Arial" w:hAnsi="Arial" w:cs="Arial"/>
          <w:lang w:val="sq-AL"/>
        </w:rPr>
        <w:t xml:space="preserve"> za sakupljanje (odnosi se na </w:t>
      </w:r>
      <w:r w:rsidR="005C4A0C">
        <w:rPr>
          <w:rFonts w:ascii="Arial" w:hAnsi="Arial" w:cs="Arial"/>
          <w:lang w:val="sq-AL"/>
        </w:rPr>
        <w:t>posude</w:t>
      </w:r>
      <w:r w:rsidRPr="002A6F4E">
        <w:rPr>
          <w:rFonts w:ascii="Arial" w:hAnsi="Arial" w:cs="Arial"/>
          <w:lang w:val="sq-AL"/>
        </w:rPr>
        <w:t xml:space="preserve"> zapremine 1.1</w:t>
      </w:r>
      <w:r w:rsidRPr="002A6F4E">
        <w:rPr>
          <w:rFonts w:ascii="Arial" w:hAnsi="Arial" w:cs="Arial"/>
          <w:color w:val="000000"/>
          <w:lang w:val="sq-AL"/>
        </w:rPr>
        <w:t xml:space="preserve"> m</w:t>
      </w:r>
      <w:r w:rsidRPr="002A6F4E">
        <w:rPr>
          <w:rFonts w:ascii="Arial" w:hAnsi="Arial" w:cs="Arial"/>
          <w:color w:val="000000"/>
          <w:vertAlign w:val="superscript"/>
          <w:lang w:val="sq-AL"/>
        </w:rPr>
        <w:t>3</w:t>
      </w:r>
      <w:r w:rsidRPr="002A6F4E">
        <w:rPr>
          <w:rFonts w:ascii="Arial" w:hAnsi="Arial" w:cs="Arial"/>
          <w:lang w:val="sq-AL"/>
        </w:rPr>
        <w:t xml:space="preserve">). S obzirom na prosječnu količinu od 250 </w:t>
      </w:r>
      <w:r w:rsidR="007B1545">
        <w:rPr>
          <w:rFonts w:ascii="Arial" w:hAnsi="Arial" w:cs="Arial"/>
          <w:lang w:val="sq-AL"/>
        </w:rPr>
        <w:t>posuda</w:t>
      </w:r>
      <w:r w:rsidRPr="002A6F4E">
        <w:rPr>
          <w:rFonts w:ascii="Arial" w:hAnsi="Arial" w:cs="Arial"/>
          <w:lang w:val="sq-AL"/>
        </w:rPr>
        <w:t xml:space="preserve"> koje se svakodnevno čiste (iznutra i spolja) smatra se da će za cijelu zemlju biti potrebno 17 vozila za pranje.</w:t>
      </w:r>
    </w:p>
    <w:p w14:paraId="49731881" w14:textId="77777777" w:rsidR="00D33BB9" w:rsidRPr="002A6F4E" w:rsidRDefault="00D33BB9" w:rsidP="00C232D7">
      <w:pPr>
        <w:spacing w:before="120" w:after="120" w:line="360" w:lineRule="auto"/>
        <w:rPr>
          <w:rFonts w:ascii="Arial" w:hAnsi="Arial" w:cs="Arial"/>
          <w:lang w:val="sq-AL"/>
        </w:rPr>
      </w:pPr>
    </w:p>
    <w:p w14:paraId="64DB93F4" w14:textId="2F9FC2E5" w:rsidR="004F28CF" w:rsidRDefault="00C232D7" w:rsidP="00D33BB9">
      <w:pPr>
        <w:spacing w:before="120" w:after="120" w:line="360" w:lineRule="auto"/>
        <w:rPr>
          <w:rFonts w:ascii="Arial" w:hAnsi="Arial" w:cs="Arial"/>
          <w:lang w:val="sq-AL"/>
        </w:rPr>
      </w:pPr>
      <w:r w:rsidRPr="002A6F4E">
        <w:rPr>
          <w:rFonts w:ascii="Arial" w:hAnsi="Arial" w:cs="Arial"/>
          <w:lang w:val="sq-AL"/>
        </w:rPr>
        <w:t xml:space="preserve">Na osnovu gornje analize, troškovi opreme za sakupljanje otpada u vezi sa ovom opcijom su predstavljeni u sljedećoj tabeli (odgovara </w:t>
      </w:r>
      <w:r w:rsidR="00B40E88" w:rsidRPr="002A6F4E">
        <w:rPr>
          <w:rFonts w:ascii="Arial" w:hAnsi="Arial" w:cs="Arial"/>
          <w:lang w:val="sq-AL"/>
        </w:rPr>
        <w:t>2029</w:t>
      </w:r>
      <w:r w:rsidRPr="002A6F4E">
        <w:rPr>
          <w:rFonts w:ascii="Arial" w:hAnsi="Arial" w:cs="Arial"/>
          <w:lang w:val="sq-AL"/>
        </w:rPr>
        <w:t>. godini).</w:t>
      </w:r>
      <w:bookmarkStart w:id="1051" w:name="_Toc189515645"/>
      <w:bookmarkStart w:id="1052" w:name="_Toc190160763"/>
    </w:p>
    <w:p w14:paraId="6AB95EAB" w14:textId="77777777" w:rsidR="00D33BB9" w:rsidRPr="00D33BB9" w:rsidRDefault="00D33BB9" w:rsidP="00D33BB9">
      <w:pPr>
        <w:spacing w:before="120" w:after="120" w:line="360" w:lineRule="auto"/>
        <w:rPr>
          <w:rFonts w:ascii="Arial" w:hAnsi="Arial" w:cs="Arial"/>
          <w:lang w:val="sq-AL"/>
        </w:rPr>
      </w:pPr>
    </w:p>
    <w:p w14:paraId="7D9D77AA" w14:textId="1BDC1342" w:rsidR="00C232D7" w:rsidRPr="00C149AB" w:rsidRDefault="00C232D7" w:rsidP="00C232D7">
      <w:pPr>
        <w:pStyle w:val="Caption"/>
        <w:rPr>
          <w:rFonts w:ascii="Arial" w:hAnsi="Arial" w:cs="Arial"/>
          <w:b w:val="0"/>
          <w:szCs w:val="20"/>
          <w:lang w:val="sq-AL"/>
        </w:rPr>
      </w:pPr>
      <w:r w:rsidRPr="00C149AB">
        <w:rPr>
          <w:rFonts w:ascii="Arial" w:hAnsi="Arial" w:cs="Arial"/>
          <w:b w:val="0"/>
          <w:szCs w:val="20"/>
          <w:lang w:val="sq-AL"/>
        </w:rPr>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69</w:t>
      </w:r>
      <w:r w:rsidRPr="00C149AB">
        <w:rPr>
          <w:rFonts w:ascii="Arial" w:hAnsi="Arial" w:cs="Arial"/>
          <w:b w:val="0"/>
          <w:szCs w:val="20"/>
        </w:rPr>
        <w:fldChar w:fldCharType="end"/>
      </w:r>
      <w:r w:rsidRPr="00C149AB">
        <w:rPr>
          <w:rFonts w:ascii="Arial" w:hAnsi="Arial" w:cs="Arial"/>
          <w:b w:val="0"/>
          <w:szCs w:val="20"/>
          <w:lang w:val="sq-AL"/>
        </w:rPr>
        <w:t xml:space="preserve"> Troškovi sakupljanja otpada za opciju IV</w:t>
      </w:r>
      <w:bookmarkEnd w:id="1051"/>
      <w:bookmarkEnd w:id="1052"/>
    </w:p>
    <w:tbl>
      <w:tblPr>
        <w:tblW w:w="7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480"/>
        <w:gridCol w:w="1193"/>
        <w:gridCol w:w="1940"/>
      </w:tblGrid>
      <w:tr w:rsidR="00C232D7" w:rsidRPr="00C149AB" w14:paraId="1D9E68C2" w14:textId="77777777" w:rsidTr="00C232D7">
        <w:trPr>
          <w:trHeight w:val="312"/>
          <w:jc w:val="center"/>
        </w:trPr>
        <w:tc>
          <w:tcPr>
            <w:tcW w:w="2370" w:type="dxa"/>
            <w:shd w:val="clear" w:color="auto" w:fill="F2F2F2" w:themeFill="background1" w:themeFillShade="F2"/>
            <w:vAlign w:val="center"/>
          </w:tcPr>
          <w:p w14:paraId="1D04BC15"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Vrsta opreme</w:t>
            </w:r>
          </w:p>
          <w:p w14:paraId="59B026E7" w14:textId="77777777" w:rsidR="00C232D7" w:rsidRPr="00C149AB" w:rsidRDefault="00C232D7" w:rsidP="00C232D7">
            <w:pPr>
              <w:spacing w:line="360" w:lineRule="auto"/>
              <w:rPr>
                <w:rFonts w:ascii="Arial" w:hAnsi="Arial" w:cs="Arial"/>
                <w:b/>
                <w:bCs/>
                <w:sz w:val="18"/>
                <w:lang w:val="sq-AL"/>
              </w:rPr>
            </w:pPr>
          </w:p>
        </w:tc>
        <w:tc>
          <w:tcPr>
            <w:tcW w:w="2480" w:type="dxa"/>
            <w:shd w:val="clear" w:color="auto" w:fill="F2F2F2" w:themeFill="background1" w:themeFillShade="F2"/>
            <w:vAlign w:val="center"/>
          </w:tcPr>
          <w:p w14:paraId="55D14B60"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Jedinična cijena (€/oprema)</w:t>
            </w:r>
          </w:p>
          <w:p w14:paraId="59458B73" w14:textId="77777777" w:rsidR="00C232D7" w:rsidRPr="00C149AB" w:rsidRDefault="00C232D7" w:rsidP="00C232D7">
            <w:pPr>
              <w:spacing w:line="360" w:lineRule="auto"/>
              <w:rPr>
                <w:rFonts w:ascii="Arial" w:hAnsi="Arial" w:cs="Arial"/>
                <w:b/>
                <w:bCs/>
                <w:sz w:val="18"/>
                <w:lang w:val="sq-AL"/>
              </w:rPr>
            </w:pPr>
          </w:p>
        </w:tc>
        <w:tc>
          <w:tcPr>
            <w:tcW w:w="1193" w:type="dxa"/>
            <w:shd w:val="clear" w:color="auto" w:fill="F2F2F2" w:themeFill="background1" w:themeFillShade="F2"/>
            <w:vAlign w:val="center"/>
          </w:tcPr>
          <w:p w14:paraId="5C0391FE"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#broj jedinica</w:t>
            </w:r>
          </w:p>
        </w:tc>
        <w:tc>
          <w:tcPr>
            <w:tcW w:w="1940" w:type="dxa"/>
            <w:shd w:val="clear" w:color="auto" w:fill="F2F2F2" w:themeFill="background1" w:themeFillShade="F2"/>
            <w:vAlign w:val="center"/>
          </w:tcPr>
          <w:p w14:paraId="1004A79A"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Ukupna cijena (€)</w:t>
            </w:r>
          </w:p>
        </w:tc>
      </w:tr>
      <w:tr w:rsidR="00C232D7" w:rsidRPr="00C149AB" w14:paraId="5AF65BED" w14:textId="77777777" w:rsidTr="00C232D7">
        <w:trPr>
          <w:trHeight w:val="312"/>
          <w:jc w:val="center"/>
        </w:trPr>
        <w:tc>
          <w:tcPr>
            <w:tcW w:w="2370" w:type="dxa"/>
            <w:shd w:val="clear" w:color="auto" w:fill="auto"/>
            <w:vAlign w:val="center"/>
          </w:tcPr>
          <w:p w14:paraId="61259B96" w14:textId="00A580D8" w:rsidR="00C232D7" w:rsidRPr="00C149AB" w:rsidRDefault="004127DF" w:rsidP="00C232D7">
            <w:pPr>
              <w:spacing w:line="360" w:lineRule="auto"/>
              <w:rPr>
                <w:rFonts w:ascii="Arial" w:hAnsi="Arial" w:cs="Arial"/>
                <w:sz w:val="18"/>
                <w:lang w:val="sq-AL"/>
              </w:rPr>
            </w:pPr>
            <w:r>
              <w:rPr>
                <w:rFonts w:ascii="Arial" w:hAnsi="Arial" w:cs="Arial"/>
                <w:sz w:val="18"/>
                <w:lang w:val="sq-AL"/>
              </w:rPr>
              <w:t>Kontejneri</w:t>
            </w:r>
            <w:r w:rsidRPr="00C149AB">
              <w:rPr>
                <w:rFonts w:ascii="Arial" w:hAnsi="Arial" w:cs="Arial"/>
                <w:sz w:val="18"/>
                <w:lang w:val="sq-AL"/>
              </w:rPr>
              <w:t xml:space="preserve"> </w:t>
            </w:r>
            <w:r w:rsidR="00C232D7" w:rsidRPr="00C149AB">
              <w:rPr>
                <w:rFonts w:ascii="Arial" w:hAnsi="Arial" w:cs="Arial"/>
                <w:sz w:val="18"/>
                <w:lang w:val="sq-AL"/>
              </w:rPr>
              <w:t>zapremine  1.1 m</w:t>
            </w:r>
            <w:r w:rsidR="00C232D7" w:rsidRPr="00C149AB">
              <w:rPr>
                <w:rFonts w:ascii="Arial" w:hAnsi="Arial" w:cs="Arial"/>
                <w:sz w:val="18"/>
                <w:vertAlign w:val="superscript"/>
                <w:lang w:val="sq-AL"/>
              </w:rPr>
              <w:t>3</w:t>
            </w:r>
          </w:p>
        </w:tc>
        <w:tc>
          <w:tcPr>
            <w:tcW w:w="2480" w:type="dxa"/>
            <w:shd w:val="clear" w:color="auto" w:fill="auto"/>
            <w:vAlign w:val="center"/>
          </w:tcPr>
          <w:p w14:paraId="7ACEC3C6"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490</w:t>
            </w:r>
          </w:p>
        </w:tc>
        <w:tc>
          <w:tcPr>
            <w:tcW w:w="1193" w:type="dxa"/>
            <w:shd w:val="clear" w:color="auto" w:fill="auto"/>
            <w:vAlign w:val="center"/>
          </w:tcPr>
          <w:p w14:paraId="69396D8D"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33.529</w:t>
            </w:r>
          </w:p>
        </w:tc>
        <w:tc>
          <w:tcPr>
            <w:tcW w:w="1940" w:type="dxa"/>
            <w:shd w:val="clear" w:color="auto" w:fill="auto"/>
            <w:vAlign w:val="center"/>
          </w:tcPr>
          <w:p w14:paraId="5B2CA658"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16.429.210</w:t>
            </w:r>
          </w:p>
        </w:tc>
      </w:tr>
      <w:tr w:rsidR="00C232D7" w:rsidRPr="00C149AB" w14:paraId="4791A37F" w14:textId="77777777" w:rsidTr="00C232D7">
        <w:trPr>
          <w:trHeight w:val="348"/>
          <w:jc w:val="center"/>
        </w:trPr>
        <w:tc>
          <w:tcPr>
            <w:tcW w:w="2370" w:type="dxa"/>
            <w:shd w:val="clear" w:color="auto" w:fill="auto"/>
            <w:vAlign w:val="center"/>
          </w:tcPr>
          <w:p w14:paraId="38318AC2"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22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480" w:type="dxa"/>
            <w:shd w:val="clear" w:color="auto" w:fill="auto"/>
            <w:vAlign w:val="center"/>
          </w:tcPr>
          <w:p w14:paraId="5FA51163"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180.000</w:t>
            </w:r>
          </w:p>
        </w:tc>
        <w:tc>
          <w:tcPr>
            <w:tcW w:w="1193" w:type="dxa"/>
            <w:shd w:val="clear" w:color="auto" w:fill="auto"/>
            <w:vAlign w:val="center"/>
          </w:tcPr>
          <w:p w14:paraId="5A98E5CB"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14</w:t>
            </w:r>
          </w:p>
        </w:tc>
        <w:tc>
          <w:tcPr>
            <w:tcW w:w="1940" w:type="dxa"/>
            <w:shd w:val="clear" w:color="auto" w:fill="auto"/>
            <w:vAlign w:val="center"/>
          </w:tcPr>
          <w:p w14:paraId="36B48CFD"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2.520.000</w:t>
            </w:r>
          </w:p>
        </w:tc>
      </w:tr>
      <w:tr w:rsidR="00C232D7" w:rsidRPr="00C149AB" w14:paraId="08F6EB15" w14:textId="77777777" w:rsidTr="00C232D7">
        <w:trPr>
          <w:trHeight w:val="348"/>
          <w:jc w:val="center"/>
        </w:trPr>
        <w:tc>
          <w:tcPr>
            <w:tcW w:w="2370" w:type="dxa"/>
            <w:shd w:val="clear" w:color="auto" w:fill="auto"/>
            <w:vAlign w:val="center"/>
          </w:tcPr>
          <w:p w14:paraId="393A13F5"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16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480" w:type="dxa"/>
            <w:shd w:val="clear" w:color="auto" w:fill="auto"/>
            <w:vAlign w:val="center"/>
          </w:tcPr>
          <w:p w14:paraId="041C6929"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150.000</w:t>
            </w:r>
          </w:p>
        </w:tc>
        <w:tc>
          <w:tcPr>
            <w:tcW w:w="1193" w:type="dxa"/>
            <w:shd w:val="clear" w:color="auto" w:fill="auto"/>
            <w:vAlign w:val="center"/>
          </w:tcPr>
          <w:p w14:paraId="50FB047D"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35</w:t>
            </w:r>
          </w:p>
        </w:tc>
        <w:tc>
          <w:tcPr>
            <w:tcW w:w="1940" w:type="dxa"/>
            <w:shd w:val="clear" w:color="auto" w:fill="auto"/>
            <w:vAlign w:val="center"/>
          </w:tcPr>
          <w:p w14:paraId="48E80AE6"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5.250.000</w:t>
            </w:r>
          </w:p>
        </w:tc>
      </w:tr>
      <w:tr w:rsidR="00C232D7" w:rsidRPr="00C149AB" w14:paraId="340B52C4" w14:textId="77777777" w:rsidTr="00C232D7">
        <w:trPr>
          <w:trHeight w:val="348"/>
          <w:jc w:val="center"/>
        </w:trPr>
        <w:tc>
          <w:tcPr>
            <w:tcW w:w="2370" w:type="dxa"/>
            <w:shd w:val="clear" w:color="auto" w:fill="auto"/>
            <w:vAlign w:val="center"/>
          </w:tcPr>
          <w:p w14:paraId="03A529B9"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8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480" w:type="dxa"/>
            <w:shd w:val="clear" w:color="auto" w:fill="auto"/>
            <w:vAlign w:val="center"/>
          </w:tcPr>
          <w:p w14:paraId="723E4E4F"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110.000</w:t>
            </w:r>
          </w:p>
        </w:tc>
        <w:tc>
          <w:tcPr>
            <w:tcW w:w="1193" w:type="dxa"/>
            <w:shd w:val="clear" w:color="auto" w:fill="auto"/>
            <w:vAlign w:val="center"/>
          </w:tcPr>
          <w:p w14:paraId="5B4F1E10"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33</w:t>
            </w:r>
          </w:p>
        </w:tc>
        <w:tc>
          <w:tcPr>
            <w:tcW w:w="1940" w:type="dxa"/>
            <w:shd w:val="clear" w:color="auto" w:fill="auto"/>
            <w:vAlign w:val="center"/>
          </w:tcPr>
          <w:p w14:paraId="05414546"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3.630.000</w:t>
            </w:r>
          </w:p>
        </w:tc>
      </w:tr>
      <w:tr w:rsidR="00C232D7" w:rsidRPr="00C149AB" w14:paraId="25BF26BD" w14:textId="77777777" w:rsidTr="00C232D7">
        <w:trPr>
          <w:trHeight w:val="348"/>
          <w:jc w:val="center"/>
        </w:trPr>
        <w:tc>
          <w:tcPr>
            <w:tcW w:w="2370" w:type="dxa"/>
            <w:shd w:val="clear" w:color="auto" w:fill="auto"/>
            <w:vAlign w:val="center"/>
          </w:tcPr>
          <w:p w14:paraId="3172F5DB"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4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480" w:type="dxa"/>
            <w:shd w:val="clear" w:color="auto" w:fill="auto"/>
            <w:vAlign w:val="center"/>
          </w:tcPr>
          <w:p w14:paraId="224EA56E"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80.000</w:t>
            </w:r>
          </w:p>
        </w:tc>
        <w:tc>
          <w:tcPr>
            <w:tcW w:w="1193" w:type="dxa"/>
            <w:shd w:val="clear" w:color="auto" w:fill="auto"/>
            <w:vAlign w:val="center"/>
          </w:tcPr>
          <w:p w14:paraId="3E2D42C1"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2</w:t>
            </w:r>
          </w:p>
        </w:tc>
        <w:tc>
          <w:tcPr>
            <w:tcW w:w="1940" w:type="dxa"/>
            <w:shd w:val="clear" w:color="auto" w:fill="auto"/>
            <w:vAlign w:val="center"/>
          </w:tcPr>
          <w:p w14:paraId="6966BF20"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160.000</w:t>
            </w:r>
          </w:p>
        </w:tc>
      </w:tr>
      <w:tr w:rsidR="00C232D7" w:rsidRPr="00C149AB" w14:paraId="52B1C560" w14:textId="77777777" w:rsidTr="00C232D7">
        <w:trPr>
          <w:trHeight w:val="348"/>
          <w:jc w:val="center"/>
        </w:trPr>
        <w:tc>
          <w:tcPr>
            <w:tcW w:w="2370" w:type="dxa"/>
            <w:shd w:val="clear" w:color="auto" w:fill="auto"/>
            <w:vAlign w:val="center"/>
          </w:tcPr>
          <w:p w14:paraId="313DDAA8"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6 m</w:t>
            </w:r>
            <w:r w:rsidRPr="00C149AB">
              <w:rPr>
                <w:rFonts w:ascii="Arial" w:hAnsi="Arial" w:cs="Arial"/>
                <w:sz w:val="18"/>
                <w:vertAlign w:val="superscript"/>
                <w:lang w:val="sq-AL"/>
              </w:rPr>
              <w:t>3</w:t>
            </w:r>
            <w:r w:rsidRPr="00C149AB">
              <w:rPr>
                <w:rFonts w:ascii="Arial" w:hAnsi="Arial" w:cs="Arial"/>
                <w:sz w:val="18"/>
                <w:lang w:val="sq-AL"/>
              </w:rPr>
              <w:t xml:space="preserve"> otvoreni kamion</w:t>
            </w:r>
          </w:p>
        </w:tc>
        <w:tc>
          <w:tcPr>
            <w:tcW w:w="2480" w:type="dxa"/>
            <w:shd w:val="clear" w:color="auto" w:fill="auto"/>
            <w:vAlign w:val="center"/>
          </w:tcPr>
          <w:p w14:paraId="2CFA2923"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70.000</w:t>
            </w:r>
          </w:p>
        </w:tc>
        <w:tc>
          <w:tcPr>
            <w:tcW w:w="1193" w:type="dxa"/>
            <w:shd w:val="clear" w:color="auto" w:fill="auto"/>
            <w:vAlign w:val="center"/>
          </w:tcPr>
          <w:p w14:paraId="1408EFD8"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18</w:t>
            </w:r>
          </w:p>
        </w:tc>
        <w:tc>
          <w:tcPr>
            <w:tcW w:w="1940" w:type="dxa"/>
            <w:shd w:val="clear" w:color="auto" w:fill="auto"/>
            <w:vAlign w:val="center"/>
          </w:tcPr>
          <w:p w14:paraId="35E5F9ED"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1.260.000</w:t>
            </w:r>
          </w:p>
        </w:tc>
      </w:tr>
      <w:tr w:rsidR="00C232D7" w:rsidRPr="00C149AB" w14:paraId="21B72F21" w14:textId="77777777" w:rsidTr="00C232D7">
        <w:trPr>
          <w:trHeight w:val="312"/>
          <w:jc w:val="center"/>
        </w:trPr>
        <w:tc>
          <w:tcPr>
            <w:tcW w:w="2370" w:type="dxa"/>
            <w:shd w:val="clear" w:color="auto" w:fill="auto"/>
            <w:vAlign w:val="center"/>
          </w:tcPr>
          <w:p w14:paraId="08EDCA45" w14:textId="7B43FCF9"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 xml:space="preserve">Vozilo za pranje </w:t>
            </w:r>
            <w:r w:rsidR="007B1545" w:rsidRPr="00C149AB">
              <w:rPr>
                <w:rFonts w:ascii="Arial" w:hAnsi="Arial" w:cs="Arial"/>
                <w:sz w:val="18"/>
                <w:lang w:val="sq-AL"/>
              </w:rPr>
              <w:t>posuda</w:t>
            </w:r>
          </w:p>
        </w:tc>
        <w:tc>
          <w:tcPr>
            <w:tcW w:w="2480" w:type="dxa"/>
            <w:shd w:val="clear" w:color="auto" w:fill="auto"/>
            <w:vAlign w:val="center"/>
          </w:tcPr>
          <w:p w14:paraId="25757D1A"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120.000</w:t>
            </w:r>
          </w:p>
        </w:tc>
        <w:tc>
          <w:tcPr>
            <w:tcW w:w="1193" w:type="dxa"/>
            <w:shd w:val="clear" w:color="auto" w:fill="auto"/>
            <w:vAlign w:val="center"/>
          </w:tcPr>
          <w:p w14:paraId="274D2597"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17</w:t>
            </w:r>
          </w:p>
        </w:tc>
        <w:tc>
          <w:tcPr>
            <w:tcW w:w="1940" w:type="dxa"/>
            <w:shd w:val="clear" w:color="auto" w:fill="auto"/>
            <w:vAlign w:val="center"/>
          </w:tcPr>
          <w:p w14:paraId="55A7CED9"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2.040.000</w:t>
            </w:r>
          </w:p>
        </w:tc>
      </w:tr>
      <w:tr w:rsidR="00C232D7" w:rsidRPr="00C149AB" w14:paraId="29FEB12A" w14:textId="77777777" w:rsidTr="00C232D7">
        <w:trPr>
          <w:trHeight w:val="312"/>
          <w:jc w:val="center"/>
        </w:trPr>
        <w:tc>
          <w:tcPr>
            <w:tcW w:w="2370" w:type="dxa"/>
            <w:shd w:val="clear" w:color="auto" w:fill="auto"/>
            <w:vAlign w:val="center"/>
          </w:tcPr>
          <w:p w14:paraId="0B97C5BB"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Ukupno</w:t>
            </w:r>
          </w:p>
        </w:tc>
        <w:tc>
          <w:tcPr>
            <w:tcW w:w="2480" w:type="dxa"/>
            <w:shd w:val="clear" w:color="auto" w:fill="auto"/>
            <w:vAlign w:val="center"/>
          </w:tcPr>
          <w:p w14:paraId="58894803"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 </w:t>
            </w:r>
          </w:p>
        </w:tc>
        <w:tc>
          <w:tcPr>
            <w:tcW w:w="1193" w:type="dxa"/>
            <w:shd w:val="clear" w:color="auto" w:fill="auto"/>
            <w:vAlign w:val="center"/>
          </w:tcPr>
          <w:p w14:paraId="259C73F5"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 </w:t>
            </w:r>
          </w:p>
        </w:tc>
        <w:tc>
          <w:tcPr>
            <w:tcW w:w="1940" w:type="dxa"/>
            <w:shd w:val="clear" w:color="auto" w:fill="auto"/>
            <w:vAlign w:val="center"/>
          </w:tcPr>
          <w:p w14:paraId="7E1941D0"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rPr>
              <w:t>31.289.210</w:t>
            </w:r>
          </w:p>
        </w:tc>
      </w:tr>
    </w:tbl>
    <w:p w14:paraId="658813C4" w14:textId="77777777" w:rsidR="008303B0" w:rsidRDefault="008303B0" w:rsidP="00962C8C">
      <w:pPr>
        <w:spacing w:before="120" w:after="120" w:line="360" w:lineRule="auto"/>
        <w:rPr>
          <w:rFonts w:ascii="Arial" w:hAnsi="Arial" w:cs="Arial"/>
          <w:lang w:val="sq-AL"/>
        </w:rPr>
      </w:pPr>
    </w:p>
    <w:p w14:paraId="69AA9541" w14:textId="335BD85C" w:rsidR="00962C8C" w:rsidRDefault="00C232D7" w:rsidP="00962C8C">
      <w:pPr>
        <w:spacing w:before="120" w:after="120" w:line="360" w:lineRule="auto"/>
        <w:rPr>
          <w:rFonts w:ascii="Arial" w:hAnsi="Arial" w:cs="Arial"/>
          <w:lang w:val="sq-AL"/>
        </w:rPr>
      </w:pPr>
      <w:r w:rsidRPr="002A6F4E">
        <w:rPr>
          <w:rFonts w:ascii="Arial" w:hAnsi="Arial" w:cs="Arial"/>
          <w:lang w:val="sq-AL"/>
        </w:rPr>
        <w:t>U narednoj tabeli prikazan je  učinak ove opcije u odnosu na kvantitativne ciljeve.</w:t>
      </w:r>
      <w:bookmarkStart w:id="1053" w:name="_Toc189515646"/>
    </w:p>
    <w:p w14:paraId="716951FC" w14:textId="77777777" w:rsidR="00D33BB9" w:rsidRDefault="00D33BB9" w:rsidP="00962C8C">
      <w:pPr>
        <w:spacing w:before="120" w:after="120" w:line="360" w:lineRule="auto"/>
        <w:rPr>
          <w:rFonts w:ascii="Arial" w:hAnsi="Arial" w:cs="Arial"/>
          <w:lang w:val="sq-AL"/>
        </w:rPr>
      </w:pPr>
    </w:p>
    <w:p w14:paraId="38373B8A" w14:textId="77777777" w:rsidR="00D33BB9" w:rsidRDefault="00D33BB9" w:rsidP="00962C8C">
      <w:pPr>
        <w:spacing w:before="120" w:after="120" w:line="360" w:lineRule="auto"/>
        <w:rPr>
          <w:rFonts w:ascii="Arial" w:hAnsi="Arial" w:cs="Arial"/>
          <w:lang w:val="sq-AL"/>
        </w:rPr>
      </w:pPr>
    </w:p>
    <w:p w14:paraId="39F3F998" w14:textId="77777777" w:rsidR="00D33BB9" w:rsidRDefault="00D33BB9" w:rsidP="00962C8C">
      <w:pPr>
        <w:spacing w:before="120" w:after="120" w:line="360" w:lineRule="auto"/>
        <w:rPr>
          <w:rFonts w:ascii="Arial" w:hAnsi="Arial" w:cs="Arial"/>
          <w:lang w:val="sq-AL"/>
        </w:rPr>
      </w:pPr>
    </w:p>
    <w:p w14:paraId="5FBB1B9A" w14:textId="77777777" w:rsidR="00D33BB9" w:rsidRDefault="00D33BB9" w:rsidP="00962C8C">
      <w:pPr>
        <w:spacing w:before="120" w:after="120" w:line="360" w:lineRule="auto"/>
        <w:rPr>
          <w:rFonts w:ascii="Arial" w:hAnsi="Arial" w:cs="Arial"/>
          <w:lang w:val="sq-AL"/>
        </w:rPr>
      </w:pPr>
    </w:p>
    <w:p w14:paraId="281EC58D" w14:textId="77777777" w:rsidR="00D33BB9" w:rsidRDefault="00D33BB9" w:rsidP="00962C8C">
      <w:pPr>
        <w:spacing w:before="120" w:after="120" w:line="360" w:lineRule="auto"/>
        <w:rPr>
          <w:rFonts w:ascii="Arial" w:hAnsi="Arial" w:cs="Arial"/>
          <w:lang w:val="sq-AL"/>
        </w:rPr>
      </w:pPr>
    </w:p>
    <w:p w14:paraId="3F8D8D90" w14:textId="77777777" w:rsidR="00D33BB9" w:rsidRDefault="00D33BB9" w:rsidP="00962C8C">
      <w:pPr>
        <w:spacing w:before="120" w:after="120" w:line="360" w:lineRule="auto"/>
        <w:rPr>
          <w:rFonts w:ascii="Arial" w:hAnsi="Arial" w:cs="Arial"/>
          <w:lang w:val="sq-AL"/>
        </w:rPr>
      </w:pPr>
    </w:p>
    <w:p w14:paraId="347C90E6" w14:textId="77777777" w:rsidR="00D33BB9" w:rsidRDefault="00D33BB9" w:rsidP="00962C8C">
      <w:pPr>
        <w:spacing w:before="120" w:after="120" w:line="360" w:lineRule="auto"/>
        <w:rPr>
          <w:rFonts w:ascii="Arial" w:hAnsi="Arial" w:cs="Arial"/>
          <w:lang w:val="sq-AL"/>
        </w:rPr>
      </w:pPr>
    </w:p>
    <w:p w14:paraId="29CF9B40" w14:textId="77777777" w:rsidR="00D33BB9" w:rsidRDefault="00D33BB9" w:rsidP="00962C8C">
      <w:pPr>
        <w:spacing w:before="120" w:after="120" w:line="360" w:lineRule="auto"/>
        <w:rPr>
          <w:rFonts w:ascii="Arial" w:hAnsi="Arial" w:cs="Arial"/>
          <w:lang w:val="sq-AL"/>
        </w:rPr>
      </w:pPr>
    </w:p>
    <w:p w14:paraId="1C83BBF8" w14:textId="77777777" w:rsidR="00D33BB9" w:rsidRDefault="00D33BB9" w:rsidP="00962C8C">
      <w:pPr>
        <w:spacing w:before="120" w:after="120" w:line="360" w:lineRule="auto"/>
        <w:rPr>
          <w:rFonts w:ascii="Arial" w:hAnsi="Arial" w:cs="Arial"/>
          <w:lang w:val="sq-AL"/>
        </w:rPr>
      </w:pPr>
    </w:p>
    <w:p w14:paraId="04CEEB25" w14:textId="77777777" w:rsidR="00D33BB9" w:rsidRDefault="00D33BB9" w:rsidP="00962C8C">
      <w:pPr>
        <w:spacing w:before="120" w:after="120" w:line="360" w:lineRule="auto"/>
        <w:rPr>
          <w:rFonts w:ascii="Arial" w:hAnsi="Arial" w:cs="Arial"/>
          <w:lang w:val="sq-AL"/>
        </w:rPr>
      </w:pPr>
    </w:p>
    <w:p w14:paraId="111F99F3" w14:textId="77777777" w:rsidR="00D33BB9" w:rsidRDefault="00D33BB9" w:rsidP="00962C8C">
      <w:pPr>
        <w:spacing w:before="120" w:after="120" w:line="360" w:lineRule="auto"/>
        <w:rPr>
          <w:rFonts w:ascii="Arial" w:hAnsi="Arial" w:cs="Arial"/>
          <w:lang w:val="sq-AL"/>
        </w:rPr>
      </w:pPr>
    </w:p>
    <w:p w14:paraId="1EB4117B" w14:textId="2BD6FFD2" w:rsidR="00C232D7" w:rsidRPr="00C149AB" w:rsidRDefault="00C232D7" w:rsidP="00962C8C">
      <w:pPr>
        <w:pStyle w:val="Caption"/>
        <w:rPr>
          <w:rFonts w:ascii="Arial" w:hAnsi="Arial" w:cs="Arial"/>
          <w:b w:val="0"/>
          <w:szCs w:val="20"/>
          <w:lang w:val="sq-AL"/>
        </w:rPr>
      </w:pPr>
      <w:bookmarkStart w:id="1054" w:name="_Toc190160764"/>
      <w:r w:rsidRPr="00C149AB">
        <w:rPr>
          <w:rFonts w:ascii="Arial" w:hAnsi="Arial" w:cs="Arial"/>
          <w:b w:val="0"/>
          <w:szCs w:val="20"/>
          <w:lang w:val="sq-AL"/>
        </w:rPr>
        <w:lastRenderedPageBreak/>
        <w:t xml:space="preserve">Tabela </w:t>
      </w:r>
      <w:r w:rsidRPr="00C149AB">
        <w:rPr>
          <w:rFonts w:ascii="Arial" w:hAnsi="Arial" w:cs="Arial"/>
          <w:b w:val="0"/>
          <w:szCs w:val="20"/>
          <w:lang w:val="sq-AL"/>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lang w:val="sq-AL"/>
        </w:rPr>
        <w:fldChar w:fldCharType="separate"/>
      </w:r>
      <w:r w:rsidR="007274DA">
        <w:rPr>
          <w:rFonts w:ascii="Arial" w:hAnsi="Arial" w:cs="Arial"/>
          <w:b w:val="0"/>
          <w:noProof/>
          <w:szCs w:val="20"/>
          <w:lang w:val="sq-AL"/>
        </w:rPr>
        <w:t>70</w:t>
      </w:r>
      <w:r w:rsidRPr="00C149AB">
        <w:rPr>
          <w:rFonts w:ascii="Arial" w:hAnsi="Arial" w:cs="Arial"/>
          <w:b w:val="0"/>
          <w:szCs w:val="20"/>
          <w:lang w:val="sq-AL"/>
        </w:rPr>
        <w:fldChar w:fldCharType="end"/>
      </w:r>
      <w:r w:rsidRPr="00C149AB">
        <w:rPr>
          <w:rFonts w:ascii="Arial" w:hAnsi="Arial" w:cs="Arial"/>
          <w:b w:val="0"/>
          <w:szCs w:val="20"/>
          <w:lang w:val="sq-AL"/>
        </w:rPr>
        <w:t xml:space="preserve"> Opcije IV u odnosu na postavljene ciljeve</w:t>
      </w:r>
      <w:bookmarkEnd w:id="1053"/>
      <w:bookmarkEnd w:id="1054"/>
    </w:p>
    <w:tbl>
      <w:tblPr>
        <w:tblStyle w:val="GridTable4-Accent11"/>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3"/>
        <w:gridCol w:w="2862"/>
        <w:gridCol w:w="2900"/>
        <w:gridCol w:w="1444"/>
      </w:tblGrid>
      <w:tr w:rsidR="00C232D7" w:rsidRPr="00C149AB" w14:paraId="0B3EF669" w14:textId="77777777" w:rsidTr="00C232D7">
        <w:trPr>
          <w:cnfStyle w:val="100000000000" w:firstRow="1" w:lastRow="0" w:firstColumn="0" w:lastColumn="0" w:oddVBand="0" w:evenVBand="0" w:oddHBand="0" w:evenHBand="0" w:firstRowFirstColumn="0" w:firstRowLastColumn="0" w:lastRowFirstColumn="0" w:lastRowLastColumn="0"/>
          <w:trHeight w:val="433"/>
          <w:tblHeader/>
          <w:jc w:val="center"/>
        </w:trPr>
        <w:tc>
          <w:tcPr>
            <w:cnfStyle w:val="001000000000" w:firstRow="0" w:lastRow="0" w:firstColumn="1" w:lastColumn="0" w:oddVBand="0" w:evenVBand="0" w:oddHBand="0" w:evenHBand="0" w:firstRowFirstColumn="0" w:firstRowLastColumn="0" w:lastRowFirstColumn="0" w:lastRowLastColumn="0"/>
            <w:tcW w:w="1223" w:type="pct"/>
            <w:tcBorders>
              <w:top w:val="single" w:sz="4" w:space="0" w:color="auto"/>
              <w:left w:val="single" w:sz="4" w:space="0" w:color="auto"/>
              <w:bottom w:val="single" w:sz="4" w:space="0" w:color="auto"/>
            </w:tcBorders>
            <w:shd w:val="clear" w:color="auto" w:fill="auto"/>
            <w:vAlign w:val="center"/>
          </w:tcPr>
          <w:p w14:paraId="7D0F6EED" w14:textId="77777777" w:rsidR="00C232D7" w:rsidRPr="00BB759A" w:rsidRDefault="00C232D7" w:rsidP="00C232D7">
            <w:pPr>
              <w:pStyle w:val="Normal-10pt-Table"/>
              <w:spacing w:line="360" w:lineRule="auto"/>
              <w:jc w:val="both"/>
              <w:rPr>
                <w:rFonts w:ascii="Arial" w:hAnsi="Arial" w:cs="Arial"/>
                <w:b w:val="0"/>
                <w:bCs w:val="0"/>
                <w:sz w:val="16"/>
                <w:szCs w:val="20"/>
                <w:lang w:val="sq-AL"/>
              </w:rPr>
            </w:pPr>
            <w:r w:rsidRPr="00BB759A">
              <w:rPr>
                <w:rFonts w:ascii="Arial" w:hAnsi="Arial" w:cs="Arial"/>
                <w:color w:val="auto"/>
                <w:sz w:val="16"/>
                <w:szCs w:val="20"/>
                <w:lang w:val="sq-AL"/>
              </w:rPr>
              <w:t>Faza upravljanja otpadom</w:t>
            </w:r>
          </w:p>
        </w:tc>
        <w:tc>
          <w:tcPr>
            <w:tcW w:w="1500" w:type="pct"/>
            <w:tcBorders>
              <w:top w:val="single" w:sz="4" w:space="0" w:color="auto"/>
              <w:left w:val="single" w:sz="4" w:space="0" w:color="auto"/>
              <w:bottom w:val="single" w:sz="4" w:space="0" w:color="auto"/>
            </w:tcBorders>
            <w:shd w:val="clear" w:color="auto" w:fill="auto"/>
            <w:vAlign w:val="center"/>
          </w:tcPr>
          <w:p w14:paraId="541F72BB" w14:textId="77777777" w:rsidR="00C232D7" w:rsidRPr="00BB759A"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20"/>
                <w:lang w:val="sq-AL"/>
              </w:rPr>
            </w:pPr>
            <w:r w:rsidRPr="00BB759A">
              <w:rPr>
                <w:rFonts w:ascii="Arial" w:hAnsi="Arial" w:cs="Arial"/>
                <w:color w:val="auto"/>
                <w:sz w:val="16"/>
                <w:szCs w:val="20"/>
                <w:lang w:val="sq-AL"/>
              </w:rPr>
              <w:t>Potražnja</w:t>
            </w:r>
          </w:p>
        </w:tc>
        <w:tc>
          <w:tcPr>
            <w:tcW w:w="1520" w:type="pct"/>
            <w:tcBorders>
              <w:top w:val="single" w:sz="4" w:space="0" w:color="auto"/>
              <w:left w:val="single" w:sz="4" w:space="0" w:color="auto"/>
              <w:bottom w:val="single" w:sz="4" w:space="0" w:color="auto"/>
            </w:tcBorders>
            <w:shd w:val="clear" w:color="auto" w:fill="auto"/>
            <w:vAlign w:val="center"/>
          </w:tcPr>
          <w:p w14:paraId="55815ADB" w14:textId="77777777" w:rsidR="00C232D7" w:rsidRPr="00BB759A"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20"/>
                <w:lang w:val="sq-AL"/>
              </w:rPr>
            </w:pPr>
            <w:r w:rsidRPr="00BB759A">
              <w:rPr>
                <w:rFonts w:ascii="Arial" w:hAnsi="Arial" w:cs="Arial"/>
                <w:color w:val="auto"/>
                <w:sz w:val="16"/>
                <w:szCs w:val="20"/>
                <w:lang w:val="sq-AL"/>
              </w:rPr>
              <w:t>Učinak</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5E87651D" w14:textId="77777777" w:rsidR="00C232D7" w:rsidRPr="00BB759A"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20"/>
                <w:lang w:val="sq-AL"/>
              </w:rPr>
            </w:pPr>
            <w:r w:rsidRPr="00BB759A">
              <w:rPr>
                <w:rFonts w:ascii="Arial" w:hAnsi="Arial" w:cs="Arial"/>
                <w:color w:val="auto"/>
                <w:sz w:val="16"/>
                <w:szCs w:val="20"/>
                <w:lang w:val="sq-AL"/>
              </w:rPr>
              <w:t>Nivo ispunjenosti</w:t>
            </w:r>
          </w:p>
        </w:tc>
      </w:tr>
      <w:tr w:rsidR="00C232D7" w:rsidRPr="00C149AB" w14:paraId="68FCC472"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23" w:type="pct"/>
            <w:tcBorders>
              <w:top w:val="single" w:sz="4" w:space="0" w:color="auto"/>
            </w:tcBorders>
            <w:shd w:val="clear" w:color="auto" w:fill="auto"/>
            <w:vAlign w:val="center"/>
          </w:tcPr>
          <w:p w14:paraId="097FCAB4" w14:textId="77777777" w:rsidR="00C232D7" w:rsidRPr="00BB759A" w:rsidRDefault="00C232D7" w:rsidP="00C232D7">
            <w:pPr>
              <w:pStyle w:val="Normal-10pt-Table"/>
              <w:spacing w:line="360" w:lineRule="auto"/>
              <w:jc w:val="both"/>
              <w:rPr>
                <w:rFonts w:ascii="Arial" w:hAnsi="Arial" w:cs="Arial"/>
                <w:b w:val="0"/>
                <w:bCs w:val="0"/>
                <w:sz w:val="16"/>
                <w:szCs w:val="20"/>
                <w:lang w:val="sq-AL"/>
              </w:rPr>
            </w:pPr>
            <w:r w:rsidRPr="00BB759A">
              <w:rPr>
                <w:rFonts w:ascii="Arial" w:hAnsi="Arial" w:cs="Arial"/>
                <w:sz w:val="16"/>
                <w:szCs w:val="20"/>
                <w:lang w:val="sq-AL"/>
              </w:rPr>
              <w:t>Ukupno sakupljene količine otpada</w:t>
            </w:r>
          </w:p>
        </w:tc>
        <w:tc>
          <w:tcPr>
            <w:tcW w:w="1500" w:type="pct"/>
            <w:tcBorders>
              <w:top w:val="single" w:sz="4" w:space="0" w:color="auto"/>
            </w:tcBorders>
            <w:shd w:val="clear" w:color="auto" w:fill="auto"/>
            <w:vAlign w:val="center"/>
          </w:tcPr>
          <w:p w14:paraId="0690037B" w14:textId="52665FA8" w:rsidR="00C232D7" w:rsidRPr="00BB759A"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lang w:val="mk-MK"/>
              </w:rPr>
            </w:pPr>
            <w:r w:rsidRPr="00BB759A">
              <w:rPr>
                <w:rFonts w:ascii="Arial" w:hAnsi="Arial" w:cs="Arial"/>
                <w:sz w:val="16"/>
                <w:lang w:val="mk-MK"/>
              </w:rPr>
              <w:t>202</w:t>
            </w:r>
            <w:r w:rsidR="00333305" w:rsidRPr="00BB759A">
              <w:rPr>
                <w:rFonts w:ascii="Arial" w:hAnsi="Arial" w:cs="Arial"/>
                <w:sz w:val="16"/>
                <w:lang w:val="sr-Latn-RS"/>
              </w:rPr>
              <w:t>5</w:t>
            </w:r>
            <w:r w:rsidRPr="00BB759A">
              <w:rPr>
                <w:rFonts w:ascii="Arial" w:hAnsi="Arial" w:cs="Arial"/>
                <w:sz w:val="16"/>
                <w:lang w:val="mk-MK"/>
              </w:rPr>
              <w:t xml:space="preserve">: 350.424 </w:t>
            </w:r>
            <w:r w:rsidR="00962C8C" w:rsidRPr="00BB759A">
              <w:rPr>
                <w:rFonts w:ascii="Arial" w:hAnsi="Arial" w:cs="Arial"/>
                <w:sz w:val="16"/>
                <w:lang w:val="mk-MK"/>
              </w:rPr>
              <w:t>t/god (</w:t>
            </w:r>
            <w:r w:rsidRPr="00BB759A">
              <w:rPr>
                <w:rFonts w:ascii="Arial" w:hAnsi="Arial" w:cs="Arial"/>
                <w:sz w:val="16"/>
                <w:lang w:val="mk-MK"/>
              </w:rPr>
              <w:t>100% ukupnog otpada)</w:t>
            </w:r>
          </w:p>
          <w:p w14:paraId="5DE23FFA" w14:textId="2602C16D" w:rsidR="00C232D7" w:rsidRPr="00BB759A"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lang w:val="sq-AL"/>
              </w:rPr>
            </w:pPr>
            <w:r w:rsidRPr="00BB759A">
              <w:rPr>
                <w:rFonts w:ascii="Arial" w:hAnsi="Arial" w:cs="Arial"/>
                <w:sz w:val="16"/>
                <w:lang w:val="en-US"/>
              </w:rPr>
              <w:t>2029</w:t>
            </w:r>
            <w:r w:rsidR="00962C8C" w:rsidRPr="00BB759A">
              <w:rPr>
                <w:rFonts w:ascii="Arial" w:hAnsi="Arial" w:cs="Arial"/>
                <w:sz w:val="16"/>
                <w:lang w:val="mk-MK"/>
              </w:rPr>
              <w:t>: 360.433 t/god (</w:t>
            </w:r>
            <w:r w:rsidR="00C232D7" w:rsidRPr="00BB759A">
              <w:rPr>
                <w:rFonts w:ascii="Arial" w:hAnsi="Arial" w:cs="Arial"/>
                <w:sz w:val="16"/>
                <w:lang w:val="mk-MK"/>
              </w:rPr>
              <w:t>100% ukupnog otpada)</w:t>
            </w:r>
          </w:p>
        </w:tc>
        <w:tc>
          <w:tcPr>
            <w:tcW w:w="1520" w:type="pct"/>
            <w:tcBorders>
              <w:top w:val="single" w:sz="4" w:space="0" w:color="auto"/>
            </w:tcBorders>
            <w:shd w:val="clear" w:color="auto" w:fill="auto"/>
            <w:vAlign w:val="center"/>
          </w:tcPr>
          <w:p w14:paraId="4BBD3FCC" w14:textId="47E6D955" w:rsidR="00C232D7" w:rsidRPr="00BB759A" w:rsidRDefault="00962C8C"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lang w:val="mk-MK"/>
              </w:rPr>
            </w:pPr>
            <w:r w:rsidRPr="00BB759A">
              <w:rPr>
                <w:rFonts w:ascii="Arial" w:hAnsi="Arial" w:cs="Arial"/>
                <w:sz w:val="16"/>
                <w:lang w:val="mk-MK"/>
              </w:rPr>
              <w:t>202</w:t>
            </w:r>
            <w:r w:rsidR="00333305" w:rsidRPr="00BB759A">
              <w:rPr>
                <w:rFonts w:ascii="Arial" w:hAnsi="Arial" w:cs="Arial"/>
                <w:sz w:val="16"/>
                <w:lang w:val="sr-Latn-RS"/>
              </w:rPr>
              <w:t>5</w:t>
            </w:r>
            <w:r w:rsidRPr="00BB759A">
              <w:rPr>
                <w:rFonts w:ascii="Arial" w:hAnsi="Arial" w:cs="Arial"/>
                <w:sz w:val="16"/>
                <w:lang w:val="mk-MK"/>
              </w:rPr>
              <w:t>: 332.968 t/god (</w:t>
            </w:r>
            <w:r w:rsidR="00C232D7" w:rsidRPr="00BB759A">
              <w:rPr>
                <w:rFonts w:ascii="Arial" w:hAnsi="Arial" w:cs="Arial"/>
                <w:sz w:val="16"/>
                <w:lang w:val="mk-MK"/>
              </w:rPr>
              <w:t>95.0% ukupnog otpada)</w:t>
            </w:r>
          </w:p>
          <w:p w14:paraId="3645571E" w14:textId="58FF4B10" w:rsidR="00C232D7" w:rsidRPr="00BB759A"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lang w:val="sq-AL" w:eastAsia="en-GB"/>
              </w:rPr>
            </w:pPr>
            <w:r w:rsidRPr="00BB759A">
              <w:rPr>
                <w:rFonts w:ascii="Arial" w:hAnsi="Arial" w:cs="Arial"/>
                <w:sz w:val="16"/>
                <w:lang w:val="en-US"/>
              </w:rPr>
              <w:t>2029</w:t>
            </w:r>
            <w:r w:rsidR="00962C8C" w:rsidRPr="00BB759A">
              <w:rPr>
                <w:rFonts w:ascii="Arial" w:hAnsi="Arial" w:cs="Arial"/>
                <w:sz w:val="16"/>
                <w:lang w:val="mk-MK"/>
              </w:rPr>
              <w:t>: 342.776 t/god (</w:t>
            </w:r>
            <w:r w:rsidR="00C232D7" w:rsidRPr="00BB759A">
              <w:rPr>
                <w:rFonts w:ascii="Arial" w:hAnsi="Arial" w:cs="Arial"/>
                <w:sz w:val="16"/>
                <w:lang w:val="mk-MK"/>
              </w:rPr>
              <w:t>95.1% ukupnog otpada)</w:t>
            </w:r>
          </w:p>
        </w:tc>
        <w:tc>
          <w:tcPr>
            <w:tcW w:w="757" w:type="pct"/>
            <w:tcBorders>
              <w:top w:val="single" w:sz="4" w:space="0" w:color="auto"/>
            </w:tcBorders>
            <w:shd w:val="clear" w:color="auto" w:fill="auto"/>
            <w:vAlign w:val="center"/>
          </w:tcPr>
          <w:p w14:paraId="1D2BE3DB" w14:textId="0BE4E439" w:rsidR="00C232D7" w:rsidRPr="00BB759A"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lang w:val="mk-MK"/>
              </w:rPr>
            </w:pPr>
            <w:r w:rsidRPr="00BB759A">
              <w:rPr>
                <w:rFonts w:ascii="Arial" w:hAnsi="Arial" w:cs="Arial"/>
                <w:sz w:val="16"/>
                <w:lang w:val="mk-MK"/>
              </w:rPr>
              <w:t>202</w:t>
            </w:r>
            <w:r w:rsidR="00333305" w:rsidRPr="00BB759A">
              <w:rPr>
                <w:rFonts w:ascii="Arial" w:hAnsi="Arial" w:cs="Arial"/>
                <w:sz w:val="16"/>
                <w:lang w:val="sr-Latn-RS"/>
              </w:rPr>
              <w:t>5</w:t>
            </w:r>
            <w:r w:rsidRPr="00BB759A">
              <w:rPr>
                <w:rFonts w:ascii="Arial" w:hAnsi="Arial" w:cs="Arial"/>
                <w:sz w:val="16"/>
                <w:lang w:val="mk-MK"/>
              </w:rPr>
              <w:t xml:space="preserve">: 100% </w:t>
            </w:r>
          </w:p>
          <w:p w14:paraId="37D106C0" w14:textId="7B5EFBEB" w:rsidR="00C232D7" w:rsidRPr="00BB759A"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lang w:val="sq-AL"/>
              </w:rPr>
            </w:pPr>
            <w:r w:rsidRPr="00BB759A">
              <w:rPr>
                <w:rFonts w:ascii="Arial" w:hAnsi="Arial" w:cs="Arial"/>
                <w:sz w:val="16"/>
                <w:lang w:val="en-US"/>
              </w:rPr>
              <w:t>2029</w:t>
            </w:r>
            <w:r w:rsidR="00C232D7" w:rsidRPr="00BB759A">
              <w:rPr>
                <w:rFonts w:ascii="Arial" w:hAnsi="Arial" w:cs="Arial"/>
                <w:sz w:val="16"/>
                <w:lang w:val="mk-MK"/>
              </w:rPr>
              <w:t>: 100%</w:t>
            </w:r>
          </w:p>
        </w:tc>
      </w:tr>
      <w:tr w:rsidR="00C232D7" w:rsidRPr="00C149AB" w14:paraId="68B8F50D"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23" w:type="pct"/>
            <w:shd w:val="clear" w:color="auto" w:fill="auto"/>
            <w:vAlign w:val="center"/>
          </w:tcPr>
          <w:p w14:paraId="44093B4E" w14:textId="77777777" w:rsidR="00C232D7" w:rsidRPr="00BB759A" w:rsidRDefault="00C232D7" w:rsidP="00C232D7">
            <w:pPr>
              <w:pStyle w:val="Normal-10pt-Table"/>
              <w:spacing w:line="360" w:lineRule="auto"/>
              <w:jc w:val="both"/>
              <w:rPr>
                <w:rFonts w:ascii="Arial" w:hAnsi="Arial" w:cs="Arial"/>
                <w:b w:val="0"/>
                <w:bCs w:val="0"/>
                <w:sz w:val="16"/>
                <w:szCs w:val="20"/>
                <w:lang w:val="sq-AL"/>
              </w:rPr>
            </w:pPr>
            <w:r w:rsidRPr="00BB759A">
              <w:rPr>
                <w:rFonts w:ascii="Arial" w:hAnsi="Arial" w:cs="Arial"/>
                <w:sz w:val="16"/>
                <w:szCs w:val="20"/>
                <w:lang w:val="sq-AL"/>
              </w:rPr>
              <w:t>Odvojeno sakupljanje otpada koji se može reciklirati</w:t>
            </w:r>
          </w:p>
        </w:tc>
        <w:tc>
          <w:tcPr>
            <w:tcW w:w="1500" w:type="pct"/>
            <w:shd w:val="clear" w:color="auto" w:fill="auto"/>
            <w:vAlign w:val="center"/>
          </w:tcPr>
          <w:p w14:paraId="3134FCC6" w14:textId="786D5BA0" w:rsidR="00C232D7" w:rsidRPr="00BB759A"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lang w:val="mk-MK"/>
              </w:rPr>
            </w:pPr>
            <w:r w:rsidRPr="00BB759A">
              <w:rPr>
                <w:rFonts w:ascii="Arial" w:hAnsi="Arial" w:cs="Arial"/>
                <w:sz w:val="16"/>
                <w:lang w:val="mk-MK"/>
              </w:rPr>
              <w:t>2025: 27.31</w:t>
            </w:r>
            <w:r w:rsidR="00962C8C" w:rsidRPr="00BB759A">
              <w:rPr>
                <w:rFonts w:ascii="Arial" w:hAnsi="Arial" w:cs="Arial"/>
                <w:sz w:val="16"/>
                <w:lang w:val="mk-MK"/>
              </w:rPr>
              <w:t>6 t/god (</w:t>
            </w:r>
            <w:r w:rsidRPr="00BB759A">
              <w:rPr>
                <w:rFonts w:ascii="Arial" w:hAnsi="Arial" w:cs="Arial"/>
                <w:sz w:val="16"/>
                <w:lang w:val="mk-MK"/>
              </w:rPr>
              <w:t xml:space="preserve">15% </w:t>
            </w:r>
            <w:r w:rsidRPr="00BB759A">
              <w:rPr>
                <w:rFonts w:ascii="Arial" w:hAnsi="Arial" w:cs="Arial"/>
                <w:sz w:val="16"/>
                <w:lang w:val="sq-AL"/>
              </w:rPr>
              <w:t>otpada koji se može reciklirati</w:t>
            </w:r>
            <w:r w:rsidRPr="00BB759A">
              <w:rPr>
                <w:rFonts w:ascii="Arial" w:hAnsi="Arial" w:cs="Arial"/>
                <w:sz w:val="16"/>
                <w:lang w:val="mk-MK"/>
              </w:rPr>
              <w:t>)</w:t>
            </w:r>
          </w:p>
          <w:p w14:paraId="58D1FED0" w14:textId="7E1D9948" w:rsidR="00C232D7" w:rsidRPr="00BB759A"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lang w:val="sq-AL"/>
              </w:rPr>
            </w:pPr>
            <w:r w:rsidRPr="00BB759A">
              <w:rPr>
                <w:rFonts w:ascii="Arial" w:hAnsi="Arial" w:cs="Arial"/>
                <w:sz w:val="16"/>
                <w:lang w:val="en-US"/>
              </w:rPr>
              <w:t>2029</w:t>
            </w:r>
            <w:r w:rsidR="00962C8C" w:rsidRPr="00BB759A">
              <w:rPr>
                <w:rFonts w:ascii="Arial" w:hAnsi="Arial" w:cs="Arial"/>
                <w:sz w:val="16"/>
                <w:lang w:val="mk-MK"/>
              </w:rPr>
              <w:t>: 46.999 t/god (</w:t>
            </w:r>
            <w:r w:rsidR="00C232D7" w:rsidRPr="00BB759A">
              <w:rPr>
                <w:rFonts w:ascii="Arial" w:hAnsi="Arial" w:cs="Arial"/>
                <w:sz w:val="16"/>
                <w:lang w:val="mk-MK"/>
              </w:rPr>
              <w:t xml:space="preserve">15% </w:t>
            </w:r>
            <w:r w:rsidR="00C232D7" w:rsidRPr="00BB759A">
              <w:rPr>
                <w:rFonts w:ascii="Arial" w:hAnsi="Arial" w:cs="Arial"/>
                <w:sz w:val="16"/>
                <w:lang w:val="sq-AL"/>
              </w:rPr>
              <w:t>otpada koji se može reciklirati</w:t>
            </w:r>
            <w:r w:rsidR="00C232D7" w:rsidRPr="00BB759A">
              <w:rPr>
                <w:rFonts w:ascii="Arial" w:hAnsi="Arial" w:cs="Arial"/>
                <w:sz w:val="16"/>
                <w:lang w:val="mk-MK"/>
              </w:rPr>
              <w:t>)</w:t>
            </w:r>
          </w:p>
        </w:tc>
        <w:tc>
          <w:tcPr>
            <w:tcW w:w="1520" w:type="pct"/>
            <w:shd w:val="clear" w:color="auto" w:fill="auto"/>
            <w:vAlign w:val="center"/>
          </w:tcPr>
          <w:p w14:paraId="0B2944F6" w14:textId="6B76399A" w:rsidR="00C232D7" w:rsidRPr="00BB759A" w:rsidRDefault="00962C8C"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mk-MK"/>
              </w:rPr>
            </w:pPr>
            <w:r w:rsidRPr="00BB759A">
              <w:rPr>
                <w:rFonts w:ascii="Arial" w:hAnsi="Arial" w:cs="Arial"/>
                <w:sz w:val="16"/>
                <w:szCs w:val="20"/>
                <w:lang w:val="mk-MK"/>
              </w:rPr>
              <w:t>2025: 33.783 t/god (</w:t>
            </w:r>
            <w:r w:rsidR="00C232D7" w:rsidRPr="00BB759A">
              <w:rPr>
                <w:rFonts w:ascii="Arial" w:hAnsi="Arial" w:cs="Arial"/>
                <w:sz w:val="16"/>
                <w:szCs w:val="20"/>
                <w:lang w:val="mk-MK"/>
              </w:rPr>
              <w:t xml:space="preserve">19% </w:t>
            </w:r>
            <w:r w:rsidR="00C232D7" w:rsidRPr="00BB759A">
              <w:rPr>
                <w:rFonts w:ascii="Arial" w:hAnsi="Arial" w:cs="Arial"/>
                <w:sz w:val="16"/>
                <w:szCs w:val="20"/>
                <w:lang w:val="sq-AL"/>
              </w:rPr>
              <w:t>otpada koji se može reciklirati</w:t>
            </w:r>
            <w:r w:rsidR="00C232D7" w:rsidRPr="00BB759A">
              <w:rPr>
                <w:rFonts w:ascii="Arial" w:hAnsi="Arial" w:cs="Arial"/>
                <w:sz w:val="16"/>
                <w:szCs w:val="20"/>
                <w:lang w:val="mk-MK"/>
              </w:rPr>
              <w:t>)</w:t>
            </w:r>
          </w:p>
          <w:p w14:paraId="49474B36" w14:textId="369C4482"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sq-AL"/>
              </w:rPr>
            </w:pPr>
            <w:r w:rsidRPr="00BB759A">
              <w:rPr>
                <w:rFonts w:ascii="Arial" w:hAnsi="Arial" w:cs="Arial"/>
                <w:sz w:val="16"/>
                <w:szCs w:val="20"/>
              </w:rPr>
              <w:t>2029</w:t>
            </w:r>
            <w:r w:rsidR="00962C8C" w:rsidRPr="00BB759A">
              <w:rPr>
                <w:rFonts w:ascii="Arial" w:hAnsi="Arial" w:cs="Arial"/>
                <w:sz w:val="16"/>
                <w:szCs w:val="20"/>
                <w:lang w:val="mk-MK"/>
              </w:rPr>
              <w:t>: 57.681 t/god (</w:t>
            </w:r>
            <w:r w:rsidR="00C232D7" w:rsidRPr="00BB759A">
              <w:rPr>
                <w:rFonts w:ascii="Arial" w:hAnsi="Arial" w:cs="Arial"/>
                <w:sz w:val="16"/>
                <w:szCs w:val="20"/>
                <w:lang w:val="mk-MK"/>
              </w:rPr>
              <w:t xml:space="preserve">31% </w:t>
            </w:r>
            <w:r w:rsidR="00C232D7" w:rsidRPr="00BB759A">
              <w:rPr>
                <w:rFonts w:ascii="Arial" w:hAnsi="Arial" w:cs="Arial"/>
                <w:sz w:val="16"/>
                <w:szCs w:val="20"/>
                <w:lang w:val="sq-AL"/>
              </w:rPr>
              <w:t>otpada koji se može reciklirati</w:t>
            </w:r>
            <w:r w:rsidR="00C232D7" w:rsidRPr="00BB759A">
              <w:rPr>
                <w:rFonts w:ascii="Arial" w:hAnsi="Arial" w:cs="Arial"/>
                <w:sz w:val="16"/>
                <w:szCs w:val="20"/>
                <w:lang w:val="mk-MK"/>
              </w:rPr>
              <w:t>)</w:t>
            </w:r>
          </w:p>
        </w:tc>
        <w:tc>
          <w:tcPr>
            <w:tcW w:w="757" w:type="pct"/>
            <w:shd w:val="clear" w:color="auto" w:fill="auto"/>
            <w:vAlign w:val="center"/>
          </w:tcPr>
          <w:p w14:paraId="4F1D3926" w14:textId="77777777" w:rsidR="00C232D7" w:rsidRPr="00BB759A"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lang w:val="mk-MK"/>
              </w:rPr>
            </w:pPr>
            <w:r w:rsidRPr="00BB759A">
              <w:rPr>
                <w:rFonts w:ascii="Arial" w:hAnsi="Arial" w:cs="Arial"/>
                <w:sz w:val="16"/>
                <w:lang w:val="mk-MK"/>
              </w:rPr>
              <w:t xml:space="preserve">2025: 100% </w:t>
            </w:r>
          </w:p>
          <w:p w14:paraId="2F263B2D" w14:textId="194B430A" w:rsidR="00C232D7" w:rsidRPr="00BB759A"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lang w:val="sq-AL"/>
              </w:rPr>
            </w:pPr>
            <w:r w:rsidRPr="00BB759A">
              <w:rPr>
                <w:rFonts w:ascii="Arial" w:hAnsi="Arial" w:cs="Arial"/>
                <w:sz w:val="16"/>
                <w:lang w:val="en-US"/>
              </w:rPr>
              <w:t>2029</w:t>
            </w:r>
            <w:r w:rsidR="00C232D7" w:rsidRPr="00BB759A">
              <w:rPr>
                <w:rFonts w:ascii="Arial" w:hAnsi="Arial" w:cs="Arial"/>
                <w:sz w:val="16"/>
                <w:lang w:val="mk-MK"/>
              </w:rPr>
              <w:t>: 100%</w:t>
            </w:r>
          </w:p>
        </w:tc>
      </w:tr>
      <w:tr w:rsidR="00C232D7" w:rsidRPr="00C149AB" w14:paraId="53E39D28"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23" w:type="pct"/>
            <w:shd w:val="clear" w:color="auto" w:fill="auto"/>
            <w:vAlign w:val="center"/>
          </w:tcPr>
          <w:p w14:paraId="1A9DED69" w14:textId="77777777" w:rsidR="00C232D7" w:rsidRPr="00BB759A" w:rsidRDefault="00C232D7" w:rsidP="00C232D7">
            <w:pPr>
              <w:pStyle w:val="Normal-10pt-Table"/>
              <w:spacing w:line="360" w:lineRule="auto"/>
              <w:jc w:val="both"/>
              <w:rPr>
                <w:rFonts w:ascii="Arial" w:hAnsi="Arial" w:cs="Arial"/>
                <w:b w:val="0"/>
                <w:bCs w:val="0"/>
                <w:sz w:val="16"/>
                <w:szCs w:val="20"/>
                <w:lang w:val="sq-AL"/>
              </w:rPr>
            </w:pPr>
            <w:r w:rsidRPr="00BB759A">
              <w:rPr>
                <w:rFonts w:ascii="Arial" w:hAnsi="Arial" w:cs="Arial"/>
                <w:sz w:val="16"/>
                <w:szCs w:val="20"/>
                <w:lang w:val="sq-AL"/>
              </w:rPr>
              <w:t>Odvojeno sakupljanje ambalažnog otpada</w:t>
            </w:r>
          </w:p>
        </w:tc>
        <w:tc>
          <w:tcPr>
            <w:tcW w:w="1500" w:type="pct"/>
            <w:shd w:val="clear" w:color="auto" w:fill="auto"/>
            <w:vAlign w:val="center"/>
          </w:tcPr>
          <w:p w14:paraId="37A98806" w14:textId="50FBAD85" w:rsidR="00C232D7" w:rsidRPr="00BB759A"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lang w:val="sq-AL" w:eastAsia="en-GB"/>
              </w:rPr>
            </w:pPr>
            <w:r w:rsidRPr="00BB759A">
              <w:rPr>
                <w:rFonts w:ascii="Arial" w:hAnsi="Arial" w:cs="Arial"/>
                <w:sz w:val="16"/>
                <w:lang w:val="en-US"/>
              </w:rPr>
              <w:t>2029</w:t>
            </w:r>
            <w:r w:rsidR="00C232D7" w:rsidRPr="00BB759A">
              <w:rPr>
                <w:rFonts w:ascii="Arial" w:hAnsi="Arial" w:cs="Arial"/>
                <w:sz w:val="16"/>
                <w:lang w:val="mk-MK"/>
              </w:rPr>
              <w:t xml:space="preserve">: 34.524 t/god (35% </w:t>
            </w:r>
            <w:r w:rsidR="00C232D7" w:rsidRPr="00BB759A">
              <w:rPr>
                <w:rFonts w:ascii="Arial" w:hAnsi="Arial" w:cs="Arial"/>
                <w:sz w:val="16"/>
                <w:lang w:val="sq-AL"/>
              </w:rPr>
              <w:t>ambalažnog otpada</w:t>
            </w:r>
            <w:r w:rsidR="00C232D7" w:rsidRPr="00BB759A">
              <w:rPr>
                <w:rFonts w:ascii="Arial" w:hAnsi="Arial" w:cs="Arial"/>
                <w:sz w:val="16"/>
                <w:lang w:val="mk-MK"/>
              </w:rPr>
              <w:t>)</w:t>
            </w:r>
          </w:p>
        </w:tc>
        <w:tc>
          <w:tcPr>
            <w:tcW w:w="1520" w:type="pct"/>
            <w:shd w:val="clear" w:color="auto" w:fill="auto"/>
            <w:vAlign w:val="center"/>
          </w:tcPr>
          <w:p w14:paraId="7DD40E77" w14:textId="220C6F3F"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sq-AL"/>
              </w:rPr>
            </w:pPr>
            <w:r w:rsidRPr="00BB759A">
              <w:rPr>
                <w:rFonts w:ascii="Arial" w:hAnsi="Arial" w:cs="Arial"/>
                <w:sz w:val="16"/>
                <w:szCs w:val="20"/>
              </w:rPr>
              <w:t>2029</w:t>
            </w:r>
            <w:r w:rsidR="00C232D7" w:rsidRPr="00BB759A">
              <w:rPr>
                <w:rFonts w:ascii="Arial" w:hAnsi="Arial" w:cs="Arial"/>
                <w:sz w:val="16"/>
                <w:szCs w:val="20"/>
                <w:lang w:val="mk-MK"/>
              </w:rPr>
              <w:t xml:space="preserve">: 40.377 t/god (41% </w:t>
            </w:r>
            <w:r w:rsidR="00C232D7" w:rsidRPr="00BB759A">
              <w:rPr>
                <w:rFonts w:ascii="Arial" w:hAnsi="Arial" w:cs="Arial"/>
                <w:sz w:val="16"/>
                <w:szCs w:val="20"/>
                <w:lang w:val="sq-AL"/>
              </w:rPr>
              <w:t>ambalažnog otpada</w:t>
            </w:r>
            <w:r w:rsidR="00C232D7" w:rsidRPr="00BB759A">
              <w:rPr>
                <w:rFonts w:ascii="Arial" w:hAnsi="Arial" w:cs="Arial"/>
                <w:sz w:val="16"/>
                <w:szCs w:val="20"/>
                <w:lang w:val="mk-MK"/>
              </w:rPr>
              <w:t>)</w:t>
            </w:r>
          </w:p>
        </w:tc>
        <w:tc>
          <w:tcPr>
            <w:tcW w:w="757" w:type="pct"/>
            <w:shd w:val="clear" w:color="auto" w:fill="auto"/>
            <w:vAlign w:val="center"/>
          </w:tcPr>
          <w:p w14:paraId="4B3BE597" w14:textId="623AD49E" w:rsidR="00C232D7" w:rsidRPr="00BB759A"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lang w:val="sq-AL"/>
              </w:rPr>
            </w:pPr>
            <w:r w:rsidRPr="00BB759A">
              <w:rPr>
                <w:rFonts w:ascii="Arial" w:hAnsi="Arial" w:cs="Arial"/>
                <w:sz w:val="16"/>
                <w:lang w:val="en-US"/>
              </w:rPr>
              <w:t>2029</w:t>
            </w:r>
            <w:r w:rsidR="00C232D7" w:rsidRPr="00BB759A">
              <w:rPr>
                <w:rFonts w:ascii="Arial" w:hAnsi="Arial" w:cs="Arial"/>
                <w:sz w:val="16"/>
                <w:lang w:val="mk-MK"/>
              </w:rPr>
              <w:t>: 100%</w:t>
            </w:r>
          </w:p>
        </w:tc>
      </w:tr>
      <w:tr w:rsidR="00C232D7" w:rsidRPr="00C149AB" w14:paraId="1193CA98"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23" w:type="pct"/>
            <w:shd w:val="clear" w:color="auto" w:fill="auto"/>
          </w:tcPr>
          <w:p w14:paraId="5E10F66C" w14:textId="77777777" w:rsidR="00C232D7" w:rsidRPr="00BB759A" w:rsidRDefault="00C232D7" w:rsidP="00C232D7">
            <w:pPr>
              <w:pStyle w:val="Normal-10pt-Table"/>
              <w:spacing w:line="360" w:lineRule="auto"/>
              <w:jc w:val="both"/>
              <w:rPr>
                <w:rFonts w:ascii="Arial" w:hAnsi="Arial" w:cs="Arial"/>
                <w:b w:val="0"/>
                <w:bCs w:val="0"/>
                <w:sz w:val="16"/>
                <w:szCs w:val="20"/>
                <w:lang w:val="sq-AL"/>
              </w:rPr>
            </w:pPr>
            <w:r w:rsidRPr="00BB759A">
              <w:rPr>
                <w:rFonts w:ascii="Arial" w:hAnsi="Arial" w:cs="Arial"/>
                <w:sz w:val="16"/>
                <w:szCs w:val="20"/>
                <w:lang w:val="sq-AL"/>
              </w:rPr>
              <w:t>Odvojeno sakupljanje biorazgradivog otpada</w:t>
            </w:r>
          </w:p>
        </w:tc>
        <w:tc>
          <w:tcPr>
            <w:tcW w:w="1500" w:type="pct"/>
            <w:shd w:val="clear" w:color="auto" w:fill="auto"/>
            <w:vAlign w:val="center"/>
          </w:tcPr>
          <w:p w14:paraId="4BCA86D8" w14:textId="25E23F46" w:rsidR="00C232D7" w:rsidRPr="00BB759A" w:rsidRDefault="004230F6"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mk-MK"/>
              </w:rPr>
            </w:pPr>
            <w:r w:rsidRPr="00BB759A">
              <w:rPr>
                <w:rFonts w:ascii="Arial" w:hAnsi="Arial" w:cs="Arial"/>
                <w:sz w:val="16"/>
                <w:szCs w:val="20"/>
                <w:lang w:val="mk-MK"/>
              </w:rPr>
              <w:t>2025: 24.233 t/god (</w:t>
            </w:r>
            <w:r w:rsidR="00C232D7" w:rsidRPr="00BB759A">
              <w:rPr>
                <w:rFonts w:ascii="Arial" w:hAnsi="Arial" w:cs="Arial"/>
                <w:sz w:val="16"/>
                <w:szCs w:val="20"/>
                <w:lang w:val="mk-MK"/>
              </w:rPr>
              <w:t>7% ukupnog otpada)</w:t>
            </w:r>
          </w:p>
          <w:p w14:paraId="33A3DEBE" w14:textId="5F8B610D"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sq-AL"/>
              </w:rPr>
            </w:pPr>
            <w:r w:rsidRPr="00BB759A">
              <w:rPr>
                <w:rFonts w:ascii="Arial" w:hAnsi="Arial" w:cs="Arial"/>
                <w:sz w:val="16"/>
                <w:szCs w:val="20"/>
              </w:rPr>
              <w:t>2029</w:t>
            </w:r>
            <w:r w:rsidR="004230F6" w:rsidRPr="00BB759A">
              <w:rPr>
                <w:rFonts w:ascii="Arial" w:hAnsi="Arial" w:cs="Arial"/>
                <w:sz w:val="16"/>
                <w:szCs w:val="20"/>
                <w:lang w:val="mk-MK"/>
              </w:rPr>
              <w:t>: 24.063 t/god (</w:t>
            </w:r>
            <w:r w:rsidR="00C232D7" w:rsidRPr="00BB759A">
              <w:rPr>
                <w:rFonts w:ascii="Arial" w:hAnsi="Arial" w:cs="Arial"/>
                <w:sz w:val="16"/>
                <w:szCs w:val="20"/>
                <w:lang w:val="mk-MK"/>
              </w:rPr>
              <w:t>7% ukupnog otpada)</w:t>
            </w:r>
          </w:p>
        </w:tc>
        <w:tc>
          <w:tcPr>
            <w:tcW w:w="1520" w:type="pct"/>
            <w:shd w:val="clear" w:color="auto" w:fill="auto"/>
            <w:vAlign w:val="center"/>
          </w:tcPr>
          <w:p w14:paraId="30A4E36F" w14:textId="13E04AC7" w:rsidR="00C232D7" w:rsidRPr="00BB759A" w:rsidRDefault="004230F6"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mk-MK"/>
              </w:rPr>
            </w:pPr>
            <w:r w:rsidRPr="00BB759A">
              <w:rPr>
                <w:rFonts w:ascii="Arial" w:hAnsi="Arial" w:cs="Arial"/>
                <w:sz w:val="16"/>
                <w:szCs w:val="20"/>
                <w:lang w:val="mk-MK"/>
              </w:rPr>
              <w:t>2025: 25.513 t/god (</w:t>
            </w:r>
            <w:r w:rsidR="00C232D7" w:rsidRPr="00BB759A">
              <w:rPr>
                <w:rFonts w:ascii="Arial" w:hAnsi="Arial" w:cs="Arial"/>
                <w:sz w:val="16"/>
                <w:szCs w:val="20"/>
                <w:lang w:val="mk-MK"/>
              </w:rPr>
              <w:t>7% ukupnog otpada)</w:t>
            </w:r>
          </w:p>
          <w:p w14:paraId="40B5ECF2" w14:textId="336B8916" w:rsidR="00C232D7" w:rsidRPr="00BB759A" w:rsidRDefault="00B40E88" w:rsidP="006101DB">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sq-AL"/>
              </w:rPr>
            </w:pPr>
            <w:r w:rsidRPr="00BB759A">
              <w:rPr>
                <w:rFonts w:ascii="Arial" w:hAnsi="Arial" w:cs="Arial"/>
                <w:sz w:val="16"/>
                <w:szCs w:val="20"/>
              </w:rPr>
              <w:t>202</w:t>
            </w:r>
            <w:r w:rsidR="006101DB" w:rsidRPr="00BB759A">
              <w:rPr>
                <w:rFonts w:ascii="Arial" w:hAnsi="Arial" w:cs="Arial"/>
                <w:sz w:val="16"/>
                <w:szCs w:val="20"/>
              </w:rPr>
              <w:t>9</w:t>
            </w:r>
            <w:r w:rsidR="004230F6" w:rsidRPr="00BB759A">
              <w:rPr>
                <w:rFonts w:ascii="Arial" w:hAnsi="Arial" w:cs="Arial"/>
                <w:sz w:val="16"/>
                <w:szCs w:val="20"/>
                <w:lang w:val="mk-MK"/>
              </w:rPr>
              <w:t>: 25.334 t/god (</w:t>
            </w:r>
            <w:r w:rsidR="00C232D7" w:rsidRPr="00BB759A">
              <w:rPr>
                <w:rFonts w:ascii="Arial" w:hAnsi="Arial" w:cs="Arial"/>
                <w:sz w:val="16"/>
                <w:szCs w:val="20"/>
                <w:lang w:val="mk-MK"/>
              </w:rPr>
              <w:t>7% ukupnog otpada)</w:t>
            </w:r>
          </w:p>
        </w:tc>
        <w:tc>
          <w:tcPr>
            <w:tcW w:w="757" w:type="pct"/>
            <w:shd w:val="clear" w:color="auto" w:fill="auto"/>
            <w:vAlign w:val="center"/>
          </w:tcPr>
          <w:p w14:paraId="1E4FCEAB" w14:textId="77777777" w:rsidR="00C232D7" w:rsidRPr="00BB759A"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mk-MK"/>
              </w:rPr>
            </w:pPr>
            <w:r w:rsidRPr="00BB759A">
              <w:rPr>
                <w:rFonts w:ascii="Arial" w:hAnsi="Arial" w:cs="Arial"/>
                <w:sz w:val="16"/>
                <w:szCs w:val="20"/>
                <w:lang w:val="mk-MK"/>
              </w:rPr>
              <w:t xml:space="preserve">2025: 100% </w:t>
            </w:r>
          </w:p>
          <w:p w14:paraId="76B825EC" w14:textId="1536DF65"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sq-AL"/>
              </w:rPr>
            </w:pPr>
            <w:r w:rsidRPr="00BB759A">
              <w:rPr>
                <w:rFonts w:ascii="Arial" w:hAnsi="Arial" w:cs="Arial"/>
                <w:sz w:val="16"/>
                <w:szCs w:val="20"/>
              </w:rPr>
              <w:t>2029</w:t>
            </w:r>
            <w:r w:rsidR="00C232D7" w:rsidRPr="00BB759A">
              <w:rPr>
                <w:rFonts w:ascii="Arial" w:hAnsi="Arial" w:cs="Arial"/>
                <w:sz w:val="16"/>
                <w:szCs w:val="20"/>
                <w:lang w:val="mk-MK"/>
              </w:rPr>
              <w:t>: 100%</w:t>
            </w:r>
          </w:p>
        </w:tc>
      </w:tr>
      <w:tr w:rsidR="00C232D7" w:rsidRPr="00C149AB" w14:paraId="7A0E0602"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23" w:type="pct"/>
            <w:shd w:val="clear" w:color="auto" w:fill="auto"/>
          </w:tcPr>
          <w:p w14:paraId="6DCFE66F" w14:textId="77777777" w:rsidR="00C232D7" w:rsidRPr="00BB759A" w:rsidRDefault="00C232D7" w:rsidP="00C232D7">
            <w:pPr>
              <w:pStyle w:val="Normal-10pt-Table"/>
              <w:spacing w:line="360" w:lineRule="auto"/>
              <w:jc w:val="both"/>
              <w:rPr>
                <w:rFonts w:ascii="Arial" w:hAnsi="Arial" w:cs="Arial"/>
                <w:b w:val="0"/>
                <w:bCs w:val="0"/>
                <w:sz w:val="16"/>
                <w:szCs w:val="20"/>
                <w:lang w:val="sq-AL"/>
              </w:rPr>
            </w:pPr>
            <w:r w:rsidRPr="00BB759A">
              <w:rPr>
                <w:rFonts w:ascii="Arial" w:hAnsi="Arial" w:cs="Arial"/>
                <w:sz w:val="16"/>
                <w:szCs w:val="20"/>
                <w:lang w:val="sq-AL"/>
              </w:rPr>
              <w:t>Kućno kompostiranje</w:t>
            </w:r>
          </w:p>
        </w:tc>
        <w:tc>
          <w:tcPr>
            <w:tcW w:w="1500" w:type="pct"/>
            <w:shd w:val="clear" w:color="auto" w:fill="auto"/>
            <w:vAlign w:val="center"/>
          </w:tcPr>
          <w:p w14:paraId="5BC81986" w14:textId="79ABA377" w:rsidR="00C232D7" w:rsidRPr="00BB759A" w:rsidRDefault="008342E2"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mk-MK"/>
              </w:rPr>
            </w:pPr>
            <w:r w:rsidRPr="00BB759A">
              <w:rPr>
                <w:rFonts w:ascii="Arial" w:hAnsi="Arial" w:cs="Arial"/>
                <w:sz w:val="16"/>
                <w:szCs w:val="20"/>
                <w:lang w:val="mk-MK"/>
              </w:rPr>
              <w:t>2025: 5.624 t/god (</w:t>
            </w:r>
            <w:r w:rsidR="00C232D7" w:rsidRPr="00BB759A">
              <w:rPr>
                <w:rFonts w:ascii="Arial" w:hAnsi="Arial" w:cs="Arial"/>
                <w:sz w:val="16"/>
                <w:szCs w:val="20"/>
                <w:lang w:val="mk-MK"/>
              </w:rPr>
              <w:t>1.6% ukupnog otpada)</w:t>
            </w:r>
          </w:p>
          <w:p w14:paraId="2688046B" w14:textId="779F1D58"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vertAlign w:val="superscript"/>
                <w:lang w:val="sq-AL"/>
              </w:rPr>
            </w:pPr>
            <w:r w:rsidRPr="00BB759A">
              <w:rPr>
                <w:rFonts w:ascii="Arial" w:hAnsi="Arial" w:cs="Arial"/>
                <w:sz w:val="16"/>
                <w:szCs w:val="20"/>
              </w:rPr>
              <w:t>2029</w:t>
            </w:r>
            <w:r w:rsidR="008342E2" w:rsidRPr="00BB759A">
              <w:rPr>
                <w:rFonts w:ascii="Arial" w:hAnsi="Arial" w:cs="Arial"/>
                <w:sz w:val="16"/>
                <w:szCs w:val="20"/>
                <w:lang w:val="mk-MK"/>
              </w:rPr>
              <w:t>: 5.584 t/god (</w:t>
            </w:r>
            <w:r w:rsidR="00C232D7" w:rsidRPr="00BB759A">
              <w:rPr>
                <w:rFonts w:ascii="Arial" w:hAnsi="Arial" w:cs="Arial"/>
                <w:sz w:val="16"/>
                <w:szCs w:val="20"/>
                <w:lang w:val="mk-MK"/>
              </w:rPr>
              <w:t>1.6% ukupnog otpada)</w:t>
            </w:r>
          </w:p>
        </w:tc>
        <w:tc>
          <w:tcPr>
            <w:tcW w:w="1520" w:type="pct"/>
            <w:shd w:val="clear" w:color="auto" w:fill="auto"/>
            <w:vAlign w:val="center"/>
          </w:tcPr>
          <w:p w14:paraId="4B1E5570" w14:textId="138F1040" w:rsidR="00C232D7" w:rsidRPr="00BB759A" w:rsidRDefault="008342E2"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mk-MK"/>
              </w:rPr>
            </w:pPr>
            <w:r w:rsidRPr="00BB759A">
              <w:rPr>
                <w:rFonts w:ascii="Arial" w:hAnsi="Arial" w:cs="Arial"/>
                <w:sz w:val="16"/>
                <w:szCs w:val="20"/>
                <w:lang w:val="mk-MK"/>
              </w:rPr>
              <w:t>2025: 5.624 t/god (</w:t>
            </w:r>
            <w:r w:rsidR="00C232D7" w:rsidRPr="00BB759A">
              <w:rPr>
                <w:rFonts w:ascii="Arial" w:hAnsi="Arial" w:cs="Arial"/>
                <w:sz w:val="16"/>
                <w:szCs w:val="20"/>
                <w:lang w:val="mk-MK"/>
              </w:rPr>
              <w:t>1.6% ukupnog otpada)</w:t>
            </w:r>
          </w:p>
          <w:p w14:paraId="65C077FC" w14:textId="08EAC8F7"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sq-AL"/>
              </w:rPr>
            </w:pPr>
            <w:r w:rsidRPr="00BB759A">
              <w:rPr>
                <w:rFonts w:ascii="Arial" w:hAnsi="Arial" w:cs="Arial"/>
                <w:sz w:val="16"/>
                <w:szCs w:val="20"/>
              </w:rPr>
              <w:t>2029</w:t>
            </w:r>
            <w:r w:rsidR="008342E2" w:rsidRPr="00BB759A">
              <w:rPr>
                <w:rFonts w:ascii="Arial" w:hAnsi="Arial" w:cs="Arial"/>
                <w:sz w:val="16"/>
                <w:szCs w:val="20"/>
                <w:lang w:val="mk-MK"/>
              </w:rPr>
              <w:t>: 5.584 t/god (</w:t>
            </w:r>
            <w:r w:rsidR="00C232D7" w:rsidRPr="00BB759A">
              <w:rPr>
                <w:rFonts w:ascii="Arial" w:hAnsi="Arial" w:cs="Arial"/>
                <w:sz w:val="16"/>
                <w:szCs w:val="20"/>
                <w:lang w:val="mk-MK"/>
              </w:rPr>
              <w:t>1.6% ukupnog otpada)</w:t>
            </w:r>
          </w:p>
        </w:tc>
        <w:tc>
          <w:tcPr>
            <w:tcW w:w="757" w:type="pct"/>
            <w:shd w:val="clear" w:color="auto" w:fill="auto"/>
            <w:vAlign w:val="center"/>
          </w:tcPr>
          <w:p w14:paraId="23C7F7A2" w14:textId="77777777" w:rsidR="00C232D7" w:rsidRPr="00BB759A"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mk-MK"/>
              </w:rPr>
            </w:pPr>
            <w:r w:rsidRPr="00BB759A">
              <w:rPr>
                <w:rFonts w:ascii="Arial" w:hAnsi="Arial" w:cs="Arial"/>
                <w:sz w:val="16"/>
                <w:szCs w:val="20"/>
                <w:lang w:val="mk-MK"/>
              </w:rPr>
              <w:t xml:space="preserve">2025: 100% </w:t>
            </w:r>
          </w:p>
          <w:p w14:paraId="4973C9B5" w14:textId="34112270"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sq-AL"/>
              </w:rPr>
            </w:pPr>
            <w:r w:rsidRPr="00BB759A">
              <w:rPr>
                <w:rFonts w:ascii="Arial" w:hAnsi="Arial" w:cs="Arial"/>
                <w:sz w:val="16"/>
                <w:szCs w:val="20"/>
              </w:rPr>
              <w:t>2029</w:t>
            </w:r>
            <w:r w:rsidR="00C232D7" w:rsidRPr="00BB759A">
              <w:rPr>
                <w:rFonts w:ascii="Arial" w:hAnsi="Arial" w:cs="Arial"/>
                <w:sz w:val="16"/>
                <w:szCs w:val="20"/>
                <w:lang w:val="mk-MK"/>
              </w:rPr>
              <w:t>: 100%</w:t>
            </w:r>
          </w:p>
        </w:tc>
      </w:tr>
      <w:tr w:rsidR="00C232D7" w:rsidRPr="00C149AB" w14:paraId="5181C028"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23" w:type="pct"/>
            <w:shd w:val="clear" w:color="auto" w:fill="auto"/>
            <w:vAlign w:val="center"/>
          </w:tcPr>
          <w:p w14:paraId="07097217" w14:textId="77777777" w:rsidR="00C232D7" w:rsidRPr="00BB759A" w:rsidRDefault="00C232D7" w:rsidP="00C232D7">
            <w:pPr>
              <w:pStyle w:val="Normal-10pt-Table"/>
              <w:spacing w:line="360" w:lineRule="auto"/>
              <w:jc w:val="both"/>
              <w:rPr>
                <w:rFonts w:ascii="Arial" w:hAnsi="Arial" w:cs="Arial"/>
                <w:b w:val="0"/>
                <w:bCs w:val="0"/>
                <w:sz w:val="16"/>
                <w:szCs w:val="20"/>
                <w:lang w:val="sq-AL"/>
              </w:rPr>
            </w:pPr>
            <w:r w:rsidRPr="00BB759A">
              <w:rPr>
                <w:rFonts w:ascii="Arial" w:hAnsi="Arial" w:cs="Arial"/>
                <w:sz w:val="16"/>
                <w:szCs w:val="20"/>
                <w:lang w:val="sq-AL"/>
              </w:rPr>
              <w:t>Ukupno odvojeno sakupljanje otpada</w:t>
            </w:r>
          </w:p>
        </w:tc>
        <w:tc>
          <w:tcPr>
            <w:tcW w:w="1500" w:type="pct"/>
            <w:shd w:val="clear" w:color="auto" w:fill="auto"/>
            <w:vAlign w:val="center"/>
          </w:tcPr>
          <w:p w14:paraId="106A9D79" w14:textId="412E441F" w:rsidR="00C232D7" w:rsidRPr="00BB759A" w:rsidRDefault="008342E2"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mk-MK"/>
              </w:rPr>
            </w:pPr>
            <w:r w:rsidRPr="00BB759A">
              <w:rPr>
                <w:rFonts w:ascii="Arial" w:hAnsi="Arial" w:cs="Arial"/>
                <w:sz w:val="16"/>
                <w:szCs w:val="20"/>
                <w:lang w:val="mk-MK"/>
              </w:rPr>
              <w:t>2025: 53.467 t/god (</w:t>
            </w:r>
            <w:r w:rsidR="00C232D7" w:rsidRPr="00BB759A">
              <w:rPr>
                <w:rFonts w:ascii="Arial" w:hAnsi="Arial" w:cs="Arial"/>
                <w:sz w:val="16"/>
                <w:szCs w:val="20"/>
                <w:lang w:val="mk-MK"/>
              </w:rPr>
              <w:t>15.0% ukupnog otpada)</w:t>
            </w:r>
          </w:p>
          <w:p w14:paraId="6527D883" w14:textId="26039F6F"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sq-AL"/>
              </w:rPr>
            </w:pPr>
            <w:r w:rsidRPr="00BB759A">
              <w:rPr>
                <w:rFonts w:ascii="Arial" w:hAnsi="Arial" w:cs="Arial"/>
                <w:sz w:val="16"/>
                <w:szCs w:val="20"/>
              </w:rPr>
              <w:t>2029</w:t>
            </w:r>
            <w:r w:rsidR="008342E2" w:rsidRPr="00BB759A">
              <w:rPr>
                <w:rFonts w:ascii="Arial" w:hAnsi="Arial" w:cs="Arial"/>
                <w:sz w:val="16"/>
                <w:szCs w:val="20"/>
                <w:lang w:val="mk-MK"/>
              </w:rPr>
              <w:t>: 75.691 t/god (</w:t>
            </w:r>
            <w:r w:rsidR="00C232D7" w:rsidRPr="00BB759A">
              <w:rPr>
                <w:rFonts w:ascii="Arial" w:hAnsi="Arial" w:cs="Arial"/>
                <w:sz w:val="16"/>
                <w:szCs w:val="20"/>
                <w:lang w:val="mk-MK"/>
              </w:rPr>
              <w:t>21.0% ukupnog otpada)</w:t>
            </w:r>
          </w:p>
        </w:tc>
        <w:tc>
          <w:tcPr>
            <w:tcW w:w="1520" w:type="pct"/>
            <w:shd w:val="clear" w:color="auto" w:fill="auto"/>
            <w:vAlign w:val="center"/>
          </w:tcPr>
          <w:p w14:paraId="44AA0436" w14:textId="3E000AEE" w:rsidR="00C232D7" w:rsidRPr="00BB759A" w:rsidRDefault="008342E2"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mk-MK"/>
              </w:rPr>
            </w:pPr>
            <w:r w:rsidRPr="00BB759A">
              <w:rPr>
                <w:rFonts w:ascii="Arial" w:hAnsi="Arial" w:cs="Arial"/>
                <w:sz w:val="16"/>
                <w:szCs w:val="20"/>
                <w:lang w:val="mk-MK"/>
              </w:rPr>
              <w:t>2025: 68.152 t/god (</w:t>
            </w:r>
            <w:r w:rsidR="00C232D7" w:rsidRPr="00BB759A">
              <w:rPr>
                <w:rFonts w:ascii="Arial" w:hAnsi="Arial" w:cs="Arial"/>
                <w:sz w:val="16"/>
                <w:szCs w:val="20"/>
                <w:lang w:val="mk-MK"/>
              </w:rPr>
              <w:t>19% ukupnog otpada)</w:t>
            </w:r>
          </w:p>
          <w:p w14:paraId="497077AA" w14:textId="59A1AB4E"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sq-AL"/>
              </w:rPr>
            </w:pPr>
            <w:r w:rsidRPr="00BB759A">
              <w:rPr>
                <w:rFonts w:ascii="Arial" w:hAnsi="Arial" w:cs="Arial"/>
                <w:sz w:val="16"/>
                <w:szCs w:val="20"/>
              </w:rPr>
              <w:t>2029</w:t>
            </w:r>
            <w:r w:rsidR="00C232D7" w:rsidRPr="00BB759A">
              <w:rPr>
                <w:rFonts w:ascii="Arial" w:hAnsi="Arial" w:cs="Arial"/>
                <w:sz w:val="16"/>
                <w:szCs w:val="20"/>
                <w:lang w:val="mk-MK"/>
              </w:rPr>
              <w:t>: 91.953 t</w:t>
            </w:r>
            <w:r w:rsidR="008342E2" w:rsidRPr="00BB759A">
              <w:rPr>
                <w:rFonts w:ascii="Arial" w:hAnsi="Arial" w:cs="Arial"/>
                <w:sz w:val="16"/>
                <w:szCs w:val="20"/>
                <w:lang w:val="mk-MK"/>
              </w:rPr>
              <w:t>/god (</w:t>
            </w:r>
            <w:r w:rsidR="00C232D7" w:rsidRPr="00BB759A">
              <w:rPr>
                <w:rFonts w:ascii="Arial" w:hAnsi="Arial" w:cs="Arial"/>
                <w:sz w:val="16"/>
                <w:szCs w:val="20"/>
                <w:lang w:val="mk-MK"/>
              </w:rPr>
              <w:t>26% ukupnog otpada)</w:t>
            </w:r>
          </w:p>
        </w:tc>
        <w:tc>
          <w:tcPr>
            <w:tcW w:w="757" w:type="pct"/>
            <w:shd w:val="clear" w:color="auto" w:fill="auto"/>
            <w:vAlign w:val="center"/>
          </w:tcPr>
          <w:p w14:paraId="7AAB8BBF" w14:textId="77777777" w:rsidR="00C232D7" w:rsidRPr="00BB759A"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mk-MK"/>
              </w:rPr>
            </w:pPr>
            <w:r w:rsidRPr="00BB759A">
              <w:rPr>
                <w:rFonts w:ascii="Arial" w:hAnsi="Arial" w:cs="Arial"/>
                <w:sz w:val="16"/>
                <w:szCs w:val="20"/>
                <w:lang w:val="mk-MK"/>
              </w:rPr>
              <w:t xml:space="preserve">2025: 100% </w:t>
            </w:r>
          </w:p>
          <w:p w14:paraId="221D1A2C" w14:textId="3E161AA9"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20"/>
                <w:lang w:val="sq-AL"/>
              </w:rPr>
            </w:pPr>
            <w:r w:rsidRPr="00BB759A">
              <w:rPr>
                <w:rFonts w:ascii="Arial" w:hAnsi="Arial" w:cs="Arial"/>
                <w:sz w:val="16"/>
                <w:szCs w:val="20"/>
              </w:rPr>
              <w:t>2029</w:t>
            </w:r>
            <w:r w:rsidR="00C232D7" w:rsidRPr="00BB759A">
              <w:rPr>
                <w:rFonts w:ascii="Arial" w:hAnsi="Arial" w:cs="Arial"/>
                <w:sz w:val="16"/>
                <w:szCs w:val="20"/>
                <w:lang w:val="mk-MK"/>
              </w:rPr>
              <w:t>: 100%</w:t>
            </w:r>
          </w:p>
        </w:tc>
      </w:tr>
    </w:tbl>
    <w:p w14:paraId="46DB9F30"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Kao što je prikazano u gornjoj tabeli, opcija IV predstavlja nedostatke u ciljevima koji se odnose na  odvojeno sakupljanje otpada.</w:t>
      </w:r>
    </w:p>
    <w:p w14:paraId="7276D5C4" w14:textId="684C8521" w:rsidR="00C232D7" w:rsidRPr="002A6F4E" w:rsidRDefault="00C232D7" w:rsidP="00C232D7">
      <w:pPr>
        <w:shd w:val="clear" w:color="auto" w:fill="D9D9D9" w:themeFill="background1" w:themeFillShade="D9"/>
        <w:spacing w:before="120" w:after="120" w:line="360" w:lineRule="auto"/>
        <w:rPr>
          <w:rFonts w:ascii="Arial" w:hAnsi="Arial" w:cs="Arial"/>
          <w:b/>
          <w:i/>
          <w:lang w:val="sq-AL"/>
        </w:rPr>
      </w:pPr>
      <w:r w:rsidRPr="002A6F4E">
        <w:rPr>
          <w:rFonts w:ascii="Arial" w:hAnsi="Arial" w:cs="Arial"/>
          <w:b/>
          <w:i/>
          <w:lang w:val="sq-AL"/>
        </w:rPr>
        <w:t>Opcija V: Sistem koji obuhvata odvojeno sakupljanje m</w:t>
      </w:r>
      <w:r w:rsidR="004D3247" w:rsidRPr="002A6F4E">
        <w:rPr>
          <w:rFonts w:ascii="Arial" w:hAnsi="Arial" w:cs="Arial"/>
          <w:b/>
          <w:i/>
          <w:lang w:val="sq-AL"/>
        </w:rPr>
        <w:t>i</w:t>
      </w:r>
      <w:r w:rsidRPr="002A6F4E">
        <w:rPr>
          <w:rFonts w:ascii="Arial" w:hAnsi="Arial" w:cs="Arial"/>
          <w:b/>
          <w:i/>
          <w:lang w:val="sq-AL"/>
        </w:rPr>
        <w:t xml:space="preserve">ješanog otpada koji se može reciklirati, biorazgradivog otpada i rezidualnog otpada prema sistemu dovoza otpada u urbanim sredinama i sistema </w:t>
      </w:r>
      <w:r w:rsidR="001E6E02">
        <w:rPr>
          <w:rFonts w:ascii="Arial" w:hAnsi="Arial" w:cs="Arial"/>
          <w:b/>
          <w:i/>
          <w:lang w:val="sq-AL"/>
        </w:rPr>
        <w:t>“</w:t>
      </w:r>
      <w:r w:rsidRPr="002A6F4E">
        <w:rPr>
          <w:rFonts w:ascii="Arial" w:hAnsi="Arial" w:cs="Arial"/>
          <w:b/>
          <w:i/>
          <w:lang w:val="sq-AL"/>
        </w:rPr>
        <w:t>od vrata do vrata</w:t>
      </w:r>
      <w:r w:rsidR="001E6E02">
        <w:rPr>
          <w:rFonts w:ascii="Arial" w:hAnsi="Arial" w:cs="Arial"/>
          <w:b/>
          <w:i/>
          <w:lang w:val="sq-AL"/>
        </w:rPr>
        <w:t>”</w:t>
      </w:r>
      <w:r w:rsidRPr="002A6F4E">
        <w:rPr>
          <w:rFonts w:ascii="Arial" w:hAnsi="Arial" w:cs="Arial"/>
          <w:b/>
          <w:i/>
          <w:lang w:val="sq-AL"/>
        </w:rPr>
        <w:t xml:space="preserve"> u ruralnim područjima</w:t>
      </w:r>
      <w:r w:rsidR="001E6E02">
        <w:rPr>
          <w:rFonts w:ascii="Arial" w:hAnsi="Arial" w:cs="Arial"/>
          <w:b/>
          <w:i/>
          <w:lang w:val="sq-AL"/>
        </w:rPr>
        <w:t>,</w:t>
      </w:r>
      <w:r w:rsidRPr="002A6F4E">
        <w:rPr>
          <w:rFonts w:ascii="Arial" w:hAnsi="Arial" w:cs="Arial"/>
          <w:b/>
          <w:i/>
          <w:lang w:val="sq-AL"/>
        </w:rPr>
        <w:t xml:space="preserve"> kao i u pojedinačnim stanovima u urbanim sredinama</w:t>
      </w:r>
    </w:p>
    <w:p w14:paraId="53F3BE88" w14:textId="77777777" w:rsidR="00C232D7" w:rsidRPr="002A6F4E" w:rsidRDefault="00C232D7" w:rsidP="00C232D7">
      <w:pPr>
        <w:spacing w:before="120" w:after="120" w:line="360" w:lineRule="auto"/>
        <w:rPr>
          <w:rFonts w:ascii="Arial" w:hAnsi="Arial" w:cs="Arial"/>
          <w:color w:val="000000"/>
          <w:lang w:val="sq-AL"/>
        </w:rPr>
      </w:pPr>
      <w:r w:rsidRPr="002A6F4E">
        <w:rPr>
          <w:rFonts w:ascii="Arial" w:hAnsi="Arial" w:cs="Arial"/>
          <w:color w:val="000000"/>
          <w:lang w:val="sq-AL"/>
        </w:rPr>
        <w:t>Opcija V se sastoji od sljedećih elemenata:</w:t>
      </w:r>
    </w:p>
    <w:p w14:paraId="48E14AD6" w14:textId="6561C6A1"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Proširenje sistema sakupljanja otpada kako bi se obuhvatilo stanovništvo Crne Gore;</w:t>
      </w:r>
    </w:p>
    <w:p w14:paraId="0600CF02" w14:textId="5A9C38B3" w:rsidR="00C232D7" w:rsidRPr="002A6F4E" w:rsidRDefault="00907312" w:rsidP="00A23ED0">
      <w:pPr>
        <w:pStyle w:val="ListParagraph"/>
        <w:numPr>
          <w:ilvl w:val="0"/>
          <w:numId w:val="42"/>
        </w:numPr>
        <w:spacing w:before="120" w:after="120" w:line="360" w:lineRule="auto"/>
        <w:contextualSpacing w:val="0"/>
        <w:rPr>
          <w:rFonts w:ascii="Arial" w:hAnsi="Arial" w:cs="Arial"/>
          <w:color w:val="000000"/>
          <w:lang w:val="sq-AL"/>
        </w:rPr>
      </w:pPr>
      <w:r>
        <w:rPr>
          <w:rFonts w:ascii="Arial" w:hAnsi="Arial" w:cs="Arial"/>
          <w:color w:val="000000"/>
          <w:lang w:val="sq-AL"/>
        </w:rPr>
        <w:t>M</w:t>
      </w:r>
      <w:r w:rsidR="00C232D7" w:rsidRPr="002A6F4E">
        <w:rPr>
          <w:rFonts w:ascii="Arial" w:hAnsi="Arial" w:cs="Arial"/>
          <w:color w:val="000000"/>
          <w:lang w:val="sq-AL"/>
        </w:rPr>
        <w:t xml:space="preserve">iješani otpad koji se može reciklirati sakuplja se u kontejnere zapremine 1,1 </w:t>
      </w:r>
      <w:r w:rsidR="00C232D7" w:rsidRPr="002A6F4E">
        <w:rPr>
          <w:rFonts w:ascii="Arial" w:hAnsi="Arial" w:cs="Arial"/>
          <w:lang w:val="sq-AL"/>
        </w:rPr>
        <w:t>m</w:t>
      </w:r>
      <w:r w:rsidR="00C232D7" w:rsidRPr="002A6F4E">
        <w:rPr>
          <w:rFonts w:ascii="Arial" w:hAnsi="Arial" w:cs="Arial"/>
          <w:vertAlign w:val="superscript"/>
          <w:lang w:val="sq-AL"/>
        </w:rPr>
        <w:t>3</w:t>
      </w:r>
      <w:r w:rsidR="001E6E02">
        <w:rPr>
          <w:rFonts w:ascii="Arial" w:hAnsi="Arial" w:cs="Arial"/>
          <w:lang w:val="sq-AL"/>
        </w:rPr>
        <w:t>,</w:t>
      </w:r>
      <w:r w:rsidR="00C232D7" w:rsidRPr="002A6F4E">
        <w:rPr>
          <w:rFonts w:ascii="Arial" w:hAnsi="Arial" w:cs="Arial"/>
          <w:vertAlign w:val="superscript"/>
          <w:lang w:val="sq-AL"/>
        </w:rPr>
        <w:t xml:space="preserve"> </w:t>
      </w:r>
      <w:r w:rsidR="00C232D7" w:rsidRPr="002A6F4E">
        <w:rPr>
          <w:rFonts w:ascii="Arial" w:hAnsi="Arial" w:cs="Arial"/>
          <w:color w:val="000000"/>
          <w:lang w:val="sq-AL"/>
        </w:rPr>
        <w:t>a zatim se odvozi u postojeća i nova MRF postrojenja koja će se uspostaviti (vidjeti sljedeća poglavlja);</w:t>
      </w:r>
    </w:p>
    <w:p w14:paraId="68123C57" w14:textId="17A1CB86" w:rsidR="00C232D7" w:rsidRPr="002A6F4E" w:rsidRDefault="00907312" w:rsidP="00A23ED0">
      <w:pPr>
        <w:pStyle w:val="ListParagraph"/>
        <w:numPr>
          <w:ilvl w:val="0"/>
          <w:numId w:val="42"/>
        </w:numPr>
        <w:spacing w:before="120" w:after="120" w:line="360" w:lineRule="auto"/>
        <w:contextualSpacing w:val="0"/>
        <w:rPr>
          <w:rFonts w:ascii="Arial" w:hAnsi="Arial" w:cs="Arial"/>
          <w:lang w:val="sq-AL"/>
        </w:rPr>
      </w:pPr>
      <w:r>
        <w:rPr>
          <w:rFonts w:ascii="Arial" w:hAnsi="Arial" w:cs="Arial"/>
          <w:color w:val="000000"/>
          <w:lang w:val="sq-AL"/>
        </w:rPr>
        <w:t>M</w:t>
      </w:r>
      <w:r w:rsidR="00C232D7" w:rsidRPr="002A6F4E">
        <w:rPr>
          <w:rFonts w:ascii="Arial" w:hAnsi="Arial" w:cs="Arial"/>
          <w:color w:val="000000"/>
          <w:lang w:val="sq-AL"/>
        </w:rPr>
        <w:t xml:space="preserve">iješani otpad koji se može reciklirati </w:t>
      </w:r>
      <w:r w:rsidR="00C232D7" w:rsidRPr="002A6F4E">
        <w:rPr>
          <w:rFonts w:ascii="Arial" w:hAnsi="Arial" w:cs="Arial"/>
          <w:lang w:val="sq-AL"/>
        </w:rPr>
        <w:t xml:space="preserve">u ruralnim sredinama i pojedinačnim stanovima u urbanim sredinama, kao i velikim proizvođačima (npr. supermarketi, tržni centri, itd) </w:t>
      </w:r>
      <w:r w:rsidR="00C232D7" w:rsidRPr="002A6F4E">
        <w:rPr>
          <w:rFonts w:ascii="Arial" w:hAnsi="Arial" w:cs="Arial"/>
          <w:color w:val="000000"/>
          <w:lang w:val="sq-AL"/>
        </w:rPr>
        <w:t>sakuplja</w:t>
      </w:r>
      <w:r w:rsidR="00C232D7" w:rsidRPr="002A6F4E">
        <w:rPr>
          <w:rFonts w:ascii="Arial" w:hAnsi="Arial" w:cs="Arial"/>
          <w:lang w:val="sq-AL"/>
        </w:rPr>
        <w:t xml:space="preserve"> se </w:t>
      </w:r>
      <w:r w:rsidR="001E6E02">
        <w:rPr>
          <w:rFonts w:ascii="Arial" w:hAnsi="Arial" w:cs="Arial"/>
          <w:lang w:val="sq-AL"/>
        </w:rPr>
        <w:t>po sistemu “</w:t>
      </w:r>
      <w:r w:rsidR="00C232D7" w:rsidRPr="002A6F4E">
        <w:rPr>
          <w:rFonts w:ascii="Arial" w:hAnsi="Arial" w:cs="Arial"/>
          <w:lang w:val="sq-AL"/>
        </w:rPr>
        <w:t xml:space="preserve">od vrata do vrata </w:t>
      </w:r>
      <w:r w:rsidR="005C4A0C">
        <w:rPr>
          <w:rFonts w:ascii="Arial" w:hAnsi="Arial" w:cs="Arial"/>
          <w:lang w:val="sq-AL"/>
        </w:rPr>
        <w:t>posuda</w:t>
      </w:r>
      <w:r w:rsidR="00C232D7" w:rsidRPr="002A6F4E">
        <w:rPr>
          <w:rFonts w:ascii="Arial" w:hAnsi="Arial" w:cs="Arial"/>
          <w:lang w:val="sq-AL"/>
        </w:rPr>
        <w:t xml:space="preserve">ma zapremine 120 / 240 l, a zatim se proslijeđuje u postojeće i nove MRF koji </w:t>
      </w:r>
      <w:r w:rsidR="00C232D7" w:rsidRPr="002A6F4E">
        <w:rPr>
          <w:rFonts w:ascii="Arial" w:hAnsi="Arial" w:cs="Arial"/>
          <w:color w:val="000000"/>
          <w:lang w:val="sq-AL"/>
        </w:rPr>
        <w:t>koja će se uspostaviti (vidjeti sljedeća poglavlja );</w:t>
      </w:r>
    </w:p>
    <w:p w14:paraId="1EA1D3C9" w14:textId="4B8144F5"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lang w:val="sq-AL"/>
        </w:rPr>
        <w:lastRenderedPageBreak/>
        <w:t xml:space="preserve">Odvojeno sakupljanje drveta će biti odgovornost proizvođača/trgovaca i transportovati </w:t>
      </w:r>
      <w:r w:rsidR="001E6E02">
        <w:rPr>
          <w:rFonts w:ascii="Arial" w:hAnsi="Arial" w:cs="Arial"/>
          <w:lang w:val="sq-AL"/>
        </w:rPr>
        <w:t xml:space="preserve">će se </w:t>
      </w:r>
      <w:r w:rsidRPr="002A6F4E">
        <w:rPr>
          <w:rFonts w:ascii="Arial" w:hAnsi="Arial" w:cs="Arial"/>
          <w:lang w:val="sq-AL"/>
        </w:rPr>
        <w:t>do reciklera preko predloženih Centara za sakupljanje otpada;</w:t>
      </w:r>
    </w:p>
    <w:p w14:paraId="41469B5D" w14:textId="4E320242" w:rsidR="00C232D7" w:rsidRPr="002A6F4E" w:rsidRDefault="00C232D7" w:rsidP="00A23ED0">
      <w:pPr>
        <w:pStyle w:val="ListParagraph"/>
        <w:numPr>
          <w:ilvl w:val="0"/>
          <w:numId w:val="42"/>
        </w:numPr>
        <w:spacing w:before="120" w:after="120" w:line="360" w:lineRule="auto"/>
        <w:contextualSpacing w:val="0"/>
        <w:rPr>
          <w:rFonts w:ascii="Arial" w:hAnsi="Arial" w:cs="Arial"/>
          <w:lang w:val="sq-AL"/>
        </w:rPr>
      </w:pPr>
      <w:r w:rsidRPr="002A6F4E">
        <w:rPr>
          <w:rFonts w:ascii="Arial" w:hAnsi="Arial" w:cs="Arial"/>
          <w:lang w:val="sq-AL"/>
        </w:rPr>
        <w:t>Biootpad (otpad iz kuhinje, pijaca i sl. bez zelenog otpada) u urbanim sredinama sakuplja se u kontejnere zapremine od 1,1 m</w:t>
      </w:r>
      <w:r w:rsidRPr="002A6F4E">
        <w:rPr>
          <w:rFonts w:ascii="Arial" w:hAnsi="Arial" w:cs="Arial"/>
          <w:vertAlign w:val="superscript"/>
          <w:lang w:val="sq-AL"/>
        </w:rPr>
        <w:t>3</w:t>
      </w:r>
      <w:r w:rsidRPr="002A6F4E">
        <w:rPr>
          <w:rFonts w:ascii="Arial" w:hAnsi="Arial" w:cs="Arial"/>
          <w:lang w:val="sq-AL"/>
        </w:rPr>
        <w:t xml:space="preserve">, a zatim se prosleđuje postojećim i novim postrojenjima za kompostiranje koja će se </w:t>
      </w:r>
      <w:r w:rsidR="001E6E02">
        <w:rPr>
          <w:rFonts w:ascii="Arial" w:hAnsi="Arial" w:cs="Arial"/>
          <w:lang w:val="sq-AL"/>
        </w:rPr>
        <w:t xml:space="preserve">izgraditi </w:t>
      </w:r>
      <w:r w:rsidRPr="002A6F4E">
        <w:rPr>
          <w:rFonts w:ascii="Arial" w:hAnsi="Arial" w:cs="Arial"/>
          <w:color w:val="000000"/>
          <w:lang w:val="sq-AL"/>
        </w:rPr>
        <w:t>(vidjeti sljedeća poglavlja);</w:t>
      </w:r>
    </w:p>
    <w:p w14:paraId="4CC3145A" w14:textId="6F031561"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lang w:val="sq-AL"/>
        </w:rPr>
        <w:t xml:space="preserve">Biootpad (otpad iz kuhinja, pijaca, itd. bez zelenog otpada) u ruralnim područjima i pojedinačnim stanovima u urbanim sredinama, kao i velikim proizvođačima (npr. restorani, javne pijace, itd) </w:t>
      </w:r>
      <w:r w:rsidR="001E6E02">
        <w:rPr>
          <w:rFonts w:ascii="Arial" w:hAnsi="Arial" w:cs="Arial"/>
          <w:lang w:val="sq-AL"/>
        </w:rPr>
        <w:t>sa</w:t>
      </w:r>
      <w:r w:rsidRPr="002A6F4E">
        <w:rPr>
          <w:rFonts w:ascii="Arial" w:hAnsi="Arial" w:cs="Arial"/>
          <w:lang w:val="sq-AL"/>
        </w:rPr>
        <w:t xml:space="preserve">kuplja se </w:t>
      </w:r>
      <w:r w:rsidR="001E6E02">
        <w:rPr>
          <w:rFonts w:ascii="Arial" w:hAnsi="Arial" w:cs="Arial"/>
          <w:lang w:val="sq-AL"/>
        </w:rPr>
        <w:t>“</w:t>
      </w:r>
      <w:r w:rsidRPr="002A6F4E">
        <w:rPr>
          <w:rFonts w:ascii="Arial" w:hAnsi="Arial" w:cs="Arial"/>
          <w:lang w:val="sq-AL"/>
        </w:rPr>
        <w:t xml:space="preserve">od vrata do vrata </w:t>
      </w:r>
      <w:r w:rsidR="005C4A0C">
        <w:rPr>
          <w:rFonts w:ascii="Arial" w:hAnsi="Arial" w:cs="Arial"/>
          <w:lang w:val="sq-AL"/>
        </w:rPr>
        <w:t>posuda</w:t>
      </w:r>
      <w:r w:rsidRPr="002A6F4E">
        <w:rPr>
          <w:rFonts w:ascii="Arial" w:hAnsi="Arial" w:cs="Arial"/>
          <w:lang w:val="sq-AL"/>
        </w:rPr>
        <w:t xml:space="preserve">ma zapremine 120/240 l, a zatim se proslijeđuje u postojeća i nova postrojenje za kompostiranje </w:t>
      </w:r>
      <w:r w:rsidRPr="002A6F4E">
        <w:rPr>
          <w:rFonts w:ascii="Arial" w:hAnsi="Arial" w:cs="Arial"/>
          <w:color w:val="000000"/>
          <w:lang w:val="sq-AL"/>
        </w:rPr>
        <w:t xml:space="preserve">koja će se </w:t>
      </w:r>
      <w:r w:rsidR="001E6E02">
        <w:rPr>
          <w:rFonts w:ascii="Arial" w:hAnsi="Arial" w:cs="Arial"/>
          <w:color w:val="000000"/>
          <w:lang w:val="sq-AL"/>
        </w:rPr>
        <w:t>izgraditi</w:t>
      </w:r>
      <w:r w:rsidR="001E6E02" w:rsidRPr="002A6F4E">
        <w:rPr>
          <w:rFonts w:ascii="Arial" w:hAnsi="Arial" w:cs="Arial"/>
          <w:color w:val="000000"/>
          <w:lang w:val="sq-AL"/>
        </w:rPr>
        <w:t xml:space="preserve"> </w:t>
      </w:r>
      <w:r w:rsidRPr="002A6F4E">
        <w:rPr>
          <w:rFonts w:ascii="Arial" w:hAnsi="Arial" w:cs="Arial"/>
          <w:color w:val="000000"/>
          <w:lang w:val="sq-AL"/>
        </w:rPr>
        <w:t>(vidjeti sljedeća poglavlja);</w:t>
      </w:r>
    </w:p>
    <w:p w14:paraId="72F0AB2A" w14:textId="25EAFC98"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Zeleni otpad se sakuplja u većim količinama, korišćenjem otvorenih kipera zapremine </w:t>
      </w:r>
      <w:r w:rsidRPr="002A6F4E">
        <w:rPr>
          <w:rFonts w:ascii="Arial" w:hAnsi="Arial" w:cs="Arial"/>
          <w:lang w:val="sq-AL"/>
        </w:rPr>
        <w:t>6m</w:t>
      </w:r>
      <w:r w:rsidRPr="002A6F4E">
        <w:rPr>
          <w:rFonts w:ascii="Arial" w:hAnsi="Arial" w:cs="Arial"/>
          <w:vertAlign w:val="superscript"/>
          <w:lang w:val="sq-AL"/>
        </w:rPr>
        <w:t>3</w:t>
      </w:r>
      <w:r w:rsidR="001E6E02">
        <w:rPr>
          <w:rFonts w:ascii="Arial" w:hAnsi="Arial" w:cs="Arial"/>
          <w:lang w:val="sq-AL"/>
        </w:rPr>
        <w:t>,</w:t>
      </w:r>
      <w:r w:rsidRPr="002A6F4E">
        <w:rPr>
          <w:rFonts w:ascii="Arial" w:hAnsi="Arial" w:cs="Arial"/>
          <w:lang w:val="sq-AL"/>
        </w:rPr>
        <w:t xml:space="preserve"> </w:t>
      </w:r>
      <w:r w:rsidRPr="002A6F4E">
        <w:rPr>
          <w:rFonts w:ascii="Arial" w:hAnsi="Arial" w:cs="Arial"/>
          <w:color w:val="000000"/>
          <w:lang w:val="sq-AL"/>
        </w:rPr>
        <w:t>a zatim se odvozi u postojeća i nova postrojenja za kompostiranje koja će se uspostaviti (vidjeti sljedeća poglavlja);</w:t>
      </w:r>
    </w:p>
    <w:p w14:paraId="15E36EBC" w14:textId="40060FC8"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Rezidualni otpad se sakuplja u sistemu za dovoz otpada u urbanim sredinama i</w:t>
      </w:r>
      <w:r w:rsidR="00557F9C">
        <w:rPr>
          <w:rFonts w:ascii="Arial" w:hAnsi="Arial" w:cs="Arial"/>
          <w:color w:val="000000"/>
          <w:lang w:val="sq-AL"/>
        </w:rPr>
        <w:t xml:space="preserve"> po</w:t>
      </w:r>
      <w:r w:rsidRPr="002A6F4E">
        <w:rPr>
          <w:rFonts w:ascii="Arial" w:hAnsi="Arial" w:cs="Arial"/>
          <w:color w:val="000000"/>
          <w:lang w:val="sq-AL"/>
        </w:rPr>
        <w:t xml:space="preserve"> sistemu </w:t>
      </w:r>
      <w:r w:rsidR="00557F9C">
        <w:rPr>
          <w:rFonts w:ascii="Arial" w:hAnsi="Arial" w:cs="Arial"/>
          <w:color w:val="000000"/>
          <w:lang w:val="sq-AL"/>
        </w:rPr>
        <w:t>“</w:t>
      </w:r>
      <w:r w:rsidRPr="002A6F4E">
        <w:rPr>
          <w:rFonts w:ascii="Arial" w:hAnsi="Arial" w:cs="Arial"/>
          <w:color w:val="000000"/>
          <w:lang w:val="sq-AL"/>
        </w:rPr>
        <w:t>od vrata do vrata</w:t>
      </w:r>
      <w:r w:rsidR="00557F9C">
        <w:rPr>
          <w:rFonts w:ascii="Arial" w:hAnsi="Arial" w:cs="Arial"/>
          <w:color w:val="000000"/>
          <w:lang w:val="sq-AL"/>
        </w:rPr>
        <w:t>”</w:t>
      </w:r>
      <w:r w:rsidRPr="002A6F4E">
        <w:rPr>
          <w:rFonts w:ascii="Arial" w:hAnsi="Arial" w:cs="Arial"/>
          <w:color w:val="000000"/>
          <w:lang w:val="sq-AL"/>
        </w:rPr>
        <w:t xml:space="preserve"> u ruralnim područjima i pojedinačnim stanovima u urbanim sredinama;</w:t>
      </w:r>
    </w:p>
    <w:p w14:paraId="7CCC4479" w14:textId="77777777" w:rsidR="00846F94" w:rsidRPr="00846F94"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846F94">
        <w:rPr>
          <w:rFonts w:ascii="Arial" w:hAnsi="Arial" w:cs="Arial"/>
          <w:color w:val="000000"/>
          <w:lang w:val="sq-AL"/>
        </w:rPr>
        <w:t>Otpad će se odlagati na postojeće i nove deponije koje će se izgraditi (vidjeti sljedeća poglavlja izvještaja).</w:t>
      </w:r>
      <w:bookmarkStart w:id="1055" w:name="_Hlk189761927"/>
    </w:p>
    <w:bookmarkEnd w:id="1055"/>
    <w:p w14:paraId="5B44AD52" w14:textId="0867B3E7" w:rsidR="002A529B" w:rsidRDefault="00C232D7" w:rsidP="00D33BB9">
      <w:pPr>
        <w:spacing w:before="120" w:after="120" w:line="360" w:lineRule="auto"/>
        <w:rPr>
          <w:rFonts w:ascii="Arial" w:hAnsi="Arial" w:cs="Arial"/>
          <w:lang w:val="sq-AL"/>
        </w:rPr>
      </w:pPr>
      <w:r w:rsidRPr="002A6F4E">
        <w:rPr>
          <w:rFonts w:ascii="Arial" w:hAnsi="Arial" w:cs="Arial"/>
          <w:lang w:val="sq-AL"/>
        </w:rPr>
        <w:t xml:space="preserve">U tabelama u nastavku sumirane su  indikativne dodatne potrebe za opremom za sakupljanje otpada na nivou zemlje. Napominje se da se tačan broj potrebnih </w:t>
      </w:r>
      <w:r w:rsidR="007B1545">
        <w:rPr>
          <w:rFonts w:ascii="Arial" w:hAnsi="Arial" w:cs="Arial"/>
          <w:lang w:val="sq-AL"/>
        </w:rPr>
        <w:t>posuda</w:t>
      </w:r>
      <w:r w:rsidRPr="002A6F4E">
        <w:rPr>
          <w:rFonts w:ascii="Arial" w:hAnsi="Arial" w:cs="Arial"/>
          <w:lang w:val="sq-AL"/>
        </w:rPr>
        <w:t xml:space="preserve">, kontejnera i vozila odnosi na sistem sakupljanja otpada i raspored koji će se sprovoditi, kao i za potrebe zamjene postojećih </w:t>
      </w:r>
      <w:r w:rsidR="007B1545">
        <w:rPr>
          <w:rFonts w:ascii="Arial" w:hAnsi="Arial" w:cs="Arial"/>
          <w:lang w:val="sq-AL"/>
        </w:rPr>
        <w:t>posuda</w:t>
      </w:r>
      <w:bookmarkStart w:id="1056" w:name="_Hlk123728076"/>
      <w:bookmarkStart w:id="1057" w:name="_Toc189515647"/>
      <w:bookmarkStart w:id="1058" w:name="_Toc190160765"/>
      <w:r w:rsidR="00D33BB9">
        <w:rPr>
          <w:rFonts w:ascii="Arial" w:hAnsi="Arial" w:cs="Arial"/>
          <w:lang w:val="sq-AL"/>
        </w:rPr>
        <w:t>.</w:t>
      </w:r>
    </w:p>
    <w:p w14:paraId="6A7CB634" w14:textId="77777777" w:rsidR="00D33BB9" w:rsidRPr="00D33BB9" w:rsidRDefault="00D33BB9" w:rsidP="00D33BB9">
      <w:pPr>
        <w:spacing w:before="120" w:after="120" w:line="360" w:lineRule="auto"/>
        <w:rPr>
          <w:rFonts w:ascii="Arial" w:hAnsi="Arial" w:cs="Arial"/>
          <w:lang w:val="sq-AL"/>
        </w:rPr>
      </w:pPr>
    </w:p>
    <w:p w14:paraId="3C406D3A" w14:textId="3E80EB83" w:rsidR="00C232D7" w:rsidRPr="00C149AB" w:rsidRDefault="00C232D7" w:rsidP="00C232D7">
      <w:pPr>
        <w:pStyle w:val="Caption"/>
        <w:rPr>
          <w:rFonts w:ascii="Arial" w:hAnsi="Arial" w:cs="Arial"/>
          <w:b w:val="0"/>
          <w:szCs w:val="20"/>
          <w:lang w:val="sq-AL"/>
        </w:rPr>
      </w:pPr>
      <w:r w:rsidRPr="00C149AB">
        <w:rPr>
          <w:rFonts w:ascii="Arial" w:hAnsi="Arial" w:cs="Arial"/>
          <w:b w:val="0"/>
          <w:szCs w:val="20"/>
          <w:lang w:val="sq-AL"/>
        </w:rPr>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71</w:t>
      </w:r>
      <w:r w:rsidRPr="00C149AB">
        <w:rPr>
          <w:rFonts w:ascii="Arial" w:hAnsi="Arial" w:cs="Arial"/>
          <w:b w:val="0"/>
          <w:szCs w:val="20"/>
        </w:rPr>
        <w:fldChar w:fldCharType="end"/>
      </w:r>
      <w:r w:rsidRPr="00C149AB">
        <w:rPr>
          <w:rFonts w:ascii="Arial" w:hAnsi="Arial" w:cs="Arial"/>
          <w:b w:val="0"/>
          <w:szCs w:val="20"/>
          <w:lang w:val="sq-AL"/>
        </w:rPr>
        <w:t xml:space="preserve"> Broj dodatnih </w:t>
      </w:r>
      <w:r w:rsidR="007B1545" w:rsidRPr="00C149AB">
        <w:rPr>
          <w:rFonts w:ascii="Arial" w:hAnsi="Arial" w:cs="Arial"/>
          <w:b w:val="0"/>
          <w:szCs w:val="20"/>
          <w:lang w:val="sq-AL"/>
        </w:rPr>
        <w:t>posuda</w:t>
      </w:r>
      <w:r w:rsidRPr="00C149AB">
        <w:rPr>
          <w:rFonts w:ascii="Arial" w:hAnsi="Arial" w:cs="Arial"/>
          <w:b w:val="0"/>
          <w:szCs w:val="20"/>
          <w:lang w:val="sq-AL"/>
        </w:rPr>
        <w:t xml:space="preserve">/kontejnera neophodnih za opciju </w:t>
      </w:r>
      <w:bookmarkEnd w:id="1056"/>
      <w:r w:rsidRPr="00C149AB">
        <w:rPr>
          <w:rFonts w:ascii="Arial" w:hAnsi="Arial" w:cs="Arial"/>
          <w:b w:val="0"/>
          <w:szCs w:val="20"/>
          <w:lang w:val="sq-AL"/>
        </w:rPr>
        <w:t>V</w:t>
      </w:r>
      <w:bookmarkEnd w:id="1057"/>
      <w:bookmarkEnd w:id="1058"/>
    </w:p>
    <w:tbl>
      <w:tblPr>
        <w:tblW w:w="36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2089"/>
        <w:gridCol w:w="1523"/>
      </w:tblGrid>
      <w:tr w:rsidR="00C232D7" w:rsidRPr="00C149AB" w14:paraId="0D74A7E2" w14:textId="77777777" w:rsidTr="002A529B">
        <w:trPr>
          <w:trHeight w:val="286"/>
          <w:tblHeader/>
          <w:jc w:val="center"/>
        </w:trPr>
        <w:tc>
          <w:tcPr>
            <w:tcW w:w="2334"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EAB269C" w14:textId="762A4C18" w:rsidR="00C232D7" w:rsidRPr="00C149AB" w:rsidRDefault="00C232D7" w:rsidP="00C232D7">
            <w:pPr>
              <w:spacing w:before="60" w:after="60" w:line="360" w:lineRule="auto"/>
              <w:rPr>
                <w:rFonts w:ascii="Arial" w:hAnsi="Arial" w:cs="Arial"/>
                <w:b/>
                <w:bCs/>
                <w:color w:val="000000"/>
                <w:sz w:val="18"/>
                <w:lang w:val="sq-AL"/>
              </w:rPr>
            </w:pPr>
            <w:bookmarkStart w:id="1059" w:name="_Hlk123727755"/>
            <w:r w:rsidRPr="00C149AB">
              <w:rPr>
                <w:rFonts w:ascii="Arial" w:hAnsi="Arial" w:cs="Arial"/>
                <w:b/>
                <w:bCs/>
                <w:color w:val="000000"/>
                <w:sz w:val="18"/>
                <w:lang w:val="sq-AL"/>
              </w:rPr>
              <w:t xml:space="preserve">Vrsta </w:t>
            </w:r>
            <w:r w:rsidR="005C4A0C" w:rsidRPr="00C149AB">
              <w:rPr>
                <w:rFonts w:ascii="Arial" w:hAnsi="Arial" w:cs="Arial"/>
                <w:b/>
                <w:bCs/>
                <w:color w:val="000000"/>
                <w:sz w:val="18"/>
                <w:lang w:val="sq-AL"/>
              </w:rPr>
              <w:t>posude</w:t>
            </w:r>
            <w:r w:rsidRPr="00C149AB">
              <w:rPr>
                <w:rFonts w:ascii="Arial" w:hAnsi="Arial" w:cs="Arial"/>
                <w:b/>
                <w:bCs/>
                <w:color w:val="000000"/>
                <w:sz w:val="18"/>
                <w:lang w:val="sq-AL"/>
              </w:rPr>
              <w:t>/kontejnera</w:t>
            </w:r>
          </w:p>
        </w:tc>
        <w:tc>
          <w:tcPr>
            <w:tcW w:w="266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6F4EEA9" w14:textId="7243DA74" w:rsidR="00C232D7" w:rsidRPr="00C149AB" w:rsidRDefault="00B40E88"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2029</w:t>
            </w:r>
          </w:p>
        </w:tc>
      </w:tr>
      <w:tr w:rsidR="00C232D7" w:rsidRPr="00C149AB" w14:paraId="4AAEDF8F" w14:textId="77777777" w:rsidTr="002A529B">
        <w:trPr>
          <w:trHeight w:val="286"/>
          <w:tblHeader/>
          <w:jc w:val="center"/>
        </w:trPr>
        <w:tc>
          <w:tcPr>
            <w:tcW w:w="2334" w:type="pct"/>
            <w:vMerge/>
            <w:tcBorders>
              <w:top w:val="single" w:sz="4" w:space="0" w:color="auto"/>
              <w:left w:val="single" w:sz="4" w:space="0" w:color="auto"/>
              <w:bottom w:val="single" w:sz="4" w:space="0" w:color="auto"/>
              <w:right w:val="single" w:sz="4" w:space="0" w:color="auto"/>
            </w:tcBorders>
            <w:vAlign w:val="center"/>
          </w:tcPr>
          <w:p w14:paraId="4F593E73" w14:textId="77777777" w:rsidR="00C232D7" w:rsidRPr="00C149AB" w:rsidRDefault="00C232D7" w:rsidP="00C232D7">
            <w:pPr>
              <w:spacing w:before="60" w:after="60" w:line="360" w:lineRule="auto"/>
              <w:rPr>
                <w:rFonts w:ascii="Arial" w:eastAsia="Times New Roman" w:hAnsi="Arial" w:cs="Arial"/>
                <w:b/>
                <w:bCs/>
                <w:color w:val="000000"/>
                <w:sz w:val="18"/>
                <w:lang w:val="sq-AL"/>
              </w:rPr>
            </w:pPr>
          </w:p>
        </w:tc>
        <w:tc>
          <w:tcPr>
            <w:tcW w:w="154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DBDA835"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Rezidualni otpad</w:t>
            </w:r>
          </w:p>
        </w:tc>
        <w:tc>
          <w:tcPr>
            <w:tcW w:w="11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EAB858"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Otpad koji se može reciklirati</w:t>
            </w:r>
          </w:p>
        </w:tc>
      </w:tr>
      <w:tr w:rsidR="00C232D7" w:rsidRPr="00C149AB" w14:paraId="387BB4A0" w14:textId="77777777" w:rsidTr="002A529B">
        <w:trPr>
          <w:trHeight w:val="310"/>
          <w:jc w:val="center"/>
        </w:trPr>
        <w:tc>
          <w:tcPr>
            <w:tcW w:w="2334" w:type="pct"/>
            <w:tcBorders>
              <w:top w:val="single" w:sz="4" w:space="0" w:color="auto"/>
              <w:left w:val="single" w:sz="4" w:space="0" w:color="auto"/>
              <w:bottom w:val="single" w:sz="4" w:space="0" w:color="auto"/>
              <w:right w:val="single" w:sz="4" w:space="0" w:color="auto"/>
            </w:tcBorders>
            <w:noWrap/>
          </w:tcPr>
          <w:p w14:paraId="31C357C1" w14:textId="00C6CB6F" w:rsidR="00C232D7" w:rsidRPr="00C149AB" w:rsidRDefault="00557F9C" w:rsidP="00C232D7">
            <w:pPr>
              <w:spacing w:before="60" w:after="60" w:line="360" w:lineRule="auto"/>
              <w:rPr>
                <w:rFonts w:ascii="Arial" w:hAnsi="Arial" w:cs="Arial"/>
                <w:color w:val="000000"/>
                <w:sz w:val="18"/>
                <w:lang w:val="sq-AL"/>
              </w:rPr>
            </w:pPr>
            <w:r>
              <w:rPr>
                <w:rFonts w:ascii="Arial" w:hAnsi="Arial" w:cs="Arial"/>
                <w:color w:val="000000"/>
                <w:sz w:val="18"/>
                <w:lang w:val="sq-AL"/>
              </w:rPr>
              <w:t>Kontejneri z</w:t>
            </w:r>
            <w:r w:rsidR="00C232D7" w:rsidRPr="00C149AB">
              <w:rPr>
                <w:rFonts w:ascii="Arial" w:hAnsi="Arial" w:cs="Arial"/>
                <w:color w:val="000000"/>
                <w:sz w:val="18"/>
                <w:lang w:val="sq-AL"/>
              </w:rPr>
              <w:t>apremine 1.1 m</w:t>
            </w:r>
            <w:r w:rsidR="00C232D7" w:rsidRPr="00C149AB">
              <w:rPr>
                <w:rFonts w:ascii="Arial" w:hAnsi="Arial" w:cs="Arial"/>
                <w:color w:val="000000"/>
                <w:sz w:val="18"/>
                <w:vertAlign w:val="superscript"/>
                <w:lang w:val="sq-AL"/>
              </w:rPr>
              <w:t>3</w:t>
            </w:r>
          </w:p>
        </w:tc>
        <w:tc>
          <w:tcPr>
            <w:tcW w:w="1542" w:type="pct"/>
            <w:tcBorders>
              <w:top w:val="single" w:sz="4" w:space="0" w:color="auto"/>
              <w:left w:val="single" w:sz="4" w:space="0" w:color="auto"/>
              <w:bottom w:val="single" w:sz="4" w:space="0" w:color="auto"/>
              <w:right w:val="single" w:sz="4" w:space="0" w:color="auto"/>
            </w:tcBorders>
            <w:noWrap/>
            <w:vAlign w:val="bottom"/>
          </w:tcPr>
          <w:p w14:paraId="2E0A42AF"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139</w:t>
            </w:r>
          </w:p>
        </w:tc>
        <w:tc>
          <w:tcPr>
            <w:tcW w:w="1125" w:type="pct"/>
            <w:tcBorders>
              <w:top w:val="single" w:sz="4" w:space="0" w:color="auto"/>
              <w:left w:val="single" w:sz="4" w:space="0" w:color="auto"/>
              <w:bottom w:val="single" w:sz="4" w:space="0" w:color="auto"/>
              <w:right w:val="single" w:sz="4" w:space="0" w:color="auto"/>
            </w:tcBorders>
            <w:vAlign w:val="bottom"/>
          </w:tcPr>
          <w:p w14:paraId="5AACF68F"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11.383</w:t>
            </w:r>
          </w:p>
        </w:tc>
      </w:tr>
      <w:tr w:rsidR="00C232D7" w:rsidRPr="00C149AB" w14:paraId="2BA4618C" w14:textId="77777777" w:rsidTr="002A529B">
        <w:trPr>
          <w:trHeight w:val="310"/>
          <w:jc w:val="center"/>
        </w:trPr>
        <w:tc>
          <w:tcPr>
            <w:tcW w:w="2334" w:type="pct"/>
            <w:tcBorders>
              <w:top w:val="single" w:sz="4" w:space="0" w:color="auto"/>
              <w:left w:val="single" w:sz="4" w:space="0" w:color="auto"/>
              <w:bottom w:val="single" w:sz="4" w:space="0" w:color="auto"/>
              <w:right w:val="single" w:sz="4" w:space="0" w:color="auto"/>
            </w:tcBorders>
            <w:noWrap/>
          </w:tcPr>
          <w:p w14:paraId="7CCD2E72" w14:textId="65771DDD" w:rsidR="00C232D7" w:rsidRPr="00C149AB" w:rsidRDefault="00557F9C" w:rsidP="00C232D7">
            <w:pPr>
              <w:spacing w:before="60" w:after="60" w:line="360" w:lineRule="auto"/>
              <w:rPr>
                <w:rFonts w:ascii="Arial" w:hAnsi="Arial" w:cs="Arial"/>
                <w:color w:val="000000"/>
                <w:sz w:val="18"/>
                <w:lang w:val="sq-AL"/>
              </w:rPr>
            </w:pPr>
            <w:r>
              <w:rPr>
                <w:rFonts w:ascii="Arial" w:hAnsi="Arial" w:cs="Arial"/>
                <w:color w:val="000000"/>
                <w:sz w:val="18"/>
                <w:lang w:val="sq-AL"/>
              </w:rPr>
              <w:t>Kontejneri z</w:t>
            </w:r>
            <w:r w:rsidR="00C232D7" w:rsidRPr="00C149AB">
              <w:rPr>
                <w:rFonts w:ascii="Arial" w:hAnsi="Arial" w:cs="Arial"/>
                <w:color w:val="000000"/>
                <w:sz w:val="18"/>
                <w:lang w:val="sq-AL"/>
              </w:rPr>
              <w:t>apremine 2.5 m</w:t>
            </w:r>
            <w:r w:rsidR="00C232D7" w:rsidRPr="00C149AB">
              <w:rPr>
                <w:rFonts w:ascii="Arial" w:hAnsi="Arial" w:cs="Arial"/>
                <w:color w:val="000000"/>
                <w:sz w:val="18"/>
                <w:vertAlign w:val="superscript"/>
                <w:lang w:val="sq-AL"/>
              </w:rPr>
              <w:t>3</w:t>
            </w:r>
          </w:p>
        </w:tc>
        <w:tc>
          <w:tcPr>
            <w:tcW w:w="1542" w:type="pct"/>
            <w:tcBorders>
              <w:top w:val="single" w:sz="4" w:space="0" w:color="auto"/>
              <w:left w:val="single" w:sz="4" w:space="0" w:color="auto"/>
              <w:bottom w:val="single" w:sz="4" w:space="0" w:color="auto"/>
              <w:right w:val="single" w:sz="4" w:space="0" w:color="auto"/>
            </w:tcBorders>
            <w:noWrap/>
            <w:vAlign w:val="bottom"/>
          </w:tcPr>
          <w:p w14:paraId="667BC0D3"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3.594</w:t>
            </w:r>
          </w:p>
        </w:tc>
        <w:tc>
          <w:tcPr>
            <w:tcW w:w="1125" w:type="pct"/>
            <w:tcBorders>
              <w:top w:val="single" w:sz="4" w:space="0" w:color="auto"/>
              <w:left w:val="single" w:sz="4" w:space="0" w:color="auto"/>
              <w:bottom w:val="single" w:sz="4" w:space="0" w:color="auto"/>
              <w:right w:val="single" w:sz="4" w:space="0" w:color="auto"/>
            </w:tcBorders>
            <w:vAlign w:val="bottom"/>
          </w:tcPr>
          <w:p w14:paraId="34A150C5" w14:textId="77777777" w:rsidR="00C232D7" w:rsidRPr="00C149AB" w:rsidRDefault="00C232D7" w:rsidP="00C232D7">
            <w:pPr>
              <w:spacing w:before="60" w:after="60" w:line="360" w:lineRule="auto"/>
              <w:rPr>
                <w:rFonts w:ascii="Arial" w:hAnsi="Arial" w:cs="Arial"/>
                <w:color w:val="000000"/>
                <w:sz w:val="18"/>
                <w:highlight w:val="yellow"/>
                <w:lang w:val="sq-AL"/>
              </w:rPr>
            </w:pPr>
            <w:r w:rsidRPr="00C149AB">
              <w:rPr>
                <w:rFonts w:ascii="Arial" w:hAnsi="Arial" w:cs="Arial"/>
                <w:color w:val="000000"/>
                <w:sz w:val="18"/>
              </w:rPr>
              <w:t>4.883</w:t>
            </w:r>
          </w:p>
        </w:tc>
      </w:tr>
      <w:tr w:rsidR="00C232D7" w:rsidRPr="00C149AB" w14:paraId="012A776B" w14:textId="77777777" w:rsidTr="002A529B">
        <w:trPr>
          <w:trHeight w:val="286"/>
          <w:jc w:val="center"/>
        </w:trPr>
        <w:tc>
          <w:tcPr>
            <w:tcW w:w="2334" w:type="pct"/>
            <w:tcBorders>
              <w:top w:val="single" w:sz="4" w:space="0" w:color="auto"/>
              <w:left w:val="single" w:sz="4" w:space="0" w:color="auto"/>
              <w:bottom w:val="single" w:sz="4" w:space="0" w:color="auto"/>
              <w:right w:val="single" w:sz="4" w:space="0" w:color="auto"/>
            </w:tcBorders>
            <w:noWrap/>
          </w:tcPr>
          <w:p w14:paraId="5C3EF261"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broj</w:t>
            </w:r>
          </w:p>
        </w:tc>
        <w:tc>
          <w:tcPr>
            <w:tcW w:w="1542" w:type="pct"/>
            <w:tcBorders>
              <w:top w:val="single" w:sz="4" w:space="0" w:color="auto"/>
              <w:left w:val="single" w:sz="4" w:space="0" w:color="auto"/>
              <w:bottom w:val="single" w:sz="4" w:space="0" w:color="auto"/>
              <w:right w:val="single" w:sz="4" w:space="0" w:color="auto"/>
            </w:tcBorders>
            <w:noWrap/>
            <w:vAlign w:val="bottom"/>
          </w:tcPr>
          <w:p w14:paraId="75E547C1"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color w:val="000000"/>
                <w:sz w:val="18"/>
              </w:rPr>
              <w:t>90.996</w:t>
            </w:r>
          </w:p>
        </w:tc>
        <w:tc>
          <w:tcPr>
            <w:tcW w:w="1125" w:type="pct"/>
            <w:tcBorders>
              <w:top w:val="single" w:sz="4" w:space="0" w:color="auto"/>
              <w:left w:val="single" w:sz="4" w:space="0" w:color="auto"/>
              <w:bottom w:val="single" w:sz="4" w:space="0" w:color="auto"/>
              <w:right w:val="single" w:sz="4" w:space="0" w:color="auto"/>
            </w:tcBorders>
            <w:vAlign w:val="bottom"/>
          </w:tcPr>
          <w:p w14:paraId="77FEB31E"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color w:val="000000"/>
                <w:sz w:val="18"/>
              </w:rPr>
              <w:t>181.993</w:t>
            </w:r>
          </w:p>
        </w:tc>
      </w:tr>
      <w:tr w:rsidR="00C232D7" w:rsidRPr="00C149AB" w14:paraId="621F7804" w14:textId="77777777" w:rsidTr="002A529B">
        <w:trPr>
          <w:trHeight w:val="286"/>
          <w:jc w:val="center"/>
        </w:trPr>
        <w:tc>
          <w:tcPr>
            <w:tcW w:w="2334" w:type="pct"/>
            <w:tcBorders>
              <w:top w:val="single" w:sz="4" w:space="0" w:color="auto"/>
              <w:left w:val="single" w:sz="4" w:space="0" w:color="auto"/>
              <w:bottom w:val="single" w:sz="4" w:space="0" w:color="auto"/>
              <w:right w:val="single" w:sz="4" w:space="0" w:color="auto"/>
            </w:tcBorders>
            <w:noWrap/>
          </w:tcPr>
          <w:p w14:paraId="5533FE8A"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kapacitet (m</w:t>
            </w:r>
            <w:r w:rsidRPr="00C149AB">
              <w:rPr>
                <w:rFonts w:ascii="Arial" w:hAnsi="Arial" w:cs="Arial"/>
                <w:b/>
                <w:bCs/>
                <w:color w:val="000000"/>
                <w:sz w:val="18"/>
                <w:vertAlign w:val="superscript"/>
                <w:lang w:val="sq-AL"/>
              </w:rPr>
              <w:t>3</w:t>
            </w:r>
            <w:r w:rsidRPr="00C149AB">
              <w:rPr>
                <w:rFonts w:ascii="Arial" w:hAnsi="Arial" w:cs="Arial"/>
                <w:b/>
                <w:bCs/>
                <w:color w:val="000000"/>
                <w:sz w:val="18"/>
                <w:lang w:val="sq-AL"/>
              </w:rPr>
              <w:t>)</w:t>
            </w:r>
          </w:p>
        </w:tc>
        <w:tc>
          <w:tcPr>
            <w:tcW w:w="1542" w:type="pct"/>
            <w:tcBorders>
              <w:top w:val="single" w:sz="4" w:space="0" w:color="auto"/>
              <w:left w:val="single" w:sz="4" w:space="0" w:color="auto"/>
              <w:bottom w:val="single" w:sz="4" w:space="0" w:color="auto"/>
              <w:right w:val="single" w:sz="4" w:space="0" w:color="auto"/>
            </w:tcBorders>
            <w:noWrap/>
            <w:vAlign w:val="bottom"/>
          </w:tcPr>
          <w:p w14:paraId="46B8D697"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94.729</w:t>
            </w:r>
          </w:p>
        </w:tc>
        <w:tc>
          <w:tcPr>
            <w:tcW w:w="1125" w:type="pct"/>
            <w:tcBorders>
              <w:top w:val="single" w:sz="4" w:space="0" w:color="auto"/>
              <w:left w:val="single" w:sz="4" w:space="0" w:color="auto"/>
              <w:bottom w:val="single" w:sz="4" w:space="0" w:color="auto"/>
              <w:right w:val="single" w:sz="4" w:space="0" w:color="auto"/>
            </w:tcBorders>
            <w:vAlign w:val="bottom"/>
          </w:tcPr>
          <w:p w14:paraId="3C0D37B9" w14:textId="77777777" w:rsidR="00C232D7" w:rsidRPr="00C149AB" w:rsidRDefault="00C232D7" w:rsidP="00C232D7">
            <w:pPr>
              <w:spacing w:before="60" w:after="60" w:line="360" w:lineRule="auto"/>
              <w:rPr>
                <w:rFonts w:ascii="Arial" w:hAnsi="Arial" w:cs="Arial"/>
                <w:b/>
                <w:bCs/>
                <w:color w:val="000000"/>
                <w:sz w:val="18"/>
                <w:highlight w:val="yellow"/>
                <w:lang w:val="sq-AL"/>
              </w:rPr>
            </w:pPr>
            <w:r w:rsidRPr="00C149AB">
              <w:rPr>
                <w:rFonts w:ascii="Arial" w:hAnsi="Arial" w:cs="Arial"/>
                <w:b/>
                <w:bCs/>
                <w:color w:val="000000"/>
                <w:sz w:val="18"/>
              </w:rPr>
              <w:t>198.259</w:t>
            </w:r>
          </w:p>
        </w:tc>
      </w:tr>
    </w:tbl>
    <w:p w14:paraId="6E8C7361" w14:textId="77777777" w:rsidR="00485B01" w:rsidRPr="00C149AB" w:rsidRDefault="00485B01" w:rsidP="00C232D7">
      <w:pPr>
        <w:pStyle w:val="Caption"/>
        <w:rPr>
          <w:rFonts w:ascii="Arial" w:hAnsi="Arial" w:cs="Arial"/>
          <w:szCs w:val="20"/>
        </w:rPr>
      </w:pPr>
      <w:bookmarkStart w:id="1060" w:name="_Toc189515648"/>
      <w:bookmarkEnd w:id="1059"/>
    </w:p>
    <w:p w14:paraId="2823C903" w14:textId="77777777" w:rsidR="00D33BB9" w:rsidRDefault="00D33BB9" w:rsidP="00C232D7">
      <w:pPr>
        <w:pStyle w:val="Caption"/>
        <w:rPr>
          <w:rFonts w:ascii="Arial" w:hAnsi="Arial" w:cs="Arial"/>
          <w:b w:val="0"/>
          <w:szCs w:val="20"/>
        </w:rPr>
      </w:pPr>
      <w:bookmarkStart w:id="1061" w:name="_Toc190160766"/>
    </w:p>
    <w:p w14:paraId="7FE34470" w14:textId="77777777" w:rsidR="00D33BB9" w:rsidRDefault="00D33BB9" w:rsidP="00C232D7">
      <w:pPr>
        <w:pStyle w:val="Caption"/>
        <w:rPr>
          <w:rFonts w:ascii="Arial" w:hAnsi="Arial" w:cs="Arial"/>
          <w:b w:val="0"/>
          <w:szCs w:val="20"/>
        </w:rPr>
      </w:pPr>
    </w:p>
    <w:p w14:paraId="4CC58069" w14:textId="77777777" w:rsidR="00D33BB9" w:rsidRDefault="00D33BB9" w:rsidP="00C232D7">
      <w:pPr>
        <w:pStyle w:val="Caption"/>
        <w:rPr>
          <w:rFonts w:ascii="Arial" w:hAnsi="Arial" w:cs="Arial"/>
          <w:b w:val="0"/>
          <w:szCs w:val="20"/>
        </w:rPr>
      </w:pPr>
    </w:p>
    <w:p w14:paraId="4FDC2292" w14:textId="77777777" w:rsidR="00D33BB9" w:rsidRDefault="00D33BB9" w:rsidP="00C232D7">
      <w:pPr>
        <w:pStyle w:val="Caption"/>
        <w:rPr>
          <w:rFonts w:ascii="Arial" w:hAnsi="Arial" w:cs="Arial"/>
          <w:b w:val="0"/>
          <w:szCs w:val="20"/>
        </w:rPr>
      </w:pPr>
    </w:p>
    <w:p w14:paraId="4B27207E" w14:textId="77777777" w:rsidR="00D33BB9" w:rsidRDefault="00D33BB9" w:rsidP="00C232D7">
      <w:pPr>
        <w:pStyle w:val="Caption"/>
        <w:rPr>
          <w:rFonts w:ascii="Arial" w:hAnsi="Arial" w:cs="Arial"/>
          <w:b w:val="0"/>
          <w:szCs w:val="20"/>
        </w:rPr>
      </w:pPr>
    </w:p>
    <w:p w14:paraId="6C4C1A0D" w14:textId="34D2F41A" w:rsidR="00C232D7" w:rsidRPr="00C149AB" w:rsidRDefault="00C232D7" w:rsidP="00C232D7">
      <w:pPr>
        <w:pStyle w:val="Caption"/>
        <w:rPr>
          <w:rFonts w:ascii="Arial" w:hAnsi="Arial" w:cs="Arial"/>
          <w:b w:val="0"/>
          <w:szCs w:val="20"/>
          <w:lang w:val="sq-AL"/>
        </w:rPr>
      </w:pPr>
      <w:r w:rsidRPr="00C149AB">
        <w:rPr>
          <w:rFonts w:ascii="Arial" w:hAnsi="Arial" w:cs="Arial"/>
          <w:b w:val="0"/>
          <w:szCs w:val="20"/>
        </w:rPr>
        <w:lastRenderedPageBreak/>
        <w:t xml:space="preserve">Tabela </w:t>
      </w:r>
      <w:r w:rsidRPr="00C149AB">
        <w:rPr>
          <w:rFonts w:ascii="Arial" w:hAnsi="Arial" w:cs="Arial"/>
          <w:b w:val="0"/>
          <w:szCs w:val="20"/>
        </w:rPr>
        <w:fldChar w:fldCharType="begin"/>
      </w:r>
      <w:r w:rsidRPr="00C149AB">
        <w:rPr>
          <w:rFonts w:ascii="Arial" w:hAnsi="Arial" w:cs="Arial"/>
          <w:b w:val="0"/>
          <w:szCs w:val="20"/>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rPr>
        <w:t>72</w:t>
      </w:r>
      <w:r w:rsidRPr="00C149AB">
        <w:rPr>
          <w:rFonts w:ascii="Arial" w:hAnsi="Arial" w:cs="Arial"/>
          <w:b w:val="0"/>
          <w:szCs w:val="20"/>
        </w:rPr>
        <w:fldChar w:fldCharType="end"/>
      </w:r>
      <w:r w:rsidRPr="00C149AB">
        <w:rPr>
          <w:rFonts w:ascii="Arial" w:hAnsi="Arial" w:cs="Arial"/>
          <w:b w:val="0"/>
          <w:szCs w:val="20"/>
          <w:lang w:val="sq-AL"/>
        </w:rPr>
        <w:t xml:space="preserve"> Broj dodatnih kamiona za sakupljanje otpada neophodnih za opciju V</w:t>
      </w:r>
      <w:bookmarkEnd w:id="1060"/>
      <w:bookmarkEnd w:id="1061"/>
    </w:p>
    <w:tbl>
      <w:tblPr>
        <w:tblW w:w="4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854"/>
      </w:tblGrid>
      <w:tr w:rsidR="00C232D7" w:rsidRPr="00C149AB" w14:paraId="3909A3E2" w14:textId="77777777" w:rsidTr="00C232D7">
        <w:trPr>
          <w:trHeight w:val="288"/>
          <w:tblHeader/>
          <w:jc w:val="center"/>
        </w:trPr>
        <w:tc>
          <w:tcPr>
            <w:tcW w:w="3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E905471"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Tip kamiona za sakupljanje otpada</w:t>
            </w:r>
          </w:p>
        </w:tc>
        <w:tc>
          <w:tcPr>
            <w:tcW w:w="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204464C" w14:textId="5482ECE6" w:rsidR="00C232D7" w:rsidRPr="00C149AB" w:rsidRDefault="00B40E88"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2029</w:t>
            </w:r>
          </w:p>
        </w:tc>
      </w:tr>
      <w:tr w:rsidR="00C232D7" w:rsidRPr="00C149AB" w14:paraId="67FCC85D"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41E0D983"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22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6A054A35"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rPr>
              <w:t>8</w:t>
            </w:r>
          </w:p>
        </w:tc>
      </w:tr>
      <w:tr w:rsidR="00C232D7" w:rsidRPr="00C149AB" w14:paraId="40A166E0"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679F9450"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20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7009BCEB"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rPr>
              <w:t>39</w:t>
            </w:r>
          </w:p>
        </w:tc>
      </w:tr>
      <w:tr w:rsidR="00C232D7" w:rsidRPr="00C149AB" w14:paraId="2F1CA7D0"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0AF4819C"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16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611CF62B"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rPr>
              <w:t>33</w:t>
            </w:r>
          </w:p>
        </w:tc>
      </w:tr>
      <w:tr w:rsidR="00C232D7" w:rsidRPr="00C149AB" w14:paraId="11D3D686"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795EA862"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8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3F6E9EEE"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rPr>
              <w:t>10</w:t>
            </w:r>
          </w:p>
        </w:tc>
      </w:tr>
      <w:tr w:rsidR="00C232D7" w:rsidRPr="00C149AB" w14:paraId="11214194"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06D97FCA"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6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61082932"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rPr>
              <w:t>3</w:t>
            </w:r>
          </w:p>
        </w:tc>
      </w:tr>
      <w:tr w:rsidR="00C232D7" w:rsidRPr="00C149AB" w14:paraId="407E50FD"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43DD7925"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color w:val="000000"/>
                <w:sz w:val="18"/>
                <w:lang w:val="sq-AL"/>
              </w:rPr>
              <w:t>4 m</w:t>
            </w:r>
            <w:r w:rsidRPr="00C149AB">
              <w:rPr>
                <w:rFonts w:ascii="Arial" w:hAnsi="Arial" w:cs="Arial"/>
                <w:color w:val="000000"/>
                <w:sz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227D6AFE" w14:textId="77777777" w:rsidR="00C232D7" w:rsidRPr="00C149AB" w:rsidRDefault="00C232D7" w:rsidP="00C232D7">
            <w:pPr>
              <w:spacing w:before="60" w:after="60" w:line="360" w:lineRule="auto"/>
              <w:rPr>
                <w:rFonts w:ascii="Arial" w:hAnsi="Arial" w:cs="Arial"/>
                <w:color w:val="000000"/>
                <w:sz w:val="18"/>
                <w:lang w:val="sq-AL"/>
              </w:rPr>
            </w:pPr>
            <w:r w:rsidRPr="00C149AB">
              <w:rPr>
                <w:rFonts w:ascii="Arial" w:hAnsi="Arial" w:cs="Arial"/>
                <w:b/>
                <w:bCs/>
                <w:color w:val="000000"/>
                <w:sz w:val="18"/>
              </w:rPr>
              <w:t>93</w:t>
            </w:r>
          </w:p>
        </w:tc>
      </w:tr>
      <w:tr w:rsidR="00C232D7" w:rsidRPr="00C149AB" w14:paraId="2B1996C4"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tcPr>
          <w:p w14:paraId="48F5D506"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broj</w:t>
            </w:r>
          </w:p>
        </w:tc>
        <w:tc>
          <w:tcPr>
            <w:tcW w:w="854" w:type="dxa"/>
            <w:tcBorders>
              <w:top w:val="single" w:sz="4" w:space="0" w:color="auto"/>
              <w:left w:val="single" w:sz="4" w:space="0" w:color="auto"/>
              <w:bottom w:val="single" w:sz="4" w:space="0" w:color="auto"/>
              <w:right w:val="single" w:sz="4" w:space="0" w:color="auto"/>
            </w:tcBorders>
            <w:noWrap/>
            <w:vAlign w:val="bottom"/>
          </w:tcPr>
          <w:p w14:paraId="19FA1C3A"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rPr>
              <w:t>1.136</w:t>
            </w:r>
          </w:p>
        </w:tc>
      </w:tr>
      <w:tr w:rsidR="00C232D7" w:rsidRPr="00C149AB" w14:paraId="6BBC6F29" w14:textId="77777777" w:rsidTr="00C232D7">
        <w:trPr>
          <w:trHeight w:val="300"/>
          <w:jc w:val="center"/>
        </w:trPr>
        <w:tc>
          <w:tcPr>
            <w:tcW w:w="3965" w:type="dxa"/>
            <w:tcBorders>
              <w:top w:val="single" w:sz="4" w:space="0" w:color="auto"/>
              <w:left w:val="single" w:sz="4" w:space="0" w:color="auto"/>
              <w:bottom w:val="single" w:sz="4" w:space="0" w:color="auto"/>
              <w:right w:val="single" w:sz="4" w:space="0" w:color="auto"/>
            </w:tcBorders>
            <w:noWrap/>
          </w:tcPr>
          <w:p w14:paraId="0FB9B1CD"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Ukupan kapacitet (m</w:t>
            </w:r>
            <w:r w:rsidRPr="00C149AB">
              <w:rPr>
                <w:rFonts w:ascii="Arial" w:hAnsi="Arial" w:cs="Arial"/>
                <w:b/>
                <w:bCs/>
                <w:color w:val="000000"/>
                <w:sz w:val="18"/>
                <w:vertAlign w:val="superscript"/>
                <w:lang w:val="sq-AL"/>
              </w:rPr>
              <w:t>3</w:t>
            </w:r>
            <w:r w:rsidRPr="00C149AB">
              <w:rPr>
                <w:rFonts w:ascii="Arial" w:hAnsi="Arial" w:cs="Arial"/>
                <w:b/>
                <w:bCs/>
                <w:color w:val="000000"/>
                <w:sz w:val="18"/>
                <w:lang w:val="sq-AL"/>
              </w:rPr>
              <w:t>)</w:t>
            </w:r>
          </w:p>
        </w:tc>
        <w:tc>
          <w:tcPr>
            <w:tcW w:w="854" w:type="dxa"/>
            <w:tcBorders>
              <w:top w:val="single" w:sz="4" w:space="0" w:color="auto"/>
              <w:left w:val="single" w:sz="4" w:space="0" w:color="auto"/>
              <w:bottom w:val="single" w:sz="4" w:space="0" w:color="auto"/>
              <w:right w:val="single" w:sz="4" w:space="0" w:color="auto"/>
            </w:tcBorders>
            <w:noWrap/>
            <w:vAlign w:val="bottom"/>
          </w:tcPr>
          <w:p w14:paraId="61E6BBB8" w14:textId="77777777" w:rsidR="00C232D7" w:rsidRPr="00C149AB" w:rsidRDefault="00C232D7" w:rsidP="00C232D7">
            <w:pPr>
              <w:spacing w:before="60" w:after="60" w:line="360" w:lineRule="auto"/>
              <w:rPr>
                <w:rFonts w:ascii="Arial" w:hAnsi="Arial" w:cs="Arial"/>
                <w:b/>
                <w:bCs/>
                <w:color w:val="000000"/>
                <w:sz w:val="18"/>
                <w:lang w:val="sq-AL"/>
              </w:rPr>
            </w:pPr>
            <w:r w:rsidRPr="00C149AB">
              <w:rPr>
                <w:rFonts w:ascii="Arial" w:hAnsi="Arial" w:cs="Arial"/>
                <w:b/>
                <w:bCs/>
                <w:color w:val="000000"/>
                <w:sz w:val="18"/>
                <w:lang w:val="sq-AL"/>
              </w:rPr>
              <w:t>1.412</w:t>
            </w:r>
          </w:p>
        </w:tc>
      </w:tr>
    </w:tbl>
    <w:p w14:paraId="3701789F" w14:textId="77777777" w:rsidR="00C232D7" w:rsidRPr="002A6F4E" w:rsidRDefault="00C232D7" w:rsidP="00C232D7">
      <w:pPr>
        <w:spacing w:before="120" w:after="120" w:line="360" w:lineRule="auto"/>
        <w:rPr>
          <w:rFonts w:ascii="Arial" w:hAnsi="Arial" w:cs="Arial"/>
          <w:lang w:val="sq-AL"/>
        </w:rPr>
      </w:pPr>
    </w:p>
    <w:p w14:paraId="4E7D47FF" w14:textId="6726DD9A"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Pored navedenih biće neophodna i mobilna vozila za čišćenje </w:t>
      </w:r>
      <w:r w:rsidR="007B1545">
        <w:rPr>
          <w:rFonts w:ascii="Arial" w:hAnsi="Arial" w:cs="Arial"/>
          <w:lang w:val="sq-AL"/>
        </w:rPr>
        <w:t>posuda</w:t>
      </w:r>
      <w:r w:rsidRPr="002A6F4E">
        <w:rPr>
          <w:rFonts w:ascii="Arial" w:hAnsi="Arial" w:cs="Arial"/>
          <w:lang w:val="sq-AL"/>
        </w:rPr>
        <w:t xml:space="preserve"> za sakupljanje otpada. Predlaže se utvrđivanje rasporeda dvonedeljnog čišćenja svake </w:t>
      </w:r>
      <w:r w:rsidR="005C4A0C">
        <w:rPr>
          <w:rFonts w:ascii="Arial" w:hAnsi="Arial" w:cs="Arial"/>
          <w:lang w:val="sq-AL"/>
        </w:rPr>
        <w:t>posude</w:t>
      </w:r>
      <w:r w:rsidRPr="002A6F4E">
        <w:rPr>
          <w:rFonts w:ascii="Arial" w:hAnsi="Arial" w:cs="Arial"/>
          <w:lang w:val="sq-AL"/>
        </w:rPr>
        <w:t xml:space="preserve"> za sakupljanje (odnosi se na </w:t>
      </w:r>
      <w:r w:rsidR="00557F9C">
        <w:rPr>
          <w:rFonts w:ascii="Arial" w:hAnsi="Arial" w:cs="Arial"/>
          <w:lang w:val="sq-AL"/>
        </w:rPr>
        <w:t>kontejnere</w:t>
      </w:r>
      <w:r w:rsidR="00557F9C" w:rsidRPr="002A6F4E">
        <w:rPr>
          <w:rFonts w:ascii="Arial" w:hAnsi="Arial" w:cs="Arial"/>
          <w:lang w:val="sq-AL"/>
        </w:rPr>
        <w:t xml:space="preserve"> </w:t>
      </w:r>
      <w:r w:rsidRPr="002A6F4E">
        <w:rPr>
          <w:rFonts w:ascii="Arial" w:hAnsi="Arial" w:cs="Arial"/>
          <w:lang w:val="sq-AL"/>
        </w:rPr>
        <w:t>zapremine 1.1</w:t>
      </w:r>
      <w:r w:rsidRPr="002A6F4E">
        <w:rPr>
          <w:rFonts w:ascii="Arial" w:hAnsi="Arial" w:cs="Arial"/>
          <w:color w:val="000000"/>
          <w:lang w:val="sq-AL"/>
        </w:rPr>
        <w:t xml:space="preserve"> m</w:t>
      </w:r>
      <w:r w:rsidRPr="002A6F4E">
        <w:rPr>
          <w:rFonts w:ascii="Arial" w:hAnsi="Arial" w:cs="Arial"/>
          <w:color w:val="000000"/>
          <w:vertAlign w:val="superscript"/>
          <w:lang w:val="sq-AL"/>
        </w:rPr>
        <w:t>3</w:t>
      </w:r>
      <w:r w:rsidRPr="002A6F4E">
        <w:rPr>
          <w:rFonts w:ascii="Arial" w:hAnsi="Arial" w:cs="Arial"/>
          <w:lang w:val="sq-AL"/>
        </w:rPr>
        <w:t xml:space="preserve">). S obzirom na prosječnu količinu od 250 </w:t>
      </w:r>
      <w:r w:rsidR="007B1545">
        <w:rPr>
          <w:rFonts w:ascii="Arial" w:hAnsi="Arial" w:cs="Arial"/>
          <w:lang w:val="sq-AL"/>
        </w:rPr>
        <w:t>posuda</w:t>
      </w:r>
      <w:r w:rsidRPr="002A6F4E">
        <w:rPr>
          <w:rFonts w:ascii="Arial" w:hAnsi="Arial" w:cs="Arial"/>
          <w:lang w:val="sq-AL"/>
        </w:rPr>
        <w:t xml:space="preserve"> koje se svakodnevno čiste (iznutra i spolja)</w:t>
      </w:r>
      <w:r w:rsidR="00557F9C">
        <w:rPr>
          <w:rFonts w:ascii="Arial" w:hAnsi="Arial" w:cs="Arial"/>
          <w:lang w:val="sq-AL"/>
        </w:rPr>
        <w:t>,</w:t>
      </w:r>
      <w:r w:rsidRPr="002A6F4E">
        <w:rPr>
          <w:rFonts w:ascii="Arial" w:hAnsi="Arial" w:cs="Arial"/>
          <w:lang w:val="sq-AL"/>
        </w:rPr>
        <w:t xml:space="preserve"> smatra se da će </w:t>
      </w:r>
      <w:r w:rsidR="00C149AB">
        <w:rPr>
          <w:rFonts w:ascii="Arial" w:hAnsi="Arial" w:cs="Arial"/>
          <w:lang w:val="sq-AL"/>
        </w:rPr>
        <w:t xml:space="preserve">za cijelu zemlju biti potrebno </w:t>
      </w:r>
      <w:r w:rsidRPr="002A6F4E">
        <w:rPr>
          <w:rFonts w:ascii="Arial" w:hAnsi="Arial" w:cs="Arial"/>
          <w:lang w:val="sq-AL"/>
        </w:rPr>
        <w:t>15 vozila za pranje.</w:t>
      </w:r>
    </w:p>
    <w:p w14:paraId="15705CAB" w14:textId="6F6F2B96" w:rsidR="00BB759A"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Na osnovu </w:t>
      </w:r>
      <w:r w:rsidR="00557F9C">
        <w:rPr>
          <w:rFonts w:ascii="Arial" w:hAnsi="Arial" w:cs="Arial"/>
          <w:lang w:val="sq-AL"/>
        </w:rPr>
        <w:t>prethodne</w:t>
      </w:r>
      <w:r w:rsidR="00557F9C" w:rsidRPr="002A6F4E">
        <w:rPr>
          <w:rFonts w:ascii="Arial" w:hAnsi="Arial" w:cs="Arial"/>
          <w:lang w:val="sq-AL"/>
        </w:rPr>
        <w:t xml:space="preserve"> </w:t>
      </w:r>
      <w:r w:rsidRPr="002A6F4E">
        <w:rPr>
          <w:rFonts w:ascii="Arial" w:hAnsi="Arial" w:cs="Arial"/>
          <w:lang w:val="sq-AL"/>
        </w:rPr>
        <w:t xml:space="preserve">analize, troškovi opreme za sakupljanje otpada u vezi sa ovom opcijom su predstavljeni u sljedećoj tabeli (odgovara </w:t>
      </w:r>
      <w:r w:rsidR="00B40E88" w:rsidRPr="002A6F4E">
        <w:rPr>
          <w:rFonts w:ascii="Arial" w:hAnsi="Arial" w:cs="Arial"/>
          <w:lang w:val="sq-AL"/>
        </w:rPr>
        <w:t>2029</w:t>
      </w:r>
      <w:r w:rsidRPr="002A6F4E">
        <w:rPr>
          <w:rFonts w:ascii="Arial" w:hAnsi="Arial" w:cs="Arial"/>
          <w:lang w:val="sq-AL"/>
        </w:rPr>
        <w:t>. godini).</w:t>
      </w:r>
    </w:p>
    <w:p w14:paraId="2B46214A" w14:textId="233B26FA" w:rsidR="00C232D7" w:rsidRPr="00C149AB" w:rsidRDefault="00C232D7" w:rsidP="00C232D7">
      <w:pPr>
        <w:pStyle w:val="Caption"/>
        <w:rPr>
          <w:rFonts w:ascii="Arial" w:hAnsi="Arial" w:cs="Arial"/>
          <w:b w:val="0"/>
          <w:lang w:val="sq-AL"/>
        </w:rPr>
      </w:pPr>
      <w:bookmarkStart w:id="1062" w:name="_Toc189515649"/>
      <w:bookmarkStart w:id="1063" w:name="_Toc190160767"/>
      <w:r w:rsidRPr="00C149AB">
        <w:rPr>
          <w:rFonts w:ascii="Arial" w:hAnsi="Arial" w:cs="Arial"/>
          <w:b w:val="0"/>
          <w:lang w:val="sq-AL"/>
        </w:rPr>
        <w:t xml:space="preserve">Tabela </w:t>
      </w:r>
      <w:r w:rsidRPr="00C149AB">
        <w:rPr>
          <w:rFonts w:ascii="Arial" w:hAnsi="Arial" w:cs="Arial"/>
          <w:b w:val="0"/>
        </w:rPr>
        <w:fldChar w:fldCharType="begin"/>
      </w:r>
      <w:r w:rsidRPr="00C149AB">
        <w:rPr>
          <w:rFonts w:ascii="Arial" w:hAnsi="Arial" w:cs="Arial"/>
          <w:b w:val="0"/>
          <w:lang w:val="sq-AL"/>
        </w:rPr>
        <w:instrText xml:space="preserve"> SEQ Tabela \* ARABIC </w:instrText>
      </w:r>
      <w:r w:rsidRPr="00C149AB">
        <w:rPr>
          <w:rFonts w:ascii="Arial" w:hAnsi="Arial" w:cs="Arial"/>
          <w:b w:val="0"/>
        </w:rPr>
        <w:fldChar w:fldCharType="separate"/>
      </w:r>
      <w:r w:rsidR="007274DA">
        <w:rPr>
          <w:rFonts w:ascii="Arial" w:hAnsi="Arial" w:cs="Arial"/>
          <w:b w:val="0"/>
          <w:noProof/>
          <w:lang w:val="sq-AL"/>
        </w:rPr>
        <w:t>73</w:t>
      </w:r>
      <w:r w:rsidRPr="00C149AB">
        <w:rPr>
          <w:rFonts w:ascii="Arial" w:hAnsi="Arial" w:cs="Arial"/>
          <w:b w:val="0"/>
        </w:rPr>
        <w:fldChar w:fldCharType="end"/>
      </w:r>
      <w:r w:rsidRPr="00C149AB">
        <w:rPr>
          <w:rFonts w:ascii="Arial" w:hAnsi="Arial" w:cs="Arial"/>
          <w:b w:val="0"/>
          <w:lang w:val="sq-AL"/>
        </w:rPr>
        <w:t xml:space="preserve"> Troškovi sakupljanja otpada za opciju V</w:t>
      </w:r>
      <w:bookmarkEnd w:id="1062"/>
      <w:bookmarkEnd w:id="1063"/>
    </w:p>
    <w:tbl>
      <w:tblPr>
        <w:tblW w:w="7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2431"/>
        <w:gridCol w:w="1216"/>
        <w:gridCol w:w="2016"/>
      </w:tblGrid>
      <w:tr w:rsidR="00C232D7" w:rsidRPr="00C149AB" w14:paraId="477AB9FA" w14:textId="77777777" w:rsidTr="00C232D7">
        <w:trPr>
          <w:trHeight w:val="312"/>
          <w:jc w:val="center"/>
        </w:trPr>
        <w:tc>
          <w:tcPr>
            <w:tcW w:w="2320" w:type="dxa"/>
            <w:shd w:val="clear" w:color="auto" w:fill="F2F2F2" w:themeFill="background1" w:themeFillShade="F2"/>
            <w:vAlign w:val="center"/>
          </w:tcPr>
          <w:p w14:paraId="3C77EE19" w14:textId="77777777" w:rsidR="00C232D7" w:rsidRPr="00C149AB" w:rsidRDefault="00C232D7" w:rsidP="00C232D7">
            <w:pPr>
              <w:spacing w:line="360" w:lineRule="auto"/>
              <w:rPr>
                <w:rFonts w:ascii="Arial" w:hAnsi="Arial" w:cs="Arial"/>
                <w:b/>
                <w:bCs/>
                <w:sz w:val="18"/>
                <w:szCs w:val="18"/>
                <w:lang w:val="sq-AL"/>
              </w:rPr>
            </w:pPr>
            <w:r w:rsidRPr="00C149AB">
              <w:rPr>
                <w:rFonts w:ascii="Arial" w:hAnsi="Arial" w:cs="Arial"/>
                <w:b/>
                <w:bCs/>
                <w:sz w:val="18"/>
                <w:szCs w:val="18"/>
                <w:lang w:val="sq-AL"/>
              </w:rPr>
              <w:t>Vrsta opreme</w:t>
            </w:r>
          </w:p>
          <w:p w14:paraId="5FF6033B" w14:textId="77777777" w:rsidR="00C232D7" w:rsidRPr="00C149AB" w:rsidRDefault="00C232D7" w:rsidP="00C232D7">
            <w:pPr>
              <w:spacing w:line="360" w:lineRule="auto"/>
              <w:rPr>
                <w:rFonts w:ascii="Arial" w:hAnsi="Arial" w:cs="Arial"/>
                <w:b/>
                <w:bCs/>
                <w:sz w:val="18"/>
                <w:szCs w:val="18"/>
                <w:lang w:val="sq-AL"/>
              </w:rPr>
            </w:pPr>
          </w:p>
        </w:tc>
        <w:tc>
          <w:tcPr>
            <w:tcW w:w="2431" w:type="dxa"/>
            <w:shd w:val="clear" w:color="auto" w:fill="F2F2F2" w:themeFill="background1" w:themeFillShade="F2"/>
            <w:vAlign w:val="center"/>
          </w:tcPr>
          <w:p w14:paraId="7BE6D994" w14:textId="77777777" w:rsidR="00C232D7" w:rsidRPr="00C149AB" w:rsidRDefault="00C232D7" w:rsidP="00C232D7">
            <w:pPr>
              <w:spacing w:line="360" w:lineRule="auto"/>
              <w:rPr>
                <w:rFonts w:ascii="Arial" w:hAnsi="Arial" w:cs="Arial"/>
                <w:b/>
                <w:bCs/>
                <w:sz w:val="18"/>
                <w:szCs w:val="18"/>
                <w:lang w:val="sq-AL"/>
              </w:rPr>
            </w:pPr>
            <w:r w:rsidRPr="00C149AB">
              <w:rPr>
                <w:rFonts w:ascii="Arial" w:hAnsi="Arial" w:cs="Arial"/>
                <w:b/>
                <w:bCs/>
                <w:sz w:val="18"/>
                <w:szCs w:val="18"/>
                <w:lang w:val="sq-AL"/>
              </w:rPr>
              <w:t>Jedinična cijena (€/oprema)</w:t>
            </w:r>
          </w:p>
          <w:p w14:paraId="6235F93A" w14:textId="77777777" w:rsidR="00C232D7" w:rsidRPr="00C149AB" w:rsidRDefault="00C232D7" w:rsidP="00C232D7">
            <w:pPr>
              <w:spacing w:line="360" w:lineRule="auto"/>
              <w:rPr>
                <w:rFonts w:ascii="Arial" w:hAnsi="Arial" w:cs="Arial"/>
                <w:b/>
                <w:bCs/>
                <w:sz w:val="18"/>
                <w:szCs w:val="18"/>
                <w:lang w:val="sq-AL"/>
              </w:rPr>
            </w:pPr>
          </w:p>
        </w:tc>
        <w:tc>
          <w:tcPr>
            <w:tcW w:w="1216" w:type="dxa"/>
            <w:shd w:val="clear" w:color="auto" w:fill="F2F2F2" w:themeFill="background1" w:themeFillShade="F2"/>
            <w:vAlign w:val="center"/>
          </w:tcPr>
          <w:p w14:paraId="4BA706A7" w14:textId="77777777" w:rsidR="00C232D7" w:rsidRPr="00C149AB" w:rsidRDefault="00C232D7" w:rsidP="00C232D7">
            <w:pPr>
              <w:spacing w:line="360" w:lineRule="auto"/>
              <w:rPr>
                <w:rFonts w:ascii="Arial" w:hAnsi="Arial" w:cs="Arial"/>
                <w:b/>
                <w:bCs/>
                <w:sz w:val="18"/>
                <w:szCs w:val="18"/>
                <w:lang w:val="sq-AL"/>
              </w:rPr>
            </w:pPr>
            <w:r w:rsidRPr="00C149AB">
              <w:rPr>
                <w:rFonts w:ascii="Arial" w:hAnsi="Arial" w:cs="Arial"/>
                <w:b/>
                <w:bCs/>
                <w:sz w:val="18"/>
                <w:szCs w:val="18"/>
                <w:lang w:val="sq-AL"/>
              </w:rPr>
              <w:t>#broj jedinica</w:t>
            </w:r>
          </w:p>
        </w:tc>
        <w:tc>
          <w:tcPr>
            <w:tcW w:w="2016" w:type="dxa"/>
            <w:shd w:val="clear" w:color="auto" w:fill="F2F2F2" w:themeFill="background1" w:themeFillShade="F2"/>
            <w:vAlign w:val="center"/>
          </w:tcPr>
          <w:p w14:paraId="61B713AD" w14:textId="77777777" w:rsidR="00C232D7" w:rsidRPr="00C149AB" w:rsidRDefault="00C232D7" w:rsidP="00C232D7">
            <w:pPr>
              <w:spacing w:line="360" w:lineRule="auto"/>
              <w:rPr>
                <w:rFonts w:ascii="Arial" w:hAnsi="Arial" w:cs="Arial"/>
                <w:b/>
                <w:bCs/>
                <w:sz w:val="18"/>
                <w:szCs w:val="18"/>
                <w:lang w:val="sq-AL"/>
              </w:rPr>
            </w:pPr>
            <w:r w:rsidRPr="00C149AB">
              <w:rPr>
                <w:rFonts w:ascii="Arial" w:hAnsi="Arial" w:cs="Arial"/>
                <w:b/>
                <w:bCs/>
                <w:sz w:val="18"/>
                <w:szCs w:val="18"/>
                <w:lang w:val="sq-AL"/>
              </w:rPr>
              <w:t>Ukupna cijena (€)</w:t>
            </w:r>
          </w:p>
        </w:tc>
      </w:tr>
      <w:tr w:rsidR="00C232D7" w:rsidRPr="00C149AB" w14:paraId="409EDD99" w14:textId="77777777" w:rsidTr="00C232D7">
        <w:trPr>
          <w:trHeight w:val="312"/>
          <w:jc w:val="center"/>
        </w:trPr>
        <w:tc>
          <w:tcPr>
            <w:tcW w:w="2320" w:type="dxa"/>
            <w:shd w:val="clear" w:color="auto" w:fill="auto"/>
            <w:vAlign w:val="center"/>
          </w:tcPr>
          <w:p w14:paraId="4A3D7566" w14:textId="7EBBD2BA" w:rsidR="00C232D7" w:rsidRPr="00C149AB" w:rsidRDefault="005C4A0C" w:rsidP="00C232D7">
            <w:pPr>
              <w:spacing w:line="360" w:lineRule="auto"/>
              <w:rPr>
                <w:rFonts w:ascii="Arial" w:hAnsi="Arial" w:cs="Arial"/>
                <w:sz w:val="18"/>
                <w:szCs w:val="18"/>
                <w:lang w:val="sq-AL"/>
              </w:rPr>
            </w:pPr>
            <w:r w:rsidRPr="00C149AB">
              <w:rPr>
                <w:rFonts w:ascii="Arial" w:hAnsi="Arial" w:cs="Arial"/>
                <w:sz w:val="18"/>
                <w:szCs w:val="18"/>
                <w:lang w:val="sq-AL"/>
              </w:rPr>
              <w:t>Posude</w:t>
            </w:r>
            <w:r w:rsidR="00C232D7" w:rsidRPr="00C149AB">
              <w:rPr>
                <w:rFonts w:ascii="Arial" w:hAnsi="Arial" w:cs="Arial"/>
                <w:sz w:val="18"/>
                <w:szCs w:val="18"/>
                <w:lang w:val="sq-AL"/>
              </w:rPr>
              <w:t xml:space="preserve"> zapremine  120 l</w:t>
            </w:r>
          </w:p>
        </w:tc>
        <w:tc>
          <w:tcPr>
            <w:tcW w:w="2431" w:type="dxa"/>
            <w:shd w:val="clear" w:color="auto" w:fill="auto"/>
            <w:vAlign w:val="center"/>
          </w:tcPr>
          <w:p w14:paraId="32CDB222"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40</w:t>
            </w:r>
          </w:p>
        </w:tc>
        <w:tc>
          <w:tcPr>
            <w:tcW w:w="1216" w:type="dxa"/>
            <w:shd w:val="clear" w:color="auto" w:fill="auto"/>
            <w:vAlign w:val="center"/>
          </w:tcPr>
          <w:p w14:paraId="1837814B"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272.989</w:t>
            </w:r>
          </w:p>
        </w:tc>
        <w:tc>
          <w:tcPr>
            <w:tcW w:w="2016" w:type="dxa"/>
            <w:shd w:val="clear" w:color="auto" w:fill="auto"/>
            <w:vAlign w:val="center"/>
          </w:tcPr>
          <w:p w14:paraId="2467E3E7"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10.919.500</w:t>
            </w:r>
          </w:p>
        </w:tc>
      </w:tr>
      <w:tr w:rsidR="00C232D7" w:rsidRPr="00C149AB" w14:paraId="2E379D08" w14:textId="77777777" w:rsidTr="00C232D7">
        <w:trPr>
          <w:trHeight w:val="312"/>
          <w:jc w:val="center"/>
        </w:trPr>
        <w:tc>
          <w:tcPr>
            <w:tcW w:w="2320" w:type="dxa"/>
            <w:shd w:val="clear" w:color="auto" w:fill="auto"/>
            <w:vAlign w:val="center"/>
          </w:tcPr>
          <w:p w14:paraId="29A817C4" w14:textId="6320EB2E" w:rsidR="00C232D7" w:rsidRPr="00C149AB" w:rsidRDefault="005C4A0C" w:rsidP="00C232D7">
            <w:pPr>
              <w:spacing w:line="360" w:lineRule="auto"/>
              <w:rPr>
                <w:rFonts w:ascii="Arial" w:hAnsi="Arial" w:cs="Arial"/>
                <w:sz w:val="18"/>
                <w:szCs w:val="18"/>
                <w:lang w:val="sq-AL"/>
              </w:rPr>
            </w:pPr>
            <w:r w:rsidRPr="00C149AB">
              <w:rPr>
                <w:rFonts w:ascii="Arial" w:hAnsi="Arial" w:cs="Arial"/>
                <w:sz w:val="18"/>
                <w:szCs w:val="18"/>
                <w:lang w:val="sq-AL"/>
              </w:rPr>
              <w:t>Posude</w:t>
            </w:r>
            <w:r w:rsidR="00C232D7" w:rsidRPr="00C149AB">
              <w:rPr>
                <w:rFonts w:ascii="Arial" w:hAnsi="Arial" w:cs="Arial"/>
                <w:sz w:val="18"/>
                <w:szCs w:val="18"/>
                <w:lang w:val="sq-AL"/>
              </w:rPr>
              <w:t xml:space="preserve"> zapremine  240 l</w:t>
            </w:r>
          </w:p>
        </w:tc>
        <w:tc>
          <w:tcPr>
            <w:tcW w:w="2431" w:type="dxa"/>
            <w:shd w:val="clear" w:color="auto" w:fill="auto"/>
            <w:vAlign w:val="center"/>
          </w:tcPr>
          <w:p w14:paraId="30A4843C"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60</w:t>
            </w:r>
          </w:p>
        </w:tc>
        <w:tc>
          <w:tcPr>
            <w:tcW w:w="1216" w:type="dxa"/>
            <w:shd w:val="clear" w:color="auto" w:fill="auto"/>
            <w:vAlign w:val="center"/>
          </w:tcPr>
          <w:p w14:paraId="3271B6F5"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8.477</w:t>
            </w:r>
          </w:p>
        </w:tc>
        <w:tc>
          <w:tcPr>
            <w:tcW w:w="2016" w:type="dxa"/>
            <w:shd w:val="clear" w:color="auto" w:fill="auto"/>
            <w:vAlign w:val="center"/>
          </w:tcPr>
          <w:p w14:paraId="4F84A194"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508.620</w:t>
            </w:r>
          </w:p>
        </w:tc>
      </w:tr>
      <w:tr w:rsidR="00C232D7" w:rsidRPr="00C149AB" w14:paraId="1AB6CB78" w14:textId="77777777" w:rsidTr="00C232D7">
        <w:trPr>
          <w:trHeight w:val="348"/>
          <w:jc w:val="center"/>
        </w:trPr>
        <w:tc>
          <w:tcPr>
            <w:tcW w:w="2320" w:type="dxa"/>
            <w:shd w:val="clear" w:color="auto" w:fill="auto"/>
            <w:vAlign w:val="center"/>
          </w:tcPr>
          <w:p w14:paraId="269015D2" w14:textId="58212D26" w:rsidR="00C232D7" w:rsidRPr="00C149AB" w:rsidRDefault="005C4A0C" w:rsidP="00C232D7">
            <w:pPr>
              <w:spacing w:line="360" w:lineRule="auto"/>
              <w:rPr>
                <w:rFonts w:ascii="Arial" w:hAnsi="Arial" w:cs="Arial"/>
                <w:sz w:val="18"/>
                <w:szCs w:val="18"/>
                <w:lang w:val="sq-AL"/>
              </w:rPr>
            </w:pPr>
            <w:r w:rsidRPr="00C149AB">
              <w:rPr>
                <w:rFonts w:ascii="Arial" w:hAnsi="Arial" w:cs="Arial"/>
                <w:sz w:val="18"/>
                <w:szCs w:val="18"/>
                <w:lang w:val="sq-AL"/>
              </w:rPr>
              <w:t>Posude</w:t>
            </w:r>
            <w:r w:rsidR="00C232D7" w:rsidRPr="00C149AB">
              <w:rPr>
                <w:rFonts w:ascii="Arial" w:hAnsi="Arial" w:cs="Arial"/>
                <w:sz w:val="18"/>
                <w:szCs w:val="18"/>
                <w:lang w:val="sq-AL"/>
              </w:rPr>
              <w:t xml:space="preserve"> zapremine  1,1 m</w:t>
            </w:r>
            <w:r w:rsidR="00C232D7" w:rsidRPr="00C149AB">
              <w:rPr>
                <w:rFonts w:ascii="Arial" w:hAnsi="Arial" w:cs="Arial"/>
                <w:sz w:val="18"/>
                <w:szCs w:val="18"/>
                <w:vertAlign w:val="superscript"/>
                <w:lang w:val="sq-AL"/>
              </w:rPr>
              <w:t>3</w:t>
            </w:r>
            <w:r w:rsidR="00C232D7" w:rsidRPr="00C149AB">
              <w:rPr>
                <w:rFonts w:ascii="Arial" w:hAnsi="Arial" w:cs="Arial"/>
                <w:sz w:val="18"/>
                <w:szCs w:val="18"/>
                <w:lang w:val="sq-AL"/>
              </w:rPr>
              <w:t xml:space="preserve"> </w:t>
            </w:r>
          </w:p>
        </w:tc>
        <w:tc>
          <w:tcPr>
            <w:tcW w:w="2431" w:type="dxa"/>
            <w:shd w:val="clear" w:color="auto" w:fill="auto"/>
            <w:vAlign w:val="center"/>
          </w:tcPr>
          <w:p w14:paraId="00A1F1EF"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490</w:t>
            </w:r>
          </w:p>
        </w:tc>
        <w:tc>
          <w:tcPr>
            <w:tcW w:w="1216" w:type="dxa"/>
            <w:shd w:val="clear" w:color="auto" w:fill="auto"/>
            <w:vAlign w:val="center"/>
          </w:tcPr>
          <w:p w14:paraId="5FCB0CBA"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11.522</w:t>
            </w:r>
          </w:p>
        </w:tc>
        <w:tc>
          <w:tcPr>
            <w:tcW w:w="2016" w:type="dxa"/>
            <w:shd w:val="clear" w:color="auto" w:fill="auto"/>
            <w:vAlign w:val="center"/>
          </w:tcPr>
          <w:p w14:paraId="0BB4308A"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5.645.780</w:t>
            </w:r>
          </w:p>
        </w:tc>
      </w:tr>
      <w:tr w:rsidR="00C232D7" w:rsidRPr="00C149AB" w14:paraId="2C178DFE" w14:textId="77777777" w:rsidTr="00C232D7">
        <w:trPr>
          <w:trHeight w:val="348"/>
          <w:jc w:val="center"/>
        </w:trPr>
        <w:tc>
          <w:tcPr>
            <w:tcW w:w="2320" w:type="dxa"/>
            <w:shd w:val="clear" w:color="auto" w:fill="auto"/>
            <w:vAlign w:val="center"/>
          </w:tcPr>
          <w:p w14:paraId="71A869F2"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lang w:val="sq-AL"/>
              </w:rPr>
              <w:t>20 m</w:t>
            </w:r>
            <w:r w:rsidRPr="00C149AB">
              <w:rPr>
                <w:rFonts w:ascii="Arial" w:hAnsi="Arial" w:cs="Arial"/>
                <w:sz w:val="18"/>
                <w:szCs w:val="18"/>
                <w:vertAlign w:val="superscript"/>
                <w:lang w:val="sq-AL"/>
              </w:rPr>
              <w:t xml:space="preserve">3  </w:t>
            </w:r>
            <w:r w:rsidRPr="00C149AB">
              <w:rPr>
                <w:rFonts w:ascii="Arial" w:hAnsi="Arial" w:cs="Arial"/>
                <w:sz w:val="18"/>
                <w:szCs w:val="18"/>
                <w:lang w:val="sq-AL"/>
              </w:rPr>
              <w:t>kamion</w:t>
            </w:r>
          </w:p>
        </w:tc>
        <w:tc>
          <w:tcPr>
            <w:tcW w:w="2431" w:type="dxa"/>
            <w:shd w:val="clear" w:color="auto" w:fill="auto"/>
            <w:vAlign w:val="center"/>
          </w:tcPr>
          <w:p w14:paraId="64F56152"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180.000</w:t>
            </w:r>
          </w:p>
        </w:tc>
        <w:tc>
          <w:tcPr>
            <w:tcW w:w="1216" w:type="dxa"/>
            <w:shd w:val="clear" w:color="auto" w:fill="auto"/>
            <w:vAlign w:val="center"/>
          </w:tcPr>
          <w:p w14:paraId="34A38319"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8</w:t>
            </w:r>
          </w:p>
        </w:tc>
        <w:tc>
          <w:tcPr>
            <w:tcW w:w="2016" w:type="dxa"/>
            <w:shd w:val="clear" w:color="auto" w:fill="auto"/>
            <w:vAlign w:val="center"/>
          </w:tcPr>
          <w:p w14:paraId="7FE916AB"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1.440.000</w:t>
            </w:r>
          </w:p>
        </w:tc>
      </w:tr>
      <w:tr w:rsidR="00C232D7" w:rsidRPr="00C149AB" w14:paraId="1674599D" w14:textId="77777777" w:rsidTr="00C232D7">
        <w:trPr>
          <w:trHeight w:val="348"/>
          <w:jc w:val="center"/>
        </w:trPr>
        <w:tc>
          <w:tcPr>
            <w:tcW w:w="2320" w:type="dxa"/>
            <w:shd w:val="clear" w:color="auto" w:fill="auto"/>
            <w:vAlign w:val="center"/>
          </w:tcPr>
          <w:p w14:paraId="1EAF0418"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lang w:val="sq-AL"/>
              </w:rPr>
              <w:t>16 m</w:t>
            </w:r>
            <w:r w:rsidRPr="00C149AB">
              <w:rPr>
                <w:rFonts w:ascii="Arial" w:hAnsi="Arial" w:cs="Arial"/>
                <w:sz w:val="18"/>
                <w:szCs w:val="18"/>
                <w:vertAlign w:val="superscript"/>
                <w:lang w:val="sq-AL"/>
              </w:rPr>
              <w:t>3</w:t>
            </w:r>
            <w:r w:rsidRPr="00C149AB">
              <w:rPr>
                <w:rFonts w:ascii="Arial" w:hAnsi="Arial" w:cs="Arial"/>
                <w:sz w:val="18"/>
                <w:szCs w:val="18"/>
                <w:lang w:val="sq-AL"/>
              </w:rPr>
              <w:t xml:space="preserve"> kamion sa presom</w:t>
            </w:r>
          </w:p>
        </w:tc>
        <w:tc>
          <w:tcPr>
            <w:tcW w:w="2431" w:type="dxa"/>
            <w:shd w:val="clear" w:color="auto" w:fill="auto"/>
            <w:vAlign w:val="center"/>
          </w:tcPr>
          <w:p w14:paraId="3B3CD6C0"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150.000</w:t>
            </w:r>
          </w:p>
        </w:tc>
        <w:tc>
          <w:tcPr>
            <w:tcW w:w="1216" w:type="dxa"/>
            <w:shd w:val="clear" w:color="auto" w:fill="auto"/>
            <w:vAlign w:val="center"/>
          </w:tcPr>
          <w:p w14:paraId="280748E9"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39</w:t>
            </w:r>
          </w:p>
        </w:tc>
        <w:tc>
          <w:tcPr>
            <w:tcW w:w="2016" w:type="dxa"/>
            <w:shd w:val="clear" w:color="auto" w:fill="auto"/>
            <w:vAlign w:val="center"/>
          </w:tcPr>
          <w:p w14:paraId="3A84DF39"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5.850.000</w:t>
            </w:r>
          </w:p>
        </w:tc>
      </w:tr>
      <w:tr w:rsidR="00C232D7" w:rsidRPr="00C149AB" w14:paraId="76060503" w14:textId="77777777" w:rsidTr="00C232D7">
        <w:trPr>
          <w:trHeight w:val="348"/>
          <w:jc w:val="center"/>
        </w:trPr>
        <w:tc>
          <w:tcPr>
            <w:tcW w:w="2320" w:type="dxa"/>
            <w:shd w:val="clear" w:color="auto" w:fill="auto"/>
            <w:vAlign w:val="center"/>
          </w:tcPr>
          <w:p w14:paraId="089E8F97"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lang w:val="sq-AL"/>
              </w:rPr>
              <w:t>8 m</w:t>
            </w:r>
            <w:r w:rsidRPr="00C149AB">
              <w:rPr>
                <w:rFonts w:ascii="Arial" w:hAnsi="Arial" w:cs="Arial"/>
                <w:sz w:val="18"/>
                <w:szCs w:val="18"/>
                <w:vertAlign w:val="superscript"/>
                <w:lang w:val="sq-AL"/>
              </w:rPr>
              <w:t>3</w:t>
            </w:r>
            <w:r w:rsidRPr="00C149AB">
              <w:rPr>
                <w:rFonts w:ascii="Arial" w:hAnsi="Arial" w:cs="Arial"/>
                <w:sz w:val="18"/>
                <w:szCs w:val="18"/>
                <w:lang w:val="sq-AL"/>
              </w:rPr>
              <w:t xml:space="preserve"> kamion sa presom</w:t>
            </w:r>
          </w:p>
        </w:tc>
        <w:tc>
          <w:tcPr>
            <w:tcW w:w="2431" w:type="dxa"/>
            <w:shd w:val="clear" w:color="auto" w:fill="auto"/>
            <w:vAlign w:val="center"/>
          </w:tcPr>
          <w:p w14:paraId="45F74622"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110.000</w:t>
            </w:r>
          </w:p>
        </w:tc>
        <w:tc>
          <w:tcPr>
            <w:tcW w:w="1216" w:type="dxa"/>
            <w:shd w:val="clear" w:color="auto" w:fill="auto"/>
            <w:vAlign w:val="center"/>
          </w:tcPr>
          <w:p w14:paraId="3A4A5B9F"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33</w:t>
            </w:r>
          </w:p>
        </w:tc>
        <w:tc>
          <w:tcPr>
            <w:tcW w:w="2016" w:type="dxa"/>
            <w:shd w:val="clear" w:color="auto" w:fill="auto"/>
            <w:vAlign w:val="center"/>
          </w:tcPr>
          <w:p w14:paraId="51A9B15C"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3.630.000</w:t>
            </w:r>
          </w:p>
        </w:tc>
      </w:tr>
      <w:tr w:rsidR="00C232D7" w:rsidRPr="00C149AB" w14:paraId="27C94C52" w14:textId="77777777" w:rsidTr="00C232D7">
        <w:trPr>
          <w:trHeight w:val="348"/>
          <w:jc w:val="center"/>
        </w:trPr>
        <w:tc>
          <w:tcPr>
            <w:tcW w:w="2320" w:type="dxa"/>
            <w:shd w:val="clear" w:color="auto" w:fill="auto"/>
            <w:vAlign w:val="center"/>
          </w:tcPr>
          <w:p w14:paraId="5FFB4830"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lang w:val="sq-AL"/>
              </w:rPr>
              <w:t>4 m</w:t>
            </w:r>
            <w:r w:rsidRPr="00C149AB">
              <w:rPr>
                <w:rFonts w:ascii="Arial" w:hAnsi="Arial" w:cs="Arial"/>
                <w:sz w:val="18"/>
                <w:szCs w:val="18"/>
                <w:vertAlign w:val="superscript"/>
                <w:lang w:val="sq-AL"/>
              </w:rPr>
              <w:t>3</w:t>
            </w:r>
            <w:r w:rsidRPr="00C149AB">
              <w:rPr>
                <w:rFonts w:ascii="Arial" w:hAnsi="Arial" w:cs="Arial"/>
                <w:sz w:val="18"/>
                <w:szCs w:val="18"/>
                <w:lang w:val="sq-AL"/>
              </w:rPr>
              <w:t xml:space="preserve"> kamion sa presom</w:t>
            </w:r>
          </w:p>
        </w:tc>
        <w:tc>
          <w:tcPr>
            <w:tcW w:w="2431" w:type="dxa"/>
            <w:shd w:val="clear" w:color="auto" w:fill="auto"/>
            <w:vAlign w:val="center"/>
          </w:tcPr>
          <w:p w14:paraId="460D3C45"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80.000</w:t>
            </w:r>
          </w:p>
        </w:tc>
        <w:tc>
          <w:tcPr>
            <w:tcW w:w="1216" w:type="dxa"/>
            <w:shd w:val="clear" w:color="auto" w:fill="auto"/>
            <w:vAlign w:val="center"/>
          </w:tcPr>
          <w:p w14:paraId="04CDECF3"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3</w:t>
            </w:r>
          </w:p>
        </w:tc>
        <w:tc>
          <w:tcPr>
            <w:tcW w:w="2016" w:type="dxa"/>
            <w:shd w:val="clear" w:color="auto" w:fill="auto"/>
            <w:vAlign w:val="center"/>
          </w:tcPr>
          <w:p w14:paraId="6B07DD7F"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240.000</w:t>
            </w:r>
          </w:p>
        </w:tc>
      </w:tr>
      <w:tr w:rsidR="00C232D7" w:rsidRPr="00C149AB" w14:paraId="54637799" w14:textId="77777777" w:rsidTr="00C232D7">
        <w:trPr>
          <w:trHeight w:val="348"/>
          <w:jc w:val="center"/>
        </w:trPr>
        <w:tc>
          <w:tcPr>
            <w:tcW w:w="2320" w:type="dxa"/>
            <w:shd w:val="clear" w:color="auto" w:fill="auto"/>
            <w:vAlign w:val="center"/>
          </w:tcPr>
          <w:p w14:paraId="7081B0F1"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lang w:val="sq-AL"/>
              </w:rPr>
              <w:t>6 m</w:t>
            </w:r>
            <w:r w:rsidRPr="00C149AB">
              <w:rPr>
                <w:rFonts w:ascii="Arial" w:hAnsi="Arial" w:cs="Arial"/>
                <w:sz w:val="18"/>
                <w:szCs w:val="18"/>
                <w:vertAlign w:val="superscript"/>
                <w:lang w:val="sq-AL"/>
              </w:rPr>
              <w:t>3</w:t>
            </w:r>
            <w:r w:rsidRPr="00C149AB">
              <w:rPr>
                <w:rFonts w:ascii="Arial" w:hAnsi="Arial" w:cs="Arial"/>
                <w:sz w:val="18"/>
                <w:szCs w:val="18"/>
                <w:lang w:val="sq-AL"/>
              </w:rPr>
              <w:t xml:space="preserve"> otvoreni kamion</w:t>
            </w:r>
          </w:p>
        </w:tc>
        <w:tc>
          <w:tcPr>
            <w:tcW w:w="2431" w:type="dxa"/>
            <w:shd w:val="clear" w:color="auto" w:fill="auto"/>
            <w:vAlign w:val="center"/>
          </w:tcPr>
          <w:p w14:paraId="3A6DEE82"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70.000</w:t>
            </w:r>
          </w:p>
        </w:tc>
        <w:tc>
          <w:tcPr>
            <w:tcW w:w="1216" w:type="dxa"/>
            <w:shd w:val="clear" w:color="auto" w:fill="auto"/>
            <w:vAlign w:val="center"/>
          </w:tcPr>
          <w:p w14:paraId="2663CCDE"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10</w:t>
            </w:r>
          </w:p>
        </w:tc>
        <w:tc>
          <w:tcPr>
            <w:tcW w:w="2016" w:type="dxa"/>
            <w:shd w:val="clear" w:color="auto" w:fill="auto"/>
            <w:vAlign w:val="center"/>
          </w:tcPr>
          <w:p w14:paraId="5DB719BE"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700.000</w:t>
            </w:r>
          </w:p>
        </w:tc>
      </w:tr>
      <w:tr w:rsidR="00C232D7" w:rsidRPr="00C149AB" w14:paraId="16C24AF5" w14:textId="77777777" w:rsidTr="00C232D7">
        <w:trPr>
          <w:trHeight w:val="312"/>
          <w:jc w:val="center"/>
        </w:trPr>
        <w:tc>
          <w:tcPr>
            <w:tcW w:w="2320" w:type="dxa"/>
            <w:shd w:val="clear" w:color="auto" w:fill="auto"/>
            <w:vAlign w:val="center"/>
          </w:tcPr>
          <w:p w14:paraId="06EFFFCD" w14:textId="399464F2"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lang w:val="sq-AL"/>
              </w:rPr>
              <w:t xml:space="preserve">Vozilo za pranje </w:t>
            </w:r>
            <w:r w:rsidR="007B1545" w:rsidRPr="00C149AB">
              <w:rPr>
                <w:rFonts w:ascii="Arial" w:hAnsi="Arial" w:cs="Arial"/>
                <w:sz w:val="18"/>
                <w:szCs w:val="18"/>
                <w:lang w:val="sq-AL"/>
              </w:rPr>
              <w:t>posuda</w:t>
            </w:r>
          </w:p>
        </w:tc>
        <w:tc>
          <w:tcPr>
            <w:tcW w:w="2431" w:type="dxa"/>
            <w:shd w:val="clear" w:color="auto" w:fill="auto"/>
            <w:vAlign w:val="center"/>
          </w:tcPr>
          <w:p w14:paraId="40351F6F"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120.000</w:t>
            </w:r>
          </w:p>
        </w:tc>
        <w:tc>
          <w:tcPr>
            <w:tcW w:w="1216" w:type="dxa"/>
            <w:shd w:val="clear" w:color="auto" w:fill="auto"/>
            <w:vAlign w:val="center"/>
          </w:tcPr>
          <w:p w14:paraId="5103B57F"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8</w:t>
            </w:r>
          </w:p>
        </w:tc>
        <w:tc>
          <w:tcPr>
            <w:tcW w:w="2016" w:type="dxa"/>
            <w:shd w:val="clear" w:color="auto" w:fill="auto"/>
            <w:vAlign w:val="center"/>
          </w:tcPr>
          <w:p w14:paraId="1656B09E"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960.000</w:t>
            </w:r>
          </w:p>
        </w:tc>
      </w:tr>
      <w:tr w:rsidR="00C232D7" w:rsidRPr="00C149AB" w14:paraId="2356AEC6" w14:textId="77777777" w:rsidTr="00C232D7">
        <w:trPr>
          <w:trHeight w:val="312"/>
          <w:jc w:val="center"/>
        </w:trPr>
        <w:tc>
          <w:tcPr>
            <w:tcW w:w="2320" w:type="dxa"/>
            <w:shd w:val="clear" w:color="auto" w:fill="auto"/>
            <w:vAlign w:val="center"/>
          </w:tcPr>
          <w:p w14:paraId="36C25D44" w14:textId="77777777" w:rsidR="00C232D7" w:rsidRPr="00C149AB" w:rsidRDefault="00C232D7" w:rsidP="00C232D7">
            <w:pPr>
              <w:spacing w:line="360" w:lineRule="auto"/>
              <w:rPr>
                <w:rFonts w:ascii="Arial" w:hAnsi="Arial" w:cs="Arial"/>
                <w:b/>
                <w:bCs/>
                <w:sz w:val="18"/>
                <w:szCs w:val="18"/>
                <w:lang w:val="sq-AL"/>
              </w:rPr>
            </w:pPr>
            <w:r w:rsidRPr="00C149AB">
              <w:rPr>
                <w:rFonts w:ascii="Arial" w:hAnsi="Arial" w:cs="Arial"/>
                <w:b/>
                <w:bCs/>
                <w:sz w:val="18"/>
                <w:szCs w:val="18"/>
                <w:lang w:val="sq-AL"/>
              </w:rPr>
              <w:t>Ukupno</w:t>
            </w:r>
          </w:p>
        </w:tc>
        <w:tc>
          <w:tcPr>
            <w:tcW w:w="2431" w:type="dxa"/>
            <w:shd w:val="clear" w:color="auto" w:fill="auto"/>
            <w:vAlign w:val="center"/>
          </w:tcPr>
          <w:p w14:paraId="5980BF63" w14:textId="77777777" w:rsidR="00C232D7" w:rsidRPr="00C149AB" w:rsidRDefault="00C232D7" w:rsidP="00C232D7">
            <w:pPr>
              <w:spacing w:line="360" w:lineRule="auto"/>
              <w:rPr>
                <w:rFonts w:ascii="Arial" w:hAnsi="Arial" w:cs="Arial"/>
                <w:b/>
                <w:bCs/>
                <w:sz w:val="18"/>
                <w:szCs w:val="18"/>
                <w:lang w:val="sq-AL"/>
              </w:rPr>
            </w:pPr>
            <w:r w:rsidRPr="00C149AB">
              <w:rPr>
                <w:rFonts w:ascii="Arial" w:hAnsi="Arial" w:cs="Arial"/>
                <w:b/>
                <w:bCs/>
                <w:sz w:val="18"/>
                <w:szCs w:val="18"/>
                <w:lang w:val="sq-AL"/>
              </w:rPr>
              <w:t> </w:t>
            </w:r>
          </w:p>
        </w:tc>
        <w:tc>
          <w:tcPr>
            <w:tcW w:w="1216" w:type="dxa"/>
            <w:shd w:val="clear" w:color="auto" w:fill="auto"/>
            <w:vAlign w:val="center"/>
          </w:tcPr>
          <w:p w14:paraId="3B3B0FF5" w14:textId="77777777" w:rsidR="00C232D7" w:rsidRPr="00C149AB" w:rsidRDefault="00C232D7" w:rsidP="00C232D7">
            <w:pPr>
              <w:spacing w:line="360" w:lineRule="auto"/>
              <w:rPr>
                <w:rFonts w:ascii="Arial" w:hAnsi="Arial" w:cs="Arial"/>
                <w:sz w:val="18"/>
                <w:szCs w:val="18"/>
                <w:highlight w:val="yellow"/>
                <w:lang w:val="sq-AL"/>
              </w:rPr>
            </w:pPr>
            <w:r w:rsidRPr="00C149AB">
              <w:rPr>
                <w:rFonts w:ascii="Arial" w:hAnsi="Arial" w:cs="Arial"/>
                <w:sz w:val="18"/>
                <w:szCs w:val="18"/>
              </w:rPr>
              <w:t> </w:t>
            </w:r>
          </w:p>
        </w:tc>
        <w:tc>
          <w:tcPr>
            <w:tcW w:w="2016" w:type="dxa"/>
            <w:shd w:val="clear" w:color="auto" w:fill="auto"/>
            <w:vAlign w:val="center"/>
          </w:tcPr>
          <w:p w14:paraId="63DFFF6C" w14:textId="77777777" w:rsidR="00C232D7" w:rsidRPr="00C149AB" w:rsidRDefault="00C232D7" w:rsidP="00C232D7">
            <w:pPr>
              <w:spacing w:line="360" w:lineRule="auto"/>
              <w:rPr>
                <w:rFonts w:ascii="Arial" w:hAnsi="Arial" w:cs="Arial"/>
                <w:b/>
                <w:bCs/>
                <w:sz w:val="18"/>
                <w:szCs w:val="18"/>
                <w:highlight w:val="yellow"/>
                <w:lang w:val="sq-AL"/>
              </w:rPr>
            </w:pPr>
            <w:r w:rsidRPr="00C149AB">
              <w:rPr>
                <w:rFonts w:ascii="Arial" w:hAnsi="Arial" w:cs="Arial"/>
                <w:b/>
                <w:bCs/>
                <w:sz w:val="18"/>
                <w:szCs w:val="18"/>
              </w:rPr>
              <w:t>29.893.950</w:t>
            </w:r>
          </w:p>
        </w:tc>
      </w:tr>
    </w:tbl>
    <w:p w14:paraId="4F7BA1EB" w14:textId="5EF9725E" w:rsidR="00C232D7" w:rsidRDefault="00C232D7" w:rsidP="00C232D7">
      <w:pPr>
        <w:spacing w:before="120" w:after="120" w:line="360" w:lineRule="auto"/>
        <w:rPr>
          <w:rFonts w:ascii="Arial" w:hAnsi="Arial" w:cs="Arial"/>
          <w:lang w:val="sq-AL"/>
        </w:rPr>
      </w:pPr>
      <w:r w:rsidRPr="002A6F4E">
        <w:rPr>
          <w:rFonts w:ascii="Arial" w:hAnsi="Arial" w:cs="Arial"/>
          <w:lang w:val="sq-AL"/>
        </w:rPr>
        <w:t>U narednoj tabeli prikazan je  učinak ove opcije u odnosu na kvantitativne ciljeve.</w:t>
      </w:r>
    </w:p>
    <w:p w14:paraId="16E7FB6D" w14:textId="77777777" w:rsidR="00D33BB9" w:rsidRDefault="00D33BB9" w:rsidP="00C232D7">
      <w:pPr>
        <w:spacing w:before="120" w:after="120" w:line="360" w:lineRule="auto"/>
        <w:rPr>
          <w:rFonts w:ascii="Arial" w:hAnsi="Arial" w:cs="Arial"/>
          <w:lang w:val="sq-AL"/>
        </w:rPr>
      </w:pPr>
    </w:p>
    <w:p w14:paraId="5CA547A8" w14:textId="77777777" w:rsidR="00D33BB9" w:rsidRDefault="00D33BB9" w:rsidP="00C232D7">
      <w:pPr>
        <w:spacing w:before="120" w:after="120" w:line="360" w:lineRule="auto"/>
        <w:rPr>
          <w:rFonts w:ascii="Arial" w:hAnsi="Arial" w:cs="Arial"/>
          <w:lang w:val="sq-AL"/>
        </w:rPr>
      </w:pPr>
    </w:p>
    <w:p w14:paraId="4BBAE7AD" w14:textId="77777777" w:rsidR="00D33BB9" w:rsidRPr="00AF012C" w:rsidRDefault="00D33BB9" w:rsidP="00C232D7">
      <w:pPr>
        <w:spacing w:before="120" w:after="120" w:line="360" w:lineRule="auto"/>
        <w:rPr>
          <w:rFonts w:ascii="Arial" w:hAnsi="Arial" w:cs="Arial"/>
          <w:lang w:val="sq-AL"/>
        </w:rPr>
      </w:pPr>
    </w:p>
    <w:p w14:paraId="6BB1B745" w14:textId="321E2A9E" w:rsidR="00C232D7" w:rsidRPr="00C149AB" w:rsidRDefault="00C232D7" w:rsidP="00485B01">
      <w:pPr>
        <w:pStyle w:val="Caption"/>
        <w:rPr>
          <w:rFonts w:ascii="Arial" w:hAnsi="Arial" w:cs="Arial"/>
          <w:b w:val="0"/>
          <w:lang w:val="sq-AL"/>
        </w:rPr>
      </w:pPr>
      <w:bookmarkStart w:id="1064" w:name="_Toc189515650"/>
      <w:bookmarkStart w:id="1065" w:name="_Toc190160768"/>
      <w:r w:rsidRPr="00C149AB">
        <w:rPr>
          <w:rFonts w:ascii="Arial" w:hAnsi="Arial" w:cs="Arial"/>
          <w:b w:val="0"/>
          <w:lang w:val="sq-AL"/>
        </w:rPr>
        <w:lastRenderedPageBreak/>
        <w:t xml:space="preserve">Tabela </w:t>
      </w:r>
      <w:r w:rsidRPr="00C149AB">
        <w:rPr>
          <w:rFonts w:ascii="Arial" w:hAnsi="Arial" w:cs="Arial"/>
          <w:b w:val="0"/>
          <w:lang w:val="sq-AL"/>
        </w:rPr>
        <w:fldChar w:fldCharType="begin"/>
      </w:r>
      <w:r w:rsidRPr="00C149AB">
        <w:rPr>
          <w:rFonts w:ascii="Arial" w:hAnsi="Arial" w:cs="Arial"/>
          <w:b w:val="0"/>
          <w:lang w:val="sq-AL"/>
        </w:rPr>
        <w:instrText xml:space="preserve"> SEQ Tabela \* ARABIC </w:instrText>
      </w:r>
      <w:r w:rsidRPr="00C149AB">
        <w:rPr>
          <w:rFonts w:ascii="Arial" w:hAnsi="Arial" w:cs="Arial"/>
          <w:b w:val="0"/>
          <w:lang w:val="sq-AL"/>
        </w:rPr>
        <w:fldChar w:fldCharType="separate"/>
      </w:r>
      <w:r w:rsidR="007274DA">
        <w:rPr>
          <w:rFonts w:ascii="Arial" w:hAnsi="Arial" w:cs="Arial"/>
          <w:b w:val="0"/>
          <w:noProof/>
          <w:lang w:val="sq-AL"/>
        </w:rPr>
        <w:t>74</w:t>
      </w:r>
      <w:r w:rsidRPr="00C149AB">
        <w:rPr>
          <w:rFonts w:ascii="Arial" w:hAnsi="Arial" w:cs="Arial"/>
          <w:b w:val="0"/>
          <w:lang w:val="sq-AL"/>
        </w:rPr>
        <w:fldChar w:fldCharType="end"/>
      </w:r>
      <w:r w:rsidRPr="00C149AB">
        <w:rPr>
          <w:rFonts w:ascii="Arial" w:hAnsi="Arial" w:cs="Arial"/>
          <w:b w:val="0"/>
          <w:lang w:val="sq-AL"/>
        </w:rPr>
        <w:t xml:space="preserve"> Učinak Opcije V u odnosu na postavljene ciljeve</w:t>
      </w:r>
      <w:bookmarkEnd w:id="1064"/>
      <w:bookmarkEnd w:id="1065"/>
    </w:p>
    <w:tbl>
      <w:tblPr>
        <w:tblStyle w:val="GridTable4-Accent11"/>
        <w:tblW w:w="50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6"/>
        <w:gridCol w:w="2862"/>
        <w:gridCol w:w="2900"/>
        <w:gridCol w:w="1443"/>
      </w:tblGrid>
      <w:tr w:rsidR="00C232D7" w:rsidRPr="00C149AB" w14:paraId="58B4A54C" w14:textId="77777777" w:rsidTr="00C232D7">
        <w:trPr>
          <w:cnfStyle w:val="100000000000" w:firstRow="1" w:lastRow="0" w:firstColumn="0" w:lastColumn="0" w:oddVBand="0" w:evenVBand="0" w:oddHBand="0" w:evenHBand="0" w:firstRowFirstColumn="0" w:firstRowLastColumn="0" w:lastRowFirstColumn="0" w:lastRowLastColumn="0"/>
          <w:trHeight w:val="433"/>
          <w:tblHeader/>
          <w:jc w:val="center"/>
        </w:trPr>
        <w:tc>
          <w:tcPr>
            <w:cnfStyle w:val="001000000000" w:firstRow="0" w:lastRow="0" w:firstColumn="1" w:lastColumn="0" w:oddVBand="0" w:evenVBand="0" w:oddHBand="0" w:evenHBand="0" w:firstRowFirstColumn="0" w:firstRowLastColumn="0" w:lastRowFirstColumn="0" w:lastRowLastColumn="0"/>
            <w:tcW w:w="1200" w:type="pct"/>
            <w:tcBorders>
              <w:top w:val="single" w:sz="4" w:space="0" w:color="auto"/>
              <w:left w:val="single" w:sz="4" w:space="0" w:color="auto"/>
              <w:bottom w:val="single" w:sz="4" w:space="0" w:color="auto"/>
            </w:tcBorders>
            <w:shd w:val="clear" w:color="auto" w:fill="F2F2F2" w:themeFill="background1" w:themeFillShade="F2"/>
            <w:vAlign w:val="center"/>
          </w:tcPr>
          <w:p w14:paraId="1BD0B87F" w14:textId="77777777" w:rsidR="00C232D7" w:rsidRPr="00BB759A" w:rsidRDefault="00C232D7" w:rsidP="00C232D7">
            <w:pPr>
              <w:pStyle w:val="Normal-10pt-Table"/>
              <w:spacing w:line="360" w:lineRule="auto"/>
              <w:jc w:val="both"/>
              <w:rPr>
                <w:rFonts w:ascii="Arial" w:hAnsi="Arial" w:cs="Arial"/>
                <w:b w:val="0"/>
                <w:bCs w:val="0"/>
                <w:sz w:val="16"/>
                <w:szCs w:val="18"/>
                <w:lang w:val="sq-AL"/>
              </w:rPr>
            </w:pPr>
            <w:r w:rsidRPr="00BB759A">
              <w:rPr>
                <w:rFonts w:ascii="Arial" w:hAnsi="Arial" w:cs="Arial"/>
                <w:color w:val="auto"/>
                <w:sz w:val="16"/>
                <w:szCs w:val="18"/>
                <w:lang w:val="sq-AL"/>
              </w:rPr>
              <w:t>Faza upravljanja otpadom</w:t>
            </w:r>
          </w:p>
        </w:tc>
        <w:tc>
          <w:tcPr>
            <w:tcW w:w="1509" w:type="pct"/>
            <w:tcBorders>
              <w:top w:val="single" w:sz="4" w:space="0" w:color="auto"/>
              <w:left w:val="single" w:sz="4" w:space="0" w:color="auto"/>
              <w:bottom w:val="single" w:sz="4" w:space="0" w:color="auto"/>
            </w:tcBorders>
            <w:shd w:val="clear" w:color="auto" w:fill="F2F2F2" w:themeFill="background1" w:themeFillShade="F2"/>
            <w:vAlign w:val="center"/>
          </w:tcPr>
          <w:p w14:paraId="31429F4D" w14:textId="77777777" w:rsidR="00C232D7" w:rsidRPr="00BB759A"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8"/>
                <w:lang w:val="sq-AL"/>
              </w:rPr>
            </w:pPr>
            <w:r w:rsidRPr="00BB759A">
              <w:rPr>
                <w:rFonts w:ascii="Arial" w:hAnsi="Arial" w:cs="Arial"/>
                <w:color w:val="auto"/>
                <w:sz w:val="16"/>
                <w:szCs w:val="18"/>
                <w:lang w:val="sq-AL"/>
              </w:rPr>
              <w:t>Potražnja</w:t>
            </w:r>
          </w:p>
        </w:tc>
        <w:tc>
          <w:tcPr>
            <w:tcW w:w="1529" w:type="pct"/>
            <w:tcBorders>
              <w:top w:val="single" w:sz="4" w:space="0" w:color="auto"/>
              <w:left w:val="single" w:sz="4" w:space="0" w:color="auto"/>
              <w:bottom w:val="single" w:sz="4" w:space="0" w:color="auto"/>
            </w:tcBorders>
            <w:shd w:val="clear" w:color="auto" w:fill="F2F2F2" w:themeFill="background1" w:themeFillShade="F2"/>
            <w:vAlign w:val="center"/>
          </w:tcPr>
          <w:p w14:paraId="63E62B88" w14:textId="77777777" w:rsidR="00C232D7" w:rsidRPr="00BB759A"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8"/>
                <w:lang w:val="sq-AL"/>
              </w:rPr>
            </w:pPr>
            <w:r w:rsidRPr="00BB759A">
              <w:rPr>
                <w:rFonts w:ascii="Arial" w:hAnsi="Arial" w:cs="Arial"/>
                <w:color w:val="auto"/>
                <w:sz w:val="16"/>
                <w:szCs w:val="18"/>
                <w:lang w:val="sq-AL"/>
              </w:rPr>
              <w:t>Učinak</w:t>
            </w:r>
          </w:p>
        </w:tc>
        <w:tc>
          <w:tcPr>
            <w:tcW w:w="76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20E317" w14:textId="77777777" w:rsidR="00C232D7" w:rsidRPr="00BB759A"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8"/>
                <w:lang w:val="sq-AL"/>
              </w:rPr>
            </w:pPr>
            <w:r w:rsidRPr="00BB759A">
              <w:rPr>
                <w:rFonts w:ascii="Arial" w:hAnsi="Arial" w:cs="Arial"/>
                <w:color w:val="auto"/>
                <w:sz w:val="16"/>
                <w:szCs w:val="18"/>
                <w:lang w:val="sq-AL"/>
              </w:rPr>
              <w:t>Nivo ispunjenosti</w:t>
            </w:r>
          </w:p>
        </w:tc>
      </w:tr>
      <w:tr w:rsidR="00C232D7" w:rsidRPr="00C149AB" w14:paraId="2E038D8A"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tcBorders>
              <w:top w:val="single" w:sz="4" w:space="0" w:color="auto"/>
            </w:tcBorders>
            <w:shd w:val="clear" w:color="auto" w:fill="auto"/>
            <w:vAlign w:val="center"/>
          </w:tcPr>
          <w:p w14:paraId="25363A70" w14:textId="77777777" w:rsidR="00C232D7" w:rsidRPr="00BB759A" w:rsidRDefault="00C232D7" w:rsidP="00C232D7">
            <w:pPr>
              <w:pStyle w:val="Normal-10pt-Table"/>
              <w:spacing w:line="360" w:lineRule="auto"/>
              <w:jc w:val="both"/>
              <w:rPr>
                <w:rFonts w:ascii="Arial" w:hAnsi="Arial" w:cs="Arial"/>
                <w:b w:val="0"/>
                <w:bCs w:val="0"/>
                <w:sz w:val="16"/>
                <w:szCs w:val="18"/>
                <w:lang w:val="sq-AL"/>
              </w:rPr>
            </w:pPr>
            <w:r w:rsidRPr="00BB759A">
              <w:rPr>
                <w:rFonts w:ascii="Arial" w:hAnsi="Arial" w:cs="Arial"/>
                <w:sz w:val="16"/>
                <w:szCs w:val="18"/>
                <w:lang w:val="sq-AL"/>
              </w:rPr>
              <w:t>Ukupno sakupljene količine otpada</w:t>
            </w:r>
          </w:p>
        </w:tc>
        <w:tc>
          <w:tcPr>
            <w:tcW w:w="1509" w:type="pct"/>
            <w:tcBorders>
              <w:top w:val="single" w:sz="4" w:space="0" w:color="auto"/>
            </w:tcBorders>
            <w:shd w:val="clear" w:color="auto" w:fill="auto"/>
            <w:vAlign w:val="center"/>
          </w:tcPr>
          <w:p w14:paraId="2C6CAEC2" w14:textId="338270B0" w:rsidR="00C232D7" w:rsidRPr="00BB759A" w:rsidRDefault="00D8450F"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mk-MK"/>
              </w:rPr>
            </w:pPr>
            <w:r w:rsidRPr="00BB759A">
              <w:rPr>
                <w:rFonts w:ascii="Arial" w:hAnsi="Arial" w:cs="Arial"/>
                <w:sz w:val="16"/>
                <w:szCs w:val="18"/>
                <w:lang w:val="mk-MK"/>
              </w:rPr>
              <w:t>202</w:t>
            </w:r>
            <w:r w:rsidR="00321732" w:rsidRPr="00BB759A">
              <w:rPr>
                <w:rFonts w:ascii="Arial" w:hAnsi="Arial" w:cs="Arial"/>
                <w:sz w:val="16"/>
                <w:szCs w:val="18"/>
                <w:lang w:val="sr-Latn-RS"/>
              </w:rPr>
              <w:t>5</w:t>
            </w:r>
            <w:r w:rsidRPr="00BB759A">
              <w:rPr>
                <w:rFonts w:ascii="Arial" w:hAnsi="Arial" w:cs="Arial"/>
                <w:sz w:val="16"/>
                <w:szCs w:val="18"/>
                <w:lang w:val="mk-MK"/>
              </w:rPr>
              <w:t>: 350.424 t/god (</w:t>
            </w:r>
            <w:r w:rsidR="00C232D7" w:rsidRPr="00BB759A">
              <w:rPr>
                <w:rFonts w:ascii="Arial" w:hAnsi="Arial" w:cs="Arial"/>
                <w:sz w:val="16"/>
                <w:szCs w:val="18"/>
                <w:lang w:val="mk-MK"/>
              </w:rPr>
              <w:t>100% ukupnog otpada)</w:t>
            </w:r>
          </w:p>
          <w:p w14:paraId="60791AAC" w14:textId="6B12A29F" w:rsidR="00C232D7" w:rsidRPr="00BB759A"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eastAsia="en-GB"/>
              </w:rPr>
            </w:pPr>
            <w:r w:rsidRPr="00BB759A">
              <w:rPr>
                <w:rFonts w:ascii="Arial" w:hAnsi="Arial" w:cs="Arial"/>
                <w:sz w:val="16"/>
                <w:szCs w:val="18"/>
                <w:lang w:val="en-US"/>
              </w:rPr>
              <w:t>2029</w:t>
            </w:r>
            <w:r w:rsidR="00D8450F" w:rsidRPr="00BB759A">
              <w:rPr>
                <w:rFonts w:ascii="Arial" w:hAnsi="Arial" w:cs="Arial"/>
                <w:sz w:val="16"/>
                <w:szCs w:val="18"/>
                <w:lang w:val="mk-MK"/>
              </w:rPr>
              <w:t>: 360.433 t/god (</w:t>
            </w:r>
            <w:r w:rsidR="00C232D7" w:rsidRPr="00BB759A">
              <w:rPr>
                <w:rFonts w:ascii="Arial" w:hAnsi="Arial" w:cs="Arial"/>
                <w:sz w:val="16"/>
                <w:szCs w:val="18"/>
                <w:lang w:val="mk-MK"/>
              </w:rPr>
              <w:t>100% ukupnog otpada)</w:t>
            </w:r>
          </w:p>
        </w:tc>
        <w:tc>
          <w:tcPr>
            <w:tcW w:w="1529" w:type="pct"/>
            <w:tcBorders>
              <w:top w:val="single" w:sz="4" w:space="0" w:color="auto"/>
            </w:tcBorders>
            <w:shd w:val="clear" w:color="auto" w:fill="auto"/>
            <w:vAlign w:val="center"/>
          </w:tcPr>
          <w:p w14:paraId="21011C4B" w14:textId="1698E462" w:rsidR="00C232D7" w:rsidRPr="00BB759A" w:rsidRDefault="00D8450F"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mk-MK"/>
              </w:rPr>
            </w:pPr>
            <w:r w:rsidRPr="00BB759A">
              <w:rPr>
                <w:rFonts w:ascii="Arial" w:hAnsi="Arial" w:cs="Arial"/>
                <w:sz w:val="16"/>
                <w:szCs w:val="18"/>
                <w:lang w:val="mk-MK"/>
              </w:rPr>
              <w:t>202</w:t>
            </w:r>
            <w:r w:rsidR="00321732" w:rsidRPr="00BB759A">
              <w:rPr>
                <w:rFonts w:ascii="Arial" w:hAnsi="Arial" w:cs="Arial"/>
                <w:sz w:val="16"/>
                <w:szCs w:val="18"/>
                <w:lang w:val="sr-Latn-RS"/>
              </w:rPr>
              <w:t>5</w:t>
            </w:r>
            <w:r w:rsidRPr="00BB759A">
              <w:rPr>
                <w:rFonts w:ascii="Arial" w:hAnsi="Arial" w:cs="Arial"/>
                <w:sz w:val="16"/>
                <w:szCs w:val="18"/>
                <w:lang w:val="mk-MK"/>
              </w:rPr>
              <w:t>: 332.968 t/god (</w:t>
            </w:r>
            <w:r w:rsidR="00C232D7" w:rsidRPr="00BB759A">
              <w:rPr>
                <w:rFonts w:ascii="Arial" w:hAnsi="Arial" w:cs="Arial"/>
                <w:sz w:val="16"/>
                <w:szCs w:val="18"/>
                <w:lang w:val="mk-MK"/>
              </w:rPr>
              <w:t>95.0% ukupnog otpada)</w:t>
            </w:r>
          </w:p>
          <w:p w14:paraId="42A71AA0" w14:textId="02CC7000" w:rsidR="00C232D7" w:rsidRPr="00BB759A"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eastAsia="en-GB"/>
              </w:rPr>
            </w:pPr>
            <w:r w:rsidRPr="00BB759A">
              <w:rPr>
                <w:rFonts w:ascii="Arial" w:hAnsi="Arial" w:cs="Arial"/>
                <w:sz w:val="16"/>
                <w:szCs w:val="18"/>
                <w:lang w:val="en-US"/>
              </w:rPr>
              <w:t>2029</w:t>
            </w:r>
            <w:r w:rsidR="00D8450F" w:rsidRPr="00BB759A">
              <w:rPr>
                <w:rFonts w:ascii="Arial" w:hAnsi="Arial" w:cs="Arial"/>
                <w:sz w:val="16"/>
                <w:szCs w:val="18"/>
                <w:lang w:val="mk-MK"/>
              </w:rPr>
              <w:t>: 342.776 t/god (</w:t>
            </w:r>
            <w:r w:rsidR="00C232D7" w:rsidRPr="00BB759A">
              <w:rPr>
                <w:rFonts w:ascii="Arial" w:hAnsi="Arial" w:cs="Arial"/>
                <w:sz w:val="16"/>
                <w:szCs w:val="18"/>
                <w:lang w:val="mk-MK"/>
              </w:rPr>
              <w:t>95.1% ukupnog otpada)</w:t>
            </w:r>
          </w:p>
        </w:tc>
        <w:tc>
          <w:tcPr>
            <w:tcW w:w="761" w:type="pct"/>
            <w:tcBorders>
              <w:top w:val="single" w:sz="4" w:space="0" w:color="auto"/>
            </w:tcBorders>
            <w:shd w:val="clear" w:color="auto" w:fill="auto"/>
            <w:vAlign w:val="center"/>
          </w:tcPr>
          <w:p w14:paraId="1FB53A81" w14:textId="4374D980" w:rsidR="00C232D7" w:rsidRPr="00BB759A"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mk-MK"/>
              </w:rPr>
            </w:pPr>
            <w:r w:rsidRPr="00BB759A">
              <w:rPr>
                <w:rFonts w:ascii="Arial" w:hAnsi="Arial" w:cs="Arial"/>
                <w:sz w:val="16"/>
                <w:szCs w:val="18"/>
                <w:lang w:val="mk-MK"/>
              </w:rPr>
              <w:t>202</w:t>
            </w:r>
            <w:r w:rsidR="00321732" w:rsidRPr="00BB759A">
              <w:rPr>
                <w:rFonts w:ascii="Arial" w:hAnsi="Arial" w:cs="Arial"/>
                <w:sz w:val="16"/>
                <w:szCs w:val="18"/>
                <w:lang w:val="sr-Latn-RS"/>
              </w:rPr>
              <w:t>5</w:t>
            </w:r>
            <w:r w:rsidRPr="00BB759A">
              <w:rPr>
                <w:rFonts w:ascii="Arial" w:hAnsi="Arial" w:cs="Arial"/>
                <w:sz w:val="16"/>
                <w:szCs w:val="18"/>
                <w:lang w:val="mk-MK"/>
              </w:rPr>
              <w:t xml:space="preserve">: 100% </w:t>
            </w:r>
          </w:p>
          <w:p w14:paraId="06921A31" w14:textId="4D69E199" w:rsidR="00C232D7" w:rsidRPr="00BB759A"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eastAsia="en-GB"/>
              </w:rPr>
            </w:pPr>
            <w:r w:rsidRPr="00BB759A">
              <w:rPr>
                <w:rFonts w:ascii="Arial" w:hAnsi="Arial" w:cs="Arial"/>
                <w:sz w:val="16"/>
                <w:szCs w:val="18"/>
                <w:lang w:val="en-US"/>
              </w:rPr>
              <w:t>2029</w:t>
            </w:r>
            <w:r w:rsidR="00C232D7" w:rsidRPr="00BB759A">
              <w:rPr>
                <w:rFonts w:ascii="Arial" w:hAnsi="Arial" w:cs="Arial"/>
                <w:sz w:val="16"/>
                <w:szCs w:val="18"/>
                <w:lang w:val="mk-MK"/>
              </w:rPr>
              <w:t>: 100%</w:t>
            </w:r>
          </w:p>
        </w:tc>
      </w:tr>
      <w:tr w:rsidR="00C232D7" w:rsidRPr="00C149AB" w14:paraId="1D5E4048"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vAlign w:val="center"/>
          </w:tcPr>
          <w:p w14:paraId="5959A266" w14:textId="77777777" w:rsidR="00C232D7" w:rsidRPr="00BB759A" w:rsidRDefault="00C232D7" w:rsidP="00C232D7">
            <w:pPr>
              <w:pStyle w:val="Normal-10pt-Table"/>
              <w:spacing w:line="360" w:lineRule="auto"/>
              <w:jc w:val="both"/>
              <w:rPr>
                <w:rFonts w:ascii="Arial" w:hAnsi="Arial" w:cs="Arial"/>
                <w:b w:val="0"/>
                <w:bCs w:val="0"/>
                <w:sz w:val="16"/>
                <w:szCs w:val="18"/>
                <w:lang w:val="sq-AL"/>
              </w:rPr>
            </w:pPr>
            <w:r w:rsidRPr="00BB759A">
              <w:rPr>
                <w:rFonts w:ascii="Arial" w:hAnsi="Arial" w:cs="Arial"/>
                <w:sz w:val="16"/>
                <w:szCs w:val="18"/>
                <w:lang w:val="sq-AL"/>
              </w:rPr>
              <w:t>Odvojeno sakupljanje otpada koji se može reciklirati</w:t>
            </w:r>
          </w:p>
        </w:tc>
        <w:tc>
          <w:tcPr>
            <w:tcW w:w="1509" w:type="pct"/>
            <w:shd w:val="clear" w:color="auto" w:fill="auto"/>
            <w:vAlign w:val="center"/>
          </w:tcPr>
          <w:p w14:paraId="5EB816E4" w14:textId="0BCE011F" w:rsidR="00C232D7" w:rsidRPr="00BB759A" w:rsidRDefault="00D8450F"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mk-MK"/>
              </w:rPr>
            </w:pPr>
            <w:r w:rsidRPr="00BB759A">
              <w:rPr>
                <w:rFonts w:ascii="Arial" w:hAnsi="Arial" w:cs="Arial"/>
                <w:sz w:val="16"/>
                <w:szCs w:val="18"/>
                <w:lang w:val="mk-MK"/>
              </w:rPr>
              <w:t>2025: 27.316 t/god (</w:t>
            </w:r>
            <w:r w:rsidR="00C232D7" w:rsidRPr="00BB759A">
              <w:rPr>
                <w:rFonts w:ascii="Arial" w:hAnsi="Arial" w:cs="Arial"/>
                <w:sz w:val="16"/>
                <w:szCs w:val="18"/>
                <w:lang w:val="mk-MK"/>
              </w:rPr>
              <w:t>15% o</w:t>
            </w:r>
            <w:r w:rsidR="00557F9C" w:rsidRPr="00BB759A">
              <w:rPr>
                <w:rFonts w:ascii="Arial" w:hAnsi="Arial" w:cs="Arial"/>
                <w:sz w:val="16"/>
                <w:szCs w:val="18"/>
                <w:lang w:val="sr-Latn-ME"/>
              </w:rPr>
              <w:t>d</w:t>
            </w:r>
            <w:r w:rsidR="00C232D7" w:rsidRPr="00BB759A">
              <w:rPr>
                <w:rFonts w:ascii="Arial" w:hAnsi="Arial" w:cs="Arial"/>
                <w:sz w:val="16"/>
                <w:szCs w:val="18"/>
                <w:lang w:val="mk-MK"/>
              </w:rPr>
              <w:t xml:space="preserve"> </w:t>
            </w:r>
            <w:r w:rsidR="00C232D7" w:rsidRPr="00BB759A">
              <w:rPr>
                <w:rFonts w:ascii="Arial" w:hAnsi="Arial" w:cs="Arial"/>
                <w:sz w:val="16"/>
                <w:szCs w:val="18"/>
                <w:lang w:val="sq-AL"/>
              </w:rPr>
              <w:t>otpada koji se može reciklirati</w:t>
            </w:r>
            <w:r w:rsidR="00C232D7" w:rsidRPr="00BB759A">
              <w:rPr>
                <w:rFonts w:ascii="Arial" w:hAnsi="Arial" w:cs="Arial"/>
                <w:sz w:val="16"/>
                <w:szCs w:val="18"/>
                <w:lang w:val="mk-MK"/>
              </w:rPr>
              <w:t>)</w:t>
            </w:r>
          </w:p>
          <w:p w14:paraId="575321FC" w14:textId="19F05E53" w:rsidR="00C232D7" w:rsidRPr="00BB759A"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eastAsia="en-GB"/>
              </w:rPr>
            </w:pPr>
            <w:r w:rsidRPr="00BB759A">
              <w:rPr>
                <w:rFonts w:ascii="Arial" w:hAnsi="Arial" w:cs="Arial"/>
                <w:sz w:val="16"/>
                <w:szCs w:val="18"/>
                <w:lang w:val="en-US"/>
              </w:rPr>
              <w:t>2029</w:t>
            </w:r>
            <w:r w:rsidR="00D8450F" w:rsidRPr="00BB759A">
              <w:rPr>
                <w:rFonts w:ascii="Arial" w:hAnsi="Arial" w:cs="Arial"/>
                <w:sz w:val="16"/>
                <w:szCs w:val="18"/>
                <w:lang w:val="mk-MK"/>
              </w:rPr>
              <w:t>: 46.999 t/god (</w:t>
            </w:r>
            <w:r w:rsidR="00C232D7" w:rsidRPr="00BB759A">
              <w:rPr>
                <w:rFonts w:ascii="Arial" w:hAnsi="Arial" w:cs="Arial"/>
                <w:sz w:val="16"/>
                <w:szCs w:val="18"/>
                <w:lang w:val="mk-MK"/>
              </w:rPr>
              <w:t xml:space="preserve">15% </w:t>
            </w:r>
            <w:r w:rsidR="00C232D7" w:rsidRPr="00BB759A">
              <w:rPr>
                <w:rFonts w:ascii="Arial" w:hAnsi="Arial" w:cs="Arial"/>
                <w:sz w:val="16"/>
                <w:szCs w:val="18"/>
                <w:lang w:val="sq-AL"/>
              </w:rPr>
              <w:t>otpada koji se može reciklirati</w:t>
            </w:r>
            <w:r w:rsidR="00C232D7" w:rsidRPr="00BB759A">
              <w:rPr>
                <w:rFonts w:ascii="Arial" w:hAnsi="Arial" w:cs="Arial"/>
                <w:sz w:val="16"/>
                <w:szCs w:val="18"/>
                <w:lang w:val="mk-MK"/>
              </w:rPr>
              <w:t>)</w:t>
            </w:r>
          </w:p>
        </w:tc>
        <w:tc>
          <w:tcPr>
            <w:tcW w:w="1529" w:type="pct"/>
            <w:shd w:val="clear" w:color="auto" w:fill="auto"/>
            <w:vAlign w:val="center"/>
          </w:tcPr>
          <w:p w14:paraId="2B4BB5BC" w14:textId="7B44E2C1" w:rsidR="00C232D7" w:rsidRPr="00BB759A" w:rsidRDefault="00D8450F"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mk-MK"/>
              </w:rPr>
            </w:pPr>
            <w:r w:rsidRPr="00BB759A">
              <w:rPr>
                <w:rFonts w:ascii="Arial" w:hAnsi="Arial" w:cs="Arial"/>
                <w:sz w:val="16"/>
                <w:szCs w:val="18"/>
                <w:lang w:val="mk-MK"/>
              </w:rPr>
              <w:t>2025: 30.080 t/god (</w:t>
            </w:r>
            <w:r w:rsidR="00C232D7" w:rsidRPr="00BB759A">
              <w:rPr>
                <w:rFonts w:ascii="Arial" w:hAnsi="Arial" w:cs="Arial"/>
                <w:sz w:val="16"/>
                <w:szCs w:val="18"/>
                <w:lang w:val="mk-MK"/>
              </w:rPr>
              <w:t xml:space="preserve">17% </w:t>
            </w:r>
            <w:r w:rsidR="00C232D7" w:rsidRPr="00BB759A">
              <w:rPr>
                <w:rFonts w:ascii="Arial" w:hAnsi="Arial" w:cs="Arial"/>
                <w:sz w:val="16"/>
                <w:szCs w:val="18"/>
                <w:lang w:val="sq-AL"/>
              </w:rPr>
              <w:t>otpada koji se može reciklirati</w:t>
            </w:r>
            <w:r w:rsidR="00C232D7" w:rsidRPr="00BB759A">
              <w:rPr>
                <w:rFonts w:ascii="Arial" w:hAnsi="Arial" w:cs="Arial"/>
                <w:sz w:val="16"/>
                <w:szCs w:val="18"/>
                <w:lang w:val="mk-MK"/>
              </w:rPr>
              <w:t>)</w:t>
            </w:r>
          </w:p>
          <w:p w14:paraId="1287CA70" w14:textId="4B846C8A"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rPr>
            </w:pPr>
            <w:r w:rsidRPr="00BB759A">
              <w:rPr>
                <w:rFonts w:ascii="Arial" w:hAnsi="Arial" w:cs="Arial"/>
                <w:sz w:val="16"/>
                <w:szCs w:val="18"/>
              </w:rPr>
              <w:t>2029</w:t>
            </w:r>
            <w:r w:rsidR="00D8450F" w:rsidRPr="00BB759A">
              <w:rPr>
                <w:rFonts w:ascii="Arial" w:hAnsi="Arial" w:cs="Arial"/>
                <w:sz w:val="16"/>
                <w:szCs w:val="18"/>
                <w:lang w:val="mk-MK"/>
              </w:rPr>
              <w:t>: 51.862 t/god (</w:t>
            </w:r>
            <w:r w:rsidR="00C232D7" w:rsidRPr="00BB759A">
              <w:rPr>
                <w:rFonts w:ascii="Arial" w:hAnsi="Arial" w:cs="Arial"/>
                <w:sz w:val="16"/>
                <w:szCs w:val="18"/>
                <w:lang w:val="mk-MK"/>
              </w:rPr>
              <w:t xml:space="preserve">28% </w:t>
            </w:r>
            <w:r w:rsidR="00C232D7" w:rsidRPr="00BB759A">
              <w:rPr>
                <w:rFonts w:ascii="Arial" w:hAnsi="Arial" w:cs="Arial"/>
                <w:sz w:val="16"/>
                <w:szCs w:val="18"/>
                <w:lang w:val="sq-AL"/>
              </w:rPr>
              <w:t>otpada koji se može reciklirati</w:t>
            </w:r>
            <w:r w:rsidR="00C232D7" w:rsidRPr="00BB759A">
              <w:rPr>
                <w:rFonts w:ascii="Arial" w:hAnsi="Arial" w:cs="Arial"/>
                <w:sz w:val="16"/>
                <w:szCs w:val="18"/>
                <w:lang w:val="mk-MK"/>
              </w:rPr>
              <w:t>)</w:t>
            </w:r>
          </w:p>
        </w:tc>
        <w:tc>
          <w:tcPr>
            <w:tcW w:w="761" w:type="pct"/>
            <w:shd w:val="clear" w:color="auto" w:fill="auto"/>
            <w:vAlign w:val="center"/>
          </w:tcPr>
          <w:p w14:paraId="7E6DD5B1" w14:textId="77777777" w:rsidR="00C232D7" w:rsidRPr="00BB759A"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mk-MK"/>
              </w:rPr>
            </w:pPr>
            <w:r w:rsidRPr="00BB759A">
              <w:rPr>
                <w:rFonts w:ascii="Arial" w:hAnsi="Arial" w:cs="Arial"/>
                <w:sz w:val="16"/>
                <w:szCs w:val="18"/>
                <w:lang w:val="mk-MK"/>
              </w:rPr>
              <w:t xml:space="preserve">2025: 100% </w:t>
            </w:r>
          </w:p>
          <w:p w14:paraId="56ABF18B" w14:textId="2BC1BD83" w:rsidR="00C232D7" w:rsidRPr="00BB759A"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eastAsia="en-GB"/>
              </w:rPr>
            </w:pPr>
            <w:r w:rsidRPr="00BB759A">
              <w:rPr>
                <w:rFonts w:ascii="Arial" w:hAnsi="Arial" w:cs="Arial"/>
                <w:sz w:val="16"/>
                <w:szCs w:val="18"/>
                <w:lang w:val="en-US"/>
              </w:rPr>
              <w:t>2029</w:t>
            </w:r>
            <w:r w:rsidR="00C232D7" w:rsidRPr="00BB759A">
              <w:rPr>
                <w:rFonts w:ascii="Arial" w:hAnsi="Arial" w:cs="Arial"/>
                <w:sz w:val="16"/>
                <w:szCs w:val="18"/>
                <w:lang w:val="mk-MK"/>
              </w:rPr>
              <w:t>: 100%</w:t>
            </w:r>
          </w:p>
        </w:tc>
      </w:tr>
      <w:tr w:rsidR="00C232D7" w:rsidRPr="00C149AB" w14:paraId="15FD4B73"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vAlign w:val="center"/>
          </w:tcPr>
          <w:p w14:paraId="43D4DB61" w14:textId="77777777" w:rsidR="00C232D7" w:rsidRPr="00BB759A" w:rsidRDefault="00C232D7" w:rsidP="00C232D7">
            <w:pPr>
              <w:pStyle w:val="Normal-10pt-Table"/>
              <w:spacing w:line="360" w:lineRule="auto"/>
              <w:jc w:val="both"/>
              <w:rPr>
                <w:rFonts w:ascii="Arial" w:hAnsi="Arial" w:cs="Arial"/>
                <w:b w:val="0"/>
                <w:bCs w:val="0"/>
                <w:sz w:val="16"/>
                <w:szCs w:val="18"/>
                <w:lang w:val="sq-AL"/>
              </w:rPr>
            </w:pPr>
            <w:r w:rsidRPr="00BB759A">
              <w:rPr>
                <w:rFonts w:ascii="Arial" w:hAnsi="Arial" w:cs="Arial"/>
                <w:sz w:val="16"/>
                <w:szCs w:val="18"/>
                <w:lang w:val="sq-AL"/>
              </w:rPr>
              <w:t>Odvojeno sakupljanje ambalažnog otpada</w:t>
            </w:r>
          </w:p>
        </w:tc>
        <w:tc>
          <w:tcPr>
            <w:tcW w:w="1509" w:type="pct"/>
            <w:shd w:val="clear" w:color="auto" w:fill="auto"/>
            <w:vAlign w:val="center"/>
          </w:tcPr>
          <w:p w14:paraId="57F0EE2E" w14:textId="683615AB" w:rsidR="00C232D7" w:rsidRPr="00BB759A"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eastAsia="en-GB"/>
              </w:rPr>
            </w:pPr>
            <w:r w:rsidRPr="00BB759A">
              <w:rPr>
                <w:rFonts w:ascii="Arial" w:hAnsi="Arial" w:cs="Arial"/>
                <w:sz w:val="16"/>
                <w:szCs w:val="18"/>
                <w:lang w:val="en-US"/>
              </w:rPr>
              <w:t>2029</w:t>
            </w:r>
            <w:r w:rsidR="00C232D7" w:rsidRPr="00BB759A">
              <w:rPr>
                <w:rFonts w:ascii="Arial" w:hAnsi="Arial" w:cs="Arial"/>
                <w:sz w:val="16"/>
                <w:szCs w:val="18"/>
                <w:lang w:val="mk-MK"/>
              </w:rPr>
              <w:t xml:space="preserve">: 34.524 t/god (35% </w:t>
            </w:r>
            <w:r w:rsidR="00C232D7" w:rsidRPr="00BB759A">
              <w:rPr>
                <w:rFonts w:ascii="Arial" w:hAnsi="Arial" w:cs="Arial"/>
                <w:sz w:val="16"/>
                <w:szCs w:val="18"/>
                <w:lang w:val="sq-AL"/>
              </w:rPr>
              <w:t>ambalažnog otpada</w:t>
            </w:r>
            <w:r w:rsidR="00C232D7" w:rsidRPr="00BB759A">
              <w:rPr>
                <w:rFonts w:ascii="Arial" w:hAnsi="Arial" w:cs="Arial"/>
                <w:sz w:val="16"/>
                <w:szCs w:val="18"/>
                <w:lang w:val="mk-MK"/>
              </w:rPr>
              <w:t>)</w:t>
            </w:r>
          </w:p>
        </w:tc>
        <w:tc>
          <w:tcPr>
            <w:tcW w:w="1529" w:type="pct"/>
            <w:shd w:val="clear" w:color="auto" w:fill="auto"/>
            <w:vAlign w:val="center"/>
          </w:tcPr>
          <w:p w14:paraId="50EE41A9" w14:textId="09A706F0"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rPr>
            </w:pPr>
            <w:r w:rsidRPr="00BB759A">
              <w:rPr>
                <w:rFonts w:ascii="Arial" w:hAnsi="Arial" w:cs="Arial"/>
                <w:sz w:val="16"/>
                <w:szCs w:val="18"/>
              </w:rPr>
              <w:t>2029</w:t>
            </w:r>
            <w:r w:rsidR="00C232D7" w:rsidRPr="00BB759A">
              <w:rPr>
                <w:rFonts w:ascii="Arial" w:hAnsi="Arial" w:cs="Arial"/>
                <w:sz w:val="16"/>
                <w:szCs w:val="18"/>
                <w:lang w:val="mk-MK"/>
              </w:rPr>
              <w:t xml:space="preserve">: 36.303 t/god (37% </w:t>
            </w:r>
            <w:r w:rsidR="00C232D7" w:rsidRPr="00BB759A">
              <w:rPr>
                <w:rFonts w:ascii="Arial" w:hAnsi="Arial" w:cs="Arial"/>
                <w:sz w:val="16"/>
                <w:szCs w:val="18"/>
                <w:lang w:val="sq-AL"/>
              </w:rPr>
              <w:t>ambalažnog otpada</w:t>
            </w:r>
            <w:r w:rsidR="00C232D7" w:rsidRPr="00BB759A">
              <w:rPr>
                <w:rFonts w:ascii="Arial" w:hAnsi="Arial" w:cs="Arial"/>
                <w:sz w:val="16"/>
                <w:szCs w:val="18"/>
                <w:lang w:val="mk-MK"/>
              </w:rPr>
              <w:t>)</w:t>
            </w:r>
          </w:p>
        </w:tc>
        <w:tc>
          <w:tcPr>
            <w:tcW w:w="761" w:type="pct"/>
            <w:shd w:val="clear" w:color="auto" w:fill="auto"/>
            <w:vAlign w:val="center"/>
          </w:tcPr>
          <w:p w14:paraId="5F59E043" w14:textId="26F0F4CB" w:rsidR="00C232D7" w:rsidRPr="00BB759A"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eastAsia="en-GB"/>
              </w:rPr>
            </w:pPr>
            <w:r w:rsidRPr="00BB759A">
              <w:rPr>
                <w:rFonts w:ascii="Arial" w:hAnsi="Arial" w:cs="Arial"/>
                <w:sz w:val="16"/>
                <w:szCs w:val="18"/>
                <w:lang w:val="en-US"/>
              </w:rPr>
              <w:t>2029</w:t>
            </w:r>
            <w:r w:rsidR="00C232D7" w:rsidRPr="00BB759A">
              <w:rPr>
                <w:rFonts w:ascii="Arial" w:hAnsi="Arial" w:cs="Arial"/>
                <w:sz w:val="16"/>
                <w:szCs w:val="18"/>
                <w:lang w:val="mk-MK"/>
              </w:rPr>
              <w:t>: 100%</w:t>
            </w:r>
          </w:p>
        </w:tc>
      </w:tr>
      <w:tr w:rsidR="00C232D7" w:rsidRPr="00C149AB" w14:paraId="750A87BE"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tcPr>
          <w:p w14:paraId="31443DD7" w14:textId="77777777" w:rsidR="00C232D7" w:rsidRPr="00BB759A" w:rsidRDefault="00C232D7" w:rsidP="00C232D7">
            <w:pPr>
              <w:pStyle w:val="Normal-10pt-Table"/>
              <w:spacing w:line="360" w:lineRule="auto"/>
              <w:jc w:val="both"/>
              <w:rPr>
                <w:rFonts w:ascii="Arial" w:hAnsi="Arial" w:cs="Arial"/>
                <w:b w:val="0"/>
                <w:bCs w:val="0"/>
                <w:sz w:val="16"/>
                <w:szCs w:val="18"/>
                <w:lang w:val="sq-AL"/>
              </w:rPr>
            </w:pPr>
            <w:r w:rsidRPr="00BB759A">
              <w:rPr>
                <w:rFonts w:ascii="Arial" w:hAnsi="Arial" w:cs="Arial"/>
                <w:sz w:val="16"/>
                <w:szCs w:val="18"/>
                <w:lang w:val="sq-AL"/>
              </w:rPr>
              <w:t>Odvojeno sakupljanje biorazgradivog otpada</w:t>
            </w:r>
          </w:p>
        </w:tc>
        <w:tc>
          <w:tcPr>
            <w:tcW w:w="1509" w:type="pct"/>
            <w:shd w:val="clear" w:color="auto" w:fill="auto"/>
            <w:vAlign w:val="center"/>
          </w:tcPr>
          <w:p w14:paraId="22052A63" w14:textId="797DC6C4" w:rsidR="00C232D7" w:rsidRPr="00BB759A" w:rsidRDefault="00D8450F"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mk-MK"/>
              </w:rPr>
            </w:pPr>
            <w:r w:rsidRPr="00BB759A">
              <w:rPr>
                <w:rFonts w:ascii="Arial" w:hAnsi="Arial" w:cs="Arial"/>
                <w:sz w:val="16"/>
                <w:szCs w:val="18"/>
                <w:lang w:val="mk-MK"/>
              </w:rPr>
              <w:t>2025: 24.233 t/god (</w:t>
            </w:r>
            <w:r w:rsidR="00C232D7" w:rsidRPr="00BB759A">
              <w:rPr>
                <w:rFonts w:ascii="Arial" w:hAnsi="Arial" w:cs="Arial"/>
                <w:sz w:val="16"/>
                <w:szCs w:val="18"/>
                <w:lang w:val="mk-MK"/>
              </w:rPr>
              <w:t>7% ukupnog otpada)</w:t>
            </w:r>
          </w:p>
          <w:p w14:paraId="3B37E42B" w14:textId="046DC5B1"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rPr>
            </w:pPr>
            <w:r w:rsidRPr="00BB759A">
              <w:rPr>
                <w:rFonts w:ascii="Arial" w:hAnsi="Arial" w:cs="Arial"/>
                <w:sz w:val="16"/>
                <w:szCs w:val="18"/>
              </w:rPr>
              <w:t>2029</w:t>
            </w:r>
            <w:r w:rsidR="00C232D7" w:rsidRPr="00BB759A">
              <w:rPr>
                <w:rFonts w:ascii="Arial" w:hAnsi="Arial" w:cs="Arial"/>
                <w:sz w:val="16"/>
                <w:szCs w:val="18"/>
                <w:lang w:val="mk-MK"/>
              </w:rPr>
              <w:t>: 24.06</w:t>
            </w:r>
            <w:r w:rsidR="00D8450F" w:rsidRPr="00BB759A">
              <w:rPr>
                <w:rFonts w:ascii="Arial" w:hAnsi="Arial" w:cs="Arial"/>
                <w:sz w:val="16"/>
                <w:szCs w:val="18"/>
                <w:lang w:val="mk-MK"/>
              </w:rPr>
              <w:t>3 t/god (</w:t>
            </w:r>
            <w:r w:rsidR="00C232D7" w:rsidRPr="00BB759A">
              <w:rPr>
                <w:rFonts w:ascii="Arial" w:hAnsi="Arial" w:cs="Arial"/>
                <w:sz w:val="16"/>
                <w:szCs w:val="18"/>
                <w:lang w:val="mk-MK"/>
              </w:rPr>
              <w:t>7% ukupnog otpada)</w:t>
            </w:r>
          </w:p>
        </w:tc>
        <w:tc>
          <w:tcPr>
            <w:tcW w:w="1529" w:type="pct"/>
            <w:shd w:val="clear" w:color="auto" w:fill="auto"/>
            <w:vAlign w:val="center"/>
          </w:tcPr>
          <w:p w14:paraId="6A39150B" w14:textId="26F5E46C" w:rsidR="00C232D7" w:rsidRPr="00BB759A" w:rsidRDefault="00D8450F"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mk-MK"/>
              </w:rPr>
            </w:pPr>
            <w:r w:rsidRPr="00BB759A">
              <w:rPr>
                <w:rFonts w:ascii="Arial" w:hAnsi="Arial" w:cs="Arial"/>
                <w:sz w:val="16"/>
                <w:szCs w:val="18"/>
                <w:lang w:val="mk-MK"/>
              </w:rPr>
              <w:t>2025: 25.513 t/god (</w:t>
            </w:r>
            <w:r w:rsidR="00C232D7" w:rsidRPr="00BB759A">
              <w:rPr>
                <w:rFonts w:ascii="Arial" w:hAnsi="Arial" w:cs="Arial"/>
                <w:sz w:val="16"/>
                <w:szCs w:val="18"/>
                <w:lang w:val="mk-MK"/>
              </w:rPr>
              <w:t>7% ukupnog otpada)</w:t>
            </w:r>
          </w:p>
          <w:p w14:paraId="2AE93584" w14:textId="7FD1BDE8" w:rsidR="00C232D7" w:rsidRPr="00BB759A" w:rsidRDefault="00C232D7" w:rsidP="009A0599">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rPr>
            </w:pPr>
            <w:r w:rsidRPr="00BB759A">
              <w:rPr>
                <w:rFonts w:ascii="Arial" w:hAnsi="Arial" w:cs="Arial"/>
                <w:sz w:val="16"/>
                <w:szCs w:val="18"/>
                <w:lang w:val="mk-MK"/>
              </w:rPr>
              <w:t>202</w:t>
            </w:r>
            <w:r w:rsidR="009A0599" w:rsidRPr="00BB759A">
              <w:rPr>
                <w:rFonts w:ascii="Arial" w:hAnsi="Arial" w:cs="Arial"/>
                <w:sz w:val="16"/>
                <w:szCs w:val="18"/>
                <w:lang w:val="sr-Latn-ME"/>
              </w:rPr>
              <w:t>9</w:t>
            </w:r>
            <w:r w:rsidR="00D8450F" w:rsidRPr="00BB759A">
              <w:rPr>
                <w:rFonts w:ascii="Arial" w:hAnsi="Arial" w:cs="Arial"/>
                <w:sz w:val="16"/>
                <w:szCs w:val="18"/>
                <w:lang w:val="mk-MK"/>
              </w:rPr>
              <w:t>: 25.334 t/god (</w:t>
            </w:r>
            <w:r w:rsidRPr="00BB759A">
              <w:rPr>
                <w:rFonts w:ascii="Arial" w:hAnsi="Arial" w:cs="Arial"/>
                <w:sz w:val="16"/>
                <w:szCs w:val="18"/>
                <w:lang w:val="mk-MK"/>
              </w:rPr>
              <w:t>7% ukupnog otpada)</w:t>
            </w:r>
          </w:p>
        </w:tc>
        <w:tc>
          <w:tcPr>
            <w:tcW w:w="761" w:type="pct"/>
            <w:shd w:val="clear" w:color="auto" w:fill="auto"/>
            <w:vAlign w:val="center"/>
          </w:tcPr>
          <w:p w14:paraId="4FB6DFB8" w14:textId="77777777" w:rsidR="00C232D7" w:rsidRPr="00BB759A"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mk-MK"/>
              </w:rPr>
            </w:pPr>
            <w:r w:rsidRPr="00BB759A">
              <w:rPr>
                <w:rFonts w:ascii="Arial" w:hAnsi="Arial" w:cs="Arial"/>
                <w:sz w:val="16"/>
                <w:szCs w:val="18"/>
                <w:lang w:val="mk-MK"/>
              </w:rPr>
              <w:t>2025: 100%</w:t>
            </w:r>
          </w:p>
          <w:p w14:paraId="35B17CB9" w14:textId="67DCFA3C"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rPr>
            </w:pPr>
            <w:r w:rsidRPr="00BB759A">
              <w:rPr>
                <w:rFonts w:ascii="Arial" w:hAnsi="Arial" w:cs="Arial"/>
                <w:sz w:val="16"/>
                <w:szCs w:val="18"/>
              </w:rPr>
              <w:t>2029</w:t>
            </w:r>
            <w:r w:rsidR="00C232D7" w:rsidRPr="00BB759A">
              <w:rPr>
                <w:rFonts w:ascii="Arial" w:hAnsi="Arial" w:cs="Arial"/>
                <w:sz w:val="16"/>
                <w:szCs w:val="18"/>
                <w:lang w:val="mk-MK"/>
              </w:rPr>
              <w:t>: 100%</w:t>
            </w:r>
          </w:p>
        </w:tc>
      </w:tr>
      <w:tr w:rsidR="00C232D7" w:rsidRPr="00C149AB" w14:paraId="246F6242"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tcPr>
          <w:p w14:paraId="30066941" w14:textId="77777777" w:rsidR="00C232D7" w:rsidRPr="00BB759A" w:rsidRDefault="00C232D7" w:rsidP="00C232D7">
            <w:pPr>
              <w:pStyle w:val="Normal-10pt-Table"/>
              <w:spacing w:line="360" w:lineRule="auto"/>
              <w:jc w:val="both"/>
              <w:rPr>
                <w:rFonts w:ascii="Arial" w:hAnsi="Arial" w:cs="Arial"/>
                <w:b w:val="0"/>
                <w:bCs w:val="0"/>
                <w:sz w:val="16"/>
                <w:szCs w:val="18"/>
                <w:lang w:val="sq-AL"/>
              </w:rPr>
            </w:pPr>
            <w:r w:rsidRPr="00BB759A">
              <w:rPr>
                <w:rFonts w:ascii="Arial" w:hAnsi="Arial" w:cs="Arial"/>
                <w:sz w:val="16"/>
                <w:szCs w:val="18"/>
                <w:lang w:val="sq-AL"/>
              </w:rPr>
              <w:t>Kućno kompostiranje</w:t>
            </w:r>
          </w:p>
        </w:tc>
        <w:tc>
          <w:tcPr>
            <w:tcW w:w="1509" w:type="pct"/>
            <w:shd w:val="clear" w:color="auto" w:fill="auto"/>
            <w:vAlign w:val="center"/>
          </w:tcPr>
          <w:p w14:paraId="0100A561" w14:textId="126AC119" w:rsidR="00C232D7" w:rsidRPr="00BB759A" w:rsidRDefault="00D8450F"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mk-MK"/>
              </w:rPr>
            </w:pPr>
            <w:r w:rsidRPr="00BB759A">
              <w:rPr>
                <w:rFonts w:ascii="Arial" w:hAnsi="Arial" w:cs="Arial"/>
                <w:sz w:val="16"/>
                <w:szCs w:val="18"/>
                <w:lang w:val="mk-MK"/>
              </w:rPr>
              <w:t>2025: 5.624 t/god (</w:t>
            </w:r>
            <w:r w:rsidR="00C232D7" w:rsidRPr="00BB759A">
              <w:rPr>
                <w:rFonts w:ascii="Arial" w:hAnsi="Arial" w:cs="Arial"/>
                <w:sz w:val="16"/>
                <w:szCs w:val="18"/>
                <w:lang w:val="mk-MK"/>
              </w:rPr>
              <w:t>1.6% ukupnog otpada)</w:t>
            </w:r>
          </w:p>
          <w:p w14:paraId="10D527A6" w14:textId="68A7BC63"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rPr>
            </w:pPr>
            <w:r w:rsidRPr="00BB759A">
              <w:rPr>
                <w:rFonts w:ascii="Arial" w:hAnsi="Arial" w:cs="Arial"/>
                <w:sz w:val="16"/>
                <w:szCs w:val="18"/>
              </w:rPr>
              <w:t>2029</w:t>
            </w:r>
            <w:r w:rsidR="00D8450F" w:rsidRPr="00BB759A">
              <w:rPr>
                <w:rFonts w:ascii="Arial" w:hAnsi="Arial" w:cs="Arial"/>
                <w:sz w:val="16"/>
                <w:szCs w:val="18"/>
                <w:lang w:val="mk-MK"/>
              </w:rPr>
              <w:t>: 5.584 t/god (</w:t>
            </w:r>
            <w:r w:rsidR="00C232D7" w:rsidRPr="00BB759A">
              <w:rPr>
                <w:rFonts w:ascii="Arial" w:hAnsi="Arial" w:cs="Arial"/>
                <w:sz w:val="16"/>
                <w:szCs w:val="18"/>
                <w:lang w:val="mk-MK"/>
              </w:rPr>
              <w:t>1.6% ukupnog otpada)</w:t>
            </w:r>
          </w:p>
        </w:tc>
        <w:tc>
          <w:tcPr>
            <w:tcW w:w="1529" w:type="pct"/>
            <w:shd w:val="clear" w:color="auto" w:fill="auto"/>
            <w:vAlign w:val="center"/>
          </w:tcPr>
          <w:p w14:paraId="5C5EC1A1" w14:textId="26E325EA" w:rsidR="00C232D7" w:rsidRPr="00BB759A"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mk-MK"/>
              </w:rPr>
            </w:pPr>
            <w:r w:rsidRPr="00BB759A">
              <w:rPr>
                <w:rFonts w:ascii="Arial" w:hAnsi="Arial" w:cs="Arial"/>
                <w:sz w:val="16"/>
                <w:szCs w:val="18"/>
                <w:lang w:val="mk-MK"/>
              </w:rPr>
              <w:t>2025: 5.624</w:t>
            </w:r>
            <w:r w:rsidR="00D8450F" w:rsidRPr="00BB759A">
              <w:rPr>
                <w:rFonts w:ascii="Arial" w:hAnsi="Arial" w:cs="Arial"/>
                <w:sz w:val="16"/>
                <w:szCs w:val="18"/>
                <w:lang w:val="mk-MK"/>
              </w:rPr>
              <w:t xml:space="preserve"> t/god (</w:t>
            </w:r>
            <w:r w:rsidRPr="00BB759A">
              <w:rPr>
                <w:rFonts w:ascii="Arial" w:hAnsi="Arial" w:cs="Arial"/>
                <w:sz w:val="16"/>
                <w:szCs w:val="18"/>
                <w:lang w:val="mk-MK"/>
              </w:rPr>
              <w:t>1.6% ukupnog otpada)</w:t>
            </w:r>
          </w:p>
          <w:p w14:paraId="3A3716EA" w14:textId="1C183D73"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rPr>
            </w:pPr>
            <w:r w:rsidRPr="00BB759A">
              <w:rPr>
                <w:rFonts w:ascii="Arial" w:hAnsi="Arial" w:cs="Arial"/>
                <w:sz w:val="16"/>
                <w:szCs w:val="18"/>
              </w:rPr>
              <w:t>2029</w:t>
            </w:r>
            <w:r w:rsidR="00D8450F" w:rsidRPr="00BB759A">
              <w:rPr>
                <w:rFonts w:ascii="Arial" w:hAnsi="Arial" w:cs="Arial"/>
                <w:sz w:val="16"/>
                <w:szCs w:val="18"/>
                <w:lang w:val="mk-MK"/>
              </w:rPr>
              <w:t>: 5.584 t/god (</w:t>
            </w:r>
            <w:r w:rsidR="00C232D7" w:rsidRPr="00BB759A">
              <w:rPr>
                <w:rFonts w:ascii="Arial" w:hAnsi="Arial" w:cs="Arial"/>
                <w:sz w:val="16"/>
                <w:szCs w:val="18"/>
                <w:lang w:val="mk-MK"/>
              </w:rPr>
              <w:t>1.6% ukupnog otpada)</w:t>
            </w:r>
          </w:p>
        </w:tc>
        <w:tc>
          <w:tcPr>
            <w:tcW w:w="761" w:type="pct"/>
            <w:shd w:val="clear" w:color="auto" w:fill="auto"/>
            <w:vAlign w:val="center"/>
          </w:tcPr>
          <w:p w14:paraId="6E76F3DC" w14:textId="77777777" w:rsidR="00C232D7" w:rsidRPr="00BB759A"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mk-MK"/>
              </w:rPr>
            </w:pPr>
            <w:r w:rsidRPr="00BB759A">
              <w:rPr>
                <w:rFonts w:ascii="Arial" w:hAnsi="Arial" w:cs="Arial"/>
                <w:sz w:val="16"/>
                <w:szCs w:val="18"/>
                <w:lang w:val="mk-MK"/>
              </w:rPr>
              <w:t xml:space="preserve">2025: 100% </w:t>
            </w:r>
          </w:p>
          <w:p w14:paraId="64762B7E" w14:textId="0CBD635A"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rPr>
            </w:pPr>
            <w:r w:rsidRPr="00BB759A">
              <w:rPr>
                <w:rFonts w:ascii="Arial" w:hAnsi="Arial" w:cs="Arial"/>
                <w:sz w:val="16"/>
                <w:szCs w:val="18"/>
              </w:rPr>
              <w:t>2029</w:t>
            </w:r>
            <w:r w:rsidR="00C232D7" w:rsidRPr="00BB759A">
              <w:rPr>
                <w:rFonts w:ascii="Arial" w:hAnsi="Arial" w:cs="Arial"/>
                <w:sz w:val="16"/>
                <w:szCs w:val="18"/>
                <w:lang w:val="mk-MK"/>
              </w:rPr>
              <w:t>: 100%</w:t>
            </w:r>
          </w:p>
        </w:tc>
      </w:tr>
      <w:tr w:rsidR="00C232D7" w:rsidRPr="00C149AB" w14:paraId="051FC8B2"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vAlign w:val="center"/>
          </w:tcPr>
          <w:p w14:paraId="60193D84" w14:textId="77777777" w:rsidR="00C232D7" w:rsidRPr="00BB759A" w:rsidRDefault="00C232D7" w:rsidP="00C232D7">
            <w:pPr>
              <w:pStyle w:val="Normal-10pt-Table"/>
              <w:spacing w:line="360" w:lineRule="auto"/>
              <w:jc w:val="both"/>
              <w:rPr>
                <w:rFonts w:ascii="Arial" w:hAnsi="Arial" w:cs="Arial"/>
                <w:b w:val="0"/>
                <w:bCs w:val="0"/>
                <w:sz w:val="16"/>
                <w:szCs w:val="18"/>
                <w:lang w:val="sq-AL"/>
              </w:rPr>
            </w:pPr>
            <w:r w:rsidRPr="00BB759A">
              <w:rPr>
                <w:rFonts w:ascii="Arial" w:hAnsi="Arial" w:cs="Arial"/>
                <w:sz w:val="16"/>
                <w:szCs w:val="18"/>
                <w:lang w:val="sq-AL"/>
              </w:rPr>
              <w:t>Ukupno odvojeno sakupljanje otpada</w:t>
            </w:r>
          </w:p>
        </w:tc>
        <w:tc>
          <w:tcPr>
            <w:tcW w:w="1509" w:type="pct"/>
            <w:shd w:val="clear" w:color="auto" w:fill="auto"/>
            <w:vAlign w:val="center"/>
          </w:tcPr>
          <w:p w14:paraId="4359CBFE" w14:textId="35315C8C" w:rsidR="00C232D7" w:rsidRPr="00BB759A" w:rsidRDefault="00D8450F"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mk-MK"/>
              </w:rPr>
            </w:pPr>
            <w:r w:rsidRPr="00BB759A">
              <w:rPr>
                <w:rFonts w:ascii="Arial" w:hAnsi="Arial" w:cs="Arial"/>
                <w:sz w:val="16"/>
                <w:szCs w:val="18"/>
                <w:lang w:val="mk-MK"/>
              </w:rPr>
              <w:t>2025: 53.467 t/god (</w:t>
            </w:r>
            <w:r w:rsidR="00C232D7" w:rsidRPr="00BB759A">
              <w:rPr>
                <w:rFonts w:ascii="Arial" w:hAnsi="Arial" w:cs="Arial"/>
                <w:sz w:val="16"/>
                <w:szCs w:val="18"/>
                <w:lang w:val="mk-MK"/>
              </w:rPr>
              <w:t>15.0% ukupnog otpada)</w:t>
            </w:r>
          </w:p>
          <w:p w14:paraId="66F39D59" w14:textId="20E95CC0"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rPr>
            </w:pPr>
            <w:r w:rsidRPr="00BB759A">
              <w:rPr>
                <w:rFonts w:ascii="Arial" w:hAnsi="Arial" w:cs="Arial"/>
                <w:sz w:val="16"/>
                <w:szCs w:val="18"/>
              </w:rPr>
              <w:t>2029</w:t>
            </w:r>
            <w:r w:rsidR="00D8450F" w:rsidRPr="00BB759A">
              <w:rPr>
                <w:rFonts w:ascii="Arial" w:hAnsi="Arial" w:cs="Arial"/>
                <w:sz w:val="16"/>
                <w:szCs w:val="18"/>
                <w:lang w:val="mk-MK"/>
              </w:rPr>
              <w:t>: 75.691 t/god (</w:t>
            </w:r>
            <w:r w:rsidR="00C232D7" w:rsidRPr="00BB759A">
              <w:rPr>
                <w:rFonts w:ascii="Arial" w:hAnsi="Arial" w:cs="Arial"/>
                <w:sz w:val="16"/>
                <w:szCs w:val="18"/>
                <w:lang w:val="mk-MK"/>
              </w:rPr>
              <w:t>21.0% ukupnog otpada)</w:t>
            </w:r>
          </w:p>
        </w:tc>
        <w:tc>
          <w:tcPr>
            <w:tcW w:w="1529" w:type="pct"/>
            <w:shd w:val="clear" w:color="auto" w:fill="auto"/>
            <w:vAlign w:val="center"/>
          </w:tcPr>
          <w:p w14:paraId="2AE84383" w14:textId="1112373D" w:rsidR="00C232D7" w:rsidRPr="00BB759A" w:rsidRDefault="00D8450F"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mk-MK"/>
              </w:rPr>
            </w:pPr>
            <w:r w:rsidRPr="00BB759A">
              <w:rPr>
                <w:rFonts w:ascii="Arial" w:hAnsi="Arial" w:cs="Arial"/>
                <w:sz w:val="16"/>
                <w:szCs w:val="18"/>
                <w:lang w:val="mk-MK"/>
              </w:rPr>
              <w:t>2025: 73.216 t/god (</w:t>
            </w:r>
            <w:r w:rsidR="00C232D7" w:rsidRPr="00BB759A">
              <w:rPr>
                <w:rFonts w:ascii="Arial" w:hAnsi="Arial" w:cs="Arial"/>
                <w:sz w:val="16"/>
                <w:szCs w:val="18"/>
                <w:lang w:val="mk-MK"/>
              </w:rPr>
              <w:t>21% ukupnog otpada)</w:t>
            </w:r>
          </w:p>
          <w:p w14:paraId="2B72CCD0" w14:textId="3A02C308"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rPr>
            </w:pPr>
            <w:r w:rsidRPr="00BB759A">
              <w:rPr>
                <w:rFonts w:ascii="Arial" w:hAnsi="Arial" w:cs="Arial"/>
                <w:sz w:val="16"/>
                <w:szCs w:val="18"/>
              </w:rPr>
              <w:t>2029</w:t>
            </w:r>
            <w:r w:rsidR="00D8450F" w:rsidRPr="00BB759A">
              <w:rPr>
                <w:rFonts w:ascii="Arial" w:hAnsi="Arial" w:cs="Arial"/>
                <w:sz w:val="16"/>
                <w:szCs w:val="18"/>
                <w:lang w:val="mk-MK"/>
              </w:rPr>
              <w:t>: 100.881 t/god (</w:t>
            </w:r>
            <w:r w:rsidR="00C232D7" w:rsidRPr="00BB759A">
              <w:rPr>
                <w:rFonts w:ascii="Arial" w:hAnsi="Arial" w:cs="Arial"/>
                <w:sz w:val="16"/>
                <w:szCs w:val="18"/>
                <w:lang w:val="mk-MK"/>
              </w:rPr>
              <w:t>28% ukupnog otpada)</w:t>
            </w:r>
          </w:p>
        </w:tc>
        <w:tc>
          <w:tcPr>
            <w:tcW w:w="761" w:type="pct"/>
            <w:shd w:val="clear" w:color="auto" w:fill="auto"/>
            <w:vAlign w:val="center"/>
          </w:tcPr>
          <w:p w14:paraId="6E280154" w14:textId="77777777" w:rsidR="00C232D7" w:rsidRPr="00BB759A"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mk-MK"/>
              </w:rPr>
            </w:pPr>
            <w:r w:rsidRPr="00BB759A">
              <w:rPr>
                <w:rFonts w:ascii="Arial" w:hAnsi="Arial" w:cs="Arial"/>
                <w:sz w:val="16"/>
                <w:szCs w:val="18"/>
                <w:lang w:val="mk-MK"/>
              </w:rPr>
              <w:t xml:space="preserve">2025: 100% </w:t>
            </w:r>
          </w:p>
          <w:p w14:paraId="0FC7F572" w14:textId="7937DBD6" w:rsidR="00C232D7" w:rsidRPr="00BB759A"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sq-AL"/>
              </w:rPr>
            </w:pPr>
            <w:r w:rsidRPr="00BB759A">
              <w:rPr>
                <w:rFonts w:ascii="Arial" w:hAnsi="Arial" w:cs="Arial"/>
                <w:sz w:val="16"/>
                <w:szCs w:val="18"/>
              </w:rPr>
              <w:t>2029</w:t>
            </w:r>
            <w:r w:rsidR="00C232D7" w:rsidRPr="00BB759A">
              <w:rPr>
                <w:rFonts w:ascii="Arial" w:hAnsi="Arial" w:cs="Arial"/>
                <w:sz w:val="16"/>
                <w:szCs w:val="18"/>
                <w:lang w:val="mk-MK"/>
              </w:rPr>
              <w:t>: 100%</w:t>
            </w:r>
          </w:p>
        </w:tc>
      </w:tr>
    </w:tbl>
    <w:p w14:paraId="0AA11E95" w14:textId="790DB9EE" w:rsidR="00C232D7" w:rsidRPr="002A6F4E" w:rsidRDefault="002A529B" w:rsidP="00C232D7">
      <w:pPr>
        <w:shd w:val="clear" w:color="auto" w:fill="D9D9D9" w:themeFill="background1" w:themeFillShade="D9"/>
        <w:spacing w:before="120" w:after="120" w:line="360" w:lineRule="auto"/>
        <w:rPr>
          <w:rFonts w:ascii="Arial" w:hAnsi="Arial" w:cs="Arial"/>
          <w:bCs/>
          <w:lang w:val="sq-AL"/>
        </w:rPr>
      </w:pPr>
      <w:r>
        <w:rPr>
          <w:rFonts w:ascii="Arial" w:hAnsi="Arial" w:cs="Arial"/>
          <w:b/>
          <w:i/>
          <w:lang w:val="sq-AL"/>
        </w:rPr>
        <w:t>Opcija</w:t>
      </w:r>
      <w:r w:rsidR="00C232D7" w:rsidRPr="002A6F4E">
        <w:rPr>
          <w:rFonts w:ascii="Arial" w:hAnsi="Arial" w:cs="Arial"/>
          <w:b/>
          <w:i/>
          <w:lang w:val="sq-AL"/>
        </w:rPr>
        <w:t xml:space="preserve"> VI: Sistem koji obuhvata odvojeno sakupljanje stakla, pomješanih ostataka otpada koji se može reciklirati i biorazgradivog otpada koji je u potpunosti  zasnovan na sistemu dovoza otpada</w:t>
      </w:r>
      <w:r w:rsidR="00C232D7" w:rsidRPr="002A6F4E">
        <w:rPr>
          <w:rFonts w:ascii="Arial" w:hAnsi="Arial" w:cs="Arial"/>
          <w:bCs/>
          <w:lang w:val="sq-AL"/>
        </w:rPr>
        <w:t xml:space="preserve"> </w:t>
      </w:r>
    </w:p>
    <w:p w14:paraId="621EFD0A" w14:textId="77777777" w:rsidR="00C232D7" w:rsidRPr="002A6F4E" w:rsidRDefault="00C232D7" w:rsidP="00C232D7">
      <w:pPr>
        <w:spacing w:before="120" w:after="120" w:line="360" w:lineRule="auto"/>
        <w:rPr>
          <w:rFonts w:ascii="Arial" w:hAnsi="Arial" w:cs="Arial"/>
          <w:color w:val="000000"/>
          <w:lang w:val="sq-AL"/>
        </w:rPr>
      </w:pPr>
      <w:r w:rsidRPr="002A6F4E">
        <w:rPr>
          <w:rFonts w:ascii="Arial" w:hAnsi="Arial" w:cs="Arial"/>
          <w:color w:val="000000"/>
          <w:lang w:val="sq-AL"/>
        </w:rPr>
        <w:t>Opcija VI se sastoji od sljedećih elemenata:</w:t>
      </w:r>
    </w:p>
    <w:p w14:paraId="59DE4A57" w14:textId="1EA2DE18"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Proširenje sistema sakupljanja otpada kako bi se obuhvatilo </w:t>
      </w:r>
      <w:r w:rsidR="00557F9C">
        <w:rPr>
          <w:rFonts w:ascii="Arial" w:hAnsi="Arial" w:cs="Arial"/>
          <w:color w:val="000000"/>
          <w:lang w:val="sq-AL"/>
        </w:rPr>
        <w:t>cjelokupno</w:t>
      </w:r>
      <w:r w:rsidR="00557F9C" w:rsidRPr="002A6F4E">
        <w:rPr>
          <w:rFonts w:ascii="Arial" w:hAnsi="Arial" w:cs="Arial"/>
          <w:color w:val="000000"/>
          <w:lang w:val="sq-AL"/>
        </w:rPr>
        <w:t xml:space="preserve"> </w:t>
      </w:r>
      <w:r w:rsidRPr="002A6F4E">
        <w:rPr>
          <w:rFonts w:ascii="Arial" w:hAnsi="Arial" w:cs="Arial"/>
          <w:color w:val="000000"/>
          <w:lang w:val="sq-AL"/>
        </w:rPr>
        <w:t>stanovništvo Crne Gore;</w:t>
      </w:r>
    </w:p>
    <w:p w14:paraId="3FD6C00D" w14:textId="48EBBB63" w:rsidR="00C232D7" w:rsidRPr="002A6F4E" w:rsidRDefault="00777714" w:rsidP="00A23ED0">
      <w:pPr>
        <w:pStyle w:val="ListParagraph"/>
        <w:numPr>
          <w:ilvl w:val="0"/>
          <w:numId w:val="42"/>
        </w:numPr>
        <w:spacing w:before="120" w:after="120" w:line="360" w:lineRule="auto"/>
        <w:contextualSpacing w:val="0"/>
        <w:rPr>
          <w:rFonts w:ascii="Arial" w:hAnsi="Arial" w:cs="Arial"/>
          <w:color w:val="000000"/>
          <w:lang w:val="sq-AL"/>
        </w:rPr>
      </w:pPr>
      <w:r>
        <w:rPr>
          <w:rFonts w:ascii="Arial" w:hAnsi="Arial" w:cs="Arial"/>
          <w:color w:val="000000"/>
          <w:lang w:val="sq-AL"/>
        </w:rPr>
        <w:t>M</w:t>
      </w:r>
      <w:r w:rsidR="00C232D7" w:rsidRPr="002A6F4E">
        <w:rPr>
          <w:rFonts w:ascii="Arial" w:hAnsi="Arial" w:cs="Arial"/>
          <w:color w:val="000000"/>
          <w:lang w:val="sq-AL"/>
        </w:rPr>
        <w:t xml:space="preserve">iješani otpad koji se može reciklirati sakuplja se u kontejnere zapremine 1,1 </w:t>
      </w:r>
      <w:r w:rsidR="00C232D7" w:rsidRPr="002A6F4E">
        <w:rPr>
          <w:rFonts w:ascii="Arial" w:hAnsi="Arial" w:cs="Arial"/>
          <w:lang w:val="sq-AL"/>
        </w:rPr>
        <w:t>m</w:t>
      </w:r>
      <w:r w:rsidR="00C232D7" w:rsidRPr="002A6F4E">
        <w:rPr>
          <w:rFonts w:ascii="Arial" w:hAnsi="Arial" w:cs="Arial"/>
          <w:vertAlign w:val="superscript"/>
          <w:lang w:val="sq-AL"/>
        </w:rPr>
        <w:t>3</w:t>
      </w:r>
      <w:r w:rsidR="00557F9C">
        <w:rPr>
          <w:rFonts w:ascii="Arial" w:hAnsi="Arial" w:cs="Arial"/>
          <w:lang w:val="sq-AL"/>
        </w:rPr>
        <w:t>,</w:t>
      </w:r>
      <w:r w:rsidR="00C232D7" w:rsidRPr="002A6F4E">
        <w:rPr>
          <w:rFonts w:ascii="Arial" w:hAnsi="Arial" w:cs="Arial"/>
          <w:vertAlign w:val="superscript"/>
          <w:lang w:val="sq-AL"/>
        </w:rPr>
        <w:t xml:space="preserve"> </w:t>
      </w:r>
      <w:r w:rsidR="00C232D7" w:rsidRPr="002A6F4E">
        <w:rPr>
          <w:rFonts w:ascii="Arial" w:hAnsi="Arial" w:cs="Arial"/>
          <w:color w:val="000000"/>
          <w:lang w:val="sq-AL"/>
        </w:rPr>
        <w:t xml:space="preserve">a zatim se odvozi u postojeća i nova MRF postrojenja koja će se </w:t>
      </w:r>
      <w:r w:rsidR="00557F9C">
        <w:rPr>
          <w:rFonts w:ascii="Arial" w:hAnsi="Arial" w:cs="Arial"/>
          <w:color w:val="000000"/>
          <w:lang w:val="sq-AL"/>
        </w:rPr>
        <w:t>izgraditi</w:t>
      </w:r>
      <w:r w:rsidR="00C232D7" w:rsidRPr="002A6F4E">
        <w:rPr>
          <w:rFonts w:ascii="Arial" w:hAnsi="Arial" w:cs="Arial"/>
          <w:color w:val="000000"/>
          <w:lang w:val="sq-AL"/>
        </w:rPr>
        <w:t xml:space="preserve"> (vidjeti sljedeća poglavlja);</w:t>
      </w:r>
    </w:p>
    <w:p w14:paraId="2C928166" w14:textId="1680A972"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Staklo se sakuplja u zvonaste kontejnere zapremine  2,5 </w:t>
      </w:r>
      <w:r w:rsidRPr="002A6F4E">
        <w:rPr>
          <w:rFonts w:ascii="Arial" w:hAnsi="Arial" w:cs="Arial"/>
          <w:lang w:val="sq-AL"/>
        </w:rPr>
        <w:t>m</w:t>
      </w:r>
      <w:r w:rsidRPr="002A6F4E">
        <w:rPr>
          <w:rFonts w:ascii="Arial" w:hAnsi="Arial" w:cs="Arial"/>
          <w:vertAlign w:val="superscript"/>
          <w:lang w:val="sq-AL"/>
        </w:rPr>
        <w:t>3</w:t>
      </w:r>
      <w:r w:rsidR="00557F9C">
        <w:rPr>
          <w:rFonts w:ascii="Arial" w:hAnsi="Arial" w:cs="Arial"/>
          <w:lang w:val="sq-AL"/>
        </w:rPr>
        <w:t>,</w:t>
      </w:r>
      <w:r w:rsidRPr="002A6F4E">
        <w:rPr>
          <w:rFonts w:ascii="Arial" w:hAnsi="Arial" w:cs="Arial"/>
          <w:vertAlign w:val="superscript"/>
          <w:lang w:val="sq-AL"/>
        </w:rPr>
        <w:t xml:space="preserve"> </w:t>
      </w:r>
      <w:r w:rsidRPr="002A6F4E">
        <w:rPr>
          <w:rFonts w:ascii="Arial" w:hAnsi="Arial" w:cs="Arial"/>
          <w:color w:val="000000"/>
          <w:lang w:val="sq-AL"/>
        </w:rPr>
        <w:t>a zatim se direktno odvozi na recikl</w:t>
      </w:r>
      <w:r w:rsidR="00557F9C">
        <w:rPr>
          <w:rFonts w:ascii="Arial" w:hAnsi="Arial" w:cs="Arial"/>
          <w:color w:val="000000"/>
          <w:lang w:val="sq-AL"/>
        </w:rPr>
        <w:t>iranje;</w:t>
      </w:r>
    </w:p>
    <w:p w14:paraId="0B7AF542" w14:textId="22D00F18"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lang w:val="sq-AL"/>
        </w:rPr>
        <w:t>Odvojeno sakupljanje drveta će biti odgovornost proizvođača/trgovaca i transportova</w:t>
      </w:r>
      <w:r w:rsidR="00557F9C">
        <w:rPr>
          <w:rFonts w:ascii="Arial" w:hAnsi="Arial" w:cs="Arial"/>
          <w:lang w:val="sq-AL"/>
        </w:rPr>
        <w:t>će se</w:t>
      </w:r>
      <w:r w:rsidRPr="002A6F4E">
        <w:rPr>
          <w:rFonts w:ascii="Arial" w:hAnsi="Arial" w:cs="Arial"/>
          <w:lang w:val="sq-AL"/>
        </w:rPr>
        <w:t xml:space="preserve"> do reciklera preko predloženih Centara za sakupljanje otpada;</w:t>
      </w:r>
    </w:p>
    <w:p w14:paraId="071F983B" w14:textId="7D324D45" w:rsidR="00C232D7" w:rsidRPr="002A6F4E" w:rsidRDefault="00C232D7" w:rsidP="00A23ED0">
      <w:pPr>
        <w:pStyle w:val="ListParagraph"/>
        <w:numPr>
          <w:ilvl w:val="0"/>
          <w:numId w:val="42"/>
        </w:numPr>
        <w:spacing w:before="120" w:after="120" w:line="360" w:lineRule="auto"/>
        <w:contextualSpacing w:val="0"/>
        <w:rPr>
          <w:rFonts w:ascii="Arial" w:hAnsi="Arial" w:cs="Arial"/>
          <w:lang w:val="sq-AL"/>
        </w:rPr>
      </w:pPr>
      <w:r w:rsidRPr="002A6F4E">
        <w:rPr>
          <w:rFonts w:ascii="Arial" w:hAnsi="Arial" w:cs="Arial"/>
          <w:lang w:val="sq-AL"/>
        </w:rPr>
        <w:t>Biootpad (otpad iz kuhinje, pijaca i sl. bez zelenog otpada) sakuplja se u kontejnere zapremine od 1,1 m</w:t>
      </w:r>
      <w:r w:rsidRPr="002A6F4E">
        <w:rPr>
          <w:rFonts w:ascii="Arial" w:hAnsi="Arial" w:cs="Arial"/>
          <w:vertAlign w:val="superscript"/>
          <w:lang w:val="sq-AL"/>
        </w:rPr>
        <w:t>3</w:t>
      </w:r>
      <w:r w:rsidRPr="002A6F4E">
        <w:rPr>
          <w:rFonts w:ascii="Arial" w:hAnsi="Arial" w:cs="Arial"/>
          <w:lang w:val="sq-AL"/>
        </w:rPr>
        <w:t xml:space="preserve">, a zatim se prosleđuje postojećim i novim postrojenjima za kompostiranje koja će se </w:t>
      </w:r>
      <w:r w:rsidR="00E03C47">
        <w:rPr>
          <w:rFonts w:ascii="Arial" w:hAnsi="Arial" w:cs="Arial"/>
          <w:lang w:val="sq-AL"/>
        </w:rPr>
        <w:t xml:space="preserve">izgraditi </w:t>
      </w:r>
      <w:r w:rsidRPr="002A6F4E">
        <w:rPr>
          <w:rFonts w:ascii="Arial" w:hAnsi="Arial" w:cs="Arial"/>
          <w:color w:val="000000"/>
          <w:lang w:val="sq-AL"/>
        </w:rPr>
        <w:t>(vidjeti sljedeća poglavlja);</w:t>
      </w:r>
    </w:p>
    <w:p w14:paraId="621FCC33" w14:textId="0DCB5E6F"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lastRenderedPageBreak/>
        <w:t xml:space="preserve">Zeleni otpad se sakuplja u većim količinama, korišćenjem otvorenih kipera zapremine </w:t>
      </w:r>
      <w:r w:rsidRPr="002A6F4E">
        <w:rPr>
          <w:rFonts w:ascii="Arial" w:hAnsi="Arial" w:cs="Arial"/>
          <w:lang w:val="sq-AL"/>
        </w:rPr>
        <w:t>6m</w:t>
      </w:r>
      <w:r w:rsidRPr="002A6F4E">
        <w:rPr>
          <w:rFonts w:ascii="Arial" w:hAnsi="Arial" w:cs="Arial"/>
          <w:vertAlign w:val="superscript"/>
          <w:lang w:val="sq-AL"/>
        </w:rPr>
        <w:t>3</w:t>
      </w:r>
      <w:r w:rsidR="00E03C47">
        <w:rPr>
          <w:rFonts w:ascii="Arial" w:hAnsi="Arial" w:cs="Arial"/>
          <w:lang w:val="sq-AL"/>
        </w:rPr>
        <w:t>;</w:t>
      </w:r>
      <w:r w:rsidRPr="002A6F4E">
        <w:rPr>
          <w:rFonts w:ascii="Arial" w:hAnsi="Arial" w:cs="Arial"/>
          <w:lang w:val="sq-AL"/>
        </w:rPr>
        <w:t xml:space="preserve"> </w:t>
      </w:r>
      <w:r w:rsidRPr="002A6F4E">
        <w:rPr>
          <w:rFonts w:ascii="Arial" w:hAnsi="Arial" w:cs="Arial"/>
          <w:color w:val="000000"/>
          <w:lang w:val="sq-AL"/>
        </w:rPr>
        <w:t xml:space="preserve">a zatim se odvozi u postojeća i nova postrojenja za kompostiranje koja će se </w:t>
      </w:r>
      <w:r w:rsidR="00E03C47">
        <w:rPr>
          <w:rFonts w:ascii="Arial" w:hAnsi="Arial" w:cs="Arial"/>
          <w:color w:val="000000"/>
          <w:lang w:val="sq-AL"/>
        </w:rPr>
        <w:t>izgraditi</w:t>
      </w:r>
      <w:r w:rsidRPr="002A6F4E">
        <w:rPr>
          <w:rFonts w:ascii="Arial" w:hAnsi="Arial" w:cs="Arial"/>
          <w:color w:val="000000"/>
          <w:lang w:val="sq-AL"/>
        </w:rPr>
        <w:t xml:space="preserve"> (vidjeti sljedeća poglavlja izvještaja);</w:t>
      </w:r>
    </w:p>
    <w:p w14:paraId="78E9A647" w14:textId="77777777"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Rezidualni otpad se sakuplja u sistemu za dovoz otpada</w:t>
      </w:r>
      <w:r w:rsidRPr="002A6F4E">
        <w:rPr>
          <w:rFonts w:ascii="Arial" w:hAnsi="Arial" w:cs="Arial"/>
          <w:lang w:val="sq-AL"/>
        </w:rPr>
        <w:t xml:space="preserve"> </w:t>
      </w:r>
      <w:r w:rsidRPr="002A6F4E">
        <w:rPr>
          <w:rFonts w:ascii="Arial" w:hAnsi="Arial" w:cs="Arial"/>
          <w:color w:val="000000"/>
          <w:lang w:val="sq-AL"/>
        </w:rPr>
        <w:t>koji se trenutno primenjuje;</w:t>
      </w:r>
    </w:p>
    <w:p w14:paraId="369CE542" w14:textId="4DF2804C"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Otpad će se odlagati na postojeće i nove deponije koje će se izgraditi (vidjeti sljedeća poglavlja).</w:t>
      </w:r>
    </w:p>
    <w:p w14:paraId="3C13EB5F" w14:textId="1E804930"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Na sljedećoj slici prikazan je tok upravljanja otpadom</w:t>
      </w:r>
      <w:r w:rsidR="002A529B">
        <w:rPr>
          <w:rFonts w:ascii="Arial" w:hAnsi="Arial" w:cs="Arial"/>
          <w:lang w:val="sq-AL"/>
        </w:rPr>
        <w:t xml:space="preserve"> u količinama</w:t>
      </w:r>
      <w:r w:rsidRPr="002A6F4E">
        <w:rPr>
          <w:rFonts w:ascii="Arial" w:hAnsi="Arial" w:cs="Arial"/>
          <w:lang w:val="sq-AL"/>
        </w:rPr>
        <w:t xml:space="preserve"> prema opciji VI</w:t>
      </w:r>
      <w:r w:rsidR="002A529B">
        <w:rPr>
          <w:rFonts w:ascii="Arial" w:hAnsi="Arial" w:cs="Arial"/>
          <w:lang w:val="sq-AL"/>
        </w:rPr>
        <w:t xml:space="preserve"> za</w:t>
      </w:r>
      <w:r w:rsidRPr="002A6F4E">
        <w:rPr>
          <w:rFonts w:ascii="Arial" w:hAnsi="Arial" w:cs="Arial"/>
          <w:lang w:val="sq-AL"/>
        </w:rPr>
        <w:t xml:space="preserve"> </w:t>
      </w:r>
      <w:r w:rsidR="00B40E88" w:rsidRPr="002A6F4E">
        <w:rPr>
          <w:rFonts w:ascii="Arial" w:hAnsi="Arial" w:cs="Arial"/>
          <w:lang w:val="sq-AL"/>
        </w:rPr>
        <w:t>2029</w:t>
      </w:r>
      <w:r w:rsidRPr="002A6F4E">
        <w:rPr>
          <w:rFonts w:ascii="Arial" w:hAnsi="Arial" w:cs="Arial"/>
          <w:lang w:val="sq-AL"/>
        </w:rPr>
        <w:t xml:space="preserve">. godinu. </w:t>
      </w:r>
    </w:p>
    <w:p w14:paraId="63395F8B" w14:textId="4611EB45"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U tabelama u nastavku sumirane su  indikativne dodatne potrebe za opremom za sakupljanje otpada na nivou zemlje. Napominje se da se tačan broj potrebnih </w:t>
      </w:r>
      <w:r w:rsidR="007B1545">
        <w:rPr>
          <w:rFonts w:ascii="Arial" w:hAnsi="Arial" w:cs="Arial"/>
          <w:lang w:val="sq-AL"/>
        </w:rPr>
        <w:t>posuda</w:t>
      </w:r>
      <w:r w:rsidRPr="002A6F4E">
        <w:rPr>
          <w:rFonts w:ascii="Arial" w:hAnsi="Arial" w:cs="Arial"/>
          <w:lang w:val="sq-AL"/>
        </w:rPr>
        <w:t xml:space="preserve">, kontejnera i vozila odnosi na sistem sakupljanja otpada i raspored koji će se sprovoditi, kao i za potrebe zamjene postojećih </w:t>
      </w:r>
      <w:r w:rsidR="007B1545">
        <w:rPr>
          <w:rFonts w:ascii="Arial" w:hAnsi="Arial" w:cs="Arial"/>
          <w:lang w:val="sq-AL"/>
        </w:rPr>
        <w:t>posuda</w:t>
      </w:r>
      <w:r w:rsidRPr="002A6F4E">
        <w:rPr>
          <w:rFonts w:ascii="Arial" w:hAnsi="Arial" w:cs="Arial"/>
          <w:lang w:val="sq-AL"/>
        </w:rPr>
        <w:t>.</w:t>
      </w:r>
    </w:p>
    <w:p w14:paraId="2B135501" w14:textId="10885358" w:rsidR="00C232D7" w:rsidRPr="00C149AB" w:rsidRDefault="00C232D7" w:rsidP="00C232D7">
      <w:pPr>
        <w:pStyle w:val="Caption"/>
        <w:rPr>
          <w:rFonts w:ascii="Arial" w:hAnsi="Arial" w:cs="Arial"/>
          <w:b w:val="0"/>
          <w:lang w:val="sq-AL"/>
        </w:rPr>
      </w:pPr>
      <w:bookmarkStart w:id="1066" w:name="_Toc189515651"/>
      <w:bookmarkStart w:id="1067" w:name="_Toc190160769"/>
      <w:r w:rsidRPr="00C149AB">
        <w:rPr>
          <w:rFonts w:ascii="Arial" w:hAnsi="Arial" w:cs="Arial"/>
          <w:b w:val="0"/>
          <w:lang w:val="sq-AL"/>
        </w:rPr>
        <w:t xml:space="preserve">Tabela </w:t>
      </w:r>
      <w:r w:rsidRPr="00C149AB">
        <w:rPr>
          <w:rFonts w:ascii="Arial" w:hAnsi="Arial" w:cs="Arial"/>
          <w:b w:val="0"/>
        </w:rPr>
        <w:fldChar w:fldCharType="begin"/>
      </w:r>
      <w:r w:rsidRPr="00C149AB">
        <w:rPr>
          <w:rFonts w:ascii="Arial" w:hAnsi="Arial" w:cs="Arial"/>
          <w:b w:val="0"/>
          <w:lang w:val="sq-AL"/>
        </w:rPr>
        <w:instrText xml:space="preserve"> SEQ Tabela \* ARABIC </w:instrText>
      </w:r>
      <w:r w:rsidRPr="00C149AB">
        <w:rPr>
          <w:rFonts w:ascii="Arial" w:hAnsi="Arial" w:cs="Arial"/>
          <w:b w:val="0"/>
        </w:rPr>
        <w:fldChar w:fldCharType="separate"/>
      </w:r>
      <w:r w:rsidR="007274DA">
        <w:rPr>
          <w:rFonts w:ascii="Arial" w:hAnsi="Arial" w:cs="Arial"/>
          <w:b w:val="0"/>
          <w:noProof/>
          <w:lang w:val="sq-AL"/>
        </w:rPr>
        <w:t>75</w:t>
      </w:r>
      <w:r w:rsidRPr="00C149AB">
        <w:rPr>
          <w:rFonts w:ascii="Arial" w:hAnsi="Arial" w:cs="Arial"/>
          <w:b w:val="0"/>
        </w:rPr>
        <w:fldChar w:fldCharType="end"/>
      </w:r>
      <w:r w:rsidRPr="00C149AB">
        <w:rPr>
          <w:rFonts w:ascii="Arial" w:hAnsi="Arial" w:cs="Arial"/>
          <w:b w:val="0"/>
          <w:lang w:val="sq-AL"/>
        </w:rPr>
        <w:t xml:space="preserve"> Broj dodatnih kamiona za sakupljanje otpada neophodnih za opciju VI</w:t>
      </w:r>
      <w:bookmarkEnd w:id="1066"/>
      <w:bookmarkEnd w:id="1067"/>
    </w:p>
    <w:tbl>
      <w:tblPr>
        <w:tblW w:w="44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0"/>
        <w:gridCol w:w="2552"/>
        <w:gridCol w:w="2005"/>
      </w:tblGrid>
      <w:tr w:rsidR="00C232D7" w:rsidRPr="00C149AB" w14:paraId="7FDF82CB" w14:textId="77777777" w:rsidTr="002A529B">
        <w:trPr>
          <w:trHeight w:val="288"/>
          <w:tblHeader/>
          <w:jc w:val="center"/>
        </w:trPr>
        <w:tc>
          <w:tcPr>
            <w:tcW w:w="2257"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1FB0C45B" w14:textId="78F03612" w:rsidR="00C232D7" w:rsidRPr="00C149AB" w:rsidRDefault="00C232D7" w:rsidP="00C232D7">
            <w:pPr>
              <w:spacing w:before="60" w:after="60" w:line="360" w:lineRule="auto"/>
              <w:rPr>
                <w:rFonts w:ascii="Arial" w:hAnsi="Arial" w:cs="Arial"/>
                <w:b/>
                <w:color w:val="000000"/>
                <w:sz w:val="18"/>
                <w:szCs w:val="18"/>
              </w:rPr>
            </w:pPr>
            <w:r w:rsidRPr="00C149AB">
              <w:rPr>
                <w:rFonts w:ascii="Arial" w:hAnsi="Arial" w:cs="Arial"/>
                <w:b/>
                <w:color w:val="000000"/>
                <w:sz w:val="18"/>
                <w:szCs w:val="18"/>
              </w:rPr>
              <w:t xml:space="preserve">Vrste </w:t>
            </w:r>
            <w:r w:rsidR="005C4A0C" w:rsidRPr="00C149AB">
              <w:rPr>
                <w:rFonts w:ascii="Arial" w:hAnsi="Arial" w:cs="Arial"/>
                <w:b/>
                <w:color w:val="000000"/>
                <w:sz w:val="18"/>
                <w:szCs w:val="18"/>
              </w:rPr>
              <w:t>posuda</w:t>
            </w:r>
            <w:r w:rsidRPr="00C149AB">
              <w:rPr>
                <w:rFonts w:ascii="Arial" w:hAnsi="Arial" w:cs="Arial"/>
                <w:b/>
                <w:color w:val="000000"/>
                <w:sz w:val="18"/>
                <w:szCs w:val="18"/>
              </w:rPr>
              <w:t>/kontejnera</w:t>
            </w:r>
          </w:p>
        </w:tc>
        <w:tc>
          <w:tcPr>
            <w:tcW w:w="274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B69AB5A" w14:textId="39429A46" w:rsidR="00C232D7" w:rsidRPr="00C149AB" w:rsidRDefault="00B40E88" w:rsidP="00C232D7">
            <w:pPr>
              <w:spacing w:before="60" w:after="60" w:line="360" w:lineRule="auto"/>
              <w:rPr>
                <w:rFonts w:ascii="Arial" w:hAnsi="Arial" w:cs="Arial"/>
                <w:b/>
                <w:color w:val="000000"/>
                <w:sz w:val="18"/>
                <w:szCs w:val="18"/>
              </w:rPr>
            </w:pPr>
            <w:r w:rsidRPr="00C149AB">
              <w:rPr>
                <w:rFonts w:ascii="Arial" w:hAnsi="Arial" w:cs="Arial"/>
                <w:b/>
                <w:color w:val="000000"/>
                <w:sz w:val="18"/>
                <w:szCs w:val="18"/>
              </w:rPr>
              <w:t>2029</w:t>
            </w:r>
          </w:p>
        </w:tc>
      </w:tr>
      <w:tr w:rsidR="00C232D7" w:rsidRPr="00C149AB" w14:paraId="3F28B4C0" w14:textId="77777777" w:rsidTr="002A529B">
        <w:trPr>
          <w:trHeight w:val="288"/>
          <w:tblHeader/>
          <w:jc w:val="center"/>
        </w:trPr>
        <w:tc>
          <w:tcPr>
            <w:tcW w:w="2257"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A9A38D" w14:textId="77777777" w:rsidR="00C232D7" w:rsidRPr="00C149AB" w:rsidRDefault="00C232D7" w:rsidP="00C232D7">
            <w:pPr>
              <w:spacing w:before="60" w:after="60" w:line="360" w:lineRule="auto"/>
              <w:rPr>
                <w:rFonts w:ascii="Arial" w:hAnsi="Arial" w:cs="Arial"/>
                <w:b/>
                <w:color w:val="000000"/>
                <w:sz w:val="18"/>
                <w:szCs w:val="18"/>
              </w:rPr>
            </w:pPr>
          </w:p>
        </w:tc>
        <w:tc>
          <w:tcPr>
            <w:tcW w:w="1536"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2F43129" w14:textId="77777777" w:rsidR="00C232D7" w:rsidRPr="00C149AB" w:rsidRDefault="00C232D7" w:rsidP="00C232D7">
            <w:pPr>
              <w:spacing w:before="60" w:after="60" w:line="360" w:lineRule="auto"/>
              <w:rPr>
                <w:rFonts w:ascii="Arial" w:hAnsi="Arial" w:cs="Arial"/>
                <w:b/>
                <w:color w:val="000000"/>
                <w:sz w:val="18"/>
                <w:szCs w:val="18"/>
              </w:rPr>
            </w:pPr>
            <w:r w:rsidRPr="00C149AB">
              <w:rPr>
                <w:rFonts w:ascii="Arial" w:hAnsi="Arial" w:cs="Arial"/>
                <w:b/>
                <w:color w:val="000000"/>
                <w:sz w:val="18"/>
                <w:szCs w:val="18"/>
              </w:rPr>
              <w:t>Rezidualni otpad</w:t>
            </w:r>
          </w:p>
        </w:tc>
        <w:tc>
          <w:tcPr>
            <w:tcW w:w="120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0EE308" w14:textId="77777777" w:rsidR="00C232D7" w:rsidRPr="00C149AB" w:rsidRDefault="00C232D7" w:rsidP="00C232D7">
            <w:pPr>
              <w:spacing w:before="60" w:after="60" w:line="360" w:lineRule="auto"/>
              <w:rPr>
                <w:rFonts w:ascii="Arial" w:hAnsi="Arial" w:cs="Arial"/>
                <w:b/>
                <w:color w:val="000000"/>
                <w:sz w:val="18"/>
                <w:szCs w:val="18"/>
              </w:rPr>
            </w:pPr>
            <w:r w:rsidRPr="00C149AB">
              <w:rPr>
                <w:rFonts w:ascii="Arial" w:hAnsi="Arial" w:cs="Arial"/>
                <w:b/>
                <w:color w:val="000000"/>
                <w:sz w:val="18"/>
                <w:szCs w:val="18"/>
              </w:rPr>
              <w:t>Otpad koji se može reciklirati/biootpad</w:t>
            </w:r>
          </w:p>
        </w:tc>
      </w:tr>
      <w:tr w:rsidR="00C232D7" w:rsidRPr="00C149AB" w14:paraId="2EFC3A29" w14:textId="77777777" w:rsidTr="002A529B">
        <w:trPr>
          <w:trHeight w:val="312"/>
          <w:jc w:val="center"/>
        </w:trPr>
        <w:tc>
          <w:tcPr>
            <w:tcW w:w="2257" w:type="pct"/>
            <w:tcBorders>
              <w:top w:val="single" w:sz="4" w:space="0" w:color="auto"/>
              <w:left w:val="single" w:sz="4" w:space="0" w:color="auto"/>
              <w:bottom w:val="single" w:sz="4" w:space="0" w:color="auto"/>
              <w:right w:val="single" w:sz="4" w:space="0" w:color="auto"/>
            </w:tcBorders>
            <w:noWrap/>
          </w:tcPr>
          <w:p w14:paraId="17AAF38F"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1.1 m</w:t>
            </w:r>
            <w:r w:rsidRPr="00C149AB">
              <w:rPr>
                <w:rFonts w:ascii="Arial" w:hAnsi="Arial" w:cs="Arial"/>
                <w:color w:val="000000"/>
                <w:sz w:val="18"/>
                <w:szCs w:val="18"/>
                <w:vertAlign w:val="superscript"/>
              </w:rPr>
              <w:t>3</w:t>
            </w:r>
          </w:p>
        </w:tc>
        <w:tc>
          <w:tcPr>
            <w:tcW w:w="1536" w:type="pct"/>
            <w:tcBorders>
              <w:top w:val="single" w:sz="4" w:space="0" w:color="auto"/>
              <w:left w:val="single" w:sz="4" w:space="0" w:color="auto"/>
              <w:bottom w:val="single" w:sz="4" w:space="0" w:color="auto"/>
              <w:right w:val="single" w:sz="4" w:space="0" w:color="auto"/>
            </w:tcBorders>
            <w:noWrap/>
            <w:vAlign w:val="bottom"/>
          </w:tcPr>
          <w:p w14:paraId="144E6535"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10.960</w:t>
            </w:r>
          </w:p>
        </w:tc>
        <w:tc>
          <w:tcPr>
            <w:tcW w:w="1207" w:type="pct"/>
            <w:tcBorders>
              <w:top w:val="single" w:sz="4" w:space="0" w:color="auto"/>
              <w:left w:val="single" w:sz="4" w:space="0" w:color="auto"/>
              <w:bottom w:val="single" w:sz="4" w:space="0" w:color="auto"/>
              <w:right w:val="single" w:sz="4" w:space="0" w:color="auto"/>
            </w:tcBorders>
            <w:vAlign w:val="bottom"/>
          </w:tcPr>
          <w:p w14:paraId="1E8D54D5"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19.610</w:t>
            </w:r>
          </w:p>
        </w:tc>
      </w:tr>
      <w:tr w:rsidR="00C232D7" w:rsidRPr="00C149AB" w14:paraId="4C78843F" w14:textId="77777777" w:rsidTr="002A529B">
        <w:trPr>
          <w:trHeight w:val="312"/>
          <w:jc w:val="center"/>
        </w:trPr>
        <w:tc>
          <w:tcPr>
            <w:tcW w:w="2257" w:type="pct"/>
            <w:tcBorders>
              <w:top w:val="single" w:sz="4" w:space="0" w:color="auto"/>
              <w:left w:val="single" w:sz="4" w:space="0" w:color="auto"/>
              <w:bottom w:val="single" w:sz="4" w:space="0" w:color="auto"/>
              <w:right w:val="single" w:sz="4" w:space="0" w:color="auto"/>
            </w:tcBorders>
            <w:noWrap/>
          </w:tcPr>
          <w:p w14:paraId="1D4FF503"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2,5 m</w:t>
            </w:r>
            <w:r w:rsidRPr="00C149AB">
              <w:rPr>
                <w:rFonts w:ascii="Arial" w:hAnsi="Arial" w:cs="Arial"/>
                <w:color w:val="000000"/>
                <w:sz w:val="18"/>
                <w:szCs w:val="18"/>
                <w:vertAlign w:val="superscript"/>
              </w:rPr>
              <w:t>3</w:t>
            </w:r>
          </w:p>
        </w:tc>
        <w:tc>
          <w:tcPr>
            <w:tcW w:w="1536" w:type="pct"/>
            <w:tcBorders>
              <w:top w:val="single" w:sz="4" w:space="0" w:color="auto"/>
              <w:left w:val="single" w:sz="4" w:space="0" w:color="auto"/>
              <w:bottom w:val="single" w:sz="4" w:space="0" w:color="auto"/>
              <w:right w:val="single" w:sz="4" w:space="0" w:color="auto"/>
            </w:tcBorders>
            <w:noWrap/>
            <w:vAlign w:val="bottom"/>
          </w:tcPr>
          <w:p w14:paraId="1F773DD2"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0</w:t>
            </w:r>
          </w:p>
        </w:tc>
        <w:tc>
          <w:tcPr>
            <w:tcW w:w="1207" w:type="pct"/>
            <w:tcBorders>
              <w:top w:val="single" w:sz="4" w:space="0" w:color="auto"/>
              <w:left w:val="single" w:sz="4" w:space="0" w:color="auto"/>
              <w:bottom w:val="single" w:sz="4" w:space="0" w:color="auto"/>
              <w:right w:val="single" w:sz="4" w:space="0" w:color="auto"/>
            </w:tcBorders>
            <w:vAlign w:val="bottom"/>
          </w:tcPr>
          <w:p w14:paraId="3C8B70F0"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363</w:t>
            </w:r>
          </w:p>
        </w:tc>
      </w:tr>
      <w:tr w:rsidR="00C232D7" w:rsidRPr="00C149AB" w14:paraId="7403A347" w14:textId="77777777" w:rsidTr="002A529B">
        <w:trPr>
          <w:trHeight w:val="288"/>
          <w:jc w:val="center"/>
        </w:trPr>
        <w:tc>
          <w:tcPr>
            <w:tcW w:w="2257" w:type="pct"/>
            <w:tcBorders>
              <w:top w:val="single" w:sz="4" w:space="0" w:color="auto"/>
              <w:left w:val="single" w:sz="4" w:space="0" w:color="auto"/>
              <w:bottom w:val="single" w:sz="4" w:space="0" w:color="auto"/>
              <w:right w:val="single" w:sz="4" w:space="0" w:color="auto"/>
            </w:tcBorders>
            <w:noWrap/>
          </w:tcPr>
          <w:p w14:paraId="467655A7" w14:textId="77777777" w:rsidR="00C232D7" w:rsidRPr="00C149AB" w:rsidRDefault="00C232D7" w:rsidP="00C232D7">
            <w:pPr>
              <w:spacing w:before="60" w:after="60" w:line="360" w:lineRule="auto"/>
              <w:rPr>
                <w:rFonts w:ascii="Arial" w:hAnsi="Arial" w:cs="Arial"/>
                <w:b/>
                <w:bCs/>
                <w:color w:val="000000"/>
                <w:sz w:val="18"/>
                <w:szCs w:val="18"/>
              </w:rPr>
            </w:pPr>
            <w:r w:rsidRPr="00C149AB">
              <w:rPr>
                <w:rFonts w:ascii="Arial" w:hAnsi="Arial" w:cs="Arial"/>
                <w:b/>
                <w:bCs/>
                <w:color w:val="000000"/>
                <w:sz w:val="18"/>
                <w:szCs w:val="18"/>
                <w:lang w:val="sq-AL"/>
              </w:rPr>
              <w:t>Ukupan broj</w:t>
            </w:r>
          </w:p>
        </w:tc>
        <w:tc>
          <w:tcPr>
            <w:tcW w:w="1536" w:type="pct"/>
            <w:tcBorders>
              <w:top w:val="single" w:sz="4" w:space="0" w:color="auto"/>
              <w:left w:val="single" w:sz="4" w:space="0" w:color="auto"/>
              <w:bottom w:val="single" w:sz="4" w:space="0" w:color="auto"/>
              <w:right w:val="single" w:sz="4" w:space="0" w:color="auto"/>
            </w:tcBorders>
            <w:noWrap/>
            <w:vAlign w:val="bottom"/>
          </w:tcPr>
          <w:p w14:paraId="44C0CFAB" w14:textId="77777777" w:rsidR="00C232D7" w:rsidRPr="00C149AB" w:rsidRDefault="00C232D7" w:rsidP="00C232D7">
            <w:pPr>
              <w:spacing w:before="60" w:after="60" w:line="360" w:lineRule="auto"/>
              <w:rPr>
                <w:rFonts w:ascii="Arial" w:hAnsi="Arial" w:cs="Arial"/>
                <w:b/>
                <w:bCs/>
                <w:color w:val="000000"/>
                <w:sz w:val="18"/>
                <w:szCs w:val="18"/>
              </w:rPr>
            </w:pPr>
            <w:r w:rsidRPr="00C149AB">
              <w:rPr>
                <w:rFonts w:ascii="Arial" w:hAnsi="Arial" w:cs="Arial"/>
                <w:b/>
                <w:bCs/>
                <w:color w:val="000000"/>
                <w:sz w:val="18"/>
                <w:szCs w:val="18"/>
              </w:rPr>
              <w:t>10.960</w:t>
            </w:r>
          </w:p>
        </w:tc>
        <w:tc>
          <w:tcPr>
            <w:tcW w:w="1207" w:type="pct"/>
            <w:tcBorders>
              <w:top w:val="single" w:sz="4" w:space="0" w:color="auto"/>
              <w:left w:val="single" w:sz="4" w:space="0" w:color="auto"/>
              <w:bottom w:val="single" w:sz="4" w:space="0" w:color="auto"/>
              <w:right w:val="single" w:sz="4" w:space="0" w:color="auto"/>
            </w:tcBorders>
            <w:vAlign w:val="bottom"/>
          </w:tcPr>
          <w:p w14:paraId="33EBB175" w14:textId="77777777" w:rsidR="00C232D7" w:rsidRPr="00C149AB" w:rsidRDefault="00C232D7" w:rsidP="00C232D7">
            <w:pPr>
              <w:spacing w:before="60" w:after="60" w:line="360" w:lineRule="auto"/>
              <w:rPr>
                <w:rFonts w:ascii="Arial" w:hAnsi="Arial" w:cs="Arial"/>
                <w:b/>
                <w:bCs/>
                <w:color w:val="000000"/>
                <w:sz w:val="18"/>
                <w:szCs w:val="18"/>
              </w:rPr>
            </w:pPr>
            <w:r w:rsidRPr="00C149AB">
              <w:rPr>
                <w:rFonts w:ascii="Arial" w:hAnsi="Arial" w:cs="Arial"/>
                <w:b/>
                <w:bCs/>
                <w:color w:val="000000"/>
                <w:sz w:val="18"/>
                <w:szCs w:val="18"/>
              </w:rPr>
              <w:t>19.973</w:t>
            </w:r>
          </w:p>
        </w:tc>
      </w:tr>
      <w:tr w:rsidR="00C232D7" w:rsidRPr="00C149AB" w14:paraId="6D01D506" w14:textId="77777777" w:rsidTr="002A529B">
        <w:trPr>
          <w:trHeight w:val="288"/>
          <w:jc w:val="center"/>
        </w:trPr>
        <w:tc>
          <w:tcPr>
            <w:tcW w:w="2257" w:type="pct"/>
            <w:tcBorders>
              <w:top w:val="single" w:sz="4" w:space="0" w:color="auto"/>
              <w:left w:val="single" w:sz="4" w:space="0" w:color="auto"/>
              <w:bottom w:val="single" w:sz="4" w:space="0" w:color="auto"/>
              <w:right w:val="single" w:sz="4" w:space="0" w:color="auto"/>
            </w:tcBorders>
            <w:noWrap/>
          </w:tcPr>
          <w:p w14:paraId="4A9BC976" w14:textId="77777777" w:rsidR="00C232D7" w:rsidRPr="00C149AB" w:rsidRDefault="00C232D7" w:rsidP="00C232D7">
            <w:pPr>
              <w:spacing w:before="60" w:after="60" w:line="360" w:lineRule="auto"/>
              <w:rPr>
                <w:rFonts w:ascii="Arial" w:hAnsi="Arial" w:cs="Arial"/>
                <w:b/>
                <w:bCs/>
                <w:color w:val="000000"/>
                <w:sz w:val="18"/>
                <w:szCs w:val="18"/>
              </w:rPr>
            </w:pPr>
            <w:r w:rsidRPr="00C149AB">
              <w:rPr>
                <w:rFonts w:ascii="Arial" w:hAnsi="Arial" w:cs="Arial"/>
                <w:b/>
                <w:bCs/>
                <w:color w:val="000000"/>
                <w:sz w:val="18"/>
                <w:szCs w:val="18"/>
                <w:lang w:val="sq-AL"/>
              </w:rPr>
              <w:t>Ukupan kapacitet (m</w:t>
            </w:r>
            <w:r w:rsidRPr="00C149AB">
              <w:rPr>
                <w:rFonts w:ascii="Arial" w:hAnsi="Arial" w:cs="Arial"/>
                <w:b/>
                <w:bCs/>
                <w:color w:val="000000"/>
                <w:sz w:val="18"/>
                <w:szCs w:val="18"/>
                <w:vertAlign w:val="superscript"/>
                <w:lang w:val="sq-AL"/>
              </w:rPr>
              <w:t>3</w:t>
            </w:r>
            <w:r w:rsidRPr="00C149AB">
              <w:rPr>
                <w:rFonts w:ascii="Arial" w:hAnsi="Arial" w:cs="Arial"/>
                <w:b/>
                <w:bCs/>
                <w:color w:val="000000"/>
                <w:sz w:val="18"/>
                <w:szCs w:val="18"/>
                <w:lang w:val="sq-AL"/>
              </w:rPr>
              <w:t>)</w:t>
            </w:r>
          </w:p>
        </w:tc>
        <w:tc>
          <w:tcPr>
            <w:tcW w:w="1536" w:type="pct"/>
            <w:tcBorders>
              <w:top w:val="single" w:sz="4" w:space="0" w:color="auto"/>
              <w:left w:val="single" w:sz="4" w:space="0" w:color="auto"/>
              <w:bottom w:val="single" w:sz="4" w:space="0" w:color="auto"/>
              <w:right w:val="single" w:sz="4" w:space="0" w:color="auto"/>
            </w:tcBorders>
            <w:noWrap/>
            <w:vAlign w:val="bottom"/>
          </w:tcPr>
          <w:p w14:paraId="558C98A5" w14:textId="77777777" w:rsidR="00C232D7" w:rsidRPr="00C149AB" w:rsidRDefault="00C232D7" w:rsidP="00C232D7">
            <w:pPr>
              <w:spacing w:before="60" w:after="60" w:line="360" w:lineRule="auto"/>
              <w:rPr>
                <w:rFonts w:ascii="Arial" w:hAnsi="Arial" w:cs="Arial"/>
                <w:b/>
                <w:bCs/>
                <w:color w:val="000000"/>
                <w:sz w:val="18"/>
                <w:szCs w:val="18"/>
              </w:rPr>
            </w:pPr>
            <w:r w:rsidRPr="00C149AB">
              <w:rPr>
                <w:rFonts w:ascii="Arial" w:hAnsi="Arial" w:cs="Arial"/>
                <w:b/>
                <w:bCs/>
                <w:color w:val="000000"/>
                <w:sz w:val="18"/>
                <w:szCs w:val="18"/>
              </w:rPr>
              <w:t>12.056</w:t>
            </w:r>
          </w:p>
        </w:tc>
        <w:tc>
          <w:tcPr>
            <w:tcW w:w="1207" w:type="pct"/>
            <w:tcBorders>
              <w:top w:val="single" w:sz="4" w:space="0" w:color="auto"/>
              <w:left w:val="single" w:sz="4" w:space="0" w:color="auto"/>
              <w:bottom w:val="single" w:sz="4" w:space="0" w:color="auto"/>
              <w:right w:val="single" w:sz="4" w:space="0" w:color="auto"/>
            </w:tcBorders>
            <w:vAlign w:val="bottom"/>
          </w:tcPr>
          <w:p w14:paraId="0DC8D78C" w14:textId="77777777" w:rsidR="00C232D7" w:rsidRPr="00C149AB" w:rsidRDefault="00C232D7" w:rsidP="00C232D7">
            <w:pPr>
              <w:spacing w:before="60" w:after="60" w:line="360" w:lineRule="auto"/>
              <w:rPr>
                <w:rFonts w:ascii="Arial" w:hAnsi="Arial" w:cs="Arial"/>
                <w:b/>
                <w:bCs/>
                <w:color w:val="000000"/>
                <w:sz w:val="18"/>
                <w:szCs w:val="18"/>
              </w:rPr>
            </w:pPr>
            <w:r w:rsidRPr="00C149AB">
              <w:rPr>
                <w:rFonts w:ascii="Arial" w:hAnsi="Arial" w:cs="Arial"/>
                <w:b/>
                <w:bCs/>
                <w:color w:val="000000"/>
                <w:sz w:val="18"/>
                <w:szCs w:val="18"/>
              </w:rPr>
              <w:t>22.479</w:t>
            </w:r>
          </w:p>
        </w:tc>
      </w:tr>
    </w:tbl>
    <w:p w14:paraId="47E6C02B" w14:textId="77777777" w:rsidR="00DD411D" w:rsidRDefault="00DD411D" w:rsidP="00C232D7">
      <w:pPr>
        <w:pStyle w:val="Caption"/>
        <w:rPr>
          <w:rFonts w:ascii="Arial" w:hAnsi="Arial" w:cs="Arial"/>
          <w:b w:val="0"/>
        </w:rPr>
      </w:pPr>
      <w:bookmarkStart w:id="1068" w:name="_Toc189515652"/>
      <w:bookmarkStart w:id="1069" w:name="_Toc190160770"/>
    </w:p>
    <w:p w14:paraId="5D0A4CBB" w14:textId="77777777" w:rsidR="00DD411D" w:rsidRDefault="00DD411D" w:rsidP="00C232D7">
      <w:pPr>
        <w:pStyle w:val="Caption"/>
        <w:rPr>
          <w:rFonts w:ascii="Arial" w:hAnsi="Arial" w:cs="Arial"/>
          <w:b w:val="0"/>
        </w:rPr>
      </w:pPr>
    </w:p>
    <w:p w14:paraId="7A5625BC" w14:textId="7A6703D0" w:rsidR="00C232D7" w:rsidRPr="00C149AB" w:rsidRDefault="00C232D7" w:rsidP="00C232D7">
      <w:pPr>
        <w:pStyle w:val="Caption"/>
        <w:rPr>
          <w:rFonts w:ascii="Arial" w:hAnsi="Arial" w:cs="Arial"/>
          <w:b w:val="0"/>
        </w:rPr>
      </w:pPr>
      <w:r w:rsidRPr="00C149AB">
        <w:rPr>
          <w:rFonts w:ascii="Arial" w:hAnsi="Arial" w:cs="Arial"/>
          <w:b w:val="0"/>
        </w:rPr>
        <w:t xml:space="preserve">Tabela </w:t>
      </w:r>
      <w:r w:rsidRPr="00C149AB">
        <w:rPr>
          <w:rFonts w:ascii="Arial" w:hAnsi="Arial" w:cs="Arial"/>
          <w:b w:val="0"/>
        </w:rPr>
        <w:fldChar w:fldCharType="begin"/>
      </w:r>
      <w:r w:rsidRPr="00C149AB">
        <w:rPr>
          <w:rFonts w:ascii="Arial" w:hAnsi="Arial" w:cs="Arial"/>
          <w:b w:val="0"/>
        </w:rPr>
        <w:instrText xml:space="preserve"> SEQ Tabela \* ARABIC </w:instrText>
      </w:r>
      <w:r w:rsidRPr="00C149AB">
        <w:rPr>
          <w:rFonts w:ascii="Arial" w:hAnsi="Arial" w:cs="Arial"/>
          <w:b w:val="0"/>
        </w:rPr>
        <w:fldChar w:fldCharType="separate"/>
      </w:r>
      <w:r w:rsidR="007274DA">
        <w:rPr>
          <w:rFonts w:ascii="Arial" w:hAnsi="Arial" w:cs="Arial"/>
          <w:b w:val="0"/>
          <w:noProof/>
        </w:rPr>
        <w:t>76</w:t>
      </w:r>
      <w:r w:rsidRPr="00C149AB">
        <w:rPr>
          <w:rFonts w:ascii="Arial" w:hAnsi="Arial" w:cs="Arial"/>
          <w:b w:val="0"/>
        </w:rPr>
        <w:fldChar w:fldCharType="end"/>
      </w:r>
      <w:r w:rsidRPr="00C149AB">
        <w:rPr>
          <w:rFonts w:ascii="Arial" w:hAnsi="Arial" w:cs="Arial"/>
          <w:b w:val="0"/>
        </w:rPr>
        <w:t xml:space="preserve"> Broj dodatnih kamiona za sakupljanje otpada neophodnih za opciju VI</w:t>
      </w:r>
      <w:bookmarkEnd w:id="1068"/>
      <w:bookmarkEnd w:id="1069"/>
    </w:p>
    <w:tbl>
      <w:tblPr>
        <w:tblW w:w="4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854"/>
      </w:tblGrid>
      <w:tr w:rsidR="00C232D7" w:rsidRPr="00C149AB" w14:paraId="231E3920" w14:textId="77777777" w:rsidTr="00C232D7">
        <w:trPr>
          <w:trHeight w:val="288"/>
          <w:tblHeader/>
          <w:jc w:val="center"/>
        </w:trPr>
        <w:tc>
          <w:tcPr>
            <w:tcW w:w="3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5F2A67D" w14:textId="456546B1" w:rsidR="00C232D7" w:rsidRPr="00C149AB" w:rsidRDefault="006139AF" w:rsidP="00C232D7">
            <w:pPr>
              <w:spacing w:before="60" w:after="60" w:line="360" w:lineRule="auto"/>
              <w:rPr>
                <w:rFonts w:ascii="Arial" w:hAnsi="Arial" w:cs="Arial"/>
                <w:b/>
                <w:color w:val="000000"/>
                <w:sz w:val="18"/>
                <w:szCs w:val="18"/>
              </w:rPr>
            </w:pPr>
            <w:r w:rsidRPr="00C149AB">
              <w:rPr>
                <w:rFonts w:ascii="Arial" w:hAnsi="Arial" w:cs="Arial"/>
                <w:b/>
                <w:bCs/>
                <w:color w:val="000000"/>
                <w:sz w:val="18"/>
                <w:szCs w:val="18"/>
                <w:lang w:val="sq-AL"/>
              </w:rPr>
              <w:t>Tip kamiona za sakupljanje otpada</w:t>
            </w:r>
          </w:p>
        </w:tc>
        <w:tc>
          <w:tcPr>
            <w:tcW w:w="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8E9F9BA" w14:textId="6C864844" w:rsidR="00C232D7" w:rsidRPr="00C149AB" w:rsidRDefault="00B40E88" w:rsidP="00C232D7">
            <w:pPr>
              <w:spacing w:before="60" w:after="60" w:line="360" w:lineRule="auto"/>
              <w:rPr>
                <w:rFonts w:ascii="Arial" w:hAnsi="Arial" w:cs="Arial"/>
                <w:b/>
                <w:color w:val="000000"/>
                <w:sz w:val="18"/>
                <w:szCs w:val="18"/>
              </w:rPr>
            </w:pPr>
            <w:r w:rsidRPr="00C149AB">
              <w:rPr>
                <w:rFonts w:ascii="Arial" w:hAnsi="Arial" w:cs="Arial"/>
                <w:b/>
                <w:color w:val="000000"/>
                <w:sz w:val="18"/>
                <w:szCs w:val="18"/>
              </w:rPr>
              <w:t>2029</w:t>
            </w:r>
          </w:p>
        </w:tc>
      </w:tr>
      <w:tr w:rsidR="00C232D7" w:rsidRPr="00C149AB" w14:paraId="1E31F8A6"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59825152"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22 m</w:t>
            </w:r>
            <w:r w:rsidRPr="00C149AB">
              <w:rPr>
                <w:rFonts w:ascii="Arial" w:hAnsi="Arial" w:cs="Arial"/>
                <w:color w:val="000000"/>
                <w:sz w:val="18"/>
                <w:szCs w:val="18"/>
                <w:vertAlign w:val="superscript"/>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7776A8AD"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13</w:t>
            </w:r>
          </w:p>
        </w:tc>
      </w:tr>
      <w:tr w:rsidR="00C232D7" w:rsidRPr="00C149AB" w14:paraId="16E5A0A1"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7E1CBF42"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20 m</w:t>
            </w:r>
            <w:r w:rsidRPr="00C149AB">
              <w:rPr>
                <w:rFonts w:ascii="Arial" w:hAnsi="Arial" w:cs="Arial"/>
                <w:color w:val="000000"/>
                <w:sz w:val="18"/>
                <w:szCs w:val="18"/>
                <w:vertAlign w:val="superscript"/>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2FE247B4"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10</w:t>
            </w:r>
          </w:p>
        </w:tc>
      </w:tr>
      <w:tr w:rsidR="00C232D7" w:rsidRPr="00C149AB" w14:paraId="4472713E"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02500AF9"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16 m</w:t>
            </w:r>
            <w:r w:rsidRPr="00C149AB">
              <w:rPr>
                <w:rFonts w:ascii="Arial" w:hAnsi="Arial" w:cs="Arial"/>
                <w:color w:val="000000"/>
                <w:sz w:val="18"/>
                <w:szCs w:val="18"/>
                <w:vertAlign w:val="superscript"/>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53C194B3"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32</w:t>
            </w:r>
          </w:p>
        </w:tc>
      </w:tr>
      <w:tr w:rsidR="00C232D7" w:rsidRPr="00C149AB" w14:paraId="527F6D75"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756F3CAC"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8 m</w:t>
            </w:r>
            <w:r w:rsidRPr="00C149AB">
              <w:rPr>
                <w:rFonts w:ascii="Arial" w:hAnsi="Arial" w:cs="Arial"/>
                <w:color w:val="000000"/>
                <w:sz w:val="18"/>
                <w:szCs w:val="18"/>
                <w:vertAlign w:val="superscript"/>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47779AEE"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30</w:t>
            </w:r>
          </w:p>
        </w:tc>
      </w:tr>
      <w:tr w:rsidR="00C232D7" w:rsidRPr="00C149AB" w14:paraId="1F60BB41"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7D9708E7"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6 m</w:t>
            </w:r>
            <w:r w:rsidRPr="00C149AB">
              <w:rPr>
                <w:rFonts w:ascii="Arial" w:hAnsi="Arial" w:cs="Arial"/>
                <w:color w:val="000000"/>
                <w:sz w:val="18"/>
                <w:szCs w:val="18"/>
                <w:vertAlign w:val="superscript"/>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263D793C"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18</w:t>
            </w:r>
          </w:p>
        </w:tc>
      </w:tr>
      <w:tr w:rsidR="00C232D7" w:rsidRPr="00C149AB" w14:paraId="6420E3BD"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5CFC78E4"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4 m</w:t>
            </w:r>
            <w:r w:rsidRPr="00C149AB">
              <w:rPr>
                <w:rFonts w:ascii="Arial" w:hAnsi="Arial" w:cs="Arial"/>
                <w:color w:val="000000"/>
                <w:sz w:val="18"/>
                <w:szCs w:val="18"/>
                <w:vertAlign w:val="superscript"/>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5CB69938"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color w:val="000000"/>
                <w:sz w:val="18"/>
                <w:szCs w:val="18"/>
              </w:rPr>
              <w:t>2</w:t>
            </w:r>
          </w:p>
        </w:tc>
      </w:tr>
      <w:tr w:rsidR="00C232D7" w:rsidRPr="00C149AB" w14:paraId="0C6C5055"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tcPr>
          <w:p w14:paraId="5CCDC72A"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b/>
                <w:bCs/>
                <w:color w:val="000000"/>
                <w:sz w:val="18"/>
                <w:szCs w:val="18"/>
                <w:lang w:val="sq-AL"/>
              </w:rPr>
              <w:t>Ukupan broj</w:t>
            </w:r>
          </w:p>
        </w:tc>
        <w:tc>
          <w:tcPr>
            <w:tcW w:w="854" w:type="dxa"/>
            <w:tcBorders>
              <w:top w:val="single" w:sz="4" w:space="0" w:color="auto"/>
              <w:left w:val="single" w:sz="4" w:space="0" w:color="auto"/>
              <w:bottom w:val="single" w:sz="4" w:space="0" w:color="auto"/>
              <w:right w:val="single" w:sz="4" w:space="0" w:color="auto"/>
            </w:tcBorders>
            <w:noWrap/>
            <w:vAlign w:val="bottom"/>
          </w:tcPr>
          <w:p w14:paraId="5D5E799C"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b/>
                <w:bCs/>
                <w:color w:val="000000"/>
                <w:sz w:val="18"/>
                <w:szCs w:val="18"/>
              </w:rPr>
              <w:t>105</w:t>
            </w:r>
          </w:p>
        </w:tc>
      </w:tr>
      <w:tr w:rsidR="00C232D7" w:rsidRPr="00C149AB" w14:paraId="0AF2B9F9"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tcPr>
          <w:p w14:paraId="32528D9E"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b/>
                <w:bCs/>
                <w:color w:val="000000"/>
                <w:sz w:val="18"/>
                <w:szCs w:val="18"/>
                <w:lang w:val="sq-AL"/>
              </w:rPr>
              <w:t>Ukupan kapacitet (m</w:t>
            </w:r>
            <w:r w:rsidRPr="00C149AB">
              <w:rPr>
                <w:rFonts w:ascii="Arial" w:hAnsi="Arial" w:cs="Arial"/>
                <w:b/>
                <w:bCs/>
                <w:color w:val="000000"/>
                <w:sz w:val="18"/>
                <w:szCs w:val="18"/>
                <w:vertAlign w:val="superscript"/>
                <w:lang w:val="sq-AL"/>
              </w:rPr>
              <w:t>3</w:t>
            </w:r>
            <w:r w:rsidRPr="00C149AB">
              <w:rPr>
                <w:rFonts w:ascii="Arial" w:hAnsi="Arial" w:cs="Arial"/>
                <w:b/>
                <w:bCs/>
                <w:color w:val="000000"/>
                <w:sz w:val="18"/>
                <w:szCs w:val="18"/>
                <w:lang w:val="sq-AL"/>
              </w:rPr>
              <w:t>)</w:t>
            </w:r>
          </w:p>
        </w:tc>
        <w:tc>
          <w:tcPr>
            <w:tcW w:w="854" w:type="dxa"/>
            <w:tcBorders>
              <w:top w:val="single" w:sz="4" w:space="0" w:color="auto"/>
              <w:left w:val="single" w:sz="4" w:space="0" w:color="auto"/>
              <w:bottom w:val="single" w:sz="4" w:space="0" w:color="auto"/>
              <w:right w:val="single" w:sz="4" w:space="0" w:color="auto"/>
            </w:tcBorders>
            <w:noWrap/>
            <w:vAlign w:val="bottom"/>
          </w:tcPr>
          <w:p w14:paraId="240FBDD7" w14:textId="77777777" w:rsidR="00C232D7" w:rsidRPr="00C149AB" w:rsidRDefault="00C232D7" w:rsidP="00C232D7">
            <w:pPr>
              <w:spacing w:before="60" w:after="60" w:line="360" w:lineRule="auto"/>
              <w:rPr>
                <w:rFonts w:ascii="Arial" w:hAnsi="Arial" w:cs="Arial"/>
                <w:color w:val="000000"/>
                <w:sz w:val="18"/>
                <w:szCs w:val="18"/>
              </w:rPr>
            </w:pPr>
            <w:r w:rsidRPr="00C149AB">
              <w:rPr>
                <w:rFonts w:ascii="Arial" w:hAnsi="Arial" w:cs="Arial"/>
                <w:b/>
                <w:bCs/>
                <w:color w:val="000000"/>
                <w:sz w:val="18"/>
                <w:szCs w:val="18"/>
              </w:rPr>
              <w:t>1.354</w:t>
            </w:r>
          </w:p>
        </w:tc>
      </w:tr>
    </w:tbl>
    <w:p w14:paraId="1CD54945" w14:textId="77777777" w:rsidR="00C232D7" w:rsidRDefault="00C232D7" w:rsidP="00C232D7">
      <w:pPr>
        <w:spacing w:before="120" w:after="120" w:line="360" w:lineRule="auto"/>
        <w:rPr>
          <w:rFonts w:ascii="Arial" w:hAnsi="Arial" w:cs="Arial"/>
          <w:highlight w:val="cyan"/>
        </w:rPr>
      </w:pPr>
    </w:p>
    <w:p w14:paraId="5C56A40C" w14:textId="77777777" w:rsidR="00D33BB9" w:rsidRPr="002A6F4E" w:rsidRDefault="00D33BB9" w:rsidP="00C232D7">
      <w:pPr>
        <w:spacing w:before="120" w:after="120" w:line="360" w:lineRule="auto"/>
        <w:rPr>
          <w:rFonts w:ascii="Arial" w:hAnsi="Arial" w:cs="Arial"/>
          <w:highlight w:val="cyan"/>
        </w:rPr>
      </w:pPr>
    </w:p>
    <w:p w14:paraId="3D689E4E" w14:textId="177D2954"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lastRenderedPageBreak/>
        <w:t xml:space="preserve">Pored navedenih biće neophodna i mobilna vozila za čišćenje </w:t>
      </w:r>
      <w:r w:rsidR="007B1545">
        <w:rPr>
          <w:rFonts w:ascii="Arial" w:hAnsi="Arial" w:cs="Arial"/>
          <w:lang w:val="sq-AL"/>
        </w:rPr>
        <w:t>posuda</w:t>
      </w:r>
      <w:r w:rsidRPr="002A6F4E">
        <w:rPr>
          <w:rFonts w:ascii="Arial" w:hAnsi="Arial" w:cs="Arial"/>
          <w:lang w:val="sq-AL"/>
        </w:rPr>
        <w:t xml:space="preserve"> za sakupljanje otpada. Predlaže se utvrđivanje rasporeda dvonedeljnog čišćenja svake </w:t>
      </w:r>
      <w:r w:rsidR="005C4A0C">
        <w:rPr>
          <w:rFonts w:ascii="Arial" w:hAnsi="Arial" w:cs="Arial"/>
          <w:lang w:val="sq-AL"/>
        </w:rPr>
        <w:t>posude</w:t>
      </w:r>
      <w:r w:rsidRPr="002A6F4E">
        <w:rPr>
          <w:rFonts w:ascii="Arial" w:hAnsi="Arial" w:cs="Arial"/>
          <w:lang w:val="sq-AL"/>
        </w:rPr>
        <w:t xml:space="preserve"> za sakupljanje (odnosi se na </w:t>
      </w:r>
      <w:r w:rsidR="005C4A0C">
        <w:rPr>
          <w:rFonts w:ascii="Arial" w:hAnsi="Arial" w:cs="Arial"/>
          <w:lang w:val="sq-AL"/>
        </w:rPr>
        <w:t>posude</w:t>
      </w:r>
      <w:r w:rsidRPr="002A6F4E">
        <w:rPr>
          <w:rFonts w:ascii="Arial" w:hAnsi="Arial" w:cs="Arial"/>
          <w:lang w:val="sq-AL"/>
        </w:rPr>
        <w:t xml:space="preserve"> zapremine 1.1</w:t>
      </w:r>
      <w:r w:rsidRPr="002A6F4E">
        <w:rPr>
          <w:rFonts w:ascii="Arial" w:hAnsi="Arial" w:cs="Arial"/>
          <w:color w:val="000000"/>
          <w:lang w:val="sq-AL"/>
        </w:rPr>
        <w:t xml:space="preserve"> m</w:t>
      </w:r>
      <w:r w:rsidRPr="002A6F4E">
        <w:rPr>
          <w:rFonts w:ascii="Arial" w:hAnsi="Arial" w:cs="Arial"/>
          <w:color w:val="000000"/>
          <w:vertAlign w:val="superscript"/>
          <w:lang w:val="sq-AL"/>
        </w:rPr>
        <w:t>3</w:t>
      </w:r>
      <w:r w:rsidRPr="002A6F4E">
        <w:rPr>
          <w:rFonts w:ascii="Arial" w:hAnsi="Arial" w:cs="Arial"/>
          <w:lang w:val="sq-AL"/>
        </w:rPr>
        <w:t xml:space="preserve">). S obzirom na prosječnu količinu od 250 </w:t>
      </w:r>
      <w:r w:rsidR="007B1545">
        <w:rPr>
          <w:rFonts w:ascii="Arial" w:hAnsi="Arial" w:cs="Arial"/>
          <w:lang w:val="sq-AL"/>
        </w:rPr>
        <w:t>posuda</w:t>
      </w:r>
      <w:r w:rsidRPr="002A6F4E">
        <w:rPr>
          <w:rFonts w:ascii="Arial" w:hAnsi="Arial" w:cs="Arial"/>
          <w:lang w:val="sq-AL"/>
        </w:rPr>
        <w:t xml:space="preserve"> koje se svakodnevno čiste (iznutra i spolja) smatra se da će za cijelu zemlju biti potrebno  15 vozila za pranje.</w:t>
      </w:r>
    </w:p>
    <w:p w14:paraId="04514FB7" w14:textId="1226A3E8" w:rsidR="00BD1EB0" w:rsidRDefault="00C232D7" w:rsidP="00C232D7">
      <w:pPr>
        <w:spacing w:before="120" w:after="120" w:line="360" w:lineRule="auto"/>
        <w:rPr>
          <w:rFonts w:ascii="Arial" w:hAnsi="Arial" w:cs="Arial"/>
          <w:lang w:val="sq-AL"/>
        </w:rPr>
      </w:pPr>
      <w:r w:rsidRPr="002A6F4E">
        <w:rPr>
          <w:rFonts w:ascii="Arial" w:hAnsi="Arial" w:cs="Arial"/>
          <w:lang w:val="sq-AL"/>
        </w:rPr>
        <w:t xml:space="preserve">Na osnovu gornje analize, troškovi opreme za sakupljanje otpada u vezi sa ovom opcijom su predstavljeni u sljedećoj tabeli (odgovara </w:t>
      </w:r>
      <w:r w:rsidR="00B40E88" w:rsidRPr="002A6F4E">
        <w:rPr>
          <w:rFonts w:ascii="Arial" w:hAnsi="Arial" w:cs="Arial"/>
          <w:lang w:val="sq-AL"/>
        </w:rPr>
        <w:t>2029</w:t>
      </w:r>
      <w:r w:rsidRPr="002A6F4E">
        <w:rPr>
          <w:rFonts w:ascii="Arial" w:hAnsi="Arial" w:cs="Arial"/>
          <w:lang w:val="sq-AL"/>
        </w:rPr>
        <w:t>. godini).</w:t>
      </w:r>
    </w:p>
    <w:p w14:paraId="3A7F2F23" w14:textId="77777777" w:rsidR="00D33BB9" w:rsidRPr="002A6F4E" w:rsidRDefault="00D33BB9" w:rsidP="00C232D7">
      <w:pPr>
        <w:spacing w:before="120" w:after="120" w:line="360" w:lineRule="auto"/>
        <w:rPr>
          <w:rFonts w:ascii="Arial" w:hAnsi="Arial" w:cs="Arial"/>
          <w:lang w:val="sq-AL"/>
        </w:rPr>
      </w:pPr>
    </w:p>
    <w:p w14:paraId="6ACB5C78" w14:textId="40CD06B6" w:rsidR="00C232D7" w:rsidRPr="00C149AB" w:rsidRDefault="00C232D7" w:rsidP="00C232D7">
      <w:pPr>
        <w:pStyle w:val="Caption"/>
        <w:rPr>
          <w:rFonts w:ascii="Arial" w:hAnsi="Arial" w:cs="Arial"/>
          <w:b w:val="0"/>
          <w:szCs w:val="20"/>
          <w:lang w:val="sq-AL"/>
        </w:rPr>
      </w:pPr>
      <w:bookmarkStart w:id="1070" w:name="_Toc189515653"/>
      <w:bookmarkStart w:id="1071" w:name="_Toc190160771"/>
      <w:r w:rsidRPr="00C149AB">
        <w:rPr>
          <w:rFonts w:ascii="Arial" w:hAnsi="Arial" w:cs="Arial"/>
          <w:b w:val="0"/>
          <w:szCs w:val="20"/>
          <w:lang w:val="sq-AL"/>
        </w:rPr>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77</w:t>
      </w:r>
      <w:r w:rsidRPr="00C149AB">
        <w:rPr>
          <w:rFonts w:ascii="Arial" w:hAnsi="Arial" w:cs="Arial"/>
          <w:b w:val="0"/>
          <w:szCs w:val="20"/>
        </w:rPr>
        <w:fldChar w:fldCharType="end"/>
      </w:r>
      <w:r w:rsidRPr="00C149AB">
        <w:rPr>
          <w:rFonts w:ascii="Arial" w:hAnsi="Arial" w:cs="Arial"/>
          <w:b w:val="0"/>
          <w:szCs w:val="20"/>
          <w:lang w:val="sq-AL"/>
        </w:rPr>
        <w:t xml:space="preserve"> Troškovi sakupljanja otpada za opciju VI</w:t>
      </w:r>
      <w:bookmarkEnd w:id="1070"/>
      <w:bookmarkEnd w:id="1071"/>
    </w:p>
    <w:tbl>
      <w:tblPr>
        <w:tblW w:w="7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2431"/>
        <w:gridCol w:w="1216"/>
        <w:gridCol w:w="2016"/>
      </w:tblGrid>
      <w:tr w:rsidR="00C232D7" w:rsidRPr="00C149AB" w14:paraId="4A9A7A4F" w14:textId="77777777" w:rsidTr="00C232D7">
        <w:trPr>
          <w:trHeight w:val="312"/>
          <w:jc w:val="center"/>
        </w:trPr>
        <w:tc>
          <w:tcPr>
            <w:tcW w:w="2320" w:type="dxa"/>
            <w:shd w:val="clear" w:color="auto" w:fill="F2F2F2" w:themeFill="background1" w:themeFillShade="F2"/>
            <w:vAlign w:val="center"/>
          </w:tcPr>
          <w:p w14:paraId="16A7596A"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Vrsta opreme</w:t>
            </w:r>
          </w:p>
          <w:p w14:paraId="2D1DE7B0" w14:textId="77777777" w:rsidR="00C232D7" w:rsidRPr="00C149AB" w:rsidRDefault="00C232D7" w:rsidP="00C232D7">
            <w:pPr>
              <w:spacing w:line="360" w:lineRule="auto"/>
              <w:rPr>
                <w:rFonts w:ascii="Arial" w:hAnsi="Arial" w:cs="Arial"/>
                <w:b/>
                <w:bCs/>
                <w:sz w:val="18"/>
                <w:lang w:val="sq-AL"/>
              </w:rPr>
            </w:pPr>
          </w:p>
        </w:tc>
        <w:tc>
          <w:tcPr>
            <w:tcW w:w="2431" w:type="dxa"/>
            <w:shd w:val="clear" w:color="auto" w:fill="F2F2F2" w:themeFill="background1" w:themeFillShade="F2"/>
            <w:vAlign w:val="center"/>
          </w:tcPr>
          <w:p w14:paraId="6F4E1CE8"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Jedinična cijena (€/oprema)</w:t>
            </w:r>
          </w:p>
          <w:p w14:paraId="22B7E58C" w14:textId="77777777" w:rsidR="00C232D7" w:rsidRPr="00C149AB" w:rsidRDefault="00C232D7" w:rsidP="00C232D7">
            <w:pPr>
              <w:spacing w:line="360" w:lineRule="auto"/>
              <w:rPr>
                <w:rFonts w:ascii="Arial" w:hAnsi="Arial" w:cs="Arial"/>
                <w:b/>
                <w:bCs/>
                <w:sz w:val="18"/>
                <w:lang w:val="sq-AL"/>
              </w:rPr>
            </w:pPr>
          </w:p>
        </w:tc>
        <w:tc>
          <w:tcPr>
            <w:tcW w:w="1216" w:type="dxa"/>
            <w:shd w:val="clear" w:color="auto" w:fill="F2F2F2" w:themeFill="background1" w:themeFillShade="F2"/>
            <w:vAlign w:val="center"/>
          </w:tcPr>
          <w:p w14:paraId="03EDE9AE"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#broj jedinica</w:t>
            </w:r>
          </w:p>
        </w:tc>
        <w:tc>
          <w:tcPr>
            <w:tcW w:w="2016" w:type="dxa"/>
            <w:shd w:val="clear" w:color="auto" w:fill="F2F2F2" w:themeFill="background1" w:themeFillShade="F2"/>
            <w:vAlign w:val="center"/>
          </w:tcPr>
          <w:p w14:paraId="592A6611"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Ukupna cijena (€)</w:t>
            </w:r>
          </w:p>
        </w:tc>
      </w:tr>
      <w:tr w:rsidR="00C232D7" w:rsidRPr="00C149AB" w14:paraId="7BD240D8" w14:textId="77777777" w:rsidTr="00C232D7">
        <w:trPr>
          <w:trHeight w:val="312"/>
          <w:jc w:val="center"/>
        </w:trPr>
        <w:tc>
          <w:tcPr>
            <w:tcW w:w="2320" w:type="dxa"/>
            <w:shd w:val="clear" w:color="auto" w:fill="auto"/>
            <w:vAlign w:val="center"/>
          </w:tcPr>
          <w:p w14:paraId="23530443" w14:textId="56C208CF" w:rsidR="00C232D7" w:rsidRPr="00C149AB" w:rsidRDefault="00E03C47" w:rsidP="00C232D7">
            <w:pPr>
              <w:spacing w:line="360" w:lineRule="auto"/>
              <w:rPr>
                <w:rFonts w:ascii="Arial" w:hAnsi="Arial" w:cs="Arial"/>
                <w:sz w:val="18"/>
                <w:lang w:val="sq-AL"/>
              </w:rPr>
            </w:pPr>
            <w:r>
              <w:rPr>
                <w:rFonts w:ascii="Arial" w:hAnsi="Arial" w:cs="Arial"/>
                <w:sz w:val="18"/>
                <w:lang w:val="sq-AL"/>
              </w:rPr>
              <w:t>Kontejneri</w:t>
            </w:r>
            <w:r w:rsidRPr="00C149AB">
              <w:rPr>
                <w:rFonts w:ascii="Arial" w:hAnsi="Arial" w:cs="Arial"/>
                <w:sz w:val="18"/>
                <w:lang w:val="sq-AL"/>
              </w:rPr>
              <w:t xml:space="preserve"> </w:t>
            </w:r>
            <w:r w:rsidR="00C232D7" w:rsidRPr="00C149AB">
              <w:rPr>
                <w:rFonts w:ascii="Arial" w:hAnsi="Arial" w:cs="Arial"/>
                <w:sz w:val="18"/>
                <w:lang w:val="sq-AL"/>
              </w:rPr>
              <w:t xml:space="preserve">zapremine  </w:t>
            </w:r>
            <w:r w:rsidR="00C232D7" w:rsidRPr="00C149AB">
              <w:rPr>
                <w:rFonts w:ascii="Arial" w:hAnsi="Arial" w:cs="Arial"/>
                <w:sz w:val="18"/>
              </w:rPr>
              <w:t>2.5 m</w:t>
            </w:r>
            <w:r w:rsidR="00C232D7" w:rsidRPr="00C149AB">
              <w:rPr>
                <w:rFonts w:ascii="Arial" w:hAnsi="Arial" w:cs="Arial"/>
                <w:sz w:val="18"/>
                <w:vertAlign w:val="superscript"/>
              </w:rPr>
              <w:t>3</w:t>
            </w:r>
          </w:p>
        </w:tc>
        <w:tc>
          <w:tcPr>
            <w:tcW w:w="2431" w:type="dxa"/>
            <w:shd w:val="clear" w:color="auto" w:fill="auto"/>
            <w:vAlign w:val="center"/>
          </w:tcPr>
          <w:p w14:paraId="42D756D5"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850</w:t>
            </w:r>
          </w:p>
        </w:tc>
        <w:tc>
          <w:tcPr>
            <w:tcW w:w="1216" w:type="dxa"/>
            <w:shd w:val="clear" w:color="auto" w:fill="auto"/>
            <w:vAlign w:val="center"/>
          </w:tcPr>
          <w:p w14:paraId="5A2AF0B6"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363</w:t>
            </w:r>
          </w:p>
        </w:tc>
        <w:tc>
          <w:tcPr>
            <w:tcW w:w="2016" w:type="dxa"/>
            <w:shd w:val="clear" w:color="auto" w:fill="auto"/>
            <w:vAlign w:val="center"/>
          </w:tcPr>
          <w:p w14:paraId="3C614CF6"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308.550</w:t>
            </w:r>
          </w:p>
        </w:tc>
      </w:tr>
      <w:tr w:rsidR="00C232D7" w:rsidRPr="00C149AB" w14:paraId="30A23146" w14:textId="77777777" w:rsidTr="00C232D7">
        <w:trPr>
          <w:trHeight w:val="312"/>
          <w:jc w:val="center"/>
        </w:trPr>
        <w:tc>
          <w:tcPr>
            <w:tcW w:w="2320" w:type="dxa"/>
            <w:shd w:val="clear" w:color="auto" w:fill="auto"/>
            <w:vAlign w:val="center"/>
          </w:tcPr>
          <w:p w14:paraId="4C0EA99C" w14:textId="55B72104" w:rsidR="00C232D7" w:rsidRPr="00C149AB" w:rsidRDefault="00E03C47" w:rsidP="00C232D7">
            <w:pPr>
              <w:spacing w:line="360" w:lineRule="auto"/>
              <w:rPr>
                <w:rFonts w:ascii="Arial" w:hAnsi="Arial" w:cs="Arial"/>
                <w:sz w:val="18"/>
                <w:lang w:val="sq-AL"/>
              </w:rPr>
            </w:pPr>
            <w:r>
              <w:rPr>
                <w:rFonts w:ascii="Arial" w:hAnsi="Arial" w:cs="Arial"/>
                <w:sz w:val="18"/>
                <w:lang w:val="sq-AL"/>
              </w:rPr>
              <w:t>Kontejneri</w:t>
            </w:r>
            <w:r w:rsidRPr="00C149AB">
              <w:rPr>
                <w:rFonts w:ascii="Arial" w:hAnsi="Arial" w:cs="Arial"/>
                <w:sz w:val="18"/>
                <w:lang w:val="sq-AL"/>
              </w:rPr>
              <w:t xml:space="preserve"> </w:t>
            </w:r>
            <w:r w:rsidR="00C232D7" w:rsidRPr="00C149AB">
              <w:rPr>
                <w:rFonts w:ascii="Arial" w:hAnsi="Arial" w:cs="Arial"/>
                <w:sz w:val="18"/>
                <w:lang w:val="sq-AL"/>
              </w:rPr>
              <w:t xml:space="preserve">zapremine  </w:t>
            </w:r>
            <w:r w:rsidR="00C232D7" w:rsidRPr="00C149AB">
              <w:rPr>
                <w:rFonts w:ascii="Arial" w:hAnsi="Arial" w:cs="Arial"/>
                <w:sz w:val="18"/>
              </w:rPr>
              <w:t>1.1 m</w:t>
            </w:r>
            <w:r w:rsidR="00C232D7" w:rsidRPr="00C149AB">
              <w:rPr>
                <w:rFonts w:ascii="Arial" w:hAnsi="Arial" w:cs="Arial"/>
                <w:sz w:val="18"/>
                <w:vertAlign w:val="superscript"/>
              </w:rPr>
              <w:t>3</w:t>
            </w:r>
          </w:p>
        </w:tc>
        <w:tc>
          <w:tcPr>
            <w:tcW w:w="2431" w:type="dxa"/>
            <w:shd w:val="clear" w:color="auto" w:fill="auto"/>
            <w:vAlign w:val="center"/>
          </w:tcPr>
          <w:p w14:paraId="698DAB59"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490</w:t>
            </w:r>
          </w:p>
        </w:tc>
        <w:tc>
          <w:tcPr>
            <w:tcW w:w="1216" w:type="dxa"/>
            <w:shd w:val="clear" w:color="auto" w:fill="auto"/>
            <w:vAlign w:val="center"/>
          </w:tcPr>
          <w:p w14:paraId="7AF361D3"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30.570</w:t>
            </w:r>
          </w:p>
        </w:tc>
        <w:tc>
          <w:tcPr>
            <w:tcW w:w="2016" w:type="dxa"/>
            <w:shd w:val="clear" w:color="auto" w:fill="auto"/>
            <w:vAlign w:val="center"/>
          </w:tcPr>
          <w:p w14:paraId="65FCDC74"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14.979.300</w:t>
            </w:r>
          </w:p>
        </w:tc>
      </w:tr>
      <w:tr w:rsidR="00C232D7" w:rsidRPr="00C149AB" w14:paraId="71F9B4C6" w14:textId="77777777" w:rsidTr="00C232D7">
        <w:trPr>
          <w:trHeight w:val="348"/>
          <w:jc w:val="center"/>
        </w:trPr>
        <w:tc>
          <w:tcPr>
            <w:tcW w:w="2320" w:type="dxa"/>
            <w:shd w:val="clear" w:color="auto" w:fill="auto"/>
            <w:vAlign w:val="center"/>
          </w:tcPr>
          <w:p w14:paraId="594909D1"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22 m</w:t>
            </w:r>
            <w:r w:rsidRPr="00C149AB">
              <w:rPr>
                <w:rFonts w:ascii="Arial" w:hAnsi="Arial" w:cs="Arial"/>
                <w:sz w:val="18"/>
                <w:vertAlign w:val="superscript"/>
                <w:lang w:val="sq-AL"/>
              </w:rPr>
              <w:t xml:space="preserve">3  </w:t>
            </w:r>
            <w:r w:rsidRPr="00C149AB">
              <w:rPr>
                <w:rFonts w:ascii="Arial" w:hAnsi="Arial" w:cs="Arial"/>
                <w:sz w:val="18"/>
                <w:lang w:val="sq-AL"/>
              </w:rPr>
              <w:t>kamion</w:t>
            </w:r>
          </w:p>
        </w:tc>
        <w:tc>
          <w:tcPr>
            <w:tcW w:w="2431" w:type="dxa"/>
            <w:shd w:val="clear" w:color="auto" w:fill="auto"/>
            <w:vAlign w:val="center"/>
          </w:tcPr>
          <w:p w14:paraId="620A8A63"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180.000</w:t>
            </w:r>
          </w:p>
        </w:tc>
        <w:tc>
          <w:tcPr>
            <w:tcW w:w="1216" w:type="dxa"/>
            <w:shd w:val="clear" w:color="auto" w:fill="auto"/>
            <w:vAlign w:val="center"/>
          </w:tcPr>
          <w:p w14:paraId="496BF4A5"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13</w:t>
            </w:r>
          </w:p>
        </w:tc>
        <w:tc>
          <w:tcPr>
            <w:tcW w:w="2016" w:type="dxa"/>
            <w:shd w:val="clear" w:color="auto" w:fill="auto"/>
            <w:vAlign w:val="center"/>
          </w:tcPr>
          <w:p w14:paraId="4D95415F"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2.340.000</w:t>
            </w:r>
          </w:p>
        </w:tc>
      </w:tr>
      <w:tr w:rsidR="00C232D7" w:rsidRPr="00C149AB" w14:paraId="654C5ED3" w14:textId="77777777" w:rsidTr="00C232D7">
        <w:trPr>
          <w:trHeight w:val="348"/>
          <w:jc w:val="center"/>
        </w:trPr>
        <w:tc>
          <w:tcPr>
            <w:tcW w:w="2320" w:type="dxa"/>
            <w:shd w:val="clear" w:color="auto" w:fill="auto"/>
            <w:vAlign w:val="center"/>
          </w:tcPr>
          <w:p w14:paraId="1398F2EA"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20 m</w:t>
            </w:r>
            <w:r w:rsidRPr="00C149AB">
              <w:rPr>
                <w:rFonts w:ascii="Arial" w:hAnsi="Arial" w:cs="Arial"/>
                <w:sz w:val="18"/>
                <w:vertAlign w:val="superscript"/>
                <w:lang w:val="sq-AL"/>
              </w:rPr>
              <w:t xml:space="preserve">3  </w:t>
            </w:r>
            <w:r w:rsidRPr="00C149AB">
              <w:rPr>
                <w:rFonts w:ascii="Arial" w:hAnsi="Arial" w:cs="Arial"/>
                <w:sz w:val="18"/>
                <w:lang w:val="sq-AL"/>
              </w:rPr>
              <w:t>kamion</w:t>
            </w:r>
          </w:p>
        </w:tc>
        <w:tc>
          <w:tcPr>
            <w:tcW w:w="2431" w:type="dxa"/>
            <w:shd w:val="clear" w:color="auto" w:fill="auto"/>
            <w:vAlign w:val="center"/>
          </w:tcPr>
          <w:p w14:paraId="6DABAC88"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110.000</w:t>
            </w:r>
          </w:p>
        </w:tc>
        <w:tc>
          <w:tcPr>
            <w:tcW w:w="1216" w:type="dxa"/>
            <w:shd w:val="clear" w:color="auto" w:fill="auto"/>
            <w:vAlign w:val="center"/>
          </w:tcPr>
          <w:p w14:paraId="6E06E014"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10</w:t>
            </w:r>
          </w:p>
        </w:tc>
        <w:tc>
          <w:tcPr>
            <w:tcW w:w="2016" w:type="dxa"/>
            <w:shd w:val="clear" w:color="auto" w:fill="auto"/>
            <w:vAlign w:val="center"/>
          </w:tcPr>
          <w:p w14:paraId="18CF5714"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1.100.000</w:t>
            </w:r>
          </w:p>
        </w:tc>
      </w:tr>
      <w:tr w:rsidR="00C232D7" w:rsidRPr="00C149AB" w14:paraId="3E4F0C92" w14:textId="77777777" w:rsidTr="00C232D7">
        <w:trPr>
          <w:trHeight w:val="348"/>
          <w:jc w:val="center"/>
        </w:trPr>
        <w:tc>
          <w:tcPr>
            <w:tcW w:w="2320" w:type="dxa"/>
            <w:shd w:val="clear" w:color="auto" w:fill="auto"/>
            <w:vAlign w:val="center"/>
          </w:tcPr>
          <w:p w14:paraId="3DDEA636"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16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431" w:type="dxa"/>
            <w:shd w:val="clear" w:color="auto" w:fill="auto"/>
            <w:vAlign w:val="center"/>
          </w:tcPr>
          <w:p w14:paraId="219B2C20"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150.000</w:t>
            </w:r>
          </w:p>
        </w:tc>
        <w:tc>
          <w:tcPr>
            <w:tcW w:w="1216" w:type="dxa"/>
            <w:shd w:val="clear" w:color="auto" w:fill="auto"/>
            <w:vAlign w:val="center"/>
          </w:tcPr>
          <w:p w14:paraId="58F89E8A"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32</w:t>
            </w:r>
          </w:p>
        </w:tc>
        <w:tc>
          <w:tcPr>
            <w:tcW w:w="2016" w:type="dxa"/>
            <w:shd w:val="clear" w:color="auto" w:fill="auto"/>
            <w:vAlign w:val="center"/>
          </w:tcPr>
          <w:p w14:paraId="54E708F2"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4.800.000</w:t>
            </w:r>
          </w:p>
        </w:tc>
      </w:tr>
      <w:tr w:rsidR="00C232D7" w:rsidRPr="00C149AB" w14:paraId="3B45CD2B" w14:textId="77777777" w:rsidTr="00C232D7">
        <w:trPr>
          <w:trHeight w:val="348"/>
          <w:jc w:val="center"/>
        </w:trPr>
        <w:tc>
          <w:tcPr>
            <w:tcW w:w="2320" w:type="dxa"/>
            <w:shd w:val="clear" w:color="auto" w:fill="auto"/>
            <w:vAlign w:val="center"/>
          </w:tcPr>
          <w:p w14:paraId="79A22303"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8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431" w:type="dxa"/>
            <w:shd w:val="clear" w:color="auto" w:fill="auto"/>
            <w:vAlign w:val="center"/>
          </w:tcPr>
          <w:p w14:paraId="5C263275"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110.000</w:t>
            </w:r>
          </w:p>
        </w:tc>
        <w:tc>
          <w:tcPr>
            <w:tcW w:w="1216" w:type="dxa"/>
            <w:shd w:val="clear" w:color="auto" w:fill="auto"/>
            <w:vAlign w:val="center"/>
          </w:tcPr>
          <w:p w14:paraId="406AA2D2"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30</w:t>
            </w:r>
          </w:p>
        </w:tc>
        <w:tc>
          <w:tcPr>
            <w:tcW w:w="2016" w:type="dxa"/>
            <w:shd w:val="clear" w:color="auto" w:fill="auto"/>
            <w:vAlign w:val="center"/>
          </w:tcPr>
          <w:p w14:paraId="55F536D8"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3.300.000</w:t>
            </w:r>
          </w:p>
        </w:tc>
      </w:tr>
      <w:tr w:rsidR="00C232D7" w:rsidRPr="00C149AB" w14:paraId="2CA1E773" w14:textId="77777777" w:rsidTr="00C232D7">
        <w:trPr>
          <w:trHeight w:val="348"/>
          <w:jc w:val="center"/>
        </w:trPr>
        <w:tc>
          <w:tcPr>
            <w:tcW w:w="2320" w:type="dxa"/>
            <w:shd w:val="clear" w:color="auto" w:fill="auto"/>
            <w:vAlign w:val="center"/>
          </w:tcPr>
          <w:p w14:paraId="7FDCB625"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4 m</w:t>
            </w:r>
            <w:r w:rsidRPr="00C149AB">
              <w:rPr>
                <w:rFonts w:ascii="Arial" w:hAnsi="Arial" w:cs="Arial"/>
                <w:sz w:val="18"/>
                <w:vertAlign w:val="superscript"/>
                <w:lang w:val="sq-AL"/>
              </w:rPr>
              <w:t>3</w:t>
            </w:r>
            <w:r w:rsidRPr="00C149AB">
              <w:rPr>
                <w:rFonts w:ascii="Arial" w:hAnsi="Arial" w:cs="Arial"/>
                <w:sz w:val="18"/>
                <w:lang w:val="sq-AL"/>
              </w:rPr>
              <w:t xml:space="preserve"> kamion sa presom</w:t>
            </w:r>
          </w:p>
        </w:tc>
        <w:tc>
          <w:tcPr>
            <w:tcW w:w="2431" w:type="dxa"/>
            <w:shd w:val="clear" w:color="auto" w:fill="auto"/>
            <w:vAlign w:val="center"/>
          </w:tcPr>
          <w:p w14:paraId="5144AD3D"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80.000</w:t>
            </w:r>
          </w:p>
        </w:tc>
        <w:tc>
          <w:tcPr>
            <w:tcW w:w="1216" w:type="dxa"/>
            <w:shd w:val="clear" w:color="auto" w:fill="auto"/>
            <w:vAlign w:val="center"/>
          </w:tcPr>
          <w:p w14:paraId="52B6EA7B"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2</w:t>
            </w:r>
          </w:p>
        </w:tc>
        <w:tc>
          <w:tcPr>
            <w:tcW w:w="2016" w:type="dxa"/>
            <w:shd w:val="clear" w:color="auto" w:fill="auto"/>
            <w:vAlign w:val="center"/>
          </w:tcPr>
          <w:p w14:paraId="4E4E4B0C"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160.000</w:t>
            </w:r>
          </w:p>
        </w:tc>
      </w:tr>
      <w:tr w:rsidR="00C232D7" w:rsidRPr="00C149AB" w14:paraId="4B34706A" w14:textId="77777777" w:rsidTr="00C232D7">
        <w:trPr>
          <w:trHeight w:val="348"/>
          <w:jc w:val="center"/>
        </w:trPr>
        <w:tc>
          <w:tcPr>
            <w:tcW w:w="2320" w:type="dxa"/>
            <w:shd w:val="clear" w:color="auto" w:fill="auto"/>
            <w:vAlign w:val="center"/>
          </w:tcPr>
          <w:p w14:paraId="5A38E351"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6 m</w:t>
            </w:r>
            <w:r w:rsidRPr="00C149AB">
              <w:rPr>
                <w:rFonts w:ascii="Arial" w:hAnsi="Arial" w:cs="Arial"/>
                <w:sz w:val="18"/>
                <w:vertAlign w:val="superscript"/>
                <w:lang w:val="sq-AL"/>
              </w:rPr>
              <w:t>3</w:t>
            </w:r>
            <w:r w:rsidRPr="00C149AB">
              <w:rPr>
                <w:rFonts w:ascii="Arial" w:hAnsi="Arial" w:cs="Arial"/>
                <w:sz w:val="18"/>
                <w:lang w:val="sq-AL"/>
              </w:rPr>
              <w:t xml:space="preserve"> otvoreni kamion</w:t>
            </w:r>
          </w:p>
        </w:tc>
        <w:tc>
          <w:tcPr>
            <w:tcW w:w="2431" w:type="dxa"/>
            <w:shd w:val="clear" w:color="auto" w:fill="auto"/>
            <w:vAlign w:val="center"/>
          </w:tcPr>
          <w:p w14:paraId="537591A3"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70.000</w:t>
            </w:r>
          </w:p>
        </w:tc>
        <w:tc>
          <w:tcPr>
            <w:tcW w:w="1216" w:type="dxa"/>
            <w:shd w:val="clear" w:color="auto" w:fill="auto"/>
            <w:vAlign w:val="center"/>
          </w:tcPr>
          <w:p w14:paraId="6060F3AD"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18</w:t>
            </w:r>
          </w:p>
        </w:tc>
        <w:tc>
          <w:tcPr>
            <w:tcW w:w="2016" w:type="dxa"/>
            <w:shd w:val="clear" w:color="auto" w:fill="auto"/>
            <w:vAlign w:val="center"/>
          </w:tcPr>
          <w:p w14:paraId="02712F69"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1.260.000</w:t>
            </w:r>
          </w:p>
        </w:tc>
      </w:tr>
      <w:tr w:rsidR="00C232D7" w:rsidRPr="00C149AB" w14:paraId="6F6A522F" w14:textId="77777777" w:rsidTr="00C232D7">
        <w:trPr>
          <w:trHeight w:val="312"/>
          <w:jc w:val="center"/>
        </w:trPr>
        <w:tc>
          <w:tcPr>
            <w:tcW w:w="2320" w:type="dxa"/>
            <w:shd w:val="clear" w:color="auto" w:fill="auto"/>
            <w:vAlign w:val="center"/>
          </w:tcPr>
          <w:p w14:paraId="35C95EDD" w14:textId="22F68121"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 xml:space="preserve">Vozilo za pranje </w:t>
            </w:r>
            <w:r w:rsidR="007B1545" w:rsidRPr="00C149AB">
              <w:rPr>
                <w:rFonts w:ascii="Arial" w:hAnsi="Arial" w:cs="Arial"/>
                <w:sz w:val="18"/>
                <w:lang w:val="sq-AL"/>
              </w:rPr>
              <w:t>posuda</w:t>
            </w:r>
          </w:p>
        </w:tc>
        <w:tc>
          <w:tcPr>
            <w:tcW w:w="2431" w:type="dxa"/>
            <w:shd w:val="clear" w:color="auto" w:fill="auto"/>
            <w:vAlign w:val="center"/>
          </w:tcPr>
          <w:p w14:paraId="0949124A"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120.000</w:t>
            </w:r>
          </w:p>
        </w:tc>
        <w:tc>
          <w:tcPr>
            <w:tcW w:w="1216" w:type="dxa"/>
            <w:shd w:val="clear" w:color="auto" w:fill="auto"/>
            <w:vAlign w:val="center"/>
          </w:tcPr>
          <w:p w14:paraId="534F57BB"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15</w:t>
            </w:r>
          </w:p>
        </w:tc>
        <w:tc>
          <w:tcPr>
            <w:tcW w:w="2016" w:type="dxa"/>
            <w:shd w:val="clear" w:color="auto" w:fill="auto"/>
            <w:vAlign w:val="center"/>
          </w:tcPr>
          <w:p w14:paraId="25E57947"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rPr>
              <w:t>1.800.000</w:t>
            </w:r>
          </w:p>
        </w:tc>
      </w:tr>
      <w:tr w:rsidR="00C232D7" w:rsidRPr="00C149AB" w14:paraId="498832B2" w14:textId="77777777" w:rsidTr="00C232D7">
        <w:trPr>
          <w:trHeight w:val="312"/>
          <w:jc w:val="center"/>
        </w:trPr>
        <w:tc>
          <w:tcPr>
            <w:tcW w:w="2320" w:type="dxa"/>
            <w:shd w:val="clear" w:color="auto" w:fill="auto"/>
            <w:vAlign w:val="center"/>
          </w:tcPr>
          <w:p w14:paraId="5CDFDA85"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lang w:val="sq-AL"/>
              </w:rPr>
              <w:t>Ukupno</w:t>
            </w:r>
          </w:p>
        </w:tc>
        <w:tc>
          <w:tcPr>
            <w:tcW w:w="2431" w:type="dxa"/>
            <w:shd w:val="clear" w:color="auto" w:fill="auto"/>
            <w:vAlign w:val="center"/>
          </w:tcPr>
          <w:p w14:paraId="12CF0D7D"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rPr>
              <w:t> </w:t>
            </w:r>
          </w:p>
        </w:tc>
        <w:tc>
          <w:tcPr>
            <w:tcW w:w="1216" w:type="dxa"/>
            <w:shd w:val="clear" w:color="auto" w:fill="auto"/>
            <w:vAlign w:val="center"/>
          </w:tcPr>
          <w:p w14:paraId="2C4540D7" w14:textId="77777777" w:rsidR="00C232D7" w:rsidRPr="00C149AB" w:rsidRDefault="00C232D7" w:rsidP="00C232D7">
            <w:pPr>
              <w:spacing w:line="360" w:lineRule="auto"/>
              <w:rPr>
                <w:rFonts w:ascii="Arial" w:hAnsi="Arial" w:cs="Arial"/>
                <w:sz w:val="18"/>
                <w:lang w:val="sq-AL"/>
              </w:rPr>
            </w:pPr>
            <w:r w:rsidRPr="00C149AB">
              <w:rPr>
                <w:rFonts w:ascii="Arial" w:hAnsi="Arial" w:cs="Arial"/>
                <w:b/>
                <w:bCs/>
                <w:sz w:val="18"/>
              </w:rPr>
              <w:t> </w:t>
            </w:r>
          </w:p>
        </w:tc>
        <w:tc>
          <w:tcPr>
            <w:tcW w:w="2016" w:type="dxa"/>
            <w:shd w:val="clear" w:color="auto" w:fill="auto"/>
            <w:vAlign w:val="center"/>
          </w:tcPr>
          <w:p w14:paraId="77D53611" w14:textId="77777777" w:rsidR="00C232D7" w:rsidRPr="00C149AB" w:rsidRDefault="00C232D7" w:rsidP="00C232D7">
            <w:pPr>
              <w:spacing w:line="360" w:lineRule="auto"/>
              <w:rPr>
                <w:rFonts w:ascii="Arial" w:hAnsi="Arial" w:cs="Arial"/>
                <w:b/>
                <w:bCs/>
                <w:sz w:val="18"/>
                <w:lang w:val="sq-AL"/>
              </w:rPr>
            </w:pPr>
            <w:r w:rsidRPr="00C149AB">
              <w:rPr>
                <w:rFonts w:ascii="Arial" w:hAnsi="Arial" w:cs="Arial"/>
                <w:b/>
                <w:bCs/>
                <w:sz w:val="18"/>
              </w:rPr>
              <w:t>30.047.850</w:t>
            </w:r>
          </w:p>
        </w:tc>
      </w:tr>
    </w:tbl>
    <w:p w14:paraId="3C40294E" w14:textId="77777777" w:rsidR="00D33BB9" w:rsidRDefault="00D33BB9" w:rsidP="0037743A">
      <w:pPr>
        <w:spacing w:before="120" w:after="120" w:line="360" w:lineRule="auto"/>
        <w:rPr>
          <w:rFonts w:ascii="Arial" w:hAnsi="Arial" w:cs="Arial"/>
          <w:lang w:val="sq-AL"/>
        </w:rPr>
      </w:pPr>
    </w:p>
    <w:p w14:paraId="1EAEA846" w14:textId="6B6AAF7A" w:rsidR="0037743A" w:rsidRDefault="00C232D7" w:rsidP="0037743A">
      <w:pPr>
        <w:spacing w:before="120" w:after="120" w:line="360" w:lineRule="auto"/>
        <w:rPr>
          <w:rFonts w:ascii="Arial" w:hAnsi="Arial" w:cs="Arial"/>
          <w:lang w:val="sq-AL"/>
        </w:rPr>
      </w:pPr>
      <w:r w:rsidRPr="002A6F4E">
        <w:rPr>
          <w:rFonts w:ascii="Arial" w:hAnsi="Arial" w:cs="Arial"/>
          <w:lang w:val="sq-AL"/>
        </w:rPr>
        <w:t>U narednoj tabeli prikazan je  učinak ove opcije u odnosu na kvantitativne ciljeve.</w:t>
      </w:r>
      <w:bookmarkStart w:id="1072" w:name="_Toc121757136"/>
      <w:bookmarkStart w:id="1073" w:name="_Toc130833036"/>
      <w:bookmarkStart w:id="1074" w:name="_Toc189515654"/>
    </w:p>
    <w:p w14:paraId="64FEB039" w14:textId="77777777" w:rsidR="00DD411D" w:rsidRDefault="00DD411D" w:rsidP="0037743A">
      <w:pPr>
        <w:pStyle w:val="Caption"/>
        <w:rPr>
          <w:rFonts w:ascii="Arial" w:hAnsi="Arial" w:cs="Arial"/>
          <w:b w:val="0"/>
          <w:szCs w:val="20"/>
          <w:lang w:val="sq-AL"/>
        </w:rPr>
      </w:pPr>
      <w:bookmarkStart w:id="1075" w:name="_Toc190160772"/>
    </w:p>
    <w:p w14:paraId="6424C28E" w14:textId="77777777" w:rsidR="00D33BB9" w:rsidRDefault="00D33BB9" w:rsidP="00D33BB9">
      <w:pPr>
        <w:rPr>
          <w:lang w:val="sq-AL"/>
        </w:rPr>
      </w:pPr>
    </w:p>
    <w:p w14:paraId="7148B845" w14:textId="77777777" w:rsidR="00D33BB9" w:rsidRDefault="00D33BB9" w:rsidP="00D33BB9">
      <w:pPr>
        <w:rPr>
          <w:lang w:val="sq-AL"/>
        </w:rPr>
      </w:pPr>
    </w:p>
    <w:p w14:paraId="0DD2247C" w14:textId="77777777" w:rsidR="00D33BB9" w:rsidRDefault="00D33BB9" w:rsidP="00D33BB9">
      <w:pPr>
        <w:rPr>
          <w:lang w:val="sq-AL"/>
        </w:rPr>
      </w:pPr>
    </w:p>
    <w:p w14:paraId="51CE4E6F" w14:textId="77777777" w:rsidR="00D33BB9" w:rsidRDefault="00D33BB9" w:rsidP="00D33BB9">
      <w:pPr>
        <w:rPr>
          <w:lang w:val="sq-AL"/>
        </w:rPr>
      </w:pPr>
    </w:p>
    <w:p w14:paraId="72A3EAA9" w14:textId="77777777" w:rsidR="00D33BB9" w:rsidRDefault="00D33BB9" w:rsidP="00D33BB9">
      <w:pPr>
        <w:rPr>
          <w:lang w:val="sq-AL"/>
        </w:rPr>
      </w:pPr>
    </w:p>
    <w:p w14:paraId="156E5CA5" w14:textId="77777777" w:rsidR="00D33BB9" w:rsidRDefault="00D33BB9" w:rsidP="00D33BB9">
      <w:pPr>
        <w:rPr>
          <w:lang w:val="sq-AL"/>
        </w:rPr>
      </w:pPr>
    </w:p>
    <w:p w14:paraId="45E4D42C" w14:textId="77777777" w:rsidR="00D33BB9" w:rsidRDefault="00D33BB9" w:rsidP="00D33BB9">
      <w:pPr>
        <w:rPr>
          <w:lang w:val="sq-AL"/>
        </w:rPr>
      </w:pPr>
    </w:p>
    <w:p w14:paraId="76AC7898" w14:textId="77777777" w:rsidR="00D33BB9" w:rsidRDefault="00D33BB9" w:rsidP="00D33BB9">
      <w:pPr>
        <w:rPr>
          <w:lang w:val="sq-AL"/>
        </w:rPr>
      </w:pPr>
    </w:p>
    <w:p w14:paraId="519B4C8A" w14:textId="77777777" w:rsidR="00D33BB9" w:rsidRDefault="00D33BB9" w:rsidP="00D33BB9">
      <w:pPr>
        <w:rPr>
          <w:lang w:val="sq-AL"/>
        </w:rPr>
      </w:pPr>
    </w:p>
    <w:p w14:paraId="4DD42492" w14:textId="77777777" w:rsidR="00D33BB9" w:rsidRDefault="00D33BB9" w:rsidP="00D33BB9">
      <w:pPr>
        <w:rPr>
          <w:lang w:val="sq-AL"/>
        </w:rPr>
      </w:pPr>
    </w:p>
    <w:p w14:paraId="5E8BD818" w14:textId="77777777" w:rsidR="00D33BB9" w:rsidRDefault="00D33BB9" w:rsidP="00D33BB9">
      <w:pPr>
        <w:rPr>
          <w:lang w:val="sq-AL"/>
        </w:rPr>
      </w:pPr>
    </w:p>
    <w:p w14:paraId="4A47AA67" w14:textId="77777777" w:rsidR="00D33BB9" w:rsidRDefault="00D33BB9" w:rsidP="00D33BB9">
      <w:pPr>
        <w:rPr>
          <w:lang w:val="sq-AL"/>
        </w:rPr>
      </w:pPr>
    </w:p>
    <w:p w14:paraId="35EDEF81" w14:textId="77777777" w:rsidR="00D33BB9" w:rsidRDefault="00D33BB9" w:rsidP="00D33BB9">
      <w:pPr>
        <w:rPr>
          <w:lang w:val="sq-AL"/>
        </w:rPr>
      </w:pPr>
    </w:p>
    <w:p w14:paraId="0409F917" w14:textId="77777777" w:rsidR="00D33BB9" w:rsidRDefault="00D33BB9" w:rsidP="00D33BB9">
      <w:pPr>
        <w:rPr>
          <w:lang w:val="sq-AL"/>
        </w:rPr>
      </w:pPr>
    </w:p>
    <w:p w14:paraId="0DA596F0" w14:textId="77777777" w:rsidR="00D33BB9" w:rsidRDefault="00D33BB9" w:rsidP="00D33BB9">
      <w:pPr>
        <w:rPr>
          <w:lang w:val="sq-AL"/>
        </w:rPr>
      </w:pPr>
    </w:p>
    <w:p w14:paraId="249C35C7" w14:textId="77777777" w:rsidR="00D33BB9" w:rsidRDefault="00D33BB9" w:rsidP="00D33BB9">
      <w:pPr>
        <w:rPr>
          <w:lang w:val="sq-AL"/>
        </w:rPr>
      </w:pPr>
    </w:p>
    <w:p w14:paraId="17C7DCCD" w14:textId="77777777" w:rsidR="00D33BB9" w:rsidRDefault="00D33BB9" w:rsidP="00D33BB9">
      <w:pPr>
        <w:rPr>
          <w:lang w:val="sq-AL"/>
        </w:rPr>
      </w:pPr>
    </w:p>
    <w:p w14:paraId="696E5F37" w14:textId="77777777" w:rsidR="00D33BB9" w:rsidRPr="00D33BB9" w:rsidRDefault="00D33BB9" w:rsidP="00D33BB9">
      <w:pPr>
        <w:rPr>
          <w:lang w:val="sq-AL"/>
        </w:rPr>
      </w:pPr>
    </w:p>
    <w:p w14:paraId="5013FE1A" w14:textId="6F2E79AC" w:rsidR="00C232D7" w:rsidRPr="00C149AB" w:rsidRDefault="00C232D7" w:rsidP="0037743A">
      <w:pPr>
        <w:pStyle w:val="Caption"/>
        <w:rPr>
          <w:rFonts w:ascii="Arial" w:hAnsi="Arial" w:cs="Arial"/>
          <w:b w:val="0"/>
          <w:szCs w:val="20"/>
          <w:lang w:val="sq-AL"/>
        </w:rPr>
      </w:pPr>
      <w:r w:rsidRPr="00C149AB">
        <w:rPr>
          <w:rFonts w:ascii="Arial" w:hAnsi="Arial" w:cs="Arial"/>
          <w:b w:val="0"/>
          <w:szCs w:val="20"/>
          <w:lang w:val="sq-AL"/>
        </w:rPr>
        <w:lastRenderedPageBreak/>
        <w:t xml:space="preserve">Tabela </w:t>
      </w:r>
      <w:r w:rsidRPr="00C149AB">
        <w:rPr>
          <w:rFonts w:ascii="Arial" w:hAnsi="Arial" w:cs="Arial"/>
          <w:b w:val="0"/>
          <w:szCs w:val="20"/>
          <w:lang w:val="sq-AL"/>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lang w:val="sq-AL"/>
        </w:rPr>
        <w:fldChar w:fldCharType="separate"/>
      </w:r>
      <w:r w:rsidR="007274DA">
        <w:rPr>
          <w:rFonts w:ascii="Arial" w:hAnsi="Arial" w:cs="Arial"/>
          <w:b w:val="0"/>
          <w:noProof/>
          <w:szCs w:val="20"/>
          <w:lang w:val="sq-AL"/>
        </w:rPr>
        <w:t>78</w:t>
      </w:r>
      <w:r w:rsidRPr="00C149AB">
        <w:rPr>
          <w:rFonts w:ascii="Arial" w:hAnsi="Arial" w:cs="Arial"/>
          <w:b w:val="0"/>
          <w:szCs w:val="20"/>
          <w:lang w:val="sq-AL"/>
        </w:rPr>
        <w:fldChar w:fldCharType="end"/>
      </w:r>
      <w:r w:rsidRPr="00C149AB">
        <w:rPr>
          <w:rFonts w:ascii="Arial" w:hAnsi="Arial" w:cs="Arial"/>
          <w:b w:val="0"/>
          <w:szCs w:val="20"/>
          <w:lang w:val="sq-AL"/>
        </w:rPr>
        <w:t xml:space="preserve"> Učinak opcije VI u odnosu na postavljene ciljeve</w:t>
      </w:r>
      <w:bookmarkEnd w:id="1072"/>
      <w:bookmarkEnd w:id="1073"/>
      <w:bookmarkEnd w:id="1074"/>
      <w:bookmarkEnd w:id="1075"/>
    </w:p>
    <w:tbl>
      <w:tblPr>
        <w:tblStyle w:val="GridTable4-Accent11"/>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6"/>
        <w:gridCol w:w="2862"/>
        <w:gridCol w:w="2900"/>
        <w:gridCol w:w="1445"/>
      </w:tblGrid>
      <w:tr w:rsidR="00C232D7" w:rsidRPr="00C149AB" w14:paraId="771D7A95" w14:textId="77777777" w:rsidTr="00C232D7">
        <w:trPr>
          <w:cnfStyle w:val="100000000000" w:firstRow="1" w:lastRow="0" w:firstColumn="0" w:lastColumn="0" w:oddVBand="0" w:evenVBand="0" w:oddHBand="0" w:evenHBand="0" w:firstRowFirstColumn="0" w:firstRowLastColumn="0" w:lastRowFirstColumn="0" w:lastRowLastColumn="0"/>
          <w:trHeight w:val="433"/>
          <w:tblHeade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F2F2F2" w:themeFill="background1" w:themeFillShade="F2"/>
            <w:vAlign w:val="center"/>
          </w:tcPr>
          <w:p w14:paraId="2A081C84"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color w:val="auto"/>
                <w:sz w:val="18"/>
                <w:szCs w:val="20"/>
                <w:lang w:val="sq-AL"/>
              </w:rPr>
              <w:t>Faza upravljanja otpadom</w:t>
            </w:r>
          </w:p>
          <w:p w14:paraId="143AAB1A" w14:textId="77777777" w:rsidR="00C232D7" w:rsidRPr="00C149AB" w:rsidRDefault="00C232D7" w:rsidP="00C232D7">
            <w:pPr>
              <w:pStyle w:val="Normal-10pt-Table"/>
              <w:spacing w:line="360" w:lineRule="auto"/>
              <w:jc w:val="both"/>
              <w:rPr>
                <w:rFonts w:ascii="Arial" w:hAnsi="Arial" w:cs="Arial"/>
                <w:b w:val="0"/>
                <w:bCs w:val="0"/>
                <w:sz w:val="18"/>
                <w:szCs w:val="20"/>
                <w:highlight w:val="cyan"/>
              </w:rPr>
            </w:pPr>
          </w:p>
        </w:tc>
        <w:tc>
          <w:tcPr>
            <w:tcW w:w="1509" w:type="pct"/>
            <w:shd w:val="clear" w:color="auto" w:fill="F2F2F2" w:themeFill="background1" w:themeFillShade="F2"/>
            <w:vAlign w:val="center"/>
          </w:tcPr>
          <w:p w14:paraId="29C2D24C"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highlight w:val="cyan"/>
                <w:lang w:val="mk-MK"/>
              </w:rPr>
            </w:pPr>
            <w:r w:rsidRPr="00C149AB">
              <w:rPr>
                <w:rFonts w:ascii="Arial" w:hAnsi="Arial" w:cs="Arial"/>
                <w:color w:val="auto"/>
                <w:sz w:val="18"/>
                <w:szCs w:val="20"/>
                <w:lang w:val="sq-AL"/>
              </w:rPr>
              <w:t>Potražnja</w:t>
            </w:r>
          </w:p>
        </w:tc>
        <w:tc>
          <w:tcPr>
            <w:tcW w:w="1529" w:type="pct"/>
            <w:shd w:val="clear" w:color="auto" w:fill="F2F2F2" w:themeFill="background1" w:themeFillShade="F2"/>
            <w:vAlign w:val="center"/>
          </w:tcPr>
          <w:p w14:paraId="320A7CE2"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highlight w:val="cyan"/>
                <w:lang w:val="mk-MK"/>
              </w:rPr>
            </w:pPr>
            <w:r w:rsidRPr="00C149AB">
              <w:rPr>
                <w:rFonts w:ascii="Arial" w:hAnsi="Arial" w:cs="Arial"/>
                <w:color w:val="auto"/>
                <w:sz w:val="18"/>
                <w:szCs w:val="20"/>
                <w:lang w:val="sq-AL"/>
              </w:rPr>
              <w:t>Učinak</w:t>
            </w:r>
          </w:p>
        </w:tc>
        <w:tc>
          <w:tcPr>
            <w:tcW w:w="762" w:type="pct"/>
            <w:shd w:val="clear" w:color="auto" w:fill="F2F2F2" w:themeFill="background1" w:themeFillShade="F2"/>
            <w:vAlign w:val="center"/>
          </w:tcPr>
          <w:p w14:paraId="5765CAAF"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highlight w:val="cyan"/>
                <w:lang w:val="mk-MK"/>
              </w:rPr>
            </w:pPr>
            <w:r w:rsidRPr="00C149AB">
              <w:rPr>
                <w:rFonts w:ascii="Arial" w:hAnsi="Arial" w:cs="Arial"/>
                <w:color w:val="auto"/>
                <w:sz w:val="18"/>
                <w:szCs w:val="20"/>
                <w:lang w:val="sq-AL"/>
              </w:rPr>
              <w:t>Nivo ispunjenosti</w:t>
            </w:r>
          </w:p>
        </w:tc>
      </w:tr>
      <w:tr w:rsidR="00C232D7" w:rsidRPr="00C149AB" w14:paraId="5F37AB51"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vAlign w:val="center"/>
          </w:tcPr>
          <w:p w14:paraId="40F48C42" w14:textId="77777777" w:rsidR="00C232D7" w:rsidRPr="00C149AB" w:rsidRDefault="00C232D7" w:rsidP="00C232D7">
            <w:pPr>
              <w:pStyle w:val="Normal-10pt-Table"/>
              <w:spacing w:line="360" w:lineRule="auto"/>
              <w:jc w:val="both"/>
              <w:rPr>
                <w:rFonts w:ascii="Arial" w:hAnsi="Arial" w:cs="Arial"/>
                <w:sz w:val="18"/>
                <w:szCs w:val="20"/>
                <w:lang w:val="mk-MK"/>
              </w:rPr>
            </w:pPr>
            <w:r w:rsidRPr="00C149AB">
              <w:rPr>
                <w:rFonts w:ascii="Arial" w:hAnsi="Arial" w:cs="Arial"/>
                <w:sz w:val="18"/>
                <w:szCs w:val="20"/>
                <w:lang w:val="sq-AL"/>
              </w:rPr>
              <w:t>Ukupno sakupljene količine otpada</w:t>
            </w:r>
          </w:p>
        </w:tc>
        <w:tc>
          <w:tcPr>
            <w:tcW w:w="1509" w:type="pct"/>
            <w:shd w:val="clear" w:color="auto" w:fill="auto"/>
            <w:vAlign w:val="center"/>
          </w:tcPr>
          <w:p w14:paraId="00B589A3" w14:textId="47DDC28F" w:rsidR="00C232D7" w:rsidRPr="00C149AB" w:rsidRDefault="00A679ED"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w:t>
            </w:r>
            <w:r w:rsidR="00F454D5" w:rsidRPr="00C149AB">
              <w:rPr>
                <w:rFonts w:ascii="Arial" w:hAnsi="Arial" w:cs="Arial"/>
                <w:sz w:val="18"/>
                <w:lang w:val="sr-Latn-RS"/>
              </w:rPr>
              <w:t>5</w:t>
            </w:r>
            <w:r w:rsidRPr="00C149AB">
              <w:rPr>
                <w:rFonts w:ascii="Arial" w:hAnsi="Arial" w:cs="Arial"/>
                <w:sz w:val="18"/>
                <w:lang w:val="mk-MK"/>
              </w:rPr>
              <w:t>: 350.424 t/god (</w:t>
            </w:r>
            <w:r w:rsidR="00C232D7" w:rsidRPr="00C149AB">
              <w:rPr>
                <w:rFonts w:ascii="Arial" w:hAnsi="Arial" w:cs="Arial"/>
                <w:sz w:val="18"/>
                <w:lang w:val="mk-MK"/>
              </w:rPr>
              <w:t>100% ukupnog otpada)</w:t>
            </w:r>
          </w:p>
          <w:p w14:paraId="4F6DD488" w14:textId="6C1AB515" w:rsidR="00C232D7" w:rsidRPr="00C149AB"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xml:space="preserve">: 360.433 t/god </w:t>
            </w:r>
            <w:r w:rsidR="00A679ED" w:rsidRPr="00C149AB">
              <w:rPr>
                <w:rFonts w:ascii="Arial" w:hAnsi="Arial" w:cs="Arial"/>
                <w:sz w:val="18"/>
              </w:rPr>
              <w:t>(</w:t>
            </w:r>
            <w:r w:rsidR="00C232D7" w:rsidRPr="00C149AB">
              <w:rPr>
                <w:rFonts w:ascii="Arial" w:hAnsi="Arial" w:cs="Arial"/>
                <w:sz w:val="18"/>
              </w:rPr>
              <w:t xml:space="preserve">100% </w:t>
            </w:r>
            <w:r w:rsidR="00C232D7" w:rsidRPr="00C149AB">
              <w:rPr>
                <w:rFonts w:ascii="Arial" w:hAnsi="Arial" w:cs="Arial"/>
                <w:sz w:val="18"/>
                <w:lang w:val="mk-MK"/>
              </w:rPr>
              <w:t>ukupnog otpada)</w:t>
            </w:r>
          </w:p>
        </w:tc>
        <w:tc>
          <w:tcPr>
            <w:tcW w:w="1529" w:type="pct"/>
            <w:shd w:val="clear" w:color="auto" w:fill="auto"/>
            <w:vAlign w:val="center"/>
          </w:tcPr>
          <w:p w14:paraId="437F4697" w14:textId="6F58215F"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w:t>
            </w:r>
            <w:r w:rsidR="00F454D5" w:rsidRPr="00C149AB">
              <w:rPr>
                <w:rFonts w:ascii="Arial" w:hAnsi="Arial" w:cs="Arial"/>
                <w:sz w:val="18"/>
                <w:lang w:val="sr-Latn-RS"/>
              </w:rPr>
              <w:t>5</w:t>
            </w:r>
            <w:r w:rsidRPr="00C149AB">
              <w:rPr>
                <w:rFonts w:ascii="Arial" w:hAnsi="Arial" w:cs="Arial"/>
                <w:sz w:val="18"/>
                <w:lang w:val="mk-MK"/>
              </w:rPr>
              <w:t xml:space="preserve">: 332.968 t/god </w:t>
            </w:r>
            <w:r w:rsidR="00A679ED" w:rsidRPr="00C149AB">
              <w:rPr>
                <w:rFonts w:ascii="Arial" w:hAnsi="Arial" w:cs="Arial"/>
                <w:sz w:val="18"/>
              </w:rPr>
              <w:t>(</w:t>
            </w:r>
            <w:r w:rsidRPr="00C149AB">
              <w:rPr>
                <w:rFonts w:ascii="Arial" w:hAnsi="Arial" w:cs="Arial"/>
                <w:sz w:val="18"/>
                <w:lang w:val="mk-MK"/>
              </w:rPr>
              <w:t>95.0</w:t>
            </w:r>
            <w:r w:rsidRPr="00C149AB">
              <w:rPr>
                <w:rFonts w:ascii="Arial" w:hAnsi="Arial" w:cs="Arial"/>
                <w:sz w:val="18"/>
              </w:rPr>
              <w:t xml:space="preserve">% </w:t>
            </w:r>
            <w:r w:rsidRPr="00C149AB">
              <w:rPr>
                <w:rFonts w:ascii="Arial" w:hAnsi="Arial" w:cs="Arial"/>
                <w:sz w:val="18"/>
                <w:lang w:val="mk-MK"/>
              </w:rPr>
              <w:t>ukupnog otpada)</w:t>
            </w:r>
          </w:p>
          <w:p w14:paraId="04C3E45A" w14:textId="6B0D96E2" w:rsidR="00C232D7" w:rsidRPr="00C149AB"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149AB">
              <w:rPr>
                <w:rFonts w:ascii="Arial" w:hAnsi="Arial" w:cs="Arial"/>
                <w:sz w:val="18"/>
                <w:lang w:val="en-US"/>
              </w:rPr>
              <w:t>2029</w:t>
            </w:r>
            <w:r w:rsidR="00A679ED" w:rsidRPr="00C149AB">
              <w:rPr>
                <w:rFonts w:ascii="Arial" w:hAnsi="Arial" w:cs="Arial"/>
                <w:sz w:val="18"/>
                <w:lang w:val="mk-MK"/>
              </w:rPr>
              <w:t>: 342.776t/god (</w:t>
            </w:r>
            <w:r w:rsidR="00C232D7" w:rsidRPr="00C149AB">
              <w:rPr>
                <w:rFonts w:ascii="Arial" w:hAnsi="Arial" w:cs="Arial"/>
                <w:sz w:val="18"/>
                <w:lang w:val="mk-MK"/>
              </w:rPr>
              <w:t>95.1% ukupnog otpada)</w:t>
            </w:r>
          </w:p>
        </w:tc>
        <w:tc>
          <w:tcPr>
            <w:tcW w:w="762" w:type="pct"/>
            <w:shd w:val="clear" w:color="auto" w:fill="auto"/>
            <w:vAlign w:val="center"/>
          </w:tcPr>
          <w:p w14:paraId="6A1C0DD6" w14:textId="1AD18FD0"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202</w:t>
            </w:r>
            <w:r w:rsidR="00F454D5" w:rsidRPr="00C149AB">
              <w:rPr>
                <w:rFonts w:ascii="Arial" w:hAnsi="Arial" w:cs="Arial"/>
                <w:sz w:val="18"/>
                <w:lang w:val="sr-Latn-RS"/>
              </w:rPr>
              <w:t>5</w:t>
            </w:r>
            <w:r w:rsidRPr="00C149AB">
              <w:rPr>
                <w:rFonts w:ascii="Arial" w:hAnsi="Arial" w:cs="Arial"/>
                <w:sz w:val="18"/>
                <w:lang w:val="mk-MK"/>
              </w:rPr>
              <w:t xml:space="preserve">: </w:t>
            </w:r>
            <w:r w:rsidRPr="00C149AB">
              <w:rPr>
                <w:rFonts w:ascii="Arial" w:hAnsi="Arial" w:cs="Arial"/>
                <w:sz w:val="18"/>
              </w:rPr>
              <w:t xml:space="preserve">100% </w:t>
            </w:r>
          </w:p>
          <w:p w14:paraId="514BACF9" w14:textId="7C751D1C" w:rsidR="00C232D7" w:rsidRPr="00C149AB"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100%</w:t>
            </w:r>
          </w:p>
        </w:tc>
      </w:tr>
      <w:tr w:rsidR="00C232D7" w:rsidRPr="00C149AB" w14:paraId="29169EAD"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vAlign w:val="center"/>
          </w:tcPr>
          <w:p w14:paraId="75B41A9D" w14:textId="77777777" w:rsidR="00C232D7" w:rsidRPr="00C149AB" w:rsidRDefault="00C232D7" w:rsidP="00C232D7">
            <w:pPr>
              <w:pStyle w:val="Normal-10pt-Table"/>
              <w:spacing w:line="360" w:lineRule="auto"/>
              <w:jc w:val="both"/>
              <w:rPr>
                <w:rFonts w:ascii="Arial" w:hAnsi="Arial" w:cs="Arial"/>
                <w:sz w:val="18"/>
                <w:szCs w:val="20"/>
                <w:lang w:val="mk-MK"/>
              </w:rPr>
            </w:pPr>
            <w:r w:rsidRPr="00C149AB">
              <w:rPr>
                <w:rFonts w:ascii="Arial" w:hAnsi="Arial" w:cs="Arial"/>
                <w:sz w:val="18"/>
                <w:szCs w:val="20"/>
                <w:lang w:val="sq-AL"/>
              </w:rPr>
              <w:t>Odvojeno sakupljanje otpada koji se može reciklirati</w:t>
            </w:r>
          </w:p>
        </w:tc>
        <w:tc>
          <w:tcPr>
            <w:tcW w:w="1509" w:type="pct"/>
            <w:shd w:val="clear" w:color="auto" w:fill="auto"/>
            <w:vAlign w:val="center"/>
          </w:tcPr>
          <w:p w14:paraId="196DF139" w14:textId="77528005"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 xml:space="preserve">2025: 27.316 t/god </w:t>
            </w:r>
            <w:r w:rsidR="00A679ED" w:rsidRPr="00C149AB">
              <w:rPr>
                <w:rFonts w:ascii="Arial" w:hAnsi="Arial" w:cs="Arial"/>
                <w:sz w:val="18"/>
              </w:rPr>
              <w:t>(</w:t>
            </w:r>
            <w:r w:rsidRPr="00C149AB">
              <w:rPr>
                <w:rFonts w:ascii="Arial" w:hAnsi="Arial" w:cs="Arial"/>
                <w:sz w:val="18"/>
                <w:lang w:val="mk-MK"/>
              </w:rPr>
              <w:t>15</w:t>
            </w:r>
            <w:r w:rsidRPr="00C149AB">
              <w:rPr>
                <w:rFonts w:ascii="Arial" w:hAnsi="Arial" w:cs="Arial"/>
                <w:sz w:val="18"/>
              </w:rPr>
              <w:t xml:space="preserve">% </w:t>
            </w:r>
            <w:r w:rsidRPr="00C149AB">
              <w:rPr>
                <w:rFonts w:ascii="Arial" w:hAnsi="Arial" w:cs="Arial"/>
                <w:sz w:val="18"/>
                <w:lang w:val="sq-AL"/>
              </w:rPr>
              <w:t>otpada koji se može reciklirati</w:t>
            </w:r>
            <w:r w:rsidRPr="00C149AB">
              <w:rPr>
                <w:rFonts w:ascii="Arial" w:hAnsi="Arial" w:cs="Arial"/>
                <w:sz w:val="18"/>
              </w:rPr>
              <w:t>)</w:t>
            </w:r>
          </w:p>
          <w:p w14:paraId="29CBD8AC" w14:textId="5683464E" w:rsidR="00C232D7" w:rsidRPr="00C149AB"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A679ED" w:rsidRPr="00C149AB">
              <w:rPr>
                <w:rFonts w:ascii="Arial" w:hAnsi="Arial" w:cs="Arial"/>
                <w:sz w:val="18"/>
                <w:lang w:val="mk-MK"/>
              </w:rPr>
              <w:t>: 46.999 t/god (</w:t>
            </w:r>
            <w:r w:rsidR="00C232D7" w:rsidRPr="00C149AB">
              <w:rPr>
                <w:rFonts w:ascii="Arial" w:hAnsi="Arial" w:cs="Arial"/>
                <w:sz w:val="18"/>
                <w:lang w:val="mk-MK"/>
              </w:rPr>
              <w:t xml:space="preserve">15% </w:t>
            </w:r>
            <w:r w:rsidR="00C232D7" w:rsidRPr="00C149AB">
              <w:rPr>
                <w:rFonts w:ascii="Arial" w:hAnsi="Arial" w:cs="Arial"/>
                <w:sz w:val="18"/>
                <w:lang w:val="sq-AL"/>
              </w:rPr>
              <w:t>otpada koji se može reciklirati</w:t>
            </w:r>
            <w:r w:rsidR="00C232D7" w:rsidRPr="00C149AB">
              <w:rPr>
                <w:rFonts w:ascii="Arial" w:hAnsi="Arial" w:cs="Arial"/>
                <w:sz w:val="18"/>
                <w:lang w:val="mk-MK"/>
              </w:rPr>
              <w:t>)</w:t>
            </w:r>
          </w:p>
        </w:tc>
        <w:tc>
          <w:tcPr>
            <w:tcW w:w="1529" w:type="pct"/>
            <w:shd w:val="clear" w:color="auto" w:fill="auto"/>
            <w:vAlign w:val="center"/>
          </w:tcPr>
          <w:p w14:paraId="0C440479" w14:textId="0FCA890D" w:rsidR="00C232D7" w:rsidRPr="00C149AB" w:rsidRDefault="00A679ED"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32.607 t/god (</w:t>
            </w:r>
            <w:r w:rsidR="00C232D7" w:rsidRPr="00C149AB">
              <w:rPr>
                <w:rFonts w:ascii="Arial" w:hAnsi="Arial" w:cs="Arial"/>
                <w:sz w:val="18"/>
                <w:szCs w:val="20"/>
                <w:lang w:val="mk-MK"/>
              </w:rPr>
              <w:t xml:space="preserve">18% </w:t>
            </w:r>
            <w:r w:rsidR="00C232D7" w:rsidRPr="00C149AB">
              <w:rPr>
                <w:rFonts w:ascii="Arial" w:hAnsi="Arial" w:cs="Arial"/>
                <w:sz w:val="18"/>
                <w:szCs w:val="20"/>
                <w:lang w:val="sq-AL"/>
              </w:rPr>
              <w:t>otpada koji se može reciklirati</w:t>
            </w:r>
            <w:r w:rsidR="00C232D7" w:rsidRPr="00C149AB">
              <w:rPr>
                <w:rFonts w:ascii="Arial" w:hAnsi="Arial" w:cs="Arial"/>
                <w:sz w:val="18"/>
                <w:szCs w:val="20"/>
                <w:lang w:val="mk-MK"/>
              </w:rPr>
              <w:t>)</w:t>
            </w:r>
          </w:p>
          <w:p w14:paraId="286C3C19" w14:textId="4B717B0A" w:rsidR="00C232D7" w:rsidRPr="00C149AB" w:rsidRDefault="00C232D7" w:rsidP="009A0599">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w:t>
            </w:r>
            <w:r w:rsidR="009A0599" w:rsidRPr="00C149AB">
              <w:rPr>
                <w:rFonts w:ascii="Arial" w:hAnsi="Arial" w:cs="Arial"/>
                <w:sz w:val="18"/>
                <w:szCs w:val="20"/>
                <w:lang w:val="sr-Latn-ME"/>
              </w:rPr>
              <w:t>9</w:t>
            </w:r>
            <w:r w:rsidRPr="00C149AB">
              <w:rPr>
                <w:rFonts w:ascii="Arial" w:hAnsi="Arial" w:cs="Arial"/>
                <w:sz w:val="18"/>
                <w:szCs w:val="20"/>
                <w:lang w:val="mk-MK"/>
              </w:rPr>
              <w:t xml:space="preserve">: </w:t>
            </w:r>
            <w:r w:rsidRPr="00C149AB">
              <w:rPr>
                <w:rFonts w:ascii="Arial" w:hAnsi="Arial" w:cs="Arial"/>
                <w:sz w:val="18"/>
                <w:szCs w:val="20"/>
              </w:rPr>
              <w:t>55</w:t>
            </w:r>
            <w:r w:rsidRPr="00C149AB">
              <w:rPr>
                <w:rFonts w:ascii="Arial" w:hAnsi="Arial" w:cs="Arial"/>
                <w:sz w:val="18"/>
                <w:szCs w:val="20"/>
                <w:lang w:val="mk-MK"/>
              </w:rPr>
              <w:t xml:space="preserve">.559 t/god </w:t>
            </w:r>
            <w:r w:rsidR="00A679ED" w:rsidRPr="00C149AB">
              <w:rPr>
                <w:rFonts w:ascii="Arial" w:hAnsi="Arial" w:cs="Arial"/>
                <w:sz w:val="18"/>
                <w:szCs w:val="20"/>
              </w:rPr>
              <w:t>(</w:t>
            </w:r>
            <w:r w:rsidRPr="00C149AB">
              <w:rPr>
                <w:rFonts w:ascii="Arial" w:hAnsi="Arial" w:cs="Arial"/>
                <w:sz w:val="18"/>
                <w:szCs w:val="20"/>
              </w:rPr>
              <w:t xml:space="preserve">30% </w:t>
            </w:r>
            <w:r w:rsidRPr="00C149AB">
              <w:rPr>
                <w:rFonts w:ascii="Arial" w:hAnsi="Arial" w:cs="Arial"/>
                <w:sz w:val="18"/>
                <w:szCs w:val="20"/>
                <w:lang w:val="sq-AL"/>
              </w:rPr>
              <w:t>otpada koji se može reciklirati</w:t>
            </w:r>
            <w:r w:rsidRPr="00C149AB">
              <w:rPr>
                <w:rFonts w:ascii="Arial" w:hAnsi="Arial" w:cs="Arial"/>
                <w:sz w:val="18"/>
                <w:szCs w:val="20"/>
              </w:rPr>
              <w:t>)</w:t>
            </w:r>
          </w:p>
        </w:tc>
        <w:tc>
          <w:tcPr>
            <w:tcW w:w="762" w:type="pct"/>
            <w:shd w:val="clear" w:color="auto" w:fill="auto"/>
            <w:vAlign w:val="center"/>
          </w:tcPr>
          <w:p w14:paraId="5B4A5004" w14:textId="77777777"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 xml:space="preserve">2025: </w:t>
            </w:r>
            <w:r w:rsidRPr="00C149AB">
              <w:rPr>
                <w:rFonts w:ascii="Arial" w:hAnsi="Arial" w:cs="Arial"/>
                <w:sz w:val="18"/>
              </w:rPr>
              <w:t xml:space="preserve">100% </w:t>
            </w:r>
          </w:p>
          <w:p w14:paraId="4CEC877D" w14:textId="5F30040D" w:rsidR="00C232D7" w:rsidRPr="00C149AB"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100%</w:t>
            </w:r>
          </w:p>
        </w:tc>
      </w:tr>
      <w:tr w:rsidR="00C232D7" w:rsidRPr="00C149AB" w14:paraId="4019D338"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vAlign w:val="center"/>
          </w:tcPr>
          <w:p w14:paraId="63D22BA3" w14:textId="77777777" w:rsidR="00C232D7" w:rsidRPr="00C149AB" w:rsidRDefault="00C232D7" w:rsidP="00C232D7">
            <w:pPr>
              <w:pStyle w:val="Normal-10pt-Table"/>
              <w:spacing w:line="360" w:lineRule="auto"/>
              <w:jc w:val="both"/>
              <w:rPr>
                <w:rFonts w:ascii="Arial" w:hAnsi="Arial" w:cs="Arial"/>
                <w:b w:val="0"/>
                <w:bCs w:val="0"/>
                <w:sz w:val="18"/>
                <w:szCs w:val="20"/>
                <w:lang w:val="mk-MK"/>
              </w:rPr>
            </w:pPr>
            <w:r w:rsidRPr="00C149AB">
              <w:rPr>
                <w:rFonts w:ascii="Arial" w:hAnsi="Arial" w:cs="Arial"/>
                <w:sz w:val="18"/>
                <w:szCs w:val="20"/>
                <w:lang w:val="sq-AL"/>
              </w:rPr>
              <w:t>Odvojeno sakupljanje ambalažnog otpada</w:t>
            </w:r>
          </w:p>
        </w:tc>
        <w:tc>
          <w:tcPr>
            <w:tcW w:w="1509" w:type="pct"/>
            <w:shd w:val="clear" w:color="auto" w:fill="auto"/>
            <w:vAlign w:val="center"/>
          </w:tcPr>
          <w:p w14:paraId="10E0EF6C" w14:textId="60774EFB"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C232D7" w:rsidRPr="00C149AB">
              <w:rPr>
                <w:rFonts w:ascii="Arial" w:hAnsi="Arial" w:cs="Arial"/>
                <w:sz w:val="18"/>
                <w:szCs w:val="20"/>
                <w:lang w:val="mk-MK"/>
              </w:rPr>
              <w:t xml:space="preserve">: 34.524 t/god (35% </w:t>
            </w:r>
            <w:r w:rsidR="00C232D7" w:rsidRPr="00C149AB">
              <w:rPr>
                <w:rFonts w:ascii="Arial" w:hAnsi="Arial" w:cs="Arial"/>
                <w:sz w:val="18"/>
                <w:szCs w:val="20"/>
                <w:lang w:val="sq-AL"/>
              </w:rPr>
              <w:t>ambalažnog otpada</w:t>
            </w:r>
            <w:r w:rsidR="00C232D7" w:rsidRPr="00C149AB">
              <w:rPr>
                <w:rFonts w:ascii="Arial" w:hAnsi="Arial" w:cs="Arial"/>
                <w:sz w:val="18"/>
                <w:szCs w:val="20"/>
                <w:lang w:val="mk-MK"/>
              </w:rPr>
              <w:t>)</w:t>
            </w:r>
          </w:p>
        </w:tc>
        <w:tc>
          <w:tcPr>
            <w:tcW w:w="1529" w:type="pct"/>
            <w:shd w:val="clear" w:color="auto" w:fill="auto"/>
            <w:vAlign w:val="center"/>
          </w:tcPr>
          <w:p w14:paraId="204DC898" w14:textId="4AB5136B"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C232D7" w:rsidRPr="00C149AB">
              <w:rPr>
                <w:rFonts w:ascii="Arial" w:hAnsi="Arial" w:cs="Arial"/>
                <w:sz w:val="18"/>
                <w:szCs w:val="20"/>
                <w:lang w:val="mk-MK"/>
              </w:rPr>
              <w:t xml:space="preserve">: 38.891 t/god (39% </w:t>
            </w:r>
            <w:r w:rsidR="00C232D7" w:rsidRPr="00C149AB">
              <w:rPr>
                <w:rFonts w:ascii="Arial" w:hAnsi="Arial" w:cs="Arial"/>
                <w:sz w:val="18"/>
                <w:szCs w:val="20"/>
                <w:lang w:val="sq-AL"/>
              </w:rPr>
              <w:t>ambalažnog otpada</w:t>
            </w:r>
            <w:r w:rsidR="00C232D7" w:rsidRPr="00C149AB">
              <w:rPr>
                <w:rFonts w:ascii="Arial" w:hAnsi="Arial" w:cs="Arial"/>
                <w:sz w:val="18"/>
                <w:szCs w:val="20"/>
                <w:lang w:val="mk-MK"/>
              </w:rPr>
              <w:t>)</w:t>
            </w:r>
          </w:p>
        </w:tc>
        <w:tc>
          <w:tcPr>
            <w:tcW w:w="762" w:type="pct"/>
            <w:shd w:val="clear" w:color="auto" w:fill="auto"/>
            <w:vAlign w:val="center"/>
          </w:tcPr>
          <w:p w14:paraId="63153832" w14:textId="1764A45D" w:rsidR="00C232D7" w:rsidRPr="00C149AB"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100%</w:t>
            </w:r>
          </w:p>
        </w:tc>
      </w:tr>
      <w:tr w:rsidR="00C232D7" w:rsidRPr="00C149AB" w14:paraId="01DBE0C6"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tcPr>
          <w:p w14:paraId="39C8EB41" w14:textId="77777777" w:rsidR="00C232D7" w:rsidRPr="00C149AB" w:rsidRDefault="00C232D7" w:rsidP="00C232D7">
            <w:pPr>
              <w:pStyle w:val="Normal-10pt-Table"/>
              <w:spacing w:line="360" w:lineRule="auto"/>
              <w:jc w:val="both"/>
              <w:rPr>
                <w:rFonts w:ascii="Arial" w:hAnsi="Arial" w:cs="Arial"/>
                <w:sz w:val="18"/>
                <w:szCs w:val="20"/>
                <w:lang w:val="mk-MK"/>
              </w:rPr>
            </w:pPr>
            <w:r w:rsidRPr="00C149AB">
              <w:rPr>
                <w:rFonts w:ascii="Arial" w:hAnsi="Arial" w:cs="Arial"/>
                <w:sz w:val="18"/>
                <w:szCs w:val="20"/>
                <w:lang w:val="sq-AL"/>
              </w:rPr>
              <w:t>Odvojeno sakupljanje biorazgradivog otpada</w:t>
            </w:r>
          </w:p>
        </w:tc>
        <w:tc>
          <w:tcPr>
            <w:tcW w:w="1509" w:type="pct"/>
            <w:shd w:val="clear" w:color="auto" w:fill="auto"/>
            <w:vAlign w:val="center"/>
          </w:tcPr>
          <w:p w14:paraId="6BF5E345" w14:textId="15CE96A0"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w:t>
            </w:r>
            <w:r w:rsidRPr="00C149AB">
              <w:rPr>
                <w:rFonts w:ascii="Arial" w:hAnsi="Arial" w:cs="Arial"/>
                <w:sz w:val="18"/>
                <w:szCs w:val="20"/>
              </w:rPr>
              <w:t>24</w:t>
            </w:r>
            <w:r w:rsidR="00A679ED" w:rsidRPr="00C149AB">
              <w:rPr>
                <w:rFonts w:ascii="Arial" w:hAnsi="Arial" w:cs="Arial"/>
                <w:sz w:val="18"/>
                <w:szCs w:val="20"/>
                <w:lang w:val="mk-MK"/>
              </w:rPr>
              <w:t>.233 t/god (</w:t>
            </w:r>
            <w:r w:rsidRPr="00C149AB">
              <w:rPr>
                <w:rFonts w:ascii="Arial" w:hAnsi="Arial" w:cs="Arial"/>
                <w:sz w:val="18"/>
                <w:szCs w:val="20"/>
                <w:lang w:val="mk-MK"/>
              </w:rPr>
              <w:t>7% ukupnog otpada)</w:t>
            </w:r>
          </w:p>
          <w:p w14:paraId="531CB2EB" w14:textId="7A412025"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C232D7" w:rsidRPr="00C149AB">
              <w:rPr>
                <w:rFonts w:ascii="Arial" w:hAnsi="Arial" w:cs="Arial"/>
                <w:sz w:val="18"/>
                <w:szCs w:val="20"/>
                <w:lang w:val="mk-MK"/>
              </w:rPr>
              <w:t xml:space="preserve">: 24.063 t/god </w:t>
            </w:r>
            <w:r w:rsidR="00A679ED" w:rsidRPr="00C149AB">
              <w:rPr>
                <w:rFonts w:ascii="Arial" w:hAnsi="Arial" w:cs="Arial"/>
                <w:sz w:val="18"/>
                <w:szCs w:val="20"/>
              </w:rPr>
              <w:t>(</w:t>
            </w:r>
            <w:r w:rsidR="00C232D7" w:rsidRPr="00C149AB">
              <w:rPr>
                <w:rFonts w:ascii="Arial" w:hAnsi="Arial" w:cs="Arial"/>
                <w:sz w:val="18"/>
                <w:szCs w:val="20"/>
              </w:rPr>
              <w:t xml:space="preserve">7% </w:t>
            </w:r>
            <w:r w:rsidR="00C232D7" w:rsidRPr="00C149AB">
              <w:rPr>
                <w:rFonts w:ascii="Arial" w:hAnsi="Arial" w:cs="Arial"/>
                <w:sz w:val="18"/>
                <w:szCs w:val="20"/>
                <w:lang w:val="mk-MK"/>
              </w:rPr>
              <w:t>ukupnog otpada)</w:t>
            </w:r>
          </w:p>
        </w:tc>
        <w:tc>
          <w:tcPr>
            <w:tcW w:w="1529" w:type="pct"/>
            <w:shd w:val="clear" w:color="auto" w:fill="auto"/>
            <w:vAlign w:val="center"/>
          </w:tcPr>
          <w:p w14:paraId="0F08CE18" w14:textId="5F59F6BA"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w:t>
            </w:r>
            <w:r w:rsidRPr="00C149AB">
              <w:rPr>
                <w:rFonts w:ascii="Arial" w:hAnsi="Arial" w:cs="Arial"/>
                <w:sz w:val="18"/>
                <w:szCs w:val="20"/>
              </w:rPr>
              <w:t>25</w:t>
            </w:r>
            <w:r w:rsidR="00A679ED" w:rsidRPr="00C149AB">
              <w:rPr>
                <w:rFonts w:ascii="Arial" w:hAnsi="Arial" w:cs="Arial"/>
                <w:sz w:val="18"/>
                <w:szCs w:val="20"/>
                <w:lang w:val="mk-MK"/>
              </w:rPr>
              <w:t>.513 t/god (</w:t>
            </w:r>
            <w:r w:rsidRPr="00C149AB">
              <w:rPr>
                <w:rFonts w:ascii="Arial" w:hAnsi="Arial" w:cs="Arial"/>
                <w:sz w:val="18"/>
                <w:szCs w:val="20"/>
                <w:lang w:val="mk-MK"/>
              </w:rPr>
              <w:t>7% ukupnog otpada)</w:t>
            </w:r>
          </w:p>
          <w:p w14:paraId="5FD737B3" w14:textId="56812A1C"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C232D7" w:rsidRPr="00C149AB">
              <w:rPr>
                <w:rFonts w:ascii="Arial" w:hAnsi="Arial" w:cs="Arial"/>
                <w:sz w:val="18"/>
                <w:szCs w:val="20"/>
                <w:lang w:val="mk-MK"/>
              </w:rPr>
              <w:t xml:space="preserve">: 25.334 t/god </w:t>
            </w:r>
            <w:r w:rsidR="00A679ED" w:rsidRPr="00C149AB">
              <w:rPr>
                <w:rFonts w:ascii="Arial" w:hAnsi="Arial" w:cs="Arial"/>
                <w:sz w:val="18"/>
                <w:szCs w:val="20"/>
              </w:rPr>
              <w:t>(</w:t>
            </w:r>
            <w:r w:rsidR="00C232D7" w:rsidRPr="00C149AB">
              <w:rPr>
                <w:rFonts w:ascii="Arial" w:hAnsi="Arial" w:cs="Arial"/>
                <w:sz w:val="18"/>
                <w:szCs w:val="20"/>
              </w:rPr>
              <w:t xml:space="preserve">7% </w:t>
            </w:r>
            <w:r w:rsidR="00C232D7" w:rsidRPr="00C149AB">
              <w:rPr>
                <w:rFonts w:ascii="Arial" w:hAnsi="Arial" w:cs="Arial"/>
                <w:sz w:val="18"/>
                <w:szCs w:val="20"/>
                <w:lang w:val="mk-MK"/>
              </w:rPr>
              <w:t>ukupnog otpada)</w:t>
            </w:r>
          </w:p>
        </w:tc>
        <w:tc>
          <w:tcPr>
            <w:tcW w:w="762" w:type="pct"/>
            <w:shd w:val="clear" w:color="auto" w:fill="auto"/>
            <w:vAlign w:val="center"/>
          </w:tcPr>
          <w:p w14:paraId="5E80A4B8" w14:textId="77777777"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mk-MK"/>
              </w:rPr>
              <w:t xml:space="preserve">2025: </w:t>
            </w:r>
            <w:r w:rsidRPr="00C149AB">
              <w:rPr>
                <w:rFonts w:ascii="Arial" w:hAnsi="Arial" w:cs="Arial"/>
                <w:sz w:val="18"/>
              </w:rPr>
              <w:t xml:space="preserve">100% </w:t>
            </w:r>
          </w:p>
          <w:p w14:paraId="083C06C1" w14:textId="002A497C" w:rsidR="00C232D7" w:rsidRPr="00C149AB"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mk-MK"/>
              </w:rPr>
            </w:pPr>
            <w:r w:rsidRPr="00C149AB">
              <w:rPr>
                <w:rFonts w:ascii="Arial" w:hAnsi="Arial" w:cs="Arial"/>
                <w:sz w:val="18"/>
                <w:lang w:val="en-US"/>
              </w:rPr>
              <w:t>2029</w:t>
            </w:r>
            <w:r w:rsidR="00C232D7" w:rsidRPr="00C149AB">
              <w:rPr>
                <w:rFonts w:ascii="Arial" w:hAnsi="Arial" w:cs="Arial"/>
                <w:sz w:val="18"/>
                <w:lang w:val="mk-MK"/>
              </w:rPr>
              <w:t>: 100%</w:t>
            </w:r>
          </w:p>
        </w:tc>
      </w:tr>
      <w:tr w:rsidR="00C232D7" w:rsidRPr="00C149AB" w14:paraId="075E2152"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tcPr>
          <w:p w14:paraId="6B4ACA6B" w14:textId="77777777" w:rsidR="00C232D7" w:rsidRPr="00C149AB" w:rsidRDefault="00C232D7" w:rsidP="00C232D7">
            <w:pPr>
              <w:pStyle w:val="Normal-10pt-Table"/>
              <w:spacing w:line="360" w:lineRule="auto"/>
              <w:jc w:val="both"/>
              <w:rPr>
                <w:rFonts w:ascii="Arial" w:hAnsi="Arial" w:cs="Arial"/>
                <w:sz w:val="18"/>
                <w:szCs w:val="20"/>
                <w:lang w:val="mk-MK"/>
              </w:rPr>
            </w:pPr>
            <w:r w:rsidRPr="00C149AB">
              <w:rPr>
                <w:rFonts w:ascii="Arial" w:hAnsi="Arial" w:cs="Arial"/>
                <w:sz w:val="18"/>
                <w:szCs w:val="20"/>
                <w:lang w:val="sq-AL"/>
              </w:rPr>
              <w:t>Kućno kompostiranje</w:t>
            </w:r>
          </w:p>
        </w:tc>
        <w:tc>
          <w:tcPr>
            <w:tcW w:w="1509" w:type="pct"/>
            <w:shd w:val="clear" w:color="auto" w:fill="auto"/>
            <w:vAlign w:val="center"/>
          </w:tcPr>
          <w:p w14:paraId="2F445772" w14:textId="1E728816"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w:t>
            </w:r>
            <w:r w:rsidRPr="00C149AB">
              <w:rPr>
                <w:rFonts w:ascii="Arial" w:hAnsi="Arial" w:cs="Arial"/>
                <w:sz w:val="18"/>
                <w:szCs w:val="20"/>
              </w:rPr>
              <w:t>5</w:t>
            </w:r>
            <w:r w:rsidR="00A679ED" w:rsidRPr="00C149AB">
              <w:rPr>
                <w:rFonts w:ascii="Arial" w:hAnsi="Arial" w:cs="Arial"/>
                <w:sz w:val="18"/>
                <w:szCs w:val="20"/>
                <w:lang w:val="mk-MK"/>
              </w:rPr>
              <w:t>.624 t/god (</w:t>
            </w:r>
            <w:r w:rsidRPr="00C149AB">
              <w:rPr>
                <w:rFonts w:ascii="Arial" w:hAnsi="Arial" w:cs="Arial"/>
                <w:sz w:val="18"/>
                <w:szCs w:val="20"/>
                <w:lang w:val="mk-MK"/>
              </w:rPr>
              <w:t>1.6% ukupnog otpada)</w:t>
            </w:r>
          </w:p>
          <w:p w14:paraId="6BDB8275" w14:textId="3DE69AB9"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vertAlign w:val="superscript"/>
                <w:lang w:val="mk-MK"/>
              </w:rPr>
            </w:pPr>
            <w:r w:rsidRPr="00C149AB">
              <w:rPr>
                <w:rFonts w:ascii="Arial" w:hAnsi="Arial" w:cs="Arial"/>
                <w:sz w:val="18"/>
                <w:szCs w:val="20"/>
              </w:rPr>
              <w:t>2029</w:t>
            </w:r>
            <w:r w:rsidR="00C232D7" w:rsidRPr="00C149AB">
              <w:rPr>
                <w:rFonts w:ascii="Arial" w:hAnsi="Arial" w:cs="Arial"/>
                <w:sz w:val="18"/>
                <w:szCs w:val="20"/>
                <w:lang w:val="mk-MK"/>
              </w:rPr>
              <w:t xml:space="preserve">: 5.584 t/god </w:t>
            </w:r>
            <w:r w:rsidR="00A679ED" w:rsidRPr="00C149AB">
              <w:rPr>
                <w:rFonts w:ascii="Arial" w:hAnsi="Arial" w:cs="Arial"/>
                <w:sz w:val="18"/>
                <w:szCs w:val="20"/>
              </w:rPr>
              <w:t>(</w:t>
            </w:r>
            <w:r w:rsidR="00C232D7" w:rsidRPr="00C149AB">
              <w:rPr>
                <w:rFonts w:ascii="Arial" w:hAnsi="Arial" w:cs="Arial"/>
                <w:sz w:val="18"/>
                <w:szCs w:val="20"/>
              </w:rPr>
              <w:t xml:space="preserve">1.6% </w:t>
            </w:r>
            <w:r w:rsidR="00C232D7" w:rsidRPr="00C149AB">
              <w:rPr>
                <w:rFonts w:ascii="Arial" w:hAnsi="Arial" w:cs="Arial"/>
                <w:sz w:val="18"/>
                <w:szCs w:val="20"/>
                <w:lang w:val="mk-MK"/>
              </w:rPr>
              <w:t>ukupnog otpada)</w:t>
            </w:r>
          </w:p>
        </w:tc>
        <w:tc>
          <w:tcPr>
            <w:tcW w:w="1529" w:type="pct"/>
            <w:shd w:val="clear" w:color="auto" w:fill="auto"/>
            <w:vAlign w:val="center"/>
          </w:tcPr>
          <w:p w14:paraId="5F28BEBC" w14:textId="2185BEDD"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w:t>
            </w:r>
            <w:r w:rsidRPr="00C149AB">
              <w:rPr>
                <w:rFonts w:ascii="Arial" w:hAnsi="Arial" w:cs="Arial"/>
                <w:sz w:val="18"/>
                <w:szCs w:val="20"/>
              </w:rPr>
              <w:t>5</w:t>
            </w:r>
            <w:r w:rsidR="00A679ED" w:rsidRPr="00C149AB">
              <w:rPr>
                <w:rFonts w:ascii="Arial" w:hAnsi="Arial" w:cs="Arial"/>
                <w:sz w:val="18"/>
                <w:szCs w:val="20"/>
                <w:lang w:val="mk-MK"/>
              </w:rPr>
              <w:t>.624 t/god (</w:t>
            </w:r>
            <w:r w:rsidRPr="00C149AB">
              <w:rPr>
                <w:rFonts w:ascii="Arial" w:hAnsi="Arial" w:cs="Arial"/>
                <w:sz w:val="18"/>
                <w:szCs w:val="20"/>
                <w:lang w:val="mk-MK"/>
              </w:rPr>
              <w:t>1.6% ukupnog otpada)</w:t>
            </w:r>
          </w:p>
          <w:p w14:paraId="392A126E" w14:textId="3E8A0D17"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C232D7" w:rsidRPr="00C149AB">
              <w:rPr>
                <w:rFonts w:ascii="Arial" w:hAnsi="Arial" w:cs="Arial"/>
                <w:sz w:val="18"/>
                <w:szCs w:val="20"/>
                <w:lang w:val="mk-MK"/>
              </w:rPr>
              <w:t xml:space="preserve">: 5.584 t/god </w:t>
            </w:r>
            <w:r w:rsidR="00A679ED" w:rsidRPr="00C149AB">
              <w:rPr>
                <w:rFonts w:ascii="Arial" w:hAnsi="Arial" w:cs="Arial"/>
                <w:sz w:val="18"/>
                <w:szCs w:val="20"/>
              </w:rPr>
              <w:t>(</w:t>
            </w:r>
            <w:r w:rsidR="00C232D7" w:rsidRPr="00C149AB">
              <w:rPr>
                <w:rFonts w:ascii="Arial" w:hAnsi="Arial" w:cs="Arial"/>
                <w:sz w:val="18"/>
                <w:szCs w:val="20"/>
              </w:rPr>
              <w:t xml:space="preserve">1.6% </w:t>
            </w:r>
            <w:r w:rsidR="00C232D7" w:rsidRPr="00C149AB">
              <w:rPr>
                <w:rFonts w:ascii="Arial" w:hAnsi="Arial" w:cs="Arial"/>
                <w:sz w:val="18"/>
                <w:szCs w:val="20"/>
                <w:lang w:val="mk-MK"/>
              </w:rPr>
              <w:t>ukupnog otpada)</w:t>
            </w:r>
          </w:p>
        </w:tc>
        <w:tc>
          <w:tcPr>
            <w:tcW w:w="762" w:type="pct"/>
            <w:shd w:val="clear" w:color="auto" w:fill="auto"/>
            <w:vAlign w:val="center"/>
          </w:tcPr>
          <w:p w14:paraId="1E11E187"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w:t>
            </w:r>
            <w:r w:rsidRPr="00C149AB">
              <w:rPr>
                <w:rFonts w:ascii="Arial" w:hAnsi="Arial" w:cs="Arial"/>
                <w:sz w:val="18"/>
                <w:szCs w:val="20"/>
              </w:rPr>
              <w:t xml:space="preserve">100% </w:t>
            </w:r>
          </w:p>
          <w:p w14:paraId="2F05AA2C" w14:textId="6FBF23AE"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C232D7" w:rsidRPr="00C149AB">
              <w:rPr>
                <w:rFonts w:ascii="Arial" w:hAnsi="Arial" w:cs="Arial"/>
                <w:sz w:val="18"/>
                <w:szCs w:val="20"/>
                <w:lang w:val="mk-MK"/>
              </w:rPr>
              <w:t>: 100%</w:t>
            </w:r>
          </w:p>
        </w:tc>
      </w:tr>
      <w:tr w:rsidR="00C232D7" w:rsidRPr="00C149AB" w14:paraId="1BBCAC10"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vAlign w:val="center"/>
          </w:tcPr>
          <w:p w14:paraId="4130F745" w14:textId="77777777" w:rsidR="00C232D7" w:rsidRPr="00C149AB" w:rsidRDefault="00C232D7" w:rsidP="00C232D7">
            <w:pPr>
              <w:pStyle w:val="Normal-10pt-Table"/>
              <w:spacing w:line="360" w:lineRule="auto"/>
              <w:jc w:val="both"/>
              <w:rPr>
                <w:rFonts w:ascii="Arial" w:hAnsi="Arial" w:cs="Arial"/>
                <w:sz w:val="18"/>
                <w:szCs w:val="20"/>
                <w:lang w:val="mk-MK"/>
              </w:rPr>
            </w:pPr>
            <w:r w:rsidRPr="00C149AB">
              <w:rPr>
                <w:rFonts w:ascii="Arial" w:hAnsi="Arial" w:cs="Arial"/>
                <w:sz w:val="18"/>
                <w:szCs w:val="20"/>
                <w:lang w:val="sq-AL"/>
              </w:rPr>
              <w:t>Ukupno odvojeno sakupljanje otpada</w:t>
            </w:r>
          </w:p>
        </w:tc>
        <w:tc>
          <w:tcPr>
            <w:tcW w:w="1509" w:type="pct"/>
            <w:shd w:val="clear" w:color="auto" w:fill="auto"/>
            <w:vAlign w:val="center"/>
          </w:tcPr>
          <w:p w14:paraId="0E8AD98D" w14:textId="332708BC"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53.467 t/god </w:t>
            </w:r>
            <w:r w:rsidR="00A679ED" w:rsidRPr="00C149AB">
              <w:rPr>
                <w:rFonts w:ascii="Arial" w:hAnsi="Arial" w:cs="Arial"/>
                <w:sz w:val="18"/>
                <w:szCs w:val="20"/>
              </w:rPr>
              <w:t>(</w:t>
            </w:r>
            <w:r w:rsidRPr="00C149AB">
              <w:rPr>
                <w:rFonts w:ascii="Arial" w:hAnsi="Arial" w:cs="Arial"/>
                <w:sz w:val="18"/>
                <w:szCs w:val="20"/>
              </w:rPr>
              <w:t xml:space="preserve">15.0% </w:t>
            </w:r>
            <w:r w:rsidRPr="00C149AB">
              <w:rPr>
                <w:rFonts w:ascii="Arial" w:hAnsi="Arial" w:cs="Arial"/>
                <w:sz w:val="18"/>
                <w:szCs w:val="20"/>
                <w:lang w:val="mk-MK"/>
              </w:rPr>
              <w:t>ukupnog otpada)</w:t>
            </w:r>
          </w:p>
          <w:p w14:paraId="7FC8B4A2" w14:textId="6D263797"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A679ED" w:rsidRPr="00C149AB">
              <w:rPr>
                <w:rFonts w:ascii="Arial" w:hAnsi="Arial" w:cs="Arial"/>
                <w:sz w:val="18"/>
                <w:szCs w:val="20"/>
                <w:lang w:val="mk-MK"/>
              </w:rPr>
              <w:t>: 75.691 t/god (</w:t>
            </w:r>
            <w:r w:rsidR="00C232D7" w:rsidRPr="00C149AB">
              <w:rPr>
                <w:rFonts w:ascii="Arial" w:hAnsi="Arial" w:cs="Arial"/>
                <w:sz w:val="18"/>
                <w:szCs w:val="20"/>
                <w:lang w:val="mk-MK"/>
              </w:rPr>
              <w:t>21.0% ukupnog otpada)</w:t>
            </w:r>
          </w:p>
        </w:tc>
        <w:tc>
          <w:tcPr>
            <w:tcW w:w="1529" w:type="pct"/>
            <w:shd w:val="clear" w:color="auto" w:fill="auto"/>
            <w:vAlign w:val="center"/>
          </w:tcPr>
          <w:p w14:paraId="51C6B6D1" w14:textId="5E1F6007" w:rsidR="00C232D7" w:rsidRPr="00C149AB" w:rsidRDefault="00A679ED"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2025: 64.165 t t/god (</w:t>
            </w:r>
            <w:r w:rsidR="00C232D7" w:rsidRPr="00C149AB">
              <w:rPr>
                <w:rFonts w:ascii="Arial" w:hAnsi="Arial" w:cs="Arial"/>
                <w:sz w:val="18"/>
                <w:szCs w:val="20"/>
                <w:lang w:val="mk-MK"/>
              </w:rPr>
              <w:t>18% ukupnog otpada)</w:t>
            </w:r>
          </w:p>
          <w:p w14:paraId="4F605574" w14:textId="5A4B71EE" w:rsidR="00C232D7" w:rsidRPr="00C149AB" w:rsidRDefault="00C232D7" w:rsidP="009A0599">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202</w:t>
            </w:r>
            <w:r w:rsidR="009A0599" w:rsidRPr="00C149AB">
              <w:rPr>
                <w:rFonts w:ascii="Arial" w:hAnsi="Arial" w:cs="Arial"/>
                <w:sz w:val="18"/>
                <w:szCs w:val="20"/>
                <w:lang w:val="sr-Latn-ME"/>
              </w:rPr>
              <w:t>9</w:t>
            </w:r>
            <w:r w:rsidRPr="00C149AB">
              <w:rPr>
                <w:rFonts w:ascii="Arial" w:hAnsi="Arial" w:cs="Arial"/>
                <w:sz w:val="18"/>
                <w:szCs w:val="20"/>
                <w:lang w:val="mk-MK"/>
              </w:rPr>
              <w:t xml:space="preserve">: 84.877 t/god </w:t>
            </w:r>
            <w:r w:rsidR="00A679ED" w:rsidRPr="00C149AB">
              <w:rPr>
                <w:rFonts w:ascii="Arial" w:hAnsi="Arial" w:cs="Arial"/>
                <w:sz w:val="18"/>
                <w:szCs w:val="20"/>
              </w:rPr>
              <w:t>(</w:t>
            </w:r>
            <w:r w:rsidRPr="00C149AB">
              <w:rPr>
                <w:rFonts w:ascii="Arial" w:hAnsi="Arial" w:cs="Arial"/>
                <w:sz w:val="18"/>
                <w:szCs w:val="20"/>
              </w:rPr>
              <w:t xml:space="preserve">23% </w:t>
            </w:r>
            <w:r w:rsidRPr="00C149AB">
              <w:rPr>
                <w:rFonts w:ascii="Arial" w:hAnsi="Arial" w:cs="Arial"/>
                <w:sz w:val="18"/>
                <w:szCs w:val="20"/>
                <w:lang w:val="mk-MK"/>
              </w:rPr>
              <w:t>ukupnog otpada)</w:t>
            </w:r>
          </w:p>
        </w:tc>
        <w:tc>
          <w:tcPr>
            <w:tcW w:w="762" w:type="pct"/>
            <w:shd w:val="clear" w:color="auto" w:fill="auto"/>
            <w:vAlign w:val="center"/>
          </w:tcPr>
          <w:p w14:paraId="3DBB21B3"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 xml:space="preserve">2025: </w:t>
            </w:r>
            <w:r w:rsidRPr="00C149AB">
              <w:rPr>
                <w:rFonts w:ascii="Arial" w:hAnsi="Arial" w:cs="Arial"/>
                <w:sz w:val="18"/>
                <w:szCs w:val="20"/>
              </w:rPr>
              <w:t>100%</w:t>
            </w:r>
          </w:p>
          <w:p w14:paraId="4F08B2B5" w14:textId="0E931D94"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rPr>
              <w:t>2029</w:t>
            </w:r>
            <w:r w:rsidR="00C232D7" w:rsidRPr="00C149AB">
              <w:rPr>
                <w:rFonts w:ascii="Arial" w:hAnsi="Arial" w:cs="Arial"/>
                <w:sz w:val="18"/>
                <w:szCs w:val="20"/>
                <w:lang w:val="mk-MK"/>
              </w:rPr>
              <w:t>: 100%</w:t>
            </w:r>
          </w:p>
        </w:tc>
      </w:tr>
    </w:tbl>
    <w:p w14:paraId="3A612110" w14:textId="77777777" w:rsidR="00D33BB9" w:rsidRDefault="00D33BB9" w:rsidP="00C232D7">
      <w:pPr>
        <w:spacing w:before="120" w:after="120" w:line="360" w:lineRule="auto"/>
        <w:rPr>
          <w:rFonts w:ascii="Arial" w:hAnsi="Arial" w:cs="Arial"/>
          <w:lang w:val="sq-AL"/>
        </w:rPr>
      </w:pPr>
    </w:p>
    <w:p w14:paraId="1727167E" w14:textId="77777777" w:rsidR="00C232D7" w:rsidRDefault="00C232D7" w:rsidP="00C232D7">
      <w:pPr>
        <w:spacing w:before="120" w:after="120" w:line="360" w:lineRule="auto"/>
        <w:rPr>
          <w:rFonts w:ascii="Arial" w:hAnsi="Arial" w:cs="Arial"/>
          <w:lang w:val="sq-AL"/>
        </w:rPr>
      </w:pPr>
      <w:r w:rsidRPr="002A6F4E">
        <w:rPr>
          <w:rFonts w:ascii="Arial" w:hAnsi="Arial" w:cs="Arial"/>
          <w:lang w:val="sq-AL"/>
        </w:rPr>
        <w:t>Kao što je prikazano u gornjoj tabeli, opcija VI predstavlja nedostatke u ciljevima koji se odnose na  odvojeno sakupljanje otpada.</w:t>
      </w:r>
    </w:p>
    <w:p w14:paraId="3B3E2F04" w14:textId="77777777" w:rsidR="00D33BB9" w:rsidRDefault="00D33BB9" w:rsidP="00C232D7">
      <w:pPr>
        <w:spacing w:before="120" w:after="120" w:line="360" w:lineRule="auto"/>
        <w:rPr>
          <w:rFonts w:ascii="Arial" w:hAnsi="Arial" w:cs="Arial"/>
          <w:lang w:val="sq-AL"/>
        </w:rPr>
      </w:pPr>
    </w:p>
    <w:p w14:paraId="5B9E7BE0" w14:textId="77777777" w:rsidR="00D33BB9" w:rsidRDefault="00D33BB9" w:rsidP="00C232D7">
      <w:pPr>
        <w:spacing w:before="120" w:after="120" w:line="360" w:lineRule="auto"/>
        <w:rPr>
          <w:rFonts w:ascii="Arial" w:hAnsi="Arial" w:cs="Arial"/>
          <w:lang w:val="sq-AL"/>
        </w:rPr>
      </w:pPr>
    </w:p>
    <w:p w14:paraId="6A032EE4" w14:textId="77777777" w:rsidR="00D33BB9" w:rsidRDefault="00D33BB9" w:rsidP="00C232D7">
      <w:pPr>
        <w:spacing w:before="120" w:after="120" w:line="360" w:lineRule="auto"/>
        <w:rPr>
          <w:rFonts w:ascii="Arial" w:hAnsi="Arial" w:cs="Arial"/>
          <w:lang w:val="sq-AL"/>
        </w:rPr>
      </w:pPr>
    </w:p>
    <w:p w14:paraId="172ADDF6" w14:textId="77777777" w:rsidR="00D33BB9" w:rsidRDefault="00D33BB9" w:rsidP="00C232D7">
      <w:pPr>
        <w:spacing w:before="120" w:after="120" w:line="360" w:lineRule="auto"/>
        <w:rPr>
          <w:rFonts w:ascii="Arial" w:hAnsi="Arial" w:cs="Arial"/>
          <w:lang w:val="sq-AL"/>
        </w:rPr>
      </w:pPr>
    </w:p>
    <w:p w14:paraId="6291E6E1" w14:textId="77777777" w:rsidR="00D33BB9" w:rsidRDefault="00D33BB9" w:rsidP="00C232D7">
      <w:pPr>
        <w:spacing w:before="120" w:after="120" w:line="360" w:lineRule="auto"/>
        <w:rPr>
          <w:rFonts w:ascii="Arial" w:hAnsi="Arial" w:cs="Arial"/>
          <w:lang w:val="sq-AL"/>
        </w:rPr>
      </w:pPr>
    </w:p>
    <w:p w14:paraId="12532EA4" w14:textId="77777777" w:rsidR="00D33BB9" w:rsidRPr="002A6F4E" w:rsidRDefault="00D33BB9" w:rsidP="00C232D7">
      <w:pPr>
        <w:spacing w:before="120" w:after="120" w:line="360" w:lineRule="auto"/>
        <w:rPr>
          <w:rFonts w:ascii="Arial" w:hAnsi="Arial" w:cs="Arial"/>
          <w:lang w:val="sq-AL"/>
        </w:rPr>
      </w:pPr>
    </w:p>
    <w:p w14:paraId="51969127" w14:textId="6D7A7CBA" w:rsidR="00C232D7" w:rsidRPr="002A6F4E" w:rsidRDefault="00C232D7" w:rsidP="00C232D7">
      <w:pPr>
        <w:shd w:val="clear" w:color="auto" w:fill="D9D9D9" w:themeFill="background1" w:themeFillShade="D9"/>
        <w:spacing w:before="120" w:after="120" w:line="360" w:lineRule="auto"/>
        <w:rPr>
          <w:rFonts w:ascii="Arial" w:hAnsi="Arial" w:cs="Arial"/>
          <w:b/>
          <w:i/>
          <w:lang w:val="sq-AL"/>
        </w:rPr>
      </w:pPr>
      <w:r w:rsidRPr="002A6F4E">
        <w:rPr>
          <w:rFonts w:ascii="Arial" w:hAnsi="Arial" w:cs="Arial"/>
          <w:b/>
          <w:i/>
          <w:lang w:val="sq-AL"/>
        </w:rPr>
        <w:lastRenderedPageBreak/>
        <w:t>Opcija VII: Razvoj odvojenog sakupljanja stakla, papira/kartona, plastika/metala i  biorazgradivog otpada u sistemu dovoza otpada</w:t>
      </w:r>
    </w:p>
    <w:p w14:paraId="184B538C" w14:textId="77777777" w:rsidR="00C232D7" w:rsidRPr="002A6F4E" w:rsidRDefault="00C232D7" w:rsidP="00C232D7">
      <w:pPr>
        <w:spacing w:before="120" w:after="120" w:line="360" w:lineRule="auto"/>
        <w:rPr>
          <w:rFonts w:ascii="Arial" w:hAnsi="Arial" w:cs="Arial"/>
          <w:color w:val="000000"/>
          <w:lang w:val="sq-AL"/>
        </w:rPr>
      </w:pPr>
      <w:r w:rsidRPr="002A6F4E">
        <w:rPr>
          <w:rFonts w:ascii="Arial" w:hAnsi="Arial" w:cs="Arial"/>
          <w:color w:val="000000"/>
          <w:lang w:val="sq-AL"/>
        </w:rPr>
        <w:t>Opcija VII se sastoji od sljedećih elemenata:</w:t>
      </w:r>
    </w:p>
    <w:p w14:paraId="1CD0D530" w14:textId="0F0FE974"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Proširenje sistema sakupljanja otpada kako bi se obuhvatilo </w:t>
      </w:r>
      <w:r w:rsidR="00E03C47">
        <w:rPr>
          <w:rFonts w:ascii="Arial" w:hAnsi="Arial" w:cs="Arial"/>
          <w:color w:val="000000"/>
          <w:lang w:val="sq-AL"/>
        </w:rPr>
        <w:t>cjelokupno</w:t>
      </w:r>
      <w:r w:rsidR="00E03C47" w:rsidRPr="002A6F4E">
        <w:rPr>
          <w:rFonts w:ascii="Arial" w:hAnsi="Arial" w:cs="Arial"/>
          <w:color w:val="000000"/>
          <w:lang w:val="sq-AL"/>
        </w:rPr>
        <w:t xml:space="preserve"> </w:t>
      </w:r>
      <w:r w:rsidRPr="002A6F4E">
        <w:rPr>
          <w:rFonts w:ascii="Arial" w:hAnsi="Arial" w:cs="Arial"/>
          <w:color w:val="000000"/>
          <w:lang w:val="sq-AL"/>
        </w:rPr>
        <w:t>stanovništvo Crne Gore;</w:t>
      </w:r>
    </w:p>
    <w:p w14:paraId="128F562D" w14:textId="47A3D055"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Frakcije otpada papir/karton i plastika/metal sakupljaju se odvojeno u kontejnere zapremine 1,1 </w:t>
      </w:r>
      <w:r w:rsidRPr="002A6F4E">
        <w:rPr>
          <w:rFonts w:ascii="Arial" w:hAnsi="Arial" w:cs="Arial"/>
          <w:lang w:val="sq-AL"/>
        </w:rPr>
        <w:t>m</w:t>
      </w:r>
      <w:r w:rsidRPr="002A6F4E">
        <w:rPr>
          <w:rFonts w:ascii="Arial" w:hAnsi="Arial" w:cs="Arial"/>
          <w:vertAlign w:val="superscript"/>
          <w:lang w:val="sq-AL"/>
        </w:rPr>
        <w:t>3</w:t>
      </w:r>
      <w:r w:rsidR="00A66C84">
        <w:rPr>
          <w:rFonts w:ascii="Arial" w:hAnsi="Arial" w:cs="Arial"/>
          <w:lang w:val="sq-AL"/>
        </w:rPr>
        <w:t>;</w:t>
      </w:r>
      <w:r w:rsidRPr="002A6F4E">
        <w:rPr>
          <w:rFonts w:ascii="Arial" w:hAnsi="Arial" w:cs="Arial"/>
          <w:color w:val="000000"/>
          <w:lang w:val="sq-AL"/>
        </w:rPr>
        <w:t xml:space="preserve">a zatim se odvozi u postojeća i nova MRF postrojenja koja će se </w:t>
      </w:r>
      <w:r w:rsidR="00A66C84">
        <w:rPr>
          <w:rFonts w:ascii="Arial" w:hAnsi="Arial" w:cs="Arial"/>
          <w:color w:val="000000"/>
          <w:lang w:val="sq-AL"/>
        </w:rPr>
        <w:t>izgraditi</w:t>
      </w:r>
      <w:r w:rsidRPr="002A6F4E">
        <w:rPr>
          <w:rFonts w:ascii="Arial" w:hAnsi="Arial" w:cs="Arial"/>
          <w:color w:val="000000"/>
          <w:lang w:val="sq-AL"/>
        </w:rPr>
        <w:t xml:space="preserve"> (vidjeti sljedeća poglavlja);</w:t>
      </w:r>
    </w:p>
    <w:p w14:paraId="1FE9B79E" w14:textId="727C20A5"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Staklo se sakuplja u zvonaste kontejnere zapremine  2,5 </w:t>
      </w:r>
      <w:r w:rsidRPr="002A6F4E">
        <w:rPr>
          <w:rFonts w:ascii="Arial" w:hAnsi="Arial" w:cs="Arial"/>
          <w:lang w:val="sq-AL"/>
        </w:rPr>
        <w:t>m</w:t>
      </w:r>
      <w:r w:rsidRPr="002A6F4E">
        <w:rPr>
          <w:rFonts w:ascii="Arial" w:hAnsi="Arial" w:cs="Arial"/>
          <w:vertAlign w:val="superscript"/>
          <w:lang w:val="sq-AL"/>
        </w:rPr>
        <w:t>3</w:t>
      </w:r>
      <w:r w:rsidR="00A66C84">
        <w:rPr>
          <w:rFonts w:ascii="Arial" w:hAnsi="Arial" w:cs="Arial"/>
          <w:lang w:val="sq-AL"/>
        </w:rPr>
        <w:t>,</w:t>
      </w:r>
      <w:r w:rsidRPr="002A6F4E">
        <w:rPr>
          <w:rFonts w:ascii="Arial" w:hAnsi="Arial" w:cs="Arial"/>
          <w:vertAlign w:val="superscript"/>
          <w:lang w:val="sq-AL"/>
        </w:rPr>
        <w:t xml:space="preserve"> </w:t>
      </w:r>
      <w:r w:rsidRPr="002A6F4E">
        <w:rPr>
          <w:rFonts w:ascii="Arial" w:hAnsi="Arial" w:cs="Arial"/>
          <w:color w:val="000000"/>
          <w:lang w:val="sq-AL"/>
        </w:rPr>
        <w:t>a zatim se direktno odvozi na recikl</w:t>
      </w:r>
      <w:r w:rsidR="00A66C84">
        <w:rPr>
          <w:rFonts w:ascii="Arial" w:hAnsi="Arial" w:cs="Arial"/>
          <w:color w:val="000000"/>
          <w:lang w:val="sq-AL"/>
        </w:rPr>
        <w:t>iranje;</w:t>
      </w:r>
    </w:p>
    <w:p w14:paraId="6435F5DF" w14:textId="78E54A45"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lang w:val="sq-AL"/>
        </w:rPr>
        <w:t>Odvojeno sakupljanje drveta će biti odgovornost proizvođača/trgovaca i transportova</w:t>
      </w:r>
      <w:r w:rsidR="00A66C84">
        <w:rPr>
          <w:rFonts w:ascii="Arial" w:hAnsi="Arial" w:cs="Arial"/>
          <w:lang w:val="sq-AL"/>
        </w:rPr>
        <w:t>će se</w:t>
      </w:r>
      <w:r w:rsidRPr="002A6F4E">
        <w:rPr>
          <w:rFonts w:ascii="Arial" w:hAnsi="Arial" w:cs="Arial"/>
          <w:lang w:val="sq-AL"/>
        </w:rPr>
        <w:t xml:space="preserve"> do reciklera preko predloženih Centara za sakupljanje otpada;</w:t>
      </w:r>
    </w:p>
    <w:p w14:paraId="0526652D" w14:textId="53A637EB" w:rsidR="00C232D7" w:rsidRPr="002A6F4E" w:rsidRDefault="00C232D7" w:rsidP="00A23ED0">
      <w:pPr>
        <w:pStyle w:val="ListParagraph"/>
        <w:numPr>
          <w:ilvl w:val="0"/>
          <w:numId w:val="42"/>
        </w:numPr>
        <w:spacing w:before="120" w:after="120" w:line="360" w:lineRule="auto"/>
        <w:contextualSpacing w:val="0"/>
        <w:rPr>
          <w:rFonts w:ascii="Arial" w:hAnsi="Arial" w:cs="Arial"/>
          <w:lang w:val="sq-AL"/>
        </w:rPr>
      </w:pPr>
      <w:r w:rsidRPr="002A6F4E">
        <w:rPr>
          <w:rFonts w:ascii="Arial" w:hAnsi="Arial" w:cs="Arial"/>
          <w:lang w:val="sq-AL"/>
        </w:rPr>
        <w:t>Biootpad (otpad iz kuhinje, pijaca i sl. bez zelenog otpada) sakuplja se u kontejnere zapremine od 1,1 m</w:t>
      </w:r>
      <w:r w:rsidRPr="002A6F4E">
        <w:rPr>
          <w:rFonts w:ascii="Arial" w:hAnsi="Arial" w:cs="Arial"/>
          <w:vertAlign w:val="superscript"/>
          <w:lang w:val="sq-AL"/>
        </w:rPr>
        <w:t>3</w:t>
      </w:r>
      <w:r w:rsidRPr="002A6F4E">
        <w:rPr>
          <w:rFonts w:ascii="Arial" w:hAnsi="Arial" w:cs="Arial"/>
          <w:lang w:val="sq-AL"/>
        </w:rPr>
        <w:t xml:space="preserve">, a zatim se prosleđuje postojećim i novim postrojenjima za kompostiranje koja će se </w:t>
      </w:r>
      <w:r w:rsidR="00A66C84">
        <w:rPr>
          <w:rFonts w:ascii="Arial" w:hAnsi="Arial" w:cs="Arial"/>
          <w:lang w:val="sq-AL"/>
        </w:rPr>
        <w:t>izgraditi</w:t>
      </w:r>
      <w:r w:rsidR="00A66C84" w:rsidRPr="002A6F4E">
        <w:rPr>
          <w:rFonts w:ascii="Arial" w:hAnsi="Arial" w:cs="Arial"/>
          <w:lang w:val="sq-AL"/>
        </w:rPr>
        <w:t xml:space="preserve"> </w:t>
      </w:r>
      <w:r w:rsidRPr="002A6F4E">
        <w:rPr>
          <w:rFonts w:ascii="Arial" w:hAnsi="Arial" w:cs="Arial"/>
          <w:color w:val="000000"/>
          <w:lang w:val="sq-AL"/>
        </w:rPr>
        <w:t>(vidjeti sljedeća poglavlja);</w:t>
      </w:r>
    </w:p>
    <w:p w14:paraId="2D0417CF" w14:textId="0C105B13"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Zeleni otpad se sakuplja u većim količinama, korišćenjem otvorenih kipera zapremine </w:t>
      </w:r>
      <w:r w:rsidRPr="002A6F4E">
        <w:rPr>
          <w:rFonts w:ascii="Arial" w:hAnsi="Arial" w:cs="Arial"/>
          <w:lang w:val="sq-AL"/>
        </w:rPr>
        <w:t>6m</w:t>
      </w:r>
      <w:r w:rsidRPr="002A6F4E">
        <w:rPr>
          <w:rFonts w:ascii="Arial" w:hAnsi="Arial" w:cs="Arial"/>
          <w:vertAlign w:val="superscript"/>
          <w:lang w:val="sq-AL"/>
        </w:rPr>
        <w:t>3</w:t>
      </w:r>
      <w:r w:rsidR="00A66C84">
        <w:rPr>
          <w:rFonts w:ascii="Arial" w:hAnsi="Arial" w:cs="Arial"/>
          <w:lang w:val="sq-AL"/>
        </w:rPr>
        <w:t>;</w:t>
      </w:r>
      <w:r w:rsidRPr="002A6F4E">
        <w:rPr>
          <w:rFonts w:ascii="Arial" w:hAnsi="Arial" w:cs="Arial"/>
          <w:lang w:val="sq-AL"/>
        </w:rPr>
        <w:t xml:space="preserve"> </w:t>
      </w:r>
      <w:r w:rsidRPr="002A6F4E">
        <w:rPr>
          <w:rFonts w:ascii="Arial" w:hAnsi="Arial" w:cs="Arial"/>
          <w:color w:val="000000"/>
          <w:lang w:val="sq-AL"/>
        </w:rPr>
        <w:t xml:space="preserve">a zatim se odvozi u postojeća i nova postrojenja za kompostiranje koja će se </w:t>
      </w:r>
      <w:r w:rsidR="00A66C84">
        <w:rPr>
          <w:rFonts w:ascii="Arial" w:hAnsi="Arial" w:cs="Arial"/>
          <w:color w:val="000000"/>
          <w:lang w:val="sq-AL"/>
        </w:rPr>
        <w:t>izgraditi</w:t>
      </w:r>
      <w:r w:rsidRPr="002A6F4E">
        <w:rPr>
          <w:rFonts w:ascii="Arial" w:hAnsi="Arial" w:cs="Arial"/>
          <w:color w:val="000000"/>
          <w:lang w:val="sq-AL"/>
        </w:rPr>
        <w:t xml:space="preserve"> (vidjeti sljedeća poglavlja);</w:t>
      </w:r>
    </w:p>
    <w:p w14:paraId="11123D57" w14:textId="6A82AEA2"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Rezidualni otpad se </w:t>
      </w:r>
      <w:r w:rsidR="00A66C84">
        <w:rPr>
          <w:rFonts w:ascii="Arial" w:hAnsi="Arial" w:cs="Arial"/>
          <w:color w:val="000000"/>
          <w:lang w:val="sq-AL"/>
        </w:rPr>
        <w:t>sa</w:t>
      </w:r>
      <w:r w:rsidRPr="002A6F4E">
        <w:rPr>
          <w:rFonts w:ascii="Arial" w:hAnsi="Arial" w:cs="Arial"/>
          <w:color w:val="000000"/>
          <w:lang w:val="sq-AL"/>
        </w:rPr>
        <w:t>kuplja u sistemu za dovoz otpada koji se trenutno primjenjuje;</w:t>
      </w:r>
    </w:p>
    <w:p w14:paraId="03C7DD9E" w14:textId="327268AD" w:rsidR="00C232D7" w:rsidRPr="002A6F4E" w:rsidRDefault="00C232D7"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Otpad će se odlagati na postojeće i nove deponije koje će se izgraditi (vidjeti sljedeća poglavlja).</w:t>
      </w:r>
    </w:p>
    <w:p w14:paraId="258DB3EB" w14:textId="0CB3F432" w:rsidR="00C232D7" w:rsidRPr="002A6F4E" w:rsidRDefault="00C232D7" w:rsidP="00C232D7">
      <w:pPr>
        <w:spacing w:before="120" w:after="120" w:line="360" w:lineRule="auto"/>
        <w:rPr>
          <w:rFonts w:ascii="Arial" w:hAnsi="Arial" w:cs="Arial"/>
          <w:highlight w:val="cyan"/>
          <w:lang w:val="sq-AL"/>
        </w:rPr>
      </w:pPr>
      <w:r w:rsidRPr="002A6F4E">
        <w:rPr>
          <w:rFonts w:ascii="Arial" w:hAnsi="Arial" w:cs="Arial"/>
          <w:lang w:val="sq-AL"/>
        </w:rPr>
        <w:t xml:space="preserve">Na sljedećoj slici prikazan je tok upravljanja otpadom </w:t>
      </w:r>
      <w:r w:rsidR="001A1D01">
        <w:rPr>
          <w:rFonts w:ascii="Arial" w:hAnsi="Arial" w:cs="Arial"/>
          <w:lang w:val="sq-AL"/>
        </w:rPr>
        <w:t xml:space="preserve">u količinama </w:t>
      </w:r>
      <w:r w:rsidRPr="002A6F4E">
        <w:rPr>
          <w:rFonts w:ascii="Arial" w:hAnsi="Arial" w:cs="Arial"/>
          <w:lang w:val="sq-AL"/>
        </w:rPr>
        <w:t xml:space="preserve">prema opciji VII </w:t>
      </w:r>
      <w:r w:rsidR="001A1D01">
        <w:rPr>
          <w:rFonts w:ascii="Arial" w:hAnsi="Arial" w:cs="Arial"/>
          <w:lang w:val="sq-AL"/>
        </w:rPr>
        <w:t xml:space="preserve">za </w:t>
      </w:r>
      <w:r w:rsidR="00B40E88" w:rsidRPr="002A6F4E">
        <w:rPr>
          <w:rFonts w:ascii="Arial" w:hAnsi="Arial" w:cs="Arial"/>
          <w:lang w:val="sq-AL"/>
        </w:rPr>
        <w:t>2029</w:t>
      </w:r>
      <w:r w:rsidRPr="002A6F4E">
        <w:rPr>
          <w:rFonts w:ascii="Arial" w:hAnsi="Arial" w:cs="Arial"/>
          <w:lang w:val="sq-AL"/>
        </w:rPr>
        <w:t xml:space="preserve">. godinu. </w:t>
      </w:r>
    </w:p>
    <w:p w14:paraId="08DF88E7" w14:textId="6A2676EF" w:rsidR="00A72866"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U tabelama u nastavku sumirane su  indikativne dodatne potrebe za opremom za sakupljanje otpada na nivou zemlje. Napominje se da se tačan broj potrebnih </w:t>
      </w:r>
      <w:r w:rsidR="007B1545">
        <w:rPr>
          <w:rFonts w:ascii="Arial" w:hAnsi="Arial" w:cs="Arial"/>
          <w:lang w:val="sq-AL"/>
        </w:rPr>
        <w:t>posuda</w:t>
      </w:r>
      <w:r w:rsidRPr="002A6F4E">
        <w:rPr>
          <w:rFonts w:ascii="Arial" w:hAnsi="Arial" w:cs="Arial"/>
          <w:lang w:val="sq-AL"/>
        </w:rPr>
        <w:t>, kontejnera i vozila odnosi na sistem sakupljanja otpada i raspored koji će se sprovoditi, kao i za potr</w:t>
      </w:r>
      <w:r w:rsidR="00292162">
        <w:rPr>
          <w:rFonts w:ascii="Arial" w:hAnsi="Arial" w:cs="Arial"/>
          <w:lang w:val="sq-AL"/>
        </w:rPr>
        <w:t xml:space="preserve">ebe zamijene postojećih </w:t>
      </w:r>
      <w:r w:rsidR="007B1545">
        <w:rPr>
          <w:rFonts w:ascii="Arial" w:hAnsi="Arial" w:cs="Arial"/>
          <w:lang w:val="sq-AL"/>
        </w:rPr>
        <w:t>posuda</w:t>
      </w:r>
      <w:r w:rsidR="00292162">
        <w:rPr>
          <w:rFonts w:ascii="Arial" w:hAnsi="Arial" w:cs="Arial"/>
          <w:lang w:val="sq-AL"/>
        </w:rPr>
        <w:t>.</w:t>
      </w:r>
    </w:p>
    <w:p w14:paraId="3F74BB19" w14:textId="1E7D38C1" w:rsidR="00C232D7" w:rsidRPr="00C149AB" w:rsidRDefault="00C232D7" w:rsidP="00C232D7">
      <w:pPr>
        <w:pStyle w:val="Caption"/>
        <w:rPr>
          <w:rFonts w:ascii="Arial" w:hAnsi="Arial" w:cs="Arial"/>
          <w:b w:val="0"/>
          <w:lang w:val="sq-AL"/>
        </w:rPr>
      </w:pPr>
      <w:bookmarkStart w:id="1076" w:name="_Toc124238286"/>
      <w:bookmarkStart w:id="1077" w:name="_Toc189515655"/>
      <w:bookmarkStart w:id="1078" w:name="_Toc190160773"/>
      <w:r w:rsidRPr="00C149AB">
        <w:rPr>
          <w:rFonts w:ascii="Arial" w:hAnsi="Arial" w:cs="Arial"/>
          <w:b w:val="0"/>
          <w:lang w:val="sq-AL"/>
        </w:rPr>
        <w:t xml:space="preserve">Tabela </w:t>
      </w:r>
      <w:r w:rsidRPr="00C149AB">
        <w:rPr>
          <w:rFonts w:ascii="Arial" w:hAnsi="Arial" w:cs="Arial"/>
          <w:b w:val="0"/>
        </w:rPr>
        <w:fldChar w:fldCharType="begin"/>
      </w:r>
      <w:r w:rsidRPr="00C149AB">
        <w:rPr>
          <w:rFonts w:ascii="Arial" w:hAnsi="Arial" w:cs="Arial"/>
          <w:b w:val="0"/>
          <w:lang w:val="sq-AL"/>
        </w:rPr>
        <w:instrText xml:space="preserve"> SEQ Tabela \* ARABIC </w:instrText>
      </w:r>
      <w:r w:rsidRPr="00C149AB">
        <w:rPr>
          <w:rFonts w:ascii="Arial" w:hAnsi="Arial" w:cs="Arial"/>
          <w:b w:val="0"/>
        </w:rPr>
        <w:fldChar w:fldCharType="separate"/>
      </w:r>
      <w:r w:rsidR="007274DA">
        <w:rPr>
          <w:rFonts w:ascii="Arial" w:hAnsi="Arial" w:cs="Arial"/>
          <w:b w:val="0"/>
          <w:noProof/>
          <w:lang w:val="sq-AL"/>
        </w:rPr>
        <w:t>79</w:t>
      </w:r>
      <w:r w:rsidRPr="00C149AB">
        <w:rPr>
          <w:rFonts w:ascii="Arial" w:hAnsi="Arial" w:cs="Arial"/>
          <w:b w:val="0"/>
        </w:rPr>
        <w:fldChar w:fldCharType="end"/>
      </w:r>
      <w:r w:rsidRPr="00C149AB">
        <w:rPr>
          <w:rFonts w:ascii="Arial" w:hAnsi="Arial" w:cs="Arial"/>
          <w:b w:val="0"/>
          <w:lang w:val="sq-AL"/>
        </w:rPr>
        <w:t xml:space="preserve"> Broj dodatnih </w:t>
      </w:r>
      <w:r w:rsidR="007B1545" w:rsidRPr="00C149AB">
        <w:rPr>
          <w:rFonts w:ascii="Arial" w:hAnsi="Arial" w:cs="Arial"/>
          <w:b w:val="0"/>
          <w:lang w:val="sq-AL"/>
        </w:rPr>
        <w:t>posuda</w:t>
      </w:r>
      <w:r w:rsidRPr="00C149AB">
        <w:rPr>
          <w:rFonts w:ascii="Arial" w:hAnsi="Arial" w:cs="Arial"/>
          <w:b w:val="0"/>
          <w:lang w:val="sq-AL"/>
        </w:rPr>
        <w:t>/kontejnera neophodnih za opciju VI</w:t>
      </w:r>
      <w:bookmarkEnd w:id="1076"/>
      <w:r w:rsidRPr="00C149AB">
        <w:rPr>
          <w:rFonts w:ascii="Arial" w:hAnsi="Arial" w:cs="Arial"/>
          <w:b w:val="0"/>
          <w:lang w:val="sq-AL"/>
        </w:rPr>
        <w:t>I</w:t>
      </w:r>
      <w:bookmarkEnd w:id="1077"/>
      <w:bookmarkEnd w:id="1078"/>
      <w:r w:rsidRPr="00C149AB">
        <w:rPr>
          <w:rFonts w:ascii="Arial" w:hAnsi="Arial" w:cs="Arial"/>
          <w:b w:val="0"/>
          <w:lang w:val="sq-AL"/>
        </w:rPr>
        <w:t xml:space="preserve"> </w:t>
      </w:r>
    </w:p>
    <w:tbl>
      <w:tblPr>
        <w:tblW w:w="3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2050"/>
        <w:gridCol w:w="1495"/>
      </w:tblGrid>
      <w:tr w:rsidR="00C232D7" w:rsidRPr="00C149AB" w14:paraId="6609BEEA" w14:textId="77777777" w:rsidTr="00C232D7">
        <w:trPr>
          <w:trHeight w:val="289"/>
          <w:tblHeader/>
          <w:jc w:val="center"/>
        </w:trPr>
        <w:tc>
          <w:tcPr>
            <w:tcW w:w="2333"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C3A8824" w14:textId="3B6F7245" w:rsidR="00C232D7" w:rsidRPr="00C149AB" w:rsidRDefault="00C232D7"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lang w:val="sq-AL"/>
              </w:rPr>
              <w:t xml:space="preserve">Vrsta </w:t>
            </w:r>
            <w:r w:rsidR="005C4A0C" w:rsidRPr="00C149AB">
              <w:rPr>
                <w:rFonts w:ascii="Arial" w:hAnsi="Arial" w:cs="Arial"/>
                <w:b/>
                <w:bCs/>
                <w:color w:val="000000"/>
                <w:sz w:val="18"/>
                <w:szCs w:val="18"/>
                <w:lang w:val="sq-AL"/>
              </w:rPr>
              <w:t>posude</w:t>
            </w:r>
            <w:r w:rsidRPr="00C149AB">
              <w:rPr>
                <w:rFonts w:ascii="Arial" w:hAnsi="Arial" w:cs="Arial"/>
                <w:b/>
                <w:bCs/>
                <w:color w:val="000000"/>
                <w:sz w:val="18"/>
                <w:szCs w:val="18"/>
                <w:lang w:val="sq-AL"/>
              </w:rPr>
              <w:t>/kontejnera</w:t>
            </w:r>
          </w:p>
        </w:tc>
        <w:tc>
          <w:tcPr>
            <w:tcW w:w="2667"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6C85DA04" w14:textId="15147A33" w:rsidR="00C232D7" w:rsidRPr="00C149AB" w:rsidRDefault="00B40E88"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lang w:val="sq-AL"/>
              </w:rPr>
              <w:t>2029</w:t>
            </w:r>
          </w:p>
        </w:tc>
      </w:tr>
      <w:tr w:rsidR="00C232D7" w:rsidRPr="00C149AB" w14:paraId="04C17655" w14:textId="77777777" w:rsidTr="00C232D7">
        <w:trPr>
          <w:trHeight w:val="289"/>
          <w:tblHeader/>
          <w:jc w:val="center"/>
        </w:trPr>
        <w:tc>
          <w:tcPr>
            <w:tcW w:w="2333" w:type="pct"/>
            <w:vMerge/>
            <w:tcBorders>
              <w:top w:val="single" w:sz="4" w:space="0" w:color="auto"/>
              <w:left w:val="single" w:sz="4" w:space="0" w:color="auto"/>
              <w:bottom w:val="single" w:sz="4" w:space="0" w:color="auto"/>
              <w:right w:val="single" w:sz="4" w:space="0" w:color="auto"/>
            </w:tcBorders>
            <w:vAlign w:val="center"/>
          </w:tcPr>
          <w:p w14:paraId="1EEE13C4" w14:textId="77777777" w:rsidR="00C232D7" w:rsidRPr="00C149AB" w:rsidRDefault="00C232D7" w:rsidP="00C232D7">
            <w:pPr>
              <w:spacing w:before="60" w:after="60" w:line="360" w:lineRule="auto"/>
              <w:rPr>
                <w:rFonts w:ascii="Arial" w:eastAsia="Times New Roman" w:hAnsi="Arial" w:cs="Arial"/>
                <w:b/>
                <w:bCs/>
                <w:color w:val="000000"/>
                <w:sz w:val="18"/>
                <w:szCs w:val="18"/>
                <w:lang w:val="sq-AL"/>
              </w:rPr>
            </w:pPr>
          </w:p>
        </w:tc>
        <w:tc>
          <w:tcPr>
            <w:tcW w:w="154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E790A3D" w14:textId="77777777" w:rsidR="00C232D7" w:rsidRPr="00C149AB" w:rsidRDefault="00C232D7"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lang w:val="sq-AL"/>
              </w:rPr>
              <w:t>Rezidualni otpad</w:t>
            </w:r>
          </w:p>
        </w:tc>
        <w:tc>
          <w:tcPr>
            <w:tcW w:w="11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A9D4D" w14:textId="77777777" w:rsidR="00C232D7" w:rsidRPr="00C149AB" w:rsidRDefault="00C232D7"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lang w:val="sq-AL"/>
              </w:rPr>
              <w:t>Otpad koji se može reciklirati</w:t>
            </w:r>
          </w:p>
        </w:tc>
      </w:tr>
      <w:tr w:rsidR="00C232D7" w:rsidRPr="00C149AB" w14:paraId="27694CC8" w14:textId="77777777" w:rsidTr="00C232D7">
        <w:trPr>
          <w:trHeight w:val="313"/>
          <w:jc w:val="center"/>
        </w:trPr>
        <w:tc>
          <w:tcPr>
            <w:tcW w:w="2333" w:type="pct"/>
            <w:tcBorders>
              <w:top w:val="single" w:sz="4" w:space="0" w:color="auto"/>
              <w:left w:val="single" w:sz="4" w:space="0" w:color="auto"/>
              <w:bottom w:val="single" w:sz="4" w:space="0" w:color="auto"/>
              <w:right w:val="single" w:sz="4" w:space="0" w:color="auto"/>
            </w:tcBorders>
            <w:noWrap/>
          </w:tcPr>
          <w:p w14:paraId="0CE548F7"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lang w:val="sq-AL"/>
              </w:rPr>
              <w:t>Zapremine 1.1 m</w:t>
            </w:r>
            <w:r w:rsidRPr="00C149AB">
              <w:rPr>
                <w:rFonts w:ascii="Arial" w:hAnsi="Arial" w:cs="Arial"/>
                <w:color w:val="000000"/>
                <w:sz w:val="18"/>
                <w:szCs w:val="18"/>
                <w:vertAlign w:val="superscript"/>
                <w:lang w:val="sq-AL"/>
              </w:rPr>
              <w:t>3</w:t>
            </w:r>
          </w:p>
        </w:tc>
        <w:tc>
          <w:tcPr>
            <w:tcW w:w="1542" w:type="pct"/>
            <w:tcBorders>
              <w:top w:val="single" w:sz="4" w:space="0" w:color="auto"/>
              <w:left w:val="single" w:sz="4" w:space="0" w:color="auto"/>
              <w:bottom w:val="single" w:sz="4" w:space="0" w:color="auto"/>
              <w:right w:val="single" w:sz="4" w:space="0" w:color="auto"/>
            </w:tcBorders>
            <w:noWrap/>
            <w:vAlign w:val="bottom"/>
          </w:tcPr>
          <w:p w14:paraId="532CD40B"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rPr>
              <w:t>12.038</w:t>
            </w:r>
          </w:p>
        </w:tc>
        <w:tc>
          <w:tcPr>
            <w:tcW w:w="1125" w:type="pct"/>
            <w:tcBorders>
              <w:top w:val="single" w:sz="4" w:space="0" w:color="auto"/>
              <w:left w:val="single" w:sz="4" w:space="0" w:color="auto"/>
              <w:bottom w:val="single" w:sz="4" w:space="0" w:color="auto"/>
              <w:right w:val="single" w:sz="4" w:space="0" w:color="auto"/>
            </w:tcBorders>
            <w:vAlign w:val="bottom"/>
          </w:tcPr>
          <w:p w14:paraId="79CF7931"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rPr>
              <w:t>8.831</w:t>
            </w:r>
          </w:p>
        </w:tc>
      </w:tr>
      <w:tr w:rsidR="00C232D7" w:rsidRPr="00C149AB" w14:paraId="50050D68" w14:textId="77777777" w:rsidTr="00C232D7">
        <w:trPr>
          <w:trHeight w:val="313"/>
          <w:jc w:val="center"/>
        </w:trPr>
        <w:tc>
          <w:tcPr>
            <w:tcW w:w="2333" w:type="pct"/>
            <w:tcBorders>
              <w:top w:val="single" w:sz="4" w:space="0" w:color="auto"/>
              <w:left w:val="single" w:sz="4" w:space="0" w:color="auto"/>
              <w:bottom w:val="single" w:sz="4" w:space="0" w:color="auto"/>
              <w:right w:val="single" w:sz="4" w:space="0" w:color="auto"/>
            </w:tcBorders>
            <w:noWrap/>
          </w:tcPr>
          <w:p w14:paraId="0DB3516D"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lang w:val="sq-AL"/>
              </w:rPr>
              <w:t>Zapremine 2.5 m</w:t>
            </w:r>
            <w:r w:rsidRPr="00C149AB">
              <w:rPr>
                <w:rFonts w:ascii="Arial" w:hAnsi="Arial" w:cs="Arial"/>
                <w:color w:val="000000"/>
                <w:sz w:val="18"/>
                <w:szCs w:val="18"/>
                <w:vertAlign w:val="superscript"/>
                <w:lang w:val="sq-AL"/>
              </w:rPr>
              <w:t>3</w:t>
            </w:r>
          </w:p>
        </w:tc>
        <w:tc>
          <w:tcPr>
            <w:tcW w:w="1542" w:type="pct"/>
            <w:tcBorders>
              <w:top w:val="single" w:sz="4" w:space="0" w:color="auto"/>
              <w:left w:val="single" w:sz="4" w:space="0" w:color="auto"/>
              <w:bottom w:val="single" w:sz="4" w:space="0" w:color="auto"/>
              <w:right w:val="single" w:sz="4" w:space="0" w:color="auto"/>
            </w:tcBorders>
            <w:noWrap/>
            <w:vAlign w:val="bottom"/>
          </w:tcPr>
          <w:p w14:paraId="334781FD"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rPr>
              <w:t>0</w:t>
            </w:r>
          </w:p>
        </w:tc>
        <w:tc>
          <w:tcPr>
            <w:tcW w:w="1125" w:type="pct"/>
            <w:tcBorders>
              <w:top w:val="single" w:sz="4" w:space="0" w:color="auto"/>
              <w:left w:val="single" w:sz="4" w:space="0" w:color="auto"/>
              <w:bottom w:val="single" w:sz="4" w:space="0" w:color="auto"/>
              <w:right w:val="single" w:sz="4" w:space="0" w:color="auto"/>
            </w:tcBorders>
            <w:vAlign w:val="bottom"/>
          </w:tcPr>
          <w:p w14:paraId="59529403"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rPr>
              <w:t>363</w:t>
            </w:r>
          </w:p>
        </w:tc>
      </w:tr>
      <w:tr w:rsidR="00C232D7" w:rsidRPr="00C149AB" w14:paraId="2B85187A" w14:textId="77777777" w:rsidTr="00C232D7">
        <w:trPr>
          <w:trHeight w:val="289"/>
          <w:jc w:val="center"/>
        </w:trPr>
        <w:tc>
          <w:tcPr>
            <w:tcW w:w="2333" w:type="pct"/>
            <w:tcBorders>
              <w:top w:val="single" w:sz="4" w:space="0" w:color="auto"/>
              <w:left w:val="single" w:sz="4" w:space="0" w:color="auto"/>
              <w:bottom w:val="single" w:sz="4" w:space="0" w:color="auto"/>
              <w:right w:val="single" w:sz="4" w:space="0" w:color="auto"/>
            </w:tcBorders>
            <w:noWrap/>
          </w:tcPr>
          <w:p w14:paraId="6CE03235" w14:textId="77777777" w:rsidR="00C232D7" w:rsidRPr="00C149AB" w:rsidRDefault="00C232D7"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lang w:val="sq-AL"/>
              </w:rPr>
              <w:t>Ukupan broj</w:t>
            </w:r>
          </w:p>
        </w:tc>
        <w:tc>
          <w:tcPr>
            <w:tcW w:w="1542" w:type="pct"/>
            <w:tcBorders>
              <w:top w:val="single" w:sz="4" w:space="0" w:color="auto"/>
              <w:left w:val="single" w:sz="4" w:space="0" w:color="auto"/>
              <w:bottom w:val="single" w:sz="4" w:space="0" w:color="auto"/>
              <w:right w:val="single" w:sz="4" w:space="0" w:color="auto"/>
            </w:tcBorders>
            <w:noWrap/>
            <w:vAlign w:val="bottom"/>
          </w:tcPr>
          <w:p w14:paraId="6FF31CE1" w14:textId="77777777" w:rsidR="00C232D7" w:rsidRPr="00C149AB" w:rsidRDefault="00C232D7"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rPr>
              <w:t>12.038</w:t>
            </w:r>
          </w:p>
        </w:tc>
        <w:tc>
          <w:tcPr>
            <w:tcW w:w="1125" w:type="pct"/>
            <w:tcBorders>
              <w:top w:val="single" w:sz="4" w:space="0" w:color="auto"/>
              <w:left w:val="single" w:sz="4" w:space="0" w:color="auto"/>
              <w:bottom w:val="single" w:sz="4" w:space="0" w:color="auto"/>
              <w:right w:val="single" w:sz="4" w:space="0" w:color="auto"/>
            </w:tcBorders>
            <w:vAlign w:val="bottom"/>
          </w:tcPr>
          <w:p w14:paraId="5CA7C6DE" w14:textId="77777777" w:rsidR="00C232D7" w:rsidRPr="00C149AB" w:rsidRDefault="00C232D7"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rPr>
              <w:t>9.194</w:t>
            </w:r>
          </w:p>
        </w:tc>
      </w:tr>
      <w:tr w:rsidR="00C232D7" w:rsidRPr="00C149AB" w14:paraId="5AA066C9" w14:textId="77777777" w:rsidTr="00C232D7">
        <w:trPr>
          <w:trHeight w:val="289"/>
          <w:jc w:val="center"/>
        </w:trPr>
        <w:tc>
          <w:tcPr>
            <w:tcW w:w="2333" w:type="pct"/>
            <w:tcBorders>
              <w:top w:val="single" w:sz="4" w:space="0" w:color="auto"/>
              <w:left w:val="single" w:sz="4" w:space="0" w:color="auto"/>
              <w:bottom w:val="single" w:sz="4" w:space="0" w:color="auto"/>
              <w:right w:val="single" w:sz="4" w:space="0" w:color="auto"/>
            </w:tcBorders>
            <w:noWrap/>
          </w:tcPr>
          <w:p w14:paraId="2C08D464" w14:textId="77777777" w:rsidR="00C232D7" w:rsidRPr="00C149AB" w:rsidRDefault="00C232D7"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lang w:val="sq-AL"/>
              </w:rPr>
              <w:t>Ukupan kapacitet (m</w:t>
            </w:r>
            <w:r w:rsidRPr="00C149AB">
              <w:rPr>
                <w:rFonts w:ascii="Arial" w:hAnsi="Arial" w:cs="Arial"/>
                <w:b/>
                <w:bCs/>
                <w:color w:val="000000"/>
                <w:sz w:val="18"/>
                <w:szCs w:val="18"/>
                <w:vertAlign w:val="superscript"/>
                <w:lang w:val="sq-AL"/>
              </w:rPr>
              <w:t>3</w:t>
            </w:r>
            <w:r w:rsidRPr="00C149AB">
              <w:rPr>
                <w:rFonts w:ascii="Arial" w:hAnsi="Arial" w:cs="Arial"/>
                <w:b/>
                <w:bCs/>
                <w:color w:val="000000"/>
                <w:sz w:val="18"/>
                <w:szCs w:val="18"/>
                <w:lang w:val="sq-AL"/>
              </w:rPr>
              <w:t>)</w:t>
            </w:r>
          </w:p>
        </w:tc>
        <w:tc>
          <w:tcPr>
            <w:tcW w:w="1542" w:type="pct"/>
            <w:tcBorders>
              <w:top w:val="single" w:sz="4" w:space="0" w:color="auto"/>
              <w:left w:val="single" w:sz="4" w:space="0" w:color="auto"/>
              <w:bottom w:val="single" w:sz="4" w:space="0" w:color="auto"/>
              <w:right w:val="single" w:sz="4" w:space="0" w:color="auto"/>
            </w:tcBorders>
            <w:noWrap/>
            <w:vAlign w:val="bottom"/>
          </w:tcPr>
          <w:p w14:paraId="69C8D286" w14:textId="77777777" w:rsidR="00C232D7" w:rsidRPr="00C149AB" w:rsidRDefault="00C232D7"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rPr>
              <w:t>13.242</w:t>
            </w:r>
          </w:p>
        </w:tc>
        <w:tc>
          <w:tcPr>
            <w:tcW w:w="1125" w:type="pct"/>
            <w:tcBorders>
              <w:top w:val="single" w:sz="4" w:space="0" w:color="auto"/>
              <w:left w:val="single" w:sz="4" w:space="0" w:color="auto"/>
              <w:bottom w:val="single" w:sz="4" w:space="0" w:color="auto"/>
              <w:right w:val="single" w:sz="4" w:space="0" w:color="auto"/>
            </w:tcBorders>
            <w:vAlign w:val="bottom"/>
          </w:tcPr>
          <w:p w14:paraId="5841427C" w14:textId="77777777" w:rsidR="00C232D7" w:rsidRPr="00C149AB" w:rsidRDefault="00C232D7"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rPr>
              <w:t>10.622</w:t>
            </w:r>
          </w:p>
        </w:tc>
      </w:tr>
    </w:tbl>
    <w:p w14:paraId="5DB9BD57" w14:textId="77777777" w:rsidR="009E2C40" w:rsidRPr="00C149AB" w:rsidRDefault="009E2C40" w:rsidP="00C232D7">
      <w:pPr>
        <w:pStyle w:val="Caption"/>
        <w:rPr>
          <w:rFonts w:ascii="Arial" w:hAnsi="Arial" w:cs="Arial"/>
          <w:b w:val="0"/>
          <w:color w:val="000000" w:themeColor="text1"/>
          <w:highlight w:val="yellow"/>
        </w:rPr>
      </w:pPr>
      <w:bookmarkStart w:id="1079" w:name="_Toc124238287"/>
      <w:bookmarkStart w:id="1080" w:name="_Toc189515656"/>
      <w:bookmarkStart w:id="1081" w:name="_Toc190160774"/>
    </w:p>
    <w:p w14:paraId="1C310872" w14:textId="77777777" w:rsidR="00D33BB9" w:rsidRDefault="00D33BB9" w:rsidP="00C232D7">
      <w:pPr>
        <w:pStyle w:val="Caption"/>
        <w:rPr>
          <w:rFonts w:ascii="Arial" w:hAnsi="Arial" w:cs="Arial"/>
          <w:b w:val="0"/>
        </w:rPr>
      </w:pPr>
    </w:p>
    <w:p w14:paraId="569421C2" w14:textId="53959F3A" w:rsidR="00C232D7" w:rsidRPr="00C149AB" w:rsidRDefault="00C232D7" w:rsidP="00C232D7">
      <w:pPr>
        <w:pStyle w:val="Caption"/>
        <w:rPr>
          <w:rFonts w:ascii="Arial" w:hAnsi="Arial" w:cs="Arial"/>
          <w:b w:val="0"/>
          <w:lang w:val="sq-AL"/>
        </w:rPr>
      </w:pPr>
      <w:r w:rsidRPr="00C149AB">
        <w:rPr>
          <w:rFonts w:ascii="Arial" w:hAnsi="Arial" w:cs="Arial"/>
          <w:b w:val="0"/>
        </w:rPr>
        <w:lastRenderedPageBreak/>
        <w:t xml:space="preserve">Tabela </w:t>
      </w:r>
      <w:r w:rsidRPr="00C149AB">
        <w:rPr>
          <w:rFonts w:ascii="Arial" w:hAnsi="Arial" w:cs="Arial"/>
          <w:b w:val="0"/>
        </w:rPr>
        <w:fldChar w:fldCharType="begin"/>
      </w:r>
      <w:r w:rsidRPr="00C149AB">
        <w:rPr>
          <w:rFonts w:ascii="Arial" w:hAnsi="Arial" w:cs="Arial"/>
          <w:b w:val="0"/>
        </w:rPr>
        <w:instrText xml:space="preserve"> SEQ Tabela \* ARABIC </w:instrText>
      </w:r>
      <w:r w:rsidRPr="00C149AB">
        <w:rPr>
          <w:rFonts w:ascii="Arial" w:hAnsi="Arial" w:cs="Arial"/>
          <w:b w:val="0"/>
        </w:rPr>
        <w:fldChar w:fldCharType="separate"/>
      </w:r>
      <w:r w:rsidR="007274DA">
        <w:rPr>
          <w:rFonts w:ascii="Arial" w:hAnsi="Arial" w:cs="Arial"/>
          <w:b w:val="0"/>
          <w:noProof/>
        </w:rPr>
        <w:t>80</w:t>
      </w:r>
      <w:r w:rsidRPr="00C149AB">
        <w:rPr>
          <w:rFonts w:ascii="Arial" w:hAnsi="Arial" w:cs="Arial"/>
          <w:b w:val="0"/>
        </w:rPr>
        <w:fldChar w:fldCharType="end"/>
      </w:r>
      <w:r w:rsidRPr="00C149AB">
        <w:rPr>
          <w:rFonts w:ascii="Arial" w:hAnsi="Arial" w:cs="Arial"/>
          <w:b w:val="0"/>
          <w:lang w:val="sq-AL"/>
        </w:rPr>
        <w:t xml:space="preserve"> Broj dodatnih kamiona za sakupljanje otpada neophodnih za opciju VI</w:t>
      </w:r>
      <w:bookmarkEnd w:id="1079"/>
      <w:r w:rsidRPr="00C149AB">
        <w:rPr>
          <w:rFonts w:ascii="Arial" w:hAnsi="Arial" w:cs="Arial"/>
          <w:b w:val="0"/>
          <w:lang w:val="sq-AL"/>
        </w:rPr>
        <w:t>I</w:t>
      </w:r>
      <w:bookmarkEnd w:id="1080"/>
      <w:bookmarkEnd w:id="1081"/>
    </w:p>
    <w:tbl>
      <w:tblPr>
        <w:tblW w:w="4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5"/>
        <w:gridCol w:w="854"/>
      </w:tblGrid>
      <w:tr w:rsidR="00C232D7" w:rsidRPr="00C149AB" w14:paraId="43C5B6B1" w14:textId="77777777" w:rsidTr="00C232D7">
        <w:trPr>
          <w:trHeight w:val="288"/>
          <w:tblHeader/>
          <w:jc w:val="center"/>
        </w:trPr>
        <w:tc>
          <w:tcPr>
            <w:tcW w:w="3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BDFE92B" w14:textId="77777777" w:rsidR="00C232D7" w:rsidRPr="00C149AB" w:rsidRDefault="00C232D7"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lang w:val="sq-AL"/>
              </w:rPr>
              <w:t>Tip kamiona za sakupljanje otpada</w:t>
            </w:r>
          </w:p>
        </w:tc>
        <w:tc>
          <w:tcPr>
            <w:tcW w:w="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800DA5C" w14:textId="20B9B95A" w:rsidR="00C232D7" w:rsidRPr="00C149AB" w:rsidRDefault="00B40E88"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lang w:val="sq-AL"/>
              </w:rPr>
              <w:t>2029</w:t>
            </w:r>
          </w:p>
        </w:tc>
      </w:tr>
      <w:tr w:rsidR="00C232D7" w:rsidRPr="00C149AB" w14:paraId="603FEB2E"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12FE71C8"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lang w:val="sq-AL"/>
              </w:rPr>
              <w:t>22 m</w:t>
            </w:r>
            <w:r w:rsidRPr="00C149AB">
              <w:rPr>
                <w:rFonts w:ascii="Arial" w:hAnsi="Arial" w:cs="Arial"/>
                <w:color w:val="000000"/>
                <w:sz w:val="18"/>
                <w:szCs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465FB217"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rPr>
              <w:t>10</w:t>
            </w:r>
          </w:p>
        </w:tc>
      </w:tr>
      <w:tr w:rsidR="00C232D7" w:rsidRPr="00C149AB" w14:paraId="0E280CC6"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0F2E20DA"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lang w:val="sq-AL"/>
              </w:rPr>
              <w:t>20 m</w:t>
            </w:r>
            <w:r w:rsidRPr="00C149AB">
              <w:rPr>
                <w:rFonts w:ascii="Arial" w:hAnsi="Arial" w:cs="Arial"/>
                <w:color w:val="000000"/>
                <w:sz w:val="18"/>
                <w:szCs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77AEF633"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rPr>
              <w:t>10</w:t>
            </w:r>
          </w:p>
        </w:tc>
      </w:tr>
      <w:tr w:rsidR="00C232D7" w:rsidRPr="00C149AB" w14:paraId="0B70C651"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317EC05A"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lang w:val="sq-AL"/>
              </w:rPr>
              <w:t>16 m</w:t>
            </w:r>
            <w:r w:rsidRPr="00C149AB">
              <w:rPr>
                <w:rFonts w:ascii="Arial" w:hAnsi="Arial" w:cs="Arial"/>
                <w:color w:val="000000"/>
                <w:sz w:val="18"/>
                <w:szCs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66A60DEA"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rPr>
              <w:t>19</w:t>
            </w:r>
          </w:p>
        </w:tc>
      </w:tr>
      <w:tr w:rsidR="00C232D7" w:rsidRPr="00C149AB" w14:paraId="345D141D"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0074D205"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lang w:val="sq-AL"/>
              </w:rPr>
              <w:t>8 m</w:t>
            </w:r>
            <w:r w:rsidRPr="00C149AB">
              <w:rPr>
                <w:rFonts w:ascii="Arial" w:hAnsi="Arial" w:cs="Arial"/>
                <w:color w:val="000000"/>
                <w:sz w:val="18"/>
                <w:szCs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1CA9ACF6"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rPr>
              <w:t>41</w:t>
            </w:r>
          </w:p>
        </w:tc>
      </w:tr>
      <w:tr w:rsidR="00C232D7" w:rsidRPr="00C149AB" w14:paraId="23321DBE"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71D96B18"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lang w:val="sq-AL"/>
              </w:rPr>
              <w:t>6 m</w:t>
            </w:r>
            <w:r w:rsidRPr="00C149AB">
              <w:rPr>
                <w:rFonts w:ascii="Arial" w:hAnsi="Arial" w:cs="Arial"/>
                <w:color w:val="000000"/>
                <w:sz w:val="18"/>
                <w:szCs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3CEE7603"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rPr>
              <w:t>18</w:t>
            </w:r>
          </w:p>
        </w:tc>
      </w:tr>
      <w:tr w:rsidR="00C232D7" w:rsidRPr="00C149AB" w14:paraId="7D64DE8F"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vAlign w:val="center"/>
          </w:tcPr>
          <w:p w14:paraId="54ABD4E5"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lang w:val="sq-AL"/>
              </w:rPr>
              <w:t>4 m</w:t>
            </w:r>
            <w:r w:rsidRPr="00C149AB">
              <w:rPr>
                <w:rFonts w:ascii="Arial" w:hAnsi="Arial" w:cs="Arial"/>
                <w:color w:val="000000"/>
                <w:sz w:val="18"/>
                <w:szCs w:val="18"/>
                <w:vertAlign w:val="superscript"/>
                <w:lang w:val="sq-AL"/>
              </w:rPr>
              <w:t>3</w:t>
            </w:r>
          </w:p>
        </w:tc>
        <w:tc>
          <w:tcPr>
            <w:tcW w:w="854" w:type="dxa"/>
            <w:tcBorders>
              <w:top w:val="single" w:sz="4" w:space="0" w:color="auto"/>
              <w:left w:val="single" w:sz="4" w:space="0" w:color="auto"/>
              <w:bottom w:val="single" w:sz="4" w:space="0" w:color="auto"/>
              <w:right w:val="single" w:sz="4" w:space="0" w:color="auto"/>
            </w:tcBorders>
            <w:noWrap/>
            <w:vAlign w:val="bottom"/>
          </w:tcPr>
          <w:p w14:paraId="5F132AFC" w14:textId="77777777" w:rsidR="00C232D7" w:rsidRPr="00C149AB" w:rsidRDefault="00C232D7" w:rsidP="00C232D7">
            <w:pPr>
              <w:spacing w:before="60" w:after="60" w:line="360" w:lineRule="auto"/>
              <w:rPr>
                <w:rFonts w:ascii="Arial" w:hAnsi="Arial" w:cs="Arial"/>
                <w:color w:val="000000"/>
                <w:sz w:val="18"/>
                <w:szCs w:val="18"/>
                <w:lang w:val="sq-AL"/>
              </w:rPr>
            </w:pPr>
            <w:r w:rsidRPr="00C149AB">
              <w:rPr>
                <w:rFonts w:ascii="Arial" w:hAnsi="Arial" w:cs="Arial"/>
                <w:color w:val="000000"/>
                <w:sz w:val="18"/>
                <w:szCs w:val="18"/>
              </w:rPr>
              <w:t>2</w:t>
            </w:r>
          </w:p>
        </w:tc>
      </w:tr>
      <w:tr w:rsidR="00C232D7" w:rsidRPr="00C149AB" w14:paraId="35FF5E2D" w14:textId="77777777" w:rsidTr="00C232D7">
        <w:trPr>
          <w:trHeight w:val="288"/>
          <w:jc w:val="center"/>
        </w:trPr>
        <w:tc>
          <w:tcPr>
            <w:tcW w:w="3965" w:type="dxa"/>
            <w:tcBorders>
              <w:top w:val="single" w:sz="4" w:space="0" w:color="auto"/>
              <w:left w:val="single" w:sz="4" w:space="0" w:color="auto"/>
              <w:bottom w:val="single" w:sz="4" w:space="0" w:color="auto"/>
              <w:right w:val="single" w:sz="4" w:space="0" w:color="auto"/>
            </w:tcBorders>
            <w:noWrap/>
          </w:tcPr>
          <w:p w14:paraId="21BB0C10" w14:textId="77777777" w:rsidR="00C232D7" w:rsidRPr="00C149AB" w:rsidRDefault="00C232D7"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lang w:val="sq-AL"/>
              </w:rPr>
              <w:t>Ukupan broj</w:t>
            </w:r>
          </w:p>
        </w:tc>
        <w:tc>
          <w:tcPr>
            <w:tcW w:w="854" w:type="dxa"/>
            <w:tcBorders>
              <w:top w:val="single" w:sz="4" w:space="0" w:color="auto"/>
              <w:left w:val="single" w:sz="4" w:space="0" w:color="auto"/>
              <w:bottom w:val="single" w:sz="4" w:space="0" w:color="auto"/>
              <w:right w:val="single" w:sz="4" w:space="0" w:color="auto"/>
            </w:tcBorders>
            <w:noWrap/>
            <w:vAlign w:val="bottom"/>
          </w:tcPr>
          <w:p w14:paraId="1FCA7BE2" w14:textId="77777777" w:rsidR="00C232D7" w:rsidRPr="00C149AB" w:rsidRDefault="00C232D7"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rPr>
              <w:t>100</w:t>
            </w:r>
          </w:p>
        </w:tc>
      </w:tr>
      <w:tr w:rsidR="00C232D7" w:rsidRPr="00C149AB" w14:paraId="0F58DE96" w14:textId="77777777" w:rsidTr="00C232D7">
        <w:trPr>
          <w:trHeight w:val="300"/>
          <w:jc w:val="center"/>
        </w:trPr>
        <w:tc>
          <w:tcPr>
            <w:tcW w:w="3965" w:type="dxa"/>
            <w:tcBorders>
              <w:top w:val="single" w:sz="4" w:space="0" w:color="auto"/>
              <w:left w:val="single" w:sz="4" w:space="0" w:color="auto"/>
              <w:bottom w:val="single" w:sz="4" w:space="0" w:color="auto"/>
              <w:right w:val="single" w:sz="4" w:space="0" w:color="auto"/>
            </w:tcBorders>
            <w:noWrap/>
          </w:tcPr>
          <w:p w14:paraId="20CCAC5B" w14:textId="77777777" w:rsidR="00C232D7" w:rsidRPr="00C149AB" w:rsidRDefault="00C232D7"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lang w:val="sq-AL"/>
              </w:rPr>
              <w:t>Ukupan kapacitet (m</w:t>
            </w:r>
            <w:r w:rsidRPr="00C149AB">
              <w:rPr>
                <w:rFonts w:ascii="Arial" w:hAnsi="Arial" w:cs="Arial"/>
                <w:b/>
                <w:bCs/>
                <w:color w:val="000000"/>
                <w:sz w:val="18"/>
                <w:szCs w:val="18"/>
                <w:vertAlign w:val="superscript"/>
                <w:lang w:val="sq-AL"/>
              </w:rPr>
              <w:t>3</w:t>
            </w:r>
            <w:r w:rsidRPr="00C149AB">
              <w:rPr>
                <w:rFonts w:ascii="Arial" w:hAnsi="Arial" w:cs="Arial"/>
                <w:b/>
                <w:bCs/>
                <w:color w:val="000000"/>
                <w:sz w:val="18"/>
                <w:szCs w:val="18"/>
                <w:lang w:val="sq-AL"/>
              </w:rPr>
              <w:t>)</w:t>
            </w:r>
          </w:p>
        </w:tc>
        <w:tc>
          <w:tcPr>
            <w:tcW w:w="854" w:type="dxa"/>
            <w:tcBorders>
              <w:top w:val="single" w:sz="4" w:space="0" w:color="auto"/>
              <w:left w:val="single" w:sz="4" w:space="0" w:color="auto"/>
              <w:bottom w:val="single" w:sz="4" w:space="0" w:color="auto"/>
              <w:right w:val="single" w:sz="4" w:space="0" w:color="auto"/>
            </w:tcBorders>
            <w:noWrap/>
            <w:vAlign w:val="bottom"/>
          </w:tcPr>
          <w:p w14:paraId="66FCE7E3" w14:textId="77777777" w:rsidR="00C232D7" w:rsidRPr="00C149AB" w:rsidRDefault="00C232D7" w:rsidP="00C232D7">
            <w:pPr>
              <w:spacing w:before="60" w:after="60" w:line="360" w:lineRule="auto"/>
              <w:rPr>
                <w:rFonts w:ascii="Arial" w:hAnsi="Arial" w:cs="Arial"/>
                <w:b/>
                <w:bCs/>
                <w:color w:val="000000"/>
                <w:sz w:val="18"/>
                <w:szCs w:val="18"/>
                <w:lang w:val="sq-AL"/>
              </w:rPr>
            </w:pPr>
            <w:r w:rsidRPr="00C149AB">
              <w:rPr>
                <w:rFonts w:ascii="Arial" w:hAnsi="Arial" w:cs="Arial"/>
                <w:b/>
                <w:bCs/>
                <w:color w:val="000000"/>
                <w:sz w:val="18"/>
                <w:szCs w:val="18"/>
              </w:rPr>
              <w:t>1.168</w:t>
            </w:r>
          </w:p>
        </w:tc>
      </w:tr>
    </w:tbl>
    <w:p w14:paraId="512FA05D" w14:textId="39A1A984" w:rsidR="001A1D01" w:rsidRPr="00C149AB" w:rsidRDefault="001A1D01" w:rsidP="001A1D01">
      <w:pPr>
        <w:pStyle w:val="Caption"/>
        <w:rPr>
          <w:rFonts w:ascii="Arial" w:hAnsi="Arial" w:cs="Arial"/>
          <w:b w:val="0"/>
          <w:color w:val="000000" w:themeColor="text1"/>
        </w:rPr>
      </w:pPr>
    </w:p>
    <w:p w14:paraId="0E056180" w14:textId="0D3F1DD7" w:rsidR="009440AA" w:rsidRDefault="00C232D7" w:rsidP="00C232D7">
      <w:pPr>
        <w:spacing w:before="120" w:after="120" w:line="360" w:lineRule="auto"/>
        <w:rPr>
          <w:rFonts w:ascii="Arial" w:hAnsi="Arial" w:cs="Arial"/>
          <w:lang w:val="sq-AL"/>
        </w:rPr>
      </w:pPr>
      <w:r w:rsidRPr="002A6F4E">
        <w:rPr>
          <w:rFonts w:ascii="Arial" w:hAnsi="Arial" w:cs="Arial"/>
          <w:lang w:val="sq-AL"/>
        </w:rPr>
        <w:t xml:space="preserve">Pored navedenih biće neophodna i mobilna vozila za čišćenje </w:t>
      </w:r>
      <w:r w:rsidR="007B1545">
        <w:rPr>
          <w:rFonts w:ascii="Arial" w:hAnsi="Arial" w:cs="Arial"/>
          <w:lang w:val="sq-AL"/>
        </w:rPr>
        <w:t>posuda</w:t>
      </w:r>
      <w:r w:rsidRPr="002A6F4E">
        <w:rPr>
          <w:rFonts w:ascii="Arial" w:hAnsi="Arial" w:cs="Arial"/>
          <w:lang w:val="sq-AL"/>
        </w:rPr>
        <w:t xml:space="preserve"> za sakupljanje otpada. Predlaže se utvrđivanje rasporeda dvonedeljnog čišćenja svake </w:t>
      </w:r>
      <w:r w:rsidR="005C4A0C">
        <w:rPr>
          <w:rFonts w:ascii="Arial" w:hAnsi="Arial" w:cs="Arial"/>
          <w:lang w:val="sq-AL"/>
        </w:rPr>
        <w:t>posude</w:t>
      </w:r>
      <w:r w:rsidRPr="002A6F4E">
        <w:rPr>
          <w:rFonts w:ascii="Arial" w:hAnsi="Arial" w:cs="Arial"/>
          <w:lang w:val="sq-AL"/>
        </w:rPr>
        <w:t xml:space="preserve"> za sakupljanje (odnosi se na </w:t>
      </w:r>
      <w:r w:rsidR="005C4A0C">
        <w:rPr>
          <w:rFonts w:ascii="Arial" w:hAnsi="Arial" w:cs="Arial"/>
          <w:lang w:val="sq-AL"/>
        </w:rPr>
        <w:t>posude</w:t>
      </w:r>
      <w:r w:rsidRPr="002A6F4E">
        <w:rPr>
          <w:rFonts w:ascii="Arial" w:hAnsi="Arial" w:cs="Arial"/>
          <w:lang w:val="sq-AL"/>
        </w:rPr>
        <w:t xml:space="preserve"> zapremine 1.1</w:t>
      </w:r>
      <w:r w:rsidRPr="002A6F4E">
        <w:rPr>
          <w:rFonts w:ascii="Arial" w:hAnsi="Arial" w:cs="Arial"/>
          <w:color w:val="000000"/>
          <w:lang w:val="sq-AL"/>
        </w:rPr>
        <w:t xml:space="preserve"> m</w:t>
      </w:r>
      <w:r w:rsidRPr="002A6F4E">
        <w:rPr>
          <w:rFonts w:ascii="Arial" w:hAnsi="Arial" w:cs="Arial"/>
          <w:color w:val="000000"/>
          <w:vertAlign w:val="superscript"/>
          <w:lang w:val="sq-AL"/>
        </w:rPr>
        <w:t>3</w:t>
      </w:r>
      <w:r w:rsidRPr="002A6F4E">
        <w:rPr>
          <w:rFonts w:ascii="Arial" w:hAnsi="Arial" w:cs="Arial"/>
          <w:lang w:val="sq-AL"/>
        </w:rPr>
        <w:t xml:space="preserve">). S obzirom na prosječnu količinu od 250 </w:t>
      </w:r>
      <w:r w:rsidR="007B1545">
        <w:rPr>
          <w:rFonts w:ascii="Arial" w:hAnsi="Arial" w:cs="Arial"/>
          <w:lang w:val="sq-AL"/>
        </w:rPr>
        <w:t>posuda</w:t>
      </w:r>
      <w:r w:rsidRPr="002A6F4E">
        <w:rPr>
          <w:rFonts w:ascii="Arial" w:hAnsi="Arial" w:cs="Arial"/>
          <w:lang w:val="sq-AL"/>
        </w:rPr>
        <w:t xml:space="preserve"> koje se svakodnevno čiste (iznutra i spolja) smatra se da će za cijelu zemlju biti potrebno </w:t>
      </w:r>
      <w:r w:rsidR="00A66C84">
        <w:rPr>
          <w:rFonts w:ascii="Arial" w:hAnsi="Arial" w:cs="Arial"/>
          <w:lang w:val="sq-AL"/>
        </w:rPr>
        <w:t>jedanaest</w:t>
      </w:r>
      <w:r w:rsidR="00A66C84" w:rsidRPr="002A6F4E">
        <w:rPr>
          <w:rFonts w:ascii="Arial" w:hAnsi="Arial" w:cs="Arial"/>
          <w:lang w:val="sq-AL"/>
        </w:rPr>
        <w:t xml:space="preserve"> </w:t>
      </w:r>
      <w:r w:rsidRPr="002A6F4E">
        <w:rPr>
          <w:rFonts w:ascii="Arial" w:hAnsi="Arial" w:cs="Arial"/>
          <w:lang w:val="sq-AL"/>
        </w:rPr>
        <w:t xml:space="preserve">vozila za pranje. Na osnovu gornje analize, troškovi opreme za sakupljanje otpada u vezi sa ovom opcijom su predstavljeni u sljedećoj tabeli (odgovara </w:t>
      </w:r>
      <w:r w:rsidR="00B40E88" w:rsidRPr="002A6F4E">
        <w:rPr>
          <w:rFonts w:ascii="Arial" w:hAnsi="Arial" w:cs="Arial"/>
          <w:lang w:val="sq-AL"/>
        </w:rPr>
        <w:t>2029</w:t>
      </w:r>
      <w:r w:rsidR="00292162">
        <w:rPr>
          <w:rFonts w:ascii="Arial" w:hAnsi="Arial" w:cs="Arial"/>
          <w:lang w:val="sq-AL"/>
        </w:rPr>
        <w:t>. godini).</w:t>
      </w:r>
    </w:p>
    <w:p w14:paraId="7C78AA10" w14:textId="766F48EE" w:rsidR="00C232D7" w:rsidRPr="00C149AB" w:rsidRDefault="00C232D7" w:rsidP="00C232D7">
      <w:pPr>
        <w:pStyle w:val="Caption"/>
        <w:rPr>
          <w:rFonts w:ascii="Arial" w:hAnsi="Arial" w:cs="Arial"/>
          <w:b w:val="0"/>
          <w:lang w:val="sq-AL"/>
        </w:rPr>
      </w:pPr>
      <w:bookmarkStart w:id="1082" w:name="_Toc124238288"/>
      <w:bookmarkStart w:id="1083" w:name="_Toc189515657"/>
      <w:bookmarkStart w:id="1084" w:name="_Toc190160775"/>
      <w:r w:rsidRPr="00C149AB">
        <w:rPr>
          <w:rFonts w:ascii="Arial" w:hAnsi="Arial" w:cs="Arial"/>
          <w:b w:val="0"/>
          <w:lang w:val="sq-AL"/>
        </w:rPr>
        <w:t xml:space="preserve">Tabela </w:t>
      </w:r>
      <w:r w:rsidRPr="00C149AB">
        <w:rPr>
          <w:rFonts w:ascii="Arial" w:hAnsi="Arial" w:cs="Arial"/>
          <w:b w:val="0"/>
        </w:rPr>
        <w:fldChar w:fldCharType="begin"/>
      </w:r>
      <w:r w:rsidRPr="00C149AB">
        <w:rPr>
          <w:rFonts w:ascii="Arial" w:hAnsi="Arial" w:cs="Arial"/>
          <w:b w:val="0"/>
          <w:lang w:val="sq-AL"/>
        </w:rPr>
        <w:instrText xml:space="preserve"> SEQ Tabela \* ARABIC </w:instrText>
      </w:r>
      <w:r w:rsidRPr="00C149AB">
        <w:rPr>
          <w:rFonts w:ascii="Arial" w:hAnsi="Arial" w:cs="Arial"/>
          <w:b w:val="0"/>
        </w:rPr>
        <w:fldChar w:fldCharType="separate"/>
      </w:r>
      <w:r w:rsidR="007274DA">
        <w:rPr>
          <w:rFonts w:ascii="Arial" w:hAnsi="Arial" w:cs="Arial"/>
          <w:b w:val="0"/>
          <w:noProof/>
          <w:lang w:val="sq-AL"/>
        </w:rPr>
        <w:t>81</w:t>
      </w:r>
      <w:r w:rsidRPr="00C149AB">
        <w:rPr>
          <w:rFonts w:ascii="Arial" w:hAnsi="Arial" w:cs="Arial"/>
          <w:b w:val="0"/>
        </w:rPr>
        <w:fldChar w:fldCharType="end"/>
      </w:r>
      <w:r w:rsidRPr="00C149AB">
        <w:rPr>
          <w:rFonts w:ascii="Arial" w:hAnsi="Arial" w:cs="Arial"/>
          <w:b w:val="0"/>
          <w:lang w:val="sq-AL"/>
        </w:rPr>
        <w:t xml:space="preserve"> Troškovi sakupljanja otpada za opciju VI</w:t>
      </w:r>
      <w:bookmarkEnd w:id="1082"/>
      <w:r w:rsidRPr="00C149AB">
        <w:rPr>
          <w:rFonts w:ascii="Arial" w:hAnsi="Arial" w:cs="Arial"/>
          <w:b w:val="0"/>
          <w:lang w:val="sq-AL"/>
        </w:rPr>
        <w:t>I</w:t>
      </w:r>
      <w:bookmarkEnd w:id="1083"/>
      <w:bookmarkEnd w:id="1084"/>
    </w:p>
    <w:tbl>
      <w:tblPr>
        <w:tblW w:w="79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480"/>
        <w:gridCol w:w="1193"/>
        <w:gridCol w:w="1940"/>
      </w:tblGrid>
      <w:tr w:rsidR="00C232D7" w:rsidRPr="00C149AB" w14:paraId="2AAFC6DB" w14:textId="77777777" w:rsidTr="00C232D7">
        <w:trPr>
          <w:trHeight w:val="312"/>
          <w:jc w:val="center"/>
        </w:trPr>
        <w:tc>
          <w:tcPr>
            <w:tcW w:w="2370" w:type="dxa"/>
            <w:shd w:val="clear" w:color="auto" w:fill="F2F2F2" w:themeFill="background1" w:themeFillShade="F2"/>
            <w:vAlign w:val="center"/>
          </w:tcPr>
          <w:p w14:paraId="3C2113B6" w14:textId="77777777" w:rsidR="00C232D7" w:rsidRPr="00C149AB" w:rsidRDefault="00C232D7" w:rsidP="00C232D7">
            <w:pPr>
              <w:spacing w:line="360" w:lineRule="auto"/>
              <w:rPr>
                <w:rFonts w:ascii="Arial" w:hAnsi="Arial" w:cs="Arial"/>
                <w:b/>
                <w:bCs/>
                <w:sz w:val="18"/>
                <w:szCs w:val="18"/>
                <w:lang w:val="sq-AL"/>
              </w:rPr>
            </w:pPr>
            <w:r w:rsidRPr="00C149AB">
              <w:rPr>
                <w:rFonts w:ascii="Arial" w:hAnsi="Arial" w:cs="Arial"/>
                <w:b/>
                <w:bCs/>
                <w:sz w:val="18"/>
                <w:szCs w:val="18"/>
                <w:lang w:val="sq-AL"/>
              </w:rPr>
              <w:t>Vrsta opreme</w:t>
            </w:r>
          </w:p>
          <w:p w14:paraId="5BFDF62C" w14:textId="77777777" w:rsidR="00C232D7" w:rsidRPr="00C149AB" w:rsidRDefault="00C232D7" w:rsidP="00C232D7">
            <w:pPr>
              <w:spacing w:line="360" w:lineRule="auto"/>
              <w:rPr>
                <w:rFonts w:ascii="Arial" w:hAnsi="Arial" w:cs="Arial"/>
                <w:b/>
                <w:bCs/>
                <w:sz w:val="18"/>
                <w:szCs w:val="18"/>
                <w:lang w:val="sq-AL"/>
              </w:rPr>
            </w:pPr>
          </w:p>
        </w:tc>
        <w:tc>
          <w:tcPr>
            <w:tcW w:w="2480" w:type="dxa"/>
            <w:shd w:val="clear" w:color="auto" w:fill="F2F2F2" w:themeFill="background1" w:themeFillShade="F2"/>
            <w:vAlign w:val="center"/>
          </w:tcPr>
          <w:p w14:paraId="38D9D3A5" w14:textId="77777777" w:rsidR="00C232D7" w:rsidRPr="00C149AB" w:rsidRDefault="00C232D7" w:rsidP="00C232D7">
            <w:pPr>
              <w:spacing w:line="360" w:lineRule="auto"/>
              <w:rPr>
                <w:rFonts w:ascii="Arial" w:hAnsi="Arial" w:cs="Arial"/>
                <w:b/>
                <w:bCs/>
                <w:sz w:val="18"/>
                <w:szCs w:val="18"/>
                <w:lang w:val="sq-AL"/>
              </w:rPr>
            </w:pPr>
            <w:r w:rsidRPr="00C149AB">
              <w:rPr>
                <w:rFonts w:ascii="Arial" w:hAnsi="Arial" w:cs="Arial"/>
                <w:b/>
                <w:bCs/>
                <w:sz w:val="18"/>
                <w:szCs w:val="18"/>
                <w:lang w:val="sq-AL"/>
              </w:rPr>
              <w:t>Jedinična cijena (€/oprema)</w:t>
            </w:r>
          </w:p>
          <w:p w14:paraId="17993CBB" w14:textId="77777777" w:rsidR="00C232D7" w:rsidRPr="00C149AB" w:rsidRDefault="00C232D7" w:rsidP="00C232D7">
            <w:pPr>
              <w:spacing w:line="360" w:lineRule="auto"/>
              <w:rPr>
                <w:rFonts w:ascii="Arial" w:hAnsi="Arial" w:cs="Arial"/>
                <w:b/>
                <w:bCs/>
                <w:sz w:val="18"/>
                <w:szCs w:val="18"/>
                <w:lang w:val="sq-AL"/>
              </w:rPr>
            </w:pPr>
          </w:p>
        </w:tc>
        <w:tc>
          <w:tcPr>
            <w:tcW w:w="1193" w:type="dxa"/>
            <w:shd w:val="clear" w:color="auto" w:fill="F2F2F2" w:themeFill="background1" w:themeFillShade="F2"/>
            <w:vAlign w:val="center"/>
          </w:tcPr>
          <w:p w14:paraId="6CBB98F7" w14:textId="7C30BA82" w:rsidR="00C232D7" w:rsidRPr="00C149AB" w:rsidRDefault="00C232D7" w:rsidP="00C232D7">
            <w:pPr>
              <w:spacing w:line="360" w:lineRule="auto"/>
              <w:rPr>
                <w:rFonts w:ascii="Arial" w:hAnsi="Arial" w:cs="Arial"/>
                <w:b/>
                <w:bCs/>
                <w:sz w:val="18"/>
                <w:szCs w:val="18"/>
                <w:lang w:val="sq-AL"/>
              </w:rPr>
            </w:pPr>
            <w:r w:rsidRPr="00C149AB">
              <w:rPr>
                <w:rFonts w:ascii="Arial" w:hAnsi="Arial" w:cs="Arial"/>
                <w:b/>
                <w:bCs/>
                <w:sz w:val="18"/>
                <w:szCs w:val="18"/>
                <w:lang w:val="sq-AL"/>
              </w:rPr>
              <w:t>broj jedinica</w:t>
            </w:r>
          </w:p>
        </w:tc>
        <w:tc>
          <w:tcPr>
            <w:tcW w:w="1940" w:type="dxa"/>
            <w:shd w:val="clear" w:color="auto" w:fill="F2F2F2" w:themeFill="background1" w:themeFillShade="F2"/>
            <w:vAlign w:val="center"/>
          </w:tcPr>
          <w:p w14:paraId="73E81D0F" w14:textId="77777777" w:rsidR="00C232D7" w:rsidRPr="00C149AB" w:rsidRDefault="00C232D7" w:rsidP="00C232D7">
            <w:pPr>
              <w:spacing w:line="360" w:lineRule="auto"/>
              <w:rPr>
                <w:rFonts w:ascii="Arial" w:hAnsi="Arial" w:cs="Arial"/>
                <w:b/>
                <w:bCs/>
                <w:sz w:val="18"/>
                <w:szCs w:val="18"/>
                <w:lang w:val="sq-AL"/>
              </w:rPr>
            </w:pPr>
            <w:r w:rsidRPr="00C149AB">
              <w:rPr>
                <w:rFonts w:ascii="Arial" w:hAnsi="Arial" w:cs="Arial"/>
                <w:b/>
                <w:bCs/>
                <w:sz w:val="18"/>
                <w:szCs w:val="18"/>
                <w:lang w:val="sq-AL"/>
              </w:rPr>
              <w:t>Ukupna cijena (€)</w:t>
            </w:r>
          </w:p>
        </w:tc>
      </w:tr>
      <w:tr w:rsidR="00C232D7" w:rsidRPr="00C149AB" w14:paraId="7EFFED39" w14:textId="77777777" w:rsidTr="00C232D7">
        <w:trPr>
          <w:trHeight w:val="312"/>
          <w:jc w:val="center"/>
        </w:trPr>
        <w:tc>
          <w:tcPr>
            <w:tcW w:w="2370" w:type="dxa"/>
            <w:shd w:val="clear" w:color="auto" w:fill="auto"/>
            <w:vAlign w:val="center"/>
          </w:tcPr>
          <w:p w14:paraId="346C8385" w14:textId="0625504D" w:rsidR="00C232D7" w:rsidRPr="00C149AB" w:rsidRDefault="00A66C84" w:rsidP="00C232D7">
            <w:pPr>
              <w:spacing w:line="360" w:lineRule="auto"/>
              <w:rPr>
                <w:rFonts w:ascii="Arial" w:hAnsi="Arial" w:cs="Arial"/>
                <w:sz w:val="18"/>
                <w:szCs w:val="18"/>
                <w:lang w:val="sq-AL"/>
              </w:rPr>
            </w:pPr>
            <w:r>
              <w:rPr>
                <w:rFonts w:ascii="Arial" w:hAnsi="Arial" w:cs="Arial"/>
                <w:sz w:val="18"/>
                <w:szCs w:val="18"/>
                <w:lang w:val="sq-AL"/>
              </w:rPr>
              <w:t>Kontejneri</w:t>
            </w:r>
            <w:r w:rsidRPr="00C149AB">
              <w:rPr>
                <w:rFonts w:ascii="Arial" w:hAnsi="Arial" w:cs="Arial"/>
                <w:sz w:val="18"/>
                <w:szCs w:val="18"/>
                <w:lang w:val="sq-AL"/>
              </w:rPr>
              <w:t xml:space="preserve"> </w:t>
            </w:r>
            <w:r w:rsidR="00C232D7" w:rsidRPr="00C149AB">
              <w:rPr>
                <w:rFonts w:ascii="Arial" w:hAnsi="Arial" w:cs="Arial"/>
                <w:sz w:val="18"/>
                <w:szCs w:val="18"/>
                <w:lang w:val="sq-AL"/>
              </w:rPr>
              <w:t>zapremine  2.5 m</w:t>
            </w:r>
            <w:r w:rsidR="00C232D7" w:rsidRPr="00C149AB">
              <w:rPr>
                <w:rFonts w:ascii="Arial" w:hAnsi="Arial" w:cs="Arial"/>
                <w:sz w:val="18"/>
                <w:szCs w:val="18"/>
                <w:vertAlign w:val="superscript"/>
                <w:lang w:val="sq-AL"/>
              </w:rPr>
              <w:t>3</w:t>
            </w:r>
          </w:p>
        </w:tc>
        <w:tc>
          <w:tcPr>
            <w:tcW w:w="2480" w:type="dxa"/>
            <w:shd w:val="clear" w:color="auto" w:fill="auto"/>
            <w:vAlign w:val="center"/>
          </w:tcPr>
          <w:p w14:paraId="41FE557D"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850</w:t>
            </w:r>
          </w:p>
        </w:tc>
        <w:tc>
          <w:tcPr>
            <w:tcW w:w="1193" w:type="dxa"/>
            <w:shd w:val="clear" w:color="auto" w:fill="auto"/>
            <w:vAlign w:val="center"/>
          </w:tcPr>
          <w:p w14:paraId="552283E3"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363</w:t>
            </w:r>
          </w:p>
        </w:tc>
        <w:tc>
          <w:tcPr>
            <w:tcW w:w="1940" w:type="dxa"/>
            <w:shd w:val="clear" w:color="auto" w:fill="auto"/>
            <w:vAlign w:val="center"/>
          </w:tcPr>
          <w:p w14:paraId="282A6F63"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308.550</w:t>
            </w:r>
          </w:p>
        </w:tc>
      </w:tr>
      <w:tr w:rsidR="00C232D7" w:rsidRPr="00C149AB" w14:paraId="3BFF3111" w14:textId="77777777" w:rsidTr="00C232D7">
        <w:trPr>
          <w:trHeight w:val="312"/>
          <w:jc w:val="center"/>
        </w:trPr>
        <w:tc>
          <w:tcPr>
            <w:tcW w:w="2370" w:type="dxa"/>
            <w:shd w:val="clear" w:color="auto" w:fill="auto"/>
            <w:vAlign w:val="center"/>
          </w:tcPr>
          <w:p w14:paraId="3B3C8FC1" w14:textId="1A649151" w:rsidR="00C232D7" w:rsidRPr="00C149AB" w:rsidRDefault="00A66C84" w:rsidP="00C232D7">
            <w:pPr>
              <w:spacing w:line="360" w:lineRule="auto"/>
              <w:rPr>
                <w:rFonts w:ascii="Arial" w:hAnsi="Arial" w:cs="Arial"/>
                <w:sz w:val="18"/>
                <w:szCs w:val="18"/>
                <w:lang w:val="sq-AL"/>
              </w:rPr>
            </w:pPr>
            <w:r>
              <w:rPr>
                <w:rFonts w:ascii="Arial" w:hAnsi="Arial" w:cs="Arial"/>
                <w:sz w:val="18"/>
                <w:szCs w:val="18"/>
                <w:lang w:val="sq-AL"/>
              </w:rPr>
              <w:t>Kontejneri</w:t>
            </w:r>
            <w:r w:rsidRPr="00C149AB">
              <w:rPr>
                <w:rFonts w:ascii="Arial" w:hAnsi="Arial" w:cs="Arial"/>
                <w:sz w:val="18"/>
                <w:szCs w:val="18"/>
                <w:lang w:val="sq-AL"/>
              </w:rPr>
              <w:t xml:space="preserve"> </w:t>
            </w:r>
            <w:r w:rsidR="00C232D7" w:rsidRPr="00C149AB">
              <w:rPr>
                <w:rFonts w:ascii="Arial" w:hAnsi="Arial" w:cs="Arial"/>
                <w:sz w:val="18"/>
                <w:szCs w:val="18"/>
                <w:lang w:val="sq-AL"/>
              </w:rPr>
              <w:t>zapremine  1.1 m</w:t>
            </w:r>
            <w:r w:rsidR="00C232D7" w:rsidRPr="00C149AB">
              <w:rPr>
                <w:rFonts w:ascii="Arial" w:hAnsi="Arial" w:cs="Arial"/>
                <w:sz w:val="18"/>
                <w:szCs w:val="18"/>
                <w:vertAlign w:val="superscript"/>
                <w:lang w:val="sq-AL"/>
              </w:rPr>
              <w:t>3</w:t>
            </w:r>
          </w:p>
        </w:tc>
        <w:tc>
          <w:tcPr>
            <w:tcW w:w="2480" w:type="dxa"/>
            <w:shd w:val="clear" w:color="auto" w:fill="auto"/>
            <w:vAlign w:val="center"/>
          </w:tcPr>
          <w:p w14:paraId="1D63B642"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490</w:t>
            </w:r>
          </w:p>
        </w:tc>
        <w:tc>
          <w:tcPr>
            <w:tcW w:w="1193" w:type="dxa"/>
            <w:shd w:val="clear" w:color="auto" w:fill="auto"/>
            <w:vAlign w:val="center"/>
          </w:tcPr>
          <w:p w14:paraId="1553BEF9"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20.869</w:t>
            </w:r>
          </w:p>
        </w:tc>
        <w:tc>
          <w:tcPr>
            <w:tcW w:w="1940" w:type="dxa"/>
            <w:shd w:val="clear" w:color="auto" w:fill="auto"/>
            <w:vAlign w:val="center"/>
          </w:tcPr>
          <w:p w14:paraId="48D20463"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10.225.810</w:t>
            </w:r>
          </w:p>
        </w:tc>
      </w:tr>
      <w:tr w:rsidR="00C232D7" w:rsidRPr="00C149AB" w14:paraId="7993A527" w14:textId="77777777" w:rsidTr="00C232D7">
        <w:trPr>
          <w:trHeight w:val="348"/>
          <w:jc w:val="center"/>
        </w:trPr>
        <w:tc>
          <w:tcPr>
            <w:tcW w:w="2370" w:type="dxa"/>
            <w:shd w:val="clear" w:color="auto" w:fill="auto"/>
            <w:vAlign w:val="center"/>
          </w:tcPr>
          <w:p w14:paraId="480A309E"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lang w:val="sq-AL"/>
              </w:rPr>
              <w:t>22 m</w:t>
            </w:r>
            <w:r w:rsidRPr="00C149AB">
              <w:rPr>
                <w:rFonts w:ascii="Arial" w:hAnsi="Arial" w:cs="Arial"/>
                <w:sz w:val="18"/>
                <w:szCs w:val="18"/>
                <w:vertAlign w:val="superscript"/>
                <w:lang w:val="sq-AL"/>
              </w:rPr>
              <w:t>3</w:t>
            </w:r>
            <w:r w:rsidRPr="00C149AB">
              <w:rPr>
                <w:rFonts w:ascii="Arial" w:hAnsi="Arial" w:cs="Arial"/>
                <w:sz w:val="18"/>
                <w:szCs w:val="18"/>
                <w:lang w:val="sq-AL"/>
              </w:rPr>
              <w:t xml:space="preserve"> kamion sa presom</w:t>
            </w:r>
          </w:p>
        </w:tc>
        <w:tc>
          <w:tcPr>
            <w:tcW w:w="2480" w:type="dxa"/>
            <w:shd w:val="clear" w:color="auto" w:fill="auto"/>
            <w:vAlign w:val="center"/>
          </w:tcPr>
          <w:p w14:paraId="49F7F643"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180.000</w:t>
            </w:r>
          </w:p>
        </w:tc>
        <w:tc>
          <w:tcPr>
            <w:tcW w:w="1193" w:type="dxa"/>
            <w:shd w:val="clear" w:color="auto" w:fill="auto"/>
            <w:vAlign w:val="center"/>
          </w:tcPr>
          <w:p w14:paraId="48AF5283"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10</w:t>
            </w:r>
          </w:p>
        </w:tc>
        <w:tc>
          <w:tcPr>
            <w:tcW w:w="1940" w:type="dxa"/>
            <w:shd w:val="clear" w:color="auto" w:fill="auto"/>
            <w:vAlign w:val="center"/>
          </w:tcPr>
          <w:p w14:paraId="08FD5432"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1.800.000</w:t>
            </w:r>
          </w:p>
        </w:tc>
      </w:tr>
      <w:tr w:rsidR="00C232D7" w:rsidRPr="00C149AB" w14:paraId="4CAEAED2" w14:textId="77777777" w:rsidTr="00C232D7">
        <w:trPr>
          <w:trHeight w:val="348"/>
          <w:jc w:val="center"/>
        </w:trPr>
        <w:tc>
          <w:tcPr>
            <w:tcW w:w="2370" w:type="dxa"/>
            <w:shd w:val="clear" w:color="auto" w:fill="auto"/>
            <w:vAlign w:val="center"/>
          </w:tcPr>
          <w:p w14:paraId="3033C2B4"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lang w:val="sq-AL"/>
              </w:rPr>
              <w:t>20 m</w:t>
            </w:r>
            <w:r w:rsidRPr="00C149AB">
              <w:rPr>
                <w:rFonts w:ascii="Arial" w:hAnsi="Arial" w:cs="Arial"/>
                <w:sz w:val="18"/>
                <w:szCs w:val="18"/>
                <w:vertAlign w:val="superscript"/>
                <w:lang w:val="sq-AL"/>
              </w:rPr>
              <w:t xml:space="preserve">3  </w:t>
            </w:r>
            <w:r w:rsidRPr="00C149AB">
              <w:rPr>
                <w:rFonts w:ascii="Arial" w:hAnsi="Arial" w:cs="Arial"/>
                <w:sz w:val="18"/>
                <w:szCs w:val="18"/>
                <w:lang w:val="sq-AL"/>
              </w:rPr>
              <w:t>kamion</w:t>
            </w:r>
          </w:p>
        </w:tc>
        <w:tc>
          <w:tcPr>
            <w:tcW w:w="2480" w:type="dxa"/>
            <w:shd w:val="clear" w:color="auto" w:fill="auto"/>
            <w:vAlign w:val="center"/>
          </w:tcPr>
          <w:p w14:paraId="4CC13ED8"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110.000</w:t>
            </w:r>
          </w:p>
        </w:tc>
        <w:tc>
          <w:tcPr>
            <w:tcW w:w="1193" w:type="dxa"/>
            <w:shd w:val="clear" w:color="auto" w:fill="auto"/>
            <w:vAlign w:val="center"/>
          </w:tcPr>
          <w:p w14:paraId="2C94BAF0"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10</w:t>
            </w:r>
          </w:p>
        </w:tc>
        <w:tc>
          <w:tcPr>
            <w:tcW w:w="1940" w:type="dxa"/>
            <w:shd w:val="clear" w:color="auto" w:fill="auto"/>
            <w:vAlign w:val="center"/>
          </w:tcPr>
          <w:p w14:paraId="60D45430"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1.100.000</w:t>
            </w:r>
          </w:p>
        </w:tc>
      </w:tr>
      <w:tr w:rsidR="00C232D7" w:rsidRPr="00C149AB" w14:paraId="059CC55A" w14:textId="77777777" w:rsidTr="00C232D7">
        <w:trPr>
          <w:trHeight w:val="348"/>
          <w:jc w:val="center"/>
        </w:trPr>
        <w:tc>
          <w:tcPr>
            <w:tcW w:w="2370" w:type="dxa"/>
            <w:shd w:val="clear" w:color="auto" w:fill="auto"/>
            <w:vAlign w:val="center"/>
          </w:tcPr>
          <w:p w14:paraId="64759204"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lang w:val="sq-AL"/>
              </w:rPr>
              <w:t>16 m</w:t>
            </w:r>
            <w:r w:rsidRPr="00C149AB">
              <w:rPr>
                <w:rFonts w:ascii="Arial" w:hAnsi="Arial" w:cs="Arial"/>
                <w:sz w:val="18"/>
                <w:szCs w:val="18"/>
                <w:vertAlign w:val="superscript"/>
                <w:lang w:val="sq-AL"/>
              </w:rPr>
              <w:t>3</w:t>
            </w:r>
            <w:r w:rsidRPr="00C149AB">
              <w:rPr>
                <w:rFonts w:ascii="Arial" w:hAnsi="Arial" w:cs="Arial"/>
                <w:sz w:val="18"/>
                <w:szCs w:val="18"/>
                <w:lang w:val="sq-AL"/>
              </w:rPr>
              <w:t xml:space="preserve"> kamion sa presom</w:t>
            </w:r>
          </w:p>
        </w:tc>
        <w:tc>
          <w:tcPr>
            <w:tcW w:w="2480" w:type="dxa"/>
            <w:shd w:val="clear" w:color="auto" w:fill="auto"/>
            <w:vAlign w:val="center"/>
          </w:tcPr>
          <w:p w14:paraId="0D6F9A98"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150.000</w:t>
            </w:r>
          </w:p>
        </w:tc>
        <w:tc>
          <w:tcPr>
            <w:tcW w:w="1193" w:type="dxa"/>
            <w:shd w:val="clear" w:color="auto" w:fill="auto"/>
            <w:vAlign w:val="center"/>
          </w:tcPr>
          <w:p w14:paraId="0D8A655B"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19</w:t>
            </w:r>
          </w:p>
        </w:tc>
        <w:tc>
          <w:tcPr>
            <w:tcW w:w="1940" w:type="dxa"/>
            <w:shd w:val="clear" w:color="auto" w:fill="auto"/>
            <w:vAlign w:val="center"/>
          </w:tcPr>
          <w:p w14:paraId="115F0703"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2.850.000</w:t>
            </w:r>
          </w:p>
        </w:tc>
      </w:tr>
      <w:tr w:rsidR="00C232D7" w:rsidRPr="00C149AB" w14:paraId="4CD5D38B" w14:textId="77777777" w:rsidTr="00C232D7">
        <w:trPr>
          <w:trHeight w:val="348"/>
          <w:jc w:val="center"/>
        </w:trPr>
        <w:tc>
          <w:tcPr>
            <w:tcW w:w="2370" w:type="dxa"/>
            <w:shd w:val="clear" w:color="auto" w:fill="auto"/>
            <w:vAlign w:val="center"/>
          </w:tcPr>
          <w:p w14:paraId="6A4BB734"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lang w:val="sq-AL"/>
              </w:rPr>
              <w:t>8 m</w:t>
            </w:r>
            <w:r w:rsidRPr="00C149AB">
              <w:rPr>
                <w:rFonts w:ascii="Arial" w:hAnsi="Arial" w:cs="Arial"/>
                <w:sz w:val="18"/>
                <w:szCs w:val="18"/>
                <w:vertAlign w:val="superscript"/>
                <w:lang w:val="sq-AL"/>
              </w:rPr>
              <w:t>3</w:t>
            </w:r>
            <w:r w:rsidRPr="00C149AB">
              <w:rPr>
                <w:rFonts w:ascii="Arial" w:hAnsi="Arial" w:cs="Arial"/>
                <w:sz w:val="18"/>
                <w:szCs w:val="18"/>
                <w:lang w:val="sq-AL"/>
              </w:rPr>
              <w:t xml:space="preserve"> kamion sa presom</w:t>
            </w:r>
          </w:p>
        </w:tc>
        <w:tc>
          <w:tcPr>
            <w:tcW w:w="2480" w:type="dxa"/>
            <w:shd w:val="clear" w:color="auto" w:fill="auto"/>
            <w:vAlign w:val="center"/>
          </w:tcPr>
          <w:p w14:paraId="75C037DB"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110.000</w:t>
            </w:r>
          </w:p>
        </w:tc>
        <w:tc>
          <w:tcPr>
            <w:tcW w:w="1193" w:type="dxa"/>
            <w:shd w:val="clear" w:color="auto" w:fill="auto"/>
            <w:vAlign w:val="center"/>
          </w:tcPr>
          <w:p w14:paraId="6A2BB0F6"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41</w:t>
            </w:r>
          </w:p>
        </w:tc>
        <w:tc>
          <w:tcPr>
            <w:tcW w:w="1940" w:type="dxa"/>
            <w:shd w:val="clear" w:color="auto" w:fill="auto"/>
            <w:vAlign w:val="center"/>
          </w:tcPr>
          <w:p w14:paraId="2930B67E"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4.510.000</w:t>
            </w:r>
          </w:p>
        </w:tc>
      </w:tr>
      <w:tr w:rsidR="00C232D7" w:rsidRPr="00C149AB" w14:paraId="68808BEE" w14:textId="77777777" w:rsidTr="00C232D7">
        <w:trPr>
          <w:trHeight w:val="348"/>
          <w:jc w:val="center"/>
        </w:trPr>
        <w:tc>
          <w:tcPr>
            <w:tcW w:w="2370" w:type="dxa"/>
            <w:shd w:val="clear" w:color="auto" w:fill="auto"/>
            <w:vAlign w:val="center"/>
          </w:tcPr>
          <w:p w14:paraId="4221582F"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lang w:val="sq-AL"/>
              </w:rPr>
              <w:t>4 m</w:t>
            </w:r>
            <w:r w:rsidRPr="00C149AB">
              <w:rPr>
                <w:rFonts w:ascii="Arial" w:hAnsi="Arial" w:cs="Arial"/>
                <w:sz w:val="18"/>
                <w:szCs w:val="18"/>
                <w:vertAlign w:val="superscript"/>
                <w:lang w:val="sq-AL"/>
              </w:rPr>
              <w:t>3</w:t>
            </w:r>
            <w:r w:rsidRPr="00C149AB">
              <w:rPr>
                <w:rFonts w:ascii="Arial" w:hAnsi="Arial" w:cs="Arial"/>
                <w:sz w:val="18"/>
                <w:szCs w:val="18"/>
                <w:lang w:val="sq-AL"/>
              </w:rPr>
              <w:t xml:space="preserve"> kamion sa presom</w:t>
            </w:r>
          </w:p>
        </w:tc>
        <w:tc>
          <w:tcPr>
            <w:tcW w:w="2480" w:type="dxa"/>
            <w:shd w:val="clear" w:color="auto" w:fill="auto"/>
            <w:vAlign w:val="center"/>
          </w:tcPr>
          <w:p w14:paraId="1440D101"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80.000</w:t>
            </w:r>
          </w:p>
        </w:tc>
        <w:tc>
          <w:tcPr>
            <w:tcW w:w="1193" w:type="dxa"/>
            <w:shd w:val="clear" w:color="auto" w:fill="auto"/>
            <w:vAlign w:val="center"/>
          </w:tcPr>
          <w:p w14:paraId="159EC33F"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2</w:t>
            </w:r>
          </w:p>
        </w:tc>
        <w:tc>
          <w:tcPr>
            <w:tcW w:w="1940" w:type="dxa"/>
            <w:shd w:val="clear" w:color="auto" w:fill="auto"/>
            <w:vAlign w:val="center"/>
          </w:tcPr>
          <w:p w14:paraId="06B4FDFD"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160.000</w:t>
            </w:r>
          </w:p>
        </w:tc>
      </w:tr>
      <w:tr w:rsidR="00C232D7" w:rsidRPr="00C149AB" w14:paraId="66E269BB" w14:textId="77777777" w:rsidTr="00C232D7">
        <w:trPr>
          <w:trHeight w:val="348"/>
          <w:jc w:val="center"/>
        </w:trPr>
        <w:tc>
          <w:tcPr>
            <w:tcW w:w="2370" w:type="dxa"/>
            <w:shd w:val="clear" w:color="auto" w:fill="auto"/>
            <w:vAlign w:val="center"/>
          </w:tcPr>
          <w:p w14:paraId="26850C12"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lang w:val="sq-AL"/>
              </w:rPr>
              <w:t>6 m</w:t>
            </w:r>
            <w:r w:rsidRPr="00C149AB">
              <w:rPr>
                <w:rFonts w:ascii="Arial" w:hAnsi="Arial" w:cs="Arial"/>
                <w:sz w:val="18"/>
                <w:szCs w:val="18"/>
                <w:vertAlign w:val="superscript"/>
                <w:lang w:val="sq-AL"/>
              </w:rPr>
              <w:t>3</w:t>
            </w:r>
            <w:r w:rsidRPr="00C149AB">
              <w:rPr>
                <w:rFonts w:ascii="Arial" w:hAnsi="Arial" w:cs="Arial"/>
                <w:sz w:val="18"/>
                <w:szCs w:val="18"/>
                <w:lang w:val="sq-AL"/>
              </w:rPr>
              <w:t xml:space="preserve"> otvoreni kamion</w:t>
            </w:r>
          </w:p>
        </w:tc>
        <w:tc>
          <w:tcPr>
            <w:tcW w:w="2480" w:type="dxa"/>
            <w:shd w:val="clear" w:color="auto" w:fill="auto"/>
            <w:vAlign w:val="center"/>
          </w:tcPr>
          <w:p w14:paraId="592CC383"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70.000</w:t>
            </w:r>
          </w:p>
        </w:tc>
        <w:tc>
          <w:tcPr>
            <w:tcW w:w="1193" w:type="dxa"/>
            <w:shd w:val="clear" w:color="auto" w:fill="auto"/>
            <w:vAlign w:val="center"/>
          </w:tcPr>
          <w:p w14:paraId="2555628A"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18</w:t>
            </w:r>
          </w:p>
        </w:tc>
        <w:tc>
          <w:tcPr>
            <w:tcW w:w="1940" w:type="dxa"/>
            <w:shd w:val="clear" w:color="auto" w:fill="auto"/>
            <w:vAlign w:val="center"/>
          </w:tcPr>
          <w:p w14:paraId="57B21BD4"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1.260.000</w:t>
            </w:r>
          </w:p>
        </w:tc>
      </w:tr>
      <w:tr w:rsidR="00C232D7" w:rsidRPr="00C149AB" w14:paraId="1D8A1CE6" w14:textId="77777777" w:rsidTr="00C232D7">
        <w:trPr>
          <w:trHeight w:val="312"/>
          <w:jc w:val="center"/>
        </w:trPr>
        <w:tc>
          <w:tcPr>
            <w:tcW w:w="2370" w:type="dxa"/>
            <w:shd w:val="clear" w:color="auto" w:fill="auto"/>
            <w:vAlign w:val="center"/>
          </w:tcPr>
          <w:p w14:paraId="16FF2359" w14:textId="732E44D0"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lang w:val="sq-AL"/>
              </w:rPr>
              <w:t xml:space="preserve">Vozilo za pranje </w:t>
            </w:r>
            <w:r w:rsidR="007B1545" w:rsidRPr="00C149AB">
              <w:rPr>
                <w:rFonts w:ascii="Arial" w:hAnsi="Arial" w:cs="Arial"/>
                <w:sz w:val="18"/>
                <w:szCs w:val="18"/>
                <w:lang w:val="sq-AL"/>
              </w:rPr>
              <w:t>posuda</w:t>
            </w:r>
          </w:p>
        </w:tc>
        <w:tc>
          <w:tcPr>
            <w:tcW w:w="2480" w:type="dxa"/>
            <w:shd w:val="clear" w:color="auto" w:fill="auto"/>
            <w:vAlign w:val="center"/>
          </w:tcPr>
          <w:p w14:paraId="54FBBCD6"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120.000</w:t>
            </w:r>
          </w:p>
        </w:tc>
        <w:tc>
          <w:tcPr>
            <w:tcW w:w="1193" w:type="dxa"/>
            <w:shd w:val="clear" w:color="auto" w:fill="auto"/>
            <w:vAlign w:val="center"/>
          </w:tcPr>
          <w:p w14:paraId="58883DB9"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11</w:t>
            </w:r>
          </w:p>
        </w:tc>
        <w:tc>
          <w:tcPr>
            <w:tcW w:w="1940" w:type="dxa"/>
            <w:shd w:val="clear" w:color="auto" w:fill="auto"/>
            <w:vAlign w:val="center"/>
          </w:tcPr>
          <w:p w14:paraId="7DB4D631"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sz w:val="18"/>
                <w:szCs w:val="18"/>
              </w:rPr>
              <w:t>1.320.000</w:t>
            </w:r>
          </w:p>
        </w:tc>
      </w:tr>
      <w:tr w:rsidR="00C232D7" w:rsidRPr="00C149AB" w14:paraId="5F69F2B1" w14:textId="77777777" w:rsidTr="00C232D7">
        <w:trPr>
          <w:trHeight w:val="312"/>
          <w:jc w:val="center"/>
        </w:trPr>
        <w:tc>
          <w:tcPr>
            <w:tcW w:w="2370" w:type="dxa"/>
            <w:shd w:val="clear" w:color="auto" w:fill="auto"/>
            <w:vAlign w:val="center"/>
          </w:tcPr>
          <w:p w14:paraId="56836A36" w14:textId="77777777" w:rsidR="00C232D7" w:rsidRPr="00C149AB" w:rsidRDefault="00C232D7" w:rsidP="00C232D7">
            <w:pPr>
              <w:spacing w:line="360" w:lineRule="auto"/>
              <w:rPr>
                <w:rFonts w:ascii="Arial" w:hAnsi="Arial" w:cs="Arial"/>
                <w:b/>
                <w:bCs/>
                <w:sz w:val="18"/>
                <w:szCs w:val="18"/>
                <w:lang w:val="sq-AL"/>
              </w:rPr>
            </w:pPr>
            <w:r w:rsidRPr="00C149AB">
              <w:rPr>
                <w:rFonts w:ascii="Arial" w:hAnsi="Arial" w:cs="Arial"/>
                <w:b/>
                <w:bCs/>
                <w:sz w:val="18"/>
                <w:szCs w:val="18"/>
                <w:lang w:val="sq-AL"/>
              </w:rPr>
              <w:t>Ukupno</w:t>
            </w:r>
          </w:p>
        </w:tc>
        <w:tc>
          <w:tcPr>
            <w:tcW w:w="2480" w:type="dxa"/>
            <w:shd w:val="clear" w:color="auto" w:fill="auto"/>
            <w:vAlign w:val="center"/>
          </w:tcPr>
          <w:p w14:paraId="0A8E7E79" w14:textId="77777777" w:rsidR="00C232D7" w:rsidRPr="00C149AB" w:rsidRDefault="00C232D7" w:rsidP="00C232D7">
            <w:pPr>
              <w:spacing w:line="360" w:lineRule="auto"/>
              <w:rPr>
                <w:rFonts w:ascii="Arial" w:hAnsi="Arial" w:cs="Arial"/>
                <w:b/>
                <w:bCs/>
                <w:sz w:val="18"/>
                <w:szCs w:val="18"/>
                <w:lang w:val="sq-AL"/>
              </w:rPr>
            </w:pPr>
            <w:r w:rsidRPr="00C149AB">
              <w:rPr>
                <w:rFonts w:ascii="Arial" w:hAnsi="Arial" w:cs="Arial"/>
                <w:b/>
                <w:bCs/>
                <w:sz w:val="18"/>
                <w:szCs w:val="18"/>
              </w:rPr>
              <w:t> </w:t>
            </w:r>
          </w:p>
        </w:tc>
        <w:tc>
          <w:tcPr>
            <w:tcW w:w="1193" w:type="dxa"/>
            <w:shd w:val="clear" w:color="auto" w:fill="auto"/>
            <w:vAlign w:val="center"/>
          </w:tcPr>
          <w:p w14:paraId="1796AE2B" w14:textId="77777777" w:rsidR="00C232D7" w:rsidRPr="00C149AB" w:rsidRDefault="00C232D7" w:rsidP="00C232D7">
            <w:pPr>
              <w:spacing w:line="360" w:lineRule="auto"/>
              <w:rPr>
                <w:rFonts w:ascii="Arial" w:hAnsi="Arial" w:cs="Arial"/>
                <w:sz w:val="18"/>
                <w:szCs w:val="18"/>
                <w:lang w:val="sq-AL"/>
              </w:rPr>
            </w:pPr>
            <w:r w:rsidRPr="00C149AB">
              <w:rPr>
                <w:rFonts w:ascii="Arial" w:hAnsi="Arial" w:cs="Arial"/>
                <w:b/>
                <w:bCs/>
                <w:sz w:val="18"/>
                <w:szCs w:val="18"/>
              </w:rPr>
              <w:t> </w:t>
            </w:r>
          </w:p>
        </w:tc>
        <w:tc>
          <w:tcPr>
            <w:tcW w:w="1940" w:type="dxa"/>
            <w:shd w:val="clear" w:color="auto" w:fill="auto"/>
            <w:vAlign w:val="center"/>
          </w:tcPr>
          <w:p w14:paraId="0AA462AB" w14:textId="77777777" w:rsidR="00C232D7" w:rsidRPr="00C149AB" w:rsidRDefault="00C232D7" w:rsidP="00C232D7">
            <w:pPr>
              <w:spacing w:line="360" w:lineRule="auto"/>
              <w:rPr>
                <w:rFonts w:ascii="Arial" w:hAnsi="Arial" w:cs="Arial"/>
                <w:b/>
                <w:bCs/>
                <w:sz w:val="18"/>
                <w:szCs w:val="18"/>
                <w:lang w:val="sq-AL"/>
              </w:rPr>
            </w:pPr>
            <w:r w:rsidRPr="00C149AB">
              <w:rPr>
                <w:rFonts w:ascii="Arial" w:hAnsi="Arial" w:cs="Arial"/>
                <w:b/>
                <w:bCs/>
                <w:sz w:val="18"/>
                <w:szCs w:val="18"/>
              </w:rPr>
              <w:t>23.534.360</w:t>
            </w:r>
          </w:p>
        </w:tc>
      </w:tr>
    </w:tbl>
    <w:p w14:paraId="32DBC877" w14:textId="19BB548C" w:rsidR="00292162" w:rsidRDefault="00C232D7" w:rsidP="00292162">
      <w:pPr>
        <w:spacing w:before="120" w:after="120" w:line="360" w:lineRule="auto"/>
        <w:rPr>
          <w:rFonts w:ascii="Arial" w:hAnsi="Arial" w:cs="Arial"/>
          <w:lang w:val="sq-AL"/>
        </w:rPr>
      </w:pPr>
      <w:r w:rsidRPr="002A6F4E">
        <w:rPr>
          <w:rFonts w:ascii="Arial" w:hAnsi="Arial" w:cs="Arial"/>
          <w:lang w:val="sq-AL"/>
        </w:rPr>
        <w:t xml:space="preserve">U narednoj tabeli prikazan je  učinak ove opcije u </w:t>
      </w:r>
      <w:r w:rsidR="00292162">
        <w:rPr>
          <w:rFonts w:ascii="Arial" w:hAnsi="Arial" w:cs="Arial"/>
          <w:lang w:val="sq-AL"/>
        </w:rPr>
        <w:t>odnosu na kvantitativne ciljeve.</w:t>
      </w:r>
      <w:bookmarkStart w:id="1085" w:name="_Toc189515658"/>
    </w:p>
    <w:p w14:paraId="496876C1" w14:textId="77777777" w:rsidR="00917080" w:rsidRDefault="00917080" w:rsidP="00292162">
      <w:pPr>
        <w:spacing w:before="120" w:after="120" w:line="360" w:lineRule="auto"/>
        <w:rPr>
          <w:rFonts w:ascii="Arial" w:hAnsi="Arial" w:cs="Arial"/>
          <w:lang w:val="sq-AL"/>
        </w:rPr>
      </w:pPr>
    </w:p>
    <w:p w14:paraId="470E9F9A" w14:textId="77777777" w:rsidR="00917080" w:rsidRDefault="00917080" w:rsidP="00292162">
      <w:pPr>
        <w:spacing w:before="120" w:after="120" w:line="360" w:lineRule="auto"/>
        <w:rPr>
          <w:rFonts w:ascii="Arial" w:hAnsi="Arial" w:cs="Arial"/>
          <w:lang w:val="sq-AL"/>
        </w:rPr>
      </w:pPr>
    </w:p>
    <w:p w14:paraId="6D5FB1EF" w14:textId="192561A8" w:rsidR="00C232D7" w:rsidRPr="00C149AB" w:rsidRDefault="00C232D7" w:rsidP="00292162">
      <w:pPr>
        <w:pStyle w:val="Caption"/>
        <w:rPr>
          <w:rFonts w:ascii="Arial" w:hAnsi="Arial" w:cs="Arial"/>
          <w:b w:val="0"/>
          <w:highlight w:val="cyan"/>
          <w:lang w:val="sq-AL"/>
        </w:rPr>
      </w:pPr>
      <w:bookmarkStart w:id="1086" w:name="_Toc190160776"/>
      <w:r w:rsidRPr="00C149AB">
        <w:rPr>
          <w:rFonts w:ascii="Arial" w:hAnsi="Arial" w:cs="Arial"/>
          <w:b w:val="0"/>
          <w:lang w:val="sq-AL"/>
        </w:rPr>
        <w:lastRenderedPageBreak/>
        <w:t xml:space="preserve">Tabela </w:t>
      </w:r>
      <w:r w:rsidRPr="00C149AB">
        <w:rPr>
          <w:rFonts w:ascii="Arial" w:hAnsi="Arial" w:cs="Arial"/>
          <w:b w:val="0"/>
        </w:rPr>
        <w:fldChar w:fldCharType="begin"/>
      </w:r>
      <w:r w:rsidRPr="00C149AB">
        <w:rPr>
          <w:rFonts w:ascii="Arial" w:hAnsi="Arial" w:cs="Arial"/>
          <w:b w:val="0"/>
          <w:lang w:val="sq-AL"/>
        </w:rPr>
        <w:instrText xml:space="preserve"> SEQ Tabela \* ARABIC </w:instrText>
      </w:r>
      <w:r w:rsidRPr="00C149AB">
        <w:rPr>
          <w:rFonts w:ascii="Arial" w:hAnsi="Arial" w:cs="Arial"/>
          <w:b w:val="0"/>
        </w:rPr>
        <w:fldChar w:fldCharType="separate"/>
      </w:r>
      <w:r w:rsidR="007274DA">
        <w:rPr>
          <w:rFonts w:ascii="Arial" w:hAnsi="Arial" w:cs="Arial"/>
          <w:b w:val="0"/>
          <w:noProof/>
          <w:lang w:val="sq-AL"/>
        </w:rPr>
        <w:t>82</w:t>
      </w:r>
      <w:r w:rsidRPr="00C149AB">
        <w:rPr>
          <w:rFonts w:ascii="Arial" w:hAnsi="Arial" w:cs="Arial"/>
          <w:b w:val="0"/>
        </w:rPr>
        <w:fldChar w:fldCharType="end"/>
      </w:r>
      <w:r w:rsidRPr="00C149AB">
        <w:rPr>
          <w:rFonts w:ascii="Arial" w:hAnsi="Arial" w:cs="Arial"/>
          <w:b w:val="0"/>
          <w:lang w:val="sq-AL"/>
        </w:rPr>
        <w:t xml:space="preserve"> Učinak opcije VII u odnosu na postavljene ciljeve</w:t>
      </w:r>
      <w:bookmarkEnd w:id="1085"/>
      <w:bookmarkEnd w:id="1086"/>
    </w:p>
    <w:tbl>
      <w:tblPr>
        <w:tblStyle w:val="GridTable4-Accent11"/>
        <w:tblW w:w="50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6"/>
        <w:gridCol w:w="2862"/>
        <w:gridCol w:w="2900"/>
        <w:gridCol w:w="1445"/>
      </w:tblGrid>
      <w:tr w:rsidR="00C232D7" w:rsidRPr="00C149AB" w14:paraId="5E9F609F" w14:textId="77777777" w:rsidTr="00242C0D">
        <w:trPr>
          <w:cnfStyle w:val="100000000000" w:firstRow="1" w:lastRow="0" w:firstColumn="0" w:lastColumn="0" w:oddVBand="0" w:evenVBand="0" w:oddHBand="0" w:evenHBand="0" w:firstRowFirstColumn="0" w:firstRowLastColumn="0" w:lastRowFirstColumn="0" w:lastRowLastColumn="0"/>
          <w:trHeight w:val="433"/>
          <w:tblHeader/>
          <w:jc w:val="center"/>
        </w:trPr>
        <w:tc>
          <w:tcPr>
            <w:cnfStyle w:val="001000000000" w:firstRow="0" w:lastRow="0" w:firstColumn="1" w:lastColumn="0" w:oddVBand="0" w:evenVBand="0" w:oddHBand="0" w:evenHBand="0" w:firstRowFirstColumn="0" w:firstRowLastColumn="0" w:lastRowFirstColumn="0" w:lastRowLastColumn="0"/>
            <w:tcW w:w="1200" w:type="pct"/>
            <w:tcBorders>
              <w:bottom w:val="single" w:sz="4" w:space="0" w:color="auto"/>
              <w:right w:val="single" w:sz="4" w:space="0" w:color="auto"/>
            </w:tcBorders>
            <w:shd w:val="clear" w:color="auto" w:fill="F2F2F2" w:themeFill="background1" w:themeFillShade="F2"/>
            <w:vAlign w:val="center"/>
          </w:tcPr>
          <w:p w14:paraId="0B3A04C7" w14:textId="77777777" w:rsidR="00C232D7" w:rsidRPr="00C149AB" w:rsidRDefault="00C232D7" w:rsidP="00C232D7">
            <w:pPr>
              <w:pStyle w:val="Normal-10pt-Table"/>
              <w:spacing w:line="360" w:lineRule="auto"/>
              <w:jc w:val="both"/>
              <w:rPr>
                <w:rFonts w:ascii="Arial" w:hAnsi="Arial" w:cs="Arial"/>
                <w:b w:val="0"/>
                <w:bCs w:val="0"/>
                <w:sz w:val="18"/>
                <w:szCs w:val="18"/>
                <w:lang w:val="sq-AL"/>
              </w:rPr>
            </w:pPr>
            <w:r w:rsidRPr="00C149AB">
              <w:rPr>
                <w:rFonts w:ascii="Arial" w:hAnsi="Arial" w:cs="Arial"/>
                <w:color w:val="auto"/>
                <w:sz w:val="18"/>
                <w:szCs w:val="18"/>
                <w:lang w:val="sq-AL"/>
              </w:rPr>
              <w:t>Faza upravljanja otpadom</w:t>
            </w:r>
          </w:p>
          <w:p w14:paraId="4BD60FF2" w14:textId="77777777" w:rsidR="00C232D7" w:rsidRPr="00C149AB" w:rsidRDefault="00C232D7" w:rsidP="00C232D7">
            <w:pPr>
              <w:pStyle w:val="Normal-10pt-Table"/>
              <w:spacing w:line="360" w:lineRule="auto"/>
              <w:jc w:val="both"/>
              <w:rPr>
                <w:rFonts w:ascii="Arial" w:hAnsi="Arial" w:cs="Arial"/>
                <w:b w:val="0"/>
                <w:bCs w:val="0"/>
                <w:sz w:val="18"/>
                <w:szCs w:val="18"/>
                <w:lang w:val="mk-MK"/>
              </w:rPr>
            </w:pPr>
          </w:p>
        </w:tc>
        <w:tc>
          <w:tcPr>
            <w:tcW w:w="1509" w:type="pct"/>
            <w:tcBorders>
              <w:left w:val="single" w:sz="4" w:space="0" w:color="auto"/>
              <w:bottom w:val="single" w:sz="4" w:space="0" w:color="auto"/>
              <w:right w:val="single" w:sz="4" w:space="0" w:color="auto"/>
            </w:tcBorders>
            <w:shd w:val="clear" w:color="auto" w:fill="F2F2F2" w:themeFill="background1" w:themeFillShade="F2"/>
            <w:vAlign w:val="center"/>
          </w:tcPr>
          <w:p w14:paraId="6E2EA5F5"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mk-MK"/>
              </w:rPr>
            </w:pPr>
            <w:r w:rsidRPr="00C149AB">
              <w:rPr>
                <w:rFonts w:ascii="Arial" w:hAnsi="Arial" w:cs="Arial"/>
                <w:color w:val="auto"/>
                <w:sz w:val="18"/>
                <w:szCs w:val="18"/>
                <w:lang w:val="sq-AL"/>
              </w:rPr>
              <w:t>Potražnja</w:t>
            </w:r>
          </w:p>
        </w:tc>
        <w:tc>
          <w:tcPr>
            <w:tcW w:w="1529" w:type="pct"/>
            <w:tcBorders>
              <w:left w:val="single" w:sz="4" w:space="0" w:color="auto"/>
              <w:bottom w:val="single" w:sz="4" w:space="0" w:color="auto"/>
              <w:right w:val="single" w:sz="4" w:space="0" w:color="auto"/>
            </w:tcBorders>
            <w:shd w:val="clear" w:color="auto" w:fill="F2F2F2" w:themeFill="background1" w:themeFillShade="F2"/>
            <w:vAlign w:val="center"/>
          </w:tcPr>
          <w:p w14:paraId="0EA18930"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mk-MK"/>
              </w:rPr>
            </w:pPr>
            <w:r w:rsidRPr="00C149AB">
              <w:rPr>
                <w:rFonts w:ascii="Arial" w:hAnsi="Arial" w:cs="Arial"/>
                <w:color w:val="auto"/>
                <w:sz w:val="18"/>
                <w:szCs w:val="18"/>
                <w:lang w:val="sq-AL"/>
              </w:rPr>
              <w:t>Učinak</w:t>
            </w:r>
          </w:p>
        </w:tc>
        <w:tc>
          <w:tcPr>
            <w:tcW w:w="762" w:type="pct"/>
            <w:tcBorders>
              <w:left w:val="single" w:sz="4" w:space="0" w:color="auto"/>
              <w:bottom w:val="single" w:sz="4" w:space="0" w:color="auto"/>
            </w:tcBorders>
            <w:shd w:val="clear" w:color="auto" w:fill="F2F2F2" w:themeFill="background1" w:themeFillShade="F2"/>
            <w:vAlign w:val="center"/>
          </w:tcPr>
          <w:p w14:paraId="6618C08A"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mk-MK"/>
              </w:rPr>
            </w:pPr>
            <w:r w:rsidRPr="00C149AB">
              <w:rPr>
                <w:rFonts w:ascii="Arial" w:hAnsi="Arial" w:cs="Arial"/>
                <w:color w:val="auto"/>
                <w:sz w:val="18"/>
                <w:szCs w:val="18"/>
                <w:lang w:val="sq-AL"/>
              </w:rPr>
              <w:t>Nivo ispunjenosti</w:t>
            </w:r>
          </w:p>
        </w:tc>
      </w:tr>
      <w:tr w:rsidR="00C232D7" w:rsidRPr="00C149AB" w14:paraId="49816288" w14:textId="77777777" w:rsidTr="00242C0D">
        <w:trPr>
          <w:jc w:val="center"/>
        </w:trPr>
        <w:tc>
          <w:tcPr>
            <w:cnfStyle w:val="001000000000" w:firstRow="0" w:lastRow="0" w:firstColumn="1" w:lastColumn="0" w:oddVBand="0" w:evenVBand="0" w:oddHBand="0" w:evenHBand="0" w:firstRowFirstColumn="0" w:firstRowLastColumn="0" w:lastRowFirstColumn="0" w:lastRowLastColumn="0"/>
            <w:tcW w:w="1200" w:type="pct"/>
            <w:tcBorders>
              <w:top w:val="single" w:sz="4" w:space="0" w:color="auto"/>
            </w:tcBorders>
            <w:shd w:val="clear" w:color="auto" w:fill="auto"/>
            <w:vAlign w:val="center"/>
          </w:tcPr>
          <w:p w14:paraId="234AA295" w14:textId="77777777" w:rsidR="00C232D7" w:rsidRPr="00C149AB" w:rsidRDefault="00C232D7" w:rsidP="00C232D7">
            <w:pPr>
              <w:pStyle w:val="Normal-10pt-Table"/>
              <w:spacing w:line="360" w:lineRule="auto"/>
              <w:jc w:val="both"/>
              <w:rPr>
                <w:rFonts w:ascii="Arial" w:hAnsi="Arial" w:cs="Arial"/>
                <w:sz w:val="18"/>
                <w:szCs w:val="18"/>
                <w:lang w:val="mk-MK"/>
              </w:rPr>
            </w:pPr>
            <w:r w:rsidRPr="00C149AB">
              <w:rPr>
                <w:rFonts w:ascii="Arial" w:hAnsi="Arial" w:cs="Arial"/>
                <w:sz w:val="18"/>
                <w:szCs w:val="18"/>
                <w:lang w:val="sq-AL"/>
              </w:rPr>
              <w:t>Ukupno sakupljene količine otpada</w:t>
            </w:r>
          </w:p>
        </w:tc>
        <w:tc>
          <w:tcPr>
            <w:tcW w:w="1509" w:type="pct"/>
            <w:tcBorders>
              <w:top w:val="single" w:sz="4" w:space="0" w:color="auto"/>
            </w:tcBorders>
            <w:shd w:val="clear" w:color="auto" w:fill="auto"/>
            <w:vAlign w:val="center"/>
          </w:tcPr>
          <w:p w14:paraId="014BFA69" w14:textId="20764767"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202</w:t>
            </w:r>
            <w:r w:rsidR="00EA347B" w:rsidRPr="00C149AB">
              <w:rPr>
                <w:rFonts w:ascii="Arial" w:hAnsi="Arial" w:cs="Arial"/>
                <w:sz w:val="18"/>
                <w:szCs w:val="18"/>
                <w:lang w:val="sr-Latn-RS"/>
              </w:rPr>
              <w:t>5</w:t>
            </w:r>
            <w:r w:rsidRPr="00C149AB">
              <w:rPr>
                <w:rFonts w:ascii="Arial" w:hAnsi="Arial" w:cs="Arial"/>
                <w:sz w:val="18"/>
                <w:szCs w:val="18"/>
                <w:lang w:val="mk-MK"/>
              </w:rPr>
              <w:t>: 35</w:t>
            </w:r>
            <w:r w:rsidR="00292162" w:rsidRPr="00C149AB">
              <w:rPr>
                <w:rFonts w:ascii="Arial" w:hAnsi="Arial" w:cs="Arial"/>
                <w:sz w:val="18"/>
                <w:szCs w:val="18"/>
                <w:lang w:val="mk-MK"/>
              </w:rPr>
              <w:t>0.424 t/god</w:t>
            </w:r>
            <w:r w:rsidR="00413A37">
              <w:rPr>
                <w:rFonts w:ascii="Arial" w:hAnsi="Arial" w:cs="Arial"/>
                <w:sz w:val="18"/>
                <w:szCs w:val="18"/>
                <w:lang w:val="sr-Latn-ME"/>
              </w:rPr>
              <w:t xml:space="preserve"> </w:t>
            </w:r>
            <w:r w:rsidR="00292162" w:rsidRPr="00C149AB">
              <w:rPr>
                <w:rFonts w:ascii="Arial" w:hAnsi="Arial" w:cs="Arial"/>
                <w:sz w:val="18"/>
                <w:szCs w:val="18"/>
                <w:lang w:val="mk-MK"/>
              </w:rPr>
              <w:t>(</w:t>
            </w:r>
            <w:r w:rsidRPr="00C149AB">
              <w:rPr>
                <w:rFonts w:ascii="Arial" w:hAnsi="Arial" w:cs="Arial"/>
                <w:sz w:val="18"/>
                <w:szCs w:val="18"/>
                <w:lang w:val="mk-MK"/>
              </w:rPr>
              <w:t>100% ukupnog otpada)</w:t>
            </w:r>
          </w:p>
          <w:p w14:paraId="5AD23E2C" w14:textId="457AC3CA" w:rsidR="00C232D7" w:rsidRPr="00C149AB"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en-US"/>
              </w:rPr>
              <w:t>2029</w:t>
            </w:r>
            <w:r w:rsidR="00292162" w:rsidRPr="00C149AB">
              <w:rPr>
                <w:rFonts w:ascii="Arial" w:hAnsi="Arial" w:cs="Arial"/>
                <w:sz w:val="18"/>
                <w:szCs w:val="18"/>
                <w:lang w:val="mk-MK"/>
              </w:rPr>
              <w:t>: 360.433 t/god (</w:t>
            </w:r>
            <w:r w:rsidR="00C232D7" w:rsidRPr="00C149AB">
              <w:rPr>
                <w:rFonts w:ascii="Arial" w:hAnsi="Arial" w:cs="Arial"/>
                <w:sz w:val="18"/>
                <w:szCs w:val="18"/>
                <w:lang w:val="mk-MK"/>
              </w:rPr>
              <w:t>100% ukupnog otpada)</w:t>
            </w:r>
          </w:p>
        </w:tc>
        <w:tc>
          <w:tcPr>
            <w:tcW w:w="1529" w:type="pct"/>
            <w:tcBorders>
              <w:top w:val="single" w:sz="4" w:space="0" w:color="auto"/>
            </w:tcBorders>
            <w:shd w:val="clear" w:color="auto" w:fill="auto"/>
            <w:vAlign w:val="center"/>
          </w:tcPr>
          <w:p w14:paraId="4EA80862" w14:textId="63DE0848" w:rsidR="00C232D7" w:rsidRPr="00C149AB" w:rsidRDefault="00292162"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202</w:t>
            </w:r>
            <w:r w:rsidR="00EA347B" w:rsidRPr="00C149AB">
              <w:rPr>
                <w:rFonts w:ascii="Arial" w:hAnsi="Arial" w:cs="Arial"/>
                <w:sz w:val="18"/>
                <w:szCs w:val="18"/>
                <w:lang w:val="sr-Latn-RS"/>
              </w:rPr>
              <w:t>5</w:t>
            </w:r>
            <w:r w:rsidRPr="00C149AB">
              <w:rPr>
                <w:rFonts w:ascii="Arial" w:hAnsi="Arial" w:cs="Arial"/>
                <w:sz w:val="18"/>
                <w:szCs w:val="18"/>
                <w:lang w:val="mk-MK"/>
              </w:rPr>
              <w:t>: 332.968 t/god (</w:t>
            </w:r>
            <w:r w:rsidR="00C232D7" w:rsidRPr="00C149AB">
              <w:rPr>
                <w:rFonts w:ascii="Arial" w:hAnsi="Arial" w:cs="Arial"/>
                <w:sz w:val="18"/>
                <w:szCs w:val="18"/>
                <w:lang w:val="mk-MK"/>
              </w:rPr>
              <w:t>95.0% ukupnog otpada)</w:t>
            </w:r>
          </w:p>
          <w:p w14:paraId="1F567A36" w14:textId="68F3316C" w:rsidR="00C232D7" w:rsidRPr="00C149AB"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en-US"/>
              </w:rPr>
              <w:t>2029</w:t>
            </w:r>
            <w:r w:rsidR="00292162" w:rsidRPr="00C149AB">
              <w:rPr>
                <w:rFonts w:ascii="Arial" w:hAnsi="Arial" w:cs="Arial"/>
                <w:sz w:val="18"/>
                <w:szCs w:val="18"/>
                <w:lang w:val="mk-MK"/>
              </w:rPr>
              <w:t>: 342.776t/god (</w:t>
            </w:r>
            <w:r w:rsidR="00C232D7" w:rsidRPr="00C149AB">
              <w:rPr>
                <w:rFonts w:ascii="Arial" w:hAnsi="Arial" w:cs="Arial"/>
                <w:sz w:val="18"/>
                <w:szCs w:val="18"/>
                <w:lang w:val="mk-MK"/>
              </w:rPr>
              <w:t>95.1% ukupnog otpada)</w:t>
            </w:r>
          </w:p>
        </w:tc>
        <w:tc>
          <w:tcPr>
            <w:tcW w:w="762" w:type="pct"/>
            <w:tcBorders>
              <w:top w:val="single" w:sz="4" w:space="0" w:color="auto"/>
            </w:tcBorders>
            <w:shd w:val="clear" w:color="auto" w:fill="auto"/>
            <w:vAlign w:val="center"/>
          </w:tcPr>
          <w:p w14:paraId="539B1E97" w14:textId="46B55394"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202</w:t>
            </w:r>
            <w:r w:rsidR="00EA347B" w:rsidRPr="00C149AB">
              <w:rPr>
                <w:rFonts w:ascii="Arial" w:hAnsi="Arial" w:cs="Arial"/>
                <w:sz w:val="18"/>
                <w:szCs w:val="18"/>
                <w:lang w:val="sr-Latn-RS"/>
              </w:rPr>
              <w:t>5</w:t>
            </w:r>
            <w:r w:rsidRPr="00C149AB">
              <w:rPr>
                <w:rFonts w:ascii="Arial" w:hAnsi="Arial" w:cs="Arial"/>
                <w:sz w:val="18"/>
                <w:szCs w:val="18"/>
                <w:lang w:val="mk-MK"/>
              </w:rPr>
              <w:t xml:space="preserve">: 100% </w:t>
            </w:r>
          </w:p>
          <w:p w14:paraId="00F170CF" w14:textId="68FDE6D7" w:rsidR="00C232D7" w:rsidRPr="00C149AB"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en-US"/>
              </w:rPr>
              <w:t>2029</w:t>
            </w:r>
            <w:r w:rsidR="00C232D7" w:rsidRPr="00C149AB">
              <w:rPr>
                <w:rFonts w:ascii="Arial" w:hAnsi="Arial" w:cs="Arial"/>
                <w:sz w:val="18"/>
                <w:szCs w:val="18"/>
                <w:lang w:val="mk-MK"/>
              </w:rPr>
              <w:t>: 100%</w:t>
            </w:r>
          </w:p>
        </w:tc>
      </w:tr>
      <w:tr w:rsidR="00C232D7" w:rsidRPr="00C149AB" w14:paraId="7189CD6F"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vAlign w:val="center"/>
          </w:tcPr>
          <w:p w14:paraId="03ADD121" w14:textId="77777777" w:rsidR="00C232D7" w:rsidRPr="00C149AB" w:rsidRDefault="00C232D7" w:rsidP="00C232D7">
            <w:pPr>
              <w:pStyle w:val="Normal-10pt-Table"/>
              <w:spacing w:line="360" w:lineRule="auto"/>
              <w:jc w:val="both"/>
              <w:rPr>
                <w:rFonts w:ascii="Arial" w:hAnsi="Arial" w:cs="Arial"/>
                <w:sz w:val="18"/>
                <w:szCs w:val="18"/>
                <w:lang w:val="mk-MK"/>
              </w:rPr>
            </w:pPr>
            <w:r w:rsidRPr="00C149AB">
              <w:rPr>
                <w:rFonts w:ascii="Arial" w:hAnsi="Arial" w:cs="Arial"/>
                <w:sz w:val="18"/>
                <w:szCs w:val="18"/>
                <w:lang w:val="sq-AL"/>
              </w:rPr>
              <w:t>Odvojeno sakupljanje otpada koji se može reciklirati</w:t>
            </w:r>
          </w:p>
        </w:tc>
        <w:tc>
          <w:tcPr>
            <w:tcW w:w="1509" w:type="pct"/>
            <w:shd w:val="clear" w:color="auto" w:fill="auto"/>
            <w:vAlign w:val="center"/>
          </w:tcPr>
          <w:p w14:paraId="3E3C9623" w14:textId="0CC7D97A"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2025: 2</w:t>
            </w:r>
            <w:r w:rsidR="00292162" w:rsidRPr="00C149AB">
              <w:rPr>
                <w:rFonts w:ascii="Arial" w:hAnsi="Arial" w:cs="Arial"/>
                <w:sz w:val="18"/>
                <w:szCs w:val="18"/>
                <w:lang w:val="mk-MK"/>
              </w:rPr>
              <w:t>7.316 t/god (</w:t>
            </w:r>
            <w:r w:rsidRPr="00C149AB">
              <w:rPr>
                <w:rFonts w:ascii="Arial" w:hAnsi="Arial" w:cs="Arial"/>
                <w:sz w:val="18"/>
                <w:szCs w:val="18"/>
                <w:lang w:val="mk-MK"/>
              </w:rPr>
              <w:t xml:space="preserve">15% </w:t>
            </w:r>
            <w:r w:rsidRPr="00C149AB">
              <w:rPr>
                <w:rFonts w:ascii="Arial" w:hAnsi="Arial" w:cs="Arial"/>
                <w:sz w:val="18"/>
                <w:szCs w:val="18"/>
                <w:lang w:val="sq-AL"/>
              </w:rPr>
              <w:t>otpada koji se može reciklirati</w:t>
            </w:r>
            <w:r w:rsidRPr="00C149AB">
              <w:rPr>
                <w:rFonts w:ascii="Arial" w:hAnsi="Arial" w:cs="Arial"/>
                <w:sz w:val="18"/>
                <w:szCs w:val="18"/>
                <w:lang w:val="mk-MK"/>
              </w:rPr>
              <w:t>)</w:t>
            </w:r>
          </w:p>
          <w:p w14:paraId="35588A91" w14:textId="3FC6B18B" w:rsidR="00C232D7" w:rsidRPr="00C149AB"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en-US"/>
              </w:rPr>
              <w:t>2029</w:t>
            </w:r>
            <w:r w:rsidR="00292162" w:rsidRPr="00C149AB">
              <w:rPr>
                <w:rFonts w:ascii="Arial" w:hAnsi="Arial" w:cs="Arial"/>
                <w:sz w:val="18"/>
                <w:szCs w:val="18"/>
                <w:lang w:val="mk-MK"/>
              </w:rPr>
              <w:t>: 46.999 t/god (</w:t>
            </w:r>
            <w:r w:rsidR="00C232D7" w:rsidRPr="00C149AB">
              <w:rPr>
                <w:rFonts w:ascii="Arial" w:hAnsi="Arial" w:cs="Arial"/>
                <w:sz w:val="18"/>
                <w:szCs w:val="18"/>
                <w:lang w:val="mk-MK"/>
              </w:rPr>
              <w:t xml:space="preserve">15% </w:t>
            </w:r>
            <w:r w:rsidR="00C232D7" w:rsidRPr="00C149AB">
              <w:rPr>
                <w:rFonts w:ascii="Arial" w:hAnsi="Arial" w:cs="Arial"/>
                <w:sz w:val="18"/>
                <w:szCs w:val="18"/>
                <w:lang w:val="sq-AL"/>
              </w:rPr>
              <w:t>otpada koji se može reciklirati</w:t>
            </w:r>
            <w:r w:rsidR="00C232D7" w:rsidRPr="00C149AB">
              <w:rPr>
                <w:rFonts w:ascii="Arial" w:hAnsi="Arial" w:cs="Arial"/>
                <w:sz w:val="18"/>
                <w:szCs w:val="18"/>
                <w:lang w:val="mk-MK"/>
              </w:rPr>
              <w:t>)</w:t>
            </w:r>
          </w:p>
        </w:tc>
        <w:tc>
          <w:tcPr>
            <w:tcW w:w="1529" w:type="pct"/>
            <w:shd w:val="clear" w:color="auto" w:fill="auto"/>
            <w:vAlign w:val="center"/>
          </w:tcPr>
          <w:p w14:paraId="20C8ABF4" w14:textId="0B28C423" w:rsidR="00C232D7" w:rsidRPr="00C149AB" w:rsidRDefault="00292162"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2025: 27.435 t/god (</w:t>
            </w:r>
            <w:r w:rsidR="00C232D7" w:rsidRPr="00C149AB">
              <w:rPr>
                <w:rFonts w:ascii="Arial" w:hAnsi="Arial" w:cs="Arial"/>
                <w:sz w:val="18"/>
                <w:szCs w:val="18"/>
                <w:lang w:val="mk-MK"/>
              </w:rPr>
              <w:t xml:space="preserve">15% </w:t>
            </w:r>
            <w:r w:rsidR="00C232D7" w:rsidRPr="00C149AB">
              <w:rPr>
                <w:rFonts w:ascii="Arial" w:hAnsi="Arial" w:cs="Arial"/>
                <w:sz w:val="18"/>
                <w:szCs w:val="18"/>
                <w:lang w:val="sq-AL"/>
              </w:rPr>
              <w:t>otpada koji se može reciklirati</w:t>
            </w:r>
            <w:r w:rsidR="00C232D7" w:rsidRPr="00C149AB">
              <w:rPr>
                <w:rFonts w:ascii="Arial" w:hAnsi="Arial" w:cs="Arial"/>
                <w:sz w:val="18"/>
                <w:szCs w:val="18"/>
                <w:lang w:val="mk-MK"/>
              </w:rPr>
              <w:t>)</w:t>
            </w:r>
          </w:p>
          <w:p w14:paraId="4D7969DC" w14:textId="322C981F" w:rsidR="00C232D7" w:rsidRPr="00C149AB"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en-US"/>
              </w:rPr>
              <w:t>2029</w:t>
            </w:r>
            <w:r w:rsidR="00292162" w:rsidRPr="00C149AB">
              <w:rPr>
                <w:rFonts w:ascii="Arial" w:hAnsi="Arial" w:cs="Arial"/>
                <w:sz w:val="18"/>
                <w:szCs w:val="18"/>
                <w:lang w:val="mk-MK"/>
              </w:rPr>
              <w:t>: 46.943 t/god (</w:t>
            </w:r>
            <w:r w:rsidR="00C232D7" w:rsidRPr="00C149AB">
              <w:rPr>
                <w:rFonts w:ascii="Arial" w:hAnsi="Arial" w:cs="Arial"/>
                <w:sz w:val="18"/>
                <w:szCs w:val="18"/>
                <w:lang w:val="mk-MK"/>
              </w:rPr>
              <w:t xml:space="preserve">25% </w:t>
            </w:r>
            <w:r w:rsidR="00C232D7" w:rsidRPr="00C149AB">
              <w:rPr>
                <w:rFonts w:ascii="Arial" w:hAnsi="Arial" w:cs="Arial"/>
                <w:sz w:val="18"/>
                <w:szCs w:val="18"/>
                <w:lang w:val="sq-AL"/>
              </w:rPr>
              <w:t>otpada koji se može reciklirati</w:t>
            </w:r>
            <w:r w:rsidR="00C232D7" w:rsidRPr="00C149AB">
              <w:rPr>
                <w:rFonts w:ascii="Arial" w:hAnsi="Arial" w:cs="Arial"/>
                <w:sz w:val="18"/>
                <w:szCs w:val="18"/>
                <w:lang w:val="mk-MK"/>
              </w:rPr>
              <w:t>)</w:t>
            </w:r>
          </w:p>
        </w:tc>
        <w:tc>
          <w:tcPr>
            <w:tcW w:w="762" w:type="pct"/>
            <w:shd w:val="clear" w:color="auto" w:fill="auto"/>
            <w:vAlign w:val="center"/>
          </w:tcPr>
          <w:p w14:paraId="45DEFBEE" w14:textId="77777777" w:rsidR="00C232D7" w:rsidRPr="00C149AB" w:rsidRDefault="00C232D7"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 xml:space="preserve">2025: 100% </w:t>
            </w:r>
          </w:p>
          <w:p w14:paraId="1673BF97" w14:textId="072859D1" w:rsidR="00C232D7" w:rsidRPr="00C149AB"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en-US"/>
              </w:rPr>
              <w:t>2029</w:t>
            </w:r>
            <w:r w:rsidR="00C232D7" w:rsidRPr="00C149AB">
              <w:rPr>
                <w:rFonts w:ascii="Arial" w:hAnsi="Arial" w:cs="Arial"/>
                <w:sz w:val="18"/>
                <w:szCs w:val="18"/>
                <w:lang w:val="mk-MK"/>
              </w:rPr>
              <w:t>: 100%</w:t>
            </w:r>
          </w:p>
        </w:tc>
      </w:tr>
      <w:tr w:rsidR="00C232D7" w:rsidRPr="00C149AB" w14:paraId="3E66844D"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vAlign w:val="center"/>
          </w:tcPr>
          <w:p w14:paraId="4E9B0366" w14:textId="77777777" w:rsidR="00C232D7" w:rsidRPr="00C149AB" w:rsidRDefault="00C232D7" w:rsidP="00C232D7">
            <w:pPr>
              <w:pStyle w:val="Normal-10pt-Table"/>
              <w:spacing w:line="360" w:lineRule="auto"/>
              <w:jc w:val="both"/>
              <w:rPr>
                <w:rFonts w:ascii="Arial" w:hAnsi="Arial" w:cs="Arial"/>
                <w:b w:val="0"/>
                <w:bCs w:val="0"/>
                <w:sz w:val="18"/>
                <w:szCs w:val="18"/>
                <w:lang w:val="mk-MK"/>
              </w:rPr>
            </w:pPr>
            <w:r w:rsidRPr="00C149AB">
              <w:rPr>
                <w:rFonts w:ascii="Arial" w:hAnsi="Arial" w:cs="Arial"/>
                <w:sz w:val="18"/>
                <w:szCs w:val="18"/>
                <w:lang w:val="sq-AL"/>
              </w:rPr>
              <w:t>Odvojeno sakupljanje ambalažnog otpada</w:t>
            </w:r>
          </w:p>
        </w:tc>
        <w:tc>
          <w:tcPr>
            <w:tcW w:w="1509" w:type="pct"/>
            <w:shd w:val="clear" w:color="auto" w:fill="auto"/>
            <w:vAlign w:val="center"/>
          </w:tcPr>
          <w:p w14:paraId="2BDE456F" w14:textId="1250C6DF"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rPr>
              <w:t>2029</w:t>
            </w:r>
            <w:r w:rsidR="00C232D7" w:rsidRPr="00C149AB">
              <w:rPr>
                <w:rFonts w:ascii="Arial" w:hAnsi="Arial" w:cs="Arial"/>
                <w:sz w:val="18"/>
                <w:szCs w:val="18"/>
                <w:lang w:val="mk-MK"/>
              </w:rPr>
              <w:t xml:space="preserve">: 34.524 t/god (35% </w:t>
            </w:r>
            <w:r w:rsidR="00C232D7" w:rsidRPr="00C149AB">
              <w:rPr>
                <w:rFonts w:ascii="Arial" w:hAnsi="Arial" w:cs="Arial"/>
                <w:sz w:val="18"/>
                <w:szCs w:val="18"/>
                <w:lang w:val="sq-AL"/>
              </w:rPr>
              <w:t>ambalažnog otpada</w:t>
            </w:r>
            <w:r w:rsidR="00C232D7" w:rsidRPr="00C149AB">
              <w:rPr>
                <w:rFonts w:ascii="Arial" w:hAnsi="Arial" w:cs="Arial"/>
                <w:sz w:val="18"/>
                <w:szCs w:val="18"/>
                <w:lang w:val="mk-MK"/>
              </w:rPr>
              <w:t>)</w:t>
            </w:r>
          </w:p>
        </w:tc>
        <w:tc>
          <w:tcPr>
            <w:tcW w:w="1529" w:type="pct"/>
            <w:shd w:val="clear" w:color="auto" w:fill="auto"/>
            <w:vAlign w:val="center"/>
          </w:tcPr>
          <w:p w14:paraId="091A83F3" w14:textId="3E98C444" w:rsidR="00C232D7" w:rsidRPr="00C149AB"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en-US"/>
              </w:rPr>
              <w:t>2029</w:t>
            </w:r>
            <w:r w:rsidR="00C232D7" w:rsidRPr="00C149AB">
              <w:rPr>
                <w:rFonts w:ascii="Arial" w:hAnsi="Arial" w:cs="Arial"/>
                <w:sz w:val="18"/>
                <w:szCs w:val="18"/>
                <w:lang w:val="mk-MK"/>
              </w:rPr>
              <w:t xml:space="preserve">: 37.554 t/god (38% </w:t>
            </w:r>
            <w:r w:rsidR="00C232D7" w:rsidRPr="00C149AB">
              <w:rPr>
                <w:rFonts w:ascii="Arial" w:hAnsi="Arial" w:cs="Arial"/>
                <w:sz w:val="18"/>
                <w:szCs w:val="18"/>
                <w:lang w:val="sq-AL"/>
              </w:rPr>
              <w:t>ambalažnog otpada</w:t>
            </w:r>
            <w:r w:rsidR="00C232D7" w:rsidRPr="00C149AB">
              <w:rPr>
                <w:rFonts w:ascii="Arial" w:hAnsi="Arial" w:cs="Arial"/>
                <w:sz w:val="18"/>
                <w:szCs w:val="18"/>
                <w:lang w:val="mk-MK"/>
              </w:rPr>
              <w:t>)</w:t>
            </w:r>
          </w:p>
        </w:tc>
        <w:tc>
          <w:tcPr>
            <w:tcW w:w="762" w:type="pct"/>
            <w:shd w:val="clear" w:color="auto" w:fill="auto"/>
            <w:vAlign w:val="center"/>
          </w:tcPr>
          <w:p w14:paraId="5944C5D6"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2025: 100%</w:t>
            </w:r>
          </w:p>
        </w:tc>
      </w:tr>
      <w:tr w:rsidR="00C232D7" w:rsidRPr="00C149AB" w14:paraId="4DCA4B4F"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tcPr>
          <w:p w14:paraId="7DEE447A" w14:textId="77777777" w:rsidR="00C232D7" w:rsidRPr="00C149AB" w:rsidRDefault="00C232D7" w:rsidP="00C232D7">
            <w:pPr>
              <w:pStyle w:val="Normal-10pt-Table"/>
              <w:spacing w:line="360" w:lineRule="auto"/>
              <w:jc w:val="both"/>
              <w:rPr>
                <w:rFonts w:ascii="Arial" w:hAnsi="Arial" w:cs="Arial"/>
                <w:sz w:val="18"/>
                <w:szCs w:val="18"/>
                <w:lang w:val="mk-MK"/>
              </w:rPr>
            </w:pPr>
            <w:r w:rsidRPr="00C149AB">
              <w:rPr>
                <w:rFonts w:ascii="Arial" w:hAnsi="Arial" w:cs="Arial"/>
                <w:sz w:val="18"/>
                <w:szCs w:val="18"/>
                <w:lang w:val="sq-AL"/>
              </w:rPr>
              <w:t>Odvojeno sakupljanje biorazgradivog otpada</w:t>
            </w:r>
          </w:p>
        </w:tc>
        <w:tc>
          <w:tcPr>
            <w:tcW w:w="1509" w:type="pct"/>
            <w:shd w:val="clear" w:color="auto" w:fill="auto"/>
            <w:vAlign w:val="center"/>
          </w:tcPr>
          <w:p w14:paraId="38C5F99A" w14:textId="3E695722" w:rsidR="00C232D7" w:rsidRPr="00C149AB" w:rsidRDefault="00292162"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2025: 24.233 t/god (</w:t>
            </w:r>
            <w:r w:rsidR="00C232D7" w:rsidRPr="00C149AB">
              <w:rPr>
                <w:rFonts w:ascii="Arial" w:hAnsi="Arial" w:cs="Arial"/>
                <w:sz w:val="18"/>
                <w:szCs w:val="18"/>
                <w:lang w:val="mk-MK"/>
              </w:rPr>
              <w:t>7% ukupnog otpada)</w:t>
            </w:r>
          </w:p>
          <w:p w14:paraId="1E055766" w14:textId="46BDC1C5"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rPr>
              <w:t>2029</w:t>
            </w:r>
            <w:r w:rsidR="00292162" w:rsidRPr="00C149AB">
              <w:rPr>
                <w:rFonts w:ascii="Arial" w:hAnsi="Arial" w:cs="Arial"/>
                <w:sz w:val="18"/>
                <w:szCs w:val="18"/>
                <w:lang w:val="mk-MK"/>
              </w:rPr>
              <w:t>: 24.063 t/god (</w:t>
            </w:r>
            <w:r w:rsidR="00C232D7" w:rsidRPr="00C149AB">
              <w:rPr>
                <w:rFonts w:ascii="Arial" w:hAnsi="Arial" w:cs="Arial"/>
                <w:sz w:val="18"/>
                <w:szCs w:val="18"/>
                <w:lang w:val="mk-MK"/>
              </w:rPr>
              <w:t>7% ukupnog otpada)</w:t>
            </w:r>
          </w:p>
        </w:tc>
        <w:tc>
          <w:tcPr>
            <w:tcW w:w="1529" w:type="pct"/>
            <w:shd w:val="clear" w:color="auto" w:fill="auto"/>
            <w:vAlign w:val="center"/>
          </w:tcPr>
          <w:p w14:paraId="4DF69E59" w14:textId="4961DDB5" w:rsidR="00C232D7" w:rsidRPr="00C149AB" w:rsidRDefault="00292162"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2025: 25.513 t/god (</w:t>
            </w:r>
            <w:r w:rsidR="00C232D7" w:rsidRPr="00C149AB">
              <w:rPr>
                <w:rFonts w:ascii="Arial" w:hAnsi="Arial" w:cs="Arial"/>
                <w:sz w:val="18"/>
                <w:szCs w:val="18"/>
                <w:lang w:val="mk-MK"/>
              </w:rPr>
              <w:t>7% ukupnog otpada)</w:t>
            </w:r>
          </w:p>
          <w:p w14:paraId="0925A250" w14:textId="27A75E04" w:rsidR="00C232D7" w:rsidRPr="00C149AB" w:rsidRDefault="00B40E88" w:rsidP="00C232D7">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en-US"/>
              </w:rPr>
              <w:t>2029</w:t>
            </w:r>
            <w:r w:rsidR="00292162" w:rsidRPr="00C149AB">
              <w:rPr>
                <w:rFonts w:ascii="Arial" w:hAnsi="Arial" w:cs="Arial"/>
                <w:sz w:val="18"/>
                <w:szCs w:val="18"/>
                <w:lang w:val="mk-MK"/>
              </w:rPr>
              <w:t>: 25.334 t/god (</w:t>
            </w:r>
            <w:r w:rsidR="00C232D7" w:rsidRPr="00C149AB">
              <w:rPr>
                <w:rFonts w:ascii="Arial" w:hAnsi="Arial" w:cs="Arial"/>
                <w:sz w:val="18"/>
                <w:szCs w:val="18"/>
                <w:lang w:val="mk-MK"/>
              </w:rPr>
              <w:t>7% ukupnog otpada)</w:t>
            </w:r>
          </w:p>
        </w:tc>
        <w:tc>
          <w:tcPr>
            <w:tcW w:w="762" w:type="pct"/>
            <w:shd w:val="clear" w:color="auto" w:fill="auto"/>
            <w:vAlign w:val="center"/>
          </w:tcPr>
          <w:p w14:paraId="03D092B6"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 xml:space="preserve">2025: 100% </w:t>
            </w:r>
          </w:p>
          <w:p w14:paraId="7398F3B5" w14:textId="0F4A0550"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rPr>
              <w:t>2029</w:t>
            </w:r>
            <w:r w:rsidR="00C232D7" w:rsidRPr="00C149AB">
              <w:rPr>
                <w:rFonts w:ascii="Arial" w:hAnsi="Arial" w:cs="Arial"/>
                <w:sz w:val="18"/>
                <w:szCs w:val="18"/>
                <w:lang w:val="mk-MK"/>
              </w:rPr>
              <w:t>: 100%</w:t>
            </w:r>
          </w:p>
        </w:tc>
      </w:tr>
      <w:tr w:rsidR="00C232D7" w:rsidRPr="00C149AB" w14:paraId="19868287"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tcPr>
          <w:p w14:paraId="64B7E68C" w14:textId="77777777" w:rsidR="00C232D7" w:rsidRPr="00C149AB" w:rsidRDefault="00C232D7" w:rsidP="00C232D7">
            <w:pPr>
              <w:pStyle w:val="Normal-10pt-Table"/>
              <w:spacing w:line="360" w:lineRule="auto"/>
              <w:jc w:val="both"/>
              <w:rPr>
                <w:rFonts w:ascii="Arial" w:hAnsi="Arial" w:cs="Arial"/>
                <w:sz w:val="18"/>
                <w:szCs w:val="18"/>
                <w:lang w:val="mk-MK"/>
              </w:rPr>
            </w:pPr>
            <w:r w:rsidRPr="00C149AB">
              <w:rPr>
                <w:rFonts w:ascii="Arial" w:hAnsi="Arial" w:cs="Arial"/>
                <w:sz w:val="18"/>
                <w:szCs w:val="18"/>
                <w:lang w:val="sq-AL"/>
              </w:rPr>
              <w:t>Kućno kompostiranje</w:t>
            </w:r>
          </w:p>
        </w:tc>
        <w:tc>
          <w:tcPr>
            <w:tcW w:w="1509" w:type="pct"/>
            <w:shd w:val="clear" w:color="auto" w:fill="auto"/>
            <w:vAlign w:val="center"/>
          </w:tcPr>
          <w:p w14:paraId="7E146252" w14:textId="6A6AB38D" w:rsidR="00C232D7" w:rsidRPr="00C149AB" w:rsidRDefault="00292162"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2025: 5.624 t/god (</w:t>
            </w:r>
            <w:r w:rsidR="00C232D7" w:rsidRPr="00C149AB">
              <w:rPr>
                <w:rFonts w:ascii="Arial" w:hAnsi="Arial" w:cs="Arial"/>
                <w:sz w:val="18"/>
                <w:szCs w:val="18"/>
                <w:lang w:val="mk-MK"/>
              </w:rPr>
              <w:t>1.6% ukupnog otpada)</w:t>
            </w:r>
          </w:p>
          <w:p w14:paraId="6F0CDF58" w14:textId="7ADA2164"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vertAlign w:val="superscript"/>
                <w:lang w:val="mk-MK"/>
              </w:rPr>
            </w:pPr>
            <w:r w:rsidRPr="00C149AB">
              <w:rPr>
                <w:rFonts w:ascii="Arial" w:hAnsi="Arial" w:cs="Arial"/>
                <w:sz w:val="18"/>
                <w:szCs w:val="18"/>
              </w:rPr>
              <w:t>2029</w:t>
            </w:r>
            <w:r w:rsidR="00292162" w:rsidRPr="00C149AB">
              <w:rPr>
                <w:rFonts w:ascii="Arial" w:hAnsi="Arial" w:cs="Arial"/>
                <w:sz w:val="18"/>
                <w:szCs w:val="18"/>
                <w:lang w:val="mk-MK"/>
              </w:rPr>
              <w:t>: 5.584 t/god (</w:t>
            </w:r>
            <w:r w:rsidR="00C232D7" w:rsidRPr="00C149AB">
              <w:rPr>
                <w:rFonts w:ascii="Arial" w:hAnsi="Arial" w:cs="Arial"/>
                <w:sz w:val="18"/>
                <w:szCs w:val="18"/>
                <w:lang w:val="mk-MK"/>
              </w:rPr>
              <w:t>1.6% ukupnog otpada)</w:t>
            </w:r>
          </w:p>
        </w:tc>
        <w:tc>
          <w:tcPr>
            <w:tcW w:w="1529" w:type="pct"/>
            <w:shd w:val="clear" w:color="auto" w:fill="auto"/>
            <w:vAlign w:val="center"/>
          </w:tcPr>
          <w:p w14:paraId="5BE12109" w14:textId="683CD06E" w:rsidR="00C232D7" w:rsidRPr="00C149AB" w:rsidRDefault="00292162"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2025: 5.624 t/god (</w:t>
            </w:r>
            <w:r w:rsidR="00C232D7" w:rsidRPr="00C149AB">
              <w:rPr>
                <w:rFonts w:ascii="Arial" w:hAnsi="Arial" w:cs="Arial"/>
                <w:sz w:val="18"/>
                <w:szCs w:val="18"/>
                <w:lang w:val="mk-MK"/>
              </w:rPr>
              <w:t>1.6% ukupnog otpada)</w:t>
            </w:r>
          </w:p>
          <w:p w14:paraId="66BD5007" w14:textId="423E5BE8"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rPr>
              <w:t>2029</w:t>
            </w:r>
            <w:r w:rsidR="00292162" w:rsidRPr="00C149AB">
              <w:rPr>
                <w:rFonts w:ascii="Arial" w:hAnsi="Arial" w:cs="Arial"/>
                <w:sz w:val="18"/>
                <w:szCs w:val="18"/>
                <w:lang w:val="mk-MK"/>
              </w:rPr>
              <w:t>: 5.584 t/god (</w:t>
            </w:r>
            <w:r w:rsidR="00C232D7" w:rsidRPr="00C149AB">
              <w:rPr>
                <w:rFonts w:ascii="Arial" w:hAnsi="Arial" w:cs="Arial"/>
                <w:sz w:val="18"/>
                <w:szCs w:val="18"/>
                <w:lang w:val="mk-MK"/>
              </w:rPr>
              <w:t>1.6% ukupnog otpada)</w:t>
            </w:r>
          </w:p>
        </w:tc>
        <w:tc>
          <w:tcPr>
            <w:tcW w:w="762" w:type="pct"/>
            <w:shd w:val="clear" w:color="auto" w:fill="auto"/>
            <w:vAlign w:val="center"/>
          </w:tcPr>
          <w:p w14:paraId="07B3FCC1"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 xml:space="preserve">2025: 100% </w:t>
            </w:r>
          </w:p>
          <w:p w14:paraId="1EF43448" w14:textId="1309E08D"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rPr>
              <w:t>2029</w:t>
            </w:r>
            <w:r w:rsidR="00C232D7" w:rsidRPr="00C149AB">
              <w:rPr>
                <w:rFonts w:ascii="Arial" w:hAnsi="Arial" w:cs="Arial"/>
                <w:sz w:val="18"/>
                <w:szCs w:val="18"/>
                <w:lang w:val="mk-MK"/>
              </w:rPr>
              <w:t>: 100%</w:t>
            </w:r>
          </w:p>
        </w:tc>
      </w:tr>
      <w:tr w:rsidR="00C232D7" w:rsidRPr="00C149AB" w14:paraId="348EEC8E"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1200" w:type="pct"/>
            <w:shd w:val="clear" w:color="auto" w:fill="auto"/>
            <w:vAlign w:val="center"/>
          </w:tcPr>
          <w:p w14:paraId="584A3CC0" w14:textId="77777777" w:rsidR="00C232D7" w:rsidRPr="00C149AB" w:rsidRDefault="00C232D7" w:rsidP="00C232D7">
            <w:pPr>
              <w:pStyle w:val="Normal-10pt-Table"/>
              <w:spacing w:line="360" w:lineRule="auto"/>
              <w:jc w:val="both"/>
              <w:rPr>
                <w:rFonts w:ascii="Arial" w:hAnsi="Arial" w:cs="Arial"/>
                <w:sz w:val="18"/>
                <w:szCs w:val="18"/>
                <w:lang w:val="mk-MK"/>
              </w:rPr>
            </w:pPr>
            <w:r w:rsidRPr="00C149AB">
              <w:rPr>
                <w:rFonts w:ascii="Arial" w:hAnsi="Arial" w:cs="Arial"/>
                <w:sz w:val="18"/>
                <w:szCs w:val="18"/>
                <w:lang w:val="sq-AL"/>
              </w:rPr>
              <w:t>Ukupno odvojeno sakupljanje otpada</w:t>
            </w:r>
          </w:p>
        </w:tc>
        <w:tc>
          <w:tcPr>
            <w:tcW w:w="1509" w:type="pct"/>
            <w:shd w:val="clear" w:color="auto" w:fill="auto"/>
            <w:vAlign w:val="center"/>
          </w:tcPr>
          <w:p w14:paraId="33096512" w14:textId="12EE70E0" w:rsidR="00C232D7" w:rsidRPr="00C149AB" w:rsidRDefault="00292162"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2025: 53.467 t/god (</w:t>
            </w:r>
            <w:r w:rsidR="00C232D7" w:rsidRPr="00C149AB">
              <w:rPr>
                <w:rFonts w:ascii="Arial" w:hAnsi="Arial" w:cs="Arial"/>
                <w:sz w:val="18"/>
                <w:szCs w:val="18"/>
                <w:lang w:val="mk-MK"/>
              </w:rPr>
              <w:t>15.0% ukupnog otpada)</w:t>
            </w:r>
          </w:p>
          <w:p w14:paraId="0A773CC8" w14:textId="3325D168"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rPr>
              <w:t>2029</w:t>
            </w:r>
            <w:r w:rsidR="00292162" w:rsidRPr="00C149AB">
              <w:rPr>
                <w:rFonts w:ascii="Arial" w:hAnsi="Arial" w:cs="Arial"/>
                <w:sz w:val="18"/>
                <w:szCs w:val="18"/>
                <w:lang w:val="mk-MK"/>
              </w:rPr>
              <w:t>: 75.691 t/god (</w:t>
            </w:r>
            <w:r w:rsidR="00C232D7" w:rsidRPr="00C149AB">
              <w:rPr>
                <w:rFonts w:ascii="Arial" w:hAnsi="Arial" w:cs="Arial"/>
                <w:sz w:val="18"/>
                <w:szCs w:val="18"/>
                <w:lang w:val="mk-MK"/>
              </w:rPr>
              <w:t>21.0% ukupnog otpada)</w:t>
            </w:r>
          </w:p>
        </w:tc>
        <w:tc>
          <w:tcPr>
            <w:tcW w:w="1529" w:type="pct"/>
            <w:shd w:val="clear" w:color="auto" w:fill="auto"/>
            <w:vAlign w:val="center"/>
          </w:tcPr>
          <w:p w14:paraId="1B6384F3" w14:textId="39353516" w:rsidR="00C232D7" w:rsidRPr="00C149AB" w:rsidRDefault="00292162"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2025: 61.647 t/god (</w:t>
            </w:r>
            <w:r w:rsidR="00C232D7" w:rsidRPr="00C149AB">
              <w:rPr>
                <w:rFonts w:ascii="Arial" w:hAnsi="Arial" w:cs="Arial"/>
                <w:sz w:val="18"/>
                <w:szCs w:val="18"/>
                <w:lang w:val="mk-MK"/>
              </w:rPr>
              <w:t>17% ukupnog otpada)</w:t>
            </w:r>
          </w:p>
          <w:p w14:paraId="53F00BE8" w14:textId="4DF48CA3"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rPr>
              <w:t>2029</w:t>
            </w:r>
            <w:r w:rsidR="00C232D7" w:rsidRPr="00C149AB">
              <w:rPr>
                <w:rFonts w:ascii="Arial" w:hAnsi="Arial" w:cs="Arial"/>
                <w:sz w:val="18"/>
                <w:szCs w:val="18"/>
                <w:lang w:val="mk-MK"/>
              </w:rPr>
              <w:t>: 80.9</w:t>
            </w:r>
            <w:r w:rsidR="00292162" w:rsidRPr="00C149AB">
              <w:rPr>
                <w:rFonts w:ascii="Arial" w:hAnsi="Arial" w:cs="Arial"/>
                <w:sz w:val="18"/>
                <w:szCs w:val="18"/>
                <w:lang w:val="mk-MK"/>
              </w:rPr>
              <w:t>17 t/god (</w:t>
            </w:r>
            <w:r w:rsidR="00C232D7" w:rsidRPr="00C149AB">
              <w:rPr>
                <w:rFonts w:ascii="Arial" w:hAnsi="Arial" w:cs="Arial"/>
                <w:sz w:val="18"/>
                <w:szCs w:val="18"/>
                <w:lang w:val="mk-MK"/>
              </w:rPr>
              <w:t>22% ukupnog otpada)</w:t>
            </w:r>
          </w:p>
        </w:tc>
        <w:tc>
          <w:tcPr>
            <w:tcW w:w="762" w:type="pct"/>
            <w:shd w:val="clear" w:color="auto" w:fill="auto"/>
            <w:vAlign w:val="center"/>
          </w:tcPr>
          <w:p w14:paraId="3B05B4E0"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2025: 100%</w:t>
            </w:r>
          </w:p>
          <w:p w14:paraId="64F8B6EF" w14:textId="5050025D" w:rsidR="00C232D7" w:rsidRPr="00C149AB" w:rsidRDefault="00B40E88"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rPr>
              <w:t>2029</w:t>
            </w:r>
            <w:r w:rsidR="00C232D7" w:rsidRPr="00C149AB">
              <w:rPr>
                <w:rFonts w:ascii="Arial" w:hAnsi="Arial" w:cs="Arial"/>
                <w:sz w:val="18"/>
                <w:szCs w:val="18"/>
                <w:lang w:val="mk-MK"/>
              </w:rPr>
              <w:t>: 100%</w:t>
            </w:r>
          </w:p>
        </w:tc>
      </w:tr>
    </w:tbl>
    <w:p w14:paraId="3CD5813D" w14:textId="77777777" w:rsidR="00C232D7" w:rsidRPr="002A6F4E" w:rsidRDefault="00C232D7" w:rsidP="00C232D7">
      <w:pPr>
        <w:spacing w:before="120" w:after="120" w:line="360" w:lineRule="auto"/>
        <w:rPr>
          <w:rFonts w:ascii="Arial" w:hAnsi="Arial" w:cs="Arial"/>
        </w:rPr>
        <w:sectPr w:rsidR="00C232D7" w:rsidRPr="002A6F4E" w:rsidSect="009C6A9D">
          <w:headerReference w:type="default" r:id="rId19"/>
          <w:footerReference w:type="default" r:id="rId20"/>
          <w:pgSz w:w="11909" w:h="16833"/>
          <w:pgMar w:top="1417" w:right="1134" w:bottom="1417" w:left="1417" w:header="864" w:footer="864" w:gutter="0"/>
          <w:cols w:space="708"/>
          <w:docGrid w:linePitch="272"/>
        </w:sectPr>
      </w:pPr>
    </w:p>
    <w:p w14:paraId="65CBC2B8"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lastRenderedPageBreak/>
        <w:t>Kao što je prikazano u gornjoj tabeli, opcija VII dostiže sve ciljeve koji se odnose na sakupljanje otpada.</w:t>
      </w:r>
    </w:p>
    <w:p w14:paraId="54FA0A93" w14:textId="77777777" w:rsidR="00C232D7" w:rsidRPr="002A6F4E" w:rsidRDefault="00C232D7" w:rsidP="000E238F">
      <w:pPr>
        <w:pStyle w:val="Heading"/>
      </w:pPr>
      <w:bookmarkStart w:id="1087" w:name="_Toc121759055"/>
      <w:bookmarkStart w:id="1088" w:name="_Toc189759699"/>
      <w:r w:rsidRPr="002A6F4E">
        <w:t>Uporedna procjena opcija sakupljanja otpada</w:t>
      </w:r>
      <w:bookmarkEnd w:id="1087"/>
      <w:bookmarkEnd w:id="1088"/>
    </w:p>
    <w:p w14:paraId="17747B4D" w14:textId="77777777" w:rsidR="00C232D7" w:rsidRPr="002A6F4E" w:rsidRDefault="00C232D7" w:rsidP="00C232D7">
      <w:pPr>
        <w:spacing w:before="120" w:after="120" w:line="360" w:lineRule="auto"/>
        <w:rPr>
          <w:rFonts w:ascii="Arial" w:hAnsi="Arial" w:cs="Arial"/>
          <w:lang w:val="hr-HR"/>
        </w:rPr>
      </w:pPr>
      <w:r w:rsidRPr="002A6F4E">
        <w:rPr>
          <w:rFonts w:ascii="Arial" w:hAnsi="Arial" w:cs="Arial"/>
          <w:lang w:val="hr-HR"/>
        </w:rPr>
        <w:t>U sljedećoj tabeli prikazan je učinak svake opcije u odnosu na osnovne parametre upravljanja otpadom.</w:t>
      </w:r>
    </w:p>
    <w:p w14:paraId="6AAB00E7" w14:textId="5620DB9E" w:rsidR="00C232D7" w:rsidRPr="00C149AB" w:rsidRDefault="00C232D7" w:rsidP="00C232D7">
      <w:pPr>
        <w:pStyle w:val="Caption"/>
        <w:rPr>
          <w:rFonts w:ascii="Arial" w:hAnsi="Arial" w:cs="Arial"/>
          <w:b w:val="0"/>
        </w:rPr>
      </w:pPr>
      <w:bookmarkStart w:id="1089" w:name="_Toc98752939"/>
      <w:bookmarkStart w:id="1090" w:name="_Toc109647425"/>
      <w:bookmarkStart w:id="1091" w:name="_Toc130833041"/>
      <w:bookmarkStart w:id="1092" w:name="_Toc189515659"/>
      <w:bookmarkStart w:id="1093" w:name="_Toc190160777"/>
      <w:r w:rsidRPr="00C149AB">
        <w:rPr>
          <w:rFonts w:ascii="Arial" w:hAnsi="Arial" w:cs="Arial"/>
          <w:b w:val="0"/>
        </w:rPr>
        <w:t xml:space="preserve">Tabela </w:t>
      </w:r>
      <w:r w:rsidRPr="00C149AB">
        <w:rPr>
          <w:rFonts w:ascii="Arial" w:hAnsi="Arial" w:cs="Arial"/>
          <w:b w:val="0"/>
        </w:rPr>
        <w:fldChar w:fldCharType="begin"/>
      </w:r>
      <w:r w:rsidRPr="00C149AB">
        <w:rPr>
          <w:rFonts w:ascii="Arial" w:hAnsi="Arial" w:cs="Arial"/>
          <w:b w:val="0"/>
        </w:rPr>
        <w:instrText xml:space="preserve"> SEQ Tabela \* ARABIC </w:instrText>
      </w:r>
      <w:r w:rsidRPr="00C149AB">
        <w:rPr>
          <w:rFonts w:ascii="Arial" w:hAnsi="Arial" w:cs="Arial"/>
          <w:b w:val="0"/>
        </w:rPr>
        <w:fldChar w:fldCharType="separate"/>
      </w:r>
      <w:r w:rsidR="007274DA">
        <w:rPr>
          <w:rFonts w:ascii="Arial" w:hAnsi="Arial" w:cs="Arial"/>
          <w:b w:val="0"/>
          <w:noProof/>
        </w:rPr>
        <w:t>83</w:t>
      </w:r>
      <w:r w:rsidRPr="00C149AB">
        <w:rPr>
          <w:rFonts w:ascii="Arial" w:hAnsi="Arial" w:cs="Arial"/>
          <w:b w:val="0"/>
        </w:rPr>
        <w:fldChar w:fldCharType="end"/>
      </w:r>
      <w:r w:rsidRPr="00C149AB">
        <w:rPr>
          <w:rFonts w:ascii="Arial" w:hAnsi="Arial" w:cs="Arial"/>
          <w:b w:val="0"/>
        </w:rPr>
        <w:t xml:space="preserve"> Učinak svake opcije  (</w:t>
      </w:r>
      <w:r w:rsidR="00B40E88" w:rsidRPr="00C149AB">
        <w:rPr>
          <w:rFonts w:ascii="Arial" w:hAnsi="Arial" w:cs="Arial"/>
          <w:b w:val="0"/>
        </w:rPr>
        <w:t>2029</w:t>
      </w:r>
      <w:r w:rsidRPr="00C149AB">
        <w:rPr>
          <w:rFonts w:ascii="Arial" w:hAnsi="Arial" w:cs="Arial"/>
          <w:b w:val="0"/>
        </w:rPr>
        <w:t>)</w:t>
      </w:r>
      <w:bookmarkEnd w:id="1089"/>
      <w:bookmarkEnd w:id="1090"/>
      <w:bookmarkEnd w:id="1091"/>
      <w:bookmarkEnd w:id="1092"/>
      <w:bookmarkEnd w:id="1093"/>
    </w:p>
    <w:tbl>
      <w:tblPr>
        <w:tblStyle w:val="GridTable4-Accent11"/>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764"/>
        <w:gridCol w:w="1529"/>
        <w:gridCol w:w="1528"/>
        <w:gridCol w:w="1528"/>
        <w:gridCol w:w="1528"/>
        <w:gridCol w:w="1528"/>
        <w:gridCol w:w="1528"/>
        <w:gridCol w:w="1528"/>
        <w:gridCol w:w="1528"/>
      </w:tblGrid>
      <w:tr w:rsidR="00C232D7" w:rsidRPr="00C149AB" w14:paraId="423959AE" w14:textId="77777777" w:rsidTr="00C232D7">
        <w:trPr>
          <w:cnfStyle w:val="100000000000" w:firstRow="1" w:lastRow="0" w:firstColumn="0" w:lastColumn="0" w:oddVBand="0" w:evenVBand="0" w:oddHBand="0" w:evenHBand="0" w:firstRowFirstColumn="0" w:firstRowLastColumn="0" w:lastRowFirstColumn="0" w:lastRowLastColumn="0"/>
          <w:trHeight w:val="531"/>
          <w:tblHeader/>
          <w:jc w:val="center"/>
        </w:trPr>
        <w:tc>
          <w:tcPr>
            <w:cnfStyle w:val="001000000000" w:firstRow="0" w:lastRow="0" w:firstColumn="1" w:lastColumn="0" w:oddVBand="0" w:evenVBand="0" w:oddHBand="0" w:evenHBand="0" w:firstRowFirstColumn="0" w:firstRowLastColumn="0" w:lastRowFirstColumn="0" w:lastRowLastColumn="0"/>
            <w:tcW w:w="630" w:type="pct"/>
            <w:shd w:val="clear" w:color="auto" w:fill="F2F2F2" w:themeFill="background1" w:themeFillShade="F2"/>
            <w:vAlign w:val="center"/>
          </w:tcPr>
          <w:p w14:paraId="3D4E8625" w14:textId="77777777" w:rsidR="00C232D7" w:rsidRPr="00DD411D" w:rsidRDefault="00C232D7" w:rsidP="00C232D7">
            <w:pPr>
              <w:pStyle w:val="Normal-10pt-Table"/>
              <w:spacing w:line="360" w:lineRule="auto"/>
              <w:jc w:val="both"/>
              <w:rPr>
                <w:rFonts w:ascii="Arial" w:hAnsi="Arial" w:cs="Arial"/>
                <w:b w:val="0"/>
                <w:bCs w:val="0"/>
                <w:sz w:val="16"/>
                <w:szCs w:val="16"/>
                <w:lang w:val="mk-MK"/>
              </w:rPr>
            </w:pPr>
            <w:r w:rsidRPr="00DD411D">
              <w:rPr>
                <w:rFonts w:ascii="Arial" w:hAnsi="Arial" w:cs="Arial"/>
                <w:color w:val="auto"/>
                <w:sz w:val="16"/>
                <w:szCs w:val="16"/>
                <w:lang w:val="mk-MK"/>
              </w:rPr>
              <w:t>Faza upravljanja otpadom</w:t>
            </w:r>
          </w:p>
        </w:tc>
        <w:tc>
          <w:tcPr>
            <w:tcW w:w="546" w:type="pct"/>
            <w:shd w:val="clear" w:color="auto" w:fill="F2F2F2" w:themeFill="background1" w:themeFillShade="F2"/>
            <w:vAlign w:val="center"/>
          </w:tcPr>
          <w:p w14:paraId="087D0652" w14:textId="77777777" w:rsidR="00C232D7" w:rsidRPr="00DD411D"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lang w:val="mk-MK"/>
              </w:rPr>
            </w:pPr>
            <w:r w:rsidRPr="00DD411D">
              <w:rPr>
                <w:rFonts w:ascii="Arial" w:hAnsi="Arial" w:cs="Arial"/>
                <w:color w:val="auto"/>
                <w:sz w:val="16"/>
                <w:szCs w:val="16"/>
                <w:lang w:val="mk-MK"/>
              </w:rPr>
              <w:t>Opcija Ι</w:t>
            </w:r>
          </w:p>
        </w:tc>
        <w:tc>
          <w:tcPr>
            <w:tcW w:w="546" w:type="pct"/>
            <w:shd w:val="clear" w:color="auto" w:fill="F2F2F2" w:themeFill="background1" w:themeFillShade="F2"/>
            <w:vAlign w:val="center"/>
          </w:tcPr>
          <w:p w14:paraId="3F683934" w14:textId="77777777" w:rsidR="00C232D7" w:rsidRPr="00DD411D"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lang w:val="mk-MK"/>
              </w:rPr>
            </w:pPr>
            <w:r w:rsidRPr="00DD411D">
              <w:rPr>
                <w:rFonts w:ascii="Arial" w:hAnsi="Arial" w:cs="Arial"/>
                <w:color w:val="auto"/>
                <w:sz w:val="16"/>
                <w:szCs w:val="16"/>
                <w:lang w:val="mk-MK"/>
              </w:rPr>
              <w:t>Opcija ΙΙ</w:t>
            </w:r>
          </w:p>
        </w:tc>
        <w:tc>
          <w:tcPr>
            <w:tcW w:w="546" w:type="pct"/>
            <w:shd w:val="clear" w:color="auto" w:fill="F2F2F2" w:themeFill="background1" w:themeFillShade="F2"/>
            <w:vAlign w:val="center"/>
          </w:tcPr>
          <w:p w14:paraId="1C674953" w14:textId="77777777" w:rsidR="00C232D7" w:rsidRPr="00DD411D"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lang w:val="mk-MK"/>
              </w:rPr>
            </w:pPr>
            <w:r w:rsidRPr="00DD411D">
              <w:rPr>
                <w:rFonts w:ascii="Arial" w:hAnsi="Arial" w:cs="Arial"/>
                <w:color w:val="auto"/>
                <w:sz w:val="16"/>
                <w:szCs w:val="16"/>
                <w:lang w:val="mk-MK"/>
              </w:rPr>
              <w:t>Opcija ΙΙΙa</w:t>
            </w:r>
          </w:p>
        </w:tc>
        <w:tc>
          <w:tcPr>
            <w:tcW w:w="546" w:type="pct"/>
            <w:shd w:val="clear" w:color="auto" w:fill="F2F2F2" w:themeFill="background1" w:themeFillShade="F2"/>
            <w:vAlign w:val="center"/>
          </w:tcPr>
          <w:p w14:paraId="4174A8EE" w14:textId="77777777" w:rsidR="00C232D7" w:rsidRPr="00DD411D"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lang w:val="mk-MK"/>
              </w:rPr>
            </w:pPr>
            <w:r w:rsidRPr="00DD411D">
              <w:rPr>
                <w:rFonts w:ascii="Arial" w:hAnsi="Arial" w:cs="Arial"/>
                <w:color w:val="auto"/>
                <w:sz w:val="16"/>
                <w:szCs w:val="16"/>
                <w:lang w:val="mk-MK"/>
              </w:rPr>
              <w:t>Opcija ΙΙΙb</w:t>
            </w:r>
          </w:p>
        </w:tc>
        <w:tc>
          <w:tcPr>
            <w:tcW w:w="546" w:type="pct"/>
            <w:shd w:val="clear" w:color="auto" w:fill="F2F2F2" w:themeFill="background1" w:themeFillShade="F2"/>
            <w:vAlign w:val="center"/>
          </w:tcPr>
          <w:p w14:paraId="338179A5" w14:textId="77777777" w:rsidR="00C232D7" w:rsidRPr="00DD411D"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lang w:val="mk-MK"/>
              </w:rPr>
            </w:pPr>
            <w:r w:rsidRPr="00DD411D">
              <w:rPr>
                <w:rFonts w:ascii="Arial" w:hAnsi="Arial" w:cs="Arial"/>
                <w:color w:val="auto"/>
                <w:sz w:val="16"/>
                <w:szCs w:val="16"/>
                <w:lang w:val="mk-MK"/>
              </w:rPr>
              <w:t>Opcija IV</w:t>
            </w:r>
          </w:p>
        </w:tc>
        <w:tc>
          <w:tcPr>
            <w:tcW w:w="546" w:type="pct"/>
            <w:shd w:val="clear" w:color="auto" w:fill="F2F2F2" w:themeFill="background1" w:themeFillShade="F2"/>
            <w:vAlign w:val="center"/>
          </w:tcPr>
          <w:p w14:paraId="092477DA" w14:textId="77777777" w:rsidR="00C232D7" w:rsidRPr="00DD411D"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lang w:val="mk-MK"/>
              </w:rPr>
            </w:pPr>
            <w:r w:rsidRPr="00DD411D">
              <w:rPr>
                <w:rFonts w:ascii="Arial" w:hAnsi="Arial" w:cs="Arial"/>
                <w:color w:val="auto"/>
                <w:sz w:val="16"/>
                <w:szCs w:val="16"/>
                <w:lang w:val="mk-MK"/>
              </w:rPr>
              <w:t>Opcija V</w:t>
            </w:r>
          </w:p>
        </w:tc>
        <w:tc>
          <w:tcPr>
            <w:tcW w:w="546" w:type="pct"/>
            <w:shd w:val="clear" w:color="auto" w:fill="F2F2F2" w:themeFill="background1" w:themeFillShade="F2"/>
            <w:vAlign w:val="center"/>
          </w:tcPr>
          <w:p w14:paraId="57168F8E" w14:textId="77777777" w:rsidR="00C232D7" w:rsidRPr="00DD411D"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lang w:val="mk-MK"/>
              </w:rPr>
            </w:pPr>
            <w:r w:rsidRPr="00DD411D">
              <w:rPr>
                <w:rFonts w:ascii="Arial" w:hAnsi="Arial" w:cs="Arial"/>
                <w:color w:val="auto"/>
                <w:sz w:val="16"/>
                <w:szCs w:val="16"/>
                <w:lang w:val="mk-MK"/>
              </w:rPr>
              <w:t>Opcija VI</w:t>
            </w:r>
          </w:p>
        </w:tc>
        <w:tc>
          <w:tcPr>
            <w:tcW w:w="546" w:type="pct"/>
            <w:shd w:val="clear" w:color="auto" w:fill="F2F2F2" w:themeFill="background1" w:themeFillShade="F2"/>
            <w:vAlign w:val="center"/>
          </w:tcPr>
          <w:p w14:paraId="178E1E9E" w14:textId="77777777" w:rsidR="00C232D7" w:rsidRPr="00DD411D"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lang w:val="mk-MK"/>
              </w:rPr>
            </w:pPr>
            <w:r w:rsidRPr="00DD411D">
              <w:rPr>
                <w:rFonts w:ascii="Arial" w:hAnsi="Arial" w:cs="Arial"/>
                <w:color w:val="auto"/>
                <w:sz w:val="16"/>
                <w:szCs w:val="16"/>
                <w:lang w:val="mk-MK"/>
              </w:rPr>
              <w:t>Opcija VII</w:t>
            </w:r>
          </w:p>
        </w:tc>
      </w:tr>
      <w:tr w:rsidR="00C232D7" w:rsidRPr="00C149AB" w14:paraId="03D50169"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630" w:type="pct"/>
            <w:shd w:val="clear" w:color="auto" w:fill="auto"/>
          </w:tcPr>
          <w:p w14:paraId="2D325096" w14:textId="77777777" w:rsidR="00C232D7" w:rsidRPr="00DD411D" w:rsidRDefault="00C232D7" w:rsidP="00C232D7">
            <w:pPr>
              <w:pStyle w:val="Normal-10pt-Table"/>
              <w:spacing w:line="360" w:lineRule="auto"/>
              <w:jc w:val="both"/>
              <w:rPr>
                <w:rFonts w:ascii="Arial" w:hAnsi="Arial" w:cs="Arial"/>
                <w:b w:val="0"/>
                <w:bCs w:val="0"/>
                <w:sz w:val="16"/>
                <w:szCs w:val="16"/>
                <w:lang w:val="mk-MK"/>
              </w:rPr>
            </w:pPr>
            <w:r w:rsidRPr="00DD411D">
              <w:rPr>
                <w:rFonts w:ascii="Arial" w:hAnsi="Arial" w:cs="Arial"/>
                <w:sz w:val="16"/>
                <w:szCs w:val="16"/>
                <w:lang w:val="mk-MK"/>
              </w:rPr>
              <w:t>Ukupno sakupljanje otpada</w:t>
            </w:r>
          </w:p>
        </w:tc>
        <w:tc>
          <w:tcPr>
            <w:tcW w:w="546" w:type="pct"/>
            <w:shd w:val="clear" w:color="auto" w:fill="auto"/>
            <w:vAlign w:val="center"/>
          </w:tcPr>
          <w:p w14:paraId="7E4A654D" w14:textId="295BE589" w:rsidR="00C232D7" w:rsidRPr="00DD411D" w:rsidRDefault="00CA3DA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342.776 t/god (</w:t>
            </w:r>
            <w:r w:rsidR="00C232D7" w:rsidRPr="00DD411D">
              <w:rPr>
                <w:rFonts w:ascii="Arial" w:hAnsi="Arial" w:cs="Arial"/>
                <w:sz w:val="16"/>
                <w:szCs w:val="16"/>
                <w:lang w:val="mk-MK"/>
              </w:rPr>
              <w:t>95% ukupnog otpada)</w:t>
            </w:r>
          </w:p>
        </w:tc>
        <w:tc>
          <w:tcPr>
            <w:tcW w:w="546" w:type="pct"/>
            <w:shd w:val="clear" w:color="auto" w:fill="auto"/>
            <w:vAlign w:val="center"/>
          </w:tcPr>
          <w:p w14:paraId="071D40E0" w14:textId="12BD8C11" w:rsidR="00C232D7" w:rsidRPr="00DD411D" w:rsidRDefault="00CA3DA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360.433 t/god (</w:t>
            </w:r>
            <w:r w:rsidR="00C232D7" w:rsidRPr="00DD411D">
              <w:rPr>
                <w:rFonts w:ascii="Arial" w:hAnsi="Arial" w:cs="Arial"/>
                <w:sz w:val="16"/>
                <w:szCs w:val="16"/>
                <w:lang w:val="mk-MK"/>
              </w:rPr>
              <w:t>100% ukupnog otpada)</w:t>
            </w:r>
          </w:p>
        </w:tc>
        <w:tc>
          <w:tcPr>
            <w:tcW w:w="546" w:type="pct"/>
            <w:shd w:val="clear" w:color="auto" w:fill="auto"/>
          </w:tcPr>
          <w:p w14:paraId="084E7545" w14:textId="51D35DD3" w:rsidR="00C232D7" w:rsidRPr="00DD411D" w:rsidRDefault="00CA3DA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360.433 t/god (</w:t>
            </w:r>
            <w:r w:rsidR="00C232D7" w:rsidRPr="00DD411D">
              <w:rPr>
                <w:rFonts w:ascii="Arial" w:hAnsi="Arial" w:cs="Arial"/>
                <w:sz w:val="16"/>
                <w:szCs w:val="16"/>
                <w:lang w:val="mk-MK"/>
              </w:rPr>
              <w:t>100% ukupnog otpada)</w:t>
            </w:r>
          </w:p>
        </w:tc>
        <w:tc>
          <w:tcPr>
            <w:tcW w:w="546" w:type="pct"/>
            <w:shd w:val="clear" w:color="auto" w:fill="auto"/>
          </w:tcPr>
          <w:p w14:paraId="44F58BC4" w14:textId="449CCEF3" w:rsidR="00C232D7" w:rsidRPr="00DD411D" w:rsidRDefault="00CA3DA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360.433 t/god (</w:t>
            </w:r>
            <w:r w:rsidR="00C232D7" w:rsidRPr="00DD411D">
              <w:rPr>
                <w:rFonts w:ascii="Arial" w:hAnsi="Arial" w:cs="Arial"/>
                <w:sz w:val="16"/>
                <w:szCs w:val="16"/>
                <w:lang w:val="mk-MK"/>
              </w:rPr>
              <w:t>100% ukupnog otpada)</w:t>
            </w:r>
          </w:p>
        </w:tc>
        <w:tc>
          <w:tcPr>
            <w:tcW w:w="546" w:type="pct"/>
            <w:shd w:val="clear" w:color="auto" w:fill="auto"/>
          </w:tcPr>
          <w:p w14:paraId="1AFFC4C8" w14:textId="22371794" w:rsidR="00C232D7" w:rsidRPr="00DD411D" w:rsidRDefault="00CA3DA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360.433 t/god (</w:t>
            </w:r>
            <w:r w:rsidR="00C232D7" w:rsidRPr="00DD411D">
              <w:rPr>
                <w:rFonts w:ascii="Arial" w:hAnsi="Arial" w:cs="Arial"/>
                <w:sz w:val="16"/>
                <w:szCs w:val="16"/>
                <w:lang w:val="mk-MK"/>
              </w:rPr>
              <w:t>100% ukupnog otpada)</w:t>
            </w:r>
          </w:p>
        </w:tc>
        <w:tc>
          <w:tcPr>
            <w:tcW w:w="546" w:type="pct"/>
            <w:shd w:val="clear" w:color="auto" w:fill="auto"/>
          </w:tcPr>
          <w:p w14:paraId="612CF9AE" w14:textId="5B51CF6B" w:rsidR="00C232D7" w:rsidRPr="00DD411D" w:rsidRDefault="00CA3DA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360.433 t/god (</w:t>
            </w:r>
            <w:r w:rsidR="00C232D7" w:rsidRPr="00DD411D">
              <w:rPr>
                <w:rFonts w:ascii="Arial" w:hAnsi="Arial" w:cs="Arial"/>
                <w:sz w:val="16"/>
                <w:szCs w:val="16"/>
                <w:lang w:val="mk-MK"/>
              </w:rPr>
              <w:t>100% ukupnog otpada)</w:t>
            </w:r>
          </w:p>
        </w:tc>
        <w:tc>
          <w:tcPr>
            <w:tcW w:w="546" w:type="pct"/>
            <w:shd w:val="clear" w:color="auto" w:fill="auto"/>
          </w:tcPr>
          <w:p w14:paraId="15737DED" w14:textId="4D0661D3" w:rsidR="00C232D7" w:rsidRPr="00DD411D" w:rsidRDefault="00CA3DA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360.433 t/god (</w:t>
            </w:r>
            <w:r w:rsidR="00C232D7" w:rsidRPr="00DD411D">
              <w:rPr>
                <w:rFonts w:ascii="Arial" w:hAnsi="Arial" w:cs="Arial"/>
                <w:sz w:val="16"/>
                <w:szCs w:val="16"/>
                <w:lang w:val="mk-MK"/>
              </w:rPr>
              <w:t>100% ukupnog otpada)</w:t>
            </w:r>
          </w:p>
        </w:tc>
        <w:tc>
          <w:tcPr>
            <w:tcW w:w="546" w:type="pct"/>
            <w:shd w:val="clear" w:color="auto" w:fill="auto"/>
          </w:tcPr>
          <w:p w14:paraId="0AB2AE4A" w14:textId="24A4DE34" w:rsidR="00C232D7" w:rsidRPr="00DD411D"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360.433 t/go</w:t>
            </w:r>
            <w:r w:rsidR="00CA3DA5" w:rsidRPr="00DD411D">
              <w:rPr>
                <w:rFonts w:ascii="Arial" w:hAnsi="Arial" w:cs="Arial"/>
                <w:sz w:val="16"/>
                <w:szCs w:val="16"/>
                <w:lang w:val="mk-MK"/>
              </w:rPr>
              <w:t>d (</w:t>
            </w:r>
            <w:r w:rsidRPr="00DD411D">
              <w:rPr>
                <w:rFonts w:ascii="Arial" w:hAnsi="Arial" w:cs="Arial"/>
                <w:sz w:val="16"/>
                <w:szCs w:val="16"/>
                <w:lang w:val="mk-MK"/>
              </w:rPr>
              <w:t>100% ukupnog otpada)</w:t>
            </w:r>
          </w:p>
        </w:tc>
      </w:tr>
      <w:tr w:rsidR="00C232D7" w:rsidRPr="00C149AB" w14:paraId="3DC6A2A8"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630" w:type="pct"/>
            <w:shd w:val="clear" w:color="auto" w:fill="auto"/>
          </w:tcPr>
          <w:p w14:paraId="1DA3D949" w14:textId="77777777" w:rsidR="00C232D7" w:rsidRPr="00DD411D" w:rsidRDefault="00C232D7" w:rsidP="00C232D7">
            <w:pPr>
              <w:pStyle w:val="Normal-10pt-Table"/>
              <w:spacing w:line="360" w:lineRule="auto"/>
              <w:jc w:val="both"/>
              <w:rPr>
                <w:rFonts w:ascii="Arial" w:hAnsi="Arial" w:cs="Arial"/>
                <w:b w:val="0"/>
                <w:bCs w:val="0"/>
                <w:sz w:val="16"/>
                <w:szCs w:val="16"/>
                <w:lang w:val="mk-MK"/>
              </w:rPr>
            </w:pPr>
            <w:r w:rsidRPr="00DD411D">
              <w:rPr>
                <w:rFonts w:ascii="Arial" w:hAnsi="Arial" w:cs="Arial"/>
                <w:sz w:val="16"/>
                <w:szCs w:val="16"/>
                <w:lang w:val="mk-MK"/>
              </w:rPr>
              <w:t>Odvojeno sakupljanje reciklažnih materijala</w:t>
            </w:r>
          </w:p>
        </w:tc>
        <w:tc>
          <w:tcPr>
            <w:tcW w:w="546" w:type="pct"/>
            <w:shd w:val="clear" w:color="auto" w:fill="auto"/>
            <w:vAlign w:val="center"/>
          </w:tcPr>
          <w:p w14:paraId="31D38B94" w14:textId="17AB0D20" w:rsidR="00C232D7" w:rsidRPr="00DD411D" w:rsidRDefault="00CA3DA5" w:rsidP="00CA3DA5">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25.801 t/god (</w:t>
            </w:r>
            <w:r w:rsidR="00C232D7" w:rsidRPr="00DD411D">
              <w:rPr>
                <w:rFonts w:ascii="Arial" w:hAnsi="Arial" w:cs="Arial"/>
                <w:sz w:val="16"/>
                <w:szCs w:val="16"/>
                <w:lang w:val="mk-MK"/>
              </w:rPr>
              <w:t xml:space="preserve">14% </w:t>
            </w:r>
            <w:r w:rsidRPr="00DD411D">
              <w:rPr>
                <w:rFonts w:ascii="Arial" w:hAnsi="Arial" w:cs="Arial"/>
                <w:sz w:val="16"/>
                <w:szCs w:val="16"/>
              </w:rPr>
              <w:t>za recikla</w:t>
            </w:r>
            <w:r w:rsidRPr="00DD411D">
              <w:rPr>
                <w:rFonts w:ascii="Arial" w:hAnsi="Arial" w:cs="Arial"/>
                <w:sz w:val="16"/>
                <w:szCs w:val="16"/>
                <w:lang w:val="sr-Latn-ME"/>
              </w:rPr>
              <w:t>žu</w:t>
            </w:r>
            <w:r w:rsidR="00C232D7" w:rsidRPr="00DD411D">
              <w:rPr>
                <w:rFonts w:ascii="Arial" w:hAnsi="Arial" w:cs="Arial"/>
                <w:sz w:val="16"/>
                <w:szCs w:val="16"/>
                <w:lang w:val="mk-MK"/>
              </w:rPr>
              <w:t>)</w:t>
            </w:r>
          </w:p>
        </w:tc>
        <w:tc>
          <w:tcPr>
            <w:tcW w:w="546" w:type="pct"/>
            <w:shd w:val="clear" w:color="auto" w:fill="auto"/>
            <w:vAlign w:val="center"/>
          </w:tcPr>
          <w:p w14:paraId="1B9E803D" w14:textId="7CE4A759" w:rsidR="00C232D7" w:rsidRPr="00DD411D" w:rsidRDefault="00CA3DA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25.801 t/god (</w:t>
            </w:r>
            <w:r w:rsidR="00C232D7" w:rsidRPr="00DD411D">
              <w:rPr>
                <w:rFonts w:ascii="Arial" w:hAnsi="Arial" w:cs="Arial"/>
                <w:sz w:val="16"/>
                <w:szCs w:val="16"/>
                <w:lang w:val="mk-MK"/>
              </w:rPr>
              <w:t xml:space="preserve">14% </w:t>
            </w:r>
            <w:r w:rsidRPr="00DD411D">
              <w:rPr>
                <w:rFonts w:ascii="Arial" w:hAnsi="Arial" w:cs="Arial"/>
                <w:sz w:val="16"/>
                <w:szCs w:val="16"/>
              </w:rPr>
              <w:t>za recikla</w:t>
            </w:r>
            <w:r w:rsidRPr="00DD411D">
              <w:rPr>
                <w:rFonts w:ascii="Arial" w:hAnsi="Arial" w:cs="Arial"/>
                <w:sz w:val="16"/>
                <w:szCs w:val="16"/>
                <w:lang w:val="sr-Latn-ME"/>
              </w:rPr>
              <w:t>žu</w:t>
            </w:r>
            <w:r w:rsidR="00C232D7" w:rsidRPr="00DD411D">
              <w:rPr>
                <w:rFonts w:ascii="Arial" w:hAnsi="Arial" w:cs="Arial"/>
                <w:sz w:val="16"/>
                <w:szCs w:val="16"/>
                <w:lang w:val="mk-MK"/>
              </w:rPr>
              <w:t>)</w:t>
            </w:r>
          </w:p>
        </w:tc>
        <w:tc>
          <w:tcPr>
            <w:tcW w:w="546" w:type="pct"/>
            <w:shd w:val="clear" w:color="auto" w:fill="auto"/>
            <w:vAlign w:val="center"/>
          </w:tcPr>
          <w:p w14:paraId="2AAA64FA" w14:textId="0967E613" w:rsidR="00C232D7" w:rsidRPr="00DD411D" w:rsidRDefault="00CA3DA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57.681 t/god (</w:t>
            </w:r>
            <w:r w:rsidR="00C232D7" w:rsidRPr="00DD411D">
              <w:rPr>
                <w:rFonts w:ascii="Arial" w:hAnsi="Arial" w:cs="Arial"/>
                <w:sz w:val="16"/>
                <w:szCs w:val="16"/>
                <w:lang w:val="mk-MK"/>
              </w:rPr>
              <w:t xml:space="preserve">31% </w:t>
            </w:r>
            <w:r w:rsidRPr="00DD411D">
              <w:rPr>
                <w:rFonts w:ascii="Arial" w:hAnsi="Arial" w:cs="Arial"/>
                <w:sz w:val="16"/>
                <w:szCs w:val="16"/>
              </w:rPr>
              <w:t>za recikla</w:t>
            </w:r>
            <w:r w:rsidRPr="00DD411D">
              <w:rPr>
                <w:rFonts w:ascii="Arial" w:hAnsi="Arial" w:cs="Arial"/>
                <w:sz w:val="16"/>
                <w:szCs w:val="16"/>
                <w:lang w:val="sr-Latn-ME"/>
              </w:rPr>
              <w:t>žu</w:t>
            </w:r>
            <w:r w:rsidR="00C232D7" w:rsidRPr="00DD411D">
              <w:rPr>
                <w:rFonts w:ascii="Arial" w:hAnsi="Arial" w:cs="Arial"/>
                <w:sz w:val="16"/>
                <w:szCs w:val="16"/>
                <w:lang w:val="mk-MK"/>
              </w:rPr>
              <w:t>)</w:t>
            </w:r>
          </w:p>
        </w:tc>
        <w:tc>
          <w:tcPr>
            <w:tcW w:w="546" w:type="pct"/>
            <w:shd w:val="clear" w:color="auto" w:fill="auto"/>
            <w:vAlign w:val="center"/>
          </w:tcPr>
          <w:p w14:paraId="65F082DD" w14:textId="2F1E811E" w:rsidR="00C232D7" w:rsidRPr="00DD411D" w:rsidRDefault="00CA3DA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53.287 t/god (</w:t>
            </w:r>
            <w:r w:rsidR="00C232D7" w:rsidRPr="00DD411D">
              <w:rPr>
                <w:rFonts w:ascii="Arial" w:hAnsi="Arial" w:cs="Arial"/>
                <w:sz w:val="16"/>
                <w:szCs w:val="16"/>
                <w:lang w:val="mk-MK"/>
              </w:rPr>
              <w:t xml:space="preserve">29% </w:t>
            </w:r>
            <w:r w:rsidRPr="00DD411D">
              <w:rPr>
                <w:rFonts w:ascii="Arial" w:hAnsi="Arial" w:cs="Arial"/>
                <w:sz w:val="16"/>
                <w:szCs w:val="16"/>
              </w:rPr>
              <w:t>za recikla</w:t>
            </w:r>
            <w:r w:rsidRPr="00DD411D">
              <w:rPr>
                <w:rFonts w:ascii="Arial" w:hAnsi="Arial" w:cs="Arial"/>
                <w:sz w:val="16"/>
                <w:szCs w:val="16"/>
                <w:lang w:val="sr-Latn-ME"/>
              </w:rPr>
              <w:t>žu</w:t>
            </w:r>
            <w:r w:rsidR="00C232D7" w:rsidRPr="00DD411D">
              <w:rPr>
                <w:rFonts w:ascii="Arial" w:hAnsi="Arial" w:cs="Arial"/>
                <w:sz w:val="16"/>
                <w:szCs w:val="16"/>
                <w:lang w:val="mk-MK"/>
              </w:rPr>
              <w:t>)</w:t>
            </w:r>
          </w:p>
        </w:tc>
        <w:tc>
          <w:tcPr>
            <w:tcW w:w="546" w:type="pct"/>
            <w:shd w:val="clear" w:color="auto" w:fill="auto"/>
            <w:vAlign w:val="center"/>
          </w:tcPr>
          <w:p w14:paraId="56D95364" w14:textId="458E52A7" w:rsidR="00C232D7" w:rsidRPr="00DD411D" w:rsidRDefault="00CA3DA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57.681 t/god (</w:t>
            </w:r>
            <w:r w:rsidR="00C232D7" w:rsidRPr="00DD411D">
              <w:rPr>
                <w:rFonts w:ascii="Arial" w:hAnsi="Arial" w:cs="Arial"/>
                <w:sz w:val="16"/>
                <w:szCs w:val="16"/>
                <w:lang w:val="mk-MK"/>
              </w:rPr>
              <w:t xml:space="preserve">31% </w:t>
            </w:r>
            <w:r w:rsidRPr="00DD411D">
              <w:rPr>
                <w:rFonts w:ascii="Arial" w:hAnsi="Arial" w:cs="Arial"/>
                <w:sz w:val="16"/>
                <w:szCs w:val="16"/>
              </w:rPr>
              <w:t>za recikla</w:t>
            </w:r>
            <w:r w:rsidRPr="00DD411D">
              <w:rPr>
                <w:rFonts w:ascii="Arial" w:hAnsi="Arial" w:cs="Arial"/>
                <w:sz w:val="16"/>
                <w:szCs w:val="16"/>
                <w:lang w:val="sr-Latn-ME"/>
              </w:rPr>
              <w:t>žu</w:t>
            </w:r>
            <w:r w:rsidR="00C232D7" w:rsidRPr="00DD411D">
              <w:rPr>
                <w:rFonts w:ascii="Arial" w:hAnsi="Arial" w:cs="Arial"/>
                <w:sz w:val="16"/>
                <w:szCs w:val="16"/>
                <w:lang w:val="mk-MK"/>
              </w:rPr>
              <w:t>)</w:t>
            </w:r>
          </w:p>
        </w:tc>
        <w:tc>
          <w:tcPr>
            <w:tcW w:w="546" w:type="pct"/>
            <w:shd w:val="clear" w:color="auto" w:fill="auto"/>
            <w:vAlign w:val="center"/>
          </w:tcPr>
          <w:p w14:paraId="6A610DE0" w14:textId="74B8AB67" w:rsidR="00C232D7" w:rsidRPr="00DD411D" w:rsidRDefault="00CA3DA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51.862 t/god (</w:t>
            </w:r>
            <w:r w:rsidR="00C232D7" w:rsidRPr="00DD411D">
              <w:rPr>
                <w:rFonts w:ascii="Arial" w:hAnsi="Arial" w:cs="Arial"/>
                <w:sz w:val="16"/>
                <w:szCs w:val="16"/>
                <w:lang w:val="mk-MK"/>
              </w:rPr>
              <w:t xml:space="preserve">28% </w:t>
            </w:r>
            <w:r w:rsidRPr="00DD411D">
              <w:rPr>
                <w:rFonts w:ascii="Arial" w:hAnsi="Arial" w:cs="Arial"/>
                <w:sz w:val="16"/>
                <w:szCs w:val="16"/>
              </w:rPr>
              <w:t>za recikla</w:t>
            </w:r>
            <w:r w:rsidRPr="00DD411D">
              <w:rPr>
                <w:rFonts w:ascii="Arial" w:hAnsi="Arial" w:cs="Arial"/>
                <w:sz w:val="16"/>
                <w:szCs w:val="16"/>
                <w:lang w:val="sr-Latn-ME"/>
              </w:rPr>
              <w:t>žu</w:t>
            </w:r>
            <w:r w:rsidR="00C232D7" w:rsidRPr="00DD411D">
              <w:rPr>
                <w:rFonts w:ascii="Arial" w:hAnsi="Arial" w:cs="Arial"/>
                <w:sz w:val="16"/>
                <w:szCs w:val="16"/>
                <w:lang w:val="mk-MK"/>
              </w:rPr>
              <w:t>)</w:t>
            </w:r>
          </w:p>
        </w:tc>
        <w:tc>
          <w:tcPr>
            <w:tcW w:w="546" w:type="pct"/>
            <w:shd w:val="clear" w:color="auto" w:fill="auto"/>
            <w:vAlign w:val="center"/>
          </w:tcPr>
          <w:p w14:paraId="285E2F74" w14:textId="3DB1A38D" w:rsidR="00C232D7" w:rsidRPr="00DD411D" w:rsidRDefault="00CA3DA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55.559 t/god (</w:t>
            </w:r>
            <w:r w:rsidR="00C232D7" w:rsidRPr="00DD411D">
              <w:rPr>
                <w:rFonts w:ascii="Arial" w:hAnsi="Arial" w:cs="Arial"/>
                <w:sz w:val="16"/>
                <w:szCs w:val="16"/>
                <w:lang w:val="mk-MK"/>
              </w:rPr>
              <w:t xml:space="preserve">30% </w:t>
            </w:r>
            <w:r w:rsidRPr="00DD411D">
              <w:rPr>
                <w:rFonts w:ascii="Arial" w:hAnsi="Arial" w:cs="Arial"/>
                <w:sz w:val="16"/>
                <w:szCs w:val="16"/>
              </w:rPr>
              <w:t>za recikla</w:t>
            </w:r>
            <w:r w:rsidRPr="00DD411D">
              <w:rPr>
                <w:rFonts w:ascii="Arial" w:hAnsi="Arial" w:cs="Arial"/>
                <w:sz w:val="16"/>
                <w:szCs w:val="16"/>
                <w:lang w:val="sr-Latn-ME"/>
              </w:rPr>
              <w:t>žu</w:t>
            </w:r>
            <w:r w:rsidR="00C232D7" w:rsidRPr="00DD411D">
              <w:rPr>
                <w:rFonts w:ascii="Arial" w:hAnsi="Arial" w:cs="Arial"/>
                <w:sz w:val="16"/>
                <w:szCs w:val="16"/>
                <w:lang w:val="mk-MK"/>
              </w:rPr>
              <w:t>)</w:t>
            </w:r>
          </w:p>
        </w:tc>
        <w:tc>
          <w:tcPr>
            <w:tcW w:w="546" w:type="pct"/>
            <w:shd w:val="clear" w:color="auto" w:fill="auto"/>
            <w:vAlign w:val="center"/>
          </w:tcPr>
          <w:p w14:paraId="404F5041" w14:textId="3423255D" w:rsidR="00C232D7" w:rsidRPr="00DD411D" w:rsidRDefault="00CA3DA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46.943 t/god (</w:t>
            </w:r>
            <w:r w:rsidR="00C232D7" w:rsidRPr="00DD411D">
              <w:rPr>
                <w:rFonts w:ascii="Arial" w:hAnsi="Arial" w:cs="Arial"/>
                <w:sz w:val="16"/>
                <w:szCs w:val="16"/>
                <w:lang w:val="mk-MK"/>
              </w:rPr>
              <w:t xml:space="preserve">25% </w:t>
            </w:r>
            <w:r w:rsidRPr="00DD411D">
              <w:rPr>
                <w:rFonts w:ascii="Arial" w:hAnsi="Arial" w:cs="Arial"/>
                <w:sz w:val="16"/>
                <w:szCs w:val="16"/>
              </w:rPr>
              <w:t>za recikla</w:t>
            </w:r>
            <w:r w:rsidRPr="00DD411D">
              <w:rPr>
                <w:rFonts w:ascii="Arial" w:hAnsi="Arial" w:cs="Arial"/>
                <w:sz w:val="16"/>
                <w:szCs w:val="16"/>
                <w:lang w:val="sr-Latn-ME"/>
              </w:rPr>
              <w:t>žu</w:t>
            </w:r>
            <w:r w:rsidR="00C232D7" w:rsidRPr="00DD411D">
              <w:rPr>
                <w:rFonts w:ascii="Arial" w:hAnsi="Arial" w:cs="Arial"/>
                <w:sz w:val="16"/>
                <w:szCs w:val="16"/>
                <w:lang w:val="mk-MK"/>
              </w:rPr>
              <w:t>)</w:t>
            </w:r>
          </w:p>
        </w:tc>
      </w:tr>
      <w:tr w:rsidR="00C232D7" w:rsidRPr="00C149AB" w14:paraId="501AD505"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630" w:type="pct"/>
            <w:shd w:val="clear" w:color="auto" w:fill="auto"/>
          </w:tcPr>
          <w:p w14:paraId="085AE718" w14:textId="77777777" w:rsidR="00C232D7" w:rsidRPr="00DD411D" w:rsidRDefault="00C232D7" w:rsidP="00C232D7">
            <w:pPr>
              <w:pStyle w:val="Normal-10pt-Table"/>
              <w:spacing w:line="360" w:lineRule="auto"/>
              <w:jc w:val="both"/>
              <w:rPr>
                <w:rFonts w:ascii="Arial" w:hAnsi="Arial" w:cs="Arial"/>
                <w:b w:val="0"/>
                <w:bCs w:val="0"/>
                <w:sz w:val="16"/>
                <w:szCs w:val="16"/>
                <w:lang w:val="mk-MK"/>
              </w:rPr>
            </w:pPr>
            <w:r w:rsidRPr="00DD411D">
              <w:rPr>
                <w:rFonts w:ascii="Arial" w:hAnsi="Arial" w:cs="Arial"/>
                <w:sz w:val="16"/>
                <w:szCs w:val="16"/>
                <w:lang w:val="mk-MK"/>
              </w:rPr>
              <w:t>Odvojeno sakupljanje ambalažnog otpada</w:t>
            </w:r>
          </w:p>
        </w:tc>
        <w:tc>
          <w:tcPr>
            <w:tcW w:w="546" w:type="pct"/>
            <w:shd w:val="clear" w:color="auto" w:fill="auto"/>
            <w:vAlign w:val="center"/>
          </w:tcPr>
          <w:p w14:paraId="226031F4" w14:textId="6BD54FD4" w:rsidR="00C232D7" w:rsidRPr="00DD411D" w:rsidRDefault="00CA3DA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20.641 t/god (</w:t>
            </w:r>
            <w:r w:rsidR="00C232D7" w:rsidRPr="00DD411D">
              <w:rPr>
                <w:rFonts w:ascii="Arial" w:hAnsi="Arial" w:cs="Arial"/>
                <w:sz w:val="16"/>
                <w:szCs w:val="16"/>
                <w:lang w:val="mk-MK"/>
              </w:rPr>
              <w:t>21% ambalažnog otpada)</w:t>
            </w:r>
          </w:p>
        </w:tc>
        <w:tc>
          <w:tcPr>
            <w:tcW w:w="546" w:type="pct"/>
            <w:shd w:val="clear" w:color="auto" w:fill="auto"/>
          </w:tcPr>
          <w:p w14:paraId="5F6913E3" w14:textId="4A3777CC" w:rsidR="00C232D7" w:rsidRPr="00DD411D" w:rsidRDefault="00E523E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20.641 t/god (</w:t>
            </w:r>
            <w:r w:rsidR="00C232D7" w:rsidRPr="00DD411D">
              <w:rPr>
                <w:rFonts w:ascii="Arial" w:hAnsi="Arial" w:cs="Arial"/>
                <w:sz w:val="16"/>
                <w:szCs w:val="16"/>
                <w:lang w:val="mk-MK"/>
              </w:rPr>
              <w:t>21% ambalažnog otpada)</w:t>
            </w:r>
          </w:p>
        </w:tc>
        <w:tc>
          <w:tcPr>
            <w:tcW w:w="546" w:type="pct"/>
            <w:shd w:val="clear" w:color="auto" w:fill="auto"/>
          </w:tcPr>
          <w:p w14:paraId="5D2CD8C9" w14:textId="6E883B34" w:rsidR="00C232D7" w:rsidRPr="00DD411D" w:rsidRDefault="00E523E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40.377 t/god (</w:t>
            </w:r>
            <w:r w:rsidR="00C232D7" w:rsidRPr="00DD411D">
              <w:rPr>
                <w:rFonts w:ascii="Arial" w:hAnsi="Arial" w:cs="Arial"/>
                <w:sz w:val="16"/>
                <w:szCs w:val="16"/>
                <w:lang w:val="mk-MK"/>
              </w:rPr>
              <w:t>41% ambalažnog otpada)</w:t>
            </w:r>
          </w:p>
        </w:tc>
        <w:tc>
          <w:tcPr>
            <w:tcW w:w="546" w:type="pct"/>
            <w:shd w:val="clear" w:color="auto" w:fill="auto"/>
          </w:tcPr>
          <w:p w14:paraId="1C857163" w14:textId="67CA0D89" w:rsidR="00C232D7" w:rsidRPr="00DD411D" w:rsidRDefault="00E523E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37.301 t/god (</w:t>
            </w:r>
            <w:r w:rsidR="00C232D7" w:rsidRPr="00DD411D">
              <w:rPr>
                <w:rFonts w:ascii="Arial" w:hAnsi="Arial" w:cs="Arial"/>
                <w:sz w:val="16"/>
                <w:szCs w:val="16"/>
                <w:lang w:val="mk-MK"/>
              </w:rPr>
              <w:t>38% ambalažnog otpada)</w:t>
            </w:r>
          </w:p>
        </w:tc>
        <w:tc>
          <w:tcPr>
            <w:tcW w:w="546" w:type="pct"/>
            <w:shd w:val="clear" w:color="auto" w:fill="auto"/>
          </w:tcPr>
          <w:p w14:paraId="465B98B0" w14:textId="48ED0D11" w:rsidR="00C232D7" w:rsidRPr="00DD411D" w:rsidRDefault="00E523E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40.377 t/god (</w:t>
            </w:r>
            <w:r w:rsidR="00C232D7" w:rsidRPr="00DD411D">
              <w:rPr>
                <w:rFonts w:ascii="Arial" w:hAnsi="Arial" w:cs="Arial"/>
                <w:sz w:val="16"/>
                <w:szCs w:val="16"/>
                <w:lang w:val="mk-MK"/>
              </w:rPr>
              <w:t>41% ambalažnog otpada)</w:t>
            </w:r>
          </w:p>
        </w:tc>
        <w:tc>
          <w:tcPr>
            <w:tcW w:w="546" w:type="pct"/>
            <w:shd w:val="clear" w:color="auto" w:fill="auto"/>
          </w:tcPr>
          <w:p w14:paraId="42FD7AD8" w14:textId="2E820525" w:rsidR="00C232D7" w:rsidRPr="00DD411D" w:rsidRDefault="00E523E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36.303 t/god (</w:t>
            </w:r>
            <w:r w:rsidR="00C232D7" w:rsidRPr="00DD411D">
              <w:rPr>
                <w:rFonts w:ascii="Arial" w:hAnsi="Arial" w:cs="Arial"/>
                <w:sz w:val="16"/>
                <w:szCs w:val="16"/>
                <w:lang w:val="mk-MK"/>
              </w:rPr>
              <w:t>37% ambalažnog otpada)</w:t>
            </w:r>
          </w:p>
        </w:tc>
        <w:tc>
          <w:tcPr>
            <w:tcW w:w="546" w:type="pct"/>
            <w:shd w:val="clear" w:color="auto" w:fill="auto"/>
          </w:tcPr>
          <w:p w14:paraId="115E8152" w14:textId="692C3295" w:rsidR="00C232D7" w:rsidRPr="00DD411D" w:rsidRDefault="00E523E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38.891 t/god (</w:t>
            </w:r>
            <w:r w:rsidR="00C232D7" w:rsidRPr="00DD411D">
              <w:rPr>
                <w:rFonts w:ascii="Arial" w:hAnsi="Arial" w:cs="Arial"/>
                <w:sz w:val="16"/>
                <w:szCs w:val="16"/>
                <w:lang w:val="mk-MK"/>
              </w:rPr>
              <w:t>39% ambalažnog otpada)</w:t>
            </w:r>
          </w:p>
        </w:tc>
        <w:tc>
          <w:tcPr>
            <w:tcW w:w="546" w:type="pct"/>
            <w:shd w:val="clear" w:color="auto" w:fill="auto"/>
          </w:tcPr>
          <w:p w14:paraId="7193D9E3" w14:textId="37DC165D" w:rsidR="00C232D7" w:rsidRPr="00DD411D" w:rsidRDefault="00E523E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37.554 t/god (</w:t>
            </w:r>
            <w:r w:rsidR="00C232D7" w:rsidRPr="00DD411D">
              <w:rPr>
                <w:rFonts w:ascii="Arial" w:hAnsi="Arial" w:cs="Arial"/>
                <w:sz w:val="16"/>
                <w:szCs w:val="16"/>
                <w:lang w:val="mk-MK"/>
              </w:rPr>
              <w:t>38% ambalažnog otpada)</w:t>
            </w:r>
          </w:p>
        </w:tc>
      </w:tr>
      <w:tr w:rsidR="00C232D7" w:rsidRPr="00C149AB" w14:paraId="6504A6E1"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630" w:type="pct"/>
            <w:shd w:val="clear" w:color="auto" w:fill="auto"/>
          </w:tcPr>
          <w:p w14:paraId="306B0EE3" w14:textId="77777777" w:rsidR="00C232D7" w:rsidRPr="00DD411D" w:rsidRDefault="00C232D7" w:rsidP="00C232D7">
            <w:pPr>
              <w:pStyle w:val="Normal-10pt-Table"/>
              <w:spacing w:line="360" w:lineRule="auto"/>
              <w:jc w:val="both"/>
              <w:rPr>
                <w:rFonts w:ascii="Arial" w:hAnsi="Arial" w:cs="Arial"/>
                <w:b w:val="0"/>
                <w:bCs w:val="0"/>
                <w:sz w:val="16"/>
                <w:szCs w:val="16"/>
                <w:lang w:val="mk-MK"/>
              </w:rPr>
            </w:pPr>
            <w:r w:rsidRPr="00DD411D">
              <w:rPr>
                <w:rFonts w:ascii="Arial" w:hAnsi="Arial" w:cs="Arial"/>
                <w:sz w:val="16"/>
                <w:szCs w:val="16"/>
                <w:lang w:val="mk-MK"/>
              </w:rPr>
              <w:t>Odvojeno sakupljanje biootpada</w:t>
            </w:r>
          </w:p>
        </w:tc>
        <w:tc>
          <w:tcPr>
            <w:tcW w:w="546" w:type="pct"/>
            <w:shd w:val="clear" w:color="auto" w:fill="auto"/>
            <w:vAlign w:val="center"/>
          </w:tcPr>
          <w:p w14:paraId="1626EDCA" w14:textId="54275EB6" w:rsidR="00C232D7" w:rsidRPr="00DD411D" w:rsidRDefault="00E523E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8.294 t/god (</w:t>
            </w:r>
            <w:r w:rsidR="00C232D7" w:rsidRPr="00DD411D">
              <w:rPr>
                <w:rFonts w:ascii="Arial" w:hAnsi="Arial" w:cs="Arial"/>
                <w:sz w:val="16"/>
                <w:szCs w:val="16"/>
                <w:lang w:val="mk-MK"/>
              </w:rPr>
              <w:t>6% organskog otpada)</w:t>
            </w:r>
          </w:p>
        </w:tc>
        <w:tc>
          <w:tcPr>
            <w:tcW w:w="546" w:type="pct"/>
            <w:shd w:val="clear" w:color="auto" w:fill="auto"/>
          </w:tcPr>
          <w:p w14:paraId="6E7D1142" w14:textId="787C5074" w:rsidR="00C232D7" w:rsidRPr="00DD411D" w:rsidRDefault="00E523E5" w:rsidP="00E523E5">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8.294 t/god (</w:t>
            </w:r>
            <w:r w:rsidR="00C232D7" w:rsidRPr="00DD411D">
              <w:rPr>
                <w:rFonts w:ascii="Arial" w:hAnsi="Arial" w:cs="Arial"/>
                <w:sz w:val="16"/>
                <w:szCs w:val="16"/>
                <w:lang w:val="mk-MK"/>
              </w:rPr>
              <w:t>6% organskog otpada)</w:t>
            </w:r>
          </w:p>
        </w:tc>
        <w:tc>
          <w:tcPr>
            <w:tcW w:w="546" w:type="pct"/>
            <w:shd w:val="clear" w:color="auto" w:fill="auto"/>
          </w:tcPr>
          <w:p w14:paraId="4F0BF7A1" w14:textId="38FB8C16" w:rsidR="00C232D7" w:rsidRPr="00DD411D" w:rsidRDefault="00C232D7" w:rsidP="00E523E5">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8.294 t/god (6% organskog otpada)</w:t>
            </w:r>
          </w:p>
        </w:tc>
        <w:tc>
          <w:tcPr>
            <w:tcW w:w="546" w:type="pct"/>
            <w:shd w:val="clear" w:color="auto" w:fill="auto"/>
          </w:tcPr>
          <w:p w14:paraId="1927AFA3" w14:textId="49764D47" w:rsidR="00C232D7" w:rsidRPr="00DD411D" w:rsidRDefault="00C232D7" w:rsidP="00E523E5">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8.294 t/god (6% organskog otpada)</w:t>
            </w:r>
          </w:p>
        </w:tc>
        <w:tc>
          <w:tcPr>
            <w:tcW w:w="546" w:type="pct"/>
            <w:shd w:val="clear" w:color="auto" w:fill="auto"/>
          </w:tcPr>
          <w:p w14:paraId="2289B305" w14:textId="67E86BA8" w:rsidR="00C232D7" w:rsidRPr="00DD411D"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2</w:t>
            </w:r>
            <w:r w:rsidR="00E523E5" w:rsidRPr="00DD411D">
              <w:rPr>
                <w:rFonts w:ascii="Arial" w:hAnsi="Arial" w:cs="Arial"/>
                <w:sz w:val="16"/>
                <w:szCs w:val="16"/>
                <w:lang w:val="mk-MK"/>
              </w:rPr>
              <w:t>5.334 t/god (</w:t>
            </w:r>
            <w:r w:rsidRPr="00DD411D">
              <w:rPr>
                <w:rFonts w:ascii="Arial" w:hAnsi="Arial" w:cs="Arial"/>
                <w:sz w:val="16"/>
                <w:szCs w:val="16"/>
                <w:lang w:val="mk-MK"/>
              </w:rPr>
              <w:t>18% organskog otpada)</w:t>
            </w:r>
          </w:p>
        </w:tc>
        <w:tc>
          <w:tcPr>
            <w:tcW w:w="546" w:type="pct"/>
            <w:shd w:val="clear" w:color="auto" w:fill="auto"/>
          </w:tcPr>
          <w:p w14:paraId="17A58024" w14:textId="23E96DCC" w:rsidR="00C232D7" w:rsidRPr="00DD411D" w:rsidRDefault="00E523E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25.334 t/god (</w:t>
            </w:r>
            <w:r w:rsidR="00C232D7" w:rsidRPr="00DD411D">
              <w:rPr>
                <w:rFonts w:ascii="Arial" w:hAnsi="Arial" w:cs="Arial"/>
                <w:sz w:val="16"/>
                <w:szCs w:val="16"/>
                <w:lang w:val="mk-MK"/>
              </w:rPr>
              <w:t>18% organskog otpada)</w:t>
            </w:r>
          </w:p>
        </w:tc>
        <w:tc>
          <w:tcPr>
            <w:tcW w:w="546" w:type="pct"/>
            <w:shd w:val="clear" w:color="auto" w:fill="auto"/>
          </w:tcPr>
          <w:p w14:paraId="433196D5" w14:textId="4625B51F" w:rsidR="00C232D7" w:rsidRPr="00DD411D" w:rsidRDefault="00E523E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25.334 t/god (</w:t>
            </w:r>
            <w:r w:rsidR="00C232D7" w:rsidRPr="00DD411D">
              <w:rPr>
                <w:rFonts w:ascii="Arial" w:hAnsi="Arial" w:cs="Arial"/>
                <w:sz w:val="16"/>
                <w:szCs w:val="16"/>
                <w:lang w:val="mk-MK"/>
              </w:rPr>
              <w:t>18% organskog otpada)</w:t>
            </w:r>
          </w:p>
        </w:tc>
        <w:tc>
          <w:tcPr>
            <w:tcW w:w="546" w:type="pct"/>
            <w:shd w:val="clear" w:color="auto" w:fill="auto"/>
          </w:tcPr>
          <w:p w14:paraId="6074343B" w14:textId="0025A43D" w:rsidR="00C232D7" w:rsidRPr="00DD411D" w:rsidRDefault="00E523E5"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25.334 t/god (</w:t>
            </w:r>
            <w:r w:rsidR="00C232D7" w:rsidRPr="00DD411D">
              <w:rPr>
                <w:rFonts w:ascii="Arial" w:hAnsi="Arial" w:cs="Arial"/>
                <w:sz w:val="16"/>
                <w:szCs w:val="16"/>
                <w:lang w:val="mk-MK"/>
              </w:rPr>
              <w:t>18% organskog otpada)</w:t>
            </w:r>
          </w:p>
        </w:tc>
      </w:tr>
      <w:tr w:rsidR="00C232D7" w:rsidRPr="00C149AB" w14:paraId="1552F7E2"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630" w:type="pct"/>
            <w:shd w:val="clear" w:color="auto" w:fill="auto"/>
          </w:tcPr>
          <w:p w14:paraId="7E82F1B5" w14:textId="77777777" w:rsidR="00C232D7" w:rsidRPr="00DD411D" w:rsidRDefault="00C232D7" w:rsidP="00C232D7">
            <w:pPr>
              <w:pStyle w:val="Normal-10pt-Table"/>
              <w:spacing w:line="360" w:lineRule="auto"/>
              <w:jc w:val="both"/>
              <w:rPr>
                <w:rFonts w:ascii="Arial" w:hAnsi="Arial" w:cs="Arial"/>
                <w:bCs w:val="0"/>
                <w:sz w:val="16"/>
                <w:szCs w:val="16"/>
                <w:lang w:val="mk-MK"/>
              </w:rPr>
            </w:pPr>
            <w:r w:rsidRPr="00DD411D">
              <w:rPr>
                <w:rFonts w:ascii="Arial" w:hAnsi="Arial" w:cs="Arial"/>
                <w:sz w:val="16"/>
                <w:szCs w:val="16"/>
                <w:lang w:val="mk-MK"/>
              </w:rPr>
              <w:t>Ukupno odvojeno sakupljanje otpada</w:t>
            </w:r>
          </w:p>
        </w:tc>
        <w:tc>
          <w:tcPr>
            <w:tcW w:w="546" w:type="pct"/>
            <w:shd w:val="clear" w:color="auto" w:fill="auto"/>
            <w:vAlign w:val="center"/>
          </w:tcPr>
          <w:p w14:paraId="007FA325" w14:textId="476316DA" w:rsidR="00C232D7" w:rsidRPr="00DD411D"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38.103 t/</w:t>
            </w:r>
            <w:r w:rsidR="00B85240" w:rsidRPr="00DD411D">
              <w:rPr>
                <w:rFonts w:ascii="Arial" w:hAnsi="Arial" w:cs="Arial"/>
                <w:sz w:val="16"/>
                <w:szCs w:val="16"/>
                <w:lang w:val="mk-MK"/>
              </w:rPr>
              <w:t>god (</w:t>
            </w:r>
            <w:r w:rsidRPr="00DD411D">
              <w:rPr>
                <w:rFonts w:ascii="Arial" w:hAnsi="Arial" w:cs="Arial"/>
                <w:sz w:val="16"/>
                <w:szCs w:val="16"/>
                <w:lang w:val="mk-MK"/>
              </w:rPr>
              <w:t>11% ukupnog otpada)</w:t>
            </w:r>
          </w:p>
        </w:tc>
        <w:tc>
          <w:tcPr>
            <w:tcW w:w="546" w:type="pct"/>
            <w:shd w:val="clear" w:color="auto" w:fill="auto"/>
          </w:tcPr>
          <w:p w14:paraId="3BA2759E" w14:textId="5C8D68DA" w:rsidR="00C232D7" w:rsidRPr="00DD411D" w:rsidRDefault="00B85240"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38.103 t/god (</w:t>
            </w:r>
            <w:r w:rsidR="00C232D7" w:rsidRPr="00DD411D">
              <w:rPr>
                <w:rFonts w:ascii="Arial" w:hAnsi="Arial" w:cs="Arial"/>
                <w:sz w:val="16"/>
                <w:szCs w:val="16"/>
                <w:lang w:val="mk-MK"/>
              </w:rPr>
              <w:t>11% ukupnog otpada)</w:t>
            </w:r>
          </w:p>
        </w:tc>
        <w:tc>
          <w:tcPr>
            <w:tcW w:w="546" w:type="pct"/>
            <w:shd w:val="clear" w:color="auto" w:fill="auto"/>
          </w:tcPr>
          <w:p w14:paraId="62870A8F" w14:textId="65FE9A1C" w:rsidR="00C232D7" w:rsidRPr="00DD411D" w:rsidRDefault="00B85240"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80.119 t/god (</w:t>
            </w:r>
            <w:r w:rsidR="00C232D7" w:rsidRPr="00DD411D">
              <w:rPr>
                <w:rFonts w:ascii="Arial" w:hAnsi="Arial" w:cs="Arial"/>
                <w:sz w:val="16"/>
                <w:szCs w:val="16"/>
                <w:lang w:val="mk-MK"/>
              </w:rPr>
              <w:t>22% ukupnog otpada)</w:t>
            </w:r>
          </w:p>
        </w:tc>
        <w:tc>
          <w:tcPr>
            <w:tcW w:w="546" w:type="pct"/>
            <w:shd w:val="clear" w:color="auto" w:fill="auto"/>
          </w:tcPr>
          <w:p w14:paraId="71AD0549" w14:textId="6F5C942F" w:rsidR="00C232D7" w:rsidRPr="00DD411D" w:rsidRDefault="00B85240"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83.841 t/god (</w:t>
            </w:r>
            <w:r w:rsidR="00C232D7" w:rsidRPr="00DD411D">
              <w:rPr>
                <w:rFonts w:ascii="Arial" w:hAnsi="Arial" w:cs="Arial"/>
                <w:sz w:val="16"/>
                <w:szCs w:val="16"/>
                <w:lang w:val="mk-MK"/>
              </w:rPr>
              <w:t>23% ukupnog otpada)</w:t>
            </w:r>
          </w:p>
        </w:tc>
        <w:tc>
          <w:tcPr>
            <w:tcW w:w="546" w:type="pct"/>
            <w:shd w:val="clear" w:color="auto" w:fill="auto"/>
          </w:tcPr>
          <w:p w14:paraId="15B0AC98" w14:textId="1DFBBF4E" w:rsidR="00C232D7" w:rsidRPr="00DD411D" w:rsidRDefault="00B85240"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91.953 t/god (</w:t>
            </w:r>
            <w:r w:rsidR="00C232D7" w:rsidRPr="00DD411D">
              <w:rPr>
                <w:rFonts w:ascii="Arial" w:hAnsi="Arial" w:cs="Arial"/>
                <w:sz w:val="16"/>
                <w:szCs w:val="16"/>
                <w:lang w:val="mk-MK"/>
              </w:rPr>
              <w:t>26% ukupnog otpada)</w:t>
            </w:r>
          </w:p>
        </w:tc>
        <w:tc>
          <w:tcPr>
            <w:tcW w:w="546" w:type="pct"/>
            <w:shd w:val="clear" w:color="auto" w:fill="auto"/>
          </w:tcPr>
          <w:p w14:paraId="35DA0C6D" w14:textId="79D60630" w:rsidR="00C232D7" w:rsidRPr="00DD411D" w:rsidRDefault="00B85240"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100.881 t/god (</w:t>
            </w:r>
            <w:r w:rsidR="00C232D7" w:rsidRPr="00DD411D">
              <w:rPr>
                <w:rFonts w:ascii="Arial" w:hAnsi="Arial" w:cs="Arial"/>
                <w:sz w:val="16"/>
                <w:szCs w:val="16"/>
                <w:lang w:val="mk-MK"/>
              </w:rPr>
              <w:t>28% ukupnog otpada)</w:t>
            </w:r>
          </w:p>
        </w:tc>
        <w:tc>
          <w:tcPr>
            <w:tcW w:w="546" w:type="pct"/>
            <w:shd w:val="clear" w:color="auto" w:fill="auto"/>
          </w:tcPr>
          <w:p w14:paraId="091B76D6" w14:textId="1511D593" w:rsidR="00C232D7" w:rsidRPr="00DD411D" w:rsidRDefault="00B85240"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84.477 t/god (</w:t>
            </w:r>
            <w:r w:rsidR="00C232D7" w:rsidRPr="00DD411D">
              <w:rPr>
                <w:rFonts w:ascii="Arial" w:hAnsi="Arial" w:cs="Arial"/>
                <w:sz w:val="16"/>
                <w:szCs w:val="16"/>
                <w:lang w:val="mk-MK"/>
              </w:rPr>
              <w:t>23% ukupnog otpada)</w:t>
            </w:r>
          </w:p>
        </w:tc>
        <w:tc>
          <w:tcPr>
            <w:tcW w:w="546" w:type="pct"/>
            <w:shd w:val="clear" w:color="auto" w:fill="auto"/>
          </w:tcPr>
          <w:p w14:paraId="7DAA9CEC" w14:textId="3EF6F4EB" w:rsidR="00C232D7" w:rsidRPr="00DD411D"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80.91</w:t>
            </w:r>
            <w:r w:rsidR="00B85240" w:rsidRPr="00DD411D">
              <w:rPr>
                <w:rFonts w:ascii="Arial" w:hAnsi="Arial" w:cs="Arial"/>
                <w:sz w:val="16"/>
                <w:szCs w:val="16"/>
                <w:lang w:val="mk-MK"/>
              </w:rPr>
              <w:t>7 t/god (</w:t>
            </w:r>
            <w:r w:rsidRPr="00DD411D">
              <w:rPr>
                <w:rFonts w:ascii="Arial" w:hAnsi="Arial" w:cs="Arial"/>
                <w:sz w:val="16"/>
                <w:szCs w:val="16"/>
                <w:lang w:val="mk-MK"/>
              </w:rPr>
              <w:t>22% ukupnog otpada)</w:t>
            </w:r>
          </w:p>
        </w:tc>
      </w:tr>
      <w:tr w:rsidR="00C232D7" w:rsidRPr="00C149AB" w14:paraId="4BA5B3FC"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630" w:type="pct"/>
            <w:shd w:val="clear" w:color="auto" w:fill="auto"/>
            <w:vAlign w:val="center"/>
          </w:tcPr>
          <w:p w14:paraId="2AFC4D2E" w14:textId="77777777" w:rsidR="00C232D7" w:rsidRPr="00DD411D" w:rsidRDefault="00C232D7" w:rsidP="00C232D7">
            <w:pPr>
              <w:pStyle w:val="Normal-10pt-Table"/>
              <w:spacing w:line="360" w:lineRule="auto"/>
              <w:jc w:val="both"/>
              <w:rPr>
                <w:rFonts w:ascii="Arial" w:hAnsi="Arial" w:cs="Arial"/>
                <w:b w:val="0"/>
                <w:bCs w:val="0"/>
                <w:sz w:val="16"/>
                <w:szCs w:val="16"/>
                <w:lang w:val="sr-Latn-ME"/>
              </w:rPr>
            </w:pPr>
            <w:r w:rsidRPr="00DD411D">
              <w:rPr>
                <w:rFonts w:ascii="Arial" w:hAnsi="Arial" w:cs="Arial"/>
                <w:sz w:val="16"/>
                <w:szCs w:val="16"/>
                <w:lang w:val="sr-Latn-ME"/>
              </w:rPr>
              <w:t>Kućno kompostiranje</w:t>
            </w:r>
          </w:p>
        </w:tc>
        <w:tc>
          <w:tcPr>
            <w:tcW w:w="546" w:type="pct"/>
            <w:shd w:val="clear" w:color="auto" w:fill="auto"/>
            <w:vAlign w:val="center"/>
          </w:tcPr>
          <w:p w14:paraId="2C299A68" w14:textId="6C9C0478" w:rsidR="00C232D7" w:rsidRPr="00DD411D" w:rsidRDefault="00B85240"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5.584 t/god  (</w:t>
            </w:r>
            <w:r w:rsidR="00C232D7" w:rsidRPr="00DD411D">
              <w:rPr>
                <w:rFonts w:ascii="Arial" w:hAnsi="Arial" w:cs="Arial"/>
                <w:sz w:val="16"/>
                <w:szCs w:val="16"/>
                <w:lang w:val="mk-MK"/>
              </w:rPr>
              <w:t>4% organskog otpada)</w:t>
            </w:r>
          </w:p>
        </w:tc>
        <w:tc>
          <w:tcPr>
            <w:tcW w:w="546" w:type="pct"/>
            <w:shd w:val="clear" w:color="auto" w:fill="auto"/>
          </w:tcPr>
          <w:p w14:paraId="53154034" w14:textId="7B450EED" w:rsidR="00C232D7" w:rsidRPr="00DD411D" w:rsidRDefault="00B85240"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5.584 t/god  (</w:t>
            </w:r>
            <w:r w:rsidR="00C232D7" w:rsidRPr="00DD411D">
              <w:rPr>
                <w:rFonts w:ascii="Arial" w:hAnsi="Arial" w:cs="Arial"/>
                <w:sz w:val="16"/>
                <w:szCs w:val="16"/>
                <w:lang w:val="mk-MK"/>
              </w:rPr>
              <w:t>4% organskog otpada)</w:t>
            </w:r>
          </w:p>
        </w:tc>
        <w:tc>
          <w:tcPr>
            <w:tcW w:w="546" w:type="pct"/>
            <w:shd w:val="clear" w:color="auto" w:fill="auto"/>
          </w:tcPr>
          <w:p w14:paraId="714CDC1C" w14:textId="6517F6B7" w:rsidR="00C232D7" w:rsidRPr="00DD411D" w:rsidRDefault="00B85240"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5.584 t/god  (</w:t>
            </w:r>
            <w:r w:rsidR="00C232D7" w:rsidRPr="00DD411D">
              <w:rPr>
                <w:rFonts w:ascii="Arial" w:hAnsi="Arial" w:cs="Arial"/>
                <w:sz w:val="16"/>
                <w:szCs w:val="16"/>
                <w:lang w:val="mk-MK"/>
              </w:rPr>
              <w:t>4% organskog otpada)</w:t>
            </w:r>
          </w:p>
        </w:tc>
        <w:tc>
          <w:tcPr>
            <w:tcW w:w="546" w:type="pct"/>
            <w:shd w:val="clear" w:color="auto" w:fill="auto"/>
          </w:tcPr>
          <w:p w14:paraId="2CA51A7B" w14:textId="11F09CE6" w:rsidR="00C232D7" w:rsidRPr="00DD411D" w:rsidRDefault="00B85240"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5.584 t/god  (</w:t>
            </w:r>
            <w:r w:rsidR="00C232D7" w:rsidRPr="00DD411D">
              <w:rPr>
                <w:rFonts w:ascii="Arial" w:hAnsi="Arial" w:cs="Arial"/>
                <w:sz w:val="16"/>
                <w:szCs w:val="16"/>
                <w:lang w:val="mk-MK"/>
              </w:rPr>
              <w:t>4% organskog otpada)</w:t>
            </w:r>
          </w:p>
        </w:tc>
        <w:tc>
          <w:tcPr>
            <w:tcW w:w="546" w:type="pct"/>
            <w:shd w:val="clear" w:color="auto" w:fill="auto"/>
          </w:tcPr>
          <w:p w14:paraId="54F5A159" w14:textId="1895007C" w:rsidR="00C232D7" w:rsidRPr="00DD411D" w:rsidRDefault="00B85240"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5.584 t/god  (</w:t>
            </w:r>
            <w:r w:rsidR="00C232D7" w:rsidRPr="00DD411D">
              <w:rPr>
                <w:rFonts w:ascii="Arial" w:hAnsi="Arial" w:cs="Arial"/>
                <w:sz w:val="16"/>
                <w:szCs w:val="16"/>
                <w:lang w:val="mk-MK"/>
              </w:rPr>
              <w:t>4% organskog otpada)</w:t>
            </w:r>
          </w:p>
        </w:tc>
        <w:tc>
          <w:tcPr>
            <w:tcW w:w="546" w:type="pct"/>
            <w:shd w:val="clear" w:color="auto" w:fill="auto"/>
          </w:tcPr>
          <w:p w14:paraId="6E3BA3CD" w14:textId="6C6C7D56" w:rsidR="00C232D7" w:rsidRPr="00DD411D"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 xml:space="preserve">5.584 t/god  </w:t>
            </w:r>
            <w:r w:rsidR="00B85240" w:rsidRPr="00DD411D">
              <w:rPr>
                <w:rFonts w:ascii="Arial" w:hAnsi="Arial" w:cs="Arial"/>
                <w:sz w:val="16"/>
                <w:szCs w:val="16"/>
                <w:lang w:val="mk-MK"/>
              </w:rPr>
              <w:t>(</w:t>
            </w:r>
            <w:r w:rsidRPr="00DD411D">
              <w:rPr>
                <w:rFonts w:ascii="Arial" w:hAnsi="Arial" w:cs="Arial"/>
                <w:sz w:val="16"/>
                <w:szCs w:val="16"/>
                <w:lang w:val="mk-MK"/>
              </w:rPr>
              <w:t>4% organskog otpada)</w:t>
            </w:r>
          </w:p>
        </w:tc>
        <w:tc>
          <w:tcPr>
            <w:tcW w:w="546" w:type="pct"/>
            <w:shd w:val="clear" w:color="auto" w:fill="auto"/>
          </w:tcPr>
          <w:p w14:paraId="0107F2D3" w14:textId="3CDC46F2" w:rsidR="00C232D7" w:rsidRPr="00DD411D" w:rsidRDefault="00B85240" w:rsidP="00B85240">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5.584 t/god  (</w:t>
            </w:r>
            <w:r w:rsidR="00C232D7" w:rsidRPr="00DD411D">
              <w:rPr>
                <w:rFonts w:ascii="Arial" w:hAnsi="Arial" w:cs="Arial"/>
                <w:sz w:val="16"/>
                <w:szCs w:val="16"/>
                <w:lang w:val="mk-MK"/>
              </w:rPr>
              <w:t>4% organskog otpada)</w:t>
            </w:r>
          </w:p>
        </w:tc>
        <w:tc>
          <w:tcPr>
            <w:tcW w:w="546" w:type="pct"/>
            <w:shd w:val="clear" w:color="auto" w:fill="auto"/>
          </w:tcPr>
          <w:p w14:paraId="28FB4C2A" w14:textId="5D6D0120" w:rsidR="00C232D7" w:rsidRPr="00DD411D" w:rsidRDefault="00B85240" w:rsidP="00B85240">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mk-MK"/>
              </w:rPr>
            </w:pPr>
            <w:r w:rsidRPr="00DD411D">
              <w:rPr>
                <w:rFonts w:ascii="Arial" w:hAnsi="Arial" w:cs="Arial"/>
                <w:sz w:val="16"/>
                <w:szCs w:val="16"/>
                <w:lang w:val="mk-MK"/>
              </w:rPr>
              <w:t xml:space="preserve">5.584 t/god  (4% </w:t>
            </w:r>
            <w:r w:rsidR="00C232D7" w:rsidRPr="00DD411D">
              <w:rPr>
                <w:rFonts w:ascii="Arial" w:hAnsi="Arial" w:cs="Arial"/>
                <w:sz w:val="16"/>
                <w:szCs w:val="16"/>
                <w:lang w:val="mk-MK"/>
              </w:rPr>
              <w:t xml:space="preserve"> </w:t>
            </w:r>
            <w:r w:rsidRPr="00DD411D">
              <w:rPr>
                <w:rFonts w:ascii="Arial" w:hAnsi="Arial" w:cs="Arial"/>
                <w:sz w:val="16"/>
                <w:szCs w:val="16"/>
                <w:lang w:val="sr-Latn-ME"/>
              </w:rPr>
              <w:t>organskog otpada</w:t>
            </w:r>
            <w:r w:rsidR="00C232D7" w:rsidRPr="00DD411D">
              <w:rPr>
                <w:rFonts w:ascii="Arial" w:hAnsi="Arial" w:cs="Arial"/>
                <w:sz w:val="16"/>
                <w:szCs w:val="16"/>
                <w:lang w:val="mk-MK"/>
              </w:rPr>
              <w:t>)</w:t>
            </w:r>
          </w:p>
        </w:tc>
      </w:tr>
    </w:tbl>
    <w:p w14:paraId="2EF6AFE4" w14:textId="52EC2B26" w:rsidR="009C19AD" w:rsidRPr="00C149AB" w:rsidRDefault="009C19AD" w:rsidP="00C232D7">
      <w:pPr>
        <w:spacing w:before="120" w:after="120" w:line="360" w:lineRule="auto"/>
        <w:rPr>
          <w:rFonts w:ascii="Arial" w:hAnsi="Arial" w:cs="Arial"/>
          <w:sz w:val="18"/>
          <w:szCs w:val="18"/>
        </w:rPr>
        <w:sectPr w:rsidR="009C19AD" w:rsidRPr="00C149AB" w:rsidSect="00C232D7">
          <w:pgSz w:w="16833" w:h="11909" w:orient="landscape"/>
          <w:pgMar w:top="1134" w:right="1417" w:bottom="1417" w:left="1417" w:header="864" w:footer="864" w:gutter="0"/>
          <w:cols w:space="708"/>
          <w:docGrid w:linePitch="272"/>
        </w:sectPr>
      </w:pPr>
    </w:p>
    <w:p w14:paraId="48C677D3" w14:textId="77777777" w:rsidR="00C232D7" w:rsidRPr="002A6F4E" w:rsidRDefault="00C232D7" w:rsidP="00C232D7">
      <w:pPr>
        <w:keepNext/>
        <w:autoSpaceDE w:val="0"/>
        <w:autoSpaceDN w:val="0"/>
        <w:adjustRightInd w:val="0"/>
        <w:spacing w:before="120" w:after="120" w:line="360" w:lineRule="auto"/>
        <w:rPr>
          <w:rFonts w:ascii="Arial" w:hAnsi="Arial" w:cs="Arial"/>
        </w:rPr>
      </w:pPr>
      <w:r w:rsidRPr="002A6F4E">
        <w:rPr>
          <w:rFonts w:ascii="Arial" w:hAnsi="Arial" w:cs="Arial"/>
        </w:rPr>
        <w:lastRenderedPageBreak/>
        <w:t>U sljedećoj tabeli prikazani su ukupni  investicioni troškovi svake opcije.</w:t>
      </w:r>
    </w:p>
    <w:p w14:paraId="00EFA3C3" w14:textId="5CFC7DCC" w:rsidR="00C232D7" w:rsidRPr="00C149AB" w:rsidRDefault="00C232D7" w:rsidP="00C232D7">
      <w:pPr>
        <w:pStyle w:val="Caption"/>
        <w:rPr>
          <w:rFonts w:ascii="Arial" w:hAnsi="Arial" w:cs="Arial"/>
          <w:b w:val="0"/>
          <w:highlight w:val="cyan"/>
        </w:rPr>
      </w:pPr>
      <w:bookmarkStart w:id="1094" w:name="_Toc109647426"/>
      <w:bookmarkStart w:id="1095" w:name="_Toc98752940"/>
      <w:bookmarkStart w:id="1096" w:name="_Toc130833042"/>
      <w:bookmarkStart w:id="1097" w:name="_Toc189515660"/>
      <w:bookmarkStart w:id="1098" w:name="_Toc190160778"/>
      <w:r w:rsidRPr="00C149AB">
        <w:rPr>
          <w:rFonts w:ascii="Arial" w:hAnsi="Arial" w:cs="Arial"/>
          <w:b w:val="0"/>
        </w:rPr>
        <w:t xml:space="preserve">Tabela </w:t>
      </w:r>
      <w:r w:rsidRPr="00C149AB">
        <w:rPr>
          <w:rFonts w:ascii="Arial" w:hAnsi="Arial" w:cs="Arial"/>
          <w:b w:val="0"/>
        </w:rPr>
        <w:fldChar w:fldCharType="begin"/>
      </w:r>
      <w:r w:rsidRPr="00C149AB">
        <w:rPr>
          <w:rFonts w:ascii="Arial" w:hAnsi="Arial" w:cs="Arial"/>
          <w:b w:val="0"/>
        </w:rPr>
        <w:instrText xml:space="preserve"> SEQ Tabela \* ARABIC </w:instrText>
      </w:r>
      <w:r w:rsidRPr="00C149AB">
        <w:rPr>
          <w:rFonts w:ascii="Arial" w:hAnsi="Arial" w:cs="Arial"/>
          <w:b w:val="0"/>
        </w:rPr>
        <w:fldChar w:fldCharType="separate"/>
      </w:r>
      <w:r w:rsidR="007274DA">
        <w:rPr>
          <w:rFonts w:ascii="Arial" w:hAnsi="Arial" w:cs="Arial"/>
          <w:b w:val="0"/>
          <w:noProof/>
        </w:rPr>
        <w:t>84</w:t>
      </w:r>
      <w:r w:rsidRPr="00C149AB">
        <w:rPr>
          <w:rFonts w:ascii="Arial" w:hAnsi="Arial" w:cs="Arial"/>
          <w:b w:val="0"/>
        </w:rPr>
        <w:fldChar w:fldCharType="end"/>
      </w:r>
      <w:r w:rsidRPr="00C149AB">
        <w:rPr>
          <w:rFonts w:ascii="Arial" w:hAnsi="Arial" w:cs="Arial"/>
          <w:b w:val="0"/>
        </w:rPr>
        <w:t xml:space="preserve"> Investicioni troškovi svake opcije</w:t>
      </w:r>
      <w:bookmarkEnd w:id="1094"/>
      <w:bookmarkEnd w:id="1095"/>
      <w:bookmarkEnd w:id="1096"/>
      <w:bookmarkEnd w:id="1097"/>
      <w:bookmarkEnd w:id="1098"/>
    </w:p>
    <w:tbl>
      <w:tblPr>
        <w:tblStyle w:val="GridTable4-Accent11"/>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886"/>
        <w:gridCol w:w="1462"/>
      </w:tblGrid>
      <w:tr w:rsidR="00C232D7" w:rsidRPr="00C149AB" w14:paraId="43566DFA" w14:textId="77777777" w:rsidTr="00C232D7">
        <w:trPr>
          <w:cnfStyle w:val="100000000000" w:firstRow="1" w:lastRow="0" w:firstColumn="0" w:lastColumn="0" w:oddVBand="0" w:evenVBand="0" w:oddHBand="0" w:evenHBand="0" w:firstRowFirstColumn="0" w:firstRowLastColumn="0" w:lastRowFirstColumn="0" w:lastRowLastColumn="0"/>
          <w:trHeight w:val="531"/>
          <w:tblHeader/>
        </w:trPr>
        <w:tc>
          <w:tcPr>
            <w:cnfStyle w:val="001000000000" w:firstRow="0" w:lastRow="0" w:firstColumn="1" w:lastColumn="0" w:oddVBand="0" w:evenVBand="0" w:oddHBand="0" w:evenHBand="0" w:firstRowFirstColumn="0" w:firstRowLastColumn="0" w:lastRowFirstColumn="0" w:lastRowLastColumn="0"/>
            <w:tcW w:w="4218" w:type="pct"/>
            <w:shd w:val="clear" w:color="auto" w:fill="F2F2F2" w:themeFill="background1" w:themeFillShade="F2"/>
            <w:vAlign w:val="center"/>
          </w:tcPr>
          <w:p w14:paraId="046A159C" w14:textId="77777777" w:rsidR="00C232D7" w:rsidRPr="00C149AB" w:rsidRDefault="00C232D7" w:rsidP="00C232D7">
            <w:pPr>
              <w:pStyle w:val="Normal-10pt-Table"/>
              <w:spacing w:line="360" w:lineRule="auto"/>
              <w:jc w:val="both"/>
              <w:rPr>
                <w:rFonts w:ascii="Arial" w:hAnsi="Arial" w:cs="Arial"/>
                <w:b w:val="0"/>
                <w:bCs w:val="0"/>
                <w:sz w:val="18"/>
                <w:szCs w:val="18"/>
                <w:lang w:val="mk-MK"/>
              </w:rPr>
            </w:pPr>
            <w:r w:rsidRPr="00C149AB">
              <w:rPr>
                <w:rFonts w:ascii="Arial" w:hAnsi="Arial" w:cs="Arial"/>
                <w:color w:val="auto"/>
                <w:sz w:val="18"/>
                <w:szCs w:val="18"/>
                <w:lang w:val="mk-MK"/>
              </w:rPr>
              <w:t>Op</w:t>
            </w:r>
            <w:r w:rsidRPr="00C149AB">
              <w:rPr>
                <w:rFonts w:ascii="Arial" w:hAnsi="Arial" w:cs="Arial"/>
                <w:color w:val="auto"/>
                <w:sz w:val="18"/>
                <w:szCs w:val="18"/>
                <w:lang w:val="sr-Latn-ME"/>
              </w:rPr>
              <w:t>cija</w:t>
            </w:r>
          </w:p>
        </w:tc>
        <w:tc>
          <w:tcPr>
            <w:tcW w:w="782" w:type="pct"/>
            <w:shd w:val="clear" w:color="auto" w:fill="F2F2F2" w:themeFill="background1" w:themeFillShade="F2"/>
            <w:vAlign w:val="center"/>
          </w:tcPr>
          <w:p w14:paraId="74CBA3C3"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highlight w:val="cyan"/>
                <w:lang w:val="mk-MK"/>
              </w:rPr>
            </w:pPr>
            <w:r w:rsidRPr="00C149AB">
              <w:rPr>
                <w:rFonts w:ascii="Arial" w:hAnsi="Arial" w:cs="Arial"/>
                <w:color w:val="auto"/>
                <w:sz w:val="18"/>
                <w:szCs w:val="18"/>
                <w:lang w:val="mk-MK"/>
              </w:rPr>
              <w:t>Ukupni troškovi (EURO)</w:t>
            </w:r>
          </w:p>
        </w:tc>
      </w:tr>
      <w:tr w:rsidR="00C232D7" w:rsidRPr="00C149AB" w14:paraId="2B05A252" w14:textId="77777777" w:rsidTr="00C232D7">
        <w:tc>
          <w:tcPr>
            <w:cnfStyle w:val="001000000000" w:firstRow="0" w:lastRow="0" w:firstColumn="1" w:lastColumn="0" w:oddVBand="0" w:evenVBand="0" w:oddHBand="0" w:evenHBand="0" w:firstRowFirstColumn="0" w:firstRowLastColumn="0" w:lastRowFirstColumn="0" w:lastRowLastColumn="0"/>
            <w:tcW w:w="4218" w:type="pct"/>
            <w:shd w:val="clear" w:color="auto" w:fill="auto"/>
          </w:tcPr>
          <w:p w14:paraId="65C5ED41" w14:textId="77777777" w:rsidR="00C232D7" w:rsidRPr="00C149AB" w:rsidRDefault="00C232D7" w:rsidP="00C232D7">
            <w:pPr>
              <w:pStyle w:val="Normal-10pt-Table"/>
              <w:spacing w:line="360" w:lineRule="auto"/>
              <w:jc w:val="both"/>
              <w:rPr>
                <w:rFonts w:ascii="Arial" w:hAnsi="Arial" w:cs="Arial"/>
                <w:bCs w:val="0"/>
                <w:sz w:val="18"/>
                <w:szCs w:val="18"/>
                <w:lang w:val="mk-MK"/>
              </w:rPr>
            </w:pPr>
            <w:r w:rsidRPr="00C149AB">
              <w:rPr>
                <w:rFonts w:ascii="Arial" w:hAnsi="Arial" w:cs="Arial"/>
                <w:sz w:val="18"/>
                <w:szCs w:val="18"/>
                <w:lang w:val="sq-AL"/>
              </w:rPr>
              <w:t>Opcija I: Uobičajeno poslovanje</w:t>
            </w:r>
          </w:p>
        </w:tc>
        <w:tc>
          <w:tcPr>
            <w:tcW w:w="782" w:type="pct"/>
            <w:shd w:val="clear" w:color="auto" w:fill="auto"/>
            <w:vAlign w:val="center"/>
          </w:tcPr>
          <w:p w14:paraId="752BC3DB"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lang w:val="mk-MK"/>
              </w:rPr>
              <w:t>0</w:t>
            </w:r>
          </w:p>
        </w:tc>
      </w:tr>
      <w:tr w:rsidR="00C232D7" w:rsidRPr="00C149AB" w14:paraId="287E57DD" w14:textId="77777777" w:rsidTr="00C232D7">
        <w:tc>
          <w:tcPr>
            <w:cnfStyle w:val="001000000000" w:firstRow="0" w:lastRow="0" w:firstColumn="1" w:lastColumn="0" w:oddVBand="0" w:evenVBand="0" w:oddHBand="0" w:evenHBand="0" w:firstRowFirstColumn="0" w:firstRowLastColumn="0" w:lastRowFirstColumn="0" w:lastRowLastColumn="0"/>
            <w:tcW w:w="4218" w:type="pct"/>
            <w:shd w:val="clear" w:color="auto" w:fill="auto"/>
          </w:tcPr>
          <w:p w14:paraId="1230DDB6" w14:textId="77777777" w:rsidR="00C232D7" w:rsidRPr="00C149AB" w:rsidRDefault="00C232D7" w:rsidP="00C232D7">
            <w:pPr>
              <w:pStyle w:val="Normal-10pt-Table"/>
              <w:spacing w:line="360" w:lineRule="auto"/>
              <w:jc w:val="both"/>
              <w:rPr>
                <w:rFonts w:ascii="Arial" w:hAnsi="Arial" w:cs="Arial"/>
                <w:bCs w:val="0"/>
                <w:sz w:val="18"/>
                <w:szCs w:val="18"/>
                <w:lang w:val="mk-MK"/>
              </w:rPr>
            </w:pPr>
            <w:r w:rsidRPr="00C149AB">
              <w:rPr>
                <w:rFonts w:ascii="Arial" w:hAnsi="Arial" w:cs="Arial"/>
                <w:sz w:val="18"/>
                <w:szCs w:val="18"/>
                <w:lang w:val="sq-AL"/>
              </w:rPr>
              <w:t xml:space="preserve">Opcija II: Proširenje postojećeg sistema kako se pokrilo sve stanovništvo uslugama sakupljanja otpada </w:t>
            </w:r>
          </w:p>
        </w:tc>
        <w:tc>
          <w:tcPr>
            <w:tcW w:w="782" w:type="pct"/>
            <w:shd w:val="clear" w:color="auto" w:fill="auto"/>
            <w:vAlign w:val="center"/>
          </w:tcPr>
          <w:p w14:paraId="77B65240"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rPr>
              <w:t>20.189.760</w:t>
            </w:r>
          </w:p>
        </w:tc>
      </w:tr>
      <w:tr w:rsidR="00C232D7" w:rsidRPr="00C149AB" w14:paraId="678212CD" w14:textId="77777777" w:rsidTr="00C232D7">
        <w:tc>
          <w:tcPr>
            <w:cnfStyle w:val="001000000000" w:firstRow="0" w:lastRow="0" w:firstColumn="1" w:lastColumn="0" w:oddVBand="0" w:evenVBand="0" w:oddHBand="0" w:evenHBand="0" w:firstRowFirstColumn="0" w:firstRowLastColumn="0" w:lastRowFirstColumn="0" w:lastRowLastColumn="0"/>
            <w:tcW w:w="4218" w:type="pct"/>
            <w:shd w:val="clear" w:color="auto" w:fill="auto"/>
          </w:tcPr>
          <w:p w14:paraId="11FD8172" w14:textId="77777777" w:rsidR="00C232D7" w:rsidRPr="00C149AB" w:rsidRDefault="00C232D7" w:rsidP="00C232D7">
            <w:pPr>
              <w:pStyle w:val="Normal-10pt-Table"/>
              <w:spacing w:line="360" w:lineRule="auto"/>
              <w:jc w:val="both"/>
              <w:rPr>
                <w:rFonts w:ascii="Arial" w:hAnsi="Arial" w:cs="Arial"/>
                <w:bCs w:val="0"/>
                <w:sz w:val="18"/>
                <w:szCs w:val="18"/>
                <w:lang w:val="mk-MK"/>
              </w:rPr>
            </w:pPr>
            <w:r w:rsidRPr="00C149AB">
              <w:rPr>
                <w:rFonts w:ascii="Arial" w:hAnsi="Arial" w:cs="Arial"/>
                <w:sz w:val="18"/>
                <w:szCs w:val="18"/>
                <w:lang w:val="sq-AL"/>
              </w:rPr>
              <w:t>Opcija IIIa: Odvojeno sakupljanje otpada koji može da se reciklira zasnovano na sistemu dovoza otpada</w:t>
            </w:r>
            <w:r w:rsidRPr="00C149AB">
              <w:rPr>
                <w:rFonts w:ascii="Arial" w:hAnsi="Arial" w:cs="Arial"/>
                <w:sz w:val="18"/>
                <w:szCs w:val="18"/>
                <w:lang w:val="mk-MK"/>
              </w:rPr>
              <w:t xml:space="preserve"> </w:t>
            </w:r>
            <w:r w:rsidRPr="00C149AB">
              <w:rPr>
                <w:rFonts w:ascii="Arial" w:hAnsi="Arial" w:cs="Arial"/>
                <w:sz w:val="18"/>
                <w:szCs w:val="18"/>
                <w:lang w:val="sq-AL"/>
              </w:rPr>
              <w:t>/povrat otpada u MRF</w:t>
            </w:r>
          </w:p>
        </w:tc>
        <w:tc>
          <w:tcPr>
            <w:tcW w:w="782" w:type="pct"/>
            <w:shd w:val="clear" w:color="auto" w:fill="auto"/>
            <w:vAlign w:val="center"/>
          </w:tcPr>
          <w:p w14:paraId="455BA2D1"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rPr>
              <w:t>30.472.500</w:t>
            </w:r>
          </w:p>
        </w:tc>
      </w:tr>
      <w:tr w:rsidR="00C232D7" w:rsidRPr="00C149AB" w14:paraId="1EA2FBB6" w14:textId="77777777" w:rsidTr="00C232D7">
        <w:tc>
          <w:tcPr>
            <w:cnfStyle w:val="001000000000" w:firstRow="0" w:lastRow="0" w:firstColumn="1" w:lastColumn="0" w:oddVBand="0" w:evenVBand="0" w:oddHBand="0" w:evenHBand="0" w:firstRowFirstColumn="0" w:firstRowLastColumn="0" w:lastRowFirstColumn="0" w:lastRowLastColumn="0"/>
            <w:tcW w:w="4218" w:type="pct"/>
            <w:shd w:val="clear" w:color="auto" w:fill="auto"/>
          </w:tcPr>
          <w:p w14:paraId="04182B60" w14:textId="4527430F" w:rsidR="00C232D7" w:rsidRPr="00C149AB" w:rsidRDefault="00C232D7" w:rsidP="00C232D7">
            <w:pPr>
              <w:pStyle w:val="Normal-10pt-Table"/>
              <w:spacing w:line="360" w:lineRule="auto"/>
              <w:jc w:val="both"/>
              <w:rPr>
                <w:rFonts w:ascii="Arial" w:hAnsi="Arial" w:cs="Arial"/>
                <w:bCs w:val="0"/>
                <w:sz w:val="18"/>
                <w:szCs w:val="18"/>
                <w:lang w:val="mk-MK"/>
              </w:rPr>
            </w:pPr>
            <w:r w:rsidRPr="00C149AB">
              <w:rPr>
                <w:rFonts w:ascii="Arial" w:hAnsi="Arial" w:cs="Arial"/>
                <w:sz w:val="18"/>
                <w:szCs w:val="18"/>
                <w:lang w:val="sq-AL"/>
              </w:rPr>
              <w:t xml:space="preserve">Opcija IIIb: Odvojeno sakupljanje miješanog otpada koji može da se reciklira zasnovano na sistemu dovoza otpada u urbanim sredinama i sistemu </w:t>
            </w:r>
            <w:r w:rsidR="00413A37">
              <w:rPr>
                <w:rFonts w:ascii="Arial" w:hAnsi="Arial" w:cs="Arial"/>
                <w:sz w:val="18"/>
                <w:szCs w:val="18"/>
                <w:lang w:val="sq-AL"/>
              </w:rPr>
              <w:t>“</w:t>
            </w:r>
            <w:r w:rsidRPr="00C149AB">
              <w:rPr>
                <w:rFonts w:ascii="Arial" w:hAnsi="Arial" w:cs="Arial"/>
                <w:sz w:val="18"/>
                <w:szCs w:val="18"/>
                <w:lang w:val="sq-AL"/>
              </w:rPr>
              <w:t>od vrata do vrata</w:t>
            </w:r>
            <w:r w:rsidR="00413A37">
              <w:rPr>
                <w:rFonts w:ascii="Arial" w:hAnsi="Arial" w:cs="Arial"/>
                <w:sz w:val="18"/>
                <w:szCs w:val="18"/>
                <w:lang w:val="sq-AL"/>
              </w:rPr>
              <w:t>”</w:t>
            </w:r>
            <w:r w:rsidRPr="00C149AB">
              <w:rPr>
                <w:rFonts w:ascii="Arial" w:hAnsi="Arial" w:cs="Arial"/>
                <w:sz w:val="18"/>
                <w:szCs w:val="18"/>
                <w:lang w:val="sq-AL"/>
              </w:rPr>
              <w:t xml:space="preserve"> u ruralnim oblastima/povrat otpada u MRF</w:t>
            </w:r>
          </w:p>
        </w:tc>
        <w:tc>
          <w:tcPr>
            <w:tcW w:w="782" w:type="pct"/>
            <w:shd w:val="clear" w:color="auto" w:fill="auto"/>
            <w:vAlign w:val="center"/>
          </w:tcPr>
          <w:p w14:paraId="2E44C0BE"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rPr>
              <w:t>25.702.100</w:t>
            </w:r>
          </w:p>
        </w:tc>
      </w:tr>
      <w:tr w:rsidR="00C232D7" w:rsidRPr="00C149AB" w14:paraId="43237343" w14:textId="77777777" w:rsidTr="00C232D7">
        <w:tc>
          <w:tcPr>
            <w:cnfStyle w:val="001000000000" w:firstRow="0" w:lastRow="0" w:firstColumn="1" w:lastColumn="0" w:oddVBand="0" w:evenVBand="0" w:oddHBand="0" w:evenHBand="0" w:firstRowFirstColumn="0" w:firstRowLastColumn="0" w:lastRowFirstColumn="0" w:lastRowLastColumn="0"/>
            <w:tcW w:w="4218" w:type="pct"/>
            <w:shd w:val="clear" w:color="auto" w:fill="auto"/>
          </w:tcPr>
          <w:p w14:paraId="6D9F41EB" w14:textId="4A0D45D0" w:rsidR="00C232D7" w:rsidRPr="00C149AB" w:rsidRDefault="00C232D7" w:rsidP="00C232D7">
            <w:pPr>
              <w:pStyle w:val="Normal-10pt-Table"/>
              <w:spacing w:line="360" w:lineRule="auto"/>
              <w:jc w:val="both"/>
              <w:rPr>
                <w:rFonts w:ascii="Arial" w:hAnsi="Arial" w:cs="Arial"/>
                <w:bCs w:val="0"/>
                <w:sz w:val="18"/>
                <w:szCs w:val="18"/>
                <w:lang w:val="mk-MK"/>
              </w:rPr>
            </w:pPr>
            <w:r w:rsidRPr="00C149AB">
              <w:rPr>
                <w:rFonts w:ascii="Arial" w:hAnsi="Arial" w:cs="Arial"/>
                <w:sz w:val="18"/>
                <w:szCs w:val="18"/>
                <w:lang w:val="mk-MK"/>
              </w:rPr>
              <w:t xml:space="preserve">Option IV: </w:t>
            </w:r>
            <w:r w:rsidRPr="00C149AB">
              <w:rPr>
                <w:rFonts w:ascii="Arial" w:hAnsi="Arial" w:cs="Arial"/>
                <w:sz w:val="18"/>
                <w:szCs w:val="18"/>
                <w:lang w:val="sq-AL"/>
              </w:rPr>
              <w:t xml:space="preserve">Odvojeno sakupljanje miješanog otpada koji može da se reciklira i biootpada zasnovano na sistemu dovoza otpada/povrat otpada </w:t>
            </w:r>
            <w:r w:rsidRPr="00C149AB">
              <w:rPr>
                <w:rFonts w:ascii="Arial" w:hAnsi="Arial" w:cs="Arial"/>
                <w:sz w:val="18"/>
                <w:szCs w:val="18"/>
                <w:lang w:val="mk-MK"/>
              </w:rPr>
              <w:t xml:space="preserve">u MRF i </w:t>
            </w:r>
            <w:r w:rsidR="00413A37">
              <w:rPr>
                <w:rFonts w:ascii="Arial" w:hAnsi="Arial" w:cs="Arial"/>
                <w:sz w:val="18"/>
                <w:szCs w:val="18"/>
                <w:lang w:val="sr-Latn-ME"/>
              </w:rPr>
              <w:t>obrada</w:t>
            </w:r>
            <w:r w:rsidRPr="00C149AB">
              <w:rPr>
                <w:rFonts w:ascii="Arial" w:hAnsi="Arial" w:cs="Arial"/>
                <w:sz w:val="18"/>
                <w:szCs w:val="18"/>
                <w:lang w:val="mk-MK"/>
              </w:rPr>
              <w:t xml:space="preserve"> u postrojenjima za kompostiranje</w:t>
            </w:r>
          </w:p>
        </w:tc>
        <w:tc>
          <w:tcPr>
            <w:tcW w:w="782" w:type="pct"/>
            <w:shd w:val="clear" w:color="auto" w:fill="auto"/>
            <w:vAlign w:val="center"/>
          </w:tcPr>
          <w:p w14:paraId="11B0B52E"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rPr>
              <w:t>31.289.210</w:t>
            </w:r>
          </w:p>
        </w:tc>
      </w:tr>
      <w:tr w:rsidR="00C232D7" w:rsidRPr="00C149AB" w14:paraId="01D8801B" w14:textId="77777777" w:rsidTr="00C232D7">
        <w:tc>
          <w:tcPr>
            <w:cnfStyle w:val="001000000000" w:firstRow="0" w:lastRow="0" w:firstColumn="1" w:lastColumn="0" w:oddVBand="0" w:evenVBand="0" w:oddHBand="0" w:evenHBand="0" w:firstRowFirstColumn="0" w:firstRowLastColumn="0" w:lastRowFirstColumn="0" w:lastRowLastColumn="0"/>
            <w:tcW w:w="4218" w:type="pct"/>
            <w:shd w:val="clear" w:color="auto" w:fill="auto"/>
          </w:tcPr>
          <w:p w14:paraId="4209AB1B" w14:textId="35CDFBA7" w:rsidR="00C232D7" w:rsidRPr="00C149AB" w:rsidRDefault="00C232D7" w:rsidP="00C232D7">
            <w:pPr>
              <w:pStyle w:val="Normal-10pt-Table"/>
              <w:spacing w:line="360" w:lineRule="auto"/>
              <w:jc w:val="both"/>
              <w:rPr>
                <w:rFonts w:ascii="Arial" w:hAnsi="Arial" w:cs="Arial"/>
                <w:b w:val="0"/>
                <w:bCs w:val="0"/>
                <w:sz w:val="18"/>
                <w:szCs w:val="18"/>
                <w:highlight w:val="cyan"/>
                <w:lang w:val="mk-MK"/>
              </w:rPr>
            </w:pPr>
            <w:r w:rsidRPr="00C149AB">
              <w:rPr>
                <w:rFonts w:ascii="Arial" w:hAnsi="Arial" w:cs="Arial"/>
                <w:sz w:val="18"/>
                <w:szCs w:val="18"/>
                <w:lang w:val="sq-AL"/>
              </w:rPr>
              <w:t xml:space="preserve">Opcija V: Odvojeno sakupljanje </w:t>
            </w:r>
            <w:r w:rsidRPr="00C149AB">
              <w:rPr>
                <w:rFonts w:ascii="Arial" w:hAnsi="Arial" w:cs="Arial"/>
                <w:sz w:val="18"/>
                <w:szCs w:val="18"/>
                <w:lang w:val="sr-Latn-ME"/>
              </w:rPr>
              <w:t>miješanog</w:t>
            </w:r>
            <w:r w:rsidRPr="00C149AB">
              <w:rPr>
                <w:rFonts w:ascii="Arial" w:hAnsi="Arial" w:cs="Arial"/>
                <w:sz w:val="18"/>
                <w:szCs w:val="18"/>
                <w:lang w:val="mk-MK"/>
              </w:rPr>
              <w:t xml:space="preserve"> otpada </w:t>
            </w:r>
            <w:r w:rsidRPr="00C149AB">
              <w:rPr>
                <w:rFonts w:ascii="Arial" w:hAnsi="Arial" w:cs="Arial"/>
                <w:sz w:val="18"/>
                <w:szCs w:val="18"/>
                <w:lang w:val="sr-Latn-ME"/>
              </w:rPr>
              <w:t>koji se može reciklirati i</w:t>
            </w:r>
            <w:r w:rsidRPr="00C149AB">
              <w:rPr>
                <w:rFonts w:ascii="Arial" w:hAnsi="Arial" w:cs="Arial"/>
                <w:sz w:val="18"/>
                <w:szCs w:val="18"/>
                <w:lang w:val="sq-AL"/>
              </w:rPr>
              <w:t xml:space="preserve"> biootpada zasnovano na sistemu dovoza otpada</w:t>
            </w:r>
            <w:r w:rsidRPr="00C149AB">
              <w:rPr>
                <w:rFonts w:ascii="Arial" w:hAnsi="Arial" w:cs="Arial"/>
                <w:sz w:val="18"/>
                <w:szCs w:val="18"/>
                <w:lang w:val="mk-MK"/>
              </w:rPr>
              <w:t xml:space="preserve"> </w:t>
            </w:r>
            <w:r w:rsidRPr="00C149AB">
              <w:rPr>
                <w:rFonts w:ascii="Arial" w:hAnsi="Arial" w:cs="Arial"/>
                <w:sz w:val="18"/>
                <w:szCs w:val="18"/>
                <w:lang w:val="sq-AL"/>
              </w:rPr>
              <w:t xml:space="preserve">u urbanim sredinama i sistemu </w:t>
            </w:r>
            <w:r w:rsidR="00413A37">
              <w:rPr>
                <w:rFonts w:ascii="Arial" w:hAnsi="Arial" w:cs="Arial"/>
                <w:sz w:val="18"/>
                <w:szCs w:val="18"/>
                <w:lang w:val="sq-AL"/>
              </w:rPr>
              <w:t>“</w:t>
            </w:r>
            <w:r w:rsidRPr="00C149AB">
              <w:rPr>
                <w:rFonts w:ascii="Arial" w:hAnsi="Arial" w:cs="Arial"/>
                <w:sz w:val="18"/>
                <w:szCs w:val="18"/>
                <w:lang w:val="sq-AL"/>
              </w:rPr>
              <w:t>od vrata do vrata</w:t>
            </w:r>
            <w:r w:rsidR="00413A37">
              <w:rPr>
                <w:rFonts w:ascii="Arial" w:hAnsi="Arial" w:cs="Arial"/>
                <w:sz w:val="18"/>
                <w:szCs w:val="18"/>
                <w:lang w:val="sq-AL"/>
              </w:rPr>
              <w:t>”</w:t>
            </w:r>
            <w:r w:rsidRPr="00C149AB">
              <w:rPr>
                <w:rFonts w:ascii="Arial" w:hAnsi="Arial" w:cs="Arial"/>
                <w:sz w:val="18"/>
                <w:szCs w:val="18"/>
                <w:lang w:val="sq-AL"/>
              </w:rPr>
              <w:t xml:space="preserve"> u ruralnim područjima i pojedinačnim stanovima/povrat otpada u MRF i </w:t>
            </w:r>
            <w:r w:rsidR="00413A37">
              <w:rPr>
                <w:rFonts w:ascii="Arial" w:hAnsi="Arial" w:cs="Arial"/>
                <w:sz w:val="18"/>
                <w:szCs w:val="18"/>
                <w:lang w:val="sq-AL"/>
              </w:rPr>
              <w:t>obrada</w:t>
            </w:r>
            <w:r w:rsidR="00413A37" w:rsidRPr="00C149AB">
              <w:rPr>
                <w:rFonts w:ascii="Arial" w:hAnsi="Arial" w:cs="Arial"/>
                <w:sz w:val="18"/>
                <w:szCs w:val="18"/>
                <w:lang w:val="sq-AL"/>
              </w:rPr>
              <w:t xml:space="preserve"> </w:t>
            </w:r>
            <w:r w:rsidRPr="00C149AB">
              <w:rPr>
                <w:rFonts w:ascii="Arial" w:hAnsi="Arial" w:cs="Arial"/>
                <w:sz w:val="18"/>
                <w:szCs w:val="18"/>
                <w:lang w:val="sq-AL"/>
              </w:rPr>
              <w:t>u postrojenjima za kompostiranje</w:t>
            </w:r>
          </w:p>
        </w:tc>
        <w:tc>
          <w:tcPr>
            <w:tcW w:w="782" w:type="pct"/>
            <w:shd w:val="clear" w:color="auto" w:fill="auto"/>
            <w:vAlign w:val="center"/>
          </w:tcPr>
          <w:p w14:paraId="07F5F584"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rPr>
              <w:t>29.893.950</w:t>
            </w:r>
          </w:p>
        </w:tc>
      </w:tr>
      <w:tr w:rsidR="00C232D7" w:rsidRPr="00C149AB" w14:paraId="58E30AB0" w14:textId="77777777" w:rsidTr="00C232D7">
        <w:tc>
          <w:tcPr>
            <w:cnfStyle w:val="001000000000" w:firstRow="0" w:lastRow="0" w:firstColumn="1" w:lastColumn="0" w:oddVBand="0" w:evenVBand="0" w:oddHBand="0" w:evenHBand="0" w:firstRowFirstColumn="0" w:firstRowLastColumn="0" w:lastRowFirstColumn="0" w:lastRowLastColumn="0"/>
            <w:tcW w:w="4218" w:type="pct"/>
            <w:shd w:val="clear" w:color="auto" w:fill="auto"/>
          </w:tcPr>
          <w:p w14:paraId="69B7334B" w14:textId="2BE9CE62" w:rsidR="00C232D7" w:rsidRPr="00C149AB" w:rsidRDefault="00C232D7" w:rsidP="00C232D7">
            <w:pPr>
              <w:pStyle w:val="Normal-10pt-Table"/>
              <w:spacing w:line="360" w:lineRule="auto"/>
              <w:jc w:val="both"/>
              <w:rPr>
                <w:rFonts w:ascii="Arial" w:hAnsi="Arial" w:cs="Arial"/>
                <w:b w:val="0"/>
                <w:bCs w:val="0"/>
                <w:sz w:val="18"/>
                <w:szCs w:val="18"/>
                <w:highlight w:val="cyan"/>
                <w:lang w:val="mk-MK"/>
              </w:rPr>
            </w:pPr>
            <w:r w:rsidRPr="00C149AB">
              <w:rPr>
                <w:rFonts w:ascii="Arial" w:hAnsi="Arial" w:cs="Arial"/>
                <w:sz w:val="18"/>
                <w:szCs w:val="18"/>
                <w:lang w:val="sq-AL"/>
              </w:rPr>
              <w:t xml:space="preserve">Opcija VI: Odvojeno sakupljanje miješanog otpada koji može da se reciklira, stakla i biootpada   zasnovano na sistemu dovoza otpada/povrat otpada u MRF i </w:t>
            </w:r>
            <w:r w:rsidR="00413A37">
              <w:rPr>
                <w:rFonts w:ascii="Arial" w:hAnsi="Arial" w:cs="Arial"/>
                <w:sz w:val="18"/>
                <w:szCs w:val="18"/>
                <w:lang w:val="sq-AL"/>
              </w:rPr>
              <w:t>obrada</w:t>
            </w:r>
            <w:r w:rsidR="00413A37" w:rsidRPr="00C149AB">
              <w:rPr>
                <w:rFonts w:ascii="Arial" w:hAnsi="Arial" w:cs="Arial"/>
                <w:sz w:val="18"/>
                <w:szCs w:val="18"/>
                <w:lang w:val="sq-AL"/>
              </w:rPr>
              <w:t xml:space="preserve"> </w:t>
            </w:r>
            <w:r w:rsidRPr="00C149AB">
              <w:rPr>
                <w:rFonts w:ascii="Arial" w:hAnsi="Arial" w:cs="Arial"/>
                <w:sz w:val="18"/>
                <w:szCs w:val="18"/>
                <w:lang w:val="sq-AL"/>
              </w:rPr>
              <w:t>u postrojenjima za kompostiranje</w:t>
            </w:r>
          </w:p>
        </w:tc>
        <w:tc>
          <w:tcPr>
            <w:tcW w:w="782" w:type="pct"/>
            <w:shd w:val="clear" w:color="auto" w:fill="auto"/>
            <w:vAlign w:val="center"/>
          </w:tcPr>
          <w:p w14:paraId="3437B9E3"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rPr>
              <w:t>30.047.850</w:t>
            </w:r>
          </w:p>
        </w:tc>
      </w:tr>
      <w:tr w:rsidR="00C232D7" w:rsidRPr="00C149AB" w14:paraId="0FB384CF" w14:textId="77777777" w:rsidTr="00C232D7">
        <w:tc>
          <w:tcPr>
            <w:cnfStyle w:val="001000000000" w:firstRow="0" w:lastRow="0" w:firstColumn="1" w:lastColumn="0" w:oddVBand="0" w:evenVBand="0" w:oddHBand="0" w:evenHBand="0" w:firstRowFirstColumn="0" w:firstRowLastColumn="0" w:lastRowFirstColumn="0" w:lastRowLastColumn="0"/>
            <w:tcW w:w="4218" w:type="pct"/>
            <w:shd w:val="clear" w:color="auto" w:fill="auto"/>
          </w:tcPr>
          <w:p w14:paraId="191DD7E2" w14:textId="507C0C81" w:rsidR="00C232D7" w:rsidRPr="00C149AB" w:rsidRDefault="00C232D7" w:rsidP="00C232D7">
            <w:pPr>
              <w:pStyle w:val="Normal-10pt-Table"/>
              <w:spacing w:line="360" w:lineRule="auto"/>
              <w:jc w:val="both"/>
              <w:rPr>
                <w:rFonts w:ascii="Arial" w:hAnsi="Arial" w:cs="Arial"/>
                <w:b w:val="0"/>
                <w:bCs w:val="0"/>
                <w:sz w:val="18"/>
                <w:szCs w:val="18"/>
                <w:highlight w:val="cyan"/>
                <w:lang w:val="mk-MK"/>
              </w:rPr>
            </w:pPr>
            <w:r w:rsidRPr="00C149AB">
              <w:rPr>
                <w:rFonts w:ascii="Arial" w:hAnsi="Arial" w:cs="Arial"/>
                <w:sz w:val="18"/>
                <w:szCs w:val="18"/>
                <w:lang w:val="sq-AL"/>
              </w:rPr>
              <w:t xml:space="preserve">Opcija VII: Odvojeno sakupljanje reciklažnih materijala u odvojenim frakcijama, papir/karton, plastika/metali, staklo i biootpad u potpunosti zasnovan na sistemu dovoza otpada/povrat otpada u MRF i </w:t>
            </w:r>
            <w:r w:rsidR="00413A37">
              <w:rPr>
                <w:rFonts w:ascii="Arial" w:hAnsi="Arial" w:cs="Arial"/>
                <w:sz w:val="18"/>
                <w:szCs w:val="18"/>
                <w:lang w:val="sq-AL"/>
              </w:rPr>
              <w:t>obrada</w:t>
            </w:r>
            <w:r w:rsidR="00413A37" w:rsidRPr="00C149AB">
              <w:rPr>
                <w:rFonts w:ascii="Arial" w:hAnsi="Arial" w:cs="Arial"/>
                <w:sz w:val="18"/>
                <w:szCs w:val="18"/>
                <w:lang w:val="sq-AL"/>
              </w:rPr>
              <w:t xml:space="preserve"> </w:t>
            </w:r>
            <w:r w:rsidRPr="00C149AB">
              <w:rPr>
                <w:rFonts w:ascii="Arial" w:hAnsi="Arial" w:cs="Arial"/>
                <w:sz w:val="18"/>
                <w:szCs w:val="18"/>
                <w:lang w:val="sq-AL"/>
              </w:rPr>
              <w:t>u postrojenjima za kompostiranje</w:t>
            </w:r>
          </w:p>
        </w:tc>
        <w:tc>
          <w:tcPr>
            <w:tcW w:w="782" w:type="pct"/>
            <w:shd w:val="clear" w:color="auto" w:fill="auto"/>
            <w:vAlign w:val="center"/>
          </w:tcPr>
          <w:p w14:paraId="28EFB9B1"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mk-MK"/>
              </w:rPr>
            </w:pPr>
            <w:r w:rsidRPr="00C149AB">
              <w:rPr>
                <w:rFonts w:ascii="Arial" w:hAnsi="Arial" w:cs="Arial"/>
                <w:sz w:val="18"/>
                <w:szCs w:val="18"/>
              </w:rPr>
              <w:t>23.534.360</w:t>
            </w:r>
          </w:p>
        </w:tc>
      </w:tr>
    </w:tbl>
    <w:p w14:paraId="50D60DF9" w14:textId="77777777" w:rsidR="00C232D7" w:rsidRPr="002A6F4E" w:rsidRDefault="00C232D7" w:rsidP="00C232D7">
      <w:pPr>
        <w:spacing w:line="360" w:lineRule="auto"/>
        <w:rPr>
          <w:rFonts w:ascii="Arial" w:hAnsi="Arial" w:cs="Arial"/>
        </w:rPr>
      </w:pPr>
    </w:p>
    <w:p w14:paraId="3EE2F92D" w14:textId="77777777" w:rsidR="00C232D7" w:rsidRPr="002A6F4E" w:rsidRDefault="00C232D7" w:rsidP="00C232D7">
      <w:pPr>
        <w:spacing w:line="360" w:lineRule="auto"/>
        <w:rPr>
          <w:rFonts w:ascii="Arial" w:hAnsi="Arial" w:cs="Arial"/>
        </w:rPr>
      </w:pPr>
    </w:p>
    <w:p w14:paraId="247E0685" w14:textId="77777777" w:rsidR="00C232D7" w:rsidRPr="002A6F4E" w:rsidRDefault="00C232D7" w:rsidP="00C232D7">
      <w:pPr>
        <w:spacing w:line="360" w:lineRule="auto"/>
        <w:rPr>
          <w:rFonts w:ascii="Arial" w:hAnsi="Arial" w:cs="Arial"/>
        </w:rPr>
      </w:pPr>
    </w:p>
    <w:p w14:paraId="11CCE79F" w14:textId="77777777" w:rsidR="00C232D7" w:rsidRDefault="00C232D7" w:rsidP="00C232D7">
      <w:pPr>
        <w:spacing w:line="360" w:lineRule="auto"/>
        <w:rPr>
          <w:rFonts w:ascii="Arial" w:hAnsi="Arial" w:cs="Arial"/>
        </w:rPr>
      </w:pPr>
    </w:p>
    <w:p w14:paraId="048DD043" w14:textId="77777777" w:rsidR="00620A47" w:rsidRDefault="00620A47" w:rsidP="00C232D7">
      <w:pPr>
        <w:spacing w:line="360" w:lineRule="auto"/>
        <w:rPr>
          <w:rFonts w:ascii="Arial" w:hAnsi="Arial" w:cs="Arial"/>
        </w:rPr>
      </w:pPr>
    </w:p>
    <w:p w14:paraId="4F7B52B9" w14:textId="77777777" w:rsidR="00620A47" w:rsidRDefault="00620A47" w:rsidP="00C232D7">
      <w:pPr>
        <w:spacing w:line="360" w:lineRule="auto"/>
        <w:rPr>
          <w:rFonts w:ascii="Arial" w:hAnsi="Arial" w:cs="Arial"/>
        </w:rPr>
      </w:pPr>
    </w:p>
    <w:p w14:paraId="49216420" w14:textId="77777777" w:rsidR="00620A47" w:rsidRDefault="00620A47" w:rsidP="00C232D7">
      <w:pPr>
        <w:spacing w:line="360" w:lineRule="auto"/>
        <w:rPr>
          <w:rFonts w:ascii="Arial" w:hAnsi="Arial" w:cs="Arial"/>
        </w:rPr>
      </w:pPr>
    </w:p>
    <w:p w14:paraId="210B0AC6" w14:textId="5E8D4CA6" w:rsidR="00620A47" w:rsidRDefault="00620A47" w:rsidP="00C232D7">
      <w:pPr>
        <w:spacing w:line="360" w:lineRule="auto"/>
        <w:rPr>
          <w:rFonts w:ascii="Arial" w:hAnsi="Arial" w:cs="Arial"/>
        </w:rPr>
      </w:pPr>
    </w:p>
    <w:p w14:paraId="6DC26B89" w14:textId="56A4463A" w:rsidR="00DD411D" w:rsidRDefault="00DD411D" w:rsidP="00C232D7">
      <w:pPr>
        <w:spacing w:line="360" w:lineRule="auto"/>
        <w:rPr>
          <w:rFonts w:ascii="Arial" w:hAnsi="Arial" w:cs="Arial"/>
        </w:rPr>
      </w:pPr>
    </w:p>
    <w:p w14:paraId="772708CB" w14:textId="77777777" w:rsidR="00DD411D" w:rsidRPr="002A6F4E" w:rsidRDefault="00DD411D" w:rsidP="00C232D7">
      <w:pPr>
        <w:spacing w:line="360" w:lineRule="auto"/>
        <w:rPr>
          <w:rFonts w:ascii="Arial" w:hAnsi="Arial" w:cs="Arial"/>
        </w:rPr>
      </w:pPr>
    </w:p>
    <w:p w14:paraId="7CDE874A" w14:textId="77777777" w:rsidR="00C232D7" w:rsidRPr="002A6F4E" w:rsidRDefault="00C232D7" w:rsidP="00C232D7">
      <w:pPr>
        <w:spacing w:line="360" w:lineRule="auto"/>
        <w:rPr>
          <w:rFonts w:ascii="Arial" w:hAnsi="Arial" w:cs="Arial"/>
        </w:rPr>
      </w:pPr>
    </w:p>
    <w:p w14:paraId="7FF91B7D" w14:textId="06585553" w:rsidR="00C232D7" w:rsidRPr="00C149AB" w:rsidRDefault="00C232D7" w:rsidP="00C232D7">
      <w:pPr>
        <w:pStyle w:val="Caption"/>
        <w:rPr>
          <w:rFonts w:ascii="Arial" w:hAnsi="Arial" w:cs="Arial"/>
          <w:b w:val="0"/>
          <w:lang w:val="sq-AL"/>
        </w:rPr>
      </w:pPr>
      <w:bookmarkStart w:id="1099" w:name="_Toc9944822"/>
      <w:bookmarkStart w:id="1100" w:name="_Toc43478656"/>
      <w:bookmarkStart w:id="1101" w:name="_Toc66354973"/>
      <w:bookmarkStart w:id="1102" w:name="_Toc109051567"/>
      <w:bookmarkStart w:id="1103" w:name="_Toc189515661"/>
      <w:bookmarkStart w:id="1104" w:name="_Toc190160779"/>
      <w:r w:rsidRPr="00C149AB">
        <w:rPr>
          <w:rFonts w:ascii="Arial" w:hAnsi="Arial" w:cs="Arial"/>
          <w:b w:val="0"/>
        </w:rPr>
        <w:lastRenderedPageBreak/>
        <w:t xml:space="preserve">Tabela </w:t>
      </w:r>
      <w:r w:rsidRPr="00C149AB">
        <w:rPr>
          <w:rFonts w:ascii="Arial" w:hAnsi="Arial" w:cs="Arial"/>
          <w:b w:val="0"/>
        </w:rPr>
        <w:fldChar w:fldCharType="begin"/>
      </w:r>
      <w:r w:rsidRPr="00C149AB">
        <w:rPr>
          <w:rFonts w:ascii="Arial" w:hAnsi="Arial" w:cs="Arial"/>
          <w:b w:val="0"/>
        </w:rPr>
        <w:instrText xml:space="preserve"> SEQ Tabela \* ARABIC </w:instrText>
      </w:r>
      <w:r w:rsidRPr="00C149AB">
        <w:rPr>
          <w:rFonts w:ascii="Arial" w:hAnsi="Arial" w:cs="Arial"/>
          <w:b w:val="0"/>
        </w:rPr>
        <w:fldChar w:fldCharType="separate"/>
      </w:r>
      <w:r w:rsidR="007274DA">
        <w:rPr>
          <w:rFonts w:ascii="Arial" w:hAnsi="Arial" w:cs="Arial"/>
          <w:b w:val="0"/>
          <w:noProof/>
        </w:rPr>
        <w:t>85</w:t>
      </w:r>
      <w:r w:rsidRPr="00C149AB">
        <w:rPr>
          <w:rFonts w:ascii="Arial" w:hAnsi="Arial" w:cs="Arial"/>
          <w:b w:val="0"/>
        </w:rPr>
        <w:fldChar w:fldCharType="end"/>
      </w:r>
      <w:r w:rsidRPr="00C149AB">
        <w:rPr>
          <w:rFonts w:ascii="Arial" w:hAnsi="Arial" w:cs="Arial"/>
          <w:b w:val="0"/>
          <w:lang w:val="sq-AL"/>
        </w:rPr>
        <w:t xml:space="preserve"> </w:t>
      </w:r>
      <w:bookmarkEnd w:id="1099"/>
      <w:bookmarkEnd w:id="1100"/>
      <w:bookmarkEnd w:id="1101"/>
      <w:bookmarkEnd w:id="1102"/>
      <w:r w:rsidRPr="00C149AB">
        <w:rPr>
          <w:rFonts w:ascii="Arial" w:hAnsi="Arial" w:cs="Arial"/>
          <w:b w:val="0"/>
          <w:lang w:val="sq-AL"/>
        </w:rPr>
        <w:t>Rezime rezultata analize opcija</w:t>
      </w:r>
      <w:bookmarkEnd w:id="1103"/>
      <w:bookmarkEnd w:id="1104"/>
    </w:p>
    <w:tbl>
      <w:tblPr>
        <w:tblStyle w:val="GridTable4-Accent11"/>
        <w:tblW w:w="5309" w:type="pct"/>
        <w:tblInd w:w="-18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887"/>
        <w:gridCol w:w="1574"/>
        <w:gridCol w:w="1836"/>
        <w:gridCol w:w="1838"/>
        <w:gridCol w:w="1791"/>
      </w:tblGrid>
      <w:tr w:rsidR="00C232D7" w:rsidRPr="00C149AB" w14:paraId="542C4914" w14:textId="77777777" w:rsidTr="00C232D7">
        <w:trPr>
          <w:cnfStyle w:val="100000000000" w:firstRow="1" w:lastRow="0" w:firstColumn="0" w:lastColumn="0" w:oddVBand="0" w:evenVBand="0" w:oddHBand="0" w:evenHBand="0" w:firstRowFirstColumn="0" w:firstRowLastColumn="0" w:lastRowFirstColumn="0" w:lastRowLastColumn="0"/>
          <w:trHeight w:val="531"/>
          <w:tblHeader/>
        </w:trPr>
        <w:tc>
          <w:tcPr>
            <w:cnfStyle w:val="001000000000" w:firstRow="0" w:lastRow="0" w:firstColumn="1" w:lastColumn="0" w:oddVBand="0" w:evenVBand="0" w:oddHBand="0" w:evenHBand="0" w:firstRowFirstColumn="0" w:firstRowLastColumn="0" w:lastRowFirstColumn="0" w:lastRowLastColumn="0"/>
            <w:tcW w:w="1454" w:type="pct"/>
            <w:tcBorders>
              <w:top w:val="single" w:sz="4" w:space="0" w:color="auto"/>
              <w:left w:val="single" w:sz="4" w:space="0" w:color="auto"/>
              <w:bottom w:val="single" w:sz="4" w:space="0" w:color="auto"/>
            </w:tcBorders>
            <w:shd w:val="clear" w:color="auto" w:fill="F2F2F2" w:themeFill="background1" w:themeFillShade="F2"/>
            <w:vAlign w:val="center"/>
          </w:tcPr>
          <w:p w14:paraId="12A0831F" w14:textId="77777777" w:rsidR="00C232D7" w:rsidRPr="00C149AB" w:rsidRDefault="00C232D7" w:rsidP="00C232D7">
            <w:pPr>
              <w:pStyle w:val="Normal-10pt-Table"/>
              <w:spacing w:line="360" w:lineRule="auto"/>
              <w:jc w:val="both"/>
              <w:rPr>
                <w:rFonts w:ascii="Arial" w:hAnsi="Arial" w:cs="Arial"/>
                <w:b w:val="0"/>
                <w:bCs w:val="0"/>
                <w:sz w:val="18"/>
                <w:szCs w:val="18"/>
                <w:lang w:val="sq-AL"/>
              </w:rPr>
            </w:pPr>
            <w:r w:rsidRPr="00C149AB">
              <w:rPr>
                <w:rFonts w:ascii="Arial" w:hAnsi="Arial" w:cs="Arial"/>
                <w:color w:val="auto"/>
                <w:sz w:val="18"/>
                <w:szCs w:val="18"/>
                <w:lang w:val="sq-AL"/>
              </w:rPr>
              <w:t>Opcija</w:t>
            </w:r>
          </w:p>
        </w:tc>
        <w:tc>
          <w:tcPr>
            <w:tcW w:w="793" w:type="pct"/>
            <w:tcBorders>
              <w:top w:val="single" w:sz="4" w:space="0" w:color="auto"/>
              <w:left w:val="single" w:sz="4" w:space="0" w:color="auto"/>
              <w:bottom w:val="single" w:sz="4" w:space="0" w:color="auto"/>
            </w:tcBorders>
            <w:shd w:val="clear" w:color="auto" w:fill="F2F2F2" w:themeFill="background1" w:themeFillShade="F2"/>
            <w:vAlign w:val="center"/>
          </w:tcPr>
          <w:p w14:paraId="32D307B7"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sq-AL"/>
              </w:rPr>
            </w:pPr>
            <w:r w:rsidRPr="00C149AB">
              <w:rPr>
                <w:rFonts w:ascii="Arial" w:hAnsi="Arial" w:cs="Arial"/>
                <w:color w:val="auto"/>
                <w:sz w:val="18"/>
                <w:szCs w:val="18"/>
                <w:lang w:val="sq-AL"/>
              </w:rPr>
              <w:t>Jednako ponderisanje</w:t>
            </w:r>
          </w:p>
        </w:tc>
        <w:tc>
          <w:tcPr>
            <w:tcW w:w="925" w:type="pct"/>
            <w:tcBorders>
              <w:top w:val="single" w:sz="4" w:space="0" w:color="auto"/>
              <w:left w:val="single" w:sz="4" w:space="0" w:color="auto"/>
              <w:bottom w:val="single" w:sz="4" w:space="0" w:color="auto"/>
            </w:tcBorders>
            <w:shd w:val="clear" w:color="auto" w:fill="F2F2F2" w:themeFill="background1" w:themeFillShade="F2"/>
            <w:vAlign w:val="center"/>
          </w:tcPr>
          <w:p w14:paraId="64DBCDF2"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sq-AL"/>
              </w:rPr>
            </w:pPr>
            <w:r w:rsidRPr="00C149AB">
              <w:rPr>
                <w:rFonts w:ascii="Arial" w:hAnsi="Arial" w:cs="Arial"/>
                <w:color w:val="auto"/>
                <w:sz w:val="18"/>
                <w:szCs w:val="18"/>
                <w:lang w:val="sq-AL"/>
              </w:rPr>
              <w:t>Fokus  na društveni aspekt</w:t>
            </w:r>
          </w:p>
        </w:tc>
        <w:tc>
          <w:tcPr>
            <w:tcW w:w="926" w:type="pct"/>
            <w:tcBorders>
              <w:top w:val="single" w:sz="4" w:space="0" w:color="auto"/>
              <w:left w:val="single" w:sz="4" w:space="0" w:color="auto"/>
              <w:bottom w:val="single" w:sz="4" w:space="0" w:color="auto"/>
            </w:tcBorders>
            <w:shd w:val="clear" w:color="auto" w:fill="F2F2F2" w:themeFill="background1" w:themeFillShade="F2"/>
            <w:vAlign w:val="center"/>
          </w:tcPr>
          <w:p w14:paraId="5F78AE47"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sq-AL"/>
              </w:rPr>
            </w:pPr>
            <w:r w:rsidRPr="00C149AB">
              <w:rPr>
                <w:rFonts w:ascii="Arial" w:hAnsi="Arial" w:cs="Arial"/>
                <w:color w:val="auto"/>
                <w:sz w:val="18"/>
                <w:szCs w:val="18"/>
                <w:lang w:val="sq-AL"/>
              </w:rPr>
              <w:t>Fokus na ekološki aspekt</w:t>
            </w:r>
          </w:p>
        </w:tc>
        <w:tc>
          <w:tcPr>
            <w:tcW w:w="9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C2D32E" w14:textId="77777777" w:rsidR="00C232D7" w:rsidRPr="00C149AB" w:rsidRDefault="00C232D7" w:rsidP="00C232D7">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lang w:val="sq-AL"/>
              </w:rPr>
            </w:pPr>
            <w:r w:rsidRPr="00C149AB">
              <w:rPr>
                <w:rFonts w:ascii="Arial" w:hAnsi="Arial" w:cs="Arial"/>
                <w:color w:val="auto"/>
                <w:sz w:val="18"/>
                <w:szCs w:val="18"/>
                <w:lang w:val="sq-AL"/>
              </w:rPr>
              <w:t>Fokus na finansijski  aspekt</w:t>
            </w:r>
          </w:p>
        </w:tc>
      </w:tr>
      <w:tr w:rsidR="00C232D7" w:rsidRPr="00C149AB" w14:paraId="621F4852" w14:textId="77777777" w:rsidTr="00C232D7">
        <w:tc>
          <w:tcPr>
            <w:cnfStyle w:val="001000000000" w:firstRow="0" w:lastRow="0" w:firstColumn="1" w:lastColumn="0" w:oddVBand="0" w:evenVBand="0" w:oddHBand="0" w:evenHBand="0" w:firstRowFirstColumn="0" w:firstRowLastColumn="0" w:lastRowFirstColumn="0" w:lastRowLastColumn="0"/>
            <w:tcW w:w="1454" w:type="pct"/>
            <w:tcBorders>
              <w:top w:val="single" w:sz="4" w:space="0" w:color="auto"/>
            </w:tcBorders>
            <w:shd w:val="clear" w:color="auto" w:fill="auto"/>
          </w:tcPr>
          <w:p w14:paraId="41FC550A" w14:textId="77777777" w:rsidR="00C232D7" w:rsidRPr="00C149AB" w:rsidRDefault="00C232D7" w:rsidP="00C232D7">
            <w:pPr>
              <w:pStyle w:val="Normal-10pt-Table"/>
              <w:spacing w:line="360" w:lineRule="auto"/>
              <w:jc w:val="both"/>
              <w:rPr>
                <w:rFonts w:ascii="Arial" w:hAnsi="Arial" w:cs="Arial"/>
                <w:b w:val="0"/>
                <w:bCs w:val="0"/>
                <w:sz w:val="18"/>
                <w:szCs w:val="18"/>
                <w:lang w:val="sq-AL"/>
              </w:rPr>
            </w:pPr>
            <w:r w:rsidRPr="00C149AB">
              <w:rPr>
                <w:rFonts w:ascii="Arial" w:hAnsi="Arial" w:cs="Arial"/>
                <w:sz w:val="18"/>
                <w:szCs w:val="18"/>
                <w:lang w:val="sq-AL"/>
              </w:rPr>
              <w:t>Opcija I: Uobičajeno poslovanje</w:t>
            </w:r>
          </w:p>
        </w:tc>
        <w:tc>
          <w:tcPr>
            <w:tcW w:w="793" w:type="pct"/>
            <w:tcBorders>
              <w:top w:val="single" w:sz="4" w:space="0" w:color="auto"/>
            </w:tcBorders>
            <w:shd w:val="clear" w:color="auto" w:fill="auto"/>
            <w:vAlign w:val="center"/>
          </w:tcPr>
          <w:p w14:paraId="08573322"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sz w:val="18"/>
                <w:szCs w:val="18"/>
                <w:lang w:val="mk-MK"/>
              </w:rPr>
              <w:t>80.</w:t>
            </w:r>
            <w:r w:rsidRPr="00C149AB">
              <w:rPr>
                <w:rFonts w:ascii="Arial" w:hAnsi="Arial" w:cs="Arial"/>
                <w:bCs/>
                <w:sz w:val="18"/>
                <w:szCs w:val="18"/>
                <w:lang w:val="mk-MK"/>
              </w:rPr>
              <w:t>0</w:t>
            </w:r>
          </w:p>
        </w:tc>
        <w:tc>
          <w:tcPr>
            <w:tcW w:w="925" w:type="pct"/>
            <w:tcBorders>
              <w:top w:val="single" w:sz="4" w:space="0" w:color="auto"/>
            </w:tcBorders>
            <w:shd w:val="clear" w:color="auto" w:fill="auto"/>
            <w:vAlign w:val="center"/>
          </w:tcPr>
          <w:p w14:paraId="1451524E"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sz w:val="18"/>
                <w:szCs w:val="18"/>
                <w:lang w:val="mk-MK"/>
              </w:rPr>
              <w:t>78.</w:t>
            </w:r>
            <w:r w:rsidRPr="00C149AB">
              <w:rPr>
                <w:rFonts w:ascii="Arial" w:hAnsi="Arial" w:cs="Arial"/>
                <w:bCs/>
                <w:sz w:val="18"/>
                <w:szCs w:val="18"/>
                <w:lang w:val="mk-MK"/>
              </w:rPr>
              <w:t>5</w:t>
            </w:r>
          </w:p>
        </w:tc>
        <w:tc>
          <w:tcPr>
            <w:tcW w:w="926" w:type="pct"/>
            <w:tcBorders>
              <w:top w:val="single" w:sz="4" w:space="0" w:color="auto"/>
            </w:tcBorders>
            <w:shd w:val="clear" w:color="auto" w:fill="auto"/>
            <w:vAlign w:val="center"/>
          </w:tcPr>
          <w:p w14:paraId="0ECF4199"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sz w:val="18"/>
                <w:szCs w:val="18"/>
                <w:lang w:val="mk-MK"/>
              </w:rPr>
              <w:t>77.</w:t>
            </w:r>
            <w:r w:rsidRPr="00C149AB">
              <w:rPr>
                <w:rFonts w:ascii="Arial" w:hAnsi="Arial" w:cs="Arial"/>
                <w:bCs/>
                <w:sz w:val="18"/>
                <w:szCs w:val="18"/>
                <w:lang w:val="mk-MK"/>
              </w:rPr>
              <w:t>2</w:t>
            </w:r>
          </w:p>
        </w:tc>
        <w:tc>
          <w:tcPr>
            <w:tcW w:w="902" w:type="pct"/>
            <w:tcBorders>
              <w:top w:val="single" w:sz="4" w:space="0" w:color="auto"/>
            </w:tcBorders>
            <w:shd w:val="clear" w:color="auto" w:fill="auto"/>
            <w:vAlign w:val="center"/>
          </w:tcPr>
          <w:p w14:paraId="40143418"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sz w:val="18"/>
                <w:szCs w:val="18"/>
                <w:lang w:val="mk-MK"/>
              </w:rPr>
              <w:t>84.</w:t>
            </w:r>
            <w:r w:rsidRPr="00C149AB">
              <w:rPr>
                <w:rFonts w:ascii="Arial" w:hAnsi="Arial" w:cs="Arial"/>
                <w:bCs/>
                <w:sz w:val="18"/>
                <w:szCs w:val="18"/>
                <w:lang w:val="mk-MK"/>
              </w:rPr>
              <w:t>0</w:t>
            </w:r>
          </w:p>
        </w:tc>
      </w:tr>
      <w:tr w:rsidR="00C232D7" w:rsidRPr="00C149AB" w14:paraId="4A1B0EDD" w14:textId="77777777" w:rsidTr="00C232D7">
        <w:tc>
          <w:tcPr>
            <w:cnfStyle w:val="001000000000" w:firstRow="0" w:lastRow="0" w:firstColumn="1" w:lastColumn="0" w:oddVBand="0" w:evenVBand="0" w:oddHBand="0" w:evenHBand="0" w:firstRowFirstColumn="0" w:firstRowLastColumn="0" w:lastRowFirstColumn="0" w:lastRowLastColumn="0"/>
            <w:tcW w:w="1454" w:type="pct"/>
            <w:shd w:val="clear" w:color="auto" w:fill="auto"/>
          </w:tcPr>
          <w:p w14:paraId="65265631" w14:textId="77777777" w:rsidR="00C232D7" w:rsidRPr="00C149AB" w:rsidRDefault="00C232D7" w:rsidP="00C232D7">
            <w:pPr>
              <w:pStyle w:val="Normal-10pt-Table"/>
              <w:spacing w:line="360" w:lineRule="auto"/>
              <w:jc w:val="both"/>
              <w:rPr>
                <w:rFonts w:ascii="Arial" w:hAnsi="Arial" w:cs="Arial"/>
                <w:b w:val="0"/>
                <w:bCs w:val="0"/>
                <w:sz w:val="18"/>
                <w:szCs w:val="18"/>
                <w:lang w:val="sq-AL"/>
              </w:rPr>
            </w:pPr>
            <w:r w:rsidRPr="00C149AB">
              <w:rPr>
                <w:rFonts w:ascii="Arial" w:hAnsi="Arial" w:cs="Arial"/>
                <w:sz w:val="18"/>
                <w:szCs w:val="18"/>
                <w:lang w:val="sq-AL"/>
              </w:rPr>
              <w:t xml:space="preserve">Opcija II: Proširenje postojećeg sistema kako se pokrilo sve stanovništvo uslugama sakupljanja otpada </w:t>
            </w:r>
          </w:p>
        </w:tc>
        <w:tc>
          <w:tcPr>
            <w:tcW w:w="793" w:type="pct"/>
            <w:shd w:val="clear" w:color="auto" w:fill="auto"/>
            <w:vAlign w:val="center"/>
          </w:tcPr>
          <w:p w14:paraId="0AC57EEE"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sz w:val="18"/>
                <w:szCs w:val="18"/>
                <w:lang w:val="mk-MK"/>
              </w:rPr>
              <w:t>82.</w:t>
            </w:r>
            <w:r w:rsidRPr="00C149AB">
              <w:rPr>
                <w:rFonts w:ascii="Arial" w:hAnsi="Arial" w:cs="Arial"/>
                <w:bCs/>
                <w:sz w:val="18"/>
                <w:szCs w:val="18"/>
                <w:lang w:val="mk-MK"/>
              </w:rPr>
              <w:t>4</w:t>
            </w:r>
          </w:p>
        </w:tc>
        <w:tc>
          <w:tcPr>
            <w:tcW w:w="925" w:type="pct"/>
            <w:shd w:val="clear" w:color="auto" w:fill="auto"/>
            <w:vAlign w:val="center"/>
          </w:tcPr>
          <w:p w14:paraId="55A31DDE"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sz w:val="18"/>
                <w:szCs w:val="18"/>
                <w:lang w:val="mk-MK"/>
              </w:rPr>
              <w:t>81.</w:t>
            </w:r>
            <w:r w:rsidRPr="00C149AB">
              <w:rPr>
                <w:rFonts w:ascii="Arial" w:hAnsi="Arial" w:cs="Arial"/>
                <w:bCs/>
                <w:sz w:val="18"/>
                <w:szCs w:val="18"/>
                <w:lang w:val="mk-MK"/>
              </w:rPr>
              <w:t>1</w:t>
            </w:r>
          </w:p>
        </w:tc>
        <w:tc>
          <w:tcPr>
            <w:tcW w:w="926" w:type="pct"/>
            <w:shd w:val="clear" w:color="auto" w:fill="auto"/>
            <w:vAlign w:val="center"/>
          </w:tcPr>
          <w:p w14:paraId="6DBDAA55"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sz w:val="18"/>
                <w:szCs w:val="18"/>
                <w:lang w:val="mk-MK"/>
              </w:rPr>
              <w:t>81.</w:t>
            </w:r>
            <w:r w:rsidRPr="00C149AB">
              <w:rPr>
                <w:rFonts w:ascii="Arial" w:hAnsi="Arial" w:cs="Arial"/>
                <w:bCs/>
                <w:sz w:val="18"/>
                <w:szCs w:val="18"/>
                <w:lang w:val="mk-MK"/>
              </w:rPr>
              <w:t>8</w:t>
            </w:r>
          </w:p>
        </w:tc>
        <w:tc>
          <w:tcPr>
            <w:tcW w:w="902" w:type="pct"/>
            <w:shd w:val="clear" w:color="auto" w:fill="auto"/>
            <w:vAlign w:val="center"/>
          </w:tcPr>
          <w:p w14:paraId="203C732B"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sz w:val="18"/>
                <w:szCs w:val="18"/>
                <w:lang w:val="mk-MK"/>
              </w:rPr>
              <w:t>84.</w:t>
            </w:r>
            <w:r w:rsidRPr="00C149AB">
              <w:rPr>
                <w:rFonts w:ascii="Arial" w:hAnsi="Arial" w:cs="Arial"/>
                <w:bCs/>
                <w:sz w:val="18"/>
                <w:szCs w:val="18"/>
                <w:lang w:val="mk-MK"/>
              </w:rPr>
              <w:t>4</w:t>
            </w:r>
          </w:p>
        </w:tc>
      </w:tr>
      <w:tr w:rsidR="00C232D7" w:rsidRPr="00C149AB" w14:paraId="72E1AE5A" w14:textId="77777777" w:rsidTr="00C232D7">
        <w:tc>
          <w:tcPr>
            <w:cnfStyle w:val="001000000000" w:firstRow="0" w:lastRow="0" w:firstColumn="1" w:lastColumn="0" w:oddVBand="0" w:evenVBand="0" w:oddHBand="0" w:evenHBand="0" w:firstRowFirstColumn="0" w:firstRowLastColumn="0" w:lastRowFirstColumn="0" w:lastRowLastColumn="0"/>
            <w:tcW w:w="1454" w:type="pct"/>
            <w:shd w:val="clear" w:color="auto" w:fill="auto"/>
          </w:tcPr>
          <w:p w14:paraId="0B1610C0" w14:textId="77777777" w:rsidR="00C232D7" w:rsidRPr="00C149AB" w:rsidRDefault="00C232D7" w:rsidP="00C232D7">
            <w:pPr>
              <w:pStyle w:val="Normal-10pt-Table"/>
              <w:spacing w:line="360" w:lineRule="auto"/>
              <w:jc w:val="both"/>
              <w:rPr>
                <w:rFonts w:ascii="Arial" w:hAnsi="Arial" w:cs="Arial"/>
                <w:b w:val="0"/>
                <w:bCs w:val="0"/>
                <w:sz w:val="18"/>
                <w:szCs w:val="18"/>
                <w:lang w:val="sq-AL"/>
              </w:rPr>
            </w:pPr>
            <w:r w:rsidRPr="00C149AB">
              <w:rPr>
                <w:rFonts w:ascii="Arial" w:hAnsi="Arial" w:cs="Arial"/>
                <w:sz w:val="18"/>
                <w:szCs w:val="18"/>
                <w:lang w:val="sq-AL"/>
              </w:rPr>
              <w:t>Opcija IIIa: Odvojeno sakupljanje otpada koji može da se reciklira zasnovano na sistemu dovoza otpada</w:t>
            </w:r>
          </w:p>
        </w:tc>
        <w:tc>
          <w:tcPr>
            <w:tcW w:w="793" w:type="pct"/>
            <w:shd w:val="clear" w:color="auto" w:fill="auto"/>
            <w:vAlign w:val="center"/>
          </w:tcPr>
          <w:p w14:paraId="688D4EC5"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sz w:val="18"/>
                <w:szCs w:val="18"/>
                <w:lang w:val="mk-MK"/>
              </w:rPr>
              <w:t>85.</w:t>
            </w:r>
            <w:r w:rsidRPr="00C149AB">
              <w:rPr>
                <w:rFonts w:ascii="Arial" w:hAnsi="Arial" w:cs="Arial"/>
                <w:bCs/>
                <w:sz w:val="18"/>
                <w:szCs w:val="18"/>
                <w:lang w:val="mk-MK"/>
              </w:rPr>
              <w:t>4</w:t>
            </w:r>
          </w:p>
        </w:tc>
        <w:tc>
          <w:tcPr>
            <w:tcW w:w="925" w:type="pct"/>
            <w:shd w:val="clear" w:color="auto" w:fill="auto"/>
            <w:vAlign w:val="center"/>
          </w:tcPr>
          <w:p w14:paraId="1013BE2D"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sz w:val="18"/>
                <w:szCs w:val="18"/>
                <w:lang w:val="mk-MK"/>
              </w:rPr>
              <w:t>85.</w:t>
            </w:r>
            <w:r w:rsidRPr="00C149AB">
              <w:rPr>
                <w:rFonts w:ascii="Arial" w:hAnsi="Arial" w:cs="Arial"/>
                <w:bCs/>
                <w:sz w:val="18"/>
                <w:szCs w:val="18"/>
                <w:lang w:val="sr-Latn-ME"/>
              </w:rPr>
              <w:t>5</w:t>
            </w:r>
          </w:p>
        </w:tc>
        <w:tc>
          <w:tcPr>
            <w:tcW w:w="926" w:type="pct"/>
            <w:shd w:val="clear" w:color="auto" w:fill="auto"/>
            <w:vAlign w:val="center"/>
          </w:tcPr>
          <w:p w14:paraId="60737952"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sz w:val="18"/>
                <w:szCs w:val="18"/>
                <w:lang w:val="mk-MK"/>
              </w:rPr>
              <w:t>85.</w:t>
            </w:r>
            <w:r w:rsidRPr="00C149AB">
              <w:rPr>
                <w:rFonts w:ascii="Arial" w:hAnsi="Arial" w:cs="Arial"/>
                <w:bCs/>
                <w:sz w:val="18"/>
                <w:szCs w:val="18"/>
                <w:lang w:val="mk-MK"/>
              </w:rPr>
              <w:t>6</w:t>
            </w:r>
          </w:p>
        </w:tc>
        <w:tc>
          <w:tcPr>
            <w:tcW w:w="902" w:type="pct"/>
            <w:shd w:val="clear" w:color="auto" w:fill="auto"/>
            <w:vAlign w:val="center"/>
          </w:tcPr>
          <w:p w14:paraId="490228BD"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bCs/>
                <w:sz w:val="18"/>
                <w:szCs w:val="18"/>
                <w:lang w:val="mk-MK"/>
              </w:rPr>
              <w:t>83.</w:t>
            </w:r>
            <w:r w:rsidRPr="00C149AB">
              <w:rPr>
                <w:rFonts w:ascii="Arial" w:hAnsi="Arial" w:cs="Arial"/>
                <w:bCs/>
                <w:sz w:val="18"/>
                <w:szCs w:val="18"/>
                <w:lang w:val="sr-Latn-ME"/>
              </w:rPr>
              <w:t>8</w:t>
            </w:r>
          </w:p>
        </w:tc>
      </w:tr>
      <w:tr w:rsidR="00C232D7" w:rsidRPr="00C149AB" w14:paraId="20601C15" w14:textId="77777777" w:rsidTr="00C232D7">
        <w:tc>
          <w:tcPr>
            <w:cnfStyle w:val="001000000000" w:firstRow="0" w:lastRow="0" w:firstColumn="1" w:lastColumn="0" w:oddVBand="0" w:evenVBand="0" w:oddHBand="0" w:evenHBand="0" w:firstRowFirstColumn="0" w:firstRowLastColumn="0" w:lastRowFirstColumn="0" w:lastRowLastColumn="0"/>
            <w:tcW w:w="1454" w:type="pct"/>
            <w:shd w:val="clear" w:color="auto" w:fill="auto"/>
          </w:tcPr>
          <w:p w14:paraId="56EAAEC7" w14:textId="78BA872E" w:rsidR="00C232D7" w:rsidRPr="00C149AB" w:rsidRDefault="00C232D7" w:rsidP="00C232D7">
            <w:pPr>
              <w:pStyle w:val="Normal-10pt-Table"/>
              <w:spacing w:line="360" w:lineRule="auto"/>
              <w:jc w:val="both"/>
              <w:rPr>
                <w:rFonts w:ascii="Arial" w:hAnsi="Arial" w:cs="Arial"/>
                <w:b w:val="0"/>
                <w:bCs w:val="0"/>
                <w:sz w:val="18"/>
                <w:szCs w:val="18"/>
                <w:lang w:val="sq-AL"/>
              </w:rPr>
            </w:pPr>
            <w:r w:rsidRPr="00C149AB">
              <w:rPr>
                <w:rFonts w:ascii="Arial" w:hAnsi="Arial" w:cs="Arial"/>
                <w:sz w:val="18"/>
                <w:szCs w:val="18"/>
                <w:lang w:val="sq-AL"/>
              </w:rPr>
              <w:t xml:space="preserve">Opcija IIIb: Odvojeno sakupljanje miješanog otpada koji može da se reciklira zasnovano na sistemu dovoza otpada u urbanim sredinama i sistemu </w:t>
            </w:r>
            <w:r w:rsidR="00413A37">
              <w:rPr>
                <w:rFonts w:ascii="Arial" w:hAnsi="Arial" w:cs="Arial"/>
                <w:sz w:val="18"/>
                <w:szCs w:val="18"/>
                <w:lang w:val="sq-AL"/>
              </w:rPr>
              <w:t>“</w:t>
            </w:r>
            <w:r w:rsidRPr="00C149AB">
              <w:rPr>
                <w:rFonts w:ascii="Arial" w:hAnsi="Arial" w:cs="Arial"/>
                <w:sz w:val="18"/>
                <w:szCs w:val="18"/>
                <w:lang w:val="sq-AL"/>
              </w:rPr>
              <w:t>od vrata do vrata</w:t>
            </w:r>
            <w:r w:rsidR="00413A37">
              <w:rPr>
                <w:rFonts w:ascii="Arial" w:hAnsi="Arial" w:cs="Arial"/>
                <w:sz w:val="18"/>
                <w:szCs w:val="18"/>
                <w:lang w:val="sq-AL"/>
              </w:rPr>
              <w:t>”</w:t>
            </w:r>
            <w:r w:rsidRPr="00C149AB">
              <w:rPr>
                <w:rFonts w:ascii="Arial" w:hAnsi="Arial" w:cs="Arial"/>
                <w:sz w:val="18"/>
                <w:szCs w:val="18"/>
                <w:lang w:val="sq-AL"/>
              </w:rPr>
              <w:t xml:space="preserve"> u ruralnim oblastima</w:t>
            </w:r>
          </w:p>
        </w:tc>
        <w:tc>
          <w:tcPr>
            <w:tcW w:w="793" w:type="pct"/>
            <w:shd w:val="clear" w:color="auto" w:fill="auto"/>
            <w:vAlign w:val="center"/>
          </w:tcPr>
          <w:p w14:paraId="043FDA58"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mk-MK"/>
              </w:rPr>
            </w:pPr>
            <w:r w:rsidRPr="00C149AB">
              <w:rPr>
                <w:rFonts w:ascii="Arial" w:hAnsi="Arial" w:cs="Arial"/>
                <w:bCs/>
                <w:sz w:val="18"/>
                <w:szCs w:val="18"/>
                <w:lang w:val="mk-MK"/>
              </w:rPr>
              <w:t>87.5</w:t>
            </w:r>
          </w:p>
        </w:tc>
        <w:tc>
          <w:tcPr>
            <w:tcW w:w="925" w:type="pct"/>
            <w:shd w:val="clear" w:color="auto" w:fill="auto"/>
            <w:vAlign w:val="center"/>
          </w:tcPr>
          <w:p w14:paraId="20A8117A"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mk-MK"/>
              </w:rPr>
            </w:pPr>
            <w:r w:rsidRPr="00C149AB">
              <w:rPr>
                <w:rFonts w:ascii="Arial" w:hAnsi="Arial" w:cs="Arial"/>
                <w:bCs/>
                <w:sz w:val="18"/>
                <w:szCs w:val="18"/>
                <w:lang w:val="mk-MK"/>
              </w:rPr>
              <w:t>87.5</w:t>
            </w:r>
          </w:p>
        </w:tc>
        <w:tc>
          <w:tcPr>
            <w:tcW w:w="926" w:type="pct"/>
            <w:shd w:val="clear" w:color="auto" w:fill="auto"/>
            <w:vAlign w:val="center"/>
          </w:tcPr>
          <w:p w14:paraId="6AB32EF0"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mk-MK"/>
              </w:rPr>
            </w:pPr>
            <w:r w:rsidRPr="00C149AB">
              <w:rPr>
                <w:rFonts w:ascii="Arial" w:hAnsi="Arial" w:cs="Arial"/>
                <w:bCs/>
                <w:sz w:val="18"/>
                <w:szCs w:val="18"/>
                <w:lang w:val="mk-MK"/>
              </w:rPr>
              <w:t>88.0</w:t>
            </w:r>
          </w:p>
        </w:tc>
        <w:tc>
          <w:tcPr>
            <w:tcW w:w="902" w:type="pct"/>
            <w:shd w:val="clear" w:color="auto" w:fill="auto"/>
            <w:vAlign w:val="center"/>
          </w:tcPr>
          <w:p w14:paraId="771CA12C"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mk-MK"/>
              </w:rPr>
            </w:pPr>
            <w:r w:rsidRPr="00C149AB">
              <w:rPr>
                <w:rFonts w:ascii="Arial" w:hAnsi="Arial" w:cs="Arial"/>
                <w:bCs/>
                <w:sz w:val="18"/>
                <w:szCs w:val="18"/>
                <w:lang w:val="mk-MK"/>
              </w:rPr>
              <w:t>86.2</w:t>
            </w:r>
          </w:p>
        </w:tc>
      </w:tr>
      <w:tr w:rsidR="00C232D7" w:rsidRPr="00C149AB" w14:paraId="2C376B0D" w14:textId="77777777" w:rsidTr="00C232D7">
        <w:tc>
          <w:tcPr>
            <w:cnfStyle w:val="001000000000" w:firstRow="0" w:lastRow="0" w:firstColumn="1" w:lastColumn="0" w:oddVBand="0" w:evenVBand="0" w:oddHBand="0" w:evenHBand="0" w:firstRowFirstColumn="0" w:firstRowLastColumn="0" w:lastRowFirstColumn="0" w:lastRowLastColumn="0"/>
            <w:tcW w:w="1454" w:type="pct"/>
            <w:shd w:val="clear" w:color="auto" w:fill="auto"/>
          </w:tcPr>
          <w:p w14:paraId="2222184A" w14:textId="393FFB1D" w:rsidR="00C232D7" w:rsidRPr="00C149AB" w:rsidRDefault="00C232D7" w:rsidP="00C232D7">
            <w:pPr>
              <w:pStyle w:val="Normal-10pt-Table"/>
              <w:spacing w:line="360" w:lineRule="auto"/>
              <w:jc w:val="both"/>
              <w:rPr>
                <w:rFonts w:ascii="Arial" w:hAnsi="Arial" w:cs="Arial"/>
                <w:b w:val="0"/>
                <w:bCs w:val="0"/>
                <w:sz w:val="18"/>
                <w:szCs w:val="18"/>
                <w:lang w:val="sq-AL"/>
              </w:rPr>
            </w:pPr>
            <w:r w:rsidRPr="00C149AB">
              <w:rPr>
                <w:rFonts w:ascii="Arial" w:hAnsi="Arial" w:cs="Arial"/>
                <w:sz w:val="18"/>
                <w:szCs w:val="18"/>
                <w:lang w:val="mk-MK"/>
              </w:rPr>
              <w:t>Opcija IV: Odvojeno s</w:t>
            </w:r>
            <w:r w:rsidRPr="00C149AB">
              <w:rPr>
                <w:rFonts w:ascii="Arial" w:hAnsi="Arial" w:cs="Arial"/>
                <w:sz w:val="18"/>
                <w:szCs w:val="18"/>
                <w:lang w:val="sr-Latn-ME"/>
              </w:rPr>
              <w:t>a</w:t>
            </w:r>
            <w:r w:rsidRPr="00C149AB">
              <w:rPr>
                <w:rFonts w:ascii="Arial" w:hAnsi="Arial" w:cs="Arial"/>
                <w:sz w:val="18"/>
                <w:szCs w:val="18"/>
                <w:lang w:val="mk-MK"/>
              </w:rPr>
              <w:t xml:space="preserve">kupljanje </w:t>
            </w:r>
            <w:r w:rsidRPr="00C149AB">
              <w:rPr>
                <w:rFonts w:ascii="Arial" w:hAnsi="Arial" w:cs="Arial"/>
                <w:sz w:val="18"/>
                <w:szCs w:val="18"/>
                <w:lang w:val="sr-Latn-ME"/>
              </w:rPr>
              <w:t>miješanog</w:t>
            </w:r>
            <w:r w:rsidRPr="00C149AB">
              <w:rPr>
                <w:rFonts w:ascii="Arial" w:hAnsi="Arial" w:cs="Arial"/>
                <w:sz w:val="18"/>
                <w:szCs w:val="18"/>
                <w:lang w:val="mk-MK"/>
              </w:rPr>
              <w:t xml:space="preserve"> otpada </w:t>
            </w:r>
            <w:r w:rsidRPr="00C149AB">
              <w:rPr>
                <w:rFonts w:ascii="Arial" w:hAnsi="Arial" w:cs="Arial"/>
                <w:sz w:val="18"/>
                <w:szCs w:val="18"/>
                <w:lang w:val="sr-Latn-ME"/>
              </w:rPr>
              <w:t xml:space="preserve">koji se može reciklirati </w:t>
            </w:r>
            <w:r w:rsidRPr="00C149AB">
              <w:rPr>
                <w:rFonts w:ascii="Arial" w:hAnsi="Arial" w:cs="Arial"/>
                <w:sz w:val="18"/>
                <w:szCs w:val="18"/>
                <w:lang w:val="mk-MK"/>
              </w:rPr>
              <w:t xml:space="preserve">i biootpada </w:t>
            </w:r>
            <w:r w:rsidRPr="00C149AB">
              <w:rPr>
                <w:rFonts w:ascii="Arial" w:hAnsi="Arial" w:cs="Arial"/>
                <w:sz w:val="18"/>
                <w:szCs w:val="18"/>
                <w:lang w:val="sq-AL"/>
              </w:rPr>
              <w:t>zasnovano na sistemu dovoza otpada</w:t>
            </w:r>
            <w:r w:rsidRPr="00C149AB">
              <w:rPr>
                <w:rFonts w:ascii="Arial" w:hAnsi="Arial" w:cs="Arial"/>
                <w:sz w:val="18"/>
                <w:szCs w:val="18"/>
                <w:highlight w:val="cyan"/>
                <w:lang w:val="mk-MK"/>
              </w:rPr>
              <w:t xml:space="preserve"> </w:t>
            </w:r>
          </w:p>
        </w:tc>
        <w:tc>
          <w:tcPr>
            <w:tcW w:w="793" w:type="pct"/>
            <w:shd w:val="clear" w:color="auto" w:fill="auto"/>
            <w:vAlign w:val="center"/>
          </w:tcPr>
          <w:p w14:paraId="110A8D60"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q-AL"/>
              </w:rPr>
            </w:pPr>
            <w:r w:rsidRPr="00C149AB">
              <w:rPr>
                <w:rFonts w:ascii="Arial" w:hAnsi="Arial" w:cs="Arial"/>
                <w:bCs/>
                <w:sz w:val="18"/>
                <w:szCs w:val="18"/>
                <w:lang w:val="mk-MK"/>
              </w:rPr>
              <w:t>89.1</w:t>
            </w:r>
          </w:p>
        </w:tc>
        <w:tc>
          <w:tcPr>
            <w:tcW w:w="925" w:type="pct"/>
            <w:shd w:val="clear" w:color="auto" w:fill="auto"/>
            <w:vAlign w:val="center"/>
          </w:tcPr>
          <w:p w14:paraId="5CDE6215"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q-AL"/>
              </w:rPr>
            </w:pPr>
            <w:r w:rsidRPr="00C149AB">
              <w:rPr>
                <w:rFonts w:ascii="Arial" w:hAnsi="Arial" w:cs="Arial"/>
                <w:bCs/>
                <w:sz w:val="18"/>
                <w:szCs w:val="18"/>
                <w:lang w:val="mk-MK"/>
              </w:rPr>
              <w:t>89.0</w:t>
            </w:r>
          </w:p>
        </w:tc>
        <w:tc>
          <w:tcPr>
            <w:tcW w:w="926" w:type="pct"/>
            <w:shd w:val="clear" w:color="auto" w:fill="auto"/>
            <w:vAlign w:val="center"/>
          </w:tcPr>
          <w:p w14:paraId="5A65A109"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q-AL"/>
              </w:rPr>
            </w:pPr>
            <w:r w:rsidRPr="00C149AB">
              <w:rPr>
                <w:rFonts w:ascii="Arial" w:hAnsi="Arial" w:cs="Arial"/>
                <w:bCs/>
                <w:sz w:val="18"/>
                <w:szCs w:val="18"/>
                <w:lang w:val="mk-MK"/>
              </w:rPr>
              <w:t>90.9</w:t>
            </w:r>
          </w:p>
        </w:tc>
        <w:tc>
          <w:tcPr>
            <w:tcW w:w="902" w:type="pct"/>
            <w:shd w:val="clear" w:color="auto" w:fill="auto"/>
            <w:vAlign w:val="center"/>
          </w:tcPr>
          <w:p w14:paraId="07DFB535"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sq-AL"/>
              </w:rPr>
            </w:pPr>
            <w:r w:rsidRPr="00C149AB">
              <w:rPr>
                <w:rFonts w:ascii="Arial" w:hAnsi="Arial" w:cs="Arial"/>
                <w:bCs/>
                <w:sz w:val="18"/>
                <w:szCs w:val="18"/>
                <w:lang w:val="mk-MK"/>
              </w:rPr>
              <w:t>86.</w:t>
            </w:r>
            <w:r w:rsidRPr="00C149AB">
              <w:rPr>
                <w:rFonts w:ascii="Arial" w:hAnsi="Arial" w:cs="Arial"/>
                <w:bCs/>
                <w:sz w:val="18"/>
                <w:szCs w:val="18"/>
                <w:lang w:val="sr-Latn-ME"/>
              </w:rPr>
              <w:t>7</w:t>
            </w:r>
          </w:p>
        </w:tc>
      </w:tr>
      <w:tr w:rsidR="00C232D7" w:rsidRPr="00C149AB" w14:paraId="00CC497B" w14:textId="77777777" w:rsidTr="00C232D7">
        <w:tc>
          <w:tcPr>
            <w:cnfStyle w:val="001000000000" w:firstRow="0" w:lastRow="0" w:firstColumn="1" w:lastColumn="0" w:oddVBand="0" w:evenVBand="0" w:oddHBand="0" w:evenHBand="0" w:firstRowFirstColumn="0" w:firstRowLastColumn="0" w:lastRowFirstColumn="0" w:lastRowLastColumn="0"/>
            <w:tcW w:w="1454" w:type="pct"/>
            <w:shd w:val="clear" w:color="auto" w:fill="auto"/>
          </w:tcPr>
          <w:p w14:paraId="65129F6C" w14:textId="40C491F8" w:rsidR="00C232D7" w:rsidRPr="00C149AB" w:rsidRDefault="00C232D7" w:rsidP="00C232D7">
            <w:pPr>
              <w:pStyle w:val="Normal-10pt-Table"/>
              <w:spacing w:line="360" w:lineRule="auto"/>
              <w:jc w:val="both"/>
              <w:rPr>
                <w:rFonts w:ascii="Arial" w:hAnsi="Arial" w:cs="Arial"/>
                <w:b w:val="0"/>
                <w:bCs w:val="0"/>
                <w:sz w:val="18"/>
                <w:szCs w:val="18"/>
                <w:lang w:val="sq-AL"/>
              </w:rPr>
            </w:pPr>
            <w:r w:rsidRPr="00C149AB">
              <w:rPr>
                <w:rFonts w:ascii="Arial" w:hAnsi="Arial" w:cs="Arial"/>
                <w:sz w:val="18"/>
                <w:szCs w:val="18"/>
                <w:lang w:val="sq-AL"/>
              </w:rPr>
              <w:t xml:space="preserve">Opcija V: Odvojeno sakupljanje </w:t>
            </w:r>
            <w:r w:rsidRPr="00C149AB">
              <w:rPr>
                <w:rFonts w:ascii="Arial" w:hAnsi="Arial" w:cs="Arial"/>
                <w:sz w:val="18"/>
                <w:szCs w:val="18"/>
                <w:lang w:val="sr-Latn-ME"/>
              </w:rPr>
              <w:t>miješanog</w:t>
            </w:r>
            <w:r w:rsidRPr="00C149AB">
              <w:rPr>
                <w:rFonts w:ascii="Arial" w:hAnsi="Arial" w:cs="Arial"/>
                <w:sz w:val="18"/>
                <w:szCs w:val="18"/>
                <w:lang w:val="mk-MK"/>
              </w:rPr>
              <w:t xml:space="preserve"> otpada </w:t>
            </w:r>
            <w:r w:rsidRPr="00C149AB">
              <w:rPr>
                <w:rFonts w:ascii="Arial" w:hAnsi="Arial" w:cs="Arial"/>
                <w:sz w:val="18"/>
                <w:szCs w:val="18"/>
                <w:lang w:val="sr-Latn-ME"/>
              </w:rPr>
              <w:t>koji se može reciklirati,</w:t>
            </w:r>
            <w:r w:rsidRPr="00C149AB">
              <w:rPr>
                <w:rFonts w:ascii="Arial" w:hAnsi="Arial" w:cs="Arial"/>
                <w:sz w:val="18"/>
                <w:szCs w:val="18"/>
                <w:lang w:val="sq-AL"/>
              </w:rPr>
              <w:t xml:space="preserve"> biootpada i rezidualnog otpada zasnovano na sistemu </w:t>
            </w:r>
            <w:r w:rsidR="00777714" w:rsidRPr="00C149AB">
              <w:rPr>
                <w:rFonts w:ascii="Arial" w:hAnsi="Arial" w:cs="Arial"/>
                <w:sz w:val="18"/>
                <w:szCs w:val="18"/>
                <w:lang w:val="sq-AL"/>
              </w:rPr>
              <w:t>od</w:t>
            </w:r>
            <w:r w:rsidRPr="00C149AB">
              <w:rPr>
                <w:rFonts w:ascii="Arial" w:hAnsi="Arial" w:cs="Arial"/>
                <w:sz w:val="18"/>
                <w:szCs w:val="18"/>
                <w:lang w:val="sq-AL"/>
              </w:rPr>
              <w:t>voza otpada</w:t>
            </w:r>
            <w:r w:rsidRPr="00C149AB">
              <w:rPr>
                <w:rFonts w:ascii="Arial" w:hAnsi="Arial" w:cs="Arial"/>
                <w:sz w:val="18"/>
                <w:szCs w:val="18"/>
                <w:lang w:val="mk-MK"/>
              </w:rPr>
              <w:t xml:space="preserve"> </w:t>
            </w:r>
            <w:r w:rsidRPr="00C149AB">
              <w:rPr>
                <w:rFonts w:ascii="Arial" w:hAnsi="Arial" w:cs="Arial"/>
                <w:sz w:val="18"/>
                <w:szCs w:val="18"/>
                <w:lang w:val="sq-AL"/>
              </w:rPr>
              <w:t xml:space="preserve">u urbanim sredinama i sistemu </w:t>
            </w:r>
            <w:r w:rsidR="00413A37">
              <w:rPr>
                <w:rFonts w:ascii="Arial" w:hAnsi="Arial" w:cs="Arial"/>
                <w:sz w:val="18"/>
                <w:szCs w:val="18"/>
                <w:lang w:val="sq-AL"/>
              </w:rPr>
              <w:t>“</w:t>
            </w:r>
            <w:r w:rsidRPr="00C149AB">
              <w:rPr>
                <w:rFonts w:ascii="Arial" w:hAnsi="Arial" w:cs="Arial"/>
                <w:sz w:val="18"/>
                <w:szCs w:val="18"/>
                <w:lang w:val="sq-AL"/>
              </w:rPr>
              <w:t>od vrata do vrata</w:t>
            </w:r>
            <w:r w:rsidR="00413A37">
              <w:rPr>
                <w:rFonts w:ascii="Arial" w:hAnsi="Arial" w:cs="Arial"/>
                <w:sz w:val="18"/>
                <w:szCs w:val="18"/>
                <w:lang w:val="sq-AL"/>
              </w:rPr>
              <w:t>”</w:t>
            </w:r>
            <w:r w:rsidRPr="00C149AB">
              <w:rPr>
                <w:rFonts w:ascii="Arial" w:hAnsi="Arial" w:cs="Arial"/>
                <w:sz w:val="18"/>
                <w:szCs w:val="18"/>
                <w:lang w:val="sq-AL"/>
              </w:rPr>
              <w:t xml:space="preserve"> u ruralnim područjima</w:t>
            </w:r>
          </w:p>
        </w:tc>
        <w:tc>
          <w:tcPr>
            <w:tcW w:w="793" w:type="pct"/>
            <w:shd w:val="clear" w:color="auto" w:fill="F2F2F2" w:themeFill="background1" w:themeFillShade="F2"/>
            <w:vAlign w:val="center"/>
          </w:tcPr>
          <w:p w14:paraId="167AD9F0"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sz w:val="18"/>
                <w:szCs w:val="18"/>
                <w:lang w:val="mk-MK"/>
              </w:rPr>
              <w:t>89.</w:t>
            </w:r>
            <w:r w:rsidRPr="00C149AB">
              <w:rPr>
                <w:rFonts w:ascii="Arial" w:hAnsi="Arial" w:cs="Arial"/>
                <w:sz w:val="18"/>
                <w:szCs w:val="18"/>
                <w:lang w:val="sr-Latn-ME"/>
              </w:rPr>
              <w:t>8</w:t>
            </w:r>
          </w:p>
        </w:tc>
        <w:tc>
          <w:tcPr>
            <w:tcW w:w="925" w:type="pct"/>
            <w:shd w:val="clear" w:color="auto" w:fill="F2F2F2" w:themeFill="background1" w:themeFillShade="F2"/>
            <w:vAlign w:val="center"/>
          </w:tcPr>
          <w:p w14:paraId="02078EA7"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sz w:val="18"/>
                <w:szCs w:val="18"/>
                <w:lang w:val="mk-MK"/>
              </w:rPr>
              <w:t>89.</w:t>
            </w:r>
            <w:r w:rsidRPr="00C149AB">
              <w:rPr>
                <w:rFonts w:ascii="Arial" w:hAnsi="Arial" w:cs="Arial"/>
                <w:sz w:val="18"/>
                <w:szCs w:val="18"/>
                <w:lang w:val="sr-Latn-ME"/>
              </w:rPr>
              <w:t>8</w:t>
            </w:r>
          </w:p>
        </w:tc>
        <w:tc>
          <w:tcPr>
            <w:tcW w:w="926" w:type="pct"/>
            <w:shd w:val="clear" w:color="auto" w:fill="F2F2F2" w:themeFill="background1" w:themeFillShade="F2"/>
            <w:vAlign w:val="center"/>
          </w:tcPr>
          <w:p w14:paraId="76F85490"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sz w:val="18"/>
                <w:szCs w:val="18"/>
                <w:lang w:val="mk-MK"/>
              </w:rPr>
              <w:t>91.</w:t>
            </w:r>
            <w:r w:rsidRPr="00C149AB">
              <w:rPr>
                <w:rFonts w:ascii="Arial" w:hAnsi="Arial" w:cs="Arial"/>
                <w:sz w:val="18"/>
                <w:szCs w:val="18"/>
                <w:lang w:val="sr-Latn-ME"/>
              </w:rPr>
              <w:t>8</w:t>
            </w:r>
          </w:p>
        </w:tc>
        <w:tc>
          <w:tcPr>
            <w:tcW w:w="902" w:type="pct"/>
            <w:shd w:val="clear" w:color="auto" w:fill="auto"/>
            <w:vAlign w:val="center"/>
          </w:tcPr>
          <w:p w14:paraId="2FD1057D"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lang w:val="sq-AL"/>
              </w:rPr>
            </w:pPr>
            <w:r w:rsidRPr="00C149AB">
              <w:rPr>
                <w:rFonts w:ascii="Arial" w:hAnsi="Arial" w:cs="Arial"/>
                <w:bCs/>
                <w:sz w:val="18"/>
                <w:szCs w:val="18"/>
                <w:lang w:val="mk-MK"/>
              </w:rPr>
              <w:t>8</w:t>
            </w:r>
            <w:r w:rsidRPr="00C149AB">
              <w:rPr>
                <w:rFonts w:ascii="Arial" w:hAnsi="Arial" w:cs="Arial"/>
                <w:bCs/>
                <w:sz w:val="18"/>
                <w:szCs w:val="18"/>
                <w:lang w:val="sr-Latn-ME"/>
              </w:rPr>
              <w:t>7</w:t>
            </w:r>
            <w:r w:rsidRPr="00C149AB">
              <w:rPr>
                <w:rFonts w:ascii="Arial" w:hAnsi="Arial" w:cs="Arial"/>
                <w:bCs/>
                <w:sz w:val="18"/>
                <w:szCs w:val="18"/>
                <w:lang w:val="mk-MK"/>
              </w:rPr>
              <w:t>.2</w:t>
            </w:r>
          </w:p>
        </w:tc>
      </w:tr>
      <w:tr w:rsidR="00C232D7" w:rsidRPr="002A6F4E" w14:paraId="39DF2219" w14:textId="77777777" w:rsidTr="00C232D7">
        <w:tc>
          <w:tcPr>
            <w:cnfStyle w:val="001000000000" w:firstRow="0" w:lastRow="0" w:firstColumn="1" w:lastColumn="0" w:oddVBand="0" w:evenVBand="0" w:oddHBand="0" w:evenHBand="0" w:firstRowFirstColumn="0" w:firstRowLastColumn="0" w:lastRowFirstColumn="0" w:lastRowLastColumn="0"/>
            <w:tcW w:w="1454" w:type="pct"/>
            <w:shd w:val="clear" w:color="auto" w:fill="auto"/>
          </w:tcPr>
          <w:p w14:paraId="382BA895" w14:textId="65B96DF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sq-AL"/>
              </w:rPr>
              <w:t xml:space="preserve">Opcija VI: Odvojeno sakupljanje miješanog otpada koji može da se reciklira, stakla i biootpada   zasnovano na sistemu dovoza otpada </w:t>
            </w:r>
          </w:p>
        </w:tc>
        <w:tc>
          <w:tcPr>
            <w:tcW w:w="793" w:type="pct"/>
            <w:shd w:val="clear" w:color="auto" w:fill="auto"/>
            <w:vAlign w:val="center"/>
          </w:tcPr>
          <w:p w14:paraId="7DEF3F1B"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bCs/>
                <w:sz w:val="18"/>
                <w:szCs w:val="20"/>
                <w:lang w:val="mk-MK"/>
              </w:rPr>
              <w:t>88.</w:t>
            </w:r>
            <w:r w:rsidRPr="00C149AB">
              <w:rPr>
                <w:rFonts w:ascii="Arial" w:hAnsi="Arial" w:cs="Arial"/>
                <w:bCs/>
                <w:sz w:val="18"/>
                <w:szCs w:val="20"/>
                <w:lang w:val="sr-Latn-ME"/>
              </w:rPr>
              <w:t>7</w:t>
            </w:r>
          </w:p>
        </w:tc>
        <w:tc>
          <w:tcPr>
            <w:tcW w:w="925" w:type="pct"/>
            <w:shd w:val="clear" w:color="auto" w:fill="auto"/>
            <w:vAlign w:val="center"/>
          </w:tcPr>
          <w:p w14:paraId="5E54F873"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sz w:val="18"/>
                <w:szCs w:val="20"/>
                <w:lang w:val="mk-MK"/>
              </w:rPr>
              <w:t>88.</w:t>
            </w:r>
            <w:r w:rsidRPr="00C149AB">
              <w:rPr>
                <w:rFonts w:ascii="Arial" w:hAnsi="Arial" w:cs="Arial"/>
                <w:bCs/>
                <w:sz w:val="18"/>
                <w:szCs w:val="20"/>
                <w:lang w:val="mk-MK"/>
              </w:rPr>
              <w:t>7</w:t>
            </w:r>
          </w:p>
        </w:tc>
        <w:tc>
          <w:tcPr>
            <w:tcW w:w="926" w:type="pct"/>
            <w:shd w:val="clear" w:color="auto" w:fill="auto"/>
            <w:vAlign w:val="center"/>
          </w:tcPr>
          <w:p w14:paraId="7CCC478A"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bCs/>
                <w:sz w:val="18"/>
                <w:szCs w:val="20"/>
                <w:lang w:val="mk-MK"/>
              </w:rPr>
              <w:t>9</w:t>
            </w:r>
            <w:r w:rsidRPr="00C149AB">
              <w:rPr>
                <w:rFonts w:ascii="Arial" w:hAnsi="Arial" w:cs="Arial"/>
                <w:bCs/>
                <w:sz w:val="18"/>
                <w:szCs w:val="20"/>
                <w:lang w:val="sr-Latn-ME"/>
              </w:rPr>
              <w:t>1</w:t>
            </w:r>
            <w:r w:rsidRPr="00C149AB">
              <w:rPr>
                <w:rFonts w:ascii="Arial" w:hAnsi="Arial" w:cs="Arial"/>
                <w:bCs/>
                <w:sz w:val="18"/>
                <w:szCs w:val="20"/>
                <w:lang w:val="mk-MK"/>
              </w:rPr>
              <w:t>.</w:t>
            </w:r>
            <w:r w:rsidRPr="00C149AB">
              <w:rPr>
                <w:rFonts w:ascii="Arial" w:hAnsi="Arial" w:cs="Arial"/>
                <w:bCs/>
                <w:sz w:val="18"/>
                <w:szCs w:val="20"/>
                <w:lang w:val="sr-Latn-ME"/>
              </w:rPr>
              <w:t>0</w:t>
            </w:r>
          </w:p>
        </w:tc>
        <w:tc>
          <w:tcPr>
            <w:tcW w:w="902" w:type="pct"/>
            <w:shd w:val="clear" w:color="auto" w:fill="auto"/>
            <w:vAlign w:val="center"/>
          </w:tcPr>
          <w:p w14:paraId="43E16B53"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sz w:val="18"/>
                <w:szCs w:val="20"/>
                <w:lang w:val="mk-MK"/>
              </w:rPr>
              <w:t>86.</w:t>
            </w:r>
            <w:r w:rsidRPr="00C149AB">
              <w:rPr>
                <w:rFonts w:ascii="Arial" w:hAnsi="Arial" w:cs="Arial"/>
                <w:bCs/>
                <w:sz w:val="18"/>
                <w:szCs w:val="20"/>
                <w:lang w:val="sr-Latn-ME"/>
              </w:rPr>
              <w:t>5</w:t>
            </w:r>
          </w:p>
        </w:tc>
      </w:tr>
      <w:tr w:rsidR="00C232D7" w:rsidRPr="002A6F4E" w14:paraId="1C6D5AD8" w14:textId="77777777" w:rsidTr="00C232D7">
        <w:tc>
          <w:tcPr>
            <w:cnfStyle w:val="001000000000" w:firstRow="0" w:lastRow="0" w:firstColumn="1" w:lastColumn="0" w:oddVBand="0" w:evenVBand="0" w:oddHBand="0" w:evenHBand="0" w:firstRowFirstColumn="0" w:firstRowLastColumn="0" w:lastRowFirstColumn="0" w:lastRowLastColumn="0"/>
            <w:tcW w:w="1454" w:type="pct"/>
            <w:shd w:val="clear" w:color="auto" w:fill="auto"/>
          </w:tcPr>
          <w:p w14:paraId="402BF5D8" w14:textId="77777777" w:rsidR="00C232D7" w:rsidRPr="00C149AB" w:rsidRDefault="00C232D7" w:rsidP="00C232D7">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sq-AL"/>
              </w:rPr>
              <w:lastRenderedPageBreak/>
              <w:t>Opcija VII: Odvojeno sakupljanje papira, plastike, metala, stakla i biorazgradivog otpada zasnovano na sistemu dovoza otpada</w:t>
            </w:r>
          </w:p>
        </w:tc>
        <w:tc>
          <w:tcPr>
            <w:tcW w:w="793" w:type="pct"/>
            <w:shd w:val="clear" w:color="auto" w:fill="auto"/>
            <w:vAlign w:val="center"/>
          </w:tcPr>
          <w:p w14:paraId="7183345C"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sz w:val="18"/>
                <w:szCs w:val="20"/>
                <w:lang w:val="mk-MK"/>
              </w:rPr>
              <w:t>88.</w:t>
            </w:r>
            <w:r w:rsidRPr="00C149AB">
              <w:rPr>
                <w:rFonts w:ascii="Arial" w:hAnsi="Arial" w:cs="Arial"/>
                <w:bCs/>
                <w:sz w:val="18"/>
                <w:szCs w:val="20"/>
                <w:lang w:val="sr-Latn-ME"/>
              </w:rPr>
              <w:t>9</w:t>
            </w:r>
          </w:p>
        </w:tc>
        <w:tc>
          <w:tcPr>
            <w:tcW w:w="925" w:type="pct"/>
            <w:shd w:val="clear" w:color="auto" w:fill="auto"/>
            <w:vAlign w:val="center"/>
          </w:tcPr>
          <w:p w14:paraId="517CA5E8"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sz w:val="18"/>
                <w:szCs w:val="20"/>
                <w:lang w:val="mk-MK"/>
              </w:rPr>
              <w:t>88.</w:t>
            </w:r>
            <w:r w:rsidRPr="00C149AB">
              <w:rPr>
                <w:rFonts w:ascii="Arial" w:hAnsi="Arial" w:cs="Arial"/>
                <w:bCs/>
                <w:sz w:val="18"/>
                <w:szCs w:val="20"/>
                <w:lang w:val="sr-Latn-ME"/>
              </w:rPr>
              <w:t>6</w:t>
            </w:r>
          </w:p>
        </w:tc>
        <w:tc>
          <w:tcPr>
            <w:tcW w:w="926" w:type="pct"/>
            <w:shd w:val="clear" w:color="auto" w:fill="auto"/>
            <w:vAlign w:val="center"/>
          </w:tcPr>
          <w:p w14:paraId="35F5921E"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bCs/>
                <w:sz w:val="18"/>
                <w:szCs w:val="20"/>
                <w:lang w:val="mk-MK"/>
              </w:rPr>
              <w:t>9</w:t>
            </w:r>
            <w:r w:rsidRPr="00C149AB">
              <w:rPr>
                <w:rFonts w:ascii="Arial" w:hAnsi="Arial" w:cs="Arial"/>
                <w:bCs/>
                <w:sz w:val="18"/>
                <w:szCs w:val="20"/>
                <w:lang w:val="sr-Latn-ME"/>
              </w:rPr>
              <w:t>1</w:t>
            </w:r>
            <w:r w:rsidRPr="00C149AB">
              <w:rPr>
                <w:rFonts w:ascii="Arial" w:hAnsi="Arial" w:cs="Arial"/>
                <w:bCs/>
                <w:sz w:val="18"/>
                <w:szCs w:val="20"/>
                <w:lang w:val="mk-MK"/>
              </w:rPr>
              <w:t>.</w:t>
            </w:r>
            <w:r w:rsidRPr="00C149AB">
              <w:rPr>
                <w:rFonts w:ascii="Arial" w:hAnsi="Arial" w:cs="Arial"/>
                <w:bCs/>
                <w:sz w:val="18"/>
                <w:szCs w:val="20"/>
                <w:lang w:val="sr-Latn-ME"/>
              </w:rPr>
              <w:t>1</w:t>
            </w:r>
          </w:p>
        </w:tc>
        <w:tc>
          <w:tcPr>
            <w:tcW w:w="902" w:type="pct"/>
            <w:shd w:val="clear" w:color="auto" w:fill="F2F2F2" w:themeFill="background1" w:themeFillShade="F2"/>
            <w:vAlign w:val="center"/>
          </w:tcPr>
          <w:p w14:paraId="28F364C3" w14:textId="77777777" w:rsidR="00C232D7" w:rsidRPr="00C149AB" w:rsidRDefault="00C232D7" w:rsidP="00C232D7">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b/>
                <w:sz w:val="18"/>
                <w:szCs w:val="20"/>
                <w:lang w:val="mk-MK"/>
              </w:rPr>
              <w:t>87.</w:t>
            </w:r>
            <w:r w:rsidRPr="00C149AB">
              <w:rPr>
                <w:rFonts w:ascii="Arial" w:hAnsi="Arial" w:cs="Arial"/>
                <w:b/>
                <w:sz w:val="18"/>
                <w:szCs w:val="20"/>
                <w:lang w:val="sr-Latn-ME"/>
              </w:rPr>
              <w:t>8</w:t>
            </w:r>
          </w:p>
        </w:tc>
      </w:tr>
    </w:tbl>
    <w:p w14:paraId="20701B79" w14:textId="77777777" w:rsidR="005B1EA2" w:rsidRPr="005B1EA2" w:rsidRDefault="005B1EA2" w:rsidP="005B1EA2"/>
    <w:p w14:paraId="5F86D6D5" w14:textId="77777777" w:rsidR="00C232D7" w:rsidRPr="002A6F4E" w:rsidRDefault="00C232D7" w:rsidP="00C232D7">
      <w:pPr>
        <w:shd w:val="clear" w:color="auto" w:fill="FBE4D5" w:themeFill="accent2" w:themeFillTint="33"/>
        <w:spacing w:before="120" w:after="120" w:line="360" w:lineRule="auto"/>
        <w:rPr>
          <w:rFonts w:ascii="Arial" w:hAnsi="Arial" w:cs="Arial"/>
          <w:lang w:val="sq-AL"/>
        </w:rPr>
      </w:pPr>
      <w:r w:rsidRPr="002A6F4E">
        <w:rPr>
          <w:rFonts w:ascii="Arial" w:hAnsi="Arial" w:cs="Arial"/>
          <w:lang w:val="sq-AL"/>
        </w:rPr>
        <w:t>Za slučaj jednakog ponderisanja, hijerarhija opcija je kao što slijedi:</w:t>
      </w:r>
    </w:p>
    <w:p w14:paraId="52EC91D4" w14:textId="77777777" w:rsidR="00C232D7" w:rsidRPr="002A6F4E" w:rsidRDefault="00C232D7" w:rsidP="00A23ED0">
      <w:pPr>
        <w:pStyle w:val="ListParagraph"/>
        <w:numPr>
          <w:ilvl w:val="0"/>
          <w:numId w:val="43"/>
        </w:numPr>
        <w:shd w:val="clear" w:color="auto" w:fill="FBE4D5" w:themeFill="accent2" w:themeFillTint="33"/>
        <w:spacing w:before="120" w:after="120" w:line="360" w:lineRule="auto"/>
        <w:contextualSpacing w:val="0"/>
        <w:rPr>
          <w:rFonts w:ascii="Arial" w:hAnsi="Arial" w:cs="Arial"/>
          <w:lang w:val="sq-AL"/>
        </w:rPr>
      </w:pPr>
      <w:r w:rsidRPr="002A6F4E">
        <w:rPr>
          <w:rFonts w:ascii="Arial" w:hAnsi="Arial" w:cs="Arial"/>
          <w:lang w:val="sq-AL"/>
        </w:rPr>
        <w:t>Opcija V</w:t>
      </w:r>
    </w:p>
    <w:p w14:paraId="58A353CC" w14:textId="77777777" w:rsidR="00C232D7" w:rsidRPr="002A6F4E" w:rsidRDefault="00C232D7" w:rsidP="00A23ED0">
      <w:pPr>
        <w:pStyle w:val="ListParagraph"/>
        <w:numPr>
          <w:ilvl w:val="0"/>
          <w:numId w:val="43"/>
        </w:numPr>
        <w:shd w:val="clear" w:color="auto" w:fill="FBE4D5" w:themeFill="accent2" w:themeFillTint="33"/>
        <w:spacing w:before="120" w:after="120" w:line="360" w:lineRule="auto"/>
        <w:contextualSpacing w:val="0"/>
        <w:rPr>
          <w:rFonts w:ascii="Arial" w:hAnsi="Arial" w:cs="Arial"/>
          <w:lang w:val="sq-AL"/>
        </w:rPr>
      </w:pPr>
      <w:r w:rsidRPr="002A6F4E">
        <w:rPr>
          <w:rFonts w:ascii="Arial" w:hAnsi="Arial" w:cs="Arial"/>
          <w:lang w:val="sq-AL"/>
        </w:rPr>
        <w:t>Opcija IV</w:t>
      </w:r>
    </w:p>
    <w:p w14:paraId="0CD29486" w14:textId="77777777" w:rsidR="00C232D7" w:rsidRPr="002A6F4E" w:rsidRDefault="00C232D7" w:rsidP="00A23ED0">
      <w:pPr>
        <w:pStyle w:val="ListParagraph"/>
        <w:numPr>
          <w:ilvl w:val="0"/>
          <w:numId w:val="43"/>
        </w:numPr>
        <w:shd w:val="clear" w:color="auto" w:fill="FBE4D5" w:themeFill="accent2" w:themeFillTint="33"/>
        <w:spacing w:before="120" w:after="120" w:line="360" w:lineRule="auto"/>
        <w:contextualSpacing w:val="0"/>
        <w:rPr>
          <w:rFonts w:ascii="Arial" w:hAnsi="Arial" w:cs="Arial"/>
          <w:lang w:val="sq-AL"/>
        </w:rPr>
      </w:pPr>
      <w:r w:rsidRPr="002A6F4E">
        <w:rPr>
          <w:rFonts w:ascii="Arial" w:hAnsi="Arial" w:cs="Arial"/>
          <w:lang w:val="sq-AL"/>
        </w:rPr>
        <w:t xml:space="preserve">Opcija VII </w:t>
      </w:r>
    </w:p>
    <w:p w14:paraId="0598A33D" w14:textId="77777777" w:rsidR="00C232D7" w:rsidRPr="002A6F4E" w:rsidRDefault="00C232D7" w:rsidP="00A23ED0">
      <w:pPr>
        <w:pStyle w:val="ListParagraph"/>
        <w:numPr>
          <w:ilvl w:val="0"/>
          <w:numId w:val="43"/>
        </w:numPr>
        <w:shd w:val="clear" w:color="auto" w:fill="FBE4D5" w:themeFill="accent2" w:themeFillTint="33"/>
        <w:spacing w:before="120" w:after="120" w:line="360" w:lineRule="auto"/>
        <w:contextualSpacing w:val="0"/>
        <w:rPr>
          <w:rFonts w:ascii="Arial" w:hAnsi="Arial" w:cs="Arial"/>
          <w:lang w:val="sq-AL"/>
        </w:rPr>
      </w:pPr>
      <w:r w:rsidRPr="002A6F4E">
        <w:rPr>
          <w:rFonts w:ascii="Arial" w:hAnsi="Arial" w:cs="Arial"/>
          <w:lang w:val="sq-AL"/>
        </w:rPr>
        <w:t xml:space="preserve">Opcija VI </w:t>
      </w:r>
    </w:p>
    <w:p w14:paraId="4BBB045F" w14:textId="77777777" w:rsidR="00C232D7" w:rsidRPr="002A6F4E" w:rsidRDefault="00C232D7" w:rsidP="00A23ED0">
      <w:pPr>
        <w:pStyle w:val="ListParagraph"/>
        <w:numPr>
          <w:ilvl w:val="0"/>
          <w:numId w:val="43"/>
        </w:numPr>
        <w:shd w:val="clear" w:color="auto" w:fill="FBE4D5" w:themeFill="accent2" w:themeFillTint="33"/>
        <w:spacing w:before="120" w:after="120" w:line="360" w:lineRule="auto"/>
        <w:contextualSpacing w:val="0"/>
        <w:rPr>
          <w:rFonts w:ascii="Arial" w:hAnsi="Arial" w:cs="Arial"/>
          <w:lang w:val="sq-AL"/>
        </w:rPr>
      </w:pPr>
      <w:r w:rsidRPr="002A6F4E">
        <w:rPr>
          <w:rFonts w:ascii="Arial" w:hAnsi="Arial" w:cs="Arial"/>
          <w:lang w:val="sq-AL"/>
        </w:rPr>
        <w:t>Opcija IIIb</w:t>
      </w:r>
    </w:p>
    <w:p w14:paraId="60A3869A" w14:textId="77777777" w:rsidR="00C232D7" w:rsidRPr="002A6F4E" w:rsidRDefault="00C232D7" w:rsidP="00A23ED0">
      <w:pPr>
        <w:pStyle w:val="ListParagraph"/>
        <w:numPr>
          <w:ilvl w:val="0"/>
          <w:numId w:val="43"/>
        </w:numPr>
        <w:shd w:val="clear" w:color="auto" w:fill="FBE4D5" w:themeFill="accent2" w:themeFillTint="33"/>
        <w:spacing w:before="120" w:after="120" w:line="360" w:lineRule="auto"/>
        <w:contextualSpacing w:val="0"/>
        <w:rPr>
          <w:rFonts w:ascii="Arial" w:hAnsi="Arial" w:cs="Arial"/>
          <w:lang w:val="sq-AL"/>
        </w:rPr>
      </w:pPr>
      <w:r w:rsidRPr="002A6F4E">
        <w:rPr>
          <w:rFonts w:ascii="Arial" w:hAnsi="Arial" w:cs="Arial"/>
          <w:lang w:val="sq-AL"/>
        </w:rPr>
        <w:t>Opcija IIIa</w:t>
      </w:r>
    </w:p>
    <w:p w14:paraId="7C6FB6D5" w14:textId="77777777" w:rsidR="00C232D7" w:rsidRPr="002A6F4E" w:rsidRDefault="00C232D7" w:rsidP="00A23ED0">
      <w:pPr>
        <w:pStyle w:val="ListParagraph"/>
        <w:numPr>
          <w:ilvl w:val="0"/>
          <w:numId w:val="43"/>
        </w:numPr>
        <w:shd w:val="clear" w:color="auto" w:fill="FBE4D5" w:themeFill="accent2" w:themeFillTint="33"/>
        <w:spacing w:before="120" w:after="120" w:line="360" w:lineRule="auto"/>
        <w:contextualSpacing w:val="0"/>
        <w:rPr>
          <w:rFonts w:ascii="Arial" w:hAnsi="Arial" w:cs="Arial"/>
          <w:lang w:val="sq-AL"/>
        </w:rPr>
      </w:pPr>
      <w:r w:rsidRPr="002A6F4E">
        <w:rPr>
          <w:rFonts w:ascii="Arial" w:hAnsi="Arial" w:cs="Arial"/>
          <w:lang w:val="sq-AL"/>
        </w:rPr>
        <w:t>Opcija II</w:t>
      </w:r>
    </w:p>
    <w:p w14:paraId="64C5F101" w14:textId="77777777" w:rsidR="00C232D7" w:rsidRPr="002A6F4E" w:rsidRDefault="00C232D7" w:rsidP="00A23ED0">
      <w:pPr>
        <w:pStyle w:val="ListParagraph"/>
        <w:numPr>
          <w:ilvl w:val="0"/>
          <w:numId w:val="43"/>
        </w:numPr>
        <w:shd w:val="clear" w:color="auto" w:fill="FBE4D5" w:themeFill="accent2" w:themeFillTint="33"/>
        <w:spacing w:before="120" w:after="120" w:line="360" w:lineRule="auto"/>
        <w:contextualSpacing w:val="0"/>
        <w:rPr>
          <w:rFonts w:ascii="Arial" w:hAnsi="Arial" w:cs="Arial"/>
          <w:lang w:val="sq-AL"/>
        </w:rPr>
      </w:pPr>
      <w:r w:rsidRPr="002A6F4E">
        <w:rPr>
          <w:rFonts w:ascii="Arial" w:hAnsi="Arial" w:cs="Arial"/>
          <w:lang w:val="sq-AL"/>
        </w:rPr>
        <w:t>Opcija I</w:t>
      </w:r>
    </w:p>
    <w:p w14:paraId="124FA92D" w14:textId="317C3EF2" w:rsidR="00F80DF5" w:rsidRDefault="00F80DF5" w:rsidP="00C232D7">
      <w:pPr>
        <w:spacing w:before="120" w:after="120" w:line="360" w:lineRule="auto"/>
        <w:rPr>
          <w:rFonts w:ascii="Arial" w:hAnsi="Arial" w:cs="Arial"/>
          <w:bCs/>
          <w:lang w:val="sq-AL"/>
        </w:rPr>
      </w:pPr>
      <w:r w:rsidRPr="00F80DF5">
        <w:rPr>
          <w:rFonts w:ascii="Arial" w:hAnsi="Arial" w:cs="Arial"/>
          <w:bCs/>
          <w:lang w:val="sq-AL"/>
        </w:rPr>
        <w:t xml:space="preserve">Opcija V (Odvojeno sakupljanje miješanog otpada koji može da se reciklira i biorazgradivog otpada zasnovano na sistemu dovoza otpada u urbanim sredinama i sistema </w:t>
      </w:r>
      <w:r w:rsidR="00413A37">
        <w:rPr>
          <w:rFonts w:ascii="Arial" w:hAnsi="Arial" w:cs="Arial"/>
          <w:bCs/>
          <w:lang w:val="sq-AL"/>
        </w:rPr>
        <w:t>“</w:t>
      </w:r>
      <w:r w:rsidRPr="00F80DF5">
        <w:rPr>
          <w:rFonts w:ascii="Arial" w:hAnsi="Arial" w:cs="Arial"/>
          <w:bCs/>
          <w:lang w:val="sq-AL"/>
        </w:rPr>
        <w:t>od vrata do vrata</w:t>
      </w:r>
      <w:r w:rsidR="00413A37">
        <w:rPr>
          <w:rFonts w:ascii="Arial" w:hAnsi="Arial" w:cs="Arial"/>
          <w:bCs/>
          <w:lang w:val="sq-AL"/>
        </w:rPr>
        <w:t>”</w:t>
      </w:r>
      <w:r w:rsidRPr="00F80DF5">
        <w:rPr>
          <w:rFonts w:ascii="Arial" w:hAnsi="Arial" w:cs="Arial"/>
          <w:bCs/>
          <w:lang w:val="sq-AL"/>
        </w:rPr>
        <w:t xml:space="preserve"> u ruralnim područjima</w:t>
      </w:r>
      <w:r w:rsidR="00413A37">
        <w:rPr>
          <w:rFonts w:ascii="Arial" w:hAnsi="Arial" w:cs="Arial"/>
          <w:bCs/>
          <w:lang w:val="sq-AL"/>
        </w:rPr>
        <w:t>,</w:t>
      </w:r>
      <w:r w:rsidRPr="00F80DF5">
        <w:rPr>
          <w:rFonts w:ascii="Arial" w:hAnsi="Arial" w:cs="Arial"/>
          <w:bCs/>
          <w:lang w:val="sq-AL"/>
        </w:rPr>
        <w:t xml:space="preserve"> kao i u pojedinačnim stanovima u urbanim sredinama.</w:t>
      </w:r>
    </w:p>
    <w:p w14:paraId="18BB954C" w14:textId="67DF59D5" w:rsidR="00C232D7" w:rsidRPr="002A6F4E" w:rsidRDefault="00C232D7" w:rsidP="00C232D7">
      <w:pPr>
        <w:spacing w:before="120" w:after="120" w:line="360" w:lineRule="auto"/>
        <w:rPr>
          <w:rFonts w:ascii="Arial" w:hAnsi="Arial" w:cs="Arial"/>
          <w:bCs/>
          <w:lang w:val="sq-AL"/>
        </w:rPr>
      </w:pPr>
      <w:r w:rsidRPr="002A6F4E">
        <w:rPr>
          <w:rFonts w:ascii="Arial" w:hAnsi="Arial" w:cs="Arial"/>
          <w:bCs/>
          <w:lang w:val="sq-AL"/>
        </w:rPr>
        <w:t xml:space="preserve">Slični rezultati predstavljeni su u Opciji IV (odvojeno sakupljanje miješanog otpada koji može da se reciklira i  biootpada  zasnovano na sistemu dovoza otpada). Štaviše, budući da opcija IIIb (odvojeno sakupljanje miješanog otpada koji može da se reciklira i  biootpada  zasnovano na sistemu dovoza otpada u urbanim sredinama i sistemu </w:t>
      </w:r>
      <w:r w:rsidR="0039650F">
        <w:rPr>
          <w:rFonts w:ascii="Arial" w:hAnsi="Arial" w:cs="Arial"/>
          <w:bCs/>
          <w:lang w:val="sq-AL"/>
        </w:rPr>
        <w:t>“</w:t>
      </w:r>
      <w:r w:rsidRPr="002A6F4E">
        <w:rPr>
          <w:rFonts w:ascii="Arial" w:hAnsi="Arial" w:cs="Arial"/>
          <w:bCs/>
          <w:lang w:val="sq-AL"/>
        </w:rPr>
        <w:t>od vrata do vrata</w:t>
      </w:r>
      <w:r w:rsidR="0039650F">
        <w:rPr>
          <w:rFonts w:ascii="Arial" w:hAnsi="Arial" w:cs="Arial"/>
          <w:bCs/>
          <w:lang w:val="sq-AL"/>
        </w:rPr>
        <w:t>”</w:t>
      </w:r>
      <w:r w:rsidRPr="002A6F4E">
        <w:rPr>
          <w:rFonts w:ascii="Arial" w:hAnsi="Arial" w:cs="Arial"/>
          <w:bCs/>
          <w:lang w:val="sq-AL"/>
        </w:rPr>
        <w:t xml:space="preserve"> u ruralnim sredinama i pojedinačnim stanovima u urbanim sredinama) predstavlja bolje rezultate od opcije IIIa (odvojeno sakupljanje miješanog otpada koji može da se reciklira zasnovano na sistemu dovoza otpada), jasno je da se promoviše s</w:t>
      </w:r>
      <w:r w:rsidR="009345CF">
        <w:rPr>
          <w:rFonts w:ascii="Arial" w:hAnsi="Arial" w:cs="Arial"/>
          <w:bCs/>
          <w:lang w:val="sq-AL"/>
        </w:rPr>
        <w:t>i</w:t>
      </w:r>
      <w:r w:rsidRPr="002A6F4E">
        <w:rPr>
          <w:rFonts w:ascii="Arial" w:hAnsi="Arial" w:cs="Arial"/>
          <w:bCs/>
          <w:lang w:val="sq-AL"/>
        </w:rPr>
        <w:t xml:space="preserve">stem sakupljanja </w:t>
      </w:r>
      <w:r w:rsidR="0039650F">
        <w:rPr>
          <w:rFonts w:ascii="Arial" w:hAnsi="Arial" w:cs="Arial"/>
          <w:bCs/>
          <w:lang w:val="sq-AL"/>
        </w:rPr>
        <w:t>“</w:t>
      </w:r>
      <w:r w:rsidRPr="002A6F4E">
        <w:rPr>
          <w:rFonts w:ascii="Arial" w:hAnsi="Arial" w:cs="Arial"/>
          <w:bCs/>
          <w:lang w:val="sq-AL"/>
        </w:rPr>
        <w:t>od vrata do vrata</w:t>
      </w:r>
      <w:r w:rsidR="0039650F">
        <w:rPr>
          <w:rFonts w:ascii="Arial" w:hAnsi="Arial" w:cs="Arial"/>
          <w:bCs/>
          <w:lang w:val="sq-AL"/>
        </w:rPr>
        <w:t>”</w:t>
      </w:r>
      <w:r w:rsidRPr="002A6F4E">
        <w:rPr>
          <w:rFonts w:ascii="Arial" w:hAnsi="Arial" w:cs="Arial"/>
          <w:bCs/>
          <w:lang w:val="sq-AL"/>
        </w:rPr>
        <w:t xml:space="preserve"> u ruralnim sredinama i pojedinačnim stanovima u urbanim sredinama, bar kada je riječ o reciklažnom otpadu, ali i za biootpad.</w:t>
      </w:r>
    </w:p>
    <w:p w14:paraId="6F5B4798" w14:textId="669E563C" w:rsidR="00C232D7" w:rsidRPr="002A6F4E" w:rsidRDefault="00DC47C3" w:rsidP="00F57909">
      <w:pPr>
        <w:pStyle w:val="Heading2"/>
      </w:pPr>
      <w:bookmarkStart w:id="1105" w:name="_Toc121759056"/>
      <w:bookmarkStart w:id="1106" w:name="_Toc117607224"/>
      <w:bookmarkStart w:id="1107" w:name="_Toc189759700"/>
      <w:bookmarkStart w:id="1108" w:name="_Toc193354028"/>
      <w:r>
        <w:t>5.2</w:t>
      </w:r>
      <w:r w:rsidR="009751D2">
        <w:t>1</w:t>
      </w:r>
      <w:r w:rsidR="00620A47">
        <w:t xml:space="preserve">. </w:t>
      </w:r>
      <w:r w:rsidR="00C232D7" w:rsidRPr="002A6F4E">
        <w:t>Analiza opcija - Transfer stanice</w:t>
      </w:r>
      <w:bookmarkEnd w:id="1105"/>
      <w:bookmarkEnd w:id="1106"/>
      <w:bookmarkEnd w:id="1107"/>
      <w:bookmarkEnd w:id="1108"/>
    </w:p>
    <w:p w14:paraId="1BD67AE5" w14:textId="0CA0FAA0"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Sakupljanje i odvoz otpada do lokacije krajnjeg odredišta predstavlja </w:t>
      </w:r>
      <w:r w:rsidR="00ED2077">
        <w:rPr>
          <w:rFonts w:ascii="Arial" w:hAnsi="Arial" w:cs="Arial"/>
          <w:lang w:val="sq-AL"/>
        </w:rPr>
        <w:t>veliki</w:t>
      </w:r>
      <w:r w:rsidRPr="002A6F4E">
        <w:rPr>
          <w:rFonts w:ascii="Arial" w:hAnsi="Arial" w:cs="Arial"/>
          <w:lang w:val="sq-AL"/>
        </w:rPr>
        <w:t xml:space="preserve"> ud</w:t>
      </w:r>
      <w:r w:rsidR="00ED2077">
        <w:rPr>
          <w:rFonts w:ascii="Arial" w:hAnsi="Arial" w:cs="Arial"/>
          <w:lang w:val="sq-AL"/>
        </w:rPr>
        <w:t>i</w:t>
      </w:r>
      <w:r w:rsidRPr="002A6F4E">
        <w:rPr>
          <w:rFonts w:ascii="Arial" w:hAnsi="Arial" w:cs="Arial"/>
          <w:lang w:val="sq-AL"/>
        </w:rPr>
        <w:t>o u troškovima upravljanja većinom tokova otpada. Ovaj trend se ubrzao širenjem urbanih centara stvarajući potrebu da se otpad odvozi dalje od jezgra stanovništva.</w:t>
      </w:r>
    </w:p>
    <w:p w14:paraId="0E357398"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Primarni razlog za korišćenje transfer stanice je smanjenje troškova transporta otpada do objekata za odlaganje. Konsolidovanje manjih količina otpada iz vozila za sakupljanje u veća vozila za transfer smanjuje </w:t>
      </w:r>
      <w:r w:rsidRPr="002A6F4E">
        <w:rPr>
          <w:rFonts w:ascii="Arial" w:hAnsi="Arial" w:cs="Arial"/>
          <w:lang w:val="sq-AL"/>
        </w:rPr>
        <w:lastRenderedPageBreak/>
        <w:t>troškove transporta omogućavajući ekipama za sakupljanje otpada da provedu manje vremena na putovanju do i sa udaljenih lokacija za odlaganje i više vremena na sakupljanju otpada. Ovo takođe smanjuje potrošnju goriva i troškove održavanja vozila za sakupljanje otpada i  generiše manje ukupnog saobraćaja, emisija u vazduh i habanja puta. Pored toga, transfer stanica (TS) takođe nudi:</w:t>
      </w:r>
    </w:p>
    <w:p w14:paraId="33A03DE0" w14:textId="41F882D6"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U poređenju sa velikim objektima za </w:t>
      </w:r>
      <w:r w:rsidR="0039650F">
        <w:rPr>
          <w:rFonts w:ascii="Arial" w:hAnsi="Arial" w:cs="Arial"/>
          <w:lang w:val="sq-AL"/>
        </w:rPr>
        <w:t>obradu otpada</w:t>
      </w:r>
      <w:r w:rsidRPr="002A6F4E">
        <w:rPr>
          <w:rFonts w:ascii="Arial" w:hAnsi="Arial" w:cs="Arial"/>
          <w:lang w:val="sq-AL"/>
        </w:rPr>
        <w:t>, transfer stanice takođe pružaju:</w:t>
      </w:r>
    </w:p>
    <w:p w14:paraId="257281EF" w14:textId="77777777" w:rsidR="00C232D7" w:rsidRPr="002A6F4E" w:rsidRDefault="00C232D7" w:rsidP="00A23ED0">
      <w:pPr>
        <w:pStyle w:val="ListParagraph"/>
        <w:numPr>
          <w:ilvl w:val="0"/>
          <w:numId w:val="44"/>
        </w:numPr>
        <w:spacing w:before="120" w:after="120" w:line="360" w:lineRule="auto"/>
        <w:contextualSpacing w:val="0"/>
        <w:rPr>
          <w:rFonts w:ascii="Arial" w:hAnsi="Arial" w:cs="Arial"/>
          <w:lang w:val="sq-AL"/>
        </w:rPr>
      </w:pPr>
      <w:r w:rsidRPr="002A6F4E">
        <w:rPr>
          <w:rFonts w:ascii="Arial" w:hAnsi="Arial" w:cs="Arial"/>
          <w:lang w:val="sq-AL"/>
        </w:rPr>
        <w:t>Postrojenja su bezbjednija za korišćenje i pristup malih vozila;</w:t>
      </w:r>
    </w:p>
    <w:p w14:paraId="34EF7335" w14:textId="77777777" w:rsidR="00C232D7" w:rsidRPr="002A6F4E" w:rsidRDefault="00C232D7" w:rsidP="00A23ED0">
      <w:pPr>
        <w:pStyle w:val="ListParagraph"/>
        <w:numPr>
          <w:ilvl w:val="0"/>
          <w:numId w:val="44"/>
        </w:numPr>
        <w:spacing w:before="120" w:after="120" w:line="360" w:lineRule="auto"/>
        <w:contextualSpacing w:val="0"/>
        <w:rPr>
          <w:rFonts w:ascii="Arial" w:hAnsi="Arial" w:cs="Arial"/>
          <w:lang w:val="sq-AL"/>
        </w:rPr>
      </w:pPr>
      <w:r w:rsidRPr="002A6F4E">
        <w:rPr>
          <w:rFonts w:ascii="Arial" w:hAnsi="Arial" w:cs="Arial"/>
          <w:lang w:val="sq-AL"/>
        </w:rPr>
        <w:t>Čistiji i prijatniji objekat za korisnike;</w:t>
      </w:r>
    </w:p>
    <w:p w14:paraId="612399BC" w14:textId="75C01AA4" w:rsidR="00C232D7" w:rsidRPr="002A6F4E" w:rsidRDefault="00C232D7" w:rsidP="00A23ED0">
      <w:pPr>
        <w:pStyle w:val="ListParagraph"/>
        <w:numPr>
          <w:ilvl w:val="0"/>
          <w:numId w:val="44"/>
        </w:numPr>
        <w:spacing w:before="120" w:after="120" w:line="360" w:lineRule="auto"/>
        <w:contextualSpacing w:val="0"/>
        <w:rPr>
          <w:rFonts w:ascii="Arial" w:hAnsi="Arial" w:cs="Arial"/>
          <w:lang w:val="sq-AL"/>
        </w:rPr>
      </w:pPr>
      <w:r w:rsidRPr="002A6F4E">
        <w:rPr>
          <w:rFonts w:ascii="Arial" w:hAnsi="Arial" w:cs="Arial"/>
          <w:lang w:val="sq-AL"/>
        </w:rPr>
        <w:t xml:space="preserve">Mogućnost da se otpad pregleda prije </w:t>
      </w:r>
      <w:r w:rsidR="0039650F">
        <w:rPr>
          <w:rFonts w:ascii="Arial" w:hAnsi="Arial" w:cs="Arial"/>
          <w:lang w:val="sq-AL"/>
        </w:rPr>
        <w:t>obrade</w:t>
      </w:r>
      <w:r w:rsidRPr="002A6F4E">
        <w:rPr>
          <w:rFonts w:ascii="Arial" w:hAnsi="Arial" w:cs="Arial"/>
          <w:lang w:val="sq-AL"/>
        </w:rPr>
        <w:t xml:space="preserve"> kako bi se:</w:t>
      </w:r>
    </w:p>
    <w:p w14:paraId="2DCDA733" w14:textId="77777777" w:rsidR="00C232D7" w:rsidRPr="002A6F4E" w:rsidRDefault="00C232D7" w:rsidP="00A23ED0">
      <w:pPr>
        <w:pStyle w:val="ListParagraph"/>
        <w:numPr>
          <w:ilvl w:val="1"/>
          <w:numId w:val="44"/>
        </w:numPr>
        <w:spacing w:before="120" w:after="120" w:line="360" w:lineRule="auto"/>
        <w:contextualSpacing w:val="0"/>
        <w:rPr>
          <w:rFonts w:ascii="Arial" w:hAnsi="Arial" w:cs="Arial"/>
          <w:lang w:val="sq-AL"/>
        </w:rPr>
      </w:pPr>
      <w:r w:rsidRPr="002A6F4E">
        <w:rPr>
          <w:rFonts w:ascii="Arial" w:hAnsi="Arial" w:cs="Arial"/>
          <w:lang w:val="sq-AL"/>
        </w:rPr>
        <w:t>Povećao udio odvajanja otpada koji može da se reciklira od ostalih tokova otpada;</w:t>
      </w:r>
    </w:p>
    <w:p w14:paraId="45942A91" w14:textId="231C76F0" w:rsidR="00C232D7" w:rsidRPr="002A6F4E" w:rsidRDefault="00C232D7" w:rsidP="00A23ED0">
      <w:pPr>
        <w:pStyle w:val="ListParagraph"/>
        <w:numPr>
          <w:ilvl w:val="1"/>
          <w:numId w:val="44"/>
        </w:numPr>
        <w:spacing w:before="120" w:after="120" w:line="360" w:lineRule="auto"/>
        <w:contextualSpacing w:val="0"/>
        <w:rPr>
          <w:rFonts w:ascii="Arial" w:hAnsi="Arial" w:cs="Arial"/>
          <w:lang w:val="sq-AL"/>
        </w:rPr>
      </w:pPr>
      <w:r w:rsidRPr="002A6F4E">
        <w:rPr>
          <w:rFonts w:ascii="Arial" w:hAnsi="Arial" w:cs="Arial"/>
          <w:lang w:val="sq-AL"/>
        </w:rPr>
        <w:t xml:space="preserve">Omogućila identifikacija otpada koji nije prikladan za direktno odlaganje (uključujući opasan otpad, </w:t>
      </w:r>
      <w:r w:rsidR="0039650F">
        <w:rPr>
          <w:rFonts w:ascii="Arial" w:hAnsi="Arial" w:cs="Arial"/>
          <w:lang w:val="sq-AL"/>
        </w:rPr>
        <w:t xml:space="preserve">otpadne </w:t>
      </w:r>
      <w:r w:rsidRPr="002A6F4E">
        <w:rPr>
          <w:rFonts w:ascii="Arial" w:hAnsi="Arial" w:cs="Arial"/>
          <w:lang w:val="sq-AL"/>
        </w:rPr>
        <w:t xml:space="preserve">baterije, </w:t>
      </w:r>
      <w:r w:rsidR="0039650F">
        <w:rPr>
          <w:rFonts w:ascii="Arial" w:hAnsi="Arial" w:cs="Arial"/>
          <w:lang w:val="sq-AL"/>
        </w:rPr>
        <w:t xml:space="preserve">otpadne </w:t>
      </w:r>
      <w:r w:rsidRPr="002A6F4E">
        <w:rPr>
          <w:rFonts w:ascii="Arial" w:hAnsi="Arial" w:cs="Arial"/>
          <w:lang w:val="sq-AL"/>
        </w:rPr>
        <w:t>gume</w:t>
      </w:r>
      <w:r w:rsidR="00D60042">
        <w:rPr>
          <w:rFonts w:ascii="Arial" w:hAnsi="Arial" w:cs="Arial"/>
          <w:lang w:val="sq-AL"/>
        </w:rPr>
        <w:t>,</w:t>
      </w:r>
      <w:r w:rsidRPr="002A6F4E">
        <w:rPr>
          <w:rFonts w:ascii="Arial" w:hAnsi="Arial" w:cs="Arial"/>
          <w:lang w:val="sq-AL"/>
        </w:rPr>
        <w:t xml:space="preserve"> i sl.);</w:t>
      </w:r>
    </w:p>
    <w:p w14:paraId="6031CAC0" w14:textId="65CAE9AE" w:rsidR="00C232D7" w:rsidRPr="002A6F4E" w:rsidRDefault="00C232D7" w:rsidP="00A23ED0">
      <w:pPr>
        <w:pStyle w:val="ListParagraph"/>
        <w:numPr>
          <w:ilvl w:val="0"/>
          <w:numId w:val="44"/>
        </w:numPr>
        <w:spacing w:before="120" w:after="120" w:line="360" w:lineRule="auto"/>
        <w:contextualSpacing w:val="0"/>
        <w:rPr>
          <w:rFonts w:ascii="Arial" w:hAnsi="Arial" w:cs="Arial"/>
          <w:lang w:val="sq-AL"/>
        </w:rPr>
      </w:pPr>
      <w:r w:rsidRPr="002A6F4E">
        <w:rPr>
          <w:rFonts w:ascii="Arial" w:hAnsi="Arial" w:cs="Arial"/>
          <w:lang w:val="sq-AL"/>
        </w:rPr>
        <w:t xml:space="preserve">Fleksibilnost u izboru opcija </w:t>
      </w:r>
      <w:r w:rsidR="00D60042">
        <w:rPr>
          <w:rFonts w:ascii="Arial" w:hAnsi="Arial" w:cs="Arial"/>
          <w:lang w:val="sq-AL"/>
        </w:rPr>
        <w:t>obrade</w:t>
      </w:r>
      <w:r w:rsidRPr="002A6F4E">
        <w:rPr>
          <w:rFonts w:ascii="Arial" w:hAnsi="Arial" w:cs="Arial"/>
          <w:lang w:val="sq-AL"/>
        </w:rPr>
        <w:t xml:space="preserve"> otpada;</w:t>
      </w:r>
    </w:p>
    <w:p w14:paraId="713C0BED" w14:textId="77777777" w:rsidR="00C232D7" w:rsidRPr="002A6F4E" w:rsidRDefault="00C232D7" w:rsidP="00A23ED0">
      <w:pPr>
        <w:pStyle w:val="ListParagraph"/>
        <w:numPr>
          <w:ilvl w:val="0"/>
          <w:numId w:val="44"/>
        </w:numPr>
        <w:spacing w:before="120" w:after="120" w:line="360" w:lineRule="auto"/>
        <w:contextualSpacing w:val="0"/>
        <w:rPr>
          <w:rFonts w:ascii="Arial" w:hAnsi="Arial" w:cs="Arial"/>
          <w:lang w:val="sq-AL"/>
        </w:rPr>
      </w:pPr>
      <w:r w:rsidRPr="002A6F4E">
        <w:rPr>
          <w:rFonts w:ascii="Arial" w:hAnsi="Arial" w:cs="Arial"/>
          <w:lang w:val="sq-AL"/>
        </w:rPr>
        <w:t>Povećanu pogodnost za kupce jer transfer stanice mogu biti locirane bliže gradu od tradicionalnih deponija.</w:t>
      </w:r>
    </w:p>
    <w:p w14:paraId="27A27DAF"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Transfer stanice sve više igraju važnu ulogu u ukupnoj infrastrukturnoj mreži za upravljanje otpadom obezbijeđujući sredstva za konsolidaciju i upravljanje otpadom koji može da se reciklira i drugim otpadom. Ovo je posebno važno u ruralnim i regionalnim oblastima gdje efikasna transportna logistika određuje ukupnu izvodljivost pružanja usluga otpada i povrata materijala iz otpada.</w:t>
      </w:r>
    </w:p>
    <w:p w14:paraId="1FBC5C59" w14:textId="3473ABD4"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Na mnogim transfer stanicama, radnici pregledaju dolazni otpad na transportnim trakama, mjestima gdje se otpad istova</w:t>
      </w:r>
      <w:r w:rsidR="00D810CA">
        <w:rPr>
          <w:rFonts w:ascii="Arial" w:hAnsi="Arial" w:cs="Arial"/>
          <w:lang w:val="sq-AL"/>
        </w:rPr>
        <w:t>ra</w:t>
      </w:r>
      <w:r w:rsidRPr="002A6F4E">
        <w:rPr>
          <w:rFonts w:ascii="Arial" w:hAnsi="Arial" w:cs="Arial"/>
          <w:lang w:val="sq-AL"/>
        </w:rPr>
        <w:t xml:space="preserve"> ili u prijemnim jamama. Prov</w:t>
      </w:r>
      <w:r w:rsidR="00E606F1">
        <w:rPr>
          <w:rFonts w:ascii="Arial" w:hAnsi="Arial" w:cs="Arial"/>
          <w:lang w:val="sq-AL"/>
        </w:rPr>
        <w:t>j</w:t>
      </w:r>
      <w:r w:rsidRPr="002A6F4E">
        <w:rPr>
          <w:rFonts w:ascii="Arial" w:hAnsi="Arial" w:cs="Arial"/>
          <w:lang w:val="sq-AL"/>
        </w:rPr>
        <w:t>era otpada ima dv</w:t>
      </w:r>
      <w:r w:rsidR="00E606F1">
        <w:rPr>
          <w:rFonts w:ascii="Arial" w:hAnsi="Arial" w:cs="Arial"/>
          <w:lang w:val="sq-AL"/>
        </w:rPr>
        <w:t>ij</w:t>
      </w:r>
      <w:r w:rsidRPr="002A6F4E">
        <w:rPr>
          <w:rFonts w:ascii="Arial" w:hAnsi="Arial" w:cs="Arial"/>
          <w:lang w:val="sq-AL"/>
        </w:rPr>
        <w:t xml:space="preserve">e komponente: odvajanje materijala koji se mogu reciklirati iz toka otpada i identifikovanje bilo kog otpada koji bi mogao biti neprikladan za odlaganje (npr. opasan otpad ili materijali, </w:t>
      </w:r>
      <w:r w:rsidR="00D60042">
        <w:rPr>
          <w:rFonts w:ascii="Arial" w:hAnsi="Arial" w:cs="Arial"/>
          <w:lang w:val="sq-AL"/>
        </w:rPr>
        <w:t xml:space="preserve">otpadna </w:t>
      </w:r>
      <w:r w:rsidRPr="002A6F4E">
        <w:rPr>
          <w:rFonts w:ascii="Arial" w:hAnsi="Arial" w:cs="Arial"/>
          <w:lang w:val="sq-AL"/>
        </w:rPr>
        <w:t xml:space="preserve">bijela tehnika, </w:t>
      </w:r>
      <w:r w:rsidR="00D60042">
        <w:rPr>
          <w:rFonts w:ascii="Arial" w:hAnsi="Arial" w:cs="Arial"/>
          <w:lang w:val="sq-AL"/>
        </w:rPr>
        <w:t xml:space="preserve">otpadne </w:t>
      </w:r>
      <w:r w:rsidRPr="002A6F4E">
        <w:rPr>
          <w:rFonts w:ascii="Arial" w:hAnsi="Arial" w:cs="Arial"/>
          <w:lang w:val="sq-AL"/>
        </w:rPr>
        <w:t xml:space="preserve">gume, </w:t>
      </w:r>
      <w:r w:rsidR="00D60042">
        <w:rPr>
          <w:rFonts w:ascii="Arial" w:hAnsi="Arial" w:cs="Arial"/>
          <w:lang w:val="sq-AL"/>
        </w:rPr>
        <w:t xml:space="preserve">otpadni </w:t>
      </w:r>
      <w:r w:rsidRPr="002A6F4E">
        <w:rPr>
          <w:rFonts w:ascii="Arial" w:hAnsi="Arial" w:cs="Arial"/>
          <w:lang w:val="sq-AL"/>
        </w:rPr>
        <w:t>automobilski akumulatori ili infektivni otpad). Identifikovanje i uklanjanje materijala koji se mogu reciklirati smanjuju težinu i zapreminu otpada koji se odvozi na konačno odlaganje i u zavisnosti od lokalnih tržišta reciklaže, može da generiše prihod. Provjera neodgovarajućeg otpada je efikasnija na transfer stanici nego na deponiji.</w:t>
      </w:r>
    </w:p>
    <w:p w14:paraId="182F7789" w14:textId="5493A1E8"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Transfer stanice često uključuju centre za reciklažu otvorene za javnu upotrebu. Ovi centri omogućavaju pojedinim građanima da dovezu otpad direktno u postrojenje transfer stanice na konačno odlaganje. Neki  centri nude programe za upravljanje dvorišnim otpadom, kabastim </w:t>
      </w:r>
      <w:r w:rsidR="00D60042">
        <w:rPr>
          <w:rFonts w:ascii="Arial" w:hAnsi="Arial" w:cs="Arial"/>
          <w:lang w:val="sq-AL"/>
        </w:rPr>
        <w:t>otpadom</w:t>
      </w:r>
      <w:r w:rsidRPr="002A6F4E">
        <w:rPr>
          <w:rFonts w:ascii="Arial" w:hAnsi="Arial" w:cs="Arial"/>
          <w:lang w:val="sq-AL"/>
        </w:rPr>
        <w:t>, opasnim otpadom iz domaćinstva i otpadom koji može da se reciklira. Ovi višenamjenski centri za građane su od velike vrijednosti  za zajednicu jer pomažu u postizanju ciljeva recikliranja, povećavaju znanje javnosti o pravilnom upravljanju materijalima i preusmjeravaju materijale koji bi inače opteretili postojeće kapacitete za odlaganje.</w:t>
      </w:r>
    </w:p>
    <w:p w14:paraId="700974E5" w14:textId="2F8938E7" w:rsidR="00C232D7" w:rsidRDefault="00C232D7" w:rsidP="00C232D7">
      <w:pPr>
        <w:spacing w:before="120" w:after="120" w:line="360" w:lineRule="auto"/>
        <w:rPr>
          <w:rFonts w:ascii="Arial" w:hAnsi="Arial" w:cs="Arial"/>
          <w:lang w:val="sq-AL"/>
        </w:rPr>
      </w:pPr>
      <w:r w:rsidRPr="002A6F4E">
        <w:rPr>
          <w:rFonts w:ascii="Arial" w:hAnsi="Arial" w:cs="Arial"/>
          <w:lang w:val="sq-AL"/>
        </w:rPr>
        <w:t>U sljedećoj tabeli prikazane su postojeće i planirane transfer stanice u Crnoj Gori.</w:t>
      </w:r>
    </w:p>
    <w:p w14:paraId="3E58B1C9" w14:textId="77777777" w:rsidR="00DD411D" w:rsidRPr="002A6F4E" w:rsidRDefault="00DD411D" w:rsidP="00C232D7">
      <w:pPr>
        <w:spacing w:before="120" w:after="120" w:line="360" w:lineRule="auto"/>
        <w:rPr>
          <w:rFonts w:ascii="Arial" w:hAnsi="Arial" w:cs="Arial"/>
          <w:lang w:val="sq-AL"/>
        </w:rPr>
      </w:pPr>
    </w:p>
    <w:p w14:paraId="35D662E3" w14:textId="5066ACAD" w:rsidR="00C232D7" w:rsidRPr="002A6F4E" w:rsidRDefault="00C232D7" w:rsidP="00C232D7">
      <w:pPr>
        <w:pStyle w:val="Caption"/>
        <w:rPr>
          <w:rFonts w:ascii="Arial" w:hAnsi="Arial" w:cs="Arial"/>
          <w:b w:val="0"/>
          <w:sz w:val="20"/>
          <w:szCs w:val="20"/>
          <w:lang w:val="sq-AL"/>
        </w:rPr>
      </w:pPr>
      <w:bookmarkStart w:id="1109" w:name="_Toc189515662"/>
      <w:bookmarkStart w:id="1110" w:name="_Toc190160780"/>
      <w:bookmarkStart w:id="1111" w:name="_Toc117607274"/>
      <w:r w:rsidRPr="00F017D4">
        <w:rPr>
          <w:rFonts w:ascii="Arial" w:hAnsi="Arial" w:cs="Arial"/>
          <w:b w:val="0"/>
          <w:sz w:val="20"/>
          <w:szCs w:val="20"/>
          <w:lang w:val="sq-AL"/>
        </w:rPr>
        <w:lastRenderedPageBreak/>
        <w:t xml:space="preserve">Tabela </w:t>
      </w:r>
      <w:r w:rsidRPr="00F017D4">
        <w:rPr>
          <w:rFonts w:ascii="Arial" w:hAnsi="Arial" w:cs="Arial"/>
          <w:b w:val="0"/>
          <w:sz w:val="20"/>
          <w:szCs w:val="20"/>
        </w:rPr>
        <w:fldChar w:fldCharType="begin"/>
      </w:r>
      <w:r w:rsidRPr="00F017D4">
        <w:rPr>
          <w:rFonts w:ascii="Arial" w:hAnsi="Arial" w:cs="Arial"/>
          <w:b w:val="0"/>
          <w:sz w:val="20"/>
          <w:szCs w:val="20"/>
          <w:lang w:val="sq-AL"/>
        </w:rPr>
        <w:instrText xml:space="preserve"> SEQ Tabela \* ARABIC </w:instrText>
      </w:r>
      <w:r w:rsidRPr="00F017D4">
        <w:rPr>
          <w:rFonts w:ascii="Arial" w:hAnsi="Arial" w:cs="Arial"/>
          <w:b w:val="0"/>
          <w:sz w:val="20"/>
          <w:szCs w:val="20"/>
        </w:rPr>
        <w:fldChar w:fldCharType="separate"/>
      </w:r>
      <w:r w:rsidR="007274DA">
        <w:rPr>
          <w:rFonts w:ascii="Arial" w:hAnsi="Arial" w:cs="Arial"/>
          <w:b w:val="0"/>
          <w:noProof/>
          <w:sz w:val="20"/>
          <w:szCs w:val="20"/>
          <w:lang w:val="sq-AL"/>
        </w:rPr>
        <w:t>86</w:t>
      </w:r>
      <w:r w:rsidRPr="00F017D4">
        <w:rPr>
          <w:rFonts w:ascii="Arial" w:hAnsi="Arial" w:cs="Arial"/>
          <w:b w:val="0"/>
          <w:sz w:val="20"/>
          <w:szCs w:val="20"/>
        </w:rPr>
        <w:fldChar w:fldCharType="end"/>
      </w:r>
      <w:r w:rsidRPr="002A6F4E">
        <w:rPr>
          <w:rFonts w:ascii="Arial" w:hAnsi="Arial" w:cs="Arial"/>
          <w:b w:val="0"/>
          <w:sz w:val="20"/>
          <w:szCs w:val="20"/>
          <w:lang w:val="sq-AL"/>
        </w:rPr>
        <w:t xml:space="preserve"> Postojeće transfer stanice u Crnoj Gori</w:t>
      </w:r>
      <w:bookmarkEnd w:id="1109"/>
      <w:bookmarkEnd w:id="1110"/>
      <w:r w:rsidRPr="002A6F4E">
        <w:rPr>
          <w:rFonts w:ascii="Arial" w:hAnsi="Arial" w:cs="Arial"/>
          <w:b w:val="0"/>
          <w:sz w:val="20"/>
          <w:szCs w:val="20"/>
          <w:lang w:val="sq-AL"/>
        </w:rPr>
        <w:t xml:space="preserve"> </w:t>
      </w:r>
      <w:bookmarkEnd w:id="1111"/>
    </w:p>
    <w:tbl>
      <w:tblPr>
        <w:tblW w:w="48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934"/>
        <w:gridCol w:w="1620"/>
        <w:gridCol w:w="1314"/>
        <w:gridCol w:w="2555"/>
        <w:gridCol w:w="1555"/>
      </w:tblGrid>
      <w:tr w:rsidR="00C232D7" w:rsidRPr="002A6F4E" w14:paraId="6C32C95C" w14:textId="77777777" w:rsidTr="00C232D7">
        <w:trPr>
          <w:tblHeader/>
          <w:jc w:val="center"/>
        </w:trPr>
        <w:tc>
          <w:tcPr>
            <w:tcW w:w="1077" w:type="pct"/>
            <w:shd w:val="clear" w:color="auto" w:fill="F2F2F2" w:themeFill="background1" w:themeFillShade="F2"/>
            <w:vAlign w:val="center"/>
          </w:tcPr>
          <w:p w14:paraId="7C9C754E" w14:textId="77777777" w:rsidR="00C232D7" w:rsidRPr="00C149AB" w:rsidRDefault="00C232D7" w:rsidP="00C232D7">
            <w:pPr>
              <w:spacing w:before="40" w:after="40" w:line="360" w:lineRule="auto"/>
              <w:rPr>
                <w:rFonts w:ascii="Arial" w:hAnsi="Arial" w:cs="Arial"/>
                <w:b/>
                <w:bCs/>
                <w:sz w:val="18"/>
                <w:lang w:val="sq-AL"/>
              </w:rPr>
            </w:pPr>
            <w:r w:rsidRPr="00C149AB">
              <w:rPr>
                <w:rFonts w:ascii="Arial" w:hAnsi="Arial" w:cs="Arial"/>
                <w:b/>
                <w:bCs/>
                <w:sz w:val="18"/>
                <w:lang w:val="sq-AL"/>
              </w:rPr>
              <w:t>Opština</w:t>
            </w:r>
          </w:p>
        </w:tc>
        <w:tc>
          <w:tcPr>
            <w:tcW w:w="902" w:type="pct"/>
            <w:shd w:val="clear" w:color="auto" w:fill="F2F2F2" w:themeFill="background1" w:themeFillShade="F2"/>
            <w:vAlign w:val="center"/>
          </w:tcPr>
          <w:p w14:paraId="194D1F2F" w14:textId="77777777" w:rsidR="00C232D7" w:rsidRPr="00C149AB" w:rsidRDefault="00C232D7" w:rsidP="00C232D7">
            <w:pPr>
              <w:spacing w:before="40" w:after="40" w:line="360" w:lineRule="auto"/>
              <w:rPr>
                <w:rFonts w:ascii="Arial" w:hAnsi="Arial" w:cs="Arial"/>
                <w:b/>
                <w:bCs/>
                <w:sz w:val="18"/>
                <w:lang w:val="sq-AL"/>
              </w:rPr>
            </w:pPr>
            <w:r w:rsidRPr="00C149AB">
              <w:rPr>
                <w:rFonts w:ascii="Arial" w:hAnsi="Arial" w:cs="Arial"/>
                <w:b/>
                <w:bCs/>
                <w:sz w:val="18"/>
                <w:lang w:val="sq-AL"/>
              </w:rPr>
              <w:t>Vrsta postrojenja</w:t>
            </w:r>
          </w:p>
        </w:tc>
        <w:tc>
          <w:tcPr>
            <w:tcW w:w="732" w:type="pct"/>
            <w:shd w:val="clear" w:color="auto" w:fill="F2F2F2" w:themeFill="background1" w:themeFillShade="F2"/>
            <w:vAlign w:val="center"/>
          </w:tcPr>
          <w:p w14:paraId="3EB20CA4" w14:textId="77777777" w:rsidR="00C232D7" w:rsidRPr="00C149AB" w:rsidRDefault="00C232D7" w:rsidP="00C232D7">
            <w:pPr>
              <w:spacing w:before="40" w:after="40" w:line="360" w:lineRule="auto"/>
              <w:rPr>
                <w:rFonts w:ascii="Arial" w:hAnsi="Arial" w:cs="Arial"/>
                <w:b/>
                <w:bCs/>
                <w:sz w:val="18"/>
                <w:lang w:val="sq-AL"/>
              </w:rPr>
            </w:pPr>
            <w:r w:rsidRPr="00C149AB">
              <w:rPr>
                <w:rFonts w:ascii="Arial" w:hAnsi="Arial" w:cs="Arial"/>
                <w:b/>
                <w:bCs/>
                <w:sz w:val="18"/>
                <w:lang w:val="sq-AL"/>
              </w:rPr>
              <w:t>Status</w:t>
            </w:r>
          </w:p>
        </w:tc>
        <w:tc>
          <w:tcPr>
            <w:tcW w:w="1423" w:type="pct"/>
            <w:shd w:val="clear" w:color="auto" w:fill="F2F2F2" w:themeFill="background1" w:themeFillShade="F2"/>
            <w:vAlign w:val="center"/>
          </w:tcPr>
          <w:p w14:paraId="4F9BBCC1" w14:textId="77777777" w:rsidR="00C232D7" w:rsidRPr="00C149AB" w:rsidRDefault="00C232D7" w:rsidP="00C232D7">
            <w:pPr>
              <w:spacing w:before="40" w:after="40" w:line="360" w:lineRule="auto"/>
              <w:rPr>
                <w:rFonts w:ascii="Arial" w:hAnsi="Arial" w:cs="Arial"/>
                <w:b/>
                <w:bCs/>
                <w:sz w:val="18"/>
                <w:lang w:val="sq-AL"/>
              </w:rPr>
            </w:pPr>
            <w:r w:rsidRPr="00C149AB">
              <w:rPr>
                <w:rFonts w:ascii="Arial" w:hAnsi="Arial" w:cs="Arial"/>
                <w:b/>
                <w:bCs/>
                <w:sz w:val="18"/>
                <w:lang w:val="sq-AL"/>
              </w:rPr>
              <w:t>Vrsta ulazne frakcije otpada</w:t>
            </w:r>
          </w:p>
        </w:tc>
        <w:tc>
          <w:tcPr>
            <w:tcW w:w="866" w:type="pct"/>
            <w:shd w:val="clear" w:color="auto" w:fill="F2F2F2" w:themeFill="background1" w:themeFillShade="F2"/>
            <w:vAlign w:val="center"/>
          </w:tcPr>
          <w:p w14:paraId="24A51567" w14:textId="54A76E00" w:rsidR="00C232D7" w:rsidRPr="00C149AB" w:rsidRDefault="00C232D7" w:rsidP="00B40E88">
            <w:pPr>
              <w:spacing w:before="40" w:after="40" w:line="360" w:lineRule="auto"/>
              <w:rPr>
                <w:rFonts w:ascii="Arial" w:hAnsi="Arial" w:cs="Arial"/>
                <w:b/>
                <w:bCs/>
                <w:sz w:val="18"/>
                <w:lang w:val="sq-AL"/>
              </w:rPr>
            </w:pPr>
            <w:r w:rsidRPr="00C149AB">
              <w:rPr>
                <w:rFonts w:ascii="Arial" w:hAnsi="Arial" w:cs="Arial"/>
                <w:b/>
                <w:bCs/>
                <w:sz w:val="18"/>
                <w:lang w:val="sq-AL"/>
              </w:rPr>
              <w:t xml:space="preserve">Kapacitet (t/god) – </w:t>
            </w:r>
            <w:r w:rsidR="00B40E88" w:rsidRPr="00C149AB">
              <w:rPr>
                <w:rFonts w:ascii="Arial" w:hAnsi="Arial" w:cs="Arial"/>
                <w:b/>
                <w:bCs/>
                <w:sz w:val="18"/>
                <w:lang w:val="sq-AL"/>
              </w:rPr>
              <w:t>2029</w:t>
            </w:r>
          </w:p>
        </w:tc>
      </w:tr>
      <w:tr w:rsidR="00C232D7" w:rsidRPr="002A6F4E" w14:paraId="60C32C74" w14:textId="77777777" w:rsidTr="00C232D7">
        <w:trPr>
          <w:jc w:val="center"/>
        </w:trPr>
        <w:tc>
          <w:tcPr>
            <w:tcW w:w="1077" w:type="pct"/>
            <w:vAlign w:val="center"/>
          </w:tcPr>
          <w:p w14:paraId="7363D06B" w14:textId="77777777" w:rsidR="00C232D7" w:rsidRPr="00C149AB" w:rsidRDefault="00C232D7" w:rsidP="00C232D7">
            <w:pPr>
              <w:spacing w:before="40" w:after="40" w:line="360" w:lineRule="auto"/>
              <w:ind w:left="-14"/>
              <w:rPr>
                <w:rFonts w:ascii="Arial" w:hAnsi="Arial" w:cs="Arial"/>
                <w:sz w:val="18"/>
                <w:lang w:val="sq-AL"/>
              </w:rPr>
            </w:pPr>
            <w:r w:rsidRPr="00C149AB">
              <w:rPr>
                <w:rFonts w:ascii="Arial" w:hAnsi="Arial" w:cs="Arial"/>
                <w:color w:val="000000"/>
                <w:sz w:val="18"/>
                <w:lang w:val="sq-AL"/>
              </w:rPr>
              <w:t>ŽABLJAK</w:t>
            </w:r>
          </w:p>
        </w:tc>
        <w:tc>
          <w:tcPr>
            <w:tcW w:w="902" w:type="pct"/>
            <w:shd w:val="clear" w:color="auto" w:fill="auto"/>
            <w:vAlign w:val="center"/>
          </w:tcPr>
          <w:p w14:paraId="573F9EC4"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color w:val="000000"/>
                <w:sz w:val="18"/>
                <w:lang w:val="sq-AL"/>
              </w:rPr>
              <w:t>Transfer stanica</w:t>
            </w:r>
          </w:p>
        </w:tc>
        <w:tc>
          <w:tcPr>
            <w:tcW w:w="732" w:type="pct"/>
          </w:tcPr>
          <w:p w14:paraId="3EBAB5D2" w14:textId="4665547D" w:rsidR="00C232D7" w:rsidRPr="00C149AB" w:rsidRDefault="00C232D7" w:rsidP="00C232D7">
            <w:pPr>
              <w:spacing w:before="40" w:after="40" w:line="360" w:lineRule="auto"/>
              <w:rPr>
                <w:rFonts w:ascii="Arial" w:hAnsi="Arial" w:cs="Arial"/>
                <w:sz w:val="18"/>
                <w:lang w:val="sq-AL"/>
              </w:rPr>
            </w:pPr>
            <w:r w:rsidRPr="00C149AB">
              <w:rPr>
                <w:rFonts w:ascii="Arial" w:hAnsi="Arial" w:cs="Arial"/>
                <w:color w:val="000000"/>
                <w:sz w:val="18"/>
                <w:lang w:val="sq-AL"/>
              </w:rPr>
              <w:t>Izgrađeno</w:t>
            </w:r>
            <w:r w:rsidR="00D60042">
              <w:rPr>
                <w:rFonts w:ascii="Arial" w:hAnsi="Arial" w:cs="Arial"/>
                <w:color w:val="000000"/>
                <w:sz w:val="18"/>
                <w:lang w:val="sq-AL"/>
              </w:rPr>
              <w:t xml:space="preserve"> </w:t>
            </w:r>
            <w:r w:rsidRPr="00C149AB">
              <w:rPr>
                <w:rFonts w:ascii="Arial" w:hAnsi="Arial" w:cs="Arial"/>
                <w:color w:val="000000"/>
                <w:sz w:val="18"/>
                <w:lang w:val="sq-AL"/>
              </w:rPr>
              <w:t xml:space="preserve">-nije u funkciji </w:t>
            </w:r>
          </w:p>
        </w:tc>
        <w:tc>
          <w:tcPr>
            <w:tcW w:w="1423" w:type="pct"/>
            <w:vAlign w:val="center"/>
          </w:tcPr>
          <w:p w14:paraId="1BDE135B" w14:textId="3EB71C78" w:rsidR="00C232D7" w:rsidRPr="00C149AB" w:rsidRDefault="00C232D7" w:rsidP="00C232D7">
            <w:pPr>
              <w:spacing w:before="40" w:after="40" w:line="360" w:lineRule="auto"/>
              <w:rPr>
                <w:rFonts w:ascii="Arial" w:hAnsi="Arial" w:cs="Arial"/>
                <w:sz w:val="18"/>
                <w:lang w:val="sq-AL"/>
              </w:rPr>
            </w:pPr>
            <w:r w:rsidRPr="00C149AB">
              <w:rPr>
                <w:rFonts w:ascii="Arial" w:hAnsi="Arial" w:cs="Arial"/>
                <w:color w:val="000000"/>
                <w:sz w:val="18"/>
                <w:lang w:val="sq-AL"/>
              </w:rPr>
              <w:t>Rezidualni otpad, ostaci od MRF i postrojenja za kompostiranje</w:t>
            </w:r>
          </w:p>
        </w:tc>
        <w:tc>
          <w:tcPr>
            <w:tcW w:w="866" w:type="pct"/>
            <w:vAlign w:val="center"/>
          </w:tcPr>
          <w:p w14:paraId="31994A46"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color w:val="000000"/>
                <w:sz w:val="18"/>
              </w:rPr>
              <w:t>1.108</w:t>
            </w:r>
          </w:p>
        </w:tc>
      </w:tr>
      <w:tr w:rsidR="00C232D7" w:rsidRPr="002A6F4E" w14:paraId="14A7B4AF" w14:textId="77777777" w:rsidTr="00C232D7">
        <w:trPr>
          <w:jc w:val="center"/>
        </w:trPr>
        <w:tc>
          <w:tcPr>
            <w:tcW w:w="1077" w:type="pct"/>
            <w:vAlign w:val="center"/>
          </w:tcPr>
          <w:p w14:paraId="3A8D53DB"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 xml:space="preserve">MOJKOVAC </w:t>
            </w:r>
          </w:p>
          <w:p w14:paraId="5AD6B9BF"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KOLAŠIN</w:t>
            </w:r>
          </w:p>
        </w:tc>
        <w:tc>
          <w:tcPr>
            <w:tcW w:w="902" w:type="pct"/>
            <w:shd w:val="clear" w:color="auto" w:fill="auto"/>
          </w:tcPr>
          <w:p w14:paraId="7AA0AF45"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Transfer stanica</w:t>
            </w:r>
          </w:p>
        </w:tc>
        <w:tc>
          <w:tcPr>
            <w:tcW w:w="732" w:type="pct"/>
          </w:tcPr>
          <w:p w14:paraId="0170F6F0" w14:textId="66DEADCF"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Izgrađeno</w:t>
            </w:r>
            <w:r w:rsidR="00D60042">
              <w:rPr>
                <w:rFonts w:ascii="Arial" w:hAnsi="Arial" w:cs="Arial"/>
                <w:color w:val="000000"/>
                <w:sz w:val="18"/>
                <w:lang w:val="sq-AL"/>
              </w:rPr>
              <w:t xml:space="preserve"> </w:t>
            </w:r>
            <w:r w:rsidRPr="00C149AB">
              <w:rPr>
                <w:rFonts w:ascii="Arial" w:hAnsi="Arial" w:cs="Arial"/>
                <w:color w:val="000000"/>
                <w:sz w:val="18"/>
                <w:lang w:val="sq-AL"/>
              </w:rPr>
              <w:t>-</w:t>
            </w:r>
            <w:r w:rsidR="00D60042">
              <w:rPr>
                <w:rFonts w:ascii="Arial" w:hAnsi="Arial" w:cs="Arial"/>
                <w:color w:val="000000"/>
                <w:sz w:val="18"/>
                <w:lang w:val="sq-AL"/>
              </w:rPr>
              <w:t xml:space="preserve"> </w:t>
            </w:r>
            <w:r w:rsidRPr="00C149AB">
              <w:rPr>
                <w:rFonts w:ascii="Arial" w:hAnsi="Arial" w:cs="Arial"/>
                <w:color w:val="000000"/>
                <w:sz w:val="18"/>
                <w:lang w:val="sq-AL"/>
              </w:rPr>
              <w:t xml:space="preserve">nije u funkciji </w:t>
            </w:r>
          </w:p>
        </w:tc>
        <w:tc>
          <w:tcPr>
            <w:tcW w:w="1423" w:type="pct"/>
          </w:tcPr>
          <w:p w14:paraId="65BDF4E1"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Rezidualni otpad</w:t>
            </w:r>
          </w:p>
        </w:tc>
        <w:tc>
          <w:tcPr>
            <w:tcW w:w="866" w:type="pct"/>
            <w:vAlign w:val="center"/>
          </w:tcPr>
          <w:p w14:paraId="43685593"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rPr>
              <w:t>6.378</w:t>
            </w:r>
          </w:p>
        </w:tc>
      </w:tr>
      <w:tr w:rsidR="00C232D7" w:rsidRPr="002A6F4E" w14:paraId="69CB727E" w14:textId="77777777" w:rsidTr="00C232D7">
        <w:trPr>
          <w:jc w:val="center"/>
        </w:trPr>
        <w:tc>
          <w:tcPr>
            <w:tcW w:w="1077" w:type="pct"/>
            <w:vAlign w:val="center"/>
          </w:tcPr>
          <w:p w14:paraId="00CB4D9C"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ROŽAJE</w:t>
            </w:r>
          </w:p>
        </w:tc>
        <w:tc>
          <w:tcPr>
            <w:tcW w:w="902" w:type="pct"/>
            <w:shd w:val="clear" w:color="auto" w:fill="auto"/>
          </w:tcPr>
          <w:p w14:paraId="126CF759"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Transfer stanica</w:t>
            </w:r>
          </w:p>
        </w:tc>
        <w:tc>
          <w:tcPr>
            <w:tcW w:w="732" w:type="pct"/>
            <w:vAlign w:val="center"/>
          </w:tcPr>
          <w:p w14:paraId="7959C21C"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Planirana</w:t>
            </w:r>
          </w:p>
        </w:tc>
        <w:tc>
          <w:tcPr>
            <w:tcW w:w="1423" w:type="pct"/>
          </w:tcPr>
          <w:p w14:paraId="03789B08"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Rezidualni otpad</w:t>
            </w:r>
          </w:p>
        </w:tc>
        <w:tc>
          <w:tcPr>
            <w:tcW w:w="866" w:type="pct"/>
            <w:vAlign w:val="center"/>
          </w:tcPr>
          <w:p w14:paraId="44E03E86"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rPr>
              <w:t>10.486</w:t>
            </w:r>
          </w:p>
        </w:tc>
      </w:tr>
      <w:tr w:rsidR="00C232D7" w:rsidRPr="002A6F4E" w14:paraId="5CB8AD82" w14:textId="77777777" w:rsidTr="00C232D7">
        <w:trPr>
          <w:jc w:val="center"/>
        </w:trPr>
        <w:tc>
          <w:tcPr>
            <w:tcW w:w="1077" w:type="pct"/>
            <w:vAlign w:val="center"/>
          </w:tcPr>
          <w:p w14:paraId="3CF4477B"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PLJEVLJA</w:t>
            </w:r>
          </w:p>
        </w:tc>
        <w:tc>
          <w:tcPr>
            <w:tcW w:w="902" w:type="pct"/>
            <w:shd w:val="clear" w:color="auto" w:fill="auto"/>
          </w:tcPr>
          <w:p w14:paraId="02670F41"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Transfer stanica</w:t>
            </w:r>
          </w:p>
        </w:tc>
        <w:tc>
          <w:tcPr>
            <w:tcW w:w="732" w:type="pct"/>
            <w:vAlign w:val="center"/>
          </w:tcPr>
          <w:p w14:paraId="46C0F4B9"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Planirana</w:t>
            </w:r>
          </w:p>
        </w:tc>
        <w:tc>
          <w:tcPr>
            <w:tcW w:w="1423" w:type="pct"/>
          </w:tcPr>
          <w:p w14:paraId="73793B51"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Rezidualni otpad</w:t>
            </w:r>
          </w:p>
        </w:tc>
        <w:tc>
          <w:tcPr>
            <w:tcW w:w="866" w:type="pct"/>
            <w:vAlign w:val="center"/>
          </w:tcPr>
          <w:p w14:paraId="0CE588AB"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rPr>
              <w:t>12.967</w:t>
            </w:r>
          </w:p>
        </w:tc>
      </w:tr>
      <w:tr w:rsidR="00C232D7" w:rsidRPr="002A6F4E" w14:paraId="51898D26" w14:textId="77777777" w:rsidTr="00C232D7">
        <w:trPr>
          <w:jc w:val="center"/>
        </w:trPr>
        <w:tc>
          <w:tcPr>
            <w:tcW w:w="1077" w:type="pct"/>
            <w:vAlign w:val="center"/>
          </w:tcPr>
          <w:p w14:paraId="33E54691"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HERCEG NOVI</w:t>
            </w:r>
          </w:p>
        </w:tc>
        <w:tc>
          <w:tcPr>
            <w:tcW w:w="902" w:type="pct"/>
            <w:shd w:val="clear" w:color="auto" w:fill="auto"/>
          </w:tcPr>
          <w:p w14:paraId="7DD1098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Transfer stanica</w:t>
            </w:r>
          </w:p>
        </w:tc>
        <w:tc>
          <w:tcPr>
            <w:tcW w:w="732" w:type="pct"/>
            <w:vAlign w:val="center"/>
          </w:tcPr>
          <w:p w14:paraId="57688778"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Operativna</w:t>
            </w:r>
          </w:p>
        </w:tc>
        <w:tc>
          <w:tcPr>
            <w:tcW w:w="1423" w:type="pct"/>
          </w:tcPr>
          <w:p w14:paraId="6021DC3C" w14:textId="11CC039C"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Rezidualni otpad, ostaci od MRF i postrojenja za kompostiranje</w:t>
            </w:r>
          </w:p>
        </w:tc>
        <w:tc>
          <w:tcPr>
            <w:tcW w:w="866" w:type="pct"/>
            <w:vAlign w:val="center"/>
          </w:tcPr>
          <w:p w14:paraId="0E0ADB3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rPr>
              <w:t>17.783</w:t>
            </w:r>
          </w:p>
        </w:tc>
      </w:tr>
      <w:tr w:rsidR="00C232D7" w:rsidRPr="002A6F4E" w14:paraId="1973B8A9" w14:textId="77777777" w:rsidTr="00C232D7">
        <w:trPr>
          <w:jc w:val="center"/>
        </w:trPr>
        <w:tc>
          <w:tcPr>
            <w:tcW w:w="1077" w:type="pct"/>
            <w:vAlign w:val="center"/>
          </w:tcPr>
          <w:p w14:paraId="24F8CA6A"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 xml:space="preserve">KOTOR </w:t>
            </w:r>
          </w:p>
          <w:p w14:paraId="777A15A7"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 xml:space="preserve">TIVAT </w:t>
            </w:r>
          </w:p>
        </w:tc>
        <w:tc>
          <w:tcPr>
            <w:tcW w:w="902" w:type="pct"/>
            <w:shd w:val="clear" w:color="auto" w:fill="auto"/>
          </w:tcPr>
          <w:p w14:paraId="219D9D02"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Transfer stanica</w:t>
            </w:r>
          </w:p>
        </w:tc>
        <w:tc>
          <w:tcPr>
            <w:tcW w:w="732" w:type="pct"/>
            <w:vAlign w:val="center"/>
          </w:tcPr>
          <w:p w14:paraId="369D1A96"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Operativna</w:t>
            </w:r>
          </w:p>
        </w:tc>
        <w:tc>
          <w:tcPr>
            <w:tcW w:w="1423" w:type="pct"/>
          </w:tcPr>
          <w:p w14:paraId="4411C38F" w14:textId="5AB32D3F"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Rezidualni otpad, ostaci od MRF i postrojenja za kompostiranje</w:t>
            </w:r>
          </w:p>
        </w:tc>
        <w:tc>
          <w:tcPr>
            <w:tcW w:w="866" w:type="pct"/>
            <w:vAlign w:val="center"/>
          </w:tcPr>
          <w:p w14:paraId="78882155"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rPr>
              <w:t>18.605</w:t>
            </w:r>
          </w:p>
        </w:tc>
      </w:tr>
    </w:tbl>
    <w:p w14:paraId="75B0015C" w14:textId="5282F7BD" w:rsidR="00C232D7" w:rsidRPr="002A6F4E" w:rsidRDefault="00620A47" w:rsidP="00F57909">
      <w:pPr>
        <w:pStyle w:val="Heading2"/>
      </w:pPr>
      <w:bookmarkStart w:id="1112" w:name="_Toc117607226"/>
      <w:bookmarkStart w:id="1113" w:name="_Toc121759058"/>
      <w:bookmarkStart w:id="1114" w:name="_Toc189759701"/>
      <w:bookmarkStart w:id="1115" w:name="_Toc193354029"/>
      <w:r>
        <w:t>5.2</w:t>
      </w:r>
      <w:r w:rsidR="009751D2">
        <w:t>2</w:t>
      </w:r>
      <w:r>
        <w:t xml:space="preserve">. </w:t>
      </w:r>
      <w:r w:rsidR="00C232D7" w:rsidRPr="002A6F4E">
        <w:t>Metodologija ocjenjivanja</w:t>
      </w:r>
      <w:bookmarkEnd w:id="1112"/>
      <w:bookmarkEnd w:id="1113"/>
      <w:bookmarkEnd w:id="1114"/>
      <w:bookmarkEnd w:id="1115"/>
    </w:p>
    <w:p w14:paraId="7C311696" w14:textId="73AA5B5E"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Primarni razlog za korišćenje transfer stanice je smanjenje troškova transporta otpada do krajnjeg primaoca (postrojenja za </w:t>
      </w:r>
      <w:r w:rsidR="008E58F8">
        <w:rPr>
          <w:rFonts w:ascii="Arial" w:hAnsi="Arial" w:cs="Arial"/>
          <w:lang w:val="sq-AL"/>
        </w:rPr>
        <w:t>obradu otpada</w:t>
      </w:r>
      <w:r w:rsidRPr="002A6F4E">
        <w:rPr>
          <w:rFonts w:ascii="Arial" w:hAnsi="Arial" w:cs="Arial"/>
          <w:lang w:val="sq-AL"/>
        </w:rPr>
        <w:t>). Konsolidovanje manjih količina otpada iz vozila za sakupljanje u veća vozila za transfer smanjuje troškove transporta omogućavajući ekipama za sakupljanje otpada da provedu manje vremena na putovanju do i sa udaljenih lokacija za odlaganje i više vremena na sakupljanju otpada. Ovo takođe smanjuje potrošnju goriva i troškove održavanja vozila za sakupljanje otpada i  generiše manje ukupnog saobraćaja, emisija u vazduh i habanja puta. Stanice za transfer otpada mogu biti najisplativije kada se nalaze u blizini područja sakupljanja.</w:t>
      </w:r>
    </w:p>
    <w:p w14:paraId="023C758D"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Pored toga, transfer stanica takođe nudi:</w:t>
      </w:r>
    </w:p>
    <w:p w14:paraId="64765BD7" w14:textId="698019A9" w:rsidR="00C232D7" w:rsidRPr="002A6F4E" w:rsidRDefault="00C232D7" w:rsidP="00A23ED0">
      <w:pPr>
        <w:pStyle w:val="ListParagraph"/>
        <w:numPr>
          <w:ilvl w:val="0"/>
          <w:numId w:val="46"/>
        </w:numPr>
        <w:spacing w:before="120" w:after="120" w:line="360" w:lineRule="auto"/>
        <w:contextualSpacing w:val="0"/>
        <w:rPr>
          <w:rFonts w:ascii="Arial" w:hAnsi="Arial" w:cs="Arial"/>
          <w:lang w:val="sq-AL"/>
        </w:rPr>
      </w:pPr>
      <w:r w:rsidRPr="002A6F4E">
        <w:rPr>
          <w:rFonts w:ascii="Arial" w:hAnsi="Arial" w:cs="Arial"/>
          <w:lang w:val="sq-AL"/>
        </w:rPr>
        <w:t xml:space="preserve">Mogućnost pregleda otpada prije </w:t>
      </w:r>
      <w:r w:rsidR="008E58F8">
        <w:rPr>
          <w:rFonts w:ascii="Arial" w:hAnsi="Arial" w:cs="Arial"/>
          <w:lang w:val="sq-AL"/>
        </w:rPr>
        <w:t>obrade</w:t>
      </w:r>
      <w:r w:rsidRPr="002A6F4E">
        <w:rPr>
          <w:rFonts w:ascii="Arial" w:hAnsi="Arial" w:cs="Arial"/>
          <w:lang w:val="sq-AL"/>
        </w:rPr>
        <w:t>;</w:t>
      </w:r>
    </w:p>
    <w:p w14:paraId="2BAE3B19" w14:textId="77777777" w:rsidR="00C232D7" w:rsidRPr="002A6F4E" w:rsidRDefault="00C232D7" w:rsidP="00A23ED0">
      <w:pPr>
        <w:pStyle w:val="ListParagraph"/>
        <w:numPr>
          <w:ilvl w:val="0"/>
          <w:numId w:val="46"/>
        </w:numPr>
        <w:spacing w:before="120" w:after="120" w:line="360" w:lineRule="auto"/>
        <w:contextualSpacing w:val="0"/>
        <w:rPr>
          <w:rFonts w:ascii="Arial" w:hAnsi="Arial" w:cs="Arial"/>
          <w:lang w:val="sq-AL"/>
        </w:rPr>
      </w:pPr>
      <w:r w:rsidRPr="002A6F4E">
        <w:rPr>
          <w:rFonts w:ascii="Arial" w:hAnsi="Arial" w:cs="Arial"/>
          <w:lang w:val="sq-AL"/>
        </w:rPr>
        <w:t>Mogućnost da služi kao centar za javnu upotrebu.</w:t>
      </w:r>
    </w:p>
    <w:p w14:paraId="561DFF74" w14:textId="005A1CD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Odluka da li je transfer stanica prikladna za pojedinačnu zajednicu zasniva se na utvrđivanju da li </w:t>
      </w:r>
      <w:r w:rsidRPr="002A6F4E">
        <w:rPr>
          <w:rFonts w:ascii="Arial" w:hAnsi="Arial" w:cs="Arial"/>
          <w:u w:val="single"/>
          <w:lang w:val="sq-AL"/>
        </w:rPr>
        <w:t>koristi nadmašuju troškove</w:t>
      </w:r>
      <w:r w:rsidRPr="002A6F4E">
        <w:rPr>
          <w:rFonts w:ascii="Arial" w:hAnsi="Arial" w:cs="Arial"/>
          <w:lang w:val="sq-AL"/>
        </w:rPr>
        <w:t xml:space="preserve">. Donosilac odluka treba da odmjeri troškove planiranja, projektovanja i rada u odnosu na uštede koje transfer stanica može da ostvari usljed smanjenih troškova transporta. </w:t>
      </w:r>
    </w:p>
    <w:p w14:paraId="2A8C3275" w14:textId="5EFD00C1" w:rsidR="00C232D7" w:rsidRPr="002A6F4E" w:rsidRDefault="00777714" w:rsidP="00C232D7">
      <w:pPr>
        <w:spacing w:before="120" w:after="120" w:line="360" w:lineRule="auto"/>
        <w:rPr>
          <w:rFonts w:ascii="Arial" w:hAnsi="Arial" w:cs="Arial"/>
          <w:lang w:val="sq-AL" w:eastAsia="pl-PL"/>
        </w:rPr>
      </w:pPr>
      <w:r>
        <w:rPr>
          <w:rFonts w:ascii="Arial" w:hAnsi="Arial" w:cs="Arial"/>
          <w:lang w:val="sq-AL" w:eastAsia="pl-PL"/>
        </w:rPr>
        <w:t>K</w:t>
      </w:r>
      <w:r w:rsidR="00C232D7" w:rsidRPr="002A6F4E">
        <w:rPr>
          <w:rFonts w:ascii="Arial" w:hAnsi="Arial" w:cs="Arial"/>
          <w:lang w:val="sq-AL" w:eastAsia="pl-PL"/>
        </w:rPr>
        <w:t>ada je udaljenost transporta kratka, direktni transport je isplativiji. Kada se udaljenost transporta poveća, direktni troškovi transporta će se povećati i postaće jednaki troškovima izgradnje i rada transfer stanice (prag rentabilnosti). Ako je udaljenost transporta veća od praga rentabilnosti, transport otpada sa transfer stanicama postaje ekonomski efikasniji.</w:t>
      </w:r>
    </w:p>
    <w:p w14:paraId="5F786D9F" w14:textId="77777777" w:rsidR="00C232D7" w:rsidRPr="002A6F4E" w:rsidRDefault="00C232D7" w:rsidP="00C232D7">
      <w:pPr>
        <w:spacing w:before="120" w:after="120" w:line="360" w:lineRule="auto"/>
        <w:rPr>
          <w:rFonts w:ascii="Arial" w:hAnsi="Arial" w:cs="Arial"/>
          <w:lang w:val="sq-AL" w:eastAsia="pl-PL"/>
        </w:rPr>
      </w:pPr>
      <w:r w:rsidRPr="002A6F4E">
        <w:rPr>
          <w:rFonts w:ascii="Arial" w:hAnsi="Arial" w:cs="Arial"/>
          <w:lang w:val="sq-AL" w:eastAsia="pl-PL"/>
        </w:rPr>
        <w:t xml:space="preserve">Napominje se da ukupni troškovi transfer stanica zavise ne samo od udaljenosti već i od količine transportovanog otpada. Kada su količine otpada velike, troškovi TS (investicije i rad) po toni otpada postaju </w:t>
      </w:r>
      <w:r w:rsidRPr="002A6F4E">
        <w:rPr>
          <w:rFonts w:ascii="Arial" w:hAnsi="Arial" w:cs="Arial"/>
          <w:lang w:val="sq-AL" w:eastAsia="pl-PL"/>
        </w:rPr>
        <w:lastRenderedPageBreak/>
        <w:t>niži, zbog ekonomije obima. U tom pogledu, što je količina otpada veća smanjuje i udaljenost do krajnjeg primaoca.</w:t>
      </w:r>
    </w:p>
    <w:p w14:paraId="1BFA1ECC" w14:textId="1288D58F" w:rsidR="00C232D7" w:rsidRPr="002A6F4E" w:rsidRDefault="00C232D7" w:rsidP="00C232D7">
      <w:pPr>
        <w:spacing w:before="120" w:after="120" w:line="360" w:lineRule="auto"/>
        <w:rPr>
          <w:rFonts w:ascii="Arial" w:hAnsi="Arial" w:cs="Arial"/>
          <w:lang w:val="sq-AL" w:eastAsia="pl-PL"/>
        </w:rPr>
      </w:pPr>
      <w:r w:rsidRPr="002A6F4E">
        <w:rPr>
          <w:rFonts w:ascii="Arial" w:hAnsi="Arial" w:cs="Arial"/>
          <w:lang w:val="sq-AL" w:eastAsia="pl-PL"/>
        </w:rPr>
        <w:t xml:space="preserve">Za obje opcije zoniranja, za svaku opštinu (osim onih koje generišu otpad &lt; 1.000 t/god) koje trenutno ne opslužuje (ili je planirano da opslužuje) transfer stanica, utvrđena je udaljenost do krajnjeg primaoca, na osnovu predviđenog krajnjeg primaoca, kako bi se procijenilo da li je izgradnja TS </w:t>
      </w:r>
      <w:r w:rsidRPr="00ED4363">
        <w:rPr>
          <w:rFonts w:ascii="Arial" w:hAnsi="Arial" w:cs="Arial"/>
          <w:lang w:val="sq-AL" w:eastAsia="pl-PL"/>
        </w:rPr>
        <w:t>isplativa.</w:t>
      </w:r>
    </w:p>
    <w:p w14:paraId="657C462F" w14:textId="77777777" w:rsidR="00C232D7" w:rsidRPr="002A6F4E" w:rsidRDefault="00C232D7" w:rsidP="00C232D7">
      <w:pPr>
        <w:spacing w:before="120" w:after="120" w:line="360" w:lineRule="auto"/>
        <w:rPr>
          <w:rFonts w:ascii="Arial" w:hAnsi="Arial" w:cs="Arial"/>
          <w:i/>
          <w:iCs/>
          <w:u w:val="single"/>
          <w:lang w:val="sq-AL" w:eastAsia="pl-PL"/>
        </w:rPr>
      </w:pPr>
      <w:r w:rsidRPr="002A6F4E">
        <w:rPr>
          <w:rFonts w:ascii="Arial" w:hAnsi="Arial" w:cs="Arial"/>
          <w:lang w:val="sq-AL" w:eastAsia="pl-PL"/>
        </w:rPr>
        <w:t xml:space="preserve">Isplativost je bila jedini kriterijum u procjeni potreba za uspostavljanjem transfer stanice. </w:t>
      </w:r>
    </w:p>
    <w:p w14:paraId="50E90239" w14:textId="77777777" w:rsidR="00F017D4" w:rsidRDefault="00C232D7" w:rsidP="00F017D4">
      <w:pPr>
        <w:spacing w:before="120" w:after="120" w:line="360" w:lineRule="auto"/>
        <w:rPr>
          <w:rFonts w:ascii="Arial" w:hAnsi="Arial" w:cs="Arial"/>
          <w:lang w:val="de-DE" w:eastAsia="pl-PL"/>
        </w:rPr>
      </w:pPr>
      <w:r w:rsidRPr="002A6F4E">
        <w:rPr>
          <w:rFonts w:ascii="Arial" w:hAnsi="Arial" w:cs="Arial"/>
          <w:lang w:val="de-DE" w:eastAsia="pl-PL"/>
        </w:rPr>
        <w:t>U sljedećoj tabeli prik</w:t>
      </w:r>
      <w:r w:rsidR="00F017D4">
        <w:rPr>
          <w:rFonts w:ascii="Arial" w:hAnsi="Arial" w:cs="Arial"/>
          <w:lang w:val="de-DE" w:eastAsia="pl-PL"/>
        </w:rPr>
        <w:t>azan je rezime rezultata analize</w:t>
      </w:r>
      <w:bookmarkStart w:id="1116" w:name="_Toc130833045"/>
      <w:bookmarkStart w:id="1117" w:name="_Toc189515663"/>
    </w:p>
    <w:p w14:paraId="0F0F5AD6" w14:textId="548A9E51" w:rsidR="00C232D7" w:rsidRPr="00F017D4" w:rsidRDefault="00C232D7" w:rsidP="00F017D4">
      <w:pPr>
        <w:pStyle w:val="Caption"/>
        <w:rPr>
          <w:rFonts w:ascii="Arial" w:hAnsi="Arial" w:cs="Arial"/>
          <w:b w:val="0"/>
          <w:sz w:val="20"/>
          <w:szCs w:val="20"/>
          <w:lang w:val="sq-AL"/>
        </w:rPr>
      </w:pPr>
      <w:bookmarkStart w:id="1118" w:name="_Toc190160781"/>
      <w:r w:rsidRPr="00F017D4">
        <w:rPr>
          <w:rFonts w:ascii="Arial" w:hAnsi="Arial" w:cs="Arial"/>
          <w:b w:val="0"/>
          <w:sz w:val="20"/>
          <w:szCs w:val="20"/>
          <w:lang w:val="sq-AL"/>
        </w:rPr>
        <w:t xml:space="preserve">Tabela </w:t>
      </w:r>
      <w:r w:rsidRPr="00F017D4">
        <w:rPr>
          <w:rFonts w:ascii="Arial" w:hAnsi="Arial" w:cs="Arial"/>
          <w:b w:val="0"/>
          <w:sz w:val="20"/>
          <w:szCs w:val="20"/>
          <w:lang w:val="sq-AL"/>
        </w:rPr>
        <w:fldChar w:fldCharType="begin"/>
      </w:r>
      <w:r w:rsidRPr="00F017D4">
        <w:rPr>
          <w:rFonts w:ascii="Arial" w:hAnsi="Arial" w:cs="Arial"/>
          <w:b w:val="0"/>
          <w:sz w:val="20"/>
          <w:szCs w:val="20"/>
          <w:lang w:val="sq-AL"/>
        </w:rPr>
        <w:instrText xml:space="preserve"> SEQ Tabela \* ARABIC </w:instrText>
      </w:r>
      <w:r w:rsidRPr="00F017D4">
        <w:rPr>
          <w:rFonts w:ascii="Arial" w:hAnsi="Arial" w:cs="Arial"/>
          <w:b w:val="0"/>
          <w:sz w:val="20"/>
          <w:szCs w:val="20"/>
          <w:lang w:val="sq-AL"/>
        </w:rPr>
        <w:fldChar w:fldCharType="separate"/>
      </w:r>
      <w:r w:rsidR="007274DA">
        <w:rPr>
          <w:rFonts w:ascii="Arial" w:hAnsi="Arial" w:cs="Arial"/>
          <w:b w:val="0"/>
          <w:noProof/>
          <w:sz w:val="20"/>
          <w:szCs w:val="20"/>
          <w:lang w:val="sq-AL"/>
        </w:rPr>
        <w:t>87</w:t>
      </w:r>
      <w:r w:rsidRPr="00F017D4">
        <w:rPr>
          <w:rFonts w:ascii="Arial" w:hAnsi="Arial" w:cs="Arial"/>
          <w:b w:val="0"/>
          <w:sz w:val="20"/>
          <w:szCs w:val="20"/>
          <w:lang w:val="sq-AL"/>
        </w:rPr>
        <w:fldChar w:fldCharType="end"/>
      </w:r>
      <w:r w:rsidRPr="00F017D4">
        <w:rPr>
          <w:rFonts w:ascii="Arial" w:hAnsi="Arial" w:cs="Arial"/>
          <w:b w:val="0"/>
          <w:sz w:val="20"/>
          <w:szCs w:val="20"/>
          <w:lang w:val="sq-AL"/>
        </w:rPr>
        <w:t xml:space="preserve"> </w:t>
      </w:r>
      <w:bookmarkEnd w:id="1116"/>
      <w:r w:rsidRPr="00F017D4">
        <w:rPr>
          <w:rFonts w:ascii="Arial" w:hAnsi="Arial" w:cs="Arial"/>
          <w:b w:val="0"/>
          <w:sz w:val="20"/>
          <w:szCs w:val="20"/>
          <w:lang w:val="sq-AL"/>
        </w:rPr>
        <w:t>Rezultati procjene potreba transfer stanica</w:t>
      </w:r>
      <w:bookmarkEnd w:id="1117"/>
      <w:bookmarkEnd w:id="1118"/>
    </w:p>
    <w:tbl>
      <w:tblPr>
        <w:tblW w:w="4943"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1019"/>
        <w:gridCol w:w="1365"/>
        <w:gridCol w:w="2056"/>
        <w:gridCol w:w="1673"/>
        <w:gridCol w:w="3132"/>
      </w:tblGrid>
      <w:tr w:rsidR="00C232D7" w:rsidRPr="002A6F4E" w14:paraId="5269A31C" w14:textId="77777777" w:rsidTr="005954F6">
        <w:trPr>
          <w:tblHeader/>
          <w:jc w:val="center"/>
        </w:trPr>
        <w:tc>
          <w:tcPr>
            <w:tcW w:w="551" w:type="pct"/>
            <w:shd w:val="clear" w:color="auto" w:fill="F2F2F2" w:themeFill="background1" w:themeFillShade="F2"/>
          </w:tcPr>
          <w:p w14:paraId="5B1C7D83" w14:textId="77777777" w:rsidR="00C232D7" w:rsidRPr="00C149AB" w:rsidRDefault="00C232D7" w:rsidP="00C232D7">
            <w:pPr>
              <w:spacing w:before="40" w:after="40" w:line="360" w:lineRule="auto"/>
              <w:rPr>
                <w:rFonts w:ascii="Arial" w:hAnsi="Arial" w:cs="Arial"/>
                <w:b/>
                <w:bCs/>
                <w:sz w:val="18"/>
                <w:szCs w:val="18"/>
              </w:rPr>
            </w:pPr>
            <w:r w:rsidRPr="00C149AB">
              <w:rPr>
                <w:rFonts w:ascii="Arial" w:hAnsi="Arial" w:cs="Arial"/>
                <w:b/>
                <w:bCs/>
                <w:sz w:val="18"/>
                <w:szCs w:val="18"/>
              </w:rPr>
              <w:t>Opcija zoniranja</w:t>
            </w:r>
          </w:p>
          <w:p w14:paraId="6F07E626" w14:textId="77777777" w:rsidR="00C232D7" w:rsidRPr="00C149AB" w:rsidRDefault="00C232D7" w:rsidP="00C232D7">
            <w:pPr>
              <w:spacing w:before="40" w:after="40" w:line="360" w:lineRule="auto"/>
              <w:rPr>
                <w:rFonts w:ascii="Arial" w:hAnsi="Arial" w:cs="Arial"/>
                <w:b/>
                <w:bCs/>
                <w:sz w:val="18"/>
                <w:szCs w:val="18"/>
              </w:rPr>
            </w:pPr>
          </w:p>
        </w:tc>
        <w:tc>
          <w:tcPr>
            <w:tcW w:w="738" w:type="pct"/>
            <w:shd w:val="clear" w:color="auto" w:fill="F2F2F2" w:themeFill="background1" w:themeFillShade="F2"/>
          </w:tcPr>
          <w:p w14:paraId="1D153EA9" w14:textId="26758739" w:rsidR="00C232D7" w:rsidRPr="00C149AB" w:rsidRDefault="00C232D7" w:rsidP="00C232D7">
            <w:pPr>
              <w:spacing w:before="40" w:after="40" w:line="360" w:lineRule="auto"/>
              <w:rPr>
                <w:rFonts w:ascii="Arial" w:hAnsi="Arial" w:cs="Arial"/>
                <w:b/>
                <w:bCs/>
                <w:sz w:val="18"/>
                <w:szCs w:val="18"/>
              </w:rPr>
            </w:pPr>
            <w:r w:rsidRPr="00C149AB">
              <w:rPr>
                <w:rFonts w:ascii="Arial" w:hAnsi="Arial" w:cs="Arial"/>
                <w:b/>
                <w:bCs/>
                <w:sz w:val="18"/>
                <w:szCs w:val="18"/>
              </w:rPr>
              <w:t>Opštine/ Grupa opština</w:t>
            </w:r>
          </w:p>
          <w:p w14:paraId="5311A0CD" w14:textId="77777777" w:rsidR="00C232D7" w:rsidRPr="00C149AB" w:rsidRDefault="00C232D7" w:rsidP="00C232D7">
            <w:pPr>
              <w:spacing w:before="40" w:after="40" w:line="360" w:lineRule="auto"/>
              <w:rPr>
                <w:rFonts w:ascii="Arial" w:hAnsi="Arial" w:cs="Arial"/>
                <w:b/>
                <w:bCs/>
                <w:sz w:val="18"/>
                <w:szCs w:val="18"/>
              </w:rPr>
            </w:pPr>
          </w:p>
        </w:tc>
        <w:tc>
          <w:tcPr>
            <w:tcW w:w="1112" w:type="pct"/>
            <w:shd w:val="clear" w:color="auto" w:fill="F2F2F2" w:themeFill="background1" w:themeFillShade="F2"/>
          </w:tcPr>
          <w:p w14:paraId="6652B648" w14:textId="77777777" w:rsidR="00C232D7" w:rsidRPr="00C149AB" w:rsidRDefault="00C232D7" w:rsidP="00C232D7">
            <w:pPr>
              <w:spacing w:before="40" w:after="40" w:line="360" w:lineRule="auto"/>
              <w:rPr>
                <w:rFonts w:ascii="Arial" w:hAnsi="Arial" w:cs="Arial"/>
                <w:b/>
                <w:bCs/>
                <w:sz w:val="18"/>
                <w:szCs w:val="18"/>
              </w:rPr>
            </w:pPr>
            <w:r w:rsidRPr="00C149AB">
              <w:rPr>
                <w:rFonts w:ascii="Arial" w:hAnsi="Arial" w:cs="Arial"/>
                <w:b/>
                <w:bCs/>
                <w:sz w:val="18"/>
                <w:szCs w:val="18"/>
              </w:rPr>
              <w:t>Ispitane opcije</w:t>
            </w:r>
          </w:p>
          <w:p w14:paraId="0E27D1E2" w14:textId="77777777" w:rsidR="00C232D7" w:rsidRPr="00C149AB" w:rsidRDefault="00C232D7" w:rsidP="00C232D7">
            <w:pPr>
              <w:spacing w:before="40" w:after="40" w:line="360" w:lineRule="auto"/>
              <w:rPr>
                <w:rFonts w:ascii="Arial" w:hAnsi="Arial" w:cs="Arial"/>
                <w:b/>
                <w:bCs/>
                <w:sz w:val="18"/>
                <w:szCs w:val="18"/>
              </w:rPr>
            </w:pPr>
          </w:p>
        </w:tc>
        <w:tc>
          <w:tcPr>
            <w:tcW w:w="905" w:type="pct"/>
            <w:shd w:val="clear" w:color="auto" w:fill="F2F2F2" w:themeFill="background1" w:themeFillShade="F2"/>
          </w:tcPr>
          <w:p w14:paraId="28AB89E5" w14:textId="77777777" w:rsidR="00C232D7" w:rsidRPr="00C149AB" w:rsidRDefault="00C232D7" w:rsidP="00C232D7">
            <w:pPr>
              <w:spacing w:before="40" w:after="40" w:line="360" w:lineRule="auto"/>
              <w:rPr>
                <w:rFonts w:ascii="Arial" w:hAnsi="Arial" w:cs="Arial"/>
                <w:b/>
                <w:bCs/>
                <w:sz w:val="18"/>
                <w:szCs w:val="18"/>
              </w:rPr>
            </w:pPr>
            <w:r w:rsidRPr="00C149AB">
              <w:rPr>
                <w:rFonts w:ascii="Arial" w:hAnsi="Arial" w:cs="Arial"/>
                <w:b/>
                <w:bCs/>
                <w:sz w:val="18"/>
                <w:szCs w:val="18"/>
              </w:rPr>
              <w:t>Rezultat</w:t>
            </w:r>
          </w:p>
          <w:p w14:paraId="57D5D1E8" w14:textId="77777777" w:rsidR="00C232D7" w:rsidRPr="00C149AB" w:rsidRDefault="00C232D7" w:rsidP="00C232D7">
            <w:pPr>
              <w:spacing w:before="40" w:after="40" w:line="360" w:lineRule="auto"/>
              <w:rPr>
                <w:rFonts w:ascii="Arial" w:hAnsi="Arial" w:cs="Arial"/>
                <w:b/>
                <w:bCs/>
                <w:sz w:val="18"/>
                <w:szCs w:val="18"/>
              </w:rPr>
            </w:pPr>
          </w:p>
        </w:tc>
        <w:tc>
          <w:tcPr>
            <w:tcW w:w="1694" w:type="pct"/>
            <w:shd w:val="clear" w:color="auto" w:fill="F2F2F2" w:themeFill="background1" w:themeFillShade="F2"/>
          </w:tcPr>
          <w:p w14:paraId="40E2A891" w14:textId="5E7AC765" w:rsidR="00C232D7" w:rsidRPr="00C149AB" w:rsidRDefault="00C232D7" w:rsidP="00C232D7">
            <w:pPr>
              <w:spacing w:before="40" w:after="40" w:line="360" w:lineRule="auto"/>
              <w:rPr>
                <w:rFonts w:ascii="Arial" w:hAnsi="Arial" w:cs="Arial"/>
                <w:b/>
                <w:bCs/>
                <w:sz w:val="18"/>
                <w:szCs w:val="18"/>
              </w:rPr>
            </w:pPr>
            <w:r w:rsidRPr="00C149AB">
              <w:rPr>
                <w:rFonts w:ascii="Arial" w:hAnsi="Arial" w:cs="Arial"/>
                <w:b/>
                <w:bCs/>
                <w:sz w:val="18"/>
                <w:szCs w:val="18"/>
              </w:rPr>
              <w:t>Razlog</w:t>
            </w:r>
          </w:p>
        </w:tc>
      </w:tr>
      <w:tr w:rsidR="00C232D7" w:rsidRPr="002A6F4E" w14:paraId="24589D1D" w14:textId="77777777" w:rsidTr="005954F6">
        <w:trPr>
          <w:jc w:val="center"/>
        </w:trPr>
        <w:tc>
          <w:tcPr>
            <w:tcW w:w="551" w:type="pct"/>
            <w:vAlign w:val="center"/>
          </w:tcPr>
          <w:p w14:paraId="39A33A3F"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1 &amp;2</w:t>
            </w:r>
          </w:p>
        </w:tc>
        <w:tc>
          <w:tcPr>
            <w:tcW w:w="738" w:type="pct"/>
            <w:vAlign w:val="center"/>
          </w:tcPr>
          <w:p w14:paraId="45FE4AE5" w14:textId="77777777" w:rsidR="00C232D7" w:rsidRPr="00C149AB" w:rsidRDefault="00C232D7" w:rsidP="00C232D7">
            <w:pPr>
              <w:spacing w:before="40" w:after="40" w:line="360" w:lineRule="auto"/>
              <w:ind w:left="-14"/>
              <w:rPr>
                <w:rFonts w:ascii="Arial" w:hAnsi="Arial" w:cs="Arial"/>
                <w:sz w:val="18"/>
                <w:szCs w:val="18"/>
              </w:rPr>
            </w:pPr>
            <w:r w:rsidRPr="00C149AB">
              <w:rPr>
                <w:rFonts w:ascii="Arial" w:hAnsi="Arial" w:cs="Arial"/>
                <w:color w:val="000000"/>
                <w:sz w:val="18"/>
                <w:szCs w:val="18"/>
              </w:rPr>
              <w:t>Cetinje</w:t>
            </w:r>
          </w:p>
        </w:tc>
        <w:tc>
          <w:tcPr>
            <w:tcW w:w="1112" w:type="pct"/>
            <w:vAlign w:val="center"/>
          </w:tcPr>
          <w:p w14:paraId="478BFC06"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Direktan transport do Podgorice</w:t>
            </w:r>
          </w:p>
          <w:p w14:paraId="60503AEF"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naspram</w:t>
            </w:r>
          </w:p>
          <w:p w14:paraId="00F1CAFB" w14:textId="77777777"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Transport preko TS</w:t>
            </w:r>
          </w:p>
        </w:tc>
        <w:tc>
          <w:tcPr>
            <w:tcW w:w="905" w:type="pct"/>
            <w:shd w:val="clear" w:color="auto" w:fill="auto"/>
          </w:tcPr>
          <w:p w14:paraId="57049EBA" w14:textId="04486D64"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Direktan transport do</w:t>
            </w:r>
            <w:r w:rsidR="00F90A92" w:rsidRPr="00C149AB">
              <w:rPr>
                <w:rFonts w:ascii="Arial" w:hAnsi="Arial" w:cs="Arial"/>
                <w:sz w:val="18"/>
                <w:szCs w:val="18"/>
              </w:rPr>
              <w:t xml:space="preserve">/od </w:t>
            </w:r>
            <w:r w:rsidRPr="00C149AB">
              <w:rPr>
                <w:rFonts w:ascii="Arial" w:hAnsi="Arial" w:cs="Arial"/>
                <w:sz w:val="18"/>
                <w:szCs w:val="18"/>
              </w:rPr>
              <w:t xml:space="preserve"> Podgorice</w:t>
            </w:r>
          </w:p>
        </w:tc>
        <w:tc>
          <w:tcPr>
            <w:tcW w:w="1694" w:type="pct"/>
            <w:vAlign w:val="center"/>
          </w:tcPr>
          <w:p w14:paraId="674A3177" w14:textId="05D158FF" w:rsidR="00C232D7" w:rsidRPr="00C149AB" w:rsidRDefault="00C232D7" w:rsidP="00C232D7">
            <w:pPr>
              <w:spacing w:before="40" w:after="40" w:line="360" w:lineRule="auto"/>
              <w:rPr>
                <w:rFonts w:ascii="Arial" w:hAnsi="Arial" w:cs="Arial"/>
                <w:sz w:val="18"/>
                <w:szCs w:val="18"/>
                <w:highlight w:val="cyan"/>
              </w:rPr>
            </w:pPr>
            <w:r w:rsidRPr="00C149AB">
              <w:rPr>
                <w:rFonts w:ascii="Arial" w:hAnsi="Arial" w:cs="Arial"/>
                <w:sz w:val="18"/>
                <w:szCs w:val="18"/>
              </w:rPr>
              <w:t>Prag rentabilnosti (102 km)&gt; udaljenost do krajnjeg primaoca (85 km)</w:t>
            </w:r>
          </w:p>
        </w:tc>
      </w:tr>
      <w:tr w:rsidR="00C232D7" w:rsidRPr="002A6F4E" w14:paraId="5214BE9F" w14:textId="77777777" w:rsidTr="005954F6">
        <w:trPr>
          <w:jc w:val="center"/>
        </w:trPr>
        <w:tc>
          <w:tcPr>
            <w:tcW w:w="551" w:type="pct"/>
            <w:vAlign w:val="center"/>
          </w:tcPr>
          <w:p w14:paraId="7690372D"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1 &amp;2</w:t>
            </w:r>
          </w:p>
        </w:tc>
        <w:tc>
          <w:tcPr>
            <w:tcW w:w="738" w:type="pct"/>
            <w:vAlign w:val="center"/>
          </w:tcPr>
          <w:p w14:paraId="15A1AACB" w14:textId="77777777" w:rsidR="00C232D7" w:rsidRPr="00C149AB" w:rsidRDefault="00C232D7" w:rsidP="00C232D7">
            <w:pPr>
              <w:spacing w:before="40" w:after="40" w:line="360" w:lineRule="auto"/>
              <w:ind w:left="-14"/>
              <w:rPr>
                <w:rFonts w:ascii="Arial" w:hAnsi="Arial" w:cs="Arial"/>
                <w:sz w:val="18"/>
                <w:szCs w:val="18"/>
              </w:rPr>
            </w:pPr>
            <w:r w:rsidRPr="00C149AB">
              <w:rPr>
                <w:rFonts w:ascii="Arial" w:hAnsi="Arial" w:cs="Arial"/>
                <w:color w:val="000000"/>
                <w:sz w:val="18"/>
                <w:szCs w:val="18"/>
              </w:rPr>
              <w:t>Danilovgrad</w:t>
            </w:r>
          </w:p>
        </w:tc>
        <w:tc>
          <w:tcPr>
            <w:tcW w:w="1112" w:type="pct"/>
            <w:vAlign w:val="center"/>
          </w:tcPr>
          <w:p w14:paraId="7621E185"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Direktan transport do Podgorice</w:t>
            </w:r>
          </w:p>
          <w:p w14:paraId="0CD598DD"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naspram</w:t>
            </w:r>
          </w:p>
          <w:p w14:paraId="79561F56" w14:textId="77777777"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Transport preko TS</w:t>
            </w:r>
          </w:p>
        </w:tc>
        <w:tc>
          <w:tcPr>
            <w:tcW w:w="905" w:type="pct"/>
            <w:shd w:val="clear" w:color="auto" w:fill="auto"/>
          </w:tcPr>
          <w:p w14:paraId="77FD2A43" w14:textId="6861C849"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 xml:space="preserve">Direktan transport </w:t>
            </w:r>
            <w:r w:rsidR="00F90A92" w:rsidRPr="00C149AB">
              <w:rPr>
                <w:rFonts w:ascii="Arial" w:hAnsi="Arial" w:cs="Arial"/>
                <w:sz w:val="18"/>
                <w:szCs w:val="18"/>
              </w:rPr>
              <w:t xml:space="preserve">do/od  </w:t>
            </w:r>
            <w:r w:rsidRPr="00C149AB">
              <w:rPr>
                <w:rFonts w:ascii="Arial" w:hAnsi="Arial" w:cs="Arial"/>
                <w:sz w:val="18"/>
                <w:szCs w:val="18"/>
              </w:rPr>
              <w:t>Podgorice</w:t>
            </w:r>
          </w:p>
        </w:tc>
        <w:tc>
          <w:tcPr>
            <w:tcW w:w="1694" w:type="pct"/>
            <w:vAlign w:val="center"/>
          </w:tcPr>
          <w:p w14:paraId="464B4EA4" w14:textId="4B4FE675" w:rsidR="00C232D7" w:rsidRPr="00C149AB" w:rsidRDefault="00C232D7" w:rsidP="00C232D7">
            <w:pPr>
              <w:spacing w:before="40" w:after="40" w:line="360" w:lineRule="auto"/>
              <w:rPr>
                <w:rFonts w:ascii="Arial" w:hAnsi="Arial" w:cs="Arial"/>
                <w:sz w:val="18"/>
                <w:szCs w:val="18"/>
                <w:highlight w:val="cyan"/>
              </w:rPr>
            </w:pPr>
            <w:r w:rsidRPr="00C149AB">
              <w:rPr>
                <w:rFonts w:ascii="Arial" w:hAnsi="Arial" w:cs="Arial"/>
                <w:sz w:val="18"/>
                <w:szCs w:val="18"/>
              </w:rPr>
              <w:t>Prag rentabilnosti (110 km)&gt; udaljenost do krajnjeg primaoca (50 km)</w:t>
            </w:r>
          </w:p>
        </w:tc>
      </w:tr>
      <w:tr w:rsidR="00C232D7" w:rsidRPr="002A6F4E" w14:paraId="61BE0AC4" w14:textId="77777777" w:rsidTr="005954F6">
        <w:trPr>
          <w:jc w:val="center"/>
        </w:trPr>
        <w:tc>
          <w:tcPr>
            <w:tcW w:w="551" w:type="pct"/>
            <w:vAlign w:val="center"/>
          </w:tcPr>
          <w:p w14:paraId="00E1B9D3" w14:textId="77777777" w:rsidR="00C232D7" w:rsidRPr="00C149AB" w:rsidRDefault="00C232D7" w:rsidP="00C232D7">
            <w:pPr>
              <w:spacing w:before="40" w:after="40" w:line="360" w:lineRule="auto"/>
              <w:ind w:left="-14"/>
              <w:rPr>
                <w:rFonts w:ascii="Arial" w:hAnsi="Arial" w:cs="Arial"/>
                <w:sz w:val="18"/>
                <w:szCs w:val="18"/>
              </w:rPr>
            </w:pPr>
            <w:r w:rsidRPr="00C149AB">
              <w:rPr>
                <w:rFonts w:ascii="Arial" w:hAnsi="Arial" w:cs="Arial"/>
                <w:color w:val="000000"/>
                <w:sz w:val="18"/>
                <w:szCs w:val="18"/>
              </w:rPr>
              <w:t>1 &amp;2</w:t>
            </w:r>
          </w:p>
        </w:tc>
        <w:tc>
          <w:tcPr>
            <w:tcW w:w="738" w:type="pct"/>
            <w:vAlign w:val="center"/>
          </w:tcPr>
          <w:p w14:paraId="6EA281E1"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sz w:val="18"/>
                <w:szCs w:val="18"/>
              </w:rPr>
              <w:t>Nikšić</w:t>
            </w:r>
          </w:p>
        </w:tc>
        <w:tc>
          <w:tcPr>
            <w:tcW w:w="1112" w:type="pct"/>
            <w:vAlign w:val="center"/>
          </w:tcPr>
          <w:p w14:paraId="6B5D97B6"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Direktan transport do Podgorice</w:t>
            </w:r>
          </w:p>
          <w:p w14:paraId="009219FB"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naspram</w:t>
            </w:r>
          </w:p>
          <w:p w14:paraId="7FFB6535" w14:textId="77777777"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Transport preko TS</w:t>
            </w:r>
          </w:p>
        </w:tc>
        <w:tc>
          <w:tcPr>
            <w:tcW w:w="905" w:type="pct"/>
            <w:shd w:val="clear" w:color="auto" w:fill="auto"/>
          </w:tcPr>
          <w:p w14:paraId="6A6696D7" w14:textId="5B9E5D43" w:rsidR="00C232D7" w:rsidRPr="00C149AB" w:rsidRDefault="00C232D7" w:rsidP="00C232D7">
            <w:pPr>
              <w:spacing w:before="40" w:after="40" w:line="360" w:lineRule="auto"/>
              <w:rPr>
                <w:rFonts w:ascii="Arial" w:hAnsi="Arial" w:cs="Arial"/>
                <w:color w:val="000000"/>
                <w:sz w:val="18"/>
                <w:szCs w:val="18"/>
              </w:rPr>
            </w:pPr>
            <w:r w:rsidRPr="00C149AB">
              <w:rPr>
                <w:rFonts w:ascii="Arial" w:hAnsi="Arial" w:cs="Arial"/>
                <w:sz w:val="18"/>
                <w:szCs w:val="18"/>
              </w:rPr>
              <w:t xml:space="preserve">Transport preko TS </w:t>
            </w:r>
            <w:r w:rsidR="00F90A92" w:rsidRPr="00C149AB">
              <w:rPr>
                <w:rFonts w:ascii="Arial" w:hAnsi="Arial" w:cs="Arial"/>
                <w:sz w:val="18"/>
                <w:szCs w:val="18"/>
              </w:rPr>
              <w:t xml:space="preserve">do/od  </w:t>
            </w:r>
            <w:r w:rsidRPr="00C149AB">
              <w:rPr>
                <w:rFonts w:ascii="Arial" w:hAnsi="Arial" w:cs="Arial"/>
                <w:sz w:val="18"/>
                <w:szCs w:val="18"/>
              </w:rPr>
              <w:t>Podgorice</w:t>
            </w:r>
          </w:p>
        </w:tc>
        <w:tc>
          <w:tcPr>
            <w:tcW w:w="1694" w:type="pct"/>
            <w:vAlign w:val="center"/>
          </w:tcPr>
          <w:p w14:paraId="7CB5B3C2" w14:textId="5348FCB5" w:rsidR="00C232D7" w:rsidRPr="00C149AB" w:rsidRDefault="00C232D7" w:rsidP="00C232D7">
            <w:pPr>
              <w:spacing w:line="360" w:lineRule="auto"/>
              <w:rPr>
                <w:rFonts w:ascii="Arial" w:hAnsi="Arial" w:cs="Arial"/>
                <w:color w:val="000000"/>
                <w:sz w:val="18"/>
                <w:szCs w:val="18"/>
                <w:highlight w:val="cyan"/>
              </w:rPr>
            </w:pPr>
            <w:r w:rsidRPr="00C149AB">
              <w:rPr>
                <w:rFonts w:ascii="Arial" w:hAnsi="Arial" w:cs="Arial"/>
                <w:sz w:val="18"/>
                <w:szCs w:val="18"/>
              </w:rPr>
              <w:t>Prag rentabilnosti (54 km)&gt; udaljenost do krajnjeg primaoca (120 km)</w:t>
            </w:r>
          </w:p>
        </w:tc>
      </w:tr>
      <w:tr w:rsidR="00C232D7" w:rsidRPr="002A6F4E" w14:paraId="5B8B1929" w14:textId="77777777" w:rsidTr="005954F6">
        <w:trPr>
          <w:jc w:val="center"/>
        </w:trPr>
        <w:tc>
          <w:tcPr>
            <w:tcW w:w="551" w:type="pct"/>
            <w:vAlign w:val="center"/>
          </w:tcPr>
          <w:p w14:paraId="52AFF39E"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1 &amp;2</w:t>
            </w:r>
          </w:p>
        </w:tc>
        <w:tc>
          <w:tcPr>
            <w:tcW w:w="738" w:type="pct"/>
            <w:vAlign w:val="center"/>
          </w:tcPr>
          <w:p w14:paraId="4321DC40"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Plužine</w:t>
            </w:r>
          </w:p>
        </w:tc>
        <w:tc>
          <w:tcPr>
            <w:tcW w:w="1112" w:type="pct"/>
            <w:vAlign w:val="center"/>
          </w:tcPr>
          <w:p w14:paraId="050B53A7"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Direktan transport do Podgorice</w:t>
            </w:r>
          </w:p>
          <w:p w14:paraId="1E94DD53"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naspram</w:t>
            </w:r>
          </w:p>
          <w:p w14:paraId="4FFB80B5" w14:textId="77777777"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Transport preko TS</w:t>
            </w:r>
          </w:p>
        </w:tc>
        <w:tc>
          <w:tcPr>
            <w:tcW w:w="905" w:type="pct"/>
            <w:shd w:val="clear" w:color="auto" w:fill="auto"/>
            <w:vAlign w:val="center"/>
          </w:tcPr>
          <w:p w14:paraId="7E858B7F" w14:textId="77777777" w:rsidR="00C232D7" w:rsidRPr="00C149AB" w:rsidRDefault="00C232D7" w:rsidP="00C232D7">
            <w:pPr>
              <w:spacing w:before="40" w:after="40" w:line="360" w:lineRule="auto"/>
              <w:rPr>
                <w:rFonts w:ascii="Arial" w:hAnsi="Arial" w:cs="Arial"/>
                <w:color w:val="000000"/>
                <w:sz w:val="18"/>
                <w:szCs w:val="18"/>
                <w:lang w:val="de-DE"/>
              </w:rPr>
            </w:pPr>
            <w:r w:rsidRPr="00C149AB">
              <w:rPr>
                <w:rFonts w:ascii="Arial" w:hAnsi="Arial" w:cs="Arial"/>
                <w:sz w:val="18"/>
                <w:szCs w:val="18"/>
                <w:lang w:val="de-DE"/>
              </w:rPr>
              <w:t>Transport preko TS u Nikšiću</w:t>
            </w:r>
          </w:p>
        </w:tc>
        <w:tc>
          <w:tcPr>
            <w:tcW w:w="1694" w:type="pct"/>
            <w:vAlign w:val="center"/>
          </w:tcPr>
          <w:p w14:paraId="64458EFB" w14:textId="32137C4E"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Prag rentabilnosti (246 km)&gt; udaljenost do krajnjeg primaoca (232 km)</w:t>
            </w:r>
          </w:p>
        </w:tc>
      </w:tr>
      <w:tr w:rsidR="00C232D7" w:rsidRPr="002A6F4E" w14:paraId="78E06DF7" w14:textId="77777777" w:rsidTr="005954F6">
        <w:trPr>
          <w:jc w:val="center"/>
        </w:trPr>
        <w:tc>
          <w:tcPr>
            <w:tcW w:w="551" w:type="pct"/>
            <w:vAlign w:val="center"/>
          </w:tcPr>
          <w:p w14:paraId="02511BE8"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1 &amp;2</w:t>
            </w:r>
          </w:p>
        </w:tc>
        <w:tc>
          <w:tcPr>
            <w:tcW w:w="738" w:type="pct"/>
            <w:vAlign w:val="center"/>
          </w:tcPr>
          <w:p w14:paraId="7CA836DE"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Podgorica</w:t>
            </w:r>
          </w:p>
        </w:tc>
        <w:tc>
          <w:tcPr>
            <w:tcW w:w="1112" w:type="pct"/>
            <w:vAlign w:val="center"/>
          </w:tcPr>
          <w:p w14:paraId="5C4DED91"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Direktan transport do Podgorice</w:t>
            </w:r>
          </w:p>
          <w:p w14:paraId="349FBB74"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naspram</w:t>
            </w:r>
          </w:p>
          <w:p w14:paraId="6EE71A91" w14:textId="77777777"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Transport preko TS</w:t>
            </w:r>
          </w:p>
        </w:tc>
        <w:tc>
          <w:tcPr>
            <w:tcW w:w="905" w:type="pct"/>
            <w:shd w:val="clear" w:color="auto" w:fill="auto"/>
          </w:tcPr>
          <w:p w14:paraId="32F32D2E" w14:textId="14ACD5DA" w:rsidR="00C232D7" w:rsidRPr="00C149AB" w:rsidRDefault="00C232D7" w:rsidP="00C232D7">
            <w:pPr>
              <w:spacing w:before="40" w:after="40" w:line="360" w:lineRule="auto"/>
              <w:rPr>
                <w:rFonts w:ascii="Arial" w:hAnsi="Arial" w:cs="Arial"/>
                <w:color w:val="000000"/>
                <w:sz w:val="18"/>
                <w:szCs w:val="18"/>
              </w:rPr>
            </w:pPr>
            <w:r w:rsidRPr="00C149AB">
              <w:rPr>
                <w:rFonts w:ascii="Arial" w:hAnsi="Arial" w:cs="Arial"/>
                <w:sz w:val="18"/>
                <w:szCs w:val="18"/>
              </w:rPr>
              <w:t xml:space="preserve">Direktan transport </w:t>
            </w:r>
            <w:r w:rsidR="00F90A92" w:rsidRPr="00C149AB">
              <w:rPr>
                <w:rFonts w:ascii="Arial" w:hAnsi="Arial" w:cs="Arial"/>
                <w:sz w:val="18"/>
                <w:szCs w:val="18"/>
              </w:rPr>
              <w:t xml:space="preserve">do/od  </w:t>
            </w:r>
            <w:r w:rsidRPr="00C149AB">
              <w:rPr>
                <w:rFonts w:ascii="Arial" w:hAnsi="Arial" w:cs="Arial"/>
                <w:sz w:val="18"/>
                <w:szCs w:val="18"/>
              </w:rPr>
              <w:t>Podgorice</w:t>
            </w:r>
          </w:p>
        </w:tc>
        <w:tc>
          <w:tcPr>
            <w:tcW w:w="1694" w:type="pct"/>
            <w:vAlign w:val="center"/>
          </w:tcPr>
          <w:p w14:paraId="361904F8" w14:textId="309479EE"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Prag rentabilnosti (86 km)&gt; udaljenost do krajnjeg primaoca (16 km)</w:t>
            </w:r>
          </w:p>
        </w:tc>
      </w:tr>
      <w:tr w:rsidR="00C232D7" w:rsidRPr="002A6F4E" w14:paraId="2ADD0A8F" w14:textId="77777777" w:rsidTr="005954F6">
        <w:trPr>
          <w:jc w:val="center"/>
        </w:trPr>
        <w:tc>
          <w:tcPr>
            <w:tcW w:w="551" w:type="pct"/>
            <w:vAlign w:val="center"/>
          </w:tcPr>
          <w:p w14:paraId="54E78EB2"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1 &amp;2</w:t>
            </w:r>
          </w:p>
        </w:tc>
        <w:tc>
          <w:tcPr>
            <w:tcW w:w="738" w:type="pct"/>
            <w:vAlign w:val="center"/>
          </w:tcPr>
          <w:p w14:paraId="525A2724"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Tuzi</w:t>
            </w:r>
          </w:p>
        </w:tc>
        <w:tc>
          <w:tcPr>
            <w:tcW w:w="1112" w:type="pct"/>
            <w:vAlign w:val="center"/>
          </w:tcPr>
          <w:p w14:paraId="679C802B"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Direktan transport do Podgorice</w:t>
            </w:r>
          </w:p>
          <w:p w14:paraId="79EDE7A1"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naspram</w:t>
            </w:r>
          </w:p>
          <w:p w14:paraId="36DC0EEA" w14:textId="77777777"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Transport preko TS</w:t>
            </w:r>
          </w:p>
        </w:tc>
        <w:tc>
          <w:tcPr>
            <w:tcW w:w="905" w:type="pct"/>
            <w:shd w:val="clear" w:color="auto" w:fill="auto"/>
          </w:tcPr>
          <w:p w14:paraId="3334F190" w14:textId="789AE35B" w:rsidR="00C232D7" w:rsidRPr="00C149AB" w:rsidRDefault="00C232D7" w:rsidP="00C232D7">
            <w:pPr>
              <w:spacing w:before="40" w:after="40" w:line="360" w:lineRule="auto"/>
              <w:rPr>
                <w:rFonts w:ascii="Arial" w:hAnsi="Arial" w:cs="Arial"/>
                <w:color w:val="000000"/>
                <w:sz w:val="18"/>
                <w:szCs w:val="18"/>
              </w:rPr>
            </w:pPr>
            <w:r w:rsidRPr="00C149AB">
              <w:rPr>
                <w:rFonts w:ascii="Arial" w:hAnsi="Arial" w:cs="Arial"/>
                <w:sz w:val="18"/>
                <w:szCs w:val="18"/>
              </w:rPr>
              <w:t xml:space="preserve">Direktan transport </w:t>
            </w:r>
            <w:r w:rsidR="00F90A92" w:rsidRPr="00C149AB">
              <w:rPr>
                <w:rFonts w:ascii="Arial" w:hAnsi="Arial" w:cs="Arial"/>
                <w:sz w:val="18"/>
                <w:szCs w:val="18"/>
              </w:rPr>
              <w:t xml:space="preserve">do/od  </w:t>
            </w:r>
            <w:r w:rsidRPr="00C149AB">
              <w:rPr>
                <w:rFonts w:ascii="Arial" w:hAnsi="Arial" w:cs="Arial"/>
                <w:sz w:val="18"/>
                <w:szCs w:val="18"/>
              </w:rPr>
              <w:t>Podgorice</w:t>
            </w:r>
          </w:p>
        </w:tc>
        <w:tc>
          <w:tcPr>
            <w:tcW w:w="1694" w:type="pct"/>
            <w:vAlign w:val="center"/>
          </w:tcPr>
          <w:p w14:paraId="1123F0E4" w14:textId="4B165EC6"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Prag rentabilnosti (175 km)&gt; udaljenost do krajnjeg primaoca (16 km)</w:t>
            </w:r>
          </w:p>
        </w:tc>
      </w:tr>
      <w:tr w:rsidR="00C232D7" w:rsidRPr="002A6F4E" w14:paraId="5881F47E" w14:textId="77777777" w:rsidTr="005954F6">
        <w:trPr>
          <w:jc w:val="center"/>
        </w:trPr>
        <w:tc>
          <w:tcPr>
            <w:tcW w:w="551" w:type="pct"/>
            <w:vAlign w:val="center"/>
          </w:tcPr>
          <w:p w14:paraId="7CEADE78"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1 &amp;2</w:t>
            </w:r>
          </w:p>
        </w:tc>
        <w:tc>
          <w:tcPr>
            <w:tcW w:w="738" w:type="pct"/>
            <w:vAlign w:val="center"/>
          </w:tcPr>
          <w:p w14:paraId="5965AF95"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Zeta</w:t>
            </w:r>
          </w:p>
        </w:tc>
        <w:tc>
          <w:tcPr>
            <w:tcW w:w="1112" w:type="pct"/>
            <w:vAlign w:val="center"/>
          </w:tcPr>
          <w:p w14:paraId="2D0DC910"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Direktan transport do Podgorice</w:t>
            </w:r>
          </w:p>
          <w:p w14:paraId="04E72DCD"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naspram</w:t>
            </w:r>
          </w:p>
          <w:p w14:paraId="33D4D3C9" w14:textId="77777777"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lastRenderedPageBreak/>
              <w:t>Transport preko TS</w:t>
            </w:r>
          </w:p>
        </w:tc>
        <w:tc>
          <w:tcPr>
            <w:tcW w:w="905" w:type="pct"/>
            <w:shd w:val="clear" w:color="auto" w:fill="auto"/>
          </w:tcPr>
          <w:p w14:paraId="06CD9659" w14:textId="5170FF58" w:rsidR="00C232D7" w:rsidRPr="00C149AB" w:rsidRDefault="00C232D7" w:rsidP="00C232D7">
            <w:pPr>
              <w:spacing w:before="40" w:after="40" w:line="360" w:lineRule="auto"/>
              <w:rPr>
                <w:rFonts w:ascii="Arial" w:hAnsi="Arial" w:cs="Arial"/>
                <w:color w:val="000000"/>
                <w:sz w:val="18"/>
                <w:szCs w:val="18"/>
              </w:rPr>
            </w:pPr>
            <w:r w:rsidRPr="00C149AB">
              <w:rPr>
                <w:rFonts w:ascii="Arial" w:hAnsi="Arial" w:cs="Arial"/>
                <w:sz w:val="18"/>
                <w:szCs w:val="18"/>
              </w:rPr>
              <w:lastRenderedPageBreak/>
              <w:t xml:space="preserve">Direktan transport </w:t>
            </w:r>
            <w:r w:rsidR="00F90A92" w:rsidRPr="00C149AB">
              <w:rPr>
                <w:rFonts w:ascii="Arial" w:hAnsi="Arial" w:cs="Arial"/>
                <w:sz w:val="18"/>
                <w:szCs w:val="18"/>
              </w:rPr>
              <w:t xml:space="preserve">do/od  </w:t>
            </w:r>
            <w:r w:rsidRPr="00C149AB">
              <w:rPr>
                <w:rFonts w:ascii="Arial" w:hAnsi="Arial" w:cs="Arial"/>
                <w:sz w:val="18"/>
                <w:szCs w:val="18"/>
              </w:rPr>
              <w:t>Podgorice</w:t>
            </w:r>
          </w:p>
        </w:tc>
        <w:tc>
          <w:tcPr>
            <w:tcW w:w="1694" w:type="pct"/>
            <w:vAlign w:val="center"/>
          </w:tcPr>
          <w:p w14:paraId="180D7D05" w14:textId="77777777"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Prag rentabilnosti (120 km) &gt; udaljenost do krajnjeg primaoca (36 km)</w:t>
            </w:r>
          </w:p>
        </w:tc>
      </w:tr>
      <w:tr w:rsidR="00C232D7" w:rsidRPr="002A6F4E" w14:paraId="11DE884B" w14:textId="77777777" w:rsidTr="005954F6">
        <w:trPr>
          <w:jc w:val="center"/>
        </w:trPr>
        <w:tc>
          <w:tcPr>
            <w:tcW w:w="551" w:type="pct"/>
            <w:vAlign w:val="center"/>
          </w:tcPr>
          <w:p w14:paraId="0C8D7126" w14:textId="77777777" w:rsidR="00C232D7" w:rsidRPr="00C149AB" w:rsidRDefault="00C232D7" w:rsidP="00C232D7">
            <w:pPr>
              <w:spacing w:before="40" w:after="40" w:line="360" w:lineRule="auto"/>
              <w:ind w:left="-14"/>
              <w:rPr>
                <w:rFonts w:ascii="Arial" w:hAnsi="Arial" w:cs="Arial"/>
                <w:sz w:val="18"/>
                <w:szCs w:val="18"/>
              </w:rPr>
            </w:pPr>
            <w:r w:rsidRPr="00C149AB">
              <w:rPr>
                <w:rFonts w:ascii="Arial" w:hAnsi="Arial" w:cs="Arial"/>
                <w:color w:val="000000"/>
                <w:sz w:val="18"/>
                <w:szCs w:val="18"/>
              </w:rPr>
              <w:t xml:space="preserve">1 </w:t>
            </w:r>
          </w:p>
        </w:tc>
        <w:tc>
          <w:tcPr>
            <w:tcW w:w="738" w:type="pct"/>
            <w:vAlign w:val="center"/>
          </w:tcPr>
          <w:p w14:paraId="293A7D72"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sz w:val="18"/>
                <w:szCs w:val="18"/>
              </w:rPr>
              <w:t>Bar</w:t>
            </w:r>
          </w:p>
        </w:tc>
        <w:tc>
          <w:tcPr>
            <w:tcW w:w="1112" w:type="pct"/>
            <w:vAlign w:val="center"/>
          </w:tcPr>
          <w:p w14:paraId="43EB528F" w14:textId="77777777" w:rsidR="00C232D7" w:rsidRPr="00C149AB" w:rsidRDefault="00C232D7" w:rsidP="00C232D7">
            <w:pPr>
              <w:spacing w:line="360" w:lineRule="auto"/>
              <w:rPr>
                <w:rFonts w:ascii="Arial" w:hAnsi="Arial" w:cs="Arial"/>
                <w:sz w:val="18"/>
                <w:szCs w:val="18"/>
                <w:lang w:val="de-DE"/>
              </w:rPr>
            </w:pPr>
            <w:r w:rsidRPr="00C149AB">
              <w:rPr>
                <w:rFonts w:ascii="Arial" w:hAnsi="Arial" w:cs="Arial"/>
                <w:sz w:val="18"/>
                <w:szCs w:val="18"/>
                <w:lang w:val="de-DE"/>
              </w:rPr>
              <w:t xml:space="preserve">Direktan transport do Bara </w:t>
            </w:r>
          </w:p>
          <w:p w14:paraId="35CB111D" w14:textId="77777777" w:rsidR="00C232D7" w:rsidRPr="00C149AB" w:rsidRDefault="00C232D7" w:rsidP="00C232D7">
            <w:pPr>
              <w:spacing w:line="360" w:lineRule="auto"/>
              <w:rPr>
                <w:rFonts w:ascii="Arial" w:hAnsi="Arial" w:cs="Arial"/>
                <w:sz w:val="18"/>
                <w:szCs w:val="18"/>
                <w:lang w:val="de-DE"/>
              </w:rPr>
            </w:pPr>
            <w:r w:rsidRPr="00C149AB">
              <w:rPr>
                <w:rFonts w:ascii="Arial" w:hAnsi="Arial" w:cs="Arial"/>
                <w:sz w:val="18"/>
                <w:szCs w:val="18"/>
                <w:lang w:val="de-DE"/>
              </w:rPr>
              <w:t>naspram</w:t>
            </w:r>
          </w:p>
          <w:p w14:paraId="4A5C6538" w14:textId="77777777" w:rsidR="00C232D7" w:rsidRPr="00C149AB" w:rsidRDefault="00C232D7" w:rsidP="00C232D7">
            <w:pPr>
              <w:spacing w:before="40" w:after="40" w:line="360" w:lineRule="auto"/>
              <w:rPr>
                <w:rFonts w:ascii="Arial" w:hAnsi="Arial" w:cs="Arial"/>
                <w:color w:val="000000"/>
                <w:sz w:val="18"/>
                <w:szCs w:val="18"/>
                <w:highlight w:val="cyan"/>
                <w:lang w:val="de-DE"/>
              </w:rPr>
            </w:pPr>
            <w:r w:rsidRPr="00C149AB">
              <w:rPr>
                <w:rFonts w:ascii="Arial" w:hAnsi="Arial" w:cs="Arial"/>
                <w:sz w:val="18"/>
                <w:szCs w:val="18"/>
                <w:lang w:val="de-DE"/>
              </w:rPr>
              <w:t>Transport preko TS</w:t>
            </w:r>
          </w:p>
        </w:tc>
        <w:tc>
          <w:tcPr>
            <w:tcW w:w="905" w:type="pct"/>
            <w:shd w:val="clear" w:color="auto" w:fill="auto"/>
            <w:vAlign w:val="center"/>
          </w:tcPr>
          <w:p w14:paraId="55A3ED75" w14:textId="6F8237EA" w:rsidR="00C232D7" w:rsidRPr="00C149AB" w:rsidRDefault="00C232D7" w:rsidP="00C232D7">
            <w:pPr>
              <w:spacing w:before="40" w:after="40" w:line="360" w:lineRule="auto"/>
              <w:rPr>
                <w:rFonts w:ascii="Arial" w:hAnsi="Arial" w:cs="Arial"/>
                <w:color w:val="000000"/>
                <w:sz w:val="18"/>
                <w:szCs w:val="18"/>
              </w:rPr>
            </w:pPr>
            <w:r w:rsidRPr="00C149AB">
              <w:rPr>
                <w:rFonts w:ascii="Arial" w:hAnsi="Arial" w:cs="Arial"/>
                <w:sz w:val="18"/>
                <w:szCs w:val="18"/>
              </w:rPr>
              <w:t xml:space="preserve">Direktan transport </w:t>
            </w:r>
            <w:r w:rsidR="00F90A92" w:rsidRPr="00C149AB">
              <w:rPr>
                <w:rFonts w:ascii="Arial" w:hAnsi="Arial" w:cs="Arial"/>
                <w:sz w:val="18"/>
                <w:szCs w:val="18"/>
              </w:rPr>
              <w:t xml:space="preserve">do/od  </w:t>
            </w:r>
            <w:r w:rsidRPr="00C149AB">
              <w:rPr>
                <w:rFonts w:ascii="Arial" w:hAnsi="Arial" w:cs="Arial"/>
                <w:sz w:val="18"/>
                <w:szCs w:val="18"/>
              </w:rPr>
              <w:t>Bara</w:t>
            </w:r>
          </w:p>
        </w:tc>
        <w:tc>
          <w:tcPr>
            <w:tcW w:w="1694" w:type="pct"/>
            <w:vAlign w:val="center"/>
          </w:tcPr>
          <w:p w14:paraId="0CD992B9" w14:textId="343EBE6D"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Prag rentabilnosti (68 km)&gt; udaljenost do krajnjeg primaoca (35 km)</w:t>
            </w:r>
          </w:p>
        </w:tc>
      </w:tr>
      <w:tr w:rsidR="00C232D7" w:rsidRPr="002A6F4E" w14:paraId="7CBFE3D8" w14:textId="77777777" w:rsidTr="005954F6">
        <w:trPr>
          <w:jc w:val="center"/>
        </w:trPr>
        <w:tc>
          <w:tcPr>
            <w:tcW w:w="551" w:type="pct"/>
            <w:vAlign w:val="center"/>
          </w:tcPr>
          <w:p w14:paraId="211F6ADB"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2</w:t>
            </w:r>
          </w:p>
        </w:tc>
        <w:tc>
          <w:tcPr>
            <w:tcW w:w="738" w:type="pct"/>
            <w:vAlign w:val="center"/>
          </w:tcPr>
          <w:p w14:paraId="4D532395" w14:textId="77777777" w:rsidR="00C232D7" w:rsidRPr="00C149AB" w:rsidRDefault="00C232D7" w:rsidP="00C232D7">
            <w:pPr>
              <w:spacing w:before="40" w:after="40" w:line="360" w:lineRule="auto"/>
              <w:ind w:left="-14"/>
              <w:rPr>
                <w:rFonts w:ascii="Arial" w:hAnsi="Arial" w:cs="Arial"/>
                <w:sz w:val="18"/>
                <w:szCs w:val="18"/>
              </w:rPr>
            </w:pPr>
            <w:r w:rsidRPr="00C149AB">
              <w:rPr>
                <w:rFonts w:ascii="Arial" w:hAnsi="Arial" w:cs="Arial"/>
                <w:sz w:val="18"/>
                <w:szCs w:val="18"/>
              </w:rPr>
              <w:t>Bar</w:t>
            </w:r>
          </w:p>
        </w:tc>
        <w:tc>
          <w:tcPr>
            <w:tcW w:w="1112" w:type="pct"/>
            <w:vAlign w:val="center"/>
          </w:tcPr>
          <w:p w14:paraId="0988E4AC"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Direktan transport do Podgorice</w:t>
            </w:r>
          </w:p>
          <w:p w14:paraId="63B95048"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naspram</w:t>
            </w:r>
          </w:p>
          <w:p w14:paraId="5749C407" w14:textId="77777777"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Transport preko TS</w:t>
            </w:r>
          </w:p>
        </w:tc>
        <w:tc>
          <w:tcPr>
            <w:tcW w:w="905" w:type="pct"/>
            <w:shd w:val="clear" w:color="auto" w:fill="auto"/>
            <w:vAlign w:val="center"/>
          </w:tcPr>
          <w:p w14:paraId="43F233A2" w14:textId="5231FBAE"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 xml:space="preserve">Transport preko TS </w:t>
            </w:r>
            <w:r w:rsidR="00F90A92" w:rsidRPr="00C149AB">
              <w:rPr>
                <w:rFonts w:ascii="Arial" w:hAnsi="Arial" w:cs="Arial"/>
                <w:sz w:val="18"/>
                <w:szCs w:val="18"/>
              </w:rPr>
              <w:t xml:space="preserve">do/od  </w:t>
            </w:r>
            <w:r w:rsidRPr="00C149AB">
              <w:rPr>
                <w:rFonts w:ascii="Arial" w:hAnsi="Arial" w:cs="Arial"/>
                <w:sz w:val="18"/>
                <w:szCs w:val="18"/>
              </w:rPr>
              <w:t>Podgorice</w:t>
            </w:r>
          </w:p>
          <w:p w14:paraId="3DB3A7B1" w14:textId="77777777" w:rsidR="00C232D7" w:rsidRPr="00C149AB" w:rsidRDefault="00C232D7" w:rsidP="00C232D7">
            <w:pPr>
              <w:spacing w:before="40" w:after="40" w:line="360" w:lineRule="auto"/>
              <w:rPr>
                <w:rFonts w:ascii="Arial" w:hAnsi="Arial" w:cs="Arial"/>
                <w:color w:val="000000"/>
                <w:sz w:val="18"/>
                <w:szCs w:val="18"/>
              </w:rPr>
            </w:pPr>
          </w:p>
        </w:tc>
        <w:tc>
          <w:tcPr>
            <w:tcW w:w="1694" w:type="pct"/>
            <w:vAlign w:val="center"/>
          </w:tcPr>
          <w:p w14:paraId="303502F9" w14:textId="661C3609"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Prag rentabilnosti (58 km)&gt; udaljenost do krajnjeg primaoca (117 km)</w:t>
            </w:r>
          </w:p>
        </w:tc>
      </w:tr>
      <w:tr w:rsidR="00C232D7" w:rsidRPr="002A6F4E" w14:paraId="4B98156F" w14:textId="77777777" w:rsidTr="005954F6">
        <w:trPr>
          <w:jc w:val="center"/>
        </w:trPr>
        <w:tc>
          <w:tcPr>
            <w:tcW w:w="551" w:type="pct"/>
            <w:vAlign w:val="center"/>
          </w:tcPr>
          <w:p w14:paraId="6894CA0E"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1</w:t>
            </w:r>
          </w:p>
        </w:tc>
        <w:tc>
          <w:tcPr>
            <w:tcW w:w="738" w:type="pct"/>
            <w:vAlign w:val="center"/>
          </w:tcPr>
          <w:p w14:paraId="2F186D34" w14:textId="77777777" w:rsidR="00C232D7" w:rsidRPr="00C149AB" w:rsidRDefault="00C232D7" w:rsidP="00C232D7">
            <w:pPr>
              <w:spacing w:before="40" w:after="40" w:line="360" w:lineRule="auto"/>
              <w:ind w:left="-14"/>
              <w:rPr>
                <w:rFonts w:ascii="Arial" w:hAnsi="Arial" w:cs="Arial"/>
                <w:sz w:val="18"/>
                <w:szCs w:val="18"/>
              </w:rPr>
            </w:pPr>
            <w:r w:rsidRPr="00C149AB">
              <w:rPr>
                <w:rFonts w:ascii="Arial" w:hAnsi="Arial" w:cs="Arial"/>
                <w:sz w:val="18"/>
                <w:szCs w:val="18"/>
              </w:rPr>
              <w:t>Budva</w:t>
            </w:r>
          </w:p>
        </w:tc>
        <w:tc>
          <w:tcPr>
            <w:tcW w:w="1112" w:type="pct"/>
            <w:vAlign w:val="center"/>
          </w:tcPr>
          <w:p w14:paraId="57222FDE" w14:textId="77777777" w:rsidR="00C232D7" w:rsidRPr="00C149AB" w:rsidRDefault="00C232D7" w:rsidP="00C232D7">
            <w:pPr>
              <w:spacing w:line="360" w:lineRule="auto"/>
              <w:rPr>
                <w:rFonts w:ascii="Arial" w:hAnsi="Arial" w:cs="Arial"/>
                <w:sz w:val="18"/>
                <w:szCs w:val="18"/>
                <w:lang w:val="de-DE"/>
              </w:rPr>
            </w:pPr>
            <w:r w:rsidRPr="00C149AB">
              <w:rPr>
                <w:rFonts w:ascii="Arial" w:hAnsi="Arial" w:cs="Arial"/>
                <w:sz w:val="18"/>
                <w:szCs w:val="18"/>
                <w:lang w:val="de-DE"/>
              </w:rPr>
              <w:t>Direktan transport do Bara</w:t>
            </w:r>
          </w:p>
          <w:p w14:paraId="55933888" w14:textId="77777777" w:rsidR="00C232D7" w:rsidRPr="00C149AB" w:rsidRDefault="00C232D7" w:rsidP="00C232D7">
            <w:pPr>
              <w:spacing w:line="360" w:lineRule="auto"/>
              <w:rPr>
                <w:rFonts w:ascii="Arial" w:hAnsi="Arial" w:cs="Arial"/>
                <w:sz w:val="18"/>
                <w:szCs w:val="18"/>
                <w:lang w:val="de-DE"/>
              </w:rPr>
            </w:pPr>
            <w:r w:rsidRPr="00C149AB">
              <w:rPr>
                <w:rFonts w:ascii="Arial" w:hAnsi="Arial" w:cs="Arial"/>
                <w:sz w:val="18"/>
                <w:szCs w:val="18"/>
                <w:lang w:val="de-DE"/>
              </w:rPr>
              <w:t>naspram</w:t>
            </w:r>
          </w:p>
          <w:p w14:paraId="0BEC8DEE" w14:textId="77777777" w:rsidR="00C232D7" w:rsidRPr="00C149AB" w:rsidRDefault="00C232D7" w:rsidP="00C232D7">
            <w:pPr>
              <w:spacing w:before="40" w:after="40" w:line="360" w:lineRule="auto"/>
              <w:rPr>
                <w:rFonts w:ascii="Arial" w:hAnsi="Arial" w:cs="Arial"/>
                <w:color w:val="000000"/>
                <w:sz w:val="18"/>
                <w:szCs w:val="18"/>
                <w:highlight w:val="cyan"/>
                <w:lang w:val="de-DE"/>
              </w:rPr>
            </w:pPr>
            <w:r w:rsidRPr="00C149AB">
              <w:rPr>
                <w:rFonts w:ascii="Arial" w:hAnsi="Arial" w:cs="Arial"/>
                <w:sz w:val="18"/>
                <w:szCs w:val="18"/>
                <w:lang w:val="de-DE"/>
              </w:rPr>
              <w:t>Transport preko TS</w:t>
            </w:r>
          </w:p>
        </w:tc>
        <w:tc>
          <w:tcPr>
            <w:tcW w:w="905" w:type="pct"/>
            <w:shd w:val="clear" w:color="auto" w:fill="auto"/>
            <w:vAlign w:val="center"/>
          </w:tcPr>
          <w:p w14:paraId="0D0D92BE" w14:textId="75975D40" w:rsidR="00C232D7" w:rsidRPr="00C149AB" w:rsidRDefault="00C232D7" w:rsidP="00C232D7">
            <w:pPr>
              <w:spacing w:line="360" w:lineRule="auto"/>
              <w:rPr>
                <w:rFonts w:ascii="Arial" w:hAnsi="Arial" w:cs="Arial"/>
                <w:color w:val="000000"/>
                <w:sz w:val="18"/>
                <w:szCs w:val="18"/>
                <w:highlight w:val="cyan"/>
              </w:rPr>
            </w:pPr>
            <w:r w:rsidRPr="00C149AB">
              <w:rPr>
                <w:rFonts w:ascii="Arial" w:hAnsi="Arial" w:cs="Arial"/>
                <w:sz w:val="18"/>
                <w:szCs w:val="18"/>
              </w:rPr>
              <w:t xml:space="preserve">Transport preko TS </w:t>
            </w:r>
            <w:r w:rsidR="00F90A92" w:rsidRPr="00C149AB">
              <w:rPr>
                <w:rFonts w:ascii="Arial" w:hAnsi="Arial" w:cs="Arial"/>
                <w:sz w:val="18"/>
                <w:szCs w:val="18"/>
              </w:rPr>
              <w:t xml:space="preserve">do/od  </w:t>
            </w:r>
            <w:r w:rsidRPr="00C149AB">
              <w:rPr>
                <w:rFonts w:ascii="Arial" w:hAnsi="Arial" w:cs="Arial"/>
                <w:sz w:val="18"/>
                <w:szCs w:val="18"/>
              </w:rPr>
              <w:t xml:space="preserve">Bara </w:t>
            </w:r>
          </w:p>
        </w:tc>
        <w:tc>
          <w:tcPr>
            <w:tcW w:w="1694" w:type="pct"/>
            <w:vAlign w:val="center"/>
          </w:tcPr>
          <w:p w14:paraId="5CC34E1A" w14:textId="6351DA53"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Prag rentabilnosti (60 km)&gt; udaljenost do krajnjeg primaoca (108 km)</w:t>
            </w:r>
          </w:p>
        </w:tc>
      </w:tr>
      <w:tr w:rsidR="00C232D7" w:rsidRPr="002A6F4E" w14:paraId="4D9EAA45" w14:textId="77777777" w:rsidTr="005954F6">
        <w:trPr>
          <w:jc w:val="center"/>
        </w:trPr>
        <w:tc>
          <w:tcPr>
            <w:tcW w:w="551" w:type="pct"/>
            <w:vAlign w:val="center"/>
          </w:tcPr>
          <w:p w14:paraId="247B22EF"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2</w:t>
            </w:r>
          </w:p>
        </w:tc>
        <w:tc>
          <w:tcPr>
            <w:tcW w:w="738" w:type="pct"/>
            <w:vAlign w:val="center"/>
          </w:tcPr>
          <w:p w14:paraId="22F7FBF9" w14:textId="77777777" w:rsidR="00C232D7" w:rsidRPr="00C149AB" w:rsidRDefault="00C232D7" w:rsidP="00C232D7">
            <w:pPr>
              <w:spacing w:before="40" w:after="40" w:line="360" w:lineRule="auto"/>
              <w:ind w:left="-14"/>
              <w:rPr>
                <w:rFonts w:ascii="Arial" w:hAnsi="Arial" w:cs="Arial"/>
                <w:sz w:val="18"/>
                <w:szCs w:val="18"/>
              </w:rPr>
            </w:pPr>
            <w:r w:rsidRPr="00C149AB">
              <w:rPr>
                <w:rFonts w:ascii="Arial" w:hAnsi="Arial" w:cs="Arial"/>
                <w:sz w:val="18"/>
                <w:szCs w:val="18"/>
              </w:rPr>
              <w:t>Budva</w:t>
            </w:r>
          </w:p>
        </w:tc>
        <w:tc>
          <w:tcPr>
            <w:tcW w:w="1112" w:type="pct"/>
            <w:vAlign w:val="center"/>
          </w:tcPr>
          <w:p w14:paraId="1E8A4E6F"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Direktan transport do Podgorice</w:t>
            </w:r>
          </w:p>
          <w:p w14:paraId="3AEFBD09"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naspram</w:t>
            </w:r>
          </w:p>
          <w:p w14:paraId="1A33CB67" w14:textId="77777777"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Transport preko TS</w:t>
            </w:r>
          </w:p>
        </w:tc>
        <w:tc>
          <w:tcPr>
            <w:tcW w:w="905" w:type="pct"/>
            <w:shd w:val="clear" w:color="auto" w:fill="auto"/>
            <w:vAlign w:val="center"/>
          </w:tcPr>
          <w:p w14:paraId="500EECAF" w14:textId="43C24DF0"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 xml:space="preserve">Transport preko TS </w:t>
            </w:r>
            <w:r w:rsidR="00F90A92" w:rsidRPr="00C149AB">
              <w:rPr>
                <w:rFonts w:ascii="Arial" w:hAnsi="Arial" w:cs="Arial"/>
                <w:sz w:val="18"/>
                <w:szCs w:val="18"/>
              </w:rPr>
              <w:t xml:space="preserve">do/od  </w:t>
            </w:r>
            <w:r w:rsidRPr="00C149AB">
              <w:rPr>
                <w:rFonts w:ascii="Arial" w:hAnsi="Arial" w:cs="Arial"/>
                <w:sz w:val="18"/>
                <w:szCs w:val="18"/>
              </w:rPr>
              <w:t>Podgorice</w:t>
            </w:r>
          </w:p>
          <w:p w14:paraId="679ACD3D" w14:textId="77777777" w:rsidR="00C232D7" w:rsidRPr="00C149AB" w:rsidRDefault="00C232D7" w:rsidP="00C232D7">
            <w:pPr>
              <w:spacing w:before="40" w:after="40" w:line="360" w:lineRule="auto"/>
              <w:rPr>
                <w:rFonts w:ascii="Arial" w:hAnsi="Arial" w:cs="Arial"/>
                <w:color w:val="000000"/>
                <w:sz w:val="18"/>
                <w:szCs w:val="18"/>
                <w:highlight w:val="cyan"/>
              </w:rPr>
            </w:pPr>
          </w:p>
        </w:tc>
        <w:tc>
          <w:tcPr>
            <w:tcW w:w="1694" w:type="pct"/>
            <w:vAlign w:val="center"/>
          </w:tcPr>
          <w:p w14:paraId="38C08AEE" w14:textId="563180F0" w:rsidR="00C232D7" w:rsidRPr="00C149AB" w:rsidRDefault="00C232D7" w:rsidP="00C232D7">
            <w:pPr>
              <w:spacing w:before="40" w:after="40" w:line="360" w:lineRule="auto"/>
              <w:rPr>
                <w:rFonts w:ascii="Arial" w:hAnsi="Arial" w:cs="Arial"/>
                <w:color w:val="000000"/>
                <w:sz w:val="18"/>
                <w:szCs w:val="18"/>
                <w:highlight w:val="cyan"/>
              </w:rPr>
            </w:pPr>
            <w:r w:rsidRPr="00C149AB">
              <w:rPr>
                <w:rFonts w:ascii="Arial" w:hAnsi="Arial" w:cs="Arial"/>
                <w:sz w:val="18"/>
                <w:szCs w:val="18"/>
              </w:rPr>
              <w:t>Prag rentabilnosti (58 km)&gt; udaljenost do krajnjeg primaoca (110 km)</w:t>
            </w:r>
          </w:p>
        </w:tc>
      </w:tr>
      <w:tr w:rsidR="00C232D7" w:rsidRPr="002A6F4E" w14:paraId="4A22E622" w14:textId="77777777" w:rsidTr="005954F6">
        <w:trPr>
          <w:jc w:val="center"/>
        </w:trPr>
        <w:tc>
          <w:tcPr>
            <w:tcW w:w="551" w:type="pct"/>
            <w:vAlign w:val="center"/>
          </w:tcPr>
          <w:p w14:paraId="5AF702CA"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1</w:t>
            </w:r>
          </w:p>
        </w:tc>
        <w:tc>
          <w:tcPr>
            <w:tcW w:w="738" w:type="pct"/>
            <w:vAlign w:val="center"/>
          </w:tcPr>
          <w:p w14:paraId="5132E489" w14:textId="77777777" w:rsidR="00C232D7" w:rsidRPr="00C149AB" w:rsidRDefault="00C232D7" w:rsidP="00C232D7">
            <w:pPr>
              <w:spacing w:before="40" w:after="40" w:line="360" w:lineRule="auto"/>
              <w:ind w:left="-14"/>
              <w:rPr>
                <w:rFonts w:ascii="Arial" w:hAnsi="Arial" w:cs="Arial"/>
                <w:sz w:val="18"/>
                <w:szCs w:val="18"/>
              </w:rPr>
            </w:pPr>
            <w:r w:rsidRPr="00C149AB">
              <w:rPr>
                <w:rFonts w:ascii="Arial" w:hAnsi="Arial" w:cs="Arial"/>
                <w:sz w:val="18"/>
                <w:szCs w:val="18"/>
              </w:rPr>
              <w:t>Ulcinj</w:t>
            </w:r>
          </w:p>
        </w:tc>
        <w:tc>
          <w:tcPr>
            <w:tcW w:w="1112" w:type="pct"/>
            <w:vAlign w:val="center"/>
          </w:tcPr>
          <w:p w14:paraId="28763DDA" w14:textId="77777777" w:rsidR="00C232D7" w:rsidRPr="00C149AB" w:rsidRDefault="00C232D7" w:rsidP="00C232D7">
            <w:pPr>
              <w:spacing w:line="360" w:lineRule="auto"/>
              <w:rPr>
                <w:rFonts w:ascii="Arial" w:hAnsi="Arial" w:cs="Arial"/>
                <w:sz w:val="18"/>
                <w:szCs w:val="18"/>
                <w:lang w:val="de-DE"/>
              </w:rPr>
            </w:pPr>
            <w:r w:rsidRPr="00C149AB">
              <w:rPr>
                <w:rFonts w:ascii="Arial" w:hAnsi="Arial" w:cs="Arial"/>
                <w:sz w:val="18"/>
                <w:szCs w:val="18"/>
                <w:lang w:val="de-DE"/>
              </w:rPr>
              <w:t>Direktan transport do Bara</w:t>
            </w:r>
          </w:p>
          <w:p w14:paraId="5B2FA51E" w14:textId="77777777" w:rsidR="00C232D7" w:rsidRPr="00C149AB" w:rsidRDefault="00C232D7" w:rsidP="00C232D7">
            <w:pPr>
              <w:spacing w:line="360" w:lineRule="auto"/>
              <w:rPr>
                <w:rFonts w:ascii="Arial" w:hAnsi="Arial" w:cs="Arial"/>
                <w:sz w:val="18"/>
                <w:szCs w:val="18"/>
                <w:lang w:val="de-DE"/>
              </w:rPr>
            </w:pPr>
            <w:r w:rsidRPr="00C149AB">
              <w:rPr>
                <w:rFonts w:ascii="Arial" w:hAnsi="Arial" w:cs="Arial"/>
                <w:sz w:val="18"/>
                <w:szCs w:val="18"/>
                <w:lang w:val="de-DE"/>
              </w:rPr>
              <w:t>naspram</w:t>
            </w:r>
          </w:p>
          <w:p w14:paraId="4DDE5055" w14:textId="77777777" w:rsidR="00C232D7" w:rsidRPr="00C149AB" w:rsidRDefault="00C232D7" w:rsidP="00C232D7">
            <w:pPr>
              <w:spacing w:line="360" w:lineRule="auto"/>
              <w:rPr>
                <w:rFonts w:ascii="Arial" w:hAnsi="Arial" w:cs="Arial"/>
                <w:sz w:val="18"/>
                <w:szCs w:val="18"/>
                <w:highlight w:val="cyan"/>
                <w:lang w:val="de-DE"/>
              </w:rPr>
            </w:pPr>
            <w:r w:rsidRPr="00C149AB">
              <w:rPr>
                <w:rFonts w:ascii="Arial" w:hAnsi="Arial" w:cs="Arial"/>
                <w:sz w:val="18"/>
                <w:szCs w:val="18"/>
                <w:lang w:val="de-DE"/>
              </w:rPr>
              <w:t>Transport preko TS</w:t>
            </w:r>
          </w:p>
        </w:tc>
        <w:tc>
          <w:tcPr>
            <w:tcW w:w="905" w:type="pct"/>
            <w:shd w:val="clear" w:color="auto" w:fill="auto"/>
            <w:vAlign w:val="center"/>
          </w:tcPr>
          <w:p w14:paraId="64BC9DF3" w14:textId="55879115" w:rsidR="00C232D7" w:rsidRPr="00C149AB" w:rsidRDefault="00C232D7" w:rsidP="00C232D7">
            <w:pPr>
              <w:spacing w:line="360" w:lineRule="auto"/>
              <w:rPr>
                <w:rFonts w:ascii="Arial" w:hAnsi="Arial" w:cs="Arial"/>
                <w:sz w:val="18"/>
                <w:szCs w:val="18"/>
                <w:highlight w:val="cyan"/>
              </w:rPr>
            </w:pPr>
            <w:r w:rsidRPr="00C149AB">
              <w:rPr>
                <w:rFonts w:ascii="Arial" w:hAnsi="Arial" w:cs="Arial"/>
                <w:sz w:val="18"/>
                <w:szCs w:val="18"/>
              </w:rPr>
              <w:t xml:space="preserve">Direktan transport </w:t>
            </w:r>
            <w:r w:rsidR="00F90A92" w:rsidRPr="00C149AB">
              <w:rPr>
                <w:rFonts w:ascii="Arial" w:hAnsi="Arial" w:cs="Arial"/>
                <w:sz w:val="18"/>
                <w:szCs w:val="18"/>
              </w:rPr>
              <w:t xml:space="preserve">do/od  </w:t>
            </w:r>
            <w:r w:rsidRPr="00C149AB">
              <w:rPr>
                <w:rFonts w:ascii="Arial" w:hAnsi="Arial" w:cs="Arial"/>
                <w:sz w:val="18"/>
                <w:szCs w:val="18"/>
              </w:rPr>
              <w:t>Bara</w:t>
            </w:r>
          </w:p>
        </w:tc>
        <w:tc>
          <w:tcPr>
            <w:tcW w:w="1694" w:type="pct"/>
            <w:vAlign w:val="center"/>
          </w:tcPr>
          <w:p w14:paraId="330461A6" w14:textId="442C4869" w:rsidR="00C232D7" w:rsidRPr="00C149AB" w:rsidRDefault="00C232D7" w:rsidP="00C232D7">
            <w:pPr>
              <w:spacing w:before="40" w:after="40" w:line="360" w:lineRule="auto"/>
              <w:rPr>
                <w:rFonts w:ascii="Arial" w:hAnsi="Arial" w:cs="Arial"/>
                <w:sz w:val="18"/>
                <w:szCs w:val="18"/>
                <w:highlight w:val="cyan"/>
              </w:rPr>
            </w:pPr>
            <w:r w:rsidRPr="00C149AB">
              <w:rPr>
                <w:rFonts w:ascii="Arial" w:hAnsi="Arial" w:cs="Arial"/>
                <w:sz w:val="18"/>
                <w:szCs w:val="18"/>
              </w:rPr>
              <w:t>Prag rentabilnosti (97 km)&gt; udaljenost do krajnjeg primaoca (24 km)</w:t>
            </w:r>
          </w:p>
        </w:tc>
      </w:tr>
      <w:tr w:rsidR="00C232D7" w:rsidRPr="002A6F4E" w14:paraId="5B0CA696" w14:textId="77777777" w:rsidTr="005954F6">
        <w:trPr>
          <w:jc w:val="center"/>
        </w:trPr>
        <w:tc>
          <w:tcPr>
            <w:tcW w:w="551" w:type="pct"/>
            <w:vAlign w:val="center"/>
          </w:tcPr>
          <w:p w14:paraId="37E39579"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2</w:t>
            </w:r>
          </w:p>
        </w:tc>
        <w:tc>
          <w:tcPr>
            <w:tcW w:w="738" w:type="pct"/>
            <w:vAlign w:val="center"/>
          </w:tcPr>
          <w:p w14:paraId="30EA04BF" w14:textId="77777777" w:rsidR="00C232D7" w:rsidRPr="00C149AB" w:rsidRDefault="00C232D7" w:rsidP="00C232D7">
            <w:pPr>
              <w:spacing w:before="40" w:after="40" w:line="360" w:lineRule="auto"/>
              <w:ind w:left="-14"/>
              <w:rPr>
                <w:rFonts w:ascii="Arial" w:hAnsi="Arial" w:cs="Arial"/>
                <w:sz w:val="18"/>
                <w:szCs w:val="18"/>
              </w:rPr>
            </w:pPr>
            <w:r w:rsidRPr="00C149AB">
              <w:rPr>
                <w:rFonts w:ascii="Arial" w:hAnsi="Arial" w:cs="Arial"/>
                <w:sz w:val="18"/>
                <w:szCs w:val="18"/>
              </w:rPr>
              <w:t>Ulcinj</w:t>
            </w:r>
          </w:p>
        </w:tc>
        <w:tc>
          <w:tcPr>
            <w:tcW w:w="1112" w:type="pct"/>
            <w:vAlign w:val="center"/>
          </w:tcPr>
          <w:p w14:paraId="1CC4D94C"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Direktan transport do Podgorice</w:t>
            </w:r>
          </w:p>
          <w:p w14:paraId="46D0FE25"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naspram</w:t>
            </w:r>
          </w:p>
          <w:p w14:paraId="5AB29A7F" w14:textId="77777777" w:rsidR="00C232D7" w:rsidRPr="00C149AB" w:rsidRDefault="00C232D7" w:rsidP="00C232D7">
            <w:pPr>
              <w:spacing w:line="360" w:lineRule="auto"/>
              <w:rPr>
                <w:rFonts w:ascii="Arial" w:hAnsi="Arial" w:cs="Arial"/>
                <w:sz w:val="18"/>
                <w:szCs w:val="18"/>
                <w:highlight w:val="cyan"/>
              </w:rPr>
            </w:pPr>
            <w:r w:rsidRPr="00C149AB">
              <w:rPr>
                <w:rFonts w:ascii="Arial" w:hAnsi="Arial" w:cs="Arial"/>
                <w:sz w:val="18"/>
                <w:szCs w:val="18"/>
              </w:rPr>
              <w:t>Transport preko TS</w:t>
            </w:r>
          </w:p>
        </w:tc>
        <w:tc>
          <w:tcPr>
            <w:tcW w:w="905" w:type="pct"/>
            <w:shd w:val="clear" w:color="auto" w:fill="auto"/>
            <w:vAlign w:val="center"/>
          </w:tcPr>
          <w:p w14:paraId="10DDD7CD" w14:textId="3EB04D76"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 xml:space="preserve">Transport preko TS </w:t>
            </w:r>
            <w:r w:rsidR="00F90A92" w:rsidRPr="00C149AB">
              <w:rPr>
                <w:rFonts w:ascii="Arial" w:hAnsi="Arial" w:cs="Arial"/>
                <w:sz w:val="18"/>
                <w:szCs w:val="18"/>
              </w:rPr>
              <w:t xml:space="preserve">do/od  </w:t>
            </w:r>
            <w:r w:rsidRPr="00C149AB">
              <w:rPr>
                <w:rFonts w:ascii="Arial" w:hAnsi="Arial" w:cs="Arial"/>
                <w:sz w:val="18"/>
                <w:szCs w:val="18"/>
              </w:rPr>
              <w:t>Podgorice</w:t>
            </w:r>
          </w:p>
        </w:tc>
        <w:tc>
          <w:tcPr>
            <w:tcW w:w="1694" w:type="pct"/>
            <w:vAlign w:val="center"/>
          </w:tcPr>
          <w:p w14:paraId="29AC88E6" w14:textId="71E2BA16" w:rsidR="00C232D7" w:rsidRPr="00C149AB" w:rsidRDefault="00C232D7" w:rsidP="00C232D7">
            <w:pPr>
              <w:spacing w:before="40" w:after="40" w:line="360" w:lineRule="auto"/>
              <w:rPr>
                <w:rFonts w:ascii="Arial" w:hAnsi="Arial" w:cs="Arial"/>
                <w:sz w:val="18"/>
                <w:szCs w:val="18"/>
                <w:highlight w:val="cyan"/>
              </w:rPr>
            </w:pPr>
            <w:r w:rsidRPr="00C149AB">
              <w:rPr>
                <w:rFonts w:ascii="Arial" w:hAnsi="Arial" w:cs="Arial"/>
                <w:sz w:val="18"/>
                <w:szCs w:val="18"/>
              </w:rPr>
              <w:t>Prag rentabilnosti (60 km)&gt; udaljenost do krajnjeg primaoca (165 km)</w:t>
            </w:r>
          </w:p>
        </w:tc>
      </w:tr>
      <w:tr w:rsidR="00C232D7" w:rsidRPr="002A6F4E" w14:paraId="27C6AF95" w14:textId="77777777" w:rsidTr="005954F6">
        <w:trPr>
          <w:jc w:val="center"/>
        </w:trPr>
        <w:tc>
          <w:tcPr>
            <w:tcW w:w="551" w:type="pct"/>
            <w:vAlign w:val="center"/>
          </w:tcPr>
          <w:p w14:paraId="0F5FA9D4"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1 &amp;2</w:t>
            </w:r>
          </w:p>
        </w:tc>
        <w:tc>
          <w:tcPr>
            <w:tcW w:w="738" w:type="pct"/>
            <w:vAlign w:val="center"/>
          </w:tcPr>
          <w:p w14:paraId="6402DB9E" w14:textId="77777777" w:rsidR="00C232D7" w:rsidRPr="00C149AB" w:rsidRDefault="00C232D7" w:rsidP="00C232D7">
            <w:pPr>
              <w:spacing w:before="40" w:after="40" w:line="360" w:lineRule="auto"/>
              <w:ind w:left="-14"/>
              <w:rPr>
                <w:rFonts w:ascii="Arial" w:hAnsi="Arial" w:cs="Arial"/>
                <w:sz w:val="18"/>
                <w:szCs w:val="18"/>
              </w:rPr>
            </w:pPr>
            <w:r w:rsidRPr="00C149AB">
              <w:rPr>
                <w:rFonts w:ascii="Arial" w:hAnsi="Arial" w:cs="Arial"/>
                <w:sz w:val="18"/>
                <w:szCs w:val="18"/>
              </w:rPr>
              <w:t>Niksic, Pluzine, Savnik</w:t>
            </w:r>
          </w:p>
        </w:tc>
        <w:tc>
          <w:tcPr>
            <w:tcW w:w="1112" w:type="pct"/>
            <w:vAlign w:val="center"/>
          </w:tcPr>
          <w:p w14:paraId="5CB01FAD" w14:textId="77777777" w:rsidR="00C232D7" w:rsidRPr="00C149AB" w:rsidRDefault="00C232D7" w:rsidP="00C232D7">
            <w:pPr>
              <w:spacing w:line="360" w:lineRule="auto"/>
              <w:rPr>
                <w:rFonts w:ascii="Arial" w:hAnsi="Arial" w:cs="Arial"/>
                <w:sz w:val="18"/>
                <w:szCs w:val="18"/>
                <w:highlight w:val="cyan"/>
              </w:rPr>
            </w:pPr>
            <w:r w:rsidRPr="00C149AB">
              <w:rPr>
                <w:rFonts w:ascii="Arial" w:hAnsi="Arial" w:cs="Arial"/>
                <w:sz w:val="18"/>
                <w:szCs w:val="18"/>
              </w:rPr>
              <w:t>Nikšić TS koja opslužuje Nikšić</w:t>
            </w:r>
          </w:p>
          <w:p w14:paraId="6BBC2389"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naspram</w:t>
            </w:r>
          </w:p>
          <w:p w14:paraId="2BAC29FE" w14:textId="77777777" w:rsidR="00C232D7" w:rsidRPr="00C149AB" w:rsidRDefault="00C232D7" w:rsidP="00C232D7">
            <w:pPr>
              <w:spacing w:line="360" w:lineRule="auto"/>
              <w:rPr>
                <w:rFonts w:ascii="Arial" w:hAnsi="Arial" w:cs="Arial"/>
                <w:sz w:val="18"/>
                <w:szCs w:val="18"/>
                <w:highlight w:val="cyan"/>
              </w:rPr>
            </w:pPr>
            <w:r w:rsidRPr="00C149AB">
              <w:rPr>
                <w:rFonts w:ascii="Arial" w:hAnsi="Arial" w:cs="Arial"/>
                <w:sz w:val="18"/>
                <w:szCs w:val="18"/>
              </w:rPr>
              <w:t>Nikšić TS koja opslužuje Nikšić, Plužine, Šavnik</w:t>
            </w:r>
          </w:p>
        </w:tc>
        <w:tc>
          <w:tcPr>
            <w:tcW w:w="905" w:type="pct"/>
            <w:shd w:val="clear" w:color="auto" w:fill="auto"/>
            <w:vAlign w:val="center"/>
          </w:tcPr>
          <w:p w14:paraId="06D3CC6B"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Nikšić TS koja opslužuje Nikšić, Plužine, Šavnik</w:t>
            </w:r>
          </w:p>
        </w:tc>
        <w:tc>
          <w:tcPr>
            <w:tcW w:w="1694" w:type="pct"/>
            <w:vAlign w:val="center"/>
          </w:tcPr>
          <w:p w14:paraId="0655E1DE" w14:textId="6BD54191" w:rsidR="00C232D7" w:rsidRPr="00C149AB" w:rsidRDefault="00C232D7" w:rsidP="00C232D7">
            <w:pPr>
              <w:spacing w:before="40" w:after="40" w:line="360" w:lineRule="auto"/>
              <w:rPr>
                <w:rFonts w:ascii="Arial" w:hAnsi="Arial" w:cs="Arial"/>
                <w:sz w:val="18"/>
                <w:szCs w:val="18"/>
                <w:highlight w:val="cyan"/>
              </w:rPr>
            </w:pPr>
            <w:r w:rsidRPr="00C149AB">
              <w:rPr>
                <w:rFonts w:ascii="Arial" w:hAnsi="Arial" w:cs="Arial"/>
                <w:sz w:val="18"/>
                <w:szCs w:val="18"/>
              </w:rPr>
              <w:t>Ukupan trošak izabrane opcije (501.738 EUR/god)&lt;trošak alternativne opcije (554.390 EUR/t)</w:t>
            </w:r>
          </w:p>
        </w:tc>
      </w:tr>
      <w:tr w:rsidR="00C232D7" w:rsidRPr="002A6F4E" w14:paraId="648B4A73" w14:textId="77777777" w:rsidTr="005954F6">
        <w:trPr>
          <w:jc w:val="center"/>
        </w:trPr>
        <w:tc>
          <w:tcPr>
            <w:tcW w:w="551" w:type="pct"/>
            <w:vAlign w:val="center"/>
          </w:tcPr>
          <w:p w14:paraId="0C4AA7DF"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1</w:t>
            </w:r>
          </w:p>
        </w:tc>
        <w:tc>
          <w:tcPr>
            <w:tcW w:w="738" w:type="pct"/>
            <w:vAlign w:val="center"/>
          </w:tcPr>
          <w:p w14:paraId="2716C717" w14:textId="77777777" w:rsidR="00C232D7" w:rsidRPr="00C149AB" w:rsidRDefault="00C232D7" w:rsidP="00C232D7">
            <w:pPr>
              <w:spacing w:before="40" w:after="40" w:line="360" w:lineRule="auto"/>
              <w:ind w:left="-14"/>
              <w:rPr>
                <w:rFonts w:ascii="Arial" w:hAnsi="Arial" w:cs="Arial"/>
                <w:sz w:val="18"/>
                <w:szCs w:val="18"/>
              </w:rPr>
            </w:pPr>
            <w:r w:rsidRPr="00C149AB">
              <w:rPr>
                <w:rFonts w:ascii="Arial" w:hAnsi="Arial" w:cs="Arial"/>
                <w:sz w:val="18"/>
                <w:szCs w:val="18"/>
              </w:rPr>
              <w:t>Herceg Novi, Kotor, Tivat</w:t>
            </w:r>
          </w:p>
        </w:tc>
        <w:tc>
          <w:tcPr>
            <w:tcW w:w="1112" w:type="pct"/>
            <w:vAlign w:val="center"/>
          </w:tcPr>
          <w:p w14:paraId="2FE09639"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Kotor TS koja opslužuje Herceg Novi</w:t>
            </w:r>
          </w:p>
          <w:p w14:paraId="55EFCC84"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naspram</w:t>
            </w:r>
          </w:p>
          <w:p w14:paraId="6B85CC8D"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Kotor TS koja ne opslužuje Herceg Novi</w:t>
            </w:r>
          </w:p>
          <w:p w14:paraId="07052CF2" w14:textId="77777777" w:rsidR="00C232D7" w:rsidRPr="00C149AB" w:rsidRDefault="00C232D7" w:rsidP="00C232D7">
            <w:pPr>
              <w:spacing w:line="360" w:lineRule="auto"/>
              <w:rPr>
                <w:rFonts w:ascii="Arial" w:hAnsi="Arial" w:cs="Arial"/>
                <w:sz w:val="18"/>
                <w:szCs w:val="18"/>
                <w:highlight w:val="cyan"/>
              </w:rPr>
            </w:pPr>
          </w:p>
        </w:tc>
        <w:tc>
          <w:tcPr>
            <w:tcW w:w="905" w:type="pct"/>
            <w:shd w:val="clear" w:color="auto" w:fill="auto"/>
            <w:vAlign w:val="center"/>
          </w:tcPr>
          <w:p w14:paraId="6C99ECCB"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Kotor TS koja opslužuje Herceg Novi</w:t>
            </w:r>
          </w:p>
          <w:p w14:paraId="681E2061"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a otpad se transportuje u Bar</w:t>
            </w:r>
          </w:p>
        </w:tc>
        <w:tc>
          <w:tcPr>
            <w:tcW w:w="1694" w:type="pct"/>
          </w:tcPr>
          <w:p w14:paraId="66CD1429" w14:textId="77777777" w:rsidR="00C232D7" w:rsidRPr="00C149AB" w:rsidRDefault="00C232D7" w:rsidP="00C232D7">
            <w:pPr>
              <w:spacing w:before="40" w:after="40" w:line="360" w:lineRule="auto"/>
              <w:rPr>
                <w:rFonts w:ascii="Arial" w:hAnsi="Arial" w:cs="Arial"/>
                <w:sz w:val="18"/>
                <w:szCs w:val="18"/>
                <w:highlight w:val="cyan"/>
              </w:rPr>
            </w:pPr>
            <w:r w:rsidRPr="00C149AB">
              <w:rPr>
                <w:rFonts w:ascii="Arial" w:hAnsi="Arial" w:cs="Arial"/>
                <w:sz w:val="18"/>
                <w:szCs w:val="18"/>
              </w:rPr>
              <w:t>Ukupna trošak izabrane opcije (646.409 EUR/god) &lt; trošak alternativne opcije (656.980 EUR/t)</w:t>
            </w:r>
          </w:p>
        </w:tc>
      </w:tr>
      <w:tr w:rsidR="00C232D7" w:rsidRPr="002A6F4E" w14:paraId="11C3FE04" w14:textId="77777777" w:rsidTr="005954F6">
        <w:trPr>
          <w:jc w:val="center"/>
        </w:trPr>
        <w:tc>
          <w:tcPr>
            <w:tcW w:w="551" w:type="pct"/>
            <w:vAlign w:val="center"/>
          </w:tcPr>
          <w:p w14:paraId="4EB40AA6"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lastRenderedPageBreak/>
              <w:t>2</w:t>
            </w:r>
          </w:p>
        </w:tc>
        <w:tc>
          <w:tcPr>
            <w:tcW w:w="738" w:type="pct"/>
            <w:vAlign w:val="center"/>
          </w:tcPr>
          <w:p w14:paraId="6C095938" w14:textId="0D48C0E7" w:rsidR="00C232D7" w:rsidRPr="00C149AB" w:rsidRDefault="00C232D7" w:rsidP="00C232D7">
            <w:pPr>
              <w:spacing w:before="40" w:after="40" w:line="360" w:lineRule="auto"/>
              <w:ind w:left="-14"/>
              <w:rPr>
                <w:rFonts w:ascii="Arial" w:hAnsi="Arial" w:cs="Arial"/>
                <w:sz w:val="18"/>
                <w:szCs w:val="18"/>
              </w:rPr>
            </w:pPr>
            <w:r w:rsidRPr="00C149AB">
              <w:rPr>
                <w:rFonts w:ascii="Arial" w:hAnsi="Arial" w:cs="Arial"/>
                <w:sz w:val="18"/>
                <w:szCs w:val="18"/>
              </w:rPr>
              <w:t>Her</w:t>
            </w:r>
            <w:r w:rsidR="00134419" w:rsidRPr="00C149AB">
              <w:rPr>
                <w:rFonts w:ascii="Arial" w:hAnsi="Arial" w:cs="Arial"/>
                <w:sz w:val="18"/>
                <w:szCs w:val="18"/>
              </w:rPr>
              <w:t>c</w:t>
            </w:r>
            <w:r w:rsidRPr="00C149AB">
              <w:rPr>
                <w:rFonts w:ascii="Arial" w:hAnsi="Arial" w:cs="Arial"/>
                <w:sz w:val="18"/>
                <w:szCs w:val="18"/>
              </w:rPr>
              <w:t>e</w:t>
            </w:r>
            <w:r w:rsidR="008D2360" w:rsidRPr="00C149AB">
              <w:rPr>
                <w:rFonts w:ascii="Arial" w:hAnsi="Arial" w:cs="Arial"/>
                <w:sz w:val="18"/>
                <w:szCs w:val="18"/>
              </w:rPr>
              <w:t>g</w:t>
            </w:r>
            <w:r w:rsidRPr="00C149AB">
              <w:rPr>
                <w:rFonts w:ascii="Arial" w:hAnsi="Arial" w:cs="Arial"/>
                <w:sz w:val="18"/>
                <w:szCs w:val="18"/>
              </w:rPr>
              <w:t xml:space="preserve"> Novi, Kotor, Tivat</w:t>
            </w:r>
          </w:p>
        </w:tc>
        <w:tc>
          <w:tcPr>
            <w:tcW w:w="1112" w:type="pct"/>
            <w:vAlign w:val="center"/>
          </w:tcPr>
          <w:p w14:paraId="3DB0AE28"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Kotor TS koja opslužuje Herceg Novi</w:t>
            </w:r>
          </w:p>
          <w:p w14:paraId="3E161544"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naspram</w:t>
            </w:r>
          </w:p>
          <w:p w14:paraId="703A9848"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Kotor TS koja ne opslužuje Herceg Novi</w:t>
            </w:r>
          </w:p>
          <w:p w14:paraId="12F10668" w14:textId="77777777" w:rsidR="00C232D7" w:rsidRPr="00C149AB" w:rsidRDefault="00C232D7" w:rsidP="00C232D7">
            <w:pPr>
              <w:spacing w:line="360" w:lineRule="auto"/>
              <w:rPr>
                <w:rFonts w:ascii="Arial" w:hAnsi="Arial" w:cs="Arial"/>
                <w:sz w:val="18"/>
                <w:szCs w:val="18"/>
                <w:highlight w:val="cyan"/>
              </w:rPr>
            </w:pPr>
          </w:p>
        </w:tc>
        <w:tc>
          <w:tcPr>
            <w:tcW w:w="905" w:type="pct"/>
            <w:shd w:val="clear" w:color="auto" w:fill="auto"/>
            <w:vAlign w:val="center"/>
          </w:tcPr>
          <w:p w14:paraId="438F8E2F"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Kotor TS koja opslužuje Herceg Novi</w:t>
            </w:r>
          </w:p>
          <w:p w14:paraId="754E8912" w14:textId="77777777" w:rsidR="00C232D7" w:rsidRPr="00C149AB" w:rsidRDefault="00C232D7" w:rsidP="00C232D7">
            <w:pPr>
              <w:spacing w:line="360" w:lineRule="auto"/>
              <w:rPr>
                <w:rFonts w:ascii="Arial" w:hAnsi="Arial" w:cs="Arial"/>
                <w:sz w:val="18"/>
                <w:szCs w:val="18"/>
                <w:highlight w:val="cyan"/>
              </w:rPr>
            </w:pPr>
            <w:r w:rsidRPr="00C149AB">
              <w:rPr>
                <w:rFonts w:ascii="Arial" w:hAnsi="Arial" w:cs="Arial"/>
                <w:sz w:val="18"/>
                <w:szCs w:val="18"/>
              </w:rPr>
              <w:t>a otpad se transportuje u Podgoricu</w:t>
            </w:r>
          </w:p>
        </w:tc>
        <w:tc>
          <w:tcPr>
            <w:tcW w:w="1694" w:type="pct"/>
          </w:tcPr>
          <w:p w14:paraId="60ED7C3C" w14:textId="77777777" w:rsidR="00C232D7" w:rsidRPr="00C149AB" w:rsidRDefault="00C232D7" w:rsidP="00C232D7">
            <w:pPr>
              <w:spacing w:before="40" w:after="40" w:line="360" w:lineRule="auto"/>
              <w:rPr>
                <w:rFonts w:ascii="Arial" w:hAnsi="Arial" w:cs="Arial"/>
                <w:sz w:val="18"/>
                <w:szCs w:val="18"/>
                <w:highlight w:val="cyan"/>
              </w:rPr>
            </w:pPr>
            <w:r w:rsidRPr="00C149AB">
              <w:rPr>
                <w:rFonts w:ascii="Arial" w:hAnsi="Arial" w:cs="Arial"/>
                <w:sz w:val="18"/>
                <w:szCs w:val="18"/>
              </w:rPr>
              <w:t>Ukupna trošak izabrane opcije (712.088 EUR/god) &lt; trošak a alternativne opcije (727.364 EUR/t)</w:t>
            </w:r>
          </w:p>
        </w:tc>
      </w:tr>
      <w:tr w:rsidR="00C232D7" w:rsidRPr="002A6F4E" w14:paraId="42B56EC6" w14:textId="77777777" w:rsidTr="005954F6">
        <w:trPr>
          <w:jc w:val="center"/>
        </w:trPr>
        <w:tc>
          <w:tcPr>
            <w:tcW w:w="551" w:type="pct"/>
            <w:vAlign w:val="center"/>
          </w:tcPr>
          <w:p w14:paraId="26F4885E" w14:textId="77777777" w:rsidR="00C232D7" w:rsidRPr="00C149AB" w:rsidRDefault="00C232D7" w:rsidP="00C232D7">
            <w:pPr>
              <w:spacing w:before="40" w:after="40" w:line="360" w:lineRule="auto"/>
              <w:ind w:left="-14"/>
              <w:rPr>
                <w:rFonts w:ascii="Arial" w:hAnsi="Arial" w:cs="Arial"/>
                <w:color w:val="000000"/>
                <w:sz w:val="18"/>
                <w:szCs w:val="18"/>
              </w:rPr>
            </w:pPr>
            <w:r w:rsidRPr="00C149AB">
              <w:rPr>
                <w:rFonts w:ascii="Arial" w:hAnsi="Arial" w:cs="Arial"/>
                <w:color w:val="000000"/>
                <w:sz w:val="18"/>
                <w:szCs w:val="18"/>
              </w:rPr>
              <w:t>2</w:t>
            </w:r>
          </w:p>
        </w:tc>
        <w:tc>
          <w:tcPr>
            <w:tcW w:w="738" w:type="pct"/>
            <w:vAlign w:val="center"/>
          </w:tcPr>
          <w:p w14:paraId="0E20385F" w14:textId="77777777" w:rsidR="00C232D7" w:rsidRPr="00C149AB" w:rsidRDefault="00C232D7" w:rsidP="00C232D7">
            <w:pPr>
              <w:spacing w:before="40" w:after="40" w:line="360" w:lineRule="auto"/>
              <w:ind w:left="-14"/>
              <w:rPr>
                <w:rFonts w:ascii="Arial" w:hAnsi="Arial" w:cs="Arial"/>
                <w:sz w:val="18"/>
                <w:szCs w:val="18"/>
              </w:rPr>
            </w:pPr>
            <w:r w:rsidRPr="00C149AB">
              <w:rPr>
                <w:rFonts w:ascii="Arial" w:hAnsi="Arial" w:cs="Arial"/>
                <w:sz w:val="18"/>
                <w:szCs w:val="18"/>
              </w:rPr>
              <w:t>Bar, Budva, Ulcinj</w:t>
            </w:r>
          </w:p>
        </w:tc>
        <w:tc>
          <w:tcPr>
            <w:tcW w:w="1112" w:type="pct"/>
            <w:vAlign w:val="center"/>
          </w:tcPr>
          <w:p w14:paraId="051F4D29" w14:textId="3642E22D" w:rsidR="00C232D7" w:rsidRPr="00C149AB" w:rsidRDefault="007A792B" w:rsidP="00C232D7">
            <w:pPr>
              <w:spacing w:line="360" w:lineRule="auto"/>
              <w:rPr>
                <w:rFonts w:ascii="Arial" w:hAnsi="Arial" w:cs="Arial"/>
                <w:sz w:val="18"/>
                <w:szCs w:val="18"/>
              </w:rPr>
            </w:pPr>
            <w:r>
              <w:rPr>
                <w:rFonts w:ascii="Arial" w:hAnsi="Arial" w:cs="Arial"/>
                <w:sz w:val="18"/>
                <w:szCs w:val="18"/>
              </w:rPr>
              <w:t>tri</w:t>
            </w:r>
            <w:r w:rsidR="00C232D7" w:rsidRPr="00C149AB">
              <w:rPr>
                <w:rFonts w:ascii="Arial" w:hAnsi="Arial" w:cs="Arial"/>
                <w:sz w:val="18"/>
                <w:szCs w:val="18"/>
              </w:rPr>
              <w:t xml:space="preserve"> odvojen</w:t>
            </w:r>
            <w:r>
              <w:rPr>
                <w:rFonts w:ascii="Arial" w:hAnsi="Arial" w:cs="Arial"/>
                <w:sz w:val="18"/>
                <w:szCs w:val="18"/>
              </w:rPr>
              <w:t>e</w:t>
            </w:r>
            <w:r w:rsidR="00C232D7" w:rsidRPr="00C149AB">
              <w:rPr>
                <w:rFonts w:ascii="Arial" w:hAnsi="Arial" w:cs="Arial"/>
                <w:sz w:val="18"/>
                <w:szCs w:val="18"/>
              </w:rPr>
              <w:t xml:space="preserve"> TS</w:t>
            </w:r>
          </w:p>
          <w:p w14:paraId="1CDFDDA9" w14:textId="77777777" w:rsidR="00C232D7" w:rsidRPr="00C149AB" w:rsidRDefault="00C232D7" w:rsidP="00C232D7">
            <w:pPr>
              <w:spacing w:line="360" w:lineRule="auto"/>
              <w:rPr>
                <w:rFonts w:ascii="Arial" w:hAnsi="Arial" w:cs="Arial"/>
                <w:sz w:val="18"/>
                <w:szCs w:val="18"/>
              </w:rPr>
            </w:pPr>
            <w:r w:rsidRPr="00C149AB">
              <w:rPr>
                <w:rFonts w:ascii="Arial" w:hAnsi="Arial" w:cs="Arial"/>
                <w:sz w:val="18"/>
                <w:szCs w:val="18"/>
              </w:rPr>
              <w:t>naspram</w:t>
            </w:r>
          </w:p>
          <w:p w14:paraId="534765F9" w14:textId="3EEBB064" w:rsidR="00C232D7" w:rsidRPr="00C149AB" w:rsidRDefault="007A792B" w:rsidP="00C232D7">
            <w:pPr>
              <w:spacing w:line="360" w:lineRule="auto"/>
              <w:rPr>
                <w:rFonts w:ascii="Arial" w:hAnsi="Arial" w:cs="Arial"/>
                <w:sz w:val="18"/>
                <w:szCs w:val="18"/>
                <w:highlight w:val="cyan"/>
              </w:rPr>
            </w:pPr>
            <w:r>
              <w:rPr>
                <w:rFonts w:ascii="Arial" w:hAnsi="Arial" w:cs="Arial"/>
                <w:sz w:val="18"/>
                <w:szCs w:val="18"/>
              </w:rPr>
              <w:t>jedna</w:t>
            </w:r>
            <w:r w:rsidR="00C232D7" w:rsidRPr="00C149AB">
              <w:rPr>
                <w:rFonts w:ascii="Arial" w:hAnsi="Arial" w:cs="Arial"/>
                <w:sz w:val="18"/>
                <w:szCs w:val="18"/>
              </w:rPr>
              <w:t xml:space="preserve"> TS koja opslužuje sve tri opštine</w:t>
            </w:r>
          </w:p>
        </w:tc>
        <w:tc>
          <w:tcPr>
            <w:tcW w:w="905" w:type="pct"/>
            <w:shd w:val="clear" w:color="auto" w:fill="auto"/>
            <w:vAlign w:val="center"/>
          </w:tcPr>
          <w:p w14:paraId="751FE988" w14:textId="4AA6F72F" w:rsidR="00C232D7" w:rsidRPr="00C149AB" w:rsidRDefault="007A792B" w:rsidP="00C232D7">
            <w:pPr>
              <w:spacing w:line="360" w:lineRule="auto"/>
              <w:rPr>
                <w:rFonts w:ascii="Arial" w:hAnsi="Arial" w:cs="Arial"/>
                <w:sz w:val="18"/>
                <w:szCs w:val="18"/>
                <w:highlight w:val="cyan"/>
              </w:rPr>
            </w:pPr>
            <w:r>
              <w:rPr>
                <w:rFonts w:ascii="Arial" w:hAnsi="Arial" w:cs="Arial"/>
                <w:sz w:val="18"/>
                <w:szCs w:val="18"/>
              </w:rPr>
              <w:t>Jedna</w:t>
            </w:r>
            <w:r w:rsidR="00C232D7" w:rsidRPr="00C149AB">
              <w:rPr>
                <w:rFonts w:ascii="Arial" w:hAnsi="Arial" w:cs="Arial"/>
                <w:sz w:val="18"/>
                <w:szCs w:val="18"/>
              </w:rPr>
              <w:t xml:space="preserve"> TS koja opslužuje </w:t>
            </w:r>
            <w:r>
              <w:rPr>
                <w:rFonts w:ascii="Arial" w:hAnsi="Arial" w:cs="Arial"/>
                <w:sz w:val="18"/>
                <w:szCs w:val="18"/>
              </w:rPr>
              <w:t>ove</w:t>
            </w:r>
            <w:r w:rsidRPr="00C149AB">
              <w:rPr>
                <w:rFonts w:ascii="Arial" w:hAnsi="Arial" w:cs="Arial"/>
                <w:sz w:val="18"/>
                <w:szCs w:val="18"/>
              </w:rPr>
              <w:t xml:space="preserve"> </w:t>
            </w:r>
            <w:r w:rsidR="00C232D7" w:rsidRPr="00C149AB">
              <w:rPr>
                <w:rFonts w:ascii="Arial" w:hAnsi="Arial" w:cs="Arial"/>
                <w:sz w:val="18"/>
                <w:szCs w:val="18"/>
              </w:rPr>
              <w:t>tri opštine</w:t>
            </w:r>
          </w:p>
        </w:tc>
        <w:tc>
          <w:tcPr>
            <w:tcW w:w="1694" w:type="pct"/>
          </w:tcPr>
          <w:p w14:paraId="644EEBB5" w14:textId="1260C6E7" w:rsidR="00C232D7" w:rsidRPr="00C149AB" w:rsidRDefault="00C232D7" w:rsidP="00C232D7">
            <w:pPr>
              <w:spacing w:before="40" w:after="40" w:line="360" w:lineRule="auto"/>
              <w:rPr>
                <w:rFonts w:ascii="Arial" w:hAnsi="Arial" w:cs="Arial"/>
                <w:sz w:val="18"/>
                <w:szCs w:val="18"/>
                <w:highlight w:val="cyan"/>
              </w:rPr>
            </w:pPr>
            <w:r w:rsidRPr="00C149AB">
              <w:rPr>
                <w:rFonts w:ascii="Arial" w:hAnsi="Arial" w:cs="Arial"/>
                <w:sz w:val="18"/>
                <w:szCs w:val="18"/>
              </w:rPr>
              <w:t>Ukupna trošak izabrane opcije (915.356 EUR/god)&lt;trošak alternativne opcije (716.884 EUR/t)</w:t>
            </w:r>
          </w:p>
        </w:tc>
      </w:tr>
    </w:tbl>
    <w:p w14:paraId="2B71C3DB" w14:textId="77777777" w:rsidR="00C232D7" w:rsidRPr="002A6F4E" w:rsidRDefault="00C232D7" w:rsidP="00C232D7">
      <w:pPr>
        <w:spacing w:before="120" w:after="120" w:line="360" w:lineRule="auto"/>
        <w:rPr>
          <w:rFonts w:ascii="Arial" w:hAnsi="Arial" w:cs="Arial"/>
          <w:lang w:val="sq-AL" w:eastAsia="pl-PL"/>
        </w:rPr>
      </w:pPr>
    </w:p>
    <w:p w14:paraId="46737296" w14:textId="5910BC8F" w:rsidR="00C232D7" w:rsidRPr="002A6F4E" w:rsidRDefault="00620A47" w:rsidP="00F57909">
      <w:pPr>
        <w:pStyle w:val="Heading2"/>
      </w:pPr>
      <w:bookmarkStart w:id="1119" w:name="_Toc117607227"/>
      <w:bookmarkStart w:id="1120" w:name="_Toc121759059"/>
      <w:bookmarkStart w:id="1121" w:name="_Toc189759702"/>
      <w:bookmarkStart w:id="1122" w:name="_Toc193354030"/>
      <w:r>
        <w:t>5.2</w:t>
      </w:r>
      <w:r w:rsidR="009751D2">
        <w:t>3</w:t>
      </w:r>
      <w:r>
        <w:t xml:space="preserve">. </w:t>
      </w:r>
      <w:r w:rsidR="00C232D7" w:rsidRPr="002A6F4E">
        <w:t>Predložena mreža transfer stanica</w:t>
      </w:r>
      <w:bookmarkEnd w:id="1119"/>
      <w:bookmarkEnd w:id="1120"/>
      <w:bookmarkEnd w:id="1121"/>
      <w:bookmarkEnd w:id="1122"/>
    </w:p>
    <w:p w14:paraId="55FFD003" w14:textId="1DE8D26F"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U sledećoj tabeli  predstavljena je predložena mreža transfer stanica (kapaciteti uzimaju u obzir činjenicu da će TS </w:t>
      </w:r>
      <w:r w:rsidR="007A792B">
        <w:rPr>
          <w:rFonts w:ascii="Arial" w:hAnsi="Arial" w:cs="Arial"/>
          <w:lang w:val="sq-AL"/>
        </w:rPr>
        <w:t xml:space="preserve">upravljati </w:t>
      </w:r>
      <w:r w:rsidRPr="002A6F4E">
        <w:rPr>
          <w:rFonts w:ascii="Arial" w:hAnsi="Arial" w:cs="Arial"/>
          <w:lang w:val="sq-AL"/>
        </w:rPr>
        <w:t>rezidualnim otpadom kao i ostacima iz MRF postrojenja i postrojenja za kompostiranje).</w:t>
      </w:r>
    </w:p>
    <w:p w14:paraId="4A2E8396" w14:textId="1C11200D" w:rsidR="00F90A92" w:rsidRPr="00F017D4" w:rsidRDefault="00C232D7" w:rsidP="00F017D4">
      <w:pPr>
        <w:spacing w:before="120" w:after="120" w:line="360" w:lineRule="auto"/>
        <w:rPr>
          <w:rFonts w:ascii="Arial" w:hAnsi="Arial" w:cs="Arial"/>
          <w:lang w:val="sq-AL"/>
        </w:rPr>
      </w:pPr>
      <w:r w:rsidRPr="00F017D4">
        <w:rPr>
          <w:rFonts w:ascii="Arial" w:hAnsi="Arial" w:cs="Arial"/>
          <w:lang w:val="sq-AL"/>
        </w:rPr>
        <w:t>Napominje se da će se izraditi namjenske studije izvodljivosti, kako bi se identifikovale tačne lokacije predloženih novih transfer stanica i potvrdili njihov kapacitet i isplativost.</w:t>
      </w:r>
      <w:r w:rsidRPr="002A6F4E">
        <w:rPr>
          <w:rFonts w:ascii="Arial" w:hAnsi="Arial" w:cs="Arial"/>
          <w:lang w:val="sq-AL"/>
        </w:rPr>
        <w:t xml:space="preserve"> </w:t>
      </w:r>
      <w:r w:rsidRPr="00F017D4">
        <w:rPr>
          <w:rFonts w:ascii="Arial" w:hAnsi="Arial" w:cs="Arial"/>
          <w:lang w:val="sq-AL"/>
        </w:rPr>
        <w:t xml:space="preserve">Štaviše, može biti potrebno dodatna ili manja TS, u zavisnosti od stvarne lokacije krajnjeg primaoca (postrojenje za </w:t>
      </w:r>
      <w:r w:rsidR="007A792B">
        <w:rPr>
          <w:rFonts w:ascii="Arial" w:hAnsi="Arial" w:cs="Arial"/>
          <w:lang w:val="sq-AL"/>
        </w:rPr>
        <w:t>obradu</w:t>
      </w:r>
      <w:r w:rsidRPr="00F017D4">
        <w:rPr>
          <w:rFonts w:ascii="Arial" w:hAnsi="Arial" w:cs="Arial"/>
          <w:lang w:val="sq-AL"/>
        </w:rPr>
        <w:t xml:space="preserve"> otpada).</w:t>
      </w:r>
      <w:bookmarkStart w:id="1123" w:name="_Toc117607275"/>
      <w:bookmarkStart w:id="1124" w:name="_Toc189515664"/>
    </w:p>
    <w:p w14:paraId="7E7A5CCE" w14:textId="515A5C6A" w:rsidR="00C232D7" w:rsidRPr="00C149AB" w:rsidRDefault="00C232D7" w:rsidP="00F017D4">
      <w:pPr>
        <w:pStyle w:val="Caption"/>
        <w:rPr>
          <w:rFonts w:ascii="Arial" w:hAnsi="Arial" w:cs="Arial"/>
          <w:b w:val="0"/>
          <w:szCs w:val="20"/>
          <w:lang w:val="sq-AL"/>
        </w:rPr>
      </w:pPr>
      <w:bookmarkStart w:id="1125" w:name="_Toc190160782"/>
      <w:r w:rsidRPr="00C149AB">
        <w:rPr>
          <w:rFonts w:ascii="Arial" w:hAnsi="Arial" w:cs="Arial"/>
          <w:b w:val="0"/>
          <w:szCs w:val="20"/>
          <w:lang w:val="sq-AL"/>
        </w:rPr>
        <w:t xml:space="preserve">Tabela </w:t>
      </w:r>
      <w:r w:rsidRPr="00C149AB">
        <w:rPr>
          <w:rFonts w:ascii="Arial" w:hAnsi="Arial" w:cs="Arial"/>
          <w:b w:val="0"/>
          <w:szCs w:val="20"/>
          <w:lang w:val="sq-AL"/>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lang w:val="sq-AL"/>
        </w:rPr>
        <w:fldChar w:fldCharType="separate"/>
      </w:r>
      <w:r w:rsidR="007274DA">
        <w:rPr>
          <w:rFonts w:ascii="Arial" w:hAnsi="Arial" w:cs="Arial"/>
          <w:b w:val="0"/>
          <w:noProof/>
          <w:szCs w:val="20"/>
          <w:lang w:val="sq-AL"/>
        </w:rPr>
        <w:t>88</w:t>
      </w:r>
      <w:r w:rsidRPr="00C149AB">
        <w:rPr>
          <w:rFonts w:ascii="Arial" w:hAnsi="Arial" w:cs="Arial"/>
          <w:b w:val="0"/>
          <w:szCs w:val="20"/>
          <w:lang w:val="sq-AL"/>
        </w:rPr>
        <w:fldChar w:fldCharType="end"/>
      </w:r>
      <w:r w:rsidRPr="00C149AB">
        <w:rPr>
          <w:rFonts w:ascii="Arial" w:hAnsi="Arial" w:cs="Arial"/>
          <w:b w:val="0"/>
          <w:szCs w:val="20"/>
          <w:lang w:val="sq-AL"/>
        </w:rPr>
        <w:t xml:space="preserve"> </w:t>
      </w:r>
      <w:bookmarkEnd w:id="1123"/>
      <w:r w:rsidRPr="00C149AB">
        <w:rPr>
          <w:rFonts w:ascii="Arial" w:hAnsi="Arial" w:cs="Arial"/>
          <w:b w:val="0"/>
          <w:szCs w:val="20"/>
          <w:lang w:val="sq-AL"/>
        </w:rPr>
        <w:t>Predložena mreža TS u Crnoj Gori</w:t>
      </w:r>
      <w:bookmarkEnd w:id="1124"/>
      <w:bookmarkEnd w:id="1125"/>
    </w:p>
    <w:tbl>
      <w:tblPr>
        <w:tblW w:w="472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905"/>
        <w:gridCol w:w="1676"/>
        <w:gridCol w:w="1338"/>
        <w:gridCol w:w="1400"/>
        <w:gridCol w:w="1130"/>
        <w:gridCol w:w="1042"/>
        <w:gridCol w:w="1337"/>
      </w:tblGrid>
      <w:tr w:rsidR="00C232D7" w:rsidRPr="00C149AB" w14:paraId="53B9EC01" w14:textId="77777777" w:rsidTr="005954F6">
        <w:trPr>
          <w:tblHeader/>
          <w:jc w:val="center"/>
        </w:trPr>
        <w:tc>
          <w:tcPr>
            <w:tcW w:w="513" w:type="pct"/>
            <w:shd w:val="clear" w:color="auto" w:fill="F2F2F2" w:themeFill="background1" w:themeFillShade="F2"/>
          </w:tcPr>
          <w:p w14:paraId="37474B1D" w14:textId="77777777" w:rsidR="00C232D7" w:rsidRPr="00C149AB" w:rsidRDefault="00C232D7" w:rsidP="00C232D7">
            <w:pPr>
              <w:spacing w:before="40" w:after="40" w:line="360" w:lineRule="auto"/>
              <w:rPr>
                <w:rFonts w:ascii="Arial" w:hAnsi="Arial" w:cs="Arial"/>
                <w:b/>
                <w:bCs/>
                <w:sz w:val="18"/>
                <w:lang w:val="sq-AL"/>
              </w:rPr>
            </w:pPr>
            <w:r w:rsidRPr="00C149AB">
              <w:rPr>
                <w:rFonts w:ascii="Arial" w:hAnsi="Arial" w:cs="Arial"/>
                <w:b/>
                <w:bCs/>
                <w:sz w:val="18"/>
                <w:lang w:val="sq-AL"/>
              </w:rPr>
              <w:t>Zona</w:t>
            </w:r>
          </w:p>
        </w:tc>
        <w:tc>
          <w:tcPr>
            <w:tcW w:w="949" w:type="pct"/>
            <w:shd w:val="clear" w:color="auto" w:fill="F2F2F2" w:themeFill="background1" w:themeFillShade="F2"/>
          </w:tcPr>
          <w:p w14:paraId="4519702D" w14:textId="77777777" w:rsidR="00C232D7" w:rsidRPr="00C149AB" w:rsidRDefault="00C232D7" w:rsidP="00C232D7">
            <w:pPr>
              <w:spacing w:before="40" w:after="40" w:line="360" w:lineRule="auto"/>
              <w:rPr>
                <w:rFonts w:ascii="Arial" w:hAnsi="Arial" w:cs="Arial"/>
                <w:b/>
                <w:bCs/>
                <w:sz w:val="18"/>
                <w:lang w:val="sq-AL"/>
              </w:rPr>
            </w:pPr>
            <w:r w:rsidRPr="00C149AB">
              <w:rPr>
                <w:rFonts w:ascii="Arial" w:hAnsi="Arial" w:cs="Arial"/>
                <w:b/>
                <w:bCs/>
                <w:sz w:val="18"/>
                <w:lang w:val="sq-AL"/>
              </w:rPr>
              <w:t>Lokacija TS (indikativno za novu TS)</w:t>
            </w:r>
          </w:p>
          <w:p w14:paraId="7BF1439D" w14:textId="77777777" w:rsidR="00C232D7" w:rsidRPr="00C149AB" w:rsidRDefault="00C232D7" w:rsidP="00C232D7">
            <w:pPr>
              <w:spacing w:before="40" w:after="40" w:line="360" w:lineRule="auto"/>
              <w:rPr>
                <w:rFonts w:ascii="Arial" w:hAnsi="Arial" w:cs="Arial"/>
                <w:b/>
                <w:bCs/>
                <w:sz w:val="18"/>
                <w:lang w:val="sq-AL"/>
              </w:rPr>
            </w:pPr>
          </w:p>
        </w:tc>
        <w:tc>
          <w:tcPr>
            <w:tcW w:w="758" w:type="pct"/>
            <w:shd w:val="clear" w:color="auto" w:fill="F2F2F2" w:themeFill="background1" w:themeFillShade="F2"/>
          </w:tcPr>
          <w:p w14:paraId="71BBD2FF" w14:textId="77777777" w:rsidR="00C232D7" w:rsidRPr="00C149AB" w:rsidRDefault="00C232D7" w:rsidP="00C232D7">
            <w:pPr>
              <w:spacing w:before="40" w:after="40" w:line="360" w:lineRule="auto"/>
              <w:rPr>
                <w:rFonts w:ascii="Arial" w:hAnsi="Arial" w:cs="Arial"/>
                <w:b/>
                <w:bCs/>
                <w:sz w:val="18"/>
                <w:lang w:val="sq-AL"/>
              </w:rPr>
            </w:pPr>
            <w:r w:rsidRPr="00C149AB">
              <w:rPr>
                <w:rFonts w:ascii="Arial" w:hAnsi="Arial" w:cs="Arial"/>
                <w:b/>
                <w:bCs/>
                <w:sz w:val="18"/>
                <w:lang w:val="sq-AL"/>
              </w:rPr>
              <w:t>Status</w:t>
            </w:r>
          </w:p>
        </w:tc>
        <w:tc>
          <w:tcPr>
            <w:tcW w:w="793" w:type="pct"/>
            <w:shd w:val="clear" w:color="auto" w:fill="F2F2F2" w:themeFill="background1" w:themeFillShade="F2"/>
          </w:tcPr>
          <w:p w14:paraId="4D9A6F4E" w14:textId="77777777" w:rsidR="00C232D7" w:rsidRPr="00C149AB" w:rsidRDefault="00C232D7" w:rsidP="00C232D7">
            <w:pPr>
              <w:spacing w:before="40" w:after="40" w:line="360" w:lineRule="auto"/>
              <w:rPr>
                <w:rFonts w:ascii="Arial" w:hAnsi="Arial" w:cs="Arial"/>
                <w:b/>
                <w:bCs/>
                <w:sz w:val="18"/>
                <w:lang w:val="sq-AL"/>
              </w:rPr>
            </w:pPr>
            <w:r w:rsidRPr="00C149AB">
              <w:rPr>
                <w:rFonts w:ascii="Arial" w:hAnsi="Arial" w:cs="Arial"/>
                <w:b/>
                <w:bCs/>
                <w:sz w:val="18"/>
                <w:lang w:val="sq-AL"/>
              </w:rPr>
              <w:t>Opslužene opštine</w:t>
            </w:r>
          </w:p>
          <w:p w14:paraId="38ACE81E" w14:textId="77777777" w:rsidR="00C232D7" w:rsidRPr="00C149AB" w:rsidRDefault="00C232D7" w:rsidP="00C232D7">
            <w:pPr>
              <w:spacing w:before="40" w:after="40" w:line="360" w:lineRule="auto"/>
              <w:rPr>
                <w:rFonts w:ascii="Arial" w:hAnsi="Arial" w:cs="Arial"/>
                <w:b/>
                <w:bCs/>
                <w:sz w:val="18"/>
                <w:lang w:val="sq-AL"/>
              </w:rPr>
            </w:pPr>
          </w:p>
        </w:tc>
        <w:tc>
          <w:tcPr>
            <w:tcW w:w="640" w:type="pct"/>
            <w:shd w:val="clear" w:color="auto" w:fill="F2F2F2" w:themeFill="background1" w:themeFillShade="F2"/>
          </w:tcPr>
          <w:p w14:paraId="5C518623" w14:textId="77777777" w:rsidR="00C232D7" w:rsidRPr="00C149AB" w:rsidRDefault="00C232D7" w:rsidP="00C232D7">
            <w:pPr>
              <w:spacing w:before="40" w:after="40" w:line="360" w:lineRule="auto"/>
              <w:rPr>
                <w:rFonts w:ascii="Arial" w:hAnsi="Arial" w:cs="Arial"/>
                <w:b/>
                <w:bCs/>
                <w:sz w:val="18"/>
                <w:lang w:val="sq-AL"/>
              </w:rPr>
            </w:pPr>
            <w:r w:rsidRPr="00C149AB">
              <w:rPr>
                <w:rFonts w:ascii="Arial" w:hAnsi="Arial" w:cs="Arial"/>
                <w:b/>
                <w:bCs/>
                <w:sz w:val="18"/>
                <w:lang w:val="sq-AL"/>
              </w:rPr>
              <w:t>Kapacitet (t/god)</w:t>
            </w:r>
          </w:p>
          <w:p w14:paraId="3E93D23E" w14:textId="77777777" w:rsidR="00C232D7" w:rsidRPr="00C149AB" w:rsidRDefault="00C232D7" w:rsidP="00C232D7">
            <w:pPr>
              <w:spacing w:before="40" w:after="40" w:line="360" w:lineRule="auto"/>
              <w:rPr>
                <w:rFonts w:ascii="Arial" w:hAnsi="Arial" w:cs="Arial"/>
                <w:b/>
                <w:bCs/>
                <w:sz w:val="18"/>
                <w:lang w:val="sq-AL"/>
              </w:rPr>
            </w:pPr>
          </w:p>
        </w:tc>
        <w:tc>
          <w:tcPr>
            <w:tcW w:w="590" w:type="pct"/>
            <w:shd w:val="clear" w:color="auto" w:fill="F2F2F2" w:themeFill="background1" w:themeFillShade="F2"/>
          </w:tcPr>
          <w:p w14:paraId="47F57315" w14:textId="77777777" w:rsidR="00C232D7" w:rsidRPr="00C149AB" w:rsidRDefault="00C232D7" w:rsidP="00C232D7">
            <w:pPr>
              <w:spacing w:before="40" w:after="40" w:line="360" w:lineRule="auto"/>
              <w:rPr>
                <w:rFonts w:ascii="Arial" w:hAnsi="Arial" w:cs="Arial"/>
                <w:b/>
                <w:bCs/>
                <w:sz w:val="18"/>
                <w:lang w:val="sq-AL"/>
              </w:rPr>
            </w:pPr>
            <w:r w:rsidRPr="00C149AB">
              <w:rPr>
                <w:rFonts w:ascii="Arial" w:hAnsi="Arial" w:cs="Arial"/>
                <w:b/>
                <w:bCs/>
                <w:sz w:val="18"/>
                <w:lang w:val="sq-AL"/>
              </w:rPr>
              <w:t>Krajnji primalac</w:t>
            </w:r>
          </w:p>
        </w:tc>
        <w:tc>
          <w:tcPr>
            <w:tcW w:w="757" w:type="pct"/>
            <w:shd w:val="clear" w:color="auto" w:fill="F2F2F2" w:themeFill="background1" w:themeFillShade="F2"/>
          </w:tcPr>
          <w:p w14:paraId="2E4CCF50" w14:textId="77777777" w:rsidR="00C232D7" w:rsidRPr="00C149AB" w:rsidRDefault="00C232D7" w:rsidP="00C232D7">
            <w:pPr>
              <w:spacing w:before="40" w:after="40" w:line="360" w:lineRule="auto"/>
              <w:rPr>
                <w:rFonts w:ascii="Arial" w:hAnsi="Arial" w:cs="Arial"/>
                <w:b/>
                <w:bCs/>
                <w:sz w:val="18"/>
                <w:lang w:val="sq-AL"/>
              </w:rPr>
            </w:pPr>
            <w:r w:rsidRPr="00C149AB">
              <w:rPr>
                <w:rFonts w:ascii="Arial" w:hAnsi="Arial" w:cs="Arial"/>
                <w:b/>
                <w:bCs/>
                <w:sz w:val="18"/>
                <w:lang w:val="sq-AL"/>
              </w:rPr>
              <w:t>Indikativna udaljenost do krajnjeg primaoca (km)</w:t>
            </w:r>
          </w:p>
        </w:tc>
      </w:tr>
      <w:tr w:rsidR="00C232D7" w:rsidRPr="00C149AB" w14:paraId="068B94BE" w14:textId="77777777" w:rsidTr="005954F6">
        <w:trPr>
          <w:jc w:val="center"/>
        </w:trPr>
        <w:tc>
          <w:tcPr>
            <w:tcW w:w="513" w:type="pct"/>
            <w:vAlign w:val="center"/>
          </w:tcPr>
          <w:p w14:paraId="1E9FC831"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1 &amp;2</w:t>
            </w:r>
          </w:p>
        </w:tc>
        <w:tc>
          <w:tcPr>
            <w:tcW w:w="949" w:type="pct"/>
            <w:vAlign w:val="center"/>
          </w:tcPr>
          <w:p w14:paraId="72CFD3DE" w14:textId="77777777" w:rsidR="00C232D7" w:rsidRPr="00C149AB" w:rsidRDefault="00C232D7" w:rsidP="00C232D7">
            <w:pPr>
              <w:spacing w:before="40" w:after="40" w:line="360" w:lineRule="auto"/>
              <w:ind w:left="-14"/>
              <w:rPr>
                <w:rFonts w:ascii="Arial" w:hAnsi="Arial" w:cs="Arial"/>
                <w:sz w:val="18"/>
                <w:lang w:val="sq-AL"/>
              </w:rPr>
            </w:pPr>
            <w:r w:rsidRPr="00C149AB">
              <w:rPr>
                <w:rFonts w:ascii="Arial" w:hAnsi="Arial" w:cs="Arial"/>
                <w:color w:val="000000"/>
                <w:sz w:val="18"/>
                <w:lang w:val="sq-AL"/>
              </w:rPr>
              <w:t>Žabljak</w:t>
            </w:r>
          </w:p>
        </w:tc>
        <w:tc>
          <w:tcPr>
            <w:tcW w:w="758" w:type="pct"/>
            <w:vAlign w:val="center"/>
          </w:tcPr>
          <w:p w14:paraId="29FFE436"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Postojeća</w:t>
            </w:r>
          </w:p>
        </w:tc>
        <w:tc>
          <w:tcPr>
            <w:tcW w:w="793" w:type="pct"/>
            <w:shd w:val="clear" w:color="auto" w:fill="auto"/>
            <w:vAlign w:val="center"/>
          </w:tcPr>
          <w:p w14:paraId="58E2A922"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color w:val="000000"/>
                <w:sz w:val="18"/>
                <w:lang w:val="sq-AL"/>
              </w:rPr>
              <w:t>Žabljak</w:t>
            </w:r>
          </w:p>
        </w:tc>
        <w:tc>
          <w:tcPr>
            <w:tcW w:w="640" w:type="pct"/>
            <w:vAlign w:val="center"/>
          </w:tcPr>
          <w:p w14:paraId="0A7F5C11"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1,100</w:t>
            </w:r>
          </w:p>
        </w:tc>
        <w:tc>
          <w:tcPr>
            <w:tcW w:w="590" w:type="pct"/>
            <w:vAlign w:val="center"/>
          </w:tcPr>
          <w:p w14:paraId="52FB9C11"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lang w:val="sq-AL"/>
              </w:rPr>
              <w:t>Podgorica RCUO</w:t>
            </w:r>
          </w:p>
        </w:tc>
        <w:tc>
          <w:tcPr>
            <w:tcW w:w="757" w:type="pct"/>
            <w:vAlign w:val="center"/>
          </w:tcPr>
          <w:p w14:paraId="199F123E"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lang w:val="sq-AL"/>
              </w:rPr>
              <w:t xml:space="preserve">130 </w:t>
            </w:r>
          </w:p>
        </w:tc>
      </w:tr>
      <w:tr w:rsidR="00C232D7" w:rsidRPr="00C149AB" w14:paraId="3FAE5E5A" w14:textId="77777777" w:rsidTr="005954F6">
        <w:trPr>
          <w:jc w:val="center"/>
        </w:trPr>
        <w:tc>
          <w:tcPr>
            <w:tcW w:w="513" w:type="pct"/>
            <w:vAlign w:val="center"/>
          </w:tcPr>
          <w:p w14:paraId="33D5E3B0" w14:textId="77777777" w:rsidR="00C232D7" w:rsidRPr="00C149AB" w:rsidRDefault="00C232D7" w:rsidP="00C232D7">
            <w:pPr>
              <w:spacing w:before="40" w:after="40" w:line="360" w:lineRule="auto"/>
              <w:ind w:left="-14"/>
              <w:rPr>
                <w:rFonts w:ascii="Arial" w:hAnsi="Arial" w:cs="Arial"/>
                <w:sz w:val="18"/>
                <w:lang w:val="sq-AL"/>
              </w:rPr>
            </w:pPr>
            <w:r w:rsidRPr="00C149AB">
              <w:rPr>
                <w:rFonts w:ascii="Arial" w:hAnsi="Arial" w:cs="Arial"/>
                <w:color w:val="000000"/>
                <w:sz w:val="18"/>
                <w:lang w:val="sq-AL"/>
              </w:rPr>
              <w:t>1 &amp;2</w:t>
            </w:r>
          </w:p>
        </w:tc>
        <w:tc>
          <w:tcPr>
            <w:tcW w:w="949" w:type="pct"/>
            <w:vAlign w:val="center"/>
          </w:tcPr>
          <w:p w14:paraId="2F8CA64A" w14:textId="194A666E"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sz w:val="18"/>
                <w:lang w:val="sq-AL"/>
              </w:rPr>
              <w:t>Bjelojevi</w:t>
            </w:r>
            <w:r w:rsidR="006C2459" w:rsidRPr="00C149AB">
              <w:rPr>
                <w:rFonts w:ascii="Arial" w:hAnsi="Arial" w:cs="Arial"/>
                <w:sz w:val="18"/>
                <w:lang w:val="sq-AL"/>
              </w:rPr>
              <w:t>ć</w:t>
            </w:r>
            <w:r w:rsidRPr="00C149AB">
              <w:rPr>
                <w:rFonts w:ascii="Arial" w:hAnsi="Arial" w:cs="Arial"/>
                <w:sz w:val="18"/>
                <w:lang w:val="sq-AL"/>
              </w:rPr>
              <w:t>i</w:t>
            </w:r>
          </w:p>
        </w:tc>
        <w:tc>
          <w:tcPr>
            <w:tcW w:w="758" w:type="pct"/>
            <w:vAlign w:val="center"/>
          </w:tcPr>
          <w:p w14:paraId="41D42612"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Postojeća</w:t>
            </w:r>
          </w:p>
        </w:tc>
        <w:tc>
          <w:tcPr>
            <w:tcW w:w="793" w:type="pct"/>
            <w:shd w:val="clear" w:color="auto" w:fill="auto"/>
            <w:vAlign w:val="center"/>
          </w:tcPr>
          <w:p w14:paraId="02C55B6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Mojkovac, Kolasin</w:t>
            </w:r>
          </w:p>
        </w:tc>
        <w:tc>
          <w:tcPr>
            <w:tcW w:w="640" w:type="pct"/>
            <w:vAlign w:val="center"/>
          </w:tcPr>
          <w:p w14:paraId="68514B19"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rPr>
              <w:t>6,400</w:t>
            </w:r>
          </w:p>
        </w:tc>
        <w:tc>
          <w:tcPr>
            <w:tcW w:w="590" w:type="pct"/>
            <w:vAlign w:val="center"/>
          </w:tcPr>
          <w:p w14:paraId="11BAEA82"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sz w:val="18"/>
                <w:lang w:val="sq-AL"/>
              </w:rPr>
              <w:t>Bijelo Polje RCUO</w:t>
            </w:r>
          </w:p>
        </w:tc>
        <w:tc>
          <w:tcPr>
            <w:tcW w:w="757" w:type="pct"/>
            <w:vAlign w:val="center"/>
          </w:tcPr>
          <w:p w14:paraId="4AC34156"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25</w:t>
            </w:r>
          </w:p>
        </w:tc>
      </w:tr>
      <w:tr w:rsidR="00C232D7" w:rsidRPr="00C149AB" w14:paraId="63216A8A" w14:textId="77777777" w:rsidTr="005954F6">
        <w:trPr>
          <w:jc w:val="center"/>
        </w:trPr>
        <w:tc>
          <w:tcPr>
            <w:tcW w:w="513" w:type="pct"/>
            <w:vAlign w:val="center"/>
          </w:tcPr>
          <w:p w14:paraId="1F6681EE"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1 &amp;2</w:t>
            </w:r>
          </w:p>
        </w:tc>
        <w:tc>
          <w:tcPr>
            <w:tcW w:w="949" w:type="pct"/>
            <w:vAlign w:val="center"/>
          </w:tcPr>
          <w:p w14:paraId="3A935C21" w14:textId="207E8C03" w:rsidR="00C232D7" w:rsidRPr="00C149AB" w:rsidRDefault="00085C85"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Mostina</w:t>
            </w:r>
          </w:p>
        </w:tc>
        <w:tc>
          <w:tcPr>
            <w:tcW w:w="758" w:type="pct"/>
            <w:vAlign w:val="center"/>
          </w:tcPr>
          <w:p w14:paraId="42424191"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Planirana</w:t>
            </w:r>
          </w:p>
        </w:tc>
        <w:tc>
          <w:tcPr>
            <w:tcW w:w="793" w:type="pct"/>
            <w:shd w:val="clear" w:color="auto" w:fill="auto"/>
            <w:vAlign w:val="center"/>
          </w:tcPr>
          <w:p w14:paraId="02DA40E1"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Rožaje</w:t>
            </w:r>
          </w:p>
        </w:tc>
        <w:tc>
          <w:tcPr>
            <w:tcW w:w="640" w:type="pct"/>
            <w:vAlign w:val="center"/>
          </w:tcPr>
          <w:p w14:paraId="09F7AC1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rPr>
              <w:t>10,500</w:t>
            </w:r>
          </w:p>
        </w:tc>
        <w:tc>
          <w:tcPr>
            <w:tcW w:w="590" w:type="pct"/>
          </w:tcPr>
          <w:p w14:paraId="7D92AD19"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sz w:val="18"/>
                <w:lang w:val="sq-AL"/>
              </w:rPr>
              <w:t>Bijelo Polje RCUO</w:t>
            </w:r>
          </w:p>
        </w:tc>
        <w:tc>
          <w:tcPr>
            <w:tcW w:w="757" w:type="pct"/>
            <w:vAlign w:val="center"/>
          </w:tcPr>
          <w:p w14:paraId="7F07A3BC"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69</w:t>
            </w:r>
          </w:p>
        </w:tc>
      </w:tr>
      <w:tr w:rsidR="00C232D7" w:rsidRPr="00C149AB" w14:paraId="051B6248" w14:textId="77777777" w:rsidTr="005954F6">
        <w:trPr>
          <w:jc w:val="center"/>
        </w:trPr>
        <w:tc>
          <w:tcPr>
            <w:tcW w:w="513" w:type="pct"/>
            <w:vAlign w:val="center"/>
          </w:tcPr>
          <w:p w14:paraId="14012B18"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1 &amp;2</w:t>
            </w:r>
          </w:p>
        </w:tc>
        <w:tc>
          <w:tcPr>
            <w:tcW w:w="949" w:type="pct"/>
            <w:vAlign w:val="center"/>
          </w:tcPr>
          <w:p w14:paraId="0BDEEDF8"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Jagnjilo</w:t>
            </w:r>
          </w:p>
        </w:tc>
        <w:tc>
          <w:tcPr>
            <w:tcW w:w="758" w:type="pct"/>
            <w:vAlign w:val="center"/>
          </w:tcPr>
          <w:p w14:paraId="025C0A0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Planirana</w:t>
            </w:r>
          </w:p>
        </w:tc>
        <w:tc>
          <w:tcPr>
            <w:tcW w:w="793" w:type="pct"/>
            <w:shd w:val="clear" w:color="auto" w:fill="auto"/>
            <w:vAlign w:val="center"/>
          </w:tcPr>
          <w:p w14:paraId="1FFA6F17"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Pljevlja</w:t>
            </w:r>
          </w:p>
        </w:tc>
        <w:tc>
          <w:tcPr>
            <w:tcW w:w="640" w:type="pct"/>
            <w:vAlign w:val="center"/>
          </w:tcPr>
          <w:p w14:paraId="65847B14"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rPr>
              <w:t>13,000</w:t>
            </w:r>
          </w:p>
        </w:tc>
        <w:tc>
          <w:tcPr>
            <w:tcW w:w="590" w:type="pct"/>
          </w:tcPr>
          <w:p w14:paraId="2672A82D"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sz w:val="18"/>
                <w:lang w:val="sq-AL"/>
              </w:rPr>
              <w:t>Bijelo Polje RCUO</w:t>
            </w:r>
          </w:p>
        </w:tc>
        <w:tc>
          <w:tcPr>
            <w:tcW w:w="757" w:type="pct"/>
            <w:vAlign w:val="center"/>
          </w:tcPr>
          <w:p w14:paraId="17AA8E22"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63</w:t>
            </w:r>
          </w:p>
        </w:tc>
      </w:tr>
      <w:tr w:rsidR="00C232D7" w:rsidRPr="00C149AB" w14:paraId="714247A1" w14:textId="77777777" w:rsidTr="005954F6">
        <w:trPr>
          <w:jc w:val="center"/>
        </w:trPr>
        <w:tc>
          <w:tcPr>
            <w:tcW w:w="513" w:type="pct"/>
            <w:vAlign w:val="center"/>
          </w:tcPr>
          <w:p w14:paraId="069612EA"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1 &amp;2</w:t>
            </w:r>
          </w:p>
        </w:tc>
        <w:tc>
          <w:tcPr>
            <w:tcW w:w="949" w:type="pct"/>
            <w:vAlign w:val="center"/>
          </w:tcPr>
          <w:p w14:paraId="46605BAC"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Nikšić</w:t>
            </w:r>
          </w:p>
        </w:tc>
        <w:tc>
          <w:tcPr>
            <w:tcW w:w="758" w:type="pct"/>
            <w:vAlign w:val="center"/>
          </w:tcPr>
          <w:p w14:paraId="79A9A5F4"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Nova</w:t>
            </w:r>
          </w:p>
        </w:tc>
        <w:tc>
          <w:tcPr>
            <w:tcW w:w="793" w:type="pct"/>
            <w:shd w:val="clear" w:color="auto" w:fill="auto"/>
            <w:vAlign w:val="center"/>
          </w:tcPr>
          <w:p w14:paraId="7C5084FD"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Nikšić, Plužine, Šavnik</w:t>
            </w:r>
          </w:p>
        </w:tc>
        <w:tc>
          <w:tcPr>
            <w:tcW w:w="640" w:type="pct"/>
            <w:vAlign w:val="center"/>
          </w:tcPr>
          <w:p w14:paraId="380AC7C9"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rPr>
              <w:t>30,900</w:t>
            </w:r>
          </w:p>
        </w:tc>
        <w:tc>
          <w:tcPr>
            <w:tcW w:w="590" w:type="pct"/>
            <w:vAlign w:val="center"/>
          </w:tcPr>
          <w:p w14:paraId="109F36D3"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sz w:val="18"/>
                <w:lang w:val="sq-AL"/>
              </w:rPr>
              <w:t>Podgorica RCUO</w:t>
            </w:r>
          </w:p>
        </w:tc>
        <w:tc>
          <w:tcPr>
            <w:tcW w:w="757" w:type="pct"/>
            <w:vAlign w:val="center"/>
          </w:tcPr>
          <w:p w14:paraId="4706F719"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62</w:t>
            </w:r>
          </w:p>
        </w:tc>
      </w:tr>
      <w:tr w:rsidR="00C232D7" w:rsidRPr="00C149AB" w14:paraId="2CD5AF68" w14:textId="77777777" w:rsidTr="005954F6">
        <w:trPr>
          <w:jc w:val="center"/>
        </w:trPr>
        <w:tc>
          <w:tcPr>
            <w:tcW w:w="513" w:type="pct"/>
            <w:vAlign w:val="center"/>
          </w:tcPr>
          <w:p w14:paraId="16C2EB9E" w14:textId="77777777" w:rsidR="00C232D7" w:rsidRPr="00C149AB" w:rsidRDefault="00C232D7" w:rsidP="00C232D7">
            <w:pPr>
              <w:spacing w:before="40" w:after="40" w:line="360" w:lineRule="auto"/>
              <w:ind w:left="-14"/>
              <w:rPr>
                <w:rFonts w:ascii="Arial" w:hAnsi="Arial" w:cs="Arial"/>
                <w:sz w:val="18"/>
                <w:lang w:val="sq-AL"/>
              </w:rPr>
            </w:pPr>
            <w:r w:rsidRPr="00C149AB">
              <w:rPr>
                <w:rFonts w:ascii="Arial" w:hAnsi="Arial" w:cs="Arial"/>
                <w:color w:val="000000"/>
                <w:sz w:val="18"/>
                <w:lang w:val="sq-AL"/>
              </w:rPr>
              <w:t>1 &amp;2</w:t>
            </w:r>
          </w:p>
        </w:tc>
        <w:tc>
          <w:tcPr>
            <w:tcW w:w="949" w:type="pct"/>
            <w:vAlign w:val="center"/>
          </w:tcPr>
          <w:p w14:paraId="4ED5D740"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sz w:val="18"/>
                <w:lang w:val="sq-AL"/>
              </w:rPr>
              <w:t>Meljine</w:t>
            </w:r>
          </w:p>
        </w:tc>
        <w:tc>
          <w:tcPr>
            <w:tcW w:w="758" w:type="pct"/>
            <w:vAlign w:val="center"/>
          </w:tcPr>
          <w:p w14:paraId="7CAF9DB2"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Postojeća</w:t>
            </w:r>
          </w:p>
        </w:tc>
        <w:tc>
          <w:tcPr>
            <w:tcW w:w="793" w:type="pct"/>
            <w:shd w:val="clear" w:color="auto" w:fill="auto"/>
            <w:vAlign w:val="center"/>
          </w:tcPr>
          <w:p w14:paraId="7841A1A2"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Herceg Novi</w:t>
            </w:r>
          </w:p>
        </w:tc>
        <w:tc>
          <w:tcPr>
            <w:tcW w:w="640" w:type="pct"/>
            <w:vAlign w:val="center"/>
          </w:tcPr>
          <w:p w14:paraId="08E2BA51"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rPr>
              <w:t>17,800</w:t>
            </w:r>
          </w:p>
        </w:tc>
        <w:tc>
          <w:tcPr>
            <w:tcW w:w="590" w:type="pct"/>
            <w:vAlign w:val="center"/>
          </w:tcPr>
          <w:p w14:paraId="7D126FA4"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sz w:val="18"/>
                <w:lang w:val="sq-AL"/>
              </w:rPr>
              <w:t>Kotor TS</w:t>
            </w:r>
          </w:p>
        </w:tc>
        <w:tc>
          <w:tcPr>
            <w:tcW w:w="757" w:type="pct"/>
            <w:vAlign w:val="center"/>
          </w:tcPr>
          <w:p w14:paraId="4751EBF3"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24</w:t>
            </w:r>
          </w:p>
        </w:tc>
      </w:tr>
      <w:tr w:rsidR="00C232D7" w:rsidRPr="00C149AB" w14:paraId="54F8E122" w14:textId="77777777" w:rsidTr="005954F6">
        <w:trPr>
          <w:jc w:val="center"/>
        </w:trPr>
        <w:tc>
          <w:tcPr>
            <w:tcW w:w="513" w:type="pct"/>
            <w:vAlign w:val="center"/>
          </w:tcPr>
          <w:p w14:paraId="1CB6F25D"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lastRenderedPageBreak/>
              <w:t xml:space="preserve">1 </w:t>
            </w:r>
          </w:p>
        </w:tc>
        <w:tc>
          <w:tcPr>
            <w:tcW w:w="949" w:type="pct"/>
            <w:vMerge w:val="restart"/>
            <w:vAlign w:val="center"/>
          </w:tcPr>
          <w:p w14:paraId="317C9B80"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Kotor</w:t>
            </w:r>
          </w:p>
        </w:tc>
        <w:tc>
          <w:tcPr>
            <w:tcW w:w="758" w:type="pct"/>
            <w:vMerge w:val="restart"/>
            <w:vAlign w:val="center"/>
          </w:tcPr>
          <w:p w14:paraId="14663C71" w14:textId="1D96C23F" w:rsidR="00C232D7" w:rsidRPr="00C149AB" w:rsidRDefault="006C2459"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Postojeća, da se produži</w:t>
            </w:r>
          </w:p>
        </w:tc>
        <w:tc>
          <w:tcPr>
            <w:tcW w:w="793" w:type="pct"/>
            <w:vMerge w:val="restart"/>
            <w:shd w:val="clear" w:color="auto" w:fill="auto"/>
            <w:vAlign w:val="center"/>
          </w:tcPr>
          <w:p w14:paraId="312984B5"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Kotor, Tivat, Herceg Novi</w:t>
            </w:r>
          </w:p>
        </w:tc>
        <w:tc>
          <w:tcPr>
            <w:tcW w:w="640" w:type="pct"/>
            <w:vMerge w:val="restart"/>
            <w:vAlign w:val="center"/>
          </w:tcPr>
          <w:p w14:paraId="20D4DC70"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rPr>
              <w:t>36,400</w:t>
            </w:r>
          </w:p>
        </w:tc>
        <w:tc>
          <w:tcPr>
            <w:tcW w:w="590" w:type="pct"/>
            <w:vAlign w:val="center"/>
          </w:tcPr>
          <w:p w14:paraId="21196F82"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sz w:val="18"/>
                <w:lang w:val="sq-AL"/>
              </w:rPr>
              <w:t>Bar RCUO</w:t>
            </w:r>
          </w:p>
        </w:tc>
        <w:tc>
          <w:tcPr>
            <w:tcW w:w="757" w:type="pct"/>
            <w:vAlign w:val="center"/>
          </w:tcPr>
          <w:p w14:paraId="67D79841" w14:textId="5C106594" w:rsidR="00C232D7" w:rsidRPr="00C149AB" w:rsidRDefault="00CE50EB"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65</w:t>
            </w:r>
          </w:p>
        </w:tc>
      </w:tr>
      <w:tr w:rsidR="00C232D7" w:rsidRPr="00C149AB" w14:paraId="3D8E0EF1" w14:textId="77777777" w:rsidTr="005954F6">
        <w:trPr>
          <w:jc w:val="center"/>
        </w:trPr>
        <w:tc>
          <w:tcPr>
            <w:tcW w:w="513" w:type="pct"/>
            <w:vAlign w:val="center"/>
          </w:tcPr>
          <w:p w14:paraId="6AE1C84A"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2</w:t>
            </w:r>
          </w:p>
        </w:tc>
        <w:tc>
          <w:tcPr>
            <w:tcW w:w="949" w:type="pct"/>
            <w:vMerge/>
            <w:vAlign w:val="center"/>
          </w:tcPr>
          <w:p w14:paraId="72CDB125" w14:textId="77777777" w:rsidR="00C232D7" w:rsidRPr="00C149AB" w:rsidRDefault="00C232D7" w:rsidP="00C232D7">
            <w:pPr>
              <w:spacing w:before="40" w:after="40" w:line="360" w:lineRule="auto"/>
              <w:ind w:left="-14"/>
              <w:rPr>
                <w:rFonts w:ascii="Arial" w:hAnsi="Arial" w:cs="Arial"/>
                <w:color w:val="000000"/>
                <w:sz w:val="18"/>
                <w:lang w:val="sq-AL"/>
              </w:rPr>
            </w:pPr>
          </w:p>
        </w:tc>
        <w:tc>
          <w:tcPr>
            <w:tcW w:w="758" w:type="pct"/>
            <w:vMerge/>
            <w:vAlign w:val="center"/>
          </w:tcPr>
          <w:p w14:paraId="5811D8CB" w14:textId="77777777" w:rsidR="00C232D7" w:rsidRPr="00C149AB" w:rsidRDefault="00C232D7" w:rsidP="00C232D7">
            <w:pPr>
              <w:spacing w:before="40" w:after="40" w:line="360" w:lineRule="auto"/>
              <w:rPr>
                <w:rFonts w:ascii="Arial" w:hAnsi="Arial" w:cs="Arial"/>
                <w:color w:val="000000"/>
                <w:sz w:val="18"/>
                <w:lang w:val="sq-AL"/>
              </w:rPr>
            </w:pPr>
          </w:p>
        </w:tc>
        <w:tc>
          <w:tcPr>
            <w:tcW w:w="793" w:type="pct"/>
            <w:vMerge/>
            <w:shd w:val="clear" w:color="auto" w:fill="auto"/>
            <w:vAlign w:val="center"/>
          </w:tcPr>
          <w:p w14:paraId="3FB6C36E" w14:textId="77777777" w:rsidR="00C232D7" w:rsidRPr="00C149AB" w:rsidRDefault="00C232D7" w:rsidP="00C232D7">
            <w:pPr>
              <w:spacing w:before="40" w:after="40" w:line="360" w:lineRule="auto"/>
              <w:rPr>
                <w:rFonts w:ascii="Arial" w:hAnsi="Arial" w:cs="Arial"/>
                <w:color w:val="000000"/>
                <w:sz w:val="18"/>
                <w:lang w:val="sq-AL"/>
              </w:rPr>
            </w:pPr>
          </w:p>
        </w:tc>
        <w:tc>
          <w:tcPr>
            <w:tcW w:w="640" w:type="pct"/>
            <w:vMerge/>
            <w:vAlign w:val="center"/>
          </w:tcPr>
          <w:p w14:paraId="61742B13" w14:textId="77777777" w:rsidR="00C232D7" w:rsidRPr="00C149AB" w:rsidRDefault="00C232D7" w:rsidP="00C232D7">
            <w:pPr>
              <w:spacing w:before="40" w:after="40" w:line="360" w:lineRule="auto"/>
              <w:rPr>
                <w:rFonts w:ascii="Arial" w:hAnsi="Arial" w:cs="Arial"/>
                <w:color w:val="000000"/>
                <w:sz w:val="18"/>
                <w:lang w:val="sq-AL"/>
              </w:rPr>
            </w:pPr>
          </w:p>
        </w:tc>
        <w:tc>
          <w:tcPr>
            <w:tcW w:w="590" w:type="pct"/>
            <w:vAlign w:val="center"/>
          </w:tcPr>
          <w:p w14:paraId="40A5691F" w14:textId="25ECC024" w:rsidR="00C232D7" w:rsidRPr="00C149AB" w:rsidRDefault="003D11ED" w:rsidP="00C232D7">
            <w:pPr>
              <w:spacing w:before="40" w:after="40" w:line="360" w:lineRule="auto"/>
              <w:rPr>
                <w:rFonts w:ascii="Arial" w:hAnsi="Arial" w:cs="Arial"/>
                <w:sz w:val="18"/>
                <w:lang w:val="sq-AL"/>
              </w:rPr>
            </w:pPr>
            <w:r w:rsidRPr="00C149AB">
              <w:rPr>
                <w:rFonts w:ascii="Arial" w:hAnsi="Arial" w:cs="Arial"/>
                <w:sz w:val="18"/>
                <w:lang w:val="sq-AL"/>
              </w:rPr>
              <w:t>Nikšić</w:t>
            </w:r>
            <w:r w:rsidR="00C232D7" w:rsidRPr="00C149AB">
              <w:rPr>
                <w:rFonts w:ascii="Arial" w:hAnsi="Arial" w:cs="Arial"/>
                <w:sz w:val="18"/>
                <w:lang w:val="sq-AL"/>
              </w:rPr>
              <w:t xml:space="preserve"> RCUO</w:t>
            </w:r>
          </w:p>
        </w:tc>
        <w:tc>
          <w:tcPr>
            <w:tcW w:w="757" w:type="pct"/>
            <w:vAlign w:val="center"/>
          </w:tcPr>
          <w:p w14:paraId="24BE8F59" w14:textId="74CA2482"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9</w:t>
            </w:r>
            <w:r w:rsidR="003D11ED" w:rsidRPr="00C149AB">
              <w:rPr>
                <w:rFonts w:ascii="Arial" w:hAnsi="Arial" w:cs="Arial"/>
                <w:color w:val="000000"/>
                <w:sz w:val="18"/>
                <w:lang w:val="sq-AL"/>
              </w:rPr>
              <w:t>5</w:t>
            </w:r>
          </w:p>
        </w:tc>
      </w:tr>
      <w:tr w:rsidR="00C232D7" w:rsidRPr="00C149AB" w14:paraId="6E70858D" w14:textId="77777777" w:rsidTr="005954F6">
        <w:trPr>
          <w:jc w:val="center"/>
        </w:trPr>
        <w:tc>
          <w:tcPr>
            <w:tcW w:w="513" w:type="pct"/>
            <w:vAlign w:val="center"/>
          </w:tcPr>
          <w:p w14:paraId="0DE00394"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1</w:t>
            </w:r>
          </w:p>
        </w:tc>
        <w:tc>
          <w:tcPr>
            <w:tcW w:w="949" w:type="pct"/>
            <w:vAlign w:val="center"/>
          </w:tcPr>
          <w:p w14:paraId="65F5F7F1"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Budva</w:t>
            </w:r>
          </w:p>
        </w:tc>
        <w:tc>
          <w:tcPr>
            <w:tcW w:w="758" w:type="pct"/>
            <w:vAlign w:val="center"/>
          </w:tcPr>
          <w:p w14:paraId="2835B4B7"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Nova</w:t>
            </w:r>
          </w:p>
        </w:tc>
        <w:tc>
          <w:tcPr>
            <w:tcW w:w="793" w:type="pct"/>
            <w:shd w:val="clear" w:color="auto" w:fill="auto"/>
            <w:vAlign w:val="center"/>
          </w:tcPr>
          <w:p w14:paraId="2F6293F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Budva</w:t>
            </w:r>
          </w:p>
        </w:tc>
        <w:tc>
          <w:tcPr>
            <w:tcW w:w="640" w:type="pct"/>
            <w:vAlign w:val="center"/>
          </w:tcPr>
          <w:p w14:paraId="73D443FF"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rPr>
              <w:t>19,600</w:t>
            </w:r>
          </w:p>
        </w:tc>
        <w:tc>
          <w:tcPr>
            <w:tcW w:w="590" w:type="pct"/>
            <w:vAlign w:val="center"/>
          </w:tcPr>
          <w:p w14:paraId="31418DD7"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sz w:val="18"/>
                <w:lang w:val="sq-AL"/>
              </w:rPr>
              <w:t>Bar RCUO</w:t>
            </w:r>
          </w:p>
        </w:tc>
        <w:tc>
          <w:tcPr>
            <w:tcW w:w="757" w:type="pct"/>
            <w:vAlign w:val="center"/>
          </w:tcPr>
          <w:p w14:paraId="3AEB42DA"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54</w:t>
            </w:r>
          </w:p>
        </w:tc>
      </w:tr>
      <w:tr w:rsidR="00C232D7" w:rsidRPr="00C149AB" w14:paraId="086EC673" w14:textId="77777777" w:rsidTr="005954F6">
        <w:trPr>
          <w:jc w:val="center"/>
        </w:trPr>
        <w:tc>
          <w:tcPr>
            <w:tcW w:w="513" w:type="pct"/>
            <w:vAlign w:val="center"/>
          </w:tcPr>
          <w:p w14:paraId="6DC062B0"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2</w:t>
            </w:r>
          </w:p>
        </w:tc>
        <w:tc>
          <w:tcPr>
            <w:tcW w:w="949" w:type="pct"/>
            <w:vAlign w:val="center"/>
          </w:tcPr>
          <w:p w14:paraId="0896EC82" w14:textId="77777777" w:rsidR="00C232D7" w:rsidRPr="00C149AB" w:rsidRDefault="00C232D7" w:rsidP="00C232D7">
            <w:pPr>
              <w:spacing w:before="40" w:after="40" w:line="360" w:lineRule="auto"/>
              <w:ind w:left="-14"/>
              <w:rPr>
                <w:rFonts w:ascii="Arial" w:hAnsi="Arial" w:cs="Arial"/>
                <w:color w:val="000000"/>
                <w:sz w:val="18"/>
                <w:lang w:val="sq-AL"/>
              </w:rPr>
            </w:pPr>
            <w:r w:rsidRPr="00C149AB">
              <w:rPr>
                <w:rFonts w:ascii="Arial" w:hAnsi="Arial" w:cs="Arial"/>
                <w:color w:val="000000"/>
                <w:sz w:val="18"/>
                <w:lang w:val="sq-AL"/>
              </w:rPr>
              <w:t>Možura</w:t>
            </w:r>
          </w:p>
        </w:tc>
        <w:tc>
          <w:tcPr>
            <w:tcW w:w="758" w:type="pct"/>
            <w:vAlign w:val="center"/>
          </w:tcPr>
          <w:p w14:paraId="20FBE05D"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Nova</w:t>
            </w:r>
          </w:p>
        </w:tc>
        <w:tc>
          <w:tcPr>
            <w:tcW w:w="793" w:type="pct"/>
            <w:shd w:val="clear" w:color="auto" w:fill="auto"/>
            <w:vAlign w:val="center"/>
          </w:tcPr>
          <w:p w14:paraId="79DB1EE8" w14:textId="3AD5B4D1"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Bar, Budva</w:t>
            </w:r>
          </w:p>
        </w:tc>
        <w:tc>
          <w:tcPr>
            <w:tcW w:w="640" w:type="pct"/>
            <w:vAlign w:val="center"/>
          </w:tcPr>
          <w:p w14:paraId="663DA34A"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rPr>
              <w:t>50,500</w:t>
            </w:r>
          </w:p>
        </w:tc>
        <w:tc>
          <w:tcPr>
            <w:tcW w:w="590" w:type="pct"/>
            <w:vAlign w:val="center"/>
          </w:tcPr>
          <w:p w14:paraId="65AE3535"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sz w:val="18"/>
                <w:lang w:val="sq-AL"/>
              </w:rPr>
              <w:t>Podgorica RCUO</w:t>
            </w:r>
          </w:p>
        </w:tc>
        <w:tc>
          <w:tcPr>
            <w:tcW w:w="757" w:type="pct"/>
            <w:vAlign w:val="center"/>
          </w:tcPr>
          <w:p w14:paraId="673C1E99"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82</w:t>
            </w:r>
          </w:p>
        </w:tc>
      </w:tr>
    </w:tbl>
    <w:p w14:paraId="34011CBE" w14:textId="193B2804" w:rsidR="00C232D7" w:rsidRPr="002A6F4E" w:rsidRDefault="00620A47" w:rsidP="00F57909">
      <w:pPr>
        <w:pStyle w:val="Heading2"/>
      </w:pPr>
      <w:bookmarkStart w:id="1126" w:name="_Toc189759703"/>
      <w:bookmarkStart w:id="1127" w:name="_Toc193354031"/>
      <w:r>
        <w:t>5.2</w:t>
      </w:r>
      <w:r w:rsidR="009751D2">
        <w:t>4</w:t>
      </w:r>
      <w:r>
        <w:t xml:space="preserve">. </w:t>
      </w:r>
      <w:r w:rsidR="00C232D7" w:rsidRPr="002A6F4E">
        <w:t>Centar za sakupljanje otpada (CSO)</w:t>
      </w:r>
      <w:bookmarkEnd w:id="1126"/>
      <w:bookmarkEnd w:id="1127"/>
    </w:p>
    <w:p w14:paraId="29B86B62" w14:textId="22FC0139" w:rsidR="00C232D7" w:rsidRPr="002A6F4E" w:rsidRDefault="00C232D7" w:rsidP="00C232D7">
      <w:pPr>
        <w:spacing w:before="120" w:after="120" w:line="360" w:lineRule="auto"/>
        <w:rPr>
          <w:rFonts w:ascii="Arial" w:hAnsi="Arial" w:cs="Arial"/>
          <w:bCs/>
          <w:lang w:val="sq-AL"/>
        </w:rPr>
      </w:pPr>
      <w:r w:rsidRPr="002A6F4E">
        <w:rPr>
          <w:rFonts w:ascii="Arial" w:hAnsi="Arial" w:cs="Arial"/>
          <w:bCs/>
          <w:lang w:val="sq-AL"/>
        </w:rPr>
        <w:t>Centri za sakupljanje otpada mogu predstavljati ključnu dopunu efikasnom sistemu odvajanja otpada na izvoru. Paralelni rad centara za sakupljanje otpada (CSO) i programa Odvajanja otpada na izvoru (OOI) ima pozitivan uticaj na performanse programa OOI, budu</w:t>
      </w:r>
      <w:r w:rsidRPr="002A6F4E">
        <w:rPr>
          <w:rFonts w:ascii="Arial" w:hAnsi="Arial" w:cs="Arial"/>
          <w:bCs/>
          <w:lang w:val="sr-Latn-ME"/>
        </w:rPr>
        <w:t>ć</w:t>
      </w:r>
      <w:r w:rsidRPr="002A6F4E">
        <w:rPr>
          <w:rFonts w:ascii="Arial" w:hAnsi="Arial" w:cs="Arial"/>
          <w:bCs/>
          <w:lang w:val="sq-AL"/>
        </w:rPr>
        <w:t>i da CSO obično imaju za cilj povrat širokog spektra posebni</w:t>
      </w:r>
      <w:r w:rsidR="00AC0546">
        <w:rPr>
          <w:rFonts w:ascii="Arial" w:hAnsi="Arial" w:cs="Arial"/>
          <w:bCs/>
          <w:lang w:val="sq-AL"/>
        </w:rPr>
        <w:t>h</w:t>
      </w:r>
      <w:r w:rsidRPr="002A6F4E">
        <w:rPr>
          <w:rFonts w:ascii="Arial" w:hAnsi="Arial" w:cs="Arial"/>
          <w:bCs/>
          <w:lang w:val="sq-AL"/>
        </w:rPr>
        <w:t xml:space="preserve"> tokova.</w:t>
      </w:r>
    </w:p>
    <w:p w14:paraId="22FC5795" w14:textId="163BA6C0" w:rsidR="00C232D7" w:rsidRPr="002A6F4E" w:rsidRDefault="00C232D7" w:rsidP="00C232D7">
      <w:pPr>
        <w:spacing w:before="120" w:after="120" w:line="360" w:lineRule="auto"/>
        <w:rPr>
          <w:rFonts w:ascii="Arial" w:hAnsi="Arial" w:cs="Arial"/>
          <w:bCs/>
          <w:lang w:val="sq-AL"/>
        </w:rPr>
      </w:pPr>
      <w:r w:rsidRPr="002A6F4E">
        <w:rPr>
          <w:rFonts w:ascii="Arial" w:hAnsi="Arial" w:cs="Arial"/>
          <w:bCs/>
          <w:lang w:val="sq-AL"/>
        </w:rPr>
        <w:t>P</w:t>
      </w:r>
      <w:r w:rsidR="00AC0546">
        <w:rPr>
          <w:rFonts w:ascii="Arial" w:hAnsi="Arial" w:cs="Arial"/>
          <w:bCs/>
          <w:lang w:val="sq-AL"/>
        </w:rPr>
        <w:t>lanirano je</w:t>
      </w:r>
      <w:r w:rsidRPr="002A6F4E">
        <w:rPr>
          <w:rFonts w:ascii="Arial" w:hAnsi="Arial" w:cs="Arial"/>
          <w:bCs/>
          <w:lang w:val="sq-AL"/>
        </w:rPr>
        <w:t>:</w:t>
      </w:r>
    </w:p>
    <w:p w14:paraId="45B8C5D2" w14:textId="38C1C404" w:rsidR="00C232D7" w:rsidRPr="002A6F4E" w:rsidRDefault="00C232D7" w:rsidP="00A23ED0">
      <w:pPr>
        <w:pStyle w:val="ListParagraph"/>
        <w:numPr>
          <w:ilvl w:val="0"/>
          <w:numId w:val="47"/>
        </w:numPr>
        <w:spacing w:before="120" w:after="120" w:line="360" w:lineRule="auto"/>
        <w:contextualSpacing w:val="0"/>
        <w:rPr>
          <w:rFonts w:ascii="Arial" w:hAnsi="Arial" w:cs="Arial"/>
          <w:lang w:val="sq-AL" w:eastAsia="pl-PL"/>
        </w:rPr>
      </w:pPr>
      <w:r w:rsidRPr="002A6F4E">
        <w:rPr>
          <w:rFonts w:ascii="Arial" w:hAnsi="Arial" w:cs="Arial"/>
          <w:lang w:val="sq-AL" w:eastAsia="pl-PL"/>
        </w:rPr>
        <w:t xml:space="preserve">Andrijevica: </w:t>
      </w:r>
      <w:r w:rsidR="00AC0546">
        <w:rPr>
          <w:rFonts w:ascii="Arial" w:hAnsi="Arial" w:cs="Arial"/>
          <w:lang w:val="sq-AL" w:eastAsia="pl-PL"/>
        </w:rPr>
        <w:t>reciklažno dvorište</w:t>
      </w:r>
      <w:r w:rsidRPr="002A6F4E">
        <w:rPr>
          <w:rFonts w:ascii="Arial" w:hAnsi="Arial" w:cs="Arial"/>
          <w:lang w:val="sq-AL" w:eastAsia="pl-PL"/>
        </w:rPr>
        <w:t xml:space="preserve">; </w:t>
      </w:r>
    </w:p>
    <w:p w14:paraId="5C89E932" w14:textId="0978E281" w:rsidR="00C232D7" w:rsidRPr="002A6F4E" w:rsidRDefault="00C232D7" w:rsidP="00A23ED0">
      <w:pPr>
        <w:pStyle w:val="ListParagraph"/>
        <w:numPr>
          <w:ilvl w:val="0"/>
          <w:numId w:val="47"/>
        </w:numPr>
        <w:spacing w:before="120" w:after="120" w:line="360" w:lineRule="auto"/>
        <w:contextualSpacing w:val="0"/>
        <w:rPr>
          <w:rFonts w:ascii="Arial" w:hAnsi="Arial" w:cs="Arial"/>
          <w:lang w:val="sq-AL" w:eastAsia="pl-PL"/>
        </w:rPr>
      </w:pPr>
      <w:r w:rsidRPr="002A6F4E">
        <w:rPr>
          <w:rFonts w:ascii="Arial" w:hAnsi="Arial" w:cs="Arial"/>
          <w:lang w:val="sq-AL" w:eastAsia="pl-PL"/>
        </w:rPr>
        <w:t xml:space="preserve">Berane: </w:t>
      </w:r>
      <w:r w:rsidR="00AC0546">
        <w:rPr>
          <w:rFonts w:ascii="Arial" w:hAnsi="Arial" w:cs="Arial"/>
          <w:lang w:val="sq-AL" w:eastAsia="pl-PL"/>
        </w:rPr>
        <w:t>reciklažni</w:t>
      </w:r>
      <w:r w:rsidRPr="002A6F4E">
        <w:rPr>
          <w:rFonts w:ascii="Arial" w:hAnsi="Arial" w:cs="Arial"/>
          <w:lang w:val="sq-AL" w:eastAsia="pl-PL"/>
        </w:rPr>
        <w:t xml:space="preserve"> centar sa programom ponovne upotrebe; </w:t>
      </w:r>
    </w:p>
    <w:p w14:paraId="31C41030" w14:textId="15DE0427" w:rsidR="00C232D7" w:rsidRPr="002A6F4E" w:rsidRDefault="00C232D7" w:rsidP="00A23ED0">
      <w:pPr>
        <w:pStyle w:val="ListParagraph"/>
        <w:numPr>
          <w:ilvl w:val="0"/>
          <w:numId w:val="47"/>
        </w:numPr>
        <w:spacing w:before="120" w:after="120" w:line="360" w:lineRule="auto"/>
        <w:contextualSpacing w:val="0"/>
        <w:rPr>
          <w:rFonts w:ascii="Arial" w:hAnsi="Arial" w:cs="Arial"/>
          <w:lang w:val="sq-AL" w:eastAsia="pl-PL"/>
        </w:rPr>
      </w:pPr>
      <w:r w:rsidRPr="002A6F4E">
        <w:rPr>
          <w:rFonts w:ascii="Arial" w:hAnsi="Arial" w:cs="Arial"/>
          <w:lang w:val="sq-AL" w:eastAsia="pl-PL"/>
        </w:rPr>
        <w:t>Bijelo Polje: centar</w:t>
      </w:r>
      <w:r w:rsidR="00AC0546">
        <w:rPr>
          <w:rFonts w:ascii="Arial" w:hAnsi="Arial" w:cs="Arial"/>
          <w:lang w:val="sq-AL" w:eastAsia="pl-PL"/>
        </w:rPr>
        <w:t xml:space="preserve"> za upravljanje otpadom</w:t>
      </w:r>
      <w:r w:rsidRPr="002A6F4E">
        <w:rPr>
          <w:rFonts w:ascii="Arial" w:hAnsi="Arial" w:cs="Arial"/>
          <w:lang w:val="sq-AL" w:eastAsia="pl-PL"/>
        </w:rPr>
        <w:t xml:space="preserve"> </w:t>
      </w:r>
      <w:r w:rsidR="00AC0546">
        <w:rPr>
          <w:rFonts w:ascii="Arial" w:hAnsi="Arial" w:cs="Arial"/>
          <w:lang w:val="sq-AL" w:eastAsia="pl-PL"/>
        </w:rPr>
        <w:t>za sjeverni region</w:t>
      </w:r>
      <w:r w:rsidR="00A82DB0">
        <w:rPr>
          <w:rFonts w:ascii="Arial" w:hAnsi="Arial" w:cs="Arial"/>
          <w:lang w:val="sq-AL" w:eastAsia="pl-PL"/>
        </w:rPr>
        <w:t>;</w:t>
      </w:r>
    </w:p>
    <w:p w14:paraId="49ADBFED" w14:textId="07234994" w:rsidR="00C232D7" w:rsidRPr="002A6F4E" w:rsidRDefault="00C232D7" w:rsidP="00A23ED0">
      <w:pPr>
        <w:pStyle w:val="ListParagraph"/>
        <w:numPr>
          <w:ilvl w:val="0"/>
          <w:numId w:val="47"/>
        </w:numPr>
        <w:spacing w:before="120" w:after="120" w:line="360" w:lineRule="auto"/>
        <w:contextualSpacing w:val="0"/>
        <w:rPr>
          <w:rFonts w:ascii="Arial" w:hAnsi="Arial" w:cs="Arial"/>
          <w:lang w:val="sq-AL" w:eastAsia="pl-PL"/>
        </w:rPr>
      </w:pPr>
      <w:r w:rsidRPr="002A6F4E">
        <w:rPr>
          <w:rFonts w:ascii="Arial" w:hAnsi="Arial" w:cs="Arial"/>
          <w:lang w:val="sq-AL" w:eastAsia="pl-PL"/>
        </w:rPr>
        <w:t xml:space="preserve">Gusinje: </w:t>
      </w:r>
      <w:r w:rsidR="00AC0546">
        <w:rPr>
          <w:rFonts w:ascii="Arial" w:hAnsi="Arial" w:cs="Arial"/>
          <w:lang w:val="sq-AL" w:eastAsia="pl-PL"/>
        </w:rPr>
        <w:t>reciklažno dvorište</w:t>
      </w:r>
      <w:r w:rsidRPr="002A6F4E">
        <w:rPr>
          <w:rFonts w:ascii="Arial" w:hAnsi="Arial" w:cs="Arial"/>
          <w:lang w:val="sq-AL" w:eastAsia="pl-PL"/>
        </w:rPr>
        <w:t xml:space="preserve">; </w:t>
      </w:r>
    </w:p>
    <w:p w14:paraId="29A8D3AC" w14:textId="579E28D5" w:rsidR="00C232D7" w:rsidRPr="002A6F4E" w:rsidRDefault="00C232D7" w:rsidP="00A23ED0">
      <w:pPr>
        <w:pStyle w:val="ListParagraph"/>
        <w:numPr>
          <w:ilvl w:val="0"/>
          <w:numId w:val="47"/>
        </w:numPr>
        <w:spacing w:before="120" w:after="120" w:line="360" w:lineRule="auto"/>
        <w:contextualSpacing w:val="0"/>
        <w:rPr>
          <w:rFonts w:ascii="Arial" w:hAnsi="Arial" w:cs="Arial"/>
          <w:lang w:val="sq-AL" w:eastAsia="pl-PL"/>
        </w:rPr>
      </w:pPr>
      <w:r w:rsidRPr="002A6F4E">
        <w:rPr>
          <w:rFonts w:ascii="Arial" w:hAnsi="Arial" w:cs="Arial"/>
          <w:lang w:val="sq-AL" w:eastAsia="pl-PL"/>
        </w:rPr>
        <w:t>Kola</w:t>
      </w:r>
      <w:r w:rsidR="00910AB9">
        <w:rPr>
          <w:rFonts w:ascii="Arial" w:hAnsi="Arial" w:cs="Arial"/>
          <w:lang w:val="sq-AL" w:eastAsia="pl-PL"/>
        </w:rPr>
        <w:t>š</w:t>
      </w:r>
      <w:r w:rsidRPr="002A6F4E">
        <w:rPr>
          <w:rFonts w:ascii="Arial" w:hAnsi="Arial" w:cs="Arial"/>
          <w:lang w:val="sq-AL" w:eastAsia="pl-PL"/>
        </w:rPr>
        <w:t xml:space="preserve">in: </w:t>
      </w:r>
      <w:r w:rsidR="00AC0546">
        <w:rPr>
          <w:rFonts w:ascii="Arial" w:hAnsi="Arial" w:cs="Arial"/>
          <w:lang w:val="sq-AL" w:eastAsia="pl-PL"/>
        </w:rPr>
        <w:t>reciklažno dvorište</w:t>
      </w:r>
      <w:r w:rsidRPr="002A6F4E">
        <w:rPr>
          <w:rFonts w:ascii="Arial" w:hAnsi="Arial" w:cs="Arial"/>
          <w:lang w:val="sq-AL" w:eastAsia="pl-PL"/>
        </w:rPr>
        <w:t xml:space="preserve">; </w:t>
      </w:r>
    </w:p>
    <w:p w14:paraId="4CCD2887" w14:textId="7DBB02FE" w:rsidR="00C232D7" w:rsidRPr="002A6F4E" w:rsidRDefault="00C232D7" w:rsidP="00A23ED0">
      <w:pPr>
        <w:pStyle w:val="ListParagraph"/>
        <w:numPr>
          <w:ilvl w:val="0"/>
          <w:numId w:val="47"/>
        </w:numPr>
        <w:spacing w:before="120" w:after="120" w:line="360" w:lineRule="auto"/>
        <w:contextualSpacing w:val="0"/>
        <w:rPr>
          <w:rFonts w:ascii="Arial" w:hAnsi="Arial" w:cs="Arial"/>
          <w:lang w:val="sq-AL" w:eastAsia="pl-PL"/>
        </w:rPr>
      </w:pPr>
      <w:r w:rsidRPr="002A6F4E">
        <w:rPr>
          <w:rFonts w:ascii="Arial" w:hAnsi="Arial" w:cs="Arial"/>
          <w:lang w:val="sq-AL" w:eastAsia="pl-PL"/>
        </w:rPr>
        <w:t xml:space="preserve">Mojkovac: </w:t>
      </w:r>
      <w:r w:rsidR="00AC0546">
        <w:rPr>
          <w:rFonts w:ascii="Arial" w:hAnsi="Arial" w:cs="Arial"/>
          <w:lang w:val="sq-AL" w:eastAsia="pl-PL"/>
        </w:rPr>
        <w:t>reciklažni centar</w:t>
      </w:r>
      <w:r w:rsidRPr="002A6F4E">
        <w:rPr>
          <w:rFonts w:ascii="Arial" w:hAnsi="Arial" w:cs="Arial"/>
          <w:lang w:val="sq-AL" w:eastAsia="pl-PL"/>
        </w:rPr>
        <w:t xml:space="preserve">; </w:t>
      </w:r>
    </w:p>
    <w:p w14:paraId="7598A1F9" w14:textId="568B8561" w:rsidR="00C232D7" w:rsidRPr="002A6F4E" w:rsidRDefault="00C232D7" w:rsidP="00A23ED0">
      <w:pPr>
        <w:pStyle w:val="ListParagraph"/>
        <w:numPr>
          <w:ilvl w:val="0"/>
          <w:numId w:val="47"/>
        </w:numPr>
        <w:spacing w:before="120" w:after="120" w:line="360" w:lineRule="auto"/>
        <w:contextualSpacing w:val="0"/>
        <w:rPr>
          <w:rFonts w:ascii="Arial" w:hAnsi="Arial" w:cs="Arial"/>
          <w:lang w:val="sq-AL" w:eastAsia="pl-PL"/>
        </w:rPr>
      </w:pPr>
      <w:r w:rsidRPr="002A6F4E">
        <w:rPr>
          <w:rFonts w:ascii="Arial" w:hAnsi="Arial" w:cs="Arial"/>
          <w:lang w:val="sq-AL" w:eastAsia="pl-PL"/>
        </w:rPr>
        <w:t xml:space="preserve">Petnjica: </w:t>
      </w:r>
      <w:r w:rsidR="00AC0546">
        <w:rPr>
          <w:rFonts w:ascii="Arial" w:hAnsi="Arial" w:cs="Arial"/>
          <w:lang w:val="sq-AL" w:eastAsia="pl-PL"/>
        </w:rPr>
        <w:t>reciklažno dvorište</w:t>
      </w:r>
      <w:r w:rsidRPr="002A6F4E">
        <w:rPr>
          <w:rFonts w:ascii="Arial" w:hAnsi="Arial" w:cs="Arial"/>
          <w:lang w:val="sq-AL" w:eastAsia="pl-PL"/>
        </w:rPr>
        <w:t xml:space="preserve">; </w:t>
      </w:r>
    </w:p>
    <w:p w14:paraId="7B8AD2FA" w14:textId="5A8E6FEF" w:rsidR="00C232D7" w:rsidRPr="002A6F4E" w:rsidRDefault="00C232D7" w:rsidP="00A23ED0">
      <w:pPr>
        <w:pStyle w:val="ListParagraph"/>
        <w:numPr>
          <w:ilvl w:val="0"/>
          <w:numId w:val="47"/>
        </w:numPr>
        <w:spacing w:before="120" w:after="120" w:line="360" w:lineRule="auto"/>
        <w:contextualSpacing w:val="0"/>
        <w:rPr>
          <w:rFonts w:ascii="Arial" w:hAnsi="Arial" w:cs="Arial"/>
          <w:lang w:val="sq-AL" w:eastAsia="pl-PL"/>
        </w:rPr>
      </w:pPr>
      <w:r w:rsidRPr="002A6F4E">
        <w:rPr>
          <w:rFonts w:ascii="Arial" w:hAnsi="Arial" w:cs="Arial"/>
          <w:lang w:val="sq-AL" w:eastAsia="pl-PL"/>
        </w:rPr>
        <w:t xml:space="preserve">Plav: </w:t>
      </w:r>
      <w:r w:rsidR="00AC0546">
        <w:rPr>
          <w:rFonts w:ascii="Arial" w:hAnsi="Arial" w:cs="Arial"/>
          <w:lang w:val="sq-AL" w:eastAsia="pl-PL"/>
        </w:rPr>
        <w:t>reciklažno dvorište</w:t>
      </w:r>
      <w:r w:rsidRPr="002A6F4E">
        <w:rPr>
          <w:rFonts w:ascii="Arial" w:hAnsi="Arial" w:cs="Arial"/>
          <w:lang w:val="sq-AL" w:eastAsia="pl-PL"/>
        </w:rPr>
        <w:t xml:space="preserve">; </w:t>
      </w:r>
      <w:r w:rsidR="00AC0546">
        <w:rPr>
          <w:rFonts w:ascii="Arial" w:hAnsi="Arial" w:cs="Arial"/>
          <w:lang w:val="sq-AL" w:eastAsia="pl-PL"/>
        </w:rPr>
        <w:t xml:space="preserve"> </w:t>
      </w:r>
    </w:p>
    <w:p w14:paraId="17CCB509" w14:textId="046F78F0" w:rsidR="00C232D7" w:rsidRPr="002A6F4E" w:rsidRDefault="00C232D7" w:rsidP="00A23ED0">
      <w:pPr>
        <w:pStyle w:val="ListParagraph"/>
        <w:numPr>
          <w:ilvl w:val="0"/>
          <w:numId w:val="47"/>
        </w:numPr>
        <w:spacing w:before="120" w:after="120" w:line="360" w:lineRule="auto"/>
        <w:contextualSpacing w:val="0"/>
        <w:rPr>
          <w:rFonts w:ascii="Arial" w:hAnsi="Arial" w:cs="Arial"/>
          <w:lang w:val="sq-AL" w:eastAsia="pl-PL"/>
        </w:rPr>
      </w:pPr>
      <w:r w:rsidRPr="002A6F4E">
        <w:rPr>
          <w:rFonts w:ascii="Arial" w:hAnsi="Arial" w:cs="Arial"/>
          <w:lang w:val="sq-AL" w:eastAsia="pl-PL"/>
        </w:rPr>
        <w:t xml:space="preserve">Pljevlja: </w:t>
      </w:r>
      <w:r w:rsidR="00AC0546">
        <w:rPr>
          <w:rFonts w:ascii="Arial" w:hAnsi="Arial" w:cs="Arial"/>
          <w:lang w:val="sq-AL" w:eastAsia="pl-PL"/>
        </w:rPr>
        <w:t>transfer stanica i reciklažno dvorište</w:t>
      </w:r>
      <w:r w:rsidR="00CC7E56" w:rsidRPr="002A6F4E">
        <w:rPr>
          <w:rFonts w:ascii="Arial" w:hAnsi="Arial" w:cs="Arial"/>
          <w:lang w:val="sq-AL" w:eastAsia="pl-PL"/>
        </w:rPr>
        <w:t xml:space="preserve">; </w:t>
      </w:r>
      <w:r w:rsidR="00CC7E56">
        <w:rPr>
          <w:rFonts w:ascii="Arial" w:hAnsi="Arial" w:cs="Arial"/>
          <w:lang w:val="sq-AL" w:eastAsia="pl-PL"/>
        </w:rPr>
        <w:t xml:space="preserve"> </w:t>
      </w:r>
    </w:p>
    <w:p w14:paraId="2349E99F" w14:textId="7D961EAA" w:rsidR="00C232D7" w:rsidRPr="002A6F4E" w:rsidRDefault="00C232D7" w:rsidP="00A23ED0">
      <w:pPr>
        <w:pStyle w:val="ListParagraph"/>
        <w:numPr>
          <w:ilvl w:val="0"/>
          <w:numId w:val="47"/>
        </w:numPr>
        <w:spacing w:before="120" w:after="120" w:line="360" w:lineRule="auto"/>
        <w:contextualSpacing w:val="0"/>
        <w:rPr>
          <w:rFonts w:ascii="Arial" w:hAnsi="Arial" w:cs="Arial"/>
          <w:lang w:val="sq-AL" w:eastAsia="pl-PL"/>
        </w:rPr>
      </w:pPr>
      <w:r w:rsidRPr="002A6F4E">
        <w:rPr>
          <w:rFonts w:ascii="Arial" w:hAnsi="Arial" w:cs="Arial"/>
          <w:lang w:val="sq-AL" w:eastAsia="pl-PL"/>
        </w:rPr>
        <w:t>Ro</w:t>
      </w:r>
      <w:r w:rsidR="00AC0546">
        <w:rPr>
          <w:rFonts w:ascii="Arial" w:hAnsi="Arial" w:cs="Arial"/>
          <w:lang w:val="sq-AL" w:eastAsia="pl-PL"/>
        </w:rPr>
        <w:t>ž</w:t>
      </w:r>
      <w:r w:rsidRPr="002A6F4E">
        <w:rPr>
          <w:rFonts w:ascii="Arial" w:hAnsi="Arial" w:cs="Arial"/>
          <w:lang w:val="sq-AL" w:eastAsia="pl-PL"/>
        </w:rPr>
        <w:t xml:space="preserve">aje: </w:t>
      </w:r>
      <w:r w:rsidR="00CC7E56">
        <w:rPr>
          <w:rFonts w:ascii="Arial" w:hAnsi="Arial" w:cs="Arial"/>
          <w:lang w:val="sq-AL" w:eastAsia="pl-PL"/>
        </w:rPr>
        <w:t>reciklažno dvorište</w:t>
      </w:r>
      <w:r w:rsidR="00A82DB0">
        <w:rPr>
          <w:rFonts w:ascii="Arial" w:hAnsi="Arial" w:cs="Arial"/>
          <w:lang w:val="sq-AL" w:eastAsia="pl-PL"/>
        </w:rPr>
        <w:t>.</w:t>
      </w:r>
      <w:r w:rsidR="00CC7E56" w:rsidRPr="002A6F4E">
        <w:rPr>
          <w:rFonts w:ascii="Arial" w:hAnsi="Arial" w:cs="Arial"/>
          <w:lang w:val="sq-AL" w:eastAsia="pl-PL"/>
        </w:rPr>
        <w:t xml:space="preserve"> </w:t>
      </w:r>
      <w:r w:rsidR="00CC7E56">
        <w:rPr>
          <w:rFonts w:ascii="Arial" w:hAnsi="Arial" w:cs="Arial"/>
          <w:lang w:val="sq-AL" w:eastAsia="pl-PL"/>
        </w:rPr>
        <w:t xml:space="preserve"> </w:t>
      </w:r>
    </w:p>
    <w:p w14:paraId="027FFA2B" w14:textId="77777777" w:rsidR="00C232D7" w:rsidRPr="002A6F4E" w:rsidRDefault="00C232D7" w:rsidP="00C232D7">
      <w:pPr>
        <w:spacing w:after="120" w:line="360" w:lineRule="auto"/>
        <w:rPr>
          <w:rFonts w:ascii="Arial" w:hAnsi="Arial" w:cs="Arial"/>
          <w:lang w:val="sq-AL"/>
        </w:rPr>
      </w:pPr>
    </w:p>
    <w:p w14:paraId="363C0481"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Ova dvorišta će biti uvrštena u mrežu CSO koja će biti predložena za uvođenje u Crnoj Gori zajedno sa programima </w:t>
      </w:r>
      <w:r w:rsidRPr="002A6F4E">
        <w:rPr>
          <w:rFonts w:ascii="Arial" w:hAnsi="Arial" w:cs="Arial"/>
          <w:bCs/>
          <w:lang w:val="sq-AL"/>
        </w:rPr>
        <w:t>odvajanja otpada na izvoru</w:t>
      </w:r>
      <w:r w:rsidRPr="002A6F4E">
        <w:rPr>
          <w:rFonts w:ascii="Arial" w:hAnsi="Arial" w:cs="Arial"/>
          <w:lang w:val="sq-AL"/>
        </w:rPr>
        <w:t>.</w:t>
      </w:r>
    </w:p>
    <w:p w14:paraId="37859D88" w14:textId="1F956798"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Ne očekuje se da će funkcionisanje reciklažnih centara u sistemu upravljanja otpadom Crne Gore donijeti suštinske promjene u troškovima upravljanja otpadom, već će doneti promjene u internoj raspodjeli ovih troškova, kao što je objašnjeno u nastavku:</w:t>
      </w:r>
    </w:p>
    <w:p w14:paraId="1BF94DFD" w14:textId="4FEEBD26"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lastRenderedPageBreak/>
        <w:t xml:space="preserve">Očekuje se da će uvođenje CSO dovesti do smanjenja troškova sakupljanja i transporta otpada, budući da do 20% mješovitog otpada može da se preusmjeri u ove centre. Smanjenje će biti značajno, s obzirom da naročito kabasti </w:t>
      </w:r>
      <w:r w:rsidR="00A82DB0">
        <w:rPr>
          <w:rFonts w:ascii="Arial" w:hAnsi="Arial" w:cs="Arial"/>
          <w:lang w:val="sq-AL"/>
        </w:rPr>
        <w:t>otpad</w:t>
      </w:r>
      <w:r w:rsidRPr="002A6F4E">
        <w:rPr>
          <w:rFonts w:ascii="Arial" w:hAnsi="Arial" w:cs="Arial"/>
          <w:lang w:val="sq-AL"/>
        </w:rPr>
        <w:t>i koji se preusmjeravaju u CSO često stvaraju probleme sa sakupljanjem i/ili zahtijevaju posebne rute (koji koštaju mnogo više). Smanjenje će stoga imati dvije komponente: manju težinu i zapreminu m</w:t>
      </w:r>
      <w:r w:rsidR="00A82DB0">
        <w:rPr>
          <w:rFonts w:ascii="Arial" w:hAnsi="Arial" w:cs="Arial"/>
          <w:lang w:val="sq-AL"/>
        </w:rPr>
        <w:t>iješanog</w:t>
      </w:r>
      <w:r w:rsidRPr="002A6F4E">
        <w:rPr>
          <w:rFonts w:ascii="Arial" w:hAnsi="Arial" w:cs="Arial"/>
          <w:lang w:val="sq-AL"/>
        </w:rPr>
        <w:t xml:space="preserve"> otpada</w:t>
      </w:r>
      <w:r w:rsidR="00ED4363">
        <w:rPr>
          <w:rFonts w:ascii="Arial" w:hAnsi="Arial" w:cs="Arial"/>
          <w:lang w:val="sq-AL"/>
        </w:rPr>
        <w:t xml:space="preserve"> i</w:t>
      </w:r>
      <w:r w:rsidRPr="002A6F4E">
        <w:rPr>
          <w:rFonts w:ascii="Arial" w:hAnsi="Arial" w:cs="Arial"/>
          <w:lang w:val="sq-AL"/>
        </w:rPr>
        <w:t xml:space="preserve"> manje specifičnih ruta za uklanjanje kabast</w:t>
      </w:r>
      <w:r w:rsidR="00A82DB0">
        <w:rPr>
          <w:rFonts w:ascii="Arial" w:hAnsi="Arial" w:cs="Arial"/>
          <w:lang w:val="sq-AL"/>
        </w:rPr>
        <w:t>og otpada</w:t>
      </w:r>
      <w:r w:rsidRPr="002A6F4E">
        <w:rPr>
          <w:rFonts w:ascii="Arial" w:hAnsi="Arial" w:cs="Arial"/>
          <w:lang w:val="sq-AL"/>
        </w:rPr>
        <w:t>.</w:t>
      </w:r>
    </w:p>
    <w:p w14:paraId="48F6A3DD" w14:textId="674EF29B" w:rsidR="00ED4363" w:rsidRDefault="00C232D7" w:rsidP="00A23ED0">
      <w:pPr>
        <w:pStyle w:val="ListParagraph"/>
        <w:numPr>
          <w:ilvl w:val="0"/>
          <w:numId w:val="48"/>
        </w:numPr>
        <w:spacing w:before="120" w:after="120" w:line="360" w:lineRule="auto"/>
        <w:rPr>
          <w:rFonts w:ascii="Arial" w:hAnsi="Arial" w:cs="Arial"/>
          <w:lang w:val="sq-AL"/>
        </w:rPr>
      </w:pPr>
      <w:r w:rsidRPr="002A6F4E">
        <w:rPr>
          <w:rFonts w:ascii="Arial" w:hAnsi="Arial" w:cs="Arial"/>
          <w:lang w:val="sq-AL"/>
        </w:rPr>
        <w:t>Očekuje se da će se troškovi  programa o</w:t>
      </w:r>
      <w:r w:rsidRPr="002A6F4E">
        <w:rPr>
          <w:rFonts w:ascii="Arial" w:hAnsi="Arial" w:cs="Arial"/>
          <w:bCs/>
          <w:lang w:val="sq-AL"/>
        </w:rPr>
        <w:t xml:space="preserve">dvajanja otpada na izvoru (OOI) </w:t>
      </w:r>
      <w:r w:rsidRPr="002A6F4E">
        <w:rPr>
          <w:rFonts w:ascii="Arial" w:hAnsi="Arial" w:cs="Arial"/>
          <w:lang w:val="sq-AL"/>
        </w:rPr>
        <w:t xml:space="preserve"> smanjiti na tri načina: a) </w:t>
      </w:r>
      <w:r w:rsidR="00A82DB0">
        <w:rPr>
          <w:rFonts w:ascii="Arial" w:hAnsi="Arial" w:cs="Arial"/>
          <w:lang w:val="sq-AL"/>
        </w:rPr>
        <w:t>odvajanjem frakcija otpada</w:t>
      </w:r>
      <w:r w:rsidRPr="002A6F4E">
        <w:rPr>
          <w:rFonts w:ascii="Arial" w:hAnsi="Arial" w:cs="Arial"/>
          <w:lang w:val="sq-AL"/>
        </w:rPr>
        <w:t xml:space="preserve"> na izvoru,</w:t>
      </w:r>
      <w:r w:rsidR="00D33BB9">
        <w:rPr>
          <w:rFonts w:ascii="Arial" w:hAnsi="Arial" w:cs="Arial"/>
          <w:lang w:val="sq-AL"/>
        </w:rPr>
        <w:t xml:space="preserve"> </w:t>
      </w:r>
      <w:r w:rsidR="00D33BB9" w:rsidRPr="002A6F4E">
        <w:rPr>
          <w:rFonts w:ascii="Arial" w:hAnsi="Arial" w:cs="Arial"/>
          <w:lang w:val="sq-AL"/>
        </w:rPr>
        <w:t>š</w:t>
      </w:r>
      <w:r w:rsidR="00D33BB9">
        <w:rPr>
          <w:rFonts w:ascii="Arial" w:hAnsi="Arial" w:cs="Arial"/>
          <w:lang w:val="sq-AL"/>
        </w:rPr>
        <w:t>to</w:t>
      </w:r>
      <w:r w:rsidRPr="002A6F4E">
        <w:rPr>
          <w:rFonts w:ascii="Arial" w:hAnsi="Arial" w:cs="Arial"/>
          <w:lang w:val="sq-AL"/>
        </w:rPr>
        <w:t xml:space="preserve"> pobolj</w:t>
      </w:r>
      <w:r w:rsidR="00D33BB9">
        <w:rPr>
          <w:rFonts w:ascii="Arial" w:hAnsi="Arial" w:cs="Arial"/>
          <w:lang w:val="sq-AL"/>
        </w:rPr>
        <w:t>šava čistoću</w:t>
      </w:r>
      <w:r w:rsidRPr="002A6F4E">
        <w:rPr>
          <w:rFonts w:ascii="Arial" w:hAnsi="Arial" w:cs="Arial"/>
          <w:lang w:val="sq-AL"/>
        </w:rPr>
        <w:t xml:space="preserve"> materijala koja može da se reciklira, </w:t>
      </w:r>
    </w:p>
    <w:p w14:paraId="4A1335FD" w14:textId="77777777" w:rsidR="00ED4363" w:rsidRDefault="00C232D7" w:rsidP="00ED4363">
      <w:pPr>
        <w:pStyle w:val="ListParagraph"/>
        <w:spacing w:before="120" w:after="120" w:line="360" w:lineRule="auto"/>
        <w:rPr>
          <w:rFonts w:ascii="Arial" w:hAnsi="Arial" w:cs="Arial"/>
          <w:lang w:val="sq-AL"/>
        </w:rPr>
      </w:pPr>
      <w:r w:rsidRPr="002A6F4E">
        <w:rPr>
          <w:rFonts w:ascii="Arial" w:hAnsi="Arial" w:cs="Arial"/>
          <w:lang w:val="sq-AL"/>
        </w:rPr>
        <w:t xml:space="preserve">b) pružanjem praktičnog rješenja za sakupljanje materijala koji se može reciklirati u oblastima gdje odvajanje na izvoru nije ekonomski izvodljivo (npr. planinska, udaljena područja) i </w:t>
      </w:r>
    </w:p>
    <w:p w14:paraId="4631A5BF" w14:textId="38F92BD4" w:rsidR="00C232D7" w:rsidRPr="002A6F4E" w:rsidRDefault="00C232D7" w:rsidP="00ED4363">
      <w:pPr>
        <w:pStyle w:val="ListParagraph"/>
        <w:spacing w:before="120" w:after="120" w:line="360" w:lineRule="auto"/>
        <w:rPr>
          <w:rFonts w:ascii="Arial" w:hAnsi="Arial" w:cs="Arial"/>
          <w:lang w:val="sq-AL"/>
        </w:rPr>
      </w:pPr>
      <w:r w:rsidRPr="002A6F4E">
        <w:rPr>
          <w:rFonts w:ascii="Arial" w:hAnsi="Arial" w:cs="Arial"/>
          <w:lang w:val="sq-AL"/>
        </w:rPr>
        <w:t xml:space="preserve">c) doprinoseći </w:t>
      </w:r>
      <w:r w:rsidR="00A82DB0">
        <w:rPr>
          <w:rFonts w:ascii="Arial" w:hAnsi="Arial" w:cs="Arial"/>
          <w:lang w:val="sq-AL"/>
        </w:rPr>
        <w:t>“</w:t>
      </w:r>
      <w:r w:rsidRPr="002A6F4E">
        <w:rPr>
          <w:rFonts w:ascii="Arial" w:hAnsi="Arial" w:cs="Arial"/>
          <w:lang w:val="sq-AL"/>
        </w:rPr>
        <w:t>ekonomiji obima</w:t>
      </w:r>
      <w:r w:rsidR="00A82DB0">
        <w:rPr>
          <w:rFonts w:ascii="Arial" w:hAnsi="Arial" w:cs="Arial"/>
          <w:lang w:val="sq-AL"/>
        </w:rPr>
        <w:t>”</w:t>
      </w:r>
      <w:r w:rsidRPr="002A6F4E">
        <w:rPr>
          <w:rFonts w:ascii="Arial" w:hAnsi="Arial" w:cs="Arial"/>
          <w:lang w:val="sq-AL"/>
        </w:rPr>
        <w:t>, uz sveukupno povećanje materijala koji treba da se povrati i reciklira;</w:t>
      </w:r>
    </w:p>
    <w:p w14:paraId="79B06B1F" w14:textId="64346882" w:rsidR="00C232D7" w:rsidRPr="002A6F4E" w:rsidRDefault="00C232D7" w:rsidP="00A23ED0">
      <w:pPr>
        <w:pStyle w:val="ListParagraph"/>
        <w:numPr>
          <w:ilvl w:val="0"/>
          <w:numId w:val="48"/>
        </w:numPr>
        <w:spacing w:before="120" w:after="120" w:line="360" w:lineRule="auto"/>
        <w:contextualSpacing w:val="0"/>
        <w:rPr>
          <w:rFonts w:ascii="Arial" w:hAnsi="Arial" w:cs="Arial"/>
          <w:lang w:val="sq-AL"/>
        </w:rPr>
      </w:pPr>
      <w:r w:rsidRPr="002A6F4E">
        <w:rPr>
          <w:rFonts w:ascii="Arial" w:hAnsi="Arial" w:cs="Arial"/>
          <w:lang w:val="sq-AL"/>
        </w:rPr>
        <w:t xml:space="preserve">U fazama </w:t>
      </w:r>
      <w:r w:rsidR="00643246">
        <w:rPr>
          <w:rFonts w:ascii="Arial" w:hAnsi="Arial" w:cs="Arial"/>
          <w:lang w:val="sq-AL"/>
        </w:rPr>
        <w:t>obrade</w:t>
      </w:r>
      <w:r w:rsidRPr="002A6F4E">
        <w:rPr>
          <w:rFonts w:ascii="Arial" w:hAnsi="Arial" w:cs="Arial"/>
          <w:lang w:val="sq-AL"/>
        </w:rPr>
        <w:t xml:space="preserve"> otpada očekuju se naknadna smanjenja</w:t>
      </w:r>
      <w:r w:rsidR="00643246">
        <w:rPr>
          <w:rFonts w:ascii="Arial" w:hAnsi="Arial" w:cs="Arial"/>
          <w:lang w:val="sq-AL"/>
        </w:rPr>
        <w:t xml:space="preserve"> </w:t>
      </w:r>
      <w:r w:rsidRPr="002A6F4E">
        <w:rPr>
          <w:rFonts w:ascii="Arial" w:hAnsi="Arial" w:cs="Arial"/>
          <w:lang w:val="sq-AL"/>
        </w:rPr>
        <w:t xml:space="preserve">količine otpada, uklanjanja teških predmeta i materijala i smanjenja prisustva </w:t>
      </w:r>
      <w:r w:rsidR="00A82DB0">
        <w:rPr>
          <w:rFonts w:ascii="Arial" w:hAnsi="Arial" w:cs="Arial"/>
          <w:lang w:val="sq-AL"/>
        </w:rPr>
        <w:t>raznih</w:t>
      </w:r>
      <w:r w:rsidR="00A82DB0" w:rsidRPr="002A6F4E">
        <w:rPr>
          <w:rFonts w:ascii="Arial" w:hAnsi="Arial" w:cs="Arial"/>
          <w:lang w:val="sq-AL"/>
        </w:rPr>
        <w:t xml:space="preserve"> </w:t>
      </w:r>
      <w:r w:rsidRPr="002A6F4E">
        <w:rPr>
          <w:rFonts w:ascii="Arial" w:hAnsi="Arial" w:cs="Arial"/>
          <w:lang w:val="sq-AL"/>
        </w:rPr>
        <w:t>zagađivača.</w:t>
      </w:r>
    </w:p>
    <w:p w14:paraId="2E57BD41" w14:textId="3DC8AECE" w:rsidR="00C232D7" w:rsidRPr="002A6F4E" w:rsidRDefault="00620A47" w:rsidP="00F57909">
      <w:pPr>
        <w:pStyle w:val="Heading2"/>
      </w:pPr>
      <w:bookmarkStart w:id="1128" w:name="_Toc66354891"/>
      <w:bookmarkStart w:id="1129" w:name="_Toc66354299"/>
      <w:bookmarkStart w:id="1130" w:name="_Toc109051449"/>
      <w:bookmarkStart w:id="1131" w:name="_Toc121759062"/>
      <w:bookmarkStart w:id="1132" w:name="_Toc189759704"/>
      <w:bookmarkStart w:id="1133" w:name="_Toc193354032"/>
      <w:r>
        <w:t>5.2</w:t>
      </w:r>
      <w:r w:rsidR="009751D2">
        <w:t>5</w:t>
      </w:r>
      <w:r>
        <w:t xml:space="preserve">. </w:t>
      </w:r>
      <w:r w:rsidR="00C232D7" w:rsidRPr="002A6F4E">
        <w:t>Prihvaćeni materijali i količine</w:t>
      </w:r>
      <w:bookmarkEnd w:id="1128"/>
      <w:bookmarkEnd w:id="1129"/>
      <w:bookmarkEnd w:id="1130"/>
      <w:bookmarkEnd w:id="1131"/>
      <w:bookmarkEnd w:id="1132"/>
      <w:bookmarkEnd w:id="1133"/>
      <w:r w:rsidR="00C232D7" w:rsidRPr="002A6F4E">
        <w:t xml:space="preserve">  </w:t>
      </w:r>
    </w:p>
    <w:p w14:paraId="770420E8"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Kategorije i količine materijala koji će se prikupljati u CSO razlikuju se od opštine do opštine i određuju se uglavnom prema i) učešću korisnika ii) ako se radi o ruralnom ili urbanom području iii) ekonomskom potencijalu svake opštine.</w:t>
      </w:r>
    </w:p>
    <w:p w14:paraId="22703C13" w14:textId="201DC01A" w:rsidR="00DD411D"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Kabasti </w:t>
      </w:r>
      <w:r w:rsidR="006A5517">
        <w:rPr>
          <w:rFonts w:ascii="Arial" w:hAnsi="Arial" w:cs="Arial"/>
          <w:lang w:val="sq-AL"/>
        </w:rPr>
        <w:t>otpad</w:t>
      </w:r>
      <w:r w:rsidRPr="002A6F4E">
        <w:rPr>
          <w:rFonts w:ascii="Arial" w:hAnsi="Arial" w:cs="Arial"/>
          <w:lang w:val="sq-AL"/>
        </w:rPr>
        <w:t xml:space="preserve"> značajno doprinos</w:t>
      </w:r>
      <w:r w:rsidR="006A5517">
        <w:rPr>
          <w:rFonts w:ascii="Arial" w:hAnsi="Arial" w:cs="Arial"/>
          <w:lang w:val="sq-AL"/>
        </w:rPr>
        <w:t>i</w:t>
      </w:r>
      <w:r w:rsidRPr="002A6F4E">
        <w:rPr>
          <w:rFonts w:ascii="Arial" w:hAnsi="Arial" w:cs="Arial"/>
          <w:lang w:val="sq-AL"/>
        </w:rPr>
        <w:t xml:space="preserve"> povećanju stope reciklaže</w:t>
      </w:r>
      <w:r w:rsidR="009524C0">
        <w:rPr>
          <w:rFonts w:ascii="Arial" w:hAnsi="Arial" w:cs="Arial"/>
          <w:lang w:val="sq-AL"/>
        </w:rPr>
        <w:t>,</w:t>
      </w:r>
      <w:r w:rsidRPr="002A6F4E">
        <w:rPr>
          <w:rFonts w:ascii="Arial" w:hAnsi="Arial" w:cs="Arial"/>
          <w:lang w:val="sq-AL"/>
        </w:rPr>
        <w:t xml:space="preserve"> te stoga treba da se prioritetno sakupljaju u CSO.</w:t>
      </w:r>
    </w:p>
    <w:p w14:paraId="16DCD58C" w14:textId="516439C3" w:rsidR="00C232D7" w:rsidRPr="00C149AB" w:rsidRDefault="00C232D7" w:rsidP="00C232D7">
      <w:pPr>
        <w:pStyle w:val="Caption"/>
        <w:rPr>
          <w:rFonts w:ascii="Arial" w:hAnsi="Arial" w:cs="Arial"/>
          <w:b w:val="0"/>
          <w:szCs w:val="20"/>
          <w:lang w:val="sq-AL"/>
        </w:rPr>
      </w:pPr>
      <w:bookmarkStart w:id="1134" w:name="_Ref66291154"/>
      <w:bookmarkStart w:id="1135" w:name="_Toc66354998"/>
      <w:bookmarkStart w:id="1136" w:name="_Toc109051590"/>
      <w:bookmarkStart w:id="1137" w:name="_Toc189515666"/>
      <w:bookmarkStart w:id="1138" w:name="_Toc190160784"/>
      <w:r w:rsidRPr="00C149AB">
        <w:rPr>
          <w:rFonts w:ascii="Arial" w:hAnsi="Arial" w:cs="Arial"/>
          <w:b w:val="0"/>
          <w:szCs w:val="20"/>
          <w:lang w:val="de-DE"/>
        </w:rPr>
        <w:t xml:space="preserve">Tabela </w:t>
      </w:r>
      <w:r w:rsidRPr="00C149AB">
        <w:rPr>
          <w:rFonts w:ascii="Arial" w:hAnsi="Arial" w:cs="Arial"/>
          <w:b w:val="0"/>
          <w:szCs w:val="20"/>
        </w:rPr>
        <w:fldChar w:fldCharType="begin"/>
      </w:r>
      <w:r w:rsidRPr="00C149AB">
        <w:rPr>
          <w:rFonts w:ascii="Arial" w:hAnsi="Arial" w:cs="Arial"/>
          <w:b w:val="0"/>
          <w:szCs w:val="20"/>
          <w:lang w:val="de-DE"/>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de-DE"/>
        </w:rPr>
        <w:t>89</w:t>
      </w:r>
      <w:r w:rsidRPr="00C149AB">
        <w:rPr>
          <w:rFonts w:ascii="Arial" w:hAnsi="Arial" w:cs="Arial"/>
          <w:b w:val="0"/>
          <w:szCs w:val="20"/>
        </w:rPr>
        <w:fldChar w:fldCharType="end"/>
      </w:r>
      <w:r w:rsidRPr="00C149AB">
        <w:rPr>
          <w:rFonts w:ascii="Arial" w:hAnsi="Arial" w:cs="Arial"/>
          <w:b w:val="0"/>
          <w:szCs w:val="20"/>
          <w:lang w:val="sq-AL"/>
        </w:rPr>
        <w:t xml:space="preserve"> </w:t>
      </w:r>
      <w:bookmarkEnd w:id="1134"/>
      <w:r w:rsidRPr="00C149AB">
        <w:rPr>
          <w:rFonts w:ascii="Arial" w:hAnsi="Arial" w:cs="Arial"/>
          <w:b w:val="0"/>
          <w:szCs w:val="20"/>
          <w:lang w:val="sq-AL"/>
        </w:rPr>
        <w:t xml:space="preserve">Indikativna oprema za skladištenje po materijalu u </w:t>
      </w:r>
      <w:bookmarkEnd w:id="1135"/>
      <w:bookmarkEnd w:id="1136"/>
      <w:r w:rsidRPr="00C149AB">
        <w:rPr>
          <w:rFonts w:ascii="Arial" w:hAnsi="Arial" w:cs="Arial"/>
          <w:b w:val="0"/>
          <w:szCs w:val="20"/>
          <w:lang w:val="sq-AL"/>
        </w:rPr>
        <w:t>CSO</w:t>
      </w:r>
      <w:bookmarkEnd w:id="1137"/>
      <w:bookmarkEnd w:id="1138"/>
    </w:p>
    <w:tbl>
      <w:tblPr>
        <w:tblW w:w="46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64"/>
        <w:gridCol w:w="5438"/>
      </w:tblGrid>
      <w:tr w:rsidR="00C232D7" w:rsidRPr="00C149AB" w14:paraId="4ED0FBCD" w14:textId="77777777" w:rsidTr="00C232D7">
        <w:trPr>
          <w:tblHeader/>
        </w:trPr>
        <w:tc>
          <w:tcPr>
            <w:tcW w:w="1839" w:type="pct"/>
            <w:shd w:val="clear" w:color="auto" w:fill="F2F2F2" w:themeFill="background1" w:themeFillShade="F2"/>
            <w:tcMar>
              <w:top w:w="0" w:type="dxa"/>
              <w:left w:w="108" w:type="dxa"/>
              <w:bottom w:w="0" w:type="dxa"/>
              <w:right w:w="108" w:type="dxa"/>
            </w:tcMar>
          </w:tcPr>
          <w:p w14:paraId="30F90DB0" w14:textId="77777777" w:rsidR="00C232D7" w:rsidRPr="00C149AB" w:rsidRDefault="00C232D7" w:rsidP="00C232D7">
            <w:pPr>
              <w:pStyle w:val="Normal-10pt-Table"/>
              <w:spacing w:before="40" w:after="40" w:line="360" w:lineRule="auto"/>
              <w:jc w:val="both"/>
              <w:rPr>
                <w:rFonts w:ascii="Arial" w:hAnsi="Arial" w:cs="Arial"/>
                <w:b/>
                <w:bCs/>
                <w:sz w:val="18"/>
                <w:szCs w:val="20"/>
                <w:lang w:val="sq-AL"/>
              </w:rPr>
            </w:pPr>
            <w:r w:rsidRPr="00C149AB">
              <w:rPr>
                <w:rFonts w:ascii="Arial" w:hAnsi="Arial" w:cs="Arial"/>
                <w:b/>
                <w:bCs/>
                <w:sz w:val="18"/>
                <w:szCs w:val="20"/>
                <w:lang w:val="sq-AL"/>
              </w:rPr>
              <w:t>Materijali</w:t>
            </w:r>
          </w:p>
        </w:tc>
        <w:tc>
          <w:tcPr>
            <w:tcW w:w="3161" w:type="pct"/>
            <w:shd w:val="clear" w:color="auto" w:fill="F2F2F2" w:themeFill="background1" w:themeFillShade="F2"/>
            <w:tcMar>
              <w:top w:w="0" w:type="dxa"/>
              <w:left w:w="108" w:type="dxa"/>
              <w:bottom w:w="0" w:type="dxa"/>
              <w:right w:w="108" w:type="dxa"/>
            </w:tcMar>
          </w:tcPr>
          <w:p w14:paraId="5D8EEAC2" w14:textId="77777777" w:rsidR="00C232D7" w:rsidRPr="00C149AB" w:rsidRDefault="00C232D7" w:rsidP="00C232D7">
            <w:pPr>
              <w:pStyle w:val="Normal-10pt-Table"/>
              <w:spacing w:before="40" w:after="40" w:line="360" w:lineRule="auto"/>
              <w:jc w:val="both"/>
              <w:rPr>
                <w:rFonts w:ascii="Arial" w:hAnsi="Arial" w:cs="Arial"/>
                <w:b/>
                <w:bCs/>
                <w:sz w:val="18"/>
                <w:szCs w:val="20"/>
                <w:lang w:val="sq-AL"/>
              </w:rPr>
            </w:pPr>
            <w:r w:rsidRPr="00C149AB">
              <w:rPr>
                <w:rFonts w:ascii="Arial" w:hAnsi="Arial" w:cs="Arial"/>
                <w:b/>
                <w:bCs/>
                <w:sz w:val="18"/>
                <w:szCs w:val="20"/>
                <w:lang w:val="sq-AL"/>
              </w:rPr>
              <w:t>Oprema</w:t>
            </w:r>
          </w:p>
        </w:tc>
      </w:tr>
      <w:tr w:rsidR="00C232D7" w:rsidRPr="0014164F" w14:paraId="24DC8FAF" w14:textId="77777777" w:rsidTr="00C232D7">
        <w:tc>
          <w:tcPr>
            <w:tcW w:w="1839" w:type="pct"/>
            <w:tcMar>
              <w:top w:w="0" w:type="dxa"/>
              <w:left w:w="108" w:type="dxa"/>
              <w:bottom w:w="0" w:type="dxa"/>
              <w:right w:w="108" w:type="dxa"/>
            </w:tcMar>
          </w:tcPr>
          <w:p w14:paraId="4258D3D2"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Ostaci</w:t>
            </w:r>
          </w:p>
        </w:tc>
        <w:tc>
          <w:tcPr>
            <w:tcW w:w="3161" w:type="pct"/>
            <w:tcMar>
              <w:top w:w="0" w:type="dxa"/>
              <w:left w:w="108" w:type="dxa"/>
              <w:bottom w:w="0" w:type="dxa"/>
              <w:right w:w="108" w:type="dxa"/>
            </w:tcMar>
          </w:tcPr>
          <w:p w14:paraId="64C2EBCA"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Otvoreni kontejneri sa mogućnošću pokrivanja ceradom</w:t>
            </w:r>
          </w:p>
        </w:tc>
      </w:tr>
      <w:tr w:rsidR="00C232D7" w:rsidRPr="0014164F" w14:paraId="068839F6" w14:textId="77777777" w:rsidTr="00C232D7">
        <w:tc>
          <w:tcPr>
            <w:tcW w:w="1839" w:type="pct"/>
            <w:tcMar>
              <w:top w:w="0" w:type="dxa"/>
              <w:left w:w="108" w:type="dxa"/>
              <w:bottom w:w="0" w:type="dxa"/>
              <w:right w:w="108" w:type="dxa"/>
            </w:tcMar>
          </w:tcPr>
          <w:p w14:paraId="3C80E43F"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Zeleni otpad</w:t>
            </w:r>
          </w:p>
        </w:tc>
        <w:tc>
          <w:tcPr>
            <w:tcW w:w="3161" w:type="pct"/>
            <w:tcMar>
              <w:top w:w="0" w:type="dxa"/>
              <w:left w:w="108" w:type="dxa"/>
              <w:bottom w:w="0" w:type="dxa"/>
              <w:right w:w="108" w:type="dxa"/>
            </w:tcMar>
          </w:tcPr>
          <w:p w14:paraId="37C11D27"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Otvoreni kontejneri sa mogućnošću pokrivanja ceradom</w:t>
            </w:r>
          </w:p>
        </w:tc>
      </w:tr>
      <w:tr w:rsidR="00C232D7" w:rsidRPr="0014164F" w14:paraId="71698FCC" w14:textId="77777777" w:rsidTr="00C232D7">
        <w:tc>
          <w:tcPr>
            <w:tcW w:w="1839" w:type="pct"/>
            <w:tcMar>
              <w:top w:w="0" w:type="dxa"/>
              <w:left w:w="108" w:type="dxa"/>
              <w:bottom w:w="0" w:type="dxa"/>
              <w:right w:w="108" w:type="dxa"/>
            </w:tcMar>
          </w:tcPr>
          <w:p w14:paraId="33244F36"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Drvo</w:t>
            </w:r>
          </w:p>
        </w:tc>
        <w:tc>
          <w:tcPr>
            <w:tcW w:w="3161" w:type="pct"/>
            <w:tcMar>
              <w:top w:w="0" w:type="dxa"/>
              <w:left w:w="108" w:type="dxa"/>
              <w:bottom w:w="0" w:type="dxa"/>
              <w:right w:w="108" w:type="dxa"/>
            </w:tcMar>
          </w:tcPr>
          <w:p w14:paraId="12FF90FA"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Otvoreni kontejneri sa mogućnošću pokrivanja ceradom</w:t>
            </w:r>
          </w:p>
        </w:tc>
      </w:tr>
      <w:tr w:rsidR="00C232D7" w:rsidRPr="0014164F" w14:paraId="03FCC93A" w14:textId="77777777" w:rsidTr="00C232D7">
        <w:tc>
          <w:tcPr>
            <w:tcW w:w="1839" w:type="pct"/>
            <w:tcMar>
              <w:top w:w="0" w:type="dxa"/>
              <w:left w:w="108" w:type="dxa"/>
              <w:bottom w:w="0" w:type="dxa"/>
              <w:right w:w="108" w:type="dxa"/>
            </w:tcMar>
          </w:tcPr>
          <w:p w14:paraId="79BE8229"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Karton</w:t>
            </w:r>
          </w:p>
        </w:tc>
        <w:tc>
          <w:tcPr>
            <w:tcW w:w="3161" w:type="pct"/>
            <w:tcMar>
              <w:top w:w="0" w:type="dxa"/>
              <w:left w:w="108" w:type="dxa"/>
              <w:bottom w:w="0" w:type="dxa"/>
              <w:right w:w="108" w:type="dxa"/>
            </w:tcMar>
          </w:tcPr>
          <w:p w14:paraId="1C94653E"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Otvoreni kontejneri sa mogućnošću pokrivanja ceradom</w:t>
            </w:r>
          </w:p>
        </w:tc>
      </w:tr>
      <w:tr w:rsidR="00C232D7" w:rsidRPr="00C149AB" w14:paraId="122A4D92" w14:textId="77777777" w:rsidTr="00C232D7">
        <w:tc>
          <w:tcPr>
            <w:tcW w:w="1839" w:type="pct"/>
            <w:tcMar>
              <w:top w:w="0" w:type="dxa"/>
              <w:left w:w="108" w:type="dxa"/>
              <w:bottom w:w="0" w:type="dxa"/>
              <w:right w:w="108" w:type="dxa"/>
            </w:tcMar>
          </w:tcPr>
          <w:p w14:paraId="13C07769"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Papir</w:t>
            </w:r>
          </w:p>
        </w:tc>
        <w:tc>
          <w:tcPr>
            <w:tcW w:w="3161" w:type="pct"/>
            <w:tcMar>
              <w:top w:w="0" w:type="dxa"/>
              <w:left w:w="108" w:type="dxa"/>
              <w:bottom w:w="0" w:type="dxa"/>
              <w:right w:w="108" w:type="dxa"/>
            </w:tcMar>
          </w:tcPr>
          <w:p w14:paraId="59B1B99B" w14:textId="183B8654" w:rsidR="00C232D7" w:rsidRPr="00C149AB" w:rsidRDefault="005C4A0C"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Posude</w:t>
            </w:r>
            <w:r w:rsidR="00C232D7" w:rsidRPr="00C149AB">
              <w:rPr>
                <w:rFonts w:ascii="Arial" w:hAnsi="Arial" w:cs="Arial"/>
                <w:bCs/>
                <w:color w:val="000000"/>
                <w:sz w:val="18"/>
                <w:szCs w:val="20"/>
                <w:lang w:val="sq-AL"/>
              </w:rPr>
              <w:t xml:space="preserve"> ili otvoreni kontejneri</w:t>
            </w:r>
          </w:p>
        </w:tc>
      </w:tr>
      <w:tr w:rsidR="00C232D7" w:rsidRPr="00C149AB" w14:paraId="0F0ED54F" w14:textId="77777777" w:rsidTr="00C232D7">
        <w:tc>
          <w:tcPr>
            <w:tcW w:w="1839" w:type="pct"/>
            <w:tcMar>
              <w:top w:w="0" w:type="dxa"/>
              <w:left w:w="108" w:type="dxa"/>
              <w:bottom w:w="0" w:type="dxa"/>
              <w:right w:w="108" w:type="dxa"/>
            </w:tcMar>
          </w:tcPr>
          <w:p w14:paraId="7BEEA0D8"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Plastika</w:t>
            </w:r>
          </w:p>
        </w:tc>
        <w:tc>
          <w:tcPr>
            <w:tcW w:w="3161" w:type="pct"/>
            <w:tcMar>
              <w:top w:w="0" w:type="dxa"/>
              <w:left w:w="108" w:type="dxa"/>
              <w:bottom w:w="0" w:type="dxa"/>
              <w:right w:w="108" w:type="dxa"/>
            </w:tcMar>
          </w:tcPr>
          <w:p w14:paraId="0C9D7143" w14:textId="275877A5" w:rsidR="00C232D7" w:rsidRPr="00C149AB" w:rsidRDefault="005C4A0C"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Posude</w:t>
            </w:r>
            <w:r w:rsidR="00C232D7" w:rsidRPr="00C149AB">
              <w:rPr>
                <w:rFonts w:ascii="Arial" w:hAnsi="Arial" w:cs="Arial"/>
                <w:bCs/>
                <w:color w:val="000000"/>
                <w:sz w:val="18"/>
                <w:szCs w:val="20"/>
                <w:lang w:val="sq-AL"/>
              </w:rPr>
              <w:t xml:space="preserve"> ili otvoreni kontejneri</w:t>
            </w:r>
          </w:p>
        </w:tc>
      </w:tr>
      <w:tr w:rsidR="00C232D7" w:rsidRPr="0014164F" w14:paraId="73E95611" w14:textId="77777777" w:rsidTr="00C232D7">
        <w:tc>
          <w:tcPr>
            <w:tcW w:w="1839" w:type="pct"/>
            <w:tcMar>
              <w:top w:w="0" w:type="dxa"/>
              <w:left w:w="108" w:type="dxa"/>
              <w:bottom w:w="0" w:type="dxa"/>
              <w:right w:w="108" w:type="dxa"/>
            </w:tcMar>
          </w:tcPr>
          <w:p w14:paraId="4719F37E"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Metal</w:t>
            </w:r>
          </w:p>
        </w:tc>
        <w:tc>
          <w:tcPr>
            <w:tcW w:w="3161" w:type="pct"/>
            <w:tcMar>
              <w:top w:w="0" w:type="dxa"/>
              <w:left w:w="108" w:type="dxa"/>
              <w:bottom w:w="0" w:type="dxa"/>
              <w:right w:w="108" w:type="dxa"/>
            </w:tcMar>
          </w:tcPr>
          <w:p w14:paraId="499F00AA" w14:textId="068F5BE1" w:rsidR="00C232D7" w:rsidRPr="00C149AB" w:rsidRDefault="005C4A0C"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Posude</w:t>
            </w:r>
            <w:r w:rsidR="00C232D7" w:rsidRPr="00C149AB">
              <w:rPr>
                <w:rFonts w:ascii="Arial" w:hAnsi="Arial" w:cs="Arial"/>
                <w:bCs/>
                <w:color w:val="000000"/>
                <w:sz w:val="18"/>
                <w:szCs w:val="20"/>
                <w:lang w:val="sq-AL"/>
              </w:rPr>
              <w:t xml:space="preserve"> ili otvoreni kontejneri sa mogućnošću pokrivanja ceradom</w:t>
            </w:r>
          </w:p>
        </w:tc>
      </w:tr>
      <w:tr w:rsidR="00C232D7" w:rsidRPr="00C149AB" w14:paraId="62FF9C26" w14:textId="77777777" w:rsidTr="00C232D7">
        <w:trPr>
          <w:trHeight w:val="230"/>
        </w:trPr>
        <w:tc>
          <w:tcPr>
            <w:tcW w:w="1839" w:type="pct"/>
            <w:tcMar>
              <w:top w:w="0" w:type="dxa"/>
              <w:left w:w="108" w:type="dxa"/>
              <w:bottom w:w="0" w:type="dxa"/>
              <w:right w:w="108" w:type="dxa"/>
            </w:tcMar>
          </w:tcPr>
          <w:p w14:paraId="5997C1FC"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Staklo</w:t>
            </w:r>
          </w:p>
        </w:tc>
        <w:tc>
          <w:tcPr>
            <w:tcW w:w="3161" w:type="pct"/>
            <w:tcMar>
              <w:top w:w="0" w:type="dxa"/>
              <w:left w:w="108" w:type="dxa"/>
              <w:bottom w:w="0" w:type="dxa"/>
              <w:right w:w="108" w:type="dxa"/>
            </w:tcMar>
          </w:tcPr>
          <w:p w14:paraId="2DF9CB79" w14:textId="3FD0CA51" w:rsidR="00C232D7" w:rsidRPr="00C149AB" w:rsidRDefault="005C4A0C"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Posude</w:t>
            </w:r>
            <w:r w:rsidR="00C232D7" w:rsidRPr="00C149AB">
              <w:rPr>
                <w:rFonts w:ascii="Arial" w:hAnsi="Arial" w:cs="Arial"/>
                <w:bCs/>
                <w:color w:val="000000"/>
                <w:sz w:val="18"/>
                <w:szCs w:val="20"/>
                <w:lang w:val="sq-AL"/>
              </w:rPr>
              <w:t xml:space="preserve"> ili otvoreni kontejneri</w:t>
            </w:r>
          </w:p>
        </w:tc>
      </w:tr>
      <w:tr w:rsidR="00C232D7" w:rsidRPr="00C149AB" w14:paraId="50531EA8" w14:textId="77777777" w:rsidTr="00C232D7">
        <w:tc>
          <w:tcPr>
            <w:tcW w:w="1839" w:type="pct"/>
            <w:tcMar>
              <w:top w:w="0" w:type="dxa"/>
              <w:left w:w="108" w:type="dxa"/>
              <w:bottom w:w="0" w:type="dxa"/>
              <w:right w:w="108" w:type="dxa"/>
            </w:tcMar>
          </w:tcPr>
          <w:p w14:paraId="03164AAE"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Tekstil</w:t>
            </w:r>
          </w:p>
        </w:tc>
        <w:tc>
          <w:tcPr>
            <w:tcW w:w="3161" w:type="pct"/>
            <w:tcMar>
              <w:top w:w="0" w:type="dxa"/>
              <w:left w:w="108" w:type="dxa"/>
              <w:bottom w:w="0" w:type="dxa"/>
              <w:right w:w="108" w:type="dxa"/>
            </w:tcMar>
          </w:tcPr>
          <w:p w14:paraId="093BA5C5" w14:textId="1FDA9917" w:rsidR="00C232D7" w:rsidRPr="00C149AB" w:rsidRDefault="005C4A0C"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Posude</w:t>
            </w:r>
          </w:p>
        </w:tc>
      </w:tr>
      <w:tr w:rsidR="00C232D7" w:rsidRPr="00C149AB" w14:paraId="470E223D" w14:textId="77777777" w:rsidTr="00C232D7">
        <w:tc>
          <w:tcPr>
            <w:tcW w:w="1839" w:type="pct"/>
            <w:tcMar>
              <w:top w:w="0" w:type="dxa"/>
              <w:left w:w="108" w:type="dxa"/>
              <w:bottom w:w="0" w:type="dxa"/>
              <w:right w:w="108" w:type="dxa"/>
            </w:tcMar>
          </w:tcPr>
          <w:p w14:paraId="1FCBE452"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Opasni optad</w:t>
            </w:r>
          </w:p>
        </w:tc>
        <w:tc>
          <w:tcPr>
            <w:tcW w:w="3161" w:type="pct"/>
            <w:tcMar>
              <w:top w:w="0" w:type="dxa"/>
              <w:left w:w="108" w:type="dxa"/>
              <w:bottom w:w="0" w:type="dxa"/>
              <w:right w:w="108" w:type="dxa"/>
            </w:tcMar>
          </w:tcPr>
          <w:p w14:paraId="6C02EB6A"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Različite vrste skladištenja</w:t>
            </w:r>
          </w:p>
        </w:tc>
      </w:tr>
      <w:tr w:rsidR="00C232D7" w:rsidRPr="00C149AB" w14:paraId="12DF88E3" w14:textId="77777777" w:rsidTr="00C232D7">
        <w:tc>
          <w:tcPr>
            <w:tcW w:w="1839" w:type="pct"/>
            <w:tcMar>
              <w:top w:w="0" w:type="dxa"/>
              <w:left w:w="108" w:type="dxa"/>
              <w:bottom w:w="0" w:type="dxa"/>
              <w:right w:w="108" w:type="dxa"/>
            </w:tcMar>
          </w:tcPr>
          <w:p w14:paraId="04446B2F"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Električni uređaji</w:t>
            </w:r>
          </w:p>
        </w:tc>
        <w:tc>
          <w:tcPr>
            <w:tcW w:w="3161" w:type="pct"/>
            <w:tcMar>
              <w:top w:w="0" w:type="dxa"/>
              <w:left w:w="108" w:type="dxa"/>
              <w:bottom w:w="0" w:type="dxa"/>
              <w:right w:w="108" w:type="dxa"/>
            </w:tcMar>
          </w:tcPr>
          <w:p w14:paraId="4FD0A890"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Prostor prilagođen potrebama i raspoloživom prostoru</w:t>
            </w:r>
          </w:p>
        </w:tc>
      </w:tr>
      <w:tr w:rsidR="00C232D7" w:rsidRPr="00C149AB" w14:paraId="3784550E" w14:textId="77777777" w:rsidTr="00C232D7">
        <w:tc>
          <w:tcPr>
            <w:tcW w:w="1839" w:type="pct"/>
            <w:tcMar>
              <w:top w:w="0" w:type="dxa"/>
              <w:left w:w="108" w:type="dxa"/>
              <w:bottom w:w="0" w:type="dxa"/>
              <w:right w:w="108" w:type="dxa"/>
            </w:tcMar>
          </w:tcPr>
          <w:p w14:paraId="24932783" w14:textId="47F7B48A"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 xml:space="preserve">Građevinski otpad i otpad od rušenja </w:t>
            </w:r>
          </w:p>
        </w:tc>
        <w:tc>
          <w:tcPr>
            <w:tcW w:w="3161" w:type="pct"/>
            <w:tcMar>
              <w:top w:w="0" w:type="dxa"/>
              <w:left w:w="108" w:type="dxa"/>
              <w:bottom w:w="0" w:type="dxa"/>
              <w:right w:w="108" w:type="dxa"/>
            </w:tcMar>
          </w:tcPr>
          <w:p w14:paraId="3C5F8529"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Otvoreni kontejner</w:t>
            </w:r>
          </w:p>
        </w:tc>
      </w:tr>
      <w:tr w:rsidR="00C232D7" w:rsidRPr="0014164F" w14:paraId="3C2BE8AB" w14:textId="77777777" w:rsidTr="00C232D7">
        <w:tc>
          <w:tcPr>
            <w:tcW w:w="1839" w:type="pct"/>
            <w:tcMar>
              <w:top w:w="0" w:type="dxa"/>
              <w:left w:w="108" w:type="dxa"/>
              <w:bottom w:w="0" w:type="dxa"/>
              <w:right w:w="108" w:type="dxa"/>
            </w:tcMar>
          </w:tcPr>
          <w:p w14:paraId="6ABFC7C9"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Gume</w:t>
            </w:r>
          </w:p>
        </w:tc>
        <w:tc>
          <w:tcPr>
            <w:tcW w:w="3161" w:type="pct"/>
            <w:tcMar>
              <w:top w:w="0" w:type="dxa"/>
              <w:left w:w="108" w:type="dxa"/>
              <w:bottom w:w="0" w:type="dxa"/>
              <w:right w:w="108" w:type="dxa"/>
            </w:tcMar>
          </w:tcPr>
          <w:p w14:paraId="5A6051B8" w14:textId="77777777" w:rsidR="00C232D7" w:rsidRPr="00C149AB" w:rsidRDefault="00C232D7" w:rsidP="00C232D7">
            <w:pPr>
              <w:pStyle w:val="Normal-10pt-Table"/>
              <w:spacing w:before="40" w:after="40" w:line="360" w:lineRule="auto"/>
              <w:jc w:val="both"/>
              <w:rPr>
                <w:rFonts w:ascii="Arial" w:hAnsi="Arial" w:cs="Arial"/>
                <w:bCs/>
                <w:color w:val="000000"/>
                <w:sz w:val="18"/>
                <w:szCs w:val="20"/>
                <w:lang w:val="sq-AL"/>
              </w:rPr>
            </w:pPr>
            <w:r w:rsidRPr="00C149AB">
              <w:rPr>
                <w:rFonts w:ascii="Arial" w:hAnsi="Arial" w:cs="Arial"/>
                <w:bCs/>
                <w:color w:val="000000"/>
                <w:sz w:val="18"/>
                <w:szCs w:val="20"/>
                <w:lang w:val="sq-AL"/>
              </w:rPr>
              <w:t>Otvorene posude sa mogućnošću pokrivanja membranom</w:t>
            </w:r>
          </w:p>
        </w:tc>
      </w:tr>
    </w:tbl>
    <w:p w14:paraId="5ABE002B" w14:textId="77777777" w:rsidR="00D33BB9" w:rsidRPr="009C3E27" w:rsidRDefault="00D33BB9" w:rsidP="00C232D7">
      <w:pPr>
        <w:pStyle w:val="Caption"/>
        <w:rPr>
          <w:rFonts w:ascii="Arial" w:hAnsi="Arial" w:cs="Arial"/>
          <w:b w:val="0"/>
          <w:szCs w:val="20"/>
          <w:lang w:val="sq-AL"/>
        </w:rPr>
      </w:pPr>
      <w:bookmarkStart w:id="1139" w:name="_Toc66354999"/>
      <w:bookmarkStart w:id="1140" w:name="_Toc109051591"/>
      <w:bookmarkStart w:id="1141" w:name="_Toc189515667"/>
      <w:bookmarkStart w:id="1142" w:name="_Toc190160785"/>
    </w:p>
    <w:p w14:paraId="6F8C6468" w14:textId="01E3FEA5" w:rsidR="00C232D7" w:rsidRPr="00C149AB" w:rsidRDefault="00C232D7" w:rsidP="00C232D7">
      <w:pPr>
        <w:pStyle w:val="Caption"/>
        <w:rPr>
          <w:rFonts w:ascii="Arial" w:hAnsi="Arial" w:cs="Arial"/>
          <w:b w:val="0"/>
          <w:szCs w:val="20"/>
          <w:lang w:val="sq-AL"/>
        </w:rPr>
      </w:pPr>
      <w:r w:rsidRPr="00C149AB">
        <w:rPr>
          <w:rFonts w:ascii="Arial" w:hAnsi="Arial" w:cs="Arial"/>
          <w:b w:val="0"/>
          <w:szCs w:val="20"/>
        </w:rPr>
        <w:lastRenderedPageBreak/>
        <w:t xml:space="preserve">Tabela </w:t>
      </w:r>
      <w:r w:rsidRPr="00C149AB">
        <w:rPr>
          <w:rFonts w:ascii="Arial" w:hAnsi="Arial" w:cs="Arial"/>
          <w:b w:val="0"/>
          <w:szCs w:val="20"/>
        </w:rPr>
        <w:fldChar w:fldCharType="begin"/>
      </w:r>
      <w:r w:rsidRPr="00C149AB">
        <w:rPr>
          <w:rFonts w:ascii="Arial" w:hAnsi="Arial" w:cs="Arial"/>
          <w:b w:val="0"/>
          <w:szCs w:val="20"/>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rPr>
        <w:t>90</w:t>
      </w:r>
      <w:r w:rsidRPr="00C149AB">
        <w:rPr>
          <w:rFonts w:ascii="Arial" w:hAnsi="Arial" w:cs="Arial"/>
          <w:b w:val="0"/>
          <w:szCs w:val="20"/>
        </w:rPr>
        <w:fldChar w:fldCharType="end"/>
      </w:r>
      <w:r w:rsidRPr="00C149AB">
        <w:rPr>
          <w:rFonts w:ascii="Arial" w:hAnsi="Arial" w:cs="Arial"/>
          <w:b w:val="0"/>
          <w:szCs w:val="20"/>
          <w:lang w:val="sq-AL"/>
        </w:rPr>
        <w:t xml:space="preserve"> </w:t>
      </w:r>
      <w:bookmarkEnd w:id="1139"/>
      <w:bookmarkEnd w:id="1140"/>
      <w:r w:rsidRPr="00C149AB">
        <w:rPr>
          <w:rFonts w:ascii="Arial" w:hAnsi="Arial" w:cs="Arial"/>
          <w:b w:val="0"/>
          <w:szCs w:val="20"/>
          <w:lang w:val="sq-AL"/>
        </w:rPr>
        <w:t>Sakupljanje svakog materijala (% i kg/kategorija/god) u CSO</w:t>
      </w:r>
      <w:bookmarkEnd w:id="1141"/>
      <w:bookmarkEnd w:id="1142"/>
    </w:p>
    <w:tbl>
      <w:tblPr>
        <w:tblStyle w:val="GridTable4-Accent11"/>
        <w:tblW w:w="44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1151"/>
        <w:gridCol w:w="2253"/>
        <w:gridCol w:w="2256"/>
      </w:tblGrid>
      <w:tr w:rsidR="00C232D7" w:rsidRPr="00C149AB" w14:paraId="4CA8B3D8" w14:textId="77777777" w:rsidTr="00C232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83" w:type="pct"/>
            <w:tcBorders>
              <w:top w:val="single" w:sz="4" w:space="0" w:color="auto"/>
              <w:left w:val="single" w:sz="4" w:space="0" w:color="auto"/>
              <w:bottom w:val="single" w:sz="4" w:space="0" w:color="auto"/>
            </w:tcBorders>
            <w:shd w:val="clear" w:color="auto" w:fill="F2F2F2" w:themeFill="background1" w:themeFillShade="F2"/>
          </w:tcPr>
          <w:p w14:paraId="77F4DCA5" w14:textId="77777777" w:rsidR="00C232D7" w:rsidRPr="00C149AB" w:rsidRDefault="00C232D7" w:rsidP="00C232D7">
            <w:pPr>
              <w:pStyle w:val="Normal-10pt-Table"/>
              <w:spacing w:before="40" w:after="40" w:line="360" w:lineRule="auto"/>
              <w:jc w:val="both"/>
              <w:rPr>
                <w:rFonts w:ascii="Arial" w:hAnsi="Arial" w:cs="Arial"/>
                <w:b w:val="0"/>
                <w:bCs w:val="0"/>
                <w:color w:val="auto"/>
                <w:sz w:val="18"/>
                <w:szCs w:val="20"/>
                <w:lang w:val="sq-AL"/>
              </w:rPr>
            </w:pPr>
            <w:r w:rsidRPr="00C149AB">
              <w:rPr>
                <w:rFonts w:ascii="Arial" w:hAnsi="Arial" w:cs="Arial"/>
                <w:color w:val="auto"/>
                <w:sz w:val="18"/>
                <w:szCs w:val="20"/>
                <w:lang w:val="sq-AL"/>
              </w:rPr>
              <w:t>Materijal</w:t>
            </w:r>
          </w:p>
        </w:tc>
        <w:tc>
          <w:tcPr>
            <w:tcW w:w="695" w:type="pct"/>
            <w:tcBorders>
              <w:top w:val="single" w:sz="4" w:space="0" w:color="auto"/>
              <w:left w:val="single" w:sz="4" w:space="0" w:color="auto"/>
              <w:bottom w:val="single" w:sz="4" w:space="0" w:color="auto"/>
            </w:tcBorders>
            <w:shd w:val="clear" w:color="auto" w:fill="F2F2F2" w:themeFill="background1" w:themeFillShade="F2"/>
          </w:tcPr>
          <w:p w14:paraId="07C19151" w14:textId="77777777" w:rsidR="00C232D7" w:rsidRPr="00C149AB" w:rsidRDefault="00C232D7" w:rsidP="00C232D7">
            <w:pPr>
              <w:pStyle w:val="Normal-10pt-Table"/>
              <w:spacing w:before="40" w:after="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20"/>
                <w:lang w:val="sq-AL"/>
              </w:rPr>
            </w:pPr>
            <w:r w:rsidRPr="00C149AB">
              <w:rPr>
                <w:rFonts w:ascii="Arial" w:hAnsi="Arial" w:cs="Arial"/>
                <w:color w:val="auto"/>
                <w:sz w:val="18"/>
                <w:szCs w:val="20"/>
                <w:lang w:val="sq-AL"/>
              </w:rPr>
              <w:t>%</w:t>
            </w:r>
          </w:p>
        </w:tc>
        <w:tc>
          <w:tcPr>
            <w:tcW w:w="1360" w:type="pct"/>
            <w:tcBorders>
              <w:top w:val="single" w:sz="4" w:space="0" w:color="auto"/>
              <w:left w:val="single" w:sz="4" w:space="0" w:color="auto"/>
              <w:bottom w:val="single" w:sz="4" w:space="0" w:color="auto"/>
            </w:tcBorders>
            <w:shd w:val="clear" w:color="auto" w:fill="F2F2F2" w:themeFill="background1" w:themeFillShade="F2"/>
          </w:tcPr>
          <w:p w14:paraId="27F08F24" w14:textId="5517B587" w:rsidR="00C232D7" w:rsidRPr="00C149AB" w:rsidRDefault="00C232D7" w:rsidP="00C232D7">
            <w:pPr>
              <w:pStyle w:val="Normal-10pt-Table"/>
              <w:spacing w:before="40" w:after="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20"/>
                <w:lang w:val="sq-AL"/>
              </w:rPr>
            </w:pPr>
            <w:r w:rsidRPr="00C149AB">
              <w:rPr>
                <w:rFonts w:ascii="Arial" w:hAnsi="Arial" w:cs="Arial"/>
                <w:color w:val="auto"/>
                <w:sz w:val="18"/>
                <w:szCs w:val="20"/>
                <w:lang w:val="sq-AL"/>
              </w:rPr>
              <w:t>Kg/kategorija</w:t>
            </w:r>
            <w:r w:rsidR="00C455A8" w:rsidRPr="00C149AB">
              <w:rPr>
                <w:rFonts w:ascii="Arial" w:hAnsi="Arial" w:cs="Arial"/>
                <w:color w:val="auto"/>
                <w:sz w:val="18"/>
                <w:szCs w:val="20"/>
                <w:lang w:val="sq-AL"/>
              </w:rPr>
              <w:t>/</w:t>
            </w:r>
            <w:r w:rsidRPr="00C149AB">
              <w:rPr>
                <w:rFonts w:ascii="Arial" w:hAnsi="Arial" w:cs="Arial"/>
                <w:color w:val="auto"/>
                <w:sz w:val="18"/>
                <w:szCs w:val="20"/>
                <w:lang w:val="sq-AL"/>
              </w:rPr>
              <w:t>god (ruralna područja)</w:t>
            </w:r>
          </w:p>
        </w:tc>
        <w:tc>
          <w:tcPr>
            <w:tcW w:w="1362" w:type="pct"/>
            <w:tcBorders>
              <w:top w:val="single" w:sz="4" w:space="0" w:color="auto"/>
              <w:left w:val="single" w:sz="4" w:space="0" w:color="auto"/>
              <w:bottom w:val="single" w:sz="4" w:space="0" w:color="auto"/>
            </w:tcBorders>
            <w:shd w:val="clear" w:color="auto" w:fill="F2F2F2" w:themeFill="background1" w:themeFillShade="F2"/>
          </w:tcPr>
          <w:p w14:paraId="52B03331" w14:textId="390780AE" w:rsidR="00C232D7" w:rsidRPr="00C149AB" w:rsidRDefault="00C232D7" w:rsidP="00C232D7">
            <w:pPr>
              <w:pStyle w:val="Normal-10pt-Table"/>
              <w:spacing w:before="40" w:after="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8"/>
                <w:szCs w:val="20"/>
                <w:lang w:val="sq-AL"/>
              </w:rPr>
            </w:pPr>
            <w:r w:rsidRPr="00C149AB">
              <w:rPr>
                <w:rFonts w:ascii="Arial" w:hAnsi="Arial" w:cs="Arial"/>
                <w:color w:val="auto"/>
                <w:sz w:val="18"/>
                <w:szCs w:val="20"/>
                <w:lang w:val="sq-AL"/>
              </w:rPr>
              <w:t>Kg/kategorija</w:t>
            </w:r>
            <w:r w:rsidR="00C455A8" w:rsidRPr="00C149AB">
              <w:rPr>
                <w:rFonts w:ascii="Arial" w:hAnsi="Arial" w:cs="Arial"/>
                <w:color w:val="auto"/>
                <w:sz w:val="18"/>
                <w:szCs w:val="20"/>
                <w:lang w:val="sq-AL"/>
              </w:rPr>
              <w:t>/</w:t>
            </w:r>
            <w:r w:rsidRPr="00C149AB">
              <w:rPr>
                <w:rFonts w:ascii="Arial" w:hAnsi="Arial" w:cs="Arial"/>
                <w:color w:val="auto"/>
                <w:sz w:val="18"/>
                <w:szCs w:val="20"/>
                <w:lang w:val="sq-AL"/>
              </w:rPr>
              <w:t>god (urbana područja)</w:t>
            </w:r>
          </w:p>
        </w:tc>
      </w:tr>
      <w:tr w:rsidR="00C232D7" w:rsidRPr="00C149AB" w14:paraId="3557E495" w14:textId="77777777" w:rsidTr="00C232D7">
        <w:tc>
          <w:tcPr>
            <w:cnfStyle w:val="001000000000" w:firstRow="0" w:lastRow="0" w:firstColumn="1" w:lastColumn="0" w:oddVBand="0" w:evenVBand="0" w:oddHBand="0" w:evenHBand="0" w:firstRowFirstColumn="0" w:firstRowLastColumn="0" w:lastRowFirstColumn="0" w:lastRowLastColumn="0"/>
            <w:tcW w:w="1583" w:type="pct"/>
            <w:tcBorders>
              <w:top w:val="single" w:sz="4" w:space="0" w:color="auto"/>
            </w:tcBorders>
            <w:shd w:val="clear" w:color="auto" w:fill="auto"/>
            <w:vAlign w:val="center"/>
          </w:tcPr>
          <w:p w14:paraId="7F084586" w14:textId="77777777" w:rsidR="00C232D7" w:rsidRPr="00C149AB" w:rsidRDefault="00C232D7" w:rsidP="00C232D7">
            <w:pPr>
              <w:pStyle w:val="Normal-10pt-Table"/>
              <w:spacing w:before="40" w:after="40" w:line="360" w:lineRule="auto"/>
              <w:jc w:val="both"/>
              <w:rPr>
                <w:rFonts w:ascii="Arial" w:hAnsi="Arial" w:cs="Arial"/>
                <w:sz w:val="18"/>
                <w:szCs w:val="20"/>
                <w:lang w:val="sq-AL"/>
              </w:rPr>
            </w:pPr>
            <w:r w:rsidRPr="00C149AB">
              <w:rPr>
                <w:rFonts w:ascii="Arial" w:hAnsi="Arial" w:cs="Arial"/>
                <w:sz w:val="18"/>
                <w:szCs w:val="20"/>
                <w:lang w:val="sq-AL"/>
              </w:rPr>
              <w:t>Baštenski otpad</w:t>
            </w:r>
          </w:p>
        </w:tc>
        <w:tc>
          <w:tcPr>
            <w:tcW w:w="695" w:type="pct"/>
            <w:tcBorders>
              <w:top w:val="single" w:sz="4" w:space="0" w:color="auto"/>
            </w:tcBorders>
            <w:shd w:val="clear" w:color="auto" w:fill="auto"/>
            <w:vAlign w:val="center"/>
          </w:tcPr>
          <w:p w14:paraId="7B6020A2"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23.82%</w:t>
            </w:r>
          </w:p>
        </w:tc>
        <w:tc>
          <w:tcPr>
            <w:tcW w:w="1360" w:type="pct"/>
            <w:tcBorders>
              <w:top w:val="single" w:sz="4" w:space="0" w:color="auto"/>
            </w:tcBorders>
            <w:shd w:val="clear" w:color="auto" w:fill="auto"/>
            <w:vAlign w:val="center"/>
          </w:tcPr>
          <w:p w14:paraId="31D0E9E7"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19.1</w:t>
            </w:r>
          </w:p>
        </w:tc>
        <w:tc>
          <w:tcPr>
            <w:tcW w:w="1362" w:type="pct"/>
            <w:tcBorders>
              <w:top w:val="single" w:sz="4" w:space="0" w:color="auto"/>
            </w:tcBorders>
            <w:shd w:val="clear" w:color="auto" w:fill="auto"/>
            <w:vAlign w:val="center"/>
          </w:tcPr>
          <w:p w14:paraId="36AA10EB"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9.5</w:t>
            </w:r>
          </w:p>
        </w:tc>
      </w:tr>
      <w:tr w:rsidR="00C232D7" w:rsidRPr="00C149AB" w14:paraId="4BC8DEC9" w14:textId="77777777" w:rsidTr="00C232D7">
        <w:tc>
          <w:tcPr>
            <w:cnfStyle w:val="001000000000" w:firstRow="0" w:lastRow="0" w:firstColumn="1" w:lastColumn="0" w:oddVBand="0" w:evenVBand="0" w:oddHBand="0" w:evenHBand="0" w:firstRowFirstColumn="0" w:firstRowLastColumn="0" w:lastRowFirstColumn="0" w:lastRowLastColumn="0"/>
            <w:tcW w:w="1583" w:type="pct"/>
            <w:shd w:val="clear" w:color="auto" w:fill="auto"/>
          </w:tcPr>
          <w:p w14:paraId="07E90079" w14:textId="77777777" w:rsidR="00C232D7" w:rsidRPr="00C149AB" w:rsidRDefault="00C232D7" w:rsidP="00C232D7">
            <w:pPr>
              <w:pStyle w:val="Normal-10pt-Table"/>
              <w:spacing w:before="40" w:after="40" w:line="360" w:lineRule="auto"/>
              <w:jc w:val="both"/>
              <w:rPr>
                <w:rFonts w:ascii="Arial" w:hAnsi="Arial" w:cs="Arial"/>
                <w:sz w:val="18"/>
                <w:szCs w:val="20"/>
                <w:lang w:val="sq-AL"/>
              </w:rPr>
            </w:pPr>
            <w:r w:rsidRPr="00C149AB">
              <w:rPr>
                <w:rFonts w:ascii="Arial" w:hAnsi="Arial" w:cs="Arial"/>
                <w:sz w:val="18"/>
                <w:szCs w:val="20"/>
                <w:lang w:val="sq-AL"/>
              </w:rPr>
              <w:t>Drvo</w:t>
            </w:r>
          </w:p>
        </w:tc>
        <w:tc>
          <w:tcPr>
            <w:tcW w:w="695" w:type="pct"/>
            <w:shd w:val="clear" w:color="auto" w:fill="auto"/>
            <w:vAlign w:val="center"/>
          </w:tcPr>
          <w:p w14:paraId="10C3DB5B"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14.58%</w:t>
            </w:r>
          </w:p>
        </w:tc>
        <w:tc>
          <w:tcPr>
            <w:tcW w:w="1360" w:type="pct"/>
            <w:shd w:val="clear" w:color="auto" w:fill="auto"/>
            <w:vAlign w:val="center"/>
          </w:tcPr>
          <w:p w14:paraId="44C2EAC8"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11.7</w:t>
            </w:r>
          </w:p>
        </w:tc>
        <w:tc>
          <w:tcPr>
            <w:tcW w:w="1362" w:type="pct"/>
            <w:shd w:val="clear" w:color="auto" w:fill="auto"/>
            <w:vAlign w:val="center"/>
          </w:tcPr>
          <w:p w14:paraId="04B5C164"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5.8</w:t>
            </w:r>
          </w:p>
        </w:tc>
      </w:tr>
      <w:tr w:rsidR="00C232D7" w:rsidRPr="00C149AB" w14:paraId="4CD1FB27" w14:textId="77777777" w:rsidTr="00C232D7">
        <w:tc>
          <w:tcPr>
            <w:cnfStyle w:val="001000000000" w:firstRow="0" w:lastRow="0" w:firstColumn="1" w:lastColumn="0" w:oddVBand="0" w:evenVBand="0" w:oddHBand="0" w:evenHBand="0" w:firstRowFirstColumn="0" w:firstRowLastColumn="0" w:lastRowFirstColumn="0" w:lastRowLastColumn="0"/>
            <w:tcW w:w="1583" w:type="pct"/>
            <w:shd w:val="clear" w:color="auto" w:fill="auto"/>
          </w:tcPr>
          <w:p w14:paraId="7417AD77" w14:textId="499A32CB" w:rsidR="00C232D7" w:rsidRPr="00C149AB" w:rsidRDefault="00C232D7" w:rsidP="00C232D7">
            <w:pPr>
              <w:pStyle w:val="Normal-10pt-Table"/>
              <w:spacing w:before="40" w:after="40" w:line="360" w:lineRule="auto"/>
              <w:jc w:val="both"/>
              <w:rPr>
                <w:rFonts w:ascii="Arial" w:hAnsi="Arial" w:cs="Arial"/>
                <w:sz w:val="18"/>
                <w:szCs w:val="20"/>
                <w:lang w:val="sq-AL"/>
              </w:rPr>
            </w:pPr>
            <w:r w:rsidRPr="00C149AB">
              <w:rPr>
                <w:rFonts w:ascii="Arial" w:hAnsi="Arial" w:cs="Arial"/>
                <w:sz w:val="18"/>
                <w:szCs w:val="20"/>
                <w:lang w:val="sq-AL"/>
              </w:rPr>
              <w:t xml:space="preserve">Električni i elektronski otpad </w:t>
            </w:r>
          </w:p>
        </w:tc>
        <w:tc>
          <w:tcPr>
            <w:tcW w:w="695" w:type="pct"/>
            <w:shd w:val="clear" w:color="auto" w:fill="auto"/>
            <w:vAlign w:val="center"/>
          </w:tcPr>
          <w:p w14:paraId="4B66B660"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6.54%</w:t>
            </w:r>
          </w:p>
        </w:tc>
        <w:tc>
          <w:tcPr>
            <w:tcW w:w="1360" w:type="pct"/>
            <w:shd w:val="clear" w:color="auto" w:fill="auto"/>
            <w:vAlign w:val="center"/>
          </w:tcPr>
          <w:p w14:paraId="3E6F5C5D"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5.2</w:t>
            </w:r>
          </w:p>
        </w:tc>
        <w:tc>
          <w:tcPr>
            <w:tcW w:w="1362" w:type="pct"/>
            <w:shd w:val="clear" w:color="auto" w:fill="auto"/>
            <w:vAlign w:val="center"/>
          </w:tcPr>
          <w:p w14:paraId="51372D4E"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2.6</w:t>
            </w:r>
          </w:p>
        </w:tc>
      </w:tr>
      <w:tr w:rsidR="00C232D7" w:rsidRPr="00C149AB" w14:paraId="73E9F3B9" w14:textId="77777777" w:rsidTr="00C232D7">
        <w:tc>
          <w:tcPr>
            <w:cnfStyle w:val="001000000000" w:firstRow="0" w:lastRow="0" w:firstColumn="1" w:lastColumn="0" w:oddVBand="0" w:evenVBand="0" w:oddHBand="0" w:evenHBand="0" w:firstRowFirstColumn="0" w:firstRowLastColumn="0" w:lastRowFirstColumn="0" w:lastRowLastColumn="0"/>
            <w:tcW w:w="1583" w:type="pct"/>
            <w:shd w:val="clear" w:color="auto" w:fill="auto"/>
            <w:vAlign w:val="center"/>
          </w:tcPr>
          <w:p w14:paraId="2E9CDDA3" w14:textId="77777777" w:rsidR="00C232D7" w:rsidRPr="00C149AB" w:rsidRDefault="00C232D7" w:rsidP="00C232D7">
            <w:pPr>
              <w:pStyle w:val="Normal-10pt-Table"/>
              <w:spacing w:before="40" w:after="40" w:line="360" w:lineRule="auto"/>
              <w:jc w:val="both"/>
              <w:rPr>
                <w:rFonts w:ascii="Arial" w:hAnsi="Arial" w:cs="Arial"/>
                <w:sz w:val="18"/>
                <w:szCs w:val="20"/>
                <w:lang w:val="sq-AL"/>
              </w:rPr>
            </w:pPr>
            <w:r w:rsidRPr="00C149AB">
              <w:rPr>
                <w:rFonts w:ascii="Arial" w:hAnsi="Arial" w:cs="Arial"/>
                <w:color w:val="000000"/>
                <w:sz w:val="18"/>
                <w:szCs w:val="20"/>
                <w:lang w:val="sq-AL"/>
              </w:rPr>
              <w:t>Građevinski otpad i otpad od rušenja</w:t>
            </w:r>
          </w:p>
        </w:tc>
        <w:tc>
          <w:tcPr>
            <w:tcW w:w="695" w:type="pct"/>
            <w:shd w:val="clear" w:color="auto" w:fill="auto"/>
            <w:vAlign w:val="center"/>
          </w:tcPr>
          <w:p w14:paraId="52EF8138"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22,29%</w:t>
            </w:r>
          </w:p>
        </w:tc>
        <w:tc>
          <w:tcPr>
            <w:tcW w:w="1360" w:type="pct"/>
            <w:shd w:val="clear" w:color="auto" w:fill="auto"/>
            <w:vAlign w:val="center"/>
          </w:tcPr>
          <w:p w14:paraId="493D145D"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17.8</w:t>
            </w:r>
          </w:p>
        </w:tc>
        <w:tc>
          <w:tcPr>
            <w:tcW w:w="1362" w:type="pct"/>
            <w:shd w:val="clear" w:color="auto" w:fill="auto"/>
            <w:vAlign w:val="center"/>
          </w:tcPr>
          <w:p w14:paraId="47431784"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8.9</w:t>
            </w:r>
          </w:p>
        </w:tc>
      </w:tr>
      <w:tr w:rsidR="00C232D7" w:rsidRPr="00C149AB" w14:paraId="18D72B5B" w14:textId="77777777" w:rsidTr="00C232D7">
        <w:tc>
          <w:tcPr>
            <w:cnfStyle w:val="001000000000" w:firstRow="0" w:lastRow="0" w:firstColumn="1" w:lastColumn="0" w:oddVBand="0" w:evenVBand="0" w:oddHBand="0" w:evenHBand="0" w:firstRowFirstColumn="0" w:firstRowLastColumn="0" w:lastRowFirstColumn="0" w:lastRowLastColumn="0"/>
            <w:tcW w:w="1583" w:type="pct"/>
            <w:shd w:val="clear" w:color="auto" w:fill="auto"/>
          </w:tcPr>
          <w:p w14:paraId="7137F910" w14:textId="77777777" w:rsidR="00C232D7" w:rsidRPr="00C149AB" w:rsidRDefault="00C232D7" w:rsidP="00C232D7">
            <w:pPr>
              <w:pStyle w:val="Normal-10pt-Table"/>
              <w:spacing w:before="40" w:after="40" w:line="360" w:lineRule="auto"/>
              <w:jc w:val="both"/>
              <w:rPr>
                <w:rFonts w:ascii="Arial" w:hAnsi="Arial" w:cs="Arial"/>
                <w:sz w:val="18"/>
                <w:szCs w:val="20"/>
                <w:lang w:val="sq-AL"/>
              </w:rPr>
            </w:pPr>
            <w:r w:rsidRPr="00C149AB">
              <w:rPr>
                <w:rFonts w:ascii="Arial" w:hAnsi="Arial" w:cs="Arial"/>
                <w:sz w:val="18"/>
                <w:szCs w:val="20"/>
                <w:lang w:val="sq-AL"/>
              </w:rPr>
              <w:t>Opasan otpad</w:t>
            </w:r>
          </w:p>
        </w:tc>
        <w:tc>
          <w:tcPr>
            <w:tcW w:w="695" w:type="pct"/>
            <w:shd w:val="clear" w:color="auto" w:fill="auto"/>
            <w:vAlign w:val="center"/>
          </w:tcPr>
          <w:p w14:paraId="0B5ADA92"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1.66%</w:t>
            </w:r>
          </w:p>
        </w:tc>
        <w:tc>
          <w:tcPr>
            <w:tcW w:w="1360" w:type="pct"/>
            <w:shd w:val="clear" w:color="auto" w:fill="auto"/>
            <w:vAlign w:val="center"/>
          </w:tcPr>
          <w:p w14:paraId="377FBAFA"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1.3</w:t>
            </w:r>
          </w:p>
        </w:tc>
        <w:tc>
          <w:tcPr>
            <w:tcW w:w="1362" w:type="pct"/>
            <w:shd w:val="clear" w:color="auto" w:fill="auto"/>
            <w:vAlign w:val="center"/>
          </w:tcPr>
          <w:p w14:paraId="3A34DB8B"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0.7</w:t>
            </w:r>
          </w:p>
        </w:tc>
      </w:tr>
      <w:tr w:rsidR="00C232D7" w:rsidRPr="00C149AB" w14:paraId="14402C27" w14:textId="77777777" w:rsidTr="00C232D7">
        <w:tc>
          <w:tcPr>
            <w:cnfStyle w:val="001000000000" w:firstRow="0" w:lastRow="0" w:firstColumn="1" w:lastColumn="0" w:oddVBand="0" w:evenVBand="0" w:oddHBand="0" w:evenHBand="0" w:firstRowFirstColumn="0" w:firstRowLastColumn="0" w:lastRowFirstColumn="0" w:lastRowLastColumn="0"/>
            <w:tcW w:w="1583" w:type="pct"/>
            <w:shd w:val="clear" w:color="auto" w:fill="auto"/>
          </w:tcPr>
          <w:p w14:paraId="11A6FCF5" w14:textId="77777777" w:rsidR="00C232D7" w:rsidRPr="00C149AB" w:rsidRDefault="00C232D7" w:rsidP="00C232D7">
            <w:pPr>
              <w:pStyle w:val="Normal-10pt-Table"/>
              <w:spacing w:before="40" w:after="40" w:line="360" w:lineRule="auto"/>
              <w:jc w:val="both"/>
              <w:rPr>
                <w:rFonts w:ascii="Arial" w:hAnsi="Arial" w:cs="Arial"/>
                <w:sz w:val="18"/>
                <w:szCs w:val="20"/>
                <w:lang w:val="sq-AL"/>
              </w:rPr>
            </w:pPr>
            <w:r w:rsidRPr="00C149AB">
              <w:rPr>
                <w:rFonts w:ascii="Arial" w:hAnsi="Arial" w:cs="Arial"/>
                <w:sz w:val="18"/>
                <w:szCs w:val="20"/>
                <w:lang w:val="sq-AL"/>
              </w:rPr>
              <w:t>Papir i karton</w:t>
            </w:r>
          </w:p>
        </w:tc>
        <w:tc>
          <w:tcPr>
            <w:tcW w:w="695" w:type="pct"/>
            <w:shd w:val="clear" w:color="auto" w:fill="auto"/>
            <w:vAlign w:val="center"/>
          </w:tcPr>
          <w:p w14:paraId="4E42EDA3"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5.88%</w:t>
            </w:r>
          </w:p>
        </w:tc>
        <w:tc>
          <w:tcPr>
            <w:tcW w:w="1360" w:type="pct"/>
            <w:shd w:val="clear" w:color="auto" w:fill="auto"/>
            <w:vAlign w:val="center"/>
          </w:tcPr>
          <w:p w14:paraId="78A36D9D"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4.7</w:t>
            </w:r>
          </w:p>
        </w:tc>
        <w:tc>
          <w:tcPr>
            <w:tcW w:w="1362" w:type="pct"/>
            <w:shd w:val="clear" w:color="auto" w:fill="auto"/>
            <w:vAlign w:val="center"/>
          </w:tcPr>
          <w:p w14:paraId="30B1135A"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2.4</w:t>
            </w:r>
          </w:p>
        </w:tc>
      </w:tr>
      <w:tr w:rsidR="00C232D7" w:rsidRPr="00C149AB" w14:paraId="37BD506F" w14:textId="77777777" w:rsidTr="00C232D7">
        <w:tc>
          <w:tcPr>
            <w:cnfStyle w:val="001000000000" w:firstRow="0" w:lastRow="0" w:firstColumn="1" w:lastColumn="0" w:oddVBand="0" w:evenVBand="0" w:oddHBand="0" w:evenHBand="0" w:firstRowFirstColumn="0" w:firstRowLastColumn="0" w:lastRowFirstColumn="0" w:lastRowLastColumn="0"/>
            <w:tcW w:w="1583" w:type="pct"/>
            <w:shd w:val="clear" w:color="auto" w:fill="auto"/>
          </w:tcPr>
          <w:p w14:paraId="7CEAA071" w14:textId="77777777" w:rsidR="00C232D7" w:rsidRPr="00C149AB" w:rsidRDefault="00C232D7" w:rsidP="00C232D7">
            <w:pPr>
              <w:pStyle w:val="Normal-10pt-Table"/>
              <w:spacing w:before="40" w:after="40" w:line="360" w:lineRule="auto"/>
              <w:jc w:val="both"/>
              <w:rPr>
                <w:rFonts w:ascii="Arial" w:hAnsi="Arial" w:cs="Arial"/>
                <w:sz w:val="18"/>
                <w:szCs w:val="20"/>
                <w:lang w:val="sq-AL"/>
              </w:rPr>
            </w:pPr>
            <w:r w:rsidRPr="00C149AB">
              <w:rPr>
                <w:rFonts w:ascii="Arial" w:hAnsi="Arial" w:cs="Arial"/>
                <w:sz w:val="18"/>
                <w:szCs w:val="20"/>
                <w:lang w:val="sq-AL"/>
              </w:rPr>
              <w:t>Staklo</w:t>
            </w:r>
          </w:p>
        </w:tc>
        <w:tc>
          <w:tcPr>
            <w:tcW w:w="695" w:type="pct"/>
            <w:shd w:val="clear" w:color="auto" w:fill="auto"/>
            <w:vAlign w:val="center"/>
          </w:tcPr>
          <w:p w14:paraId="501A0BCE"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1.62%</w:t>
            </w:r>
          </w:p>
        </w:tc>
        <w:tc>
          <w:tcPr>
            <w:tcW w:w="1360" w:type="pct"/>
            <w:shd w:val="clear" w:color="auto" w:fill="auto"/>
            <w:vAlign w:val="center"/>
          </w:tcPr>
          <w:p w14:paraId="1243C850"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1.3</w:t>
            </w:r>
          </w:p>
        </w:tc>
        <w:tc>
          <w:tcPr>
            <w:tcW w:w="1362" w:type="pct"/>
            <w:shd w:val="clear" w:color="auto" w:fill="auto"/>
            <w:vAlign w:val="center"/>
          </w:tcPr>
          <w:p w14:paraId="4D685CCF"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0.6</w:t>
            </w:r>
          </w:p>
        </w:tc>
      </w:tr>
      <w:tr w:rsidR="00C232D7" w:rsidRPr="00C149AB" w14:paraId="508B006B" w14:textId="77777777" w:rsidTr="00C232D7">
        <w:tc>
          <w:tcPr>
            <w:cnfStyle w:val="001000000000" w:firstRow="0" w:lastRow="0" w:firstColumn="1" w:lastColumn="0" w:oddVBand="0" w:evenVBand="0" w:oddHBand="0" w:evenHBand="0" w:firstRowFirstColumn="0" w:firstRowLastColumn="0" w:lastRowFirstColumn="0" w:lastRowLastColumn="0"/>
            <w:tcW w:w="1583" w:type="pct"/>
            <w:shd w:val="clear" w:color="auto" w:fill="auto"/>
          </w:tcPr>
          <w:p w14:paraId="74C386FE" w14:textId="77777777" w:rsidR="00C232D7" w:rsidRPr="00C149AB" w:rsidRDefault="00C232D7" w:rsidP="00C232D7">
            <w:pPr>
              <w:pStyle w:val="Normal-10pt-Table"/>
              <w:spacing w:before="40" w:after="40" w:line="360" w:lineRule="auto"/>
              <w:jc w:val="both"/>
              <w:rPr>
                <w:rFonts w:ascii="Arial" w:hAnsi="Arial" w:cs="Arial"/>
                <w:sz w:val="18"/>
                <w:szCs w:val="20"/>
                <w:lang w:val="sq-AL"/>
              </w:rPr>
            </w:pPr>
            <w:r w:rsidRPr="00C149AB">
              <w:rPr>
                <w:rFonts w:ascii="Arial" w:hAnsi="Arial" w:cs="Arial"/>
                <w:sz w:val="18"/>
                <w:szCs w:val="20"/>
                <w:lang w:val="sq-AL"/>
              </w:rPr>
              <w:t>Plastika</w:t>
            </w:r>
          </w:p>
        </w:tc>
        <w:tc>
          <w:tcPr>
            <w:tcW w:w="695" w:type="pct"/>
            <w:shd w:val="clear" w:color="auto" w:fill="auto"/>
            <w:vAlign w:val="center"/>
          </w:tcPr>
          <w:p w14:paraId="0C1EA1DB"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3.69%</w:t>
            </w:r>
          </w:p>
        </w:tc>
        <w:tc>
          <w:tcPr>
            <w:tcW w:w="1360" w:type="pct"/>
            <w:shd w:val="clear" w:color="auto" w:fill="auto"/>
            <w:vAlign w:val="center"/>
          </w:tcPr>
          <w:p w14:paraId="0E341179"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3.0</w:t>
            </w:r>
          </w:p>
        </w:tc>
        <w:tc>
          <w:tcPr>
            <w:tcW w:w="1362" w:type="pct"/>
            <w:shd w:val="clear" w:color="auto" w:fill="auto"/>
            <w:vAlign w:val="center"/>
          </w:tcPr>
          <w:p w14:paraId="7E8F0A4C"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1.5</w:t>
            </w:r>
          </w:p>
        </w:tc>
      </w:tr>
      <w:tr w:rsidR="00C232D7" w:rsidRPr="00C149AB" w14:paraId="501FF074" w14:textId="77777777" w:rsidTr="00C232D7">
        <w:tc>
          <w:tcPr>
            <w:cnfStyle w:val="001000000000" w:firstRow="0" w:lastRow="0" w:firstColumn="1" w:lastColumn="0" w:oddVBand="0" w:evenVBand="0" w:oddHBand="0" w:evenHBand="0" w:firstRowFirstColumn="0" w:firstRowLastColumn="0" w:lastRowFirstColumn="0" w:lastRowLastColumn="0"/>
            <w:tcW w:w="1583" w:type="pct"/>
            <w:shd w:val="clear" w:color="auto" w:fill="auto"/>
          </w:tcPr>
          <w:p w14:paraId="7F9BD79E" w14:textId="77777777" w:rsidR="00C232D7" w:rsidRPr="00C149AB" w:rsidRDefault="00C232D7" w:rsidP="00C232D7">
            <w:pPr>
              <w:pStyle w:val="Normal-10pt-Table"/>
              <w:spacing w:before="40" w:after="40" w:line="360" w:lineRule="auto"/>
              <w:jc w:val="both"/>
              <w:rPr>
                <w:rFonts w:ascii="Arial" w:hAnsi="Arial" w:cs="Arial"/>
                <w:sz w:val="18"/>
                <w:szCs w:val="20"/>
                <w:lang w:val="sq-AL"/>
              </w:rPr>
            </w:pPr>
            <w:r w:rsidRPr="00C149AB">
              <w:rPr>
                <w:rFonts w:ascii="Arial" w:hAnsi="Arial" w:cs="Arial"/>
                <w:sz w:val="18"/>
                <w:szCs w:val="20"/>
                <w:lang w:val="sq-AL"/>
              </w:rPr>
              <w:t>Metali</w:t>
            </w:r>
          </w:p>
        </w:tc>
        <w:tc>
          <w:tcPr>
            <w:tcW w:w="695" w:type="pct"/>
            <w:shd w:val="clear" w:color="auto" w:fill="auto"/>
            <w:vAlign w:val="center"/>
          </w:tcPr>
          <w:p w14:paraId="18ABC4EF"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6.28%</w:t>
            </w:r>
          </w:p>
        </w:tc>
        <w:tc>
          <w:tcPr>
            <w:tcW w:w="1360" w:type="pct"/>
            <w:shd w:val="clear" w:color="auto" w:fill="auto"/>
            <w:vAlign w:val="center"/>
          </w:tcPr>
          <w:p w14:paraId="10AEB41B"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5.0</w:t>
            </w:r>
          </w:p>
        </w:tc>
        <w:tc>
          <w:tcPr>
            <w:tcW w:w="1362" w:type="pct"/>
            <w:shd w:val="clear" w:color="auto" w:fill="auto"/>
            <w:vAlign w:val="center"/>
          </w:tcPr>
          <w:p w14:paraId="19403AE4"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2.5</w:t>
            </w:r>
          </w:p>
        </w:tc>
      </w:tr>
      <w:tr w:rsidR="00C232D7" w:rsidRPr="00C149AB" w14:paraId="217DB294" w14:textId="77777777" w:rsidTr="00C232D7">
        <w:tc>
          <w:tcPr>
            <w:cnfStyle w:val="001000000000" w:firstRow="0" w:lastRow="0" w:firstColumn="1" w:lastColumn="0" w:oddVBand="0" w:evenVBand="0" w:oddHBand="0" w:evenHBand="0" w:firstRowFirstColumn="0" w:firstRowLastColumn="0" w:lastRowFirstColumn="0" w:lastRowLastColumn="0"/>
            <w:tcW w:w="1583" w:type="pct"/>
            <w:shd w:val="clear" w:color="auto" w:fill="auto"/>
          </w:tcPr>
          <w:p w14:paraId="745871BF" w14:textId="77777777" w:rsidR="00C232D7" w:rsidRPr="00C149AB" w:rsidRDefault="00C232D7" w:rsidP="00C232D7">
            <w:pPr>
              <w:pStyle w:val="Normal-10pt-Table"/>
              <w:spacing w:before="40" w:after="40" w:line="360" w:lineRule="auto"/>
              <w:jc w:val="both"/>
              <w:rPr>
                <w:rFonts w:ascii="Arial" w:hAnsi="Arial" w:cs="Arial"/>
                <w:sz w:val="18"/>
                <w:szCs w:val="20"/>
                <w:lang w:val="sq-AL"/>
              </w:rPr>
            </w:pPr>
            <w:r w:rsidRPr="00C149AB">
              <w:rPr>
                <w:rFonts w:ascii="Arial" w:hAnsi="Arial" w:cs="Arial"/>
                <w:sz w:val="18"/>
                <w:szCs w:val="20"/>
                <w:lang w:val="sq-AL"/>
              </w:rPr>
              <w:t>Tekstil</w:t>
            </w:r>
          </w:p>
        </w:tc>
        <w:tc>
          <w:tcPr>
            <w:tcW w:w="695" w:type="pct"/>
            <w:shd w:val="clear" w:color="auto" w:fill="auto"/>
            <w:vAlign w:val="center"/>
          </w:tcPr>
          <w:p w14:paraId="0010A3E7"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3.43%</w:t>
            </w:r>
          </w:p>
        </w:tc>
        <w:tc>
          <w:tcPr>
            <w:tcW w:w="1360" w:type="pct"/>
            <w:shd w:val="clear" w:color="auto" w:fill="auto"/>
            <w:vAlign w:val="center"/>
          </w:tcPr>
          <w:p w14:paraId="196C7D9B"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2.7</w:t>
            </w:r>
          </w:p>
        </w:tc>
        <w:tc>
          <w:tcPr>
            <w:tcW w:w="1362" w:type="pct"/>
            <w:shd w:val="clear" w:color="auto" w:fill="auto"/>
            <w:vAlign w:val="center"/>
          </w:tcPr>
          <w:p w14:paraId="721B6EFC"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1.4</w:t>
            </w:r>
          </w:p>
        </w:tc>
      </w:tr>
      <w:tr w:rsidR="00C232D7" w:rsidRPr="00C149AB" w14:paraId="0790B24B" w14:textId="77777777" w:rsidTr="00C232D7">
        <w:tc>
          <w:tcPr>
            <w:cnfStyle w:val="001000000000" w:firstRow="0" w:lastRow="0" w:firstColumn="1" w:lastColumn="0" w:oddVBand="0" w:evenVBand="0" w:oddHBand="0" w:evenHBand="0" w:firstRowFirstColumn="0" w:firstRowLastColumn="0" w:lastRowFirstColumn="0" w:lastRowLastColumn="0"/>
            <w:tcW w:w="1583" w:type="pct"/>
            <w:shd w:val="clear" w:color="auto" w:fill="auto"/>
          </w:tcPr>
          <w:p w14:paraId="6E3890EF" w14:textId="77777777" w:rsidR="00C232D7" w:rsidRPr="00C149AB" w:rsidRDefault="00C232D7" w:rsidP="00C232D7">
            <w:pPr>
              <w:pStyle w:val="Normal-10pt-Table"/>
              <w:spacing w:before="40" w:after="40" w:line="360" w:lineRule="auto"/>
              <w:jc w:val="both"/>
              <w:rPr>
                <w:rFonts w:ascii="Arial" w:hAnsi="Arial" w:cs="Arial"/>
                <w:sz w:val="18"/>
                <w:szCs w:val="20"/>
                <w:lang w:val="sq-AL"/>
              </w:rPr>
            </w:pPr>
            <w:r w:rsidRPr="00C149AB">
              <w:rPr>
                <w:rFonts w:ascii="Arial" w:hAnsi="Arial" w:cs="Arial"/>
                <w:sz w:val="18"/>
                <w:szCs w:val="20"/>
                <w:lang w:val="sq-AL"/>
              </w:rPr>
              <w:t>Kabasti otpad</w:t>
            </w:r>
          </w:p>
        </w:tc>
        <w:tc>
          <w:tcPr>
            <w:tcW w:w="695" w:type="pct"/>
            <w:shd w:val="clear" w:color="auto" w:fill="auto"/>
            <w:vAlign w:val="center"/>
          </w:tcPr>
          <w:p w14:paraId="0B1D115F"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5.45%</w:t>
            </w:r>
          </w:p>
        </w:tc>
        <w:tc>
          <w:tcPr>
            <w:tcW w:w="1360" w:type="pct"/>
            <w:shd w:val="clear" w:color="auto" w:fill="auto"/>
            <w:vAlign w:val="center"/>
          </w:tcPr>
          <w:p w14:paraId="75301664"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4.4</w:t>
            </w:r>
          </w:p>
        </w:tc>
        <w:tc>
          <w:tcPr>
            <w:tcW w:w="1362" w:type="pct"/>
            <w:shd w:val="clear" w:color="auto" w:fill="auto"/>
            <w:vAlign w:val="center"/>
          </w:tcPr>
          <w:p w14:paraId="50D7F2F6"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2.2</w:t>
            </w:r>
          </w:p>
        </w:tc>
      </w:tr>
      <w:tr w:rsidR="00C232D7" w:rsidRPr="00C149AB" w14:paraId="16BDB5BE" w14:textId="77777777" w:rsidTr="00C232D7">
        <w:tc>
          <w:tcPr>
            <w:cnfStyle w:val="001000000000" w:firstRow="0" w:lastRow="0" w:firstColumn="1" w:lastColumn="0" w:oddVBand="0" w:evenVBand="0" w:oddHBand="0" w:evenHBand="0" w:firstRowFirstColumn="0" w:firstRowLastColumn="0" w:lastRowFirstColumn="0" w:lastRowLastColumn="0"/>
            <w:tcW w:w="1583" w:type="pct"/>
            <w:shd w:val="clear" w:color="auto" w:fill="auto"/>
          </w:tcPr>
          <w:p w14:paraId="5514A270" w14:textId="77777777" w:rsidR="00C232D7" w:rsidRPr="00C149AB" w:rsidRDefault="00C232D7" w:rsidP="00C232D7">
            <w:pPr>
              <w:pStyle w:val="Normal-10pt-Table"/>
              <w:spacing w:before="40" w:after="40" w:line="360" w:lineRule="auto"/>
              <w:jc w:val="both"/>
              <w:rPr>
                <w:rFonts w:ascii="Arial" w:hAnsi="Arial" w:cs="Arial"/>
                <w:sz w:val="18"/>
                <w:szCs w:val="20"/>
                <w:lang w:val="sq-AL"/>
              </w:rPr>
            </w:pPr>
            <w:r w:rsidRPr="00C149AB">
              <w:rPr>
                <w:rFonts w:ascii="Arial" w:hAnsi="Arial" w:cs="Arial"/>
                <w:sz w:val="18"/>
                <w:szCs w:val="20"/>
                <w:lang w:val="sq-AL"/>
              </w:rPr>
              <w:t>Sitni predmeti za domaćinstvo</w:t>
            </w:r>
          </w:p>
        </w:tc>
        <w:tc>
          <w:tcPr>
            <w:tcW w:w="695" w:type="pct"/>
            <w:shd w:val="clear" w:color="auto" w:fill="auto"/>
            <w:vAlign w:val="center"/>
          </w:tcPr>
          <w:p w14:paraId="13A88F90"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4.75%</w:t>
            </w:r>
          </w:p>
        </w:tc>
        <w:tc>
          <w:tcPr>
            <w:tcW w:w="1360" w:type="pct"/>
            <w:shd w:val="clear" w:color="auto" w:fill="auto"/>
            <w:vAlign w:val="center"/>
          </w:tcPr>
          <w:p w14:paraId="449837DE"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3.8</w:t>
            </w:r>
          </w:p>
        </w:tc>
        <w:tc>
          <w:tcPr>
            <w:tcW w:w="1362" w:type="pct"/>
            <w:shd w:val="clear" w:color="auto" w:fill="auto"/>
            <w:vAlign w:val="center"/>
          </w:tcPr>
          <w:p w14:paraId="1EA40E1A"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color w:val="000000"/>
                <w:sz w:val="18"/>
                <w:szCs w:val="20"/>
                <w:lang w:val="sq-AL"/>
              </w:rPr>
              <w:t>1.9</w:t>
            </w:r>
          </w:p>
        </w:tc>
      </w:tr>
      <w:tr w:rsidR="00C232D7" w:rsidRPr="00C149AB" w14:paraId="442DFDFA" w14:textId="77777777" w:rsidTr="00C232D7">
        <w:tc>
          <w:tcPr>
            <w:cnfStyle w:val="001000000000" w:firstRow="0" w:lastRow="0" w:firstColumn="1" w:lastColumn="0" w:oddVBand="0" w:evenVBand="0" w:oddHBand="0" w:evenHBand="0" w:firstRowFirstColumn="0" w:firstRowLastColumn="0" w:lastRowFirstColumn="0" w:lastRowLastColumn="0"/>
            <w:tcW w:w="1583" w:type="pct"/>
            <w:shd w:val="clear" w:color="auto" w:fill="auto"/>
            <w:vAlign w:val="center"/>
          </w:tcPr>
          <w:p w14:paraId="06F1F9A4" w14:textId="77777777" w:rsidR="00C232D7" w:rsidRPr="00C149AB" w:rsidRDefault="00C232D7" w:rsidP="00C232D7">
            <w:pPr>
              <w:pStyle w:val="Normal-10pt-Table"/>
              <w:spacing w:before="40" w:after="40" w:line="360" w:lineRule="auto"/>
              <w:jc w:val="both"/>
              <w:rPr>
                <w:rFonts w:ascii="Arial" w:hAnsi="Arial" w:cs="Arial"/>
                <w:sz w:val="18"/>
                <w:szCs w:val="20"/>
                <w:lang w:val="sq-AL"/>
              </w:rPr>
            </w:pPr>
            <w:r w:rsidRPr="00C149AB">
              <w:rPr>
                <w:rFonts w:ascii="Arial" w:hAnsi="Arial" w:cs="Arial"/>
                <w:sz w:val="18"/>
                <w:szCs w:val="20"/>
                <w:lang w:val="sq-AL"/>
              </w:rPr>
              <w:t>Ukupno</w:t>
            </w:r>
          </w:p>
        </w:tc>
        <w:tc>
          <w:tcPr>
            <w:tcW w:w="695" w:type="pct"/>
            <w:shd w:val="clear" w:color="auto" w:fill="auto"/>
            <w:vAlign w:val="center"/>
          </w:tcPr>
          <w:p w14:paraId="0C02C439"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20"/>
                <w:lang w:val="sq-AL"/>
              </w:rPr>
            </w:pPr>
            <w:r w:rsidRPr="00C149AB">
              <w:rPr>
                <w:rFonts w:ascii="Arial" w:hAnsi="Arial" w:cs="Arial"/>
                <w:b/>
                <w:bCs/>
                <w:color w:val="000000"/>
                <w:sz w:val="18"/>
                <w:szCs w:val="20"/>
                <w:lang w:val="sq-AL"/>
              </w:rPr>
              <w:t>100.00%</w:t>
            </w:r>
          </w:p>
        </w:tc>
        <w:tc>
          <w:tcPr>
            <w:tcW w:w="1360" w:type="pct"/>
            <w:shd w:val="clear" w:color="auto" w:fill="auto"/>
            <w:vAlign w:val="center"/>
          </w:tcPr>
          <w:p w14:paraId="612E88A9"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20"/>
                <w:lang w:val="sq-AL"/>
              </w:rPr>
            </w:pPr>
            <w:r w:rsidRPr="00C149AB">
              <w:rPr>
                <w:rFonts w:ascii="Arial" w:hAnsi="Arial" w:cs="Arial"/>
                <w:b/>
                <w:bCs/>
                <w:color w:val="000000"/>
                <w:sz w:val="18"/>
                <w:szCs w:val="20"/>
                <w:lang w:val="sq-AL"/>
              </w:rPr>
              <w:t>80</w:t>
            </w:r>
          </w:p>
        </w:tc>
        <w:tc>
          <w:tcPr>
            <w:tcW w:w="1362" w:type="pct"/>
            <w:shd w:val="clear" w:color="auto" w:fill="auto"/>
            <w:vAlign w:val="center"/>
          </w:tcPr>
          <w:p w14:paraId="513D9FF3"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20"/>
                <w:lang w:val="sq-AL"/>
              </w:rPr>
            </w:pPr>
            <w:r w:rsidRPr="00C149AB">
              <w:rPr>
                <w:rFonts w:ascii="Arial" w:hAnsi="Arial" w:cs="Arial"/>
                <w:b/>
                <w:bCs/>
                <w:color w:val="000000"/>
                <w:sz w:val="18"/>
                <w:szCs w:val="20"/>
                <w:lang w:val="sq-AL"/>
              </w:rPr>
              <w:t>40</w:t>
            </w:r>
          </w:p>
        </w:tc>
      </w:tr>
    </w:tbl>
    <w:p w14:paraId="33752B59" w14:textId="72094F6B" w:rsidR="00C232D7" w:rsidRPr="002A6F4E" w:rsidRDefault="005814F4" w:rsidP="00F57909">
      <w:pPr>
        <w:pStyle w:val="Heading2"/>
      </w:pPr>
      <w:bookmarkStart w:id="1143" w:name="_Toc121759063"/>
      <w:bookmarkStart w:id="1144" w:name="_Toc66354892"/>
      <w:bookmarkStart w:id="1145" w:name="_Toc109051450"/>
      <w:bookmarkStart w:id="1146" w:name="_Toc66354300"/>
      <w:bookmarkStart w:id="1147" w:name="_Toc189759705"/>
      <w:bookmarkStart w:id="1148" w:name="_Toc193354033"/>
      <w:r>
        <w:t>5.2</w:t>
      </w:r>
      <w:r w:rsidR="009751D2">
        <w:t>6</w:t>
      </w:r>
      <w:r>
        <w:t xml:space="preserve">. </w:t>
      </w:r>
      <w:r w:rsidR="00C232D7" w:rsidRPr="002A6F4E">
        <w:t>Alternativni tipovi</w:t>
      </w:r>
      <w:r w:rsidR="00620C9B">
        <w:t xml:space="preserve"> </w:t>
      </w:r>
      <w:r w:rsidR="00C232D7" w:rsidRPr="002A6F4E">
        <w:t>-</w:t>
      </w:r>
      <w:r w:rsidR="00620C9B">
        <w:t xml:space="preserve"> </w:t>
      </w:r>
      <w:r w:rsidR="00C232D7" w:rsidRPr="002A6F4E">
        <w:t>osnovne karakteristike</w:t>
      </w:r>
      <w:bookmarkEnd w:id="1143"/>
      <w:bookmarkEnd w:id="1144"/>
      <w:bookmarkEnd w:id="1145"/>
      <w:bookmarkEnd w:id="1146"/>
      <w:bookmarkEnd w:id="1147"/>
      <w:bookmarkEnd w:id="1148"/>
      <w:r w:rsidR="00C232D7" w:rsidRPr="002A6F4E">
        <w:t xml:space="preserve"> </w:t>
      </w:r>
    </w:p>
    <w:p w14:paraId="310CD2C5" w14:textId="2A5AEFBC"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Mreža reciklažnih </w:t>
      </w:r>
      <w:r w:rsidR="00034F81">
        <w:rPr>
          <w:rFonts w:ascii="Arial" w:hAnsi="Arial" w:cs="Arial"/>
          <w:lang w:val="sq-AL"/>
        </w:rPr>
        <w:t>dvorišta</w:t>
      </w:r>
      <w:r w:rsidRPr="002A6F4E">
        <w:rPr>
          <w:rFonts w:ascii="Arial" w:hAnsi="Arial" w:cs="Arial"/>
          <w:lang w:val="sq-AL"/>
        </w:rPr>
        <w:t xml:space="preserve"> će se sastojati od opreme, koja će se razlikovati po veličini i radu. Razlozi zbog kojih će se uvesti različite vrste CSO odnose se na zahtjeve i ograničenja koja proizilaze iz:</w:t>
      </w:r>
    </w:p>
    <w:p w14:paraId="53FE9673" w14:textId="00B16275" w:rsidR="00C232D7" w:rsidRPr="002A6F4E" w:rsidRDefault="00C232D7" w:rsidP="00A23ED0">
      <w:pPr>
        <w:pStyle w:val="ListParagraph"/>
        <w:numPr>
          <w:ilvl w:val="0"/>
          <w:numId w:val="49"/>
        </w:numPr>
        <w:spacing w:before="120" w:after="120" w:line="360" w:lineRule="auto"/>
        <w:contextualSpacing w:val="0"/>
        <w:rPr>
          <w:rFonts w:ascii="Arial" w:hAnsi="Arial" w:cs="Arial"/>
          <w:lang w:val="sq-AL"/>
        </w:rPr>
      </w:pPr>
      <w:r w:rsidRPr="002A6F4E">
        <w:rPr>
          <w:rFonts w:ascii="Arial" w:hAnsi="Arial" w:cs="Arial"/>
          <w:lang w:val="sq-AL"/>
        </w:rPr>
        <w:t>lokacija i neuspjeh u pronalaženju odgovarajućih raspoloživih prostora za izgradnju CSO;</w:t>
      </w:r>
    </w:p>
    <w:p w14:paraId="68DE8D2C" w14:textId="12CDE8BE" w:rsidR="00C232D7" w:rsidRPr="002A6F4E" w:rsidRDefault="00C232D7" w:rsidP="00A23ED0">
      <w:pPr>
        <w:pStyle w:val="ListParagraph"/>
        <w:numPr>
          <w:ilvl w:val="0"/>
          <w:numId w:val="49"/>
        </w:numPr>
        <w:spacing w:before="120" w:after="120" w:line="360" w:lineRule="auto"/>
        <w:contextualSpacing w:val="0"/>
        <w:rPr>
          <w:rFonts w:ascii="Arial" w:hAnsi="Arial" w:cs="Arial"/>
          <w:lang w:val="sq-AL"/>
        </w:rPr>
      </w:pPr>
      <w:r w:rsidRPr="002A6F4E">
        <w:rPr>
          <w:rFonts w:ascii="Arial" w:hAnsi="Arial" w:cs="Arial"/>
          <w:lang w:val="sq-AL"/>
        </w:rPr>
        <w:t>finansijsko stanje opštine;</w:t>
      </w:r>
    </w:p>
    <w:p w14:paraId="3CDAB131" w14:textId="77777777" w:rsidR="00C232D7" w:rsidRPr="002A6F4E" w:rsidRDefault="00C232D7" w:rsidP="00A23ED0">
      <w:pPr>
        <w:pStyle w:val="ListParagraph"/>
        <w:numPr>
          <w:ilvl w:val="0"/>
          <w:numId w:val="49"/>
        </w:numPr>
        <w:spacing w:before="120" w:after="120" w:line="360" w:lineRule="auto"/>
        <w:contextualSpacing w:val="0"/>
        <w:rPr>
          <w:rFonts w:ascii="Arial" w:hAnsi="Arial" w:cs="Arial"/>
          <w:lang w:val="sq-AL"/>
        </w:rPr>
      </w:pPr>
      <w:r w:rsidRPr="002A6F4E">
        <w:rPr>
          <w:rFonts w:ascii="Arial" w:hAnsi="Arial" w:cs="Arial"/>
          <w:lang w:val="sq-AL"/>
        </w:rPr>
        <w:t>potreba da se obezbijedi zadovoljavajući opseg usluga za korisnike;</w:t>
      </w:r>
    </w:p>
    <w:p w14:paraId="2CCC8755" w14:textId="77777777" w:rsidR="00C232D7" w:rsidRPr="002A6F4E" w:rsidRDefault="00C232D7" w:rsidP="00A23ED0">
      <w:pPr>
        <w:pStyle w:val="ListParagraph"/>
        <w:numPr>
          <w:ilvl w:val="0"/>
          <w:numId w:val="49"/>
        </w:numPr>
        <w:spacing w:before="120" w:after="120" w:line="360" w:lineRule="auto"/>
        <w:contextualSpacing w:val="0"/>
        <w:rPr>
          <w:rFonts w:ascii="Arial" w:hAnsi="Arial" w:cs="Arial"/>
          <w:lang w:val="sq-AL"/>
        </w:rPr>
      </w:pPr>
      <w:r w:rsidRPr="002A6F4E">
        <w:rPr>
          <w:rFonts w:ascii="Arial" w:hAnsi="Arial" w:cs="Arial"/>
          <w:lang w:val="sq-AL"/>
        </w:rPr>
        <w:t>stanovništvo područja;</w:t>
      </w:r>
    </w:p>
    <w:p w14:paraId="3D709C40" w14:textId="77777777" w:rsidR="00C232D7" w:rsidRPr="002A6F4E" w:rsidRDefault="00C232D7" w:rsidP="00A23ED0">
      <w:pPr>
        <w:pStyle w:val="ListParagraph"/>
        <w:numPr>
          <w:ilvl w:val="0"/>
          <w:numId w:val="49"/>
        </w:numPr>
        <w:spacing w:before="120" w:after="120" w:line="360" w:lineRule="auto"/>
        <w:contextualSpacing w:val="0"/>
        <w:rPr>
          <w:rFonts w:ascii="Arial" w:hAnsi="Arial" w:cs="Arial"/>
          <w:lang w:val="sq-AL"/>
        </w:rPr>
      </w:pPr>
      <w:r w:rsidRPr="002A6F4E">
        <w:rPr>
          <w:rFonts w:ascii="Arial" w:hAnsi="Arial" w:cs="Arial"/>
          <w:lang w:val="sq-AL"/>
        </w:rPr>
        <w:t>potreba da se opslužuju udaljena područja/naselja, gdje izgradnja druge infrastrukture za upravljanje otpadom nije ekonomski isplativa;</w:t>
      </w:r>
    </w:p>
    <w:p w14:paraId="24270AF5" w14:textId="77777777" w:rsidR="00C232D7" w:rsidRPr="002A6F4E" w:rsidRDefault="00C232D7" w:rsidP="00A23ED0">
      <w:pPr>
        <w:pStyle w:val="ListParagraph"/>
        <w:numPr>
          <w:ilvl w:val="0"/>
          <w:numId w:val="49"/>
        </w:numPr>
        <w:spacing w:before="120" w:after="120" w:line="360" w:lineRule="auto"/>
        <w:contextualSpacing w:val="0"/>
        <w:rPr>
          <w:rFonts w:ascii="Arial" w:hAnsi="Arial" w:cs="Arial"/>
          <w:lang w:val="sq-AL"/>
        </w:rPr>
      </w:pPr>
      <w:r w:rsidRPr="002A6F4E">
        <w:rPr>
          <w:rFonts w:ascii="Arial" w:hAnsi="Arial" w:cs="Arial"/>
          <w:lang w:val="sq-AL"/>
        </w:rPr>
        <w:t>dostupnost na tržištu za sakupljeni materijal;</w:t>
      </w:r>
    </w:p>
    <w:p w14:paraId="08DC2C54" w14:textId="77777777" w:rsidR="00C232D7" w:rsidRPr="002A6F4E" w:rsidRDefault="00C232D7" w:rsidP="00A23ED0">
      <w:pPr>
        <w:pStyle w:val="ListParagraph"/>
        <w:numPr>
          <w:ilvl w:val="0"/>
          <w:numId w:val="49"/>
        </w:numPr>
        <w:spacing w:before="120" w:after="120" w:line="360" w:lineRule="auto"/>
        <w:contextualSpacing w:val="0"/>
        <w:rPr>
          <w:rFonts w:ascii="Arial" w:hAnsi="Arial" w:cs="Arial"/>
          <w:lang w:val="sq-AL"/>
        </w:rPr>
      </w:pPr>
      <w:r w:rsidRPr="002A6F4E">
        <w:rPr>
          <w:rFonts w:ascii="Arial" w:hAnsi="Arial" w:cs="Arial"/>
          <w:lang w:val="sq-AL"/>
        </w:rPr>
        <w:t>rad programa odvajanja otpada na izvorima u datim područjima.</w:t>
      </w:r>
    </w:p>
    <w:p w14:paraId="019D4565" w14:textId="7DABD995"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Glavne vrste CSO koji će biti analizirani su predstavljeni u nastavku</w:t>
      </w:r>
      <w:r w:rsidR="00620C9B">
        <w:rPr>
          <w:rFonts w:ascii="Arial" w:hAnsi="Arial" w:cs="Arial"/>
          <w:lang w:val="sq-AL"/>
        </w:rPr>
        <w:t>.</w:t>
      </w:r>
    </w:p>
    <w:p w14:paraId="734BB82D" w14:textId="77777777" w:rsidR="00C232D7" w:rsidRPr="002A6F4E" w:rsidRDefault="00C232D7" w:rsidP="00C232D7">
      <w:pPr>
        <w:spacing w:before="120" w:after="120" w:line="360" w:lineRule="auto"/>
        <w:rPr>
          <w:rFonts w:ascii="Arial" w:hAnsi="Arial" w:cs="Arial"/>
          <w:lang w:val="sq-AL"/>
        </w:rPr>
      </w:pPr>
    </w:p>
    <w:p w14:paraId="7F618B1A" w14:textId="19BCE2E2" w:rsidR="00C232D7" w:rsidRPr="002A6F4E" w:rsidRDefault="00620A47" w:rsidP="00F57909">
      <w:pPr>
        <w:pStyle w:val="Heading2"/>
      </w:pPr>
      <w:bookmarkStart w:id="1149" w:name="_Toc66354893"/>
      <w:bookmarkStart w:id="1150" w:name="_Toc66354301"/>
      <w:bookmarkStart w:id="1151" w:name="_Toc121759064"/>
      <w:bookmarkStart w:id="1152" w:name="_Toc109051451"/>
      <w:bookmarkStart w:id="1153" w:name="_Toc189759706"/>
      <w:bookmarkStart w:id="1154" w:name="_Toc193354034"/>
      <w:r>
        <w:lastRenderedPageBreak/>
        <w:t>5.2</w:t>
      </w:r>
      <w:r w:rsidR="009751D2">
        <w:t>7</w:t>
      </w:r>
      <w:r>
        <w:t xml:space="preserve">. </w:t>
      </w:r>
      <w:r w:rsidR="00C232D7" w:rsidRPr="002A6F4E">
        <w:t xml:space="preserve">Broj </w:t>
      </w:r>
      <w:bookmarkEnd w:id="1149"/>
      <w:bookmarkEnd w:id="1150"/>
      <w:bookmarkEnd w:id="1151"/>
      <w:bookmarkEnd w:id="1152"/>
      <w:r w:rsidR="00C232D7" w:rsidRPr="002A6F4E">
        <w:t>centara za sakupljanje otpada</w:t>
      </w:r>
      <w:bookmarkEnd w:id="1153"/>
      <w:bookmarkEnd w:id="1154"/>
      <w:r w:rsidR="00C232D7" w:rsidRPr="002A6F4E">
        <w:t xml:space="preserve"> </w:t>
      </w:r>
    </w:p>
    <w:p w14:paraId="5C22702F" w14:textId="4107FCA6"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Reciklažni centri koji dobro funkcionišu su lako dostupni i dobro povezani sa putnom mrežom. Građani i mala preduzeća mogu u tim centrima da odlože što je moguće više frakcija otpada koje se mogu reciklirati ili povratiti (po razumnim troškovima). Dodatno, reciklažni centri mogu biti dopunjeni mobilnim/privremenim sabirnim postrojenjima na planiranim lokacijama u određeno doba, kako bi se povećala upotrebljivost takvih objekata od strane stanovnika. Jedinice lokalne samouprave definišu veličinu, lokaciju, broj sakupljenih frakcija otpada i druge važne operativne parametre i daju jasna uputstva građanima</w:t>
      </w:r>
      <w:r w:rsidRPr="002A6F4E">
        <w:rPr>
          <w:rFonts w:ascii="Arial" w:hAnsi="Arial" w:cs="Arial"/>
          <w:vertAlign w:val="superscript"/>
          <w:lang w:val="sq-AL"/>
        </w:rPr>
        <w:footnoteReference w:id="34"/>
      </w:r>
      <w:r w:rsidRPr="002A6F4E">
        <w:rPr>
          <w:rFonts w:ascii="Arial" w:hAnsi="Arial" w:cs="Arial"/>
          <w:lang w:val="sq-AL"/>
        </w:rPr>
        <w:t>. Konkretno, broj ukupnih lokacija</w:t>
      </w:r>
      <w:r w:rsidR="00F47990">
        <w:rPr>
          <w:rFonts w:ascii="Arial" w:hAnsi="Arial" w:cs="Arial"/>
          <w:lang w:val="sq-AL"/>
        </w:rPr>
        <w:t>, stacionarnih</w:t>
      </w:r>
      <w:r w:rsidRPr="002A6F4E">
        <w:rPr>
          <w:rFonts w:ascii="Arial" w:hAnsi="Arial" w:cs="Arial"/>
          <w:lang w:val="sq-AL"/>
        </w:rPr>
        <w:t xml:space="preserve"> i </w:t>
      </w:r>
      <w:r w:rsidR="00F47990">
        <w:rPr>
          <w:rFonts w:ascii="Arial" w:hAnsi="Arial" w:cs="Arial"/>
          <w:lang w:val="sq-AL"/>
        </w:rPr>
        <w:t xml:space="preserve">mobilnih </w:t>
      </w:r>
      <w:r w:rsidRPr="002A6F4E">
        <w:rPr>
          <w:rFonts w:ascii="Arial" w:hAnsi="Arial" w:cs="Arial"/>
          <w:lang w:val="sq-AL"/>
        </w:rPr>
        <w:t>mrež</w:t>
      </w:r>
      <w:r w:rsidR="00F47990">
        <w:rPr>
          <w:rFonts w:ascii="Arial" w:hAnsi="Arial" w:cs="Arial"/>
          <w:lang w:val="sq-AL"/>
        </w:rPr>
        <w:t>a</w:t>
      </w:r>
      <w:r w:rsidRPr="002A6F4E">
        <w:rPr>
          <w:rFonts w:ascii="Arial" w:hAnsi="Arial" w:cs="Arial"/>
          <w:lang w:val="sq-AL"/>
        </w:rPr>
        <w:t xml:space="preserve"> CSO zavisi od:</w:t>
      </w:r>
    </w:p>
    <w:p w14:paraId="3036B223" w14:textId="77777777" w:rsidR="00C232D7" w:rsidRPr="002A6F4E" w:rsidRDefault="00C232D7" w:rsidP="00A23ED0">
      <w:pPr>
        <w:pStyle w:val="ListParagraph"/>
        <w:numPr>
          <w:ilvl w:val="0"/>
          <w:numId w:val="50"/>
        </w:numPr>
        <w:spacing w:before="120" w:after="120" w:line="360" w:lineRule="auto"/>
        <w:contextualSpacing w:val="0"/>
        <w:rPr>
          <w:rFonts w:ascii="Arial" w:hAnsi="Arial" w:cs="Arial"/>
          <w:b/>
          <w:bCs/>
          <w:lang w:val="sq-AL"/>
        </w:rPr>
      </w:pPr>
      <w:r w:rsidRPr="002A6F4E">
        <w:rPr>
          <w:rFonts w:ascii="Arial" w:hAnsi="Arial" w:cs="Arial"/>
          <w:b/>
          <w:bCs/>
          <w:lang w:val="sq-AL"/>
        </w:rPr>
        <w:t>količine ulaznog materijala i opsluženog stanovništva</w:t>
      </w:r>
    </w:p>
    <w:p w14:paraId="3D5CB43E" w14:textId="6A7446BE" w:rsidR="00C232D7" w:rsidRPr="002A6F4E" w:rsidRDefault="00C232D7" w:rsidP="00C232D7">
      <w:pPr>
        <w:spacing w:before="120" w:after="120" w:line="360" w:lineRule="auto"/>
        <w:ind w:left="720"/>
        <w:rPr>
          <w:rFonts w:ascii="Arial" w:hAnsi="Arial" w:cs="Arial"/>
          <w:lang w:val="sq-AL"/>
        </w:rPr>
      </w:pPr>
      <w:r w:rsidRPr="002A6F4E">
        <w:rPr>
          <w:rFonts w:ascii="Arial" w:hAnsi="Arial" w:cs="Arial"/>
          <w:lang w:val="sq-AL"/>
        </w:rPr>
        <w:t>Gusta mreža omogućava opsluživanje više korisnika, čime se povećava dolazni materijal. Stabilizacija dolaznih količina može biti postignuta pod pretpostavkom da je op</w:t>
      </w:r>
      <w:r w:rsidR="00F47990">
        <w:rPr>
          <w:rFonts w:ascii="Arial" w:hAnsi="Arial" w:cs="Arial"/>
          <w:lang w:val="sq-AL"/>
        </w:rPr>
        <w:t>s</w:t>
      </w:r>
      <w:r w:rsidRPr="002A6F4E">
        <w:rPr>
          <w:rFonts w:ascii="Arial" w:hAnsi="Arial" w:cs="Arial"/>
          <w:lang w:val="sq-AL"/>
        </w:rPr>
        <w:t>luženo područje u potpunosti pokriveno uslugama.</w:t>
      </w:r>
    </w:p>
    <w:p w14:paraId="287B8BF6" w14:textId="77777777" w:rsidR="00C232D7" w:rsidRPr="002A6F4E" w:rsidRDefault="00C232D7" w:rsidP="00A23ED0">
      <w:pPr>
        <w:pStyle w:val="ListParagraph"/>
        <w:numPr>
          <w:ilvl w:val="0"/>
          <w:numId w:val="50"/>
        </w:numPr>
        <w:spacing w:before="120" w:after="120" w:line="360" w:lineRule="auto"/>
        <w:contextualSpacing w:val="0"/>
        <w:rPr>
          <w:rFonts w:ascii="Arial" w:hAnsi="Arial" w:cs="Arial"/>
          <w:b/>
          <w:bCs/>
          <w:lang w:val="sq-AL"/>
        </w:rPr>
      </w:pPr>
      <w:r w:rsidRPr="002A6F4E">
        <w:rPr>
          <w:rFonts w:ascii="Arial" w:hAnsi="Arial" w:cs="Arial"/>
          <w:b/>
          <w:bCs/>
          <w:lang w:val="sq-AL"/>
        </w:rPr>
        <w:t>lakoće pristupa stanovništva</w:t>
      </w:r>
    </w:p>
    <w:p w14:paraId="26B52340" w14:textId="44343169" w:rsidR="00C232D7" w:rsidRPr="002A6F4E" w:rsidRDefault="00C232D7" w:rsidP="00C232D7">
      <w:pPr>
        <w:spacing w:before="120" w:after="120" w:line="360" w:lineRule="auto"/>
        <w:ind w:left="720"/>
        <w:rPr>
          <w:rFonts w:ascii="Arial" w:hAnsi="Arial" w:cs="Arial"/>
          <w:lang w:val="sq-AL"/>
        </w:rPr>
      </w:pPr>
      <w:r w:rsidRPr="002A6F4E">
        <w:rPr>
          <w:rFonts w:ascii="Arial" w:hAnsi="Arial" w:cs="Arial"/>
          <w:lang w:val="sq-AL"/>
        </w:rPr>
        <w:t xml:space="preserve">Kako se broj CSO u oblasti povećava, </w:t>
      </w:r>
      <w:r w:rsidR="00F47990">
        <w:rPr>
          <w:rFonts w:ascii="Arial" w:hAnsi="Arial" w:cs="Arial"/>
          <w:lang w:val="sq-AL"/>
        </w:rPr>
        <w:t>raspon</w:t>
      </w:r>
      <w:r w:rsidRPr="002A6F4E">
        <w:rPr>
          <w:rFonts w:ascii="Arial" w:hAnsi="Arial" w:cs="Arial"/>
          <w:lang w:val="sq-AL"/>
        </w:rPr>
        <w:t xml:space="preserve"> usluge se takođe smanjuje i pristup korisnicima je olakšan. Nakon određenog broja uspostavljenih centara, dalje zgušnjavanje mreže ne donosi značajnije poboljšanje.</w:t>
      </w:r>
    </w:p>
    <w:p w14:paraId="0E1621A6" w14:textId="77777777" w:rsidR="00C232D7" w:rsidRPr="002A6F4E" w:rsidRDefault="00C232D7" w:rsidP="00A23ED0">
      <w:pPr>
        <w:pStyle w:val="ListParagraph"/>
        <w:numPr>
          <w:ilvl w:val="0"/>
          <w:numId w:val="50"/>
        </w:numPr>
        <w:spacing w:before="120" w:after="120" w:line="360" w:lineRule="auto"/>
        <w:contextualSpacing w:val="0"/>
        <w:rPr>
          <w:rFonts w:ascii="Arial" w:hAnsi="Arial" w:cs="Arial"/>
          <w:b/>
          <w:bCs/>
          <w:lang w:val="sq-AL"/>
        </w:rPr>
      </w:pPr>
      <w:r w:rsidRPr="002A6F4E">
        <w:rPr>
          <w:rFonts w:ascii="Arial" w:hAnsi="Arial" w:cs="Arial"/>
          <w:b/>
          <w:bCs/>
          <w:lang w:val="sq-AL"/>
        </w:rPr>
        <w:t>troškova izgradnje i rada</w:t>
      </w:r>
    </w:p>
    <w:p w14:paraId="02159727" w14:textId="77777777" w:rsidR="00C232D7" w:rsidRPr="002A6F4E" w:rsidRDefault="00C232D7" w:rsidP="00C232D7">
      <w:pPr>
        <w:spacing w:before="120" w:after="120" w:line="360" w:lineRule="auto"/>
        <w:ind w:left="720"/>
        <w:rPr>
          <w:rFonts w:ascii="Arial" w:hAnsi="Arial" w:cs="Arial"/>
          <w:lang w:val="sq-AL"/>
        </w:rPr>
      </w:pPr>
      <w:r w:rsidRPr="002A6F4E">
        <w:rPr>
          <w:rFonts w:ascii="Arial" w:hAnsi="Arial" w:cs="Arial"/>
          <w:lang w:val="sq-AL"/>
        </w:rPr>
        <w:t>Troškovi izgradnje i rada su ograničavajući faktor za gustinu mreže CSO. Iz tog razloga se preporučuje postepeni razvoj mreže, kako bi se obezbijedila njena održivost.</w:t>
      </w:r>
    </w:p>
    <w:p w14:paraId="11546F57" w14:textId="55A130DB" w:rsidR="00C232D7" w:rsidRPr="002A6F4E" w:rsidRDefault="00F47990" w:rsidP="00A23ED0">
      <w:pPr>
        <w:pStyle w:val="ListParagraph"/>
        <w:numPr>
          <w:ilvl w:val="0"/>
          <w:numId w:val="50"/>
        </w:numPr>
        <w:spacing w:before="120" w:after="120" w:line="360" w:lineRule="auto"/>
        <w:contextualSpacing w:val="0"/>
        <w:rPr>
          <w:rFonts w:ascii="Arial" w:hAnsi="Arial" w:cs="Arial"/>
          <w:b/>
          <w:bCs/>
          <w:lang w:val="sq-AL"/>
        </w:rPr>
      </w:pPr>
      <w:r>
        <w:rPr>
          <w:rFonts w:ascii="Arial" w:hAnsi="Arial" w:cs="Arial"/>
          <w:b/>
          <w:bCs/>
          <w:lang w:val="sq-AL"/>
        </w:rPr>
        <w:t>o</w:t>
      </w:r>
      <w:r w:rsidR="00C232D7" w:rsidRPr="002A6F4E">
        <w:rPr>
          <w:rFonts w:ascii="Arial" w:hAnsi="Arial" w:cs="Arial"/>
          <w:b/>
          <w:bCs/>
          <w:lang w:val="sq-AL"/>
        </w:rPr>
        <w:t>čekivanog prihoda</w:t>
      </w:r>
    </w:p>
    <w:p w14:paraId="6F400A9C" w14:textId="26D45BB3" w:rsidR="00C232D7" w:rsidRPr="002A6F4E" w:rsidRDefault="00C232D7" w:rsidP="00C232D7">
      <w:pPr>
        <w:spacing w:before="120" w:after="120" w:line="360" w:lineRule="auto"/>
        <w:ind w:left="720"/>
        <w:rPr>
          <w:rFonts w:ascii="Arial" w:hAnsi="Arial" w:cs="Arial"/>
          <w:lang w:val="sq-AL"/>
        </w:rPr>
      </w:pPr>
      <w:r w:rsidRPr="002A6F4E">
        <w:rPr>
          <w:rFonts w:ascii="Arial" w:hAnsi="Arial" w:cs="Arial"/>
          <w:lang w:val="sq-AL"/>
        </w:rPr>
        <w:t xml:space="preserve">Da bi se povećao prihod, mora se obezbijediti dovoljna količina materijala za ponovnu upotrebu/recikliranje kako bi se postigla </w:t>
      </w:r>
      <w:r w:rsidR="00384893">
        <w:rPr>
          <w:rFonts w:ascii="Arial" w:hAnsi="Arial" w:cs="Arial"/>
          <w:lang w:val="sq-AL"/>
        </w:rPr>
        <w:t>“</w:t>
      </w:r>
      <w:r w:rsidRPr="002A6F4E">
        <w:rPr>
          <w:rFonts w:ascii="Arial" w:hAnsi="Arial" w:cs="Arial"/>
          <w:lang w:val="sq-AL"/>
        </w:rPr>
        <w:t>ekonomija obima</w:t>
      </w:r>
      <w:r w:rsidR="00384893">
        <w:rPr>
          <w:rFonts w:ascii="Arial" w:hAnsi="Arial" w:cs="Arial"/>
          <w:lang w:val="sq-AL"/>
        </w:rPr>
        <w:t>”</w:t>
      </w:r>
      <w:r w:rsidRPr="002A6F4E">
        <w:rPr>
          <w:rFonts w:ascii="Arial" w:hAnsi="Arial" w:cs="Arial"/>
          <w:lang w:val="sq-AL"/>
        </w:rPr>
        <w:t xml:space="preserve">. Na početku razvoja mreže CSO u regionu, </w:t>
      </w:r>
      <w:r w:rsidR="00384893" w:rsidRPr="002A6F4E">
        <w:rPr>
          <w:rFonts w:ascii="Arial" w:hAnsi="Arial" w:cs="Arial"/>
          <w:lang w:val="sq-AL"/>
        </w:rPr>
        <w:t xml:space="preserve">ne očekuju </w:t>
      </w:r>
      <w:r w:rsidR="00384893">
        <w:rPr>
          <w:rFonts w:ascii="Arial" w:hAnsi="Arial" w:cs="Arial"/>
          <w:lang w:val="sq-AL"/>
        </w:rPr>
        <w:t xml:space="preserve">se </w:t>
      </w:r>
      <w:r w:rsidRPr="002A6F4E">
        <w:rPr>
          <w:rFonts w:ascii="Arial" w:hAnsi="Arial" w:cs="Arial"/>
          <w:lang w:val="sq-AL"/>
        </w:rPr>
        <w:t>prihodi. Nakon uspostavljanja mreže doći će do relativno sporog rasta.</w:t>
      </w:r>
    </w:p>
    <w:p w14:paraId="787F364C" w14:textId="3EDB4BEF" w:rsidR="00C232D7" w:rsidRPr="002A6F4E" w:rsidRDefault="00C232D7" w:rsidP="00FC4BCA">
      <w:pPr>
        <w:spacing w:before="120" w:after="120" w:line="360" w:lineRule="auto"/>
        <w:rPr>
          <w:rFonts w:ascii="Arial" w:hAnsi="Arial" w:cs="Arial"/>
          <w:lang w:val="sq-AL"/>
        </w:rPr>
      </w:pPr>
      <w:r w:rsidRPr="002A6F4E">
        <w:rPr>
          <w:rFonts w:ascii="Arial" w:hAnsi="Arial" w:cs="Arial"/>
          <w:lang w:val="sq-AL"/>
        </w:rPr>
        <w:t xml:space="preserve">Obično se </w:t>
      </w:r>
      <w:r w:rsidR="00F47990">
        <w:rPr>
          <w:rFonts w:ascii="Arial" w:hAnsi="Arial" w:cs="Arial"/>
          <w:lang w:val="sq-AL"/>
        </w:rPr>
        <w:t>razmak usluga</w:t>
      </w:r>
      <w:r w:rsidRPr="002A6F4E">
        <w:rPr>
          <w:rFonts w:ascii="Arial" w:hAnsi="Arial" w:cs="Arial"/>
          <w:lang w:val="sq-AL"/>
        </w:rPr>
        <w:t xml:space="preserve"> koje SCO</w:t>
      </w:r>
      <w:r w:rsidR="00F47990">
        <w:rPr>
          <w:rFonts w:ascii="Arial" w:hAnsi="Arial" w:cs="Arial"/>
          <w:lang w:val="sq-AL"/>
        </w:rPr>
        <w:t xml:space="preserve"> nudi</w:t>
      </w:r>
      <w:r w:rsidRPr="002A6F4E">
        <w:rPr>
          <w:rFonts w:ascii="Arial" w:hAnsi="Arial" w:cs="Arial"/>
          <w:lang w:val="sq-AL"/>
        </w:rPr>
        <w:t xml:space="preserve"> kreć</w:t>
      </w:r>
      <w:r w:rsidR="00F47990">
        <w:rPr>
          <w:rFonts w:ascii="Arial" w:hAnsi="Arial" w:cs="Arial"/>
          <w:lang w:val="sq-AL"/>
        </w:rPr>
        <w:t>e</w:t>
      </w:r>
      <w:r w:rsidRPr="002A6F4E">
        <w:rPr>
          <w:rFonts w:ascii="Arial" w:hAnsi="Arial" w:cs="Arial"/>
          <w:lang w:val="sq-AL"/>
        </w:rPr>
        <w:t xml:space="preserve"> od </w:t>
      </w:r>
      <w:r w:rsidR="00384893">
        <w:rPr>
          <w:rFonts w:ascii="Arial" w:hAnsi="Arial" w:cs="Arial"/>
          <w:lang w:val="sq-AL"/>
        </w:rPr>
        <w:t>tri (</w:t>
      </w:r>
      <w:r w:rsidRPr="002A6F4E">
        <w:rPr>
          <w:rFonts w:ascii="Arial" w:hAnsi="Arial" w:cs="Arial"/>
          <w:lang w:val="sq-AL"/>
        </w:rPr>
        <w:t>3</w:t>
      </w:r>
      <w:r w:rsidR="00384893">
        <w:rPr>
          <w:rFonts w:ascii="Arial" w:hAnsi="Arial" w:cs="Arial"/>
          <w:lang w:val="sq-AL"/>
        </w:rPr>
        <w:t>)</w:t>
      </w:r>
      <w:r w:rsidRPr="002A6F4E">
        <w:rPr>
          <w:rFonts w:ascii="Arial" w:hAnsi="Arial" w:cs="Arial"/>
          <w:lang w:val="sq-AL"/>
        </w:rPr>
        <w:t xml:space="preserve"> do </w:t>
      </w:r>
      <w:r w:rsidR="00384893">
        <w:rPr>
          <w:rFonts w:ascii="Arial" w:hAnsi="Arial" w:cs="Arial"/>
          <w:lang w:val="sq-AL"/>
        </w:rPr>
        <w:t>osam (</w:t>
      </w:r>
      <w:r w:rsidRPr="002A6F4E">
        <w:rPr>
          <w:rFonts w:ascii="Arial" w:hAnsi="Arial" w:cs="Arial"/>
          <w:lang w:val="sq-AL"/>
        </w:rPr>
        <w:t>8</w:t>
      </w:r>
      <w:r w:rsidR="00384893">
        <w:rPr>
          <w:rFonts w:ascii="Arial" w:hAnsi="Arial" w:cs="Arial"/>
          <w:lang w:val="sq-AL"/>
        </w:rPr>
        <w:t>)</w:t>
      </w:r>
      <w:r w:rsidRPr="002A6F4E">
        <w:rPr>
          <w:rFonts w:ascii="Arial" w:hAnsi="Arial" w:cs="Arial"/>
          <w:lang w:val="sq-AL"/>
        </w:rPr>
        <w:t xml:space="preserve"> km</w:t>
      </w:r>
      <w:r w:rsidR="00384893">
        <w:rPr>
          <w:rFonts w:ascii="Arial" w:hAnsi="Arial" w:cs="Arial"/>
          <w:lang w:val="sq-AL"/>
        </w:rPr>
        <w:t>,</w:t>
      </w:r>
      <w:r w:rsidRPr="002A6F4E">
        <w:rPr>
          <w:rFonts w:ascii="Arial" w:hAnsi="Arial" w:cs="Arial"/>
          <w:lang w:val="sq-AL"/>
        </w:rPr>
        <w:t xml:space="preserve"> dok je u rijetko naseljenim područjima do 11 km</w:t>
      </w:r>
      <w:r w:rsidRPr="002A6F4E">
        <w:rPr>
          <w:rStyle w:val="FootnoteReference"/>
          <w:rFonts w:ascii="Arial" w:hAnsi="Arial" w:cs="Arial"/>
          <w:sz w:val="20"/>
          <w:szCs w:val="20"/>
          <w:lang w:val="en-GB" w:eastAsia="en-US"/>
        </w:rPr>
        <w:footnoteReference w:id="35"/>
      </w:r>
      <w:r w:rsidRPr="002A6F4E">
        <w:rPr>
          <w:rFonts w:ascii="Arial" w:hAnsi="Arial" w:cs="Arial"/>
          <w:lang w:val="sq-AL"/>
        </w:rPr>
        <w:t>.</w:t>
      </w:r>
      <w:r w:rsidR="00F47990">
        <w:rPr>
          <w:rFonts w:ascii="Arial" w:hAnsi="Arial" w:cs="Arial"/>
          <w:lang w:val="sq-AL"/>
        </w:rPr>
        <w:t xml:space="preserve"> </w:t>
      </w:r>
      <w:r w:rsidRPr="002A6F4E">
        <w:rPr>
          <w:rFonts w:ascii="Arial" w:hAnsi="Arial" w:cs="Arial"/>
          <w:lang w:val="sq-AL"/>
        </w:rPr>
        <w:t xml:space="preserve">U zemljama članicama EU  postoji veliki raspon gustine ove vrste centara u odnosu na opsluživanu populaciju: od 30.000 do 200.000 stanovnika po CSO, sa prosjekom od jednog (1) centra na 100.000 stanovnika. </w:t>
      </w:r>
    </w:p>
    <w:p w14:paraId="4352EF14" w14:textId="1B2560C9"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Što se tiče finansijske održivosti mreže CSO, postoje dvije alternative:</w:t>
      </w:r>
    </w:p>
    <w:p w14:paraId="5FAABAA4" w14:textId="77777777" w:rsidR="00C232D7" w:rsidRPr="002A6F4E" w:rsidRDefault="00C232D7" w:rsidP="00A23ED0">
      <w:pPr>
        <w:pStyle w:val="ListParagraph"/>
        <w:numPr>
          <w:ilvl w:val="0"/>
          <w:numId w:val="51"/>
        </w:numPr>
        <w:spacing w:before="120" w:after="120" w:line="360" w:lineRule="auto"/>
        <w:contextualSpacing w:val="0"/>
        <w:rPr>
          <w:rFonts w:ascii="Arial" w:hAnsi="Arial" w:cs="Arial"/>
          <w:lang w:val="sq-AL"/>
        </w:rPr>
      </w:pPr>
      <w:r w:rsidRPr="002A6F4E">
        <w:rPr>
          <w:rFonts w:ascii="Arial" w:hAnsi="Arial" w:cs="Arial"/>
          <w:lang w:val="sq-AL"/>
        </w:rPr>
        <w:t>u prvoj fazi projektovanje i izgradnja rijetke mreže. Zatim postepeno povećavanje gustine  na osnovu operativnih podataka;</w:t>
      </w:r>
    </w:p>
    <w:p w14:paraId="33C70064" w14:textId="77777777" w:rsidR="00C232D7" w:rsidRPr="002A6F4E" w:rsidRDefault="00C232D7" w:rsidP="00A23ED0">
      <w:pPr>
        <w:pStyle w:val="ListParagraph"/>
        <w:numPr>
          <w:ilvl w:val="0"/>
          <w:numId w:val="51"/>
        </w:numPr>
        <w:spacing w:before="120" w:after="120" w:line="360" w:lineRule="auto"/>
        <w:contextualSpacing w:val="0"/>
        <w:rPr>
          <w:rFonts w:ascii="Arial" w:hAnsi="Arial" w:cs="Arial"/>
          <w:lang w:val="sq-AL"/>
        </w:rPr>
      </w:pPr>
      <w:r w:rsidRPr="002A6F4E">
        <w:rPr>
          <w:rFonts w:ascii="Arial" w:hAnsi="Arial" w:cs="Arial"/>
          <w:lang w:val="sq-AL"/>
        </w:rPr>
        <w:lastRenderedPageBreak/>
        <w:t>projektovanje i izgradnja guste mreže, u početku u pilot oblasti. Zatim proširenje projekta za veći obim  na osnovu operativnih podataka. Proširenje sadrži neophodne varijacije u osnovnim parametrima kao što su gustina mreže i dolazni tokovi.</w:t>
      </w:r>
    </w:p>
    <w:p w14:paraId="7466DBDC" w14:textId="0F69B860"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U </w:t>
      </w:r>
      <w:r w:rsidR="000C1E6F" w:rsidRPr="002A6F4E">
        <w:rPr>
          <w:rFonts w:ascii="Arial" w:hAnsi="Arial" w:cs="Arial"/>
          <w:lang w:val="sq-AL"/>
        </w:rPr>
        <w:t>donjoj tabeli</w:t>
      </w:r>
      <w:r w:rsidRPr="002A6F4E">
        <w:rPr>
          <w:rFonts w:ascii="Arial" w:hAnsi="Arial" w:cs="Arial"/>
          <w:lang w:val="sq-AL"/>
        </w:rPr>
        <w:t xml:space="preserve"> prikazane su prednosti i nedostaci  CSO različite gustine na osnovu međunarodnog iskustva.</w:t>
      </w:r>
    </w:p>
    <w:p w14:paraId="290D7777" w14:textId="10CF9CD0" w:rsidR="00C232D7" w:rsidRPr="00C149AB" w:rsidRDefault="00C232D7" w:rsidP="00C232D7">
      <w:pPr>
        <w:pStyle w:val="Caption"/>
        <w:rPr>
          <w:rFonts w:ascii="Arial" w:hAnsi="Arial" w:cs="Arial"/>
          <w:b w:val="0"/>
          <w:szCs w:val="20"/>
          <w:lang w:val="sq-AL"/>
        </w:rPr>
      </w:pPr>
      <w:bookmarkStart w:id="1155" w:name="_Toc66355000"/>
      <w:bookmarkStart w:id="1156" w:name="_Toc109051592"/>
      <w:bookmarkStart w:id="1157" w:name="_Toc189515668"/>
      <w:bookmarkStart w:id="1158" w:name="_Toc190160786"/>
      <w:r w:rsidRPr="00C149AB">
        <w:rPr>
          <w:rFonts w:ascii="Arial" w:hAnsi="Arial" w:cs="Arial"/>
          <w:b w:val="0"/>
          <w:szCs w:val="20"/>
        </w:rPr>
        <w:t xml:space="preserve">Tabela </w:t>
      </w:r>
      <w:r w:rsidRPr="00C149AB">
        <w:rPr>
          <w:rFonts w:ascii="Arial" w:hAnsi="Arial" w:cs="Arial"/>
          <w:b w:val="0"/>
          <w:szCs w:val="20"/>
        </w:rPr>
        <w:fldChar w:fldCharType="begin"/>
      </w:r>
      <w:r w:rsidRPr="00C149AB">
        <w:rPr>
          <w:rFonts w:ascii="Arial" w:hAnsi="Arial" w:cs="Arial"/>
          <w:b w:val="0"/>
          <w:szCs w:val="20"/>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rPr>
        <w:t>91</w:t>
      </w:r>
      <w:r w:rsidRPr="00C149AB">
        <w:rPr>
          <w:rFonts w:ascii="Arial" w:hAnsi="Arial" w:cs="Arial"/>
          <w:b w:val="0"/>
          <w:szCs w:val="20"/>
        </w:rPr>
        <w:fldChar w:fldCharType="end"/>
      </w:r>
      <w:r w:rsidRPr="00C149AB">
        <w:rPr>
          <w:rFonts w:ascii="Arial" w:hAnsi="Arial" w:cs="Arial"/>
          <w:b w:val="0"/>
          <w:szCs w:val="20"/>
          <w:lang w:val="sq-AL"/>
        </w:rPr>
        <w:t xml:space="preserve"> </w:t>
      </w:r>
      <w:bookmarkEnd w:id="1155"/>
      <w:bookmarkEnd w:id="1156"/>
      <w:r w:rsidRPr="00C149AB">
        <w:rPr>
          <w:rFonts w:ascii="Arial" w:hAnsi="Arial" w:cs="Arial"/>
          <w:b w:val="0"/>
          <w:szCs w:val="20"/>
          <w:lang w:val="sq-AL"/>
        </w:rPr>
        <w:t>Prednosti i nedostaci CSO različite gustine</w:t>
      </w:r>
      <w:bookmarkEnd w:id="1157"/>
      <w:bookmarkEnd w:id="1158"/>
    </w:p>
    <w:tbl>
      <w:tblPr>
        <w:tblW w:w="9226" w:type="dxa"/>
        <w:jc w:val="center"/>
        <w:tblLook w:val="04A0" w:firstRow="1" w:lastRow="0" w:firstColumn="1" w:lastColumn="0" w:noHBand="0" w:noVBand="1"/>
      </w:tblPr>
      <w:tblGrid>
        <w:gridCol w:w="2502"/>
        <w:gridCol w:w="2863"/>
        <w:gridCol w:w="3861"/>
      </w:tblGrid>
      <w:tr w:rsidR="00C232D7" w:rsidRPr="00C149AB" w14:paraId="27064C2F" w14:textId="77777777" w:rsidTr="00C232D7">
        <w:trPr>
          <w:trHeight w:val="563"/>
          <w:tblHeader/>
          <w:jc w:val="center"/>
        </w:trPr>
        <w:tc>
          <w:tcPr>
            <w:tcW w:w="25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4ACE37B" w14:textId="3BCEB280" w:rsidR="00C232D7" w:rsidRPr="00C149AB" w:rsidRDefault="00C232D7" w:rsidP="00C232D7">
            <w:pPr>
              <w:spacing w:before="40" w:after="40" w:line="360" w:lineRule="auto"/>
              <w:rPr>
                <w:rFonts w:ascii="Arial" w:hAnsi="Arial" w:cs="Arial"/>
                <w:b/>
                <w:bCs/>
                <w:sz w:val="18"/>
                <w:lang w:val="sq-AL"/>
              </w:rPr>
            </w:pPr>
            <w:r w:rsidRPr="00C149AB">
              <w:rPr>
                <w:rFonts w:ascii="Arial" w:hAnsi="Arial" w:cs="Arial"/>
                <w:b/>
                <w:bCs/>
                <w:sz w:val="18"/>
                <w:lang w:val="sq-AL"/>
              </w:rPr>
              <w:t>Usluženo stanovništvo/ reciklažni centar</w:t>
            </w:r>
          </w:p>
        </w:tc>
        <w:tc>
          <w:tcPr>
            <w:tcW w:w="2863"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79F9197" w14:textId="77777777" w:rsidR="00C232D7" w:rsidRPr="00C149AB" w:rsidRDefault="00C232D7" w:rsidP="00C232D7">
            <w:pPr>
              <w:spacing w:before="40" w:after="40" w:line="360" w:lineRule="auto"/>
              <w:rPr>
                <w:rFonts w:ascii="Arial" w:hAnsi="Arial" w:cs="Arial"/>
                <w:b/>
                <w:bCs/>
                <w:sz w:val="18"/>
                <w:lang w:val="sq-AL"/>
              </w:rPr>
            </w:pPr>
            <w:r w:rsidRPr="00C149AB">
              <w:rPr>
                <w:rFonts w:ascii="Arial" w:hAnsi="Arial" w:cs="Arial"/>
                <w:b/>
                <w:bCs/>
                <w:sz w:val="18"/>
                <w:lang w:val="sq-AL"/>
              </w:rPr>
              <w:t>Prednosti</w:t>
            </w:r>
          </w:p>
        </w:tc>
        <w:tc>
          <w:tcPr>
            <w:tcW w:w="386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FA138A1" w14:textId="53CE2E34" w:rsidR="00C232D7" w:rsidRPr="00C149AB" w:rsidRDefault="001456AE" w:rsidP="00C232D7">
            <w:pPr>
              <w:spacing w:before="40" w:after="40" w:line="360" w:lineRule="auto"/>
              <w:rPr>
                <w:rFonts w:ascii="Arial" w:hAnsi="Arial" w:cs="Arial"/>
                <w:b/>
                <w:bCs/>
                <w:sz w:val="18"/>
                <w:lang w:val="sq-AL"/>
              </w:rPr>
            </w:pPr>
            <w:r w:rsidRPr="00C149AB">
              <w:rPr>
                <w:rFonts w:ascii="Arial" w:hAnsi="Arial" w:cs="Arial"/>
                <w:b/>
                <w:bCs/>
                <w:sz w:val="18"/>
                <w:lang w:val="sq-AL"/>
              </w:rPr>
              <w:t>N</w:t>
            </w:r>
            <w:r w:rsidR="00C232D7" w:rsidRPr="00C149AB">
              <w:rPr>
                <w:rFonts w:ascii="Arial" w:hAnsi="Arial" w:cs="Arial"/>
                <w:b/>
                <w:bCs/>
                <w:sz w:val="18"/>
                <w:lang w:val="sq-AL"/>
              </w:rPr>
              <w:t>edostaci</w:t>
            </w:r>
          </w:p>
        </w:tc>
      </w:tr>
      <w:tr w:rsidR="00C232D7" w:rsidRPr="00C149AB" w14:paraId="7D4AE8B4" w14:textId="77777777" w:rsidTr="00DD411D">
        <w:trPr>
          <w:trHeight w:val="1469"/>
          <w:jc w:val="center"/>
        </w:trPr>
        <w:tc>
          <w:tcPr>
            <w:tcW w:w="2502" w:type="dxa"/>
            <w:tcBorders>
              <w:top w:val="nil"/>
              <w:left w:val="single" w:sz="4" w:space="0" w:color="auto"/>
              <w:bottom w:val="single" w:sz="4" w:space="0" w:color="auto"/>
              <w:right w:val="single" w:sz="4" w:space="0" w:color="auto"/>
            </w:tcBorders>
            <w:shd w:val="clear" w:color="auto" w:fill="auto"/>
            <w:vAlign w:val="center"/>
          </w:tcPr>
          <w:p w14:paraId="37A57CCB" w14:textId="30E3F41E"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 CSO/</w:t>
            </w:r>
            <w:r w:rsidR="001456AE" w:rsidRPr="00C149AB">
              <w:rPr>
                <w:rFonts w:ascii="Arial" w:hAnsi="Arial" w:cs="Arial"/>
                <w:color w:val="000000"/>
                <w:sz w:val="18"/>
                <w:lang w:val="sq-AL"/>
              </w:rPr>
              <w:t xml:space="preserve">manje od </w:t>
            </w:r>
            <w:r w:rsidRPr="00C149AB">
              <w:rPr>
                <w:rFonts w:ascii="Arial" w:hAnsi="Arial" w:cs="Arial"/>
                <w:color w:val="000000"/>
                <w:sz w:val="18"/>
                <w:lang w:val="sq-AL"/>
              </w:rPr>
              <w:t>30.000 stanovnika.</w:t>
            </w:r>
          </w:p>
        </w:tc>
        <w:tc>
          <w:tcPr>
            <w:tcW w:w="2863" w:type="dxa"/>
            <w:tcBorders>
              <w:top w:val="nil"/>
              <w:left w:val="nil"/>
              <w:bottom w:val="single" w:sz="4" w:space="0" w:color="auto"/>
              <w:right w:val="single" w:sz="4" w:space="0" w:color="auto"/>
            </w:tcBorders>
            <w:shd w:val="clear" w:color="auto" w:fill="auto"/>
            <w:vAlign w:val="center"/>
          </w:tcPr>
          <w:p w14:paraId="62B149CA"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Jednostavan za projektovanje</w:t>
            </w:r>
          </w:p>
          <w:p w14:paraId="4668C69D" w14:textId="77777777" w:rsidR="00C232D7" w:rsidRPr="00C149AB" w:rsidRDefault="00C232D7" w:rsidP="00C232D7">
            <w:pPr>
              <w:spacing w:before="40" w:after="40" w:line="360" w:lineRule="auto"/>
              <w:rPr>
                <w:rFonts w:ascii="Arial" w:hAnsi="Arial" w:cs="Arial"/>
                <w:color w:val="000000"/>
                <w:sz w:val="18"/>
                <w:lang w:val="sq-AL"/>
              </w:rPr>
            </w:pPr>
          </w:p>
          <w:p w14:paraId="3C985505"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Velika gustina mreže</w:t>
            </w:r>
          </w:p>
          <w:p w14:paraId="6753C5C8" w14:textId="473E8858"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Pristupačnost</w:t>
            </w:r>
          </w:p>
        </w:tc>
        <w:tc>
          <w:tcPr>
            <w:tcW w:w="3861" w:type="dxa"/>
            <w:tcBorders>
              <w:top w:val="nil"/>
              <w:left w:val="nil"/>
              <w:bottom w:val="single" w:sz="4" w:space="0" w:color="auto"/>
              <w:right w:val="single" w:sz="4" w:space="0" w:color="auto"/>
            </w:tcBorders>
            <w:shd w:val="clear" w:color="auto" w:fill="auto"/>
            <w:vAlign w:val="center"/>
          </w:tcPr>
          <w:p w14:paraId="13D7769B" w14:textId="425011A4"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Poteškoće u obezbjeđivanju održivosti</w:t>
            </w:r>
          </w:p>
          <w:p w14:paraId="4BEDCFD4" w14:textId="77777777" w:rsidR="00C232D7" w:rsidRPr="00C149AB" w:rsidRDefault="00C232D7" w:rsidP="00C232D7">
            <w:pPr>
              <w:spacing w:before="40" w:after="40" w:line="360" w:lineRule="auto"/>
              <w:rPr>
                <w:rFonts w:ascii="Arial" w:hAnsi="Arial" w:cs="Arial"/>
                <w:color w:val="000000"/>
                <w:sz w:val="18"/>
                <w:lang w:val="sq-AL"/>
              </w:rPr>
            </w:pPr>
          </w:p>
        </w:tc>
      </w:tr>
      <w:tr w:rsidR="00C232D7" w:rsidRPr="00C149AB" w14:paraId="391B0F34" w14:textId="77777777" w:rsidTr="00C232D7">
        <w:trPr>
          <w:trHeight w:val="831"/>
          <w:jc w:val="center"/>
        </w:trPr>
        <w:tc>
          <w:tcPr>
            <w:tcW w:w="2502" w:type="dxa"/>
            <w:tcBorders>
              <w:top w:val="nil"/>
              <w:left w:val="single" w:sz="4" w:space="0" w:color="auto"/>
              <w:bottom w:val="single" w:sz="4" w:space="0" w:color="auto"/>
              <w:right w:val="single" w:sz="4" w:space="0" w:color="auto"/>
            </w:tcBorders>
            <w:shd w:val="clear" w:color="auto" w:fill="auto"/>
            <w:vAlign w:val="center"/>
          </w:tcPr>
          <w:p w14:paraId="3DCE48C9" w14:textId="3418F792"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 CSO/30.000-10</w:t>
            </w:r>
            <w:r w:rsidR="001456AE" w:rsidRPr="00C149AB">
              <w:rPr>
                <w:rFonts w:ascii="Arial" w:hAnsi="Arial" w:cs="Arial"/>
                <w:color w:val="000000"/>
                <w:sz w:val="18"/>
                <w:lang w:val="sq-AL"/>
              </w:rPr>
              <w:t>0</w:t>
            </w:r>
            <w:r w:rsidRPr="00C149AB">
              <w:rPr>
                <w:rFonts w:ascii="Arial" w:hAnsi="Arial" w:cs="Arial"/>
                <w:color w:val="000000"/>
                <w:sz w:val="18"/>
                <w:lang w:val="sq-AL"/>
              </w:rPr>
              <w:t>.000 stanovnika.</w:t>
            </w:r>
          </w:p>
        </w:tc>
        <w:tc>
          <w:tcPr>
            <w:tcW w:w="2863" w:type="dxa"/>
            <w:tcBorders>
              <w:top w:val="nil"/>
              <w:left w:val="nil"/>
              <w:bottom w:val="single" w:sz="4" w:space="0" w:color="auto"/>
              <w:right w:val="single" w:sz="4" w:space="0" w:color="auto"/>
            </w:tcBorders>
            <w:shd w:val="clear" w:color="auto" w:fill="auto"/>
            <w:vAlign w:val="center"/>
          </w:tcPr>
          <w:p w14:paraId="2DCB298D"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Zadovoljavajuća gustina</w:t>
            </w:r>
          </w:p>
          <w:p w14:paraId="6605DA97" w14:textId="77777777" w:rsidR="00C232D7" w:rsidRPr="00C149AB" w:rsidRDefault="00C232D7" w:rsidP="00C232D7">
            <w:pPr>
              <w:spacing w:before="40" w:after="40" w:line="360" w:lineRule="auto"/>
              <w:rPr>
                <w:rFonts w:ascii="Arial" w:hAnsi="Arial" w:cs="Arial"/>
                <w:color w:val="000000"/>
                <w:sz w:val="18"/>
                <w:lang w:val="sq-AL"/>
              </w:rPr>
            </w:pPr>
          </w:p>
          <w:p w14:paraId="099FC0E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Jednostavan za projektovanje</w:t>
            </w:r>
          </w:p>
          <w:p w14:paraId="50B9176B" w14:textId="77777777" w:rsidR="00C232D7" w:rsidRPr="00C149AB" w:rsidRDefault="00C232D7" w:rsidP="00C232D7">
            <w:pPr>
              <w:spacing w:before="40" w:after="40" w:line="360" w:lineRule="auto"/>
              <w:rPr>
                <w:rFonts w:ascii="Arial" w:hAnsi="Arial" w:cs="Arial"/>
                <w:color w:val="000000"/>
                <w:sz w:val="18"/>
                <w:lang w:val="sq-AL"/>
              </w:rPr>
            </w:pPr>
          </w:p>
          <w:p w14:paraId="6E6941D2" w14:textId="538F9B1D"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Održiva instalacija</w:t>
            </w:r>
          </w:p>
        </w:tc>
        <w:tc>
          <w:tcPr>
            <w:tcW w:w="3861" w:type="dxa"/>
            <w:tcBorders>
              <w:top w:val="nil"/>
              <w:left w:val="nil"/>
              <w:bottom w:val="single" w:sz="4" w:space="0" w:color="auto"/>
              <w:right w:val="single" w:sz="4" w:space="0" w:color="auto"/>
            </w:tcBorders>
            <w:shd w:val="clear" w:color="auto" w:fill="auto"/>
            <w:vAlign w:val="center"/>
          </w:tcPr>
          <w:p w14:paraId="570F0FA5"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Poteškoće u pronalaženju lokacija</w:t>
            </w:r>
          </w:p>
          <w:p w14:paraId="77D81E9B" w14:textId="77777777" w:rsidR="00C232D7" w:rsidRPr="00C149AB" w:rsidRDefault="00C232D7" w:rsidP="00C232D7">
            <w:pPr>
              <w:spacing w:before="40" w:after="40" w:line="360" w:lineRule="auto"/>
              <w:rPr>
                <w:rFonts w:ascii="Arial" w:hAnsi="Arial" w:cs="Arial"/>
                <w:color w:val="000000"/>
                <w:sz w:val="18"/>
                <w:lang w:val="sq-AL"/>
              </w:rPr>
            </w:pPr>
          </w:p>
        </w:tc>
      </w:tr>
      <w:tr w:rsidR="00C232D7" w:rsidRPr="0014164F" w14:paraId="3618C11A" w14:textId="77777777" w:rsidTr="00C232D7">
        <w:trPr>
          <w:trHeight w:val="1592"/>
          <w:jc w:val="center"/>
        </w:trPr>
        <w:tc>
          <w:tcPr>
            <w:tcW w:w="2502" w:type="dxa"/>
            <w:tcBorders>
              <w:top w:val="nil"/>
              <w:left w:val="single" w:sz="4" w:space="0" w:color="auto"/>
              <w:bottom w:val="single" w:sz="4" w:space="0" w:color="auto"/>
              <w:right w:val="single" w:sz="4" w:space="0" w:color="auto"/>
            </w:tcBorders>
            <w:shd w:val="clear" w:color="auto" w:fill="auto"/>
            <w:vAlign w:val="center"/>
          </w:tcPr>
          <w:p w14:paraId="5E231122" w14:textId="03A2B57D"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 CSO</w:t>
            </w:r>
            <w:r w:rsidR="001456AE" w:rsidRPr="00C149AB">
              <w:rPr>
                <w:rFonts w:ascii="Arial" w:hAnsi="Arial" w:cs="Arial"/>
                <w:color w:val="000000"/>
                <w:sz w:val="18"/>
                <w:lang w:val="sq-AL"/>
              </w:rPr>
              <w:t>/preko</w:t>
            </w:r>
            <w:r w:rsidRPr="00C149AB">
              <w:rPr>
                <w:rFonts w:ascii="Arial" w:hAnsi="Arial" w:cs="Arial"/>
                <w:color w:val="000000"/>
                <w:sz w:val="18"/>
                <w:lang w:val="sq-AL"/>
              </w:rPr>
              <w:t xml:space="preserve"> 100.000 stanovnika.</w:t>
            </w:r>
          </w:p>
        </w:tc>
        <w:tc>
          <w:tcPr>
            <w:tcW w:w="2863" w:type="dxa"/>
            <w:tcBorders>
              <w:top w:val="nil"/>
              <w:left w:val="nil"/>
              <w:bottom w:val="single" w:sz="4" w:space="0" w:color="auto"/>
              <w:right w:val="single" w:sz="4" w:space="0" w:color="auto"/>
            </w:tcBorders>
            <w:shd w:val="clear" w:color="auto" w:fill="auto"/>
            <w:vAlign w:val="center"/>
          </w:tcPr>
          <w:p w14:paraId="02553DFD"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Održiva instalacija</w:t>
            </w:r>
          </w:p>
          <w:p w14:paraId="1B37D752"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Veće profitne marže</w:t>
            </w:r>
          </w:p>
        </w:tc>
        <w:tc>
          <w:tcPr>
            <w:tcW w:w="3861" w:type="dxa"/>
            <w:tcBorders>
              <w:top w:val="nil"/>
              <w:left w:val="nil"/>
              <w:bottom w:val="single" w:sz="4" w:space="0" w:color="auto"/>
              <w:right w:val="single" w:sz="4" w:space="0" w:color="auto"/>
            </w:tcBorders>
            <w:shd w:val="clear" w:color="auto" w:fill="auto"/>
            <w:vAlign w:val="center"/>
          </w:tcPr>
          <w:p w14:paraId="484C3869" w14:textId="09C860C9"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Niska gustina mreže</w:t>
            </w:r>
          </w:p>
          <w:p w14:paraId="2F1CF9E6"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Složen projekat</w:t>
            </w:r>
          </w:p>
          <w:p w14:paraId="05ABB9A9"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Poteškoće u pronalaženju lokacija usljed:</w:t>
            </w:r>
          </w:p>
          <w:p w14:paraId="27FE385A"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 socijalnih tenzija</w:t>
            </w:r>
          </w:p>
          <w:p w14:paraId="5EC491C3"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 tražena velika površina</w:t>
            </w:r>
          </w:p>
        </w:tc>
      </w:tr>
    </w:tbl>
    <w:p w14:paraId="771F6BBC" w14:textId="27CF6718" w:rsidR="00D86E56" w:rsidRPr="00484CAE" w:rsidRDefault="00D86E56" w:rsidP="00D86E56">
      <w:pPr>
        <w:pStyle w:val="Caption"/>
        <w:rPr>
          <w:rFonts w:ascii="Arial" w:hAnsi="Arial" w:cs="Arial"/>
          <w:b w:val="0"/>
          <w:color w:val="000000" w:themeColor="text1"/>
          <w:sz w:val="22"/>
          <w:szCs w:val="20"/>
          <w:lang w:val="sq-AL"/>
        </w:rPr>
      </w:pPr>
    </w:p>
    <w:p w14:paraId="6EB4E56C" w14:textId="11DE22A1"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Mreža CSO koja je predložena u DPUO, zasnovana je na činjenici da će u Crnoj Gori i programi odvajanja otpada na izvoru i mreža reciklažnih centara</w:t>
      </w:r>
      <w:r w:rsidR="00261A07">
        <w:rPr>
          <w:rFonts w:ascii="Arial" w:hAnsi="Arial" w:cs="Arial"/>
          <w:lang w:val="sq-AL"/>
        </w:rPr>
        <w:t xml:space="preserve"> i dvorišta</w:t>
      </w:r>
      <w:r w:rsidRPr="002A6F4E">
        <w:rPr>
          <w:rFonts w:ascii="Arial" w:hAnsi="Arial" w:cs="Arial"/>
          <w:lang w:val="sq-AL"/>
        </w:rPr>
        <w:t xml:space="preserve"> biti srž sistema upravljanja otpadom koji će se implementirati. Stoga se predlaže rijetka mreža zasnovana uglavnom na autonomiji svake opštine, na osnovu sljedećih pretpostavki:</w:t>
      </w:r>
    </w:p>
    <w:p w14:paraId="2CD25E6A" w14:textId="77777777" w:rsidR="00C232D7" w:rsidRPr="002A6F4E" w:rsidRDefault="00C232D7" w:rsidP="00A23ED0">
      <w:pPr>
        <w:pStyle w:val="ListParagraph"/>
        <w:numPr>
          <w:ilvl w:val="1"/>
          <w:numId w:val="52"/>
        </w:numPr>
        <w:spacing w:before="120" w:after="120" w:line="360" w:lineRule="auto"/>
        <w:rPr>
          <w:rFonts w:ascii="Arial" w:hAnsi="Arial" w:cs="Arial"/>
          <w:lang w:val="sq-AL"/>
        </w:rPr>
      </w:pPr>
      <w:r w:rsidRPr="002A6F4E">
        <w:rPr>
          <w:rFonts w:ascii="Arial" w:hAnsi="Arial" w:cs="Arial"/>
          <w:lang w:val="sq-AL"/>
        </w:rPr>
        <w:t>Postojeći i planirani (u okviru drugih studija) CSO će biti ugrađeni u sistem;</w:t>
      </w:r>
    </w:p>
    <w:p w14:paraId="1D7CDDDB" w14:textId="77777777" w:rsidR="00C232D7" w:rsidRPr="002A6F4E" w:rsidRDefault="00C232D7" w:rsidP="00A23ED0">
      <w:pPr>
        <w:pStyle w:val="ListParagraph"/>
        <w:numPr>
          <w:ilvl w:val="1"/>
          <w:numId w:val="52"/>
        </w:numPr>
        <w:spacing w:before="120" w:after="120" w:line="360" w:lineRule="auto"/>
        <w:rPr>
          <w:rFonts w:ascii="Arial" w:hAnsi="Arial" w:cs="Arial"/>
          <w:lang w:val="sq-AL"/>
        </w:rPr>
      </w:pPr>
      <w:r w:rsidRPr="002A6F4E">
        <w:rPr>
          <w:rFonts w:ascii="Arial" w:hAnsi="Arial" w:cs="Arial"/>
          <w:lang w:val="sq-AL"/>
        </w:rPr>
        <w:t>Veliki CSO će se uspostaviti u opštinama sa više od 50.000 stanovnika;</w:t>
      </w:r>
    </w:p>
    <w:p w14:paraId="5A57C9C3" w14:textId="77777777" w:rsidR="00C232D7" w:rsidRPr="002A6F4E" w:rsidRDefault="00C232D7" w:rsidP="00A23ED0">
      <w:pPr>
        <w:pStyle w:val="ListParagraph"/>
        <w:numPr>
          <w:ilvl w:val="1"/>
          <w:numId w:val="52"/>
        </w:numPr>
        <w:spacing w:before="120" w:after="120" w:line="360" w:lineRule="auto"/>
        <w:rPr>
          <w:rFonts w:ascii="Arial" w:hAnsi="Arial" w:cs="Arial"/>
          <w:lang w:val="sq-AL"/>
        </w:rPr>
      </w:pPr>
      <w:r w:rsidRPr="002A6F4E">
        <w:rPr>
          <w:rFonts w:ascii="Arial" w:hAnsi="Arial" w:cs="Arial"/>
          <w:lang w:val="sq-AL"/>
        </w:rPr>
        <w:t>Srednji CSO će se uspostaviti u opštinama sa više od 20.000 stanovnika;</w:t>
      </w:r>
    </w:p>
    <w:p w14:paraId="74E4284F" w14:textId="77777777" w:rsidR="00C232D7" w:rsidRDefault="00C232D7" w:rsidP="00A23ED0">
      <w:pPr>
        <w:pStyle w:val="ListParagraph"/>
        <w:numPr>
          <w:ilvl w:val="1"/>
          <w:numId w:val="52"/>
        </w:numPr>
        <w:spacing w:before="120" w:after="120" w:line="360" w:lineRule="auto"/>
        <w:rPr>
          <w:rFonts w:ascii="Arial" w:hAnsi="Arial" w:cs="Arial"/>
          <w:lang w:val="sq-AL"/>
        </w:rPr>
      </w:pPr>
      <w:r w:rsidRPr="002A6F4E">
        <w:rPr>
          <w:rFonts w:ascii="Arial" w:hAnsi="Arial" w:cs="Arial"/>
          <w:lang w:val="sq-AL"/>
        </w:rPr>
        <w:t>Mobilni CSO će se uspostaviti u susjednim opštinama sa manje od 20.000 stanovnika;</w:t>
      </w:r>
    </w:p>
    <w:p w14:paraId="51B43C3A" w14:textId="77777777" w:rsidR="00917080" w:rsidRDefault="00917080" w:rsidP="00917080">
      <w:pPr>
        <w:spacing w:before="120" w:after="120" w:line="360" w:lineRule="auto"/>
        <w:rPr>
          <w:rFonts w:ascii="Arial" w:hAnsi="Arial" w:cs="Arial"/>
          <w:lang w:val="sq-AL"/>
        </w:rPr>
      </w:pPr>
    </w:p>
    <w:p w14:paraId="3B40A022" w14:textId="77777777" w:rsidR="00917080" w:rsidRDefault="00917080" w:rsidP="00917080">
      <w:pPr>
        <w:spacing w:before="120" w:after="120" w:line="360" w:lineRule="auto"/>
        <w:rPr>
          <w:rFonts w:ascii="Arial" w:hAnsi="Arial" w:cs="Arial"/>
          <w:lang w:val="sq-AL"/>
        </w:rPr>
      </w:pPr>
    </w:p>
    <w:p w14:paraId="23124955" w14:textId="77777777" w:rsidR="00917080" w:rsidRDefault="00917080" w:rsidP="00917080">
      <w:pPr>
        <w:spacing w:before="120" w:after="120" w:line="360" w:lineRule="auto"/>
        <w:rPr>
          <w:rFonts w:ascii="Arial" w:hAnsi="Arial" w:cs="Arial"/>
          <w:lang w:val="sq-AL"/>
        </w:rPr>
      </w:pPr>
    </w:p>
    <w:p w14:paraId="0F940CBC" w14:textId="77777777" w:rsidR="00917080" w:rsidRDefault="00917080" w:rsidP="00917080">
      <w:pPr>
        <w:spacing w:before="120" w:after="120" w:line="360" w:lineRule="auto"/>
        <w:rPr>
          <w:rFonts w:ascii="Arial" w:hAnsi="Arial" w:cs="Arial"/>
          <w:lang w:val="sq-AL"/>
        </w:rPr>
      </w:pPr>
    </w:p>
    <w:p w14:paraId="3DB94D62" w14:textId="77777777" w:rsidR="00917080" w:rsidRPr="00917080" w:rsidRDefault="00917080" w:rsidP="00917080">
      <w:pPr>
        <w:spacing w:before="120" w:after="120" w:line="360" w:lineRule="auto"/>
        <w:rPr>
          <w:rFonts w:ascii="Arial" w:hAnsi="Arial" w:cs="Arial"/>
          <w:lang w:val="sq-AL"/>
        </w:rPr>
      </w:pPr>
    </w:p>
    <w:p w14:paraId="6FEB632B" w14:textId="3E840917" w:rsidR="00C232D7" w:rsidRPr="00C149AB" w:rsidRDefault="00C232D7" w:rsidP="00C232D7">
      <w:pPr>
        <w:pStyle w:val="Caption"/>
        <w:rPr>
          <w:rFonts w:ascii="Arial" w:hAnsi="Arial" w:cs="Arial"/>
          <w:b w:val="0"/>
          <w:szCs w:val="20"/>
          <w:lang w:val="sq-AL"/>
        </w:rPr>
      </w:pPr>
      <w:bookmarkStart w:id="1159" w:name="_Toc66355001"/>
      <w:bookmarkStart w:id="1160" w:name="_Toc109051593"/>
      <w:bookmarkStart w:id="1161" w:name="_Hlk65606897"/>
      <w:bookmarkStart w:id="1162" w:name="_Toc189515669"/>
      <w:bookmarkStart w:id="1163" w:name="_Toc190160787"/>
      <w:r w:rsidRPr="00C149AB">
        <w:rPr>
          <w:rFonts w:ascii="Arial" w:hAnsi="Arial" w:cs="Arial"/>
          <w:b w:val="0"/>
          <w:szCs w:val="20"/>
          <w:lang w:val="sq-AL"/>
        </w:rPr>
        <w:lastRenderedPageBreak/>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92</w:t>
      </w:r>
      <w:r w:rsidRPr="00C149AB">
        <w:rPr>
          <w:rFonts w:ascii="Arial" w:hAnsi="Arial" w:cs="Arial"/>
          <w:b w:val="0"/>
          <w:szCs w:val="20"/>
        </w:rPr>
        <w:fldChar w:fldCharType="end"/>
      </w:r>
      <w:r w:rsidRPr="00C149AB">
        <w:rPr>
          <w:rFonts w:ascii="Arial" w:hAnsi="Arial" w:cs="Arial"/>
          <w:b w:val="0"/>
          <w:szCs w:val="20"/>
          <w:lang w:val="sq-AL"/>
        </w:rPr>
        <w:t xml:space="preserve"> </w:t>
      </w:r>
      <w:bookmarkEnd w:id="1159"/>
      <w:bookmarkEnd w:id="1160"/>
      <w:bookmarkEnd w:id="1161"/>
      <w:r w:rsidRPr="00C149AB">
        <w:rPr>
          <w:rFonts w:ascii="Arial" w:hAnsi="Arial" w:cs="Arial"/>
          <w:b w:val="0"/>
          <w:szCs w:val="20"/>
          <w:lang w:val="sq-AL"/>
        </w:rPr>
        <w:t>Predloženi broj i vrsta CSO u Crnoj Gori</w:t>
      </w:r>
      <w:bookmarkEnd w:id="1162"/>
      <w:bookmarkEnd w:id="1163"/>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560"/>
        <w:gridCol w:w="992"/>
        <w:gridCol w:w="2410"/>
      </w:tblGrid>
      <w:tr w:rsidR="00C232D7" w:rsidRPr="00C149AB" w14:paraId="1E07AABB" w14:textId="77777777" w:rsidTr="00773B35">
        <w:trPr>
          <w:trHeight w:val="598"/>
          <w:tblHeader/>
          <w:jc w:val="center"/>
        </w:trPr>
        <w:tc>
          <w:tcPr>
            <w:tcW w:w="2263" w:type="dxa"/>
            <w:shd w:val="clear" w:color="auto" w:fill="F2F2F2" w:themeFill="background1" w:themeFillShade="F2"/>
            <w:noWrap/>
            <w:vAlign w:val="center"/>
          </w:tcPr>
          <w:p w14:paraId="34486E38" w14:textId="77777777" w:rsidR="00C232D7" w:rsidRPr="00C149AB" w:rsidRDefault="00C232D7" w:rsidP="00C232D7">
            <w:pPr>
              <w:spacing w:line="360" w:lineRule="auto"/>
              <w:rPr>
                <w:rFonts w:ascii="Arial" w:hAnsi="Arial" w:cs="Arial"/>
                <w:b/>
                <w:bCs/>
                <w:color w:val="000000"/>
                <w:sz w:val="18"/>
                <w:lang w:val="sq-AL"/>
              </w:rPr>
            </w:pPr>
            <w:bookmarkStart w:id="1164" w:name="_Hlk118625628"/>
            <w:r w:rsidRPr="00C149AB">
              <w:rPr>
                <w:rFonts w:ascii="Arial" w:hAnsi="Arial" w:cs="Arial"/>
                <w:b/>
                <w:bCs/>
                <w:color w:val="000000"/>
                <w:sz w:val="18"/>
                <w:lang w:val="sq-AL"/>
              </w:rPr>
              <w:t>Opština</w:t>
            </w:r>
          </w:p>
        </w:tc>
        <w:tc>
          <w:tcPr>
            <w:tcW w:w="1560" w:type="dxa"/>
            <w:shd w:val="clear" w:color="auto" w:fill="F2F2F2" w:themeFill="background1" w:themeFillShade="F2"/>
            <w:noWrap/>
            <w:vAlign w:val="center"/>
          </w:tcPr>
          <w:p w14:paraId="59B92F16" w14:textId="14193FD9" w:rsidR="00C232D7" w:rsidRPr="00C149AB" w:rsidRDefault="006D1C6A" w:rsidP="00C232D7">
            <w:pPr>
              <w:spacing w:line="360" w:lineRule="auto"/>
              <w:rPr>
                <w:rFonts w:ascii="Arial" w:hAnsi="Arial" w:cs="Arial"/>
                <w:b/>
                <w:bCs/>
                <w:color w:val="000000"/>
                <w:sz w:val="18"/>
                <w:lang w:val="sq-AL"/>
              </w:rPr>
            </w:pPr>
            <w:r>
              <w:rPr>
                <w:rFonts w:ascii="Arial" w:hAnsi="Arial" w:cs="Arial"/>
                <w:b/>
                <w:bCs/>
                <w:color w:val="000000"/>
                <w:sz w:val="18"/>
                <w:lang w:val="sq-AL"/>
              </w:rPr>
              <w:t>Broj stanovnika</w:t>
            </w:r>
          </w:p>
        </w:tc>
        <w:tc>
          <w:tcPr>
            <w:tcW w:w="992" w:type="dxa"/>
            <w:shd w:val="clear" w:color="auto" w:fill="F2F2F2" w:themeFill="background1" w:themeFillShade="F2"/>
            <w:vAlign w:val="center"/>
          </w:tcPr>
          <w:p w14:paraId="3050498B" w14:textId="77777777" w:rsidR="00C232D7" w:rsidRPr="00C149AB" w:rsidRDefault="00C232D7" w:rsidP="00C232D7">
            <w:pPr>
              <w:spacing w:line="360" w:lineRule="auto"/>
              <w:rPr>
                <w:rFonts w:ascii="Arial" w:hAnsi="Arial" w:cs="Arial"/>
                <w:b/>
                <w:bCs/>
                <w:color w:val="000000"/>
                <w:sz w:val="18"/>
                <w:lang w:val="sq-AL"/>
              </w:rPr>
            </w:pPr>
            <w:r w:rsidRPr="00C149AB">
              <w:rPr>
                <w:rFonts w:ascii="Arial" w:hAnsi="Arial" w:cs="Arial"/>
                <w:b/>
                <w:bCs/>
                <w:color w:val="000000"/>
                <w:sz w:val="18"/>
                <w:lang w:val="sq-AL"/>
              </w:rPr>
              <w:t>Broj centara</w:t>
            </w:r>
          </w:p>
        </w:tc>
        <w:tc>
          <w:tcPr>
            <w:tcW w:w="2410" w:type="dxa"/>
            <w:shd w:val="clear" w:color="auto" w:fill="F2F2F2" w:themeFill="background1" w:themeFillShade="F2"/>
            <w:vAlign w:val="center"/>
          </w:tcPr>
          <w:p w14:paraId="13221837" w14:textId="77777777" w:rsidR="00C232D7" w:rsidRPr="00C149AB" w:rsidRDefault="00C232D7" w:rsidP="00C232D7">
            <w:pPr>
              <w:spacing w:line="360" w:lineRule="auto"/>
              <w:rPr>
                <w:rFonts w:ascii="Arial" w:hAnsi="Arial" w:cs="Arial"/>
                <w:b/>
                <w:bCs/>
                <w:color w:val="000000"/>
                <w:sz w:val="18"/>
                <w:lang w:val="sq-AL"/>
              </w:rPr>
            </w:pPr>
            <w:r w:rsidRPr="00C149AB">
              <w:rPr>
                <w:rFonts w:ascii="Arial" w:hAnsi="Arial" w:cs="Arial"/>
                <w:b/>
                <w:bCs/>
                <w:color w:val="000000"/>
                <w:sz w:val="18"/>
                <w:lang w:val="sq-AL"/>
              </w:rPr>
              <w:t>Vrsta CSO</w:t>
            </w:r>
          </w:p>
        </w:tc>
      </w:tr>
      <w:tr w:rsidR="00C232D7" w:rsidRPr="00C149AB" w14:paraId="7C3633BA" w14:textId="77777777" w:rsidTr="00773B35">
        <w:trPr>
          <w:trHeight w:val="300"/>
          <w:jc w:val="center"/>
        </w:trPr>
        <w:tc>
          <w:tcPr>
            <w:tcW w:w="2263" w:type="dxa"/>
            <w:shd w:val="clear" w:color="auto" w:fill="auto"/>
            <w:noWrap/>
            <w:vAlign w:val="center"/>
          </w:tcPr>
          <w:p w14:paraId="272D9CFB"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ANDRIJEVICA</w:t>
            </w:r>
          </w:p>
        </w:tc>
        <w:tc>
          <w:tcPr>
            <w:tcW w:w="1560" w:type="dxa"/>
            <w:shd w:val="clear" w:color="auto" w:fill="auto"/>
            <w:noWrap/>
            <w:vAlign w:val="center"/>
          </w:tcPr>
          <w:p w14:paraId="1BEC02E2"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4.400</w:t>
            </w:r>
          </w:p>
        </w:tc>
        <w:tc>
          <w:tcPr>
            <w:tcW w:w="992" w:type="dxa"/>
            <w:shd w:val="clear" w:color="auto" w:fill="auto"/>
            <w:noWrap/>
            <w:vAlign w:val="center"/>
          </w:tcPr>
          <w:p w14:paraId="48374655"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vAlign w:val="center"/>
          </w:tcPr>
          <w:p w14:paraId="0B92077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Planirano (mali centar)</w:t>
            </w:r>
          </w:p>
        </w:tc>
      </w:tr>
      <w:tr w:rsidR="00C232D7" w:rsidRPr="00C149AB" w14:paraId="551B6469" w14:textId="77777777" w:rsidTr="00773B35">
        <w:trPr>
          <w:trHeight w:val="300"/>
          <w:jc w:val="center"/>
        </w:trPr>
        <w:tc>
          <w:tcPr>
            <w:tcW w:w="2263" w:type="dxa"/>
            <w:shd w:val="clear" w:color="auto" w:fill="auto"/>
            <w:noWrap/>
            <w:vAlign w:val="center"/>
          </w:tcPr>
          <w:p w14:paraId="466B674C"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BAR</w:t>
            </w:r>
          </w:p>
        </w:tc>
        <w:tc>
          <w:tcPr>
            <w:tcW w:w="1560" w:type="dxa"/>
            <w:shd w:val="clear" w:color="auto" w:fill="auto"/>
            <w:noWrap/>
            <w:vAlign w:val="center"/>
          </w:tcPr>
          <w:p w14:paraId="2166AAD9"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51.589</w:t>
            </w:r>
          </w:p>
        </w:tc>
        <w:tc>
          <w:tcPr>
            <w:tcW w:w="992" w:type="dxa"/>
            <w:shd w:val="clear" w:color="auto" w:fill="auto"/>
            <w:noWrap/>
            <w:vAlign w:val="center"/>
          </w:tcPr>
          <w:p w14:paraId="7AB5114F"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vAlign w:val="center"/>
          </w:tcPr>
          <w:p w14:paraId="0F65F2AC"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Veliki centar</w:t>
            </w:r>
          </w:p>
        </w:tc>
      </w:tr>
      <w:tr w:rsidR="00C232D7" w:rsidRPr="00C149AB" w14:paraId="5EB9B92F" w14:textId="77777777" w:rsidTr="00773B35">
        <w:trPr>
          <w:trHeight w:val="300"/>
          <w:jc w:val="center"/>
        </w:trPr>
        <w:tc>
          <w:tcPr>
            <w:tcW w:w="2263" w:type="dxa"/>
            <w:shd w:val="clear" w:color="auto" w:fill="auto"/>
            <w:noWrap/>
            <w:vAlign w:val="center"/>
          </w:tcPr>
          <w:p w14:paraId="16E7E544"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BERANE</w:t>
            </w:r>
          </w:p>
        </w:tc>
        <w:tc>
          <w:tcPr>
            <w:tcW w:w="1560" w:type="dxa"/>
            <w:shd w:val="clear" w:color="auto" w:fill="auto"/>
            <w:noWrap/>
            <w:vAlign w:val="center"/>
          </w:tcPr>
          <w:p w14:paraId="5953225D"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25.990</w:t>
            </w:r>
          </w:p>
        </w:tc>
        <w:tc>
          <w:tcPr>
            <w:tcW w:w="992" w:type="dxa"/>
            <w:shd w:val="clear" w:color="auto" w:fill="auto"/>
            <w:noWrap/>
            <w:vAlign w:val="center"/>
          </w:tcPr>
          <w:p w14:paraId="655A409F"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tcPr>
          <w:p w14:paraId="526DF0BF"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Planirano (veliki centar)</w:t>
            </w:r>
          </w:p>
        </w:tc>
      </w:tr>
      <w:tr w:rsidR="00C232D7" w:rsidRPr="00C149AB" w14:paraId="6408C2A4" w14:textId="77777777" w:rsidTr="00773B35">
        <w:trPr>
          <w:trHeight w:val="300"/>
          <w:jc w:val="center"/>
        </w:trPr>
        <w:tc>
          <w:tcPr>
            <w:tcW w:w="2263" w:type="dxa"/>
            <w:shd w:val="clear" w:color="auto" w:fill="auto"/>
            <w:noWrap/>
            <w:vAlign w:val="center"/>
          </w:tcPr>
          <w:p w14:paraId="16022C33"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BIJELO POLJE</w:t>
            </w:r>
          </w:p>
        </w:tc>
        <w:tc>
          <w:tcPr>
            <w:tcW w:w="1560" w:type="dxa"/>
            <w:shd w:val="clear" w:color="auto" w:fill="auto"/>
            <w:noWrap/>
            <w:vAlign w:val="center"/>
          </w:tcPr>
          <w:p w14:paraId="6C66581F"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40.982</w:t>
            </w:r>
          </w:p>
        </w:tc>
        <w:tc>
          <w:tcPr>
            <w:tcW w:w="992" w:type="dxa"/>
            <w:shd w:val="clear" w:color="auto" w:fill="auto"/>
            <w:noWrap/>
            <w:vAlign w:val="center"/>
          </w:tcPr>
          <w:p w14:paraId="2D4F94EC"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tcPr>
          <w:p w14:paraId="6110FEB8"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Planirano (veliki centar)</w:t>
            </w:r>
          </w:p>
        </w:tc>
      </w:tr>
      <w:tr w:rsidR="00C232D7" w:rsidRPr="00C149AB" w14:paraId="7BA99016" w14:textId="77777777" w:rsidTr="00773B35">
        <w:trPr>
          <w:trHeight w:val="300"/>
          <w:jc w:val="center"/>
        </w:trPr>
        <w:tc>
          <w:tcPr>
            <w:tcW w:w="2263" w:type="dxa"/>
            <w:shd w:val="clear" w:color="auto" w:fill="auto"/>
            <w:noWrap/>
            <w:vAlign w:val="center"/>
          </w:tcPr>
          <w:p w14:paraId="3F1FF9B3"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BUDVA</w:t>
            </w:r>
          </w:p>
        </w:tc>
        <w:tc>
          <w:tcPr>
            <w:tcW w:w="1560" w:type="dxa"/>
            <w:shd w:val="clear" w:color="auto" w:fill="auto"/>
            <w:noWrap/>
            <w:vAlign w:val="center"/>
          </w:tcPr>
          <w:p w14:paraId="48BB25FD"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41.584</w:t>
            </w:r>
          </w:p>
        </w:tc>
        <w:tc>
          <w:tcPr>
            <w:tcW w:w="992" w:type="dxa"/>
            <w:shd w:val="clear" w:color="auto" w:fill="auto"/>
            <w:noWrap/>
            <w:vAlign w:val="center"/>
          </w:tcPr>
          <w:p w14:paraId="4EAD2C35"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vAlign w:val="center"/>
          </w:tcPr>
          <w:p w14:paraId="6485CA2A"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Postojeći</w:t>
            </w:r>
          </w:p>
        </w:tc>
      </w:tr>
      <w:tr w:rsidR="00C232D7" w:rsidRPr="00C149AB" w14:paraId="7B0A6053" w14:textId="77777777" w:rsidTr="00773B35">
        <w:trPr>
          <w:trHeight w:val="300"/>
          <w:jc w:val="center"/>
        </w:trPr>
        <w:tc>
          <w:tcPr>
            <w:tcW w:w="2263" w:type="dxa"/>
            <w:shd w:val="clear" w:color="auto" w:fill="auto"/>
            <w:noWrap/>
            <w:vAlign w:val="center"/>
          </w:tcPr>
          <w:p w14:paraId="33098C3C"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CETINJE</w:t>
            </w:r>
          </w:p>
        </w:tc>
        <w:tc>
          <w:tcPr>
            <w:tcW w:w="1560" w:type="dxa"/>
            <w:shd w:val="clear" w:color="auto" w:fill="auto"/>
            <w:noWrap/>
            <w:vAlign w:val="center"/>
          </w:tcPr>
          <w:p w14:paraId="1055B789"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14.910</w:t>
            </w:r>
          </w:p>
        </w:tc>
        <w:tc>
          <w:tcPr>
            <w:tcW w:w="992" w:type="dxa"/>
            <w:vMerge w:val="restart"/>
            <w:shd w:val="clear" w:color="auto" w:fill="auto"/>
            <w:noWrap/>
            <w:vAlign w:val="center"/>
          </w:tcPr>
          <w:p w14:paraId="436EBF29" w14:textId="6F9E63E3" w:rsidR="00C232D7" w:rsidRPr="00C149AB" w:rsidRDefault="00835D94"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2</w:t>
            </w:r>
          </w:p>
        </w:tc>
        <w:tc>
          <w:tcPr>
            <w:tcW w:w="2410" w:type="dxa"/>
            <w:vMerge w:val="restart"/>
            <w:shd w:val="clear" w:color="auto" w:fill="auto"/>
            <w:noWrap/>
            <w:vAlign w:val="center"/>
          </w:tcPr>
          <w:p w14:paraId="0AA8712C" w14:textId="20DFAC5C" w:rsidR="00C232D7" w:rsidRPr="00C149AB" w:rsidRDefault="00835D94"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Planirano (mali centar)</w:t>
            </w:r>
          </w:p>
        </w:tc>
      </w:tr>
      <w:tr w:rsidR="00C232D7" w:rsidRPr="00C149AB" w14:paraId="2A5843A1" w14:textId="77777777" w:rsidTr="00773B35">
        <w:trPr>
          <w:trHeight w:val="300"/>
          <w:jc w:val="center"/>
        </w:trPr>
        <w:tc>
          <w:tcPr>
            <w:tcW w:w="2263" w:type="dxa"/>
            <w:shd w:val="clear" w:color="auto" w:fill="auto"/>
            <w:noWrap/>
            <w:vAlign w:val="center"/>
          </w:tcPr>
          <w:p w14:paraId="581E4AF5"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DANILOVGRAD</w:t>
            </w:r>
          </w:p>
        </w:tc>
        <w:tc>
          <w:tcPr>
            <w:tcW w:w="1560" w:type="dxa"/>
            <w:shd w:val="clear" w:color="auto" w:fill="auto"/>
            <w:noWrap/>
            <w:vAlign w:val="center"/>
          </w:tcPr>
          <w:p w14:paraId="1D2E8E1F"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18.289</w:t>
            </w:r>
          </w:p>
        </w:tc>
        <w:tc>
          <w:tcPr>
            <w:tcW w:w="992" w:type="dxa"/>
            <w:vMerge/>
            <w:shd w:val="clear" w:color="auto" w:fill="auto"/>
            <w:noWrap/>
            <w:vAlign w:val="center"/>
          </w:tcPr>
          <w:p w14:paraId="1E0EEB12" w14:textId="77777777" w:rsidR="00C232D7" w:rsidRPr="00C149AB" w:rsidRDefault="00C232D7" w:rsidP="00C232D7">
            <w:pPr>
              <w:spacing w:before="40" w:after="40" w:line="360" w:lineRule="auto"/>
              <w:rPr>
                <w:rFonts w:ascii="Arial" w:hAnsi="Arial" w:cs="Arial"/>
                <w:color w:val="000000"/>
                <w:sz w:val="18"/>
                <w:lang w:val="sq-AL"/>
              </w:rPr>
            </w:pPr>
          </w:p>
        </w:tc>
        <w:tc>
          <w:tcPr>
            <w:tcW w:w="2410" w:type="dxa"/>
            <w:vMerge/>
            <w:shd w:val="clear" w:color="auto" w:fill="auto"/>
            <w:noWrap/>
            <w:vAlign w:val="center"/>
          </w:tcPr>
          <w:p w14:paraId="3D5CC0AB" w14:textId="77777777" w:rsidR="00C232D7" w:rsidRPr="00C149AB" w:rsidRDefault="00C232D7" w:rsidP="00C232D7">
            <w:pPr>
              <w:spacing w:before="40" w:after="40" w:line="360" w:lineRule="auto"/>
              <w:rPr>
                <w:rFonts w:ascii="Arial" w:hAnsi="Arial" w:cs="Arial"/>
                <w:color w:val="000000"/>
                <w:sz w:val="18"/>
                <w:lang w:val="sq-AL"/>
              </w:rPr>
            </w:pPr>
          </w:p>
        </w:tc>
      </w:tr>
      <w:tr w:rsidR="00C232D7" w:rsidRPr="00C149AB" w14:paraId="3255FCAE" w14:textId="77777777" w:rsidTr="00773B35">
        <w:trPr>
          <w:trHeight w:val="300"/>
          <w:jc w:val="center"/>
        </w:trPr>
        <w:tc>
          <w:tcPr>
            <w:tcW w:w="2263" w:type="dxa"/>
            <w:shd w:val="clear" w:color="auto" w:fill="auto"/>
            <w:noWrap/>
            <w:vAlign w:val="center"/>
          </w:tcPr>
          <w:p w14:paraId="1727335C"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GUSINJE</w:t>
            </w:r>
          </w:p>
        </w:tc>
        <w:tc>
          <w:tcPr>
            <w:tcW w:w="1560" w:type="dxa"/>
            <w:shd w:val="clear" w:color="auto" w:fill="auto"/>
            <w:noWrap/>
            <w:vAlign w:val="center"/>
          </w:tcPr>
          <w:p w14:paraId="55EA08EB"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3.992</w:t>
            </w:r>
          </w:p>
        </w:tc>
        <w:tc>
          <w:tcPr>
            <w:tcW w:w="992" w:type="dxa"/>
            <w:shd w:val="clear" w:color="auto" w:fill="auto"/>
            <w:noWrap/>
            <w:vAlign w:val="center"/>
          </w:tcPr>
          <w:p w14:paraId="0E64F791"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vAlign w:val="center"/>
          </w:tcPr>
          <w:p w14:paraId="527A2122"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Planirano (mali centar)</w:t>
            </w:r>
          </w:p>
        </w:tc>
      </w:tr>
      <w:tr w:rsidR="00C232D7" w:rsidRPr="00C149AB" w14:paraId="7EC76C86" w14:textId="77777777" w:rsidTr="00773B35">
        <w:trPr>
          <w:trHeight w:val="300"/>
          <w:jc w:val="center"/>
        </w:trPr>
        <w:tc>
          <w:tcPr>
            <w:tcW w:w="2263" w:type="dxa"/>
            <w:shd w:val="clear" w:color="auto" w:fill="auto"/>
            <w:noWrap/>
            <w:vAlign w:val="center"/>
          </w:tcPr>
          <w:p w14:paraId="27CB6532"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HERCEG NOVI</w:t>
            </w:r>
          </w:p>
        </w:tc>
        <w:tc>
          <w:tcPr>
            <w:tcW w:w="1560" w:type="dxa"/>
            <w:shd w:val="clear" w:color="auto" w:fill="auto"/>
            <w:noWrap/>
            <w:vAlign w:val="center"/>
          </w:tcPr>
          <w:p w14:paraId="40F5FBAB"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41.418</w:t>
            </w:r>
          </w:p>
        </w:tc>
        <w:tc>
          <w:tcPr>
            <w:tcW w:w="992" w:type="dxa"/>
            <w:shd w:val="clear" w:color="auto" w:fill="auto"/>
            <w:noWrap/>
            <w:vAlign w:val="center"/>
          </w:tcPr>
          <w:p w14:paraId="37C4940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vAlign w:val="center"/>
          </w:tcPr>
          <w:p w14:paraId="0B70BB20"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Postojeći</w:t>
            </w:r>
          </w:p>
        </w:tc>
      </w:tr>
      <w:tr w:rsidR="00C232D7" w:rsidRPr="00C149AB" w14:paraId="336CCE3E" w14:textId="77777777" w:rsidTr="00773B35">
        <w:trPr>
          <w:trHeight w:val="300"/>
          <w:jc w:val="center"/>
        </w:trPr>
        <w:tc>
          <w:tcPr>
            <w:tcW w:w="2263" w:type="dxa"/>
            <w:shd w:val="clear" w:color="auto" w:fill="auto"/>
            <w:noWrap/>
            <w:vAlign w:val="center"/>
          </w:tcPr>
          <w:p w14:paraId="439B4FD5"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KOLAŠIN</w:t>
            </w:r>
          </w:p>
        </w:tc>
        <w:tc>
          <w:tcPr>
            <w:tcW w:w="1560" w:type="dxa"/>
            <w:shd w:val="clear" w:color="auto" w:fill="auto"/>
            <w:noWrap/>
            <w:vAlign w:val="center"/>
          </w:tcPr>
          <w:p w14:paraId="385281A9"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6.936</w:t>
            </w:r>
          </w:p>
        </w:tc>
        <w:tc>
          <w:tcPr>
            <w:tcW w:w="992" w:type="dxa"/>
            <w:shd w:val="clear" w:color="auto" w:fill="auto"/>
            <w:noWrap/>
            <w:vAlign w:val="center"/>
          </w:tcPr>
          <w:p w14:paraId="5044FDB8"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vAlign w:val="center"/>
          </w:tcPr>
          <w:p w14:paraId="01C66712"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Planirano (mali centar)</w:t>
            </w:r>
          </w:p>
        </w:tc>
      </w:tr>
      <w:tr w:rsidR="00C232D7" w:rsidRPr="00C149AB" w14:paraId="6353524F" w14:textId="77777777" w:rsidTr="00773B35">
        <w:trPr>
          <w:trHeight w:val="300"/>
          <w:jc w:val="center"/>
        </w:trPr>
        <w:tc>
          <w:tcPr>
            <w:tcW w:w="2263" w:type="dxa"/>
            <w:shd w:val="clear" w:color="auto" w:fill="auto"/>
            <w:noWrap/>
            <w:vAlign w:val="center"/>
          </w:tcPr>
          <w:p w14:paraId="7030FCE9"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KOTOR</w:t>
            </w:r>
          </w:p>
        </w:tc>
        <w:tc>
          <w:tcPr>
            <w:tcW w:w="1560" w:type="dxa"/>
            <w:shd w:val="clear" w:color="auto" w:fill="auto"/>
            <w:noWrap/>
            <w:vAlign w:val="center"/>
          </w:tcPr>
          <w:p w14:paraId="22636611"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25.375</w:t>
            </w:r>
          </w:p>
        </w:tc>
        <w:tc>
          <w:tcPr>
            <w:tcW w:w="992" w:type="dxa"/>
            <w:shd w:val="clear" w:color="auto" w:fill="auto"/>
            <w:noWrap/>
            <w:vAlign w:val="center"/>
          </w:tcPr>
          <w:p w14:paraId="5A4F518C"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vAlign w:val="center"/>
          </w:tcPr>
          <w:p w14:paraId="2FF84A9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Postojeći</w:t>
            </w:r>
          </w:p>
        </w:tc>
      </w:tr>
      <w:tr w:rsidR="00C232D7" w:rsidRPr="00C149AB" w14:paraId="0D17351C" w14:textId="77777777" w:rsidTr="00773B35">
        <w:trPr>
          <w:trHeight w:val="300"/>
          <w:jc w:val="center"/>
        </w:trPr>
        <w:tc>
          <w:tcPr>
            <w:tcW w:w="2263" w:type="dxa"/>
            <w:shd w:val="clear" w:color="auto" w:fill="auto"/>
            <w:noWrap/>
            <w:vAlign w:val="center"/>
          </w:tcPr>
          <w:p w14:paraId="0E898269"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MOJKOVAC</w:t>
            </w:r>
          </w:p>
        </w:tc>
        <w:tc>
          <w:tcPr>
            <w:tcW w:w="1560" w:type="dxa"/>
            <w:shd w:val="clear" w:color="auto" w:fill="auto"/>
            <w:noWrap/>
            <w:vAlign w:val="center"/>
          </w:tcPr>
          <w:p w14:paraId="4C5CA43A"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7.225</w:t>
            </w:r>
          </w:p>
        </w:tc>
        <w:tc>
          <w:tcPr>
            <w:tcW w:w="992" w:type="dxa"/>
            <w:shd w:val="clear" w:color="auto" w:fill="auto"/>
            <w:noWrap/>
            <w:vAlign w:val="center"/>
          </w:tcPr>
          <w:p w14:paraId="191513BF"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vAlign w:val="center"/>
          </w:tcPr>
          <w:p w14:paraId="58A35596"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Postojeći</w:t>
            </w:r>
          </w:p>
        </w:tc>
      </w:tr>
      <w:tr w:rsidR="00C232D7" w:rsidRPr="00C149AB" w14:paraId="0295F7FB" w14:textId="77777777" w:rsidTr="00773B35">
        <w:trPr>
          <w:trHeight w:val="300"/>
          <w:jc w:val="center"/>
        </w:trPr>
        <w:tc>
          <w:tcPr>
            <w:tcW w:w="2263" w:type="dxa"/>
            <w:shd w:val="clear" w:color="auto" w:fill="auto"/>
            <w:noWrap/>
            <w:vAlign w:val="center"/>
          </w:tcPr>
          <w:p w14:paraId="4E5D2FF0"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NIKŠIĆ</w:t>
            </w:r>
          </w:p>
        </w:tc>
        <w:tc>
          <w:tcPr>
            <w:tcW w:w="1560" w:type="dxa"/>
            <w:shd w:val="clear" w:color="auto" w:fill="auto"/>
            <w:noWrap/>
            <w:vAlign w:val="center"/>
          </w:tcPr>
          <w:p w14:paraId="6804EFF0"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68.111</w:t>
            </w:r>
          </w:p>
        </w:tc>
        <w:tc>
          <w:tcPr>
            <w:tcW w:w="992" w:type="dxa"/>
            <w:shd w:val="clear" w:color="auto" w:fill="auto"/>
            <w:noWrap/>
            <w:vAlign w:val="center"/>
          </w:tcPr>
          <w:p w14:paraId="2075BDA7"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vAlign w:val="center"/>
          </w:tcPr>
          <w:p w14:paraId="5FF985FC"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Veliki centar</w:t>
            </w:r>
          </w:p>
        </w:tc>
      </w:tr>
      <w:tr w:rsidR="00C232D7" w:rsidRPr="00C149AB" w14:paraId="7919AAFC" w14:textId="77777777" w:rsidTr="00773B35">
        <w:trPr>
          <w:trHeight w:val="300"/>
          <w:jc w:val="center"/>
        </w:trPr>
        <w:tc>
          <w:tcPr>
            <w:tcW w:w="2263" w:type="dxa"/>
            <w:shd w:val="clear" w:color="auto" w:fill="auto"/>
            <w:noWrap/>
            <w:vAlign w:val="center"/>
          </w:tcPr>
          <w:p w14:paraId="4E570D15"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PETNJICA</w:t>
            </w:r>
          </w:p>
        </w:tc>
        <w:tc>
          <w:tcPr>
            <w:tcW w:w="1560" w:type="dxa"/>
            <w:shd w:val="clear" w:color="auto" w:fill="auto"/>
            <w:noWrap/>
            <w:vAlign w:val="center"/>
          </w:tcPr>
          <w:p w14:paraId="7C9DC19C"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5.272</w:t>
            </w:r>
          </w:p>
        </w:tc>
        <w:tc>
          <w:tcPr>
            <w:tcW w:w="992" w:type="dxa"/>
            <w:shd w:val="clear" w:color="auto" w:fill="auto"/>
            <w:noWrap/>
            <w:vAlign w:val="center"/>
          </w:tcPr>
          <w:p w14:paraId="4B196C7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tcPr>
          <w:p w14:paraId="2963EA21"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Planirano (mali centar)</w:t>
            </w:r>
          </w:p>
        </w:tc>
      </w:tr>
      <w:tr w:rsidR="00C232D7" w:rsidRPr="00C149AB" w14:paraId="290BFB0E" w14:textId="77777777" w:rsidTr="00773B35">
        <w:trPr>
          <w:trHeight w:val="300"/>
          <w:jc w:val="center"/>
        </w:trPr>
        <w:tc>
          <w:tcPr>
            <w:tcW w:w="2263" w:type="dxa"/>
            <w:shd w:val="clear" w:color="auto" w:fill="auto"/>
            <w:noWrap/>
            <w:vAlign w:val="center"/>
          </w:tcPr>
          <w:p w14:paraId="68C16BD2"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PLAV</w:t>
            </w:r>
          </w:p>
        </w:tc>
        <w:tc>
          <w:tcPr>
            <w:tcW w:w="1560" w:type="dxa"/>
            <w:shd w:val="clear" w:color="auto" w:fill="auto"/>
            <w:noWrap/>
            <w:vAlign w:val="center"/>
          </w:tcPr>
          <w:p w14:paraId="5F52553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8.181</w:t>
            </w:r>
          </w:p>
        </w:tc>
        <w:tc>
          <w:tcPr>
            <w:tcW w:w="992" w:type="dxa"/>
            <w:shd w:val="clear" w:color="auto" w:fill="auto"/>
            <w:noWrap/>
            <w:vAlign w:val="center"/>
          </w:tcPr>
          <w:p w14:paraId="749D1252"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tcPr>
          <w:p w14:paraId="48D4DC15"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Planirano (mali centar)</w:t>
            </w:r>
          </w:p>
        </w:tc>
      </w:tr>
      <w:tr w:rsidR="00C232D7" w:rsidRPr="00C149AB" w14:paraId="74F76FA3" w14:textId="77777777" w:rsidTr="00773B35">
        <w:trPr>
          <w:trHeight w:val="300"/>
          <w:jc w:val="center"/>
        </w:trPr>
        <w:tc>
          <w:tcPr>
            <w:tcW w:w="2263" w:type="dxa"/>
            <w:shd w:val="clear" w:color="auto" w:fill="auto"/>
            <w:noWrap/>
            <w:vAlign w:val="center"/>
          </w:tcPr>
          <w:p w14:paraId="4BAB115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PLJEVLJA</w:t>
            </w:r>
          </w:p>
        </w:tc>
        <w:tc>
          <w:tcPr>
            <w:tcW w:w="1560" w:type="dxa"/>
            <w:shd w:val="clear" w:color="auto" w:fill="auto"/>
            <w:noWrap/>
            <w:vAlign w:val="center"/>
          </w:tcPr>
          <w:p w14:paraId="7CC60F59"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25.894</w:t>
            </w:r>
          </w:p>
        </w:tc>
        <w:tc>
          <w:tcPr>
            <w:tcW w:w="992" w:type="dxa"/>
            <w:shd w:val="clear" w:color="auto" w:fill="auto"/>
            <w:noWrap/>
            <w:vAlign w:val="center"/>
          </w:tcPr>
          <w:p w14:paraId="5547BF1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vAlign w:val="center"/>
          </w:tcPr>
          <w:p w14:paraId="3C7BD06B"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Planirano (veliki centar)</w:t>
            </w:r>
          </w:p>
        </w:tc>
      </w:tr>
      <w:tr w:rsidR="00C232D7" w:rsidRPr="00C149AB" w14:paraId="774E689B" w14:textId="77777777" w:rsidTr="00773B35">
        <w:trPr>
          <w:trHeight w:val="300"/>
          <w:jc w:val="center"/>
        </w:trPr>
        <w:tc>
          <w:tcPr>
            <w:tcW w:w="2263" w:type="dxa"/>
            <w:shd w:val="clear" w:color="auto" w:fill="auto"/>
            <w:noWrap/>
            <w:vAlign w:val="center"/>
          </w:tcPr>
          <w:p w14:paraId="5382A717"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PLUŽINE</w:t>
            </w:r>
          </w:p>
        </w:tc>
        <w:tc>
          <w:tcPr>
            <w:tcW w:w="1560" w:type="dxa"/>
            <w:shd w:val="clear" w:color="auto" w:fill="auto"/>
            <w:noWrap/>
            <w:vAlign w:val="center"/>
          </w:tcPr>
          <w:p w14:paraId="56510654"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2.485</w:t>
            </w:r>
          </w:p>
        </w:tc>
        <w:tc>
          <w:tcPr>
            <w:tcW w:w="992" w:type="dxa"/>
            <w:vMerge w:val="restart"/>
            <w:shd w:val="clear" w:color="auto" w:fill="auto"/>
            <w:noWrap/>
            <w:vAlign w:val="center"/>
          </w:tcPr>
          <w:p w14:paraId="7D6CB0B5"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2</w:t>
            </w:r>
          </w:p>
        </w:tc>
        <w:tc>
          <w:tcPr>
            <w:tcW w:w="2410" w:type="dxa"/>
            <w:vMerge w:val="restart"/>
            <w:shd w:val="clear" w:color="auto" w:fill="auto"/>
            <w:noWrap/>
            <w:vAlign w:val="center"/>
          </w:tcPr>
          <w:p w14:paraId="4DC41B0C" w14:textId="00102AA4" w:rsidR="00C232D7" w:rsidRPr="00C149AB" w:rsidRDefault="008122E3"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Planirano (mali centar)</w:t>
            </w:r>
          </w:p>
        </w:tc>
      </w:tr>
      <w:tr w:rsidR="00C232D7" w:rsidRPr="00C149AB" w14:paraId="0E36ACCF" w14:textId="77777777" w:rsidTr="00773B35">
        <w:trPr>
          <w:trHeight w:val="300"/>
          <w:jc w:val="center"/>
        </w:trPr>
        <w:tc>
          <w:tcPr>
            <w:tcW w:w="2263" w:type="dxa"/>
            <w:shd w:val="clear" w:color="auto" w:fill="auto"/>
            <w:noWrap/>
            <w:vAlign w:val="center"/>
          </w:tcPr>
          <w:p w14:paraId="16100CE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ŽABLJAK</w:t>
            </w:r>
          </w:p>
        </w:tc>
        <w:tc>
          <w:tcPr>
            <w:tcW w:w="1560" w:type="dxa"/>
            <w:shd w:val="clear" w:color="auto" w:fill="auto"/>
            <w:noWrap/>
            <w:vAlign w:val="center"/>
          </w:tcPr>
          <w:p w14:paraId="00CCBB70"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2.984</w:t>
            </w:r>
          </w:p>
        </w:tc>
        <w:tc>
          <w:tcPr>
            <w:tcW w:w="992" w:type="dxa"/>
            <w:vMerge/>
            <w:shd w:val="clear" w:color="auto" w:fill="auto"/>
            <w:noWrap/>
            <w:vAlign w:val="center"/>
          </w:tcPr>
          <w:p w14:paraId="493F7B46" w14:textId="77777777" w:rsidR="00C232D7" w:rsidRPr="00C149AB" w:rsidRDefault="00C232D7" w:rsidP="00C232D7">
            <w:pPr>
              <w:spacing w:before="40" w:after="40" w:line="360" w:lineRule="auto"/>
              <w:rPr>
                <w:rFonts w:ascii="Arial" w:hAnsi="Arial" w:cs="Arial"/>
                <w:color w:val="000000"/>
                <w:sz w:val="18"/>
                <w:lang w:val="sq-AL"/>
              </w:rPr>
            </w:pPr>
          </w:p>
        </w:tc>
        <w:tc>
          <w:tcPr>
            <w:tcW w:w="2410" w:type="dxa"/>
            <w:vMerge/>
            <w:shd w:val="clear" w:color="auto" w:fill="auto"/>
            <w:noWrap/>
            <w:vAlign w:val="center"/>
          </w:tcPr>
          <w:p w14:paraId="23690021" w14:textId="77777777" w:rsidR="00C232D7" w:rsidRPr="00C149AB" w:rsidRDefault="00C232D7" w:rsidP="00C232D7">
            <w:pPr>
              <w:spacing w:before="40" w:after="40" w:line="360" w:lineRule="auto"/>
              <w:rPr>
                <w:rFonts w:ascii="Arial" w:hAnsi="Arial" w:cs="Arial"/>
                <w:color w:val="000000"/>
                <w:sz w:val="18"/>
                <w:lang w:val="sq-AL"/>
              </w:rPr>
            </w:pPr>
          </w:p>
        </w:tc>
      </w:tr>
      <w:tr w:rsidR="00C232D7" w:rsidRPr="00C149AB" w14:paraId="0C7E2502" w14:textId="77777777" w:rsidTr="00773B35">
        <w:trPr>
          <w:trHeight w:val="300"/>
          <w:jc w:val="center"/>
        </w:trPr>
        <w:tc>
          <w:tcPr>
            <w:tcW w:w="2263" w:type="dxa"/>
            <w:shd w:val="clear" w:color="auto" w:fill="auto"/>
            <w:noWrap/>
            <w:vAlign w:val="center"/>
          </w:tcPr>
          <w:p w14:paraId="62904B3A"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ŠAVNIK</w:t>
            </w:r>
          </w:p>
        </w:tc>
        <w:tc>
          <w:tcPr>
            <w:tcW w:w="1560" w:type="dxa"/>
            <w:shd w:val="clear" w:color="auto" w:fill="auto"/>
            <w:noWrap/>
            <w:vAlign w:val="center"/>
          </w:tcPr>
          <w:p w14:paraId="54A2DB97"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1.424</w:t>
            </w:r>
          </w:p>
        </w:tc>
        <w:tc>
          <w:tcPr>
            <w:tcW w:w="992" w:type="dxa"/>
            <w:vMerge/>
            <w:shd w:val="clear" w:color="auto" w:fill="auto"/>
            <w:noWrap/>
            <w:vAlign w:val="center"/>
          </w:tcPr>
          <w:p w14:paraId="06CF22CD" w14:textId="77777777" w:rsidR="00C232D7" w:rsidRPr="00C149AB" w:rsidRDefault="00C232D7" w:rsidP="00C232D7">
            <w:pPr>
              <w:spacing w:before="40" w:after="40" w:line="360" w:lineRule="auto"/>
              <w:rPr>
                <w:rFonts w:ascii="Arial" w:hAnsi="Arial" w:cs="Arial"/>
                <w:color w:val="000000"/>
                <w:sz w:val="18"/>
                <w:lang w:val="sq-AL"/>
              </w:rPr>
            </w:pPr>
          </w:p>
        </w:tc>
        <w:tc>
          <w:tcPr>
            <w:tcW w:w="2410" w:type="dxa"/>
            <w:vMerge/>
            <w:shd w:val="clear" w:color="auto" w:fill="auto"/>
            <w:noWrap/>
            <w:vAlign w:val="center"/>
          </w:tcPr>
          <w:p w14:paraId="5376B803" w14:textId="77777777" w:rsidR="00C232D7" w:rsidRPr="00C149AB" w:rsidRDefault="00C232D7" w:rsidP="00C232D7">
            <w:pPr>
              <w:spacing w:before="40" w:after="40" w:line="360" w:lineRule="auto"/>
              <w:rPr>
                <w:rFonts w:ascii="Arial" w:hAnsi="Arial" w:cs="Arial"/>
                <w:color w:val="000000"/>
                <w:sz w:val="18"/>
                <w:lang w:val="sq-AL"/>
              </w:rPr>
            </w:pPr>
          </w:p>
        </w:tc>
      </w:tr>
      <w:tr w:rsidR="00C232D7" w:rsidRPr="00C149AB" w14:paraId="616D303F" w14:textId="77777777" w:rsidTr="00773B35">
        <w:trPr>
          <w:trHeight w:val="300"/>
          <w:jc w:val="center"/>
        </w:trPr>
        <w:tc>
          <w:tcPr>
            <w:tcW w:w="2263" w:type="dxa"/>
            <w:shd w:val="clear" w:color="auto" w:fill="auto"/>
            <w:noWrap/>
            <w:vAlign w:val="center"/>
          </w:tcPr>
          <w:p w14:paraId="5E5E7000"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TUZI</w:t>
            </w:r>
          </w:p>
        </w:tc>
        <w:tc>
          <w:tcPr>
            <w:tcW w:w="1560" w:type="dxa"/>
            <w:shd w:val="clear" w:color="auto" w:fill="auto"/>
            <w:noWrap/>
            <w:vAlign w:val="center"/>
          </w:tcPr>
          <w:p w14:paraId="67FBABA1"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12.334</w:t>
            </w:r>
          </w:p>
        </w:tc>
        <w:tc>
          <w:tcPr>
            <w:tcW w:w="992" w:type="dxa"/>
            <w:vMerge/>
            <w:shd w:val="clear" w:color="auto" w:fill="auto"/>
            <w:noWrap/>
            <w:vAlign w:val="center"/>
          </w:tcPr>
          <w:p w14:paraId="3CF43474" w14:textId="77777777" w:rsidR="00C232D7" w:rsidRPr="00C149AB" w:rsidRDefault="00C232D7" w:rsidP="00C232D7">
            <w:pPr>
              <w:spacing w:before="40" w:after="40" w:line="360" w:lineRule="auto"/>
              <w:rPr>
                <w:rFonts w:ascii="Arial" w:hAnsi="Arial" w:cs="Arial"/>
                <w:color w:val="000000"/>
                <w:sz w:val="18"/>
                <w:lang w:val="sq-AL"/>
              </w:rPr>
            </w:pPr>
          </w:p>
        </w:tc>
        <w:tc>
          <w:tcPr>
            <w:tcW w:w="2410" w:type="dxa"/>
            <w:vMerge/>
            <w:shd w:val="clear" w:color="auto" w:fill="auto"/>
            <w:noWrap/>
            <w:vAlign w:val="center"/>
          </w:tcPr>
          <w:p w14:paraId="7F8D0E5E" w14:textId="77777777" w:rsidR="00C232D7" w:rsidRPr="00C149AB" w:rsidRDefault="00C232D7" w:rsidP="00C232D7">
            <w:pPr>
              <w:spacing w:before="40" w:after="40" w:line="360" w:lineRule="auto"/>
              <w:rPr>
                <w:rFonts w:ascii="Arial" w:hAnsi="Arial" w:cs="Arial"/>
                <w:color w:val="000000"/>
                <w:sz w:val="18"/>
                <w:lang w:val="sq-AL"/>
              </w:rPr>
            </w:pPr>
          </w:p>
        </w:tc>
      </w:tr>
      <w:tr w:rsidR="00C232D7" w:rsidRPr="00C149AB" w14:paraId="76928AD3" w14:textId="77777777" w:rsidTr="00773B35">
        <w:trPr>
          <w:trHeight w:val="300"/>
          <w:jc w:val="center"/>
        </w:trPr>
        <w:tc>
          <w:tcPr>
            <w:tcW w:w="2263" w:type="dxa"/>
            <w:shd w:val="clear" w:color="auto" w:fill="auto"/>
            <w:noWrap/>
            <w:vAlign w:val="center"/>
          </w:tcPr>
          <w:p w14:paraId="34E0C3B8"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PODGORICA</w:t>
            </w:r>
          </w:p>
        </w:tc>
        <w:tc>
          <w:tcPr>
            <w:tcW w:w="1560" w:type="dxa"/>
            <w:shd w:val="clear" w:color="auto" w:fill="auto"/>
            <w:noWrap/>
            <w:vAlign w:val="center"/>
          </w:tcPr>
          <w:p w14:paraId="2DC133B9"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178.237</w:t>
            </w:r>
          </w:p>
        </w:tc>
        <w:tc>
          <w:tcPr>
            <w:tcW w:w="992" w:type="dxa"/>
            <w:shd w:val="clear" w:color="auto" w:fill="auto"/>
            <w:noWrap/>
            <w:vAlign w:val="center"/>
          </w:tcPr>
          <w:p w14:paraId="67EA1DCA" w14:textId="0820B98F" w:rsidR="00C232D7" w:rsidRPr="00C149AB" w:rsidRDefault="007B5140"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5</w:t>
            </w:r>
          </w:p>
        </w:tc>
        <w:tc>
          <w:tcPr>
            <w:tcW w:w="2410" w:type="dxa"/>
            <w:shd w:val="clear" w:color="auto" w:fill="auto"/>
            <w:noWrap/>
            <w:vAlign w:val="center"/>
          </w:tcPr>
          <w:p w14:paraId="1B85C991"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Postojeći</w:t>
            </w:r>
          </w:p>
        </w:tc>
      </w:tr>
      <w:tr w:rsidR="00C232D7" w:rsidRPr="00C149AB" w14:paraId="2E1CD4D8" w14:textId="77777777" w:rsidTr="00773B35">
        <w:trPr>
          <w:trHeight w:val="300"/>
          <w:jc w:val="center"/>
        </w:trPr>
        <w:tc>
          <w:tcPr>
            <w:tcW w:w="2263" w:type="dxa"/>
            <w:shd w:val="clear" w:color="auto" w:fill="auto"/>
            <w:noWrap/>
            <w:vAlign w:val="center"/>
          </w:tcPr>
          <w:p w14:paraId="6EE4C7F8"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ROŽAJE</w:t>
            </w:r>
          </w:p>
        </w:tc>
        <w:tc>
          <w:tcPr>
            <w:tcW w:w="1560" w:type="dxa"/>
            <w:shd w:val="clear" w:color="auto" w:fill="auto"/>
            <w:noWrap/>
            <w:vAlign w:val="center"/>
          </w:tcPr>
          <w:p w14:paraId="59D87718"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22.903</w:t>
            </w:r>
          </w:p>
        </w:tc>
        <w:tc>
          <w:tcPr>
            <w:tcW w:w="992" w:type="dxa"/>
            <w:shd w:val="clear" w:color="auto" w:fill="auto"/>
            <w:noWrap/>
            <w:vAlign w:val="center"/>
          </w:tcPr>
          <w:p w14:paraId="605DB340"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vAlign w:val="center"/>
          </w:tcPr>
          <w:p w14:paraId="05B28ECC"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Planirano (mali centar)</w:t>
            </w:r>
          </w:p>
        </w:tc>
      </w:tr>
      <w:tr w:rsidR="00C232D7" w:rsidRPr="00C149AB" w14:paraId="2155E14B" w14:textId="77777777" w:rsidTr="00773B35">
        <w:trPr>
          <w:trHeight w:val="300"/>
          <w:jc w:val="center"/>
        </w:trPr>
        <w:tc>
          <w:tcPr>
            <w:tcW w:w="2263" w:type="dxa"/>
            <w:shd w:val="clear" w:color="auto" w:fill="auto"/>
            <w:noWrap/>
            <w:vAlign w:val="center"/>
          </w:tcPr>
          <w:p w14:paraId="231E26CE"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TIVAT</w:t>
            </w:r>
          </w:p>
        </w:tc>
        <w:tc>
          <w:tcPr>
            <w:tcW w:w="1560" w:type="dxa"/>
            <w:shd w:val="clear" w:color="auto" w:fill="auto"/>
            <w:noWrap/>
            <w:vAlign w:val="center"/>
          </w:tcPr>
          <w:p w14:paraId="56C3797D"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19.620</w:t>
            </w:r>
          </w:p>
        </w:tc>
        <w:tc>
          <w:tcPr>
            <w:tcW w:w="992" w:type="dxa"/>
            <w:shd w:val="clear" w:color="auto" w:fill="auto"/>
            <w:noWrap/>
            <w:vAlign w:val="center"/>
          </w:tcPr>
          <w:p w14:paraId="24188348"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vAlign w:val="center"/>
          </w:tcPr>
          <w:p w14:paraId="5B7136F3"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Centar srednih razmjera</w:t>
            </w:r>
          </w:p>
        </w:tc>
      </w:tr>
      <w:tr w:rsidR="00C232D7" w:rsidRPr="00C149AB" w14:paraId="5A7B2675" w14:textId="77777777" w:rsidTr="00773B35">
        <w:trPr>
          <w:trHeight w:val="300"/>
          <w:jc w:val="center"/>
        </w:trPr>
        <w:tc>
          <w:tcPr>
            <w:tcW w:w="2263" w:type="dxa"/>
            <w:shd w:val="clear" w:color="auto" w:fill="auto"/>
            <w:noWrap/>
            <w:vAlign w:val="bottom"/>
          </w:tcPr>
          <w:p w14:paraId="76B0CBFD"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ULCINJ</w:t>
            </w:r>
          </w:p>
        </w:tc>
        <w:tc>
          <w:tcPr>
            <w:tcW w:w="1560" w:type="dxa"/>
            <w:shd w:val="clear" w:color="auto" w:fill="auto"/>
            <w:noWrap/>
            <w:vAlign w:val="bottom"/>
          </w:tcPr>
          <w:p w14:paraId="778EAFA1"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26.463</w:t>
            </w:r>
          </w:p>
        </w:tc>
        <w:tc>
          <w:tcPr>
            <w:tcW w:w="992" w:type="dxa"/>
            <w:shd w:val="clear" w:color="auto" w:fill="auto"/>
            <w:noWrap/>
            <w:vAlign w:val="bottom"/>
          </w:tcPr>
          <w:p w14:paraId="37F4A41B"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1</w:t>
            </w:r>
          </w:p>
        </w:tc>
        <w:tc>
          <w:tcPr>
            <w:tcW w:w="2410" w:type="dxa"/>
            <w:shd w:val="clear" w:color="auto" w:fill="auto"/>
            <w:noWrap/>
            <w:vAlign w:val="bottom"/>
          </w:tcPr>
          <w:p w14:paraId="3F4879F3"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Centar srednih razmjera</w:t>
            </w:r>
          </w:p>
        </w:tc>
      </w:tr>
      <w:tr w:rsidR="00C232D7" w:rsidRPr="00C149AB" w14:paraId="244ECA14" w14:textId="77777777" w:rsidTr="00773B35">
        <w:trPr>
          <w:trHeight w:val="300"/>
          <w:jc w:val="center"/>
        </w:trPr>
        <w:tc>
          <w:tcPr>
            <w:tcW w:w="2263" w:type="dxa"/>
            <w:shd w:val="clear" w:color="auto" w:fill="auto"/>
            <w:noWrap/>
            <w:vAlign w:val="bottom"/>
          </w:tcPr>
          <w:p w14:paraId="417F45C6"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ZETA</w:t>
            </w:r>
          </w:p>
        </w:tc>
        <w:tc>
          <w:tcPr>
            <w:tcW w:w="1560" w:type="dxa"/>
            <w:shd w:val="clear" w:color="auto" w:fill="auto"/>
            <w:noWrap/>
            <w:vAlign w:val="bottom"/>
          </w:tcPr>
          <w:p w14:paraId="4AA48CA7"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rPr>
              <w:t>16,142</w:t>
            </w:r>
          </w:p>
        </w:tc>
        <w:tc>
          <w:tcPr>
            <w:tcW w:w="992" w:type="dxa"/>
            <w:shd w:val="clear" w:color="auto" w:fill="auto"/>
            <w:noWrap/>
            <w:vAlign w:val="bottom"/>
          </w:tcPr>
          <w:p w14:paraId="25B4C6B3"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rPr>
              <w:t>1</w:t>
            </w:r>
          </w:p>
        </w:tc>
        <w:tc>
          <w:tcPr>
            <w:tcW w:w="2410" w:type="dxa"/>
            <w:shd w:val="clear" w:color="auto" w:fill="auto"/>
            <w:noWrap/>
            <w:vAlign w:val="bottom"/>
          </w:tcPr>
          <w:p w14:paraId="23378750" w14:textId="77777777" w:rsidR="00C232D7" w:rsidRPr="00C149AB" w:rsidRDefault="00C232D7" w:rsidP="00C232D7">
            <w:pPr>
              <w:spacing w:before="40" w:after="40" w:line="360" w:lineRule="auto"/>
              <w:rPr>
                <w:rFonts w:ascii="Arial" w:hAnsi="Arial" w:cs="Arial"/>
                <w:color w:val="000000"/>
                <w:sz w:val="18"/>
                <w:lang w:val="sq-AL"/>
              </w:rPr>
            </w:pPr>
            <w:r w:rsidRPr="00C149AB">
              <w:rPr>
                <w:rFonts w:ascii="Arial" w:hAnsi="Arial" w:cs="Arial"/>
                <w:color w:val="000000"/>
                <w:sz w:val="18"/>
                <w:lang w:val="sq-AL"/>
              </w:rPr>
              <w:t>Postojeći</w:t>
            </w:r>
          </w:p>
        </w:tc>
      </w:tr>
      <w:tr w:rsidR="00C232D7" w:rsidRPr="00C149AB" w14:paraId="198A0981" w14:textId="77777777" w:rsidTr="00773B35">
        <w:trPr>
          <w:trHeight w:val="300"/>
          <w:jc w:val="center"/>
        </w:trPr>
        <w:tc>
          <w:tcPr>
            <w:tcW w:w="2263" w:type="dxa"/>
            <w:shd w:val="clear" w:color="auto" w:fill="auto"/>
            <w:noWrap/>
            <w:vAlign w:val="center"/>
          </w:tcPr>
          <w:p w14:paraId="7DAB15B6" w14:textId="77777777" w:rsidR="00C232D7" w:rsidRPr="00C149AB" w:rsidRDefault="00C232D7" w:rsidP="00C232D7">
            <w:pPr>
              <w:spacing w:line="360" w:lineRule="auto"/>
              <w:rPr>
                <w:rFonts w:ascii="Arial" w:hAnsi="Arial" w:cs="Arial"/>
                <w:b/>
                <w:bCs/>
                <w:color w:val="000000"/>
                <w:sz w:val="18"/>
                <w:lang w:val="sq-AL"/>
              </w:rPr>
            </w:pPr>
            <w:r w:rsidRPr="00C149AB">
              <w:rPr>
                <w:rFonts w:ascii="Arial" w:hAnsi="Arial" w:cs="Arial"/>
                <w:b/>
                <w:bCs/>
                <w:color w:val="000000"/>
                <w:sz w:val="18"/>
                <w:lang w:val="sq-AL"/>
              </w:rPr>
              <w:t>Ukupno</w:t>
            </w:r>
          </w:p>
        </w:tc>
        <w:tc>
          <w:tcPr>
            <w:tcW w:w="1560" w:type="dxa"/>
            <w:shd w:val="clear" w:color="auto" w:fill="auto"/>
            <w:noWrap/>
            <w:vAlign w:val="center"/>
          </w:tcPr>
          <w:p w14:paraId="276CED04" w14:textId="77777777" w:rsidR="00C232D7" w:rsidRPr="00C149AB" w:rsidRDefault="00C232D7" w:rsidP="00C232D7">
            <w:pPr>
              <w:spacing w:line="360" w:lineRule="auto"/>
              <w:rPr>
                <w:rFonts w:ascii="Arial" w:hAnsi="Arial" w:cs="Arial"/>
                <w:b/>
                <w:bCs/>
                <w:color w:val="000000"/>
                <w:sz w:val="18"/>
                <w:lang w:val="sq-AL"/>
              </w:rPr>
            </w:pPr>
            <w:r w:rsidRPr="00C149AB">
              <w:rPr>
                <w:rFonts w:ascii="Arial" w:hAnsi="Arial" w:cs="Arial"/>
                <w:b/>
                <w:bCs/>
                <w:color w:val="000000"/>
                <w:sz w:val="18"/>
                <w:lang w:val="sq-AL"/>
              </w:rPr>
              <w:t>670.875</w:t>
            </w:r>
          </w:p>
        </w:tc>
        <w:tc>
          <w:tcPr>
            <w:tcW w:w="992" w:type="dxa"/>
            <w:shd w:val="clear" w:color="auto" w:fill="auto"/>
            <w:noWrap/>
            <w:vAlign w:val="bottom"/>
          </w:tcPr>
          <w:p w14:paraId="18CD7CB6" w14:textId="4FEE05BE" w:rsidR="00C232D7" w:rsidRPr="00C149AB" w:rsidRDefault="00C232D7" w:rsidP="00C232D7">
            <w:pPr>
              <w:spacing w:line="360" w:lineRule="auto"/>
              <w:rPr>
                <w:rFonts w:ascii="Arial" w:hAnsi="Arial" w:cs="Arial"/>
                <w:b/>
                <w:bCs/>
                <w:color w:val="FFFFFF"/>
                <w:sz w:val="18"/>
                <w:lang w:val="sq-AL"/>
              </w:rPr>
            </w:pPr>
            <w:r w:rsidRPr="00C149AB">
              <w:rPr>
                <w:rFonts w:ascii="Arial" w:hAnsi="Arial" w:cs="Arial"/>
                <w:b/>
                <w:bCs/>
                <w:sz w:val="18"/>
                <w:lang w:val="sq-AL"/>
              </w:rPr>
              <w:t>2</w:t>
            </w:r>
            <w:r w:rsidR="008122E3" w:rsidRPr="00C149AB">
              <w:rPr>
                <w:rFonts w:ascii="Arial" w:hAnsi="Arial" w:cs="Arial"/>
                <w:b/>
                <w:bCs/>
                <w:sz w:val="18"/>
                <w:lang w:val="sq-AL"/>
              </w:rPr>
              <w:t>7</w:t>
            </w:r>
          </w:p>
        </w:tc>
        <w:tc>
          <w:tcPr>
            <w:tcW w:w="2410" w:type="dxa"/>
            <w:shd w:val="clear" w:color="auto" w:fill="auto"/>
            <w:noWrap/>
            <w:vAlign w:val="bottom"/>
          </w:tcPr>
          <w:p w14:paraId="1E3605D2" w14:textId="77777777" w:rsidR="00C232D7" w:rsidRPr="00C149AB" w:rsidRDefault="00C232D7" w:rsidP="00C232D7">
            <w:pPr>
              <w:spacing w:line="360" w:lineRule="auto"/>
              <w:rPr>
                <w:rFonts w:ascii="Arial" w:hAnsi="Arial" w:cs="Arial"/>
                <w:b/>
                <w:bCs/>
                <w:color w:val="FFFFFF"/>
                <w:sz w:val="18"/>
                <w:lang w:val="sq-AL"/>
              </w:rPr>
            </w:pPr>
          </w:p>
        </w:tc>
      </w:tr>
    </w:tbl>
    <w:bookmarkEnd w:id="1164"/>
    <w:p w14:paraId="5F9B66E3" w14:textId="27B32D98"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Napominje se da bi se u budućnosti, nakon izvođenja ove mreže i studije izvodljivosti,  mogla izvršiti prilagođavanja mreže u smislu povećavanja broja CSO ili mobilnih sabirnih punktova.</w:t>
      </w:r>
    </w:p>
    <w:p w14:paraId="67C7082D" w14:textId="1FE8D7D1"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Fokalna tačka za mobilne reciklažne  punktove biće najbliži veliki/sredni reciklažni centar.</w:t>
      </w:r>
    </w:p>
    <w:p w14:paraId="59918DE6" w14:textId="2A340484" w:rsidR="00C232D7" w:rsidRPr="002A6F4E" w:rsidRDefault="00620A47" w:rsidP="00F57909">
      <w:pPr>
        <w:pStyle w:val="Heading2"/>
      </w:pPr>
      <w:bookmarkStart w:id="1165" w:name="_Toc189759707"/>
      <w:bookmarkStart w:id="1166" w:name="_Toc193354035"/>
      <w:r>
        <w:t>5.2</w:t>
      </w:r>
      <w:r w:rsidR="009751D2">
        <w:t>8</w:t>
      </w:r>
      <w:r>
        <w:t xml:space="preserve">. </w:t>
      </w:r>
      <w:r w:rsidR="00C232D7" w:rsidRPr="002A6F4E">
        <w:t>Lokacije centara za sakupljanje otpada</w:t>
      </w:r>
      <w:bookmarkEnd w:id="1165"/>
      <w:bookmarkEnd w:id="1166"/>
    </w:p>
    <w:p w14:paraId="3FFD8B71"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Određivanje lokacije CSO bi trebalo da uzme u obzir:</w:t>
      </w:r>
    </w:p>
    <w:p w14:paraId="7CDB548D" w14:textId="77777777" w:rsidR="00C232D7" w:rsidRPr="002A6F4E" w:rsidRDefault="00C232D7" w:rsidP="00A23ED0">
      <w:pPr>
        <w:pStyle w:val="ListParagraph"/>
        <w:numPr>
          <w:ilvl w:val="0"/>
          <w:numId w:val="53"/>
        </w:numPr>
        <w:spacing w:before="120" w:after="120" w:line="360" w:lineRule="auto"/>
        <w:contextualSpacing w:val="0"/>
        <w:rPr>
          <w:rFonts w:ascii="Arial" w:hAnsi="Arial" w:cs="Arial"/>
          <w:lang w:val="sq-AL"/>
        </w:rPr>
      </w:pPr>
      <w:r w:rsidRPr="002A6F4E">
        <w:rPr>
          <w:rFonts w:ascii="Arial" w:hAnsi="Arial" w:cs="Arial"/>
          <w:b/>
          <w:bCs/>
          <w:lang w:val="sq-AL"/>
        </w:rPr>
        <w:lastRenderedPageBreak/>
        <w:t>Postojeću putnu mrežu:</w:t>
      </w:r>
      <w:r w:rsidRPr="002A6F4E">
        <w:rPr>
          <w:rFonts w:ascii="Arial" w:hAnsi="Arial" w:cs="Arial"/>
          <w:lang w:val="sq-AL"/>
        </w:rPr>
        <w:t xml:space="preserve"> kako bi se minimizirala potreba za razvojem dodatne infrastrukture;</w:t>
      </w:r>
    </w:p>
    <w:p w14:paraId="054791A6" w14:textId="77777777" w:rsidR="00C232D7" w:rsidRPr="002A6F4E" w:rsidRDefault="00C232D7" w:rsidP="00A23ED0">
      <w:pPr>
        <w:pStyle w:val="ListParagraph"/>
        <w:numPr>
          <w:ilvl w:val="0"/>
          <w:numId w:val="53"/>
        </w:numPr>
        <w:spacing w:before="120" w:after="120" w:line="360" w:lineRule="auto"/>
        <w:contextualSpacing w:val="0"/>
        <w:rPr>
          <w:rFonts w:ascii="Arial" w:hAnsi="Arial" w:cs="Arial"/>
          <w:lang w:val="sq-AL"/>
        </w:rPr>
      </w:pPr>
      <w:r w:rsidRPr="002A6F4E">
        <w:rPr>
          <w:rFonts w:ascii="Arial" w:hAnsi="Arial" w:cs="Arial"/>
          <w:b/>
          <w:bCs/>
          <w:lang w:val="sq-AL"/>
        </w:rPr>
        <w:t>Vlasništvo nad zemljištem:</w:t>
      </w:r>
      <w:r w:rsidRPr="002A6F4E">
        <w:rPr>
          <w:rFonts w:ascii="Arial" w:hAnsi="Arial" w:cs="Arial"/>
          <w:lang w:val="sq-AL"/>
        </w:rPr>
        <w:t xml:space="preserve"> poželjno je da se koristiti javno zemljište kako bi se uštedilo vrijeme i smanjili troškovi;</w:t>
      </w:r>
    </w:p>
    <w:p w14:paraId="25AB3A7D" w14:textId="46640650" w:rsidR="00C232D7" w:rsidRPr="002A6F4E" w:rsidRDefault="006D1C6A" w:rsidP="00A23ED0">
      <w:pPr>
        <w:pStyle w:val="ListParagraph"/>
        <w:numPr>
          <w:ilvl w:val="0"/>
          <w:numId w:val="53"/>
        </w:numPr>
        <w:spacing w:before="120" w:after="120" w:line="360" w:lineRule="auto"/>
        <w:contextualSpacing w:val="0"/>
        <w:rPr>
          <w:rFonts w:ascii="Arial" w:hAnsi="Arial" w:cs="Arial"/>
          <w:lang w:val="sq-AL"/>
        </w:rPr>
      </w:pPr>
      <w:r>
        <w:rPr>
          <w:rFonts w:ascii="Arial" w:hAnsi="Arial" w:cs="Arial"/>
          <w:lang w:val="sq-AL"/>
        </w:rPr>
        <w:t xml:space="preserve">Potrebno </w:t>
      </w:r>
      <w:r w:rsidR="00C232D7" w:rsidRPr="002A6F4E">
        <w:rPr>
          <w:rFonts w:ascii="Arial" w:hAnsi="Arial" w:cs="Arial"/>
          <w:lang w:val="sq-AL"/>
        </w:rPr>
        <w:t>je da se reciklažni centri  (posebno veliki ili centri srednjih razmjera unutar granica grada) uspostave unutar:</w:t>
      </w:r>
    </w:p>
    <w:p w14:paraId="34EF9531" w14:textId="738FB2CF" w:rsidR="00C232D7" w:rsidRPr="002A6F4E" w:rsidRDefault="00C232D7" w:rsidP="00A23ED0">
      <w:pPr>
        <w:pStyle w:val="ListParagraph"/>
        <w:numPr>
          <w:ilvl w:val="1"/>
          <w:numId w:val="53"/>
        </w:numPr>
        <w:spacing w:before="120" w:after="120" w:line="360" w:lineRule="auto"/>
        <w:contextualSpacing w:val="0"/>
        <w:rPr>
          <w:rFonts w:ascii="Arial" w:hAnsi="Arial" w:cs="Arial"/>
          <w:lang w:val="sq-AL"/>
        </w:rPr>
      </w:pPr>
      <w:r w:rsidRPr="002A6F4E">
        <w:rPr>
          <w:rFonts w:ascii="Arial" w:hAnsi="Arial" w:cs="Arial"/>
          <w:lang w:val="sq-AL"/>
        </w:rPr>
        <w:t>postojećih postrojenja za upravljanje otpadom (MRF, transfer stanice, itd);</w:t>
      </w:r>
    </w:p>
    <w:p w14:paraId="663B5316" w14:textId="77777777" w:rsidR="00C232D7" w:rsidRPr="002A6F4E" w:rsidRDefault="00C232D7" w:rsidP="00A23ED0">
      <w:pPr>
        <w:pStyle w:val="ListParagraph"/>
        <w:numPr>
          <w:ilvl w:val="1"/>
          <w:numId w:val="53"/>
        </w:numPr>
        <w:spacing w:before="120" w:after="120" w:line="360" w:lineRule="auto"/>
        <w:contextualSpacing w:val="0"/>
        <w:rPr>
          <w:rFonts w:ascii="Arial" w:hAnsi="Arial" w:cs="Arial"/>
          <w:lang w:val="sq-AL"/>
        </w:rPr>
      </w:pPr>
      <w:r w:rsidRPr="002A6F4E">
        <w:rPr>
          <w:rFonts w:ascii="Arial" w:hAnsi="Arial" w:cs="Arial"/>
          <w:lang w:val="sq-AL"/>
        </w:rPr>
        <w:t>napuštenih objekata u blizini putne mreže ili unutar industrijskih zona;</w:t>
      </w:r>
    </w:p>
    <w:p w14:paraId="0CEF6E7A" w14:textId="065308A7" w:rsidR="00C232D7" w:rsidRPr="002A6F4E" w:rsidRDefault="00C232D7" w:rsidP="00A23ED0">
      <w:pPr>
        <w:pStyle w:val="ListParagraph"/>
        <w:numPr>
          <w:ilvl w:val="0"/>
          <w:numId w:val="53"/>
        </w:numPr>
        <w:spacing w:before="120" w:after="120" w:line="360" w:lineRule="auto"/>
        <w:rPr>
          <w:rFonts w:ascii="Arial" w:hAnsi="Arial" w:cs="Arial"/>
          <w:lang w:val="sq-AL"/>
        </w:rPr>
      </w:pPr>
      <w:r w:rsidRPr="002A6F4E">
        <w:rPr>
          <w:rFonts w:ascii="Arial" w:hAnsi="Arial" w:cs="Arial"/>
          <w:lang w:val="sq-AL"/>
        </w:rPr>
        <w:t xml:space="preserve">Potreba da se građanima </w:t>
      </w:r>
      <w:r w:rsidRPr="002A6F4E">
        <w:rPr>
          <w:rFonts w:ascii="Arial" w:hAnsi="Arial" w:cs="Arial"/>
          <w:b/>
          <w:bCs/>
          <w:lang w:val="sq-AL"/>
        </w:rPr>
        <w:t>obezbijedi brz, bezbjedan i lak pristup</w:t>
      </w:r>
      <w:r w:rsidRPr="002A6F4E">
        <w:rPr>
          <w:rFonts w:ascii="Arial" w:hAnsi="Arial" w:cs="Arial"/>
          <w:lang w:val="sq-AL"/>
        </w:rPr>
        <w:t xml:space="preserve"> kako bi se maksimiz</w:t>
      </w:r>
      <w:r w:rsidR="006D1C6A">
        <w:rPr>
          <w:rFonts w:ascii="Arial" w:hAnsi="Arial" w:cs="Arial"/>
          <w:lang w:val="sq-AL"/>
        </w:rPr>
        <w:t>ovao</w:t>
      </w:r>
      <w:r w:rsidRPr="002A6F4E">
        <w:rPr>
          <w:rFonts w:ascii="Arial" w:hAnsi="Arial" w:cs="Arial"/>
          <w:lang w:val="sq-AL"/>
        </w:rPr>
        <w:t xml:space="preserve"> učinak reciklažnih centara;</w:t>
      </w:r>
    </w:p>
    <w:p w14:paraId="586DFEFB" w14:textId="118F5B89" w:rsidR="00C232D7" w:rsidRPr="002A6F4E" w:rsidRDefault="00C232D7" w:rsidP="00A23ED0">
      <w:pPr>
        <w:pStyle w:val="ListParagraph"/>
        <w:numPr>
          <w:ilvl w:val="0"/>
          <w:numId w:val="53"/>
        </w:numPr>
        <w:spacing w:before="120" w:after="120" w:line="360" w:lineRule="auto"/>
        <w:contextualSpacing w:val="0"/>
        <w:rPr>
          <w:rFonts w:ascii="Arial" w:hAnsi="Arial" w:cs="Arial"/>
          <w:lang w:val="sq-AL"/>
        </w:rPr>
      </w:pPr>
      <w:r w:rsidRPr="002A6F4E">
        <w:rPr>
          <w:rFonts w:ascii="Arial" w:hAnsi="Arial" w:cs="Arial"/>
          <w:b/>
          <w:bCs/>
          <w:lang w:val="sq-AL"/>
        </w:rPr>
        <w:t>Geomorfologija zemljišta</w:t>
      </w:r>
      <w:r w:rsidR="006D1C6A">
        <w:rPr>
          <w:rFonts w:ascii="Arial" w:hAnsi="Arial" w:cs="Arial"/>
          <w:b/>
          <w:bCs/>
          <w:lang w:val="sq-AL"/>
        </w:rPr>
        <w:t>,</w:t>
      </w:r>
      <w:r w:rsidRPr="002A6F4E">
        <w:rPr>
          <w:rFonts w:ascii="Arial" w:hAnsi="Arial" w:cs="Arial"/>
          <w:lang w:val="sq-AL"/>
        </w:rPr>
        <w:t xml:space="preserve"> u cilju minimiziranja tehničkih intervencija (npr. blage padine);</w:t>
      </w:r>
    </w:p>
    <w:p w14:paraId="0EDBDA06" w14:textId="6ACBAF06" w:rsidR="00C232D7" w:rsidRPr="002A6F4E" w:rsidRDefault="00C232D7" w:rsidP="00A23ED0">
      <w:pPr>
        <w:pStyle w:val="ListParagraph"/>
        <w:numPr>
          <w:ilvl w:val="0"/>
          <w:numId w:val="53"/>
        </w:numPr>
        <w:spacing w:before="120" w:after="120" w:line="360" w:lineRule="auto"/>
        <w:contextualSpacing w:val="0"/>
        <w:rPr>
          <w:rFonts w:ascii="Arial" w:hAnsi="Arial" w:cs="Arial"/>
          <w:lang w:val="sq-AL"/>
        </w:rPr>
      </w:pPr>
      <w:r w:rsidRPr="002A6F4E">
        <w:rPr>
          <w:rFonts w:ascii="Arial" w:hAnsi="Arial" w:cs="Arial"/>
          <w:b/>
          <w:bCs/>
          <w:lang w:val="sq-AL"/>
        </w:rPr>
        <w:t>Lak i blizak pristup</w:t>
      </w:r>
      <w:r w:rsidRPr="002A6F4E">
        <w:rPr>
          <w:rFonts w:ascii="Arial" w:hAnsi="Arial" w:cs="Arial"/>
          <w:lang w:val="sq-AL"/>
        </w:rPr>
        <w:t xml:space="preserve"> javnim komunalnim uslugama (struja, vodovod, itd).</w:t>
      </w:r>
    </w:p>
    <w:p w14:paraId="2347CECE"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Lokalna samouprava mora da uspostavi funkcionalne CSO i treba da uzmu u obzir sljedeće elemente:</w:t>
      </w:r>
    </w:p>
    <w:p w14:paraId="14D57846" w14:textId="77777777" w:rsidR="00C232D7" w:rsidRPr="002A6F4E" w:rsidRDefault="00C232D7" w:rsidP="00A23ED0">
      <w:pPr>
        <w:pStyle w:val="ListParagraph"/>
        <w:numPr>
          <w:ilvl w:val="0"/>
          <w:numId w:val="54"/>
        </w:numPr>
        <w:spacing w:before="120" w:after="120" w:line="360" w:lineRule="auto"/>
        <w:contextualSpacing w:val="0"/>
        <w:rPr>
          <w:rFonts w:ascii="Arial" w:hAnsi="Arial" w:cs="Arial"/>
          <w:lang w:val="sq-AL"/>
        </w:rPr>
      </w:pPr>
      <w:r w:rsidRPr="002A6F4E">
        <w:rPr>
          <w:rFonts w:ascii="Arial" w:hAnsi="Arial" w:cs="Arial"/>
          <w:lang w:val="sq-AL"/>
        </w:rPr>
        <w:t>prisustvo najmanje jednog CSO u lokalnoj samoupravi ili redovno periodično prisustvo mobilnog reciklažnog punkta;</w:t>
      </w:r>
    </w:p>
    <w:p w14:paraId="5C73DB30" w14:textId="77777777" w:rsidR="00C232D7" w:rsidRPr="002A6F4E" w:rsidRDefault="00C232D7" w:rsidP="00A23ED0">
      <w:pPr>
        <w:pStyle w:val="ListParagraph"/>
        <w:numPr>
          <w:ilvl w:val="0"/>
          <w:numId w:val="54"/>
        </w:numPr>
        <w:spacing w:before="120" w:after="120" w:line="360" w:lineRule="auto"/>
        <w:contextualSpacing w:val="0"/>
        <w:rPr>
          <w:rFonts w:ascii="Arial" w:hAnsi="Arial" w:cs="Arial"/>
          <w:lang w:val="sq-AL"/>
        </w:rPr>
      </w:pPr>
      <w:r w:rsidRPr="002A6F4E">
        <w:rPr>
          <w:rFonts w:ascii="Arial" w:hAnsi="Arial" w:cs="Arial"/>
          <w:lang w:val="sq-AL"/>
        </w:rPr>
        <w:t>odvojeno sakupljanje što većeg broja frakcija i mogućnost odlaganja bilo koje vrste otpada iz domaćinstava;</w:t>
      </w:r>
    </w:p>
    <w:p w14:paraId="63AC9E65" w14:textId="1DE93CD8" w:rsidR="00C232D7" w:rsidRPr="002A6F4E" w:rsidRDefault="00C232D7" w:rsidP="00A23ED0">
      <w:pPr>
        <w:pStyle w:val="ListParagraph"/>
        <w:numPr>
          <w:ilvl w:val="0"/>
          <w:numId w:val="54"/>
        </w:numPr>
        <w:spacing w:before="120" w:after="120" w:line="360" w:lineRule="auto"/>
        <w:contextualSpacing w:val="0"/>
        <w:rPr>
          <w:rFonts w:ascii="Arial" w:hAnsi="Arial" w:cs="Arial"/>
          <w:lang w:val="sq-AL"/>
        </w:rPr>
      </w:pPr>
      <w:r w:rsidRPr="002A6F4E">
        <w:rPr>
          <w:rFonts w:ascii="Arial" w:hAnsi="Arial" w:cs="Arial"/>
          <w:lang w:val="sq-AL"/>
        </w:rPr>
        <w:t>obuka osoblja u centrima kako bi se maksimalno povećala reciklaža, povrat materijala iz otpada i odgovarajuće bezbjedno odlaganje;</w:t>
      </w:r>
    </w:p>
    <w:p w14:paraId="70458059" w14:textId="3A7F9D20" w:rsidR="00C232D7" w:rsidRPr="002A6F4E" w:rsidRDefault="00C232D7" w:rsidP="00A23ED0">
      <w:pPr>
        <w:pStyle w:val="ListParagraph"/>
        <w:numPr>
          <w:ilvl w:val="0"/>
          <w:numId w:val="54"/>
        </w:numPr>
        <w:spacing w:before="120" w:after="120" w:line="360" w:lineRule="auto"/>
        <w:contextualSpacing w:val="0"/>
        <w:rPr>
          <w:rFonts w:ascii="Arial" w:hAnsi="Arial" w:cs="Arial"/>
          <w:lang w:val="sq-AL"/>
        </w:rPr>
      </w:pPr>
      <w:r w:rsidRPr="002A6F4E">
        <w:rPr>
          <w:rFonts w:ascii="Arial" w:hAnsi="Arial" w:cs="Arial"/>
          <w:lang w:val="sq-AL"/>
        </w:rPr>
        <w:t xml:space="preserve">blizina centara građanima (npr. pristupačnost velikom dijelu stanovništva bez </w:t>
      </w:r>
      <w:r w:rsidR="00B31380">
        <w:rPr>
          <w:rFonts w:ascii="Arial" w:hAnsi="Arial" w:cs="Arial"/>
          <w:lang w:val="sq-AL"/>
        </w:rPr>
        <w:t>vozila</w:t>
      </w:r>
      <w:r w:rsidRPr="002A6F4E">
        <w:rPr>
          <w:rFonts w:ascii="Arial" w:hAnsi="Arial" w:cs="Arial"/>
          <w:lang w:val="sq-AL"/>
        </w:rPr>
        <w:t>), takođe zahvaljujući mobilnim/privremenim sabirnim punktovima;</w:t>
      </w:r>
    </w:p>
    <w:p w14:paraId="52FDF223" w14:textId="46816476" w:rsidR="00C232D7" w:rsidRPr="000575A9" w:rsidRDefault="00C232D7" w:rsidP="00A23ED0">
      <w:pPr>
        <w:pStyle w:val="ListParagraph"/>
        <w:numPr>
          <w:ilvl w:val="0"/>
          <w:numId w:val="54"/>
        </w:numPr>
        <w:spacing w:before="120" w:after="120" w:line="360" w:lineRule="auto"/>
        <w:contextualSpacing w:val="0"/>
        <w:rPr>
          <w:rFonts w:ascii="Arial" w:hAnsi="Arial" w:cs="Arial"/>
          <w:b/>
          <w:bCs/>
          <w:lang w:val="sq-AL"/>
        </w:rPr>
      </w:pPr>
      <w:r w:rsidRPr="002A6F4E">
        <w:rPr>
          <w:rFonts w:ascii="Arial" w:hAnsi="Arial" w:cs="Arial"/>
          <w:b/>
          <w:bCs/>
          <w:lang w:val="sq-AL"/>
        </w:rPr>
        <w:t>Predložiti potencijalne parcele za razvoj infrastrukture.</w:t>
      </w:r>
    </w:p>
    <w:p w14:paraId="733F18F4" w14:textId="53F05BD5" w:rsidR="00C232D7" w:rsidRPr="002A6F4E" w:rsidRDefault="00620A47" w:rsidP="00F57909">
      <w:pPr>
        <w:pStyle w:val="Heading2"/>
      </w:pPr>
      <w:bookmarkStart w:id="1167" w:name="_Toc66354303"/>
      <w:bookmarkStart w:id="1168" w:name="_Toc109051453"/>
      <w:bookmarkStart w:id="1169" w:name="_Toc121759066"/>
      <w:bookmarkStart w:id="1170" w:name="_Toc66354895"/>
      <w:bookmarkStart w:id="1171" w:name="_Toc189759708"/>
      <w:bookmarkStart w:id="1172" w:name="_Toc193354036"/>
      <w:r>
        <w:t>5.2</w:t>
      </w:r>
      <w:r w:rsidR="009751D2">
        <w:t>9</w:t>
      </w:r>
      <w:r>
        <w:t xml:space="preserve">. </w:t>
      </w:r>
      <w:r w:rsidR="00C232D7" w:rsidRPr="002A6F4E">
        <w:t>Monitoring</w:t>
      </w:r>
      <w:bookmarkEnd w:id="1167"/>
      <w:bookmarkEnd w:id="1168"/>
      <w:bookmarkEnd w:id="1169"/>
      <w:bookmarkEnd w:id="1170"/>
      <w:bookmarkEnd w:id="1171"/>
      <w:bookmarkEnd w:id="1172"/>
      <w:r w:rsidR="00C232D7" w:rsidRPr="002A6F4E">
        <w:t xml:space="preserve"> </w:t>
      </w:r>
    </w:p>
    <w:p w14:paraId="56AD4C97"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Jedan od kritičnih elemenata u radu CSO je monitoring njegovog učinka u odnosu na ciljeve upravljanja otpadom postavljene na lokalnom nivou. U tom smislu treba kontinuirano pratiti specifične parametre kao što su:</w:t>
      </w:r>
    </w:p>
    <w:p w14:paraId="516011C0" w14:textId="77777777" w:rsidR="00C232D7" w:rsidRPr="002A6F4E" w:rsidRDefault="00C232D7" w:rsidP="00A23ED0">
      <w:pPr>
        <w:pStyle w:val="ListParagraph"/>
        <w:numPr>
          <w:ilvl w:val="0"/>
          <w:numId w:val="55"/>
        </w:numPr>
        <w:spacing w:before="120" w:after="120" w:line="360" w:lineRule="auto"/>
        <w:contextualSpacing w:val="0"/>
        <w:rPr>
          <w:rFonts w:ascii="Arial" w:hAnsi="Arial" w:cs="Arial"/>
          <w:lang w:val="sq-AL"/>
        </w:rPr>
      </w:pPr>
      <w:r w:rsidRPr="002A6F4E">
        <w:rPr>
          <w:rFonts w:ascii="Arial" w:hAnsi="Arial" w:cs="Arial"/>
          <w:lang w:val="sq-AL"/>
        </w:rPr>
        <w:t>Količine i vrste otpada, po izvoru (npr. građani, preduzeća) sakupljenih u CSO i  dalje proslijeđenim na reciklažu;</w:t>
      </w:r>
    </w:p>
    <w:p w14:paraId="6D95C4DE" w14:textId="77777777" w:rsidR="00C232D7" w:rsidRPr="002A6F4E" w:rsidRDefault="00C232D7" w:rsidP="00A23ED0">
      <w:pPr>
        <w:pStyle w:val="ListParagraph"/>
        <w:numPr>
          <w:ilvl w:val="0"/>
          <w:numId w:val="55"/>
        </w:numPr>
        <w:spacing w:before="120" w:after="120" w:line="360" w:lineRule="auto"/>
        <w:contextualSpacing w:val="0"/>
        <w:rPr>
          <w:rFonts w:ascii="Arial" w:hAnsi="Arial" w:cs="Arial"/>
          <w:lang w:val="sq-AL"/>
        </w:rPr>
      </w:pPr>
      <w:r w:rsidRPr="002A6F4E">
        <w:rPr>
          <w:rFonts w:ascii="Arial" w:hAnsi="Arial" w:cs="Arial"/>
          <w:lang w:val="sq-AL"/>
        </w:rPr>
        <w:t>Količine i vrste otpada, po izvoru (npr. građani, preduzeća) sakupljenih u CSO i  dalje proslijeđenim na ponovno korišćenje;</w:t>
      </w:r>
    </w:p>
    <w:p w14:paraId="25AE7BDA" w14:textId="1D23E354" w:rsidR="00C232D7" w:rsidRPr="002A6F4E" w:rsidRDefault="00C232D7" w:rsidP="00A23ED0">
      <w:pPr>
        <w:pStyle w:val="ListParagraph"/>
        <w:numPr>
          <w:ilvl w:val="0"/>
          <w:numId w:val="55"/>
        </w:numPr>
        <w:spacing w:before="120" w:after="120" w:line="360" w:lineRule="auto"/>
        <w:contextualSpacing w:val="0"/>
        <w:rPr>
          <w:rFonts w:ascii="Arial" w:hAnsi="Arial" w:cs="Arial"/>
          <w:lang w:val="sq-AL"/>
        </w:rPr>
      </w:pPr>
      <w:r w:rsidRPr="002A6F4E">
        <w:rPr>
          <w:rFonts w:ascii="Arial" w:hAnsi="Arial" w:cs="Arial"/>
          <w:lang w:val="sq-AL"/>
        </w:rPr>
        <w:t>Stopa recikliranog/ponovno upotr</w:t>
      </w:r>
      <w:r w:rsidR="009576FD">
        <w:rPr>
          <w:rFonts w:ascii="Arial" w:hAnsi="Arial" w:cs="Arial"/>
          <w:lang w:val="sq-AL"/>
        </w:rPr>
        <w:t>ij</w:t>
      </w:r>
      <w:r w:rsidRPr="002A6F4E">
        <w:rPr>
          <w:rFonts w:ascii="Arial" w:hAnsi="Arial" w:cs="Arial"/>
          <w:lang w:val="sq-AL"/>
        </w:rPr>
        <w:t>ebljenog/odloženog otpada kao procenat ukupnih količina otpada kojima se rukuje u okviru CSO;</w:t>
      </w:r>
    </w:p>
    <w:p w14:paraId="31D20FC5" w14:textId="77777777" w:rsidR="00C232D7" w:rsidRPr="002A6F4E" w:rsidRDefault="00C232D7" w:rsidP="00A23ED0">
      <w:pPr>
        <w:pStyle w:val="ListParagraph"/>
        <w:numPr>
          <w:ilvl w:val="0"/>
          <w:numId w:val="55"/>
        </w:numPr>
        <w:spacing w:before="120" w:after="120" w:line="360" w:lineRule="auto"/>
        <w:contextualSpacing w:val="0"/>
        <w:rPr>
          <w:rFonts w:ascii="Arial" w:hAnsi="Arial" w:cs="Arial"/>
          <w:lang w:val="sq-AL"/>
        </w:rPr>
      </w:pPr>
      <w:r w:rsidRPr="002A6F4E">
        <w:rPr>
          <w:rFonts w:ascii="Arial" w:hAnsi="Arial" w:cs="Arial"/>
          <w:lang w:val="sq-AL"/>
        </w:rPr>
        <w:t>Broj vozila / osoba koje posjećuju CSO;</w:t>
      </w:r>
    </w:p>
    <w:p w14:paraId="62B3CD89" w14:textId="77777777" w:rsidR="00C232D7" w:rsidRPr="002A6F4E" w:rsidRDefault="00C232D7" w:rsidP="00A23ED0">
      <w:pPr>
        <w:pStyle w:val="ListParagraph"/>
        <w:numPr>
          <w:ilvl w:val="0"/>
          <w:numId w:val="55"/>
        </w:numPr>
        <w:spacing w:before="120" w:after="120" w:line="360" w:lineRule="auto"/>
        <w:contextualSpacing w:val="0"/>
        <w:rPr>
          <w:rFonts w:ascii="Arial" w:hAnsi="Arial" w:cs="Arial"/>
          <w:lang w:val="sq-AL"/>
        </w:rPr>
      </w:pPr>
      <w:r w:rsidRPr="002A6F4E">
        <w:rPr>
          <w:rFonts w:ascii="Arial" w:hAnsi="Arial" w:cs="Arial"/>
          <w:lang w:val="sq-AL"/>
        </w:rPr>
        <w:lastRenderedPageBreak/>
        <w:t>Finansijski podaci.</w:t>
      </w:r>
    </w:p>
    <w:p w14:paraId="736C94B8" w14:textId="03259F15" w:rsidR="00A10643" w:rsidRPr="002A6F4E" w:rsidRDefault="00C232D7" w:rsidP="00C232D7">
      <w:pPr>
        <w:spacing w:before="120" w:after="120" w:line="360" w:lineRule="auto"/>
        <w:rPr>
          <w:rFonts w:ascii="Arial" w:hAnsi="Arial" w:cs="Arial"/>
          <w:lang w:val="sq-AL"/>
        </w:rPr>
      </w:pPr>
      <w:r w:rsidRPr="002A6F4E">
        <w:rPr>
          <w:rFonts w:ascii="Arial" w:hAnsi="Arial" w:cs="Arial"/>
          <w:lang w:val="sq-AL"/>
        </w:rPr>
        <w:t>U narednoj tabeli prikazani su glavn</w:t>
      </w:r>
      <w:r w:rsidR="00FA6F9C">
        <w:rPr>
          <w:rFonts w:ascii="Arial" w:hAnsi="Arial" w:cs="Arial"/>
          <w:lang w:val="sq-AL"/>
        </w:rPr>
        <w:t>i</w:t>
      </w:r>
      <w:r w:rsidRPr="002A6F4E">
        <w:rPr>
          <w:rFonts w:ascii="Arial" w:hAnsi="Arial" w:cs="Arial"/>
          <w:lang w:val="sq-AL"/>
        </w:rPr>
        <w:t xml:space="preserve"> indikatori koj</w:t>
      </w:r>
      <w:r w:rsidR="00FA6F9C">
        <w:rPr>
          <w:rFonts w:ascii="Arial" w:hAnsi="Arial" w:cs="Arial"/>
          <w:lang w:val="sq-AL"/>
        </w:rPr>
        <w:t>i</w:t>
      </w:r>
      <w:r w:rsidRPr="002A6F4E">
        <w:rPr>
          <w:rFonts w:ascii="Arial" w:hAnsi="Arial" w:cs="Arial"/>
          <w:lang w:val="sq-AL"/>
        </w:rPr>
        <w:t xml:space="preserve"> treba da se prate.</w:t>
      </w:r>
    </w:p>
    <w:p w14:paraId="1B12A5A4" w14:textId="54C3AF1D" w:rsidR="00C232D7" w:rsidRPr="00C149AB" w:rsidRDefault="00C232D7" w:rsidP="00C232D7">
      <w:pPr>
        <w:pStyle w:val="Caption"/>
        <w:rPr>
          <w:rFonts w:ascii="Arial" w:hAnsi="Arial" w:cs="Arial"/>
          <w:b w:val="0"/>
          <w:szCs w:val="20"/>
          <w:lang w:val="sq-AL"/>
        </w:rPr>
      </w:pPr>
      <w:bookmarkStart w:id="1173" w:name="_Toc66355002"/>
      <w:bookmarkStart w:id="1174" w:name="_Toc109051594"/>
      <w:bookmarkStart w:id="1175" w:name="_Toc189515670"/>
      <w:bookmarkStart w:id="1176" w:name="_Toc190160788"/>
      <w:bookmarkStart w:id="1177" w:name="_Toc43478676"/>
      <w:r w:rsidRPr="00C149AB">
        <w:rPr>
          <w:rFonts w:ascii="Arial" w:hAnsi="Arial" w:cs="Arial"/>
          <w:b w:val="0"/>
          <w:szCs w:val="20"/>
        </w:rPr>
        <w:t xml:space="preserve">Tabela </w:t>
      </w:r>
      <w:r w:rsidRPr="00C149AB">
        <w:rPr>
          <w:rFonts w:ascii="Arial" w:hAnsi="Arial" w:cs="Arial"/>
          <w:b w:val="0"/>
          <w:szCs w:val="20"/>
        </w:rPr>
        <w:fldChar w:fldCharType="begin"/>
      </w:r>
      <w:r w:rsidRPr="00C149AB">
        <w:rPr>
          <w:rFonts w:ascii="Arial" w:hAnsi="Arial" w:cs="Arial"/>
          <w:b w:val="0"/>
          <w:szCs w:val="20"/>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rPr>
        <w:t>93</w:t>
      </w:r>
      <w:r w:rsidRPr="00C149AB">
        <w:rPr>
          <w:rFonts w:ascii="Arial" w:hAnsi="Arial" w:cs="Arial"/>
          <w:b w:val="0"/>
          <w:szCs w:val="20"/>
        </w:rPr>
        <w:fldChar w:fldCharType="end"/>
      </w:r>
      <w:r w:rsidRPr="00C149AB">
        <w:rPr>
          <w:rFonts w:ascii="Arial" w:hAnsi="Arial" w:cs="Arial"/>
          <w:b w:val="0"/>
          <w:szCs w:val="20"/>
          <w:lang w:val="sq-AL"/>
        </w:rPr>
        <w:t xml:space="preserve"> </w:t>
      </w:r>
      <w:bookmarkEnd w:id="1173"/>
      <w:bookmarkEnd w:id="1174"/>
      <w:r w:rsidRPr="00C149AB">
        <w:rPr>
          <w:rFonts w:ascii="Arial" w:hAnsi="Arial" w:cs="Arial"/>
          <w:b w:val="0"/>
          <w:szCs w:val="20"/>
          <w:lang w:val="sq-AL"/>
        </w:rPr>
        <w:t>Indikatori učinka rada reciklažnih centara</w:t>
      </w:r>
      <w:bookmarkEnd w:id="1175"/>
      <w:bookmarkEnd w:id="1176"/>
    </w:p>
    <w:tbl>
      <w:tblPr>
        <w:tblStyle w:val="GridTable4-Accent31"/>
        <w:tblW w:w="40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0"/>
        <w:gridCol w:w="2187"/>
      </w:tblGrid>
      <w:tr w:rsidR="00C232D7" w:rsidRPr="00C149AB" w14:paraId="5513225E" w14:textId="77777777" w:rsidTr="00C232D7">
        <w:trPr>
          <w:cnfStyle w:val="100000000000" w:firstRow="1" w:lastRow="0" w:firstColumn="0" w:lastColumn="0" w:oddVBand="0" w:evenVBand="0" w:oddHBand="0" w:evenHBand="0" w:firstRowFirstColumn="0" w:firstRowLastColumn="0" w:lastRowFirstColumn="0" w:lastRowLastColumn="0"/>
          <w:trHeight w:val="349"/>
          <w:tblHeader/>
          <w:jc w:val="center"/>
        </w:trPr>
        <w:tc>
          <w:tcPr>
            <w:cnfStyle w:val="001000000000" w:firstRow="0" w:lastRow="0" w:firstColumn="1" w:lastColumn="0" w:oddVBand="0" w:evenVBand="0" w:oddHBand="0" w:evenHBand="0" w:firstRowFirstColumn="0" w:firstRowLastColumn="0" w:lastRowFirstColumn="0" w:lastRowLastColumn="0"/>
            <w:tcW w:w="3547" w:type="pct"/>
            <w:shd w:val="clear" w:color="auto" w:fill="F2F2F2" w:themeFill="background1" w:themeFillShade="F2"/>
          </w:tcPr>
          <w:bookmarkEnd w:id="1177"/>
          <w:p w14:paraId="35693A74" w14:textId="77777777" w:rsidR="00C232D7" w:rsidRPr="00C149AB" w:rsidRDefault="00C232D7" w:rsidP="00C232D7">
            <w:pPr>
              <w:pStyle w:val="Normal-10pt-Table"/>
              <w:spacing w:before="40" w:after="40" w:line="360" w:lineRule="auto"/>
              <w:jc w:val="both"/>
              <w:rPr>
                <w:rFonts w:ascii="Arial" w:hAnsi="Arial" w:cs="Arial"/>
                <w:b w:val="0"/>
                <w:bCs w:val="0"/>
                <w:sz w:val="18"/>
                <w:szCs w:val="20"/>
                <w:lang w:val="sq-AL"/>
              </w:rPr>
            </w:pPr>
            <w:r w:rsidRPr="00C149AB">
              <w:rPr>
                <w:rFonts w:ascii="Arial" w:hAnsi="Arial" w:cs="Arial"/>
                <w:color w:val="auto"/>
                <w:sz w:val="18"/>
                <w:szCs w:val="20"/>
                <w:lang w:val="sq-AL"/>
              </w:rPr>
              <w:t>Indikator učinka</w:t>
            </w:r>
          </w:p>
        </w:tc>
        <w:tc>
          <w:tcPr>
            <w:tcW w:w="1453" w:type="pct"/>
            <w:shd w:val="clear" w:color="auto" w:fill="F2F2F2" w:themeFill="background1" w:themeFillShade="F2"/>
          </w:tcPr>
          <w:p w14:paraId="20F43E9F" w14:textId="77777777" w:rsidR="00C232D7" w:rsidRPr="00C149AB" w:rsidRDefault="00C232D7" w:rsidP="00C232D7">
            <w:pPr>
              <w:pStyle w:val="Normal-10pt-Table"/>
              <w:spacing w:before="40" w:after="40"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Jedinica</w:t>
            </w:r>
          </w:p>
        </w:tc>
      </w:tr>
      <w:tr w:rsidR="00C232D7" w:rsidRPr="00C149AB" w14:paraId="06FD8EC3"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3547" w:type="pct"/>
            <w:shd w:val="clear" w:color="auto" w:fill="auto"/>
          </w:tcPr>
          <w:p w14:paraId="5A1A4A5C" w14:textId="77777777" w:rsidR="00C232D7" w:rsidRPr="00C149AB" w:rsidRDefault="00C232D7" w:rsidP="00C232D7">
            <w:pPr>
              <w:pStyle w:val="Normal-10pt-Table"/>
              <w:spacing w:before="40" w:after="40" w:line="360" w:lineRule="auto"/>
              <w:jc w:val="both"/>
              <w:rPr>
                <w:rFonts w:ascii="Arial" w:hAnsi="Arial" w:cs="Arial"/>
                <w:b w:val="0"/>
                <w:bCs w:val="0"/>
                <w:sz w:val="18"/>
                <w:szCs w:val="20"/>
                <w:lang w:val="sq-AL"/>
              </w:rPr>
            </w:pPr>
            <w:r w:rsidRPr="00C149AB">
              <w:rPr>
                <w:rFonts w:ascii="Arial" w:hAnsi="Arial" w:cs="Arial"/>
                <w:sz w:val="18"/>
                <w:szCs w:val="20"/>
                <w:lang w:val="sq-AL"/>
              </w:rPr>
              <w:t>Ukupno sakupljene količine otpada:</w:t>
            </w:r>
          </w:p>
          <w:p w14:paraId="3DA39FF0" w14:textId="77777777" w:rsidR="00C232D7" w:rsidRPr="00C149AB" w:rsidRDefault="00C232D7" w:rsidP="00A23ED0">
            <w:pPr>
              <w:pStyle w:val="Normal-10pt-Table"/>
              <w:numPr>
                <w:ilvl w:val="0"/>
                <w:numId w:val="56"/>
              </w:numPr>
              <w:spacing w:before="40" w:after="40" w:line="360" w:lineRule="auto"/>
              <w:jc w:val="both"/>
              <w:rPr>
                <w:rFonts w:ascii="Arial" w:hAnsi="Arial" w:cs="Arial"/>
                <w:b w:val="0"/>
                <w:bCs w:val="0"/>
                <w:sz w:val="18"/>
                <w:szCs w:val="20"/>
                <w:lang w:val="sq-AL"/>
              </w:rPr>
            </w:pPr>
            <w:r w:rsidRPr="00C149AB">
              <w:rPr>
                <w:rFonts w:ascii="Arial" w:hAnsi="Arial" w:cs="Arial"/>
                <w:sz w:val="18"/>
                <w:szCs w:val="20"/>
                <w:lang w:val="sq-AL"/>
              </w:rPr>
              <w:t>prema EKO kodu;</w:t>
            </w:r>
          </w:p>
          <w:p w14:paraId="493B7EF9" w14:textId="77777777" w:rsidR="00C232D7" w:rsidRPr="00C149AB" w:rsidRDefault="00C232D7" w:rsidP="00A23ED0">
            <w:pPr>
              <w:pStyle w:val="Normal-10pt-Table"/>
              <w:numPr>
                <w:ilvl w:val="0"/>
                <w:numId w:val="56"/>
              </w:numPr>
              <w:spacing w:before="40" w:after="40" w:line="360" w:lineRule="auto"/>
              <w:jc w:val="both"/>
              <w:rPr>
                <w:rFonts w:ascii="Arial" w:hAnsi="Arial" w:cs="Arial"/>
                <w:b w:val="0"/>
                <w:bCs w:val="0"/>
                <w:sz w:val="18"/>
                <w:szCs w:val="20"/>
                <w:lang w:val="sq-AL"/>
              </w:rPr>
            </w:pPr>
            <w:r w:rsidRPr="00C149AB">
              <w:rPr>
                <w:rFonts w:ascii="Arial" w:hAnsi="Arial" w:cs="Arial"/>
                <w:sz w:val="18"/>
                <w:szCs w:val="20"/>
                <w:lang w:val="sq-AL"/>
              </w:rPr>
              <w:t>po izvoru (građani, preduzeća);</w:t>
            </w:r>
          </w:p>
          <w:p w14:paraId="0A82E68F" w14:textId="77777777" w:rsidR="00C232D7" w:rsidRPr="00C149AB" w:rsidRDefault="00C232D7" w:rsidP="00C232D7">
            <w:pPr>
              <w:pStyle w:val="Normal-10pt-Table"/>
              <w:spacing w:before="40" w:after="40" w:line="360" w:lineRule="auto"/>
              <w:jc w:val="both"/>
              <w:rPr>
                <w:rFonts w:ascii="Arial" w:hAnsi="Arial" w:cs="Arial"/>
                <w:bCs w:val="0"/>
                <w:sz w:val="18"/>
                <w:szCs w:val="20"/>
                <w:lang w:val="sq-AL"/>
              </w:rPr>
            </w:pPr>
          </w:p>
        </w:tc>
        <w:tc>
          <w:tcPr>
            <w:tcW w:w="1453" w:type="pct"/>
            <w:shd w:val="clear" w:color="auto" w:fill="auto"/>
          </w:tcPr>
          <w:p w14:paraId="5AD3B618" w14:textId="3125E54E" w:rsidR="00C232D7" w:rsidRPr="00C149AB" w:rsidRDefault="00062BE8"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484CAE">
              <w:rPr>
                <w:rFonts w:ascii="Arial" w:hAnsi="Arial" w:cs="Arial"/>
                <w:sz w:val="18"/>
                <w:szCs w:val="20"/>
                <w:lang w:val="sq-AL"/>
              </w:rPr>
              <w:t>T</w:t>
            </w:r>
          </w:p>
        </w:tc>
      </w:tr>
      <w:tr w:rsidR="00C232D7" w:rsidRPr="00C149AB" w14:paraId="52DF87A3"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3547" w:type="pct"/>
            <w:shd w:val="clear" w:color="auto" w:fill="auto"/>
          </w:tcPr>
          <w:p w14:paraId="485A92BA" w14:textId="77777777" w:rsidR="00C232D7" w:rsidRPr="00C149AB" w:rsidRDefault="00C232D7" w:rsidP="00C232D7">
            <w:pPr>
              <w:pStyle w:val="Normal-10pt-Table"/>
              <w:spacing w:before="40" w:after="40" w:line="360" w:lineRule="auto"/>
              <w:jc w:val="both"/>
              <w:rPr>
                <w:rFonts w:ascii="Arial" w:hAnsi="Arial" w:cs="Arial"/>
                <w:b w:val="0"/>
                <w:bCs w:val="0"/>
                <w:sz w:val="18"/>
                <w:szCs w:val="20"/>
                <w:lang w:val="sq-AL"/>
              </w:rPr>
            </w:pPr>
            <w:r w:rsidRPr="00C149AB">
              <w:rPr>
                <w:rFonts w:ascii="Arial" w:hAnsi="Arial" w:cs="Arial"/>
                <w:sz w:val="18"/>
                <w:szCs w:val="20"/>
                <w:lang w:val="sq-AL"/>
              </w:rPr>
              <w:t>Ukupne količine otpada proslijeđenog na reciklažu:</w:t>
            </w:r>
          </w:p>
          <w:p w14:paraId="55BBB2C6" w14:textId="77777777" w:rsidR="00C232D7" w:rsidRPr="00C149AB" w:rsidRDefault="00C232D7" w:rsidP="00A23ED0">
            <w:pPr>
              <w:pStyle w:val="Normal-10pt-Table"/>
              <w:numPr>
                <w:ilvl w:val="0"/>
                <w:numId w:val="56"/>
              </w:numPr>
              <w:spacing w:before="40" w:after="40" w:line="360" w:lineRule="auto"/>
              <w:jc w:val="both"/>
              <w:rPr>
                <w:rFonts w:ascii="Arial" w:hAnsi="Arial" w:cs="Arial"/>
                <w:b w:val="0"/>
                <w:bCs w:val="0"/>
                <w:sz w:val="18"/>
                <w:szCs w:val="20"/>
                <w:lang w:val="sq-AL"/>
              </w:rPr>
            </w:pPr>
            <w:r w:rsidRPr="00C149AB">
              <w:rPr>
                <w:rFonts w:ascii="Arial" w:hAnsi="Arial" w:cs="Arial"/>
                <w:sz w:val="18"/>
                <w:szCs w:val="20"/>
                <w:lang w:val="sq-AL"/>
              </w:rPr>
              <w:t>prema EKO kodu;</w:t>
            </w:r>
          </w:p>
          <w:p w14:paraId="1CC64187" w14:textId="77777777" w:rsidR="00C232D7" w:rsidRPr="00C149AB" w:rsidRDefault="00C232D7" w:rsidP="00A23ED0">
            <w:pPr>
              <w:pStyle w:val="Normal-10pt-Table"/>
              <w:numPr>
                <w:ilvl w:val="0"/>
                <w:numId w:val="56"/>
              </w:numPr>
              <w:spacing w:before="40" w:after="40" w:line="360" w:lineRule="auto"/>
              <w:jc w:val="both"/>
              <w:rPr>
                <w:rFonts w:ascii="Arial" w:hAnsi="Arial" w:cs="Arial"/>
                <w:bCs w:val="0"/>
                <w:sz w:val="18"/>
                <w:szCs w:val="20"/>
                <w:lang w:val="sq-AL"/>
              </w:rPr>
            </w:pPr>
            <w:r w:rsidRPr="00C149AB">
              <w:rPr>
                <w:rFonts w:ascii="Arial" w:hAnsi="Arial" w:cs="Arial"/>
                <w:sz w:val="18"/>
                <w:szCs w:val="20"/>
                <w:lang w:val="sq-AL"/>
              </w:rPr>
              <w:t>po izvoru (građani, preduzeća);</w:t>
            </w:r>
          </w:p>
        </w:tc>
        <w:tc>
          <w:tcPr>
            <w:tcW w:w="1453" w:type="pct"/>
            <w:shd w:val="clear" w:color="auto" w:fill="auto"/>
          </w:tcPr>
          <w:p w14:paraId="7CCCAB96" w14:textId="03BB99FB" w:rsidR="00C232D7" w:rsidRPr="00C149AB" w:rsidRDefault="00062BE8"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sq-AL"/>
              </w:rPr>
              <w:t>T</w:t>
            </w:r>
          </w:p>
        </w:tc>
      </w:tr>
      <w:tr w:rsidR="00C232D7" w:rsidRPr="00C149AB" w14:paraId="6C099EFD"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3547" w:type="pct"/>
            <w:shd w:val="clear" w:color="auto" w:fill="auto"/>
          </w:tcPr>
          <w:p w14:paraId="646352A7" w14:textId="77777777" w:rsidR="00C232D7" w:rsidRPr="00C149AB" w:rsidRDefault="00C232D7" w:rsidP="00C232D7">
            <w:pPr>
              <w:pStyle w:val="Normal-10pt-Table"/>
              <w:spacing w:before="40" w:after="40" w:line="360" w:lineRule="auto"/>
              <w:jc w:val="both"/>
              <w:rPr>
                <w:rFonts w:ascii="Arial" w:hAnsi="Arial" w:cs="Arial"/>
                <w:bCs w:val="0"/>
                <w:sz w:val="18"/>
                <w:szCs w:val="20"/>
                <w:lang w:val="sq-AL"/>
              </w:rPr>
            </w:pPr>
            <w:r w:rsidRPr="00C149AB">
              <w:rPr>
                <w:rFonts w:ascii="Arial" w:hAnsi="Arial" w:cs="Arial"/>
                <w:sz w:val="18"/>
                <w:szCs w:val="20"/>
                <w:lang w:val="sq-AL"/>
              </w:rPr>
              <w:t>Stopa recikliranog otpada</w:t>
            </w:r>
          </w:p>
        </w:tc>
        <w:tc>
          <w:tcPr>
            <w:tcW w:w="1453" w:type="pct"/>
            <w:shd w:val="clear" w:color="auto" w:fill="auto"/>
          </w:tcPr>
          <w:p w14:paraId="5166B3B9"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bCs/>
                <w:sz w:val="18"/>
                <w:szCs w:val="20"/>
                <w:lang w:val="sq-AL"/>
              </w:rPr>
              <w:t>% unosa otpada</w:t>
            </w:r>
          </w:p>
        </w:tc>
      </w:tr>
      <w:tr w:rsidR="00C232D7" w:rsidRPr="00C149AB" w14:paraId="59E5A1F0"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3547" w:type="pct"/>
            <w:shd w:val="clear" w:color="auto" w:fill="auto"/>
          </w:tcPr>
          <w:p w14:paraId="4825477F" w14:textId="77777777" w:rsidR="00C232D7" w:rsidRPr="00C149AB" w:rsidRDefault="00C232D7" w:rsidP="00C232D7">
            <w:pPr>
              <w:pStyle w:val="Normal-10pt-Table"/>
              <w:spacing w:before="40" w:after="40" w:line="360" w:lineRule="auto"/>
              <w:jc w:val="both"/>
              <w:rPr>
                <w:rFonts w:ascii="Arial" w:hAnsi="Arial" w:cs="Arial"/>
                <w:b w:val="0"/>
                <w:bCs w:val="0"/>
                <w:sz w:val="18"/>
                <w:szCs w:val="20"/>
                <w:lang w:val="sq-AL"/>
              </w:rPr>
            </w:pPr>
            <w:r w:rsidRPr="00C149AB">
              <w:rPr>
                <w:rFonts w:ascii="Arial" w:hAnsi="Arial" w:cs="Arial"/>
                <w:sz w:val="18"/>
                <w:szCs w:val="20"/>
                <w:lang w:val="sq-AL"/>
              </w:rPr>
              <w:t>Ukupne količine otpada proslijeđene na ponovnu upotrebu:</w:t>
            </w:r>
          </w:p>
          <w:p w14:paraId="5934A914" w14:textId="77777777" w:rsidR="00C232D7" w:rsidRPr="00C149AB" w:rsidRDefault="00C232D7" w:rsidP="00A23ED0">
            <w:pPr>
              <w:pStyle w:val="Normal-10pt-Table"/>
              <w:numPr>
                <w:ilvl w:val="0"/>
                <w:numId w:val="56"/>
              </w:numPr>
              <w:spacing w:before="40" w:after="40" w:line="360" w:lineRule="auto"/>
              <w:jc w:val="both"/>
              <w:rPr>
                <w:rFonts w:ascii="Arial" w:hAnsi="Arial" w:cs="Arial"/>
                <w:b w:val="0"/>
                <w:bCs w:val="0"/>
                <w:sz w:val="18"/>
                <w:szCs w:val="20"/>
                <w:lang w:val="sq-AL"/>
              </w:rPr>
            </w:pPr>
            <w:r w:rsidRPr="00C149AB">
              <w:rPr>
                <w:rFonts w:ascii="Arial" w:hAnsi="Arial" w:cs="Arial"/>
                <w:sz w:val="18"/>
                <w:szCs w:val="20"/>
                <w:lang w:val="sq-AL"/>
              </w:rPr>
              <w:t>prema EKO kodu;</w:t>
            </w:r>
          </w:p>
          <w:p w14:paraId="54474B37" w14:textId="77777777" w:rsidR="00C232D7" w:rsidRPr="00C149AB" w:rsidRDefault="00C232D7" w:rsidP="00A23ED0">
            <w:pPr>
              <w:pStyle w:val="Normal-10pt-Table"/>
              <w:numPr>
                <w:ilvl w:val="0"/>
                <w:numId w:val="56"/>
              </w:numPr>
              <w:spacing w:before="40" w:after="40" w:line="360" w:lineRule="auto"/>
              <w:jc w:val="both"/>
              <w:rPr>
                <w:rFonts w:ascii="Arial" w:hAnsi="Arial" w:cs="Arial"/>
                <w:sz w:val="18"/>
                <w:szCs w:val="20"/>
                <w:lang w:val="sq-AL"/>
              </w:rPr>
            </w:pPr>
            <w:r w:rsidRPr="00C149AB">
              <w:rPr>
                <w:rFonts w:ascii="Arial" w:hAnsi="Arial" w:cs="Arial"/>
                <w:sz w:val="18"/>
                <w:szCs w:val="20"/>
                <w:lang w:val="sq-AL"/>
              </w:rPr>
              <w:t>po izvoru (građani, preduzeća);</w:t>
            </w:r>
          </w:p>
        </w:tc>
        <w:tc>
          <w:tcPr>
            <w:tcW w:w="1453" w:type="pct"/>
            <w:shd w:val="clear" w:color="auto" w:fill="auto"/>
          </w:tcPr>
          <w:p w14:paraId="4E1D6CD9" w14:textId="7486F4E3"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bCs/>
                <w:sz w:val="18"/>
                <w:szCs w:val="20"/>
                <w:lang w:val="sq-AL"/>
              </w:rPr>
              <w:t>t</w:t>
            </w:r>
          </w:p>
        </w:tc>
      </w:tr>
      <w:tr w:rsidR="00C232D7" w:rsidRPr="00C149AB" w14:paraId="442E04A1"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3547" w:type="pct"/>
            <w:shd w:val="clear" w:color="auto" w:fill="auto"/>
          </w:tcPr>
          <w:p w14:paraId="59825D9C" w14:textId="77777777" w:rsidR="00C232D7" w:rsidRPr="00C149AB" w:rsidRDefault="00C232D7" w:rsidP="00C232D7">
            <w:pPr>
              <w:pStyle w:val="Normal-10pt-Table"/>
              <w:spacing w:before="40" w:after="40" w:line="360" w:lineRule="auto"/>
              <w:jc w:val="both"/>
              <w:rPr>
                <w:rFonts w:ascii="Arial" w:hAnsi="Arial" w:cs="Arial"/>
                <w:bCs w:val="0"/>
                <w:sz w:val="18"/>
                <w:szCs w:val="20"/>
                <w:lang w:val="sq-AL"/>
              </w:rPr>
            </w:pPr>
            <w:r w:rsidRPr="00C149AB">
              <w:rPr>
                <w:rFonts w:ascii="Arial" w:hAnsi="Arial" w:cs="Arial"/>
                <w:sz w:val="18"/>
                <w:szCs w:val="20"/>
                <w:lang w:val="sq-AL"/>
              </w:rPr>
              <w:t>Stopa ponovno korišćenog otpada</w:t>
            </w:r>
          </w:p>
        </w:tc>
        <w:tc>
          <w:tcPr>
            <w:tcW w:w="1453" w:type="pct"/>
            <w:shd w:val="clear" w:color="auto" w:fill="auto"/>
          </w:tcPr>
          <w:p w14:paraId="794E1950"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bCs/>
                <w:sz w:val="18"/>
                <w:szCs w:val="20"/>
                <w:lang w:val="sq-AL"/>
              </w:rPr>
              <w:t>% unosa otpada</w:t>
            </w:r>
          </w:p>
        </w:tc>
      </w:tr>
      <w:tr w:rsidR="00C232D7" w:rsidRPr="00C149AB" w14:paraId="7D6A1BE9"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3547" w:type="pct"/>
            <w:shd w:val="clear" w:color="auto" w:fill="auto"/>
          </w:tcPr>
          <w:p w14:paraId="347463FD" w14:textId="77777777" w:rsidR="00C232D7" w:rsidRPr="00C149AB" w:rsidRDefault="00C232D7" w:rsidP="00C232D7">
            <w:pPr>
              <w:pStyle w:val="Normal-10pt-Table"/>
              <w:spacing w:before="40" w:after="40" w:line="360" w:lineRule="auto"/>
              <w:jc w:val="both"/>
              <w:rPr>
                <w:rFonts w:ascii="Arial" w:hAnsi="Arial" w:cs="Arial"/>
                <w:bCs w:val="0"/>
                <w:sz w:val="18"/>
                <w:szCs w:val="20"/>
                <w:lang w:val="sq-AL"/>
              </w:rPr>
            </w:pPr>
            <w:r w:rsidRPr="00C149AB">
              <w:rPr>
                <w:rFonts w:ascii="Arial" w:hAnsi="Arial" w:cs="Arial"/>
                <w:sz w:val="18"/>
                <w:szCs w:val="20"/>
                <w:lang w:val="sq-AL"/>
              </w:rPr>
              <w:t>Ukupne količine otpada proslijeđene na odlaganje</w:t>
            </w:r>
          </w:p>
        </w:tc>
        <w:tc>
          <w:tcPr>
            <w:tcW w:w="1453" w:type="pct"/>
            <w:shd w:val="clear" w:color="auto" w:fill="auto"/>
          </w:tcPr>
          <w:p w14:paraId="702CB008" w14:textId="576A51C2" w:rsidR="00C232D7" w:rsidRPr="00C149AB" w:rsidRDefault="00D33BB9"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sz w:val="18"/>
                <w:szCs w:val="20"/>
                <w:lang w:val="sq-AL"/>
              </w:rPr>
              <w:t>T</w:t>
            </w:r>
          </w:p>
        </w:tc>
      </w:tr>
      <w:tr w:rsidR="00C232D7" w:rsidRPr="00C149AB" w14:paraId="266D0172"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3547" w:type="pct"/>
            <w:shd w:val="clear" w:color="auto" w:fill="auto"/>
          </w:tcPr>
          <w:p w14:paraId="6ABDC755" w14:textId="77777777" w:rsidR="00C232D7" w:rsidRPr="00C149AB" w:rsidRDefault="00C232D7" w:rsidP="00C232D7">
            <w:pPr>
              <w:pStyle w:val="Normal-10pt-Table"/>
              <w:spacing w:before="40" w:after="40" w:line="360" w:lineRule="auto"/>
              <w:jc w:val="both"/>
              <w:rPr>
                <w:rFonts w:ascii="Arial" w:hAnsi="Arial" w:cs="Arial"/>
                <w:bCs w:val="0"/>
                <w:sz w:val="18"/>
                <w:szCs w:val="20"/>
                <w:lang w:val="sq-AL"/>
              </w:rPr>
            </w:pPr>
            <w:r w:rsidRPr="00C149AB">
              <w:rPr>
                <w:rFonts w:ascii="Arial" w:hAnsi="Arial" w:cs="Arial"/>
                <w:sz w:val="18"/>
                <w:szCs w:val="20"/>
                <w:lang w:val="sq-AL"/>
              </w:rPr>
              <w:t>Stopa deponovanog otpada</w:t>
            </w:r>
          </w:p>
        </w:tc>
        <w:tc>
          <w:tcPr>
            <w:tcW w:w="1453" w:type="pct"/>
            <w:shd w:val="clear" w:color="auto" w:fill="auto"/>
          </w:tcPr>
          <w:p w14:paraId="0D94F44E"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bCs/>
                <w:sz w:val="18"/>
                <w:szCs w:val="20"/>
                <w:lang w:val="sq-AL"/>
              </w:rPr>
              <w:t>% unosa otpada</w:t>
            </w:r>
          </w:p>
        </w:tc>
      </w:tr>
      <w:tr w:rsidR="00C232D7" w:rsidRPr="00C149AB" w14:paraId="5C82416D"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3547" w:type="pct"/>
            <w:shd w:val="clear" w:color="auto" w:fill="auto"/>
          </w:tcPr>
          <w:p w14:paraId="3EDD333A" w14:textId="3285EA0F" w:rsidR="00C232D7" w:rsidRPr="00C149AB" w:rsidRDefault="00C232D7" w:rsidP="00C232D7">
            <w:pPr>
              <w:pStyle w:val="Normal-10pt-Table"/>
              <w:spacing w:before="40" w:after="40" w:line="360" w:lineRule="auto"/>
              <w:jc w:val="both"/>
              <w:rPr>
                <w:rFonts w:ascii="Arial" w:hAnsi="Arial" w:cs="Arial"/>
                <w:bCs w:val="0"/>
                <w:sz w:val="18"/>
                <w:szCs w:val="20"/>
                <w:lang w:val="sq-AL"/>
              </w:rPr>
            </w:pPr>
            <w:r w:rsidRPr="00C149AB">
              <w:rPr>
                <w:rFonts w:ascii="Arial" w:hAnsi="Arial" w:cs="Arial"/>
                <w:sz w:val="18"/>
                <w:szCs w:val="20"/>
                <w:lang w:val="sq-AL"/>
              </w:rPr>
              <w:t>Broj građana koji koriste zelen</w:t>
            </w:r>
            <w:r w:rsidR="00DB7DA9">
              <w:rPr>
                <w:rFonts w:ascii="Arial" w:hAnsi="Arial" w:cs="Arial"/>
                <w:sz w:val="18"/>
                <w:szCs w:val="20"/>
                <w:lang w:val="sq-AL"/>
              </w:rPr>
              <w:t>o ostrvo</w:t>
            </w:r>
          </w:p>
        </w:tc>
        <w:tc>
          <w:tcPr>
            <w:tcW w:w="1453" w:type="pct"/>
            <w:shd w:val="clear" w:color="auto" w:fill="auto"/>
          </w:tcPr>
          <w:p w14:paraId="4703167B"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bCs/>
                <w:sz w:val="18"/>
                <w:szCs w:val="20"/>
                <w:lang w:val="sq-AL"/>
              </w:rPr>
              <w:t>Broj</w:t>
            </w:r>
          </w:p>
        </w:tc>
      </w:tr>
      <w:tr w:rsidR="00C232D7" w:rsidRPr="00C149AB" w14:paraId="73FDFE6D"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3547" w:type="pct"/>
            <w:shd w:val="clear" w:color="auto" w:fill="auto"/>
          </w:tcPr>
          <w:p w14:paraId="0C14DD26" w14:textId="4A310E93" w:rsidR="00C232D7" w:rsidRPr="00C149AB" w:rsidRDefault="00C232D7" w:rsidP="00C232D7">
            <w:pPr>
              <w:pStyle w:val="Normal-10pt-Table"/>
              <w:spacing w:before="40" w:after="40" w:line="360" w:lineRule="auto"/>
              <w:jc w:val="both"/>
              <w:rPr>
                <w:rFonts w:ascii="Arial" w:hAnsi="Arial" w:cs="Arial"/>
                <w:bCs w:val="0"/>
                <w:sz w:val="18"/>
                <w:szCs w:val="20"/>
                <w:lang w:val="sq-AL"/>
              </w:rPr>
            </w:pPr>
            <w:r w:rsidRPr="00C149AB">
              <w:rPr>
                <w:rFonts w:ascii="Arial" w:hAnsi="Arial" w:cs="Arial"/>
                <w:sz w:val="18"/>
                <w:szCs w:val="20"/>
                <w:lang w:val="sq-AL"/>
              </w:rPr>
              <w:t>Broj vozila koja ulaze u zelen</w:t>
            </w:r>
            <w:r w:rsidR="00DB7DA9">
              <w:rPr>
                <w:rFonts w:ascii="Arial" w:hAnsi="Arial" w:cs="Arial"/>
                <w:sz w:val="18"/>
                <w:szCs w:val="20"/>
                <w:lang w:val="sq-AL"/>
              </w:rPr>
              <w:t>o ostrvo</w:t>
            </w:r>
          </w:p>
        </w:tc>
        <w:tc>
          <w:tcPr>
            <w:tcW w:w="1453" w:type="pct"/>
            <w:shd w:val="clear" w:color="auto" w:fill="auto"/>
          </w:tcPr>
          <w:p w14:paraId="1774B986"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bCs/>
                <w:sz w:val="18"/>
                <w:szCs w:val="20"/>
                <w:lang w:val="sq-AL"/>
              </w:rPr>
              <w:t>Broj</w:t>
            </w:r>
          </w:p>
        </w:tc>
      </w:tr>
      <w:tr w:rsidR="00C232D7" w:rsidRPr="00C149AB" w14:paraId="47F6A0C6"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3547" w:type="pct"/>
            <w:shd w:val="clear" w:color="auto" w:fill="auto"/>
          </w:tcPr>
          <w:p w14:paraId="72169700" w14:textId="4B0AF255" w:rsidR="00C232D7" w:rsidRPr="00C149AB" w:rsidRDefault="00C232D7" w:rsidP="00C232D7">
            <w:pPr>
              <w:pStyle w:val="Normal-10pt-Table"/>
              <w:spacing w:before="40" w:after="40" w:line="360" w:lineRule="auto"/>
              <w:jc w:val="both"/>
              <w:rPr>
                <w:rFonts w:ascii="Arial" w:hAnsi="Arial" w:cs="Arial"/>
                <w:bCs w:val="0"/>
                <w:sz w:val="18"/>
                <w:szCs w:val="20"/>
                <w:lang w:val="sq-AL"/>
              </w:rPr>
            </w:pPr>
            <w:r w:rsidRPr="00C149AB">
              <w:rPr>
                <w:rFonts w:ascii="Arial" w:hAnsi="Arial" w:cs="Arial"/>
                <w:sz w:val="18"/>
                <w:szCs w:val="20"/>
                <w:lang w:val="sq-AL"/>
              </w:rPr>
              <w:t>Operativni t</w:t>
            </w:r>
            <w:r w:rsidR="009576FD" w:rsidRPr="00C149AB">
              <w:rPr>
                <w:rFonts w:ascii="Arial" w:hAnsi="Arial" w:cs="Arial"/>
                <w:sz w:val="18"/>
                <w:szCs w:val="20"/>
                <w:lang w:val="sq-AL"/>
              </w:rPr>
              <w:t>ro</w:t>
            </w:r>
            <w:r w:rsidRPr="00C149AB">
              <w:rPr>
                <w:rFonts w:ascii="Arial" w:hAnsi="Arial" w:cs="Arial"/>
                <w:sz w:val="18"/>
                <w:szCs w:val="20"/>
                <w:lang w:val="sq-AL"/>
              </w:rPr>
              <w:t>škovi</w:t>
            </w:r>
          </w:p>
        </w:tc>
        <w:tc>
          <w:tcPr>
            <w:tcW w:w="1453" w:type="pct"/>
            <w:shd w:val="clear" w:color="auto" w:fill="auto"/>
          </w:tcPr>
          <w:p w14:paraId="67ABE17F"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bCs/>
                <w:sz w:val="18"/>
                <w:szCs w:val="20"/>
                <w:lang w:val="sq-AL"/>
              </w:rPr>
              <w:t>€</w:t>
            </w:r>
          </w:p>
        </w:tc>
      </w:tr>
      <w:tr w:rsidR="00C232D7" w:rsidRPr="00C149AB" w14:paraId="79672B59" w14:textId="77777777" w:rsidTr="00C232D7">
        <w:trPr>
          <w:jc w:val="center"/>
        </w:trPr>
        <w:tc>
          <w:tcPr>
            <w:cnfStyle w:val="001000000000" w:firstRow="0" w:lastRow="0" w:firstColumn="1" w:lastColumn="0" w:oddVBand="0" w:evenVBand="0" w:oddHBand="0" w:evenHBand="0" w:firstRowFirstColumn="0" w:firstRowLastColumn="0" w:lastRowFirstColumn="0" w:lastRowLastColumn="0"/>
            <w:tcW w:w="3547" w:type="pct"/>
            <w:shd w:val="clear" w:color="auto" w:fill="auto"/>
          </w:tcPr>
          <w:p w14:paraId="5B82AB63" w14:textId="77777777" w:rsidR="00C232D7" w:rsidRPr="00C149AB" w:rsidRDefault="00C232D7" w:rsidP="00C232D7">
            <w:pPr>
              <w:pStyle w:val="Normal-10pt-Table"/>
              <w:spacing w:before="40" w:after="40" w:line="360" w:lineRule="auto"/>
              <w:jc w:val="both"/>
              <w:rPr>
                <w:rFonts w:ascii="Arial" w:hAnsi="Arial" w:cs="Arial"/>
                <w:bCs w:val="0"/>
                <w:sz w:val="18"/>
                <w:szCs w:val="20"/>
                <w:lang w:val="sq-AL"/>
              </w:rPr>
            </w:pPr>
            <w:r w:rsidRPr="00C149AB">
              <w:rPr>
                <w:rFonts w:ascii="Arial" w:hAnsi="Arial" w:cs="Arial"/>
                <w:sz w:val="18"/>
                <w:szCs w:val="20"/>
                <w:lang w:val="sq-AL"/>
              </w:rPr>
              <w:t>Prihodi</w:t>
            </w:r>
          </w:p>
        </w:tc>
        <w:tc>
          <w:tcPr>
            <w:tcW w:w="1453" w:type="pct"/>
            <w:shd w:val="clear" w:color="auto" w:fill="auto"/>
          </w:tcPr>
          <w:p w14:paraId="3EF5DE8A" w14:textId="77777777" w:rsidR="00C232D7" w:rsidRPr="00C149AB" w:rsidRDefault="00C232D7" w:rsidP="00C232D7">
            <w:pPr>
              <w:pStyle w:val="Normal-10pt-Table"/>
              <w:spacing w:before="40" w:after="4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18"/>
                <w:szCs w:val="20"/>
                <w:lang w:val="sq-AL"/>
              </w:rPr>
            </w:pPr>
            <w:r w:rsidRPr="00C149AB">
              <w:rPr>
                <w:rFonts w:ascii="Arial" w:hAnsi="Arial" w:cs="Arial"/>
                <w:bCs/>
                <w:sz w:val="18"/>
                <w:szCs w:val="20"/>
                <w:lang w:val="sq-AL"/>
              </w:rPr>
              <w:t>€</w:t>
            </w:r>
          </w:p>
        </w:tc>
      </w:tr>
    </w:tbl>
    <w:p w14:paraId="05F6DFA9" w14:textId="29E73229"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Pored toga, operater CSO </w:t>
      </w:r>
      <w:r w:rsidR="00FA6F9C">
        <w:rPr>
          <w:rFonts w:ascii="Arial" w:hAnsi="Arial" w:cs="Arial"/>
          <w:lang w:val="sq-AL"/>
        </w:rPr>
        <w:t xml:space="preserve">treba da </w:t>
      </w:r>
      <w:r w:rsidRPr="002A6F4E">
        <w:rPr>
          <w:rFonts w:ascii="Arial" w:hAnsi="Arial" w:cs="Arial"/>
          <w:lang w:val="sq-AL"/>
        </w:rPr>
        <w:t>bude opremljen odgovarajućim upitnicima i obrascima za žalbe, i da se organizuju česte ankete u područjima koja su pokrivena uslugama centra kako bi se oc</w:t>
      </w:r>
      <w:r w:rsidR="009576FD">
        <w:rPr>
          <w:rFonts w:ascii="Arial" w:hAnsi="Arial" w:cs="Arial"/>
          <w:lang w:val="sq-AL"/>
        </w:rPr>
        <w:t>i</w:t>
      </w:r>
      <w:r w:rsidRPr="002A6F4E">
        <w:rPr>
          <w:rFonts w:ascii="Arial" w:hAnsi="Arial" w:cs="Arial"/>
          <w:lang w:val="sq-AL"/>
        </w:rPr>
        <w:t>jenilo mišljenje građana o radu CSO.</w:t>
      </w:r>
    </w:p>
    <w:p w14:paraId="6AEF0047" w14:textId="0F9999D0" w:rsidR="00C232D7" w:rsidRPr="002A6F4E" w:rsidRDefault="009751D2" w:rsidP="00F57909">
      <w:pPr>
        <w:pStyle w:val="Heading2"/>
      </w:pPr>
      <w:bookmarkStart w:id="1178" w:name="_Toc66354304"/>
      <w:bookmarkStart w:id="1179" w:name="_Toc66354896"/>
      <w:bookmarkStart w:id="1180" w:name="_Toc109051454"/>
      <w:bookmarkStart w:id="1181" w:name="_Toc121759067"/>
      <w:bookmarkStart w:id="1182" w:name="_Toc189759709"/>
      <w:bookmarkStart w:id="1183" w:name="_Toc193354037"/>
      <w:r>
        <w:t>5.30</w:t>
      </w:r>
      <w:r w:rsidR="00620A47">
        <w:t xml:space="preserve">. </w:t>
      </w:r>
      <w:r w:rsidR="00C232D7" w:rsidRPr="002A6F4E">
        <w:t>Procijenjeni budžet</w:t>
      </w:r>
      <w:bookmarkEnd w:id="1178"/>
      <w:bookmarkEnd w:id="1179"/>
      <w:bookmarkEnd w:id="1180"/>
      <w:bookmarkEnd w:id="1181"/>
      <w:bookmarkEnd w:id="1182"/>
      <w:bookmarkEnd w:id="1183"/>
      <w:r w:rsidR="00C232D7" w:rsidRPr="002A6F4E">
        <w:t xml:space="preserve"> </w:t>
      </w:r>
    </w:p>
    <w:p w14:paraId="6DEA923C" w14:textId="6D80044E"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Procijenjeni troškovi za različite tipove predloženih CSO, zasnovani</w:t>
      </w:r>
      <w:r w:rsidR="00C75D70">
        <w:rPr>
          <w:rFonts w:ascii="Arial" w:hAnsi="Arial" w:cs="Arial"/>
          <w:lang w:val="sq-AL"/>
        </w:rPr>
        <w:t xml:space="preserve"> </w:t>
      </w:r>
      <w:r w:rsidRPr="002A6F4E">
        <w:rPr>
          <w:rFonts w:ascii="Arial" w:hAnsi="Arial" w:cs="Arial"/>
          <w:lang w:val="sq-AL"/>
        </w:rPr>
        <w:t>na međunarodnom iskustvu kao i iskustvu iz projektovanja takvih objekata, prikazani su u nastavku:</w:t>
      </w:r>
    </w:p>
    <w:p w14:paraId="5AF8FE1B" w14:textId="77777777" w:rsidR="00C232D7" w:rsidRPr="002A6F4E" w:rsidRDefault="00C232D7" w:rsidP="00A23ED0">
      <w:pPr>
        <w:pStyle w:val="ListParagraph"/>
        <w:numPr>
          <w:ilvl w:val="0"/>
          <w:numId w:val="57"/>
        </w:numPr>
        <w:spacing w:before="120" w:after="120" w:line="360" w:lineRule="auto"/>
        <w:contextualSpacing w:val="0"/>
        <w:rPr>
          <w:rFonts w:ascii="Arial" w:hAnsi="Arial" w:cs="Arial"/>
          <w:lang w:val="sq-AL"/>
        </w:rPr>
      </w:pPr>
      <w:r w:rsidRPr="002A6F4E">
        <w:rPr>
          <w:rFonts w:ascii="Arial" w:hAnsi="Arial" w:cs="Arial"/>
          <w:lang w:val="sq-AL"/>
        </w:rPr>
        <w:t>Veliki CSO: 450.000 – 1.700.000 eura (700.000 eura u prosjeku);</w:t>
      </w:r>
    </w:p>
    <w:p w14:paraId="1D394AD2" w14:textId="77777777" w:rsidR="00C232D7" w:rsidRPr="002A6F4E" w:rsidRDefault="00C232D7" w:rsidP="00A23ED0">
      <w:pPr>
        <w:pStyle w:val="ListParagraph"/>
        <w:numPr>
          <w:ilvl w:val="0"/>
          <w:numId w:val="57"/>
        </w:numPr>
        <w:spacing w:before="120" w:after="120" w:line="360" w:lineRule="auto"/>
        <w:contextualSpacing w:val="0"/>
        <w:rPr>
          <w:rFonts w:ascii="Arial" w:hAnsi="Arial" w:cs="Arial"/>
          <w:lang w:val="sq-AL"/>
        </w:rPr>
      </w:pPr>
      <w:r w:rsidRPr="002A6F4E">
        <w:rPr>
          <w:rFonts w:ascii="Arial" w:hAnsi="Arial" w:cs="Arial"/>
          <w:lang w:val="sq-AL"/>
        </w:rPr>
        <w:t>Srednji CSO: 200.000 – 800.000 eura (400.000 eura u prosjeku);</w:t>
      </w:r>
    </w:p>
    <w:p w14:paraId="39F81B2D" w14:textId="63320345" w:rsidR="00C232D7" w:rsidRPr="002A6F4E" w:rsidRDefault="00C232D7" w:rsidP="00A23ED0">
      <w:pPr>
        <w:pStyle w:val="ListParagraph"/>
        <w:numPr>
          <w:ilvl w:val="0"/>
          <w:numId w:val="57"/>
        </w:numPr>
        <w:spacing w:before="120" w:after="120" w:line="360" w:lineRule="auto"/>
        <w:contextualSpacing w:val="0"/>
        <w:rPr>
          <w:rFonts w:ascii="Arial" w:hAnsi="Arial" w:cs="Arial"/>
          <w:lang w:val="sq-AL"/>
        </w:rPr>
      </w:pPr>
      <w:r w:rsidRPr="002A6F4E">
        <w:rPr>
          <w:rFonts w:ascii="Arial" w:hAnsi="Arial" w:cs="Arial"/>
          <w:lang w:val="sq-AL"/>
        </w:rPr>
        <w:t>Mali/ mobilni CSO: 130.000 eura/punkt.</w:t>
      </w:r>
    </w:p>
    <w:p w14:paraId="7E3772B9" w14:textId="140F36FB"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Na osnovu gore navedenog, procijenjeni ukupni troškovi za CSO (novi i planirani) koji se predlažu u Crnoj Gori procjenjuju se na </w:t>
      </w:r>
      <w:r w:rsidRPr="002A6F4E">
        <w:rPr>
          <w:rFonts w:ascii="Arial" w:hAnsi="Arial" w:cs="Arial"/>
          <w:b/>
          <w:bCs/>
          <w:lang w:val="sq-AL"/>
        </w:rPr>
        <w:t>5.47 mil</w:t>
      </w:r>
      <w:r w:rsidR="00C75D70">
        <w:rPr>
          <w:rFonts w:ascii="Arial" w:hAnsi="Arial" w:cs="Arial"/>
          <w:b/>
          <w:bCs/>
          <w:lang w:val="sq-AL"/>
        </w:rPr>
        <w:t>iona</w:t>
      </w:r>
      <w:r w:rsidRPr="002A6F4E">
        <w:rPr>
          <w:rFonts w:ascii="Arial" w:hAnsi="Arial" w:cs="Arial"/>
          <w:b/>
          <w:bCs/>
          <w:lang w:val="sq-AL"/>
        </w:rPr>
        <w:t xml:space="preserve"> eur</w:t>
      </w:r>
      <w:r w:rsidR="00C75D70">
        <w:rPr>
          <w:rFonts w:ascii="Arial" w:hAnsi="Arial" w:cs="Arial"/>
          <w:b/>
          <w:bCs/>
          <w:lang w:val="sq-AL"/>
        </w:rPr>
        <w:t>a</w:t>
      </w:r>
      <w:r w:rsidRPr="002A6F4E">
        <w:rPr>
          <w:rFonts w:ascii="Arial" w:hAnsi="Arial" w:cs="Arial"/>
          <w:b/>
          <w:bCs/>
          <w:lang w:val="sq-AL"/>
        </w:rPr>
        <w:t>.</w:t>
      </w:r>
    </w:p>
    <w:p w14:paraId="30391A32" w14:textId="490E1C29" w:rsidR="00C232D7" w:rsidRPr="002A6F4E" w:rsidRDefault="00DC47C3" w:rsidP="00F57909">
      <w:pPr>
        <w:pStyle w:val="Heading2"/>
      </w:pPr>
      <w:bookmarkStart w:id="1184" w:name="_Toc189759710"/>
      <w:bookmarkStart w:id="1185" w:name="_Toc193354038"/>
      <w:r>
        <w:lastRenderedPageBreak/>
        <w:t>5.3</w:t>
      </w:r>
      <w:r w:rsidR="009751D2">
        <w:t>1</w:t>
      </w:r>
      <w:r w:rsidR="00620A47">
        <w:t xml:space="preserve">. </w:t>
      </w:r>
      <w:r w:rsidR="003672DD">
        <w:t>Obrada</w:t>
      </w:r>
      <w:r w:rsidR="00C232D7" w:rsidRPr="002A6F4E">
        <w:t xml:space="preserve"> odvojeno sakupljenog otpada</w:t>
      </w:r>
      <w:bookmarkEnd w:id="1184"/>
      <w:bookmarkEnd w:id="1185"/>
    </w:p>
    <w:p w14:paraId="19AEB4BA" w14:textId="4F0EDDF1" w:rsidR="00C232D7" w:rsidRPr="002A6F4E" w:rsidRDefault="00C232D7" w:rsidP="00C232D7">
      <w:pPr>
        <w:shd w:val="clear" w:color="auto" w:fill="E2EFD9" w:themeFill="accent6" w:themeFillTint="33"/>
        <w:spacing w:before="120" w:after="120" w:line="360" w:lineRule="auto"/>
        <w:rPr>
          <w:rFonts w:ascii="Arial" w:hAnsi="Arial" w:cs="Arial"/>
          <w:lang w:val="sq-AL"/>
        </w:rPr>
      </w:pPr>
      <w:r w:rsidRPr="002A6F4E">
        <w:rPr>
          <w:rFonts w:ascii="Arial" w:hAnsi="Arial" w:cs="Arial"/>
          <w:b/>
          <w:bCs/>
          <w:i/>
          <w:lang w:val="sq-AL"/>
        </w:rPr>
        <w:t>Cilj:</w:t>
      </w:r>
      <w:r w:rsidRPr="002A6F4E">
        <w:rPr>
          <w:rFonts w:ascii="Arial" w:hAnsi="Arial" w:cs="Arial"/>
          <w:i/>
          <w:lang w:val="sq-AL"/>
        </w:rPr>
        <w:t xml:space="preserve"> Crna Gora će se progresivno kretati ka „cirkularnoj ekonomiji“ kako bi ostvarila mogućnosti povrata resursa i poveća</w:t>
      </w:r>
      <w:r w:rsidR="00DB7DA9">
        <w:rPr>
          <w:rFonts w:ascii="Arial" w:hAnsi="Arial" w:cs="Arial"/>
          <w:i/>
          <w:lang w:val="sq-AL"/>
        </w:rPr>
        <w:t>o</w:t>
      </w:r>
      <w:r w:rsidRPr="002A6F4E">
        <w:rPr>
          <w:rFonts w:ascii="Arial" w:hAnsi="Arial" w:cs="Arial"/>
          <w:i/>
          <w:lang w:val="sq-AL"/>
        </w:rPr>
        <w:t xml:space="preserve"> </w:t>
      </w:r>
      <w:r w:rsidR="00773B35">
        <w:rPr>
          <w:rFonts w:ascii="Arial" w:hAnsi="Arial" w:cs="Arial"/>
          <w:i/>
          <w:lang w:val="sq-AL"/>
        </w:rPr>
        <w:t xml:space="preserve">broj </w:t>
      </w:r>
      <w:r w:rsidRPr="002A6F4E">
        <w:rPr>
          <w:rFonts w:ascii="Arial" w:hAnsi="Arial" w:cs="Arial"/>
          <w:i/>
          <w:lang w:val="sq-AL"/>
        </w:rPr>
        <w:t>investicij</w:t>
      </w:r>
      <w:r w:rsidR="00773B35">
        <w:rPr>
          <w:rFonts w:ascii="Arial" w:hAnsi="Arial" w:cs="Arial"/>
          <w:i/>
          <w:lang w:val="sq-AL"/>
        </w:rPr>
        <w:t>a</w:t>
      </w:r>
      <w:r w:rsidRPr="002A6F4E">
        <w:rPr>
          <w:rFonts w:ascii="Arial" w:hAnsi="Arial" w:cs="Arial"/>
          <w:i/>
          <w:lang w:val="sq-AL"/>
        </w:rPr>
        <w:t xml:space="preserve"> i radn</w:t>
      </w:r>
      <w:r w:rsidR="00773B35">
        <w:rPr>
          <w:rFonts w:ascii="Arial" w:hAnsi="Arial" w:cs="Arial"/>
          <w:i/>
          <w:lang w:val="sq-AL"/>
        </w:rPr>
        <w:t>ih</w:t>
      </w:r>
      <w:r w:rsidRPr="002A6F4E">
        <w:rPr>
          <w:rFonts w:ascii="Arial" w:hAnsi="Arial" w:cs="Arial"/>
          <w:i/>
          <w:lang w:val="sq-AL"/>
        </w:rPr>
        <w:t xml:space="preserve"> mjesta u sektoru recikl</w:t>
      </w:r>
      <w:r w:rsidR="00DB7DA9">
        <w:rPr>
          <w:rFonts w:ascii="Arial" w:hAnsi="Arial" w:cs="Arial"/>
          <w:i/>
          <w:lang w:val="sq-AL"/>
        </w:rPr>
        <w:t>iranja</w:t>
      </w:r>
      <w:r w:rsidR="00062BE8">
        <w:rPr>
          <w:rFonts w:ascii="Arial" w:hAnsi="Arial" w:cs="Arial"/>
          <w:i/>
          <w:lang w:val="sq-AL"/>
        </w:rPr>
        <w:t>.</w:t>
      </w:r>
    </w:p>
    <w:p w14:paraId="5E57FEC3" w14:textId="3FC27883"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Jedan od ključnih ciljeva novog </w:t>
      </w:r>
      <w:r w:rsidR="0011591F">
        <w:rPr>
          <w:rFonts w:ascii="Arial" w:hAnsi="Arial" w:cs="Arial"/>
          <w:lang w:val="sq-AL"/>
        </w:rPr>
        <w:t>A</w:t>
      </w:r>
      <w:r w:rsidRPr="002A6F4E">
        <w:rPr>
          <w:rFonts w:ascii="Arial" w:hAnsi="Arial" w:cs="Arial"/>
          <w:lang w:val="sq-AL"/>
        </w:rPr>
        <w:t xml:space="preserve">kcionog plana za cirkularnu ekonomiju (CEAP) Evropske komisije, predstavljenog u martu 2020. godine, jeste da se osigura da se </w:t>
      </w:r>
      <w:r w:rsidRPr="002A6F4E">
        <w:rPr>
          <w:rFonts w:ascii="Arial" w:hAnsi="Arial" w:cs="Arial"/>
          <w:i/>
          <w:iCs/>
          <w:lang w:val="sq-AL"/>
        </w:rPr>
        <w:t>„sva ambalaža na tržištu EU može ponovo koristiti ili reciklirati na ekonomski održiv način do 2030. godine“.</w:t>
      </w:r>
    </w:p>
    <w:p w14:paraId="70D56BB5" w14:textId="28ACD514"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Revizija EU direktive o ambalaži i ambalažnom otpadu od strane Evropske komisije ima za cilj dramatično povećanje stope recikl</w:t>
      </w:r>
      <w:r w:rsidR="00DB7DA9">
        <w:rPr>
          <w:rFonts w:ascii="Arial" w:hAnsi="Arial" w:cs="Arial"/>
          <w:lang w:val="sq-AL"/>
        </w:rPr>
        <w:t>iranja</w:t>
      </w:r>
      <w:r w:rsidRPr="002A6F4E">
        <w:rPr>
          <w:rFonts w:ascii="Arial" w:hAnsi="Arial" w:cs="Arial"/>
          <w:lang w:val="sq-AL"/>
        </w:rPr>
        <w:t xml:space="preserve"> u EU. Da bi se to postiglo, potrebna je veća harmonizacija programa  sakupljanja koji se koriste lokalno u državama članicama, kao i podsticanje proširene odgovornosti proizvođača.</w:t>
      </w:r>
    </w:p>
    <w:p w14:paraId="4691FC09" w14:textId="11776A4F" w:rsidR="00C232D7" w:rsidRPr="002A6F4E" w:rsidRDefault="00DB7DA9" w:rsidP="00C232D7">
      <w:pPr>
        <w:spacing w:before="120" w:after="120" w:line="360" w:lineRule="auto"/>
        <w:rPr>
          <w:rFonts w:ascii="Arial" w:hAnsi="Arial" w:cs="Arial"/>
          <w:lang w:val="sq-AL"/>
        </w:rPr>
      </w:pPr>
      <w:r>
        <w:rPr>
          <w:rFonts w:ascii="Arial" w:hAnsi="Arial" w:cs="Arial"/>
          <w:lang w:val="sq-AL"/>
        </w:rPr>
        <w:t>Aktivnosti</w:t>
      </w:r>
      <w:r w:rsidR="00974F55">
        <w:rPr>
          <w:rFonts w:ascii="Arial" w:hAnsi="Arial" w:cs="Arial"/>
          <w:lang w:val="sq-AL"/>
        </w:rPr>
        <w:t xml:space="preserve"> u vezi</w:t>
      </w:r>
      <w:r w:rsidR="00C232D7" w:rsidRPr="002A6F4E">
        <w:rPr>
          <w:rFonts w:ascii="Arial" w:hAnsi="Arial" w:cs="Arial"/>
          <w:lang w:val="sq-AL"/>
        </w:rPr>
        <w:t xml:space="preserve"> </w:t>
      </w:r>
      <w:r>
        <w:rPr>
          <w:rFonts w:ascii="Arial" w:hAnsi="Arial" w:cs="Arial"/>
          <w:lang w:val="sq-AL"/>
        </w:rPr>
        <w:t>ponovn</w:t>
      </w:r>
      <w:r w:rsidR="00974F55">
        <w:rPr>
          <w:rFonts w:ascii="Arial" w:hAnsi="Arial" w:cs="Arial"/>
          <w:lang w:val="sq-AL"/>
        </w:rPr>
        <w:t>e</w:t>
      </w:r>
      <w:r>
        <w:rPr>
          <w:rFonts w:ascii="Arial" w:hAnsi="Arial" w:cs="Arial"/>
          <w:lang w:val="sq-AL"/>
        </w:rPr>
        <w:t xml:space="preserve"> upotreb</w:t>
      </w:r>
      <w:r w:rsidR="00974F55">
        <w:rPr>
          <w:rFonts w:ascii="Arial" w:hAnsi="Arial" w:cs="Arial"/>
          <w:lang w:val="sq-AL"/>
        </w:rPr>
        <w:t>e</w:t>
      </w:r>
      <w:r>
        <w:rPr>
          <w:rFonts w:ascii="Arial" w:hAnsi="Arial" w:cs="Arial"/>
          <w:lang w:val="sq-AL"/>
        </w:rPr>
        <w:t xml:space="preserve"> i reci</w:t>
      </w:r>
      <w:r w:rsidR="0025198D">
        <w:rPr>
          <w:rFonts w:ascii="Arial" w:hAnsi="Arial" w:cs="Arial"/>
          <w:lang w:val="sq-AL"/>
        </w:rPr>
        <w:t>k</w:t>
      </w:r>
      <w:r>
        <w:rPr>
          <w:rFonts w:ascii="Arial" w:hAnsi="Arial" w:cs="Arial"/>
          <w:lang w:val="sq-AL"/>
        </w:rPr>
        <w:t>liranj</w:t>
      </w:r>
      <w:r w:rsidR="00974F55">
        <w:rPr>
          <w:rFonts w:ascii="Arial" w:hAnsi="Arial" w:cs="Arial"/>
          <w:lang w:val="sq-AL"/>
        </w:rPr>
        <w:t>a</w:t>
      </w:r>
      <w:r w:rsidR="00C232D7" w:rsidRPr="002A6F4E">
        <w:rPr>
          <w:rFonts w:ascii="Arial" w:hAnsi="Arial" w:cs="Arial"/>
          <w:lang w:val="sq-AL"/>
        </w:rPr>
        <w:t xml:space="preserve"> u velikoj mjeri zavisi od ciljeva koje zemlja treba da ispuni u okviru zakonodavnog okvira i trenutne situacije.</w:t>
      </w:r>
    </w:p>
    <w:p w14:paraId="697EB3B8" w14:textId="77777777" w:rsidR="00C232D7" w:rsidRPr="002A6F4E" w:rsidRDefault="00C232D7" w:rsidP="00C232D7">
      <w:pPr>
        <w:spacing w:before="120" w:after="120" w:line="360" w:lineRule="auto"/>
        <w:rPr>
          <w:rFonts w:ascii="Arial" w:hAnsi="Arial" w:cs="Arial"/>
          <w:bCs/>
          <w:lang w:val="sq-AL"/>
        </w:rPr>
      </w:pPr>
      <w:r w:rsidRPr="002A6F4E">
        <w:rPr>
          <w:rFonts w:ascii="Arial" w:hAnsi="Arial" w:cs="Arial"/>
          <w:bCs/>
          <w:lang w:val="sq-AL"/>
        </w:rPr>
        <w:t>Da bi se ispunili postavljeni ciljevi, javljaju se sljedeće obaveze:</w:t>
      </w:r>
    </w:p>
    <w:p w14:paraId="3CC17A80" w14:textId="0C7EFA7D" w:rsidR="00C232D7" w:rsidRPr="002A6F4E" w:rsidRDefault="00C232D7" w:rsidP="00A23ED0">
      <w:pPr>
        <w:pStyle w:val="ListParagraph"/>
        <w:numPr>
          <w:ilvl w:val="0"/>
          <w:numId w:val="58"/>
        </w:numPr>
        <w:spacing w:before="120" w:after="120" w:line="360" w:lineRule="auto"/>
        <w:contextualSpacing w:val="0"/>
        <w:rPr>
          <w:rFonts w:ascii="Arial" w:hAnsi="Arial" w:cs="Arial"/>
          <w:lang w:val="sq-AL"/>
        </w:rPr>
      </w:pPr>
      <w:r w:rsidRPr="002A6F4E">
        <w:rPr>
          <w:rFonts w:ascii="Arial" w:hAnsi="Arial" w:cs="Arial"/>
          <w:lang w:val="sq-AL"/>
        </w:rPr>
        <w:t>Potreba za uspostavljanjem programa odvojenog sakupljanja za reciklažne materijale: papir, staklo, metale i plastiku;</w:t>
      </w:r>
    </w:p>
    <w:p w14:paraId="6585667A" w14:textId="77777777" w:rsidR="00C232D7" w:rsidRPr="002A6F4E" w:rsidRDefault="00C232D7" w:rsidP="00A23ED0">
      <w:pPr>
        <w:pStyle w:val="ListParagraph"/>
        <w:numPr>
          <w:ilvl w:val="0"/>
          <w:numId w:val="58"/>
        </w:numPr>
        <w:spacing w:before="120" w:after="120" w:line="360" w:lineRule="auto"/>
        <w:contextualSpacing w:val="0"/>
        <w:rPr>
          <w:rFonts w:ascii="Arial" w:hAnsi="Arial" w:cs="Arial"/>
          <w:lang w:val="sq-AL"/>
        </w:rPr>
      </w:pPr>
      <w:r w:rsidRPr="002A6F4E">
        <w:rPr>
          <w:rFonts w:ascii="Arial" w:hAnsi="Arial" w:cs="Arial"/>
          <w:lang w:val="sq-AL"/>
        </w:rPr>
        <w:t>Potreba za uspostavljanjem programa odvojenog sakupljanja biorazgradivog otpada;</w:t>
      </w:r>
    </w:p>
    <w:p w14:paraId="49B93854" w14:textId="22960485" w:rsidR="00C232D7" w:rsidRPr="002A6F4E" w:rsidRDefault="00C232D7" w:rsidP="00A23ED0">
      <w:pPr>
        <w:pStyle w:val="ListParagraph"/>
        <w:numPr>
          <w:ilvl w:val="0"/>
          <w:numId w:val="58"/>
        </w:numPr>
        <w:spacing w:before="120" w:after="120" w:line="360" w:lineRule="auto"/>
        <w:contextualSpacing w:val="0"/>
        <w:rPr>
          <w:rFonts w:ascii="Arial" w:hAnsi="Arial" w:cs="Arial"/>
          <w:lang w:val="sq-AL"/>
        </w:rPr>
      </w:pPr>
      <w:r w:rsidRPr="002A6F4E">
        <w:rPr>
          <w:rFonts w:ascii="Arial" w:hAnsi="Arial" w:cs="Arial"/>
          <w:lang w:val="sq-AL"/>
        </w:rPr>
        <w:t>Potreba za integracijom neformalnog sektora</w:t>
      </w:r>
      <w:r w:rsidR="0011591F">
        <w:rPr>
          <w:rFonts w:ascii="Arial" w:hAnsi="Arial" w:cs="Arial"/>
          <w:lang w:val="sq-AL"/>
        </w:rPr>
        <w:t>.</w:t>
      </w:r>
    </w:p>
    <w:p w14:paraId="61B2B878" w14:textId="105AC83A" w:rsidR="00C232D7" w:rsidRPr="002A6F4E" w:rsidRDefault="00C232D7" w:rsidP="00C232D7">
      <w:pPr>
        <w:spacing w:before="120" w:after="120" w:line="360" w:lineRule="auto"/>
        <w:rPr>
          <w:rFonts w:ascii="Arial" w:hAnsi="Arial" w:cs="Arial"/>
          <w:bCs/>
          <w:lang w:val="sq-AL"/>
        </w:rPr>
      </w:pPr>
      <w:r w:rsidRPr="002A6F4E">
        <w:rPr>
          <w:rFonts w:ascii="Arial" w:hAnsi="Arial" w:cs="Arial"/>
          <w:bCs/>
          <w:lang w:val="sq-AL"/>
        </w:rPr>
        <w:t>Glavni ciljevi za ponovn</w:t>
      </w:r>
      <w:r w:rsidR="00974F55">
        <w:rPr>
          <w:rFonts w:ascii="Arial" w:hAnsi="Arial" w:cs="Arial"/>
          <w:bCs/>
          <w:lang w:val="sq-AL"/>
        </w:rPr>
        <w:t>u upotrebu</w:t>
      </w:r>
      <w:r w:rsidRPr="002A6F4E">
        <w:rPr>
          <w:rFonts w:ascii="Arial" w:hAnsi="Arial" w:cs="Arial"/>
          <w:bCs/>
          <w:lang w:val="sq-AL"/>
        </w:rPr>
        <w:t>/recikl</w:t>
      </w:r>
      <w:r w:rsidR="00974F55">
        <w:rPr>
          <w:rFonts w:ascii="Arial" w:hAnsi="Arial" w:cs="Arial"/>
          <w:bCs/>
          <w:lang w:val="sq-AL"/>
        </w:rPr>
        <w:t>iranje</w:t>
      </w:r>
      <w:r w:rsidRPr="002A6F4E">
        <w:rPr>
          <w:rFonts w:ascii="Arial" w:hAnsi="Arial" w:cs="Arial"/>
          <w:bCs/>
          <w:lang w:val="sq-AL"/>
        </w:rPr>
        <w:t xml:space="preserve"> komunalnog otpada prikazani su u sljedećoj tabeli, prema zakonodavstvu</w:t>
      </w:r>
      <w:r w:rsidR="00974F55">
        <w:rPr>
          <w:rFonts w:ascii="Arial" w:hAnsi="Arial" w:cs="Arial"/>
          <w:bCs/>
          <w:lang w:val="sq-AL"/>
        </w:rPr>
        <w:t xml:space="preserve"> Crne Gore</w:t>
      </w:r>
      <w:r w:rsidRPr="002A6F4E">
        <w:rPr>
          <w:rFonts w:ascii="Arial" w:hAnsi="Arial" w:cs="Arial"/>
          <w:bCs/>
          <w:lang w:val="sq-AL"/>
        </w:rPr>
        <w:t>.</w:t>
      </w:r>
    </w:p>
    <w:p w14:paraId="79B45A80" w14:textId="36A7E643" w:rsidR="00C232D7" w:rsidRDefault="00C232D7" w:rsidP="00C149AB">
      <w:pPr>
        <w:spacing w:before="120" w:after="120" w:line="360" w:lineRule="auto"/>
        <w:rPr>
          <w:rFonts w:ascii="Arial" w:hAnsi="Arial" w:cs="Arial"/>
          <w:bCs/>
          <w:lang w:val="sq-AL"/>
        </w:rPr>
      </w:pPr>
      <w:r w:rsidRPr="002A6F4E">
        <w:rPr>
          <w:rFonts w:ascii="Arial" w:hAnsi="Arial" w:cs="Arial"/>
          <w:bCs/>
          <w:lang w:val="sq-AL"/>
        </w:rPr>
        <w:t>Pored toga, u sljedećoj tabeli su predstavljeni ciljevi u vezi sa ponovn</w:t>
      </w:r>
      <w:r w:rsidR="00974F55">
        <w:rPr>
          <w:rFonts w:ascii="Arial" w:hAnsi="Arial" w:cs="Arial"/>
          <w:bCs/>
          <w:lang w:val="sq-AL"/>
        </w:rPr>
        <w:t>om upotrebom</w:t>
      </w:r>
      <w:r w:rsidRPr="002A6F4E">
        <w:rPr>
          <w:rFonts w:ascii="Arial" w:hAnsi="Arial" w:cs="Arial"/>
          <w:bCs/>
          <w:lang w:val="sq-AL"/>
        </w:rPr>
        <w:t xml:space="preserve"> /recikliranjem komunalnog otpada, kako bi </w:t>
      </w:r>
      <w:r w:rsidR="0011591F">
        <w:rPr>
          <w:rFonts w:ascii="Arial" w:hAnsi="Arial" w:cs="Arial"/>
          <w:bCs/>
          <w:lang w:val="sq-AL"/>
        </w:rPr>
        <w:t>I</w:t>
      </w:r>
      <w:r w:rsidRPr="002A6F4E">
        <w:rPr>
          <w:rFonts w:ascii="Arial" w:hAnsi="Arial" w:cs="Arial"/>
          <w:bCs/>
          <w:lang w:val="sq-AL"/>
        </w:rPr>
        <w:t xml:space="preserve">) olakšali postizanje ciljeva uključenih u pravni okvir i </w:t>
      </w:r>
      <w:r w:rsidR="0011591F">
        <w:rPr>
          <w:rFonts w:ascii="Arial" w:hAnsi="Arial" w:cs="Arial"/>
          <w:bCs/>
          <w:lang w:val="sq-AL"/>
        </w:rPr>
        <w:t>II</w:t>
      </w:r>
      <w:r w:rsidRPr="002A6F4E">
        <w:rPr>
          <w:rFonts w:ascii="Arial" w:hAnsi="Arial" w:cs="Arial"/>
          <w:bCs/>
          <w:lang w:val="sq-AL"/>
        </w:rPr>
        <w:t>) približili zemlju odredbama paketa cirkularne</w:t>
      </w:r>
      <w:r w:rsidR="00C149AB">
        <w:rPr>
          <w:rFonts w:ascii="Arial" w:hAnsi="Arial" w:cs="Arial"/>
          <w:bCs/>
          <w:lang w:val="sq-AL"/>
        </w:rPr>
        <w:t xml:space="preserve"> ekonomije koji je usvojila EU.</w:t>
      </w:r>
    </w:p>
    <w:p w14:paraId="24CF57D2" w14:textId="77777777" w:rsidR="00D33BB9" w:rsidRDefault="00D33BB9" w:rsidP="00C149AB">
      <w:pPr>
        <w:spacing w:before="120" w:after="120" w:line="360" w:lineRule="auto"/>
        <w:rPr>
          <w:rFonts w:ascii="Arial" w:hAnsi="Arial" w:cs="Arial"/>
          <w:bCs/>
          <w:lang w:val="sq-AL"/>
        </w:rPr>
      </w:pPr>
    </w:p>
    <w:p w14:paraId="4168CCAF" w14:textId="77777777" w:rsidR="00D33BB9" w:rsidRDefault="00D33BB9" w:rsidP="00C149AB">
      <w:pPr>
        <w:spacing w:before="120" w:after="120" w:line="360" w:lineRule="auto"/>
        <w:rPr>
          <w:rFonts w:ascii="Arial" w:hAnsi="Arial" w:cs="Arial"/>
          <w:bCs/>
          <w:lang w:val="sq-AL"/>
        </w:rPr>
      </w:pPr>
    </w:p>
    <w:p w14:paraId="6C8134A8" w14:textId="77777777" w:rsidR="00D33BB9" w:rsidRDefault="00D33BB9" w:rsidP="00C149AB">
      <w:pPr>
        <w:spacing w:before="120" w:after="120" w:line="360" w:lineRule="auto"/>
        <w:rPr>
          <w:rFonts w:ascii="Arial" w:hAnsi="Arial" w:cs="Arial"/>
          <w:bCs/>
          <w:lang w:val="sq-AL"/>
        </w:rPr>
      </w:pPr>
    </w:p>
    <w:p w14:paraId="33CDFE21" w14:textId="77777777" w:rsidR="00D33BB9" w:rsidRDefault="00D33BB9" w:rsidP="00C149AB">
      <w:pPr>
        <w:spacing w:before="120" w:after="120" w:line="360" w:lineRule="auto"/>
        <w:rPr>
          <w:rFonts w:ascii="Arial" w:hAnsi="Arial" w:cs="Arial"/>
          <w:bCs/>
          <w:lang w:val="sq-AL"/>
        </w:rPr>
      </w:pPr>
    </w:p>
    <w:p w14:paraId="009AFD73" w14:textId="77777777" w:rsidR="00D33BB9" w:rsidRDefault="00D33BB9" w:rsidP="00C149AB">
      <w:pPr>
        <w:spacing w:before="120" w:after="120" w:line="360" w:lineRule="auto"/>
        <w:rPr>
          <w:rFonts w:ascii="Arial" w:hAnsi="Arial" w:cs="Arial"/>
          <w:bCs/>
          <w:lang w:val="sq-AL"/>
        </w:rPr>
      </w:pPr>
    </w:p>
    <w:p w14:paraId="54F9E6DD" w14:textId="77777777" w:rsidR="00D33BB9" w:rsidRDefault="00D33BB9" w:rsidP="00C149AB">
      <w:pPr>
        <w:spacing w:before="120" w:after="120" w:line="360" w:lineRule="auto"/>
        <w:rPr>
          <w:rFonts w:ascii="Arial" w:hAnsi="Arial" w:cs="Arial"/>
          <w:bCs/>
          <w:lang w:val="sq-AL"/>
        </w:rPr>
      </w:pPr>
    </w:p>
    <w:p w14:paraId="121A8E12" w14:textId="77777777" w:rsidR="00D33BB9" w:rsidRDefault="00D33BB9" w:rsidP="00C149AB">
      <w:pPr>
        <w:spacing w:before="120" w:after="120" w:line="360" w:lineRule="auto"/>
        <w:rPr>
          <w:rFonts w:ascii="Arial" w:hAnsi="Arial" w:cs="Arial"/>
          <w:bCs/>
          <w:lang w:val="sq-AL"/>
        </w:rPr>
      </w:pPr>
    </w:p>
    <w:p w14:paraId="1FC9090E" w14:textId="77777777" w:rsidR="00D33BB9" w:rsidRDefault="00D33BB9" w:rsidP="00C149AB">
      <w:pPr>
        <w:spacing w:before="120" w:after="120" w:line="360" w:lineRule="auto"/>
        <w:rPr>
          <w:rFonts w:ascii="Arial" w:hAnsi="Arial" w:cs="Arial"/>
          <w:bCs/>
          <w:lang w:val="sq-AL"/>
        </w:rPr>
      </w:pPr>
    </w:p>
    <w:p w14:paraId="7E6D209E" w14:textId="77777777" w:rsidR="00D33BB9" w:rsidRDefault="00D33BB9" w:rsidP="00C149AB">
      <w:pPr>
        <w:spacing w:before="120" w:after="120" w:line="360" w:lineRule="auto"/>
        <w:rPr>
          <w:rFonts w:ascii="Arial" w:hAnsi="Arial" w:cs="Arial"/>
          <w:bCs/>
          <w:lang w:val="sq-AL"/>
        </w:rPr>
      </w:pPr>
    </w:p>
    <w:p w14:paraId="3B8958FE" w14:textId="77777777" w:rsidR="00D33BB9" w:rsidRPr="00C149AB" w:rsidRDefault="00D33BB9" w:rsidP="00C149AB">
      <w:pPr>
        <w:spacing w:before="120" w:after="120" w:line="360" w:lineRule="auto"/>
        <w:rPr>
          <w:rFonts w:ascii="Arial" w:hAnsi="Arial" w:cs="Arial"/>
          <w:bCs/>
          <w:lang w:val="sq-AL"/>
        </w:rPr>
      </w:pPr>
    </w:p>
    <w:p w14:paraId="1700D265" w14:textId="528CCEEB" w:rsidR="00C232D7" w:rsidRPr="00C149AB" w:rsidRDefault="00C232D7" w:rsidP="00C232D7">
      <w:pPr>
        <w:pStyle w:val="Caption"/>
        <w:rPr>
          <w:rFonts w:ascii="Arial" w:hAnsi="Arial" w:cs="Arial"/>
          <w:b w:val="0"/>
          <w:szCs w:val="20"/>
          <w:lang w:val="sq-AL"/>
        </w:rPr>
      </w:pPr>
      <w:bookmarkStart w:id="1186" w:name="_Toc189515671"/>
      <w:bookmarkStart w:id="1187" w:name="_Toc190160789"/>
      <w:r w:rsidRPr="00C149AB">
        <w:rPr>
          <w:rFonts w:ascii="Arial" w:hAnsi="Arial" w:cs="Arial"/>
          <w:b w:val="0"/>
          <w:szCs w:val="20"/>
          <w:lang w:val="sq-AL"/>
        </w:rPr>
        <w:lastRenderedPageBreak/>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94</w:t>
      </w:r>
      <w:r w:rsidRPr="00C149AB">
        <w:rPr>
          <w:rFonts w:ascii="Arial" w:hAnsi="Arial" w:cs="Arial"/>
          <w:b w:val="0"/>
          <w:szCs w:val="20"/>
        </w:rPr>
        <w:fldChar w:fldCharType="end"/>
      </w:r>
      <w:r w:rsidRPr="00C149AB">
        <w:rPr>
          <w:rFonts w:ascii="Arial" w:hAnsi="Arial" w:cs="Arial"/>
          <w:b w:val="0"/>
          <w:szCs w:val="20"/>
          <w:lang w:val="sq-AL"/>
        </w:rPr>
        <w:t xml:space="preserve"> Ciljevi ponovne upotrebe/recikliranja komunalnog otpada usvojeni DPUO 2025-2029.</w:t>
      </w:r>
      <w:bookmarkEnd w:id="1186"/>
      <w:bookmarkEnd w:id="1187"/>
      <w:r w:rsidR="00214F96" w:rsidRPr="00C149AB">
        <w:rPr>
          <w:rFonts w:ascii="Arial" w:hAnsi="Arial" w:cs="Arial"/>
          <w:b w:val="0"/>
          <w:szCs w:val="20"/>
          <w:lang w:val="sq-AL"/>
        </w:rPr>
        <w:t xml:space="preserve"> godina</w:t>
      </w:r>
    </w:p>
    <w:tbl>
      <w:tblPr>
        <w:tblW w:w="9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4053"/>
        <w:gridCol w:w="1366"/>
        <w:gridCol w:w="2002"/>
      </w:tblGrid>
      <w:tr w:rsidR="00C232D7" w:rsidRPr="00C149AB" w14:paraId="383F2063" w14:textId="77777777" w:rsidTr="00C232D7">
        <w:trPr>
          <w:trHeight w:val="395"/>
          <w:tblHeader/>
          <w:jc w:val="center"/>
        </w:trPr>
        <w:tc>
          <w:tcPr>
            <w:tcW w:w="2321" w:type="dxa"/>
            <w:shd w:val="clear" w:color="auto" w:fill="F2F2F2" w:themeFill="background1" w:themeFillShade="F2"/>
            <w:noWrap/>
            <w:vAlign w:val="center"/>
          </w:tcPr>
          <w:p w14:paraId="159423C4" w14:textId="77777777" w:rsidR="00C232D7" w:rsidRPr="00C149AB" w:rsidRDefault="00C232D7" w:rsidP="00C232D7">
            <w:pPr>
              <w:spacing w:before="60" w:after="60" w:line="360" w:lineRule="auto"/>
              <w:rPr>
                <w:rFonts w:ascii="Arial" w:hAnsi="Arial" w:cs="Arial"/>
                <w:b/>
                <w:bCs/>
                <w:sz w:val="18"/>
                <w:lang w:val="sq-AL"/>
              </w:rPr>
            </w:pPr>
            <w:bookmarkStart w:id="1188" w:name="_Hlk118115223"/>
            <w:r w:rsidRPr="00C149AB">
              <w:rPr>
                <w:rFonts w:ascii="Arial" w:hAnsi="Arial" w:cs="Arial"/>
                <w:b/>
                <w:bCs/>
                <w:sz w:val="18"/>
                <w:lang w:val="sq-AL"/>
              </w:rPr>
              <w:t>Vrsta otpada</w:t>
            </w:r>
          </w:p>
        </w:tc>
        <w:tc>
          <w:tcPr>
            <w:tcW w:w="4053" w:type="dxa"/>
            <w:shd w:val="clear" w:color="auto" w:fill="F2F2F2" w:themeFill="background1" w:themeFillShade="F2"/>
            <w:noWrap/>
            <w:vAlign w:val="center"/>
          </w:tcPr>
          <w:p w14:paraId="6F2CDD15" w14:textId="7B5D12B1"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Opi</w:t>
            </w:r>
            <w:r w:rsidR="00CE41F3" w:rsidRPr="00C149AB">
              <w:rPr>
                <w:rFonts w:ascii="Arial" w:hAnsi="Arial" w:cs="Arial"/>
                <w:b/>
                <w:bCs/>
                <w:sz w:val="18"/>
                <w:lang w:val="sq-AL"/>
              </w:rPr>
              <w:t>s</w:t>
            </w:r>
            <w:r w:rsidRPr="00C149AB">
              <w:rPr>
                <w:rFonts w:ascii="Arial" w:hAnsi="Arial" w:cs="Arial"/>
                <w:b/>
                <w:bCs/>
                <w:sz w:val="18"/>
                <w:lang w:val="sq-AL"/>
              </w:rPr>
              <w:t xml:space="preserve"> </w:t>
            </w:r>
            <w:r w:rsidR="00CE41F3" w:rsidRPr="00C149AB">
              <w:rPr>
                <w:rFonts w:ascii="Arial" w:hAnsi="Arial" w:cs="Arial"/>
                <w:b/>
                <w:bCs/>
                <w:sz w:val="18"/>
                <w:lang w:val="sq-AL"/>
              </w:rPr>
              <w:t>c</w:t>
            </w:r>
            <w:r w:rsidRPr="00C149AB">
              <w:rPr>
                <w:rFonts w:ascii="Arial" w:hAnsi="Arial" w:cs="Arial"/>
                <w:b/>
                <w:bCs/>
                <w:sz w:val="18"/>
                <w:lang w:val="sq-AL"/>
              </w:rPr>
              <w:t>ilja</w:t>
            </w:r>
          </w:p>
        </w:tc>
        <w:tc>
          <w:tcPr>
            <w:tcW w:w="1366" w:type="dxa"/>
            <w:shd w:val="clear" w:color="auto" w:fill="F2F2F2" w:themeFill="background1" w:themeFillShade="F2"/>
            <w:vAlign w:val="center"/>
          </w:tcPr>
          <w:p w14:paraId="272A6864" w14:textId="77777777"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Ciljna godina</w:t>
            </w:r>
          </w:p>
        </w:tc>
        <w:tc>
          <w:tcPr>
            <w:tcW w:w="2002" w:type="dxa"/>
            <w:shd w:val="clear" w:color="auto" w:fill="F2F2F2" w:themeFill="background1" w:themeFillShade="F2"/>
            <w:vAlign w:val="center"/>
          </w:tcPr>
          <w:p w14:paraId="20F37E40" w14:textId="77777777"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Komentar</w:t>
            </w:r>
          </w:p>
        </w:tc>
      </w:tr>
      <w:tr w:rsidR="00C232D7" w:rsidRPr="0014164F" w14:paraId="03819484" w14:textId="77777777" w:rsidTr="00C232D7">
        <w:trPr>
          <w:trHeight w:val="300"/>
          <w:jc w:val="center"/>
        </w:trPr>
        <w:tc>
          <w:tcPr>
            <w:tcW w:w="2321" w:type="dxa"/>
            <w:shd w:val="clear" w:color="auto" w:fill="auto"/>
            <w:noWrap/>
            <w:vAlign w:val="center"/>
          </w:tcPr>
          <w:p w14:paraId="68CA4636"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Komunalni otpad</w:t>
            </w:r>
          </w:p>
          <w:p w14:paraId="32F47410" w14:textId="77777777" w:rsidR="00C232D7" w:rsidRPr="00C149AB" w:rsidRDefault="00C232D7" w:rsidP="00C232D7">
            <w:pPr>
              <w:spacing w:before="60" w:after="60" w:line="360" w:lineRule="auto"/>
              <w:rPr>
                <w:rFonts w:ascii="Arial" w:hAnsi="Arial" w:cs="Arial"/>
                <w:sz w:val="18"/>
                <w:lang w:val="sq-AL"/>
              </w:rPr>
            </w:pPr>
          </w:p>
        </w:tc>
        <w:tc>
          <w:tcPr>
            <w:tcW w:w="4053" w:type="dxa"/>
            <w:shd w:val="clear" w:color="auto" w:fill="auto"/>
            <w:noWrap/>
            <w:vAlign w:val="center"/>
          </w:tcPr>
          <w:p w14:paraId="6715599C"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Najmanje 50% otpadnih materijala, kao što su papir, metal, plastika i staklo, iz domaćinstava i drugih izvora u kojima su tokovi otpada slični tokovima kućnog otpada, treba pripremiti za ponovnu upotrebu i reciklažu</w:t>
            </w:r>
          </w:p>
        </w:tc>
        <w:tc>
          <w:tcPr>
            <w:tcW w:w="1366" w:type="dxa"/>
            <w:shd w:val="clear" w:color="auto" w:fill="auto"/>
          </w:tcPr>
          <w:p w14:paraId="391BA0AC" w14:textId="77777777" w:rsidR="00C232D7" w:rsidRPr="00C149AB" w:rsidRDefault="00C232D7" w:rsidP="00C232D7">
            <w:pPr>
              <w:spacing w:before="60" w:after="60" w:line="360" w:lineRule="auto"/>
              <w:rPr>
                <w:rFonts w:ascii="Arial" w:hAnsi="Arial" w:cs="Arial"/>
                <w:sz w:val="18"/>
                <w:lang w:val="sq-AL"/>
              </w:rPr>
            </w:pPr>
          </w:p>
          <w:p w14:paraId="73EFA8A5"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2030</w:t>
            </w:r>
          </w:p>
          <w:p w14:paraId="4C25AAB1" w14:textId="77777777" w:rsidR="00C232D7" w:rsidRPr="00C149AB" w:rsidRDefault="00C232D7" w:rsidP="00C232D7">
            <w:pPr>
              <w:spacing w:before="60" w:after="60" w:line="360" w:lineRule="auto"/>
              <w:rPr>
                <w:rFonts w:ascii="Arial" w:hAnsi="Arial" w:cs="Arial"/>
                <w:sz w:val="18"/>
                <w:lang w:val="sq-AL"/>
              </w:rPr>
            </w:pPr>
          </w:p>
          <w:p w14:paraId="5C121FBE" w14:textId="77777777" w:rsidR="00C232D7" w:rsidRPr="00C149AB" w:rsidRDefault="00C232D7" w:rsidP="00C232D7">
            <w:pPr>
              <w:spacing w:before="60" w:after="60" w:line="360" w:lineRule="auto"/>
              <w:rPr>
                <w:rFonts w:ascii="Arial" w:hAnsi="Arial" w:cs="Arial"/>
                <w:sz w:val="18"/>
                <w:lang w:val="sq-AL"/>
              </w:rPr>
            </w:pPr>
          </w:p>
          <w:p w14:paraId="3E5894E4" w14:textId="77777777" w:rsidR="00C232D7" w:rsidRPr="00C149AB" w:rsidRDefault="00C232D7" w:rsidP="00C232D7">
            <w:pPr>
              <w:spacing w:before="60" w:after="60" w:line="360" w:lineRule="auto"/>
              <w:rPr>
                <w:rFonts w:ascii="Arial" w:hAnsi="Arial" w:cs="Arial"/>
                <w:sz w:val="18"/>
                <w:lang w:val="sq-AL"/>
              </w:rPr>
            </w:pPr>
          </w:p>
          <w:p w14:paraId="6754B2A3" w14:textId="77777777" w:rsidR="00C232D7" w:rsidRPr="00C149AB" w:rsidRDefault="00C232D7" w:rsidP="00C232D7">
            <w:pPr>
              <w:spacing w:before="60" w:after="60" w:line="360" w:lineRule="auto"/>
              <w:rPr>
                <w:rFonts w:ascii="Arial" w:hAnsi="Arial" w:cs="Arial"/>
                <w:sz w:val="18"/>
                <w:lang w:val="sq-AL"/>
              </w:rPr>
            </w:pPr>
          </w:p>
          <w:p w14:paraId="3755FFD1" w14:textId="77777777" w:rsidR="00C232D7" w:rsidRPr="00C149AB" w:rsidRDefault="00C232D7" w:rsidP="00C232D7">
            <w:pPr>
              <w:spacing w:before="60" w:after="60" w:line="360" w:lineRule="auto"/>
              <w:rPr>
                <w:rFonts w:ascii="Arial" w:hAnsi="Arial" w:cs="Arial"/>
                <w:sz w:val="18"/>
                <w:lang w:val="sq-AL"/>
              </w:rPr>
            </w:pPr>
          </w:p>
          <w:p w14:paraId="7943BE47" w14:textId="77777777" w:rsidR="00C232D7" w:rsidRPr="00C149AB" w:rsidRDefault="00C232D7" w:rsidP="00C232D7">
            <w:pPr>
              <w:spacing w:before="60" w:after="60" w:line="360" w:lineRule="auto"/>
              <w:rPr>
                <w:rFonts w:ascii="Arial" w:hAnsi="Arial" w:cs="Arial"/>
                <w:sz w:val="18"/>
                <w:lang w:val="sq-AL"/>
              </w:rPr>
            </w:pPr>
          </w:p>
          <w:p w14:paraId="36E7A354" w14:textId="77777777" w:rsidR="00C232D7" w:rsidRPr="00C149AB" w:rsidRDefault="00C232D7" w:rsidP="00C232D7">
            <w:pPr>
              <w:spacing w:before="60" w:after="60" w:line="360" w:lineRule="auto"/>
              <w:rPr>
                <w:rFonts w:ascii="Arial" w:hAnsi="Arial" w:cs="Arial"/>
                <w:sz w:val="18"/>
                <w:lang w:val="sq-AL"/>
              </w:rPr>
            </w:pPr>
          </w:p>
        </w:tc>
        <w:tc>
          <w:tcPr>
            <w:tcW w:w="2002" w:type="dxa"/>
            <w:shd w:val="clear" w:color="auto" w:fill="auto"/>
          </w:tcPr>
          <w:p w14:paraId="6F7198F7" w14:textId="59CDDB42"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 xml:space="preserve">Prema čl. 21 Zakona o upravljanju otpadom </w:t>
            </w:r>
          </w:p>
          <w:p w14:paraId="7406388F" w14:textId="77777777" w:rsidR="00C232D7" w:rsidRPr="00C149AB" w:rsidRDefault="00C232D7" w:rsidP="00C232D7">
            <w:pPr>
              <w:spacing w:before="60" w:after="60" w:line="360" w:lineRule="auto"/>
              <w:rPr>
                <w:rFonts w:ascii="Arial" w:hAnsi="Arial" w:cs="Arial"/>
                <w:sz w:val="18"/>
                <w:lang w:val="sq-AL"/>
              </w:rPr>
            </w:pPr>
          </w:p>
          <w:p w14:paraId="2DB4B778" w14:textId="77777777" w:rsidR="00C232D7" w:rsidRPr="00C149AB" w:rsidRDefault="00C232D7" w:rsidP="00C232D7">
            <w:pPr>
              <w:spacing w:before="60" w:after="60" w:line="360" w:lineRule="auto"/>
              <w:rPr>
                <w:rFonts w:ascii="Arial" w:hAnsi="Arial" w:cs="Arial"/>
                <w:sz w:val="18"/>
                <w:lang w:val="sq-AL"/>
              </w:rPr>
            </w:pPr>
          </w:p>
          <w:p w14:paraId="08EF3144" w14:textId="77777777" w:rsidR="00C232D7" w:rsidRPr="00C149AB" w:rsidRDefault="00C232D7" w:rsidP="00C232D7">
            <w:pPr>
              <w:spacing w:before="60" w:after="60" w:line="360" w:lineRule="auto"/>
              <w:rPr>
                <w:rFonts w:ascii="Arial" w:hAnsi="Arial" w:cs="Arial"/>
                <w:sz w:val="18"/>
                <w:lang w:val="sq-AL"/>
              </w:rPr>
            </w:pPr>
          </w:p>
          <w:p w14:paraId="5B41B9CB" w14:textId="77777777" w:rsidR="00C232D7" w:rsidRPr="00C149AB" w:rsidRDefault="00C232D7" w:rsidP="00C232D7">
            <w:pPr>
              <w:spacing w:before="60" w:after="60" w:line="360" w:lineRule="auto"/>
              <w:rPr>
                <w:rFonts w:ascii="Arial" w:hAnsi="Arial" w:cs="Arial"/>
                <w:sz w:val="18"/>
                <w:lang w:val="sq-AL"/>
              </w:rPr>
            </w:pPr>
          </w:p>
        </w:tc>
      </w:tr>
      <w:tr w:rsidR="00C232D7" w:rsidRPr="0014164F" w14:paraId="289917BD" w14:textId="77777777" w:rsidTr="00C232D7">
        <w:trPr>
          <w:trHeight w:val="300"/>
          <w:jc w:val="center"/>
        </w:trPr>
        <w:tc>
          <w:tcPr>
            <w:tcW w:w="2321" w:type="dxa"/>
            <w:shd w:val="clear" w:color="auto" w:fill="auto"/>
            <w:noWrap/>
            <w:vAlign w:val="center"/>
          </w:tcPr>
          <w:p w14:paraId="1D2B316B"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Ambalažni otpad</w:t>
            </w:r>
          </w:p>
          <w:p w14:paraId="1D13A8D2" w14:textId="77777777" w:rsidR="00C232D7" w:rsidRPr="00C149AB" w:rsidRDefault="00C232D7" w:rsidP="00C232D7">
            <w:pPr>
              <w:spacing w:before="60" w:after="60" w:line="360" w:lineRule="auto"/>
              <w:rPr>
                <w:rFonts w:ascii="Arial" w:hAnsi="Arial" w:cs="Arial"/>
                <w:sz w:val="18"/>
                <w:lang w:val="sq-AL"/>
              </w:rPr>
            </w:pPr>
          </w:p>
        </w:tc>
        <w:tc>
          <w:tcPr>
            <w:tcW w:w="4053" w:type="dxa"/>
            <w:shd w:val="clear" w:color="auto" w:fill="auto"/>
            <w:noWrap/>
            <w:vAlign w:val="center"/>
          </w:tcPr>
          <w:p w14:paraId="164036B1"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 xml:space="preserve">Reciklirano 35% mase ambalažnog otpada </w:t>
            </w:r>
          </w:p>
          <w:p w14:paraId="387ED2D5"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Recikliranje 40% mase staklene ambalaže</w:t>
            </w:r>
          </w:p>
          <w:p w14:paraId="746B077F"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Recikliranje 40% mase papirne i kartonske ambalaže</w:t>
            </w:r>
          </w:p>
          <w:p w14:paraId="490B9656"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Recikliranje 50% mase metalne ambalaže</w:t>
            </w:r>
          </w:p>
          <w:p w14:paraId="5C933D2E"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Recikliranje 22,5% mase plastične ambalaže</w:t>
            </w:r>
          </w:p>
          <w:p w14:paraId="179EE2AF"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Recikliranje 10% drvne mase</w:t>
            </w:r>
          </w:p>
          <w:p w14:paraId="456B064D" w14:textId="77777777" w:rsidR="00C232D7" w:rsidRPr="00C149AB" w:rsidRDefault="00C232D7" w:rsidP="00C232D7">
            <w:pPr>
              <w:spacing w:before="60" w:after="60" w:line="360" w:lineRule="auto"/>
              <w:rPr>
                <w:rFonts w:ascii="Arial" w:hAnsi="Arial" w:cs="Arial"/>
                <w:sz w:val="18"/>
                <w:lang w:val="sq-AL"/>
              </w:rPr>
            </w:pPr>
          </w:p>
        </w:tc>
        <w:tc>
          <w:tcPr>
            <w:tcW w:w="1366" w:type="dxa"/>
            <w:shd w:val="clear" w:color="auto" w:fill="auto"/>
          </w:tcPr>
          <w:p w14:paraId="35DD90B0"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2030</w:t>
            </w:r>
          </w:p>
          <w:p w14:paraId="10048C2D" w14:textId="77777777" w:rsidR="00C232D7" w:rsidRPr="00C149AB" w:rsidRDefault="00C232D7" w:rsidP="00C232D7">
            <w:pPr>
              <w:spacing w:before="60" w:after="60" w:line="360" w:lineRule="auto"/>
              <w:rPr>
                <w:rFonts w:ascii="Arial" w:hAnsi="Arial" w:cs="Arial"/>
                <w:sz w:val="18"/>
                <w:lang w:val="sq-AL"/>
              </w:rPr>
            </w:pPr>
          </w:p>
          <w:p w14:paraId="198264D4" w14:textId="77777777" w:rsidR="00C232D7" w:rsidRPr="00C149AB" w:rsidRDefault="00C232D7" w:rsidP="00C232D7">
            <w:pPr>
              <w:spacing w:before="60" w:after="60" w:line="360" w:lineRule="auto"/>
              <w:rPr>
                <w:rFonts w:ascii="Arial" w:hAnsi="Arial" w:cs="Arial"/>
                <w:sz w:val="18"/>
                <w:lang w:val="sq-AL"/>
              </w:rPr>
            </w:pPr>
          </w:p>
          <w:p w14:paraId="3A62E19F"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br/>
            </w:r>
          </w:p>
          <w:p w14:paraId="7E766AF9"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br/>
            </w:r>
          </w:p>
          <w:p w14:paraId="1FF2C6F9"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br/>
            </w:r>
          </w:p>
          <w:p w14:paraId="3FC80351" w14:textId="77777777" w:rsidR="00C232D7" w:rsidRPr="00C149AB" w:rsidRDefault="00C232D7" w:rsidP="00C232D7">
            <w:pPr>
              <w:spacing w:before="60" w:after="60" w:line="360" w:lineRule="auto"/>
              <w:rPr>
                <w:rFonts w:ascii="Arial" w:hAnsi="Arial" w:cs="Arial"/>
                <w:sz w:val="18"/>
                <w:lang w:val="sq-AL"/>
              </w:rPr>
            </w:pPr>
          </w:p>
        </w:tc>
        <w:tc>
          <w:tcPr>
            <w:tcW w:w="2002" w:type="dxa"/>
            <w:shd w:val="clear" w:color="auto" w:fill="auto"/>
          </w:tcPr>
          <w:p w14:paraId="7734117D" w14:textId="78809181"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Prema čl. 62 Zakona o upravljanju otpadom</w:t>
            </w:r>
          </w:p>
          <w:p w14:paraId="238FEB29" w14:textId="77777777" w:rsidR="00C232D7" w:rsidRPr="00C149AB" w:rsidRDefault="00C232D7" w:rsidP="00C232D7">
            <w:pPr>
              <w:spacing w:before="60" w:after="60" w:line="360" w:lineRule="auto"/>
              <w:rPr>
                <w:rFonts w:ascii="Arial" w:hAnsi="Arial" w:cs="Arial"/>
                <w:sz w:val="18"/>
                <w:lang w:val="sq-AL"/>
              </w:rPr>
            </w:pPr>
          </w:p>
          <w:p w14:paraId="633D5C62" w14:textId="77777777" w:rsidR="00C232D7" w:rsidRPr="00C149AB" w:rsidRDefault="00C232D7" w:rsidP="00C232D7">
            <w:pPr>
              <w:spacing w:before="60" w:after="60" w:line="360" w:lineRule="auto"/>
              <w:rPr>
                <w:rFonts w:ascii="Arial" w:hAnsi="Arial" w:cs="Arial"/>
                <w:sz w:val="18"/>
                <w:lang w:val="sq-AL"/>
              </w:rPr>
            </w:pPr>
          </w:p>
          <w:p w14:paraId="440E094C" w14:textId="77777777" w:rsidR="00C232D7" w:rsidRPr="00C149AB" w:rsidRDefault="00C232D7" w:rsidP="00C232D7">
            <w:pPr>
              <w:spacing w:before="60" w:after="60" w:line="360" w:lineRule="auto"/>
              <w:rPr>
                <w:rFonts w:ascii="Arial" w:hAnsi="Arial" w:cs="Arial"/>
                <w:sz w:val="18"/>
                <w:lang w:val="sq-AL"/>
              </w:rPr>
            </w:pPr>
          </w:p>
          <w:p w14:paraId="69877F73"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br/>
            </w:r>
          </w:p>
          <w:p w14:paraId="0E314CA0" w14:textId="77777777" w:rsidR="00C232D7" w:rsidRPr="00C149AB" w:rsidRDefault="00C232D7" w:rsidP="00C232D7">
            <w:pPr>
              <w:spacing w:before="60" w:after="60" w:line="360" w:lineRule="auto"/>
              <w:rPr>
                <w:rFonts w:ascii="Arial" w:hAnsi="Arial" w:cs="Arial"/>
                <w:sz w:val="18"/>
                <w:lang w:val="sq-AL"/>
              </w:rPr>
            </w:pPr>
          </w:p>
          <w:p w14:paraId="1455548B" w14:textId="77777777" w:rsidR="00C232D7" w:rsidRPr="00C149AB" w:rsidRDefault="00C232D7" w:rsidP="00C232D7">
            <w:pPr>
              <w:spacing w:before="60" w:after="60" w:line="360" w:lineRule="auto"/>
              <w:rPr>
                <w:rFonts w:ascii="Arial" w:hAnsi="Arial" w:cs="Arial"/>
                <w:sz w:val="18"/>
                <w:lang w:val="sq-AL"/>
              </w:rPr>
            </w:pPr>
          </w:p>
        </w:tc>
      </w:tr>
      <w:tr w:rsidR="00C232D7" w:rsidRPr="00C149AB" w14:paraId="6F1C24ED" w14:textId="77777777" w:rsidTr="00C232D7">
        <w:trPr>
          <w:trHeight w:val="300"/>
          <w:jc w:val="center"/>
        </w:trPr>
        <w:tc>
          <w:tcPr>
            <w:tcW w:w="2321" w:type="dxa"/>
            <w:shd w:val="clear" w:color="auto" w:fill="auto"/>
            <w:noWrap/>
            <w:vAlign w:val="center"/>
          </w:tcPr>
          <w:p w14:paraId="14306CD4"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Kabasti otpad</w:t>
            </w:r>
          </w:p>
        </w:tc>
        <w:tc>
          <w:tcPr>
            <w:tcW w:w="4053" w:type="dxa"/>
            <w:shd w:val="clear" w:color="auto" w:fill="auto"/>
            <w:noWrap/>
            <w:vAlign w:val="center"/>
          </w:tcPr>
          <w:p w14:paraId="20CBB937"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20% odvojeno sakupljenih za ponovnu upotrebu/recikliranje</w:t>
            </w:r>
          </w:p>
          <w:p w14:paraId="428D2F4C"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40% odvojeno sakupljenih za ponovnu upotrebu/recikliranje</w:t>
            </w:r>
          </w:p>
        </w:tc>
        <w:tc>
          <w:tcPr>
            <w:tcW w:w="1366" w:type="dxa"/>
            <w:shd w:val="clear" w:color="auto" w:fill="auto"/>
          </w:tcPr>
          <w:p w14:paraId="3D5C58EA" w14:textId="62395FD2" w:rsidR="00C232D7" w:rsidRPr="00C149AB" w:rsidRDefault="00974F55" w:rsidP="00C232D7">
            <w:pPr>
              <w:spacing w:before="60" w:after="60" w:line="360" w:lineRule="auto"/>
              <w:rPr>
                <w:rFonts w:ascii="Arial" w:hAnsi="Arial" w:cs="Arial"/>
                <w:sz w:val="18"/>
                <w:lang w:val="sq-AL"/>
              </w:rPr>
            </w:pPr>
            <w:r w:rsidRPr="0010734D">
              <w:rPr>
                <w:rFonts w:ascii="Arial" w:hAnsi="Arial" w:cs="Arial"/>
                <w:sz w:val="18"/>
                <w:lang w:val="sq-AL"/>
              </w:rPr>
              <w:t>2027</w:t>
            </w:r>
          </w:p>
          <w:p w14:paraId="1ACBEED7" w14:textId="77777777" w:rsidR="00C232D7" w:rsidRPr="00C149AB" w:rsidRDefault="00C232D7" w:rsidP="00C232D7">
            <w:pPr>
              <w:spacing w:before="60" w:after="60" w:line="360" w:lineRule="auto"/>
              <w:rPr>
                <w:rFonts w:ascii="Arial" w:hAnsi="Arial" w:cs="Arial"/>
                <w:sz w:val="18"/>
                <w:lang w:val="sq-AL"/>
              </w:rPr>
            </w:pPr>
          </w:p>
          <w:p w14:paraId="1C965BD0"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2030</w:t>
            </w:r>
          </w:p>
        </w:tc>
        <w:tc>
          <w:tcPr>
            <w:tcW w:w="2002" w:type="dxa"/>
            <w:shd w:val="clear" w:color="auto" w:fill="auto"/>
          </w:tcPr>
          <w:p w14:paraId="4F4D0CC2"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Dodatni cilj</w:t>
            </w:r>
          </w:p>
          <w:p w14:paraId="59EF5248" w14:textId="77777777" w:rsidR="00C232D7" w:rsidRPr="00C149AB" w:rsidRDefault="00C232D7" w:rsidP="00C232D7">
            <w:pPr>
              <w:spacing w:before="60" w:after="60" w:line="360" w:lineRule="auto"/>
              <w:rPr>
                <w:rFonts w:ascii="Arial" w:hAnsi="Arial" w:cs="Arial"/>
                <w:sz w:val="18"/>
                <w:lang w:val="sq-AL"/>
              </w:rPr>
            </w:pPr>
          </w:p>
          <w:p w14:paraId="4D346BE6"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Dodatni cilj</w:t>
            </w:r>
          </w:p>
        </w:tc>
      </w:tr>
      <w:bookmarkEnd w:id="1188"/>
    </w:tbl>
    <w:p w14:paraId="01332A56" w14:textId="77777777" w:rsidR="00D86E56" w:rsidRDefault="00D86E56" w:rsidP="00C232D7">
      <w:pPr>
        <w:spacing w:before="120" w:after="120" w:line="360" w:lineRule="auto"/>
        <w:rPr>
          <w:rFonts w:ascii="Arial" w:hAnsi="Arial" w:cs="Arial"/>
          <w:lang w:val="sq-AL"/>
        </w:rPr>
      </w:pPr>
    </w:p>
    <w:p w14:paraId="25C19827" w14:textId="029AA185"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 narednoj tabeli prikazana je kvantifikaciju gore navedenih ciljeva za Crnu Goru.</w:t>
      </w:r>
    </w:p>
    <w:p w14:paraId="0EF6D3FB" w14:textId="77777777" w:rsidR="00C232D7" w:rsidRPr="002A6F4E" w:rsidRDefault="00C232D7" w:rsidP="00C232D7">
      <w:pPr>
        <w:spacing w:before="120" w:after="120" w:line="360" w:lineRule="auto"/>
        <w:rPr>
          <w:rFonts w:ascii="Arial" w:hAnsi="Arial" w:cs="Arial"/>
          <w:lang w:val="sq-AL"/>
        </w:rPr>
        <w:sectPr w:rsidR="00C232D7" w:rsidRPr="002A6F4E" w:rsidSect="00DD411D">
          <w:headerReference w:type="default" r:id="rId21"/>
          <w:footerReference w:type="default" r:id="rId22"/>
          <w:pgSz w:w="11909" w:h="16833"/>
          <w:pgMar w:top="1276" w:right="1134" w:bottom="1417" w:left="1417" w:header="864" w:footer="864" w:gutter="0"/>
          <w:cols w:space="708"/>
          <w:docGrid w:linePitch="272"/>
        </w:sectPr>
      </w:pPr>
    </w:p>
    <w:p w14:paraId="2E2F066C" w14:textId="31B38AC6" w:rsidR="00C232D7" w:rsidRPr="00C149AB" w:rsidRDefault="00C232D7" w:rsidP="00C232D7">
      <w:pPr>
        <w:pStyle w:val="Caption"/>
        <w:rPr>
          <w:rFonts w:ascii="Arial" w:hAnsi="Arial" w:cs="Arial"/>
          <w:b w:val="0"/>
          <w:szCs w:val="20"/>
          <w:lang w:val="sq-AL"/>
        </w:rPr>
      </w:pPr>
      <w:bookmarkStart w:id="1189" w:name="_Toc189515672"/>
      <w:bookmarkStart w:id="1190" w:name="_Toc190160790"/>
      <w:r w:rsidRPr="00C149AB">
        <w:rPr>
          <w:rFonts w:ascii="Arial" w:hAnsi="Arial" w:cs="Arial"/>
          <w:b w:val="0"/>
          <w:szCs w:val="20"/>
          <w:lang w:val="sq-AL"/>
        </w:rPr>
        <w:lastRenderedPageBreak/>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95</w:t>
      </w:r>
      <w:r w:rsidRPr="00C149AB">
        <w:rPr>
          <w:rFonts w:ascii="Arial" w:hAnsi="Arial" w:cs="Arial"/>
          <w:b w:val="0"/>
          <w:szCs w:val="20"/>
        </w:rPr>
        <w:fldChar w:fldCharType="end"/>
      </w:r>
      <w:r w:rsidRPr="00C149AB">
        <w:rPr>
          <w:rFonts w:ascii="Arial" w:hAnsi="Arial" w:cs="Arial"/>
          <w:b w:val="0"/>
          <w:szCs w:val="20"/>
          <w:lang w:val="sq-AL"/>
        </w:rPr>
        <w:t xml:space="preserve"> Kvantifikacija ciljeva za reciklažu otpada</w:t>
      </w:r>
      <w:bookmarkEnd w:id="1189"/>
      <w:bookmarkEnd w:id="1190"/>
    </w:p>
    <w:tbl>
      <w:tblPr>
        <w:tblW w:w="14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6852"/>
        <w:gridCol w:w="1428"/>
        <w:gridCol w:w="1583"/>
        <w:gridCol w:w="1239"/>
        <w:gridCol w:w="1366"/>
      </w:tblGrid>
      <w:tr w:rsidR="00C232D7" w:rsidRPr="00C149AB" w14:paraId="4ACA96FE" w14:textId="77777777" w:rsidTr="007F5896">
        <w:trPr>
          <w:trHeight w:val="300"/>
          <w:tblHeader/>
          <w:jc w:val="center"/>
        </w:trPr>
        <w:tc>
          <w:tcPr>
            <w:tcW w:w="1975" w:type="dxa"/>
            <w:shd w:val="clear" w:color="auto" w:fill="F2F2F2" w:themeFill="background1" w:themeFillShade="F2"/>
            <w:noWrap/>
            <w:vAlign w:val="center"/>
          </w:tcPr>
          <w:p w14:paraId="5D162696" w14:textId="4FCEBBF9"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V</w:t>
            </w:r>
            <w:r w:rsidR="002C662C" w:rsidRPr="00C149AB">
              <w:rPr>
                <w:rFonts w:ascii="Arial" w:hAnsi="Arial" w:cs="Arial"/>
                <w:b/>
                <w:bCs/>
                <w:sz w:val="18"/>
                <w:lang w:val="sq-AL"/>
              </w:rPr>
              <w:t>rs</w:t>
            </w:r>
            <w:r w:rsidRPr="00C149AB">
              <w:rPr>
                <w:rFonts w:ascii="Arial" w:hAnsi="Arial" w:cs="Arial"/>
                <w:b/>
                <w:bCs/>
                <w:sz w:val="18"/>
                <w:lang w:val="sq-AL"/>
              </w:rPr>
              <w:t>ta ot</w:t>
            </w:r>
            <w:r w:rsidR="002C662C" w:rsidRPr="00C149AB">
              <w:rPr>
                <w:rFonts w:ascii="Arial" w:hAnsi="Arial" w:cs="Arial"/>
                <w:b/>
                <w:bCs/>
                <w:sz w:val="18"/>
                <w:lang w:val="sq-AL"/>
              </w:rPr>
              <w:t>p</w:t>
            </w:r>
            <w:r w:rsidRPr="00C149AB">
              <w:rPr>
                <w:rFonts w:ascii="Arial" w:hAnsi="Arial" w:cs="Arial"/>
                <w:b/>
                <w:bCs/>
                <w:sz w:val="18"/>
                <w:lang w:val="sq-AL"/>
              </w:rPr>
              <w:t>ada</w:t>
            </w:r>
          </w:p>
        </w:tc>
        <w:tc>
          <w:tcPr>
            <w:tcW w:w="6852" w:type="dxa"/>
            <w:shd w:val="clear" w:color="auto" w:fill="F2F2F2" w:themeFill="background1" w:themeFillShade="F2"/>
            <w:noWrap/>
            <w:vAlign w:val="center"/>
          </w:tcPr>
          <w:p w14:paraId="35D34207" w14:textId="77777777"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Opis cilja</w:t>
            </w:r>
          </w:p>
        </w:tc>
        <w:tc>
          <w:tcPr>
            <w:tcW w:w="1428" w:type="dxa"/>
            <w:shd w:val="clear" w:color="auto" w:fill="F2F2F2" w:themeFill="background1" w:themeFillShade="F2"/>
            <w:vAlign w:val="center"/>
          </w:tcPr>
          <w:p w14:paraId="0498D1DA" w14:textId="694600C2" w:rsidR="00C232D7" w:rsidRPr="00C149AB" w:rsidRDefault="00CE41F3" w:rsidP="00C232D7">
            <w:pPr>
              <w:spacing w:before="60" w:after="60" w:line="360" w:lineRule="auto"/>
              <w:rPr>
                <w:rFonts w:ascii="Arial" w:hAnsi="Arial" w:cs="Arial"/>
                <w:b/>
                <w:bCs/>
                <w:sz w:val="18"/>
                <w:lang w:val="sq-AL"/>
              </w:rPr>
            </w:pPr>
            <w:r w:rsidRPr="00C149AB">
              <w:rPr>
                <w:rFonts w:ascii="Arial" w:hAnsi="Arial" w:cs="Arial"/>
                <w:b/>
                <w:bCs/>
                <w:sz w:val="18"/>
                <w:lang w:val="sq-AL"/>
              </w:rPr>
              <w:t>Ciljevi</w:t>
            </w:r>
            <w:r w:rsidR="00C232D7" w:rsidRPr="00C149AB">
              <w:rPr>
                <w:rFonts w:ascii="Arial" w:hAnsi="Arial" w:cs="Arial"/>
                <w:b/>
                <w:bCs/>
                <w:sz w:val="18"/>
                <w:lang w:val="sq-AL"/>
              </w:rPr>
              <w:t>(t/</w:t>
            </w:r>
            <w:r w:rsidRPr="00C149AB">
              <w:rPr>
                <w:rFonts w:ascii="Arial" w:hAnsi="Arial" w:cs="Arial"/>
                <w:b/>
                <w:bCs/>
                <w:sz w:val="18"/>
                <w:lang w:val="sq-AL"/>
              </w:rPr>
              <w:t>god</w:t>
            </w:r>
            <w:r w:rsidR="00C232D7" w:rsidRPr="00C149AB">
              <w:rPr>
                <w:rFonts w:ascii="Arial" w:hAnsi="Arial" w:cs="Arial"/>
                <w:b/>
                <w:bCs/>
                <w:sz w:val="18"/>
                <w:lang w:val="sq-AL"/>
              </w:rPr>
              <w:t>)</w:t>
            </w:r>
          </w:p>
        </w:tc>
        <w:tc>
          <w:tcPr>
            <w:tcW w:w="1583" w:type="dxa"/>
            <w:shd w:val="clear" w:color="auto" w:fill="F2F2F2" w:themeFill="background1" w:themeFillShade="F2"/>
            <w:vAlign w:val="center"/>
          </w:tcPr>
          <w:p w14:paraId="75B73A5C" w14:textId="6BE9C200" w:rsidR="00C232D7" w:rsidRPr="00C149AB" w:rsidRDefault="00CE41F3" w:rsidP="00C232D7">
            <w:pPr>
              <w:spacing w:before="60" w:after="60" w:line="360" w:lineRule="auto"/>
              <w:rPr>
                <w:rFonts w:ascii="Arial" w:hAnsi="Arial" w:cs="Arial"/>
                <w:b/>
                <w:bCs/>
                <w:sz w:val="18"/>
                <w:lang w:val="sq-AL"/>
              </w:rPr>
            </w:pPr>
            <w:r w:rsidRPr="00C149AB">
              <w:rPr>
                <w:rFonts w:ascii="Arial" w:hAnsi="Arial" w:cs="Arial"/>
                <w:b/>
                <w:bCs/>
                <w:sz w:val="18"/>
                <w:lang w:val="sq-AL"/>
              </w:rPr>
              <w:t>Kvantifikovani cilj</w:t>
            </w:r>
            <w:r w:rsidR="00C232D7" w:rsidRPr="00C149AB">
              <w:rPr>
                <w:rFonts w:ascii="Arial" w:hAnsi="Arial" w:cs="Arial"/>
                <w:b/>
                <w:bCs/>
                <w:sz w:val="18"/>
                <w:lang w:val="sq-AL"/>
              </w:rPr>
              <w:t xml:space="preserve"> (kg/</w:t>
            </w:r>
            <w:r w:rsidRPr="00C149AB">
              <w:rPr>
                <w:rFonts w:ascii="Arial" w:hAnsi="Arial" w:cs="Arial"/>
                <w:b/>
                <w:bCs/>
                <w:sz w:val="18"/>
                <w:lang w:val="sq-AL"/>
              </w:rPr>
              <w:t>per capita</w:t>
            </w:r>
            <w:r w:rsidR="00C232D7" w:rsidRPr="00C149AB">
              <w:rPr>
                <w:rFonts w:ascii="Arial" w:hAnsi="Arial" w:cs="Arial"/>
                <w:b/>
                <w:bCs/>
                <w:sz w:val="18"/>
                <w:lang w:val="sq-AL"/>
              </w:rPr>
              <w:t>)</w:t>
            </w:r>
          </w:p>
        </w:tc>
        <w:tc>
          <w:tcPr>
            <w:tcW w:w="1239" w:type="dxa"/>
            <w:shd w:val="clear" w:color="auto" w:fill="F2F2F2" w:themeFill="background1" w:themeFillShade="F2"/>
            <w:vAlign w:val="center"/>
          </w:tcPr>
          <w:p w14:paraId="1146D509" w14:textId="0DFC8CDD" w:rsidR="00C232D7" w:rsidRPr="00C149AB" w:rsidRDefault="00CE41F3" w:rsidP="00C232D7">
            <w:pPr>
              <w:spacing w:before="60" w:after="60" w:line="360" w:lineRule="auto"/>
              <w:rPr>
                <w:rFonts w:ascii="Arial" w:hAnsi="Arial" w:cs="Arial"/>
                <w:b/>
                <w:bCs/>
                <w:sz w:val="18"/>
                <w:lang w:val="sq-AL"/>
              </w:rPr>
            </w:pPr>
            <w:r w:rsidRPr="00C149AB">
              <w:rPr>
                <w:rFonts w:ascii="Arial" w:hAnsi="Arial" w:cs="Arial"/>
                <w:b/>
                <w:bCs/>
                <w:sz w:val="18"/>
                <w:lang w:val="sq-AL"/>
              </w:rPr>
              <w:t>Ciljna godina</w:t>
            </w:r>
          </w:p>
        </w:tc>
        <w:tc>
          <w:tcPr>
            <w:tcW w:w="1366" w:type="dxa"/>
            <w:shd w:val="clear" w:color="auto" w:fill="F2F2F2" w:themeFill="background1" w:themeFillShade="F2"/>
            <w:vAlign w:val="center"/>
          </w:tcPr>
          <w:p w14:paraId="65676640" w14:textId="11FEAC48"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 xml:space="preserve">% </w:t>
            </w:r>
            <w:r w:rsidR="00CE41F3" w:rsidRPr="00C149AB">
              <w:rPr>
                <w:rFonts w:ascii="Arial" w:hAnsi="Arial" w:cs="Arial"/>
                <w:b/>
                <w:bCs/>
                <w:sz w:val="18"/>
                <w:lang w:val="sq-AL"/>
              </w:rPr>
              <w:t>postignutih ciljeva</w:t>
            </w:r>
            <w:r w:rsidRPr="00C149AB">
              <w:rPr>
                <w:rFonts w:ascii="Arial" w:hAnsi="Arial" w:cs="Arial"/>
                <w:b/>
                <w:bCs/>
                <w:sz w:val="18"/>
                <w:lang w:val="sq-AL"/>
              </w:rPr>
              <w:t xml:space="preserve"> 2021</w:t>
            </w:r>
          </w:p>
        </w:tc>
      </w:tr>
      <w:tr w:rsidR="00C232D7" w:rsidRPr="00C149AB" w14:paraId="2EB1E004" w14:textId="77777777" w:rsidTr="007F5896">
        <w:trPr>
          <w:trHeight w:val="300"/>
          <w:jc w:val="center"/>
        </w:trPr>
        <w:tc>
          <w:tcPr>
            <w:tcW w:w="1975" w:type="dxa"/>
            <w:shd w:val="clear" w:color="auto" w:fill="auto"/>
            <w:noWrap/>
            <w:vAlign w:val="center"/>
          </w:tcPr>
          <w:p w14:paraId="590F5DC5"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Komunalni otpad</w:t>
            </w:r>
          </w:p>
          <w:p w14:paraId="3D8D440E" w14:textId="77777777" w:rsidR="00C232D7" w:rsidRPr="00C149AB" w:rsidRDefault="00C232D7" w:rsidP="00C232D7">
            <w:pPr>
              <w:spacing w:before="40" w:after="40" w:line="360" w:lineRule="auto"/>
              <w:rPr>
                <w:rFonts w:ascii="Arial" w:hAnsi="Arial" w:cs="Arial"/>
                <w:sz w:val="18"/>
                <w:lang w:val="sq-AL"/>
              </w:rPr>
            </w:pPr>
          </w:p>
        </w:tc>
        <w:tc>
          <w:tcPr>
            <w:tcW w:w="6852" w:type="dxa"/>
            <w:shd w:val="clear" w:color="auto" w:fill="auto"/>
            <w:noWrap/>
          </w:tcPr>
          <w:p w14:paraId="6F789FBB"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Najmanje 50% otpadnih materijala, kao što su papir, metal, plastika i staklo, iz domaćinstava i drugih izvora u kojima su tokovi otpada slični tokovima kućnog otpada, treba pripremiti za ponovnu upotrebu i reciklažu</w:t>
            </w:r>
          </w:p>
        </w:tc>
        <w:tc>
          <w:tcPr>
            <w:tcW w:w="1428" w:type="dxa"/>
            <w:shd w:val="clear" w:color="auto" w:fill="auto"/>
            <w:vAlign w:val="center"/>
          </w:tcPr>
          <w:p w14:paraId="0194B030"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96,714*</w:t>
            </w:r>
          </w:p>
        </w:tc>
        <w:tc>
          <w:tcPr>
            <w:tcW w:w="1583" w:type="dxa"/>
            <w:shd w:val="clear" w:color="auto" w:fill="auto"/>
            <w:vAlign w:val="center"/>
          </w:tcPr>
          <w:p w14:paraId="4037E09A"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142.5</w:t>
            </w:r>
          </w:p>
        </w:tc>
        <w:tc>
          <w:tcPr>
            <w:tcW w:w="1239" w:type="dxa"/>
            <w:shd w:val="clear" w:color="auto" w:fill="auto"/>
            <w:vAlign w:val="center"/>
          </w:tcPr>
          <w:p w14:paraId="3AB05282"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2030</w:t>
            </w:r>
          </w:p>
        </w:tc>
        <w:tc>
          <w:tcPr>
            <w:tcW w:w="1366" w:type="dxa"/>
            <w:shd w:val="clear" w:color="auto" w:fill="auto"/>
            <w:vAlign w:val="center"/>
          </w:tcPr>
          <w:p w14:paraId="195A0D03"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23%</w:t>
            </w:r>
          </w:p>
        </w:tc>
      </w:tr>
      <w:tr w:rsidR="00C232D7" w:rsidRPr="00C149AB" w14:paraId="5D042835" w14:textId="77777777" w:rsidTr="007F5896">
        <w:trPr>
          <w:trHeight w:val="300"/>
          <w:jc w:val="center"/>
        </w:trPr>
        <w:tc>
          <w:tcPr>
            <w:tcW w:w="1975" w:type="dxa"/>
            <w:vMerge w:val="restart"/>
            <w:shd w:val="clear" w:color="auto" w:fill="auto"/>
            <w:noWrap/>
            <w:vAlign w:val="center"/>
          </w:tcPr>
          <w:p w14:paraId="78EBCE92"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Ambalažni otpad</w:t>
            </w:r>
          </w:p>
        </w:tc>
        <w:tc>
          <w:tcPr>
            <w:tcW w:w="6852" w:type="dxa"/>
            <w:shd w:val="clear" w:color="auto" w:fill="auto"/>
            <w:noWrap/>
            <w:vAlign w:val="center"/>
          </w:tcPr>
          <w:p w14:paraId="09609E12"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35% reciklirano</w:t>
            </w:r>
          </w:p>
        </w:tc>
        <w:tc>
          <w:tcPr>
            <w:tcW w:w="1428" w:type="dxa"/>
            <w:shd w:val="clear" w:color="auto" w:fill="auto"/>
            <w:vAlign w:val="center"/>
          </w:tcPr>
          <w:p w14:paraId="5A9CC2B9"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34,850</w:t>
            </w:r>
          </w:p>
        </w:tc>
        <w:tc>
          <w:tcPr>
            <w:tcW w:w="1583" w:type="dxa"/>
            <w:shd w:val="clear" w:color="auto" w:fill="auto"/>
            <w:vAlign w:val="center"/>
          </w:tcPr>
          <w:p w14:paraId="4AE71729"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51.3</w:t>
            </w:r>
          </w:p>
        </w:tc>
        <w:tc>
          <w:tcPr>
            <w:tcW w:w="1239" w:type="dxa"/>
            <w:vMerge w:val="restart"/>
            <w:shd w:val="clear" w:color="auto" w:fill="auto"/>
            <w:vAlign w:val="center"/>
          </w:tcPr>
          <w:p w14:paraId="1E706593"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2030</w:t>
            </w:r>
          </w:p>
        </w:tc>
        <w:tc>
          <w:tcPr>
            <w:tcW w:w="1366" w:type="dxa"/>
            <w:shd w:val="clear" w:color="auto" w:fill="auto"/>
            <w:vAlign w:val="center"/>
          </w:tcPr>
          <w:p w14:paraId="58F57E89"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47%</w:t>
            </w:r>
          </w:p>
        </w:tc>
      </w:tr>
      <w:tr w:rsidR="00C232D7" w:rsidRPr="00C149AB" w14:paraId="5444627A" w14:textId="77777777" w:rsidTr="007F5896">
        <w:trPr>
          <w:trHeight w:val="300"/>
          <w:jc w:val="center"/>
        </w:trPr>
        <w:tc>
          <w:tcPr>
            <w:tcW w:w="1975" w:type="dxa"/>
            <w:vMerge/>
            <w:shd w:val="clear" w:color="auto" w:fill="auto"/>
            <w:noWrap/>
            <w:vAlign w:val="center"/>
          </w:tcPr>
          <w:p w14:paraId="03875C50" w14:textId="77777777" w:rsidR="00C232D7" w:rsidRPr="00C149AB" w:rsidRDefault="00C232D7" w:rsidP="00C232D7">
            <w:pPr>
              <w:spacing w:before="60" w:after="60" w:line="360" w:lineRule="auto"/>
              <w:rPr>
                <w:rFonts w:ascii="Arial" w:hAnsi="Arial" w:cs="Arial"/>
                <w:sz w:val="18"/>
                <w:lang w:val="sq-AL"/>
              </w:rPr>
            </w:pPr>
          </w:p>
        </w:tc>
        <w:tc>
          <w:tcPr>
            <w:tcW w:w="6852" w:type="dxa"/>
            <w:shd w:val="clear" w:color="auto" w:fill="auto"/>
            <w:noWrap/>
            <w:vAlign w:val="center"/>
          </w:tcPr>
          <w:p w14:paraId="7AED217B"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Recikliranje 40% mase staklene ambalaže</w:t>
            </w:r>
          </w:p>
        </w:tc>
        <w:tc>
          <w:tcPr>
            <w:tcW w:w="1428" w:type="dxa"/>
            <w:shd w:val="clear" w:color="auto" w:fill="auto"/>
            <w:vAlign w:val="center"/>
          </w:tcPr>
          <w:p w14:paraId="762A6344"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5,638</w:t>
            </w:r>
          </w:p>
        </w:tc>
        <w:tc>
          <w:tcPr>
            <w:tcW w:w="1583" w:type="dxa"/>
            <w:shd w:val="clear" w:color="auto" w:fill="auto"/>
            <w:vAlign w:val="center"/>
          </w:tcPr>
          <w:p w14:paraId="532F2402"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8.3</w:t>
            </w:r>
          </w:p>
        </w:tc>
        <w:tc>
          <w:tcPr>
            <w:tcW w:w="1239" w:type="dxa"/>
            <w:vMerge/>
            <w:shd w:val="clear" w:color="auto" w:fill="auto"/>
            <w:vAlign w:val="center"/>
          </w:tcPr>
          <w:p w14:paraId="528547C1" w14:textId="77777777" w:rsidR="00C232D7" w:rsidRPr="00C149AB" w:rsidRDefault="00C232D7" w:rsidP="00C232D7">
            <w:pPr>
              <w:spacing w:before="40" w:after="40" w:line="360" w:lineRule="auto"/>
              <w:rPr>
                <w:rFonts w:ascii="Arial" w:hAnsi="Arial" w:cs="Arial"/>
                <w:sz w:val="18"/>
                <w:lang w:val="sq-AL"/>
              </w:rPr>
            </w:pPr>
          </w:p>
        </w:tc>
        <w:tc>
          <w:tcPr>
            <w:tcW w:w="1366" w:type="dxa"/>
            <w:shd w:val="clear" w:color="auto" w:fill="auto"/>
            <w:vAlign w:val="center"/>
          </w:tcPr>
          <w:p w14:paraId="5E1E8796"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w:t>
            </w:r>
          </w:p>
        </w:tc>
      </w:tr>
      <w:tr w:rsidR="00C232D7" w:rsidRPr="00C149AB" w14:paraId="6350030A" w14:textId="77777777" w:rsidTr="007F5896">
        <w:trPr>
          <w:trHeight w:val="300"/>
          <w:jc w:val="center"/>
        </w:trPr>
        <w:tc>
          <w:tcPr>
            <w:tcW w:w="1975" w:type="dxa"/>
            <w:vMerge/>
            <w:shd w:val="clear" w:color="auto" w:fill="auto"/>
            <w:noWrap/>
            <w:vAlign w:val="center"/>
          </w:tcPr>
          <w:p w14:paraId="5E82CC1E" w14:textId="77777777" w:rsidR="00C232D7" w:rsidRPr="00C149AB" w:rsidRDefault="00C232D7" w:rsidP="00C232D7">
            <w:pPr>
              <w:spacing w:before="60" w:after="60" w:line="360" w:lineRule="auto"/>
              <w:rPr>
                <w:rFonts w:ascii="Arial" w:hAnsi="Arial" w:cs="Arial"/>
                <w:sz w:val="18"/>
                <w:lang w:val="sq-AL"/>
              </w:rPr>
            </w:pPr>
          </w:p>
        </w:tc>
        <w:tc>
          <w:tcPr>
            <w:tcW w:w="6852" w:type="dxa"/>
            <w:shd w:val="clear" w:color="auto" w:fill="auto"/>
            <w:noWrap/>
          </w:tcPr>
          <w:p w14:paraId="5ADD8705"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Recikliranje 40% mase papirne i kartonske ambalaže</w:t>
            </w:r>
          </w:p>
        </w:tc>
        <w:tc>
          <w:tcPr>
            <w:tcW w:w="1428" w:type="dxa"/>
            <w:shd w:val="clear" w:color="auto" w:fill="auto"/>
            <w:vAlign w:val="center"/>
          </w:tcPr>
          <w:p w14:paraId="7F91A8C6"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11,535</w:t>
            </w:r>
          </w:p>
        </w:tc>
        <w:tc>
          <w:tcPr>
            <w:tcW w:w="1583" w:type="dxa"/>
            <w:shd w:val="clear" w:color="auto" w:fill="auto"/>
            <w:vAlign w:val="center"/>
          </w:tcPr>
          <w:p w14:paraId="1204AB98"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17.0</w:t>
            </w:r>
          </w:p>
        </w:tc>
        <w:tc>
          <w:tcPr>
            <w:tcW w:w="1239" w:type="dxa"/>
            <w:vMerge/>
            <w:shd w:val="clear" w:color="auto" w:fill="auto"/>
            <w:vAlign w:val="center"/>
          </w:tcPr>
          <w:p w14:paraId="58379CD7" w14:textId="77777777" w:rsidR="00C232D7" w:rsidRPr="00C149AB" w:rsidRDefault="00C232D7" w:rsidP="00C232D7">
            <w:pPr>
              <w:spacing w:before="40" w:after="40" w:line="360" w:lineRule="auto"/>
              <w:rPr>
                <w:rFonts w:ascii="Arial" w:hAnsi="Arial" w:cs="Arial"/>
                <w:sz w:val="18"/>
                <w:lang w:val="sq-AL"/>
              </w:rPr>
            </w:pPr>
          </w:p>
        </w:tc>
        <w:tc>
          <w:tcPr>
            <w:tcW w:w="1366" w:type="dxa"/>
            <w:shd w:val="clear" w:color="auto" w:fill="auto"/>
            <w:vAlign w:val="center"/>
          </w:tcPr>
          <w:p w14:paraId="6888CDE7"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w:t>
            </w:r>
          </w:p>
        </w:tc>
      </w:tr>
      <w:tr w:rsidR="00C232D7" w:rsidRPr="00C149AB" w14:paraId="28BB9C8F" w14:textId="77777777" w:rsidTr="007F5896">
        <w:trPr>
          <w:trHeight w:val="300"/>
          <w:jc w:val="center"/>
        </w:trPr>
        <w:tc>
          <w:tcPr>
            <w:tcW w:w="1975" w:type="dxa"/>
            <w:vMerge/>
            <w:shd w:val="clear" w:color="auto" w:fill="auto"/>
            <w:noWrap/>
            <w:vAlign w:val="center"/>
          </w:tcPr>
          <w:p w14:paraId="0F917499" w14:textId="77777777" w:rsidR="00C232D7" w:rsidRPr="00C149AB" w:rsidRDefault="00C232D7" w:rsidP="00C232D7">
            <w:pPr>
              <w:spacing w:before="60" w:after="60" w:line="360" w:lineRule="auto"/>
              <w:rPr>
                <w:rFonts w:ascii="Arial" w:hAnsi="Arial" w:cs="Arial"/>
                <w:sz w:val="18"/>
                <w:lang w:val="sq-AL"/>
              </w:rPr>
            </w:pPr>
          </w:p>
        </w:tc>
        <w:tc>
          <w:tcPr>
            <w:tcW w:w="6852" w:type="dxa"/>
            <w:shd w:val="clear" w:color="auto" w:fill="auto"/>
            <w:noWrap/>
          </w:tcPr>
          <w:p w14:paraId="5A32BC84"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Recikliranje 50% mase metalne ambalaže</w:t>
            </w:r>
          </w:p>
        </w:tc>
        <w:tc>
          <w:tcPr>
            <w:tcW w:w="1428" w:type="dxa"/>
            <w:shd w:val="clear" w:color="auto" w:fill="auto"/>
            <w:vAlign w:val="center"/>
          </w:tcPr>
          <w:p w14:paraId="6776F0DD"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4,760</w:t>
            </w:r>
          </w:p>
        </w:tc>
        <w:tc>
          <w:tcPr>
            <w:tcW w:w="1583" w:type="dxa"/>
            <w:shd w:val="clear" w:color="auto" w:fill="auto"/>
            <w:vAlign w:val="center"/>
          </w:tcPr>
          <w:p w14:paraId="5903311D"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7.0</w:t>
            </w:r>
          </w:p>
        </w:tc>
        <w:tc>
          <w:tcPr>
            <w:tcW w:w="1239" w:type="dxa"/>
            <w:vMerge/>
            <w:shd w:val="clear" w:color="auto" w:fill="auto"/>
            <w:vAlign w:val="center"/>
          </w:tcPr>
          <w:p w14:paraId="6A8015C7" w14:textId="77777777" w:rsidR="00C232D7" w:rsidRPr="00C149AB" w:rsidRDefault="00C232D7" w:rsidP="00C232D7">
            <w:pPr>
              <w:spacing w:before="40" w:after="40" w:line="360" w:lineRule="auto"/>
              <w:rPr>
                <w:rFonts w:ascii="Arial" w:hAnsi="Arial" w:cs="Arial"/>
                <w:sz w:val="18"/>
                <w:lang w:val="sq-AL"/>
              </w:rPr>
            </w:pPr>
          </w:p>
        </w:tc>
        <w:tc>
          <w:tcPr>
            <w:tcW w:w="1366" w:type="dxa"/>
            <w:shd w:val="clear" w:color="auto" w:fill="auto"/>
            <w:vAlign w:val="center"/>
          </w:tcPr>
          <w:p w14:paraId="4ED050E1"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w:t>
            </w:r>
          </w:p>
        </w:tc>
      </w:tr>
      <w:tr w:rsidR="00C232D7" w:rsidRPr="00C149AB" w14:paraId="62AC72A9" w14:textId="77777777" w:rsidTr="007F5896">
        <w:trPr>
          <w:trHeight w:val="300"/>
          <w:jc w:val="center"/>
        </w:trPr>
        <w:tc>
          <w:tcPr>
            <w:tcW w:w="1975" w:type="dxa"/>
            <w:vMerge/>
            <w:shd w:val="clear" w:color="auto" w:fill="auto"/>
            <w:noWrap/>
            <w:vAlign w:val="center"/>
          </w:tcPr>
          <w:p w14:paraId="4071E51A" w14:textId="77777777" w:rsidR="00C232D7" w:rsidRPr="00C149AB" w:rsidRDefault="00C232D7" w:rsidP="00C232D7">
            <w:pPr>
              <w:spacing w:before="60" w:after="60" w:line="360" w:lineRule="auto"/>
              <w:rPr>
                <w:rFonts w:ascii="Arial" w:hAnsi="Arial" w:cs="Arial"/>
                <w:sz w:val="18"/>
                <w:lang w:val="sq-AL"/>
              </w:rPr>
            </w:pPr>
          </w:p>
        </w:tc>
        <w:tc>
          <w:tcPr>
            <w:tcW w:w="6852" w:type="dxa"/>
            <w:shd w:val="clear" w:color="auto" w:fill="auto"/>
            <w:noWrap/>
          </w:tcPr>
          <w:p w14:paraId="6C6EF766"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Recikliranje 22.5% mase plastične ambalaže</w:t>
            </w:r>
          </w:p>
        </w:tc>
        <w:tc>
          <w:tcPr>
            <w:tcW w:w="1428" w:type="dxa"/>
            <w:shd w:val="clear" w:color="auto" w:fill="auto"/>
            <w:vAlign w:val="center"/>
          </w:tcPr>
          <w:p w14:paraId="781605E7"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7,939</w:t>
            </w:r>
          </w:p>
        </w:tc>
        <w:tc>
          <w:tcPr>
            <w:tcW w:w="1583" w:type="dxa"/>
            <w:shd w:val="clear" w:color="auto" w:fill="auto"/>
            <w:vAlign w:val="center"/>
          </w:tcPr>
          <w:p w14:paraId="7FED66E0"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11.7</w:t>
            </w:r>
          </w:p>
        </w:tc>
        <w:tc>
          <w:tcPr>
            <w:tcW w:w="1239" w:type="dxa"/>
            <w:vMerge/>
            <w:shd w:val="clear" w:color="auto" w:fill="auto"/>
            <w:vAlign w:val="center"/>
          </w:tcPr>
          <w:p w14:paraId="5190983C" w14:textId="77777777" w:rsidR="00C232D7" w:rsidRPr="00C149AB" w:rsidRDefault="00C232D7" w:rsidP="00C232D7">
            <w:pPr>
              <w:spacing w:before="40" w:after="40" w:line="360" w:lineRule="auto"/>
              <w:rPr>
                <w:rFonts w:ascii="Arial" w:hAnsi="Arial" w:cs="Arial"/>
                <w:sz w:val="18"/>
                <w:lang w:val="sq-AL"/>
              </w:rPr>
            </w:pPr>
          </w:p>
        </w:tc>
        <w:tc>
          <w:tcPr>
            <w:tcW w:w="1366" w:type="dxa"/>
            <w:shd w:val="clear" w:color="auto" w:fill="auto"/>
            <w:vAlign w:val="center"/>
          </w:tcPr>
          <w:p w14:paraId="332D0F30"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w:t>
            </w:r>
          </w:p>
        </w:tc>
      </w:tr>
      <w:tr w:rsidR="00C232D7" w:rsidRPr="00C149AB" w14:paraId="2EA3793E" w14:textId="77777777" w:rsidTr="007F5896">
        <w:trPr>
          <w:trHeight w:val="300"/>
          <w:jc w:val="center"/>
        </w:trPr>
        <w:tc>
          <w:tcPr>
            <w:tcW w:w="1975" w:type="dxa"/>
            <w:vMerge/>
            <w:shd w:val="clear" w:color="auto" w:fill="auto"/>
            <w:noWrap/>
            <w:vAlign w:val="center"/>
          </w:tcPr>
          <w:p w14:paraId="0CB7AF84" w14:textId="77777777" w:rsidR="00C232D7" w:rsidRPr="00C149AB" w:rsidRDefault="00C232D7" w:rsidP="00C232D7">
            <w:pPr>
              <w:spacing w:before="60" w:after="60" w:line="360" w:lineRule="auto"/>
              <w:rPr>
                <w:rFonts w:ascii="Arial" w:hAnsi="Arial" w:cs="Arial"/>
                <w:sz w:val="18"/>
                <w:lang w:val="sq-AL"/>
              </w:rPr>
            </w:pPr>
          </w:p>
        </w:tc>
        <w:tc>
          <w:tcPr>
            <w:tcW w:w="6852" w:type="dxa"/>
            <w:shd w:val="clear" w:color="auto" w:fill="auto"/>
            <w:noWrap/>
          </w:tcPr>
          <w:p w14:paraId="7DD50090"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Recikliranje 10% drvne mase</w:t>
            </w:r>
          </w:p>
        </w:tc>
        <w:tc>
          <w:tcPr>
            <w:tcW w:w="1428" w:type="dxa"/>
            <w:shd w:val="clear" w:color="auto" w:fill="auto"/>
            <w:vAlign w:val="center"/>
          </w:tcPr>
          <w:p w14:paraId="6F839B8E"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192</w:t>
            </w:r>
          </w:p>
        </w:tc>
        <w:tc>
          <w:tcPr>
            <w:tcW w:w="1583" w:type="dxa"/>
            <w:shd w:val="clear" w:color="auto" w:fill="auto"/>
            <w:vAlign w:val="center"/>
          </w:tcPr>
          <w:p w14:paraId="26F3918C"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0.3</w:t>
            </w:r>
          </w:p>
        </w:tc>
        <w:tc>
          <w:tcPr>
            <w:tcW w:w="1239" w:type="dxa"/>
            <w:vMerge/>
            <w:shd w:val="clear" w:color="auto" w:fill="auto"/>
            <w:vAlign w:val="center"/>
          </w:tcPr>
          <w:p w14:paraId="69235E2E" w14:textId="77777777" w:rsidR="00C232D7" w:rsidRPr="00C149AB" w:rsidRDefault="00C232D7" w:rsidP="00C232D7">
            <w:pPr>
              <w:spacing w:before="40" w:after="40" w:line="360" w:lineRule="auto"/>
              <w:rPr>
                <w:rFonts w:ascii="Arial" w:hAnsi="Arial" w:cs="Arial"/>
                <w:sz w:val="18"/>
                <w:lang w:val="sq-AL"/>
              </w:rPr>
            </w:pPr>
          </w:p>
        </w:tc>
        <w:tc>
          <w:tcPr>
            <w:tcW w:w="1366" w:type="dxa"/>
            <w:shd w:val="clear" w:color="auto" w:fill="auto"/>
            <w:vAlign w:val="center"/>
          </w:tcPr>
          <w:p w14:paraId="0CE0FF01"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w:t>
            </w:r>
          </w:p>
        </w:tc>
      </w:tr>
      <w:tr w:rsidR="00C232D7" w:rsidRPr="00C149AB" w14:paraId="6875178C" w14:textId="77777777" w:rsidTr="007F5896">
        <w:trPr>
          <w:trHeight w:val="300"/>
          <w:jc w:val="center"/>
        </w:trPr>
        <w:tc>
          <w:tcPr>
            <w:tcW w:w="1975" w:type="dxa"/>
            <w:vMerge w:val="restart"/>
            <w:shd w:val="clear" w:color="auto" w:fill="auto"/>
            <w:noWrap/>
            <w:vAlign w:val="center"/>
          </w:tcPr>
          <w:p w14:paraId="506F1BFC"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Kabasti otpad</w:t>
            </w:r>
          </w:p>
        </w:tc>
        <w:tc>
          <w:tcPr>
            <w:tcW w:w="6852" w:type="dxa"/>
            <w:shd w:val="clear" w:color="auto" w:fill="auto"/>
            <w:noWrap/>
          </w:tcPr>
          <w:p w14:paraId="519171EE"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20% odvojeno sakupljenih za ponovnu upotrebu/recikliranje</w:t>
            </w:r>
          </w:p>
        </w:tc>
        <w:tc>
          <w:tcPr>
            <w:tcW w:w="1428" w:type="dxa"/>
            <w:shd w:val="clear" w:color="auto" w:fill="auto"/>
            <w:vAlign w:val="center"/>
          </w:tcPr>
          <w:p w14:paraId="53CC9A11"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329</w:t>
            </w:r>
          </w:p>
        </w:tc>
        <w:tc>
          <w:tcPr>
            <w:tcW w:w="1583" w:type="dxa"/>
            <w:shd w:val="clear" w:color="auto" w:fill="auto"/>
            <w:vAlign w:val="center"/>
          </w:tcPr>
          <w:p w14:paraId="6B3F5983"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0.5</w:t>
            </w:r>
          </w:p>
        </w:tc>
        <w:tc>
          <w:tcPr>
            <w:tcW w:w="1239" w:type="dxa"/>
            <w:shd w:val="clear" w:color="auto" w:fill="auto"/>
            <w:vAlign w:val="center"/>
          </w:tcPr>
          <w:p w14:paraId="7859E089" w14:textId="4E1DE011" w:rsidR="00C232D7" w:rsidRPr="00C149AB" w:rsidRDefault="00974F55" w:rsidP="00C232D7">
            <w:pPr>
              <w:spacing w:before="60" w:after="60" w:line="360" w:lineRule="auto"/>
              <w:rPr>
                <w:rFonts w:ascii="Arial" w:hAnsi="Arial" w:cs="Arial"/>
                <w:sz w:val="18"/>
                <w:lang w:val="sq-AL"/>
              </w:rPr>
            </w:pPr>
            <w:r w:rsidRPr="0010734D">
              <w:rPr>
                <w:rFonts w:ascii="Arial" w:hAnsi="Arial" w:cs="Arial"/>
                <w:sz w:val="18"/>
              </w:rPr>
              <w:t>2027</w:t>
            </w:r>
          </w:p>
        </w:tc>
        <w:tc>
          <w:tcPr>
            <w:tcW w:w="1366" w:type="dxa"/>
            <w:shd w:val="clear" w:color="auto" w:fill="auto"/>
            <w:vAlign w:val="center"/>
          </w:tcPr>
          <w:p w14:paraId="2B07E1FB"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40%</w:t>
            </w:r>
          </w:p>
        </w:tc>
      </w:tr>
      <w:tr w:rsidR="00C232D7" w:rsidRPr="00C149AB" w14:paraId="2AF774A4" w14:textId="77777777" w:rsidTr="007F5896">
        <w:trPr>
          <w:trHeight w:val="300"/>
          <w:jc w:val="center"/>
        </w:trPr>
        <w:tc>
          <w:tcPr>
            <w:tcW w:w="1975" w:type="dxa"/>
            <w:vMerge/>
            <w:shd w:val="clear" w:color="auto" w:fill="auto"/>
            <w:noWrap/>
            <w:vAlign w:val="center"/>
          </w:tcPr>
          <w:p w14:paraId="6F154CFE" w14:textId="77777777" w:rsidR="00C232D7" w:rsidRPr="00C149AB" w:rsidRDefault="00C232D7" w:rsidP="00C232D7">
            <w:pPr>
              <w:spacing w:before="60" w:after="60" w:line="360" w:lineRule="auto"/>
              <w:rPr>
                <w:rFonts w:ascii="Arial" w:hAnsi="Arial" w:cs="Arial"/>
                <w:sz w:val="18"/>
                <w:lang w:val="sq-AL"/>
              </w:rPr>
            </w:pPr>
          </w:p>
        </w:tc>
        <w:tc>
          <w:tcPr>
            <w:tcW w:w="6852" w:type="dxa"/>
            <w:shd w:val="clear" w:color="auto" w:fill="auto"/>
            <w:noWrap/>
          </w:tcPr>
          <w:p w14:paraId="1F37A523" w14:textId="77777777" w:rsidR="00C232D7" w:rsidRPr="00C149AB" w:rsidRDefault="00C232D7" w:rsidP="00C232D7">
            <w:pPr>
              <w:spacing w:line="360" w:lineRule="auto"/>
              <w:rPr>
                <w:rFonts w:ascii="Arial" w:hAnsi="Arial" w:cs="Arial"/>
                <w:sz w:val="18"/>
                <w:lang w:val="sq-AL"/>
              </w:rPr>
            </w:pPr>
            <w:r w:rsidRPr="00C149AB">
              <w:rPr>
                <w:rFonts w:ascii="Arial" w:hAnsi="Arial" w:cs="Arial"/>
                <w:sz w:val="18"/>
                <w:lang w:val="sq-AL"/>
              </w:rPr>
              <w:t>40% odvojeno sakupljenih za ponovnu upotrebu/recikliranje</w:t>
            </w:r>
          </w:p>
        </w:tc>
        <w:tc>
          <w:tcPr>
            <w:tcW w:w="1428" w:type="dxa"/>
            <w:shd w:val="clear" w:color="auto" w:fill="auto"/>
            <w:vAlign w:val="center"/>
          </w:tcPr>
          <w:p w14:paraId="34C6E2BE"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1,332</w:t>
            </w:r>
          </w:p>
        </w:tc>
        <w:tc>
          <w:tcPr>
            <w:tcW w:w="1583" w:type="dxa"/>
            <w:shd w:val="clear" w:color="auto" w:fill="auto"/>
            <w:vAlign w:val="center"/>
          </w:tcPr>
          <w:p w14:paraId="4CF56140"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2.0</w:t>
            </w:r>
          </w:p>
        </w:tc>
        <w:tc>
          <w:tcPr>
            <w:tcW w:w="1239" w:type="dxa"/>
            <w:shd w:val="clear" w:color="auto" w:fill="auto"/>
            <w:vAlign w:val="center"/>
          </w:tcPr>
          <w:p w14:paraId="7CA0A000"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2030</w:t>
            </w:r>
          </w:p>
        </w:tc>
        <w:tc>
          <w:tcPr>
            <w:tcW w:w="1366" w:type="dxa"/>
            <w:shd w:val="clear" w:color="auto" w:fill="auto"/>
            <w:vAlign w:val="center"/>
          </w:tcPr>
          <w:p w14:paraId="39271257"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10%</w:t>
            </w:r>
          </w:p>
        </w:tc>
      </w:tr>
    </w:tbl>
    <w:p w14:paraId="724273AB" w14:textId="5CD8CC83" w:rsidR="00C232D7" w:rsidRPr="002A6F4E" w:rsidRDefault="00C232D7" w:rsidP="00C232D7">
      <w:pPr>
        <w:spacing w:line="360" w:lineRule="auto"/>
        <w:rPr>
          <w:rFonts w:ascii="Arial" w:hAnsi="Arial" w:cs="Arial"/>
          <w:lang w:val="sq-AL"/>
        </w:rPr>
        <w:sectPr w:rsidR="00C232D7" w:rsidRPr="002A6F4E" w:rsidSect="00C232D7">
          <w:pgSz w:w="16833" w:h="11909" w:orient="landscape"/>
          <w:pgMar w:top="1134" w:right="1417" w:bottom="1417" w:left="1417" w:header="864" w:footer="864" w:gutter="0"/>
          <w:cols w:space="708"/>
          <w:docGrid w:linePitch="272"/>
        </w:sectPr>
      </w:pPr>
      <w:r w:rsidRPr="002A6F4E">
        <w:rPr>
          <w:rFonts w:ascii="Arial" w:hAnsi="Arial" w:cs="Arial"/>
          <w:bCs/>
          <w:i/>
          <w:iCs/>
          <w:lang w:val="sq-AL"/>
        </w:rPr>
        <w:t xml:space="preserve">* Metoda proračuna 2 prema Odluci 2011/753/EC </w:t>
      </w:r>
      <w:r w:rsidR="007536A1">
        <w:rPr>
          <w:rFonts w:ascii="Arial" w:hAnsi="Arial" w:cs="Arial"/>
          <w:bCs/>
          <w:i/>
          <w:iCs/>
          <w:lang w:val="sq-AL"/>
        </w:rPr>
        <w:t>i m</w:t>
      </w:r>
      <w:r w:rsidRPr="002A6F4E">
        <w:rPr>
          <w:rFonts w:ascii="Arial" w:hAnsi="Arial" w:cs="Arial"/>
          <w:bCs/>
          <w:i/>
          <w:iCs/>
          <w:lang w:val="sq-AL"/>
        </w:rPr>
        <w:t>etoda proračuna 4 prema Odluci 2011/753/EC</w:t>
      </w:r>
    </w:p>
    <w:p w14:paraId="7A5C5AE2" w14:textId="7B2C25C2" w:rsidR="00C232D7" w:rsidRPr="002A6F4E" w:rsidRDefault="00C232D7" w:rsidP="00C232D7">
      <w:pPr>
        <w:spacing w:before="120" w:after="120" w:line="360" w:lineRule="auto"/>
        <w:rPr>
          <w:rFonts w:ascii="Arial" w:hAnsi="Arial" w:cs="Arial"/>
          <w:iCs/>
          <w:lang w:val="sq-AL"/>
        </w:rPr>
      </w:pPr>
      <w:r w:rsidRPr="002A6F4E">
        <w:rPr>
          <w:rFonts w:ascii="Arial" w:hAnsi="Arial" w:cs="Arial"/>
          <w:iCs/>
          <w:lang w:val="sq-AL"/>
        </w:rPr>
        <w:lastRenderedPageBreak/>
        <w:t>U narednoj tabeli prikazani su odgovarajući ciljev</w:t>
      </w:r>
      <w:r w:rsidR="0068202D">
        <w:rPr>
          <w:rFonts w:ascii="Arial" w:hAnsi="Arial" w:cs="Arial"/>
          <w:iCs/>
          <w:lang w:val="sq-AL"/>
        </w:rPr>
        <w:t>i</w:t>
      </w:r>
      <w:r w:rsidRPr="002A6F4E">
        <w:rPr>
          <w:rFonts w:ascii="Arial" w:hAnsi="Arial" w:cs="Arial"/>
          <w:iCs/>
          <w:lang w:val="sq-AL"/>
        </w:rPr>
        <w:t xml:space="preserve"> za krajnju godinu tekućeg DPUO, odnosno 2029.</w:t>
      </w:r>
      <w:r w:rsidR="00A6616B">
        <w:rPr>
          <w:rFonts w:ascii="Arial" w:hAnsi="Arial" w:cs="Arial"/>
          <w:iCs/>
          <w:lang w:val="sq-AL"/>
        </w:rPr>
        <w:t xml:space="preserve"> godinu.</w:t>
      </w:r>
    </w:p>
    <w:p w14:paraId="4417825E" w14:textId="6BF462B2" w:rsidR="00C232D7" w:rsidRPr="00C149AB" w:rsidRDefault="00C232D7" w:rsidP="00C232D7">
      <w:pPr>
        <w:pStyle w:val="Caption"/>
        <w:rPr>
          <w:rFonts w:ascii="Arial" w:hAnsi="Arial" w:cs="Arial"/>
          <w:b w:val="0"/>
          <w:szCs w:val="20"/>
          <w:lang w:val="sq-AL"/>
        </w:rPr>
      </w:pPr>
      <w:bookmarkStart w:id="1191" w:name="_Toc189515673"/>
      <w:bookmarkStart w:id="1192" w:name="_Toc190160791"/>
      <w:bookmarkStart w:id="1193" w:name="_Toc130833055"/>
      <w:r w:rsidRPr="00C149AB">
        <w:rPr>
          <w:rFonts w:ascii="Arial" w:hAnsi="Arial" w:cs="Arial"/>
          <w:b w:val="0"/>
          <w:szCs w:val="20"/>
          <w:lang w:val="sq-AL"/>
        </w:rPr>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96</w:t>
      </w:r>
      <w:r w:rsidRPr="00C149AB">
        <w:rPr>
          <w:rFonts w:ascii="Arial" w:hAnsi="Arial" w:cs="Arial"/>
          <w:b w:val="0"/>
          <w:szCs w:val="20"/>
        </w:rPr>
        <w:fldChar w:fldCharType="end"/>
      </w:r>
      <w:r w:rsidRPr="00C149AB">
        <w:rPr>
          <w:rFonts w:ascii="Arial" w:hAnsi="Arial" w:cs="Arial"/>
          <w:b w:val="0"/>
          <w:szCs w:val="20"/>
          <w:lang w:val="sq-AL"/>
        </w:rPr>
        <w:t xml:space="preserve"> </w:t>
      </w:r>
      <w:r w:rsidRPr="00C149AB">
        <w:rPr>
          <w:rFonts w:ascii="Arial" w:hAnsi="Arial" w:cs="Arial"/>
          <w:b w:val="0"/>
          <w:iCs/>
          <w:szCs w:val="20"/>
          <w:lang w:val="sq-AL"/>
        </w:rPr>
        <w:t xml:space="preserve">Kvantifikacija ciljeva reciklaže otpada za </w:t>
      </w:r>
      <w:r w:rsidR="00B40E88" w:rsidRPr="00C149AB">
        <w:rPr>
          <w:rFonts w:ascii="Arial" w:hAnsi="Arial" w:cs="Arial"/>
          <w:b w:val="0"/>
          <w:iCs/>
          <w:szCs w:val="20"/>
          <w:lang w:val="sq-AL"/>
        </w:rPr>
        <w:t>2029</w:t>
      </w:r>
      <w:r w:rsidRPr="00C149AB">
        <w:rPr>
          <w:rFonts w:ascii="Arial" w:hAnsi="Arial" w:cs="Arial"/>
          <w:b w:val="0"/>
          <w:iCs/>
          <w:szCs w:val="20"/>
          <w:lang w:val="sq-AL"/>
        </w:rPr>
        <w:t>. godinu</w:t>
      </w:r>
      <w:bookmarkEnd w:id="1191"/>
      <w:bookmarkEnd w:id="1192"/>
      <w:r w:rsidRPr="00C149AB">
        <w:rPr>
          <w:rFonts w:ascii="Arial" w:hAnsi="Arial" w:cs="Arial"/>
          <w:b w:val="0"/>
          <w:szCs w:val="20"/>
          <w:lang w:val="sq-AL"/>
        </w:rPr>
        <w:t xml:space="preserve"> </w:t>
      </w:r>
      <w:bookmarkEnd w:id="1193"/>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1795"/>
        <w:gridCol w:w="5641"/>
        <w:gridCol w:w="1906"/>
      </w:tblGrid>
      <w:tr w:rsidR="00C232D7" w:rsidRPr="00C149AB" w14:paraId="047E0FFE" w14:textId="77777777" w:rsidTr="00C232D7">
        <w:trPr>
          <w:trHeight w:val="521"/>
          <w:tblHeader/>
          <w:jc w:val="center"/>
        </w:trPr>
        <w:tc>
          <w:tcPr>
            <w:tcW w:w="961" w:type="pct"/>
            <w:shd w:val="clear" w:color="auto" w:fill="F2F2F2" w:themeFill="background1" w:themeFillShade="F2"/>
          </w:tcPr>
          <w:p w14:paraId="54F12A23" w14:textId="77777777" w:rsidR="00C232D7" w:rsidRPr="00C149AB" w:rsidRDefault="00C232D7" w:rsidP="00C232D7">
            <w:pPr>
              <w:spacing w:after="120" w:line="360" w:lineRule="auto"/>
              <w:ind w:right="45"/>
              <w:rPr>
                <w:rFonts w:ascii="Arial" w:hAnsi="Arial" w:cs="Arial"/>
                <w:b/>
                <w:bCs/>
                <w:sz w:val="18"/>
              </w:rPr>
            </w:pPr>
            <w:r w:rsidRPr="00C149AB">
              <w:rPr>
                <w:rFonts w:ascii="Arial" w:hAnsi="Arial" w:cs="Arial"/>
                <w:b/>
                <w:bCs/>
                <w:sz w:val="18"/>
              </w:rPr>
              <w:t>Vrsta otpada</w:t>
            </w:r>
          </w:p>
        </w:tc>
        <w:tc>
          <w:tcPr>
            <w:tcW w:w="3019" w:type="pct"/>
            <w:shd w:val="clear" w:color="auto" w:fill="F2F2F2" w:themeFill="background1" w:themeFillShade="F2"/>
            <w:vAlign w:val="center"/>
          </w:tcPr>
          <w:p w14:paraId="42EA6053" w14:textId="77777777" w:rsidR="00C232D7" w:rsidRPr="00C149AB" w:rsidRDefault="00C232D7" w:rsidP="00C232D7">
            <w:pPr>
              <w:spacing w:after="120" w:line="360" w:lineRule="auto"/>
              <w:ind w:right="45"/>
              <w:rPr>
                <w:rFonts w:ascii="Arial" w:hAnsi="Arial" w:cs="Arial"/>
                <w:b/>
                <w:bCs/>
                <w:sz w:val="18"/>
              </w:rPr>
            </w:pPr>
            <w:r w:rsidRPr="00C149AB">
              <w:rPr>
                <w:rFonts w:ascii="Arial" w:hAnsi="Arial" w:cs="Arial"/>
                <w:b/>
                <w:bCs/>
                <w:sz w:val="18"/>
              </w:rPr>
              <w:t>Opis cilja</w:t>
            </w:r>
          </w:p>
        </w:tc>
        <w:tc>
          <w:tcPr>
            <w:tcW w:w="1020" w:type="pct"/>
            <w:shd w:val="clear" w:color="auto" w:fill="F2F2F2" w:themeFill="background1" w:themeFillShade="F2"/>
            <w:vAlign w:val="center"/>
          </w:tcPr>
          <w:p w14:paraId="347E214D" w14:textId="77777777" w:rsidR="00C232D7" w:rsidRPr="00C149AB" w:rsidRDefault="00C232D7" w:rsidP="00C232D7">
            <w:pPr>
              <w:spacing w:after="120" w:line="360" w:lineRule="auto"/>
              <w:ind w:right="45"/>
              <w:rPr>
                <w:rFonts w:ascii="Arial" w:hAnsi="Arial" w:cs="Arial"/>
                <w:b/>
                <w:bCs/>
                <w:sz w:val="18"/>
              </w:rPr>
            </w:pPr>
            <w:r w:rsidRPr="00C149AB">
              <w:rPr>
                <w:rFonts w:ascii="Arial" w:hAnsi="Arial" w:cs="Arial"/>
                <w:b/>
                <w:bCs/>
                <w:sz w:val="18"/>
              </w:rPr>
              <w:t>Kvantifikovani cilj</w:t>
            </w:r>
          </w:p>
          <w:p w14:paraId="65D055F2" w14:textId="77777777" w:rsidR="00C232D7" w:rsidRPr="00C149AB" w:rsidRDefault="00C232D7" w:rsidP="00C232D7">
            <w:pPr>
              <w:spacing w:after="120" w:line="360" w:lineRule="auto"/>
              <w:ind w:right="45"/>
              <w:rPr>
                <w:rFonts w:ascii="Arial" w:hAnsi="Arial" w:cs="Arial"/>
                <w:b/>
                <w:bCs/>
                <w:sz w:val="18"/>
              </w:rPr>
            </w:pPr>
            <w:r w:rsidRPr="00C149AB">
              <w:rPr>
                <w:rFonts w:ascii="Arial" w:hAnsi="Arial" w:cs="Arial"/>
                <w:b/>
                <w:bCs/>
                <w:sz w:val="18"/>
              </w:rPr>
              <w:t>(t/god)</w:t>
            </w:r>
          </w:p>
        </w:tc>
      </w:tr>
      <w:tr w:rsidR="00C232D7" w:rsidRPr="00C149AB" w14:paraId="2F6B100E" w14:textId="77777777" w:rsidTr="00C232D7">
        <w:trPr>
          <w:jc w:val="center"/>
        </w:trPr>
        <w:tc>
          <w:tcPr>
            <w:tcW w:w="961" w:type="pct"/>
            <w:shd w:val="clear" w:color="auto" w:fill="auto"/>
          </w:tcPr>
          <w:p w14:paraId="7338260A" w14:textId="77777777" w:rsidR="00C232D7" w:rsidRPr="00C149AB" w:rsidRDefault="00C232D7" w:rsidP="00C232D7">
            <w:pPr>
              <w:spacing w:after="120" w:line="360" w:lineRule="auto"/>
              <w:rPr>
                <w:rFonts w:ascii="Arial" w:hAnsi="Arial" w:cs="Arial"/>
                <w:sz w:val="18"/>
                <w:highlight w:val="cyan"/>
                <w:lang w:bidi="ar-AE"/>
              </w:rPr>
            </w:pPr>
            <w:r w:rsidRPr="00C149AB">
              <w:rPr>
                <w:rFonts w:ascii="Arial" w:hAnsi="Arial" w:cs="Arial"/>
                <w:sz w:val="18"/>
              </w:rPr>
              <w:t>Komunalni otpad</w:t>
            </w:r>
          </w:p>
        </w:tc>
        <w:tc>
          <w:tcPr>
            <w:tcW w:w="3019" w:type="pct"/>
            <w:vAlign w:val="center"/>
          </w:tcPr>
          <w:p w14:paraId="4C183243" w14:textId="6B29D1C7" w:rsidR="00C232D7" w:rsidRPr="00C149AB" w:rsidRDefault="00C232D7" w:rsidP="00C232D7">
            <w:pPr>
              <w:spacing w:after="120" w:line="360" w:lineRule="auto"/>
              <w:rPr>
                <w:rFonts w:ascii="Arial" w:hAnsi="Arial" w:cs="Arial"/>
                <w:sz w:val="18"/>
              </w:rPr>
            </w:pPr>
            <w:r w:rsidRPr="00C149AB">
              <w:rPr>
                <w:rFonts w:ascii="Arial" w:hAnsi="Arial" w:cs="Arial"/>
                <w:sz w:val="18"/>
              </w:rPr>
              <w:t>Najmanje 30% otpadnih materijala, kao što su papir, metal, plastika i staklo, iz domaćinstava i drugih izvora u kojima su tokovi otpada slični tokovima kućnog otpada, treba pripremiti za ponovnu upotrebu i recikl</w:t>
            </w:r>
            <w:r w:rsidR="00974F55">
              <w:rPr>
                <w:rFonts w:ascii="Arial" w:hAnsi="Arial" w:cs="Arial"/>
                <w:sz w:val="18"/>
              </w:rPr>
              <w:t>iranje</w:t>
            </w:r>
          </w:p>
          <w:p w14:paraId="574D0C14" w14:textId="77777777" w:rsidR="00C232D7" w:rsidRPr="00C149AB" w:rsidRDefault="00C232D7" w:rsidP="00C232D7">
            <w:pPr>
              <w:spacing w:after="120" w:line="360" w:lineRule="auto"/>
              <w:rPr>
                <w:rFonts w:ascii="Arial" w:hAnsi="Arial" w:cs="Arial"/>
                <w:sz w:val="18"/>
                <w:highlight w:val="cyan"/>
              </w:rPr>
            </w:pPr>
          </w:p>
        </w:tc>
        <w:tc>
          <w:tcPr>
            <w:tcW w:w="1020" w:type="pct"/>
            <w:vAlign w:val="center"/>
          </w:tcPr>
          <w:p w14:paraId="41D55001" w14:textId="77777777" w:rsidR="00C232D7" w:rsidRPr="00C149AB" w:rsidRDefault="00C232D7" w:rsidP="00C232D7">
            <w:pPr>
              <w:spacing w:after="120" w:line="360" w:lineRule="auto"/>
              <w:jc w:val="center"/>
              <w:rPr>
                <w:rFonts w:ascii="Arial" w:hAnsi="Arial" w:cs="Arial"/>
                <w:sz w:val="18"/>
                <w:lang w:bidi="ar-AE"/>
              </w:rPr>
            </w:pPr>
            <w:r w:rsidRPr="00C149AB">
              <w:rPr>
                <w:rFonts w:ascii="Arial" w:hAnsi="Arial" w:cs="Arial"/>
                <w:sz w:val="18"/>
                <w:lang w:bidi="ar-AE"/>
              </w:rPr>
              <w:t>57.048</w:t>
            </w:r>
          </w:p>
        </w:tc>
      </w:tr>
      <w:tr w:rsidR="00C232D7" w:rsidRPr="00C149AB" w14:paraId="68F328D7" w14:textId="77777777" w:rsidTr="00C232D7">
        <w:trPr>
          <w:jc w:val="center"/>
        </w:trPr>
        <w:tc>
          <w:tcPr>
            <w:tcW w:w="961" w:type="pct"/>
            <w:shd w:val="clear" w:color="auto" w:fill="auto"/>
          </w:tcPr>
          <w:p w14:paraId="3953ACD2" w14:textId="77777777" w:rsidR="00C232D7" w:rsidRPr="00C149AB" w:rsidRDefault="00C232D7" w:rsidP="00C232D7">
            <w:pPr>
              <w:spacing w:after="120" w:line="360" w:lineRule="auto"/>
              <w:rPr>
                <w:rFonts w:ascii="Arial" w:hAnsi="Arial" w:cs="Arial"/>
                <w:sz w:val="18"/>
                <w:highlight w:val="cyan"/>
              </w:rPr>
            </w:pPr>
            <w:r w:rsidRPr="00C149AB">
              <w:rPr>
                <w:rFonts w:ascii="Arial" w:hAnsi="Arial" w:cs="Arial"/>
                <w:sz w:val="18"/>
              </w:rPr>
              <w:t>Ambalažni otpad</w:t>
            </w:r>
          </w:p>
        </w:tc>
        <w:tc>
          <w:tcPr>
            <w:tcW w:w="3019" w:type="pct"/>
            <w:vAlign w:val="center"/>
          </w:tcPr>
          <w:p w14:paraId="5A19D5EB" w14:textId="77777777" w:rsidR="00C232D7" w:rsidRPr="00C149AB" w:rsidRDefault="00C232D7" w:rsidP="00C232D7">
            <w:pPr>
              <w:spacing w:after="120" w:line="360" w:lineRule="auto"/>
              <w:rPr>
                <w:rFonts w:ascii="Arial" w:hAnsi="Arial" w:cs="Arial"/>
                <w:sz w:val="18"/>
              </w:rPr>
            </w:pPr>
            <w:r w:rsidRPr="00C149AB">
              <w:rPr>
                <w:rFonts w:ascii="Arial" w:hAnsi="Arial" w:cs="Arial"/>
                <w:sz w:val="18"/>
              </w:rPr>
              <w:t>25% ambalažnog otpada se reciklira</w:t>
            </w:r>
          </w:p>
          <w:p w14:paraId="2C308C36" w14:textId="77777777" w:rsidR="00C232D7" w:rsidRPr="00C149AB" w:rsidRDefault="00C232D7" w:rsidP="00C232D7">
            <w:pPr>
              <w:spacing w:after="120" w:line="360" w:lineRule="auto"/>
              <w:rPr>
                <w:rFonts w:ascii="Arial" w:hAnsi="Arial" w:cs="Arial"/>
                <w:sz w:val="18"/>
              </w:rPr>
            </w:pPr>
            <w:r w:rsidRPr="00C149AB">
              <w:rPr>
                <w:rFonts w:ascii="Arial" w:hAnsi="Arial" w:cs="Arial"/>
                <w:sz w:val="18"/>
              </w:rPr>
              <w:t>Recikliranje 30% mase staklene ambalaže</w:t>
            </w:r>
          </w:p>
          <w:p w14:paraId="5D7FC669" w14:textId="77777777" w:rsidR="00C232D7" w:rsidRPr="00C149AB" w:rsidRDefault="00C232D7" w:rsidP="00C232D7">
            <w:pPr>
              <w:spacing w:after="120" w:line="360" w:lineRule="auto"/>
              <w:rPr>
                <w:rFonts w:ascii="Arial" w:hAnsi="Arial" w:cs="Arial"/>
                <w:sz w:val="18"/>
              </w:rPr>
            </w:pPr>
            <w:r w:rsidRPr="00C149AB">
              <w:rPr>
                <w:rFonts w:ascii="Arial" w:hAnsi="Arial" w:cs="Arial"/>
                <w:sz w:val="18"/>
              </w:rPr>
              <w:t>Reciklaža 30% mase papirne i kartonske ambalaže</w:t>
            </w:r>
          </w:p>
          <w:p w14:paraId="09EB9F56" w14:textId="77777777" w:rsidR="00C232D7" w:rsidRPr="00C149AB" w:rsidRDefault="00C232D7" w:rsidP="00C232D7">
            <w:pPr>
              <w:spacing w:after="120" w:line="360" w:lineRule="auto"/>
              <w:rPr>
                <w:rFonts w:ascii="Arial" w:hAnsi="Arial" w:cs="Arial"/>
                <w:sz w:val="18"/>
              </w:rPr>
            </w:pPr>
            <w:r w:rsidRPr="00C149AB">
              <w:rPr>
                <w:rFonts w:ascii="Arial" w:hAnsi="Arial" w:cs="Arial"/>
                <w:sz w:val="18"/>
              </w:rPr>
              <w:t>Recikliranje 40% mase metalne ambalaže</w:t>
            </w:r>
          </w:p>
          <w:p w14:paraId="2F4C5D04" w14:textId="77777777" w:rsidR="00C232D7" w:rsidRPr="00C149AB" w:rsidRDefault="00C232D7" w:rsidP="00C232D7">
            <w:pPr>
              <w:spacing w:after="120" w:line="360" w:lineRule="auto"/>
              <w:rPr>
                <w:rFonts w:ascii="Arial" w:hAnsi="Arial" w:cs="Arial"/>
                <w:sz w:val="18"/>
              </w:rPr>
            </w:pPr>
            <w:r w:rsidRPr="00C149AB">
              <w:rPr>
                <w:rFonts w:ascii="Arial" w:hAnsi="Arial" w:cs="Arial"/>
                <w:sz w:val="18"/>
              </w:rPr>
              <w:t>Recikliranje 15% mase plastične ambalaže</w:t>
            </w:r>
          </w:p>
          <w:p w14:paraId="1F9933D4" w14:textId="77777777" w:rsidR="00C232D7" w:rsidRPr="00C149AB" w:rsidRDefault="00C232D7" w:rsidP="00C232D7">
            <w:pPr>
              <w:spacing w:after="120" w:line="360" w:lineRule="auto"/>
              <w:rPr>
                <w:rFonts w:ascii="Arial" w:hAnsi="Arial" w:cs="Arial"/>
                <w:sz w:val="18"/>
              </w:rPr>
            </w:pPr>
            <w:r w:rsidRPr="00C149AB">
              <w:rPr>
                <w:rFonts w:ascii="Arial" w:hAnsi="Arial" w:cs="Arial"/>
                <w:sz w:val="18"/>
              </w:rPr>
              <w:t>Reciklaža 5% drvne mase</w:t>
            </w:r>
          </w:p>
          <w:p w14:paraId="53660988" w14:textId="77777777" w:rsidR="00C232D7" w:rsidRPr="00C149AB" w:rsidRDefault="00C232D7" w:rsidP="00C232D7">
            <w:pPr>
              <w:spacing w:after="120" w:line="360" w:lineRule="auto"/>
              <w:rPr>
                <w:rFonts w:ascii="Arial" w:hAnsi="Arial" w:cs="Arial"/>
                <w:sz w:val="18"/>
                <w:highlight w:val="cyan"/>
              </w:rPr>
            </w:pPr>
          </w:p>
        </w:tc>
        <w:tc>
          <w:tcPr>
            <w:tcW w:w="1020" w:type="pct"/>
            <w:vAlign w:val="center"/>
          </w:tcPr>
          <w:p w14:paraId="0C88851E" w14:textId="77777777" w:rsidR="00C232D7" w:rsidRPr="00C149AB" w:rsidRDefault="00C232D7" w:rsidP="00C232D7">
            <w:pPr>
              <w:spacing w:after="120" w:line="360" w:lineRule="auto"/>
              <w:jc w:val="center"/>
              <w:rPr>
                <w:rFonts w:ascii="Arial" w:hAnsi="Arial" w:cs="Arial"/>
                <w:sz w:val="18"/>
                <w:lang w:bidi="ar-AE"/>
              </w:rPr>
            </w:pPr>
            <w:r w:rsidRPr="00C149AB">
              <w:rPr>
                <w:rFonts w:ascii="Arial" w:hAnsi="Arial" w:cs="Arial"/>
                <w:sz w:val="18"/>
                <w:lang w:bidi="ar-AE"/>
              </w:rPr>
              <w:t>24.660</w:t>
            </w:r>
          </w:p>
          <w:p w14:paraId="6C679A26" w14:textId="77777777" w:rsidR="00C232D7" w:rsidRPr="00C149AB" w:rsidRDefault="00C232D7" w:rsidP="00C232D7">
            <w:pPr>
              <w:spacing w:after="120" w:line="360" w:lineRule="auto"/>
              <w:jc w:val="center"/>
              <w:rPr>
                <w:rFonts w:ascii="Arial" w:hAnsi="Arial" w:cs="Arial"/>
                <w:sz w:val="18"/>
                <w:lang w:bidi="ar-AE"/>
              </w:rPr>
            </w:pPr>
            <w:r w:rsidRPr="00C149AB">
              <w:rPr>
                <w:rFonts w:ascii="Arial" w:hAnsi="Arial" w:cs="Arial"/>
                <w:sz w:val="18"/>
                <w:lang w:bidi="ar-AE"/>
              </w:rPr>
              <w:t>4.189</w:t>
            </w:r>
          </w:p>
          <w:p w14:paraId="5D91A43B" w14:textId="77777777" w:rsidR="00C232D7" w:rsidRPr="00C149AB" w:rsidRDefault="00C232D7" w:rsidP="00C232D7">
            <w:pPr>
              <w:spacing w:after="120" w:line="360" w:lineRule="auto"/>
              <w:jc w:val="center"/>
              <w:rPr>
                <w:rFonts w:ascii="Arial" w:hAnsi="Arial" w:cs="Arial"/>
                <w:sz w:val="18"/>
                <w:lang w:bidi="ar-AE"/>
              </w:rPr>
            </w:pPr>
            <w:r w:rsidRPr="00C149AB">
              <w:rPr>
                <w:rFonts w:ascii="Arial" w:hAnsi="Arial" w:cs="Arial"/>
                <w:sz w:val="18"/>
                <w:lang w:bidi="ar-AE"/>
              </w:rPr>
              <w:t>8.570</w:t>
            </w:r>
          </w:p>
          <w:p w14:paraId="37565229" w14:textId="77777777" w:rsidR="00C232D7" w:rsidRPr="00C149AB" w:rsidRDefault="00C232D7" w:rsidP="00C232D7">
            <w:pPr>
              <w:spacing w:after="120" w:line="360" w:lineRule="auto"/>
              <w:jc w:val="center"/>
              <w:rPr>
                <w:rFonts w:ascii="Arial" w:hAnsi="Arial" w:cs="Arial"/>
                <w:sz w:val="18"/>
                <w:lang w:bidi="ar-AE"/>
              </w:rPr>
            </w:pPr>
            <w:r w:rsidRPr="00C149AB">
              <w:rPr>
                <w:rFonts w:ascii="Arial" w:hAnsi="Arial" w:cs="Arial"/>
                <w:sz w:val="18"/>
                <w:lang w:bidi="ar-AE"/>
              </w:rPr>
              <w:t>3.772</w:t>
            </w:r>
          </w:p>
          <w:p w14:paraId="059AC9DD" w14:textId="77777777" w:rsidR="00C232D7" w:rsidRPr="00C149AB" w:rsidRDefault="00C232D7" w:rsidP="00C232D7">
            <w:pPr>
              <w:spacing w:after="120" w:line="360" w:lineRule="auto"/>
              <w:jc w:val="center"/>
              <w:rPr>
                <w:rFonts w:ascii="Arial" w:hAnsi="Arial" w:cs="Arial"/>
                <w:sz w:val="18"/>
                <w:lang w:bidi="ar-AE"/>
              </w:rPr>
            </w:pPr>
            <w:r w:rsidRPr="00C149AB">
              <w:rPr>
                <w:rFonts w:ascii="Arial" w:hAnsi="Arial" w:cs="Arial"/>
                <w:sz w:val="18"/>
                <w:lang w:bidi="ar-AE"/>
              </w:rPr>
              <w:t>5.243</w:t>
            </w:r>
          </w:p>
          <w:p w14:paraId="1E3EC408" w14:textId="77777777" w:rsidR="00C232D7" w:rsidRPr="00C149AB" w:rsidRDefault="00C232D7" w:rsidP="00C232D7">
            <w:pPr>
              <w:spacing w:after="120" w:line="360" w:lineRule="auto"/>
              <w:jc w:val="center"/>
              <w:rPr>
                <w:rFonts w:ascii="Arial" w:hAnsi="Arial" w:cs="Arial"/>
                <w:sz w:val="18"/>
                <w:lang w:bidi="ar-AE"/>
              </w:rPr>
            </w:pPr>
            <w:r w:rsidRPr="00C149AB">
              <w:rPr>
                <w:rFonts w:ascii="Arial" w:hAnsi="Arial" w:cs="Arial"/>
                <w:sz w:val="18"/>
                <w:lang w:bidi="ar-AE"/>
              </w:rPr>
              <w:t>95</w:t>
            </w:r>
          </w:p>
        </w:tc>
      </w:tr>
      <w:tr w:rsidR="00C232D7" w:rsidRPr="00C149AB" w14:paraId="4AECA4FF" w14:textId="77777777" w:rsidTr="00C232D7">
        <w:trPr>
          <w:jc w:val="center"/>
        </w:trPr>
        <w:tc>
          <w:tcPr>
            <w:tcW w:w="961" w:type="pct"/>
            <w:shd w:val="clear" w:color="auto" w:fill="auto"/>
          </w:tcPr>
          <w:p w14:paraId="5372BA50" w14:textId="77777777" w:rsidR="00C232D7" w:rsidRPr="00C149AB" w:rsidRDefault="00C232D7" w:rsidP="00C232D7">
            <w:pPr>
              <w:spacing w:after="120" w:line="360" w:lineRule="auto"/>
              <w:rPr>
                <w:rFonts w:ascii="Arial" w:hAnsi="Arial" w:cs="Arial"/>
                <w:sz w:val="18"/>
                <w:highlight w:val="cyan"/>
              </w:rPr>
            </w:pPr>
            <w:r w:rsidRPr="00C149AB">
              <w:rPr>
                <w:rFonts w:ascii="Arial" w:hAnsi="Arial" w:cs="Arial"/>
                <w:sz w:val="18"/>
              </w:rPr>
              <w:t>Kabasti otpad</w:t>
            </w:r>
          </w:p>
        </w:tc>
        <w:tc>
          <w:tcPr>
            <w:tcW w:w="3019" w:type="pct"/>
            <w:vAlign w:val="center"/>
          </w:tcPr>
          <w:p w14:paraId="736272B7" w14:textId="77777777" w:rsidR="00C232D7" w:rsidRPr="00C149AB" w:rsidRDefault="00C232D7" w:rsidP="00C232D7">
            <w:pPr>
              <w:spacing w:after="120" w:line="360" w:lineRule="auto"/>
              <w:rPr>
                <w:rFonts w:ascii="Arial" w:hAnsi="Arial" w:cs="Arial"/>
                <w:sz w:val="18"/>
                <w:highlight w:val="cyan"/>
              </w:rPr>
            </w:pPr>
            <w:r w:rsidRPr="00C149AB">
              <w:rPr>
                <w:rFonts w:ascii="Arial" w:hAnsi="Arial" w:cs="Arial"/>
                <w:sz w:val="18"/>
              </w:rPr>
              <w:t>20% odvojeno sakupljenje otpada za ponovnu upotrebu/recikliranje</w:t>
            </w:r>
          </w:p>
        </w:tc>
        <w:tc>
          <w:tcPr>
            <w:tcW w:w="1020" w:type="pct"/>
            <w:vAlign w:val="center"/>
          </w:tcPr>
          <w:p w14:paraId="22D7C6A6" w14:textId="77777777" w:rsidR="00C232D7" w:rsidRPr="00C149AB" w:rsidRDefault="00C232D7" w:rsidP="00C232D7">
            <w:pPr>
              <w:spacing w:after="120" w:line="360" w:lineRule="auto"/>
              <w:jc w:val="center"/>
              <w:rPr>
                <w:rFonts w:ascii="Arial" w:hAnsi="Arial" w:cs="Arial"/>
                <w:sz w:val="18"/>
                <w:lang w:bidi="ar-AE"/>
              </w:rPr>
            </w:pPr>
            <w:r w:rsidRPr="00C149AB">
              <w:rPr>
                <w:rFonts w:ascii="Arial" w:hAnsi="Arial" w:cs="Arial"/>
                <w:sz w:val="18"/>
                <w:lang w:bidi="ar-AE"/>
              </w:rPr>
              <w:t>331</w:t>
            </w:r>
          </w:p>
        </w:tc>
      </w:tr>
    </w:tbl>
    <w:p w14:paraId="360A50AD" w14:textId="77777777" w:rsidR="00951984" w:rsidRDefault="00951984" w:rsidP="00C232D7">
      <w:pPr>
        <w:spacing w:before="120" w:after="120" w:line="360" w:lineRule="auto"/>
        <w:rPr>
          <w:rFonts w:ascii="Arial" w:hAnsi="Arial" w:cs="Arial"/>
        </w:rPr>
      </w:pPr>
    </w:p>
    <w:p w14:paraId="7382AA8B" w14:textId="3E7A2319" w:rsidR="00C232D7" w:rsidRDefault="00C232D7" w:rsidP="00C232D7">
      <w:pPr>
        <w:spacing w:before="120" w:after="120" w:line="360" w:lineRule="auto"/>
        <w:rPr>
          <w:rFonts w:ascii="Arial" w:hAnsi="Arial" w:cs="Arial"/>
        </w:rPr>
      </w:pPr>
      <w:r w:rsidRPr="002A6F4E">
        <w:rPr>
          <w:rFonts w:ascii="Arial" w:hAnsi="Arial" w:cs="Arial"/>
        </w:rPr>
        <w:t>Napominje se da će nakon 2030. godine biti potrebno da se ispuni  nekoliko ciljeva upravljanja otpadom u okviru paketa cirkularne ekonomije, od kojih glavni uključuju:</w:t>
      </w:r>
    </w:p>
    <w:p w14:paraId="44C5E094" w14:textId="77777777" w:rsidR="00951984" w:rsidRPr="002A6F4E" w:rsidRDefault="00951984" w:rsidP="00C232D7">
      <w:pPr>
        <w:spacing w:before="120" w:after="120" w:line="360" w:lineRule="auto"/>
        <w:rPr>
          <w:rFonts w:ascii="Arial" w:hAnsi="Arial" w:cs="Arial"/>
        </w:rPr>
      </w:pPr>
    </w:p>
    <w:p w14:paraId="76D58384" w14:textId="2832AE59" w:rsidR="00C232D7" w:rsidRPr="002A6F4E" w:rsidRDefault="00C232D7" w:rsidP="00A23ED0">
      <w:pPr>
        <w:pStyle w:val="ListParagraph"/>
        <w:numPr>
          <w:ilvl w:val="0"/>
          <w:numId w:val="59"/>
        </w:numPr>
        <w:spacing w:before="120" w:after="120" w:line="360" w:lineRule="auto"/>
        <w:rPr>
          <w:rFonts w:ascii="Arial" w:hAnsi="Arial" w:cs="Arial"/>
        </w:rPr>
      </w:pPr>
      <w:r w:rsidRPr="002A6F4E">
        <w:rPr>
          <w:rFonts w:ascii="Arial" w:hAnsi="Arial" w:cs="Arial"/>
        </w:rPr>
        <w:t>Najmanje 55% otpadnih materijala, kao što su</w:t>
      </w:r>
      <w:r w:rsidR="00A6616B">
        <w:rPr>
          <w:rFonts w:ascii="Arial" w:hAnsi="Arial" w:cs="Arial"/>
        </w:rPr>
        <w:t>:</w:t>
      </w:r>
      <w:r w:rsidRPr="002A6F4E">
        <w:rPr>
          <w:rFonts w:ascii="Arial" w:hAnsi="Arial" w:cs="Arial"/>
        </w:rPr>
        <w:t xml:space="preserve"> papir, metal, plastika i staklo, iz domaćinstava i drugih izvora u kojima su tokovi otpada slični tokovima kućnog otpada, treba da se pripremi za ponovnu upotrebu i reciklažu, do 2035. godine;</w:t>
      </w:r>
    </w:p>
    <w:p w14:paraId="782343E1" w14:textId="3E61A4D2" w:rsidR="00C232D7" w:rsidRDefault="00C232D7" w:rsidP="00A23ED0">
      <w:pPr>
        <w:pStyle w:val="ListParagraph"/>
        <w:numPr>
          <w:ilvl w:val="0"/>
          <w:numId w:val="59"/>
        </w:numPr>
        <w:spacing w:before="120" w:after="120" w:line="360" w:lineRule="auto"/>
        <w:rPr>
          <w:rFonts w:ascii="Arial" w:hAnsi="Arial" w:cs="Arial"/>
        </w:rPr>
      </w:pPr>
      <w:r w:rsidRPr="002A6F4E">
        <w:rPr>
          <w:rFonts w:ascii="Arial" w:hAnsi="Arial" w:cs="Arial"/>
        </w:rPr>
        <w:t>Najmanje 60% otpadnih materijala, kao što su</w:t>
      </w:r>
      <w:r w:rsidR="00A6616B">
        <w:rPr>
          <w:rFonts w:ascii="Arial" w:hAnsi="Arial" w:cs="Arial"/>
        </w:rPr>
        <w:t>:</w:t>
      </w:r>
      <w:r w:rsidRPr="002A6F4E">
        <w:rPr>
          <w:rFonts w:ascii="Arial" w:hAnsi="Arial" w:cs="Arial"/>
        </w:rPr>
        <w:t xml:space="preserve"> papir, metal, plastika i staklo, iz domaćinstava i drugih izvora u kojima su tokovi otpada slični tokovima kućnog otpada, treba da se pripremi za ponovnu upotrebu i recikl</w:t>
      </w:r>
      <w:r w:rsidR="00847030">
        <w:rPr>
          <w:rFonts w:ascii="Arial" w:hAnsi="Arial" w:cs="Arial"/>
        </w:rPr>
        <w:t>iranje</w:t>
      </w:r>
      <w:r w:rsidRPr="002A6F4E">
        <w:rPr>
          <w:rFonts w:ascii="Arial" w:hAnsi="Arial" w:cs="Arial"/>
        </w:rPr>
        <w:t>, do 2040. godine;</w:t>
      </w:r>
    </w:p>
    <w:p w14:paraId="242D47E1" w14:textId="77777777" w:rsidR="00951984" w:rsidRPr="002A6F4E" w:rsidRDefault="00951984" w:rsidP="00951984">
      <w:pPr>
        <w:pStyle w:val="ListParagraph"/>
        <w:spacing w:before="120" w:after="120" w:line="360" w:lineRule="auto"/>
        <w:rPr>
          <w:rFonts w:ascii="Arial" w:hAnsi="Arial" w:cs="Arial"/>
        </w:rPr>
      </w:pPr>
    </w:p>
    <w:p w14:paraId="7BF00259" w14:textId="0D8512CA" w:rsidR="00C232D7" w:rsidRPr="002A6F4E" w:rsidRDefault="00C232D7" w:rsidP="00C232D7">
      <w:pPr>
        <w:spacing w:before="120" w:after="120" w:line="360" w:lineRule="auto"/>
        <w:rPr>
          <w:rFonts w:ascii="Arial" w:hAnsi="Arial" w:cs="Arial"/>
        </w:rPr>
      </w:pPr>
      <w:r w:rsidRPr="002A6F4E">
        <w:rPr>
          <w:rFonts w:ascii="Arial" w:hAnsi="Arial" w:cs="Arial"/>
        </w:rPr>
        <w:t xml:space="preserve">Da bi se postigli ovi ciljevi, u periodu od </w:t>
      </w:r>
      <w:r w:rsidR="00B40E88" w:rsidRPr="002A6F4E">
        <w:rPr>
          <w:rFonts w:ascii="Arial" w:hAnsi="Arial" w:cs="Arial"/>
        </w:rPr>
        <w:t>2029</w:t>
      </w:r>
      <w:r w:rsidRPr="002A6F4E">
        <w:rPr>
          <w:rFonts w:ascii="Arial" w:hAnsi="Arial" w:cs="Arial"/>
        </w:rPr>
        <w:t xml:space="preserve">. godine biće potrebno sprovesti dodatna ulaganja i inicijative za odvojeno sakupljanje otpada i </w:t>
      </w:r>
      <w:r w:rsidR="00847030">
        <w:rPr>
          <w:rFonts w:ascii="Arial" w:hAnsi="Arial" w:cs="Arial"/>
        </w:rPr>
        <w:t>obradu</w:t>
      </w:r>
      <w:r w:rsidR="00847030" w:rsidRPr="002A6F4E">
        <w:rPr>
          <w:rFonts w:ascii="Arial" w:hAnsi="Arial" w:cs="Arial"/>
        </w:rPr>
        <w:t xml:space="preserve"> </w:t>
      </w:r>
      <w:r w:rsidRPr="002A6F4E">
        <w:rPr>
          <w:rFonts w:ascii="Arial" w:hAnsi="Arial" w:cs="Arial"/>
        </w:rPr>
        <w:t xml:space="preserve">odvojeno sakupljenog otpada. Napominje se da će za 2035. i 2040. godinu, a u skladu sa čl. 11a Okvirne direktive o otpadu, metod za izračunavanje ispunjenosti odgovarajućih ciljeva </w:t>
      </w:r>
      <w:r w:rsidR="00A6616B">
        <w:rPr>
          <w:rFonts w:ascii="Arial" w:hAnsi="Arial" w:cs="Arial"/>
        </w:rPr>
        <w:t>biti zasnovan</w:t>
      </w:r>
      <w:r w:rsidRPr="002A6F4E">
        <w:rPr>
          <w:rFonts w:ascii="Arial" w:hAnsi="Arial" w:cs="Arial"/>
        </w:rPr>
        <w:t xml:space="preserve"> na težini komunalnog otpada koji se generiše i priprema za ponovnu upotrebu ili </w:t>
      </w:r>
      <w:r w:rsidR="00A6616B">
        <w:rPr>
          <w:rFonts w:ascii="Arial" w:hAnsi="Arial" w:cs="Arial"/>
        </w:rPr>
        <w:t>recikl</w:t>
      </w:r>
      <w:r w:rsidR="00847030">
        <w:rPr>
          <w:rFonts w:ascii="Arial" w:hAnsi="Arial" w:cs="Arial"/>
        </w:rPr>
        <w:t>iranje</w:t>
      </w:r>
      <w:r w:rsidRPr="002A6F4E">
        <w:rPr>
          <w:rFonts w:ascii="Arial" w:hAnsi="Arial" w:cs="Arial"/>
        </w:rPr>
        <w:t>, tj.:</w:t>
      </w:r>
    </w:p>
    <w:p w14:paraId="41971B06" w14:textId="796E77AD" w:rsidR="00C232D7" w:rsidRPr="002A6F4E" w:rsidRDefault="00C232D7" w:rsidP="00A23ED0">
      <w:pPr>
        <w:pStyle w:val="ListParagraph"/>
        <w:numPr>
          <w:ilvl w:val="0"/>
          <w:numId w:val="59"/>
        </w:numPr>
        <w:spacing w:before="120" w:after="120" w:line="360" w:lineRule="auto"/>
        <w:rPr>
          <w:rFonts w:ascii="Arial" w:hAnsi="Arial" w:cs="Arial"/>
        </w:rPr>
      </w:pPr>
      <w:r w:rsidRPr="002A6F4E">
        <w:rPr>
          <w:rFonts w:ascii="Arial" w:hAnsi="Arial" w:cs="Arial"/>
        </w:rPr>
        <w:lastRenderedPageBreak/>
        <w:t>težina komunalnog otpada pripremljenog za ponovnu upotrebu izračunava se kao težina proizvoda ili komponenti proizvoda koji su postali komunalni otpad i koji su prošli sve neophodne radnje provjere, čišćenja ili popravke kako bi se omogućila ponovna upotreba bez daljeg sortiranja ili prethodn</w:t>
      </w:r>
      <w:r w:rsidR="00A6616B">
        <w:rPr>
          <w:rFonts w:ascii="Arial" w:hAnsi="Arial" w:cs="Arial"/>
        </w:rPr>
        <w:t>e obrade</w:t>
      </w:r>
      <w:r w:rsidRPr="002A6F4E">
        <w:rPr>
          <w:rFonts w:ascii="Arial" w:hAnsi="Arial" w:cs="Arial"/>
        </w:rPr>
        <w:t>;</w:t>
      </w:r>
    </w:p>
    <w:p w14:paraId="5CF49769" w14:textId="452E8F4C" w:rsidR="00C232D7" w:rsidRPr="002A6F4E" w:rsidRDefault="00C232D7" w:rsidP="00A23ED0">
      <w:pPr>
        <w:pStyle w:val="ListParagraph"/>
        <w:numPr>
          <w:ilvl w:val="0"/>
          <w:numId w:val="59"/>
        </w:numPr>
        <w:spacing w:before="120" w:after="120" w:line="360" w:lineRule="auto"/>
        <w:rPr>
          <w:rFonts w:ascii="Arial" w:hAnsi="Arial" w:cs="Arial"/>
        </w:rPr>
      </w:pPr>
      <w:r w:rsidRPr="002A6F4E">
        <w:rPr>
          <w:rFonts w:ascii="Arial" w:hAnsi="Arial" w:cs="Arial"/>
        </w:rPr>
        <w:t>težina recikliranog komunalnog otpada izračunava se kada otpad uđe u proces recikl</w:t>
      </w:r>
      <w:r w:rsidR="00847030">
        <w:rPr>
          <w:rFonts w:ascii="Arial" w:hAnsi="Arial" w:cs="Arial"/>
        </w:rPr>
        <w:t>iranja</w:t>
      </w:r>
      <w:r w:rsidRPr="002A6F4E">
        <w:rPr>
          <w:rFonts w:ascii="Arial" w:hAnsi="Arial" w:cs="Arial"/>
        </w:rPr>
        <w:t>.</w:t>
      </w:r>
    </w:p>
    <w:p w14:paraId="2E617601" w14:textId="77777777" w:rsidR="00C232D7" w:rsidRPr="002A6F4E" w:rsidRDefault="00C232D7" w:rsidP="00C232D7">
      <w:pPr>
        <w:pStyle w:val="ListParagraph"/>
        <w:spacing w:before="120" w:after="120" w:line="360" w:lineRule="auto"/>
        <w:rPr>
          <w:rFonts w:ascii="Arial" w:hAnsi="Arial" w:cs="Arial"/>
        </w:rPr>
      </w:pPr>
    </w:p>
    <w:p w14:paraId="6BF8DC8D" w14:textId="7777777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Pored gore navedenih kvantitativnih ciljeva, postavljeni su i sljedeći operativni ciljevi:</w:t>
      </w:r>
    </w:p>
    <w:p w14:paraId="45320568" w14:textId="6DC26175" w:rsidR="00C232D7" w:rsidRPr="002A6F4E" w:rsidRDefault="00C232D7" w:rsidP="00A23ED0">
      <w:pPr>
        <w:pStyle w:val="ListParagraph"/>
        <w:numPr>
          <w:ilvl w:val="0"/>
          <w:numId w:val="36"/>
        </w:numPr>
        <w:spacing w:before="120" w:after="120" w:line="360" w:lineRule="auto"/>
        <w:ind w:hanging="357"/>
        <w:contextualSpacing w:val="0"/>
        <w:rPr>
          <w:rFonts w:ascii="Arial" w:hAnsi="Arial" w:cs="Arial"/>
          <w:lang w:val="sq-AL"/>
        </w:rPr>
      </w:pPr>
      <w:r w:rsidRPr="002A6F4E">
        <w:rPr>
          <w:rFonts w:ascii="Arial" w:hAnsi="Arial" w:cs="Arial"/>
          <w:lang w:val="sq-AL"/>
        </w:rPr>
        <w:t xml:space="preserve">Sprovođenje odvojenog sakupljanja </w:t>
      </w:r>
      <w:r w:rsidRPr="002A6F4E">
        <w:rPr>
          <w:rFonts w:ascii="Arial" w:hAnsi="Arial" w:cs="Arial"/>
          <w:u w:val="single"/>
          <w:lang w:val="sq-AL"/>
        </w:rPr>
        <w:t>otpada koji može da se reciklira i biorazgradivog otpada</w:t>
      </w:r>
      <w:r w:rsidRPr="002A6F4E">
        <w:rPr>
          <w:rFonts w:ascii="Arial" w:hAnsi="Arial" w:cs="Arial"/>
          <w:lang w:val="sq-AL"/>
        </w:rPr>
        <w:t xml:space="preserve"> na maksimalnom mogućem nivou u cilju promovisanja kvalitetn</w:t>
      </w:r>
      <w:r w:rsidR="00847030">
        <w:rPr>
          <w:rFonts w:ascii="Arial" w:hAnsi="Arial" w:cs="Arial"/>
          <w:lang w:val="sq-AL"/>
        </w:rPr>
        <w:t>og</w:t>
      </w:r>
      <w:r w:rsidRPr="002A6F4E">
        <w:rPr>
          <w:rFonts w:ascii="Arial" w:hAnsi="Arial" w:cs="Arial"/>
          <w:lang w:val="sq-AL"/>
        </w:rPr>
        <w:t xml:space="preserve"> recikl</w:t>
      </w:r>
      <w:r w:rsidR="00847030">
        <w:rPr>
          <w:rFonts w:ascii="Arial" w:hAnsi="Arial" w:cs="Arial"/>
          <w:lang w:val="sq-AL"/>
        </w:rPr>
        <w:t>iranja</w:t>
      </w:r>
      <w:r w:rsidRPr="002A6F4E">
        <w:rPr>
          <w:rFonts w:ascii="Arial" w:hAnsi="Arial" w:cs="Arial"/>
          <w:lang w:val="sq-AL"/>
        </w:rPr>
        <w:t>:</w:t>
      </w:r>
    </w:p>
    <w:p w14:paraId="2B064E1C" w14:textId="5521AB8E" w:rsidR="00C232D7" w:rsidRPr="002A6F4E" w:rsidRDefault="00C232D7" w:rsidP="00A23ED0">
      <w:pPr>
        <w:pStyle w:val="ListParagraph"/>
        <w:numPr>
          <w:ilvl w:val="1"/>
          <w:numId w:val="36"/>
        </w:numPr>
        <w:spacing w:before="120" w:after="120" w:line="360" w:lineRule="auto"/>
        <w:ind w:left="1170" w:hanging="357"/>
        <w:contextualSpacing w:val="0"/>
        <w:rPr>
          <w:rFonts w:ascii="Arial" w:hAnsi="Arial" w:cs="Arial"/>
          <w:lang w:val="sq-AL"/>
        </w:rPr>
      </w:pPr>
      <w:r w:rsidRPr="002A6F4E">
        <w:rPr>
          <w:rFonts w:ascii="Arial" w:hAnsi="Arial" w:cs="Arial"/>
          <w:lang w:val="sq-AL"/>
        </w:rPr>
        <w:t>Olakšavanje rasta tržišta za kompostiranje/sekundarni recikla</w:t>
      </w:r>
      <w:r w:rsidR="00847030">
        <w:rPr>
          <w:rFonts w:ascii="Arial" w:hAnsi="Arial" w:cs="Arial"/>
          <w:lang w:val="sq-AL"/>
        </w:rPr>
        <w:t>bilni</w:t>
      </w:r>
      <w:r w:rsidRPr="002A6F4E">
        <w:rPr>
          <w:rFonts w:ascii="Arial" w:hAnsi="Arial" w:cs="Arial"/>
          <w:lang w:val="sq-AL"/>
        </w:rPr>
        <w:t xml:space="preserve"> materijal preporukom promjena politike na nivou </w:t>
      </w:r>
      <w:r w:rsidR="00A6616B">
        <w:rPr>
          <w:rFonts w:ascii="Arial" w:hAnsi="Arial" w:cs="Arial"/>
          <w:lang w:val="sq-AL"/>
        </w:rPr>
        <w:t>V</w:t>
      </w:r>
      <w:r w:rsidRPr="002A6F4E">
        <w:rPr>
          <w:rFonts w:ascii="Arial" w:hAnsi="Arial" w:cs="Arial"/>
          <w:lang w:val="sq-AL"/>
        </w:rPr>
        <w:t>lade</w:t>
      </w:r>
      <w:r w:rsidR="00A6616B">
        <w:rPr>
          <w:rFonts w:ascii="Arial" w:hAnsi="Arial" w:cs="Arial"/>
          <w:lang w:val="sq-AL"/>
        </w:rPr>
        <w:t xml:space="preserve"> Crne Gore</w:t>
      </w:r>
      <w:r w:rsidRPr="002A6F4E">
        <w:rPr>
          <w:rFonts w:ascii="Arial" w:hAnsi="Arial" w:cs="Arial"/>
          <w:lang w:val="sq-AL"/>
        </w:rPr>
        <w:t xml:space="preserve"> i organa lokalne uprave koji su odgovorni za uređenje i rekultivaciju lokacija;</w:t>
      </w:r>
    </w:p>
    <w:p w14:paraId="2BEF4E28" w14:textId="0BB37851" w:rsidR="00C232D7" w:rsidRPr="002A6F4E" w:rsidRDefault="00C232D7" w:rsidP="00A23ED0">
      <w:pPr>
        <w:pStyle w:val="ListParagraph"/>
        <w:numPr>
          <w:ilvl w:val="1"/>
          <w:numId w:val="36"/>
        </w:numPr>
        <w:spacing w:before="120" w:after="120" w:line="360" w:lineRule="auto"/>
        <w:ind w:left="1170" w:hanging="357"/>
        <w:contextualSpacing w:val="0"/>
        <w:rPr>
          <w:rFonts w:ascii="Arial" w:hAnsi="Arial" w:cs="Arial"/>
          <w:lang w:val="sq-AL"/>
        </w:rPr>
      </w:pPr>
      <w:r w:rsidRPr="002A6F4E">
        <w:rPr>
          <w:rFonts w:ascii="Arial" w:hAnsi="Arial" w:cs="Arial"/>
          <w:lang w:val="sq-AL"/>
        </w:rPr>
        <w:t>Program informisanj</w:t>
      </w:r>
      <w:r w:rsidR="00A6616B">
        <w:rPr>
          <w:rFonts w:ascii="Arial" w:hAnsi="Arial" w:cs="Arial"/>
          <w:lang w:val="sq-AL"/>
        </w:rPr>
        <w:t>a</w:t>
      </w:r>
      <w:r w:rsidRPr="002A6F4E">
        <w:rPr>
          <w:rFonts w:ascii="Arial" w:hAnsi="Arial" w:cs="Arial"/>
          <w:lang w:val="sq-AL"/>
        </w:rPr>
        <w:t xml:space="preserve"> i edukacije jedinica lokalne samouprave i zainteresovanih strana u industriji o najboljim praksama u koncipiranju  i primjeni zabran</w:t>
      </w:r>
      <w:r w:rsidR="00A6616B">
        <w:rPr>
          <w:rFonts w:ascii="Arial" w:hAnsi="Arial" w:cs="Arial"/>
          <w:lang w:val="sq-AL"/>
        </w:rPr>
        <w:t>a</w:t>
      </w:r>
      <w:r w:rsidRPr="002A6F4E">
        <w:rPr>
          <w:rFonts w:ascii="Arial" w:hAnsi="Arial" w:cs="Arial"/>
          <w:lang w:val="sq-AL"/>
        </w:rPr>
        <w:t xml:space="preserve"> organskih materija i povratu hranljivih materija i energije iz otpada hrane;</w:t>
      </w:r>
    </w:p>
    <w:p w14:paraId="16962109" w14:textId="5D81B528" w:rsidR="00C232D7" w:rsidRPr="002A6F4E" w:rsidRDefault="00C232D7" w:rsidP="00A23ED0">
      <w:pPr>
        <w:pStyle w:val="ListParagraph"/>
        <w:numPr>
          <w:ilvl w:val="1"/>
          <w:numId w:val="36"/>
        </w:numPr>
        <w:spacing w:before="120" w:after="120" w:line="360" w:lineRule="auto"/>
        <w:ind w:left="1170" w:hanging="357"/>
        <w:contextualSpacing w:val="0"/>
        <w:rPr>
          <w:rFonts w:ascii="Arial" w:hAnsi="Arial" w:cs="Arial"/>
          <w:lang w:val="sq-AL"/>
        </w:rPr>
      </w:pPr>
      <w:r w:rsidRPr="002A6F4E">
        <w:rPr>
          <w:rFonts w:ascii="Arial" w:hAnsi="Arial" w:cs="Arial"/>
          <w:lang w:val="sq-AL"/>
        </w:rPr>
        <w:t xml:space="preserve">Izrada </w:t>
      </w:r>
      <w:r w:rsidR="00A6616B">
        <w:rPr>
          <w:rFonts w:ascii="Arial" w:hAnsi="Arial" w:cs="Arial"/>
          <w:lang w:val="sq-AL"/>
        </w:rPr>
        <w:t>edukativnih</w:t>
      </w:r>
      <w:r w:rsidRPr="002A6F4E">
        <w:rPr>
          <w:rFonts w:ascii="Arial" w:hAnsi="Arial" w:cs="Arial"/>
          <w:lang w:val="sq-AL"/>
        </w:rPr>
        <w:t xml:space="preserve"> materijala koji mogu da se preuzmu i koji su uspješno podstakli odvajanje organske frakcije iz otpada za sve </w:t>
      </w:r>
      <w:r w:rsidR="00A6616B">
        <w:rPr>
          <w:rFonts w:ascii="Arial" w:hAnsi="Arial" w:cs="Arial"/>
          <w:lang w:val="sq-AL"/>
        </w:rPr>
        <w:t>subjekte</w:t>
      </w:r>
      <w:r w:rsidRPr="002A6F4E">
        <w:rPr>
          <w:rFonts w:ascii="Arial" w:hAnsi="Arial" w:cs="Arial"/>
          <w:lang w:val="sq-AL"/>
        </w:rPr>
        <w:t>, uključujući škole, stanove, restorane, druga preduzeća</w:t>
      </w:r>
      <w:r w:rsidR="00A6616B">
        <w:rPr>
          <w:rFonts w:ascii="Arial" w:hAnsi="Arial" w:cs="Arial"/>
          <w:lang w:val="sq-AL"/>
        </w:rPr>
        <w:t>,</w:t>
      </w:r>
      <w:r w:rsidRPr="002A6F4E">
        <w:rPr>
          <w:rFonts w:ascii="Arial" w:hAnsi="Arial" w:cs="Arial"/>
          <w:lang w:val="sq-AL"/>
        </w:rPr>
        <w:t xml:space="preserve"> institucije i rezidencije;</w:t>
      </w:r>
    </w:p>
    <w:p w14:paraId="187E1B35" w14:textId="5161CCE3" w:rsidR="00C232D7" w:rsidRPr="00AC1684" w:rsidRDefault="00C232D7" w:rsidP="00A23ED0">
      <w:pPr>
        <w:pStyle w:val="ListParagraph"/>
        <w:numPr>
          <w:ilvl w:val="0"/>
          <w:numId w:val="36"/>
        </w:numPr>
        <w:spacing w:before="120" w:after="120" w:line="360" w:lineRule="auto"/>
        <w:ind w:hanging="357"/>
        <w:contextualSpacing w:val="0"/>
        <w:rPr>
          <w:rFonts w:ascii="Arial" w:hAnsi="Arial" w:cs="Arial"/>
          <w:lang w:val="sq-AL"/>
        </w:rPr>
      </w:pPr>
      <w:r w:rsidRPr="002A6F4E">
        <w:rPr>
          <w:rFonts w:ascii="Arial" w:hAnsi="Arial" w:cs="Arial"/>
          <w:u w:val="single"/>
          <w:lang w:val="sq-AL"/>
        </w:rPr>
        <w:t xml:space="preserve">Proširena odgovornost proizvođača </w:t>
      </w:r>
      <w:r w:rsidR="003B402F">
        <w:rPr>
          <w:rFonts w:ascii="Arial" w:hAnsi="Arial" w:cs="Arial"/>
          <w:u w:val="single"/>
          <w:lang w:val="sq-AL"/>
        </w:rPr>
        <w:t xml:space="preserve">EPR </w:t>
      </w:r>
      <w:r w:rsidRPr="002A6F4E">
        <w:rPr>
          <w:rFonts w:ascii="Arial" w:hAnsi="Arial" w:cs="Arial"/>
          <w:lang w:val="sq-AL"/>
        </w:rPr>
        <w:t>–</w:t>
      </w:r>
      <w:r w:rsidR="00AC1684">
        <w:rPr>
          <w:rFonts w:ascii="Arial" w:hAnsi="Arial" w:cs="Arial"/>
          <w:lang w:val="sq-AL"/>
        </w:rPr>
        <w:t xml:space="preserve"> niz mjera koje se preduzimaju kako bi se osiguralo da proizvođači proizvoda imaju finansijsku odgovornost ili finansijsku i organizacionu odgovornost za upravljanje otpadom, fazom ili fazama upravljanjem otpadom u životnom ciklusu proizvoda. </w:t>
      </w:r>
      <w:r w:rsidR="0096059E" w:rsidRPr="00AC1684">
        <w:rPr>
          <w:rFonts w:ascii="Arial" w:hAnsi="Arial" w:cs="Arial"/>
          <w:lang w:val="sq-AL"/>
        </w:rPr>
        <w:t>D</w:t>
      </w:r>
      <w:r w:rsidRPr="00AC1684">
        <w:rPr>
          <w:rFonts w:ascii="Arial" w:hAnsi="Arial" w:cs="Arial"/>
          <w:lang w:val="sq-AL"/>
        </w:rPr>
        <w:t xml:space="preserve">odjeljivanjem takve odgovornosti će </w:t>
      </w:r>
      <w:r w:rsidR="00AC1684">
        <w:rPr>
          <w:rFonts w:ascii="Arial" w:hAnsi="Arial" w:cs="Arial"/>
          <w:lang w:val="sq-AL"/>
        </w:rPr>
        <w:t xml:space="preserve">se </w:t>
      </w:r>
      <w:r w:rsidRPr="00AC1684">
        <w:rPr>
          <w:rFonts w:ascii="Arial" w:hAnsi="Arial" w:cs="Arial"/>
          <w:lang w:val="sq-AL"/>
        </w:rPr>
        <w:t>u principu pružiti podsticaj</w:t>
      </w:r>
      <w:r w:rsidR="00AC1684">
        <w:rPr>
          <w:rFonts w:ascii="Arial" w:hAnsi="Arial" w:cs="Arial"/>
          <w:lang w:val="sq-AL"/>
        </w:rPr>
        <w:t>i</w:t>
      </w:r>
      <w:r w:rsidRPr="00AC1684">
        <w:rPr>
          <w:rFonts w:ascii="Arial" w:hAnsi="Arial" w:cs="Arial"/>
          <w:lang w:val="sq-AL"/>
        </w:rPr>
        <w:t xml:space="preserve"> za sprečavanje nastanka otpada kao što je ambalažni otpad na izvoru, promovisati dizajn proizvoda za životnu sredinu i podržati postizanje ciljeva recikliranja i upravljanja materijalima</w:t>
      </w:r>
      <w:r w:rsidRPr="002A6F4E">
        <w:rPr>
          <w:smallCaps/>
          <w:vertAlign w:val="superscript"/>
          <w:lang w:val="sq-AL"/>
        </w:rPr>
        <w:footnoteReference w:id="36"/>
      </w:r>
      <w:r w:rsidRPr="00AC1684">
        <w:rPr>
          <w:rFonts w:ascii="Arial" w:hAnsi="Arial" w:cs="Arial"/>
          <w:lang w:val="sq-AL"/>
        </w:rPr>
        <w:t xml:space="preserve">. Proširenom odgovornošću proizvođača reguliše se odgovornost industrije ambalažnih proizvoda izvan prodajnog mjesta za određene proizvode. Krajnji cilj </w:t>
      </w:r>
      <w:r w:rsidR="003B402F">
        <w:rPr>
          <w:rFonts w:ascii="Arial" w:hAnsi="Arial" w:cs="Arial"/>
          <w:lang w:val="sq-AL"/>
        </w:rPr>
        <w:t xml:space="preserve">EPR </w:t>
      </w:r>
      <w:r w:rsidRPr="00AC1684">
        <w:rPr>
          <w:rFonts w:ascii="Arial" w:hAnsi="Arial" w:cs="Arial"/>
          <w:lang w:val="sq-AL"/>
        </w:rPr>
        <w:t xml:space="preserve">je da podstakne čistije, bezbjednije materijale i proizvodne procese, kao i da eliminiše otpad u svakoj fazi životnog ciklusa proizvoda. Važeće zakonodavstvo u Crnoj Gori predviđa </w:t>
      </w:r>
      <w:r w:rsidR="003B402F">
        <w:rPr>
          <w:rFonts w:ascii="Arial" w:hAnsi="Arial" w:cs="Arial"/>
          <w:lang w:val="sq-AL"/>
        </w:rPr>
        <w:t xml:space="preserve">EPR </w:t>
      </w:r>
      <w:r w:rsidRPr="00AC1684">
        <w:rPr>
          <w:rFonts w:ascii="Arial" w:hAnsi="Arial" w:cs="Arial"/>
          <w:lang w:val="sq-AL"/>
        </w:rPr>
        <w:t>sistem za električne i elektronske proizvode (EE-proizvodi), vozila, baterije i akumulatore, gume</w:t>
      </w:r>
      <w:r w:rsidR="00AC1684">
        <w:rPr>
          <w:rFonts w:ascii="Arial" w:hAnsi="Arial" w:cs="Arial"/>
          <w:lang w:val="sq-AL"/>
        </w:rPr>
        <w:t xml:space="preserve">, </w:t>
      </w:r>
      <w:r w:rsidRPr="00AC1684">
        <w:rPr>
          <w:rFonts w:ascii="Arial" w:hAnsi="Arial" w:cs="Arial"/>
          <w:lang w:val="sq-AL"/>
        </w:rPr>
        <w:t>ambalaž</w:t>
      </w:r>
      <w:r w:rsidR="00847030">
        <w:rPr>
          <w:rFonts w:ascii="Arial" w:hAnsi="Arial" w:cs="Arial"/>
          <w:lang w:val="sq-AL"/>
        </w:rPr>
        <w:t>u</w:t>
      </w:r>
      <w:r w:rsidR="00AC1684">
        <w:rPr>
          <w:rFonts w:ascii="Arial" w:hAnsi="Arial" w:cs="Arial"/>
          <w:lang w:val="sq-AL"/>
        </w:rPr>
        <w:t>, plastika za jednokratnu upotrebu i ribolovni alat koji sadrži plastiku</w:t>
      </w:r>
      <w:r w:rsidRPr="00AC1684">
        <w:rPr>
          <w:rFonts w:ascii="Arial" w:hAnsi="Arial" w:cs="Arial"/>
          <w:lang w:val="sq-AL"/>
        </w:rPr>
        <w:t xml:space="preserve">. Ovaj sistem će morati da se uspostavi i </w:t>
      </w:r>
      <w:r w:rsidR="00847030">
        <w:rPr>
          <w:rFonts w:ascii="Arial" w:hAnsi="Arial" w:cs="Arial"/>
          <w:lang w:val="sq-AL"/>
        </w:rPr>
        <w:t>i da se kontinuirano unapređuje</w:t>
      </w:r>
      <w:r w:rsidRPr="00AC1684">
        <w:rPr>
          <w:rFonts w:ascii="Arial" w:hAnsi="Arial" w:cs="Arial"/>
          <w:lang w:val="sq-AL"/>
        </w:rPr>
        <w:t>.</w:t>
      </w:r>
    </w:p>
    <w:p w14:paraId="38E677ED" w14:textId="6BAEB50C" w:rsidR="00C232D7" w:rsidRPr="002A6F4E" w:rsidRDefault="005926A6" w:rsidP="00F57909">
      <w:pPr>
        <w:pStyle w:val="Heading2"/>
      </w:pPr>
      <w:bookmarkStart w:id="1194" w:name="_Toc189759711"/>
      <w:bookmarkStart w:id="1195" w:name="_Toc193354039"/>
      <w:r>
        <w:t>5.3</w:t>
      </w:r>
      <w:r w:rsidR="009751D2">
        <w:t>2</w:t>
      </w:r>
      <w:r w:rsidR="00620A47">
        <w:t xml:space="preserve">. </w:t>
      </w:r>
      <w:r w:rsidR="00C232D7" w:rsidRPr="002A6F4E">
        <w:t>Postojeći nedostaci i zahtjevi</w:t>
      </w:r>
      <w:bookmarkEnd w:id="1194"/>
      <w:bookmarkEnd w:id="1195"/>
    </w:p>
    <w:p w14:paraId="7C93975C" w14:textId="402491A7" w:rsidR="00C232D7" w:rsidRDefault="00C232D7" w:rsidP="00C232D7">
      <w:pPr>
        <w:spacing w:before="120" w:after="120" w:line="360" w:lineRule="auto"/>
        <w:rPr>
          <w:rFonts w:ascii="Arial" w:hAnsi="Arial" w:cs="Arial"/>
          <w:lang w:val="sq-AL"/>
        </w:rPr>
      </w:pPr>
      <w:r w:rsidRPr="002A6F4E">
        <w:rPr>
          <w:rFonts w:ascii="Arial" w:hAnsi="Arial" w:cs="Arial"/>
          <w:lang w:val="sq-AL"/>
        </w:rPr>
        <w:t>U narednoj tabeli predstavljeni su tehnički nedostaci i zahtjevi  u vezi sa recikl</w:t>
      </w:r>
      <w:r w:rsidR="00847030">
        <w:rPr>
          <w:rFonts w:ascii="Arial" w:hAnsi="Arial" w:cs="Arial"/>
          <w:lang w:val="sq-AL"/>
        </w:rPr>
        <w:t>iranjem</w:t>
      </w:r>
      <w:r w:rsidRPr="002A6F4E">
        <w:rPr>
          <w:rFonts w:ascii="Arial" w:hAnsi="Arial" w:cs="Arial"/>
          <w:lang w:val="sq-AL"/>
        </w:rPr>
        <w:t xml:space="preserve"> (nedostaci identifikovani u vezi sa odvojenim sakupljanjem otpada su takođe prim</w:t>
      </w:r>
      <w:r w:rsidR="0025198D">
        <w:rPr>
          <w:rFonts w:ascii="Arial" w:hAnsi="Arial" w:cs="Arial"/>
          <w:lang w:val="sq-AL"/>
        </w:rPr>
        <w:t>j</w:t>
      </w:r>
      <w:r w:rsidRPr="002A6F4E">
        <w:rPr>
          <w:rFonts w:ascii="Arial" w:hAnsi="Arial" w:cs="Arial"/>
          <w:lang w:val="sq-AL"/>
        </w:rPr>
        <w:t>enljivi).</w:t>
      </w:r>
    </w:p>
    <w:p w14:paraId="6F8F1248" w14:textId="77777777" w:rsidR="005D42F8" w:rsidRPr="002A6F4E" w:rsidRDefault="005D42F8" w:rsidP="00C232D7">
      <w:pPr>
        <w:spacing w:before="120" w:after="120" w:line="360" w:lineRule="auto"/>
        <w:rPr>
          <w:rFonts w:ascii="Arial" w:hAnsi="Arial" w:cs="Arial"/>
          <w:lang w:val="sq-AL"/>
        </w:rPr>
      </w:pPr>
    </w:p>
    <w:p w14:paraId="4522A393" w14:textId="42983052" w:rsidR="00C232D7" w:rsidRPr="00C149AB" w:rsidRDefault="00C232D7" w:rsidP="00C232D7">
      <w:pPr>
        <w:pStyle w:val="Caption"/>
        <w:rPr>
          <w:rFonts w:ascii="Arial" w:hAnsi="Arial" w:cs="Arial"/>
          <w:b w:val="0"/>
          <w:szCs w:val="20"/>
          <w:lang w:val="sq-AL"/>
        </w:rPr>
      </w:pPr>
      <w:bookmarkStart w:id="1196" w:name="_Toc189515674"/>
      <w:bookmarkStart w:id="1197" w:name="_Toc190160792"/>
      <w:r w:rsidRPr="00C149AB">
        <w:rPr>
          <w:rFonts w:ascii="Arial" w:hAnsi="Arial" w:cs="Arial"/>
          <w:b w:val="0"/>
          <w:szCs w:val="20"/>
          <w:lang w:val="sq-AL"/>
        </w:rPr>
        <w:lastRenderedPageBreak/>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97</w:t>
      </w:r>
      <w:r w:rsidRPr="00C149AB">
        <w:rPr>
          <w:rFonts w:ascii="Arial" w:hAnsi="Arial" w:cs="Arial"/>
          <w:b w:val="0"/>
          <w:szCs w:val="20"/>
        </w:rPr>
        <w:fldChar w:fldCharType="end"/>
      </w:r>
      <w:r w:rsidRPr="00C149AB">
        <w:rPr>
          <w:rFonts w:ascii="Arial" w:hAnsi="Arial" w:cs="Arial"/>
          <w:b w:val="0"/>
          <w:szCs w:val="20"/>
          <w:lang w:val="sq-AL"/>
        </w:rPr>
        <w:t xml:space="preserve"> Tehnički nedostaci i zahtjevi </w:t>
      </w:r>
      <w:r w:rsidR="00A22149">
        <w:rPr>
          <w:rFonts w:ascii="Arial" w:hAnsi="Arial" w:cs="Arial"/>
          <w:b w:val="0"/>
          <w:szCs w:val="20"/>
          <w:lang w:val="sq-AL"/>
        </w:rPr>
        <w:t>u vezi s</w:t>
      </w:r>
      <w:r w:rsidRPr="00C149AB">
        <w:rPr>
          <w:rFonts w:ascii="Arial" w:hAnsi="Arial" w:cs="Arial"/>
          <w:b w:val="0"/>
          <w:szCs w:val="20"/>
          <w:lang w:val="sq-AL"/>
        </w:rPr>
        <w:t>a recikl</w:t>
      </w:r>
      <w:r w:rsidR="00DD15E0">
        <w:rPr>
          <w:rFonts w:ascii="Arial" w:hAnsi="Arial" w:cs="Arial"/>
          <w:b w:val="0"/>
          <w:szCs w:val="20"/>
          <w:lang w:val="sq-AL"/>
        </w:rPr>
        <w:t>iranjem</w:t>
      </w:r>
      <w:bookmarkEnd w:id="1196"/>
      <w:bookmarkEnd w:id="1197"/>
    </w:p>
    <w:tbl>
      <w:tblPr>
        <w:tblW w:w="104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3536"/>
        <w:gridCol w:w="3686"/>
        <w:gridCol w:w="3241"/>
      </w:tblGrid>
      <w:tr w:rsidR="00C232D7" w:rsidRPr="0014164F" w14:paraId="265ADC9E" w14:textId="77777777" w:rsidTr="00C232D7">
        <w:trPr>
          <w:jc w:val="center"/>
        </w:trPr>
        <w:tc>
          <w:tcPr>
            <w:tcW w:w="3536" w:type="dxa"/>
            <w:shd w:val="clear" w:color="auto" w:fill="F2F2F2" w:themeFill="background1" w:themeFillShade="F2"/>
          </w:tcPr>
          <w:p w14:paraId="5CEA21AE" w14:textId="77777777" w:rsidR="00C232D7" w:rsidRPr="00C149AB" w:rsidRDefault="00C232D7" w:rsidP="00C232D7">
            <w:pPr>
              <w:spacing w:before="40" w:after="40" w:line="360" w:lineRule="auto"/>
              <w:ind w:right="45"/>
              <w:rPr>
                <w:rFonts w:ascii="Arial" w:hAnsi="Arial" w:cs="Arial"/>
                <w:b/>
                <w:bCs/>
                <w:sz w:val="18"/>
                <w:lang w:val="sq-AL" w:eastAsia="el-GR"/>
              </w:rPr>
            </w:pPr>
            <w:r w:rsidRPr="00C149AB">
              <w:rPr>
                <w:rFonts w:ascii="Arial" w:hAnsi="Arial" w:cs="Arial"/>
                <w:b/>
                <w:bCs/>
                <w:sz w:val="18"/>
                <w:lang w:val="sq-AL" w:eastAsia="el-GR"/>
              </w:rPr>
              <w:t>Identifikovani problemi</w:t>
            </w:r>
          </w:p>
          <w:p w14:paraId="1D1B03E7" w14:textId="77777777" w:rsidR="00C232D7" w:rsidRPr="00C149AB" w:rsidRDefault="00C232D7" w:rsidP="00C232D7">
            <w:pPr>
              <w:spacing w:before="40" w:after="40" w:line="360" w:lineRule="auto"/>
              <w:ind w:right="45"/>
              <w:rPr>
                <w:rFonts w:ascii="Arial" w:hAnsi="Arial" w:cs="Arial"/>
                <w:b/>
                <w:bCs/>
                <w:sz w:val="18"/>
                <w:lang w:val="sq-AL" w:eastAsia="el-GR"/>
              </w:rPr>
            </w:pPr>
          </w:p>
        </w:tc>
        <w:tc>
          <w:tcPr>
            <w:tcW w:w="3686" w:type="dxa"/>
            <w:shd w:val="clear" w:color="auto" w:fill="F2F2F2" w:themeFill="background1" w:themeFillShade="F2"/>
          </w:tcPr>
          <w:p w14:paraId="307179C7" w14:textId="77777777" w:rsidR="00C232D7" w:rsidRPr="00C149AB" w:rsidRDefault="00C232D7" w:rsidP="00C232D7">
            <w:pPr>
              <w:spacing w:before="40" w:after="40" w:line="360" w:lineRule="auto"/>
              <w:ind w:right="45"/>
              <w:rPr>
                <w:rFonts w:ascii="Arial" w:hAnsi="Arial" w:cs="Arial"/>
                <w:b/>
                <w:bCs/>
                <w:sz w:val="18"/>
                <w:lang w:val="sq-AL" w:eastAsia="el-GR"/>
              </w:rPr>
            </w:pPr>
            <w:r w:rsidRPr="00C149AB">
              <w:rPr>
                <w:rFonts w:ascii="Arial" w:hAnsi="Arial" w:cs="Arial"/>
                <w:b/>
                <w:bCs/>
                <w:sz w:val="18"/>
                <w:lang w:val="sq-AL" w:eastAsia="el-GR"/>
              </w:rPr>
              <w:t>Zahtjevi</w:t>
            </w:r>
          </w:p>
          <w:p w14:paraId="0C599E5D" w14:textId="77777777" w:rsidR="00C232D7" w:rsidRPr="00C149AB" w:rsidRDefault="00C232D7" w:rsidP="00C232D7">
            <w:pPr>
              <w:spacing w:before="40" w:after="40" w:line="360" w:lineRule="auto"/>
              <w:ind w:right="45"/>
              <w:rPr>
                <w:rFonts w:ascii="Arial" w:hAnsi="Arial" w:cs="Arial"/>
                <w:b/>
                <w:bCs/>
                <w:sz w:val="18"/>
                <w:lang w:val="sq-AL" w:eastAsia="el-GR"/>
              </w:rPr>
            </w:pPr>
          </w:p>
        </w:tc>
        <w:tc>
          <w:tcPr>
            <w:tcW w:w="3241" w:type="dxa"/>
            <w:shd w:val="clear" w:color="auto" w:fill="F2F2F2" w:themeFill="background1" w:themeFillShade="F2"/>
          </w:tcPr>
          <w:p w14:paraId="651D0BCE" w14:textId="77777777" w:rsidR="00C232D7" w:rsidRPr="00C149AB" w:rsidRDefault="00C232D7" w:rsidP="00C232D7">
            <w:pPr>
              <w:spacing w:before="40" w:after="40" w:line="360" w:lineRule="auto"/>
              <w:ind w:right="45"/>
              <w:rPr>
                <w:rFonts w:ascii="Arial" w:hAnsi="Arial" w:cs="Arial"/>
                <w:b/>
                <w:bCs/>
                <w:sz w:val="18"/>
                <w:lang w:val="sq-AL" w:eastAsia="el-GR"/>
              </w:rPr>
            </w:pPr>
            <w:r w:rsidRPr="00C149AB">
              <w:rPr>
                <w:rFonts w:ascii="Arial" w:hAnsi="Arial" w:cs="Arial"/>
                <w:b/>
                <w:bCs/>
                <w:sz w:val="18"/>
                <w:lang w:val="sq-AL" w:eastAsia="el-GR"/>
              </w:rPr>
              <w:t>Potreba da ispune zahtjevi u skladu sa postojećom situacijom</w:t>
            </w:r>
          </w:p>
        </w:tc>
      </w:tr>
      <w:tr w:rsidR="00C232D7" w:rsidRPr="0014164F" w14:paraId="2C70F055" w14:textId="77777777" w:rsidTr="00C232D7">
        <w:trPr>
          <w:jc w:val="center"/>
        </w:trPr>
        <w:tc>
          <w:tcPr>
            <w:tcW w:w="3536" w:type="dxa"/>
            <w:vAlign w:val="center"/>
          </w:tcPr>
          <w:p w14:paraId="06CE59C4" w14:textId="77777777" w:rsidR="00C232D7" w:rsidRPr="00C149AB" w:rsidRDefault="00C232D7" w:rsidP="00C232D7">
            <w:pPr>
              <w:spacing w:before="40" w:after="40" w:line="360" w:lineRule="auto"/>
              <w:ind w:right="45"/>
              <w:rPr>
                <w:rFonts w:ascii="Arial" w:hAnsi="Arial" w:cs="Arial"/>
                <w:bCs/>
                <w:sz w:val="18"/>
                <w:lang w:val="sq-AL" w:eastAsia="el-GR"/>
              </w:rPr>
            </w:pPr>
          </w:p>
          <w:p w14:paraId="355668CE" w14:textId="254DF6D5" w:rsidR="00C232D7" w:rsidRPr="00C149AB" w:rsidRDefault="00C232D7" w:rsidP="00C232D7">
            <w:pPr>
              <w:spacing w:before="40" w:after="40" w:line="360" w:lineRule="auto"/>
              <w:ind w:right="45"/>
              <w:rPr>
                <w:rFonts w:ascii="Arial" w:hAnsi="Arial" w:cs="Arial"/>
                <w:bCs/>
                <w:sz w:val="18"/>
                <w:lang w:val="sq-AL" w:eastAsia="el-GR"/>
              </w:rPr>
            </w:pPr>
            <w:r w:rsidRPr="00C149AB">
              <w:rPr>
                <w:rFonts w:ascii="Arial" w:hAnsi="Arial" w:cs="Arial"/>
                <w:bCs/>
                <w:sz w:val="18"/>
                <w:lang w:val="sq-AL" w:eastAsia="el-GR"/>
              </w:rPr>
              <w:t>Trenutna stopa recikl</w:t>
            </w:r>
            <w:r w:rsidR="00DD15E0">
              <w:rPr>
                <w:rFonts w:ascii="Arial" w:hAnsi="Arial" w:cs="Arial"/>
                <w:bCs/>
                <w:sz w:val="18"/>
                <w:lang w:val="sq-AL" w:eastAsia="el-GR"/>
              </w:rPr>
              <w:t>iranja</w:t>
            </w:r>
            <w:r w:rsidRPr="00C149AB">
              <w:rPr>
                <w:rFonts w:ascii="Arial" w:hAnsi="Arial" w:cs="Arial"/>
                <w:bCs/>
                <w:sz w:val="18"/>
                <w:lang w:val="sq-AL" w:eastAsia="el-GR"/>
              </w:rPr>
              <w:t xml:space="preserve"> </w:t>
            </w:r>
            <w:r w:rsidR="00AC1684" w:rsidRPr="00C149AB">
              <w:rPr>
                <w:rFonts w:ascii="Arial" w:hAnsi="Arial" w:cs="Arial"/>
                <w:bCs/>
                <w:sz w:val="18"/>
                <w:lang w:val="sq-AL" w:eastAsia="el-GR"/>
              </w:rPr>
              <w:t>nije na zadovoljavajućem nivou,</w:t>
            </w:r>
            <w:r w:rsidRPr="00C149AB">
              <w:rPr>
                <w:rFonts w:ascii="Arial" w:hAnsi="Arial" w:cs="Arial"/>
                <w:bCs/>
                <w:sz w:val="18"/>
                <w:lang w:val="sq-AL" w:eastAsia="el-GR"/>
              </w:rPr>
              <w:t xml:space="preserve"> uprkos postojećim kapacitetima za sortiranje</w:t>
            </w:r>
          </w:p>
          <w:p w14:paraId="4EFF6DF1" w14:textId="7D7FE5A8" w:rsidR="00C232D7" w:rsidRPr="00C149AB" w:rsidRDefault="00C232D7" w:rsidP="00C232D7">
            <w:pPr>
              <w:spacing w:before="40" w:after="40" w:line="360" w:lineRule="auto"/>
              <w:ind w:right="45"/>
              <w:rPr>
                <w:rFonts w:ascii="Arial" w:hAnsi="Arial" w:cs="Arial"/>
                <w:bCs/>
                <w:sz w:val="18"/>
                <w:lang w:val="sq-AL" w:eastAsia="el-GR"/>
              </w:rPr>
            </w:pPr>
            <w:r w:rsidRPr="00C149AB">
              <w:rPr>
                <w:rFonts w:ascii="Arial" w:hAnsi="Arial" w:cs="Arial"/>
                <w:bCs/>
                <w:sz w:val="18"/>
                <w:lang w:val="sq-AL" w:eastAsia="el-GR"/>
              </w:rPr>
              <w:t>uglavnom zbog činjenice da se otpad miješa, a ne sakuplja odvojeno;</w:t>
            </w:r>
          </w:p>
          <w:p w14:paraId="38299EDA" w14:textId="2E9A5FBC" w:rsidR="00C232D7" w:rsidRPr="00C149AB" w:rsidRDefault="00C232D7" w:rsidP="00C232D7">
            <w:pPr>
              <w:spacing w:before="40" w:after="40" w:line="360" w:lineRule="auto"/>
              <w:ind w:right="45"/>
              <w:rPr>
                <w:rFonts w:ascii="Arial" w:hAnsi="Arial" w:cs="Arial"/>
                <w:bCs/>
                <w:sz w:val="18"/>
                <w:lang w:val="sq-AL" w:eastAsia="el-GR"/>
              </w:rPr>
            </w:pPr>
            <w:r w:rsidRPr="00C149AB">
              <w:rPr>
                <w:rFonts w:ascii="Arial" w:hAnsi="Arial" w:cs="Arial"/>
                <w:bCs/>
                <w:sz w:val="18"/>
                <w:lang w:val="sq-AL" w:eastAsia="el-GR"/>
              </w:rPr>
              <w:t>Visoki operativni troškovi u postrojenjima za recikl</w:t>
            </w:r>
            <w:r w:rsidR="00DD15E0">
              <w:rPr>
                <w:rFonts w:ascii="Arial" w:hAnsi="Arial" w:cs="Arial"/>
                <w:bCs/>
                <w:sz w:val="18"/>
                <w:lang w:val="sq-AL" w:eastAsia="el-GR"/>
              </w:rPr>
              <w:t>iranje</w:t>
            </w:r>
            <w:r w:rsidRPr="00C149AB">
              <w:rPr>
                <w:rFonts w:ascii="Arial" w:hAnsi="Arial" w:cs="Arial"/>
                <w:bCs/>
                <w:sz w:val="18"/>
                <w:lang w:val="sq-AL" w:eastAsia="el-GR"/>
              </w:rPr>
              <w:t>;</w:t>
            </w:r>
          </w:p>
          <w:p w14:paraId="2FBFE50B" w14:textId="77777777" w:rsidR="00C232D7" w:rsidRPr="00C149AB" w:rsidRDefault="00C232D7" w:rsidP="00C232D7">
            <w:pPr>
              <w:spacing w:before="40" w:after="40" w:line="360" w:lineRule="auto"/>
              <w:ind w:right="45"/>
              <w:rPr>
                <w:rFonts w:ascii="Arial" w:hAnsi="Arial" w:cs="Arial"/>
                <w:bCs/>
                <w:sz w:val="18"/>
                <w:lang w:val="sq-AL" w:eastAsia="el-GR"/>
              </w:rPr>
            </w:pPr>
            <w:r w:rsidRPr="00C149AB">
              <w:rPr>
                <w:rFonts w:ascii="Arial" w:hAnsi="Arial" w:cs="Arial"/>
                <w:bCs/>
                <w:sz w:val="18"/>
                <w:lang w:val="sq-AL" w:eastAsia="el-GR"/>
              </w:rPr>
              <w:t>Dnevni rad je znatno ispod projektovanog kapaciteta;</w:t>
            </w:r>
          </w:p>
        </w:tc>
        <w:tc>
          <w:tcPr>
            <w:tcW w:w="3686" w:type="dxa"/>
            <w:vAlign w:val="center"/>
          </w:tcPr>
          <w:p w14:paraId="6FC29449" w14:textId="3CB26227" w:rsidR="00C232D7" w:rsidRPr="00C149AB" w:rsidRDefault="00C232D7" w:rsidP="00C232D7">
            <w:pPr>
              <w:spacing w:before="40" w:after="40" w:line="360" w:lineRule="auto"/>
              <w:ind w:right="45"/>
              <w:rPr>
                <w:rFonts w:ascii="Arial" w:hAnsi="Arial" w:cs="Arial"/>
                <w:bCs/>
                <w:sz w:val="18"/>
                <w:lang w:val="sq-AL" w:eastAsia="el-GR"/>
              </w:rPr>
            </w:pPr>
            <w:r w:rsidRPr="00C71B2F">
              <w:rPr>
                <w:rFonts w:ascii="Arial" w:hAnsi="Arial" w:cs="Arial"/>
                <w:bCs/>
                <w:sz w:val="18"/>
                <w:lang w:val="sq-AL" w:eastAsia="el-GR"/>
              </w:rPr>
              <w:t>Priprema za ponovnu upotrebu i recikl</w:t>
            </w:r>
            <w:r w:rsidR="00DD15E0" w:rsidRPr="00C71B2F">
              <w:rPr>
                <w:rFonts w:ascii="Arial" w:hAnsi="Arial" w:cs="Arial"/>
                <w:bCs/>
                <w:sz w:val="18"/>
                <w:lang w:val="sq-AL" w:eastAsia="el-GR"/>
              </w:rPr>
              <w:t>iranje</w:t>
            </w:r>
            <w:r w:rsidRPr="00C71B2F">
              <w:rPr>
                <w:rFonts w:ascii="Arial" w:hAnsi="Arial" w:cs="Arial"/>
                <w:bCs/>
                <w:sz w:val="18"/>
                <w:lang w:val="sq-AL" w:eastAsia="el-GR"/>
              </w:rPr>
              <w:t xml:space="preserve"> 50% otpadnih materijala, kao što su papir, metal, plastika i staklo</w:t>
            </w:r>
            <w:r w:rsidR="00DD15E0" w:rsidRPr="00C71B2F">
              <w:rPr>
                <w:rFonts w:ascii="Arial" w:hAnsi="Arial" w:cs="Arial"/>
                <w:bCs/>
                <w:sz w:val="18"/>
                <w:lang w:val="sq-AL" w:eastAsia="el-GR"/>
              </w:rPr>
              <w:t>,</w:t>
            </w:r>
            <w:r w:rsidRPr="00C71B2F">
              <w:rPr>
                <w:rFonts w:ascii="Arial" w:hAnsi="Arial" w:cs="Arial"/>
                <w:bCs/>
                <w:sz w:val="18"/>
                <w:lang w:val="sq-AL" w:eastAsia="el-GR"/>
              </w:rPr>
              <w:t>do ) 50%</w:t>
            </w:r>
            <w:r w:rsidR="00797B22" w:rsidRPr="00C71B2F">
              <w:rPr>
                <w:rFonts w:ascii="Arial" w:hAnsi="Arial" w:cs="Arial"/>
                <w:bCs/>
                <w:sz w:val="18"/>
                <w:lang w:val="sq-AL" w:eastAsia="el-GR"/>
              </w:rPr>
              <w:t>,</w:t>
            </w:r>
            <w:r w:rsidRPr="00C71B2F">
              <w:rPr>
                <w:rFonts w:ascii="Arial" w:hAnsi="Arial" w:cs="Arial"/>
                <w:bCs/>
                <w:sz w:val="18"/>
                <w:lang w:val="sq-AL" w:eastAsia="el-GR"/>
              </w:rPr>
              <w:t>do 2030</w:t>
            </w:r>
            <w:r w:rsidR="00797B22" w:rsidRPr="00C71B2F">
              <w:rPr>
                <w:rFonts w:ascii="Arial" w:hAnsi="Arial" w:cs="Arial"/>
                <w:bCs/>
                <w:sz w:val="18"/>
                <w:lang w:val="sq-AL" w:eastAsia="el-GR"/>
              </w:rPr>
              <w:t>. godine</w:t>
            </w:r>
            <w:r w:rsidRPr="00C71B2F">
              <w:rPr>
                <w:rFonts w:ascii="Arial" w:hAnsi="Arial" w:cs="Arial"/>
                <w:bCs/>
                <w:sz w:val="18"/>
                <w:lang w:val="sq-AL" w:eastAsia="el-GR"/>
              </w:rPr>
              <w:t>);</w:t>
            </w:r>
          </w:p>
          <w:p w14:paraId="16BFA4B1" w14:textId="35556659" w:rsidR="00C232D7" w:rsidRPr="00797B22" w:rsidRDefault="00C232D7" w:rsidP="00C232D7">
            <w:pPr>
              <w:spacing w:before="40" w:after="40" w:line="360" w:lineRule="auto"/>
              <w:ind w:right="45"/>
              <w:rPr>
                <w:rFonts w:ascii="Arial" w:hAnsi="Arial" w:cs="Arial"/>
                <w:bCs/>
                <w:sz w:val="18"/>
                <w:lang w:val="sq-AL" w:eastAsia="el-GR"/>
              </w:rPr>
            </w:pPr>
            <w:r w:rsidRPr="00DD15E0">
              <w:rPr>
                <w:rFonts w:ascii="Arial" w:hAnsi="Arial" w:cs="Arial"/>
                <w:bCs/>
                <w:sz w:val="18"/>
                <w:lang w:val="sq-AL" w:eastAsia="el-GR"/>
              </w:rPr>
              <w:t xml:space="preserve">Reciklaža </w:t>
            </w:r>
            <w:r w:rsidRPr="002A1003">
              <w:rPr>
                <w:rFonts w:ascii="Arial" w:hAnsi="Arial" w:cs="Arial"/>
                <w:bCs/>
                <w:sz w:val="18"/>
                <w:lang w:val="sq-AL"/>
              </w:rPr>
              <w:t>35%</w:t>
            </w:r>
            <w:r w:rsidR="00797B22" w:rsidRPr="002A1003">
              <w:rPr>
                <w:rFonts w:ascii="Arial" w:hAnsi="Arial" w:cs="Arial"/>
                <w:bCs/>
                <w:sz w:val="18"/>
                <w:lang w:val="sq-AL"/>
              </w:rPr>
              <w:t>,</w:t>
            </w:r>
            <w:r w:rsidRPr="002A1003">
              <w:rPr>
                <w:rFonts w:ascii="Arial" w:hAnsi="Arial" w:cs="Arial"/>
                <w:bCs/>
                <w:sz w:val="18"/>
                <w:lang w:val="sq-AL"/>
              </w:rPr>
              <w:t>do 2030</w:t>
            </w:r>
            <w:r w:rsidR="00797B22" w:rsidRPr="002A1003">
              <w:rPr>
                <w:rFonts w:ascii="Arial" w:hAnsi="Arial" w:cs="Arial"/>
                <w:bCs/>
                <w:sz w:val="18"/>
                <w:lang w:val="sq-AL"/>
              </w:rPr>
              <w:t>. godine</w:t>
            </w:r>
            <w:r w:rsidRPr="002A1003">
              <w:rPr>
                <w:rFonts w:ascii="Arial" w:hAnsi="Arial" w:cs="Arial"/>
                <w:bCs/>
                <w:sz w:val="18"/>
                <w:lang w:val="sq-AL"/>
              </w:rPr>
              <w:t>);</w:t>
            </w:r>
          </w:p>
          <w:p w14:paraId="511DCAA1" w14:textId="5E2BA2FB" w:rsidR="00C232D7" w:rsidRPr="00BA632E" w:rsidRDefault="00C232D7" w:rsidP="00C232D7">
            <w:pPr>
              <w:spacing w:before="40" w:after="40" w:line="360" w:lineRule="auto"/>
              <w:ind w:right="45"/>
              <w:rPr>
                <w:rFonts w:ascii="Arial" w:hAnsi="Arial" w:cs="Arial"/>
                <w:bCs/>
                <w:sz w:val="18"/>
                <w:lang w:val="sq-AL" w:eastAsia="el-GR"/>
              </w:rPr>
            </w:pPr>
            <w:r w:rsidRPr="00797B22">
              <w:rPr>
                <w:rFonts w:ascii="Arial" w:hAnsi="Arial" w:cs="Arial"/>
                <w:bCs/>
                <w:sz w:val="18"/>
                <w:lang w:val="sq-AL" w:eastAsia="el-GR"/>
              </w:rPr>
              <w:t>ponovna upotreba/recikl</w:t>
            </w:r>
            <w:r w:rsidR="00DD15E0" w:rsidRPr="009F323A">
              <w:rPr>
                <w:rFonts w:ascii="Arial" w:hAnsi="Arial" w:cs="Arial"/>
                <w:bCs/>
                <w:sz w:val="18"/>
                <w:lang w:val="sq-AL" w:eastAsia="el-GR"/>
              </w:rPr>
              <w:t>ranje</w:t>
            </w:r>
            <w:r w:rsidRPr="00DD15E0">
              <w:rPr>
                <w:rFonts w:ascii="Arial" w:hAnsi="Arial" w:cs="Arial"/>
                <w:bCs/>
                <w:sz w:val="18"/>
                <w:lang w:val="sq-AL" w:eastAsia="el-GR"/>
              </w:rPr>
              <w:t xml:space="preserve"> 20% odvojeno sakupljenog kabastog otpada (do 202</w:t>
            </w:r>
            <w:r w:rsidR="00DD15E0" w:rsidRPr="001B40A0">
              <w:rPr>
                <w:rFonts w:ascii="Arial" w:hAnsi="Arial" w:cs="Arial"/>
                <w:bCs/>
                <w:sz w:val="18"/>
                <w:lang w:val="sq-AL" w:eastAsia="el-GR"/>
              </w:rPr>
              <w:t>7</w:t>
            </w:r>
            <w:r w:rsidRPr="00BA632E">
              <w:rPr>
                <w:rFonts w:ascii="Arial" w:hAnsi="Arial" w:cs="Arial"/>
                <w:bCs/>
                <w:sz w:val="18"/>
                <w:lang w:val="sq-AL" w:eastAsia="el-GR"/>
              </w:rPr>
              <w:t>. godine);</w:t>
            </w:r>
          </w:p>
          <w:p w14:paraId="7EF36265" w14:textId="77777777" w:rsidR="00C232D7" w:rsidRPr="00C149AB" w:rsidRDefault="00C232D7" w:rsidP="00C232D7">
            <w:pPr>
              <w:spacing w:before="40" w:after="40" w:line="360" w:lineRule="auto"/>
              <w:ind w:right="45"/>
              <w:rPr>
                <w:rFonts w:ascii="Arial" w:hAnsi="Arial" w:cs="Arial"/>
                <w:bCs/>
                <w:sz w:val="18"/>
                <w:lang w:val="sq-AL" w:eastAsia="el-GR"/>
              </w:rPr>
            </w:pPr>
            <w:r w:rsidRPr="00C149AB">
              <w:rPr>
                <w:rFonts w:ascii="Arial" w:hAnsi="Arial" w:cs="Arial"/>
                <w:bCs/>
                <w:sz w:val="18"/>
                <w:lang w:val="sq-AL" w:eastAsia="el-GR"/>
              </w:rPr>
              <w:t>Razvoj operativne mreže MRF i postrojenja za kompostiranje;</w:t>
            </w:r>
          </w:p>
          <w:p w14:paraId="5A12A9B6" w14:textId="77777777" w:rsidR="00C232D7" w:rsidRPr="00C149AB" w:rsidRDefault="00C232D7" w:rsidP="00C232D7">
            <w:pPr>
              <w:spacing w:before="40" w:after="40" w:line="360" w:lineRule="auto"/>
              <w:ind w:right="45"/>
              <w:rPr>
                <w:rFonts w:ascii="Arial" w:hAnsi="Arial" w:cs="Arial"/>
                <w:bCs/>
                <w:sz w:val="18"/>
                <w:lang w:val="sq-AL" w:eastAsia="el-GR"/>
              </w:rPr>
            </w:pPr>
            <w:r w:rsidRPr="00C149AB">
              <w:rPr>
                <w:rFonts w:ascii="Arial" w:hAnsi="Arial" w:cs="Arial"/>
                <w:bCs/>
                <w:sz w:val="18"/>
                <w:lang w:val="sq-AL" w:eastAsia="el-GR"/>
              </w:rPr>
              <w:t>Integracija neformalnog sektora;</w:t>
            </w:r>
          </w:p>
          <w:p w14:paraId="1905900C" w14:textId="7314612F" w:rsidR="00C232D7" w:rsidRPr="00C149AB" w:rsidRDefault="00C232D7" w:rsidP="00C232D7">
            <w:pPr>
              <w:spacing w:before="40" w:after="40" w:line="360" w:lineRule="auto"/>
              <w:ind w:right="45"/>
              <w:rPr>
                <w:rFonts w:ascii="Arial" w:hAnsi="Arial" w:cs="Arial"/>
                <w:bCs/>
                <w:sz w:val="18"/>
                <w:lang w:val="sq-AL" w:eastAsia="el-GR"/>
              </w:rPr>
            </w:pPr>
            <w:r w:rsidRPr="00C149AB">
              <w:rPr>
                <w:rFonts w:ascii="Arial" w:hAnsi="Arial" w:cs="Arial"/>
                <w:bCs/>
                <w:sz w:val="18"/>
                <w:lang w:val="sq-AL" w:eastAsia="el-GR"/>
              </w:rPr>
              <w:t xml:space="preserve">Implementacija </w:t>
            </w:r>
            <w:r w:rsidR="003B402F" w:rsidRPr="00C149AB">
              <w:rPr>
                <w:rFonts w:ascii="Arial" w:hAnsi="Arial" w:cs="Arial"/>
                <w:bCs/>
                <w:sz w:val="18"/>
                <w:lang w:val="sq-AL" w:eastAsia="el-GR"/>
              </w:rPr>
              <w:t xml:space="preserve">EPR </w:t>
            </w:r>
            <w:r w:rsidRPr="00C149AB">
              <w:rPr>
                <w:rFonts w:ascii="Arial" w:hAnsi="Arial" w:cs="Arial"/>
                <w:bCs/>
                <w:sz w:val="18"/>
                <w:lang w:val="sq-AL" w:eastAsia="el-GR"/>
              </w:rPr>
              <w:t>sistema</w:t>
            </w:r>
          </w:p>
        </w:tc>
        <w:tc>
          <w:tcPr>
            <w:tcW w:w="3241" w:type="dxa"/>
            <w:vAlign w:val="center"/>
          </w:tcPr>
          <w:p w14:paraId="0573E98A" w14:textId="4440160A" w:rsidR="00C232D7" w:rsidRPr="00C149AB" w:rsidRDefault="00C232D7" w:rsidP="00C232D7">
            <w:pPr>
              <w:spacing w:before="40" w:after="40" w:line="360" w:lineRule="auto"/>
              <w:ind w:right="45"/>
              <w:rPr>
                <w:rFonts w:ascii="Arial" w:hAnsi="Arial" w:cs="Arial"/>
                <w:bCs/>
                <w:sz w:val="18"/>
                <w:lang w:val="sq-AL"/>
              </w:rPr>
            </w:pPr>
            <w:r w:rsidRPr="00C149AB">
              <w:rPr>
                <w:rFonts w:ascii="Arial" w:hAnsi="Arial" w:cs="Arial"/>
                <w:bCs/>
                <w:sz w:val="18"/>
                <w:lang w:val="sq-AL"/>
              </w:rPr>
              <w:t>Pravna sredstva za postavljanje okvira i standarda za recikl</w:t>
            </w:r>
            <w:r w:rsidR="00DD15E0">
              <w:rPr>
                <w:rFonts w:ascii="Arial" w:hAnsi="Arial" w:cs="Arial"/>
                <w:bCs/>
                <w:sz w:val="18"/>
                <w:lang w:val="sq-AL"/>
              </w:rPr>
              <w:t>iranje</w:t>
            </w:r>
            <w:r w:rsidRPr="00C149AB">
              <w:rPr>
                <w:rFonts w:ascii="Arial" w:hAnsi="Arial" w:cs="Arial"/>
                <w:bCs/>
                <w:sz w:val="18"/>
                <w:lang w:val="sq-AL"/>
              </w:rPr>
              <w:t>;</w:t>
            </w:r>
          </w:p>
          <w:p w14:paraId="4AD30A0E" w14:textId="699A57D8" w:rsidR="00C232D7" w:rsidRPr="00C149AB" w:rsidRDefault="00C232D7" w:rsidP="00C232D7">
            <w:pPr>
              <w:spacing w:before="40" w:after="40" w:line="360" w:lineRule="auto"/>
              <w:ind w:right="45"/>
              <w:rPr>
                <w:rFonts w:ascii="Arial" w:hAnsi="Arial" w:cs="Arial"/>
                <w:bCs/>
                <w:sz w:val="18"/>
                <w:lang w:val="sq-AL"/>
              </w:rPr>
            </w:pPr>
            <w:r w:rsidRPr="00C149AB">
              <w:rPr>
                <w:rFonts w:ascii="Arial" w:hAnsi="Arial" w:cs="Arial"/>
                <w:bCs/>
                <w:sz w:val="18"/>
                <w:lang w:val="sq-AL"/>
              </w:rPr>
              <w:t>Nadogradnja postojećih objekata;</w:t>
            </w:r>
          </w:p>
          <w:p w14:paraId="1D359A66" w14:textId="77777777" w:rsidR="00C232D7" w:rsidRPr="00C149AB" w:rsidRDefault="00C232D7" w:rsidP="00C232D7">
            <w:pPr>
              <w:spacing w:before="40" w:after="40" w:line="360" w:lineRule="auto"/>
              <w:ind w:right="45"/>
              <w:rPr>
                <w:rFonts w:ascii="Arial" w:hAnsi="Arial" w:cs="Arial"/>
                <w:bCs/>
                <w:sz w:val="18"/>
                <w:lang w:val="sq-AL"/>
              </w:rPr>
            </w:pPr>
            <w:r w:rsidRPr="00C149AB">
              <w:rPr>
                <w:rFonts w:ascii="Arial" w:hAnsi="Arial" w:cs="Arial"/>
                <w:bCs/>
                <w:sz w:val="18"/>
                <w:lang w:val="sq-AL"/>
              </w:rPr>
              <w:t>MRF i kapaciteti za kompostiranje razvijeni prema potrebama;</w:t>
            </w:r>
          </w:p>
        </w:tc>
      </w:tr>
    </w:tbl>
    <w:p w14:paraId="10AC2B09" w14:textId="31B4E05F" w:rsidR="00C232D7" w:rsidRPr="002A6F4E" w:rsidRDefault="00620A47" w:rsidP="00F57909">
      <w:pPr>
        <w:pStyle w:val="Heading2"/>
      </w:pPr>
      <w:bookmarkStart w:id="1198" w:name="_Toc121759073"/>
      <w:bookmarkStart w:id="1199" w:name="_Toc189759714"/>
      <w:bookmarkStart w:id="1200" w:name="_Toc193354040"/>
      <w:r>
        <w:t>5.3</w:t>
      </w:r>
      <w:r w:rsidR="009751D2">
        <w:t>3</w:t>
      </w:r>
      <w:r>
        <w:t xml:space="preserve">. </w:t>
      </w:r>
      <w:r w:rsidR="00E017CC">
        <w:t>Obrada</w:t>
      </w:r>
      <w:r w:rsidR="00C232D7" w:rsidRPr="002A6F4E">
        <w:t xml:space="preserve"> miješanog otpada</w:t>
      </w:r>
      <w:bookmarkEnd w:id="1198"/>
      <w:bookmarkEnd w:id="1199"/>
      <w:bookmarkEnd w:id="1200"/>
    </w:p>
    <w:p w14:paraId="37FBA920" w14:textId="2E05C665" w:rsidR="00C232D7" w:rsidRPr="002A6F4E" w:rsidRDefault="00C232D7" w:rsidP="00C232D7">
      <w:pPr>
        <w:shd w:val="clear" w:color="auto" w:fill="E2EFD9" w:themeFill="accent6" w:themeFillTint="33"/>
        <w:spacing w:before="120" w:after="120" w:line="360" w:lineRule="auto"/>
        <w:rPr>
          <w:rFonts w:ascii="Arial" w:hAnsi="Arial" w:cs="Arial"/>
          <w:lang w:val="sq-AL"/>
        </w:rPr>
      </w:pPr>
      <w:r w:rsidRPr="002A6F4E">
        <w:rPr>
          <w:rFonts w:ascii="Arial" w:hAnsi="Arial" w:cs="Arial"/>
          <w:b/>
          <w:i/>
          <w:iCs/>
          <w:lang w:val="sq-AL"/>
        </w:rPr>
        <w:t>Cilj</w:t>
      </w:r>
      <w:r w:rsidRPr="002A6F4E">
        <w:rPr>
          <w:rFonts w:ascii="Arial" w:hAnsi="Arial" w:cs="Arial"/>
          <w:i/>
          <w:lang w:val="sq-AL"/>
        </w:rPr>
        <w:t xml:space="preserve">: Crna Gora postavlja kao primarni cilj </w:t>
      </w:r>
      <w:r w:rsidR="00797B22">
        <w:rPr>
          <w:rFonts w:ascii="Arial" w:hAnsi="Arial" w:cs="Arial"/>
          <w:i/>
          <w:lang w:val="sq-AL"/>
        </w:rPr>
        <w:t>obradu</w:t>
      </w:r>
      <w:r w:rsidR="00797B22" w:rsidRPr="002A6F4E">
        <w:rPr>
          <w:rFonts w:ascii="Arial" w:hAnsi="Arial" w:cs="Arial"/>
          <w:i/>
          <w:lang w:val="sq-AL"/>
        </w:rPr>
        <w:t xml:space="preserve"> </w:t>
      </w:r>
      <w:r w:rsidRPr="002A6F4E">
        <w:rPr>
          <w:rFonts w:ascii="Arial" w:hAnsi="Arial" w:cs="Arial"/>
          <w:i/>
          <w:lang w:val="sq-AL"/>
        </w:rPr>
        <w:t>otpada koji nije pogodan za ponovnu upotrebu/recikl</w:t>
      </w:r>
      <w:r w:rsidR="00797B22">
        <w:rPr>
          <w:rFonts w:ascii="Arial" w:hAnsi="Arial" w:cs="Arial"/>
          <w:i/>
          <w:lang w:val="sq-AL"/>
        </w:rPr>
        <w:t>iranje</w:t>
      </w:r>
      <w:r w:rsidRPr="002A6F4E">
        <w:rPr>
          <w:rFonts w:ascii="Arial" w:hAnsi="Arial" w:cs="Arial"/>
          <w:i/>
          <w:lang w:val="sq-AL"/>
        </w:rPr>
        <w:t xml:space="preserve"> prije odlaganja i korišćenje otpada kao materijalnog i energetskog resursa.</w:t>
      </w:r>
    </w:p>
    <w:p w14:paraId="4C93F496" w14:textId="2E98E9C8"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 situaciji kada je odlaganje otpada na deponijama ili odlagalištima glavni način upravljanja, a povrat materijala od nesortiranog komunalnog otpada dominira trenutnim naporima u pogledu recikl</w:t>
      </w:r>
      <w:r w:rsidR="00797B22">
        <w:rPr>
          <w:rFonts w:ascii="Arial" w:hAnsi="Arial" w:cs="Arial"/>
          <w:lang w:val="sq-AL"/>
        </w:rPr>
        <w:t>iranja</w:t>
      </w:r>
      <w:r w:rsidRPr="002A6F4E">
        <w:rPr>
          <w:rFonts w:ascii="Arial" w:hAnsi="Arial" w:cs="Arial"/>
          <w:lang w:val="sq-AL"/>
        </w:rPr>
        <w:t>, neophodno je donijeti suštinske odluke o:</w:t>
      </w:r>
    </w:p>
    <w:p w14:paraId="631AEEAA" w14:textId="4380EE3B" w:rsidR="00C232D7" w:rsidRPr="002A6F4E" w:rsidRDefault="00C232D7" w:rsidP="00A23ED0">
      <w:pPr>
        <w:pStyle w:val="ListParagraph"/>
        <w:numPr>
          <w:ilvl w:val="0"/>
          <w:numId w:val="60"/>
        </w:numPr>
        <w:spacing w:before="120" w:after="120" w:line="360" w:lineRule="auto"/>
        <w:contextualSpacing w:val="0"/>
        <w:rPr>
          <w:rFonts w:ascii="Arial" w:hAnsi="Arial" w:cs="Arial"/>
          <w:lang w:val="sq-AL"/>
        </w:rPr>
      </w:pPr>
      <w:r w:rsidRPr="002A6F4E">
        <w:rPr>
          <w:rFonts w:ascii="Arial" w:hAnsi="Arial" w:cs="Arial"/>
          <w:lang w:val="sq-AL"/>
        </w:rPr>
        <w:t>otpadu koji nije pogodan za recikl</w:t>
      </w:r>
      <w:r w:rsidR="00797B22">
        <w:rPr>
          <w:rFonts w:ascii="Arial" w:hAnsi="Arial" w:cs="Arial"/>
          <w:lang w:val="sq-AL"/>
        </w:rPr>
        <w:t>iranje</w:t>
      </w:r>
      <w:r w:rsidRPr="002A6F4E">
        <w:rPr>
          <w:rFonts w:ascii="Arial" w:hAnsi="Arial" w:cs="Arial"/>
          <w:lang w:val="sq-AL"/>
        </w:rPr>
        <w:t xml:space="preserve"> ili biološk</w:t>
      </w:r>
      <w:r w:rsidR="00797B22">
        <w:rPr>
          <w:rFonts w:ascii="Arial" w:hAnsi="Arial" w:cs="Arial"/>
          <w:lang w:val="sq-AL"/>
        </w:rPr>
        <w:t>u obradu</w:t>
      </w:r>
      <w:r w:rsidRPr="002A6F4E">
        <w:rPr>
          <w:rFonts w:ascii="Arial" w:hAnsi="Arial" w:cs="Arial"/>
          <w:lang w:val="sq-AL"/>
        </w:rPr>
        <w:t xml:space="preserve">(odnosi se na prethodno odabrani organski otpad), druge vrste </w:t>
      </w:r>
      <w:r w:rsidR="00797B22">
        <w:rPr>
          <w:rFonts w:ascii="Arial" w:hAnsi="Arial" w:cs="Arial"/>
          <w:lang w:val="sq-AL"/>
        </w:rPr>
        <w:t>obrade</w:t>
      </w:r>
      <w:r w:rsidR="00797B22" w:rsidRPr="002A6F4E">
        <w:rPr>
          <w:rFonts w:ascii="Arial" w:hAnsi="Arial" w:cs="Arial"/>
          <w:lang w:val="sq-AL"/>
        </w:rPr>
        <w:t xml:space="preserve"> </w:t>
      </w:r>
      <w:r w:rsidRPr="002A6F4E">
        <w:rPr>
          <w:rFonts w:ascii="Arial" w:hAnsi="Arial" w:cs="Arial"/>
          <w:lang w:val="sq-AL"/>
        </w:rPr>
        <w:t>koje treba razmotriti;</w:t>
      </w:r>
    </w:p>
    <w:p w14:paraId="1B42D73D" w14:textId="48E85C53" w:rsidR="00C232D7" w:rsidRPr="002A6F4E" w:rsidRDefault="00C232D7" w:rsidP="00A23ED0">
      <w:pPr>
        <w:pStyle w:val="ListParagraph"/>
        <w:numPr>
          <w:ilvl w:val="0"/>
          <w:numId w:val="60"/>
        </w:numPr>
        <w:spacing w:before="120" w:after="120" w:line="360" w:lineRule="auto"/>
        <w:contextualSpacing w:val="0"/>
        <w:rPr>
          <w:rFonts w:ascii="Arial" w:hAnsi="Arial" w:cs="Arial"/>
          <w:lang w:val="sq-AL"/>
        </w:rPr>
      </w:pPr>
      <w:r w:rsidRPr="002A6F4E">
        <w:rPr>
          <w:rFonts w:ascii="Arial" w:hAnsi="Arial" w:cs="Arial"/>
          <w:lang w:val="sq-AL"/>
        </w:rPr>
        <w:t xml:space="preserve">korišćenje otpada kao potencijalnog materijalnog i energetskog resursa (preko </w:t>
      </w:r>
      <w:r w:rsidR="00AC1684">
        <w:rPr>
          <w:rFonts w:ascii="Arial" w:hAnsi="Arial" w:cs="Arial"/>
          <w:lang w:val="sq-AL"/>
        </w:rPr>
        <w:t>iskorišćenosti</w:t>
      </w:r>
      <w:r w:rsidRPr="002A6F4E">
        <w:rPr>
          <w:rFonts w:ascii="Arial" w:hAnsi="Arial" w:cs="Arial"/>
          <w:lang w:val="sq-AL"/>
        </w:rPr>
        <w:t xml:space="preserve"> kalorijske vrijednosti materijala koji je određen za deponovanje);</w:t>
      </w:r>
    </w:p>
    <w:p w14:paraId="6E47ECB7" w14:textId="6583E4BE" w:rsidR="00C232D7" w:rsidRPr="002A6F4E" w:rsidRDefault="00C232D7" w:rsidP="00A23ED0">
      <w:pPr>
        <w:pStyle w:val="ListParagraph"/>
        <w:numPr>
          <w:ilvl w:val="0"/>
          <w:numId w:val="60"/>
        </w:numPr>
        <w:spacing w:before="120" w:after="120" w:line="360" w:lineRule="auto"/>
        <w:contextualSpacing w:val="0"/>
        <w:rPr>
          <w:rFonts w:ascii="Arial" w:hAnsi="Arial" w:cs="Arial"/>
          <w:lang w:val="sq-AL"/>
        </w:rPr>
      </w:pPr>
      <w:r w:rsidRPr="002A6F4E">
        <w:rPr>
          <w:rFonts w:ascii="Arial" w:hAnsi="Arial" w:cs="Arial"/>
          <w:lang w:val="sq-AL"/>
        </w:rPr>
        <w:t xml:space="preserve">otpad treba </w:t>
      </w:r>
      <w:r w:rsidR="005246EA">
        <w:rPr>
          <w:rFonts w:ascii="Arial" w:hAnsi="Arial" w:cs="Arial"/>
          <w:lang w:val="sq-AL"/>
        </w:rPr>
        <w:t>preraditi</w:t>
      </w:r>
      <w:r w:rsidRPr="002A6F4E">
        <w:rPr>
          <w:rFonts w:ascii="Arial" w:hAnsi="Arial" w:cs="Arial"/>
          <w:lang w:val="sq-AL"/>
        </w:rPr>
        <w:t xml:space="preserve"> prije odlaganja.</w:t>
      </w:r>
    </w:p>
    <w:p w14:paraId="5851131A" w14:textId="7D86F149" w:rsidR="00C232D7" w:rsidRPr="002A6F4E" w:rsidRDefault="00C232D7" w:rsidP="00C232D7">
      <w:pPr>
        <w:spacing w:before="120" w:after="120" w:line="360" w:lineRule="auto"/>
        <w:rPr>
          <w:rFonts w:ascii="Arial" w:hAnsi="Arial" w:cs="Arial"/>
          <w:bCs/>
          <w:lang w:val="sq-AL"/>
        </w:rPr>
      </w:pPr>
      <w:r w:rsidRPr="002A6F4E">
        <w:rPr>
          <w:rFonts w:ascii="Arial" w:hAnsi="Arial" w:cs="Arial"/>
          <w:bCs/>
          <w:lang w:val="sq-AL"/>
        </w:rPr>
        <w:t xml:space="preserve">Glavni ciljevi za </w:t>
      </w:r>
      <w:r w:rsidR="00797B22">
        <w:rPr>
          <w:rFonts w:ascii="Arial" w:hAnsi="Arial" w:cs="Arial"/>
          <w:bCs/>
          <w:lang w:val="sq-AL"/>
        </w:rPr>
        <w:t>obradu</w:t>
      </w:r>
      <w:r w:rsidR="00797B22" w:rsidRPr="002A6F4E">
        <w:rPr>
          <w:rFonts w:ascii="Arial" w:hAnsi="Arial" w:cs="Arial"/>
          <w:bCs/>
          <w:lang w:val="sq-AL"/>
        </w:rPr>
        <w:t xml:space="preserve"> </w:t>
      </w:r>
      <w:r w:rsidRPr="002A6F4E">
        <w:rPr>
          <w:rFonts w:ascii="Arial" w:hAnsi="Arial" w:cs="Arial"/>
          <w:bCs/>
          <w:lang w:val="sq-AL"/>
        </w:rPr>
        <w:t>komunalnog otpada prikazani su u sljedećoj tabeli, prema zakonodavstvu</w:t>
      </w:r>
      <w:r w:rsidR="00797B22">
        <w:rPr>
          <w:rFonts w:ascii="Arial" w:hAnsi="Arial" w:cs="Arial"/>
          <w:bCs/>
          <w:lang w:val="sq-AL"/>
        </w:rPr>
        <w:t xml:space="preserve"> Crne Gore</w:t>
      </w:r>
      <w:r w:rsidRPr="002A6F4E">
        <w:rPr>
          <w:rFonts w:ascii="Arial" w:hAnsi="Arial" w:cs="Arial"/>
          <w:bCs/>
          <w:lang w:val="sq-AL"/>
        </w:rPr>
        <w:t>.</w:t>
      </w:r>
    </w:p>
    <w:p w14:paraId="4A7FDD42" w14:textId="3CE386F0" w:rsidR="005246EA" w:rsidRDefault="00C232D7" w:rsidP="00C232D7">
      <w:pPr>
        <w:spacing w:before="120" w:after="120" w:line="360" w:lineRule="auto"/>
        <w:rPr>
          <w:rFonts w:ascii="Arial" w:hAnsi="Arial" w:cs="Arial"/>
          <w:bCs/>
          <w:lang w:val="sq-AL"/>
        </w:rPr>
      </w:pPr>
      <w:r w:rsidRPr="002A6F4E">
        <w:rPr>
          <w:rFonts w:ascii="Arial" w:hAnsi="Arial" w:cs="Arial"/>
          <w:bCs/>
          <w:lang w:val="sq-AL"/>
        </w:rPr>
        <w:t>Pored toga, predstavljeni su ciljevi usvojeni u DPUO 2025-2029</w:t>
      </w:r>
      <w:r w:rsidR="00597DDD">
        <w:rPr>
          <w:rFonts w:ascii="Arial" w:hAnsi="Arial" w:cs="Arial"/>
          <w:bCs/>
          <w:lang w:val="sq-AL"/>
        </w:rPr>
        <w:t>. godina</w:t>
      </w:r>
      <w:r w:rsidRPr="002A6F4E">
        <w:rPr>
          <w:rFonts w:ascii="Arial" w:hAnsi="Arial" w:cs="Arial"/>
          <w:bCs/>
          <w:lang w:val="sq-AL"/>
        </w:rPr>
        <w:t xml:space="preserve"> u vezi sa </w:t>
      </w:r>
      <w:r w:rsidR="00797B22">
        <w:rPr>
          <w:rFonts w:ascii="Arial" w:hAnsi="Arial" w:cs="Arial"/>
          <w:bCs/>
          <w:lang w:val="sq-AL"/>
        </w:rPr>
        <w:t>obradom</w:t>
      </w:r>
      <w:r w:rsidR="00797B22" w:rsidRPr="002A6F4E">
        <w:rPr>
          <w:rFonts w:ascii="Arial" w:hAnsi="Arial" w:cs="Arial"/>
          <w:bCs/>
          <w:lang w:val="sq-AL"/>
        </w:rPr>
        <w:t xml:space="preserve"> </w:t>
      </w:r>
      <w:r w:rsidRPr="002A6F4E">
        <w:rPr>
          <w:rFonts w:ascii="Arial" w:hAnsi="Arial" w:cs="Arial"/>
          <w:bCs/>
          <w:lang w:val="sq-AL"/>
        </w:rPr>
        <w:t>komunalnog otpada, kako bi</w:t>
      </w:r>
      <w:r w:rsidR="005246EA">
        <w:rPr>
          <w:rFonts w:ascii="Arial" w:hAnsi="Arial" w:cs="Arial"/>
          <w:bCs/>
          <w:lang w:val="sq-AL"/>
        </w:rPr>
        <w:t>:</w:t>
      </w:r>
    </w:p>
    <w:p w14:paraId="18A021E5" w14:textId="520D3B8E" w:rsidR="005246EA" w:rsidRDefault="00C232D7" w:rsidP="00C232D7">
      <w:pPr>
        <w:spacing w:before="120" w:after="120" w:line="360" w:lineRule="auto"/>
        <w:rPr>
          <w:rFonts w:ascii="Arial" w:hAnsi="Arial" w:cs="Arial"/>
          <w:bCs/>
          <w:lang w:val="sq-AL"/>
        </w:rPr>
      </w:pPr>
      <w:r w:rsidRPr="002A6F4E">
        <w:rPr>
          <w:rFonts w:ascii="Arial" w:hAnsi="Arial" w:cs="Arial"/>
          <w:bCs/>
          <w:lang w:val="sq-AL"/>
        </w:rPr>
        <w:t xml:space="preserve"> </w:t>
      </w:r>
      <w:r w:rsidR="00AC1684">
        <w:rPr>
          <w:rFonts w:ascii="Arial" w:hAnsi="Arial" w:cs="Arial"/>
          <w:bCs/>
          <w:lang w:val="sq-AL"/>
        </w:rPr>
        <w:t>I</w:t>
      </w:r>
      <w:r w:rsidRPr="002A6F4E">
        <w:rPr>
          <w:rFonts w:ascii="Arial" w:hAnsi="Arial" w:cs="Arial"/>
          <w:bCs/>
          <w:lang w:val="sq-AL"/>
        </w:rPr>
        <w:t>) olakšali postizanje ciljeva uključenih u pravni okvir</w:t>
      </w:r>
      <w:r w:rsidR="00797B22">
        <w:rPr>
          <w:rFonts w:ascii="Arial" w:hAnsi="Arial" w:cs="Arial"/>
          <w:bCs/>
          <w:lang w:val="sq-AL"/>
        </w:rPr>
        <w:t>,</w:t>
      </w:r>
      <w:r w:rsidRPr="002A6F4E">
        <w:rPr>
          <w:rFonts w:ascii="Arial" w:hAnsi="Arial" w:cs="Arial"/>
          <w:bCs/>
          <w:lang w:val="sq-AL"/>
        </w:rPr>
        <w:t xml:space="preserve"> i </w:t>
      </w:r>
    </w:p>
    <w:p w14:paraId="3956B891" w14:textId="27D0DEB0" w:rsidR="00C232D7" w:rsidRDefault="00AC1684" w:rsidP="00C232D7">
      <w:pPr>
        <w:spacing w:before="120" w:after="120" w:line="360" w:lineRule="auto"/>
        <w:rPr>
          <w:rFonts w:ascii="Arial" w:hAnsi="Arial" w:cs="Arial"/>
          <w:bCs/>
          <w:lang w:val="sq-AL"/>
        </w:rPr>
      </w:pPr>
      <w:r>
        <w:rPr>
          <w:rFonts w:ascii="Arial" w:hAnsi="Arial" w:cs="Arial"/>
          <w:bCs/>
          <w:lang w:val="sq-AL"/>
        </w:rPr>
        <w:t>II</w:t>
      </w:r>
      <w:r w:rsidR="00C232D7" w:rsidRPr="002A6F4E">
        <w:rPr>
          <w:rFonts w:ascii="Arial" w:hAnsi="Arial" w:cs="Arial"/>
          <w:bCs/>
          <w:lang w:val="sq-AL"/>
        </w:rPr>
        <w:t>) približili zemlju odredbama paketa cirkularne ekonomije koji je usvojila EU.</w:t>
      </w:r>
    </w:p>
    <w:p w14:paraId="12FBD9A3" w14:textId="77777777" w:rsidR="00E70430" w:rsidRDefault="00E70430" w:rsidP="00C232D7">
      <w:pPr>
        <w:spacing w:before="120" w:after="120" w:line="360" w:lineRule="auto"/>
        <w:rPr>
          <w:rFonts w:ascii="Arial" w:hAnsi="Arial" w:cs="Arial"/>
          <w:bCs/>
          <w:lang w:val="sq-AL"/>
        </w:rPr>
      </w:pPr>
    </w:p>
    <w:p w14:paraId="2B2A936E" w14:textId="77777777" w:rsidR="00BC1D71" w:rsidRPr="002A6F4E" w:rsidRDefault="00BC1D71" w:rsidP="00C232D7">
      <w:pPr>
        <w:spacing w:before="120" w:after="120" w:line="360" w:lineRule="auto"/>
        <w:rPr>
          <w:rFonts w:ascii="Arial" w:hAnsi="Arial" w:cs="Arial"/>
          <w:bCs/>
          <w:lang w:val="sq-AL"/>
        </w:rPr>
      </w:pPr>
    </w:p>
    <w:p w14:paraId="4EF370A3" w14:textId="11B16260" w:rsidR="00C232D7" w:rsidRPr="00C149AB" w:rsidRDefault="00C232D7" w:rsidP="00C232D7">
      <w:pPr>
        <w:pStyle w:val="Caption"/>
        <w:rPr>
          <w:rFonts w:ascii="Arial" w:hAnsi="Arial" w:cs="Arial"/>
          <w:b w:val="0"/>
          <w:szCs w:val="20"/>
          <w:lang w:val="sq-AL"/>
        </w:rPr>
      </w:pPr>
      <w:bookmarkStart w:id="1201" w:name="_Toc189515682"/>
      <w:bookmarkStart w:id="1202" w:name="_Toc190160793"/>
      <w:r w:rsidRPr="00C149AB">
        <w:rPr>
          <w:rFonts w:ascii="Arial" w:hAnsi="Arial" w:cs="Arial"/>
          <w:b w:val="0"/>
          <w:szCs w:val="20"/>
          <w:lang w:val="sq-AL"/>
        </w:rPr>
        <w:lastRenderedPageBreak/>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98</w:t>
      </w:r>
      <w:r w:rsidRPr="00C149AB">
        <w:rPr>
          <w:rFonts w:ascii="Arial" w:hAnsi="Arial" w:cs="Arial"/>
          <w:b w:val="0"/>
          <w:szCs w:val="20"/>
        </w:rPr>
        <w:fldChar w:fldCharType="end"/>
      </w:r>
      <w:r w:rsidRPr="00C149AB">
        <w:rPr>
          <w:rFonts w:ascii="Arial" w:hAnsi="Arial" w:cs="Arial"/>
          <w:b w:val="0"/>
          <w:szCs w:val="20"/>
          <w:lang w:val="sq-AL"/>
        </w:rPr>
        <w:t xml:space="preserve"> Ciljevi tretmana komunalnog otpada usvojeni DPUO 2025-2029</w:t>
      </w:r>
      <w:bookmarkEnd w:id="1201"/>
      <w:bookmarkEnd w:id="1202"/>
      <w:r w:rsidR="00A643B1" w:rsidRPr="00C149AB">
        <w:rPr>
          <w:rFonts w:ascii="Arial" w:hAnsi="Arial" w:cs="Arial"/>
          <w:b w:val="0"/>
          <w:szCs w:val="20"/>
          <w:lang w:val="sq-AL"/>
        </w:rPr>
        <w:t>. godina.</w:t>
      </w:r>
    </w:p>
    <w:tbl>
      <w:tblPr>
        <w:tblW w:w="9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4053"/>
        <w:gridCol w:w="1366"/>
        <w:gridCol w:w="2002"/>
      </w:tblGrid>
      <w:tr w:rsidR="00C232D7" w:rsidRPr="00C149AB" w14:paraId="0C18BB11" w14:textId="77777777" w:rsidTr="00C232D7">
        <w:trPr>
          <w:trHeight w:val="395"/>
          <w:tblHeader/>
          <w:jc w:val="center"/>
        </w:trPr>
        <w:tc>
          <w:tcPr>
            <w:tcW w:w="2321" w:type="dxa"/>
            <w:shd w:val="clear" w:color="auto" w:fill="F2F2F2" w:themeFill="background1" w:themeFillShade="F2"/>
            <w:noWrap/>
            <w:vAlign w:val="center"/>
          </w:tcPr>
          <w:p w14:paraId="6C34EE82" w14:textId="77777777"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Vrsta otpada</w:t>
            </w:r>
          </w:p>
        </w:tc>
        <w:tc>
          <w:tcPr>
            <w:tcW w:w="4053" w:type="dxa"/>
            <w:shd w:val="clear" w:color="auto" w:fill="F2F2F2" w:themeFill="background1" w:themeFillShade="F2"/>
            <w:noWrap/>
            <w:vAlign w:val="center"/>
          </w:tcPr>
          <w:p w14:paraId="45AEF480" w14:textId="77777777"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Opis cilja</w:t>
            </w:r>
          </w:p>
        </w:tc>
        <w:tc>
          <w:tcPr>
            <w:tcW w:w="1366" w:type="dxa"/>
            <w:shd w:val="clear" w:color="auto" w:fill="F2F2F2" w:themeFill="background1" w:themeFillShade="F2"/>
            <w:vAlign w:val="center"/>
          </w:tcPr>
          <w:p w14:paraId="63E6B554" w14:textId="77777777"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Ciljna godina</w:t>
            </w:r>
          </w:p>
        </w:tc>
        <w:tc>
          <w:tcPr>
            <w:tcW w:w="2002" w:type="dxa"/>
            <w:shd w:val="clear" w:color="auto" w:fill="F2F2F2" w:themeFill="background1" w:themeFillShade="F2"/>
            <w:vAlign w:val="center"/>
          </w:tcPr>
          <w:p w14:paraId="24C747C3" w14:textId="77777777"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Komentar</w:t>
            </w:r>
          </w:p>
        </w:tc>
      </w:tr>
      <w:tr w:rsidR="00C232D7" w:rsidRPr="0014164F" w14:paraId="65E20FC6" w14:textId="77777777" w:rsidTr="00C232D7">
        <w:trPr>
          <w:trHeight w:val="300"/>
          <w:jc w:val="center"/>
        </w:trPr>
        <w:tc>
          <w:tcPr>
            <w:tcW w:w="2321" w:type="dxa"/>
            <w:shd w:val="clear" w:color="auto" w:fill="auto"/>
            <w:noWrap/>
            <w:vAlign w:val="center"/>
          </w:tcPr>
          <w:p w14:paraId="2BCD29A2"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Biorazgradivi otpad</w:t>
            </w:r>
            <w:r w:rsidRPr="00C149AB">
              <w:rPr>
                <w:rStyle w:val="FootnoteReference"/>
                <w:rFonts w:ascii="Arial" w:hAnsi="Arial" w:cs="Arial"/>
                <w:sz w:val="18"/>
                <w:szCs w:val="20"/>
                <w:lang w:val="en-GB"/>
              </w:rPr>
              <w:footnoteReference w:id="37"/>
            </w:r>
          </w:p>
        </w:tc>
        <w:tc>
          <w:tcPr>
            <w:tcW w:w="4053" w:type="dxa"/>
            <w:shd w:val="clear" w:color="auto" w:fill="auto"/>
            <w:noWrap/>
          </w:tcPr>
          <w:p w14:paraId="78C2F700"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Maksimalna deponovana količina od 75% biorazgradivog otpada generisanog u 2010.</w:t>
            </w:r>
          </w:p>
          <w:p w14:paraId="6A8AC251"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Maksimalna deponovana količina od 50% biorazgradivog otpada generisanog u 2010.</w:t>
            </w:r>
          </w:p>
          <w:p w14:paraId="684D9F6D"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Maksimalna deponovana količina od 35% biorazgradivog otpada generisanog u 2010.</w:t>
            </w:r>
          </w:p>
          <w:p w14:paraId="04E9F80F" w14:textId="77777777" w:rsidR="00C232D7" w:rsidRPr="00C149AB" w:rsidRDefault="00C232D7" w:rsidP="00C232D7">
            <w:pPr>
              <w:spacing w:before="60" w:after="60" w:line="360" w:lineRule="auto"/>
              <w:rPr>
                <w:rFonts w:ascii="Arial" w:hAnsi="Arial" w:cs="Arial"/>
                <w:sz w:val="18"/>
                <w:lang w:val="sq-AL"/>
              </w:rPr>
            </w:pPr>
          </w:p>
        </w:tc>
        <w:tc>
          <w:tcPr>
            <w:tcW w:w="1366" w:type="dxa"/>
            <w:shd w:val="clear" w:color="auto" w:fill="auto"/>
          </w:tcPr>
          <w:p w14:paraId="1EDE1AAA"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2025</w:t>
            </w:r>
          </w:p>
          <w:p w14:paraId="49B19C9C" w14:textId="77777777" w:rsidR="00C232D7" w:rsidRPr="00C149AB" w:rsidRDefault="00C232D7" w:rsidP="00C232D7">
            <w:pPr>
              <w:spacing w:before="60" w:after="60" w:line="360" w:lineRule="auto"/>
              <w:rPr>
                <w:rFonts w:ascii="Arial" w:hAnsi="Arial" w:cs="Arial"/>
                <w:sz w:val="18"/>
                <w:lang w:val="sq-AL"/>
              </w:rPr>
            </w:pPr>
          </w:p>
          <w:p w14:paraId="3DD1F6FF"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2029</w:t>
            </w:r>
          </w:p>
          <w:p w14:paraId="3AFD64D0" w14:textId="77777777" w:rsidR="00C232D7" w:rsidRPr="00C149AB" w:rsidRDefault="00C232D7" w:rsidP="00C232D7">
            <w:pPr>
              <w:spacing w:before="60" w:after="60" w:line="360" w:lineRule="auto"/>
              <w:rPr>
                <w:rFonts w:ascii="Arial" w:hAnsi="Arial" w:cs="Arial"/>
                <w:sz w:val="18"/>
                <w:lang w:val="sq-AL"/>
              </w:rPr>
            </w:pPr>
          </w:p>
          <w:p w14:paraId="261140AD"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2033</w:t>
            </w:r>
          </w:p>
        </w:tc>
        <w:tc>
          <w:tcPr>
            <w:tcW w:w="2002" w:type="dxa"/>
            <w:shd w:val="clear" w:color="auto" w:fill="auto"/>
          </w:tcPr>
          <w:p w14:paraId="7EEB00C4" w14:textId="7FBC841E"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 xml:space="preserve">Prema članu 27 </w:t>
            </w:r>
            <w:r w:rsidR="005246EA" w:rsidRPr="00C149AB">
              <w:rPr>
                <w:rFonts w:ascii="Arial" w:hAnsi="Arial" w:cs="Arial"/>
                <w:sz w:val="18"/>
                <w:lang w:val="sq-AL"/>
              </w:rPr>
              <w:t>Z</w:t>
            </w:r>
            <w:r w:rsidRPr="00C149AB">
              <w:rPr>
                <w:rFonts w:ascii="Arial" w:hAnsi="Arial" w:cs="Arial"/>
                <w:sz w:val="18"/>
                <w:lang w:val="sq-AL"/>
              </w:rPr>
              <w:t>akona o upravljanju otpadom</w:t>
            </w:r>
          </w:p>
          <w:p w14:paraId="188949D4" w14:textId="77777777" w:rsidR="00C232D7" w:rsidRPr="00C149AB" w:rsidRDefault="00C232D7" w:rsidP="00C232D7">
            <w:pPr>
              <w:spacing w:before="60" w:after="60" w:line="360" w:lineRule="auto"/>
              <w:rPr>
                <w:rFonts w:ascii="Arial" w:hAnsi="Arial" w:cs="Arial"/>
                <w:sz w:val="18"/>
                <w:lang w:val="sq-AL"/>
              </w:rPr>
            </w:pPr>
          </w:p>
        </w:tc>
      </w:tr>
      <w:tr w:rsidR="00C232D7" w:rsidRPr="00C149AB" w14:paraId="48A93917" w14:textId="77777777" w:rsidTr="00C232D7">
        <w:trPr>
          <w:trHeight w:val="300"/>
          <w:jc w:val="center"/>
        </w:trPr>
        <w:tc>
          <w:tcPr>
            <w:tcW w:w="2321" w:type="dxa"/>
            <w:shd w:val="clear" w:color="auto" w:fill="auto"/>
            <w:noWrap/>
            <w:vAlign w:val="center"/>
          </w:tcPr>
          <w:p w14:paraId="2C83FCE4"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Rezidualni otpad</w:t>
            </w:r>
          </w:p>
        </w:tc>
        <w:tc>
          <w:tcPr>
            <w:tcW w:w="4053" w:type="dxa"/>
            <w:shd w:val="clear" w:color="auto" w:fill="auto"/>
            <w:noWrap/>
          </w:tcPr>
          <w:p w14:paraId="5E898820"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Tretirano 45% rezidualnog otpada</w:t>
            </w:r>
          </w:p>
          <w:p w14:paraId="5D381089"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Tretirano 72% rezidualnog otpada</w:t>
            </w:r>
          </w:p>
          <w:p w14:paraId="4ADF3A9A"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Tretirano 100% rezidualnog otpada</w:t>
            </w:r>
          </w:p>
        </w:tc>
        <w:tc>
          <w:tcPr>
            <w:tcW w:w="1366" w:type="dxa"/>
            <w:shd w:val="clear" w:color="auto" w:fill="auto"/>
          </w:tcPr>
          <w:p w14:paraId="70D7EFD2" w14:textId="77777777" w:rsidR="00C232D7" w:rsidRPr="00C149AB" w:rsidRDefault="00C232D7" w:rsidP="00C232D7">
            <w:pPr>
              <w:spacing w:before="60" w:after="60" w:line="360" w:lineRule="auto"/>
              <w:rPr>
                <w:rFonts w:ascii="Arial" w:hAnsi="Arial" w:cs="Arial"/>
                <w:sz w:val="18"/>
                <w:lang w:val="sq-AL"/>
              </w:rPr>
            </w:pPr>
            <w:r w:rsidRPr="00EB4CC2">
              <w:rPr>
                <w:rFonts w:ascii="Arial" w:hAnsi="Arial" w:cs="Arial"/>
                <w:sz w:val="18"/>
                <w:lang w:val="sq-AL"/>
              </w:rPr>
              <w:t>2025</w:t>
            </w:r>
          </w:p>
          <w:p w14:paraId="27184F3D"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2029</w:t>
            </w:r>
          </w:p>
          <w:p w14:paraId="6AA4AC0D"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2033</w:t>
            </w:r>
          </w:p>
        </w:tc>
        <w:tc>
          <w:tcPr>
            <w:tcW w:w="2002" w:type="dxa"/>
            <w:shd w:val="clear" w:color="auto" w:fill="auto"/>
          </w:tcPr>
          <w:p w14:paraId="4A696735"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Dodatni cilj</w:t>
            </w:r>
          </w:p>
        </w:tc>
      </w:tr>
    </w:tbl>
    <w:p w14:paraId="10E9601F" w14:textId="0B705469" w:rsidR="00A643B1" w:rsidRPr="00BE3A7A" w:rsidRDefault="00A643B1" w:rsidP="00A643B1">
      <w:pPr>
        <w:pStyle w:val="Caption"/>
        <w:rPr>
          <w:rFonts w:ascii="Arial" w:hAnsi="Arial" w:cs="Arial"/>
          <w:b w:val="0"/>
          <w:color w:val="000000" w:themeColor="text1"/>
          <w:sz w:val="22"/>
          <w:szCs w:val="20"/>
        </w:rPr>
      </w:pPr>
    </w:p>
    <w:p w14:paraId="1F000338" w14:textId="2A98B16F" w:rsidR="00C232D7" w:rsidRPr="002A6F4E" w:rsidRDefault="00C232D7" w:rsidP="00C232D7">
      <w:pPr>
        <w:spacing w:before="120" w:after="120" w:line="360" w:lineRule="auto"/>
        <w:rPr>
          <w:rFonts w:ascii="Arial" w:hAnsi="Arial" w:cs="Arial"/>
          <w:lang w:val="sq-AL"/>
        </w:rPr>
      </w:pPr>
      <w:r w:rsidRPr="002A6F4E">
        <w:rPr>
          <w:rFonts w:ascii="Arial" w:hAnsi="Arial" w:cs="Arial"/>
          <w:bCs/>
          <w:lang w:val="sq-AL"/>
        </w:rPr>
        <w:t>U narednoj tabeli predstavljena je kvantifikacija gore navedenih ciljeva za Crnu Goru.</w:t>
      </w:r>
    </w:p>
    <w:p w14:paraId="5E884958" w14:textId="77777777" w:rsidR="00C232D7" w:rsidRPr="002A6F4E" w:rsidRDefault="00C232D7" w:rsidP="00C232D7">
      <w:pPr>
        <w:spacing w:before="120" w:after="120" w:line="360" w:lineRule="auto"/>
        <w:rPr>
          <w:rFonts w:ascii="Arial" w:hAnsi="Arial" w:cs="Arial"/>
          <w:lang w:val="sq-AL"/>
        </w:rPr>
      </w:pPr>
    </w:p>
    <w:p w14:paraId="2D72922E" w14:textId="77777777" w:rsidR="00C232D7" w:rsidRPr="002A6F4E" w:rsidRDefault="00C232D7" w:rsidP="00C232D7">
      <w:pPr>
        <w:spacing w:before="120" w:after="120" w:line="360" w:lineRule="auto"/>
        <w:rPr>
          <w:rFonts w:ascii="Arial" w:hAnsi="Arial" w:cs="Arial"/>
          <w:lang w:val="sq-AL"/>
        </w:rPr>
        <w:sectPr w:rsidR="00C232D7" w:rsidRPr="002A6F4E">
          <w:pgSz w:w="11909" w:h="16833"/>
          <w:pgMar w:top="1417" w:right="1134" w:bottom="1417" w:left="1417" w:header="864" w:footer="864" w:gutter="0"/>
          <w:cols w:space="708"/>
          <w:docGrid w:linePitch="272"/>
        </w:sectPr>
      </w:pPr>
    </w:p>
    <w:p w14:paraId="1F5EC70E" w14:textId="117FAF17" w:rsidR="00C232D7" w:rsidRPr="00951984" w:rsidRDefault="00C232D7" w:rsidP="00C232D7">
      <w:pPr>
        <w:pStyle w:val="Caption"/>
        <w:rPr>
          <w:rFonts w:ascii="Arial" w:hAnsi="Arial" w:cs="Arial"/>
          <w:b w:val="0"/>
          <w:szCs w:val="20"/>
          <w:lang w:val="pl-PL"/>
        </w:rPr>
      </w:pPr>
      <w:bookmarkStart w:id="1203" w:name="_Toc189515683"/>
      <w:bookmarkStart w:id="1204" w:name="_Toc190160794"/>
      <w:r w:rsidRPr="00C149AB">
        <w:rPr>
          <w:rFonts w:ascii="Arial" w:hAnsi="Arial" w:cs="Arial"/>
          <w:b w:val="0"/>
          <w:szCs w:val="20"/>
        </w:rPr>
        <w:lastRenderedPageBreak/>
        <w:t xml:space="preserve">Tabela </w:t>
      </w:r>
      <w:r w:rsidRPr="00C149AB">
        <w:rPr>
          <w:rFonts w:ascii="Arial" w:hAnsi="Arial" w:cs="Arial"/>
          <w:b w:val="0"/>
          <w:szCs w:val="20"/>
        </w:rPr>
        <w:fldChar w:fldCharType="begin"/>
      </w:r>
      <w:r w:rsidRPr="00C149AB">
        <w:rPr>
          <w:rFonts w:ascii="Arial" w:hAnsi="Arial" w:cs="Arial"/>
          <w:b w:val="0"/>
          <w:szCs w:val="20"/>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rPr>
        <w:t>99</w:t>
      </w:r>
      <w:r w:rsidRPr="00C149AB">
        <w:rPr>
          <w:rFonts w:ascii="Arial" w:hAnsi="Arial" w:cs="Arial"/>
          <w:b w:val="0"/>
          <w:szCs w:val="20"/>
        </w:rPr>
        <w:fldChar w:fldCharType="end"/>
      </w:r>
      <w:r w:rsidRPr="00C149AB">
        <w:rPr>
          <w:rFonts w:ascii="Arial" w:hAnsi="Arial" w:cs="Arial"/>
          <w:b w:val="0"/>
          <w:szCs w:val="20"/>
          <w:lang w:val="sq-AL"/>
        </w:rPr>
        <w:t xml:space="preserve"> Kvantifikacija ciljeva </w:t>
      </w:r>
      <w:r w:rsidR="00AA5EAC">
        <w:rPr>
          <w:rFonts w:ascii="Arial" w:hAnsi="Arial" w:cs="Arial"/>
          <w:b w:val="0"/>
          <w:szCs w:val="20"/>
          <w:lang w:val="sq-AL"/>
        </w:rPr>
        <w:t>obrade</w:t>
      </w:r>
      <w:r w:rsidR="00AA5EAC" w:rsidRPr="00C149AB">
        <w:rPr>
          <w:rFonts w:ascii="Arial" w:hAnsi="Arial" w:cs="Arial"/>
          <w:b w:val="0"/>
          <w:szCs w:val="20"/>
          <w:lang w:val="sq-AL"/>
        </w:rPr>
        <w:t xml:space="preserve"> </w:t>
      </w:r>
      <w:r w:rsidRPr="00C149AB">
        <w:rPr>
          <w:rFonts w:ascii="Arial" w:hAnsi="Arial" w:cs="Arial"/>
          <w:b w:val="0"/>
          <w:szCs w:val="20"/>
          <w:lang w:val="sq-AL"/>
        </w:rPr>
        <w:t>otpada</w:t>
      </w:r>
      <w:bookmarkEnd w:id="1203"/>
      <w:bookmarkEnd w:id="1204"/>
      <w:r w:rsidR="0036630C" w:rsidRPr="00C149AB">
        <w:rPr>
          <w:rStyle w:val="FootnoteReference"/>
          <w:rFonts w:cs="Arial"/>
          <w:b w:val="0"/>
          <w:sz w:val="14"/>
        </w:rPr>
        <w:footnoteReference w:id="38"/>
      </w:r>
    </w:p>
    <w:tbl>
      <w:tblPr>
        <w:tblW w:w="11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3507"/>
        <w:gridCol w:w="1890"/>
        <w:gridCol w:w="1890"/>
        <w:gridCol w:w="1620"/>
        <w:gridCol w:w="1530"/>
      </w:tblGrid>
      <w:tr w:rsidR="00C232D7" w:rsidRPr="00C149AB" w14:paraId="58D78671" w14:textId="77777777" w:rsidTr="00951984">
        <w:trPr>
          <w:trHeight w:val="300"/>
          <w:tblHeader/>
          <w:jc w:val="center"/>
        </w:trPr>
        <w:tc>
          <w:tcPr>
            <w:tcW w:w="1258" w:type="dxa"/>
            <w:shd w:val="clear" w:color="auto" w:fill="F2F2F2" w:themeFill="background1" w:themeFillShade="F2"/>
            <w:noWrap/>
            <w:vAlign w:val="center"/>
          </w:tcPr>
          <w:p w14:paraId="12071D7C" w14:textId="77777777"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Vrsta otpada</w:t>
            </w:r>
          </w:p>
          <w:p w14:paraId="3602D6C5" w14:textId="77777777" w:rsidR="00C232D7" w:rsidRPr="00C149AB" w:rsidRDefault="00C232D7" w:rsidP="00C232D7">
            <w:pPr>
              <w:spacing w:before="60" w:after="60" w:line="360" w:lineRule="auto"/>
              <w:rPr>
                <w:rFonts w:ascii="Arial" w:hAnsi="Arial" w:cs="Arial"/>
                <w:b/>
                <w:bCs/>
                <w:sz w:val="18"/>
                <w:lang w:val="sq-AL"/>
              </w:rPr>
            </w:pPr>
          </w:p>
        </w:tc>
        <w:tc>
          <w:tcPr>
            <w:tcW w:w="3507" w:type="dxa"/>
            <w:shd w:val="clear" w:color="auto" w:fill="F2F2F2" w:themeFill="background1" w:themeFillShade="F2"/>
            <w:noWrap/>
            <w:vAlign w:val="center"/>
          </w:tcPr>
          <w:p w14:paraId="25F60A4D" w14:textId="77777777"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Opis cilja</w:t>
            </w:r>
          </w:p>
          <w:p w14:paraId="6AF5F16E" w14:textId="77777777" w:rsidR="00C232D7" w:rsidRPr="00C149AB" w:rsidRDefault="00C232D7" w:rsidP="00C232D7">
            <w:pPr>
              <w:spacing w:before="60" w:after="60" w:line="360" w:lineRule="auto"/>
              <w:rPr>
                <w:rFonts w:ascii="Arial" w:hAnsi="Arial" w:cs="Arial"/>
                <w:b/>
                <w:bCs/>
                <w:sz w:val="18"/>
                <w:lang w:val="sq-AL"/>
              </w:rPr>
            </w:pPr>
          </w:p>
        </w:tc>
        <w:tc>
          <w:tcPr>
            <w:tcW w:w="1890" w:type="dxa"/>
            <w:shd w:val="clear" w:color="auto" w:fill="F2F2F2" w:themeFill="background1" w:themeFillShade="F2"/>
            <w:vAlign w:val="center"/>
          </w:tcPr>
          <w:p w14:paraId="783BF168" w14:textId="77777777"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Kvantifikovani cilj</w:t>
            </w:r>
          </w:p>
          <w:p w14:paraId="2EA92B14" w14:textId="77777777"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(t/god)</w:t>
            </w:r>
          </w:p>
          <w:p w14:paraId="2AE66154" w14:textId="77777777" w:rsidR="00C232D7" w:rsidRPr="00C149AB" w:rsidRDefault="00C232D7" w:rsidP="00C232D7">
            <w:pPr>
              <w:spacing w:before="60" w:after="60" w:line="360" w:lineRule="auto"/>
              <w:rPr>
                <w:rFonts w:ascii="Arial" w:hAnsi="Arial" w:cs="Arial"/>
                <w:b/>
                <w:bCs/>
                <w:sz w:val="18"/>
                <w:lang w:val="sq-AL"/>
              </w:rPr>
            </w:pPr>
          </w:p>
        </w:tc>
        <w:tc>
          <w:tcPr>
            <w:tcW w:w="1890" w:type="dxa"/>
            <w:shd w:val="clear" w:color="auto" w:fill="F2F2F2" w:themeFill="background1" w:themeFillShade="F2"/>
            <w:vAlign w:val="center"/>
          </w:tcPr>
          <w:p w14:paraId="63309CCB" w14:textId="6BFCBD3B"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Kvantifikovani cilj (kg/</w:t>
            </w:r>
            <w:r w:rsidR="00797B22">
              <w:rPr>
                <w:rFonts w:ascii="Arial" w:hAnsi="Arial" w:cs="Arial"/>
                <w:b/>
                <w:bCs/>
                <w:sz w:val="18"/>
                <w:lang w:val="sq-AL"/>
              </w:rPr>
              <w:t>stanovniku</w:t>
            </w:r>
            <w:r w:rsidRPr="00C149AB">
              <w:rPr>
                <w:rFonts w:ascii="Arial" w:hAnsi="Arial" w:cs="Arial"/>
                <w:b/>
                <w:bCs/>
                <w:sz w:val="18"/>
                <w:lang w:val="sq-AL"/>
              </w:rPr>
              <w:t>)</w:t>
            </w:r>
          </w:p>
          <w:p w14:paraId="5AFC0A4F" w14:textId="77777777" w:rsidR="00C232D7" w:rsidRPr="00C149AB" w:rsidRDefault="00C232D7" w:rsidP="00C232D7">
            <w:pPr>
              <w:spacing w:before="60" w:after="60" w:line="360" w:lineRule="auto"/>
              <w:rPr>
                <w:rFonts w:ascii="Arial" w:hAnsi="Arial" w:cs="Arial"/>
                <w:b/>
                <w:bCs/>
                <w:sz w:val="18"/>
                <w:lang w:val="sq-AL"/>
              </w:rPr>
            </w:pPr>
          </w:p>
        </w:tc>
        <w:tc>
          <w:tcPr>
            <w:tcW w:w="1620" w:type="dxa"/>
            <w:shd w:val="clear" w:color="auto" w:fill="F2F2F2" w:themeFill="background1" w:themeFillShade="F2"/>
            <w:vAlign w:val="center"/>
          </w:tcPr>
          <w:p w14:paraId="12246E7D" w14:textId="77777777"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Ciljna godina</w:t>
            </w:r>
          </w:p>
        </w:tc>
        <w:tc>
          <w:tcPr>
            <w:tcW w:w="1530" w:type="dxa"/>
            <w:shd w:val="clear" w:color="auto" w:fill="F2F2F2" w:themeFill="background1" w:themeFillShade="F2"/>
            <w:vAlign w:val="center"/>
          </w:tcPr>
          <w:p w14:paraId="1AAF7992" w14:textId="59F4625D" w:rsidR="00C232D7" w:rsidRPr="00C149AB" w:rsidRDefault="00C232D7" w:rsidP="00C232D7">
            <w:pPr>
              <w:spacing w:before="60" w:after="60" w:line="360" w:lineRule="auto"/>
              <w:rPr>
                <w:rFonts w:ascii="Arial" w:hAnsi="Arial" w:cs="Arial"/>
                <w:b/>
                <w:bCs/>
                <w:sz w:val="18"/>
                <w:lang w:val="sq-AL"/>
              </w:rPr>
            </w:pPr>
            <w:r w:rsidRPr="00C149AB">
              <w:rPr>
                <w:rFonts w:ascii="Arial" w:hAnsi="Arial" w:cs="Arial"/>
                <w:b/>
                <w:bCs/>
                <w:sz w:val="18"/>
                <w:lang w:val="sq-AL"/>
              </w:rPr>
              <w:t xml:space="preserve">% ostvarenog cilja </w:t>
            </w:r>
          </w:p>
        </w:tc>
      </w:tr>
      <w:tr w:rsidR="00C232D7" w:rsidRPr="00C149AB" w14:paraId="47BCC960" w14:textId="77777777" w:rsidTr="00951984">
        <w:trPr>
          <w:trHeight w:val="300"/>
          <w:jc w:val="center"/>
        </w:trPr>
        <w:tc>
          <w:tcPr>
            <w:tcW w:w="1258" w:type="dxa"/>
            <w:vMerge w:val="restart"/>
            <w:shd w:val="clear" w:color="auto" w:fill="auto"/>
            <w:noWrap/>
            <w:vAlign w:val="center"/>
          </w:tcPr>
          <w:p w14:paraId="5F4D83ED"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lang w:val="sq-AL"/>
              </w:rPr>
              <w:t>Biorazgradivi otpad</w:t>
            </w:r>
          </w:p>
          <w:p w14:paraId="3BCB03FF" w14:textId="77777777" w:rsidR="00C232D7" w:rsidRPr="00C149AB" w:rsidRDefault="00C232D7" w:rsidP="00C232D7">
            <w:pPr>
              <w:spacing w:before="40" w:after="40" w:line="360" w:lineRule="auto"/>
              <w:rPr>
                <w:rFonts w:ascii="Arial" w:hAnsi="Arial" w:cs="Arial"/>
                <w:sz w:val="18"/>
                <w:lang w:val="sq-AL"/>
              </w:rPr>
            </w:pPr>
          </w:p>
        </w:tc>
        <w:tc>
          <w:tcPr>
            <w:tcW w:w="3507" w:type="dxa"/>
            <w:shd w:val="clear" w:color="auto" w:fill="auto"/>
            <w:noWrap/>
            <w:vAlign w:val="center"/>
          </w:tcPr>
          <w:p w14:paraId="235D3156"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lang w:val="sq-AL"/>
              </w:rPr>
              <w:t>Maksimalna odložena količina od 75% biorazgradivog otpada generisanog u 2010.</w:t>
            </w:r>
          </w:p>
        </w:tc>
        <w:tc>
          <w:tcPr>
            <w:tcW w:w="1890" w:type="dxa"/>
            <w:shd w:val="clear" w:color="auto" w:fill="auto"/>
            <w:vAlign w:val="center"/>
          </w:tcPr>
          <w:p w14:paraId="493A7D31"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109.500</w:t>
            </w:r>
          </w:p>
        </w:tc>
        <w:tc>
          <w:tcPr>
            <w:tcW w:w="1890" w:type="dxa"/>
            <w:shd w:val="clear" w:color="auto" w:fill="auto"/>
            <w:vAlign w:val="center"/>
          </w:tcPr>
          <w:p w14:paraId="63E1AF8B"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162.4</w:t>
            </w:r>
          </w:p>
        </w:tc>
        <w:tc>
          <w:tcPr>
            <w:tcW w:w="1620" w:type="dxa"/>
            <w:shd w:val="clear" w:color="auto" w:fill="auto"/>
            <w:vAlign w:val="center"/>
          </w:tcPr>
          <w:p w14:paraId="6418532B" w14:textId="77777777" w:rsidR="00C232D7" w:rsidRPr="00C149AB" w:rsidRDefault="00C232D7" w:rsidP="00C232D7">
            <w:pPr>
              <w:spacing w:before="40" w:after="40" w:line="360" w:lineRule="auto"/>
              <w:rPr>
                <w:rFonts w:ascii="Arial" w:hAnsi="Arial" w:cs="Arial"/>
                <w:sz w:val="18"/>
                <w:lang w:val="sq-AL"/>
              </w:rPr>
            </w:pPr>
            <w:r w:rsidRPr="00EB4CC2">
              <w:rPr>
                <w:rFonts w:ascii="Arial" w:hAnsi="Arial" w:cs="Arial"/>
                <w:sz w:val="18"/>
              </w:rPr>
              <w:t>2025</w:t>
            </w:r>
          </w:p>
        </w:tc>
        <w:tc>
          <w:tcPr>
            <w:tcW w:w="1530" w:type="dxa"/>
            <w:shd w:val="clear" w:color="auto" w:fill="auto"/>
            <w:vAlign w:val="center"/>
          </w:tcPr>
          <w:p w14:paraId="143B7323"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66%</w:t>
            </w:r>
          </w:p>
        </w:tc>
      </w:tr>
      <w:tr w:rsidR="00C232D7" w:rsidRPr="00C149AB" w14:paraId="404B64D1" w14:textId="77777777" w:rsidTr="00951984">
        <w:trPr>
          <w:trHeight w:val="300"/>
          <w:jc w:val="center"/>
        </w:trPr>
        <w:tc>
          <w:tcPr>
            <w:tcW w:w="1258" w:type="dxa"/>
            <w:vMerge/>
            <w:shd w:val="clear" w:color="auto" w:fill="auto"/>
            <w:noWrap/>
            <w:vAlign w:val="center"/>
          </w:tcPr>
          <w:p w14:paraId="3086428A" w14:textId="77777777" w:rsidR="00C232D7" w:rsidRPr="00C149AB" w:rsidRDefault="00C232D7" w:rsidP="00C232D7">
            <w:pPr>
              <w:spacing w:before="40" w:after="40" w:line="360" w:lineRule="auto"/>
              <w:rPr>
                <w:rFonts w:ascii="Arial" w:hAnsi="Arial" w:cs="Arial"/>
                <w:sz w:val="18"/>
                <w:lang w:val="sq-AL"/>
              </w:rPr>
            </w:pPr>
          </w:p>
        </w:tc>
        <w:tc>
          <w:tcPr>
            <w:tcW w:w="3507" w:type="dxa"/>
            <w:shd w:val="clear" w:color="auto" w:fill="auto"/>
            <w:noWrap/>
          </w:tcPr>
          <w:p w14:paraId="29B379BB"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lang w:val="sq-AL"/>
              </w:rPr>
              <w:t>Maksimalna odložena količina od 50% biorazgradivog otpada generisanog u 2010.</w:t>
            </w:r>
          </w:p>
        </w:tc>
        <w:tc>
          <w:tcPr>
            <w:tcW w:w="1890" w:type="dxa"/>
            <w:shd w:val="clear" w:color="auto" w:fill="auto"/>
            <w:vAlign w:val="center"/>
          </w:tcPr>
          <w:p w14:paraId="6551CD5A"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73.000</w:t>
            </w:r>
          </w:p>
        </w:tc>
        <w:tc>
          <w:tcPr>
            <w:tcW w:w="1890" w:type="dxa"/>
            <w:shd w:val="clear" w:color="auto" w:fill="auto"/>
            <w:vAlign w:val="center"/>
          </w:tcPr>
          <w:p w14:paraId="0E3FEE68"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107.7</w:t>
            </w:r>
          </w:p>
        </w:tc>
        <w:tc>
          <w:tcPr>
            <w:tcW w:w="1620" w:type="dxa"/>
            <w:shd w:val="clear" w:color="auto" w:fill="auto"/>
            <w:vAlign w:val="center"/>
          </w:tcPr>
          <w:p w14:paraId="45A9D729"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2029</w:t>
            </w:r>
          </w:p>
        </w:tc>
        <w:tc>
          <w:tcPr>
            <w:tcW w:w="1530" w:type="dxa"/>
            <w:shd w:val="clear" w:color="auto" w:fill="auto"/>
            <w:vAlign w:val="center"/>
          </w:tcPr>
          <w:p w14:paraId="1FB00F65"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41%</w:t>
            </w:r>
          </w:p>
        </w:tc>
      </w:tr>
      <w:tr w:rsidR="00C232D7" w:rsidRPr="00C149AB" w14:paraId="05C9B390" w14:textId="77777777" w:rsidTr="00951984">
        <w:trPr>
          <w:trHeight w:val="300"/>
          <w:jc w:val="center"/>
        </w:trPr>
        <w:tc>
          <w:tcPr>
            <w:tcW w:w="1258" w:type="dxa"/>
            <w:vMerge/>
            <w:shd w:val="clear" w:color="auto" w:fill="auto"/>
            <w:noWrap/>
            <w:vAlign w:val="center"/>
          </w:tcPr>
          <w:p w14:paraId="27677893" w14:textId="77777777" w:rsidR="00C232D7" w:rsidRPr="00C149AB" w:rsidRDefault="00C232D7" w:rsidP="00C232D7">
            <w:pPr>
              <w:spacing w:before="40" w:after="40" w:line="360" w:lineRule="auto"/>
              <w:rPr>
                <w:rFonts w:ascii="Arial" w:hAnsi="Arial" w:cs="Arial"/>
                <w:sz w:val="18"/>
                <w:lang w:val="sq-AL"/>
              </w:rPr>
            </w:pPr>
          </w:p>
        </w:tc>
        <w:tc>
          <w:tcPr>
            <w:tcW w:w="3507" w:type="dxa"/>
            <w:shd w:val="clear" w:color="auto" w:fill="auto"/>
            <w:noWrap/>
          </w:tcPr>
          <w:p w14:paraId="4789604A" w14:textId="7288B7A6"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lang w:val="sq-AL"/>
              </w:rPr>
              <w:t>Maksimalna odložena količina od 35% biorazgradivog otpada generisanog u 2010</w:t>
            </w:r>
            <w:r w:rsidR="00A643B1" w:rsidRPr="00C149AB">
              <w:rPr>
                <w:rFonts w:ascii="Arial" w:hAnsi="Arial" w:cs="Arial"/>
                <w:sz w:val="18"/>
                <w:lang w:val="sq-AL"/>
              </w:rPr>
              <w:t>.</w:t>
            </w:r>
          </w:p>
        </w:tc>
        <w:tc>
          <w:tcPr>
            <w:tcW w:w="1890" w:type="dxa"/>
            <w:shd w:val="clear" w:color="auto" w:fill="auto"/>
            <w:vAlign w:val="center"/>
          </w:tcPr>
          <w:p w14:paraId="7C3FDC42"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51.100</w:t>
            </w:r>
          </w:p>
        </w:tc>
        <w:tc>
          <w:tcPr>
            <w:tcW w:w="1890" w:type="dxa"/>
            <w:shd w:val="clear" w:color="auto" w:fill="auto"/>
            <w:vAlign w:val="center"/>
          </w:tcPr>
          <w:p w14:paraId="38F1C6F7"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74.9</w:t>
            </w:r>
          </w:p>
        </w:tc>
        <w:tc>
          <w:tcPr>
            <w:tcW w:w="1620" w:type="dxa"/>
            <w:shd w:val="clear" w:color="auto" w:fill="auto"/>
            <w:vAlign w:val="center"/>
          </w:tcPr>
          <w:p w14:paraId="2E6AB64B"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2033</w:t>
            </w:r>
          </w:p>
        </w:tc>
        <w:tc>
          <w:tcPr>
            <w:tcW w:w="1530" w:type="dxa"/>
            <w:shd w:val="clear" w:color="auto" w:fill="auto"/>
            <w:vAlign w:val="center"/>
          </w:tcPr>
          <w:p w14:paraId="4EE01670" w14:textId="77777777" w:rsidR="00C232D7" w:rsidRPr="00C149AB" w:rsidRDefault="00C232D7" w:rsidP="00C232D7">
            <w:pPr>
              <w:spacing w:before="40" w:after="40" w:line="360" w:lineRule="auto"/>
              <w:rPr>
                <w:rFonts w:ascii="Arial" w:hAnsi="Arial" w:cs="Arial"/>
                <w:sz w:val="18"/>
                <w:lang w:val="sq-AL"/>
              </w:rPr>
            </w:pPr>
            <w:r w:rsidRPr="00C149AB">
              <w:rPr>
                <w:rFonts w:ascii="Arial" w:hAnsi="Arial" w:cs="Arial"/>
                <w:sz w:val="18"/>
              </w:rPr>
              <w:t>29%</w:t>
            </w:r>
          </w:p>
        </w:tc>
      </w:tr>
      <w:tr w:rsidR="00C232D7" w:rsidRPr="00C149AB" w14:paraId="681193F3" w14:textId="77777777" w:rsidTr="00951984">
        <w:trPr>
          <w:trHeight w:val="300"/>
          <w:jc w:val="center"/>
        </w:trPr>
        <w:tc>
          <w:tcPr>
            <w:tcW w:w="1258" w:type="dxa"/>
            <w:vMerge w:val="restart"/>
            <w:shd w:val="clear" w:color="auto" w:fill="auto"/>
            <w:noWrap/>
            <w:vAlign w:val="center"/>
          </w:tcPr>
          <w:p w14:paraId="25FA4BDE"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Rezidualni otpad</w:t>
            </w:r>
          </w:p>
        </w:tc>
        <w:tc>
          <w:tcPr>
            <w:tcW w:w="3507" w:type="dxa"/>
            <w:shd w:val="clear" w:color="auto" w:fill="auto"/>
            <w:noWrap/>
          </w:tcPr>
          <w:p w14:paraId="0E3D521A" w14:textId="0F6E7336" w:rsidR="00C232D7" w:rsidRPr="00C149AB" w:rsidRDefault="00AA5EAC" w:rsidP="00C232D7">
            <w:pPr>
              <w:spacing w:before="60" w:after="60" w:line="360" w:lineRule="auto"/>
              <w:rPr>
                <w:rFonts w:ascii="Arial" w:hAnsi="Arial" w:cs="Arial"/>
                <w:sz w:val="18"/>
                <w:lang w:val="sq-AL"/>
              </w:rPr>
            </w:pPr>
            <w:r>
              <w:rPr>
                <w:rFonts w:ascii="Arial" w:hAnsi="Arial" w:cs="Arial"/>
                <w:sz w:val="18"/>
                <w:lang w:val="sq-AL"/>
              </w:rPr>
              <w:t>Obrađuje</w:t>
            </w:r>
            <w:r w:rsidRPr="00C149AB">
              <w:rPr>
                <w:rFonts w:ascii="Arial" w:hAnsi="Arial" w:cs="Arial"/>
                <w:sz w:val="18"/>
                <w:lang w:val="sq-AL"/>
              </w:rPr>
              <w:t xml:space="preserve"> </w:t>
            </w:r>
            <w:r w:rsidR="00C232D7" w:rsidRPr="00C149AB">
              <w:rPr>
                <w:rFonts w:ascii="Arial" w:hAnsi="Arial" w:cs="Arial"/>
                <w:sz w:val="18"/>
                <w:lang w:val="sq-AL"/>
              </w:rPr>
              <w:t>se 45% zaostalog otpada</w:t>
            </w:r>
          </w:p>
        </w:tc>
        <w:tc>
          <w:tcPr>
            <w:tcW w:w="1890" w:type="dxa"/>
            <w:shd w:val="clear" w:color="auto" w:fill="auto"/>
            <w:vAlign w:val="center"/>
          </w:tcPr>
          <w:p w14:paraId="618369BD"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123.541</w:t>
            </w:r>
          </w:p>
        </w:tc>
        <w:tc>
          <w:tcPr>
            <w:tcW w:w="1890" w:type="dxa"/>
            <w:shd w:val="clear" w:color="auto" w:fill="auto"/>
            <w:vAlign w:val="center"/>
          </w:tcPr>
          <w:p w14:paraId="097C5DA4"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183.2</w:t>
            </w:r>
          </w:p>
        </w:tc>
        <w:tc>
          <w:tcPr>
            <w:tcW w:w="1620" w:type="dxa"/>
            <w:shd w:val="clear" w:color="auto" w:fill="auto"/>
            <w:vAlign w:val="center"/>
          </w:tcPr>
          <w:p w14:paraId="0321183A" w14:textId="77777777" w:rsidR="00C232D7" w:rsidRPr="00C149AB" w:rsidRDefault="00C232D7" w:rsidP="00C232D7">
            <w:pPr>
              <w:spacing w:before="60" w:after="60" w:line="360" w:lineRule="auto"/>
              <w:rPr>
                <w:rFonts w:ascii="Arial" w:hAnsi="Arial" w:cs="Arial"/>
                <w:sz w:val="18"/>
                <w:lang w:val="sq-AL"/>
              </w:rPr>
            </w:pPr>
            <w:r w:rsidRPr="00EB4CC2">
              <w:rPr>
                <w:rFonts w:ascii="Arial" w:hAnsi="Arial" w:cs="Arial"/>
                <w:sz w:val="18"/>
              </w:rPr>
              <w:t>2025</w:t>
            </w:r>
          </w:p>
        </w:tc>
        <w:tc>
          <w:tcPr>
            <w:tcW w:w="1530" w:type="dxa"/>
            <w:shd w:val="clear" w:color="auto" w:fill="auto"/>
            <w:vAlign w:val="center"/>
          </w:tcPr>
          <w:p w14:paraId="27AB0CAA"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19%</w:t>
            </w:r>
          </w:p>
        </w:tc>
      </w:tr>
      <w:tr w:rsidR="00C232D7" w:rsidRPr="00C149AB" w14:paraId="0E5DFAD4" w14:textId="77777777" w:rsidTr="00951984">
        <w:trPr>
          <w:trHeight w:val="300"/>
          <w:jc w:val="center"/>
        </w:trPr>
        <w:tc>
          <w:tcPr>
            <w:tcW w:w="1258" w:type="dxa"/>
            <w:vMerge/>
            <w:shd w:val="clear" w:color="auto" w:fill="auto"/>
            <w:noWrap/>
            <w:vAlign w:val="center"/>
          </w:tcPr>
          <w:p w14:paraId="0565B8FB" w14:textId="77777777" w:rsidR="00C232D7" w:rsidRPr="00C149AB" w:rsidRDefault="00C232D7" w:rsidP="00C232D7">
            <w:pPr>
              <w:spacing w:before="60" w:after="60" w:line="360" w:lineRule="auto"/>
              <w:rPr>
                <w:rFonts w:ascii="Arial" w:hAnsi="Arial" w:cs="Arial"/>
                <w:sz w:val="18"/>
                <w:lang w:val="sq-AL"/>
              </w:rPr>
            </w:pPr>
          </w:p>
        </w:tc>
        <w:tc>
          <w:tcPr>
            <w:tcW w:w="3507" w:type="dxa"/>
            <w:shd w:val="clear" w:color="auto" w:fill="auto"/>
            <w:noWrap/>
          </w:tcPr>
          <w:p w14:paraId="2A7637A6" w14:textId="1B46A7E6" w:rsidR="00C232D7" w:rsidRPr="00C149AB" w:rsidRDefault="00AA5EAC" w:rsidP="00C232D7">
            <w:pPr>
              <w:spacing w:before="60" w:after="60" w:line="360" w:lineRule="auto"/>
              <w:rPr>
                <w:rFonts w:ascii="Arial" w:hAnsi="Arial" w:cs="Arial"/>
                <w:sz w:val="18"/>
                <w:lang w:val="sq-AL"/>
              </w:rPr>
            </w:pPr>
            <w:r>
              <w:rPr>
                <w:rFonts w:ascii="Arial" w:hAnsi="Arial" w:cs="Arial"/>
                <w:sz w:val="18"/>
                <w:lang w:val="sq-AL"/>
              </w:rPr>
              <w:t>Obrađuje</w:t>
            </w:r>
            <w:r w:rsidRPr="00C149AB">
              <w:rPr>
                <w:rFonts w:ascii="Arial" w:hAnsi="Arial" w:cs="Arial"/>
                <w:sz w:val="18"/>
                <w:lang w:val="sq-AL"/>
              </w:rPr>
              <w:t xml:space="preserve"> </w:t>
            </w:r>
            <w:r w:rsidR="00C232D7" w:rsidRPr="00C149AB">
              <w:rPr>
                <w:rFonts w:ascii="Arial" w:hAnsi="Arial" w:cs="Arial"/>
                <w:sz w:val="18"/>
                <w:lang w:val="sq-AL"/>
              </w:rPr>
              <w:t>se 72% zaostalog otpada</w:t>
            </w:r>
          </w:p>
        </w:tc>
        <w:tc>
          <w:tcPr>
            <w:tcW w:w="1890" w:type="dxa"/>
            <w:shd w:val="clear" w:color="auto" w:fill="auto"/>
            <w:vAlign w:val="center"/>
          </w:tcPr>
          <w:p w14:paraId="14419334"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169.558</w:t>
            </w:r>
          </w:p>
        </w:tc>
        <w:tc>
          <w:tcPr>
            <w:tcW w:w="1890" w:type="dxa"/>
            <w:shd w:val="clear" w:color="auto" w:fill="auto"/>
            <w:vAlign w:val="center"/>
          </w:tcPr>
          <w:p w14:paraId="32B8F8B3"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250.1</w:t>
            </w:r>
          </w:p>
        </w:tc>
        <w:tc>
          <w:tcPr>
            <w:tcW w:w="1620" w:type="dxa"/>
            <w:shd w:val="clear" w:color="auto" w:fill="auto"/>
            <w:vAlign w:val="center"/>
          </w:tcPr>
          <w:p w14:paraId="7D29B773"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2029</w:t>
            </w:r>
          </w:p>
        </w:tc>
        <w:tc>
          <w:tcPr>
            <w:tcW w:w="1530" w:type="dxa"/>
            <w:shd w:val="clear" w:color="auto" w:fill="auto"/>
            <w:vAlign w:val="center"/>
          </w:tcPr>
          <w:p w14:paraId="446FC178"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14%</w:t>
            </w:r>
          </w:p>
        </w:tc>
      </w:tr>
      <w:tr w:rsidR="00C232D7" w:rsidRPr="00C149AB" w14:paraId="491A42A9" w14:textId="77777777" w:rsidTr="00951984">
        <w:trPr>
          <w:trHeight w:val="300"/>
          <w:jc w:val="center"/>
        </w:trPr>
        <w:tc>
          <w:tcPr>
            <w:tcW w:w="1258" w:type="dxa"/>
            <w:vMerge/>
            <w:shd w:val="clear" w:color="auto" w:fill="auto"/>
            <w:noWrap/>
            <w:vAlign w:val="center"/>
          </w:tcPr>
          <w:p w14:paraId="466C4F83" w14:textId="77777777" w:rsidR="00C232D7" w:rsidRPr="00C149AB" w:rsidRDefault="00C232D7" w:rsidP="00C232D7">
            <w:pPr>
              <w:spacing w:before="60" w:after="60" w:line="360" w:lineRule="auto"/>
              <w:rPr>
                <w:rFonts w:ascii="Arial" w:hAnsi="Arial" w:cs="Arial"/>
                <w:sz w:val="18"/>
                <w:lang w:val="sq-AL"/>
              </w:rPr>
            </w:pPr>
          </w:p>
        </w:tc>
        <w:tc>
          <w:tcPr>
            <w:tcW w:w="3507" w:type="dxa"/>
            <w:shd w:val="clear" w:color="auto" w:fill="auto"/>
            <w:noWrap/>
          </w:tcPr>
          <w:p w14:paraId="44332CC8"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lang w:val="sq-AL"/>
              </w:rPr>
              <w:t>Tretira se 100% zaostalog otpada</w:t>
            </w:r>
          </w:p>
        </w:tc>
        <w:tc>
          <w:tcPr>
            <w:tcW w:w="1890" w:type="dxa"/>
            <w:shd w:val="clear" w:color="auto" w:fill="auto"/>
            <w:vAlign w:val="center"/>
          </w:tcPr>
          <w:p w14:paraId="7A49C67A"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189.284</w:t>
            </w:r>
          </w:p>
        </w:tc>
        <w:tc>
          <w:tcPr>
            <w:tcW w:w="1890" w:type="dxa"/>
            <w:shd w:val="clear" w:color="auto" w:fill="auto"/>
            <w:vAlign w:val="center"/>
          </w:tcPr>
          <w:p w14:paraId="7B501DA5"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277.6</w:t>
            </w:r>
          </w:p>
        </w:tc>
        <w:tc>
          <w:tcPr>
            <w:tcW w:w="1620" w:type="dxa"/>
            <w:shd w:val="clear" w:color="auto" w:fill="auto"/>
            <w:vAlign w:val="center"/>
          </w:tcPr>
          <w:p w14:paraId="4B8E2F5D"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2033</w:t>
            </w:r>
          </w:p>
        </w:tc>
        <w:tc>
          <w:tcPr>
            <w:tcW w:w="1530" w:type="dxa"/>
            <w:shd w:val="clear" w:color="auto" w:fill="auto"/>
            <w:vAlign w:val="center"/>
          </w:tcPr>
          <w:p w14:paraId="28BBD655" w14:textId="77777777" w:rsidR="00C232D7" w:rsidRPr="00C149AB" w:rsidRDefault="00C232D7" w:rsidP="00C232D7">
            <w:pPr>
              <w:spacing w:before="60" w:after="60" w:line="360" w:lineRule="auto"/>
              <w:rPr>
                <w:rFonts w:ascii="Arial" w:hAnsi="Arial" w:cs="Arial"/>
                <w:sz w:val="18"/>
                <w:lang w:val="sq-AL"/>
              </w:rPr>
            </w:pPr>
            <w:r w:rsidRPr="00C149AB">
              <w:rPr>
                <w:rFonts w:ascii="Arial" w:hAnsi="Arial" w:cs="Arial"/>
                <w:sz w:val="18"/>
              </w:rPr>
              <w:t>12%</w:t>
            </w:r>
          </w:p>
        </w:tc>
      </w:tr>
    </w:tbl>
    <w:p w14:paraId="0F7C27B0" w14:textId="77777777" w:rsidR="00C232D7" w:rsidRPr="002A6F4E" w:rsidRDefault="00C232D7" w:rsidP="00C232D7">
      <w:pPr>
        <w:spacing w:before="120" w:after="120" w:line="360" w:lineRule="auto"/>
        <w:rPr>
          <w:rFonts w:ascii="Arial" w:hAnsi="Arial" w:cs="Arial"/>
          <w:lang w:val="sq-AL"/>
        </w:rPr>
      </w:pPr>
    </w:p>
    <w:p w14:paraId="290B39B2" w14:textId="77777777" w:rsidR="00C232D7" w:rsidRPr="002A6F4E" w:rsidRDefault="00C232D7" w:rsidP="00C232D7">
      <w:pPr>
        <w:spacing w:before="120" w:after="120" w:line="360" w:lineRule="auto"/>
        <w:rPr>
          <w:rFonts w:ascii="Arial" w:hAnsi="Arial" w:cs="Arial"/>
          <w:lang w:val="sq-AL"/>
        </w:rPr>
        <w:sectPr w:rsidR="00C232D7" w:rsidRPr="002A6F4E" w:rsidSect="00C232D7">
          <w:pgSz w:w="16833" w:h="11909" w:orient="landscape"/>
          <w:pgMar w:top="1134" w:right="1417" w:bottom="1417" w:left="1417" w:header="864" w:footer="864" w:gutter="0"/>
          <w:cols w:space="708"/>
          <w:docGrid w:linePitch="272"/>
        </w:sectPr>
      </w:pPr>
    </w:p>
    <w:p w14:paraId="5C7EC0FD" w14:textId="62CBD73D" w:rsidR="00C232D7" w:rsidRPr="002A6F4E" w:rsidRDefault="00C232D7" w:rsidP="00C232D7">
      <w:pPr>
        <w:spacing w:before="120" w:after="120" w:line="360" w:lineRule="auto"/>
        <w:rPr>
          <w:rFonts w:ascii="Arial" w:hAnsi="Arial" w:cs="Arial"/>
          <w:iCs/>
          <w:lang w:val="sq-AL"/>
        </w:rPr>
      </w:pPr>
      <w:bookmarkStart w:id="1205" w:name="_Toc121759075"/>
      <w:r w:rsidRPr="002A6F4E">
        <w:rPr>
          <w:rFonts w:ascii="Arial" w:hAnsi="Arial" w:cs="Arial"/>
          <w:iCs/>
          <w:lang w:val="sq-AL"/>
        </w:rPr>
        <w:lastRenderedPageBreak/>
        <w:t>U narednoj tabeli prikazani su odgovarajući ciljevi  za krajnju godinu tekuće</w:t>
      </w:r>
      <w:r w:rsidR="007A7568">
        <w:rPr>
          <w:rFonts w:ascii="Arial" w:hAnsi="Arial" w:cs="Arial"/>
          <w:iCs/>
          <w:lang w:val="sq-AL"/>
        </w:rPr>
        <w:t xml:space="preserve">g DPUO, odnosno </w:t>
      </w:r>
      <w:r w:rsidR="00A643B1">
        <w:rPr>
          <w:rFonts w:ascii="Arial" w:hAnsi="Arial" w:cs="Arial"/>
          <w:iCs/>
          <w:lang w:val="sq-AL"/>
        </w:rPr>
        <w:t xml:space="preserve">za </w:t>
      </w:r>
      <w:r w:rsidR="007A7568">
        <w:rPr>
          <w:rFonts w:ascii="Arial" w:hAnsi="Arial" w:cs="Arial"/>
          <w:iCs/>
          <w:lang w:val="sq-AL"/>
        </w:rPr>
        <w:t>2029. godin</w:t>
      </w:r>
      <w:r w:rsidR="00A643B1">
        <w:rPr>
          <w:rFonts w:ascii="Arial" w:hAnsi="Arial" w:cs="Arial"/>
          <w:iCs/>
          <w:lang w:val="sq-AL"/>
        </w:rPr>
        <w:t>u</w:t>
      </w:r>
      <w:r w:rsidR="007A7568">
        <w:rPr>
          <w:rFonts w:ascii="Arial" w:hAnsi="Arial" w:cs="Arial"/>
          <w:iCs/>
          <w:lang w:val="sq-AL"/>
        </w:rPr>
        <w:t>.</w:t>
      </w:r>
    </w:p>
    <w:p w14:paraId="05BE86E6" w14:textId="2CA90D2A" w:rsidR="00C232D7" w:rsidRPr="00C149AB" w:rsidRDefault="00C232D7" w:rsidP="00C232D7">
      <w:pPr>
        <w:pStyle w:val="Caption"/>
        <w:rPr>
          <w:rFonts w:ascii="Arial" w:hAnsi="Arial" w:cs="Arial"/>
          <w:b w:val="0"/>
          <w:szCs w:val="20"/>
          <w:highlight w:val="cyan"/>
          <w:lang w:val="sq-AL"/>
        </w:rPr>
      </w:pPr>
      <w:bookmarkStart w:id="1206" w:name="_Toc189515684"/>
      <w:bookmarkStart w:id="1207" w:name="_Toc190160795"/>
      <w:bookmarkStart w:id="1208" w:name="_Toc130833066"/>
      <w:r w:rsidRPr="00C149AB">
        <w:rPr>
          <w:rFonts w:ascii="Arial" w:hAnsi="Arial" w:cs="Arial"/>
          <w:b w:val="0"/>
          <w:szCs w:val="20"/>
          <w:lang w:val="sq-AL"/>
        </w:rPr>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100</w:t>
      </w:r>
      <w:r w:rsidRPr="00C149AB">
        <w:rPr>
          <w:rFonts w:ascii="Arial" w:hAnsi="Arial" w:cs="Arial"/>
          <w:b w:val="0"/>
          <w:szCs w:val="20"/>
        </w:rPr>
        <w:fldChar w:fldCharType="end"/>
      </w:r>
      <w:r w:rsidRPr="00C149AB">
        <w:rPr>
          <w:rFonts w:ascii="Arial" w:hAnsi="Arial" w:cs="Arial"/>
          <w:b w:val="0"/>
          <w:szCs w:val="20"/>
          <w:lang w:val="sq-AL"/>
        </w:rPr>
        <w:t xml:space="preserve"> Kvantifikacija ciljeva tretmana otpada za </w:t>
      </w:r>
      <w:r w:rsidR="00B40E88" w:rsidRPr="00C149AB">
        <w:rPr>
          <w:rFonts w:ascii="Arial" w:hAnsi="Arial" w:cs="Arial"/>
          <w:b w:val="0"/>
          <w:szCs w:val="20"/>
          <w:lang w:val="sq-AL"/>
        </w:rPr>
        <w:t>2029</w:t>
      </w:r>
      <w:r w:rsidRPr="00C149AB">
        <w:rPr>
          <w:rFonts w:ascii="Arial" w:hAnsi="Arial" w:cs="Arial"/>
          <w:b w:val="0"/>
          <w:szCs w:val="20"/>
          <w:lang w:val="sq-AL"/>
        </w:rPr>
        <w:t>. godinu</w:t>
      </w:r>
      <w:bookmarkEnd w:id="1206"/>
      <w:bookmarkEnd w:id="1207"/>
      <w:r w:rsidRPr="00C149AB">
        <w:rPr>
          <w:rFonts w:ascii="Arial" w:hAnsi="Arial" w:cs="Arial"/>
          <w:b w:val="0"/>
          <w:szCs w:val="20"/>
          <w:lang w:val="sq-AL"/>
        </w:rPr>
        <w:t xml:space="preserve"> </w:t>
      </w:r>
      <w:bookmarkEnd w:id="1208"/>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1795"/>
        <w:gridCol w:w="5641"/>
        <w:gridCol w:w="1906"/>
      </w:tblGrid>
      <w:tr w:rsidR="00C232D7" w:rsidRPr="00C149AB" w14:paraId="330A51DE" w14:textId="77777777" w:rsidTr="00C232D7">
        <w:trPr>
          <w:trHeight w:val="521"/>
          <w:tblHeader/>
          <w:jc w:val="center"/>
        </w:trPr>
        <w:tc>
          <w:tcPr>
            <w:tcW w:w="961" w:type="pct"/>
            <w:shd w:val="clear" w:color="auto" w:fill="F2F2F2" w:themeFill="background1" w:themeFillShade="F2"/>
          </w:tcPr>
          <w:p w14:paraId="7949E8FD" w14:textId="77777777" w:rsidR="00C232D7" w:rsidRPr="00C149AB" w:rsidRDefault="00C232D7" w:rsidP="00C232D7">
            <w:pPr>
              <w:spacing w:after="120" w:line="360" w:lineRule="auto"/>
              <w:ind w:right="45"/>
              <w:rPr>
                <w:rFonts w:ascii="Arial" w:hAnsi="Arial" w:cs="Arial"/>
                <w:b/>
                <w:bCs/>
                <w:sz w:val="18"/>
              </w:rPr>
            </w:pPr>
            <w:r w:rsidRPr="00C149AB">
              <w:rPr>
                <w:rFonts w:ascii="Arial" w:hAnsi="Arial" w:cs="Arial"/>
                <w:b/>
                <w:bCs/>
                <w:sz w:val="18"/>
              </w:rPr>
              <w:t>Vrsta otpada</w:t>
            </w:r>
          </w:p>
        </w:tc>
        <w:tc>
          <w:tcPr>
            <w:tcW w:w="3019" w:type="pct"/>
            <w:shd w:val="clear" w:color="auto" w:fill="F2F2F2" w:themeFill="background1" w:themeFillShade="F2"/>
            <w:vAlign w:val="center"/>
          </w:tcPr>
          <w:p w14:paraId="237C1E09" w14:textId="77777777" w:rsidR="00C232D7" w:rsidRPr="00C149AB" w:rsidRDefault="00C232D7" w:rsidP="00C232D7">
            <w:pPr>
              <w:spacing w:after="120" w:line="360" w:lineRule="auto"/>
              <w:ind w:right="45"/>
              <w:rPr>
                <w:rFonts w:ascii="Arial" w:hAnsi="Arial" w:cs="Arial"/>
                <w:b/>
                <w:bCs/>
                <w:sz w:val="18"/>
              </w:rPr>
            </w:pPr>
            <w:r w:rsidRPr="00C149AB">
              <w:rPr>
                <w:rFonts w:ascii="Arial" w:hAnsi="Arial" w:cs="Arial"/>
                <w:b/>
                <w:bCs/>
                <w:sz w:val="18"/>
              </w:rPr>
              <w:t>Opis cilja</w:t>
            </w:r>
          </w:p>
        </w:tc>
        <w:tc>
          <w:tcPr>
            <w:tcW w:w="1020" w:type="pct"/>
            <w:shd w:val="clear" w:color="auto" w:fill="F2F2F2" w:themeFill="background1" w:themeFillShade="F2"/>
            <w:vAlign w:val="center"/>
          </w:tcPr>
          <w:p w14:paraId="6B98F6F0" w14:textId="77777777" w:rsidR="00C232D7" w:rsidRPr="00C149AB" w:rsidRDefault="00C232D7" w:rsidP="00C232D7">
            <w:pPr>
              <w:spacing w:after="120" w:line="360" w:lineRule="auto"/>
              <w:ind w:right="45"/>
              <w:rPr>
                <w:rFonts w:ascii="Arial" w:hAnsi="Arial" w:cs="Arial"/>
                <w:b/>
                <w:bCs/>
                <w:sz w:val="18"/>
              </w:rPr>
            </w:pPr>
            <w:r w:rsidRPr="00C149AB">
              <w:rPr>
                <w:rFonts w:ascii="Arial" w:hAnsi="Arial" w:cs="Arial"/>
                <w:b/>
                <w:bCs/>
                <w:sz w:val="18"/>
              </w:rPr>
              <w:t>Kvantifikovani cilj</w:t>
            </w:r>
          </w:p>
          <w:p w14:paraId="664653D0" w14:textId="77777777" w:rsidR="00C232D7" w:rsidRPr="00C149AB" w:rsidRDefault="00C232D7" w:rsidP="00C232D7">
            <w:pPr>
              <w:spacing w:after="120" w:line="360" w:lineRule="auto"/>
              <w:ind w:right="45"/>
              <w:rPr>
                <w:rFonts w:ascii="Arial" w:hAnsi="Arial" w:cs="Arial"/>
                <w:b/>
                <w:bCs/>
                <w:sz w:val="18"/>
              </w:rPr>
            </w:pPr>
            <w:r w:rsidRPr="00C149AB">
              <w:rPr>
                <w:rFonts w:ascii="Arial" w:hAnsi="Arial" w:cs="Arial"/>
                <w:b/>
                <w:bCs/>
                <w:sz w:val="18"/>
              </w:rPr>
              <w:t>(t/god)</w:t>
            </w:r>
          </w:p>
        </w:tc>
      </w:tr>
      <w:tr w:rsidR="00C232D7" w:rsidRPr="00C149AB" w14:paraId="3E04A449" w14:textId="77777777" w:rsidTr="00C232D7">
        <w:trPr>
          <w:jc w:val="center"/>
        </w:trPr>
        <w:tc>
          <w:tcPr>
            <w:tcW w:w="961" w:type="pct"/>
            <w:shd w:val="clear" w:color="auto" w:fill="auto"/>
          </w:tcPr>
          <w:p w14:paraId="2DF37C6E" w14:textId="77777777" w:rsidR="00C232D7" w:rsidRPr="00C149AB" w:rsidRDefault="00C232D7" w:rsidP="00C232D7">
            <w:pPr>
              <w:spacing w:after="120" w:line="360" w:lineRule="auto"/>
              <w:rPr>
                <w:rFonts w:ascii="Arial" w:hAnsi="Arial" w:cs="Arial"/>
                <w:sz w:val="18"/>
                <w:lang w:bidi="ar-AE"/>
              </w:rPr>
            </w:pPr>
            <w:r w:rsidRPr="00C149AB">
              <w:rPr>
                <w:rFonts w:ascii="Arial" w:hAnsi="Arial" w:cs="Arial"/>
                <w:sz w:val="18"/>
              </w:rPr>
              <w:t>Biorazgradivi otpad</w:t>
            </w:r>
          </w:p>
        </w:tc>
        <w:tc>
          <w:tcPr>
            <w:tcW w:w="3019" w:type="pct"/>
          </w:tcPr>
          <w:p w14:paraId="70F94613" w14:textId="77777777" w:rsidR="00C232D7" w:rsidRPr="00C149AB" w:rsidRDefault="00C232D7" w:rsidP="00C232D7">
            <w:pPr>
              <w:spacing w:after="120" w:line="360" w:lineRule="auto"/>
              <w:rPr>
                <w:rFonts w:ascii="Arial" w:hAnsi="Arial" w:cs="Arial"/>
                <w:sz w:val="18"/>
              </w:rPr>
            </w:pPr>
            <w:r w:rsidRPr="00C149AB">
              <w:rPr>
                <w:rFonts w:ascii="Arial" w:hAnsi="Arial" w:cs="Arial"/>
                <w:sz w:val="18"/>
              </w:rPr>
              <w:t>Maksimalna odložena količina od 70% biorazgradivog otpada generisanog u 2010.</w:t>
            </w:r>
          </w:p>
        </w:tc>
        <w:tc>
          <w:tcPr>
            <w:tcW w:w="1020" w:type="pct"/>
            <w:vAlign w:val="center"/>
          </w:tcPr>
          <w:p w14:paraId="260236FF" w14:textId="77777777" w:rsidR="00C232D7" w:rsidRPr="00C149AB" w:rsidRDefault="00C232D7" w:rsidP="00C232D7">
            <w:pPr>
              <w:spacing w:after="120" w:line="360" w:lineRule="auto"/>
              <w:rPr>
                <w:rFonts w:ascii="Arial" w:hAnsi="Arial" w:cs="Arial"/>
                <w:sz w:val="18"/>
                <w:lang w:bidi="ar-AE"/>
              </w:rPr>
            </w:pPr>
            <w:r w:rsidRPr="00C149AB">
              <w:rPr>
                <w:rFonts w:ascii="Arial" w:hAnsi="Arial" w:cs="Arial"/>
                <w:sz w:val="18"/>
                <w:lang w:bidi="ar-AE"/>
              </w:rPr>
              <w:t>102,200</w:t>
            </w:r>
          </w:p>
        </w:tc>
      </w:tr>
      <w:tr w:rsidR="00C232D7" w:rsidRPr="00C149AB" w14:paraId="1B276C1E" w14:textId="77777777" w:rsidTr="00C232D7">
        <w:trPr>
          <w:jc w:val="center"/>
        </w:trPr>
        <w:tc>
          <w:tcPr>
            <w:tcW w:w="961" w:type="pct"/>
            <w:shd w:val="clear" w:color="auto" w:fill="auto"/>
          </w:tcPr>
          <w:p w14:paraId="531F6194" w14:textId="77777777" w:rsidR="00C232D7" w:rsidRPr="00C149AB" w:rsidRDefault="00C232D7" w:rsidP="00C232D7">
            <w:pPr>
              <w:spacing w:after="120" w:line="360" w:lineRule="auto"/>
              <w:rPr>
                <w:rFonts w:ascii="Arial" w:hAnsi="Arial" w:cs="Arial"/>
                <w:sz w:val="18"/>
              </w:rPr>
            </w:pPr>
            <w:r w:rsidRPr="00C149AB">
              <w:rPr>
                <w:rFonts w:ascii="Arial" w:hAnsi="Arial" w:cs="Arial"/>
                <w:sz w:val="18"/>
              </w:rPr>
              <w:t>Rezidualni otpad</w:t>
            </w:r>
          </w:p>
        </w:tc>
        <w:tc>
          <w:tcPr>
            <w:tcW w:w="3019" w:type="pct"/>
          </w:tcPr>
          <w:p w14:paraId="75EF5B88" w14:textId="77777777" w:rsidR="00C232D7" w:rsidRPr="00C149AB" w:rsidRDefault="00C232D7" w:rsidP="00C232D7">
            <w:pPr>
              <w:spacing w:after="120" w:line="360" w:lineRule="auto"/>
              <w:rPr>
                <w:rFonts w:ascii="Arial" w:hAnsi="Arial" w:cs="Arial"/>
                <w:sz w:val="18"/>
              </w:rPr>
            </w:pPr>
            <w:r w:rsidRPr="00C149AB">
              <w:rPr>
                <w:rFonts w:ascii="Arial" w:hAnsi="Arial" w:cs="Arial"/>
                <w:sz w:val="18"/>
              </w:rPr>
              <w:t>Tretira se 72% rezidualnog otpada</w:t>
            </w:r>
          </w:p>
        </w:tc>
        <w:tc>
          <w:tcPr>
            <w:tcW w:w="1020" w:type="pct"/>
            <w:vAlign w:val="center"/>
          </w:tcPr>
          <w:p w14:paraId="7A975867" w14:textId="77777777" w:rsidR="00C232D7" w:rsidRPr="00C149AB" w:rsidRDefault="00C232D7" w:rsidP="00C232D7">
            <w:pPr>
              <w:spacing w:after="120" w:line="360" w:lineRule="auto"/>
              <w:rPr>
                <w:rFonts w:ascii="Arial" w:hAnsi="Arial" w:cs="Arial"/>
                <w:sz w:val="18"/>
                <w:lang w:bidi="ar-AE"/>
              </w:rPr>
            </w:pPr>
            <w:r w:rsidRPr="00C149AB">
              <w:rPr>
                <w:rFonts w:ascii="Arial" w:hAnsi="Arial" w:cs="Arial"/>
                <w:sz w:val="18"/>
                <w:lang w:bidi="ar-AE"/>
              </w:rPr>
              <w:t>124,460</w:t>
            </w:r>
          </w:p>
        </w:tc>
      </w:tr>
    </w:tbl>
    <w:p w14:paraId="526B88C0" w14:textId="4CB56FD4" w:rsidR="00C232D7" w:rsidRPr="002A6F4E" w:rsidRDefault="00C232D7" w:rsidP="00C232D7">
      <w:pPr>
        <w:spacing w:before="120" w:after="120" w:line="360" w:lineRule="auto"/>
        <w:rPr>
          <w:rFonts w:ascii="Arial" w:hAnsi="Arial" w:cs="Arial"/>
        </w:rPr>
      </w:pPr>
      <w:r w:rsidRPr="002A6F4E">
        <w:rPr>
          <w:rFonts w:ascii="Arial" w:hAnsi="Arial" w:cs="Arial"/>
        </w:rPr>
        <w:t>Napominje</w:t>
      </w:r>
      <w:r w:rsidR="00E57698">
        <w:rPr>
          <w:rFonts w:ascii="Arial" w:hAnsi="Arial" w:cs="Arial"/>
        </w:rPr>
        <w:t xml:space="preserve">mo </w:t>
      </w:r>
      <w:r w:rsidRPr="002A6F4E">
        <w:rPr>
          <w:rFonts w:ascii="Arial" w:hAnsi="Arial" w:cs="Arial"/>
        </w:rPr>
        <w:t>da će nakon 2030. godine biti potrebno ispuniti nekoliko ciljeva upravljanja otpadom u okviru paketa cirkularne ekonomije, od kojih glavni uključuje:</w:t>
      </w:r>
    </w:p>
    <w:p w14:paraId="0269FD07" w14:textId="5ADF3520" w:rsidR="00C232D7" w:rsidRPr="002A6F4E" w:rsidRDefault="00C232D7" w:rsidP="00A23ED0">
      <w:pPr>
        <w:pStyle w:val="ListParagraph"/>
        <w:numPr>
          <w:ilvl w:val="0"/>
          <w:numId w:val="59"/>
        </w:numPr>
        <w:spacing w:before="120" w:after="120" w:line="360" w:lineRule="auto"/>
        <w:rPr>
          <w:rFonts w:ascii="Arial" w:hAnsi="Arial" w:cs="Arial"/>
        </w:rPr>
      </w:pPr>
      <w:r w:rsidRPr="002A6F4E">
        <w:rPr>
          <w:rFonts w:ascii="Arial" w:hAnsi="Arial" w:cs="Arial"/>
        </w:rPr>
        <w:t>maksimalno 10% ukupnog otpada koji će biti odložen do 2040. godine.</w:t>
      </w:r>
    </w:p>
    <w:p w14:paraId="371CAFC3" w14:textId="00A3EEC3" w:rsidR="00C232D7" w:rsidRPr="002A6F4E" w:rsidRDefault="00C232D7" w:rsidP="00C232D7">
      <w:pPr>
        <w:spacing w:before="120" w:after="120" w:line="360" w:lineRule="auto"/>
        <w:rPr>
          <w:rFonts w:ascii="Arial" w:hAnsi="Arial" w:cs="Arial"/>
        </w:rPr>
      </w:pPr>
      <w:r w:rsidRPr="002A6F4E">
        <w:rPr>
          <w:rFonts w:ascii="Arial" w:hAnsi="Arial" w:cs="Arial"/>
        </w:rPr>
        <w:t xml:space="preserve">Da bi se postigao ovaj cilj, u periodu </w:t>
      </w:r>
      <w:r w:rsidR="00A643B1">
        <w:rPr>
          <w:rFonts w:ascii="Arial" w:hAnsi="Arial" w:cs="Arial"/>
        </w:rPr>
        <w:t>do</w:t>
      </w:r>
      <w:r w:rsidRPr="002A6F4E">
        <w:rPr>
          <w:rFonts w:ascii="Arial" w:hAnsi="Arial" w:cs="Arial"/>
        </w:rPr>
        <w:t xml:space="preserve"> </w:t>
      </w:r>
      <w:r w:rsidR="00B40E88" w:rsidRPr="002A6F4E">
        <w:rPr>
          <w:rFonts w:ascii="Arial" w:hAnsi="Arial" w:cs="Arial"/>
        </w:rPr>
        <w:t>2029</w:t>
      </w:r>
      <w:r w:rsidRPr="002A6F4E">
        <w:rPr>
          <w:rFonts w:ascii="Arial" w:hAnsi="Arial" w:cs="Arial"/>
        </w:rPr>
        <w:t xml:space="preserve">. godine biće potrebno sprovesti dodatna ulaganja i inicijative za </w:t>
      </w:r>
      <w:r w:rsidR="00BA0CE7">
        <w:rPr>
          <w:rFonts w:ascii="Arial" w:hAnsi="Arial" w:cs="Arial"/>
        </w:rPr>
        <w:t>obradu</w:t>
      </w:r>
      <w:r w:rsidR="00BA0CE7" w:rsidRPr="002A6F4E">
        <w:rPr>
          <w:rFonts w:ascii="Arial" w:hAnsi="Arial" w:cs="Arial"/>
        </w:rPr>
        <w:t xml:space="preserve"> </w:t>
      </w:r>
      <w:r w:rsidRPr="002A6F4E">
        <w:rPr>
          <w:rFonts w:ascii="Arial" w:hAnsi="Arial" w:cs="Arial"/>
        </w:rPr>
        <w:t>otpada.</w:t>
      </w:r>
    </w:p>
    <w:p w14:paraId="628FAAD9" w14:textId="295CCF16" w:rsidR="00C232D7" w:rsidRPr="002A6F4E" w:rsidRDefault="00620A47" w:rsidP="00F57909">
      <w:pPr>
        <w:pStyle w:val="Heading2"/>
      </w:pPr>
      <w:bookmarkStart w:id="1209" w:name="_Toc189759715"/>
      <w:bookmarkStart w:id="1210" w:name="_Toc193354041"/>
      <w:r>
        <w:t>5.3</w:t>
      </w:r>
      <w:r w:rsidR="009751D2">
        <w:t>4</w:t>
      </w:r>
      <w:r>
        <w:t xml:space="preserve">. </w:t>
      </w:r>
      <w:r w:rsidR="00C232D7" w:rsidRPr="002A6F4E">
        <w:t>Postojeći nedostaci i zahtjevi</w:t>
      </w:r>
      <w:bookmarkEnd w:id="1205"/>
      <w:bookmarkEnd w:id="1209"/>
      <w:bookmarkEnd w:id="1210"/>
    </w:p>
    <w:p w14:paraId="3C9A43F6" w14:textId="4A380113"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U narednoj tabeli predstavljeni su tehnički nedostaci i zahtjevi u vezi sa recikl</w:t>
      </w:r>
      <w:r w:rsidR="00BA0CE7">
        <w:rPr>
          <w:rFonts w:ascii="Arial" w:hAnsi="Arial" w:cs="Arial"/>
          <w:lang w:val="sq-AL"/>
        </w:rPr>
        <w:t>iranjem</w:t>
      </w:r>
      <w:r w:rsidRPr="002A6F4E">
        <w:rPr>
          <w:rFonts w:ascii="Arial" w:hAnsi="Arial" w:cs="Arial"/>
          <w:lang w:val="sq-AL"/>
        </w:rPr>
        <w:t xml:space="preserve"> (nedostaci identifikovani u vezi sa odvojenim sakupljanjem otpada su takođe primjenljivi).</w:t>
      </w:r>
    </w:p>
    <w:p w14:paraId="052E1B3F" w14:textId="4BD585D4" w:rsidR="00C232D7" w:rsidRPr="00C149AB" w:rsidRDefault="00C232D7" w:rsidP="00C232D7">
      <w:pPr>
        <w:pStyle w:val="Caption"/>
        <w:rPr>
          <w:rFonts w:ascii="Arial" w:hAnsi="Arial" w:cs="Arial"/>
          <w:b w:val="0"/>
          <w:szCs w:val="20"/>
          <w:lang w:val="sq-AL"/>
        </w:rPr>
      </w:pPr>
      <w:bookmarkStart w:id="1211" w:name="_Toc189515685"/>
      <w:bookmarkStart w:id="1212" w:name="_Toc190160796"/>
      <w:r w:rsidRPr="00C149AB">
        <w:rPr>
          <w:rFonts w:ascii="Arial" w:hAnsi="Arial" w:cs="Arial"/>
          <w:b w:val="0"/>
          <w:szCs w:val="20"/>
          <w:lang w:val="sq-AL"/>
        </w:rPr>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101</w:t>
      </w:r>
      <w:r w:rsidRPr="00C149AB">
        <w:rPr>
          <w:rFonts w:ascii="Arial" w:hAnsi="Arial" w:cs="Arial"/>
          <w:b w:val="0"/>
          <w:szCs w:val="20"/>
        </w:rPr>
        <w:fldChar w:fldCharType="end"/>
      </w:r>
      <w:r w:rsidRPr="00C149AB">
        <w:rPr>
          <w:rFonts w:ascii="Arial" w:hAnsi="Arial" w:cs="Arial"/>
          <w:b w:val="0"/>
          <w:szCs w:val="20"/>
          <w:lang w:val="sq-AL"/>
        </w:rPr>
        <w:t xml:space="preserve"> </w:t>
      </w:r>
      <w:r w:rsidRPr="00C149AB">
        <w:rPr>
          <w:rFonts w:ascii="Arial" w:hAnsi="Arial" w:cs="Arial"/>
          <w:b w:val="0"/>
          <w:bCs w:val="0"/>
          <w:szCs w:val="20"/>
          <w:lang w:val="sq-AL"/>
        </w:rPr>
        <w:t xml:space="preserve">Tehnički nedostaci i zahtjevi </w:t>
      </w:r>
      <w:r w:rsidR="007371CF">
        <w:rPr>
          <w:rFonts w:ascii="Arial" w:hAnsi="Arial" w:cs="Arial"/>
          <w:b w:val="0"/>
          <w:bCs w:val="0"/>
          <w:szCs w:val="20"/>
          <w:lang w:val="sq-AL"/>
        </w:rPr>
        <w:t>u vezi sa</w:t>
      </w:r>
      <w:r w:rsidRPr="00C149AB">
        <w:rPr>
          <w:rFonts w:ascii="Arial" w:hAnsi="Arial" w:cs="Arial"/>
          <w:b w:val="0"/>
          <w:bCs w:val="0"/>
          <w:szCs w:val="20"/>
          <w:lang w:val="sq-AL"/>
        </w:rPr>
        <w:t xml:space="preserve"> </w:t>
      </w:r>
      <w:r w:rsidR="007371CF">
        <w:rPr>
          <w:rFonts w:ascii="Arial" w:hAnsi="Arial" w:cs="Arial"/>
          <w:b w:val="0"/>
          <w:bCs w:val="0"/>
          <w:szCs w:val="20"/>
          <w:lang w:val="sq-AL"/>
        </w:rPr>
        <w:t>recikliranjem</w:t>
      </w:r>
      <w:r w:rsidR="00BA0CE7" w:rsidRPr="00C149AB">
        <w:rPr>
          <w:rFonts w:ascii="Arial" w:hAnsi="Arial" w:cs="Arial"/>
          <w:b w:val="0"/>
          <w:bCs w:val="0"/>
          <w:szCs w:val="20"/>
          <w:lang w:val="sq-AL"/>
        </w:rPr>
        <w:t xml:space="preserve"> </w:t>
      </w:r>
      <w:r w:rsidRPr="00C149AB">
        <w:rPr>
          <w:rFonts w:ascii="Arial" w:hAnsi="Arial" w:cs="Arial"/>
          <w:b w:val="0"/>
          <w:bCs w:val="0"/>
          <w:szCs w:val="20"/>
          <w:lang w:val="sq-AL"/>
        </w:rPr>
        <w:t xml:space="preserve">otpada </w:t>
      </w:r>
      <w:bookmarkEnd w:id="1211"/>
      <w:bookmarkEnd w:id="1212"/>
    </w:p>
    <w:tbl>
      <w:tblPr>
        <w:tblW w:w="104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3536"/>
        <w:gridCol w:w="3686"/>
        <w:gridCol w:w="3241"/>
      </w:tblGrid>
      <w:tr w:rsidR="00C232D7" w:rsidRPr="0014164F" w14:paraId="3B0DEA14" w14:textId="77777777" w:rsidTr="00C232D7">
        <w:trPr>
          <w:jc w:val="center"/>
        </w:trPr>
        <w:tc>
          <w:tcPr>
            <w:tcW w:w="3536" w:type="dxa"/>
            <w:shd w:val="clear" w:color="auto" w:fill="F2F2F2" w:themeFill="background1" w:themeFillShade="F2"/>
          </w:tcPr>
          <w:p w14:paraId="54D8026C" w14:textId="77777777" w:rsidR="00C232D7" w:rsidRPr="00C149AB" w:rsidRDefault="00C232D7" w:rsidP="00C232D7">
            <w:pPr>
              <w:spacing w:before="40" w:after="40" w:line="360" w:lineRule="auto"/>
              <w:ind w:right="45"/>
              <w:rPr>
                <w:rFonts w:ascii="Arial" w:hAnsi="Arial" w:cs="Arial"/>
                <w:b/>
                <w:bCs/>
                <w:sz w:val="18"/>
                <w:lang w:val="sq-AL" w:eastAsia="el-GR"/>
              </w:rPr>
            </w:pPr>
            <w:r w:rsidRPr="00C149AB">
              <w:rPr>
                <w:rFonts w:ascii="Arial" w:hAnsi="Arial" w:cs="Arial"/>
                <w:b/>
                <w:bCs/>
                <w:sz w:val="18"/>
                <w:lang w:val="sq-AL" w:eastAsia="el-GR"/>
              </w:rPr>
              <w:t>Identifikovani problemi</w:t>
            </w:r>
          </w:p>
          <w:p w14:paraId="7DE1CE76" w14:textId="77777777" w:rsidR="00C232D7" w:rsidRPr="00C149AB" w:rsidRDefault="00C232D7" w:rsidP="00C232D7">
            <w:pPr>
              <w:spacing w:before="40" w:after="40" w:line="360" w:lineRule="auto"/>
              <w:ind w:right="45"/>
              <w:rPr>
                <w:rFonts w:ascii="Arial" w:hAnsi="Arial" w:cs="Arial"/>
                <w:b/>
                <w:bCs/>
                <w:sz w:val="18"/>
                <w:lang w:val="sq-AL" w:eastAsia="el-GR"/>
              </w:rPr>
            </w:pPr>
          </w:p>
        </w:tc>
        <w:tc>
          <w:tcPr>
            <w:tcW w:w="3686" w:type="dxa"/>
            <w:shd w:val="clear" w:color="auto" w:fill="F2F2F2" w:themeFill="background1" w:themeFillShade="F2"/>
          </w:tcPr>
          <w:p w14:paraId="3D179D53" w14:textId="453E8102" w:rsidR="00C232D7" w:rsidRPr="00C149AB" w:rsidRDefault="00C232D7" w:rsidP="00C232D7">
            <w:pPr>
              <w:spacing w:before="40" w:after="40" w:line="360" w:lineRule="auto"/>
              <w:ind w:right="45"/>
              <w:rPr>
                <w:rFonts w:ascii="Arial" w:hAnsi="Arial" w:cs="Arial"/>
                <w:b/>
                <w:bCs/>
                <w:sz w:val="18"/>
                <w:lang w:val="sq-AL" w:eastAsia="el-GR"/>
              </w:rPr>
            </w:pPr>
            <w:r w:rsidRPr="00C149AB">
              <w:rPr>
                <w:rFonts w:ascii="Arial" w:hAnsi="Arial" w:cs="Arial"/>
                <w:b/>
                <w:bCs/>
                <w:sz w:val="18"/>
                <w:lang w:val="sq-AL" w:eastAsia="el-GR"/>
              </w:rPr>
              <w:t>Zahtjevi</w:t>
            </w:r>
          </w:p>
        </w:tc>
        <w:tc>
          <w:tcPr>
            <w:tcW w:w="3241" w:type="dxa"/>
            <w:shd w:val="clear" w:color="auto" w:fill="F2F2F2" w:themeFill="background1" w:themeFillShade="F2"/>
          </w:tcPr>
          <w:p w14:paraId="4DFB4188" w14:textId="77777777" w:rsidR="00C232D7" w:rsidRPr="00C149AB" w:rsidRDefault="00C232D7" w:rsidP="00C232D7">
            <w:pPr>
              <w:spacing w:before="40" w:after="40" w:line="360" w:lineRule="auto"/>
              <w:ind w:right="45"/>
              <w:rPr>
                <w:rFonts w:ascii="Arial" w:hAnsi="Arial" w:cs="Arial"/>
                <w:b/>
                <w:bCs/>
                <w:sz w:val="18"/>
                <w:lang w:val="sq-AL" w:eastAsia="el-GR"/>
              </w:rPr>
            </w:pPr>
            <w:r w:rsidRPr="00C149AB">
              <w:rPr>
                <w:rFonts w:ascii="Arial" w:hAnsi="Arial" w:cs="Arial"/>
                <w:b/>
                <w:bCs/>
                <w:sz w:val="18"/>
                <w:lang w:val="sq-AL" w:eastAsia="el-GR"/>
              </w:rPr>
              <w:t>Potreba da ispuni zahtjeve u skladu sa postojećom situacijom</w:t>
            </w:r>
          </w:p>
        </w:tc>
      </w:tr>
      <w:tr w:rsidR="00C232D7" w:rsidRPr="00C149AB" w14:paraId="1D0B9916" w14:textId="77777777" w:rsidTr="00C232D7">
        <w:trPr>
          <w:jc w:val="center"/>
        </w:trPr>
        <w:tc>
          <w:tcPr>
            <w:tcW w:w="3536" w:type="dxa"/>
            <w:vAlign w:val="center"/>
          </w:tcPr>
          <w:p w14:paraId="1FD9DBC8" w14:textId="77777777" w:rsidR="00C232D7" w:rsidRPr="00C149AB" w:rsidRDefault="00C232D7" w:rsidP="00C232D7">
            <w:pPr>
              <w:spacing w:before="40" w:after="40" w:line="360" w:lineRule="auto"/>
              <w:ind w:right="45"/>
              <w:rPr>
                <w:rFonts w:ascii="Arial" w:hAnsi="Arial" w:cs="Arial"/>
                <w:sz w:val="18"/>
                <w:lang w:val="sq-AL"/>
              </w:rPr>
            </w:pPr>
          </w:p>
          <w:p w14:paraId="03D14B52" w14:textId="3AB047D2" w:rsidR="00C232D7" w:rsidRPr="00C149AB" w:rsidRDefault="00A643B1" w:rsidP="00C232D7">
            <w:pPr>
              <w:spacing w:before="40" w:after="40" w:line="360" w:lineRule="auto"/>
              <w:ind w:right="45"/>
              <w:rPr>
                <w:rFonts w:ascii="Arial" w:hAnsi="Arial" w:cs="Arial"/>
                <w:bCs/>
                <w:sz w:val="18"/>
                <w:lang w:val="sq-AL" w:eastAsia="el-GR"/>
              </w:rPr>
            </w:pPr>
            <w:r w:rsidRPr="00C149AB">
              <w:rPr>
                <w:rFonts w:ascii="Arial" w:hAnsi="Arial" w:cs="Arial"/>
                <w:bCs/>
                <w:sz w:val="18"/>
                <w:lang w:val="sq-AL" w:eastAsia="el-GR"/>
              </w:rPr>
              <w:t>U postojećim reciklažnim centrima</w:t>
            </w:r>
            <w:r w:rsidR="003E10F6" w:rsidRPr="00C149AB">
              <w:rPr>
                <w:rFonts w:ascii="Arial" w:hAnsi="Arial" w:cs="Arial"/>
                <w:bCs/>
                <w:sz w:val="18"/>
                <w:lang w:val="sq-AL" w:eastAsia="el-GR"/>
              </w:rPr>
              <w:t>, evident</w:t>
            </w:r>
            <w:r w:rsidR="00BA0CE7">
              <w:rPr>
                <w:rFonts w:ascii="Arial" w:hAnsi="Arial" w:cs="Arial"/>
                <w:bCs/>
                <w:sz w:val="18"/>
                <w:lang w:val="sq-AL" w:eastAsia="el-GR"/>
              </w:rPr>
              <w:t>an</w:t>
            </w:r>
            <w:r w:rsidR="003E10F6" w:rsidRPr="00C149AB">
              <w:rPr>
                <w:rFonts w:ascii="Arial" w:hAnsi="Arial" w:cs="Arial"/>
                <w:bCs/>
                <w:sz w:val="18"/>
                <w:lang w:val="sq-AL" w:eastAsia="el-GR"/>
              </w:rPr>
              <w:t xml:space="preserve"> je mali postotak recikliranih količina, </w:t>
            </w:r>
            <w:r w:rsidR="00C232D7" w:rsidRPr="00C149AB">
              <w:rPr>
                <w:rFonts w:ascii="Arial" w:hAnsi="Arial" w:cs="Arial"/>
                <w:bCs/>
                <w:sz w:val="18"/>
                <w:lang w:val="sq-AL" w:eastAsia="el-GR"/>
              </w:rPr>
              <w:t xml:space="preserve">pa se otpad </w:t>
            </w:r>
            <w:r w:rsidR="003E10F6" w:rsidRPr="00C149AB">
              <w:rPr>
                <w:rFonts w:ascii="Arial" w:hAnsi="Arial" w:cs="Arial"/>
                <w:bCs/>
                <w:sz w:val="18"/>
                <w:lang w:val="sq-AL" w:eastAsia="el-GR"/>
              </w:rPr>
              <w:t xml:space="preserve">uglavnom </w:t>
            </w:r>
            <w:r w:rsidR="00C232D7" w:rsidRPr="00C149AB">
              <w:rPr>
                <w:rFonts w:ascii="Arial" w:hAnsi="Arial" w:cs="Arial"/>
                <w:bCs/>
                <w:sz w:val="18"/>
                <w:lang w:val="sq-AL" w:eastAsia="el-GR"/>
              </w:rPr>
              <w:t>odlaže bez prethodn</w:t>
            </w:r>
            <w:r w:rsidR="00BA0CE7">
              <w:rPr>
                <w:rFonts w:ascii="Arial" w:hAnsi="Arial" w:cs="Arial"/>
                <w:bCs/>
                <w:sz w:val="18"/>
                <w:lang w:val="sq-AL" w:eastAsia="el-GR"/>
              </w:rPr>
              <w:t>e obrade</w:t>
            </w:r>
            <w:r w:rsidR="003E10F6" w:rsidRPr="00C149AB">
              <w:rPr>
                <w:rFonts w:ascii="Arial" w:hAnsi="Arial" w:cs="Arial"/>
                <w:bCs/>
                <w:sz w:val="18"/>
                <w:lang w:val="sq-AL" w:eastAsia="el-GR"/>
              </w:rPr>
              <w:t>;</w:t>
            </w:r>
          </w:p>
          <w:p w14:paraId="0F433D18" w14:textId="77777777" w:rsidR="00C232D7" w:rsidRPr="00C149AB" w:rsidRDefault="00C232D7" w:rsidP="00C232D7">
            <w:pPr>
              <w:spacing w:before="40" w:after="40" w:line="360" w:lineRule="auto"/>
              <w:ind w:right="45"/>
              <w:rPr>
                <w:rFonts w:ascii="Arial" w:hAnsi="Arial" w:cs="Arial"/>
                <w:bCs/>
                <w:sz w:val="18"/>
                <w:lang w:val="sq-AL" w:eastAsia="el-GR"/>
              </w:rPr>
            </w:pPr>
          </w:p>
          <w:p w14:paraId="218B6CF4" w14:textId="77777777" w:rsidR="00C232D7" w:rsidRPr="00C149AB" w:rsidRDefault="00C232D7" w:rsidP="00C232D7">
            <w:pPr>
              <w:spacing w:before="40" w:after="40" w:line="360" w:lineRule="auto"/>
              <w:ind w:right="45"/>
              <w:rPr>
                <w:rFonts w:ascii="Arial" w:hAnsi="Arial" w:cs="Arial"/>
                <w:bCs/>
                <w:sz w:val="18"/>
                <w:lang w:val="sq-AL" w:eastAsia="el-GR"/>
              </w:rPr>
            </w:pPr>
          </w:p>
        </w:tc>
        <w:tc>
          <w:tcPr>
            <w:tcW w:w="3686" w:type="dxa"/>
            <w:vAlign w:val="center"/>
          </w:tcPr>
          <w:p w14:paraId="7CDF9F0F" w14:textId="589F0A04" w:rsidR="00C232D7" w:rsidRPr="00C149AB" w:rsidRDefault="00C232D7" w:rsidP="00C232D7">
            <w:pPr>
              <w:spacing w:before="40" w:after="40" w:line="360" w:lineRule="auto"/>
              <w:ind w:right="45"/>
              <w:rPr>
                <w:rFonts w:ascii="Arial" w:hAnsi="Arial" w:cs="Arial"/>
                <w:bCs/>
                <w:sz w:val="18"/>
                <w:lang w:val="sq-AL" w:eastAsia="el-GR"/>
              </w:rPr>
            </w:pPr>
            <w:r w:rsidRPr="00C149AB">
              <w:rPr>
                <w:rFonts w:ascii="Arial" w:hAnsi="Arial" w:cs="Arial"/>
                <w:bCs/>
                <w:sz w:val="18"/>
                <w:lang w:val="sq-AL" w:eastAsia="el-GR"/>
              </w:rPr>
              <w:t>Skretanje biorazgradivog otpada sa odlaganja za 25% u odnosu na generisanje iz 2010. godine (do 202</w:t>
            </w:r>
            <w:r w:rsidR="003E10F6" w:rsidRPr="00C149AB">
              <w:rPr>
                <w:rFonts w:ascii="Arial" w:hAnsi="Arial" w:cs="Arial"/>
                <w:bCs/>
                <w:sz w:val="18"/>
                <w:lang w:val="sq-AL" w:eastAsia="el-GR"/>
              </w:rPr>
              <w:t>6</w:t>
            </w:r>
            <w:r w:rsidRPr="00C149AB">
              <w:rPr>
                <w:rFonts w:ascii="Arial" w:hAnsi="Arial" w:cs="Arial"/>
                <w:bCs/>
                <w:sz w:val="18"/>
                <w:lang w:val="sq-AL" w:eastAsia="el-GR"/>
              </w:rPr>
              <w:t>.);</w:t>
            </w:r>
          </w:p>
          <w:p w14:paraId="29E5FB29" w14:textId="77777777" w:rsidR="00C232D7" w:rsidRPr="00C149AB" w:rsidRDefault="00C232D7" w:rsidP="00C232D7">
            <w:pPr>
              <w:spacing w:before="40" w:after="40" w:line="360" w:lineRule="auto"/>
              <w:ind w:right="45"/>
              <w:rPr>
                <w:rFonts w:ascii="Arial" w:hAnsi="Arial" w:cs="Arial"/>
                <w:bCs/>
                <w:sz w:val="18"/>
                <w:lang w:val="sq-AL" w:eastAsia="el-GR"/>
              </w:rPr>
            </w:pPr>
          </w:p>
          <w:p w14:paraId="76E11F58" w14:textId="17C0042E" w:rsidR="00C232D7" w:rsidRPr="00C149AB" w:rsidRDefault="00C232D7" w:rsidP="00B40E88">
            <w:pPr>
              <w:spacing w:before="40" w:after="40" w:line="360" w:lineRule="auto"/>
              <w:ind w:right="45"/>
              <w:rPr>
                <w:rFonts w:ascii="Arial" w:hAnsi="Arial" w:cs="Arial"/>
                <w:bCs/>
                <w:sz w:val="18"/>
                <w:lang w:val="sq-AL" w:eastAsia="el-GR"/>
              </w:rPr>
            </w:pPr>
            <w:r w:rsidRPr="00C149AB">
              <w:rPr>
                <w:rFonts w:ascii="Arial" w:hAnsi="Arial" w:cs="Arial"/>
                <w:sz w:val="18"/>
              </w:rPr>
              <w:t xml:space="preserve">Tretman 45% </w:t>
            </w:r>
            <w:r w:rsidRPr="00C149AB">
              <w:rPr>
                <w:rFonts w:ascii="Arial" w:hAnsi="Arial" w:cs="Arial"/>
                <w:bCs/>
                <w:sz w:val="18"/>
                <w:lang w:val="sq-AL" w:eastAsia="el-GR"/>
              </w:rPr>
              <w:t>rezidualnog/m</w:t>
            </w:r>
            <w:r w:rsidR="00BA0CE7">
              <w:rPr>
                <w:rFonts w:ascii="Arial" w:hAnsi="Arial" w:cs="Arial"/>
                <w:bCs/>
                <w:sz w:val="18"/>
                <w:lang w:val="sq-AL" w:eastAsia="el-GR"/>
              </w:rPr>
              <w:t>iješanog</w:t>
            </w:r>
            <w:r w:rsidRPr="00C149AB">
              <w:rPr>
                <w:rFonts w:ascii="Arial" w:hAnsi="Arial" w:cs="Arial"/>
                <w:bCs/>
                <w:sz w:val="18"/>
                <w:lang w:val="sq-AL" w:eastAsia="el-GR"/>
              </w:rPr>
              <w:t xml:space="preserve"> </w:t>
            </w:r>
            <w:r w:rsidRPr="00C149AB">
              <w:rPr>
                <w:rFonts w:ascii="Arial" w:hAnsi="Arial" w:cs="Arial"/>
                <w:sz w:val="18"/>
              </w:rPr>
              <w:t>otpada (do 202</w:t>
            </w:r>
            <w:r w:rsidR="003E10F6" w:rsidRPr="00C149AB">
              <w:rPr>
                <w:rFonts w:ascii="Arial" w:hAnsi="Arial" w:cs="Arial"/>
                <w:sz w:val="18"/>
              </w:rPr>
              <w:t>6</w:t>
            </w:r>
            <w:r w:rsidRPr="00C149AB">
              <w:rPr>
                <w:rFonts w:ascii="Arial" w:hAnsi="Arial" w:cs="Arial"/>
                <w:sz w:val="18"/>
              </w:rPr>
              <w:t xml:space="preserve">.) i 72% (do </w:t>
            </w:r>
            <w:r w:rsidR="00B40E88" w:rsidRPr="00C149AB">
              <w:rPr>
                <w:rFonts w:ascii="Arial" w:hAnsi="Arial" w:cs="Arial"/>
                <w:sz w:val="18"/>
              </w:rPr>
              <w:t>2029</w:t>
            </w:r>
            <w:r w:rsidRPr="00C149AB">
              <w:rPr>
                <w:rFonts w:ascii="Arial" w:hAnsi="Arial" w:cs="Arial"/>
                <w:sz w:val="18"/>
              </w:rPr>
              <w:t>.)</w:t>
            </w:r>
            <w:r w:rsidR="003E10F6" w:rsidRPr="00C149AB">
              <w:rPr>
                <w:rFonts w:ascii="Arial" w:hAnsi="Arial" w:cs="Arial"/>
                <w:sz w:val="18"/>
              </w:rPr>
              <w:t>;</w:t>
            </w:r>
          </w:p>
        </w:tc>
        <w:tc>
          <w:tcPr>
            <w:tcW w:w="3241" w:type="dxa"/>
            <w:vAlign w:val="center"/>
          </w:tcPr>
          <w:p w14:paraId="357C6FCD" w14:textId="3C6D17BA" w:rsidR="00C232D7" w:rsidRPr="00C149AB" w:rsidRDefault="00C232D7" w:rsidP="00C232D7">
            <w:pPr>
              <w:spacing w:before="40" w:after="40" w:line="360" w:lineRule="auto"/>
              <w:ind w:right="45"/>
              <w:rPr>
                <w:rFonts w:ascii="Arial" w:hAnsi="Arial" w:cs="Arial"/>
                <w:bCs/>
                <w:sz w:val="18"/>
                <w:lang w:val="sq-AL" w:eastAsia="el-GR"/>
              </w:rPr>
            </w:pPr>
            <w:r w:rsidRPr="00C149AB">
              <w:rPr>
                <w:rFonts w:ascii="Arial" w:hAnsi="Arial" w:cs="Arial"/>
                <w:bCs/>
                <w:sz w:val="18"/>
                <w:lang w:val="sq-AL" w:eastAsia="el-GR"/>
              </w:rPr>
              <w:t>Tretman 50% rezidualnog/m</w:t>
            </w:r>
            <w:r w:rsidR="00BA0CE7">
              <w:rPr>
                <w:rFonts w:ascii="Arial" w:hAnsi="Arial" w:cs="Arial"/>
                <w:bCs/>
                <w:sz w:val="18"/>
                <w:lang w:val="sq-AL" w:eastAsia="el-GR"/>
              </w:rPr>
              <w:t>iješanog</w:t>
            </w:r>
            <w:r w:rsidRPr="00C149AB">
              <w:rPr>
                <w:rFonts w:ascii="Arial" w:hAnsi="Arial" w:cs="Arial"/>
                <w:bCs/>
                <w:sz w:val="18"/>
                <w:lang w:val="sq-AL" w:eastAsia="el-GR"/>
              </w:rPr>
              <w:t xml:space="preserve"> otpada (do 202</w:t>
            </w:r>
            <w:r w:rsidR="003E10F6" w:rsidRPr="00C149AB">
              <w:rPr>
                <w:rFonts w:ascii="Arial" w:hAnsi="Arial" w:cs="Arial"/>
                <w:bCs/>
                <w:sz w:val="18"/>
                <w:lang w:val="sq-AL" w:eastAsia="el-GR"/>
              </w:rPr>
              <w:t>6</w:t>
            </w:r>
            <w:r w:rsidRPr="00C149AB">
              <w:rPr>
                <w:rFonts w:ascii="Arial" w:hAnsi="Arial" w:cs="Arial"/>
                <w:bCs/>
                <w:sz w:val="18"/>
                <w:lang w:val="sq-AL" w:eastAsia="el-GR"/>
              </w:rPr>
              <w:t>.) Pravna sredstva za postavljanje ciljeva i standarda (npr. za sekundarni materijal);</w:t>
            </w:r>
          </w:p>
          <w:p w14:paraId="01D9D6A1" w14:textId="279E41BA" w:rsidR="00C232D7" w:rsidRPr="00C149AB" w:rsidRDefault="00C232D7" w:rsidP="00C232D7">
            <w:pPr>
              <w:spacing w:before="40" w:after="40" w:line="360" w:lineRule="auto"/>
              <w:ind w:right="45"/>
              <w:rPr>
                <w:rFonts w:ascii="Arial" w:hAnsi="Arial" w:cs="Arial"/>
                <w:sz w:val="18"/>
                <w:lang w:val="sq-AL"/>
              </w:rPr>
            </w:pPr>
            <w:r w:rsidRPr="00C149AB">
              <w:rPr>
                <w:rFonts w:ascii="Arial" w:hAnsi="Arial" w:cs="Arial"/>
                <w:bCs/>
                <w:sz w:val="18"/>
                <w:lang w:val="sq-AL" w:eastAsia="el-GR"/>
              </w:rPr>
              <w:t xml:space="preserve">Kapaciteti za </w:t>
            </w:r>
            <w:r w:rsidR="00BA0CE7">
              <w:rPr>
                <w:rFonts w:ascii="Arial" w:hAnsi="Arial" w:cs="Arial"/>
                <w:bCs/>
                <w:sz w:val="18"/>
                <w:lang w:val="sq-AL" w:eastAsia="el-GR"/>
              </w:rPr>
              <w:t>obradu</w:t>
            </w:r>
            <w:r w:rsidR="00BA0CE7" w:rsidRPr="00C149AB">
              <w:rPr>
                <w:rFonts w:ascii="Arial" w:hAnsi="Arial" w:cs="Arial"/>
                <w:bCs/>
                <w:sz w:val="18"/>
                <w:lang w:val="sq-AL" w:eastAsia="el-GR"/>
              </w:rPr>
              <w:t xml:space="preserve"> </w:t>
            </w:r>
            <w:r w:rsidRPr="00C149AB">
              <w:rPr>
                <w:rFonts w:ascii="Arial" w:hAnsi="Arial" w:cs="Arial"/>
                <w:bCs/>
                <w:sz w:val="18"/>
                <w:lang w:val="sq-AL" w:eastAsia="el-GR"/>
              </w:rPr>
              <w:t>otpada razvijeni prema potrebama</w:t>
            </w:r>
            <w:r w:rsidR="00BA0CE7">
              <w:rPr>
                <w:rFonts w:ascii="Arial" w:hAnsi="Arial" w:cs="Arial"/>
                <w:bCs/>
                <w:sz w:val="18"/>
                <w:lang w:val="sq-AL" w:eastAsia="el-GR"/>
              </w:rPr>
              <w:t>.</w:t>
            </w:r>
          </w:p>
        </w:tc>
      </w:tr>
    </w:tbl>
    <w:p w14:paraId="60FC961E" w14:textId="40E15E1A" w:rsidR="00C232D7" w:rsidRPr="002A6F4E" w:rsidRDefault="00620A47" w:rsidP="00F57909">
      <w:pPr>
        <w:pStyle w:val="Heading2"/>
      </w:pPr>
      <w:bookmarkStart w:id="1213" w:name="_Toc121759076"/>
      <w:bookmarkStart w:id="1214" w:name="_Toc189759716"/>
      <w:bookmarkStart w:id="1215" w:name="_Toc193354042"/>
      <w:r>
        <w:t>5.3</w:t>
      </w:r>
      <w:r w:rsidR="009751D2">
        <w:t>5</w:t>
      </w:r>
      <w:r>
        <w:t xml:space="preserve">. </w:t>
      </w:r>
      <w:r w:rsidR="00C232D7" w:rsidRPr="002A6F4E">
        <w:t>Analiza opcije</w:t>
      </w:r>
      <w:bookmarkEnd w:id="1213"/>
      <w:bookmarkEnd w:id="1214"/>
      <w:bookmarkEnd w:id="1215"/>
      <w:r w:rsidR="00C232D7" w:rsidRPr="002A6F4E">
        <w:t xml:space="preserve"> </w:t>
      </w:r>
    </w:p>
    <w:p w14:paraId="5517E56C" w14:textId="6967BD1B" w:rsidR="00C232D7" w:rsidRPr="002A6F4E" w:rsidRDefault="00BA0CE7" w:rsidP="00C232D7">
      <w:pPr>
        <w:spacing w:before="120" w:after="120" w:line="360" w:lineRule="auto"/>
        <w:rPr>
          <w:rFonts w:ascii="Arial" w:hAnsi="Arial" w:cs="Arial"/>
          <w:lang w:val="sq-AL"/>
        </w:rPr>
      </w:pPr>
      <w:r>
        <w:rPr>
          <w:rFonts w:ascii="Arial" w:hAnsi="Arial" w:cs="Arial"/>
          <w:lang w:val="sq-AL"/>
        </w:rPr>
        <w:t>P</w:t>
      </w:r>
      <w:r w:rsidR="00C232D7" w:rsidRPr="002A6F4E">
        <w:rPr>
          <w:rFonts w:ascii="Arial" w:hAnsi="Arial" w:cs="Arial"/>
          <w:lang w:val="sq-AL"/>
        </w:rPr>
        <w:t xml:space="preserve">oboljšanje upravljanja otpadom zahtijeva vrijeme i </w:t>
      </w:r>
      <w:r>
        <w:rPr>
          <w:rFonts w:ascii="Arial" w:hAnsi="Arial" w:cs="Arial"/>
          <w:lang w:val="sq-AL"/>
        </w:rPr>
        <w:t>kontinuiran rad</w:t>
      </w:r>
      <w:r w:rsidR="00C232D7" w:rsidRPr="002A6F4E">
        <w:rPr>
          <w:rFonts w:ascii="Arial" w:hAnsi="Arial" w:cs="Arial"/>
          <w:lang w:val="sq-AL"/>
        </w:rPr>
        <w:t xml:space="preserve"> i trebalo bi da počne sa </w:t>
      </w:r>
      <w:r w:rsidR="00AB73CF">
        <w:rPr>
          <w:rFonts w:ascii="Arial" w:hAnsi="Arial" w:cs="Arial"/>
          <w:lang w:val="sq-AL"/>
        </w:rPr>
        <w:t>realnim i kritičkim</w:t>
      </w:r>
      <w:r w:rsidR="00C232D7" w:rsidRPr="002A6F4E">
        <w:rPr>
          <w:rFonts w:ascii="Arial" w:hAnsi="Arial" w:cs="Arial"/>
          <w:lang w:val="sq-AL"/>
        </w:rPr>
        <w:t xml:space="preserve"> ispitivanjem sadašnjih slabosti. Da bi se odabrao odgovarajući sistem </w:t>
      </w:r>
      <w:r>
        <w:rPr>
          <w:rFonts w:ascii="Arial" w:hAnsi="Arial" w:cs="Arial"/>
          <w:lang w:val="sq-AL"/>
        </w:rPr>
        <w:t>obrade</w:t>
      </w:r>
      <w:r w:rsidRPr="002A6F4E">
        <w:rPr>
          <w:rFonts w:ascii="Arial" w:hAnsi="Arial" w:cs="Arial"/>
          <w:lang w:val="sq-AL"/>
        </w:rPr>
        <w:t xml:space="preserve"> </w:t>
      </w:r>
      <w:r w:rsidR="00C232D7" w:rsidRPr="002A6F4E">
        <w:rPr>
          <w:rFonts w:ascii="Arial" w:hAnsi="Arial" w:cs="Arial"/>
          <w:lang w:val="sq-AL"/>
        </w:rPr>
        <w:t xml:space="preserve">otpada, treba da </w:t>
      </w:r>
      <w:r w:rsidR="00AB73CF">
        <w:rPr>
          <w:rFonts w:ascii="Arial" w:hAnsi="Arial" w:cs="Arial"/>
          <w:lang w:val="sq-AL"/>
        </w:rPr>
        <w:t xml:space="preserve">se </w:t>
      </w:r>
      <w:r w:rsidR="00C232D7" w:rsidRPr="002A6F4E">
        <w:rPr>
          <w:rFonts w:ascii="Arial" w:hAnsi="Arial" w:cs="Arial"/>
          <w:lang w:val="sq-AL"/>
        </w:rPr>
        <w:t xml:space="preserve">definiše standard usluge koji </w:t>
      </w:r>
      <w:r w:rsidR="00AB73CF">
        <w:rPr>
          <w:rFonts w:ascii="Arial" w:hAnsi="Arial" w:cs="Arial"/>
          <w:lang w:val="sq-AL"/>
        </w:rPr>
        <w:t xml:space="preserve">se </w:t>
      </w:r>
      <w:r w:rsidR="00C232D7" w:rsidRPr="002A6F4E">
        <w:rPr>
          <w:rFonts w:ascii="Arial" w:hAnsi="Arial" w:cs="Arial"/>
          <w:lang w:val="sq-AL"/>
        </w:rPr>
        <w:t>želi posti</w:t>
      </w:r>
      <w:r w:rsidR="00AB73CF">
        <w:rPr>
          <w:rFonts w:ascii="Arial" w:hAnsi="Arial" w:cs="Arial"/>
          <w:lang w:val="sq-AL"/>
        </w:rPr>
        <w:t>ći</w:t>
      </w:r>
      <w:r w:rsidR="00C232D7" w:rsidRPr="002A6F4E">
        <w:rPr>
          <w:rFonts w:ascii="Arial" w:hAnsi="Arial" w:cs="Arial"/>
          <w:lang w:val="sq-AL"/>
        </w:rPr>
        <w:t xml:space="preserve"> i </w:t>
      </w:r>
      <w:r w:rsidR="00AB73CF">
        <w:rPr>
          <w:rFonts w:ascii="Arial" w:hAnsi="Arial" w:cs="Arial"/>
          <w:lang w:val="sq-AL"/>
        </w:rPr>
        <w:t xml:space="preserve">da se </w:t>
      </w:r>
      <w:r w:rsidR="00C232D7" w:rsidRPr="002A6F4E">
        <w:rPr>
          <w:rFonts w:ascii="Arial" w:hAnsi="Arial" w:cs="Arial"/>
          <w:lang w:val="sq-AL"/>
        </w:rPr>
        <w:t>objasn</w:t>
      </w:r>
      <w:r w:rsidR="00AB73CF">
        <w:rPr>
          <w:rFonts w:ascii="Arial" w:hAnsi="Arial" w:cs="Arial"/>
          <w:lang w:val="sq-AL"/>
        </w:rPr>
        <w:t>e</w:t>
      </w:r>
      <w:r w:rsidR="00C232D7" w:rsidRPr="002A6F4E">
        <w:rPr>
          <w:rFonts w:ascii="Arial" w:hAnsi="Arial" w:cs="Arial"/>
          <w:lang w:val="sq-AL"/>
        </w:rPr>
        <w:t xml:space="preserve"> finansijska i fizička sredstva koja bi bila potrebna da se predložene promjene sprovedu u praksi.</w:t>
      </w:r>
    </w:p>
    <w:p w14:paraId="10C948FD" w14:textId="72E59B9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Postoji mnogo razlika koje se mogu naći u načinu na koji se usluge </w:t>
      </w:r>
      <w:r w:rsidR="0032248E">
        <w:rPr>
          <w:rFonts w:ascii="Arial" w:hAnsi="Arial" w:cs="Arial"/>
          <w:lang w:val="sq-AL"/>
        </w:rPr>
        <w:t>obrade</w:t>
      </w:r>
      <w:r w:rsidR="0032248E" w:rsidRPr="002A6F4E">
        <w:rPr>
          <w:rFonts w:ascii="Arial" w:hAnsi="Arial" w:cs="Arial"/>
          <w:lang w:val="sq-AL"/>
        </w:rPr>
        <w:t xml:space="preserve"> </w:t>
      </w:r>
      <w:r w:rsidRPr="002A6F4E">
        <w:rPr>
          <w:rFonts w:ascii="Arial" w:hAnsi="Arial" w:cs="Arial"/>
          <w:lang w:val="sq-AL"/>
        </w:rPr>
        <w:t xml:space="preserve">otpada mogu organizovati i funkcionisati na različitim mjestima. Ove razlike, ponekad poznate kao preduslovi za planiranje otpada, </w:t>
      </w:r>
      <w:r w:rsidRPr="002A6F4E">
        <w:rPr>
          <w:rFonts w:ascii="Arial" w:hAnsi="Arial" w:cs="Arial"/>
          <w:lang w:val="sq-AL"/>
        </w:rPr>
        <w:lastRenderedPageBreak/>
        <w:t xml:space="preserve">treba da se pravilno razumiju prije nego što se započne aktivnost </w:t>
      </w:r>
      <w:r w:rsidR="00B617CB">
        <w:rPr>
          <w:rFonts w:ascii="Arial" w:hAnsi="Arial" w:cs="Arial"/>
          <w:lang w:val="sq-AL"/>
        </w:rPr>
        <w:t>upravljanja</w:t>
      </w:r>
      <w:r w:rsidRPr="002A6F4E">
        <w:rPr>
          <w:rFonts w:ascii="Arial" w:hAnsi="Arial" w:cs="Arial"/>
          <w:lang w:val="sq-AL"/>
        </w:rPr>
        <w:t xml:space="preserve"> otpad</w:t>
      </w:r>
      <w:r w:rsidR="00B617CB">
        <w:rPr>
          <w:rFonts w:ascii="Arial" w:hAnsi="Arial" w:cs="Arial"/>
          <w:lang w:val="sq-AL"/>
        </w:rPr>
        <w:t>om</w:t>
      </w:r>
      <w:r w:rsidRPr="002A6F4E">
        <w:rPr>
          <w:rFonts w:ascii="Arial" w:hAnsi="Arial" w:cs="Arial"/>
          <w:lang w:val="sq-AL"/>
        </w:rPr>
        <w:t xml:space="preserve"> na određenom lokalitetu.</w:t>
      </w:r>
    </w:p>
    <w:p w14:paraId="1501C2D7" w14:textId="4891BAB7"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Opcije </w:t>
      </w:r>
      <w:r w:rsidR="00B617CB">
        <w:rPr>
          <w:rFonts w:ascii="Arial" w:hAnsi="Arial" w:cs="Arial"/>
          <w:lang w:val="sq-AL"/>
        </w:rPr>
        <w:t>obrade</w:t>
      </w:r>
      <w:r w:rsidRPr="002A6F4E">
        <w:rPr>
          <w:rFonts w:ascii="Arial" w:hAnsi="Arial" w:cs="Arial"/>
          <w:lang w:val="sq-AL"/>
        </w:rPr>
        <w:t xml:space="preserve"> otpada obuhvataju sljedeće procese: </w:t>
      </w:r>
      <w:r w:rsidR="00B617CB">
        <w:rPr>
          <w:rFonts w:ascii="Arial" w:hAnsi="Arial" w:cs="Arial"/>
          <w:lang w:val="sq-AL"/>
        </w:rPr>
        <w:t>manualni</w:t>
      </w:r>
      <w:r w:rsidRPr="002A6F4E">
        <w:rPr>
          <w:rFonts w:ascii="Arial" w:hAnsi="Arial" w:cs="Arial"/>
          <w:lang w:val="sq-AL"/>
        </w:rPr>
        <w:t xml:space="preserve"> – mehanički – biološki – termički.</w:t>
      </w:r>
    </w:p>
    <w:p w14:paraId="7F9C7D08" w14:textId="170CE593"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Prihvatljiva rješenja za </w:t>
      </w:r>
      <w:r w:rsidR="0032248E">
        <w:rPr>
          <w:rFonts w:ascii="Arial" w:hAnsi="Arial" w:cs="Arial"/>
          <w:lang w:val="sq-AL"/>
        </w:rPr>
        <w:t>obradu</w:t>
      </w:r>
      <w:r w:rsidR="0032248E" w:rsidRPr="002A6F4E">
        <w:rPr>
          <w:rFonts w:ascii="Arial" w:hAnsi="Arial" w:cs="Arial"/>
          <w:lang w:val="sq-AL"/>
        </w:rPr>
        <w:t xml:space="preserve"> </w:t>
      </w:r>
      <w:r w:rsidRPr="002A6F4E">
        <w:rPr>
          <w:rFonts w:ascii="Arial" w:hAnsi="Arial" w:cs="Arial"/>
          <w:lang w:val="sq-AL"/>
        </w:rPr>
        <w:t xml:space="preserve">otpada će vjerovatno podrazumijevati niz ovih procesa. Pod pretpostavkom da su koraci prevencije </w:t>
      </w:r>
      <w:r w:rsidR="00B617CB">
        <w:rPr>
          <w:rFonts w:ascii="Arial" w:hAnsi="Arial" w:cs="Arial"/>
          <w:lang w:val="sq-AL"/>
        </w:rPr>
        <w:t>sprovedeni</w:t>
      </w:r>
      <w:r w:rsidRPr="002A6F4E">
        <w:rPr>
          <w:rFonts w:ascii="Arial" w:hAnsi="Arial" w:cs="Arial"/>
          <w:lang w:val="sq-AL"/>
        </w:rPr>
        <w:t xml:space="preserve">, onda su tehnike odvajanja  na izvoru – koje su oblik </w:t>
      </w:r>
      <w:r w:rsidR="0032248E">
        <w:rPr>
          <w:rFonts w:ascii="Arial" w:hAnsi="Arial" w:cs="Arial"/>
          <w:lang w:val="sq-AL"/>
        </w:rPr>
        <w:t>obrade</w:t>
      </w:r>
      <w:r w:rsidR="0032248E" w:rsidRPr="002A6F4E">
        <w:rPr>
          <w:rFonts w:ascii="Arial" w:hAnsi="Arial" w:cs="Arial"/>
          <w:lang w:val="sq-AL"/>
        </w:rPr>
        <w:t xml:space="preserve"> </w:t>
      </w:r>
      <w:r w:rsidRPr="002A6F4E">
        <w:rPr>
          <w:rFonts w:ascii="Arial" w:hAnsi="Arial" w:cs="Arial"/>
          <w:lang w:val="sq-AL"/>
        </w:rPr>
        <w:t>otpada– sljedeći poželjni koraci tamo gdje je to tehnički moguće. Inicijative za odvajanje na izvoru stvaraju najkvalitetnije reciklabilne materijale jer je spriječena kontaminacija komponenti koje se mogu reciklirati.</w:t>
      </w:r>
    </w:p>
    <w:p w14:paraId="31758E53" w14:textId="676337B5"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Količine otpada preusmjerene sa deponije putem odvojenog sakupljanja, recikl</w:t>
      </w:r>
      <w:r w:rsidR="0032248E">
        <w:rPr>
          <w:rFonts w:ascii="Arial" w:hAnsi="Arial" w:cs="Arial"/>
          <w:lang w:val="sq-AL"/>
        </w:rPr>
        <w:t>iranja</w:t>
      </w:r>
      <w:r w:rsidRPr="002A6F4E">
        <w:rPr>
          <w:rFonts w:ascii="Arial" w:hAnsi="Arial" w:cs="Arial"/>
          <w:lang w:val="sq-AL"/>
        </w:rPr>
        <w:t xml:space="preserve"> i biološk</w:t>
      </w:r>
      <w:r w:rsidR="0032248E">
        <w:rPr>
          <w:rFonts w:ascii="Arial" w:hAnsi="Arial" w:cs="Arial"/>
          <w:lang w:val="sq-AL"/>
        </w:rPr>
        <w:t>e</w:t>
      </w:r>
      <w:r w:rsidRPr="002A6F4E">
        <w:rPr>
          <w:rFonts w:ascii="Arial" w:hAnsi="Arial" w:cs="Arial"/>
          <w:lang w:val="sq-AL"/>
        </w:rPr>
        <w:t xml:space="preserve"> </w:t>
      </w:r>
      <w:r w:rsidR="0032248E">
        <w:rPr>
          <w:rFonts w:ascii="Arial" w:hAnsi="Arial" w:cs="Arial"/>
          <w:lang w:val="sq-AL"/>
        </w:rPr>
        <w:t>obrade</w:t>
      </w:r>
      <w:r w:rsidRPr="002A6F4E">
        <w:rPr>
          <w:rFonts w:ascii="Arial" w:hAnsi="Arial" w:cs="Arial"/>
          <w:lang w:val="sq-AL"/>
        </w:rPr>
        <w:t xml:space="preserve"> i dalje neće biti dovoljne da u potpunosti premoste jaz između generisanja komunalnog otpada i </w:t>
      </w:r>
      <w:r w:rsidR="00B617CB">
        <w:rPr>
          <w:rFonts w:ascii="Arial" w:hAnsi="Arial" w:cs="Arial"/>
          <w:lang w:val="sq-AL"/>
        </w:rPr>
        <w:t xml:space="preserve">zadatih </w:t>
      </w:r>
      <w:r w:rsidRPr="002A6F4E">
        <w:rPr>
          <w:rFonts w:ascii="Arial" w:hAnsi="Arial" w:cs="Arial"/>
          <w:lang w:val="sq-AL"/>
        </w:rPr>
        <w:t>ciljeva. Postizanje ciljeva će stoga zahtijevati da se određeni dio ostataka, koji nije pogodan za recikl</w:t>
      </w:r>
      <w:r w:rsidR="0032248E">
        <w:rPr>
          <w:rFonts w:ascii="Arial" w:hAnsi="Arial" w:cs="Arial"/>
          <w:lang w:val="sq-AL"/>
        </w:rPr>
        <w:t>iranje</w:t>
      </w:r>
      <w:r w:rsidRPr="002A6F4E">
        <w:rPr>
          <w:rFonts w:ascii="Arial" w:hAnsi="Arial" w:cs="Arial"/>
          <w:lang w:val="sq-AL"/>
        </w:rPr>
        <w:t xml:space="preserve"> ili biološk</w:t>
      </w:r>
      <w:r w:rsidR="0032248E">
        <w:rPr>
          <w:rFonts w:ascii="Arial" w:hAnsi="Arial" w:cs="Arial"/>
          <w:lang w:val="sq-AL"/>
        </w:rPr>
        <w:t>u</w:t>
      </w:r>
      <w:r w:rsidRPr="002A6F4E">
        <w:rPr>
          <w:rFonts w:ascii="Arial" w:hAnsi="Arial" w:cs="Arial"/>
          <w:lang w:val="sq-AL"/>
        </w:rPr>
        <w:t xml:space="preserve"> </w:t>
      </w:r>
      <w:r w:rsidR="0032248E">
        <w:rPr>
          <w:rFonts w:ascii="Arial" w:hAnsi="Arial" w:cs="Arial"/>
          <w:lang w:val="sq-AL"/>
        </w:rPr>
        <w:t>obradu</w:t>
      </w:r>
      <w:r w:rsidR="0032248E" w:rsidRPr="002A6F4E">
        <w:rPr>
          <w:rFonts w:ascii="Arial" w:hAnsi="Arial" w:cs="Arial"/>
          <w:lang w:val="sq-AL"/>
        </w:rPr>
        <w:t xml:space="preserve"> </w:t>
      </w:r>
      <w:r w:rsidRPr="002A6F4E">
        <w:rPr>
          <w:rFonts w:ascii="Arial" w:hAnsi="Arial" w:cs="Arial"/>
          <w:lang w:val="sq-AL"/>
        </w:rPr>
        <w:t xml:space="preserve">ili se ne sakuplja odvojeno, </w:t>
      </w:r>
      <w:r w:rsidR="00B617CB">
        <w:rPr>
          <w:rFonts w:ascii="Arial" w:hAnsi="Arial" w:cs="Arial"/>
          <w:lang w:val="sq-AL"/>
        </w:rPr>
        <w:t>prerađuje</w:t>
      </w:r>
      <w:r w:rsidRPr="002A6F4E">
        <w:rPr>
          <w:rFonts w:ascii="Arial" w:hAnsi="Arial" w:cs="Arial"/>
          <w:lang w:val="sq-AL"/>
        </w:rPr>
        <w:t xml:space="preserve"> prije odlaganja na deponiju. Identifikovane su dvije opšte kategorije </w:t>
      </w:r>
      <w:r w:rsidR="0032248E">
        <w:rPr>
          <w:rFonts w:ascii="Arial" w:hAnsi="Arial" w:cs="Arial"/>
          <w:lang w:val="sq-AL"/>
        </w:rPr>
        <w:t>obrade</w:t>
      </w:r>
      <w:r w:rsidR="0032248E" w:rsidRPr="002A6F4E">
        <w:rPr>
          <w:rFonts w:ascii="Arial" w:hAnsi="Arial" w:cs="Arial"/>
          <w:lang w:val="sq-AL"/>
        </w:rPr>
        <w:t xml:space="preserve"> </w:t>
      </w:r>
      <w:r w:rsidRPr="002A6F4E">
        <w:rPr>
          <w:rFonts w:ascii="Arial" w:hAnsi="Arial" w:cs="Arial"/>
          <w:lang w:val="sq-AL"/>
        </w:rPr>
        <w:t>za ovaj materijal:</w:t>
      </w:r>
    </w:p>
    <w:p w14:paraId="05E1C7B8" w14:textId="04902616" w:rsidR="00C232D7" w:rsidRPr="002A6F4E" w:rsidRDefault="00C232D7" w:rsidP="00A23ED0">
      <w:pPr>
        <w:pStyle w:val="ListParagraph"/>
        <w:numPr>
          <w:ilvl w:val="0"/>
          <w:numId w:val="61"/>
        </w:numPr>
        <w:spacing w:before="120" w:after="120" w:line="360" w:lineRule="auto"/>
        <w:contextualSpacing w:val="0"/>
        <w:rPr>
          <w:rFonts w:ascii="Arial" w:hAnsi="Arial" w:cs="Arial"/>
          <w:lang w:val="sq-AL"/>
        </w:rPr>
      </w:pPr>
      <w:r w:rsidRPr="002A6F4E">
        <w:rPr>
          <w:rFonts w:ascii="Arial" w:hAnsi="Arial" w:cs="Arial"/>
          <w:lang w:val="sq-AL"/>
        </w:rPr>
        <w:t>Mehanički biološki tretman (MBT)</w:t>
      </w:r>
      <w:r w:rsidR="00B617CB">
        <w:rPr>
          <w:rFonts w:ascii="Arial" w:hAnsi="Arial" w:cs="Arial"/>
          <w:lang w:val="sq-AL"/>
        </w:rPr>
        <w:t>,</w:t>
      </w:r>
    </w:p>
    <w:p w14:paraId="41B78ED9" w14:textId="2911C647" w:rsidR="00C232D7" w:rsidRPr="002A6F4E" w:rsidRDefault="00C232D7" w:rsidP="00A23ED0">
      <w:pPr>
        <w:pStyle w:val="ListParagraph"/>
        <w:numPr>
          <w:ilvl w:val="0"/>
          <w:numId w:val="61"/>
        </w:numPr>
        <w:spacing w:before="120" w:after="120" w:line="360" w:lineRule="auto"/>
        <w:contextualSpacing w:val="0"/>
        <w:rPr>
          <w:rFonts w:ascii="Arial" w:hAnsi="Arial" w:cs="Arial"/>
          <w:lang w:val="sq-AL"/>
        </w:rPr>
      </w:pPr>
      <w:r w:rsidRPr="002A6F4E">
        <w:rPr>
          <w:rFonts w:ascii="Arial" w:hAnsi="Arial" w:cs="Arial"/>
          <w:lang w:val="sq-AL"/>
        </w:rPr>
        <w:t>Termički tretman sa povratom energije</w:t>
      </w:r>
      <w:r w:rsidR="00B617CB">
        <w:rPr>
          <w:rFonts w:ascii="Arial" w:hAnsi="Arial" w:cs="Arial"/>
          <w:lang w:val="sq-AL"/>
        </w:rPr>
        <w:t>.</w:t>
      </w:r>
    </w:p>
    <w:p w14:paraId="39EFECBB" w14:textId="29F052AF" w:rsidR="00C232D7" w:rsidRPr="002A6F4E" w:rsidRDefault="00C232D7" w:rsidP="00C232D7">
      <w:pPr>
        <w:spacing w:before="120" w:after="120" w:line="360" w:lineRule="auto"/>
        <w:ind w:left="46"/>
        <w:rPr>
          <w:rFonts w:ascii="Arial" w:hAnsi="Arial" w:cs="Arial"/>
          <w:lang w:val="sq-AL"/>
        </w:rPr>
      </w:pPr>
      <w:r w:rsidRPr="002A6F4E">
        <w:rPr>
          <w:rFonts w:ascii="Arial" w:hAnsi="Arial" w:cs="Arial"/>
          <w:lang w:val="sq-AL"/>
        </w:rPr>
        <w:t xml:space="preserve">Primjena </w:t>
      </w:r>
      <w:r w:rsidR="0032248E">
        <w:rPr>
          <w:rFonts w:ascii="Arial" w:hAnsi="Arial" w:cs="Arial"/>
          <w:lang w:val="sq-AL"/>
        </w:rPr>
        <w:t>obrade</w:t>
      </w:r>
      <w:r w:rsidR="0032248E" w:rsidRPr="002A6F4E">
        <w:rPr>
          <w:rFonts w:ascii="Arial" w:hAnsi="Arial" w:cs="Arial"/>
          <w:lang w:val="sq-AL"/>
        </w:rPr>
        <w:t xml:space="preserve"> </w:t>
      </w:r>
      <w:r w:rsidRPr="002A6F4E">
        <w:rPr>
          <w:rFonts w:ascii="Arial" w:hAnsi="Arial" w:cs="Arial"/>
          <w:lang w:val="sq-AL"/>
        </w:rPr>
        <w:t>otpada će smanjiti uticaj upravljanja otpadom na životnu sredinu i uticaj troškova depon</w:t>
      </w:r>
      <w:r w:rsidR="00B617CB">
        <w:rPr>
          <w:rFonts w:ascii="Arial" w:hAnsi="Arial" w:cs="Arial"/>
          <w:lang w:val="sq-AL"/>
        </w:rPr>
        <w:t>ovanja</w:t>
      </w:r>
      <w:r w:rsidRPr="002A6F4E">
        <w:rPr>
          <w:rFonts w:ascii="Arial" w:hAnsi="Arial" w:cs="Arial"/>
          <w:lang w:val="sq-AL"/>
        </w:rPr>
        <w:t xml:space="preserve"> na ukupne troškove usluga upravljanja otpadom, dok će se dodatni prihodi od materijala, električne energije i toplote (gdje je primjenjivo) povratiti.</w:t>
      </w:r>
    </w:p>
    <w:p w14:paraId="445989DD" w14:textId="599071F4" w:rsidR="00C232D7" w:rsidRPr="002A6F4E" w:rsidRDefault="00C232D7" w:rsidP="00C232D7">
      <w:pPr>
        <w:spacing w:before="120" w:after="120" w:line="360" w:lineRule="auto"/>
        <w:ind w:left="46"/>
        <w:rPr>
          <w:rFonts w:ascii="Arial" w:hAnsi="Arial" w:cs="Arial"/>
          <w:lang w:val="sq-AL"/>
        </w:rPr>
      </w:pPr>
      <w:r w:rsidRPr="002A6F4E">
        <w:rPr>
          <w:rFonts w:ascii="Arial" w:hAnsi="Arial" w:cs="Arial"/>
          <w:lang w:val="sq-AL"/>
        </w:rPr>
        <w:t>Tehnologija MBT opisuje upotrebu inženjerskih tehnika i biološk</w:t>
      </w:r>
      <w:r w:rsidR="0032248E">
        <w:rPr>
          <w:rFonts w:ascii="Arial" w:hAnsi="Arial" w:cs="Arial"/>
          <w:lang w:val="sq-AL"/>
        </w:rPr>
        <w:t>u obradu</w:t>
      </w:r>
      <w:r w:rsidRPr="002A6F4E">
        <w:rPr>
          <w:rFonts w:ascii="Arial" w:hAnsi="Arial" w:cs="Arial"/>
          <w:lang w:val="sq-AL"/>
        </w:rPr>
        <w:t xml:space="preserve"> otpada. Pored toga, specifična tehnologija danas pruža nekoliko varijanti koje su definisane metodom biološkog procesa koji se koristi. Postoji razlika između aerobnog i anaerobnog MBT. Prvi (a) tretman koristi tretman kompostom, dok drugi (b) koristi anaerobnu digestiju. Postoji i treći (c) tretman koji se zove biološk</w:t>
      </w:r>
      <w:r w:rsidR="00D05D58">
        <w:rPr>
          <w:rFonts w:ascii="Arial" w:hAnsi="Arial" w:cs="Arial"/>
          <w:lang w:val="sq-AL"/>
        </w:rPr>
        <w:t>a stabilizacija/</w:t>
      </w:r>
      <w:r w:rsidRPr="002A6F4E">
        <w:rPr>
          <w:rFonts w:ascii="Arial" w:hAnsi="Arial" w:cs="Arial"/>
          <w:lang w:val="sq-AL"/>
        </w:rPr>
        <w:t>sušenje, koji je takođe aerobni proces. Određen</w:t>
      </w:r>
      <w:r w:rsidR="00543684">
        <w:rPr>
          <w:rFonts w:ascii="Arial" w:hAnsi="Arial" w:cs="Arial"/>
          <w:lang w:val="sq-AL"/>
        </w:rPr>
        <w:t>a</w:t>
      </w:r>
      <w:r w:rsidRPr="002A6F4E">
        <w:rPr>
          <w:rFonts w:ascii="Arial" w:hAnsi="Arial" w:cs="Arial"/>
          <w:lang w:val="sq-AL"/>
        </w:rPr>
        <w:t xml:space="preserve"> </w:t>
      </w:r>
      <w:r w:rsidR="00543684">
        <w:rPr>
          <w:rFonts w:ascii="Arial" w:hAnsi="Arial" w:cs="Arial"/>
          <w:lang w:val="sq-AL"/>
        </w:rPr>
        <w:t>obrada</w:t>
      </w:r>
      <w:r w:rsidRPr="002A6F4E">
        <w:rPr>
          <w:rFonts w:ascii="Arial" w:hAnsi="Arial" w:cs="Arial"/>
          <w:lang w:val="sq-AL"/>
        </w:rPr>
        <w:t xml:space="preserve"> spada pod okrilje MBT, međutim u stvarnosti specifič</w:t>
      </w:r>
      <w:r w:rsidR="00543684">
        <w:rPr>
          <w:rFonts w:ascii="Arial" w:hAnsi="Arial" w:cs="Arial"/>
          <w:lang w:val="sq-AL"/>
        </w:rPr>
        <w:t>na obrada</w:t>
      </w:r>
      <w:r w:rsidRPr="002A6F4E">
        <w:rPr>
          <w:rFonts w:ascii="Arial" w:hAnsi="Arial" w:cs="Arial"/>
          <w:lang w:val="sq-AL"/>
        </w:rPr>
        <w:t xml:space="preserve"> predstavlja višestruku raznolikost u poređenju sa prethodno pomenutim tehnologijama. Ova ideja se zasniva na činjenici da se biološka faza instalacije odvija prije mehaničk</w:t>
      </w:r>
      <w:r w:rsidR="00543684">
        <w:rPr>
          <w:rFonts w:ascii="Arial" w:hAnsi="Arial" w:cs="Arial"/>
          <w:lang w:val="sq-AL"/>
        </w:rPr>
        <w:t>e</w:t>
      </w:r>
      <w:r w:rsidRPr="002A6F4E">
        <w:rPr>
          <w:rFonts w:ascii="Arial" w:hAnsi="Arial" w:cs="Arial"/>
          <w:lang w:val="sq-AL"/>
        </w:rPr>
        <w:t xml:space="preserve"> </w:t>
      </w:r>
      <w:r w:rsidR="00543684">
        <w:rPr>
          <w:rFonts w:ascii="Arial" w:hAnsi="Arial" w:cs="Arial"/>
          <w:lang w:val="sq-AL"/>
        </w:rPr>
        <w:t>obrade</w:t>
      </w:r>
      <w:r w:rsidR="00543684" w:rsidRPr="002A6F4E">
        <w:rPr>
          <w:rFonts w:ascii="Arial" w:hAnsi="Arial" w:cs="Arial"/>
          <w:lang w:val="sq-AL"/>
        </w:rPr>
        <w:t xml:space="preserve"> </w:t>
      </w:r>
      <w:r w:rsidRPr="002A6F4E">
        <w:rPr>
          <w:rFonts w:ascii="Arial" w:hAnsi="Arial" w:cs="Arial"/>
          <w:lang w:val="sq-AL"/>
        </w:rPr>
        <w:t>i njen isključivi cilj je proizvodnja obnovljivog goriva koj</w:t>
      </w:r>
      <w:r w:rsidR="00B617CB">
        <w:rPr>
          <w:rFonts w:ascii="Arial" w:hAnsi="Arial" w:cs="Arial"/>
          <w:lang w:val="sq-AL"/>
        </w:rPr>
        <w:t>e</w:t>
      </w:r>
      <w:r w:rsidRPr="002A6F4E">
        <w:rPr>
          <w:rFonts w:ascii="Arial" w:hAnsi="Arial" w:cs="Arial"/>
          <w:lang w:val="sq-AL"/>
        </w:rPr>
        <w:t xml:space="preserve"> će se koristiti u energetski intenzivnim industrijama ili direktno spaljivati za proizvodnju energije/toplote.</w:t>
      </w:r>
    </w:p>
    <w:p w14:paraId="3A0ACB83" w14:textId="4CCE259A" w:rsidR="00C232D7" w:rsidRPr="002A6F4E" w:rsidRDefault="00C232D7" w:rsidP="00C232D7">
      <w:pPr>
        <w:spacing w:before="120" w:after="120" w:line="360" w:lineRule="auto"/>
        <w:ind w:left="46"/>
        <w:rPr>
          <w:rFonts w:ascii="Arial" w:hAnsi="Arial" w:cs="Arial"/>
          <w:lang w:val="sq-AL"/>
        </w:rPr>
      </w:pPr>
      <w:r w:rsidRPr="002A6F4E">
        <w:rPr>
          <w:rFonts w:ascii="Arial" w:hAnsi="Arial" w:cs="Arial"/>
          <w:lang w:val="sq-AL"/>
        </w:rPr>
        <w:t>Kombinovane jedinice MBT mogu da obrađuju mj</w:t>
      </w:r>
      <w:r w:rsidR="00543684">
        <w:rPr>
          <w:rFonts w:ascii="Arial" w:hAnsi="Arial" w:cs="Arial"/>
          <w:lang w:val="sq-AL"/>
        </w:rPr>
        <w:t>iješani</w:t>
      </w:r>
      <w:r w:rsidRPr="002A6F4E">
        <w:rPr>
          <w:rFonts w:ascii="Arial" w:hAnsi="Arial" w:cs="Arial"/>
          <w:lang w:val="sq-AL"/>
        </w:rPr>
        <w:t>i komunalni otpad kao i unaprijed odabrane tokove kako bi proizveli materijale koji se mogu reciklirati. Takođe, u zavisnosti od tipa objekta, jedinice MBT mogu da obezbijede kao finalni proizvod gorivo dobijeno od otpada (RDF) i gorivo dobijeno iz otpada  (SRF).</w:t>
      </w:r>
    </w:p>
    <w:p w14:paraId="4B2E2D77" w14:textId="4992E139" w:rsidR="00C232D7" w:rsidRPr="002A6F4E" w:rsidRDefault="00543684" w:rsidP="00C232D7">
      <w:pPr>
        <w:spacing w:before="120" w:after="120" w:line="360" w:lineRule="auto"/>
        <w:ind w:left="46"/>
        <w:rPr>
          <w:rFonts w:ascii="Arial" w:hAnsi="Arial" w:cs="Arial"/>
          <w:lang w:val="sq-AL"/>
        </w:rPr>
      </w:pPr>
      <w:r>
        <w:rPr>
          <w:rFonts w:ascii="Arial" w:hAnsi="Arial" w:cs="Arial"/>
          <w:lang w:val="sq-AL"/>
        </w:rPr>
        <w:t>Obrada</w:t>
      </w:r>
      <w:r w:rsidRPr="002A6F4E">
        <w:rPr>
          <w:rFonts w:ascii="Arial" w:hAnsi="Arial" w:cs="Arial"/>
          <w:lang w:val="sq-AL"/>
        </w:rPr>
        <w:t xml:space="preserve"> </w:t>
      </w:r>
      <w:r w:rsidR="00C232D7" w:rsidRPr="002A6F4E">
        <w:rPr>
          <w:rFonts w:ascii="Arial" w:hAnsi="Arial" w:cs="Arial"/>
          <w:lang w:val="sq-AL"/>
        </w:rPr>
        <w:t>otpada (bilo preko MBT ili postupka pretvaranja otpada u energiju) doprinosi borbi protiv klimatskih promjena kroz smanjenje gasova staklene bašte u poređenju sa odlaganjem neobrađenog otpada. Konkretnije, odlaganje m</w:t>
      </w:r>
      <w:r>
        <w:rPr>
          <w:rFonts w:ascii="Arial" w:hAnsi="Arial" w:cs="Arial"/>
          <w:lang w:val="sq-AL"/>
        </w:rPr>
        <w:t>iješanog</w:t>
      </w:r>
      <w:r w:rsidR="00C232D7" w:rsidRPr="002A6F4E">
        <w:rPr>
          <w:rFonts w:ascii="Arial" w:hAnsi="Arial" w:cs="Arial"/>
          <w:lang w:val="sq-AL"/>
        </w:rPr>
        <w:t xml:space="preserve"> otpada povezano je sa emisijama gasova staklene bašte putem stvaranja i disperzije biogasa (tj. metana) u atmosferi i zbog potrošnje energije. </w:t>
      </w:r>
      <w:r w:rsidR="00D05D58">
        <w:rPr>
          <w:rFonts w:ascii="Arial" w:hAnsi="Arial" w:cs="Arial"/>
          <w:lang w:val="sq-AL"/>
        </w:rPr>
        <w:t>Obrada</w:t>
      </w:r>
      <w:r w:rsidR="00C232D7" w:rsidRPr="002A6F4E">
        <w:rPr>
          <w:rFonts w:ascii="Arial" w:hAnsi="Arial" w:cs="Arial"/>
          <w:lang w:val="sq-AL"/>
        </w:rPr>
        <w:t xml:space="preserve"> otpada dovodi do smanjenja odloženog biorazgradivog otpada (tj. minimiziranje proizvodnje biogasa) čime se smanjuju emisije gasova staklene bašte. Tehnologije kao što su pretvaranje otpada u energiju ili anaerobna digestija </w:t>
      </w:r>
      <w:r w:rsidR="00C232D7" w:rsidRPr="002A6F4E">
        <w:rPr>
          <w:rFonts w:ascii="Arial" w:hAnsi="Arial" w:cs="Arial"/>
          <w:lang w:val="sq-AL"/>
        </w:rPr>
        <w:lastRenderedPageBreak/>
        <w:t>koje su povezane sa proizvodnjom energije iz otpada, dodatno doprinose emisijama gasova staklene bašte usljed zamjene fosilnih goriva sa nefosilnim gorivima radi smanjenja energije. U ovom pogledu:</w:t>
      </w:r>
    </w:p>
    <w:p w14:paraId="45931602" w14:textId="3134B4C9" w:rsidR="00C232D7" w:rsidRPr="002A6F4E" w:rsidRDefault="00C232D7" w:rsidP="00A23ED0">
      <w:pPr>
        <w:pStyle w:val="ListParagraph"/>
        <w:numPr>
          <w:ilvl w:val="0"/>
          <w:numId w:val="60"/>
        </w:numPr>
        <w:spacing w:before="120" w:after="120" w:line="360" w:lineRule="auto"/>
        <w:contextualSpacing w:val="0"/>
        <w:rPr>
          <w:rFonts w:ascii="Arial" w:hAnsi="Arial" w:cs="Arial"/>
          <w:lang w:val="sq-AL"/>
        </w:rPr>
      </w:pPr>
      <w:r w:rsidRPr="002A6F4E">
        <w:rPr>
          <w:rFonts w:ascii="Arial" w:hAnsi="Arial" w:cs="Arial"/>
          <w:lang w:val="sq-AL"/>
        </w:rPr>
        <w:t>Približno 89 kg CO</w:t>
      </w:r>
      <w:r w:rsidRPr="002A6F4E">
        <w:rPr>
          <w:rFonts w:ascii="Arial" w:hAnsi="Arial" w:cs="Arial"/>
          <w:vertAlign w:val="subscript"/>
          <w:lang w:val="sq-AL"/>
        </w:rPr>
        <w:t>2-eq</w:t>
      </w:r>
      <w:r w:rsidRPr="002A6F4E">
        <w:rPr>
          <w:rFonts w:ascii="Arial" w:hAnsi="Arial" w:cs="Arial"/>
          <w:vertAlign w:val="superscript"/>
          <w:lang w:val="sq-AL"/>
        </w:rPr>
        <w:t>/</w:t>
      </w:r>
      <w:r w:rsidRPr="002A6F4E">
        <w:rPr>
          <w:rFonts w:ascii="Arial" w:hAnsi="Arial" w:cs="Arial"/>
          <w:lang w:val="sq-AL"/>
        </w:rPr>
        <w:t>t otpada se uštedi biološk</w:t>
      </w:r>
      <w:r w:rsidR="00CD60B6">
        <w:rPr>
          <w:rFonts w:ascii="Arial" w:hAnsi="Arial" w:cs="Arial"/>
          <w:lang w:val="sq-AL"/>
        </w:rPr>
        <w:t>o</w:t>
      </w:r>
      <w:r w:rsidRPr="002A6F4E">
        <w:rPr>
          <w:rFonts w:ascii="Arial" w:hAnsi="Arial" w:cs="Arial"/>
          <w:lang w:val="sq-AL"/>
        </w:rPr>
        <w:t xml:space="preserve">m </w:t>
      </w:r>
      <w:r w:rsidR="00CD60B6">
        <w:rPr>
          <w:rFonts w:ascii="Arial" w:hAnsi="Arial" w:cs="Arial"/>
          <w:lang w:val="sq-AL"/>
        </w:rPr>
        <w:t>obradom</w:t>
      </w:r>
      <w:r w:rsidR="00CD60B6" w:rsidRPr="002A6F4E">
        <w:rPr>
          <w:rFonts w:ascii="Arial" w:hAnsi="Arial" w:cs="Arial"/>
          <w:lang w:val="sq-AL"/>
        </w:rPr>
        <w:t xml:space="preserve"> </w:t>
      </w:r>
      <w:r w:rsidR="00D05D58">
        <w:rPr>
          <w:rFonts w:ascii="Arial" w:hAnsi="Arial" w:cs="Arial"/>
          <w:lang w:val="sq-AL"/>
        </w:rPr>
        <w:t>miješanog</w:t>
      </w:r>
      <w:r w:rsidRPr="002A6F4E">
        <w:rPr>
          <w:rFonts w:ascii="Arial" w:hAnsi="Arial" w:cs="Arial"/>
          <w:lang w:val="sq-AL"/>
        </w:rPr>
        <w:t xml:space="preserve"> otpada u poređenju sa odlaganjem;</w:t>
      </w:r>
    </w:p>
    <w:p w14:paraId="36C01428" w14:textId="30E2A2ED" w:rsidR="00C232D7" w:rsidRPr="002A6F4E" w:rsidRDefault="00C232D7" w:rsidP="00A23ED0">
      <w:pPr>
        <w:pStyle w:val="ListParagraph"/>
        <w:numPr>
          <w:ilvl w:val="0"/>
          <w:numId w:val="60"/>
        </w:numPr>
        <w:spacing w:before="120" w:after="120" w:line="360" w:lineRule="auto"/>
        <w:contextualSpacing w:val="0"/>
        <w:rPr>
          <w:rFonts w:ascii="Arial" w:hAnsi="Arial" w:cs="Arial"/>
          <w:lang w:val="sq-AL"/>
        </w:rPr>
      </w:pPr>
      <w:r w:rsidRPr="002A6F4E">
        <w:rPr>
          <w:rFonts w:ascii="Arial" w:hAnsi="Arial" w:cs="Arial"/>
          <w:lang w:val="sq-AL"/>
        </w:rPr>
        <w:t>Približno 99 kg CO</w:t>
      </w:r>
      <w:r w:rsidRPr="002A6F4E">
        <w:rPr>
          <w:rFonts w:ascii="Arial" w:hAnsi="Arial" w:cs="Arial"/>
          <w:vertAlign w:val="subscript"/>
          <w:lang w:val="sq-AL"/>
        </w:rPr>
        <w:t>2-eq</w:t>
      </w:r>
      <w:r w:rsidRPr="002A6F4E">
        <w:rPr>
          <w:rFonts w:ascii="Arial" w:hAnsi="Arial" w:cs="Arial"/>
          <w:vertAlign w:val="superscript"/>
          <w:lang w:val="sq-AL"/>
        </w:rPr>
        <w:t>/</w:t>
      </w:r>
      <w:r w:rsidRPr="002A6F4E">
        <w:rPr>
          <w:rFonts w:ascii="Arial" w:hAnsi="Arial" w:cs="Arial"/>
          <w:lang w:val="sq-AL"/>
        </w:rPr>
        <w:t xml:space="preserve">t otpada se uštedi spaljivanjem </w:t>
      </w:r>
      <w:r w:rsidR="00D05D58">
        <w:rPr>
          <w:rFonts w:ascii="Arial" w:hAnsi="Arial" w:cs="Arial"/>
          <w:lang w:val="sq-AL"/>
        </w:rPr>
        <w:t>miješanog</w:t>
      </w:r>
      <w:r w:rsidRPr="002A6F4E">
        <w:rPr>
          <w:rFonts w:ascii="Arial" w:hAnsi="Arial" w:cs="Arial"/>
          <w:lang w:val="sq-AL"/>
        </w:rPr>
        <w:t xml:space="preserve"> otpada u poređenju sa odlaganjem;</w:t>
      </w:r>
    </w:p>
    <w:p w14:paraId="01D21CAD" w14:textId="77777777" w:rsidR="00C232D7" w:rsidRPr="002A6F4E" w:rsidRDefault="00C232D7" w:rsidP="00A23ED0">
      <w:pPr>
        <w:pStyle w:val="ListParagraph"/>
        <w:numPr>
          <w:ilvl w:val="0"/>
          <w:numId w:val="60"/>
        </w:numPr>
        <w:spacing w:before="120" w:after="120" w:line="360" w:lineRule="auto"/>
        <w:contextualSpacing w:val="0"/>
        <w:rPr>
          <w:rFonts w:ascii="Arial" w:hAnsi="Arial" w:cs="Arial"/>
          <w:lang w:val="sq-AL"/>
        </w:rPr>
      </w:pPr>
      <w:r w:rsidRPr="002A6F4E">
        <w:rPr>
          <w:rFonts w:ascii="Arial" w:hAnsi="Arial" w:cs="Arial"/>
          <w:lang w:val="sq-AL"/>
        </w:rPr>
        <w:t>Približno 0,78 kg CO</w:t>
      </w:r>
      <w:r w:rsidRPr="002A6F4E">
        <w:rPr>
          <w:rFonts w:ascii="Arial" w:hAnsi="Arial" w:cs="Arial"/>
          <w:vertAlign w:val="subscript"/>
          <w:lang w:val="sq-AL"/>
        </w:rPr>
        <w:t>2-eq</w:t>
      </w:r>
      <w:r w:rsidRPr="002A6F4E">
        <w:rPr>
          <w:rFonts w:ascii="Arial" w:hAnsi="Arial" w:cs="Arial"/>
          <w:vertAlign w:val="superscript"/>
          <w:lang w:val="sq-AL"/>
        </w:rPr>
        <w:t>/</w:t>
      </w:r>
      <w:r w:rsidRPr="002A6F4E">
        <w:rPr>
          <w:rFonts w:ascii="Arial" w:hAnsi="Arial" w:cs="Arial"/>
          <w:lang w:val="sq-AL"/>
        </w:rPr>
        <w:t>t energije proizvedene iz otpada se uštedi.</w:t>
      </w:r>
    </w:p>
    <w:p w14:paraId="74A2B9AA" w14:textId="489F3D73"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Prateći hijerarhiju otpada, ukoliko je </w:t>
      </w:r>
      <w:r w:rsidR="00D05D58">
        <w:rPr>
          <w:rFonts w:ascii="Arial" w:hAnsi="Arial" w:cs="Arial"/>
          <w:lang w:val="sq-AL"/>
        </w:rPr>
        <w:t>obrada</w:t>
      </w:r>
      <w:r w:rsidRPr="002A6F4E">
        <w:rPr>
          <w:rFonts w:ascii="Arial" w:hAnsi="Arial" w:cs="Arial"/>
          <w:lang w:val="sq-AL"/>
        </w:rPr>
        <w:t xml:space="preserve"> otpada </w:t>
      </w:r>
      <w:r w:rsidR="00D05D58">
        <w:rPr>
          <w:rFonts w:ascii="Arial" w:hAnsi="Arial" w:cs="Arial"/>
          <w:lang w:val="sq-AL"/>
        </w:rPr>
        <w:t xml:space="preserve">putem </w:t>
      </w:r>
      <w:r w:rsidRPr="002A6F4E">
        <w:rPr>
          <w:rFonts w:ascii="Arial" w:hAnsi="Arial" w:cs="Arial"/>
          <w:lang w:val="sq-AL"/>
        </w:rPr>
        <w:t>postrojenj</w:t>
      </w:r>
      <w:r w:rsidR="00D05D58">
        <w:rPr>
          <w:rFonts w:ascii="Arial" w:hAnsi="Arial" w:cs="Arial"/>
          <w:lang w:val="sq-AL"/>
        </w:rPr>
        <w:t>a</w:t>
      </w:r>
      <w:r w:rsidRPr="002A6F4E">
        <w:rPr>
          <w:rFonts w:ascii="Arial" w:hAnsi="Arial" w:cs="Arial"/>
          <w:lang w:val="sq-AL"/>
        </w:rPr>
        <w:t xml:space="preserve"> za </w:t>
      </w:r>
      <w:r w:rsidR="00D05D58">
        <w:rPr>
          <w:rFonts w:ascii="Arial" w:hAnsi="Arial" w:cs="Arial"/>
          <w:lang w:val="sq-AL"/>
        </w:rPr>
        <w:t>dobijanje</w:t>
      </w:r>
      <w:r w:rsidRPr="002A6F4E">
        <w:rPr>
          <w:rFonts w:ascii="Arial" w:hAnsi="Arial" w:cs="Arial"/>
          <w:lang w:val="sq-AL"/>
        </w:rPr>
        <w:t xml:space="preserve"> energije iz otpada, onda treba da se </w:t>
      </w:r>
      <w:r w:rsidR="00CD60B6">
        <w:rPr>
          <w:rFonts w:ascii="Arial" w:hAnsi="Arial" w:cs="Arial"/>
          <w:lang w:val="sq-AL"/>
        </w:rPr>
        <w:t>obrađuje</w:t>
      </w:r>
      <w:r w:rsidR="00CD60B6" w:rsidRPr="002A6F4E">
        <w:rPr>
          <w:rFonts w:ascii="Arial" w:hAnsi="Arial" w:cs="Arial"/>
          <w:lang w:val="sq-AL"/>
        </w:rPr>
        <w:t xml:space="preserve"> </w:t>
      </w:r>
      <w:r w:rsidRPr="002A6F4E">
        <w:rPr>
          <w:rFonts w:ascii="Arial" w:hAnsi="Arial" w:cs="Arial"/>
          <w:lang w:val="sq-AL"/>
        </w:rPr>
        <w:t>rezidualni tok otpada koji ostaje nakon procesa povrata materijala i recikl</w:t>
      </w:r>
      <w:r w:rsidR="00CD60B6">
        <w:rPr>
          <w:rFonts w:ascii="Arial" w:hAnsi="Arial" w:cs="Arial"/>
          <w:lang w:val="sq-AL"/>
        </w:rPr>
        <w:t>iranja</w:t>
      </w:r>
      <w:r w:rsidRPr="002A6F4E">
        <w:rPr>
          <w:rFonts w:ascii="Arial" w:hAnsi="Arial" w:cs="Arial"/>
          <w:lang w:val="sq-AL"/>
        </w:rPr>
        <w:t>. U ovom konteks</w:t>
      </w:r>
      <w:r w:rsidR="00D05D58">
        <w:rPr>
          <w:rFonts w:ascii="Arial" w:hAnsi="Arial" w:cs="Arial"/>
          <w:lang w:val="sq-AL"/>
        </w:rPr>
        <w:t>t</w:t>
      </w:r>
      <w:r w:rsidRPr="002A6F4E">
        <w:rPr>
          <w:rFonts w:ascii="Arial" w:hAnsi="Arial" w:cs="Arial"/>
          <w:lang w:val="sq-AL"/>
        </w:rPr>
        <w:t>u, rezidualni tok treba da ima odgovarajuću kalorijsku vrijednost. U zemljama sa visokim udjelom spaljivanja otpada (npr. Njemačka, Holandija, Belgija, Švedska, Austrija i Danska) stope recikl</w:t>
      </w:r>
      <w:r w:rsidR="00CD60B6">
        <w:rPr>
          <w:rFonts w:ascii="Arial" w:hAnsi="Arial" w:cs="Arial"/>
          <w:lang w:val="sq-AL"/>
        </w:rPr>
        <w:t>iranja</w:t>
      </w:r>
      <w:r w:rsidRPr="002A6F4E">
        <w:rPr>
          <w:rFonts w:ascii="Arial" w:hAnsi="Arial" w:cs="Arial"/>
          <w:lang w:val="sq-AL"/>
        </w:rPr>
        <w:t xml:space="preserve"> su visoke (oko 50%) i samo manji dio (&lt;5%) otpada se odlaže na deponije. Pored toga, ove zemlje su uspostavile programe prevencije otpada. Stoga:</w:t>
      </w:r>
    </w:p>
    <w:p w14:paraId="21B99E08" w14:textId="210A539B" w:rsidR="00C232D7" w:rsidRPr="002A6F4E" w:rsidRDefault="00C232D7" w:rsidP="00A23ED0">
      <w:pPr>
        <w:pStyle w:val="ListParagraph"/>
        <w:numPr>
          <w:ilvl w:val="0"/>
          <w:numId w:val="62"/>
        </w:numPr>
        <w:spacing w:before="120" w:after="120" w:line="360" w:lineRule="auto"/>
        <w:ind w:left="810"/>
        <w:contextualSpacing w:val="0"/>
        <w:rPr>
          <w:rFonts w:ascii="Arial" w:hAnsi="Arial" w:cs="Arial"/>
          <w:lang w:val="sq-AL"/>
        </w:rPr>
      </w:pPr>
      <w:r w:rsidRPr="002A6F4E">
        <w:rPr>
          <w:rFonts w:ascii="Arial" w:hAnsi="Arial" w:cs="Arial"/>
          <w:lang w:val="sq-AL"/>
        </w:rPr>
        <w:t>Važno je pažljivo osmisliti koji materijali će biti obnovljeni recikl</w:t>
      </w:r>
      <w:r w:rsidR="00CD60B6">
        <w:rPr>
          <w:rFonts w:ascii="Arial" w:hAnsi="Arial" w:cs="Arial"/>
          <w:lang w:val="sq-AL"/>
        </w:rPr>
        <w:t>iranjem</w:t>
      </w:r>
      <w:r w:rsidRPr="002A6F4E">
        <w:rPr>
          <w:rFonts w:ascii="Arial" w:hAnsi="Arial" w:cs="Arial"/>
          <w:lang w:val="sq-AL"/>
        </w:rPr>
        <w:t xml:space="preserve"> i MBT postrojenjima, a koji neće;</w:t>
      </w:r>
    </w:p>
    <w:p w14:paraId="68F05944" w14:textId="69CB811D" w:rsidR="00C232D7" w:rsidRPr="002A6F4E" w:rsidRDefault="00C232D7" w:rsidP="00A23ED0">
      <w:pPr>
        <w:pStyle w:val="ListParagraph"/>
        <w:numPr>
          <w:ilvl w:val="0"/>
          <w:numId w:val="62"/>
        </w:numPr>
        <w:spacing w:before="120" w:after="120" w:line="360" w:lineRule="auto"/>
        <w:ind w:left="810"/>
        <w:contextualSpacing w:val="0"/>
        <w:rPr>
          <w:rFonts w:ascii="Arial" w:hAnsi="Arial" w:cs="Arial"/>
          <w:lang w:val="sq-AL"/>
        </w:rPr>
      </w:pPr>
      <w:r w:rsidRPr="002A6F4E">
        <w:rPr>
          <w:rFonts w:ascii="Arial" w:hAnsi="Arial" w:cs="Arial"/>
          <w:lang w:val="sq-AL"/>
        </w:rPr>
        <w:t>Identifikovati osim ostataka komunalnog otpada, druge tokove koji bi se mogli koristiti za proizvodnju energije</w:t>
      </w:r>
      <w:r w:rsidR="00D05D58">
        <w:rPr>
          <w:rFonts w:ascii="Arial" w:hAnsi="Arial" w:cs="Arial"/>
          <w:lang w:val="sq-AL"/>
        </w:rPr>
        <w:t>.</w:t>
      </w:r>
    </w:p>
    <w:p w14:paraId="679D8707" w14:textId="243625B8"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S</w:t>
      </w:r>
      <w:r w:rsidR="00D05D58">
        <w:rPr>
          <w:rFonts w:ascii="Arial" w:hAnsi="Arial" w:cs="Arial"/>
          <w:lang w:val="sq-AL"/>
        </w:rPr>
        <w:t>W</w:t>
      </w:r>
      <w:r w:rsidRPr="002A6F4E">
        <w:rPr>
          <w:rFonts w:ascii="Arial" w:hAnsi="Arial" w:cs="Arial"/>
          <w:lang w:val="sq-AL"/>
        </w:rPr>
        <w:t xml:space="preserve">OT analiza koja se fokusira na različite vrste </w:t>
      </w:r>
      <w:r w:rsidR="00CD60B6">
        <w:rPr>
          <w:rFonts w:ascii="Arial" w:hAnsi="Arial" w:cs="Arial"/>
          <w:lang w:val="sq-AL"/>
        </w:rPr>
        <w:t>obrade</w:t>
      </w:r>
      <w:r w:rsidRPr="002A6F4E">
        <w:rPr>
          <w:rFonts w:ascii="Arial" w:hAnsi="Arial" w:cs="Arial"/>
          <w:lang w:val="sq-AL"/>
        </w:rPr>
        <w:t xml:space="preserve">. Ova analiza fokusira se na procjenu zajedničkih </w:t>
      </w:r>
      <w:r w:rsidR="00D05D58">
        <w:rPr>
          <w:rFonts w:ascii="Arial" w:hAnsi="Arial" w:cs="Arial"/>
          <w:lang w:val="sq-AL"/>
        </w:rPr>
        <w:t>prednosti</w:t>
      </w:r>
      <w:r w:rsidRPr="002A6F4E">
        <w:rPr>
          <w:rFonts w:ascii="Arial" w:hAnsi="Arial" w:cs="Arial"/>
          <w:lang w:val="sq-AL"/>
        </w:rPr>
        <w:t xml:space="preserve">, </w:t>
      </w:r>
      <w:r w:rsidR="00D05D58">
        <w:rPr>
          <w:rFonts w:ascii="Arial" w:hAnsi="Arial" w:cs="Arial"/>
          <w:lang w:val="sq-AL"/>
        </w:rPr>
        <w:t>nedostataka</w:t>
      </w:r>
      <w:r w:rsidRPr="002A6F4E">
        <w:rPr>
          <w:rFonts w:ascii="Arial" w:hAnsi="Arial" w:cs="Arial"/>
          <w:lang w:val="sq-AL"/>
        </w:rPr>
        <w:t>, prilika i pr</w:t>
      </w:r>
      <w:r w:rsidR="00D05D58">
        <w:rPr>
          <w:rFonts w:ascii="Arial" w:hAnsi="Arial" w:cs="Arial"/>
          <w:lang w:val="sq-AL"/>
        </w:rPr>
        <w:t>ij</w:t>
      </w:r>
      <w:r w:rsidRPr="002A6F4E">
        <w:rPr>
          <w:rFonts w:ascii="Arial" w:hAnsi="Arial" w:cs="Arial"/>
          <w:lang w:val="sq-AL"/>
        </w:rPr>
        <w:t>etnji različitih praksi, politika i vrsta postrojenja.</w:t>
      </w:r>
    </w:p>
    <w:p w14:paraId="21520504" w14:textId="45D0A0CC"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Sljedeći alternativni scenariji metoda </w:t>
      </w:r>
      <w:r w:rsidR="00D05D58">
        <w:rPr>
          <w:rFonts w:ascii="Arial" w:hAnsi="Arial" w:cs="Arial"/>
          <w:lang w:val="sq-AL"/>
        </w:rPr>
        <w:t>obrade</w:t>
      </w:r>
      <w:r w:rsidRPr="002A6F4E">
        <w:rPr>
          <w:rFonts w:ascii="Arial" w:hAnsi="Arial" w:cs="Arial"/>
          <w:lang w:val="sq-AL"/>
        </w:rPr>
        <w:t xml:space="preserve"> biće detaljnije analizirani:</w:t>
      </w:r>
    </w:p>
    <w:p w14:paraId="62972C63" w14:textId="77777777" w:rsidR="00C232D7" w:rsidRPr="002A6F4E" w:rsidRDefault="00C232D7" w:rsidP="00A23ED0">
      <w:pPr>
        <w:pStyle w:val="ListParagraph"/>
        <w:numPr>
          <w:ilvl w:val="0"/>
          <w:numId w:val="37"/>
        </w:numPr>
        <w:spacing w:before="120" w:after="120" w:line="360" w:lineRule="auto"/>
        <w:contextualSpacing w:val="0"/>
        <w:rPr>
          <w:rFonts w:ascii="Arial" w:hAnsi="Arial" w:cs="Arial"/>
          <w:lang w:val="sq-AL"/>
        </w:rPr>
      </w:pPr>
      <w:r w:rsidRPr="002A6F4E">
        <w:rPr>
          <w:rFonts w:ascii="Arial" w:hAnsi="Arial" w:cs="Arial"/>
          <w:lang w:val="sq-AL"/>
        </w:rPr>
        <w:t>Mehanički predtretman i biostabilizacija:</w:t>
      </w:r>
    </w:p>
    <w:p w14:paraId="5C8ECC2C" w14:textId="733E75A6" w:rsidR="00C232D7" w:rsidRPr="002A6F4E" w:rsidRDefault="00C232D7" w:rsidP="00A23ED0">
      <w:pPr>
        <w:pStyle w:val="ListParagraph"/>
        <w:numPr>
          <w:ilvl w:val="1"/>
          <w:numId w:val="37"/>
        </w:numPr>
        <w:spacing w:before="120" w:after="120" w:line="360" w:lineRule="auto"/>
        <w:contextualSpacing w:val="0"/>
        <w:rPr>
          <w:rFonts w:ascii="Arial" w:hAnsi="Arial" w:cs="Arial"/>
          <w:lang w:val="sq-AL"/>
        </w:rPr>
      </w:pPr>
      <w:r w:rsidRPr="002A6F4E">
        <w:rPr>
          <w:rFonts w:ascii="Arial" w:hAnsi="Arial" w:cs="Arial"/>
          <w:lang w:val="sq-AL"/>
        </w:rPr>
        <w:t>sa povratom višestrukih frakcija otpada koji se mogu reciklirati i proizvodnjom goriva dobijenog od otpada</w:t>
      </w:r>
      <w:r w:rsidR="00D05D58">
        <w:rPr>
          <w:rFonts w:ascii="Arial" w:hAnsi="Arial" w:cs="Arial"/>
          <w:lang w:val="sq-AL"/>
        </w:rPr>
        <w:t>,</w:t>
      </w:r>
    </w:p>
    <w:p w14:paraId="6D3B97A3" w14:textId="3E344855" w:rsidR="00C232D7" w:rsidRPr="002A6F4E" w:rsidRDefault="00C232D7" w:rsidP="00A23ED0">
      <w:pPr>
        <w:pStyle w:val="ListParagraph"/>
        <w:numPr>
          <w:ilvl w:val="1"/>
          <w:numId w:val="37"/>
        </w:numPr>
        <w:spacing w:before="120" w:after="120" w:line="360" w:lineRule="auto"/>
        <w:contextualSpacing w:val="0"/>
        <w:rPr>
          <w:rFonts w:ascii="Arial" w:hAnsi="Arial" w:cs="Arial"/>
          <w:lang w:val="sq-AL"/>
        </w:rPr>
      </w:pPr>
      <w:r w:rsidRPr="002A6F4E">
        <w:rPr>
          <w:rFonts w:ascii="Arial" w:hAnsi="Arial" w:cs="Arial"/>
          <w:lang w:val="sq-AL"/>
        </w:rPr>
        <w:t>sa  povratom  metala i bez proizvodnje RDF</w:t>
      </w:r>
      <w:r w:rsidR="00D05D58">
        <w:rPr>
          <w:rFonts w:ascii="Arial" w:hAnsi="Arial" w:cs="Arial"/>
          <w:lang w:val="sq-AL"/>
        </w:rPr>
        <w:t>.</w:t>
      </w:r>
    </w:p>
    <w:p w14:paraId="22353862" w14:textId="77777777" w:rsidR="00C232D7" w:rsidRPr="002A6F4E" w:rsidRDefault="00C232D7" w:rsidP="00A23ED0">
      <w:pPr>
        <w:pStyle w:val="ListParagraph"/>
        <w:numPr>
          <w:ilvl w:val="0"/>
          <w:numId w:val="37"/>
        </w:numPr>
        <w:spacing w:before="120" w:after="120" w:line="360" w:lineRule="auto"/>
        <w:contextualSpacing w:val="0"/>
        <w:rPr>
          <w:rFonts w:ascii="Arial" w:hAnsi="Arial" w:cs="Arial"/>
          <w:lang w:val="sq-AL"/>
        </w:rPr>
      </w:pPr>
      <w:r w:rsidRPr="002A6F4E">
        <w:rPr>
          <w:rFonts w:ascii="Arial" w:hAnsi="Arial" w:cs="Arial"/>
          <w:lang w:val="sq-AL"/>
        </w:rPr>
        <w:t>Mehanički predtretman i anaerobna digestija:</w:t>
      </w:r>
    </w:p>
    <w:p w14:paraId="6EC0DE4B" w14:textId="76C7B56C" w:rsidR="00C232D7" w:rsidRPr="002A6F4E" w:rsidRDefault="00C232D7" w:rsidP="00A23ED0">
      <w:pPr>
        <w:pStyle w:val="ListParagraph"/>
        <w:numPr>
          <w:ilvl w:val="1"/>
          <w:numId w:val="37"/>
        </w:numPr>
        <w:spacing w:before="120" w:after="120" w:line="360" w:lineRule="auto"/>
        <w:contextualSpacing w:val="0"/>
        <w:rPr>
          <w:rFonts w:ascii="Arial" w:hAnsi="Arial" w:cs="Arial"/>
          <w:lang w:val="sq-AL"/>
        </w:rPr>
      </w:pPr>
      <w:r w:rsidRPr="002A6F4E">
        <w:rPr>
          <w:rFonts w:ascii="Arial" w:hAnsi="Arial" w:cs="Arial"/>
          <w:lang w:val="sq-AL"/>
        </w:rPr>
        <w:t>sa povratom višestrukih frakcija otpada koji se mogu reciklirati i proizvodnjom goriva dobijenog iz otpada</w:t>
      </w:r>
      <w:r w:rsidR="00D05D58">
        <w:rPr>
          <w:rFonts w:ascii="Arial" w:hAnsi="Arial" w:cs="Arial"/>
          <w:lang w:val="sq-AL"/>
        </w:rPr>
        <w:t>,</w:t>
      </w:r>
    </w:p>
    <w:p w14:paraId="781CC327" w14:textId="6687FA8D" w:rsidR="00C232D7" w:rsidRPr="002A6F4E" w:rsidRDefault="00C232D7" w:rsidP="00A23ED0">
      <w:pPr>
        <w:pStyle w:val="ListParagraph"/>
        <w:numPr>
          <w:ilvl w:val="1"/>
          <w:numId w:val="37"/>
        </w:numPr>
        <w:spacing w:before="120" w:after="120" w:line="360" w:lineRule="auto"/>
        <w:contextualSpacing w:val="0"/>
        <w:rPr>
          <w:rFonts w:ascii="Arial" w:hAnsi="Arial" w:cs="Arial"/>
          <w:lang w:val="sq-AL"/>
        </w:rPr>
      </w:pPr>
      <w:r w:rsidRPr="002A6F4E">
        <w:rPr>
          <w:rFonts w:ascii="Arial" w:hAnsi="Arial" w:cs="Arial"/>
          <w:lang w:val="sq-AL"/>
        </w:rPr>
        <w:t>sa  povratom  metala i bez proizvodnje goriva dobijenog iz otpada</w:t>
      </w:r>
      <w:r w:rsidR="00D05D58">
        <w:rPr>
          <w:rFonts w:ascii="Arial" w:hAnsi="Arial" w:cs="Arial"/>
          <w:lang w:val="sq-AL"/>
        </w:rPr>
        <w:t>.</w:t>
      </w:r>
    </w:p>
    <w:p w14:paraId="02779C31" w14:textId="4CBD9969" w:rsidR="00C232D7" w:rsidRPr="002A6F4E" w:rsidRDefault="00C232D7" w:rsidP="00A23ED0">
      <w:pPr>
        <w:pStyle w:val="ListParagraph"/>
        <w:numPr>
          <w:ilvl w:val="0"/>
          <w:numId w:val="37"/>
        </w:numPr>
        <w:spacing w:before="120" w:after="120" w:line="360" w:lineRule="auto"/>
        <w:contextualSpacing w:val="0"/>
        <w:rPr>
          <w:rFonts w:ascii="Arial" w:hAnsi="Arial" w:cs="Arial"/>
          <w:lang w:val="sq-AL"/>
        </w:rPr>
      </w:pPr>
      <w:r w:rsidRPr="002A6F4E">
        <w:rPr>
          <w:rFonts w:ascii="Arial" w:hAnsi="Arial" w:cs="Arial"/>
          <w:lang w:val="sq-AL"/>
        </w:rPr>
        <w:t>Mehanički predtretman i biosušenje za proizvodnju obnovljivog goriva (SRF);</w:t>
      </w:r>
    </w:p>
    <w:p w14:paraId="41AFC25E" w14:textId="77777777" w:rsidR="00C232D7" w:rsidRPr="002A6F4E" w:rsidRDefault="00C232D7" w:rsidP="00A23ED0">
      <w:pPr>
        <w:pStyle w:val="ListParagraph"/>
        <w:numPr>
          <w:ilvl w:val="0"/>
          <w:numId w:val="37"/>
        </w:numPr>
        <w:spacing w:before="120" w:after="120" w:line="360" w:lineRule="auto"/>
        <w:contextualSpacing w:val="0"/>
        <w:rPr>
          <w:rFonts w:ascii="Arial" w:hAnsi="Arial" w:cs="Arial"/>
          <w:lang w:val="sq-AL"/>
        </w:rPr>
      </w:pPr>
      <w:r w:rsidRPr="002A6F4E">
        <w:rPr>
          <w:rFonts w:ascii="Arial" w:hAnsi="Arial" w:cs="Arial"/>
          <w:lang w:val="sq-AL"/>
        </w:rPr>
        <w:t>Spaljivanje otpada.</w:t>
      </w:r>
    </w:p>
    <w:p w14:paraId="0EC05D55" w14:textId="7AC3BEFA" w:rsidR="00C232D7" w:rsidRPr="002A6F4E" w:rsidRDefault="00C232D7" w:rsidP="00C232D7">
      <w:pPr>
        <w:spacing w:before="120" w:after="120" w:line="360" w:lineRule="auto"/>
        <w:rPr>
          <w:rFonts w:ascii="Arial" w:hAnsi="Arial" w:cs="Arial"/>
          <w:lang w:val="sq-AL"/>
        </w:rPr>
      </w:pPr>
      <w:r w:rsidRPr="002A6F4E">
        <w:rPr>
          <w:rFonts w:ascii="Arial" w:hAnsi="Arial" w:cs="Arial"/>
          <w:lang w:val="sq-AL"/>
        </w:rPr>
        <w:t xml:space="preserve">Da bi se ispunili ciljevi postavljeni za 2029. godinu u vezi sa preusmjeravanjem biorazgradivog otpada sa odlaganja, približno 72% preostalog otpada treba da se tretira u postrojenju za </w:t>
      </w:r>
      <w:r w:rsidR="00CD60B6">
        <w:rPr>
          <w:rFonts w:ascii="Arial" w:hAnsi="Arial" w:cs="Arial"/>
          <w:lang w:val="sq-AL"/>
        </w:rPr>
        <w:t>obradu</w:t>
      </w:r>
      <w:r w:rsidR="00CD60B6" w:rsidRPr="002A6F4E">
        <w:rPr>
          <w:rFonts w:ascii="Arial" w:hAnsi="Arial" w:cs="Arial"/>
          <w:lang w:val="sq-AL"/>
        </w:rPr>
        <w:t xml:space="preserve"> </w:t>
      </w:r>
      <w:r w:rsidRPr="002A6F4E">
        <w:rPr>
          <w:rFonts w:ascii="Arial" w:hAnsi="Arial" w:cs="Arial"/>
          <w:lang w:val="sq-AL"/>
        </w:rPr>
        <w:t xml:space="preserve">otpada (što odgovara ~170.000 t/god). U tom smislu prioritet je dat razvoju </w:t>
      </w:r>
      <w:r w:rsidR="00CD60B6">
        <w:rPr>
          <w:rFonts w:ascii="Arial" w:hAnsi="Arial" w:cs="Arial"/>
          <w:lang w:val="sq-AL"/>
        </w:rPr>
        <w:t>obrade</w:t>
      </w:r>
      <w:r w:rsidR="00CD60B6" w:rsidRPr="002A6F4E">
        <w:rPr>
          <w:rFonts w:ascii="Arial" w:hAnsi="Arial" w:cs="Arial"/>
          <w:lang w:val="sq-AL"/>
        </w:rPr>
        <w:t xml:space="preserve"> </w:t>
      </w:r>
      <w:r w:rsidRPr="002A6F4E">
        <w:rPr>
          <w:rFonts w:ascii="Arial" w:hAnsi="Arial" w:cs="Arial"/>
          <w:lang w:val="sq-AL"/>
        </w:rPr>
        <w:t xml:space="preserve">otpada u Podgorici (kapacitet ~120.000 </w:t>
      </w:r>
      <w:r w:rsidRPr="002A6F4E">
        <w:rPr>
          <w:rFonts w:ascii="Arial" w:hAnsi="Arial" w:cs="Arial"/>
          <w:lang w:val="sq-AL"/>
        </w:rPr>
        <w:lastRenderedPageBreak/>
        <w:t>~199.000 t/god), nakon čega slijedi već planirano postrojenje u Bijelom Polju</w:t>
      </w:r>
      <w:r w:rsidR="00D05D58">
        <w:rPr>
          <w:rFonts w:ascii="Arial" w:hAnsi="Arial" w:cs="Arial"/>
          <w:lang w:val="sq-AL"/>
        </w:rPr>
        <w:t>,</w:t>
      </w:r>
      <w:r w:rsidRPr="002A6F4E">
        <w:rPr>
          <w:rFonts w:ascii="Arial" w:hAnsi="Arial" w:cs="Arial"/>
          <w:lang w:val="sq-AL"/>
        </w:rPr>
        <w:t xml:space="preserve"> koj</w:t>
      </w:r>
      <w:r w:rsidR="00D05D58">
        <w:rPr>
          <w:rFonts w:ascii="Arial" w:hAnsi="Arial" w:cs="Arial"/>
          <w:lang w:val="sq-AL"/>
        </w:rPr>
        <w:t>e</w:t>
      </w:r>
      <w:r w:rsidRPr="002A6F4E">
        <w:rPr>
          <w:rFonts w:ascii="Arial" w:hAnsi="Arial" w:cs="Arial"/>
          <w:lang w:val="sq-AL"/>
        </w:rPr>
        <w:t xml:space="preserve"> opslužuje sjeverni region (procijenjeni kapacitet od 49.800 t/god). </w:t>
      </w:r>
    </w:p>
    <w:p w14:paraId="187B9645" w14:textId="182954A6" w:rsidR="009316F8" w:rsidRPr="002A6F4E" w:rsidRDefault="00C232D7" w:rsidP="007A7568">
      <w:pPr>
        <w:spacing w:before="120" w:after="120" w:line="360" w:lineRule="auto"/>
        <w:rPr>
          <w:rFonts w:ascii="Arial" w:hAnsi="Arial" w:cs="Arial"/>
          <w:b/>
          <w:bCs/>
          <w:color w:val="1F497D"/>
          <w:u w:val="single"/>
          <w:lang w:val="sq-AL" w:eastAsia="pl-PL"/>
        </w:rPr>
      </w:pPr>
      <w:r w:rsidRPr="002A6F4E">
        <w:rPr>
          <w:rFonts w:ascii="Arial" w:hAnsi="Arial" w:cs="Arial"/>
          <w:lang w:val="sq-AL"/>
        </w:rPr>
        <w:t xml:space="preserve">Potrebno je istaći da se pomenuto postrojenje za </w:t>
      </w:r>
      <w:r w:rsidR="00CD60B6">
        <w:rPr>
          <w:rFonts w:ascii="Arial" w:hAnsi="Arial" w:cs="Arial"/>
          <w:lang w:val="sq-AL"/>
        </w:rPr>
        <w:t>obradu</w:t>
      </w:r>
      <w:r w:rsidR="00CD60B6" w:rsidRPr="002A6F4E">
        <w:rPr>
          <w:rFonts w:ascii="Arial" w:hAnsi="Arial" w:cs="Arial"/>
          <w:lang w:val="sq-AL"/>
        </w:rPr>
        <w:t xml:space="preserve"> </w:t>
      </w:r>
      <w:r w:rsidRPr="002A6F4E">
        <w:rPr>
          <w:rFonts w:ascii="Arial" w:hAnsi="Arial" w:cs="Arial"/>
          <w:lang w:val="sq-AL"/>
        </w:rPr>
        <w:t xml:space="preserve">rezidualnog otpada može koristiti za </w:t>
      </w:r>
      <w:r w:rsidR="00CD60B6">
        <w:rPr>
          <w:rFonts w:ascii="Arial" w:hAnsi="Arial" w:cs="Arial"/>
          <w:lang w:val="sq-AL"/>
        </w:rPr>
        <w:t>obradu</w:t>
      </w:r>
      <w:r w:rsidR="00CD60B6" w:rsidRPr="002A6F4E">
        <w:rPr>
          <w:rFonts w:ascii="Arial" w:hAnsi="Arial" w:cs="Arial"/>
          <w:lang w:val="sq-AL"/>
        </w:rPr>
        <w:t xml:space="preserve"> </w:t>
      </w:r>
      <w:r w:rsidRPr="002A6F4E">
        <w:rPr>
          <w:rFonts w:ascii="Arial" w:hAnsi="Arial" w:cs="Arial"/>
          <w:lang w:val="sq-AL"/>
        </w:rPr>
        <w:t xml:space="preserve">odvojeno sakupljenog otpada u posebnim smjenama ili operativnim linijama. Ovo bi smanjilo ukupne investicione i operativne troškove i omogućilo postepeno smanjenje </w:t>
      </w:r>
      <w:r w:rsidR="00121A6B">
        <w:rPr>
          <w:rFonts w:ascii="Arial" w:hAnsi="Arial" w:cs="Arial"/>
          <w:lang w:val="sq-AL"/>
        </w:rPr>
        <w:t>obrade</w:t>
      </w:r>
      <w:r w:rsidR="00121A6B" w:rsidRPr="002A6F4E">
        <w:rPr>
          <w:rFonts w:ascii="Arial" w:hAnsi="Arial" w:cs="Arial"/>
          <w:lang w:val="sq-AL"/>
        </w:rPr>
        <w:t xml:space="preserve"> </w:t>
      </w:r>
      <w:r w:rsidRPr="002A6F4E">
        <w:rPr>
          <w:rFonts w:ascii="Arial" w:hAnsi="Arial" w:cs="Arial"/>
          <w:lang w:val="sq-AL"/>
        </w:rPr>
        <w:t>m</w:t>
      </w:r>
      <w:r w:rsidR="00121A6B">
        <w:rPr>
          <w:rFonts w:ascii="Arial" w:hAnsi="Arial" w:cs="Arial"/>
          <w:lang w:val="sq-AL"/>
        </w:rPr>
        <w:t>iješanih</w:t>
      </w:r>
      <w:r w:rsidRPr="002A6F4E">
        <w:rPr>
          <w:rFonts w:ascii="Arial" w:hAnsi="Arial" w:cs="Arial"/>
          <w:lang w:val="sq-AL"/>
        </w:rPr>
        <w:t>h količina otpada uz odgovarajuć</w:t>
      </w:r>
      <w:r w:rsidR="00121A6B">
        <w:rPr>
          <w:rFonts w:ascii="Arial" w:hAnsi="Arial" w:cs="Arial"/>
          <w:lang w:val="sq-AL"/>
        </w:rPr>
        <w:t>u obradu</w:t>
      </w:r>
      <w:r w:rsidRPr="002A6F4E">
        <w:rPr>
          <w:rFonts w:ascii="Arial" w:hAnsi="Arial" w:cs="Arial"/>
          <w:lang w:val="sq-AL"/>
        </w:rPr>
        <w:t xml:space="preserve"> odvojeno sakupljenih količina otpada tokom životnog vijeka postrojenja, u skladu sa povećanim ciljevima recikl</w:t>
      </w:r>
      <w:r w:rsidR="00121A6B">
        <w:rPr>
          <w:rFonts w:ascii="Arial" w:hAnsi="Arial" w:cs="Arial"/>
          <w:lang w:val="sq-AL"/>
        </w:rPr>
        <w:t>iranja,</w:t>
      </w:r>
      <w:r w:rsidRPr="002A6F4E">
        <w:rPr>
          <w:rFonts w:ascii="Arial" w:hAnsi="Arial" w:cs="Arial"/>
          <w:lang w:val="sq-AL"/>
        </w:rPr>
        <w:t xml:space="preserve"> uključenim u paket cirkularne ekonomije. Takav pristup bi bio preduzet u studijama izvodljivosti i tehničkim studijama koje će biti izra</w:t>
      </w:r>
      <w:bookmarkStart w:id="1216" w:name="_Toc121759041"/>
      <w:bookmarkStart w:id="1217" w:name="_Toc117607209"/>
      <w:r w:rsidR="00CA1A31">
        <w:rPr>
          <w:rFonts w:ascii="Arial" w:hAnsi="Arial" w:cs="Arial"/>
          <w:lang w:val="sq-AL"/>
        </w:rPr>
        <w:t>đene tokom sprovođenja DPUO</w:t>
      </w:r>
      <w:r w:rsidR="007A7568">
        <w:rPr>
          <w:rFonts w:ascii="Arial" w:hAnsi="Arial" w:cs="Arial"/>
          <w:lang w:val="sq-AL"/>
        </w:rPr>
        <w:t>.</w:t>
      </w:r>
      <w:bookmarkStart w:id="1218" w:name="_Toc117607231"/>
      <w:bookmarkEnd w:id="1216"/>
      <w:bookmarkEnd w:id="1217"/>
    </w:p>
    <w:p w14:paraId="5840A038" w14:textId="1068BFB0" w:rsidR="009316F8" w:rsidRPr="002A6F4E" w:rsidRDefault="00620A47" w:rsidP="00F57909">
      <w:pPr>
        <w:pStyle w:val="Heading2"/>
      </w:pPr>
      <w:bookmarkStart w:id="1219" w:name="_Toc189759717"/>
      <w:bookmarkStart w:id="1220" w:name="_Toc121759077"/>
      <w:bookmarkStart w:id="1221" w:name="_Toc193354043"/>
      <w:r>
        <w:t>5.3</w:t>
      </w:r>
      <w:r w:rsidR="009751D2">
        <w:t>6</w:t>
      </w:r>
      <w:r>
        <w:t xml:space="preserve">. </w:t>
      </w:r>
      <w:r w:rsidR="009316F8" w:rsidRPr="002A6F4E">
        <w:t>Odlaganje otpada</w:t>
      </w:r>
      <w:bookmarkEnd w:id="1219"/>
      <w:bookmarkEnd w:id="1221"/>
    </w:p>
    <w:bookmarkEnd w:id="1218"/>
    <w:bookmarkEnd w:id="1220"/>
    <w:p w14:paraId="424F654D" w14:textId="77777777" w:rsidR="009316F8" w:rsidRPr="002A6F4E" w:rsidRDefault="009316F8" w:rsidP="009316F8">
      <w:pPr>
        <w:shd w:val="clear" w:color="auto" w:fill="E2EFD9" w:themeFill="accent6" w:themeFillTint="33"/>
        <w:spacing w:before="120" w:after="120" w:line="360" w:lineRule="auto"/>
        <w:rPr>
          <w:rFonts w:ascii="Arial" w:hAnsi="Arial" w:cs="Arial"/>
          <w:lang w:val="sq-AL"/>
        </w:rPr>
      </w:pPr>
      <w:r w:rsidRPr="002A6F4E">
        <w:rPr>
          <w:rFonts w:ascii="Arial" w:hAnsi="Arial" w:cs="Arial"/>
          <w:b/>
          <w:bCs/>
          <w:i/>
          <w:lang w:val="sq-AL"/>
        </w:rPr>
        <w:t>Ciljevi:</w:t>
      </w:r>
      <w:r w:rsidRPr="002A6F4E">
        <w:rPr>
          <w:rFonts w:ascii="Arial" w:hAnsi="Arial" w:cs="Arial"/>
          <w:i/>
          <w:lang w:val="sq-AL"/>
        </w:rPr>
        <w:t xml:space="preserve"> Primarni cilj je smanjenje zavisnosti Crne Gore od deponovanja otpada, u korist ekološki prihvatljivijih alternativa.</w:t>
      </w:r>
    </w:p>
    <w:p w14:paraId="7AEE1675" w14:textId="4C0A4C8F" w:rsidR="009316F8" w:rsidRPr="002A6F4E" w:rsidRDefault="009316F8" w:rsidP="009316F8">
      <w:pPr>
        <w:tabs>
          <w:tab w:val="left" w:pos="3225"/>
        </w:tabs>
        <w:spacing w:before="120" w:after="120" w:line="360" w:lineRule="auto"/>
        <w:rPr>
          <w:rFonts w:ascii="Arial" w:hAnsi="Arial" w:cs="Arial"/>
          <w:lang w:val="sq-AL"/>
        </w:rPr>
      </w:pPr>
      <w:r w:rsidRPr="002A6F4E">
        <w:rPr>
          <w:rFonts w:ascii="Arial" w:hAnsi="Arial" w:cs="Arial"/>
          <w:lang w:val="sq-AL"/>
        </w:rPr>
        <w:t xml:space="preserve">Bezbjedno odlaganje otpada je </w:t>
      </w:r>
      <w:r w:rsidR="00FB52F6">
        <w:rPr>
          <w:rFonts w:ascii="Arial" w:hAnsi="Arial" w:cs="Arial"/>
          <w:lang w:val="sq-AL"/>
        </w:rPr>
        <w:t>ključ</w:t>
      </w:r>
      <w:r w:rsidRPr="002A6F4E">
        <w:rPr>
          <w:rFonts w:ascii="Arial" w:hAnsi="Arial" w:cs="Arial"/>
          <w:lang w:val="sq-AL"/>
        </w:rPr>
        <w:t xml:space="preserve"> svakog programa upravljanja otpadom, jer bez obzira na to koji se proces </w:t>
      </w:r>
      <w:r w:rsidR="00FB52F6">
        <w:rPr>
          <w:rFonts w:ascii="Arial" w:hAnsi="Arial" w:cs="Arial"/>
          <w:lang w:val="sq-AL"/>
        </w:rPr>
        <w:t>obrade</w:t>
      </w:r>
      <w:r w:rsidRPr="002A6F4E">
        <w:rPr>
          <w:rFonts w:ascii="Arial" w:hAnsi="Arial" w:cs="Arial"/>
          <w:lang w:val="sq-AL"/>
        </w:rPr>
        <w:t xml:space="preserve"> koristi, uvijek će biti ostataka koji se odlažu na deponij</w:t>
      </w:r>
      <w:r w:rsidR="00FB52F6">
        <w:rPr>
          <w:rFonts w:ascii="Arial" w:hAnsi="Arial" w:cs="Arial"/>
          <w:lang w:val="sq-AL"/>
        </w:rPr>
        <w:t>i</w:t>
      </w:r>
      <w:r w:rsidRPr="002A6F4E">
        <w:rPr>
          <w:rFonts w:ascii="Arial" w:hAnsi="Arial" w:cs="Arial"/>
          <w:lang w:val="sq-AL"/>
        </w:rPr>
        <w:t xml:space="preserve">. U svakom slučaju otpad treba </w:t>
      </w:r>
      <w:r w:rsidR="00FB52F6">
        <w:rPr>
          <w:rFonts w:ascii="Arial" w:hAnsi="Arial" w:cs="Arial"/>
          <w:lang w:val="sq-AL"/>
        </w:rPr>
        <w:t>preraditi</w:t>
      </w:r>
      <w:r w:rsidRPr="002A6F4E">
        <w:rPr>
          <w:rFonts w:ascii="Arial" w:hAnsi="Arial" w:cs="Arial"/>
          <w:lang w:val="sq-AL"/>
        </w:rPr>
        <w:t xml:space="preserve"> prije odlaganja.</w:t>
      </w:r>
    </w:p>
    <w:p w14:paraId="1AE07E64" w14:textId="14F1EFF3" w:rsidR="009316F8" w:rsidRPr="002A6F4E" w:rsidRDefault="009316F8" w:rsidP="009316F8">
      <w:pPr>
        <w:tabs>
          <w:tab w:val="left" w:pos="3225"/>
        </w:tabs>
        <w:spacing w:before="120" w:after="120" w:line="360" w:lineRule="auto"/>
        <w:rPr>
          <w:rFonts w:ascii="Arial" w:hAnsi="Arial" w:cs="Arial"/>
          <w:lang w:val="sq-AL"/>
        </w:rPr>
      </w:pPr>
      <w:r w:rsidRPr="002A6F4E">
        <w:rPr>
          <w:rFonts w:ascii="Arial" w:hAnsi="Arial" w:cs="Arial"/>
          <w:lang w:val="sq-AL"/>
        </w:rPr>
        <w:t xml:space="preserve">Prema tome, iako je odlaganje otpada na deponije posljednja opcija u hijerarhiji otpada, neophodno je izgraditi i upravljati bezbjednim deponijama u skladu sa međunarodnim standardima i </w:t>
      </w:r>
      <w:r w:rsidR="00121A6B">
        <w:rPr>
          <w:rFonts w:ascii="Arial" w:hAnsi="Arial" w:cs="Arial"/>
          <w:lang w:val="sq-AL"/>
        </w:rPr>
        <w:t xml:space="preserve">domaćim </w:t>
      </w:r>
      <w:r w:rsidRPr="002A6F4E">
        <w:rPr>
          <w:rFonts w:ascii="Arial" w:hAnsi="Arial" w:cs="Arial"/>
          <w:lang w:val="sq-AL"/>
        </w:rPr>
        <w:t xml:space="preserve">zakonodavstvom, kako bi se obezbijedilo da se uticaji na životnu sredinu u vezi sa odlaganjem otpada minimiziraju. Shodno tome, vjerovatno je prvi korak u uspostavljanju integrisanog sistema upravljanja otpadom izgradnja deponija i zatvaranje </w:t>
      </w:r>
      <w:r w:rsidR="001B40A0">
        <w:rPr>
          <w:rFonts w:ascii="Arial" w:hAnsi="Arial" w:cs="Arial"/>
          <w:lang w:val="sq-AL"/>
        </w:rPr>
        <w:t xml:space="preserve">neuređenih </w:t>
      </w:r>
      <w:r w:rsidRPr="002A6F4E">
        <w:rPr>
          <w:rFonts w:ascii="Arial" w:hAnsi="Arial" w:cs="Arial"/>
          <w:lang w:val="sq-AL"/>
        </w:rPr>
        <w:t>odlagališta.</w:t>
      </w:r>
    </w:p>
    <w:p w14:paraId="6D15081F" w14:textId="281B5DC0" w:rsidR="009316F8" w:rsidRPr="002A6F4E" w:rsidRDefault="009316F8" w:rsidP="009316F8">
      <w:pPr>
        <w:tabs>
          <w:tab w:val="left" w:pos="3225"/>
        </w:tabs>
        <w:spacing w:before="120" w:after="120" w:line="360" w:lineRule="auto"/>
        <w:rPr>
          <w:rFonts w:ascii="Arial" w:hAnsi="Arial" w:cs="Arial"/>
          <w:lang w:val="sq-AL"/>
        </w:rPr>
      </w:pPr>
      <w:r w:rsidRPr="002A6F4E">
        <w:rPr>
          <w:rFonts w:ascii="Arial" w:hAnsi="Arial" w:cs="Arial"/>
          <w:lang w:val="sq-AL"/>
        </w:rPr>
        <w:t>Tamo gdje su dostupne odgovarajuće lokacije, deponije obično pružaju najekonomičniju opciju za odlaganje ostataka koji se ne mogu reciklirati. Međutim, postaje sve teže pronaći lokacije koje nude adekvatan kapacitet, pristupačnost i uslove u pogledu životne sredine. Ovo je posebno evidentno u zemljama kao što je Crna Gora, sa značajnom morskom obalom, što smanjuje raspoloživi kopneni prostor.</w:t>
      </w:r>
      <w:r w:rsidR="00FB52F6">
        <w:rPr>
          <w:rFonts w:ascii="Arial" w:hAnsi="Arial" w:cs="Arial"/>
          <w:lang w:val="sq-AL"/>
        </w:rPr>
        <w:t xml:space="preserve"> </w:t>
      </w:r>
      <w:r w:rsidRPr="002A6F4E">
        <w:rPr>
          <w:rFonts w:ascii="Arial" w:hAnsi="Arial" w:cs="Arial"/>
          <w:lang w:val="sq-AL"/>
        </w:rPr>
        <w:t xml:space="preserve">Nije moguće reciklirati sve komponente otpada i uvijek će postojati ostaci iz procesa </w:t>
      </w:r>
      <w:r w:rsidR="001B40A0">
        <w:rPr>
          <w:rFonts w:ascii="Arial" w:hAnsi="Arial" w:cs="Arial"/>
          <w:lang w:val="sq-AL"/>
        </w:rPr>
        <w:t>obrade</w:t>
      </w:r>
      <w:r w:rsidR="001B40A0" w:rsidRPr="002A6F4E">
        <w:rPr>
          <w:rFonts w:ascii="Arial" w:hAnsi="Arial" w:cs="Arial"/>
          <w:lang w:val="sq-AL"/>
        </w:rPr>
        <w:t xml:space="preserve"> </w:t>
      </w:r>
      <w:r w:rsidRPr="002A6F4E">
        <w:rPr>
          <w:rFonts w:ascii="Arial" w:hAnsi="Arial" w:cs="Arial"/>
          <w:lang w:val="sq-AL"/>
        </w:rPr>
        <w:t>koji će na kraju zahtijevati kapacitete za odlaganje. U nekim zajednicama pravilno zatvorene deponije se pretvaraju u rekreativne parkove, igrališta i sl.</w:t>
      </w:r>
    </w:p>
    <w:p w14:paraId="5AE57EA0" w14:textId="7E6CD504" w:rsidR="009316F8" w:rsidRPr="002A6F4E" w:rsidRDefault="009316F8" w:rsidP="009316F8">
      <w:pPr>
        <w:tabs>
          <w:tab w:val="left" w:pos="3225"/>
        </w:tabs>
        <w:spacing w:before="120" w:after="120" w:line="360" w:lineRule="auto"/>
        <w:rPr>
          <w:rFonts w:ascii="Arial" w:hAnsi="Arial" w:cs="Arial"/>
          <w:lang w:val="sq-AL"/>
        </w:rPr>
      </w:pPr>
      <w:r w:rsidRPr="002A6F4E">
        <w:rPr>
          <w:rFonts w:ascii="Arial" w:hAnsi="Arial" w:cs="Arial"/>
          <w:lang w:val="sq-AL"/>
        </w:rPr>
        <w:t xml:space="preserve">Međutim, neadekvatno odlaganje otpada napreduje zbog pogrešnog vjerovanja da je to najjeftiniji metod odlaganja. </w:t>
      </w:r>
      <w:r w:rsidR="00187066">
        <w:rPr>
          <w:rFonts w:ascii="Arial" w:hAnsi="Arial" w:cs="Arial"/>
          <w:lang w:val="sq-AL"/>
        </w:rPr>
        <w:t>Neadekvatnop o</w:t>
      </w:r>
      <w:r w:rsidRPr="002A6F4E">
        <w:rPr>
          <w:rFonts w:ascii="Arial" w:hAnsi="Arial" w:cs="Arial"/>
          <w:lang w:val="sq-AL"/>
        </w:rPr>
        <w:t>dlaganje duž puteva i obala rijeka, morske obale ili u napuštenim kamenolomima  je</w:t>
      </w:r>
      <w:r w:rsidR="00187066">
        <w:rPr>
          <w:rFonts w:ascii="Arial" w:hAnsi="Arial" w:cs="Arial"/>
          <w:lang w:val="sq-AL"/>
        </w:rPr>
        <w:t xml:space="preserve"> neprihvatljivo</w:t>
      </w:r>
      <w:r w:rsidRPr="002A6F4E">
        <w:rPr>
          <w:rFonts w:ascii="Arial" w:hAnsi="Arial" w:cs="Arial"/>
          <w:lang w:val="sq-AL"/>
        </w:rPr>
        <w:t>. Neizb</w:t>
      </w:r>
      <w:r w:rsidR="00187066">
        <w:rPr>
          <w:rFonts w:ascii="Arial" w:hAnsi="Arial" w:cs="Arial"/>
          <w:lang w:val="sq-AL"/>
        </w:rPr>
        <w:t>j</w:t>
      </w:r>
      <w:r w:rsidRPr="002A6F4E">
        <w:rPr>
          <w:rFonts w:ascii="Arial" w:hAnsi="Arial" w:cs="Arial"/>
          <w:lang w:val="sq-AL"/>
        </w:rPr>
        <w:t>ežno je da će</w:t>
      </w:r>
      <w:r w:rsidR="00187066">
        <w:rPr>
          <w:rFonts w:ascii="Arial" w:hAnsi="Arial" w:cs="Arial"/>
          <w:lang w:val="sq-AL"/>
        </w:rPr>
        <w:t xml:space="preserve"> razni</w:t>
      </w:r>
      <w:r w:rsidRPr="002A6F4E">
        <w:rPr>
          <w:rFonts w:ascii="Arial" w:hAnsi="Arial" w:cs="Arial"/>
          <w:lang w:val="sq-AL"/>
        </w:rPr>
        <w:t xml:space="preserve"> zagađivači uticati na zdravlje, kvalitet života i radne aktivnosti</w:t>
      </w:r>
      <w:r w:rsidR="00187066">
        <w:rPr>
          <w:rFonts w:ascii="Arial" w:hAnsi="Arial" w:cs="Arial"/>
          <w:lang w:val="sq-AL"/>
        </w:rPr>
        <w:t xml:space="preserve"> ljudi</w:t>
      </w:r>
      <w:r w:rsidRPr="002A6F4E">
        <w:rPr>
          <w:rFonts w:ascii="Arial" w:hAnsi="Arial" w:cs="Arial"/>
          <w:lang w:val="sq-AL"/>
        </w:rPr>
        <w:t>. Rastvorljivi i suspendovani zagađivači u vodama koje cure sa lokacije i raspršuju se u životnoj sredini</w:t>
      </w:r>
      <w:r w:rsidR="00187066">
        <w:rPr>
          <w:rFonts w:ascii="Arial" w:hAnsi="Arial" w:cs="Arial"/>
          <w:lang w:val="sq-AL"/>
        </w:rPr>
        <w:t>,</w:t>
      </w:r>
      <w:r w:rsidRPr="002A6F4E">
        <w:rPr>
          <w:rFonts w:ascii="Arial" w:hAnsi="Arial" w:cs="Arial"/>
          <w:lang w:val="sq-AL"/>
        </w:rPr>
        <w:t xml:space="preserve"> će na kraju ući u površinske vodotoke i podzemne vode. Kontaminacija tada može direktno uticati na zalihe vode za piće i/ili vodeni lanac ishrane. </w:t>
      </w:r>
    </w:p>
    <w:p w14:paraId="41D773D4" w14:textId="3034FC15"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 xml:space="preserve">Nakon </w:t>
      </w:r>
      <w:r w:rsidR="001B40A0">
        <w:rPr>
          <w:rFonts w:ascii="Arial" w:hAnsi="Arial" w:cs="Arial"/>
          <w:lang w:val="sq-AL"/>
        </w:rPr>
        <w:t>uspostavljanja</w:t>
      </w:r>
      <w:r w:rsidR="001B40A0" w:rsidRPr="002A6F4E">
        <w:rPr>
          <w:rFonts w:ascii="Arial" w:hAnsi="Arial" w:cs="Arial"/>
          <w:lang w:val="sq-AL"/>
        </w:rPr>
        <w:t xml:space="preserve"> </w:t>
      </w:r>
      <w:r w:rsidRPr="002A6F4E">
        <w:rPr>
          <w:rFonts w:ascii="Arial" w:hAnsi="Arial" w:cs="Arial"/>
          <w:lang w:val="sq-AL"/>
        </w:rPr>
        <w:t>i funkcionisanja integrisanog sistema upravljanja otpadom u Crnoj Gori, biće postavljen specifičan cilj za minimiziranje količine komunalnog otpada koji se odlaže na deponije (tj. 2040. godine), prema kojem više od 10% komunalnog otpada ne bi trebalo da završi na deponijama.</w:t>
      </w:r>
    </w:p>
    <w:p w14:paraId="018358AC" w14:textId="7FA6380D" w:rsidR="009316F8" w:rsidRPr="002A6F4E" w:rsidRDefault="00620A47" w:rsidP="00F57909">
      <w:pPr>
        <w:pStyle w:val="Heading2"/>
      </w:pPr>
      <w:bookmarkStart w:id="1222" w:name="_Toc121759079"/>
      <w:bookmarkStart w:id="1223" w:name="_Toc189759718"/>
      <w:bookmarkStart w:id="1224" w:name="_Toc193354044"/>
      <w:r>
        <w:lastRenderedPageBreak/>
        <w:t>5.3</w:t>
      </w:r>
      <w:r w:rsidR="009751D2">
        <w:t>7</w:t>
      </w:r>
      <w:r>
        <w:t xml:space="preserve">. </w:t>
      </w:r>
      <w:r w:rsidR="009316F8" w:rsidRPr="002A6F4E">
        <w:t>Postojeći nedostaci i zahtjevi</w:t>
      </w:r>
      <w:bookmarkEnd w:id="1222"/>
      <w:bookmarkEnd w:id="1223"/>
      <w:bookmarkEnd w:id="1224"/>
    </w:p>
    <w:p w14:paraId="26ED6AFE" w14:textId="1096DC77"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 xml:space="preserve">U narednoj tabeli predstavljeni su tehnički nedostaci i zahtjevi u vezi sa </w:t>
      </w:r>
      <w:r w:rsidR="007371CF">
        <w:rPr>
          <w:rFonts w:ascii="Arial" w:hAnsi="Arial" w:cs="Arial"/>
          <w:lang w:val="sq-AL"/>
        </w:rPr>
        <w:t>odlaganjem</w:t>
      </w:r>
      <w:r w:rsidRPr="002A6F4E">
        <w:rPr>
          <w:rFonts w:ascii="Arial" w:hAnsi="Arial" w:cs="Arial"/>
          <w:lang w:val="sq-AL"/>
        </w:rPr>
        <w:t xml:space="preserve"> otpada</w:t>
      </w:r>
      <w:r w:rsidR="000913EA">
        <w:rPr>
          <w:rFonts w:ascii="Arial" w:hAnsi="Arial" w:cs="Arial"/>
          <w:lang w:val="sq-AL"/>
        </w:rPr>
        <w:t>.</w:t>
      </w:r>
    </w:p>
    <w:p w14:paraId="7D2E6810" w14:textId="1EEA0937" w:rsidR="009316F8" w:rsidRPr="00C149AB" w:rsidRDefault="009316F8" w:rsidP="009316F8">
      <w:pPr>
        <w:pStyle w:val="Caption"/>
        <w:rPr>
          <w:rFonts w:ascii="Arial" w:hAnsi="Arial" w:cs="Arial"/>
          <w:b w:val="0"/>
          <w:szCs w:val="20"/>
          <w:lang w:val="sq-AL"/>
        </w:rPr>
      </w:pPr>
      <w:bookmarkStart w:id="1225" w:name="_Toc189515686"/>
      <w:bookmarkStart w:id="1226" w:name="_Toc190160797"/>
      <w:r w:rsidRPr="00C149AB">
        <w:rPr>
          <w:rFonts w:ascii="Arial" w:hAnsi="Arial" w:cs="Arial"/>
          <w:b w:val="0"/>
          <w:szCs w:val="20"/>
          <w:lang w:val="sq-AL"/>
        </w:rPr>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102</w:t>
      </w:r>
      <w:r w:rsidRPr="00C149AB">
        <w:rPr>
          <w:rFonts w:ascii="Arial" w:hAnsi="Arial" w:cs="Arial"/>
          <w:b w:val="0"/>
          <w:szCs w:val="20"/>
        </w:rPr>
        <w:fldChar w:fldCharType="end"/>
      </w:r>
      <w:r w:rsidRPr="00C149AB">
        <w:rPr>
          <w:rFonts w:ascii="Arial" w:hAnsi="Arial" w:cs="Arial"/>
          <w:b w:val="0"/>
          <w:szCs w:val="20"/>
          <w:lang w:val="sq-AL"/>
        </w:rPr>
        <w:t xml:space="preserve"> Tehnički nedostaci i zahtjevi za sprovođenje odlaganja otpada </w:t>
      </w:r>
      <w:bookmarkEnd w:id="1225"/>
      <w:bookmarkEnd w:id="1226"/>
    </w:p>
    <w:tbl>
      <w:tblPr>
        <w:tblW w:w="104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3536"/>
        <w:gridCol w:w="3686"/>
        <w:gridCol w:w="3241"/>
      </w:tblGrid>
      <w:tr w:rsidR="009316F8" w:rsidRPr="0014164F" w14:paraId="5DD73881" w14:textId="77777777" w:rsidTr="00FE289C">
        <w:trPr>
          <w:tblHeader/>
          <w:jc w:val="center"/>
        </w:trPr>
        <w:tc>
          <w:tcPr>
            <w:tcW w:w="3536" w:type="dxa"/>
            <w:shd w:val="clear" w:color="auto" w:fill="F2F2F2" w:themeFill="background1" w:themeFillShade="F2"/>
          </w:tcPr>
          <w:p w14:paraId="785B38B0" w14:textId="77777777" w:rsidR="009316F8" w:rsidRPr="00C149AB" w:rsidRDefault="009316F8" w:rsidP="00FE289C">
            <w:pPr>
              <w:spacing w:before="40" w:after="40" w:line="360" w:lineRule="auto"/>
              <w:ind w:right="45"/>
              <w:rPr>
                <w:rFonts w:ascii="Arial" w:hAnsi="Arial" w:cs="Arial"/>
                <w:b/>
                <w:bCs/>
                <w:sz w:val="18"/>
                <w:lang w:val="sq-AL" w:eastAsia="el-GR"/>
              </w:rPr>
            </w:pPr>
            <w:r w:rsidRPr="00C149AB">
              <w:rPr>
                <w:rFonts w:ascii="Arial" w:hAnsi="Arial" w:cs="Arial"/>
                <w:b/>
                <w:bCs/>
                <w:sz w:val="18"/>
                <w:lang w:val="sq-AL" w:eastAsia="el-GR"/>
              </w:rPr>
              <w:t>Identifikovani problemi</w:t>
            </w:r>
          </w:p>
          <w:p w14:paraId="5E9ABEBB" w14:textId="77777777" w:rsidR="009316F8" w:rsidRPr="00C149AB" w:rsidRDefault="009316F8" w:rsidP="00FE289C">
            <w:pPr>
              <w:spacing w:before="40" w:after="40" w:line="360" w:lineRule="auto"/>
              <w:ind w:right="45"/>
              <w:rPr>
                <w:rFonts w:ascii="Arial" w:hAnsi="Arial" w:cs="Arial"/>
                <w:b/>
                <w:bCs/>
                <w:sz w:val="18"/>
                <w:lang w:val="sq-AL" w:eastAsia="el-GR"/>
              </w:rPr>
            </w:pPr>
          </w:p>
        </w:tc>
        <w:tc>
          <w:tcPr>
            <w:tcW w:w="3686" w:type="dxa"/>
            <w:shd w:val="clear" w:color="auto" w:fill="F2F2F2" w:themeFill="background1" w:themeFillShade="F2"/>
          </w:tcPr>
          <w:p w14:paraId="71940371" w14:textId="77777777" w:rsidR="009316F8" w:rsidRPr="00C149AB" w:rsidRDefault="009316F8" w:rsidP="00FE289C">
            <w:pPr>
              <w:spacing w:before="40" w:after="40" w:line="360" w:lineRule="auto"/>
              <w:ind w:right="45"/>
              <w:rPr>
                <w:rFonts w:ascii="Arial" w:hAnsi="Arial" w:cs="Arial"/>
                <w:b/>
                <w:bCs/>
                <w:sz w:val="18"/>
                <w:lang w:val="sq-AL" w:eastAsia="el-GR"/>
              </w:rPr>
            </w:pPr>
            <w:r w:rsidRPr="00C149AB">
              <w:rPr>
                <w:rFonts w:ascii="Arial" w:hAnsi="Arial" w:cs="Arial"/>
                <w:b/>
                <w:bCs/>
                <w:sz w:val="18"/>
                <w:lang w:val="sq-AL" w:eastAsia="el-GR"/>
              </w:rPr>
              <w:t>Zahtjevi</w:t>
            </w:r>
          </w:p>
          <w:p w14:paraId="5654FB63" w14:textId="77777777" w:rsidR="009316F8" w:rsidRPr="00C149AB" w:rsidRDefault="009316F8" w:rsidP="00FE289C">
            <w:pPr>
              <w:spacing w:before="40" w:after="40" w:line="360" w:lineRule="auto"/>
              <w:ind w:right="45"/>
              <w:rPr>
                <w:rFonts w:ascii="Arial" w:hAnsi="Arial" w:cs="Arial"/>
                <w:b/>
                <w:bCs/>
                <w:sz w:val="18"/>
                <w:lang w:val="sq-AL" w:eastAsia="el-GR"/>
              </w:rPr>
            </w:pPr>
          </w:p>
        </w:tc>
        <w:tc>
          <w:tcPr>
            <w:tcW w:w="3241" w:type="dxa"/>
            <w:shd w:val="clear" w:color="auto" w:fill="F2F2F2" w:themeFill="background1" w:themeFillShade="F2"/>
          </w:tcPr>
          <w:p w14:paraId="153CF031" w14:textId="77777777" w:rsidR="009316F8" w:rsidRPr="00C149AB" w:rsidRDefault="009316F8" w:rsidP="00FE289C">
            <w:pPr>
              <w:spacing w:before="40" w:after="40" w:line="360" w:lineRule="auto"/>
              <w:ind w:right="45"/>
              <w:rPr>
                <w:rFonts w:ascii="Arial" w:hAnsi="Arial" w:cs="Arial"/>
                <w:b/>
                <w:bCs/>
                <w:sz w:val="18"/>
                <w:lang w:val="sq-AL" w:eastAsia="el-GR"/>
              </w:rPr>
            </w:pPr>
            <w:r w:rsidRPr="00C149AB">
              <w:rPr>
                <w:rFonts w:ascii="Arial" w:hAnsi="Arial" w:cs="Arial"/>
                <w:b/>
                <w:bCs/>
                <w:sz w:val="18"/>
                <w:lang w:val="sq-AL" w:eastAsia="el-GR"/>
              </w:rPr>
              <w:t>Potreba da se ispune zahtjevi u skladu sa postojećom situacijom</w:t>
            </w:r>
          </w:p>
        </w:tc>
      </w:tr>
      <w:tr w:rsidR="009316F8" w:rsidRPr="0014164F" w14:paraId="0555B3EE" w14:textId="77777777" w:rsidTr="00FE289C">
        <w:trPr>
          <w:jc w:val="center"/>
        </w:trPr>
        <w:tc>
          <w:tcPr>
            <w:tcW w:w="3536" w:type="dxa"/>
            <w:vAlign w:val="center"/>
          </w:tcPr>
          <w:p w14:paraId="249F8940" w14:textId="77777777" w:rsidR="009316F8" w:rsidRPr="00C149AB" w:rsidRDefault="009316F8" w:rsidP="00FE289C">
            <w:pPr>
              <w:spacing w:before="40" w:after="40" w:line="360" w:lineRule="auto"/>
              <w:ind w:right="45"/>
              <w:rPr>
                <w:rFonts w:ascii="Arial" w:hAnsi="Arial" w:cs="Arial"/>
                <w:bCs/>
                <w:sz w:val="18"/>
                <w:lang w:val="sq-AL" w:eastAsia="el-GR"/>
              </w:rPr>
            </w:pPr>
            <w:r w:rsidRPr="00C149AB">
              <w:rPr>
                <w:rFonts w:ascii="Arial" w:hAnsi="Arial" w:cs="Arial"/>
                <w:bCs/>
                <w:sz w:val="18"/>
                <w:lang w:val="sq-AL" w:eastAsia="el-GR"/>
              </w:rPr>
              <w:t>Deponija u Baru nije opremljena postrojenjem za tretman ocjednih voda (sadašnja praksa uključuje recirkulaciju);</w:t>
            </w:r>
          </w:p>
          <w:p w14:paraId="176134AB" w14:textId="77777777" w:rsidR="009316F8" w:rsidRPr="00C149AB" w:rsidRDefault="009316F8" w:rsidP="00FE289C">
            <w:pPr>
              <w:spacing w:before="40" w:after="40" w:line="360" w:lineRule="auto"/>
              <w:ind w:right="45"/>
              <w:rPr>
                <w:rFonts w:ascii="Arial" w:hAnsi="Arial" w:cs="Arial"/>
                <w:bCs/>
                <w:sz w:val="18"/>
                <w:lang w:val="sq-AL" w:eastAsia="el-GR"/>
              </w:rPr>
            </w:pPr>
            <w:r w:rsidRPr="00C149AB">
              <w:rPr>
                <w:rFonts w:ascii="Arial" w:hAnsi="Arial" w:cs="Arial"/>
                <w:bCs/>
                <w:sz w:val="18"/>
                <w:lang w:val="sq-AL" w:eastAsia="el-GR"/>
              </w:rPr>
              <w:t>Više od 30% generisanog otpada se odlaže na regulisana i nezakonita odlagališta;</w:t>
            </w:r>
          </w:p>
          <w:p w14:paraId="072E447D" w14:textId="5B56BF05" w:rsidR="009316F8" w:rsidRPr="00C149AB" w:rsidRDefault="009316F8" w:rsidP="00FE289C">
            <w:pPr>
              <w:spacing w:before="40" w:after="40" w:line="360" w:lineRule="auto"/>
              <w:ind w:right="45"/>
              <w:rPr>
                <w:rFonts w:ascii="Arial" w:hAnsi="Arial" w:cs="Arial"/>
                <w:bCs/>
                <w:sz w:val="18"/>
                <w:lang w:val="sq-AL" w:eastAsia="el-GR"/>
              </w:rPr>
            </w:pPr>
            <w:r w:rsidRPr="00C149AB">
              <w:rPr>
                <w:rFonts w:ascii="Arial" w:hAnsi="Arial" w:cs="Arial"/>
                <w:bCs/>
                <w:sz w:val="18"/>
                <w:lang w:val="sq-AL" w:eastAsia="el-GR"/>
              </w:rPr>
              <w:t xml:space="preserve">I dalje se praktikuje nelegalno odlaganje otpada (u Crnoj Gori ima 334 </w:t>
            </w:r>
            <w:r w:rsidR="000913EA" w:rsidRPr="00C149AB">
              <w:rPr>
                <w:rFonts w:ascii="Arial" w:hAnsi="Arial" w:cs="Arial"/>
                <w:bCs/>
                <w:sz w:val="18"/>
                <w:lang w:val="sq-AL" w:eastAsia="el-GR"/>
              </w:rPr>
              <w:t>neuređena odlagališta</w:t>
            </w:r>
            <w:r w:rsidRPr="00C149AB">
              <w:rPr>
                <w:rFonts w:ascii="Arial" w:hAnsi="Arial" w:cs="Arial"/>
                <w:bCs/>
                <w:sz w:val="18"/>
                <w:lang w:val="sq-AL" w:eastAsia="el-GR"/>
              </w:rPr>
              <w:t>)</w:t>
            </w:r>
            <w:r w:rsidR="000913EA" w:rsidRPr="00C149AB">
              <w:rPr>
                <w:rFonts w:ascii="Arial" w:hAnsi="Arial" w:cs="Arial"/>
                <w:bCs/>
                <w:sz w:val="18"/>
                <w:lang w:val="sq-AL" w:eastAsia="el-GR"/>
              </w:rPr>
              <w:t>;</w:t>
            </w:r>
          </w:p>
        </w:tc>
        <w:tc>
          <w:tcPr>
            <w:tcW w:w="3686" w:type="dxa"/>
            <w:vAlign w:val="center"/>
          </w:tcPr>
          <w:p w14:paraId="27A04E33" w14:textId="4AC8701A" w:rsidR="009316F8" w:rsidRPr="00C149AB" w:rsidRDefault="009316F8" w:rsidP="00FE289C">
            <w:pPr>
              <w:spacing w:before="40" w:after="40" w:line="360" w:lineRule="auto"/>
              <w:ind w:right="45"/>
              <w:rPr>
                <w:rFonts w:ascii="Arial" w:hAnsi="Arial" w:cs="Arial"/>
                <w:bCs/>
                <w:sz w:val="18"/>
                <w:lang w:val="sq-AL" w:eastAsia="el-GR"/>
              </w:rPr>
            </w:pPr>
            <w:r w:rsidRPr="00C149AB">
              <w:rPr>
                <w:rFonts w:ascii="Arial" w:hAnsi="Arial" w:cs="Arial"/>
                <w:bCs/>
                <w:sz w:val="18"/>
                <w:lang w:val="sq-AL" w:eastAsia="el-GR"/>
              </w:rPr>
              <w:t>Sav otpad će biti deponovan na deponij</w:t>
            </w:r>
            <w:r w:rsidR="000913EA" w:rsidRPr="00C149AB">
              <w:rPr>
                <w:rFonts w:ascii="Arial" w:hAnsi="Arial" w:cs="Arial"/>
                <w:bCs/>
                <w:sz w:val="18"/>
                <w:lang w:val="sq-AL" w:eastAsia="el-GR"/>
              </w:rPr>
              <w:t>i</w:t>
            </w:r>
            <w:r w:rsidRPr="00C149AB">
              <w:rPr>
                <w:rFonts w:ascii="Arial" w:hAnsi="Arial" w:cs="Arial"/>
                <w:bCs/>
                <w:sz w:val="18"/>
                <w:lang w:val="sq-AL" w:eastAsia="el-GR"/>
              </w:rPr>
              <w:t xml:space="preserve"> (do </w:t>
            </w:r>
            <w:r w:rsidR="00B40E88" w:rsidRPr="00C149AB">
              <w:rPr>
                <w:rFonts w:ascii="Arial" w:hAnsi="Arial" w:cs="Arial"/>
                <w:bCs/>
                <w:sz w:val="18"/>
                <w:lang w:val="sq-AL" w:eastAsia="el-GR"/>
              </w:rPr>
              <w:t>2029</w:t>
            </w:r>
            <w:r w:rsidRPr="00C149AB">
              <w:rPr>
                <w:rFonts w:ascii="Arial" w:hAnsi="Arial" w:cs="Arial"/>
                <w:bCs/>
                <w:sz w:val="18"/>
                <w:lang w:val="sq-AL" w:eastAsia="el-GR"/>
              </w:rPr>
              <w:t>.</w:t>
            </w:r>
            <w:r w:rsidR="000913EA" w:rsidRPr="00C149AB">
              <w:rPr>
                <w:rFonts w:ascii="Arial" w:hAnsi="Arial" w:cs="Arial"/>
                <w:bCs/>
                <w:sz w:val="18"/>
                <w:lang w:val="sq-AL" w:eastAsia="el-GR"/>
              </w:rPr>
              <w:t>godine</w:t>
            </w:r>
            <w:r w:rsidRPr="00C149AB">
              <w:rPr>
                <w:rFonts w:ascii="Arial" w:hAnsi="Arial" w:cs="Arial"/>
                <w:bCs/>
                <w:sz w:val="18"/>
                <w:lang w:val="sq-AL" w:eastAsia="el-GR"/>
              </w:rPr>
              <w:t>)</w:t>
            </w:r>
          </w:p>
          <w:p w14:paraId="211EF514" w14:textId="005EB3CC" w:rsidR="009316F8" w:rsidRPr="00C149AB" w:rsidRDefault="009316F8" w:rsidP="00FE289C">
            <w:pPr>
              <w:spacing w:before="40" w:after="40" w:line="360" w:lineRule="auto"/>
              <w:ind w:right="45"/>
              <w:rPr>
                <w:rFonts w:ascii="Arial" w:hAnsi="Arial" w:cs="Arial"/>
                <w:bCs/>
                <w:sz w:val="18"/>
                <w:lang w:val="sq-AL"/>
              </w:rPr>
            </w:pPr>
            <w:r w:rsidRPr="00C149AB">
              <w:rPr>
                <w:rFonts w:ascii="Arial" w:hAnsi="Arial" w:cs="Arial"/>
                <w:bCs/>
                <w:sz w:val="18"/>
                <w:lang w:val="sq-AL"/>
              </w:rPr>
              <w:t>Postojeći kapacitet deponije</w:t>
            </w:r>
            <w:r w:rsidR="00041FF4" w:rsidRPr="00C149AB">
              <w:rPr>
                <w:rFonts w:ascii="Arial" w:hAnsi="Arial" w:cs="Arial"/>
                <w:bCs/>
                <w:sz w:val="18"/>
                <w:lang w:val="sq-AL"/>
              </w:rPr>
              <w:t xml:space="preserve"> Livade  u Podgorici</w:t>
            </w:r>
            <w:r w:rsidRPr="00C149AB">
              <w:rPr>
                <w:rFonts w:ascii="Arial" w:hAnsi="Arial" w:cs="Arial"/>
                <w:bCs/>
                <w:sz w:val="18"/>
                <w:lang w:val="sq-AL"/>
              </w:rPr>
              <w:t xml:space="preserve"> ~1.200.000 m</w:t>
            </w:r>
            <w:r w:rsidRPr="00C149AB">
              <w:rPr>
                <w:rFonts w:ascii="Arial" w:hAnsi="Arial" w:cs="Arial"/>
                <w:bCs/>
                <w:sz w:val="18"/>
                <w:vertAlign w:val="superscript"/>
                <w:lang w:val="sq-AL"/>
              </w:rPr>
              <w:t>3</w:t>
            </w:r>
            <w:r w:rsidRPr="00C149AB">
              <w:rPr>
                <w:rFonts w:ascii="Arial" w:hAnsi="Arial" w:cs="Arial"/>
                <w:bCs/>
                <w:sz w:val="18"/>
                <w:lang w:val="sq-AL"/>
              </w:rPr>
              <w:t xml:space="preserve"> dovoljno za ~13 godina</w:t>
            </w:r>
          </w:p>
          <w:p w14:paraId="3BACBD8F" w14:textId="0F02200D" w:rsidR="009316F8" w:rsidRPr="00C149AB" w:rsidRDefault="009316F8" w:rsidP="00FE289C">
            <w:pPr>
              <w:spacing w:before="40" w:after="40" w:line="360" w:lineRule="auto"/>
              <w:ind w:right="45"/>
              <w:rPr>
                <w:rFonts w:ascii="Arial" w:hAnsi="Arial" w:cs="Arial"/>
                <w:bCs/>
                <w:sz w:val="18"/>
                <w:lang w:val="sq-AL"/>
              </w:rPr>
            </w:pPr>
            <w:r w:rsidRPr="00C149AB">
              <w:rPr>
                <w:rFonts w:ascii="Arial" w:hAnsi="Arial" w:cs="Arial"/>
                <w:bCs/>
                <w:sz w:val="18"/>
                <w:lang w:val="sq-AL"/>
              </w:rPr>
              <w:t>Postojeći kapacitet na deponiji Možura ~200.000 m</w:t>
            </w:r>
            <w:r w:rsidRPr="00C149AB">
              <w:rPr>
                <w:rFonts w:ascii="Arial" w:hAnsi="Arial" w:cs="Arial"/>
                <w:bCs/>
                <w:sz w:val="18"/>
                <w:vertAlign w:val="superscript"/>
                <w:lang w:val="sq-AL"/>
              </w:rPr>
              <w:t>3</w:t>
            </w:r>
            <w:r w:rsidR="000913EA" w:rsidRPr="00C149AB">
              <w:rPr>
                <w:rFonts w:ascii="Arial" w:hAnsi="Arial" w:cs="Arial"/>
                <w:bCs/>
                <w:sz w:val="18"/>
                <w:vertAlign w:val="superscript"/>
                <w:lang w:val="sq-AL"/>
              </w:rPr>
              <w:t xml:space="preserve"> </w:t>
            </w:r>
            <w:r w:rsidRPr="00C149AB">
              <w:rPr>
                <w:rFonts w:ascii="Arial" w:hAnsi="Arial" w:cs="Arial"/>
                <w:bCs/>
                <w:sz w:val="18"/>
                <w:lang w:val="sq-AL"/>
              </w:rPr>
              <w:t>dovoljno za ~</w:t>
            </w:r>
            <w:r w:rsidR="001B40A0">
              <w:rPr>
                <w:rFonts w:ascii="Arial" w:hAnsi="Arial" w:cs="Arial"/>
                <w:bCs/>
                <w:sz w:val="18"/>
                <w:lang w:val="sq-AL"/>
              </w:rPr>
              <w:t>četiri</w:t>
            </w:r>
            <w:r w:rsidR="001B40A0" w:rsidRPr="00C149AB">
              <w:rPr>
                <w:rFonts w:ascii="Arial" w:hAnsi="Arial" w:cs="Arial"/>
                <w:bCs/>
                <w:sz w:val="18"/>
                <w:lang w:val="sq-AL"/>
              </w:rPr>
              <w:t xml:space="preserve"> </w:t>
            </w:r>
            <w:r w:rsidRPr="00C149AB">
              <w:rPr>
                <w:rFonts w:ascii="Arial" w:hAnsi="Arial" w:cs="Arial"/>
                <w:bCs/>
                <w:sz w:val="18"/>
                <w:lang w:val="sq-AL"/>
              </w:rPr>
              <w:t>godin</w:t>
            </w:r>
            <w:r w:rsidR="00041FF4" w:rsidRPr="00C149AB">
              <w:rPr>
                <w:rFonts w:ascii="Arial" w:hAnsi="Arial" w:cs="Arial"/>
                <w:bCs/>
                <w:sz w:val="18"/>
                <w:lang w:val="sq-AL"/>
              </w:rPr>
              <w:t>e</w:t>
            </w:r>
          </w:p>
          <w:p w14:paraId="6CF0E0C0" w14:textId="72AD37A8" w:rsidR="009316F8" w:rsidRPr="00C149AB" w:rsidRDefault="009316F8" w:rsidP="00FE289C">
            <w:pPr>
              <w:spacing w:before="40" w:after="40" w:line="360" w:lineRule="auto"/>
              <w:ind w:right="45"/>
              <w:rPr>
                <w:rFonts w:ascii="Arial" w:hAnsi="Arial" w:cs="Arial"/>
                <w:bCs/>
                <w:sz w:val="18"/>
                <w:lang w:val="sq-AL" w:eastAsia="el-GR"/>
              </w:rPr>
            </w:pPr>
          </w:p>
        </w:tc>
        <w:tc>
          <w:tcPr>
            <w:tcW w:w="3241" w:type="dxa"/>
            <w:vAlign w:val="center"/>
          </w:tcPr>
          <w:p w14:paraId="6FEB22BA" w14:textId="53964948" w:rsidR="009316F8" w:rsidRPr="00C149AB" w:rsidRDefault="00041FF4" w:rsidP="00FE289C">
            <w:pPr>
              <w:spacing w:before="40" w:after="40" w:line="360" w:lineRule="auto"/>
              <w:ind w:right="45"/>
              <w:rPr>
                <w:rFonts w:ascii="Arial" w:hAnsi="Arial" w:cs="Arial"/>
                <w:bCs/>
                <w:sz w:val="18"/>
                <w:lang w:val="sq-AL"/>
              </w:rPr>
            </w:pPr>
            <w:r w:rsidRPr="00C149AB">
              <w:rPr>
                <w:rFonts w:ascii="Arial" w:hAnsi="Arial" w:cs="Arial"/>
                <w:bCs/>
                <w:sz w:val="18"/>
                <w:lang w:val="sq-AL"/>
              </w:rPr>
              <w:t>Kriterijumi</w:t>
            </w:r>
            <w:r w:rsidR="009316F8" w:rsidRPr="00C149AB">
              <w:rPr>
                <w:rFonts w:ascii="Arial" w:hAnsi="Arial" w:cs="Arial"/>
                <w:bCs/>
                <w:sz w:val="18"/>
                <w:lang w:val="sq-AL"/>
              </w:rPr>
              <w:t xml:space="preserve"> i transparentne metodologije za odabir lokacije za deponiju;</w:t>
            </w:r>
          </w:p>
          <w:p w14:paraId="5FB2B43A" w14:textId="59E51B34" w:rsidR="009316F8" w:rsidRPr="00C149AB" w:rsidRDefault="001B40A0" w:rsidP="00FE289C">
            <w:pPr>
              <w:spacing w:before="40" w:after="40" w:line="360" w:lineRule="auto"/>
              <w:ind w:right="45"/>
              <w:rPr>
                <w:rFonts w:ascii="Arial" w:hAnsi="Arial" w:cs="Arial"/>
                <w:bCs/>
                <w:sz w:val="18"/>
                <w:lang w:val="sq-AL"/>
              </w:rPr>
            </w:pPr>
            <w:r>
              <w:rPr>
                <w:rFonts w:ascii="Arial" w:hAnsi="Arial" w:cs="Arial"/>
                <w:bCs/>
                <w:sz w:val="18"/>
                <w:lang w:val="sq-AL"/>
              </w:rPr>
              <w:t>P</w:t>
            </w:r>
            <w:r w:rsidR="009316F8" w:rsidRPr="00C149AB">
              <w:rPr>
                <w:rFonts w:ascii="Arial" w:hAnsi="Arial" w:cs="Arial"/>
                <w:bCs/>
                <w:sz w:val="18"/>
                <w:lang w:val="sq-AL"/>
              </w:rPr>
              <w:t>roširenje postojećih deponija u skladu sa međunarodnim standardima i potrebama za odlaganjem;</w:t>
            </w:r>
          </w:p>
          <w:p w14:paraId="65B90084" w14:textId="5F840677" w:rsidR="009316F8" w:rsidRPr="00C149AB" w:rsidRDefault="009316F8" w:rsidP="00FE289C">
            <w:pPr>
              <w:spacing w:before="40" w:after="40" w:line="360" w:lineRule="auto"/>
              <w:ind w:right="45"/>
              <w:rPr>
                <w:rFonts w:ascii="Arial" w:hAnsi="Arial" w:cs="Arial"/>
                <w:bCs/>
                <w:sz w:val="18"/>
                <w:lang w:val="sq-AL"/>
              </w:rPr>
            </w:pPr>
            <w:r w:rsidRPr="00C149AB">
              <w:rPr>
                <w:rFonts w:ascii="Arial" w:hAnsi="Arial" w:cs="Arial"/>
                <w:bCs/>
                <w:sz w:val="18"/>
                <w:lang w:val="sq-AL"/>
              </w:rPr>
              <w:t>Sprovođenje kampanja za obrazovanje i podizanje svijesti</w:t>
            </w:r>
            <w:r w:rsidR="001B40A0">
              <w:rPr>
                <w:rFonts w:ascii="Arial" w:hAnsi="Arial" w:cs="Arial"/>
                <w:bCs/>
                <w:sz w:val="18"/>
                <w:lang w:val="sq-AL"/>
              </w:rPr>
              <w:t>.</w:t>
            </w:r>
          </w:p>
        </w:tc>
      </w:tr>
    </w:tbl>
    <w:p w14:paraId="43E45B1F" w14:textId="620DA4B4" w:rsidR="009316F8" w:rsidRPr="002A6F4E" w:rsidRDefault="00620A47" w:rsidP="00F57909">
      <w:pPr>
        <w:pStyle w:val="Heading2"/>
      </w:pPr>
      <w:bookmarkStart w:id="1227" w:name="_Toc189759719"/>
      <w:bookmarkStart w:id="1228" w:name="_Toc3386696"/>
      <w:bookmarkStart w:id="1229" w:name="_Toc98752691"/>
      <w:bookmarkStart w:id="1230" w:name="_Toc368960"/>
      <w:bookmarkStart w:id="1231" w:name="_Toc109647318"/>
      <w:bookmarkStart w:id="1232" w:name="_Toc117607232"/>
      <w:bookmarkStart w:id="1233" w:name="_Toc356585"/>
      <w:bookmarkStart w:id="1234" w:name="_Toc2785759"/>
      <w:bookmarkStart w:id="1235" w:name="_Toc121759081"/>
      <w:bookmarkStart w:id="1236" w:name="_Toc193354045"/>
      <w:r>
        <w:t>5.3</w:t>
      </w:r>
      <w:r w:rsidR="009751D2">
        <w:t>8</w:t>
      </w:r>
      <w:r>
        <w:t xml:space="preserve">. </w:t>
      </w:r>
      <w:r w:rsidR="009316F8" w:rsidRPr="002A6F4E">
        <w:t>Zatvaranje i sanacija deponija i odlagališta</w:t>
      </w:r>
      <w:bookmarkEnd w:id="1227"/>
      <w:bookmarkEnd w:id="1236"/>
    </w:p>
    <w:bookmarkEnd w:id="1228"/>
    <w:bookmarkEnd w:id="1229"/>
    <w:bookmarkEnd w:id="1230"/>
    <w:bookmarkEnd w:id="1231"/>
    <w:bookmarkEnd w:id="1232"/>
    <w:bookmarkEnd w:id="1233"/>
    <w:bookmarkEnd w:id="1234"/>
    <w:bookmarkEnd w:id="1235"/>
    <w:p w14:paraId="2A888DCD" w14:textId="45517142" w:rsidR="009316F8" w:rsidRPr="002A6F4E" w:rsidRDefault="009316F8" w:rsidP="009316F8">
      <w:pPr>
        <w:shd w:val="clear" w:color="auto" w:fill="E2EFD9" w:themeFill="accent6" w:themeFillTint="33"/>
        <w:tabs>
          <w:tab w:val="left" w:pos="3225"/>
        </w:tabs>
        <w:spacing w:before="120" w:after="120" w:line="360" w:lineRule="auto"/>
        <w:rPr>
          <w:rFonts w:ascii="Arial" w:hAnsi="Arial" w:cs="Arial"/>
          <w:i/>
          <w:lang w:val="sq-AL"/>
        </w:rPr>
      </w:pPr>
      <w:r w:rsidRPr="00EB4CC2">
        <w:rPr>
          <w:rFonts w:ascii="Arial" w:hAnsi="Arial" w:cs="Arial"/>
          <w:b/>
          <w:lang w:val="sq-AL"/>
        </w:rPr>
        <w:t>Cilj</w:t>
      </w:r>
      <w:r w:rsidRPr="00EB4CC2">
        <w:rPr>
          <w:rFonts w:ascii="Arial" w:hAnsi="Arial" w:cs="Arial"/>
          <w:i/>
          <w:lang w:val="sq-AL"/>
        </w:rPr>
        <w:t>: Crna Gora će se pretvoriti u društvo sa „nula deponija“.</w:t>
      </w:r>
    </w:p>
    <w:p w14:paraId="53B4CDA2" w14:textId="77777777" w:rsidR="009316F8" w:rsidRPr="002A6F4E" w:rsidRDefault="009316F8" w:rsidP="009316F8">
      <w:pPr>
        <w:tabs>
          <w:tab w:val="left" w:pos="3225"/>
        </w:tabs>
        <w:spacing w:before="120" w:after="120" w:line="360" w:lineRule="auto"/>
        <w:rPr>
          <w:rFonts w:ascii="Arial" w:hAnsi="Arial" w:cs="Arial"/>
          <w:lang w:val="sq-AL"/>
        </w:rPr>
      </w:pPr>
      <w:r w:rsidRPr="002A6F4E">
        <w:rPr>
          <w:rFonts w:ascii="Arial" w:hAnsi="Arial" w:cs="Arial"/>
          <w:lang w:val="sq-AL"/>
        </w:rPr>
        <w:t>Ovo poglavlje se odnosi na zatvaranje i sanaciju postojećih odlagališta otpada uključujući:</w:t>
      </w:r>
    </w:p>
    <w:p w14:paraId="5A41A9B9" w14:textId="220C05D3" w:rsidR="009316F8" w:rsidRPr="002A6F4E" w:rsidRDefault="009316F8" w:rsidP="00A23ED0">
      <w:pPr>
        <w:pStyle w:val="ListParagraph"/>
        <w:numPr>
          <w:ilvl w:val="0"/>
          <w:numId w:val="63"/>
        </w:numPr>
        <w:spacing w:before="120" w:after="120" w:line="360" w:lineRule="auto"/>
        <w:rPr>
          <w:rFonts w:ascii="Arial" w:hAnsi="Arial" w:cs="Arial"/>
          <w:lang w:val="sq-AL"/>
        </w:rPr>
      </w:pPr>
      <w:r w:rsidRPr="002A6F4E">
        <w:rPr>
          <w:rFonts w:ascii="Arial" w:hAnsi="Arial" w:cs="Arial"/>
          <w:b/>
          <w:u w:val="single"/>
          <w:lang w:val="sq-AL"/>
        </w:rPr>
        <w:t>Nelegalna ili otvorena odlagališta</w:t>
      </w:r>
      <w:r w:rsidRPr="002A6F4E">
        <w:rPr>
          <w:rFonts w:ascii="Arial" w:hAnsi="Arial" w:cs="Arial"/>
          <w:lang w:val="sq-AL"/>
        </w:rPr>
        <w:t xml:space="preserve"> odnose se na nekontrolisane procese koj</w:t>
      </w:r>
      <w:r w:rsidR="00041FF4">
        <w:rPr>
          <w:rFonts w:ascii="Arial" w:hAnsi="Arial" w:cs="Arial"/>
          <w:lang w:val="sq-AL"/>
        </w:rPr>
        <w:t>i</w:t>
      </w:r>
      <w:r w:rsidRPr="002A6F4E">
        <w:rPr>
          <w:rFonts w:ascii="Arial" w:hAnsi="Arial" w:cs="Arial"/>
          <w:lang w:val="sq-AL"/>
        </w:rPr>
        <w:t xml:space="preserve"> se uočavaju na većini odlagališta. Nije uzeta u obzir geološka ili topografska pogodnost lokacije. Lokacija odlagališta otpada je najvjerovatnije izabrana jer je to najjeftinije zemljište koje nije uticalo na interesne grupe unutar opštine. </w:t>
      </w:r>
      <w:r w:rsidR="00055E0C">
        <w:rPr>
          <w:rFonts w:ascii="Arial" w:hAnsi="Arial" w:cs="Arial"/>
          <w:lang w:val="sq-AL"/>
        </w:rPr>
        <w:t>P</w:t>
      </w:r>
      <w:r w:rsidRPr="002A6F4E">
        <w:rPr>
          <w:rFonts w:ascii="Arial" w:hAnsi="Arial" w:cs="Arial"/>
          <w:lang w:val="sq-AL"/>
        </w:rPr>
        <w:t>ripremni zemljani radovi ili inžinjering na gradilištu ni</w:t>
      </w:r>
      <w:r w:rsidR="00041FF4">
        <w:rPr>
          <w:rFonts w:ascii="Arial" w:hAnsi="Arial" w:cs="Arial"/>
          <w:lang w:val="sq-AL"/>
        </w:rPr>
        <w:t>je</w:t>
      </w:r>
      <w:r w:rsidRPr="002A6F4E">
        <w:rPr>
          <w:rFonts w:ascii="Arial" w:hAnsi="Arial" w:cs="Arial"/>
          <w:lang w:val="sq-AL"/>
        </w:rPr>
        <w:t>su obavljeni i skoro da se ne vrši kontrola nad radom lokacije ili načinom na koji se otpad odlaže. Uobičajeni su požari i urušavanja na padinama;</w:t>
      </w:r>
    </w:p>
    <w:p w14:paraId="2419114D" w14:textId="37A9B317" w:rsidR="009316F8" w:rsidRPr="002A6F4E" w:rsidRDefault="009316F8" w:rsidP="00A23ED0">
      <w:pPr>
        <w:pStyle w:val="ListParagraph"/>
        <w:numPr>
          <w:ilvl w:val="0"/>
          <w:numId w:val="63"/>
        </w:numPr>
        <w:spacing w:before="120" w:after="120" w:line="360" w:lineRule="auto"/>
        <w:rPr>
          <w:rFonts w:ascii="Arial" w:hAnsi="Arial" w:cs="Arial"/>
          <w:lang w:val="sq-AL"/>
        </w:rPr>
      </w:pPr>
      <w:r w:rsidRPr="002A6F4E">
        <w:rPr>
          <w:rFonts w:ascii="Arial" w:hAnsi="Arial" w:cs="Arial"/>
          <w:b/>
          <w:u w:val="single"/>
          <w:lang w:val="sq-AL"/>
        </w:rPr>
        <w:t>Kontrolisano odlagalište otpada</w:t>
      </w:r>
      <w:r w:rsidRPr="002A6F4E">
        <w:rPr>
          <w:rFonts w:ascii="Arial" w:hAnsi="Arial" w:cs="Arial"/>
          <w:lang w:val="sq-AL"/>
        </w:rPr>
        <w:t xml:space="preserve"> </w:t>
      </w:r>
      <w:r w:rsidR="00055E0C">
        <w:rPr>
          <w:rFonts w:ascii="Arial" w:hAnsi="Arial" w:cs="Arial"/>
          <w:lang w:val="sq-AL"/>
        </w:rPr>
        <w:t>karakteriše</w:t>
      </w:r>
      <w:r w:rsidRPr="002A6F4E">
        <w:rPr>
          <w:rFonts w:ascii="Arial" w:hAnsi="Arial" w:cs="Arial"/>
          <w:lang w:val="sq-AL"/>
        </w:rPr>
        <w:t>: smanjena radna površin</w:t>
      </w:r>
      <w:r w:rsidR="00041FF4">
        <w:rPr>
          <w:rFonts w:ascii="Arial" w:hAnsi="Arial" w:cs="Arial"/>
          <w:lang w:val="sq-AL"/>
        </w:rPr>
        <w:t>a</w:t>
      </w:r>
      <w:r w:rsidRPr="002A6F4E">
        <w:rPr>
          <w:rFonts w:ascii="Arial" w:hAnsi="Arial" w:cs="Arial"/>
          <w:lang w:val="sq-AL"/>
        </w:rPr>
        <w:t xml:space="preserve"> lokacije; izloženi otpad  na nepotrebnim dijelovima lokacije pokriven zemljom i uređen nagib; spriječen nastanak novih požara; konstruisane jednostavne mjere za presr</w:t>
      </w:r>
      <w:r w:rsidR="00041FF4">
        <w:rPr>
          <w:rFonts w:ascii="Arial" w:hAnsi="Arial" w:cs="Arial"/>
          <w:lang w:val="sq-AL"/>
        </w:rPr>
        <w:t>ij</w:t>
      </w:r>
      <w:r w:rsidRPr="002A6F4E">
        <w:rPr>
          <w:rFonts w:ascii="Arial" w:hAnsi="Arial" w:cs="Arial"/>
          <w:lang w:val="sq-AL"/>
        </w:rPr>
        <w:t>etanje površinskih voda; i uspostavljena pravila rada na lokaciji</w:t>
      </w:r>
      <w:r w:rsidR="00041FF4">
        <w:rPr>
          <w:rFonts w:ascii="Arial" w:hAnsi="Arial" w:cs="Arial"/>
          <w:lang w:val="sq-AL"/>
        </w:rPr>
        <w:t xml:space="preserve"> za radnike, </w:t>
      </w:r>
      <w:r w:rsidRPr="002A6F4E">
        <w:rPr>
          <w:rFonts w:ascii="Arial" w:hAnsi="Arial" w:cs="Arial"/>
          <w:lang w:val="sq-AL"/>
        </w:rPr>
        <w:t xml:space="preserve">vozače i </w:t>
      </w:r>
      <w:r w:rsidR="00041FF4">
        <w:rPr>
          <w:rFonts w:ascii="Arial" w:hAnsi="Arial" w:cs="Arial"/>
          <w:lang w:val="sq-AL"/>
        </w:rPr>
        <w:t>ostale.</w:t>
      </w:r>
      <w:r w:rsidRPr="002A6F4E">
        <w:rPr>
          <w:rFonts w:ascii="Arial" w:hAnsi="Arial" w:cs="Arial"/>
          <w:lang w:val="sq-AL"/>
        </w:rPr>
        <w:t xml:space="preserve"> Svrha i prednosti ovih operativnih poboljšanja je da se mogu brzo uvesti, potrebno je malo ili nimalo dodatnih ulaganja i uvodi </w:t>
      </w:r>
      <w:r w:rsidR="00041FF4">
        <w:rPr>
          <w:rFonts w:ascii="Arial" w:hAnsi="Arial" w:cs="Arial"/>
          <w:lang w:val="sq-AL"/>
        </w:rPr>
        <w:t xml:space="preserve">se </w:t>
      </w:r>
      <w:r w:rsidRPr="002A6F4E">
        <w:rPr>
          <w:rFonts w:ascii="Arial" w:hAnsi="Arial" w:cs="Arial"/>
          <w:lang w:val="sq-AL"/>
        </w:rPr>
        <w:t xml:space="preserve">koncept „kontrole“ u proces odlaganja otpada. Ovo je faza razvoja </w:t>
      </w:r>
      <w:r w:rsidR="00E00F6E">
        <w:rPr>
          <w:rFonts w:ascii="Arial" w:hAnsi="Arial" w:cs="Arial"/>
          <w:lang w:val="sq-AL"/>
        </w:rPr>
        <w:t>odlagališta</w:t>
      </w:r>
      <w:r w:rsidRPr="002A6F4E">
        <w:rPr>
          <w:rFonts w:ascii="Arial" w:hAnsi="Arial" w:cs="Arial"/>
          <w:lang w:val="sq-AL"/>
        </w:rPr>
        <w:t xml:space="preserve"> koja se može postići u kratkom roku na postojećim opštinskim otvorenim odlagalištima otpada.</w:t>
      </w:r>
    </w:p>
    <w:p w14:paraId="70B96A72" w14:textId="5D1CD17A" w:rsidR="009316F8" w:rsidRPr="002A6F4E" w:rsidRDefault="009316F8" w:rsidP="00A23ED0">
      <w:pPr>
        <w:pStyle w:val="ListParagraph"/>
        <w:numPr>
          <w:ilvl w:val="0"/>
          <w:numId w:val="63"/>
        </w:numPr>
        <w:spacing w:before="120" w:after="120" w:line="360" w:lineRule="auto"/>
        <w:contextualSpacing w:val="0"/>
        <w:rPr>
          <w:rFonts w:ascii="Arial" w:hAnsi="Arial" w:cs="Arial"/>
          <w:lang w:val="sq-AL"/>
        </w:rPr>
      </w:pPr>
      <w:r w:rsidRPr="002A6F4E">
        <w:rPr>
          <w:rFonts w:ascii="Arial" w:hAnsi="Arial" w:cs="Arial"/>
          <w:b/>
          <w:u w:val="single"/>
          <w:lang w:val="sq-AL"/>
        </w:rPr>
        <w:t>Projektovane deponije</w:t>
      </w:r>
      <w:r w:rsidRPr="002A6F4E">
        <w:rPr>
          <w:rFonts w:ascii="Arial" w:hAnsi="Arial" w:cs="Arial"/>
          <w:lang w:val="sq-AL"/>
        </w:rPr>
        <w:t xml:space="preserve"> okarakterisane su kao odlagališta gdje, kroz planiranje prije izgradnje ili kroz modifikacije na postojećoj lokaciji, dolazi do postepenog i očiglednog usvajanja inženjerskih tehnika za kontrolu površinskih voda, pokrivanje i sabijanje odloženog otpada, uklanjanje ocjednih voda koliko god je to moguće i ukoliko je  moguće i pasivno povratiti biogas.</w:t>
      </w:r>
    </w:p>
    <w:p w14:paraId="14358F74" w14:textId="565CA857" w:rsidR="009316F8" w:rsidRPr="002A6F4E" w:rsidRDefault="009316F8" w:rsidP="009316F8">
      <w:pPr>
        <w:tabs>
          <w:tab w:val="left" w:pos="3225"/>
        </w:tabs>
        <w:spacing w:before="120" w:after="120" w:line="360" w:lineRule="auto"/>
        <w:rPr>
          <w:rFonts w:ascii="Arial" w:hAnsi="Arial" w:cs="Arial"/>
          <w:lang w:val="sq-AL"/>
        </w:rPr>
      </w:pPr>
      <w:r w:rsidRPr="002A6F4E">
        <w:rPr>
          <w:rFonts w:ascii="Arial" w:hAnsi="Arial" w:cs="Arial"/>
          <w:lang w:val="sq-AL"/>
        </w:rPr>
        <w:t>N</w:t>
      </w:r>
      <w:r w:rsidR="00E00F6E">
        <w:rPr>
          <w:rFonts w:ascii="Arial" w:hAnsi="Arial" w:cs="Arial"/>
          <w:lang w:val="sq-AL"/>
        </w:rPr>
        <w:t xml:space="preserve">aredni period </w:t>
      </w:r>
      <w:r w:rsidRPr="002A6F4E">
        <w:rPr>
          <w:rFonts w:ascii="Arial" w:hAnsi="Arial" w:cs="Arial"/>
          <w:lang w:val="sq-AL"/>
        </w:rPr>
        <w:t>upravljanja otpadom u Crnoj Gori trebalo bi da obilježi:</w:t>
      </w:r>
    </w:p>
    <w:p w14:paraId="65CD0851" w14:textId="77777777" w:rsidR="009316F8" w:rsidRPr="002A6F4E" w:rsidRDefault="009316F8" w:rsidP="00A23ED0">
      <w:pPr>
        <w:pStyle w:val="ListParagraph"/>
        <w:numPr>
          <w:ilvl w:val="0"/>
          <w:numId w:val="64"/>
        </w:numPr>
        <w:tabs>
          <w:tab w:val="left" w:pos="3225"/>
        </w:tabs>
        <w:spacing w:before="120" w:after="120" w:line="360" w:lineRule="auto"/>
        <w:contextualSpacing w:val="0"/>
        <w:rPr>
          <w:rFonts w:ascii="Arial" w:hAnsi="Arial" w:cs="Arial"/>
          <w:b/>
          <w:lang w:val="sq-AL"/>
        </w:rPr>
      </w:pPr>
      <w:r w:rsidRPr="002A6F4E">
        <w:rPr>
          <w:rFonts w:ascii="Arial" w:hAnsi="Arial" w:cs="Arial"/>
          <w:b/>
          <w:lang w:val="sq-AL"/>
        </w:rPr>
        <w:t xml:space="preserve">Zabrana </w:t>
      </w:r>
      <w:r w:rsidRPr="002A6F4E">
        <w:rPr>
          <w:rFonts w:ascii="Arial" w:hAnsi="Arial" w:cs="Arial"/>
          <w:bCs/>
          <w:lang w:val="sq-AL"/>
        </w:rPr>
        <w:t>stvaranja novih odlagališta;</w:t>
      </w:r>
    </w:p>
    <w:p w14:paraId="05C4E797" w14:textId="77777777" w:rsidR="009316F8" w:rsidRPr="002A6F4E" w:rsidRDefault="009316F8" w:rsidP="00A23ED0">
      <w:pPr>
        <w:pStyle w:val="ListParagraph"/>
        <w:numPr>
          <w:ilvl w:val="0"/>
          <w:numId w:val="64"/>
        </w:numPr>
        <w:tabs>
          <w:tab w:val="left" w:pos="3225"/>
        </w:tabs>
        <w:spacing w:before="120" w:after="120" w:line="360" w:lineRule="auto"/>
        <w:contextualSpacing w:val="0"/>
        <w:rPr>
          <w:rFonts w:ascii="Arial" w:hAnsi="Arial" w:cs="Arial"/>
          <w:b/>
          <w:lang w:val="sq-AL"/>
        </w:rPr>
      </w:pPr>
      <w:r w:rsidRPr="002A6F4E">
        <w:rPr>
          <w:rFonts w:ascii="Arial" w:hAnsi="Arial" w:cs="Arial"/>
          <w:b/>
          <w:lang w:val="sq-AL"/>
        </w:rPr>
        <w:t xml:space="preserve">Zabrana </w:t>
      </w:r>
      <w:r w:rsidRPr="002A6F4E">
        <w:rPr>
          <w:rFonts w:ascii="Arial" w:hAnsi="Arial" w:cs="Arial"/>
          <w:bCs/>
          <w:lang w:val="sq-AL"/>
        </w:rPr>
        <w:t>spaljivanja otpada na odlagalištima;</w:t>
      </w:r>
    </w:p>
    <w:p w14:paraId="6DF54F5D" w14:textId="77777777" w:rsidR="009316F8" w:rsidRPr="009F4422" w:rsidRDefault="009316F8" w:rsidP="00A23ED0">
      <w:pPr>
        <w:pStyle w:val="ListParagraph"/>
        <w:numPr>
          <w:ilvl w:val="0"/>
          <w:numId w:val="64"/>
        </w:numPr>
        <w:tabs>
          <w:tab w:val="left" w:pos="3225"/>
        </w:tabs>
        <w:spacing w:before="120" w:after="120" w:line="360" w:lineRule="auto"/>
        <w:contextualSpacing w:val="0"/>
        <w:rPr>
          <w:rFonts w:ascii="Arial" w:hAnsi="Arial" w:cs="Arial"/>
          <w:b/>
          <w:lang w:val="sq-AL"/>
        </w:rPr>
      </w:pPr>
      <w:r w:rsidRPr="009F4422">
        <w:rPr>
          <w:rFonts w:ascii="Arial" w:hAnsi="Arial" w:cs="Arial"/>
          <w:b/>
          <w:lang w:val="sq-AL"/>
        </w:rPr>
        <w:lastRenderedPageBreak/>
        <w:t>Zatvaranje i sanacija svih postojećih deponija do 2030. godine.</w:t>
      </w:r>
    </w:p>
    <w:p w14:paraId="76F295DF" w14:textId="4E38A221" w:rsidR="009316F8" w:rsidRPr="003D7619" w:rsidRDefault="00620A47" w:rsidP="007378E8">
      <w:pPr>
        <w:pStyle w:val="Heading3"/>
        <w:rPr>
          <w:lang w:val="sq-AL"/>
        </w:rPr>
      </w:pPr>
      <w:bookmarkStart w:id="1237" w:name="_Toc189759720"/>
      <w:bookmarkStart w:id="1238" w:name="_Toc193354046"/>
      <w:r w:rsidRPr="003D7619">
        <w:rPr>
          <w:lang w:val="sq-AL"/>
        </w:rPr>
        <w:t>5.3</w:t>
      </w:r>
      <w:r w:rsidR="009751D2">
        <w:rPr>
          <w:lang w:val="sq-AL"/>
        </w:rPr>
        <w:t>8</w:t>
      </w:r>
      <w:r w:rsidRPr="003D7619">
        <w:rPr>
          <w:lang w:val="sq-AL"/>
        </w:rPr>
        <w:t>.1</w:t>
      </w:r>
      <w:r w:rsidR="00266D6E" w:rsidRPr="003D7619">
        <w:rPr>
          <w:lang w:val="sq-AL"/>
        </w:rPr>
        <w:t xml:space="preserve">. </w:t>
      </w:r>
      <w:r w:rsidR="009316F8" w:rsidRPr="003D7619">
        <w:rPr>
          <w:lang w:val="sq-AL"/>
        </w:rPr>
        <w:t>Tehnički elementi</w:t>
      </w:r>
      <w:bookmarkEnd w:id="1237"/>
      <w:bookmarkEnd w:id="1238"/>
    </w:p>
    <w:p w14:paraId="536C8C37" w14:textId="4D95FB0B"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 xml:space="preserve">U Crnoj Gori postoji </w:t>
      </w:r>
      <w:r w:rsidR="00B52EAD">
        <w:rPr>
          <w:rFonts w:ascii="Arial" w:hAnsi="Arial" w:cs="Arial"/>
          <w:lang w:val="sq-AL"/>
        </w:rPr>
        <w:t>devetnaest (</w:t>
      </w:r>
      <w:r w:rsidRPr="002A6F4E">
        <w:rPr>
          <w:rFonts w:ascii="Arial" w:hAnsi="Arial" w:cs="Arial"/>
          <w:lang w:val="sq-AL"/>
        </w:rPr>
        <w:t>19</w:t>
      </w:r>
      <w:r w:rsidR="00B52EAD">
        <w:rPr>
          <w:rFonts w:ascii="Arial" w:hAnsi="Arial" w:cs="Arial"/>
          <w:lang w:val="sq-AL"/>
        </w:rPr>
        <w:t>)</w:t>
      </w:r>
      <w:r w:rsidRPr="002A6F4E">
        <w:rPr>
          <w:rFonts w:ascii="Arial" w:hAnsi="Arial" w:cs="Arial"/>
          <w:lang w:val="sq-AL"/>
        </w:rPr>
        <w:t xml:space="preserve"> operativnih kontrolisanih odlagališta otpada, dok su 33</w:t>
      </w:r>
      <w:r w:rsidR="001A147E">
        <w:rPr>
          <w:rFonts w:ascii="Arial" w:hAnsi="Arial" w:cs="Arial"/>
          <w:lang w:val="sq-AL"/>
        </w:rPr>
        <w:t>4</w:t>
      </w:r>
      <w:r w:rsidRPr="002A6F4E">
        <w:rPr>
          <w:rFonts w:ascii="Arial" w:hAnsi="Arial" w:cs="Arial"/>
          <w:lang w:val="sq-AL"/>
        </w:rPr>
        <w:t xml:space="preserve"> </w:t>
      </w:r>
      <w:r w:rsidR="00B52EAD">
        <w:rPr>
          <w:rFonts w:ascii="Arial" w:hAnsi="Arial" w:cs="Arial"/>
          <w:lang w:val="sq-AL"/>
        </w:rPr>
        <w:t>neuređena</w:t>
      </w:r>
      <w:r w:rsidRPr="002A6F4E">
        <w:rPr>
          <w:rFonts w:ascii="Arial" w:hAnsi="Arial" w:cs="Arial"/>
          <w:lang w:val="sq-AL"/>
        </w:rPr>
        <w:t>odlagališta  rasprostranjene širom zemlje.</w:t>
      </w:r>
    </w:p>
    <w:p w14:paraId="064BEBBB" w14:textId="77777777"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Ciljevi u vezi sa sanacijom deponija i odlagališta su:</w:t>
      </w:r>
    </w:p>
    <w:p w14:paraId="299F1EEE" w14:textId="17FCEE23" w:rsidR="009316F8" w:rsidRPr="002A6F4E" w:rsidRDefault="009316F8" w:rsidP="00A23ED0">
      <w:pPr>
        <w:pStyle w:val="ListParagraph"/>
        <w:numPr>
          <w:ilvl w:val="0"/>
          <w:numId w:val="64"/>
        </w:numPr>
        <w:tabs>
          <w:tab w:val="left" w:pos="3225"/>
        </w:tabs>
        <w:spacing w:before="120" w:after="120" w:line="360" w:lineRule="auto"/>
        <w:contextualSpacing w:val="0"/>
        <w:rPr>
          <w:rFonts w:ascii="Arial" w:hAnsi="Arial" w:cs="Arial"/>
          <w:lang w:val="sq-AL"/>
        </w:rPr>
      </w:pPr>
      <w:r w:rsidRPr="002A6F4E">
        <w:rPr>
          <w:rFonts w:ascii="Arial" w:hAnsi="Arial" w:cs="Arial"/>
          <w:lang w:val="sq-AL"/>
        </w:rPr>
        <w:t>Krajnja upotreba zemljišta je bezbjedna, stabilna, nezagađujuća i održiva;</w:t>
      </w:r>
    </w:p>
    <w:p w14:paraId="58725A90" w14:textId="77777777" w:rsidR="009316F8" w:rsidRPr="002A6F4E" w:rsidRDefault="009316F8" w:rsidP="00A23ED0">
      <w:pPr>
        <w:pStyle w:val="ListParagraph"/>
        <w:numPr>
          <w:ilvl w:val="0"/>
          <w:numId w:val="64"/>
        </w:numPr>
        <w:tabs>
          <w:tab w:val="left" w:pos="3225"/>
        </w:tabs>
        <w:spacing w:before="120" w:after="120" w:line="360" w:lineRule="auto"/>
        <w:contextualSpacing w:val="0"/>
        <w:rPr>
          <w:rFonts w:ascii="Arial" w:hAnsi="Arial" w:cs="Arial"/>
          <w:lang w:val="sq-AL"/>
        </w:rPr>
      </w:pPr>
      <w:r w:rsidRPr="002A6F4E">
        <w:rPr>
          <w:rFonts w:ascii="Arial" w:hAnsi="Arial" w:cs="Arial"/>
          <w:lang w:val="sq-AL"/>
        </w:rPr>
        <w:t>Obnovljeno zemljište je samoodrživo ili su zahtjevi za održavanje u skladu sa dogovorenim korišćenjem zemljišta nakon zatvaranja;</w:t>
      </w:r>
    </w:p>
    <w:p w14:paraId="360938CE" w14:textId="77777777" w:rsidR="009316F8" w:rsidRPr="002A6F4E" w:rsidRDefault="009316F8" w:rsidP="00A23ED0">
      <w:pPr>
        <w:pStyle w:val="ListParagraph"/>
        <w:numPr>
          <w:ilvl w:val="0"/>
          <w:numId w:val="64"/>
        </w:numPr>
        <w:tabs>
          <w:tab w:val="left" w:pos="3225"/>
        </w:tabs>
        <w:spacing w:before="120" w:after="120" w:line="360" w:lineRule="auto"/>
        <w:contextualSpacing w:val="0"/>
        <w:rPr>
          <w:rFonts w:ascii="Arial" w:hAnsi="Arial" w:cs="Arial"/>
          <w:lang w:val="sq-AL"/>
        </w:rPr>
      </w:pPr>
      <w:r w:rsidRPr="002A6F4E">
        <w:rPr>
          <w:rFonts w:ascii="Arial" w:hAnsi="Arial" w:cs="Arial"/>
          <w:lang w:val="sq-AL"/>
        </w:rPr>
        <w:t>Postizanje prihvatljive namjene  korišćenja zemljišta nakon zatvaranja odlagališta/deponije;</w:t>
      </w:r>
    </w:p>
    <w:p w14:paraId="1AD4FF4B" w14:textId="15CB6AF5" w:rsidR="009316F8" w:rsidRPr="002A6F4E" w:rsidRDefault="009316F8" w:rsidP="00A23ED0">
      <w:pPr>
        <w:pStyle w:val="ListParagraph"/>
        <w:numPr>
          <w:ilvl w:val="0"/>
          <w:numId w:val="64"/>
        </w:numPr>
        <w:tabs>
          <w:tab w:val="left" w:pos="3225"/>
        </w:tabs>
        <w:spacing w:before="120" w:after="120" w:line="360" w:lineRule="auto"/>
        <w:contextualSpacing w:val="0"/>
        <w:rPr>
          <w:rFonts w:ascii="Arial" w:hAnsi="Arial" w:cs="Arial"/>
          <w:lang w:val="sq-AL"/>
        </w:rPr>
      </w:pPr>
      <w:r w:rsidRPr="002A6F4E">
        <w:rPr>
          <w:rFonts w:ascii="Arial" w:hAnsi="Arial" w:cs="Arial"/>
          <w:lang w:val="sq-AL"/>
        </w:rPr>
        <w:t xml:space="preserve">Kvalitet vode </w:t>
      </w:r>
      <w:r w:rsidR="008D109D">
        <w:rPr>
          <w:rFonts w:ascii="Arial" w:hAnsi="Arial" w:cs="Arial"/>
          <w:lang w:val="sq-AL"/>
        </w:rPr>
        <w:t>osta</w:t>
      </w:r>
      <w:r w:rsidRPr="002A6F4E">
        <w:rPr>
          <w:rFonts w:ascii="Arial" w:hAnsi="Arial" w:cs="Arial"/>
          <w:lang w:val="sq-AL"/>
        </w:rPr>
        <w:t>je očuvan;</w:t>
      </w:r>
    </w:p>
    <w:p w14:paraId="16B16713" w14:textId="21F0998B" w:rsidR="009316F8" w:rsidRDefault="009316F8" w:rsidP="00A23ED0">
      <w:pPr>
        <w:pStyle w:val="ListParagraph"/>
        <w:numPr>
          <w:ilvl w:val="0"/>
          <w:numId w:val="64"/>
        </w:numPr>
        <w:tabs>
          <w:tab w:val="left" w:pos="3225"/>
        </w:tabs>
        <w:spacing w:before="120" w:after="120" w:line="360" w:lineRule="auto"/>
        <w:contextualSpacing w:val="0"/>
        <w:rPr>
          <w:rFonts w:ascii="Arial" w:hAnsi="Arial" w:cs="Arial"/>
          <w:lang w:val="sq-AL"/>
        </w:rPr>
      </w:pPr>
      <w:r w:rsidRPr="002A6F4E">
        <w:rPr>
          <w:rFonts w:ascii="Arial" w:hAnsi="Arial" w:cs="Arial"/>
          <w:lang w:val="sq-AL"/>
        </w:rPr>
        <w:t>Preostale izgrađene strukture pogođene slijeganjem tla se popravljaju ili je napravljena kompenzacija</w:t>
      </w:r>
      <w:r w:rsidR="008D109D" w:rsidRPr="002A6F4E">
        <w:rPr>
          <w:rFonts w:ascii="Arial" w:hAnsi="Arial" w:cs="Arial"/>
          <w:lang w:val="sq-AL"/>
        </w:rPr>
        <w:t>;</w:t>
      </w:r>
    </w:p>
    <w:p w14:paraId="071E3CCF" w14:textId="0062A7C3" w:rsidR="008D109D" w:rsidRPr="002A6F4E" w:rsidRDefault="00200C7B" w:rsidP="00A23ED0">
      <w:pPr>
        <w:pStyle w:val="ListParagraph"/>
        <w:numPr>
          <w:ilvl w:val="0"/>
          <w:numId w:val="64"/>
        </w:numPr>
        <w:tabs>
          <w:tab w:val="left" w:pos="3225"/>
        </w:tabs>
        <w:spacing w:before="120" w:after="120" w:line="360" w:lineRule="auto"/>
        <w:contextualSpacing w:val="0"/>
        <w:rPr>
          <w:rFonts w:ascii="Arial" w:hAnsi="Arial" w:cs="Arial"/>
          <w:lang w:val="sq-AL"/>
        </w:rPr>
      </w:pPr>
      <w:r>
        <w:rPr>
          <w:rFonts w:ascii="Arial" w:hAnsi="Arial" w:cs="Arial"/>
          <w:lang w:val="sq-AL"/>
        </w:rPr>
        <w:t>J</w:t>
      </w:r>
      <w:r w:rsidR="008D109D">
        <w:rPr>
          <w:rFonts w:ascii="Arial" w:hAnsi="Arial" w:cs="Arial"/>
          <w:lang w:val="sq-AL"/>
        </w:rPr>
        <w:t>edini</w:t>
      </w:r>
      <w:r w:rsidR="007371CF">
        <w:rPr>
          <w:rFonts w:ascii="Arial" w:hAnsi="Arial" w:cs="Arial"/>
          <w:lang w:val="sq-AL"/>
        </w:rPr>
        <w:t>c</w:t>
      </w:r>
      <w:r>
        <w:rPr>
          <w:rFonts w:ascii="Arial" w:hAnsi="Arial" w:cs="Arial"/>
          <w:lang w:val="sq-AL"/>
        </w:rPr>
        <w:t xml:space="preserve">e </w:t>
      </w:r>
      <w:r w:rsidR="007371CF">
        <w:rPr>
          <w:rFonts w:ascii="Arial" w:hAnsi="Arial" w:cs="Arial"/>
          <w:lang w:val="sq-AL"/>
        </w:rPr>
        <w:t>lokalne samouprave</w:t>
      </w:r>
      <w:r>
        <w:rPr>
          <w:rFonts w:ascii="Arial" w:hAnsi="Arial" w:cs="Arial"/>
          <w:lang w:val="sq-AL"/>
        </w:rPr>
        <w:t xml:space="preserve"> su u obavezi</w:t>
      </w:r>
      <w:r w:rsidR="007371CF">
        <w:rPr>
          <w:rFonts w:ascii="Arial" w:hAnsi="Arial" w:cs="Arial"/>
          <w:lang w:val="sq-AL"/>
        </w:rPr>
        <w:t xml:space="preserve"> da 50% </w:t>
      </w:r>
      <w:r w:rsidR="008D109D">
        <w:rPr>
          <w:rFonts w:ascii="Arial" w:hAnsi="Arial" w:cs="Arial"/>
          <w:lang w:val="sq-AL"/>
        </w:rPr>
        <w:t>neuređenih odlagališta saniraju i da o tome o</w:t>
      </w:r>
      <w:r w:rsidR="007371CF">
        <w:rPr>
          <w:rFonts w:ascii="Arial" w:hAnsi="Arial" w:cs="Arial"/>
          <w:lang w:val="sq-AL"/>
        </w:rPr>
        <w:t>bavijeste MERS do 2026. godine.</w:t>
      </w:r>
    </w:p>
    <w:p w14:paraId="2ECC0803" w14:textId="77777777"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Može se primijeniti nekoliko sanacionih mjera uključujući:</w:t>
      </w:r>
    </w:p>
    <w:p w14:paraId="645C3933" w14:textId="0DCCA6AC" w:rsidR="009316F8" w:rsidRPr="002A6F4E" w:rsidRDefault="009316F8" w:rsidP="00A23ED0">
      <w:pPr>
        <w:pStyle w:val="ListParagraph"/>
        <w:numPr>
          <w:ilvl w:val="0"/>
          <w:numId w:val="65"/>
        </w:numPr>
        <w:spacing w:before="120" w:after="120" w:line="360" w:lineRule="auto"/>
        <w:contextualSpacing w:val="0"/>
        <w:rPr>
          <w:rFonts w:ascii="Arial" w:hAnsi="Arial" w:cs="Arial"/>
          <w:lang w:val="sq-AL"/>
        </w:rPr>
      </w:pPr>
      <w:r w:rsidRPr="002A6F4E">
        <w:rPr>
          <w:rFonts w:ascii="Arial" w:hAnsi="Arial" w:cs="Arial"/>
          <w:lang w:val="sq-AL"/>
        </w:rPr>
        <w:t>Iskopavanje, predtretman i prebacivanje na deponiju;</w:t>
      </w:r>
    </w:p>
    <w:p w14:paraId="410B38C3" w14:textId="34799EB4" w:rsidR="009316F8" w:rsidRPr="002A6F4E" w:rsidRDefault="009316F8" w:rsidP="00A23ED0">
      <w:pPr>
        <w:pStyle w:val="ListParagraph"/>
        <w:numPr>
          <w:ilvl w:val="0"/>
          <w:numId w:val="65"/>
        </w:numPr>
        <w:spacing w:before="120" w:after="120" w:line="360" w:lineRule="auto"/>
        <w:contextualSpacing w:val="0"/>
        <w:rPr>
          <w:rFonts w:ascii="Arial" w:hAnsi="Arial" w:cs="Arial"/>
          <w:lang w:val="sq-AL"/>
        </w:rPr>
      </w:pPr>
      <w:r w:rsidRPr="002A6F4E">
        <w:rPr>
          <w:rFonts w:ascii="Arial" w:hAnsi="Arial" w:cs="Arial"/>
          <w:lang w:val="sq-AL"/>
        </w:rPr>
        <w:t>P</w:t>
      </w:r>
      <w:r w:rsidR="008D109D">
        <w:rPr>
          <w:rFonts w:ascii="Arial" w:hAnsi="Arial" w:cs="Arial"/>
          <w:lang w:val="sq-AL"/>
        </w:rPr>
        <w:t>ro</w:t>
      </w:r>
      <w:r w:rsidRPr="002A6F4E">
        <w:rPr>
          <w:rFonts w:ascii="Arial" w:hAnsi="Arial" w:cs="Arial"/>
          <w:lang w:val="sq-AL"/>
        </w:rPr>
        <w:t>filisanje, zatvaranje, upravljanje gasovima i ocjednim vodama;</w:t>
      </w:r>
    </w:p>
    <w:p w14:paraId="668D6582" w14:textId="4C2B5C31" w:rsidR="009316F8" w:rsidRPr="002A6F4E" w:rsidRDefault="00B52EAD" w:rsidP="00A23ED0">
      <w:pPr>
        <w:pStyle w:val="ListParagraph"/>
        <w:numPr>
          <w:ilvl w:val="0"/>
          <w:numId w:val="65"/>
        </w:numPr>
        <w:spacing w:before="120" w:after="120" w:line="360" w:lineRule="auto"/>
        <w:contextualSpacing w:val="0"/>
        <w:rPr>
          <w:rFonts w:ascii="Arial" w:hAnsi="Arial" w:cs="Arial"/>
          <w:lang w:val="sq-AL"/>
        </w:rPr>
      </w:pPr>
      <w:r>
        <w:rPr>
          <w:rFonts w:ascii="Arial" w:hAnsi="Arial" w:cs="Arial"/>
          <w:lang w:val="sq-AL"/>
        </w:rPr>
        <w:t>P</w:t>
      </w:r>
      <w:r w:rsidR="009316F8" w:rsidRPr="002A6F4E">
        <w:rPr>
          <w:rFonts w:ascii="Arial" w:hAnsi="Arial" w:cs="Arial"/>
          <w:lang w:val="sq-AL"/>
        </w:rPr>
        <w:t>rebacivanje</w:t>
      </w:r>
      <w:r>
        <w:rPr>
          <w:rFonts w:ascii="Arial" w:hAnsi="Arial" w:cs="Arial"/>
          <w:lang w:val="sq-AL"/>
        </w:rPr>
        <w:t xml:space="preserve"> otpada</w:t>
      </w:r>
      <w:r w:rsidR="009316F8" w:rsidRPr="002A6F4E">
        <w:rPr>
          <w:rFonts w:ascii="Arial" w:hAnsi="Arial" w:cs="Arial"/>
          <w:lang w:val="sq-AL"/>
        </w:rPr>
        <w:t xml:space="preserve"> na deponiju.</w:t>
      </w:r>
    </w:p>
    <w:p w14:paraId="597C0FCE" w14:textId="1E251282"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 xml:space="preserve">Štaviše, postojeće lokacije privremenog skladištenja će takođe biti očišćene kako bi se koristile kao </w:t>
      </w:r>
      <w:r w:rsidR="008D109D">
        <w:rPr>
          <w:rFonts w:ascii="Arial" w:hAnsi="Arial" w:cs="Arial"/>
          <w:lang w:val="sq-AL"/>
        </w:rPr>
        <w:t>CSO</w:t>
      </w:r>
      <w:r w:rsidRPr="002A6F4E">
        <w:rPr>
          <w:rFonts w:ascii="Arial" w:hAnsi="Arial" w:cs="Arial"/>
          <w:lang w:val="sq-AL"/>
        </w:rPr>
        <w:t>, transfer stanice ili sabirne tačke za posebne tokove (npr. mjesta za istovar otpada od građenja i rušenja).</w:t>
      </w:r>
    </w:p>
    <w:p w14:paraId="07773B0A" w14:textId="367C9433" w:rsidR="009316F8" w:rsidRPr="008D109D" w:rsidRDefault="009316F8" w:rsidP="009316F8">
      <w:pPr>
        <w:spacing w:before="120" w:after="120" w:line="360" w:lineRule="auto"/>
        <w:rPr>
          <w:rFonts w:ascii="Arial" w:hAnsi="Arial" w:cs="Arial"/>
          <w:lang w:val="sq-AL"/>
        </w:rPr>
      </w:pPr>
      <w:r w:rsidRPr="008D109D">
        <w:rPr>
          <w:rFonts w:ascii="Arial" w:hAnsi="Arial" w:cs="Arial"/>
          <w:lang w:val="sq-AL"/>
        </w:rPr>
        <w:t>Za registraciju postojećih lokacija na kojima se odlaže otpad</w:t>
      </w:r>
      <w:r w:rsidR="00B52EAD">
        <w:rPr>
          <w:rFonts w:ascii="Arial" w:hAnsi="Arial" w:cs="Arial"/>
          <w:lang w:val="sq-AL"/>
        </w:rPr>
        <w:t>,</w:t>
      </w:r>
      <w:r w:rsidRPr="008D109D">
        <w:rPr>
          <w:rFonts w:ascii="Arial" w:hAnsi="Arial" w:cs="Arial"/>
          <w:lang w:val="sq-AL"/>
        </w:rPr>
        <w:t xml:space="preserve"> lokacija za privremeno skladištenje i za utvrđivanje detaljnih tehničkih elemenata za njihovo zatvaranje, sanaciju i korišćenje biće izrađena posebna Studija izvodljivosti.</w:t>
      </w:r>
    </w:p>
    <w:p w14:paraId="0420A303" w14:textId="2D29E3F0" w:rsidR="009316F8" w:rsidRPr="002A6F4E" w:rsidRDefault="00267FAF" w:rsidP="00F57909">
      <w:pPr>
        <w:pStyle w:val="Heading2"/>
      </w:pPr>
      <w:bookmarkStart w:id="1239" w:name="_Toc121759084"/>
      <w:bookmarkStart w:id="1240" w:name="_Toc189759721"/>
      <w:bookmarkStart w:id="1241" w:name="_Toc193354047"/>
      <w:r>
        <w:t>5.3</w:t>
      </w:r>
      <w:r w:rsidR="009751D2">
        <w:t>9</w:t>
      </w:r>
      <w:r>
        <w:t xml:space="preserve">. </w:t>
      </w:r>
      <w:r w:rsidR="009316F8" w:rsidRPr="002A6F4E">
        <w:t>Pregled sistema upravljanja komunalnim otpadom</w:t>
      </w:r>
      <w:bookmarkEnd w:id="1239"/>
      <w:bookmarkEnd w:id="1240"/>
      <w:bookmarkEnd w:id="1241"/>
    </w:p>
    <w:p w14:paraId="731A5C4A" w14:textId="644E3E8B"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Plan upravljanja komunalnim otpadom zasnovan je na principima hijerarhije otpada, cirkularne ekonomije i održivog razvoja. Ovim planom nastoji se unaprijediti upravljanje otpadom u Crnoj Gori kako bi se postigli ciljevi cirkularne ekonomije usvojeni u EU. Fokusira se na prethodno upravljanje otpadom, odnosno odvojeno sakupljanje otpada kako bi se povećalo korišćenje materijala i smanjile potrebe za odlaganjem.</w:t>
      </w:r>
    </w:p>
    <w:p w14:paraId="5553778C" w14:textId="4060F641"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 xml:space="preserve">Kao takvo, odvojeno sakupljanje otpada je </w:t>
      </w:r>
      <w:r w:rsidR="008D109D">
        <w:rPr>
          <w:rFonts w:ascii="Arial" w:hAnsi="Arial" w:cs="Arial"/>
          <w:lang w:val="sq-AL"/>
        </w:rPr>
        <w:t>ključ</w:t>
      </w:r>
      <w:r w:rsidRPr="002A6F4E">
        <w:rPr>
          <w:rFonts w:ascii="Arial" w:hAnsi="Arial" w:cs="Arial"/>
          <w:lang w:val="sq-AL"/>
        </w:rPr>
        <w:t xml:space="preserve"> sistema upravljanja komunalnim otpadom </w:t>
      </w:r>
      <w:r w:rsidR="008D109D">
        <w:rPr>
          <w:rFonts w:ascii="Arial" w:hAnsi="Arial" w:cs="Arial"/>
          <w:lang w:val="sq-AL"/>
        </w:rPr>
        <w:t xml:space="preserve">u </w:t>
      </w:r>
      <w:r w:rsidRPr="002A6F4E">
        <w:rPr>
          <w:rFonts w:ascii="Arial" w:hAnsi="Arial" w:cs="Arial"/>
          <w:lang w:val="sq-AL"/>
        </w:rPr>
        <w:t>Crn</w:t>
      </w:r>
      <w:r w:rsidR="008D109D">
        <w:rPr>
          <w:rFonts w:ascii="Arial" w:hAnsi="Arial" w:cs="Arial"/>
          <w:lang w:val="sq-AL"/>
        </w:rPr>
        <w:t>oj</w:t>
      </w:r>
      <w:r w:rsidRPr="002A6F4E">
        <w:rPr>
          <w:rFonts w:ascii="Arial" w:hAnsi="Arial" w:cs="Arial"/>
          <w:lang w:val="sq-AL"/>
        </w:rPr>
        <w:t xml:space="preserve"> Gor</w:t>
      </w:r>
      <w:r w:rsidR="008D109D">
        <w:rPr>
          <w:rFonts w:ascii="Arial" w:hAnsi="Arial" w:cs="Arial"/>
          <w:lang w:val="sq-AL"/>
        </w:rPr>
        <w:t>i</w:t>
      </w:r>
      <w:r w:rsidRPr="002A6F4E">
        <w:rPr>
          <w:rFonts w:ascii="Arial" w:hAnsi="Arial" w:cs="Arial"/>
          <w:lang w:val="sq-AL"/>
        </w:rPr>
        <w:t xml:space="preserve"> i tokom narednih </w:t>
      </w:r>
      <w:r w:rsidRPr="009F4422">
        <w:rPr>
          <w:rFonts w:ascii="Arial" w:hAnsi="Arial" w:cs="Arial"/>
          <w:lang w:val="sq-AL"/>
        </w:rPr>
        <w:t>pet</w:t>
      </w:r>
      <w:r w:rsidRPr="002A6F4E">
        <w:rPr>
          <w:rFonts w:ascii="Arial" w:hAnsi="Arial" w:cs="Arial"/>
          <w:lang w:val="sq-AL"/>
        </w:rPr>
        <w:t xml:space="preserve"> godina fokus će biti stavljen na materijale koji se mogu reciklirati (papir, metali, plastika, staklo i drvo), dok će biti sprovedeni početni koraci ka odvojenom sakupljanju biootpada (zeleni otpad, kuhinjski otpad,</w:t>
      </w:r>
      <w:r w:rsidR="00B52581">
        <w:rPr>
          <w:rFonts w:ascii="Arial" w:hAnsi="Arial" w:cs="Arial"/>
          <w:lang w:val="sq-AL"/>
        </w:rPr>
        <w:t xml:space="preserve"> i dr.</w:t>
      </w:r>
      <w:r w:rsidRPr="002A6F4E">
        <w:rPr>
          <w:rFonts w:ascii="Arial" w:hAnsi="Arial" w:cs="Arial"/>
          <w:lang w:val="sq-AL"/>
        </w:rPr>
        <w:t xml:space="preserve">) i </w:t>
      </w:r>
      <w:r w:rsidR="00B52581" w:rsidRPr="002A6F4E">
        <w:rPr>
          <w:rFonts w:ascii="Arial" w:hAnsi="Arial" w:cs="Arial"/>
          <w:lang w:val="sq-AL"/>
        </w:rPr>
        <w:t>posebn</w:t>
      </w:r>
      <w:r w:rsidR="00B52581">
        <w:rPr>
          <w:rFonts w:ascii="Arial" w:hAnsi="Arial" w:cs="Arial"/>
          <w:lang w:val="sq-AL"/>
        </w:rPr>
        <w:t>ih vrsta</w:t>
      </w:r>
      <w:r w:rsidR="00B52581" w:rsidRPr="002A6F4E">
        <w:rPr>
          <w:rFonts w:ascii="Arial" w:hAnsi="Arial" w:cs="Arial"/>
          <w:lang w:val="sq-AL"/>
        </w:rPr>
        <w:t xml:space="preserve"> </w:t>
      </w:r>
      <w:r w:rsidRPr="002A6F4E">
        <w:rPr>
          <w:rFonts w:ascii="Arial" w:hAnsi="Arial" w:cs="Arial"/>
          <w:lang w:val="sq-AL"/>
        </w:rPr>
        <w:t xml:space="preserve">otpada (otpad od električnih i elektronskih proizvoda, tekstil, baterije, </w:t>
      </w:r>
      <w:r w:rsidR="00B52EAD">
        <w:rPr>
          <w:rFonts w:ascii="Arial" w:hAnsi="Arial" w:cs="Arial"/>
          <w:lang w:val="sq-AL"/>
        </w:rPr>
        <w:t xml:space="preserve">otpadna </w:t>
      </w:r>
      <w:r w:rsidR="00B52EAD" w:rsidRPr="002A6F4E">
        <w:rPr>
          <w:rFonts w:ascii="Arial" w:hAnsi="Arial" w:cs="Arial"/>
          <w:lang w:val="sq-AL"/>
        </w:rPr>
        <w:t>jestiva ulja</w:t>
      </w:r>
      <w:r w:rsidR="00B52EAD">
        <w:rPr>
          <w:rFonts w:ascii="Arial" w:hAnsi="Arial" w:cs="Arial"/>
          <w:lang w:val="sq-AL"/>
        </w:rPr>
        <w:t xml:space="preserve"> i masti </w:t>
      </w:r>
      <w:r w:rsidR="008D109D">
        <w:rPr>
          <w:rFonts w:ascii="Arial" w:hAnsi="Arial" w:cs="Arial"/>
          <w:lang w:val="sq-AL"/>
        </w:rPr>
        <w:t xml:space="preserve">i </w:t>
      </w:r>
      <w:r w:rsidRPr="002A6F4E">
        <w:rPr>
          <w:rFonts w:ascii="Arial" w:hAnsi="Arial" w:cs="Arial"/>
          <w:lang w:val="sq-AL"/>
        </w:rPr>
        <w:t>sl.).</w:t>
      </w:r>
    </w:p>
    <w:p w14:paraId="7E1E08A7" w14:textId="79920E7D" w:rsidR="009316F8" w:rsidRPr="009F4422" w:rsidRDefault="00620A47" w:rsidP="007378E8">
      <w:pPr>
        <w:pStyle w:val="Heading3"/>
        <w:rPr>
          <w:lang w:val="sq-AL"/>
        </w:rPr>
      </w:pPr>
      <w:bookmarkStart w:id="1242" w:name="_Toc121759087"/>
      <w:bookmarkStart w:id="1243" w:name="_Toc189759722"/>
      <w:bookmarkStart w:id="1244" w:name="_Toc193354048"/>
      <w:r w:rsidRPr="009F4422">
        <w:rPr>
          <w:lang w:val="sq-AL"/>
        </w:rPr>
        <w:lastRenderedPageBreak/>
        <w:t>5.3</w:t>
      </w:r>
      <w:r w:rsidR="009751D2">
        <w:rPr>
          <w:lang w:val="sq-AL"/>
        </w:rPr>
        <w:t>9</w:t>
      </w:r>
      <w:r w:rsidR="00267FAF" w:rsidRPr="009F4422">
        <w:rPr>
          <w:lang w:val="sq-AL"/>
        </w:rPr>
        <w:t>.1</w:t>
      </w:r>
      <w:r w:rsidR="00266D6E" w:rsidRPr="009F4422">
        <w:rPr>
          <w:lang w:val="sq-AL"/>
        </w:rPr>
        <w:t xml:space="preserve">. </w:t>
      </w:r>
      <w:r w:rsidR="009316F8" w:rsidRPr="009F4422">
        <w:rPr>
          <w:lang w:val="sq-AL"/>
        </w:rPr>
        <w:t>Odvojeno sakupljanje otpada</w:t>
      </w:r>
      <w:bookmarkEnd w:id="1242"/>
      <w:bookmarkEnd w:id="1243"/>
      <w:bookmarkEnd w:id="1244"/>
    </w:p>
    <w:p w14:paraId="613EE3DB" w14:textId="14D16A54" w:rsidR="009316F8" w:rsidRDefault="009316F8" w:rsidP="009316F8">
      <w:pPr>
        <w:spacing w:before="120" w:after="120" w:line="360" w:lineRule="auto"/>
        <w:rPr>
          <w:rFonts w:ascii="Arial" w:hAnsi="Arial" w:cs="Arial"/>
          <w:color w:val="000000"/>
          <w:lang w:val="sq-AL"/>
        </w:rPr>
      </w:pPr>
      <w:r w:rsidRPr="002A6F4E">
        <w:rPr>
          <w:rFonts w:ascii="Arial" w:hAnsi="Arial" w:cs="Arial"/>
          <w:color w:val="000000"/>
          <w:lang w:val="sq-AL"/>
        </w:rPr>
        <w:t>Predloženi sistemi odvojenog sakupljanja koji će se implementirati sastoj</w:t>
      </w:r>
      <w:r w:rsidR="00BF511E">
        <w:rPr>
          <w:rFonts w:ascii="Arial" w:hAnsi="Arial" w:cs="Arial"/>
          <w:color w:val="000000"/>
          <w:lang w:val="sq-AL"/>
        </w:rPr>
        <w:t>e</w:t>
      </w:r>
      <w:r w:rsidRPr="002A6F4E">
        <w:rPr>
          <w:rFonts w:ascii="Arial" w:hAnsi="Arial" w:cs="Arial"/>
          <w:color w:val="000000"/>
          <w:lang w:val="sq-AL"/>
        </w:rPr>
        <w:t xml:space="preserve"> se od sljedećih komponenti:</w:t>
      </w:r>
    </w:p>
    <w:p w14:paraId="4B999FD6" w14:textId="77777777" w:rsidR="0054241B" w:rsidRPr="002A6F4E" w:rsidRDefault="0054241B" w:rsidP="009316F8">
      <w:pPr>
        <w:spacing w:before="120" w:after="120" w:line="360" w:lineRule="auto"/>
        <w:rPr>
          <w:rFonts w:ascii="Arial" w:hAnsi="Arial" w:cs="Arial"/>
          <w:color w:val="000000"/>
          <w:lang w:val="sq-AL"/>
        </w:rPr>
      </w:pPr>
    </w:p>
    <w:p w14:paraId="44B825B2" w14:textId="096DC0F4" w:rsidR="009316F8" w:rsidRPr="002A6F4E" w:rsidRDefault="009316F8"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Proširenje sistema sakupljanja otpada kako bi se obuhvatilo </w:t>
      </w:r>
      <w:r w:rsidR="00BF511E">
        <w:rPr>
          <w:rFonts w:ascii="Arial" w:hAnsi="Arial" w:cs="Arial"/>
          <w:color w:val="000000"/>
          <w:lang w:val="sq-AL"/>
        </w:rPr>
        <w:t>cjelokupno</w:t>
      </w:r>
      <w:r w:rsidRPr="002A6F4E">
        <w:rPr>
          <w:rFonts w:ascii="Arial" w:hAnsi="Arial" w:cs="Arial"/>
          <w:color w:val="000000"/>
          <w:lang w:val="sq-AL"/>
        </w:rPr>
        <w:t xml:space="preserve"> stanovništvo Crne Gore;</w:t>
      </w:r>
    </w:p>
    <w:p w14:paraId="678AEF09" w14:textId="13B473E5" w:rsidR="009316F8" w:rsidRPr="002A6F4E" w:rsidRDefault="00777714" w:rsidP="00A23ED0">
      <w:pPr>
        <w:pStyle w:val="ListParagraph"/>
        <w:numPr>
          <w:ilvl w:val="0"/>
          <w:numId w:val="42"/>
        </w:numPr>
        <w:spacing w:before="120" w:after="120" w:line="360" w:lineRule="auto"/>
        <w:contextualSpacing w:val="0"/>
        <w:rPr>
          <w:rFonts w:ascii="Arial" w:hAnsi="Arial" w:cs="Arial"/>
          <w:color w:val="000000"/>
          <w:lang w:val="sq-AL"/>
        </w:rPr>
      </w:pPr>
      <w:r>
        <w:rPr>
          <w:rFonts w:ascii="Arial" w:hAnsi="Arial" w:cs="Arial"/>
          <w:color w:val="000000"/>
          <w:lang w:val="sq-AL"/>
        </w:rPr>
        <w:t>M</w:t>
      </w:r>
      <w:r w:rsidR="009316F8" w:rsidRPr="002A6F4E">
        <w:rPr>
          <w:rFonts w:ascii="Arial" w:hAnsi="Arial" w:cs="Arial"/>
          <w:color w:val="000000"/>
          <w:lang w:val="sq-AL"/>
        </w:rPr>
        <w:t>iješani otpad koji se može reciklirati sakuplja se u kontejner</w:t>
      </w:r>
      <w:r w:rsidR="00BF511E">
        <w:rPr>
          <w:rFonts w:ascii="Arial" w:hAnsi="Arial" w:cs="Arial"/>
          <w:color w:val="000000"/>
          <w:lang w:val="sq-AL"/>
        </w:rPr>
        <w:t>ima</w:t>
      </w:r>
      <w:r w:rsidR="009316F8" w:rsidRPr="002A6F4E">
        <w:rPr>
          <w:rFonts w:ascii="Arial" w:hAnsi="Arial" w:cs="Arial"/>
          <w:color w:val="000000"/>
          <w:lang w:val="sq-AL"/>
        </w:rPr>
        <w:t xml:space="preserve"> zapremine 1,1 </w:t>
      </w:r>
      <w:r w:rsidR="009316F8" w:rsidRPr="002A6F4E">
        <w:rPr>
          <w:rFonts w:ascii="Arial" w:hAnsi="Arial" w:cs="Arial"/>
          <w:lang w:val="sq-AL"/>
        </w:rPr>
        <w:t>m</w:t>
      </w:r>
      <w:r w:rsidR="009316F8" w:rsidRPr="002A6F4E">
        <w:rPr>
          <w:rFonts w:ascii="Arial" w:hAnsi="Arial" w:cs="Arial"/>
          <w:vertAlign w:val="superscript"/>
          <w:lang w:val="sq-AL"/>
        </w:rPr>
        <w:t xml:space="preserve">3 </w:t>
      </w:r>
      <w:r w:rsidR="009316F8" w:rsidRPr="002A6F4E">
        <w:rPr>
          <w:rFonts w:ascii="Arial" w:hAnsi="Arial" w:cs="Arial"/>
          <w:color w:val="000000"/>
          <w:lang w:val="sq-AL"/>
        </w:rPr>
        <w:t xml:space="preserve"> u urbanim sredinama i </w:t>
      </w:r>
      <w:r w:rsidR="005C4A0C">
        <w:rPr>
          <w:rFonts w:ascii="Arial" w:hAnsi="Arial" w:cs="Arial"/>
          <w:color w:val="000000"/>
          <w:lang w:val="sq-AL"/>
        </w:rPr>
        <w:t>posuda</w:t>
      </w:r>
      <w:r w:rsidR="00BF511E">
        <w:rPr>
          <w:rFonts w:ascii="Arial" w:hAnsi="Arial" w:cs="Arial"/>
          <w:color w:val="000000"/>
          <w:lang w:val="sq-AL"/>
        </w:rPr>
        <w:t>ma</w:t>
      </w:r>
      <w:r w:rsidR="009316F8" w:rsidRPr="002A6F4E">
        <w:rPr>
          <w:rFonts w:ascii="Arial" w:hAnsi="Arial" w:cs="Arial"/>
          <w:color w:val="000000"/>
          <w:lang w:val="sq-AL"/>
        </w:rPr>
        <w:t xml:space="preserve"> od 120/240 l u ruralnim sredinama i pojedinačnim stanovima (</w:t>
      </w:r>
      <w:r w:rsidR="00BF511E">
        <w:rPr>
          <w:rFonts w:ascii="Arial" w:hAnsi="Arial" w:cs="Arial"/>
          <w:color w:val="000000"/>
          <w:lang w:val="sq-AL"/>
        </w:rPr>
        <w:t>“</w:t>
      </w:r>
      <w:r w:rsidR="009316F8" w:rsidRPr="002A6F4E">
        <w:rPr>
          <w:rFonts w:ascii="Arial" w:hAnsi="Arial" w:cs="Arial"/>
          <w:color w:val="000000"/>
          <w:lang w:val="sq-AL"/>
        </w:rPr>
        <w:t>sistem od vrata do vrata</w:t>
      </w:r>
      <w:r w:rsidR="00BF511E">
        <w:rPr>
          <w:rFonts w:ascii="Arial" w:hAnsi="Arial" w:cs="Arial"/>
          <w:color w:val="000000"/>
          <w:lang w:val="sq-AL"/>
        </w:rPr>
        <w:t>”</w:t>
      </w:r>
      <w:r w:rsidR="009316F8" w:rsidRPr="002A6F4E">
        <w:rPr>
          <w:rFonts w:ascii="Arial" w:hAnsi="Arial" w:cs="Arial"/>
          <w:color w:val="000000"/>
          <w:lang w:val="sq-AL"/>
        </w:rPr>
        <w:t xml:space="preserve">), </w:t>
      </w:r>
      <w:r w:rsidR="00B52581">
        <w:rPr>
          <w:rFonts w:ascii="Arial" w:hAnsi="Arial" w:cs="Arial"/>
          <w:color w:val="000000"/>
          <w:lang w:val="sq-AL"/>
        </w:rPr>
        <w:t xml:space="preserve">a </w:t>
      </w:r>
      <w:r w:rsidR="009316F8" w:rsidRPr="002A6F4E">
        <w:rPr>
          <w:rFonts w:ascii="Arial" w:hAnsi="Arial" w:cs="Arial"/>
          <w:color w:val="000000"/>
          <w:lang w:val="sq-AL"/>
        </w:rPr>
        <w:t>zatim se odvozi u mrežu MRF postrojenja koja će se uspostaviti</w:t>
      </w:r>
      <w:r w:rsidR="00BF511E">
        <w:rPr>
          <w:rFonts w:ascii="Arial" w:hAnsi="Arial" w:cs="Arial"/>
          <w:color w:val="000000"/>
          <w:lang w:val="sq-AL"/>
        </w:rPr>
        <w:t>;</w:t>
      </w:r>
    </w:p>
    <w:p w14:paraId="58011026" w14:textId="51C87511" w:rsidR="009316F8" w:rsidRPr="002A6F4E" w:rsidRDefault="009316F8"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Odvojeno sakupljanje zelenog i organskog otpada (kuhinjski otpad, otpad sa pijaca, jestiva ulja, i sl.) vrši se kontejnerima zapremine 1,1 </w:t>
      </w:r>
      <w:r w:rsidRPr="002A6F4E">
        <w:rPr>
          <w:rFonts w:ascii="Arial" w:hAnsi="Arial" w:cs="Arial"/>
          <w:lang w:val="sq-AL"/>
        </w:rPr>
        <w:t>m</w:t>
      </w:r>
      <w:r w:rsidRPr="002A6F4E">
        <w:rPr>
          <w:rFonts w:ascii="Arial" w:hAnsi="Arial" w:cs="Arial"/>
          <w:vertAlign w:val="superscript"/>
          <w:lang w:val="sq-AL"/>
        </w:rPr>
        <w:t xml:space="preserve">3 </w:t>
      </w:r>
      <w:r w:rsidRPr="002A6F4E">
        <w:rPr>
          <w:rFonts w:ascii="Arial" w:hAnsi="Arial" w:cs="Arial"/>
          <w:color w:val="000000"/>
          <w:lang w:val="sq-AL"/>
        </w:rPr>
        <w:t xml:space="preserve"> u urbanim  sredinama i </w:t>
      </w:r>
      <w:r w:rsidR="005C4A0C">
        <w:rPr>
          <w:rFonts w:ascii="Arial" w:hAnsi="Arial" w:cs="Arial"/>
          <w:color w:val="000000"/>
          <w:lang w:val="sq-AL"/>
        </w:rPr>
        <w:t>posuda</w:t>
      </w:r>
      <w:r w:rsidRPr="002A6F4E">
        <w:rPr>
          <w:rFonts w:ascii="Arial" w:hAnsi="Arial" w:cs="Arial"/>
          <w:color w:val="000000"/>
          <w:lang w:val="sq-AL"/>
        </w:rPr>
        <w:t>ma   od 120/240 l u ruralnim sredinama i pojedinačnim stanovima (</w:t>
      </w:r>
      <w:r w:rsidR="00BF511E">
        <w:rPr>
          <w:rFonts w:ascii="Arial" w:hAnsi="Arial" w:cs="Arial"/>
          <w:color w:val="000000"/>
          <w:lang w:val="sq-AL"/>
        </w:rPr>
        <w:t>“</w:t>
      </w:r>
      <w:r w:rsidRPr="002A6F4E">
        <w:rPr>
          <w:rFonts w:ascii="Arial" w:hAnsi="Arial" w:cs="Arial"/>
          <w:color w:val="000000"/>
          <w:lang w:val="sq-AL"/>
        </w:rPr>
        <w:t>sistem od vrata do vrata</w:t>
      </w:r>
      <w:r w:rsidR="00BF511E">
        <w:rPr>
          <w:rFonts w:ascii="Arial" w:hAnsi="Arial" w:cs="Arial"/>
          <w:color w:val="000000"/>
          <w:lang w:val="sq-AL"/>
        </w:rPr>
        <w:t>”</w:t>
      </w:r>
      <w:r w:rsidRPr="002A6F4E">
        <w:rPr>
          <w:rFonts w:ascii="Arial" w:hAnsi="Arial" w:cs="Arial"/>
          <w:color w:val="000000"/>
          <w:lang w:val="sq-AL"/>
        </w:rPr>
        <w:t>). Odvojeno sakupljeni biootpad će biti prosl</w:t>
      </w:r>
      <w:r w:rsidR="00BF511E">
        <w:rPr>
          <w:rFonts w:ascii="Arial" w:hAnsi="Arial" w:cs="Arial"/>
          <w:color w:val="000000"/>
          <w:lang w:val="sq-AL"/>
        </w:rPr>
        <w:t>ij</w:t>
      </w:r>
      <w:r w:rsidRPr="002A6F4E">
        <w:rPr>
          <w:rFonts w:ascii="Arial" w:hAnsi="Arial" w:cs="Arial"/>
          <w:color w:val="000000"/>
          <w:lang w:val="sq-AL"/>
        </w:rPr>
        <w:t>eđen mreži postrojenja za  kompostiranje koja će biti razvijena;</w:t>
      </w:r>
    </w:p>
    <w:p w14:paraId="3BD56084" w14:textId="68AA3BF1" w:rsidR="009316F8" w:rsidRPr="002A6F4E" w:rsidRDefault="009316F8"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Posebni tokovi otpada kao što su </w:t>
      </w:r>
      <w:r w:rsidRPr="002A6F4E">
        <w:rPr>
          <w:rFonts w:ascii="Arial" w:hAnsi="Arial" w:cs="Arial"/>
          <w:lang w:val="sq-AL"/>
        </w:rPr>
        <w:t>otpad od električnih i elektronskih proizvoda</w:t>
      </w:r>
      <w:r w:rsidRPr="002A6F4E">
        <w:rPr>
          <w:rFonts w:ascii="Arial" w:hAnsi="Arial" w:cs="Arial"/>
          <w:color w:val="000000"/>
          <w:lang w:val="sq-AL"/>
        </w:rPr>
        <w:t>, otpad koji potiče od građevinskog otpada ili otpada nastalog rušenjem iz domaćinstava,</w:t>
      </w:r>
      <w:r w:rsidR="00B52581">
        <w:rPr>
          <w:rFonts w:ascii="Arial" w:hAnsi="Arial" w:cs="Arial"/>
          <w:color w:val="000000"/>
          <w:lang w:val="sq-AL"/>
        </w:rPr>
        <w:t xml:space="preserve"> a</w:t>
      </w:r>
      <w:r w:rsidRPr="002A6F4E">
        <w:rPr>
          <w:rFonts w:ascii="Arial" w:hAnsi="Arial" w:cs="Arial"/>
          <w:color w:val="000000"/>
          <w:lang w:val="sq-AL"/>
        </w:rPr>
        <w:t xml:space="preserve"> </w:t>
      </w:r>
      <w:r w:rsidR="00B52581">
        <w:rPr>
          <w:rFonts w:ascii="Arial" w:hAnsi="Arial" w:cs="Arial"/>
          <w:color w:val="000000"/>
          <w:lang w:val="sq-AL"/>
        </w:rPr>
        <w:t xml:space="preserve">otpadni </w:t>
      </w:r>
      <w:r w:rsidRPr="002A6F4E">
        <w:rPr>
          <w:rFonts w:ascii="Arial" w:hAnsi="Arial" w:cs="Arial"/>
          <w:color w:val="000000"/>
          <w:lang w:val="sq-AL"/>
        </w:rPr>
        <w:t>tekstil i kabasti otpad će se sakupljati u opštinskim punktovima ili putem mreže reciklažnih centara koja će se uspostaviti;</w:t>
      </w:r>
    </w:p>
    <w:p w14:paraId="03E47236" w14:textId="123FF5B4" w:rsidR="009316F8" w:rsidRDefault="009316F8" w:rsidP="00A23ED0">
      <w:pPr>
        <w:pStyle w:val="ListParagraph"/>
        <w:numPr>
          <w:ilvl w:val="0"/>
          <w:numId w:val="42"/>
        </w:numPr>
        <w:spacing w:before="120" w:after="120" w:line="360" w:lineRule="auto"/>
        <w:contextualSpacing w:val="0"/>
        <w:rPr>
          <w:rFonts w:ascii="Arial" w:hAnsi="Arial" w:cs="Arial"/>
          <w:color w:val="000000"/>
          <w:lang w:val="sq-AL"/>
        </w:rPr>
      </w:pPr>
      <w:r w:rsidRPr="002A6F4E">
        <w:rPr>
          <w:rFonts w:ascii="Arial" w:hAnsi="Arial" w:cs="Arial"/>
          <w:color w:val="000000"/>
          <w:lang w:val="sq-AL"/>
        </w:rPr>
        <w:t xml:space="preserve">Preostali ostaci otpada se sakupljaju u sistemu za dovoz i proslijeđuju na </w:t>
      </w:r>
      <w:r w:rsidR="00BF511E">
        <w:rPr>
          <w:rFonts w:ascii="Arial" w:hAnsi="Arial" w:cs="Arial"/>
          <w:color w:val="000000"/>
          <w:lang w:val="sq-AL"/>
        </w:rPr>
        <w:t>obradu</w:t>
      </w:r>
      <w:r w:rsidR="00B52581">
        <w:rPr>
          <w:rFonts w:ascii="Arial" w:hAnsi="Arial" w:cs="Arial"/>
          <w:color w:val="000000"/>
          <w:lang w:val="sq-AL"/>
        </w:rPr>
        <w:t>.</w:t>
      </w:r>
    </w:p>
    <w:p w14:paraId="5F95C535" w14:textId="77777777" w:rsidR="0054241B" w:rsidRPr="002A6F4E" w:rsidRDefault="0054241B" w:rsidP="0054241B">
      <w:pPr>
        <w:pStyle w:val="ListParagraph"/>
        <w:spacing w:before="120" w:after="120" w:line="360" w:lineRule="auto"/>
        <w:contextualSpacing w:val="0"/>
        <w:rPr>
          <w:rFonts w:ascii="Arial" w:hAnsi="Arial" w:cs="Arial"/>
          <w:color w:val="000000"/>
          <w:lang w:val="sq-AL"/>
        </w:rPr>
      </w:pPr>
    </w:p>
    <w:p w14:paraId="6DFE3551" w14:textId="3573F596" w:rsidR="009316F8" w:rsidRDefault="009316F8" w:rsidP="009316F8">
      <w:pPr>
        <w:spacing w:before="120" w:after="120" w:line="360" w:lineRule="auto"/>
        <w:rPr>
          <w:rFonts w:ascii="Arial" w:hAnsi="Arial" w:cs="Arial"/>
          <w:lang w:val="sq-AL"/>
        </w:rPr>
      </w:pPr>
      <w:r w:rsidRPr="002A6F4E">
        <w:rPr>
          <w:rFonts w:ascii="Arial" w:hAnsi="Arial" w:cs="Arial"/>
          <w:lang w:val="sq-AL"/>
        </w:rPr>
        <w:t>Postojeći DPUO uzima u obzir aktivnosti recikl</w:t>
      </w:r>
      <w:r w:rsidR="00B52581">
        <w:rPr>
          <w:rFonts w:ascii="Arial" w:hAnsi="Arial" w:cs="Arial"/>
          <w:lang w:val="sq-AL"/>
        </w:rPr>
        <w:t>iranja</w:t>
      </w:r>
      <w:r w:rsidRPr="002A6F4E">
        <w:rPr>
          <w:rFonts w:ascii="Arial" w:hAnsi="Arial" w:cs="Arial"/>
          <w:lang w:val="sq-AL"/>
        </w:rPr>
        <w:t xml:space="preserve"> u neformalnom sektoru, koje ako se evidentiraju mogu doprinijeti ciljevima recikliranja, ali su povezane sa lošim higijenskim i ekološkim standardima. U tom smislu, biće preduzete inicijative za inkorporiranje neformalnih aktivnosti recikl</w:t>
      </w:r>
      <w:r w:rsidR="00B52581">
        <w:rPr>
          <w:rFonts w:ascii="Arial" w:hAnsi="Arial" w:cs="Arial"/>
          <w:lang w:val="sq-AL"/>
        </w:rPr>
        <w:t>iranja</w:t>
      </w:r>
      <w:r w:rsidRPr="002A6F4E">
        <w:rPr>
          <w:rFonts w:ascii="Arial" w:hAnsi="Arial" w:cs="Arial"/>
          <w:lang w:val="sq-AL"/>
        </w:rPr>
        <w:t xml:space="preserve"> u organizovan</w:t>
      </w:r>
      <w:r w:rsidR="007378E8">
        <w:rPr>
          <w:rFonts w:ascii="Arial" w:hAnsi="Arial" w:cs="Arial"/>
          <w:lang w:val="sq-AL"/>
        </w:rPr>
        <w:t xml:space="preserve">om </w:t>
      </w:r>
      <w:r w:rsidRPr="002A6F4E">
        <w:rPr>
          <w:rFonts w:ascii="Arial" w:hAnsi="Arial" w:cs="Arial"/>
          <w:lang w:val="sq-AL"/>
        </w:rPr>
        <w:t>sistem</w:t>
      </w:r>
      <w:r w:rsidR="007378E8">
        <w:rPr>
          <w:rFonts w:ascii="Arial" w:hAnsi="Arial" w:cs="Arial"/>
          <w:lang w:val="sq-AL"/>
        </w:rPr>
        <w:t>u</w:t>
      </w:r>
      <w:r w:rsidRPr="002A6F4E">
        <w:rPr>
          <w:rFonts w:ascii="Arial" w:hAnsi="Arial" w:cs="Arial"/>
          <w:lang w:val="sq-AL"/>
        </w:rPr>
        <w:t>.</w:t>
      </w:r>
    </w:p>
    <w:p w14:paraId="0FBB74BF" w14:textId="77777777" w:rsidR="0054241B" w:rsidRPr="002A6F4E" w:rsidRDefault="0054241B" w:rsidP="009316F8">
      <w:pPr>
        <w:spacing w:before="120" w:after="120" w:line="360" w:lineRule="auto"/>
        <w:rPr>
          <w:rFonts w:ascii="Arial" w:hAnsi="Arial" w:cs="Arial"/>
          <w:lang w:val="sq-AL"/>
        </w:rPr>
      </w:pPr>
    </w:p>
    <w:p w14:paraId="4C504B01" w14:textId="77777777" w:rsidR="009316F8" w:rsidRDefault="009316F8" w:rsidP="009316F8">
      <w:pPr>
        <w:spacing w:before="120" w:after="120" w:line="360" w:lineRule="auto"/>
        <w:rPr>
          <w:rFonts w:ascii="Arial" w:hAnsi="Arial" w:cs="Arial"/>
          <w:lang w:val="sq-AL"/>
        </w:rPr>
      </w:pPr>
      <w:r w:rsidRPr="002A6F4E">
        <w:rPr>
          <w:rFonts w:ascii="Arial" w:hAnsi="Arial" w:cs="Arial"/>
          <w:lang w:val="sq-AL"/>
        </w:rPr>
        <w:t>Što se tiče opreme za sakupljanje, pretpostavljeni su sljedeći tipovi:</w:t>
      </w:r>
    </w:p>
    <w:p w14:paraId="257A8BD8" w14:textId="77777777" w:rsidR="0054241B" w:rsidRPr="002A6F4E" w:rsidRDefault="0054241B" w:rsidP="009316F8">
      <w:pPr>
        <w:spacing w:before="120" w:after="120" w:line="360" w:lineRule="auto"/>
        <w:rPr>
          <w:rFonts w:ascii="Arial" w:hAnsi="Arial" w:cs="Arial"/>
          <w:lang w:val="sq-AL"/>
        </w:rPr>
      </w:pPr>
    </w:p>
    <w:p w14:paraId="3F5A3277" w14:textId="169DE1ED" w:rsidR="009316F8" w:rsidRPr="002A6F4E" w:rsidRDefault="009316F8" w:rsidP="00A23ED0">
      <w:pPr>
        <w:pStyle w:val="ListBullet"/>
        <w:numPr>
          <w:ilvl w:val="0"/>
          <w:numId w:val="66"/>
        </w:numPr>
        <w:spacing w:before="120" w:after="120" w:line="360" w:lineRule="auto"/>
        <w:contextualSpacing w:val="0"/>
        <w:rPr>
          <w:rFonts w:ascii="Arial" w:hAnsi="Arial" w:cs="Arial"/>
          <w:lang w:val="sq-AL"/>
        </w:rPr>
      </w:pPr>
      <w:r w:rsidRPr="002A6F4E">
        <w:rPr>
          <w:rFonts w:ascii="Arial" w:hAnsi="Arial" w:cs="Arial"/>
          <w:lang w:val="sq-AL"/>
        </w:rPr>
        <w:t>Kontejneri zapremine 1,1 m</w:t>
      </w:r>
      <w:r w:rsidRPr="002A6F4E">
        <w:rPr>
          <w:rFonts w:ascii="Arial" w:hAnsi="Arial" w:cs="Arial"/>
          <w:vertAlign w:val="superscript"/>
          <w:lang w:val="sq-AL"/>
        </w:rPr>
        <w:t>3</w:t>
      </w:r>
      <w:r w:rsidRPr="002A6F4E">
        <w:rPr>
          <w:rFonts w:ascii="Arial" w:hAnsi="Arial" w:cs="Arial"/>
          <w:lang w:val="sq-AL"/>
        </w:rPr>
        <w:t xml:space="preserve"> (samostalni ili sistem više </w:t>
      </w:r>
      <w:r w:rsidR="007B1545">
        <w:rPr>
          <w:rFonts w:ascii="Arial" w:hAnsi="Arial" w:cs="Arial"/>
          <w:lang w:val="sq-AL"/>
        </w:rPr>
        <w:t>posuda</w:t>
      </w:r>
      <w:r w:rsidRPr="002A6F4E">
        <w:rPr>
          <w:rFonts w:ascii="Arial" w:hAnsi="Arial" w:cs="Arial"/>
          <w:lang w:val="sq-AL"/>
        </w:rPr>
        <w:t xml:space="preserve"> u natkrivenim sabirnim mjestima) za sisteme sakupljanja na ivičnjacima;</w:t>
      </w:r>
    </w:p>
    <w:p w14:paraId="024ED58D" w14:textId="3CA1466C" w:rsidR="009316F8" w:rsidRPr="002A6F4E" w:rsidRDefault="005C4A0C" w:rsidP="00A23ED0">
      <w:pPr>
        <w:pStyle w:val="ListBullet"/>
        <w:numPr>
          <w:ilvl w:val="0"/>
          <w:numId w:val="66"/>
        </w:numPr>
        <w:spacing w:before="120" w:after="120" w:line="360" w:lineRule="auto"/>
        <w:contextualSpacing w:val="0"/>
        <w:rPr>
          <w:rFonts w:ascii="Arial" w:hAnsi="Arial" w:cs="Arial"/>
          <w:lang w:val="sq-AL"/>
        </w:rPr>
      </w:pPr>
      <w:r>
        <w:rPr>
          <w:rFonts w:ascii="Arial" w:hAnsi="Arial" w:cs="Arial"/>
          <w:lang w:val="sq-AL"/>
        </w:rPr>
        <w:t>Posude</w:t>
      </w:r>
      <w:r w:rsidR="009316F8" w:rsidRPr="002A6F4E">
        <w:rPr>
          <w:rFonts w:ascii="Arial" w:hAnsi="Arial" w:cs="Arial"/>
          <w:lang w:val="sq-AL"/>
        </w:rPr>
        <w:t xml:space="preserve"> zapremine 120/240 l za sakupljanje otpada prema </w:t>
      </w:r>
      <w:r w:rsidR="007378E8">
        <w:rPr>
          <w:rFonts w:ascii="Arial" w:hAnsi="Arial" w:cs="Arial"/>
          <w:lang w:val="sq-AL"/>
        </w:rPr>
        <w:t>“</w:t>
      </w:r>
      <w:r w:rsidR="009316F8" w:rsidRPr="002A6F4E">
        <w:rPr>
          <w:rFonts w:ascii="Arial" w:hAnsi="Arial" w:cs="Arial"/>
          <w:lang w:val="sq-AL"/>
        </w:rPr>
        <w:t>sistemu od vrata do vrata</w:t>
      </w:r>
      <w:r w:rsidR="007378E8">
        <w:rPr>
          <w:rFonts w:ascii="Arial" w:hAnsi="Arial" w:cs="Arial"/>
          <w:lang w:val="sq-AL"/>
        </w:rPr>
        <w:t>”</w:t>
      </w:r>
      <w:r w:rsidR="009316F8" w:rsidRPr="002A6F4E">
        <w:rPr>
          <w:rFonts w:ascii="Arial" w:hAnsi="Arial" w:cs="Arial"/>
          <w:lang w:val="sq-AL"/>
        </w:rPr>
        <w:t>.</w:t>
      </w:r>
    </w:p>
    <w:p w14:paraId="6953A9BE" w14:textId="77777777" w:rsidR="0054241B" w:rsidRDefault="0054241B" w:rsidP="009316F8">
      <w:pPr>
        <w:spacing w:before="120" w:after="120" w:line="360" w:lineRule="auto"/>
        <w:rPr>
          <w:rFonts w:ascii="Arial" w:hAnsi="Arial" w:cs="Arial"/>
          <w:lang w:val="sq-AL"/>
        </w:rPr>
      </w:pPr>
    </w:p>
    <w:p w14:paraId="25633F4B" w14:textId="5767C33F"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 xml:space="preserve">Predlaže se da se sakupljanje frakcija vrši pomoću </w:t>
      </w:r>
      <w:r w:rsidRPr="009F4422">
        <w:rPr>
          <w:rFonts w:ascii="Arial" w:hAnsi="Arial" w:cs="Arial"/>
          <w:lang w:val="sq-AL"/>
        </w:rPr>
        <w:t>kamiona</w:t>
      </w:r>
      <w:r w:rsidRPr="002A6F4E">
        <w:rPr>
          <w:rFonts w:ascii="Arial" w:hAnsi="Arial" w:cs="Arial"/>
          <w:lang w:val="sq-AL"/>
        </w:rPr>
        <w:t xml:space="preserve"> za sakupljanje otpada </w:t>
      </w:r>
      <w:r w:rsidR="007371CF">
        <w:rPr>
          <w:rFonts w:ascii="Arial" w:hAnsi="Arial" w:cs="Arial"/>
          <w:lang w:val="sq-AL"/>
        </w:rPr>
        <w:t>većeg</w:t>
      </w:r>
      <w:r w:rsidRPr="002A6F4E">
        <w:rPr>
          <w:rFonts w:ascii="Arial" w:hAnsi="Arial" w:cs="Arial"/>
          <w:lang w:val="sq-AL"/>
        </w:rPr>
        <w:t xml:space="preserve"> kapaciteta (</w:t>
      </w:r>
      <w:r w:rsidR="007378E8">
        <w:rPr>
          <w:rFonts w:ascii="Arial" w:hAnsi="Arial" w:cs="Arial"/>
          <w:lang w:val="sq-AL"/>
        </w:rPr>
        <w:t>4</w:t>
      </w:r>
      <w:r w:rsidR="00B52581">
        <w:rPr>
          <w:rFonts w:ascii="Arial" w:hAnsi="Arial" w:cs="Arial"/>
          <w:lang w:val="sq-AL"/>
        </w:rPr>
        <w:t xml:space="preserve"> </w:t>
      </w:r>
      <w:r w:rsidR="007378E8">
        <w:rPr>
          <w:rFonts w:ascii="Arial" w:hAnsi="Arial" w:cs="Arial"/>
          <w:lang w:val="sq-AL"/>
        </w:rPr>
        <w:t>-</w:t>
      </w:r>
      <w:r w:rsidR="00B52581">
        <w:rPr>
          <w:rFonts w:ascii="Arial" w:hAnsi="Arial" w:cs="Arial"/>
          <w:lang w:val="sq-AL"/>
        </w:rPr>
        <w:t xml:space="preserve"> </w:t>
      </w:r>
      <w:r w:rsidRPr="002A6F4E">
        <w:rPr>
          <w:rFonts w:ascii="Arial" w:hAnsi="Arial" w:cs="Arial"/>
          <w:lang w:val="sq-AL"/>
        </w:rPr>
        <w:t>22 m</w:t>
      </w:r>
      <w:r w:rsidRPr="002A6F4E">
        <w:rPr>
          <w:rFonts w:ascii="Arial" w:hAnsi="Arial" w:cs="Arial"/>
          <w:vertAlign w:val="superscript"/>
          <w:lang w:val="sq-AL"/>
        </w:rPr>
        <w:t>3</w:t>
      </w:r>
      <w:r w:rsidRPr="002A6F4E">
        <w:rPr>
          <w:rFonts w:ascii="Arial" w:hAnsi="Arial" w:cs="Arial"/>
          <w:lang w:val="sq-AL"/>
        </w:rPr>
        <w:t xml:space="preserve">). Za prevoz zelenog otpada koristiće se </w:t>
      </w:r>
      <w:r w:rsidRPr="009F4422">
        <w:rPr>
          <w:rFonts w:ascii="Arial" w:hAnsi="Arial" w:cs="Arial"/>
          <w:lang w:val="sq-AL"/>
        </w:rPr>
        <w:t>kamioni</w:t>
      </w:r>
      <w:r w:rsidRPr="002A6F4E">
        <w:rPr>
          <w:rFonts w:ascii="Arial" w:hAnsi="Arial" w:cs="Arial"/>
          <w:lang w:val="sq-AL"/>
        </w:rPr>
        <w:t xml:space="preserve"> zapremine 6 m</w:t>
      </w:r>
      <w:r w:rsidRPr="002A6F4E">
        <w:rPr>
          <w:rFonts w:ascii="Arial" w:hAnsi="Arial" w:cs="Arial"/>
          <w:vertAlign w:val="superscript"/>
          <w:lang w:val="sq-AL"/>
        </w:rPr>
        <w:t>3</w:t>
      </w:r>
      <w:r w:rsidRPr="002A6F4E">
        <w:rPr>
          <w:rFonts w:ascii="Arial" w:hAnsi="Arial" w:cs="Arial"/>
          <w:lang w:val="sq-AL"/>
        </w:rPr>
        <w:t>.</w:t>
      </w:r>
    </w:p>
    <w:p w14:paraId="6B7FD525" w14:textId="05FD92EB"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U svakom slučaju, na opštinskom/regionalnom nivou potrebno je izraditi posebnu studiju optimizacije za usluge sakupljanja otpada, na osnovu koje će se definisati optimalni sistem sakupljanja.</w:t>
      </w:r>
    </w:p>
    <w:p w14:paraId="2220E66D" w14:textId="50BAF5E9"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Transport otpada biće optimizovan proširenjem</w:t>
      </w:r>
      <w:r w:rsidR="00B52581">
        <w:rPr>
          <w:rFonts w:ascii="Arial" w:hAnsi="Arial" w:cs="Arial"/>
          <w:lang w:val="sq-AL"/>
        </w:rPr>
        <w:t xml:space="preserve"> kapaciteta</w:t>
      </w:r>
      <w:r w:rsidRPr="002A6F4E">
        <w:rPr>
          <w:rFonts w:ascii="Arial" w:hAnsi="Arial" w:cs="Arial"/>
          <w:lang w:val="sq-AL"/>
        </w:rPr>
        <w:t xml:space="preserve"> postojeće mreže transfer stanica. U tom smislu će biti </w:t>
      </w:r>
      <w:r w:rsidR="00B52581">
        <w:rPr>
          <w:rFonts w:ascii="Arial" w:hAnsi="Arial" w:cs="Arial"/>
          <w:lang w:val="sq-AL"/>
        </w:rPr>
        <w:t>izrađene</w:t>
      </w:r>
      <w:r w:rsidRPr="002A6F4E">
        <w:rPr>
          <w:rFonts w:ascii="Arial" w:hAnsi="Arial" w:cs="Arial"/>
          <w:lang w:val="sq-AL"/>
        </w:rPr>
        <w:t xml:space="preserve"> studije izvodljivosti za razvoj novih TS.</w:t>
      </w:r>
    </w:p>
    <w:p w14:paraId="6334B258" w14:textId="2E0CEEB1" w:rsidR="009316F8" w:rsidRDefault="009316F8" w:rsidP="009316F8">
      <w:pPr>
        <w:spacing w:before="120" w:after="120" w:line="360" w:lineRule="auto"/>
        <w:rPr>
          <w:rFonts w:ascii="Arial" w:hAnsi="Arial" w:cs="Arial"/>
          <w:lang w:val="sq-AL"/>
        </w:rPr>
      </w:pPr>
      <w:r w:rsidRPr="002A6F4E">
        <w:rPr>
          <w:rFonts w:ascii="Arial" w:hAnsi="Arial" w:cs="Arial"/>
          <w:lang w:val="sq-AL"/>
        </w:rPr>
        <w:lastRenderedPageBreak/>
        <w:t>Pored toga, sistem će biti dopunjen mrežom reciklažnih centara za odvojeno sakupljanje recikla</w:t>
      </w:r>
      <w:r w:rsidR="00B52581">
        <w:rPr>
          <w:rFonts w:ascii="Arial" w:hAnsi="Arial" w:cs="Arial"/>
          <w:lang w:val="sq-AL"/>
        </w:rPr>
        <w:t>bilnih</w:t>
      </w:r>
      <w:r w:rsidRPr="002A6F4E">
        <w:rPr>
          <w:rFonts w:ascii="Arial" w:hAnsi="Arial" w:cs="Arial"/>
          <w:lang w:val="sq-AL"/>
        </w:rPr>
        <w:t xml:space="preserve"> i </w:t>
      </w:r>
      <w:r w:rsidR="00B52581">
        <w:rPr>
          <w:rFonts w:ascii="Arial" w:hAnsi="Arial" w:cs="Arial"/>
          <w:lang w:val="sq-AL"/>
        </w:rPr>
        <w:t>posebnih</w:t>
      </w:r>
      <w:r w:rsidRPr="002A6F4E">
        <w:rPr>
          <w:rFonts w:ascii="Arial" w:hAnsi="Arial" w:cs="Arial"/>
          <w:lang w:val="sq-AL"/>
        </w:rPr>
        <w:t xml:space="preserve"> otpada (npr. otpad od električnih i elektronskih proizvod</w:t>
      </w:r>
      <w:r w:rsidR="00A16B9F">
        <w:rPr>
          <w:rFonts w:ascii="Arial" w:hAnsi="Arial" w:cs="Arial"/>
          <w:lang w:val="sq-AL"/>
        </w:rPr>
        <w:t>a</w:t>
      </w:r>
      <w:r w:rsidR="0054241B">
        <w:rPr>
          <w:rFonts w:ascii="Arial" w:hAnsi="Arial" w:cs="Arial"/>
          <w:lang w:val="sq-AL"/>
        </w:rPr>
        <w:t>,  kabasti otpad, i sl</w:t>
      </w:r>
      <w:r w:rsidRPr="002A6F4E">
        <w:rPr>
          <w:rFonts w:ascii="Arial" w:hAnsi="Arial" w:cs="Arial"/>
          <w:lang w:val="sq-AL"/>
        </w:rPr>
        <w:t>).</w:t>
      </w:r>
    </w:p>
    <w:p w14:paraId="412DD371" w14:textId="77777777" w:rsidR="0054241B" w:rsidRPr="002A6F4E" w:rsidRDefault="0054241B" w:rsidP="009316F8">
      <w:pPr>
        <w:spacing w:before="120" w:after="120" w:line="360" w:lineRule="auto"/>
        <w:rPr>
          <w:rFonts w:ascii="Arial" w:hAnsi="Arial" w:cs="Arial"/>
          <w:lang w:val="sq-AL"/>
        </w:rPr>
      </w:pPr>
    </w:p>
    <w:p w14:paraId="77AAD67F" w14:textId="64A70ED5" w:rsidR="009316F8" w:rsidRPr="009F4422" w:rsidRDefault="00620A47" w:rsidP="007378E8">
      <w:pPr>
        <w:pStyle w:val="Heading3"/>
        <w:rPr>
          <w:lang w:val="sq-AL"/>
        </w:rPr>
      </w:pPr>
      <w:bookmarkStart w:id="1245" w:name="_Toc189759723"/>
      <w:bookmarkStart w:id="1246" w:name="_Toc193354049"/>
      <w:r w:rsidRPr="009F4422">
        <w:rPr>
          <w:lang w:val="sq-AL"/>
        </w:rPr>
        <w:t>5.3</w:t>
      </w:r>
      <w:r w:rsidR="009751D2">
        <w:rPr>
          <w:lang w:val="sq-AL"/>
        </w:rPr>
        <w:t>9</w:t>
      </w:r>
      <w:r w:rsidR="003D1C94" w:rsidRPr="009F4422">
        <w:rPr>
          <w:lang w:val="sq-AL"/>
        </w:rPr>
        <w:t>.</w:t>
      </w:r>
      <w:r w:rsidR="00267FAF" w:rsidRPr="009F4422">
        <w:rPr>
          <w:lang w:val="sq-AL"/>
        </w:rPr>
        <w:t>2.</w:t>
      </w:r>
      <w:r w:rsidR="003D1C94" w:rsidRPr="009F4422">
        <w:rPr>
          <w:lang w:val="sq-AL"/>
        </w:rPr>
        <w:t xml:space="preserve"> </w:t>
      </w:r>
      <w:r w:rsidR="009316F8" w:rsidRPr="009F4422">
        <w:rPr>
          <w:lang w:val="sq-AL"/>
        </w:rPr>
        <w:t xml:space="preserve">Infrastruktura za </w:t>
      </w:r>
      <w:r w:rsidR="00E402B9" w:rsidRPr="009F4422">
        <w:rPr>
          <w:lang w:val="sq-AL"/>
        </w:rPr>
        <w:t>obradu</w:t>
      </w:r>
      <w:r w:rsidR="009316F8" w:rsidRPr="009F4422">
        <w:rPr>
          <w:lang w:val="sq-AL"/>
        </w:rPr>
        <w:t xml:space="preserve"> otpada</w:t>
      </w:r>
      <w:bookmarkEnd w:id="1245"/>
      <w:bookmarkEnd w:id="1246"/>
    </w:p>
    <w:p w14:paraId="0FCA54CF" w14:textId="77777777" w:rsidR="0054241B" w:rsidRDefault="0054241B" w:rsidP="009316F8">
      <w:pPr>
        <w:spacing w:before="120" w:after="120" w:line="360" w:lineRule="auto"/>
        <w:rPr>
          <w:rFonts w:ascii="Arial" w:hAnsi="Arial" w:cs="Arial"/>
          <w:lang w:val="sq-AL"/>
        </w:rPr>
      </w:pPr>
      <w:bookmarkStart w:id="1247" w:name="_Hlk121696799"/>
    </w:p>
    <w:p w14:paraId="6FF3C1FE" w14:textId="77777777" w:rsidR="009316F8" w:rsidRDefault="009316F8" w:rsidP="009316F8">
      <w:pPr>
        <w:spacing w:before="120" w:after="120" w:line="360" w:lineRule="auto"/>
        <w:rPr>
          <w:rFonts w:ascii="Arial" w:hAnsi="Arial" w:cs="Arial"/>
          <w:lang w:val="sq-AL"/>
        </w:rPr>
      </w:pPr>
      <w:r w:rsidRPr="002A6F4E">
        <w:rPr>
          <w:rFonts w:ascii="Arial" w:hAnsi="Arial" w:cs="Arial"/>
          <w:lang w:val="sq-AL"/>
        </w:rPr>
        <w:t>Na osnovu navedene analize, osnovna infrastruktura za upravljanje komunalnim otpadom će uključivati:</w:t>
      </w:r>
    </w:p>
    <w:p w14:paraId="16157969" w14:textId="77777777" w:rsidR="0054241B" w:rsidRPr="002A6F4E" w:rsidRDefault="0054241B" w:rsidP="009316F8">
      <w:pPr>
        <w:spacing w:before="120" w:after="120" w:line="360" w:lineRule="auto"/>
        <w:rPr>
          <w:rFonts w:ascii="Arial" w:hAnsi="Arial" w:cs="Arial"/>
          <w:lang w:val="sq-AL"/>
        </w:rPr>
      </w:pPr>
    </w:p>
    <w:p w14:paraId="756610DA" w14:textId="535CC97A" w:rsidR="009316F8" w:rsidRPr="002A6F4E" w:rsidRDefault="009316F8" w:rsidP="00A23ED0">
      <w:pPr>
        <w:pStyle w:val="ListParagraph"/>
        <w:numPr>
          <w:ilvl w:val="0"/>
          <w:numId w:val="67"/>
        </w:numPr>
        <w:spacing w:before="120" w:after="120" w:line="360" w:lineRule="auto"/>
        <w:contextualSpacing w:val="0"/>
        <w:rPr>
          <w:rFonts w:ascii="Arial" w:hAnsi="Arial" w:cs="Arial"/>
          <w:lang w:val="sq-AL"/>
        </w:rPr>
      </w:pPr>
      <w:r w:rsidRPr="002A6F4E">
        <w:rPr>
          <w:rFonts w:ascii="Arial" w:hAnsi="Arial" w:cs="Arial"/>
          <w:b/>
          <w:bCs/>
          <w:lang w:val="sq-AL"/>
        </w:rPr>
        <w:t>MRF postrojenja</w:t>
      </w:r>
      <w:r w:rsidRPr="002A6F4E">
        <w:rPr>
          <w:rFonts w:ascii="Arial" w:hAnsi="Arial" w:cs="Arial"/>
          <w:lang w:val="sq-AL"/>
        </w:rPr>
        <w:t xml:space="preserve"> gdje će odvojeno sakupljeni miješani otpad koji može da se reciklira biti povraćen i očišćen</w:t>
      </w:r>
      <w:r w:rsidR="00E139B3">
        <w:rPr>
          <w:rFonts w:ascii="Arial" w:hAnsi="Arial" w:cs="Arial"/>
          <w:lang w:val="sq-AL"/>
        </w:rPr>
        <w:t>,</w:t>
      </w:r>
      <w:r w:rsidRPr="002A6F4E">
        <w:rPr>
          <w:rFonts w:ascii="Arial" w:hAnsi="Arial" w:cs="Arial"/>
          <w:lang w:val="sq-AL"/>
        </w:rPr>
        <w:t xml:space="preserve"> kako bi se proslijedio na ponovnu upotrebu/recikl</w:t>
      </w:r>
      <w:r w:rsidR="00F45855">
        <w:rPr>
          <w:rFonts w:ascii="Arial" w:hAnsi="Arial" w:cs="Arial"/>
          <w:lang w:val="sq-AL"/>
        </w:rPr>
        <w:t>iranje</w:t>
      </w:r>
      <w:r w:rsidRPr="002A6F4E">
        <w:rPr>
          <w:rFonts w:ascii="Arial" w:hAnsi="Arial" w:cs="Arial"/>
          <w:lang w:val="sq-AL"/>
        </w:rPr>
        <w:t>. Postojeća mreža MRF biće proširena na cijelu zemlju;</w:t>
      </w:r>
    </w:p>
    <w:p w14:paraId="67A16478" w14:textId="29AA3180" w:rsidR="009316F8" w:rsidRPr="002A6F4E" w:rsidRDefault="009316F8" w:rsidP="00A23ED0">
      <w:pPr>
        <w:pStyle w:val="ListParagraph"/>
        <w:numPr>
          <w:ilvl w:val="0"/>
          <w:numId w:val="67"/>
        </w:numPr>
        <w:spacing w:before="120" w:after="120" w:line="360" w:lineRule="auto"/>
        <w:contextualSpacing w:val="0"/>
        <w:rPr>
          <w:rFonts w:ascii="Arial" w:hAnsi="Arial" w:cs="Arial"/>
          <w:lang w:val="sq-AL"/>
        </w:rPr>
      </w:pPr>
      <w:r w:rsidRPr="002A6F4E">
        <w:rPr>
          <w:rFonts w:ascii="Arial" w:hAnsi="Arial" w:cs="Arial"/>
          <w:b/>
          <w:bCs/>
          <w:lang w:val="sq-AL"/>
        </w:rPr>
        <w:t xml:space="preserve">Postrojenja za </w:t>
      </w:r>
      <w:r w:rsidR="00F45855">
        <w:rPr>
          <w:rFonts w:ascii="Arial" w:hAnsi="Arial" w:cs="Arial"/>
          <w:b/>
          <w:bCs/>
          <w:lang w:val="sq-AL"/>
        </w:rPr>
        <w:t>obradu</w:t>
      </w:r>
      <w:r w:rsidR="00F45855" w:rsidRPr="002A6F4E">
        <w:rPr>
          <w:rFonts w:ascii="Arial" w:hAnsi="Arial" w:cs="Arial"/>
          <w:b/>
          <w:bCs/>
          <w:lang w:val="sq-AL"/>
        </w:rPr>
        <w:t xml:space="preserve"> </w:t>
      </w:r>
      <w:r w:rsidRPr="002A6F4E">
        <w:rPr>
          <w:rFonts w:ascii="Arial" w:hAnsi="Arial" w:cs="Arial"/>
          <w:b/>
          <w:bCs/>
          <w:lang w:val="sq-AL"/>
        </w:rPr>
        <w:t>biorazgradivog otpada</w:t>
      </w:r>
      <w:r w:rsidRPr="002A6F4E">
        <w:rPr>
          <w:rFonts w:ascii="Arial" w:hAnsi="Arial" w:cs="Arial"/>
          <w:lang w:val="sq-AL"/>
        </w:rPr>
        <w:t>, gdje će se odvojeno sakupljeni zeleni i organski otpad tretirati (aerobno ili anaerobno) kako bi se proizveo kompost visokog kvaliteta koji će se koristiti u poljoprivredi. Postojeća mreža komposta</w:t>
      </w:r>
      <w:r w:rsidR="00A16B9F">
        <w:rPr>
          <w:rFonts w:ascii="Arial" w:hAnsi="Arial" w:cs="Arial"/>
          <w:lang w:val="sq-AL"/>
        </w:rPr>
        <w:t>n</w:t>
      </w:r>
      <w:r w:rsidRPr="002A6F4E">
        <w:rPr>
          <w:rFonts w:ascii="Arial" w:hAnsi="Arial" w:cs="Arial"/>
          <w:lang w:val="sq-AL"/>
        </w:rPr>
        <w:t>a biće proširena na cijelu zemlju;</w:t>
      </w:r>
    </w:p>
    <w:p w14:paraId="35983160" w14:textId="745B9F32" w:rsidR="009316F8" w:rsidRPr="002A6F4E" w:rsidRDefault="009316F8" w:rsidP="00A23ED0">
      <w:pPr>
        <w:pStyle w:val="ListParagraph"/>
        <w:numPr>
          <w:ilvl w:val="0"/>
          <w:numId w:val="67"/>
        </w:numPr>
        <w:spacing w:before="120" w:after="120" w:line="360" w:lineRule="auto"/>
        <w:contextualSpacing w:val="0"/>
        <w:rPr>
          <w:rFonts w:ascii="Arial" w:hAnsi="Arial" w:cs="Arial"/>
          <w:lang w:val="sq-AL"/>
        </w:rPr>
      </w:pPr>
      <w:r w:rsidRPr="002A6F4E">
        <w:rPr>
          <w:rFonts w:ascii="Arial" w:hAnsi="Arial" w:cs="Arial"/>
          <w:b/>
          <w:bCs/>
          <w:lang w:val="sq-AL"/>
        </w:rPr>
        <w:t xml:space="preserve">Postrojenja za </w:t>
      </w:r>
      <w:r w:rsidR="00F45855">
        <w:rPr>
          <w:rFonts w:ascii="Arial" w:hAnsi="Arial" w:cs="Arial"/>
          <w:b/>
          <w:bCs/>
          <w:lang w:val="sq-AL"/>
        </w:rPr>
        <w:t>obradu</w:t>
      </w:r>
      <w:r w:rsidR="00F45855" w:rsidRPr="002A6F4E">
        <w:rPr>
          <w:rFonts w:ascii="Arial" w:hAnsi="Arial" w:cs="Arial"/>
          <w:b/>
          <w:bCs/>
          <w:lang w:val="sq-AL"/>
        </w:rPr>
        <w:t xml:space="preserve"> </w:t>
      </w:r>
      <w:r w:rsidRPr="002A6F4E">
        <w:rPr>
          <w:rFonts w:ascii="Arial" w:hAnsi="Arial" w:cs="Arial"/>
          <w:b/>
          <w:bCs/>
          <w:lang w:val="sq-AL"/>
        </w:rPr>
        <w:t>otpada,</w:t>
      </w:r>
      <w:r w:rsidRPr="002A6F4E">
        <w:rPr>
          <w:rFonts w:ascii="Arial" w:hAnsi="Arial" w:cs="Arial"/>
          <w:lang w:val="sq-AL"/>
        </w:rPr>
        <w:t xml:space="preserve"> gdje će se rezidualni otpad prethodno </w:t>
      </w:r>
      <w:r w:rsidR="00A16B9F" w:rsidRPr="002A6F4E">
        <w:rPr>
          <w:rFonts w:ascii="Arial" w:hAnsi="Arial" w:cs="Arial"/>
          <w:lang w:val="sq-AL"/>
        </w:rPr>
        <w:t xml:space="preserve">mehanički </w:t>
      </w:r>
      <w:r w:rsidR="00F45855">
        <w:rPr>
          <w:rFonts w:ascii="Arial" w:hAnsi="Arial" w:cs="Arial"/>
          <w:lang w:val="sq-AL"/>
        </w:rPr>
        <w:t>obraditi</w:t>
      </w:r>
      <w:r w:rsidRPr="002A6F4E">
        <w:rPr>
          <w:rFonts w:ascii="Arial" w:hAnsi="Arial" w:cs="Arial"/>
          <w:lang w:val="sq-AL"/>
        </w:rPr>
        <w:t xml:space="preserve"> kako bi se povratili dodatni recikla</w:t>
      </w:r>
      <w:r w:rsidR="00F45855">
        <w:rPr>
          <w:rFonts w:ascii="Arial" w:hAnsi="Arial" w:cs="Arial"/>
          <w:lang w:val="sq-AL"/>
        </w:rPr>
        <w:t>bilni</w:t>
      </w:r>
      <w:r w:rsidRPr="002A6F4E">
        <w:rPr>
          <w:rFonts w:ascii="Arial" w:hAnsi="Arial" w:cs="Arial"/>
          <w:lang w:val="sq-AL"/>
        </w:rPr>
        <w:t xml:space="preserve"> materijali i proizvelo sekundarno gorivo, dok će se organska frakcija </w:t>
      </w:r>
      <w:r w:rsidR="00F45855">
        <w:rPr>
          <w:rFonts w:ascii="Arial" w:hAnsi="Arial" w:cs="Arial"/>
          <w:lang w:val="sq-AL"/>
        </w:rPr>
        <w:t>obraditi</w:t>
      </w:r>
      <w:r w:rsidR="00F45855" w:rsidRPr="002A6F4E">
        <w:rPr>
          <w:rFonts w:ascii="Arial" w:hAnsi="Arial" w:cs="Arial"/>
          <w:lang w:val="sq-AL"/>
        </w:rPr>
        <w:t xml:space="preserve"> </w:t>
      </w:r>
      <w:r w:rsidRPr="002A6F4E">
        <w:rPr>
          <w:rFonts w:ascii="Arial" w:hAnsi="Arial" w:cs="Arial"/>
          <w:lang w:val="sq-AL"/>
        </w:rPr>
        <w:t xml:space="preserve">(aerobno ili anaerobno) kako bi se proizvela energija i/ili biostabilizovala. Tokom narednih pet godina, postrojenja za </w:t>
      </w:r>
      <w:r w:rsidR="00F45855">
        <w:rPr>
          <w:rFonts w:ascii="Arial" w:hAnsi="Arial" w:cs="Arial"/>
          <w:lang w:val="sq-AL"/>
        </w:rPr>
        <w:t>obradu</w:t>
      </w:r>
      <w:r w:rsidR="00F45855" w:rsidRPr="002A6F4E">
        <w:rPr>
          <w:rFonts w:ascii="Arial" w:hAnsi="Arial" w:cs="Arial"/>
          <w:lang w:val="sq-AL"/>
        </w:rPr>
        <w:t xml:space="preserve"> </w:t>
      </w:r>
      <w:r w:rsidRPr="002A6F4E">
        <w:rPr>
          <w:rFonts w:ascii="Arial" w:hAnsi="Arial" w:cs="Arial"/>
          <w:lang w:val="sq-AL"/>
        </w:rPr>
        <w:t>otpada od ~170.000 t/god će postati operativna u centralnom i/ili sjevernom dijelu zemlje;</w:t>
      </w:r>
    </w:p>
    <w:p w14:paraId="2AAB0B4A" w14:textId="12FC0E6B" w:rsidR="009316F8" w:rsidRDefault="009316F8" w:rsidP="00A23ED0">
      <w:pPr>
        <w:pStyle w:val="ListParagraph"/>
        <w:numPr>
          <w:ilvl w:val="0"/>
          <w:numId w:val="67"/>
        </w:numPr>
        <w:spacing w:before="120" w:after="120" w:line="360" w:lineRule="auto"/>
        <w:contextualSpacing w:val="0"/>
        <w:rPr>
          <w:rFonts w:ascii="Arial" w:hAnsi="Arial" w:cs="Arial"/>
          <w:lang w:val="sq-AL"/>
        </w:rPr>
      </w:pPr>
      <w:r w:rsidRPr="002A6F4E">
        <w:rPr>
          <w:rFonts w:ascii="Arial" w:hAnsi="Arial" w:cs="Arial"/>
          <w:b/>
          <w:bCs/>
          <w:lang w:val="sq-AL"/>
        </w:rPr>
        <w:t>Odlaganje otpada</w:t>
      </w:r>
      <w:r w:rsidRPr="002A6F4E">
        <w:rPr>
          <w:rFonts w:ascii="Arial" w:hAnsi="Arial" w:cs="Arial"/>
          <w:lang w:val="sq-AL"/>
        </w:rPr>
        <w:t xml:space="preserve"> biće </w:t>
      </w:r>
      <w:r w:rsidR="00226F83">
        <w:rPr>
          <w:rFonts w:ascii="Arial" w:hAnsi="Arial" w:cs="Arial"/>
          <w:lang w:val="sq-AL"/>
        </w:rPr>
        <w:t>unaprijeđeno</w:t>
      </w:r>
      <w:r w:rsidRPr="002A6F4E">
        <w:rPr>
          <w:rFonts w:ascii="Arial" w:hAnsi="Arial" w:cs="Arial"/>
          <w:lang w:val="sq-AL"/>
        </w:rPr>
        <w:t xml:space="preserve"> dodatn</w:t>
      </w:r>
      <w:r w:rsidR="009F4422">
        <w:rPr>
          <w:rFonts w:ascii="Arial" w:hAnsi="Arial" w:cs="Arial"/>
          <w:lang w:val="sq-AL"/>
        </w:rPr>
        <w:t xml:space="preserve">im regionalnim centrom za upravljanje otpadom, </w:t>
      </w:r>
      <w:r w:rsidRPr="002A6F4E">
        <w:rPr>
          <w:rFonts w:ascii="Arial" w:hAnsi="Arial" w:cs="Arial"/>
          <w:lang w:val="sq-AL"/>
        </w:rPr>
        <w:t>koj</w:t>
      </w:r>
      <w:r w:rsidR="009F4422">
        <w:rPr>
          <w:rFonts w:ascii="Arial" w:hAnsi="Arial" w:cs="Arial"/>
          <w:lang w:val="sq-AL"/>
        </w:rPr>
        <w:t>i</w:t>
      </w:r>
      <w:r w:rsidRPr="002A6F4E">
        <w:rPr>
          <w:rFonts w:ascii="Arial" w:hAnsi="Arial" w:cs="Arial"/>
          <w:lang w:val="sq-AL"/>
        </w:rPr>
        <w:t xml:space="preserve"> će opsluživati sjeverni dio zemlje. Sva </w:t>
      </w:r>
      <w:r w:rsidR="007371CF">
        <w:rPr>
          <w:rFonts w:ascii="Arial" w:hAnsi="Arial" w:cs="Arial"/>
          <w:lang w:val="sq-AL"/>
        </w:rPr>
        <w:t>privremena</w:t>
      </w:r>
      <w:r w:rsidRPr="002A6F4E">
        <w:rPr>
          <w:rFonts w:ascii="Arial" w:hAnsi="Arial" w:cs="Arial"/>
          <w:lang w:val="sq-AL"/>
        </w:rPr>
        <w:t xml:space="preserve"> odlagališta će prestati sa radom i biće zatvoren</w:t>
      </w:r>
      <w:r w:rsidR="00A567F3">
        <w:rPr>
          <w:rFonts w:ascii="Arial" w:hAnsi="Arial" w:cs="Arial"/>
          <w:lang w:val="sq-AL"/>
        </w:rPr>
        <w:t>a</w:t>
      </w:r>
      <w:r w:rsidRPr="002A6F4E">
        <w:rPr>
          <w:rFonts w:ascii="Arial" w:hAnsi="Arial" w:cs="Arial"/>
          <w:lang w:val="sq-AL"/>
        </w:rPr>
        <w:t xml:space="preserve"> i saniran</w:t>
      </w:r>
      <w:r w:rsidR="00A567F3">
        <w:rPr>
          <w:rFonts w:ascii="Arial" w:hAnsi="Arial" w:cs="Arial"/>
          <w:lang w:val="sq-AL"/>
        </w:rPr>
        <w:t>a</w:t>
      </w:r>
      <w:r w:rsidRPr="002A6F4E">
        <w:rPr>
          <w:rFonts w:ascii="Arial" w:hAnsi="Arial" w:cs="Arial"/>
          <w:lang w:val="sq-AL"/>
        </w:rPr>
        <w:t>.</w:t>
      </w:r>
      <w:r w:rsidRPr="003D7619">
        <w:rPr>
          <w:rFonts w:ascii="Arial" w:hAnsi="Arial" w:cs="Arial"/>
          <w:lang w:val="sq-AL"/>
        </w:rPr>
        <w:t xml:space="preserve"> </w:t>
      </w:r>
      <w:bookmarkEnd w:id="1247"/>
    </w:p>
    <w:p w14:paraId="60243BB3" w14:textId="77777777" w:rsidR="0054241B" w:rsidRPr="002A6F4E" w:rsidRDefault="0054241B" w:rsidP="0054241B">
      <w:pPr>
        <w:pStyle w:val="ListParagraph"/>
        <w:spacing w:before="120" w:after="120" w:line="360" w:lineRule="auto"/>
        <w:contextualSpacing w:val="0"/>
        <w:rPr>
          <w:rFonts w:ascii="Arial" w:hAnsi="Arial" w:cs="Arial"/>
          <w:lang w:val="sq-AL"/>
        </w:rPr>
      </w:pPr>
    </w:p>
    <w:p w14:paraId="7EDCE06F" w14:textId="0E01472E" w:rsidR="009316F8" w:rsidRDefault="009316F8" w:rsidP="009316F8">
      <w:pPr>
        <w:spacing w:before="120" w:after="120" w:line="360" w:lineRule="auto"/>
        <w:rPr>
          <w:rFonts w:ascii="Arial" w:hAnsi="Arial" w:cs="Arial"/>
          <w:lang w:val="sq-AL"/>
        </w:rPr>
      </w:pPr>
      <w:r w:rsidRPr="002A6F4E">
        <w:rPr>
          <w:rFonts w:ascii="Arial" w:hAnsi="Arial" w:cs="Arial"/>
          <w:lang w:val="sq-AL"/>
        </w:rPr>
        <w:t>U narednoj tabeli predstavljena je infrastruktur</w:t>
      </w:r>
      <w:r w:rsidR="00A567F3">
        <w:rPr>
          <w:rFonts w:ascii="Arial" w:hAnsi="Arial" w:cs="Arial"/>
          <w:lang w:val="sq-AL"/>
        </w:rPr>
        <w:t xml:space="preserve">a </w:t>
      </w:r>
      <w:r w:rsidRPr="002A6F4E">
        <w:rPr>
          <w:rFonts w:ascii="Arial" w:hAnsi="Arial" w:cs="Arial"/>
          <w:lang w:val="sq-AL"/>
        </w:rPr>
        <w:t xml:space="preserve">koja se predlaže za </w:t>
      </w:r>
      <w:r w:rsidR="00F45855">
        <w:rPr>
          <w:rFonts w:ascii="Arial" w:hAnsi="Arial" w:cs="Arial"/>
          <w:lang w:val="sq-AL"/>
        </w:rPr>
        <w:t>izgradnju</w:t>
      </w:r>
      <w:r w:rsidRPr="002A6F4E">
        <w:rPr>
          <w:rFonts w:ascii="Arial" w:hAnsi="Arial" w:cs="Arial"/>
          <w:lang w:val="sq-AL"/>
        </w:rPr>
        <w:t>. Kapaciteti su indikativni i trebalo bi da budu potvrđeni namjenskim studijama.</w:t>
      </w:r>
    </w:p>
    <w:p w14:paraId="7A008057" w14:textId="77777777" w:rsidR="0054241B" w:rsidRDefault="0054241B" w:rsidP="009316F8">
      <w:pPr>
        <w:spacing w:before="120" w:after="120" w:line="360" w:lineRule="auto"/>
        <w:rPr>
          <w:rFonts w:ascii="Arial" w:hAnsi="Arial" w:cs="Arial"/>
          <w:lang w:val="sq-AL"/>
        </w:rPr>
      </w:pPr>
    </w:p>
    <w:p w14:paraId="00488325" w14:textId="77777777" w:rsidR="0054241B" w:rsidRDefault="0054241B" w:rsidP="009316F8">
      <w:pPr>
        <w:spacing w:before="120" w:after="120" w:line="360" w:lineRule="auto"/>
        <w:rPr>
          <w:rFonts w:ascii="Arial" w:hAnsi="Arial" w:cs="Arial"/>
          <w:lang w:val="sq-AL"/>
        </w:rPr>
      </w:pPr>
    </w:p>
    <w:p w14:paraId="03E3A4C5" w14:textId="77777777" w:rsidR="0054241B" w:rsidRDefault="0054241B" w:rsidP="009316F8">
      <w:pPr>
        <w:spacing w:before="120" w:after="120" w:line="360" w:lineRule="auto"/>
        <w:rPr>
          <w:rFonts w:ascii="Arial" w:hAnsi="Arial" w:cs="Arial"/>
          <w:lang w:val="sq-AL"/>
        </w:rPr>
      </w:pPr>
    </w:p>
    <w:p w14:paraId="6F3D8C75" w14:textId="77777777" w:rsidR="0054241B" w:rsidRDefault="0054241B" w:rsidP="009316F8">
      <w:pPr>
        <w:spacing w:before="120" w:after="120" w:line="360" w:lineRule="auto"/>
        <w:rPr>
          <w:rFonts w:ascii="Arial" w:hAnsi="Arial" w:cs="Arial"/>
          <w:lang w:val="sq-AL"/>
        </w:rPr>
      </w:pPr>
    </w:p>
    <w:p w14:paraId="4A64398F" w14:textId="77777777" w:rsidR="0054241B" w:rsidRDefault="0054241B" w:rsidP="009316F8">
      <w:pPr>
        <w:spacing w:before="120" w:after="120" w:line="360" w:lineRule="auto"/>
        <w:rPr>
          <w:rFonts w:ascii="Arial" w:hAnsi="Arial" w:cs="Arial"/>
          <w:lang w:val="sq-AL"/>
        </w:rPr>
      </w:pPr>
    </w:p>
    <w:p w14:paraId="2F75B50D" w14:textId="77777777" w:rsidR="0054241B" w:rsidRDefault="0054241B" w:rsidP="009316F8">
      <w:pPr>
        <w:spacing w:before="120" w:after="120" w:line="360" w:lineRule="auto"/>
        <w:rPr>
          <w:rFonts w:ascii="Arial" w:hAnsi="Arial" w:cs="Arial"/>
          <w:lang w:val="sq-AL"/>
        </w:rPr>
      </w:pPr>
    </w:p>
    <w:p w14:paraId="5383441F" w14:textId="77777777" w:rsidR="0054241B" w:rsidRDefault="0054241B" w:rsidP="009316F8">
      <w:pPr>
        <w:spacing w:before="120" w:after="120" w:line="360" w:lineRule="auto"/>
        <w:rPr>
          <w:rFonts w:ascii="Arial" w:hAnsi="Arial" w:cs="Arial"/>
          <w:lang w:val="sq-AL"/>
        </w:rPr>
      </w:pPr>
    </w:p>
    <w:p w14:paraId="3A45B968" w14:textId="77777777" w:rsidR="0054241B" w:rsidRPr="002A6F4E" w:rsidRDefault="0054241B" w:rsidP="009316F8">
      <w:pPr>
        <w:spacing w:before="120" w:after="120" w:line="360" w:lineRule="auto"/>
        <w:rPr>
          <w:rFonts w:ascii="Arial" w:hAnsi="Arial" w:cs="Arial"/>
          <w:lang w:val="sq-AL"/>
        </w:rPr>
      </w:pPr>
    </w:p>
    <w:p w14:paraId="7A9AF842" w14:textId="4DC76F69" w:rsidR="009316F8" w:rsidRPr="00C149AB" w:rsidRDefault="009316F8" w:rsidP="009316F8">
      <w:pPr>
        <w:pStyle w:val="Caption"/>
        <w:rPr>
          <w:rFonts w:ascii="Arial" w:hAnsi="Arial" w:cs="Arial"/>
          <w:b w:val="0"/>
          <w:szCs w:val="20"/>
          <w:lang w:val="sq-AL"/>
        </w:rPr>
      </w:pPr>
      <w:bookmarkStart w:id="1248" w:name="_Toc189515687"/>
      <w:bookmarkStart w:id="1249" w:name="_Toc190160798"/>
      <w:r w:rsidRPr="00C149AB">
        <w:rPr>
          <w:rFonts w:ascii="Arial" w:hAnsi="Arial" w:cs="Arial"/>
          <w:b w:val="0"/>
          <w:szCs w:val="20"/>
          <w:lang w:val="de-DE"/>
        </w:rPr>
        <w:lastRenderedPageBreak/>
        <w:t xml:space="preserve">Tabela </w:t>
      </w:r>
      <w:r w:rsidRPr="00C149AB">
        <w:rPr>
          <w:rFonts w:ascii="Arial" w:hAnsi="Arial" w:cs="Arial"/>
          <w:b w:val="0"/>
          <w:szCs w:val="20"/>
        </w:rPr>
        <w:fldChar w:fldCharType="begin"/>
      </w:r>
      <w:r w:rsidRPr="00C149AB">
        <w:rPr>
          <w:rFonts w:ascii="Arial" w:hAnsi="Arial" w:cs="Arial"/>
          <w:b w:val="0"/>
          <w:szCs w:val="20"/>
          <w:lang w:val="de-DE"/>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de-DE"/>
        </w:rPr>
        <w:t>103</w:t>
      </w:r>
      <w:r w:rsidRPr="00C149AB">
        <w:rPr>
          <w:rFonts w:ascii="Arial" w:hAnsi="Arial" w:cs="Arial"/>
          <w:b w:val="0"/>
          <w:szCs w:val="20"/>
        </w:rPr>
        <w:fldChar w:fldCharType="end"/>
      </w:r>
      <w:r w:rsidRPr="00C149AB">
        <w:rPr>
          <w:rFonts w:ascii="Arial" w:hAnsi="Arial" w:cs="Arial"/>
          <w:b w:val="0"/>
          <w:szCs w:val="20"/>
          <w:lang w:val="sq-AL"/>
        </w:rPr>
        <w:t xml:space="preserve"> Predložena infrastruktura za upravljanje otpadom (t/god, </w:t>
      </w:r>
      <w:r w:rsidR="00B40E88" w:rsidRPr="00C149AB">
        <w:rPr>
          <w:rFonts w:ascii="Arial" w:hAnsi="Arial" w:cs="Arial"/>
          <w:b w:val="0"/>
          <w:szCs w:val="20"/>
          <w:lang w:val="sq-AL"/>
        </w:rPr>
        <w:t>2029</w:t>
      </w:r>
      <w:r w:rsidR="00E91387" w:rsidRPr="00C149AB">
        <w:rPr>
          <w:rFonts w:ascii="Arial" w:hAnsi="Arial" w:cs="Arial"/>
          <w:b w:val="0"/>
          <w:szCs w:val="20"/>
          <w:lang w:val="sq-AL"/>
        </w:rPr>
        <w:t>.</w:t>
      </w:r>
      <w:r w:rsidRPr="00C149AB">
        <w:rPr>
          <w:rFonts w:ascii="Arial" w:hAnsi="Arial" w:cs="Arial"/>
          <w:b w:val="0"/>
          <w:szCs w:val="20"/>
          <w:lang w:val="sq-AL"/>
        </w:rPr>
        <w:t>)</w:t>
      </w:r>
      <w:bookmarkEnd w:id="1248"/>
      <w:bookmarkEnd w:id="1249"/>
    </w:p>
    <w:tbl>
      <w:tblPr>
        <w:tblW w:w="6634"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2940"/>
        <w:gridCol w:w="1828"/>
        <w:gridCol w:w="1866"/>
      </w:tblGrid>
      <w:tr w:rsidR="009316F8" w:rsidRPr="00C149AB" w14:paraId="3C1178A8" w14:textId="77777777" w:rsidTr="00B167CC">
        <w:trPr>
          <w:trHeight w:val="300"/>
          <w:tblHeader/>
          <w:jc w:val="center"/>
        </w:trPr>
        <w:tc>
          <w:tcPr>
            <w:tcW w:w="2940" w:type="dxa"/>
            <w:shd w:val="clear" w:color="auto" w:fill="F2F2F2" w:themeFill="background1" w:themeFillShade="F2"/>
            <w:vAlign w:val="center"/>
          </w:tcPr>
          <w:p w14:paraId="2632F896" w14:textId="08CBB434" w:rsidR="009316F8" w:rsidRPr="00C149AB" w:rsidRDefault="00DC1271" w:rsidP="00FE289C">
            <w:pPr>
              <w:spacing w:before="40" w:after="40" w:line="360" w:lineRule="auto"/>
              <w:rPr>
                <w:rFonts w:ascii="Arial" w:eastAsia="Times New Roman" w:hAnsi="Arial" w:cs="Arial"/>
                <w:b/>
                <w:bCs/>
                <w:color w:val="000000"/>
                <w:sz w:val="18"/>
                <w:lang w:val="sq-AL"/>
              </w:rPr>
            </w:pPr>
            <w:r w:rsidRPr="00C149AB">
              <w:rPr>
                <w:rFonts w:ascii="Arial" w:eastAsia="Times New Roman" w:hAnsi="Arial" w:cs="Arial"/>
                <w:b/>
                <w:bCs/>
                <w:sz w:val="18"/>
                <w:lang w:val="sq-AL" w:eastAsia="el-GR"/>
              </w:rPr>
              <w:t>Vr</w:t>
            </w:r>
            <w:r w:rsidR="009316F8" w:rsidRPr="00C149AB">
              <w:rPr>
                <w:rFonts w:ascii="Arial" w:eastAsia="Times New Roman" w:hAnsi="Arial" w:cs="Arial"/>
                <w:b/>
                <w:bCs/>
                <w:sz w:val="18"/>
                <w:lang w:val="sq-AL" w:eastAsia="el-GR"/>
              </w:rPr>
              <w:t>sta postrojenja</w:t>
            </w:r>
          </w:p>
        </w:tc>
        <w:tc>
          <w:tcPr>
            <w:tcW w:w="1828" w:type="dxa"/>
            <w:shd w:val="clear" w:color="auto" w:fill="F2F2F2" w:themeFill="background1" w:themeFillShade="F2"/>
            <w:vAlign w:val="center"/>
          </w:tcPr>
          <w:p w14:paraId="0C7748AB"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eastAsia="Times New Roman" w:hAnsi="Arial" w:cs="Arial"/>
                <w:b/>
                <w:bCs/>
                <w:sz w:val="18"/>
                <w:lang w:val="sq-AL" w:eastAsia="el-GR"/>
              </w:rPr>
              <w:t>Lokacija</w:t>
            </w:r>
          </w:p>
        </w:tc>
        <w:tc>
          <w:tcPr>
            <w:tcW w:w="1866" w:type="dxa"/>
            <w:shd w:val="clear" w:color="auto" w:fill="F2F2F2" w:themeFill="background1" w:themeFillShade="F2"/>
            <w:vAlign w:val="center"/>
          </w:tcPr>
          <w:p w14:paraId="572B881C"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eastAsia="Times New Roman" w:hAnsi="Arial" w:cs="Arial"/>
                <w:b/>
                <w:bCs/>
                <w:sz w:val="18"/>
                <w:lang w:val="sq-AL" w:eastAsia="el-GR"/>
              </w:rPr>
              <w:t>Kapacitet t/god</w:t>
            </w:r>
          </w:p>
        </w:tc>
      </w:tr>
      <w:tr w:rsidR="009316F8" w:rsidRPr="00C149AB" w14:paraId="15156307" w14:textId="77777777" w:rsidTr="00B167CC">
        <w:trPr>
          <w:trHeight w:val="300"/>
          <w:jc w:val="center"/>
        </w:trPr>
        <w:tc>
          <w:tcPr>
            <w:tcW w:w="2940" w:type="dxa"/>
            <w:shd w:val="clear" w:color="auto" w:fill="70AD47" w:themeFill="accent6"/>
            <w:vAlign w:val="center"/>
          </w:tcPr>
          <w:p w14:paraId="054EA0BF"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eastAsia="Times New Roman" w:hAnsi="Arial" w:cs="Arial"/>
                <w:b/>
                <w:bCs/>
                <w:color w:val="000000"/>
                <w:sz w:val="18"/>
                <w:lang w:val="sq-AL" w:eastAsia="el-GR"/>
              </w:rPr>
              <w:t>Transfer stanice</w:t>
            </w:r>
          </w:p>
        </w:tc>
        <w:tc>
          <w:tcPr>
            <w:tcW w:w="1828" w:type="dxa"/>
            <w:shd w:val="clear" w:color="auto" w:fill="70AD47" w:themeFill="accent6"/>
            <w:vAlign w:val="center"/>
          </w:tcPr>
          <w:p w14:paraId="34797F74" w14:textId="77777777" w:rsidR="009316F8" w:rsidRPr="00C149AB" w:rsidRDefault="009316F8" w:rsidP="00FE289C">
            <w:pPr>
              <w:spacing w:before="40" w:after="40" w:line="360" w:lineRule="auto"/>
              <w:rPr>
                <w:rFonts w:ascii="Arial" w:eastAsia="Times New Roman" w:hAnsi="Arial" w:cs="Arial"/>
                <w:b/>
                <w:bCs/>
                <w:color w:val="000000"/>
                <w:sz w:val="18"/>
                <w:lang w:val="sq-AL"/>
              </w:rPr>
            </w:pPr>
          </w:p>
        </w:tc>
        <w:tc>
          <w:tcPr>
            <w:tcW w:w="1866" w:type="dxa"/>
            <w:shd w:val="clear" w:color="auto" w:fill="70AD47" w:themeFill="accent6"/>
            <w:vAlign w:val="center"/>
          </w:tcPr>
          <w:p w14:paraId="341B443B"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eastAsia="Times New Roman" w:hAnsi="Arial" w:cs="Arial"/>
                <w:b/>
                <w:bCs/>
                <w:color w:val="000000"/>
                <w:sz w:val="18"/>
                <w:lang w:eastAsia="el-GR"/>
              </w:rPr>
              <w:t>135.598</w:t>
            </w:r>
          </w:p>
        </w:tc>
      </w:tr>
      <w:tr w:rsidR="009316F8" w:rsidRPr="00C149AB" w14:paraId="0774C9A7" w14:textId="77777777" w:rsidTr="00B167CC">
        <w:trPr>
          <w:trHeight w:val="300"/>
          <w:jc w:val="center"/>
        </w:trPr>
        <w:tc>
          <w:tcPr>
            <w:tcW w:w="2940" w:type="dxa"/>
            <w:shd w:val="clear" w:color="auto" w:fill="auto"/>
            <w:vAlign w:val="center"/>
          </w:tcPr>
          <w:p w14:paraId="7084C3FB"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ŽABLJAK</w:t>
            </w:r>
          </w:p>
        </w:tc>
        <w:tc>
          <w:tcPr>
            <w:tcW w:w="1828" w:type="dxa"/>
            <w:shd w:val="clear" w:color="auto" w:fill="auto"/>
          </w:tcPr>
          <w:p w14:paraId="305F561E" w14:textId="75936A74" w:rsidR="009316F8" w:rsidRPr="00C149AB" w:rsidRDefault="00A567F3"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eastAsia="el-GR"/>
              </w:rPr>
              <w:t>Ž</w:t>
            </w:r>
            <w:r w:rsidR="009316F8" w:rsidRPr="00C149AB">
              <w:rPr>
                <w:rFonts w:ascii="Arial" w:eastAsia="Times New Roman" w:hAnsi="Arial" w:cs="Arial"/>
                <w:color w:val="000000"/>
                <w:sz w:val="18"/>
                <w:lang w:eastAsia="el-GR"/>
              </w:rPr>
              <w:t>abljak</w:t>
            </w:r>
          </w:p>
        </w:tc>
        <w:tc>
          <w:tcPr>
            <w:tcW w:w="1866" w:type="dxa"/>
            <w:shd w:val="clear" w:color="auto" w:fill="auto"/>
            <w:vAlign w:val="center"/>
          </w:tcPr>
          <w:p w14:paraId="54777FF5"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1.</w:t>
            </w:r>
            <w:r w:rsidRPr="00C149AB">
              <w:rPr>
                <w:rFonts w:ascii="Arial" w:eastAsia="Times New Roman" w:hAnsi="Arial" w:cs="Arial"/>
                <w:color w:val="000000"/>
                <w:sz w:val="18"/>
                <w:lang w:eastAsia="el-GR"/>
              </w:rPr>
              <w:t>108</w:t>
            </w:r>
          </w:p>
        </w:tc>
      </w:tr>
      <w:tr w:rsidR="009316F8" w:rsidRPr="00C149AB" w14:paraId="5ACBDA6B" w14:textId="77777777" w:rsidTr="00B167CC">
        <w:trPr>
          <w:trHeight w:val="300"/>
          <w:jc w:val="center"/>
        </w:trPr>
        <w:tc>
          <w:tcPr>
            <w:tcW w:w="2940" w:type="dxa"/>
            <w:shd w:val="clear" w:color="auto" w:fill="auto"/>
            <w:vAlign w:val="center"/>
          </w:tcPr>
          <w:p w14:paraId="2668B182" w14:textId="7C18890D"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 xml:space="preserve">NIKŠIĆ - PLUŽINE </w:t>
            </w:r>
            <w:r w:rsidR="00C149AB" w:rsidRPr="00C149AB">
              <w:rPr>
                <w:rFonts w:ascii="Arial" w:eastAsia="Times New Roman" w:hAnsi="Arial" w:cs="Arial"/>
                <w:color w:val="000000"/>
                <w:sz w:val="18"/>
                <w:lang w:val="sq-AL"/>
              </w:rPr>
              <w:t>–</w:t>
            </w:r>
            <w:r w:rsidRPr="00C149AB">
              <w:rPr>
                <w:rFonts w:ascii="Arial" w:eastAsia="Times New Roman" w:hAnsi="Arial" w:cs="Arial"/>
                <w:color w:val="000000"/>
                <w:sz w:val="18"/>
                <w:lang w:val="sq-AL"/>
              </w:rPr>
              <w:t xml:space="preserve"> ŠAVNIK</w:t>
            </w:r>
          </w:p>
        </w:tc>
        <w:tc>
          <w:tcPr>
            <w:tcW w:w="1828" w:type="dxa"/>
            <w:shd w:val="clear" w:color="auto" w:fill="auto"/>
          </w:tcPr>
          <w:p w14:paraId="196E97A7" w14:textId="2523A3BC"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Ni</w:t>
            </w:r>
            <w:r w:rsidR="00A567F3" w:rsidRPr="00C149AB">
              <w:rPr>
                <w:rFonts w:ascii="Arial" w:hAnsi="Arial" w:cs="Arial"/>
                <w:color w:val="000000"/>
                <w:sz w:val="18"/>
              </w:rPr>
              <w:t>kšić</w:t>
            </w:r>
            <w:r w:rsidR="00B045EF" w:rsidRPr="00C149AB">
              <w:rPr>
                <w:rFonts w:ascii="Arial" w:hAnsi="Arial" w:cs="Arial"/>
                <w:color w:val="000000"/>
                <w:sz w:val="18"/>
              </w:rPr>
              <w:t xml:space="preserve"> </w:t>
            </w:r>
            <w:r w:rsidRPr="00C149AB">
              <w:rPr>
                <w:rFonts w:ascii="Arial" w:hAnsi="Arial" w:cs="Arial"/>
                <w:color w:val="000000"/>
                <w:sz w:val="18"/>
              </w:rPr>
              <w:t>(indikativno)</w:t>
            </w:r>
          </w:p>
        </w:tc>
        <w:tc>
          <w:tcPr>
            <w:tcW w:w="1866" w:type="dxa"/>
            <w:shd w:val="clear" w:color="auto" w:fill="auto"/>
            <w:vAlign w:val="center"/>
          </w:tcPr>
          <w:p w14:paraId="42BCA9D3"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eastAsia="el-GR"/>
              </w:rPr>
              <w:t>30.926</w:t>
            </w:r>
          </w:p>
        </w:tc>
      </w:tr>
      <w:tr w:rsidR="009316F8" w:rsidRPr="00C149AB" w14:paraId="75DF566F" w14:textId="77777777" w:rsidTr="00B167CC">
        <w:trPr>
          <w:trHeight w:val="300"/>
          <w:jc w:val="center"/>
        </w:trPr>
        <w:tc>
          <w:tcPr>
            <w:tcW w:w="2940" w:type="dxa"/>
            <w:shd w:val="clear" w:color="auto" w:fill="auto"/>
            <w:vAlign w:val="center"/>
          </w:tcPr>
          <w:p w14:paraId="598721BF" w14:textId="6CB2E0A8"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 xml:space="preserve">MOJKOVAC </w:t>
            </w:r>
            <w:r w:rsidR="00C149AB" w:rsidRPr="00C149AB">
              <w:rPr>
                <w:rFonts w:ascii="Arial" w:eastAsia="Times New Roman" w:hAnsi="Arial" w:cs="Arial"/>
                <w:color w:val="000000"/>
                <w:sz w:val="18"/>
                <w:lang w:val="sq-AL"/>
              </w:rPr>
              <w:t>–</w:t>
            </w:r>
            <w:r w:rsidRPr="00C149AB">
              <w:rPr>
                <w:rFonts w:ascii="Arial" w:eastAsia="Times New Roman" w:hAnsi="Arial" w:cs="Arial"/>
                <w:color w:val="000000"/>
                <w:sz w:val="18"/>
                <w:lang w:val="sq-AL"/>
              </w:rPr>
              <w:t xml:space="preserve"> KOLAŠIN</w:t>
            </w:r>
          </w:p>
        </w:tc>
        <w:tc>
          <w:tcPr>
            <w:tcW w:w="1828" w:type="dxa"/>
            <w:shd w:val="clear" w:color="auto" w:fill="auto"/>
          </w:tcPr>
          <w:p w14:paraId="3026854A"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Mojkovac</w:t>
            </w:r>
          </w:p>
        </w:tc>
        <w:tc>
          <w:tcPr>
            <w:tcW w:w="1866" w:type="dxa"/>
            <w:shd w:val="clear" w:color="auto" w:fill="auto"/>
            <w:vAlign w:val="center"/>
          </w:tcPr>
          <w:p w14:paraId="50D426BF"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6.</w:t>
            </w:r>
            <w:r w:rsidRPr="00C149AB">
              <w:rPr>
                <w:rFonts w:ascii="Arial" w:eastAsia="Times New Roman" w:hAnsi="Arial" w:cs="Arial"/>
                <w:color w:val="000000"/>
                <w:sz w:val="18"/>
                <w:lang w:eastAsia="el-GR"/>
              </w:rPr>
              <w:t>378</w:t>
            </w:r>
          </w:p>
        </w:tc>
      </w:tr>
      <w:tr w:rsidR="009316F8" w:rsidRPr="00C149AB" w14:paraId="5556FCD8" w14:textId="77777777" w:rsidTr="00B167CC">
        <w:trPr>
          <w:trHeight w:val="300"/>
          <w:jc w:val="center"/>
        </w:trPr>
        <w:tc>
          <w:tcPr>
            <w:tcW w:w="2940" w:type="dxa"/>
            <w:shd w:val="clear" w:color="auto" w:fill="auto"/>
            <w:vAlign w:val="center"/>
          </w:tcPr>
          <w:p w14:paraId="1403D37E"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ROŽAJE</w:t>
            </w:r>
          </w:p>
        </w:tc>
        <w:tc>
          <w:tcPr>
            <w:tcW w:w="1828" w:type="dxa"/>
            <w:shd w:val="clear" w:color="auto" w:fill="auto"/>
            <w:vAlign w:val="center"/>
          </w:tcPr>
          <w:p w14:paraId="71D5434A" w14:textId="7648F5D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Ro</w:t>
            </w:r>
            <w:r w:rsidR="00A567F3" w:rsidRPr="00C149AB">
              <w:rPr>
                <w:rFonts w:ascii="Arial" w:hAnsi="Arial" w:cs="Arial"/>
                <w:color w:val="000000"/>
                <w:sz w:val="18"/>
              </w:rPr>
              <w:t>ž</w:t>
            </w:r>
            <w:r w:rsidRPr="00C149AB">
              <w:rPr>
                <w:rFonts w:ascii="Arial" w:hAnsi="Arial" w:cs="Arial"/>
                <w:color w:val="000000"/>
                <w:sz w:val="18"/>
              </w:rPr>
              <w:t>aje</w:t>
            </w:r>
          </w:p>
        </w:tc>
        <w:tc>
          <w:tcPr>
            <w:tcW w:w="1866" w:type="dxa"/>
            <w:shd w:val="clear" w:color="auto" w:fill="auto"/>
            <w:vAlign w:val="center"/>
          </w:tcPr>
          <w:p w14:paraId="1D8368C5"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10.</w:t>
            </w:r>
            <w:r w:rsidRPr="00C149AB">
              <w:rPr>
                <w:rFonts w:ascii="Arial" w:eastAsia="Times New Roman" w:hAnsi="Arial" w:cs="Arial"/>
                <w:color w:val="000000"/>
                <w:sz w:val="18"/>
                <w:lang w:eastAsia="el-GR"/>
              </w:rPr>
              <w:t>486</w:t>
            </w:r>
          </w:p>
        </w:tc>
      </w:tr>
      <w:tr w:rsidR="009316F8" w:rsidRPr="00C149AB" w14:paraId="09787905" w14:textId="77777777" w:rsidTr="00B167CC">
        <w:trPr>
          <w:trHeight w:val="300"/>
          <w:jc w:val="center"/>
        </w:trPr>
        <w:tc>
          <w:tcPr>
            <w:tcW w:w="2940" w:type="dxa"/>
            <w:shd w:val="clear" w:color="auto" w:fill="auto"/>
            <w:vAlign w:val="center"/>
          </w:tcPr>
          <w:p w14:paraId="052EDBEA"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PLJEVLJA</w:t>
            </w:r>
          </w:p>
        </w:tc>
        <w:tc>
          <w:tcPr>
            <w:tcW w:w="1828" w:type="dxa"/>
            <w:shd w:val="clear" w:color="auto" w:fill="auto"/>
            <w:vAlign w:val="center"/>
          </w:tcPr>
          <w:p w14:paraId="71B753A1"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Pljevlja</w:t>
            </w:r>
          </w:p>
        </w:tc>
        <w:tc>
          <w:tcPr>
            <w:tcW w:w="1866" w:type="dxa"/>
            <w:shd w:val="clear" w:color="auto" w:fill="auto"/>
            <w:vAlign w:val="center"/>
          </w:tcPr>
          <w:p w14:paraId="21104D76"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eastAsia="el-GR"/>
              </w:rPr>
              <w:t>12.967</w:t>
            </w:r>
          </w:p>
        </w:tc>
      </w:tr>
      <w:tr w:rsidR="009316F8" w:rsidRPr="00C149AB" w14:paraId="60274F88" w14:textId="77777777" w:rsidTr="00B167CC">
        <w:trPr>
          <w:trHeight w:val="300"/>
          <w:jc w:val="center"/>
        </w:trPr>
        <w:tc>
          <w:tcPr>
            <w:tcW w:w="2940" w:type="dxa"/>
            <w:shd w:val="clear" w:color="auto" w:fill="auto"/>
            <w:vAlign w:val="center"/>
          </w:tcPr>
          <w:p w14:paraId="6DC75D6D"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HERCEG NOVI</w:t>
            </w:r>
          </w:p>
        </w:tc>
        <w:tc>
          <w:tcPr>
            <w:tcW w:w="1828" w:type="dxa"/>
            <w:shd w:val="clear" w:color="auto" w:fill="auto"/>
          </w:tcPr>
          <w:p w14:paraId="145809AC"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Herceg Novi</w:t>
            </w:r>
          </w:p>
        </w:tc>
        <w:tc>
          <w:tcPr>
            <w:tcW w:w="1866" w:type="dxa"/>
            <w:shd w:val="clear" w:color="auto" w:fill="auto"/>
            <w:vAlign w:val="center"/>
          </w:tcPr>
          <w:p w14:paraId="1077D4B1"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eastAsia="el-GR"/>
              </w:rPr>
              <w:t>17.783</w:t>
            </w:r>
          </w:p>
        </w:tc>
      </w:tr>
      <w:tr w:rsidR="009316F8" w:rsidRPr="00C149AB" w14:paraId="5180319D" w14:textId="77777777" w:rsidTr="00B167CC">
        <w:trPr>
          <w:trHeight w:val="300"/>
          <w:jc w:val="center"/>
        </w:trPr>
        <w:tc>
          <w:tcPr>
            <w:tcW w:w="2940" w:type="dxa"/>
            <w:shd w:val="clear" w:color="auto" w:fill="auto"/>
            <w:vAlign w:val="center"/>
          </w:tcPr>
          <w:p w14:paraId="5F230E50"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KOTOR - TIVAT - HERCEG NOVI</w:t>
            </w:r>
          </w:p>
        </w:tc>
        <w:tc>
          <w:tcPr>
            <w:tcW w:w="1828" w:type="dxa"/>
            <w:shd w:val="clear" w:color="auto" w:fill="auto"/>
          </w:tcPr>
          <w:p w14:paraId="5EE90135"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eastAsia="el-GR"/>
              </w:rPr>
              <w:t>Kotor</w:t>
            </w:r>
          </w:p>
        </w:tc>
        <w:tc>
          <w:tcPr>
            <w:tcW w:w="1866" w:type="dxa"/>
            <w:shd w:val="clear" w:color="auto" w:fill="auto"/>
            <w:vAlign w:val="center"/>
          </w:tcPr>
          <w:p w14:paraId="2BE0288B"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36.</w:t>
            </w:r>
            <w:r w:rsidRPr="00C149AB">
              <w:rPr>
                <w:rFonts w:ascii="Arial" w:eastAsia="Times New Roman" w:hAnsi="Arial" w:cs="Arial"/>
                <w:color w:val="000000"/>
                <w:sz w:val="18"/>
                <w:lang w:eastAsia="el-GR"/>
              </w:rPr>
              <w:t>388</w:t>
            </w:r>
          </w:p>
        </w:tc>
      </w:tr>
      <w:tr w:rsidR="009316F8" w:rsidRPr="00C149AB" w14:paraId="240844AA" w14:textId="77777777" w:rsidTr="00B167CC">
        <w:trPr>
          <w:trHeight w:val="300"/>
          <w:jc w:val="center"/>
        </w:trPr>
        <w:tc>
          <w:tcPr>
            <w:tcW w:w="2940" w:type="dxa"/>
            <w:shd w:val="clear" w:color="auto" w:fill="auto"/>
            <w:vAlign w:val="center"/>
          </w:tcPr>
          <w:p w14:paraId="3DFC3B10"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BUDVA</w:t>
            </w:r>
          </w:p>
        </w:tc>
        <w:tc>
          <w:tcPr>
            <w:tcW w:w="1828" w:type="dxa"/>
            <w:shd w:val="clear" w:color="auto" w:fill="auto"/>
          </w:tcPr>
          <w:p w14:paraId="1072A54A"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eastAsia="el-GR"/>
              </w:rPr>
              <w:t>Budva</w:t>
            </w:r>
          </w:p>
        </w:tc>
        <w:tc>
          <w:tcPr>
            <w:tcW w:w="1866" w:type="dxa"/>
            <w:shd w:val="clear" w:color="auto" w:fill="auto"/>
            <w:vAlign w:val="center"/>
          </w:tcPr>
          <w:p w14:paraId="193BBE82"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eastAsia="el-GR"/>
              </w:rPr>
              <w:t>19.563</w:t>
            </w:r>
          </w:p>
        </w:tc>
      </w:tr>
      <w:tr w:rsidR="009316F8" w:rsidRPr="00C149AB" w14:paraId="2C94B2FD" w14:textId="77777777" w:rsidTr="00B167CC">
        <w:trPr>
          <w:trHeight w:val="300"/>
          <w:jc w:val="center"/>
        </w:trPr>
        <w:tc>
          <w:tcPr>
            <w:tcW w:w="2940" w:type="dxa"/>
            <w:shd w:val="clear" w:color="auto" w:fill="70AD47" w:themeFill="accent6"/>
            <w:vAlign w:val="center"/>
          </w:tcPr>
          <w:p w14:paraId="6C3EF384"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eastAsia="Times New Roman" w:hAnsi="Arial" w:cs="Arial"/>
                <w:b/>
                <w:bCs/>
                <w:color w:val="000000"/>
                <w:sz w:val="18"/>
                <w:lang w:val="sq-AL" w:eastAsia="el-GR"/>
              </w:rPr>
              <w:t>MRF postrojenja</w:t>
            </w:r>
          </w:p>
        </w:tc>
        <w:tc>
          <w:tcPr>
            <w:tcW w:w="1828" w:type="dxa"/>
            <w:shd w:val="clear" w:color="auto" w:fill="70AD47" w:themeFill="accent6"/>
            <w:vAlign w:val="center"/>
          </w:tcPr>
          <w:p w14:paraId="4610ECEA" w14:textId="77777777" w:rsidR="009316F8" w:rsidRPr="00C149AB" w:rsidRDefault="009316F8" w:rsidP="00FE289C">
            <w:pPr>
              <w:spacing w:before="40" w:after="40" w:line="360" w:lineRule="auto"/>
              <w:rPr>
                <w:rFonts w:ascii="Arial" w:eastAsia="Times New Roman" w:hAnsi="Arial" w:cs="Arial"/>
                <w:b/>
                <w:bCs/>
                <w:color w:val="000000"/>
                <w:sz w:val="18"/>
                <w:lang w:val="sq-AL"/>
              </w:rPr>
            </w:pPr>
          </w:p>
        </w:tc>
        <w:tc>
          <w:tcPr>
            <w:tcW w:w="1866" w:type="dxa"/>
            <w:shd w:val="clear" w:color="auto" w:fill="70AD47" w:themeFill="accent6"/>
            <w:vAlign w:val="center"/>
          </w:tcPr>
          <w:p w14:paraId="125D9E75"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hAnsi="Arial" w:cs="Arial"/>
                <w:b/>
                <w:bCs/>
                <w:color w:val="000000"/>
                <w:sz w:val="18"/>
              </w:rPr>
              <w:t>69.874</w:t>
            </w:r>
          </w:p>
        </w:tc>
      </w:tr>
      <w:tr w:rsidR="009316F8" w:rsidRPr="00C149AB" w14:paraId="78578260" w14:textId="77777777" w:rsidTr="00B167CC">
        <w:trPr>
          <w:trHeight w:val="300"/>
          <w:jc w:val="center"/>
        </w:trPr>
        <w:tc>
          <w:tcPr>
            <w:tcW w:w="2940" w:type="dxa"/>
            <w:shd w:val="clear" w:color="auto" w:fill="auto"/>
            <w:vAlign w:val="center"/>
          </w:tcPr>
          <w:p w14:paraId="5FA36E7F"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eastAsia="el-GR"/>
              </w:rPr>
              <w:t>ŽABLJAK</w:t>
            </w:r>
          </w:p>
        </w:tc>
        <w:tc>
          <w:tcPr>
            <w:tcW w:w="1828" w:type="dxa"/>
            <w:shd w:val="clear" w:color="auto" w:fill="auto"/>
          </w:tcPr>
          <w:p w14:paraId="1BD2EF22" w14:textId="0F7126F7" w:rsidR="009316F8" w:rsidRPr="00C149AB" w:rsidRDefault="00A567F3"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eastAsia="el-GR"/>
              </w:rPr>
              <w:t>Ž</w:t>
            </w:r>
            <w:r w:rsidR="009316F8" w:rsidRPr="00C149AB">
              <w:rPr>
                <w:rFonts w:ascii="Arial" w:eastAsia="Times New Roman" w:hAnsi="Arial" w:cs="Arial"/>
                <w:color w:val="000000"/>
                <w:sz w:val="18"/>
                <w:lang w:eastAsia="el-GR"/>
              </w:rPr>
              <w:t>abljak</w:t>
            </w:r>
          </w:p>
        </w:tc>
        <w:tc>
          <w:tcPr>
            <w:tcW w:w="1866" w:type="dxa"/>
            <w:shd w:val="clear" w:color="auto" w:fill="auto"/>
            <w:vAlign w:val="center"/>
          </w:tcPr>
          <w:p w14:paraId="062C9B89"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284</w:t>
            </w:r>
          </w:p>
        </w:tc>
      </w:tr>
      <w:tr w:rsidR="009316F8" w:rsidRPr="00C149AB" w14:paraId="1E199948" w14:textId="77777777" w:rsidTr="00B167CC">
        <w:trPr>
          <w:trHeight w:val="300"/>
          <w:jc w:val="center"/>
        </w:trPr>
        <w:tc>
          <w:tcPr>
            <w:tcW w:w="2940" w:type="dxa"/>
            <w:shd w:val="clear" w:color="auto" w:fill="auto"/>
            <w:vAlign w:val="center"/>
          </w:tcPr>
          <w:p w14:paraId="50319223"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NIKŠIĆ - PLUŽINE - ŠAVNIK</w:t>
            </w:r>
          </w:p>
        </w:tc>
        <w:tc>
          <w:tcPr>
            <w:tcW w:w="1828" w:type="dxa"/>
            <w:shd w:val="clear" w:color="auto" w:fill="auto"/>
          </w:tcPr>
          <w:p w14:paraId="18C02CE6" w14:textId="23E8E09F"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Nik</w:t>
            </w:r>
            <w:r w:rsidR="00A567F3" w:rsidRPr="00C149AB">
              <w:rPr>
                <w:rFonts w:ascii="Arial" w:hAnsi="Arial" w:cs="Arial"/>
                <w:color w:val="000000"/>
                <w:sz w:val="18"/>
              </w:rPr>
              <w:t>šić</w:t>
            </w:r>
            <w:r w:rsidR="00B045EF" w:rsidRPr="00C149AB">
              <w:rPr>
                <w:rFonts w:ascii="Arial" w:hAnsi="Arial" w:cs="Arial"/>
                <w:color w:val="000000"/>
                <w:sz w:val="18"/>
              </w:rPr>
              <w:t xml:space="preserve"> </w:t>
            </w:r>
            <w:r w:rsidRPr="00C149AB">
              <w:rPr>
                <w:rFonts w:ascii="Arial" w:hAnsi="Arial" w:cs="Arial"/>
                <w:color w:val="000000"/>
                <w:sz w:val="18"/>
              </w:rPr>
              <w:t>(indikativno)</w:t>
            </w:r>
          </w:p>
        </w:tc>
        <w:tc>
          <w:tcPr>
            <w:tcW w:w="1866" w:type="dxa"/>
            <w:shd w:val="clear" w:color="auto" w:fill="auto"/>
            <w:vAlign w:val="center"/>
          </w:tcPr>
          <w:p w14:paraId="1F87216A"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7.648</w:t>
            </w:r>
          </w:p>
        </w:tc>
      </w:tr>
      <w:tr w:rsidR="009316F8" w:rsidRPr="00C149AB" w14:paraId="279F5D6E" w14:textId="77777777" w:rsidTr="00B167CC">
        <w:trPr>
          <w:trHeight w:val="300"/>
          <w:jc w:val="center"/>
        </w:trPr>
        <w:tc>
          <w:tcPr>
            <w:tcW w:w="2940" w:type="dxa"/>
            <w:shd w:val="clear" w:color="auto" w:fill="auto"/>
            <w:vAlign w:val="center"/>
          </w:tcPr>
          <w:p w14:paraId="571A145B"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PODGORICA</w:t>
            </w:r>
          </w:p>
        </w:tc>
        <w:tc>
          <w:tcPr>
            <w:tcW w:w="1828" w:type="dxa"/>
            <w:shd w:val="clear" w:color="auto" w:fill="auto"/>
          </w:tcPr>
          <w:p w14:paraId="1E8BBF8D"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Podgorica</w:t>
            </w:r>
          </w:p>
        </w:tc>
        <w:tc>
          <w:tcPr>
            <w:tcW w:w="1866" w:type="dxa"/>
            <w:shd w:val="clear" w:color="auto" w:fill="auto"/>
            <w:vAlign w:val="center"/>
          </w:tcPr>
          <w:p w14:paraId="72404B8D"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25.683</w:t>
            </w:r>
          </w:p>
        </w:tc>
      </w:tr>
      <w:tr w:rsidR="009316F8" w:rsidRPr="00C149AB" w14:paraId="0F888C35" w14:textId="77777777" w:rsidTr="00B167CC">
        <w:trPr>
          <w:trHeight w:val="300"/>
          <w:jc w:val="center"/>
        </w:trPr>
        <w:tc>
          <w:tcPr>
            <w:tcW w:w="2940" w:type="dxa"/>
            <w:shd w:val="clear" w:color="auto" w:fill="auto"/>
            <w:vAlign w:val="center"/>
          </w:tcPr>
          <w:p w14:paraId="27D00C85" w14:textId="47D1E091"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BIJELO POL</w:t>
            </w:r>
            <w:r w:rsidR="000B4B26" w:rsidRPr="00C149AB">
              <w:rPr>
                <w:rFonts w:ascii="Arial" w:eastAsia="Times New Roman" w:hAnsi="Arial" w:cs="Arial"/>
                <w:color w:val="000000"/>
                <w:sz w:val="18"/>
                <w:lang w:val="sq-AL"/>
              </w:rPr>
              <w:t>J</w:t>
            </w:r>
            <w:r w:rsidRPr="00C149AB">
              <w:rPr>
                <w:rFonts w:ascii="Arial" w:eastAsia="Times New Roman" w:hAnsi="Arial" w:cs="Arial"/>
                <w:color w:val="000000"/>
                <w:sz w:val="18"/>
                <w:lang w:val="sq-AL"/>
              </w:rPr>
              <w:t>E</w:t>
            </w:r>
          </w:p>
        </w:tc>
        <w:tc>
          <w:tcPr>
            <w:tcW w:w="1828" w:type="dxa"/>
            <w:shd w:val="clear" w:color="auto" w:fill="auto"/>
          </w:tcPr>
          <w:p w14:paraId="737D0FB2"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Bijelo Polje</w:t>
            </w:r>
          </w:p>
        </w:tc>
        <w:tc>
          <w:tcPr>
            <w:tcW w:w="1866" w:type="dxa"/>
            <w:shd w:val="clear" w:color="auto" w:fill="auto"/>
            <w:vAlign w:val="center"/>
          </w:tcPr>
          <w:p w14:paraId="1FD02783"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13.980</w:t>
            </w:r>
          </w:p>
        </w:tc>
      </w:tr>
      <w:tr w:rsidR="009316F8" w:rsidRPr="00C149AB" w14:paraId="0EB3FD82" w14:textId="77777777" w:rsidTr="00B167CC">
        <w:trPr>
          <w:trHeight w:val="300"/>
          <w:jc w:val="center"/>
        </w:trPr>
        <w:tc>
          <w:tcPr>
            <w:tcW w:w="2940" w:type="dxa"/>
            <w:shd w:val="clear" w:color="auto" w:fill="auto"/>
            <w:vAlign w:val="center"/>
          </w:tcPr>
          <w:p w14:paraId="047788E7"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HERCEG NOVI</w:t>
            </w:r>
          </w:p>
        </w:tc>
        <w:tc>
          <w:tcPr>
            <w:tcW w:w="1828" w:type="dxa"/>
            <w:shd w:val="clear" w:color="auto" w:fill="auto"/>
          </w:tcPr>
          <w:p w14:paraId="78CBA981"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Herceg Novi</w:t>
            </w:r>
          </w:p>
        </w:tc>
        <w:tc>
          <w:tcPr>
            <w:tcW w:w="1866" w:type="dxa"/>
            <w:shd w:val="clear" w:color="auto" w:fill="auto"/>
            <w:vAlign w:val="center"/>
          </w:tcPr>
          <w:p w14:paraId="3832C4C8"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4.561</w:t>
            </w:r>
          </w:p>
        </w:tc>
      </w:tr>
      <w:tr w:rsidR="009316F8" w:rsidRPr="00C149AB" w14:paraId="6BE5C119" w14:textId="77777777" w:rsidTr="00B167CC">
        <w:trPr>
          <w:trHeight w:val="300"/>
          <w:jc w:val="center"/>
        </w:trPr>
        <w:tc>
          <w:tcPr>
            <w:tcW w:w="2940" w:type="dxa"/>
            <w:shd w:val="clear" w:color="auto" w:fill="auto"/>
            <w:vAlign w:val="center"/>
          </w:tcPr>
          <w:p w14:paraId="2A111754"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KOTOR - TIVAT</w:t>
            </w:r>
          </w:p>
        </w:tc>
        <w:tc>
          <w:tcPr>
            <w:tcW w:w="1828" w:type="dxa"/>
            <w:shd w:val="clear" w:color="auto" w:fill="auto"/>
          </w:tcPr>
          <w:p w14:paraId="6CB8C6B5"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eastAsia="el-GR"/>
              </w:rPr>
              <w:t>Kotor</w:t>
            </w:r>
          </w:p>
        </w:tc>
        <w:tc>
          <w:tcPr>
            <w:tcW w:w="1866" w:type="dxa"/>
            <w:shd w:val="clear" w:color="auto" w:fill="auto"/>
            <w:vAlign w:val="center"/>
          </w:tcPr>
          <w:p w14:paraId="07ABFBC1"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4.772</w:t>
            </w:r>
          </w:p>
        </w:tc>
      </w:tr>
      <w:tr w:rsidR="009316F8" w:rsidRPr="00C149AB" w14:paraId="26E61E57" w14:textId="77777777" w:rsidTr="00B167CC">
        <w:trPr>
          <w:trHeight w:val="300"/>
          <w:jc w:val="center"/>
        </w:trPr>
        <w:tc>
          <w:tcPr>
            <w:tcW w:w="2940" w:type="dxa"/>
            <w:shd w:val="clear" w:color="auto" w:fill="auto"/>
            <w:vAlign w:val="center"/>
          </w:tcPr>
          <w:p w14:paraId="682DDFCE" w14:textId="4457AA43"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B</w:t>
            </w:r>
            <w:r w:rsidR="00A567F3" w:rsidRPr="00C149AB">
              <w:rPr>
                <w:rFonts w:ascii="Arial" w:eastAsia="Times New Roman" w:hAnsi="Arial" w:cs="Arial"/>
                <w:color w:val="000000"/>
                <w:sz w:val="18"/>
                <w:lang w:val="sq-AL"/>
              </w:rPr>
              <w:t>ERANE</w:t>
            </w:r>
          </w:p>
        </w:tc>
        <w:tc>
          <w:tcPr>
            <w:tcW w:w="1828" w:type="dxa"/>
            <w:shd w:val="clear" w:color="auto" w:fill="auto"/>
          </w:tcPr>
          <w:p w14:paraId="42EFC843" w14:textId="470B9F3E" w:rsidR="009316F8" w:rsidRPr="00C149AB" w:rsidRDefault="00B045EF"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eastAsia="el-GR"/>
              </w:rPr>
              <w:t>Berane</w:t>
            </w:r>
          </w:p>
        </w:tc>
        <w:tc>
          <w:tcPr>
            <w:tcW w:w="1866" w:type="dxa"/>
            <w:shd w:val="clear" w:color="auto" w:fill="auto"/>
            <w:vAlign w:val="center"/>
          </w:tcPr>
          <w:p w14:paraId="03E297CC"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5.018</w:t>
            </w:r>
          </w:p>
        </w:tc>
      </w:tr>
      <w:tr w:rsidR="009316F8" w:rsidRPr="00C149AB" w14:paraId="20380617" w14:textId="77777777" w:rsidTr="00B167CC">
        <w:trPr>
          <w:trHeight w:val="300"/>
          <w:jc w:val="center"/>
        </w:trPr>
        <w:tc>
          <w:tcPr>
            <w:tcW w:w="2940" w:type="dxa"/>
            <w:shd w:val="clear" w:color="auto" w:fill="auto"/>
            <w:vAlign w:val="center"/>
          </w:tcPr>
          <w:p w14:paraId="6526B00B"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BAR</w:t>
            </w:r>
          </w:p>
        </w:tc>
        <w:tc>
          <w:tcPr>
            <w:tcW w:w="1828" w:type="dxa"/>
            <w:shd w:val="clear" w:color="auto" w:fill="auto"/>
          </w:tcPr>
          <w:p w14:paraId="183C77EE"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Bar</w:t>
            </w:r>
          </w:p>
        </w:tc>
        <w:tc>
          <w:tcPr>
            <w:tcW w:w="1866" w:type="dxa"/>
            <w:shd w:val="clear" w:color="auto" w:fill="auto"/>
            <w:vAlign w:val="center"/>
          </w:tcPr>
          <w:p w14:paraId="62D1A872"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7.927</w:t>
            </w:r>
          </w:p>
        </w:tc>
      </w:tr>
      <w:tr w:rsidR="009316F8" w:rsidRPr="00C149AB" w14:paraId="3386E4FA" w14:textId="77777777" w:rsidTr="00B167CC">
        <w:trPr>
          <w:trHeight w:val="300"/>
          <w:jc w:val="center"/>
        </w:trPr>
        <w:tc>
          <w:tcPr>
            <w:tcW w:w="2940" w:type="dxa"/>
            <w:shd w:val="clear" w:color="auto" w:fill="70AD47" w:themeFill="accent6"/>
            <w:vAlign w:val="center"/>
          </w:tcPr>
          <w:p w14:paraId="204E70AE"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eastAsia="Times New Roman" w:hAnsi="Arial" w:cs="Arial"/>
                <w:b/>
                <w:bCs/>
                <w:color w:val="000000"/>
                <w:sz w:val="18"/>
                <w:lang w:val="sq-AL" w:eastAsia="el-GR"/>
              </w:rPr>
              <w:t>Postrojenja za kompostiranje</w:t>
            </w:r>
          </w:p>
        </w:tc>
        <w:tc>
          <w:tcPr>
            <w:tcW w:w="1828" w:type="dxa"/>
            <w:shd w:val="clear" w:color="auto" w:fill="70AD47" w:themeFill="accent6"/>
            <w:vAlign w:val="center"/>
          </w:tcPr>
          <w:p w14:paraId="7C459242" w14:textId="77777777" w:rsidR="009316F8" w:rsidRPr="00C149AB" w:rsidRDefault="009316F8" w:rsidP="00FE289C">
            <w:pPr>
              <w:spacing w:before="40" w:after="40" w:line="360" w:lineRule="auto"/>
              <w:rPr>
                <w:rFonts w:ascii="Arial" w:eastAsia="Times New Roman" w:hAnsi="Arial" w:cs="Arial"/>
                <w:b/>
                <w:bCs/>
                <w:color w:val="000000"/>
                <w:sz w:val="18"/>
                <w:lang w:val="sq-AL"/>
              </w:rPr>
            </w:pPr>
          </w:p>
        </w:tc>
        <w:tc>
          <w:tcPr>
            <w:tcW w:w="1866" w:type="dxa"/>
            <w:shd w:val="clear" w:color="auto" w:fill="70AD47" w:themeFill="accent6"/>
            <w:vAlign w:val="center"/>
          </w:tcPr>
          <w:p w14:paraId="1408E005"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hAnsi="Arial" w:cs="Arial"/>
                <w:b/>
                <w:color w:val="000000"/>
                <w:sz w:val="18"/>
              </w:rPr>
              <w:t>25.</w:t>
            </w:r>
            <w:r w:rsidRPr="00C149AB">
              <w:rPr>
                <w:rFonts w:ascii="Arial" w:hAnsi="Arial" w:cs="Arial"/>
                <w:b/>
                <w:bCs/>
                <w:color w:val="000000"/>
                <w:sz w:val="18"/>
              </w:rPr>
              <w:t>334</w:t>
            </w:r>
          </w:p>
        </w:tc>
      </w:tr>
      <w:tr w:rsidR="009316F8" w:rsidRPr="00C149AB" w14:paraId="23908703" w14:textId="77777777" w:rsidTr="00B167CC">
        <w:trPr>
          <w:trHeight w:val="300"/>
          <w:jc w:val="center"/>
        </w:trPr>
        <w:tc>
          <w:tcPr>
            <w:tcW w:w="2940" w:type="dxa"/>
            <w:shd w:val="clear" w:color="auto" w:fill="auto"/>
            <w:vAlign w:val="center"/>
          </w:tcPr>
          <w:p w14:paraId="590B1765"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ŽABLJAK</w:t>
            </w:r>
          </w:p>
        </w:tc>
        <w:tc>
          <w:tcPr>
            <w:tcW w:w="1828" w:type="dxa"/>
            <w:shd w:val="clear" w:color="auto" w:fill="auto"/>
          </w:tcPr>
          <w:p w14:paraId="198D6FF6" w14:textId="6B642A27" w:rsidR="009316F8" w:rsidRPr="00C149AB" w:rsidRDefault="00A567F3"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eastAsia="el-GR"/>
              </w:rPr>
              <w:t>Ž</w:t>
            </w:r>
            <w:r w:rsidR="009316F8" w:rsidRPr="00C149AB">
              <w:rPr>
                <w:rFonts w:ascii="Arial" w:eastAsia="Times New Roman" w:hAnsi="Arial" w:cs="Arial"/>
                <w:color w:val="000000"/>
                <w:sz w:val="18"/>
                <w:lang w:eastAsia="el-GR"/>
              </w:rPr>
              <w:t>abljak</w:t>
            </w:r>
          </w:p>
        </w:tc>
        <w:tc>
          <w:tcPr>
            <w:tcW w:w="1866" w:type="dxa"/>
            <w:shd w:val="clear" w:color="auto" w:fill="auto"/>
            <w:vAlign w:val="center"/>
          </w:tcPr>
          <w:p w14:paraId="620CE3EB"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103</w:t>
            </w:r>
          </w:p>
        </w:tc>
      </w:tr>
      <w:tr w:rsidR="009316F8" w:rsidRPr="00C149AB" w14:paraId="17D6A6C1" w14:textId="77777777" w:rsidTr="00B167CC">
        <w:trPr>
          <w:trHeight w:val="300"/>
          <w:jc w:val="center"/>
        </w:trPr>
        <w:tc>
          <w:tcPr>
            <w:tcW w:w="2940" w:type="dxa"/>
            <w:shd w:val="clear" w:color="auto" w:fill="auto"/>
            <w:vAlign w:val="center"/>
          </w:tcPr>
          <w:p w14:paraId="7A98535B"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NIKŠIĆ - PLUŽINE - ŠAVNIK</w:t>
            </w:r>
          </w:p>
        </w:tc>
        <w:tc>
          <w:tcPr>
            <w:tcW w:w="1828" w:type="dxa"/>
            <w:shd w:val="clear" w:color="auto" w:fill="auto"/>
          </w:tcPr>
          <w:p w14:paraId="40C2BF06" w14:textId="37FDF819"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Nik</w:t>
            </w:r>
            <w:r w:rsidR="00A567F3" w:rsidRPr="00C149AB">
              <w:rPr>
                <w:rFonts w:ascii="Arial" w:hAnsi="Arial" w:cs="Arial"/>
                <w:color w:val="000000"/>
                <w:sz w:val="18"/>
              </w:rPr>
              <w:t>š</w:t>
            </w:r>
            <w:r w:rsidRPr="00C149AB">
              <w:rPr>
                <w:rFonts w:ascii="Arial" w:hAnsi="Arial" w:cs="Arial"/>
                <w:color w:val="000000"/>
                <w:sz w:val="18"/>
              </w:rPr>
              <w:t>i</w:t>
            </w:r>
            <w:r w:rsidR="00A567F3" w:rsidRPr="00C149AB">
              <w:rPr>
                <w:rFonts w:ascii="Arial" w:hAnsi="Arial" w:cs="Arial"/>
                <w:color w:val="000000"/>
                <w:sz w:val="18"/>
              </w:rPr>
              <w:t>ć</w:t>
            </w:r>
            <w:r w:rsidR="00B045EF" w:rsidRPr="00C149AB">
              <w:rPr>
                <w:rFonts w:ascii="Arial" w:hAnsi="Arial" w:cs="Arial"/>
                <w:color w:val="000000"/>
                <w:sz w:val="18"/>
              </w:rPr>
              <w:t xml:space="preserve"> </w:t>
            </w:r>
            <w:r w:rsidRPr="00C149AB">
              <w:rPr>
                <w:rFonts w:ascii="Arial" w:hAnsi="Arial" w:cs="Arial"/>
                <w:color w:val="000000"/>
                <w:sz w:val="18"/>
              </w:rPr>
              <w:t>(indikativno)</w:t>
            </w:r>
          </w:p>
        </w:tc>
        <w:tc>
          <w:tcPr>
            <w:tcW w:w="1866" w:type="dxa"/>
            <w:shd w:val="clear" w:color="auto" w:fill="auto"/>
            <w:vAlign w:val="center"/>
          </w:tcPr>
          <w:p w14:paraId="0A27117D"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2.773</w:t>
            </w:r>
          </w:p>
        </w:tc>
      </w:tr>
      <w:tr w:rsidR="009316F8" w:rsidRPr="00C149AB" w14:paraId="663BE486" w14:textId="77777777" w:rsidTr="00B167CC">
        <w:trPr>
          <w:trHeight w:val="300"/>
          <w:jc w:val="center"/>
        </w:trPr>
        <w:tc>
          <w:tcPr>
            <w:tcW w:w="2940" w:type="dxa"/>
            <w:shd w:val="clear" w:color="auto" w:fill="auto"/>
            <w:vAlign w:val="center"/>
          </w:tcPr>
          <w:p w14:paraId="20C7F263"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PODGORICA</w:t>
            </w:r>
          </w:p>
        </w:tc>
        <w:tc>
          <w:tcPr>
            <w:tcW w:w="1828" w:type="dxa"/>
            <w:shd w:val="clear" w:color="auto" w:fill="auto"/>
          </w:tcPr>
          <w:p w14:paraId="31AA8340"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Podgorica</w:t>
            </w:r>
          </w:p>
        </w:tc>
        <w:tc>
          <w:tcPr>
            <w:tcW w:w="1866" w:type="dxa"/>
            <w:shd w:val="clear" w:color="auto" w:fill="auto"/>
            <w:vAlign w:val="center"/>
          </w:tcPr>
          <w:p w14:paraId="757A0C6F"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9.312</w:t>
            </w:r>
          </w:p>
        </w:tc>
      </w:tr>
      <w:tr w:rsidR="009316F8" w:rsidRPr="00C149AB" w14:paraId="7B137EF1" w14:textId="77777777" w:rsidTr="00B167CC">
        <w:trPr>
          <w:trHeight w:val="300"/>
          <w:jc w:val="center"/>
        </w:trPr>
        <w:tc>
          <w:tcPr>
            <w:tcW w:w="2940" w:type="dxa"/>
            <w:shd w:val="clear" w:color="auto" w:fill="auto"/>
            <w:vAlign w:val="center"/>
          </w:tcPr>
          <w:p w14:paraId="22BADF98"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BIJELO POLJE</w:t>
            </w:r>
          </w:p>
        </w:tc>
        <w:tc>
          <w:tcPr>
            <w:tcW w:w="1828" w:type="dxa"/>
            <w:shd w:val="clear" w:color="auto" w:fill="auto"/>
          </w:tcPr>
          <w:p w14:paraId="762087CF"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Bijelo Polje</w:t>
            </w:r>
          </w:p>
        </w:tc>
        <w:tc>
          <w:tcPr>
            <w:tcW w:w="1866" w:type="dxa"/>
            <w:shd w:val="clear" w:color="auto" w:fill="auto"/>
            <w:vAlign w:val="center"/>
          </w:tcPr>
          <w:p w14:paraId="5906F5E0"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5.069</w:t>
            </w:r>
          </w:p>
        </w:tc>
      </w:tr>
      <w:tr w:rsidR="009316F8" w:rsidRPr="00C149AB" w14:paraId="2F2C1ADA" w14:textId="77777777" w:rsidTr="00B167CC">
        <w:trPr>
          <w:trHeight w:val="300"/>
          <w:jc w:val="center"/>
        </w:trPr>
        <w:tc>
          <w:tcPr>
            <w:tcW w:w="2940" w:type="dxa"/>
            <w:shd w:val="clear" w:color="auto" w:fill="auto"/>
            <w:vAlign w:val="center"/>
          </w:tcPr>
          <w:p w14:paraId="35F9EB52"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HERCEG NOVI</w:t>
            </w:r>
          </w:p>
        </w:tc>
        <w:tc>
          <w:tcPr>
            <w:tcW w:w="1828" w:type="dxa"/>
            <w:shd w:val="clear" w:color="auto" w:fill="auto"/>
          </w:tcPr>
          <w:p w14:paraId="4FC587B9"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Herceg Novi</w:t>
            </w:r>
          </w:p>
        </w:tc>
        <w:tc>
          <w:tcPr>
            <w:tcW w:w="1866" w:type="dxa"/>
            <w:shd w:val="clear" w:color="auto" w:fill="auto"/>
            <w:vAlign w:val="center"/>
          </w:tcPr>
          <w:p w14:paraId="67F4A35D"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1.654</w:t>
            </w:r>
          </w:p>
        </w:tc>
      </w:tr>
      <w:tr w:rsidR="009316F8" w:rsidRPr="00C149AB" w14:paraId="4B67A479" w14:textId="77777777" w:rsidTr="00B167CC">
        <w:trPr>
          <w:trHeight w:val="300"/>
          <w:jc w:val="center"/>
        </w:trPr>
        <w:tc>
          <w:tcPr>
            <w:tcW w:w="2940" w:type="dxa"/>
            <w:shd w:val="clear" w:color="auto" w:fill="auto"/>
            <w:vAlign w:val="center"/>
          </w:tcPr>
          <w:p w14:paraId="4A0EDE88"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KOTOR - TIVAT</w:t>
            </w:r>
          </w:p>
        </w:tc>
        <w:tc>
          <w:tcPr>
            <w:tcW w:w="1828" w:type="dxa"/>
            <w:shd w:val="clear" w:color="auto" w:fill="auto"/>
          </w:tcPr>
          <w:p w14:paraId="377BF03B"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eastAsia="el-GR"/>
              </w:rPr>
              <w:t>Tivat</w:t>
            </w:r>
          </w:p>
        </w:tc>
        <w:tc>
          <w:tcPr>
            <w:tcW w:w="1866" w:type="dxa"/>
            <w:shd w:val="clear" w:color="auto" w:fill="auto"/>
            <w:vAlign w:val="center"/>
          </w:tcPr>
          <w:p w14:paraId="28BBE5B2"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1.730</w:t>
            </w:r>
          </w:p>
        </w:tc>
      </w:tr>
      <w:tr w:rsidR="009316F8" w:rsidRPr="00C149AB" w14:paraId="1FE0564B" w14:textId="77777777" w:rsidTr="00B167CC">
        <w:trPr>
          <w:trHeight w:val="300"/>
          <w:jc w:val="center"/>
        </w:trPr>
        <w:tc>
          <w:tcPr>
            <w:tcW w:w="2940" w:type="dxa"/>
            <w:shd w:val="clear" w:color="auto" w:fill="auto"/>
            <w:vAlign w:val="center"/>
          </w:tcPr>
          <w:p w14:paraId="621D8262"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BUDVA</w:t>
            </w:r>
          </w:p>
        </w:tc>
        <w:tc>
          <w:tcPr>
            <w:tcW w:w="1828" w:type="dxa"/>
            <w:shd w:val="clear" w:color="auto" w:fill="auto"/>
          </w:tcPr>
          <w:p w14:paraId="211FCDEF"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eastAsia="el-GR"/>
              </w:rPr>
              <w:t>Budva</w:t>
            </w:r>
          </w:p>
        </w:tc>
        <w:tc>
          <w:tcPr>
            <w:tcW w:w="1866" w:type="dxa"/>
            <w:shd w:val="clear" w:color="auto" w:fill="auto"/>
            <w:vAlign w:val="center"/>
          </w:tcPr>
          <w:p w14:paraId="5C2C059E"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1.819</w:t>
            </w:r>
          </w:p>
        </w:tc>
      </w:tr>
      <w:tr w:rsidR="009316F8" w:rsidRPr="00C149AB" w14:paraId="1BC9E3C7" w14:textId="77777777" w:rsidTr="00B167CC">
        <w:trPr>
          <w:trHeight w:val="300"/>
          <w:jc w:val="center"/>
        </w:trPr>
        <w:tc>
          <w:tcPr>
            <w:tcW w:w="2940" w:type="dxa"/>
            <w:shd w:val="clear" w:color="auto" w:fill="auto"/>
            <w:vAlign w:val="center"/>
          </w:tcPr>
          <w:p w14:paraId="7C5B3131"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BAR</w:t>
            </w:r>
          </w:p>
        </w:tc>
        <w:tc>
          <w:tcPr>
            <w:tcW w:w="1828" w:type="dxa"/>
            <w:shd w:val="clear" w:color="auto" w:fill="auto"/>
          </w:tcPr>
          <w:p w14:paraId="517B1C9C"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Bar</w:t>
            </w:r>
          </w:p>
        </w:tc>
        <w:tc>
          <w:tcPr>
            <w:tcW w:w="1866" w:type="dxa"/>
            <w:shd w:val="clear" w:color="auto" w:fill="auto"/>
            <w:vAlign w:val="center"/>
          </w:tcPr>
          <w:p w14:paraId="7B057797"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2.874</w:t>
            </w:r>
          </w:p>
        </w:tc>
      </w:tr>
      <w:tr w:rsidR="00B167CC" w:rsidRPr="00C149AB" w14:paraId="1C684353" w14:textId="77777777" w:rsidTr="00B167CC">
        <w:trPr>
          <w:trHeight w:val="300"/>
          <w:jc w:val="center"/>
        </w:trPr>
        <w:tc>
          <w:tcPr>
            <w:tcW w:w="2940" w:type="dxa"/>
            <w:shd w:val="clear" w:color="auto" w:fill="70AD47" w:themeFill="accent6"/>
            <w:vAlign w:val="center"/>
          </w:tcPr>
          <w:p w14:paraId="2A416688" w14:textId="7F44B5BF" w:rsidR="00B167CC" w:rsidRPr="00C149AB" w:rsidRDefault="00B167CC" w:rsidP="00B167CC">
            <w:pPr>
              <w:spacing w:before="40" w:after="40" w:line="360" w:lineRule="auto"/>
              <w:rPr>
                <w:rFonts w:ascii="Arial" w:eastAsia="Times New Roman" w:hAnsi="Arial" w:cs="Arial"/>
                <w:b/>
                <w:bCs/>
                <w:color w:val="000000"/>
                <w:sz w:val="18"/>
                <w:lang w:val="sq-AL"/>
              </w:rPr>
            </w:pPr>
            <w:r w:rsidRPr="00C149AB">
              <w:rPr>
                <w:rFonts w:ascii="Arial" w:eastAsia="Times New Roman" w:hAnsi="Arial" w:cs="Arial"/>
                <w:b/>
                <w:bCs/>
                <w:color w:val="000000"/>
                <w:sz w:val="18"/>
                <w:lang w:val="sq-AL"/>
              </w:rPr>
              <w:t>Deponije</w:t>
            </w:r>
          </w:p>
        </w:tc>
        <w:tc>
          <w:tcPr>
            <w:tcW w:w="1828" w:type="dxa"/>
            <w:shd w:val="clear" w:color="auto" w:fill="70AD47" w:themeFill="accent6"/>
          </w:tcPr>
          <w:p w14:paraId="2A0727AE" w14:textId="77777777" w:rsidR="00B167CC" w:rsidRPr="00C149AB" w:rsidRDefault="00B167CC" w:rsidP="00B167CC">
            <w:pPr>
              <w:spacing w:before="40" w:after="40" w:line="360" w:lineRule="auto"/>
              <w:rPr>
                <w:rFonts w:ascii="Arial" w:eastAsia="Times New Roman" w:hAnsi="Arial" w:cs="Arial"/>
                <w:b/>
                <w:bCs/>
                <w:color w:val="000000"/>
                <w:sz w:val="18"/>
                <w:lang w:val="sq-AL"/>
              </w:rPr>
            </w:pPr>
          </w:p>
        </w:tc>
        <w:tc>
          <w:tcPr>
            <w:tcW w:w="1866" w:type="dxa"/>
            <w:shd w:val="clear" w:color="auto" w:fill="70AD47" w:themeFill="accent6"/>
            <w:vAlign w:val="center"/>
          </w:tcPr>
          <w:p w14:paraId="6F8A017E" w14:textId="05ACB4F1" w:rsidR="00B167CC" w:rsidRPr="00C149AB" w:rsidRDefault="009F4422" w:rsidP="00B167CC">
            <w:pPr>
              <w:spacing w:before="40" w:after="40" w:line="360" w:lineRule="auto"/>
              <w:rPr>
                <w:rFonts w:ascii="Arial" w:eastAsia="Times New Roman" w:hAnsi="Arial" w:cs="Arial"/>
                <w:b/>
                <w:bCs/>
                <w:color w:val="000000"/>
                <w:sz w:val="18"/>
                <w:lang w:val="sq-AL"/>
              </w:rPr>
            </w:pPr>
            <w:r>
              <w:rPr>
                <w:rFonts w:ascii="Arial" w:hAnsi="Arial" w:cs="Arial"/>
                <w:b/>
                <w:bCs/>
                <w:color w:val="000000"/>
                <w:sz w:val="18"/>
              </w:rPr>
              <w:t>170.629</w:t>
            </w:r>
          </w:p>
        </w:tc>
      </w:tr>
      <w:tr w:rsidR="00B167CC" w:rsidRPr="00C149AB" w14:paraId="12C36A7B" w14:textId="77777777" w:rsidTr="00B167CC">
        <w:trPr>
          <w:trHeight w:val="300"/>
          <w:jc w:val="center"/>
        </w:trPr>
        <w:tc>
          <w:tcPr>
            <w:tcW w:w="2940" w:type="dxa"/>
            <w:shd w:val="clear" w:color="auto" w:fill="auto"/>
            <w:vAlign w:val="center"/>
          </w:tcPr>
          <w:p w14:paraId="66EB8710" w14:textId="77777777" w:rsidR="00B167CC" w:rsidRPr="00C149AB" w:rsidRDefault="00B167CC" w:rsidP="00B167C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PODGORICA</w:t>
            </w:r>
          </w:p>
        </w:tc>
        <w:tc>
          <w:tcPr>
            <w:tcW w:w="1828" w:type="dxa"/>
            <w:shd w:val="clear" w:color="auto" w:fill="auto"/>
          </w:tcPr>
          <w:p w14:paraId="74A96EB0" w14:textId="77777777" w:rsidR="00B167CC" w:rsidRPr="00C149AB" w:rsidRDefault="00B167CC" w:rsidP="00B167C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Podgorica</w:t>
            </w:r>
          </w:p>
        </w:tc>
        <w:tc>
          <w:tcPr>
            <w:tcW w:w="1866" w:type="dxa"/>
            <w:shd w:val="clear" w:color="auto" w:fill="auto"/>
            <w:vAlign w:val="center"/>
          </w:tcPr>
          <w:p w14:paraId="23085C23" w14:textId="77777777" w:rsidR="00B167CC" w:rsidRPr="00C149AB" w:rsidRDefault="00B167CC" w:rsidP="00B167C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82.371</w:t>
            </w:r>
          </w:p>
        </w:tc>
      </w:tr>
      <w:tr w:rsidR="00B167CC" w:rsidRPr="00C149AB" w14:paraId="245A92BC" w14:textId="77777777" w:rsidTr="00B167CC">
        <w:trPr>
          <w:trHeight w:val="89"/>
          <w:jc w:val="center"/>
        </w:trPr>
        <w:tc>
          <w:tcPr>
            <w:tcW w:w="2940" w:type="dxa"/>
            <w:shd w:val="clear" w:color="auto" w:fill="auto"/>
            <w:vAlign w:val="center"/>
          </w:tcPr>
          <w:p w14:paraId="7B7D6AE9" w14:textId="77777777" w:rsidR="00B167CC" w:rsidRPr="00C149AB" w:rsidRDefault="00B167CC" w:rsidP="00B167C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BAR</w:t>
            </w:r>
          </w:p>
        </w:tc>
        <w:tc>
          <w:tcPr>
            <w:tcW w:w="1828" w:type="dxa"/>
            <w:shd w:val="clear" w:color="auto" w:fill="auto"/>
          </w:tcPr>
          <w:p w14:paraId="157B7491" w14:textId="77777777" w:rsidR="00B167CC" w:rsidRPr="00C149AB" w:rsidRDefault="00B167CC" w:rsidP="00B167C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Bar</w:t>
            </w:r>
          </w:p>
        </w:tc>
        <w:tc>
          <w:tcPr>
            <w:tcW w:w="1866" w:type="dxa"/>
            <w:shd w:val="clear" w:color="auto" w:fill="auto"/>
            <w:vAlign w:val="center"/>
          </w:tcPr>
          <w:p w14:paraId="3C33A555" w14:textId="77777777" w:rsidR="00B167CC" w:rsidRPr="00C149AB" w:rsidRDefault="00B167CC" w:rsidP="00B167C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88.258</w:t>
            </w:r>
          </w:p>
        </w:tc>
      </w:tr>
    </w:tbl>
    <w:p w14:paraId="41BBFC81" w14:textId="3226196E" w:rsidR="009316F8" w:rsidRPr="002A6F4E" w:rsidRDefault="009316F8" w:rsidP="009316F8">
      <w:pPr>
        <w:spacing w:before="120" w:after="120" w:line="360" w:lineRule="auto"/>
        <w:rPr>
          <w:rFonts w:ascii="Arial" w:hAnsi="Arial" w:cs="Arial"/>
        </w:rPr>
      </w:pPr>
    </w:p>
    <w:p w14:paraId="1C33CF29" w14:textId="7210573B" w:rsidR="009316F8" w:rsidRPr="002A6F4E" w:rsidRDefault="00620A47" w:rsidP="007378E8">
      <w:pPr>
        <w:pStyle w:val="Heading3"/>
      </w:pPr>
      <w:bookmarkStart w:id="1250" w:name="_Toc189759724"/>
      <w:bookmarkStart w:id="1251" w:name="_Toc193354050"/>
      <w:r>
        <w:lastRenderedPageBreak/>
        <w:t>5.3</w:t>
      </w:r>
      <w:r w:rsidR="009751D2">
        <w:t>9</w:t>
      </w:r>
      <w:r w:rsidR="003D1C94" w:rsidRPr="002A6F4E">
        <w:t>.</w:t>
      </w:r>
      <w:r w:rsidR="00267FAF">
        <w:t>3</w:t>
      </w:r>
      <w:r w:rsidR="003D1C94" w:rsidRPr="002A6F4E">
        <w:t xml:space="preserve"> </w:t>
      </w:r>
      <w:r w:rsidR="009316F8" w:rsidRPr="002A6F4E">
        <w:t>Ukupni bilans mase upravljanja komunalnim otpadom</w:t>
      </w:r>
      <w:bookmarkEnd w:id="1250"/>
      <w:bookmarkEnd w:id="1251"/>
    </w:p>
    <w:p w14:paraId="0DCAFB7E" w14:textId="1D475156" w:rsidR="002C47A9" w:rsidRPr="002A6F4E" w:rsidRDefault="009316F8" w:rsidP="009316F8">
      <w:pPr>
        <w:spacing w:line="360" w:lineRule="auto"/>
        <w:rPr>
          <w:rFonts w:ascii="Arial" w:hAnsi="Arial" w:cs="Arial"/>
          <w:lang w:val="hr-HR"/>
        </w:rPr>
      </w:pPr>
      <w:r w:rsidRPr="002A6F4E">
        <w:rPr>
          <w:rFonts w:ascii="Arial" w:hAnsi="Arial" w:cs="Arial"/>
          <w:lang w:val="hr-HR"/>
        </w:rPr>
        <w:t>U narednoj tabeli prikazano je ispunjenje postavljenih glavnih ciljeva upravljanja otpadom.</w:t>
      </w:r>
    </w:p>
    <w:p w14:paraId="5454B935" w14:textId="77777777" w:rsidR="009316F8" w:rsidRPr="002A6F4E" w:rsidRDefault="009316F8" w:rsidP="009316F8">
      <w:pPr>
        <w:spacing w:line="360" w:lineRule="auto"/>
        <w:rPr>
          <w:rFonts w:ascii="Arial" w:hAnsi="Arial" w:cs="Arial"/>
          <w:lang w:val="sq-AL" w:eastAsia="pl-PL"/>
        </w:rPr>
      </w:pPr>
    </w:p>
    <w:p w14:paraId="51520A95" w14:textId="569D4DFD" w:rsidR="009316F8" w:rsidRPr="00C149AB" w:rsidRDefault="009316F8" w:rsidP="009316F8">
      <w:pPr>
        <w:pStyle w:val="Caption"/>
        <w:rPr>
          <w:rFonts w:ascii="Arial" w:hAnsi="Arial" w:cs="Arial"/>
          <w:b w:val="0"/>
          <w:bCs w:val="0"/>
          <w:szCs w:val="20"/>
          <w:lang w:val="sq-AL"/>
        </w:rPr>
      </w:pPr>
      <w:bookmarkStart w:id="1252" w:name="_Toc189515688"/>
      <w:bookmarkStart w:id="1253" w:name="_Toc190160799"/>
      <w:r w:rsidRPr="00C149AB">
        <w:rPr>
          <w:rFonts w:ascii="Arial" w:hAnsi="Arial" w:cs="Arial"/>
          <w:b w:val="0"/>
          <w:szCs w:val="20"/>
          <w:lang w:val="sq-AL"/>
        </w:rPr>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104</w:t>
      </w:r>
      <w:r w:rsidRPr="00C149AB">
        <w:rPr>
          <w:rFonts w:ascii="Arial" w:hAnsi="Arial" w:cs="Arial"/>
          <w:b w:val="0"/>
          <w:szCs w:val="20"/>
        </w:rPr>
        <w:fldChar w:fldCharType="end"/>
      </w:r>
      <w:r w:rsidRPr="00C149AB">
        <w:rPr>
          <w:rFonts w:ascii="Arial" w:hAnsi="Arial" w:cs="Arial"/>
          <w:b w:val="0"/>
          <w:szCs w:val="20"/>
          <w:lang w:val="sq-AL"/>
        </w:rPr>
        <w:t xml:space="preserve"> </w:t>
      </w:r>
      <w:r w:rsidRPr="00C149AB">
        <w:rPr>
          <w:rFonts w:ascii="Arial" w:hAnsi="Arial" w:cs="Arial"/>
          <w:b w:val="0"/>
          <w:bCs w:val="0"/>
          <w:szCs w:val="20"/>
          <w:lang w:val="sq-AL"/>
        </w:rPr>
        <w:t>Učinak predloženog sistema upravljanja komunalnim otpadom u odnosu na postavljene ciljeve</w:t>
      </w:r>
      <w:bookmarkEnd w:id="1252"/>
      <w:bookmarkEnd w:id="1253"/>
    </w:p>
    <w:tbl>
      <w:tblPr>
        <w:tblStyle w:val="GridTable4-Accent11"/>
        <w:tblW w:w="43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9"/>
        <w:gridCol w:w="945"/>
        <w:gridCol w:w="1456"/>
        <w:gridCol w:w="1661"/>
      </w:tblGrid>
      <w:tr w:rsidR="009316F8" w:rsidRPr="00C149AB" w14:paraId="7769794E" w14:textId="77777777" w:rsidTr="00FE289C">
        <w:trPr>
          <w:cnfStyle w:val="100000000000" w:firstRow="1" w:lastRow="0" w:firstColumn="0" w:lastColumn="0" w:oddVBand="0" w:evenVBand="0" w:oddHBand="0" w:evenHBand="0" w:firstRowFirstColumn="0" w:firstRowLastColumn="0" w:lastRowFirstColumn="0" w:lastRowLastColumn="0"/>
          <w:trHeight w:val="433"/>
          <w:tblHeader/>
          <w:jc w:val="center"/>
        </w:trPr>
        <w:tc>
          <w:tcPr>
            <w:cnfStyle w:val="001000000000" w:firstRow="0" w:lastRow="0" w:firstColumn="1" w:lastColumn="0" w:oddVBand="0" w:evenVBand="0" w:oddHBand="0" w:evenHBand="0" w:firstRowFirstColumn="0" w:firstRowLastColumn="0" w:lastRowFirstColumn="0" w:lastRowLastColumn="0"/>
            <w:tcW w:w="2520" w:type="pct"/>
            <w:shd w:val="clear" w:color="auto" w:fill="F2F2F2" w:themeFill="background1" w:themeFillShade="F2"/>
            <w:vAlign w:val="center"/>
          </w:tcPr>
          <w:p w14:paraId="536CD849" w14:textId="77777777" w:rsidR="009316F8" w:rsidRPr="00C149AB" w:rsidRDefault="009316F8" w:rsidP="00FE289C">
            <w:pPr>
              <w:pStyle w:val="Normal-10pt-Table"/>
              <w:spacing w:line="360" w:lineRule="auto"/>
              <w:jc w:val="both"/>
              <w:rPr>
                <w:rFonts w:ascii="Arial" w:hAnsi="Arial" w:cs="Arial"/>
                <w:b w:val="0"/>
                <w:bCs w:val="0"/>
                <w:sz w:val="18"/>
                <w:szCs w:val="20"/>
                <w:lang w:val="sq-AL"/>
              </w:rPr>
            </w:pPr>
            <w:r w:rsidRPr="00C149AB">
              <w:rPr>
                <w:rFonts w:ascii="Arial" w:hAnsi="Arial" w:cs="Arial"/>
                <w:color w:val="auto"/>
                <w:sz w:val="18"/>
                <w:szCs w:val="20"/>
                <w:lang w:val="sq-AL"/>
              </w:rPr>
              <w:t>Faza upravljanja otpadom</w:t>
            </w:r>
          </w:p>
          <w:p w14:paraId="11B2406A" w14:textId="77777777" w:rsidR="009316F8" w:rsidRPr="00C149AB" w:rsidRDefault="009316F8" w:rsidP="00FE289C">
            <w:pPr>
              <w:pStyle w:val="Normal-10pt-Table"/>
              <w:spacing w:line="360" w:lineRule="auto"/>
              <w:jc w:val="both"/>
              <w:rPr>
                <w:rFonts w:ascii="Arial" w:hAnsi="Arial" w:cs="Arial"/>
                <w:b w:val="0"/>
                <w:bCs w:val="0"/>
                <w:sz w:val="18"/>
                <w:szCs w:val="20"/>
                <w:lang w:val="sq-AL"/>
              </w:rPr>
            </w:pPr>
          </w:p>
        </w:tc>
        <w:tc>
          <w:tcPr>
            <w:tcW w:w="577" w:type="pct"/>
            <w:shd w:val="clear" w:color="auto" w:fill="F2F2F2" w:themeFill="background1" w:themeFillShade="F2"/>
            <w:vAlign w:val="center"/>
          </w:tcPr>
          <w:p w14:paraId="7E5DD874" w14:textId="77777777" w:rsidR="009316F8" w:rsidRPr="00C149AB" w:rsidRDefault="009316F8" w:rsidP="00FE289C">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Godina</w:t>
            </w:r>
          </w:p>
          <w:p w14:paraId="7145D1F3" w14:textId="77777777" w:rsidR="009316F8" w:rsidRPr="00C149AB" w:rsidRDefault="009316F8" w:rsidP="00FE289C">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p>
        </w:tc>
        <w:tc>
          <w:tcPr>
            <w:tcW w:w="889" w:type="pct"/>
            <w:shd w:val="clear" w:color="auto" w:fill="F2F2F2" w:themeFill="background1" w:themeFillShade="F2"/>
            <w:vAlign w:val="center"/>
          </w:tcPr>
          <w:p w14:paraId="1E944234" w14:textId="77777777" w:rsidR="009316F8" w:rsidRPr="00C149AB" w:rsidRDefault="009316F8" w:rsidP="00FE289C">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Cilj (t/god)</w:t>
            </w:r>
          </w:p>
          <w:p w14:paraId="38BC8029" w14:textId="77777777" w:rsidR="009316F8" w:rsidRPr="00C149AB" w:rsidRDefault="009316F8" w:rsidP="00FE289C">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p>
        </w:tc>
        <w:tc>
          <w:tcPr>
            <w:tcW w:w="1014" w:type="pct"/>
            <w:shd w:val="clear" w:color="auto" w:fill="F2F2F2" w:themeFill="background1" w:themeFillShade="F2"/>
          </w:tcPr>
          <w:p w14:paraId="328D725F" w14:textId="77777777" w:rsidR="009316F8" w:rsidRPr="00C149AB" w:rsidRDefault="009316F8" w:rsidP="00FE289C">
            <w:pPr>
              <w:pStyle w:val="Normal-10pt-Table"/>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20"/>
                <w:lang w:val="sq-AL"/>
              </w:rPr>
            </w:pPr>
            <w:r w:rsidRPr="00C149AB">
              <w:rPr>
                <w:rFonts w:ascii="Arial" w:hAnsi="Arial" w:cs="Arial"/>
                <w:color w:val="auto"/>
                <w:sz w:val="18"/>
                <w:szCs w:val="20"/>
                <w:lang w:val="sq-AL"/>
              </w:rPr>
              <w:t>Ostvareno (t/god)</w:t>
            </w:r>
          </w:p>
        </w:tc>
      </w:tr>
      <w:tr w:rsidR="009316F8" w:rsidRPr="00C149AB" w14:paraId="45FF9AD0"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val="restart"/>
            <w:shd w:val="clear" w:color="auto" w:fill="auto"/>
            <w:vAlign w:val="center"/>
          </w:tcPr>
          <w:p w14:paraId="245F9A87" w14:textId="77777777" w:rsidR="009316F8" w:rsidRPr="00C149AB" w:rsidRDefault="009316F8" w:rsidP="00FE289C">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 xml:space="preserve">Sakupljene količine otpada </w:t>
            </w:r>
          </w:p>
          <w:p w14:paraId="02B7E3D2" w14:textId="77777777" w:rsidR="009316F8" w:rsidRPr="00C149AB" w:rsidRDefault="009316F8" w:rsidP="00FE289C">
            <w:pPr>
              <w:pStyle w:val="Normal-10pt-Table"/>
              <w:spacing w:line="360" w:lineRule="auto"/>
              <w:jc w:val="both"/>
              <w:rPr>
                <w:rFonts w:ascii="Arial" w:hAnsi="Arial" w:cs="Arial"/>
                <w:sz w:val="18"/>
                <w:szCs w:val="20"/>
                <w:lang w:val="sq-AL"/>
              </w:rPr>
            </w:pPr>
          </w:p>
        </w:tc>
        <w:tc>
          <w:tcPr>
            <w:tcW w:w="577" w:type="pct"/>
            <w:shd w:val="clear" w:color="auto" w:fill="auto"/>
            <w:vAlign w:val="bottom"/>
          </w:tcPr>
          <w:p w14:paraId="63AB9A4C" w14:textId="60DF7C8C" w:rsidR="009316F8" w:rsidRPr="00D718CD" w:rsidRDefault="009316F8" w:rsidP="00FE289C">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r-Latn-ME"/>
              </w:rPr>
            </w:pPr>
            <w:r w:rsidRPr="00D718CD">
              <w:rPr>
                <w:rFonts w:ascii="Arial" w:hAnsi="Arial" w:cs="Arial"/>
                <w:sz w:val="18"/>
                <w:lang w:val="mk-MK"/>
              </w:rPr>
              <w:t>202</w:t>
            </w:r>
            <w:r w:rsidR="00D718CD">
              <w:rPr>
                <w:rFonts w:ascii="Arial" w:hAnsi="Arial" w:cs="Arial"/>
                <w:sz w:val="18"/>
                <w:lang w:val="sr-Latn-ME"/>
              </w:rPr>
              <w:t>5</w:t>
            </w:r>
          </w:p>
        </w:tc>
        <w:tc>
          <w:tcPr>
            <w:tcW w:w="889" w:type="pct"/>
            <w:shd w:val="clear" w:color="auto" w:fill="auto"/>
            <w:vAlign w:val="center"/>
          </w:tcPr>
          <w:p w14:paraId="494B397E" w14:textId="77777777" w:rsidR="009316F8" w:rsidRPr="00C149AB" w:rsidRDefault="009316F8" w:rsidP="00FE289C">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rPr>
            </w:pPr>
            <w:r w:rsidRPr="00C149AB">
              <w:rPr>
                <w:rFonts w:ascii="Arial" w:hAnsi="Arial" w:cs="Arial"/>
                <w:sz w:val="18"/>
                <w:lang w:val="mk-MK"/>
              </w:rPr>
              <w:t>350.424</w:t>
            </w:r>
          </w:p>
        </w:tc>
        <w:tc>
          <w:tcPr>
            <w:tcW w:w="1014" w:type="pct"/>
            <w:shd w:val="clear" w:color="auto" w:fill="auto"/>
            <w:vAlign w:val="center"/>
          </w:tcPr>
          <w:p w14:paraId="65E9661F" w14:textId="77777777" w:rsidR="009316F8" w:rsidRPr="00C149AB" w:rsidRDefault="009316F8" w:rsidP="00FE289C">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rPr>
            </w:pPr>
            <w:r w:rsidRPr="00C149AB">
              <w:rPr>
                <w:rFonts w:ascii="Arial" w:hAnsi="Arial" w:cs="Arial"/>
                <w:sz w:val="18"/>
                <w:lang w:val="mk-MK"/>
              </w:rPr>
              <w:t>350.424</w:t>
            </w:r>
          </w:p>
        </w:tc>
      </w:tr>
      <w:tr w:rsidR="009316F8" w:rsidRPr="00C149AB" w14:paraId="195681F5"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shd w:val="clear" w:color="auto" w:fill="auto"/>
            <w:vAlign w:val="center"/>
          </w:tcPr>
          <w:p w14:paraId="79E2F873" w14:textId="77777777" w:rsidR="009316F8" w:rsidRPr="00C149AB" w:rsidRDefault="009316F8" w:rsidP="00FE289C">
            <w:pPr>
              <w:pStyle w:val="Normal-10pt-Table"/>
              <w:spacing w:line="360" w:lineRule="auto"/>
              <w:jc w:val="both"/>
              <w:rPr>
                <w:rFonts w:ascii="Arial" w:hAnsi="Arial" w:cs="Arial"/>
                <w:b w:val="0"/>
                <w:bCs w:val="0"/>
                <w:sz w:val="18"/>
                <w:szCs w:val="20"/>
                <w:lang w:val="sq-AL"/>
              </w:rPr>
            </w:pPr>
          </w:p>
        </w:tc>
        <w:tc>
          <w:tcPr>
            <w:tcW w:w="577" w:type="pct"/>
            <w:shd w:val="clear" w:color="auto" w:fill="auto"/>
            <w:vAlign w:val="bottom"/>
          </w:tcPr>
          <w:p w14:paraId="13623A48" w14:textId="23848D48" w:rsidR="009316F8" w:rsidRPr="00C149AB" w:rsidRDefault="00B40E88" w:rsidP="00FE289C">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lang w:val="en-US"/>
              </w:rPr>
            </w:pPr>
            <w:r w:rsidRPr="00C149AB">
              <w:rPr>
                <w:rFonts w:ascii="Arial" w:hAnsi="Arial" w:cs="Arial"/>
                <w:sz w:val="18"/>
                <w:lang w:val="en-US"/>
              </w:rPr>
              <w:t>2029</w:t>
            </w:r>
          </w:p>
        </w:tc>
        <w:tc>
          <w:tcPr>
            <w:tcW w:w="889" w:type="pct"/>
            <w:shd w:val="clear" w:color="auto" w:fill="auto"/>
            <w:vAlign w:val="center"/>
          </w:tcPr>
          <w:p w14:paraId="3A62A237" w14:textId="77777777" w:rsidR="009316F8" w:rsidRPr="00C149AB" w:rsidRDefault="009316F8" w:rsidP="00FE289C">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lang w:val="sq-AL"/>
              </w:rPr>
            </w:pPr>
            <w:r w:rsidRPr="00C149AB">
              <w:rPr>
                <w:rFonts w:ascii="Arial" w:hAnsi="Arial" w:cs="Arial"/>
                <w:sz w:val="18"/>
                <w:lang w:val="mk-MK"/>
              </w:rPr>
              <w:t>360.433</w:t>
            </w:r>
          </w:p>
        </w:tc>
        <w:tc>
          <w:tcPr>
            <w:tcW w:w="1014" w:type="pct"/>
            <w:shd w:val="clear" w:color="auto" w:fill="auto"/>
            <w:vAlign w:val="center"/>
          </w:tcPr>
          <w:p w14:paraId="74F5EB73" w14:textId="77777777" w:rsidR="009316F8" w:rsidRPr="00C149AB" w:rsidRDefault="009316F8" w:rsidP="00FE289C">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lang w:val="sq-AL"/>
              </w:rPr>
            </w:pPr>
            <w:r w:rsidRPr="00C149AB">
              <w:rPr>
                <w:rFonts w:ascii="Arial" w:hAnsi="Arial" w:cs="Arial"/>
                <w:sz w:val="18"/>
                <w:lang w:val="mk-MK"/>
              </w:rPr>
              <w:t>360.433</w:t>
            </w:r>
          </w:p>
        </w:tc>
      </w:tr>
      <w:tr w:rsidR="009316F8" w:rsidRPr="00C149AB" w14:paraId="0F294FFF"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val="restart"/>
            <w:shd w:val="clear" w:color="auto" w:fill="auto"/>
          </w:tcPr>
          <w:p w14:paraId="26C44C21" w14:textId="77777777" w:rsidR="009316F8" w:rsidRPr="00C149AB" w:rsidRDefault="009316F8" w:rsidP="00FE289C">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Odvojeno sakupljanje otpada koji se može reciklirati</w:t>
            </w:r>
          </w:p>
        </w:tc>
        <w:tc>
          <w:tcPr>
            <w:tcW w:w="577" w:type="pct"/>
            <w:shd w:val="clear" w:color="auto" w:fill="auto"/>
            <w:vAlign w:val="bottom"/>
          </w:tcPr>
          <w:p w14:paraId="53A94356" w14:textId="77777777" w:rsidR="009316F8" w:rsidRPr="00C149AB" w:rsidRDefault="009316F8" w:rsidP="00FE289C">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sq-AL"/>
              </w:rPr>
            </w:pPr>
            <w:r w:rsidRPr="00D718CD">
              <w:rPr>
                <w:rFonts w:ascii="Arial" w:hAnsi="Arial" w:cs="Arial"/>
                <w:sz w:val="18"/>
                <w:lang w:val="mk-MK"/>
              </w:rPr>
              <w:t>2025</w:t>
            </w:r>
          </w:p>
        </w:tc>
        <w:tc>
          <w:tcPr>
            <w:tcW w:w="889" w:type="pct"/>
            <w:shd w:val="clear" w:color="auto" w:fill="auto"/>
            <w:vAlign w:val="center"/>
          </w:tcPr>
          <w:p w14:paraId="1F8920AC"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27.316</w:t>
            </w:r>
          </w:p>
        </w:tc>
        <w:tc>
          <w:tcPr>
            <w:tcW w:w="1014" w:type="pct"/>
            <w:shd w:val="clear" w:color="auto" w:fill="auto"/>
            <w:vAlign w:val="center"/>
          </w:tcPr>
          <w:p w14:paraId="6AB72592"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30.080</w:t>
            </w:r>
          </w:p>
        </w:tc>
      </w:tr>
      <w:tr w:rsidR="009316F8" w:rsidRPr="00C149AB" w14:paraId="672AC935"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shd w:val="clear" w:color="auto" w:fill="auto"/>
          </w:tcPr>
          <w:p w14:paraId="3EEEAA13" w14:textId="77777777" w:rsidR="009316F8" w:rsidRPr="00C149AB" w:rsidRDefault="009316F8" w:rsidP="00FE289C">
            <w:pPr>
              <w:pStyle w:val="Normal-10pt-Table"/>
              <w:spacing w:line="360" w:lineRule="auto"/>
              <w:jc w:val="both"/>
              <w:rPr>
                <w:rFonts w:ascii="Arial" w:hAnsi="Arial" w:cs="Arial"/>
                <w:b w:val="0"/>
                <w:bCs w:val="0"/>
                <w:sz w:val="18"/>
                <w:szCs w:val="20"/>
                <w:lang w:val="sq-AL"/>
              </w:rPr>
            </w:pPr>
          </w:p>
        </w:tc>
        <w:tc>
          <w:tcPr>
            <w:tcW w:w="577" w:type="pct"/>
            <w:shd w:val="clear" w:color="auto" w:fill="auto"/>
            <w:vAlign w:val="bottom"/>
          </w:tcPr>
          <w:p w14:paraId="64FF7CD5" w14:textId="779622C7" w:rsidR="009316F8" w:rsidRPr="00C149AB" w:rsidRDefault="00B40E88" w:rsidP="00FE289C">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lang w:val="en-US"/>
              </w:rPr>
            </w:pPr>
            <w:r w:rsidRPr="00C149AB">
              <w:rPr>
                <w:rFonts w:ascii="Arial" w:hAnsi="Arial" w:cs="Arial"/>
                <w:sz w:val="18"/>
                <w:lang w:val="en-US"/>
              </w:rPr>
              <w:t>2029</w:t>
            </w:r>
          </w:p>
        </w:tc>
        <w:tc>
          <w:tcPr>
            <w:tcW w:w="889" w:type="pct"/>
            <w:shd w:val="clear" w:color="auto" w:fill="auto"/>
            <w:vAlign w:val="center"/>
          </w:tcPr>
          <w:p w14:paraId="3864E0BB"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46.699</w:t>
            </w:r>
          </w:p>
        </w:tc>
        <w:tc>
          <w:tcPr>
            <w:tcW w:w="1014" w:type="pct"/>
            <w:shd w:val="clear" w:color="auto" w:fill="auto"/>
            <w:vAlign w:val="center"/>
          </w:tcPr>
          <w:p w14:paraId="110E2840"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51.862</w:t>
            </w:r>
          </w:p>
        </w:tc>
      </w:tr>
      <w:tr w:rsidR="009316F8" w:rsidRPr="00C149AB" w14:paraId="38FF45DD"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shd w:val="clear" w:color="auto" w:fill="auto"/>
            <w:vAlign w:val="bottom"/>
          </w:tcPr>
          <w:p w14:paraId="6F75EBAA" w14:textId="77777777" w:rsidR="009316F8" w:rsidRPr="00C149AB" w:rsidRDefault="009316F8" w:rsidP="00FE289C">
            <w:pPr>
              <w:pStyle w:val="Normal-10pt-Table"/>
              <w:spacing w:line="360" w:lineRule="auto"/>
              <w:jc w:val="both"/>
              <w:rPr>
                <w:rFonts w:ascii="Arial" w:hAnsi="Arial" w:cs="Arial"/>
                <w:b w:val="0"/>
                <w:bCs w:val="0"/>
                <w:sz w:val="18"/>
                <w:szCs w:val="20"/>
                <w:lang w:val="sq-AL"/>
              </w:rPr>
            </w:pPr>
            <w:r w:rsidRPr="00C149AB">
              <w:rPr>
                <w:rFonts w:ascii="Arial" w:hAnsi="Arial" w:cs="Arial"/>
                <w:sz w:val="18"/>
                <w:szCs w:val="20"/>
                <w:lang w:val="mk-MK"/>
              </w:rPr>
              <w:t>Odvojeno sakupljanje ambalažnog otpada</w:t>
            </w:r>
          </w:p>
        </w:tc>
        <w:tc>
          <w:tcPr>
            <w:tcW w:w="577" w:type="pct"/>
            <w:shd w:val="clear" w:color="auto" w:fill="auto"/>
            <w:vAlign w:val="bottom"/>
          </w:tcPr>
          <w:p w14:paraId="19DECACD" w14:textId="331237C6" w:rsidR="009316F8" w:rsidRPr="00C149AB" w:rsidRDefault="00B40E88" w:rsidP="00FE289C">
            <w:pPr>
              <w:spacing w:before="60" w:after="60"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18"/>
                <w:lang w:val="en-US"/>
              </w:rPr>
            </w:pPr>
            <w:r w:rsidRPr="00C149AB">
              <w:rPr>
                <w:rFonts w:ascii="Arial" w:hAnsi="Arial" w:cs="Arial"/>
                <w:sz w:val="18"/>
                <w:lang w:val="en-US"/>
              </w:rPr>
              <w:t>2029</w:t>
            </w:r>
          </w:p>
        </w:tc>
        <w:tc>
          <w:tcPr>
            <w:tcW w:w="889" w:type="pct"/>
            <w:shd w:val="clear" w:color="auto" w:fill="auto"/>
            <w:vAlign w:val="center"/>
          </w:tcPr>
          <w:p w14:paraId="1316DFA2"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34.524</w:t>
            </w:r>
          </w:p>
        </w:tc>
        <w:tc>
          <w:tcPr>
            <w:tcW w:w="1014" w:type="pct"/>
            <w:shd w:val="clear" w:color="auto" w:fill="auto"/>
            <w:vAlign w:val="center"/>
          </w:tcPr>
          <w:p w14:paraId="6F8E166D"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mk-MK"/>
              </w:rPr>
            </w:pPr>
            <w:r w:rsidRPr="00C149AB">
              <w:rPr>
                <w:rFonts w:ascii="Arial" w:hAnsi="Arial" w:cs="Arial"/>
                <w:sz w:val="18"/>
                <w:szCs w:val="20"/>
                <w:lang w:val="mk-MK"/>
              </w:rPr>
              <w:t>36.303</w:t>
            </w:r>
          </w:p>
        </w:tc>
      </w:tr>
      <w:tr w:rsidR="009316F8" w:rsidRPr="00C149AB" w14:paraId="11F4306F"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val="restart"/>
            <w:shd w:val="clear" w:color="auto" w:fill="auto"/>
          </w:tcPr>
          <w:p w14:paraId="34280946" w14:textId="77777777" w:rsidR="009316F8" w:rsidRPr="00C149AB" w:rsidRDefault="009316F8" w:rsidP="00FE289C">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Biorazgradivi otpad</w:t>
            </w:r>
          </w:p>
        </w:tc>
        <w:tc>
          <w:tcPr>
            <w:tcW w:w="577" w:type="pct"/>
            <w:shd w:val="clear" w:color="auto" w:fill="auto"/>
            <w:vAlign w:val="bottom"/>
          </w:tcPr>
          <w:p w14:paraId="7EF8A209"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2025</w:t>
            </w:r>
          </w:p>
        </w:tc>
        <w:tc>
          <w:tcPr>
            <w:tcW w:w="889" w:type="pct"/>
            <w:shd w:val="clear" w:color="auto" w:fill="auto"/>
            <w:vAlign w:val="center"/>
          </w:tcPr>
          <w:p w14:paraId="236D2AC8"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24.233</w:t>
            </w:r>
          </w:p>
        </w:tc>
        <w:tc>
          <w:tcPr>
            <w:tcW w:w="1014" w:type="pct"/>
            <w:shd w:val="clear" w:color="auto" w:fill="auto"/>
            <w:vAlign w:val="center"/>
          </w:tcPr>
          <w:p w14:paraId="2E0F09B5"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25.513</w:t>
            </w:r>
          </w:p>
        </w:tc>
      </w:tr>
      <w:tr w:rsidR="009316F8" w:rsidRPr="00C149AB" w14:paraId="0A42396A"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shd w:val="clear" w:color="auto" w:fill="auto"/>
          </w:tcPr>
          <w:p w14:paraId="5FF2D755" w14:textId="77777777" w:rsidR="009316F8" w:rsidRPr="00C149AB" w:rsidRDefault="009316F8" w:rsidP="00FE289C">
            <w:pPr>
              <w:pStyle w:val="Normal-10pt-Table"/>
              <w:spacing w:line="360" w:lineRule="auto"/>
              <w:jc w:val="both"/>
              <w:rPr>
                <w:rFonts w:ascii="Arial" w:hAnsi="Arial" w:cs="Arial"/>
                <w:b w:val="0"/>
                <w:bCs w:val="0"/>
                <w:sz w:val="18"/>
                <w:szCs w:val="20"/>
                <w:lang w:val="sq-AL"/>
              </w:rPr>
            </w:pPr>
          </w:p>
        </w:tc>
        <w:tc>
          <w:tcPr>
            <w:tcW w:w="577" w:type="pct"/>
            <w:shd w:val="clear" w:color="auto" w:fill="auto"/>
            <w:vAlign w:val="bottom"/>
          </w:tcPr>
          <w:p w14:paraId="023BBCE3" w14:textId="7BE912C2" w:rsidR="009316F8" w:rsidRPr="00C149AB" w:rsidRDefault="00B40E8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C149AB">
              <w:rPr>
                <w:rFonts w:ascii="Arial" w:hAnsi="Arial" w:cs="Arial"/>
                <w:sz w:val="18"/>
                <w:szCs w:val="20"/>
              </w:rPr>
              <w:t>2029</w:t>
            </w:r>
          </w:p>
        </w:tc>
        <w:tc>
          <w:tcPr>
            <w:tcW w:w="889" w:type="pct"/>
            <w:shd w:val="clear" w:color="auto" w:fill="auto"/>
            <w:vAlign w:val="center"/>
          </w:tcPr>
          <w:p w14:paraId="48C9FE3F"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24.063</w:t>
            </w:r>
          </w:p>
        </w:tc>
        <w:tc>
          <w:tcPr>
            <w:tcW w:w="1014" w:type="pct"/>
            <w:shd w:val="clear" w:color="auto" w:fill="auto"/>
            <w:vAlign w:val="center"/>
          </w:tcPr>
          <w:p w14:paraId="082B900F"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25.334</w:t>
            </w:r>
          </w:p>
        </w:tc>
      </w:tr>
      <w:tr w:rsidR="009316F8" w:rsidRPr="00C149AB" w14:paraId="4534C54C"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val="restart"/>
            <w:shd w:val="clear" w:color="auto" w:fill="auto"/>
          </w:tcPr>
          <w:p w14:paraId="29A14032" w14:textId="77777777" w:rsidR="009316F8" w:rsidRPr="00C149AB" w:rsidRDefault="009316F8" w:rsidP="00FE289C">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Kućno kompostiranje</w:t>
            </w:r>
          </w:p>
        </w:tc>
        <w:tc>
          <w:tcPr>
            <w:tcW w:w="577" w:type="pct"/>
            <w:shd w:val="clear" w:color="auto" w:fill="auto"/>
            <w:vAlign w:val="bottom"/>
          </w:tcPr>
          <w:p w14:paraId="2A2889D8"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vertAlign w:val="superscript"/>
                <w:lang w:val="sq-AL"/>
              </w:rPr>
            </w:pPr>
            <w:r w:rsidRPr="00C149AB">
              <w:rPr>
                <w:rFonts w:ascii="Arial" w:hAnsi="Arial" w:cs="Arial"/>
                <w:sz w:val="18"/>
                <w:szCs w:val="20"/>
                <w:lang w:val="mk-MK"/>
              </w:rPr>
              <w:t>2025</w:t>
            </w:r>
          </w:p>
        </w:tc>
        <w:tc>
          <w:tcPr>
            <w:tcW w:w="889" w:type="pct"/>
            <w:shd w:val="clear" w:color="auto" w:fill="auto"/>
            <w:vAlign w:val="center"/>
          </w:tcPr>
          <w:p w14:paraId="703CE87A"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5.624</w:t>
            </w:r>
          </w:p>
        </w:tc>
        <w:tc>
          <w:tcPr>
            <w:tcW w:w="1014" w:type="pct"/>
            <w:shd w:val="clear" w:color="auto" w:fill="auto"/>
            <w:vAlign w:val="center"/>
          </w:tcPr>
          <w:p w14:paraId="6BAF7552"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5.724</w:t>
            </w:r>
          </w:p>
        </w:tc>
      </w:tr>
      <w:tr w:rsidR="009316F8" w:rsidRPr="00C149AB" w14:paraId="333764A2"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shd w:val="clear" w:color="auto" w:fill="auto"/>
          </w:tcPr>
          <w:p w14:paraId="1481CDDA" w14:textId="77777777" w:rsidR="009316F8" w:rsidRPr="00C149AB" w:rsidRDefault="009316F8" w:rsidP="00FE289C">
            <w:pPr>
              <w:pStyle w:val="Normal-10pt-Table"/>
              <w:spacing w:line="360" w:lineRule="auto"/>
              <w:jc w:val="both"/>
              <w:rPr>
                <w:rFonts w:ascii="Arial" w:hAnsi="Arial" w:cs="Arial"/>
                <w:b w:val="0"/>
                <w:bCs w:val="0"/>
                <w:sz w:val="18"/>
                <w:szCs w:val="20"/>
                <w:lang w:val="sq-AL"/>
              </w:rPr>
            </w:pPr>
          </w:p>
        </w:tc>
        <w:tc>
          <w:tcPr>
            <w:tcW w:w="577" w:type="pct"/>
            <w:shd w:val="clear" w:color="auto" w:fill="auto"/>
            <w:vAlign w:val="bottom"/>
          </w:tcPr>
          <w:p w14:paraId="52C2E47C" w14:textId="4CDDAEFC" w:rsidR="009316F8" w:rsidRPr="00C149AB" w:rsidRDefault="00B40E8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C149AB">
              <w:rPr>
                <w:rFonts w:ascii="Arial" w:hAnsi="Arial" w:cs="Arial"/>
                <w:sz w:val="18"/>
                <w:szCs w:val="20"/>
              </w:rPr>
              <w:t>2029</w:t>
            </w:r>
          </w:p>
        </w:tc>
        <w:tc>
          <w:tcPr>
            <w:tcW w:w="889" w:type="pct"/>
            <w:shd w:val="clear" w:color="auto" w:fill="auto"/>
            <w:vAlign w:val="center"/>
          </w:tcPr>
          <w:p w14:paraId="19C43D0B"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5.584</w:t>
            </w:r>
          </w:p>
        </w:tc>
        <w:tc>
          <w:tcPr>
            <w:tcW w:w="1014" w:type="pct"/>
            <w:shd w:val="clear" w:color="auto" w:fill="auto"/>
            <w:vAlign w:val="center"/>
          </w:tcPr>
          <w:p w14:paraId="18669A3A"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5.584</w:t>
            </w:r>
          </w:p>
        </w:tc>
      </w:tr>
      <w:tr w:rsidR="009316F8" w:rsidRPr="00C149AB" w14:paraId="63AD70EA"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val="restart"/>
            <w:shd w:val="clear" w:color="auto" w:fill="auto"/>
          </w:tcPr>
          <w:p w14:paraId="6F1C7237" w14:textId="77777777" w:rsidR="009316F8" w:rsidRPr="00C149AB" w:rsidRDefault="009316F8" w:rsidP="00FE289C">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Odvojeno sakupljanje tekstila</w:t>
            </w:r>
          </w:p>
        </w:tc>
        <w:tc>
          <w:tcPr>
            <w:tcW w:w="577" w:type="pct"/>
            <w:shd w:val="clear" w:color="auto" w:fill="auto"/>
            <w:vAlign w:val="bottom"/>
          </w:tcPr>
          <w:p w14:paraId="3156A03E"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2025</w:t>
            </w:r>
          </w:p>
        </w:tc>
        <w:tc>
          <w:tcPr>
            <w:tcW w:w="889" w:type="pct"/>
            <w:shd w:val="clear" w:color="auto" w:fill="auto"/>
            <w:vAlign w:val="center"/>
          </w:tcPr>
          <w:p w14:paraId="634E3287"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1.177</w:t>
            </w:r>
          </w:p>
        </w:tc>
        <w:tc>
          <w:tcPr>
            <w:tcW w:w="1014" w:type="pct"/>
            <w:shd w:val="clear" w:color="auto" w:fill="auto"/>
            <w:vAlign w:val="center"/>
          </w:tcPr>
          <w:p w14:paraId="49F5543C"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1.177</w:t>
            </w:r>
          </w:p>
        </w:tc>
      </w:tr>
      <w:tr w:rsidR="009316F8" w:rsidRPr="00C149AB" w14:paraId="7161B855"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shd w:val="clear" w:color="auto" w:fill="auto"/>
          </w:tcPr>
          <w:p w14:paraId="0FD1A929" w14:textId="77777777" w:rsidR="009316F8" w:rsidRPr="00C149AB" w:rsidRDefault="009316F8" w:rsidP="00FE289C">
            <w:pPr>
              <w:pStyle w:val="Normal-10pt-Table"/>
              <w:spacing w:line="360" w:lineRule="auto"/>
              <w:jc w:val="both"/>
              <w:rPr>
                <w:rFonts w:ascii="Arial" w:hAnsi="Arial" w:cs="Arial"/>
                <w:b w:val="0"/>
                <w:bCs w:val="0"/>
                <w:sz w:val="18"/>
                <w:szCs w:val="20"/>
                <w:lang w:val="sq-AL"/>
              </w:rPr>
            </w:pPr>
          </w:p>
        </w:tc>
        <w:tc>
          <w:tcPr>
            <w:tcW w:w="577" w:type="pct"/>
            <w:shd w:val="clear" w:color="auto" w:fill="auto"/>
            <w:vAlign w:val="bottom"/>
          </w:tcPr>
          <w:p w14:paraId="79534FCD" w14:textId="36A9ABC2" w:rsidR="009316F8" w:rsidRPr="00C149AB" w:rsidRDefault="00B40E8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C149AB">
              <w:rPr>
                <w:rFonts w:ascii="Arial" w:hAnsi="Arial" w:cs="Arial"/>
                <w:sz w:val="18"/>
                <w:szCs w:val="20"/>
              </w:rPr>
              <w:t>2029</w:t>
            </w:r>
          </w:p>
        </w:tc>
        <w:tc>
          <w:tcPr>
            <w:tcW w:w="889" w:type="pct"/>
            <w:shd w:val="clear" w:color="auto" w:fill="auto"/>
            <w:vAlign w:val="center"/>
          </w:tcPr>
          <w:p w14:paraId="0C29575F"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1.190</w:t>
            </w:r>
          </w:p>
        </w:tc>
        <w:tc>
          <w:tcPr>
            <w:tcW w:w="1014" w:type="pct"/>
            <w:shd w:val="clear" w:color="auto" w:fill="auto"/>
            <w:vAlign w:val="center"/>
          </w:tcPr>
          <w:p w14:paraId="2909A092"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1.190</w:t>
            </w:r>
          </w:p>
        </w:tc>
      </w:tr>
      <w:tr w:rsidR="009316F8" w:rsidRPr="00C149AB" w14:paraId="3AC4A7A4"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val="restart"/>
            <w:shd w:val="clear" w:color="auto" w:fill="auto"/>
          </w:tcPr>
          <w:p w14:paraId="4CE99707" w14:textId="77777777" w:rsidR="009316F8" w:rsidRPr="00C149AB" w:rsidRDefault="009316F8" w:rsidP="00FE289C">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Odvojeno sakupljanje kabastog otpada</w:t>
            </w:r>
          </w:p>
        </w:tc>
        <w:tc>
          <w:tcPr>
            <w:tcW w:w="577" w:type="pct"/>
            <w:shd w:val="clear" w:color="auto" w:fill="auto"/>
            <w:vAlign w:val="bottom"/>
          </w:tcPr>
          <w:p w14:paraId="3853D504"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2025</w:t>
            </w:r>
          </w:p>
        </w:tc>
        <w:tc>
          <w:tcPr>
            <w:tcW w:w="889" w:type="pct"/>
            <w:shd w:val="clear" w:color="auto" w:fill="auto"/>
            <w:vAlign w:val="center"/>
          </w:tcPr>
          <w:p w14:paraId="031FBC65"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1.646</w:t>
            </w:r>
          </w:p>
        </w:tc>
        <w:tc>
          <w:tcPr>
            <w:tcW w:w="1014" w:type="pct"/>
            <w:shd w:val="clear" w:color="auto" w:fill="auto"/>
            <w:vAlign w:val="center"/>
          </w:tcPr>
          <w:p w14:paraId="738B1C2C"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1.646</w:t>
            </w:r>
          </w:p>
        </w:tc>
      </w:tr>
      <w:tr w:rsidR="009316F8" w:rsidRPr="00C149AB" w14:paraId="078D3FB0"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shd w:val="clear" w:color="auto" w:fill="auto"/>
          </w:tcPr>
          <w:p w14:paraId="25601F76" w14:textId="77777777" w:rsidR="009316F8" w:rsidRPr="00C149AB" w:rsidRDefault="009316F8" w:rsidP="00FE289C">
            <w:pPr>
              <w:pStyle w:val="Normal-10pt-Table"/>
              <w:spacing w:line="360" w:lineRule="auto"/>
              <w:jc w:val="both"/>
              <w:rPr>
                <w:rFonts w:ascii="Arial" w:hAnsi="Arial" w:cs="Arial"/>
                <w:b w:val="0"/>
                <w:bCs w:val="0"/>
                <w:sz w:val="18"/>
                <w:szCs w:val="20"/>
                <w:lang w:val="sq-AL"/>
              </w:rPr>
            </w:pPr>
          </w:p>
        </w:tc>
        <w:tc>
          <w:tcPr>
            <w:tcW w:w="577" w:type="pct"/>
            <w:shd w:val="clear" w:color="auto" w:fill="auto"/>
            <w:vAlign w:val="bottom"/>
          </w:tcPr>
          <w:p w14:paraId="73A3C662" w14:textId="7F498B48" w:rsidR="009316F8" w:rsidRPr="00C149AB" w:rsidRDefault="00B40E8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C149AB">
              <w:rPr>
                <w:rFonts w:ascii="Arial" w:hAnsi="Arial" w:cs="Arial"/>
                <w:sz w:val="18"/>
                <w:szCs w:val="20"/>
              </w:rPr>
              <w:t>2029</w:t>
            </w:r>
          </w:p>
        </w:tc>
        <w:tc>
          <w:tcPr>
            <w:tcW w:w="889" w:type="pct"/>
            <w:shd w:val="clear" w:color="auto" w:fill="auto"/>
            <w:vAlign w:val="center"/>
          </w:tcPr>
          <w:p w14:paraId="6CFE999B"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1.657</w:t>
            </w:r>
          </w:p>
        </w:tc>
        <w:tc>
          <w:tcPr>
            <w:tcW w:w="1014" w:type="pct"/>
            <w:shd w:val="clear" w:color="auto" w:fill="auto"/>
            <w:vAlign w:val="center"/>
          </w:tcPr>
          <w:p w14:paraId="7E57C0D2"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1.657</w:t>
            </w:r>
          </w:p>
        </w:tc>
      </w:tr>
      <w:tr w:rsidR="009316F8" w:rsidRPr="00C149AB" w14:paraId="213697FD"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val="restart"/>
            <w:shd w:val="clear" w:color="auto" w:fill="auto"/>
          </w:tcPr>
          <w:p w14:paraId="50D0FF1B" w14:textId="77777777" w:rsidR="009316F8" w:rsidRPr="00C149AB" w:rsidRDefault="009316F8" w:rsidP="00FE289C">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Ukupno odvojeno sakupljanje otpada</w:t>
            </w:r>
          </w:p>
        </w:tc>
        <w:tc>
          <w:tcPr>
            <w:tcW w:w="577" w:type="pct"/>
            <w:shd w:val="clear" w:color="auto" w:fill="auto"/>
            <w:vAlign w:val="bottom"/>
          </w:tcPr>
          <w:p w14:paraId="7CD7832D"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2025</w:t>
            </w:r>
          </w:p>
        </w:tc>
        <w:tc>
          <w:tcPr>
            <w:tcW w:w="889" w:type="pct"/>
            <w:shd w:val="clear" w:color="auto" w:fill="auto"/>
            <w:vAlign w:val="center"/>
          </w:tcPr>
          <w:p w14:paraId="72D0436A"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53.467</w:t>
            </w:r>
          </w:p>
        </w:tc>
        <w:tc>
          <w:tcPr>
            <w:tcW w:w="1014" w:type="pct"/>
            <w:shd w:val="clear" w:color="auto" w:fill="auto"/>
            <w:vAlign w:val="center"/>
          </w:tcPr>
          <w:p w14:paraId="3AB73344"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73.216</w:t>
            </w:r>
          </w:p>
        </w:tc>
      </w:tr>
      <w:tr w:rsidR="009316F8" w:rsidRPr="00C149AB" w14:paraId="399740A5"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shd w:val="clear" w:color="auto" w:fill="auto"/>
          </w:tcPr>
          <w:p w14:paraId="4671880C" w14:textId="77777777" w:rsidR="009316F8" w:rsidRPr="00C149AB" w:rsidRDefault="009316F8" w:rsidP="00FE289C">
            <w:pPr>
              <w:pStyle w:val="Normal-10pt-Table"/>
              <w:spacing w:line="360" w:lineRule="auto"/>
              <w:jc w:val="both"/>
              <w:rPr>
                <w:rFonts w:ascii="Arial" w:hAnsi="Arial" w:cs="Arial"/>
                <w:b w:val="0"/>
                <w:bCs w:val="0"/>
                <w:sz w:val="18"/>
                <w:szCs w:val="20"/>
                <w:lang w:val="sq-AL"/>
              </w:rPr>
            </w:pPr>
          </w:p>
        </w:tc>
        <w:tc>
          <w:tcPr>
            <w:tcW w:w="577" w:type="pct"/>
            <w:shd w:val="clear" w:color="auto" w:fill="auto"/>
            <w:vAlign w:val="bottom"/>
          </w:tcPr>
          <w:p w14:paraId="0C7D049C" w14:textId="0E77A66F" w:rsidR="009316F8" w:rsidRPr="00C149AB" w:rsidRDefault="00B40E8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C149AB">
              <w:rPr>
                <w:rFonts w:ascii="Arial" w:hAnsi="Arial" w:cs="Arial"/>
                <w:sz w:val="18"/>
                <w:szCs w:val="20"/>
              </w:rPr>
              <w:t>2029</w:t>
            </w:r>
          </w:p>
        </w:tc>
        <w:tc>
          <w:tcPr>
            <w:tcW w:w="889" w:type="pct"/>
            <w:shd w:val="clear" w:color="auto" w:fill="auto"/>
            <w:vAlign w:val="center"/>
          </w:tcPr>
          <w:p w14:paraId="33269CC1"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75.691</w:t>
            </w:r>
          </w:p>
        </w:tc>
        <w:tc>
          <w:tcPr>
            <w:tcW w:w="1014" w:type="pct"/>
            <w:shd w:val="clear" w:color="auto" w:fill="auto"/>
            <w:vAlign w:val="center"/>
          </w:tcPr>
          <w:p w14:paraId="6B5867E9"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100.881</w:t>
            </w:r>
          </w:p>
        </w:tc>
      </w:tr>
      <w:tr w:rsidR="009316F8" w:rsidRPr="00C149AB" w14:paraId="1780A84F"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val="restart"/>
            <w:shd w:val="clear" w:color="auto" w:fill="auto"/>
          </w:tcPr>
          <w:p w14:paraId="7A97BC1A" w14:textId="78B9F3F4" w:rsidR="009316F8" w:rsidRPr="00C149AB" w:rsidRDefault="009316F8" w:rsidP="00FE289C">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Priprema za ponovnu upotrebu/recikl</w:t>
            </w:r>
            <w:r w:rsidR="008E6AFC">
              <w:rPr>
                <w:rFonts w:ascii="Arial" w:hAnsi="Arial" w:cs="Arial"/>
                <w:sz w:val="18"/>
                <w:szCs w:val="20"/>
                <w:lang w:val="sq-AL"/>
              </w:rPr>
              <w:t>iranje</w:t>
            </w:r>
          </w:p>
        </w:tc>
        <w:tc>
          <w:tcPr>
            <w:tcW w:w="577" w:type="pct"/>
            <w:shd w:val="clear" w:color="auto" w:fill="auto"/>
            <w:vAlign w:val="bottom"/>
          </w:tcPr>
          <w:p w14:paraId="2A181A32" w14:textId="2F9EA03C" w:rsidR="009316F8" w:rsidRPr="00C149AB" w:rsidRDefault="00B40E8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C149AB">
              <w:rPr>
                <w:rFonts w:ascii="Arial" w:hAnsi="Arial" w:cs="Arial"/>
                <w:sz w:val="18"/>
                <w:szCs w:val="20"/>
              </w:rPr>
              <w:t>2029</w:t>
            </w:r>
          </w:p>
        </w:tc>
        <w:tc>
          <w:tcPr>
            <w:tcW w:w="889" w:type="pct"/>
            <w:shd w:val="clear" w:color="auto" w:fill="auto"/>
            <w:vAlign w:val="center"/>
          </w:tcPr>
          <w:p w14:paraId="79B1C79A"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57.048</w:t>
            </w:r>
          </w:p>
        </w:tc>
        <w:tc>
          <w:tcPr>
            <w:tcW w:w="1014" w:type="pct"/>
            <w:shd w:val="clear" w:color="auto" w:fill="auto"/>
            <w:vAlign w:val="center"/>
          </w:tcPr>
          <w:p w14:paraId="34435E2D"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71.811</w:t>
            </w:r>
          </w:p>
        </w:tc>
      </w:tr>
      <w:tr w:rsidR="009316F8" w:rsidRPr="00C149AB" w14:paraId="0B32F6C4"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shd w:val="clear" w:color="auto" w:fill="auto"/>
          </w:tcPr>
          <w:p w14:paraId="3DC5AEDF" w14:textId="77777777" w:rsidR="009316F8" w:rsidRPr="00C149AB" w:rsidRDefault="009316F8" w:rsidP="00FE289C">
            <w:pPr>
              <w:pStyle w:val="Normal-10pt-Table"/>
              <w:spacing w:line="360" w:lineRule="auto"/>
              <w:jc w:val="both"/>
              <w:rPr>
                <w:rFonts w:ascii="Arial" w:hAnsi="Arial" w:cs="Arial"/>
                <w:b w:val="0"/>
                <w:bCs w:val="0"/>
                <w:sz w:val="18"/>
                <w:szCs w:val="20"/>
                <w:lang w:val="sq-AL"/>
              </w:rPr>
            </w:pPr>
          </w:p>
        </w:tc>
        <w:tc>
          <w:tcPr>
            <w:tcW w:w="577" w:type="pct"/>
            <w:shd w:val="clear" w:color="auto" w:fill="auto"/>
            <w:vAlign w:val="bottom"/>
          </w:tcPr>
          <w:p w14:paraId="63D2887C"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2030</w:t>
            </w:r>
          </w:p>
        </w:tc>
        <w:tc>
          <w:tcPr>
            <w:tcW w:w="889" w:type="pct"/>
            <w:shd w:val="clear" w:color="auto" w:fill="auto"/>
            <w:vAlign w:val="center"/>
          </w:tcPr>
          <w:p w14:paraId="1ECAF755"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96.714</w:t>
            </w:r>
          </w:p>
        </w:tc>
        <w:tc>
          <w:tcPr>
            <w:tcW w:w="1014" w:type="pct"/>
            <w:shd w:val="clear" w:color="auto" w:fill="auto"/>
            <w:vAlign w:val="center"/>
          </w:tcPr>
          <w:p w14:paraId="6B7F3C23"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99.173</w:t>
            </w:r>
          </w:p>
        </w:tc>
      </w:tr>
      <w:tr w:rsidR="009316F8" w:rsidRPr="00C149AB" w14:paraId="68C3A575"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val="restart"/>
            <w:shd w:val="clear" w:color="auto" w:fill="auto"/>
          </w:tcPr>
          <w:p w14:paraId="3D316DFB" w14:textId="77777777" w:rsidR="009316F8" w:rsidRPr="00C149AB" w:rsidRDefault="009316F8" w:rsidP="00FE289C">
            <w:pPr>
              <w:pStyle w:val="Normal-10pt-Table"/>
              <w:spacing w:line="360" w:lineRule="auto"/>
              <w:jc w:val="both"/>
              <w:rPr>
                <w:rFonts w:ascii="Arial" w:hAnsi="Arial" w:cs="Arial"/>
                <w:sz w:val="18"/>
                <w:szCs w:val="20"/>
                <w:lang w:val="sq-AL"/>
              </w:rPr>
            </w:pPr>
            <w:r w:rsidRPr="00C149AB">
              <w:rPr>
                <w:rFonts w:ascii="Arial" w:hAnsi="Arial" w:cs="Arial"/>
                <w:sz w:val="18"/>
                <w:szCs w:val="20"/>
                <w:lang w:val="sq-AL"/>
              </w:rPr>
              <w:t>Maksimalna količina biozgradivog otpada za odlaganje</w:t>
            </w:r>
          </w:p>
          <w:p w14:paraId="2C55198A" w14:textId="77777777" w:rsidR="009316F8" w:rsidRPr="00C149AB" w:rsidRDefault="009316F8" w:rsidP="00FE289C">
            <w:pPr>
              <w:pStyle w:val="Normal-10pt-Table"/>
              <w:spacing w:line="360" w:lineRule="auto"/>
              <w:jc w:val="both"/>
              <w:rPr>
                <w:rFonts w:ascii="Arial" w:hAnsi="Arial" w:cs="Arial"/>
                <w:sz w:val="18"/>
                <w:szCs w:val="20"/>
                <w:lang w:val="sq-AL"/>
              </w:rPr>
            </w:pPr>
          </w:p>
        </w:tc>
        <w:tc>
          <w:tcPr>
            <w:tcW w:w="577" w:type="pct"/>
            <w:shd w:val="clear" w:color="auto" w:fill="auto"/>
            <w:vAlign w:val="bottom"/>
          </w:tcPr>
          <w:p w14:paraId="57C1976D"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2025</w:t>
            </w:r>
          </w:p>
        </w:tc>
        <w:tc>
          <w:tcPr>
            <w:tcW w:w="889" w:type="pct"/>
            <w:shd w:val="clear" w:color="auto" w:fill="auto"/>
            <w:vAlign w:val="center"/>
          </w:tcPr>
          <w:p w14:paraId="38DB17B3"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109.500</w:t>
            </w:r>
          </w:p>
        </w:tc>
        <w:tc>
          <w:tcPr>
            <w:tcW w:w="1014" w:type="pct"/>
            <w:shd w:val="clear" w:color="auto" w:fill="auto"/>
            <w:vAlign w:val="center"/>
          </w:tcPr>
          <w:p w14:paraId="48290578"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106.247</w:t>
            </w:r>
          </w:p>
        </w:tc>
      </w:tr>
      <w:tr w:rsidR="009316F8" w:rsidRPr="00C149AB" w14:paraId="29F72822"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shd w:val="clear" w:color="auto" w:fill="auto"/>
          </w:tcPr>
          <w:p w14:paraId="34AF63AE" w14:textId="77777777" w:rsidR="009316F8" w:rsidRPr="00C149AB" w:rsidRDefault="009316F8" w:rsidP="00FE289C">
            <w:pPr>
              <w:pStyle w:val="Normal-10pt-Table"/>
              <w:spacing w:line="360" w:lineRule="auto"/>
              <w:jc w:val="both"/>
              <w:rPr>
                <w:rFonts w:ascii="Arial" w:hAnsi="Arial" w:cs="Arial"/>
                <w:b w:val="0"/>
                <w:bCs w:val="0"/>
                <w:sz w:val="18"/>
                <w:szCs w:val="20"/>
                <w:lang w:val="sq-AL"/>
              </w:rPr>
            </w:pPr>
          </w:p>
        </w:tc>
        <w:tc>
          <w:tcPr>
            <w:tcW w:w="577" w:type="pct"/>
            <w:shd w:val="clear" w:color="auto" w:fill="auto"/>
            <w:vAlign w:val="bottom"/>
          </w:tcPr>
          <w:p w14:paraId="478FCC73" w14:textId="36C38863" w:rsidR="009316F8" w:rsidRPr="00C149AB" w:rsidRDefault="00B40E8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rPr>
            </w:pPr>
            <w:r w:rsidRPr="00C149AB">
              <w:rPr>
                <w:rFonts w:ascii="Arial" w:hAnsi="Arial" w:cs="Arial"/>
                <w:sz w:val="18"/>
                <w:szCs w:val="20"/>
              </w:rPr>
              <w:t>2029</w:t>
            </w:r>
          </w:p>
        </w:tc>
        <w:tc>
          <w:tcPr>
            <w:tcW w:w="889" w:type="pct"/>
            <w:shd w:val="clear" w:color="auto" w:fill="auto"/>
            <w:vAlign w:val="center"/>
          </w:tcPr>
          <w:p w14:paraId="72A32121"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102.200</w:t>
            </w:r>
          </w:p>
        </w:tc>
        <w:tc>
          <w:tcPr>
            <w:tcW w:w="1014" w:type="pct"/>
            <w:shd w:val="clear" w:color="auto" w:fill="auto"/>
            <w:vAlign w:val="center"/>
          </w:tcPr>
          <w:p w14:paraId="773AE885"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96.676</w:t>
            </w:r>
          </w:p>
        </w:tc>
      </w:tr>
      <w:tr w:rsidR="009316F8" w:rsidRPr="00C149AB" w14:paraId="5097C377"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shd w:val="clear" w:color="auto" w:fill="auto"/>
          </w:tcPr>
          <w:p w14:paraId="09CB76E6" w14:textId="77777777" w:rsidR="009316F8" w:rsidRPr="00C149AB" w:rsidRDefault="009316F8" w:rsidP="00FE289C">
            <w:pPr>
              <w:pStyle w:val="Normal-10pt-Table"/>
              <w:spacing w:line="360" w:lineRule="auto"/>
              <w:jc w:val="both"/>
              <w:rPr>
                <w:rFonts w:ascii="Arial" w:hAnsi="Arial" w:cs="Arial"/>
                <w:b w:val="0"/>
                <w:bCs w:val="0"/>
                <w:sz w:val="18"/>
                <w:szCs w:val="20"/>
                <w:lang w:val="sq-AL"/>
              </w:rPr>
            </w:pPr>
          </w:p>
        </w:tc>
        <w:tc>
          <w:tcPr>
            <w:tcW w:w="577" w:type="pct"/>
            <w:shd w:val="clear" w:color="auto" w:fill="auto"/>
            <w:vAlign w:val="bottom"/>
          </w:tcPr>
          <w:p w14:paraId="5D9D0129"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2029</w:t>
            </w:r>
          </w:p>
        </w:tc>
        <w:tc>
          <w:tcPr>
            <w:tcW w:w="889" w:type="pct"/>
            <w:shd w:val="clear" w:color="auto" w:fill="auto"/>
            <w:vAlign w:val="center"/>
          </w:tcPr>
          <w:p w14:paraId="6B427728"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73.000</w:t>
            </w:r>
          </w:p>
        </w:tc>
        <w:tc>
          <w:tcPr>
            <w:tcW w:w="1014" w:type="pct"/>
            <w:shd w:val="clear" w:color="auto" w:fill="auto"/>
            <w:vAlign w:val="center"/>
          </w:tcPr>
          <w:p w14:paraId="6FE21DA2"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69.463</w:t>
            </w:r>
          </w:p>
        </w:tc>
      </w:tr>
      <w:tr w:rsidR="009316F8" w:rsidRPr="00C149AB" w14:paraId="71BAC90D"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val="restart"/>
            <w:shd w:val="clear" w:color="auto" w:fill="auto"/>
          </w:tcPr>
          <w:p w14:paraId="6932908F" w14:textId="10D0C377" w:rsidR="009316F8" w:rsidRPr="00C149AB" w:rsidRDefault="008E6AFC" w:rsidP="00FE289C">
            <w:pPr>
              <w:pStyle w:val="Normal-10pt-Table"/>
              <w:spacing w:line="360" w:lineRule="auto"/>
              <w:jc w:val="both"/>
              <w:rPr>
                <w:rFonts w:ascii="Arial" w:hAnsi="Arial" w:cs="Arial"/>
                <w:sz w:val="18"/>
                <w:szCs w:val="20"/>
                <w:lang w:val="sq-AL"/>
              </w:rPr>
            </w:pPr>
            <w:r>
              <w:rPr>
                <w:rFonts w:ascii="Arial" w:hAnsi="Arial" w:cs="Arial"/>
                <w:sz w:val="18"/>
                <w:szCs w:val="20"/>
                <w:lang w:val="sq-AL"/>
              </w:rPr>
              <w:t>Obrada</w:t>
            </w:r>
            <w:r w:rsidRPr="00C149AB">
              <w:rPr>
                <w:rFonts w:ascii="Arial" w:hAnsi="Arial" w:cs="Arial"/>
                <w:sz w:val="18"/>
                <w:szCs w:val="20"/>
                <w:lang w:val="sq-AL"/>
              </w:rPr>
              <w:t xml:space="preserve"> </w:t>
            </w:r>
            <w:r w:rsidR="009316F8" w:rsidRPr="00C149AB">
              <w:rPr>
                <w:rFonts w:ascii="Arial" w:hAnsi="Arial" w:cs="Arial"/>
                <w:sz w:val="18"/>
                <w:szCs w:val="20"/>
                <w:lang w:val="sq-AL"/>
              </w:rPr>
              <w:t>ostatka otpada</w:t>
            </w:r>
          </w:p>
        </w:tc>
        <w:tc>
          <w:tcPr>
            <w:tcW w:w="577" w:type="pct"/>
            <w:shd w:val="clear" w:color="auto" w:fill="auto"/>
            <w:vAlign w:val="bottom"/>
          </w:tcPr>
          <w:p w14:paraId="53E0A01B"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2025</w:t>
            </w:r>
          </w:p>
        </w:tc>
        <w:tc>
          <w:tcPr>
            <w:tcW w:w="889" w:type="pct"/>
            <w:shd w:val="clear" w:color="auto" w:fill="auto"/>
            <w:vAlign w:val="center"/>
          </w:tcPr>
          <w:p w14:paraId="6B6B03B2"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123.541</w:t>
            </w:r>
          </w:p>
        </w:tc>
        <w:tc>
          <w:tcPr>
            <w:tcW w:w="1014" w:type="pct"/>
            <w:shd w:val="clear" w:color="auto" w:fill="auto"/>
            <w:vAlign w:val="center"/>
          </w:tcPr>
          <w:p w14:paraId="0379C658"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169.558</w:t>
            </w:r>
          </w:p>
        </w:tc>
      </w:tr>
      <w:tr w:rsidR="009316F8" w:rsidRPr="00C149AB" w14:paraId="0076EE6F"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shd w:val="clear" w:color="auto" w:fill="auto"/>
            <w:vAlign w:val="center"/>
          </w:tcPr>
          <w:p w14:paraId="25BFE293" w14:textId="77777777" w:rsidR="009316F8" w:rsidRPr="00C149AB" w:rsidRDefault="009316F8" w:rsidP="00FE289C">
            <w:pPr>
              <w:pStyle w:val="Normal-10pt-Table"/>
              <w:spacing w:line="360" w:lineRule="auto"/>
              <w:jc w:val="both"/>
              <w:rPr>
                <w:rFonts w:ascii="Arial" w:hAnsi="Arial" w:cs="Arial"/>
                <w:sz w:val="18"/>
                <w:szCs w:val="20"/>
                <w:lang w:val="sq-AL"/>
              </w:rPr>
            </w:pPr>
          </w:p>
        </w:tc>
        <w:tc>
          <w:tcPr>
            <w:tcW w:w="577" w:type="pct"/>
            <w:shd w:val="clear" w:color="auto" w:fill="auto"/>
            <w:vAlign w:val="bottom"/>
          </w:tcPr>
          <w:p w14:paraId="4D63D5C7" w14:textId="4FFD3DAC" w:rsidR="009316F8" w:rsidRPr="00C149AB" w:rsidRDefault="00B40E8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rPr>
            </w:pPr>
            <w:r w:rsidRPr="00C149AB">
              <w:rPr>
                <w:rFonts w:ascii="Arial" w:hAnsi="Arial" w:cs="Arial"/>
                <w:sz w:val="18"/>
                <w:szCs w:val="20"/>
              </w:rPr>
              <w:t>2029</w:t>
            </w:r>
          </w:p>
        </w:tc>
        <w:tc>
          <w:tcPr>
            <w:tcW w:w="889" w:type="pct"/>
            <w:shd w:val="clear" w:color="auto" w:fill="auto"/>
            <w:vAlign w:val="center"/>
          </w:tcPr>
          <w:p w14:paraId="0A0D0BDD"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124.460</w:t>
            </w:r>
          </w:p>
        </w:tc>
        <w:tc>
          <w:tcPr>
            <w:tcW w:w="1014" w:type="pct"/>
            <w:shd w:val="clear" w:color="auto" w:fill="auto"/>
            <w:vAlign w:val="center"/>
          </w:tcPr>
          <w:p w14:paraId="318CC539"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20"/>
                <w:lang w:val="sq-AL"/>
              </w:rPr>
            </w:pPr>
            <w:r w:rsidRPr="00C149AB">
              <w:rPr>
                <w:rFonts w:ascii="Arial" w:hAnsi="Arial" w:cs="Arial"/>
                <w:sz w:val="18"/>
                <w:szCs w:val="20"/>
                <w:lang w:val="mk-MK"/>
              </w:rPr>
              <w:t>169.558</w:t>
            </w:r>
          </w:p>
        </w:tc>
      </w:tr>
      <w:tr w:rsidR="009316F8" w:rsidRPr="00C149AB" w14:paraId="1160F6AB" w14:textId="77777777" w:rsidTr="00FE289C">
        <w:trPr>
          <w:jc w:val="center"/>
        </w:trPr>
        <w:tc>
          <w:tcPr>
            <w:cnfStyle w:val="001000000000" w:firstRow="0" w:lastRow="0" w:firstColumn="1" w:lastColumn="0" w:oddVBand="0" w:evenVBand="0" w:oddHBand="0" w:evenHBand="0" w:firstRowFirstColumn="0" w:firstRowLastColumn="0" w:lastRowFirstColumn="0" w:lastRowLastColumn="0"/>
            <w:tcW w:w="2520" w:type="pct"/>
            <w:vMerge/>
            <w:shd w:val="clear" w:color="auto" w:fill="auto"/>
            <w:vAlign w:val="center"/>
          </w:tcPr>
          <w:p w14:paraId="6DA5B9D1" w14:textId="77777777" w:rsidR="009316F8" w:rsidRPr="00C149AB" w:rsidRDefault="009316F8" w:rsidP="00FE289C">
            <w:pPr>
              <w:pStyle w:val="Normal-10pt-Table"/>
              <w:spacing w:line="360" w:lineRule="auto"/>
              <w:jc w:val="both"/>
              <w:rPr>
                <w:rFonts w:ascii="Arial" w:hAnsi="Arial" w:cs="Arial"/>
                <w:b w:val="0"/>
                <w:bCs w:val="0"/>
                <w:sz w:val="18"/>
                <w:szCs w:val="20"/>
                <w:lang w:val="sq-AL"/>
              </w:rPr>
            </w:pPr>
          </w:p>
        </w:tc>
        <w:tc>
          <w:tcPr>
            <w:tcW w:w="577" w:type="pct"/>
            <w:shd w:val="clear" w:color="auto" w:fill="auto"/>
            <w:vAlign w:val="bottom"/>
          </w:tcPr>
          <w:p w14:paraId="09D66830"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2029</w:t>
            </w:r>
          </w:p>
        </w:tc>
        <w:tc>
          <w:tcPr>
            <w:tcW w:w="889" w:type="pct"/>
            <w:shd w:val="clear" w:color="auto" w:fill="auto"/>
            <w:vAlign w:val="center"/>
          </w:tcPr>
          <w:p w14:paraId="0167AF9D"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169.558</w:t>
            </w:r>
          </w:p>
        </w:tc>
        <w:tc>
          <w:tcPr>
            <w:tcW w:w="1014" w:type="pct"/>
            <w:shd w:val="clear" w:color="auto" w:fill="auto"/>
            <w:vAlign w:val="center"/>
          </w:tcPr>
          <w:p w14:paraId="01C8DA07" w14:textId="77777777" w:rsidR="009316F8" w:rsidRPr="00C149AB" w:rsidRDefault="009316F8" w:rsidP="00FE289C">
            <w:pPr>
              <w:pStyle w:val="Normal-10pt-Table"/>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20"/>
                <w:lang w:val="sq-AL"/>
              </w:rPr>
            </w:pPr>
            <w:r w:rsidRPr="00C149AB">
              <w:rPr>
                <w:rFonts w:ascii="Arial" w:hAnsi="Arial" w:cs="Arial"/>
                <w:sz w:val="18"/>
                <w:szCs w:val="20"/>
                <w:lang w:val="mk-MK"/>
              </w:rPr>
              <w:t>169.558</w:t>
            </w:r>
          </w:p>
        </w:tc>
      </w:tr>
    </w:tbl>
    <w:p w14:paraId="6F220E2A" w14:textId="77777777" w:rsidR="009316F8" w:rsidRPr="002A6F4E" w:rsidRDefault="009316F8" w:rsidP="009316F8">
      <w:pPr>
        <w:spacing w:before="120" w:after="120" w:line="360" w:lineRule="auto"/>
        <w:rPr>
          <w:rFonts w:ascii="Arial" w:hAnsi="Arial" w:cs="Arial"/>
          <w:lang w:val="sq-AL" w:eastAsia="pl-PL"/>
        </w:rPr>
      </w:pPr>
    </w:p>
    <w:p w14:paraId="08865028" w14:textId="61977FFC" w:rsidR="009316F8" w:rsidRPr="002A6F4E" w:rsidRDefault="009751D2" w:rsidP="00F57909">
      <w:pPr>
        <w:pStyle w:val="Heading2"/>
      </w:pPr>
      <w:bookmarkStart w:id="1254" w:name="_Toc189759725"/>
      <w:bookmarkStart w:id="1255" w:name="_Toc193354051"/>
      <w:r>
        <w:lastRenderedPageBreak/>
        <w:t>5.40</w:t>
      </w:r>
      <w:r w:rsidR="00620A47">
        <w:t xml:space="preserve">. </w:t>
      </w:r>
      <w:r w:rsidR="009316F8" w:rsidRPr="002A6F4E">
        <w:t>Uloge i odgovornosti</w:t>
      </w:r>
      <w:bookmarkEnd w:id="1254"/>
      <w:bookmarkEnd w:id="1255"/>
    </w:p>
    <w:p w14:paraId="23BDBB6A" w14:textId="18F15EDA" w:rsidR="009316F8" w:rsidRPr="002A6F4E" w:rsidRDefault="009316F8" w:rsidP="009316F8">
      <w:pPr>
        <w:spacing w:before="120" w:after="120" w:line="360" w:lineRule="auto"/>
        <w:rPr>
          <w:rFonts w:ascii="Arial" w:hAnsi="Arial" w:cs="Arial"/>
          <w:lang w:val="sq-AL" w:eastAsia="pl-PL"/>
        </w:rPr>
      </w:pPr>
      <w:r w:rsidRPr="002A6F4E">
        <w:rPr>
          <w:rFonts w:ascii="Arial" w:hAnsi="Arial" w:cs="Arial"/>
          <w:lang w:val="sq-AL"/>
        </w:rPr>
        <w:t>MERS</w:t>
      </w:r>
      <w:r w:rsidR="000B199B">
        <w:rPr>
          <w:rFonts w:ascii="Arial" w:hAnsi="Arial" w:cs="Arial"/>
          <w:lang w:val="sq-AL" w:eastAsia="pl-PL"/>
        </w:rPr>
        <w:t xml:space="preserve"> </w:t>
      </w:r>
      <w:r w:rsidRPr="002A6F4E">
        <w:rPr>
          <w:rFonts w:ascii="Arial" w:hAnsi="Arial" w:cs="Arial"/>
          <w:lang w:val="sq-AL" w:eastAsia="pl-PL"/>
        </w:rPr>
        <w:t>je odgovor</w:t>
      </w:r>
      <w:r w:rsidR="000B199B">
        <w:rPr>
          <w:rFonts w:ascii="Arial" w:hAnsi="Arial" w:cs="Arial"/>
          <w:lang w:val="sq-AL" w:eastAsia="pl-PL"/>
        </w:rPr>
        <w:t>an</w:t>
      </w:r>
      <w:r w:rsidRPr="002A6F4E">
        <w:rPr>
          <w:rFonts w:ascii="Arial" w:hAnsi="Arial" w:cs="Arial"/>
          <w:lang w:val="sq-AL" w:eastAsia="pl-PL"/>
        </w:rPr>
        <w:t xml:space="preserve"> za implementaciju DPUO</w:t>
      </w:r>
      <w:r w:rsidR="008E6AFC">
        <w:rPr>
          <w:rFonts w:ascii="Arial" w:hAnsi="Arial" w:cs="Arial"/>
          <w:lang w:val="sq-AL" w:eastAsia="pl-PL"/>
        </w:rPr>
        <w:t>, a</w:t>
      </w:r>
      <w:r w:rsidR="007371CF">
        <w:rPr>
          <w:rFonts w:ascii="Arial" w:hAnsi="Arial" w:cs="Arial"/>
          <w:lang w:val="sq-AL" w:eastAsia="pl-PL"/>
        </w:rPr>
        <w:t xml:space="preserve"> </w:t>
      </w:r>
      <w:r w:rsidR="008E6AFC">
        <w:rPr>
          <w:rFonts w:ascii="Arial" w:hAnsi="Arial" w:cs="Arial"/>
          <w:lang w:val="sq-AL" w:eastAsia="pl-PL"/>
        </w:rPr>
        <w:t>o</w:t>
      </w:r>
      <w:r w:rsidR="008E6AFC" w:rsidRPr="002A6F4E">
        <w:rPr>
          <w:rFonts w:ascii="Arial" w:hAnsi="Arial" w:cs="Arial"/>
          <w:lang w:val="sq-AL" w:eastAsia="pl-PL"/>
        </w:rPr>
        <w:t xml:space="preserve">dgovornosti za usluge komunalnog otpada podijeljene su između </w:t>
      </w:r>
      <w:r w:rsidR="008E6AFC">
        <w:rPr>
          <w:rFonts w:ascii="Arial" w:hAnsi="Arial" w:cs="Arial"/>
          <w:lang w:val="sq-AL" w:eastAsia="pl-PL"/>
        </w:rPr>
        <w:t>V</w:t>
      </w:r>
      <w:r w:rsidR="008E6AFC" w:rsidRPr="002A6F4E">
        <w:rPr>
          <w:rFonts w:ascii="Arial" w:hAnsi="Arial" w:cs="Arial"/>
          <w:lang w:val="sq-AL" w:eastAsia="pl-PL"/>
        </w:rPr>
        <w:t>lade i lokalne samouprave.</w:t>
      </w:r>
    </w:p>
    <w:p w14:paraId="40CBA3C8" w14:textId="0885A398" w:rsidR="009316F8" w:rsidRPr="002A6F4E" w:rsidRDefault="009316F8" w:rsidP="009316F8">
      <w:pPr>
        <w:spacing w:before="120" w:after="120" w:line="360" w:lineRule="auto"/>
        <w:rPr>
          <w:rFonts w:ascii="Arial" w:hAnsi="Arial" w:cs="Arial"/>
          <w:lang w:val="sq-AL" w:eastAsia="pl-PL"/>
        </w:rPr>
      </w:pPr>
      <w:r w:rsidRPr="002A6F4E">
        <w:rPr>
          <w:rFonts w:ascii="Arial" w:hAnsi="Arial" w:cs="Arial"/>
          <w:lang w:val="sq-AL" w:eastAsia="pl-PL"/>
        </w:rPr>
        <w:t xml:space="preserve">Prema </w:t>
      </w:r>
      <w:r w:rsidRPr="002A6F4E">
        <w:rPr>
          <w:rFonts w:ascii="Arial" w:hAnsi="Arial" w:cs="Arial"/>
          <w:iCs/>
          <w:lang w:val="sq-AL" w:eastAsia="pl-PL"/>
        </w:rPr>
        <w:t>Zakonu o upravljanju otpadom</w:t>
      </w:r>
      <w:r w:rsidRPr="002A6F4E">
        <w:rPr>
          <w:rFonts w:ascii="Arial" w:hAnsi="Arial" w:cs="Arial"/>
          <w:lang w:val="sq-AL" w:eastAsia="pl-PL"/>
        </w:rPr>
        <w:t xml:space="preserve"> inspekcijski nadzor komunalnog i neopasnog građevinskog otpada vrše </w:t>
      </w:r>
      <w:r w:rsidR="00B167CC">
        <w:rPr>
          <w:rFonts w:ascii="Arial" w:hAnsi="Arial" w:cs="Arial"/>
          <w:lang w:val="sq-AL" w:eastAsia="pl-PL"/>
        </w:rPr>
        <w:t>komunalni</w:t>
      </w:r>
      <w:r w:rsidRPr="002A6F4E">
        <w:rPr>
          <w:rFonts w:ascii="Arial" w:hAnsi="Arial" w:cs="Arial"/>
          <w:lang w:val="sq-AL" w:eastAsia="pl-PL"/>
        </w:rPr>
        <w:t xml:space="preserve"> inspektori. Ekološki inspektori obavljaju poslove inspekcijskog nadzora koji se vrše na lokaciji deponije ili privremenog skladišta ili drugog postrojenja u kome se vrši prerada i/ili </w:t>
      </w:r>
      <w:r w:rsidR="009616FA">
        <w:rPr>
          <w:rFonts w:ascii="Arial" w:hAnsi="Arial" w:cs="Arial"/>
          <w:lang w:val="sq-AL" w:eastAsia="pl-PL"/>
        </w:rPr>
        <w:t>odstranjivanje</w:t>
      </w:r>
      <w:r w:rsidR="009616FA" w:rsidRPr="002A6F4E">
        <w:rPr>
          <w:rFonts w:ascii="Arial" w:hAnsi="Arial" w:cs="Arial"/>
          <w:lang w:val="sq-AL" w:eastAsia="pl-PL"/>
        </w:rPr>
        <w:t xml:space="preserve"> </w:t>
      </w:r>
      <w:r w:rsidRPr="002A6F4E">
        <w:rPr>
          <w:rFonts w:ascii="Arial" w:hAnsi="Arial" w:cs="Arial"/>
          <w:lang w:val="sq-AL" w:eastAsia="pl-PL"/>
        </w:rPr>
        <w:t>komunalnog i građevinskog otpada za dvije ili više opština. Poslove inspekcijskog nadzora za odlaganje otpada u zoni putnog pojasa vrši saobraćajni inspektor</w:t>
      </w:r>
      <w:bookmarkStart w:id="1256" w:name="_Toc121759092"/>
      <w:r w:rsidRPr="002A6F4E">
        <w:rPr>
          <w:rFonts w:ascii="Arial" w:hAnsi="Arial" w:cs="Arial"/>
          <w:lang w:val="sq-AL" w:eastAsia="pl-PL"/>
        </w:rPr>
        <w:t xml:space="preserve">. </w:t>
      </w:r>
    </w:p>
    <w:p w14:paraId="5F56F410" w14:textId="6DF2B759" w:rsidR="009316F8" w:rsidRPr="001A0113" w:rsidRDefault="009751D2" w:rsidP="007378E8">
      <w:pPr>
        <w:pStyle w:val="Heading3"/>
        <w:rPr>
          <w:lang w:val="sq-AL"/>
        </w:rPr>
      </w:pPr>
      <w:bookmarkStart w:id="1257" w:name="_Toc121759094"/>
      <w:bookmarkStart w:id="1258" w:name="_Toc189759726"/>
      <w:bookmarkStart w:id="1259" w:name="_Toc193354052"/>
      <w:bookmarkEnd w:id="1256"/>
      <w:r>
        <w:rPr>
          <w:lang w:val="sq-AL"/>
        </w:rPr>
        <w:t>5.40</w:t>
      </w:r>
      <w:r w:rsidR="003D1C94" w:rsidRPr="001A0113">
        <w:rPr>
          <w:lang w:val="sq-AL"/>
        </w:rPr>
        <w:t>.</w:t>
      </w:r>
      <w:r w:rsidR="00267FAF" w:rsidRPr="001A0113">
        <w:rPr>
          <w:lang w:val="sq-AL"/>
        </w:rPr>
        <w:t>1.</w:t>
      </w:r>
      <w:r w:rsidR="003D1C94" w:rsidRPr="001A0113">
        <w:rPr>
          <w:lang w:val="sq-AL"/>
        </w:rPr>
        <w:t xml:space="preserve"> </w:t>
      </w:r>
      <w:r w:rsidR="009316F8" w:rsidRPr="001A0113">
        <w:rPr>
          <w:lang w:val="sq-AL"/>
        </w:rPr>
        <w:t>Troškovi ulaganja</w:t>
      </w:r>
      <w:bookmarkEnd w:id="1257"/>
      <w:bookmarkEnd w:id="1258"/>
      <w:bookmarkEnd w:id="1259"/>
    </w:p>
    <w:p w14:paraId="1044F8E1" w14:textId="54080BF6" w:rsidR="00EE5DF4" w:rsidRPr="002A6F4E" w:rsidRDefault="009316F8" w:rsidP="009316F8">
      <w:pPr>
        <w:spacing w:before="120" w:after="120" w:line="360" w:lineRule="auto"/>
        <w:rPr>
          <w:rFonts w:ascii="Arial" w:hAnsi="Arial" w:cs="Arial"/>
          <w:lang w:val="sq-AL" w:eastAsia="pl-PL"/>
        </w:rPr>
      </w:pPr>
      <w:r w:rsidRPr="002A6F4E">
        <w:rPr>
          <w:rFonts w:ascii="Arial" w:hAnsi="Arial" w:cs="Arial"/>
          <w:lang w:val="sq-AL" w:eastAsia="pl-PL"/>
        </w:rPr>
        <w:t xml:space="preserve">Kao što je prikazano, pored objekata koji su već izgrađeni i operativni i onih koji su izgrađeni ali </w:t>
      </w:r>
      <w:r w:rsidR="00951F47">
        <w:rPr>
          <w:rFonts w:ascii="Arial" w:hAnsi="Arial" w:cs="Arial"/>
          <w:lang w:val="sq-AL" w:eastAsia="pl-PL"/>
        </w:rPr>
        <w:t>nijesu</w:t>
      </w:r>
      <w:r w:rsidRPr="002A6F4E">
        <w:rPr>
          <w:rFonts w:ascii="Arial" w:hAnsi="Arial" w:cs="Arial"/>
          <w:lang w:val="sq-AL" w:eastAsia="pl-PL"/>
        </w:rPr>
        <w:t xml:space="preserve"> u funkciji, predlažu se dodatne investicije, kako bi se zaokružio budući sistem upravljanja otpadom i ispunili navedeni ciljevi u DPUO. </w:t>
      </w:r>
    </w:p>
    <w:p w14:paraId="5CFC4456" w14:textId="38FC5350" w:rsidR="009316F8" w:rsidRPr="00C149AB" w:rsidRDefault="009316F8" w:rsidP="009316F8">
      <w:pPr>
        <w:pStyle w:val="Caption"/>
        <w:rPr>
          <w:rFonts w:ascii="Arial" w:hAnsi="Arial" w:cs="Arial"/>
          <w:b w:val="0"/>
          <w:szCs w:val="20"/>
          <w:lang w:val="sq-AL"/>
        </w:rPr>
      </w:pPr>
      <w:bookmarkStart w:id="1260" w:name="_Toc189515689"/>
      <w:bookmarkStart w:id="1261" w:name="_Toc190160800"/>
      <w:r w:rsidRPr="00C149AB">
        <w:rPr>
          <w:rFonts w:ascii="Arial" w:hAnsi="Arial" w:cs="Arial"/>
          <w:b w:val="0"/>
          <w:szCs w:val="20"/>
          <w:lang w:val="sq-AL"/>
        </w:rPr>
        <w:t xml:space="preserve">Tabela </w:t>
      </w:r>
      <w:r w:rsidRPr="00C149AB">
        <w:rPr>
          <w:rFonts w:ascii="Arial" w:hAnsi="Arial" w:cs="Arial"/>
          <w:b w:val="0"/>
          <w:szCs w:val="20"/>
        </w:rPr>
        <w:fldChar w:fldCharType="begin"/>
      </w:r>
      <w:r w:rsidRPr="00C149AB">
        <w:rPr>
          <w:rFonts w:ascii="Arial" w:hAnsi="Arial" w:cs="Arial"/>
          <w:b w:val="0"/>
          <w:szCs w:val="20"/>
          <w:lang w:val="sq-AL"/>
        </w:rPr>
        <w:instrText xml:space="preserve"> SEQ Tabela \* ARABIC </w:instrText>
      </w:r>
      <w:r w:rsidRPr="00C149AB">
        <w:rPr>
          <w:rFonts w:ascii="Arial" w:hAnsi="Arial" w:cs="Arial"/>
          <w:b w:val="0"/>
          <w:szCs w:val="20"/>
        </w:rPr>
        <w:fldChar w:fldCharType="separate"/>
      </w:r>
      <w:r w:rsidR="007274DA">
        <w:rPr>
          <w:rFonts w:ascii="Arial" w:hAnsi="Arial" w:cs="Arial"/>
          <w:b w:val="0"/>
          <w:noProof/>
          <w:szCs w:val="20"/>
          <w:lang w:val="sq-AL"/>
        </w:rPr>
        <w:t>105</w:t>
      </w:r>
      <w:r w:rsidRPr="00C149AB">
        <w:rPr>
          <w:rFonts w:ascii="Arial" w:hAnsi="Arial" w:cs="Arial"/>
          <w:b w:val="0"/>
          <w:szCs w:val="20"/>
        </w:rPr>
        <w:fldChar w:fldCharType="end"/>
      </w:r>
      <w:r w:rsidRPr="00C149AB">
        <w:rPr>
          <w:rFonts w:ascii="Arial" w:hAnsi="Arial" w:cs="Arial"/>
          <w:b w:val="0"/>
          <w:szCs w:val="20"/>
          <w:lang w:val="sq-AL"/>
        </w:rPr>
        <w:t xml:space="preserve"> </w:t>
      </w:r>
      <w:r w:rsidR="00F15778" w:rsidRPr="00C149AB">
        <w:rPr>
          <w:rFonts w:ascii="Arial" w:hAnsi="Arial" w:cs="Arial"/>
          <w:b w:val="0"/>
          <w:szCs w:val="20"/>
          <w:lang w:val="sq-AL"/>
        </w:rPr>
        <w:t>Procjene i</w:t>
      </w:r>
      <w:r w:rsidRPr="00C149AB">
        <w:rPr>
          <w:rFonts w:ascii="Arial" w:hAnsi="Arial" w:cs="Arial"/>
          <w:b w:val="0"/>
          <w:szCs w:val="20"/>
          <w:lang w:val="sq-AL"/>
        </w:rPr>
        <w:t>nvesticioni</w:t>
      </w:r>
      <w:r w:rsidR="00F15778" w:rsidRPr="00C149AB">
        <w:rPr>
          <w:rFonts w:ascii="Arial" w:hAnsi="Arial" w:cs="Arial"/>
          <w:b w:val="0"/>
          <w:szCs w:val="20"/>
          <w:lang w:val="sq-AL"/>
        </w:rPr>
        <w:t>h</w:t>
      </w:r>
      <w:r w:rsidRPr="00C149AB">
        <w:rPr>
          <w:rFonts w:ascii="Arial" w:hAnsi="Arial" w:cs="Arial"/>
          <w:b w:val="0"/>
          <w:szCs w:val="20"/>
          <w:lang w:val="sq-AL"/>
        </w:rPr>
        <w:t xml:space="preserve"> troškov</w:t>
      </w:r>
      <w:r w:rsidR="00F15778" w:rsidRPr="00C149AB">
        <w:rPr>
          <w:rFonts w:ascii="Arial" w:hAnsi="Arial" w:cs="Arial"/>
          <w:b w:val="0"/>
          <w:szCs w:val="20"/>
          <w:lang w:val="sq-AL"/>
        </w:rPr>
        <w:t>a</w:t>
      </w:r>
      <w:r w:rsidRPr="00C149AB">
        <w:rPr>
          <w:rFonts w:ascii="Arial" w:hAnsi="Arial" w:cs="Arial"/>
          <w:b w:val="0"/>
          <w:szCs w:val="20"/>
          <w:lang w:val="sq-AL"/>
        </w:rPr>
        <w:t xml:space="preserve"> predložene infrastrukture za upravljanje otpadom (cijene u EUR – 2022.</w:t>
      </w:r>
      <w:r w:rsidR="008812F2" w:rsidRPr="00C149AB">
        <w:rPr>
          <w:rFonts w:ascii="Arial" w:hAnsi="Arial" w:cs="Arial"/>
          <w:b w:val="0"/>
          <w:szCs w:val="20"/>
          <w:lang w:val="sq-AL"/>
        </w:rPr>
        <w:t xml:space="preserve"> godina</w:t>
      </w:r>
      <w:r w:rsidRPr="00C149AB">
        <w:rPr>
          <w:rFonts w:ascii="Arial" w:hAnsi="Arial" w:cs="Arial"/>
          <w:b w:val="0"/>
          <w:szCs w:val="20"/>
          <w:lang w:val="sq-AL"/>
        </w:rPr>
        <w:t>)</w:t>
      </w:r>
      <w:bookmarkEnd w:id="1260"/>
      <w:bookmarkEnd w:id="1261"/>
    </w:p>
    <w:tbl>
      <w:tblPr>
        <w:tblW w:w="5225" w:type="dxa"/>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4A0" w:firstRow="1" w:lastRow="0" w:firstColumn="1" w:lastColumn="0" w:noHBand="0" w:noVBand="1"/>
      </w:tblPr>
      <w:tblGrid>
        <w:gridCol w:w="3209"/>
        <w:gridCol w:w="2016"/>
      </w:tblGrid>
      <w:tr w:rsidR="009316F8" w:rsidRPr="00C149AB" w14:paraId="4A292B1E" w14:textId="77777777" w:rsidTr="00FE289C">
        <w:trPr>
          <w:trHeight w:val="300"/>
          <w:tblHeader/>
          <w:jc w:val="center"/>
        </w:trPr>
        <w:tc>
          <w:tcPr>
            <w:tcW w:w="3209" w:type="dxa"/>
            <w:shd w:val="clear" w:color="auto" w:fill="F2F2F2" w:themeFill="background1" w:themeFillShade="F2"/>
            <w:vAlign w:val="center"/>
          </w:tcPr>
          <w:p w14:paraId="54D67979" w14:textId="066AF8C4" w:rsidR="009316F8" w:rsidRPr="00C149AB" w:rsidRDefault="006A060E" w:rsidP="00FE289C">
            <w:pPr>
              <w:spacing w:before="40" w:after="40" w:line="360" w:lineRule="auto"/>
              <w:rPr>
                <w:rFonts w:ascii="Arial" w:eastAsia="Times New Roman" w:hAnsi="Arial" w:cs="Arial"/>
                <w:b/>
                <w:bCs/>
                <w:color w:val="000000"/>
                <w:sz w:val="18"/>
                <w:lang w:val="sq-AL"/>
              </w:rPr>
            </w:pPr>
            <w:r w:rsidRPr="00C149AB">
              <w:rPr>
                <w:rFonts w:ascii="Arial" w:eastAsia="Times New Roman" w:hAnsi="Arial" w:cs="Arial"/>
                <w:b/>
                <w:bCs/>
                <w:sz w:val="18"/>
                <w:lang w:val="sq-AL" w:eastAsia="el-GR"/>
              </w:rPr>
              <w:t>I</w:t>
            </w:r>
            <w:r w:rsidR="009316F8" w:rsidRPr="00C149AB">
              <w:rPr>
                <w:rFonts w:ascii="Arial" w:eastAsia="Times New Roman" w:hAnsi="Arial" w:cs="Arial"/>
                <w:b/>
                <w:bCs/>
                <w:sz w:val="18"/>
                <w:lang w:val="sq-AL" w:eastAsia="el-GR"/>
              </w:rPr>
              <w:t>nfrastruktura upravljanja otpadom / oprema</w:t>
            </w:r>
          </w:p>
        </w:tc>
        <w:tc>
          <w:tcPr>
            <w:tcW w:w="2016" w:type="dxa"/>
            <w:shd w:val="clear" w:color="auto" w:fill="F2F2F2" w:themeFill="background1" w:themeFillShade="F2"/>
            <w:vAlign w:val="center"/>
          </w:tcPr>
          <w:p w14:paraId="42FEF5D1" w14:textId="77777777" w:rsidR="009316F8" w:rsidRPr="00C149AB" w:rsidRDefault="009316F8" w:rsidP="00FE289C">
            <w:pPr>
              <w:spacing w:before="40" w:after="40" w:line="360" w:lineRule="auto"/>
              <w:rPr>
                <w:rFonts w:ascii="Arial" w:eastAsia="Times New Roman" w:hAnsi="Arial" w:cs="Arial"/>
                <w:b/>
                <w:bCs/>
                <w:color w:val="000000"/>
                <w:sz w:val="18"/>
                <w:lang w:val="sq-AL"/>
              </w:rPr>
            </w:pPr>
          </w:p>
        </w:tc>
      </w:tr>
      <w:tr w:rsidR="009316F8" w:rsidRPr="00C149AB" w14:paraId="40F156F8" w14:textId="77777777" w:rsidTr="00FE289C">
        <w:trPr>
          <w:trHeight w:val="300"/>
          <w:jc w:val="center"/>
        </w:trPr>
        <w:tc>
          <w:tcPr>
            <w:tcW w:w="3209" w:type="dxa"/>
            <w:shd w:val="clear" w:color="auto" w:fill="70AD47" w:themeFill="accent6"/>
            <w:vAlign w:val="center"/>
          </w:tcPr>
          <w:p w14:paraId="2867EFB9"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eastAsia="Times New Roman" w:hAnsi="Arial" w:cs="Arial"/>
                <w:b/>
                <w:bCs/>
                <w:color w:val="000000"/>
                <w:sz w:val="18"/>
                <w:lang w:val="sq-AL"/>
              </w:rPr>
              <w:t>Oprema za sakupljanje otpada</w:t>
            </w:r>
          </w:p>
        </w:tc>
        <w:tc>
          <w:tcPr>
            <w:tcW w:w="2016" w:type="dxa"/>
            <w:shd w:val="clear" w:color="auto" w:fill="70AD47" w:themeFill="accent6"/>
            <w:vAlign w:val="center"/>
          </w:tcPr>
          <w:p w14:paraId="36644D2C" w14:textId="77777777" w:rsidR="009316F8" w:rsidRPr="00C149AB" w:rsidRDefault="009316F8" w:rsidP="00FE289C">
            <w:pPr>
              <w:spacing w:before="40" w:after="40" w:line="360" w:lineRule="auto"/>
              <w:rPr>
                <w:rFonts w:ascii="Arial" w:hAnsi="Arial" w:cs="Arial"/>
                <w:color w:val="000000"/>
                <w:sz w:val="18"/>
                <w:lang w:val="sq-AL"/>
              </w:rPr>
            </w:pPr>
            <w:r w:rsidRPr="00C149AB">
              <w:rPr>
                <w:rFonts w:ascii="Arial" w:hAnsi="Arial" w:cs="Arial"/>
                <w:b/>
                <w:bCs/>
                <w:color w:val="000000"/>
                <w:sz w:val="18"/>
              </w:rPr>
              <w:t>31.869.860</w:t>
            </w:r>
          </w:p>
        </w:tc>
      </w:tr>
      <w:tr w:rsidR="009316F8" w:rsidRPr="00C149AB" w14:paraId="3C4323FD" w14:textId="77777777" w:rsidTr="00FE289C">
        <w:trPr>
          <w:trHeight w:val="300"/>
          <w:jc w:val="center"/>
        </w:trPr>
        <w:tc>
          <w:tcPr>
            <w:tcW w:w="3209" w:type="dxa"/>
            <w:shd w:val="clear" w:color="auto" w:fill="auto"/>
            <w:vAlign w:val="center"/>
          </w:tcPr>
          <w:p w14:paraId="05A23499"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Centralni region</w:t>
            </w:r>
          </w:p>
        </w:tc>
        <w:tc>
          <w:tcPr>
            <w:tcW w:w="2016" w:type="dxa"/>
            <w:shd w:val="clear" w:color="auto" w:fill="auto"/>
            <w:vAlign w:val="center"/>
          </w:tcPr>
          <w:p w14:paraId="3AC89684" w14:textId="77777777" w:rsidR="009316F8" w:rsidRPr="00C149AB" w:rsidRDefault="009316F8" w:rsidP="00FE289C">
            <w:pPr>
              <w:spacing w:before="40" w:after="40" w:line="360" w:lineRule="auto"/>
              <w:rPr>
                <w:rFonts w:ascii="Arial" w:hAnsi="Arial" w:cs="Arial"/>
                <w:color w:val="000000"/>
                <w:sz w:val="18"/>
                <w:lang w:val="sq-AL"/>
              </w:rPr>
            </w:pPr>
            <w:r w:rsidRPr="00C149AB">
              <w:rPr>
                <w:rFonts w:ascii="Arial" w:hAnsi="Arial" w:cs="Arial"/>
                <w:color w:val="000000"/>
                <w:sz w:val="18"/>
              </w:rPr>
              <w:t>14.747.918</w:t>
            </w:r>
          </w:p>
        </w:tc>
      </w:tr>
      <w:tr w:rsidR="009316F8" w:rsidRPr="00C149AB" w14:paraId="6555FDFE" w14:textId="77777777" w:rsidTr="00FE289C">
        <w:trPr>
          <w:trHeight w:val="300"/>
          <w:jc w:val="center"/>
        </w:trPr>
        <w:tc>
          <w:tcPr>
            <w:tcW w:w="3209" w:type="dxa"/>
            <w:shd w:val="clear" w:color="auto" w:fill="auto"/>
            <w:vAlign w:val="center"/>
          </w:tcPr>
          <w:p w14:paraId="76C8792C"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Sjeverni region</w:t>
            </w:r>
          </w:p>
        </w:tc>
        <w:tc>
          <w:tcPr>
            <w:tcW w:w="2016" w:type="dxa"/>
            <w:shd w:val="clear" w:color="auto" w:fill="auto"/>
            <w:vAlign w:val="center"/>
          </w:tcPr>
          <w:p w14:paraId="03DD8C24" w14:textId="77777777" w:rsidR="009316F8" w:rsidRPr="00C149AB" w:rsidRDefault="009316F8" w:rsidP="00FE289C">
            <w:pPr>
              <w:spacing w:before="40" w:after="40" w:line="360" w:lineRule="auto"/>
              <w:rPr>
                <w:rFonts w:ascii="Arial" w:hAnsi="Arial" w:cs="Arial"/>
                <w:color w:val="000000"/>
                <w:sz w:val="18"/>
                <w:lang w:val="sq-AL"/>
              </w:rPr>
            </w:pPr>
            <w:r w:rsidRPr="00C149AB">
              <w:rPr>
                <w:rFonts w:ascii="Arial" w:hAnsi="Arial" w:cs="Arial"/>
                <w:color w:val="000000"/>
                <w:sz w:val="18"/>
              </w:rPr>
              <w:t>6.769.769</w:t>
            </w:r>
          </w:p>
        </w:tc>
      </w:tr>
      <w:tr w:rsidR="009316F8" w:rsidRPr="00C149AB" w14:paraId="50836BEC" w14:textId="77777777" w:rsidTr="00FE289C">
        <w:trPr>
          <w:trHeight w:val="300"/>
          <w:jc w:val="center"/>
        </w:trPr>
        <w:tc>
          <w:tcPr>
            <w:tcW w:w="3209" w:type="dxa"/>
            <w:shd w:val="clear" w:color="auto" w:fill="auto"/>
            <w:vAlign w:val="center"/>
          </w:tcPr>
          <w:p w14:paraId="2EFDECF7"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Primorski region</w:t>
            </w:r>
          </w:p>
        </w:tc>
        <w:tc>
          <w:tcPr>
            <w:tcW w:w="2016" w:type="dxa"/>
            <w:shd w:val="clear" w:color="auto" w:fill="auto"/>
            <w:vAlign w:val="center"/>
          </w:tcPr>
          <w:p w14:paraId="5E788497" w14:textId="77777777" w:rsidR="009316F8" w:rsidRPr="00C149AB" w:rsidRDefault="009316F8" w:rsidP="00FE289C">
            <w:pPr>
              <w:spacing w:before="40" w:after="40" w:line="360" w:lineRule="auto"/>
              <w:rPr>
                <w:rFonts w:ascii="Arial" w:hAnsi="Arial" w:cs="Arial"/>
                <w:color w:val="000000"/>
                <w:sz w:val="18"/>
                <w:lang w:val="sq-AL"/>
              </w:rPr>
            </w:pPr>
            <w:r w:rsidRPr="00C149AB">
              <w:rPr>
                <w:rFonts w:ascii="Arial" w:hAnsi="Arial" w:cs="Arial"/>
                <w:color w:val="000000"/>
                <w:sz w:val="18"/>
              </w:rPr>
              <w:t>10.352.174</w:t>
            </w:r>
          </w:p>
        </w:tc>
      </w:tr>
      <w:tr w:rsidR="009316F8" w:rsidRPr="00C149AB" w14:paraId="31E7DD93" w14:textId="77777777" w:rsidTr="00FE289C">
        <w:trPr>
          <w:trHeight w:val="300"/>
          <w:jc w:val="center"/>
        </w:trPr>
        <w:tc>
          <w:tcPr>
            <w:tcW w:w="3209" w:type="dxa"/>
            <w:shd w:val="clear" w:color="auto" w:fill="70AD47" w:themeFill="accent6"/>
            <w:vAlign w:val="center"/>
          </w:tcPr>
          <w:p w14:paraId="5CD0191F"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eastAsia="Times New Roman" w:hAnsi="Arial" w:cs="Arial"/>
                <w:b/>
                <w:bCs/>
                <w:color w:val="000000"/>
                <w:sz w:val="18"/>
                <w:lang w:val="sq-AL"/>
              </w:rPr>
              <w:t>Reciklažni centri</w:t>
            </w:r>
          </w:p>
        </w:tc>
        <w:tc>
          <w:tcPr>
            <w:tcW w:w="2016" w:type="dxa"/>
            <w:shd w:val="clear" w:color="auto" w:fill="70AD47" w:themeFill="accent6"/>
            <w:vAlign w:val="center"/>
          </w:tcPr>
          <w:p w14:paraId="366092AE"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hAnsi="Arial" w:cs="Arial"/>
                <w:b/>
                <w:color w:val="000000"/>
                <w:sz w:val="18"/>
              </w:rPr>
              <w:t>5.</w:t>
            </w:r>
            <w:r w:rsidRPr="00C149AB">
              <w:rPr>
                <w:rFonts w:ascii="Arial" w:hAnsi="Arial" w:cs="Arial"/>
                <w:b/>
                <w:bCs/>
                <w:color w:val="000000"/>
                <w:sz w:val="18"/>
              </w:rPr>
              <w:t>340</w:t>
            </w:r>
            <w:r w:rsidRPr="00C149AB">
              <w:rPr>
                <w:rFonts w:ascii="Arial" w:hAnsi="Arial" w:cs="Arial"/>
                <w:b/>
                <w:color w:val="000000"/>
                <w:sz w:val="18"/>
              </w:rPr>
              <w:t>.000</w:t>
            </w:r>
          </w:p>
        </w:tc>
      </w:tr>
      <w:tr w:rsidR="009316F8" w:rsidRPr="00C149AB" w14:paraId="6313B1E9" w14:textId="77777777" w:rsidTr="00FE289C">
        <w:trPr>
          <w:trHeight w:val="300"/>
          <w:jc w:val="center"/>
        </w:trPr>
        <w:tc>
          <w:tcPr>
            <w:tcW w:w="3209" w:type="dxa"/>
            <w:shd w:val="clear" w:color="auto" w:fill="auto"/>
            <w:vAlign w:val="center"/>
          </w:tcPr>
          <w:p w14:paraId="272C2B5E"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Centralni region</w:t>
            </w:r>
          </w:p>
        </w:tc>
        <w:tc>
          <w:tcPr>
            <w:tcW w:w="2016" w:type="dxa"/>
            <w:shd w:val="clear" w:color="auto" w:fill="auto"/>
            <w:vAlign w:val="center"/>
          </w:tcPr>
          <w:p w14:paraId="64887C41"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960.000</w:t>
            </w:r>
          </w:p>
        </w:tc>
      </w:tr>
      <w:tr w:rsidR="009316F8" w:rsidRPr="00C149AB" w14:paraId="42668400" w14:textId="77777777" w:rsidTr="00FE289C">
        <w:trPr>
          <w:trHeight w:val="300"/>
          <w:jc w:val="center"/>
        </w:trPr>
        <w:tc>
          <w:tcPr>
            <w:tcW w:w="3209" w:type="dxa"/>
            <w:shd w:val="clear" w:color="auto" w:fill="auto"/>
            <w:vAlign w:val="center"/>
          </w:tcPr>
          <w:p w14:paraId="059D31DB"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Sjeverni region</w:t>
            </w:r>
          </w:p>
        </w:tc>
        <w:tc>
          <w:tcPr>
            <w:tcW w:w="2016" w:type="dxa"/>
            <w:shd w:val="clear" w:color="auto" w:fill="auto"/>
            <w:vAlign w:val="center"/>
          </w:tcPr>
          <w:p w14:paraId="7A8E5BD9"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2.880.000</w:t>
            </w:r>
          </w:p>
        </w:tc>
      </w:tr>
      <w:tr w:rsidR="009316F8" w:rsidRPr="00C149AB" w14:paraId="61BB8646" w14:textId="77777777" w:rsidTr="00FE289C">
        <w:trPr>
          <w:trHeight w:val="300"/>
          <w:jc w:val="center"/>
        </w:trPr>
        <w:tc>
          <w:tcPr>
            <w:tcW w:w="3209" w:type="dxa"/>
            <w:shd w:val="clear" w:color="auto" w:fill="auto"/>
            <w:vAlign w:val="center"/>
          </w:tcPr>
          <w:p w14:paraId="71E2CAB0"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Primorski region</w:t>
            </w:r>
          </w:p>
        </w:tc>
        <w:tc>
          <w:tcPr>
            <w:tcW w:w="2016" w:type="dxa"/>
            <w:shd w:val="clear" w:color="auto" w:fill="auto"/>
            <w:vAlign w:val="center"/>
          </w:tcPr>
          <w:p w14:paraId="2486C836"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1.500.000</w:t>
            </w:r>
          </w:p>
        </w:tc>
      </w:tr>
      <w:tr w:rsidR="009316F8" w:rsidRPr="00C149AB" w14:paraId="79D96F0C" w14:textId="77777777" w:rsidTr="00FE289C">
        <w:trPr>
          <w:trHeight w:val="300"/>
          <w:jc w:val="center"/>
        </w:trPr>
        <w:tc>
          <w:tcPr>
            <w:tcW w:w="3209" w:type="dxa"/>
            <w:shd w:val="clear" w:color="auto" w:fill="F79646"/>
            <w:vAlign w:val="center"/>
          </w:tcPr>
          <w:p w14:paraId="721B1048"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b/>
                <w:bCs/>
                <w:color w:val="000000"/>
                <w:sz w:val="18"/>
                <w:lang w:val="sq-AL"/>
              </w:rPr>
              <w:t>Transfer  stanice</w:t>
            </w:r>
          </w:p>
        </w:tc>
        <w:tc>
          <w:tcPr>
            <w:tcW w:w="2016" w:type="dxa"/>
            <w:shd w:val="clear" w:color="auto" w:fill="F79646"/>
            <w:vAlign w:val="center"/>
          </w:tcPr>
          <w:p w14:paraId="134C86BB"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b/>
                <w:color w:val="000000"/>
                <w:sz w:val="18"/>
              </w:rPr>
              <w:t>6.</w:t>
            </w:r>
            <w:r w:rsidRPr="00C149AB">
              <w:rPr>
                <w:rFonts w:ascii="Arial" w:hAnsi="Arial" w:cs="Arial"/>
                <w:b/>
                <w:bCs/>
                <w:color w:val="000000"/>
                <w:sz w:val="18"/>
              </w:rPr>
              <w:t>205.000</w:t>
            </w:r>
          </w:p>
        </w:tc>
      </w:tr>
      <w:tr w:rsidR="009316F8" w:rsidRPr="00C149AB" w14:paraId="08293D56" w14:textId="77777777" w:rsidTr="00FE289C">
        <w:trPr>
          <w:trHeight w:val="300"/>
          <w:jc w:val="center"/>
        </w:trPr>
        <w:tc>
          <w:tcPr>
            <w:tcW w:w="3209" w:type="dxa"/>
            <w:shd w:val="clear" w:color="auto" w:fill="auto"/>
            <w:vAlign w:val="center"/>
          </w:tcPr>
          <w:p w14:paraId="25862BA1"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Centralni region</w:t>
            </w:r>
          </w:p>
        </w:tc>
        <w:tc>
          <w:tcPr>
            <w:tcW w:w="2016" w:type="dxa"/>
            <w:shd w:val="clear" w:color="auto" w:fill="auto"/>
            <w:vAlign w:val="center"/>
          </w:tcPr>
          <w:p w14:paraId="2744742A"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2.355.000</w:t>
            </w:r>
          </w:p>
        </w:tc>
      </w:tr>
      <w:tr w:rsidR="009316F8" w:rsidRPr="00C149AB" w14:paraId="25E50142" w14:textId="77777777" w:rsidTr="00FE289C">
        <w:trPr>
          <w:trHeight w:val="300"/>
          <w:jc w:val="center"/>
        </w:trPr>
        <w:tc>
          <w:tcPr>
            <w:tcW w:w="3209" w:type="dxa"/>
            <w:shd w:val="clear" w:color="auto" w:fill="auto"/>
            <w:vAlign w:val="center"/>
          </w:tcPr>
          <w:p w14:paraId="3122CA0F"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Sjeverni region</w:t>
            </w:r>
          </w:p>
        </w:tc>
        <w:tc>
          <w:tcPr>
            <w:tcW w:w="2016" w:type="dxa"/>
            <w:shd w:val="clear" w:color="auto" w:fill="auto"/>
            <w:vAlign w:val="center"/>
          </w:tcPr>
          <w:p w14:paraId="1EAE75AC"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1.846.000</w:t>
            </w:r>
          </w:p>
        </w:tc>
      </w:tr>
      <w:tr w:rsidR="009316F8" w:rsidRPr="00C149AB" w14:paraId="6D82A36F" w14:textId="77777777" w:rsidTr="00FE289C">
        <w:trPr>
          <w:trHeight w:val="300"/>
          <w:jc w:val="center"/>
        </w:trPr>
        <w:tc>
          <w:tcPr>
            <w:tcW w:w="3209" w:type="dxa"/>
            <w:shd w:val="clear" w:color="auto" w:fill="auto"/>
            <w:vAlign w:val="center"/>
          </w:tcPr>
          <w:p w14:paraId="5D6DF62D"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Primorski region</w:t>
            </w:r>
          </w:p>
        </w:tc>
        <w:tc>
          <w:tcPr>
            <w:tcW w:w="2016" w:type="dxa"/>
            <w:shd w:val="clear" w:color="auto" w:fill="auto"/>
            <w:vAlign w:val="center"/>
          </w:tcPr>
          <w:p w14:paraId="5E89F4D6"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2.004.000</w:t>
            </w:r>
          </w:p>
        </w:tc>
      </w:tr>
      <w:tr w:rsidR="009316F8" w:rsidRPr="00C149AB" w14:paraId="37B7571D" w14:textId="77777777" w:rsidTr="00FE289C">
        <w:trPr>
          <w:trHeight w:val="300"/>
          <w:jc w:val="center"/>
        </w:trPr>
        <w:tc>
          <w:tcPr>
            <w:tcW w:w="3209" w:type="dxa"/>
            <w:shd w:val="clear" w:color="auto" w:fill="F79646"/>
            <w:vAlign w:val="center"/>
          </w:tcPr>
          <w:p w14:paraId="47C4D687"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b/>
                <w:bCs/>
                <w:color w:val="000000"/>
                <w:sz w:val="18"/>
                <w:lang w:val="sq-AL"/>
              </w:rPr>
              <w:t>MRF postrojenja</w:t>
            </w:r>
          </w:p>
        </w:tc>
        <w:tc>
          <w:tcPr>
            <w:tcW w:w="2016" w:type="dxa"/>
            <w:shd w:val="clear" w:color="auto" w:fill="F79646"/>
            <w:vAlign w:val="center"/>
          </w:tcPr>
          <w:p w14:paraId="6566E6F6"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b/>
                <w:color w:val="000000"/>
                <w:sz w:val="18"/>
              </w:rPr>
              <w:t>9.</w:t>
            </w:r>
            <w:r w:rsidRPr="00C149AB">
              <w:rPr>
                <w:rFonts w:ascii="Arial" w:hAnsi="Arial" w:cs="Arial"/>
                <w:b/>
                <w:bCs/>
                <w:color w:val="000000"/>
                <w:sz w:val="18"/>
              </w:rPr>
              <w:t>175</w:t>
            </w:r>
            <w:r w:rsidRPr="00C149AB">
              <w:rPr>
                <w:rFonts w:ascii="Arial" w:hAnsi="Arial" w:cs="Arial"/>
                <w:b/>
                <w:color w:val="000000"/>
                <w:sz w:val="18"/>
              </w:rPr>
              <w:t>.000</w:t>
            </w:r>
          </w:p>
        </w:tc>
      </w:tr>
      <w:tr w:rsidR="009316F8" w:rsidRPr="00C149AB" w14:paraId="35C0DE19" w14:textId="77777777" w:rsidTr="00FE289C">
        <w:trPr>
          <w:trHeight w:val="300"/>
          <w:jc w:val="center"/>
        </w:trPr>
        <w:tc>
          <w:tcPr>
            <w:tcW w:w="3209" w:type="dxa"/>
            <w:shd w:val="clear" w:color="auto" w:fill="auto"/>
            <w:vAlign w:val="center"/>
          </w:tcPr>
          <w:p w14:paraId="0F95D505"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eastAsia="Times New Roman" w:hAnsi="Arial" w:cs="Arial"/>
                <w:color w:val="000000"/>
                <w:sz w:val="18"/>
                <w:lang w:val="sq-AL"/>
              </w:rPr>
              <w:t>Centralni region</w:t>
            </w:r>
          </w:p>
        </w:tc>
        <w:tc>
          <w:tcPr>
            <w:tcW w:w="2016" w:type="dxa"/>
            <w:shd w:val="clear" w:color="auto" w:fill="auto"/>
            <w:vAlign w:val="center"/>
          </w:tcPr>
          <w:p w14:paraId="0219E05C"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hAnsi="Arial" w:cs="Arial"/>
                <w:color w:val="000000"/>
                <w:sz w:val="18"/>
              </w:rPr>
              <w:t>2.660.000</w:t>
            </w:r>
          </w:p>
        </w:tc>
      </w:tr>
      <w:tr w:rsidR="009316F8" w:rsidRPr="00C149AB" w14:paraId="214EB7A3" w14:textId="77777777" w:rsidTr="00FE289C">
        <w:trPr>
          <w:trHeight w:val="300"/>
          <w:jc w:val="center"/>
        </w:trPr>
        <w:tc>
          <w:tcPr>
            <w:tcW w:w="3209" w:type="dxa"/>
            <w:shd w:val="clear" w:color="auto" w:fill="auto"/>
            <w:vAlign w:val="center"/>
          </w:tcPr>
          <w:p w14:paraId="43153329"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Sjeverni region</w:t>
            </w:r>
          </w:p>
        </w:tc>
        <w:tc>
          <w:tcPr>
            <w:tcW w:w="2016" w:type="dxa"/>
            <w:shd w:val="clear" w:color="auto" w:fill="auto"/>
            <w:vAlign w:val="center"/>
          </w:tcPr>
          <w:p w14:paraId="1F5880B7"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2.000.000</w:t>
            </w:r>
          </w:p>
        </w:tc>
      </w:tr>
      <w:tr w:rsidR="009316F8" w:rsidRPr="00C149AB" w14:paraId="4ECFC375" w14:textId="77777777" w:rsidTr="00FE289C">
        <w:trPr>
          <w:trHeight w:val="300"/>
          <w:jc w:val="center"/>
        </w:trPr>
        <w:tc>
          <w:tcPr>
            <w:tcW w:w="3209" w:type="dxa"/>
            <w:shd w:val="clear" w:color="auto" w:fill="auto"/>
            <w:vAlign w:val="center"/>
          </w:tcPr>
          <w:p w14:paraId="63E7A2CF"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Primorski region</w:t>
            </w:r>
          </w:p>
        </w:tc>
        <w:tc>
          <w:tcPr>
            <w:tcW w:w="2016" w:type="dxa"/>
            <w:shd w:val="clear" w:color="auto" w:fill="auto"/>
            <w:vAlign w:val="center"/>
          </w:tcPr>
          <w:p w14:paraId="485DBAB0"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4.515.000</w:t>
            </w:r>
          </w:p>
        </w:tc>
      </w:tr>
      <w:tr w:rsidR="009316F8" w:rsidRPr="00C149AB" w14:paraId="125DE7FC" w14:textId="77777777" w:rsidTr="00FE289C">
        <w:trPr>
          <w:trHeight w:val="300"/>
          <w:jc w:val="center"/>
        </w:trPr>
        <w:tc>
          <w:tcPr>
            <w:tcW w:w="3209" w:type="dxa"/>
            <w:shd w:val="clear" w:color="auto" w:fill="F79646"/>
            <w:vAlign w:val="center"/>
          </w:tcPr>
          <w:p w14:paraId="138A5153"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b/>
                <w:bCs/>
                <w:color w:val="000000"/>
                <w:sz w:val="18"/>
                <w:lang w:val="sq-AL" w:eastAsia="el-GR"/>
              </w:rPr>
              <w:t>Postrojenja za kompostiranje</w:t>
            </w:r>
          </w:p>
        </w:tc>
        <w:tc>
          <w:tcPr>
            <w:tcW w:w="2016" w:type="dxa"/>
            <w:shd w:val="clear" w:color="auto" w:fill="F79646"/>
            <w:vAlign w:val="center"/>
          </w:tcPr>
          <w:p w14:paraId="3C5E8D42"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b/>
                <w:color w:val="000000"/>
                <w:sz w:val="18"/>
              </w:rPr>
              <w:t>6.</w:t>
            </w:r>
            <w:r w:rsidRPr="00C149AB">
              <w:rPr>
                <w:rFonts w:ascii="Arial" w:hAnsi="Arial" w:cs="Arial"/>
                <w:b/>
                <w:bCs/>
                <w:color w:val="000000"/>
                <w:sz w:val="18"/>
              </w:rPr>
              <w:t>462</w:t>
            </w:r>
            <w:r w:rsidRPr="00C149AB">
              <w:rPr>
                <w:rFonts w:ascii="Arial" w:hAnsi="Arial" w:cs="Arial"/>
                <w:b/>
                <w:color w:val="000000"/>
                <w:sz w:val="18"/>
              </w:rPr>
              <w:t>.000</w:t>
            </w:r>
          </w:p>
        </w:tc>
      </w:tr>
      <w:tr w:rsidR="009316F8" w:rsidRPr="00C149AB" w14:paraId="48134D89" w14:textId="77777777" w:rsidTr="00FE289C">
        <w:trPr>
          <w:trHeight w:val="300"/>
          <w:jc w:val="center"/>
        </w:trPr>
        <w:tc>
          <w:tcPr>
            <w:tcW w:w="3209" w:type="dxa"/>
            <w:shd w:val="clear" w:color="auto" w:fill="auto"/>
            <w:vAlign w:val="center"/>
          </w:tcPr>
          <w:p w14:paraId="37995B34"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Centralni region</w:t>
            </w:r>
          </w:p>
        </w:tc>
        <w:tc>
          <w:tcPr>
            <w:tcW w:w="2016" w:type="dxa"/>
            <w:shd w:val="clear" w:color="auto" w:fill="auto"/>
            <w:vAlign w:val="center"/>
          </w:tcPr>
          <w:p w14:paraId="114CBDA0"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2.890.000</w:t>
            </w:r>
          </w:p>
        </w:tc>
      </w:tr>
      <w:tr w:rsidR="009316F8" w:rsidRPr="00C149AB" w14:paraId="64125412" w14:textId="77777777" w:rsidTr="00FE289C">
        <w:trPr>
          <w:trHeight w:val="300"/>
          <w:jc w:val="center"/>
        </w:trPr>
        <w:tc>
          <w:tcPr>
            <w:tcW w:w="3209" w:type="dxa"/>
            <w:shd w:val="clear" w:color="auto" w:fill="auto"/>
            <w:vAlign w:val="center"/>
          </w:tcPr>
          <w:p w14:paraId="27925344"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lastRenderedPageBreak/>
              <w:t>Sjeverni region</w:t>
            </w:r>
          </w:p>
        </w:tc>
        <w:tc>
          <w:tcPr>
            <w:tcW w:w="2016" w:type="dxa"/>
            <w:shd w:val="clear" w:color="auto" w:fill="auto"/>
            <w:vAlign w:val="center"/>
          </w:tcPr>
          <w:p w14:paraId="33913105"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1.157.000</w:t>
            </w:r>
          </w:p>
        </w:tc>
      </w:tr>
      <w:tr w:rsidR="009316F8" w:rsidRPr="00C149AB" w14:paraId="7546CA98" w14:textId="77777777" w:rsidTr="00FE289C">
        <w:trPr>
          <w:trHeight w:val="300"/>
          <w:jc w:val="center"/>
        </w:trPr>
        <w:tc>
          <w:tcPr>
            <w:tcW w:w="3209" w:type="dxa"/>
            <w:shd w:val="clear" w:color="auto" w:fill="auto"/>
            <w:vAlign w:val="center"/>
          </w:tcPr>
          <w:p w14:paraId="2E302CC7"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Primorski region</w:t>
            </w:r>
          </w:p>
        </w:tc>
        <w:tc>
          <w:tcPr>
            <w:tcW w:w="2016" w:type="dxa"/>
            <w:shd w:val="clear" w:color="auto" w:fill="auto"/>
            <w:vAlign w:val="center"/>
          </w:tcPr>
          <w:p w14:paraId="093299E6"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2.415.000</w:t>
            </w:r>
          </w:p>
        </w:tc>
      </w:tr>
      <w:tr w:rsidR="009316F8" w:rsidRPr="00C149AB" w14:paraId="5E384837" w14:textId="77777777" w:rsidTr="00FE289C">
        <w:trPr>
          <w:trHeight w:val="300"/>
          <w:jc w:val="center"/>
        </w:trPr>
        <w:tc>
          <w:tcPr>
            <w:tcW w:w="3209" w:type="dxa"/>
            <w:shd w:val="clear" w:color="auto" w:fill="F79646"/>
            <w:vAlign w:val="center"/>
          </w:tcPr>
          <w:p w14:paraId="37D71258" w14:textId="24D1A18B"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b/>
                <w:bCs/>
                <w:color w:val="000000"/>
                <w:sz w:val="18"/>
                <w:lang w:val="sq-AL"/>
              </w:rPr>
              <w:t xml:space="preserve">Postrojenja za </w:t>
            </w:r>
            <w:r w:rsidR="009616FA">
              <w:rPr>
                <w:rFonts w:ascii="Arial" w:eastAsia="Times New Roman" w:hAnsi="Arial" w:cs="Arial"/>
                <w:b/>
                <w:bCs/>
                <w:color w:val="000000"/>
                <w:sz w:val="18"/>
                <w:lang w:val="sq-AL"/>
              </w:rPr>
              <w:t xml:space="preserve">obradu </w:t>
            </w:r>
            <w:r w:rsidRPr="00C149AB">
              <w:rPr>
                <w:rFonts w:ascii="Arial" w:eastAsia="Times New Roman" w:hAnsi="Arial" w:cs="Arial"/>
                <w:b/>
                <w:bCs/>
                <w:color w:val="000000"/>
                <w:sz w:val="18"/>
                <w:lang w:val="sq-AL"/>
              </w:rPr>
              <w:t>otpada</w:t>
            </w:r>
          </w:p>
        </w:tc>
        <w:tc>
          <w:tcPr>
            <w:tcW w:w="2016" w:type="dxa"/>
            <w:shd w:val="clear" w:color="auto" w:fill="F79646"/>
            <w:vAlign w:val="center"/>
          </w:tcPr>
          <w:p w14:paraId="50E78DD0"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b/>
                <w:bCs/>
                <w:color w:val="000000"/>
                <w:sz w:val="18"/>
              </w:rPr>
              <w:t>66.424.082</w:t>
            </w:r>
          </w:p>
        </w:tc>
      </w:tr>
      <w:tr w:rsidR="009316F8" w:rsidRPr="00C149AB" w14:paraId="10F8F62D" w14:textId="77777777" w:rsidTr="00FE289C">
        <w:trPr>
          <w:trHeight w:val="300"/>
          <w:jc w:val="center"/>
        </w:trPr>
        <w:tc>
          <w:tcPr>
            <w:tcW w:w="3209" w:type="dxa"/>
            <w:shd w:val="clear" w:color="auto" w:fill="auto"/>
            <w:vAlign w:val="center"/>
          </w:tcPr>
          <w:p w14:paraId="30375626"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Centralni region</w:t>
            </w:r>
          </w:p>
        </w:tc>
        <w:tc>
          <w:tcPr>
            <w:tcW w:w="2016" w:type="dxa"/>
            <w:shd w:val="clear" w:color="auto" w:fill="auto"/>
            <w:vAlign w:val="center"/>
          </w:tcPr>
          <w:p w14:paraId="55F0C66C"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45.506.405</w:t>
            </w:r>
          </w:p>
        </w:tc>
      </w:tr>
      <w:tr w:rsidR="009316F8" w:rsidRPr="00C149AB" w14:paraId="0D26248B" w14:textId="77777777" w:rsidTr="00FE289C">
        <w:trPr>
          <w:trHeight w:val="300"/>
          <w:jc w:val="center"/>
        </w:trPr>
        <w:tc>
          <w:tcPr>
            <w:tcW w:w="3209" w:type="dxa"/>
            <w:shd w:val="clear" w:color="auto" w:fill="auto"/>
            <w:vAlign w:val="center"/>
          </w:tcPr>
          <w:p w14:paraId="3A08E720"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eastAsia="Times New Roman" w:hAnsi="Arial" w:cs="Arial"/>
                <w:color w:val="000000"/>
                <w:sz w:val="18"/>
                <w:lang w:val="sq-AL"/>
              </w:rPr>
              <w:t>Sjeverni region</w:t>
            </w:r>
          </w:p>
        </w:tc>
        <w:tc>
          <w:tcPr>
            <w:tcW w:w="2016" w:type="dxa"/>
            <w:shd w:val="clear" w:color="auto" w:fill="auto"/>
            <w:vAlign w:val="center"/>
          </w:tcPr>
          <w:p w14:paraId="02979B1C"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hAnsi="Arial" w:cs="Arial"/>
                <w:color w:val="000000"/>
                <w:sz w:val="18"/>
              </w:rPr>
              <w:t>20.917.677</w:t>
            </w:r>
          </w:p>
        </w:tc>
      </w:tr>
      <w:tr w:rsidR="009316F8" w:rsidRPr="00C149AB" w14:paraId="62FCA3D8" w14:textId="77777777" w:rsidTr="00FE289C">
        <w:trPr>
          <w:trHeight w:val="300"/>
          <w:jc w:val="center"/>
        </w:trPr>
        <w:tc>
          <w:tcPr>
            <w:tcW w:w="3209" w:type="dxa"/>
            <w:shd w:val="clear" w:color="auto" w:fill="F79646"/>
            <w:vAlign w:val="center"/>
          </w:tcPr>
          <w:p w14:paraId="53076318" w14:textId="192F232C" w:rsidR="009316F8" w:rsidRPr="00C149AB" w:rsidRDefault="009616FA" w:rsidP="00FE289C">
            <w:pPr>
              <w:spacing w:before="40" w:after="40" w:line="360" w:lineRule="auto"/>
              <w:rPr>
                <w:rFonts w:ascii="Arial" w:eastAsia="Times New Roman" w:hAnsi="Arial" w:cs="Arial"/>
                <w:color w:val="000000"/>
                <w:sz w:val="18"/>
                <w:lang w:val="sq-AL"/>
              </w:rPr>
            </w:pPr>
            <w:r>
              <w:rPr>
                <w:rFonts w:ascii="Arial" w:hAnsi="Arial" w:cs="Arial"/>
                <w:b/>
                <w:bCs/>
                <w:color w:val="000000"/>
                <w:sz w:val="18"/>
                <w:lang w:val="sq-AL"/>
              </w:rPr>
              <w:t>D</w:t>
            </w:r>
            <w:r w:rsidR="009316F8" w:rsidRPr="00C149AB">
              <w:rPr>
                <w:rFonts w:ascii="Arial" w:hAnsi="Arial" w:cs="Arial"/>
                <w:b/>
                <w:bCs/>
                <w:color w:val="000000"/>
                <w:sz w:val="18"/>
                <w:lang w:val="sq-AL"/>
              </w:rPr>
              <w:t>eponije</w:t>
            </w:r>
          </w:p>
        </w:tc>
        <w:tc>
          <w:tcPr>
            <w:tcW w:w="2016" w:type="dxa"/>
            <w:shd w:val="clear" w:color="auto" w:fill="F79646"/>
            <w:vAlign w:val="center"/>
          </w:tcPr>
          <w:p w14:paraId="5D716A02"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b/>
                <w:bCs/>
                <w:color w:val="000000"/>
                <w:sz w:val="18"/>
              </w:rPr>
              <w:t>15.459.868</w:t>
            </w:r>
          </w:p>
        </w:tc>
      </w:tr>
      <w:tr w:rsidR="009316F8" w:rsidRPr="00C149AB" w14:paraId="148911A9" w14:textId="77777777" w:rsidTr="00FE289C">
        <w:trPr>
          <w:trHeight w:val="300"/>
          <w:jc w:val="center"/>
        </w:trPr>
        <w:tc>
          <w:tcPr>
            <w:tcW w:w="3209" w:type="dxa"/>
            <w:shd w:val="clear" w:color="auto" w:fill="auto"/>
            <w:vAlign w:val="center"/>
          </w:tcPr>
          <w:p w14:paraId="11267C80" w14:textId="77777777" w:rsidR="009316F8" w:rsidRPr="00C149AB" w:rsidRDefault="009316F8" w:rsidP="00FE289C">
            <w:pPr>
              <w:spacing w:before="40" w:after="40" w:line="360" w:lineRule="auto"/>
              <w:rPr>
                <w:rFonts w:ascii="Arial" w:eastAsia="Times New Roman" w:hAnsi="Arial" w:cs="Arial"/>
                <w:b/>
                <w:bCs/>
                <w:color w:val="000000"/>
                <w:sz w:val="18"/>
                <w:lang w:val="sq-AL"/>
              </w:rPr>
            </w:pPr>
            <w:r w:rsidRPr="001A0113">
              <w:rPr>
                <w:rFonts w:ascii="Arial" w:eastAsia="Times New Roman" w:hAnsi="Arial" w:cs="Arial"/>
                <w:color w:val="000000"/>
                <w:sz w:val="18"/>
                <w:lang w:val="sq-AL"/>
              </w:rPr>
              <w:t>Centralni region</w:t>
            </w:r>
          </w:p>
        </w:tc>
        <w:tc>
          <w:tcPr>
            <w:tcW w:w="2016" w:type="dxa"/>
            <w:shd w:val="clear" w:color="auto" w:fill="auto"/>
            <w:vAlign w:val="center"/>
          </w:tcPr>
          <w:p w14:paraId="0C82E49D" w14:textId="7C066502" w:rsidR="009316F8" w:rsidRPr="00C149AB" w:rsidRDefault="009316F8" w:rsidP="00FE289C">
            <w:pPr>
              <w:spacing w:before="40" w:after="40" w:line="360" w:lineRule="auto"/>
              <w:rPr>
                <w:rFonts w:ascii="Arial" w:eastAsia="Times New Roman" w:hAnsi="Arial" w:cs="Arial"/>
                <w:b/>
                <w:bCs/>
                <w:color w:val="000000"/>
                <w:sz w:val="18"/>
                <w:lang w:val="sq-AL"/>
              </w:rPr>
            </w:pPr>
            <w:r w:rsidRPr="00C149AB">
              <w:rPr>
                <w:rFonts w:ascii="Arial" w:hAnsi="Arial" w:cs="Arial"/>
                <w:color w:val="000000"/>
                <w:sz w:val="18"/>
              </w:rPr>
              <w:t> </w:t>
            </w:r>
            <w:r w:rsidR="001A0113" w:rsidRPr="00C149AB">
              <w:rPr>
                <w:rFonts w:ascii="Arial" w:hAnsi="Arial" w:cs="Arial"/>
                <w:color w:val="000000"/>
                <w:sz w:val="18"/>
              </w:rPr>
              <w:t>6.600.000</w:t>
            </w:r>
          </w:p>
        </w:tc>
      </w:tr>
      <w:tr w:rsidR="009316F8" w:rsidRPr="00C149AB" w14:paraId="28794979" w14:textId="77777777" w:rsidTr="00FE289C">
        <w:trPr>
          <w:trHeight w:val="300"/>
          <w:jc w:val="center"/>
        </w:trPr>
        <w:tc>
          <w:tcPr>
            <w:tcW w:w="3209" w:type="dxa"/>
            <w:shd w:val="clear" w:color="auto" w:fill="auto"/>
            <w:vAlign w:val="center"/>
          </w:tcPr>
          <w:p w14:paraId="79533224"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eastAsia="Times New Roman" w:hAnsi="Arial" w:cs="Arial"/>
                <w:color w:val="000000"/>
                <w:sz w:val="18"/>
                <w:lang w:val="sq-AL"/>
              </w:rPr>
              <w:t>Primorski region</w:t>
            </w:r>
          </w:p>
        </w:tc>
        <w:tc>
          <w:tcPr>
            <w:tcW w:w="2016" w:type="dxa"/>
            <w:shd w:val="clear" w:color="auto" w:fill="auto"/>
            <w:vAlign w:val="center"/>
          </w:tcPr>
          <w:p w14:paraId="07B7926E"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color w:val="000000"/>
                <w:sz w:val="18"/>
              </w:rPr>
              <w:t>8.859.868</w:t>
            </w:r>
          </w:p>
        </w:tc>
      </w:tr>
      <w:tr w:rsidR="009316F8" w:rsidRPr="00C149AB" w14:paraId="2E85E62E" w14:textId="77777777" w:rsidTr="00FE289C">
        <w:trPr>
          <w:trHeight w:val="300"/>
          <w:jc w:val="center"/>
        </w:trPr>
        <w:tc>
          <w:tcPr>
            <w:tcW w:w="3209" w:type="dxa"/>
            <w:shd w:val="clear" w:color="auto" w:fill="F79646"/>
            <w:vAlign w:val="center"/>
          </w:tcPr>
          <w:p w14:paraId="500473AF"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b/>
                <w:bCs/>
                <w:color w:val="000000"/>
                <w:sz w:val="18"/>
                <w:lang w:val="sq-AL"/>
              </w:rPr>
              <w:t>Sanacija deponija i odlagališta</w:t>
            </w:r>
          </w:p>
        </w:tc>
        <w:tc>
          <w:tcPr>
            <w:tcW w:w="2016" w:type="dxa"/>
            <w:shd w:val="clear" w:color="auto" w:fill="F79646"/>
            <w:vAlign w:val="center"/>
          </w:tcPr>
          <w:p w14:paraId="55D6DA6A" w14:textId="77777777" w:rsidR="009316F8" w:rsidRPr="00C149AB" w:rsidRDefault="009316F8" w:rsidP="00FE289C">
            <w:pPr>
              <w:spacing w:before="40" w:after="40" w:line="360" w:lineRule="auto"/>
              <w:rPr>
                <w:rFonts w:ascii="Arial" w:eastAsia="Times New Roman" w:hAnsi="Arial" w:cs="Arial"/>
                <w:color w:val="000000"/>
                <w:sz w:val="18"/>
                <w:lang w:val="sq-AL"/>
              </w:rPr>
            </w:pPr>
            <w:r w:rsidRPr="00C149AB">
              <w:rPr>
                <w:rFonts w:ascii="Arial" w:hAnsi="Arial" w:cs="Arial"/>
                <w:b/>
                <w:color w:val="000000"/>
                <w:sz w:val="18"/>
              </w:rPr>
              <w:t>18.540.000</w:t>
            </w:r>
          </w:p>
        </w:tc>
      </w:tr>
      <w:tr w:rsidR="009316F8" w:rsidRPr="00C149AB" w14:paraId="18DD453D" w14:textId="77777777" w:rsidTr="00FE289C">
        <w:trPr>
          <w:trHeight w:val="300"/>
          <w:jc w:val="center"/>
        </w:trPr>
        <w:tc>
          <w:tcPr>
            <w:tcW w:w="3209" w:type="dxa"/>
            <w:shd w:val="clear" w:color="auto" w:fill="FF0000"/>
            <w:vAlign w:val="center"/>
          </w:tcPr>
          <w:p w14:paraId="61DC4C19" w14:textId="77777777" w:rsidR="009316F8" w:rsidRPr="00C149AB" w:rsidRDefault="009316F8" w:rsidP="00FE289C">
            <w:pPr>
              <w:spacing w:before="40" w:after="40" w:line="360" w:lineRule="auto"/>
              <w:rPr>
                <w:rFonts w:ascii="Arial" w:hAnsi="Arial" w:cs="Arial"/>
                <w:b/>
                <w:bCs/>
                <w:color w:val="000000"/>
                <w:sz w:val="18"/>
                <w:lang w:val="sq-AL"/>
              </w:rPr>
            </w:pPr>
            <w:r w:rsidRPr="00C149AB">
              <w:rPr>
                <w:rFonts w:ascii="Arial" w:hAnsi="Arial" w:cs="Arial"/>
                <w:b/>
                <w:bCs/>
                <w:color w:val="000000"/>
                <w:sz w:val="18"/>
                <w:lang w:val="sq-AL"/>
              </w:rPr>
              <w:t>Ukupno</w:t>
            </w:r>
          </w:p>
        </w:tc>
        <w:tc>
          <w:tcPr>
            <w:tcW w:w="2016" w:type="dxa"/>
            <w:shd w:val="clear" w:color="auto" w:fill="FF0000"/>
            <w:vAlign w:val="center"/>
          </w:tcPr>
          <w:p w14:paraId="5B604FAB" w14:textId="77777777" w:rsidR="009316F8" w:rsidRPr="00C149AB" w:rsidRDefault="009316F8" w:rsidP="00FE289C">
            <w:pPr>
              <w:spacing w:before="40" w:after="40" w:line="360" w:lineRule="auto"/>
              <w:rPr>
                <w:rFonts w:ascii="Arial" w:hAnsi="Arial" w:cs="Arial"/>
                <w:b/>
                <w:bCs/>
                <w:color w:val="000000"/>
                <w:sz w:val="18"/>
                <w:lang w:val="sq-AL"/>
              </w:rPr>
            </w:pPr>
            <w:r w:rsidRPr="00C149AB">
              <w:rPr>
                <w:rFonts w:ascii="Arial" w:hAnsi="Arial" w:cs="Arial"/>
                <w:b/>
                <w:bCs/>
                <w:color w:val="000000"/>
                <w:sz w:val="18"/>
              </w:rPr>
              <w:t>159.475.810</w:t>
            </w:r>
          </w:p>
        </w:tc>
      </w:tr>
    </w:tbl>
    <w:p w14:paraId="7BB60122" w14:textId="2C5416F7" w:rsidR="009316F8" w:rsidRPr="002A6F4E" w:rsidRDefault="009316F8" w:rsidP="009316F8">
      <w:pPr>
        <w:spacing w:before="120" w:after="120" w:line="360" w:lineRule="auto"/>
        <w:rPr>
          <w:rFonts w:ascii="Arial" w:hAnsi="Arial" w:cs="Arial"/>
          <w:lang w:val="sq-AL" w:eastAsia="pl-PL"/>
        </w:rPr>
      </w:pPr>
      <w:r w:rsidRPr="002A6F4E">
        <w:rPr>
          <w:rFonts w:ascii="Arial" w:hAnsi="Arial" w:cs="Arial"/>
          <w:lang w:val="sq-AL" w:eastAsia="pl-PL"/>
        </w:rPr>
        <w:t>Pored navedenog, predviđene su i sljedeće studije (odgovarajući troškovi ni</w:t>
      </w:r>
      <w:r w:rsidR="00ED3287">
        <w:rPr>
          <w:rFonts w:ascii="Arial" w:hAnsi="Arial" w:cs="Arial"/>
          <w:lang w:val="sq-AL" w:eastAsia="pl-PL"/>
        </w:rPr>
        <w:t>je</w:t>
      </w:r>
      <w:r w:rsidRPr="002A6F4E">
        <w:rPr>
          <w:rFonts w:ascii="Arial" w:hAnsi="Arial" w:cs="Arial"/>
          <w:lang w:val="sq-AL" w:eastAsia="pl-PL"/>
        </w:rPr>
        <w:t>su uključeni u finansijsku analizu):</w:t>
      </w:r>
    </w:p>
    <w:p w14:paraId="10567C9A" w14:textId="136549E1" w:rsidR="009316F8" w:rsidRPr="002A6F4E" w:rsidRDefault="00115869" w:rsidP="00A23ED0">
      <w:pPr>
        <w:pStyle w:val="ListParagraph"/>
        <w:numPr>
          <w:ilvl w:val="0"/>
          <w:numId w:val="68"/>
        </w:numPr>
        <w:spacing w:before="120" w:after="120" w:line="360" w:lineRule="auto"/>
        <w:rPr>
          <w:rFonts w:ascii="Arial" w:hAnsi="Arial" w:cs="Arial"/>
          <w:lang w:val="sq-AL" w:eastAsia="pl-PL"/>
        </w:rPr>
      </w:pPr>
      <w:r>
        <w:rPr>
          <w:rFonts w:ascii="Arial" w:hAnsi="Arial" w:cs="Arial"/>
          <w:lang w:val="sq-AL" w:eastAsia="pl-PL"/>
        </w:rPr>
        <w:t xml:space="preserve">Studija za izradu </w:t>
      </w:r>
      <w:r w:rsidR="009316F8" w:rsidRPr="002A6F4E">
        <w:rPr>
          <w:rFonts w:ascii="Arial" w:hAnsi="Arial" w:cs="Arial"/>
          <w:lang w:val="sq-AL" w:eastAsia="pl-PL"/>
        </w:rPr>
        <w:t>referentne baze podataka za komunalni otpad (proizvodnja i sastav na nivou</w:t>
      </w:r>
      <w:r w:rsidR="00D81255">
        <w:rPr>
          <w:rFonts w:ascii="Arial" w:hAnsi="Arial" w:cs="Arial"/>
          <w:lang w:val="sq-AL" w:eastAsia="pl-PL"/>
        </w:rPr>
        <w:t xml:space="preserve"> Crne Gore</w:t>
      </w:r>
      <w:r w:rsidR="009316F8" w:rsidRPr="002A6F4E">
        <w:rPr>
          <w:rFonts w:ascii="Arial" w:hAnsi="Arial" w:cs="Arial"/>
          <w:lang w:val="sq-AL" w:eastAsia="pl-PL"/>
        </w:rPr>
        <w:t>): Procijenjeni troškovi 1.000.000 eura;</w:t>
      </w:r>
    </w:p>
    <w:p w14:paraId="60F6CE2D" w14:textId="77330CF3" w:rsidR="009316F8" w:rsidRPr="002A6F4E" w:rsidRDefault="009316F8" w:rsidP="00A23ED0">
      <w:pPr>
        <w:pStyle w:val="ListParagraph"/>
        <w:numPr>
          <w:ilvl w:val="0"/>
          <w:numId w:val="68"/>
        </w:numPr>
        <w:spacing w:before="120" w:after="120" w:line="360" w:lineRule="auto"/>
        <w:rPr>
          <w:rFonts w:ascii="Arial" w:hAnsi="Arial" w:cs="Arial"/>
          <w:lang w:val="sq-AL" w:eastAsia="pl-PL"/>
        </w:rPr>
      </w:pPr>
      <w:r w:rsidRPr="002A6F4E">
        <w:rPr>
          <w:rFonts w:ascii="Arial" w:hAnsi="Arial" w:cs="Arial"/>
          <w:lang w:val="sq-AL" w:eastAsia="pl-PL"/>
        </w:rPr>
        <w:t xml:space="preserve">Studija izvodljivosti za registraciju postojećih neuređenih odlagališta i utvrđivanje detaljnih tehničkih elemenata zatvaranja postojećih </w:t>
      </w:r>
      <w:r w:rsidR="009616FA">
        <w:rPr>
          <w:rFonts w:ascii="Arial" w:hAnsi="Arial" w:cs="Arial"/>
          <w:lang w:val="sq-AL" w:eastAsia="pl-PL"/>
        </w:rPr>
        <w:t xml:space="preserve">neuređenih </w:t>
      </w:r>
      <w:r w:rsidRPr="002A6F4E">
        <w:rPr>
          <w:rFonts w:ascii="Arial" w:hAnsi="Arial" w:cs="Arial"/>
          <w:lang w:val="sq-AL" w:eastAsia="pl-PL"/>
        </w:rPr>
        <w:t>odlagališta: Procijenjeni troškovi 1.200.000 eura.</w:t>
      </w:r>
    </w:p>
    <w:p w14:paraId="775070F5" w14:textId="5AEBBDED" w:rsidR="009316F8" w:rsidRPr="001A0113" w:rsidRDefault="009751D2" w:rsidP="007378E8">
      <w:pPr>
        <w:pStyle w:val="Heading3"/>
        <w:rPr>
          <w:lang w:val="sq-AL"/>
        </w:rPr>
      </w:pPr>
      <w:bookmarkStart w:id="1262" w:name="_Toc151853989"/>
      <w:bookmarkStart w:id="1263" w:name="_Toc151853994"/>
      <w:bookmarkStart w:id="1264" w:name="_Toc151853993"/>
      <w:bookmarkStart w:id="1265" w:name="_Toc151853987"/>
      <w:bookmarkStart w:id="1266" w:name="_Toc151853988"/>
      <w:bookmarkStart w:id="1267" w:name="_Toc151853991"/>
      <w:bookmarkStart w:id="1268" w:name="_Toc151853992"/>
      <w:bookmarkStart w:id="1269" w:name="_Toc151853990"/>
      <w:bookmarkStart w:id="1270" w:name="_Toc151853995"/>
      <w:bookmarkStart w:id="1271" w:name="_Toc121759096"/>
      <w:bookmarkStart w:id="1272" w:name="_Toc120173935"/>
      <w:bookmarkStart w:id="1273" w:name="_Toc189759727"/>
      <w:bookmarkStart w:id="1274" w:name="_Toc193354053"/>
      <w:bookmarkEnd w:id="1262"/>
      <w:bookmarkEnd w:id="1263"/>
      <w:bookmarkEnd w:id="1264"/>
      <w:bookmarkEnd w:id="1265"/>
      <w:bookmarkEnd w:id="1266"/>
      <w:bookmarkEnd w:id="1267"/>
      <w:bookmarkEnd w:id="1268"/>
      <w:bookmarkEnd w:id="1269"/>
      <w:bookmarkEnd w:id="1270"/>
      <w:r>
        <w:rPr>
          <w:lang w:val="sq-AL"/>
        </w:rPr>
        <w:t>5.40</w:t>
      </w:r>
      <w:r w:rsidR="00267FAF" w:rsidRPr="001A0113">
        <w:rPr>
          <w:lang w:val="sq-AL"/>
        </w:rPr>
        <w:t>.2.</w:t>
      </w:r>
      <w:r w:rsidR="003D1C94" w:rsidRPr="001A0113">
        <w:rPr>
          <w:lang w:val="sq-AL"/>
        </w:rPr>
        <w:t xml:space="preserve"> </w:t>
      </w:r>
      <w:r w:rsidR="009316F8" w:rsidRPr="001A0113">
        <w:rPr>
          <w:lang w:val="sq-AL"/>
        </w:rPr>
        <w:t>Analiza tok</w:t>
      </w:r>
      <w:r w:rsidR="00EB0ABA" w:rsidRPr="001A0113">
        <w:rPr>
          <w:lang w:val="sq-AL"/>
        </w:rPr>
        <w:t>ov</w:t>
      </w:r>
      <w:r w:rsidR="009316F8" w:rsidRPr="001A0113">
        <w:rPr>
          <w:lang w:val="sq-AL"/>
        </w:rPr>
        <w:t>a gotovine</w:t>
      </w:r>
      <w:bookmarkEnd w:id="1271"/>
      <w:bookmarkEnd w:id="1272"/>
      <w:bookmarkEnd w:id="1273"/>
      <w:bookmarkEnd w:id="1274"/>
      <w:r w:rsidR="009316F8" w:rsidRPr="001A0113">
        <w:rPr>
          <w:lang w:val="sq-AL"/>
        </w:rPr>
        <w:t xml:space="preserve"> </w:t>
      </w:r>
    </w:p>
    <w:p w14:paraId="640A5453" w14:textId="2D4431EE"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Analiza tokova gotovine investicionog plana u okviru DPUO uključuje procjenu povezanih troškova rada i održavanja, kao i prihoda ostvarenih iz različitih izvora. Prvobitni koncept je bio da se pripremi finansijski izvještaj za tri regiona, utvrdi trenutni finansijski bilans funkcije upravljanja otpadom u cijeloj zemlji</w:t>
      </w:r>
      <w:r w:rsidR="00EB0ABA">
        <w:rPr>
          <w:rFonts w:ascii="Arial" w:hAnsi="Arial" w:cs="Arial"/>
          <w:lang w:val="sq-AL"/>
        </w:rPr>
        <w:t>. Z</w:t>
      </w:r>
      <w:r w:rsidRPr="002A6F4E">
        <w:rPr>
          <w:rFonts w:ascii="Arial" w:hAnsi="Arial" w:cs="Arial"/>
          <w:lang w:val="sq-AL"/>
        </w:rPr>
        <w:t>atim se odredi dodatno povećanje tarifa koje će zadovoljiti zahtjeve održivosti</w:t>
      </w:r>
      <w:r w:rsidR="00EB0ABA">
        <w:rPr>
          <w:rFonts w:ascii="Arial" w:hAnsi="Arial" w:cs="Arial"/>
          <w:lang w:val="sq-AL"/>
        </w:rPr>
        <w:t>,</w:t>
      </w:r>
      <w:r w:rsidRPr="002A6F4E">
        <w:rPr>
          <w:rFonts w:ascii="Arial" w:hAnsi="Arial" w:cs="Arial"/>
          <w:lang w:val="sq-AL"/>
        </w:rPr>
        <w:t xml:space="preserve"> s obzirom na uočeni finansijski rezultat i zahtjev za pokriće inkrementalnog povećanja troškova rada i održavanja, kao i naknade za amortizaciju. Međutim, </w:t>
      </w:r>
      <w:r w:rsidRPr="00EB0ABA">
        <w:rPr>
          <w:rFonts w:ascii="Arial" w:hAnsi="Arial" w:cs="Arial"/>
          <w:lang w:val="sq-AL"/>
        </w:rPr>
        <w:t>odstupil</w:t>
      </w:r>
      <w:r w:rsidR="00EB0ABA" w:rsidRPr="00EB0ABA">
        <w:rPr>
          <w:rFonts w:ascii="Arial" w:hAnsi="Arial" w:cs="Arial"/>
          <w:lang w:val="sq-AL"/>
        </w:rPr>
        <w:t xml:space="preserve">o se od </w:t>
      </w:r>
      <w:r w:rsidRPr="002A6F4E">
        <w:rPr>
          <w:rFonts w:ascii="Arial" w:hAnsi="Arial" w:cs="Arial"/>
          <w:lang w:val="sq-AL"/>
        </w:rPr>
        <w:t xml:space="preserve">ovog pristupa s obzirom na nedostupnost velikog dijela finansijskih i operativnih podataka uključujući politiku cijena. Većina </w:t>
      </w:r>
      <w:r w:rsidR="00EB0ABA">
        <w:rPr>
          <w:rFonts w:ascii="Arial" w:hAnsi="Arial" w:cs="Arial"/>
          <w:lang w:val="sq-AL"/>
        </w:rPr>
        <w:t>KP</w:t>
      </w:r>
      <w:r w:rsidRPr="002A6F4E">
        <w:rPr>
          <w:rFonts w:ascii="Arial" w:hAnsi="Arial" w:cs="Arial"/>
          <w:lang w:val="sq-AL"/>
        </w:rPr>
        <w:t xml:space="preserve"> zaduženih za sakupljanje otpada još uvijek nije uspostavila određene troškovne centre i stoga ni</w:t>
      </w:r>
      <w:r w:rsidR="00EB0ABA">
        <w:rPr>
          <w:rFonts w:ascii="Arial" w:hAnsi="Arial" w:cs="Arial"/>
          <w:lang w:val="sq-AL"/>
        </w:rPr>
        <w:t>je</w:t>
      </w:r>
      <w:r w:rsidRPr="002A6F4E">
        <w:rPr>
          <w:rFonts w:ascii="Arial" w:hAnsi="Arial" w:cs="Arial"/>
          <w:lang w:val="sq-AL"/>
        </w:rPr>
        <w:t>su bila u mogućnosti da dostave podatke koji se posebno odnose na pružanje usluga u vezi sa upravljanjem otpadom. Stoga su ključni inputi za razvoj projekcija novčanih tokova bili vođeni utemeljenim pretpostavkama koje su verifikovane na osnovu podataka koji su stavljeni na raspolaganje tokom procesa izrade plana upravljanja otpadom.</w:t>
      </w:r>
    </w:p>
    <w:p w14:paraId="7B51CE96" w14:textId="0688CF36"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Procjena operativnih troškova i prihoda uključuje analizu buduće tražnje za uslugama. Zasnovan</w:t>
      </w:r>
      <w:r w:rsidR="00EB0ABA">
        <w:rPr>
          <w:rFonts w:ascii="Arial" w:hAnsi="Arial" w:cs="Arial"/>
          <w:lang w:val="sq-AL"/>
        </w:rPr>
        <w:t>a</w:t>
      </w:r>
      <w:r w:rsidRPr="002A6F4E">
        <w:rPr>
          <w:rFonts w:ascii="Arial" w:hAnsi="Arial" w:cs="Arial"/>
          <w:lang w:val="sq-AL"/>
        </w:rPr>
        <w:t xml:space="preserve"> je na projekcijama generisanog komunalnog otpada koji kombinuje zvanične trendove stanovništva i predviđenu turističku aktivnost koja predstavlja značajan izvor stvaranja otpada. Svi proračuni isključuju transfere između različitih pružalaca usluga u okviru sistema upravljanja otpadom Crne Gore (npr. finansijska interakcija između regionalnih deponija i jedinica lokalnih samouprava koje opslužuju).</w:t>
      </w:r>
    </w:p>
    <w:p w14:paraId="0C6F59EA" w14:textId="1C187AC7"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lastRenderedPageBreak/>
        <w:t xml:space="preserve">Troškovi rada i održavanja ne samo da uključuju inkrementalne novčane izdatke potrebne za rad objekata predviđenih DPUO, već takođe uključuju elemente troškova koji potiču od početka rada objekata koji su već uspostavljeni (npr. transfer stanica i MRF na Žabljaku, MRF </w:t>
      </w:r>
      <w:r w:rsidR="00EB0ABA">
        <w:rPr>
          <w:rFonts w:ascii="Arial" w:hAnsi="Arial" w:cs="Arial"/>
          <w:lang w:val="sq-AL"/>
        </w:rPr>
        <w:t xml:space="preserve">u </w:t>
      </w:r>
      <w:r w:rsidRPr="002A6F4E">
        <w:rPr>
          <w:rFonts w:ascii="Arial" w:hAnsi="Arial" w:cs="Arial"/>
          <w:lang w:val="sq-AL"/>
        </w:rPr>
        <w:t>Herceg Nov</w:t>
      </w:r>
      <w:r w:rsidR="00EB0ABA">
        <w:rPr>
          <w:rFonts w:ascii="Arial" w:hAnsi="Arial" w:cs="Arial"/>
          <w:lang w:val="sq-AL"/>
        </w:rPr>
        <w:t>om</w:t>
      </w:r>
      <w:r w:rsidRPr="002A6F4E">
        <w:rPr>
          <w:rFonts w:ascii="Arial" w:hAnsi="Arial" w:cs="Arial"/>
          <w:lang w:val="sq-AL"/>
        </w:rPr>
        <w:t>, transfer stanica za Mojkovac i Kolašin).</w:t>
      </w:r>
    </w:p>
    <w:p w14:paraId="26D91E95" w14:textId="2AD006BE"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 xml:space="preserve">Čini se da je naplata prihoda </w:t>
      </w:r>
      <w:r w:rsidR="00EB0ABA">
        <w:rPr>
          <w:rFonts w:ascii="Arial" w:hAnsi="Arial" w:cs="Arial"/>
          <w:lang w:val="sq-AL"/>
        </w:rPr>
        <w:t>glavno</w:t>
      </w:r>
      <w:r w:rsidRPr="002A6F4E">
        <w:rPr>
          <w:rFonts w:ascii="Arial" w:hAnsi="Arial" w:cs="Arial"/>
          <w:lang w:val="sq-AL"/>
        </w:rPr>
        <w:t xml:space="preserve"> pitanje u velikom broju jedinica lokalnih samouprava. Prijavljene stope naplate za domaćinstva su samo 35%, dok se za preduzeća kreću u rasponu od 50% do 60%. Njihovi godišnji izvještaji otkrivaju da se mnogo aktivnosti sprovodi na rješavanju ovog pitanja i podizanju stope naplate (npr. izdavanje upozorenja o plaćanju, pokretanje i upravljanje tužbama, itd). Otpisi dugova zbog zastar</w:t>
      </w:r>
      <w:r w:rsidR="00EF1AC6">
        <w:rPr>
          <w:rFonts w:ascii="Arial" w:hAnsi="Arial" w:cs="Arial"/>
          <w:lang w:val="sq-AL"/>
        </w:rPr>
        <w:t>j</w:t>
      </w:r>
      <w:r w:rsidRPr="002A6F4E">
        <w:rPr>
          <w:rFonts w:ascii="Arial" w:hAnsi="Arial" w:cs="Arial"/>
          <w:lang w:val="sq-AL"/>
        </w:rPr>
        <w:t>elosti (domaće zakonoda</w:t>
      </w:r>
      <w:r w:rsidR="00115869">
        <w:rPr>
          <w:rFonts w:ascii="Arial" w:hAnsi="Arial" w:cs="Arial"/>
          <w:lang w:val="sq-AL"/>
        </w:rPr>
        <w:t>vstvo to definiše na 5 godina)</w:t>
      </w:r>
      <w:r w:rsidRPr="002A6F4E">
        <w:rPr>
          <w:rFonts w:ascii="Arial" w:hAnsi="Arial" w:cs="Arial"/>
          <w:lang w:val="sq-AL"/>
        </w:rPr>
        <w:t>, identifikovani su u bilansima uspjeha nekih KP (npr. Berane su 2021. godine imale 36.341 eura otpisa duga, a 11.908 eura u Bijelom Polju).</w:t>
      </w:r>
    </w:p>
    <w:p w14:paraId="7276F2EC" w14:textId="77777777"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Procjena troškova rada i održavanja dobijena je korišćenjem sljedećeg skupa pretpostavki:</w:t>
      </w:r>
    </w:p>
    <w:p w14:paraId="58523BCC" w14:textId="46814A39" w:rsidR="009316F8" w:rsidRPr="002A6F4E" w:rsidRDefault="009316F8" w:rsidP="00A23ED0">
      <w:pPr>
        <w:pStyle w:val="ListParagraph"/>
        <w:numPr>
          <w:ilvl w:val="0"/>
          <w:numId w:val="69"/>
        </w:numPr>
        <w:spacing w:before="80" w:after="80" w:line="360" w:lineRule="auto"/>
        <w:contextualSpacing w:val="0"/>
        <w:rPr>
          <w:rFonts w:ascii="Arial" w:hAnsi="Arial" w:cs="Arial"/>
          <w:lang w:val="sq-AL"/>
        </w:rPr>
      </w:pPr>
      <w:r w:rsidRPr="002A6F4E">
        <w:rPr>
          <w:rFonts w:ascii="Arial" w:hAnsi="Arial" w:cs="Arial"/>
          <w:lang w:val="sq-AL"/>
        </w:rPr>
        <w:t>Cijena odvoza otpada je 40 EUR/t</w:t>
      </w:r>
      <w:r w:rsidR="00A73165">
        <w:rPr>
          <w:rFonts w:ascii="Arial" w:hAnsi="Arial" w:cs="Arial"/>
          <w:lang w:val="sq-AL"/>
        </w:rPr>
        <w:t>,</w:t>
      </w:r>
    </w:p>
    <w:p w14:paraId="65CCE8E2" w14:textId="1D5F3CA4" w:rsidR="009316F8" w:rsidRPr="002A6F4E" w:rsidRDefault="009316F8" w:rsidP="00A23ED0">
      <w:pPr>
        <w:pStyle w:val="ListParagraph"/>
        <w:numPr>
          <w:ilvl w:val="0"/>
          <w:numId w:val="69"/>
        </w:numPr>
        <w:spacing w:before="80" w:after="80" w:line="360" w:lineRule="auto"/>
        <w:contextualSpacing w:val="0"/>
        <w:rPr>
          <w:rFonts w:ascii="Arial" w:hAnsi="Arial" w:cs="Arial"/>
          <w:lang w:val="sq-AL"/>
        </w:rPr>
      </w:pPr>
      <w:r w:rsidRPr="002A6F4E">
        <w:rPr>
          <w:rFonts w:ascii="Arial" w:hAnsi="Arial" w:cs="Arial"/>
          <w:lang w:val="sq-AL"/>
        </w:rPr>
        <w:t>Troškovi potrebni za vođenje recikla</w:t>
      </w:r>
      <w:r w:rsidRPr="002A6F4E">
        <w:rPr>
          <w:rFonts w:ascii="Arial" w:hAnsi="Arial" w:cs="Arial"/>
          <w:lang w:val="sr-Latn-ME"/>
        </w:rPr>
        <w:t>ž</w:t>
      </w:r>
      <w:r w:rsidRPr="002A6F4E">
        <w:rPr>
          <w:rFonts w:ascii="Arial" w:hAnsi="Arial" w:cs="Arial"/>
          <w:lang w:val="sq-AL"/>
        </w:rPr>
        <w:t>nih centara su postavljeni na 3,75 miliona EUR/god</w:t>
      </w:r>
      <w:r w:rsidR="00A73165">
        <w:rPr>
          <w:rFonts w:ascii="Arial" w:hAnsi="Arial" w:cs="Arial"/>
          <w:lang w:val="sq-AL"/>
        </w:rPr>
        <w:t>.</w:t>
      </w:r>
      <w:r w:rsidRPr="002A6F4E">
        <w:rPr>
          <w:rFonts w:ascii="Arial" w:hAnsi="Arial" w:cs="Arial"/>
          <w:lang w:val="sq-AL"/>
        </w:rPr>
        <w:t xml:space="preserve"> (što odgovara 50,000 EUR/god</w:t>
      </w:r>
      <w:r w:rsidR="00A73165">
        <w:rPr>
          <w:rFonts w:ascii="Arial" w:hAnsi="Arial" w:cs="Arial"/>
          <w:lang w:val="sq-AL"/>
        </w:rPr>
        <w:t>.</w:t>
      </w:r>
      <w:r w:rsidRPr="002A6F4E">
        <w:rPr>
          <w:rFonts w:ascii="Arial" w:hAnsi="Arial" w:cs="Arial"/>
          <w:lang w:val="sq-AL"/>
        </w:rPr>
        <w:t xml:space="preserve"> za male/mobilne centre,  150,000 EUR/god za srednje centre i 300,000 EUR/god</w:t>
      </w:r>
      <w:r w:rsidR="00A73165">
        <w:rPr>
          <w:rFonts w:ascii="Arial" w:hAnsi="Arial" w:cs="Arial"/>
          <w:lang w:val="sq-AL"/>
        </w:rPr>
        <w:t>.</w:t>
      </w:r>
      <w:r w:rsidRPr="002A6F4E">
        <w:rPr>
          <w:rFonts w:ascii="Arial" w:hAnsi="Arial" w:cs="Arial"/>
          <w:lang w:val="sq-AL"/>
        </w:rPr>
        <w:t xml:space="preserve"> za velike centre);</w:t>
      </w:r>
    </w:p>
    <w:p w14:paraId="010F15E6" w14:textId="77777777" w:rsidR="009316F8" w:rsidRPr="002A6F4E" w:rsidRDefault="009316F8" w:rsidP="00A23ED0">
      <w:pPr>
        <w:pStyle w:val="ListParagraph"/>
        <w:numPr>
          <w:ilvl w:val="0"/>
          <w:numId w:val="69"/>
        </w:numPr>
        <w:spacing w:before="80" w:after="80" w:line="360" w:lineRule="auto"/>
        <w:contextualSpacing w:val="0"/>
        <w:rPr>
          <w:rFonts w:ascii="Arial" w:hAnsi="Arial" w:cs="Arial"/>
          <w:lang w:val="sq-AL"/>
        </w:rPr>
      </w:pPr>
      <w:r w:rsidRPr="002A6F4E">
        <w:rPr>
          <w:rFonts w:ascii="Arial" w:hAnsi="Arial" w:cs="Arial"/>
          <w:lang w:val="sq-AL"/>
        </w:rPr>
        <w:t>Troškovi povezani sa transfer stanicama (u zavisnosti od udaljenosti do krajnjeg primaoca) su sljedeći:</w:t>
      </w:r>
    </w:p>
    <w:p w14:paraId="3AC7CC55" w14:textId="77777777" w:rsidR="009316F8" w:rsidRPr="002A6F4E" w:rsidRDefault="009316F8" w:rsidP="00A23ED0">
      <w:pPr>
        <w:pStyle w:val="ListParagraph"/>
        <w:numPr>
          <w:ilvl w:val="1"/>
          <w:numId w:val="69"/>
        </w:numPr>
        <w:spacing w:before="80" w:after="80" w:line="360" w:lineRule="auto"/>
        <w:contextualSpacing w:val="0"/>
        <w:rPr>
          <w:rFonts w:ascii="Arial" w:hAnsi="Arial" w:cs="Arial"/>
          <w:lang w:val="sq-AL"/>
        </w:rPr>
      </w:pPr>
      <w:r w:rsidRPr="002A6F4E">
        <w:rPr>
          <w:rFonts w:ascii="Arial" w:hAnsi="Arial" w:cs="Arial"/>
          <w:lang w:val="sq-AL"/>
        </w:rPr>
        <w:t>12 EUR/t za TS u Baru;</w:t>
      </w:r>
    </w:p>
    <w:p w14:paraId="1DF6A010" w14:textId="77777777" w:rsidR="009316F8" w:rsidRPr="002A6F4E" w:rsidRDefault="009316F8" w:rsidP="00A23ED0">
      <w:pPr>
        <w:pStyle w:val="ListParagraph"/>
        <w:numPr>
          <w:ilvl w:val="1"/>
          <w:numId w:val="69"/>
        </w:numPr>
        <w:spacing w:before="80" w:after="80" w:line="360" w:lineRule="auto"/>
        <w:contextualSpacing w:val="0"/>
        <w:rPr>
          <w:rFonts w:ascii="Arial" w:hAnsi="Arial" w:cs="Arial"/>
          <w:lang w:val="sq-AL"/>
        </w:rPr>
      </w:pPr>
      <w:r w:rsidRPr="002A6F4E">
        <w:rPr>
          <w:rFonts w:ascii="Arial" w:hAnsi="Arial" w:cs="Arial"/>
          <w:lang w:val="sq-AL"/>
        </w:rPr>
        <w:t>15 EUR/t za TS u Nikšiću i Kotoru;</w:t>
      </w:r>
    </w:p>
    <w:p w14:paraId="2CFB84C8" w14:textId="77777777" w:rsidR="009316F8" w:rsidRPr="002A6F4E" w:rsidRDefault="009316F8" w:rsidP="00A23ED0">
      <w:pPr>
        <w:pStyle w:val="ListParagraph"/>
        <w:numPr>
          <w:ilvl w:val="1"/>
          <w:numId w:val="69"/>
        </w:numPr>
        <w:spacing w:before="80" w:after="80" w:line="360" w:lineRule="auto"/>
        <w:contextualSpacing w:val="0"/>
        <w:rPr>
          <w:rFonts w:ascii="Arial" w:hAnsi="Arial" w:cs="Arial"/>
        </w:rPr>
      </w:pPr>
      <w:r w:rsidRPr="002A6F4E">
        <w:rPr>
          <w:rFonts w:ascii="Arial" w:hAnsi="Arial" w:cs="Arial"/>
        </w:rPr>
        <w:t xml:space="preserve">18 EUR/t </w:t>
      </w:r>
      <w:r w:rsidRPr="002A6F4E">
        <w:rPr>
          <w:rFonts w:ascii="Arial" w:hAnsi="Arial" w:cs="Arial"/>
          <w:lang w:val="sq-AL"/>
        </w:rPr>
        <w:t>za TS u</w:t>
      </w:r>
      <w:r w:rsidRPr="002A6F4E">
        <w:rPr>
          <w:rFonts w:ascii="Arial" w:hAnsi="Arial" w:cs="Arial"/>
        </w:rPr>
        <w:t xml:space="preserve"> Herceg Novom i Budvi;</w:t>
      </w:r>
    </w:p>
    <w:p w14:paraId="4821BFFA" w14:textId="77777777" w:rsidR="009316F8" w:rsidRPr="002A6F4E" w:rsidRDefault="009316F8" w:rsidP="00A23ED0">
      <w:pPr>
        <w:pStyle w:val="ListParagraph"/>
        <w:numPr>
          <w:ilvl w:val="1"/>
          <w:numId w:val="69"/>
        </w:numPr>
        <w:spacing w:before="80" w:after="80" w:line="360" w:lineRule="auto"/>
        <w:contextualSpacing w:val="0"/>
        <w:rPr>
          <w:rFonts w:ascii="Arial" w:hAnsi="Arial" w:cs="Arial"/>
          <w:lang w:val="de-DE"/>
        </w:rPr>
      </w:pPr>
      <w:r w:rsidRPr="002A6F4E">
        <w:rPr>
          <w:rFonts w:ascii="Arial" w:hAnsi="Arial" w:cs="Arial"/>
          <w:lang w:val="de-DE"/>
        </w:rPr>
        <w:t xml:space="preserve">20 EUR/t </w:t>
      </w:r>
      <w:r w:rsidRPr="002A6F4E">
        <w:rPr>
          <w:rFonts w:ascii="Arial" w:hAnsi="Arial" w:cs="Arial"/>
          <w:lang w:val="sq-AL"/>
        </w:rPr>
        <w:t xml:space="preserve">za TS </w:t>
      </w:r>
      <w:r w:rsidRPr="002A6F4E">
        <w:rPr>
          <w:rFonts w:ascii="Arial" w:hAnsi="Arial" w:cs="Arial"/>
          <w:lang w:val="de-DE"/>
        </w:rPr>
        <w:t>u Pljevljima i Rožajama;</w:t>
      </w:r>
    </w:p>
    <w:p w14:paraId="51CEB30F" w14:textId="7D9C3D8D" w:rsidR="009316F8" w:rsidRPr="002A6F4E" w:rsidRDefault="009316F8" w:rsidP="00A23ED0">
      <w:pPr>
        <w:pStyle w:val="ListParagraph"/>
        <w:numPr>
          <w:ilvl w:val="1"/>
          <w:numId w:val="69"/>
        </w:numPr>
        <w:spacing w:before="80" w:after="80" w:line="360" w:lineRule="auto"/>
        <w:contextualSpacing w:val="0"/>
        <w:rPr>
          <w:rFonts w:ascii="Arial" w:hAnsi="Arial" w:cs="Arial"/>
          <w:lang w:val="de-DE"/>
        </w:rPr>
      </w:pPr>
      <w:r w:rsidRPr="002A6F4E">
        <w:rPr>
          <w:rFonts w:ascii="Arial" w:hAnsi="Arial" w:cs="Arial"/>
          <w:lang w:val="de-DE"/>
        </w:rPr>
        <w:t xml:space="preserve">25 EUR/t </w:t>
      </w:r>
      <w:r w:rsidRPr="002A6F4E">
        <w:rPr>
          <w:rFonts w:ascii="Arial" w:hAnsi="Arial" w:cs="Arial"/>
          <w:lang w:val="sq-AL"/>
        </w:rPr>
        <w:t>za TS u</w:t>
      </w:r>
      <w:r w:rsidR="003C4A5F">
        <w:rPr>
          <w:rFonts w:ascii="Arial" w:hAnsi="Arial" w:cs="Arial"/>
          <w:lang w:val="de-DE"/>
        </w:rPr>
        <w:t xml:space="preserve"> Mojkov</w:t>
      </w:r>
      <w:r w:rsidRPr="002A6F4E">
        <w:rPr>
          <w:rFonts w:ascii="Arial" w:hAnsi="Arial" w:cs="Arial"/>
          <w:lang w:val="de-DE"/>
        </w:rPr>
        <w:t>cu-Kolašinu;</w:t>
      </w:r>
    </w:p>
    <w:p w14:paraId="01B82D1B" w14:textId="77777777" w:rsidR="009316F8" w:rsidRPr="002A6F4E" w:rsidRDefault="009316F8" w:rsidP="00A23ED0">
      <w:pPr>
        <w:pStyle w:val="ListParagraph"/>
        <w:numPr>
          <w:ilvl w:val="1"/>
          <w:numId w:val="69"/>
        </w:numPr>
        <w:spacing w:before="80" w:after="80" w:line="360" w:lineRule="auto"/>
        <w:contextualSpacing w:val="0"/>
        <w:rPr>
          <w:rFonts w:ascii="Arial" w:hAnsi="Arial" w:cs="Arial"/>
          <w:lang w:val="sq-AL"/>
        </w:rPr>
      </w:pPr>
      <w:r w:rsidRPr="002A6F4E">
        <w:rPr>
          <w:rFonts w:ascii="Arial" w:hAnsi="Arial" w:cs="Arial"/>
          <w:lang w:val="sq-AL"/>
        </w:rPr>
        <w:t>45 EUR/t za TS na Žabljaku;</w:t>
      </w:r>
    </w:p>
    <w:p w14:paraId="11A71271" w14:textId="69A61EAA" w:rsidR="009316F8" w:rsidRPr="002A6F4E" w:rsidRDefault="009316F8" w:rsidP="00A23ED0">
      <w:pPr>
        <w:pStyle w:val="ListParagraph"/>
        <w:numPr>
          <w:ilvl w:val="0"/>
          <w:numId w:val="69"/>
        </w:numPr>
        <w:spacing w:before="80" w:after="80" w:line="360" w:lineRule="auto"/>
        <w:contextualSpacing w:val="0"/>
        <w:rPr>
          <w:rFonts w:ascii="Arial" w:hAnsi="Arial" w:cs="Arial"/>
          <w:lang w:val="sq-AL"/>
        </w:rPr>
      </w:pPr>
      <w:r w:rsidRPr="002A6F4E">
        <w:rPr>
          <w:rFonts w:ascii="Arial" w:hAnsi="Arial" w:cs="Arial"/>
          <w:lang w:val="sq-AL"/>
        </w:rPr>
        <w:t>Troškovi prerade otpada u postrojenjima za recikl</w:t>
      </w:r>
      <w:r w:rsidR="00A73165">
        <w:rPr>
          <w:rFonts w:ascii="Arial" w:hAnsi="Arial" w:cs="Arial"/>
          <w:lang w:val="sq-AL"/>
        </w:rPr>
        <w:t>iranje</w:t>
      </w:r>
      <w:r w:rsidRPr="002A6F4E">
        <w:rPr>
          <w:rFonts w:ascii="Arial" w:hAnsi="Arial" w:cs="Arial"/>
          <w:lang w:val="sq-AL"/>
        </w:rPr>
        <w:t xml:space="preserve"> materijala su sljedeći:</w:t>
      </w:r>
    </w:p>
    <w:p w14:paraId="517B4448" w14:textId="77777777" w:rsidR="009316F8" w:rsidRPr="002A6F4E" w:rsidRDefault="009316F8" w:rsidP="00A23ED0">
      <w:pPr>
        <w:pStyle w:val="ListParagraph"/>
        <w:numPr>
          <w:ilvl w:val="1"/>
          <w:numId w:val="69"/>
        </w:numPr>
        <w:spacing w:before="80" w:after="80" w:line="360" w:lineRule="auto"/>
        <w:contextualSpacing w:val="0"/>
        <w:rPr>
          <w:rFonts w:ascii="Arial" w:hAnsi="Arial" w:cs="Arial"/>
          <w:lang w:val="sq-AL"/>
        </w:rPr>
      </w:pPr>
      <w:r w:rsidRPr="002A6F4E">
        <w:rPr>
          <w:rFonts w:ascii="Arial" w:hAnsi="Arial" w:cs="Arial"/>
          <w:lang w:val="sq-AL"/>
        </w:rPr>
        <w:t>25 EUR/t za MRF u Podgorici;</w:t>
      </w:r>
    </w:p>
    <w:p w14:paraId="00F756BA" w14:textId="77777777" w:rsidR="009316F8" w:rsidRPr="002A6F4E" w:rsidRDefault="009316F8" w:rsidP="00A23ED0">
      <w:pPr>
        <w:pStyle w:val="ListParagraph"/>
        <w:numPr>
          <w:ilvl w:val="1"/>
          <w:numId w:val="69"/>
        </w:numPr>
        <w:spacing w:before="80" w:after="80" w:line="360" w:lineRule="auto"/>
        <w:contextualSpacing w:val="0"/>
        <w:rPr>
          <w:rFonts w:ascii="Arial" w:hAnsi="Arial" w:cs="Arial"/>
          <w:lang w:val="sq-AL"/>
        </w:rPr>
      </w:pPr>
      <w:r w:rsidRPr="002A6F4E">
        <w:rPr>
          <w:rFonts w:ascii="Arial" w:hAnsi="Arial" w:cs="Arial"/>
          <w:lang w:val="sq-AL"/>
        </w:rPr>
        <w:t>30 EUR/t za MRF u Bjelom Polju i Baru (Opcija zoniranja 2);</w:t>
      </w:r>
    </w:p>
    <w:p w14:paraId="2BC6C582" w14:textId="77777777" w:rsidR="009316F8" w:rsidRPr="002A6F4E" w:rsidRDefault="009316F8" w:rsidP="009316F8">
      <w:pPr>
        <w:pStyle w:val="ListParagraph"/>
        <w:spacing w:line="360" w:lineRule="auto"/>
        <w:ind w:firstLine="720"/>
        <w:rPr>
          <w:rFonts w:ascii="Arial" w:hAnsi="Arial" w:cs="Arial"/>
          <w:lang w:val="sq-AL"/>
        </w:rPr>
      </w:pPr>
      <w:r w:rsidRPr="002A6F4E">
        <w:rPr>
          <w:rFonts w:ascii="Arial" w:hAnsi="Arial" w:cs="Arial"/>
          <w:lang w:val="sq-AL"/>
        </w:rPr>
        <w:t>40 EUR/t za MRF u Nikšiću, Herceg Novom, Kotoru, Budvi i Baru;</w:t>
      </w:r>
    </w:p>
    <w:p w14:paraId="0393DEF4" w14:textId="77777777" w:rsidR="009316F8" w:rsidRPr="002A6F4E" w:rsidRDefault="009316F8" w:rsidP="00A23ED0">
      <w:pPr>
        <w:pStyle w:val="ListParagraph"/>
        <w:numPr>
          <w:ilvl w:val="1"/>
          <w:numId w:val="69"/>
        </w:numPr>
        <w:spacing w:before="80" w:after="80" w:line="360" w:lineRule="auto"/>
        <w:contextualSpacing w:val="0"/>
        <w:rPr>
          <w:rFonts w:ascii="Arial" w:hAnsi="Arial" w:cs="Arial"/>
          <w:lang w:val="sq-AL"/>
        </w:rPr>
      </w:pPr>
      <w:r w:rsidRPr="002A6F4E">
        <w:rPr>
          <w:rFonts w:ascii="Arial" w:hAnsi="Arial" w:cs="Arial"/>
          <w:lang w:val="sq-AL"/>
        </w:rPr>
        <w:t>50 EUR/t za MRF na Žabljaku;</w:t>
      </w:r>
    </w:p>
    <w:p w14:paraId="5ADCE3A2" w14:textId="24F35DB7" w:rsidR="009316F8" w:rsidRPr="002A6F4E" w:rsidRDefault="009316F8" w:rsidP="00A23ED0">
      <w:pPr>
        <w:pStyle w:val="ListParagraph"/>
        <w:numPr>
          <w:ilvl w:val="0"/>
          <w:numId w:val="69"/>
        </w:numPr>
        <w:spacing w:before="80" w:after="80" w:line="360" w:lineRule="auto"/>
        <w:contextualSpacing w:val="0"/>
        <w:rPr>
          <w:rFonts w:ascii="Arial" w:hAnsi="Arial" w:cs="Arial"/>
          <w:lang w:val="sq-AL"/>
        </w:rPr>
      </w:pPr>
      <w:r w:rsidRPr="002A6F4E">
        <w:rPr>
          <w:rFonts w:ascii="Arial" w:hAnsi="Arial" w:cs="Arial"/>
          <w:lang w:val="sq-AL"/>
        </w:rPr>
        <w:t xml:space="preserve">Troškovi </w:t>
      </w:r>
      <w:r w:rsidR="00A73165">
        <w:rPr>
          <w:rFonts w:ascii="Arial" w:hAnsi="Arial" w:cs="Arial"/>
          <w:lang w:val="sq-AL"/>
        </w:rPr>
        <w:t>obrade</w:t>
      </w:r>
      <w:r w:rsidR="00A73165" w:rsidRPr="002A6F4E">
        <w:rPr>
          <w:rFonts w:ascii="Arial" w:hAnsi="Arial" w:cs="Arial"/>
          <w:lang w:val="sq-AL"/>
        </w:rPr>
        <w:t xml:space="preserve"> </w:t>
      </w:r>
      <w:r w:rsidRPr="002A6F4E">
        <w:rPr>
          <w:rFonts w:ascii="Arial" w:hAnsi="Arial" w:cs="Arial"/>
          <w:lang w:val="sq-AL"/>
        </w:rPr>
        <w:t>odvojeno sakupljenog biootpada u postrojenjima za kompostiranje su sljedeći:</w:t>
      </w:r>
    </w:p>
    <w:p w14:paraId="6715ADC1" w14:textId="77777777" w:rsidR="009316F8" w:rsidRPr="002A6F4E" w:rsidRDefault="009316F8" w:rsidP="00A23ED0">
      <w:pPr>
        <w:pStyle w:val="ListParagraph"/>
        <w:numPr>
          <w:ilvl w:val="1"/>
          <w:numId w:val="69"/>
        </w:numPr>
        <w:spacing w:before="80" w:after="80" w:line="360" w:lineRule="auto"/>
        <w:contextualSpacing w:val="0"/>
        <w:rPr>
          <w:rFonts w:ascii="Arial" w:hAnsi="Arial" w:cs="Arial"/>
          <w:lang w:val="sq-AL"/>
        </w:rPr>
      </w:pPr>
      <w:r w:rsidRPr="002A6F4E">
        <w:rPr>
          <w:rFonts w:ascii="Arial" w:hAnsi="Arial" w:cs="Arial"/>
          <w:lang w:val="sq-AL"/>
        </w:rPr>
        <w:t>20 EUR/t za postrojenje za kompostiranje u Podgorici</w:t>
      </w:r>
    </w:p>
    <w:p w14:paraId="45B7BCD9" w14:textId="3EA43899" w:rsidR="009316F8" w:rsidRPr="002A6F4E" w:rsidRDefault="009316F8" w:rsidP="00A23ED0">
      <w:pPr>
        <w:pStyle w:val="ListParagraph"/>
        <w:numPr>
          <w:ilvl w:val="1"/>
          <w:numId w:val="69"/>
        </w:numPr>
        <w:spacing w:before="80" w:after="80" w:line="360" w:lineRule="auto"/>
        <w:contextualSpacing w:val="0"/>
        <w:rPr>
          <w:rFonts w:ascii="Arial" w:hAnsi="Arial" w:cs="Arial"/>
          <w:lang w:val="sq-AL"/>
        </w:rPr>
      </w:pPr>
      <w:r w:rsidRPr="002A6F4E">
        <w:rPr>
          <w:rFonts w:ascii="Arial" w:hAnsi="Arial" w:cs="Arial"/>
          <w:lang w:val="sq-AL"/>
        </w:rPr>
        <w:t>25 EUR/t za postrojenje za kompostiranje u Bjelom Polju i Ulcinju (Opcija zoniranja</w:t>
      </w:r>
      <w:r w:rsidR="00EF1AC6">
        <w:rPr>
          <w:rFonts w:ascii="Arial" w:hAnsi="Arial" w:cs="Arial"/>
          <w:lang w:val="sq-AL"/>
        </w:rPr>
        <w:t xml:space="preserve"> 2</w:t>
      </w:r>
      <w:r w:rsidRPr="002A6F4E">
        <w:rPr>
          <w:rFonts w:ascii="Arial" w:hAnsi="Arial" w:cs="Arial"/>
          <w:lang w:val="sq-AL"/>
        </w:rPr>
        <w:t>);</w:t>
      </w:r>
    </w:p>
    <w:p w14:paraId="34D4B4B6" w14:textId="77777777" w:rsidR="009316F8" w:rsidRPr="002A6F4E" w:rsidRDefault="009316F8" w:rsidP="00A23ED0">
      <w:pPr>
        <w:pStyle w:val="ListParagraph"/>
        <w:numPr>
          <w:ilvl w:val="1"/>
          <w:numId w:val="69"/>
        </w:numPr>
        <w:spacing w:before="80" w:after="80" w:line="360" w:lineRule="auto"/>
        <w:contextualSpacing w:val="0"/>
        <w:rPr>
          <w:rFonts w:ascii="Arial" w:hAnsi="Arial" w:cs="Arial"/>
          <w:lang w:val="sq-AL"/>
        </w:rPr>
      </w:pPr>
      <w:r w:rsidRPr="002A6F4E">
        <w:rPr>
          <w:rFonts w:ascii="Arial" w:hAnsi="Arial" w:cs="Arial"/>
          <w:lang w:val="sq-AL"/>
        </w:rPr>
        <w:t>30 EUR/t za postrojenje za kompostiranje u Nikšiću;</w:t>
      </w:r>
    </w:p>
    <w:p w14:paraId="5F2588D3" w14:textId="77777777" w:rsidR="009316F8" w:rsidRPr="002A6F4E" w:rsidRDefault="009316F8" w:rsidP="00A23ED0">
      <w:pPr>
        <w:pStyle w:val="ListParagraph"/>
        <w:numPr>
          <w:ilvl w:val="1"/>
          <w:numId w:val="69"/>
        </w:numPr>
        <w:spacing w:before="80" w:after="80" w:line="360" w:lineRule="auto"/>
        <w:contextualSpacing w:val="0"/>
        <w:rPr>
          <w:rFonts w:ascii="Arial" w:hAnsi="Arial" w:cs="Arial"/>
          <w:lang w:val="sq-AL"/>
        </w:rPr>
      </w:pPr>
      <w:r w:rsidRPr="002A6F4E">
        <w:rPr>
          <w:rFonts w:ascii="Arial" w:hAnsi="Arial" w:cs="Arial"/>
          <w:lang w:val="sq-AL"/>
        </w:rPr>
        <w:t>40 EUR/t za postrojenje za kompostiranje na Žabljaku, Herceg Novom, Kotor, Budva;</w:t>
      </w:r>
    </w:p>
    <w:p w14:paraId="3DFEF745" w14:textId="010D1A4E" w:rsidR="009316F8" w:rsidRPr="002A6F4E" w:rsidRDefault="009316F8" w:rsidP="00A23ED0">
      <w:pPr>
        <w:pStyle w:val="ListParagraph"/>
        <w:numPr>
          <w:ilvl w:val="0"/>
          <w:numId w:val="69"/>
        </w:numPr>
        <w:spacing w:before="80" w:after="80" w:line="360" w:lineRule="auto"/>
        <w:contextualSpacing w:val="0"/>
        <w:rPr>
          <w:rFonts w:ascii="Arial" w:hAnsi="Arial" w:cs="Arial"/>
          <w:lang w:val="sq-AL"/>
        </w:rPr>
      </w:pPr>
      <w:r w:rsidRPr="002A6F4E">
        <w:rPr>
          <w:rFonts w:ascii="Arial" w:hAnsi="Arial" w:cs="Arial"/>
          <w:lang w:val="sq-AL"/>
        </w:rPr>
        <w:lastRenderedPageBreak/>
        <w:t xml:space="preserve">Troškovi u vezi sa </w:t>
      </w:r>
      <w:r w:rsidR="00346F9D">
        <w:rPr>
          <w:rFonts w:ascii="Arial" w:hAnsi="Arial" w:cs="Arial"/>
          <w:lang w:val="sq-AL"/>
        </w:rPr>
        <w:t>obradom</w:t>
      </w:r>
      <w:r w:rsidR="00346F9D" w:rsidRPr="002A6F4E">
        <w:rPr>
          <w:rFonts w:ascii="Arial" w:hAnsi="Arial" w:cs="Arial"/>
          <w:lang w:val="sq-AL"/>
        </w:rPr>
        <w:t xml:space="preserve"> </w:t>
      </w:r>
      <w:r w:rsidRPr="002A6F4E">
        <w:rPr>
          <w:rFonts w:ascii="Arial" w:hAnsi="Arial" w:cs="Arial"/>
          <w:lang w:val="sq-AL"/>
        </w:rPr>
        <w:t xml:space="preserve">organskog otpada u postrojenjima za </w:t>
      </w:r>
      <w:r w:rsidR="00346F9D">
        <w:rPr>
          <w:rFonts w:ascii="Arial" w:hAnsi="Arial" w:cs="Arial"/>
          <w:lang w:val="sq-AL"/>
        </w:rPr>
        <w:t>obradu</w:t>
      </w:r>
      <w:r w:rsidR="00346F9D" w:rsidRPr="002A6F4E">
        <w:rPr>
          <w:rFonts w:ascii="Arial" w:hAnsi="Arial" w:cs="Arial"/>
          <w:lang w:val="sq-AL"/>
        </w:rPr>
        <w:t xml:space="preserve"> </w:t>
      </w:r>
      <w:r w:rsidRPr="002A6F4E">
        <w:rPr>
          <w:rFonts w:ascii="Arial" w:hAnsi="Arial" w:cs="Arial"/>
          <w:lang w:val="sq-AL"/>
        </w:rPr>
        <w:t>se pretpostavljaju kao što slijedi:</w:t>
      </w:r>
    </w:p>
    <w:p w14:paraId="7960EC21" w14:textId="6EB6E552" w:rsidR="009316F8" w:rsidRPr="002A6F4E" w:rsidRDefault="009316F8" w:rsidP="00A23ED0">
      <w:pPr>
        <w:pStyle w:val="ListParagraph"/>
        <w:numPr>
          <w:ilvl w:val="1"/>
          <w:numId w:val="69"/>
        </w:numPr>
        <w:spacing w:before="80" w:after="80" w:line="360" w:lineRule="auto"/>
        <w:contextualSpacing w:val="0"/>
        <w:rPr>
          <w:rFonts w:ascii="Arial" w:hAnsi="Arial" w:cs="Arial"/>
          <w:lang w:val="sq-AL"/>
        </w:rPr>
      </w:pPr>
      <w:r w:rsidRPr="002A6F4E">
        <w:rPr>
          <w:rFonts w:ascii="Arial" w:hAnsi="Arial" w:cs="Arial"/>
          <w:lang w:val="sq-AL"/>
        </w:rPr>
        <w:t>30 EUR/t za MBT postrojenje u Podgorici (Opcija zoniranja 1);</w:t>
      </w:r>
    </w:p>
    <w:p w14:paraId="164F9491" w14:textId="79886376" w:rsidR="009316F8" w:rsidRPr="002A6F4E" w:rsidRDefault="009316F8" w:rsidP="00A23ED0">
      <w:pPr>
        <w:pStyle w:val="ListParagraph"/>
        <w:numPr>
          <w:ilvl w:val="1"/>
          <w:numId w:val="69"/>
        </w:numPr>
        <w:spacing w:before="80" w:after="80" w:line="360" w:lineRule="auto"/>
        <w:contextualSpacing w:val="0"/>
        <w:rPr>
          <w:rFonts w:ascii="Arial" w:hAnsi="Arial" w:cs="Arial"/>
          <w:lang w:val="sq-AL"/>
        </w:rPr>
      </w:pPr>
      <w:r w:rsidRPr="002A6F4E">
        <w:rPr>
          <w:rFonts w:ascii="Arial" w:hAnsi="Arial" w:cs="Arial"/>
          <w:lang w:val="sq-AL"/>
        </w:rPr>
        <w:t>25 EUR/t za MBT postrojenje u Podgorici (Opcija zoniranja 2);</w:t>
      </w:r>
    </w:p>
    <w:p w14:paraId="06034BC8" w14:textId="005CA82C" w:rsidR="009316F8" w:rsidRPr="002A6F4E" w:rsidRDefault="009316F8" w:rsidP="00A23ED0">
      <w:pPr>
        <w:pStyle w:val="ListParagraph"/>
        <w:numPr>
          <w:ilvl w:val="1"/>
          <w:numId w:val="69"/>
        </w:numPr>
        <w:spacing w:before="80" w:after="80" w:line="360" w:lineRule="auto"/>
        <w:contextualSpacing w:val="0"/>
        <w:rPr>
          <w:rFonts w:ascii="Arial" w:hAnsi="Arial" w:cs="Arial"/>
          <w:lang w:val="sq-AL"/>
        </w:rPr>
      </w:pPr>
      <w:r w:rsidRPr="002A6F4E">
        <w:rPr>
          <w:rFonts w:ascii="Arial" w:hAnsi="Arial" w:cs="Arial"/>
          <w:lang w:val="sq-AL"/>
        </w:rPr>
        <w:t>35 EUR/t za MBT postrojenje u Bjelom Polju;</w:t>
      </w:r>
    </w:p>
    <w:p w14:paraId="477EE79C" w14:textId="77777777" w:rsidR="009316F8" w:rsidRPr="002A6F4E" w:rsidRDefault="009316F8" w:rsidP="00A23ED0">
      <w:pPr>
        <w:pStyle w:val="ListParagraph"/>
        <w:numPr>
          <w:ilvl w:val="0"/>
          <w:numId w:val="69"/>
        </w:numPr>
        <w:spacing w:before="80" w:after="80" w:line="360" w:lineRule="auto"/>
        <w:contextualSpacing w:val="0"/>
        <w:rPr>
          <w:rFonts w:ascii="Arial" w:hAnsi="Arial" w:cs="Arial"/>
          <w:lang w:val="sq-AL"/>
        </w:rPr>
      </w:pPr>
      <w:r w:rsidRPr="002A6F4E">
        <w:rPr>
          <w:rFonts w:ascii="Arial" w:hAnsi="Arial" w:cs="Arial"/>
          <w:lang w:val="sq-AL"/>
        </w:rPr>
        <w:t>Troškovi odlaganja otpada (tj. deponije) procijenjeni su na 10 EUR/t u cijeloj zemlji;</w:t>
      </w:r>
    </w:p>
    <w:p w14:paraId="6A882F19" w14:textId="77777777" w:rsidR="009316F8" w:rsidRPr="002A6F4E" w:rsidRDefault="009316F8" w:rsidP="00A23ED0">
      <w:pPr>
        <w:pStyle w:val="ListParagraph"/>
        <w:numPr>
          <w:ilvl w:val="0"/>
          <w:numId w:val="69"/>
        </w:numPr>
        <w:spacing w:before="80" w:after="80" w:line="360" w:lineRule="auto"/>
        <w:contextualSpacing w:val="0"/>
        <w:rPr>
          <w:rFonts w:ascii="Arial" w:hAnsi="Arial" w:cs="Arial"/>
          <w:lang w:val="sq-AL"/>
        </w:rPr>
      </w:pPr>
      <w:r w:rsidRPr="002A6F4E">
        <w:rPr>
          <w:rFonts w:ascii="Arial" w:hAnsi="Arial" w:cs="Arial"/>
          <w:lang w:val="sq-AL"/>
        </w:rPr>
        <w:t>Troškovi monitoringa zatvorenih deponija procijenjeni su na 35.000 EUR/god.</w:t>
      </w:r>
    </w:p>
    <w:p w14:paraId="0583D3B6" w14:textId="67D288B8"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 xml:space="preserve">Projekcije prihoda su zasnovane na ulaznim cijenama koje kombinuju trenutne nivoe, kao i iskustvo regiona i EU u pogledu postrojenja i tržišta slične strukture. </w:t>
      </w:r>
      <w:r w:rsidR="00926146">
        <w:rPr>
          <w:rFonts w:ascii="Arial" w:hAnsi="Arial" w:cs="Arial"/>
          <w:lang w:val="sq-AL"/>
        </w:rPr>
        <w:t>Očekivani prihodi za učesnike</w:t>
      </w:r>
      <w:r w:rsidRPr="002A6F4E">
        <w:rPr>
          <w:rFonts w:ascii="Arial" w:hAnsi="Arial" w:cs="Arial"/>
          <w:lang w:val="sq-AL"/>
        </w:rPr>
        <w:t xml:space="preserve"> sistema upravljanj</w:t>
      </w:r>
      <w:r w:rsidR="00926146">
        <w:rPr>
          <w:rFonts w:ascii="Arial" w:hAnsi="Arial" w:cs="Arial"/>
          <w:lang w:val="sq-AL"/>
        </w:rPr>
        <w:t>a otpadom Crne Gore su sljedeći</w:t>
      </w:r>
      <w:r w:rsidRPr="002A6F4E">
        <w:rPr>
          <w:rFonts w:ascii="Arial" w:hAnsi="Arial" w:cs="Arial"/>
          <w:lang w:val="sq-AL"/>
        </w:rPr>
        <w:t xml:space="preserve">: </w:t>
      </w:r>
    </w:p>
    <w:p w14:paraId="2D5DA9BC" w14:textId="77777777" w:rsidR="009316F8" w:rsidRPr="002A6F4E" w:rsidRDefault="009316F8" w:rsidP="00A23ED0">
      <w:pPr>
        <w:pStyle w:val="ListParagraph"/>
        <w:numPr>
          <w:ilvl w:val="0"/>
          <w:numId w:val="70"/>
        </w:numPr>
        <w:spacing w:before="120" w:after="120" w:line="360" w:lineRule="auto"/>
        <w:rPr>
          <w:rFonts w:ascii="Arial" w:hAnsi="Arial" w:cs="Arial"/>
          <w:lang w:val="sq-AL"/>
        </w:rPr>
      </w:pPr>
      <w:r w:rsidRPr="002A6F4E">
        <w:rPr>
          <w:rFonts w:ascii="Arial" w:hAnsi="Arial" w:cs="Arial"/>
          <w:lang w:val="sq-AL"/>
        </w:rPr>
        <w:t>Papir/karton: 185 EUR/t za odvojeno sakupljeni materijal i 20 EUR/t za materijal sakupljen od rezidualnog otpada;</w:t>
      </w:r>
    </w:p>
    <w:p w14:paraId="7D45691C" w14:textId="77777777" w:rsidR="009316F8" w:rsidRPr="002A6F4E" w:rsidRDefault="009316F8" w:rsidP="00A23ED0">
      <w:pPr>
        <w:pStyle w:val="ListParagraph"/>
        <w:numPr>
          <w:ilvl w:val="0"/>
          <w:numId w:val="70"/>
        </w:numPr>
        <w:spacing w:before="120" w:after="120" w:line="360" w:lineRule="auto"/>
        <w:rPr>
          <w:rFonts w:ascii="Arial" w:hAnsi="Arial" w:cs="Arial"/>
          <w:lang w:val="sq-AL"/>
        </w:rPr>
      </w:pPr>
      <w:r w:rsidRPr="002A6F4E">
        <w:rPr>
          <w:rFonts w:ascii="Arial" w:hAnsi="Arial" w:cs="Arial"/>
          <w:lang w:val="sq-AL"/>
        </w:rPr>
        <w:t>Plastika: 325 EUR/t za odvojeno sakupljeni materijal i 35 EUR/t za materijal sakupljen od ostatka otpada;</w:t>
      </w:r>
    </w:p>
    <w:p w14:paraId="6ADE52E0" w14:textId="77777777" w:rsidR="009316F8" w:rsidRPr="002A6F4E" w:rsidRDefault="009316F8" w:rsidP="00A23ED0">
      <w:pPr>
        <w:pStyle w:val="ListParagraph"/>
        <w:numPr>
          <w:ilvl w:val="0"/>
          <w:numId w:val="70"/>
        </w:numPr>
        <w:spacing w:before="120" w:after="120" w:line="360" w:lineRule="auto"/>
        <w:rPr>
          <w:rFonts w:ascii="Arial" w:hAnsi="Arial" w:cs="Arial"/>
          <w:lang w:val="sq-AL"/>
        </w:rPr>
      </w:pPr>
      <w:r w:rsidRPr="002A6F4E">
        <w:rPr>
          <w:rFonts w:ascii="Arial" w:hAnsi="Arial" w:cs="Arial"/>
          <w:lang w:val="sq-AL"/>
        </w:rPr>
        <w:t>Metali: 400 EUR/t za odvojeno sakupljeni materijal i 300 EUR/t za materijal sakupljen od rezidualnog otpada;</w:t>
      </w:r>
    </w:p>
    <w:p w14:paraId="6E1E5761" w14:textId="77777777" w:rsidR="009316F8" w:rsidRPr="002A6F4E" w:rsidRDefault="009316F8" w:rsidP="00A23ED0">
      <w:pPr>
        <w:pStyle w:val="ListParagraph"/>
        <w:numPr>
          <w:ilvl w:val="0"/>
          <w:numId w:val="70"/>
        </w:numPr>
        <w:spacing w:before="120" w:after="120" w:line="360" w:lineRule="auto"/>
        <w:rPr>
          <w:rFonts w:ascii="Arial" w:hAnsi="Arial" w:cs="Arial"/>
          <w:lang w:val="sq-AL"/>
        </w:rPr>
      </w:pPr>
      <w:r w:rsidRPr="002A6F4E">
        <w:rPr>
          <w:rFonts w:ascii="Arial" w:hAnsi="Arial" w:cs="Arial"/>
          <w:lang w:val="sq-AL"/>
        </w:rPr>
        <w:t>Staklo: 65 EUR/t za odvojeno sakupljen materijal;</w:t>
      </w:r>
    </w:p>
    <w:p w14:paraId="1D0B15C2" w14:textId="77777777" w:rsidR="009316F8" w:rsidRPr="002A6F4E" w:rsidRDefault="009316F8" w:rsidP="00A23ED0">
      <w:pPr>
        <w:pStyle w:val="ListParagraph"/>
        <w:numPr>
          <w:ilvl w:val="0"/>
          <w:numId w:val="70"/>
        </w:numPr>
        <w:spacing w:before="120" w:after="120" w:line="360" w:lineRule="auto"/>
        <w:rPr>
          <w:rFonts w:ascii="Arial" w:hAnsi="Arial" w:cs="Arial"/>
          <w:lang w:val="sq-AL"/>
        </w:rPr>
      </w:pPr>
      <w:r w:rsidRPr="002A6F4E">
        <w:rPr>
          <w:rFonts w:ascii="Arial" w:hAnsi="Arial" w:cs="Arial"/>
          <w:lang w:val="sq-AL"/>
        </w:rPr>
        <w:t>Kompost: 5 EUR/t za kompost proizveden od odvojeno sakupljenog biootpada;</w:t>
      </w:r>
    </w:p>
    <w:p w14:paraId="4D4E6E25" w14:textId="713AE371" w:rsidR="009316F8" w:rsidRDefault="009316F8" w:rsidP="00A23ED0">
      <w:pPr>
        <w:pStyle w:val="ListParagraph"/>
        <w:numPr>
          <w:ilvl w:val="0"/>
          <w:numId w:val="70"/>
        </w:numPr>
        <w:spacing w:before="120" w:after="120" w:line="360" w:lineRule="auto"/>
        <w:rPr>
          <w:rFonts w:ascii="Arial" w:hAnsi="Arial" w:cs="Arial"/>
          <w:lang w:val="sq-AL"/>
        </w:rPr>
      </w:pPr>
      <w:r w:rsidRPr="002A6F4E">
        <w:rPr>
          <w:rFonts w:ascii="Arial" w:hAnsi="Arial" w:cs="Arial"/>
          <w:lang w:val="sq-AL"/>
        </w:rPr>
        <w:t>Energija: 70 EUR/t za gorivo i energiju iz recikliranog otpada</w:t>
      </w:r>
      <w:r w:rsidR="00346F9D">
        <w:rPr>
          <w:rFonts w:ascii="Arial" w:hAnsi="Arial" w:cs="Arial"/>
          <w:lang w:val="sq-AL"/>
        </w:rPr>
        <w:t>.</w:t>
      </w:r>
    </w:p>
    <w:p w14:paraId="53BFAD4A" w14:textId="77777777" w:rsidR="0054241B" w:rsidRPr="002A6F4E" w:rsidRDefault="0054241B" w:rsidP="00A23ED0">
      <w:pPr>
        <w:pStyle w:val="ListParagraph"/>
        <w:numPr>
          <w:ilvl w:val="0"/>
          <w:numId w:val="70"/>
        </w:numPr>
        <w:spacing w:before="120" w:after="120" w:line="360" w:lineRule="auto"/>
        <w:rPr>
          <w:rFonts w:ascii="Arial" w:hAnsi="Arial" w:cs="Arial"/>
          <w:lang w:val="sq-AL"/>
        </w:rPr>
      </w:pPr>
    </w:p>
    <w:p w14:paraId="54E463E5" w14:textId="5B24F06A" w:rsidR="009316F8" w:rsidRPr="001A0113" w:rsidRDefault="009751D2" w:rsidP="007378E8">
      <w:pPr>
        <w:pStyle w:val="Heading3"/>
        <w:rPr>
          <w:lang w:val="sq-AL"/>
        </w:rPr>
      </w:pPr>
      <w:bookmarkStart w:id="1275" w:name="_Toc121759097"/>
      <w:bookmarkStart w:id="1276" w:name="_Toc120173936"/>
      <w:bookmarkStart w:id="1277" w:name="_Toc189759728"/>
      <w:bookmarkStart w:id="1278" w:name="_Toc193354054"/>
      <w:r>
        <w:rPr>
          <w:lang w:val="sq-AL"/>
        </w:rPr>
        <w:t>5.40</w:t>
      </w:r>
      <w:r w:rsidR="003D1C94" w:rsidRPr="001A0113">
        <w:rPr>
          <w:lang w:val="sq-AL"/>
        </w:rPr>
        <w:t>.</w:t>
      </w:r>
      <w:r w:rsidR="00267FAF" w:rsidRPr="001A0113">
        <w:rPr>
          <w:lang w:val="sq-AL"/>
        </w:rPr>
        <w:t>3.</w:t>
      </w:r>
      <w:r w:rsidR="003D1C94" w:rsidRPr="001A0113">
        <w:rPr>
          <w:lang w:val="sq-AL"/>
        </w:rPr>
        <w:t xml:space="preserve"> </w:t>
      </w:r>
      <w:r w:rsidR="009316F8" w:rsidRPr="001A0113">
        <w:rPr>
          <w:lang w:val="sq-AL"/>
        </w:rPr>
        <w:t>Naknada amortizacije</w:t>
      </w:r>
      <w:bookmarkEnd w:id="1275"/>
      <w:bookmarkEnd w:id="1276"/>
      <w:bookmarkEnd w:id="1277"/>
      <w:bookmarkEnd w:id="1278"/>
    </w:p>
    <w:p w14:paraId="58D93BF4" w14:textId="77777777" w:rsidR="009316F8" w:rsidRDefault="009316F8" w:rsidP="009316F8">
      <w:pPr>
        <w:spacing w:before="120" w:after="120" w:line="360" w:lineRule="auto"/>
        <w:rPr>
          <w:rFonts w:ascii="Arial" w:hAnsi="Arial" w:cs="Arial"/>
          <w:lang w:val="sq-AL" w:eastAsia="pl-PL"/>
        </w:rPr>
      </w:pPr>
      <w:r w:rsidRPr="002A6F4E">
        <w:rPr>
          <w:rFonts w:ascii="Arial" w:hAnsi="Arial" w:cs="Arial"/>
          <w:lang w:val="sq-AL" w:eastAsia="pl-PL"/>
        </w:rPr>
        <w:t>Princip punog povrata troškova zahtijeva da se generiše dovoljno prihoda za pokrivanje, između ostalog, kapitalnih troškova kroz obezbjeđivanje amortizacije. U idealnom slučaju, tarife bi trebalo da budu uspostavljene na nivou koji je dovoljno visok da omogući redovno održavanje kapitala kako bi se obezbijedilo održivo poslovanje.</w:t>
      </w:r>
    </w:p>
    <w:p w14:paraId="7B67D050" w14:textId="77777777" w:rsidR="0054241B" w:rsidRPr="002A6F4E" w:rsidRDefault="0054241B" w:rsidP="009316F8">
      <w:pPr>
        <w:spacing w:before="120" w:after="120" w:line="360" w:lineRule="auto"/>
        <w:rPr>
          <w:rFonts w:ascii="Arial" w:hAnsi="Arial" w:cs="Arial"/>
          <w:lang w:val="sq-AL" w:eastAsia="pl-PL"/>
        </w:rPr>
      </w:pPr>
    </w:p>
    <w:p w14:paraId="243B29EC" w14:textId="77777777" w:rsidR="009316F8" w:rsidRPr="0023111A" w:rsidRDefault="009316F8" w:rsidP="009316F8">
      <w:pPr>
        <w:spacing w:before="120" w:after="120" w:line="360" w:lineRule="auto"/>
        <w:rPr>
          <w:rFonts w:ascii="Arial" w:hAnsi="Arial" w:cs="Arial"/>
          <w:b/>
          <w:lang w:val="sq-AL"/>
        </w:rPr>
      </w:pPr>
      <w:r w:rsidRPr="0023111A">
        <w:rPr>
          <w:rFonts w:ascii="Arial" w:hAnsi="Arial" w:cs="Arial"/>
          <w:b/>
          <w:lang w:val="sq-AL"/>
        </w:rPr>
        <w:t>Razmatranje tarifa</w:t>
      </w:r>
    </w:p>
    <w:p w14:paraId="2BCD3C5E" w14:textId="31F3FB6C" w:rsidR="00EE5DF4" w:rsidRDefault="009316F8" w:rsidP="009316F8">
      <w:pPr>
        <w:spacing w:before="120" w:after="120" w:line="360" w:lineRule="auto"/>
        <w:rPr>
          <w:rFonts w:ascii="Arial" w:hAnsi="Arial" w:cs="Arial"/>
          <w:lang w:val="sq-AL" w:eastAsia="pl-PL"/>
        </w:rPr>
      </w:pPr>
      <w:r w:rsidRPr="002A6F4E">
        <w:rPr>
          <w:rFonts w:ascii="Arial" w:hAnsi="Arial" w:cs="Arial"/>
          <w:lang w:val="sq-AL" w:eastAsia="pl-PL"/>
        </w:rPr>
        <w:t xml:space="preserve">Važeći sistem tarifa je zasnovan na principu </w:t>
      </w:r>
      <w:r w:rsidR="00FB5884">
        <w:rPr>
          <w:rFonts w:ascii="Arial" w:hAnsi="Arial" w:cs="Arial"/>
          <w:lang w:val="sq-AL" w:eastAsia="pl-PL"/>
        </w:rPr>
        <w:t>“zagađivač plaća”</w:t>
      </w:r>
      <w:r w:rsidRPr="002A6F4E">
        <w:rPr>
          <w:rFonts w:ascii="Arial" w:hAnsi="Arial" w:cs="Arial"/>
          <w:lang w:val="sq-AL" w:eastAsia="pl-PL"/>
        </w:rPr>
        <w:t xml:space="preserve"> definisan članom 4 i članom 84 Zakona o upravljanju otpadom.</w:t>
      </w:r>
    </w:p>
    <w:p w14:paraId="668905CC" w14:textId="77777777" w:rsidR="0054241B" w:rsidRDefault="0054241B" w:rsidP="009316F8">
      <w:pPr>
        <w:spacing w:before="120" w:after="120" w:line="360" w:lineRule="auto"/>
        <w:rPr>
          <w:rFonts w:ascii="Arial" w:hAnsi="Arial" w:cs="Arial"/>
          <w:lang w:val="sq-AL" w:eastAsia="pl-PL"/>
        </w:rPr>
      </w:pPr>
    </w:p>
    <w:p w14:paraId="31B049FD" w14:textId="77777777" w:rsidR="0054241B" w:rsidRDefault="0054241B" w:rsidP="009316F8">
      <w:pPr>
        <w:spacing w:before="120" w:after="120" w:line="360" w:lineRule="auto"/>
        <w:rPr>
          <w:rFonts w:ascii="Arial" w:hAnsi="Arial" w:cs="Arial"/>
          <w:lang w:val="sq-AL" w:eastAsia="pl-PL"/>
        </w:rPr>
      </w:pPr>
    </w:p>
    <w:p w14:paraId="5C63C7A0" w14:textId="77777777" w:rsidR="0054241B" w:rsidRPr="002A6F4E" w:rsidRDefault="0054241B" w:rsidP="009316F8">
      <w:pPr>
        <w:spacing w:before="120" w:after="120" w:line="360" w:lineRule="auto"/>
        <w:rPr>
          <w:rFonts w:ascii="Arial" w:hAnsi="Arial" w:cs="Arial"/>
          <w:lang w:val="sq-AL" w:eastAsia="pl-PL"/>
        </w:rPr>
      </w:pPr>
    </w:p>
    <w:p w14:paraId="570DED2A" w14:textId="55D51ECF" w:rsidR="009316F8" w:rsidRPr="00C149AB" w:rsidRDefault="009316F8" w:rsidP="009316F8">
      <w:pPr>
        <w:pStyle w:val="Caption"/>
        <w:rPr>
          <w:rFonts w:ascii="Arial" w:eastAsia="Times New Roman" w:hAnsi="Arial" w:cs="Arial"/>
          <w:b w:val="0"/>
          <w:lang w:val="sq-AL" w:eastAsia="el-GR"/>
        </w:rPr>
      </w:pPr>
      <w:bookmarkStart w:id="1279" w:name="_Toc120177860"/>
      <w:bookmarkStart w:id="1280" w:name="_Toc189515691"/>
      <w:bookmarkStart w:id="1281" w:name="_Toc190160802"/>
      <w:r w:rsidRPr="00C149AB">
        <w:rPr>
          <w:rFonts w:ascii="Arial" w:hAnsi="Arial" w:cs="Arial"/>
          <w:b w:val="0"/>
          <w:lang w:val="sq-AL"/>
        </w:rPr>
        <w:lastRenderedPageBreak/>
        <w:t xml:space="preserve">Tabela </w:t>
      </w:r>
      <w:r w:rsidRPr="00C149AB">
        <w:rPr>
          <w:rFonts w:ascii="Arial" w:hAnsi="Arial" w:cs="Arial"/>
          <w:b w:val="0"/>
        </w:rPr>
        <w:fldChar w:fldCharType="begin"/>
      </w:r>
      <w:r w:rsidRPr="00C149AB">
        <w:rPr>
          <w:rFonts w:ascii="Arial" w:hAnsi="Arial" w:cs="Arial"/>
          <w:b w:val="0"/>
          <w:lang w:val="sq-AL"/>
        </w:rPr>
        <w:instrText xml:space="preserve"> SEQ Tabela \* ARABIC </w:instrText>
      </w:r>
      <w:r w:rsidRPr="00C149AB">
        <w:rPr>
          <w:rFonts w:ascii="Arial" w:hAnsi="Arial" w:cs="Arial"/>
          <w:b w:val="0"/>
        </w:rPr>
        <w:fldChar w:fldCharType="separate"/>
      </w:r>
      <w:r w:rsidR="007274DA">
        <w:rPr>
          <w:rFonts w:ascii="Arial" w:hAnsi="Arial" w:cs="Arial"/>
          <w:b w:val="0"/>
          <w:noProof/>
          <w:lang w:val="sq-AL"/>
        </w:rPr>
        <w:t>106</w:t>
      </w:r>
      <w:r w:rsidRPr="00C149AB">
        <w:rPr>
          <w:rFonts w:ascii="Arial" w:hAnsi="Arial" w:cs="Arial"/>
          <w:b w:val="0"/>
        </w:rPr>
        <w:fldChar w:fldCharType="end"/>
      </w:r>
      <w:r w:rsidRPr="00C149AB">
        <w:rPr>
          <w:rFonts w:ascii="Arial" w:eastAsia="Times New Roman" w:hAnsi="Arial" w:cs="Arial"/>
          <w:b w:val="0"/>
          <w:lang w:val="sq-AL" w:eastAsia="el-GR"/>
        </w:rPr>
        <w:t xml:space="preserve"> </w:t>
      </w:r>
      <w:bookmarkEnd w:id="1279"/>
      <w:r w:rsidRPr="00C149AB">
        <w:rPr>
          <w:rFonts w:ascii="Arial" w:hAnsi="Arial" w:cs="Arial"/>
          <w:b w:val="0"/>
          <w:bCs w:val="0"/>
          <w:lang w:val="sq-AL" w:eastAsia="pl-PL"/>
        </w:rPr>
        <w:t>Aktuelne tarife za odvoz otpada koje se naplaćuju domaćinstvima</w:t>
      </w:r>
      <w:bookmarkEnd w:id="1280"/>
      <w:bookmarkEnd w:id="1281"/>
      <w:r w:rsidR="00C149AB">
        <w:rPr>
          <w:rStyle w:val="FootnoteReference"/>
          <w:rFonts w:cs="Arial"/>
          <w:b w:val="0"/>
          <w:bCs w:val="0"/>
        </w:rPr>
        <w:footnoteReference w:id="39"/>
      </w:r>
    </w:p>
    <w:tbl>
      <w:tblPr>
        <w:tblW w:w="46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20"/>
        <w:gridCol w:w="1100"/>
        <w:gridCol w:w="1260"/>
      </w:tblGrid>
      <w:tr w:rsidR="009316F8" w:rsidRPr="00C149AB" w14:paraId="46FB5819" w14:textId="77777777" w:rsidTr="00FE289C">
        <w:trPr>
          <w:trHeight w:val="300"/>
          <w:jc w:val="center"/>
        </w:trPr>
        <w:tc>
          <w:tcPr>
            <w:tcW w:w="2320" w:type="dxa"/>
            <w:shd w:val="clear" w:color="auto" w:fill="F2F2F2" w:themeFill="background1" w:themeFillShade="F2"/>
            <w:noWrap/>
            <w:vAlign w:val="bottom"/>
          </w:tcPr>
          <w:p w14:paraId="4C504930" w14:textId="7A94CD46" w:rsidR="009316F8" w:rsidRPr="00C149AB" w:rsidRDefault="009316F8" w:rsidP="00FE289C">
            <w:pPr>
              <w:spacing w:before="40" w:after="40" w:line="360" w:lineRule="auto"/>
              <w:rPr>
                <w:rFonts w:ascii="Arial" w:eastAsia="Times New Roman" w:hAnsi="Arial" w:cs="Arial"/>
                <w:b/>
                <w:bCs/>
                <w:color w:val="000000"/>
                <w:sz w:val="18"/>
                <w:szCs w:val="18"/>
                <w:lang w:val="sq-AL"/>
              </w:rPr>
            </w:pPr>
            <w:r w:rsidRPr="00C149AB">
              <w:rPr>
                <w:rFonts w:ascii="Arial" w:eastAsia="Times New Roman" w:hAnsi="Arial" w:cs="Arial"/>
                <w:b/>
                <w:bCs/>
                <w:color w:val="000000"/>
                <w:sz w:val="18"/>
                <w:szCs w:val="18"/>
                <w:lang w:val="sq-AL"/>
              </w:rPr>
              <w:t>Opština (KP)</w:t>
            </w:r>
          </w:p>
        </w:tc>
        <w:tc>
          <w:tcPr>
            <w:tcW w:w="1100" w:type="dxa"/>
            <w:shd w:val="clear" w:color="auto" w:fill="F2F2F2" w:themeFill="background1" w:themeFillShade="F2"/>
            <w:noWrap/>
            <w:vAlign w:val="bottom"/>
          </w:tcPr>
          <w:p w14:paraId="3F14839D" w14:textId="77777777" w:rsidR="009316F8" w:rsidRPr="00C149AB" w:rsidRDefault="009316F8" w:rsidP="00FE289C">
            <w:pPr>
              <w:spacing w:before="40" w:after="40" w:line="360" w:lineRule="auto"/>
              <w:rPr>
                <w:rFonts w:ascii="Arial" w:eastAsia="Times New Roman" w:hAnsi="Arial" w:cs="Arial"/>
                <w:b/>
                <w:bCs/>
                <w:color w:val="000000"/>
                <w:sz w:val="18"/>
                <w:szCs w:val="18"/>
                <w:lang w:val="sq-AL"/>
              </w:rPr>
            </w:pPr>
            <w:r w:rsidRPr="00C149AB">
              <w:rPr>
                <w:rFonts w:ascii="Arial" w:eastAsia="Times New Roman" w:hAnsi="Arial" w:cs="Arial"/>
                <w:b/>
                <w:bCs/>
                <w:color w:val="000000"/>
                <w:sz w:val="18"/>
                <w:szCs w:val="18"/>
                <w:lang w:val="sq-AL"/>
              </w:rPr>
              <w:t>Region</w:t>
            </w:r>
          </w:p>
        </w:tc>
        <w:tc>
          <w:tcPr>
            <w:tcW w:w="1260" w:type="dxa"/>
            <w:shd w:val="clear" w:color="auto" w:fill="F2F2F2" w:themeFill="background1" w:themeFillShade="F2"/>
            <w:noWrap/>
            <w:vAlign w:val="bottom"/>
          </w:tcPr>
          <w:p w14:paraId="1109FB53" w14:textId="77777777" w:rsidR="009316F8" w:rsidRPr="00C149AB" w:rsidRDefault="009316F8" w:rsidP="00FE289C">
            <w:pPr>
              <w:spacing w:before="40" w:after="40" w:line="360" w:lineRule="auto"/>
              <w:rPr>
                <w:rFonts w:ascii="Arial" w:eastAsia="Times New Roman" w:hAnsi="Arial" w:cs="Arial"/>
                <w:b/>
                <w:bCs/>
                <w:color w:val="000000"/>
                <w:sz w:val="18"/>
                <w:szCs w:val="18"/>
                <w:lang w:val="sq-AL"/>
              </w:rPr>
            </w:pPr>
            <w:r w:rsidRPr="00C149AB">
              <w:rPr>
                <w:rFonts w:ascii="Arial" w:eastAsia="Times New Roman" w:hAnsi="Arial" w:cs="Arial"/>
                <w:b/>
                <w:bCs/>
                <w:color w:val="000000"/>
                <w:sz w:val="18"/>
                <w:szCs w:val="18"/>
                <w:lang w:val="sq-AL"/>
              </w:rPr>
              <w:t>EUR/m2</w:t>
            </w:r>
          </w:p>
        </w:tc>
      </w:tr>
      <w:tr w:rsidR="00527C24" w:rsidRPr="00C149AB" w14:paraId="523EF513" w14:textId="77777777" w:rsidTr="00FE289C">
        <w:trPr>
          <w:trHeight w:val="290"/>
          <w:jc w:val="center"/>
        </w:trPr>
        <w:tc>
          <w:tcPr>
            <w:tcW w:w="2320" w:type="dxa"/>
            <w:noWrap/>
            <w:vAlign w:val="bottom"/>
          </w:tcPr>
          <w:p w14:paraId="336F92B8"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Cetinje</w:t>
            </w:r>
          </w:p>
        </w:tc>
        <w:tc>
          <w:tcPr>
            <w:tcW w:w="1100" w:type="dxa"/>
            <w:noWrap/>
            <w:vAlign w:val="bottom"/>
          </w:tcPr>
          <w:p w14:paraId="5A5C7C4D"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Centralni</w:t>
            </w:r>
          </w:p>
        </w:tc>
        <w:tc>
          <w:tcPr>
            <w:tcW w:w="1260" w:type="dxa"/>
            <w:noWrap/>
            <w:vAlign w:val="bottom"/>
          </w:tcPr>
          <w:p w14:paraId="29197F8C" w14:textId="7C3F230A"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0.044</w:t>
            </w:r>
          </w:p>
        </w:tc>
      </w:tr>
      <w:tr w:rsidR="00527C24" w:rsidRPr="00C149AB" w14:paraId="4B481AEB" w14:textId="77777777" w:rsidTr="00FE289C">
        <w:trPr>
          <w:trHeight w:val="290"/>
          <w:jc w:val="center"/>
        </w:trPr>
        <w:tc>
          <w:tcPr>
            <w:tcW w:w="2320" w:type="dxa"/>
            <w:noWrap/>
            <w:vAlign w:val="bottom"/>
          </w:tcPr>
          <w:p w14:paraId="544CC43A"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Nikšić</w:t>
            </w:r>
          </w:p>
        </w:tc>
        <w:tc>
          <w:tcPr>
            <w:tcW w:w="1100" w:type="dxa"/>
            <w:noWrap/>
            <w:vAlign w:val="bottom"/>
          </w:tcPr>
          <w:p w14:paraId="2010B53F"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Centralni</w:t>
            </w:r>
          </w:p>
        </w:tc>
        <w:tc>
          <w:tcPr>
            <w:tcW w:w="1260" w:type="dxa"/>
            <w:noWrap/>
            <w:vAlign w:val="bottom"/>
          </w:tcPr>
          <w:p w14:paraId="3C05F300" w14:textId="5EA5F6A0"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0.085</w:t>
            </w:r>
          </w:p>
        </w:tc>
      </w:tr>
      <w:tr w:rsidR="00527C24" w:rsidRPr="00C149AB" w14:paraId="3E2B2913" w14:textId="77777777" w:rsidTr="00FE289C">
        <w:trPr>
          <w:trHeight w:val="290"/>
          <w:jc w:val="center"/>
        </w:trPr>
        <w:tc>
          <w:tcPr>
            <w:tcW w:w="2320" w:type="dxa"/>
            <w:noWrap/>
            <w:vAlign w:val="bottom"/>
          </w:tcPr>
          <w:p w14:paraId="283D93FF"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Podgorica</w:t>
            </w:r>
          </w:p>
        </w:tc>
        <w:tc>
          <w:tcPr>
            <w:tcW w:w="1100" w:type="dxa"/>
            <w:noWrap/>
            <w:vAlign w:val="bottom"/>
          </w:tcPr>
          <w:p w14:paraId="5D636352"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Centralni</w:t>
            </w:r>
          </w:p>
        </w:tc>
        <w:tc>
          <w:tcPr>
            <w:tcW w:w="1260" w:type="dxa"/>
            <w:noWrap/>
            <w:vAlign w:val="bottom"/>
          </w:tcPr>
          <w:p w14:paraId="48E617C8" w14:textId="50A838B4"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0.045</w:t>
            </w:r>
          </w:p>
        </w:tc>
      </w:tr>
      <w:tr w:rsidR="00527C24" w:rsidRPr="00C149AB" w14:paraId="1130E99D" w14:textId="77777777" w:rsidTr="00FE289C">
        <w:trPr>
          <w:trHeight w:val="290"/>
          <w:jc w:val="center"/>
        </w:trPr>
        <w:tc>
          <w:tcPr>
            <w:tcW w:w="2320" w:type="dxa"/>
            <w:noWrap/>
            <w:vAlign w:val="bottom"/>
          </w:tcPr>
          <w:p w14:paraId="18D39A71"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Andrijevica</w:t>
            </w:r>
          </w:p>
        </w:tc>
        <w:tc>
          <w:tcPr>
            <w:tcW w:w="1100" w:type="dxa"/>
            <w:noWrap/>
            <w:vAlign w:val="bottom"/>
          </w:tcPr>
          <w:p w14:paraId="08D8A10B"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Sjeverni</w:t>
            </w:r>
          </w:p>
        </w:tc>
        <w:tc>
          <w:tcPr>
            <w:tcW w:w="1260" w:type="dxa"/>
            <w:noWrap/>
            <w:vAlign w:val="bottom"/>
          </w:tcPr>
          <w:p w14:paraId="79A6DB1D" w14:textId="2EE6ACA2"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0.030</w:t>
            </w:r>
          </w:p>
        </w:tc>
      </w:tr>
      <w:tr w:rsidR="00527C24" w:rsidRPr="00C149AB" w14:paraId="0A53933A" w14:textId="77777777" w:rsidTr="00FE289C">
        <w:trPr>
          <w:trHeight w:val="290"/>
          <w:jc w:val="center"/>
        </w:trPr>
        <w:tc>
          <w:tcPr>
            <w:tcW w:w="2320" w:type="dxa"/>
            <w:noWrap/>
            <w:vAlign w:val="bottom"/>
          </w:tcPr>
          <w:p w14:paraId="1C7EEC1A"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Berane</w:t>
            </w:r>
          </w:p>
        </w:tc>
        <w:tc>
          <w:tcPr>
            <w:tcW w:w="1100" w:type="dxa"/>
            <w:noWrap/>
          </w:tcPr>
          <w:p w14:paraId="4C346089"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Sjeverni</w:t>
            </w:r>
          </w:p>
        </w:tc>
        <w:tc>
          <w:tcPr>
            <w:tcW w:w="1260" w:type="dxa"/>
            <w:noWrap/>
            <w:vAlign w:val="bottom"/>
          </w:tcPr>
          <w:p w14:paraId="10683F5D" w14:textId="6D0A34A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0.090</w:t>
            </w:r>
          </w:p>
        </w:tc>
      </w:tr>
      <w:tr w:rsidR="00527C24" w:rsidRPr="00C149AB" w14:paraId="561B6B3B" w14:textId="77777777" w:rsidTr="00FE289C">
        <w:trPr>
          <w:trHeight w:val="290"/>
          <w:jc w:val="center"/>
        </w:trPr>
        <w:tc>
          <w:tcPr>
            <w:tcW w:w="2320" w:type="dxa"/>
            <w:noWrap/>
            <w:vAlign w:val="bottom"/>
          </w:tcPr>
          <w:p w14:paraId="4343D3A3"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Bijelo Polje</w:t>
            </w:r>
          </w:p>
        </w:tc>
        <w:tc>
          <w:tcPr>
            <w:tcW w:w="1100" w:type="dxa"/>
            <w:noWrap/>
          </w:tcPr>
          <w:p w14:paraId="1C1AFD91"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Sjeverni</w:t>
            </w:r>
          </w:p>
        </w:tc>
        <w:tc>
          <w:tcPr>
            <w:tcW w:w="1260" w:type="dxa"/>
            <w:noWrap/>
            <w:vAlign w:val="bottom"/>
          </w:tcPr>
          <w:p w14:paraId="527E65FD" w14:textId="0D6628E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0.120</w:t>
            </w:r>
          </w:p>
        </w:tc>
      </w:tr>
      <w:tr w:rsidR="00527C24" w:rsidRPr="00C149AB" w14:paraId="26F2C754" w14:textId="77777777" w:rsidTr="00FE289C">
        <w:trPr>
          <w:trHeight w:val="290"/>
          <w:jc w:val="center"/>
        </w:trPr>
        <w:tc>
          <w:tcPr>
            <w:tcW w:w="2320" w:type="dxa"/>
            <w:noWrap/>
            <w:vAlign w:val="bottom"/>
          </w:tcPr>
          <w:p w14:paraId="74EDABD8"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Mojkovac</w:t>
            </w:r>
          </w:p>
        </w:tc>
        <w:tc>
          <w:tcPr>
            <w:tcW w:w="1100" w:type="dxa"/>
            <w:noWrap/>
          </w:tcPr>
          <w:p w14:paraId="5CE66F82"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Sjeverni</w:t>
            </w:r>
          </w:p>
        </w:tc>
        <w:tc>
          <w:tcPr>
            <w:tcW w:w="1260" w:type="dxa"/>
            <w:noWrap/>
            <w:vAlign w:val="bottom"/>
          </w:tcPr>
          <w:p w14:paraId="0F50B9C1" w14:textId="4CCA49F0"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0.060</w:t>
            </w:r>
          </w:p>
        </w:tc>
      </w:tr>
      <w:tr w:rsidR="00527C24" w:rsidRPr="00C149AB" w14:paraId="1147B6AB" w14:textId="77777777" w:rsidTr="00FE289C">
        <w:trPr>
          <w:trHeight w:val="290"/>
          <w:jc w:val="center"/>
        </w:trPr>
        <w:tc>
          <w:tcPr>
            <w:tcW w:w="2320" w:type="dxa"/>
            <w:noWrap/>
            <w:vAlign w:val="bottom"/>
          </w:tcPr>
          <w:p w14:paraId="4AD5AD6B"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Pljevlja</w:t>
            </w:r>
          </w:p>
        </w:tc>
        <w:tc>
          <w:tcPr>
            <w:tcW w:w="1100" w:type="dxa"/>
            <w:noWrap/>
          </w:tcPr>
          <w:p w14:paraId="026ABBCA"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Sjeverni</w:t>
            </w:r>
          </w:p>
        </w:tc>
        <w:tc>
          <w:tcPr>
            <w:tcW w:w="1260" w:type="dxa"/>
            <w:noWrap/>
            <w:vAlign w:val="bottom"/>
          </w:tcPr>
          <w:p w14:paraId="53B2E6A9" w14:textId="53DE83D8"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0.078</w:t>
            </w:r>
          </w:p>
        </w:tc>
      </w:tr>
      <w:tr w:rsidR="00527C24" w:rsidRPr="00C149AB" w14:paraId="1DEA2B93" w14:textId="77777777" w:rsidTr="00FE289C">
        <w:trPr>
          <w:trHeight w:val="290"/>
          <w:jc w:val="center"/>
        </w:trPr>
        <w:tc>
          <w:tcPr>
            <w:tcW w:w="2320" w:type="dxa"/>
            <w:noWrap/>
            <w:vAlign w:val="bottom"/>
          </w:tcPr>
          <w:p w14:paraId="07377D5D"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Rožaje</w:t>
            </w:r>
          </w:p>
        </w:tc>
        <w:tc>
          <w:tcPr>
            <w:tcW w:w="1100" w:type="dxa"/>
            <w:noWrap/>
          </w:tcPr>
          <w:p w14:paraId="76D117F2"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Sjeverni</w:t>
            </w:r>
          </w:p>
        </w:tc>
        <w:tc>
          <w:tcPr>
            <w:tcW w:w="1260" w:type="dxa"/>
            <w:noWrap/>
            <w:vAlign w:val="bottom"/>
          </w:tcPr>
          <w:p w14:paraId="4E90A3D6" w14:textId="1021E5C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0.070</w:t>
            </w:r>
          </w:p>
        </w:tc>
      </w:tr>
      <w:tr w:rsidR="00527C24" w:rsidRPr="00C149AB" w14:paraId="70E9719F" w14:textId="77777777" w:rsidTr="00FE289C">
        <w:trPr>
          <w:trHeight w:val="290"/>
          <w:jc w:val="center"/>
        </w:trPr>
        <w:tc>
          <w:tcPr>
            <w:tcW w:w="2320" w:type="dxa"/>
            <w:noWrap/>
            <w:vAlign w:val="bottom"/>
          </w:tcPr>
          <w:p w14:paraId="3B967048"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Herceg Novi</w:t>
            </w:r>
          </w:p>
        </w:tc>
        <w:tc>
          <w:tcPr>
            <w:tcW w:w="1100" w:type="dxa"/>
            <w:noWrap/>
            <w:vAlign w:val="bottom"/>
          </w:tcPr>
          <w:p w14:paraId="155E57BF"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Primorski</w:t>
            </w:r>
          </w:p>
        </w:tc>
        <w:tc>
          <w:tcPr>
            <w:tcW w:w="1260" w:type="dxa"/>
            <w:noWrap/>
            <w:vAlign w:val="bottom"/>
          </w:tcPr>
          <w:p w14:paraId="5F58E8D7" w14:textId="55505201"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0.090</w:t>
            </w:r>
          </w:p>
        </w:tc>
      </w:tr>
      <w:tr w:rsidR="00527C24" w:rsidRPr="00C149AB" w14:paraId="245DC7A7" w14:textId="77777777" w:rsidTr="00FE289C">
        <w:trPr>
          <w:trHeight w:val="290"/>
          <w:jc w:val="center"/>
        </w:trPr>
        <w:tc>
          <w:tcPr>
            <w:tcW w:w="2320" w:type="dxa"/>
            <w:noWrap/>
            <w:vAlign w:val="bottom"/>
          </w:tcPr>
          <w:p w14:paraId="46B8C1B8"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Kotor</w:t>
            </w:r>
          </w:p>
        </w:tc>
        <w:tc>
          <w:tcPr>
            <w:tcW w:w="1100" w:type="dxa"/>
            <w:noWrap/>
          </w:tcPr>
          <w:p w14:paraId="38EC8B7B"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Primorski</w:t>
            </w:r>
          </w:p>
        </w:tc>
        <w:tc>
          <w:tcPr>
            <w:tcW w:w="1260" w:type="dxa"/>
            <w:noWrap/>
            <w:vAlign w:val="bottom"/>
          </w:tcPr>
          <w:p w14:paraId="65AFCD24" w14:textId="55286A63"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0.085</w:t>
            </w:r>
          </w:p>
        </w:tc>
      </w:tr>
      <w:tr w:rsidR="00527C24" w:rsidRPr="00C149AB" w14:paraId="70A7AE0A" w14:textId="77777777" w:rsidTr="00FE289C">
        <w:trPr>
          <w:trHeight w:val="290"/>
          <w:jc w:val="center"/>
        </w:trPr>
        <w:tc>
          <w:tcPr>
            <w:tcW w:w="2320" w:type="dxa"/>
            <w:noWrap/>
            <w:vAlign w:val="bottom"/>
          </w:tcPr>
          <w:p w14:paraId="3CC128E3"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Tivat</w:t>
            </w:r>
          </w:p>
        </w:tc>
        <w:tc>
          <w:tcPr>
            <w:tcW w:w="1100" w:type="dxa"/>
            <w:noWrap/>
          </w:tcPr>
          <w:p w14:paraId="594A506C"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Primorski</w:t>
            </w:r>
          </w:p>
        </w:tc>
        <w:tc>
          <w:tcPr>
            <w:tcW w:w="1260" w:type="dxa"/>
            <w:noWrap/>
            <w:vAlign w:val="bottom"/>
          </w:tcPr>
          <w:p w14:paraId="12FC35C6" w14:textId="5A84AE3F"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0.083</w:t>
            </w:r>
          </w:p>
        </w:tc>
      </w:tr>
      <w:tr w:rsidR="00527C24" w:rsidRPr="00C149AB" w14:paraId="421418A2" w14:textId="77777777" w:rsidTr="00FE289C">
        <w:trPr>
          <w:trHeight w:val="300"/>
          <w:jc w:val="center"/>
        </w:trPr>
        <w:tc>
          <w:tcPr>
            <w:tcW w:w="2320" w:type="dxa"/>
            <w:noWrap/>
            <w:vAlign w:val="bottom"/>
          </w:tcPr>
          <w:p w14:paraId="6BCCAFEA"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Ulcinj</w:t>
            </w:r>
          </w:p>
        </w:tc>
        <w:tc>
          <w:tcPr>
            <w:tcW w:w="1100" w:type="dxa"/>
            <w:noWrap/>
          </w:tcPr>
          <w:p w14:paraId="26858EA2" w14:textId="77777777"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Primorski</w:t>
            </w:r>
          </w:p>
        </w:tc>
        <w:tc>
          <w:tcPr>
            <w:tcW w:w="1260" w:type="dxa"/>
            <w:noWrap/>
            <w:vAlign w:val="bottom"/>
          </w:tcPr>
          <w:p w14:paraId="6CBDA29B" w14:textId="1BAC1C8D" w:rsidR="00527C24" w:rsidRPr="00C149AB" w:rsidRDefault="00527C24" w:rsidP="00527C24">
            <w:pPr>
              <w:spacing w:before="40" w:after="40" w:line="360" w:lineRule="auto"/>
              <w:rPr>
                <w:rFonts w:ascii="Arial" w:eastAsia="Times New Roman" w:hAnsi="Arial" w:cs="Arial"/>
                <w:color w:val="000000"/>
                <w:sz w:val="18"/>
                <w:szCs w:val="18"/>
                <w:lang w:val="sq-AL"/>
              </w:rPr>
            </w:pPr>
            <w:r w:rsidRPr="00C149AB">
              <w:rPr>
                <w:rFonts w:ascii="Arial" w:eastAsia="Times New Roman" w:hAnsi="Arial" w:cs="Arial"/>
                <w:color w:val="000000"/>
                <w:sz w:val="18"/>
                <w:szCs w:val="18"/>
                <w:lang w:val="sq-AL"/>
              </w:rPr>
              <w:t>0.060</w:t>
            </w:r>
          </w:p>
        </w:tc>
      </w:tr>
    </w:tbl>
    <w:p w14:paraId="1801D04D" w14:textId="5E0C47C6" w:rsidR="009316F8" w:rsidRPr="002A6F4E" w:rsidRDefault="009316F8" w:rsidP="009316F8">
      <w:pPr>
        <w:spacing w:line="360" w:lineRule="auto"/>
        <w:ind w:left="2160"/>
        <w:rPr>
          <w:rFonts w:ascii="Arial" w:eastAsiaTheme="minorHAnsi" w:hAnsi="Arial" w:cs="Arial"/>
          <w:i/>
          <w:iCs/>
          <w:lang w:val="sq-AL"/>
        </w:rPr>
      </w:pPr>
    </w:p>
    <w:p w14:paraId="18A0DE76" w14:textId="62F30C88" w:rsidR="009316F8" w:rsidRPr="002A6F4E" w:rsidRDefault="009316F8" w:rsidP="009316F8">
      <w:pPr>
        <w:spacing w:before="120" w:after="120" w:line="360" w:lineRule="auto"/>
        <w:rPr>
          <w:rFonts w:ascii="Arial" w:hAnsi="Arial" w:cs="Arial"/>
          <w:lang w:val="sq-AL" w:eastAsia="pl-PL"/>
        </w:rPr>
      </w:pPr>
      <w:r w:rsidRPr="002A6F4E">
        <w:rPr>
          <w:rFonts w:ascii="Arial" w:hAnsi="Arial" w:cs="Arial"/>
          <w:lang w:val="sq-AL" w:eastAsia="pl-PL"/>
        </w:rPr>
        <w:t xml:space="preserve">Tarife koje se naplaćuju </w:t>
      </w:r>
      <w:r w:rsidR="00346F9D">
        <w:rPr>
          <w:rFonts w:ascii="Arial" w:hAnsi="Arial" w:cs="Arial"/>
          <w:lang w:val="sq-AL" w:eastAsia="pl-PL"/>
        </w:rPr>
        <w:t>u</w:t>
      </w:r>
      <w:r w:rsidR="00346F9D" w:rsidRPr="002A6F4E">
        <w:rPr>
          <w:rFonts w:ascii="Arial" w:hAnsi="Arial" w:cs="Arial"/>
          <w:lang w:val="sq-AL" w:eastAsia="pl-PL"/>
        </w:rPr>
        <w:t xml:space="preserve"> </w:t>
      </w:r>
      <w:r w:rsidRPr="002A6F4E">
        <w:rPr>
          <w:rFonts w:ascii="Arial" w:hAnsi="Arial" w:cs="Arial"/>
          <w:lang w:val="sq-AL" w:eastAsia="pl-PL"/>
        </w:rPr>
        <w:t xml:space="preserve">domaćinstvima značajno variraju od jedinice do jednice lokalne samouprave. Najniža cijena </w:t>
      </w:r>
      <w:r w:rsidR="00527C24" w:rsidRPr="002A6F4E">
        <w:rPr>
          <w:rFonts w:ascii="Arial" w:hAnsi="Arial" w:cs="Arial"/>
          <w:lang w:val="sq-AL" w:eastAsia="pl-PL"/>
        </w:rPr>
        <w:t xml:space="preserve">se naplaćuje </w:t>
      </w:r>
      <w:r w:rsidR="00527C24">
        <w:rPr>
          <w:rFonts w:ascii="Arial" w:hAnsi="Arial" w:cs="Arial"/>
          <w:lang w:val="sq-AL" w:eastAsia="pl-PL"/>
        </w:rPr>
        <w:t xml:space="preserve">u Andrijevici </w:t>
      </w:r>
      <w:r w:rsidR="00527C24" w:rsidRPr="002A6F4E">
        <w:rPr>
          <w:rFonts w:ascii="Arial" w:hAnsi="Arial" w:cs="Arial"/>
          <w:lang w:val="sq-AL" w:eastAsia="pl-PL"/>
        </w:rPr>
        <w:t xml:space="preserve">i </w:t>
      </w:r>
      <w:r w:rsidR="00527C24" w:rsidRPr="00CD2612">
        <w:rPr>
          <w:rFonts w:ascii="Arial" w:hAnsi="Arial" w:cs="Arial"/>
          <w:lang w:val="sq-AL" w:eastAsia="pl-PL"/>
        </w:rPr>
        <w:t>iznosi 3 eurocenta po m</w:t>
      </w:r>
      <w:r w:rsidR="00527C24" w:rsidRPr="00CD2612">
        <w:rPr>
          <w:rFonts w:ascii="Arial" w:hAnsi="Arial" w:cs="Arial"/>
          <w:vertAlign w:val="superscript"/>
          <w:lang w:val="sq-AL" w:eastAsia="pl-PL"/>
        </w:rPr>
        <w:t>2</w:t>
      </w:r>
      <w:r w:rsidR="00527C24" w:rsidRPr="00CD2612">
        <w:rPr>
          <w:rFonts w:ascii="Arial" w:hAnsi="Arial" w:cs="Arial"/>
          <w:lang w:val="sq-AL" w:eastAsia="pl-PL"/>
        </w:rPr>
        <w:t xml:space="preserve"> domaćinstva. Najviša cijena se, pak, naplaćuje u Bijelom Polju gdje je tarifa na nivou od 12</w:t>
      </w:r>
      <w:r w:rsidR="00527C24">
        <w:rPr>
          <w:rFonts w:ascii="Arial" w:hAnsi="Arial" w:cs="Arial"/>
          <w:lang w:val="sq-AL" w:eastAsia="pl-PL"/>
        </w:rPr>
        <w:t xml:space="preserve"> eurocenta </w:t>
      </w:r>
      <w:r w:rsidRPr="002A6F4E">
        <w:rPr>
          <w:rFonts w:ascii="Arial" w:hAnsi="Arial" w:cs="Arial"/>
          <w:lang w:val="sq-AL" w:eastAsia="pl-PL"/>
        </w:rPr>
        <w:t>po m</w:t>
      </w:r>
      <w:r w:rsidRPr="002A6F4E">
        <w:rPr>
          <w:rFonts w:ascii="Arial" w:hAnsi="Arial" w:cs="Arial"/>
          <w:vertAlign w:val="superscript"/>
          <w:lang w:val="sq-AL" w:eastAsia="pl-PL"/>
        </w:rPr>
        <w:t>2</w:t>
      </w:r>
      <w:r w:rsidRPr="002A6F4E">
        <w:rPr>
          <w:rFonts w:ascii="Arial" w:hAnsi="Arial" w:cs="Arial"/>
          <w:lang w:val="sq-AL" w:eastAsia="pl-PL"/>
        </w:rPr>
        <w:t>.</w:t>
      </w:r>
    </w:p>
    <w:p w14:paraId="6E830917" w14:textId="6870F294" w:rsidR="009316F8" w:rsidRPr="002A6F4E" w:rsidRDefault="009316F8" w:rsidP="009316F8">
      <w:pPr>
        <w:spacing w:before="120" w:after="120" w:line="360" w:lineRule="auto"/>
        <w:rPr>
          <w:rFonts w:ascii="Arial" w:hAnsi="Arial" w:cs="Arial"/>
          <w:i/>
          <w:iCs/>
          <w:lang w:val="sq-AL"/>
        </w:rPr>
      </w:pPr>
      <w:r w:rsidRPr="002A6F4E">
        <w:rPr>
          <w:rFonts w:ascii="Arial" w:hAnsi="Arial" w:cs="Arial"/>
          <w:lang w:val="sq-AL" w:eastAsia="pl-PL"/>
        </w:rPr>
        <w:t xml:space="preserve">U </w:t>
      </w:r>
      <w:r w:rsidR="0053607A">
        <w:rPr>
          <w:rFonts w:ascii="Arial" w:hAnsi="Arial" w:cs="Arial"/>
          <w:lang w:val="sq-AL" w:eastAsia="pl-PL"/>
        </w:rPr>
        <w:t>prethodnoj</w:t>
      </w:r>
      <w:r w:rsidR="0053607A" w:rsidRPr="002A6F4E">
        <w:rPr>
          <w:rFonts w:ascii="Arial" w:hAnsi="Arial" w:cs="Arial"/>
          <w:lang w:val="sq-AL" w:eastAsia="pl-PL"/>
        </w:rPr>
        <w:t xml:space="preserve"> </w:t>
      </w:r>
      <w:r w:rsidRPr="002A6F4E">
        <w:rPr>
          <w:rFonts w:ascii="Arial" w:hAnsi="Arial" w:cs="Arial"/>
          <w:lang w:val="sq-AL" w:eastAsia="pl-PL"/>
        </w:rPr>
        <w:t>tabeli prikazane su cijene koje su jedinice lokalne samouprave prijavile kroz istraživanje sprovedeno u okviru izrade ovog dokumenta. Cijene koje se nameću preduzećima su generalno veće (osim za obrazovne i zdravstvene ustanove), a tarifni sistem koji se primjenjuje u cijeloj zemlji je fokusiran na vrstu preduzeća, dok se najveći izvori otpada naplaćuju proporcionalno po višim cijenama. Iz ograničenog uzorka dostupnih finansijskih podataka, uočeno je da udio prihoda ostvarenih od domaćinstava u odnosu na preduzeća varira širom zemlje, ali predstavlja tačan odraz ekonomske aktivnosti – što znači da je udio prihoda od preduzeća veći u tim jedinicama lokalne samouprave i regionima gdje je privredna (uglavnom turistička) aktivnost veća. Kao što je već pomenuto, naplata prihoda predstavlja pitanje kojem treba posvetiti posebnu pažnju. Godišnji izvještaji koj</w:t>
      </w:r>
      <w:r w:rsidR="00E129A0">
        <w:rPr>
          <w:rFonts w:ascii="Arial" w:hAnsi="Arial" w:cs="Arial"/>
          <w:lang w:val="sq-AL" w:eastAsia="pl-PL"/>
        </w:rPr>
        <w:t xml:space="preserve">i su </w:t>
      </w:r>
      <w:r w:rsidRPr="002A6F4E">
        <w:rPr>
          <w:rFonts w:ascii="Arial" w:hAnsi="Arial" w:cs="Arial"/>
          <w:lang w:val="sq-AL" w:eastAsia="pl-PL"/>
        </w:rPr>
        <w:t>analizira</w:t>
      </w:r>
      <w:r w:rsidR="00E129A0">
        <w:rPr>
          <w:rFonts w:ascii="Arial" w:hAnsi="Arial" w:cs="Arial"/>
          <w:lang w:val="sq-AL" w:eastAsia="pl-PL"/>
        </w:rPr>
        <w:t>ni</w:t>
      </w:r>
      <w:r w:rsidRPr="002A6F4E">
        <w:rPr>
          <w:rFonts w:ascii="Arial" w:hAnsi="Arial" w:cs="Arial"/>
          <w:lang w:val="sq-AL" w:eastAsia="pl-PL"/>
        </w:rPr>
        <w:t xml:space="preserve"> pokazuju da su KP dobro upoznata sa ovim problemom i da </w:t>
      </w:r>
      <w:r w:rsidR="0053607A">
        <w:rPr>
          <w:rFonts w:ascii="Arial" w:hAnsi="Arial" w:cs="Arial"/>
          <w:lang w:val="sq-AL" w:eastAsia="pl-PL"/>
        </w:rPr>
        <w:t>je njihova administracija</w:t>
      </w:r>
      <w:r w:rsidRPr="002A6F4E">
        <w:rPr>
          <w:rFonts w:ascii="Arial" w:hAnsi="Arial" w:cs="Arial"/>
          <w:lang w:val="sq-AL" w:eastAsia="pl-PL"/>
        </w:rPr>
        <w:t xml:space="preserve"> angažovana u pokušaju da se izbore sa ovim pitanjem kroz različite vrste pravnih instrumenata koji su im na raspolaganju. </w:t>
      </w:r>
    </w:p>
    <w:p w14:paraId="3400A859" w14:textId="1A785B53" w:rsidR="009316F8" w:rsidRPr="002A6F4E" w:rsidRDefault="009316F8" w:rsidP="009316F8">
      <w:pPr>
        <w:spacing w:before="120" w:after="120" w:line="360" w:lineRule="auto"/>
        <w:rPr>
          <w:rFonts w:ascii="Arial" w:hAnsi="Arial" w:cs="Arial"/>
          <w:lang w:val="sq-AL" w:eastAsia="pl-PL"/>
        </w:rPr>
      </w:pPr>
      <w:r w:rsidRPr="002A6F4E">
        <w:rPr>
          <w:rFonts w:ascii="Arial" w:hAnsi="Arial" w:cs="Arial"/>
          <w:lang w:val="sq-AL" w:eastAsia="pl-PL"/>
        </w:rPr>
        <w:t>Buduće tarife potrebne da bi se zadovoljio princip potpunog povr</w:t>
      </w:r>
      <w:r w:rsidR="00E129A0">
        <w:rPr>
          <w:rFonts w:ascii="Arial" w:hAnsi="Arial" w:cs="Arial"/>
          <w:lang w:val="sq-AL" w:eastAsia="pl-PL"/>
        </w:rPr>
        <w:t>a</w:t>
      </w:r>
      <w:r w:rsidRPr="002A6F4E">
        <w:rPr>
          <w:rFonts w:ascii="Arial" w:hAnsi="Arial" w:cs="Arial"/>
          <w:lang w:val="sq-AL" w:eastAsia="pl-PL"/>
        </w:rPr>
        <w:t>ćaja troškova</w:t>
      </w:r>
      <w:r w:rsidR="00E129A0">
        <w:rPr>
          <w:rFonts w:ascii="Arial" w:hAnsi="Arial" w:cs="Arial"/>
          <w:lang w:val="sq-AL" w:eastAsia="pl-PL"/>
        </w:rPr>
        <w:t>,</w:t>
      </w:r>
      <w:r w:rsidRPr="002A6F4E">
        <w:rPr>
          <w:rFonts w:ascii="Arial" w:hAnsi="Arial" w:cs="Arial"/>
          <w:lang w:val="sq-AL" w:eastAsia="pl-PL"/>
        </w:rPr>
        <w:t xml:space="preserve"> određuju se na osnovu trenutnog nivoa tarifa uvećanih da pokriju ukupan iznos inkrementalnih neto operativnih troškova (tj. inkrementalni troškovi rada i održavanja oduzeti od inkrementalnih prihoda) i sve većeg udjela troškova amortizacije koji dostiž</w:t>
      </w:r>
      <w:r w:rsidR="00E129A0">
        <w:rPr>
          <w:rFonts w:ascii="Arial" w:hAnsi="Arial" w:cs="Arial"/>
          <w:lang w:val="sq-AL" w:eastAsia="pl-PL"/>
        </w:rPr>
        <w:t>u</w:t>
      </w:r>
      <w:r w:rsidRPr="002A6F4E">
        <w:rPr>
          <w:rFonts w:ascii="Arial" w:hAnsi="Arial" w:cs="Arial"/>
          <w:lang w:val="sq-AL" w:eastAsia="pl-PL"/>
        </w:rPr>
        <w:t xml:space="preserve"> punu pokrivenost 2033. godine. Buduće</w:t>
      </w:r>
      <w:r w:rsidR="00E129A0">
        <w:rPr>
          <w:rFonts w:ascii="Arial" w:hAnsi="Arial" w:cs="Arial"/>
          <w:lang w:val="sq-AL" w:eastAsia="pl-PL"/>
        </w:rPr>
        <w:t xml:space="preserve"> </w:t>
      </w:r>
      <w:r w:rsidRPr="002A6F4E">
        <w:rPr>
          <w:rFonts w:ascii="Arial" w:hAnsi="Arial" w:cs="Arial"/>
          <w:lang w:val="sq-AL" w:eastAsia="pl-PL"/>
        </w:rPr>
        <w:t xml:space="preserve">tarife se izračunavaju na osnovu </w:t>
      </w:r>
      <w:r w:rsidRPr="002A6F4E">
        <w:rPr>
          <w:rFonts w:ascii="Arial" w:hAnsi="Arial" w:cs="Arial"/>
          <w:lang w:val="sq-AL" w:eastAsia="pl-PL"/>
        </w:rPr>
        <w:lastRenderedPageBreak/>
        <w:t>potrebnog procentualnog povećanja postojećih tarifa koje implicira neto operativni rezultat u obje</w:t>
      </w:r>
      <w:r w:rsidR="00926146">
        <w:rPr>
          <w:rFonts w:ascii="Arial" w:hAnsi="Arial" w:cs="Arial"/>
          <w:lang w:val="sq-AL" w:eastAsia="pl-PL"/>
        </w:rPr>
        <w:t xml:space="preserve"> opcije u poređenju sa scenario</w:t>
      </w:r>
      <w:r w:rsidRPr="002A6F4E">
        <w:rPr>
          <w:rFonts w:ascii="Arial" w:hAnsi="Arial" w:cs="Arial"/>
          <w:lang w:val="sq-AL" w:eastAsia="pl-PL"/>
        </w:rPr>
        <w:t>m uobičajenog poslovanja</w:t>
      </w:r>
      <w:r w:rsidR="00E129A0">
        <w:rPr>
          <w:rFonts w:ascii="Arial" w:hAnsi="Arial" w:cs="Arial"/>
          <w:lang w:val="sq-AL" w:eastAsia="pl-PL"/>
        </w:rPr>
        <w:t>.</w:t>
      </w:r>
    </w:p>
    <w:p w14:paraId="184734E1" w14:textId="50170383" w:rsidR="009316F8" w:rsidRPr="002A6F4E" w:rsidRDefault="009316F8" w:rsidP="009316F8">
      <w:pPr>
        <w:spacing w:before="120" w:after="120" w:line="360" w:lineRule="auto"/>
        <w:rPr>
          <w:rFonts w:ascii="Arial" w:hAnsi="Arial" w:cs="Arial"/>
          <w:lang w:val="sq-AL" w:eastAsia="pl-PL"/>
        </w:rPr>
      </w:pPr>
      <w:r w:rsidRPr="002A6F4E">
        <w:rPr>
          <w:rFonts w:ascii="Arial" w:hAnsi="Arial" w:cs="Arial"/>
          <w:lang w:val="sq-AL" w:eastAsia="pl-PL"/>
        </w:rPr>
        <w:t xml:space="preserve">Procjena takođe uključuje posmatrane nivoe stope naplate i udio prihoda ostvarenog od pruženih usluga domaćinstvima kao što je prikazano u </w:t>
      </w:r>
      <w:r w:rsidR="0053607A">
        <w:rPr>
          <w:rFonts w:ascii="Arial" w:hAnsi="Arial" w:cs="Arial"/>
          <w:lang w:val="sq-AL" w:eastAsia="pl-PL"/>
        </w:rPr>
        <w:t>prethodnoj</w:t>
      </w:r>
      <w:r w:rsidR="0053607A" w:rsidRPr="002A6F4E">
        <w:rPr>
          <w:rFonts w:ascii="Arial" w:hAnsi="Arial" w:cs="Arial"/>
          <w:lang w:val="sq-AL" w:eastAsia="pl-PL"/>
        </w:rPr>
        <w:t xml:space="preserve"> </w:t>
      </w:r>
      <w:r w:rsidRPr="002A6F4E">
        <w:rPr>
          <w:rFonts w:ascii="Arial" w:hAnsi="Arial" w:cs="Arial"/>
          <w:lang w:val="sq-AL" w:eastAsia="pl-PL"/>
        </w:rPr>
        <w:t xml:space="preserve">tabeli. </w:t>
      </w:r>
    </w:p>
    <w:p w14:paraId="4AF1F03B" w14:textId="0518EC2E" w:rsidR="009316F8" w:rsidRPr="001A0113" w:rsidRDefault="009751D2" w:rsidP="007378E8">
      <w:pPr>
        <w:pStyle w:val="Heading3"/>
        <w:rPr>
          <w:lang w:val="sq-AL"/>
        </w:rPr>
      </w:pPr>
      <w:bookmarkStart w:id="1282" w:name="_Toc120173938"/>
      <w:bookmarkStart w:id="1283" w:name="_Toc121759099"/>
      <w:bookmarkStart w:id="1284" w:name="_Toc189759729"/>
      <w:bookmarkStart w:id="1285" w:name="_Toc193354055"/>
      <w:r>
        <w:rPr>
          <w:lang w:val="sq-AL"/>
        </w:rPr>
        <w:t>5.40</w:t>
      </w:r>
      <w:r w:rsidR="003D1C94" w:rsidRPr="001A0113">
        <w:rPr>
          <w:lang w:val="sq-AL"/>
        </w:rPr>
        <w:t>.</w:t>
      </w:r>
      <w:r w:rsidR="00267FAF" w:rsidRPr="001A0113">
        <w:rPr>
          <w:lang w:val="sq-AL"/>
        </w:rPr>
        <w:t>4.</w:t>
      </w:r>
      <w:r w:rsidR="003D1C94" w:rsidRPr="001A0113">
        <w:rPr>
          <w:lang w:val="sq-AL"/>
        </w:rPr>
        <w:t xml:space="preserve"> </w:t>
      </w:r>
      <w:r w:rsidR="009316F8" w:rsidRPr="001A0113">
        <w:rPr>
          <w:lang w:val="sq-AL"/>
        </w:rPr>
        <w:t>Procjena priuštivosti</w:t>
      </w:r>
      <w:bookmarkEnd w:id="1282"/>
      <w:bookmarkEnd w:id="1283"/>
      <w:bookmarkEnd w:id="1284"/>
      <w:bookmarkEnd w:id="1285"/>
    </w:p>
    <w:p w14:paraId="3E99EB9D" w14:textId="3E88CDA3"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 xml:space="preserve">Procjena priuštivosti je izvršena uzimajući u obzir procjenu budućih tarifa i kapacitet građana Crne Gore da te tarife plaćaju po principu </w:t>
      </w:r>
      <w:r w:rsidR="00FB5884">
        <w:rPr>
          <w:rFonts w:ascii="Arial" w:hAnsi="Arial" w:cs="Arial"/>
          <w:lang w:val="sq-AL"/>
        </w:rPr>
        <w:t>“zagađivač plaća”</w:t>
      </w:r>
      <w:r w:rsidR="002F142A">
        <w:rPr>
          <w:rFonts w:ascii="Arial" w:hAnsi="Arial" w:cs="Arial"/>
          <w:lang w:val="sq-AL"/>
        </w:rPr>
        <w:t>,</w:t>
      </w:r>
      <w:r w:rsidRPr="002A6F4E">
        <w:rPr>
          <w:rFonts w:ascii="Arial" w:hAnsi="Arial" w:cs="Arial"/>
          <w:lang w:val="sq-AL"/>
        </w:rPr>
        <w:t xml:space="preserve"> utvrđen Zakonom o upravljanju otpadom.</w:t>
      </w:r>
    </w:p>
    <w:p w14:paraId="7B262FBE" w14:textId="2145B544"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Kada se sagledaju finansijski kapaciteti domaćinstava</w:t>
      </w:r>
      <w:r w:rsidR="0053607A">
        <w:rPr>
          <w:rFonts w:ascii="Arial" w:hAnsi="Arial" w:cs="Arial"/>
          <w:lang w:val="sq-AL"/>
        </w:rPr>
        <w:t xml:space="preserve"> u Crnoj Gori</w:t>
      </w:r>
      <w:r w:rsidRPr="002A6F4E">
        <w:rPr>
          <w:rFonts w:ascii="Arial" w:hAnsi="Arial" w:cs="Arial"/>
          <w:lang w:val="sq-AL"/>
        </w:rPr>
        <w:t xml:space="preserve">, veoma je važno istaći činjenicu da je prosječna neto plata u zemlji porasla tokom 2022. godine kao rezultat uvođenja programa „Evropa sad“ koji </w:t>
      </w:r>
      <w:r w:rsidR="005A065A">
        <w:rPr>
          <w:rFonts w:ascii="Arial" w:hAnsi="Arial" w:cs="Arial"/>
          <w:lang w:val="sq-AL"/>
        </w:rPr>
        <w:t xml:space="preserve">je </w:t>
      </w:r>
      <w:r w:rsidRPr="002A6F4E">
        <w:rPr>
          <w:rFonts w:ascii="Arial" w:hAnsi="Arial" w:cs="Arial"/>
          <w:lang w:val="sq-AL"/>
        </w:rPr>
        <w:t>sprov</w:t>
      </w:r>
      <w:r w:rsidR="005A065A">
        <w:rPr>
          <w:rFonts w:ascii="Arial" w:hAnsi="Arial" w:cs="Arial"/>
          <w:lang w:val="sq-AL"/>
        </w:rPr>
        <w:t>ela</w:t>
      </w:r>
      <w:r w:rsidRPr="002A6F4E">
        <w:rPr>
          <w:rFonts w:ascii="Arial" w:hAnsi="Arial" w:cs="Arial"/>
          <w:lang w:val="sq-AL"/>
        </w:rPr>
        <w:t xml:space="preserve"> Vlada</w:t>
      </w:r>
      <w:r w:rsidR="005A065A">
        <w:rPr>
          <w:rFonts w:ascii="Arial" w:hAnsi="Arial" w:cs="Arial"/>
          <w:lang w:val="sq-AL"/>
        </w:rPr>
        <w:t xml:space="preserve"> Crne Gore</w:t>
      </w:r>
      <w:r w:rsidRPr="002A6F4E">
        <w:rPr>
          <w:rFonts w:ascii="Arial" w:hAnsi="Arial" w:cs="Arial"/>
          <w:lang w:val="sq-AL"/>
        </w:rPr>
        <w:t>. Kao što je već objašnjeno, sveobuhvatni set poreskih mjera uvedenih u okviru programa bio je usmjeren na podsticanje privredne aktivnosti smanjenjem sive ekonomije i stavljanjem na raspolaganje većeg dijela prihoda građanima kroz uvođenje progresivnog poreskog sistema i ukidanje obaveznog zdravstvenog doprinosa. Kao neposredan efekat programa, prosječna neto plata u Crnoj Gori je porasla – sa 537 eura u decembru 2021. na 718 eura u septembru 2</w:t>
      </w:r>
      <w:r w:rsidRPr="002B3C30">
        <w:rPr>
          <w:rFonts w:ascii="Arial" w:hAnsi="Arial" w:cs="Arial"/>
          <w:lang w:val="sq-AL"/>
        </w:rPr>
        <w:t>022.</w:t>
      </w:r>
      <w:r w:rsidRPr="002B3C30">
        <w:rPr>
          <w:rStyle w:val="FootnoteReference"/>
          <w:rFonts w:ascii="Arial" w:hAnsi="Arial" w:cs="Arial"/>
          <w:sz w:val="20"/>
          <w:szCs w:val="20"/>
          <w:lang w:val="sq-AL"/>
        </w:rPr>
        <w:t xml:space="preserve"> </w:t>
      </w:r>
      <w:r w:rsidRPr="002B3C30">
        <w:rPr>
          <w:rStyle w:val="FootnoteReference"/>
          <w:rFonts w:ascii="Arial" w:hAnsi="Arial" w:cs="Arial"/>
          <w:sz w:val="20"/>
          <w:szCs w:val="20"/>
          <w:lang w:val="sq-AL"/>
        </w:rPr>
        <w:footnoteReference w:id="40"/>
      </w:r>
      <w:r w:rsidR="00C32D3D" w:rsidRPr="001A0113">
        <w:rPr>
          <w:lang w:val="sq-AL"/>
        </w:rPr>
        <w:t xml:space="preserve"> </w:t>
      </w:r>
      <w:r w:rsidR="00C32D3D" w:rsidRPr="002B3C30">
        <w:rPr>
          <w:rFonts w:ascii="Arial" w:hAnsi="Arial" w:cs="Arial"/>
          <w:lang w:val="sq-AL"/>
        </w:rPr>
        <w:t>Prosječna oktobarska neto zarada u Crnoj Gori u 2024. godini iznosila je 944 eura.</w:t>
      </w:r>
      <w:r w:rsidR="00624B36" w:rsidRPr="002B3C30">
        <w:rPr>
          <w:rStyle w:val="FootnoteReference"/>
          <w:rFonts w:cs="Arial"/>
        </w:rPr>
        <w:footnoteReference w:id="41"/>
      </w:r>
    </w:p>
    <w:p w14:paraId="60CF4CFD" w14:textId="586C7FC4" w:rsidR="00310986" w:rsidRDefault="009316F8" w:rsidP="00310986">
      <w:pPr>
        <w:spacing w:before="120" w:after="120" w:line="360" w:lineRule="auto"/>
        <w:rPr>
          <w:rFonts w:ascii="Arial" w:hAnsi="Arial" w:cs="Arial"/>
          <w:lang w:val="sq-AL"/>
        </w:rPr>
      </w:pPr>
      <w:r w:rsidRPr="002A6F4E">
        <w:rPr>
          <w:rFonts w:ascii="Arial" w:hAnsi="Arial" w:cs="Arial"/>
          <w:lang w:val="sq-AL"/>
        </w:rPr>
        <w:t>Pod pretpostavkom da je stopa naplate poboljšana za 20%, priuštivost se poboljšava kako se srednjoročna do dugoročna tendencija udjela tarifa plaćenih za usluge odvoza otpada konvergira na sadašnji nivo nakon početnog povećanja.</w:t>
      </w:r>
      <w:r w:rsidRPr="002A6F4E">
        <w:rPr>
          <w:rStyle w:val="FootnoteReference"/>
          <w:rFonts w:ascii="Arial" w:hAnsi="Arial" w:cs="Arial"/>
          <w:sz w:val="20"/>
          <w:szCs w:val="20"/>
          <w:lang w:val="sq-AL"/>
        </w:rPr>
        <w:footnoteReference w:id="42"/>
      </w:r>
      <w:r w:rsidR="00082E74">
        <w:rPr>
          <w:rFonts w:ascii="Arial" w:hAnsi="Arial" w:cs="Arial"/>
          <w:lang w:val="sq-AL"/>
        </w:rPr>
        <w:t xml:space="preserve"> </w:t>
      </w:r>
      <w:r w:rsidRPr="002A6F4E">
        <w:rPr>
          <w:rFonts w:ascii="Arial" w:hAnsi="Arial" w:cs="Arial"/>
          <w:lang w:val="sq-AL"/>
        </w:rPr>
        <w:t>Prilikom utvrđivanja tarifa na opštinskom nivou, lokalne uprave bi trebale da razmotre razlike u nivoima prihoda koji su dostupni domaćinstvima u okviru regiona, a posebno da se razmotre pitanj</w:t>
      </w:r>
      <w:r w:rsidR="00082E74">
        <w:rPr>
          <w:rFonts w:ascii="Arial" w:hAnsi="Arial" w:cs="Arial"/>
          <w:lang w:val="sq-AL"/>
        </w:rPr>
        <w:t>a</w:t>
      </w:r>
      <w:r w:rsidRPr="002A6F4E">
        <w:rPr>
          <w:rFonts w:ascii="Arial" w:hAnsi="Arial" w:cs="Arial"/>
          <w:lang w:val="sq-AL"/>
        </w:rPr>
        <w:t xml:space="preserve"> najugroženijih među njima. Budući da se očekuje da će stanovništvo sjevernog regiona biti najviše pogođeno implementacijom plana upravljanja otpadom, organi uprave bi trebalo da pažljivo osmisle set mjera kroz razvoj programa finansijskog i operativnog poboljšanja, uključujući, posebno, poboljšane mehanizme prikupljanja prihoda. Ove mjere treba da se odnose na procedure fakturisanja i naplate sa ciljem da se potraživanja drže na efikasnom nivou. Trebalo bi da sadrže detaljna uputstva o mjerama izvršenja protiv zakašnjenja i neplatiša kako bi se osiguralo da KP primaju cjelokupne i pravovremene uplate za naknade u vezi sa otpadom od svih grupa potrošača.</w:t>
      </w:r>
      <w:bookmarkStart w:id="1286" w:name="_Toc150953466"/>
      <w:bookmarkStart w:id="1287" w:name="_Toc189759730"/>
      <w:bookmarkStart w:id="1288" w:name="_Toc121761429"/>
    </w:p>
    <w:p w14:paraId="2DE806DA" w14:textId="77777777" w:rsidR="0054241B" w:rsidRDefault="0054241B" w:rsidP="00310986">
      <w:pPr>
        <w:spacing w:before="120" w:after="120" w:line="360" w:lineRule="auto"/>
        <w:rPr>
          <w:rFonts w:ascii="Arial" w:hAnsi="Arial" w:cs="Arial"/>
          <w:lang w:val="sq-AL"/>
        </w:rPr>
      </w:pPr>
    </w:p>
    <w:p w14:paraId="6FDCCB98" w14:textId="77777777" w:rsidR="0054241B" w:rsidRDefault="0054241B" w:rsidP="00310986">
      <w:pPr>
        <w:spacing w:before="120" w:after="120" w:line="360" w:lineRule="auto"/>
        <w:rPr>
          <w:rFonts w:ascii="Arial" w:hAnsi="Arial" w:cs="Arial"/>
          <w:lang w:val="sq-AL"/>
        </w:rPr>
      </w:pPr>
    </w:p>
    <w:p w14:paraId="7BBDB839" w14:textId="77777777" w:rsidR="0054241B" w:rsidRDefault="0054241B" w:rsidP="00310986">
      <w:pPr>
        <w:spacing w:before="120" w:after="120" w:line="360" w:lineRule="auto"/>
        <w:rPr>
          <w:rFonts w:ascii="Arial" w:hAnsi="Arial" w:cs="Arial"/>
          <w:lang w:val="sq-AL"/>
        </w:rPr>
      </w:pPr>
    </w:p>
    <w:p w14:paraId="3C241D15" w14:textId="77777777" w:rsidR="0054241B" w:rsidRDefault="0054241B" w:rsidP="00310986">
      <w:pPr>
        <w:spacing w:before="120" w:after="120" w:line="360" w:lineRule="auto"/>
        <w:rPr>
          <w:rFonts w:ascii="Arial" w:hAnsi="Arial" w:cs="Arial"/>
          <w:lang w:val="sq-AL"/>
        </w:rPr>
      </w:pPr>
    </w:p>
    <w:p w14:paraId="1049D218" w14:textId="77777777" w:rsidR="0054241B" w:rsidRDefault="0054241B" w:rsidP="00310986">
      <w:pPr>
        <w:spacing w:before="120" w:after="120" w:line="360" w:lineRule="auto"/>
        <w:rPr>
          <w:rFonts w:ascii="Arial" w:hAnsi="Arial" w:cs="Arial"/>
          <w:lang w:val="sq-AL"/>
        </w:rPr>
      </w:pPr>
    </w:p>
    <w:p w14:paraId="56FD682E" w14:textId="55AEFA2D" w:rsidR="009316F8" w:rsidRPr="002A6F4E" w:rsidRDefault="00267FAF" w:rsidP="00F57909">
      <w:pPr>
        <w:pStyle w:val="Heading2"/>
      </w:pPr>
      <w:bookmarkStart w:id="1289" w:name="_Toc193354056"/>
      <w:r>
        <w:lastRenderedPageBreak/>
        <w:t>5.</w:t>
      </w:r>
      <w:r w:rsidR="00DC47C3">
        <w:t>4</w:t>
      </w:r>
      <w:r w:rsidR="009751D2">
        <w:t>1</w:t>
      </w:r>
      <w:r w:rsidR="00DC47C3">
        <w:t>.</w:t>
      </w:r>
      <w:r w:rsidR="00620A47">
        <w:t xml:space="preserve"> </w:t>
      </w:r>
      <w:r w:rsidR="009316F8" w:rsidRPr="002A6F4E">
        <w:t>Glavni finansijski indikatori</w:t>
      </w:r>
      <w:bookmarkEnd w:id="1286"/>
      <w:bookmarkEnd w:id="1287"/>
      <w:bookmarkEnd w:id="1289"/>
    </w:p>
    <w:p w14:paraId="3B2F307C" w14:textId="56001851" w:rsidR="00E70430" w:rsidRPr="002A6F4E" w:rsidRDefault="009316F8" w:rsidP="009316F8">
      <w:pPr>
        <w:spacing w:before="120" w:after="120" w:line="360" w:lineRule="auto"/>
        <w:rPr>
          <w:rFonts w:ascii="Arial" w:hAnsi="Arial" w:cs="Arial"/>
          <w:lang w:val="sq-AL"/>
        </w:rPr>
      </w:pPr>
      <w:r w:rsidRPr="002A6F4E">
        <w:rPr>
          <w:rFonts w:ascii="Arial" w:hAnsi="Arial" w:cs="Arial"/>
          <w:lang w:val="sq-AL"/>
        </w:rPr>
        <w:t>U sljedećoj tabeli predstavljeni su glavni finansijski inikatori</w:t>
      </w:r>
      <w:r w:rsidR="004D0E76">
        <w:rPr>
          <w:rFonts w:ascii="Arial" w:hAnsi="Arial" w:cs="Arial"/>
          <w:lang w:val="sq-AL"/>
        </w:rPr>
        <w:t>:</w:t>
      </w:r>
    </w:p>
    <w:p w14:paraId="5C010CB8" w14:textId="58E7B47C" w:rsidR="009316F8" w:rsidRPr="00222376" w:rsidRDefault="009316F8" w:rsidP="009316F8">
      <w:pPr>
        <w:pStyle w:val="Caption"/>
        <w:rPr>
          <w:rFonts w:ascii="Arial" w:eastAsia="Times New Roman" w:hAnsi="Arial" w:cs="Arial"/>
          <w:b w:val="0"/>
          <w:lang w:val="sq-AL" w:eastAsia="el-GR"/>
        </w:rPr>
      </w:pPr>
      <w:bookmarkStart w:id="1290" w:name="_Toc189515692"/>
      <w:bookmarkStart w:id="1291" w:name="_Toc190160803"/>
      <w:r w:rsidRPr="00222376">
        <w:rPr>
          <w:rFonts w:ascii="Arial" w:hAnsi="Arial" w:cs="Arial"/>
          <w:b w:val="0"/>
        </w:rPr>
        <w:t xml:space="preserve">Tabela </w:t>
      </w:r>
      <w:r w:rsidRPr="00222376">
        <w:rPr>
          <w:rFonts w:ascii="Arial" w:hAnsi="Arial" w:cs="Arial"/>
          <w:b w:val="0"/>
        </w:rPr>
        <w:fldChar w:fldCharType="begin"/>
      </w:r>
      <w:r w:rsidRPr="00222376">
        <w:rPr>
          <w:rFonts w:ascii="Arial" w:hAnsi="Arial" w:cs="Arial"/>
          <w:b w:val="0"/>
        </w:rPr>
        <w:instrText xml:space="preserve"> SEQ Tabela \* ARABIC </w:instrText>
      </w:r>
      <w:r w:rsidRPr="00222376">
        <w:rPr>
          <w:rFonts w:ascii="Arial" w:hAnsi="Arial" w:cs="Arial"/>
          <w:b w:val="0"/>
        </w:rPr>
        <w:fldChar w:fldCharType="separate"/>
      </w:r>
      <w:r w:rsidR="007274DA">
        <w:rPr>
          <w:rFonts w:ascii="Arial" w:hAnsi="Arial" w:cs="Arial"/>
          <w:b w:val="0"/>
          <w:noProof/>
        </w:rPr>
        <w:t>107</w:t>
      </w:r>
      <w:r w:rsidRPr="00222376">
        <w:rPr>
          <w:rFonts w:ascii="Arial" w:hAnsi="Arial" w:cs="Arial"/>
          <w:b w:val="0"/>
        </w:rPr>
        <w:fldChar w:fldCharType="end"/>
      </w:r>
      <w:r w:rsidRPr="00222376">
        <w:rPr>
          <w:rFonts w:ascii="Arial" w:eastAsia="Times New Roman" w:hAnsi="Arial" w:cs="Arial"/>
          <w:b w:val="0"/>
          <w:lang w:val="sq-AL" w:eastAsia="el-GR"/>
        </w:rPr>
        <w:t xml:space="preserve"> Glavni finansijski in</w:t>
      </w:r>
      <w:r w:rsidR="0006539F" w:rsidRPr="00222376">
        <w:rPr>
          <w:rFonts w:ascii="Arial" w:eastAsia="Times New Roman" w:hAnsi="Arial" w:cs="Arial"/>
          <w:b w:val="0"/>
          <w:lang w:val="sq-AL" w:eastAsia="el-GR"/>
        </w:rPr>
        <w:t>d</w:t>
      </w:r>
      <w:r w:rsidRPr="00222376">
        <w:rPr>
          <w:rFonts w:ascii="Arial" w:eastAsia="Times New Roman" w:hAnsi="Arial" w:cs="Arial"/>
          <w:b w:val="0"/>
          <w:lang w:val="sq-AL" w:eastAsia="el-GR"/>
        </w:rPr>
        <w:t>ikatori</w:t>
      </w:r>
      <w:bookmarkEnd w:id="1290"/>
      <w:bookmarkEnd w:id="1291"/>
    </w:p>
    <w:tbl>
      <w:tblPr>
        <w:tblW w:w="835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824"/>
        <w:gridCol w:w="1190"/>
        <w:gridCol w:w="2345"/>
      </w:tblGrid>
      <w:tr w:rsidR="009316F8" w:rsidRPr="00222376" w14:paraId="48F8D705" w14:textId="77777777" w:rsidTr="00FE289C">
        <w:trPr>
          <w:trHeight w:val="300"/>
          <w:tblHeader/>
          <w:jc w:val="center"/>
        </w:trPr>
        <w:tc>
          <w:tcPr>
            <w:tcW w:w="4824" w:type="dxa"/>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tcPr>
          <w:p w14:paraId="2F51D187" w14:textId="77777777" w:rsidR="009316F8" w:rsidRPr="00222376" w:rsidRDefault="009316F8" w:rsidP="00FE289C">
            <w:pPr>
              <w:spacing w:before="40" w:after="40" w:line="360" w:lineRule="auto"/>
              <w:rPr>
                <w:rFonts w:ascii="Arial" w:eastAsia="Times New Roman" w:hAnsi="Arial" w:cs="Arial"/>
                <w:b/>
                <w:bCs/>
                <w:color w:val="000000"/>
                <w:sz w:val="18"/>
                <w:szCs w:val="18"/>
                <w:lang w:val="sq-AL"/>
              </w:rPr>
            </w:pPr>
            <w:r w:rsidRPr="00222376">
              <w:rPr>
                <w:rFonts w:ascii="Arial" w:eastAsia="Times New Roman" w:hAnsi="Arial" w:cs="Arial"/>
                <w:b/>
                <w:bCs/>
                <w:color w:val="000000"/>
                <w:sz w:val="18"/>
                <w:szCs w:val="18"/>
                <w:lang w:val="sq-AL"/>
              </w:rPr>
              <w:t>Indikator</w:t>
            </w:r>
          </w:p>
        </w:tc>
        <w:tc>
          <w:tcPr>
            <w:tcW w:w="1190" w:type="dxa"/>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tcPr>
          <w:p w14:paraId="70DFE3FC" w14:textId="77777777" w:rsidR="009316F8" w:rsidRPr="00222376" w:rsidRDefault="009316F8" w:rsidP="00FE289C">
            <w:pPr>
              <w:spacing w:before="40" w:after="40" w:line="360" w:lineRule="auto"/>
              <w:rPr>
                <w:rFonts w:ascii="Arial" w:eastAsia="Times New Roman" w:hAnsi="Arial" w:cs="Arial"/>
                <w:b/>
                <w:bCs/>
                <w:color w:val="000000"/>
                <w:sz w:val="18"/>
                <w:szCs w:val="18"/>
                <w:lang w:val="sq-AL"/>
              </w:rPr>
            </w:pPr>
            <w:r w:rsidRPr="00222376">
              <w:rPr>
                <w:rFonts w:ascii="Arial" w:eastAsia="Times New Roman" w:hAnsi="Arial" w:cs="Arial"/>
                <w:b/>
                <w:bCs/>
                <w:color w:val="000000"/>
                <w:sz w:val="18"/>
                <w:szCs w:val="18"/>
                <w:lang w:val="sq-AL"/>
              </w:rPr>
              <w:t>Jedinica</w:t>
            </w:r>
          </w:p>
        </w:tc>
        <w:tc>
          <w:tcPr>
            <w:tcW w:w="2345" w:type="dxa"/>
            <w:tcBorders>
              <w:top w:val="single" w:sz="2" w:space="0" w:color="auto"/>
              <w:left w:val="single" w:sz="2" w:space="0" w:color="auto"/>
              <w:bottom w:val="single" w:sz="2" w:space="0" w:color="auto"/>
              <w:right w:val="single" w:sz="2" w:space="0" w:color="auto"/>
            </w:tcBorders>
            <w:shd w:val="clear" w:color="auto" w:fill="F2F2F2" w:themeFill="background1" w:themeFillShade="F2"/>
            <w:noWrap/>
            <w:vAlign w:val="bottom"/>
          </w:tcPr>
          <w:p w14:paraId="583A2060" w14:textId="599EAB17" w:rsidR="009316F8" w:rsidRPr="00222376" w:rsidRDefault="009316F8" w:rsidP="00FE289C">
            <w:pPr>
              <w:spacing w:before="40" w:after="40" w:line="360" w:lineRule="auto"/>
              <w:rPr>
                <w:rFonts w:ascii="Arial" w:eastAsia="Times New Roman" w:hAnsi="Arial" w:cs="Arial"/>
                <w:b/>
                <w:bCs/>
                <w:color w:val="000000"/>
                <w:sz w:val="18"/>
                <w:szCs w:val="18"/>
                <w:lang w:val="sq-AL"/>
              </w:rPr>
            </w:pPr>
            <w:r w:rsidRPr="00222376">
              <w:rPr>
                <w:rFonts w:ascii="Arial" w:eastAsia="Times New Roman" w:hAnsi="Arial" w:cs="Arial"/>
                <w:b/>
                <w:bCs/>
                <w:color w:val="000000"/>
                <w:sz w:val="18"/>
                <w:szCs w:val="18"/>
                <w:lang w:val="sq-AL"/>
              </w:rPr>
              <w:t xml:space="preserve">Vrijednost </w:t>
            </w:r>
          </w:p>
        </w:tc>
      </w:tr>
      <w:tr w:rsidR="009316F8" w:rsidRPr="00222376" w14:paraId="5ECE83DE" w14:textId="77777777" w:rsidTr="00FE289C">
        <w:trPr>
          <w:trHeight w:val="290"/>
          <w:jc w:val="center"/>
        </w:trPr>
        <w:tc>
          <w:tcPr>
            <w:tcW w:w="8359" w:type="dxa"/>
            <w:gridSpan w:val="3"/>
            <w:tcBorders>
              <w:top w:val="single" w:sz="2" w:space="0" w:color="auto"/>
              <w:left w:val="single" w:sz="2" w:space="0" w:color="auto"/>
              <w:bottom w:val="single" w:sz="2" w:space="0" w:color="auto"/>
              <w:right w:val="single" w:sz="2" w:space="0" w:color="auto"/>
            </w:tcBorders>
            <w:noWrap/>
            <w:vAlign w:val="bottom"/>
          </w:tcPr>
          <w:p w14:paraId="0D5DB3FC"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hAnsi="Arial" w:cs="Arial"/>
                <w:b/>
                <w:bCs/>
                <w:color w:val="000000"/>
                <w:sz w:val="18"/>
                <w:szCs w:val="18"/>
                <w:lang w:val="sq-AL"/>
              </w:rPr>
              <w:t>Stanovništvo</w:t>
            </w:r>
          </w:p>
        </w:tc>
      </w:tr>
      <w:tr w:rsidR="009316F8" w:rsidRPr="00222376" w14:paraId="745F3A86"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vAlign w:val="bottom"/>
          </w:tcPr>
          <w:p w14:paraId="33A5B3C4"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Ukupno stanovništvo. 2023</w:t>
            </w:r>
          </w:p>
        </w:tc>
        <w:tc>
          <w:tcPr>
            <w:tcW w:w="1190" w:type="dxa"/>
            <w:tcBorders>
              <w:top w:val="single" w:sz="2" w:space="0" w:color="auto"/>
              <w:left w:val="single" w:sz="2" w:space="0" w:color="auto"/>
              <w:bottom w:val="single" w:sz="2" w:space="0" w:color="auto"/>
              <w:right w:val="single" w:sz="2" w:space="0" w:color="auto"/>
            </w:tcBorders>
            <w:noWrap/>
            <w:vAlign w:val="bottom"/>
          </w:tcPr>
          <w:p w14:paraId="76EE310E"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stanovnik</w:t>
            </w:r>
          </w:p>
        </w:tc>
        <w:tc>
          <w:tcPr>
            <w:tcW w:w="2345" w:type="dxa"/>
            <w:tcBorders>
              <w:top w:val="single" w:sz="2" w:space="0" w:color="auto"/>
              <w:left w:val="single" w:sz="2" w:space="0" w:color="auto"/>
              <w:bottom w:val="single" w:sz="2" w:space="0" w:color="auto"/>
              <w:right w:val="single" w:sz="2" w:space="0" w:color="auto"/>
            </w:tcBorders>
            <w:noWrap/>
            <w:vAlign w:val="bottom"/>
          </w:tcPr>
          <w:p w14:paraId="2ADCD189"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672.821</w:t>
            </w:r>
          </w:p>
        </w:tc>
      </w:tr>
      <w:tr w:rsidR="009316F8" w:rsidRPr="00222376" w14:paraId="286F9CF3"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04552B02"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stalno stanovništvo (domaćinstva). 2023</w:t>
            </w:r>
          </w:p>
        </w:tc>
        <w:tc>
          <w:tcPr>
            <w:tcW w:w="1190" w:type="dxa"/>
            <w:tcBorders>
              <w:top w:val="single" w:sz="2" w:space="0" w:color="auto"/>
              <w:left w:val="single" w:sz="2" w:space="0" w:color="auto"/>
              <w:bottom w:val="single" w:sz="2" w:space="0" w:color="auto"/>
              <w:right w:val="single" w:sz="2" w:space="0" w:color="auto"/>
            </w:tcBorders>
            <w:noWrap/>
          </w:tcPr>
          <w:p w14:paraId="525F96CF" w14:textId="77777777" w:rsidR="009316F8" w:rsidRPr="00222376" w:rsidRDefault="009316F8" w:rsidP="00FE289C">
            <w:pPr>
              <w:spacing w:line="360" w:lineRule="auto"/>
              <w:rPr>
                <w:rFonts w:ascii="Arial" w:hAnsi="Arial" w:cs="Arial"/>
                <w:sz w:val="18"/>
                <w:szCs w:val="18"/>
              </w:rPr>
            </w:pPr>
            <w:r w:rsidRPr="00222376">
              <w:rPr>
                <w:rFonts w:ascii="Arial" w:hAnsi="Arial" w:cs="Arial"/>
                <w:color w:val="000000"/>
                <w:sz w:val="18"/>
                <w:szCs w:val="18"/>
                <w:lang w:val="sq-AL"/>
              </w:rPr>
              <w:t>stanovnik</w:t>
            </w:r>
          </w:p>
        </w:tc>
        <w:tc>
          <w:tcPr>
            <w:tcW w:w="2345" w:type="dxa"/>
            <w:tcBorders>
              <w:top w:val="single" w:sz="2" w:space="0" w:color="auto"/>
              <w:left w:val="single" w:sz="2" w:space="0" w:color="auto"/>
              <w:bottom w:val="single" w:sz="2" w:space="0" w:color="auto"/>
              <w:right w:val="single" w:sz="2" w:space="0" w:color="auto"/>
            </w:tcBorders>
            <w:noWrap/>
            <w:vAlign w:val="bottom"/>
          </w:tcPr>
          <w:p w14:paraId="38296E0C"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620.609</w:t>
            </w:r>
          </w:p>
        </w:tc>
      </w:tr>
      <w:tr w:rsidR="009316F8" w:rsidRPr="00222376" w14:paraId="3573C307"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5CE4E0E8" w14:textId="1DFF5589"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sezonsko stanovništvo (u rezidentnom ekv stanovnika). 2023</w:t>
            </w:r>
          </w:p>
        </w:tc>
        <w:tc>
          <w:tcPr>
            <w:tcW w:w="1190" w:type="dxa"/>
            <w:tcBorders>
              <w:top w:val="single" w:sz="2" w:space="0" w:color="auto"/>
              <w:left w:val="single" w:sz="2" w:space="0" w:color="auto"/>
              <w:bottom w:val="single" w:sz="2" w:space="0" w:color="auto"/>
              <w:right w:val="single" w:sz="2" w:space="0" w:color="auto"/>
            </w:tcBorders>
            <w:noWrap/>
          </w:tcPr>
          <w:p w14:paraId="5394FAD3" w14:textId="77777777" w:rsidR="009316F8" w:rsidRPr="00222376" w:rsidRDefault="009316F8" w:rsidP="00FE289C">
            <w:pPr>
              <w:spacing w:line="360" w:lineRule="auto"/>
              <w:rPr>
                <w:rFonts w:ascii="Arial" w:hAnsi="Arial" w:cs="Arial"/>
                <w:sz w:val="18"/>
                <w:szCs w:val="18"/>
              </w:rPr>
            </w:pPr>
            <w:r w:rsidRPr="00222376">
              <w:rPr>
                <w:rFonts w:ascii="Arial" w:hAnsi="Arial" w:cs="Arial"/>
                <w:color w:val="000000"/>
                <w:sz w:val="18"/>
                <w:szCs w:val="18"/>
                <w:lang w:val="sq-AL"/>
              </w:rPr>
              <w:t>stanovnik</w:t>
            </w:r>
          </w:p>
        </w:tc>
        <w:tc>
          <w:tcPr>
            <w:tcW w:w="2345" w:type="dxa"/>
            <w:tcBorders>
              <w:top w:val="single" w:sz="2" w:space="0" w:color="auto"/>
              <w:left w:val="single" w:sz="2" w:space="0" w:color="auto"/>
              <w:bottom w:val="single" w:sz="2" w:space="0" w:color="auto"/>
              <w:right w:val="single" w:sz="2" w:space="0" w:color="auto"/>
            </w:tcBorders>
            <w:noWrap/>
            <w:vAlign w:val="bottom"/>
          </w:tcPr>
          <w:p w14:paraId="156742A0"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52.212</w:t>
            </w:r>
          </w:p>
        </w:tc>
      </w:tr>
      <w:tr w:rsidR="009316F8" w:rsidRPr="00222376" w14:paraId="76630279"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350DA149" w14:textId="32F511C3" w:rsidR="009316F8" w:rsidRPr="00222376" w:rsidRDefault="00F858D9"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Ukupno stanovništvo. 2029</w:t>
            </w:r>
          </w:p>
        </w:tc>
        <w:tc>
          <w:tcPr>
            <w:tcW w:w="1190" w:type="dxa"/>
            <w:tcBorders>
              <w:top w:val="single" w:sz="2" w:space="0" w:color="auto"/>
              <w:left w:val="single" w:sz="2" w:space="0" w:color="auto"/>
              <w:bottom w:val="single" w:sz="2" w:space="0" w:color="auto"/>
              <w:right w:val="single" w:sz="2" w:space="0" w:color="auto"/>
            </w:tcBorders>
            <w:noWrap/>
          </w:tcPr>
          <w:p w14:paraId="66F13AC5" w14:textId="77777777" w:rsidR="009316F8" w:rsidRPr="00222376" w:rsidRDefault="009316F8" w:rsidP="00FE289C">
            <w:pPr>
              <w:spacing w:line="360" w:lineRule="auto"/>
              <w:rPr>
                <w:rFonts w:ascii="Arial" w:hAnsi="Arial" w:cs="Arial"/>
                <w:sz w:val="18"/>
                <w:szCs w:val="18"/>
              </w:rPr>
            </w:pPr>
            <w:r w:rsidRPr="00222376">
              <w:rPr>
                <w:rFonts w:ascii="Arial" w:hAnsi="Arial" w:cs="Arial"/>
                <w:color w:val="000000"/>
                <w:sz w:val="18"/>
                <w:szCs w:val="18"/>
                <w:lang w:val="sq-AL"/>
              </w:rPr>
              <w:t>stanovnik</w:t>
            </w:r>
          </w:p>
        </w:tc>
        <w:tc>
          <w:tcPr>
            <w:tcW w:w="2345" w:type="dxa"/>
            <w:tcBorders>
              <w:top w:val="single" w:sz="2" w:space="0" w:color="auto"/>
              <w:left w:val="single" w:sz="2" w:space="0" w:color="auto"/>
              <w:bottom w:val="single" w:sz="2" w:space="0" w:color="auto"/>
              <w:right w:val="single" w:sz="2" w:space="0" w:color="auto"/>
            </w:tcBorders>
            <w:noWrap/>
            <w:vAlign w:val="bottom"/>
          </w:tcPr>
          <w:p w14:paraId="4F687BD2"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676.904</w:t>
            </w:r>
          </w:p>
        </w:tc>
      </w:tr>
      <w:tr w:rsidR="009316F8" w:rsidRPr="00222376" w14:paraId="608BA648"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4F62DE55" w14:textId="0027151B" w:rsidR="009316F8" w:rsidRPr="00222376" w:rsidRDefault="00F858D9"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stalno stanovništvo. 2029</w:t>
            </w:r>
          </w:p>
        </w:tc>
        <w:tc>
          <w:tcPr>
            <w:tcW w:w="1190" w:type="dxa"/>
            <w:tcBorders>
              <w:top w:val="single" w:sz="2" w:space="0" w:color="auto"/>
              <w:left w:val="single" w:sz="2" w:space="0" w:color="auto"/>
              <w:bottom w:val="single" w:sz="2" w:space="0" w:color="auto"/>
              <w:right w:val="single" w:sz="2" w:space="0" w:color="auto"/>
            </w:tcBorders>
            <w:noWrap/>
          </w:tcPr>
          <w:p w14:paraId="1EF83ED1" w14:textId="77777777" w:rsidR="009316F8" w:rsidRPr="00222376" w:rsidRDefault="009316F8" w:rsidP="00FE289C">
            <w:pPr>
              <w:spacing w:line="360" w:lineRule="auto"/>
              <w:rPr>
                <w:rFonts w:ascii="Arial" w:hAnsi="Arial" w:cs="Arial"/>
                <w:sz w:val="18"/>
                <w:szCs w:val="18"/>
              </w:rPr>
            </w:pPr>
            <w:r w:rsidRPr="00222376">
              <w:rPr>
                <w:rFonts w:ascii="Arial" w:hAnsi="Arial" w:cs="Arial"/>
                <w:color w:val="000000"/>
                <w:sz w:val="18"/>
                <w:szCs w:val="18"/>
                <w:lang w:val="sq-AL"/>
              </w:rPr>
              <w:t>stanovnik</w:t>
            </w:r>
          </w:p>
        </w:tc>
        <w:tc>
          <w:tcPr>
            <w:tcW w:w="2345" w:type="dxa"/>
            <w:tcBorders>
              <w:top w:val="single" w:sz="2" w:space="0" w:color="auto"/>
              <w:left w:val="single" w:sz="2" w:space="0" w:color="auto"/>
              <w:bottom w:val="single" w:sz="2" w:space="0" w:color="auto"/>
              <w:right w:val="single" w:sz="2" w:space="0" w:color="auto"/>
            </w:tcBorders>
            <w:noWrap/>
            <w:vAlign w:val="bottom"/>
          </w:tcPr>
          <w:p w14:paraId="348EACE5"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624.692</w:t>
            </w:r>
          </w:p>
        </w:tc>
      </w:tr>
      <w:tr w:rsidR="009316F8" w:rsidRPr="00222376" w14:paraId="05437A8B"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6876F0DF" w14:textId="34321C08" w:rsidR="009316F8" w:rsidRPr="00222376" w:rsidRDefault="009316F8" w:rsidP="00F858D9">
            <w:pPr>
              <w:spacing w:line="360" w:lineRule="auto"/>
              <w:rPr>
                <w:rFonts w:ascii="Arial" w:hAnsi="Arial" w:cs="Arial"/>
                <w:sz w:val="18"/>
                <w:szCs w:val="18"/>
              </w:rPr>
            </w:pPr>
            <w:r w:rsidRPr="00222376">
              <w:rPr>
                <w:rFonts w:ascii="Arial" w:eastAsia="Times New Roman" w:hAnsi="Arial" w:cs="Arial"/>
                <w:color w:val="000000"/>
                <w:sz w:val="18"/>
                <w:szCs w:val="18"/>
                <w:lang w:val="sq-AL"/>
              </w:rPr>
              <w:t xml:space="preserve">sezonsko stanovništvo (u rezidentnom ekv stanovnika). </w:t>
            </w:r>
            <w:r w:rsidR="00F858D9" w:rsidRPr="00222376">
              <w:rPr>
                <w:rFonts w:ascii="Arial" w:eastAsia="Times New Roman" w:hAnsi="Arial" w:cs="Arial"/>
                <w:color w:val="000000"/>
                <w:sz w:val="18"/>
                <w:szCs w:val="18"/>
                <w:lang w:val="sq-AL"/>
              </w:rPr>
              <w:t>2029</w:t>
            </w:r>
          </w:p>
        </w:tc>
        <w:tc>
          <w:tcPr>
            <w:tcW w:w="1190" w:type="dxa"/>
            <w:tcBorders>
              <w:top w:val="single" w:sz="2" w:space="0" w:color="auto"/>
              <w:left w:val="single" w:sz="2" w:space="0" w:color="auto"/>
              <w:bottom w:val="single" w:sz="2" w:space="0" w:color="auto"/>
              <w:right w:val="single" w:sz="2" w:space="0" w:color="auto"/>
            </w:tcBorders>
            <w:noWrap/>
          </w:tcPr>
          <w:p w14:paraId="36037740" w14:textId="77777777" w:rsidR="009316F8" w:rsidRPr="00222376" w:rsidRDefault="009316F8" w:rsidP="00FE289C">
            <w:pPr>
              <w:spacing w:line="360" w:lineRule="auto"/>
              <w:rPr>
                <w:rFonts w:ascii="Arial" w:hAnsi="Arial" w:cs="Arial"/>
                <w:sz w:val="18"/>
                <w:szCs w:val="18"/>
              </w:rPr>
            </w:pPr>
            <w:r w:rsidRPr="00222376">
              <w:rPr>
                <w:rFonts w:ascii="Arial" w:hAnsi="Arial" w:cs="Arial"/>
                <w:color w:val="000000"/>
                <w:sz w:val="18"/>
                <w:szCs w:val="18"/>
                <w:lang w:val="sq-AL"/>
              </w:rPr>
              <w:t>stanovnik</w:t>
            </w:r>
          </w:p>
        </w:tc>
        <w:tc>
          <w:tcPr>
            <w:tcW w:w="2345" w:type="dxa"/>
            <w:tcBorders>
              <w:top w:val="single" w:sz="2" w:space="0" w:color="auto"/>
              <w:left w:val="single" w:sz="2" w:space="0" w:color="auto"/>
              <w:bottom w:val="single" w:sz="2" w:space="0" w:color="auto"/>
              <w:right w:val="single" w:sz="2" w:space="0" w:color="auto"/>
            </w:tcBorders>
            <w:noWrap/>
            <w:vAlign w:val="bottom"/>
          </w:tcPr>
          <w:p w14:paraId="3E029CBB"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52.212</w:t>
            </w:r>
          </w:p>
        </w:tc>
      </w:tr>
      <w:tr w:rsidR="009316F8" w:rsidRPr="00222376" w14:paraId="6985567B" w14:textId="77777777" w:rsidTr="00FE289C">
        <w:trPr>
          <w:trHeight w:val="290"/>
          <w:jc w:val="center"/>
        </w:trPr>
        <w:tc>
          <w:tcPr>
            <w:tcW w:w="8359" w:type="dxa"/>
            <w:gridSpan w:val="3"/>
            <w:tcBorders>
              <w:top w:val="single" w:sz="2" w:space="0" w:color="auto"/>
              <w:left w:val="single" w:sz="2" w:space="0" w:color="auto"/>
              <w:bottom w:val="single" w:sz="2" w:space="0" w:color="auto"/>
              <w:right w:val="single" w:sz="2" w:space="0" w:color="auto"/>
            </w:tcBorders>
            <w:noWrap/>
            <w:vAlign w:val="bottom"/>
          </w:tcPr>
          <w:p w14:paraId="08C0DA5A"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hAnsi="Arial" w:cs="Arial"/>
                <w:b/>
                <w:bCs/>
                <w:color w:val="000000"/>
                <w:sz w:val="18"/>
                <w:szCs w:val="18"/>
                <w:lang w:val="sq-AL"/>
              </w:rPr>
              <w:t>Generisanje otpada</w:t>
            </w:r>
          </w:p>
        </w:tc>
      </w:tr>
      <w:tr w:rsidR="009316F8" w:rsidRPr="00222376" w14:paraId="6235EB0E"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vAlign w:val="bottom"/>
          </w:tcPr>
          <w:p w14:paraId="3B5397D5"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Sakupljeni specifični otpad po glavi stanovnika. domaćinstva (2023)</w:t>
            </w:r>
          </w:p>
        </w:tc>
        <w:tc>
          <w:tcPr>
            <w:tcW w:w="1190" w:type="dxa"/>
            <w:tcBorders>
              <w:top w:val="single" w:sz="2" w:space="0" w:color="auto"/>
              <w:left w:val="single" w:sz="2" w:space="0" w:color="auto"/>
              <w:bottom w:val="single" w:sz="2" w:space="0" w:color="auto"/>
              <w:right w:val="single" w:sz="2" w:space="0" w:color="auto"/>
            </w:tcBorders>
            <w:noWrap/>
            <w:vAlign w:val="bottom"/>
          </w:tcPr>
          <w:p w14:paraId="10F4967B"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hAnsi="Arial" w:cs="Arial"/>
                <w:color w:val="000000"/>
                <w:sz w:val="18"/>
                <w:szCs w:val="18"/>
                <w:lang w:val="sq-AL"/>
              </w:rPr>
              <w:t>t/po glavi.god</w:t>
            </w:r>
          </w:p>
        </w:tc>
        <w:tc>
          <w:tcPr>
            <w:tcW w:w="2345" w:type="dxa"/>
            <w:tcBorders>
              <w:top w:val="single" w:sz="2" w:space="0" w:color="auto"/>
              <w:left w:val="single" w:sz="2" w:space="0" w:color="auto"/>
              <w:bottom w:val="single" w:sz="2" w:space="0" w:color="auto"/>
              <w:right w:val="single" w:sz="2" w:space="0" w:color="auto"/>
            </w:tcBorders>
            <w:noWrap/>
            <w:vAlign w:val="center"/>
          </w:tcPr>
          <w:p w14:paraId="123DA6D5"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0.35</w:t>
            </w:r>
          </w:p>
        </w:tc>
      </w:tr>
      <w:tr w:rsidR="009316F8" w:rsidRPr="00222376" w14:paraId="727299A2"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49876256"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Sakupljeni specifični otpad po glavi stanovnika. sezonsko stanovništvo (2023)</w:t>
            </w:r>
          </w:p>
        </w:tc>
        <w:tc>
          <w:tcPr>
            <w:tcW w:w="1190" w:type="dxa"/>
            <w:tcBorders>
              <w:top w:val="single" w:sz="2" w:space="0" w:color="auto"/>
              <w:left w:val="single" w:sz="2" w:space="0" w:color="auto"/>
              <w:bottom w:val="single" w:sz="2" w:space="0" w:color="auto"/>
              <w:right w:val="single" w:sz="2" w:space="0" w:color="auto"/>
            </w:tcBorders>
            <w:noWrap/>
          </w:tcPr>
          <w:p w14:paraId="69D44672" w14:textId="77777777" w:rsidR="009316F8" w:rsidRPr="00222376" w:rsidRDefault="009316F8" w:rsidP="00FE289C">
            <w:pPr>
              <w:spacing w:line="360" w:lineRule="auto"/>
              <w:rPr>
                <w:rFonts w:ascii="Arial" w:hAnsi="Arial" w:cs="Arial"/>
                <w:sz w:val="18"/>
                <w:szCs w:val="18"/>
              </w:rPr>
            </w:pPr>
            <w:r w:rsidRPr="00222376">
              <w:rPr>
                <w:rFonts w:ascii="Arial" w:hAnsi="Arial" w:cs="Arial"/>
                <w:color w:val="000000"/>
                <w:sz w:val="18"/>
                <w:szCs w:val="18"/>
                <w:lang w:val="sq-AL"/>
              </w:rPr>
              <w:t>t/po glavi.god</w:t>
            </w:r>
          </w:p>
        </w:tc>
        <w:tc>
          <w:tcPr>
            <w:tcW w:w="2345" w:type="dxa"/>
            <w:tcBorders>
              <w:top w:val="single" w:sz="2" w:space="0" w:color="auto"/>
              <w:left w:val="single" w:sz="2" w:space="0" w:color="auto"/>
              <w:bottom w:val="single" w:sz="2" w:space="0" w:color="auto"/>
              <w:right w:val="single" w:sz="2" w:space="0" w:color="auto"/>
            </w:tcBorders>
            <w:noWrap/>
            <w:vAlign w:val="center"/>
          </w:tcPr>
          <w:p w14:paraId="0F9F6F04"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0.69</w:t>
            </w:r>
          </w:p>
        </w:tc>
      </w:tr>
      <w:tr w:rsidR="009316F8" w:rsidRPr="00222376" w14:paraId="22C7CACA"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317CC9FF"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Sakupljeni specifični otpad po glavi stanovnika. ostali nerezidentni stanovnici (2023)</w:t>
            </w:r>
          </w:p>
        </w:tc>
        <w:tc>
          <w:tcPr>
            <w:tcW w:w="1190" w:type="dxa"/>
            <w:tcBorders>
              <w:top w:val="single" w:sz="2" w:space="0" w:color="auto"/>
              <w:left w:val="single" w:sz="2" w:space="0" w:color="auto"/>
              <w:bottom w:val="single" w:sz="2" w:space="0" w:color="auto"/>
              <w:right w:val="single" w:sz="2" w:space="0" w:color="auto"/>
            </w:tcBorders>
            <w:noWrap/>
          </w:tcPr>
          <w:p w14:paraId="1B5E1614" w14:textId="77777777" w:rsidR="009316F8" w:rsidRPr="00222376" w:rsidRDefault="009316F8" w:rsidP="00FE289C">
            <w:pPr>
              <w:spacing w:line="360" w:lineRule="auto"/>
              <w:rPr>
                <w:rFonts w:ascii="Arial" w:hAnsi="Arial" w:cs="Arial"/>
                <w:sz w:val="18"/>
                <w:szCs w:val="18"/>
              </w:rPr>
            </w:pPr>
            <w:r w:rsidRPr="00222376">
              <w:rPr>
                <w:rFonts w:ascii="Arial" w:hAnsi="Arial" w:cs="Arial"/>
                <w:color w:val="000000"/>
                <w:sz w:val="18"/>
                <w:szCs w:val="18"/>
                <w:lang w:val="sq-AL"/>
              </w:rPr>
              <w:t>t/po glavi.god</w:t>
            </w:r>
          </w:p>
        </w:tc>
        <w:tc>
          <w:tcPr>
            <w:tcW w:w="2345" w:type="dxa"/>
            <w:tcBorders>
              <w:top w:val="single" w:sz="2" w:space="0" w:color="auto"/>
              <w:left w:val="single" w:sz="2" w:space="0" w:color="auto"/>
              <w:bottom w:val="single" w:sz="2" w:space="0" w:color="auto"/>
              <w:right w:val="single" w:sz="2" w:space="0" w:color="auto"/>
            </w:tcBorders>
            <w:noWrap/>
            <w:vAlign w:val="center"/>
          </w:tcPr>
          <w:p w14:paraId="0381B9F6"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0.12</w:t>
            </w:r>
          </w:p>
        </w:tc>
      </w:tr>
      <w:tr w:rsidR="009316F8" w:rsidRPr="00222376" w14:paraId="027E4266"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65BB789A"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Sakupljeni specifični otpad po glavi stanovnika. prosjek (2023)</w:t>
            </w:r>
          </w:p>
        </w:tc>
        <w:tc>
          <w:tcPr>
            <w:tcW w:w="1190" w:type="dxa"/>
            <w:tcBorders>
              <w:top w:val="single" w:sz="2" w:space="0" w:color="auto"/>
              <w:left w:val="single" w:sz="2" w:space="0" w:color="auto"/>
              <w:bottom w:val="single" w:sz="2" w:space="0" w:color="auto"/>
              <w:right w:val="single" w:sz="2" w:space="0" w:color="auto"/>
            </w:tcBorders>
            <w:noWrap/>
          </w:tcPr>
          <w:p w14:paraId="640EA840" w14:textId="77777777" w:rsidR="009316F8" w:rsidRPr="00222376" w:rsidRDefault="009316F8" w:rsidP="00FE289C">
            <w:pPr>
              <w:spacing w:line="360" w:lineRule="auto"/>
              <w:rPr>
                <w:rFonts w:ascii="Arial" w:hAnsi="Arial" w:cs="Arial"/>
                <w:sz w:val="18"/>
                <w:szCs w:val="18"/>
              </w:rPr>
            </w:pPr>
            <w:r w:rsidRPr="00222376">
              <w:rPr>
                <w:rFonts w:ascii="Arial" w:hAnsi="Arial" w:cs="Arial"/>
                <w:color w:val="000000"/>
                <w:sz w:val="18"/>
                <w:szCs w:val="18"/>
                <w:lang w:val="sq-AL"/>
              </w:rPr>
              <w:t>t/po glavi.god</w:t>
            </w:r>
          </w:p>
        </w:tc>
        <w:tc>
          <w:tcPr>
            <w:tcW w:w="2345" w:type="dxa"/>
            <w:tcBorders>
              <w:top w:val="single" w:sz="2" w:space="0" w:color="auto"/>
              <w:left w:val="single" w:sz="2" w:space="0" w:color="auto"/>
              <w:bottom w:val="single" w:sz="2" w:space="0" w:color="auto"/>
              <w:right w:val="single" w:sz="2" w:space="0" w:color="auto"/>
            </w:tcBorders>
            <w:noWrap/>
            <w:vAlign w:val="center"/>
          </w:tcPr>
          <w:p w14:paraId="21598634"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0.50</w:t>
            </w:r>
          </w:p>
        </w:tc>
      </w:tr>
      <w:tr w:rsidR="009316F8" w:rsidRPr="00222376" w14:paraId="181A2839"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40C5FDCC"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Ukupno sakupljeni otpad 2023</w:t>
            </w:r>
          </w:p>
        </w:tc>
        <w:tc>
          <w:tcPr>
            <w:tcW w:w="1190" w:type="dxa"/>
            <w:tcBorders>
              <w:top w:val="single" w:sz="2" w:space="0" w:color="auto"/>
              <w:left w:val="single" w:sz="2" w:space="0" w:color="auto"/>
              <w:bottom w:val="single" w:sz="2" w:space="0" w:color="auto"/>
              <w:right w:val="single" w:sz="2" w:space="0" w:color="auto"/>
            </w:tcBorders>
            <w:noWrap/>
            <w:vAlign w:val="bottom"/>
          </w:tcPr>
          <w:p w14:paraId="06A6648A"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hAnsi="Arial" w:cs="Arial"/>
                <w:color w:val="000000"/>
                <w:sz w:val="18"/>
                <w:szCs w:val="18"/>
                <w:lang w:val="sq-AL"/>
              </w:rPr>
              <w:t>t/god</w:t>
            </w:r>
          </w:p>
        </w:tc>
        <w:tc>
          <w:tcPr>
            <w:tcW w:w="2345" w:type="dxa"/>
            <w:tcBorders>
              <w:top w:val="single" w:sz="2" w:space="0" w:color="auto"/>
              <w:left w:val="single" w:sz="2" w:space="0" w:color="auto"/>
              <w:bottom w:val="single" w:sz="2" w:space="0" w:color="auto"/>
              <w:right w:val="single" w:sz="2" w:space="0" w:color="auto"/>
            </w:tcBorders>
            <w:noWrap/>
            <w:vAlign w:val="center"/>
          </w:tcPr>
          <w:p w14:paraId="386BBC0E"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334.697</w:t>
            </w:r>
          </w:p>
        </w:tc>
      </w:tr>
      <w:tr w:rsidR="009316F8" w:rsidRPr="00222376" w14:paraId="10D42062"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3E85E2F5"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od toga iz domaćinstava</w:t>
            </w:r>
          </w:p>
        </w:tc>
        <w:tc>
          <w:tcPr>
            <w:tcW w:w="1190" w:type="dxa"/>
            <w:tcBorders>
              <w:top w:val="single" w:sz="2" w:space="0" w:color="auto"/>
              <w:left w:val="single" w:sz="2" w:space="0" w:color="auto"/>
              <w:bottom w:val="single" w:sz="2" w:space="0" w:color="auto"/>
              <w:right w:val="single" w:sz="2" w:space="0" w:color="auto"/>
            </w:tcBorders>
            <w:noWrap/>
          </w:tcPr>
          <w:p w14:paraId="31609916" w14:textId="77777777" w:rsidR="009316F8" w:rsidRPr="00222376" w:rsidRDefault="009316F8" w:rsidP="00FE289C">
            <w:pPr>
              <w:spacing w:line="360" w:lineRule="auto"/>
              <w:rPr>
                <w:rFonts w:ascii="Arial" w:hAnsi="Arial" w:cs="Arial"/>
                <w:sz w:val="18"/>
                <w:szCs w:val="18"/>
              </w:rPr>
            </w:pPr>
            <w:r w:rsidRPr="00222376">
              <w:rPr>
                <w:rFonts w:ascii="Arial" w:hAnsi="Arial" w:cs="Arial"/>
                <w:color w:val="000000"/>
                <w:sz w:val="18"/>
                <w:szCs w:val="18"/>
                <w:lang w:val="sq-AL"/>
              </w:rPr>
              <w:t>t/god</w:t>
            </w:r>
          </w:p>
        </w:tc>
        <w:tc>
          <w:tcPr>
            <w:tcW w:w="2345" w:type="dxa"/>
            <w:tcBorders>
              <w:top w:val="single" w:sz="2" w:space="0" w:color="auto"/>
              <w:left w:val="single" w:sz="2" w:space="0" w:color="auto"/>
              <w:bottom w:val="single" w:sz="2" w:space="0" w:color="auto"/>
              <w:right w:val="single" w:sz="2" w:space="0" w:color="auto"/>
            </w:tcBorders>
            <w:noWrap/>
            <w:vAlign w:val="center"/>
          </w:tcPr>
          <w:p w14:paraId="61DDB0CA"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252.052</w:t>
            </w:r>
          </w:p>
        </w:tc>
      </w:tr>
      <w:tr w:rsidR="009316F8" w:rsidRPr="00222376" w14:paraId="791552BB"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34EB11C4"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od toga sličan otpad</w:t>
            </w:r>
          </w:p>
        </w:tc>
        <w:tc>
          <w:tcPr>
            <w:tcW w:w="1190" w:type="dxa"/>
            <w:tcBorders>
              <w:top w:val="single" w:sz="2" w:space="0" w:color="auto"/>
              <w:left w:val="single" w:sz="2" w:space="0" w:color="auto"/>
              <w:bottom w:val="single" w:sz="2" w:space="0" w:color="auto"/>
              <w:right w:val="single" w:sz="2" w:space="0" w:color="auto"/>
            </w:tcBorders>
            <w:noWrap/>
          </w:tcPr>
          <w:p w14:paraId="39154E97" w14:textId="77777777" w:rsidR="009316F8" w:rsidRPr="00222376" w:rsidRDefault="009316F8" w:rsidP="00FE289C">
            <w:pPr>
              <w:spacing w:line="360" w:lineRule="auto"/>
              <w:rPr>
                <w:rFonts w:ascii="Arial" w:hAnsi="Arial" w:cs="Arial"/>
                <w:sz w:val="18"/>
                <w:szCs w:val="18"/>
              </w:rPr>
            </w:pPr>
            <w:r w:rsidRPr="00222376">
              <w:rPr>
                <w:rFonts w:ascii="Arial" w:hAnsi="Arial" w:cs="Arial"/>
                <w:color w:val="000000"/>
                <w:sz w:val="18"/>
                <w:szCs w:val="18"/>
                <w:lang w:val="sq-AL"/>
              </w:rPr>
              <w:t>t/god</w:t>
            </w:r>
          </w:p>
        </w:tc>
        <w:tc>
          <w:tcPr>
            <w:tcW w:w="2345" w:type="dxa"/>
            <w:tcBorders>
              <w:top w:val="single" w:sz="2" w:space="0" w:color="auto"/>
              <w:left w:val="single" w:sz="2" w:space="0" w:color="auto"/>
              <w:bottom w:val="single" w:sz="2" w:space="0" w:color="auto"/>
              <w:right w:val="single" w:sz="2" w:space="0" w:color="auto"/>
            </w:tcBorders>
            <w:noWrap/>
            <w:vAlign w:val="center"/>
          </w:tcPr>
          <w:p w14:paraId="0174CE27"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82.645</w:t>
            </w:r>
          </w:p>
        </w:tc>
      </w:tr>
      <w:tr w:rsidR="009316F8" w:rsidRPr="00222376" w14:paraId="31CD1C07"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4213C25A" w14:textId="6937B904" w:rsidR="009316F8" w:rsidRPr="00222376" w:rsidRDefault="009316F8" w:rsidP="00F858D9">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 xml:space="preserve">Ukupno sakupljeni otpad </w:t>
            </w:r>
            <w:r w:rsidR="00F858D9" w:rsidRPr="00222376">
              <w:rPr>
                <w:rFonts w:ascii="Arial" w:eastAsia="Times New Roman" w:hAnsi="Arial" w:cs="Arial"/>
                <w:color w:val="000000"/>
                <w:sz w:val="18"/>
                <w:szCs w:val="18"/>
                <w:lang w:val="sq-AL"/>
              </w:rPr>
              <w:t>2029</w:t>
            </w:r>
          </w:p>
        </w:tc>
        <w:tc>
          <w:tcPr>
            <w:tcW w:w="1190" w:type="dxa"/>
            <w:tcBorders>
              <w:top w:val="single" w:sz="2" w:space="0" w:color="auto"/>
              <w:left w:val="single" w:sz="2" w:space="0" w:color="auto"/>
              <w:bottom w:val="single" w:sz="2" w:space="0" w:color="auto"/>
              <w:right w:val="single" w:sz="2" w:space="0" w:color="auto"/>
            </w:tcBorders>
            <w:noWrap/>
          </w:tcPr>
          <w:p w14:paraId="0B13C3CD" w14:textId="77777777" w:rsidR="009316F8" w:rsidRPr="00222376" w:rsidRDefault="009316F8" w:rsidP="00FE289C">
            <w:pPr>
              <w:spacing w:line="360" w:lineRule="auto"/>
              <w:rPr>
                <w:rFonts w:ascii="Arial" w:hAnsi="Arial" w:cs="Arial"/>
                <w:sz w:val="18"/>
                <w:szCs w:val="18"/>
              </w:rPr>
            </w:pPr>
            <w:r w:rsidRPr="00222376">
              <w:rPr>
                <w:rFonts w:ascii="Arial" w:hAnsi="Arial" w:cs="Arial"/>
                <w:color w:val="000000"/>
                <w:sz w:val="18"/>
                <w:szCs w:val="18"/>
                <w:lang w:val="sq-AL"/>
              </w:rPr>
              <w:t>t/god</w:t>
            </w:r>
          </w:p>
        </w:tc>
        <w:tc>
          <w:tcPr>
            <w:tcW w:w="2345" w:type="dxa"/>
            <w:tcBorders>
              <w:top w:val="single" w:sz="2" w:space="0" w:color="auto"/>
              <w:left w:val="single" w:sz="2" w:space="0" w:color="auto"/>
              <w:bottom w:val="single" w:sz="2" w:space="0" w:color="auto"/>
              <w:right w:val="single" w:sz="2" w:space="0" w:color="auto"/>
            </w:tcBorders>
            <w:noWrap/>
            <w:vAlign w:val="center"/>
          </w:tcPr>
          <w:p w14:paraId="104B3F6E"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360.433</w:t>
            </w:r>
          </w:p>
        </w:tc>
      </w:tr>
      <w:tr w:rsidR="009316F8" w:rsidRPr="00222376" w14:paraId="21971B5E"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24B913CF"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od domaćinstava</w:t>
            </w:r>
          </w:p>
        </w:tc>
        <w:tc>
          <w:tcPr>
            <w:tcW w:w="1190" w:type="dxa"/>
            <w:tcBorders>
              <w:top w:val="single" w:sz="2" w:space="0" w:color="auto"/>
              <w:left w:val="single" w:sz="2" w:space="0" w:color="auto"/>
              <w:bottom w:val="single" w:sz="2" w:space="0" w:color="auto"/>
              <w:right w:val="single" w:sz="2" w:space="0" w:color="auto"/>
            </w:tcBorders>
            <w:noWrap/>
          </w:tcPr>
          <w:p w14:paraId="6B39A8D0" w14:textId="77777777" w:rsidR="009316F8" w:rsidRPr="00222376" w:rsidRDefault="009316F8" w:rsidP="00FE289C">
            <w:pPr>
              <w:spacing w:line="360" w:lineRule="auto"/>
              <w:rPr>
                <w:rFonts w:ascii="Arial" w:hAnsi="Arial" w:cs="Arial"/>
                <w:sz w:val="18"/>
                <w:szCs w:val="18"/>
              </w:rPr>
            </w:pPr>
            <w:r w:rsidRPr="00222376">
              <w:rPr>
                <w:rFonts w:ascii="Arial" w:hAnsi="Arial" w:cs="Arial"/>
                <w:color w:val="000000"/>
                <w:sz w:val="18"/>
                <w:szCs w:val="18"/>
                <w:lang w:val="sq-AL"/>
              </w:rPr>
              <w:t>t/god</w:t>
            </w:r>
          </w:p>
        </w:tc>
        <w:tc>
          <w:tcPr>
            <w:tcW w:w="2345" w:type="dxa"/>
            <w:tcBorders>
              <w:top w:val="single" w:sz="2" w:space="0" w:color="auto"/>
              <w:left w:val="single" w:sz="2" w:space="0" w:color="auto"/>
              <w:bottom w:val="single" w:sz="2" w:space="0" w:color="auto"/>
              <w:right w:val="single" w:sz="2" w:space="0" w:color="auto"/>
            </w:tcBorders>
            <w:noWrap/>
            <w:vAlign w:val="center"/>
          </w:tcPr>
          <w:p w14:paraId="1E0E31BE"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270.651</w:t>
            </w:r>
          </w:p>
        </w:tc>
      </w:tr>
      <w:tr w:rsidR="009316F8" w:rsidRPr="00222376" w14:paraId="6EF4C2FB"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3D01BAB8" w14:textId="77777777" w:rsidR="009316F8" w:rsidRPr="00222376" w:rsidRDefault="009316F8" w:rsidP="00FE289C">
            <w:pPr>
              <w:spacing w:line="360" w:lineRule="auto"/>
              <w:rPr>
                <w:rFonts w:ascii="Arial" w:hAnsi="Arial" w:cs="Arial"/>
                <w:sz w:val="18"/>
                <w:szCs w:val="18"/>
              </w:rPr>
            </w:pPr>
            <w:r w:rsidRPr="00222376">
              <w:rPr>
                <w:rFonts w:ascii="Arial" w:eastAsia="Times New Roman" w:hAnsi="Arial" w:cs="Arial"/>
                <w:color w:val="000000"/>
                <w:sz w:val="18"/>
                <w:szCs w:val="18"/>
                <w:lang w:val="sq-AL"/>
              </w:rPr>
              <w:t>od toga sličan otpad</w:t>
            </w:r>
          </w:p>
        </w:tc>
        <w:tc>
          <w:tcPr>
            <w:tcW w:w="1190" w:type="dxa"/>
            <w:tcBorders>
              <w:top w:val="single" w:sz="2" w:space="0" w:color="auto"/>
              <w:left w:val="single" w:sz="2" w:space="0" w:color="auto"/>
              <w:bottom w:val="single" w:sz="2" w:space="0" w:color="auto"/>
              <w:right w:val="single" w:sz="2" w:space="0" w:color="auto"/>
            </w:tcBorders>
            <w:noWrap/>
          </w:tcPr>
          <w:p w14:paraId="0664E8F5" w14:textId="77777777" w:rsidR="009316F8" w:rsidRPr="00222376" w:rsidRDefault="009316F8" w:rsidP="00FE289C">
            <w:pPr>
              <w:spacing w:line="360" w:lineRule="auto"/>
              <w:rPr>
                <w:rFonts w:ascii="Arial" w:hAnsi="Arial" w:cs="Arial"/>
                <w:sz w:val="18"/>
                <w:szCs w:val="18"/>
              </w:rPr>
            </w:pPr>
            <w:r w:rsidRPr="00222376">
              <w:rPr>
                <w:rFonts w:ascii="Arial" w:hAnsi="Arial" w:cs="Arial"/>
                <w:color w:val="000000"/>
                <w:sz w:val="18"/>
                <w:szCs w:val="18"/>
                <w:lang w:val="sq-AL"/>
              </w:rPr>
              <w:t>t/god</w:t>
            </w:r>
          </w:p>
        </w:tc>
        <w:tc>
          <w:tcPr>
            <w:tcW w:w="2345" w:type="dxa"/>
            <w:tcBorders>
              <w:top w:val="single" w:sz="2" w:space="0" w:color="auto"/>
              <w:left w:val="single" w:sz="2" w:space="0" w:color="auto"/>
              <w:bottom w:val="single" w:sz="2" w:space="0" w:color="auto"/>
              <w:right w:val="single" w:sz="2" w:space="0" w:color="auto"/>
            </w:tcBorders>
            <w:noWrap/>
            <w:vAlign w:val="center"/>
          </w:tcPr>
          <w:p w14:paraId="6849B6C0"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89.782</w:t>
            </w:r>
          </w:p>
        </w:tc>
      </w:tr>
      <w:tr w:rsidR="009316F8" w:rsidRPr="00222376" w14:paraId="0E6CABB7" w14:textId="77777777" w:rsidTr="00FE289C">
        <w:trPr>
          <w:trHeight w:val="290"/>
          <w:jc w:val="center"/>
        </w:trPr>
        <w:tc>
          <w:tcPr>
            <w:tcW w:w="8359" w:type="dxa"/>
            <w:gridSpan w:val="3"/>
            <w:tcBorders>
              <w:top w:val="single" w:sz="2" w:space="0" w:color="auto"/>
              <w:left w:val="single" w:sz="2" w:space="0" w:color="auto"/>
              <w:bottom w:val="single" w:sz="2" w:space="0" w:color="auto"/>
              <w:right w:val="single" w:sz="2" w:space="0" w:color="auto"/>
            </w:tcBorders>
            <w:noWrap/>
            <w:vAlign w:val="bottom"/>
          </w:tcPr>
          <w:p w14:paraId="3EE91237" w14:textId="31099A6B" w:rsidR="009316F8" w:rsidRPr="00222376" w:rsidRDefault="00F858D9" w:rsidP="00F858D9">
            <w:pPr>
              <w:spacing w:before="40" w:after="40" w:line="360" w:lineRule="auto"/>
              <w:rPr>
                <w:rFonts w:ascii="Arial" w:eastAsia="Times New Roman" w:hAnsi="Arial" w:cs="Arial"/>
                <w:color w:val="000000"/>
                <w:sz w:val="18"/>
                <w:szCs w:val="18"/>
                <w:lang w:val="sq-AL"/>
              </w:rPr>
            </w:pPr>
            <w:r w:rsidRPr="00222376">
              <w:rPr>
                <w:rFonts w:ascii="Arial" w:hAnsi="Arial" w:cs="Arial"/>
                <w:b/>
                <w:bCs/>
                <w:color w:val="000000"/>
                <w:sz w:val="18"/>
                <w:szCs w:val="18"/>
                <w:lang w:val="sq-AL"/>
              </w:rPr>
              <w:t>Ulaganja 2025</w:t>
            </w:r>
            <w:r w:rsidR="009316F8" w:rsidRPr="00222376">
              <w:rPr>
                <w:rFonts w:ascii="Arial" w:hAnsi="Arial" w:cs="Arial"/>
                <w:b/>
                <w:bCs/>
                <w:color w:val="000000"/>
                <w:sz w:val="18"/>
                <w:szCs w:val="18"/>
                <w:lang w:val="sq-AL"/>
              </w:rPr>
              <w:t xml:space="preserve"> - </w:t>
            </w:r>
            <w:r w:rsidRPr="00222376">
              <w:rPr>
                <w:rFonts w:ascii="Arial" w:hAnsi="Arial" w:cs="Arial"/>
                <w:b/>
                <w:bCs/>
                <w:color w:val="000000"/>
                <w:sz w:val="18"/>
                <w:szCs w:val="18"/>
                <w:lang w:val="sq-AL"/>
              </w:rPr>
              <w:t>2029</w:t>
            </w:r>
            <w:r w:rsidR="009316F8" w:rsidRPr="00222376">
              <w:rPr>
                <w:rFonts w:ascii="Arial" w:hAnsi="Arial" w:cs="Arial"/>
                <w:color w:val="000000"/>
                <w:sz w:val="18"/>
                <w:szCs w:val="18"/>
                <w:lang w:val="sq-AL"/>
              </w:rPr>
              <w:t> </w:t>
            </w:r>
          </w:p>
        </w:tc>
      </w:tr>
      <w:tr w:rsidR="009316F8" w:rsidRPr="00222376" w14:paraId="5A51D5B8"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vAlign w:val="bottom"/>
          </w:tcPr>
          <w:p w14:paraId="7A0435E3" w14:textId="43A532A7" w:rsidR="009316F8" w:rsidRPr="00222376" w:rsidRDefault="00F858D9"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Ukupni troškovi ulaganja 2025-2029</w:t>
            </w:r>
            <w:r w:rsidR="009316F8" w:rsidRPr="00222376">
              <w:rPr>
                <w:rFonts w:ascii="Arial" w:eastAsia="Times New Roman" w:hAnsi="Arial" w:cs="Arial"/>
                <w:color w:val="000000"/>
                <w:sz w:val="18"/>
                <w:szCs w:val="18"/>
                <w:lang w:val="sq-AL"/>
              </w:rPr>
              <w:t>. bez popusta</w:t>
            </w:r>
          </w:p>
        </w:tc>
        <w:tc>
          <w:tcPr>
            <w:tcW w:w="1190" w:type="dxa"/>
            <w:tcBorders>
              <w:top w:val="single" w:sz="2" w:space="0" w:color="auto"/>
              <w:left w:val="single" w:sz="2" w:space="0" w:color="auto"/>
              <w:bottom w:val="single" w:sz="2" w:space="0" w:color="auto"/>
              <w:right w:val="single" w:sz="2" w:space="0" w:color="auto"/>
            </w:tcBorders>
            <w:noWrap/>
            <w:vAlign w:val="bottom"/>
          </w:tcPr>
          <w:p w14:paraId="0E943E54"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hAnsi="Arial" w:cs="Arial"/>
                <w:color w:val="000000"/>
                <w:sz w:val="18"/>
                <w:szCs w:val="18"/>
                <w:lang w:val="sq-AL"/>
              </w:rPr>
              <w:t>1000 EUR</w:t>
            </w:r>
          </w:p>
        </w:tc>
        <w:tc>
          <w:tcPr>
            <w:tcW w:w="2345" w:type="dxa"/>
            <w:tcBorders>
              <w:top w:val="single" w:sz="2" w:space="0" w:color="auto"/>
              <w:left w:val="single" w:sz="2" w:space="0" w:color="auto"/>
              <w:bottom w:val="single" w:sz="2" w:space="0" w:color="auto"/>
              <w:right w:val="single" w:sz="2" w:space="0" w:color="auto"/>
            </w:tcBorders>
            <w:noWrap/>
            <w:vAlign w:val="bottom"/>
          </w:tcPr>
          <w:p w14:paraId="6827CF8A"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160.076</w:t>
            </w:r>
          </w:p>
        </w:tc>
      </w:tr>
      <w:tr w:rsidR="009316F8" w:rsidRPr="00222376" w14:paraId="313479B7"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1080E5F6"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 xml:space="preserve"> za sakupljanje i transport otpada</w:t>
            </w:r>
          </w:p>
        </w:tc>
        <w:tc>
          <w:tcPr>
            <w:tcW w:w="1190" w:type="dxa"/>
            <w:tcBorders>
              <w:top w:val="single" w:sz="2" w:space="0" w:color="auto"/>
              <w:left w:val="single" w:sz="2" w:space="0" w:color="auto"/>
              <w:bottom w:val="single" w:sz="2" w:space="0" w:color="auto"/>
              <w:right w:val="single" w:sz="2" w:space="0" w:color="auto"/>
            </w:tcBorders>
            <w:noWrap/>
            <w:vAlign w:val="bottom"/>
          </w:tcPr>
          <w:p w14:paraId="3C02DA58"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hAnsi="Arial" w:cs="Arial"/>
                <w:color w:val="000000"/>
                <w:sz w:val="18"/>
                <w:szCs w:val="18"/>
                <w:lang w:val="sq-AL"/>
              </w:rPr>
              <w:t>1000 EUR</w:t>
            </w:r>
          </w:p>
        </w:tc>
        <w:tc>
          <w:tcPr>
            <w:tcW w:w="2345" w:type="dxa"/>
            <w:tcBorders>
              <w:top w:val="single" w:sz="2" w:space="0" w:color="auto"/>
              <w:left w:val="single" w:sz="2" w:space="0" w:color="auto"/>
              <w:bottom w:val="single" w:sz="2" w:space="0" w:color="auto"/>
              <w:right w:val="single" w:sz="2" w:space="0" w:color="auto"/>
            </w:tcBorders>
            <w:noWrap/>
            <w:vAlign w:val="bottom"/>
          </w:tcPr>
          <w:p w14:paraId="547F42DA"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44.015</w:t>
            </w:r>
          </w:p>
        </w:tc>
      </w:tr>
      <w:tr w:rsidR="009316F8" w:rsidRPr="00222376" w14:paraId="5250E8D9"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452E3720" w14:textId="0A47BD62"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 xml:space="preserve"> za </w:t>
            </w:r>
            <w:r w:rsidR="003F0975">
              <w:rPr>
                <w:rFonts w:ascii="Arial" w:eastAsia="Times New Roman" w:hAnsi="Arial" w:cs="Arial"/>
                <w:color w:val="000000"/>
                <w:sz w:val="18"/>
                <w:szCs w:val="18"/>
                <w:lang w:val="sq-AL"/>
              </w:rPr>
              <w:t>obradu</w:t>
            </w:r>
            <w:r w:rsidRPr="00222376">
              <w:rPr>
                <w:rFonts w:ascii="Arial" w:eastAsia="Times New Roman" w:hAnsi="Arial" w:cs="Arial"/>
                <w:color w:val="000000"/>
                <w:sz w:val="18"/>
                <w:szCs w:val="18"/>
                <w:lang w:val="sq-AL"/>
              </w:rPr>
              <w:t xml:space="preserve"> otpada</w:t>
            </w:r>
          </w:p>
        </w:tc>
        <w:tc>
          <w:tcPr>
            <w:tcW w:w="1190" w:type="dxa"/>
            <w:tcBorders>
              <w:top w:val="single" w:sz="2" w:space="0" w:color="auto"/>
              <w:left w:val="single" w:sz="2" w:space="0" w:color="auto"/>
              <w:bottom w:val="single" w:sz="2" w:space="0" w:color="auto"/>
              <w:right w:val="single" w:sz="2" w:space="0" w:color="auto"/>
            </w:tcBorders>
            <w:noWrap/>
            <w:vAlign w:val="bottom"/>
          </w:tcPr>
          <w:p w14:paraId="190591B5"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hAnsi="Arial" w:cs="Arial"/>
                <w:color w:val="000000"/>
                <w:sz w:val="18"/>
                <w:szCs w:val="18"/>
                <w:lang w:val="sq-AL"/>
              </w:rPr>
              <w:t>1000 EUR</w:t>
            </w:r>
          </w:p>
        </w:tc>
        <w:tc>
          <w:tcPr>
            <w:tcW w:w="2345" w:type="dxa"/>
            <w:tcBorders>
              <w:top w:val="single" w:sz="2" w:space="0" w:color="auto"/>
              <w:left w:val="single" w:sz="2" w:space="0" w:color="auto"/>
              <w:bottom w:val="single" w:sz="2" w:space="0" w:color="auto"/>
              <w:right w:val="single" w:sz="2" w:space="0" w:color="auto"/>
            </w:tcBorders>
            <w:noWrap/>
            <w:vAlign w:val="bottom"/>
          </w:tcPr>
          <w:p w14:paraId="05B38062"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116.061</w:t>
            </w:r>
          </w:p>
        </w:tc>
      </w:tr>
      <w:tr w:rsidR="009316F8" w:rsidRPr="00222376" w14:paraId="2A9B8571"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05019DFC" w14:textId="77777777" w:rsidR="009316F8" w:rsidRPr="00222376" w:rsidRDefault="009316F8" w:rsidP="00FE289C">
            <w:pPr>
              <w:spacing w:line="360" w:lineRule="auto"/>
              <w:rPr>
                <w:rFonts w:ascii="Arial" w:hAnsi="Arial" w:cs="Arial"/>
                <w:sz w:val="18"/>
                <w:szCs w:val="18"/>
              </w:rPr>
            </w:pPr>
            <w:r w:rsidRPr="00222376">
              <w:rPr>
                <w:rFonts w:ascii="Arial" w:eastAsia="Times New Roman" w:hAnsi="Arial" w:cs="Arial"/>
                <w:color w:val="000000"/>
                <w:sz w:val="18"/>
                <w:szCs w:val="18"/>
                <w:lang w:val="sq-AL"/>
              </w:rPr>
              <w:t xml:space="preserve">      Ukupne investicije po glavi stanovnika (2023)</w:t>
            </w:r>
          </w:p>
        </w:tc>
        <w:tc>
          <w:tcPr>
            <w:tcW w:w="1190" w:type="dxa"/>
            <w:tcBorders>
              <w:top w:val="single" w:sz="2" w:space="0" w:color="auto"/>
              <w:left w:val="single" w:sz="2" w:space="0" w:color="auto"/>
              <w:bottom w:val="single" w:sz="2" w:space="0" w:color="auto"/>
              <w:right w:val="single" w:sz="2" w:space="0" w:color="auto"/>
            </w:tcBorders>
            <w:noWrap/>
            <w:vAlign w:val="bottom"/>
          </w:tcPr>
          <w:p w14:paraId="2A167529"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hAnsi="Arial" w:cs="Arial"/>
                <w:color w:val="000000"/>
                <w:sz w:val="18"/>
                <w:szCs w:val="18"/>
                <w:lang w:val="sq-AL"/>
              </w:rPr>
              <w:t>EUR/po glavi stan</w:t>
            </w:r>
          </w:p>
        </w:tc>
        <w:tc>
          <w:tcPr>
            <w:tcW w:w="2345" w:type="dxa"/>
            <w:tcBorders>
              <w:top w:val="single" w:sz="2" w:space="0" w:color="auto"/>
              <w:left w:val="single" w:sz="2" w:space="0" w:color="auto"/>
              <w:bottom w:val="single" w:sz="2" w:space="0" w:color="auto"/>
              <w:right w:val="single" w:sz="2" w:space="0" w:color="auto"/>
            </w:tcBorders>
            <w:noWrap/>
            <w:vAlign w:val="bottom"/>
          </w:tcPr>
          <w:p w14:paraId="3A996A9B"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238</w:t>
            </w:r>
          </w:p>
        </w:tc>
      </w:tr>
      <w:tr w:rsidR="009316F8" w:rsidRPr="00222376" w14:paraId="5CDB4117" w14:textId="77777777" w:rsidTr="00FE289C">
        <w:trPr>
          <w:trHeight w:val="290"/>
          <w:jc w:val="center"/>
        </w:trPr>
        <w:tc>
          <w:tcPr>
            <w:tcW w:w="8359" w:type="dxa"/>
            <w:gridSpan w:val="3"/>
            <w:tcBorders>
              <w:top w:val="single" w:sz="2" w:space="0" w:color="auto"/>
              <w:left w:val="single" w:sz="2" w:space="0" w:color="auto"/>
              <w:bottom w:val="single" w:sz="2" w:space="0" w:color="auto"/>
              <w:right w:val="single" w:sz="2" w:space="0" w:color="auto"/>
            </w:tcBorders>
            <w:noWrap/>
            <w:vAlign w:val="bottom"/>
          </w:tcPr>
          <w:p w14:paraId="2B5AFE51" w14:textId="72F4C95B" w:rsidR="009316F8" w:rsidRPr="00222376" w:rsidRDefault="009316F8" w:rsidP="00FE289C">
            <w:pPr>
              <w:spacing w:before="40" w:after="40" w:line="360" w:lineRule="auto"/>
              <w:rPr>
                <w:rFonts w:ascii="Arial" w:hAnsi="Arial" w:cs="Arial"/>
                <w:b/>
                <w:bCs/>
                <w:color w:val="000000"/>
                <w:sz w:val="18"/>
                <w:szCs w:val="18"/>
                <w:lang w:val="sq-AL"/>
              </w:rPr>
            </w:pPr>
            <w:r w:rsidRPr="00222376">
              <w:rPr>
                <w:rFonts w:ascii="Arial" w:hAnsi="Arial" w:cs="Arial"/>
                <w:b/>
                <w:bCs/>
                <w:color w:val="000000"/>
                <w:sz w:val="18"/>
                <w:szCs w:val="18"/>
                <w:lang w:val="sq-AL"/>
              </w:rPr>
              <w:t>Ukupni sistemski troškovi 202</w:t>
            </w:r>
            <w:r w:rsidR="003F5E16" w:rsidRPr="00222376">
              <w:rPr>
                <w:rFonts w:ascii="Arial" w:hAnsi="Arial" w:cs="Arial"/>
                <w:b/>
                <w:bCs/>
                <w:color w:val="000000"/>
                <w:sz w:val="18"/>
                <w:szCs w:val="18"/>
                <w:lang w:val="sq-AL"/>
              </w:rPr>
              <w:t>5</w:t>
            </w:r>
            <w:r w:rsidRPr="00222376">
              <w:rPr>
                <w:rFonts w:ascii="Arial" w:hAnsi="Arial" w:cs="Arial"/>
                <w:b/>
                <w:bCs/>
                <w:color w:val="000000"/>
                <w:sz w:val="18"/>
                <w:szCs w:val="18"/>
                <w:lang w:val="sq-AL"/>
              </w:rPr>
              <w:t xml:space="preserve"> - 2040 </w:t>
            </w:r>
          </w:p>
        </w:tc>
      </w:tr>
      <w:tr w:rsidR="009316F8" w:rsidRPr="00222376" w14:paraId="51AE2F83"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vAlign w:val="bottom"/>
          </w:tcPr>
          <w:p w14:paraId="625CFD20" w14:textId="7AF217A5"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lastRenderedPageBreak/>
              <w:t>Ukupni sistemski troškovi</w:t>
            </w:r>
            <w:r w:rsidR="004D0E76" w:rsidRPr="00222376">
              <w:rPr>
                <w:rFonts w:ascii="Arial" w:eastAsia="Times New Roman" w:hAnsi="Arial" w:cs="Arial"/>
                <w:color w:val="000000"/>
                <w:sz w:val="18"/>
                <w:szCs w:val="18"/>
                <w:lang w:val="sq-AL"/>
              </w:rPr>
              <w:t xml:space="preserve"> - d</w:t>
            </w:r>
            <w:r w:rsidRPr="00222376">
              <w:rPr>
                <w:rFonts w:ascii="Arial" w:eastAsia="Times New Roman" w:hAnsi="Arial" w:cs="Arial"/>
                <w:color w:val="000000"/>
                <w:sz w:val="18"/>
                <w:szCs w:val="18"/>
                <w:lang w:val="sq-AL"/>
              </w:rPr>
              <w:t>iskontirani</w:t>
            </w:r>
          </w:p>
        </w:tc>
        <w:tc>
          <w:tcPr>
            <w:tcW w:w="1190" w:type="dxa"/>
            <w:tcBorders>
              <w:top w:val="single" w:sz="2" w:space="0" w:color="auto"/>
              <w:left w:val="single" w:sz="2" w:space="0" w:color="auto"/>
              <w:bottom w:val="single" w:sz="2" w:space="0" w:color="auto"/>
              <w:right w:val="single" w:sz="2" w:space="0" w:color="auto"/>
            </w:tcBorders>
            <w:noWrap/>
            <w:vAlign w:val="bottom"/>
          </w:tcPr>
          <w:p w14:paraId="24679270"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hAnsi="Arial" w:cs="Arial"/>
                <w:color w:val="000000"/>
                <w:sz w:val="18"/>
                <w:szCs w:val="18"/>
                <w:lang w:val="sq-AL"/>
              </w:rPr>
              <w:t>1000 EUR</w:t>
            </w:r>
          </w:p>
        </w:tc>
        <w:tc>
          <w:tcPr>
            <w:tcW w:w="2345" w:type="dxa"/>
            <w:tcBorders>
              <w:top w:val="single" w:sz="2" w:space="0" w:color="auto"/>
              <w:left w:val="single" w:sz="2" w:space="0" w:color="auto"/>
              <w:bottom w:val="single" w:sz="2" w:space="0" w:color="auto"/>
              <w:right w:val="single" w:sz="2" w:space="0" w:color="auto"/>
            </w:tcBorders>
            <w:noWrap/>
            <w:vAlign w:val="bottom"/>
          </w:tcPr>
          <w:p w14:paraId="3469960D"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568.213</w:t>
            </w:r>
          </w:p>
        </w:tc>
      </w:tr>
      <w:tr w:rsidR="009316F8" w:rsidRPr="00222376" w14:paraId="30CF6A0E"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226196AC"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Nivelisani jedinični trošak – ukupno</w:t>
            </w:r>
          </w:p>
        </w:tc>
        <w:tc>
          <w:tcPr>
            <w:tcW w:w="1190" w:type="dxa"/>
            <w:tcBorders>
              <w:top w:val="single" w:sz="2" w:space="0" w:color="auto"/>
              <w:left w:val="single" w:sz="2" w:space="0" w:color="auto"/>
              <w:bottom w:val="single" w:sz="2" w:space="0" w:color="auto"/>
              <w:right w:val="single" w:sz="2" w:space="0" w:color="auto"/>
            </w:tcBorders>
            <w:noWrap/>
            <w:vAlign w:val="bottom"/>
          </w:tcPr>
          <w:p w14:paraId="14DE1569"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hAnsi="Arial" w:cs="Arial"/>
                <w:color w:val="000000"/>
                <w:sz w:val="18"/>
                <w:szCs w:val="18"/>
                <w:lang w:val="sq-AL"/>
              </w:rPr>
              <w:t>EUR/t</w:t>
            </w:r>
          </w:p>
        </w:tc>
        <w:tc>
          <w:tcPr>
            <w:tcW w:w="2345" w:type="dxa"/>
            <w:tcBorders>
              <w:top w:val="single" w:sz="2" w:space="0" w:color="auto"/>
              <w:left w:val="single" w:sz="2" w:space="0" w:color="auto"/>
              <w:bottom w:val="single" w:sz="2" w:space="0" w:color="auto"/>
              <w:right w:val="single" w:sz="2" w:space="0" w:color="auto"/>
            </w:tcBorders>
            <w:noWrap/>
            <w:vAlign w:val="bottom"/>
          </w:tcPr>
          <w:p w14:paraId="26E81737"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134</w:t>
            </w:r>
          </w:p>
        </w:tc>
      </w:tr>
      <w:tr w:rsidR="009316F8" w:rsidRPr="00222376" w14:paraId="5CA11BF8"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20246318"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Nivelisani jedinični trošak – sakupljanje i transport</w:t>
            </w:r>
          </w:p>
        </w:tc>
        <w:tc>
          <w:tcPr>
            <w:tcW w:w="1190" w:type="dxa"/>
            <w:tcBorders>
              <w:top w:val="single" w:sz="2" w:space="0" w:color="auto"/>
              <w:left w:val="single" w:sz="2" w:space="0" w:color="auto"/>
              <w:bottom w:val="single" w:sz="2" w:space="0" w:color="auto"/>
              <w:right w:val="single" w:sz="2" w:space="0" w:color="auto"/>
            </w:tcBorders>
            <w:noWrap/>
            <w:vAlign w:val="bottom"/>
          </w:tcPr>
          <w:p w14:paraId="2EFA588D"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hAnsi="Arial" w:cs="Arial"/>
                <w:color w:val="000000"/>
                <w:sz w:val="18"/>
                <w:szCs w:val="18"/>
                <w:lang w:val="sq-AL"/>
              </w:rPr>
              <w:t>EUR/t</w:t>
            </w:r>
          </w:p>
        </w:tc>
        <w:tc>
          <w:tcPr>
            <w:tcW w:w="2345" w:type="dxa"/>
            <w:tcBorders>
              <w:top w:val="single" w:sz="2" w:space="0" w:color="auto"/>
              <w:left w:val="single" w:sz="2" w:space="0" w:color="auto"/>
              <w:bottom w:val="single" w:sz="2" w:space="0" w:color="auto"/>
              <w:right w:val="single" w:sz="2" w:space="0" w:color="auto"/>
            </w:tcBorders>
            <w:noWrap/>
            <w:vAlign w:val="bottom"/>
          </w:tcPr>
          <w:p w14:paraId="5523E1FA"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72</w:t>
            </w:r>
          </w:p>
        </w:tc>
      </w:tr>
      <w:tr w:rsidR="009316F8" w:rsidRPr="00222376" w14:paraId="5FF02426"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2BBAE55E" w14:textId="7D391D9B"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 xml:space="preserve">Nivelisani jedinični troškovi - </w:t>
            </w:r>
            <w:r w:rsidR="003F0975">
              <w:rPr>
                <w:rFonts w:ascii="Arial" w:eastAsia="Times New Roman" w:hAnsi="Arial" w:cs="Arial"/>
                <w:color w:val="000000"/>
                <w:sz w:val="18"/>
                <w:szCs w:val="18"/>
                <w:lang w:val="sq-AL"/>
              </w:rPr>
              <w:t>obrada</w:t>
            </w:r>
          </w:p>
        </w:tc>
        <w:tc>
          <w:tcPr>
            <w:tcW w:w="1190" w:type="dxa"/>
            <w:tcBorders>
              <w:top w:val="single" w:sz="2" w:space="0" w:color="auto"/>
              <w:left w:val="single" w:sz="2" w:space="0" w:color="auto"/>
              <w:bottom w:val="single" w:sz="2" w:space="0" w:color="auto"/>
              <w:right w:val="single" w:sz="2" w:space="0" w:color="auto"/>
            </w:tcBorders>
            <w:noWrap/>
            <w:vAlign w:val="bottom"/>
          </w:tcPr>
          <w:p w14:paraId="3BFE0CAF"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hAnsi="Arial" w:cs="Arial"/>
                <w:color w:val="000000"/>
                <w:sz w:val="18"/>
                <w:szCs w:val="18"/>
                <w:lang w:val="sq-AL"/>
              </w:rPr>
              <w:t>EUR/t</w:t>
            </w:r>
          </w:p>
        </w:tc>
        <w:tc>
          <w:tcPr>
            <w:tcW w:w="2345" w:type="dxa"/>
            <w:tcBorders>
              <w:top w:val="single" w:sz="2" w:space="0" w:color="auto"/>
              <w:left w:val="single" w:sz="2" w:space="0" w:color="auto"/>
              <w:bottom w:val="single" w:sz="2" w:space="0" w:color="auto"/>
              <w:right w:val="single" w:sz="2" w:space="0" w:color="auto"/>
            </w:tcBorders>
            <w:noWrap/>
            <w:vAlign w:val="bottom"/>
          </w:tcPr>
          <w:p w14:paraId="1C395EA2"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62</w:t>
            </w:r>
          </w:p>
        </w:tc>
      </w:tr>
      <w:tr w:rsidR="009316F8" w:rsidRPr="00222376" w14:paraId="76EB6717"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1AA7A198"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Ukupni neto sistemski troškovi. Diskontirani</w:t>
            </w:r>
          </w:p>
        </w:tc>
        <w:tc>
          <w:tcPr>
            <w:tcW w:w="1190" w:type="dxa"/>
            <w:tcBorders>
              <w:top w:val="single" w:sz="2" w:space="0" w:color="auto"/>
              <w:left w:val="single" w:sz="2" w:space="0" w:color="auto"/>
              <w:bottom w:val="single" w:sz="2" w:space="0" w:color="auto"/>
              <w:right w:val="single" w:sz="2" w:space="0" w:color="auto"/>
            </w:tcBorders>
            <w:noWrap/>
            <w:vAlign w:val="bottom"/>
          </w:tcPr>
          <w:p w14:paraId="2BEF0B41"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hAnsi="Arial" w:cs="Arial"/>
                <w:color w:val="000000"/>
                <w:sz w:val="18"/>
                <w:szCs w:val="18"/>
                <w:lang w:val="sq-AL"/>
              </w:rPr>
              <w:t>1000 EUR</w:t>
            </w:r>
          </w:p>
        </w:tc>
        <w:tc>
          <w:tcPr>
            <w:tcW w:w="2345" w:type="dxa"/>
            <w:tcBorders>
              <w:top w:val="single" w:sz="2" w:space="0" w:color="auto"/>
              <w:left w:val="single" w:sz="2" w:space="0" w:color="auto"/>
              <w:bottom w:val="single" w:sz="2" w:space="0" w:color="auto"/>
              <w:right w:val="single" w:sz="2" w:space="0" w:color="auto"/>
            </w:tcBorders>
            <w:noWrap/>
            <w:vAlign w:val="bottom"/>
          </w:tcPr>
          <w:p w14:paraId="0C8F7796"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483.889</w:t>
            </w:r>
          </w:p>
        </w:tc>
      </w:tr>
      <w:tr w:rsidR="009316F8" w:rsidRPr="00222376" w14:paraId="11522AD6"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3FDEE700"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Nivelisani jedinični trošak – ukupno</w:t>
            </w:r>
          </w:p>
        </w:tc>
        <w:tc>
          <w:tcPr>
            <w:tcW w:w="1190" w:type="dxa"/>
            <w:tcBorders>
              <w:top w:val="single" w:sz="2" w:space="0" w:color="auto"/>
              <w:left w:val="single" w:sz="2" w:space="0" w:color="auto"/>
              <w:bottom w:val="single" w:sz="2" w:space="0" w:color="auto"/>
              <w:right w:val="single" w:sz="2" w:space="0" w:color="auto"/>
            </w:tcBorders>
            <w:noWrap/>
            <w:vAlign w:val="bottom"/>
          </w:tcPr>
          <w:p w14:paraId="6550B866"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hAnsi="Arial" w:cs="Arial"/>
                <w:color w:val="000000"/>
                <w:sz w:val="18"/>
                <w:szCs w:val="18"/>
                <w:lang w:val="sq-AL"/>
              </w:rPr>
              <w:t>EUR/t</w:t>
            </w:r>
          </w:p>
        </w:tc>
        <w:tc>
          <w:tcPr>
            <w:tcW w:w="2345" w:type="dxa"/>
            <w:tcBorders>
              <w:top w:val="single" w:sz="2" w:space="0" w:color="auto"/>
              <w:left w:val="single" w:sz="2" w:space="0" w:color="auto"/>
              <w:bottom w:val="single" w:sz="2" w:space="0" w:color="auto"/>
              <w:right w:val="single" w:sz="2" w:space="0" w:color="auto"/>
            </w:tcBorders>
            <w:noWrap/>
            <w:vAlign w:val="bottom"/>
          </w:tcPr>
          <w:p w14:paraId="64BF133E"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114</w:t>
            </w:r>
          </w:p>
        </w:tc>
      </w:tr>
      <w:tr w:rsidR="009316F8" w:rsidRPr="00222376" w14:paraId="78E35799"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18420A25" w14:textId="77777777" w:rsidR="009316F8" w:rsidRPr="00222376" w:rsidRDefault="009316F8" w:rsidP="00FE289C">
            <w:pPr>
              <w:spacing w:before="40" w:after="40" w:line="360" w:lineRule="auto"/>
              <w:rPr>
                <w:rFonts w:ascii="Arial" w:eastAsia="Times New Roman" w:hAnsi="Arial" w:cs="Arial"/>
                <w:color w:val="000000"/>
                <w:sz w:val="18"/>
                <w:szCs w:val="18"/>
                <w:lang w:val="sq-AL"/>
              </w:rPr>
            </w:pPr>
            <w:r w:rsidRPr="00222376">
              <w:rPr>
                <w:rFonts w:ascii="Arial" w:eastAsia="Times New Roman" w:hAnsi="Arial" w:cs="Arial"/>
                <w:color w:val="000000"/>
                <w:sz w:val="18"/>
                <w:szCs w:val="18"/>
                <w:lang w:val="sq-AL"/>
              </w:rPr>
              <w:t>Nivelisani jedinični trošak – investicija+ Zamjena</w:t>
            </w:r>
          </w:p>
        </w:tc>
        <w:tc>
          <w:tcPr>
            <w:tcW w:w="1190" w:type="dxa"/>
            <w:tcBorders>
              <w:top w:val="single" w:sz="2" w:space="0" w:color="auto"/>
              <w:left w:val="single" w:sz="2" w:space="0" w:color="auto"/>
              <w:bottom w:val="single" w:sz="2" w:space="0" w:color="auto"/>
              <w:right w:val="single" w:sz="2" w:space="0" w:color="auto"/>
            </w:tcBorders>
            <w:noWrap/>
            <w:vAlign w:val="bottom"/>
          </w:tcPr>
          <w:p w14:paraId="388BDBF9"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EUR/t</w:t>
            </w:r>
          </w:p>
        </w:tc>
        <w:tc>
          <w:tcPr>
            <w:tcW w:w="2345" w:type="dxa"/>
            <w:tcBorders>
              <w:top w:val="single" w:sz="2" w:space="0" w:color="auto"/>
              <w:left w:val="single" w:sz="2" w:space="0" w:color="auto"/>
              <w:bottom w:val="single" w:sz="2" w:space="0" w:color="auto"/>
              <w:right w:val="single" w:sz="2" w:space="0" w:color="auto"/>
            </w:tcBorders>
            <w:noWrap/>
            <w:vAlign w:val="bottom"/>
          </w:tcPr>
          <w:p w14:paraId="6882B194"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50</w:t>
            </w:r>
          </w:p>
        </w:tc>
      </w:tr>
      <w:tr w:rsidR="009316F8" w:rsidRPr="00222376" w14:paraId="178538EF" w14:textId="77777777" w:rsidTr="00FE289C">
        <w:trPr>
          <w:trHeight w:val="290"/>
          <w:jc w:val="center"/>
        </w:trPr>
        <w:tc>
          <w:tcPr>
            <w:tcW w:w="4824" w:type="dxa"/>
            <w:tcBorders>
              <w:top w:val="single" w:sz="2" w:space="0" w:color="auto"/>
              <w:left w:val="single" w:sz="2" w:space="0" w:color="auto"/>
              <w:bottom w:val="single" w:sz="2" w:space="0" w:color="auto"/>
              <w:right w:val="single" w:sz="2" w:space="0" w:color="auto"/>
            </w:tcBorders>
            <w:noWrap/>
          </w:tcPr>
          <w:p w14:paraId="44A48ACF" w14:textId="7439B6A4" w:rsidR="009316F8" w:rsidRPr="00222376" w:rsidRDefault="009316F8" w:rsidP="00FE289C">
            <w:pPr>
              <w:spacing w:line="360" w:lineRule="auto"/>
              <w:rPr>
                <w:rFonts w:ascii="Arial" w:hAnsi="Arial" w:cs="Arial"/>
                <w:sz w:val="18"/>
                <w:szCs w:val="18"/>
              </w:rPr>
            </w:pPr>
            <w:r w:rsidRPr="00222376">
              <w:rPr>
                <w:rFonts w:ascii="Arial" w:eastAsia="Times New Roman" w:hAnsi="Arial" w:cs="Arial"/>
                <w:color w:val="000000"/>
                <w:sz w:val="18"/>
                <w:szCs w:val="18"/>
                <w:lang w:val="sq-AL"/>
              </w:rPr>
              <w:t xml:space="preserve">Nivelisani jedinični trošak - Neto rad i održavanje </w:t>
            </w:r>
          </w:p>
        </w:tc>
        <w:tc>
          <w:tcPr>
            <w:tcW w:w="1190" w:type="dxa"/>
            <w:tcBorders>
              <w:top w:val="single" w:sz="2" w:space="0" w:color="auto"/>
              <w:left w:val="single" w:sz="2" w:space="0" w:color="auto"/>
              <w:bottom w:val="single" w:sz="2" w:space="0" w:color="auto"/>
              <w:right w:val="single" w:sz="2" w:space="0" w:color="auto"/>
            </w:tcBorders>
            <w:noWrap/>
            <w:vAlign w:val="bottom"/>
          </w:tcPr>
          <w:p w14:paraId="776DF559"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EUR/t</w:t>
            </w:r>
          </w:p>
        </w:tc>
        <w:tc>
          <w:tcPr>
            <w:tcW w:w="2345" w:type="dxa"/>
            <w:tcBorders>
              <w:top w:val="single" w:sz="2" w:space="0" w:color="auto"/>
              <w:left w:val="single" w:sz="2" w:space="0" w:color="auto"/>
              <w:bottom w:val="single" w:sz="2" w:space="0" w:color="auto"/>
              <w:right w:val="single" w:sz="2" w:space="0" w:color="auto"/>
            </w:tcBorders>
            <w:noWrap/>
            <w:vAlign w:val="bottom"/>
          </w:tcPr>
          <w:p w14:paraId="506A427B" w14:textId="77777777" w:rsidR="009316F8" w:rsidRPr="00222376" w:rsidRDefault="009316F8" w:rsidP="00FE289C">
            <w:pPr>
              <w:spacing w:before="40" w:after="40" w:line="360" w:lineRule="auto"/>
              <w:rPr>
                <w:rFonts w:ascii="Arial" w:hAnsi="Arial" w:cs="Arial"/>
                <w:color w:val="000000"/>
                <w:sz w:val="18"/>
                <w:szCs w:val="18"/>
                <w:lang w:val="sq-AL"/>
              </w:rPr>
            </w:pPr>
            <w:r w:rsidRPr="00222376">
              <w:rPr>
                <w:rFonts w:ascii="Arial" w:hAnsi="Arial" w:cs="Arial"/>
                <w:color w:val="000000"/>
                <w:sz w:val="18"/>
                <w:szCs w:val="18"/>
                <w:lang w:val="sq-AL"/>
              </w:rPr>
              <w:t>64</w:t>
            </w:r>
          </w:p>
        </w:tc>
      </w:tr>
    </w:tbl>
    <w:p w14:paraId="6CE5F0E7" w14:textId="77777777" w:rsidR="009316F8" w:rsidRPr="002A6F4E" w:rsidRDefault="009316F8" w:rsidP="009316F8">
      <w:pPr>
        <w:spacing w:line="360" w:lineRule="auto"/>
        <w:rPr>
          <w:rFonts w:ascii="Arial" w:hAnsi="Arial" w:cs="Arial"/>
        </w:rPr>
      </w:pPr>
    </w:p>
    <w:p w14:paraId="5E0A1E56" w14:textId="18CF3C4A" w:rsidR="009316F8" w:rsidRPr="002A6F4E" w:rsidRDefault="009316F8" w:rsidP="009316F8">
      <w:pPr>
        <w:spacing w:line="360" w:lineRule="auto"/>
        <w:rPr>
          <w:rFonts w:ascii="Arial" w:hAnsi="Arial" w:cs="Arial"/>
        </w:rPr>
      </w:pPr>
      <w:r w:rsidRPr="002A6F4E">
        <w:rPr>
          <w:rFonts w:ascii="Arial" w:hAnsi="Arial" w:cs="Arial"/>
        </w:rPr>
        <w:t xml:space="preserve">Kao što proizilazi iz </w:t>
      </w:r>
      <w:r w:rsidR="003F0975">
        <w:rPr>
          <w:rFonts w:ascii="Arial" w:hAnsi="Arial" w:cs="Arial"/>
        </w:rPr>
        <w:t>prethodne</w:t>
      </w:r>
      <w:r w:rsidR="003F0975" w:rsidRPr="002A6F4E">
        <w:rPr>
          <w:rFonts w:ascii="Arial" w:hAnsi="Arial" w:cs="Arial"/>
        </w:rPr>
        <w:t xml:space="preserve"> </w:t>
      </w:r>
      <w:r w:rsidRPr="002A6F4E">
        <w:rPr>
          <w:rFonts w:ascii="Arial" w:hAnsi="Arial" w:cs="Arial"/>
        </w:rPr>
        <w:t xml:space="preserve">tabele, ukupni investicioni troškovi potrebni za upravljanje oko 360.000 t/godišnje komunalnog otpada iznose 160 miliona eura. Više od 70% investicionih troškova odnosi se na </w:t>
      </w:r>
      <w:r w:rsidR="00931A7D">
        <w:rPr>
          <w:rFonts w:ascii="Arial" w:hAnsi="Arial" w:cs="Arial"/>
        </w:rPr>
        <w:t>obradu</w:t>
      </w:r>
      <w:r w:rsidRPr="002A6F4E">
        <w:rPr>
          <w:rFonts w:ascii="Arial" w:hAnsi="Arial" w:cs="Arial"/>
        </w:rPr>
        <w:t xml:space="preserve"> otpada. Ukupni sistemski troškovi u diskontovanim terminima su 134 EU</w:t>
      </w:r>
      <w:r w:rsidR="00FA5AF5">
        <w:rPr>
          <w:rFonts w:ascii="Arial" w:hAnsi="Arial" w:cs="Arial"/>
        </w:rPr>
        <w:t>R</w:t>
      </w:r>
      <w:r w:rsidRPr="002A6F4E">
        <w:rPr>
          <w:rFonts w:ascii="Arial" w:hAnsi="Arial" w:cs="Arial"/>
        </w:rPr>
        <w:t>/t (odnosi se na nivelisani jedinični trošak), a za razliku od investicionih troškova, troškovi sakupljanja i transporta su veći (~55% ukupnih troškova). Troškovi ulaganja (uključujući reinvestiranja) doprinose ~ 44% ukupnih neto troškova (u smislu nivelisanih jediničnih troškova), dok se preostalih 56% odnosi</w:t>
      </w:r>
      <w:r w:rsidR="0006539F">
        <w:rPr>
          <w:rFonts w:ascii="Arial" w:hAnsi="Arial" w:cs="Arial"/>
        </w:rPr>
        <w:t xml:space="preserve"> na troškove rada i održavanja.</w:t>
      </w:r>
    </w:p>
    <w:p w14:paraId="453AB8BC" w14:textId="5620B4D0" w:rsidR="009316F8" w:rsidRPr="00D03EBF" w:rsidRDefault="00267FAF" w:rsidP="00F57909">
      <w:pPr>
        <w:pStyle w:val="Heading2"/>
      </w:pPr>
      <w:bookmarkStart w:id="1292" w:name="_Toc189759731"/>
      <w:bookmarkStart w:id="1293" w:name="_Toc193354057"/>
      <w:bookmarkEnd w:id="1288"/>
      <w:r w:rsidRPr="00D03EBF">
        <w:t>5.4</w:t>
      </w:r>
      <w:r w:rsidR="009751D2">
        <w:t>2</w:t>
      </w:r>
      <w:r w:rsidR="00620A47" w:rsidRPr="00D03EBF">
        <w:t xml:space="preserve">. </w:t>
      </w:r>
      <w:r w:rsidR="009316F8" w:rsidRPr="00D03EBF">
        <w:t>Razmatranje izvora finansiranja</w:t>
      </w:r>
      <w:bookmarkEnd w:id="1292"/>
      <w:r w:rsidR="003100DB" w:rsidRPr="00D03EBF">
        <w:rPr>
          <w:rStyle w:val="FootnoteReference"/>
        </w:rPr>
        <w:footnoteReference w:id="43"/>
      </w:r>
      <w:bookmarkEnd w:id="1293"/>
    </w:p>
    <w:p w14:paraId="1470AAF3" w14:textId="06768025" w:rsidR="003100DB" w:rsidRPr="00673670" w:rsidRDefault="003100DB" w:rsidP="003100DB">
      <w:pPr>
        <w:spacing w:line="360" w:lineRule="auto"/>
        <w:rPr>
          <w:rFonts w:ascii="Arial" w:hAnsi="Arial" w:cs="Arial"/>
          <w:lang w:val="sq-AL"/>
        </w:rPr>
      </w:pPr>
      <w:r w:rsidRPr="009D2384">
        <w:rPr>
          <w:rFonts w:ascii="Arial" w:hAnsi="Arial" w:cs="Arial"/>
          <w:lang w:val="sq-AL"/>
        </w:rPr>
        <w:t>Vlada Crne Gore je</w:t>
      </w:r>
      <w:r w:rsidR="00A60B53" w:rsidRPr="009D2384">
        <w:rPr>
          <w:rFonts w:ascii="Arial" w:hAnsi="Arial" w:cs="Arial"/>
          <w:lang w:val="sq-AL"/>
        </w:rPr>
        <w:t xml:space="preserve"> </w:t>
      </w:r>
      <w:r w:rsidR="00A36209">
        <w:rPr>
          <w:rFonts w:ascii="Arial" w:hAnsi="Arial" w:cs="Arial"/>
          <w:lang w:val="sq-AL"/>
        </w:rPr>
        <w:t>utvrdila</w:t>
      </w:r>
      <w:r w:rsidR="00DE4FAA">
        <w:rPr>
          <w:rFonts w:ascii="Arial" w:hAnsi="Arial" w:cs="Arial"/>
          <w:lang w:val="sq-AL"/>
        </w:rPr>
        <w:t xml:space="preserve"> P</w:t>
      </w:r>
      <w:r w:rsidR="00A36209">
        <w:rPr>
          <w:rFonts w:ascii="Arial" w:hAnsi="Arial" w:cs="Arial"/>
          <w:lang w:val="sq-AL"/>
        </w:rPr>
        <w:t>red</w:t>
      </w:r>
      <w:r w:rsidR="00DE4FAA">
        <w:rPr>
          <w:rFonts w:ascii="Arial" w:hAnsi="Arial" w:cs="Arial"/>
          <w:lang w:val="sq-AL"/>
        </w:rPr>
        <w:t>l</w:t>
      </w:r>
      <w:r w:rsidR="00A36209">
        <w:rPr>
          <w:rFonts w:ascii="Arial" w:hAnsi="Arial" w:cs="Arial"/>
          <w:lang w:val="sq-AL"/>
        </w:rPr>
        <w:t>og</w:t>
      </w:r>
      <w:r w:rsidRPr="009D2384">
        <w:rPr>
          <w:rFonts w:ascii="Arial" w:hAnsi="Arial" w:cs="Arial"/>
          <w:lang w:val="sq-AL"/>
        </w:rPr>
        <w:t xml:space="preserve"> </w:t>
      </w:r>
      <w:r w:rsidR="00E95397" w:rsidRPr="009D2384">
        <w:rPr>
          <w:rFonts w:ascii="Arial" w:hAnsi="Arial" w:cs="Arial"/>
          <w:lang w:val="sq-AL"/>
        </w:rPr>
        <w:t>F</w:t>
      </w:r>
      <w:r w:rsidRPr="009D2384">
        <w:rPr>
          <w:rFonts w:ascii="Arial" w:hAnsi="Arial" w:cs="Arial"/>
          <w:lang w:val="sq-AL"/>
        </w:rPr>
        <w:t>is</w:t>
      </w:r>
      <w:r w:rsidR="00E95397" w:rsidRPr="009D2384">
        <w:rPr>
          <w:rFonts w:ascii="Arial" w:hAnsi="Arial" w:cs="Arial"/>
          <w:lang w:val="sq-AL"/>
        </w:rPr>
        <w:t>kaln</w:t>
      </w:r>
      <w:r w:rsidR="00A36209">
        <w:rPr>
          <w:rFonts w:ascii="Arial" w:hAnsi="Arial" w:cs="Arial"/>
          <w:lang w:val="sq-AL"/>
        </w:rPr>
        <w:t>e</w:t>
      </w:r>
      <w:r w:rsidR="00E95397" w:rsidRPr="009D2384">
        <w:rPr>
          <w:rFonts w:ascii="Arial" w:hAnsi="Arial" w:cs="Arial"/>
          <w:lang w:val="sq-AL"/>
        </w:rPr>
        <w:t xml:space="preserve"> strategij</w:t>
      </w:r>
      <w:r w:rsidR="00DE4FAA">
        <w:rPr>
          <w:rFonts w:ascii="Arial" w:hAnsi="Arial" w:cs="Arial"/>
          <w:lang w:val="sq-AL"/>
        </w:rPr>
        <w:t>e</w:t>
      </w:r>
      <w:r w:rsidRPr="009D2384">
        <w:rPr>
          <w:rFonts w:ascii="Arial" w:hAnsi="Arial" w:cs="Arial"/>
          <w:lang w:val="sq-AL"/>
        </w:rPr>
        <w:t xml:space="preserve"> Crne Gore za period 2024-2027. godine. Na temelju ekonomske politike Crne Gore, strateških opred</w:t>
      </w:r>
      <w:r w:rsidR="000C7F70" w:rsidRPr="009D2384">
        <w:rPr>
          <w:rFonts w:ascii="Arial" w:hAnsi="Arial" w:cs="Arial"/>
          <w:lang w:val="sq-AL"/>
        </w:rPr>
        <w:t>j</w:t>
      </w:r>
      <w:r w:rsidRPr="009D2384">
        <w:rPr>
          <w:rFonts w:ascii="Arial" w:hAnsi="Arial" w:cs="Arial"/>
          <w:lang w:val="sq-AL"/>
        </w:rPr>
        <w:t xml:space="preserve">eljenja i kriterijuma fiskalne odgovornosti, Fiskalnom strategijom prezentovani su ciljevi fiskalne politike, mjere i aktivnosti za postizanje tih ciljeva i makroekonomske i fiskalne projekcije u periodu 2024 - 2027. godine. </w:t>
      </w:r>
      <w:r w:rsidRPr="00673670">
        <w:rPr>
          <w:rFonts w:ascii="Arial" w:hAnsi="Arial" w:cs="Arial"/>
          <w:lang w:val="sq-AL"/>
        </w:rPr>
        <w:t xml:space="preserve">Cilj fiskalne politike je: predvidiva i podsticajna fiskalna politika koja će doprinijeti povećanju atraktivnosti Crne Gore kao investicione destinacije i povoljnijem poslovnom ambijentu u cilju stvaranja novih izvora ekonomskog rasta, otvaranja novih radnih mjesta i ubrzavanja konvergencije BDP </w:t>
      </w:r>
      <w:r w:rsidR="00186661" w:rsidRPr="00673670">
        <w:rPr>
          <w:rFonts w:ascii="Arial" w:hAnsi="Arial" w:cs="Arial"/>
          <w:lang w:val="sq-AL"/>
        </w:rPr>
        <w:t>(</w:t>
      </w:r>
      <w:r w:rsidRPr="00673670">
        <w:rPr>
          <w:rFonts w:ascii="Arial" w:hAnsi="Arial" w:cs="Arial"/>
          <w:lang w:val="sq-AL"/>
        </w:rPr>
        <w:t>per capita</w:t>
      </w:r>
      <w:r w:rsidR="00A42F3D" w:rsidRPr="00673670">
        <w:rPr>
          <w:rFonts w:ascii="Arial" w:hAnsi="Arial" w:cs="Arial"/>
          <w:lang w:val="sq-AL"/>
        </w:rPr>
        <w:t>)</w:t>
      </w:r>
      <w:r w:rsidRPr="00673670">
        <w:rPr>
          <w:rFonts w:ascii="Arial" w:hAnsi="Arial" w:cs="Arial"/>
          <w:lang w:val="sq-AL"/>
        </w:rPr>
        <w:t xml:space="preserve"> ka prosjeku EU. Imajući u vidu proklamovani cilj o punopravnom članstvu Crne Gore u EU tokom 2028. godine, odgovorno upravljanje javnim finansijama i ispunjavanje ekonomskih kriterijuma za članstvo, kao i usaglašavanje propisa iz domena fiskalne politike sa relevantnom regulativom EU, apsolutni je prioritet prilikom donošenja novih i izmjene postojećih politika. Smanjenje deficita javnih finansija na kratak rok, zaduživanje isključivo za finansiranje kapitalnih projekata, odnosno ostvarenje suficita tekuće budžetske potrošnje, uz kontinuirani rast budžetskih prihoda i optimizaciju tekuće budžetske potrošnje</w:t>
      </w:r>
      <w:r w:rsidR="00A60B53" w:rsidRPr="00673670">
        <w:rPr>
          <w:rFonts w:ascii="Arial" w:hAnsi="Arial" w:cs="Arial"/>
          <w:lang w:val="sq-AL"/>
        </w:rPr>
        <w:t>,</w:t>
      </w:r>
      <w:r w:rsidRPr="00673670">
        <w:rPr>
          <w:rFonts w:ascii="Arial" w:hAnsi="Arial" w:cs="Arial"/>
          <w:lang w:val="sq-AL"/>
        </w:rPr>
        <w:t xml:space="preserve"> preduslovi su makro-fiskalne stabilnosti.</w:t>
      </w:r>
    </w:p>
    <w:p w14:paraId="415AEAEB" w14:textId="77777777" w:rsidR="003100DB" w:rsidRPr="00673670" w:rsidRDefault="003100DB" w:rsidP="003100DB">
      <w:pPr>
        <w:spacing w:line="360" w:lineRule="auto"/>
        <w:rPr>
          <w:rFonts w:ascii="Arial" w:hAnsi="Arial" w:cs="Arial"/>
          <w:lang w:val="sq-AL"/>
        </w:rPr>
      </w:pPr>
    </w:p>
    <w:p w14:paraId="57F30D84" w14:textId="77777777" w:rsidR="003100DB" w:rsidRPr="00673670" w:rsidRDefault="003100DB" w:rsidP="003100DB">
      <w:pPr>
        <w:spacing w:line="360" w:lineRule="auto"/>
        <w:rPr>
          <w:rFonts w:ascii="Arial" w:hAnsi="Arial" w:cs="Arial"/>
          <w:lang w:val="sq-AL"/>
        </w:rPr>
      </w:pPr>
      <w:r w:rsidRPr="00673670">
        <w:rPr>
          <w:rFonts w:ascii="Arial" w:hAnsi="Arial" w:cs="Arial"/>
          <w:lang w:val="sq-AL"/>
        </w:rPr>
        <w:t xml:space="preserve">Shodno osnovnom makroekonomskom scenariju, crnogorska ekonomija će u srednjem roku prosječno godišnje rasti po stopi od 3,7 %, odnosno po godinama 3,8 % u 2024, 4,8 % u 2025, 3,1 % i 3,2 % u 2026. i 2027. godini. Usljed usporavanja pritisaka cijena na evropskom nivou, očekuje se postepeno usporavanje inflacije, koja će prosječno iznositi 3 % u periodu 2025 – 2027. godine. U skladu sa fiskalnim okvirom za </w:t>
      </w:r>
      <w:r w:rsidRPr="00673670">
        <w:rPr>
          <w:rFonts w:ascii="Arial" w:hAnsi="Arial" w:cs="Arial"/>
          <w:lang w:val="sq-AL"/>
        </w:rPr>
        <w:lastRenderedPageBreak/>
        <w:t>isti period, izvorni prihodi budžeta kreću se u rasponu od 2.772,6 miliona eura ili 38,1 % BDP-a u 2024, do 3.081,2 miliona eura ili 35,8 % BDP-a u 2027. godini. Stabilnost prihoda i pored značajnog smanjenja poreskog opterećenja na rad obezbjeđuje se kroz implementaciju novih mjera poreske i politike unapređenja poslovnog ambijenta, jačanja konkurentnosti privrede i unapređenja uslova za privlačenje investicija.</w:t>
      </w:r>
    </w:p>
    <w:p w14:paraId="225A5A1F" w14:textId="77777777" w:rsidR="003100DB" w:rsidRPr="00673670" w:rsidRDefault="003100DB" w:rsidP="003100DB">
      <w:pPr>
        <w:spacing w:line="360" w:lineRule="auto"/>
        <w:rPr>
          <w:rFonts w:ascii="Arial" w:hAnsi="Arial" w:cs="Arial"/>
          <w:lang w:val="sq-AL"/>
        </w:rPr>
      </w:pPr>
    </w:p>
    <w:p w14:paraId="7F401094" w14:textId="41F76770" w:rsidR="003100DB" w:rsidRPr="00673670" w:rsidRDefault="003100DB" w:rsidP="003100DB">
      <w:pPr>
        <w:spacing w:line="360" w:lineRule="auto"/>
        <w:rPr>
          <w:rFonts w:ascii="Arial" w:hAnsi="Arial" w:cs="Arial"/>
          <w:lang w:val="sq-AL"/>
        </w:rPr>
      </w:pPr>
      <w:r w:rsidRPr="00673670">
        <w:rPr>
          <w:rFonts w:ascii="Arial" w:hAnsi="Arial" w:cs="Arial"/>
          <w:lang w:val="sq-AL"/>
        </w:rPr>
        <w:t>Na drugoj strani, budžetski rashodi centralnog nivoa kreću se u rasponu od 3.009,6 miliona eura ili 41.3 % BDP u 2024. godini do 3.364 miliona eura ili 39,1 % BDP-a. Kada je u pitanju upravljanje javnom potrošnjom strategija politike bazira se na: reformi sistema socijalne zaštite u cilju usmjeravanja socijalnih fondova onima kojima je to potrebno i razvoja sistema usluga socijalne zaštite, reformi preduzeća u većinskom vlasništvu države, optimizaciji javne uprave kroz sprovođenje funkcionalnih analiza koje treba da identifikuju oblasti u kojima je neophodno izvršiti racionalizaciju broja zaposlenih i onih oblasti koje zahtijevaju dodatno kadrovsko jačanje u kontekstu zahtjeva iz EU agende i kvalitetnijeg pružanja javnih usluga, reformi sistema zarada u javnom sektoru, kao i zadržavanje visokog nivoa izdvajanja za finansiranje kapitalnih projekata.</w:t>
      </w:r>
    </w:p>
    <w:p w14:paraId="57C8FC3E" w14:textId="77777777" w:rsidR="003100DB" w:rsidRPr="00673670" w:rsidRDefault="003100DB" w:rsidP="003100DB">
      <w:pPr>
        <w:spacing w:line="360" w:lineRule="auto"/>
        <w:rPr>
          <w:rFonts w:ascii="Arial" w:hAnsi="Arial" w:cs="Arial"/>
          <w:lang w:val="sq-AL"/>
        </w:rPr>
      </w:pPr>
    </w:p>
    <w:p w14:paraId="7D8D91ED" w14:textId="2721BB5F" w:rsidR="003100DB" w:rsidRPr="00673670" w:rsidRDefault="003100DB" w:rsidP="003100DB">
      <w:pPr>
        <w:spacing w:line="360" w:lineRule="auto"/>
        <w:rPr>
          <w:rFonts w:ascii="Arial" w:hAnsi="Arial" w:cs="Arial"/>
          <w:lang w:val="sq-AL"/>
        </w:rPr>
      </w:pPr>
      <w:r w:rsidRPr="00673670">
        <w:rPr>
          <w:rFonts w:ascii="Arial" w:hAnsi="Arial" w:cs="Arial"/>
          <w:lang w:val="sq-AL"/>
        </w:rPr>
        <w:t>Trend snažnog rasta budžetskih prihoda, sa jedne i rast navedenih kategorija javne potrošnje sa druge strane, opredjeljuju nivo budžetskog deficita koji se kreće od 3,54 % BDP-a u 2025. do nivoa od 3,3 % BDP u 2027. godini. U tom smislu, u posmatranom periodu nije narušeno fiskalno pravilo, predviđeno Zakonom o budžetu i fiskalnoj odgovornosti i pored toga što se država odriče jednog dijela prihoda po osnovu smanjenja poreskog opterećenja na rad u korist zaposlenog i poslodavca. Imajući u vidu navedeno, neophodno je napomenuti da se u svim godinama pojekcija ostvaruje suficit tekuće budžetske potrošnje, što govori u prilog tome da država sve svoje tekuće obaveze finansira iz tekućih prihoda, odnosno da se zaduživanje vrši isključivo za potrebe realizacije kapitalnih projekata kojima se daje podrška projektovanom ekonomskom rastu.</w:t>
      </w:r>
    </w:p>
    <w:p w14:paraId="407DFE05" w14:textId="4FE74144" w:rsidR="009316F8" w:rsidRDefault="00931A7D" w:rsidP="009316F8">
      <w:pPr>
        <w:spacing w:before="120" w:after="120" w:line="360" w:lineRule="auto"/>
        <w:rPr>
          <w:rFonts w:ascii="Arial" w:hAnsi="Arial" w:cs="Arial"/>
          <w:lang w:val="sq-AL" w:eastAsia="pl-PL"/>
        </w:rPr>
      </w:pPr>
      <w:r w:rsidRPr="00931A7D">
        <w:rPr>
          <w:rFonts w:ascii="Arial" w:hAnsi="Arial" w:cs="Arial"/>
          <w:lang w:val="sq-AL" w:eastAsia="pl-PL"/>
        </w:rPr>
        <w:t>Da zaključimo o</w:t>
      </w:r>
      <w:r w:rsidR="009316F8" w:rsidRPr="00931A7D">
        <w:rPr>
          <w:rFonts w:ascii="Arial" w:hAnsi="Arial" w:cs="Arial"/>
          <w:lang w:val="sq-AL" w:eastAsia="pl-PL"/>
        </w:rPr>
        <w:t xml:space="preserve">vaj program finansiranja treba da bude kombinovan sa donatorskim sredstvima – glavni fokus se stavlja na budući okvir </w:t>
      </w:r>
      <w:r w:rsidR="001C0A7E" w:rsidRPr="00931A7D">
        <w:rPr>
          <w:rFonts w:ascii="Arial" w:hAnsi="Arial" w:cs="Arial"/>
          <w:lang w:val="sq-AL" w:eastAsia="pl-PL"/>
        </w:rPr>
        <w:t>fondova EU</w:t>
      </w:r>
      <w:r w:rsidR="009316F8" w:rsidRPr="00931A7D">
        <w:rPr>
          <w:rFonts w:ascii="Arial" w:hAnsi="Arial" w:cs="Arial"/>
          <w:lang w:val="sq-AL" w:eastAsia="pl-PL"/>
        </w:rPr>
        <w:t xml:space="preserve"> i sredstva dostupna kroz </w:t>
      </w:r>
      <w:r w:rsidR="001C0A7E" w:rsidRPr="00931A7D">
        <w:rPr>
          <w:rFonts w:ascii="Arial" w:hAnsi="Arial" w:cs="Arial"/>
          <w:lang w:val="sq-AL" w:eastAsia="pl-PL"/>
        </w:rPr>
        <w:t>te</w:t>
      </w:r>
      <w:r w:rsidR="009316F8" w:rsidRPr="00931A7D">
        <w:rPr>
          <w:rFonts w:ascii="Arial" w:hAnsi="Arial" w:cs="Arial"/>
          <w:lang w:val="sq-AL" w:eastAsia="pl-PL"/>
        </w:rPr>
        <w:t xml:space="preserve"> instrument</w:t>
      </w:r>
      <w:r w:rsidR="001C0A7E" w:rsidRPr="00931A7D">
        <w:rPr>
          <w:rFonts w:ascii="Arial" w:hAnsi="Arial" w:cs="Arial"/>
          <w:lang w:val="sq-AL" w:eastAsia="pl-PL"/>
        </w:rPr>
        <w:t>e</w:t>
      </w:r>
      <w:r w:rsidR="009316F8" w:rsidRPr="00931A7D">
        <w:rPr>
          <w:rFonts w:ascii="Arial" w:hAnsi="Arial" w:cs="Arial"/>
          <w:lang w:val="sq-AL" w:eastAsia="pl-PL"/>
        </w:rPr>
        <w:t>.</w:t>
      </w:r>
    </w:p>
    <w:p w14:paraId="009F9637" w14:textId="77777777" w:rsidR="0054241B" w:rsidRDefault="0054241B" w:rsidP="009316F8">
      <w:pPr>
        <w:spacing w:before="120" w:after="120" w:line="360" w:lineRule="auto"/>
        <w:rPr>
          <w:rFonts w:ascii="Arial" w:hAnsi="Arial" w:cs="Arial"/>
          <w:lang w:val="sq-AL" w:eastAsia="pl-PL"/>
        </w:rPr>
      </w:pPr>
    </w:p>
    <w:p w14:paraId="54F0445C" w14:textId="77777777" w:rsidR="0054241B" w:rsidRDefault="0054241B" w:rsidP="009316F8">
      <w:pPr>
        <w:spacing w:before="120" w:after="120" w:line="360" w:lineRule="auto"/>
        <w:rPr>
          <w:rFonts w:ascii="Arial" w:hAnsi="Arial" w:cs="Arial"/>
          <w:lang w:val="sq-AL" w:eastAsia="pl-PL"/>
        </w:rPr>
      </w:pPr>
    </w:p>
    <w:p w14:paraId="207B6DAB" w14:textId="77777777" w:rsidR="0054241B" w:rsidRDefault="0054241B" w:rsidP="009316F8">
      <w:pPr>
        <w:spacing w:before="120" w:after="120" w:line="360" w:lineRule="auto"/>
        <w:rPr>
          <w:rFonts w:ascii="Arial" w:hAnsi="Arial" w:cs="Arial"/>
          <w:lang w:val="sq-AL" w:eastAsia="pl-PL"/>
        </w:rPr>
      </w:pPr>
    </w:p>
    <w:p w14:paraId="3A2AF058" w14:textId="77777777" w:rsidR="0054241B" w:rsidRDefault="0054241B" w:rsidP="009316F8">
      <w:pPr>
        <w:spacing w:before="120" w:after="120" w:line="360" w:lineRule="auto"/>
        <w:rPr>
          <w:rFonts w:ascii="Arial" w:hAnsi="Arial" w:cs="Arial"/>
          <w:lang w:val="sq-AL" w:eastAsia="pl-PL"/>
        </w:rPr>
      </w:pPr>
    </w:p>
    <w:p w14:paraId="3F1CF489" w14:textId="77777777" w:rsidR="0054241B" w:rsidRDefault="0054241B" w:rsidP="009316F8">
      <w:pPr>
        <w:spacing w:before="120" w:after="120" w:line="360" w:lineRule="auto"/>
        <w:rPr>
          <w:rFonts w:ascii="Arial" w:hAnsi="Arial" w:cs="Arial"/>
          <w:lang w:val="sq-AL" w:eastAsia="pl-PL"/>
        </w:rPr>
      </w:pPr>
    </w:p>
    <w:p w14:paraId="5CB1CFB7" w14:textId="77777777" w:rsidR="002754A4" w:rsidRPr="002A6F4E" w:rsidRDefault="002754A4" w:rsidP="009316F8">
      <w:pPr>
        <w:spacing w:before="120" w:after="120" w:line="360" w:lineRule="auto"/>
        <w:rPr>
          <w:rFonts w:ascii="Arial" w:hAnsi="Arial" w:cs="Arial"/>
          <w:lang w:val="sq-AL" w:eastAsia="pl-PL"/>
        </w:rPr>
      </w:pPr>
    </w:p>
    <w:p w14:paraId="3C86DAA3" w14:textId="77777777" w:rsidR="009316F8" w:rsidRPr="002A6F4E" w:rsidRDefault="009316F8" w:rsidP="002E65F0">
      <w:pPr>
        <w:pStyle w:val="Heading1"/>
        <w:numPr>
          <w:ilvl w:val="0"/>
          <w:numId w:val="0"/>
        </w:numPr>
        <w:ind w:left="360"/>
        <w:rPr>
          <w:sz w:val="20"/>
          <w:szCs w:val="20"/>
        </w:rPr>
      </w:pPr>
      <w:bookmarkStart w:id="1294" w:name="_Toc189759732"/>
      <w:bookmarkStart w:id="1295" w:name="_Toc193354058"/>
      <w:r w:rsidRPr="002A6F4E">
        <w:rPr>
          <w:sz w:val="20"/>
          <w:szCs w:val="20"/>
        </w:rPr>
        <w:lastRenderedPageBreak/>
        <w:t xml:space="preserve">6. </w:t>
      </w:r>
      <w:bookmarkEnd w:id="1294"/>
      <w:r w:rsidRPr="002A6F4E">
        <w:rPr>
          <w:sz w:val="20"/>
          <w:szCs w:val="20"/>
        </w:rPr>
        <w:t>Ciljevi upravljanja otpadom</w:t>
      </w:r>
      <w:bookmarkEnd w:id="1295"/>
    </w:p>
    <w:p w14:paraId="1C7E6A5F" w14:textId="77777777" w:rsidR="009316F8" w:rsidRPr="002A6F4E" w:rsidRDefault="009316F8" w:rsidP="009316F8">
      <w:pPr>
        <w:tabs>
          <w:tab w:val="left" w:pos="284"/>
        </w:tabs>
        <w:spacing w:before="120" w:after="120" w:line="360" w:lineRule="auto"/>
        <w:rPr>
          <w:rFonts w:ascii="Arial" w:hAnsi="Arial" w:cs="Arial"/>
          <w:bCs/>
          <w:lang w:val="sq-AL"/>
        </w:rPr>
      </w:pPr>
      <w:r w:rsidRPr="002A6F4E">
        <w:rPr>
          <w:rFonts w:ascii="Arial" w:hAnsi="Arial" w:cs="Arial"/>
          <w:bCs/>
          <w:lang w:val="sq-AL"/>
        </w:rPr>
        <w:t>U ovom poglavlju predstavljeni su kvalitativni, a gdje je primjenljivo, kvantitativni ciljevi za upravljanje posebnim tokovima otpada, osim otpada iz domaćinstva, i to:</w:t>
      </w:r>
    </w:p>
    <w:p w14:paraId="38C3791B" w14:textId="7A11BAA5" w:rsidR="009316F8" w:rsidRPr="002A6F4E" w:rsidRDefault="009316F8" w:rsidP="00A23ED0">
      <w:pPr>
        <w:pStyle w:val="ListParagraph"/>
        <w:numPr>
          <w:ilvl w:val="0"/>
          <w:numId w:val="71"/>
        </w:numPr>
        <w:tabs>
          <w:tab w:val="left" w:pos="284"/>
        </w:tabs>
        <w:spacing w:before="120" w:after="120" w:line="360" w:lineRule="auto"/>
        <w:contextualSpacing w:val="0"/>
        <w:rPr>
          <w:rFonts w:ascii="Arial" w:hAnsi="Arial" w:cs="Arial"/>
          <w:bCs/>
          <w:lang w:val="sq-AL"/>
        </w:rPr>
      </w:pPr>
      <w:r w:rsidRPr="002A6F4E">
        <w:rPr>
          <w:rFonts w:ascii="Arial" w:hAnsi="Arial" w:cs="Arial"/>
          <w:bCs/>
          <w:lang w:val="sq-AL"/>
        </w:rPr>
        <w:t>Građevinski otpad i otpad od rušenja</w:t>
      </w:r>
      <w:r w:rsidR="00281B6B">
        <w:rPr>
          <w:rFonts w:ascii="Arial" w:hAnsi="Arial" w:cs="Arial"/>
          <w:bCs/>
          <w:lang w:val="sq-AL"/>
        </w:rPr>
        <w:t>,</w:t>
      </w:r>
    </w:p>
    <w:p w14:paraId="3E09DC4C" w14:textId="2A3A1D10" w:rsidR="009316F8" w:rsidRPr="002A6F4E" w:rsidRDefault="009316F8" w:rsidP="00A23ED0">
      <w:pPr>
        <w:pStyle w:val="ListParagraph"/>
        <w:numPr>
          <w:ilvl w:val="0"/>
          <w:numId w:val="71"/>
        </w:numPr>
        <w:tabs>
          <w:tab w:val="left" w:pos="284"/>
        </w:tabs>
        <w:spacing w:before="120" w:after="120" w:line="360" w:lineRule="auto"/>
        <w:contextualSpacing w:val="0"/>
        <w:rPr>
          <w:rFonts w:ascii="Arial" w:hAnsi="Arial" w:cs="Arial"/>
          <w:bCs/>
          <w:lang w:val="sq-AL"/>
        </w:rPr>
      </w:pPr>
      <w:r w:rsidRPr="002A6F4E">
        <w:rPr>
          <w:rFonts w:ascii="Arial" w:hAnsi="Arial" w:cs="Arial"/>
          <w:bCs/>
          <w:lang w:val="sq-AL"/>
        </w:rPr>
        <w:t>Otpad od električnih i elektronskih proizvoda</w:t>
      </w:r>
      <w:r w:rsidR="00281B6B">
        <w:rPr>
          <w:rFonts w:ascii="Arial" w:hAnsi="Arial" w:cs="Arial"/>
          <w:bCs/>
          <w:lang w:val="sq-AL"/>
        </w:rPr>
        <w:t>,</w:t>
      </w:r>
    </w:p>
    <w:p w14:paraId="1B552122" w14:textId="1279C5CF" w:rsidR="009316F8" w:rsidRPr="002A6F4E" w:rsidRDefault="009316F8" w:rsidP="00A23ED0">
      <w:pPr>
        <w:pStyle w:val="ListParagraph"/>
        <w:numPr>
          <w:ilvl w:val="0"/>
          <w:numId w:val="71"/>
        </w:numPr>
        <w:tabs>
          <w:tab w:val="left" w:pos="284"/>
        </w:tabs>
        <w:spacing w:before="120" w:after="120" w:line="360" w:lineRule="auto"/>
        <w:contextualSpacing w:val="0"/>
        <w:rPr>
          <w:rFonts w:ascii="Arial" w:hAnsi="Arial" w:cs="Arial"/>
          <w:bCs/>
          <w:lang w:val="sq-AL"/>
        </w:rPr>
      </w:pPr>
      <w:r w:rsidRPr="002A6F4E">
        <w:rPr>
          <w:rFonts w:ascii="Arial" w:hAnsi="Arial" w:cs="Arial"/>
          <w:bCs/>
          <w:lang w:val="sq-AL"/>
        </w:rPr>
        <w:t>Otpadna vozila</w:t>
      </w:r>
      <w:r w:rsidR="00281B6B">
        <w:rPr>
          <w:rFonts w:ascii="Arial" w:hAnsi="Arial" w:cs="Arial"/>
          <w:bCs/>
          <w:lang w:val="sq-AL"/>
        </w:rPr>
        <w:t>,</w:t>
      </w:r>
    </w:p>
    <w:p w14:paraId="2BE4E0CE" w14:textId="5A6A1ABF" w:rsidR="009316F8" w:rsidRPr="002A6F4E" w:rsidRDefault="00281B6B" w:rsidP="00A23ED0">
      <w:pPr>
        <w:pStyle w:val="ListParagraph"/>
        <w:numPr>
          <w:ilvl w:val="0"/>
          <w:numId w:val="71"/>
        </w:numPr>
        <w:tabs>
          <w:tab w:val="left" w:pos="284"/>
        </w:tabs>
        <w:spacing w:before="120" w:after="120" w:line="360" w:lineRule="auto"/>
        <w:contextualSpacing w:val="0"/>
        <w:rPr>
          <w:rFonts w:ascii="Arial" w:hAnsi="Arial" w:cs="Arial"/>
          <w:bCs/>
          <w:lang w:val="sq-AL"/>
        </w:rPr>
      </w:pPr>
      <w:r>
        <w:rPr>
          <w:rFonts w:ascii="Arial" w:hAnsi="Arial" w:cs="Arial"/>
          <w:bCs/>
          <w:lang w:val="sq-AL"/>
        </w:rPr>
        <w:t>Otpadne b</w:t>
      </w:r>
      <w:r w:rsidR="009316F8" w:rsidRPr="002A6F4E">
        <w:rPr>
          <w:rFonts w:ascii="Arial" w:hAnsi="Arial" w:cs="Arial"/>
          <w:bCs/>
          <w:lang w:val="sq-AL"/>
        </w:rPr>
        <w:t>aterije i akumulatori</w:t>
      </w:r>
      <w:r>
        <w:rPr>
          <w:rFonts w:ascii="Arial" w:hAnsi="Arial" w:cs="Arial"/>
          <w:bCs/>
          <w:lang w:val="sq-AL"/>
        </w:rPr>
        <w:t>,</w:t>
      </w:r>
    </w:p>
    <w:p w14:paraId="0691154F" w14:textId="59BBAB26" w:rsidR="009316F8" w:rsidRPr="002A6F4E" w:rsidRDefault="009316F8" w:rsidP="00A23ED0">
      <w:pPr>
        <w:pStyle w:val="ListParagraph"/>
        <w:numPr>
          <w:ilvl w:val="0"/>
          <w:numId w:val="71"/>
        </w:numPr>
        <w:tabs>
          <w:tab w:val="left" w:pos="284"/>
        </w:tabs>
        <w:spacing w:before="120" w:after="120" w:line="360" w:lineRule="auto"/>
        <w:contextualSpacing w:val="0"/>
        <w:rPr>
          <w:rFonts w:ascii="Arial" w:hAnsi="Arial" w:cs="Arial"/>
          <w:bCs/>
          <w:lang w:val="sq-AL"/>
        </w:rPr>
      </w:pPr>
      <w:r w:rsidRPr="002A6F4E">
        <w:rPr>
          <w:rFonts w:ascii="Arial" w:hAnsi="Arial" w:cs="Arial"/>
          <w:bCs/>
          <w:lang w:val="sq-AL"/>
        </w:rPr>
        <w:t>Otpadne gume</w:t>
      </w:r>
      <w:r w:rsidR="00281B6B">
        <w:rPr>
          <w:rFonts w:ascii="Arial" w:hAnsi="Arial" w:cs="Arial"/>
          <w:bCs/>
          <w:lang w:val="sq-AL"/>
        </w:rPr>
        <w:t>,</w:t>
      </w:r>
    </w:p>
    <w:p w14:paraId="06EB1C58" w14:textId="541DEE1F" w:rsidR="009316F8" w:rsidRPr="002A6F4E" w:rsidRDefault="009316F8" w:rsidP="00A23ED0">
      <w:pPr>
        <w:pStyle w:val="ListParagraph"/>
        <w:numPr>
          <w:ilvl w:val="0"/>
          <w:numId w:val="71"/>
        </w:numPr>
        <w:tabs>
          <w:tab w:val="left" w:pos="284"/>
        </w:tabs>
        <w:spacing w:before="120" w:after="120" w:line="360" w:lineRule="auto"/>
        <w:contextualSpacing w:val="0"/>
        <w:rPr>
          <w:rFonts w:ascii="Arial" w:hAnsi="Arial" w:cs="Arial"/>
          <w:bCs/>
          <w:lang w:val="sq-AL"/>
        </w:rPr>
      </w:pPr>
      <w:r w:rsidRPr="002A6F4E">
        <w:rPr>
          <w:rFonts w:ascii="Arial" w:hAnsi="Arial" w:cs="Arial"/>
          <w:bCs/>
          <w:lang w:val="sq-AL"/>
        </w:rPr>
        <w:t>Otpadna ulja</w:t>
      </w:r>
      <w:r w:rsidR="00281B6B">
        <w:rPr>
          <w:rFonts w:ascii="Arial" w:hAnsi="Arial" w:cs="Arial"/>
          <w:bCs/>
          <w:lang w:val="sq-AL"/>
        </w:rPr>
        <w:t>,</w:t>
      </w:r>
    </w:p>
    <w:p w14:paraId="04AB08A1" w14:textId="0AAE0B7B" w:rsidR="009316F8" w:rsidRPr="002A6F4E" w:rsidRDefault="009316F8" w:rsidP="00A23ED0">
      <w:pPr>
        <w:pStyle w:val="ListParagraph"/>
        <w:numPr>
          <w:ilvl w:val="0"/>
          <w:numId w:val="71"/>
        </w:numPr>
        <w:tabs>
          <w:tab w:val="left" w:pos="284"/>
        </w:tabs>
        <w:spacing w:before="120" w:after="120" w:line="360" w:lineRule="auto"/>
        <w:contextualSpacing w:val="0"/>
        <w:rPr>
          <w:rFonts w:ascii="Arial" w:hAnsi="Arial" w:cs="Arial"/>
          <w:bCs/>
          <w:lang w:val="sq-AL"/>
        </w:rPr>
      </w:pPr>
      <w:r w:rsidRPr="002A6F4E">
        <w:rPr>
          <w:rFonts w:ascii="Arial" w:hAnsi="Arial" w:cs="Arial"/>
          <w:bCs/>
          <w:lang w:val="sq-AL"/>
        </w:rPr>
        <w:t>Poljoprivredni o</w:t>
      </w:r>
      <w:r w:rsidR="00281B6B">
        <w:rPr>
          <w:rFonts w:ascii="Arial" w:hAnsi="Arial" w:cs="Arial"/>
          <w:bCs/>
          <w:lang w:val="sq-AL"/>
        </w:rPr>
        <w:t>tpad,</w:t>
      </w:r>
    </w:p>
    <w:p w14:paraId="3076C5DB" w14:textId="70C96D2A" w:rsidR="009316F8" w:rsidRPr="002A6F4E" w:rsidRDefault="001946A2" w:rsidP="00A23ED0">
      <w:pPr>
        <w:pStyle w:val="ListParagraph"/>
        <w:numPr>
          <w:ilvl w:val="0"/>
          <w:numId w:val="71"/>
        </w:numPr>
        <w:tabs>
          <w:tab w:val="left" w:pos="284"/>
        </w:tabs>
        <w:spacing w:before="120" w:after="120" w:line="360" w:lineRule="auto"/>
        <w:contextualSpacing w:val="0"/>
        <w:rPr>
          <w:rFonts w:ascii="Arial" w:hAnsi="Arial" w:cs="Arial"/>
          <w:bCs/>
          <w:lang w:val="sq-AL"/>
        </w:rPr>
      </w:pPr>
      <w:r>
        <w:rPr>
          <w:rFonts w:ascii="Arial" w:hAnsi="Arial" w:cs="Arial"/>
          <w:bCs/>
          <w:lang w:val="sq-AL"/>
        </w:rPr>
        <w:t>Kanalizacioni mulj</w:t>
      </w:r>
      <w:r w:rsidR="00281B6B">
        <w:rPr>
          <w:rFonts w:ascii="Arial" w:hAnsi="Arial" w:cs="Arial"/>
          <w:bCs/>
          <w:lang w:val="sq-AL"/>
        </w:rPr>
        <w:t>,</w:t>
      </w:r>
    </w:p>
    <w:p w14:paraId="57913355" w14:textId="7A6DCAAE" w:rsidR="009316F8" w:rsidRPr="002A6F4E" w:rsidRDefault="009316F8" w:rsidP="00A23ED0">
      <w:pPr>
        <w:pStyle w:val="ListParagraph"/>
        <w:numPr>
          <w:ilvl w:val="0"/>
          <w:numId w:val="71"/>
        </w:numPr>
        <w:tabs>
          <w:tab w:val="left" w:pos="284"/>
        </w:tabs>
        <w:spacing w:before="120" w:after="120" w:line="360" w:lineRule="auto"/>
        <w:contextualSpacing w:val="0"/>
        <w:rPr>
          <w:rFonts w:ascii="Arial" w:hAnsi="Arial" w:cs="Arial"/>
          <w:bCs/>
          <w:lang w:val="sq-AL"/>
        </w:rPr>
      </w:pPr>
      <w:r w:rsidRPr="002A6F4E">
        <w:rPr>
          <w:rFonts w:ascii="Arial" w:hAnsi="Arial" w:cs="Arial"/>
          <w:bCs/>
          <w:lang w:val="sq-AL"/>
        </w:rPr>
        <w:t>Medicinski i veterinarski otpad</w:t>
      </w:r>
      <w:r w:rsidR="00281B6B">
        <w:rPr>
          <w:rFonts w:ascii="Arial" w:hAnsi="Arial" w:cs="Arial"/>
          <w:bCs/>
          <w:lang w:val="sq-AL"/>
        </w:rPr>
        <w:t>,</w:t>
      </w:r>
    </w:p>
    <w:p w14:paraId="786B165F" w14:textId="6105811A" w:rsidR="009316F8" w:rsidRPr="002A6F4E" w:rsidRDefault="009316F8" w:rsidP="00A23ED0">
      <w:pPr>
        <w:pStyle w:val="ListParagraph"/>
        <w:numPr>
          <w:ilvl w:val="0"/>
          <w:numId w:val="71"/>
        </w:numPr>
        <w:tabs>
          <w:tab w:val="left" w:pos="284"/>
        </w:tabs>
        <w:spacing w:before="120" w:after="120" w:line="360" w:lineRule="auto"/>
        <w:contextualSpacing w:val="0"/>
        <w:rPr>
          <w:rFonts w:ascii="Arial" w:hAnsi="Arial" w:cs="Arial"/>
          <w:bCs/>
          <w:lang w:val="sq-AL"/>
        </w:rPr>
      </w:pPr>
      <w:r w:rsidRPr="002A6F4E">
        <w:rPr>
          <w:rFonts w:ascii="Arial" w:hAnsi="Arial" w:cs="Arial"/>
          <w:bCs/>
          <w:lang w:val="sq-AL"/>
        </w:rPr>
        <w:t>Industrijski neopasni otpad</w:t>
      </w:r>
      <w:r w:rsidR="00281B6B">
        <w:rPr>
          <w:rFonts w:ascii="Arial" w:hAnsi="Arial" w:cs="Arial"/>
          <w:bCs/>
          <w:lang w:val="sq-AL"/>
        </w:rPr>
        <w:t>.</w:t>
      </w:r>
    </w:p>
    <w:p w14:paraId="3F463A31" w14:textId="1B450776" w:rsidR="009316F8" w:rsidRPr="002A6F4E" w:rsidRDefault="009316F8" w:rsidP="009316F8">
      <w:pPr>
        <w:shd w:val="clear" w:color="auto" w:fill="C5E0B3" w:themeFill="accent6" w:themeFillTint="66"/>
        <w:spacing w:before="120" w:after="120" w:line="360" w:lineRule="auto"/>
        <w:rPr>
          <w:rFonts w:ascii="Arial" w:hAnsi="Arial" w:cs="Arial"/>
          <w:bCs/>
          <w:i/>
          <w:iCs/>
          <w:lang w:val="sq-AL"/>
        </w:rPr>
      </w:pPr>
      <w:r w:rsidRPr="002A6F4E">
        <w:rPr>
          <w:rFonts w:ascii="Arial" w:hAnsi="Arial" w:cs="Arial"/>
          <w:bCs/>
          <w:i/>
          <w:iCs/>
          <w:lang w:val="sq-AL"/>
        </w:rPr>
        <w:t>Za posebne tokove otpada od najveće je važnosti pravilna organizacija njegovog sakupljanja, privremenog skladištenja i predaje ovlašćenim reciklerima</w:t>
      </w:r>
      <w:r w:rsidRPr="002A6F4E">
        <w:rPr>
          <w:rStyle w:val="FootnoteReference"/>
          <w:rFonts w:ascii="Arial" w:hAnsi="Arial" w:cs="Arial"/>
          <w:i/>
          <w:iCs/>
          <w:sz w:val="20"/>
          <w:szCs w:val="20"/>
          <w:lang w:val="sq-AL"/>
        </w:rPr>
        <w:t xml:space="preserve"> </w:t>
      </w:r>
      <w:r w:rsidRPr="002A6F4E">
        <w:rPr>
          <w:rStyle w:val="FootnoteReference"/>
          <w:rFonts w:ascii="Arial" w:hAnsi="Arial" w:cs="Arial"/>
          <w:i/>
          <w:iCs/>
          <w:sz w:val="20"/>
          <w:szCs w:val="20"/>
          <w:lang w:val="sq-AL"/>
        </w:rPr>
        <w:footnoteReference w:id="44"/>
      </w:r>
      <w:r w:rsidRPr="002A6F4E">
        <w:rPr>
          <w:rFonts w:ascii="Arial" w:hAnsi="Arial" w:cs="Arial"/>
          <w:bCs/>
          <w:i/>
          <w:iCs/>
          <w:lang w:val="sq-AL"/>
        </w:rPr>
        <w:t>. U tom okviru potrebno je uspostaviti odgovarajući sistem upravljanja i unaprijediti izvještavanje o količini generisanog otpada kojim se upravlja.</w:t>
      </w:r>
    </w:p>
    <w:p w14:paraId="04333110" w14:textId="77777777" w:rsidR="009316F8" w:rsidRPr="002A6F4E" w:rsidRDefault="009316F8" w:rsidP="00F57909">
      <w:pPr>
        <w:pStyle w:val="Heading2"/>
        <w:rPr>
          <w:color w:val="1F497D"/>
          <w:lang w:eastAsia="it-IT"/>
        </w:rPr>
      </w:pPr>
      <w:bookmarkStart w:id="1297" w:name="_Toc121759101"/>
      <w:bookmarkStart w:id="1298" w:name="_Toc189759733"/>
      <w:bookmarkStart w:id="1299" w:name="_Toc193354059"/>
      <w:r w:rsidRPr="002A6F4E">
        <w:t>6.1.  Građevinski otpad i otpad od rušenja</w:t>
      </w:r>
      <w:bookmarkStart w:id="1300" w:name="_Toc121759103"/>
      <w:bookmarkStart w:id="1301" w:name="_Toc189759734"/>
      <w:bookmarkEnd w:id="1297"/>
      <w:bookmarkEnd w:id="1298"/>
      <w:r w:rsidRPr="002A6F4E">
        <w:t xml:space="preserve"> - Ciljevi i zadaci</w:t>
      </w:r>
      <w:bookmarkEnd w:id="1299"/>
      <w:bookmarkEnd w:id="1300"/>
      <w:bookmarkEnd w:id="1301"/>
      <w:r w:rsidRPr="002A6F4E">
        <w:t xml:space="preserve"> </w:t>
      </w:r>
    </w:p>
    <w:p w14:paraId="3AEDDC53" w14:textId="1AB6D283" w:rsidR="009316F8" w:rsidRDefault="009316F8" w:rsidP="009316F8">
      <w:pPr>
        <w:spacing w:after="120" w:line="360" w:lineRule="auto"/>
        <w:rPr>
          <w:rFonts w:ascii="Arial" w:hAnsi="Arial" w:cs="Arial"/>
          <w:lang w:val="sq-AL"/>
        </w:rPr>
      </w:pPr>
      <w:r w:rsidRPr="002A6F4E">
        <w:rPr>
          <w:rFonts w:ascii="Arial" w:hAnsi="Arial" w:cs="Arial"/>
          <w:lang w:val="sq-AL"/>
        </w:rPr>
        <w:t>U narednoj tabeli prikazani su glavni ciljevi koji proizilaze iz zakonskih odredbi.</w:t>
      </w:r>
    </w:p>
    <w:p w14:paraId="522A27C1" w14:textId="0F457E39" w:rsidR="009316F8" w:rsidRPr="00222376" w:rsidRDefault="009316F8" w:rsidP="009316F8">
      <w:pPr>
        <w:pStyle w:val="Caption"/>
        <w:rPr>
          <w:rFonts w:ascii="Arial" w:eastAsia="Times New Roman" w:hAnsi="Arial" w:cs="Arial"/>
          <w:b w:val="0"/>
          <w:szCs w:val="20"/>
          <w:lang w:val="sq-AL" w:eastAsia="el-GR"/>
        </w:rPr>
      </w:pPr>
      <w:bookmarkStart w:id="1302" w:name="_Toc189515695"/>
      <w:bookmarkStart w:id="1303" w:name="_Toc190160805"/>
      <w:bookmarkStart w:id="1304" w:name="_Toc130833081"/>
      <w:r w:rsidRPr="00222376">
        <w:rPr>
          <w:rFonts w:ascii="Arial" w:eastAsia="Times New Roman" w:hAnsi="Arial" w:cs="Arial"/>
          <w:b w:val="0"/>
          <w:szCs w:val="20"/>
          <w:lang w:val="sq-AL" w:eastAsia="el-GR"/>
        </w:rPr>
        <w:t xml:space="preserve">Tabela </w:t>
      </w:r>
      <w:r w:rsidRPr="00222376">
        <w:rPr>
          <w:rFonts w:ascii="Arial" w:eastAsia="Times New Roman" w:hAnsi="Arial" w:cs="Arial"/>
          <w:b w:val="0"/>
          <w:szCs w:val="20"/>
          <w:lang w:val="sq-AL" w:eastAsia="el-GR"/>
        </w:rPr>
        <w:fldChar w:fldCharType="begin"/>
      </w:r>
      <w:r w:rsidRPr="00222376">
        <w:rPr>
          <w:rFonts w:ascii="Arial" w:eastAsia="Times New Roman" w:hAnsi="Arial" w:cs="Arial"/>
          <w:b w:val="0"/>
          <w:szCs w:val="20"/>
          <w:lang w:val="sq-AL" w:eastAsia="el-GR"/>
        </w:rPr>
        <w:instrText xml:space="preserve"> SEQ Tabela \* ARABIC </w:instrText>
      </w:r>
      <w:r w:rsidRPr="00222376">
        <w:rPr>
          <w:rFonts w:ascii="Arial" w:eastAsia="Times New Roman" w:hAnsi="Arial" w:cs="Arial"/>
          <w:b w:val="0"/>
          <w:szCs w:val="20"/>
          <w:lang w:val="sq-AL" w:eastAsia="el-GR"/>
        </w:rPr>
        <w:fldChar w:fldCharType="separate"/>
      </w:r>
      <w:r w:rsidR="007274DA">
        <w:rPr>
          <w:rFonts w:ascii="Arial" w:eastAsia="Times New Roman" w:hAnsi="Arial" w:cs="Arial"/>
          <w:b w:val="0"/>
          <w:noProof/>
          <w:szCs w:val="20"/>
          <w:lang w:val="sq-AL" w:eastAsia="el-GR"/>
        </w:rPr>
        <w:t>108</w:t>
      </w:r>
      <w:r w:rsidRPr="00222376">
        <w:rPr>
          <w:rFonts w:ascii="Arial" w:eastAsia="Times New Roman" w:hAnsi="Arial" w:cs="Arial"/>
          <w:b w:val="0"/>
          <w:szCs w:val="20"/>
          <w:lang w:val="sq-AL" w:eastAsia="el-GR"/>
        </w:rPr>
        <w:fldChar w:fldCharType="end"/>
      </w:r>
      <w:r w:rsidRPr="00222376">
        <w:rPr>
          <w:rFonts w:ascii="Arial" w:eastAsia="Times New Roman" w:hAnsi="Arial" w:cs="Arial"/>
          <w:b w:val="0"/>
          <w:szCs w:val="20"/>
          <w:lang w:val="sq-AL" w:eastAsia="el-GR"/>
        </w:rPr>
        <w:t xml:space="preserve"> Ciljevi upravljanja </w:t>
      </w:r>
      <w:r w:rsidR="00A42F3D">
        <w:rPr>
          <w:rFonts w:ascii="Arial" w:eastAsia="Times New Roman" w:hAnsi="Arial" w:cs="Arial"/>
          <w:b w:val="0"/>
          <w:szCs w:val="20"/>
          <w:lang w:val="sq-AL" w:eastAsia="el-GR"/>
        </w:rPr>
        <w:t xml:space="preserve">građevinskim </w:t>
      </w:r>
      <w:r w:rsidRPr="00222376">
        <w:rPr>
          <w:rFonts w:ascii="Arial" w:eastAsia="Times New Roman" w:hAnsi="Arial" w:cs="Arial"/>
          <w:b w:val="0"/>
          <w:szCs w:val="20"/>
          <w:lang w:val="sq-AL" w:eastAsia="el-GR"/>
        </w:rPr>
        <w:t xml:space="preserve">otpadom </w:t>
      </w:r>
      <w:r w:rsidR="001A0113">
        <w:rPr>
          <w:rFonts w:ascii="Arial" w:eastAsia="Times New Roman" w:hAnsi="Arial" w:cs="Arial"/>
          <w:b w:val="0"/>
          <w:szCs w:val="20"/>
          <w:lang w:val="sq-AL" w:eastAsia="el-GR"/>
        </w:rPr>
        <w:t>i otpadom od</w:t>
      </w:r>
      <w:r w:rsidRPr="00222376">
        <w:rPr>
          <w:rFonts w:ascii="Arial" w:eastAsia="Times New Roman" w:hAnsi="Arial" w:cs="Arial"/>
          <w:b w:val="0"/>
          <w:szCs w:val="20"/>
          <w:lang w:val="sq-AL" w:eastAsia="el-GR"/>
        </w:rPr>
        <w:t xml:space="preserve"> rušenja</w:t>
      </w:r>
      <w:bookmarkEnd w:id="1302"/>
      <w:bookmarkEnd w:id="1303"/>
      <w:r w:rsidRPr="00222376">
        <w:rPr>
          <w:rFonts w:ascii="Arial" w:eastAsia="Times New Roman" w:hAnsi="Arial" w:cs="Arial"/>
          <w:b w:val="0"/>
          <w:szCs w:val="20"/>
          <w:lang w:val="sq-AL" w:eastAsia="el-GR"/>
        </w:rPr>
        <w:t xml:space="preserve"> </w:t>
      </w:r>
      <w:bookmarkEnd w:id="1304"/>
    </w:p>
    <w:tbl>
      <w:tblPr>
        <w:tblStyle w:val="denkstatt2"/>
        <w:tblW w:w="0" w:type="auto"/>
        <w:jc w:val="center"/>
        <w:tblLook w:val="04A0" w:firstRow="1" w:lastRow="0" w:firstColumn="1" w:lastColumn="0" w:noHBand="0" w:noVBand="1"/>
      </w:tblPr>
      <w:tblGrid>
        <w:gridCol w:w="5712"/>
        <w:gridCol w:w="1713"/>
        <w:gridCol w:w="1923"/>
      </w:tblGrid>
      <w:tr w:rsidR="009316F8" w:rsidRPr="00222376" w14:paraId="53E3BCF4" w14:textId="77777777" w:rsidTr="00FE289C">
        <w:trPr>
          <w:jc w:val="center"/>
        </w:trPr>
        <w:tc>
          <w:tcPr>
            <w:tcW w:w="5845" w:type="dxa"/>
            <w:shd w:val="clear" w:color="auto" w:fill="D9D9D9" w:themeFill="background1" w:themeFillShade="D9"/>
          </w:tcPr>
          <w:p w14:paraId="3643FB85" w14:textId="77777777" w:rsidR="009316F8" w:rsidRPr="00222376" w:rsidRDefault="009316F8" w:rsidP="00FE289C">
            <w:pPr>
              <w:widowControl w:val="0"/>
              <w:spacing w:after="120" w:line="276" w:lineRule="auto"/>
              <w:jc w:val="center"/>
              <w:rPr>
                <w:rFonts w:ascii="Arial" w:hAnsi="Arial" w:cs="Arial"/>
                <w:sz w:val="18"/>
              </w:rPr>
            </w:pPr>
            <w:r w:rsidRPr="00222376">
              <w:rPr>
                <w:rFonts w:ascii="Arial" w:hAnsi="Arial" w:cs="Arial"/>
                <w:b/>
                <w:bCs/>
                <w:sz w:val="18"/>
              </w:rPr>
              <w:t>Opis cilja</w:t>
            </w:r>
          </w:p>
        </w:tc>
        <w:tc>
          <w:tcPr>
            <w:tcW w:w="1744" w:type="dxa"/>
            <w:shd w:val="clear" w:color="auto" w:fill="D9D9D9" w:themeFill="background1" w:themeFillShade="D9"/>
          </w:tcPr>
          <w:p w14:paraId="6914E013" w14:textId="77777777" w:rsidR="009316F8" w:rsidRPr="00222376" w:rsidRDefault="009316F8" w:rsidP="00FE289C">
            <w:pPr>
              <w:widowControl w:val="0"/>
              <w:spacing w:after="120" w:line="276" w:lineRule="auto"/>
              <w:ind w:left="0"/>
              <w:rPr>
                <w:rFonts w:ascii="Arial" w:hAnsi="Arial" w:cs="Arial"/>
                <w:sz w:val="18"/>
              </w:rPr>
            </w:pPr>
            <w:r w:rsidRPr="00222376">
              <w:rPr>
                <w:rFonts w:ascii="Arial" w:hAnsi="Arial" w:cs="Arial"/>
                <w:b/>
                <w:bCs/>
                <w:sz w:val="18"/>
              </w:rPr>
              <w:t>Ciljna godina</w:t>
            </w:r>
          </w:p>
        </w:tc>
        <w:tc>
          <w:tcPr>
            <w:tcW w:w="1951" w:type="dxa"/>
            <w:shd w:val="clear" w:color="auto" w:fill="D9D9D9" w:themeFill="background1" w:themeFillShade="D9"/>
          </w:tcPr>
          <w:p w14:paraId="60E53309" w14:textId="77777777" w:rsidR="009316F8" w:rsidRPr="00222376" w:rsidRDefault="009316F8" w:rsidP="00FE289C">
            <w:pPr>
              <w:widowControl w:val="0"/>
              <w:spacing w:after="120" w:line="276" w:lineRule="auto"/>
              <w:ind w:left="0"/>
              <w:rPr>
                <w:rFonts w:ascii="Arial" w:hAnsi="Arial" w:cs="Arial"/>
                <w:sz w:val="18"/>
              </w:rPr>
            </w:pPr>
            <w:r w:rsidRPr="00222376">
              <w:rPr>
                <w:rFonts w:ascii="Arial" w:hAnsi="Arial" w:cs="Arial"/>
                <w:b/>
                <w:bCs/>
                <w:sz w:val="18"/>
              </w:rPr>
              <w:t>Izvor cilja</w:t>
            </w:r>
          </w:p>
        </w:tc>
      </w:tr>
      <w:tr w:rsidR="009316F8" w:rsidRPr="009D2384" w14:paraId="2A807B95" w14:textId="77777777" w:rsidTr="00FE289C">
        <w:trPr>
          <w:jc w:val="center"/>
        </w:trPr>
        <w:tc>
          <w:tcPr>
            <w:tcW w:w="5845" w:type="dxa"/>
          </w:tcPr>
          <w:p w14:paraId="62D4D0ED" w14:textId="4358F15C" w:rsidR="009316F8" w:rsidRPr="00222376" w:rsidRDefault="009316F8" w:rsidP="00FE289C">
            <w:pPr>
              <w:widowControl w:val="0"/>
              <w:spacing w:after="120" w:line="276" w:lineRule="auto"/>
              <w:ind w:left="0"/>
              <w:jc w:val="left"/>
              <w:rPr>
                <w:rFonts w:ascii="Arial" w:hAnsi="Arial" w:cs="Arial"/>
                <w:sz w:val="18"/>
              </w:rPr>
            </w:pPr>
            <w:r w:rsidRPr="00222376">
              <w:rPr>
                <w:rFonts w:ascii="Arial" w:hAnsi="Arial" w:cs="Arial"/>
                <w:sz w:val="18"/>
              </w:rPr>
              <w:t>Najmanje 70% mase sakupljenog neopasnog građevinskog otpada priprema se za ponovnu upotrebu i recikl</w:t>
            </w:r>
            <w:r w:rsidR="004B3D48">
              <w:rPr>
                <w:rFonts w:ascii="Arial" w:hAnsi="Arial" w:cs="Arial"/>
                <w:sz w:val="18"/>
              </w:rPr>
              <w:t>iranje</w:t>
            </w:r>
            <w:r w:rsidRPr="00222376">
              <w:rPr>
                <w:rFonts w:ascii="Arial" w:hAnsi="Arial" w:cs="Arial"/>
                <w:sz w:val="18"/>
              </w:rPr>
              <w:t xml:space="preserve"> i druge metode </w:t>
            </w:r>
            <w:r w:rsidR="004B3D48">
              <w:rPr>
                <w:rFonts w:ascii="Arial" w:hAnsi="Arial" w:cs="Arial"/>
                <w:sz w:val="18"/>
              </w:rPr>
              <w:t>prerade</w:t>
            </w:r>
          </w:p>
        </w:tc>
        <w:tc>
          <w:tcPr>
            <w:tcW w:w="1744" w:type="dxa"/>
          </w:tcPr>
          <w:p w14:paraId="196010B5" w14:textId="77777777" w:rsidR="009316F8" w:rsidRPr="00222376" w:rsidRDefault="009316F8" w:rsidP="00FE289C">
            <w:pPr>
              <w:widowControl w:val="0"/>
              <w:spacing w:after="120" w:line="276" w:lineRule="auto"/>
              <w:ind w:left="0"/>
              <w:rPr>
                <w:rFonts w:ascii="Arial" w:hAnsi="Arial" w:cs="Arial"/>
                <w:sz w:val="18"/>
              </w:rPr>
            </w:pPr>
            <w:r w:rsidRPr="00222376">
              <w:rPr>
                <w:rFonts w:ascii="Arial" w:hAnsi="Arial" w:cs="Arial"/>
                <w:sz w:val="18"/>
              </w:rPr>
              <w:t>2030</w:t>
            </w:r>
          </w:p>
        </w:tc>
        <w:tc>
          <w:tcPr>
            <w:tcW w:w="1951" w:type="dxa"/>
          </w:tcPr>
          <w:p w14:paraId="156DA5DB" w14:textId="0EF0ED9F" w:rsidR="009316F8" w:rsidRPr="009D2384" w:rsidRDefault="009D2384" w:rsidP="00FE289C">
            <w:pPr>
              <w:widowControl w:val="0"/>
              <w:spacing w:after="120" w:line="276" w:lineRule="auto"/>
              <w:ind w:left="0"/>
              <w:jc w:val="left"/>
              <w:rPr>
                <w:rFonts w:ascii="Arial" w:hAnsi="Arial" w:cs="Arial"/>
                <w:sz w:val="18"/>
              </w:rPr>
            </w:pPr>
            <w:r w:rsidRPr="009D2384">
              <w:rPr>
                <w:rFonts w:ascii="Arial" w:hAnsi="Arial" w:cs="Arial"/>
                <w:sz w:val="18"/>
              </w:rPr>
              <w:t>Prema čl. 21 Zakona o upravljanju</w:t>
            </w:r>
            <w:r>
              <w:rPr>
                <w:rFonts w:ascii="Arial" w:hAnsi="Arial" w:cs="Arial"/>
                <w:sz w:val="18"/>
              </w:rPr>
              <w:t xml:space="preserve"> otpadom</w:t>
            </w:r>
          </w:p>
        </w:tc>
      </w:tr>
    </w:tbl>
    <w:p w14:paraId="1E11BF60" w14:textId="77777777" w:rsidR="009316F8" w:rsidRPr="002A6F4E" w:rsidRDefault="009316F8" w:rsidP="009316F8">
      <w:pPr>
        <w:spacing w:after="120" w:line="360" w:lineRule="auto"/>
        <w:rPr>
          <w:rFonts w:ascii="Arial" w:hAnsi="Arial" w:cs="Arial"/>
          <w:lang w:val="sq-AL"/>
        </w:rPr>
      </w:pPr>
    </w:p>
    <w:p w14:paraId="29E77ADA" w14:textId="430FB7CB" w:rsidR="009316F8" w:rsidRPr="002A6F4E" w:rsidRDefault="009316F8" w:rsidP="009316F8">
      <w:pPr>
        <w:spacing w:after="120" w:line="360" w:lineRule="auto"/>
        <w:rPr>
          <w:rFonts w:ascii="Arial" w:hAnsi="Arial" w:cs="Arial"/>
          <w:lang w:val="sq-AL"/>
        </w:rPr>
      </w:pPr>
      <w:r w:rsidRPr="002A6F4E">
        <w:rPr>
          <w:rFonts w:ascii="Arial" w:hAnsi="Arial" w:cs="Arial"/>
          <w:lang w:val="sq-AL"/>
        </w:rPr>
        <w:t>Pored toga, postavljeni su sljedeći ciljevi za upravljanje građevinskim otpadom i otpadom od rušenja:</w:t>
      </w:r>
    </w:p>
    <w:p w14:paraId="3060C0C8" w14:textId="46302279"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 xml:space="preserve">Podržati </w:t>
      </w:r>
      <w:r w:rsidR="004B3D48">
        <w:rPr>
          <w:rFonts w:ascii="Arial" w:hAnsi="Arial" w:cs="Arial"/>
          <w:lang w:val="sq-AL"/>
        </w:rPr>
        <w:t xml:space="preserve">uspostavljanje </w:t>
      </w:r>
      <w:r w:rsidRPr="002A6F4E">
        <w:rPr>
          <w:rFonts w:ascii="Arial" w:hAnsi="Arial" w:cs="Arial"/>
          <w:lang w:val="sq-AL"/>
        </w:rPr>
        <w:t xml:space="preserve"> sistema odgovornosti proizvođača za građevinski otpad i otpad od rušenja.</w:t>
      </w:r>
    </w:p>
    <w:p w14:paraId="0AD08C5B" w14:textId="6F75AA2B"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Odvojeno sakupljanje kontaminiranog i nekontaminiranog građevinskog otpada i otpada od rušenja.</w:t>
      </w:r>
    </w:p>
    <w:p w14:paraId="7DA52E69" w14:textId="640A45CB"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lastRenderedPageBreak/>
        <w:t xml:space="preserve">Odvojeno sakupljanje građevinskog otpada, na osnovu materijala, odnosno drveta, mineralnih frakcija (beton, cigle, pločice, keramika i kamen), prema čl. 67 Zakona o upravljanju otpadom. </w:t>
      </w:r>
    </w:p>
    <w:p w14:paraId="44F26A8E" w14:textId="77777777"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Promovisati odvajanja materijala na gradilištu.</w:t>
      </w:r>
    </w:p>
    <w:p w14:paraId="22EE9F88" w14:textId="77777777"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Zahtijevati odvojeno sakupljanje otpada od iskopa, koji je isključen iz postavljenih ciljeva, kao i viška betona nastalog tokom građevinskih radova.</w:t>
      </w:r>
    </w:p>
    <w:p w14:paraId="376AE4FF" w14:textId="77777777"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Odvojeno upravljanje otpadom od rušenja starih zgrada koji sadrži azbest.</w:t>
      </w:r>
    </w:p>
    <w:p w14:paraId="1ADFD425" w14:textId="047ECE9F" w:rsidR="009316F8" w:rsidRPr="002A6F4E" w:rsidRDefault="004B3D48" w:rsidP="00A23ED0">
      <w:pPr>
        <w:pStyle w:val="ListParagraph"/>
        <w:numPr>
          <w:ilvl w:val="0"/>
          <w:numId w:val="72"/>
        </w:numPr>
        <w:spacing w:after="120" w:line="360" w:lineRule="auto"/>
        <w:ind w:left="720" w:hanging="450"/>
        <w:contextualSpacing w:val="0"/>
        <w:rPr>
          <w:rFonts w:ascii="Arial" w:hAnsi="Arial" w:cs="Arial"/>
          <w:lang w:val="sq-AL"/>
        </w:rPr>
      </w:pPr>
      <w:r>
        <w:rPr>
          <w:rFonts w:ascii="Arial" w:hAnsi="Arial" w:cs="Arial"/>
          <w:lang w:val="sq-AL"/>
        </w:rPr>
        <w:t>Obrada</w:t>
      </w:r>
      <w:r w:rsidRPr="002A6F4E">
        <w:rPr>
          <w:rFonts w:ascii="Arial" w:hAnsi="Arial" w:cs="Arial"/>
          <w:lang w:val="sq-AL"/>
        </w:rPr>
        <w:t xml:space="preserve"> </w:t>
      </w:r>
      <w:r w:rsidR="009316F8" w:rsidRPr="002A6F4E">
        <w:rPr>
          <w:rFonts w:ascii="Arial" w:hAnsi="Arial" w:cs="Arial"/>
          <w:lang w:val="sq-AL"/>
        </w:rPr>
        <w:t xml:space="preserve">kontaminiranog građevinskog otpada i otpada od rušenja u cilju povrata materijala ili odlaganja.Razvoj mreže odgovarajućih objekata za </w:t>
      </w:r>
      <w:r>
        <w:rPr>
          <w:rFonts w:ascii="Arial" w:hAnsi="Arial" w:cs="Arial"/>
          <w:lang w:val="sq-AL"/>
        </w:rPr>
        <w:t>obradu</w:t>
      </w:r>
      <w:r w:rsidR="009316F8" w:rsidRPr="002A6F4E">
        <w:rPr>
          <w:rFonts w:ascii="Arial" w:hAnsi="Arial" w:cs="Arial"/>
          <w:lang w:val="sq-AL"/>
        </w:rPr>
        <w:t xml:space="preserve"> (mogućnost finansiranja od strane Eko fonda).</w:t>
      </w:r>
    </w:p>
    <w:p w14:paraId="17DA4A30" w14:textId="6BE1EFBF"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Podrška razvoju tržišta za sekundarne materijale iz građevinskog otpada i otpada od rušenja.</w:t>
      </w:r>
    </w:p>
    <w:p w14:paraId="2C5CD680" w14:textId="0FC96170"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Predloženi su sljedeći tehnološki elementi za upravljanje građevinskim otpadom, takođe u skladu sa odredbama Pravilnika o postupanju sa građevinskim otpadom, načinu i postupku prerade građevinskog otpada, uslovima i načinu odlaganja cement</w:t>
      </w:r>
      <w:r w:rsidR="004B3D48">
        <w:rPr>
          <w:rFonts w:ascii="Arial" w:hAnsi="Arial" w:cs="Arial"/>
          <w:lang w:val="sq-AL"/>
        </w:rPr>
        <w:t xml:space="preserve"> </w:t>
      </w:r>
      <w:r w:rsidR="00EA3C78">
        <w:rPr>
          <w:rFonts w:ascii="Arial" w:hAnsi="Arial" w:cs="Arial"/>
          <w:lang w:val="sq-AL"/>
        </w:rPr>
        <w:t>-</w:t>
      </w:r>
      <w:r w:rsidR="004B3D48">
        <w:rPr>
          <w:rFonts w:ascii="Arial" w:hAnsi="Arial" w:cs="Arial"/>
          <w:lang w:val="sq-AL"/>
        </w:rPr>
        <w:t xml:space="preserve"> </w:t>
      </w:r>
      <w:r w:rsidRPr="002A6F4E">
        <w:rPr>
          <w:rFonts w:ascii="Arial" w:hAnsi="Arial" w:cs="Arial"/>
          <w:lang w:val="sq-AL"/>
        </w:rPr>
        <w:t>azbestnog građevinskog otpada  („Službeni list Crne Gore“, br. 50/12)“.</w:t>
      </w:r>
    </w:p>
    <w:p w14:paraId="009DB5C9" w14:textId="3BABB797"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Aktivnosti recikl</w:t>
      </w:r>
      <w:r w:rsidR="004B3D48">
        <w:rPr>
          <w:rFonts w:ascii="Arial" w:hAnsi="Arial" w:cs="Arial"/>
          <w:lang w:val="sq-AL"/>
        </w:rPr>
        <w:t>iranje</w:t>
      </w:r>
      <w:r w:rsidRPr="002A6F4E">
        <w:rPr>
          <w:rFonts w:ascii="Arial" w:hAnsi="Arial" w:cs="Arial"/>
          <w:lang w:val="sq-AL"/>
        </w:rPr>
        <w:t xml:space="preserve"> i povrata inertnog mineralnog otpada su veoma važne jer čine najveću frakciju u toku građevinskog otpada i otpada od rušenja. Upotreba ovog materijala uključuje:</w:t>
      </w:r>
    </w:p>
    <w:p w14:paraId="3D5385DC" w14:textId="30CF3E69"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Zamjen</w:t>
      </w:r>
      <w:r w:rsidR="00281B6B">
        <w:rPr>
          <w:rFonts w:ascii="Arial" w:hAnsi="Arial" w:cs="Arial"/>
          <w:lang w:val="sq-AL"/>
        </w:rPr>
        <w:t>u</w:t>
      </w:r>
      <w:r w:rsidRPr="002A6F4E">
        <w:rPr>
          <w:rFonts w:ascii="Arial" w:hAnsi="Arial" w:cs="Arial"/>
          <w:lang w:val="sq-AL"/>
        </w:rPr>
        <w:t xml:space="preserve"> sirovog inertnog materijala za proizvodnju betona;</w:t>
      </w:r>
    </w:p>
    <w:p w14:paraId="48431859" w14:textId="45EE9E37"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Upotreb</w:t>
      </w:r>
      <w:r w:rsidR="00281B6B">
        <w:rPr>
          <w:rFonts w:ascii="Arial" w:hAnsi="Arial" w:cs="Arial"/>
          <w:lang w:val="sq-AL"/>
        </w:rPr>
        <w:t>u</w:t>
      </w:r>
      <w:r w:rsidRPr="002A6F4E">
        <w:rPr>
          <w:rFonts w:ascii="Arial" w:hAnsi="Arial" w:cs="Arial"/>
          <w:lang w:val="sq-AL"/>
        </w:rPr>
        <w:t xml:space="preserve"> kao osnovni materijal u putnim i opštim građevinskim radovima;</w:t>
      </w:r>
    </w:p>
    <w:p w14:paraId="5109E1F4" w14:textId="233AF68E"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Upotreb</w:t>
      </w:r>
      <w:r w:rsidR="00281B6B">
        <w:rPr>
          <w:rFonts w:ascii="Arial" w:hAnsi="Arial" w:cs="Arial"/>
          <w:lang w:val="sq-AL"/>
        </w:rPr>
        <w:t>u</w:t>
      </w:r>
      <w:r w:rsidRPr="002A6F4E">
        <w:rPr>
          <w:rFonts w:ascii="Arial" w:hAnsi="Arial" w:cs="Arial"/>
          <w:lang w:val="sq-AL"/>
        </w:rPr>
        <w:t xml:space="preserve"> kao alternativn</w:t>
      </w:r>
      <w:r w:rsidR="00281B6B">
        <w:rPr>
          <w:rFonts w:ascii="Arial" w:hAnsi="Arial" w:cs="Arial"/>
          <w:lang w:val="sq-AL"/>
        </w:rPr>
        <w:t>u</w:t>
      </w:r>
      <w:r w:rsidRPr="002A6F4E">
        <w:rPr>
          <w:rFonts w:ascii="Arial" w:hAnsi="Arial" w:cs="Arial"/>
          <w:lang w:val="sq-AL"/>
        </w:rPr>
        <w:t xml:space="preserve"> sirovin</w:t>
      </w:r>
      <w:r w:rsidR="00281B6B">
        <w:rPr>
          <w:rFonts w:ascii="Arial" w:hAnsi="Arial" w:cs="Arial"/>
          <w:lang w:val="sq-AL"/>
        </w:rPr>
        <w:t>u</w:t>
      </w:r>
      <w:r w:rsidRPr="002A6F4E">
        <w:rPr>
          <w:rFonts w:ascii="Arial" w:hAnsi="Arial" w:cs="Arial"/>
          <w:lang w:val="sq-AL"/>
        </w:rPr>
        <w:t xml:space="preserve"> u industriji cementa, industriji pločica i keramike, i sl.;</w:t>
      </w:r>
    </w:p>
    <w:p w14:paraId="032E1C65" w14:textId="352DD67B"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Sanacij</w:t>
      </w:r>
      <w:r w:rsidR="00281B6B">
        <w:rPr>
          <w:rFonts w:ascii="Arial" w:hAnsi="Arial" w:cs="Arial"/>
          <w:lang w:val="sq-AL"/>
        </w:rPr>
        <w:t>u</w:t>
      </w:r>
      <w:r w:rsidRPr="002A6F4E">
        <w:rPr>
          <w:rFonts w:ascii="Arial" w:hAnsi="Arial" w:cs="Arial"/>
          <w:lang w:val="sq-AL"/>
        </w:rPr>
        <w:t xml:space="preserve"> kamenoloma i odlagališta.</w:t>
      </w:r>
    </w:p>
    <w:p w14:paraId="70062479" w14:textId="7E17BFC5" w:rsidR="007C6905" w:rsidRPr="0006539F" w:rsidRDefault="009316F8" w:rsidP="009316F8">
      <w:pPr>
        <w:widowControl w:val="0"/>
        <w:spacing w:before="120" w:after="120" w:line="360" w:lineRule="auto"/>
        <w:rPr>
          <w:rFonts w:ascii="Arial" w:hAnsi="Arial" w:cs="Arial"/>
          <w:lang w:val="sq-AL"/>
        </w:rPr>
      </w:pPr>
      <w:r w:rsidRPr="002A6F4E">
        <w:rPr>
          <w:rFonts w:ascii="Arial" w:hAnsi="Arial" w:cs="Arial"/>
          <w:lang w:val="sq-AL"/>
        </w:rPr>
        <w:t>Osim inertne frakcije, građevinski otpad i otpad od rušenja uključuje značajne količine metala, drveta, stakla i plastike koje treba reciklirati ili koristiti za povrat energ</w:t>
      </w:r>
      <w:r w:rsidR="0006539F">
        <w:rPr>
          <w:rFonts w:ascii="Arial" w:hAnsi="Arial" w:cs="Arial"/>
          <w:lang w:val="sq-AL"/>
        </w:rPr>
        <w:t>ije (uglavnom drvo i plastika).</w:t>
      </w:r>
    </w:p>
    <w:p w14:paraId="034723A3" w14:textId="230ACA78" w:rsidR="009316F8" w:rsidRPr="002A6F4E" w:rsidRDefault="009316F8" w:rsidP="009316F8">
      <w:pPr>
        <w:widowControl w:val="0"/>
        <w:spacing w:before="120" w:after="120" w:line="360" w:lineRule="auto"/>
        <w:rPr>
          <w:rFonts w:ascii="Arial" w:hAnsi="Arial" w:cs="Arial"/>
          <w:b/>
          <w:bCs/>
          <w:u w:val="single"/>
          <w:lang w:val="sq-AL"/>
        </w:rPr>
      </w:pPr>
      <w:r w:rsidRPr="002A6F4E">
        <w:rPr>
          <w:rFonts w:ascii="Arial" w:hAnsi="Arial" w:cs="Arial"/>
          <w:b/>
          <w:bCs/>
          <w:u w:val="single"/>
          <w:lang w:val="sq-AL"/>
        </w:rPr>
        <w:t>Sakupljanje i transport</w:t>
      </w:r>
    </w:p>
    <w:p w14:paraId="5B2ED1FF" w14:textId="0987D525"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 xml:space="preserve">Proizvođači građevinskog otpada i otpada od rušenja biće odgovorni za organizaciju sistema za odvajanje, sakupljanje, </w:t>
      </w:r>
      <w:r w:rsidR="0008523F">
        <w:rPr>
          <w:rFonts w:ascii="Arial" w:hAnsi="Arial" w:cs="Arial"/>
          <w:lang w:val="sq-AL"/>
        </w:rPr>
        <w:t>obrade</w:t>
      </w:r>
      <w:r w:rsidRPr="002A6F4E">
        <w:rPr>
          <w:rFonts w:ascii="Arial" w:hAnsi="Arial" w:cs="Arial"/>
          <w:lang w:val="sq-AL"/>
        </w:rPr>
        <w:t xml:space="preserve"> ov</w:t>
      </w:r>
      <w:r w:rsidR="0008523F">
        <w:rPr>
          <w:rFonts w:ascii="Arial" w:hAnsi="Arial" w:cs="Arial"/>
          <w:lang w:val="sq-AL"/>
        </w:rPr>
        <w:t>e vrste</w:t>
      </w:r>
      <w:r w:rsidRPr="002A6F4E">
        <w:rPr>
          <w:rFonts w:ascii="Arial" w:hAnsi="Arial" w:cs="Arial"/>
          <w:lang w:val="sq-AL"/>
        </w:rPr>
        <w:t xml:space="preserve"> otpada. O</w:t>
      </w:r>
      <w:r w:rsidR="0008523F">
        <w:rPr>
          <w:rFonts w:ascii="Arial" w:hAnsi="Arial" w:cs="Arial"/>
          <w:lang w:val="sq-AL"/>
        </w:rPr>
        <w:t>vi proizvođači</w:t>
      </w:r>
      <w:r w:rsidRPr="002A6F4E">
        <w:rPr>
          <w:rFonts w:ascii="Arial" w:hAnsi="Arial" w:cs="Arial"/>
          <w:lang w:val="sq-AL"/>
        </w:rPr>
        <w:t xml:space="preserve"> će takođe biti odgovorni za odvajanje materijala u okviru gradilišta kako bi se olakšao postupak povrata materijala i recikl</w:t>
      </w:r>
      <w:r w:rsidR="0008523F">
        <w:rPr>
          <w:rFonts w:ascii="Arial" w:hAnsi="Arial" w:cs="Arial"/>
          <w:lang w:val="sq-AL"/>
        </w:rPr>
        <w:t>iranja</w:t>
      </w:r>
      <w:r w:rsidRPr="002A6F4E">
        <w:rPr>
          <w:rFonts w:ascii="Arial" w:hAnsi="Arial" w:cs="Arial"/>
          <w:lang w:val="sq-AL"/>
        </w:rPr>
        <w:t>. Pored toga, aktivnosti rušenja treba da se zasnivaju na selektivnom rušenju kako se ne bi kontaminirali materijali koji se potencijalno mogu reciklirati.</w:t>
      </w:r>
    </w:p>
    <w:p w14:paraId="2E3AFCCE" w14:textId="5295E6F1"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Aktivnosti rušenja starijih objekata koji sadrže azbest treba da obavlja specijalizovano osoblje, opremljeno potrebnim zaštitnim mjerama koje sprečavaju disperziju čestica azbesta u životnu sredinu. Sakupljanje materijala koji sadrži azbest vršiće se u posebn</w:t>
      </w:r>
      <w:r w:rsidR="00EA3C78">
        <w:rPr>
          <w:rFonts w:ascii="Arial" w:hAnsi="Arial" w:cs="Arial"/>
          <w:lang w:val="sq-AL"/>
        </w:rPr>
        <w:t>im</w:t>
      </w:r>
      <w:r w:rsidRPr="002A6F4E">
        <w:rPr>
          <w:rFonts w:ascii="Arial" w:hAnsi="Arial" w:cs="Arial"/>
          <w:lang w:val="sq-AL"/>
        </w:rPr>
        <w:t xml:space="preserve"> kes</w:t>
      </w:r>
      <w:r w:rsidR="00EA3C78">
        <w:rPr>
          <w:rFonts w:ascii="Arial" w:hAnsi="Arial" w:cs="Arial"/>
          <w:lang w:val="sq-AL"/>
        </w:rPr>
        <w:t>ama</w:t>
      </w:r>
      <w:r w:rsidRPr="002A6F4E">
        <w:rPr>
          <w:rFonts w:ascii="Arial" w:hAnsi="Arial" w:cs="Arial"/>
          <w:lang w:val="sq-AL"/>
        </w:rPr>
        <w:t xml:space="preserve">, </w:t>
      </w:r>
      <w:r w:rsidR="005C4A0C">
        <w:rPr>
          <w:rFonts w:ascii="Arial" w:hAnsi="Arial" w:cs="Arial"/>
          <w:lang w:val="sq-AL"/>
        </w:rPr>
        <w:t>posuda</w:t>
      </w:r>
      <w:r w:rsidR="00EA3C78">
        <w:rPr>
          <w:rFonts w:ascii="Arial" w:hAnsi="Arial" w:cs="Arial"/>
          <w:lang w:val="sq-AL"/>
        </w:rPr>
        <w:t>ma</w:t>
      </w:r>
      <w:r w:rsidRPr="002A6F4E">
        <w:rPr>
          <w:rFonts w:ascii="Arial" w:hAnsi="Arial" w:cs="Arial"/>
          <w:lang w:val="sq-AL"/>
        </w:rPr>
        <w:t xml:space="preserve"> i kontejner</w:t>
      </w:r>
      <w:r w:rsidR="00EA3C78">
        <w:rPr>
          <w:rFonts w:ascii="Arial" w:hAnsi="Arial" w:cs="Arial"/>
          <w:lang w:val="sq-AL"/>
        </w:rPr>
        <w:t>ima</w:t>
      </w:r>
      <w:r w:rsidRPr="002A6F4E">
        <w:rPr>
          <w:rFonts w:ascii="Arial" w:hAnsi="Arial" w:cs="Arial"/>
          <w:lang w:val="sq-AL"/>
        </w:rPr>
        <w:t>, umotane gdje je to moguće u folije visoke gustine polietilena.</w:t>
      </w:r>
    </w:p>
    <w:p w14:paraId="28013B29" w14:textId="77777777"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lastRenderedPageBreak/>
        <w:t>Sakupljanje bi trebalo da se vrši u posebnim kontejnerima na gradilištima i/ili u namjenskim prostorima koja se koriste kao mjesta za odlaganje otpada na opštinskom nivou koje će organizovati bilo privatni sektor ili lokalna samouprava. Gradilišta ili mjesta za odlaganje otpada mogu biti opremljeni mašinama za odvajanje vrijednih materijala i drobilicom za proizvodnju osnovnog sloja koji će se prodati u građevinske svrhe ili uskladištiti i poslati krajnjem primaocu.</w:t>
      </w:r>
    </w:p>
    <w:p w14:paraId="524762F1" w14:textId="270E0AC6" w:rsidR="009316F8" w:rsidRPr="002A6F4E" w:rsidRDefault="009316F8" w:rsidP="009316F8">
      <w:pPr>
        <w:widowControl w:val="0"/>
        <w:spacing w:before="120" w:after="120" w:line="360" w:lineRule="auto"/>
        <w:rPr>
          <w:rFonts w:ascii="Arial" w:hAnsi="Arial" w:cs="Arial"/>
          <w:b/>
          <w:bCs/>
          <w:u w:val="single"/>
          <w:lang w:val="sq-AL"/>
        </w:rPr>
      </w:pPr>
      <w:r w:rsidRPr="002A6F4E">
        <w:rPr>
          <w:rFonts w:ascii="Arial" w:hAnsi="Arial" w:cs="Arial"/>
          <w:b/>
          <w:bCs/>
          <w:u w:val="single"/>
          <w:lang w:val="sq-AL"/>
        </w:rPr>
        <w:t xml:space="preserve">Povrat materijala </w:t>
      </w:r>
      <w:r w:rsidR="00AE7792">
        <w:rPr>
          <w:rFonts w:ascii="Arial" w:hAnsi="Arial" w:cs="Arial"/>
          <w:b/>
          <w:bCs/>
          <w:u w:val="single"/>
          <w:lang w:val="sq-AL"/>
        </w:rPr>
        <w:t>i p</w:t>
      </w:r>
      <w:r w:rsidR="00B128DA">
        <w:rPr>
          <w:rFonts w:ascii="Arial" w:hAnsi="Arial" w:cs="Arial"/>
          <w:b/>
          <w:bCs/>
          <w:u w:val="single"/>
          <w:lang w:val="sq-AL"/>
        </w:rPr>
        <w:t>rerada</w:t>
      </w:r>
    </w:p>
    <w:p w14:paraId="17ABA998" w14:textId="43E6B8F9"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Aktivnosti povrata materijala</w:t>
      </w:r>
      <w:r w:rsidR="00B128DA">
        <w:rPr>
          <w:rFonts w:ascii="Arial" w:hAnsi="Arial" w:cs="Arial"/>
          <w:lang w:val="sq-AL"/>
        </w:rPr>
        <w:t xml:space="preserve"> i pre</w:t>
      </w:r>
      <w:r w:rsidR="00281B6B">
        <w:rPr>
          <w:rFonts w:ascii="Arial" w:hAnsi="Arial" w:cs="Arial"/>
          <w:lang w:val="sq-AL"/>
        </w:rPr>
        <w:t>rade</w:t>
      </w:r>
      <w:r w:rsidRPr="002A6F4E">
        <w:rPr>
          <w:rFonts w:ascii="Arial" w:hAnsi="Arial" w:cs="Arial"/>
          <w:lang w:val="sq-AL"/>
        </w:rPr>
        <w:t xml:space="preserve"> odvijaće se u mreži objekata koju su razvili proizvođači</w:t>
      </w:r>
      <w:r w:rsidR="00B128DA">
        <w:rPr>
          <w:rFonts w:ascii="Arial" w:hAnsi="Arial" w:cs="Arial"/>
          <w:lang w:val="sq-AL"/>
        </w:rPr>
        <w:t xml:space="preserve"> </w:t>
      </w:r>
      <w:r w:rsidRPr="002A6F4E">
        <w:rPr>
          <w:rFonts w:ascii="Arial" w:hAnsi="Arial" w:cs="Arial"/>
          <w:lang w:val="sq-AL"/>
        </w:rPr>
        <w:t>ili drugi subjekti</w:t>
      </w:r>
      <w:r w:rsidR="00B128DA">
        <w:rPr>
          <w:rFonts w:ascii="Arial" w:hAnsi="Arial" w:cs="Arial"/>
          <w:lang w:val="sq-AL"/>
        </w:rPr>
        <w:t xml:space="preserve">. </w:t>
      </w:r>
      <w:r w:rsidRPr="002A6F4E">
        <w:rPr>
          <w:rFonts w:ascii="Arial" w:hAnsi="Arial" w:cs="Arial"/>
          <w:lang w:val="sq-AL"/>
        </w:rPr>
        <w:t>Aktivnosti uključuju drobljenje, dekontaminacij</w:t>
      </w:r>
      <w:r w:rsidR="00B128DA">
        <w:rPr>
          <w:rFonts w:ascii="Arial" w:hAnsi="Arial" w:cs="Arial"/>
          <w:lang w:val="sq-AL"/>
        </w:rPr>
        <w:t>u</w:t>
      </w:r>
      <w:r w:rsidRPr="002A6F4E">
        <w:rPr>
          <w:rFonts w:ascii="Arial" w:hAnsi="Arial" w:cs="Arial"/>
          <w:lang w:val="sq-AL"/>
        </w:rPr>
        <w:t xml:space="preserve"> mehaničkom separacijom i povrat energije (za plastiku i drvo, gdje je primjenljivo i za materijal koji se ne može reciklirati). Mreža će biti dopunjena krajnjim korisnicima obnovljenog materijala, kao što su:</w:t>
      </w:r>
    </w:p>
    <w:p w14:paraId="2F95F13B" w14:textId="5BC99220"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Preduzeća za recikl</w:t>
      </w:r>
      <w:r w:rsidR="00266868">
        <w:rPr>
          <w:rFonts w:ascii="Arial" w:hAnsi="Arial" w:cs="Arial"/>
          <w:lang w:val="sq-AL"/>
        </w:rPr>
        <w:t>iranje</w:t>
      </w:r>
      <w:r w:rsidRPr="002A6F4E">
        <w:rPr>
          <w:rFonts w:ascii="Arial" w:hAnsi="Arial" w:cs="Arial"/>
          <w:lang w:val="sq-AL"/>
        </w:rPr>
        <w:t xml:space="preserve"> plastike, metala, stakla, papira i drveta;</w:t>
      </w:r>
    </w:p>
    <w:p w14:paraId="26542313" w14:textId="77777777"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Industrijska postrojenja za proizvodnju betona (zamjena sirovina);</w:t>
      </w:r>
    </w:p>
    <w:p w14:paraId="04D2640D" w14:textId="5EF7C903"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Industrijska postrojenja za recikl</w:t>
      </w:r>
      <w:r w:rsidR="00266868">
        <w:rPr>
          <w:rFonts w:ascii="Arial" w:hAnsi="Arial" w:cs="Arial"/>
          <w:lang w:val="sq-AL"/>
        </w:rPr>
        <w:t>iranje</w:t>
      </w:r>
      <w:r w:rsidRPr="002A6F4E">
        <w:rPr>
          <w:rFonts w:ascii="Arial" w:hAnsi="Arial" w:cs="Arial"/>
          <w:lang w:val="sq-AL"/>
        </w:rPr>
        <w:t xml:space="preserve"> inertnog mineralnog otpada kao sirovine ili korišćenje za povrat energije iz plastike i drveta;</w:t>
      </w:r>
    </w:p>
    <w:p w14:paraId="1654F987" w14:textId="77777777"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Građevinska preduzeća;</w:t>
      </w:r>
    </w:p>
    <w:p w14:paraId="54F5695D" w14:textId="62E76DCD"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Sanacije odlagališta i kamenoloma.</w:t>
      </w:r>
    </w:p>
    <w:p w14:paraId="65D7ECE6" w14:textId="77777777" w:rsidR="009316F8" w:rsidRPr="002A6F4E" w:rsidRDefault="009316F8" w:rsidP="009316F8">
      <w:pPr>
        <w:widowControl w:val="0"/>
        <w:spacing w:before="120" w:after="120" w:line="360" w:lineRule="auto"/>
        <w:rPr>
          <w:rFonts w:ascii="Arial" w:hAnsi="Arial" w:cs="Arial"/>
          <w:b/>
          <w:bCs/>
          <w:u w:val="single"/>
          <w:lang w:val="sq-AL"/>
        </w:rPr>
      </w:pPr>
      <w:r w:rsidRPr="002A6F4E">
        <w:rPr>
          <w:rFonts w:ascii="Arial" w:hAnsi="Arial" w:cs="Arial"/>
          <w:b/>
          <w:bCs/>
          <w:u w:val="single"/>
          <w:lang w:val="sq-AL"/>
        </w:rPr>
        <w:t>Odlaganje</w:t>
      </w:r>
    </w:p>
    <w:p w14:paraId="27A824C6" w14:textId="77777777"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Odlaganje se odnosi isključivo na inertne ostatke koji se ne mogu reciklirati ili iskoristiti. Mrežu odlagališta će razvijati proizvođači u saradnji sa lokalnim jedinicama samouprave.</w:t>
      </w:r>
    </w:p>
    <w:p w14:paraId="78978503" w14:textId="15DFB668" w:rsidR="009316F8" w:rsidRPr="002A6F4E" w:rsidRDefault="009316F8" w:rsidP="00F57909">
      <w:pPr>
        <w:pStyle w:val="Heading2"/>
      </w:pPr>
      <w:bookmarkStart w:id="1305" w:name="_Toc189759736"/>
      <w:bookmarkStart w:id="1306" w:name="_Toc193354060"/>
      <w:r w:rsidRPr="002A6F4E">
        <w:t>6.</w:t>
      </w:r>
      <w:r w:rsidR="008E7CAD" w:rsidRPr="002A6F4E">
        <w:t>2</w:t>
      </w:r>
      <w:r w:rsidRPr="002A6F4E">
        <w:t>. Otpad od električnih i elektronskih proizvoda</w:t>
      </w:r>
      <w:bookmarkStart w:id="1307" w:name="_Toc132556509"/>
      <w:bookmarkStart w:id="1308" w:name="_Toc132557369"/>
      <w:bookmarkStart w:id="1309" w:name="_Toc132726562"/>
      <w:bookmarkStart w:id="1310" w:name="_Toc132554764"/>
      <w:bookmarkStart w:id="1311" w:name="_Toc132551730"/>
      <w:bookmarkStart w:id="1312" w:name="_Toc132625480"/>
      <w:bookmarkStart w:id="1313" w:name="_Toc132733933"/>
      <w:bookmarkStart w:id="1314" w:name="_Toc189759737"/>
      <w:bookmarkEnd w:id="1305"/>
      <w:bookmarkEnd w:id="1307"/>
      <w:bookmarkEnd w:id="1308"/>
      <w:bookmarkEnd w:id="1309"/>
      <w:bookmarkEnd w:id="1310"/>
      <w:bookmarkEnd w:id="1311"/>
      <w:bookmarkEnd w:id="1312"/>
      <w:bookmarkEnd w:id="1313"/>
      <w:r w:rsidRPr="002A6F4E">
        <w:t xml:space="preserve"> - Ciljevi i zadaci</w:t>
      </w:r>
      <w:bookmarkEnd w:id="1306"/>
      <w:bookmarkEnd w:id="1314"/>
      <w:r w:rsidRPr="002A6F4E">
        <w:t xml:space="preserve"> </w:t>
      </w:r>
    </w:p>
    <w:p w14:paraId="67D6B00F" w14:textId="77777777" w:rsidR="009316F8" w:rsidRDefault="009316F8" w:rsidP="009316F8">
      <w:pPr>
        <w:spacing w:after="120" w:line="360" w:lineRule="auto"/>
        <w:rPr>
          <w:rFonts w:ascii="Arial" w:hAnsi="Arial" w:cs="Arial"/>
          <w:lang w:val="sq-AL"/>
        </w:rPr>
      </w:pPr>
      <w:r w:rsidRPr="002A6F4E">
        <w:rPr>
          <w:rFonts w:ascii="Arial" w:hAnsi="Arial" w:cs="Arial"/>
          <w:lang w:val="sq-AL"/>
        </w:rPr>
        <w:t>U narednoj tabeli prikazani su  glavni ciljevi koji proizilaze iz nacionalnih zakonskih odredbi.</w:t>
      </w:r>
    </w:p>
    <w:p w14:paraId="30C85344" w14:textId="77777777" w:rsidR="00D37D42" w:rsidRDefault="00D37D42" w:rsidP="009316F8">
      <w:pPr>
        <w:spacing w:after="120" w:line="360" w:lineRule="auto"/>
        <w:rPr>
          <w:rFonts w:ascii="Arial" w:hAnsi="Arial" w:cs="Arial"/>
          <w:lang w:val="sq-AL"/>
        </w:rPr>
      </w:pPr>
    </w:p>
    <w:p w14:paraId="71022258" w14:textId="77777777" w:rsidR="00D37D42" w:rsidRDefault="00D37D42" w:rsidP="009316F8">
      <w:pPr>
        <w:spacing w:after="120" w:line="360" w:lineRule="auto"/>
        <w:rPr>
          <w:rFonts w:ascii="Arial" w:hAnsi="Arial" w:cs="Arial"/>
          <w:lang w:val="sq-AL"/>
        </w:rPr>
      </w:pPr>
    </w:p>
    <w:p w14:paraId="79EC85AC" w14:textId="77777777" w:rsidR="00D37D42" w:rsidRDefault="00D37D42" w:rsidP="009316F8">
      <w:pPr>
        <w:spacing w:after="120" w:line="360" w:lineRule="auto"/>
        <w:rPr>
          <w:rFonts w:ascii="Arial" w:hAnsi="Arial" w:cs="Arial"/>
          <w:lang w:val="sq-AL"/>
        </w:rPr>
      </w:pPr>
    </w:p>
    <w:p w14:paraId="01D1137F" w14:textId="77777777" w:rsidR="00D37D42" w:rsidRDefault="00D37D42" w:rsidP="009316F8">
      <w:pPr>
        <w:spacing w:after="120" w:line="360" w:lineRule="auto"/>
        <w:rPr>
          <w:rFonts w:ascii="Arial" w:hAnsi="Arial" w:cs="Arial"/>
          <w:lang w:val="sq-AL"/>
        </w:rPr>
      </w:pPr>
    </w:p>
    <w:p w14:paraId="4CE593ED" w14:textId="77777777" w:rsidR="00D37D42" w:rsidRDefault="00D37D42" w:rsidP="009316F8">
      <w:pPr>
        <w:spacing w:after="120" w:line="360" w:lineRule="auto"/>
        <w:rPr>
          <w:rFonts w:ascii="Arial" w:hAnsi="Arial" w:cs="Arial"/>
          <w:lang w:val="sq-AL"/>
        </w:rPr>
      </w:pPr>
    </w:p>
    <w:p w14:paraId="1E68CC0F" w14:textId="77777777" w:rsidR="00D37D42" w:rsidRDefault="00D37D42" w:rsidP="009316F8">
      <w:pPr>
        <w:spacing w:after="120" w:line="360" w:lineRule="auto"/>
        <w:rPr>
          <w:rFonts w:ascii="Arial" w:hAnsi="Arial" w:cs="Arial"/>
          <w:lang w:val="sq-AL"/>
        </w:rPr>
      </w:pPr>
    </w:p>
    <w:p w14:paraId="35692794" w14:textId="77777777" w:rsidR="00D37D42" w:rsidRDefault="00D37D42" w:rsidP="009316F8">
      <w:pPr>
        <w:spacing w:after="120" w:line="360" w:lineRule="auto"/>
        <w:rPr>
          <w:rFonts w:ascii="Arial" w:hAnsi="Arial" w:cs="Arial"/>
          <w:lang w:val="sq-AL"/>
        </w:rPr>
      </w:pPr>
    </w:p>
    <w:p w14:paraId="1E202139" w14:textId="77777777" w:rsidR="00D37D42" w:rsidRDefault="00D37D42" w:rsidP="009316F8">
      <w:pPr>
        <w:spacing w:after="120" w:line="360" w:lineRule="auto"/>
        <w:rPr>
          <w:rFonts w:ascii="Arial" w:hAnsi="Arial" w:cs="Arial"/>
          <w:lang w:val="sq-AL"/>
        </w:rPr>
      </w:pPr>
    </w:p>
    <w:p w14:paraId="51A753FC" w14:textId="77777777" w:rsidR="00D37D42" w:rsidRDefault="00D37D42" w:rsidP="009316F8">
      <w:pPr>
        <w:spacing w:after="120" w:line="360" w:lineRule="auto"/>
        <w:rPr>
          <w:rFonts w:ascii="Arial" w:hAnsi="Arial" w:cs="Arial"/>
          <w:lang w:val="sq-AL"/>
        </w:rPr>
      </w:pPr>
    </w:p>
    <w:p w14:paraId="1B4DC0F1" w14:textId="77777777" w:rsidR="00D37D42" w:rsidRPr="002A6F4E" w:rsidRDefault="00D37D42" w:rsidP="009316F8">
      <w:pPr>
        <w:spacing w:after="120" w:line="360" w:lineRule="auto"/>
        <w:rPr>
          <w:rFonts w:ascii="Arial" w:hAnsi="Arial" w:cs="Arial"/>
          <w:lang w:val="sq-AL"/>
        </w:rPr>
      </w:pPr>
    </w:p>
    <w:p w14:paraId="322D25E9" w14:textId="24F57429" w:rsidR="009316F8" w:rsidRPr="00222376" w:rsidRDefault="009316F8" w:rsidP="009316F8">
      <w:pPr>
        <w:pStyle w:val="Caption"/>
        <w:rPr>
          <w:rFonts w:ascii="Arial" w:eastAsia="Times New Roman" w:hAnsi="Arial" w:cs="Arial"/>
          <w:b w:val="0"/>
          <w:szCs w:val="20"/>
          <w:lang w:val="sq-AL" w:eastAsia="el-GR"/>
        </w:rPr>
      </w:pPr>
      <w:bookmarkStart w:id="1315" w:name="_Toc189515697"/>
      <w:bookmarkStart w:id="1316" w:name="_Toc190160806"/>
      <w:bookmarkStart w:id="1317" w:name="_Toc130833083"/>
      <w:r w:rsidRPr="00222376">
        <w:rPr>
          <w:rFonts w:ascii="Arial" w:eastAsia="Times New Roman" w:hAnsi="Arial" w:cs="Arial"/>
          <w:b w:val="0"/>
          <w:szCs w:val="20"/>
          <w:lang w:val="sq-AL" w:eastAsia="el-GR"/>
        </w:rPr>
        <w:lastRenderedPageBreak/>
        <w:t xml:space="preserve">Tabela </w:t>
      </w:r>
      <w:r w:rsidRPr="00222376">
        <w:rPr>
          <w:rFonts w:ascii="Arial" w:eastAsia="Times New Roman" w:hAnsi="Arial" w:cs="Arial"/>
          <w:b w:val="0"/>
          <w:szCs w:val="20"/>
          <w:lang w:val="sq-AL" w:eastAsia="el-GR"/>
        </w:rPr>
        <w:fldChar w:fldCharType="begin"/>
      </w:r>
      <w:r w:rsidRPr="00222376">
        <w:rPr>
          <w:rFonts w:ascii="Arial" w:eastAsia="Times New Roman" w:hAnsi="Arial" w:cs="Arial"/>
          <w:b w:val="0"/>
          <w:szCs w:val="20"/>
          <w:lang w:val="sq-AL" w:eastAsia="el-GR"/>
        </w:rPr>
        <w:instrText xml:space="preserve"> SEQ Tabela \* ARABIC </w:instrText>
      </w:r>
      <w:r w:rsidRPr="00222376">
        <w:rPr>
          <w:rFonts w:ascii="Arial" w:eastAsia="Times New Roman" w:hAnsi="Arial" w:cs="Arial"/>
          <w:b w:val="0"/>
          <w:szCs w:val="20"/>
          <w:lang w:val="sq-AL" w:eastAsia="el-GR"/>
        </w:rPr>
        <w:fldChar w:fldCharType="separate"/>
      </w:r>
      <w:r w:rsidR="007274DA">
        <w:rPr>
          <w:rFonts w:ascii="Arial" w:eastAsia="Times New Roman" w:hAnsi="Arial" w:cs="Arial"/>
          <w:b w:val="0"/>
          <w:noProof/>
          <w:szCs w:val="20"/>
          <w:lang w:val="sq-AL" w:eastAsia="el-GR"/>
        </w:rPr>
        <w:t>109</w:t>
      </w:r>
      <w:r w:rsidRPr="00222376">
        <w:rPr>
          <w:rFonts w:ascii="Arial" w:eastAsia="Times New Roman" w:hAnsi="Arial" w:cs="Arial"/>
          <w:b w:val="0"/>
          <w:szCs w:val="20"/>
          <w:lang w:val="sq-AL" w:eastAsia="el-GR"/>
        </w:rPr>
        <w:fldChar w:fldCharType="end"/>
      </w:r>
      <w:r w:rsidRPr="00222376">
        <w:rPr>
          <w:rFonts w:ascii="Arial" w:eastAsia="Times New Roman" w:hAnsi="Arial" w:cs="Arial"/>
          <w:b w:val="0"/>
          <w:szCs w:val="20"/>
          <w:lang w:val="sq-AL" w:eastAsia="el-GR"/>
        </w:rPr>
        <w:t xml:space="preserve"> Ciljevi upravljanja otpadom za OEEP</w:t>
      </w:r>
      <w:bookmarkEnd w:id="1315"/>
      <w:bookmarkEnd w:id="1316"/>
      <w:r w:rsidRPr="00222376">
        <w:rPr>
          <w:rFonts w:ascii="Arial" w:eastAsia="Times New Roman" w:hAnsi="Arial" w:cs="Arial"/>
          <w:b w:val="0"/>
          <w:szCs w:val="20"/>
          <w:lang w:val="sq-AL" w:eastAsia="el-GR"/>
        </w:rPr>
        <w:t xml:space="preserve"> </w:t>
      </w:r>
      <w:bookmarkEnd w:id="1317"/>
    </w:p>
    <w:tbl>
      <w:tblPr>
        <w:tblStyle w:val="denkstatt4"/>
        <w:tblW w:w="0" w:type="auto"/>
        <w:jc w:val="center"/>
        <w:tblLook w:val="04A0" w:firstRow="1" w:lastRow="0" w:firstColumn="1" w:lastColumn="0" w:noHBand="0" w:noVBand="1"/>
      </w:tblPr>
      <w:tblGrid>
        <w:gridCol w:w="5516"/>
        <w:gridCol w:w="1940"/>
        <w:gridCol w:w="1892"/>
      </w:tblGrid>
      <w:tr w:rsidR="009316F8" w:rsidRPr="00222376" w14:paraId="58170911" w14:textId="77777777" w:rsidTr="00FE289C">
        <w:trPr>
          <w:jc w:val="center"/>
        </w:trPr>
        <w:tc>
          <w:tcPr>
            <w:tcW w:w="6205" w:type="dxa"/>
            <w:shd w:val="clear" w:color="auto" w:fill="D9D9D9" w:themeFill="background1" w:themeFillShade="D9"/>
          </w:tcPr>
          <w:p w14:paraId="09143C28" w14:textId="77777777" w:rsidR="009316F8" w:rsidRPr="00222376" w:rsidRDefault="009316F8" w:rsidP="00FE289C">
            <w:pPr>
              <w:widowControl w:val="0"/>
              <w:spacing w:after="120" w:line="276" w:lineRule="auto"/>
              <w:rPr>
                <w:rFonts w:ascii="Arial" w:hAnsi="Arial" w:cs="Arial"/>
                <w:b/>
                <w:bCs/>
                <w:sz w:val="18"/>
              </w:rPr>
            </w:pPr>
            <w:r w:rsidRPr="00222376">
              <w:rPr>
                <w:rFonts w:ascii="Arial" w:hAnsi="Arial" w:cs="Arial"/>
                <w:b/>
                <w:bCs/>
                <w:sz w:val="18"/>
              </w:rPr>
              <w:t>Opis cilja</w:t>
            </w:r>
          </w:p>
        </w:tc>
        <w:tc>
          <w:tcPr>
            <w:tcW w:w="1502" w:type="dxa"/>
            <w:shd w:val="clear" w:color="auto" w:fill="D9D9D9" w:themeFill="background1" w:themeFillShade="D9"/>
          </w:tcPr>
          <w:p w14:paraId="68547C35" w14:textId="77777777" w:rsidR="009316F8" w:rsidRPr="00222376" w:rsidRDefault="009316F8" w:rsidP="00FE289C">
            <w:pPr>
              <w:widowControl w:val="0"/>
              <w:spacing w:after="120" w:line="276" w:lineRule="auto"/>
              <w:rPr>
                <w:rFonts w:ascii="Arial" w:hAnsi="Arial" w:cs="Arial"/>
                <w:b/>
                <w:bCs/>
                <w:sz w:val="18"/>
              </w:rPr>
            </w:pPr>
            <w:r w:rsidRPr="00222376">
              <w:rPr>
                <w:rFonts w:ascii="Arial" w:hAnsi="Arial" w:cs="Arial"/>
                <w:b/>
                <w:bCs/>
                <w:sz w:val="18"/>
              </w:rPr>
              <w:t>Ciljna godina</w:t>
            </w:r>
          </w:p>
        </w:tc>
        <w:tc>
          <w:tcPr>
            <w:tcW w:w="1914" w:type="dxa"/>
            <w:shd w:val="clear" w:color="auto" w:fill="D9D9D9" w:themeFill="background1" w:themeFillShade="D9"/>
          </w:tcPr>
          <w:p w14:paraId="0C2DE781" w14:textId="77777777" w:rsidR="009316F8" w:rsidRPr="00222376" w:rsidRDefault="009316F8" w:rsidP="00FE289C">
            <w:pPr>
              <w:widowControl w:val="0"/>
              <w:spacing w:after="120" w:line="276" w:lineRule="auto"/>
              <w:rPr>
                <w:rFonts w:ascii="Arial" w:hAnsi="Arial" w:cs="Arial"/>
                <w:sz w:val="18"/>
              </w:rPr>
            </w:pPr>
            <w:r w:rsidRPr="00222376">
              <w:rPr>
                <w:rFonts w:ascii="Arial" w:hAnsi="Arial" w:cs="Arial"/>
                <w:b/>
                <w:bCs/>
                <w:sz w:val="18"/>
              </w:rPr>
              <w:t>Izvor cilja</w:t>
            </w:r>
          </w:p>
        </w:tc>
      </w:tr>
      <w:tr w:rsidR="009316F8" w:rsidRPr="009D2384" w14:paraId="078CF2BD" w14:textId="77777777" w:rsidTr="00FE289C">
        <w:trPr>
          <w:jc w:val="center"/>
        </w:trPr>
        <w:tc>
          <w:tcPr>
            <w:tcW w:w="6205" w:type="dxa"/>
          </w:tcPr>
          <w:p w14:paraId="06C3BCC7" w14:textId="77777777" w:rsidR="009316F8" w:rsidRPr="00222376" w:rsidRDefault="009316F8" w:rsidP="00FE289C">
            <w:pPr>
              <w:widowControl w:val="0"/>
              <w:spacing w:after="120" w:line="276" w:lineRule="auto"/>
              <w:ind w:left="0"/>
              <w:jc w:val="left"/>
              <w:rPr>
                <w:rFonts w:ascii="Arial" w:hAnsi="Arial" w:cs="Arial"/>
                <w:sz w:val="18"/>
              </w:rPr>
            </w:pPr>
            <w:r w:rsidRPr="00222376">
              <w:rPr>
                <w:rFonts w:ascii="Arial" w:hAnsi="Arial" w:cs="Arial"/>
                <w:sz w:val="18"/>
              </w:rPr>
              <w:t>Odvojeno sakupiti najmanje 45% od ukupne prosječne godišnje mase električnih i elektronskih proizvoda stavljene na tržište u posljednje tri godine (pretpostavlja se da odgovara 60% proizvedenog otpada od električnih i elektronskih proizvoda)</w:t>
            </w:r>
          </w:p>
        </w:tc>
        <w:tc>
          <w:tcPr>
            <w:tcW w:w="1502" w:type="dxa"/>
          </w:tcPr>
          <w:p w14:paraId="1E2DCB7A" w14:textId="77777777" w:rsidR="009316F8" w:rsidRPr="00222376" w:rsidRDefault="009316F8" w:rsidP="00FE289C">
            <w:pPr>
              <w:widowControl w:val="0"/>
              <w:spacing w:after="120" w:line="276" w:lineRule="auto"/>
              <w:jc w:val="center"/>
              <w:rPr>
                <w:rFonts w:ascii="Arial" w:hAnsi="Arial" w:cs="Arial"/>
                <w:sz w:val="18"/>
              </w:rPr>
            </w:pPr>
            <w:r w:rsidRPr="00222376">
              <w:rPr>
                <w:rFonts w:ascii="Arial" w:hAnsi="Arial" w:cs="Arial"/>
                <w:sz w:val="18"/>
              </w:rPr>
              <w:t>2025</w:t>
            </w:r>
          </w:p>
        </w:tc>
        <w:tc>
          <w:tcPr>
            <w:tcW w:w="1914" w:type="dxa"/>
            <w:vMerge w:val="restart"/>
            <w:vAlign w:val="center"/>
          </w:tcPr>
          <w:p w14:paraId="5DE3CF1A" w14:textId="601E885D" w:rsidR="009316F8" w:rsidRPr="009D2384" w:rsidRDefault="009D2384" w:rsidP="00FE289C">
            <w:pPr>
              <w:widowControl w:val="0"/>
              <w:spacing w:after="120" w:line="276" w:lineRule="auto"/>
              <w:ind w:left="0"/>
              <w:jc w:val="left"/>
              <w:rPr>
                <w:rFonts w:ascii="Arial" w:hAnsi="Arial" w:cs="Arial"/>
                <w:sz w:val="18"/>
              </w:rPr>
            </w:pPr>
            <w:r w:rsidRPr="009D2384">
              <w:rPr>
                <w:rFonts w:ascii="Arial" w:hAnsi="Arial" w:cs="Arial"/>
                <w:sz w:val="18"/>
              </w:rPr>
              <w:t>Prema čl. 54 Zakona o upravljanju</w:t>
            </w:r>
            <w:r>
              <w:rPr>
                <w:rFonts w:ascii="Arial" w:hAnsi="Arial" w:cs="Arial"/>
                <w:sz w:val="18"/>
              </w:rPr>
              <w:t xml:space="preserve"> otpadom</w:t>
            </w:r>
          </w:p>
        </w:tc>
      </w:tr>
      <w:tr w:rsidR="009316F8" w:rsidRPr="00222376" w14:paraId="6D468782" w14:textId="77777777" w:rsidTr="00FE289C">
        <w:tblPrEx>
          <w:jc w:val="left"/>
        </w:tblPrEx>
        <w:tc>
          <w:tcPr>
            <w:tcW w:w="6205" w:type="dxa"/>
          </w:tcPr>
          <w:p w14:paraId="4548EB6A" w14:textId="77777777" w:rsidR="009316F8" w:rsidRPr="00673670" w:rsidRDefault="009316F8" w:rsidP="00FE289C">
            <w:pPr>
              <w:widowControl w:val="0"/>
              <w:spacing w:after="120" w:line="276" w:lineRule="auto"/>
              <w:ind w:left="0"/>
              <w:jc w:val="left"/>
              <w:rPr>
                <w:rFonts w:ascii="Arial" w:hAnsi="Arial" w:cs="Arial"/>
                <w:sz w:val="18"/>
              </w:rPr>
            </w:pPr>
            <w:r w:rsidRPr="00673670">
              <w:rPr>
                <w:rFonts w:ascii="Arial" w:hAnsi="Arial" w:cs="Arial"/>
                <w:sz w:val="18"/>
              </w:rPr>
              <w:t>Odvojeno sakupiti najmanje 65% od ukupne prosječne godišnje mase električnih i elektronskih proizvoda stavljene na tržište u posljednje tri godine (pretpostavlja se da odgovara 85% proizvedenog otpada od električnih i elektronskih proizvoda)</w:t>
            </w:r>
          </w:p>
        </w:tc>
        <w:tc>
          <w:tcPr>
            <w:tcW w:w="1502" w:type="dxa"/>
          </w:tcPr>
          <w:p w14:paraId="197C2889" w14:textId="77777777" w:rsidR="009316F8" w:rsidRPr="00222376" w:rsidRDefault="009316F8" w:rsidP="00FE289C">
            <w:pPr>
              <w:widowControl w:val="0"/>
              <w:spacing w:after="120" w:line="276" w:lineRule="auto"/>
              <w:jc w:val="center"/>
              <w:rPr>
                <w:rFonts w:ascii="Arial" w:hAnsi="Arial" w:cs="Arial"/>
                <w:sz w:val="18"/>
              </w:rPr>
            </w:pPr>
            <w:r w:rsidRPr="00222376">
              <w:rPr>
                <w:rFonts w:ascii="Arial" w:hAnsi="Arial" w:cs="Arial"/>
                <w:sz w:val="18"/>
              </w:rPr>
              <w:t>2027</w:t>
            </w:r>
          </w:p>
        </w:tc>
        <w:tc>
          <w:tcPr>
            <w:tcW w:w="1914" w:type="dxa"/>
            <w:vMerge/>
          </w:tcPr>
          <w:p w14:paraId="4B2BE03E" w14:textId="77777777" w:rsidR="009316F8" w:rsidRPr="00222376" w:rsidRDefault="009316F8" w:rsidP="00FE289C">
            <w:pPr>
              <w:widowControl w:val="0"/>
              <w:spacing w:after="120" w:line="276" w:lineRule="auto"/>
              <w:jc w:val="left"/>
              <w:rPr>
                <w:rFonts w:ascii="Arial" w:hAnsi="Arial" w:cs="Arial"/>
                <w:sz w:val="18"/>
              </w:rPr>
            </w:pPr>
          </w:p>
        </w:tc>
      </w:tr>
      <w:tr w:rsidR="009316F8" w:rsidRPr="00222376" w14:paraId="3EAB1F1F" w14:textId="77777777" w:rsidTr="00FE289C">
        <w:tblPrEx>
          <w:jc w:val="left"/>
        </w:tblPrEx>
        <w:tc>
          <w:tcPr>
            <w:tcW w:w="6205" w:type="dxa"/>
          </w:tcPr>
          <w:p w14:paraId="45C97006" w14:textId="77777777" w:rsidR="009316F8" w:rsidRPr="00222376" w:rsidRDefault="009316F8" w:rsidP="00FE289C">
            <w:pPr>
              <w:widowControl w:val="0"/>
              <w:spacing w:after="120" w:line="276" w:lineRule="auto"/>
              <w:ind w:left="0"/>
              <w:jc w:val="left"/>
              <w:rPr>
                <w:rFonts w:ascii="Arial" w:hAnsi="Arial" w:cs="Arial"/>
                <w:sz w:val="18"/>
              </w:rPr>
            </w:pPr>
            <w:r w:rsidRPr="00222376">
              <w:rPr>
                <w:rFonts w:ascii="Arial" w:hAnsi="Arial" w:cs="Arial"/>
                <w:sz w:val="18"/>
              </w:rPr>
              <w:t>Prerada najmanje 80% odvojeno sakupljenih uređaja za razmjenu toplote i otpada od velikih uređaja radi ponovne upotrebe i recikliranja  (spoljne dimenzije veće od 50 cm)</w:t>
            </w:r>
          </w:p>
        </w:tc>
        <w:tc>
          <w:tcPr>
            <w:tcW w:w="1502" w:type="dxa"/>
          </w:tcPr>
          <w:p w14:paraId="5BDB824D" w14:textId="77777777" w:rsidR="009316F8" w:rsidRPr="00222376" w:rsidRDefault="009316F8" w:rsidP="00FE289C">
            <w:pPr>
              <w:widowControl w:val="0"/>
              <w:spacing w:after="120" w:line="276" w:lineRule="auto"/>
              <w:jc w:val="center"/>
              <w:rPr>
                <w:rFonts w:ascii="Arial" w:hAnsi="Arial" w:cs="Arial"/>
                <w:sz w:val="18"/>
              </w:rPr>
            </w:pPr>
            <w:r w:rsidRPr="00222376">
              <w:rPr>
                <w:rFonts w:ascii="Arial" w:hAnsi="Arial" w:cs="Arial"/>
                <w:sz w:val="18"/>
              </w:rPr>
              <w:t>2027</w:t>
            </w:r>
          </w:p>
        </w:tc>
        <w:tc>
          <w:tcPr>
            <w:tcW w:w="1914" w:type="dxa"/>
            <w:vMerge/>
          </w:tcPr>
          <w:p w14:paraId="0F22A1F0" w14:textId="77777777" w:rsidR="009316F8" w:rsidRPr="00222376" w:rsidRDefault="009316F8" w:rsidP="00FE289C">
            <w:pPr>
              <w:widowControl w:val="0"/>
              <w:spacing w:after="120" w:line="276" w:lineRule="auto"/>
              <w:jc w:val="left"/>
              <w:rPr>
                <w:rFonts w:ascii="Arial" w:hAnsi="Arial" w:cs="Arial"/>
                <w:sz w:val="18"/>
              </w:rPr>
            </w:pPr>
          </w:p>
        </w:tc>
      </w:tr>
      <w:tr w:rsidR="009316F8" w:rsidRPr="00222376" w14:paraId="6DA52E6B" w14:textId="77777777" w:rsidTr="00FE289C">
        <w:tblPrEx>
          <w:jc w:val="left"/>
        </w:tblPrEx>
        <w:tc>
          <w:tcPr>
            <w:tcW w:w="6205" w:type="dxa"/>
          </w:tcPr>
          <w:p w14:paraId="45D5C52C" w14:textId="77777777" w:rsidR="009316F8" w:rsidRPr="00222376" w:rsidRDefault="009316F8" w:rsidP="00FE289C">
            <w:pPr>
              <w:widowControl w:val="0"/>
              <w:spacing w:after="120" w:line="276" w:lineRule="auto"/>
              <w:ind w:left="0"/>
              <w:jc w:val="left"/>
              <w:rPr>
                <w:rFonts w:ascii="Arial" w:hAnsi="Arial" w:cs="Arial"/>
                <w:sz w:val="18"/>
              </w:rPr>
            </w:pPr>
            <w:r w:rsidRPr="00222376">
              <w:rPr>
                <w:rFonts w:ascii="Arial" w:hAnsi="Arial" w:cs="Arial"/>
                <w:sz w:val="18"/>
              </w:rPr>
              <w:t>Prerada najmanje 75% odvojeno sakupljenih otpadnih ekrana, monitora i opreme koja sadrži ekrane veće od 100 cm2  radi ponovne upotrebe i recikliranja</w:t>
            </w:r>
          </w:p>
        </w:tc>
        <w:tc>
          <w:tcPr>
            <w:tcW w:w="1502" w:type="dxa"/>
          </w:tcPr>
          <w:p w14:paraId="34FA0BD1" w14:textId="77777777" w:rsidR="009316F8" w:rsidRPr="00222376" w:rsidRDefault="009316F8" w:rsidP="00FE289C">
            <w:pPr>
              <w:widowControl w:val="0"/>
              <w:spacing w:after="120" w:line="276" w:lineRule="auto"/>
              <w:jc w:val="center"/>
              <w:rPr>
                <w:rFonts w:ascii="Arial" w:hAnsi="Arial" w:cs="Arial"/>
                <w:sz w:val="18"/>
              </w:rPr>
            </w:pPr>
            <w:r w:rsidRPr="00222376">
              <w:rPr>
                <w:rFonts w:ascii="Arial" w:hAnsi="Arial" w:cs="Arial"/>
                <w:sz w:val="18"/>
              </w:rPr>
              <w:t>2027</w:t>
            </w:r>
          </w:p>
        </w:tc>
        <w:tc>
          <w:tcPr>
            <w:tcW w:w="1914" w:type="dxa"/>
            <w:vMerge/>
          </w:tcPr>
          <w:p w14:paraId="77A41ACD" w14:textId="77777777" w:rsidR="009316F8" w:rsidRPr="00222376" w:rsidRDefault="009316F8" w:rsidP="00FE289C">
            <w:pPr>
              <w:widowControl w:val="0"/>
              <w:spacing w:after="120" w:line="276" w:lineRule="auto"/>
              <w:jc w:val="left"/>
              <w:rPr>
                <w:rFonts w:ascii="Arial" w:hAnsi="Arial" w:cs="Arial"/>
                <w:sz w:val="18"/>
              </w:rPr>
            </w:pPr>
          </w:p>
        </w:tc>
      </w:tr>
      <w:tr w:rsidR="009316F8" w:rsidRPr="00222376" w14:paraId="39776B5A" w14:textId="77777777" w:rsidTr="00FE289C">
        <w:tblPrEx>
          <w:jc w:val="left"/>
        </w:tblPrEx>
        <w:tc>
          <w:tcPr>
            <w:tcW w:w="6205" w:type="dxa"/>
          </w:tcPr>
          <w:p w14:paraId="74F2BA20" w14:textId="77777777" w:rsidR="009316F8" w:rsidRPr="00222376" w:rsidRDefault="009316F8" w:rsidP="00FE289C">
            <w:pPr>
              <w:widowControl w:val="0"/>
              <w:spacing w:after="120" w:line="276" w:lineRule="auto"/>
              <w:ind w:left="0"/>
              <w:jc w:val="left"/>
              <w:rPr>
                <w:rFonts w:ascii="Arial" w:hAnsi="Arial" w:cs="Arial"/>
                <w:sz w:val="18"/>
              </w:rPr>
            </w:pPr>
            <w:r w:rsidRPr="00222376">
              <w:rPr>
                <w:rFonts w:ascii="Arial" w:hAnsi="Arial" w:cs="Arial"/>
                <w:sz w:val="18"/>
              </w:rPr>
              <w:t>Prerada najmanje 50% odvojeno sakupljenog otpada od malih uređaja  (spoljne dimenzije ne prelaze 50 cm) radi ponovne upotrebe i recikliranja</w:t>
            </w:r>
          </w:p>
        </w:tc>
        <w:tc>
          <w:tcPr>
            <w:tcW w:w="1502" w:type="dxa"/>
          </w:tcPr>
          <w:p w14:paraId="1EDB5630" w14:textId="77777777" w:rsidR="009316F8" w:rsidRPr="00222376" w:rsidRDefault="009316F8" w:rsidP="00FE289C">
            <w:pPr>
              <w:widowControl w:val="0"/>
              <w:spacing w:after="120" w:line="276" w:lineRule="auto"/>
              <w:jc w:val="center"/>
              <w:rPr>
                <w:rFonts w:ascii="Arial" w:hAnsi="Arial" w:cs="Arial"/>
                <w:sz w:val="18"/>
              </w:rPr>
            </w:pPr>
            <w:r w:rsidRPr="00222376">
              <w:rPr>
                <w:rFonts w:ascii="Arial" w:hAnsi="Arial" w:cs="Arial"/>
                <w:sz w:val="18"/>
              </w:rPr>
              <w:t>2027</w:t>
            </w:r>
          </w:p>
        </w:tc>
        <w:tc>
          <w:tcPr>
            <w:tcW w:w="1914" w:type="dxa"/>
            <w:vMerge/>
          </w:tcPr>
          <w:p w14:paraId="5F862CF4" w14:textId="77777777" w:rsidR="009316F8" w:rsidRPr="00222376" w:rsidRDefault="009316F8" w:rsidP="00FE289C">
            <w:pPr>
              <w:widowControl w:val="0"/>
              <w:spacing w:after="120" w:line="276" w:lineRule="auto"/>
              <w:jc w:val="left"/>
              <w:rPr>
                <w:rFonts w:ascii="Arial" w:hAnsi="Arial" w:cs="Arial"/>
                <w:sz w:val="18"/>
              </w:rPr>
            </w:pPr>
          </w:p>
        </w:tc>
      </w:tr>
      <w:tr w:rsidR="009316F8" w:rsidRPr="00222376" w14:paraId="58C1252D" w14:textId="77777777" w:rsidTr="00FE289C">
        <w:tblPrEx>
          <w:jc w:val="left"/>
        </w:tblPrEx>
        <w:tc>
          <w:tcPr>
            <w:tcW w:w="6205" w:type="dxa"/>
          </w:tcPr>
          <w:p w14:paraId="355E25F3" w14:textId="636C3906" w:rsidR="009316F8" w:rsidRPr="00222376" w:rsidRDefault="009316F8" w:rsidP="00FE289C">
            <w:pPr>
              <w:widowControl w:val="0"/>
              <w:spacing w:after="120" w:line="276" w:lineRule="auto"/>
              <w:ind w:left="0"/>
              <w:jc w:val="left"/>
              <w:rPr>
                <w:rFonts w:ascii="Arial" w:hAnsi="Arial" w:cs="Arial"/>
                <w:sz w:val="18"/>
              </w:rPr>
            </w:pPr>
            <w:r w:rsidRPr="00222376">
              <w:rPr>
                <w:rFonts w:ascii="Arial" w:hAnsi="Arial" w:cs="Arial"/>
                <w:sz w:val="18"/>
              </w:rPr>
              <w:t>Recikl</w:t>
            </w:r>
            <w:r w:rsidR="00266868">
              <w:rPr>
                <w:rFonts w:ascii="Arial" w:hAnsi="Arial" w:cs="Arial"/>
                <w:sz w:val="18"/>
              </w:rPr>
              <w:t>iranje</w:t>
            </w:r>
            <w:r w:rsidRPr="00222376">
              <w:rPr>
                <w:rFonts w:ascii="Arial" w:hAnsi="Arial" w:cs="Arial"/>
                <w:sz w:val="18"/>
              </w:rPr>
              <w:t xml:space="preserve"> najmanje  80% odvojeno sakupljenih otpadnih lampi</w:t>
            </w:r>
          </w:p>
        </w:tc>
        <w:tc>
          <w:tcPr>
            <w:tcW w:w="1502" w:type="dxa"/>
          </w:tcPr>
          <w:p w14:paraId="77E2B557" w14:textId="77777777" w:rsidR="009316F8" w:rsidRPr="00222376" w:rsidRDefault="009316F8" w:rsidP="00FE289C">
            <w:pPr>
              <w:widowControl w:val="0"/>
              <w:spacing w:after="120" w:line="276" w:lineRule="auto"/>
              <w:jc w:val="center"/>
              <w:rPr>
                <w:rFonts w:ascii="Arial" w:hAnsi="Arial" w:cs="Arial"/>
                <w:sz w:val="18"/>
              </w:rPr>
            </w:pPr>
            <w:r w:rsidRPr="00222376">
              <w:rPr>
                <w:rFonts w:ascii="Arial" w:hAnsi="Arial" w:cs="Arial"/>
                <w:sz w:val="18"/>
              </w:rPr>
              <w:t>2027</w:t>
            </w:r>
          </w:p>
        </w:tc>
        <w:tc>
          <w:tcPr>
            <w:tcW w:w="1914" w:type="dxa"/>
            <w:vMerge/>
          </w:tcPr>
          <w:p w14:paraId="4F53B12F" w14:textId="77777777" w:rsidR="009316F8" w:rsidRPr="00222376" w:rsidRDefault="009316F8" w:rsidP="00FE289C">
            <w:pPr>
              <w:widowControl w:val="0"/>
              <w:spacing w:after="120" w:line="276" w:lineRule="auto"/>
              <w:jc w:val="left"/>
              <w:rPr>
                <w:rFonts w:ascii="Arial" w:hAnsi="Arial" w:cs="Arial"/>
                <w:sz w:val="18"/>
              </w:rPr>
            </w:pPr>
          </w:p>
        </w:tc>
      </w:tr>
    </w:tbl>
    <w:p w14:paraId="04BC05AB" w14:textId="77777777" w:rsidR="009316F8" w:rsidRPr="002A6F4E" w:rsidRDefault="009316F8" w:rsidP="009316F8">
      <w:pPr>
        <w:spacing w:after="120" w:line="360" w:lineRule="auto"/>
        <w:rPr>
          <w:rFonts w:ascii="Arial" w:hAnsi="Arial" w:cs="Arial"/>
          <w:lang w:val="sq-AL"/>
        </w:rPr>
      </w:pPr>
    </w:p>
    <w:p w14:paraId="3C322E30" w14:textId="77777777" w:rsidR="009316F8" w:rsidRPr="002A6F4E" w:rsidRDefault="009316F8" w:rsidP="009316F8">
      <w:pPr>
        <w:spacing w:after="120" w:line="360" w:lineRule="auto"/>
        <w:rPr>
          <w:rFonts w:ascii="Arial" w:hAnsi="Arial" w:cs="Arial"/>
          <w:lang w:val="sq-AL"/>
        </w:rPr>
      </w:pPr>
      <w:r w:rsidRPr="002A6F4E">
        <w:rPr>
          <w:rFonts w:ascii="Arial" w:hAnsi="Arial" w:cs="Arial"/>
          <w:lang w:val="sq-AL"/>
        </w:rPr>
        <w:t>Pored toga, postavljeni su sljedeći ciljevi za upravljanje otpadom od električnih i elektronskih proizvoda:</w:t>
      </w:r>
    </w:p>
    <w:p w14:paraId="6C22C2B3" w14:textId="49D47611"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 xml:space="preserve">Podržati napore i uspostaviti sistem proširene odgovornosti proizvođača (uključujući </w:t>
      </w:r>
      <w:r w:rsidR="00266868">
        <w:rPr>
          <w:rFonts w:ascii="Arial" w:hAnsi="Arial" w:cs="Arial"/>
          <w:lang w:val="sq-AL"/>
        </w:rPr>
        <w:t>o</w:t>
      </w:r>
      <w:r w:rsidRPr="002A6F4E">
        <w:rPr>
          <w:rFonts w:ascii="Arial" w:hAnsi="Arial" w:cs="Arial"/>
          <w:lang w:val="sq-AL"/>
        </w:rPr>
        <w:t>rganizacije za odgovornost proizvođača) otpada od električnih i elektronskih proizvoda do 2025. godine i kasnije, eliminisanje utaje EPR naknada</w:t>
      </w:r>
      <w:r w:rsidR="00B2510B">
        <w:rPr>
          <w:rFonts w:ascii="Arial" w:hAnsi="Arial" w:cs="Arial"/>
          <w:lang w:val="sq-AL"/>
        </w:rPr>
        <w:t>.</w:t>
      </w:r>
    </w:p>
    <w:p w14:paraId="0C943003" w14:textId="77777777"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Pratiti količine otpada od električnih i elektronskih proizvoda kojima se trguje u Crnoj Gori.</w:t>
      </w:r>
    </w:p>
    <w:p w14:paraId="2C02949E" w14:textId="179DE946"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 xml:space="preserve">Podrška </w:t>
      </w:r>
      <w:r w:rsidR="00266868">
        <w:rPr>
          <w:rFonts w:ascii="Arial" w:hAnsi="Arial" w:cs="Arial"/>
          <w:lang w:val="sq-AL"/>
        </w:rPr>
        <w:t>izgradnji</w:t>
      </w:r>
      <w:r w:rsidR="00266868" w:rsidRPr="002A6F4E">
        <w:rPr>
          <w:rFonts w:ascii="Arial" w:hAnsi="Arial" w:cs="Arial"/>
          <w:lang w:val="sq-AL"/>
        </w:rPr>
        <w:t xml:space="preserve"> </w:t>
      </w:r>
      <w:r w:rsidRPr="002A6F4E">
        <w:rPr>
          <w:rFonts w:ascii="Arial" w:hAnsi="Arial" w:cs="Arial"/>
          <w:lang w:val="sq-AL"/>
        </w:rPr>
        <w:t xml:space="preserve">infrastrukture za </w:t>
      </w:r>
      <w:r w:rsidR="00266868">
        <w:rPr>
          <w:rFonts w:ascii="Arial" w:hAnsi="Arial" w:cs="Arial"/>
          <w:lang w:val="sq-AL"/>
        </w:rPr>
        <w:t>obradu</w:t>
      </w:r>
      <w:r w:rsidR="00266868" w:rsidRPr="002A6F4E">
        <w:rPr>
          <w:rFonts w:ascii="Arial" w:hAnsi="Arial" w:cs="Arial"/>
          <w:lang w:val="sq-AL"/>
        </w:rPr>
        <w:t xml:space="preserve"> </w:t>
      </w:r>
      <w:r w:rsidRPr="002A6F4E">
        <w:rPr>
          <w:rFonts w:ascii="Arial" w:hAnsi="Arial" w:cs="Arial"/>
          <w:lang w:val="sq-AL"/>
        </w:rPr>
        <w:t>otpada od električnih i elektronskih proizvoda.</w:t>
      </w:r>
    </w:p>
    <w:p w14:paraId="56247041" w14:textId="77777777" w:rsidR="00EF61C6" w:rsidRPr="0006539F" w:rsidRDefault="00EF61C6" w:rsidP="0006539F">
      <w:pPr>
        <w:spacing w:after="120" w:line="360" w:lineRule="auto"/>
        <w:rPr>
          <w:rFonts w:ascii="Arial" w:hAnsi="Arial" w:cs="Arial"/>
          <w:lang w:val="sq-AL"/>
        </w:rPr>
      </w:pPr>
    </w:p>
    <w:p w14:paraId="450E1090" w14:textId="77777777" w:rsidR="009316F8" w:rsidRPr="00190E58" w:rsidRDefault="009316F8" w:rsidP="009316F8">
      <w:pPr>
        <w:widowControl w:val="0"/>
        <w:spacing w:before="120" w:after="120" w:line="360" w:lineRule="auto"/>
        <w:rPr>
          <w:rFonts w:ascii="Arial" w:hAnsi="Arial" w:cs="Arial"/>
          <w:b/>
          <w:bCs/>
          <w:u w:val="single"/>
          <w:lang w:val="sq-AL"/>
        </w:rPr>
      </w:pPr>
      <w:r w:rsidRPr="00190E58">
        <w:rPr>
          <w:rFonts w:ascii="Arial" w:hAnsi="Arial" w:cs="Arial"/>
          <w:b/>
          <w:bCs/>
          <w:u w:val="single"/>
          <w:lang w:val="sq-AL"/>
        </w:rPr>
        <w:t>Sakupljanje i transport</w:t>
      </w:r>
    </w:p>
    <w:p w14:paraId="479E4F3C" w14:textId="77777777" w:rsidR="009316F8" w:rsidRPr="00190E58" w:rsidRDefault="009316F8" w:rsidP="009316F8">
      <w:pPr>
        <w:spacing w:after="120" w:line="360" w:lineRule="auto"/>
        <w:rPr>
          <w:rFonts w:ascii="Arial" w:hAnsi="Arial" w:cs="Arial"/>
          <w:lang w:val="sq-AL"/>
        </w:rPr>
      </w:pPr>
      <w:r w:rsidRPr="00190E58">
        <w:rPr>
          <w:rFonts w:ascii="Arial" w:hAnsi="Arial" w:cs="Arial"/>
          <w:lang w:val="sq-AL"/>
        </w:rPr>
        <w:t>Predložene su sljedeće mjere kao najprikladnije za sakupljanje otpada od električnih i elektronskih proizvoda iz domaćinstava i malih preduzeća:</w:t>
      </w:r>
    </w:p>
    <w:p w14:paraId="1F52925B" w14:textId="77777777" w:rsidR="009316F8" w:rsidRPr="00190E58"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190E58">
        <w:rPr>
          <w:rFonts w:ascii="Arial" w:hAnsi="Arial" w:cs="Arial"/>
          <w:lang w:val="sq-AL"/>
        </w:rPr>
        <w:t>Uspostavljanje opštinskih sabirnih punktova, gdje se može sakupljati otpad od električnih i elektronskih proizvoda iz domaćinstava i malih preduzeća. Takve površine treba da budu odgovarajuće koncipirane i ograđene, sa što dužim  radnim vremenom. Ovo bi trebalo da bude glavna mjera koju treba usvojiti u bilo kom sistemu koji se primjenjuje;</w:t>
      </w:r>
    </w:p>
    <w:p w14:paraId="3DC57391" w14:textId="77777777" w:rsidR="009316F8" w:rsidRPr="00190E58"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190E58">
        <w:rPr>
          <w:rFonts w:ascii="Arial" w:hAnsi="Arial" w:cs="Arial"/>
          <w:lang w:val="sq-AL"/>
        </w:rPr>
        <w:lastRenderedPageBreak/>
        <w:t>Povrat otpada od električnih i elektronskih proizvoda trgovcima električnih i elektronskih proizvoda na malo;</w:t>
      </w:r>
    </w:p>
    <w:p w14:paraId="5AEF5897" w14:textId="77777777" w:rsidR="009316F8" w:rsidRPr="00190E58"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190E58">
        <w:rPr>
          <w:rFonts w:ascii="Arial" w:hAnsi="Arial" w:cs="Arial"/>
          <w:lang w:val="sq-AL"/>
        </w:rPr>
        <w:t>Uspostavljanje centara za sakupljanje otpada koje će organizovati bilo privatni sektor ili jedinice lokalne samouprave;</w:t>
      </w:r>
    </w:p>
    <w:p w14:paraId="2B268DAC" w14:textId="652AEB11" w:rsidR="009316F8" w:rsidRPr="00190E58"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190E58">
        <w:rPr>
          <w:rFonts w:ascii="Arial" w:hAnsi="Arial" w:cs="Arial"/>
          <w:lang w:val="sq-AL"/>
        </w:rPr>
        <w:t xml:space="preserve">Uspostavljanje pojedinačnih sabirnih punktova na različitim odgovarajućim lokacijama kao što su maloprodajne radnje, prodavnice i sl., koje će biti opremljene odgovarajućom opremom za sakupljanje (male </w:t>
      </w:r>
      <w:r w:rsidR="005C4A0C">
        <w:rPr>
          <w:rFonts w:ascii="Arial" w:hAnsi="Arial" w:cs="Arial"/>
          <w:lang w:val="sq-AL"/>
        </w:rPr>
        <w:t>posude</w:t>
      </w:r>
      <w:r w:rsidRPr="00190E58">
        <w:rPr>
          <w:rFonts w:ascii="Arial" w:hAnsi="Arial" w:cs="Arial"/>
          <w:lang w:val="sq-AL"/>
        </w:rPr>
        <w:t>, kartoni i sl.);</w:t>
      </w:r>
    </w:p>
    <w:p w14:paraId="0115B9C8" w14:textId="145D91DA" w:rsidR="009316F8" w:rsidRPr="00190E58"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190E58">
        <w:rPr>
          <w:rFonts w:ascii="Arial" w:hAnsi="Arial" w:cs="Arial"/>
          <w:lang w:val="sq-AL"/>
        </w:rPr>
        <w:t>Sakupljanje otpada od električnih i elektronskih proizvoda kod kuće</w:t>
      </w:r>
      <w:r w:rsidR="00AE7792">
        <w:rPr>
          <w:rFonts w:ascii="Arial" w:hAnsi="Arial" w:cs="Arial"/>
          <w:lang w:val="sq-AL"/>
        </w:rPr>
        <w:t xml:space="preserve"> t</w:t>
      </w:r>
      <w:r w:rsidRPr="00190E58">
        <w:rPr>
          <w:rFonts w:ascii="Arial" w:hAnsi="Arial" w:cs="Arial"/>
          <w:lang w:val="sq-AL"/>
        </w:rPr>
        <w:t>rebalo bi omogućiti korisniku da telefonom kontaktira odgovarajuće opštinsko od</w:t>
      </w:r>
      <w:r w:rsidR="00AE7792">
        <w:rPr>
          <w:rFonts w:ascii="Arial" w:hAnsi="Arial" w:cs="Arial"/>
          <w:lang w:val="sq-AL"/>
        </w:rPr>
        <w:t>j</w:t>
      </w:r>
      <w:r w:rsidRPr="00190E58">
        <w:rPr>
          <w:rFonts w:ascii="Arial" w:hAnsi="Arial" w:cs="Arial"/>
          <w:lang w:val="sq-AL"/>
        </w:rPr>
        <w:t>eljenje i dogovori se o lokaciji i datumu/vremenu odvoza otpada;</w:t>
      </w:r>
    </w:p>
    <w:p w14:paraId="3984ED45" w14:textId="3223FA58" w:rsidR="009316F8" w:rsidRPr="00190E58"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190E58">
        <w:rPr>
          <w:rFonts w:ascii="Arial" w:hAnsi="Arial" w:cs="Arial"/>
          <w:lang w:val="sq-AL"/>
        </w:rPr>
        <w:t>Sakupljanje otpada od električnih i elektronskih proizvoda na unaprijed određenim lokacijama i datumima kao rezultat akcija NVO, škola, organizacija, medija</w:t>
      </w:r>
      <w:r w:rsidR="00D54594">
        <w:rPr>
          <w:rFonts w:ascii="Arial" w:hAnsi="Arial" w:cs="Arial"/>
          <w:lang w:val="sq-AL"/>
        </w:rPr>
        <w:t>, itd</w:t>
      </w:r>
      <w:r w:rsidRPr="00190E58">
        <w:rPr>
          <w:rFonts w:ascii="Arial" w:hAnsi="Arial" w:cs="Arial"/>
          <w:lang w:val="sq-AL"/>
        </w:rPr>
        <w:t>.</w:t>
      </w:r>
    </w:p>
    <w:p w14:paraId="3B8F5213" w14:textId="77777777" w:rsidR="009316F8" w:rsidRPr="00190E58" w:rsidRDefault="009316F8" w:rsidP="009316F8">
      <w:pPr>
        <w:spacing w:after="120" w:line="360" w:lineRule="auto"/>
        <w:rPr>
          <w:rFonts w:ascii="Arial" w:hAnsi="Arial" w:cs="Arial"/>
          <w:lang w:val="sq-AL"/>
        </w:rPr>
      </w:pPr>
      <w:r w:rsidRPr="00190E58">
        <w:rPr>
          <w:rFonts w:ascii="Arial" w:hAnsi="Arial" w:cs="Arial"/>
          <w:lang w:val="sq-AL"/>
        </w:rPr>
        <w:t>Bilo koja kombinacija navedenih radnji treba da odgovara specifičnostima i profilu oblasti koja se opslužuje.</w:t>
      </w:r>
    </w:p>
    <w:p w14:paraId="044C7853" w14:textId="2118D065" w:rsidR="009316F8" w:rsidRPr="00190E58" w:rsidRDefault="009316F8" w:rsidP="009316F8">
      <w:pPr>
        <w:spacing w:after="120" w:line="360" w:lineRule="auto"/>
        <w:rPr>
          <w:rFonts w:ascii="Arial" w:hAnsi="Arial" w:cs="Arial"/>
          <w:lang w:val="sq-AL"/>
        </w:rPr>
      </w:pPr>
      <w:r w:rsidRPr="00190E58">
        <w:rPr>
          <w:rFonts w:ascii="Arial" w:hAnsi="Arial" w:cs="Arial"/>
          <w:lang w:val="sq-AL"/>
        </w:rPr>
        <w:t xml:space="preserve">Od velike je važnosti </w:t>
      </w:r>
      <w:r w:rsidR="00EF61C6" w:rsidRPr="00190E58">
        <w:rPr>
          <w:rFonts w:ascii="Arial" w:hAnsi="Arial" w:cs="Arial"/>
          <w:lang w:val="sq-AL"/>
        </w:rPr>
        <w:t xml:space="preserve">da </w:t>
      </w:r>
      <w:r w:rsidRPr="00190E58">
        <w:rPr>
          <w:rFonts w:ascii="Arial" w:hAnsi="Arial" w:cs="Arial"/>
          <w:lang w:val="sq-AL"/>
        </w:rPr>
        <w:t>se</w:t>
      </w:r>
      <w:r w:rsidR="00EF61C6" w:rsidRPr="00190E58">
        <w:rPr>
          <w:rFonts w:ascii="Arial" w:hAnsi="Arial" w:cs="Arial"/>
          <w:lang w:val="sq-AL"/>
        </w:rPr>
        <w:t>,</w:t>
      </w:r>
      <w:r w:rsidRPr="00190E58">
        <w:rPr>
          <w:rFonts w:ascii="Arial" w:hAnsi="Arial" w:cs="Arial"/>
          <w:lang w:val="sq-AL"/>
        </w:rPr>
        <w:t xml:space="preserve"> prilikom sakupljanja otpad od električnih i elektronskih proizvoda</w:t>
      </w:r>
      <w:r w:rsidR="00EF61C6" w:rsidRPr="00190E58">
        <w:rPr>
          <w:rFonts w:ascii="Arial" w:hAnsi="Arial" w:cs="Arial"/>
          <w:lang w:val="sq-AL"/>
        </w:rPr>
        <w:t>,</w:t>
      </w:r>
      <w:r w:rsidRPr="00190E58">
        <w:rPr>
          <w:rFonts w:ascii="Arial" w:hAnsi="Arial" w:cs="Arial"/>
          <w:lang w:val="sq-AL"/>
        </w:rPr>
        <w:t xml:space="preserve"> razvrsta u kategorije. Predložene kategorije </w:t>
      </w:r>
      <w:r w:rsidR="00AE7792">
        <w:rPr>
          <w:rFonts w:ascii="Arial" w:hAnsi="Arial" w:cs="Arial"/>
          <w:lang w:val="sq-AL"/>
        </w:rPr>
        <w:t>su</w:t>
      </w:r>
      <w:r w:rsidRPr="00190E58">
        <w:rPr>
          <w:rFonts w:ascii="Arial" w:hAnsi="Arial" w:cs="Arial"/>
          <w:lang w:val="sq-AL"/>
        </w:rPr>
        <w:t>:</w:t>
      </w:r>
    </w:p>
    <w:p w14:paraId="04B0BE54" w14:textId="77777777" w:rsidR="009316F8" w:rsidRPr="00190E58"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190E58">
        <w:rPr>
          <w:rFonts w:ascii="Arial" w:hAnsi="Arial" w:cs="Arial"/>
          <w:lang w:val="sq-AL"/>
        </w:rPr>
        <w:t>Oprema za razmjenu toplote;</w:t>
      </w:r>
    </w:p>
    <w:p w14:paraId="0B825C82" w14:textId="77777777" w:rsidR="009316F8" w:rsidRPr="00190E58"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190E58">
        <w:rPr>
          <w:rFonts w:ascii="Arial" w:hAnsi="Arial" w:cs="Arial"/>
          <w:lang w:val="sq-AL"/>
        </w:rPr>
        <w:t>Ekrani, monitori i oprema koja sadrži monitore sa površinom većom od 100 cm</w:t>
      </w:r>
      <w:r w:rsidRPr="00190E58">
        <w:rPr>
          <w:rFonts w:ascii="Arial" w:hAnsi="Arial" w:cs="Arial"/>
          <w:vertAlign w:val="superscript"/>
          <w:lang w:val="sq-AL"/>
        </w:rPr>
        <w:t>2</w:t>
      </w:r>
      <w:r w:rsidRPr="00190E58">
        <w:rPr>
          <w:rFonts w:ascii="Arial" w:hAnsi="Arial" w:cs="Arial"/>
          <w:lang w:val="sq-AL"/>
        </w:rPr>
        <w:t>;</w:t>
      </w:r>
    </w:p>
    <w:p w14:paraId="23239F5A" w14:textId="77777777" w:rsidR="009316F8" w:rsidRPr="00190E58"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190E58">
        <w:rPr>
          <w:rFonts w:ascii="Arial" w:hAnsi="Arial" w:cs="Arial"/>
          <w:lang w:val="sq-AL"/>
        </w:rPr>
        <w:t>Lampe;</w:t>
      </w:r>
    </w:p>
    <w:p w14:paraId="28A4F50C" w14:textId="77777777" w:rsidR="009316F8" w:rsidRPr="00190E58" w:rsidRDefault="009316F8" w:rsidP="00A23ED0">
      <w:pPr>
        <w:pStyle w:val="ListParagraph"/>
        <w:numPr>
          <w:ilvl w:val="0"/>
          <w:numId w:val="72"/>
        </w:numPr>
        <w:spacing w:after="120" w:line="360" w:lineRule="auto"/>
        <w:ind w:left="720" w:hanging="450"/>
        <w:contextualSpacing w:val="0"/>
        <w:rPr>
          <w:rFonts w:ascii="Arial" w:hAnsi="Arial" w:cs="Arial"/>
          <w:lang w:val="de-DE"/>
        </w:rPr>
      </w:pPr>
      <w:r w:rsidRPr="00190E58">
        <w:rPr>
          <w:rFonts w:ascii="Arial" w:hAnsi="Arial" w:cs="Arial"/>
          <w:lang w:val="de-DE"/>
        </w:rPr>
        <w:t>Velika oprema (bilo koja spoljna dimenzija veća od 50 cm);</w:t>
      </w:r>
    </w:p>
    <w:p w14:paraId="5B598D6C" w14:textId="77777777" w:rsidR="009316F8" w:rsidRPr="00190E58" w:rsidRDefault="009316F8" w:rsidP="00A23ED0">
      <w:pPr>
        <w:pStyle w:val="ListParagraph"/>
        <w:numPr>
          <w:ilvl w:val="0"/>
          <w:numId w:val="72"/>
        </w:numPr>
        <w:spacing w:after="120" w:line="360" w:lineRule="auto"/>
        <w:ind w:left="720" w:hanging="450"/>
        <w:contextualSpacing w:val="0"/>
        <w:rPr>
          <w:rFonts w:ascii="Arial" w:hAnsi="Arial" w:cs="Arial"/>
          <w:lang w:val="de-DE"/>
        </w:rPr>
      </w:pPr>
      <w:r w:rsidRPr="00190E58">
        <w:rPr>
          <w:rFonts w:ascii="Arial" w:hAnsi="Arial" w:cs="Arial"/>
          <w:lang w:val="de-DE"/>
        </w:rPr>
        <w:t>Mala oprema (bez spoljašnjih dimenzija više od 50 cm);</w:t>
      </w:r>
    </w:p>
    <w:p w14:paraId="15934DB1" w14:textId="77777777" w:rsidR="009316F8" w:rsidRPr="00190E58" w:rsidRDefault="009316F8" w:rsidP="00A23ED0">
      <w:pPr>
        <w:pStyle w:val="ListParagraph"/>
        <w:numPr>
          <w:ilvl w:val="0"/>
          <w:numId w:val="72"/>
        </w:numPr>
        <w:spacing w:after="120" w:line="360" w:lineRule="auto"/>
        <w:ind w:left="720" w:hanging="450"/>
        <w:contextualSpacing w:val="0"/>
        <w:rPr>
          <w:rFonts w:ascii="Arial" w:hAnsi="Arial" w:cs="Arial"/>
          <w:lang w:val="de-DE"/>
        </w:rPr>
      </w:pPr>
      <w:r w:rsidRPr="00190E58">
        <w:rPr>
          <w:rFonts w:ascii="Arial" w:hAnsi="Arial" w:cs="Arial"/>
          <w:lang w:val="de-DE"/>
        </w:rPr>
        <w:t>Mala informatička i telekomunikaciona oprema (bez spoljašnjih dimenzija više od 50 cm).</w:t>
      </w:r>
    </w:p>
    <w:p w14:paraId="4F183087" w14:textId="59CB81D1" w:rsidR="009316F8" w:rsidRPr="00190E58" w:rsidRDefault="009316F8" w:rsidP="009316F8">
      <w:pPr>
        <w:widowControl w:val="0"/>
        <w:spacing w:before="120" w:after="120" w:line="360" w:lineRule="auto"/>
        <w:rPr>
          <w:rFonts w:ascii="Arial" w:hAnsi="Arial" w:cs="Arial"/>
          <w:lang w:val="sq-AL"/>
        </w:rPr>
      </w:pPr>
      <w:r w:rsidRPr="00190E58">
        <w:rPr>
          <w:rFonts w:ascii="Arial" w:hAnsi="Arial" w:cs="Arial"/>
          <w:lang w:val="sq-AL"/>
        </w:rPr>
        <w:t xml:space="preserve">Kada je riječ o sakupljanju  otpada od električnih i elektronskih proizvoda od srednjih i velikih preduzeća, preduzeća treba da komuniciraju sa odgovarajućim opštinskim odeljenjem ili bilo kojom </w:t>
      </w:r>
      <w:r w:rsidR="00D54594">
        <w:rPr>
          <w:rFonts w:ascii="Arial" w:hAnsi="Arial" w:cs="Arial"/>
          <w:lang w:val="sq-AL"/>
        </w:rPr>
        <w:t>o</w:t>
      </w:r>
      <w:r w:rsidRPr="00190E58">
        <w:rPr>
          <w:rFonts w:ascii="Arial" w:hAnsi="Arial" w:cs="Arial"/>
          <w:lang w:val="sq-AL"/>
        </w:rPr>
        <w:t>rganizacijom za odgovornost proizvođača (OOP) koja će biti uspostavljena za otpad od električnih i elektronskih proizvoda i dogovoriti lokaciju i datum/vrijeme sakupljanja otpada.</w:t>
      </w:r>
    </w:p>
    <w:p w14:paraId="6E0A91D8" w14:textId="06AE581A" w:rsidR="009316F8" w:rsidRPr="00190E58" w:rsidRDefault="009316F8" w:rsidP="009316F8">
      <w:pPr>
        <w:widowControl w:val="0"/>
        <w:spacing w:before="120" w:after="120" w:line="360" w:lineRule="auto"/>
        <w:rPr>
          <w:rFonts w:ascii="Arial" w:hAnsi="Arial" w:cs="Arial"/>
          <w:lang w:val="sq-AL"/>
        </w:rPr>
      </w:pPr>
      <w:r w:rsidRPr="00190E58">
        <w:rPr>
          <w:rFonts w:ascii="Arial" w:hAnsi="Arial" w:cs="Arial"/>
          <w:lang w:val="sq-AL"/>
        </w:rPr>
        <w:t xml:space="preserve">Nakon sakupljanja na sabirnim mjestima, otpad od električnih i elektronskih proizvoda će se transportovati do prihvatnih centara, pod nadzorom relevantne OOP ili jedinice lokalne samouprave. U ovim centrima otpad od električnih i elektronskih proizvoda će biti djelimično ili potpuno klasifikovan u jednu od </w:t>
      </w:r>
      <w:r w:rsidR="00D54594">
        <w:rPr>
          <w:rFonts w:ascii="Arial" w:hAnsi="Arial" w:cs="Arial"/>
          <w:lang w:val="sq-AL"/>
        </w:rPr>
        <w:t>pet (</w:t>
      </w:r>
      <w:r w:rsidRPr="00190E58">
        <w:rPr>
          <w:rFonts w:ascii="Arial" w:hAnsi="Arial" w:cs="Arial"/>
          <w:lang w:val="sq-AL"/>
        </w:rPr>
        <w:t>5</w:t>
      </w:r>
      <w:r w:rsidR="00D54594">
        <w:rPr>
          <w:rFonts w:ascii="Arial" w:hAnsi="Arial" w:cs="Arial"/>
          <w:lang w:val="sq-AL"/>
        </w:rPr>
        <w:t>)</w:t>
      </w:r>
      <w:r w:rsidRPr="00190E58">
        <w:rPr>
          <w:rFonts w:ascii="Arial" w:hAnsi="Arial" w:cs="Arial"/>
          <w:lang w:val="sq-AL"/>
        </w:rPr>
        <w:t xml:space="preserve"> prethodno navedenih kategorija, a zatim se otpad odvozi u odgovarajuće postrojenje za </w:t>
      </w:r>
      <w:r w:rsidR="00D54594">
        <w:rPr>
          <w:rFonts w:ascii="Arial" w:hAnsi="Arial" w:cs="Arial"/>
          <w:lang w:val="sq-AL"/>
        </w:rPr>
        <w:t>obradu</w:t>
      </w:r>
      <w:r w:rsidRPr="00190E58">
        <w:rPr>
          <w:rFonts w:ascii="Arial" w:hAnsi="Arial" w:cs="Arial"/>
          <w:lang w:val="sq-AL"/>
        </w:rPr>
        <w:t xml:space="preserve">, budući da svaka jedinica za </w:t>
      </w:r>
      <w:r w:rsidR="00D54594">
        <w:rPr>
          <w:rFonts w:ascii="Arial" w:hAnsi="Arial" w:cs="Arial"/>
          <w:lang w:val="sq-AL"/>
        </w:rPr>
        <w:t>obradu</w:t>
      </w:r>
      <w:r w:rsidR="00D54594" w:rsidRPr="00190E58">
        <w:rPr>
          <w:rFonts w:ascii="Arial" w:hAnsi="Arial" w:cs="Arial"/>
          <w:lang w:val="sq-AL"/>
        </w:rPr>
        <w:t xml:space="preserve"> </w:t>
      </w:r>
      <w:r w:rsidRPr="00190E58">
        <w:rPr>
          <w:rFonts w:ascii="Arial" w:hAnsi="Arial" w:cs="Arial"/>
          <w:lang w:val="sq-AL"/>
        </w:rPr>
        <w:t>obično ne rukuje svim vrstama otpada od električnih i elektronskih proizvoda.</w:t>
      </w:r>
    </w:p>
    <w:p w14:paraId="2689ED67" w14:textId="77777777" w:rsidR="009316F8" w:rsidRPr="00190E58" w:rsidRDefault="009316F8" w:rsidP="009316F8">
      <w:pPr>
        <w:widowControl w:val="0"/>
        <w:spacing w:before="120" w:after="120" w:line="360" w:lineRule="auto"/>
        <w:rPr>
          <w:rFonts w:ascii="Arial" w:hAnsi="Arial" w:cs="Arial"/>
          <w:lang w:val="sq-AL"/>
        </w:rPr>
      </w:pPr>
      <w:r w:rsidRPr="00190E58">
        <w:rPr>
          <w:rFonts w:ascii="Arial" w:hAnsi="Arial" w:cs="Arial"/>
          <w:lang w:val="sq-AL"/>
        </w:rPr>
        <w:t xml:space="preserve">U udaljenim oblastima sa malom količinom proizvedenog otpada od električnih i elektronskih proizvoda, predlaže se uspostavljanje centara za prijem i uklanjanje zagađenja kako bi se smanjili operativni troškovi. Takvi centri mogu da primaju naloge direktno od proizvođača  za sakupljanje otpada od električnih i </w:t>
      </w:r>
      <w:r w:rsidRPr="00190E58">
        <w:rPr>
          <w:rFonts w:ascii="Arial" w:hAnsi="Arial" w:cs="Arial"/>
          <w:lang w:val="sq-AL"/>
        </w:rPr>
        <w:lastRenderedPageBreak/>
        <w:t>elektronskih proizvoda.</w:t>
      </w:r>
    </w:p>
    <w:p w14:paraId="14654B7B" w14:textId="0C8EBAF6" w:rsidR="009316F8" w:rsidRPr="00190E58" w:rsidRDefault="009316F8" w:rsidP="009316F8">
      <w:pPr>
        <w:widowControl w:val="0"/>
        <w:spacing w:before="120" w:after="120" w:line="360" w:lineRule="auto"/>
        <w:rPr>
          <w:rFonts w:ascii="Arial" w:hAnsi="Arial" w:cs="Arial"/>
          <w:lang w:val="sq-AL"/>
        </w:rPr>
      </w:pPr>
      <w:r w:rsidRPr="00190E58">
        <w:rPr>
          <w:rFonts w:ascii="Arial" w:hAnsi="Arial" w:cs="Arial"/>
          <w:lang w:val="sq-AL"/>
        </w:rPr>
        <w:t>U centrima za prijem</w:t>
      </w:r>
      <w:r w:rsidR="00AE7792">
        <w:rPr>
          <w:rFonts w:ascii="Arial" w:hAnsi="Arial" w:cs="Arial"/>
          <w:lang w:val="sq-AL"/>
        </w:rPr>
        <w:t xml:space="preserve"> </w:t>
      </w:r>
      <w:r w:rsidRPr="00190E58">
        <w:rPr>
          <w:rFonts w:ascii="Arial" w:hAnsi="Arial" w:cs="Arial"/>
          <w:lang w:val="sq-AL"/>
        </w:rPr>
        <w:t xml:space="preserve">otpad od električnih i elektronskih proizvoda dijeli se na otpad  koji se može transportovati do postrojenja za  ponovnu upotrebu i otpad  koji se transportuje do postrojenja za </w:t>
      </w:r>
      <w:r w:rsidR="00AE7792">
        <w:rPr>
          <w:rFonts w:ascii="Arial" w:hAnsi="Arial" w:cs="Arial"/>
          <w:lang w:val="sq-AL"/>
        </w:rPr>
        <w:t>obradu</w:t>
      </w:r>
      <w:r w:rsidRPr="00190E58">
        <w:rPr>
          <w:rFonts w:ascii="Arial" w:hAnsi="Arial" w:cs="Arial"/>
          <w:lang w:val="sq-AL"/>
        </w:rPr>
        <w:t>.</w:t>
      </w:r>
    </w:p>
    <w:p w14:paraId="0D0D76F8" w14:textId="69769E1B" w:rsidR="009316F8" w:rsidRPr="002A6F4E" w:rsidRDefault="009316F8" w:rsidP="009316F8">
      <w:pPr>
        <w:widowControl w:val="0"/>
        <w:spacing w:before="120" w:after="120" w:line="360" w:lineRule="auto"/>
        <w:rPr>
          <w:rFonts w:ascii="Arial" w:hAnsi="Arial" w:cs="Arial"/>
          <w:lang w:val="sq-AL"/>
        </w:rPr>
      </w:pPr>
      <w:r w:rsidRPr="00190E58">
        <w:rPr>
          <w:rFonts w:ascii="Arial" w:hAnsi="Arial" w:cs="Arial"/>
          <w:lang w:val="sq-AL"/>
        </w:rPr>
        <w:t>Transport otpada od električnih i elektronskih proizvoda prema ili od prihvatnih centara može se obaviti vozilima OOP ili sa vozilima priv</w:t>
      </w:r>
      <w:r w:rsidR="00AE7792">
        <w:rPr>
          <w:rFonts w:ascii="Arial" w:hAnsi="Arial" w:cs="Arial"/>
          <w:lang w:val="sq-AL"/>
        </w:rPr>
        <w:t>rednih društava,</w:t>
      </w:r>
      <w:r w:rsidRPr="00190E58">
        <w:rPr>
          <w:rFonts w:ascii="Arial" w:hAnsi="Arial" w:cs="Arial"/>
          <w:lang w:val="sq-AL"/>
        </w:rPr>
        <w:t xml:space="preserve"> koji posjeduju odgovarajuću dozvolu za transport takvog tereta, u skladu sa zakonodavstvom</w:t>
      </w:r>
      <w:r w:rsidR="000C385D">
        <w:rPr>
          <w:rFonts w:ascii="Arial" w:hAnsi="Arial" w:cs="Arial"/>
          <w:lang w:val="sq-AL"/>
        </w:rPr>
        <w:t xml:space="preserve"> Crne Gore</w:t>
      </w:r>
      <w:r w:rsidRPr="00190E58">
        <w:rPr>
          <w:rFonts w:ascii="Arial" w:hAnsi="Arial" w:cs="Arial"/>
          <w:lang w:val="sq-AL"/>
        </w:rPr>
        <w:t>.</w:t>
      </w:r>
    </w:p>
    <w:p w14:paraId="5899ADEE" w14:textId="5CEF9801" w:rsidR="009316F8" w:rsidRPr="002A6F4E" w:rsidRDefault="009316F8" w:rsidP="009316F8">
      <w:pPr>
        <w:widowControl w:val="0"/>
        <w:spacing w:before="120" w:after="120" w:line="360" w:lineRule="auto"/>
        <w:rPr>
          <w:rFonts w:ascii="Arial" w:hAnsi="Arial" w:cs="Arial"/>
          <w:b/>
          <w:bCs/>
          <w:u w:val="single"/>
          <w:lang w:val="sq-AL"/>
        </w:rPr>
      </w:pPr>
      <w:r w:rsidRPr="002A6F4E">
        <w:rPr>
          <w:rFonts w:ascii="Arial" w:hAnsi="Arial" w:cs="Arial"/>
          <w:b/>
          <w:bCs/>
          <w:u w:val="single"/>
          <w:lang w:val="sq-AL"/>
        </w:rPr>
        <w:t xml:space="preserve">Povrat materijala </w:t>
      </w:r>
      <w:r w:rsidR="00AE7792">
        <w:rPr>
          <w:rFonts w:ascii="Arial" w:hAnsi="Arial" w:cs="Arial"/>
          <w:b/>
          <w:bCs/>
          <w:u w:val="single"/>
          <w:lang w:val="sq-AL"/>
        </w:rPr>
        <w:t>i prerada</w:t>
      </w:r>
    </w:p>
    <w:p w14:paraId="1AB27940" w14:textId="069C68A6" w:rsidR="009316F8" w:rsidRPr="00190E58" w:rsidRDefault="009316F8" w:rsidP="009316F8">
      <w:pPr>
        <w:widowControl w:val="0"/>
        <w:spacing w:before="120" w:after="120" w:line="360" w:lineRule="auto"/>
        <w:rPr>
          <w:rFonts w:ascii="Arial" w:hAnsi="Arial" w:cs="Arial"/>
          <w:lang w:val="sq-AL"/>
        </w:rPr>
      </w:pPr>
      <w:r w:rsidRPr="002A6F4E">
        <w:rPr>
          <w:rFonts w:ascii="Arial" w:hAnsi="Arial" w:cs="Arial"/>
          <w:lang w:val="sq-AL"/>
        </w:rPr>
        <w:t xml:space="preserve">Državnim planom upravljanja otpadom predviđeno je uspostavljanje sistema proširene odgovornosti proizvođača (uključujući OOP) za otpad od električnih i elektronskih proizvoda, koji će pored sakupljanja i transporta biti odgovoran i za razvoj mreže objekata za popravku, povrat i </w:t>
      </w:r>
      <w:r w:rsidR="000C385D">
        <w:rPr>
          <w:rFonts w:ascii="Arial" w:hAnsi="Arial" w:cs="Arial"/>
          <w:lang w:val="sq-AL"/>
        </w:rPr>
        <w:t>obradu</w:t>
      </w:r>
      <w:r w:rsidR="000C385D" w:rsidRPr="002A6F4E">
        <w:rPr>
          <w:rFonts w:ascii="Arial" w:hAnsi="Arial" w:cs="Arial"/>
          <w:lang w:val="sq-AL"/>
        </w:rPr>
        <w:t xml:space="preserve"> </w:t>
      </w:r>
      <w:r w:rsidRPr="002A6F4E">
        <w:rPr>
          <w:rFonts w:ascii="Arial" w:hAnsi="Arial" w:cs="Arial"/>
          <w:lang w:val="sq-AL"/>
        </w:rPr>
        <w:t xml:space="preserve">koji će pokriti potrebe u </w:t>
      </w:r>
      <w:r w:rsidRPr="00190E58">
        <w:rPr>
          <w:rFonts w:ascii="Arial" w:hAnsi="Arial" w:cs="Arial"/>
          <w:lang w:val="sq-AL"/>
        </w:rPr>
        <w:t>geografskom i kvantitativnom smislu.</w:t>
      </w:r>
    </w:p>
    <w:p w14:paraId="4BE25468" w14:textId="1668F630" w:rsidR="009316F8" w:rsidRPr="002A6F4E" w:rsidRDefault="009316F8" w:rsidP="009316F8">
      <w:pPr>
        <w:widowControl w:val="0"/>
        <w:spacing w:before="120" w:after="120" w:line="360" w:lineRule="auto"/>
        <w:rPr>
          <w:rFonts w:ascii="Arial" w:hAnsi="Arial" w:cs="Arial"/>
          <w:lang w:val="sq-AL"/>
        </w:rPr>
      </w:pPr>
      <w:r w:rsidRPr="00190E58">
        <w:rPr>
          <w:rFonts w:ascii="Arial" w:hAnsi="Arial" w:cs="Arial"/>
          <w:lang w:val="sq-AL"/>
        </w:rPr>
        <w:t>Postrojenja za</w:t>
      </w:r>
      <w:r w:rsidR="00492F9D">
        <w:rPr>
          <w:rFonts w:ascii="Arial" w:hAnsi="Arial" w:cs="Arial"/>
          <w:lang w:val="sq-AL"/>
        </w:rPr>
        <w:t xml:space="preserve"> obradu</w:t>
      </w:r>
      <w:r w:rsidRPr="00190E58">
        <w:rPr>
          <w:rFonts w:ascii="Arial" w:hAnsi="Arial" w:cs="Arial"/>
          <w:lang w:val="sq-AL"/>
        </w:rPr>
        <w:t xml:space="preserve"> otpada od električnih i elektronskih proizvoda mogu biti izgrađena u okviru objekata za upravljanje komunalnim otpadom u Regionalnom centru za sakupljanje otpadom P</w:t>
      </w:r>
      <w:r w:rsidR="00492F9D">
        <w:rPr>
          <w:rFonts w:ascii="Arial" w:hAnsi="Arial" w:cs="Arial"/>
          <w:lang w:val="sq-AL"/>
        </w:rPr>
        <w:t>odgorica</w:t>
      </w:r>
      <w:r w:rsidRPr="00190E58">
        <w:rPr>
          <w:rFonts w:ascii="Arial" w:hAnsi="Arial" w:cs="Arial"/>
          <w:lang w:val="sq-AL"/>
        </w:rPr>
        <w:t>.</w:t>
      </w:r>
    </w:p>
    <w:p w14:paraId="44CCF08C" w14:textId="39675EEE" w:rsidR="009316F8" w:rsidRPr="002A6F4E" w:rsidRDefault="009316F8" w:rsidP="009316F8">
      <w:pPr>
        <w:widowControl w:val="0"/>
        <w:spacing w:before="120" w:after="120" w:line="360" w:lineRule="auto"/>
        <w:rPr>
          <w:rFonts w:ascii="Arial" w:hAnsi="Arial" w:cs="Arial"/>
          <w:b/>
          <w:bCs/>
          <w:u w:val="single"/>
          <w:lang w:val="sq-AL"/>
        </w:rPr>
      </w:pPr>
      <w:r w:rsidRPr="002A6F4E">
        <w:rPr>
          <w:rFonts w:ascii="Arial" w:hAnsi="Arial" w:cs="Arial"/>
          <w:b/>
          <w:bCs/>
          <w:u w:val="single"/>
          <w:lang w:val="sq-AL"/>
        </w:rPr>
        <w:t>Od</w:t>
      </w:r>
      <w:r w:rsidR="000C385D">
        <w:rPr>
          <w:rFonts w:ascii="Arial" w:hAnsi="Arial" w:cs="Arial"/>
          <w:b/>
          <w:bCs/>
          <w:u w:val="single"/>
          <w:lang w:val="sq-AL"/>
        </w:rPr>
        <w:t>stranjivanje</w:t>
      </w:r>
    </w:p>
    <w:p w14:paraId="053511BD" w14:textId="3083A450"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Od</w:t>
      </w:r>
      <w:r w:rsidR="000C385D">
        <w:rPr>
          <w:rFonts w:ascii="Arial" w:hAnsi="Arial" w:cs="Arial"/>
          <w:lang w:val="sq-AL"/>
        </w:rPr>
        <w:t>stranjivanje</w:t>
      </w:r>
      <w:r w:rsidRPr="002A6F4E">
        <w:rPr>
          <w:rFonts w:ascii="Arial" w:hAnsi="Arial" w:cs="Arial"/>
          <w:lang w:val="sq-AL"/>
        </w:rPr>
        <w:t xml:space="preserve"> se odnosi isključivo na neopasne predmete koji nastaju demontažom otpada od električnih i elektronskih proizvoda tokom </w:t>
      </w:r>
      <w:r w:rsidR="00492F9D">
        <w:rPr>
          <w:rFonts w:ascii="Arial" w:hAnsi="Arial" w:cs="Arial"/>
          <w:lang w:val="sq-AL"/>
        </w:rPr>
        <w:t>obrade</w:t>
      </w:r>
      <w:r w:rsidRPr="002A6F4E">
        <w:rPr>
          <w:rFonts w:ascii="Arial" w:hAnsi="Arial" w:cs="Arial"/>
          <w:lang w:val="sq-AL"/>
        </w:rPr>
        <w:t>, kao što su plastika, staklo, i sl., koji se mogu odložiti na deponiju.</w:t>
      </w:r>
    </w:p>
    <w:p w14:paraId="5FF64232" w14:textId="685B7C84" w:rsidR="009316F8" w:rsidRPr="002A6F4E" w:rsidRDefault="009316F8" w:rsidP="00F57909">
      <w:pPr>
        <w:pStyle w:val="Heading2"/>
      </w:pPr>
      <w:bookmarkStart w:id="1318" w:name="_Toc189759739"/>
      <w:bookmarkStart w:id="1319" w:name="_Toc193354061"/>
      <w:r w:rsidRPr="002A6F4E">
        <w:t>6.</w:t>
      </w:r>
      <w:r w:rsidR="008E7CAD" w:rsidRPr="002A6F4E">
        <w:t>3</w:t>
      </w:r>
      <w:r w:rsidRPr="002A6F4E">
        <w:t>. Otpadna vozila</w:t>
      </w:r>
      <w:bookmarkStart w:id="1320" w:name="_Toc189759740"/>
      <w:bookmarkEnd w:id="1318"/>
      <w:r w:rsidRPr="002A6F4E">
        <w:t xml:space="preserve"> - Ciljevi i zadaci</w:t>
      </w:r>
      <w:bookmarkEnd w:id="1319"/>
      <w:bookmarkEnd w:id="1320"/>
      <w:r w:rsidRPr="002A6F4E">
        <w:t xml:space="preserve"> </w:t>
      </w:r>
    </w:p>
    <w:p w14:paraId="6D3FECB9" w14:textId="03E2B616" w:rsidR="00E70430" w:rsidRPr="00222376" w:rsidRDefault="009316F8" w:rsidP="009316F8">
      <w:pPr>
        <w:widowControl w:val="0"/>
        <w:spacing w:before="120" w:after="120" w:line="360" w:lineRule="auto"/>
        <w:rPr>
          <w:rFonts w:ascii="Arial" w:hAnsi="Arial" w:cs="Arial"/>
          <w:lang w:val="hr-HR"/>
        </w:rPr>
      </w:pPr>
      <w:r w:rsidRPr="002A6F4E">
        <w:rPr>
          <w:rFonts w:ascii="Arial" w:hAnsi="Arial" w:cs="Arial"/>
          <w:lang w:val="hr-HR"/>
        </w:rPr>
        <w:t>U narednoj tabeli prikazani su glavni ciljevi kako proizilaze iz zakonskih odredbi.</w:t>
      </w:r>
    </w:p>
    <w:p w14:paraId="5D49AE60" w14:textId="2D0A6C1F" w:rsidR="009316F8" w:rsidRPr="00222376" w:rsidRDefault="009316F8" w:rsidP="009316F8">
      <w:pPr>
        <w:pStyle w:val="Caption"/>
        <w:rPr>
          <w:rFonts w:ascii="Arial" w:eastAsia="Times New Roman" w:hAnsi="Arial" w:cs="Arial"/>
          <w:b w:val="0"/>
          <w:szCs w:val="20"/>
          <w:lang w:val="sq-AL" w:eastAsia="el-GR"/>
        </w:rPr>
      </w:pPr>
      <w:bookmarkStart w:id="1321" w:name="_Toc130833086"/>
      <w:bookmarkStart w:id="1322" w:name="_Toc189515700"/>
      <w:bookmarkStart w:id="1323" w:name="_Toc190160807"/>
      <w:r w:rsidRPr="00222376">
        <w:rPr>
          <w:rFonts w:ascii="Arial" w:eastAsia="Times New Roman" w:hAnsi="Arial" w:cs="Arial"/>
          <w:b w:val="0"/>
          <w:szCs w:val="20"/>
          <w:lang w:val="sq-AL" w:eastAsia="el-GR"/>
        </w:rPr>
        <w:t xml:space="preserve">Tabela </w:t>
      </w:r>
      <w:r w:rsidRPr="00222376">
        <w:rPr>
          <w:rFonts w:ascii="Arial" w:eastAsia="Times New Roman" w:hAnsi="Arial" w:cs="Arial"/>
          <w:b w:val="0"/>
          <w:szCs w:val="20"/>
          <w:lang w:val="sq-AL" w:eastAsia="el-GR"/>
        </w:rPr>
        <w:fldChar w:fldCharType="begin"/>
      </w:r>
      <w:r w:rsidRPr="00222376">
        <w:rPr>
          <w:rFonts w:ascii="Arial" w:eastAsia="Times New Roman" w:hAnsi="Arial" w:cs="Arial"/>
          <w:b w:val="0"/>
          <w:szCs w:val="20"/>
          <w:lang w:val="sq-AL" w:eastAsia="el-GR"/>
        </w:rPr>
        <w:instrText xml:space="preserve"> SEQ Tabela \* ARABIC </w:instrText>
      </w:r>
      <w:r w:rsidRPr="00222376">
        <w:rPr>
          <w:rFonts w:ascii="Arial" w:eastAsia="Times New Roman" w:hAnsi="Arial" w:cs="Arial"/>
          <w:b w:val="0"/>
          <w:szCs w:val="20"/>
          <w:lang w:val="sq-AL" w:eastAsia="el-GR"/>
        </w:rPr>
        <w:fldChar w:fldCharType="separate"/>
      </w:r>
      <w:r w:rsidR="007274DA">
        <w:rPr>
          <w:rFonts w:ascii="Arial" w:eastAsia="Times New Roman" w:hAnsi="Arial" w:cs="Arial"/>
          <w:b w:val="0"/>
          <w:noProof/>
          <w:szCs w:val="20"/>
          <w:lang w:val="sq-AL" w:eastAsia="el-GR"/>
        </w:rPr>
        <w:t>110</w:t>
      </w:r>
      <w:r w:rsidRPr="00222376">
        <w:rPr>
          <w:rFonts w:ascii="Arial" w:eastAsia="Times New Roman" w:hAnsi="Arial" w:cs="Arial"/>
          <w:b w:val="0"/>
          <w:szCs w:val="20"/>
          <w:lang w:val="sq-AL" w:eastAsia="el-GR"/>
        </w:rPr>
        <w:fldChar w:fldCharType="end"/>
      </w:r>
      <w:r w:rsidRPr="00222376">
        <w:rPr>
          <w:rFonts w:ascii="Arial" w:eastAsia="Times New Roman" w:hAnsi="Arial" w:cs="Arial"/>
          <w:b w:val="0"/>
          <w:szCs w:val="20"/>
          <w:lang w:val="sq-AL" w:eastAsia="el-GR"/>
        </w:rPr>
        <w:t xml:space="preserve"> Ciljevi upravljanja otpad</w:t>
      </w:r>
      <w:r w:rsidR="00E24D1E">
        <w:rPr>
          <w:rFonts w:ascii="Arial" w:eastAsia="Times New Roman" w:hAnsi="Arial" w:cs="Arial"/>
          <w:b w:val="0"/>
          <w:szCs w:val="20"/>
          <w:lang w:val="sq-AL" w:eastAsia="el-GR"/>
        </w:rPr>
        <w:t>n</w:t>
      </w:r>
      <w:r w:rsidRPr="00222376">
        <w:rPr>
          <w:rFonts w:ascii="Arial" w:eastAsia="Times New Roman" w:hAnsi="Arial" w:cs="Arial"/>
          <w:b w:val="0"/>
          <w:szCs w:val="20"/>
          <w:lang w:val="sq-AL" w:eastAsia="el-GR"/>
        </w:rPr>
        <w:t>im vozilima</w:t>
      </w:r>
      <w:bookmarkEnd w:id="1321"/>
      <w:bookmarkEnd w:id="1322"/>
      <w:bookmarkEnd w:id="1323"/>
    </w:p>
    <w:tbl>
      <w:tblPr>
        <w:tblStyle w:val="denkstatt7"/>
        <w:tblW w:w="0" w:type="auto"/>
        <w:jc w:val="center"/>
        <w:tblLook w:val="04A0" w:firstRow="1" w:lastRow="0" w:firstColumn="1" w:lastColumn="0" w:noHBand="0" w:noVBand="1"/>
      </w:tblPr>
      <w:tblGrid>
        <w:gridCol w:w="5436"/>
        <w:gridCol w:w="2006"/>
        <w:gridCol w:w="1906"/>
      </w:tblGrid>
      <w:tr w:rsidR="009316F8" w:rsidRPr="00222376" w14:paraId="2CE455C9" w14:textId="77777777" w:rsidTr="00492F9D">
        <w:trPr>
          <w:jc w:val="center"/>
        </w:trPr>
        <w:tc>
          <w:tcPr>
            <w:tcW w:w="5436" w:type="dxa"/>
            <w:shd w:val="clear" w:color="auto" w:fill="D9D9D9" w:themeFill="background1" w:themeFillShade="D9"/>
          </w:tcPr>
          <w:p w14:paraId="6EB38C0A" w14:textId="77777777" w:rsidR="009316F8" w:rsidRPr="00222376" w:rsidRDefault="009316F8" w:rsidP="00FE289C">
            <w:pPr>
              <w:widowControl w:val="0"/>
              <w:spacing w:after="120" w:line="276" w:lineRule="auto"/>
              <w:rPr>
                <w:rFonts w:ascii="Arial" w:hAnsi="Arial" w:cs="Arial"/>
                <w:sz w:val="18"/>
                <w:highlight w:val="cyan"/>
              </w:rPr>
            </w:pPr>
            <w:r w:rsidRPr="00222376">
              <w:rPr>
                <w:rFonts w:ascii="Arial" w:hAnsi="Arial" w:cs="Arial"/>
                <w:b/>
                <w:bCs/>
                <w:sz w:val="18"/>
              </w:rPr>
              <w:t>Opis cilja</w:t>
            </w:r>
          </w:p>
        </w:tc>
        <w:tc>
          <w:tcPr>
            <w:tcW w:w="2006" w:type="dxa"/>
            <w:shd w:val="clear" w:color="auto" w:fill="D9D9D9" w:themeFill="background1" w:themeFillShade="D9"/>
          </w:tcPr>
          <w:p w14:paraId="79103C70" w14:textId="77777777" w:rsidR="009316F8" w:rsidRPr="00222376" w:rsidRDefault="009316F8" w:rsidP="00FE289C">
            <w:pPr>
              <w:widowControl w:val="0"/>
              <w:spacing w:after="120" w:line="276" w:lineRule="auto"/>
              <w:jc w:val="center"/>
              <w:rPr>
                <w:rFonts w:ascii="Arial" w:hAnsi="Arial" w:cs="Arial"/>
                <w:sz w:val="18"/>
                <w:highlight w:val="cyan"/>
              </w:rPr>
            </w:pPr>
            <w:r w:rsidRPr="00222376">
              <w:rPr>
                <w:rFonts w:ascii="Arial" w:hAnsi="Arial" w:cs="Arial"/>
                <w:b/>
                <w:bCs/>
                <w:sz w:val="18"/>
              </w:rPr>
              <w:t>Ciljna godina</w:t>
            </w:r>
          </w:p>
        </w:tc>
        <w:tc>
          <w:tcPr>
            <w:tcW w:w="1906" w:type="dxa"/>
            <w:shd w:val="clear" w:color="auto" w:fill="D9D9D9" w:themeFill="background1" w:themeFillShade="D9"/>
          </w:tcPr>
          <w:p w14:paraId="7EEB8899" w14:textId="77777777" w:rsidR="009316F8" w:rsidRPr="00222376" w:rsidRDefault="009316F8" w:rsidP="00FE289C">
            <w:pPr>
              <w:widowControl w:val="0"/>
              <w:spacing w:after="120" w:line="276" w:lineRule="auto"/>
              <w:rPr>
                <w:rFonts w:ascii="Arial" w:hAnsi="Arial" w:cs="Arial"/>
                <w:sz w:val="18"/>
                <w:highlight w:val="cyan"/>
              </w:rPr>
            </w:pPr>
            <w:r w:rsidRPr="00222376">
              <w:rPr>
                <w:rFonts w:ascii="Arial" w:hAnsi="Arial" w:cs="Arial"/>
                <w:b/>
                <w:bCs/>
                <w:sz w:val="18"/>
              </w:rPr>
              <w:t>Izvor cilja</w:t>
            </w:r>
          </w:p>
        </w:tc>
      </w:tr>
      <w:tr w:rsidR="009316F8" w:rsidRPr="00552AAE" w14:paraId="46FCBC80" w14:textId="77777777" w:rsidTr="00492F9D">
        <w:trPr>
          <w:jc w:val="center"/>
        </w:trPr>
        <w:tc>
          <w:tcPr>
            <w:tcW w:w="5436" w:type="dxa"/>
            <w:shd w:val="clear" w:color="auto" w:fill="auto"/>
          </w:tcPr>
          <w:p w14:paraId="79FDD374" w14:textId="556227F1" w:rsidR="009316F8" w:rsidRPr="00222376" w:rsidRDefault="009316F8" w:rsidP="00FE289C">
            <w:pPr>
              <w:widowControl w:val="0"/>
              <w:spacing w:after="120" w:line="276" w:lineRule="auto"/>
              <w:ind w:left="0"/>
              <w:jc w:val="left"/>
              <w:rPr>
                <w:rFonts w:ascii="Arial" w:hAnsi="Arial" w:cs="Arial"/>
                <w:sz w:val="18"/>
              </w:rPr>
            </w:pPr>
            <w:r w:rsidRPr="00222376">
              <w:rPr>
                <w:rFonts w:ascii="Arial" w:hAnsi="Arial" w:cs="Arial"/>
                <w:sz w:val="18"/>
              </w:rPr>
              <w:t>95% ukupne mase preuzetih otpadnih vozila na godišnjem nivou ponovo upotr</w:t>
            </w:r>
            <w:r w:rsidR="00D33BB9">
              <w:rPr>
                <w:rFonts w:ascii="Arial" w:hAnsi="Arial" w:cs="Arial"/>
                <w:sz w:val="18"/>
              </w:rPr>
              <w:t>ij</w:t>
            </w:r>
            <w:r w:rsidRPr="00222376">
              <w:rPr>
                <w:rFonts w:ascii="Arial" w:hAnsi="Arial" w:cs="Arial"/>
                <w:sz w:val="18"/>
              </w:rPr>
              <w:t>ebiti ili preraditi</w:t>
            </w:r>
          </w:p>
        </w:tc>
        <w:tc>
          <w:tcPr>
            <w:tcW w:w="2006" w:type="dxa"/>
            <w:shd w:val="clear" w:color="auto" w:fill="auto"/>
          </w:tcPr>
          <w:p w14:paraId="19A5FBC9" w14:textId="01CD0545" w:rsidR="009316F8" w:rsidRPr="00222376" w:rsidRDefault="009316F8" w:rsidP="00FE289C">
            <w:pPr>
              <w:widowControl w:val="0"/>
              <w:spacing w:after="120" w:line="276" w:lineRule="auto"/>
              <w:ind w:left="0"/>
              <w:rPr>
                <w:rFonts w:ascii="Arial" w:hAnsi="Arial" w:cs="Arial"/>
                <w:sz w:val="18"/>
              </w:rPr>
            </w:pPr>
            <w:r w:rsidRPr="00222376">
              <w:rPr>
                <w:rFonts w:ascii="Arial" w:hAnsi="Arial" w:cs="Arial"/>
                <w:sz w:val="18"/>
              </w:rPr>
              <w:t>20</w:t>
            </w:r>
            <w:r w:rsidR="00443FE4">
              <w:rPr>
                <w:rFonts w:ascii="Arial" w:hAnsi="Arial" w:cs="Arial"/>
                <w:sz w:val="18"/>
              </w:rPr>
              <w:t>30</w:t>
            </w:r>
            <w:r w:rsidRPr="00222376">
              <w:rPr>
                <w:rFonts w:ascii="Arial" w:hAnsi="Arial" w:cs="Arial"/>
                <w:sz w:val="18"/>
              </w:rPr>
              <w:t>. (predloženi datum nije uključen u zakon)</w:t>
            </w:r>
          </w:p>
        </w:tc>
        <w:tc>
          <w:tcPr>
            <w:tcW w:w="1906" w:type="dxa"/>
            <w:vMerge w:val="restart"/>
            <w:shd w:val="clear" w:color="auto" w:fill="auto"/>
            <w:vAlign w:val="center"/>
          </w:tcPr>
          <w:p w14:paraId="0FB8FE34" w14:textId="4F9A0964" w:rsidR="009316F8" w:rsidRPr="00222376" w:rsidRDefault="009316F8" w:rsidP="00FE289C">
            <w:pPr>
              <w:widowControl w:val="0"/>
              <w:spacing w:after="120" w:line="276" w:lineRule="auto"/>
              <w:ind w:left="0"/>
              <w:jc w:val="left"/>
              <w:rPr>
                <w:rFonts w:ascii="Arial" w:hAnsi="Arial" w:cs="Arial"/>
                <w:sz w:val="18"/>
                <w:lang w:val="de-DE"/>
              </w:rPr>
            </w:pPr>
            <w:r w:rsidRPr="00222376">
              <w:rPr>
                <w:rFonts w:ascii="Arial" w:hAnsi="Arial" w:cs="Arial"/>
                <w:sz w:val="18"/>
                <w:lang w:val="de-DE"/>
              </w:rPr>
              <w:t>Prema čl. 56 Zakona o UO</w:t>
            </w:r>
            <w:r w:rsidRPr="00222376" w:rsidDel="004623F1">
              <w:rPr>
                <w:rFonts w:ascii="Arial" w:hAnsi="Arial" w:cs="Arial"/>
                <w:sz w:val="18"/>
                <w:lang w:val="de-DE"/>
              </w:rPr>
              <w:t xml:space="preserve"> </w:t>
            </w:r>
          </w:p>
        </w:tc>
      </w:tr>
      <w:tr w:rsidR="009316F8" w:rsidRPr="00552AAE" w14:paraId="1A7A1BB3" w14:textId="77777777" w:rsidTr="00492F9D">
        <w:tblPrEx>
          <w:jc w:val="left"/>
        </w:tblPrEx>
        <w:tc>
          <w:tcPr>
            <w:tcW w:w="5436" w:type="dxa"/>
          </w:tcPr>
          <w:p w14:paraId="68D84966" w14:textId="3D8FC0D6" w:rsidR="009316F8" w:rsidRPr="00222376" w:rsidRDefault="009316F8" w:rsidP="00FE289C">
            <w:pPr>
              <w:widowControl w:val="0"/>
              <w:spacing w:after="120" w:line="276" w:lineRule="auto"/>
              <w:ind w:left="0"/>
              <w:jc w:val="left"/>
              <w:rPr>
                <w:rFonts w:ascii="Arial" w:hAnsi="Arial" w:cs="Arial"/>
                <w:sz w:val="18"/>
                <w:highlight w:val="cyan"/>
                <w:lang w:val="de-DE"/>
              </w:rPr>
            </w:pPr>
            <w:r w:rsidRPr="00222376">
              <w:rPr>
                <w:rFonts w:ascii="Arial" w:hAnsi="Arial" w:cs="Arial"/>
                <w:sz w:val="18"/>
                <w:lang w:val="de-DE"/>
              </w:rPr>
              <w:t>85% ukupne mase preuzetih otpadnih vozila na godišnjem nivou ponovo upotr</w:t>
            </w:r>
            <w:r w:rsidR="00492F9D" w:rsidRPr="00222376">
              <w:rPr>
                <w:rFonts w:ascii="Arial" w:hAnsi="Arial" w:cs="Arial"/>
                <w:sz w:val="18"/>
                <w:lang w:val="de-DE"/>
              </w:rPr>
              <w:t>ij</w:t>
            </w:r>
            <w:r w:rsidRPr="00222376">
              <w:rPr>
                <w:rFonts w:ascii="Arial" w:hAnsi="Arial" w:cs="Arial"/>
                <w:sz w:val="18"/>
                <w:lang w:val="de-DE"/>
              </w:rPr>
              <w:t>ebiti ili reciklirati</w:t>
            </w:r>
          </w:p>
        </w:tc>
        <w:tc>
          <w:tcPr>
            <w:tcW w:w="2006" w:type="dxa"/>
          </w:tcPr>
          <w:p w14:paraId="4C84B229" w14:textId="70122A9F" w:rsidR="009316F8" w:rsidRPr="00222376" w:rsidRDefault="009316F8" w:rsidP="00FE289C">
            <w:pPr>
              <w:widowControl w:val="0"/>
              <w:spacing w:after="120" w:line="276" w:lineRule="auto"/>
              <w:ind w:left="0"/>
              <w:rPr>
                <w:rFonts w:ascii="Arial" w:hAnsi="Arial" w:cs="Arial"/>
                <w:sz w:val="18"/>
                <w:lang w:val="de-DE"/>
              </w:rPr>
            </w:pPr>
            <w:r w:rsidRPr="00443FE4">
              <w:rPr>
                <w:rFonts w:ascii="Arial" w:hAnsi="Arial" w:cs="Arial"/>
                <w:sz w:val="18"/>
                <w:lang w:val="de-DE"/>
              </w:rPr>
              <w:t>20</w:t>
            </w:r>
            <w:r w:rsidR="00443FE4">
              <w:rPr>
                <w:rFonts w:ascii="Arial" w:hAnsi="Arial" w:cs="Arial"/>
                <w:sz w:val="18"/>
                <w:lang w:val="de-DE"/>
              </w:rPr>
              <w:t>30</w:t>
            </w:r>
            <w:r w:rsidRPr="00222376">
              <w:rPr>
                <w:rFonts w:ascii="Arial" w:hAnsi="Arial" w:cs="Arial"/>
                <w:sz w:val="18"/>
                <w:lang w:val="de-DE"/>
              </w:rPr>
              <w:t>.</w:t>
            </w:r>
            <w:r w:rsidR="00492F9D" w:rsidRPr="00222376">
              <w:rPr>
                <w:rFonts w:ascii="Arial" w:hAnsi="Arial" w:cs="Arial"/>
                <w:sz w:val="18"/>
                <w:lang w:val="de-DE"/>
              </w:rPr>
              <w:t xml:space="preserve"> </w:t>
            </w:r>
            <w:r w:rsidRPr="00222376">
              <w:rPr>
                <w:rFonts w:ascii="Arial" w:hAnsi="Arial" w:cs="Arial"/>
                <w:sz w:val="18"/>
                <w:lang w:val="de-DE"/>
              </w:rPr>
              <w:t>(predloženi datum nije uključen u zakon)</w:t>
            </w:r>
          </w:p>
        </w:tc>
        <w:tc>
          <w:tcPr>
            <w:tcW w:w="1906" w:type="dxa"/>
            <w:vMerge/>
          </w:tcPr>
          <w:p w14:paraId="19B39C26" w14:textId="77777777" w:rsidR="009316F8" w:rsidRPr="00222376" w:rsidRDefault="009316F8" w:rsidP="00FE289C">
            <w:pPr>
              <w:widowControl w:val="0"/>
              <w:spacing w:after="120" w:line="276" w:lineRule="auto"/>
              <w:jc w:val="left"/>
              <w:rPr>
                <w:rFonts w:ascii="Arial" w:hAnsi="Arial" w:cs="Arial"/>
                <w:sz w:val="18"/>
                <w:lang w:val="de-DE"/>
              </w:rPr>
            </w:pPr>
          </w:p>
        </w:tc>
      </w:tr>
    </w:tbl>
    <w:p w14:paraId="777D4AFE" w14:textId="77777777" w:rsidR="00070A7E" w:rsidRDefault="00070A7E" w:rsidP="009316F8">
      <w:pPr>
        <w:spacing w:after="120" w:line="360" w:lineRule="auto"/>
        <w:rPr>
          <w:rFonts w:ascii="Arial" w:hAnsi="Arial" w:cs="Arial"/>
          <w:lang w:val="sq-AL"/>
        </w:rPr>
      </w:pPr>
    </w:p>
    <w:p w14:paraId="598556DA" w14:textId="1D0C2F3F" w:rsidR="009316F8" w:rsidRPr="002A6F4E" w:rsidRDefault="009316F8" w:rsidP="009316F8">
      <w:pPr>
        <w:spacing w:after="120" w:line="360" w:lineRule="auto"/>
        <w:rPr>
          <w:rFonts w:ascii="Arial" w:hAnsi="Arial" w:cs="Arial"/>
          <w:lang w:val="sq-AL"/>
        </w:rPr>
      </w:pPr>
      <w:r w:rsidRPr="002A6F4E">
        <w:rPr>
          <w:rFonts w:ascii="Arial" w:hAnsi="Arial" w:cs="Arial"/>
          <w:lang w:val="sq-AL"/>
        </w:rPr>
        <w:t>Pored toga, postavljeni su sljedeći ciljevi za upravljanje otpadnim vozilima:</w:t>
      </w:r>
    </w:p>
    <w:p w14:paraId="6B61C534" w14:textId="2C0926F1"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Podržati napore i uspostaviti sistem proširene odgovornosti proizvođača za otpadna vozila</w:t>
      </w:r>
      <w:r w:rsidR="00070A7E">
        <w:rPr>
          <w:rFonts w:ascii="Arial" w:hAnsi="Arial" w:cs="Arial"/>
          <w:lang w:val="sq-AL"/>
        </w:rPr>
        <w:t>, 24 mjeseca</w:t>
      </w:r>
      <w:r w:rsidRPr="002A6F4E">
        <w:rPr>
          <w:rFonts w:ascii="Arial" w:hAnsi="Arial" w:cs="Arial"/>
          <w:lang w:val="sq-AL"/>
        </w:rPr>
        <w:t xml:space="preserve"> </w:t>
      </w:r>
      <w:r w:rsidR="00070A7E">
        <w:rPr>
          <w:rFonts w:ascii="Arial" w:hAnsi="Arial" w:cs="Arial"/>
          <w:lang w:val="sq-AL"/>
        </w:rPr>
        <w:t>od da</w:t>
      </w:r>
      <w:r w:rsidR="009D2384">
        <w:rPr>
          <w:rFonts w:ascii="Arial" w:hAnsi="Arial" w:cs="Arial"/>
          <w:lang w:val="sq-AL"/>
        </w:rPr>
        <w:t xml:space="preserve">na stupanja na snagu Zakona o </w:t>
      </w:r>
      <w:r w:rsidR="009D2384" w:rsidRPr="009D2384">
        <w:rPr>
          <w:rFonts w:ascii="Arial" w:hAnsi="Arial" w:cs="Arial"/>
          <w:lang w:val="sq-AL"/>
        </w:rPr>
        <w:t>upravljanju otpadom</w:t>
      </w:r>
      <w:r w:rsidRPr="002A6F4E">
        <w:rPr>
          <w:rFonts w:ascii="Arial" w:hAnsi="Arial" w:cs="Arial"/>
          <w:lang w:val="sq-AL"/>
        </w:rPr>
        <w:t>.</w:t>
      </w:r>
    </w:p>
    <w:p w14:paraId="20D75E31" w14:textId="77777777"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Uspostaviti odgovarajuće mreže pogona za usitnjavanje i dekontaminaciju.</w:t>
      </w:r>
    </w:p>
    <w:p w14:paraId="014552D9" w14:textId="77777777"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Podržati napore na suzbijanju nelegalnog rada pogona za usitnjavanje i dekontaminaciju.</w:t>
      </w:r>
    </w:p>
    <w:p w14:paraId="0CBBF7A4" w14:textId="77966ED8"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 xml:space="preserve">Direktiva 2000/53/EC o otpadnim vozilima uspostavljena je sa ciljem da se uklanjanje zagađenja, </w:t>
      </w:r>
      <w:r w:rsidRPr="002A6F4E">
        <w:rPr>
          <w:rFonts w:ascii="Arial" w:hAnsi="Arial" w:cs="Arial"/>
          <w:lang w:val="sq-AL"/>
        </w:rPr>
        <w:lastRenderedPageBreak/>
        <w:t>demontaže i recikl</w:t>
      </w:r>
      <w:r w:rsidR="00977475">
        <w:rPr>
          <w:rFonts w:ascii="Arial" w:hAnsi="Arial" w:cs="Arial"/>
          <w:lang w:val="sq-AL"/>
        </w:rPr>
        <w:t>iranja</w:t>
      </w:r>
      <w:r w:rsidRPr="002A6F4E">
        <w:rPr>
          <w:rFonts w:ascii="Arial" w:hAnsi="Arial" w:cs="Arial"/>
          <w:lang w:val="sq-AL"/>
        </w:rPr>
        <w:t xml:space="preserve"> </w:t>
      </w:r>
      <w:r w:rsidR="00977475">
        <w:rPr>
          <w:rFonts w:ascii="Arial" w:hAnsi="Arial" w:cs="Arial"/>
          <w:lang w:val="sq-AL"/>
        </w:rPr>
        <w:t xml:space="preserve">otpadnih </w:t>
      </w:r>
      <w:r w:rsidRPr="002A6F4E">
        <w:rPr>
          <w:rFonts w:ascii="Arial" w:hAnsi="Arial" w:cs="Arial"/>
          <w:lang w:val="sq-AL"/>
        </w:rPr>
        <w:t>vozila učini ekološki prihvatljivijim i ekonomski privlačnijim. Pored toga, direktiva postavlja jasne ciljeve za obavezno uklanjanje zagađenja, kvantifikuje ciljeve za ponovnu upotrebu, recikl</w:t>
      </w:r>
      <w:r w:rsidR="00977475">
        <w:rPr>
          <w:rFonts w:ascii="Arial" w:hAnsi="Arial" w:cs="Arial"/>
          <w:lang w:val="sq-AL"/>
        </w:rPr>
        <w:t>iranje</w:t>
      </w:r>
      <w:r w:rsidRPr="002A6F4E">
        <w:rPr>
          <w:rFonts w:ascii="Arial" w:hAnsi="Arial" w:cs="Arial"/>
          <w:lang w:val="sq-AL"/>
        </w:rPr>
        <w:t xml:space="preserve"> i preradu vozila i njihovih komponenti i vrši pritisak na  proizvođače da proizvode nova vozila uz razmatranje njihov</w:t>
      </w:r>
      <w:r w:rsidR="00E554D8">
        <w:rPr>
          <w:rFonts w:ascii="Arial" w:hAnsi="Arial" w:cs="Arial"/>
          <w:lang w:val="sq-AL"/>
        </w:rPr>
        <w:t>og</w:t>
      </w:r>
      <w:r w:rsidRPr="002A6F4E">
        <w:rPr>
          <w:rFonts w:ascii="Arial" w:hAnsi="Arial" w:cs="Arial"/>
          <w:lang w:val="sq-AL"/>
        </w:rPr>
        <w:t xml:space="preserve"> recikl</w:t>
      </w:r>
      <w:r w:rsidR="00E554D8">
        <w:rPr>
          <w:rFonts w:ascii="Arial" w:hAnsi="Arial" w:cs="Arial"/>
          <w:lang w:val="sq-AL"/>
        </w:rPr>
        <w:t>iranja</w:t>
      </w:r>
      <w:r w:rsidRPr="002A6F4E">
        <w:rPr>
          <w:rFonts w:ascii="Arial" w:hAnsi="Arial" w:cs="Arial"/>
          <w:lang w:val="sq-AL"/>
        </w:rPr>
        <w:t>. Direktiva takođe pruža mogućnost proizvođačima/uvoznicima da snose troškove prerade otpadnih vozila kada procesi neophodni za postizanje postavljenih ciljeva ni</w:t>
      </w:r>
      <w:r w:rsidR="00070A7E">
        <w:rPr>
          <w:rFonts w:ascii="Arial" w:hAnsi="Arial" w:cs="Arial"/>
          <w:lang w:val="sq-AL"/>
        </w:rPr>
        <w:t>je</w:t>
      </w:r>
      <w:r w:rsidRPr="002A6F4E">
        <w:rPr>
          <w:rFonts w:ascii="Arial" w:hAnsi="Arial" w:cs="Arial"/>
          <w:lang w:val="sq-AL"/>
        </w:rPr>
        <w:t>su ekonomski održivi.</w:t>
      </w:r>
      <w:r w:rsidR="00E70430">
        <w:rPr>
          <w:rFonts w:ascii="Arial" w:hAnsi="Arial" w:cs="Arial"/>
          <w:lang w:val="sq-AL"/>
        </w:rPr>
        <w:t xml:space="preserve"> </w:t>
      </w:r>
      <w:r w:rsidR="00070A7E">
        <w:rPr>
          <w:rFonts w:ascii="Arial" w:hAnsi="Arial" w:cs="Arial"/>
          <w:lang w:val="sq-AL"/>
        </w:rPr>
        <w:t xml:space="preserve">Obrada </w:t>
      </w:r>
      <w:r w:rsidRPr="002A6F4E">
        <w:rPr>
          <w:rFonts w:ascii="Arial" w:hAnsi="Arial" w:cs="Arial"/>
          <w:lang w:val="sq-AL"/>
        </w:rPr>
        <w:t>u drobilicama (šrederima) smatra se najboljom tehnikom za otpadn</w:t>
      </w:r>
      <w:r w:rsidR="00070A7E">
        <w:rPr>
          <w:rFonts w:ascii="Arial" w:hAnsi="Arial" w:cs="Arial"/>
          <w:lang w:val="sq-AL"/>
        </w:rPr>
        <w:t>a</w:t>
      </w:r>
      <w:r w:rsidRPr="002A6F4E">
        <w:rPr>
          <w:rFonts w:ascii="Arial" w:hAnsi="Arial" w:cs="Arial"/>
          <w:lang w:val="sq-AL"/>
        </w:rPr>
        <w:t xml:space="preserve"> vozila i njihov</w:t>
      </w:r>
      <w:r w:rsidR="00070A7E">
        <w:rPr>
          <w:rFonts w:ascii="Arial" w:hAnsi="Arial" w:cs="Arial"/>
          <w:lang w:val="sq-AL"/>
        </w:rPr>
        <w:t>e</w:t>
      </w:r>
      <w:r w:rsidRPr="002A6F4E">
        <w:rPr>
          <w:rFonts w:ascii="Arial" w:hAnsi="Arial" w:cs="Arial"/>
          <w:lang w:val="sq-AL"/>
        </w:rPr>
        <w:t xml:space="preserve"> komponent</w:t>
      </w:r>
      <w:r w:rsidR="00070A7E">
        <w:rPr>
          <w:rFonts w:ascii="Arial" w:hAnsi="Arial" w:cs="Arial"/>
          <w:lang w:val="sq-AL"/>
        </w:rPr>
        <w:t>e</w:t>
      </w:r>
      <w:r w:rsidRPr="002A6F4E">
        <w:rPr>
          <w:rFonts w:ascii="Arial" w:eastAsia="Times New Roman" w:hAnsi="Arial" w:cs="Arial"/>
          <w:vertAlign w:val="superscript"/>
          <w:lang w:val="sq-AL" w:eastAsia="el-GR"/>
        </w:rPr>
        <w:footnoteReference w:id="45"/>
      </w:r>
      <w:r w:rsidRPr="002A6F4E">
        <w:rPr>
          <w:rFonts w:ascii="Arial" w:hAnsi="Arial" w:cs="Arial"/>
          <w:lang w:val="sq-AL"/>
        </w:rPr>
        <w:t>.</w:t>
      </w:r>
    </w:p>
    <w:p w14:paraId="2218104B" w14:textId="4AE1A9DF" w:rsidR="009316F8" w:rsidRPr="00C858F2" w:rsidRDefault="009316F8" w:rsidP="00F57909">
      <w:pPr>
        <w:pStyle w:val="Heading2"/>
      </w:pPr>
      <w:bookmarkStart w:id="1324" w:name="_Toc121759113"/>
      <w:bookmarkStart w:id="1325" w:name="_Toc189759742"/>
      <w:bookmarkStart w:id="1326" w:name="_Toc193354062"/>
      <w:r w:rsidRPr="00C858F2">
        <w:rPr>
          <w:bCs/>
        </w:rPr>
        <w:t>6.</w:t>
      </w:r>
      <w:r w:rsidR="008E7CAD" w:rsidRPr="00C858F2">
        <w:rPr>
          <w:bCs/>
        </w:rPr>
        <w:t>4</w:t>
      </w:r>
      <w:r w:rsidRPr="00C858F2">
        <w:rPr>
          <w:bCs/>
        </w:rPr>
        <w:t xml:space="preserve">. </w:t>
      </w:r>
      <w:r w:rsidR="00780CC7">
        <w:rPr>
          <w:bCs/>
        </w:rPr>
        <w:t>Otpadne b</w:t>
      </w:r>
      <w:r w:rsidRPr="00C858F2">
        <w:rPr>
          <w:bCs/>
        </w:rPr>
        <w:t>aterije</w:t>
      </w:r>
      <w:r w:rsidRPr="00C858F2">
        <w:t xml:space="preserve"> i akumulatori</w:t>
      </w:r>
      <w:bookmarkStart w:id="1327" w:name="_Toc189759743"/>
      <w:bookmarkEnd w:id="1324"/>
      <w:bookmarkEnd w:id="1325"/>
      <w:r w:rsidRPr="00C858F2">
        <w:t xml:space="preserve"> - Ciljevi i zadaci</w:t>
      </w:r>
      <w:bookmarkEnd w:id="1326"/>
      <w:bookmarkEnd w:id="1327"/>
      <w:r w:rsidRPr="00C858F2">
        <w:t xml:space="preserve"> </w:t>
      </w:r>
    </w:p>
    <w:p w14:paraId="2B700EC9" w14:textId="10EFA197" w:rsidR="00E24D1E" w:rsidRPr="00D37D42" w:rsidRDefault="009316F8" w:rsidP="009316F8">
      <w:pPr>
        <w:widowControl w:val="0"/>
        <w:spacing w:before="120" w:after="120" w:line="360" w:lineRule="auto"/>
        <w:rPr>
          <w:rFonts w:ascii="Arial" w:hAnsi="Arial" w:cs="Arial"/>
          <w:lang w:val="hr-HR"/>
        </w:rPr>
      </w:pPr>
      <w:r w:rsidRPr="002A6F4E">
        <w:rPr>
          <w:rFonts w:ascii="Arial" w:hAnsi="Arial" w:cs="Arial"/>
          <w:lang w:val="hr-HR"/>
        </w:rPr>
        <w:t>U narednoj tabeli prikazani su glavni ciljevi kako proizilaze iz zakonskih odredbi.</w:t>
      </w:r>
    </w:p>
    <w:p w14:paraId="7AE71717" w14:textId="30EAA247" w:rsidR="009316F8" w:rsidRPr="008E642F" w:rsidRDefault="009316F8" w:rsidP="009316F8">
      <w:pPr>
        <w:pStyle w:val="Caption"/>
        <w:rPr>
          <w:rFonts w:ascii="Arial" w:hAnsi="Arial" w:cs="Arial"/>
          <w:b w:val="0"/>
          <w:szCs w:val="20"/>
        </w:rPr>
      </w:pPr>
      <w:bookmarkStart w:id="1328" w:name="_Toc189515702"/>
      <w:bookmarkStart w:id="1329" w:name="_Toc190160808"/>
      <w:bookmarkStart w:id="1330" w:name="_Toc130833088"/>
      <w:r w:rsidRPr="008E642F">
        <w:rPr>
          <w:rFonts w:ascii="Arial" w:hAnsi="Arial" w:cs="Arial"/>
          <w:b w:val="0"/>
          <w:szCs w:val="20"/>
        </w:rPr>
        <w:t xml:space="preserve">Tabela </w:t>
      </w:r>
      <w:r w:rsidRPr="008E642F">
        <w:rPr>
          <w:rFonts w:ascii="Arial" w:hAnsi="Arial" w:cs="Arial"/>
          <w:b w:val="0"/>
          <w:szCs w:val="20"/>
        </w:rPr>
        <w:fldChar w:fldCharType="begin"/>
      </w:r>
      <w:r w:rsidRPr="008E642F">
        <w:rPr>
          <w:rFonts w:ascii="Arial" w:hAnsi="Arial" w:cs="Arial"/>
          <w:b w:val="0"/>
          <w:szCs w:val="20"/>
        </w:rPr>
        <w:instrText xml:space="preserve"> SEQ Tabela \* ARABIC </w:instrText>
      </w:r>
      <w:r w:rsidRPr="008E642F">
        <w:rPr>
          <w:rFonts w:ascii="Arial" w:hAnsi="Arial" w:cs="Arial"/>
          <w:b w:val="0"/>
          <w:szCs w:val="20"/>
        </w:rPr>
        <w:fldChar w:fldCharType="separate"/>
      </w:r>
      <w:r w:rsidR="007274DA">
        <w:rPr>
          <w:rFonts w:ascii="Arial" w:hAnsi="Arial" w:cs="Arial"/>
          <w:b w:val="0"/>
          <w:noProof/>
          <w:szCs w:val="20"/>
        </w:rPr>
        <w:t>111</w:t>
      </w:r>
      <w:r w:rsidRPr="008E642F">
        <w:rPr>
          <w:rFonts w:ascii="Arial" w:hAnsi="Arial" w:cs="Arial"/>
          <w:b w:val="0"/>
          <w:szCs w:val="20"/>
        </w:rPr>
        <w:fldChar w:fldCharType="end"/>
      </w:r>
      <w:r w:rsidRPr="008E642F">
        <w:rPr>
          <w:rFonts w:ascii="Arial" w:hAnsi="Arial" w:cs="Arial"/>
          <w:b w:val="0"/>
          <w:szCs w:val="20"/>
        </w:rPr>
        <w:t xml:space="preserve"> Ciljevi upravljanja otpadom za baterije i akumulatore</w:t>
      </w:r>
      <w:bookmarkEnd w:id="1328"/>
      <w:bookmarkEnd w:id="1329"/>
      <w:r w:rsidRPr="008E642F">
        <w:rPr>
          <w:rFonts w:ascii="Arial" w:hAnsi="Arial" w:cs="Arial"/>
          <w:b w:val="0"/>
          <w:szCs w:val="20"/>
        </w:rPr>
        <w:t xml:space="preserve"> </w:t>
      </w:r>
      <w:bookmarkEnd w:id="1330"/>
    </w:p>
    <w:tbl>
      <w:tblPr>
        <w:tblStyle w:val="denkstatt9"/>
        <w:tblW w:w="0" w:type="auto"/>
        <w:jc w:val="center"/>
        <w:tblLook w:val="04A0" w:firstRow="1" w:lastRow="0" w:firstColumn="1" w:lastColumn="0" w:noHBand="0" w:noVBand="1"/>
      </w:tblPr>
      <w:tblGrid>
        <w:gridCol w:w="5511"/>
        <w:gridCol w:w="1940"/>
        <w:gridCol w:w="1897"/>
      </w:tblGrid>
      <w:tr w:rsidR="009316F8" w:rsidRPr="008E642F" w14:paraId="71100CBD" w14:textId="77777777" w:rsidTr="00FE289C">
        <w:trPr>
          <w:jc w:val="center"/>
        </w:trPr>
        <w:tc>
          <w:tcPr>
            <w:tcW w:w="6025" w:type="dxa"/>
            <w:shd w:val="clear" w:color="auto" w:fill="D9D9D9" w:themeFill="background1" w:themeFillShade="D9"/>
          </w:tcPr>
          <w:p w14:paraId="0E6DBC67" w14:textId="77777777" w:rsidR="009316F8" w:rsidRPr="008E642F" w:rsidRDefault="009316F8" w:rsidP="00FE289C">
            <w:pPr>
              <w:widowControl w:val="0"/>
              <w:spacing w:after="120" w:line="276" w:lineRule="auto"/>
              <w:rPr>
                <w:rFonts w:ascii="Arial" w:hAnsi="Arial" w:cs="Arial"/>
                <w:sz w:val="18"/>
                <w:highlight w:val="cyan"/>
              </w:rPr>
            </w:pPr>
            <w:r w:rsidRPr="008E642F">
              <w:rPr>
                <w:rFonts w:ascii="Arial" w:hAnsi="Arial" w:cs="Arial"/>
                <w:b/>
                <w:bCs/>
                <w:sz w:val="18"/>
              </w:rPr>
              <w:t>Opis cilja</w:t>
            </w:r>
          </w:p>
        </w:tc>
        <w:tc>
          <w:tcPr>
            <w:tcW w:w="1682" w:type="dxa"/>
            <w:shd w:val="clear" w:color="auto" w:fill="D9D9D9" w:themeFill="background1" w:themeFillShade="D9"/>
          </w:tcPr>
          <w:p w14:paraId="22E17663" w14:textId="77777777" w:rsidR="009316F8" w:rsidRPr="008E642F" w:rsidRDefault="009316F8" w:rsidP="00FE289C">
            <w:pPr>
              <w:widowControl w:val="0"/>
              <w:spacing w:after="120" w:line="276" w:lineRule="auto"/>
              <w:jc w:val="center"/>
              <w:rPr>
                <w:rFonts w:ascii="Arial" w:hAnsi="Arial" w:cs="Arial"/>
                <w:sz w:val="18"/>
                <w:highlight w:val="cyan"/>
              </w:rPr>
            </w:pPr>
            <w:r w:rsidRPr="008E642F">
              <w:rPr>
                <w:rFonts w:ascii="Arial" w:hAnsi="Arial" w:cs="Arial"/>
                <w:b/>
                <w:bCs/>
                <w:sz w:val="18"/>
              </w:rPr>
              <w:t>Ciljna godina</w:t>
            </w:r>
          </w:p>
        </w:tc>
        <w:tc>
          <w:tcPr>
            <w:tcW w:w="1914" w:type="dxa"/>
            <w:shd w:val="clear" w:color="auto" w:fill="D9D9D9" w:themeFill="background1" w:themeFillShade="D9"/>
          </w:tcPr>
          <w:p w14:paraId="3E878BEE" w14:textId="77777777" w:rsidR="009316F8" w:rsidRPr="008E642F" w:rsidRDefault="009316F8" w:rsidP="00FE289C">
            <w:pPr>
              <w:widowControl w:val="0"/>
              <w:spacing w:after="120" w:line="276" w:lineRule="auto"/>
              <w:rPr>
                <w:rFonts w:ascii="Arial" w:hAnsi="Arial" w:cs="Arial"/>
                <w:sz w:val="18"/>
                <w:highlight w:val="cyan"/>
              </w:rPr>
            </w:pPr>
            <w:r w:rsidRPr="008E642F">
              <w:rPr>
                <w:rFonts w:ascii="Arial" w:hAnsi="Arial" w:cs="Arial"/>
                <w:b/>
                <w:bCs/>
                <w:sz w:val="18"/>
              </w:rPr>
              <w:t>Izvor cilja</w:t>
            </w:r>
          </w:p>
        </w:tc>
      </w:tr>
      <w:tr w:rsidR="009316F8" w:rsidRPr="009D2384" w14:paraId="6B04FC0D" w14:textId="77777777" w:rsidTr="00FE289C">
        <w:tblPrEx>
          <w:jc w:val="left"/>
        </w:tblPrEx>
        <w:tc>
          <w:tcPr>
            <w:tcW w:w="6025" w:type="dxa"/>
          </w:tcPr>
          <w:p w14:paraId="0FC5A25A" w14:textId="77777777" w:rsidR="009316F8" w:rsidRPr="008E642F" w:rsidRDefault="009316F8" w:rsidP="00FE289C">
            <w:pPr>
              <w:widowControl w:val="0"/>
              <w:spacing w:after="120" w:line="276" w:lineRule="auto"/>
              <w:ind w:left="0"/>
              <w:jc w:val="left"/>
              <w:rPr>
                <w:rFonts w:ascii="Arial" w:hAnsi="Arial" w:cs="Arial"/>
                <w:sz w:val="18"/>
              </w:rPr>
            </w:pPr>
            <w:r w:rsidRPr="008E642F">
              <w:rPr>
                <w:rFonts w:ascii="Arial" w:hAnsi="Arial" w:cs="Arial"/>
                <w:sz w:val="18"/>
              </w:rPr>
              <w:t>Stepen sakupljanja otpadnih baterija i akumulatora iznosi 25% od ukupne godišnje mase baterija i akumulatora koja je stavljena na tržište</w:t>
            </w:r>
          </w:p>
        </w:tc>
        <w:tc>
          <w:tcPr>
            <w:tcW w:w="1682" w:type="dxa"/>
          </w:tcPr>
          <w:p w14:paraId="2BF21B8E" w14:textId="77777777" w:rsidR="009316F8" w:rsidRPr="008E642F" w:rsidRDefault="009316F8" w:rsidP="00FE289C">
            <w:pPr>
              <w:widowControl w:val="0"/>
              <w:spacing w:after="120" w:line="276" w:lineRule="auto"/>
              <w:jc w:val="center"/>
              <w:rPr>
                <w:rFonts w:ascii="Arial" w:hAnsi="Arial" w:cs="Arial"/>
                <w:sz w:val="18"/>
              </w:rPr>
            </w:pPr>
            <w:r w:rsidRPr="008E642F">
              <w:rPr>
                <w:rFonts w:ascii="Arial" w:hAnsi="Arial" w:cs="Arial"/>
                <w:sz w:val="18"/>
              </w:rPr>
              <w:t>2025</w:t>
            </w:r>
          </w:p>
        </w:tc>
        <w:tc>
          <w:tcPr>
            <w:tcW w:w="1914" w:type="dxa"/>
            <w:vMerge w:val="restart"/>
            <w:vAlign w:val="center"/>
          </w:tcPr>
          <w:p w14:paraId="0217EDA8" w14:textId="788BC2AB" w:rsidR="009316F8" w:rsidRPr="009D2384" w:rsidRDefault="009316F8" w:rsidP="00FE289C">
            <w:pPr>
              <w:widowControl w:val="0"/>
              <w:spacing w:after="120" w:line="276" w:lineRule="auto"/>
              <w:ind w:left="0"/>
              <w:jc w:val="left"/>
              <w:rPr>
                <w:rFonts w:ascii="Arial" w:hAnsi="Arial" w:cs="Arial"/>
                <w:sz w:val="18"/>
              </w:rPr>
            </w:pPr>
            <w:r w:rsidRPr="009D2384">
              <w:rPr>
                <w:rFonts w:ascii="Arial" w:hAnsi="Arial" w:cs="Arial"/>
                <w:sz w:val="18"/>
              </w:rPr>
              <w:t>Prema</w:t>
            </w:r>
            <w:r w:rsidR="009D2384" w:rsidRPr="009D2384">
              <w:rPr>
                <w:rFonts w:ascii="Arial" w:hAnsi="Arial" w:cs="Arial"/>
                <w:sz w:val="18"/>
              </w:rPr>
              <w:t xml:space="preserve"> čl. 58 Zakona o upravljanju</w:t>
            </w:r>
            <w:r w:rsidR="009D2384">
              <w:rPr>
                <w:rFonts w:ascii="Arial" w:hAnsi="Arial" w:cs="Arial"/>
                <w:sz w:val="18"/>
              </w:rPr>
              <w:t xml:space="preserve"> otpadom</w:t>
            </w:r>
          </w:p>
        </w:tc>
      </w:tr>
      <w:tr w:rsidR="009316F8" w:rsidRPr="008E642F" w14:paraId="2F1B50B4" w14:textId="77777777" w:rsidTr="00FE289C">
        <w:tblPrEx>
          <w:jc w:val="left"/>
        </w:tblPrEx>
        <w:tc>
          <w:tcPr>
            <w:tcW w:w="6025" w:type="dxa"/>
          </w:tcPr>
          <w:p w14:paraId="39467D81" w14:textId="77777777" w:rsidR="009316F8" w:rsidRPr="00673670" w:rsidRDefault="009316F8" w:rsidP="00FE289C">
            <w:pPr>
              <w:widowControl w:val="0"/>
              <w:spacing w:after="120" w:line="276" w:lineRule="auto"/>
              <w:ind w:left="0"/>
              <w:jc w:val="left"/>
              <w:rPr>
                <w:rFonts w:ascii="Arial" w:hAnsi="Arial" w:cs="Arial"/>
                <w:sz w:val="18"/>
                <w:highlight w:val="cyan"/>
              </w:rPr>
            </w:pPr>
            <w:r w:rsidRPr="00673670">
              <w:rPr>
                <w:rFonts w:ascii="Arial" w:hAnsi="Arial" w:cs="Arial"/>
                <w:sz w:val="18"/>
              </w:rPr>
              <w:t>Stepen sakupljanja otpadnih baterija i akumulatora iznosi 45% od ukupne godišnje mase baterija i akumulatora koja je stavljena na tržište</w:t>
            </w:r>
          </w:p>
        </w:tc>
        <w:tc>
          <w:tcPr>
            <w:tcW w:w="1682" w:type="dxa"/>
          </w:tcPr>
          <w:p w14:paraId="6049954E" w14:textId="77777777" w:rsidR="009316F8" w:rsidRPr="008E642F" w:rsidRDefault="009316F8" w:rsidP="00FE289C">
            <w:pPr>
              <w:widowControl w:val="0"/>
              <w:spacing w:after="120" w:line="276" w:lineRule="auto"/>
              <w:jc w:val="center"/>
              <w:rPr>
                <w:rFonts w:ascii="Arial" w:hAnsi="Arial" w:cs="Arial"/>
                <w:sz w:val="18"/>
              </w:rPr>
            </w:pPr>
            <w:r w:rsidRPr="008E642F">
              <w:rPr>
                <w:rFonts w:ascii="Arial" w:hAnsi="Arial" w:cs="Arial"/>
                <w:sz w:val="18"/>
              </w:rPr>
              <w:t>2027</w:t>
            </w:r>
          </w:p>
        </w:tc>
        <w:tc>
          <w:tcPr>
            <w:tcW w:w="1914" w:type="dxa"/>
            <w:vMerge/>
          </w:tcPr>
          <w:p w14:paraId="01F1AA34" w14:textId="77777777" w:rsidR="009316F8" w:rsidRPr="008E642F" w:rsidRDefault="009316F8" w:rsidP="00FE289C">
            <w:pPr>
              <w:widowControl w:val="0"/>
              <w:spacing w:after="120" w:line="276" w:lineRule="auto"/>
              <w:jc w:val="left"/>
              <w:rPr>
                <w:rFonts w:ascii="Arial" w:hAnsi="Arial" w:cs="Arial"/>
                <w:sz w:val="18"/>
              </w:rPr>
            </w:pPr>
          </w:p>
        </w:tc>
      </w:tr>
    </w:tbl>
    <w:p w14:paraId="45F3CBA1" w14:textId="77777777" w:rsidR="009316F8" w:rsidRPr="008E642F" w:rsidRDefault="009316F8" w:rsidP="009316F8">
      <w:pPr>
        <w:spacing w:after="120" w:line="360" w:lineRule="auto"/>
        <w:rPr>
          <w:rFonts w:ascii="Arial" w:hAnsi="Arial" w:cs="Arial"/>
          <w:sz w:val="18"/>
          <w:lang w:val="sq-AL"/>
        </w:rPr>
      </w:pPr>
    </w:p>
    <w:p w14:paraId="34D7BFD9" w14:textId="77777777" w:rsidR="009316F8" w:rsidRPr="002A6F4E" w:rsidRDefault="009316F8" w:rsidP="009316F8">
      <w:pPr>
        <w:spacing w:after="120" w:line="360" w:lineRule="auto"/>
        <w:rPr>
          <w:rFonts w:ascii="Arial" w:hAnsi="Arial" w:cs="Arial"/>
          <w:lang w:val="sq-AL"/>
        </w:rPr>
      </w:pPr>
      <w:r w:rsidRPr="002A6F4E">
        <w:rPr>
          <w:rFonts w:ascii="Arial" w:hAnsi="Arial" w:cs="Arial"/>
          <w:lang w:val="sq-AL"/>
        </w:rPr>
        <w:t>Pored toga, postavljeni su sljedeći ciljevi za upravljanje otpadnim baterijama i akumulatorima:</w:t>
      </w:r>
    </w:p>
    <w:p w14:paraId="53E7B1EF" w14:textId="3CD7D75E"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Podržati napore i uspostaviti sistem proširene odgovornosti proizvođača (uključujući OOP) za baterije i akumulatore, do 2025. godine.</w:t>
      </w:r>
    </w:p>
    <w:p w14:paraId="7AA21050" w14:textId="77777777"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Pratiti količine baterija i akumulatora kojima se trguje u Crnoj Gori.</w:t>
      </w:r>
    </w:p>
    <w:p w14:paraId="3658BBE2" w14:textId="1703710D"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 xml:space="preserve">Podržati razvoj infrastrukture za </w:t>
      </w:r>
      <w:r w:rsidR="00E554D8">
        <w:rPr>
          <w:rFonts w:ascii="Arial" w:hAnsi="Arial" w:cs="Arial"/>
          <w:lang w:val="sq-AL"/>
        </w:rPr>
        <w:t>obradu</w:t>
      </w:r>
      <w:r w:rsidR="00E554D8" w:rsidRPr="002A6F4E">
        <w:rPr>
          <w:rFonts w:ascii="Arial" w:hAnsi="Arial" w:cs="Arial"/>
          <w:lang w:val="sq-AL"/>
        </w:rPr>
        <w:t xml:space="preserve"> </w:t>
      </w:r>
      <w:r w:rsidRPr="002A6F4E">
        <w:rPr>
          <w:rFonts w:ascii="Arial" w:hAnsi="Arial" w:cs="Arial"/>
          <w:lang w:val="sq-AL"/>
        </w:rPr>
        <w:t>otpadnih baterija i akumulatora.</w:t>
      </w:r>
    </w:p>
    <w:p w14:paraId="052C9975" w14:textId="77777777"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Spriječiti ilegalni izvoz otpadnih baterija i akumulatora.</w:t>
      </w:r>
    </w:p>
    <w:p w14:paraId="1B07D481" w14:textId="77777777" w:rsidR="009316F8" w:rsidRPr="002A6F4E" w:rsidRDefault="009316F8" w:rsidP="009316F8">
      <w:pPr>
        <w:widowControl w:val="0"/>
        <w:spacing w:before="120" w:after="120" w:line="360" w:lineRule="auto"/>
        <w:rPr>
          <w:rFonts w:ascii="Arial" w:hAnsi="Arial" w:cs="Arial"/>
          <w:b/>
          <w:bCs/>
          <w:u w:val="single"/>
          <w:lang w:val="sq-AL"/>
        </w:rPr>
      </w:pPr>
      <w:r w:rsidRPr="002A6F4E">
        <w:rPr>
          <w:rFonts w:ascii="Arial" w:hAnsi="Arial" w:cs="Arial"/>
          <w:b/>
          <w:bCs/>
          <w:u w:val="single"/>
          <w:lang w:val="sq-AL"/>
        </w:rPr>
        <w:t>Sakupljanje i transport</w:t>
      </w:r>
    </w:p>
    <w:p w14:paraId="167018C8" w14:textId="77777777" w:rsidR="009316F8" w:rsidRPr="002A6F4E" w:rsidRDefault="009316F8" w:rsidP="009316F8">
      <w:pPr>
        <w:spacing w:after="120" w:line="360" w:lineRule="auto"/>
        <w:rPr>
          <w:rFonts w:ascii="Arial" w:hAnsi="Arial" w:cs="Arial"/>
          <w:lang w:val="sq-AL"/>
        </w:rPr>
      </w:pPr>
      <w:r w:rsidRPr="002A6F4E">
        <w:rPr>
          <w:rFonts w:ascii="Arial" w:hAnsi="Arial" w:cs="Arial"/>
          <w:lang w:val="sq-AL"/>
        </w:rPr>
        <w:t>Predložene su sljedeće mjere kao najprikladnije za sakupljanje otpada od otpadnih baterija za komercijalnu upotrebu:</w:t>
      </w:r>
    </w:p>
    <w:p w14:paraId="657361CF" w14:textId="074B3478"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 xml:space="preserve">Uspostavljanje sabirnih punktova gde se mogu sakupljati otpadne baterije za komercijalnu upotrebu. Takvi punktovi se mogu nalaziti u maloprodajnim objektima, prodavnicama, preduzećima, pijacama, školama, javnim službama, i sl. Takve lokacije treba da budu na odgovarajući način označene i lako dostupne; </w:t>
      </w:r>
    </w:p>
    <w:p w14:paraId="167C2209" w14:textId="156F3A16"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lastRenderedPageBreak/>
        <w:t>Prijem otpadnih baterija u cent</w:t>
      </w:r>
      <w:r w:rsidR="00070A7E">
        <w:rPr>
          <w:rFonts w:ascii="Arial" w:hAnsi="Arial" w:cs="Arial"/>
          <w:lang w:val="sq-AL"/>
        </w:rPr>
        <w:t>ri</w:t>
      </w:r>
      <w:r w:rsidRPr="002A6F4E">
        <w:rPr>
          <w:rFonts w:ascii="Arial" w:hAnsi="Arial" w:cs="Arial"/>
          <w:lang w:val="sq-AL"/>
        </w:rPr>
        <w:t>ma za sakupljanje otpada</w:t>
      </w:r>
      <w:r w:rsidR="00070A7E">
        <w:rPr>
          <w:rFonts w:ascii="Arial" w:hAnsi="Arial" w:cs="Arial"/>
          <w:lang w:val="sq-AL"/>
        </w:rPr>
        <w:t>.</w:t>
      </w:r>
    </w:p>
    <w:p w14:paraId="333272F6" w14:textId="67142852" w:rsidR="009316F8" w:rsidRDefault="009316F8" w:rsidP="009316F8">
      <w:pPr>
        <w:widowControl w:val="0"/>
        <w:spacing w:before="120" w:after="120" w:line="360" w:lineRule="auto"/>
        <w:rPr>
          <w:rFonts w:ascii="Arial" w:hAnsi="Arial" w:cs="Arial"/>
          <w:lang w:val="sq-AL"/>
        </w:rPr>
      </w:pPr>
      <w:r w:rsidRPr="002A6F4E">
        <w:rPr>
          <w:rFonts w:ascii="Arial" w:hAnsi="Arial" w:cs="Arial"/>
          <w:lang w:val="sq-AL"/>
        </w:rPr>
        <w:t>Svi kontejneri koji se koriste za sakupljanje i skladištenje otpadnih baterija moraju biti zaštićeni od vremenskih uticaja, nepropusni i odgovarajuće zapremine (prema vrsti akumulatora za skladištenje).</w:t>
      </w:r>
    </w:p>
    <w:p w14:paraId="0B5BB2D3" w14:textId="77777777" w:rsidR="00070A7E" w:rsidRPr="002A6F4E" w:rsidRDefault="00070A7E" w:rsidP="009316F8">
      <w:pPr>
        <w:widowControl w:val="0"/>
        <w:spacing w:before="120" w:after="120" w:line="360" w:lineRule="auto"/>
        <w:rPr>
          <w:rFonts w:ascii="Arial" w:hAnsi="Arial" w:cs="Arial"/>
          <w:lang w:val="sq-AL"/>
        </w:rPr>
      </w:pPr>
    </w:p>
    <w:p w14:paraId="317109FB" w14:textId="128890CB" w:rsidR="009316F8" w:rsidRPr="002A6F4E" w:rsidRDefault="00070A7E" w:rsidP="009316F8">
      <w:pPr>
        <w:widowControl w:val="0"/>
        <w:spacing w:before="120" w:after="120" w:line="360" w:lineRule="auto"/>
        <w:rPr>
          <w:rFonts w:ascii="Arial" w:hAnsi="Arial" w:cs="Arial"/>
          <w:b/>
          <w:bCs/>
          <w:u w:val="single"/>
          <w:lang w:val="sq-AL"/>
        </w:rPr>
      </w:pPr>
      <w:r>
        <w:rPr>
          <w:rFonts w:ascii="Arial" w:hAnsi="Arial" w:cs="Arial"/>
          <w:b/>
          <w:bCs/>
          <w:u w:val="single"/>
          <w:lang w:val="sq-AL"/>
        </w:rPr>
        <w:t>Povrat materijala i prerada</w:t>
      </w:r>
    </w:p>
    <w:p w14:paraId="5898A804" w14:textId="7A14C674"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 xml:space="preserve">Državnim planom upravljanja otpadom predviđeno je uspostavljanje sistema proširene odgovornosti proizvođača (uključujući OOP) za baterije, koji će pored sakupljanja i transporta biti odgovoran i za </w:t>
      </w:r>
      <w:r w:rsidR="00E554D8">
        <w:rPr>
          <w:rFonts w:ascii="Arial" w:hAnsi="Arial" w:cs="Arial"/>
          <w:lang w:val="sq-AL"/>
        </w:rPr>
        <w:t xml:space="preserve">izgradnju </w:t>
      </w:r>
      <w:r w:rsidRPr="002A6F4E">
        <w:rPr>
          <w:rFonts w:ascii="Arial" w:hAnsi="Arial" w:cs="Arial"/>
          <w:lang w:val="sq-AL"/>
        </w:rPr>
        <w:t>mreže objekata koji će pokrivati potrebe u geografskom i kvantitativnom smislu.</w:t>
      </w:r>
    </w:p>
    <w:p w14:paraId="73728661" w14:textId="067A2E8C" w:rsidR="009316F8" w:rsidRPr="002A6F4E" w:rsidRDefault="00820CC0" w:rsidP="009316F8">
      <w:pPr>
        <w:widowControl w:val="0"/>
        <w:spacing w:before="120" w:after="120" w:line="360" w:lineRule="auto"/>
        <w:rPr>
          <w:rFonts w:ascii="Arial" w:hAnsi="Arial" w:cs="Arial"/>
          <w:lang w:val="sq-AL"/>
        </w:rPr>
      </w:pPr>
      <w:r>
        <w:rPr>
          <w:rFonts w:ascii="Arial" w:hAnsi="Arial" w:cs="Arial"/>
          <w:lang w:val="sq-AL"/>
        </w:rPr>
        <w:t xml:space="preserve">Prerada otpadnih </w:t>
      </w:r>
      <w:r w:rsidR="009316F8" w:rsidRPr="002A6F4E">
        <w:rPr>
          <w:rFonts w:ascii="Arial" w:hAnsi="Arial" w:cs="Arial"/>
          <w:lang w:val="sq-AL"/>
        </w:rPr>
        <w:t>baterija može dovesti do povrata materijala, odnosno:</w:t>
      </w:r>
    </w:p>
    <w:p w14:paraId="0B9A2AC8" w14:textId="37229380"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Metala, kao što su olovo, nikl, čelik, litijum</w:t>
      </w:r>
      <w:r w:rsidR="00820CC0">
        <w:rPr>
          <w:rFonts w:ascii="Arial" w:hAnsi="Arial" w:cs="Arial"/>
          <w:lang w:val="sq-AL"/>
        </w:rPr>
        <w:t xml:space="preserve">, </w:t>
      </w:r>
      <w:r w:rsidRPr="002A6F4E">
        <w:rPr>
          <w:rFonts w:ascii="Arial" w:hAnsi="Arial" w:cs="Arial"/>
          <w:lang w:val="sq-AL"/>
        </w:rPr>
        <w:t>itd.</w:t>
      </w:r>
    </w:p>
    <w:p w14:paraId="3467F1BB" w14:textId="44817329"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Plastike</w:t>
      </w:r>
      <w:r w:rsidR="00820CC0">
        <w:rPr>
          <w:rFonts w:ascii="Arial" w:hAnsi="Arial" w:cs="Arial"/>
          <w:lang w:val="sq-AL"/>
        </w:rPr>
        <w:t>.</w:t>
      </w:r>
    </w:p>
    <w:p w14:paraId="12B159D2" w14:textId="0A0E3BF7"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Međutim, prim</w:t>
      </w:r>
      <w:r w:rsidR="00820CC0">
        <w:rPr>
          <w:rFonts w:ascii="Arial" w:hAnsi="Arial" w:cs="Arial"/>
          <w:lang w:val="sq-AL"/>
        </w:rPr>
        <w:t>j</w:t>
      </w:r>
      <w:r w:rsidRPr="002A6F4E">
        <w:rPr>
          <w:rFonts w:ascii="Arial" w:hAnsi="Arial" w:cs="Arial"/>
          <w:lang w:val="sq-AL"/>
        </w:rPr>
        <w:t xml:space="preserve">ećuje se da se </w:t>
      </w:r>
      <w:r w:rsidR="00E554D8">
        <w:rPr>
          <w:rFonts w:ascii="Arial" w:hAnsi="Arial" w:cs="Arial"/>
          <w:lang w:val="sq-AL"/>
        </w:rPr>
        <w:t>izgradnja</w:t>
      </w:r>
      <w:r w:rsidR="00E554D8" w:rsidRPr="002A6F4E">
        <w:rPr>
          <w:rFonts w:ascii="Arial" w:hAnsi="Arial" w:cs="Arial"/>
          <w:lang w:val="sq-AL"/>
        </w:rPr>
        <w:t xml:space="preserve"> </w:t>
      </w:r>
      <w:r w:rsidRPr="002A6F4E">
        <w:rPr>
          <w:rFonts w:ascii="Arial" w:hAnsi="Arial" w:cs="Arial"/>
          <w:lang w:val="sq-AL"/>
        </w:rPr>
        <w:t>organizovane mreže objekata oslanja na finansijsku održivost takvih objekata.</w:t>
      </w:r>
      <w:r w:rsidR="00820CC0">
        <w:rPr>
          <w:rFonts w:ascii="Arial" w:hAnsi="Arial" w:cs="Arial"/>
          <w:lang w:val="sq-AL"/>
        </w:rPr>
        <w:t xml:space="preserve"> </w:t>
      </w:r>
      <w:r w:rsidRPr="002A6F4E">
        <w:rPr>
          <w:rFonts w:ascii="Arial" w:hAnsi="Arial" w:cs="Arial"/>
          <w:lang w:val="sq-AL"/>
        </w:rPr>
        <w:t>Stoga se preporučuje da se prvo izvrši procjena održivosti ove mreže, a zatim da se pristupi njenoj implementaciji.</w:t>
      </w:r>
    </w:p>
    <w:p w14:paraId="38CF7A52" w14:textId="4B3CF794" w:rsidR="009316F8" w:rsidRPr="002A6F4E" w:rsidRDefault="009316F8" w:rsidP="009316F8">
      <w:pPr>
        <w:widowControl w:val="0"/>
        <w:spacing w:before="120" w:after="120" w:line="360" w:lineRule="auto"/>
        <w:rPr>
          <w:rFonts w:ascii="Arial" w:hAnsi="Arial" w:cs="Arial"/>
          <w:b/>
          <w:bCs/>
          <w:u w:val="single"/>
          <w:lang w:val="sq-AL"/>
        </w:rPr>
      </w:pPr>
      <w:r w:rsidRPr="002A6F4E">
        <w:rPr>
          <w:rFonts w:ascii="Arial" w:hAnsi="Arial" w:cs="Arial"/>
          <w:b/>
          <w:bCs/>
          <w:u w:val="single"/>
          <w:lang w:val="sq-AL"/>
        </w:rPr>
        <w:t>O</w:t>
      </w:r>
      <w:r w:rsidR="007639DA">
        <w:rPr>
          <w:rFonts w:ascii="Arial" w:hAnsi="Arial" w:cs="Arial"/>
          <w:b/>
          <w:bCs/>
          <w:u w:val="single"/>
          <w:lang w:val="sq-AL"/>
        </w:rPr>
        <w:t>d</w:t>
      </w:r>
      <w:r w:rsidR="00E554D8">
        <w:rPr>
          <w:rFonts w:ascii="Arial" w:hAnsi="Arial" w:cs="Arial"/>
          <w:b/>
          <w:bCs/>
          <w:u w:val="single"/>
          <w:lang w:val="sq-AL"/>
        </w:rPr>
        <w:t>stranjivanje</w:t>
      </w:r>
    </w:p>
    <w:p w14:paraId="0A947C00" w14:textId="7CF2C00E"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Od</w:t>
      </w:r>
      <w:r w:rsidR="00E554D8">
        <w:rPr>
          <w:rFonts w:ascii="Arial" w:hAnsi="Arial" w:cs="Arial"/>
          <w:lang w:val="sq-AL"/>
        </w:rPr>
        <w:t>stranjivanje</w:t>
      </w:r>
      <w:r w:rsidRPr="002A6F4E">
        <w:rPr>
          <w:rFonts w:ascii="Arial" w:hAnsi="Arial" w:cs="Arial"/>
          <w:lang w:val="sq-AL"/>
        </w:rPr>
        <w:t xml:space="preserve"> se odnosi isključivo na neopasne materijale koji nastaju nakon </w:t>
      </w:r>
      <w:r w:rsidR="00820CC0">
        <w:rPr>
          <w:rFonts w:ascii="Arial" w:hAnsi="Arial" w:cs="Arial"/>
          <w:lang w:val="sq-AL"/>
        </w:rPr>
        <w:t>obrade otpadnih</w:t>
      </w:r>
      <w:r w:rsidRPr="002A6F4E">
        <w:rPr>
          <w:rFonts w:ascii="Arial" w:hAnsi="Arial" w:cs="Arial"/>
          <w:lang w:val="sq-AL"/>
        </w:rPr>
        <w:t xml:space="preserve"> baterija i akumulatora.</w:t>
      </w:r>
      <w:bookmarkStart w:id="1331" w:name="_Toc121759117"/>
    </w:p>
    <w:p w14:paraId="7D65C82A" w14:textId="78BA4C07" w:rsidR="009316F8" w:rsidRPr="002A6F4E" w:rsidRDefault="009316F8" w:rsidP="00F57909">
      <w:pPr>
        <w:pStyle w:val="Heading2"/>
      </w:pPr>
      <w:bookmarkStart w:id="1332" w:name="_Toc189759745"/>
      <w:bookmarkStart w:id="1333" w:name="_Toc193354063"/>
      <w:r w:rsidRPr="002A6F4E">
        <w:t>6.</w:t>
      </w:r>
      <w:r w:rsidR="008E7CAD" w:rsidRPr="002A6F4E">
        <w:t>5</w:t>
      </w:r>
      <w:r w:rsidRPr="002A6F4E">
        <w:t>. Otpadne gum</w:t>
      </w:r>
      <w:bookmarkStart w:id="1334" w:name="_Toc189759746"/>
      <w:bookmarkEnd w:id="1331"/>
      <w:bookmarkEnd w:id="1332"/>
      <w:r w:rsidRPr="002A6F4E">
        <w:t>e - Ciljevi i zadaci</w:t>
      </w:r>
      <w:bookmarkEnd w:id="1333"/>
      <w:bookmarkEnd w:id="1334"/>
      <w:r w:rsidRPr="002A6F4E">
        <w:t xml:space="preserve"> </w:t>
      </w:r>
    </w:p>
    <w:p w14:paraId="762C78D3" w14:textId="5E0A0713" w:rsidR="009316F8" w:rsidRPr="002A6F4E" w:rsidRDefault="009316F8" w:rsidP="009316F8">
      <w:pPr>
        <w:spacing w:after="120" w:line="360" w:lineRule="auto"/>
        <w:rPr>
          <w:rFonts w:ascii="Arial" w:hAnsi="Arial" w:cs="Arial"/>
          <w:lang w:val="sq-AL"/>
        </w:rPr>
      </w:pPr>
      <w:r w:rsidRPr="002A6F4E">
        <w:rPr>
          <w:rFonts w:ascii="Arial" w:hAnsi="Arial" w:cs="Arial"/>
          <w:lang w:val="sq-AL"/>
        </w:rPr>
        <w:t>Postavljeni su sljedeći ciljevi za upravljanje otpadnim gumama:</w:t>
      </w:r>
    </w:p>
    <w:p w14:paraId="2324355C" w14:textId="035FB99D" w:rsidR="009316F8" w:rsidRPr="00B07F16"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 xml:space="preserve">Podržati napore i uspostaviti sistem proširene odgovornosti proizvođača </w:t>
      </w:r>
      <w:r w:rsidR="00E9069C">
        <w:rPr>
          <w:rFonts w:ascii="Arial" w:hAnsi="Arial" w:cs="Arial"/>
          <w:lang w:val="sq-AL"/>
        </w:rPr>
        <w:t>za otpadne gume,</w:t>
      </w:r>
    </w:p>
    <w:p w14:paraId="3F1FC3E4" w14:textId="31100159"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Pratiti količine gum</w:t>
      </w:r>
      <w:r w:rsidR="00E9069C">
        <w:rPr>
          <w:rFonts w:ascii="Arial" w:hAnsi="Arial" w:cs="Arial"/>
          <w:lang w:val="sq-AL"/>
        </w:rPr>
        <w:t>a kojima se trguje u Crnoj Gori,</w:t>
      </w:r>
    </w:p>
    <w:p w14:paraId="40AAE7E1" w14:textId="5ED35D91" w:rsidR="009316F8"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Smanjenje</w:t>
      </w:r>
      <w:r w:rsidR="005A0F43">
        <w:rPr>
          <w:rFonts w:ascii="Arial" w:hAnsi="Arial" w:cs="Arial"/>
          <w:lang w:val="sq-AL"/>
        </w:rPr>
        <w:t xml:space="preserve"> upotrebe</w:t>
      </w:r>
      <w:r w:rsidRPr="002A6F4E">
        <w:rPr>
          <w:rFonts w:ascii="Arial" w:hAnsi="Arial" w:cs="Arial"/>
          <w:lang w:val="sq-AL"/>
        </w:rPr>
        <w:t xml:space="preserve"> otpadnih guma</w:t>
      </w:r>
      <w:r w:rsidR="005A0F43">
        <w:rPr>
          <w:rFonts w:ascii="Arial" w:hAnsi="Arial" w:cs="Arial"/>
          <w:lang w:val="sq-AL"/>
        </w:rPr>
        <w:t>, kroz sistem proširene odgovornosti potrošača.</w:t>
      </w:r>
    </w:p>
    <w:p w14:paraId="290B51A3" w14:textId="0483C234" w:rsidR="004B0160" w:rsidRPr="009C3E27" w:rsidRDefault="007274DA" w:rsidP="007274DA">
      <w:pPr>
        <w:pStyle w:val="Caption"/>
        <w:rPr>
          <w:rFonts w:ascii="Arial" w:hAnsi="Arial" w:cs="Arial"/>
          <w:b w:val="0"/>
          <w:lang w:val="sq-AL"/>
        </w:rPr>
      </w:pPr>
      <w:r w:rsidRPr="007274DA">
        <w:rPr>
          <w:rFonts w:ascii="Arial" w:hAnsi="Arial" w:cs="Arial"/>
          <w:b w:val="0"/>
          <w:lang w:val="sq-AL"/>
        </w:rPr>
        <w:t xml:space="preserve">Tabela </w:t>
      </w:r>
      <w:r w:rsidRPr="007274DA">
        <w:rPr>
          <w:rFonts w:ascii="Arial" w:hAnsi="Arial" w:cs="Arial"/>
          <w:b w:val="0"/>
        </w:rPr>
        <w:fldChar w:fldCharType="begin"/>
      </w:r>
      <w:r w:rsidRPr="007274DA">
        <w:rPr>
          <w:rFonts w:ascii="Arial" w:hAnsi="Arial" w:cs="Arial"/>
          <w:b w:val="0"/>
          <w:lang w:val="sq-AL"/>
        </w:rPr>
        <w:instrText xml:space="preserve"> SEQ Tabela \* ARABIC </w:instrText>
      </w:r>
      <w:r w:rsidRPr="007274DA">
        <w:rPr>
          <w:rFonts w:ascii="Arial" w:hAnsi="Arial" w:cs="Arial"/>
          <w:b w:val="0"/>
        </w:rPr>
        <w:fldChar w:fldCharType="separate"/>
      </w:r>
      <w:r w:rsidRPr="007274DA">
        <w:rPr>
          <w:rFonts w:ascii="Arial" w:hAnsi="Arial" w:cs="Arial"/>
          <w:b w:val="0"/>
          <w:noProof/>
          <w:lang w:val="sq-AL"/>
        </w:rPr>
        <w:t>112</w:t>
      </w:r>
      <w:r w:rsidRPr="007274DA">
        <w:rPr>
          <w:rFonts w:ascii="Arial" w:hAnsi="Arial" w:cs="Arial"/>
          <w:b w:val="0"/>
        </w:rPr>
        <w:fldChar w:fldCharType="end"/>
      </w:r>
      <w:r w:rsidR="004B0160" w:rsidRPr="007274DA">
        <w:rPr>
          <w:rFonts w:ascii="Arial" w:hAnsi="Arial" w:cs="Arial"/>
          <w:b w:val="0"/>
          <w:lang w:val="sq-AL"/>
        </w:rPr>
        <w:t xml:space="preserve"> Ciljevi</w:t>
      </w:r>
      <w:r w:rsidR="004B0160" w:rsidRPr="009C3E27">
        <w:rPr>
          <w:rFonts w:ascii="Arial" w:hAnsi="Arial" w:cs="Arial"/>
          <w:b w:val="0"/>
          <w:lang w:val="sq-AL"/>
        </w:rPr>
        <w:t xml:space="preserve"> upravljanja otpadom za otpadne gume</w:t>
      </w:r>
    </w:p>
    <w:tbl>
      <w:tblPr>
        <w:tblStyle w:val="denkstatt11"/>
        <w:tblW w:w="0" w:type="auto"/>
        <w:jc w:val="center"/>
        <w:tblLook w:val="04A0" w:firstRow="1" w:lastRow="0" w:firstColumn="1" w:lastColumn="0" w:noHBand="0" w:noVBand="1"/>
      </w:tblPr>
      <w:tblGrid>
        <w:gridCol w:w="5213"/>
        <w:gridCol w:w="1929"/>
        <w:gridCol w:w="2206"/>
      </w:tblGrid>
      <w:tr w:rsidR="004B0160" w:rsidRPr="00565757" w14:paraId="5FF3FF00" w14:textId="77777777" w:rsidTr="00D8640F">
        <w:trPr>
          <w:jc w:val="center"/>
        </w:trPr>
        <w:tc>
          <w:tcPr>
            <w:tcW w:w="6025" w:type="dxa"/>
            <w:shd w:val="clear" w:color="auto" w:fill="D9D9D9" w:themeFill="background1" w:themeFillShade="D9"/>
          </w:tcPr>
          <w:p w14:paraId="5219AFDE" w14:textId="77777777" w:rsidR="004B0160" w:rsidRPr="004B0160" w:rsidRDefault="004B0160" w:rsidP="004B0160">
            <w:pPr>
              <w:widowControl w:val="0"/>
              <w:spacing w:after="120" w:line="276" w:lineRule="auto"/>
              <w:ind w:left="0"/>
              <w:rPr>
                <w:sz w:val="22"/>
                <w:szCs w:val="22"/>
              </w:rPr>
            </w:pPr>
            <w:bookmarkStart w:id="1335" w:name="_Toc130833090"/>
            <w:r w:rsidRPr="004B0160">
              <w:rPr>
                <w:b/>
                <w:bCs/>
              </w:rPr>
              <w:t>Opis cilja</w:t>
            </w:r>
          </w:p>
        </w:tc>
        <w:tc>
          <w:tcPr>
            <w:tcW w:w="1682" w:type="dxa"/>
            <w:shd w:val="clear" w:color="auto" w:fill="D9D9D9" w:themeFill="background1" w:themeFillShade="D9"/>
          </w:tcPr>
          <w:p w14:paraId="3E7CAC05" w14:textId="77777777" w:rsidR="004B0160" w:rsidRPr="00565757" w:rsidRDefault="004B0160" w:rsidP="00D8640F">
            <w:pPr>
              <w:widowControl w:val="0"/>
              <w:spacing w:after="120" w:line="276" w:lineRule="auto"/>
              <w:jc w:val="center"/>
              <w:rPr>
                <w:sz w:val="22"/>
                <w:szCs w:val="22"/>
              </w:rPr>
            </w:pPr>
            <w:r w:rsidRPr="00565757">
              <w:rPr>
                <w:b/>
                <w:bCs/>
              </w:rPr>
              <w:t>Ciljna godina</w:t>
            </w:r>
          </w:p>
        </w:tc>
        <w:tc>
          <w:tcPr>
            <w:tcW w:w="1914" w:type="dxa"/>
            <w:shd w:val="clear" w:color="auto" w:fill="D9D9D9" w:themeFill="background1" w:themeFillShade="D9"/>
          </w:tcPr>
          <w:p w14:paraId="4FE00386" w14:textId="77777777" w:rsidR="004B0160" w:rsidRPr="00565757" w:rsidRDefault="004B0160" w:rsidP="00D8640F">
            <w:pPr>
              <w:widowControl w:val="0"/>
              <w:spacing w:after="120" w:line="276" w:lineRule="auto"/>
              <w:rPr>
                <w:sz w:val="22"/>
                <w:szCs w:val="22"/>
              </w:rPr>
            </w:pPr>
            <w:r w:rsidRPr="00565757">
              <w:rPr>
                <w:b/>
                <w:bCs/>
              </w:rPr>
              <w:t>Izvor cilja</w:t>
            </w:r>
          </w:p>
        </w:tc>
      </w:tr>
      <w:tr w:rsidR="004B0160" w:rsidRPr="00565757" w14:paraId="4F3C222D" w14:textId="77777777" w:rsidTr="00D8640F">
        <w:tblPrEx>
          <w:jc w:val="left"/>
        </w:tblPrEx>
        <w:tc>
          <w:tcPr>
            <w:tcW w:w="6025" w:type="dxa"/>
            <w:vAlign w:val="center"/>
          </w:tcPr>
          <w:p w14:paraId="2E8A7C3E" w14:textId="77777777" w:rsidR="004B0160" w:rsidRPr="00565757" w:rsidRDefault="004B0160" w:rsidP="00D8640F">
            <w:pPr>
              <w:widowControl w:val="0"/>
              <w:spacing w:after="120" w:line="276" w:lineRule="auto"/>
              <w:jc w:val="left"/>
            </w:pPr>
            <w:r w:rsidRPr="00565757">
              <w:t>Odvojeno sakupiti 50% otpadnih guma</w:t>
            </w:r>
          </w:p>
        </w:tc>
        <w:tc>
          <w:tcPr>
            <w:tcW w:w="1682" w:type="dxa"/>
            <w:vAlign w:val="center"/>
          </w:tcPr>
          <w:p w14:paraId="11CD16D1" w14:textId="77777777" w:rsidR="004B0160" w:rsidRPr="00565757" w:rsidRDefault="004B0160" w:rsidP="00D8640F">
            <w:pPr>
              <w:widowControl w:val="0"/>
              <w:spacing w:after="120" w:line="276" w:lineRule="auto"/>
              <w:jc w:val="center"/>
            </w:pPr>
            <w:r w:rsidRPr="00565757">
              <w:t>2025</w:t>
            </w:r>
          </w:p>
        </w:tc>
        <w:tc>
          <w:tcPr>
            <w:tcW w:w="1914" w:type="dxa"/>
            <w:vMerge w:val="restart"/>
            <w:vAlign w:val="center"/>
          </w:tcPr>
          <w:p w14:paraId="03F0FD90" w14:textId="77777777" w:rsidR="004B0160" w:rsidRPr="00565757" w:rsidRDefault="004B0160" w:rsidP="00D8640F">
            <w:pPr>
              <w:widowControl w:val="0"/>
              <w:spacing w:after="120" w:line="276" w:lineRule="auto"/>
              <w:jc w:val="left"/>
              <w:rPr>
                <w:sz w:val="22"/>
                <w:szCs w:val="22"/>
              </w:rPr>
            </w:pPr>
            <w:r w:rsidRPr="00565757">
              <w:t>Predloženi ciljevi</w:t>
            </w:r>
          </w:p>
        </w:tc>
      </w:tr>
      <w:tr w:rsidR="004B0160" w:rsidRPr="00565757" w14:paraId="69D55CA8" w14:textId="77777777" w:rsidTr="00D8640F">
        <w:tblPrEx>
          <w:jc w:val="left"/>
        </w:tblPrEx>
        <w:tc>
          <w:tcPr>
            <w:tcW w:w="6025" w:type="dxa"/>
            <w:vAlign w:val="center"/>
          </w:tcPr>
          <w:p w14:paraId="50F80046" w14:textId="77777777" w:rsidR="004B0160" w:rsidRPr="00565757" w:rsidRDefault="004B0160" w:rsidP="00D8640F">
            <w:pPr>
              <w:widowControl w:val="0"/>
              <w:spacing w:after="120" w:line="276" w:lineRule="auto"/>
              <w:jc w:val="left"/>
            </w:pPr>
            <w:r w:rsidRPr="00565757">
              <w:t>Odvojeno sakupiti 80% otpadnih guma</w:t>
            </w:r>
          </w:p>
        </w:tc>
        <w:tc>
          <w:tcPr>
            <w:tcW w:w="1682" w:type="dxa"/>
            <w:vAlign w:val="center"/>
          </w:tcPr>
          <w:p w14:paraId="552F54CC" w14:textId="5BF6193B" w:rsidR="004B0160" w:rsidRPr="00565757" w:rsidRDefault="004B0160" w:rsidP="00D8640F">
            <w:pPr>
              <w:widowControl w:val="0"/>
              <w:spacing w:after="120" w:line="276" w:lineRule="auto"/>
              <w:jc w:val="center"/>
            </w:pPr>
            <w:r>
              <w:t>2029</w:t>
            </w:r>
          </w:p>
        </w:tc>
        <w:tc>
          <w:tcPr>
            <w:tcW w:w="1914" w:type="dxa"/>
            <w:vMerge/>
          </w:tcPr>
          <w:p w14:paraId="13D4E802" w14:textId="77777777" w:rsidR="004B0160" w:rsidRPr="00565757" w:rsidRDefault="004B0160" w:rsidP="00D8640F">
            <w:pPr>
              <w:widowControl w:val="0"/>
              <w:spacing w:after="120" w:line="276" w:lineRule="auto"/>
              <w:jc w:val="left"/>
              <w:rPr>
                <w:sz w:val="22"/>
                <w:szCs w:val="22"/>
              </w:rPr>
            </w:pPr>
          </w:p>
        </w:tc>
      </w:tr>
      <w:tr w:rsidR="004B0160" w:rsidRPr="00565757" w14:paraId="6986D8E2" w14:textId="77777777" w:rsidTr="00D8640F">
        <w:tblPrEx>
          <w:jc w:val="left"/>
        </w:tblPrEx>
        <w:tc>
          <w:tcPr>
            <w:tcW w:w="6025" w:type="dxa"/>
            <w:vAlign w:val="center"/>
          </w:tcPr>
          <w:p w14:paraId="39508142" w14:textId="77777777" w:rsidR="004B0160" w:rsidRPr="00565757" w:rsidRDefault="004B0160" w:rsidP="00D8640F">
            <w:pPr>
              <w:widowControl w:val="0"/>
              <w:spacing w:after="120" w:line="276" w:lineRule="auto"/>
              <w:jc w:val="left"/>
              <w:rPr>
                <w:highlight w:val="cyan"/>
              </w:rPr>
            </w:pPr>
            <w:r w:rsidRPr="00565757">
              <w:t>Ostvariti iskorišćenost od 65% odvojeno sakupljenih guma</w:t>
            </w:r>
          </w:p>
        </w:tc>
        <w:tc>
          <w:tcPr>
            <w:tcW w:w="1682" w:type="dxa"/>
            <w:vAlign w:val="center"/>
          </w:tcPr>
          <w:p w14:paraId="607B8DDA" w14:textId="39FDCE49" w:rsidR="004B0160" w:rsidRPr="00565757" w:rsidRDefault="004B0160" w:rsidP="00D8640F">
            <w:pPr>
              <w:widowControl w:val="0"/>
              <w:spacing w:after="120" w:line="276" w:lineRule="auto"/>
              <w:jc w:val="center"/>
            </w:pPr>
            <w:r>
              <w:t>2029</w:t>
            </w:r>
          </w:p>
        </w:tc>
        <w:tc>
          <w:tcPr>
            <w:tcW w:w="1914" w:type="dxa"/>
            <w:vMerge/>
          </w:tcPr>
          <w:p w14:paraId="7EFDCBF8" w14:textId="77777777" w:rsidR="004B0160" w:rsidRPr="00565757" w:rsidRDefault="004B0160" w:rsidP="00D8640F">
            <w:pPr>
              <w:widowControl w:val="0"/>
              <w:spacing w:after="120" w:line="276" w:lineRule="auto"/>
              <w:jc w:val="left"/>
              <w:rPr>
                <w:sz w:val="22"/>
                <w:szCs w:val="22"/>
                <w:highlight w:val="cyan"/>
              </w:rPr>
            </w:pPr>
          </w:p>
        </w:tc>
      </w:tr>
      <w:tr w:rsidR="004B0160" w:rsidRPr="00565757" w14:paraId="5343DBAD" w14:textId="77777777" w:rsidTr="00D8640F">
        <w:tblPrEx>
          <w:jc w:val="left"/>
        </w:tblPrEx>
        <w:tc>
          <w:tcPr>
            <w:tcW w:w="6025" w:type="dxa"/>
            <w:vAlign w:val="center"/>
          </w:tcPr>
          <w:p w14:paraId="753B569A" w14:textId="77777777" w:rsidR="004B0160" w:rsidRPr="00565757" w:rsidRDefault="004B0160" w:rsidP="00D8640F">
            <w:pPr>
              <w:widowControl w:val="0"/>
              <w:spacing w:after="120" w:line="276" w:lineRule="auto"/>
              <w:jc w:val="left"/>
              <w:rPr>
                <w:highlight w:val="cyan"/>
              </w:rPr>
            </w:pPr>
            <w:r w:rsidRPr="00565757">
              <w:t>Ostvariti reciklažu od 10% odvojeno sakupljenih guma</w:t>
            </w:r>
          </w:p>
        </w:tc>
        <w:tc>
          <w:tcPr>
            <w:tcW w:w="1682" w:type="dxa"/>
            <w:vAlign w:val="center"/>
          </w:tcPr>
          <w:p w14:paraId="00763F7F" w14:textId="16AD345F" w:rsidR="004B0160" w:rsidRPr="00565757" w:rsidRDefault="004B0160" w:rsidP="00D8640F">
            <w:pPr>
              <w:widowControl w:val="0"/>
              <w:spacing w:after="120" w:line="276" w:lineRule="auto"/>
              <w:jc w:val="center"/>
            </w:pPr>
            <w:r>
              <w:t>2029</w:t>
            </w:r>
          </w:p>
        </w:tc>
        <w:tc>
          <w:tcPr>
            <w:tcW w:w="1914" w:type="dxa"/>
            <w:vMerge/>
          </w:tcPr>
          <w:p w14:paraId="536E8DD4" w14:textId="77777777" w:rsidR="004B0160" w:rsidRPr="00565757" w:rsidRDefault="004B0160" w:rsidP="00D8640F">
            <w:pPr>
              <w:widowControl w:val="0"/>
              <w:spacing w:after="120" w:line="276" w:lineRule="auto"/>
              <w:jc w:val="left"/>
              <w:rPr>
                <w:sz w:val="22"/>
                <w:szCs w:val="22"/>
              </w:rPr>
            </w:pPr>
          </w:p>
        </w:tc>
      </w:tr>
    </w:tbl>
    <w:bookmarkEnd w:id="1335"/>
    <w:p w14:paraId="778E8BB6" w14:textId="77777777" w:rsidR="009316F8" w:rsidRPr="002A6F4E" w:rsidRDefault="009316F8" w:rsidP="009316F8">
      <w:pPr>
        <w:widowControl w:val="0"/>
        <w:spacing w:before="120" w:after="120" w:line="360" w:lineRule="auto"/>
        <w:rPr>
          <w:rFonts w:ascii="Arial" w:hAnsi="Arial" w:cs="Arial"/>
          <w:b/>
          <w:bCs/>
          <w:u w:val="single"/>
          <w:lang w:val="sq-AL"/>
        </w:rPr>
      </w:pPr>
      <w:r w:rsidRPr="002A6F4E">
        <w:rPr>
          <w:rFonts w:ascii="Arial" w:hAnsi="Arial" w:cs="Arial"/>
          <w:b/>
          <w:bCs/>
          <w:u w:val="single"/>
          <w:lang w:val="sq-AL"/>
        </w:rPr>
        <w:lastRenderedPageBreak/>
        <w:t>Sakupljanje i transport</w:t>
      </w:r>
    </w:p>
    <w:p w14:paraId="3292B151" w14:textId="4E108993"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 xml:space="preserve">Sabirna mjesta za sakupljanje </w:t>
      </w:r>
      <w:r w:rsidR="00E554D8">
        <w:rPr>
          <w:rFonts w:ascii="Arial" w:hAnsi="Arial" w:cs="Arial"/>
          <w:lang w:val="sq-AL"/>
        </w:rPr>
        <w:t>otpadnih</w:t>
      </w:r>
      <w:r w:rsidR="00E554D8" w:rsidRPr="002A6F4E">
        <w:rPr>
          <w:rFonts w:ascii="Arial" w:hAnsi="Arial" w:cs="Arial"/>
          <w:lang w:val="sq-AL"/>
        </w:rPr>
        <w:t xml:space="preserve"> </w:t>
      </w:r>
      <w:r w:rsidRPr="002A6F4E">
        <w:rPr>
          <w:rFonts w:ascii="Arial" w:hAnsi="Arial" w:cs="Arial"/>
          <w:lang w:val="sq-AL"/>
        </w:rPr>
        <w:t xml:space="preserve">guma mogu uključivati </w:t>
      </w:r>
      <w:r w:rsidR="001F0243">
        <w:rPr>
          <w:rFonts w:ascii="Arial" w:hAnsi="Arial" w:cs="Arial"/>
          <w:lang w:val="sq-AL"/>
        </w:rPr>
        <w:t>vulkanizerske radnje,</w:t>
      </w:r>
      <w:r w:rsidRPr="002A6F4E">
        <w:rPr>
          <w:rFonts w:ascii="Arial" w:hAnsi="Arial" w:cs="Arial"/>
          <w:lang w:val="sq-AL"/>
        </w:rPr>
        <w:t xml:space="preserve"> garaže za vozila, radionice za protektiranje guma i radionice za demontažu vozila. Transport sakupljenih polovnih guma može se vršiti vozilima iz sistema proširene odgovornosti proizvođača ili vozilima sakupljača iz privatnog sektora.</w:t>
      </w:r>
    </w:p>
    <w:p w14:paraId="40A92EFE" w14:textId="289279BC" w:rsidR="009316F8" w:rsidRDefault="009316F8" w:rsidP="009316F8">
      <w:pPr>
        <w:widowControl w:val="0"/>
        <w:spacing w:before="120" w:after="120" w:line="360" w:lineRule="auto"/>
        <w:rPr>
          <w:rFonts w:ascii="Arial" w:hAnsi="Arial" w:cs="Arial"/>
          <w:lang w:val="sq-AL"/>
        </w:rPr>
      </w:pPr>
      <w:r w:rsidRPr="002A6F4E">
        <w:rPr>
          <w:rFonts w:ascii="Arial" w:hAnsi="Arial" w:cs="Arial"/>
          <w:lang w:val="sq-AL"/>
        </w:rPr>
        <w:t xml:space="preserve">Predviđeno je da se sve sakupljene </w:t>
      </w:r>
      <w:r w:rsidR="00E554D8">
        <w:rPr>
          <w:rFonts w:ascii="Arial" w:hAnsi="Arial" w:cs="Arial"/>
          <w:lang w:val="sq-AL"/>
        </w:rPr>
        <w:t>otpadne</w:t>
      </w:r>
      <w:r w:rsidR="00E554D8" w:rsidRPr="002A6F4E">
        <w:rPr>
          <w:rFonts w:ascii="Arial" w:hAnsi="Arial" w:cs="Arial"/>
          <w:lang w:val="sq-AL"/>
        </w:rPr>
        <w:t xml:space="preserve"> </w:t>
      </w:r>
      <w:r w:rsidRPr="002A6F4E">
        <w:rPr>
          <w:rFonts w:ascii="Arial" w:hAnsi="Arial" w:cs="Arial"/>
          <w:lang w:val="sq-AL"/>
        </w:rPr>
        <w:t xml:space="preserve">gume transportuju u centralna privremena skladišta. Ove oblasti treba da budu na odgovarajući način konfigurisane i licencirane. U ovim oblastima može se obaviti prethodno usitnjavanje </w:t>
      </w:r>
      <w:r w:rsidR="00213F55">
        <w:rPr>
          <w:rFonts w:ascii="Arial" w:hAnsi="Arial" w:cs="Arial"/>
          <w:lang w:val="sq-AL"/>
        </w:rPr>
        <w:t xml:space="preserve">otpadnih </w:t>
      </w:r>
      <w:r w:rsidRPr="002A6F4E">
        <w:rPr>
          <w:rFonts w:ascii="Arial" w:hAnsi="Arial" w:cs="Arial"/>
          <w:lang w:val="sq-AL"/>
        </w:rPr>
        <w:t xml:space="preserve">guma, kako bi se olakšao transport do postrojenja za </w:t>
      </w:r>
      <w:r w:rsidR="00213F55">
        <w:rPr>
          <w:rFonts w:ascii="Arial" w:hAnsi="Arial" w:cs="Arial"/>
          <w:lang w:val="sq-AL"/>
        </w:rPr>
        <w:t>obradu</w:t>
      </w:r>
      <w:r w:rsidRPr="002A6F4E">
        <w:rPr>
          <w:rFonts w:ascii="Arial" w:hAnsi="Arial" w:cs="Arial"/>
          <w:lang w:val="sq-AL"/>
        </w:rPr>
        <w:t>.</w:t>
      </w:r>
    </w:p>
    <w:p w14:paraId="62B482B1" w14:textId="77777777" w:rsidR="00301814" w:rsidRPr="002A6F4E" w:rsidRDefault="00301814" w:rsidP="009316F8">
      <w:pPr>
        <w:widowControl w:val="0"/>
        <w:spacing w:before="120" w:after="120" w:line="360" w:lineRule="auto"/>
        <w:rPr>
          <w:rFonts w:ascii="Arial" w:hAnsi="Arial" w:cs="Arial"/>
          <w:lang w:val="sq-AL"/>
        </w:rPr>
      </w:pPr>
    </w:p>
    <w:p w14:paraId="357C9373" w14:textId="34D62381" w:rsidR="009316F8" w:rsidRPr="002A6F4E" w:rsidRDefault="009316F8" w:rsidP="009316F8">
      <w:pPr>
        <w:widowControl w:val="0"/>
        <w:spacing w:before="120" w:after="120" w:line="360" w:lineRule="auto"/>
        <w:rPr>
          <w:rFonts w:ascii="Arial" w:hAnsi="Arial" w:cs="Arial"/>
          <w:b/>
          <w:bCs/>
          <w:u w:val="single"/>
          <w:lang w:val="sq-AL"/>
        </w:rPr>
      </w:pPr>
      <w:r w:rsidRPr="002A6F4E">
        <w:rPr>
          <w:rFonts w:ascii="Arial" w:hAnsi="Arial" w:cs="Arial"/>
          <w:b/>
          <w:bCs/>
          <w:u w:val="single"/>
          <w:lang w:val="sq-AL"/>
        </w:rPr>
        <w:t>P</w:t>
      </w:r>
      <w:r w:rsidR="005A0F43">
        <w:rPr>
          <w:rFonts w:ascii="Arial" w:hAnsi="Arial" w:cs="Arial"/>
          <w:b/>
          <w:bCs/>
          <w:u w:val="single"/>
          <w:lang w:val="sq-AL"/>
        </w:rPr>
        <w:t>ovrat materijala i prerada</w:t>
      </w:r>
    </w:p>
    <w:p w14:paraId="07318011" w14:textId="53C90FAE" w:rsidR="009316F8" w:rsidRPr="002A6F4E" w:rsidRDefault="00213F55" w:rsidP="009316F8">
      <w:pPr>
        <w:spacing w:before="120" w:after="120" w:line="360" w:lineRule="auto"/>
        <w:rPr>
          <w:rFonts w:ascii="Arial" w:hAnsi="Arial" w:cs="Arial"/>
          <w:lang w:val="sq-AL"/>
        </w:rPr>
      </w:pPr>
      <w:r>
        <w:rPr>
          <w:rFonts w:ascii="Arial" w:hAnsi="Arial" w:cs="Arial"/>
          <w:lang w:val="sq-AL"/>
        </w:rPr>
        <w:t>Otpadne</w:t>
      </w:r>
      <w:r w:rsidR="009316F8" w:rsidRPr="002A6F4E">
        <w:rPr>
          <w:rFonts w:ascii="Arial" w:hAnsi="Arial" w:cs="Arial"/>
          <w:lang w:val="sq-AL"/>
        </w:rPr>
        <w:t xml:space="preserve"> gume koje neće biti protektirane završiće u postrojenjima za preradu. Proces </w:t>
      </w:r>
      <w:r w:rsidR="001F0243">
        <w:rPr>
          <w:rFonts w:ascii="Arial" w:hAnsi="Arial" w:cs="Arial"/>
          <w:lang w:val="sq-AL"/>
        </w:rPr>
        <w:t xml:space="preserve">prerade </w:t>
      </w:r>
      <w:r w:rsidR="009316F8" w:rsidRPr="002A6F4E">
        <w:rPr>
          <w:rFonts w:ascii="Arial" w:hAnsi="Arial" w:cs="Arial"/>
          <w:lang w:val="sq-AL"/>
        </w:rPr>
        <w:t>obuhvata sljedeće:</w:t>
      </w:r>
    </w:p>
    <w:p w14:paraId="110AC520" w14:textId="636B7421"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 xml:space="preserve">Čuvanje i </w:t>
      </w:r>
      <w:r w:rsidR="001F0243">
        <w:rPr>
          <w:rFonts w:ascii="Arial" w:hAnsi="Arial" w:cs="Arial"/>
          <w:lang w:val="sq-AL"/>
        </w:rPr>
        <w:t xml:space="preserve">obrada </w:t>
      </w:r>
      <w:r w:rsidR="00213F55">
        <w:rPr>
          <w:rFonts w:ascii="Arial" w:hAnsi="Arial" w:cs="Arial"/>
          <w:lang w:val="sq-AL"/>
        </w:rPr>
        <w:t>otpadnih</w:t>
      </w:r>
      <w:r w:rsidR="00213F55" w:rsidRPr="002A6F4E">
        <w:rPr>
          <w:rFonts w:ascii="Arial" w:hAnsi="Arial" w:cs="Arial"/>
          <w:lang w:val="sq-AL"/>
        </w:rPr>
        <w:t xml:space="preserve"> </w:t>
      </w:r>
      <w:r w:rsidRPr="002A6F4E">
        <w:rPr>
          <w:rFonts w:ascii="Arial" w:hAnsi="Arial" w:cs="Arial"/>
          <w:lang w:val="sq-AL"/>
        </w:rPr>
        <w:t>guma;</w:t>
      </w:r>
    </w:p>
    <w:p w14:paraId="653911E6" w14:textId="64EB3A32" w:rsidR="009316F8" w:rsidRPr="002A6F4E" w:rsidRDefault="00213F55" w:rsidP="00A23ED0">
      <w:pPr>
        <w:pStyle w:val="ListParagraph"/>
        <w:numPr>
          <w:ilvl w:val="0"/>
          <w:numId w:val="72"/>
        </w:numPr>
        <w:spacing w:before="120" w:after="120" w:line="360" w:lineRule="auto"/>
        <w:ind w:left="720" w:hanging="450"/>
        <w:contextualSpacing w:val="0"/>
        <w:rPr>
          <w:rFonts w:ascii="Arial" w:hAnsi="Arial" w:cs="Arial"/>
          <w:lang w:val="sq-AL"/>
        </w:rPr>
      </w:pPr>
      <w:r>
        <w:rPr>
          <w:rFonts w:ascii="Arial" w:hAnsi="Arial" w:cs="Arial"/>
          <w:lang w:val="sq-AL"/>
        </w:rPr>
        <w:t>P</w:t>
      </w:r>
      <w:r w:rsidR="009316F8" w:rsidRPr="002A6F4E">
        <w:rPr>
          <w:rFonts w:ascii="Arial" w:hAnsi="Arial" w:cs="Arial"/>
          <w:lang w:val="sq-AL"/>
        </w:rPr>
        <w:t>rerad</w:t>
      </w:r>
      <w:r w:rsidR="001F0243">
        <w:rPr>
          <w:rFonts w:ascii="Arial" w:hAnsi="Arial" w:cs="Arial"/>
          <w:lang w:val="sq-AL"/>
        </w:rPr>
        <w:t>u</w:t>
      </w:r>
      <w:r w:rsidR="009316F8" w:rsidRPr="002A6F4E">
        <w:rPr>
          <w:rFonts w:ascii="Arial" w:hAnsi="Arial" w:cs="Arial"/>
          <w:lang w:val="sq-AL"/>
        </w:rPr>
        <w:t>;</w:t>
      </w:r>
    </w:p>
    <w:p w14:paraId="59708403" w14:textId="041D962D"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 xml:space="preserve">Skladištenje svih </w:t>
      </w:r>
      <w:r w:rsidR="001F0243">
        <w:rPr>
          <w:rFonts w:ascii="Arial" w:hAnsi="Arial" w:cs="Arial"/>
          <w:lang w:val="sq-AL"/>
        </w:rPr>
        <w:t>prerađenih</w:t>
      </w:r>
      <w:r w:rsidRPr="002A6F4E">
        <w:rPr>
          <w:rFonts w:ascii="Arial" w:hAnsi="Arial" w:cs="Arial"/>
          <w:lang w:val="sq-AL"/>
        </w:rPr>
        <w:t xml:space="preserve"> materijala.</w:t>
      </w:r>
    </w:p>
    <w:p w14:paraId="4C8550AA" w14:textId="77777777"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Jedinica za mehaničku granulaciju uključuje sljedeće korake:</w:t>
      </w:r>
    </w:p>
    <w:p w14:paraId="317460FA" w14:textId="4BB0DD2B"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 xml:space="preserve">Prethodno usitnjavanje </w:t>
      </w:r>
      <w:r w:rsidR="00213F55">
        <w:rPr>
          <w:rFonts w:ascii="Arial" w:hAnsi="Arial" w:cs="Arial"/>
          <w:lang w:val="sq-AL"/>
        </w:rPr>
        <w:t xml:space="preserve">otpadnih </w:t>
      </w:r>
      <w:r w:rsidRPr="002A6F4E">
        <w:rPr>
          <w:rFonts w:ascii="Arial" w:hAnsi="Arial" w:cs="Arial"/>
          <w:lang w:val="sq-AL"/>
        </w:rPr>
        <w:t>guma;</w:t>
      </w:r>
    </w:p>
    <w:p w14:paraId="58B91AC7" w14:textId="77777777"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Mehanička granulacija;</w:t>
      </w:r>
    </w:p>
    <w:p w14:paraId="50453AD4" w14:textId="77777777"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Odvajanje vlakana;</w:t>
      </w:r>
    </w:p>
    <w:p w14:paraId="0AEEBE7F" w14:textId="77777777"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Granulacija u manjim granuliranim zrnima.</w:t>
      </w:r>
    </w:p>
    <w:p w14:paraId="040EBBB2" w14:textId="5627E52D" w:rsidR="009316F8" w:rsidRPr="002A6F4E" w:rsidRDefault="009316F8" w:rsidP="009316F8">
      <w:pPr>
        <w:spacing w:before="120" w:after="120" w:line="360" w:lineRule="auto"/>
        <w:rPr>
          <w:rFonts w:ascii="Arial" w:hAnsi="Arial" w:cs="Arial"/>
          <w:b/>
          <w:lang w:val="sq-AL"/>
        </w:rPr>
      </w:pPr>
      <w:r w:rsidRPr="002A6F4E">
        <w:rPr>
          <w:rFonts w:ascii="Arial" w:hAnsi="Arial" w:cs="Arial"/>
          <w:b/>
          <w:lang w:val="sq-AL"/>
        </w:rPr>
        <w:t xml:space="preserve">Predviđeno je da upravljanje (skladištenje, sortiranje i </w:t>
      </w:r>
      <w:r w:rsidR="001F0243">
        <w:rPr>
          <w:rFonts w:ascii="Arial" w:hAnsi="Arial" w:cs="Arial"/>
          <w:b/>
          <w:lang w:val="sq-AL"/>
        </w:rPr>
        <w:t>obrada</w:t>
      </w:r>
      <w:r w:rsidRPr="002A6F4E">
        <w:rPr>
          <w:rFonts w:ascii="Arial" w:hAnsi="Arial" w:cs="Arial"/>
          <w:b/>
          <w:lang w:val="sq-AL"/>
        </w:rPr>
        <w:t>) otpadnih guma se vrši u Regionalnom centru upravljanja otpadom Podgorica.</w:t>
      </w:r>
      <w:bookmarkStart w:id="1336" w:name="_Toc121759121"/>
    </w:p>
    <w:p w14:paraId="44435FEC" w14:textId="6B2897DD" w:rsidR="009316F8" w:rsidRPr="002A6F4E" w:rsidRDefault="009316F8" w:rsidP="00F57909">
      <w:pPr>
        <w:pStyle w:val="Heading2"/>
      </w:pPr>
      <w:bookmarkStart w:id="1337" w:name="_Toc189759748"/>
      <w:bookmarkStart w:id="1338" w:name="_Toc193354064"/>
      <w:r w:rsidRPr="002A6F4E">
        <w:t>6.</w:t>
      </w:r>
      <w:r w:rsidR="008E7CAD" w:rsidRPr="002A6F4E">
        <w:t>6</w:t>
      </w:r>
      <w:r w:rsidRPr="002A6F4E">
        <w:t>.</w:t>
      </w:r>
      <w:r w:rsidR="000E0714" w:rsidRPr="002A6F4E">
        <w:t xml:space="preserve"> </w:t>
      </w:r>
      <w:r w:rsidRPr="002A6F4E">
        <w:t>Otpadna ulja</w:t>
      </w:r>
      <w:bookmarkEnd w:id="1337"/>
      <w:r w:rsidRPr="002A6F4E">
        <w:t xml:space="preserve"> </w:t>
      </w:r>
      <w:bookmarkStart w:id="1339" w:name="_Toc189759749"/>
      <w:bookmarkEnd w:id="1336"/>
      <w:r w:rsidRPr="002A6F4E">
        <w:t>- Ciljevi i zadaci</w:t>
      </w:r>
      <w:bookmarkEnd w:id="1338"/>
      <w:bookmarkEnd w:id="1339"/>
      <w:r w:rsidRPr="002A6F4E">
        <w:t xml:space="preserve"> </w:t>
      </w:r>
    </w:p>
    <w:p w14:paraId="6710BAF7" w14:textId="77777777" w:rsidR="009316F8" w:rsidRPr="00190E58" w:rsidRDefault="009316F8" w:rsidP="009316F8">
      <w:pPr>
        <w:widowControl w:val="0"/>
        <w:spacing w:before="120" w:after="120" w:line="360" w:lineRule="auto"/>
        <w:rPr>
          <w:rFonts w:ascii="Arial" w:hAnsi="Arial" w:cs="Arial"/>
          <w:b/>
          <w:bCs/>
          <w:u w:val="single"/>
          <w:lang w:val="sq-AL"/>
        </w:rPr>
      </w:pPr>
      <w:bookmarkStart w:id="1340" w:name="_Toc132554784"/>
      <w:bookmarkStart w:id="1341" w:name="_Toc132733953"/>
      <w:bookmarkStart w:id="1342" w:name="_Toc132726581"/>
      <w:bookmarkStart w:id="1343" w:name="_Toc132733952"/>
      <w:bookmarkStart w:id="1344" w:name="_Toc132556529"/>
      <w:bookmarkStart w:id="1345" w:name="_Toc132625500"/>
      <w:bookmarkStart w:id="1346" w:name="_Toc132726582"/>
      <w:bookmarkStart w:id="1347" w:name="_Toc132554783"/>
      <w:bookmarkStart w:id="1348" w:name="_Toc132557389"/>
      <w:bookmarkStart w:id="1349" w:name="_Toc132557388"/>
      <w:bookmarkStart w:id="1350" w:name="_Toc132625499"/>
      <w:bookmarkStart w:id="1351" w:name="_Toc132556528"/>
      <w:bookmarkEnd w:id="1340"/>
      <w:bookmarkEnd w:id="1341"/>
      <w:bookmarkEnd w:id="1342"/>
      <w:bookmarkEnd w:id="1343"/>
      <w:bookmarkEnd w:id="1344"/>
      <w:bookmarkEnd w:id="1345"/>
      <w:bookmarkEnd w:id="1346"/>
      <w:bookmarkEnd w:id="1347"/>
      <w:bookmarkEnd w:id="1348"/>
      <w:bookmarkEnd w:id="1349"/>
      <w:bookmarkEnd w:id="1350"/>
      <w:bookmarkEnd w:id="1351"/>
      <w:r w:rsidRPr="00190E58">
        <w:rPr>
          <w:rFonts w:ascii="Arial" w:hAnsi="Arial" w:cs="Arial"/>
          <w:b/>
          <w:bCs/>
          <w:u w:val="single"/>
          <w:lang w:val="sq-AL"/>
        </w:rPr>
        <w:t>Sakupljanje i transport</w:t>
      </w:r>
    </w:p>
    <w:p w14:paraId="07E17ABD" w14:textId="77777777" w:rsidR="009316F8" w:rsidRPr="00190E58" w:rsidRDefault="009316F8" w:rsidP="009316F8">
      <w:pPr>
        <w:spacing w:before="120" w:after="120" w:line="360" w:lineRule="auto"/>
        <w:rPr>
          <w:rFonts w:ascii="Arial" w:hAnsi="Arial" w:cs="Arial"/>
          <w:lang w:val="sq-AL"/>
        </w:rPr>
      </w:pPr>
      <w:r w:rsidRPr="00190E58">
        <w:rPr>
          <w:rFonts w:ascii="Arial" w:hAnsi="Arial" w:cs="Arial"/>
          <w:lang w:val="sq-AL"/>
        </w:rPr>
        <w:t>Otpadna ulja će se sakupljati iz:</w:t>
      </w:r>
    </w:p>
    <w:p w14:paraId="702E5270" w14:textId="77777777" w:rsidR="009316F8" w:rsidRPr="00190E58"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190E58">
        <w:rPr>
          <w:rFonts w:ascii="Arial" w:hAnsi="Arial" w:cs="Arial"/>
          <w:lang w:val="sq-AL"/>
        </w:rPr>
        <w:t>Radionica za vozila, čamce i poljoprivrednu opremu;</w:t>
      </w:r>
    </w:p>
    <w:p w14:paraId="3C1D9237" w14:textId="7B3BF72D" w:rsidR="009316F8" w:rsidRPr="00190E58"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190E58">
        <w:rPr>
          <w:rFonts w:ascii="Arial" w:hAnsi="Arial" w:cs="Arial"/>
          <w:lang w:val="sq-AL"/>
        </w:rPr>
        <w:t>Benzinskih pump</w:t>
      </w:r>
      <w:r w:rsidR="00BA1CB0">
        <w:rPr>
          <w:rFonts w:ascii="Arial" w:hAnsi="Arial" w:cs="Arial"/>
          <w:lang w:val="sq-AL"/>
        </w:rPr>
        <w:t>i</w:t>
      </w:r>
      <w:r w:rsidRPr="00190E58">
        <w:rPr>
          <w:rFonts w:ascii="Arial" w:hAnsi="Arial" w:cs="Arial"/>
          <w:lang w:val="sq-AL"/>
        </w:rPr>
        <w:t>;</w:t>
      </w:r>
    </w:p>
    <w:p w14:paraId="557F27D0" w14:textId="77777777" w:rsidR="009316F8" w:rsidRPr="00190E58"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190E58">
        <w:rPr>
          <w:rFonts w:ascii="Arial" w:hAnsi="Arial" w:cs="Arial"/>
          <w:lang w:val="sq-AL"/>
        </w:rPr>
        <w:t>Gradilišta i mašinskih radionica;</w:t>
      </w:r>
    </w:p>
    <w:p w14:paraId="0A273C9E" w14:textId="77777777" w:rsidR="009316F8" w:rsidRPr="00190E58"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190E58">
        <w:rPr>
          <w:rFonts w:ascii="Arial" w:hAnsi="Arial" w:cs="Arial"/>
          <w:lang w:val="sq-AL"/>
        </w:rPr>
        <w:t>Industrije;</w:t>
      </w:r>
    </w:p>
    <w:p w14:paraId="1E4D3C03" w14:textId="77777777" w:rsidR="009316F8" w:rsidRPr="00190E58"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190E58">
        <w:rPr>
          <w:rFonts w:ascii="Arial" w:hAnsi="Arial" w:cs="Arial"/>
          <w:lang w:val="sq-AL"/>
        </w:rPr>
        <w:t>Luka, marina, brodogradilišta;</w:t>
      </w:r>
    </w:p>
    <w:p w14:paraId="140404ED" w14:textId="77777777" w:rsidR="009316F8" w:rsidRPr="00190E58"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190E58">
        <w:rPr>
          <w:rFonts w:ascii="Arial" w:hAnsi="Arial" w:cs="Arial"/>
          <w:lang w:val="sq-AL"/>
        </w:rPr>
        <w:lastRenderedPageBreak/>
        <w:t>Radionica za demontažu vozila.</w:t>
      </w:r>
    </w:p>
    <w:p w14:paraId="793DB6A9" w14:textId="3BD422E9" w:rsidR="009316F8" w:rsidRDefault="009316F8" w:rsidP="009316F8">
      <w:pPr>
        <w:widowControl w:val="0"/>
        <w:spacing w:before="120" w:after="120" w:line="360" w:lineRule="auto"/>
        <w:rPr>
          <w:rFonts w:ascii="Arial" w:hAnsi="Arial" w:cs="Arial"/>
          <w:lang w:val="sq-AL"/>
        </w:rPr>
      </w:pPr>
      <w:r w:rsidRPr="00190E58">
        <w:rPr>
          <w:rFonts w:ascii="Arial" w:hAnsi="Arial" w:cs="Arial"/>
          <w:lang w:val="sq-AL"/>
        </w:rPr>
        <w:t xml:space="preserve">Odvojeno sakupljena </w:t>
      </w:r>
      <w:r w:rsidR="00213F55">
        <w:rPr>
          <w:rFonts w:ascii="Arial" w:hAnsi="Arial" w:cs="Arial"/>
          <w:lang w:val="sq-AL"/>
        </w:rPr>
        <w:t xml:space="preserve">otpadna </w:t>
      </w:r>
      <w:r w:rsidRPr="00190E58">
        <w:rPr>
          <w:rFonts w:ascii="Arial" w:hAnsi="Arial" w:cs="Arial"/>
          <w:lang w:val="sq-AL"/>
        </w:rPr>
        <w:t xml:space="preserve">ulja transportovaće se do privremenih skladišta i preko njih slati u objekte za preradu, po potrebi. U privremenim skladišnim prostorima neće se vršiti predtretman; vršiće se samo identifikacija i kvantifikacija </w:t>
      </w:r>
      <w:r w:rsidR="00213F55">
        <w:rPr>
          <w:rFonts w:ascii="Arial" w:hAnsi="Arial" w:cs="Arial"/>
          <w:lang w:val="sq-AL"/>
        </w:rPr>
        <w:t>otpadnih</w:t>
      </w:r>
      <w:r w:rsidR="00213F55" w:rsidRPr="00190E58">
        <w:rPr>
          <w:rFonts w:ascii="Arial" w:hAnsi="Arial" w:cs="Arial"/>
          <w:lang w:val="sq-AL"/>
        </w:rPr>
        <w:t xml:space="preserve"> </w:t>
      </w:r>
      <w:r w:rsidRPr="00190E58">
        <w:rPr>
          <w:rFonts w:ascii="Arial" w:hAnsi="Arial" w:cs="Arial"/>
          <w:lang w:val="sq-AL"/>
        </w:rPr>
        <w:t>ulja.</w:t>
      </w:r>
    </w:p>
    <w:p w14:paraId="16216D2F" w14:textId="77777777" w:rsidR="009C3E27" w:rsidRPr="009C3E27" w:rsidRDefault="009C3E27" w:rsidP="009C3E27">
      <w:pPr>
        <w:pStyle w:val="Caption"/>
        <w:rPr>
          <w:rFonts w:ascii="Arial" w:hAnsi="Arial" w:cs="Arial"/>
          <w:b w:val="0"/>
          <w:lang w:val="hr-HR"/>
        </w:rPr>
      </w:pPr>
      <w:bookmarkStart w:id="1352" w:name="_Toc189515706"/>
      <w:bookmarkStart w:id="1353" w:name="_Toc189549768"/>
      <w:bookmarkStart w:id="1354" w:name="_Toc130833092"/>
      <w:r w:rsidRPr="009C3E27">
        <w:rPr>
          <w:rFonts w:ascii="Arial" w:hAnsi="Arial" w:cs="Arial"/>
          <w:b w:val="0"/>
          <w:lang w:val="hr-HR"/>
        </w:rPr>
        <w:t xml:space="preserve">Tabela </w:t>
      </w:r>
      <w:r w:rsidRPr="009C3E27">
        <w:rPr>
          <w:rFonts w:ascii="Arial" w:hAnsi="Arial" w:cs="Arial"/>
          <w:b w:val="0"/>
        </w:rPr>
        <w:fldChar w:fldCharType="begin"/>
      </w:r>
      <w:r w:rsidRPr="009C3E27">
        <w:rPr>
          <w:rFonts w:ascii="Arial" w:hAnsi="Arial" w:cs="Arial"/>
          <w:b w:val="0"/>
          <w:lang w:val="hr-HR"/>
        </w:rPr>
        <w:instrText xml:space="preserve"> SEQ Tabela \* ARABIC </w:instrText>
      </w:r>
      <w:r w:rsidRPr="009C3E27">
        <w:rPr>
          <w:rFonts w:ascii="Arial" w:hAnsi="Arial" w:cs="Arial"/>
          <w:b w:val="0"/>
        </w:rPr>
        <w:fldChar w:fldCharType="separate"/>
      </w:r>
      <w:r w:rsidR="007274DA">
        <w:rPr>
          <w:rFonts w:ascii="Arial" w:hAnsi="Arial" w:cs="Arial"/>
          <w:b w:val="0"/>
          <w:noProof/>
          <w:lang w:val="hr-HR"/>
        </w:rPr>
        <w:t>113</w:t>
      </w:r>
      <w:r w:rsidRPr="009C3E27">
        <w:rPr>
          <w:rFonts w:ascii="Arial" w:hAnsi="Arial" w:cs="Arial"/>
          <w:b w:val="0"/>
        </w:rPr>
        <w:fldChar w:fldCharType="end"/>
      </w:r>
      <w:r w:rsidRPr="009C3E27">
        <w:rPr>
          <w:rFonts w:ascii="Arial" w:hAnsi="Arial" w:cs="Arial"/>
          <w:b w:val="0"/>
          <w:lang w:val="hr-HR"/>
        </w:rPr>
        <w:t xml:space="preserve"> Ciljevi upravljanja otpadom za otpadna ulja</w:t>
      </w:r>
      <w:bookmarkEnd w:id="1352"/>
      <w:bookmarkEnd w:id="1353"/>
      <w:r w:rsidRPr="009C3E27">
        <w:rPr>
          <w:rFonts w:ascii="Arial" w:hAnsi="Arial" w:cs="Arial"/>
          <w:b w:val="0"/>
          <w:lang w:val="hr-HR"/>
        </w:rPr>
        <w:t xml:space="preserve"> </w:t>
      </w:r>
      <w:bookmarkEnd w:id="1354"/>
    </w:p>
    <w:tbl>
      <w:tblPr>
        <w:tblStyle w:val="denkstatt13"/>
        <w:tblW w:w="0" w:type="auto"/>
        <w:jc w:val="center"/>
        <w:tblLook w:val="04A0" w:firstRow="1" w:lastRow="0" w:firstColumn="1" w:lastColumn="0" w:noHBand="0" w:noVBand="1"/>
      </w:tblPr>
      <w:tblGrid>
        <w:gridCol w:w="5213"/>
        <w:gridCol w:w="1929"/>
        <w:gridCol w:w="2206"/>
      </w:tblGrid>
      <w:tr w:rsidR="009C3E27" w:rsidRPr="00565757" w14:paraId="28510123" w14:textId="77777777" w:rsidTr="00D8640F">
        <w:trPr>
          <w:jc w:val="center"/>
        </w:trPr>
        <w:tc>
          <w:tcPr>
            <w:tcW w:w="6025" w:type="dxa"/>
            <w:shd w:val="clear" w:color="auto" w:fill="D9D9D9" w:themeFill="background1" w:themeFillShade="D9"/>
          </w:tcPr>
          <w:p w14:paraId="1B667214" w14:textId="77777777" w:rsidR="009C3E27" w:rsidRPr="00565757" w:rsidRDefault="009C3E27" w:rsidP="00D8640F">
            <w:pPr>
              <w:widowControl w:val="0"/>
              <w:spacing w:after="120" w:line="276" w:lineRule="auto"/>
              <w:rPr>
                <w:sz w:val="22"/>
                <w:szCs w:val="22"/>
                <w:highlight w:val="cyan"/>
              </w:rPr>
            </w:pPr>
            <w:r w:rsidRPr="00565757">
              <w:rPr>
                <w:b/>
                <w:bCs/>
              </w:rPr>
              <w:t>Opis cilja</w:t>
            </w:r>
          </w:p>
        </w:tc>
        <w:tc>
          <w:tcPr>
            <w:tcW w:w="1682" w:type="dxa"/>
            <w:shd w:val="clear" w:color="auto" w:fill="D9D9D9" w:themeFill="background1" w:themeFillShade="D9"/>
          </w:tcPr>
          <w:p w14:paraId="4433201D" w14:textId="77777777" w:rsidR="009C3E27" w:rsidRPr="00565757" w:rsidRDefault="009C3E27" w:rsidP="00D8640F">
            <w:pPr>
              <w:widowControl w:val="0"/>
              <w:spacing w:after="120" w:line="276" w:lineRule="auto"/>
              <w:jc w:val="center"/>
              <w:rPr>
                <w:sz w:val="22"/>
                <w:szCs w:val="22"/>
                <w:highlight w:val="cyan"/>
              </w:rPr>
            </w:pPr>
            <w:r w:rsidRPr="00565757">
              <w:rPr>
                <w:b/>
                <w:bCs/>
              </w:rPr>
              <w:t>Ciljna godina</w:t>
            </w:r>
          </w:p>
        </w:tc>
        <w:tc>
          <w:tcPr>
            <w:tcW w:w="1914" w:type="dxa"/>
            <w:shd w:val="clear" w:color="auto" w:fill="D9D9D9" w:themeFill="background1" w:themeFillShade="D9"/>
          </w:tcPr>
          <w:p w14:paraId="7863D0DF" w14:textId="77777777" w:rsidR="009C3E27" w:rsidRPr="00565757" w:rsidRDefault="009C3E27" w:rsidP="00D8640F">
            <w:pPr>
              <w:widowControl w:val="0"/>
              <w:spacing w:after="120" w:line="276" w:lineRule="auto"/>
              <w:rPr>
                <w:sz w:val="22"/>
                <w:szCs w:val="22"/>
                <w:highlight w:val="cyan"/>
              </w:rPr>
            </w:pPr>
            <w:r w:rsidRPr="00565757">
              <w:rPr>
                <w:b/>
                <w:bCs/>
              </w:rPr>
              <w:t>Izvor cilja</w:t>
            </w:r>
          </w:p>
        </w:tc>
      </w:tr>
      <w:tr w:rsidR="009C3E27" w:rsidRPr="00565757" w14:paraId="5C1F9E28" w14:textId="77777777" w:rsidTr="00D8640F">
        <w:tblPrEx>
          <w:jc w:val="left"/>
        </w:tblPrEx>
        <w:tc>
          <w:tcPr>
            <w:tcW w:w="6025" w:type="dxa"/>
          </w:tcPr>
          <w:p w14:paraId="46A55496" w14:textId="77777777" w:rsidR="009C3E27" w:rsidRPr="00565757" w:rsidRDefault="009C3E27" w:rsidP="00D8640F">
            <w:pPr>
              <w:widowControl w:val="0"/>
              <w:spacing w:after="120" w:line="276" w:lineRule="auto"/>
              <w:jc w:val="left"/>
              <w:rPr>
                <w:highlight w:val="cyan"/>
              </w:rPr>
            </w:pPr>
            <w:r w:rsidRPr="00565757">
              <w:t>Odvojeno sakupiti 70% otpadnih ulja</w:t>
            </w:r>
          </w:p>
        </w:tc>
        <w:tc>
          <w:tcPr>
            <w:tcW w:w="1682" w:type="dxa"/>
          </w:tcPr>
          <w:p w14:paraId="4FAAD329" w14:textId="53255160" w:rsidR="009C3E27" w:rsidRPr="00565757" w:rsidRDefault="009C3E27" w:rsidP="00D8640F">
            <w:pPr>
              <w:widowControl w:val="0"/>
              <w:spacing w:after="120" w:line="276" w:lineRule="auto"/>
              <w:jc w:val="center"/>
            </w:pPr>
            <w:r>
              <w:t>2029</w:t>
            </w:r>
          </w:p>
        </w:tc>
        <w:tc>
          <w:tcPr>
            <w:tcW w:w="1914" w:type="dxa"/>
            <w:vMerge w:val="restart"/>
            <w:vAlign w:val="center"/>
          </w:tcPr>
          <w:p w14:paraId="6773AF79" w14:textId="77777777" w:rsidR="009C3E27" w:rsidRPr="00565757" w:rsidRDefault="009C3E27" w:rsidP="00D8640F">
            <w:pPr>
              <w:widowControl w:val="0"/>
              <w:spacing w:after="120" w:line="276" w:lineRule="auto"/>
              <w:jc w:val="left"/>
              <w:rPr>
                <w:sz w:val="22"/>
                <w:szCs w:val="22"/>
                <w:highlight w:val="cyan"/>
              </w:rPr>
            </w:pPr>
            <w:r w:rsidRPr="00565757">
              <w:t>Predloženi ciljevi</w:t>
            </w:r>
          </w:p>
        </w:tc>
      </w:tr>
      <w:tr w:rsidR="009C3E27" w:rsidRPr="00565757" w14:paraId="36D86DE4" w14:textId="77777777" w:rsidTr="00D8640F">
        <w:tblPrEx>
          <w:jc w:val="left"/>
        </w:tblPrEx>
        <w:tc>
          <w:tcPr>
            <w:tcW w:w="6025" w:type="dxa"/>
          </w:tcPr>
          <w:p w14:paraId="44033F45" w14:textId="77777777" w:rsidR="009C3E27" w:rsidRPr="00565757" w:rsidRDefault="009C3E27" w:rsidP="00D8640F">
            <w:pPr>
              <w:widowControl w:val="0"/>
              <w:spacing w:after="120" w:line="276" w:lineRule="auto"/>
              <w:jc w:val="left"/>
              <w:rPr>
                <w:highlight w:val="cyan"/>
              </w:rPr>
            </w:pPr>
            <w:r w:rsidRPr="00565757">
              <w:t>Odvojeno sakupiti 85% otpadnih ulja</w:t>
            </w:r>
          </w:p>
        </w:tc>
        <w:tc>
          <w:tcPr>
            <w:tcW w:w="1682" w:type="dxa"/>
          </w:tcPr>
          <w:p w14:paraId="4B9F12A2" w14:textId="77777777" w:rsidR="009C3E27" w:rsidRPr="00565757" w:rsidRDefault="009C3E27" w:rsidP="00D8640F">
            <w:pPr>
              <w:widowControl w:val="0"/>
              <w:spacing w:after="120" w:line="276" w:lineRule="auto"/>
              <w:jc w:val="center"/>
            </w:pPr>
            <w:r w:rsidRPr="00565757">
              <w:t>2035</w:t>
            </w:r>
          </w:p>
        </w:tc>
        <w:tc>
          <w:tcPr>
            <w:tcW w:w="1914" w:type="dxa"/>
            <w:vMerge/>
          </w:tcPr>
          <w:p w14:paraId="309A9F27" w14:textId="77777777" w:rsidR="009C3E27" w:rsidRPr="00565757" w:rsidRDefault="009C3E27" w:rsidP="00D8640F">
            <w:pPr>
              <w:widowControl w:val="0"/>
              <w:spacing w:after="120" w:line="276" w:lineRule="auto"/>
              <w:jc w:val="left"/>
              <w:rPr>
                <w:sz w:val="22"/>
                <w:szCs w:val="22"/>
              </w:rPr>
            </w:pPr>
          </w:p>
        </w:tc>
      </w:tr>
    </w:tbl>
    <w:p w14:paraId="113EA2DA" w14:textId="77777777" w:rsidR="009C3E27" w:rsidRPr="00190E58" w:rsidRDefault="009C3E27" w:rsidP="009316F8">
      <w:pPr>
        <w:widowControl w:val="0"/>
        <w:spacing w:before="120" w:after="120" w:line="360" w:lineRule="auto"/>
        <w:rPr>
          <w:rFonts w:ascii="Arial" w:hAnsi="Arial" w:cs="Arial"/>
          <w:lang w:val="sq-AL"/>
        </w:rPr>
      </w:pPr>
    </w:p>
    <w:p w14:paraId="4F9564EF" w14:textId="6404032E" w:rsidR="009316F8" w:rsidRPr="002A6F4E" w:rsidRDefault="001F0243" w:rsidP="009316F8">
      <w:pPr>
        <w:widowControl w:val="0"/>
        <w:spacing w:before="120" w:after="120" w:line="360" w:lineRule="auto"/>
        <w:rPr>
          <w:rFonts w:ascii="Arial" w:hAnsi="Arial" w:cs="Arial"/>
          <w:b/>
          <w:bCs/>
          <w:u w:val="single"/>
          <w:lang w:val="sq-AL"/>
        </w:rPr>
      </w:pPr>
      <w:r>
        <w:rPr>
          <w:rFonts w:ascii="Arial" w:hAnsi="Arial" w:cs="Arial"/>
          <w:b/>
          <w:bCs/>
          <w:u w:val="single"/>
          <w:lang w:val="sq-AL"/>
        </w:rPr>
        <w:t>Povrat materijala i prerada</w:t>
      </w:r>
    </w:p>
    <w:p w14:paraId="314E0243" w14:textId="13FD0270"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 xml:space="preserve">Prerada  treba da bude glavni cilj za </w:t>
      </w:r>
      <w:r w:rsidR="00213F55">
        <w:rPr>
          <w:rFonts w:ascii="Arial" w:hAnsi="Arial" w:cs="Arial"/>
          <w:lang w:val="sq-AL"/>
        </w:rPr>
        <w:t>obradu otpadnih</w:t>
      </w:r>
      <w:r w:rsidRPr="002A6F4E">
        <w:rPr>
          <w:rFonts w:ascii="Arial" w:hAnsi="Arial" w:cs="Arial"/>
          <w:lang w:val="sq-AL"/>
        </w:rPr>
        <w:t xml:space="preserve"> ulja. </w:t>
      </w:r>
      <w:r w:rsidR="00213F55">
        <w:rPr>
          <w:rFonts w:ascii="Arial" w:hAnsi="Arial" w:cs="Arial"/>
          <w:lang w:val="sq-AL"/>
        </w:rPr>
        <w:t>Otpadna</w:t>
      </w:r>
      <w:r w:rsidR="00213F55" w:rsidRPr="002A6F4E">
        <w:rPr>
          <w:rFonts w:ascii="Arial" w:hAnsi="Arial" w:cs="Arial"/>
          <w:lang w:val="sq-AL"/>
        </w:rPr>
        <w:t xml:space="preserve"> </w:t>
      </w:r>
      <w:r w:rsidRPr="002A6F4E">
        <w:rPr>
          <w:rFonts w:ascii="Arial" w:hAnsi="Arial" w:cs="Arial"/>
          <w:lang w:val="sq-AL"/>
        </w:rPr>
        <w:t>ulja sakupljenih sa gradilišta i mašinskih radnji mogu se preraditi nakon separacije i uklanjanja vode. U takvim slučajevima moguće je postići 100% prerade</w:t>
      </w:r>
      <w:r w:rsidR="00213F55">
        <w:rPr>
          <w:rFonts w:ascii="Arial" w:hAnsi="Arial" w:cs="Arial"/>
          <w:lang w:val="sq-AL"/>
        </w:rPr>
        <w:t xml:space="preserve"> otpadnih</w:t>
      </w:r>
      <w:r w:rsidRPr="002A6F4E">
        <w:rPr>
          <w:rFonts w:ascii="Arial" w:hAnsi="Arial" w:cs="Arial"/>
          <w:lang w:val="sq-AL"/>
        </w:rPr>
        <w:t xml:space="preserve"> ulja.  Određene kategorije </w:t>
      </w:r>
      <w:r w:rsidR="00213F55">
        <w:rPr>
          <w:rFonts w:ascii="Arial" w:hAnsi="Arial" w:cs="Arial"/>
          <w:lang w:val="sq-AL"/>
        </w:rPr>
        <w:t>otpad</w:t>
      </w:r>
      <w:r w:rsidR="00213F55" w:rsidRPr="002A6F4E">
        <w:rPr>
          <w:rFonts w:ascii="Arial" w:hAnsi="Arial" w:cs="Arial"/>
          <w:lang w:val="sq-AL"/>
        </w:rPr>
        <w:t xml:space="preserve">nih </w:t>
      </w:r>
      <w:r w:rsidRPr="002A6F4E">
        <w:rPr>
          <w:rFonts w:ascii="Arial" w:hAnsi="Arial" w:cs="Arial"/>
          <w:lang w:val="sq-AL"/>
        </w:rPr>
        <w:t>ulja čija prerada nije moguća, mogu se koristiti kao gorivo u fabrikama cementa.</w:t>
      </w:r>
    </w:p>
    <w:p w14:paraId="18B98B3A" w14:textId="6B815E7E" w:rsidR="009316F8" w:rsidRPr="002A6F4E" w:rsidRDefault="009316F8" w:rsidP="00F57909">
      <w:pPr>
        <w:pStyle w:val="Heading2"/>
      </w:pPr>
      <w:bookmarkStart w:id="1355" w:name="_Toc121759125"/>
      <w:bookmarkStart w:id="1356" w:name="_Toc189759751"/>
      <w:bookmarkStart w:id="1357" w:name="_Toc193354065"/>
      <w:r w:rsidRPr="002A6F4E">
        <w:t>6.</w:t>
      </w:r>
      <w:r w:rsidR="008E7CAD" w:rsidRPr="002A6F4E">
        <w:t>7</w:t>
      </w:r>
      <w:r w:rsidRPr="002A6F4E">
        <w:t xml:space="preserve">. </w:t>
      </w:r>
      <w:r w:rsidR="00BA1CB0">
        <w:t>P</w:t>
      </w:r>
      <w:r w:rsidRPr="002A6F4E">
        <w:t>oljoprivred</w:t>
      </w:r>
      <w:bookmarkStart w:id="1358" w:name="_Toc189759752"/>
      <w:bookmarkEnd w:id="1355"/>
      <w:bookmarkEnd w:id="1356"/>
      <w:r w:rsidR="00BA1CB0">
        <w:t xml:space="preserve">ni otpad </w:t>
      </w:r>
      <w:r w:rsidRPr="002A6F4E">
        <w:t>- Ciljevi i zadaci</w:t>
      </w:r>
      <w:bookmarkEnd w:id="1357"/>
      <w:bookmarkEnd w:id="1358"/>
      <w:r w:rsidRPr="002A6F4E">
        <w:t xml:space="preserve"> </w:t>
      </w:r>
    </w:p>
    <w:p w14:paraId="211EDD1B" w14:textId="77777777"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Imaju</w:t>
      </w:r>
      <w:r w:rsidRPr="002A6F4E">
        <w:rPr>
          <w:rFonts w:ascii="Arial" w:hAnsi="Arial" w:cs="Arial"/>
          <w:lang w:val="sr-Latn-ME"/>
        </w:rPr>
        <w:t xml:space="preserve">ći u vidu </w:t>
      </w:r>
      <w:r w:rsidRPr="002A6F4E">
        <w:rPr>
          <w:rFonts w:ascii="Arial" w:hAnsi="Arial" w:cs="Arial"/>
          <w:lang w:val="sq-AL"/>
        </w:rPr>
        <w:t>veoma ograničene podatke o proizvodnji i upravljanju poljoprivrednim otpadom, ciljevi upravljanja otpadom treba da se fokusiraju na:</w:t>
      </w:r>
    </w:p>
    <w:p w14:paraId="38150EA7" w14:textId="77777777"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Razvoj mreže sakupljanja biorazgradivog poljoprivrednog otpada, kako bi se proizvela energija (koristeći biogas ili biomasu) ili vrijedan proizvod (npr. đubrivo ili stočna hrana, i sl.).</w:t>
      </w:r>
    </w:p>
    <w:p w14:paraId="1ADFFF34" w14:textId="77777777" w:rsidR="009316F8" w:rsidRPr="00190E58"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 xml:space="preserve">Odvojeno sakupljanje i prerada plastičnog otpada poljoprivrednog porijekla, sa fokusom na plastiku </w:t>
      </w:r>
      <w:r w:rsidRPr="00190E58">
        <w:rPr>
          <w:rFonts w:ascii="Arial" w:hAnsi="Arial" w:cs="Arial"/>
          <w:lang w:val="sq-AL"/>
        </w:rPr>
        <w:t>iz staklenika i ambalažni otpad (npr. đubriva).</w:t>
      </w:r>
    </w:p>
    <w:p w14:paraId="1E4E1BE6" w14:textId="77777777" w:rsidR="009316F8" w:rsidRPr="00190E58"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190E58">
        <w:rPr>
          <w:rFonts w:ascii="Arial" w:hAnsi="Arial" w:cs="Arial"/>
          <w:lang w:val="sq-AL"/>
        </w:rPr>
        <w:t>Odvojeno sakupljanje i upravljanje ambalažnim otpadom koji sadrži opasne materije (npr. pesticide).</w:t>
      </w:r>
    </w:p>
    <w:p w14:paraId="35910E43" w14:textId="77777777" w:rsidR="009316F8" w:rsidRPr="002A6F4E" w:rsidRDefault="009316F8" w:rsidP="009316F8">
      <w:pPr>
        <w:widowControl w:val="0"/>
        <w:spacing w:before="120" w:after="120" w:line="360" w:lineRule="auto"/>
        <w:rPr>
          <w:rFonts w:ascii="Arial" w:hAnsi="Arial" w:cs="Arial"/>
          <w:b/>
          <w:bCs/>
          <w:u w:val="single"/>
          <w:lang w:val="sq-AL"/>
        </w:rPr>
      </w:pPr>
      <w:r w:rsidRPr="002A6F4E">
        <w:rPr>
          <w:rFonts w:ascii="Arial" w:hAnsi="Arial" w:cs="Arial"/>
          <w:b/>
          <w:bCs/>
          <w:u w:val="single"/>
          <w:lang w:val="sq-AL"/>
        </w:rPr>
        <w:t>Sakupljanje i transport</w:t>
      </w:r>
    </w:p>
    <w:p w14:paraId="18DCF3AA" w14:textId="4F1DFD42"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 xml:space="preserve">Sakupljanje otpada iz poljoprivrede (ostaci) treba vršiti odvojeno, kako bi se osigurao odvoz otpada u postrojenja za </w:t>
      </w:r>
      <w:r w:rsidR="00BA1CB0">
        <w:rPr>
          <w:rFonts w:ascii="Arial" w:hAnsi="Arial" w:cs="Arial"/>
          <w:lang w:val="sq-AL"/>
        </w:rPr>
        <w:t>obradu</w:t>
      </w:r>
      <w:r w:rsidRPr="002A6F4E">
        <w:rPr>
          <w:rFonts w:ascii="Arial" w:hAnsi="Arial" w:cs="Arial"/>
          <w:lang w:val="sq-AL"/>
        </w:rPr>
        <w:t>. Isključujući direktnu upotrebu (recikl</w:t>
      </w:r>
      <w:r w:rsidR="00213F55">
        <w:rPr>
          <w:rFonts w:ascii="Arial" w:hAnsi="Arial" w:cs="Arial"/>
          <w:lang w:val="sq-AL"/>
        </w:rPr>
        <w:t>iranje</w:t>
      </w:r>
      <w:r w:rsidRPr="002A6F4E">
        <w:rPr>
          <w:rFonts w:ascii="Arial" w:hAnsi="Arial" w:cs="Arial"/>
          <w:lang w:val="sq-AL"/>
        </w:rPr>
        <w:t xml:space="preserve">) poljoprivrednih ostataka u poljoprivredi ili direktnu upotrebu kao ogrijevno drvo, alternativne opcije </w:t>
      </w:r>
      <w:r w:rsidR="00213F55">
        <w:rPr>
          <w:rFonts w:ascii="Arial" w:hAnsi="Arial" w:cs="Arial"/>
          <w:lang w:val="sq-AL"/>
        </w:rPr>
        <w:t>obrade</w:t>
      </w:r>
      <w:r w:rsidR="00213F55" w:rsidRPr="002A6F4E">
        <w:rPr>
          <w:rFonts w:ascii="Arial" w:hAnsi="Arial" w:cs="Arial"/>
          <w:lang w:val="sq-AL"/>
        </w:rPr>
        <w:t xml:space="preserve"> </w:t>
      </w:r>
      <w:r w:rsidRPr="002A6F4E">
        <w:rPr>
          <w:rFonts w:ascii="Arial" w:hAnsi="Arial" w:cs="Arial"/>
          <w:lang w:val="sq-AL"/>
        </w:rPr>
        <w:t>otpada iz poljoprivrede su:</w:t>
      </w:r>
    </w:p>
    <w:p w14:paraId="6F7C73A2" w14:textId="3731E865" w:rsidR="009316F8" w:rsidRDefault="009316F8" w:rsidP="00A23ED0">
      <w:pPr>
        <w:pStyle w:val="NoSpacing1"/>
        <w:numPr>
          <w:ilvl w:val="0"/>
          <w:numId w:val="130"/>
        </w:numPr>
        <w:rPr>
          <w:rFonts w:ascii="Arial" w:hAnsi="Arial" w:cs="Arial"/>
          <w:sz w:val="20"/>
          <w:szCs w:val="20"/>
        </w:rPr>
      </w:pPr>
      <w:r w:rsidRPr="002A6F4E">
        <w:rPr>
          <w:rFonts w:ascii="Arial" w:hAnsi="Arial" w:cs="Arial"/>
          <w:sz w:val="20"/>
          <w:szCs w:val="20"/>
        </w:rPr>
        <w:t>Kompostiranje (aerobna biološka stabilizacija)</w:t>
      </w:r>
      <w:r w:rsidR="00BA1CB0">
        <w:rPr>
          <w:rFonts w:ascii="Arial" w:hAnsi="Arial" w:cs="Arial"/>
          <w:sz w:val="20"/>
          <w:szCs w:val="20"/>
        </w:rPr>
        <w:t>,</w:t>
      </w:r>
    </w:p>
    <w:p w14:paraId="10AD4C07" w14:textId="77777777" w:rsidR="00BA1CB0" w:rsidRPr="00BA1CB0" w:rsidRDefault="00BA1CB0" w:rsidP="00BA1CB0">
      <w:pPr>
        <w:pStyle w:val="NoSpacing"/>
        <w:rPr>
          <w:lang w:val="en-US"/>
        </w:rPr>
      </w:pPr>
    </w:p>
    <w:p w14:paraId="76F93F8B" w14:textId="367120B9" w:rsidR="00DD0947" w:rsidRDefault="009316F8" w:rsidP="00A23ED0">
      <w:pPr>
        <w:pStyle w:val="NoSpacing1"/>
        <w:numPr>
          <w:ilvl w:val="0"/>
          <w:numId w:val="130"/>
        </w:numPr>
        <w:rPr>
          <w:rFonts w:ascii="Arial" w:hAnsi="Arial" w:cs="Arial"/>
          <w:sz w:val="20"/>
          <w:szCs w:val="20"/>
        </w:rPr>
      </w:pPr>
      <w:r w:rsidRPr="002A6F4E">
        <w:rPr>
          <w:rFonts w:ascii="Arial" w:hAnsi="Arial" w:cs="Arial"/>
          <w:sz w:val="20"/>
          <w:szCs w:val="20"/>
        </w:rPr>
        <w:t>Povrat energije i toplote</w:t>
      </w:r>
      <w:r w:rsidR="00BA1CB0">
        <w:rPr>
          <w:rFonts w:ascii="Arial" w:hAnsi="Arial" w:cs="Arial"/>
          <w:sz w:val="20"/>
          <w:szCs w:val="20"/>
        </w:rPr>
        <w:t>.</w:t>
      </w:r>
    </w:p>
    <w:p w14:paraId="45008A8A" w14:textId="77777777" w:rsidR="0054241B" w:rsidRDefault="0054241B" w:rsidP="0054241B">
      <w:pPr>
        <w:pStyle w:val="NoSpacing"/>
        <w:rPr>
          <w:lang w:val="en-US"/>
        </w:rPr>
      </w:pPr>
    </w:p>
    <w:p w14:paraId="40CFA327" w14:textId="77777777" w:rsidR="0054241B" w:rsidRPr="0054241B" w:rsidRDefault="0054241B" w:rsidP="0054241B">
      <w:pPr>
        <w:pStyle w:val="NoSpacing"/>
        <w:rPr>
          <w:lang w:val="en-US"/>
        </w:rPr>
      </w:pPr>
    </w:p>
    <w:p w14:paraId="2D012689" w14:textId="77777777" w:rsidR="00BA1CB0" w:rsidRPr="00BA1CB0" w:rsidRDefault="00BA1CB0" w:rsidP="00BA1CB0">
      <w:pPr>
        <w:pStyle w:val="NoSpacing"/>
        <w:rPr>
          <w:lang w:val="en-US"/>
        </w:rPr>
      </w:pPr>
    </w:p>
    <w:p w14:paraId="32ECCD02" w14:textId="4C89A3D1" w:rsidR="009316F8" w:rsidRPr="002A6F4E" w:rsidRDefault="009316F8" w:rsidP="009316F8">
      <w:pPr>
        <w:widowControl w:val="0"/>
        <w:spacing w:before="120" w:after="120" w:line="360" w:lineRule="auto"/>
        <w:rPr>
          <w:rFonts w:ascii="Arial" w:hAnsi="Arial" w:cs="Arial"/>
          <w:b/>
          <w:bCs/>
          <w:u w:val="single"/>
          <w:lang w:val="sq-AL"/>
        </w:rPr>
      </w:pPr>
      <w:r w:rsidRPr="002A6F4E">
        <w:rPr>
          <w:rFonts w:ascii="Arial" w:hAnsi="Arial" w:cs="Arial"/>
          <w:b/>
          <w:bCs/>
          <w:u w:val="single"/>
          <w:lang w:val="sq-AL"/>
        </w:rPr>
        <w:lastRenderedPageBreak/>
        <w:t>Od</w:t>
      </w:r>
      <w:r w:rsidR="00213F55">
        <w:rPr>
          <w:rFonts w:ascii="Arial" w:hAnsi="Arial" w:cs="Arial"/>
          <w:b/>
          <w:bCs/>
          <w:u w:val="single"/>
          <w:lang w:val="sq-AL"/>
        </w:rPr>
        <w:t>stranjivanje</w:t>
      </w:r>
    </w:p>
    <w:p w14:paraId="41819EE4" w14:textId="5DFF4858"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Od</w:t>
      </w:r>
      <w:r w:rsidR="00213F55">
        <w:rPr>
          <w:rFonts w:ascii="Arial" w:hAnsi="Arial" w:cs="Arial"/>
          <w:lang w:val="sq-AL"/>
        </w:rPr>
        <w:t>stranjivanje</w:t>
      </w:r>
      <w:r w:rsidRPr="002A6F4E">
        <w:rPr>
          <w:rFonts w:ascii="Arial" w:hAnsi="Arial" w:cs="Arial"/>
          <w:lang w:val="sq-AL"/>
        </w:rPr>
        <w:t xml:space="preserve"> otpada iz poljoprivrede treba izbjegavati i dozvoliti samo do razvoja integrisane mreže objekata za odvojeno sakupljanje i </w:t>
      </w:r>
      <w:r w:rsidR="00213F55">
        <w:rPr>
          <w:rFonts w:ascii="Arial" w:hAnsi="Arial" w:cs="Arial"/>
          <w:lang w:val="sq-AL"/>
        </w:rPr>
        <w:t>obradu</w:t>
      </w:r>
      <w:r w:rsidRPr="002A6F4E">
        <w:rPr>
          <w:rFonts w:ascii="Arial" w:hAnsi="Arial" w:cs="Arial"/>
          <w:lang w:val="sq-AL"/>
        </w:rPr>
        <w:t>.</w:t>
      </w:r>
    </w:p>
    <w:p w14:paraId="2B13DC04" w14:textId="3F258B09" w:rsidR="00156696" w:rsidRPr="00412D2E" w:rsidRDefault="00156696" w:rsidP="00412D2E">
      <w:pPr>
        <w:pStyle w:val="Heading2"/>
      </w:pPr>
      <w:bookmarkStart w:id="1359" w:name="_Toc189759754"/>
      <w:bookmarkStart w:id="1360" w:name="_Toc190088483"/>
      <w:bookmarkStart w:id="1361" w:name="_Hlk189923584"/>
      <w:bookmarkStart w:id="1362" w:name="_Toc193354066"/>
      <w:r w:rsidRPr="00412D2E">
        <w:t xml:space="preserve">6.8. </w:t>
      </w:r>
      <w:r w:rsidR="002F719F" w:rsidRPr="00412D2E">
        <w:t>Kanalizacioni m</w:t>
      </w:r>
      <w:r w:rsidRPr="00412D2E">
        <w:t xml:space="preserve">ulj </w:t>
      </w:r>
      <w:bookmarkStart w:id="1363" w:name="_Toc189759755"/>
      <w:bookmarkEnd w:id="1359"/>
      <w:r w:rsidRPr="00412D2E">
        <w:t>- Ciljevi i zadaci</w:t>
      </w:r>
      <w:bookmarkEnd w:id="1360"/>
      <w:bookmarkEnd w:id="1362"/>
      <w:bookmarkEnd w:id="1363"/>
      <w:r w:rsidRPr="00412D2E">
        <w:t xml:space="preserve"> </w:t>
      </w:r>
    </w:p>
    <w:p w14:paraId="33EC418C" w14:textId="25873D93" w:rsidR="00156696" w:rsidRPr="00EF689B" w:rsidRDefault="00156696" w:rsidP="00156696">
      <w:pPr>
        <w:widowControl w:val="0"/>
        <w:spacing w:before="120" w:after="120" w:line="360" w:lineRule="auto"/>
        <w:rPr>
          <w:rFonts w:ascii="Arial" w:hAnsi="Arial" w:cs="Arial"/>
          <w:lang w:val="sq-AL"/>
        </w:rPr>
      </w:pPr>
      <w:r w:rsidRPr="00EF689B">
        <w:rPr>
          <w:rFonts w:ascii="Arial" w:hAnsi="Arial" w:cs="Arial"/>
          <w:lang w:val="sq-AL"/>
        </w:rPr>
        <w:t xml:space="preserve">Postavljeni su sljedeći ciljevi za upravljanje </w:t>
      </w:r>
      <w:r w:rsidR="00A57286">
        <w:rPr>
          <w:rFonts w:ascii="Arial" w:hAnsi="Arial" w:cs="Arial"/>
          <w:lang w:val="sq-AL"/>
        </w:rPr>
        <w:t xml:space="preserve">kanalizacionim </w:t>
      </w:r>
      <w:r w:rsidRPr="00EF689B">
        <w:rPr>
          <w:rFonts w:ascii="Arial" w:hAnsi="Arial" w:cs="Arial"/>
          <w:lang w:val="sq-AL"/>
        </w:rPr>
        <w:t>muljem</w:t>
      </w:r>
      <w:r w:rsidR="00A57286">
        <w:rPr>
          <w:rFonts w:ascii="Arial" w:hAnsi="Arial" w:cs="Arial"/>
          <w:lang w:val="sq-AL"/>
        </w:rPr>
        <w:t xml:space="preserve"> (u daljem tekstu: mulj)</w:t>
      </w:r>
      <w:r w:rsidRPr="00EF689B">
        <w:rPr>
          <w:rFonts w:ascii="Arial" w:hAnsi="Arial" w:cs="Arial"/>
          <w:lang w:val="sq-AL"/>
        </w:rPr>
        <w:t>:</w:t>
      </w:r>
    </w:p>
    <w:p w14:paraId="099B6544" w14:textId="77777777" w:rsidR="00156696" w:rsidRPr="00EF689B" w:rsidRDefault="00156696" w:rsidP="00A23ED0">
      <w:pPr>
        <w:numPr>
          <w:ilvl w:val="0"/>
          <w:numId w:val="72"/>
        </w:numPr>
        <w:spacing w:before="120" w:after="120" w:line="360" w:lineRule="auto"/>
        <w:ind w:left="720" w:hanging="450"/>
        <w:rPr>
          <w:rFonts w:ascii="Arial" w:hAnsi="Arial" w:cs="Arial"/>
          <w:lang w:val="sq-AL"/>
        </w:rPr>
      </w:pPr>
      <w:r w:rsidRPr="00EF689B">
        <w:rPr>
          <w:rFonts w:ascii="Arial" w:hAnsi="Arial" w:cs="Arial"/>
          <w:lang w:val="sq-AL"/>
        </w:rPr>
        <w:t>Odgovarajuće studije će biti sprovedene tokom 2026. godine.</w:t>
      </w:r>
    </w:p>
    <w:p w14:paraId="2988872B" w14:textId="5E8EA5D3" w:rsidR="00156696" w:rsidRPr="00EF689B" w:rsidRDefault="00156696" w:rsidP="00A23ED0">
      <w:pPr>
        <w:numPr>
          <w:ilvl w:val="0"/>
          <w:numId w:val="72"/>
        </w:numPr>
        <w:spacing w:before="120" w:after="120" w:line="360" w:lineRule="auto"/>
        <w:ind w:left="720" w:hanging="450"/>
        <w:rPr>
          <w:rFonts w:ascii="Arial" w:hAnsi="Arial" w:cs="Arial"/>
          <w:lang w:val="sq-AL"/>
        </w:rPr>
      </w:pPr>
      <w:r w:rsidRPr="00EF689B">
        <w:rPr>
          <w:rFonts w:ascii="Arial" w:hAnsi="Arial" w:cs="Arial"/>
          <w:lang w:val="sq-AL"/>
        </w:rPr>
        <w:t>Završetak planirane mreže postrojenja za prečišćavanje otpadnih voda, do 203</w:t>
      </w:r>
      <w:r w:rsidR="00A00031" w:rsidRPr="00EF689B">
        <w:rPr>
          <w:rFonts w:ascii="Arial" w:hAnsi="Arial" w:cs="Arial"/>
          <w:lang w:val="sq-AL"/>
        </w:rPr>
        <w:t>5</w:t>
      </w:r>
      <w:r w:rsidRPr="00EF689B">
        <w:rPr>
          <w:rFonts w:ascii="Arial" w:hAnsi="Arial" w:cs="Arial"/>
          <w:lang w:val="sq-AL"/>
        </w:rPr>
        <w:t>. godine.</w:t>
      </w:r>
    </w:p>
    <w:p w14:paraId="75B64F90" w14:textId="665CCF0F" w:rsidR="00156696" w:rsidRPr="00EF689B" w:rsidRDefault="00156696" w:rsidP="00A23ED0">
      <w:pPr>
        <w:numPr>
          <w:ilvl w:val="0"/>
          <w:numId w:val="72"/>
        </w:numPr>
        <w:spacing w:before="120" w:after="120" w:line="360" w:lineRule="auto"/>
        <w:ind w:left="720" w:hanging="450"/>
        <w:rPr>
          <w:rFonts w:ascii="Arial" w:hAnsi="Arial" w:cs="Arial"/>
          <w:lang w:val="sq-AL"/>
        </w:rPr>
      </w:pPr>
      <w:r w:rsidRPr="00EF689B">
        <w:rPr>
          <w:rFonts w:ascii="Arial" w:hAnsi="Arial" w:cs="Arial"/>
          <w:lang w:val="sq-AL"/>
        </w:rPr>
        <w:t>Minimiziranje odlaganja mulja na deponijama.</w:t>
      </w:r>
    </w:p>
    <w:p w14:paraId="707A698D" w14:textId="72606C3C" w:rsidR="00BA1CB0" w:rsidRPr="00EF689B" w:rsidRDefault="00156696" w:rsidP="00156696">
      <w:pPr>
        <w:widowControl w:val="0"/>
        <w:spacing w:before="120" w:after="120" w:line="360" w:lineRule="auto"/>
        <w:rPr>
          <w:rFonts w:ascii="Arial" w:hAnsi="Arial" w:cs="Arial"/>
          <w:lang w:val="sq-AL"/>
        </w:rPr>
      </w:pPr>
      <w:r w:rsidRPr="00EF689B">
        <w:rPr>
          <w:rFonts w:ascii="Arial" w:hAnsi="Arial" w:cs="Arial"/>
          <w:lang w:val="sq-AL"/>
        </w:rPr>
        <w:t xml:space="preserve">Predloženi su sljedeći tehnološki elementi za upravljanje muljem, takođe u skladu sa odredbama Pravilnika o bližim uslovima koje treba da ispunjava komunalni kanalizacioni mulj, količine, obim, učestalost i metode analize komunalnog kanalizacionog mulja za dozvoljene namjene i uslovima koje treba da ispunjava zemljište planirano za njegovu primjenu </w:t>
      </w:r>
      <w:r w:rsidR="00A57286">
        <w:rPr>
          <w:rFonts w:ascii="Arial" w:hAnsi="Arial" w:cs="Arial"/>
          <w:lang w:val="sq-AL"/>
        </w:rPr>
        <w:t>(</w:t>
      </w:r>
      <w:r w:rsidR="000C16CB" w:rsidRPr="0035491B">
        <w:rPr>
          <w:rFonts w:ascii="Arial" w:hAnsi="Arial" w:cs="Arial"/>
          <w:bCs/>
          <w:lang w:val="sq-AL"/>
        </w:rPr>
        <w:t>"Službeni list Crne Gore",</w:t>
      </w:r>
      <w:r w:rsidR="000C16CB">
        <w:rPr>
          <w:rFonts w:ascii="Arial" w:hAnsi="Arial" w:cs="Arial"/>
          <w:bCs/>
          <w:lang w:val="sq-AL"/>
        </w:rPr>
        <w:t xml:space="preserve"> br.</w:t>
      </w:r>
      <w:r w:rsidRPr="00EF689B">
        <w:rPr>
          <w:rFonts w:ascii="Arial" w:hAnsi="Arial" w:cs="Arial"/>
          <w:lang w:val="sq-AL"/>
        </w:rPr>
        <w:t xml:space="preserve"> 89/09)“.</w:t>
      </w:r>
    </w:p>
    <w:p w14:paraId="53A24AA5" w14:textId="77777777" w:rsidR="009C3E27" w:rsidRPr="007274DA" w:rsidRDefault="009C3E27" w:rsidP="009C3E27">
      <w:pPr>
        <w:pStyle w:val="Caption"/>
        <w:rPr>
          <w:rFonts w:ascii="Arial" w:hAnsi="Arial" w:cs="Arial"/>
          <w:b w:val="0"/>
          <w:lang w:val="hr-HR"/>
        </w:rPr>
      </w:pPr>
      <w:bookmarkStart w:id="1364" w:name="_Toc130833094"/>
      <w:bookmarkStart w:id="1365" w:name="_Toc189515708"/>
      <w:bookmarkStart w:id="1366" w:name="_Toc189549770"/>
      <w:r w:rsidRPr="007274DA">
        <w:rPr>
          <w:rFonts w:ascii="Arial" w:hAnsi="Arial" w:cs="Arial"/>
          <w:b w:val="0"/>
          <w:lang w:val="hr-HR"/>
        </w:rPr>
        <w:t xml:space="preserve">Tabela </w:t>
      </w:r>
      <w:r w:rsidRPr="007274DA">
        <w:rPr>
          <w:rFonts w:ascii="Arial" w:hAnsi="Arial" w:cs="Arial"/>
          <w:b w:val="0"/>
        </w:rPr>
        <w:fldChar w:fldCharType="begin"/>
      </w:r>
      <w:r w:rsidRPr="007274DA">
        <w:rPr>
          <w:rFonts w:ascii="Arial" w:hAnsi="Arial" w:cs="Arial"/>
          <w:b w:val="0"/>
          <w:lang w:val="hr-HR"/>
        </w:rPr>
        <w:instrText xml:space="preserve"> SEQ Tabela \* ARABIC </w:instrText>
      </w:r>
      <w:r w:rsidRPr="007274DA">
        <w:rPr>
          <w:rFonts w:ascii="Arial" w:hAnsi="Arial" w:cs="Arial"/>
          <w:b w:val="0"/>
        </w:rPr>
        <w:fldChar w:fldCharType="separate"/>
      </w:r>
      <w:r w:rsidR="007274DA" w:rsidRPr="007274DA">
        <w:rPr>
          <w:rFonts w:ascii="Arial" w:hAnsi="Arial" w:cs="Arial"/>
          <w:b w:val="0"/>
          <w:noProof/>
          <w:lang w:val="hr-HR"/>
        </w:rPr>
        <w:t>114</w:t>
      </w:r>
      <w:r w:rsidRPr="007274DA">
        <w:rPr>
          <w:rFonts w:ascii="Arial" w:hAnsi="Arial" w:cs="Arial"/>
          <w:b w:val="0"/>
        </w:rPr>
        <w:fldChar w:fldCharType="end"/>
      </w:r>
      <w:r w:rsidRPr="007274DA">
        <w:rPr>
          <w:rFonts w:ascii="Arial" w:hAnsi="Arial" w:cs="Arial"/>
          <w:b w:val="0"/>
          <w:lang w:val="hr-HR"/>
        </w:rPr>
        <w:t xml:space="preserve"> Ciljevi upravljanja otpadnim muljem iz postrojenja za prečišćavanje otpadnih voda:</w:t>
      </w:r>
      <w:bookmarkEnd w:id="1364"/>
      <w:bookmarkEnd w:id="1365"/>
      <w:bookmarkEnd w:id="1366"/>
    </w:p>
    <w:tbl>
      <w:tblPr>
        <w:tblStyle w:val="denkstatt14"/>
        <w:tblW w:w="0" w:type="auto"/>
        <w:jc w:val="center"/>
        <w:tblLook w:val="04A0" w:firstRow="1" w:lastRow="0" w:firstColumn="1" w:lastColumn="0" w:noHBand="0" w:noVBand="1"/>
      </w:tblPr>
      <w:tblGrid>
        <w:gridCol w:w="5828"/>
        <w:gridCol w:w="1643"/>
        <w:gridCol w:w="1877"/>
      </w:tblGrid>
      <w:tr w:rsidR="009C3E27" w:rsidRPr="00565757" w14:paraId="4D4D007D" w14:textId="77777777" w:rsidTr="00D8640F">
        <w:trPr>
          <w:jc w:val="center"/>
        </w:trPr>
        <w:tc>
          <w:tcPr>
            <w:tcW w:w="6025" w:type="dxa"/>
            <w:shd w:val="clear" w:color="auto" w:fill="D9D9D9" w:themeFill="background1" w:themeFillShade="D9"/>
          </w:tcPr>
          <w:p w14:paraId="14169062" w14:textId="77777777" w:rsidR="009C3E27" w:rsidRPr="00565757" w:rsidRDefault="009C3E27" w:rsidP="00D8640F">
            <w:pPr>
              <w:widowControl w:val="0"/>
              <w:spacing w:after="120" w:line="276" w:lineRule="auto"/>
              <w:ind w:left="0"/>
              <w:jc w:val="left"/>
              <w:rPr>
                <w:sz w:val="22"/>
                <w:szCs w:val="22"/>
              </w:rPr>
            </w:pPr>
            <w:r w:rsidRPr="00565757">
              <w:rPr>
                <w:b/>
                <w:bCs/>
              </w:rPr>
              <w:t>Opis cilja</w:t>
            </w:r>
          </w:p>
        </w:tc>
        <w:tc>
          <w:tcPr>
            <w:tcW w:w="1682" w:type="dxa"/>
            <w:shd w:val="clear" w:color="auto" w:fill="D9D9D9" w:themeFill="background1" w:themeFillShade="D9"/>
          </w:tcPr>
          <w:p w14:paraId="40ADBD6B" w14:textId="77777777" w:rsidR="009C3E27" w:rsidRPr="00565757" w:rsidRDefault="009C3E27" w:rsidP="00D8640F">
            <w:pPr>
              <w:widowControl w:val="0"/>
              <w:spacing w:after="120" w:line="276" w:lineRule="auto"/>
              <w:ind w:left="0"/>
              <w:jc w:val="left"/>
              <w:rPr>
                <w:sz w:val="22"/>
                <w:szCs w:val="22"/>
              </w:rPr>
            </w:pPr>
            <w:r w:rsidRPr="00565757">
              <w:rPr>
                <w:b/>
                <w:bCs/>
              </w:rPr>
              <w:t>Ciljna godina</w:t>
            </w:r>
          </w:p>
        </w:tc>
        <w:tc>
          <w:tcPr>
            <w:tcW w:w="1914" w:type="dxa"/>
            <w:shd w:val="clear" w:color="auto" w:fill="D9D9D9" w:themeFill="background1" w:themeFillShade="D9"/>
          </w:tcPr>
          <w:p w14:paraId="64488617" w14:textId="77777777" w:rsidR="009C3E27" w:rsidRPr="00565757" w:rsidRDefault="009C3E27" w:rsidP="00D8640F">
            <w:pPr>
              <w:widowControl w:val="0"/>
              <w:spacing w:after="120" w:line="276" w:lineRule="auto"/>
              <w:ind w:left="0"/>
              <w:jc w:val="left"/>
              <w:rPr>
                <w:sz w:val="22"/>
                <w:szCs w:val="22"/>
              </w:rPr>
            </w:pPr>
            <w:r w:rsidRPr="00565757">
              <w:rPr>
                <w:b/>
                <w:bCs/>
              </w:rPr>
              <w:t>Izvor cilja</w:t>
            </w:r>
          </w:p>
        </w:tc>
      </w:tr>
      <w:tr w:rsidR="009C3E27" w:rsidRPr="00565757" w14:paraId="70DD5A83" w14:textId="77777777" w:rsidTr="00D8640F">
        <w:tblPrEx>
          <w:jc w:val="left"/>
        </w:tblPrEx>
        <w:tc>
          <w:tcPr>
            <w:tcW w:w="6025" w:type="dxa"/>
          </w:tcPr>
          <w:p w14:paraId="1E1896FA" w14:textId="77777777" w:rsidR="009C3E27" w:rsidRPr="00565757" w:rsidRDefault="009C3E27" w:rsidP="00D8640F">
            <w:pPr>
              <w:widowControl w:val="0"/>
              <w:spacing w:after="120" w:line="276" w:lineRule="auto"/>
              <w:ind w:left="0"/>
              <w:jc w:val="left"/>
            </w:pPr>
            <w:r w:rsidRPr="00565757">
              <w:t xml:space="preserve">Maksimalno odlaganje 5% od ukupne mase suve čvrste materije u kanalizacionom mulju </w:t>
            </w:r>
          </w:p>
        </w:tc>
        <w:tc>
          <w:tcPr>
            <w:tcW w:w="1682" w:type="dxa"/>
          </w:tcPr>
          <w:p w14:paraId="3064A6F3" w14:textId="77777777" w:rsidR="009C3E27" w:rsidRPr="00565757" w:rsidRDefault="009C3E27" w:rsidP="00D8640F">
            <w:pPr>
              <w:widowControl w:val="0"/>
              <w:spacing w:after="120" w:line="276" w:lineRule="auto"/>
              <w:ind w:left="0"/>
            </w:pPr>
            <w:r w:rsidRPr="00565757">
              <w:t>2035</w:t>
            </w:r>
          </w:p>
        </w:tc>
        <w:tc>
          <w:tcPr>
            <w:tcW w:w="1914" w:type="dxa"/>
            <w:vAlign w:val="center"/>
          </w:tcPr>
          <w:p w14:paraId="20657F9D" w14:textId="77777777" w:rsidR="009C3E27" w:rsidRPr="00565757" w:rsidRDefault="009C3E27" w:rsidP="00D8640F">
            <w:pPr>
              <w:widowControl w:val="0"/>
              <w:spacing w:after="120" w:line="276" w:lineRule="auto"/>
              <w:ind w:left="0"/>
              <w:jc w:val="left"/>
              <w:rPr>
                <w:sz w:val="22"/>
                <w:szCs w:val="22"/>
              </w:rPr>
            </w:pPr>
            <w:r w:rsidRPr="00565757">
              <w:t>Predloženi ciljevi</w:t>
            </w:r>
          </w:p>
        </w:tc>
      </w:tr>
    </w:tbl>
    <w:p w14:paraId="54797C4C" w14:textId="77777777" w:rsidR="009C3E27" w:rsidRDefault="009C3E27" w:rsidP="00156696">
      <w:pPr>
        <w:widowControl w:val="0"/>
        <w:spacing w:before="120" w:after="120" w:line="360" w:lineRule="auto"/>
        <w:rPr>
          <w:rFonts w:ascii="Arial" w:hAnsi="Arial" w:cs="Arial"/>
          <w:b/>
          <w:bCs/>
          <w:u w:val="single"/>
          <w:lang w:val="sq-AL"/>
        </w:rPr>
      </w:pPr>
    </w:p>
    <w:p w14:paraId="0E8F7FBC" w14:textId="3A2C87A4" w:rsidR="00156696" w:rsidRPr="00EF689B" w:rsidRDefault="00156696" w:rsidP="00156696">
      <w:pPr>
        <w:widowControl w:val="0"/>
        <w:spacing w:before="120" w:after="120" w:line="360" w:lineRule="auto"/>
        <w:rPr>
          <w:rFonts w:ascii="Arial" w:hAnsi="Arial" w:cs="Arial"/>
          <w:b/>
          <w:bCs/>
          <w:u w:val="single"/>
          <w:lang w:val="sq-AL"/>
        </w:rPr>
      </w:pPr>
      <w:r w:rsidRPr="00EF689B">
        <w:rPr>
          <w:rFonts w:ascii="Arial" w:hAnsi="Arial" w:cs="Arial"/>
          <w:b/>
          <w:bCs/>
          <w:u w:val="single"/>
          <w:lang w:val="sq-AL"/>
        </w:rPr>
        <w:t>Obrada</w:t>
      </w:r>
    </w:p>
    <w:p w14:paraId="32240911" w14:textId="78251C79" w:rsidR="00156696" w:rsidRPr="00EF689B" w:rsidRDefault="00156696" w:rsidP="00156696">
      <w:pPr>
        <w:widowControl w:val="0"/>
        <w:spacing w:before="120" w:after="120" w:line="360" w:lineRule="auto"/>
        <w:rPr>
          <w:rFonts w:ascii="Arial" w:hAnsi="Arial" w:cs="Arial"/>
          <w:lang w:val="sq-AL"/>
        </w:rPr>
      </w:pPr>
      <w:r w:rsidRPr="00EF689B">
        <w:rPr>
          <w:rFonts w:ascii="Arial" w:hAnsi="Arial" w:cs="Arial"/>
          <w:lang w:val="sq-AL"/>
        </w:rPr>
        <w:t>Obrada mulja je lakša kada je sadržaj vlage oko 40-50%, pa se predlaže predtretman za smanjenje vlage. U svakom slučaju, najbolje prakse za obradu mulja uključuju:</w:t>
      </w:r>
    </w:p>
    <w:p w14:paraId="2B7CACBD" w14:textId="3484FDE6" w:rsidR="00156696" w:rsidRPr="00EF689B" w:rsidRDefault="00156696" w:rsidP="00A23ED0">
      <w:pPr>
        <w:numPr>
          <w:ilvl w:val="0"/>
          <w:numId w:val="72"/>
        </w:numPr>
        <w:spacing w:before="120" w:after="120" w:line="360" w:lineRule="auto"/>
        <w:ind w:left="720" w:hanging="450"/>
        <w:rPr>
          <w:rFonts w:ascii="Arial" w:hAnsi="Arial" w:cs="Arial"/>
          <w:lang w:val="sq-AL"/>
        </w:rPr>
      </w:pPr>
      <w:r w:rsidRPr="00EF689B">
        <w:rPr>
          <w:rFonts w:ascii="Arial" w:hAnsi="Arial" w:cs="Arial"/>
          <w:lang w:val="sq-AL"/>
        </w:rPr>
        <w:t>Zajedničk</w:t>
      </w:r>
      <w:r w:rsidR="00A57286">
        <w:rPr>
          <w:rFonts w:ascii="Arial" w:hAnsi="Arial" w:cs="Arial"/>
          <w:lang w:val="sq-AL"/>
        </w:rPr>
        <w:t>u</w:t>
      </w:r>
      <w:r w:rsidRPr="00EF689B">
        <w:rPr>
          <w:rFonts w:ascii="Arial" w:hAnsi="Arial" w:cs="Arial"/>
          <w:lang w:val="sq-AL"/>
        </w:rPr>
        <w:t xml:space="preserve"> </w:t>
      </w:r>
      <w:r w:rsidR="00A57286">
        <w:rPr>
          <w:rFonts w:ascii="Arial" w:hAnsi="Arial" w:cs="Arial"/>
          <w:lang w:val="sq-AL"/>
        </w:rPr>
        <w:t>obradu</w:t>
      </w:r>
      <w:r w:rsidR="00A57286" w:rsidRPr="00EF689B">
        <w:rPr>
          <w:rFonts w:ascii="Arial" w:hAnsi="Arial" w:cs="Arial"/>
          <w:lang w:val="sq-AL"/>
        </w:rPr>
        <w:t xml:space="preserve"> </w:t>
      </w:r>
      <w:r w:rsidRPr="00EF689B">
        <w:rPr>
          <w:rFonts w:ascii="Arial" w:hAnsi="Arial" w:cs="Arial"/>
          <w:lang w:val="sq-AL"/>
        </w:rPr>
        <w:t>mulja sa drugim tokovima otpada (npr. komunalni otpad, zeleni otpad, itd) u postrojenjima za kompostiranje za proizvodnju đubriva ili upotrebe na zelenim površinama i parkovima, prema važećim lokalnim propisima;</w:t>
      </w:r>
    </w:p>
    <w:p w14:paraId="68FBA726" w14:textId="0EEDE906" w:rsidR="00156696" w:rsidRPr="00EF689B" w:rsidRDefault="00156696" w:rsidP="00A23ED0">
      <w:pPr>
        <w:numPr>
          <w:ilvl w:val="0"/>
          <w:numId w:val="72"/>
        </w:numPr>
        <w:spacing w:before="120" w:after="120" w:line="360" w:lineRule="auto"/>
        <w:ind w:left="720" w:hanging="450"/>
        <w:rPr>
          <w:rFonts w:ascii="Arial" w:hAnsi="Arial" w:cs="Arial"/>
          <w:lang w:val="sq-AL"/>
        </w:rPr>
      </w:pPr>
      <w:r w:rsidRPr="00EF689B">
        <w:rPr>
          <w:rFonts w:ascii="Arial" w:hAnsi="Arial" w:cs="Arial"/>
          <w:lang w:val="sq-AL"/>
        </w:rPr>
        <w:t>Korišćenje mulja za potrebe rekultivacije zemljišta (kako je regulisano u okviru odredbi Uredbe EU 2019/1009 koja propisuje pravila o stavljanju na tržište EU proizvoda za đubrenje) i sanacij</w:t>
      </w:r>
      <w:r w:rsidR="00BA1CB0">
        <w:rPr>
          <w:rFonts w:ascii="Arial" w:hAnsi="Arial" w:cs="Arial"/>
          <w:lang w:val="sq-AL"/>
        </w:rPr>
        <w:t>u</w:t>
      </w:r>
      <w:r w:rsidRPr="00EF689B">
        <w:rPr>
          <w:rFonts w:ascii="Arial" w:hAnsi="Arial" w:cs="Arial"/>
          <w:lang w:val="sq-AL"/>
        </w:rPr>
        <w:t xml:space="preserve"> deponija i odlagališta;</w:t>
      </w:r>
    </w:p>
    <w:p w14:paraId="19484A81" w14:textId="6982569D" w:rsidR="00156696" w:rsidRPr="00EF689B" w:rsidRDefault="003600A0" w:rsidP="00A23ED0">
      <w:pPr>
        <w:numPr>
          <w:ilvl w:val="0"/>
          <w:numId w:val="72"/>
        </w:numPr>
        <w:spacing w:before="120" w:after="120" w:line="360" w:lineRule="auto"/>
        <w:ind w:left="720" w:hanging="450"/>
        <w:rPr>
          <w:rFonts w:ascii="Arial" w:hAnsi="Arial" w:cs="Arial"/>
          <w:lang w:val="sq-AL"/>
        </w:rPr>
      </w:pPr>
      <w:r w:rsidRPr="003600A0">
        <w:rPr>
          <w:rFonts w:ascii="Arial" w:hAnsi="Arial" w:cs="Arial"/>
          <w:lang w:val="sq-AL"/>
        </w:rPr>
        <w:t>Obrada</w:t>
      </w:r>
      <w:r w:rsidR="00156696" w:rsidRPr="00EF689B">
        <w:rPr>
          <w:rFonts w:ascii="Arial" w:hAnsi="Arial" w:cs="Arial"/>
          <w:lang w:val="sq-AL"/>
        </w:rPr>
        <w:t xml:space="preserve"> mulja u postrojenjima za anaerobnu digestiju za proizvodnju energije (poželjno zajedno sa komunalnim otpadom);</w:t>
      </w:r>
    </w:p>
    <w:p w14:paraId="055EE759" w14:textId="77777777" w:rsidR="00156696" w:rsidRPr="00EF689B" w:rsidRDefault="00156696" w:rsidP="00A23ED0">
      <w:pPr>
        <w:numPr>
          <w:ilvl w:val="0"/>
          <w:numId w:val="72"/>
        </w:numPr>
        <w:spacing w:before="120" w:after="120" w:line="360" w:lineRule="auto"/>
        <w:ind w:left="720" w:hanging="450"/>
        <w:rPr>
          <w:rFonts w:ascii="Arial" w:hAnsi="Arial" w:cs="Arial"/>
          <w:lang w:val="sq-AL"/>
        </w:rPr>
      </w:pPr>
      <w:r w:rsidRPr="00EF689B">
        <w:rPr>
          <w:rFonts w:ascii="Arial" w:hAnsi="Arial" w:cs="Arial"/>
          <w:lang w:val="sq-AL"/>
        </w:rPr>
        <w:t>Korišćenje mulja kao goriva u cementnoj ili drugim energetski intenzivnim industrijama. U drugom slučaju, trebalo je izvršiti dehidraciju mulja.</w:t>
      </w:r>
    </w:p>
    <w:p w14:paraId="1DD10B7D" w14:textId="352C4AB1" w:rsidR="003600A0" w:rsidRPr="00E24D1E" w:rsidRDefault="00156696" w:rsidP="00E24D1E">
      <w:pPr>
        <w:numPr>
          <w:ilvl w:val="0"/>
          <w:numId w:val="72"/>
        </w:numPr>
        <w:spacing w:before="120" w:after="120" w:line="360" w:lineRule="auto"/>
        <w:ind w:left="720" w:hanging="450"/>
        <w:rPr>
          <w:rFonts w:ascii="Arial" w:hAnsi="Arial" w:cs="Arial"/>
          <w:lang w:val="sq-AL"/>
        </w:rPr>
      </w:pPr>
      <w:r w:rsidRPr="00EF689B">
        <w:rPr>
          <w:rFonts w:ascii="Arial" w:hAnsi="Arial" w:cs="Arial"/>
          <w:lang w:val="sq-AL"/>
        </w:rPr>
        <w:t xml:space="preserve">Termička obrada mulja, poželjno u kombinaciji sa drugim </w:t>
      </w:r>
      <w:r w:rsidR="00074A61">
        <w:rPr>
          <w:rFonts w:ascii="Arial" w:hAnsi="Arial" w:cs="Arial"/>
          <w:lang w:val="sq-AL"/>
        </w:rPr>
        <w:t>vrstama</w:t>
      </w:r>
      <w:r w:rsidR="00074A61" w:rsidRPr="00EF689B">
        <w:rPr>
          <w:rFonts w:ascii="Arial" w:hAnsi="Arial" w:cs="Arial"/>
          <w:lang w:val="sq-AL"/>
        </w:rPr>
        <w:t xml:space="preserve"> </w:t>
      </w:r>
      <w:r w:rsidRPr="00EF689B">
        <w:rPr>
          <w:rFonts w:ascii="Arial" w:hAnsi="Arial" w:cs="Arial"/>
          <w:lang w:val="sq-AL"/>
        </w:rPr>
        <w:t>otpada.</w:t>
      </w:r>
      <w:r w:rsidR="00D93EEF">
        <w:rPr>
          <w:rFonts w:ascii="Arial" w:hAnsi="Arial" w:cs="Arial"/>
          <w:lang w:val="sq-AL"/>
        </w:rPr>
        <w:t xml:space="preserve"> Potrebno je izraditi Studiju izvodljivosti koja bi pokazala da li</w:t>
      </w:r>
      <w:r w:rsidRPr="00EF689B">
        <w:rPr>
          <w:rFonts w:ascii="Arial" w:hAnsi="Arial" w:cs="Arial"/>
          <w:lang w:val="sq-AL"/>
        </w:rPr>
        <w:t xml:space="preserve"> </w:t>
      </w:r>
      <w:r w:rsidR="00BA1CB0">
        <w:rPr>
          <w:rFonts w:ascii="Arial" w:hAnsi="Arial" w:cs="Arial"/>
          <w:lang w:val="sq-AL"/>
        </w:rPr>
        <w:t>izgraditi</w:t>
      </w:r>
      <w:r w:rsidRPr="00EF689B">
        <w:rPr>
          <w:rFonts w:ascii="Arial" w:hAnsi="Arial" w:cs="Arial"/>
          <w:lang w:val="sq-AL"/>
        </w:rPr>
        <w:t xml:space="preserve"> jedno postrojenje (u Podgorici) ili </w:t>
      </w:r>
      <w:r w:rsidR="0024071D" w:rsidRPr="00EF689B">
        <w:rPr>
          <w:rFonts w:ascii="Arial" w:hAnsi="Arial" w:cs="Arial"/>
          <w:lang w:val="sq-AL"/>
        </w:rPr>
        <w:t>više regionalnih.</w:t>
      </w:r>
    </w:p>
    <w:p w14:paraId="6F453A8E" w14:textId="77777777" w:rsidR="00156696" w:rsidRPr="00EF689B" w:rsidRDefault="00156696" w:rsidP="00156696">
      <w:pPr>
        <w:widowControl w:val="0"/>
        <w:spacing w:before="120" w:after="120" w:line="360" w:lineRule="auto"/>
        <w:rPr>
          <w:rFonts w:ascii="Arial" w:hAnsi="Arial" w:cs="Arial"/>
          <w:b/>
          <w:bCs/>
          <w:u w:val="single"/>
          <w:lang w:val="sq-AL"/>
        </w:rPr>
      </w:pPr>
      <w:r w:rsidRPr="00EF689B">
        <w:rPr>
          <w:rFonts w:ascii="Arial" w:hAnsi="Arial" w:cs="Arial"/>
          <w:b/>
          <w:bCs/>
          <w:u w:val="single"/>
          <w:lang w:val="sq-AL"/>
        </w:rPr>
        <w:lastRenderedPageBreak/>
        <w:t>Sakupljanje i transport</w:t>
      </w:r>
    </w:p>
    <w:p w14:paraId="4858F9F7" w14:textId="2F15EB69" w:rsidR="00156696" w:rsidRPr="00EF689B" w:rsidRDefault="00156696" w:rsidP="00156696">
      <w:pPr>
        <w:widowControl w:val="0"/>
        <w:spacing w:before="120" w:after="120" w:line="360" w:lineRule="auto"/>
        <w:rPr>
          <w:rFonts w:ascii="Arial" w:hAnsi="Arial" w:cs="Arial"/>
          <w:lang w:val="sq-AL"/>
        </w:rPr>
      </w:pPr>
      <w:r w:rsidRPr="00EF689B">
        <w:rPr>
          <w:rFonts w:ascii="Arial" w:hAnsi="Arial" w:cs="Arial"/>
          <w:lang w:val="sq-AL"/>
        </w:rPr>
        <w:t>Mulj će biti privremeno skladišten u odgovarajućim rezervoarima koji se nalaze u PPOV. Prevoz mulja iz PPOV do mjesta obrade vršiće se specijalnim kamionima, uz primjenu propisa i uslova koji regulišu transport otpadnih voda. Biće preduzete sve neophodne mjere za zdravlje i bezbjed</w:t>
      </w:r>
      <w:r w:rsidR="00946743" w:rsidRPr="00EF689B">
        <w:rPr>
          <w:rFonts w:ascii="Arial" w:hAnsi="Arial" w:cs="Arial"/>
          <w:lang w:val="sq-AL"/>
        </w:rPr>
        <w:t>nost radnika.</w:t>
      </w:r>
    </w:p>
    <w:p w14:paraId="187A574B" w14:textId="77777777" w:rsidR="00156696" w:rsidRPr="00EF689B" w:rsidRDefault="00156696" w:rsidP="00156696">
      <w:pPr>
        <w:widowControl w:val="0"/>
        <w:spacing w:before="120" w:after="120" w:line="360" w:lineRule="auto"/>
        <w:rPr>
          <w:rFonts w:ascii="Arial" w:hAnsi="Arial" w:cs="Arial"/>
          <w:b/>
          <w:bCs/>
          <w:u w:val="single"/>
          <w:lang w:val="sq-AL"/>
        </w:rPr>
      </w:pPr>
      <w:r w:rsidRPr="00EF689B">
        <w:rPr>
          <w:rFonts w:ascii="Arial" w:hAnsi="Arial" w:cs="Arial"/>
          <w:b/>
          <w:bCs/>
          <w:u w:val="single"/>
          <w:lang w:val="sq-AL"/>
        </w:rPr>
        <w:t>Odlaganje</w:t>
      </w:r>
    </w:p>
    <w:p w14:paraId="28739491" w14:textId="32026062" w:rsidR="00156696" w:rsidRPr="00EF689B" w:rsidRDefault="00156696" w:rsidP="00156696">
      <w:pPr>
        <w:widowControl w:val="0"/>
        <w:spacing w:before="120" w:after="120" w:line="360" w:lineRule="auto"/>
        <w:rPr>
          <w:rFonts w:ascii="Arial" w:hAnsi="Arial" w:cs="Arial"/>
          <w:lang w:val="sq-AL"/>
        </w:rPr>
      </w:pPr>
      <w:r w:rsidRPr="00EF689B">
        <w:rPr>
          <w:rFonts w:ascii="Arial" w:hAnsi="Arial" w:cs="Arial"/>
          <w:lang w:val="sq-AL"/>
        </w:rPr>
        <w:t>Preduslov za odlaganje mulja na deponijama je nizak sadržaj vlage (ne više od 40%) i njegova higijena. Pored toga, deponija može primiti mulj u količini do 1:10 sa komunalnim otpadom. Potrebno je znati i sastav mulja, kako bi se utvrdila njegova neopasna priroda i potrebno je sprovesti testove ispiranja prema Odluci Evropskog savjeta 2003/33/EC (o kriterijumima i postupku prihvatanja otpada na deponijama) kako bi se procijenilo da li mulj ispunjava kriterijume za odlaganje na deponijama neopasnog otpada. Isto tako potrebno je opravdati nemogućnost prerade mulja koji se deponuje</w:t>
      </w:r>
      <w:r w:rsidR="00D93EEF">
        <w:rPr>
          <w:rFonts w:ascii="Arial" w:hAnsi="Arial" w:cs="Arial"/>
          <w:lang w:val="sq-AL"/>
        </w:rPr>
        <w:t>,</w:t>
      </w:r>
      <w:r w:rsidRPr="00EF689B">
        <w:rPr>
          <w:rFonts w:ascii="Arial" w:hAnsi="Arial" w:cs="Arial"/>
          <w:lang w:val="sq-AL"/>
        </w:rPr>
        <w:t xml:space="preserve"> bilo zbog kvaliteta ili zbog poteškoća u transportu.</w:t>
      </w:r>
    </w:p>
    <w:p w14:paraId="75173A9E" w14:textId="29AFEF8A" w:rsidR="00156696" w:rsidRPr="003D7619" w:rsidRDefault="00156696" w:rsidP="00412D2E">
      <w:pPr>
        <w:pStyle w:val="Heading3"/>
        <w:rPr>
          <w:lang w:val="sq-AL"/>
        </w:rPr>
      </w:pPr>
      <w:bookmarkStart w:id="1367" w:name="_Toc189759757"/>
      <w:bookmarkStart w:id="1368" w:name="_Toc190088484"/>
      <w:bookmarkStart w:id="1369" w:name="_Toc193354067"/>
      <w:r w:rsidRPr="003D7619">
        <w:rPr>
          <w:lang w:val="sq-AL"/>
        </w:rPr>
        <w:t>6.8.1. Tehnologija</w:t>
      </w:r>
      <w:r w:rsidRPr="003D7619">
        <w:rPr>
          <w:spacing w:val="-12"/>
          <w:lang w:val="sq-AL"/>
        </w:rPr>
        <w:t xml:space="preserve"> </w:t>
      </w:r>
      <w:r w:rsidRPr="003D7619">
        <w:rPr>
          <w:lang w:val="sq-AL"/>
        </w:rPr>
        <w:t>obrade</w:t>
      </w:r>
      <w:r w:rsidRPr="003D7619">
        <w:rPr>
          <w:spacing w:val="-9"/>
          <w:lang w:val="sq-AL"/>
        </w:rPr>
        <w:t xml:space="preserve"> </w:t>
      </w:r>
      <w:r w:rsidRPr="003D7619">
        <w:rPr>
          <w:spacing w:val="-2"/>
          <w:lang w:val="sq-AL"/>
        </w:rPr>
        <w:t>mulja</w:t>
      </w:r>
      <w:bookmarkEnd w:id="1367"/>
      <w:bookmarkEnd w:id="1368"/>
      <w:bookmarkEnd w:id="1369"/>
    </w:p>
    <w:p w14:paraId="14893842" w14:textId="7F3A3B65" w:rsidR="00900446" w:rsidRPr="00EF689B" w:rsidRDefault="005714DD" w:rsidP="00156696">
      <w:pPr>
        <w:widowControl w:val="0"/>
        <w:autoSpaceDE w:val="0"/>
        <w:autoSpaceDN w:val="0"/>
        <w:spacing w:line="360" w:lineRule="auto"/>
        <w:ind w:right="713"/>
        <w:rPr>
          <w:rFonts w:ascii="Arial" w:hAnsi="Arial" w:cs="Arial"/>
          <w:lang w:val="sq-AL"/>
        </w:rPr>
      </w:pPr>
      <w:r>
        <w:rPr>
          <w:rFonts w:ascii="Arial" w:hAnsi="Arial" w:cs="Arial"/>
          <w:lang w:val="sq-AL"/>
        </w:rPr>
        <w:t>M</w:t>
      </w:r>
      <w:r w:rsidR="00156696" w:rsidRPr="00EF689B">
        <w:rPr>
          <w:rFonts w:ascii="Arial" w:hAnsi="Arial" w:cs="Arial"/>
          <w:lang w:val="sq-AL"/>
        </w:rPr>
        <w:t>ulj se sastoji od nusproizvoda koji nastaju u različitim fazama procesa za prečišćavanje otpadnih voda. On sadrži i jedinjenja koja su pogodna za upotrebu u poljoprivredi (organske materije, azot, fosfor i kalijum, a u manjoj mjeri, kalcijum, sumpor i magnezijum) i zagađujuće materije, kao što su teški metali, organski zagađivači i patogeni elementi. Karakteristike mulja zavise kako od opterećenja zagađujućim materijama tretirane vode, tako i od načina obrade otpadnih voda i naknadne obrade mulja. Tipične vrijednosti količine i fizičke karakteristike suve materije mulja iz pojedinih procesa prečišćavanja</w:t>
      </w:r>
      <w:r w:rsidR="00D93EEF">
        <w:rPr>
          <w:rFonts w:ascii="Arial" w:hAnsi="Arial" w:cs="Arial"/>
          <w:lang w:val="sq-AL"/>
        </w:rPr>
        <w:t xml:space="preserve">, </w:t>
      </w:r>
      <w:r w:rsidR="00156696" w:rsidRPr="00EF689B">
        <w:rPr>
          <w:rFonts w:ascii="Arial" w:hAnsi="Arial" w:cs="Arial"/>
          <w:lang w:val="sq-AL"/>
        </w:rPr>
        <w:t>date su u</w:t>
      </w:r>
      <w:r w:rsidR="00900446">
        <w:rPr>
          <w:rFonts w:ascii="Arial" w:hAnsi="Arial" w:cs="Arial"/>
          <w:lang w:val="sq-AL"/>
        </w:rPr>
        <w:t xml:space="preserve"> tabeli</w:t>
      </w:r>
      <w:r w:rsidR="00156696" w:rsidRPr="00EF689B">
        <w:rPr>
          <w:rFonts w:ascii="Arial" w:hAnsi="Arial" w:cs="Arial"/>
          <w:lang w:val="sq-AL"/>
        </w:rPr>
        <w:t>.</w:t>
      </w:r>
    </w:p>
    <w:p w14:paraId="403F7637" w14:textId="1394BC8D" w:rsidR="00156696" w:rsidRPr="008E642F" w:rsidRDefault="00156696" w:rsidP="00156696">
      <w:pPr>
        <w:spacing w:after="200"/>
        <w:rPr>
          <w:rFonts w:ascii="Arial" w:eastAsia="Times New Roman" w:hAnsi="Arial" w:cs="Arial"/>
          <w:bCs/>
          <w:color w:val="4F81BD"/>
          <w:sz w:val="18"/>
          <w:lang w:val="hr-HR"/>
        </w:rPr>
      </w:pPr>
      <w:bookmarkStart w:id="1370" w:name="_bookmark289"/>
      <w:bookmarkStart w:id="1371" w:name="_Toc190088194"/>
      <w:bookmarkEnd w:id="1370"/>
      <w:r w:rsidRPr="008E642F">
        <w:rPr>
          <w:rFonts w:ascii="Arial" w:hAnsi="Arial" w:cs="Arial"/>
          <w:bCs/>
          <w:color w:val="4F81BD"/>
          <w:sz w:val="18"/>
          <w:lang w:val="hr-HR"/>
        </w:rPr>
        <w:t xml:space="preserve">Tabela </w:t>
      </w:r>
      <w:r w:rsidRPr="008E642F">
        <w:rPr>
          <w:rFonts w:ascii="Arial" w:hAnsi="Arial" w:cs="Arial"/>
          <w:bCs/>
          <w:color w:val="4F81BD"/>
          <w:sz w:val="18"/>
        </w:rPr>
        <w:fldChar w:fldCharType="begin"/>
      </w:r>
      <w:r w:rsidRPr="008E642F">
        <w:rPr>
          <w:rFonts w:ascii="Arial" w:hAnsi="Arial" w:cs="Arial"/>
          <w:bCs/>
          <w:color w:val="4F81BD"/>
          <w:sz w:val="18"/>
          <w:lang w:val="hr-HR"/>
        </w:rPr>
        <w:instrText xml:space="preserve"> SEQ Tabela \* ARABIC </w:instrText>
      </w:r>
      <w:r w:rsidRPr="008E642F">
        <w:rPr>
          <w:rFonts w:ascii="Arial" w:hAnsi="Arial" w:cs="Arial"/>
          <w:bCs/>
          <w:color w:val="4F81BD"/>
          <w:sz w:val="18"/>
        </w:rPr>
        <w:fldChar w:fldCharType="separate"/>
      </w:r>
      <w:r w:rsidR="007274DA">
        <w:rPr>
          <w:rFonts w:ascii="Arial" w:hAnsi="Arial" w:cs="Arial"/>
          <w:bCs/>
          <w:noProof/>
          <w:color w:val="4F81BD"/>
          <w:sz w:val="18"/>
          <w:lang w:val="hr-HR"/>
        </w:rPr>
        <w:t>115</w:t>
      </w:r>
      <w:r w:rsidRPr="008E642F">
        <w:rPr>
          <w:rFonts w:ascii="Arial" w:hAnsi="Arial" w:cs="Arial"/>
          <w:bCs/>
          <w:color w:val="4F81BD"/>
          <w:sz w:val="18"/>
        </w:rPr>
        <w:fldChar w:fldCharType="end"/>
      </w:r>
      <w:r w:rsidRPr="008E642F">
        <w:rPr>
          <w:rFonts w:ascii="Arial" w:eastAsia="Times New Roman" w:hAnsi="Arial" w:cs="Arial"/>
          <w:bCs/>
          <w:color w:val="365F91"/>
          <w:sz w:val="18"/>
          <w:lang w:val="hr-HR"/>
        </w:rPr>
        <w:t xml:space="preserve"> Tipične</w:t>
      </w:r>
      <w:r w:rsidRPr="008E642F">
        <w:rPr>
          <w:rFonts w:ascii="Arial" w:eastAsia="Times New Roman" w:hAnsi="Arial" w:cs="Arial"/>
          <w:bCs/>
          <w:color w:val="365F91"/>
          <w:spacing w:val="-1"/>
          <w:sz w:val="18"/>
          <w:lang w:val="hr-HR"/>
        </w:rPr>
        <w:t xml:space="preserve"> </w:t>
      </w:r>
      <w:r w:rsidRPr="008E642F">
        <w:rPr>
          <w:rFonts w:ascii="Arial" w:eastAsia="Times New Roman" w:hAnsi="Arial" w:cs="Arial"/>
          <w:bCs/>
          <w:color w:val="365F91"/>
          <w:sz w:val="18"/>
          <w:lang w:val="hr-HR"/>
        </w:rPr>
        <w:t>fizičke</w:t>
      </w:r>
      <w:r w:rsidRPr="008E642F">
        <w:rPr>
          <w:rFonts w:ascii="Arial" w:eastAsia="Times New Roman" w:hAnsi="Arial" w:cs="Arial"/>
          <w:bCs/>
          <w:color w:val="365F91"/>
          <w:spacing w:val="-2"/>
          <w:sz w:val="18"/>
          <w:lang w:val="hr-HR"/>
        </w:rPr>
        <w:t xml:space="preserve"> </w:t>
      </w:r>
      <w:r w:rsidRPr="008E642F">
        <w:rPr>
          <w:rFonts w:ascii="Arial" w:eastAsia="Times New Roman" w:hAnsi="Arial" w:cs="Arial"/>
          <w:bCs/>
          <w:color w:val="365F91"/>
          <w:sz w:val="18"/>
          <w:lang w:val="hr-HR"/>
        </w:rPr>
        <w:t>karakteristike</w:t>
      </w:r>
      <w:r w:rsidRPr="008E642F">
        <w:rPr>
          <w:rFonts w:ascii="Arial" w:eastAsia="Times New Roman" w:hAnsi="Arial" w:cs="Arial"/>
          <w:bCs/>
          <w:color w:val="365F91"/>
          <w:spacing w:val="-1"/>
          <w:sz w:val="18"/>
          <w:lang w:val="hr-HR"/>
        </w:rPr>
        <w:t xml:space="preserve"> </w:t>
      </w:r>
      <w:r w:rsidRPr="008E642F">
        <w:rPr>
          <w:rFonts w:ascii="Arial" w:eastAsia="Times New Roman" w:hAnsi="Arial" w:cs="Arial"/>
          <w:bCs/>
          <w:color w:val="365F91"/>
          <w:sz w:val="18"/>
          <w:lang w:val="hr-HR"/>
        </w:rPr>
        <w:t>i</w:t>
      </w:r>
      <w:r w:rsidRPr="008E642F">
        <w:rPr>
          <w:rFonts w:ascii="Arial" w:eastAsia="Times New Roman" w:hAnsi="Arial" w:cs="Arial"/>
          <w:bCs/>
          <w:color w:val="365F91"/>
          <w:spacing w:val="-1"/>
          <w:sz w:val="18"/>
          <w:lang w:val="hr-HR"/>
        </w:rPr>
        <w:t xml:space="preserve"> </w:t>
      </w:r>
      <w:r w:rsidRPr="008E642F">
        <w:rPr>
          <w:rFonts w:ascii="Arial" w:eastAsia="Times New Roman" w:hAnsi="Arial" w:cs="Arial"/>
          <w:bCs/>
          <w:color w:val="365F91"/>
          <w:sz w:val="18"/>
          <w:lang w:val="hr-HR"/>
        </w:rPr>
        <w:t>količine</w:t>
      </w:r>
      <w:r w:rsidRPr="008E642F">
        <w:rPr>
          <w:rFonts w:ascii="Arial" w:eastAsia="Times New Roman" w:hAnsi="Arial" w:cs="Arial"/>
          <w:bCs/>
          <w:color w:val="365F91"/>
          <w:spacing w:val="-1"/>
          <w:sz w:val="18"/>
          <w:lang w:val="hr-HR"/>
        </w:rPr>
        <w:t xml:space="preserve"> </w:t>
      </w:r>
      <w:r w:rsidRPr="008E642F">
        <w:rPr>
          <w:rFonts w:ascii="Arial" w:eastAsia="Times New Roman" w:hAnsi="Arial" w:cs="Arial"/>
          <w:bCs/>
          <w:color w:val="365F91"/>
          <w:sz w:val="18"/>
          <w:lang w:val="hr-HR"/>
        </w:rPr>
        <w:t>otpadnog</w:t>
      </w:r>
      <w:r w:rsidRPr="008E642F">
        <w:rPr>
          <w:rFonts w:ascii="Arial" w:eastAsia="Times New Roman" w:hAnsi="Arial" w:cs="Arial"/>
          <w:bCs/>
          <w:color w:val="365F91"/>
          <w:spacing w:val="-3"/>
          <w:sz w:val="18"/>
          <w:lang w:val="hr-HR"/>
        </w:rPr>
        <w:t xml:space="preserve"> </w:t>
      </w:r>
      <w:r w:rsidRPr="008E642F">
        <w:rPr>
          <w:rFonts w:ascii="Arial" w:eastAsia="Times New Roman" w:hAnsi="Arial" w:cs="Arial"/>
          <w:bCs/>
          <w:color w:val="365F91"/>
          <w:sz w:val="18"/>
          <w:lang w:val="hr-HR"/>
        </w:rPr>
        <w:t>mulja iz</w:t>
      </w:r>
      <w:r w:rsidRPr="008E642F">
        <w:rPr>
          <w:rFonts w:ascii="Arial" w:eastAsia="Times New Roman" w:hAnsi="Arial" w:cs="Arial"/>
          <w:bCs/>
          <w:color w:val="365F91"/>
          <w:spacing w:val="1"/>
          <w:sz w:val="18"/>
          <w:lang w:val="hr-HR"/>
        </w:rPr>
        <w:t xml:space="preserve"> </w:t>
      </w:r>
      <w:r w:rsidRPr="008E642F">
        <w:rPr>
          <w:rFonts w:ascii="Arial" w:eastAsia="Times New Roman" w:hAnsi="Arial" w:cs="Arial"/>
          <w:bCs/>
          <w:color w:val="365F91"/>
          <w:sz w:val="18"/>
          <w:lang w:val="hr-HR"/>
        </w:rPr>
        <w:t xml:space="preserve">pojedinih </w:t>
      </w:r>
      <w:r w:rsidRPr="008E642F">
        <w:rPr>
          <w:rFonts w:ascii="Arial" w:eastAsia="Times New Roman" w:hAnsi="Arial" w:cs="Arial"/>
          <w:bCs/>
          <w:color w:val="365F91"/>
          <w:spacing w:val="-2"/>
          <w:sz w:val="18"/>
          <w:lang w:val="hr-HR"/>
        </w:rPr>
        <w:t>procesa</w:t>
      </w:r>
      <w:bookmarkEnd w:id="1371"/>
    </w:p>
    <w:tbl>
      <w:tblPr>
        <w:tblpPr w:leftFromText="180" w:rightFromText="180" w:vertAnchor="text" w:horzAnchor="margin" w:tblpY="2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620"/>
        <w:gridCol w:w="1844"/>
        <w:gridCol w:w="1925"/>
        <w:gridCol w:w="1594"/>
      </w:tblGrid>
      <w:tr w:rsidR="00156696" w:rsidRPr="008E642F" w14:paraId="0897666A" w14:textId="77777777" w:rsidTr="009A0599">
        <w:trPr>
          <w:trHeight w:val="570"/>
        </w:trPr>
        <w:tc>
          <w:tcPr>
            <w:tcW w:w="3620" w:type="dxa"/>
            <w:vMerge w:val="restart"/>
          </w:tcPr>
          <w:p w14:paraId="5DA6F525" w14:textId="77777777" w:rsidR="00156696" w:rsidRPr="00E24D1E" w:rsidRDefault="00156696" w:rsidP="00156696">
            <w:pPr>
              <w:widowControl w:val="0"/>
              <w:autoSpaceDE w:val="0"/>
              <w:autoSpaceDN w:val="0"/>
              <w:spacing w:before="63" w:line="360" w:lineRule="auto"/>
              <w:rPr>
                <w:rFonts w:ascii="Arial" w:eastAsia="Times New Roman" w:hAnsi="Arial" w:cs="Arial"/>
                <w:sz w:val="16"/>
                <w:lang w:val="hr-HR"/>
              </w:rPr>
            </w:pPr>
          </w:p>
          <w:p w14:paraId="69176C1F" w14:textId="77777777" w:rsidR="00156696" w:rsidRPr="00E24D1E" w:rsidRDefault="00156696" w:rsidP="00156696">
            <w:pPr>
              <w:widowControl w:val="0"/>
              <w:autoSpaceDE w:val="0"/>
              <w:autoSpaceDN w:val="0"/>
              <w:spacing w:line="360" w:lineRule="auto"/>
              <w:ind w:left="9"/>
              <w:rPr>
                <w:rFonts w:ascii="Arial" w:eastAsia="Times New Roman" w:hAnsi="Arial" w:cs="Arial"/>
                <w:b/>
                <w:sz w:val="16"/>
                <w:lang w:val="hr-HR"/>
              </w:rPr>
            </w:pPr>
            <w:r w:rsidRPr="00E24D1E">
              <w:rPr>
                <w:rFonts w:ascii="Arial" w:eastAsia="Times New Roman" w:hAnsi="Arial" w:cs="Arial"/>
                <w:b/>
                <w:sz w:val="16"/>
                <w:lang w:val="hr-HR"/>
              </w:rPr>
              <w:t>Način</w:t>
            </w:r>
            <w:r w:rsidRPr="00E24D1E">
              <w:rPr>
                <w:rFonts w:ascii="Arial" w:eastAsia="Times New Roman" w:hAnsi="Arial" w:cs="Arial"/>
                <w:b/>
                <w:spacing w:val="-7"/>
                <w:sz w:val="16"/>
                <w:lang w:val="hr-HR"/>
              </w:rPr>
              <w:t xml:space="preserve"> </w:t>
            </w:r>
            <w:r w:rsidRPr="00E24D1E">
              <w:rPr>
                <w:rFonts w:ascii="Arial" w:eastAsia="Times New Roman" w:hAnsi="Arial" w:cs="Arial"/>
                <w:b/>
                <w:spacing w:val="-2"/>
                <w:sz w:val="16"/>
                <w:lang w:val="hr-HR"/>
              </w:rPr>
              <w:t>obrade</w:t>
            </w:r>
          </w:p>
        </w:tc>
        <w:tc>
          <w:tcPr>
            <w:tcW w:w="1844" w:type="dxa"/>
            <w:vMerge w:val="restart"/>
          </w:tcPr>
          <w:p w14:paraId="429BDFBE" w14:textId="77777777" w:rsidR="00156696" w:rsidRPr="00E24D1E" w:rsidRDefault="00156696" w:rsidP="00156696">
            <w:pPr>
              <w:widowControl w:val="0"/>
              <w:autoSpaceDE w:val="0"/>
              <w:autoSpaceDN w:val="0"/>
              <w:spacing w:before="161" w:line="360" w:lineRule="auto"/>
              <w:ind w:left="676" w:right="301" w:hanging="370"/>
              <w:rPr>
                <w:rFonts w:ascii="Arial" w:eastAsia="Times New Roman" w:hAnsi="Arial" w:cs="Arial"/>
                <w:b/>
                <w:sz w:val="16"/>
                <w:lang w:val="hr-HR"/>
              </w:rPr>
            </w:pPr>
            <w:r w:rsidRPr="00E24D1E">
              <w:rPr>
                <w:rFonts w:ascii="Arial" w:eastAsia="Times New Roman" w:hAnsi="Arial" w:cs="Arial"/>
                <w:b/>
                <w:sz w:val="16"/>
                <w:lang w:val="hr-HR"/>
              </w:rPr>
              <w:t>Gustina</w:t>
            </w:r>
            <w:r w:rsidRPr="00E24D1E">
              <w:rPr>
                <w:rFonts w:ascii="Arial" w:eastAsia="Times New Roman" w:hAnsi="Arial" w:cs="Arial"/>
                <w:b/>
                <w:spacing w:val="-13"/>
                <w:sz w:val="16"/>
                <w:lang w:val="hr-HR"/>
              </w:rPr>
              <w:t xml:space="preserve"> </w:t>
            </w:r>
            <w:r w:rsidRPr="00E24D1E">
              <w:rPr>
                <w:rFonts w:ascii="Arial" w:eastAsia="Times New Roman" w:hAnsi="Arial" w:cs="Arial"/>
                <w:b/>
                <w:sz w:val="16"/>
                <w:lang w:val="hr-HR"/>
              </w:rPr>
              <w:t xml:space="preserve">mulja </w:t>
            </w:r>
            <w:r w:rsidRPr="00E24D1E">
              <w:rPr>
                <w:rFonts w:ascii="Arial" w:eastAsia="Times New Roman" w:hAnsi="Arial" w:cs="Arial"/>
                <w:b/>
                <w:spacing w:val="-2"/>
                <w:sz w:val="16"/>
                <w:lang w:val="hr-HR"/>
              </w:rPr>
              <w:t>(t/m</w:t>
            </w:r>
            <w:r w:rsidRPr="00E24D1E">
              <w:rPr>
                <w:rFonts w:ascii="Arial" w:eastAsia="Times New Roman" w:hAnsi="Arial" w:cs="Arial"/>
                <w:b/>
                <w:spacing w:val="-2"/>
                <w:sz w:val="16"/>
                <w:vertAlign w:val="superscript"/>
                <w:lang w:val="hr-HR"/>
              </w:rPr>
              <w:t>3</w:t>
            </w:r>
            <w:r w:rsidRPr="00E24D1E">
              <w:rPr>
                <w:rFonts w:ascii="Arial" w:eastAsia="Times New Roman" w:hAnsi="Arial" w:cs="Arial"/>
                <w:b/>
                <w:spacing w:val="-2"/>
                <w:sz w:val="16"/>
                <w:lang w:val="hr-HR"/>
              </w:rPr>
              <w:t>)</w:t>
            </w:r>
          </w:p>
        </w:tc>
        <w:tc>
          <w:tcPr>
            <w:tcW w:w="3519" w:type="dxa"/>
            <w:gridSpan w:val="2"/>
          </w:tcPr>
          <w:p w14:paraId="70E346E0" w14:textId="77777777" w:rsidR="00156696" w:rsidRPr="00E24D1E" w:rsidRDefault="00156696" w:rsidP="00156696">
            <w:pPr>
              <w:widowControl w:val="0"/>
              <w:autoSpaceDE w:val="0"/>
              <w:autoSpaceDN w:val="0"/>
              <w:spacing w:before="22" w:line="360" w:lineRule="auto"/>
              <w:ind w:left="4"/>
              <w:rPr>
                <w:rFonts w:ascii="Arial" w:eastAsia="Times New Roman" w:hAnsi="Arial" w:cs="Arial"/>
                <w:b/>
                <w:sz w:val="16"/>
                <w:lang w:val="hr-HR"/>
              </w:rPr>
            </w:pPr>
            <w:r w:rsidRPr="00E24D1E">
              <w:rPr>
                <w:rFonts w:ascii="Arial" w:eastAsia="Times New Roman" w:hAnsi="Arial" w:cs="Arial"/>
                <w:b/>
                <w:sz w:val="16"/>
                <w:lang w:val="hr-HR"/>
              </w:rPr>
              <w:t>Suva</w:t>
            </w:r>
            <w:r w:rsidRPr="00E24D1E">
              <w:rPr>
                <w:rFonts w:ascii="Arial" w:eastAsia="Times New Roman" w:hAnsi="Arial" w:cs="Arial"/>
                <w:b/>
                <w:spacing w:val="-2"/>
                <w:sz w:val="16"/>
                <w:lang w:val="hr-HR"/>
              </w:rPr>
              <w:t xml:space="preserve"> materija</w:t>
            </w:r>
          </w:p>
          <w:p w14:paraId="5A22EAD2" w14:textId="77777777" w:rsidR="00156696" w:rsidRPr="00E24D1E" w:rsidRDefault="00156696" w:rsidP="00156696">
            <w:pPr>
              <w:widowControl w:val="0"/>
              <w:autoSpaceDE w:val="0"/>
              <w:autoSpaceDN w:val="0"/>
              <w:spacing w:before="34" w:line="360" w:lineRule="auto"/>
              <w:ind w:left="4"/>
              <w:rPr>
                <w:rFonts w:ascii="Arial" w:eastAsia="Times New Roman" w:hAnsi="Arial" w:cs="Arial"/>
                <w:b/>
                <w:sz w:val="16"/>
                <w:lang w:val="hr-HR"/>
              </w:rPr>
            </w:pPr>
            <w:r w:rsidRPr="00E24D1E">
              <w:rPr>
                <w:rFonts w:ascii="Arial" w:eastAsia="Times New Roman" w:hAnsi="Arial" w:cs="Arial"/>
                <w:b/>
                <w:sz w:val="16"/>
                <w:lang w:val="hr-HR"/>
              </w:rPr>
              <w:t>(kg/1000m</w:t>
            </w:r>
            <w:r w:rsidRPr="00E24D1E">
              <w:rPr>
                <w:rFonts w:ascii="Arial" w:eastAsia="Times New Roman" w:hAnsi="Arial" w:cs="Arial"/>
                <w:b/>
                <w:sz w:val="16"/>
                <w:vertAlign w:val="superscript"/>
                <w:lang w:val="hr-HR"/>
              </w:rPr>
              <w:t>3</w:t>
            </w:r>
            <w:r w:rsidRPr="00E24D1E">
              <w:rPr>
                <w:rFonts w:ascii="Arial" w:eastAsia="Times New Roman" w:hAnsi="Arial" w:cs="Arial"/>
                <w:b/>
                <w:spacing w:val="-10"/>
                <w:sz w:val="16"/>
                <w:lang w:val="hr-HR"/>
              </w:rPr>
              <w:t xml:space="preserve"> </w:t>
            </w:r>
            <w:r w:rsidRPr="00E24D1E">
              <w:rPr>
                <w:rFonts w:ascii="Arial" w:eastAsia="Times New Roman" w:hAnsi="Arial" w:cs="Arial"/>
                <w:b/>
                <w:sz w:val="16"/>
                <w:lang w:val="hr-HR"/>
              </w:rPr>
              <w:t>otpadne</w:t>
            </w:r>
            <w:r w:rsidRPr="00E24D1E">
              <w:rPr>
                <w:rFonts w:ascii="Arial" w:eastAsia="Times New Roman" w:hAnsi="Arial" w:cs="Arial"/>
                <w:b/>
                <w:spacing w:val="-9"/>
                <w:sz w:val="16"/>
                <w:lang w:val="hr-HR"/>
              </w:rPr>
              <w:t xml:space="preserve"> </w:t>
            </w:r>
            <w:r w:rsidRPr="00E24D1E">
              <w:rPr>
                <w:rFonts w:ascii="Arial" w:eastAsia="Times New Roman" w:hAnsi="Arial" w:cs="Arial"/>
                <w:b/>
                <w:spacing w:val="-4"/>
                <w:sz w:val="16"/>
                <w:lang w:val="hr-HR"/>
              </w:rPr>
              <w:t>vode)</w:t>
            </w:r>
          </w:p>
        </w:tc>
      </w:tr>
      <w:tr w:rsidR="00156696" w:rsidRPr="008E642F" w14:paraId="0422D8BB" w14:textId="77777777" w:rsidTr="009A0599">
        <w:trPr>
          <w:trHeight w:val="268"/>
        </w:trPr>
        <w:tc>
          <w:tcPr>
            <w:tcW w:w="3620" w:type="dxa"/>
            <w:vMerge/>
            <w:tcBorders>
              <w:top w:val="nil"/>
            </w:tcBorders>
          </w:tcPr>
          <w:p w14:paraId="3340A81B" w14:textId="77777777" w:rsidR="00156696" w:rsidRPr="00E24D1E" w:rsidRDefault="00156696" w:rsidP="00156696">
            <w:pPr>
              <w:widowControl w:val="0"/>
              <w:autoSpaceDE w:val="0"/>
              <w:autoSpaceDN w:val="0"/>
              <w:spacing w:line="360" w:lineRule="auto"/>
              <w:rPr>
                <w:rFonts w:ascii="Arial" w:eastAsia="Times New Roman" w:hAnsi="Arial" w:cs="Arial"/>
                <w:sz w:val="16"/>
                <w:lang w:val="hr-HR"/>
              </w:rPr>
            </w:pPr>
          </w:p>
        </w:tc>
        <w:tc>
          <w:tcPr>
            <w:tcW w:w="1844" w:type="dxa"/>
            <w:vMerge/>
            <w:tcBorders>
              <w:top w:val="nil"/>
            </w:tcBorders>
          </w:tcPr>
          <w:p w14:paraId="527DE51B" w14:textId="77777777" w:rsidR="00156696" w:rsidRPr="00E24D1E" w:rsidRDefault="00156696" w:rsidP="00156696">
            <w:pPr>
              <w:widowControl w:val="0"/>
              <w:autoSpaceDE w:val="0"/>
              <w:autoSpaceDN w:val="0"/>
              <w:spacing w:line="360" w:lineRule="auto"/>
              <w:rPr>
                <w:rFonts w:ascii="Arial" w:eastAsia="Times New Roman" w:hAnsi="Arial" w:cs="Arial"/>
                <w:sz w:val="16"/>
                <w:lang w:val="hr-HR"/>
              </w:rPr>
            </w:pPr>
          </w:p>
        </w:tc>
        <w:tc>
          <w:tcPr>
            <w:tcW w:w="1925" w:type="dxa"/>
          </w:tcPr>
          <w:p w14:paraId="42CB19B8" w14:textId="77777777" w:rsidR="00156696" w:rsidRPr="00E24D1E" w:rsidRDefault="00156696" w:rsidP="00156696">
            <w:pPr>
              <w:widowControl w:val="0"/>
              <w:autoSpaceDE w:val="0"/>
              <w:autoSpaceDN w:val="0"/>
              <w:spacing w:before="5" w:line="360" w:lineRule="auto"/>
              <w:ind w:left="10" w:right="7"/>
              <w:rPr>
                <w:rFonts w:ascii="Arial" w:eastAsia="Times New Roman" w:hAnsi="Arial" w:cs="Arial"/>
                <w:b/>
                <w:sz w:val="16"/>
                <w:lang w:val="hr-HR"/>
              </w:rPr>
            </w:pPr>
            <w:r w:rsidRPr="00E24D1E">
              <w:rPr>
                <w:rFonts w:ascii="Arial" w:eastAsia="Times New Roman" w:hAnsi="Arial" w:cs="Arial"/>
                <w:b/>
                <w:spacing w:val="-2"/>
                <w:sz w:val="16"/>
                <w:lang w:val="hr-HR"/>
              </w:rPr>
              <w:t>Opseg</w:t>
            </w:r>
          </w:p>
        </w:tc>
        <w:tc>
          <w:tcPr>
            <w:tcW w:w="1594" w:type="dxa"/>
          </w:tcPr>
          <w:p w14:paraId="04A68AAE" w14:textId="77777777" w:rsidR="00156696" w:rsidRPr="00E24D1E" w:rsidRDefault="00156696" w:rsidP="00156696">
            <w:pPr>
              <w:widowControl w:val="0"/>
              <w:autoSpaceDE w:val="0"/>
              <w:autoSpaceDN w:val="0"/>
              <w:spacing w:before="5" w:line="360" w:lineRule="auto"/>
              <w:ind w:left="8" w:right="4"/>
              <w:rPr>
                <w:rFonts w:ascii="Arial" w:eastAsia="Times New Roman" w:hAnsi="Arial" w:cs="Arial"/>
                <w:b/>
                <w:sz w:val="16"/>
                <w:lang w:val="hr-HR"/>
              </w:rPr>
            </w:pPr>
            <w:r w:rsidRPr="00E24D1E">
              <w:rPr>
                <w:rFonts w:ascii="Arial" w:eastAsia="Times New Roman" w:hAnsi="Arial" w:cs="Arial"/>
                <w:b/>
                <w:spacing w:val="-2"/>
                <w:sz w:val="16"/>
                <w:lang w:val="hr-HR"/>
              </w:rPr>
              <w:t>tipično</w:t>
            </w:r>
          </w:p>
        </w:tc>
      </w:tr>
      <w:tr w:rsidR="00156696" w:rsidRPr="008E642F" w14:paraId="6F18F504" w14:textId="77777777" w:rsidTr="009A0599">
        <w:trPr>
          <w:trHeight w:val="282"/>
        </w:trPr>
        <w:tc>
          <w:tcPr>
            <w:tcW w:w="3620" w:type="dxa"/>
          </w:tcPr>
          <w:p w14:paraId="47E13528" w14:textId="77777777" w:rsidR="00156696" w:rsidRPr="00E24D1E" w:rsidRDefault="00156696" w:rsidP="00156696">
            <w:pPr>
              <w:widowControl w:val="0"/>
              <w:autoSpaceDE w:val="0"/>
              <w:autoSpaceDN w:val="0"/>
              <w:spacing w:before="14" w:line="360" w:lineRule="auto"/>
              <w:ind w:left="9"/>
              <w:rPr>
                <w:rFonts w:ascii="Arial" w:eastAsia="Times New Roman" w:hAnsi="Arial" w:cs="Arial"/>
                <w:sz w:val="16"/>
                <w:lang w:val="hr-HR"/>
              </w:rPr>
            </w:pPr>
            <w:r w:rsidRPr="00E24D1E">
              <w:rPr>
                <w:rFonts w:ascii="Arial" w:eastAsia="Times New Roman" w:hAnsi="Arial" w:cs="Arial"/>
                <w:sz w:val="16"/>
                <w:lang w:val="hr-HR"/>
              </w:rPr>
              <w:t>Primarno</w:t>
            </w:r>
            <w:r w:rsidRPr="00E24D1E">
              <w:rPr>
                <w:rFonts w:ascii="Arial" w:eastAsia="Times New Roman" w:hAnsi="Arial" w:cs="Arial"/>
                <w:spacing w:val="-11"/>
                <w:sz w:val="16"/>
                <w:lang w:val="hr-HR"/>
              </w:rPr>
              <w:t xml:space="preserve"> </w:t>
            </w:r>
            <w:r w:rsidRPr="00E24D1E">
              <w:rPr>
                <w:rFonts w:ascii="Arial" w:eastAsia="Times New Roman" w:hAnsi="Arial" w:cs="Arial"/>
                <w:spacing w:val="-2"/>
                <w:sz w:val="16"/>
                <w:lang w:val="hr-HR"/>
              </w:rPr>
              <w:t>taloženje</w:t>
            </w:r>
          </w:p>
        </w:tc>
        <w:tc>
          <w:tcPr>
            <w:tcW w:w="1844" w:type="dxa"/>
          </w:tcPr>
          <w:p w14:paraId="25C1145A" w14:textId="77777777" w:rsidR="00156696" w:rsidRPr="00E24D1E" w:rsidRDefault="00156696" w:rsidP="00156696">
            <w:pPr>
              <w:widowControl w:val="0"/>
              <w:autoSpaceDE w:val="0"/>
              <w:autoSpaceDN w:val="0"/>
              <w:spacing w:before="14" w:line="360" w:lineRule="auto"/>
              <w:ind w:left="8"/>
              <w:rPr>
                <w:rFonts w:ascii="Arial" w:eastAsia="Times New Roman" w:hAnsi="Arial" w:cs="Arial"/>
                <w:sz w:val="16"/>
                <w:lang w:val="hr-HR"/>
              </w:rPr>
            </w:pPr>
            <w:r w:rsidRPr="00E24D1E">
              <w:rPr>
                <w:rFonts w:ascii="Arial" w:eastAsia="Times New Roman" w:hAnsi="Arial" w:cs="Arial"/>
                <w:spacing w:val="-2"/>
                <w:sz w:val="16"/>
                <w:lang w:val="hr-HR"/>
              </w:rPr>
              <w:t>1,020</w:t>
            </w:r>
          </w:p>
        </w:tc>
        <w:tc>
          <w:tcPr>
            <w:tcW w:w="1925" w:type="dxa"/>
          </w:tcPr>
          <w:p w14:paraId="7B368BD8" w14:textId="77777777" w:rsidR="00156696" w:rsidRPr="00E24D1E" w:rsidRDefault="00156696" w:rsidP="00156696">
            <w:pPr>
              <w:widowControl w:val="0"/>
              <w:autoSpaceDE w:val="0"/>
              <w:autoSpaceDN w:val="0"/>
              <w:spacing w:before="14" w:line="360" w:lineRule="auto"/>
              <w:ind w:left="10"/>
              <w:rPr>
                <w:rFonts w:ascii="Arial" w:eastAsia="Times New Roman" w:hAnsi="Arial" w:cs="Arial"/>
                <w:sz w:val="16"/>
                <w:lang w:val="hr-HR"/>
              </w:rPr>
            </w:pPr>
            <w:r w:rsidRPr="00E24D1E">
              <w:rPr>
                <w:rFonts w:ascii="Arial" w:eastAsia="Times New Roman" w:hAnsi="Arial" w:cs="Arial"/>
                <w:spacing w:val="-2"/>
                <w:sz w:val="16"/>
                <w:lang w:val="hr-HR"/>
              </w:rPr>
              <w:t>110-</w:t>
            </w:r>
            <w:r w:rsidRPr="00E24D1E">
              <w:rPr>
                <w:rFonts w:ascii="Arial" w:eastAsia="Times New Roman" w:hAnsi="Arial" w:cs="Arial"/>
                <w:spacing w:val="-5"/>
                <w:sz w:val="16"/>
                <w:lang w:val="hr-HR"/>
              </w:rPr>
              <w:t>170</w:t>
            </w:r>
          </w:p>
        </w:tc>
        <w:tc>
          <w:tcPr>
            <w:tcW w:w="1594" w:type="dxa"/>
          </w:tcPr>
          <w:p w14:paraId="769FE4C9" w14:textId="77777777" w:rsidR="00156696" w:rsidRPr="00E24D1E" w:rsidRDefault="00156696" w:rsidP="00156696">
            <w:pPr>
              <w:widowControl w:val="0"/>
              <w:autoSpaceDE w:val="0"/>
              <w:autoSpaceDN w:val="0"/>
              <w:spacing w:before="14" w:line="360" w:lineRule="auto"/>
              <w:ind w:left="8"/>
              <w:rPr>
                <w:rFonts w:ascii="Arial" w:eastAsia="Times New Roman" w:hAnsi="Arial" w:cs="Arial"/>
                <w:sz w:val="16"/>
                <w:lang w:val="hr-HR"/>
              </w:rPr>
            </w:pPr>
            <w:r w:rsidRPr="00E24D1E">
              <w:rPr>
                <w:rFonts w:ascii="Arial" w:eastAsia="Times New Roman" w:hAnsi="Arial" w:cs="Arial"/>
                <w:spacing w:val="-5"/>
                <w:sz w:val="16"/>
                <w:lang w:val="hr-HR"/>
              </w:rPr>
              <w:t>150</w:t>
            </w:r>
          </w:p>
        </w:tc>
      </w:tr>
      <w:tr w:rsidR="00156696" w:rsidRPr="008E642F" w14:paraId="27546A1A" w14:textId="77777777" w:rsidTr="009A0599">
        <w:trPr>
          <w:trHeight w:val="277"/>
        </w:trPr>
        <w:tc>
          <w:tcPr>
            <w:tcW w:w="3620" w:type="dxa"/>
          </w:tcPr>
          <w:p w14:paraId="2B7CA05A" w14:textId="77777777" w:rsidR="00156696" w:rsidRPr="00E24D1E" w:rsidRDefault="00156696" w:rsidP="00156696">
            <w:pPr>
              <w:widowControl w:val="0"/>
              <w:autoSpaceDE w:val="0"/>
              <w:autoSpaceDN w:val="0"/>
              <w:spacing w:before="10" w:line="360" w:lineRule="auto"/>
              <w:ind w:left="9"/>
              <w:rPr>
                <w:rFonts w:ascii="Arial" w:eastAsia="Times New Roman" w:hAnsi="Arial" w:cs="Arial"/>
                <w:sz w:val="16"/>
                <w:lang w:val="hr-HR"/>
              </w:rPr>
            </w:pPr>
            <w:r w:rsidRPr="00E24D1E">
              <w:rPr>
                <w:rFonts w:ascii="Arial" w:eastAsia="Times New Roman" w:hAnsi="Arial" w:cs="Arial"/>
                <w:sz w:val="16"/>
                <w:lang w:val="hr-HR"/>
              </w:rPr>
              <w:t>Aktivni</w:t>
            </w:r>
            <w:r w:rsidRPr="00E24D1E">
              <w:rPr>
                <w:rFonts w:ascii="Arial" w:eastAsia="Times New Roman" w:hAnsi="Arial" w:cs="Arial"/>
                <w:spacing w:val="-6"/>
                <w:sz w:val="16"/>
                <w:lang w:val="hr-HR"/>
              </w:rPr>
              <w:t xml:space="preserve"> </w:t>
            </w:r>
            <w:r w:rsidRPr="00E24D1E">
              <w:rPr>
                <w:rFonts w:ascii="Arial" w:eastAsia="Times New Roman" w:hAnsi="Arial" w:cs="Arial"/>
                <w:spacing w:val="-4"/>
                <w:sz w:val="16"/>
                <w:lang w:val="hr-HR"/>
              </w:rPr>
              <w:t>mulj</w:t>
            </w:r>
          </w:p>
        </w:tc>
        <w:tc>
          <w:tcPr>
            <w:tcW w:w="1844" w:type="dxa"/>
          </w:tcPr>
          <w:p w14:paraId="672066F2" w14:textId="77777777" w:rsidR="00156696" w:rsidRPr="00E24D1E" w:rsidRDefault="00156696" w:rsidP="00156696">
            <w:pPr>
              <w:widowControl w:val="0"/>
              <w:autoSpaceDE w:val="0"/>
              <w:autoSpaceDN w:val="0"/>
              <w:spacing w:before="10" w:line="360" w:lineRule="auto"/>
              <w:ind w:left="8"/>
              <w:rPr>
                <w:rFonts w:ascii="Arial" w:eastAsia="Times New Roman" w:hAnsi="Arial" w:cs="Arial"/>
                <w:sz w:val="16"/>
                <w:lang w:val="hr-HR"/>
              </w:rPr>
            </w:pPr>
            <w:r w:rsidRPr="00E24D1E">
              <w:rPr>
                <w:rFonts w:ascii="Arial" w:eastAsia="Times New Roman" w:hAnsi="Arial" w:cs="Arial"/>
                <w:spacing w:val="-2"/>
                <w:sz w:val="16"/>
                <w:lang w:val="hr-HR"/>
              </w:rPr>
              <w:t>1,005</w:t>
            </w:r>
          </w:p>
        </w:tc>
        <w:tc>
          <w:tcPr>
            <w:tcW w:w="1925" w:type="dxa"/>
          </w:tcPr>
          <w:p w14:paraId="611A5257" w14:textId="77777777" w:rsidR="00156696" w:rsidRPr="00E24D1E" w:rsidRDefault="00156696" w:rsidP="00156696">
            <w:pPr>
              <w:widowControl w:val="0"/>
              <w:autoSpaceDE w:val="0"/>
              <w:autoSpaceDN w:val="0"/>
              <w:spacing w:before="10" w:line="360" w:lineRule="auto"/>
              <w:ind w:left="10"/>
              <w:rPr>
                <w:rFonts w:ascii="Arial" w:eastAsia="Times New Roman" w:hAnsi="Arial" w:cs="Arial"/>
                <w:sz w:val="16"/>
                <w:lang w:val="hr-HR"/>
              </w:rPr>
            </w:pPr>
            <w:r w:rsidRPr="00E24D1E">
              <w:rPr>
                <w:rFonts w:ascii="Arial" w:eastAsia="Times New Roman" w:hAnsi="Arial" w:cs="Arial"/>
                <w:spacing w:val="-2"/>
                <w:sz w:val="16"/>
                <w:lang w:val="hr-HR"/>
              </w:rPr>
              <w:t>70-</w:t>
            </w:r>
            <w:r w:rsidRPr="00E24D1E">
              <w:rPr>
                <w:rFonts w:ascii="Arial" w:eastAsia="Times New Roman" w:hAnsi="Arial" w:cs="Arial"/>
                <w:spacing w:val="-5"/>
                <w:sz w:val="16"/>
                <w:lang w:val="hr-HR"/>
              </w:rPr>
              <w:t>100</w:t>
            </w:r>
          </w:p>
        </w:tc>
        <w:tc>
          <w:tcPr>
            <w:tcW w:w="1594" w:type="dxa"/>
          </w:tcPr>
          <w:p w14:paraId="49D5BA2F" w14:textId="77777777" w:rsidR="00156696" w:rsidRPr="00E24D1E" w:rsidRDefault="00156696" w:rsidP="00156696">
            <w:pPr>
              <w:widowControl w:val="0"/>
              <w:autoSpaceDE w:val="0"/>
              <w:autoSpaceDN w:val="0"/>
              <w:spacing w:before="10" w:line="360" w:lineRule="auto"/>
              <w:ind w:left="8"/>
              <w:rPr>
                <w:rFonts w:ascii="Arial" w:eastAsia="Times New Roman" w:hAnsi="Arial" w:cs="Arial"/>
                <w:sz w:val="16"/>
                <w:lang w:val="hr-HR"/>
              </w:rPr>
            </w:pPr>
            <w:r w:rsidRPr="00E24D1E">
              <w:rPr>
                <w:rFonts w:ascii="Arial" w:eastAsia="Times New Roman" w:hAnsi="Arial" w:cs="Arial"/>
                <w:spacing w:val="-5"/>
                <w:sz w:val="16"/>
                <w:lang w:val="hr-HR"/>
              </w:rPr>
              <w:t>85</w:t>
            </w:r>
          </w:p>
        </w:tc>
      </w:tr>
      <w:tr w:rsidR="00156696" w:rsidRPr="008E642F" w14:paraId="0B2C066C" w14:textId="77777777" w:rsidTr="009A0599">
        <w:trPr>
          <w:trHeight w:val="282"/>
        </w:trPr>
        <w:tc>
          <w:tcPr>
            <w:tcW w:w="3620" w:type="dxa"/>
          </w:tcPr>
          <w:p w14:paraId="6C7736CB" w14:textId="77777777" w:rsidR="00156696" w:rsidRPr="00E24D1E" w:rsidRDefault="00156696" w:rsidP="00156696">
            <w:pPr>
              <w:widowControl w:val="0"/>
              <w:autoSpaceDE w:val="0"/>
              <w:autoSpaceDN w:val="0"/>
              <w:spacing w:before="14" w:line="360" w:lineRule="auto"/>
              <w:ind w:left="9"/>
              <w:rPr>
                <w:rFonts w:ascii="Arial" w:eastAsia="Times New Roman" w:hAnsi="Arial" w:cs="Arial"/>
                <w:sz w:val="16"/>
                <w:lang w:val="hr-HR"/>
              </w:rPr>
            </w:pPr>
            <w:r w:rsidRPr="00E24D1E">
              <w:rPr>
                <w:rFonts w:ascii="Arial" w:eastAsia="Times New Roman" w:hAnsi="Arial" w:cs="Arial"/>
                <w:spacing w:val="-2"/>
                <w:sz w:val="16"/>
                <w:lang w:val="hr-HR"/>
              </w:rPr>
              <w:t>Biofilter</w:t>
            </w:r>
          </w:p>
        </w:tc>
        <w:tc>
          <w:tcPr>
            <w:tcW w:w="1844" w:type="dxa"/>
          </w:tcPr>
          <w:p w14:paraId="347DF14C" w14:textId="77777777" w:rsidR="00156696" w:rsidRPr="00E24D1E" w:rsidRDefault="00156696" w:rsidP="00156696">
            <w:pPr>
              <w:widowControl w:val="0"/>
              <w:autoSpaceDE w:val="0"/>
              <w:autoSpaceDN w:val="0"/>
              <w:spacing w:before="14" w:line="360" w:lineRule="auto"/>
              <w:ind w:left="8"/>
              <w:rPr>
                <w:rFonts w:ascii="Arial" w:eastAsia="Times New Roman" w:hAnsi="Arial" w:cs="Arial"/>
                <w:sz w:val="16"/>
                <w:lang w:val="hr-HR"/>
              </w:rPr>
            </w:pPr>
            <w:r w:rsidRPr="00E24D1E">
              <w:rPr>
                <w:rFonts w:ascii="Arial" w:eastAsia="Times New Roman" w:hAnsi="Arial" w:cs="Arial"/>
                <w:spacing w:val="-2"/>
                <w:sz w:val="16"/>
                <w:lang w:val="hr-HR"/>
              </w:rPr>
              <w:t>1,025</w:t>
            </w:r>
          </w:p>
        </w:tc>
        <w:tc>
          <w:tcPr>
            <w:tcW w:w="1925" w:type="dxa"/>
          </w:tcPr>
          <w:p w14:paraId="5E9ECBA5" w14:textId="77777777" w:rsidR="00156696" w:rsidRPr="00E24D1E" w:rsidRDefault="00156696" w:rsidP="00156696">
            <w:pPr>
              <w:widowControl w:val="0"/>
              <w:autoSpaceDE w:val="0"/>
              <w:autoSpaceDN w:val="0"/>
              <w:spacing w:before="14" w:line="360" w:lineRule="auto"/>
              <w:ind w:left="10"/>
              <w:rPr>
                <w:rFonts w:ascii="Arial" w:eastAsia="Times New Roman" w:hAnsi="Arial" w:cs="Arial"/>
                <w:sz w:val="16"/>
                <w:lang w:val="hr-HR"/>
              </w:rPr>
            </w:pPr>
            <w:r w:rsidRPr="00E24D1E">
              <w:rPr>
                <w:rFonts w:ascii="Arial" w:eastAsia="Times New Roman" w:hAnsi="Arial" w:cs="Arial"/>
                <w:spacing w:val="-2"/>
                <w:sz w:val="16"/>
                <w:lang w:val="hr-HR"/>
              </w:rPr>
              <w:t>55-</w:t>
            </w:r>
            <w:r w:rsidRPr="00E24D1E">
              <w:rPr>
                <w:rFonts w:ascii="Arial" w:eastAsia="Times New Roman" w:hAnsi="Arial" w:cs="Arial"/>
                <w:spacing w:val="-5"/>
                <w:sz w:val="16"/>
                <w:lang w:val="hr-HR"/>
              </w:rPr>
              <w:t>90</w:t>
            </w:r>
          </w:p>
        </w:tc>
        <w:tc>
          <w:tcPr>
            <w:tcW w:w="1594" w:type="dxa"/>
          </w:tcPr>
          <w:p w14:paraId="0CF76D62" w14:textId="77777777" w:rsidR="00156696" w:rsidRPr="00E24D1E" w:rsidRDefault="00156696" w:rsidP="00156696">
            <w:pPr>
              <w:widowControl w:val="0"/>
              <w:autoSpaceDE w:val="0"/>
              <w:autoSpaceDN w:val="0"/>
              <w:spacing w:before="14" w:line="360" w:lineRule="auto"/>
              <w:ind w:left="8"/>
              <w:rPr>
                <w:rFonts w:ascii="Arial" w:eastAsia="Times New Roman" w:hAnsi="Arial" w:cs="Arial"/>
                <w:sz w:val="16"/>
                <w:lang w:val="hr-HR"/>
              </w:rPr>
            </w:pPr>
            <w:r w:rsidRPr="00E24D1E">
              <w:rPr>
                <w:rFonts w:ascii="Arial" w:eastAsia="Times New Roman" w:hAnsi="Arial" w:cs="Arial"/>
                <w:spacing w:val="-5"/>
                <w:sz w:val="16"/>
                <w:lang w:val="hr-HR"/>
              </w:rPr>
              <w:t>70</w:t>
            </w:r>
          </w:p>
        </w:tc>
      </w:tr>
      <w:tr w:rsidR="00156696" w:rsidRPr="008E642F" w14:paraId="72F0D459" w14:textId="77777777" w:rsidTr="009A0599">
        <w:trPr>
          <w:trHeight w:val="277"/>
        </w:trPr>
        <w:tc>
          <w:tcPr>
            <w:tcW w:w="3620" w:type="dxa"/>
          </w:tcPr>
          <w:p w14:paraId="32FF0B17" w14:textId="77777777" w:rsidR="00156696" w:rsidRPr="00E24D1E" w:rsidRDefault="00156696" w:rsidP="00156696">
            <w:pPr>
              <w:widowControl w:val="0"/>
              <w:autoSpaceDE w:val="0"/>
              <w:autoSpaceDN w:val="0"/>
              <w:spacing w:before="10" w:line="360" w:lineRule="auto"/>
              <w:ind w:left="9"/>
              <w:rPr>
                <w:rFonts w:ascii="Arial" w:eastAsia="Times New Roman" w:hAnsi="Arial" w:cs="Arial"/>
                <w:sz w:val="16"/>
                <w:lang w:val="hr-HR"/>
              </w:rPr>
            </w:pPr>
            <w:r w:rsidRPr="00E24D1E">
              <w:rPr>
                <w:rFonts w:ascii="Arial" w:eastAsia="Times New Roman" w:hAnsi="Arial" w:cs="Arial"/>
                <w:sz w:val="16"/>
                <w:lang w:val="hr-HR"/>
              </w:rPr>
              <w:t>Produžena</w:t>
            </w:r>
            <w:r w:rsidRPr="00E24D1E">
              <w:rPr>
                <w:rFonts w:ascii="Arial" w:eastAsia="Times New Roman" w:hAnsi="Arial" w:cs="Arial"/>
                <w:spacing w:val="-13"/>
                <w:sz w:val="16"/>
                <w:lang w:val="hr-HR"/>
              </w:rPr>
              <w:t xml:space="preserve"> </w:t>
            </w:r>
            <w:r w:rsidRPr="00E24D1E">
              <w:rPr>
                <w:rFonts w:ascii="Arial" w:eastAsia="Times New Roman" w:hAnsi="Arial" w:cs="Arial"/>
                <w:spacing w:val="-2"/>
                <w:sz w:val="16"/>
                <w:lang w:val="hr-HR"/>
              </w:rPr>
              <w:t>aeracija</w:t>
            </w:r>
          </w:p>
        </w:tc>
        <w:tc>
          <w:tcPr>
            <w:tcW w:w="1844" w:type="dxa"/>
          </w:tcPr>
          <w:p w14:paraId="7D59517C" w14:textId="77777777" w:rsidR="00156696" w:rsidRPr="00E24D1E" w:rsidRDefault="00156696" w:rsidP="00156696">
            <w:pPr>
              <w:widowControl w:val="0"/>
              <w:autoSpaceDE w:val="0"/>
              <w:autoSpaceDN w:val="0"/>
              <w:spacing w:before="10" w:line="360" w:lineRule="auto"/>
              <w:ind w:left="8"/>
              <w:rPr>
                <w:rFonts w:ascii="Arial" w:eastAsia="Times New Roman" w:hAnsi="Arial" w:cs="Arial"/>
                <w:sz w:val="16"/>
                <w:lang w:val="hr-HR"/>
              </w:rPr>
            </w:pPr>
            <w:r w:rsidRPr="00E24D1E">
              <w:rPr>
                <w:rFonts w:ascii="Arial" w:eastAsia="Times New Roman" w:hAnsi="Arial" w:cs="Arial"/>
                <w:spacing w:val="-2"/>
                <w:sz w:val="16"/>
                <w:lang w:val="hr-HR"/>
              </w:rPr>
              <w:t>1,015</w:t>
            </w:r>
          </w:p>
        </w:tc>
        <w:tc>
          <w:tcPr>
            <w:tcW w:w="1925" w:type="dxa"/>
          </w:tcPr>
          <w:p w14:paraId="669803F8" w14:textId="77777777" w:rsidR="00156696" w:rsidRPr="00E24D1E" w:rsidRDefault="00156696" w:rsidP="00156696">
            <w:pPr>
              <w:widowControl w:val="0"/>
              <w:autoSpaceDE w:val="0"/>
              <w:autoSpaceDN w:val="0"/>
              <w:spacing w:before="10" w:line="360" w:lineRule="auto"/>
              <w:ind w:left="10"/>
              <w:rPr>
                <w:rFonts w:ascii="Arial" w:eastAsia="Times New Roman" w:hAnsi="Arial" w:cs="Arial"/>
                <w:sz w:val="16"/>
                <w:lang w:val="hr-HR"/>
              </w:rPr>
            </w:pPr>
            <w:r w:rsidRPr="00E24D1E">
              <w:rPr>
                <w:rFonts w:ascii="Arial" w:eastAsia="Times New Roman" w:hAnsi="Arial" w:cs="Arial"/>
                <w:spacing w:val="-2"/>
                <w:sz w:val="16"/>
                <w:lang w:val="hr-HR"/>
              </w:rPr>
              <w:t>80-</w:t>
            </w:r>
            <w:r w:rsidRPr="00E24D1E">
              <w:rPr>
                <w:rFonts w:ascii="Arial" w:eastAsia="Times New Roman" w:hAnsi="Arial" w:cs="Arial"/>
                <w:spacing w:val="-5"/>
                <w:sz w:val="16"/>
                <w:lang w:val="hr-HR"/>
              </w:rPr>
              <w:t>120</w:t>
            </w:r>
          </w:p>
        </w:tc>
        <w:tc>
          <w:tcPr>
            <w:tcW w:w="1594" w:type="dxa"/>
          </w:tcPr>
          <w:p w14:paraId="70DD4018" w14:textId="77777777" w:rsidR="00156696" w:rsidRPr="00E24D1E" w:rsidRDefault="00156696" w:rsidP="00156696">
            <w:pPr>
              <w:widowControl w:val="0"/>
              <w:autoSpaceDE w:val="0"/>
              <w:autoSpaceDN w:val="0"/>
              <w:spacing w:before="10" w:line="360" w:lineRule="auto"/>
              <w:ind w:left="8"/>
              <w:rPr>
                <w:rFonts w:ascii="Arial" w:eastAsia="Times New Roman" w:hAnsi="Arial" w:cs="Arial"/>
                <w:sz w:val="16"/>
                <w:lang w:val="hr-HR"/>
              </w:rPr>
            </w:pPr>
            <w:r w:rsidRPr="00E24D1E">
              <w:rPr>
                <w:rFonts w:ascii="Arial" w:eastAsia="Times New Roman" w:hAnsi="Arial" w:cs="Arial"/>
                <w:spacing w:val="-5"/>
                <w:sz w:val="16"/>
                <w:lang w:val="hr-HR"/>
              </w:rPr>
              <w:t>100</w:t>
            </w:r>
          </w:p>
        </w:tc>
      </w:tr>
      <w:tr w:rsidR="00156696" w:rsidRPr="008E642F" w14:paraId="523A2523" w14:textId="77777777" w:rsidTr="009A0599">
        <w:trPr>
          <w:trHeight w:val="277"/>
        </w:trPr>
        <w:tc>
          <w:tcPr>
            <w:tcW w:w="3620" w:type="dxa"/>
          </w:tcPr>
          <w:p w14:paraId="1C0F4F73" w14:textId="77777777" w:rsidR="00156696" w:rsidRPr="00E24D1E" w:rsidRDefault="00156696" w:rsidP="00156696">
            <w:pPr>
              <w:widowControl w:val="0"/>
              <w:autoSpaceDE w:val="0"/>
              <w:autoSpaceDN w:val="0"/>
              <w:spacing w:before="10" w:line="360" w:lineRule="auto"/>
              <w:ind w:left="9"/>
              <w:rPr>
                <w:rFonts w:ascii="Arial" w:eastAsia="Times New Roman" w:hAnsi="Arial" w:cs="Arial"/>
                <w:sz w:val="16"/>
                <w:lang w:val="hr-HR"/>
              </w:rPr>
            </w:pPr>
            <w:r w:rsidRPr="00E24D1E">
              <w:rPr>
                <w:rFonts w:ascii="Arial" w:eastAsia="Times New Roman" w:hAnsi="Arial" w:cs="Arial"/>
                <w:sz w:val="16"/>
                <w:lang w:val="hr-HR"/>
              </w:rPr>
              <w:t>Aerisana</w:t>
            </w:r>
            <w:r w:rsidRPr="00E24D1E">
              <w:rPr>
                <w:rFonts w:ascii="Arial" w:eastAsia="Times New Roman" w:hAnsi="Arial" w:cs="Arial"/>
                <w:spacing w:val="-10"/>
                <w:sz w:val="16"/>
                <w:lang w:val="hr-HR"/>
              </w:rPr>
              <w:t xml:space="preserve"> </w:t>
            </w:r>
            <w:r w:rsidRPr="00E24D1E">
              <w:rPr>
                <w:rFonts w:ascii="Arial" w:eastAsia="Times New Roman" w:hAnsi="Arial" w:cs="Arial"/>
                <w:spacing w:val="-2"/>
                <w:sz w:val="16"/>
                <w:lang w:val="hr-HR"/>
              </w:rPr>
              <w:t>laguna</w:t>
            </w:r>
          </w:p>
        </w:tc>
        <w:tc>
          <w:tcPr>
            <w:tcW w:w="1844" w:type="dxa"/>
          </w:tcPr>
          <w:p w14:paraId="12679EA9" w14:textId="77777777" w:rsidR="00156696" w:rsidRPr="00E24D1E" w:rsidRDefault="00156696" w:rsidP="00156696">
            <w:pPr>
              <w:widowControl w:val="0"/>
              <w:autoSpaceDE w:val="0"/>
              <w:autoSpaceDN w:val="0"/>
              <w:spacing w:before="10" w:line="360" w:lineRule="auto"/>
              <w:ind w:left="8"/>
              <w:rPr>
                <w:rFonts w:ascii="Arial" w:eastAsia="Times New Roman" w:hAnsi="Arial" w:cs="Arial"/>
                <w:sz w:val="16"/>
                <w:lang w:val="hr-HR"/>
              </w:rPr>
            </w:pPr>
            <w:r w:rsidRPr="00E24D1E">
              <w:rPr>
                <w:rFonts w:ascii="Arial" w:eastAsia="Times New Roman" w:hAnsi="Arial" w:cs="Arial"/>
                <w:spacing w:val="-2"/>
                <w:sz w:val="16"/>
                <w:lang w:val="hr-HR"/>
              </w:rPr>
              <w:t>1,010</w:t>
            </w:r>
          </w:p>
        </w:tc>
        <w:tc>
          <w:tcPr>
            <w:tcW w:w="1925" w:type="dxa"/>
          </w:tcPr>
          <w:p w14:paraId="2C3E6F7F" w14:textId="77777777" w:rsidR="00156696" w:rsidRPr="00E24D1E" w:rsidRDefault="00156696" w:rsidP="00156696">
            <w:pPr>
              <w:widowControl w:val="0"/>
              <w:autoSpaceDE w:val="0"/>
              <w:autoSpaceDN w:val="0"/>
              <w:spacing w:before="10" w:line="360" w:lineRule="auto"/>
              <w:ind w:left="10"/>
              <w:rPr>
                <w:rFonts w:ascii="Arial" w:eastAsia="Times New Roman" w:hAnsi="Arial" w:cs="Arial"/>
                <w:sz w:val="16"/>
                <w:lang w:val="hr-HR"/>
              </w:rPr>
            </w:pPr>
            <w:r w:rsidRPr="00E24D1E">
              <w:rPr>
                <w:rFonts w:ascii="Arial" w:eastAsia="Times New Roman" w:hAnsi="Arial" w:cs="Arial"/>
                <w:spacing w:val="-2"/>
                <w:sz w:val="16"/>
                <w:lang w:val="hr-HR"/>
              </w:rPr>
              <w:t>80-</w:t>
            </w:r>
            <w:r w:rsidRPr="00E24D1E">
              <w:rPr>
                <w:rFonts w:ascii="Arial" w:eastAsia="Times New Roman" w:hAnsi="Arial" w:cs="Arial"/>
                <w:spacing w:val="-5"/>
                <w:sz w:val="16"/>
                <w:lang w:val="hr-HR"/>
              </w:rPr>
              <w:t>120</w:t>
            </w:r>
          </w:p>
        </w:tc>
        <w:tc>
          <w:tcPr>
            <w:tcW w:w="1594" w:type="dxa"/>
          </w:tcPr>
          <w:p w14:paraId="72481428" w14:textId="77777777" w:rsidR="00156696" w:rsidRPr="00E24D1E" w:rsidRDefault="00156696" w:rsidP="00156696">
            <w:pPr>
              <w:widowControl w:val="0"/>
              <w:autoSpaceDE w:val="0"/>
              <w:autoSpaceDN w:val="0"/>
              <w:spacing w:before="10" w:line="360" w:lineRule="auto"/>
              <w:ind w:left="8"/>
              <w:rPr>
                <w:rFonts w:ascii="Arial" w:eastAsia="Times New Roman" w:hAnsi="Arial" w:cs="Arial"/>
                <w:sz w:val="16"/>
                <w:lang w:val="hr-HR"/>
              </w:rPr>
            </w:pPr>
            <w:r w:rsidRPr="00E24D1E">
              <w:rPr>
                <w:rFonts w:ascii="Arial" w:eastAsia="Times New Roman" w:hAnsi="Arial" w:cs="Arial"/>
                <w:spacing w:val="-5"/>
                <w:sz w:val="16"/>
                <w:lang w:val="hr-HR"/>
              </w:rPr>
              <w:t>100</w:t>
            </w:r>
          </w:p>
        </w:tc>
      </w:tr>
      <w:tr w:rsidR="00156696" w:rsidRPr="008E642F" w14:paraId="284C9102" w14:textId="77777777" w:rsidTr="009A0599">
        <w:trPr>
          <w:trHeight w:val="282"/>
        </w:trPr>
        <w:tc>
          <w:tcPr>
            <w:tcW w:w="3620" w:type="dxa"/>
          </w:tcPr>
          <w:p w14:paraId="1BAF8B0E" w14:textId="77777777" w:rsidR="00156696" w:rsidRPr="00E24D1E" w:rsidRDefault="00156696" w:rsidP="00156696">
            <w:pPr>
              <w:widowControl w:val="0"/>
              <w:autoSpaceDE w:val="0"/>
              <w:autoSpaceDN w:val="0"/>
              <w:spacing w:before="14" w:line="360" w:lineRule="auto"/>
              <w:ind w:left="9"/>
              <w:rPr>
                <w:rFonts w:ascii="Arial" w:eastAsia="Times New Roman" w:hAnsi="Arial" w:cs="Arial"/>
                <w:sz w:val="16"/>
                <w:lang w:val="hr-HR"/>
              </w:rPr>
            </w:pPr>
            <w:r w:rsidRPr="00E24D1E">
              <w:rPr>
                <w:rFonts w:ascii="Arial" w:eastAsia="Times New Roman" w:hAnsi="Arial" w:cs="Arial"/>
                <w:spacing w:val="-2"/>
                <w:sz w:val="16"/>
                <w:lang w:val="hr-HR"/>
              </w:rPr>
              <w:t>Filtracija</w:t>
            </w:r>
          </w:p>
        </w:tc>
        <w:tc>
          <w:tcPr>
            <w:tcW w:w="1844" w:type="dxa"/>
          </w:tcPr>
          <w:p w14:paraId="38765BAC" w14:textId="77777777" w:rsidR="00156696" w:rsidRPr="00E24D1E" w:rsidRDefault="00156696" w:rsidP="00156696">
            <w:pPr>
              <w:widowControl w:val="0"/>
              <w:autoSpaceDE w:val="0"/>
              <w:autoSpaceDN w:val="0"/>
              <w:spacing w:before="14" w:line="360" w:lineRule="auto"/>
              <w:ind w:left="8"/>
              <w:rPr>
                <w:rFonts w:ascii="Arial" w:eastAsia="Times New Roman" w:hAnsi="Arial" w:cs="Arial"/>
                <w:sz w:val="16"/>
                <w:lang w:val="hr-HR"/>
              </w:rPr>
            </w:pPr>
            <w:r w:rsidRPr="00E24D1E">
              <w:rPr>
                <w:rFonts w:ascii="Arial" w:eastAsia="Times New Roman" w:hAnsi="Arial" w:cs="Arial"/>
                <w:spacing w:val="-2"/>
                <w:sz w:val="16"/>
                <w:lang w:val="hr-HR"/>
              </w:rPr>
              <w:t>1,005</w:t>
            </w:r>
          </w:p>
        </w:tc>
        <w:tc>
          <w:tcPr>
            <w:tcW w:w="1925" w:type="dxa"/>
          </w:tcPr>
          <w:p w14:paraId="2FA7A92E" w14:textId="77777777" w:rsidR="00156696" w:rsidRPr="00E24D1E" w:rsidRDefault="00156696" w:rsidP="00156696">
            <w:pPr>
              <w:widowControl w:val="0"/>
              <w:autoSpaceDE w:val="0"/>
              <w:autoSpaceDN w:val="0"/>
              <w:spacing w:before="14" w:line="360" w:lineRule="auto"/>
              <w:ind w:left="10"/>
              <w:rPr>
                <w:rFonts w:ascii="Arial" w:eastAsia="Times New Roman" w:hAnsi="Arial" w:cs="Arial"/>
                <w:sz w:val="16"/>
                <w:lang w:val="hr-HR"/>
              </w:rPr>
            </w:pPr>
            <w:r w:rsidRPr="00E24D1E">
              <w:rPr>
                <w:rFonts w:ascii="Arial" w:eastAsia="Times New Roman" w:hAnsi="Arial" w:cs="Arial"/>
                <w:spacing w:val="-2"/>
                <w:sz w:val="16"/>
                <w:lang w:val="hr-HR"/>
              </w:rPr>
              <w:t>10-</w:t>
            </w:r>
            <w:r w:rsidRPr="00E24D1E">
              <w:rPr>
                <w:rFonts w:ascii="Arial" w:eastAsia="Times New Roman" w:hAnsi="Arial" w:cs="Arial"/>
                <w:spacing w:val="-5"/>
                <w:sz w:val="16"/>
                <w:lang w:val="hr-HR"/>
              </w:rPr>
              <w:t>25</w:t>
            </w:r>
          </w:p>
        </w:tc>
        <w:tc>
          <w:tcPr>
            <w:tcW w:w="1594" w:type="dxa"/>
          </w:tcPr>
          <w:p w14:paraId="4E121F6E" w14:textId="77777777" w:rsidR="00156696" w:rsidRPr="00E24D1E" w:rsidRDefault="00156696" w:rsidP="00156696">
            <w:pPr>
              <w:widowControl w:val="0"/>
              <w:autoSpaceDE w:val="0"/>
              <w:autoSpaceDN w:val="0"/>
              <w:spacing w:before="14" w:line="360" w:lineRule="auto"/>
              <w:ind w:left="8"/>
              <w:rPr>
                <w:rFonts w:ascii="Arial" w:eastAsia="Times New Roman" w:hAnsi="Arial" w:cs="Arial"/>
                <w:sz w:val="16"/>
                <w:lang w:val="hr-HR"/>
              </w:rPr>
            </w:pPr>
            <w:r w:rsidRPr="00E24D1E">
              <w:rPr>
                <w:rFonts w:ascii="Arial" w:eastAsia="Times New Roman" w:hAnsi="Arial" w:cs="Arial"/>
                <w:spacing w:val="-5"/>
                <w:sz w:val="16"/>
                <w:lang w:val="hr-HR"/>
              </w:rPr>
              <w:t>15</w:t>
            </w:r>
          </w:p>
        </w:tc>
      </w:tr>
      <w:tr w:rsidR="00156696" w:rsidRPr="008E642F" w14:paraId="6B46C885" w14:textId="77777777" w:rsidTr="009A0599">
        <w:trPr>
          <w:trHeight w:val="273"/>
        </w:trPr>
        <w:tc>
          <w:tcPr>
            <w:tcW w:w="3620" w:type="dxa"/>
          </w:tcPr>
          <w:p w14:paraId="1C63CF99" w14:textId="77777777" w:rsidR="00156696" w:rsidRPr="00E24D1E" w:rsidRDefault="00156696" w:rsidP="00156696">
            <w:pPr>
              <w:widowControl w:val="0"/>
              <w:autoSpaceDE w:val="0"/>
              <w:autoSpaceDN w:val="0"/>
              <w:spacing w:before="5" w:line="360" w:lineRule="auto"/>
              <w:ind w:left="9"/>
              <w:rPr>
                <w:rFonts w:ascii="Arial" w:eastAsia="Times New Roman" w:hAnsi="Arial" w:cs="Arial"/>
                <w:sz w:val="16"/>
                <w:lang w:val="hr-HR"/>
              </w:rPr>
            </w:pPr>
            <w:r w:rsidRPr="00E24D1E">
              <w:rPr>
                <w:rFonts w:ascii="Arial" w:eastAsia="Times New Roman" w:hAnsi="Arial" w:cs="Arial"/>
                <w:sz w:val="16"/>
                <w:lang w:val="hr-HR"/>
              </w:rPr>
              <w:t>Uklanjanje</w:t>
            </w:r>
            <w:r w:rsidRPr="00E24D1E">
              <w:rPr>
                <w:rFonts w:ascii="Arial" w:eastAsia="Times New Roman" w:hAnsi="Arial" w:cs="Arial"/>
                <w:spacing w:val="-7"/>
                <w:sz w:val="16"/>
                <w:lang w:val="hr-HR"/>
              </w:rPr>
              <w:t xml:space="preserve"> </w:t>
            </w:r>
            <w:r w:rsidRPr="00E24D1E">
              <w:rPr>
                <w:rFonts w:ascii="Arial" w:eastAsia="Times New Roman" w:hAnsi="Arial" w:cs="Arial"/>
                <w:spacing w:val="-4"/>
                <w:sz w:val="16"/>
                <w:lang w:val="hr-HR"/>
              </w:rPr>
              <w:t>algi</w:t>
            </w:r>
          </w:p>
        </w:tc>
        <w:tc>
          <w:tcPr>
            <w:tcW w:w="1844" w:type="dxa"/>
          </w:tcPr>
          <w:p w14:paraId="3C1FDA34" w14:textId="77777777" w:rsidR="00156696" w:rsidRPr="00E24D1E" w:rsidRDefault="00156696" w:rsidP="00156696">
            <w:pPr>
              <w:widowControl w:val="0"/>
              <w:autoSpaceDE w:val="0"/>
              <w:autoSpaceDN w:val="0"/>
              <w:spacing w:before="5" w:line="360" w:lineRule="auto"/>
              <w:ind w:left="8"/>
              <w:rPr>
                <w:rFonts w:ascii="Arial" w:eastAsia="Times New Roman" w:hAnsi="Arial" w:cs="Arial"/>
                <w:sz w:val="16"/>
                <w:lang w:val="hr-HR"/>
              </w:rPr>
            </w:pPr>
            <w:r w:rsidRPr="00E24D1E">
              <w:rPr>
                <w:rFonts w:ascii="Arial" w:eastAsia="Times New Roman" w:hAnsi="Arial" w:cs="Arial"/>
                <w:spacing w:val="-2"/>
                <w:sz w:val="16"/>
                <w:lang w:val="hr-HR"/>
              </w:rPr>
              <w:t>1,005</w:t>
            </w:r>
          </w:p>
        </w:tc>
        <w:tc>
          <w:tcPr>
            <w:tcW w:w="1925" w:type="dxa"/>
          </w:tcPr>
          <w:p w14:paraId="2D02CA85" w14:textId="77777777" w:rsidR="00156696" w:rsidRPr="00E24D1E" w:rsidRDefault="00156696" w:rsidP="00156696">
            <w:pPr>
              <w:widowControl w:val="0"/>
              <w:autoSpaceDE w:val="0"/>
              <w:autoSpaceDN w:val="0"/>
              <w:spacing w:before="5" w:line="360" w:lineRule="auto"/>
              <w:ind w:left="10"/>
              <w:rPr>
                <w:rFonts w:ascii="Arial" w:eastAsia="Times New Roman" w:hAnsi="Arial" w:cs="Arial"/>
                <w:sz w:val="16"/>
                <w:lang w:val="hr-HR"/>
              </w:rPr>
            </w:pPr>
            <w:r w:rsidRPr="00E24D1E">
              <w:rPr>
                <w:rFonts w:ascii="Arial" w:eastAsia="Times New Roman" w:hAnsi="Arial" w:cs="Arial"/>
                <w:spacing w:val="-2"/>
                <w:sz w:val="16"/>
                <w:lang w:val="hr-HR"/>
              </w:rPr>
              <w:t>10-</w:t>
            </w:r>
            <w:r w:rsidRPr="00E24D1E">
              <w:rPr>
                <w:rFonts w:ascii="Arial" w:eastAsia="Times New Roman" w:hAnsi="Arial" w:cs="Arial"/>
                <w:spacing w:val="-5"/>
                <w:sz w:val="16"/>
                <w:lang w:val="hr-HR"/>
              </w:rPr>
              <w:t>25</w:t>
            </w:r>
          </w:p>
        </w:tc>
        <w:tc>
          <w:tcPr>
            <w:tcW w:w="1594" w:type="dxa"/>
          </w:tcPr>
          <w:p w14:paraId="5F200AAF" w14:textId="77777777" w:rsidR="00156696" w:rsidRPr="00E24D1E" w:rsidRDefault="00156696" w:rsidP="00156696">
            <w:pPr>
              <w:widowControl w:val="0"/>
              <w:autoSpaceDE w:val="0"/>
              <w:autoSpaceDN w:val="0"/>
              <w:spacing w:before="5" w:line="360" w:lineRule="auto"/>
              <w:ind w:left="8"/>
              <w:rPr>
                <w:rFonts w:ascii="Arial" w:eastAsia="Times New Roman" w:hAnsi="Arial" w:cs="Arial"/>
                <w:sz w:val="16"/>
                <w:lang w:val="hr-HR"/>
              </w:rPr>
            </w:pPr>
            <w:r w:rsidRPr="00E24D1E">
              <w:rPr>
                <w:rFonts w:ascii="Arial" w:eastAsia="Times New Roman" w:hAnsi="Arial" w:cs="Arial"/>
                <w:spacing w:val="-5"/>
                <w:sz w:val="16"/>
                <w:lang w:val="hr-HR"/>
              </w:rPr>
              <w:t>15</w:t>
            </w:r>
          </w:p>
        </w:tc>
      </w:tr>
      <w:tr w:rsidR="00156696" w:rsidRPr="008E642F" w14:paraId="7440B58E" w14:textId="77777777" w:rsidTr="009A0599">
        <w:trPr>
          <w:trHeight w:val="287"/>
        </w:trPr>
        <w:tc>
          <w:tcPr>
            <w:tcW w:w="3620" w:type="dxa"/>
          </w:tcPr>
          <w:p w14:paraId="15877434" w14:textId="77777777" w:rsidR="00156696" w:rsidRPr="00E24D1E" w:rsidRDefault="00156696" w:rsidP="00156696">
            <w:pPr>
              <w:widowControl w:val="0"/>
              <w:autoSpaceDE w:val="0"/>
              <w:autoSpaceDN w:val="0"/>
              <w:spacing w:before="19" w:line="360" w:lineRule="auto"/>
              <w:ind w:left="9"/>
              <w:rPr>
                <w:rFonts w:ascii="Arial" w:eastAsia="Times New Roman" w:hAnsi="Arial" w:cs="Arial"/>
                <w:sz w:val="16"/>
                <w:lang w:val="hr-HR"/>
              </w:rPr>
            </w:pPr>
            <w:r w:rsidRPr="00E24D1E">
              <w:rPr>
                <w:rFonts w:ascii="Arial" w:eastAsia="Times New Roman" w:hAnsi="Arial" w:cs="Arial"/>
                <w:sz w:val="16"/>
                <w:lang w:val="hr-HR"/>
              </w:rPr>
              <w:t>Precipitacija</w:t>
            </w:r>
            <w:r w:rsidRPr="00E24D1E">
              <w:rPr>
                <w:rFonts w:ascii="Arial" w:eastAsia="Times New Roman" w:hAnsi="Arial" w:cs="Arial"/>
                <w:spacing w:val="-7"/>
                <w:sz w:val="16"/>
                <w:lang w:val="hr-HR"/>
              </w:rPr>
              <w:t xml:space="preserve"> </w:t>
            </w:r>
            <w:r w:rsidRPr="00E24D1E">
              <w:rPr>
                <w:rFonts w:ascii="Arial" w:eastAsia="Times New Roman" w:hAnsi="Arial" w:cs="Arial"/>
                <w:sz w:val="16"/>
                <w:lang w:val="hr-HR"/>
              </w:rPr>
              <w:t>fosfora</w:t>
            </w:r>
            <w:r w:rsidRPr="00E24D1E">
              <w:rPr>
                <w:rFonts w:ascii="Arial" w:eastAsia="Times New Roman" w:hAnsi="Arial" w:cs="Arial"/>
                <w:spacing w:val="-6"/>
                <w:sz w:val="16"/>
                <w:lang w:val="hr-HR"/>
              </w:rPr>
              <w:t xml:space="preserve"> </w:t>
            </w:r>
            <w:r w:rsidRPr="00E24D1E">
              <w:rPr>
                <w:rFonts w:ascii="Arial" w:eastAsia="Times New Roman" w:hAnsi="Arial" w:cs="Arial"/>
                <w:sz w:val="16"/>
                <w:lang w:val="hr-HR"/>
              </w:rPr>
              <w:t>u</w:t>
            </w:r>
            <w:r w:rsidRPr="00E24D1E">
              <w:rPr>
                <w:rFonts w:ascii="Arial" w:eastAsia="Times New Roman" w:hAnsi="Arial" w:cs="Arial"/>
                <w:spacing w:val="-6"/>
                <w:sz w:val="16"/>
                <w:lang w:val="hr-HR"/>
              </w:rPr>
              <w:t xml:space="preserve"> </w:t>
            </w:r>
            <w:r w:rsidRPr="00E24D1E">
              <w:rPr>
                <w:rFonts w:ascii="Arial" w:eastAsia="Times New Roman" w:hAnsi="Arial" w:cs="Arial"/>
                <w:sz w:val="16"/>
                <w:lang w:val="hr-HR"/>
              </w:rPr>
              <w:t>primarnom</w:t>
            </w:r>
            <w:r w:rsidRPr="00E24D1E">
              <w:rPr>
                <w:rFonts w:ascii="Arial" w:eastAsia="Times New Roman" w:hAnsi="Arial" w:cs="Arial"/>
                <w:spacing w:val="-10"/>
                <w:sz w:val="16"/>
                <w:lang w:val="hr-HR"/>
              </w:rPr>
              <w:t xml:space="preserve"> </w:t>
            </w:r>
            <w:r w:rsidRPr="00E24D1E">
              <w:rPr>
                <w:rFonts w:ascii="Arial" w:eastAsia="Times New Roman" w:hAnsi="Arial" w:cs="Arial"/>
                <w:spacing w:val="-2"/>
                <w:sz w:val="16"/>
                <w:lang w:val="hr-HR"/>
              </w:rPr>
              <w:t>taložniku</w:t>
            </w:r>
          </w:p>
        </w:tc>
        <w:tc>
          <w:tcPr>
            <w:tcW w:w="1844" w:type="dxa"/>
          </w:tcPr>
          <w:p w14:paraId="0881B94C" w14:textId="6B7AA8DD" w:rsidR="00156696" w:rsidRPr="00E24D1E" w:rsidRDefault="00E9069C" w:rsidP="00156696">
            <w:pPr>
              <w:widowControl w:val="0"/>
              <w:autoSpaceDE w:val="0"/>
              <w:autoSpaceDN w:val="0"/>
              <w:spacing w:line="360" w:lineRule="auto"/>
              <w:rPr>
                <w:rFonts w:ascii="Arial" w:eastAsia="Times New Roman" w:hAnsi="Arial" w:cs="Arial"/>
                <w:sz w:val="16"/>
                <w:lang w:val="hr-HR"/>
              </w:rPr>
            </w:pPr>
            <w:r w:rsidRPr="00E24D1E">
              <w:rPr>
                <w:rFonts w:ascii="Arial" w:eastAsia="Times New Roman" w:hAnsi="Arial" w:cs="Arial"/>
                <w:sz w:val="16"/>
                <w:lang w:val="hr-HR"/>
              </w:rPr>
              <w:t>-</w:t>
            </w:r>
          </w:p>
        </w:tc>
        <w:tc>
          <w:tcPr>
            <w:tcW w:w="1925" w:type="dxa"/>
          </w:tcPr>
          <w:p w14:paraId="73AE5A3E" w14:textId="5BAD05AB" w:rsidR="00156696" w:rsidRPr="00E24D1E" w:rsidRDefault="00E9069C" w:rsidP="00156696">
            <w:pPr>
              <w:widowControl w:val="0"/>
              <w:autoSpaceDE w:val="0"/>
              <w:autoSpaceDN w:val="0"/>
              <w:spacing w:line="360" w:lineRule="auto"/>
              <w:rPr>
                <w:rFonts w:ascii="Arial" w:eastAsia="Times New Roman" w:hAnsi="Arial" w:cs="Arial"/>
                <w:sz w:val="16"/>
                <w:lang w:val="hr-HR"/>
              </w:rPr>
            </w:pPr>
            <w:r w:rsidRPr="00E24D1E">
              <w:rPr>
                <w:rFonts w:ascii="Arial" w:eastAsia="Times New Roman" w:hAnsi="Arial" w:cs="Arial"/>
                <w:sz w:val="16"/>
                <w:lang w:val="hr-HR"/>
              </w:rPr>
              <w:t>-</w:t>
            </w:r>
          </w:p>
        </w:tc>
        <w:tc>
          <w:tcPr>
            <w:tcW w:w="1594" w:type="dxa"/>
          </w:tcPr>
          <w:p w14:paraId="02C9013A" w14:textId="17BF53CE" w:rsidR="00156696" w:rsidRPr="00E24D1E" w:rsidRDefault="00E9069C" w:rsidP="00156696">
            <w:pPr>
              <w:widowControl w:val="0"/>
              <w:autoSpaceDE w:val="0"/>
              <w:autoSpaceDN w:val="0"/>
              <w:spacing w:line="360" w:lineRule="auto"/>
              <w:rPr>
                <w:rFonts w:ascii="Arial" w:eastAsia="Times New Roman" w:hAnsi="Arial" w:cs="Arial"/>
                <w:sz w:val="16"/>
                <w:lang w:val="hr-HR"/>
              </w:rPr>
            </w:pPr>
            <w:r w:rsidRPr="00E24D1E">
              <w:rPr>
                <w:rFonts w:ascii="Arial" w:eastAsia="Times New Roman" w:hAnsi="Arial" w:cs="Arial"/>
                <w:sz w:val="16"/>
                <w:lang w:val="hr-HR"/>
              </w:rPr>
              <w:t>-</w:t>
            </w:r>
          </w:p>
        </w:tc>
      </w:tr>
      <w:tr w:rsidR="00156696" w:rsidRPr="008E642F" w14:paraId="4AC70AED" w14:textId="77777777" w:rsidTr="009A0599">
        <w:trPr>
          <w:trHeight w:val="278"/>
        </w:trPr>
        <w:tc>
          <w:tcPr>
            <w:tcW w:w="3620" w:type="dxa"/>
          </w:tcPr>
          <w:p w14:paraId="7181FE39" w14:textId="77777777" w:rsidR="00156696" w:rsidRPr="00E24D1E" w:rsidRDefault="00156696" w:rsidP="00156696">
            <w:pPr>
              <w:widowControl w:val="0"/>
              <w:autoSpaceDE w:val="0"/>
              <w:autoSpaceDN w:val="0"/>
              <w:spacing w:before="10" w:line="360" w:lineRule="auto"/>
              <w:ind w:left="9"/>
              <w:rPr>
                <w:rFonts w:ascii="Arial" w:eastAsia="Times New Roman" w:hAnsi="Arial" w:cs="Arial"/>
                <w:sz w:val="16"/>
                <w:lang w:val="hr-HR"/>
              </w:rPr>
            </w:pPr>
            <w:r w:rsidRPr="00E24D1E">
              <w:rPr>
                <w:rFonts w:ascii="Arial" w:eastAsia="Times New Roman" w:hAnsi="Arial" w:cs="Arial"/>
                <w:sz w:val="16"/>
                <w:lang w:val="hr-HR"/>
              </w:rPr>
              <w:t>Doza</w:t>
            </w:r>
            <w:r w:rsidRPr="00E24D1E">
              <w:rPr>
                <w:rFonts w:ascii="Arial" w:eastAsia="Times New Roman" w:hAnsi="Arial" w:cs="Arial"/>
                <w:spacing w:val="-4"/>
                <w:sz w:val="16"/>
                <w:lang w:val="hr-HR"/>
              </w:rPr>
              <w:t xml:space="preserve"> </w:t>
            </w:r>
            <w:r w:rsidRPr="00E24D1E">
              <w:rPr>
                <w:rFonts w:ascii="Arial" w:eastAsia="Times New Roman" w:hAnsi="Arial" w:cs="Arial"/>
                <w:sz w:val="16"/>
                <w:lang w:val="hr-HR"/>
              </w:rPr>
              <w:t>kreča</w:t>
            </w:r>
            <w:r w:rsidRPr="00E24D1E">
              <w:rPr>
                <w:rFonts w:ascii="Arial" w:eastAsia="Times New Roman" w:hAnsi="Arial" w:cs="Arial"/>
                <w:spacing w:val="-4"/>
                <w:sz w:val="16"/>
                <w:lang w:val="hr-HR"/>
              </w:rPr>
              <w:t xml:space="preserve"> </w:t>
            </w:r>
            <w:r w:rsidRPr="00E24D1E">
              <w:rPr>
                <w:rFonts w:ascii="Arial" w:eastAsia="Times New Roman" w:hAnsi="Arial" w:cs="Arial"/>
                <w:sz w:val="16"/>
                <w:lang w:val="hr-HR"/>
              </w:rPr>
              <w:t>350-500</w:t>
            </w:r>
            <w:r w:rsidRPr="00E24D1E">
              <w:rPr>
                <w:rFonts w:ascii="Arial" w:eastAsia="Times New Roman" w:hAnsi="Arial" w:cs="Arial"/>
                <w:spacing w:val="-3"/>
                <w:sz w:val="16"/>
                <w:lang w:val="hr-HR"/>
              </w:rPr>
              <w:t xml:space="preserve"> </w:t>
            </w:r>
            <w:r w:rsidRPr="00E24D1E">
              <w:rPr>
                <w:rFonts w:ascii="Arial" w:eastAsia="Times New Roman" w:hAnsi="Arial" w:cs="Arial"/>
                <w:spacing w:val="-4"/>
                <w:sz w:val="16"/>
                <w:lang w:val="hr-HR"/>
              </w:rPr>
              <w:t>mg/l</w:t>
            </w:r>
          </w:p>
        </w:tc>
        <w:tc>
          <w:tcPr>
            <w:tcW w:w="1844" w:type="dxa"/>
          </w:tcPr>
          <w:p w14:paraId="2302C85F" w14:textId="77777777" w:rsidR="00156696" w:rsidRPr="00E24D1E" w:rsidRDefault="00156696" w:rsidP="00156696">
            <w:pPr>
              <w:widowControl w:val="0"/>
              <w:autoSpaceDE w:val="0"/>
              <w:autoSpaceDN w:val="0"/>
              <w:spacing w:before="10" w:line="360" w:lineRule="auto"/>
              <w:ind w:left="8"/>
              <w:rPr>
                <w:rFonts w:ascii="Arial" w:eastAsia="Times New Roman" w:hAnsi="Arial" w:cs="Arial"/>
                <w:sz w:val="16"/>
                <w:lang w:val="hr-HR"/>
              </w:rPr>
            </w:pPr>
            <w:r w:rsidRPr="00E24D1E">
              <w:rPr>
                <w:rFonts w:ascii="Arial" w:eastAsia="Times New Roman" w:hAnsi="Arial" w:cs="Arial"/>
                <w:spacing w:val="-2"/>
                <w:sz w:val="16"/>
                <w:lang w:val="hr-HR"/>
              </w:rPr>
              <w:t>1,040</w:t>
            </w:r>
          </w:p>
        </w:tc>
        <w:tc>
          <w:tcPr>
            <w:tcW w:w="1925" w:type="dxa"/>
          </w:tcPr>
          <w:p w14:paraId="3CCD9B23" w14:textId="77777777" w:rsidR="00156696" w:rsidRPr="00E24D1E" w:rsidRDefault="00156696" w:rsidP="00156696">
            <w:pPr>
              <w:widowControl w:val="0"/>
              <w:autoSpaceDE w:val="0"/>
              <w:autoSpaceDN w:val="0"/>
              <w:spacing w:before="10" w:line="360" w:lineRule="auto"/>
              <w:ind w:left="10"/>
              <w:rPr>
                <w:rFonts w:ascii="Arial" w:eastAsia="Times New Roman" w:hAnsi="Arial" w:cs="Arial"/>
                <w:sz w:val="16"/>
                <w:lang w:val="hr-HR"/>
              </w:rPr>
            </w:pPr>
            <w:r w:rsidRPr="00E24D1E">
              <w:rPr>
                <w:rFonts w:ascii="Arial" w:eastAsia="Times New Roman" w:hAnsi="Arial" w:cs="Arial"/>
                <w:spacing w:val="-2"/>
                <w:sz w:val="16"/>
                <w:lang w:val="hr-HR"/>
              </w:rPr>
              <w:t>250-</w:t>
            </w:r>
            <w:r w:rsidRPr="00E24D1E">
              <w:rPr>
                <w:rFonts w:ascii="Arial" w:eastAsia="Times New Roman" w:hAnsi="Arial" w:cs="Arial"/>
                <w:spacing w:val="-5"/>
                <w:sz w:val="16"/>
                <w:lang w:val="hr-HR"/>
              </w:rPr>
              <w:t>400</w:t>
            </w:r>
          </w:p>
        </w:tc>
        <w:tc>
          <w:tcPr>
            <w:tcW w:w="1594" w:type="dxa"/>
          </w:tcPr>
          <w:p w14:paraId="36C55127" w14:textId="77777777" w:rsidR="00156696" w:rsidRPr="00E24D1E" w:rsidRDefault="00156696" w:rsidP="00156696">
            <w:pPr>
              <w:widowControl w:val="0"/>
              <w:autoSpaceDE w:val="0"/>
              <w:autoSpaceDN w:val="0"/>
              <w:spacing w:before="10" w:line="360" w:lineRule="auto"/>
              <w:ind w:left="8"/>
              <w:rPr>
                <w:rFonts w:ascii="Arial" w:eastAsia="Times New Roman" w:hAnsi="Arial" w:cs="Arial"/>
                <w:sz w:val="16"/>
                <w:lang w:val="hr-HR"/>
              </w:rPr>
            </w:pPr>
            <w:r w:rsidRPr="00E24D1E">
              <w:rPr>
                <w:rFonts w:ascii="Arial" w:eastAsia="Times New Roman" w:hAnsi="Arial" w:cs="Arial"/>
                <w:spacing w:val="-5"/>
                <w:sz w:val="16"/>
                <w:lang w:val="hr-HR"/>
              </w:rPr>
              <w:t>300</w:t>
            </w:r>
          </w:p>
        </w:tc>
      </w:tr>
      <w:tr w:rsidR="00156696" w:rsidRPr="008E642F" w14:paraId="1CC716EF" w14:textId="77777777" w:rsidTr="009A0599">
        <w:trPr>
          <w:trHeight w:val="285"/>
        </w:trPr>
        <w:tc>
          <w:tcPr>
            <w:tcW w:w="3620" w:type="dxa"/>
          </w:tcPr>
          <w:p w14:paraId="50FB040F" w14:textId="77777777" w:rsidR="00156696" w:rsidRPr="00E24D1E" w:rsidRDefault="00156696" w:rsidP="00156696">
            <w:pPr>
              <w:widowControl w:val="0"/>
              <w:autoSpaceDE w:val="0"/>
              <w:autoSpaceDN w:val="0"/>
              <w:spacing w:before="14" w:line="360" w:lineRule="auto"/>
              <w:ind w:left="9"/>
              <w:rPr>
                <w:rFonts w:ascii="Arial" w:eastAsia="Times New Roman" w:hAnsi="Arial" w:cs="Arial"/>
                <w:sz w:val="16"/>
                <w:lang w:val="hr-HR"/>
              </w:rPr>
            </w:pPr>
            <w:r w:rsidRPr="00E24D1E">
              <w:rPr>
                <w:rFonts w:ascii="Arial" w:eastAsia="Times New Roman" w:hAnsi="Arial" w:cs="Arial"/>
                <w:sz w:val="16"/>
                <w:lang w:val="hr-HR"/>
              </w:rPr>
              <w:t>Doza</w:t>
            </w:r>
            <w:r w:rsidRPr="00E24D1E">
              <w:rPr>
                <w:rFonts w:ascii="Arial" w:eastAsia="Times New Roman" w:hAnsi="Arial" w:cs="Arial"/>
                <w:spacing w:val="-5"/>
                <w:sz w:val="16"/>
                <w:lang w:val="hr-HR"/>
              </w:rPr>
              <w:t xml:space="preserve"> </w:t>
            </w:r>
            <w:r w:rsidRPr="00E24D1E">
              <w:rPr>
                <w:rFonts w:ascii="Arial" w:eastAsia="Times New Roman" w:hAnsi="Arial" w:cs="Arial"/>
                <w:sz w:val="16"/>
                <w:lang w:val="hr-HR"/>
              </w:rPr>
              <w:t>kreča</w:t>
            </w:r>
            <w:r w:rsidRPr="00E24D1E">
              <w:rPr>
                <w:rFonts w:ascii="Arial" w:eastAsia="Times New Roman" w:hAnsi="Arial" w:cs="Arial"/>
                <w:spacing w:val="-4"/>
                <w:sz w:val="16"/>
                <w:lang w:val="hr-HR"/>
              </w:rPr>
              <w:t xml:space="preserve"> </w:t>
            </w:r>
            <w:r w:rsidRPr="00E24D1E">
              <w:rPr>
                <w:rFonts w:ascii="Arial" w:eastAsia="Times New Roman" w:hAnsi="Arial" w:cs="Arial"/>
                <w:sz w:val="16"/>
                <w:lang w:val="hr-HR"/>
              </w:rPr>
              <w:t>600-800</w:t>
            </w:r>
            <w:r w:rsidRPr="00E24D1E">
              <w:rPr>
                <w:rFonts w:ascii="Arial" w:eastAsia="Times New Roman" w:hAnsi="Arial" w:cs="Arial"/>
                <w:spacing w:val="-3"/>
                <w:sz w:val="16"/>
                <w:lang w:val="hr-HR"/>
              </w:rPr>
              <w:t xml:space="preserve"> </w:t>
            </w:r>
            <w:r w:rsidRPr="00E24D1E">
              <w:rPr>
                <w:rFonts w:ascii="Arial" w:eastAsia="Times New Roman" w:hAnsi="Arial" w:cs="Arial"/>
                <w:spacing w:val="-4"/>
                <w:sz w:val="16"/>
                <w:lang w:val="hr-HR"/>
              </w:rPr>
              <w:t>mg/l</w:t>
            </w:r>
          </w:p>
        </w:tc>
        <w:tc>
          <w:tcPr>
            <w:tcW w:w="1844" w:type="dxa"/>
          </w:tcPr>
          <w:p w14:paraId="48D784BF" w14:textId="77777777" w:rsidR="00156696" w:rsidRPr="00E24D1E" w:rsidRDefault="00156696" w:rsidP="00156696">
            <w:pPr>
              <w:widowControl w:val="0"/>
              <w:autoSpaceDE w:val="0"/>
              <w:autoSpaceDN w:val="0"/>
              <w:spacing w:before="14" w:line="360" w:lineRule="auto"/>
              <w:ind w:left="8"/>
              <w:rPr>
                <w:rFonts w:ascii="Arial" w:eastAsia="Times New Roman" w:hAnsi="Arial" w:cs="Arial"/>
                <w:sz w:val="16"/>
                <w:lang w:val="hr-HR"/>
              </w:rPr>
            </w:pPr>
            <w:r w:rsidRPr="00E24D1E">
              <w:rPr>
                <w:rFonts w:ascii="Arial" w:eastAsia="Times New Roman" w:hAnsi="Arial" w:cs="Arial"/>
                <w:spacing w:val="-2"/>
                <w:sz w:val="16"/>
                <w:lang w:val="hr-HR"/>
              </w:rPr>
              <w:t>1,050</w:t>
            </w:r>
          </w:p>
        </w:tc>
        <w:tc>
          <w:tcPr>
            <w:tcW w:w="1925" w:type="dxa"/>
          </w:tcPr>
          <w:p w14:paraId="0F0C704D" w14:textId="77777777" w:rsidR="00156696" w:rsidRPr="00E24D1E" w:rsidRDefault="00156696" w:rsidP="00156696">
            <w:pPr>
              <w:widowControl w:val="0"/>
              <w:autoSpaceDE w:val="0"/>
              <w:autoSpaceDN w:val="0"/>
              <w:spacing w:before="14" w:line="360" w:lineRule="auto"/>
              <w:ind w:left="10" w:right="4"/>
              <w:rPr>
                <w:rFonts w:ascii="Arial" w:eastAsia="Times New Roman" w:hAnsi="Arial" w:cs="Arial"/>
                <w:sz w:val="16"/>
                <w:lang w:val="hr-HR"/>
              </w:rPr>
            </w:pPr>
            <w:r w:rsidRPr="00E24D1E">
              <w:rPr>
                <w:rFonts w:ascii="Arial" w:eastAsia="Times New Roman" w:hAnsi="Arial" w:cs="Arial"/>
                <w:spacing w:val="-2"/>
                <w:sz w:val="16"/>
                <w:lang w:val="hr-HR"/>
              </w:rPr>
              <w:t>600-</w:t>
            </w:r>
            <w:r w:rsidRPr="00E24D1E">
              <w:rPr>
                <w:rFonts w:ascii="Arial" w:eastAsia="Times New Roman" w:hAnsi="Arial" w:cs="Arial"/>
                <w:spacing w:val="-4"/>
                <w:sz w:val="16"/>
                <w:lang w:val="hr-HR"/>
              </w:rPr>
              <w:t>1280</w:t>
            </w:r>
          </w:p>
        </w:tc>
        <w:tc>
          <w:tcPr>
            <w:tcW w:w="1594" w:type="dxa"/>
          </w:tcPr>
          <w:p w14:paraId="6B3CF670" w14:textId="77777777" w:rsidR="00156696" w:rsidRPr="00E24D1E" w:rsidRDefault="00156696" w:rsidP="00156696">
            <w:pPr>
              <w:widowControl w:val="0"/>
              <w:autoSpaceDE w:val="0"/>
              <w:autoSpaceDN w:val="0"/>
              <w:spacing w:before="14" w:line="360" w:lineRule="auto"/>
              <w:ind w:left="8"/>
              <w:rPr>
                <w:rFonts w:ascii="Arial" w:eastAsia="Times New Roman" w:hAnsi="Arial" w:cs="Arial"/>
                <w:sz w:val="16"/>
                <w:lang w:val="hr-HR"/>
              </w:rPr>
            </w:pPr>
            <w:r w:rsidRPr="00E24D1E">
              <w:rPr>
                <w:rFonts w:ascii="Arial" w:eastAsia="Times New Roman" w:hAnsi="Arial" w:cs="Arial"/>
                <w:spacing w:val="-5"/>
                <w:sz w:val="16"/>
                <w:lang w:val="hr-HR"/>
              </w:rPr>
              <w:t>800</w:t>
            </w:r>
          </w:p>
        </w:tc>
      </w:tr>
      <w:tr w:rsidR="00156696" w:rsidRPr="008E642F" w14:paraId="656E69BF" w14:textId="77777777" w:rsidTr="009A0599">
        <w:trPr>
          <w:trHeight w:val="277"/>
        </w:trPr>
        <w:tc>
          <w:tcPr>
            <w:tcW w:w="3620" w:type="dxa"/>
          </w:tcPr>
          <w:p w14:paraId="1CC78633" w14:textId="77777777" w:rsidR="00156696" w:rsidRPr="00E24D1E" w:rsidRDefault="00156696" w:rsidP="00156696">
            <w:pPr>
              <w:widowControl w:val="0"/>
              <w:autoSpaceDE w:val="0"/>
              <w:autoSpaceDN w:val="0"/>
              <w:spacing w:before="7" w:line="360" w:lineRule="auto"/>
              <w:ind w:left="9"/>
              <w:rPr>
                <w:rFonts w:ascii="Arial" w:eastAsia="Times New Roman" w:hAnsi="Arial" w:cs="Arial"/>
                <w:sz w:val="16"/>
                <w:lang w:val="hr-HR"/>
              </w:rPr>
            </w:pPr>
            <w:r w:rsidRPr="00E24D1E">
              <w:rPr>
                <w:rFonts w:ascii="Arial" w:eastAsia="Times New Roman" w:hAnsi="Arial" w:cs="Arial"/>
                <w:sz w:val="16"/>
                <w:lang w:val="hr-HR"/>
              </w:rPr>
              <w:t>Nitrifikacija</w:t>
            </w:r>
            <w:r w:rsidRPr="00E24D1E">
              <w:rPr>
                <w:rFonts w:ascii="Arial" w:eastAsia="Times New Roman" w:hAnsi="Arial" w:cs="Arial"/>
                <w:spacing w:val="-10"/>
                <w:sz w:val="16"/>
                <w:lang w:val="hr-HR"/>
              </w:rPr>
              <w:t xml:space="preserve"> </w:t>
            </w:r>
            <w:r w:rsidRPr="00E24D1E">
              <w:rPr>
                <w:rFonts w:ascii="Arial" w:eastAsia="Times New Roman" w:hAnsi="Arial" w:cs="Arial"/>
                <w:sz w:val="16"/>
                <w:lang w:val="hr-HR"/>
              </w:rPr>
              <w:t>(aktivni</w:t>
            </w:r>
            <w:r w:rsidRPr="00E24D1E">
              <w:rPr>
                <w:rFonts w:ascii="Arial" w:eastAsia="Times New Roman" w:hAnsi="Arial" w:cs="Arial"/>
                <w:spacing w:val="-8"/>
                <w:sz w:val="16"/>
                <w:lang w:val="hr-HR"/>
              </w:rPr>
              <w:t xml:space="preserve"> </w:t>
            </w:r>
            <w:r w:rsidRPr="00E24D1E">
              <w:rPr>
                <w:rFonts w:ascii="Arial" w:eastAsia="Times New Roman" w:hAnsi="Arial" w:cs="Arial"/>
                <w:spacing w:val="-4"/>
                <w:sz w:val="16"/>
                <w:lang w:val="hr-HR"/>
              </w:rPr>
              <w:t>mulj)</w:t>
            </w:r>
          </w:p>
        </w:tc>
        <w:tc>
          <w:tcPr>
            <w:tcW w:w="1844" w:type="dxa"/>
          </w:tcPr>
          <w:p w14:paraId="2D740EEC" w14:textId="77777777" w:rsidR="00156696" w:rsidRPr="00E24D1E" w:rsidRDefault="00156696" w:rsidP="00156696">
            <w:pPr>
              <w:widowControl w:val="0"/>
              <w:autoSpaceDE w:val="0"/>
              <w:autoSpaceDN w:val="0"/>
              <w:spacing w:before="7" w:line="360" w:lineRule="auto"/>
              <w:ind w:left="8" w:right="1"/>
              <w:rPr>
                <w:rFonts w:ascii="Arial" w:eastAsia="Times New Roman" w:hAnsi="Arial" w:cs="Arial"/>
                <w:sz w:val="16"/>
                <w:lang w:val="hr-HR"/>
              </w:rPr>
            </w:pPr>
            <w:r w:rsidRPr="00E24D1E">
              <w:rPr>
                <w:rFonts w:ascii="Arial" w:eastAsia="Times New Roman" w:hAnsi="Arial" w:cs="Arial"/>
                <w:spacing w:val="-10"/>
                <w:sz w:val="16"/>
                <w:lang w:val="hr-HR"/>
              </w:rPr>
              <w:t>-</w:t>
            </w:r>
          </w:p>
        </w:tc>
        <w:tc>
          <w:tcPr>
            <w:tcW w:w="1925" w:type="dxa"/>
          </w:tcPr>
          <w:p w14:paraId="586D36A5" w14:textId="77777777" w:rsidR="00156696" w:rsidRPr="00E24D1E" w:rsidRDefault="00156696" w:rsidP="00156696">
            <w:pPr>
              <w:widowControl w:val="0"/>
              <w:autoSpaceDE w:val="0"/>
              <w:autoSpaceDN w:val="0"/>
              <w:spacing w:before="7" w:line="360" w:lineRule="auto"/>
              <w:ind w:left="10" w:right="3"/>
              <w:rPr>
                <w:rFonts w:ascii="Arial" w:eastAsia="Times New Roman" w:hAnsi="Arial" w:cs="Arial"/>
                <w:sz w:val="16"/>
                <w:lang w:val="hr-HR"/>
              </w:rPr>
            </w:pPr>
            <w:r w:rsidRPr="00E24D1E">
              <w:rPr>
                <w:rFonts w:ascii="Arial" w:eastAsia="Times New Roman" w:hAnsi="Arial" w:cs="Arial"/>
                <w:spacing w:val="-10"/>
                <w:sz w:val="16"/>
                <w:lang w:val="hr-HR"/>
              </w:rPr>
              <w:t>-</w:t>
            </w:r>
          </w:p>
        </w:tc>
        <w:tc>
          <w:tcPr>
            <w:tcW w:w="1594" w:type="dxa"/>
          </w:tcPr>
          <w:p w14:paraId="70D639A5" w14:textId="77777777" w:rsidR="00156696" w:rsidRPr="00E24D1E" w:rsidRDefault="00156696" w:rsidP="00156696">
            <w:pPr>
              <w:widowControl w:val="0"/>
              <w:autoSpaceDE w:val="0"/>
              <w:autoSpaceDN w:val="0"/>
              <w:spacing w:before="7" w:line="360" w:lineRule="auto"/>
              <w:ind w:left="8" w:right="1"/>
              <w:rPr>
                <w:rFonts w:ascii="Arial" w:eastAsia="Times New Roman" w:hAnsi="Arial" w:cs="Arial"/>
                <w:sz w:val="16"/>
                <w:lang w:val="hr-HR"/>
              </w:rPr>
            </w:pPr>
            <w:r w:rsidRPr="00E24D1E">
              <w:rPr>
                <w:rFonts w:ascii="Arial" w:eastAsia="Times New Roman" w:hAnsi="Arial" w:cs="Arial"/>
                <w:spacing w:val="-10"/>
                <w:sz w:val="16"/>
                <w:lang w:val="hr-HR"/>
              </w:rPr>
              <w:t>-</w:t>
            </w:r>
          </w:p>
        </w:tc>
      </w:tr>
      <w:tr w:rsidR="00156696" w:rsidRPr="008E642F" w14:paraId="783C0C5C" w14:textId="77777777" w:rsidTr="009A0599">
        <w:trPr>
          <w:trHeight w:val="297"/>
        </w:trPr>
        <w:tc>
          <w:tcPr>
            <w:tcW w:w="3620" w:type="dxa"/>
          </w:tcPr>
          <w:p w14:paraId="57DBB980" w14:textId="77777777" w:rsidR="00156696" w:rsidRPr="00E24D1E" w:rsidRDefault="00156696" w:rsidP="00156696">
            <w:pPr>
              <w:widowControl w:val="0"/>
              <w:autoSpaceDE w:val="0"/>
              <w:autoSpaceDN w:val="0"/>
              <w:spacing w:before="26" w:line="360" w:lineRule="auto"/>
              <w:ind w:left="9"/>
              <w:rPr>
                <w:rFonts w:ascii="Arial" w:eastAsia="Times New Roman" w:hAnsi="Arial" w:cs="Arial"/>
                <w:sz w:val="16"/>
                <w:lang w:val="hr-HR"/>
              </w:rPr>
            </w:pPr>
            <w:r w:rsidRPr="00E24D1E">
              <w:rPr>
                <w:rFonts w:ascii="Arial" w:eastAsia="Times New Roman" w:hAnsi="Arial" w:cs="Arial"/>
                <w:sz w:val="16"/>
                <w:lang w:val="hr-HR"/>
              </w:rPr>
              <w:t>Denitrifikacija</w:t>
            </w:r>
            <w:r w:rsidRPr="00E24D1E">
              <w:rPr>
                <w:rFonts w:ascii="Arial" w:eastAsia="Times New Roman" w:hAnsi="Arial" w:cs="Arial"/>
                <w:spacing w:val="-11"/>
                <w:sz w:val="16"/>
                <w:lang w:val="hr-HR"/>
              </w:rPr>
              <w:t xml:space="preserve"> </w:t>
            </w:r>
            <w:r w:rsidRPr="00E24D1E">
              <w:rPr>
                <w:rFonts w:ascii="Arial" w:eastAsia="Times New Roman" w:hAnsi="Arial" w:cs="Arial"/>
                <w:sz w:val="16"/>
                <w:lang w:val="hr-HR"/>
              </w:rPr>
              <w:t>(aktivni</w:t>
            </w:r>
            <w:r w:rsidRPr="00E24D1E">
              <w:rPr>
                <w:rFonts w:ascii="Arial" w:eastAsia="Times New Roman" w:hAnsi="Arial" w:cs="Arial"/>
                <w:spacing w:val="-8"/>
                <w:sz w:val="16"/>
                <w:lang w:val="hr-HR"/>
              </w:rPr>
              <w:t xml:space="preserve"> </w:t>
            </w:r>
            <w:r w:rsidRPr="00E24D1E">
              <w:rPr>
                <w:rFonts w:ascii="Arial" w:eastAsia="Times New Roman" w:hAnsi="Arial" w:cs="Arial"/>
                <w:spacing w:val="-4"/>
                <w:sz w:val="16"/>
                <w:lang w:val="hr-HR"/>
              </w:rPr>
              <w:t>mulj)</w:t>
            </w:r>
          </w:p>
        </w:tc>
        <w:tc>
          <w:tcPr>
            <w:tcW w:w="1844" w:type="dxa"/>
          </w:tcPr>
          <w:p w14:paraId="236839AB" w14:textId="77777777" w:rsidR="00156696" w:rsidRPr="00E24D1E" w:rsidRDefault="00156696" w:rsidP="00156696">
            <w:pPr>
              <w:widowControl w:val="0"/>
              <w:autoSpaceDE w:val="0"/>
              <w:autoSpaceDN w:val="0"/>
              <w:spacing w:before="26" w:line="360" w:lineRule="auto"/>
              <w:ind w:left="8"/>
              <w:rPr>
                <w:rFonts w:ascii="Arial" w:eastAsia="Times New Roman" w:hAnsi="Arial" w:cs="Arial"/>
                <w:sz w:val="16"/>
                <w:lang w:val="hr-HR"/>
              </w:rPr>
            </w:pPr>
            <w:r w:rsidRPr="00E24D1E">
              <w:rPr>
                <w:rFonts w:ascii="Arial" w:eastAsia="Times New Roman" w:hAnsi="Arial" w:cs="Arial"/>
                <w:spacing w:val="-2"/>
                <w:sz w:val="16"/>
                <w:lang w:val="hr-HR"/>
              </w:rPr>
              <w:t>1,005</w:t>
            </w:r>
          </w:p>
        </w:tc>
        <w:tc>
          <w:tcPr>
            <w:tcW w:w="1925" w:type="dxa"/>
          </w:tcPr>
          <w:p w14:paraId="70792A9D" w14:textId="77777777" w:rsidR="00156696" w:rsidRPr="00E24D1E" w:rsidRDefault="00156696" w:rsidP="00156696">
            <w:pPr>
              <w:widowControl w:val="0"/>
              <w:autoSpaceDE w:val="0"/>
              <w:autoSpaceDN w:val="0"/>
              <w:spacing w:before="26" w:line="360" w:lineRule="auto"/>
              <w:ind w:left="10"/>
              <w:rPr>
                <w:rFonts w:ascii="Arial" w:eastAsia="Times New Roman" w:hAnsi="Arial" w:cs="Arial"/>
                <w:sz w:val="16"/>
                <w:lang w:val="hr-HR"/>
              </w:rPr>
            </w:pPr>
            <w:r w:rsidRPr="00E24D1E">
              <w:rPr>
                <w:rFonts w:ascii="Arial" w:eastAsia="Times New Roman" w:hAnsi="Arial" w:cs="Arial"/>
                <w:spacing w:val="-2"/>
                <w:sz w:val="16"/>
                <w:lang w:val="hr-HR"/>
              </w:rPr>
              <w:t>10-</w:t>
            </w:r>
            <w:r w:rsidRPr="00E24D1E">
              <w:rPr>
                <w:rFonts w:ascii="Arial" w:eastAsia="Times New Roman" w:hAnsi="Arial" w:cs="Arial"/>
                <w:spacing w:val="-5"/>
                <w:sz w:val="16"/>
                <w:lang w:val="hr-HR"/>
              </w:rPr>
              <w:t>30</w:t>
            </w:r>
          </w:p>
        </w:tc>
        <w:tc>
          <w:tcPr>
            <w:tcW w:w="1594" w:type="dxa"/>
          </w:tcPr>
          <w:p w14:paraId="7364AC8A" w14:textId="77777777" w:rsidR="00156696" w:rsidRPr="00E24D1E" w:rsidRDefault="00156696" w:rsidP="00156696">
            <w:pPr>
              <w:widowControl w:val="0"/>
              <w:autoSpaceDE w:val="0"/>
              <w:autoSpaceDN w:val="0"/>
              <w:spacing w:before="26" w:line="360" w:lineRule="auto"/>
              <w:ind w:left="8"/>
              <w:rPr>
                <w:rFonts w:ascii="Arial" w:eastAsia="Times New Roman" w:hAnsi="Arial" w:cs="Arial"/>
                <w:sz w:val="16"/>
                <w:lang w:val="hr-HR"/>
              </w:rPr>
            </w:pPr>
            <w:r w:rsidRPr="00E24D1E">
              <w:rPr>
                <w:rFonts w:ascii="Arial" w:eastAsia="Times New Roman" w:hAnsi="Arial" w:cs="Arial"/>
                <w:spacing w:val="-5"/>
                <w:sz w:val="16"/>
                <w:lang w:val="hr-HR"/>
              </w:rPr>
              <w:t>16</w:t>
            </w:r>
          </w:p>
        </w:tc>
      </w:tr>
    </w:tbl>
    <w:p w14:paraId="1E7AB414" w14:textId="5AE10F1A" w:rsidR="00156696" w:rsidRPr="00EF689B" w:rsidRDefault="00156696" w:rsidP="00156696">
      <w:pPr>
        <w:widowControl w:val="0"/>
        <w:autoSpaceDE w:val="0"/>
        <w:autoSpaceDN w:val="0"/>
        <w:spacing w:line="360" w:lineRule="auto"/>
        <w:ind w:right="716"/>
        <w:rPr>
          <w:rFonts w:ascii="Arial" w:eastAsia="Times New Roman" w:hAnsi="Arial" w:cs="Arial"/>
          <w:lang w:val="hr-HR"/>
        </w:rPr>
      </w:pPr>
      <w:r w:rsidRPr="00EF689B">
        <w:rPr>
          <w:rFonts w:ascii="Arial" w:hAnsi="Arial" w:cs="Arial"/>
          <w:lang w:val="sq-AL"/>
        </w:rPr>
        <w:t>Mulj se ob</w:t>
      </w:r>
      <w:r w:rsidR="005714DD">
        <w:rPr>
          <w:rFonts w:ascii="Arial" w:hAnsi="Arial" w:cs="Arial"/>
          <w:lang w:val="sq-AL"/>
        </w:rPr>
        <w:t>rađuje</w:t>
      </w:r>
      <w:r w:rsidRPr="00EF689B">
        <w:rPr>
          <w:rFonts w:ascii="Arial" w:hAnsi="Arial" w:cs="Arial"/>
          <w:lang w:val="sq-AL"/>
        </w:rPr>
        <w:t xml:space="preserve">, da bi mu se smanjio sadržaj vode, smanjila sklonost ka daljoj fermentaciji ili prisustvo patogena. Postoji nekoliko postupaka obrade mulja, kao što su zgušnjavanje, dehidratacija, stabilizacija, dezinfekcija i sušenje. Mulj se može podvrgnuti jednom ili većem broju </w:t>
      </w:r>
      <w:r w:rsidRPr="00EF689B">
        <w:rPr>
          <w:rFonts w:ascii="Arial" w:hAnsi="Arial" w:cs="Arial"/>
          <w:lang w:val="sq-AL"/>
        </w:rPr>
        <w:lastRenderedPageBreak/>
        <w:t>postupaka obrade</w:t>
      </w:r>
      <w:r w:rsidRPr="00EF689B">
        <w:rPr>
          <w:rFonts w:ascii="Arial" w:eastAsia="Times New Roman" w:hAnsi="Arial" w:cs="Arial"/>
          <w:lang w:val="hr-HR"/>
        </w:rPr>
        <w:t>.</w:t>
      </w:r>
    </w:p>
    <w:p w14:paraId="645B37EF" w14:textId="77777777" w:rsidR="00156696" w:rsidRPr="00EF689B" w:rsidRDefault="00156696" w:rsidP="00156696">
      <w:pPr>
        <w:widowControl w:val="0"/>
        <w:autoSpaceDE w:val="0"/>
        <w:autoSpaceDN w:val="0"/>
        <w:spacing w:before="199" w:line="360" w:lineRule="auto"/>
        <w:rPr>
          <w:rFonts w:ascii="Arial" w:eastAsia="Times New Roman" w:hAnsi="Arial" w:cs="Arial"/>
          <w:lang w:val="hr-HR"/>
        </w:rPr>
      </w:pPr>
      <w:r w:rsidRPr="00EF689B">
        <w:rPr>
          <w:rFonts w:ascii="Arial" w:eastAsia="Times New Roman" w:hAnsi="Arial" w:cs="Arial"/>
          <w:lang w:val="hr-HR"/>
        </w:rPr>
        <w:t>Dodatni</w:t>
      </w:r>
      <w:r w:rsidRPr="00EF689B">
        <w:rPr>
          <w:rFonts w:ascii="Arial" w:eastAsia="Times New Roman" w:hAnsi="Arial" w:cs="Arial"/>
          <w:spacing w:val="-2"/>
          <w:lang w:val="hr-HR"/>
        </w:rPr>
        <w:t xml:space="preserve"> </w:t>
      </w:r>
      <w:r w:rsidRPr="00EF689B">
        <w:rPr>
          <w:rFonts w:ascii="Arial" w:eastAsia="Times New Roman" w:hAnsi="Arial" w:cs="Arial"/>
          <w:lang w:val="hr-HR"/>
        </w:rPr>
        <w:t>postupci</w:t>
      </w:r>
      <w:r w:rsidRPr="00EF689B">
        <w:rPr>
          <w:rFonts w:ascii="Arial" w:eastAsia="Times New Roman" w:hAnsi="Arial" w:cs="Arial"/>
          <w:spacing w:val="-1"/>
          <w:lang w:val="hr-HR"/>
        </w:rPr>
        <w:t xml:space="preserve"> </w:t>
      </w:r>
      <w:r w:rsidRPr="00EF689B">
        <w:rPr>
          <w:rFonts w:ascii="Arial" w:eastAsia="Times New Roman" w:hAnsi="Arial" w:cs="Arial"/>
          <w:lang w:val="hr-HR"/>
        </w:rPr>
        <w:t>obrade mulja</w:t>
      </w:r>
      <w:r w:rsidRPr="00EF689B">
        <w:rPr>
          <w:rFonts w:ascii="Arial" w:eastAsia="Times New Roman" w:hAnsi="Arial" w:cs="Arial"/>
          <w:spacing w:val="-1"/>
          <w:lang w:val="hr-HR"/>
        </w:rPr>
        <w:t xml:space="preserve"> </w:t>
      </w:r>
      <w:r w:rsidRPr="00EF689B">
        <w:rPr>
          <w:rFonts w:ascii="Arial" w:eastAsia="Times New Roman" w:hAnsi="Arial" w:cs="Arial"/>
          <w:lang w:val="hr-HR"/>
        </w:rPr>
        <w:t>je</w:t>
      </w:r>
      <w:r w:rsidRPr="00EF689B">
        <w:rPr>
          <w:rFonts w:ascii="Arial" w:eastAsia="Times New Roman" w:hAnsi="Arial" w:cs="Arial"/>
          <w:spacing w:val="-1"/>
          <w:lang w:val="hr-HR"/>
        </w:rPr>
        <w:t xml:space="preserve"> </w:t>
      </w:r>
      <w:r w:rsidRPr="00EF689B">
        <w:rPr>
          <w:rFonts w:ascii="Arial" w:eastAsia="Times New Roman" w:hAnsi="Arial" w:cs="Arial"/>
          <w:lang w:val="hr-HR"/>
        </w:rPr>
        <w:t>neophodan</w:t>
      </w:r>
      <w:r w:rsidRPr="00EF689B">
        <w:rPr>
          <w:rFonts w:ascii="Arial" w:eastAsia="Times New Roman" w:hAnsi="Arial" w:cs="Arial"/>
          <w:spacing w:val="-1"/>
          <w:lang w:val="hr-HR"/>
        </w:rPr>
        <w:t xml:space="preserve"> </w:t>
      </w:r>
      <w:r w:rsidRPr="00EF689B">
        <w:rPr>
          <w:rFonts w:ascii="Arial" w:eastAsia="Times New Roman" w:hAnsi="Arial" w:cs="Arial"/>
          <w:spacing w:val="-2"/>
          <w:lang w:val="hr-HR"/>
        </w:rPr>
        <w:t>zbog:</w:t>
      </w:r>
    </w:p>
    <w:p w14:paraId="1A7DAF68" w14:textId="77777777" w:rsidR="00156696" w:rsidRPr="00EF689B" w:rsidRDefault="00156696" w:rsidP="00A23ED0">
      <w:pPr>
        <w:widowControl w:val="0"/>
        <w:numPr>
          <w:ilvl w:val="0"/>
          <w:numId w:val="73"/>
        </w:numPr>
        <w:tabs>
          <w:tab w:val="left" w:pos="1080"/>
        </w:tabs>
        <w:autoSpaceDE w:val="0"/>
        <w:autoSpaceDN w:val="0"/>
        <w:spacing w:before="243" w:line="360" w:lineRule="auto"/>
        <w:rPr>
          <w:rFonts w:ascii="Arial" w:eastAsia="Times New Roman" w:hAnsi="Arial" w:cs="Arial"/>
          <w:lang w:val="hr-HR"/>
        </w:rPr>
      </w:pPr>
      <w:r w:rsidRPr="00EF689B">
        <w:rPr>
          <w:rFonts w:ascii="Arial" w:eastAsia="Times New Roman" w:hAnsi="Arial" w:cs="Arial"/>
          <w:lang w:val="hr-HR"/>
        </w:rPr>
        <w:t>potrebnog</w:t>
      </w:r>
      <w:r w:rsidRPr="00EF689B">
        <w:rPr>
          <w:rFonts w:ascii="Arial" w:eastAsia="Times New Roman" w:hAnsi="Arial" w:cs="Arial"/>
          <w:spacing w:val="-4"/>
          <w:lang w:val="hr-HR"/>
        </w:rPr>
        <w:t xml:space="preserve"> </w:t>
      </w:r>
      <w:r w:rsidRPr="00EF689B">
        <w:rPr>
          <w:rFonts w:ascii="Arial" w:eastAsia="Times New Roman" w:hAnsi="Arial" w:cs="Arial"/>
          <w:lang w:val="hr-HR"/>
        </w:rPr>
        <w:t>smanjenja</w:t>
      </w:r>
      <w:r w:rsidRPr="00EF689B">
        <w:rPr>
          <w:rFonts w:ascii="Arial" w:eastAsia="Times New Roman" w:hAnsi="Arial" w:cs="Arial"/>
          <w:spacing w:val="-1"/>
          <w:lang w:val="hr-HR"/>
        </w:rPr>
        <w:t xml:space="preserve"> </w:t>
      </w:r>
      <w:r w:rsidRPr="00EF689B">
        <w:rPr>
          <w:rFonts w:ascii="Arial" w:eastAsia="Times New Roman" w:hAnsi="Arial" w:cs="Arial"/>
          <w:lang w:val="hr-HR"/>
        </w:rPr>
        <w:t xml:space="preserve">sadržaja </w:t>
      </w:r>
      <w:r w:rsidRPr="00EF689B">
        <w:rPr>
          <w:rFonts w:ascii="Arial" w:eastAsia="Times New Roman" w:hAnsi="Arial" w:cs="Arial"/>
          <w:spacing w:val="-2"/>
          <w:lang w:val="hr-HR"/>
        </w:rPr>
        <w:t>vode,</w:t>
      </w:r>
    </w:p>
    <w:p w14:paraId="62BEEB9E" w14:textId="77777777" w:rsidR="00156696" w:rsidRPr="00EF689B" w:rsidRDefault="00156696" w:rsidP="00A23ED0">
      <w:pPr>
        <w:widowControl w:val="0"/>
        <w:numPr>
          <w:ilvl w:val="0"/>
          <w:numId w:val="73"/>
        </w:numPr>
        <w:tabs>
          <w:tab w:val="left" w:pos="1080"/>
        </w:tabs>
        <w:autoSpaceDE w:val="0"/>
        <w:autoSpaceDN w:val="0"/>
        <w:spacing w:before="39" w:line="360" w:lineRule="auto"/>
        <w:rPr>
          <w:rFonts w:ascii="Arial" w:eastAsia="Times New Roman" w:hAnsi="Arial" w:cs="Arial"/>
          <w:lang w:val="hr-HR"/>
        </w:rPr>
      </w:pPr>
      <w:r w:rsidRPr="00EF689B">
        <w:rPr>
          <w:rFonts w:ascii="Arial" w:eastAsia="Times New Roman" w:hAnsi="Arial" w:cs="Arial"/>
          <w:lang w:val="hr-HR"/>
        </w:rPr>
        <w:t>stabilizacije</w:t>
      </w:r>
      <w:r w:rsidRPr="00EF689B">
        <w:rPr>
          <w:rFonts w:ascii="Arial" w:eastAsia="Times New Roman" w:hAnsi="Arial" w:cs="Arial"/>
          <w:spacing w:val="-5"/>
          <w:lang w:val="hr-HR"/>
        </w:rPr>
        <w:t xml:space="preserve"> </w:t>
      </w:r>
      <w:r w:rsidRPr="00EF689B">
        <w:rPr>
          <w:rFonts w:ascii="Arial" w:eastAsia="Times New Roman" w:hAnsi="Arial" w:cs="Arial"/>
          <w:lang w:val="hr-HR"/>
        </w:rPr>
        <w:t>njegovih</w:t>
      </w:r>
      <w:r w:rsidRPr="00EF689B">
        <w:rPr>
          <w:rFonts w:ascii="Arial" w:eastAsia="Times New Roman" w:hAnsi="Arial" w:cs="Arial"/>
          <w:spacing w:val="-1"/>
          <w:lang w:val="hr-HR"/>
        </w:rPr>
        <w:t xml:space="preserve"> </w:t>
      </w:r>
      <w:r w:rsidRPr="00EF689B">
        <w:rPr>
          <w:rFonts w:ascii="Arial" w:eastAsia="Times New Roman" w:hAnsi="Arial" w:cs="Arial"/>
          <w:lang w:val="hr-HR"/>
        </w:rPr>
        <w:t>organskih</w:t>
      </w:r>
      <w:r w:rsidRPr="00EF689B">
        <w:rPr>
          <w:rFonts w:ascii="Arial" w:eastAsia="Times New Roman" w:hAnsi="Arial" w:cs="Arial"/>
          <w:spacing w:val="-1"/>
          <w:lang w:val="hr-HR"/>
        </w:rPr>
        <w:t xml:space="preserve"> </w:t>
      </w:r>
      <w:r w:rsidRPr="00EF689B">
        <w:rPr>
          <w:rFonts w:ascii="Arial" w:eastAsia="Times New Roman" w:hAnsi="Arial" w:cs="Arial"/>
          <w:lang w:val="hr-HR"/>
        </w:rPr>
        <w:t>materija</w:t>
      </w:r>
      <w:r w:rsidRPr="00EF689B">
        <w:rPr>
          <w:rFonts w:ascii="Arial" w:eastAsia="Times New Roman" w:hAnsi="Arial" w:cs="Arial"/>
          <w:spacing w:val="-2"/>
          <w:lang w:val="hr-HR"/>
        </w:rPr>
        <w:t xml:space="preserve"> </w:t>
      </w:r>
      <w:r w:rsidRPr="00EF689B">
        <w:rPr>
          <w:rFonts w:ascii="Arial" w:eastAsia="Times New Roman" w:hAnsi="Arial" w:cs="Arial"/>
          <w:lang w:val="hr-HR"/>
        </w:rPr>
        <w:t>i</w:t>
      </w:r>
      <w:r w:rsidRPr="00EF689B">
        <w:rPr>
          <w:rFonts w:ascii="Arial" w:eastAsia="Times New Roman" w:hAnsi="Arial" w:cs="Arial"/>
          <w:spacing w:val="-1"/>
          <w:lang w:val="hr-HR"/>
        </w:rPr>
        <w:t xml:space="preserve"> </w:t>
      </w:r>
      <w:r w:rsidRPr="00EF689B">
        <w:rPr>
          <w:rFonts w:ascii="Arial" w:eastAsia="Times New Roman" w:hAnsi="Arial" w:cs="Arial"/>
          <w:lang w:val="hr-HR"/>
        </w:rPr>
        <w:t>smanjenja</w:t>
      </w:r>
      <w:r w:rsidRPr="00EF689B">
        <w:rPr>
          <w:rFonts w:ascii="Arial" w:eastAsia="Times New Roman" w:hAnsi="Arial" w:cs="Arial"/>
          <w:spacing w:val="-1"/>
          <w:lang w:val="hr-HR"/>
        </w:rPr>
        <w:t xml:space="preserve"> </w:t>
      </w:r>
      <w:r w:rsidRPr="00EF689B">
        <w:rPr>
          <w:rFonts w:ascii="Arial" w:eastAsia="Times New Roman" w:hAnsi="Arial" w:cs="Arial"/>
          <w:lang w:val="hr-HR"/>
        </w:rPr>
        <w:t>stvaranja</w:t>
      </w:r>
      <w:r w:rsidRPr="00EF689B">
        <w:rPr>
          <w:rFonts w:ascii="Arial" w:eastAsia="Times New Roman" w:hAnsi="Arial" w:cs="Arial"/>
          <w:spacing w:val="-1"/>
          <w:lang w:val="hr-HR"/>
        </w:rPr>
        <w:t xml:space="preserve"> </w:t>
      </w:r>
      <w:r w:rsidRPr="00EF689B">
        <w:rPr>
          <w:rFonts w:ascii="Arial" w:eastAsia="Times New Roman" w:hAnsi="Arial" w:cs="Arial"/>
          <w:lang w:val="hr-HR"/>
        </w:rPr>
        <w:t>neprijatnih</w:t>
      </w:r>
      <w:r w:rsidRPr="00EF689B">
        <w:rPr>
          <w:rFonts w:ascii="Arial" w:eastAsia="Times New Roman" w:hAnsi="Arial" w:cs="Arial"/>
          <w:spacing w:val="-1"/>
          <w:lang w:val="hr-HR"/>
        </w:rPr>
        <w:t xml:space="preserve"> </w:t>
      </w:r>
      <w:r w:rsidRPr="00EF689B">
        <w:rPr>
          <w:rFonts w:ascii="Arial" w:eastAsia="Times New Roman" w:hAnsi="Arial" w:cs="Arial"/>
          <w:spacing w:val="-2"/>
          <w:lang w:val="hr-HR"/>
        </w:rPr>
        <w:t>mirisa,</w:t>
      </w:r>
    </w:p>
    <w:p w14:paraId="5161E723" w14:textId="77777777" w:rsidR="00156696" w:rsidRPr="00EF689B" w:rsidRDefault="00156696" w:rsidP="00A23ED0">
      <w:pPr>
        <w:widowControl w:val="0"/>
        <w:numPr>
          <w:ilvl w:val="0"/>
          <w:numId w:val="73"/>
        </w:numPr>
        <w:tabs>
          <w:tab w:val="left" w:pos="1080"/>
        </w:tabs>
        <w:autoSpaceDE w:val="0"/>
        <w:autoSpaceDN w:val="0"/>
        <w:spacing w:before="42" w:line="360" w:lineRule="auto"/>
        <w:rPr>
          <w:rFonts w:ascii="Arial" w:eastAsia="Times New Roman" w:hAnsi="Arial" w:cs="Arial"/>
          <w:lang w:val="hr-HR"/>
        </w:rPr>
      </w:pPr>
      <w:r w:rsidRPr="00EF689B">
        <w:rPr>
          <w:rFonts w:ascii="Arial" w:eastAsia="Times New Roman" w:hAnsi="Arial" w:cs="Arial"/>
          <w:lang w:val="hr-HR"/>
        </w:rPr>
        <w:t>smanjenja</w:t>
      </w:r>
      <w:r w:rsidRPr="00EF689B">
        <w:rPr>
          <w:rFonts w:ascii="Arial" w:eastAsia="Times New Roman" w:hAnsi="Arial" w:cs="Arial"/>
          <w:spacing w:val="-2"/>
          <w:lang w:val="hr-HR"/>
        </w:rPr>
        <w:t xml:space="preserve"> </w:t>
      </w:r>
      <w:r w:rsidRPr="00EF689B">
        <w:rPr>
          <w:rFonts w:ascii="Arial" w:eastAsia="Times New Roman" w:hAnsi="Arial" w:cs="Arial"/>
          <w:lang w:val="hr-HR"/>
        </w:rPr>
        <w:t>patogenog</w:t>
      </w:r>
      <w:r w:rsidRPr="00EF689B">
        <w:rPr>
          <w:rFonts w:ascii="Arial" w:eastAsia="Times New Roman" w:hAnsi="Arial" w:cs="Arial"/>
          <w:spacing w:val="-4"/>
          <w:lang w:val="hr-HR"/>
        </w:rPr>
        <w:t xml:space="preserve"> </w:t>
      </w:r>
      <w:r w:rsidRPr="00EF689B">
        <w:rPr>
          <w:rFonts w:ascii="Arial" w:eastAsia="Times New Roman" w:hAnsi="Arial" w:cs="Arial"/>
          <w:spacing w:val="-2"/>
          <w:lang w:val="hr-HR"/>
        </w:rPr>
        <w:t>opterećenja,</w:t>
      </w:r>
    </w:p>
    <w:p w14:paraId="33ED0248" w14:textId="77777777" w:rsidR="00156696" w:rsidRPr="00EF689B" w:rsidRDefault="00156696" w:rsidP="00A23ED0">
      <w:pPr>
        <w:widowControl w:val="0"/>
        <w:numPr>
          <w:ilvl w:val="0"/>
          <w:numId w:val="73"/>
        </w:numPr>
        <w:tabs>
          <w:tab w:val="left" w:pos="1080"/>
        </w:tabs>
        <w:autoSpaceDE w:val="0"/>
        <w:autoSpaceDN w:val="0"/>
        <w:spacing w:before="40" w:line="360" w:lineRule="auto"/>
        <w:rPr>
          <w:rFonts w:ascii="Arial" w:eastAsia="Times New Roman" w:hAnsi="Arial" w:cs="Arial"/>
          <w:lang w:val="hr-HR"/>
        </w:rPr>
      </w:pPr>
      <w:r w:rsidRPr="00EF689B">
        <w:rPr>
          <w:rFonts w:ascii="Arial" w:eastAsia="Times New Roman" w:hAnsi="Arial" w:cs="Arial"/>
          <w:lang w:val="hr-HR"/>
        </w:rPr>
        <w:t>smanjenja</w:t>
      </w:r>
      <w:r w:rsidRPr="00EF689B">
        <w:rPr>
          <w:rFonts w:ascii="Arial" w:eastAsia="Times New Roman" w:hAnsi="Arial" w:cs="Arial"/>
          <w:spacing w:val="-1"/>
          <w:lang w:val="hr-HR"/>
        </w:rPr>
        <w:t xml:space="preserve"> </w:t>
      </w:r>
      <w:r w:rsidRPr="00EF689B">
        <w:rPr>
          <w:rFonts w:ascii="Arial" w:eastAsia="Times New Roman" w:hAnsi="Arial" w:cs="Arial"/>
          <w:lang w:val="hr-HR"/>
        </w:rPr>
        <w:t>zapremine</w:t>
      </w:r>
      <w:r w:rsidRPr="00EF689B">
        <w:rPr>
          <w:rFonts w:ascii="Arial" w:eastAsia="Times New Roman" w:hAnsi="Arial" w:cs="Arial"/>
          <w:spacing w:val="-1"/>
          <w:lang w:val="hr-HR"/>
        </w:rPr>
        <w:t xml:space="preserve"> </w:t>
      </w:r>
      <w:r w:rsidRPr="00EF689B">
        <w:rPr>
          <w:rFonts w:ascii="Arial" w:eastAsia="Times New Roman" w:hAnsi="Arial" w:cs="Arial"/>
          <w:lang w:val="hr-HR"/>
        </w:rPr>
        <w:t>i</w:t>
      </w:r>
      <w:r w:rsidRPr="00EF689B">
        <w:rPr>
          <w:rFonts w:ascii="Arial" w:eastAsia="Times New Roman" w:hAnsi="Arial" w:cs="Arial"/>
          <w:spacing w:val="-1"/>
          <w:lang w:val="hr-HR"/>
        </w:rPr>
        <w:t xml:space="preserve"> </w:t>
      </w:r>
      <w:r w:rsidRPr="00EF689B">
        <w:rPr>
          <w:rFonts w:ascii="Arial" w:eastAsia="Times New Roman" w:hAnsi="Arial" w:cs="Arial"/>
          <w:lang w:val="hr-HR"/>
        </w:rPr>
        <w:t>ukupne</w:t>
      </w:r>
      <w:r w:rsidRPr="00EF689B">
        <w:rPr>
          <w:rFonts w:ascii="Arial" w:eastAsia="Times New Roman" w:hAnsi="Arial" w:cs="Arial"/>
          <w:spacing w:val="-1"/>
          <w:lang w:val="hr-HR"/>
        </w:rPr>
        <w:t xml:space="preserve"> </w:t>
      </w:r>
      <w:r w:rsidRPr="00EF689B">
        <w:rPr>
          <w:rFonts w:ascii="Arial" w:eastAsia="Times New Roman" w:hAnsi="Arial" w:cs="Arial"/>
          <w:spacing w:val="-2"/>
          <w:lang w:val="hr-HR"/>
        </w:rPr>
        <w:t>mase.</w:t>
      </w:r>
    </w:p>
    <w:p w14:paraId="3FBFDC92" w14:textId="3CE8A9D6" w:rsidR="00D93EEF" w:rsidRPr="00EF689B" w:rsidRDefault="00156696" w:rsidP="00156696">
      <w:pPr>
        <w:widowControl w:val="0"/>
        <w:autoSpaceDE w:val="0"/>
        <w:autoSpaceDN w:val="0"/>
        <w:spacing w:before="241" w:line="360" w:lineRule="auto"/>
        <w:ind w:right="717"/>
        <w:rPr>
          <w:rFonts w:ascii="Arial" w:hAnsi="Arial" w:cs="Arial"/>
          <w:lang w:val="sq-AL"/>
        </w:rPr>
      </w:pPr>
      <w:r w:rsidRPr="00EF689B">
        <w:rPr>
          <w:rFonts w:ascii="Arial" w:hAnsi="Arial" w:cs="Arial"/>
          <w:lang w:val="sq-AL"/>
        </w:rPr>
        <w:t xml:space="preserve">Koji će se postupak primjenjivati za dodatni postupak obrade mulja zavisi od dalje planiranog </w:t>
      </w:r>
      <w:r w:rsidR="005714DD" w:rsidRPr="00EF689B">
        <w:rPr>
          <w:rFonts w:ascii="Arial" w:hAnsi="Arial" w:cs="Arial"/>
          <w:lang w:val="sq-AL"/>
        </w:rPr>
        <w:t>recikliranja</w:t>
      </w:r>
      <w:r w:rsidR="005714DD">
        <w:rPr>
          <w:rFonts w:ascii="Arial" w:hAnsi="Arial" w:cs="Arial"/>
          <w:lang w:val="sq-AL"/>
        </w:rPr>
        <w:t xml:space="preserve"> ili</w:t>
      </w:r>
      <w:r w:rsidR="005714DD" w:rsidRPr="00EF689B">
        <w:rPr>
          <w:rFonts w:ascii="Arial" w:hAnsi="Arial" w:cs="Arial"/>
          <w:lang w:val="sq-AL"/>
        </w:rPr>
        <w:t xml:space="preserve"> </w:t>
      </w:r>
      <w:r w:rsidRPr="00EF689B">
        <w:rPr>
          <w:rFonts w:ascii="Arial" w:hAnsi="Arial" w:cs="Arial"/>
          <w:lang w:val="sq-AL"/>
        </w:rPr>
        <w:t>odlaganjai mulja, što je prikazano u</w:t>
      </w:r>
      <w:r w:rsidR="00D93EEF">
        <w:rPr>
          <w:rFonts w:ascii="Arial" w:hAnsi="Arial" w:cs="Arial"/>
          <w:lang w:val="sq-AL"/>
        </w:rPr>
        <w:t xml:space="preserve"> sljedećoj tabeli:</w:t>
      </w:r>
    </w:p>
    <w:p w14:paraId="30D1253A" w14:textId="33E204F6" w:rsidR="00156696" w:rsidRPr="008E642F" w:rsidRDefault="00156696" w:rsidP="00156696">
      <w:pPr>
        <w:spacing w:after="200"/>
        <w:rPr>
          <w:rFonts w:ascii="Arial" w:eastAsia="Times New Roman" w:hAnsi="Arial" w:cs="Arial"/>
          <w:bCs/>
          <w:color w:val="4F81BD"/>
          <w:sz w:val="18"/>
          <w:lang w:val="hr-HR"/>
        </w:rPr>
      </w:pPr>
      <w:bookmarkStart w:id="1372" w:name="_Toc190088195"/>
      <w:r w:rsidRPr="008E642F">
        <w:rPr>
          <w:rFonts w:ascii="Arial" w:hAnsi="Arial" w:cs="Arial"/>
          <w:bCs/>
          <w:color w:val="4F81BD"/>
          <w:sz w:val="18"/>
        </w:rPr>
        <w:t xml:space="preserve">Tabela </w:t>
      </w:r>
      <w:r w:rsidRPr="008E642F">
        <w:rPr>
          <w:rFonts w:ascii="Arial" w:hAnsi="Arial" w:cs="Arial"/>
          <w:bCs/>
          <w:color w:val="4F81BD"/>
          <w:sz w:val="18"/>
        </w:rPr>
        <w:fldChar w:fldCharType="begin"/>
      </w:r>
      <w:r w:rsidRPr="008E642F">
        <w:rPr>
          <w:rFonts w:ascii="Arial" w:hAnsi="Arial" w:cs="Arial"/>
          <w:bCs/>
          <w:color w:val="4F81BD"/>
          <w:sz w:val="18"/>
        </w:rPr>
        <w:instrText xml:space="preserve"> SEQ Tabela \* ARABIC </w:instrText>
      </w:r>
      <w:r w:rsidRPr="008E642F">
        <w:rPr>
          <w:rFonts w:ascii="Arial" w:hAnsi="Arial" w:cs="Arial"/>
          <w:bCs/>
          <w:color w:val="4F81BD"/>
          <w:sz w:val="18"/>
        </w:rPr>
        <w:fldChar w:fldCharType="separate"/>
      </w:r>
      <w:r w:rsidR="007274DA">
        <w:rPr>
          <w:rFonts w:ascii="Arial" w:hAnsi="Arial" w:cs="Arial"/>
          <w:bCs/>
          <w:noProof/>
          <w:color w:val="4F81BD"/>
          <w:sz w:val="18"/>
        </w:rPr>
        <w:t>116</w:t>
      </w:r>
      <w:r w:rsidRPr="008E642F">
        <w:rPr>
          <w:rFonts w:ascii="Arial" w:hAnsi="Arial" w:cs="Arial"/>
          <w:bCs/>
          <w:color w:val="4F81BD"/>
          <w:sz w:val="18"/>
        </w:rPr>
        <w:fldChar w:fldCharType="end"/>
      </w:r>
      <w:r w:rsidRPr="008E642F">
        <w:rPr>
          <w:rFonts w:ascii="Arial" w:hAnsi="Arial" w:cs="Arial"/>
          <w:bCs/>
          <w:color w:val="4F81BD"/>
          <w:sz w:val="18"/>
        </w:rPr>
        <w:t xml:space="preserve"> </w:t>
      </w:r>
      <w:r w:rsidRPr="008E642F">
        <w:rPr>
          <w:rFonts w:ascii="Arial" w:eastAsia="Times New Roman" w:hAnsi="Arial" w:cs="Arial"/>
          <w:bCs/>
          <w:color w:val="365F91"/>
          <w:sz w:val="18"/>
          <w:lang w:val="hr-HR"/>
        </w:rPr>
        <w:t>Različiti</w:t>
      </w:r>
      <w:r w:rsidRPr="008E642F">
        <w:rPr>
          <w:rFonts w:ascii="Arial" w:eastAsia="Times New Roman" w:hAnsi="Arial" w:cs="Arial"/>
          <w:bCs/>
          <w:color w:val="365F91"/>
          <w:spacing w:val="-1"/>
          <w:sz w:val="18"/>
          <w:lang w:val="hr-HR"/>
        </w:rPr>
        <w:t xml:space="preserve"> </w:t>
      </w:r>
      <w:r w:rsidRPr="008E642F">
        <w:rPr>
          <w:rFonts w:ascii="Arial" w:eastAsia="Times New Roman" w:hAnsi="Arial" w:cs="Arial"/>
          <w:bCs/>
          <w:color w:val="365F91"/>
          <w:sz w:val="18"/>
          <w:lang w:val="hr-HR"/>
        </w:rPr>
        <w:t>stepeni</w:t>
      </w:r>
      <w:r w:rsidRPr="008E642F">
        <w:rPr>
          <w:rFonts w:ascii="Arial" w:eastAsia="Times New Roman" w:hAnsi="Arial" w:cs="Arial"/>
          <w:bCs/>
          <w:color w:val="365F91"/>
          <w:spacing w:val="-1"/>
          <w:sz w:val="18"/>
          <w:lang w:val="hr-HR"/>
        </w:rPr>
        <w:t xml:space="preserve"> </w:t>
      </w:r>
      <w:r w:rsidRPr="008E642F">
        <w:rPr>
          <w:rFonts w:ascii="Arial" w:eastAsia="Times New Roman" w:hAnsi="Arial" w:cs="Arial"/>
          <w:bCs/>
          <w:color w:val="365F91"/>
          <w:sz w:val="18"/>
          <w:lang w:val="hr-HR"/>
        </w:rPr>
        <w:t>obrade</w:t>
      </w:r>
      <w:r w:rsidRPr="008E642F">
        <w:rPr>
          <w:rFonts w:ascii="Arial" w:eastAsia="Times New Roman" w:hAnsi="Arial" w:cs="Arial"/>
          <w:bCs/>
          <w:color w:val="365F91"/>
          <w:spacing w:val="-1"/>
          <w:sz w:val="18"/>
          <w:lang w:val="hr-HR"/>
        </w:rPr>
        <w:t xml:space="preserve"> </w:t>
      </w:r>
      <w:r w:rsidRPr="008E642F">
        <w:rPr>
          <w:rFonts w:ascii="Arial" w:eastAsia="Times New Roman" w:hAnsi="Arial" w:cs="Arial"/>
          <w:bCs/>
          <w:color w:val="365F91"/>
          <w:spacing w:val="-2"/>
          <w:sz w:val="18"/>
          <w:lang w:val="hr-HR"/>
        </w:rPr>
        <w:t>mulja</w:t>
      </w:r>
      <w:bookmarkEnd w:id="1372"/>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03"/>
        <w:gridCol w:w="3574"/>
        <w:gridCol w:w="3799"/>
      </w:tblGrid>
      <w:tr w:rsidR="00156696" w:rsidRPr="00EF689B" w14:paraId="2540FE90" w14:textId="77777777" w:rsidTr="009A0599">
        <w:trPr>
          <w:trHeight w:val="230"/>
        </w:trPr>
        <w:tc>
          <w:tcPr>
            <w:tcW w:w="2203" w:type="dxa"/>
          </w:tcPr>
          <w:p w14:paraId="628DE9ED" w14:textId="77777777" w:rsidR="00156696" w:rsidRPr="008E642F" w:rsidRDefault="00156696" w:rsidP="00156696">
            <w:pPr>
              <w:widowControl w:val="0"/>
              <w:autoSpaceDE w:val="0"/>
              <w:autoSpaceDN w:val="0"/>
              <w:spacing w:line="360" w:lineRule="auto"/>
              <w:ind w:left="107"/>
              <w:rPr>
                <w:rFonts w:ascii="Arial" w:eastAsia="Times New Roman" w:hAnsi="Arial" w:cs="Arial"/>
                <w:b/>
                <w:sz w:val="18"/>
                <w:lang w:val="hr-HR"/>
              </w:rPr>
            </w:pPr>
            <w:r w:rsidRPr="008E642F">
              <w:rPr>
                <w:rFonts w:ascii="Arial" w:eastAsia="Times New Roman" w:hAnsi="Arial" w:cs="Arial"/>
                <w:b/>
                <w:spacing w:val="-2"/>
                <w:sz w:val="18"/>
                <w:lang w:val="hr-HR"/>
              </w:rPr>
              <w:t>STEPEN</w:t>
            </w:r>
          </w:p>
        </w:tc>
        <w:tc>
          <w:tcPr>
            <w:tcW w:w="3574" w:type="dxa"/>
          </w:tcPr>
          <w:p w14:paraId="79540A5A" w14:textId="77777777" w:rsidR="00156696" w:rsidRPr="008E642F" w:rsidRDefault="00156696" w:rsidP="00156696">
            <w:pPr>
              <w:widowControl w:val="0"/>
              <w:autoSpaceDE w:val="0"/>
              <w:autoSpaceDN w:val="0"/>
              <w:spacing w:line="360" w:lineRule="auto"/>
              <w:ind w:left="1116"/>
              <w:rPr>
                <w:rFonts w:ascii="Arial" w:eastAsia="Times New Roman" w:hAnsi="Arial" w:cs="Arial"/>
                <w:b/>
                <w:sz w:val="18"/>
                <w:lang w:val="hr-HR"/>
              </w:rPr>
            </w:pPr>
            <w:r w:rsidRPr="008E642F">
              <w:rPr>
                <w:rFonts w:ascii="Arial" w:eastAsia="Times New Roman" w:hAnsi="Arial" w:cs="Arial"/>
                <w:b/>
                <w:sz w:val="18"/>
                <w:lang w:val="hr-HR"/>
              </w:rPr>
              <w:t>TIP</w:t>
            </w:r>
            <w:r w:rsidRPr="008E642F">
              <w:rPr>
                <w:rFonts w:ascii="Arial" w:eastAsia="Times New Roman" w:hAnsi="Arial" w:cs="Arial"/>
                <w:b/>
                <w:spacing w:val="-6"/>
                <w:sz w:val="18"/>
                <w:lang w:val="hr-HR"/>
              </w:rPr>
              <w:t xml:space="preserve"> </w:t>
            </w:r>
            <w:r w:rsidRPr="008E642F">
              <w:rPr>
                <w:rFonts w:ascii="Arial" w:eastAsia="Times New Roman" w:hAnsi="Arial" w:cs="Arial"/>
                <w:b/>
                <w:spacing w:val="-2"/>
                <w:sz w:val="18"/>
                <w:lang w:val="hr-HR"/>
              </w:rPr>
              <w:t>PROCESA</w:t>
            </w:r>
          </w:p>
        </w:tc>
        <w:tc>
          <w:tcPr>
            <w:tcW w:w="3799" w:type="dxa"/>
          </w:tcPr>
          <w:p w14:paraId="281E160F" w14:textId="77777777" w:rsidR="00156696" w:rsidRPr="008E642F" w:rsidRDefault="00156696" w:rsidP="00156696">
            <w:pPr>
              <w:widowControl w:val="0"/>
              <w:autoSpaceDE w:val="0"/>
              <w:autoSpaceDN w:val="0"/>
              <w:spacing w:line="360" w:lineRule="auto"/>
              <w:ind w:left="5"/>
              <w:rPr>
                <w:rFonts w:ascii="Arial" w:eastAsia="Times New Roman" w:hAnsi="Arial" w:cs="Arial"/>
                <w:b/>
                <w:sz w:val="18"/>
                <w:lang w:val="hr-HR"/>
              </w:rPr>
            </w:pPr>
            <w:r w:rsidRPr="008E642F">
              <w:rPr>
                <w:rFonts w:ascii="Arial" w:eastAsia="Times New Roman" w:hAnsi="Arial" w:cs="Arial"/>
                <w:b/>
                <w:spacing w:val="-4"/>
                <w:sz w:val="18"/>
                <w:lang w:val="hr-HR"/>
              </w:rPr>
              <w:t>CILJ</w:t>
            </w:r>
          </w:p>
        </w:tc>
      </w:tr>
      <w:tr w:rsidR="00156696" w:rsidRPr="00EF689B" w14:paraId="1ACCBB81" w14:textId="77777777" w:rsidTr="009A0599">
        <w:trPr>
          <w:trHeight w:val="460"/>
        </w:trPr>
        <w:tc>
          <w:tcPr>
            <w:tcW w:w="2203" w:type="dxa"/>
          </w:tcPr>
          <w:p w14:paraId="4972AE3B" w14:textId="77777777" w:rsidR="00156696" w:rsidRPr="008E642F" w:rsidRDefault="00156696" w:rsidP="00156696">
            <w:pPr>
              <w:widowControl w:val="0"/>
              <w:autoSpaceDE w:val="0"/>
              <w:autoSpaceDN w:val="0"/>
              <w:spacing w:before="113" w:line="360" w:lineRule="auto"/>
              <w:ind w:left="107"/>
              <w:rPr>
                <w:rFonts w:ascii="Arial" w:eastAsia="Times New Roman" w:hAnsi="Arial" w:cs="Arial"/>
                <w:b/>
                <w:sz w:val="18"/>
                <w:lang w:val="hr-HR"/>
              </w:rPr>
            </w:pPr>
            <w:r w:rsidRPr="008E642F">
              <w:rPr>
                <w:rFonts w:ascii="Arial" w:eastAsia="Times New Roman" w:hAnsi="Arial" w:cs="Arial"/>
                <w:b/>
                <w:spacing w:val="-2"/>
                <w:sz w:val="18"/>
                <w:lang w:val="hr-HR"/>
              </w:rPr>
              <w:t>Kondicioniranje</w:t>
            </w:r>
          </w:p>
        </w:tc>
        <w:tc>
          <w:tcPr>
            <w:tcW w:w="3574" w:type="dxa"/>
          </w:tcPr>
          <w:p w14:paraId="4F92F80E" w14:textId="77777777" w:rsidR="00156696" w:rsidRPr="008E642F" w:rsidRDefault="00156696" w:rsidP="00156696">
            <w:pPr>
              <w:widowControl w:val="0"/>
              <w:autoSpaceDE w:val="0"/>
              <w:autoSpaceDN w:val="0"/>
              <w:spacing w:line="360" w:lineRule="auto"/>
              <w:ind w:left="107"/>
              <w:rPr>
                <w:rFonts w:ascii="Arial" w:eastAsia="Times New Roman" w:hAnsi="Arial" w:cs="Arial"/>
                <w:sz w:val="18"/>
                <w:lang w:val="hr-HR"/>
              </w:rPr>
            </w:pPr>
            <w:r w:rsidRPr="008E642F">
              <w:rPr>
                <w:rFonts w:ascii="Arial" w:eastAsia="Times New Roman" w:hAnsi="Arial" w:cs="Arial"/>
                <w:sz w:val="18"/>
                <w:lang w:val="hr-HR"/>
              </w:rPr>
              <w:t>Hemijsko</w:t>
            </w:r>
            <w:r w:rsidRPr="008E642F">
              <w:rPr>
                <w:rFonts w:ascii="Arial" w:eastAsia="Times New Roman" w:hAnsi="Arial" w:cs="Arial"/>
                <w:spacing w:val="-9"/>
                <w:sz w:val="18"/>
                <w:lang w:val="hr-HR"/>
              </w:rPr>
              <w:t xml:space="preserve"> </w:t>
            </w:r>
            <w:r w:rsidRPr="008E642F">
              <w:rPr>
                <w:rFonts w:ascii="Arial" w:eastAsia="Times New Roman" w:hAnsi="Arial" w:cs="Arial"/>
                <w:spacing w:val="-2"/>
                <w:sz w:val="18"/>
                <w:lang w:val="hr-HR"/>
              </w:rPr>
              <w:t>kondicioniranje</w:t>
            </w:r>
          </w:p>
          <w:p w14:paraId="54431D22" w14:textId="77777777" w:rsidR="00156696" w:rsidRPr="008E642F" w:rsidRDefault="00156696" w:rsidP="00156696">
            <w:pPr>
              <w:widowControl w:val="0"/>
              <w:autoSpaceDE w:val="0"/>
              <w:autoSpaceDN w:val="0"/>
              <w:spacing w:line="360" w:lineRule="auto"/>
              <w:ind w:left="107"/>
              <w:rPr>
                <w:rFonts w:ascii="Arial" w:eastAsia="Times New Roman" w:hAnsi="Arial" w:cs="Arial"/>
                <w:sz w:val="18"/>
                <w:lang w:val="hr-HR"/>
              </w:rPr>
            </w:pPr>
            <w:r w:rsidRPr="008E642F">
              <w:rPr>
                <w:rFonts w:ascii="Arial" w:eastAsia="Times New Roman" w:hAnsi="Arial" w:cs="Arial"/>
                <w:sz w:val="18"/>
                <w:lang w:val="hr-HR"/>
              </w:rPr>
              <w:t>Termičko</w:t>
            </w:r>
            <w:r w:rsidRPr="008E642F">
              <w:rPr>
                <w:rFonts w:ascii="Arial" w:eastAsia="Times New Roman" w:hAnsi="Arial" w:cs="Arial"/>
                <w:spacing w:val="-8"/>
                <w:sz w:val="18"/>
                <w:lang w:val="hr-HR"/>
              </w:rPr>
              <w:t xml:space="preserve"> </w:t>
            </w:r>
            <w:r w:rsidRPr="008E642F">
              <w:rPr>
                <w:rFonts w:ascii="Arial" w:eastAsia="Times New Roman" w:hAnsi="Arial" w:cs="Arial"/>
                <w:spacing w:val="-2"/>
                <w:sz w:val="18"/>
                <w:lang w:val="hr-HR"/>
              </w:rPr>
              <w:t>kondicioniranje</w:t>
            </w:r>
          </w:p>
        </w:tc>
        <w:tc>
          <w:tcPr>
            <w:tcW w:w="3799" w:type="dxa"/>
          </w:tcPr>
          <w:p w14:paraId="2DC17858" w14:textId="77777777" w:rsidR="00156696" w:rsidRPr="008E642F" w:rsidRDefault="00156696" w:rsidP="00A23ED0">
            <w:pPr>
              <w:widowControl w:val="0"/>
              <w:numPr>
                <w:ilvl w:val="0"/>
                <w:numId w:val="74"/>
              </w:numPr>
              <w:tabs>
                <w:tab w:val="left" w:pos="283"/>
              </w:tabs>
              <w:autoSpaceDE w:val="0"/>
              <w:autoSpaceDN w:val="0"/>
              <w:spacing w:line="360" w:lineRule="auto"/>
              <w:ind w:hanging="283"/>
              <w:rPr>
                <w:rFonts w:ascii="Arial" w:eastAsia="Times New Roman" w:hAnsi="Arial" w:cs="Arial"/>
                <w:sz w:val="18"/>
                <w:lang w:val="hr-HR"/>
              </w:rPr>
            </w:pPr>
            <w:r w:rsidRPr="008E642F">
              <w:rPr>
                <w:rFonts w:ascii="Arial" w:eastAsia="Times New Roman" w:hAnsi="Arial" w:cs="Arial"/>
                <w:sz w:val="18"/>
                <w:lang w:val="hr-HR"/>
              </w:rPr>
              <w:t>Modifikacija</w:t>
            </w:r>
            <w:r w:rsidRPr="008E642F">
              <w:rPr>
                <w:rFonts w:ascii="Arial" w:eastAsia="Times New Roman" w:hAnsi="Arial" w:cs="Arial"/>
                <w:spacing w:val="-11"/>
                <w:sz w:val="18"/>
                <w:lang w:val="hr-HR"/>
              </w:rPr>
              <w:t xml:space="preserve"> </w:t>
            </w:r>
            <w:r w:rsidRPr="008E642F">
              <w:rPr>
                <w:rFonts w:ascii="Arial" w:eastAsia="Times New Roman" w:hAnsi="Arial" w:cs="Arial"/>
                <w:sz w:val="18"/>
                <w:lang w:val="hr-HR"/>
              </w:rPr>
              <w:t>strukture</w:t>
            </w:r>
            <w:r w:rsidRPr="008E642F">
              <w:rPr>
                <w:rFonts w:ascii="Arial" w:eastAsia="Times New Roman" w:hAnsi="Arial" w:cs="Arial"/>
                <w:spacing w:val="-8"/>
                <w:sz w:val="18"/>
                <w:lang w:val="hr-HR"/>
              </w:rPr>
              <w:t xml:space="preserve"> </w:t>
            </w:r>
            <w:r w:rsidRPr="008E642F">
              <w:rPr>
                <w:rFonts w:ascii="Arial" w:eastAsia="Times New Roman" w:hAnsi="Arial" w:cs="Arial"/>
                <w:spacing w:val="-4"/>
                <w:sz w:val="18"/>
                <w:lang w:val="hr-HR"/>
              </w:rPr>
              <w:t>mulja</w:t>
            </w:r>
          </w:p>
          <w:p w14:paraId="72329D62" w14:textId="77777777" w:rsidR="00156696" w:rsidRPr="008E642F" w:rsidRDefault="00156696" w:rsidP="00A23ED0">
            <w:pPr>
              <w:widowControl w:val="0"/>
              <w:numPr>
                <w:ilvl w:val="0"/>
                <w:numId w:val="74"/>
              </w:numPr>
              <w:tabs>
                <w:tab w:val="left" w:pos="283"/>
              </w:tabs>
              <w:autoSpaceDE w:val="0"/>
              <w:autoSpaceDN w:val="0"/>
              <w:spacing w:line="360" w:lineRule="auto"/>
              <w:ind w:hanging="283"/>
              <w:rPr>
                <w:rFonts w:ascii="Arial" w:eastAsia="Times New Roman" w:hAnsi="Arial" w:cs="Arial"/>
                <w:sz w:val="18"/>
                <w:lang w:val="hr-HR"/>
              </w:rPr>
            </w:pPr>
            <w:r w:rsidRPr="008E642F">
              <w:rPr>
                <w:rFonts w:ascii="Arial" w:eastAsia="Times New Roman" w:hAnsi="Arial" w:cs="Arial"/>
                <w:sz w:val="18"/>
                <w:lang w:val="hr-HR"/>
              </w:rPr>
              <w:t>Poboljšanje</w:t>
            </w:r>
            <w:r w:rsidRPr="008E642F">
              <w:rPr>
                <w:rFonts w:ascii="Arial" w:eastAsia="Times New Roman" w:hAnsi="Arial" w:cs="Arial"/>
                <w:spacing w:val="-7"/>
                <w:sz w:val="18"/>
                <w:lang w:val="hr-HR"/>
              </w:rPr>
              <w:t xml:space="preserve"> </w:t>
            </w:r>
            <w:r w:rsidRPr="008E642F">
              <w:rPr>
                <w:rFonts w:ascii="Arial" w:eastAsia="Times New Roman" w:hAnsi="Arial" w:cs="Arial"/>
                <w:sz w:val="18"/>
                <w:lang w:val="hr-HR"/>
              </w:rPr>
              <w:t>dalje</w:t>
            </w:r>
            <w:r w:rsidRPr="008E642F">
              <w:rPr>
                <w:rFonts w:ascii="Arial" w:eastAsia="Times New Roman" w:hAnsi="Arial" w:cs="Arial"/>
                <w:spacing w:val="-5"/>
                <w:sz w:val="18"/>
                <w:lang w:val="hr-HR"/>
              </w:rPr>
              <w:t xml:space="preserve"> </w:t>
            </w:r>
            <w:r w:rsidRPr="008E642F">
              <w:rPr>
                <w:rFonts w:ascii="Arial" w:eastAsia="Times New Roman" w:hAnsi="Arial" w:cs="Arial"/>
                <w:spacing w:val="-2"/>
                <w:sz w:val="18"/>
                <w:lang w:val="hr-HR"/>
              </w:rPr>
              <w:t>obrade</w:t>
            </w:r>
          </w:p>
        </w:tc>
      </w:tr>
      <w:tr w:rsidR="00156696" w:rsidRPr="00EF689B" w14:paraId="509626B8" w14:textId="77777777" w:rsidTr="009A0599">
        <w:trPr>
          <w:trHeight w:val="921"/>
        </w:trPr>
        <w:tc>
          <w:tcPr>
            <w:tcW w:w="2203" w:type="dxa"/>
          </w:tcPr>
          <w:p w14:paraId="3B4203ED" w14:textId="77777777" w:rsidR="00156696" w:rsidRPr="008E642F" w:rsidRDefault="00156696" w:rsidP="00156696">
            <w:pPr>
              <w:widowControl w:val="0"/>
              <w:autoSpaceDE w:val="0"/>
              <w:autoSpaceDN w:val="0"/>
              <w:spacing w:before="113" w:line="360" w:lineRule="auto"/>
              <w:rPr>
                <w:rFonts w:ascii="Arial" w:eastAsia="Times New Roman" w:hAnsi="Arial" w:cs="Arial"/>
                <w:sz w:val="18"/>
                <w:lang w:val="hr-HR"/>
              </w:rPr>
            </w:pPr>
          </w:p>
          <w:p w14:paraId="6E9D808C" w14:textId="77777777" w:rsidR="00156696" w:rsidRPr="008E642F" w:rsidRDefault="00156696" w:rsidP="00156696">
            <w:pPr>
              <w:widowControl w:val="0"/>
              <w:autoSpaceDE w:val="0"/>
              <w:autoSpaceDN w:val="0"/>
              <w:spacing w:line="360" w:lineRule="auto"/>
              <w:ind w:left="107"/>
              <w:rPr>
                <w:rFonts w:ascii="Arial" w:eastAsia="Times New Roman" w:hAnsi="Arial" w:cs="Arial"/>
                <w:b/>
                <w:sz w:val="18"/>
                <w:lang w:val="hr-HR"/>
              </w:rPr>
            </w:pPr>
            <w:r w:rsidRPr="008E642F">
              <w:rPr>
                <w:rFonts w:ascii="Arial" w:eastAsia="Times New Roman" w:hAnsi="Arial" w:cs="Arial"/>
                <w:b/>
                <w:spacing w:val="-2"/>
                <w:sz w:val="18"/>
                <w:lang w:val="hr-HR"/>
              </w:rPr>
              <w:t>Zgušnjavanje</w:t>
            </w:r>
          </w:p>
        </w:tc>
        <w:tc>
          <w:tcPr>
            <w:tcW w:w="3574" w:type="dxa"/>
          </w:tcPr>
          <w:p w14:paraId="2B5978D1" w14:textId="77777777" w:rsidR="00156696" w:rsidRPr="008E642F" w:rsidRDefault="00156696" w:rsidP="00156696">
            <w:pPr>
              <w:widowControl w:val="0"/>
              <w:autoSpaceDE w:val="0"/>
              <w:autoSpaceDN w:val="0"/>
              <w:spacing w:before="108" w:line="360" w:lineRule="auto"/>
              <w:ind w:left="107" w:right="294"/>
              <w:rPr>
                <w:rFonts w:ascii="Arial" w:eastAsia="Times New Roman" w:hAnsi="Arial" w:cs="Arial"/>
                <w:sz w:val="18"/>
                <w:lang w:val="hr-HR"/>
              </w:rPr>
            </w:pPr>
            <w:r w:rsidRPr="008E642F">
              <w:rPr>
                <w:rFonts w:ascii="Arial" w:eastAsia="Times New Roman" w:hAnsi="Arial" w:cs="Arial"/>
                <w:sz w:val="18"/>
                <w:lang w:val="hr-HR"/>
              </w:rPr>
              <w:t>Gravitaciono zgušnjavanje Gravitaciono</w:t>
            </w:r>
            <w:r w:rsidRPr="008E642F">
              <w:rPr>
                <w:rFonts w:ascii="Arial" w:eastAsia="Times New Roman" w:hAnsi="Arial" w:cs="Arial"/>
                <w:spacing w:val="-13"/>
                <w:sz w:val="18"/>
                <w:lang w:val="hr-HR"/>
              </w:rPr>
              <w:t xml:space="preserve"> </w:t>
            </w:r>
            <w:r w:rsidRPr="008E642F">
              <w:rPr>
                <w:rFonts w:ascii="Arial" w:eastAsia="Times New Roman" w:hAnsi="Arial" w:cs="Arial"/>
                <w:sz w:val="18"/>
                <w:lang w:val="hr-HR"/>
              </w:rPr>
              <w:t>trakasto</w:t>
            </w:r>
            <w:r w:rsidRPr="008E642F">
              <w:rPr>
                <w:rFonts w:ascii="Arial" w:eastAsia="Times New Roman" w:hAnsi="Arial" w:cs="Arial"/>
                <w:spacing w:val="-12"/>
                <w:sz w:val="18"/>
                <w:lang w:val="hr-HR"/>
              </w:rPr>
              <w:t xml:space="preserve"> </w:t>
            </w:r>
            <w:r w:rsidRPr="008E642F">
              <w:rPr>
                <w:rFonts w:ascii="Arial" w:eastAsia="Times New Roman" w:hAnsi="Arial" w:cs="Arial"/>
                <w:sz w:val="18"/>
                <w:lang w:val="hr-HR"/>
              </w:rPr>
              <w:t>ugušćivanje Flotacija rastvorenim vazduhom</w:t>
            </w:r>
          </w:p>
        </w:tc>
        <w:tc>
          <w:tcPr>
            <w:tcW w:w="3799" w:type="dxa"/>
          </w:tcPr>
          <w:p w14:paraId="227CAA71" w14:textId="77777777" w:rsidR="00156696" w:rsidRPr="008E642F" w:rsidRDefault="00156696" w:rsidP="00A23ED0">
            <w:pPr>
              <w:widowControl w:val="0"/>
              <w:numPr>
                <w:ilvl w:val="0"/>
                <w:numId w:val="75"/>
              </w:numPr>
              <w:tabs>
                <w:tab w:val="left" w:pos="281"/>
                <w:tab w:val="left" w:pos="283"/>
              </w:tabs>
              <w:autoSpaceDE w:val="0"/>
              <w:autoSpaceDN w:val="0"/>
              <w:spacing w:line="360" w:lineRule="auto"/>
              <w:ind w:right="96"/>
              <w:rPr>
                <w:rFonts w:ascii="Arial" w:eastAsia="Times New Roman" w:hAnsi="Arial" w:cs="Arial"/>
                <w:sz w:val="18"/>
                <w:lang w:val="hr-HR"/>
              </w:rPr>
            </w:pPr>
            <w:r w:rsidRPr="008E642F">
              <w:rPr>
                <w:rFonts w:ascii="Arial" w:eastAsia="Times New Roman" w:hAnsi="Arial" w:cs="Arial"/>
                <w:sz w:val="18"/>
                <w:lang w:val="hr-HR"/>
              </w:rPr>
              <w:t xml:space="preserve">Postiže se dovoljna gustina, jačina i čvrstoća kako bi se omogućilo dalje </w:t>
            </w:r>
            <w:r w:rsidRPr="008E642F">
              <w:rPr>
                <w:rFonts w:ascii="Arial" w:eastAsia="Times New Roman" w:hAnsi="Arial" w:cs="Arial"/>
                <w:spacing w:val="-2"/>
                <w:sz w:val="18"/>
                <w:lang w:val="hr-HR"/>
              </w:rPr>
              <w:t>odlaganje</w:t>
            </w:r>
          </w:p>
          <w:p w14:paraId="23A37397" w14:textId="77777777" w:rsidR="00156696" w:rsidRPr="008E642F" w:rsidRDefault="00156696" w:rsidP="00A23ED0">
            <w:pPr>
              <w:widowControl w:val="0"/>
              <w:numPr>
                <w:ilvl w:val="0"/>
                <w:numId w:val="75"/>
              </w:numPr>
              <w:tabs>
                <w:tab w:val="left" w:pos="282"/>
              </w:tabs>
              <w:autoSpaceDE w:val="0"/>
              <w:autoSpaceDN w:val="0"/>
              <w:spacing w:line="360" w:lineRule="auto"/>
              <w:ind w:left="282" w:hanging="282"/>
              <w:rPr>
                <w:rFonts w:ascii="Arial" w:eastAsia="Times New Roman" w:hAnsi="Arial" w:cs="Arial"/>
                <w:sz w:val="18"/>
                <w:lang w:val="hr-HR"/>
              </w:rPr>
            </w:pPr>
            <w:r w:rsidRPr="008E642F">
              <w:rPr>
                <w:rFonts w:ascii="Arial" w:eastAsia="Times New Roman" w:hAnsi="Arial" w:cs="Arial"/>
                <w:sz w:val="18"/>
                <w:lang w:val="hr-HR"/>
              </w:rPr>
              <w:t>Smanjenje</w:t>
            </w:r>
            <w:r w:rsidRPr="008E642F">
              <w:rPr>
                <w:rFonts w:ascii="Arial" w:eastAsia="Times New Roman" w:hAnsi="Arial" w:cs="Arial"/>
                <w:spacing w:val="-5"/>
                <w:sz w:val="18"/>
                <w:lang w:val="hr-HR"/>
              </w:rPr>
              <w:t xml:space="preserve"> </w:t>
            </w:r>
            <w:r w:rsidRPr="008E642F">
              <w:rPr>
                <w:rFonts w:ascii="Arial" w:eastAsia="Times New Roman" w:hAnsi="Arial" w:cs="Arial"/>
                <w:sz w:val="18"/>
                <w:lang w:val="hr-HR"/>
              </w:rPr>
              <w:t>sadržaja</w:t>
            </w:r>
            <w:r w:rsidRPr="008E642F">
              <w:rPr>
                <w:rFonts w:ascii="Arial" w:eastAsia="Times New Roman" w:hAnsi="Arial" w:cs="Arial"/>
                <w:spacing w:val="-6"/>
                <w:sz w:val="18"/>
                <w:lang w:val="hr-HR"/>
              </w:rPr>
              <w:t xml:space="preserve"> </w:t>
            </w:r>
            <w:r w:rsidRPr="008E642F">
              <w:rPr>
                <w:rFonts w:ascii="Arial" w:eastAsia="Times New Roman" w:hAnsi="Arial" w:cs="Arial"/>
                <w:sz w:val="18"/>
                <w:lang w:val="hr-HR"/>
              </w:rPr>
              <w:t>vode</w:t>
            </w:r>
            <w:r w:rsidRPr="008E642F">
              <w:rPr>
                <w:rFonts w:ascii="Arial" w:eastAsia="Times New Roman" w:hAnsi="Arial" w:cs="Arial"/>
                <w:spacing w:val="-5"/>
                <w:sz w:val="18"/>
                <w:lang w:val="hr-HR"/>
              </w:rPr>
              <w:t xml:space="preserve"> </w:t>
            </w:r>
            <w:r w:rsidRPr="008E642F">
              <w:rPr>
                <w:rFonts w:ascii="Arial" w:eastAsia="Times New Roman" w:hAnsi="Arial" w:cs="Arial"/>
                <w:sz w:val="18"/>
                <w:lang w:val="hr-HR"/>
              </w:rPr>
              <w:t>u</w:t>
            </w:r>
            <w:r w:rsidRPr="008E642F">
              <w:rPr>
                <w:rFonts w:ascii="Arial" w:eastAsia="Times New Roman" w:hAnsi="Arial" w:cs="Arial"/>
                <w:spacing w:val="-3"/>
                <w:sz w:val="18"/>
                <w:lang w:val="hr-HR"/>
              </w:rPr>
              <w:t xml:space="preserve"> </w:t>
            </w:r>
            <w:r w:rsidRPr="008E642F">
              <w:rPr>
                <w:rFonts w:ascii="Arial" w:eastAsia="Times New Roman" w:hAnsi="Arial" w:cs="Arial"/>
                <w:spacing w:val="-4"/>
                <w:sz w:val="18"/>
                <w:lang w:val="hr-HR"/>
              </w:rPr>
              <w:t>mulju</w:t>
            </w:r>
          </w:p>
        </w:tc>
      </w:tr>
      <w:tr w:rsidR="00156696" w:rsidRPr="00EF689B" w14:paraId="0B8C8D72" w14:textId="77777777" w:rsidTr="009A0599">
        <w:trPr>
          <w:trHeight w:val="918"/>
        </w:trPr>
        <w:tc>
          <w:tcPr>
            <w:tcW w:w="2203" w:type="dxa"/>
          </w:tcPr>
          <w:p w14:paraId="2B5849E5" w14:textId="77777777" w:rsidR="00156696" w:rsidRPr="008E642F" w:rsidRDefault="00156696" w:rsidP="00156696">
            <w:pPr>
              <w:widowControl w:val="0"/>
              <w:autoSpaceDE w:val="0"/>
              <w:autoSpaceDN w:val="0"/>
              <w:spacing w:before="113" w:line="360" w:lineRule="auto"/>
              <w:rPr>
                <w:rFonts w:ascii="Arial" w:eastAsia="Times New Roman" w:hAnsi="Arial" w:cs="Arial"/>
                <w:sz w:val="18"/>
                <w:lang w:val="hr-HR"/>
              </w:rPr>
            </w:pPr>
          </w:p>
          <w:p w14:paraId="7517A2FD" w14:textId="77777777" w:rsidR="00156696" w:rsidRPr="008E642F" w:rsidRDefault="00156696" w:rsidP="00156696">
            <w:pPr>
              <w:widowControl w:val="0"/>
              <w:autoSpaceDE w:val="0"/>
              <w:autoSpaceDN w:val="0"/>
              <w:spacing w:line="360" w:lineRule="auto"/>
              <w:ind w:left="107"/>
              <w:rPr>
                <w:rFonts w:ascii="Arial" w:eastAsia="Times New Roman" w:hAnsi="Arial" w:cs="Arial"/>
                <w:b/>
                <w:sz w:val="18"/>
                <w:lang w:val="hr-HR"/>
              </w:rPr>
            </w:pPr>
            <w:r w:rsidRPr="008E642F">
              <w:rPr>
                <w:rFonts w:ascii="Arial" w:eastAsia="Times New Roman" w:hAnsi="Arial" w:cs="Arial"/>
                <w:b/>
                <w:sz w:val="18"/>
                <w:lang w:val="hr-HR"/>
              </w:rPr>
              <w:t>Izdvajanje</w:t>
            </w:r>
            <w:r w:rsidRPr="008E642F">
              <w:rPr>
                <w:rFonts w:ascii="Arial" w:eastAsia="Times New Roman" w:hAnsi="Arial" w:cs="Arial"/>
                <w:b/>
                <w:spacing w:val="-8"/>
                <w:sz w:val="18"/>
                <w:lang w:val="hr-HR"/>
              </w:rPr>
              <w:t xml:space="preserve"> </w:t>
            </w:r>
            <w:r w:rsidRPr="008E642F">
              <w:rPr>
                <w:rFonts w:ascii="Arial" w:eastAsia="Times New Roman" w:hAnsi="Arial" w:cs="Arial"/>
                <w:b/>
                <w:spacing w:val="-4"/>
                <w:sz w:val="18"/>
                <w:lang w:val="hr-HR"/>
              </w:rPr>
              <w:t>vode</w:t>
            </w:r>
          </w:p>
        </w:tc>
        <w:tc>
          <w:tcPr>
            <w:tcW w:w="3574" w:type="dxa"/>
          </w:tcPr>
          <w:p w14:paraId="26D4CB15" w14:textId="77777777" w:rsidR="00156696" w:rsidRPr="008E642F" w:rsidRDefault="00156696" w:rsidP="008E642F">
            <w:pPr>
              <w:widowControl w:val="0"/>
              <w:autoSpaceDE w:val="0"/>
              <w:autoSpaceDN w:val="0"/>
              <w:spacing w:line="360" w:lineRule="auto"/>
              <w:ind w:left="107"/>
              <w:rPr>
                <w:rFonts w:ascii="Arial" w:eastAsia="Times New Roman" w:hAnsi="Arial" w:cs="Arial"/>
                <w:sz w:val="18"/>
                <w:lang w:val="hr-HR"/>
              </w:rPr>
            </w:pPr>
            <w:r w:rsidRPr="008E642F">
              <w:rPr>
                <w:rFonts w:ascii="Arial" w:eastAsia="Times New Roman" w:hAnsi="Arial" w:cs="Arial"/>
                <w:sz w:val="18"/>
                <w:lang w:val="hr-HR"/>
              </w:rPr>
              <w:t>Sušenje</w:t>
            </w:r>
            <w:r w:rsidRPr="008E642F">
              <w:rPr>
                <w:rFonts w:ascii="Arial" w:eastAsia="Times New Roman" w:hAnsi="Arial" w:cs="Arial"/>
                <w:spacing w:val="-13"/>
                <w:sz w:val="18"/>
                <w:lang w:val="hr-HR"/>
              </w:rPr>
              <w:t xml:space="preserve"> </w:t>
            </w:r>
            <w:r w:rsidRPr="008E642F">
              <w:rPr>
                <w:rFonts w:ascii="Arial" w:eastAsia="Times New Roman" w:hAnsi="Arial" w:cs="Arial"/>
                <w:sz w:val="18"/>
                <w:lang w:val="hr-HR"/>
              </w:rPr>
              <w:t>na</w:t>
            </w:r>
            <w:r w:rsidRPr="008E642F">
              <w:rPr>
                <w:rFonts w:ascii="Arial" w:eastAsia="Times New Roman" w:hAnsi="Arial" w:cs="Arial"/>
                <w:spacing w:val="-12"/>
                <w:sz w:val="18"/>
                <w:lang w:val="hr-HR"/>
              </w:rPr>
              <w:t xml:space="preserve"> </w:t>
            </w:r>
            <w:r w:rsidRPr="008E642F">
              <w:rPr>
                <w:rFonts w:ascii="Arial" w:eastAsia="Times New Roman" w:hAnsi="Arial" w:cs="Arial"/>
                <w:sz w:val="18"/>
                <w:lang w:val="hr-HR"/>
              </w:rPr>
              <w:t xml:space="preserve">poljima </w:t>
            </w:r>
          </w:p>
          <w:p w14:paraId="4C7FB22E" w14:textId="77777777" w:rsidR="00156696" w:rsidRPr="008E642F" w:rsidRDefault="00156696" w:rsidP="008E642F">
            <w:pPr>
              <w:widowControl w:val="0"/>
              <w:autoSpaceDE w:val="0"/>
              <w:autoSpaceDN w:val="0"/>
              <w:spacing w:line="360" w:lineRule="auto"/>
              <w:ind w:left="107"/>
              <w:rPr>
                <w:rFonts w:ascii="Arial" w:eastAsia="Times New Roman" w:hAnsi="Arial" w:cs="Arial"/>
                <w:spacing w:val="-2"/>
                <w:sz w:val="18"/>
                <w:lang w:val="sr-Latn-ME"/>
              </w:rPr>
            </w:pPr>
            <w:r w:rsidRPr="008E642F">
              <w:rPr>
                <w:rFonts w:ascii="Arial" w:eastAsia="Times New Roman" w:hAnsi="Arial" w:cs="Arial"/>
                <w:spacing w:val="-2"/>
                <w:sz w:val="18"/>
                <w:lang w:val="hr-HR"/>
              </w:rPr>
              <w:t>Su</w:t>
            </w:r>
            <w:r w:rsidRPr="008E642F">
              <w:rPr>
                <w:rFonts w:ascii="Arial" w:eastAsia="Times New Roman" w:hAnsi="Arial" w:cs="Arial"/>
                <w:spacing w:val="-2"/>
                <w:sz w:val="18"/>
                <w:lang w:val="sr-Latn-ME"/>
              </w:rPr>
              <w:t>šenje u solarnim staklenicima</w:t>
            </w:r>
          </w:p>
          <w:p w14:paraId="59E36879" w14:textId="77777777" w:rsidR="00156696" w:rsidRPr="008E642F" w:rsidRDefault="00156696" w:rsidP="008E642F">
            <w:pPr>
              <w:widowControl w:val="0"/>
              <w:autoSpaceDE w:val="0"/>
              <w:autoSpaceDN w:val="0"/>
              <w:spacing w:line="360" w:lineRule="auto"/>
              <w:ind w:left="107"/>
              <w:rPr>
                <w:rFonts w:ascii="Arial" w:eastAsia="Times New Roman" w:hAnsi="Arial" w:cs="Arial"/>
                <w:sz w:val="18"/>
                <w:lang w:val="hr-HR"/>
              </w:rPr>
            </w:pPr>
            <w:r w:rsidRPr="008E642F">
              <w:rPr>
                <w:rFonts w:ascii="Arial" w:eastAsia="Times New Roman" w:hAnsi="Arial" w:cs="Arial"/>
                <w:spacing w:val="-2"/>
                <w:sz w:val="18"/>
                <w:lang w:val="hr-HR"/>
              </w:rPr>
              <w:t>Centrifugiranje</w:t>
            </w:r>
          </w:p>
          <w:p w14:paraId="042BDB07" w14:textId="77777777" w:rsidR="00156696" w:rsidRPr="008E642F" w:rsidRDefault="00156696" w:rsidP="008E642F">
            <w:pPr>
              <w:widowControl w:val="0"/>
              <w:autoSpaceDE w:val="0"/>
              <w:autoSpaceDN w:val="0"/>
              <w:spacing w:line="360" w:lineRule="auto"/>
              <w:ind w:left="107"/>
              <w:rPr>
                <w:rFonts w:ascii="Arial" w:eastAsia="Times New Roman" w:hAnsi="Arial" w:cs="Arial"/>
                <w:sz w:val="18"/>
                <w:lang w:val="hr-HR"/>
              </w:rPr>
            </w:pPr>
            <w:r w:rsidRPr="008E642F">
              <w:rPr>
                <w:rFonts w:ascii="Arial" w:eastAsia="Times New Roman" w:hAnsi="Arial" w:cs="Arial"/>
                <w:sz w:val="18"/>
                <w:lang w:val="hr-HR"/>
              </w:rPr>
              <w:t>Obrada</w:t>
            </w:r>
            <w:r w:rsidRPr="008E642F">
              <w:rPr>
                <w:rFonts w:ascii="Arial" w:eastAsia="Times New Roman" w:hAnsi="Arial" w:cs="Arial"/>
                <w:spacing w:val="-13"/>
                <w:sz w:val="18"/>
                <w:lang w:val="hr-HR"/>
              </w:rPr>
              <w:t xml:space="preserve"> </w:t>
            </w:r>
            <w:r w:rsidRPr="008E642F">
              <w:rPr>
                <w:rFonts w:ascii="Arial" w:eastAsia="Times New Roman" w:hAnsi="Arial" w:cs="Arial"/>
                <w:sz w:val="18"/>
                <w:lang w:val="hr-HR"/>
              </w:rPr>
              <w:t>na</w:t>
            </w:r>
            <w:r w:rsidRPr="008E642F">
              <w:rPr>
                <w:rFonts w:ascii="Arial" w:eastAsia="Times New Roman" w:hAnsi="Arial" w:cs="Arial"/>
                <w:spacing w:val="-12"/>
                <w:sz w:val="18"/>
                <w:lang w:val="hr-HR"/>
              </w:rPr>
              <w:t xml:space="preserve"> </w:t>
            </w:r>
            <w:r w:rsidRPr="008E642F">
              <w:rPr>
                <w:rFonts w:ascii="Arial" w:eastAsia="Times New Roman" w:hAnsi="Arial" w:cs="Arial"/>
                <w:sz w:val="18"/>
                <w:lang w:val="hr-HR"/>
              </w:rPr>
              <w:t>filter</w:t>
            </w:r>
            <w:r w:rsidRPr="008E642F">
              <w:rPr>
                <w:rFonts w:ascii="Arial" w:eastAsia="Times New Roman" w:hAnsi="Arial" w:cs="Arial"/>
                <w:spacing w:val="-13"/>
                <w:sz w:val="18"/>
                <w:lang w:val="hr-HR"/>
              </w:rPr>
              <w:t xml:space="preserve"> </w:t>
            </w:r>
            <w:r w:rsidRPr="008E642F">
              <w:rPr>
                <w:rFonts w:ascii="Arial" w:eastAsia="Times New Roman" w:hAnsi="Arial" w:cs="Arial"/>
                <w:sz w:val="18"/>
                <w:lang w:val="hr-HR"/>
              </w:rPr>
              <w:t>trakama Filter presovanje</w:t>
            </w:r>
          </w:p>
        </w:tc>
        <w:tc>
          <w:tcPr>
            <w:tcW w:w="3799" w:type="dxa"/>
          </w:tcPr>
          <w:p w14:paraId="217E52B1" w14:textId="77777777" w:rsidR="00156696" w:rsidRPr="008E642F" w:rsidRDefault="00156696" w:rsidP="00156696">
            <w:pPr>
              <w:widowControl w:val="0"/>
              <w:autoSpaceDE w:val="0"/>
              <w:autoSpaceDN w:val="0"/>
              <w:spacing w:before="108" w:line="360" w:lineRule="auto"/>
              <w:rPr>
                <w:rFonts w:ascii="Arial" w:eastAsia="Times New Roman" w:hAnsi="Arial" w:cs="Arial"/>
                <w:sz w:val="18"/>
                <w:lang w:val="hr-HR"/>
              </w:rPr>
            </w:pPr>
          </w:p>
          <w:p w14:paraId="06371E28" w14:textId="77777777" w:rsidR="00156696" w:rsidRPr="008E642F" w:rsidRDefault="00156696" w:rsidP="00156696">
            <w:pPr>
              <w:widowControl w:val="0"/>
              <w:tabs>
                <w:tab w:val="left" w:pos="283"/>
              </w:tabs>
              <w:autoSpaceDE w:val="0"/>
              <w:autoSpaceDN w:val="0"/>
              <w:spacing w:line="360" w:lineRule="auto"/>
              <w:rPr>
                <w:rFonts w:ascii="Arial" w:eastAsia="Times New Roman" w:hAnsi="Arial" w:cs="Arial"/>
                <w:sz w:val="18"/>
                <w:lang w:val="hr-HR"/>
              </w:rPr>
            </w:pPr>
            <w:r w:rsidRPr="008E642F">
              <w:rPr>
                <w:rFonts w:ascii="Arial" w:eastAsia="Times New Roman" w:hAnsi="Arial" w:cs="Arial"/>
                <w:spacing w:val="-10"/>
                <w:sz w:val="18"/>
                <w:lang w:val="hr-HR"/>
              </w:rPr>
              <w:t>-</w:t>
            </w:r>
            <w:r w:rsidRPr="008E642F">
              <w:rPr>
                <w:rFonts w:ascii="Arial" w:eastAsia="Times New Roman" w:hAnsi="Arial" w:cs="Arial"/>
                <w:sz w:val="18"/>
                <w:lang w:val="hr-HR"/>
              </w:rPr>
              <w:tab/>
              <w:t>Smanjenje</w:t>
            </w:r>
            <w:r w:rsidRPr="008E642F">
              <w:rPr>
                <w:rFonts w:ascii="Arial" w:eastAsia="Times New Roman" w:hAnsi="Arial" w:cs="Arial"/>
                <w:spacing w:val="-4"/>
                <w:sz w:val="18"/>
                <w:lang w:val="hr-HR"/>
              </w:rPr>
              <w:t xml:space="preserve"> </w:t>
            </w:r>
            <w:r w:rsidRPr="008E642F">
              <w:rPr>
                <w:rFonts w:ascii="Arial" w:eastAsia="Times New Roman" w:hAnsi="Arial" w:cs="Arial"/>
                <w:sz w:val="18"/>
                <w:lang w:val="hr-HR"/>
              </w:rPr>
              <w:t>sadržaja</w:t>
            </w:r>
            <w:r w:rsidRPr="008E642F">
              <w:rPr>
                <w:rFonts w:ascii="Arial" w:eastAsia="Times New Roman" w:hAnsi="Arial" w:cs="Arial"/>
                <w:spacing w:val="-6"/>
                <w:sz w:val="18"/>
                <w:lang w:val="hr-HR"/>
              </w:rPr>
              <w:t xml:space="preserve"> </w:t>
            </w:r>
            <w:r w:rsidRPr="008E642F">
              <w:rPr>
                <w:rFonts w:ascii="Arial" w:eastAsia="Times New Roman" w:hAnsi="Arial" w:cs="Arial"/>
                <w:sz w:val="18"/>
                <w:lang w:val="hr-HR"/>
              </w:rPr>
              <w:t>vode</w:t>
            </w:r>
            <w:r w:rsidRPr="008E642F">
              <w:rPr>
                <w:rFonts w:ascii="Arial" w:eastAsia="Times New Roman" w:hAnsi="Arial" w:cs="Arial"/>
                <w:spacing w:val="-5"/>
                <w:sz w:val="18"/>
                <w:lang w:val="hr-HR"/>
              </w:rPr>
              <w:t xml:space="preserve"> </w:t>
            </w:r>
            <w:r w:rsidRPr="008E642F">
              <w:rPr>
                <w:rFonts w:ascii="Arial" w:eastAsia="Times New Roman" w:hAnsi="Arial" w:cs="Arial"/>
                <w:sz w:val="18"/>
                <w:lang w:val="hr-HR"/>
              </w:rPr>
              <w:t>u</w:t>
            </w:r>
            <w:r w:rsidRPr="008E642F">
              <w:rPr>
                <w:rFonts w:ascii="Arial" w:eastAsia="Times New Roman" w:hAnsi="Arial" w:cs="Arial"/>
                <w:spacing w:val="-3"/>
                <w:sz w:val="18"/>
                <w:lang w:val="hr-HR"/>
              </w:rPr>
              <w:t xml:space="preserve"> </w:t>
            </w:r>
            <w:r w:rsidRPr="008E642F">
              <w:rPr>
                <w:rFonts w:ascii="Arial" w:eastAsia="Times New Roman" w:hAnsi="Arial" w:cs="Arial"/>
                <w:spacing w:val="-4"/>
                <w:sz w:val="18"/>
                <w:lang w:val="hr-HR"/>
              </w:rPr>
              <w:t>mulju</w:t>
            </w:r>
          </w:p>
        </w:tc>
      </w:tr>
      <w:tr w:rsidR="00156696" w:rsidRPr="00EF689B" w14:paraId="1344DB85" w14:textId="77777777" w:rsidTr="009A0599">
        <w:trPr>
          <w:trHeight w:val="2684"/>
        </w:trPr>
        <w:tc>
          <w:tcPr>
            <w:tcW w:w="2203" w:type="dxa"/>
          </w:tcPr>
          <w:p w14:paraId="2A1B08A3" w14:textId="77777777" w:rsidR="00156696" w:rsidRPr="008E642F" w:rsidRDefault="00156696" w:rsidP="00156696">
            <w:pPr>
              <w:widowControl w:val="0"/>
              <w:autoSpaceDE w:val="0"/>
              <w:autoSpaceDN w:val="0"/>
              <w:spacing w:line="360" w:lineRule="auto"/>
              <w:rPr>
                <w:rFonts w:ascii="Arial" w:eastAsia="Times New Roman" w:hAnsi="Arial" w:cs="Arial"/>
                <w:sz w:val="18"/>
                <w:lang w:val="hr-HR"/>
              </w:rPr>
            </w:pPr>
          </w:p>
          <w:p w14:paraId="6A270DDC" w14:textId="77777777" w:rsidR="00156696" w:rsidRPr="008E642F" w:rsidRDefault="00156696" w:rsidP="00156696">
            <w:pPr>
              <w:widowControl w:val="0"/>
              <w:autoSpaceDE w:val="0"/>
              <w:autoSpaceDN w:val="0"/>
              <w:spacing w:line="360" w:lineRule="auto"/>
              <w:rPr>
                <w:rFonts w:ascii="Arial" w:eastAsia="Times New Roman" w:hAnsi="Arial" w:cs="Arial"/>
                <w:sz w:val="18"/>
                <w:lang w:val="hr-HR"/>
              </w:rPr>
            </w:pPr>
          </w:p>
          <w:p w14:paraId="774B970C" w14:textId="77777777" w:rsidR="00156696" w:rsidRPr="008E642F" w:rsidRDefault="00156696" w:rsidP="00156696">
            <w:pPr>
              <w:widowControl w:val="0"/>
              <w:autoSpaceDE w:val="0"/>
              <w:autoSpaceDN w:val="0"/>
              <w:spacing w:line="360" w:lineRule="auto"/>
              <w:rPr>
                <w:rFonts w:ascii="Arial" w:eastAsia="Times New Roman" w:hAnsi="Arial" w:cs="Arial"/>
                <w:sz w:val="18"/>
                <w:lang w:val="hr-HR"/>
              </w:rPr>
            </w:pPr>
          </w:p>
          <w:p w14:paraId="29EE974E" w14:textId="77777777" w:rsidR="00156696" w:rsidRPr="008E642F" w:rsidRDefault="00156696" w:rsidP="00156696">
            <w:pPr>
              <w:widowControl w:val="0"/>
              <w:autoSpaceDE w:val="0"/>
              <w:autoSpaceDN w:val="0"/>
              <w:spacing w:before="191" w:line="360" w:lineRule="auto"/>
              <w:rPr>
                <w:rFonts w:ascii="Arial" w:eastAsia="Times New Roman" w:hAnsi="Arial" w:cs="Arial"/>
                <w:sz w:val="18"/>
                <w:lang w:val="hr-HR"/>
              </w:rPr>
            </w:pPr>
          </w:p>
          <w:p w14:paraId="412F4D33" w14:textId="77777777" w:rsidR="00156696" w:rsidRPr="008E642F" w:rsidRDefault="00156696" w:rsidP="00156696">
            <w:pPr>
              <w:widowControl w:val="0"/>
              <w:tabs>
                <w:tab w:val="left" w:pos="1817"/>
              </w:tabs>
              <w:autoSpaceDE w:val="0"/>
              <w:autoSpaceDN w:val="0"/>
              <w:spacing w:line="360" w:lineRule="auto"/>
              <w:ind w:left="107" w:right="97"/>
              <w:rPr>
                <w:rFonts w:ascii="Arial" w:eastAsia="Times New Roman" w:hAnsi="Arial" w:cs="Arial"/>
                <w:b/>
                <w:sz w:val="18"/>
                <w:lang w:val="hr-HR"/>
              </w:rPr>
            </w:pPr>
            <w:r w:rsidRPr="008E642F">
              <w:rPr>
                <w:rFonts w:ascii="Arial" w:eastAsia="Times New Roman" w:hAnsi="Arial" w:cs="Arial"/>
                <w:b/>
                <w:spacing w:val="-2"/>
                <w:sz w:val="18"/>
                <w:lang w:val="hr-HR"/>
              </w:rPr>
              <w:t>Stabilizacija</w:t>
            </w:r>
            <w:r w:rsidRPr="008E642F">
              <w:rPr>
                <w:rFonts w:ascii="Arial" w:eastAsia="Times New Roman" w:hAnsi="Arial" w:cs="Arial"/>
                <w:b/>
                <w:sz w:val="18"/>
                <w:lang w:val="hr-HR"/>
              </w:rPr>
              <w:tab/>
            </w:r>
            <w:r w:rsidRPr="008E642F">
              <w:rPr>
                <w:rFonts w:ascii="Arial" w:eastAsia="Times New Roman" w:hAnsi="Arial" w:cs="Arial"/>
                <w:b/>
                <w:spacing w:val="-4"/>
                <w:sz w:val="18"/>
                <w:lang w:val="hr-HR"/>
              </w:rPr>
              <w:t xml:space="preserve">i/ili </w:t>
            </w:r>
            <w:r w:rsidRPr="008E642F">
              <w:rPr>
                <w:rFonts w:ascii="Arial" w:eastAsia="Times New Roman" w:hAnsi="Arial" w:cs="Arial"/>
                <w:b/>
                <w:spacing w:val="-2"/>
                <w:sz w:val="18"/>
                <w:lang w:val="hr-HR"/>
              </w:rPr>
              <w:t>dezinfekcija</w:t>
            </w:r>
          </w:p>
        </w:tc>
        <w:tc>
          <w:tcPr>
            <w:tcW w:w="3574" w:type="dxa"/>
          </w:tcPr>
          <w:p w14:paraId="67805BD7" w14:textId="77777777" w:rsidR="008E642F" w:rsidRDefault="00156696" w:rsidP="008E642F">
            <w:pPr>
              <w:widowControl w:val="0"/>
              <w:autoSpaceDE w:val="0"/>
              <w:autoSpaceDN w:val="0"/>
              <w:spacing w:before="73" w:line="360" w:lineRule="auto"/>
              <w:ind w:left="107"/>
              <w:rPr>
                <w:rFonts w:ascii="Arial" w:eastAsia="Times New Roman" w:hAnsi="Arial" w:cs="Arial"/>
                <w:spacing w:val="-2"/>
                <w:sz w:val="18"/>
                <w:lang w:val="hr-HR"/>
              </w:rPr>
            </w:pPr>
            <w:r w:rsidRPr="008E642F">
              <w:rPr>
                <w:rFonts w:ascii="Arial" w:eastAsia="Times New Roman" w:hAnsi="Arial" w:cs="Arial"/>
                <w:b/>
                <w:sz w:val="18"/>
                <w:lang w:val="hr-HR"/>
              </w:rPr>
              <w:t xml:space="preserve">Bilološki procesi: </w:t>
            </w:r>
            <w:r w:rsidRPr="008E642F">
              <w:rPr>
                <w:rFonts w:ascii="Arial" w:eastAsia="Times New Roman" w:hAnsi="Arial" w:cs="Arial"/>
                <w:sz w:val="18"/>
                <w:lang w:val="hr-HR"/>
              </w:rPr>
              <w:t>Anaerobna digestija Aerobna digestija Dugotrajno</w:t>
            </w:r>
            <w:r w:rsidR="008E642F">
              <w:rPr>
                <w:rFonts w:ascii="Arial" w:eastAsia="Times New Roman" w:hAnsi="Arial" w:cs="Arial"/>
                <w:sz w:val="18"/>
                <w:lang w:val="hr-HR"/>
              </w:rPr>
              <w:t xml:space="preserve"> </w:t>
            </w:r>
            <w:r w:rsidRPr="008E642F">
              <w:rPr>
                <w:rFonts w:ascii="Arial" w:eastAsia="Times New Roman" w:hAnsi="Arial" w:cs="Arial"/>
                <w:sz w:val="18"/>
                <w:lang w:val="hr-HR"/>
              </w:rPr>
              <w:t xml:space="preserve">skladištenje </w:t>
            </w:r>
            <w:r w:rsidRPr="008E642F">
              <w:rPr>
                <w:rFonts w:ascii="Arial" w:eastAsia="Times New Roman" w:hAnsi="Arial" w:cs="Arial"/>
                <w:spacing w:val="-2"/>
                <w:sz w:val="18"/>
                <w:lang w:val="hr-HR"/>
              </w:rPr>
              <w:t xml:space="preserve">Kompostiranje </w:t>
            </w:r>
          </w:p>
          <w:p w14:paraId="4EB16A67" w14:textId="425044FC" w:rsidR="00156696" w:rsidRPr="008E642F" w:rsidRDefault="00156696" w:rsidP="008E642F">
            <w:pPr>
              <w:widowControl w:val="0"/>
              <w:autoSpaceDE w:val="0"/>
              <w:autoSpaceDN w:val="0"/>
              <w:spacing w:before="73" w:line="360" w:lineRule="auto"/>
              <w:ind w:left="107"/>
              <w:rPr>
                <w:rFonts w:ascii="Arial" w:eastAsia="Times New Roman" w:hAnsi="Arial" w:cs="Arial"/>
                <w:sz w:val="18"/>
                <w:lang w:val="hr-HR"/>
              </w:rPr>
            </w:pPr>
            <w:r w:rsidRPr="008E642F">
              <w:rPr>
                <w:rFonts w:ascii="Arial" w:eastAsia="Times New Roman" w:hAnsi="Arial" w:cs="Arial"/>
                <w:b/>
                <w:sz w:val="18"/>
                <w:lang w:val="hr-HR"/>
              </w:rPr>
              <w:t xml:space="preserve">Hemijski procesi: </w:t>
            </w:r>
            <w:r w:rsidRPr="008E642F">
              <w:rPr>
                <w:rFonts w:ascii="Arial" w:eastAsia="Times New Roman" w:hAnsi="Arial" w:cs="Arial"/>
                <w:sz w:val="18"/>
                <w:lang w:val="hr-HR"/>
              </w:rPr>
              <w:t>Obrada krečom</w:t>
            </w:r>
          </w:p>
          <w:p w14:paraId="1C735762" w14:textId="77777777" w:rsidR="008E642F" w:rsidRDefault="00156696" w:rsidP="008E642F">
            <w:pPr>
              <w:widowControl w:val="0"/>
              <w:autoSpaceDE w:val="0"/>
              <w:autoSpaceDN w:val="0"/>
              <w:spacing w:line="360" w:lineRule="auto"/>
              <w:ind w:left="107"/>
              <w:rPr>
                <w:rFonts w:ascii="Arial" w:eastAsia="Times New Roman" w:hAnsi="Arial" w:cs="Arial"/>
                <w:sz w:val="18"/>
                <w:lang w:val="hr-HR"/>
              </w:rPr>
            </w:pPr>
            <w:r w:rsidRPr="008E642F">
              <w:rPr>
                <w:rFonts w:ascii="Arial" w:eastAsia="Times New Roman" w:hAnsi="Arial" w:cs="Arial"/>
                <w:sz w:val="18"/>
                <w:lang w:val="hr-HR"/>
              </w:rPr>
              <w:t xml:space="preserve">Obrada nitritima </w:t>
            </w:r>
          </w:p>
          <w:p w14:paraId="074BD933" w14:textId="0FEC0A4B" w:rsidR="00156696" w:rsidRPr="008E642F" w:rsidRDefault="00156696" w:rsidP="008E642F">
            <w:pPr>
              <w:widowControl w:val="0"/>
              <w:autoSpaceDE w:val="0"/>
              <w:autoSpaceDN w:val="0"/>
              <w:spacing w:line="360" w:lineRule="auto"/>
              <w:ind w:left="107"/>
              <w:rPr>
                <w:rFonts w:ascii="Arial" w:eastAsia="Times New Roman" w:hAnsi="Arial" w:cs="Arial"/>
                <w:sz w:val="18"/>
                <w:lang w:val="hr-HR"/>
              </w:rPr>
            </w:pPr>
            <w:r w:rsidRPr="008E642F">
              <w:rPr>
                <w:rFonts w:ascii="Arial" w:eastAsia="Times New Roman" w:hAnsi="Arial" w:cs="Arial"/>
                <w:b/>
                <w:sz w:val="18"/>
                <w:lang w:val="hr-HR"/>
              </w:rPr>
              <w:t xml:space="preserve">Fizički procesi: </w:t>
            </w:r>
            <w:r w:rsidRPr="008E642F">
              <w:rPr>
                <w:rFonts w:ascii="Arial" w:eastAsia="Times New Roman" w:hAnsi="Arial" w:cs="Arial"/>
                <w:sz w:val="18"/>
                <w:lang w:val="hr-HR"/>
              </w:rPr>
              <w:t xml:space="preserve">Termičko sušenje </w:t>
            </w:r>
            <w:r w:rsidRPr="008E642F">
              <w:rPr>
                <w:rFonts w:ascii="Arial" w:eastAsia="Times New Roman" w:hAnsi="Arial" w:cs="Arial"/>
                <w:spacing w:val="-2"/>
                <w:sz w:val="18"/>
                <w:lang w:val="hr-HR"/>
              </w:rPr>
              <w:t>Pasterizacija</w:t>
            </w:r>
          </w:p>
        </w:tc>
        <w:tc>
          <w:tcPr>
            <w:tcW w:w="3799" w:type="dxa"/>
          </w:tcPr>
          <w:p w14:paraId="03D81C99" w14:textId="77777777" w:rsidR="00156696" w:rsidRPr="008E642F" w:rsidRDefault="00156696" w:rsidP="00156696">
            <w:pPr>
              <w:widowControl w:val="0"/>
              <w:autoSpaceDE w:val="0"/>
              <w:autoSpaceDN w:val="0"/>
              <w:spacing w:line="360" w:lineRule="auto"/>
              <w:rPr>
                <w:rFonts w:ascii="Arial" w:eastAsia="Times New Roman" w:hAnsi="Arial" w:cs="Arial"/>
                <w:sz w:val="18"/>
                <w:lang w:val="hr-HR"/>
              </w:rPr>
            </w:pPr>
          </w:p>
          <w:p w14:paraId="14CDCD5C" w14:textId="77777777" w:rsidR="00156696" w:rsidRPr="008E642F" w:rsidRDefault="00156696" w:rsidP="00156696">
            <w:pPr>
              <w:widowControl w:val="0"/>
              <w:autoSpaceDE w:val="0"/>
              <w:autoSpaceDN w:val="0"/>
              <w:spacing w:line="360" w:lineRule="auto"/>
              <w:rPr>
                <w:rFonts w:ascii="Arial" w:eastAsia="Times New Roman" w:hAnsi="Arial" w:cs="Arial"/>
                <w:sz w:val="18"/>
                <w:lang w:val="hr-HR"/>
              </w:rPr>
            </w:pPr>
          </w:p>
          <w:p w14:paraId="364C099B" w14:textId="77777777" w:rsidR="00156696" w:rsidRPr="008E642F" w:rsidRDefault="00156696" w:rsidP="00156696">
            <w:pPr>
              <w:widowControl w:val="0"/>
              <w:autoSpaceDE w:val="0"/>
              <w:autoSpaceDN w:val="0"/>
              <w:spacing w:line="360" w:lineRule="auto"/>
              <w:rPr>
                <w:rFonts w:ascii="Arial" w:eastAsia="Times New Roman" w:hAnsi="Arial" w:cs="Arial"/>
                <w:sz w:val="18"/>
                <w:lang w:val="hr-HR"/>
              </w:rPr>
            </w:pPr>
          </w:p>
          <w:p w14:paraId="1E194837" w14:textId="77777777" w:rsidR="00156696" w:rsidRPr="008E642F" w:rsidRDefault="00156696" w:rsidP="00156696">
            <w:pPr>
              <w:widowControl w:val="0"/>
              <w:autoSpaceDE w:val="0"/>
              <w:autoSpaceDN w:val="0"/>
              <w:spacing w:before="186" w:line="360" w:lineRule="auto"/>
              <w:rPr>
                <w:rFonts w:ascii="Arial" w:eastAsia="Times New Roman" w:hAnsi="Arial" w:cs="Arial"/>
                <w:sz w:val="18"/>
                <w:lang w:val="hr-HR"/>
              </w:rPr>
            </w:pPr>
          </w:p>
          <w:p w14:paraId="4AF435B4" w14:textId="77777777" w:rsidR="00156696" w:rsidRPr="008E642F" w:rsidRDefault="00156696" w:rsidP="00A23ED0">
            <w:pPr>
              <w:widowControl w:val="0"/>
              <w:numPr>
                <w:ilvl w:val="0"/>
                <w:numId w:val="76"/>
              </w:numPr>
              <w:tabs>
                <w:tab w:val="left" w:pos="283"/>
              </w:tabs>
              <w:autoSpaceDE w:val="0"/>
              <w:autoSpaceDN w:val="0"/>
              <w:spacing w:line="360" w:lineRule="auto"/>
              <w:ind w:hanging="283"/>
              <w:rPr>
                <w:rFonts w:ascii="Arial" w:eastAsia="Times New Roman" w:hAnsi="Arial" w:cs="Arial"/>
                <w:sz w:val="18"/>
                <w:lang w:val="hr-HR"/>
              </w:rPr>
            </w:pPr>
            <w:r w:rsidRPr="008E642F">
              <w:rPr>
                <w:rFonts w:ascii="Arial" w:eastAsia="Times New Roman" w:hAnsi="Arial" w:cs="Arial"/>
                <w:sz w:val="18"/>
                <w:lang w:val="hr-HR"/>
              </w:rPr>
              <w:t>Smanjenje</w:t>
            </w:r>
            <w:r w:rsidRPr="008E642F">
              <w:rPr>
                <w:rFonts w:ascii="Arial" w:eastAsia="Times New Roman" w:hAnsi="Arial" w:cs="Arial"/>
                <w:spacing w:val="-9"/>
                <w:sz w:val="18"/>
                <w:lang w:val="hr-HR"/>
              </w:rPr>
              <w:t xml:space="preserve"> </w:t>
            </w:r>
            <w:r w:rsidRPr="008E642F">
              <w:rPr>
                <w:rFonts w:ascii="Arial" w:eastAsia="Times New Roman" w:hAnsi="Arial" w:cs="Arial"/>
                <w:sz w:val="18"/>
                <w:lang w:val="hr-HR"/>
              </w:rPr>
              <w:t>stvaranja</w:t>
            </w:r>
            <w:r w:rsidRPr="008E642F">
              <w:rPr>
                <w:rFonts w:ascii="Arial" w:eastAsia="Times New Roman" w:hAnsi="Arial" w:cs="Arial"/>
                <w:spacing w:val="-8"/>
                <w:sz w:val="18"/>
                <w:lang w:val="hr-HR"/>
              </w:rPr>
              <w:t xml:space="preserve"> </w:t>
            </w:r>
            <w:r w:rsidRPr="008E642F">
              <w:rPr>
                <w:rFonts w:ascii="Arial" w:eastAsia="Times New Roman" w:hAnsi="Arial" w:cs="Arial"/>
                <w:sz w:val="18"/>
                <w:lang w:val="hr-HR"/>
              </w:rPr>
              <w:t>neprijatnih</w:t>
            </w:r>
            <w:r w:rsidRPr="008E642F">
              <w:rPr>
                <w:rFonts w:ascii="Arial" w:eastAsia="Times New Roman" w:hAnsi="Arial" w:cs="Arial"/>
                <w:spacing w:val="-7"/>
                <w:sz w:val="18"/>
                <w:lang w:val="hr-HR"/>
              </w:rPr>
              <w:t xml:space="preserve"> </w:t>
            </w:r>
            <w:r w:rsidRPr="008E642F">
              <w:rPr>
                <w:rFonts w:ascii="Arial" w:eastAsia="Times New Roman" w:hAnsi="Arial" w:cs="Arial"/>
                <w:spacing w:val="-2"/>
                <w:sz w:val="18"/>
                <w:lang w:val="hr-HR"/>
              </w:rPr>
              <w:t>mirisa</w:t>
            </w:r>
          </w:p>
          <w:p w14:paraId="15BD1E6C" w14:textId="77777777" w:rsidR="00156696" w:rsidRPr="008E642F" w:rsidRDefault="00156696" w:rsidP="00A23ED0">
            <w:pPr>
              <w:widowControl w:val="0"/>
              <w:numPr>
                <w:ilvl w:val="0"/>
                <w:numId w:val="76"/>
              </w:numPr>
              <w:tabs>
                <w:tab w:val="left" w:pos="283"/>
              </w:tabs>
              <w:autoSpaceDE w:val="0"/>
              <w:autoSpaceDN w:val="0"/>
              <w:spacing w:line="360" w:lineRule="auto"/>
              <w:ind w:hanging="283"/>
              <w:rPr>
                <w:rFonts w:ascii="Arial" w:eastAsia="Times New Roman" w:hAnsi="Arial" w:cs="Arial"/>
                <w:sz w:val="18"/>
                <w:lang w:val="hr-HR"/>
              </w:rPr>
            </w:pPr>
            <w:r w:rsidRPr="008E642F">
              <w:rPr>
                <w:rFonts w:ascii="Arial" w:eastAsia="Times New Roman" w:hAnsi="Arial" w:cs="Arial"/>
                <w:sz w:val="18"/>
                <w:lang w:val="hr-HR"/>
              </w:rPr>
              <w:t>Smanjenje</w:t>
            </w:r>
            <w:r w:rsidRPr="008E642F">
              <w:rPr>
                <w:rFonts w:ascii="Arial" w:eastAsia="Times New Roman" w:hAnsi="Arial" w:cs="Arial"/>
                <w:spacing w:val="-6"/>
                <w:sz w:val="18"/>
                <w:lang w:val="hr-HR"/>
              </w:rPr>
              <w:t xml:space="preserve"> </w:t>
            </w:r>
            <w:r w:rsidRPr="008E642F">
              <w:rPr>
                <w:rFonts w:ascii="Arial" w:eastAsia="Times New Roman" w:hAnsi="Arial" w:cs="Arial"/>
                <w:sz w:val="18"/>
                <w:lang w:val="hr-HR"/>
              </w:rPr>
              <w:t>sadržaja</w:t>
            </w:r>
            <w:r w:rsidRPr="008E642F">
              <w:rPr>
                <w:rFonts w:ascii="Arial" w:eastAsia="Times New Roman" w:hAnsi="Arial" w:cs="Arial"/>
                <w:spacing w:val="-7"/>
                <w:sz w:val="18"/>
                <w:lang w:val="hr-HR"/>
              </w:rPr>
              <w:t xml:space="preserve"> </w:t>
            </w:r>
            <w:r w:rsidRPr="008E642F">
              <w:rPr>
                <w:rFonts w:ascii="Arial" w:eastAsia="Times New Roman" w:hAnsi="Arial" w:cs="Arial"/>
                <w:sz w:val="18"/>
                <w:lang w:val="hr-HR"/>
              </w:rPr>
              <w:t>patogena</w:t>
            </w:r>
            <w:r w:rsidRPr="008E642F">
              <w:rPr>
                <w:rFonts w:ascii="Arial" w:eastAsia="Times New Roman" w:hAnsi="Arial" w:cs="Arial"/>
                <w:spacing w:val="-6"/>
                <w:sz w:val="18"/>
                <w:lang w:val="hr-HR"/>
              </w:rPr>
              <w:t xml:space="preserve"> </w:t>
            </w:r>
            <w:r w:rsidRPr="008E642F">
              <w:rPr>
                <w:rFonts w:ascii="Arial" w:eastAsia="Times New Roman" w:hAnsi="Arial" w:cs="Arial"/>
                <w:sz w:val="18"/>
                <w:lang w:val="hr-HR"/>
              </w:rPr>
              <w:t>u</w:t>
            </w:r>
            <w:r w:rsidRPr="008E642F">
              <w:rPr>
                <w:rFonts w:ascii="Arial" w:eastAsia="Times New Roman" w:hAnsi="Arial" w:cs="Arial"/>
                <w:spacing w:val="-5"/>
                <w:sz w:val="18"/>
                <w:lang w:val="hr-HR"/>
              </w:rPr>
              <w:t xml:space="preserve"> </w:t>
            </w:r>
            <w:r w:rsidRPr="008E642F">
              <w:rPr>
                <w:rFonts w:ascii="Arial" w:eastAsia="Times New Roman" w:hAnsi="Arial" w:cs="Arial"/>
                <w:spacing w:val="-4"/>
                <w:sz w:val="18"/>
                <w:lang w:val="hr-HR"/>
              </w:rPr>
              <w:t>mulju</w:t>
            </w:r>
          </w:p>
        </w:tc>
      </w:tr>
      <w:tr w:rsidR="00156696" w:rsidRPr="00EF689B" w14:paraId="55670703" w14:textId="77777777" w:rsidTr="009A0599">
        <w:trPr>
          <w:trHeight w:val="460"/>
        </w:trPr>
        <w:tc>
          <w:tcPr>
            <w:tcW w:w="2203" w:type="dxa"/>
          </w:tcPr>
          <w:p w14:paraId="53A63F54" w14:textId="77777777" w:rsidR="00156696" w:rsidRPr="008E642F" w:rsidRDefault="00156696" w:rsidP="00156696">
            <w:pPr>
              <w:widowControl w:val="0"/>
              <w:autoSpaceDE w:val="0"/>
              <w:autoSpaceDN w:val="0"/>
              <w:spacing w:before="113" w:line="360" w:lineRule="auto"/>
              <w:ind w:left="107"/>
              <w:rPr>
                <w:rFonts w:ascii="Arial" w:eastAsia="Times New Roman" w:hAnsi="Arial" w:cs="Arial"/>
                <w:b/>
                <w:sz w:val="18"/>
                <w:lang w:val="hr-HR"/>
              </w:rPr>
            </w:pPr>
            <w:r w:rsidRPr="008E642F">
              <w:rPr>
                <w:rFonts w:ascii="Arial" w:eastAsia="Times New Roman" w:hAnsi="Arial" w:cs="Arial"/>
                <w:b/>
                <w:sz w:val="18"/>
                <w:lang w:val="hr-HR"/>
              </w:rPr>
              <w:t>Termičko</w:t>
            </w:r>
            <w:r w:rsidRPr="008E642F">
              <w:rPr>
                <w:rFonts w:ascii="Arial" w:eastAsia="Times New Roman" w:hAnsi="Arial" w:cs="Arial"/>
                <w:b/>
                <w:spacing w:val="-10"/>
                <w:sz w:val="18"/>
                <w:lang w:val="hr-HR"/>
              </w:rPr>
              <w:t xml:space="preserve"> </w:t>
            </w:r>
            <w:r w:rsidRPr="008E642F">
              <w:rPr>
                <w:rFonts w:ascii="Arial" w:eastAsia="Times New Roman" w:hAnsi="Arial" w:cs="Arial"/>
                <w:b/>
                <w:spacing w:val="-2"/>
                <w:sz w:val="18"/>
                <w:lang w:val="hr-HR"/>
              </w:rPr>
              <w:t>sušenje</w:t>
            </w:r>
          </w:p>
        </w:tc>
        <w:tc>
          <w:tcPr>
            <w:tcW w:w="3574" w:type="dxa"/>
          </w:tcPr>
          <w:p w14:paraId="2BD85455" w14:textId="77777777" w:rsidR="00156696" w:rsidRPr="008E642F" w:rsidRDefault="00156696" w:rsidP="008E642F">
            <w:pPr>
              <w:widowControl w:val="0"/>
              <w:autoSpaceDE w:val="0"/>
              <w:autoSpaceDN w:val="0"/>
              <w:spacing w:line="360" w:lineRule="auto"/>
              <w:ind w:left="107"/>
              <w:rPr>
                <w:rFonts w:ascii="Arial" w:eastAsia="Times New Roman" w:hAnsi="Arial" w:cs="Arial"/>
                <w:sz w:val="18"/>
                <w:lang w:val="hr-HR"/>
              </w:rPr>
            </w:pPr>
            <w:r w:rsidRPr="008E642F">
              <w:rPr>
                <w:rFonts w:ascii="Arial" w:eastAsia="Times New Roman" w:hAnsi="Arial" w:cs="Arial"/>
                <w:spacing w:val="-2"/>
                <w:sz w:val="18"/>
                <w:lang w:val="hr-HR"/>
              </w:rPr>
              <w:t>Direktno</w:t>
            </w:r>
          </w:p>
          <w:p w14:paraId="2527FA0D" w14:textId="77777777" w:rsidR="00156696" w:rsidRPr="008E642F" w:rsidRDefault="00156696" w:rsidP="008E642F">
            <w:pPr>
              <w:widowControl w:val="0"/>
              <w:autoSpaceDE w:val="0"/>
              <w:autoSpaceDN w:val="0"/>
              <w:spacing w:line="360" w:lineRule="auto"/>
              <w:ind w:left="107"/>
              <w:rPr>
                <w:rFonts w:ascii="Arial" w:eastAsia="Times New Roman" w:hAnsi="Arial" w:cs="Arial"/>
                <w:sz w:val="18"/>
                <w:lang w:val="hr-HR"/>
              </w:rPr>
            </w:pPr>
            <w:r w:rsidRPr="008E642F">
              <w:rPr>
                <w:rFonts w:ascii="Arial" w:eastAsia="Times New Roman" w:hAnsi="Arial" w:cs="Arial"/>
                <w:spacing w:val="-2"/>
                <w:sz w:val="18"/>
                <w:lang w:val="hr-HR"/>
              </w:rPr>
              <w:t>Indirektno</w:t>
            </w:r>
          </w:p>
        </w:tc>
        <w:tc>
          <w:tcPr>
            <w:tcW w:w="3799" w:type="dxa"/>
          </w:tcPr>
          <w:p w14:paraId="09B08EE8" w14:textId="77777777" w:rsidR="00156696" w:rsidRPr="008E642F" w:rsidRDefault="00156696" w:rsidP="00156696">
            <w:pPr>
              <w:widowControl w:val="0"/>
              <w:tabs>
                <w:tab w:val="left" w:pos="283"/>
              </w:tabs>
              <w:autoSpaceDE w:val="0"/>
              <w:autoSpaceDN w:val="0"/>
              <w:spacing w:before="108" w:line="360" w:lineRule="auto"/>
              <w:rPr>
                <w:rFonts w:ascii="Arial" w:eastAsia="Times New Roman" w:hAnsi="Arial" w:cs="Arial"/>
                <w:sz w:val="18"/>
                <w:lang w:val="hr-HR"/>
              </w:rPr>
            </w:pPr>
            <w:r w:rsidRPr="008E642F">
              <w:rPr>
                <w:rFonts w:ascii="Arial" w:eastAsia="Times New Roman" w:hAnsi="Arial" w:cs="Arial"/>
                <w:spacing w:val="-10"/>
                <w:sz w:val="18"/>
                <w:lang w:val="hr-HR"/>
              </w:rPr>
              <w:t>-</w:t>
            </w:r>
            <w:r w:rsidRPr="008E642F">
              <w:rPr>
                <w:rFonts w:ascii="Arial" w:eastAsia="Times New Roman" w:hAnsi="Arial" w:cs="Arial"/>
                <w:sz w:val="18"/>
                <w:lang w:val="hr-HR"/>
              </w:rPr>
              <w:tab/>
              <w:t>Značajno</w:t>
            </w:r>
            <w:r w:rsidRPr="008E642F">
              <w:rPr>
                <w:rFonts w:ascii="Arial" w:eastAsia="Times New Roman" w:hAnsi="Arial" w:cs="Arial"/>
                <w:spacing w:val="-7"/>
                <w:sz w:val="18"/>
                <w:lang w:val="hr-HR"/>
              </w:rPr>
              <w:t xml:space="preserve"> </w:t>
            </w:r>
            <w:r w:rsidRPr="008E642F">
              <w:rPr>
                <w:rFonts w:ascii="Arial" w:eastAsia="Times New Roman" w:hAnsi="Arial" w:cs="Arial"/>
                <w:sz w:val="18"/>
                <w:lang w:val="hr-HR"/>
              </w:rPr>
              <w:t>smanjenje</w:t>
            </w:r>
            <w:r w:rsidRPr="008E642F">
              <w:rPr>
                <w:rFonts w:ascii="Arial" w:eastAsia="Times New Roman" w:hAnsi="Arial" w:cs="Arial"/>
                <w:spacing w:val="-8"/>
                <w:sz w:val="18"/>
                <w:lang w:val="hr-HR"/>
              </w:rPr>
              <w:t xml:space="preserve"> </w:t>
            </w:r>
            <w:r w:rsidRPr="008E642F">
              <w:rPr>
                <w:rFonts w:ascii="Arial" w:eastAsia="Times New Roman" w:hAnsi="Arial" w:cs="Arial"/>
                <w:sz w:val="18"/>
                <w:lang w:val="hr-HR"/>
              </w:rPr>
              <w:t>sadržaja</w:t>
            </w:r>
            <w:r w:rsidRPr="008E642F">
              <w:rPr>
                <w:rFonts w:ascii="Arial" w:eastAsia="Times New Roman" w:hAnsi="Arial" w:cs="Arial"/>
                <w:spacing w:val="-11"/>
                <w:sz w:val="18"/>
                <w:lang w:val="hr-HR"/>
              </w:rPr>
              <w:t xml:space="preserve"> </w:t>
            </w:r>
            <w:r w:rsidRPr="008E642F">
              <w:rPr>
                <w:rFonts w:ascii="Arial" w:eastAsia="Times New Roman" w:hAnsi="Arial" w:cs="Arial"/>
                <w:spacing w:val="-4"/>
                <w:sz w:val="18"/>
                <w:lang w:val="hr-HR"/>
              </w:rPr>
              <w:t>vode</w:t>
            </w:r>
          </w:p>
        </w:tc>
      </w:tr>
    </w:tbl>
    <w:p w14:paraId="6C84E8C9" w14:textId="77777777" w:rsidR="00156696" w:rsidRPr="00EF689B" w:rsidRDefault="00156696" w:rsidP="00156696">
      <w:pPr>
        <w:widowControl w:val="0"/>
        <w:autoSpaceDE w:val="0"/>
        <w:autoSpaceDN w:val="0"/>
        <w:spacing w:line="360" w:lineRule="auto"/>
        <w:ind w:right="722"/>
        <w:rPr>
          <w:rFonts w:ascii="Arial" w:eastAsia="Times New Roman" w:hAnsi="Arial" w:cs="Arial"/>
          <w:lang w:val="hr-HR"/>
        </w:rPr>
      </w:pPr>
      <w:bookmarkStart w:id="1373" w:name="_bookmark290"/>
      <w:bookmarkEnd w:id="1373"/>
    </w:p>
    <w:p w14:paraId="41E35A09" w14:textId="06EE22BA" w:rsidR="00156696" w:rsidRPr="00EF689B" w:rsidRDefault="00156696" w:rsidP="00156696">
      <w:pPr>
        <w:widowControl w:val="0"/>
        <w:autoSpaceDE w:val="0"/>
        <w:autoSpaceDN w:val="0"/>
        <w:spacing w:line="360" w:lineRule="auto"/>
        <w:ind w:right="722"/>
        <w:rPr>
          <w:rFonts w:ascii="Arial" w:eastAsia="Times New Roman" w:hAnsi="Arial" w:cs="Arial"/>
          <w:lang w:val="hr-HR"/>
        </w:rPr>
      </w:pPr>
      <w:r w:rsidRPr="00EF689B">
        <w:rPr>
          <w:rFonts w:ascii="Arial" w:eastAsia="Times New Roman" w:hAnsi="Arial" w:cs="Arial"/>
          <w:b/>
          <w:lang w:val="hr-HR"/>
        </w:rPr>
        <w:t>Anaerobna digestija</w:t>
      </w:r>
      <w:r w:rsidRPr="00EF689B">
        <w:rPr>
          <w:rFonts w:ascii="Arial" w:eastAsia="Times New Roman" w:hAnsi="Arial" w:cs="Arial"/>
          <w:lang w:val="hr-HR"/>
        </w:rPr>
        <w:t xml:space="preserve">, smanjuje, stabilizuje i parcijalno dezinfikuje </w:t>
      </w:r>
      <w:r w:rsidR="005714DD">
        <w:rPr>
          <w:rFonts w:ascii="Arial" w:eastAsia="Times New Roman" w:hAnsi="Arial" w:cs="Arial"/>
          <w:lang w:val="hr-HR"/>
        </w:rPr>
        <w:t>obrađuje</w:t>
      </w:r>
      <w:r w:rsidR="005714DD" w:rsidRPr="00EF689B">
        <w:rPr>
          <w:rFonts w:ascii="Arial" w:eastAsia="Times New Roman" w:hAnsi="Arial" w:cs="Arial"/>
          <w:lang w:val="hr-HR"/>
        </w:rPr>
        <w:t xml:space="preserve"> </w:t>
      </w:r>
      <w:r w:rsidRPr="00EF689B">
        <w:rPr>
          <w:rFonts w:ascii="Arial" w:eastAsia="Times New Roman" w:hAnsi="Arial" w:cs="Arial"/>
          <w:lang w:val="hr-HR"/>
        </w:rPr>
        <w:t>mulj. Odigrava se u posudi na temperaturi od oko 35°C. Pod</w:t>
      </w:r>
      <w:r w:rsidR="00D93EEF">
        <w:rPr>
          <w:rFonts w:ascii="Arial" w:eastAsia="Times New Roman" w:hAnsi="Arial" w:cs="Arial"/>
          <w:lang w:val="hr-HR"/>
        </w:rPr>
        <w:t>ij</w:t>
      </w:r>
      <w:r w:rsidRPr="00EF689B">
        <w:rPr>
          <w:rFonts w:ascii="Arial" w:eastAsia="Times New Roman" w:hAnsi="Arial" w:cs="Arial"/>
          <w:lang w:val="hr-HR"/>
        </w:rPr>
        <w:t>eljena je u tri glavna procesa:</w:t>
      </w:r>
    </w:p>
    <w:p w14:paraId="4A01DE37" w14:textId="77777777" w:rsidR="00156696" w:rsidRPr="00EF689B" w:rsidRDefault="00156696" w:rsidP="00A23ED0">
      <w:pPr>
        <w:widowControl w:val="0"/>
        <w:numPr>
          <w:ilvl w:val="0"/>
          <w:numId w:val="73"/>
        </w:numPr>
        <w:tabs>
          <w:tab w:val="left" w:pos="1073"/>
        </w:tabs>
        <w:autoSpaceDE w:val="0"/>
        <w:autoSpaceDN w:val="0"/>
        <w:spacing w:before="200" w:line="360" w:lineRule="auto"/>
        <w:ind w:left="1073" w:hanging="355"/>
        <w:rPr>
          <w:rFonts w:ascii="Arial" w:eastAsia="Times New Roman" w:hAnsi="Arial" w:cs="Arial"/>
          <w:lang w:val="hr-HR"/>
        </w:rPr>
      </w:pPr>
      <w:r w:rsidRPr="00EF689B">
        <w:rPr>
          <w:rFonts w:ascii="Arial" w:eastAsia="Times New Roman" w:hAnsi="Arial" w:cs="Arial"/>
          <w:lang w:val="hr-HR"/>
        </w:rPr>
        <w:t>hidroliza</w:t>
      </w:r>
      <w:r w:rsidRPr="00EF689B">
        <w:rPr>
          <w:rFonts w:ascii="Arial" w:eastAsia="Times New Roman" w:hAnsi="Arial" w:cs="Arial"/>
          <w:spacing w:val="-2"/>
          <w:lang w:val="hr-HR"/>
        </w:rPr>
        <w:t xml:space="preserve"> </w:t>
      </w:r>
      <w:r w:rsidRPr="00EF689B">
        <w:rPr>
          <w:rFonts w:ascii="Arial" w:eastAsia="Times New Roman" w:hAnsi="Arial" w:cs="Arial"/>
          <w:lang w:val="hr-HR"/>
        </w:rPr>
        <w:t>makromolekula na</w:t>
      </w:r>
      <w:r w:rsidRPr="00EF689B">
        <w:rPr>
          <w:rFonts w:ascii="Arial" w:eastAsia="Times New Roman" w:hAnsi="Arial" w:cs="Arial"/>
          <w:spacing w:val="-3"/>
          <w:lang w:val="hr-HR"/>
        </w:rPr>
        <w:t xml:space="preserve"> </w:t>
      </w:r>
      <w:r w:rsidRPr="00EF689B">
        <w:rPr>
          <w:rFonts w:ascii="Arial" w:eastAsia="Times New Roman" w:hAnsi="Arial" w:cs="Arial"/>
          <w:lang w:val="hr-HR"/>
        </w:rPr>
        <w:t>manje</w:t>
      </w:r>
      <w:r w:rsidRPr="00EF689B">
        <w:rPr>
          <w:rFonts w:ascii="Arial" w:eastAsia="Times New Roman" w:hAnsi="Arial" w:cs="Arial"/>
          <w:spacing w:val="-1"/>
          <w:lang w:val="hr-HR"/>
        </w:rPr>
        <w:t xml:space="preserve"> </w:t>
      </w:r>
      <w:r w:rsidRPr="00EF689B">
        <w:rPr>
          <w:rFonts w:ascii="Arial" w:eastAsia="Times New Roman" w:hAnsi="Arial" w:cs="Arial"/>
          <w:spacing w:val="-2"/>
          <w:lang w:val="hr-HR"/>
        </w:rPr>
        <w:t>komponente,</w:t>
      </w:r>
    </w:p>
    <w:p w14:paraId="44B6C0BE" w14:textId="0A09FC97" w:rsidR="00156696" w:rsidRPr="00EF689B" w:rsidRDefault="00156696" w:rsidP="00A23ED0">
      <w:pPr>
        <w:widowControl w:val="0"/>
        <w:numPr>
          <w:ilvl w:val="0"/>
          <w:numId w:val="73"/>
        </w:numPr>
        <w:tabs>
          <w:tab w:val="left" w:pos="1073"/>
        </w:tabs>
        <w:autoSpaceDE w:val="0"/>
        <w:autoSpaceDN w:val="0"/>
        <w:spacing w:before="241" w:line="360" w:lineRule="auto"/>
        <w:ind w:left="1073" w:hanging="355"/>
        <w:rPr>
          <w:rFonts w:ascii="Arial" w:eastAsia="Times New Roman" w:hAnsi="Arial" w:cs="Arial"/>
          <w:lang w:val="hr-HR"/>
        </w:rPr>
      </w:pPr>
      <w:r w:rsidRPr="00EF689B">
        <w:rPr>
          <w:rFonts w:ascii="Arial" w:eastAsia="Times New Roman" w:hAnsi="Arial" w:cs="Arial"/>
          <w:lang w:val="hr-HR"/>
        </w:rPr>
        <w:t>proizvodnja</w:t>
      </w:r>
      <w:r w:rsidRPr="00EF689B">
        <w:rPr>
          <w:rFonts w:ascii="Arial" w:eastAsia="Times New Roman" w:hAnsi="Arial" w:cs="Arial"/>
          <w:spacing w:val="-1"/>
          <w:lang w:val="hr-HR"/>
        </w:rPr>
        <w:t xml:space="preserve"> </w:t>
      </w:r>
      <w:r w:rsidRPr="00EF689B">
        <w:rPr>
          <w:rFonts w:ascii="Arial" w:eastAsia="Times New Roman" w:hAnsi="Arial" w:cs="Arial"/>
          <w:lang w:val="hr-HR"/>
        </w:rPr>
        <w:t>kiselina</w:t>
      </w:r>
      <w:r w:rsidRPr="00EF689B">
        <w:rPr>
          <w:rFonts w:ascii="Arial" w:eastAsia="Times New Roman" w:hAnsi="Arial" w:cs="Arial"/>
          <w:spacing w:val="-2"/>
          <w:lang w:val="hr-HR"/>
        </w:rPr>
        <w:t xml:space="preserve"> </w:t>
      </w:r>
      <w:r w:rsidRPr="00EF689B">
        <w:rPr>
          <w:rFonts w:ascii="Arial" w:eastAsia="Times New Roman" w:hAnsi="Arial" w:cs="Arial"/>
          <w:lang w:val="hr-HR"/>
        </w:rPr>
        <w:t>iz manjih</w:t>
      </w:r>
      <w:r w:rsidRPr="00EF689B">
        <w:rPr>
          <w:rFonts w:ascii="Arial" w:eastAsia="Times New Roman" w:hAnsi="Arial" w:cs="Arial"/>
          <w:spacing w:val="-1"/>
          <w:lang w:val="hr-HR"/>
        </w:rPr>
        <w:t xml:space="preserve"> </w:t>
      </w:r>
      <w:r w:rsidRPr="00EF689B">
        <w:rPr>
          <w:rFonts w:ascii="Arial" w:eastAsia="Times New Roman" w:hAnsi="Arial" w:cs="Arial"/>
          <w:lang w:val="hr-HR"/>
        </w:rPr>
        <w:t>komponenti</w:t>
      </w:r>
      <w:r w:rsidR="00D93EEF">
        <w:rPr>
          <w:rFonts w:ascii="Arial" w:eastAsia="Times New Roman" w:hAnsi="Arial" w:cs="Arial"/>
          <w:lang w:val="hr-HR"/>
        </w:rPr>
        <w:t>, i</w:t>
      </w:r>
    </w:p>
    <w:p w14:paraId="320D0DEB" w14:textId="77777777" w:rsidR="00156696" w:rsidRPr="00EF689B" w:rsidRDefault="00156696" w:rsidP="00A23ED0">
      <w:pPr>
        <w:widowControl w:val="0"/>
        <w:numPr>
          <w:ilvl w:val="0"/>
          <w:numId w:val="73"/>
        </w:numPr>
        <w:tabs>
          <w:tab w:val="left" w:pos="1073"/>
        </w:tabs>
        <w:autoSpaceDE w:val="0"/>
        <w:autoSpaceDN w:val="0"/>
        <w:spacing w:before="239" w:line="360" w:lineRule="auto"/>
        <w:ind w:left="1073" w:hanging="355"/>
        <w:rPr>
          <w:rFonts w:ascii="Arial" w:eastAsia="Times New Roman" w:hAnsi="Arial" w:cs="Arial"/>
          <w:lang w:val="hr-HR"/>
        </w:rPr>
      </w:pPr>
      <w:r w:rsidRPr="00EF689B">
        <w:rPr>
          <w:rFonts w:ascii="Arial" w:eastAsia="Times New Roman" w:hAnsi="Arial" w:cs="Arial"/>
          <w:lang w:val="hr-HR"/>
        </w:rPr>
        <w:lastRenderedPageBreak/>
        <w:t>gasifikacija,</w:t>
      </w:r>
      <w:r w:rsidRPr="00EF689B">
        <w:rPr>
          <w:rFonts w:ascii="Arial" w:eastAsia="Times New Roman" w:hAnsi="Arial" w:cs="Arial"/>
          <w:spacing w:val="-2"/>
          <w:lang w:val="hr-HR"/>
        </w:rPr>
        <w:t xml:space="preserve"> </w:t>
      </w:r>
      <w:r w:rsidRPr="00EF689B">
        <w:rPr>
          <w:rFonts w:ascii="Arial" w:eastAsia="Times New Roman" w:hAnsi="Arial" w:cs="Arial"/>
          <w:lang w:val="hr-HR"/>
        </w:rPr>
        <w:t>generisanje</w:t>
      </w:r>
      <w:r w:rsidRPr="00EF689B">
        <w:rPr>
          <w:rFonts w:ascii="Arial" w:eastAsia="Times New Roman" w:hAnsi="Arial" w:cs="Arial"/>
          <w:spacing w:val="-2"/>
          <w:lang w:val="hr-HR"/>
        </w:rPr>
        <w:t xml:space="preserve"> </w:t>
      </w:r>
      <w:r w:rsidRPr="00EF689B">
        <w:rPr>
          <w:rFonts w:ascii="Arial" w:eastAsia="Times New Roman" w:hAnsi="Arial" w:cs="Arial"/>
          <w:lang w:val="hr-HR"/>
        </w:rPr>
        <w:t>ugljendioksida</w:t>
      </w:r>
      <w:r w:rsidRPr="00EF689B">
        <w:rPr>
          <w:rFonts w:ascii="Arial" w:eastAsia="Times New Roman" w:hAnsi="Arial" w:cs="Arial"/>
          <w:spacing w:val="-3"/>
          <w:lang w:val="hr-HR"/>
        </w:rPr>
        <w:t xml:space="preserve"> </w:t>
      </w:r>
      <w:r w:rsidRPr="00EF689B">
        <w:rPr>
          <w:rFonts w:ascii="Arial" w:eastAsia="Times New Roman" w:hAnsi="Arial" w:cs="Arial"/>
          <w:lang w:val="hr-HR"/>
        </w:rPr>
        <w:t>i</w:t>
      </w:r>
      <w:r w:rsidRPr="00EF689B">
        <w:rPr>
          <w:rFonts w:ascii="Arial" w:eastAsia="Times New Roman" w:hAnsi="Arial" w:cs="Arial"/>
          <w:spacing w:val="-3"/>
          <w:lang w:val="hr-HR"/>
        </w:rPr>
        <w:t xml:space="preserve"> </w:t>
      </w:r>
      <w:r w:rsidRPr="00EF689B">
        <w:rPr>
          <w:rFonts w:ascii="Arial" w:eastAsia="Times New Roman" w:hAnsi="Arial" w:cs="Arial"/>
          <w:spacing w:val="-2"/>
          <w:lang w:val="hr-HR"/>
        </w:rPr>
        <w:t>metana.</w:t>
      </w:r>
    </w:p>
    <w:p w14:paraId="793E9A93" w14:textId="77777777" w:rsidR="00D93EEF" w:rsidRDefault="00156696" w:rsidP="00156696">
      <w:pPr>
        <w:widowControl w:val="0"/>
        <w:autoSpaceDE w:val="0"/>
        <w:autoSpaceDN w:val="0"/>
        <w:spacing w:before="241" w:line="360" w:lineRule="auto"/>
        <w:rPr>
          <w:rFonts w:ascii="Arial" w:eastAsia="Times New Roman" w:hAnsi="Arial" w:cs="Arial"/>
          <w:spacing w:val="-1"/>
          <w:lang w:val="hr-HR"/>
        </w:rPr>
      </w:pPr>
      <w:r w:rsidRPr="00EF689B">
        <w:rPr>
          <w:rFonts w:ascii="Arial" w:eastAsia="Times New Roman" w:hAnsi="Arial" w:cs="Arial"/>
          <w:lang w:val="hr-HR"/>
        </w:rPr>
        <w:t>Biogas</w:t>
      </w:r>
      <w:r w:rsidRPr="00EF689B">
        <w:rPr>
          <w:rFonts w:ascii="Arial" w:eastAsia="Times New Roman" w:hAnsi="Arial" w:cs="Arial"/>
          <w:spacing w:val="10"/>
          <w:lang w:val="hr-HR"/>
        </w:rPr>
        <w:t xml:space="preserve"> </w:t>
      </w:r>
      <w:r w:rsidRPr="00EF689B">
        <w:rPr>
          <w:rFonts w:ascii="Arial" w:eastAsia="Times New Roman" w:hAnsi="Arial" w:cs="Arial"/>
          <w:lang w:val="hr-HR"/>
        </w:rPr>
        <w:t>koji</w:t>
      </w:r>
      <w:r w:rsidRPr="00EF689B">
        <w:rPr>
          <w:rFonts w:ascii="Arial" w:eastAsia="Times New Roman" w:hAnsi="Arial" w:cs="Arial"/>
          <w:spacing w:val="11"/>
          <w:lang w:val="hr-HR"/>
        </w:rPr>
        <w:t xml:space="preserve"> </w:t>
      </w:r>
      <w:r w:rsidRPr="00EF689B">
        <w:rPr>
          <w:rFonts w:ascii="Arial" w:eastAsia="Times New Roman" w:hAnsi="Arial" w:cs="Arial"/>
          <w:lang w:val="hr-HR"/>
        </w:rPr>
        <w:t>se</w:t>
      </w:r>
      <w:r w:rsidRPr="00EF689B">
        <w:rPr>
          <w:rFonts w:ascii="Arial" w:eastAsia="Times New Roman" w:hAnsi="Arial" w:cs="Arial"/>
          <w:spacing w:val="10"/>
          <w:lang w:val="hr-HR"/>
        </w:rPr>
        <w:t xml:space="preserve"> </w:t>
      </w:r>
      <w:r w:rsidRPr="00EF689B">
        <w:rPr>
          <w:rFonts w:ascii="Arial" w:eastAsia="Times New Roman" w:hAnsi="Arial" w:cs="Arial"/>
          <w:lang w:val="hr-HR"/>
        </w:rPr>
        <w:t>proizvodi</w:t>
      </w:r>
      <w:r w:rsidRPr="00EF689B">
        <w:rPr>
          <w:rFonts w:ascii="Arial" w:eastAsia="Times New Roman" w:hAnsi="Arial" w:cs="Arial"/>
          <w:spacing w:val="12"/>
          <w:lang w:val="hr-HR"/>
        </w:rPr>
        <w:t xml:space="preserve"> </w:t>
      </w:r>
      <w:r w:rsidRPr="00EF689B">
        <w:rPr>
          <w:rFonts w:ascii="Arial" w:eastAsia="Times New Roman" w:hAnsi="Arial" w:cs="Arial"/>
          <w:lang w:val="hr-HR"/>
        </w:rPr>
        <w:t>se</w:t>
      </w:r>
      <w:r w:rsidRPr="00EF689B">
        <w:rPr>
          <w:rFonts w:ascii="Arial" w:eastAsia="Times New Roman" w:hAnsi="Arial" w:cs="Arial"/>
          <w:spacing w:val="10"/>
          <w:lang w:val="hr-HR"/>
        </w:rPr>
        <w:t xml:space="preserve"> </w:t>
      </w:r>
      <w:r w:rsidRPr="00EF689B">
        <w:rPr>
          <w:rFonts w:ascii="Arial" w:eastAsia="Times New Roman" w:hAnsi="Arial" w:cs="Arial"/>
          <w:lang w:val="hr-HR"/>
        </w:rPr>
        <w:t>često</w:t>
      </w:r>
      <w:r w:rsidRPr="00EF689B">
        <w:rPr>
          <w:rFonts w:ascii="Arial" w:eastAsia="Times New Roman" w:hAnsi="Arial" w:cs="Arial"/>
          <w:spacing w:val="11"/>
          <w:lang w:val="hr-HR"/>
        </w:rPr>
        <w:t xml:space="preserve"> </w:t>
      </w:r>
      <w:r w:rsidRPr="00EF689B">
        <w:rPr>
          <w:rFonts w:ascii="Arial" w:eastAsia="Times New Roman" w:hAnsi="Arial" w:cs="Arial"/>
          <w:lang w:val="hr-HR"/>
        </w:rPr>
        <w:t>ponovo</w:t>
      </w:r>
      <w:r w:rsidRPr="00EF689B">
        <w:rPr>
          <w:rFonts w:ascii="Arial" w:eastAsia="Times New Roman" w:hAnsi="Arial" w:cs="Arial"/>
          <w:spacing w:val="10"/>
          <w:lang w:val="hr-HR"/>
        </w:rPr>
        <w:t xml:space="preserve"> </w:t>
      </w:r>
      <w:r w:rsidRPr="00EF689B">
        <w:rPr>
          <w:rFonts w:ascii="Arial" w:eastAsia="Times New Roman" w:hAnsi="Arial" w:cs="Arial"/>
          <w:lang w:val="hr-HR"/>
        </w:rPr>
        <w:t>koristi</w:t>
      </w:r>
      <w:r w:rsidRPr="00EF689B">
        <w:rPr>
          <w:rFonts w:ascii="Arial" w:eastAsia="Times New Roman" w:hAnsi="Arial" w:cs="Arial"/>
          <w:spacing w:val="12"/>
          <w:lang w:val="hr-HR"/>
        </w:rPr>
        <w:t xml:space="preserve"> </w:t>
      </w:r>
      <w:r w:rsidRPr="00EF689B">
        <w:rPr>
          <w:rFonts w:ascii="Arial" w:eastAsia="Times New Roman" w:hAnsi="Arial" w:cs="Arial"/>
          <w:lang w:val="hr-HR"/>
        </w:rPr>
        <w:t>u</w:t>
      </w:r>
      <w:r w:rsidRPr="00EF689B">
        <w:rPr>
          <w:rFonts w:ascii="Arial" w:eastAsia="Times New Roman" w:hAnsi="Arial" w:cs="Arial"/>
          <w:spacing w:val="12"/>
          <w:lang w:val="hr-HR"/>
        </w:rPr>
        <w:t xml:space="preserve"> </w:t>
      </w:r>
      <w:r w:rsidRPr="00EF689B">
        <w:rPr>
          <w:rFonts w:ascii="Arial" w:eastAsia="Times New Roman" w:hAnsi="Arial" w:cs="Arial"/>
          <w:lang w:val="hr-HR"/>
        </w:rPr>
        <w:t>kotlovima,</w:t>
      </w:r>
      <w:r w:rsidRPr="00EF689B">
        <w:rPr>
          <w:rFonts w:ascii="Arial" w:eastAsia="Times New Roman" w:hAnsi="Arial" w:cs="Arial"/>
          <w:spacing w:val="10"/>
          <w:lang w:val="hr-HR"/>
        </w:rPr>
        <w:t xml:space="preserve"> </w:t>
      </w:r>
      <w:r w:rsidRPr="00EF689B">
        <w:rPr>
          <w:rFonts w:ascii="Arial" w:eastAsia="Times New Roman" w:hAnsi="Arial" w:cs="Arial"/>
          <w:lang w:val="hr-HR"/>
        </w:rPr>
        <w:t>za</w:t>
      </w:r>
      <w:r w:rsidRPr="00EF689B">
        <w:rPr>
          <w:rFonts w:ascii="Arial" w:eastAsia="Times New Roman" w:hAnsi="Arial" w:cs="Arial"/>
          <w:spacing w:val="10"/>
          <w:lang w:val="hr-HR"/>
        </w:rPr>
        <w:t xml:space="preserve"> </w:t>
      </w:r>
      <w:r w:rsidRPr="00EF689B">
        <w:rPr>
          <w:rFonts w:ascii="Arial" w:eastAsia="Times New Roman" w:hAnsi="Arial" w:cs="Arial"/>
          <w:lang w:val="hr-HR"/>
        </w:rPr>
        <w:t>održavanje</w:t>
      </w:r>
      <w:r w:rsidRPr="00EF689B">
        <w:rPr>
          <w:rFonts w:ascii="Arial" w:eastAsia="Times New Roman" w:hAnsi="Arial" w:cs="Arial"/>
          <w:spacing w:val="10"/>
          <w:lang w:val="hr-HR"/>
        </w:rPr>
        <w:t xml:space="preserve"> </w:t>
      </w:r>
      <w:r w:rsidRPr="00EF689B">
        <w:rPr>
          <w:rFonts w:ascii="Arial" w:eastAsia="Times New Roman" w:hAnsi="Arial" w:cs="Arial"/>
          <w:lang w:val="hr-HR"/>
        </w:rPr>
        <w:t>temperature</w:t>
      </w:r>
      <w:r w:rsidRPr="00EF689B">
        <w:rPr>
          <w:rFonts w:ascii="Arial" w:eastAsia="Times New Roman" w:hAnsi="Arial" w:cs="Arial"/>
          <w:spacing w:val="9"/>
          <w:lang w:val="hr-HR"/>
        </w:rPr>
        <w:t xml:space="preserve"> </w:t>
      </w:r>
      <w:r w:rsidRPr="00EF689B">
        <w:rPr>
          <w:rFonts w:ascii="Arial" w:eastAsia="Times New Roman" w:hAnsi="Arial" w:cs="Arial"/>
          <w:lang w:val="hr-HR"/>
        </w:rPr>
        <w:t>oko</w:t>
      </w:r>
      <w:r w:rsidRPr="00EF689B">
        <w:rPr>
          <w:rFonts w:ascii="Arial" w:eastAsia="Times New Roman" w:hAnsi="Arial" w:cs="Arial"/>
          <w:spacing w:val="11"/>
          <w:lang w:val="hr-HR"/>
        </w:rPr>
        <w:t xml:space="preserve"> </w:t>
      </w:r>
      <w:r w:rsidRPr="00EF689B">
        <w:rPr>
          <w:rFonts w:ascii="Arial" w:eastAsia="Times New Roman" w:hAnsi="Arial" w:cs="Arial"/>
          <w:spacing w:val="-7"/>
          <w:lang w:val="hr-HR"/>
        </w:rPr>
        <w:t>35</w:t>
      </w:r>
      <w:r w:rsidRPr="00EF689B">
        <w:rPr>
          <w:rFonts w:ascii="Arial" w:eastAsia="Times New Roman" w:hAnsi="Arial" w:cs="Arial"/>
          <w:lang w:val="hr-HR"/>
        </w:rPr>
        <w:t xml:space="preserve"> °C.</w:t>
      </w:r>
      <w:r w:rsidRPr="00EF689B">
        <w:rPr>
          <w:rFonts w:ascii="Arial" w:eastAsia="Times New Roman" w:hAnsi="Arial" w:cs="Arial"/>
          <w:spacing w:val="-1"/>
          <w:lang w:val="hr-HR"/>
        </w:rPr>
        <w:t xml:space="preserve"> </w:t>
      </w:r>
    </w:p>
    <w:p w14:paraId="39DBC27E" w14:textId="3C2BD95D" w:rsidR="00156696" w:rsidRPr="00EF689B" w:rsidRDefault="00156696" w:rsidP="00156696">
      <w:pPr>
        <w:widowControl w:val="0"/>
        <w:autoSpaceDE w:val="0"/>
        <w:autoSpaceDN w:val="0"/>
        <w:spacing w:before="241" w:line="360" w:lineRule="auto"/>
        <w:rPr>
          <w:rFonts w:ascii="Arial" w:eastAsia="Times New Roman" w:hAnsi="Arial" w:cs="Arial"/>
          <w:lang w:val="hr-HR"/>
        </w:rPr>
      </w:pPr>
      <w:r w:rsidRPr="00EF689B">
        <w:rPr>
          <w:rFonts w:ascii="Arial" w:eastAsia="Times New Roman" w:hAnsi="Arial" w:cs="Arial"/>
          <w:lang w:val="hr-HR"/>
        </w:rPr>
        <w:t>Takođe</w:t>
      </w:r>
      <w:r w:rsidRPr="00EF689B">
        <w:rPr>
          <w:rFonts w:ascii="Arial" w:eastAsia="Times New Roman" w:hAnsi="Arial" w:cs="Arial"/>
          <w:spacing w:val="-2"/>
          <w:lang w:val="hr-HR"/>
        </w:rPr>
        <w:t xml:space="preserve"> </w:t>
      </w:r>
      <w:r w:rsidRPr="00EF689B">
        <w:rPr>
          <w:rFonts w:ascii="Arial" w:eastAsia="Times New Roman" w:hAnsi="Arial" w:cs="Arial"/>
          <w:lang w:val="hr-HR"/>
        </w:rPr>
        <w:t>može</w:t>
      </w:r>
      <w:r w:rsidRPr="00EF689B">
        <w:rPr>
          <w:rFonts w:ascii="Arial" w:eastAsia="Times New Roman" w:hAnsi="Arial" w:cs="Arial"/>
          <w:spacing w:val="-1"/>
          <w:lang w:val="hr-HR"/>
        </w:rPr>
        <w:t xml:space="preserve"> </w:t>
      </w:r>
      <w:r w:rsidRPr="00EF689B">
        <w:rPr>
          <w:rFonts w:ascii="Arial" w:eastAsia="Times New Roman" w:hAnsi="Arial" w:cs="Arial"/>
          <w:lang w:val="hr-HR"/>
        </w:rPr>
        <w:t>da</w:t>
      </w:r>
      <w:r w:rsidRPr="00EF689B">
        <w:rPr>
          <w:rFonts w:ascii="Arial" w:eastAsia="Times New Roman" w:hAnsi="Arial" w:cs="Arial"/>
          <w:spacing w:val="-2"/>
          <w:lang w:val="hr-HR"/>
        </w:rPr>
        <w:t xml:space="preserve"> </w:t>
      </w:r>
      <w:r w:rsidRPr="00EF689B">
        <w:rPr>
          <w:rFonts w:ascii="Arial" w:eastAsia="Times New Roman" w:hAnsi="Arial" w:cs="Arial"/>
          <w:lang w:val="hr-HR"/>
        </w:rPr>
        <w:t>se</w:t>
      </w:r>
      <w:r w:rsidRPr="00EF689B">
        <w:rPr>
          <w:rFonts w:ascii="Arial" w:eastAsia="Times New Roman" w:hAnsi="Arial" w:cs="Arial"/>
          <w:spacing w:val="-1"/>
          <w:lang w:val="hr-HR"/>
        </w:rPr>
        <w:t xml:space="preserve"> </w:t>
      </w:r>
      <w:r w:rsidRPr="00EF689B">
        <w:rPr>
          <w:rFonts w:ascii="Arial" w:eastAsia="Times New Roman" w:hAnsi="Arial" w:cs="Arial"/>
          <w:lang w:val="hr-HR"/>
        </w:rPr>
        <w:t>koristi</w:t>
      </w:r>
      <w:r w:rsidRPr="00EF689B">
        <w:rPr>
          <w:rFonts w:ascii="Arial" w:eastAsia="Times New Roman" w:hAnsi="Arial" w:cs="Arial"/>
          <w:spacing w:val="-1"/>
          <w:lang w:val="hr-HR"/>
        </w:rPr>
        <w:t xml:space="preserve"> </w:t>
      </w:r>
      <w:r w:rsidRPr="00EF689B">
        <w:rPr>
          <w:rFonts w:ascii="Arial" w:eastAsia="Times New Roman" w:hAnsi="Arial" w:cs="Arial"/>
          <w:lang w:val="hr-HR"/>
        </w:rPr>
        <w:t>za</w:t>
      </w:r>
      <w:r w:rsidRPr="00EF689B">
        <w:rPr>
          <w:rFonts w:ascii="Arial" w:eastAsia="Times New Roman" w:hAnsi="Arial" w:cs="Arial"/>
          <w:spacing w:val="-1"/>
          <w:lang w:val="hr-HR"/>
        </w:rPr>
        <w:t xml:space="preserve"> </w:t>
      </w:r>
      <w:r w:rsidRPr="00EF689B">
        <w:rPr>
          <w:rFonts w:ascii="Arial" w:eastAsia="Times New Roman" w:hAnsi="Arial" w:cs="Arial"/>
          <w:lang w:val="hr-HR"/>
        </w:rPr>
        <w:t>proizvodnju</w:t>
      </w:r>
      <w:r w:rsidRPr="00EF689B">
        <w:rPr>
          <w:rFonts w:ascii="Arial" w:eastAsia="Times New Roman" w:hAnsi="Arial" w:cs="Arial"/>
          <w:spacing w:val="-1"/>
          <w:lang w:val="hr-HR"/>
        </w:rPr>
        <w:t xml:space="preserve"> </w:t>
      </w:r>
      <w:r w:rsidRPr="00EF689B">
        <w:rPr>
          <w:rFonts w:ascii="Arial" w:eastAsia="Times New Roman" w:hAnsi="Arial" w:cs="Arial"/>
          <w:lang w:val="hr-HR"/>
        </w:rPr>
        <w:t>električne</w:t>
      </w:r>
      <w:r w:rsidRPr="00EF689B">
        <w:rPr>
          <w:rFonts w:ascii="Arial" w:eastAsia="Times New Roman" w:hAnsi="Arial" w:cs="Arial"/>
          <w:spacing w:val="-1"/>
          <w:lang w:val="hr-HR"/>
        </w:rPr>
        <w:t xml:space="preserve"> </w:t>
      </w:r>
      <w:r w:rsidRPr="00EF689B">
        <w:rPr>
          <w:rFonts w:ascii="Arial" w:eastAsia="Times New Roman" w:hAnsi="Arial" w:cs="Arial"/>
          <w:lang w:val="hr-HR"/>
        </w:rPr>
        <w:t>energije</w:t>
      </w:r>
      <w:r w:rsidRPr="00EF689B">
        <w:rPr>
          <w:rFonts w:ascii="Arial" w:eastAsia="Times New Roman" w:hAnsi="Arial" w:cs="Arial"/>
          <w:spacing w:val="-2"/>
          <w:lang w:val="hr-HR"/>
        </w:rPr>
        <w:t xml:space="preserve"> </w:t>
      </w:r>
      <w:r w:rsidRPr="00EF689B">
        <w:rPr>
          <w:rFonts w:ascii="Arial" w:eastAsia="Times New Roman" w:hAnsi="Arial" w:cs="Arial"/>
          <w:lang w:val="hr-HR"/>
        </w:rPr>
        <w:t>na</w:t>
      </w:r>
      <w:r w:rsidRPr="00EF689B">
        <w:rPr>
          <w:rFonts w:ascii="Arial" w:eastAsia="Times New Roman" w:hAnsi="Arial" w:cs="Arial"/>
          <w:spacing w:val="-1"/>
          <w:lang w:val="hr-HR"/>
        </w:rPr>
        <w:t xml:space="preserve"> </w:t>
      </w:r>
      <w:r w:rsidRPr="00EF689B">
        <w:rPr>
          <w:rFonts w:ascii="Arial" w:eastAsia="Times New Roman" w:hAnsi="Arial" w:cs="Arial"/>
          <w:spacing w:val="-2"/>
          <w:lang w:val="hr-HR"/>
        </w:rPr>
        <w:t>postrojenju.</w:t>
      </w:r>
    </w:p>
    <w:p w14:paraId="3EC1389C" w14:textId="005DBB5F" w:rsidR="00156696" w:rsidRPr="00EF689B" w:rsidRDefault="00156696" w:rsidP="00156696">
      <w:pPr>
        <w:widowControl w:val="0"/>
        <w:autoSpaceDE w:val="0"/>
        <w:autoSpaceDN w:val="0"/>
        <w:spacing w:before="242" w:line="360" w:lineRule="auto"/>
        <w:ind w:right="720"/>
        <w:rPr>
          <w:rFonts w:ascii="Arial" w:eastAsia="Times New Roman" w:hAnsi="Arial" w:cs="Arial"/>
          <w:lang w:val="hr-HR"/>
        </w:rPr>
      </w:pPr>
      <w:r w:rsidRPr="00EF689B">
        <w:rPr>
          <w:rFonts w:ascii="Arial" w:eastAsia="Times New Roman" w:hAnsi="Arial" w:cs="Arial"/>
          <w:b/>
          <w:lang w:val="hr-HR"/>
        </w:rPr>
        <w:t xml:space="preserve">Aerobna digestija </w:t>
      </w:r>
      <w:r w:rsidRPr="00EF689B">
        <w:rPr>
          <w:rFonts w:ascii="Arial" w:eastAsia="Times New Roman" w:hAnsi="Arial" w:cs="Arial"/>
          <w:lang w:val="hr-HR"/>
        </w:rPr>
        <w:t xml:space="preserve">se odigrava u posudi sa aerobnim mikroorganizmima. Stvara se toplota kada bakterije razgrađuju organsku materiju. U adekvatnim uslovima, temperatura se može popeti na preko 70°C. Obično se mulj drži </w:t>
      </w:r>
      <w:r w:rsidR="005714DD">
        <w:rPr>
          <w:rFonts w:ascii="Arial" w:eastAsia="Times New Roman" w:hAnsi="Arial" w:cs="Arial"/>
          <w:lang w:val="hr-HR"/>
        </w:rPr>
        <w:t>pet</w:t>
      </w:r>
      <w:r w:rsidR="005714DD" w:rsidRPr="00EF689B">
        <w:rPr>
          <w:rFonts w:ascii="Arial" w:eastAsia="Times New Roman" w:hAnsi="Arial" w:cs="Arial"/>
          <w:lang w:val="hr-HR"/>
        </w:rPr>
        <w:t xml:space="preserve"> </w:t>
      </w:r>
      <w:r w:rsidRPr="00EF689B">
        <w:rPr>
          <w:rFonts w:ascii="Arial" w:eastAsia="Times New Roman" w:hAnsi="Arial" w:cs="Arial"/>
          <w:lang w:val="hr-HR"/>
        </w:rPr>
        <w:t xml:space="preserve">do </w:t>
      </w:r>
      <w:r w:rsidR="005714DD">
        <w:rPr>
          <w:rFonts w:ascii="Arial" w:eastAsia="Times New Roman" w:hAnsi="Arial" w:cs="Arial"/>
          <w:lang w:val="hr-HR"/>
        </w:rPr>
        <w:t>šest</w:t>
      </w:r>
      <w:r w:rsidR="005714DD" w:rsidRPr="00EF689B">
        <w:rPr>
          <w:rFonts w:ascii="Arial" w:eastAsia="Times New Roman" w:hAnsi="Arial" w:cs="Arial"/>
          <w:lang w:val="hr-HR"/>
        </w:rPr>
        <w:t xml:space="preserve"> </w:t>
      </w:r>
      <w:r w:rsidRPr="00EF689B">
        <w:rPr>
          <w:rFonts w:ascii="Arial" w:eastAsia="Times New Roman" w:hAnsi="Arial" w:cs="Arial"/>
          <w:lang w:val="hr-HR"/>
        </w:rPr>
        <w:t>dana na temperaturi od 50 do 65°C. U ovim uslovima, isparljive</w:t>
      </w:r>
      <w:r w:rsidRPr="00EF689B">
        <w:rPr>
          <w:rFonts w:ascii="Arial" w:eastAsia="Times New Roman" w:hAnsi="Arial" w:cs="Arial"/>
          <w:spacing w:val="-1"/>
          <w:lang w:val="hr-HR"/>
        </w:rPr>
        <w:t xml:space="preserve"> </w:t>
      </w:r>
      <w:r w:rsidRPr="00EF689B">
        <w:rPr>
          <w:rFonts w:ascii="Arial" w:eastAsia="Times New Roman" w:hAnsi="Arial" w:cs="Arial"/>
          <w:lang w:val="hr-HR"/>
        </w:rPr>
        <w:t>materije se</w:t>
      </w:r>
      <w:r w:rsidRPr="00EF689B">
        <w:rPr>
          <w:rFonts w:ascii="Arial" w:eastAsia="Times New Roman" w:hAnsi="Arial" w:cs="Arial"/>
          <w:spacing w:val="-1"/>
          <w:lang w:val="hr-HR"/>
        </w:rPr>
        <w:t xml:space="preserve"> </w:t>
      </w:r>
      <w:r w:rsidRPr="00EF689B">
        <w:rPr>
          <w:rFonts w:ascii="Arial" w:eastAsia="Times New Roman" w:hAnsi="Arial" w:cs="Arial"/>
          <w:lang w:val="hr-HR"/>
        </w:rPr>
        <w:t>smanje</w:t>
      </w:r>
      <w:r w:rsidRPr="00EF689B">
        <w:rPr>
          <w:rFonts w:ascii="Arial" w:eastAsia="Times New Roman" w:hAnsi="Arial" w:cs="Arial"/>
          <w:spacing w:val="-1"/>
          <w:lang w:val="hr-HR"/>
        </w:rPr>
        <w:t xml:space="preserve"> </w:t>
      </w:r>
      <w:r w:rsidRPr="00EF689B">
        <w:rPr>
          <w:rFonts w:ascii="Arial" w:eastAsia="Times New Roman" w:hAnsi="Arial" w:cs="Arial"/>
          <w:lang w:val="hr-HR"/>
        </w:rPr>
        <w:t>na</w:t>
      </w:r>
      <w:r w:rsidRPr="00EF689B">
        <w:rPr>
          <w:rFonts w:ascii="Arial" w:eastAsia="Times New Roman" w:hAnsi="Arial" w:cs="Arial"/>
          <w:spacing w:val="-1"/>
          <w:lang w:val="hr-HR"/>
        </w:rPr>
        <w:t xml:space="preserve"> </w:t>
      </w:r>
      <w:r w:rsidRPr="00EF689B">
        <w:rPr>
          <w:rFonts w:ascii="Arial" w:eastAsia="Times New Roman" w:hAnsi="Arial" w:cs="Arial"/>
          <w:lang w:val="hr-HR"/>
        </w:rPr>
        <w:t xml:space="preserve">40%. </w:t>
      </w:r>
      <w:r w:rsidR="005714DD">
        <w:rPr>
          <w:rFonts w:ascii="Arial" w:eastAsia="Times New Roman" w:hAnsi="Arial" w:cs="Arial"/>
          <w:lang w:val="hr-HR"/>
        </w:rPr>
        <w:t>P</w:t>
      </w:r>
      <w:r w:rsidRPr="00EF689B">
        <w:rPr>
          <w:rFonts w:ascii="Arial" w:eastAsia="Times New Roman" w:hAnsi="Arial" w:cs="Arial"/>
          <w:lang w:val="hr-HR"/>
        </w:rPr>
        <w:t>roces</w:t>
      </w:r>
      <w:r w:rsidRPr="00EF689B">
        <w:rPr>
          <w:rFonts w:ascii="Arial" w:eastAsia="Times New Roman" w:hAnsi="Arial" w:cs="Arial"/>
          <w:spacing w:val="-1"/>
          <w:lang w:val="hr-HR"/>
        </w:rPr>
        <w:t xml:space="preserve"> </w:t>
      </w:r>
      <w:r w:rsidRPr="00EF689B">
        <w:rPr>
          <w:rFonts w:ascii="Arial" w:eastAsia="Times New Roman" w:hAnsi="Arial" w:cs="Arial"/>
          <w:lang w:val="hr-HR"/>
        </w:rPr>
        <w:t>je</w:t>
      </w:r>
      <w:r w:rsidRPr="00EF689B">
        <w:rPr>
          <w:rFonts w:ascii="Arial" w:eastAsia="Times New Roman" w:hAnsi="Arial" w:cs="Arial"/>
          <w:spacing w:val="-1"/>
          <w:lang w:val="hr-HR"/>
        </w:rPr>
        <w:t xml:space="preserve"> </w:t>
      </w:r>
      <w:r w:rsidRPr="00EF689B">
        <w:rPr>
          <w:rFonts w:ascii="Arial" w:eastAsia="Times New Roman" w:hAnsi="Arial" w:cs="Arial"/>
          <w:lang w:val="hr-HR"/>
        </w:rPr>
        <w:t xml:space="preserve">jednostavan, ali su troškovi energije </w:t>
      </w:r>
      <w:r w:rsidR="005714DD">
        <w:rPr>
          <w:rFonts w:ascii="Arial" w:eastAsia="Times New Roman" w:hAnsi="Arial" w:cs="Arial"/>
          <w:lang w:val="hr-HR"/>
        </w:rPr>
        <w:t>pet</w:t>
      </w:r>
      <w:r w:rsidRPr="00EF689B">
        <w:rPr>
          <w:rFonts w:ascii="Arial" w:eastAsia="Times New Roman" w:hAnsi="Arial" w:cs="Arial"/>
          <w:lang w:val="hr-HR"/>
        </w:rPr>
        <w:t xml:space="preserve"> do </w:t>
      </w:r>
      <w:r w:rsidR="00AF2C52">
        <w:rPr>
          <w:rFonts w:ascii="Arial" w:eastAsia="Times New Roman" w:hAnsi="Arial" w:cs="Arial"/>
          <w:lang w:val="hr-HR"/>
        </w:rPr>
        <w:t>deset</w:t>
      </w:r>
      <w:r w:rsidRPr="00EF689B">
        <w:rPr>
          <w:rFonts w:ascii="Arial" w:eastAsia="Times New Roman" w:hAnsi="Arial" w:cs="Arial"/>
          <w:lang w:val="hr-HR"/>
        </w:rPr>
        <w:t xml:space="preserve"> puta veći u odnosu na anaerobnu digestiju.</w:t>
      </w:r>
    </w:p>
    <w:p w14:paraId="15A59489" w14:textId="77777777" w:rsidR="00156696" w:rsidRPr="00EF689B" w:rsidRDefault="00156696" w:rsidP="00156696">
      <w:pPr>
        <w:widowControl w:val="0"/>
        <w:autoSpaceDE w:val="0"/>
        <w:autoSpaceDN w:val="0"/>
        <w:spacing w:before="74" w:line="360" w:lineRule="auto"/>
        <w:ind w:right="717"/>
        <w:rPr>
          <w:rFonts w:ascii="Arial" w:eastAsia="Times New Roman" w:hAnsi="Arial" w:cs="Arial"/>
          <w:lang w:val="hr-HR"/>
        </w:rPr>
      </w:pPr>
      <w:r w:rsidRPr="00EF689B">
        <w:rPr>
          <w:rFonts w:ascii="Arial" w:eastAsia="Times New Roman" w:hAnsi="Arial" w:cs="Arial"/>
          <w:b/>
          <w:lang w:val="hr-HR"/>
        </w:rPr>
        <w:t xml:space="preserve">Dugotrajno skladištenje </w:t>
      </w:r>
      <w:r w:rsidRPr="00EF689B">
        <w:rPr>
          <w:rFonts w:ascii="Arial" w:eastAsia="Times New Roman" w:hAnsi="Arial" w:cs="Arial"/>
          <w:lang w:val="hr-HR"/>
        </w:rPr>
        <w:t>služi za regulisanje toka mulja u poljoprivredi i za homogenizaciju njegovog sadržaja. Tom prilikom mogu nastati neprijatni mirisi, dolazi do povećanja suve materije i smanjenja organske materije, kao i smanjenje sadržaja azota, koji se pretvara u amonijak u gasnoj formi, smanjujući vrijednost mulja za upotrebu u poljoprivredi. Dugotrajnim skladištenjem se vrši dezinfekcija, smanjuje sadržaj virusa i bakterija u mulju. Efikasnost zavisi od trajanja skladištenja. Paraziti su najotporniji patogeni i dugotrajno skladištenje neće umanjiti njihov infektivni potencijal. U hladnim područjima, ovaj proces nije u mogućnosti da postigne zadovoljavajući nivo dezinfekcije.</w:t>
      </w:r>
    </w:p>
    <w:p w14:paraId="0C4019C6" w14:textId="4C689AC3" w:rsidR="00156696" w:rsidRPr="00EF689B" w:rsidRDefault="00156696" w:rsidP="00156696">
      <w:pPr>
        <w:widowControl w:val="0"/>
        <w:autoSpaceDE w:val="0"/>
        <w:autoSpaceDN w:val="0"/>
        <w:spacing w:before="200" w:line="360" w:lineRule="auto"/>
        <w:ind w:right="715"/>
        <w:rPr>
          <w:rFonts w:ascii="Arial" w:eastAsia="Times New Roman" w:hAnsi="Arial" w:cs="Arial"/>
          <w:lang w:val="hr-HR"/>
        </w:rPr>
      </w:pPr>
      <w:r w:rsidRPr="00EF689B">
        <w:rPr>
          <w:rFonts w:ascii="Arial" w:eastAsia="Times New Roman" w:hAnsi="Arial" w:cs="Arial"/>
          <w:b/>
          <w:lang w:val="hr-HR"/>
        </w:rPr>
        <w:t xml:space="preserve">Kompostiranje </w:t>
      </w:r>
      <w:r w:rsidRPr="00EF689B">
        <w:rPr>
          <w:rFonts w:ascii="Arial" w:eastAsia="Times New Roman" w:hAnsi="Arial" w:cs="Arial"/>
          <w:lang w:val="hr-HR"/>
        </w:rPr>
        <w:t>je aeroban proces, sastoji se od aerisanog mulja miješanog sa drugim proizvodima, kao što su piljevina ili životinjsko đubrivo. Kompostiranje proizvodi višak toplote, koja se može koristiti da se podigne temperatura kompostiranja mase. Kompost treba da se</w:t>
      </w:r>
      <w:r w:rsidRPr="00EF689B">
        <w:rPr>
          <w:rFonts w:ascii="Arial" w:eastAsia="Times New Roman" w:hAnsi="Arial" w:cs="Arial"/>
          <w:spacing w:val="40"/>
          <w:lang w:val="hr-HR"/>
        </w:rPr>
        <w:t xml:space="preserve"> </w:t>
      </w:r>
      <w:r w:rsidRPr="00EF689B">
        <w:rPr>
          <w:rFonts w:ascii="Arial" w:eastAsia="Times New Roman" w:hAnsi="Arial" w:cs="Arial"/>
          <w:lang w:val="hr-HR"/>
        </w:rPr>
        <w:t>dobije za nekoliko nedjelja.</w:t>
      </w:r>
    </w:p>
    <w:p w14:paraId="122977C8" w14:textId="77777777" w:rsidR="00156696" w:rsidRPr="00EF689B" w:rsidRDefault="00156696" w:rsidP="00156696">
      <w:pPr>
        <w:widowControl w:val="0"/>
        <w:autoSpaceDE w:val="0"/>
        <w:autoSpaceDN w:val="0"/>
        <w:spacing w:before="202" w:line="360" w:lineRule="auto"/>
        <w:ind w:right="720"/>
        <w:rPr>
          <w:rFonts w:ascii="Arial" w:eastAsia="Times New Roman" w:hAnsi="Arial" w:cs="Arial"/>
          <w:lang w:val="hr-HR"/>
        </w:rPr>
      </w:pPr>
      <w:r w:rsidRPr="00EF689B">
        <w:rPr>
          <w:rFonts w:ascii="Arial" w:eastAsia="Times New Roman" w:hAnsi="Arial" w:cs="Arial"/>
          <w:lang w:val="hr-HR"/>
        </w:rPr>
        <w:t>Kompostirani mulj ima višu vrijednost za upotrebu u poljoprivredi, dostiže dobar nivo dezinfekcije, stabilizovan je, pa zato se smanjuje nastajanje neprijatnih mirisa. Takođe, nalik je humusu, koji je, zajedno sa smanjenjem neprijatnih mirisa, lakši za korišćenje. Na kraju, kompostiranje se koristi za smanjenje sadržaja vode u proizvodu, jer može da dostigne preko 60% suve materije, što takođe čini rukovanje lakšim.</w:t>
      </w:r>
    </w:p>
    <w:p w14:paraId="5BE4E5A2" w14:textId="75B79A99" w:rsidR="00156696" w:rsidRPr="00EF689B" w:rsidRDefault="00156696" w:rsidP="00156696">
      <w:pPr>
        <w:widowControl w:val="0"/>
        <w:autoSpaceDE w:val="0"/>
        <w:autoSpaceDN w:val="0"/>
        <w:spacing w:before="199" w:line="360" w:lineRule="auto"/>
        <w:ind w:right="716"/>
        <w:rPr>
          <w:rFonts w:ascii="Arial" w:eastAsia="Times New Roman" w:hAnsi="Arial" w:cs="Arial"/>
          <w:lang w:val="hr-HR"/>
        </w:rPr>
      </w:pPr>
      <w:r w:rsidRPr="00EF689B">
        <w:rPr>
          <w:rFonts w:ascii="Arial" w:eastAsia="Times New Roman" w:hAnsi="Arial" w:cs="Arial"/>
          <w:b/>
          <w:lang w:val="hr-HR"/>
        </w:rPr>
        <w:t xml:space="preserve">Obrada krečom </w:t>
      </w:r>
      <w:r w:rsidRPr="00EF689B">
        <w:rPr>
          <w:rFonts w:ascii="Arial" w:eastAsia="Times New Roman" w:hAnsi="Arial" w:cs="Arial"/>
          <w:lang w:val="hr-HR"/>
        </w:rPr>
        <w:t xml:space="preserve">se sastoji od dodavanja kreča mulju, kako bi se podigla pH vrijednost do 12, čime se uništava ili inhibira biomasa odgovorna za degradaciju organskih jedinjenja. Obrada pomaže i dezinfekciju mulja, povećavajući njegov sadržaj suve materije i stvara rukovanje lakšim. Suva masa se povećava u zavisnosti od početnog sadržaja suve materije i količine kreča. Obično se preporučuje, dodatak od 30% kreča na suvu masu mulja, inače obrada neće spriječiti fermentaciju na duži rok. Obrada krečom se ne preporučuje kada se mulj spaljuje u fluidizovanom sloju, što može da smeta dobrom radu insineratora. </w:t>
      </w:r>
    </w:p>
    <w:p w14:paraId="774A579B" w14:textId="77777777" w:rsidR="00156696" w:rsidRPr="00EF689B" w:rsidRDefault="00156696" w:rsidP="00156696">
      <w:pPr>
        <w:widowControl w:val="0"/>
        <w:autoSpaceDE w:val="0"/>
        <w:autoSpaceDN w:val="0"/>
        <w:spacing w:before="200" w:line="360" w:lineRule="auto"/>
        <w:ind w:right="714"/>
        <w:rPr>
          <w:rFonts w:ascii="Arial" w:eastAsia="Times New Roman" w:hAnsi="Arial" w:cs="Arial"/>
          <w:lang w:val="hr-HR"/>
        </w:rPr>
      </w:pPr>
      <w:r w:rsidRPr="00EF689B">
        <w:rPr>
          <w:rFonts w:ascii="Arial" w:eastAsia="Times New Roman" w:hAnsi="Arial" w:cs="Arial"/>
          <w:b/>
          <w:lang w:val="hr-HR"/>
        </w:rPr>
        <w:t xml:space="preserve">Obrada nitritima </w:t>
      </w:r>
      <w:r w:rsidRPr="00EF689B">
        <w:rPr>
          <w:rFonts w:ascii="Arial" w:eastAsia="Times New Roman" w:hAnsi="Arial" w:cs="Arial"/>
          <w:lang w:val="hr-HR"/>
        </w:rPr>
        <w:t xml:space="preserve">se sastoji od održavanja mulja u kiselom okruženju (pH vrijednost 2 ili 3 prema nivou očekivanog postupka obrade), 30 minuta pod dejstvom nitrit jon. Ovaj postupak obrade je efikasan proces stabilizacije. Mulj se mogu čuvati nekoliko meseci bez stvaranja neprijatnih mirisa. </w:t>
      </w:r>
      <w:r w:rsidRPr="00EF689B">
        <w:rPr>
          <w:rFonts w:ascii="Arial" w:eastAsia="Times New Roman" w:hAnsi="Arial" w:cs="Arial"/>
          <w:lang w:val="hr-HR"/>
        </w:rPr>
        <w:lastRenderedPageBreak/>
        <w:t>Što se tiče dezinfekcije, može da se postigne dva nivoa: djelimična dezinfekcija (pH 3, bakterije su eliminisane) ili napredni nivo dezinfekcije (pH 2, spore su</w:t>
      </w:r>
      <w:r w:rsidRPr="00EF689B">
        <w:rPr>
          <w:rFonts w:ascii="Arial" w:eastAsia="Times New Roman" w:hAnsi="Arial" w:cs="Arial"/>
          <w:spacing w:val="40"/>
          <w:lang w:val="hr-HR"/>
        </w:rPr>
        <w:t xml:space="preserve"> </w:t>
      </w:r>
      <w:r w:rsidRPr="00EF689B">
        <w:rPr>
          <w:rFonts w:ascii="Arial" w:eastAsia="Times New Roman" w:hAnsi="Arial" w:cs="Arial"/>
          <w:lang w:val="hr-HR"/>
        </w:rPr>
        <w:t>takođe eliminisane). Ovaj postupak obrade se obavlja na ugušćenom mulja. Njegov uticaj na strukturu mulja olakšava dalje odvođenje vode. Obrada nitritom je prilagođena:</w:t>
      </w:r>
    </w:p>
    <w:p w14:paraId="7A0FDAC1" w14:textId="79A0E266" w:rsidR="00156696" w:rsidRPr="00EF689B" w:rsidRDefault="00156696" w:rsidP="00A23ED0">
      <w:pPr>
        <w:widowControl w:val="0"/>
        <w:numPr>
          <w:ilvl w:val="0"/>
          <w:numId w:val="73"/>
        </w:numPr>
        <w:tabs>
          <w:tab w:val="left" w:pos="1080"/>
        </w:tabs>
        <w:autoSpaceDE w:val="0"/>
        <w:autoSpaceDN w:val="0"/>
        <w:spacing w:before="200" w:line="360" w:lineRule="auto"/>
        <w:rPr>
          <w:rFonts w:ascii="Arial" w:eastAsia="Times New Roman" w:hAnsi="Arial" w:cs="Arial"/>
          <w:lang w:val="hr-HR"/>
        </w:rPr>
      </w:pPr>
      <w:r w:rsidRPr="00EF689B">
        <w:rPr>
          <w:rFonts w:ascii="Arial" w:eastAsia="Times New Roman" w:hAnsi="Arial" w:cs="Arial"/>
          <w:lang w:val="hr-HR"/>
        </w:rPr>
        <w:t>malim</w:t>
      </w:r>
      <w:r w:rsidRPr="00EF689B">
        <w:rPr>
          <w:rFonts w:ascii="Arial" w:eastAsia="Times New Roman" w:hAnsi="Arial" w:cs="Arial"/>
          <w:spacing w:val="-1"/>
          <w:lang w:val="hr-HR"/>
        </w:rPr>
        <w:t xml:space="preserve"> </w:t>
      </w:r>
      <w:r w:rsidRPr="00EF689B">
        <w:rPr>
          <w:rFonts w:ascii="Arial" w:eastAsia="Times New Roman" w:hAnsi="Arial" w:cs="Arial"/>
          <w:lang w:val="hr-HR"/>
        </w:rPr>
        <w:t>PPOV,</w:t>
      </w:r>
      <w:r w:rsidRPr="00EF689B">
        <w:rPr>
          <w:rFonts w:ascii="Arial" w:eastAsia="Times New Roman" w:hAnsi="Arial" w:cs="Arial"/>
          <w:spacing w:val="-1"/>
          <w:lang w:val="hr-HR"/>
        </w:rPr>
        <w:t xml:space="preserve"> </w:t>
      </w:r>
      <w:r w:rsidRPr="00EF689B">
        <w:rPr>
          <w:rFonts w:ascii="Arial" w:eastAsia="Times New Roman" w:hAnsi="Arial" w:cs="Arial"/>
          <w:lang w:val="hr-HR"/>
        </w:rPr>
        <w:t>gd</w:t>
      </w:r>
      <w:r w:rsidR="00D93EEF">
        <w:rPr>
          <w:rFonts w:ascii="Arial" w:eastAsia="Times New Roman" w:hAnsi="Arial" w:cs="Arial"/>
          <w:lang w:val="hr-HR"/>
        </w:rPr>
        <w:t>j</w:t>
      </w:r>
      <w:r w:rsidRPr="00EF689B">
        <w:rPr>
          <w:rFonts w:ascii="Arial" w:eastAsia="Times New Roman" w:hAnsi="Arial" w:cs="Arial"/>
          <w:lang w:val="hr-HR"/>
        </w:rPr>
        <w:t>e</w:t>
      </w:r>
      <w:r w:rsidRPr="00EF689B">
        <w:rPr>
          <w:rFonts w:ascii="Arial" w:eastAsia="Times New Roman" w:hAnsi="Arial" w:cs="Arial"/>
          <w:spacing w:val="-1"/>
          <w:lang w:val="hr-HR"/>
        </w:rPr>
        <w:t xml:space="preserve"> </w:t>
      </w:r>
      <w:r w:rsidRPr="00EF689B">
        <w:rPr>
          <w:rFonts w:ascii="Arial" w:eastAsia="Times New Roman" w:hAnsi="Arial" w:cs="Arial"/>
          <w:lang w:val="hr-HR"/>
        </w:rPr>
        <w:t>obrada</w:t>
      </w:r>
      <w:r w:rsidRPr="00EF689B">
        <w:rPr>
          <w:rFonts w:ascii="Arial" w:eastAsia="Times New Roman" w:hAnsi="Arial" w:cs="Arial"/>
          <w:spacing w:val="-2"/>
          <w:lang w:val="hr-HR"/>
        </w:rPr>
        <w:t xml:space="preserve"> </w:t>
      </w:r>
      <w:r w:rsidRPr="00EF689B">
        <w:rPr>
          <w:rFonts w:ascii="Arial" w:eastAsia="Times New Roman" w:hAnsi="Arial" w:cs="Arial"/>
          <w:lang w:val="hr-HR"/>
        </w:rPr>
        <w:t>krečom</w:t>
      </w:r>
      <w:r w:rsidRPr="00EF689B">
        <w:rPr>
          <w:rFonts w:ascii="Arial" w:eastAsia="Times New Roman" w:hAnsi="Arial" w:cs="Arial"/>
          <w:spacing w:val="-1"/>
          <w:lang w:val="hr-HR"/>
        </w:rPr>
        <w:t xml:space="preserve"> </w:t>
      </w:r>
      <w:r w:rsidRPr="00EF689B">
        <w:rPr>
          <w:rFonts w:ascii="Arial" w:eastAsia="Times New Roman" w:hAnsi="Arial" w:cs="Arial"/>
          <w:lang w:val="hr-HR"/>
        </w:rPr>
        <w:t>može</w:t>
      </w:r>
      <w:r w:rsidRPr="00EF689B">
        <w:rPr>
          <w:rFonts w:ascii="Arial" w:eastAsia="Times New Roman" w:hAnsi="Arial" w:cs="Arial"/>
          <w:spacing w:val="-2"/>
          <w:lang w:val="hr-HR"/>
        </w:rPr>
        <w:t xml:space="preserve"> </w:t>
      </w:r>
      <w:r w:rsidRPr="00EF689B">
        <w:rPr>
          <w:rFonts w:ascii="Arial" w:eastAsia="Times New Roman" w:hAnsi="Arial" w:cs="Arial"/>
          <w:lang w:val="hr-HR"/>
        </w:rPr>
        <w:t xml:space="preserve">biti </w:t>
      </w:r>
      <w:r w:rsidRPr="00EF689B">
        <w:rPr>
          <w:rFonts w:ascii="Arial" w:eastAsia="Times New Roman" w:hAnsi="Arial" w:cs="Arial"/>
          <w:spacing w:val="-2"/>
          <w:lang w:val="hr-HR"/>
        </w:rPr>
        <w:t>skupa;</w:t>
      </w:r>
    </w:p>
    <w:p w14:paraId="4D480B49" w14:textId="77777777" w:rsidR="00156696" w:rsidRPr="00EF689B" w:rsidRDefault="00156696" w:rsidP="00A23ED0">
      <w:pPr>
        <w:widowControl w:val="0"/>
        <w:numPr>
          <w:ilvl w:val="0"/>
          <w:numId w:val="73"/>
        </w:numPr>
        <w:tabs>
          <w:tab w:val="left" w:pos="1080"/>
        </w:tabs>
        <w:autoSpaceDE w:val="0"/>
        <w:autoSpaceDN w:val="0"/>
        <w:spacing w:before="42" w:line="360" w:lineRule="auto"/>
        <w:rPr>
          <w:rFonts w:ascii="Arial" w:eastAsia="Times New Roman" w:hAnsi="Arial" w:cs="Arial"/>
          <w:lang w:val="hr-HR"/>
        </w:rPr>
      </w:pPr>
      <w:r w:rsidRPr="00EF689B">
        <w:rPr>
          <w:rFonts w:ascii="Arial" w:eastAsia="Times New Roman" w:hAnsi="Arial" w:cs="Arial"/>
          <w:lang w:val="hr-HR"/>
        </w:rPr>
        <w:t>kada</w:t>
      </w:r>
      <w:r w:rsidRPr="00EF689B">
        <w:rPr>
          <w:rFonts w:ascii="Arial" w:eastAsia="Times New Roman" w:hAnsi="Arial" w:cs="Arial"/>
          <w:spacing w:val="-4"/>
          <w:lang w:val="hr-HR"/>
        </w:rPr>
        <w:t xml:space="preserve"> </w:t>
      </w:r>
      <w:r w:rsidRPr="00EF689B">
        <w:rPr>
          <w:rFonts w:ascii="Arial" w:eastAsia="Times New Roman" w:hAnsi="Arial" w:cs="Arial"/>
          <w:lang w:val="hr-HR"/>
        </w:rPr>
        <w:t>obrada</w:t>
      </w:r>
      <w:r w:rsidRPr="00EF689B">
        <w:rPr>
          <w:rFonts w:ascii="Arial" w:eastAsia="Times New Roman" w:hAnsi="Arial" w:cs="Arial"/>
          <w:spacing w:val="-2"/>
          <w:lang w:val="hr-HR"/>
        </w:rPr>
        <w:t xml:space="preserve"> </w:t>
      </w:r>
      <w:r w:rsidRPr="00EF689B">
        <w:rPr>
          <w:rFonts w:ascii="Arial" w:eastAsia="Times New Roman" w:hAnsi="Arial" w:cs="Arial"/>
          <w:lang w:val="hr-HR"/>
        </w:rPr>
        <w:t>krečom</w:t>
      </w:r>
      <w:r w:rsidRPr="00EF689B">
        <w:rPr>
          <w:rFonts w:ascii="Arial" w:eastAsia="Times New Roman" w:hAnsi="Arial" w:cs="Arial"/>
          <w:spacing w:val="-1"/>
          <w:lang w:val="hr-HR"/>
        </w:rPr>
        <w:t xml:space="preserve"> </w:t>
      </w:r>
      <w:r w:rsidRPr="00EF689B">
        <w:rPr>
          <w:rFonts w:ascii="Arial" w:eastAsia="Times New Roman" w:hAnsi="Arial" w:cs="Arial"/>
          <w:lang w:val="hr-HR"/>
        </w:rPr>
        <w:t>nije moguća</w:t>
      </w:r>
      <w:r w:rsidRPr="00EF689B">
        <w:rPr>
          <w:rFonts w:ascii="Arial" w:eastAsia="Times New Roman" w:hAnsi="Arial" w:cs="Arial"/>
          <w:spacing w:val="-1"/>
          <w:lang w:val="hr-HR"/>
        </w:rPr>
        <w:t xml:space="preserve"> </w:t>
      </w:r>
      <w:r w:rsidRPr="00EF689B">
        <w:rPr>
          <w:rFonts w:ascii="Arial" w:eastAsia="Times New Roman" w:hAnsi="Arial" w:cs="Arial"/>
          <w:lang w:val="hr-HR"/>
        </w:rPr>
        <w:t>prije rasprostiranja</w:t>
      </w:r>
      <w:r w:rsidRPr="00EF689B">
        <w:rPr>
          <w:rFonts w:ascii="Arial" w:eastAsia="Times New Roman" w:hAnsi="Arial" w:cs="Arial"/>
          <w:spacing w:val="-1"/>
          <w:lang w:val="hr-HR"/>
        </w:rPr>
        <w:t xml:space="preserve"> </w:t>
      </w:r>
      <w:r w:rsidRPr="00EF689B">
        <w:rPr>
          <w:rFonts w:ascii="Arial" w:eastAsia="Times New Roman" w:hAnsi="Arial" w:cs="Arial"/>
          <w:lang w:val="hr-HR"/>
        </w:rPr>
        <w:t>na</w:t>
      </w:r>
      <w:r w:rsidRPr="00EF689B">
        <w:rPr>
          <w:rFonts w:ascii="Arial" w:eastAsia="Times New Roman" w:hAnsi="Arial" w:cs="Arial"/>
          <w:spacing w:val="-2"/>
          <w:lang w:val="hr-HR"/>
        </w:rPr>
        <w:t xml:space="preserve"> zemlju;</w:t>
      </w:r>
    </w:p>
    <w:p w14:paraId="5FE5BC05" w14:textId="2229BB1F" w:rsidR="00156696" w:rsidRPr="00EF689B" w:rsidRDefault="00156696" w:rsidP="00A23ED0">
      <w:pPr>
        <w:widowControl w:val="0"/>
        <w:numPr>
          <w:ilvl w:val="0"/>
          <w:numId w:val="73"/>
        </w:numPr>
        <w:tabs>
          <w:tab w:val="left" w:pos="1080"/>
        </w:tabs>
        <w:autoSpaceDE w:val="0"/>
        <w:autoSpaceDN w:val="0"/>
        <w:spacing w:before="39" w:line="360" w:lineRule="auto"/>
        <w:rPr>
          <w:rFonts w:ascii="Arial" w:eastAsia="Times New Roman" w:hAnsi="Arial" w:cs="Arial"/>
          <w:lang w:val="hr-HR"/>
        </w:rPr>
      </w:pPr>
      <w:r w:rsidRPr="00EF689B">
        <w:rPr>
          <w:rFonts w:ascii="Arial" w:eastAsia="Times New Roman" w:hAnsi="Arial" w:cs="Arial"/>
          <w:lang w:val="hr-HR"/>
        </w:rPr>
        <w:t>prije spaljivanja</w:t>
      </w:r>
      <w:r w:rsidR="00AF2C52">
        <w:rPr>
          <w:rFonts w:ascii="Arial" w:eastAsia="Times New Roman" w:hAnsi="Arial" w:cs="Arial"/>
          <w:lang w:val="hr-HR"/>
        </w:rPr>
        <w:t>,</w:t>
      </w:r>
      <w:r w:rsidRPr="00EF689B">
        <w:rPr>
          <w:rFonts w:ascii="Arial" w:eastAsia="Times New Roman" w:hAnsi="Arial" w:cs="Arial"/>
          <w:spacing w:val="-1"/>
          <w:lang w:val="hr-HR"/>
        </w:rPr>
        <w:t xml:space="preserve"> </w:t>
      </w:r>
      <w:r w:rsidRPr="00EF689B">
        <w:rPr>
          <w:rFonts w:ascii="Arial" w:eastAsia="Times New Roman" w:hAnsi="Arial" w:cs="Arial"/>
          <w:lang w:val="hr-HR"/>
        </w:rPr>
        <w:t>jer</w:t>
      </w:r>
      <w:r w:rsidRPr="00EF689B">
        <w:rPr>
          <w:rFonts w:ascii="Arial" w:eastAsia="Times New Roman" w:hAnsi="Arial" w:cs="Arial"/>
          <w:spacing w:val="-2"/>
          <w:lang w:val="hr-HR"/>
        </w:rPr>
        <w:t xml:space="preserve"> </w:t>
      </w:r>
      <w:r w:rsidRPr="00EF689B">
        <w:rPr>
          <w:rFonts w:ascii="Arial" w:eastAsia="Times New Roman" w:hAnsi="Arial" w:cs="Arial"/>
          <w:lang w:val="hr-HR"/>
        </w:rPr>
        <w:t>poboljšava</w:t>
      </w:r>
      <w:r w:rsidRPr="00EF689B">
        <w:rPr>
          <w:rFonts w:ascii="Arial" w:eastAsia="Times New Roman" w:hAnsi="Arial" w:cs="Arial"/>
          <w:spacing w:val="-2"/>
          <w:lang w:val="hr-HR"/>
        </w:rPr>
        <w:t xml:space="preserve"> zapaljivost.</w:t>
      </w:r>
    </w:p>
    <w:p w14:paraId="0B6AF71E" w14:textId="0C5BA159" w:rsidR="00156696" w:rsidRPr="00EF689B" w:rsidRDefault="00156696" w:rsidP="00156696">
      <w:pPr>
        <w:widowControl w:val="0"/>
        <w:autoSpaceDE w:val="0"/>
        <w:autoSpaceDN w:val="0"/>
        <w:spacing w:before="74" w:line="360" w:lineRule="auto"/>
        <w:ind w:right="716"/>
        <w:rPr>
          <w:rFonts w:ascii="Arial" w:eastAsia="Times New Roman" w:hAnsi="Arial" w:cs="Arial"/>
          <w:lang w:val="hr-HR"/>
        </w:rPr>
      </w:pPr>
      <w:r w:rsidRPr="00EF689B">
        <w:rPr>
          <w:rFonts w:ascii="Arial" w:eastAsia="Times New Roman" w:hAnsi="Arial" w:cs="Arial"/>
          <w:b/>
          <w:lang w:val="hr-HR"/>
        </w:rPr>
        <w:t xml:space="preserve">Pasterizacija </w:t>
      </w:r>
      <w:r w:rsidRPr="00EF689B">
        <w:rPr>
          <w:rFonts w:ascii="Arial" w:eastAsia="Times New Roman" w:hAnsi="Arial" w:cs="Arial"/>
          <w:lang w:val="hr-HR"/>
        </w:rPr>
        <w:t>se sastoji od zagrijavanja mulja na temperaturu od 70 do 80°C za kratko vr</w:t>
      </w:r>
      <w:r w:rsidR="00D93EEF">
        <w:rPr>
          <w:rFonts w:ascii="Arial" w:eastAsia="Times New Roman" w:hAnsi="Arial" w:cs="Arial"/>
          <w:lang w:val="hr-HR"/>
        </w:rPr>
        <w:t>ij</w:t>
      </w:r>
      <w:r w:rsidRPr="00EF689B">
        <w:rPr>
          <w:rFonts w:ascii="Arial" w:eastAsia="Times New Roman" w:hAnsi="Arial" w:cs="Arial"/>
          <w:lang w:val="hr-HR"/>
        </w:rPr>
        <w:t>eme (oko 30 minuta). Ovaj postupak obrade omogućava smanjenje količine patogena u mulju, ali se ne može smatrati kao proces stabilizacije sam po sebi.</w:t>
      </w:r>
    </w:p>
    <w:p w14:paraId="2196F193" w14:textId="1FB2CF01" w:rsidR="00156696" w:rsidRPr="003D7619" w:rsidRDefault="00156696" w:rsidP="00412D2E">
      <w:pPr>
        <w:pStyle w:val="Heading3"/>
        <w:rPr>
          <w:lang w:val="hr-HR"/>
        </w:rPr>
      </w:pPr>
      <w:bookmarkStart w:id="1374" w:name="_Toc189759758"/>
      <w:bookmarkStart w:id="1375" w:name="_Toc190088485"/>
      <w:bookmarkStart w:id="1376" w:name="_Toc193354068"/>
      <w:r w:rsidRPr="003D7619">
        <w:rPr>
          <w:lang w:val="hr-HR"/>
        </w:rPr>
        <w:t>6.8.2. Primjena mulja</w:t>
      </w:r>
      <w:bookmarkEnd w:id="1374"/>
      <w:bookmarkEnd w:id="1375"/>
      <w:bookmarkEnd w:id="1376"/>
    </w:p>
    <w:p w14:paraId="36BE464E" w14:textId="77777777" w:rsidR="00156696" w:rsidRPr="00EF689B" w:rsidRDefault="00156696" w:rsidP="00156696">
      <w:pPr>
        <w:widowControl w:val="0"/>
        <w:autoSpaceDE w:val="0"/>
        <w:autoSpaceDN w:val="0"/>
        <w:spacing w:before="238" w:line="360" w:lineRule="auto"/>
        <w:ind w:right="720"/>
        <w:rPr>
          <w:rFonts w:ascii="Arial" w:eastAsia="Times New Roman" w:hAnsi="Arial" w:cs="Arial"/>
          <w:lang w:val="hr-HR"/>
        </w:rPr>
      </w:pPr>
      <w:r w:rsidRPr="00EF689B">
        <w:rPr>
          <w:rFonts w:ascii="Arial" w:eastAsia="Times New Roman" w:hAnsi="Arial" w:cs="Arial"/>
          <w:lang w:val="hr-HR"/>
        </w:rPr>
        <w:t>Poslije navedenih postupaka obrade, koji se najčešče obavljaju u okviru postrojenja za prečišćavanje otpadnih voda, mulj se može primjenjivati u sljedećim oblastima:</w:t>
      </w:r>
    </w:p>
    <w:p w14:paraId="3C9BF720" w14:textId="77777777" w:rsidR="00156696" w:rsidRPr="00EF689B" w:rsidRDefault="00156696" w:rsidP="00A23ED0">
      <w:pPr>
        <w:widowControl w:val="0"/>
        <w:numPr>
          <w:ilvl w:val="0"/>
          <w:numId w:val="73"/>
        </w:numPr>
        <w:tabs>
          <w:tab w:val="left" w:pos="1073"/>
        </w:tabs>
        <w:autoSpaceDE w:val="0"/>
        <w:autoSpaceDN w:val="0"/>
        <w:spacing w:before="197" w:line="360" w:lineRule="auto"/>
        <w:ind w:left="1073" w:hanging="355"/>
        <w:rPr>
          <w:rFonts w:ascii="Arial" w:eastAsia="Times New Roman" w:hAnsi="Arial" w:cs="Arial"/>
          <w:lang w:val="hr-HR"/>
        </w:rPr>
      </w:pPr>
      <w:r w:rsidRPr="00EF689B">
        <w:rPr>
          <w:rFonts w:ascii="Arial" w:eastAsia="Times New Roman" w:hAnsi="Arial" w:cs="Arial"/>
          <w:lang w:val="hr-HR"/>
        </w:rPr>
        <w:t>u</w:t>
      </w:r>
      <w:r w:rsidRPr="00EF689B">
        <w:rPr>
          <w:rFonts w:ascii="Arial" w:eastAsia="Times New Roman" w:hAnsi="Arial" w:cs="Arial"/>
          <w:spacing w:val="-1"/>
          <w:lang w:val="hr-HR"/>
        </w:rPr>
        <w:t xml:space="preserve"> </w:t>
      </w:r>
      <w:r w:rsidRPr="00EF689B">
        <w:rPr>
          <w:rFonts w:ascii="Arial" w:eastAsia="Times New Roman" w:hAnsi="Arial" w:cs="Arial"/>
          <w:lang w:val="hr-HR"/>
        </w:rPr>
        <w:t>poljoprivredi</w:t>
      </w:r>
      <w:r w:rsidRPr="00EF689B">
        <w:rPr>
          <w:rFonts w:ascii="Arial" w:eastAsia="Times New Roman" w:hAnsi="Arial" w:cs="Arial"/>
          <w:spacing w:val="-1"/>
          <w:lang w:val="hr-HR"/>
        </w:rPr>
        <w:t xml:space="preserve"> </w:t>
      </w:r>
      <w:r w:rsidRPr="00EF689B">
        <w:rPr>
          <w:rFonts w:ascii="Arial" w:eastAsia="Times New Roman" w:hAnsi="Arial" w:cs="Arial"/>
          <w:lang w:val="hr-HR"/>
        </w:rPr>
        <w:t>(razastiranje</w:t>
      </w:r>
      <w:r w:rsidRPr="00EF689B">
        <w:rPr>
          <w:rFonts w:ascii="Arial" w:eastAsia="Times New Roman" w:hAnsi="Arial" w:cs="Arial"/>
          <w:spacing w:val="-1"/>
          <w:lang w:val="hr-HR"/>
        </w:rPr>
        <w:t xml:space="preserve"> </w:t>
      </w:r>
      <w:r w:rsidRPr="00EF689B">
        <w:rPr>
          <w:rFonts w:ascii="Arial" w:eastAsia="Times New Roman" w:hAnsi="Arial" w:cs="Arial"/>
          <w:lang w:val="hr-HR"/>
        </w:rPr>
        <w:t>na</w:t>
      </w:r>
      <w:r w:rsidRPr="00EF689B">
        <w:rPr>
          <w:rFonts w:ascii="Arial" w:eastAsia="Times New Roman" w:hAnsi="Arial" w:cs="Arial"/>
          <w:spacing w:val="-2"/>
          <w:lang w:val="hr-HR"/>
        </w:rPr>
        <w:t xml:space="preserve"> zemljište),</w:t>
      </w:r>
    </w:p>
    <w:p w14:paraId="466469D4" w14:textId="77777777" w:rsidR="00156696" w:rsidRPr="00EF689B" w:rsidRDefault="00156696" w:rsidP="00A23ED0">
      <w:pPr>
        <w:widowControl w:val="0"/>
        <w:numPr>
          <w:ilvl w:val="0"/>
          <w:numId w:val="73"/>
        </w:numPr>
        <w:tabs>
          <w:tab w:val="left" w:pos="1073"/>
        </w:tabs>
        <w:autoSpaceDE w:val="0"/>
        <w:autoSpaceDN w:val="0"/>
        <w:spacing w:before="162" w:line="360" w:lineRule="auto"/>
        <w:ind w:left="1073" w:hanging="355"/>
        <w:rPr>
          <w:rFonts w:ascii="Arial" w:eastAsia="Times New Roman" w:hAnsi="Arial" w:cs="Arial"/>
          <w:lang w:val="hr-HR"/>
        </w:rPr>
      </w:pPr>
      <w:r w:rsidRPr="00EF689B">
        <w:rPr>
          <w:rFonts w:ascii="Arial" w:eastAsia="Times New Roman" w:hAnsi="Arial" w:cs="Arial"/>
          <w:lang w:val="hr-HR"/>
        </w:rPr>
        <w:t>u</w:t>
      </w:r>
      <w:r w:rsidRPr="00EF689B">
        <w:rPr>
          <w:rFonts w:ascii="Arial" w:eastAsia="Times New Roman" w:hAnsi="Arial" w:cs="Arial"/>
          <w:spacing w:val="-2"/>
          <w:lang w:val="hr-HR"/>
        </w:rPr>
        <w:t xml:space="preserve"> </w:t>
      </w:r>
      <w:r w:rsidRPr="00EF689B">
        <w:rPr>
          <w:rFonts w:ascii="Arial" w:eastAsia="Times New Roman" w:hAnsi="Arial" w:cs="Arial"/>
          <w:lang w:val="hr-HR"/>
        </w:rPr>
        <w:t>šumarstvu</w:t>
      </w:r>
      <w:r w:rsidRPr="00EF689B">
        <w:rPr>
          <w:rFonts w:ascii="Arial" w:eastAsia="Times New Roman" w:hAnsi="Arial" w:cs="Arial"/>
          <w:spacing w:val="-1"/>
          <w:lang w:val="hr-HR"/>
        </w:rPr>
        <w:t xml:space="preserve"> </w:t>
      </w:r>
      <w:r w:rsidRPr="00EF689B">
        <w:rPr>
          <w:rFonts w:ascii="Arial" w:eastAsia="Times New Roman" w:hAnsi="Arial" w:cs="Arial"/>
          <w:lang w:val="hr-HR"/>
        </w:rPr>
        <w:t>(razastiranje na</w:t>
      </w:r>
      <w:r w:rsidRPr="00EF689B">
        <w:rPr>
          <w:rFonts w:ascii="Arial" w:eastAsia="Times New Roman" w:hAnsi="Arial" w:cs="Arial"/>
          <w:spacing w:val="-2"/>
          <w:lang w:val="hr-HR"/>
        </w:rPr>
        <w:t xml:space="preserve"> zemljište),</w:t>
      </w:r>
    </w:p>
    <w:p w14:paraId="153CD6BD" w14:textId="77777777" w:rsidR="00156696" w:rsidRPr="00EF689B" w:rsidRDefault="00156696" w:rsidP="00A23ED0">
      <w:pPr>
        <w:widowControl w:val="0"/>
        <w:numPr>
          <w:ilvl w:val="0"/>
          <w:numId w:val="73"/>
        </w:numPr>
        <w:tabs>
          <w:tab w:val="left" w:pos="1073"/>
        </w:tabs>
        <w:autoSpaceDE w:val="0"/>
        <w:autoSpaceDN w:val="0"/>
        <w:spacing w:before="161" w:line="360" w:lineRule="auto"/>
        <w:ind w:left="1073" w:hanging="355"/>
        <w:rPr>
          <w:rFonts w:ascii="Arial" w:eastAsia="Times New Roman" w:hAnsi="Arial" w:cs="Arial"/>
          <w:lang w:val="hr-HR"/>
        </w:rPr>
      </w:pPr>
      <w:r w:rsidRPr="00EF689B">
        <w:rPr>
          <w:rFonts w:ascii="Arial" w:eastAsia="Times New Roman" w:hAnsi="Arial" w:cs="Arial"/>
          <w:lang w:val="hr-HR"/>
        </w:rPr>
        <w:t xml:space="preserve">za </w:t>
      </w:r>
      <w:r w:rsidRPr="00EF689B">
        <w:rPr>
          <w:rFonts w:ascii="Arial" w:eastAsia="Times New Roman" w:hAnsi="Arial" w:cs="Arial"/>
          <w:spacing w:val="-2"/>
          <w:lang w:val="hr-HR"/>
        </w:rPr>
        <w:t>spaljivanje,</w:t>
      </w:r>
    </w:p>
    <w:p w14:paraId="5A06D9A4" w14:textId="1DABDF00" w:rsidR="00156696" w:rsidRPr="00EF689B" w:rsidRDefault="00156696" w:rsidP="00A23ED0">
      <w:pPr>
        <w:widowControl w:val="0"/>
        <w:numPr>
          <w:ilvl w:val="0"/>
          <w:numId w:val="73"/>
        </w:numPr>
        <w:tabs>
          <w:tab w:val="left" w:pos="1073"/>
        </w:tabs>
        <w:autoSpaceDE w:val="0"/>
        <w:autoSpaceDN w:val="0"/>
        <w:spacing w:before="161" w:line="360" w:lineRule="auto"/>
        <w:ind w:left="1073" w:hanging="355"/>
        <w:rPr>
          <w:rFonts w:ascii="Arial" w:eastAsia="Times New Roman" w:hAnsi="Arial" w:cs="Arial"/>
          <w:lang w:val="hr-HR"/>
        </w:rPr>
      </w:pPr>
      <w:r w:rsidRPr="00EF689B">
        <w:rPr>
          <w:rFonts w:ascii="Arial" w:eastAsia="Times New Roman" w:hAnsi="Arial" w:cs="Arial"/>
          <w:lang w:val="hr-HR"/>
        </w:rPr>
        <w:t>na</w:t>
      </w:r>
      <w:r w:rsidRPr="00EF689B">
        <w:rPr>
          <w:rFonts w:ascii="Arial" w:eastAsia="Times New Roman" w:hAnsi="Arial" w:cs="Arial"/>
          <w:spacing w:val="-2"/>
          <w:lang w:val="hr-HR"/>
        </w:rPr>
        <w:t xml:space="preserve"> deponij</w:t>
      </w:r>
      <w:r w:rsidR="00AF2C52">
        <w:rPr>
          <w:rFonts w:ascii="Arial" w:eastAsia="Times New Roman" w:hAnsi="Arial" w:cs="Arial"/>
          <w:spacing w:val="-2"/>
          <w:lang w:val="hr-HR"/>
        </w:rPr>
        <w:t>ama, kao završni prekrivni sloj</w:t>
      </w:r>
      <w:r w:rsidRPr="00EF689B">
        <w:rPr>
          <w:rFonts w:ascii="Arial" w:eastAsia="Times New Roman" w:hAnsi="Arial" w:cs="Arial"/>
          <w:spacing w:val="-2"/>
          <w:lang w:val="hr-HR"/>
        </w:rPr>
        <w:t>,</w:t>
      </w:r>
    </w:p>
    <w:p w14:paraId="2A0019FA" w14:textId="09890147" w:rsidR="00156696" w:rsidRDefault="00156696" w:rsidP="00A23ED0">
      <w:pPr>
        <w:widowControl w:val="0"/>
        <w:numPr>
          <w:ilvl w:val="0"/>
          <w:numId w:val="73"/>
        </w:numPr>
        <w:tabs>
          <w:tab w:val="left" w:pos="1073"/>
        </w:tabs>
        <w:autoSpaceDE w:val="0"/>
        <w:autoSpaceDN w:val="0"/>
        <w:spacing w:before="160" w:line="360" w:lineRule="auto"/>
        <w:ind w:left="1073" w:hanging="355"/>
        <w:rPr>
          <w:rFonts w:ascii="Arial" w:eastAsia="Times New Roman" w:hAnsi="Arial" w:cs="Arial"/>
          <w:lang w:val="hr-HR"/>
        </w:rPr>
      </w:pPr>
      <w:r w:rsidRPr="00EF689B">
        <w:rPr>
          <w:rFonts w:ascii="Arial" w:eastAsia="Times New Roman" w:hAnsi="Arial" w:cs="Arial"/>
          <w:lang w:val="hr-HR"/>
        </w:rPr>
        <w:t>za</w:t>
      </w:r>
      <w:r w:rsidRPr="00EF689B">
        <w:rPr>
          <w:rFonts w:ascii="Arial" w:eastAsia="Times New Roman" w:hAnsi="Arial" w:cs="Arial"/>
          <w:spacing w:val="-2"/>
          <w:lang w:val="hr-HR"/>
        </w:rPr>
        <w:t xml:space="preserve"> </w:t>
      </w:r>
      <w:r w:rsidRPr="00EF689B">
        <w:rPr>
          <w:rFonts w:ascii="Arial" w:eastAsia="Times New Roman" w:hAnsi="Arial" w:cs="Arial"/>
          <w:lang w:val="hr-HR"/>
        </w:rPr>
        <w:t>sanaciju</w:t>
      </w:r>
      <w:r w:rsidRPr="00EF689B">
        <w:rPr>
          <w:rFonts w:ascii="Arial" w:eastAsia="Times New Roman" w:hAnsi="Arial" w:cs="Arial"/>
          <w:spacing w:val="-1"/>
          <w:lang w:val="hr-HR"/>
        </w:rPr>
        <w:t xml:space="preserve"> </w:t>
      </w:r>
      <w:r w:rsidR="009422A8">
        <w:rPr>
          <w:rFonts w:ascii="Arial" w:eastAsia="Times New Roman" w:hAnsi="Arial" w:cs="Arial"/>
          <w:lang w:val="hr-HR"/>
        </w:rPr>
        <w:t>neuređenih odlagališta</w:t>
      </w:r>
      <w:r w:rsidRPr="00EF689B">
        <w:rPr>
          <w:rFonts w:ascii="Arial" w:eastAsia="Times New Roman" w:hAnsi="Arial" w:cs="Arial"/>
          <w:spacing w:val="-2"/>
          <w:lang w:val="hr-HR"/>
        </w:rPr>
        <w:t>.</w:t>
      </w:r>
    </w:p>
    <w:p w14:paraId="35312B8A" w14:textId="77777777" w:rsidR="00D93EEF" w:rsidRPr="00D93EEF" w:rsidRDefault="00D93EEF" w:rsidP="00D93EEF">
      <w:pPr>
        <w:widowControl w:val="0"/>
        <w:tabs>
          <w:tab w:val="left" w:pos="1073"/>
        </w:tabs>
        <w:autoSpaceDE w:val="0"/>
        <w:autoSpaceDN w:val="0"/>
        <w:spacing w:before="160" w:line="360" w:lineRule="auto"/>
        <w:ind w:left="1073"/>
        <w:rPr>
          <w:rFonts w:ascii="Arial" w:eastAsia="Times New Roman" w:hAnsi="Arial" w:cs="Arial"/>
          <w:lang w:val="hr-HR"/>
        </w:rPr>
      </w:pPr>
    </w:p>
    <w:p w14:paraId="60F1527A" w14:textId="77777777" w:rsidR="00156696" w:rsidRPr="00EF689B" w:rsidRDefault="00156696" w:rsidP="00156696">
      <w:pPr>
        <w:rPr>
          <w:rFonts w:ascii="Arial" w:hAnsi="Arial" w:cs="Arial"/>
          <w:b/>
          <w:lang w:val="hr-HR"/>
        </w:rPr>
      </w:pPr>
      <w:r w:rsidRPr="00EF689B">
        <w:rPr>
          <w:rFonts w:ascii="Arial" w:hAnsi="Arial" w:cs="Arial"/>
          <w:b/>
          <w:lang w:val="hr-HR"/>
        </w:rPr>
        <w:t>Primjena</w:t>
      </w:r>
      <w:r w:rsidRPr="00EF689B">
        <w:rPr>
          <w:rFonts w:ascii="Arial" w:hAnsi="Arial" w:cs="Arial"/>
          <w:b/>
          <w:spacing w:val="-3"/>
          <w:lang w:val="hr-HR"/>
        </w:rPr>
        <w:t xml:space="preserve"> </w:t>
      </w:r>
      <w:r w:rsidRPr="00EF689B">
        <w:rPr>
          <w:rFonts w:ascii="Arial" w:hAnsi="Arial" w:cs="Arial"/>
          <w:b/>
          <w:lang w:val="hr-HR"/>
        </w:rPr>
        <w:t>u poljoprivredi</w:t>
      </w:r>
    </w:p>
    <w:p w14:paraId="24F5F72D" w14:textId="77777777" w:rsidR="00156696" w:rsidRPr="001C25C6" w:rsidRDefault="00156696" w:rsidP="00156696">
      <w:pPr>
        <w:widowControl w:val="0"/>
        <w:autoSpaceDE w:val="0"/>
        <w:autoSpaceDN w:val="0"/>
        <w:spacing w:before="236" w:line="360" w:lineRule="auto"/>
        <w:rPr>
          <w:rFonts w:ascii="Arial" w:eastAsia="Times New Roman" w:hAnsi="Arial" w:cs="Arial"/>
          <w:lang w:val="hr-HR"/>
        </w:rPr>
      </w:pPr>
      <w:r w:rsidRPr="001C25C6">
        <w:rPr>
          <w:rFonts w:ascii="Arial" w:eastAsia="Times New Roman" w:hAnsi="Arial" w:cs="Arial"/>
          <w:lang w:val="hr-HR"/>
        </w:rPr>
        <w:t xml:space="preserve">Razastiranje mulja po zemljištu je način da se recikliraju jedinjenja koja imaju vrijednosti za upotrebu u poljoprivredi, a prisutna su u mulju. </w:t>
      </w:r>
    </w:p>
    <w:p w14:paraId="0B183F8F" w14:textId="77777777" w:rsidR="00156696" w:rsidRPr="001C25C6" w:rsidRDefault="00156696" w:rsidP="00156696">
      <w:pPr>
        <w:widowControl w:val="0"/>
        <w:autoSpaceDE w:val="0"/>
        <w:autoSpaceDN w:val="0"/>
        <w:spacing w:before="199" w:line="360" w:lineRule="auto"/>
        <w:rPr>
          <w:rFonts w:ascii="Arial" w:eastAsia="Times New Roman" w:hAnsi="Arial" w:cs="Arial"/>
          <w:lang w:val="hr-HR"/>
        </w:rPr>
      </w:pPr>
      <w:r w:rsidRPr="001C25C6">
        <w:rPr>
          <w:rFonts w:ascii="Arial" w:eastAsia="Times New Roman" w:hAnsi="Arial" w:cs="Arial"/>
          <w:lang w:val="hr-HR"/>
        </w:rPr>
        <w:t>Razastiranje mulja zamjenjuje upotrebu uobičajenih đubriva, jer sadrži jedinjenja poljoprivredne vrijednosti. Mulj takođe sadrži organske materije, iako ispod vrijednosti koja bi imala značajan pozitivan uticaj na fizičke osobine zemljišta.</w:t>
      </w:r>
    </w:p>
    <w:p w14:paraId="3C4B0BFE" w14:textId="77777777" w:rsidR="00156696" w:rsidRPr="001C25C6" w:rsidRDefault="00156696" w:rsidP="00156696">
      <w:pPr>
        <w:widowControl w:val="0"/>
        <w:autoSpaceDE w:val="0"/>
        <w:autoSpaceDN w:val="0"/>
        <w:spacing w:before="200" w:line="360" w:lineRule="auto"/>
        <w:rPr>
          <w:rFonts w:ascii="Arial" w:eastAsia="Times New Roman" w:hAnsi="Arial" w:cs="Arial"/>
          <w:lang w:val="hr-HR"/>
        </w:rPr>
      </w:pPr>
      <w:r w:rsidRPr="001C25C6">
        <w:rPr>
          <w:rFonts w:ascii="Arial" w:eastAsia="Times New Roman" w:hAnsi="Arial" w:cs="Arial"/>
          <w:lang w:val="hr-HR"/>
        </w:rPr>
        <w:t>Kompostirani mulj ipak predstavlja stabilniju organsku materiju zbog biljnog dodatka tokom procesa. Ukoliko bi se vršilo kompostiranje kanalizacionog mulja, to bi se obavljalo u okviru postrojenja za kompostiranje, koja su planirana da se izgrade u okviru regionalnih centara za upravljanje otpadom.</w:t>
      </w:r>
    </w:p>
    <w:p w14:paraId="2617EE36" w14:textId="53529AC6" w:rsidR="00156696" w:rsidRPr="001C25C6" w:rsidRDefault="00156696" w:rsidP="00156696">
      <w:pPr>
        <w:widowControl w:val="0"/>
        <w:autoSpaceDE w:val="0"/>
        <w:autoSpaceDN w:val="0"/>
        <w:spacing w:before="202" w:line="360" w:lineRule="auto"/>
        <w:rPr>
          <w:rFonts w:ascii="Arial" w:eastAsia="Times New Roman" w:hAnsi="Arial" w:cs="Arial"/>
          <w:lang w:val="hr-HR"/>
        </w:rPr>
      </w:pPr>
      <w:r w:rsidRPr="001C25C6">
        <w:rPr>
          <w:rFonts w:ascii="Arial" w:eastAsia="Times New Roman" w:hAnsi="Arial" w:cs="Arial"/>
          <w:lang w:val="hr-HR"/>
        </w:rPr>
        <w:t>Vrste kultura, zauzetost zemljišta, dostupnost na terenu, meteorološki uslovi utiču na razastiranje mulja. Uglavnom, praksa kaže da se može obavljati dva puta godišnje: na kraju l</w:t>
      </w:r>
      <w:r w:rsidR="00D93EEF">
        <w:rPr>
          <w:rFonts w:ascii="Arial" w:eastAsia="Times New Roman" w:hAnsi="Arial" w:cs="Arial"/>
          <w:lang w:val="hr-HR"/>
        </w:rPr>
        <w:t>j</w:t>
      </w:r>
      <w:r w:rsidRPr="001C25C6">
        <w:rPr>
          <w:rFonts w:ascii="Arial" w:eastAsia="Times New Roman" w:hAnsi="Arial" w:cs="Arial"/>
          <w:lang w:val="hr-HR"/>
        </w:rPr>
        <w:t>eta, posl</w:t>
      </w:r>
      <w:r w:rsidR="00D93EEF">
        <w:rPr>
          <w:rFonts w:ascii="Arial" w:eastAsia="Times New Roman" w:hAnsi="Arial" w:cs="Arial"/>
          <w:lang w:val="hr-HR"/>
        </w:rPr>
        <w:t>ij</w:t>
      </w:r>
      <w:r w:rsidRPr="001C25C6">
        <w:rPr>
          <w:rFonts w:ascii="Arial" w:eastAsia="Times New Roman" w:hAnsi="Arial" w:cs="Arial"/>
          <w:lang w:val="hr-HR"/>
        </w:rPr>
        <w:t>e žetve, odnosno u proljeće, prije oranja i sjetve.</w:t>
      </w:r>
    </w:p>
    <w:p w14:paraId="7F1A4669" w14:textId="77777777" w:rsidR="00156696" w:rsidRPr="001C25C6" w:rsidRDefault="00156696" w:rsidP="00156696">
      <w:pPr>
        <w:widowControl w:val="0"/>
        <w:autoSpaceDE w:val="0"/>
        <w:autoSpaceDN w:val="0"/>
        <w:spacing w:before="200" w:line="360" w:lineRule="auto"/>
        <w:rPr>
          <w:rFonts w:ascii="Arial" w:eastAsia="Times New Roman" w:hAnsi="Arial" w:cs="Arial"/>
          <w:lang w:val="hr-HR"/>
        </w:rPr>
      </w:pPr>
      <w:r w:rsidRPr="001C25C6">
        <w:rPr>
          <w:rFonts w:ascii="Arial" w:eastAsia="Times New Roman" w:hAnsi="Arial" w:cs="Arial"/>
          <w:lang w:val="hr-HR"/>
        </w:rPr>
        <w:lastRenderedPageBreak/>
        <w:t>Razastiranje mulja na zemljište, takođe uključuje prodiranje zagađivača sadržanih u mulju. Zagađivači prolaze različite transformacije i procese prenosa. Među tim procesima su curenje, oticanje, isparavanje, što omogućava prenos jedinjenja u vazduh i vodu i njihovo uvođenje u lanac ishrane. Od drugih uticaja, tu su i neprijatni mirisi. Akcidentene situacije, takođe mogu dovesti do povećanja emisije na zemljište i moguće smanjenje poljoprivrednih prinosa.</w:t>
      </w:r>
    </w:p>
    <w:p w14:paraId="2E0C1E36" w14:textId="77777777" w:rsidR="00156696" w:rsidRPr="001C25C6" w:rsidRDefault="00156696" w:rsidP="00156696">
      <w:pPr>
        <w:widowControl w:val="0"/>
        <w:autoSpaceDE w:val="0"/>
        <w:autoSpaceDN w:val="0"/>
        <w:spacing w:before="200" w:line="360" w:lineRule="auto"/>
        <w:rPr>
          <w:rFonts w:ascii="Arial" w:eastAsia="Times New Roman" w:hAnsi="Arial" w:cs="Arial"/>
          <w:b/>
          <w:lang w:val="hr-HR"/>
        </w:rPr>
      </w:pPr>
      <w:r w:rsidRPr="001C25C6">
        <w:rPr>
          <w:rFonts w:ascii="Arial" w:eastAsia="Times New Roman" w:hAnsi="Arial" w:cs="Arial"/>
          <w:b/>
          <w:lang w:val="hr-HR"/>
        </w:rPr>
        <w:t>Primjena u šumarstvu</w:t>
      </w:r>
    </w:p>
    <w:p w14:paraId="21EFBF08" w14:textId="77777777" w:rsidR="00156696" w:rsidRPr="001C25C6" w:rsidRDefault="00156696" w:rsidP="00156696">
      <w:pPr>
        <w:widowControl w:val="0"/>
        <w:autoSpaceDE w:val="0"/>
        <w:autoSpaceDN w:val="0"/>
        <w:spacing w:before="74" w:line="360" w:lineRule="auto"/>
        <w:rPr>
          <w:rFonts w:ascii="Arial" w:eastAsia="Times New Roman" w:hAnsi="Arial" w:cs="Arial"/>
          <w:lang w:val="hr-HR"/>
        </w:rPr>
      </w:pPr>
      <w:r w:rsidRPr="001C25C6">
        <w:rPr>
          <w:rFonts w:ascii="Arial" w:eastAsia="Times New Roman" w:hAnsi="Arial" w:cs="Arial"/>
          <w:lang w:val="hr-HR"/>
        </w:rPr>
        <w:t>Primjena mulja u šumarstvu ima ekonomski interes, ukoliko postoje dostupne oblasti za razastiranje mulja u okolini PPOV, kako bi se smanjili troškovi prevoza i zagađenja.</w:t>
      </w:r>
    </w:p>
    <w:p w14:paraId="05805F57" w14:textId="6802B40B" w:rsidR="00156696" w:rsidRPr="001C25C6" w:rsidRDefault="00156696" w:rsidP="00156696">
      <w:pPr>
        <w:widowControl w:val="0"/>
        <w:autoSpaceDE w:val="0"/>
        <w:autoSpaceDN w:val="0"/>
        <w:spacing w:before="201" w:line="360" w:lineRule="auto"/>
        <w:rPr>
          <w:rFonts w:ascii="Arial" w:eastAsia="Times New Roman" w:hAnsi="Arial" w:cs="Arial"/>
          <w:lang w:val="hr-HR"/>
        </w:rPr>
      </w:pPr>
      <w:r w:rsidRPr="001C25C6">
        <w:rPr>
          <w:rFonts w:ascii="Arial" w:eastAsia="Times New Roman" w:hAnsi="Arial" w:cs="Arial"/>
          <w:lang w:val="hr-HR"/>
        </w:rPr>
        <w:t>U šumama upotreba osušenog mulja mogla bi da se koristi preko cijele godine. Agronomske koristi su povećani rast drveća i snabdijevanje zemljišta hranljivim materijama, naročito kod mladih šuma. Još jedna prednost primjene mulja je poboljšanje sastava zemljišta u smislu agronomskih vrijednosti (naročito Ca, Mg, S i elemenata u tragovima), koja su često posebno siromašna takvim jedinjenjima.</w:t>
      </w:r>
    </w:p>
    <w:p w14:paraId="28D64062" w14:textId="77777777" w:rsidR="00156696" w:rsidRPr="001C25C6" w:rsidRDefault="00156696" w:rsidP="00156696">
      <w:pPr>
        <w:widowControl w:val="0"/>
        <w:autoSpaceDE w:val="0"/>
        <w:autoSpaceDN w:val="0"/>
        <w:spacing w:before="199" w:line="360" w:lineRule="auto"/>
        <w:rPr>
          <w:rFonts w:ascii="Arial" w:eastAsia="Times New Roman" w:hAnsi="Arial" w:cs="Arial"/>
          <w:lang w:val="hr-HR"/>
        </w:rPr>
      </w:pPr>
      <w:r w:rsidRPr="001C25C6">
        <w:rPr>
          <w:rFonts w:ascii="Arial" w:eastAsia="Times New Roman" w:hAnsi="Arial" w:cs="Arial"/>
          <w:lang w:val="hr-HR"/>
        </w:rPr>
        <w:t xml:space="preserve">Razastiranje mulja u šumarstvu ima i nedostatke. Višak tečnog mulja može dovesti do formiranja gustog zaštitnog sloja, sa stvaranjem anaerobnih uslova u humusu i zemljištu. Kao posljedica toga, javlja se degradacija humusa i gornjeg sloja zemljišta, kao i promjena prirodnog biotopa, a takođe se javlja i smanjenje mikrobiološke aktivnosti. Razastiranje mulja, takođe izaziva povećano širenje korova. </w:t>
      </w:r>
    </w:p>
    <w:p w14:paraId="3E70B6C9" w14:textId="19FB2ECE" w:rsidR="00156696" w:rsidRPr="001C25C6" w:rsidRDefault="00156696" w:rsidP="00156696">
      <w:pPr>
        <w:widowControl w:val="0"/>
        <w:autoSpaceDE w:val="0"/>
        <w:autoSpaceDN w:val="0"/>
        <w:spacing w:before="201" w:line="360" w:lineRule="auto"/>
        <w:rPr>
          <w:rFonts w:ascii="Arial" w:eastAsia="Times New Roman" w:hAnsi="Arial" w:cs="Arial"/>
          <w:lang w:val="hr-HR"/>
        </w:rPr>
      </w:pPr>
      <w:r w:rsidRPr="001C25C6">
        <w:rPr>
          <w:rFonts w:ascii="Arial" w:eastAsia="Times New Roman" w:hAnsi="Arial" w:cs="Arial"/>
          <w:lang w:val="hr-HR"/>
        </w:rPr>
        <w:t>Uticaj razastrtog mulja u šumi na zemljište, vazduh i vodu je drugačije nego na poljoprivredno zemljište. Usljed primjene mulja, dolazi do emisije zagađujućih materija u zemljište. Kod poljoprivrednog zemljišta uočena je akumulacija teških metala u gornjim slojevima (do 10 cm). Međutim, zemljište šuma je često kiselo i kao takvo može izazvati povećano kretanje metala, tako pri nekim ispitivanjima u Austriji, nije primjećeno curenje metala u podzemne vode. Osim toga, rizik da teški metali dosp</w:t>
      </w:r>
      <w:r w:rsidR="00D93EEF">
        <w:rPr>
          <w:rFonts w:ascii="Arial" w:eastAsia="Times New Roman" w:hAnsi="Arial" w:cs="Arial"/>
          <w:lang w:val="hr-HR"/>
        </w:rPr>
        <w:t>i</w:t>
      </w:r>
      <w:r w:rsidRPr="001C25C6">
        <w:rPr>
          <w:rFonts w:ascii="Arial" w:eastAsia="Times New Roman" w:hAnsi="Arial" w:cs="Arial"/>
          <w:lang w:val="hr-HR"/>
        </w:rPr>
        <w:t>ju u ljudsku ishranu su manji, jer šumski proizvodi predstavljaju samo mali dio ljudske ishrane. Međutim, neki rizici i dalje postoje zbog prenosa teških metala u divljač ili jestive vrste gljiva i u opšte na divlju floru i faunu.</w:t>
      </w:r>
    </w:p>
    <w:p w14:paraId="052105EE" w14:textId="77777777" w:rsidR="00156696" w:rsidRPr="001C25C6" w:rsidRDefault="00156696" w:rsidP="00156696">
      <w:pPr>
        <w:rPr>
          <w:rFonts w:ascii="Arial" w:hAnsi="Arial" w:cs="Arial"/>
          <w:b/>
          <w:lang w:val="hr-HR"/>
        </w:rPr>
      </w:pPr>
    </w:p>
    <w:p w14:paraId="5EED24D2" w14:textId="4463B435" w:rsidR="00156696" w:rsidRPr="003A146D" w:rsidRDefault="00156696" w:rsidP="003A146D">
      <w:pPr>
        <w:widowControl w:val="0"/>
        <w:autoSpaceDE w:val="0"/>
        <w:autoSpaceDN w:val="0"/>
        <w:spacing w:before="200" w:line="360" w:lineRule="auto"/>
        <w:rPr>
          <w:rFonts w:ascii="Arial" w:eastAsia="Times New Roman" w:hAnsi="Arial" w:cs="Arial"/>
          <w:b/>
          <w:lang w:val="hr-HR"/>
        </w:rPr>
      </w:pPr>
      <w:r w:rsidRPr="003A146D">
        <w:rPr>
          <w:rFonts w:ascii="Arial" w:eastAsia="Times New Roman" w:hAnsi="Arial" w:cs="Arial"/>
          <w:b/>
          <w:lang w:val="hr-HR"/>
        </w:rPr>
        <w:t>S</w:t>
      </w:r>
      <w:r w:rsidR="003A146D">
        <w:rPr>
          <w:rFonts w:ascii="Arial" w:eastAsia="Times New Roman" w:hAnsi="Arial" w:cs="Arial"/>
          <w:b/>
          <w:lang w:val="hr-HR"/>
        </w:rPr>
        <w:t>paljivanje mulja</w:t>
      </w:r>
    </w:p>
    <w:p w14:paraId="4AAA7051" w14:textId="0CB2CA62" w:rsidR="00156696" w:rsidRPr="00EF689B" w:rsidRDefault="00156696" w:rsidP="00156696">
      <w:pPr>
        <w:widowControl w:val="0"/>
        <w:autoSpaceDE w:val="0"/>
        <w:autoSpaceDN w:val="0"/>
        <w:spacing w:before="238" w:line="360" w:lineRule="auto"/>
        <w:rPr>
          <w:rFonts w:ascii="Arial" w:eastAsia="Times New Roman" w:hAnsi="Arial" w:cs="Arial"/>
          <w:lang w:val="hr-HR"/>
        </w:rPr>
      </w:pPr>
      <w:r w:rsidRPr="00EF689B">
        <w:rPr>
          <w:rFonts w:ascii="Arial" w:eastAsia="Times New Roman" w:hAnsi="Arial" w:cs="Arial"/>
          <w:lang w:val="hr-HR"/>
        </w:rPr>
        <w:t>Postoji</w:t>
      </w:r>
      <w:r w:rsidRPr="00EF689B">
        <w:rPr>
          <w:rFonts w:ascii="Arial" w:eastAsia="Times New Roman" w:hAnsi="Arial" w:cs="Arial"/>
          <w:spacing w:val="-4"/>
          <w:lang w:val="hr-HR"/>
        </w:rPr>
        <w:t xml:space="preserve"> </w:t>
      </w:r>
      <w:r w:rsidRPr="00EF689B">
        <w:rPr>
          <w:rFonts w:ascii="Arial" w:eastAsia="Times New Roman" w:hAnsi="Arial" w:cs="Arial"/>
          <w:lang w:val="hr-HR"/>
        </w:rPr>
        <w:t>nekoliko</w:t>
      </w:r>
      <w:r w:rsidRPr="00EF689B">
        <w:rPr>
          <w:rFonts w:ascii="Arial" w:eastAsia="Times New Roman" w:hAnsi="Arial" w:cs="Arial"/>
          <w:spacing w:val="-1"/>
          <w:lang w:val="hr-HR"/>
        </w:rPr>
        <w:t xml:space="preserve"> </w:t>
      </w:r>
      <w:r w:rsidRPr="00EF689B">
        <w:rPr>
          <w:rFonts w:ascii="Arial" w:eastAsia="Times New Roman" w:hAnsi="Arial" w:cs="Arial"/>
          <w:lang w:val="hr-HR"/>
        </w:rPr>
        <w:t>postupaka</w:t>
      </w:r>
      <w:r w:rsidRPr="00EF689B">
        <w:rPr>
          <w:rFonts w:ascii="Arial" w:eastAsia="Times New Roman" w:hAnsi="Arial" w:cs="Arial"/>
          <w:spacing w:val="-2"/>
          <w:lang w:val="hr-HR"/>
        </w:rPr>
        <w:t xml:space="preserve"> </w:t>
      </w:r>
      <w:r w:rsidRPr="00EF689B">
        <w:rPr>
          <w:rFonts w:ascii="Arial" w:eastAsia="Times New Roman" w:hAnsi="Arial" w:cs="Arial"/>
          <w:lang w:val="hr-HR"/>
        </w:rPr>
        <w:t>spaljivanja</w:t>
      </w:r>
      <w:r w:rsidRPr="00EF689B">
        <w:rPr>
          <w:rFonts w:ascii="Arial" w:eastAsia="Times New Roman" w:hAnsi="Arial" w:cs="Arial"/>
          <w:spacing w:val="-2"/>
          <w:lang w:val="hr-HR"/>
        </w:rPr>
        <w:t xml:space="preserve"> mulja:</w:t>
      </w:r>
    </w:p>
    <w:p w14:paraId="07A3C013" w14:textId="77777777" w:rsidR="00156696" w:rsidRPr="00EF689B" w:rsidRDefault="00156696" w:rsidP="00A23ED0">
      <w:pPr>
        <w:widowControl w:val="0"/>
        <w:numPr>
          <w:ilvl w:val="0"/>
          <w:numId w:val="73"/>
        </w:numPr>
        <w:tabs>
          <w:tab w:val="left" w:pos="1079"/>
        </w:tabs>
        <w:autoSpaceDE w:val="0"/>
        <w:autoSpaceDN w:val="0"/>
        <w:spacing w:before="239" w:line="360" w:lineRule="auto"/>
        <w:ind w:left="1079" w:hanging="359"/>
        <w:rPr>
          <w:rFonts w:ascii="Arial" w:eastAsia="Times New Roman" w:hAnsi="Arial" w:cs="Arial"/>
          <w:lang w:val="hr-HR"/>
        </w:rPr>
      </w:pPr>
      <w:r w:rsidRPr="00EF689B">
        <w:rPr>
          <w:rFonts w:ascii="Arial" w:eastAsia="Times New Roman" w:hAnsi="Arial" w:cs="Arial"/>
          <w:lang w:val="hr-HR"/>
        </w:rPr>
        <w:t>mono-spaljivanje</w:t>
      </w:r>
      <w:r w:rsidRPr="00EF689B">
        <w:rPr>
          <w:rFonts w:ascii="Arial" w:eastAsia="Times New Roman" w:hAnsi="Arial" w:cs="Arial"/>
          <w:spacing w:val="-4"/>
          <w:lang w:val="hr-HR"/>
        </w:rPr>
        <w:t xml:space="preserve"> </w:t>
      </w:r>
      <w:r w:rsidRPr="00EF689B">
        <w:rPr>
          <w:rFonts w:ascii="Arial" w:eastAsia="Times New Roman" w:hAnsi="Arial" w:cs="Arial"/>
          <w:lang w:val="hr-HR"/>
        </w:rPr>
        <w:t>mulja</w:t>
      </w:r>
      <w:r w:rsidRPr="00EF689B">
        <w:rPr>
          <w:rFonts w:ascii="Arial" w:eastAsia="Times New Roman" w:hAnsi="Arial" w:cs="Arial"/>
          <w:spacing w:val="-1"/>
          <w:lang w:val="hr-HR"/>
        </w:rPr>
        <w:t xml:space="preserve"> </w:t>
      </w:r>
      <w:r w:rsidRPr="00EF689B">
        <w:rPr>
          <w:rFonts w:ascii="Arial" w:eastAsia="Times New Roman" w:hAnsi="Arial" w:cs="Arial"/>
          <w:lang w:val="hr-HR"/>
        </w:rPr>
        <w:t>kada</w:t>
      </w:r>
      <w:r w:rsidRPr="00EF689B">
        <w:rPr>
          <w:rFonts w:ascii="Arial" w:eastAsia="Times New Roman" w:hAnsi="Arial" w:cs="Arial"/>
          <w:spacing w:val="-1"/>
          <w:lang w:val="hr-HR"/>
        </w:rPr>
        <w:t xml:space="preserve"> </w:t>
      </w:r>
      <w:r w:rsidRPr="00EF689B">
        <w:rPr>
          <w:rFonts w:ascii="Arial" w:eastAsia="Times New Roman" w:hAnsi="Arial" w:cs="Arial"/>
          <w:lang w:val="hr-HR"/>
        </w:rPr>
        <w:t>se</w:t>
      </w:r>
      <w:r w:rsidRPr="00EF689B">
        <w:rPr>
          <w:rFonts w:ascii="Arial" w:eastAsia="Times New Roman" w:hAnsi="Arial" w:cs="Arial"/>
          <w:spacing w:val="-2"/>
          <w:lang w:val="hr-HR"/>
        </w:rPr>
        <w:t xml:space="preserve"> </w:t>
      </w:r>
      <w:r w:rsidRPr="00EF689B">
        <w:rPr>
          <w:rFonts w:ascii="Arial" w:eastAsia="Times New Roman" w:hAnsi="Arial" w:cs="Arial"/>
          <w:lang w:val="hr-HR"/>
        </w:rPr>
        <w:t>spaljuje</w:t>
      </w:r>
      <w:r w:rsidRPr="00EF689B">
        <w:rPr>
          <w:rFonts w:ascii="Arial" w:eastAsia="Times New Roman" w:hAnsi="Arial" w:cs="Arial"/>
          <w:spacing w:val="-1"/>
          <w:lang w:val="hr-HR"/>
        </w:rPr>
        <w:t xml:space="preserve"> </w:t>
      </w:r>
      <w:r w:rsidRPr="00EF689B">
        <w:rPr>
          <w:rFonts w:ascii="Arial" w:eastAsia="Times New Roman" w:hAnsi="Arial" w:cs="Arial"/>
          <w:lang w:val="hr-HR"/>
        </w:rPr>
        <w:t>u</w:t>
      </w:r>
      <w:r w:rsidRPr="00EF689B">
        <w:rPr>
          <w:rFonts w:ascii="Arial" w:eastAsia="Times New Roman" w:hAnsi="Arial" w:cs="Arial"/>
          <w:spacing w:val="1"/>
          <w:lang w:val="hr-HR"/>
        </w:rPr>
        <w:t xml:space="preserve"> </w:t>
      </w:r>
      <w:r w:rsidRPr="00EF689B">
        <w:rPr>
          <w:rFonts w:ascii="Arial" w:eastAsia="Times New Roman" w:hAnsi="Arial" w:cs="Arial"/>
          <w:lang w:val="hr-HR"/>
        </w:rPr>
        <w:t>namjenskim</w:t>
      </w:r>
      <w:r w:rsidRPr="00EF689B">
        <w:rPr>
          <w:rFonts w:ascii="Arial" w:eastAsia="Times New Roman" w:hAnsi="Arial" w:cs="Arial"/>
          <w:spacing w:val="-1"/>
          <w:lang w:val="hr-HR"/>
        </w:rPr>
        <w:t xml:space="preserve"> </w:t>
      </w:r>
      <w:r w:rsidRPr="00EF689B">
        <w:rPr>
          <w:rFonts w:ascii="Arial" w:eastAsia="Times New Roman" w:hAnsi="Arial" w:cs="Arial"/>
          <w:lang w:val="hr-HR"/>
        </w:rPr>
        <w:t>postrojenjima</w:t>
      </w:r>
      <w:r w:rsidRPr="00EF689B">
        <w:rPr>
          <w:rFonts w:ascii="Arial" w:eastAsia="Times New Roman" w:hAnsi="Arial" w:cs="Arial"/>
          <w:spacing w:val="-1"/>
          <w:lang w:val="hr-HR"/>
        </w:rPr>
        <w:t xml:space="preserve"> </w:t>
      </w:r>
      <w:r w:rsidRPr="00EF689B">
        <w:rPr>
          <w:rFonts w:ascii="Arial" w:eastAsia="Times New Roman" w:hAnsi="Arial" w:cs="Arial"/>
          <w:lang w:val="hr-HR"/>
        </w:rPr>
        <w:t>za</w:t>
      </w:r>
      <w:r w:rsidRPr="00EF689B">
        <w:rPr>
          <w:rFonts w:ascii="Arial" w:eastAsia="Times New Roman" w:hAnsi="Arial" w:cs="Arial"/>
          <w:spacing w:val="-1"/>
          <w:lang w:val="hr-HR"/>
        </w:rPr>
        <w:t xml:space="preserve"> </w:t>
      </w:r>
      <w:r w:rsidRPr="00EF689B">
        <w:rPr>
          <w:rFonts w:ascii="Arial" w:eastAsia="Times New Roman" w:hAnsi="Arial" w:cs="Arial"/>
          <w:spacing w:val="-2"/>
          <w:lang w:val="hr-HR"/>
        </w:rPr>
        <w:t>spaljivanje,</w:t>
      </w:r>
    </w:p>
    <w:p w14:paraId="300C5AEA" w14:textId="77777777" w:rsidR="00156696" w:rsidRPr="00EF689B" w:rsidRDefault="00156696" w:rsidP="00A23ED0">
      <w:pPr>
        <w:widowControl w:val="0"/>
        <w:numPr>
          <w:ilvl w:val="0"/>
          <w:numId w:val="73"/>
        </w:numPr>
        <w:tabs>
          <w:tab w:val="left" w:pos="1079"/>
        </w:tabs>
        <w:autoSpaceDE w:val="0"/>
        <w:autoSpaceDN w:val="0"/>
        <w:spacing w:before="42" w:line="360" w:lineRule="auto"/>
        <w:ind w:left="1079" w:hanging="359"/>
        <w:rPr>
          <w:rFonts w:ascii="Arial" w:eastAsia="Times New Roman" w:hAnsi="Arial" w:cs="Arial"/>
          <w:lang w:val="hr-HR"/>
        </w:rPr>
      </w:pPr>
      <w:r w:rsidRPr="00EF689B">
        <w:rPr>
          <w:rFonts w:ascii="Arial" w:eastAsia="Times New Roman" w:hAnsi="Arial" w:cs="Arial"/>
          <w:lang w:val="hr-HR"/>
        </w:rPr>
        <w:t>spaljivanje</w:t>
      </w:r>
      <w:r w:rsidRPr="00EF689B">
        <w:rPr>
          <w:rFonts w:ascii="Arial" w:eastAsia="Times New Roman" w:hAnsi="Arial" w:cs="Arial"/>
          <w:spacing w:val="-2"/>
          <w:lang w:val="hr-HR"/>
        </w:rPr>
        <w:t xml:space="preserve"> </w:t>
      </w:r>
      <w:r w:rsidRPr="00EF689B">
        <w:rPr>
          <w:rFonts w:ascii="Arial" w:eastAsia="Times New Roman" w:hAnsi="Arial" w:cs="Arial"/>
          <w:lang w:val="hr-HR"/>
        </w:rPr>
        <w:t>sa</w:t>
      </w:r>
      <w:r w:rsidRPr="00EF689B">
        <w:rPr>
          <w:rFonts w:ascii="Arial" w:eastAsia="Times New Roman" w:hAnsi="Arial" w:cs="Arial"/>
          <w:spacing w:val="-2"/>
          <w:lang w:val="hr-HR"/>
        </w:rPr>
        <w:t xml:space="preserve"> </w:t>
      </w:r>
      <w:r w:rsidRPr="00EF689B">
        <w:rPr>
          <w:rFonts w:ascii="Arial" w:eastAsia="Times New Roman" w:hAnsi="Arial" w:cs="Arial"/>
          <w:lang w:val="hr-HR"/>
        </w:rPr>
        <w:t>drugim</w:t>
      </w:r>
      <w:r w:rsidRPr="00EF689B">
        <w:rPr>
          <w:rFonts w:ascii="Arial" w:eastAsia="Times New Roman" w:hAnsi="Arial" w:cs="Arial"/>
          <w:spacing w:val="-1"/>
          <w:lang w:val="hr-HR"/>
        </w:rPr>
        <w:t xml:space="preserve"> </w:t>
      </w:r>
      <w:r w:rsidRPr="00EF689B">
        <w:rPr>
          <w:rFonts w:ascii="Arial" w:eastAsia="Times New Roman" w:hAnsi="Arial" w:cs="Arial"/>
          <w:lang w:val="hr-HR"/>
        </w:rPr>
        <w:t>otpadima,</w:t>
      </w:r>
      <w:r w:rsidRPr="00EF689B">
        <w:rPr>
          <w:rFonts w:ascii="Arial" w:eastAsia="Times New Roman" w:hAnsi="Arial" w:cs="Arial"/>
          <w:spacing w:val="-1"/>
          <w:lang w:val="hr-HR"/>
        </w:rPr>
        <w:t xml:space="preserve"> </w:t>
      </w:r>
      <w:r w:rsidRPr="00EF689B">
        <w:rPr>
          <w:rFonts w:ascii="Arial" w:eastAsia="Times New Roman" w:hAnsi="Arial" w:cs="Arial"/>
          <w:lang w:val="hr-HR"/>
        </w:rPr>
        <w:t>uglavnom</w:t>
      </w:r>
      <w:r w:rsidRPr="00EF689B">
        <w:rPr>
          <w:rFonts w:ascii="Arial" w:eastAsia="Times New Roman" w:hAnsi="Arial" w:cs="Arial"/>
          <w:spacing w:val="-1"/>
          <w:lang w:val="hr-HR"/>
        </w:rPr>
        <w:t xml:space="preserve"> </w:t>
      </w:r>
      <w:r w:rsidRPr="00EF689B">
        <w:rPr>
          <w:rFonts w:ascii="Arial" w:eastAsia="Times New Roman" w:hAnsi="Arial" w:cs="Arial"/>
          <w:lang w:val="hr-HR"/>
        </w:rPr>
        <w:t>komunalnim</w:t>
      </w:r>
      <w:r w:rsidRPr="00EF689B">
        <w:rPr>
          <w:rFonts w:ascii="Arial" w:eastAsia="Times New Roman" w:hAnsi="Arial" w:cs="Arial"/>
          <w:spacing w:val="-1"/>
          <w:lang w:val="hr-HR"/>
        </w:rPr>
        <w:t xml:space="preserve"> </w:t>
      </w:r>
      <w:r w:rsidRPr="00EF689B">
        <w:rPr>
          <w:rFonts w:ascii="Arial" w:eastAsia="Times New Roman" w:hAnsi="Arial" w:cs="Arial"/>
          <w:spacing w:val="-2"/>
          <w:lang w:val="hr-HR"/>
        </w:rPr>
        <w:t>otpadom,</w:t>
      </w:r>
    </w:p>
    <w:p w14:paraId="65089DD2" w14:textId="77777777" w:rsidR="00156696" w:rsidRPr="00EF689B" w:rsidRDefault="00156696" w:rsidP="00A23ED0">
      <w:pPr>
        <w:widowControl w:val="0"/>
        <w:numPr>
          <w:ilvl w:val="0"/>
          <w:numId w:val="73"/>
        </w:numPr>
        <w:tabs>
          <w:tab w:val="left" w:pos="1080"/>
        </w:tabs>
        <w:autoSpaceDE w:val="0"/>
        <w:autoSpaceDN w:val="0"/>
        <w:spacing w:before="40" w:line="360" w:lineRule="auto"/>
        <w:ind w:right="716"/>
        <w:rPr>
          <w:rFonts w:ascii="Arial" w:eastAsia="Times New Roman" w:hAnsi="Arial" w:cs="Arial"/>
          <w:lang w:val="hr-HR"/>
        </w:rPr>
      </w:pPr>
      <w:r w:rsidRPr="00EF689B">
        <w:rPr>
          <w:rFonts w:ascii="Arial" w:eastAsia="Times New Roman" w:hAnsi="Arial" w:cs="Arial"/>
          <w:lang w:val="hr-HR"/>
        </w:rPr>
        <w:t xml:space="preserve">ko-spaljivanje, kada se mulj koristi kao gorivo u postrojenjima čija je svrha proizvodnja električne energije ili proizvodnja materijalnih proizvoda, kao što su elektrane na ugalj ili </w:t>
      </w:r>
      <w:r w:rsidRPr="00EF689B">
        <w:rPr>
          <w:rFonts w:ascii="Arial" w:eastAsia="Times New Roman" w:hAnsi="Arial" w:cs="Arial"/>
          <w:spacing w:val="-2"/>
          <w:lang w:val="hr-HR"/>
        </w:rPr>
        <w:t>cementare.</w:t>
      </w:r>
    </w:p>
    <w:p w14:paraId="61DE48D4" w14:textId="1115E8E6" w:rsidR="00156696" w:rsidRPr="00EF689B" w:rsidRDefault="00156696" w:rsidP="00410412">
      <w:pPr>
        <w:widowControl w:val="0"/>
        <w:autoSpaceDE w:val="0"/>
        <w:autoSpaceDN w:val="0"/>
        <w:spacing w:before="196" w:line="360" w:lineRule="auto"/>
        <w:rPr>
          <w:rFonts w:ascii="Arial" w:eastAsia="Times New Roman" w:hAnsi="Arial" w:cs="Arial"/>
          <w:lang w:val="hr-HR"/>
        </w:rPr>
      </w:pPr>
      <w:r w:rsidRPr="00EF689B">
        <w:rPr>
          <w:rFonts w:ascii="Arial" w:eastAsia="Times New Roman" w:hAnsi="Arial" w:cs="Arial"/>
          <w:lang w:val="hr-HR"/>
        </w:rPr>
        <w:t>Izlazi su dimni gasovi, pepeo i otpadne vode, kao i proizvodnja energije. Stoga spaljivanje može prouzrokovati emisije u vazduh</w:t>
      </w:r>
      <w:r w:rsidR="00410412">
        <w:rPr>
          <w:rFonts w:ascii="Arial" w:eastAsia="Times New Roman" w:hAnsi="Arial" w:cs="Arial"/>
          <w:lang w:val="hr-HR"/>
        </w:rPr>
        <w:t xml:space="preserve">u </w:t>
      </w:r>
      <w:r w:rsidRPr="00EF689B">
        <w:rPr>
          <w:rFonts w:ascii="Arial" w:eastAsia="Times New Roman" w:hAnsi="Arial" w:cs="Arial"/>
          <w:lang w:val="hr-HR"/>
        </w:rPr>
        <w:t>(čestice, kisele gasove, gasova staklene bašte, teške</w:t>
      </w:r>
      <w:r w:rsidR="00410412">
        <w:rPr>
          <w:rFonts w:ascii="Arial" w:eastAsia="Times New Roman" w:hAnsi="Arial" w:cs="Arial"/>
          <w:lang w:val="hr-HR"/>
        </w:rPr>
        <w:t xml:space="preserve"> </w:t>
      </w:r>
      <w:r w:rsidRPr="00EF689B">
        <w:rPr>
          <w:rFonts w:ascii="Arial" w:eastAsia="Times New Roman" w:hAnsi="Arial" w:cs="Arial"/>
          <w:lang w:val="hr-HR"/>
        </w:rPr>
        <w:t xml:space="preserve">metale, isparljiva organska jedinjenja, itd), tlo (odlaganje pepela i ostataka nakon obrade dimnih gasova na deponiju, </w:t>
      </w:r>
      <w:r w:rsidRPr="00EF689B">
        <w:rPr>
          <w:rFonts w:ascii="Arial" w:eastAsia="Times New Roman" w:hAnsi="Arial" w:cs="Arial"/>
          <w:lang w:val="hr-HR"/>
        </w:rPr>
        <w:lastRenderedPageBreak/>
        <w:t>atmosferski talog iz emisije u vazduh) i vode (mokri postupak obrade dimnih gasova).</w:t>
      </w:r>
    </w:p>
    <w:p w14:paraId="279CE67A" w14:textId="56F2BC2A" w:rsidR="00156696" w:rsidRPr="00EF689B" w:rsidRDefault="00156696" w:rsidP="00156696">
      <w:pPr>
        <w:widowControl w:val="0"/>
        <w:autoSpaceDE w:val="0"/>
        <w:autoSpaceDN w:val="0"/>
        <w:spacing w:before="202" w:line="360" w:lineRule="auto"/>
        <w:rPr>
          <w:rFonts w:ascii="Arial" w:eastAsia="Times New Roman" w:hAnsi="Arial" w:cs="Arial"/>
          <w:lang w:val="hr-HR"/>
        </w:rPr>
      </w:pPr>
      <w:r w:rsidRPr="00EF689B">
        <w:rPr>
          <w:rFonts w:ascii="Arial" w:eastAsia="Times New Roman" w:hAnsi="Arial" w:cs="Arial"/>
          <w:lang w:val="hr-HR"/>
        </w:rPr>
        <w:t>Rad</w:t>
      </w:r>
      <w:r w:rsidRPr="00EF689B">
        <w:rPr>
          <w:rFonts w:ascii="Arial" w:eastAsia="Times New Roman" w:hAnsi="Arial" w:cs="Arial"/>
          <w:spacing w:val="-3"/>
          <w:lang w:val="hr-HR"/>
        </w:rPr>
        <w:t xml:space="preserve"> </w:t>
      </w:r>
      <w:r w:rsidRPr="00EF689B">
        <w:rPr>
          <w:rFonts w:ascii="Arial" w:eastAsia="Times New Roman" w:hAnsi="Arial" w:cs="Arial"/>
          <w:lang w:val="hr-HR"/>
        </w:rPr>
        <w:t>na</w:t>
      </w:r>
      <w:r w:rsidRPr="00EF689B">
        <w:rPr>
          <w:rFonts w:ascii="Arial" w:eastAsia="Times New Roman" w:hAnsi="Arial" w:cs="Arial"/>
          <w:spacing w:val="-1"/>
          <w:lang w:val="hr-HR"/>
        </w:rPr>
        <w:t xml:space="preserve"> </w:t>
      </w:r>
      <w:r w:rsidRPr="00EF689B">
        <w:rPr>
          <w:rFonts w:ascii="Arial" w:eastAsia="Times New Roman" w:hAnsi="Arial" w:cs="Arial"/>
          <w:lang w:val="hr-HR"/>
        </w:rPr>
        <w:t>postrojenju</w:t>
      </w:r>
      <w:r w:rsidRPr="00EF689B">
        <w:rPr>
          <w:rFonts w:ascii="Arial" w:eastAsia="Times New Roman" w:hAnsi="Arial" w:cs="Arial"/>
          <w:spacing w:val="-1"/>
          <w:lang w:val="hr-HR"/>
        </w:rPr>
        <w:t xml:space="preserve"> </w:t>
      </w:r>
      <w:r w:rsidRPr="00EF689B">
        <w:rPr>
          <w:rFonts w:ascii="Arial" w:eastAsia="Times New Roman" w:hAnsi="Arial" w:cs="Arial"/>
          <w:lang w:val="hr-HR"/>
        </w:rPr>
        <w:t>može</w:t>
      </w:r>
      <w:r w:rsidRPr="00EF689B">
        <w:rPr>
          <w:rFonts w:ascii="Arial" w:eastAsia="Times New Roman" w:hAnsi="Arial" w:cs="Arial"/>
          <w:spacing w:val="-1"/>
          <w:lang w:val="hr-HR"/>
        </w:rPr>
        <w:t xml:space="preserve"> </w:t>
      </w:r>
      <w:r w:rsidRPr="00EF689B">
        <w:rPr>
          <w:rFonts w:ascii="Arial" w:eastAsia="Times New Roman" w:hAnsi="Arial" w:cs="Arial"/>
          <w:lang w:val="hr-HR"/>
        </w:rPr>
        <w:t>da</w:t>
      </w:r>
      <w:r w:rsidRPr="00EF689B">
        <w:rPr>
          <w:rFonts w:ascii="Arial" w:eastAsia="Times New Roman" w:hAnsi="Arial" w:cs="Arial"/>
          <w:spacing w:val="-1"/>
          <w:lang w:val="hr-HR"/>
        </w:rPr>
        <w:t xml:space="preserve"> </w:t>
      </w:r>
      <w:r w:rsidRPr="00EF689B">
        <w:rPr>
          <w:rFonts w:ascii="Arial" w:eastAsia="Times New Roman" w:hAnsi="Arial" w:cs="Arial"/>
          <w:lang w:val="hr-HR"/>
        </w:rPr>
        <w:t>proizvede</w:t>
      </w:r>
      <w:r w:rsidRPr="00EF689B">
        <w:rPr>
          <w:rFonts w:ascii="Arial" w:eastAsia="Times New Roman" w:hAnsi="Arial" w:cs="Arial"/>
          <w:spacing w:val="-2"/>
          <w:lang w:val="hr-HR"/>
        </w:rPr>
        <w:t xml:space="preserve"> </w:t>
      </w:r>
      <w:r w:rsidRPr="00EF689B">
        <w:rPr>
          <w:rFonts w:ascii="Arial" w:eastAsia="Times New Roman" w:hAnsi="Arial" w:cs="Arial"/>
          <w:lang w:val="hr-HR"/>
        </w:rPr>
        <w:t>buku, prašinu, miris</w:t>
      </w:r>
      <w:r w:rsidRPr="00EF689B">
        <w:rPr>
          <w:rFonts w:ascii="Arial" w:eastAsia="Times New Roman" w:hAnsi="Arial" w:cs="Arial"/>
          <w:spacing w:val="-2"/>
          <w:lang w:val="hr-HR"/>
        </w:rPr>
        <w:t xml:space="preserve"> </w:t>
      </w:r>
      <w:r w:rsidRPr="00EF689B">
        <w:rPr>
          <w:rFonts w:ascii="Arial" w:eastAsia="Times New Roman" w:hAnsi="Arial" w:cs="Arial"/>
          <w:lang w:val="hr-HR"/>
        </w:rPr>
        <w:t>i vizuelno</w:t>
      </w:r>
      <w:r w:rsidRPr="00EF689B">
        <w:rPr>
          <w:rFonts w:ascii="Arial" w:eastAsia="Times New Roman" w:hAnsi="Arial" w:cs="Arial"/>
          <w:spacing w:val="-2"/>
          <w:lang w:val="hr-HR"/>
        </w:rPr>
        <w:t xml:space="preserve"> zagađenje.</w:t>
      </w:r>
      <w:r w:rsidR="00410412">
        <w:rPr>
          <w:rFonts w:ascii="Arial" w:eastAsia="Times New Roman" w:hAnsi="Arial" w:cs="Arial"/>
          <w:spacing w:val="-2"/>
          <w:lang w:val="hr-HR"/>
        </w:rPr>
        <w:t xml:space="preserve"> </w:t>
      </w:r>
      <w:r w:rsidRPr="00EF689B">
        <w:rPr>
          <w:rFonts w:ascii="Arial" w:eastAsia="Times New Roman" w:hAnsi="Arial" w:cs="Arial"/>
          <w:u w:val="single"/>
          <w:lang w:val="hr-HR"/>
        </w:rPr>
        <w:t>Ukoliko je toplotna moć mulja slična komunalnom otpadu (oko 60-65% sm), mulj može da se</w:t>
      </w:r>
      <w:r w:rsidRPr="00EF689B">
        <w:rPr>
          <w:rFonts w:ascii="Arial" w:eastAsia="Times New Roman" w:hAnsi="Arial" w:cs="Arial"/>
          <w:lang w:val="hr-HR"/>
        </w:rPr>
        <w:t xml:space="preserve"> </w:t>
      </w:r>
      <w:r w:rsidRPr="00EF689B">
        <w:rPr>
          <w:rFonts w:ascii="Arial" w:eastAsia="Times New Roman" w:hAnsi="Arial" w:cs="Arial"/>
          <w:u w:val="single"/>
          <w:lang w:val="hr-HR"/>
        </w:rPr>
        <w:t>doda</w:t>
      </w:r>
      <w:r w:rsidRPr="00EF689B">
        <w:rPr>
          <w:rFonts w:ascii="Arial" w:eastAsia="Times New Roman" w:hAnsi="Arial" w:cs="Arial"/>
          <w:spacing w:val="-3"/>
          <w:u w:val="single"/>
          <w:lang w:val="hr-HR"/>
        </w:rPr>
        <w:t xml:space="preserve"> </w:t>
      </w:r>
      <w:r w:rsidRPr="00EF689B">
        <w:rPr>
          <w:rFonts w:ascii="Arial" w:eastAsia="Times New Roman" w:hAnsi="Arial" w:cs="Arial"/>
          <w:u w:val="single"/>
          <w:lang w:val="hr-HR"/>
        </w:rPr>
        <w:t>otpadu</w:t>
      </w:r>
      <w:r w:rsidRPr="00EF689B">
        <w:rPr>
          <w:rFonts w:ascii="Arial" w:eastAsia="Times New Roman" w:hAnsi="Arial" w:cs="Arial"/>
          <w:lang w:val="hr-HR"/>
        </w:rPr>
        <w:t>.</w:t>
      </w:r>
      <w:r w:rsidRPr="00EF689B">
        <w:rPr>
          <w:rFonts w:ascii="Arial" w:eastAsia="Times New Roman" w:hAnsi="Arial" w:cs="Arial"/>
          <w:spacing w:val="-2"/>
          <w:lang w:val="hr-HR"/>
        </w:rPr>
        <w:t xml:space="preserve"> </w:t>
      </w:r>
      <w:r w:rsidRPr="00EF689B">
        <w:rPr>
          <w:rFonts w:ascii="Arial" w:eastAsia="Times New Roman" w:hAnsi="Arial" w:cs="Arial"/>
          <w:lang w:val="hr-HR"/>
        </w:rPr>
        <w:t>Kada</w:t>
      </w:r>
      <w:r w:rsidRPr="00EF689B">
        <w:rPr>
          <w:rFonts w:ascii="Arial" w:eastAsia="Times New Roman" w:hAnsi="Arial" w:cs="Arial"/>
          <w:spacing w:val="-3"/>
          <w:lang w:val="hr-HR"/>
        </w:rPr>
        <w:t xml:space="preserve"> </w:t>
      </w:r>
      <w:r w:rsidRPr="00EF689B">
        <w:rPr>
          <w:rFonts w:ascii="Arial" w:eastAsia="Times New Roman" w:hAnsi="Arial" w:cs="Arial"/>
          <w:lang w:val="hr-HR"/>
        </w:rPr>
        <w:t>se</w:t>
      </w:r>
      <w:r w:rsidRPr="00EF689B">
        <w:rPr>
          <w:rFonts w:ascii="Arial" w:eastAsia="Times New Roman" w:hAnsi="Arial" w:cs="Arial"/>
          <w:spacing w:val="-3"/>
          <w:lang w:val="hr-HR"/>
        </w:rPr>
        <w:t xml:space="preserve"> </w:t>
      </w:r>
      <w:r w:rsidRPr="00EF689B">
        <w:rPr>
          <w:rFonts w:ascii="Arial" w:eastAsia="Times New Roman" w:hAnsi="Arial" w:cs="Arial"/>
          <w:lang w:val="hr-HR"/>
        </w:rPr>
        <w:t>osuši,</w:t>
      </w:r>
      <w:r w:rsidRPr="00EF689B">
        <w:rPr>
          <w:rFonts w:ascii="Arial" w:eastAsia="Times New Roman" w:hAnsi="Arial" w:cs="Arial"/>
          <w:spacing w:val="-2"/>
          <w:lang w:val="hr-HR"/>
        </w:rPr>
        <w:t xml:space="preserve"> </w:t>
      </w:r>
      <w:r w:rsidRPr="00EF689B">
        <w:rPr>
          <w:rFonts w:ascii="Arial" w:eastAsia="Times New Roman" w:hAnsi="Arial" w:cs="Arial"/>
          <w:lang w:val="hr-HR"/>
        </w:rPr>
        <w:t>mora</w:t>
      </w:r>
      <w:r w:rsidRPr="00EF689B">
        <w:rPr>
          <w:rFonts w:ascii="Arial" w:eastAsia="Times New Roman" w:hAnsi="Arial" w:cs="Arial"/>
          <w:spacing w:val="-4"/>
          <w:lang w:val="hr-HR"/>
        </w:rPr>
        <w:t xml:space="preserve"> </w:t>
      </w:r>
      <w:r w:rsidRPr="00EF689B">
        <w:rPr>
          <w:rFonts w:ascii="Arial" w:eastAsia="Times New Roman" w:hAnsi="Arial" w:cs="Arial"/>
          <w:lang w:val="hr-HR"/>
        </w:rPr>
        <w:t>biti</w:t>
      </w:r>
      <w:r w:rsidRPr="00EF689B">
        <w:rPr>
          <w:rFonts w:ascii="Arial" w:eastAsia="Times New Roman" w:hAnsi="Arial" w:cs="Arial"/>
          <w:spacing w:val="-2"/>
          <w:lang w:val="hr-HR"/>
        </w:rPr>
        <w:t xml:space="preserve"> </w:t>
      </w:r>
      <w:r w:rsidRPr="00EF689B">
        <w:rPr>
          <w:rFonts w:ascii="Arial" w:eastAsia="Times New Roman" w:hAnsi="Arial" w:cs="Arial"/>
          <w:lang w:val="hr-HR"/>
        </w:rPr>
        <w:t>pažljivo</w:t>
      </w:r>
      <w:r w:rsidRPr="00EF689B">
        <w:rPr>
          <w:rFonts w:ascii="Arial" w:eastAsia="Times New Roman" w:hAnsi="Arial" w:cs="Arial"/>
          <w:spacing w:val="-2"/>
          <w:lang w:val="hr-HR"/>
        </w:rPr>
        <w:t xml:space="preserve"> </w:t>
      </w:r>
      <w:r w:rsidRPr="00EF689B">
        <w:rPr>
          <w:rFonts w:ascii="Arial" w:eastAsia="Times New Roman" w:hAnsi="Arial" w:cs="Arial"/>
          <w:lang w:val="hr-HR"/>
        </w:rPr>
        <w:t>pom</w:t>
      </w:r>
      <w:r w:rsidR="00410412">
        <w:rPr>
          <w:rFonts w:ascii="Arial" w:eastAsia="Times New Roman" w:hAnsi="Arial" w:cs="Arial"/>
          <w:lang w:val="hr-HR"/>
        </w:rPr>
        <w:t>i</w:t>
      </w:r>
      <w:r w:rsidRPr="00EF689B">
        <w:rPr>
          <w:rFonts w:ascii="Arial" w:eastAsia="Times New Roman" w:hAnsi="Arial" w:cs="Arial"/>
          <w:lang w:val="hr-HR"/>
        </w:rPr>
        <w:t>ješan</w:t>
      </w:r>
      <w:r w:rsidRPr="00EF689B">
        <w:rPr>
          <w:rFonts w:ascii="Arial" w:eastAsia="Times New Roman" w:hAnsi="Arial" w:cs="Arial"/>
          <w:spacing w:val="-2"/>
          <w:lang w:val="hr-HR"/>
        </w:rPr>
        <w:t xml:space="preserve"> </w:t>
      </w:r>
      <w:r w:rsidRPr="00EF689B">
        <w:rPr>
          <w:rFonts w:ascii="Arial" w:eastAsia="Times New Roman" w:hAnsi="Arial" w:cs="Arial"/>
          <w:lang w:val="hr-HR"/>
        </w:rPr>
        <w:t>sa</w:t>
      </w:r>
      <w:r w:rsidRPr="00EF689B">
        <w:rPr>
          <w:rFonts w:ascii="Arial" w:eastAsia="Times New Roman" w:hAnsi="Arial" w:cs="Arial"/>
          <w:spacing w:val="-3"/>
          <w:lang w:val="hr-HR"/>
        </w:rPr>
        <w:t xml:space="preserve"> </w:t>
      </w:r>
      <w:r w:rsidRPr="00EF689B">
        <w:rPr>
          <w:rFonts w:ascii="Arial" w:eastAsia="Times New Roman" w:hAnsi="Arial" w:cs="Arial"/>
          <w:lang w:val="hr-HR"/>
        </w:rPr>
        <w:t>otpadom,</w:t>
      </w:r>
      <w:r w:rsidRPr="00EF689B">
        <w:rPr>
          <w:rFonts w:ascii="Arial" w:eastAsia="Times New Roman" w:hAnsi="Arial" w:cs="Arial"/>
          <w:spacing w:val="-2"/>
          <w:lang w:val="hr-HR"/>
        </w:rPr>
        <w:t xml:space="preserve"> </w:t>
      </w:r>
      <w:r w:rsidRPr="00EF689B">
        <w:rPr>
          <w:rFonts w:ascii="Arial" w:eastAsia="Times New Roman" w:hAnsi="Arial" w:cs="Arial"/>
          <w:lang w:val="hr-HR"/>
        </w:rPr>
        <w:t>da</w:t>
      </w:r>
      <w:r w:rsidRPr="00EF689B">
        <w:rPr>
          <w:rFonts w:ascii="Arial" w:eastAsia="Times New Roman" w:hAnsi="Arial" w:cs="Arial"/>
          <w:spacing w:val="-3"/>
          <w:lang w:val="hr-HR"/>
        </w:rPr>
        <w:t xml:space="preserve"> </w:t>
      </w:r>
      <w:r w:rsidRPr="00EF689B">
        <w:rPr>
          <w:rFonts w:ascii="Arial" w:eastAsia="Times New Roman" w:hAnsi="Arial" w:cs="Arial"/>
          <w:lang w:val="hr-HR"/>
        </w:rPr>
        <w:t>bi</w:t>
      </w:r>
      <w:r w:rsidRPr="00EF689B">
        <w:rPr>
          <w:rFonts w:ascii="Arial" w:eastAsia="Times New Roman" w:hAnsi="Arial" w:cs="Arial"/>
          <w:spacing w:val="-1"/>
          <w:lang w:val="hr-HR"/>
        </w:rPr>
        <w:t xml:space="preserve"> </w:t>
      </w:r>
      <w:r w:rsidRPr="00EF689B">
        <w:rPr>
          <w:rFonts w:ascii="Arial" w:eastAsia="Times New Roman" w:hAnsi="Arial" w:cs="Arial"/>
          <w:lang w:val="hr-HR"/>
        </w:rPr>
        <w:t>se</w:t>
      </w:r>
      <w:r w:rsidRPr="00EF689B">
        <w:rPr>
          <w:rFonts w:ascii="Arial" w:eastAsia="Times New Roman" w:hAnsi="Arial" w:cs="Arial"/>
          <w:spacing w:val="-2"/>
          <w:lang w:val="hr-HR"/>
        </w:rPr>
        <w:t xml:space="preserve"> </w:t>
      </w:r>
      <w:r w:rsidRPr="00EF689B">
        <w:rPr>
          <w:rFonts w:ascii="Arial" w:eastAsia="Times New Roman" w:hAnsi="Arial" w:cs="Arial"/>
          <w:lang w:val="hr-HR"/>
        </w:rPr>
        <w:t>izbjegle</w:t>
      </w:r>
      <w:r w:rsidRPr="00EF689B">
        <w:rPr>
          <w:rFonts w:ascii="Arial" w:eastAsia="Times New Roman" w:hAnsi="Arial" w:cs="Arial"/>
          <w:spacing w:val="-2"/>
          <w:lang w:val="hr-HR"/>
        </w:rPr>
        <w:t xml:space="preserve"> </w:t>
      </w:r>
      <w:r w:rsidRPr="00EF689B">
        <w:rPr>
          <w:rFonts w:ascii="Arial" w:eastAsia="Times New Roman" w:hAnsi="Arial" w:cs="Arial"/>
          <w:lang w:val="hr-HR"/>
        </w:rPr>
        <w:t>akcidentne situacije tokom insineracije. U tom slučaju postrojenje za spaljivanje komunalnog otpada</w:t>
      </w:r>
      <w:r w:rsidRPr="00EF689B">
        <w:rPr>
          <w:rFonts w:ascii="Arial" w:eastAsia="Times New Roman" w:hAnsi="Arial" w:cs="Arial"/>
          <w:spacing w:val="40"/>
          <w:lang w:val="hr-HR"/>
        </w:rPr>
        <w:t xml:space="preserve"> </w:t>
      </w:r>
      <w:r w:rsidRPr="00EF689B">
        <w:rPr>
          <w:rFonts w:ascii="Arial" w:eastAsia="Times New Roman" w:hAnsi="Arial" w:cs="Arial"/>
          <w:lang w:val="hr-HR"/>
        </w:rPr>
        <w:t xml:space="preserve">mora da ima dopunski dio u sistemu doziranja, kao i sušenja mulja, koji predstavlja značajan dio ukupnih investicionih ulaganja. Takođe je moguće uvesti ugušćen mulj, smanjujući troškove obrade (odvođenja vode i/ili sušenja). U ovom slučaju se međutim, smanjuje toplotna moć mulja (oko 20%). U svakom slučaju, investicioni troškovi su znatno niži nego u slučaju </w:t>
      </w:r>
      <w:r w:rsidRPr="00EF689B">
        <w:rPr>
          <w:rFonts w:ascii="Arial" w:eastAsia="Times New Roman" w:hAnsi="Arial" w:cs="Arial"/>
          <w:spacing w:val="-2"/>
          <w:lang w:val="hr-HR"/>
        </w:rPr>
        <w:t>monoinsineracije.</w:t>
      </w:r>
    </w:p>
    <w:p w14:paraId="49429AA8" w14:textId="39297285" w:rsidR="00156696" w:rsidRPr="00EF689B" w:rsidRDefault="00156696" w:rsidP="00156696">
      <w:pPr>
        <w:widowControl w:val="0"/>
        <w:autoSpaceDE w:val="0"/>
        <w:autoSpaceDN w:val="0"/>
        <w:spacing w:before="200" w:line="360" w:lineRule="auto"/>
        <w:rPr>
          <w:rFonts w:ascii="Arial" w:eastAsia="Times New Roman" w:hAnsi="Arial" w:cs="Arial"/>
          <w:lang w:val="hr-HR"/>
        </w:rPr>
      </w:pPr>
      <w:r w:rsidRPr="00EF689B">
        <w:rPr>
          <w:rFonts w:ascii="Arial" w:eastAsia="Times New Roman" w:hAnsi="Arial" w:cs="Arial"/>
          <w:lang w:val="hr-HR"/>
        </w:rPr>
        <w:t>Postoje i druge mogućnosti za insineraciju kanalizacionog mulja, kada se koriste kao gorivo u termoelektranama i cementarama. Glavni interes za korišćenje mulja u proizvodnji cementa je njegova toplotna moć.</w:t>
      </w:r>
    </w:p>
    <w:p w14:paraId="1B33EBAF" w14:textId="77777777" w:rsidR="00156696" w:rsidRPr="00EF689B" w:rsidRDefault="00156696" w:rsidP="00156696">
      <w:pPr>
        <w:widowControl w:val="0"/>
        <w:autoSpaceDE w:val="0"/>
        <w:autoSpaceDN w:val="0"/>
        <w:spacing w:before="195" w:line="360" w:lineRule="auto"/>
        <w:ind w:right="719"/>
        <w:rPr>
          <w:rFonts w:ascii="Arial" w:eastAsia="Times New Roman" w:hAnsi="Arial" w:cs="Arial"/>
          <w:lang w:val="hr-HR"/>
        </w:rPr>
      </w:pPr>
      <w:r w:rsidRPr="00EF689B">
        <w:rPr>
          <w:rFonts w:ascii="Arial" w:eastAsia="Times New Roman" w:hAnsi="Arial" w:cs="Arial"/>
          <w:b/>
          <w:bCs/>
          <w:lang w:val="hr-HR"/>
        </w:rPr>
        <w:t>Primjena</w:t>
      </w:r>
      <w:r w:rsidRPr="00EF689B">
        <w:rPr>
          <w:rFonts w:ascii="Arial" w:eastAsia="Times New Roman" w:hAnsi="Arial" w:cs="Arial"/>
          <w:b/>
          <w:bCs/>
          <w:spacing w:val="-6"/>
          <w:lang w:val="hr-HR"/>
        </w:rPr>
        <w:t xml:space="preserve"> </w:t>
      </w:r>
      <w:r w:rsidRPr="00EF689B">
        <w:rPr>
          <w:rFonts w:ascii="Arial" w:eastAsia="Times New Roman" w:hAnsi="Arial" w:cs="Arial"/>
          <w:b/>
          <w:bCs/>
          <w:lang w:val="hr-HR"/>
        </w:rPr>
        <w:t>osušenog</w:t>
      </w:r>
      <w:r w:rsidRPr="00EF689B">
        <w:rPr>
          <w:rFonts w:ascii="Arial" w:eastAsia="Times New Roman" w:hAnsi="Arial" w:cs="Arial"/>
          <w:b/>
          <w:bCs/>
          <w:spacing w:val="-1"/>
          <w:lang w:val="hr-HR"/>
        </w:rPr>
        <w:t xml:space="preserve"> </w:t>
      </w:r>
      <w:r w:rsidRPr="00EF689B">
        <w:rPr>
          <w:rFonts w:ascii="Arial" w:eastAsia="Times New Roman" w:hAnsi="Arial" w:cs="Arial"/>
          <w:b/>
          <w:bCs/>
          <w:lang w:val="hr-HR"/>
        </w:rPr>
        <w:t>mulja</w:t>
      </w:r>
      <w:r w:rsidRPr="00EF689B">
        <w:rPr>
          <w:rFonts w:ascii="Arial" w:eastAsia="Times New Roman" w:hAnsi="Arial" w:cs="Arial"/>
          <w:b/>
          <w:bCs/>
          <w:spacing w:val="-4"/>
          <w:lang w:val="hr-HR"/>
        </w:rPr>
        <w:t xml:space="preserve"> </w:t>
      </w:r>
      <w:r w:rsidRPr="00EF689B">
        <w:rPr>
          <w:rFonts w:ascii="Arial" w:eastAsia="Times New Roman" w:hAnsi="Arial" w:cs="Arial"/>
          <w:b/>
          <w:bCs/>
          <w:lang w:val="hr-HR"/>
        </w:rPr>
        <w:t>za</w:t>
      </w:r>
      <w:r w:rsidRPr="00EF689B">
        <w:rPr>
          <w:rFonts w:ascii="Arial" w:eastAsia="Times New Roman" w:hAnsi="Arial" w:cs="Arial"/>
          <w:b/>
          <w:bCs/>
          <w:spacing w:val="-3"/>
          <w:lang w:val="hr-HR"/>
        </w:rPr>
        <w:t xml:space="preserve"> </w:t>
      </w:r>
      <w:r w:rsidRPr="00EF689B">
        <w:rPr>
          <w:rFonts w:ascii="Arial" w:eastAsia="Times New Roman" w:hAnsi="Arial" w:cs="Arial"/>
          <w:b/>
          <w:bCs/>
          <w:lang w:val="hr-HR"/>
        </w:rPr>
        <w:t>sanaciju</w:t>
      </w:r>
      <w:r w:rsidRPr="00EF689B">
        <w:rPr>
          <w:rFonts w:ascii="Arial" w:eastAsia="Times New Roman" w:hAnsi="Arial" w:cs="Arial"/>
          <w:b/>
          <w:bCs/>
          <w:spacing w:val="-4"/>
          <w:lang w:val="hr-HR"/>
        </w:rPr>
        <w:t xml:space="preserve"> </w:t>
      </w:r>
      <w:r w:rsidRPr="00EF689B">
        <w:rPr>
          <w:rFonts w:ascii="Arial" w:eastAsia="Times New Roman" w:hAnsi="Arial" w:cs="Arial"/>
          <w:b/>
          <w:bCs/>
          <w:lang w:val="hr-HR"/>
        </w:rPr>
        <w:t>i</w:t>
      </w:r>
      <w:r w:rsidRPr="00EF689B">
        <w:rPr>
          <w:rFonts w:ascii="Arial" w:eastAsia="Times New Roman" w:hAnsi="Arial" w:cs="Arial"/>
          <w:b/>
          <w:bCs/>
          <w:spacing w:val="-3"/>
          <w:lang w:val="hr-HR"/>
        </w:rPr>
        <w:t xml:space="preserve"> </w:t>
      </w:r>
      <w:r w:rsidRPr="00EF689B">
        <w:rPr>
          <w:rFonts w:ascii="Arial" w:eastAsia="Times New Roman" w:hAnsi="Arial" w:cs="Arial"/>
          <w:b/>
          <w:bCs/>
          <w:lang w:val="hr-HR"/>
        </w:rPr>
        <w:t>rekultivaciju</w:t>
      </w:r>
      <w:r w:rsidRPr="00EF689B">
        <w:rPr>
          <w:rFonts w:ascii="Arial" w:eastAsia="Times New Roman" w:hAnsi="Arial" w:cs="Arial"/>
          <w:b/>
          <w:bCs/>
          <w:spacing w:val="-3"/>
          <w:lang w:val="hr-HR"/>
        </w:rPr>
        <w:t xml:space="preserve"> </w:t>
      </w:r>
      <w:r w:rsidRPr="00EF689B">
        <w:rPr>
          <w:rFonts w:ascii="Arial" w:eastAsia="Times New Roman" w:hAnsi="Arial" w:cs="Arial"/>
          <w:b/>
          <w:bCs/>
          <w:spacing w:val="-2"/>
          <w:lang w:val="hr-HR"/>
        </w:rPr>
        <w:t>zemljišta</w:t>
      </w:r>
    </w:p>
    <w:p w14:paraId="31E56B72" w14:textId="0E879651" w:rsidR="00156696" w:rsidRPr="00EF689B" w:rsidRDefault="00156696" w:rsidP="00156696">
      <w:pPr>
        <w:widowControl w:val="0"/>
        <w:autoSpaceDE w:val="0"/>
        <w:autoSpaceDN w:val="0"/>
        <w:spacing w:before="238" w:line="360" w:lineRule="auto"/>
        <w:rPr>
          <w:rFonts w:ascii="Arial" w:eastAsia="Times New Roman" w:hAnsi="Arial" w:cs="Arial"/>
          <w:lang w:val="hr-HR"/>
        </w:rPr>
      </w:pPr>
      <w:r w:rsidRPr="00EF689B">
        <w:rPr>
          <w:rFonts w:ascii="Arial" w:eastAsia="Times New Roman" w:hAnsi="Arial" w:cs="Arial"/>
          <w:lang w:val="hr-HR"/>
        </w:rPr>
        <w:t>Primjena kanalizacionog mulja u rekultivaciji i revegetaciji ima za cilj da obnovi zapuštena zemljišta ili da zaštiti zemljišta od erozije, u zavisnosti od prethodne upotrebe lokacije, međutim nema</w:t>
      </w:r>
      <w:r w:rsidRPr="00EF689B">
        <w:rPr>
          <w:rFonts w:ascii="Arial" w:eastAsia="Times New Roman" w:hAnsi="Arial" w:cs="Arial"/>
          <w:spacing w:val="-2"/>
          <w:lang w:val="hr-HR"/>
        </w:rPr>
        <w:t xml:space="preserve"> </w:t>
      </w:r>
      <w:r w:rsidRPr="00EF689B">
        <w:rPr>
          <w:rFonts w:ascii="Arial" w:eastAsia="Times New Roman" w:hAnsi="Arial" w:cs="Arial"/>
          <w:lang w:val="hr-HR"/>
        </w:rPr>
        <w:t>dovoljno</w:t>
      </w:r>
      <w:r w:rsidRPr="00EF689B">
        <w:rPr>
          <w:rFonts w:ascii="Arial" w:eastAsia="Times New Roman" w:hAnsi="Arial" w:cs="Arial"/>
          <w:spacing w:val="-1"/>
          <w:lang w:val="hr-HR"/>
        </w:rPr>
        <w:t xml:space="preserve"> </w:t>
      </w:r>
      <w:r w:rsidRPr="00EF689B">
        <w:rPr>
          <w:rFonts w:ascii="Arial" w:eastAsia="Times New Roman" w:hAnsi="Arial" w:cs="Arial"/>
          <w:lang w:val="hr-HR"/>
        </w:rPr>
        <w:t>podataka na</w:t>
      </w:r>
      <w:r w:rsidRPr="00EF689B">
        <w:rPr>
          <w:rFonts w:ascii="Arial" w:eastAsia="Times New Roman" w:hAnsi="Arial" w:cs="Arial"/>
          <w:spacing w:val="-2"/>
          <w:lang w:val="hr-HR"/>
        </w:rPr>
        <w:t xml:space="preserve"> </w:t>
      </w:r>
      <w:r w:rsidRPr="00EF689B">
        <w:rPr>
          <w:rFonts w:ascii="Arial" w:eastAsia="Times New Roman" w:hAnsi="Arial" w:cs="Arial"/>
          <w:lang w:val="hr-HR"/>
        </w:rPr>
        <w:t>raspolaganju</w:t>
      </w:r>
      <w:r w:rsidRPr="00EF689B">
        <w:rPr>
          <w:rFonts w:ascii="Arial" w:eastAsia="Times New Roman" w:hAnsi="Arial" w:cs="Arial"/>
          <w:spacing w:val="-1"/>
          <w:lang w:val="hr-HR"/>
        </w:rPr>
        <w:t xml:space="preserve"> </w:t>
      </w:r>
      <w:r w:rsidRPr="00EF689B">
        <w:rPr>
          <w:rFonts w:ascii="Arial" w:eastAsia="Times New Roman" w:hAnsi="Arial" w:cs="Arial"/>
          <w:lang w:val="hr-HR"/>
        </w:rPr>
        <w:t>u</w:t>
      </w:r>
      <w:r w:rsidRPr="00EF689B">
        <w:rPr>
          <w:rFonts w:ascii="Arial" w:eastAsia="Times New Roman" w:hAnsi="Arial" w:cs="Arial"/>
          <w:spacing w:val="-1"/>
          <w:lang w:val="hr-HR"/>
        </w:rPr>
        <w:t xml:space="preserve"> </w:t>
      </w:r>
      <w:r w:rsidRPr="00EF689B">
        <w:rPr>
          <w:rFonts w:ascii="Arial" w:eastAsia="Times New Roman" w:hAnsi="Arial" w:cs="Arial"/>
          <w:lang w:val="hr-HR"/>
        </w:rPr>
        <w:t>vezi</w:t>
      </w:r>
      <w:r w:rsidRPr="00EF689B">
        <w:rPr>
          <w:rFonts w:ascii="Arial" w:eastAsia="Times New Roman" w:hAnsi="Arial" w:cs="Arial"/>
          <w:spacing w:val="-1"/>
          <w:lang w:val="hr-HR"/>
        </w:rPr>
        <w:t xml:space="preserve"> </w:t>
      </w:r>
      <w:r w:rsidRPr="00EF689B">
        <w:rPr>
          <w:rFonts w:ascii="Arial" w:eastAsia="Times New Roman" w:hAnsi="Arial" w:cs="Arial"/>
          <w:lang w:val="hr-HR"/>
        </w:rPr>
        <w:t>sa</w:t>
      </w:r>
      <w:r w:rsidRPr="00EF689B">
        <w:rPr>
          <w:rFonts w:ascii="Arial" w:eastAsia="Times New Roman" w:hAnsi="Arial" w:cs="Arial"/>
          <w:spacing w:val="-2"/>
          <w:lang w:val="hr-HR"/>
        </w:rPr>
        <w:t xml:space="preserve"> </w:t>
      </w:r>
      <w:r w:rsidRPr="00EF689B">
        <w:rPr>
          <w:rFonts w:ascii="Arial" w:eastAsia="Times New Roman" w:hAnsi="Arial" w:cs="Arial"/>
          <w:lang w:val="hr-HR"/>
        </w:rPr>
        <w:t>uticajima</w:t>
      </w:r>
      <w:r w:rsidRPr="00EF689B">
        <w:rPr>
          <w:rFonts w:ascii="Arial" w:eastAsia="Times New Roman" w:hAnsi="Arial" w:cs="Arial"/>
          <w:spacing w:val="-2"/>
          <w:lang w:val="hr-HR"/>
        </w:rPr>
        <w:t xml:space="preserve"> </w:t>
      </w:r>
      <w:r w:rsidRPr="00EF689B">
        <w:rPr>
          <w:rFonts w:ascii="Arial" w:eastAsia="Times New Roman" w:hAnsi="Arial" w:cs="Arial"/>
          <w:lang w:val="hr-HR"/>
        </w:rPr>
        <w:t>na</w:t>
      </w:r>
      <w:r w:rsidRPr="00EF689B">
        <w:rPr>
          <w:rFonts w:ascii="Arial" w:eastAsia="Times New Roman" w:hAnsi="Arial" w:cs="Arial"/>
          <w:spacing w:val="-2"/>
          <w:lang w:val="hr-HR"/>
        </w:rPr>
        <w:t xml:space="preserve"> </w:t>
      </w:r>
      <w:r w:rsidRPr="00EF689B">
        <w:rPr>
          <w:rFonts w:ascii="Arial" w:eastAsia="Times New Roman" w:hAnsi="Arial" w:cs="Arial"/>
          <w:lang w:val="hr-HR"/>
        </w:rPr>
        <w:t>životnu</w:t>
      </w:r>
      <w:r w:rsidRPr="00EF689B">
        <w:rPr>
          <w:rFonts w:ascii="Arial" w:eastAsia="Times New Roman" w:hAnsi="Arial" w:cs="Arial"/>
          <w:spacing w:val="-1"/>
          <w:lang w:val="hr-HR"/>
        </w:rPr>
        <w:t xml:space="preserve"> </w:t>
      </w:r>
      <w:r w:rsidRPr="00EF689B">
        <w:rPr>
          <w:rFonts w:ascii="Arial" w:eastAsia="Times New Roman" w:hAnsi="Arial" w:cs="Arial"/>
          <w:lang w:val="hr-HR"/>
        </w:rPr>
        <w:t>sredinu.</w:t>
      </w:r>
      <w:r w:rsidRPr="00EF689B">
        <w:rPr>
          <w:rFonts w:ascii="Arial" w:eastAsia="Times New Roman" w:hAnsi="Arial" w:cs="Arial"/>
          <w:spacing w:val="-1"/>
          <w:lang w:val="hr-HR"/>
        </w:rPr>
        <w:t xml:space="preserve"> </w:t>
      </w:r>
      <w:r w:rsidRPr="00EF689B">
        <w:rPr>
          <w:rFonts w:ascii="Arial" w:eastAsia="Times New Roman" w:hAnsi="Arial" w:cs="Arial"/>
          <w:lang w:val="hr-HR"/>
        </w:rPr>
        <w:t>Podrazumij</w:t>
      </w:r>
      <w:r w:rsidR="00410412">
        <w:rPr>
          <w:rFonts w:ascii="Arial" w:eastAsia="Times New Roman" w:hAnsi="Arial" w:cs="Arial"/>
          <w:lang w:val="hr-HR"/>
        </w:rPr>
        <w:t>e</w:t>
      </w:r>
      <w:r w:rsidRPr="00EF689B">
        <w:rPr>
          <w:rFonts w:ascii="Arial" w:eastAsia="Times New Roman" w:hAnsi="Arial" w:cs="Arial"/>
          <w:lang w:val="hr-HR"/>
        </w:rPr>
        <w:t>va</w:t>
      </w:r>
      <w:r w:rsidRPr="00EF689B">
        <w:rPr>
          <w:rFonts w:ascii="Arial" w:eastAsia="Times New Roman" w:hAnsi="Arial" w:cs="Arial"/>
          <w:spacing w:val="-2"/>
          <w:lang w:val="hr-HR"/>
        </w:rPr>
        <w:t xml:space="preserve"> </w:t>
      </w:r>
      <w:r w:rsidRPr="00EF689B">
        <w:rPr>
          <w:rFonts w:ascii="Arial" w:eastAsia="Times New Roman" w:hAnsi="Arial" w:cs="Arial"/>
          <w:lang w:val="hr-HR"/>
        </w:rPr>
        <w:t>se da je rizik niži nego u slučaju razastiranja mulja na poljoprivrednom zemljištu.</w:t>
      </w:r>
    </w:p>
    <w:p w14:paraId="4957CA35" w14:textId="5076B4A6" w:rsidR="00156696" w:rsidRPr="00EF689B" w:rsidRDefault="00156696" w:rsidP="00156696">
      <w:pPr>
        <w:widowControl w:val="0"/>
        <w:autoSpaceDE w:val="0"/>
        <w:autoSpaceDN w:val="0"/>
        <w:spacing w:before="74" w:line="360" w:lineRule="auto"/>
        <w:rPr>
          <w:rFonts w:ascii="Arial" w:eastAsia="Times New Roman" w:hAnsi="Arial" w:cs="Arial"/>
          <w:lang w:val="hr-HR"/>
        </w:rPr>
      </w:pPr>
      <w:r w:rsidRPr="00EF689B">
        <w:rPr>
          <w:rFonts w:ascii="Arial" w:eastAsia="Times New Roman" w:hAnsi="Arial" w:cs="Arial"/>
          <w:lang w:val="hr-HR"/>
        </w:rPr>
        <w:t>U svakom slučaju, mulj koji se koristi za rekultivaciju i sanaciju treba da bude prethodno</w:t>
      </w:r>
      <w:r w:rsidRPr="00EF689B">
        <w:rPr>
          <w:rFonts w:ascii="Arial" w:eastAsia="Times New Roman" w:hAnsi="Arial" w:cs="Arial"/>
          <w:spacing w:val="40"/>
          <w:lang w:val="hr-HR"/>
        </w:rPr>
        <w:t xml:space="preserve"> </w:t>
      </w:r>
      <w:r w:rsidR="001B50D2">
        <w:rPr>
          <w:rFonts w:ascii="Arial" w:eastAsia="Times New Roman" w:hAnsi="Arial" w:cs="Arial"/>
          <w:lang w:val="hr-HR"/>
        </w:rPr>
        <w:t>obrađen</w:t>
      </w:r>
      <w:r w:rsidRPr="00EF689B">
        <w:rPr>
          <w:rFonts w:ascii="Arial" w:eastAsia="Times New Roman" w:hAnsi="Arial" w:cs="Arial"/>
          <w:lang w:val="hr-HR"/>
        </w:rPr>
        <w:t>, da bi se obezb</w:t>
      </w:r>
      <w:r w:rsidR="00410412">
        <w:rPr>
          <w:rFonts w:ascii="Arial" w:eastAsia="Times New Roman" w:hAnsi="Arial" w:cs="Arial"/>
          <w:lang w:val="hr-HR"/>
        </w:rPr>
        <w:t>ij</w:t>
      </w:r>
      <w:r w:rsidRPr="00EF689B">
        <w:rPr>
          <w:rFonts w:ascii="Arial" w:eastAsia="Times New Roman" w:hAnsi="Arial" w:cs="Arial"/>
          <w:lang w:val="hr-HR"/>
        </w:rPr>
        <w:t>edila dovoljna dezinfekcija i da se smanji prisustvo neprijatnih mirisa.</w:t>
      </w:r>
    </w:p>
    <w:p w14:paraId="47F52C45" w14:textId="77777777" w:rsidR="00156696" w:rsidRPr="00EF689B" w:rsidRDefault="00156696" w:rsidP="00156696">
      <w:pPr>
        <w:widowControl w:val="0"/>
        <w:autoSpaceDE w:val="0"/>
        <w:autoSpaceDN w:val="0"/>
        <w:spacing w:before="74" w:line="360" w:lineRule="auto"/>
        <w:rPr>
          <w:rFonts w:ascii="Arial" w:eastAsia="Times New Roman" w:hAnsi="Arial" w:cs="Arial"/>
          <w:lang w:val="hr-HR"/>
        </w:rPr>
      </w:pPr>
    </w:p>
    <w:p w14:paraId="23B024D1" w14:textId="77777777" w:rsidR="00156696" w:rsidRPr="00EF689B" w:rsidRDefault="00156696" w:rsidP="00156696">
      <w:pPr>
        <w:widowControl w:val="0"/>
        <w:autoSpaceDE w:val="0"/>
        <w:autoSpaceDN w:val="0"/>
        <w:spacing w:before="74" w:line="360" w:lineRule="auto"/>
        <w:rPr>
          <w:rFonts w:ascii="Arial" w:eastAsia="Times New Roman" w:hAnsi="Arial" w:cs="Arial"/>
          <w:lang w:val="hr-HR"/>
        </w:rPr>
      </w:pPr>
      <w:r w:rsidRPr="00EF689B">
        <w:rPr>
          <w:rFonts w:ascii="Arial" w:eastAsia="Times New Roman" w:hAnsi="Arial" w:cs="Arial"/>
          <w:b/>
          <w:bCs/>
          <w:lang w:val="hr-HR"/>
        </w:rPr>
        <w:t>Druge</w:t>
      </w:r>
      <w:r w:rsidRPr="00EF689B">
        <w:rPr>
          <w:rFonts w:ascii="Arial" w:eastAsia="Times New Roman" w:hAnsi="Arial" w:cs="Arial"/>
          <w:b/>
          <w:bCs/>
          <w:spacing w:val="-5"/>
          <w:lang w:val="hr-HR"/>
        </w:rPr>
        <w:t xml:space="preserve"> </w:t>
      </w:r>
      <w:r w:rsidRPr="00EF689B">
        <w:rPr>
          <w:rFonts w:ascii="Arial" w:eastAsia="Times New Roman" w:hAnsi="Arial" w:cs="Arial"/>
          <w:b/>
          <w:bCs/>
          <w:lang w:val="hr-HR"/>
        </w:rPr>
        <w:t>primjene</w:t>
      </w:r>
      <w:r w:rsidRPr="00EF689B">
        <w:rPr>
          <w:rFonts w:ascii="Arial" w:eastAsia="Times New Roman" w:hAnsi="Arial" w:cs="Arial"/>
          <w:b/>
          <w:bCs/>
          <w:spacing w:val="-2"/>
          <w:lang w:val="hr-HR"/>
        </w:rPr>
        <w:t xml:space="preserve"> mulja</w:t>
      </w:r>
    </w:p>
    <w:p w14:paraId="37811FEC" w14:textId="74FD1599" w:rsidR="00156696" w:rsidRPr="00EF689B" w:rsidRDefault="00156696" w:rsidP="00156696">
      <w:pPr>
        <w:widowControl w:val="0"/>
        <w:autoSpaceDE w:val="0"/>
        <w:autoSpaceDN w:val="0"/>
        <w:spacing w:before="74" w:line="360" w:lineRule="auto"/>
        <w:rPr>
          <w:rFonts w:ascii="Arial" w:eastAsia="Times New Roman" w:hAnsi="Arial" w:cs="Arial"/>
          <w:lang w:val="hr-HR"/>
        </w:rPr>
      </w:pPr>
      <w:r w:rsidRPr="00EF689B">
        <w:rPr>
          <w:rFonts w:ascii="Arial" w:eastAsia="Times New Roman" w:hAnsi="Arial" w:cs="Arial"/>
          <w:lang w:val="hr-HR"/>
        </w:rPr>
        <w:t xml:space="preserve">Korišćenje mulja za melioraciju zemljišta ima za cilj da se obnovi zapuštena zemljišta ili zaštite zemljišta od erozije kroz obezbjeđenje zemljišta i povećanja biljnog </w:t>
      </w:r>
      <w:r w:rsidRPr="00EF689B">
        <w:rPr>
          <w:rFonts w:ascii="Arial" w:eastAsia="Times New Roman" w:hAnsi="Arial" w:cs="Arial"/>
          <w:spacing w:val="-2"/>
          <w:lang w:val="hr-HR"/>
        </w:rPr>
        <w:t>pokrivača.</w:t>
      </w:r>
    </w:p>
    <w:p w14:paraId="6FB26AD6" w14:textId="77777777" w:rsidR="00156696" w:rsidRPr="00EF689B" w:rsidRDefault="00156696" w:rsidP="00156696">
      <w:pPr>
        <w:widowControl w:val="0"/>
        <w:autoSpaceDE w:val="0"/>
        <w:autoSpaceDN w:val="0"/>
        <w:spacing w:before="235" w:line="360" w:lineRule="auto"/>
        <w:ind w:right="721"/>
        <w:rPr>
          <w:rFonts w:ascii="Arial" w:eastAsia="Times New Roman" w:hAnsi="Arial" w:cs="Arial"/>
          <w:lang w:val="hr-HR"/>
        </w:rPr>
      </w:pPr>
      <w:r w:rsidRPr="00EF689B">
        <w:rPr>
          <w:rFonts w:ascii="Arial" w:eastAsia="Times New Roman" w:hAnsi="Arial" w:cs="Arial"/>
          <w:b/>
          <w:bCs/>
          <w:lang w:val="hr-HR"/>
        </w:rPr>
        <w:t>Dodatni</w:t>
      </w:r>
      <w:r w:rsidRPr="00EF689B">
        <w:rPr>
          <w:rFonts w:ascii="Arial" w:eastAsia="Times New Roman" w:hAnsi="Arial" w:cs="Arial"/>
          <w:b/>
          <w:bCs/>
          <w:spacing w:val="-4"/>
          <w:lang w:val="hr-HR"/>
        </w:rPr>
        <w:t xml:space="preserve"> </w:t>
      </w:r>
      <w:r w:rsidRPr="00EF689B">
        <w:rPr>
          <w:rFonts w:ascii="Arial" w:eastAsia="Times New Roman" w:hAnsi="Arial" w:cs="Arial"/>
          <w:b/>
          <w:bCs/>
          <w:lang w:val="hr-HR"/>
        </w:rPr>
        <w:t>postupak</w:t>
      </w:r>
      <w:r w:rsidRPr="00EF689B">
        <w:rPr>
          <w:rFonts w:ascii="Arial" w:eastAsia="Times New Roman" w:hAnsi="Arial" w:cs="Arial"/>
          <w:b/>
          <w:bCs/>
          <w:spacing w:val="-1"/>
          <w:lang w:val="hr-HR"/>
        </w:rPr>
        <w:t xml:space="preserve"> </w:t>
      </w:r>
      <w:r w:rsidRPr="00EF689B">
        <w:rPr>
          <w:rFonts w:ascii="Arial" w:eastAsia="Times New Roman" w:hAnsi="Arial" w:cs="Arial"/>
          <w:b/>
          <w:bCs/>
          <w:lang w:val="hr-HR"/>
        </w:rPr>
        <w:t>obrade</w:t>
      </w:r>
      <w:r w:rsidRPr="00EF689B">
        <w:rPr>
          <w:rFonts w:ascii="Arial" w:eastAsia="Times New Roman" w:hAnsi="Arial" w:cs="Arial"/>
          <w:b/>
          <w:bCs/>
          <w:spacing w:val="-1"/>
          <w:lang w:val="hr-HR"/>
        </w:rPr>
        <w:t xml:space="preserve"> </w:t>
      </w:r>
      <w:r w:rsidRPr="00EF689B">
        <w:rPr>
          <w:rFonts w:ascii="Arial" w:eastAsia="Times New Roman" w:hAnsi="Arial" w:cs="Arial"/>
          <w:b/>
          <w:bCs/>
          <w:spacing w:val="-2"/>
          <w:lang w:val="hr-HR"/>
        </w:rPr>
        <w:t>mulja</w:t>
      </w:r>
    </w:p>
    <w:p w14:paraId="2AB9863C" w14:textId="77777777" w:rsidR="00156696" w:rsidRPr="00EF689B" w:rsidRDefault="00156696" w:rsidP="00156696">
      <w:pPr>
        <w:widowControl w:val="0"/>
        <w:autoSpaceDE w:val="0"/>
        <w:autoSpaceDN w:val="0"/>
        <w:spacing w:before="237" w:line="360" w:lineRule="auto"/>
        <w:rPr>
          <w:rFonts w:ascii="Arial" w:eastAsia="Times New Roman" w:hAnsi="Arial" w:cs="Arial"/>
          <w:lang w:val="hr-HR"/>
        </w:rPr>
      </w:pPr>
      <w:r w:rsidRPr="00EF689B">
        <w:rPr>
          <w:rFonts w:ascii="Arial" w:eastAsia="Times New Roman" w:hAnsi="Arial" w:cs="Arial"/>
          <w:lang w:val="hr-HR"/>
        </w:rPr>
        <w:t xml:space="preserve">Svaka varijanta upotrebe mulja, sem varijante u kojoj se pravi kompost od mulja, traži dodatni postupak obrade za sušenje mulja, jer PPOV proizvodi dehidrirani mulj sa 25-30% sadržaja suve </w:t>
      </w:r>
      <w:r w:rsidRPr="00EF689B">
        <w:rPr>
          <w:rFonts w:ascii="Arial" w:eastAsia="Times New Roman" w:hAnsi="Arial" w:cs="Arial"/>
          <w:spacing w:val="-2"/>
          <w:lang w:val="hr-HR"/>
        </w:rPr>
        <w:t>materije.</w:t>
      </w:r>
    </w:p>
    <w:p w14:paraId="2A5F7441" w14:textId="77777777" w:rsidR="00156696" w:rsidRPr="00EF689B" w:rsidRDefault="00156696" w:rsidP="00156696">
      <w:pPr>
        <w:widowControl w:val="0"/>
        <w:autoSpaceDE w:val="0"/>
        <w:autoSpaceDN w:val="0"/>
        <w:spacing w:before="201" w:line="360" w:lineRule="auto"/>
        <w:rPr>
          <w:rFonts w:ascii="Arial" w:eastAsia="Times New Roman" w:hAnsi="Arial" w:cs="Arial"/>
          <w:lang w:val="hr-HR"/>
        </w:rPr>
      </w:pPr>
      <w:r w:rsidRPr="00EF689B">
        <w:rPr>
          <w:rFonts w:ascii="Arial" w:eastAsia="Times New Roman" w:hAnsi="Arial" w:cs="Arial"/>
          <w:lang w:val="hr-HR"/>
        </w:rPr>
        <w:t>Poslije obrade mulja u okviru PPOV mulj je stabilizovan, nije dezinfikovan i sadrži ostatke patogenih organizama, pa predstavlja opasnost za potencijalne korisnike.</w:t>
      </w:r>
    </w:p>
    <w:p w14:paraId="2AFBADE4" w14:textId="77777777" w:rsidR="00156696" w:rsidRPr="00EF689B" w:rsidRDefault="00156696" w:rsidP="00156696">
      <w:pPr>
        <w:widowControl w:val="0"/>
        <w:autoSpaceDE w:val="0"/>
        <w:autoSpaceDN w:val="0"/>
        <w:spacing w:before="200" w:line="360" w:lineRule="auto"/>
        <w:rPr>
          <w:rFonts w:ascii="Arial" w:eastAsia="Times New Roman" w:hAnsi="Arial" w:cs="Arial"/>
          <w:lang w:val="hr-HR"/>
        </w:rPr>
      </w:pPr>
      <w:r w:rsidRPr="00EF689B">
        <w:rPr>
          <w:rFonts w:ascii="Arial" w:eastAsia="Times New Roman" w:hAnsi="Arial" w:cs="Arial"/>
          <w:lang w:val="hr-HR"/>
        </w:rPr>
        <w:t xml:space="preserve">Razmatrani mogući dodatni postupci obrade dehidriranog mulja, kako bi se riješilo pitanje sadržaja vlage i otklanjanje patogenih organizama su: </w:t>
      </w:r>
      <w:r w:rsidRPr="00EF689B">
        <w:rPr>
          <w:rFonts w:ascii="Arial" w:eastAsia="Times New Roman" w:hAnsi="Arial" w:cs="Arial"/>
          <w:u w:val="single"/>
          <w:lang w:val="hr-HR"/>
        </w:rPr>
        <w:t>polja za sušenje mulja, solarno sušenje,</w:t>
      </w:r>
      <w:r w:rsidRPr="00EF689B">
        <w:rPr>
          <w:rFonts w:ascii="Arial" w:eastAsia="Times New Roman" w:hAnsi="Arial" w:cs="Arial"/>
          <w:lang w:val="hr-HR"/>
        </w:rPr>
        <w:t xml:space="preserve"> </w:t>
      </w:r>
      <w:r w:rsidRPr="00EF689B">
        <w:rPr>
          <w:rFonts w:ascii="Arial" w:eastAsia="Times New Roman" w:hAnsi="Arial" w:cs="Arial"/>
          <w:u w:val="single"/>
          <w:lang w:val="hr-HR"/>
        </w:rPr>
        <w:t>stabilizacija krečom i termičko sušenje mulja</w:t>
      </w:r>
      <w:r w:rsidRPr="00EF689B">
        <w:rPr>
          <w:rFonts w:ascii="Arial" w:eastAsia="Times New Roman" w:hAnsi="Arial" w:cs="Arial"/>
          <w:lang w:val="hr-HR"/>
        </w:rPr>
        <w:t>.</w:t>
      </w:r>
    </w:p>
    <w:p w14:paraId="144ADA39" w14:textId="559AE5D7" w:rsidR="00156696" w:rsidRPr="00EF689B" w:rsidRDefault="00156696" w:rsidP="00156696">
      <w:pPr>
        <w:widowControl w:val="0"/>
        <w:autoSpaceDE w:val="0"/>
        <w:autoSpaceDN w:val="0"/>
        <w:spacing w:before="200" w:line="360" w:lineRule="auto"/>
        <w:rPr>
          <w:rFonts w:ascii="Arial" w:eastAsia="Times New Roman" w:hAnsi="Arial" w:cs="Arial"/>
          <w:lang w:val="hr-HR"/>
        </w:rPr>
      </w:pPr>
      <w:r w:rsidRPr="00EF689B">
        <w:rPr>
          <w:rFonts w:ascii="Arial" w:eastAsia="Times New Roman" w:hAnsi="Arial" w:cs="Arial"/>
          <w:lang w:val="hr-HR"/>
        </w:rPr>
        <w:t xml:space="preserve">Pravilnikom o bližim uslovima koje treba da ispunjava komunalni kanalizacioni mulj, količinama, obimu, učestalosti i metodama analiza komunalnog kanalizacionog mulja za dozvoljene namjene i uslove koje </w:t>
      </w:r>
      <w:r w:rsidRPr="00EF689B">
        <w:rPr>
          <w:rFonts w:ascii="Arial" w:eastAsia="Times New Roman" w:hAnsi="Arial" w:cs="Arial"/>
          <w:lang w:val="hr-HR"/>
        </w:rPr>
        <w:lastRenderedPageBreak/>
        <w:t>treba da ispunjava zemljište planirano za njegovu primjenu</w:t>
      </w:r>
      <w:r w:rsidR="001B50D2">
        <w:rPr>
          <w:rFonts w:ascii="Arial" w:eastAsia="Times New Roman" w:hAnsi="Arial" w:cs="Arial"/>
          <w:lang w:val="hr-HR"/>
        </w:rPr>
        <w:t>,</w:t>
      </w:r>
      <w:r w:rsidRPr="00EF689B">
        <w:rPr>
          <w:rFonts w:ascii="Arial" w:eastAsia="Times New Roman" w:hAnsi="Arial" w:cs="Arial"/>
          <w:lang w:val="hr-HR"/>
        </w:rPr>
        <w:t xml:space="preserve"> definisana je količina suve materije u kanalizacionom mulju za njegovu dalju upotrebu i to:</w:t>
      </w:r>
    </w:p>
    <w:p w14:paraId="16A280BF" w14:textId="58CCC223" w:rsidR="00156696" w:rsidRPr="00EF689B" w:rsidRDefault="00156696" w:rsidP="00A23ED0">
      <w:pPr>
        <w:widowControl w:val="0"/>
        <w:numPr>
          <w:ilvl w:val="0"/>
          <w:numId w:val="77"/>
        </w:numPr>
        <w:tabs>
          <w:tab w:val="left" w:pos="720"/>
        </w:tabs>
        <w:autoSpaceDE w:val="0"/>
        <w:autoSpaceDN w:val="0"/>
        <w:spacing w:before="199" w:line="360" w:lineRule="auto"/>
        <w:rPr>
          <w:rFonts w:ascii="Arial" w:eastAsia="Times New Roman" w:hAnsi="Arial" w:cs="Arial"/>
          <w:lang w:val="hr-HR"/>
        </w:rPr>
      </w:pPr>
      <w:r w:rsidRPr="00EF689B">
        <w:rPr>
          <w:rFonts w:ascii="Arial" w:eastAsia="Times New Roman" w:hAnsi="Arial" w:cs="Arial"/>
          <w:lang w:val="hr-HR"/>
        </w:rPr>
        <w:t>50%</w:t>
      </w:r>
      <w:r w:rsidRPr="00EF689B">
        <w:rPr>
          <w:rFonts w:ascii="Arial" w:eastAsia="Times New Roman" w:hAnsi="Arial" w:cs="Arial"/>
          <w:spacing w:val="-2"/>
          <w:lang w:val="hr-HR"/>
        </w:rPr>
        <w:t xml:space="preserve"> </w:t>
      </w:r>
      <w:r w:rsidRPr="00EF689B">
        <w:rPr>
          <w:rFonts w:ascii="Arial" w:eastAsia="Times New Roman" w:hAnsi="Arial" w:cs="Arial"/>
          <w:lang w:val="hr-HR"/>
        </w:rPr>
        <w:t>suve</w:t>
      </w:r>
      <w:r w:rsidRPr="00EF689B">
        <w:rPr>
          <w:rFonts w:ascii="Arial" w:eastAsia="Times New Roman" w:hAnsi="Arial" w:cs="Arial"/>
          <w:spacing w:val="-1"/>
          <w:lang w:val="hr-HR"/>
        </w:rPr>
        <w:t xml:space="preserve"> </w:t>
      </w:r>
      <w:r w:rsidRPr="00EF689B">
        <w:rPr>
          <w:rFonts w:ascii="Arial" w:eastAsia="Times New Roman" w:hAnsi="Arial" w:cs="Arial"/>
          <w:lang w:val="hr-HR"/>
        </w:rPr>
        <w:t>materije</w:t>
      </w:r>
      <w:r w:rsidRPr="00EF689B">
        <w:rPr>
          <w:rFonts w:ascii="Arial" w:eastAsia="Times New Roman" w:hAnsi="Arial" w:cs="Arial"/>
          <w:spacing w:val="-1"/>
          <w:lang w:val="hr-HR"/>
        </w:rPr>
        <w:t xml:space="preserve"> </w:t>
      </w:r>
      <w:r w:rsidRPr="00EF689B">
        <w:rPr>
          <w:rFonts w:ascii="Arial" w:eastAsia="Times New Roman" w:hAnsi="Arial" w:cs="Arial"/>
          <w:lang w:val="hr-HR"/>
        </w:rPr>
        <w:t>za</w:t>
      </w:r>
      <w:r w:rsidRPr="00EF689B">
        <w:rPr>
          <w:rFonts w:ascii="Arial" w:eastAsia="Times New Roman" w:hAnsi="Arial" w:cs="Arial"/>
          <w:spacing w:val="-1"/>
          <w:lang w:val="hr-HR"/>
        </w:rPr>
        <w:t xml:space="preserve"> </w:t>
      </w:r>
      <w:r w:rsidRPr="00EF689B">
        <w:rPr>
          <w:rFonts w:ascii="Arial" w:eastAsia="Times New Roman" w:hAnsi="Arial" w:cs="Arial"/>
          <w:lang w:val="hr-HR"/>
        </w:rPr>
        <w:t>upotrebu</w:t>
      </w:r>
      <w:r w:rsidRPr="00EF689B">
        <w:rPr>
          <w:rFonts w:ascii="Arial" w:eastAsia="Times New Roman" w:hAnsi="Arial" w:cs="Arial"/>
          <w:spacing w:val="-1"/>
          <w:lang w:val="hr-HR"/>
        </w:rPr>
        <w:t xml:space="preserve"> </w:t>
      </w:r>
      <w:r w:rsidRPr="00EF689B">
        <w:rPr>
          <w:rFonts w:ascii="Arial" w:eastAsia="Times New Roman" w:hAnsi="Arial" w:cs="Arial"/>
          <w:lang w:val="hr-HR"/>
        </w:rPr>
        <w:t>u poljoprivredi i</w:t>
      </w:r>
      <w:r w:rsidRPr="00EF689B">
        <w:rPr>
          <w:rFonts w:ascii="Arial" w:eastAsia="Times New Roman" w:hAnsi="Arial" w:cs="Arial"/>
          <w:spacing w:val="2"/>
          <w:lang w:val="hr-HR"/>
        </w:rPr>
        <w:t xml:space="preserve"> </w:t>
      </w:r>
      <w:r w:rsidRPr="00EF689B">
        <w:rPr>
          <w:rFonts w:ascii="Arial" w:eastAsia="Times New Roman" w:hAnsi="Arial" w:cs="Arial"/>
          <w:lang w:val="hr-HR"/>
        </w:rPr>
        <w:t>na</w:t>
      </w:r>
      <w:r w:rsidRPr="00EF689B">
        <w:rPr>
          <w:rFonts w:ascii="Arial" w:eastAsia="Times New Roman" w:hAnsi="Arial" w:cs="Arial"/>
          <w:spacing w:val="-2"/>
          <w:lang w:val="hr-HR"/>
        </w:rPr>
        <w:t xml:space="preserve"> </w:t>
      </w:r>
      <w:r w:rsidRPr="00EF689B">
        <w:rPr>
          <w:rFonts w:ascii="Arial" w:eastAsia="Times New Roman" w:hAnsi="Arial" w:cs="Arial"/>
          <w:lang w:val="hr-HR"/>
        </w:rPr>
        <w:t>zelenim površinama</w:t>
      </w:r>
      <w:r w:rsidRPr="00EF689B">
        <w:rPr>
          <w:rFonts w:ascii="Arial" w:eastAsia="Times New Roman" w:hAnsi="Arial" w:cs="Arial"/>
          <w:spacing w:val="-1"/>
          <w:lang w:val="hr-HR"/>
        </w:rPr>
        <w:t xml:space="preserve"> </w:t>
      </w:r>
      <w:r w:rsidRPr="00EF689B">
        <w:rPr>
          <w:rFonts w:ascii="Arial" w:eastAsia="Times New Roman" w:hAnsi="Arial" w:cs="Arial"/>
          <w:lang w:val="hr-HR"/>
        </w:rPr>
        <w:t>u</w:t>
      </w:r>
      <w:r w:rsidRPr="00EF689B">
        <w:rPr>
          <w:rFonts w:ascii="Arial" w:eastAsia="Times New Roman" w:hAnsi="Arial" w:cs="Arial"/>
          <w:spacing w:val="2"/>
          <w:lang w:val="hr-HR"/>
        </w:rPr>
        <w:t xml:space="preserve"> </w:t>
      </w:r>
      <w:r w:rsidRPr="00EF689B">
        <w:rPr>
          <w:rFonts w:ascii="Arial" w:eastAsia="Times New Roman" w:hAnsi="Arial" w:cs="Arial"/>
          <w:lang w:val="hr-HR"/>
        </w:rPr>
        <w:t>parkovima</w:t>
      </w:r>
      <w:r w:rsidR="001B50D2">
        <w:rPr>
          <w:rFonts w:ascii="Arial" w:eastAsia="Times New Roman" w:hAnsi="Arial" w:cs="Arial"/>
          <w:lang w:val="hr-HR"/>
        </w:rPr>
        <w:t>,</w:t>
      </w:r>
      <w:r w:rsidRPr="00EF689B">
        <w:rPr>
          <w:rFonts w:ascii="Arial" w:eastAsia="Times New Roman" w:hAnsi="Arial" w:cs="Arial"/>
          <w:lang w:val="hr-HR"/>
        </w:rPr>
        <w:t xml:space="preserve"> </w:t>
      </w:r>
      <w:r w:rsidRPr="00EF689B">
        <w:rPr>
          <w:rFonts w:ascii="Arial" w:eastAsia="Times New Roman" w:hAnsi="Arial" w:cs="Arial"/>
          <w:spacing w:val="-10"/>
          <w:lang w:val="hr-HR"/>
        </w:rPr>
        <w:t>i</w:t>
      </w:r>
    </w:p>
    <w:p w14:paraId="7331D02A" w14:textId="77777777" w:rsidR="00156696" w:rsidRPr="00EF689B" w:rsidRDefault="00156696" w:rsidP="00A23ED0">
      <w:pPr>
        <w:widowControl w:val="0"/>
        <w:numPr>
          <w:ilvl w:val="0"/>
          <w:numId w:val="77"/>
        </w:numPr>
        <w:tabs>
          <w:tab w:val="left" w:pos="720"/>
        </w:tabs>
        <w:autoSpaceDE w:val="0"/>
        <w:autoSpaceDN w:val="0"/>
        <w:spacing w:before="43" w:line="360" w:lineRule="auto"/>
        <w:ind w:right="721"/>
        <w:rPr>
          <w:rFonts w:ascii="Arial" w:eastAsia="Times New Roman" w:hAnsi="Arial" w:cs="Arial"/>
          <w:lang w:val="hr-HR"/>
        </w:rPr>
      </w:pPr>
      <w:r w:rsidRPr="00EF689B">
        <w:rPr>
          <w:rFonts w:ascii="Arial" w:eastAsia="Times New Roman" w:hAnsi="Arial" w:cs="Arial"/>
          <w:lang w:val="hr-HR"/>
        </w:rPr>
        <w:t>35%</w:t>
      </w:r>
      <w:r w:rsidRPr="00EF689B">
        <w:rPr>
          <w:rFonts w:ascii="Arial" w:eastAsia="Times New Roman" w:hAnsi="Arial" w:cs="Arial"/>
          <w:spacing w:val="28"/>
          <w:lang w:val="hr-HR"/>
        </w:rPr>
        <w:t xml:space="preserve"> </w:t>
      </w:r>
      <w:r w:rsidRPr="00EF689B">
        <w:rPr>
          <w:rFonts w:ascii="Arial" w:eastAsia="Times New Roman" w:hAnsi="Arial" w:cs="Arial"/>
          <w:lang w:val="hr-HR"/>
        </w:rPr>
        <w:t>suve</w:t>
      </w:r>
      <w:r w:rsidRPr="00EF689B">
        <w:rPr>
          <w:rFonts w:ascii="Arial" w:eastAsia="Times New Roman" w:hAnsi="Arial" w:cs="Arial"/>
          <w:spacing w:val="28"/>
          <w:lang w:val="hr-HR"/>
        </w:rPr>
        <w:t xml:space="preserve"> </w:t>
      </w:r>
      <w:r w:rsidRPr="00EF689B">
        <w:rPr>
          <w:rFonts w:ascii="Arial" w:eastAsia="Times New Roman" w:hAnsi="Arial" w:cs="Arial"/>
          <w:lang w:val="hr-HR"/>
        </w:rPr>
        <w:t>materije</w:t>
      </w:r>
      <w:r w:rsidRPr="00EF689B">
        <w:rPr>
          <w:rFonts w:ascii="Arial" w:eastAsia="Times New Roman" w:hAnsi="Arial" w:cs="Arial"/>
          <w:spacing w:val="28"/>
          <w:lang w:val="hr-HR"/>
        </w:rPr>
        <w:t xml:space="preserve"> </w:t>
      </w:r>
      <w:r w:rsidRPr="00EF689B">
        <w:rPr>
          <w:rFonts w:ascii="Arial" w:eastAsia="Times New Roman" w:hAnsi="Arial" w:cs="Arial"/>
          <w:lang w:val="hr-HR"/>
        </w:rPr>
        <w:t>za</w:t>
      </w:r>
      <w:r w:rsidRPr="00EF689B">
        <w:rPr>
          <w:rFonts w:ascii="Arial" w:eastAsia="Times New Roman" w:hAnsi="Arial" w:cs="Arial"/>
          <w:spacing w:val="28"/>
          <w:lang w:val="hr-HR"/>
        </w:rPr>
        <w:t xml:space="preserve"> </w:t>
      </w:r>
      <w:r w:rsidRPr="00EF689B">
        <w:rPr>
          <w:rFonts w:ascii="Arial" w:eastAsia="Times New Roman" w:hAnsi="Arial" w:cs="Arial"/>
          <w:lang w:val="hr-HR"/>
        </w:rPr>
        <w:t>upotrebu</w:t>
      </w:r>
      <w:r w:rsidRPr="00EF689B">
        <w:rPr>
          <w:rFonts w:ascii="Arial" w:eastAsia="Times New Roman" w:hAnsi="Arial" w:cs="Arial"/>
          <w:spacing w:val="29"/>
          <w:lang w:val="hr-HR"/>
        </w:rPr>
        <w:t xml:space="preserve"> </w:t>
      </w:r>
      <w:r w:rsidRPr="00EF689B">
        <w:rPr>
          <w:rFonts w:ascii="Arial" w:eastAsia="Times New Roman" w:hAnsi="Arial" w:cs="Arial"/>
          <w:lang w:val="hr-HR"/>
        </w:rPr>
        <w:t>kao</w:t>
      </w:r>
      <w:r w:rsidRPr="00EF689B">
        <w:rPr>
          <w:rFonts w:ascii="Arial" w:eastAsia="Times New Roman" w:hAnsi="Arial" w:cs="Arial"/>
          <w:spacing w:val="29"/>
          <w:lang w:val="hr-HR"/>
        </w:rPr>
        <w:t xml:space="preserve"> </w:t>
      </w:r>
      <w:r w:rsidRPr="00EF689B">
        <w:rPr>
          <w:rFonts w:ascii="Arial" w:eastAsia="Times New Roman" w:hAnsi="Arial" w:cs="Arial"/>
          <w:lang w:val="hr-HR"/>
        </w:rPr>
        <w:t>pokrivni</w:t>
      </w:r>
      <w:r w:rsidRPr="00EF689B">
        <w:rPr>
          <w:rFonts w:ascii="Arial" w:eastAsia="Times New Roman" w:hAnsi="Arial" w:cs="Arial"/>
          <w:spacing w:val="29"/>
          <w:lang w:val="hr-HR"/>
        </w:rPr>
        <w:t xml:space="preserve"> </w:t>
      </w:r>
      <w:r w:rsidRPr="00EF689B">
        <w:rPr>
          <w:rFonts w:ascii="Arial" w:eastAsia="Times New Roman" w:hAnsi="Arial" w:cs="Arial"/>
          <w:lang w:val="hr-HR"/>
        </w:rPr>
        <w:t>sloj</w:t>
      </w:r>
      <w:r w:rsidRPr="00EF689B">
        <w:rPr>
          <w:rFonts w:ascii="Arial" w:eastAsia="Times New Roman" w:hAnsi="Arial" w:cs="Arial"/>
          <w:spacing w:val="30"/>
          <w:lang w:val="hr-HR"/>
        </w:rPr>
        <w:t xml:space="preserve"> </w:t>
      </w:r>
      <w:r w:rsidRPr="00EF689B">
        <w:rPr>
          <w:rFonts w:ascii="Arial" w:eastAsia="Times New Roman" w:hAnsi="Arial" w:cs="Arial"/>
          <w:lang w:val="hr-HR"/>
        </w:rPr>
        <w:t>na</w:t>
      </w:r>
      <w:r w:rsidRPr="00EF689B">
        <w:rPr>
          <w:rFonts w:ascii="Arial" w:eastAsia="Times New Roman" w:hAnsi="Arial" w:cs="Arial"/>
          <w:spacing w:val="28"/>
          <w:lang w:val="hr-HR"/>
        </w:rPr>
        <w:t xml:space="preserve"> </w:t>
      </w:r>
      <w:r w:rsidRPr="00EF689B">
        <w:rPr>
          <w:rFonts w:ascii="Arial" w:eastAsia="Times New Roman" w:hAnsi="Arial" w:cs="Arial"/>
          <w:lang w:val="hr-HR"/>
        </w:rPr>
        <w:t>deponijama</w:t>
      </w:r>
      <w:r w:rsidRPr="00EF689B">
        <w:rPr>
          <w:rFonts w:ascii="Arial" w:eastAsia="Times New Roman" w:hAnsi="Arial" w:cs="Arial"/>
          <w:spacing w:val="28"/>
          <w:lang w:val="hr-HR"/>
        </w:rPr>
        <w:t xml:space="preserve"> </w:t>
      </w:r>
      <w:r w:rsidRPr="00EF689B">
        <w:rPr>
          <w:rFonts w:ascii="Arial" w:eastAsia="Times New Roman" w:hAnsi="Arial" w:cs="Arial"/>
          <w:lang w:val="hr-HR"/>
        </w:rPr>
        <w:t>ili</w:t>
      </w:r>
      <w:r w:rsidRPr="00EF689B">
        <w:rPr>
          <w:rFonts w:ascii="Arial" w:eastAsia="Times New Roman" w:hAnsi="Arial" w:cs="Arial"/>
          <w:spacing w:val="29"/>
          <w:lang w:val="hr-HR"/>
        </w:rPr>
        <w:t xml:space="preserve"> </w:t>
      </w:r>
      <w:r w:rsidRPr="00EF689B">
        <w:rPr>
          <w:rFonts w:ascii="Arial" w:eastAsia="Times New Roman" w:hAnsi="Arial" w:cs="Arial"/>
          <w:lang w:val="hr-HR"/>
        </w:rPr>
        <w:t>rekultivaciju</w:t>
      </w:r>
      <w:r w:rsidRPr="00EF689B">
        <w:rPr>
          <w:rFonts w:ascii="Arial" w:eastAsia="Times New Roman" w:hAnsi="Arial" w:cs="Arial"/>
          <w:spacing w:val="29"/>
          <w:lang w:val="hr-HR"/>
        </w:rPr>
        <w:t xml:space="preserve"> </w:t>
      </w:r>
      <w:r w:rsidRPr="00EF689B">
        <w:rPr>
          <w:rFonts w:ascii="Arial" w:eastAsia="Times New Roman" w:hAnsi="Arial" w:cs="Arial"/>
          <w:lang w:val="hr-HR"/>
        </w:rPr>
        <w:t>deponija, neplodnog zemljišta i rudarskih područja.</w:t>
      </w:r>
    </w:p>
    <w:p w14:paraId="590BBE9D" w14:textId="77777777" w:rsidR="00156696" w:rsidRPr="00EF689B" w:rsidRDefault="00156696" w:rsidP="00156696">
      <w:pPr>
        <w:widowControl w:val="0"/>
        <w:autoSpaceDE w:val="0"/>
        <w:autoSpaceDN w:val="0"/>
        <w:spacing w:before="198" w:line="360" w:lineRule="auto"/>
        <w:rPr>
          <w:rFonts w:ascii="Arial" w:eastAsia="Times New Roman" w:hAnsi="Arial" w:cs="Arial"/>
          <w:lang w:val="hr-HR"/>
        </w:rPr>
      </w:pPr>
      <w:r w:rsidRPr="00EF689B">
        <w:rPr>
          <w:rFonts w:ascii="Arial" w:eastAsia="Times New Roman" w:hAnsi="Arial" w:cs="Arial"/>
          <w:lang w:val="hr-HR"/>
        </w:rPr>
        <w:t>Da bi se postigao traženi procenat suve materije u mulju, koji iz PPOV izlazi sa oko 25-30%</w:t>
      </w:r>
      <w:r w:rsidRPr="00EF689B">
        <w:rPr>
          <w:rFonts w:ascii="Arial" w:eastAsia="Times New Roman" w:hAnsi="Arial" w:cs="Arial"/>
          <w:spacing w:val="40"/>
          <w:lang w:val="hr-HR"/>
        </w:rPr>
        <w:t xml:space="preserve"> </w:t>
      </w:r>
      <w:r w:rsidRPr="00EF689B">
        <w:rPr>
          <w:rFonts w:ascii="Arial" w:eastAsia="Times New Roman" w:hAnsi="Arial" w:cs="Arial"/>
          <w:lang w:val="hr-HR"/>
        </w:rPr>
        <w:t>suve materije, neophodno je dodatno sušenje mulja.</w:t>
      </w:r>
    </w:p>
    <w:p w14:paraId="329C617B" w14:textId="0900569A" w:rsidR="00156696" w:rsidRPr="00EF689B" w:rsidRDefault="00156696" w:rsidP="00156696">
      <w:pPr>
        <w:widowControl w:val="0"/>
        <w:autoSpaceDE w:val="0"/>
        <w:autoSpaceDN w:val="0"/>
        <w:spacing w:before="195" w:line="360" w:lineRule="auto"/>
        <w:rPr>
          <w:rFonts w:ascii="Arial" w:eastAsia="Times New Roman" w:hAnsi="Arial" w:cs="Arial"/>
          <w:lang w:val="hr-HR"/>
        </w:rPr>
      </w:pPr>
      <w:r w:rsidRPr="00EF689B">
        <w:rPr>
          <w:rFonts w:ascii="Arial" w:eastAsia="Times New Roman" w:hAnsi="Arial" w:cs="Arial"/>
          <w:b/>
          <w:lang w:val="hr-HR"/>
        </w:rPr>
        <w:t xml:space="preserve">Polja za sušenje mulja </w:t>
      </w:r>
      <w:r w:rsidRPr="00EF689B">
        <w:rPr>
          <w:rFonts w:ascii="Arial" w:eastAsia="Times New Roman" w:hAnsi="Arial" w:cs="Arial"/>
          <w:lang w:val="hr-HR"/>
        </w:rPr>
        <w:t>se najćešće koriste za ocjeđivanje. Prednosti su im: niska cijena, nije potreban</w:t>
      </w:r>
      <w:r w:rsidRPr="00EF689B">
        <w:rPr>
          <w:rFonts w:ascii="Arial" w:eastAsia="Times New Roman" w:hAnsi="Arial" w:cs="Arial"/>
          <w:spacing w:val="-1"/>
          <w:lang w:val="hr-HR"/>
        </w:rPr>
        <w:t xml:space="preserve"> </w:t>
      </w:r>
      <w:r w:rsidRPr="00EF689B">
        <w:rPr>
          <w:rFonts w:ascii="Arial" w:eastAsia="Times New Roman" w:hAnsi="Arial" w:cs="Arial"/>
          <w:lang w:val="hr-HR"/>
        </w:rPr>
        <w:t>visoko</w:t>
      </w:r>
      <w:r w:rsidRPr="00EF689B">
        <w:rPr>
          <w:rFonts w:ascii="Arial" w:eastAsia="Times New Roman" w:hAnsi="Arial" w:cs="Arial"/>
          <w:spacing w:val="-1"/>
          <w:lang w:val="hr-HR"/>
        </w:rPr>
        <w:t xml:space="preserve"> </w:t>
      </w:r>
      <w:r w:rsidRPr="00EF689B">
        <w:rPr>
          <w:rFonts w:ascii="Arial" w:eastAsia="Times New Roman" w:hAnsi="Arial" w:cs="Arial"/>
          <w:lang w:val="hr-HR"/>
        </w:rPr>
        <w:t>kvalifikovan kadar</w:t>
      </w:r>
      <w:r w:rsidRPr="00EF689B">
        <w:rPr>
          <w:rFonts w:ascii="Arial" w:eastAsia="Times New Roman" w:hAnsi="Arial" w:cs="Arial"/>
          <w:spacing w:val="-1"/>
          <w:lang w:val="hr-HR"/>
        </w:rPr>
        <w:t xml:space="preserve"> </w:t>
      </w:r>
      <w:r w:rsidRPr="00EF689B">
        <w:rPr>
          <w:rFonts w:ascii="Arial" w:eastAsia="Times New Roman" w:hAnsi="Arial" w:cs="Arial"/>
          <w:lang w:val="hr-HR"/>
        </w:rPr>
        <w:t>i</w:t>
      </w:r>
      <w:r w:rsidRPr="00EF689B">
        <w:rPr>
          <w:rFonts w:ascii="Arial" w:eastAsia="Times New Roman" w:hAnsi="Arial" w:cs="Arial"/>
          <w:spacing w:val="-1"/>
          <w:lang w:val="hr-HR"/>
        </w:rPr>
        <w:t xml:space="preserve"> </w:t>
      </w:r>
      <w:r w:rsidRPr="00EF689B">
        <w:rPr>
          <w:rFonts w:ascii="Arial" w:eastAsia="Times New Roman" w:hAnsi="Arial" w:cs="Arial"/>
          <w:lang w:val="hr-HR"/>
        </w:rPr>
        <w:t>visok procenat suvih materija</w:t>
      </w:r>
      <w:r w:rsidRPr="00EF689B">
        <w:rPr>
          <w:rFonts w:ascii="Arial" w:eastAsia="Times New Roman" w:hAnsi="Arial" w:cs="Arial"/>
          <w:spacing w:val="-2"/>
          <w:lang w:val="hr-HR"/>
        </w:rPr>
        <w:t xml:space="preserve"> </w:t>
      </w:r>
      <w:r w:rsidRPr="00EF689B">
        <w:rPr>
          <w:rFonts w:ascii="Arial" w:eastAsia="Times New Roman" w:hAnsi="Arial" w:cs="Arial"/>
          <w:lang w:val="hr-HR"/>
        </w:rPr>
        <w:t>u ocjeđenom mulju.</w:t>
      </w:r>
      <w:r w:rsidRPr="00EF689B">
        <w:rPr>
          <w:rFonts w:ascii="Arial" w:eastAsia="Times New Roman" w:hAnsi="Arial" w:cs="Arial"/>
          <w:spacing w:val="-1"/>
          <w:lang w:val="hr-HR"/>
        </w:rPr>
        <w:t xml:space="preserve"> </w:t>
      </w:r>
      <w:r w:rsidRPr="00EF689B">
        <w:rPr>
          <w:rFonts w:ascii="Arial" w:eastAsia="Times New Roman" w:hAnsi="Arial" w:cs="Arial"/>
          <w:lang w:val="hr-HR"/>
        </w:rPr>
        <w:t>Najčešće se koriste pješčana polja za sušenje mulja. U tipičnom pješčanom polju mulj se nanosi u sloju od 20-30 cm i pušta da se suši. Mulj se nanosi na sloj p</w:t>
      </w:r>
      <w:r w:rsidR="00410412">
        <w:rPr>
          <w:rFonts w:ascii="Arial" w:eastAsia="Times New Roman" w:hAnsi="Arial" w:cs="Arial"/>
          <w:lang w:val="hr-HR"/>
        </w:rPr>
        <w:t>i</w:t>
      </w:r>
      <w:r w:rsidRPr="00EF689B">
        <w:rPr>
          <w:rFonts w:ascii="Arial" w:eastAsia="Times New Roman" w:hAnsi="Arial" w:cs="Arial"/>
          <w:lang w:val="hr-HR"/>
        </w:rPr>
        <w:t>jeska debljine od 20-30 cm. Dimenzije jednog</w:t>
      </w:r>
      <w:r w:rsidRPr="00EF689B">
        <w:rPr>
          <w:rFonts w:ascii="Arial" w:eastAsia="Times New Roman" w:hAnsi="Arial" w:cs="Arial"/>
          <w:spacing w:val="-2"/>
          <w:lang w:val="hr-HR"/>
        </w:rPr>
        <w:t xml:space="preserve"> </w:t>
      </w:r>
      <w:r w:rsidRPr="00EF689B">
        <w:rPr>
          <w:rFonts w:ascii="Arial" w:eastAsia="Times New Roman" w:hAnsi="Arial" w:cs="Arial"/>
          <w:lang w:val="hr-HR"/>
        </w:rPr>
        <w:t>polja</w:t>
      </w:r>
      <w:r w:rsidRPr="00EF689B">
        <w:rPr>
          <w:rFonts w:ascii="Arial" w:eastAsia="Times New Roman" w:hAnsi="Arial" w:cs="Arial"/>
          <w:spacing w:val="-2"/>
          <w:lang w:val="hr-HR"/>
        </w:rPr>
        <w:t xml:space="preserve"> </w:t>
      </w:r>
      <w:r w:rsidRPr="00EF689B">
        <w:rPr>
          <w:rFonts w:ascii="Arial" w:eastAsia="Times New Roman" w:hAnsi="Arial" w:cs="Arial"/>
          <w:lang w:val="hr-HR"/>
        </w:rPr>
        <w:t>su</w:t>
      </w:r>
      <w:r w:rsidRPr="00EF689B">
        <w:rPr>
          <w:rFonts w:ascii="Arial" w:eastAsia="Times New Roman" w:hAnsi="Arial" w:cs="Arial"/>
          <w:spacing w:val="-2"/>
          <w:lang w:val="hr-HR"/>
        </w:rPr>
        <w:t xml:space="preserve"> </w:t>
      </w:r>
      <w:r w:rsidRPr="00EF689B">
        <w:rPr>
          <w:rFonts w:ascii="Arial" w:eastAsia="Times New Roman" w:hAnsi="Arial" w:cs="Arial"/>
          <w:lang w:val="hr-HR"/>
        </w:rPr>
        <w:t>obično 6 m širine</w:t>
      </w:r>
      <w:r w:rsidRPr="00EF689B">
        <w:rPr>
          <w:rFonts w:ascii="Arial" w:eastAsia="Times New Roman" w:hAnsi="Arial" w:cs="Arial"/>
          <w:spacing w:val="-2"/>
          <w:lang w:val="hr-HR"/>
        </w:rPr>
        <w:t xml:space="preserve"> </w:t>
      </w:r>
      <w:r w:rsidRPr="00EF689B">
        <w:rPr>
          <w:rFonts w:ascii="Arial" w:eastAsia="Times New Roman" w:hAnsi="Arial" w:cs="Arial"/>
          <w:lang w:val="hr-HR"/>
        </w:rPr>
        <w:t>i</w:t>
      </w:r>
      <w:r w:rsidRPr="00EF689B">
        <w:rPr>
          <w:rFonts w:ascii="Arial" w:eastAsia="Times New Roman" w:hAnsi="Arial" w:cs="Arial"/>
          <w:spacing w:val="-1"/>
          <w:lang w:val="hr-HR"/>
        </w:rPr>
        <w:t xml:space="preserve"> </w:t>
      </w:r>
      <w:r w:rsidRPr="00EF689B">
        <w:rPr>
          <w:rFonts w:ascii="Arial" w:eastAsia="Times New Roman" w:hAnsi="Arial" w:cs="Arial"/>
          <w:lang w:val="hr-HR"/>
        </w:rPr>
        <w:t>od</w:t>
      </w:r>
      <w:r w:rsidRPr="00EF689B">
        <w:rPr>
          <w:rFonts w:ascii="Arial" w:eastAsia="Times New Roman" w:hAnsi="Arial" w:cs="Arial"/>
          <w:spacing w:val="-1"/>
          <w:lang w:val="hr-HR"/>
        </w:rPr>
        <w:t xml:space="preserve"> </w:t>
      </w:r>
      <w:r w:rsidRPr="00EF689B">
        <w:rPr>
          <w:rFonts w:ascii="Arial" w:eastAsia="Times New Roman" w:hAnsi="Arial" w:cs="Arial"/>
          <w:lang w:val="hr-HR"/>
        </w:rPr>
        <w:t>6-30</w:t>
      </w:r>
      <w:r w:rsidRPr="00EF689B">
        <w:rPr>
          <w:rFonts w:ascii="Arial" w:eastAsia="Times New Roman" w:hAnsi="Arial" w:cs="Arial"/>
          <w:spacing w:val="-1"/>
          <w:lang w:val="hr-HR"/>
        </w:rPr>
        <w:t xml:space="preserve"> </w:t>
      </w:r>
      <w:r w:rsidRPr="00EF689B">
        <w:rPr>
          <w:rFonts w:ascii="Arial" w:eastAsia="Times New Roman" w:hAnsi="Arial" w:cs="Arial"/>
          <w:lang w:val="hr-HR"/>
        </w:rPr>
        <w:t>m</w:t>
      </w:r>
      <w:r w:rsidRPr="00EF689B">
        <w:rPr>
          <w:rFonts w:ascii="Arial" w:eastAsia="Times New Roman" w:hAnsi="Arial" w:cs="Arial"/>
          <w:spacing w:val="-1"/>
          <w:lang w:val="hr-HR"/>
        </w:rPr>
        <w:t xml:space="preserve"> </w:t>
      </w:r>
      <w:r w:rsidRPr="00EF689B">
        <w:rPr>
          <w:rFonts w:ascii="Arial" w:eastAsia="Times New Roman" w:hAnsi="Arial" w:cs="Arial"/>
          <w:lang w:val="hr-HR"/>
        </w:rPr>
        <w:t>dužine. Ispod</w:t>
      </w:r>
      <w:r w:rsidRPr="00EF689B">
        <w:rPr>
          <w:rFonts w:ascii="Arial" w:eastAsia="Times New Roman" w:hAnsi="Arial" w:cs="Arial"/>
          <w:spacing w:val="-1"/>
          <w:lang w:val="hr-HR"/>
        </w:rPr>
        <w:t xml:space="preserve"> </w:t>
      </w:r>
      <w:r w:rsidRPr="00EF689B">
        <w:rPr>
          <w:rFonts w:ascii="Arial" w:eastAsia="Times New Roman" w:hAnsi="Arial" w:cs="Arial"/>
          <w:lang w:val="hr-HR"/>
        </w:rPr>
        <w:t>p</w:t>
      </w:r>
      <w:r w:rsidR="00410412">
        <w:rPr>
          <w:rFonts w:ascii="Arial" w:eastAsia="Times New Roman" w:hAnsi="Arial" w:cs="Arial"/>
          <w:lang w:val="hr-HR"/>
        </w:rPr>
        <w:t>i</w:t>
      </w:r>
      <w:r w:rsidRPr="00EF689B">
        <w:rPr>
          <w:rFonts w:ascii="Arial" w:eastAsia="Times New Roman" w:hAnsi="Arial" w:cs="Arial"/>
          <w:lang w:val="hr-HR"/>
        </w:rPr>
        <w:t>jeska</w:t>
      </w:r>
      <w:r w:rsidRPr="00EF689B">
        <w:rPr>
          <w:rFonts w:ascii="Arial" w:eastAsia="Times New Roman" w:hAnsi="Arial" w:cs="Arial"/>
          <w:spacing w:val="-2"/>
          <w:lang w:val="hr-HR"/>
        </w:rPr>
        <w:t xml:space="preserve"> </w:t>
      </w:r>
      <w:r w:rsidRPr="00EF689B">
        <w:rPr>
          <w:rFonts w:ascii="Arial" w:eastAsia="Times New Roman" w:hAnsi="Arial" w:cs="Arial"/>
          <w:lang w:val="hr-HR"/>
        </w:rPr>
        <w:t>nalaze</w:t>
      </w:r>
      <w:r w:rsidRPr="00EF689B">
        <w:rPr>
          <w:rFonts w:ascii="Arial" w:eastAsia="Times New Roman" w:hAnsi="Arial" w:cs="Arial"/>
          <w:spacing w:val="-2"/>
          <w:lang w:val="hr-HR"/>
        </w:rPr>
        <w:t xml:space="preserve"> </w:t>
      </w:r>
      <w:r w:rsidRPr="00EF689B">
        <w:rPr>
          <w:rFonts w:ascii="Arial" w:eastAsia="Times New Roman" w:hAnsi="Arial" w:cs="Arial"/>
          <w:lang w:val="hr-HR"/>
        </w:rPr>
        <w:t>se</w:t>
      </w:r>
      <w:r w:rsidRPr="00EF689B">
        <w:rPr>
          <w:rFonts w:ascii="Arial" w:eastAsia="Times New Roman" w:hAnsi="Arial" w:cs="Arial"/>
          <w:spacing w:val="-2"/>
          <w:lang w:val="hr-HR"/>
        </w:rPr>
        <w:t xml:space="preserve"> </w:t>
      </w:r>
      <w:r w:rsidRPr="00EF689B">
        <w:rPr>
          <w:rFonts w:ascii="Arial" w:eastAsia="Times New Roman" w:hAnsi="Arial" w:cs="Arial"/>
          <w:lang w:val="hr-HR"/>
        </w:rPr>
        <w:t>drenažne</w:t>
      </w:r>
      <w:r w:rsidRPr="00EF689B">
        <w:rPr>
          <w:rFonts w:ascii="Arial" w:eastAsia="Times New Roman" w:hAnsi="Arial" w:cs="Arial"/>
          <w:spacing w:val="-2"/>
          <w:lang w:val="hr-HR"/>
        </w:rPr>
        <w:t xml:space="preserve"> </w:t>
      </w:r>
      <w:r w:rsidRPr="00EF689B">
        <w:rPr>
          <w:rFonts w:ascii="Arial" w:eastAsia="Times New Roman" w:hAnsi="Arial" w:cs="Arial"/>
          <w:lang w:val="hr-HR"/>
        </w:rPr>
        <w:t>cijevi.</w:t>
      </w:r>
      <w:r w:rsidRPr="00EF689B">
        <w:rPr>
          <w:rFonts w:ascii="Arial" w:eastAsia="Times New Roman" w:hAnsi="Arial" w:cs="Arial"/>
          <w:spacing w:val="-1"/>
          <w:lang w:val="hr-HR"/>
        </w:rPr>
        <w:t xml:space="preserve"> </w:t>
      </w:r>
      <w:r w:rsidRPr="00EF689B">
        <w:rPr>
          <w:rFonts w:ascii="Arial" w:eastAsia="Times New Roman" w:hAnsi="Arial" w:cs="Arial"/>
          <w:lang w:val="hr-HR"/>
        </w:rPr>
        <w:t>Pod optimalnim uslovima vrijeme sušenja iznosi 10-15 dana</w:t>
      </w:r>
      <w:r w:rsidR="00410412">
        <w:rPr>
          <w:rFonts w:ascii="Arial" w:eastAsia="Times New Roman" w:hAnsi="Arial" w:cs="Arial"/>
          <w:lang w:val="hr-HR"/>
        </w:rPr>
        <w:t>.</w:t>
      </w:r>
      <w:r w:rsidRPr="00EF689B">
        <w:rPr>
          <w:rFonts w:ascii="Arial" w:eastAsia="Times New Roman" w:hAnsi="Arial" w:cs="Arial"/>
          <w:lang w:val="hr-HR"/>
        </w:rPr>
        <w:t xml:space="preserve"> Osušeni mulj se ručno vadi i utovara u vozilo koje ga odvozi na mjesto odlaganja. Zbog neprijatnih mirisa, polja za sušenje mulja moraju</w:t>
      </w:r>
      <w:r w:rsidRPr="00EF689B">
        <w:rPr>
          <w:rFonts w:ascii="Arial" w:eastAsia="Times New Roman" w:hAnsi="Arial" w:cs="Arial"/>
          <w:spacing w:val="19"/>
          <w:lang w:val="hr-HR"/>
        </w:rPr>
        <w:t xml:space="preserve"> </w:t>
      </w:r>
      <w:r w:rsidRPr="00EF689B">
        <w:rPr>
          <w:rFonts w:ascii="Arial" w:eastAsia="Times New Roman" w:hAnsi="Arial" w:cs="Arial"/>
          <w:lang w:val="hr-HR"/>
        </w:rPr>
        <w:t>biti</w:t>
      </w:r>
      <w:r w:rsidRPr="00EF689B">
        <w:rPr>
          <w:rFonts w:ascii="Arial" w:eastAsia="Times New Roman" w:hAnsi="Arial" w:cs="Arial"/>
          <w:spacing w:val="21"/>
          <w:lang w:val="hr-HR"/>
        </w:rPr>
        <w:t xml:space="preserve"> </w:t>
      </w:r>
      <w:r w:rsidRPr="00EF689B">
        <w:rPr>
          <w:rFonts w:ascii="Arial" w:eastAsia="Times New Roman" w:hAnsi="Arial" w:cs="Arial"/>
          <w:lang w:val="hr-HR"/>
        </w:rPr>
        <w:t>udaljena</w:t>
      </w:r>
      <w:r w:rsidRPr="00EF689B">
        <w:rPr>
          <w:rFonts w:ascii="Arial" w:eastAsia="Times New Roman" w:hAnsi="Arial" w:cs="Arial"/>
          <w:spacing w:val="22"/>
          <w:lang w:val="hr-HR"/>
        </w:rPr>
        <w:t xml:space="preserve"> </w:t>
      </w:r>
      <w:r w:rsidRPr="00EF689B">
        <w:rPr>
          <w:rFonts w:ascii="Arial" w:eastAsia="Times New Roman" w:hAnsi="Arial" w:cs="Arial"/>
          <w:lang w:val="hr-HR"/>
        </w:rPr>
        <w:t>od</w:t>
      </w:r>
      <w:r w:rsidRPr="00EF689B">
        <w:rPr>
          <w:rFonts w:ascii="Arial" w:eastAsia="Times New Roman" w:hAnsi="Arial" w:cs="Arial"/>
          <w:spacing w:val="23"/>
          <w:lang w:val="hr-HR"/>
        </w:rPr>
        <w:t xml:space="preserve"> </w:t>
      </w:r>
      <w:r w:rsidRPr="00EF689B">
        <w:rPr>
          <w:rFonts w:ascii="Arial" w:eastAsia="Times New Roman" w:hAnsi="Arial" w:cs="Arial"/>
          <w:lang w:val="hr-HR"/>
        </w:rPr>
        <w:t>naselja.</w:t>
      </w:r>
      <w:r w:rsidRPr="00EF689B">
        <w:rPr>
          <w:rFonts w:ascii="Arial" w:eastAsia="Times New Roman" w:hAnsi="Arial" w:cs="Arial"/>
          <w:spacing w:val="21"/>
          <w:lang w:val="hr-HR"/>
        </w:rPr>
        <w:t xml:space="preserve"> </w:t>
      </w:r>
      <w:r w:rsidRPr="00EF689B">
        <w:rPr>
          <w:rFonts w:ascii="Arial" w:eastAsia="Times New Roman" w:hAnsi="Arial" w:cs="Arial"/>
          <w:lang w:val="hr-HR"/>
        </w:rPr>
        <w:t>Umjesto</w:t>
      </w:r>
      <w:r w:rsidRPr="00EF689B">
        <w:rPr>
          <w:rFonts w:ascii="Arial" w:eastAsia="Times New Roman" w:hAnsi="Arial" w:cs="Arial"/>
          <w:spacing w:val="20"/>
          <w:lang w:val="hr-HR"/>
        </w:rPr>
        <w:t xml:space="preserve"> </w:t>
      </w:r>
      <w:r w:rsidRPr="00EF689B">
        <w:rPr>
          <w:rFonts w:ascii="Arial" w:eastAsia="Times New Roman" w:hAnsi="Arial" w:cs="Arial"/>
          <w:lang w:val="hr-HR"/>
        </w:rPr>
        <w:t>pješčanih</w:t>
      </w:r>
      <w:r w:rsidRPr="00EF689B">
        <w:rPr>
          <w:rFonts w:ascii="Arial" w:eastAsia="Times New Roman" w:hAnsi="Arial" w:cs="Arial"/>
          <w:spacing w:val="21"/>
          <w:lang w:val="hr-HR"/>
        </w:rPr>
        <w:t xml:space="preserve"> </w:t>
      </w:r>
      <w:r w:rsidRPr="00EF689B">
        <w:rPr>
          <w:rFonts w:ascii="Arial" w:eastAsia="Times New Roman" w:hAnsi="Arial" w:cs="Arial"/>
          <w:lang w:val="hr-HR"/>
        </w:rPr>
        <w:t>polja</w:t>
      </w:r>
      <w:r w:rsidRPr="00EF689B">
        <w:rPr>
          <w:rFonts w:ascii="Arial" w:eastAsia="Times New Roman" w:hAnsi="Arial" w:cs="Arial"/>
          <w:spacing w:val="20"/>
          <w:lang w:val="hr-HR"/>
        </w:rPr>
        <w:t xml:space="preserve"> </w:t>
      </w:r>
      <w:r w:rsidRPr="00EF689B">
        <w:rPr>
          <w:rFonts w:ascii="Arial" w:eastAsia="Times New Roman" w:hAnsi="Arial" w:cs="Arial"/>
          <w:lang w:val="hr-HR"/>
        </w:rPr>
        <w:t>mogu</w:t>
      </w:r>
      <w:r w:rsidRPr="00EF689B">
        <w:rPr>
          <w:rFonts w:ascii="Arial" w:eastAsia="Times New Roman" w:hAnsi="Arial" w:cs="Arial"/>
          <w:spacing w:val="24"/>
          <w:lang w:val="hr-HR"/>
        </w:rPr>
        <w:t xml:space="preserve"> </w:t>
      </w:r>
      <w:r w:rsidRPr="00EF689B">
        <w:rPr>
          <w:rFonts w:ascii="Arial" w:eastAsia="Times New Roman" w:hAnsi="Arial" w:cs="Arial"/>
          <w:lang w:val="hr-HR"/>
        </w:rPr>
        <w:t>se</w:t>
      </w:r>
      <w:r w:rsidRPr="00EF689B">
        <w:rPr>
          <w:rFonts w:ascii="Arial" w:eastAsia="Times New Roman" w:hAnsi="Arial" w:cs="Arial"/>
          <w:spacing w:val="22"/>
          <w:lang w:val="hr-HR"/>
        </w:rPr>
        <w:t xml:space="preserve"> </w:t>
      </w:r>
      <w:r w:rsidRPr="00EF689B">
        <w:rPr>
          <w:rFonts w:ascii="Arial" w:eastAsia="Times New Roman" w:hAnsi="Arial" w:cs="Arial"/>
          <w:lang w:val="hr-HR"/>
        </w:rPr>
        <w:t>koristiti</w:t>
      </w:r>
      <w:r w:rsidRPr="00EF689B">
        <w:rPr>
          <w:rFonts w:ascii="Arial" w:eastAsia="Times New Roman" w:hAnsi="Arial" w:cs="Arial"/>
          <w:spacing w:val="21"/>
          <w:lang w:val="hr-HR"/>
        </w:rPr>
        <w:t xml:space="preserve"> </w:t>
      </w:r>
      <w:r w:rsidRPr="00EF689B">
        <w:rPr>
          <w:rFonts w:ascii="Arial" w:eastAsia="Times New Roman" w:hAnsi="Arial" w:cs="Arial"/>
          <w:lang w:val="hr-HR"/>
        </w:rPr>
        <w:t>vještački</w:t>
      </w:r>
      <w:r w:rsidRPr="00EF689B">
        <w:rPr>
          <w:rFonts w:ascii="Arial" w:eastAsia="Times New Roman" w:hAnsi="Arial" w:cs="Arial"/>
          <w:spacing w:val="21"/>
          <w:lang w:val="hr-HR"/>
        </w:rPr>
        <w:t xml:space="preserve"> </w:t>
      </w:r>
      <w:r w:rsidRPr="00EF689B">
        <w:rPr>
          <w:rFonts w:ascii="Arial" w:eastAsia="Times New Roman" w:hAnsi="Arial" w:cs="Arial"/>
          <w:lang w:val="hr-HR"/>
        </w:rPr>
        <w:t>mediji</w:t>
      </w:r>
      <w:r w:rsidRPr="00EF689B">
        <w:rPr>
          <w:rFonts w:ascii="Arial" w:eastAsia="Times New Roman" w:hAnsi="Arial" w:cs="Arial"/>
          <w:spacing w:val="22"/>
          <w:lang w:val="hr-HR"/>
        </w:rPr>
        <w:t xml:space="preserve"> </w:t>
      </w:r>
      <w:r w:rsidRPr="00EF689B">
        <w:rPr>
          <w:rFonts w:ascii="Arial" w:eastAsia="Times New Roman" w:hAnsi="Arial" w:cs="Arial"/>
          <w:spacing w:val="-5"/>
          <w:lang w:val="hr-HR"/>
        </w:rPr>
        <w:t>kao</w:t>
      </w:r>
      <w:r w:rsidRPr="00EF689B">
        <w:rPr>
          <w:rFonts w:ascii="Arial" w:eastAsia="Times New Roman" w:hAnsi="Arial" w:cs="Arial"/>
          <w:lang w:val="hr-HR"/>
        </w:rPr>
        <w:t xml:space="preserve"> što su mrežice od nerđajućeg čelika ili geotekstil. U ovim slučajevima moguće je primjeniti i vakuum u drenažnom sistemu da bi se ubrzalo ocjeđivanje.</w:t>
      </w:r>
    </w:p>
    <w:p w14:paraId="34547A5C" w14:textId="77777777" w:rsidR="00156696" w:rsidRPr="00EF689B" w:rsidRDefault="00156696" w:rsidP="00156696">
      <w:pPr>
        <w:widowControl w:val="0"/>
        <w:autoSpaceDE w:val="0"/>
        <w:autoSpaceDN w:val="0"/>
        <w:spacing w:before="201" w:line="360" w:lineRule="auto"/>
        <w:rPr>
          <w:rFonts w:ascii="Arial" w:eastAsia="Times New Roman" w:hAnsi="Arial" w:cs="Arial"/>
          <w:lang w:val="hr-HR"/>
        </w:rPr>
      </w:pPr>
      <w:r w:rsidRPr="00EF689B">
        <w:rPr>
          <w:rFonts w:ascii="Arial" w:eastAsia="Times New Roman" w:hAnsi="Arial" w:cs="Arial"/>
          <w:b/>
          <w:lang w:val="hr-HR"/>
        </w:rPr>
        <w:t xml:space="preserve">Solarno sušenje mulja </w:t>
      </w:r>
      <w:r w:rsidRPr="00EF689B">
        <w:rPr>
          <w:rFonts w:ascii="Arial" w:eastAsia="Times New Roman" w:hAnsi="Arial" w:cs="Arial"/>
          <w:lang w:val="hr-HR"/>
        </w:rPr>
        <w:t>zahtijeva staklenik koji koristi solarno zračenje, pa samim tim i manju površinu nego kada se mulj suši na otvorenom prostoru. Staklenici su opremljeni automatizovanom opremom za miješanje i premještanje mulja, tako da su investicioni troškovi visoki, a operativni niski. Može se postići dobijanje mulja sa visokim sadržajem suve materije, u zavisnosti od vremenskih uslova i vremena retenzije.</w:t>
      </w:r>
    </w:p>
    <w:p w14:paraId="27E6EA9F" w14:textId="32703E00" w:rsidR="00156696" w:rsidRPr="00EF689B" w:rsidRDefault="00156696" w:rsidP="00156696">
      <w:pPr>
        <w:widowControl w:val="0"/>
        <w:autoSpaceDE w:val="0"/>
        <w:autoSpaceDN w:val="0"/>
        <w:spacing w:before="210" w:line="360" w:lineRule="auto"/>
        <w:rPr>
          <w:rFonts w:ascii="Arial" w:eastAsia="Times New Roman" w:hAnsi="Arial" w:cs="Arial"/>
          <w:lang w:val="hr-HR"/>
        </w:rPr>
      </w:pPr>
      <w:r w:rsidRPr="00EF689B">
        <w:rPr>
          <w:rFonts w:ascii="Arial" w:eastAsia="Times New Roman" w:hAnsi="Arial" w:cs="Arial"/>
          <w:b/>
          <w:lang w:val="hr-HR"/>
        </w:rPr>
        <w:t xml:space="preserve">Stabilizacija mulja krečom </w:t>
      </w:r>
      <w:r w:rsidRPr="00EF689B">
        <w:rPr>
          <w:rFonts w:ascii="Arial" w:eastAsia="Times New Roman" w:hAnsi="Arial" w:cs="Arial"/>
          <w:lang w:val="hr-HR"/>
        </w:rPr>
        <w:t>podiže pH vrijednost na 12. Visoka pH vrijednost sprečava opstanak mikroorganizama, pa zbog toga mulj neće truliti, proizvoditi neprijatne mirise ili predstavljati opasnost za zdravlje. Kada se pH vrijednost normalizuje proces truljenja se nastavlja. Doziranje kreča moguće je prije ili posl</w:t>
      </w:r>
      <w:r w:rsidR="00410412">
        <w:rPr>
          <w:rFonts w:ascii="Arial" w:eastAsia="Times New Roman" w:hAnsi="Arial" w:cs="Arial"/>
          <w:lang w:val="hr-HR"/>
        </w:rPr>
        <w:t>ij</w:t>
      </w:r>
      <w:r w:rsidRPr="00EF689B">
        <w:rPr>
          <w:rFonts w:ascii="Arial" w:eastAsia="Times New Roman" w:hAnsi="Arial" w:cs="Arial"/>
          <w:lang w:val="hr-HR"/>
        </w:rPr>
        <w:t>e ocjeđivanja mulja. Kreč se može dodati kao negašeni ili kao gašeni. Ako se dodaje negašeni kreč razvija se toplota koja vrši pasterizaciju mulja. Gašeni kreč reaguje sa ugljen-dioksidom stvarajući karbonat, što povećava čvrstoću</w:t>
      </w:r>
      <w:r w:rsidRPr="00EF689B">
        <w:rPr>
          <w:rFonts w:ascii="Arial" w:eastAsia="Times New Roman" w:hAnsi="Arial" w:cs="Arial"/>
          <w:spacing w:val="40"/>
          <w:lang w:val="hr-HR"/>
        </w:rPr>
        <w:t xml:space="preserve"> </w:t>
      </w:r>
      <w:r w:rsidRPr="00EF689B">
        <w:rPr>
          <w:rFonts w:ascii="Arial" w:eastAsia="Times New Roman" w:hAnsi="Arial" w:cs="Arial"/>
          <w:lang w:val="hr-HR"/>
        </w:rPr>
        <w:t>mulja. Uređaji za m</w:t>
      </w:r>
      <w:r w:rsidR="00410412">
        <w:rPr>
          <w:rFonts w:ascii="Arial" w:eastAsia="Times New Roman" w:hAnsi="Arial" w:cs="Arial"/>
          <w:lang w:val="hr-HR"/>
        </w:rPr>
        <w:t>i</w:t>
      </w:r>
      <w:r w:rsidRPr="00EF689B">
        <w:rPr>
          <w:rFonts w:ascii="Arial" w:eastAsia="Times New Roman" w:hAnsi="Arial" w:cs="Arial"/>
          <w:lang w:val="hr-HR"/>
        </w:rPr>
        <w:t xml:space="preserve">ješanje su jeftini, a operativni troškovi su visoki zbog količine kreča koja je potrebna da bi se postiglo značajno povećanje sadržaja suve materije u mulju. Mulj </w:t>
      </w:r>
      <w:r w:rsidR="001B50D2">
        <w:rPr>
          <w:rFonts w:ascii="Arial" w:eastAsia="Times New Roman" w:hAnsi="Arial" w:cs="Arial"/>
          <w:lang w:val="hr-HR"/>
        </w:rPr>
        <w:t>obrađen</w:t>
      </w:r>
      <w:r w:rsidR="001B50D2" w:rsidRPr="00EF689B">
        <w:rPr>
          <w:rFonts w:ascii="Arial" w:eastAsia="Times New Roman" w:hAnsi="Arial" w:cs="Arial"/>
          <w:lang w:val="hr-HR"/>
        </w:rPr>
        <w:t xml:space="preserve"> </w:t>
      </w:r>
      <w:r w:rsidRPr="00EF689B">
        <w:rPr>
          <w:rFonts w:ascii="Arial" w:eastAsia="Times New Roman" w:hAnsi="Arial" w:cs="Arial"/>
          <w:lang w:val="hr-HR"/>
        </w:rPr>
        <w:t>krečom se može upotrebljavati samo na deponiji.</w:t>
      </w:r>
    </w:p>
    <w:p w14:paraId="4E2BD901" w14:textId="0B1EC344" w:rsidR="00156696" w:rsidRPr="00DE4FAA" w:rsidRDefault="00156696" w:rsidP="00DE4FAA">
      <w:pPr>
        <w:widowControl w:val="0"/>
        <w:autoSpaceDE w:val="0"/>
        <w:autoSpaceDN w:val="0"/>
        <w:spacing w:before="202" w:line="360" w:lineRule="auto"/>
        <w:rPr>
          <w:rFonts w:ascii="Arial" w:eastAsia="Times New Roman" w:hAnsi="Arial" w:cs="Arial"/>
          <w:lang w:val="hr-HR"/>
        </w:rPr>
      </w:pPr>
      <w:r w:rsidRPr="00EF689B">
        <w:rPr>
          <w:rFonts w:ascii="Arial" w:eastAsia="Times New Roman" w:hAnsi="Arial" w:cs="Arial"/>
          <w:b/>
          <w:lang w:val="hr-HR"/>
        </w:rPr>
        <w:t xml:space="preserve">Termičko sušenje mulja </w:t>
      </w:r>
      <w:r w:rsidRPr="00EF689B">
        <w:rPr>
          <w:rFonts w:ascii="Arial" w:eastAsia="Times New Roman" w:hAnsi="Arial" w:cs="Arial"/>
          <w:lang w:val="hr-HR"/>
        </w:rPr>
        <w:t>obezbjeđuje pouzdano visok nivo sušenja od 90% materije i dezinfekciju mulja. Termičko sušenje mulja se vrši na velikim PPOV. Kapitalni troškovi su visoki, kao i operativni zbog velike količine enrgije koja je potrebna da voda ispari. Kvalitet proizvoda je odličan i bio bi dobro prihvaćen za bilo koji mogući način upotrebe.</w:t>
      </w:r>
      <w:bookmarkEnd w:id="1361"/>
    </w:p>
    <w:p w14:paraId="7FF94D22" w14:textId="77777777" w:rsidR="009316F8" w:rsidRDefault="009316F8" w:rsidP="009316F8">
      <w:pPr>
        <w:tabs>
          <w:tab w:val="left" w:pos="6847"/>
        </w:tabs>
        <w:rPr>
          <w:rFonts w:ascii="Arial" w:eastAsia="Times New Roman" w:hAnsi="Arial" w:cs="Arial"/>
          <w:lang w:val="hr-HR"/>
        </w:rPr>
      </w:pPr>
    </w:p>
    <w:p w14:paraId="78B2F2E5" w14:textId="77777777" w:rsidR="0054241B" w:rsidRPr="002A6F4E" w:rsidRDefault="0054241B" w:rsidP="009316F8">
      <w:pPr>
        <w:tabs>
          <w:tab w:val="left" w:pos="6847"/>
        </w:tabs>
        <w:rPr>
          <w:rFonts w:ascii="Arial" w:eastAsia="Times New Roman" w:hAnsi="Arial" w:cs="Arial"/>
          <w:lang w:val="hr-HR"/>
        </w:rPr>
      </w:pPr>
    </w:p>
    <w:p w14:paraId="1A110DCF" w14:textId="54EC9AB8" w:rsidR="009316F8" w:rsidRPr="002A6F4E" w:rsidRDefault="009316F8" w:rsidP="00F57909">
      <w:pPr>
        <w:pStyle w:val="Heading2"/>
      </w:pPr>
      <w:bookmarkStart w:id="1377" w:name="_Toc121759133"/>
      <w:bookmarkStart w:id="1378" w:name="_Toc189759759"/>
      <w:bookmarkStart w:id="1379" w:name="_Toc193354069"/>
      <w:r w:rsidRPr="002A6F4E">
        <w:lastRenderedPageBreak/>
        <w:t>6.</w:t>
      </w:r>
      <w:r w:rsidR="008E7CAD" w:rsidRPr="002A6F4E">
        <w:t>9</w:t>
      </w:r>
      <w:r w:rsidRPr="002A6F4E">
        <w:t>. Medicinski i veterinarski otpad</w:t>
      </w:r>
      <w:bookmarkStart w:id="1380" w:name="_Toc189759761"/>
      <w:bookmarkEnd w:id="1377"/>
      <w:bookmarkEnd w:id="1378"/>
      <w:r w:rsidRPr="002A6F4E">
        <w:t xml:space="preserve"> - Ciljevi i zadaci</w:t>
      </w:r>
      <w:bookmarkEnd w:id="1379"/>
      <w:bookmarkEnd w:id="1380"/>
      <w:r w:rsidRPr="002A6F4E">
        <w:t xml:space="preserve"> </w:t>
      </w:r>
    </w:p>
    <w:p w14:paraId="1B4B8CCD" w14:textId="77777777" w:rsidR="009316F8" w:rsidRPr="001C25C6" w:rsidRDefault="009316F8" w:rsidP="009316F8">
      <w:pPr>
        <w:widowControl w:val="0"/>
        <w:spacing w:before="120" w:after="120" w:line="360" w:lineRule="auto"/>
        <w:rPr>
          <w:rFonts w:ascii="Arial" w:hAnsi="Arial" w:cs="Arial"/>
          <w:lang w:val="sq-AL"/>
        </w:rPr>
      </w:pPr>
      <w:r w:rsidRPr="001C25C6">
        <w:rPr>
          <w:rFonts w:ascii="Arial" w:hAnsi="Arial" w:cs="Arial"/>
          <w:lang w:val="sq-AL"/>
        </w:rPr>
        <w:t>Postavljeni su sljedeći ciljevi za upravljanje</w:t>
      </w:r>
      <w:r w:rsidRPr="001C25C6">
        <w:rPr>
          <w:rFonts w:ascii="Arial" w:hAnsi="Arial" w:cs="Arial"/>
          <w:lang w:val="hr-HR"/>
        </w:rPr>
        <w:t xml:space="preserve"> </w:t>
      </w:r>
      <w:r w:rsidRPr="001C25C6">
        <w:rPr>
          <w:rFonts w:ascii="Arial" w:hAnsi="Arial" w:cs="Arial"/>
          <w:lang w:val="sq-AL"/>
        </w:rPr>
        <w:t>medicinskim i veterinarskim otpadom:</w:t>
      </w:r>
    </w:p>
    <w:p w14:paraId="3C655CB4" w14:textId="77777777" w:rsidR="009316F8" w:rsidRPr="001C25C6"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1C25C6">
        <w:rPr>
          <w:rFonts w:ascii="Arial" w:hAnsi="Arial" w:cs="Arial"/>
          <w:lang w:val="sq-AL"/>
        </w:rPr>
        <w:t>Svim proizvođačima medicinskog i veterinarskog otpada preporučuje se da odvajaju otpad na izvoru i kategorišu medicinski i veterinarski otpad koji proizvode.</w:t>
      </w:r>
    </w:p>
    <w:p w14:paraId="17A24321" w14:textId="77777777" w:rsidR="009316F8" w:rsidRPr="001C25C6"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1C25C6">
        <w:rPr>
          <w:rFonts w:ascii="Arial" w:hAnsi="Arial" w:cs="Arial"/>
          <w:lang w:val="sq-AL"/>
        </w:rPr>
        <w:t>Istovremeno, postojeća mreža odvojenog sakupljanja medicinskog i veterinarskog otpada će biti ojačana, fokusirajući se na velike proizvođače.</w:t>
      </w:r>
    </w:p>
    <w:p w14:paraId="46F60561" w14:textId="0B51BE9B" w:rsidR="009316F8" w:rsidRPr="001C25C6"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1C25C6">
        <w:rPr>
          <w:rFonts w:ascii="Arial" w:hAnsi="Arial" w:cs="Arial"/>
          <w:lang w:val="sq-AL"/>
        </w:rPr>
        <w:t>Izraditi studiju izvodljivosti za trajno rješenje pitanja medicinskog i veterinarskog otpada.</w:t>
      </w:r>
    </w:p>
    <w:p w14:paraId="67394383" w14:textId="536A6D8D" w:rsidR="009316F8" w:rsidRPr="001C25C6"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1C25C6">
        <w:rPr>
          <w:rFonts w:ascii="Arial" w:hAnsi="Arial" w:cs="Arial"/>
          <w:lang w:val="sq-AL"/>
        </w:rPr>
        <w:t>Izgradnja pogon</w:t>
      </w:r>
      <w:r w:rsidR="00410412">
        <w:rPr>
          <w:rFonts w:ascii="Arial" w:hAnsi="Arial" w:cs="Arial"/>
          <w:lang w:val="sq-AL"/>
        </w:rPr>
        <w:t>a</w:t>
      </w:r>
      <w:r w:rsidRPr="001C25C6">
        <w:rPr>
          <w:rFonts w:ascii="Arial" w:hAnsi="Arial" w:cs="Arial"/>
          <w:lang w:val="sq-AL"/>
        </w:rPr>
        <w:t xml:space="preserve"> za preradu nusproizvoda životinjskog porijekla, kapaciteta 10.000 t/god.</w:t>
      </w:r>
    </w:p>
    <w:p w14:paraId="1ADFDA4D" w14:textId="17075820" w:rsidR="009316F8" w:rsidRPr="001C25C6" w:rsidRDefault="009316F8" w:rsidP="009316F8">
      <w:pPr>
        <w:spacing w:before="120" w:after="120" w:line="360" w:lineRule="auto"/>
        <w:rPr>
          <w:rFonts w:ascii="Arial" w:hAnsi="Arial" w:cs="Arial"/>
          <w:lang w:val="hr-HR"/>
        </w:rPr>
      </w:pPr>
      <w:r w:rsidRPr="001C25C6">
        <w:rPr>
          <w:rFonts w:ascii="Arial" w:hAnsi="Arial" w:cs="Arial"/>
          <w:lang w:val="hr-HR"/>
        </w:rPr>
        <w:t xml:space="preserve">Neke od metoda za </w:t>
      </w:r>
      <w:r w:rsidR="00663B99">
        <w:rPr>
          <w:rFonts w:ascii="Arial" w:hAnsi="Arial" w:cs="Arial"/>
          <w:lang w:val="hr-HR"/>
        </w:rPr>
        <w:t>obradu</w:t>
      </w:r>
      <w:r w:rsidRPr="001C25C6">
        <w:rPr>
          <w:rFonts w:ascii="Arial" w:hAnsi="Arial" w:cs="Arial"/>
          <w:lang w:val="hr-HR"/>
        </w:rPr>
        <w:t xml:space="preserve"> medicinskog i veterinarskog (uključujući anatomski) otpada su:</w:t>
      </w:r>
    </w:p>
    <w:p w14:paraId="18C66A0E" w14:textId="0FCC7A1A" w:rsidR="009316F8" w:rsidRPr="001C25C6" w:rsidRDefault="009316F8" w:rsidP="00A23ED0">
      <w:pPr>
        <w:pStyle w:val="ListParagraph"/>
        <w:numPr>
          <w:ilvl w:val="0"/>
          <w:numId w:val="72"/>
        </w:numPr>
        <w:spacing w:before="120" w:after="120" w:line="360" w:lineRule="auto"/>
        <w:ind w:left="720" w:hanging="450"/>
        <w:contextualSpacing w:val="0"/>
        <w:rPr>
          <w:rFonts w:ascii="Arial" w:hAnsi="Arial" w:cs="Arial"/>
        </w:rPr>
      </w:pPr>
      <w:r w:rsidRPr="001C25C6">
        <w:rPr>
          <w:rFonts w:ascii="Arial" w:hAnsi="Arial" w:cs="Arial"/>
          <w:lang w:val="hr-HR"/>
        </w:rPr>
        <w:t xml:space="preserve">Spaljivanje: Ova metoda uključuje spaljivanje medicinskog i veterinarskog otpada na visokim temperaturama, pretvarajući ga u pepeo i gas. </w:t>
      </w:r>
      <w:r w:rsidRPr="001C25C6">
        <w:rPr>
          <w:rFonts w:ascii="Arial" w:hAnsi="Arial" w:cs="Arial"/>
        </w:rPr>
        <w:t>Spaljivanje može uništiti patogene i smanjiti zapreminu i težinu otpada. Međutim, spaljivanje takođe može da proizvede štetne emisije, kao što su dioksini, furani i teški metali i zahtijeva strogu kontrolu i praćenje životne sredine.</w:t>
      </w:r>
    </w:p>
    <w:p w14:paraId="0EDF69C4" w14:textId="59D753A1" w:rsidR="009316F8" w:rsidRPr="001C25C6" w:rsidRDefault="009316F8" w:rsidP="00A23ED0">
      <w:pPr>
        <w:pStyle w:val="ListParagraph"/>
        <w:numPr>
          <w:ilvl w:val="0"/>
          <w:numId w:val="72"/>
        </w:numPr>
        <w:spacing w:before="120" w:after="120" w:line="360" w:lineRule="auto"/>
        <w:ind w:left="720" w:hanging="450"/>
        <w:contextualSpacing w:val="0"/>
        <w:rPr>
          <w:rFonts w:ascii="Arial" w:hAnsi="Arial" w:cs="Arial"/>
        </w:rPr>
      </w:pPr>
      <w:r w:rsidRPr="001C25C6">
        <w:rPr>
          <w:rFonts w:ascii="Arial" w:hAnsi="Arial" w:cs="Arial"/>
        </w:rPr>
        <w:t>Autoklaviranje: Ova metoda uključuje izlaganje medicinskog i veterinarskog otpada pari pod pritiskom na visokim temperaturama, ubijajući patogene i čineći otpad sterilnim. Autoklaviranje može biti efikasno i bezbjedno, ali ne smanjuje zapreminu ili težinu otpada. Autoklavirani otpad će možda morati da se odloži na deponiju ili spalionicu.</w:t>
      </w:r>
    </w:p>
    <w:p w14:paraId="2BE92D0A" w14:textId="77777777" w:rsidR="009316F8" w:rsidRPr="001C25C6" w:rsidRDefault="009316F8" w:rsidP="00A23ED0">
      <w:pPr>
        <w:pStyle w:val="ListParagraph"/>
        <w:numPr>
          <w:ilvl w:val="0"/>
          <w:numId w:val="72"/>
        </w:numPr>
        <w:spacing w:before="120" w:after="120" w:line="360" w:lineRule="auto"/>
        <w:ind w:left="720" w:hanging="450"/>
        <w:contextualSpacing w:val="0"/>
        <w:rPr>
          <w:rFonts w:ascii="Arial" w:hAnsi="Arial" w:cs="Arial"/>
        </w:rPr>
      </w:pPr>
      <w:r w:rsidRPr="001C25C6">
        <w:rPr>
          <w:rFonts w:ascii="Arial" w:hAnsi="Arial" w:cs="Arial"/>
        </w:rPr>
        <w:t>Hemijska dezinfekcija: Ova metoda uključuje primjenu hemikalija, kao što su hlor, formaldehid ili persirćetna kiselina, na medicinski i veterinarski otpad, inaktivaciju patogena i smanjenje infektivnosti otpada. Hemijska dezinfekcija može biti jednostavna i jeftina, ali takođe može predstavljati opasnost po zdravlje i životnu sredinu i zahtijevati pravilno skladištenje i rukovanje hemikalijama.</w:t>
      </w:r>
    </w:p>
    <w:p w14:paraId="2B71B240" w14:textId="77777777" w:rsidR="009316F8" w:rsidRPr="001C25C6" w:rsidRDefault="009316F8" w:rsidP="00A23ED0">
      <w:pPr>
        <w:pStyle w:val="ListParagraph"/>
        <w:numPr>
          <w:ilvl w:val="0"/>
          <w:numId w:val="72"/>
        </w:numPr>
        <w:spacing w:before="120" w:after="120" w:line="360" w:lineRule="auto"/>
        <w:ind w:left="720" w:hanging="450"/>
        <w:contextualSpacing w:val="0"/>
        <w:rPr>
          <w:rFonts w:ascii="Arial" w:hAnsi="Arial" w:cs="Arial"/>
        </w:rPr>
      </w:pPr>
      <w:r w:rsidRPr="001C25C6">
        <w:rPr>
          <w:rFonts w:ascii="Arial" w:hAnsi="Arial" w:cs="Arial"/>
        </w:rPr>
        <w:t>Mikrotalasno zračenje: Ova metoda uključuje izlaganje medicinskog i veterinarskog otpada elektromagnetnim talasima, stvarajući toplotu i uništavajući patogene. Mikrotalasno zračenje može biti brzo i efikasno, ali takođe zahtijeva električnu energiju i specijalizovanu opremu. Otpad iz mikrotalasne pećnice će možda morati da se odloži na deponiju ili spalionicu.</w:t>
      </w:r>
    </w:p>
    <w:p w14:paraId="43CFFE04" w14:textId="1AF00A4D" w:rsidR="009316F8" w:rsidRPr="002A6F4E" w:rsidRDefault="009316F8" w:rsidP="00F57909">
      <w:pPr>
        <w:pStyle w:val="Heading2"/>
      </w:pPr>
      <w:bookmarkStart w:id="1381" w:name="_Toc132554797"/>
      <w:bookmarkStart w:id="1382" w:name="_Toc132557402"/>
      <w:bookmarkStart w:id="1383" w:name="_Toc132625513"/>
      <w:bookmarkStart w:id="1384" w:name="_Toc132556542"/>
      <w:bookmarkStart w:id="1385" w:name="_Toc132726595"/>
      <w:bookmarkStart w:id="1386" w:name="_Toc132733966"/>
      <w:bookmarkStart w:id="1387" w:name="_Toc121759136"/>
      <w:bookmarkStart w:id="1388" w:name="_Toc189759763"/>
      <w:bookmarkStart w:id="1389" w:name="_Toc193354070"/>
      <w:bookmarkEnd w:id="1381"/>
      <w:bookmarkEnd w:id="1382"/>
      <w:bookmarkEnd w:id="1383"/>
      <w:bookmarkEnd w:id="1384"/>
      <w:bookmarkEnd w:id="1385"/>
      <w:bookmarkEnd w:id="1386"/>
      <w:r w:rsidRPr="002A6F4E">
        <w:t>6.</w:t>
      </w:r>
      <w:r w:rsidR="00C10D04" w:rsidRPr="002A6F4E">
        <w:t>10</w:t>
      </w:r>
      <w:r w:rsidRPr="002A6F4E">
        <w:t>. Industrijski neopasni otpad</w:t>
      </w:r>
      <w:bookmarkStart w:id="1390" w:name="_Toc189759765"/>
      <w:bookmarkEnd w:id="1387"/>
      <w:bookmarkEnd w:id="1388"/>
      <w:r w:rsidRPr="002A6F4E">
        <w:t xml:space="preserve"> - Ciljevi i zadaci</w:t>
      </w:r>
      <w:bookmarkEnd w:id="1389"/>
      <w:bookmarkEnd w:id="1390"/>
      <w:r w:rsidRPr="002A6F4E">
        <w:t xml:space="preserve"> </w:t>
      </w:r>
    </w:p>
    <w:p w14:paraId="1D50C535" w14:textId="1C720DA4"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Postavljeni su sljedeći ciljevi za upravljanj</w:t>
      </w:r>
      <w:r w:rsidR="0086209A">
        <w:rPr>
          <w:rFonts w:ascii="Arial" w:hAnsi="Arial" w:cs="Arial"/>
          <w:lang w:val="sq-AL"/>
        </w:rPr>
        <w:t>e</w:t>
      </w:r>
      <w:r w:rsidR="00C83093" w:rsidRPr="002A6F4E">
        <w:rPr>
          <w:rFonts w:ascii="Arial" w:hAnsi="Arial" w:cs="Arial"/>
          <w:lang w:val="sq-AL"/>
        </w:rPr>
        <w:t xml:space="preserve"> </w:t>
      </w:r>
      <w:r w:rsidRPr="002A6F4E">
        <w:rPr>
          <w:rFonts w:ascii="Arial" w:hAnsi="Arial" w:cs="Arial"/>
          <w:lang w:val="sq-AL"/>
        </w:rPr>
        <w:t>industrijsk</w:t>
      </w:r>
      <w:r w:rsidR="00C83093" w:rsidRPr="002A6F4E">
        <w:rPr>
          <w:rFonts w:ascii="Arial" w:hAnsi="Arial" w:cs="Arial"/>
          <w:lang w:val="sq-AL"/>
        </w:rPr>
        <w:t xml:space="preserve">im </w:t>
      </w:r>
      <w:r w:rsidRPr="002A6F4E">
        <w:rPr>
          <w:rFonts w:ascii="Arial" w:hAnsi="Arial" w:cs="Arial"/>
          <w:lang w:val="sq-AL"/>
        </w:rPr>
        <w:t>neopasn</w:t>
      </w:r>
      <w:r w:rsidR="00C83093" w:rsidRPr="002A6F4E">
        <w:rPr>
          <w:rFonts w:ascii="Arial" w:hAnsi="Arial" w:cs="Arial"/>
          <w:lang w:val="sq-AL"/>
        </w:rPr>
        <w:t>im</w:t>
      </w:r>
      <w:r w:rsidRPr="002A6F4E">
        <w:rPr>
          <w:rFonts w:ascii="Arial" w:hAnsi="Arial" w:cs="Arial"/>
          <w:lang w:val="sq-AL"/>
        </w:rPr>
        <w:t xml:space="preserve"> otpad</w:t>
      </w:r>
      <w:r w:rsidR="0086209A">
        <w:rPr>
          <w:rFonts w:ascii="Arial" w:hAnsi="Arial" w:cs="Arial"/>
          <w:lang w:val="sq-AL"/>
        </w:rPr>
        <w:t>om</w:t>
      </w:r>
      <w:r w:rsidRPr="002A6F4E">
        <w:rPr>
          <w:rFonts w:ascii="Arial" w:hAnsi="Arial" w:cs="Arial"/>
          <w:lang w:val="sq-AL"/>
        </w:rPr>
        <w:t xml:space="preserve"> generisan</w:t>
      </w:r>
      <w:r w:rsidR="0086209A">
        <w:rPr>
          <w:rFonts w:ascii="Arial" w:hAnsi="Arial" w:cs="Arial"/>
          <w:lang w:val="sq-AL"/>
        </w:rPr>
        <w:t>im</w:t>
      </w:r>
      <w:r w:rsidRPr="002A6F4E">
        <w:rPr>
          <w:rFonts w:ascii="Arial" w:hAnsi="Arial" w:cs="Arial"/>
          <w:lang w:val="sq-AL"/>
        </w:rPr>
        <w:t xml:space="preserve"> u Crnoj Gori:</w:t>
      </w:r>
    </w:p>
    <w:p w14:paraId="3EAA4F5B" w14:textId="1E695250"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Osigurati racionalno upravljanje (prevencija,</w:t>
      </w:r>
      <w:r w:rsidR="00C83093" w:rsidRPr="002A6F4E">
        <w:rPr>
          <w:rFonts w:ascii="Arial" w:hAnsi="Arial" w:cs="Arial"/>
          <w:lang w:val="sq-AL"/>
        </w:rPr>
        <w:t xml:space="preserve"> </w:t>
      </w:r>
      <w:r w:rsidRPr="002A6F4E">
        <w:rPr>
          <w:rFonts w:ascii="Arial" w:hAnsi="Arial" w:cs="Arial"/>
          <w:lang w:val="sq-AL"/>
        </w:rPr>
        <w:t xml:space="preserve">reciklaža) </w:t>
      </w:r>
      <w:r w:rsidR="00C83093" w:rsidRPr="002A6F4E">
        <w:rPr>
          <w:rFonts w:ascii="Arial" w:hAnsi="Arial" w:cs="Arial"/>
          <w:lang w:val="sq-AL"/>
        </w:rPr>
        <w:t xml:space="preserve">neopasnim </w:t>
      </w:r>
      <w:r w:rsidRPr="002A6F4E">
        <w:rPr>
          <w:rFonts w:ascii="Arial" w:hAnsi="Arial" w:cs="Arial"/>
          <w:lang w:val="sq-AL"/>
        </w:rPr>
        <w:t>industrijsk</w:t>
      </w:r>
      <w:r w:rsidR="00C83093" w:rsidRPr="002A6F4E">
        <w:rPr>
          <w:rFonts w:ascii="Arial" w:hAnsi="Arial" w:cs="Arial"/>
          <w:lang w:val="sq-AL"/>
        </w:rPr>
        <w:t>im</w:t>
      </w:r>
      <w:r w:rsidRPr="002A6F4E">
        <w:rPr>
          <w:rFonts w:ascii="Arial" w:hAnsi="Arial" w:cs="Arial"/>
          <w:lang w:val="sq-AL"/>
        </w:rPr>
        <w:t xml:space="preserve"> otpad</w:t>
      </w:r>
      <w:r w:rsidR="00C83093" w:rsidRPr="002A6F4E">
        <w:rPr>
          <w:rFonts w:ascii="Arial" w:hAnsi="Arial" w:cs="Arial"/>
          <w:lang w:val="sq-AL"/>
        </w:rPr>
        <w:t>om</w:t>
      </w:r>
      <w:r w:rsidRPr="002A6F4E">
        <w:rPr>
          <w:rFonts w:ascii="Arial" w:hAnsi="Arial" w:cs="Arial"/>
          <w:lang w:val="sq-AL"/>
        </w:rPr>
        <w:t xml:space="preserve"> koji nastaje primjenom najboljih raspoloživih tehnika (takođe u skladu sa EC – JRC (2018) „Referentni dokument o najboljim raspoloživim tehnikama za tretman otpada</w:t>
      </w:r>
      <w:r w:rsidR="00663B99">
        <w:rPr>
          <w:rFonts w:ascii="Arial" w:hAnsi="Arial" w:cs="Arial"/>
          <w:lang w:val="sq-AL"/>
        </w:rPr>
        <w:t>”</w:t>
      </w:r>
      <w:r w:rsidRPr="002A6F4E">
        <w:rPr>
          <w:rFonts w:ascii="Arial" w:hAnsi="Arial" w:cs="Arial"/>
          <w:lang w:val="sq-AL"/>
        </w:rPr>
        <w:t>).</w:t>
      </w:r>
    </w:p>
    <w:p w14:paraId="26B32C61" w14:textId="77777777"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Maksimiziranje prerade/iskorišćenja industrijskog otpada kroz:</w:t>
      </w:r>
    </w:p>
    <w:p w14:paraId="42BA424E" w14:textId="34F9AC6A" w:rsidR="009316F8" w:rsidRPr="002A6F4E" w:rsidRDefault="009316F8" w:rsidP="00A23ED0">
      <w:pPr>
        <w:pStyle w:val="ListParagraph"/>
        <w:numPr>
          <w:ilvl w:val="1"/>
          <w:numId w:val="72"/>
        </w:numPr>
        <w:spacing w:before="120" w:after="120" w:line="360" w:lineRule="auto"/>
        <w:contextualSpacing w:val="0"/>
        <w:rPr>
          <w:rFonts w:ascii="Arial" w:hAnsi="Arial" w:cs="Arial"/>
          <w:lang w:val="sq-AL"/>
        </w:rPr>
      </w:pPr>
      <w:r w:rsidRPr="002A6F4E">
        <w:rPr>
          <w:rFonts w:ascii="Arial" w:hAnsi="Arial" w:cs="Arial"/>
          <w:lang w:val="sq-AL"/>
        </w:rPr>
        <w:t>apsorpciju od strane drugih industrija (npr. kao sirovina ili gorivo)</w:t>
      </w:r>
      <w:r w:rsidR="0086209A">
        <w:rPr>
          <w:rFonts w:ascii="Arial" w:hAnsi="Arial" w:cs="Arial"/>
          <w:lang w:val="sq-AL"/>
        </w:rPr>
        <w:t>,</w:t>
      </w:r>
    </w:p>
    <w:p w14:paraId="7E8E8598" w14:textId="48926738" w:rsidR="009316F8" w:rsidRPr="002A6F4E" w:rsidRDefault="009316F8" w:rsidP="00A23ED0">
      <w:pPr>
        <w:pStyle w:val="ListParagraph"/>
        <w:numPr>
          <w:ilvl w:val="1"/>
          <w:numId w:val="72"/>
        </w:numPr>
        <w:spacing w:before="120" w:after="120" w:line="360" w:lineRule="auto"/>
        <w:contextualSpacing w:val="0"/>
        <w:rPr>
          <w:rFonts w:ascii="Arial" w:hAnsi="Arial" w:cs="Arial"/>
          <w:lang w:val="sq-AL"/>
        </w:rPr>
      </w:pPr>
      <w:r w:rsidRPr="002A6F4E">
        <w:rPr>
          <w:rFonts w:ascii="Arial" w:hAnsi="Arial" w:cs="Arial"/>
          <w:lang w:val="sq-AL"/>
        </w:rPr>
        <w:lastRenderedPageBreak/>
        <w:t xml:space="preserve">prerada materijala iz postojećih/budućih postrojenja za </w:t>
      </w:r>
      <w:r w:rsidR="00663B99">
        <w:rPr>
          <w:rFonts w:ascii="Arial" w:hAnsi="Arial" w:cs="Arial"/>
          <w:lang w:val="sq-AL"/>
        </w:rPr>
        <w:t>obradu</w:t>
      </w:r>
      <w:r w:rsidR="00663B99" w:rsidRPr="002A6F4E">
        <w:rPr>
          <w:rFonts w:ascii="Arial" w:hAnsi="Arial" w:cs="Arial"/>
          <w:lang w:val="sq-AL"/>
        </w:rPr>
        <w:t xml:space="preserve"> </w:t>
      </w:r>
      <w:r w:rsidRPr="002A6F4E">
        <w:rPr>
          <w:rFonts w:ascii="Arial" w:hAnsi="Arial" w:cs="Arial"/>
          <w:lang w:val="sq-AL"/>
        </w:rPr>
        <w:t>otpada</w:t>
      </w:r>
      <w:r w:rsidR="0086209A">
        <w:rPr>
          <w:rFonts w:ascii="Arial" w:hAnsi="Arial" w:cs="Arial"/>
          <w:lang w:val="sq-AL"/>
        </w:rPr>
        <w:t>,</w:t>
      </w:r>
    </w:p>
    <w:p w14:paraId="3CA82190" w14:textId="3EDA0AC2" w:rsidR="009316F8" w:rsidRPr="002A6F4E" w:rsidRDefault="009316F8" w:rsidP="00A23ED0">
      <w:pPr>
        <w:pStyle w:val="ListParagraph"/>
        <w:numPr>
          <w:ilvl w:val="1"/>
          <w:numId w:val="72"/>
        </w:numPr>
        <w:spacing w:before="120" w:after="120" w:line="360" w:lineRule="auto"/>
        <w:contextualSpacing w:val="0"/>
        <w:rPr>
          <w:rFonts w:ascii="Arial" w:hAnsi="Arial" w:cs="Arial"/>
          <w:lang w:val="sq-AL"/>
        </w:rPr>
      </w:pPr>
      <w:r w:rsidRPr="002A6F4E">
        <w:rPr>
          <w:rFonts w:ascii="Arial" w:hAnsi="Arial" w:cs="Arial"/>
          <w:lang w:val="sq-AL"/>
        </w:rPr>
        <w:t>zajedničko upravljanje industrijskim otpadom sa sličnim otpadom drugog porijekla</w:t>
      </w:r>
      <w:r w:rsidR="0086209A">
        <w:rPr>
          <w:rFonts w:ascii="Arial" w:hAnsi="Arial" w:cs="Arial"/>
          <w:lang w:val="sq-AL"/>
        </w:rPr>
        <w:t>.</w:t>
      </w:r>
    </w:p>
    <w:p w14:paraId="191C6935" w14:textId="02C3C456" w:rsidR="009316F8" w:rsidRPr="002A6F4E" w:rsidRDefault="00197B84" w:rsidP="00A23ED0">
      <w:pPr>
        <w:pStyle w:val="ListParagraph"/>
        <w:numPr>
          <w:ilvl w:val="0"/>
          <w:numId w:val="72"/>
        </w:numPr>
        <w:spacing w:before="120" w:after="120" w:line="360" w:lineRule="auto"/>
        <w:ind w:left="720" w:hanging="450"/>
        <w:contextualSpacing w:val="0"/>
        <w:rPr>
          <w:rFonts w:ascii="Arial" w:hAnsi="Arial" w:cs="Arial"/>
          <w:lang w:val="sq-AL"/>
        </w:rPr>
      </w:pPr>
      <w:r>
        <w:rPr>
          <w:rFonts w:ascii="Arial" w:hAnsi="Arial" w:cs="Arial"/>
          <w:lang w:val="sq-AL"/>
        </w:rPr>
        <w:t xml:space="preserve">Izgradnja </w:t>
      </w:r>
      <w:r w:rsidR="009316F8" w:rsidRPr="002A6F4E">
        <w:rPr>
          <w:rFonts w:ascii="Arial" w:hAnsi="Arial" w:cs="Arial"/>
          <w:lang w:val="sq-AL"/>
        </w:rPr>
        <w:t xml:space="preserve">neophodne infrastrukture za upravljanje industrijskim otpadom za </w:t>
      </w:r>
      <w:r>
        <w:rPr>
          <w:rFonts w:ascii="Arial" w:hAnsi="Arial" w:cs="Arial"/>
          <w:lang w:val="sq-AL"/>
        </w:rPr>
        <w:t>obradu</w:t>
      </w:r>
      <w:r w:rsidR="009316F8" w:rsidRPr="002A6F4E">
        <w:rPr>
          <w:rFonts w:ascii="Arial" w:hAnsi="Arial" w:cs="Arial"/>
          <w:lang w:val="sq-AL"/>
        </w:rPr>
        <w:t>.</w:t>
      </w:r>
    </w:p>
    <w:p w14:paraId="71FCCC33" w14:textId="77777777" w:rsidR="009316F8" w:rsidRPr="002A6F4E" w:rsidRDefault="009316F8" w:rsidP="009316F8">
      <w:pPr>
        <w:widowControl w:val="0"/>
        <w:spacing w:before="120" w:after="120" w:line="360" w:lineRule="auto"/>
        <w:rPr>
          <w:rFonts w:ascii="Arial" w:hAnsi="Arial" w:cs="Arial"/>
          <w:lang w:val="sq-AL"/>
        </w:rPr>
      </w:pPr>
      <w:bookmarkStart w:id="1391" w:name="_Toc132554801"/>
      <w:bookmarkStart w:id="1392" w:name="_Toc132556546"/>
      <w:bookmarkStart w:id="1393" w:name="_Toc132557406"/>
      <w:bookmarkStart w:id="1394" w:name="_Toc132625517"/>
      <w:bookmarkStart w:id="1395" w:name="_Toc132726599"/>
      <w:bookmarkStart w:id="1396" w:name="_Toc132733970"/>
      <w:bookmarkEnd w:id="1391"/>
      <w:bookmarkEnd w:id="1392"/>
      <w:bookmarkEnd w:id="1393"/>
      <w:bookmarkEnd w:id="1394"/>
      <w:bookmarkEnd w:id="1395"/>
      <w:bookmarkEnd w:id="1396"/>
      <w:r w:rsidRPr="002A6F4E">
        <w:rPr>
          <w:rFonts w:ascii="Arial" w:hAnsi="Arial" w:cs="Arial"/>
          <w:lang w:val="sq-AL"/>
        </w:rPr>
        <w:t>Predloženi su sljedeći tehnološki elementi za upravljanje industrijskim neopasnim otpadom.</w:t>
      </w:r>
    </w:p>
    <w:p w14:paraId="0A32B857" w14:textId="77777777" w:rsidR="009316F8" w:rsidRPr="002A6F4E" w:rsidRDefault="009316F8" w:rsidP="009316F8">
      <w:pPr>
        <w:widowControl w:val="0"/>
        <w:spacing w:before="120" w:after="120" w:line="360" w:lineRule="auto"/>
        <w:rPr>
          <w:rFonts w:ascii="Arial" w:hAnsi="Arial" w:cs="Arial"/>
          <w:b/>
          <w:bCs/>
          <w:u w:val="single"/>
          <w:lang w:val="sq-AL"/>
        </w:rPr>
      </w:pPr>
      <w:r w:rsidRPr="002A6F4E">
        <w:rPr>
          <w:rFonts w:ascii="Arial" w:hAnsi="Arial" w:cs="Arial"/>
          <w:b/>
          <w:bCs/>
          <w:u w:val="single"/>
          <w:lang w:val="sq-AL"/>
        </w:rPr>
        <w:t>Sakupljanje i transport</w:t>
      </w:r>
    </w:p>
    <w:p w14:paraId="56D6A62A" w14:textId="3DF3F526"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Prvi korak ka implementaciji integrisanog sistema upravljanja industrijskim otpadom je uspostavljanje mreže za njihovo sakupljanje, kojom upravljaju ovlašćeni operateri. Tačnije, svaki industrijski operater treba da vodi računa o sakupljanju i transportu otpada koji proizvodi u</w:t>
      </w:r>
      <w:r w:rsidR="0086209A">
        <w:rPr>
          <w:rFonts w:ascii="Arial" w:hAnsi="Arial" w:cs="Arial"/>
          <w:lang w:val="sq-AL"/>
        </w:rPr>
        <w:t xml:space="preserve"> l</w:t>
      </w:r>
      <w:r w:rsidRPr="002A6F4E">
        <w:rPr>
          <w:rFonts w:ascii="Arial" w:hAnsi="Arial" w:cs="Arial"/>
          <w:lang w:val="sq-AL"/>
        </w:rPr>
        <w:t>icencirano</w:t>
      </w:r>
      <w:r w:rsidR="0086209A">
        <w:rPr>
          <w:rFonts w:ascii="Arial" w:hAnsi="Arial" w:cs="Arial"/>
          <w:lang w:val="sq-AL"/>
        </w:rPr>
        <w:t>m</w:t>
      </w:r>
      <w:r w:rsidRPr="002A6F4E">
        <w:rPr>
          <w:rFonts w:ascii="Arial" w:hAnsi="Arial" w:cs="Arial"/>
          <w:lang w:val="sq-AL"/>
        </w:rPr>
        <w:t xml:space="preserve"> postrojenj</w:t>
      </w:r>
      <w:r w:rsidR="0086209A">
        <w:rPr>
          <w:rFonts w:ascii="Arial" w:hAnsi="Arial" w:cs="Arial"/>
          <w:lang w:val="sq-AL"/>
        </w:rPr>
        <w:t>u</w:t>
      </w:r>
      <w:r w:rsidRPr="002A6F4E">
        <w:rPr>
          <w:rFonts w:ascii="Arial" w:hAnsi="Arial" w:cs="Arial"/>
          <w:lang w:val="sq-AL"/>
        </w:rPr>
        <w:t xml:space="preserve"> za </w:t>
      </w:r>
      <w:r w:rsidR="0086209A">
        <w:rPr>
          <w:rFonts w:ascii="Arial" w:hAnsi="Arial" w:cs="Arial"/>
          <w:lang w:val="sq-AL"/>
        </w:rPr>
        <w:t>obradu.</w:t>
      </w:r>
    </w:p>
    <w:p w14:paraId="03B17AD2" w14:textId="77777777"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U ovom okviru, proizvođač opasnog otpada treba da obezbijedi odvojeno sakupljanje industrijskog neopasnog otpada. Poseban akcenat će biti stavljen na industrijske zone koje će biti uspostavljene širom zemlje. Trebalo bi uspostaviti mreže za sakupljanje otpada kako bi se pokrile u najmanjoj mjeri oblasti sa značajnom industrijskom aktivnošću.</w:t>
      </w:r>
    </w:p>
    <w:p w14:paraId="4AC16A6F" w14:textId="58C1A4FD" w:rsidR="009316F8" w:rsidRPr="002A6F4E" w:rsidRDefault="0086209A" w:rsidP="009316F8">
      <w:pPr>
        <w:widowControl w:val="0"/>
        <w:spacing w:before="120" w:after="120" w:line="360" w:lineRule="auto"/>
        <w:rPr>
          <w:rFonts w:ascii="Arial" w:hAnsi="Arial" w:cs="Arial"/>
          <w:b/>
          <w:bCs/>
          <w:u w:val="single"/>
          <w:lang w:val="sq-AL"/>
        </w:rPr>
      </w:pPr>
      <w:r>
        <w:rPr>
          <w:rFonts w:ascii="Arial" w:hAnsi="Arial" w:cs="Arial"/>
          <w:b/>
          <w:bCs/>
          <w:u w:val="single"/>
          <w:lang w:val="sq-AL"/>
        </w:rPr>
        <w:t>Obrada</w:t>
      </w:r>
    </w:p>
    <w:p w14:paraId="791CFB3D" w14:textId="7315AF28" w:rsidR="009316F8" w:rsidRPr="002A6F4E" w:rsidRDefault="009316F8" w:rsidP="009316F8">
      <w:pPr>
        <w:spacing w:after="120" w:line="360" w:lineRule="auto"/>
        <w:rPr>
          <w:rFonts w:ascii="Arial" w:hAnsi="Arial" w:cs="Arial"/>
          <w:lang w:val="sq-AL"/>
        </w:rPr>
      </w:pPr>
      <w:r w:rsidRPr="002A6F4E">
        <w:rPr>
          <w:rFonts w:ascii="Arial" w:hAnsi="Arial" w:cs="Arial"/>
          <w:lang w:val="sq-AL"/>
        </w:rPr>
        <w:t>Sva postrojenja za</w:t>
      </w:r>
      <w:r w:rsidR="0086209A">
        <w:rPr>
          <w:rFonts w:ascii="Arial" w:hAnsi="Arial" w:cs="Arial"/>
          <w:lang w:val="sq-AL"/>
        </w:rPr>
        <w:t xml:space="preserve"> obradu</w:t>
      </w:r>
      <w:r w:rsidRPr="002A6F4E">
        <w:rPr>
          <w:rFonts w:ascii="Arial" w:hAnsi="Arial" w:cs="Arial"/>
          <w:lang w:val="sq-AL"/>
        </w:rPr>
        <w:t xml:space="preserve"> industrijskog neopasnog otpada treba da:</w:t>
      </w:r>
    </w:p>
    <w:p w14:paraId="67DF47F9" w14:textId="21ED9688"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Obezbijede dovoljno kapaciteta za količine koje se generišu u Crnoj Gori</w:t>
      </w:r>
      <w:r w:rsidR="0086209A">
        <w:rPr>
          <w:rFonts w:ascii="Arial" w:hAnsi="Arial" w:cs="Arial"/>
          <w:lang w:val="sq-AL"/>
        </w:rPr>
        <w:t>,</w:t>
      </w:r>
    </w:p>
    <w:p w14:paraId="7BD8FC30" w14:textId="32B4A2C5"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Razmotre uslove generisanja i prostora u pogledu principa blizine kako bi se smanjili troškovi</w:t>
      </w:r>
      <w:r w:rsidR="0086209A">
        <w:rPr>
          <w:rFonts w:ascii="Arial" w:hAnsi="Arial" w:cs="Arial"/>
          <w:lang w:val="sq-AL"/>
        </w:rPr>
        <w:t>,</w:t>
      </w:r>
    </w:p>
    <w:p w14:paraId="4E4FAA62" w14:textId="56D51E5B" w:rsidR="009316F8" w:rsidRPr="002A6F4E"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Osiguraju tehničku i finansijsku održivost odabranih tehnologija</w:t>
      </w:r>
      <w:r w:rsidR="0086209A">
        <w:rPr>
          <w:rFonts w:ascii="Arial" w:hAnsi="Arial" w:cs="Arial"/>
          <w:lang w:val="sq-AL"/>
        </w:rPr>
        <w:t>,</w:t>
      </w:r>
    </w:p>
    <w:p w14:paraId="61484FA3" w14:textId="48FA6B24" w:rsidR="009316F8" w:rsidRDefault="009316F8" w:rsidP="00A23ED0">
      <w:pPr>
        <w:pStyle w:val="ListParagraph"/>
        <w:numPr>
          <w:ilvl w:val="0"/>
          <w:numId w:val="72"/>
        </w:numPr>
        <w:spacing w:after="120" w:line="360" w:lineRule="auto"/>
        <w:ind w:left="720" w:hanging="450"/>
        <w:contextualSpacing w:val="0"/>
        <w:rPr>
          <w:rFonts w:ascii="Arial" w:hAnsi="Arial" w:cs="Arial"/>
          <w:lang w:val="sq-AL"/>
        </w:rPr>
      </w:pPr>
      <w:r w:rsidRPr="002A6F4E">
        <w:rPr>
          <w:rFonts w:ascii="Arial" w:hAnsi="Arial" w:cs="Arial"/>
          <w:lang w:val="sq-AL"/>
        </w:rPr>
        <w:t>Primijene najbolje raspoložive tehnike</w:t>
      </w:r>
      <w:bookmarkStart w:id="1397" w:name="_Toc121759140"/>
      <w:bookmarkStart w:id="1398" w:name="_Toc189759767"/>
      <w:r w:rsidR="0086209A">
        <w:rPr>
          <w:rFonts w:ascii="Arial" w:hAnsi="Arial" w:cs="Arial"/>
          <w:lang w:val="sq-AL"/>
        </w:rPr>
        <w:t>.</w:t>
      </w:r>
    </w:p>
    <w:p w14:paraId="78F50F11" w14:textId="71E60AA5" w:rsidR="00631039" w:rsidRPr="002A6F4E" w:rsidRDefault="00631039" w:rsidP="00631039">
      <w:pPr>
        <w:pStyle w:val="ListParagraph"/>
        <w:spacing w:after="120" w:line="360" w:lineRule="auto"/>
        <w:contextualSpacing w:val="0"/>
        <w:rPr>
          <w:rFonts w:ascii="Arial" w:hAnsi="Arial" w:cs="Arial"/>
          <w:lang w:val="sq-AL"/>
        </w:rPr>
      </w:pPr>
    </w:p>
    <w:p w14:paraId="2E23F87B" w14:textId="77777777" w:rsidR="009316F8" w:rsidRPr="002A6F4E" w:rsidRDefault="009316F8" w:rsidP="009316F8">
      <w:pPr>
        <w:spacing w:after="120" w:line="360" w:lineRule="auto"/>
        <w:rPr>
          <w:rFonts w:ascii="Arial" w:hAnsi="Arial" w:cs="Arial"/>
          <w:b/>
          <w:u w:val="single"/>
          <w:lang w:val="sq-AL"/>
        </w:rPr>
      </w:pPr>
      <w:r w:rsidRPr="002A6F4E">
        <w:rPr>
          <w:rFonts w:ascii="Arial" w:hAnsi="Arial" w:cs="Arial"/>
          <w:b/>
          <w:u w:val="single"/>
        </w:rPr>
        <w:t>Uloge i odgovornosti</w:t>
      </w:r>
      <w:bookmarkEnd w:id="1397"/>
      <w:bookmarkEnd w:id="1398"/>
      <w:r w:rsidRPr="002A6F4E">
        <w:rPr>
          <w:rFonts w:ascii="Arial" w:hAnsi="Arial" w:cs="Arial"/>
          <w:b/>
          <w:u w:val="single"/>
        </w:rPr>
        <w:t xml:space="preserve"> </w:t>
      </w:r>
    </w:p>
    <w:p w14:paraId="35005F7A" w14:textId="688CE212"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Prema Zakon</w:t>
      </w:r>
      <w:r w:rsidR="0086209A">
        <w:rPr>
          <w:rFonts w:ascii="Arial" w:hAnsi="Arial" w:cs="Arial"/>
          <w:lang w:val="sq-AL"/>
        </w:rPr>
        <w:t>u</w:t>
      </w:r>
      <w:r w:rsidRPr="002A6F4E">
        <w:rPr>
          <w:rFonts w:ascii="Arial" w:hAnsi="Arial" w:cs="Arial"/>
          <w:lang w:val="sq-AL"/>
        </w:rPr>
        <w:t xml:space="preserve"> o upravljanju otpadom</w:t>
      </w:r>
      <w:r w:rsidRPr="002A6F4E">
        <w:rPr>
          <w:rFonts w:ascii="Arial" w:hAnsi="Arial" w:cs="Arial"/>
          <w:iCs/>
          <w:lang w:val="sq-AL"/>
        </w:rPr>
        <w:t xml:space="preserve">, </w:t>
      </w:r>
      <w:r w:rsidRPr="002A6F4E">
        <w:rPr>
          <w:rFonts w:ascii="Arial" w:hAnsi="Arial" w:cs="Arial"/>
          <w:lang w:val="sq-AL"/>
        </w:rPr>
        <w:t>MERS</w:t>
      </w:r>
      <w:r w:rsidRPr="002A6F4E">
        <w:rPr>
          <w:rFonts w:ascii="Arial" w:hAnsi="Arial" w:cs="Arial"/>
          <w:lang w:val="hr-HR"/>
        </w:rPr>
        <w:t xml:space="preserve"> </w:t>
      </w:r>
      <w:r w:rsidRPr="002A6F4E">
        <w:rPr>
          <w:rFonts w:ascii="Arial" w:hAnsi="Arial" w:cs="Arial"/>
          <w:lang w:val="sq-AL"/>
        </w:rPr>
        <w:t xml:space="preserve">je odgovorno za utvrđivanje politike upravljanja otpadom i posebno Državnog plana upravljanja otpadom i u krajnjoj liniji je odgovorno da obezbijedi da se </w:t>
      </w:r>
      <w:r w:rsidRPr="0086209A">
        <w:rPr>
          <w:rFonts w:ascii="Arial" w:hAnsi="Arial" w:cs="Arial"/>
          <w:iCs/>
          <w:lang w:val="sq-AL"/>
        </w:rPr>
        <w:t>Zakon o upravljanju otpadom</w:t>
      </w:r>
      <w:r w:rsidRPr="002A6F4E">
        <w:rPr>
          <w:rFonts w:ascii="Arial" w:hAnsi="Arial" w:cs="Arial"/>
          <w:lang w:val="sq-AL"/>
        </w:rPr>
        <w:t xml:space="preserve"> i </w:t>
      </w:r>
      <w:r w:rsidR="003A146D">
        <w:rPr>
          <w:rFonts w:ascii="Arial" w:hAnsi="Arial" w:cs="Arial"/>
          <w:lang w:val="sq-AL"/>
        </w:rPr>
        <w:t>DPUO</w:t>
      </w:r>
      <w:r w:rsidRPr="002A6F4E">
        <w:rPr>
          <w:rFonts w:ascii="Arial" w:hAnsi="Arial" w:cs="Arial"/>
          <w:lang w:val="sq-AL"/>
        </w:rPr>
        <w:t xml:space="preserve"> sprovode i da se različite odredbe koriste na najprikladniji i najefikasniji način. Pored toga, trebalo bi da obezbijedi neophodne podsticaje i podrži uspostavljanje sistema proširene odgovornosti proizvođača za odgovarajuće posebne </w:t>
      </w:r>
      <w:r w:rsidR="009F7DC8">
        <w:rPr>
          <w:rFonts w:ascii="Arial" w:hAnsi="Arial" w:cs="Arial"/>
          <w:lang w:val="sq-AL"/>
        </w:rPr>
        <w:t>vrste</w:t>
      </w:r>
      <w:r w:rsidR="009F7DC8" w:rsidRPr="002A6F4E">
        <w:rPr>
          <w:rFonts w:ascii="Arial" w:hAnsi="Arial" w:cs="Arial"/>
          <w:lang w:val="sq-AL"/>
        </w:rPr>
        <w:t xml:space="preserve"> </w:t>
      </w:r>
      <w:r w:rsidRPr="002A6F4E">
        <w:rPr>
          <w:rFonts w:ascii="Arial" w:hAnsi="Arial" w:cs="Arial"/>
          <w:lang w:val="sq-AL"/>
        </w:rPr>
        <w:t>otpada.</w:t>
      </w:r>
    </w:p>
    <w:p w14:paraId="6A5B8829" w14:textId="595AB0CA"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 xml:space="preserve">Jedinice lokalne samouprave (ili njihova udruženja) su odgovorne za planiranje, postavljanje i praćenje ciljeva i izvještavanja, kao i za </w:t>
      </w:r>
      <w:r w:rsidR="009F7DC8">
        <w:rPr>
          <w:rFonts w:ascii="Arial" w:hAnsi="Arial" w:cs="Arial"/>
          <w:lang w:val="sq-AL"/>
        </w:rPr>
        <w:t>izgradnju</w:t>
      </w:r>
      <w:r w:rsidR="009F7DC8" w:rsidRPr="002A6F4E">
        <w:rPr>
          <w:rFonts w:ascii="Arial" w:hAnsi="Arial" w:cs="Arial"/>
          <w:lang w:val="sq-AL"/>
        </w:rPr>
        <w:t xml:space="preserve"> </w:t>
      </w:r>
      <w:r w:rsidRPr="002A6F4E">
        <w:rPr>
          <w:rFonts w:ascii="Arial" w:hAnsi="Arial" w:cs="Arial"/>
          <w:lang w:val="sq-AL"/>
        </w:rPr>
        <w:t xml:space="preserve">i rad centara za sakupljanje otpada, građevinskog otpada ili otpada nastalog rušenjem, otpada od električnih i elektronskih proizvoda, postrojenja za </w:t>
      </w:r>
      <w:r w:rsidR="009F7DC8">
        <w:rPr>
          <w:rFonts w:ascii="Arial" w:hAnsi="Arial" w:cs="Arial"/>
          <w:lang w:val="sq-AL"/>
        </w:rPr>
        <w:t>obradu</w:t>
      </w:r>
      <w:r w:rsidRPr="002A6F4E">
        <w:rPr>
          <w:rFonts w:ascii="Arial" w:hAnsi="Arial" w:cs="Arial"/>
          <w:lang w:val="sq-AL"/>
        </w:rPr>
        <w:t xml:space="preserve"> otpadnih guma i </w:t>
      </w:r>
      <w:r w:rsidR="009F7DC8">
        <w:rPr>
          <w:rFonts w:ascii="Arial" w:hAnsi="Arial" w:cs="Arial"/>
          <w:lang w:val="sq-AL"/>
        </w:rPr>
        <w:t xml:space="preserve">otpadnih </w:t>
      </w:r>
      <w:r w:rsidRPr="002A6F4E">
        <w:rPr>
          <w:rFonts w:ascii="Arial" w:hAnsi="Arial" w:cs="Arial"/>
          <w:lang w:val="sq-AL"/>
        </w:rPr>
        <w:t>baterija u saradnji sa proizvođačima. Jedinice lokalne samouprave su takođe odgovorne za organizovanje sakupljanja kabastog otpada i uspostavljanje centara za sakupljanje otpada i lokacija za popravku/ponovnu upotrebu ov</w:t>
      </w:r>
      <w:r w:rsidR="009F7DC8">
        <w:rPr>
          <w:rFonts w:ascii="Arial" w:hAnsi="Arial" w:cs="Arial"/>
          <w:lang w:val="sq-AL"/>
        </w:rPr>
        <w:t>e</w:t>
      </w:r>
      <w:r w:rsidRPr="002A6F4E">
        <w:rPr>
          <w:rFonts w:ascii="Arial" w:hAnsi="Arial" w:cs="Arial"/>
          <w:lang w:val="sq-AL"/>
        </w:rPr>
        <w:t xml:space="preserve"> </w:t>
      </w:r>
      <w:r w:rsidR="009F7DC8">
        <w:rPr>
          <w:rFonts w:ascii="Arial" w:hAnsi="Arial" w:cs="Arial"/>
          <w:lang w:val="sq-AL"/>
        </w:rPr>
        <w:t>vrste</w:t>
      </w:r>
      <w:r w:rsidR="009F7DC8" w:rsidRPr="002A6F4E">
        <w:rPr>
          <w:rFonts w:ascii="Arial" w:hAnsi="Arial" w:cs="Arial"/>
          <w:lang w:val="sq-AL"/>
        </w:rPr>
        <w:t xml:space="preserve"> </w:t>
      </w:r>
      <w:r w:rsidRPr="002A6F4E">
        <w:rPr>
          <w:rFonts w:ascii="Arial" w:hAnsi="Arial" w:cs="Arial"/>
          <w:lang w:val="sq-AL"/>
        </w:rPr>
        <w:t>otpada. Jedinice lokalne samouprave su odgovorne za izgradnju i rad PPOV na kojima se odvija proizvodnja mulja, kao i za razvoj mreže povezane sa postrojenjima..</w:t>
      </w:r>
    </w:p>
    <w:p w14:paraId="5483799D" w14:textId="073D2614"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lastRenderedPageBreak/>
        <w:t xml:space="preserve">Proizvođači otpada treba da poštuju uputstva centralne i jedinica lokalnih samouprava, dok privatni sektor takođe može biti uključen u razvoj poslovanja, uključujući sakupljanje, skladištenje i </w:t>
      </w:r>
      <w:r w:rsidR="009F7DC8">
        <w:rPr>
          <w:rFonts w:ascii="Arial" w:hAnsi="Arial" w:cs="Arial"/>
          <w:lang w:val="sq-AL"/>
        </w:rPr>
        <w:t>obradu</w:t>
      </w:r>
      <w:r w:rsidRPr="002A6F4E">
        <w:rPr>
          <w:rFonts w:ascii="Arial" w:hAnsi="Arial" w:cs="Arial"/>
          <w:lang w:val="sq-AL"/>
        </w:rPr>
        <w:t>.</w:t>
      </w:r>
    </w:p>
    <w:p w14:paraId="52DD6B61" w14:textId="7628AAA0"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 xml:space="preserve">Industrije moraju usvojiti koncept principa </w:t>
      </w:r>
      <w:r w:rsidR="00FB5884">
        <w:rPr>
          <w:rFonts w:ascii="Arial" w:hAnsi="Arial" w:cs="Arial"/>
          <w:lang w:val="sq-AL"/>
        </w:rPr>
        <w:t>“zagađivač plaća”</w:t>
      </w:r>
      <w:r w:rsidRPr="002A6F4E">
        <w:rPr>
          <w:rFonts w:ascii="Arial" w:hAnsi="Arial" w:cs="Arial"/>
          <w:lang w:val="sq-AL"/>
        </w:rPr>
        <w:t xml:space="preserve"> i proširene odgovornosti proizvođača i organizovati razvoj integrisane mreže za upravljanje otpadom od sakupljanja do odlaganja</w:t>
      </w:r>
      <w:r w:rsidR="009F7DC8">
        <w:rPr>
          <w:rFonts w:ascii="Arial" w:hAnsi="Arial" w:cs="Arial"/>
          <w:lang w:val="sq-AL"/>
        </w:rPr>
        <w:t>,</w:t>
      </w:r>
      <w:r w:rsidR="003A146D">
        <w:rPr>
          <w:rFonts w:ascii="Arial" w:hAnsi="Arial" w:cs="Arial"/>
          <w:lang w:val="sq-AL"/>
        </w:rPr>
        <w:t xml:space="preserve"> </w:t>
      </w:r>
      <w:r w:rsidRPr="002A6F4E">
        <w:rPr>
          <w:rFonts w:ascii="Arial" w:hAnsi="Arial" w:cs="Arial"/>
          <w:lang w:val="sq-AL"/>
        </w:rPr>
        <w:t xml:space="preserve">u saradnji sa jedinicama lokalne samouprave. Ovo se takođe odnosi na proizvođače posebnih </w:t>
      </w:r>
      <w:r w:rsidR="009F7DC8">
        <w:rPr>
          <w:rFonts w:ascii="Arial" w:hAnsi="Arial" w:cs="Arial"/>
          <w:lang w:val="sq-AL"/>
        </w:rPr>
        <w:t>vrste</w:t>
      </w:r>
      <w:r w:rsidR="009F7DC8" w:rsidRPr="002A6F4E">
        <w:rPr>
          <w:rFonts w:ascii="Arial" w:hAnsi="Arial" w:cs="Arial"/>
          <w:lang w:val="sq-AL"/>
        </w:rPr>
        <w:t xml:space="preserve"> </w:t>
      </w:r>
      <w:r w:rsidRPr="002A6F4E">
        <w:rPr>
          <w:rFonts w:ascii="Arial" w:hAnsi="Arial" w:cs="Arial"/>
          <w:lang w:val="sq-AL"/>
        </w:rPr>
        <w:t>otpada, u skladu</w:t>
      </w:r>
      <w:r w:rsidR="0086209A">
        <w:rPr>
          <w:rFonts w:ascii="Arial" w:hAnsi="Arial" w:cs="Arial"/>
          <w:lang w:val="sq-AL"/>
        </w:rPr>
        <w:t xml:space="preserve"> </w:t>
      </w:r>
      <w:r w:rsidRPr="002A6F4E">
        <w:rPr>
          <w:rFonts w:ascii="Arial" w:hAnsi="Arial" w:cs="Arial"/>
          <w:lang w:val="sq-AL"/>
        </w:rPr>
        <w:t>sa odgovarajućim zakonodavstvom za sprovođenje principa proširene odgovornosti proizvođača:</w:t>
      </w:r>
    </w:p>
    <w:p w14:paraId="136D3EEF" w14:textId="0A35276E"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Građevinske kompanije i industrija i proizvođači građevinskog otpada ili otpada nastalog rušenjem</w:t>
      </w:r>
      <w:r w:rsidR="0086209A">
        <w:rPr>
          <w:rFonts w:ascii="Arial" w:hAnsi="Arial" w:cs="Arial"/>
          <w:lang w:val="sq-AL"/>
        </w:rPr>
        <w:t>,</w:t>
      </w:r>
    </w:p>
    <w:p w14:paraId="6114105E" w14:textId="0F81CD17"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Proizvođači i trgovci otpadom od električnih i elektronskih proizvoda</w:t>
      </w:r>
      <w:r w:rsidR="0086209A">
        <w:rPr>
          <w:rFonts w:ascii="Arial" w:hAnsi="Arial" w:cs="Arial"/>
          <w:lang w:val="sq-AL"/>
        </w:rPr>
        <w:t>,</w:t>
      </w:r>
    </w:p>
    <w:p w14:paraId="59C4D32B" w14:textId="3F6BEEDA"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 xml:space="preserve">Proizvođači i prodavci </w:t>
      </w:r>
      <w:r w:rsidR="00322CDD">
        <w:rPr>
          <w:rFonts w:ascii="Arial" w:hAnsi="Arial" w:cs="Arial"/>
          <w:lang w:val="sq-AL"/>
        </w:rPr>
        <w:t xml:space="preserve">otpadnih </w:t>
      </w:r>
      <w:r w:rsidRPr="002A6F4E">
        <w:rPr>
          <w:rFonts w:ascii="Arial" w:hAnsi="Arial" w:cs="Arial"/>
          <w:lang w:val="sq-AL"/>
        </w:rPr>
        <w:t>baterij</w:t>
      </w:r>
      <w:r w:rsidR="00322CDD">
        <w:rPr>
          <w:rFonts w:ascii="Arial" w:hAnsi="Arial" w:cs="Arial"/>
          <w:lang w:val="sq-AL"/>
        </w:rPr>
        <w:t>a</w:t>
      </w:r>
      <w:r w:rsidR="0086209A">
        <w:rPr>
          <w:rFonts w:ascii="Arial" w:hAnsi="Arial" w:cs="Arial"/>
          <w:lang w:val="sq-AL"/>
        </w:rPr>
        <w:t>,</w:t>
      </w:r>
    </w:p>
    <w:p w14:paraId="6EE5FD79" w14:textId="2AB6E575"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Proizvođači</w:t>
      </w:r>
      <w:r w:rsidR="00322CDD">
        <w:rPr>
          <w:rFonts w:ascii="Arial" w:hAnsi="Arial" w:cs="Arial"/>
          <w:lang w:val="sq-AL"/>
        </w:rPr>
        <w:t xml:space="preserve"> i trgovci otpadnih</w:t>
      </w:r>
      <w:r w:rsidRPr="002A6F4E">
        <w:rPr>
          <w:rFonts w:ascii="Arial" w:hAnsi="Arial" w:cs="Arial"/>
          <w:lang w:val="sq-AL"/>
        </w:rPr>
        <w:t xml:space="preserve"> guma</w:t>
      </w:r>
      <w:r w:rsidR="0086209A">
        <w:rPr>
          <w:rFonts w:ascii="Arial" w:hAnsi="Arial" w:cs="Arial"/>
          <w:lang w:val="sq-AL"/>
        </w:rPr>
        <w:t>,</w:t>
      </w:r>
    </w:p>
    <w:p w14:paraId="0839F788" w14:textId="47B03580"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Proizvođači i trgovci otpadnih ulja</w:t>
      </w:r>
      <w:r w:rsidR="0086209A">
        <w:rPr>
          <w:rFonts w:ascii="Arial" w:hAnsi="Arial" w:cs="Arial"/>
          <w:lang w:val="sq-AL"/>
        </w:rPr>
        <w:t>.</w:t>
      </w:r>
    </w:p>
    <w:p w14:paraId="32D9D787" w14:textId="3AFA5F6B"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 xml:space="preserve">Prema </w:t>
      </w:r>
      <w:r w:rsidRPr="002A6F4E">
        <w:rPr>
          <w:rFonts w:ascii="Arial" w:hAnsi="Arial" w:cs="Arial"/>
          <w:iCs/>
          <w:lang w:val="sq-AL"/>
        </w:rPr>
        <w:t xml:space="preserve">Zakonu o upravljanju otpadom, </w:t>
      </w:r>
      <w:r w:rsidRPr="002A6F4E">
        <w:rPr>
          <w:rFonts w:ascii="Arial" w:hAnsi="Arial" w:cs="Arial"/>
          <w:lang w:val="sq-AL"/>
        </w:rPr>
        <w:t xml:space="preserve">preradu i/ili </w:t>
      </w:r>
      <w:r w:rsidR="009317A5">
        <w:rPr>
          <w:rFonts w:ascii="Arial" w:hAnsi="Arial" w:cs="Arial"/>
          <w:lang w:val="sq-AL"/>
        </w:rPr>
        <w:t>odstranjivanje</w:t>
      </w:r>
      <w:r w:rsidRPr="002A6F4E">
        <w:rPr>
          <w:rFonts w:ascii="Arial" w:hAnsi="Arial" w:cs="Arial"/>
          <w:lang w:val="sq-AL"/>
        </w:rPr>
        <w:t xml:space="preserve"> otpada može da vrši privredno društvo ili preduzetnik ako ima odgovarajuću opremu, postrojenje za obradu otpada i potreban broj zaposlenih, na osnovu dozvole za preradu, odnosno </w:t>
      </w:r>
      <w:r w:rsidR="00322CDD">
        <w:rPr>
          <w:rFonts w:ascii="Arial" w:hAnsi="Arial" w:cs="Arial"/>
          <w:lang w:val="sq-AL"/>
        </w:rPr>
        <w:t>odstranjivanje</w:t>
      </w:r>
      <w:r w:rsidRPr="002A6F4E">
        <w:rPr>
          <w:rFonts w:ascii="Arial" w:hAnsi="Arial" w:cs="Arial"/>
          <w:lang w:val="sq-AL"/>
        </w:rPr>
        <w:t>. Ispunjenost uslova za obavljanje djelatnosti prerade i/ili</w:t>
      </w:r>
      <w:r w:rsidR="009317A5">
        <w:rPr>
          <w:rFonts w:ascii="Arial" w:hAnsi="Arial" w:cs="Arial"/>
          <w:lang w:val="sq-AL"/>
        </w:rPr>
        <w:t xml:space="preserve"> odstranjivanja </w:t>
      </w:r>
      <w:r w:rsidRPr="002A6F4E">
        <w:rPr>
          <w:rFonts w:ascii="Arial" w:hAnsi="Arial" w:cs="Arial"/>
          <w:lang w:val="sq-AL"/>
        </w:rPr>
        <w:t>otpada utvrđuje i dozvolu izdaje Agencija.</w:t>
      </w:r>
      <w:r w:rsidR="00A36B43">
        <w:rPr>
          <w:rStyle w:val="FootnoteReference"/>
          <w:rFonts w:cs="Arial"/>
        </w:rPr>
        <w:footnoteReference w:id="46"/>
      </w:r>
    </w:p>
    <w:p w14:paraId="6A2E1594" w14:textId="438893E3" w:rsidR="009316F8" w:rsidRPr="002A6F4E" w:rsidRDefault="009316F8" w:rsidP="002C510E">
      <w:pPr>
        <w:spacing w:before="120" w:after="120" w:line="360" w:lineRule="auto"/>
        <w:rPr>
          <w:rFonts w:ascii="Arial" w:hAnsi="Arial" w:cs="Arial"/>
          <w:lang w:val="sq-AL"/>
        </w:rPr>
      </w:pPr>
      <w:r w:rsidRPr="002A6F4E">
        <w:rPr>
          <w:rFonts w:ascii="Arial" w:hAnsi="Arial" w:cs="Arial"/>
          <w:lang w:val="sq-AL"/>
        </w:rPr>
        <w:t>Prema Zakonu</w:t>
      </w:r>
      <w:r w:rsidR="00322CDD">
        <w:rPr>
          <w:rFonts w:ascii="Arial" w:hAnsi="Arial" w:cs="Arial"/>
          <w:lang w:val="sq-AL"/>
        </w:rPr>
        <w:t xml:space="preserve"> o upravljanju otpadom</w:t>
      </w:r>
      <w:r w:rsidRPr="002A6F4E">
        <w:rPr>
          <w:rFonts w:ascii="Arial" w:hAnsi="Arial" w:cs="Arial"/>
          <w:lang w:val="sq-AL"/>
        </w:rPr>
        <w:t>, privredna društva ili preduzetnici, koji proizvode ili unapređuju, obrađuju, prodaju ili uvoze električne i elektronske proizvode, vozila, gume, baterije i akumulatore</w:t>
      </w:r>
      <w:r w:rsidR="009317A5">
        <w:rPr>
          <w:rFonts w:ascii="Arial" w:hAnsi="Arial" w:cs="Arial"/>
          <w:lang w:val="sq-AL"/>
        </w:rPr>
        <w:t xml:space="preserve">, određena plastika za jednokratnu upotrebu, ribolovni materijal koji sadrži plastiku i </w:t>
      </w:r>
      <w:r w:rsidRPr="002A6F4E">
        <w:rPr>
          <w:rFonts w:ascii="Arial" w:hAnsi="Arial" w:cs="Arial"/>
          <w:lang w:val="sq-AL"/>
        </w:rPr>
        <w:t>ambalažu</w:t>
      </w:r>
      <w:r w:rsidR="009317A5">
        <w:rPr>
          <w:rFonts w:ascii="Arial" w:hAnsi="Arial" w:cs="Arial"/>
          <w:lang w:val="sq-AL"/>
        </w:rPr>
        <w:t xml:space="preserve">, </w:t>
      </w:r>
      <w:r w:rsidRPr="002A6F4E">
        <w:rPr>
          <w:rFonts w:ascii="Arial" w:hAnsi="Arial" w:cs="Arial"/>
          <w:lang w:val="sq-AL"/>
        </w:rPr>
        <w:t xml:space="preserve">imaju </w:t>
      </w:r>
      <w:r w:rsidR="009317A5">
        <w:rPr>
          <w:rFonts w:ascii="Arial" w:hAnsi="Arial" w:cs="Arial"/>
          <w:lang w:val="sq-AL"/>
        </w:rPr>
        <w:t xml:space="preserve">obavezu </w:t>
      </w:r>
      <w:r w:rsidRPr="002A6F4E">
        <w:rPr>
          <w:rFonts w:ascii="Arial" w:hAnsi="Arial" w:cs="Arial"/>
          <w:lang w:val="sq-AL"/>
        </w:rPr>
        <w:t>proširen</w:t>
      </w:r>
      <w:r w:rsidR="009317A5">
        <w:rPr>
          <w:rFonts w:ascii="Arial" w:hAnsi="Arial" w:cs="Arial"/>
          <w:lang w:val="sq-AL"/>
        </w:rPr>
        <w:t>e</w:t>
      </w:r>
      <w:r w:rsidRPr="002A6F4E">
        <w:rPr>
          <w:rFonts w:ascii="Arial" w:hAnsi="Arial" w:cs="Arial"/>
          <w:lang w:val="sq-AL"/>
        </w:rPr>
        <w:t xml:space="preserve"> odgovornost</w:t>
      </w:r>
      <w:r w:rsidR="009317A5">
        <w:rPr>
          <w:rFonts w:ascii="Arial" w:hAnsi="Arial" w:cs="Arial"/>
          <w:lang w:val="sq-AL"/>
        </w:rPr>
        <w:t>i</w:t>
      </w:r>
      <w:r w:rsidRPr="002A6F4E">
        <w:rPr>
          <w:rFonts w:ascii="Arial" w:hAnsi="Arial" w:cs="Arial"/>
          <w:lang w:val="sq-AL"/>
        </w:rPr>
        <w:t xml:space="preserve"> i dužni su da organizuju poslove upravljanja otpadom koji nastaje od tih proizvoda. Napominje se da princip proširene odgovornosti do sada nije funkcionisao, zbog nepostojanja informacionog sistema, neusklađenosti carinskih procedura, oznaka </w:t>
      </w:r>
      <w:r w:rsidR="002C510E">
        <w:rPr>
          <w:rFonts w:ascii="Arial" w:hAnsi="Arial" w:cs="Arial"/>
          <w:lang w:val="sq-AL"/>
        </w:rPr>
        <w:t>shodno Pravilniku o klasifikaciji otpada</w:t>
      </w:r>
      <w:r w:rsidR="002C510E" w:rsidRPr="002C510E">
        <w:rPr>
          <w:rFonts w:ascii="Arial" w:hAnsi="Arial" w:cs="Arial"/>
          <w:lang w:val="sq-AL"/>
        </w:rPr>
        <w:t>,</w:t>
      </w:r>
      <w:r w:rsidR="002C510E">
        <w:rPr>
          <w:rFonts w:ascii="Arial" w:hAnsi="Arial" w:cs="Arial"/>
          <w:lang w:val="sq-AL"/>
        </w:rPr>
        <w:t xml:space="preserve"> katalogu otpada, postupcima obrade otpada, odnosno prerade i odstranjivanja otpada</w:t>
      </w:r>
      <w:r w:rsidRPr="002A6F4E">
        <w:rPr>
          <w:rFonts w:ascii="Arial" w:hAnsi="Arial" w:cs="Arial"/>
          <w:lang w:val="sq-AL"/>
        </w:rPr>
        <w:t xml:space="preserve"> i sl. </w:t>
      </w:r>
      <w:r w:rsidRPr="009317A5">
        <w:rPr>
          <w:rFonts w:ascii="Arial" w:hAnsi="Arial" w:cs="Arial"/>
          <w:iCs/>
          <w:lang w:val="sq-AL"/>
        </w:rPr>
        <w:t>Zakon</w:t>
      </w:r>
      <w:r w:rsidR="00322CDD">
        <w:rPr>
          <w:rFonts w:ascii="Arial" w:hAnsi="Arial" w:cs="Arial"/>
          <w:iCs/>
          <w:lang w:val="sq-AL"/>
        </w:rPr>
        <w:t>om</w:t>
      </w:r>
      <w:r w:rsidRPr="009317A5">
        <w:rPr>
          <w:rFonts w:ascii="Arial" w:hAnsi="Arial" w:cs="Arial"/>
          <w:iCs/>
          <w:lang w:val="sq-AL"/>
        </w:rPr>
        <w:t xml:space="preserve"> o upravljanju otpadom</w:t>
      </w:r>
      <w:r w:rsidRPr="002A6F4E">
        <w:rPr>
          <w:rFonts w:ascii="Arial" w:hAnsi="Arial" w:cs="Arial"/>
          <w:i/>
          <w:iCs/>
          <w:lang w:val="sq-AL"/>
        </w:rPr>
        <w:t xml:space="preserve">, </w:t>
      </w:r>
      <w:r w:rsidRPr="002A6F4E">
        <w:rPr>
          <w:rFonts w:ascii="Arial" w:hAnsi="Arial" w:cs="Arial"/>
          <w:lang w:val="sq-AL"/>
        </w:rPr>
        <w:t>predviđen je sistem koji će omogućiti funkcionisanje proširene odgovornosti proizvođača.</w:t>
      </w:r>
    </w:p>
    <w:p w14:paraId="3C8E754B" w14:textId="403692EA" w:rsidR="00A86970" w:rsidRPr="00A86970" w:rsidRDefault="009316F8" w:rsidP="00F57909">
      <w:pPr>
        <w:pStyle w:val="Heading2"/>
      </w:pPr>
      <w:bookmarkStart w:id="1399" w:name="_Toc189759768"/>
      <w:bookmarkStart w:id="1400" w:name="_Toc193354071"/>
      <w:r w:rsidRPr="002A6F4E">
        <w:t>6.1</w:t>
      </w:r>
      <w:r w:rsidR="00C10D04" w:rsidRPr="002A6F4E">
        <w:t>1</w:t>
      </w:r>
      <w:r w:rsidRPr="002A6F4E">
        <w:t>. Rudarski otpad</w:t>
      </w:r>
      <w:bookmarkEnd w:id="1399"/>
      <w:bookmarkEnd w:id="1400"/>
    </w:p>
    <w:p w14:paraId="394A1FAB" w14:textId="67A5AEF4" w:rsidR="00322CDD" w:rsidRPr="00F251E6" w:rsidRDefault="00322CDD" w:rsidP="00322CDD">
      <w:pPr>
        <w:spacing w:before="120" w:after="120" w:line="360" w:lineRule="auto"/>
        <w:rPr>
          <w:rFonts w:ascii="Arial" w:hAnsi="Arial" w:cs="Arial"/>
          <w:lang w:val="sq-AL"/>
        </w:rPr>
      </w:pPr>
      <w:bookmarkStart w:id="1401" w:name="_Toc121759141"/>
      <w:bookmarkStart w:id="1402" w:name="_Toc189759769"/>
      <w:r w:rsidRPr="00F251E6">
        <w:rPr>
          <w:rFonts w:ascii="Arial" w:hAnsi="Arial" w:cs="Arial"/>
          <w:lang w:val="sq-AL"/>
        </w:rPr>
        <w:t>Prije donošenja prvog Zakona o koncesijama,</w:t>
      </w:r>
      <w:r>
        <w:rPr>
          <w:rFonts w:ascii="Arial" w:hAnsi="Arial" w:cs="Arial"/>
          <w:lang w:val="sq-AL"/>
        </w:rPr>
        <w:t xml:space="preserve"> </w:t>
      </w:r>
      <w:r w:rsidRPr="00F251E6">
        <w:rPr>
          <w:rFonts w:ascii="Arial" w:hAnsi="Arial" w:cs="Arial"/>
          <w:lang w:val="sq-AL"/>
        </w:rPr>
        <w:t>rudno bogatstvo (nemetalične i metalične mineralne sirovine)  se eksploatisalo na preko 30 lokacija, koje danas predstavljaju napuštene rudnike širom Crne Gore,</w:t>
      </w:r>
      <w:r>
        <w:rPr>
          <w:rFonts w:ascii="Arial" w:hAnsi="Arial" w:cs="Arial"/>
          <w:lang w:val="sq-AL"/>
        </w:rPr>
        <w:t xml:space="preserve"> </w:t>
      </w:r>
      <w:r w:rsidRPr="00F251E6">
        <w:rPr>
          <w:rFonts w:ascii="Arial" w:hAnsi="Arial" w:cs="Arial"/>
          <w:lang w:val="sq-AL"/>
        </w:rPr>
        <w:t>od kojih za većinu,</w:t>
      </w:r>
      <w:r>
        <w:rPr>
          <w:rFonts w:ascii="Arial" w:hAnsi="Arial" w:cs="Arial"/>
          <w:lang w:val="sq-AL"/>
        </w:rPr>
        <w:t xml:space="preserve"> </w:t>
      </w:r>
      <w:r w:rsidRPr="00F251E6">
        <w:rPr>
          <w:rFonts w:ascii="Arial" w:hAnsi="Arial" w:cs="Arial"/>
          <w:lang w:val="sq-AL"/>
        </w:rPr>
        <w:t>trenutno ne možemo prikupiti podatke.</w:t>
      </w:r>
      <w:r w:rsidRPr="00322CDD">
        <w:rPr>
          <w:rFonts w:ascii="Arial" w:hAnsi="Arial" w:cs="Arial"/>
          <w:lang w:val="sq-AL"/>
        </w:rPr>
        <w:t xml:space="preserve"> </w:t>
      </w:r>
      <w:r w:rsidRPr="00F251E6">
        <w:rPr>
          <w:rFonts w:ascii="Arial" w:hAnsi="Arial" w:cs="Arial"/>
          <w:lang w:val="sq-AL"/>
        </w:rPr>
        <w:t>Na teritoriji Crne Gore t</w:t>
      </w:r>
      <w:r w:rsidR="006B1191">
        <w:rPr>
          <w:rFonts w:ascii="Arial" w:hAnsi="Arial" w:cs="Arial"/>
          <w:lang w:val="sq-AL"/>
        </w:rPr>
        <w:t>renutno je aktivnih 54 rudnika.</w:t>
      </w:r>
    </w:p>
    <w:p w14:paraId="215F9B6C" w14:textId="77777777" w:rsidR="009317A5" w:rsidRPr="00F251E6" w:rsidRDefault="009317A5" w:rsidP="009317A5">
      <w:pPr>
        <w:spacing w:before="120" w:after="120" w:line="360" w:lineRule="auto"/>
        <w:rPr>
          <w:rFonts w:ascii="Arial" w:hAnsi="Arial" w:cs="Arial"/>
          <w:lang w:val="sq-AL"/>
        </w:rPr>
      </w:pPr>
      <w:r w:rsidRPr="00F251E6">
        <w:rPr>
          <w:rFonts w:ascii="Arial" w:hAnsi="Arial" w:cs="Arial"/>
          <w:lang w:val="sq-AL"/>
        </w:rPr>
        <w:t xml:space="preserve">Zbrinjavanje otpada iz ekstraktivne industrije se vrši na više, po principu zaštite životne sredine i shodno istoj na  prihvatljiv način.  </w:t>
      </w:r>
    </w:p>
    <w:p w14:paraId="6BDA4E2E" w14:textId="77777777" w:rsidR="009317A5" w:rsidRPr="00F251E6" w:rsidRDefault="009317A5" w:rsidP="009317A5">
      <w:pPr>
        <w:spacing w:before="120" w:after="120" w:line="360" w:lineRule="auto"/>
        <w:rPr>
          <w:rFonts w:ascii="Arial" w:hAnsi="Arial" w:cs="Arial"/>
          <w:lang w:val="sq-AL"/>
        </w:rPr>
      </w:pPr>
      <w:r w:rsidRPr="00F251E6">
        <w:rPr>
          <w:rFonts w:ascii="Arial" w:hAnsi="Arial" w:cs="Arial"/>
          <w:lang w:val="sq-AL"/>
        </w:rPr>
        <w:lastRenderedPageBreak/>
        <w:t>Otpadom iz ekstraktivne industrije treba upravljati na način koji neće uzrokovati ugrožavanje ljudskog zdravlja I negativan utjecaj na okolinu . Otpad iz ekstraktivne industrije ne bi trebao biti ostavljen, odbačen ili nekontrolisano odložen.</w:t>
      </w:r>
    </w:p>
    <w:p w14:paraId="30F633A5" w14:textId="165397A8" w:rsidR="009317A5" w:rsidRPr="00F251E6" w:rsidRDefault="009317A5" w:rsidP="009317A5">
      <w:pPr>
        <w:spacing w:before="120" w:after="120" w:line="360" w:lineRule="auto"/>
        <w:rPr>
          <w:rFonts w:ascii="Arial" w:hAnsi="Arial" w:cs="Arial"/>
          <w:lang w:val="sq-AL"/>
        </w:rPr>
      </w:pPr>
      <w:r w:rsidRPr="00F251E6">
        <w:rPr>
          <w:rFonts w:ascii="Arial" w:hAnsi="Arial" w:cs="Arial"/>
          <w:lang w:val="sq-AL"/>
        </w:rPr>
        <w:t xml:space="preserve">Operator objekta za upravljanje otpadom od istraživanja i eksploatacije mineralnih sirovina (svaka lokacija zajedno s objektom koja je određena za </w:t>
      </w:r>
      <w:r w:rsidR="007E114B">
        <w:rPr>
          <w:rFonts w:ascii="Arial" w:hAnsi="Arial" w:cs="Arial"/>
          <w:lang w:val="sq-AL"/>
        </w:rPr>
        <w:t>odstranjivanje</w:t>
      </w:r>
      <w:r w:rsidR="007E114B" w:rsidRPr="00F251E6">
        <w:rPr>
          <w:rFonts w:ascii="Arial" w:hAnsi="Arial" w:cs="Arial"/>
          <w:lang w:val="sq-AL"/>
        </w:rPr>
        <w:t xml:space="preserve"> </w:t>
      </w:r>
      <w:r w:rsidRPr="00F251E6">
        <w:rPr>
          <w:rFonts w:ascii="Arial" w:hAnsi="Arial" w:cs="Arial"/>
          <w:lang w:val="sq-AL"/>
        </w:rPr>
        <w:t>otpada od istraživanja i eksploatacije mineralnih sirovina) mora pr</w:t>
      </w:r>
      <w:r>
        <w:rPr>
          <w:rFonts w:ascii="Arial" w:hAnsi="Arial" w:cs="Arial"/>
          <w:lang w:val="sq-AL"/>
        </w:rPr>
        <w:t>e</w:t>
      </w:r>
      <w:r w:rsidRPr="00F251E6">
        <w:rPr>
          <w:rFonts w:ascii="Arial" w:hAnsi="Arial" w:cs="Arial"/>
          <w:lang w:val="sq-AL"/>
        </w:rPr>
        <w:t xml:space="preserve">duzeti sve neophodne mjere kako bi, koliko je moguće, spriječio ili ublažio negativan uticaj na životnu sredinu </w:t>
      </w:r>
      <w:r>
        <w:rPr>
          <w:rFonts w:ascii="Arial" w:hAnsi="Arial" w:cs="Arial"/>
          <w:lang w:val="sq-AL"/>
        </w:rPr>
        <w:t>i</w:t>
      </w:r>
      <w:r w:rsidRPr="00F251E6">
        <w:rPr>
          <w:rFonts w:ascii="Arial" w:hAnsi="Arial" w:cs="Arial"/>
          <w:lang w:val="sq-AL"/>
        </w:rPr>
        <w:t xml:space="preserve"> zdravlje ljudi koji može nastati kao posljedica upravljanja ovom vrstom otpada. Ovo uključuje mjere upravljanja objektom i nakon prestanka njegovog rada, te mjere za sprečavanje nesreća velikih razmjera.</w:t>
      </w:r>
    </w:p>
    <w:p w14:paraId="7028215F" w14:textId="4EC5B8EB" w:rsidR="009317A5" w:rsidRPr="00F251E6" w:rsidRDefault="009317A5" w:rsidP="009317A5">
      <w:pPr>
        <w:spacing w:before="120" w:after="120" w:line="360" w:lineRule="auto"/>
        <w:rPr>
          <w:rFonts w:ascii="Arial" w:hAnsi="Arial" w:cs="Arial"/>
          <w:lang w:val="sq-AL"/>
        </w:rPr>
      </w:pPr>
      <w:r w:rsidRPr="00F251E6">
        <w:rPr>
          <w:rFonts w:ascii="Arial" w:hAnsi="Arial" w:cs="Arial"/>
          <w:lang w:val="sq-AL"/>
        </w:rPr>
        <w:t>Operator može vršiti aktivnosti upravljanja otpadom od istraživanja i eksploatacije mineralnih sirovina samo ukoliko izradi plan upravljanja otpadom, što je uslov  za dobi</w:t>
      </w:r>
      <w:r>
        <w:rPr>
          <w:rFonts w:ascii="Arial" w:hAnsi="Arial" w:cs="Arial"/>
          <w:lang w:val="sq-AL"/>
        </w:rPr>
        <w:t>j</w:t>
      </w:r>
      <w:r w:rsidRPr="00F251E6">
        <w:rPr>
          <w:rFonts w:ascii="Arial" w:hAnsi="Arial" w:cs="Arial"/>
          <w:lang w:val="sq-AL"/>
        </w:rPr>
        <w:t>anje ekološke  dozvole, odnosno dozvole za upravljanje otpadom. Plan mora biti urađen u skladu sa ciljevima sprečavanja ili smanjivanja nastajanja otpada od mineralnih sirovina i njegove štetnosti za zdravlje ljudi i životnu sredinu, podsticanje recikl</w:t>
      </w:r>
      <w:r w:rsidR="007E114B">
        <w:rPr>
          <w:rFonts w:ascii="Arial" w:hAnsi="Arial" w:cs="Arial"/>
          <w:lang w:val="sq-AL"/>
        </w:rPr>
        <w:t>iranja</w:t>
      </w:r>
      <w:r w:rsidRPr="00F251E6">
        <w:rPr>
          <w:rFonts w:ascii="Arial" w:hAnsi="Arial" w:cs="Arial"/>
          <w:lang w:val="sq-AL"/>
        </w:rPr>
        <w:t xml:space="preserve"> i ponovnog korišćenja, te osiguranje privremenog i </w:t>
      </w:r>
      <w:r w:rsidR="007E114B">
        <w:rPr>
          <w:rFonts w:ascii="Arial" w:hAnsi="Arial" w:cs="Arial"/>
          <w:lang w:val="sq-AL"/>
        </w:rPr>
        <w:t>odstranjivanje</w:t>
      </w:r>
      <w:r w:rsidRPr="00F251E6">
        <w:rPr>
          <w:rFonts w:ascii="Arial" w:hAnsi="Arial" w:cs="Arial"/>
          <w:lang w:val="sq-AL"/>
        </w:rPr>
        <w:t xml:space="preserve"> otpada.</w:t>
      </w:r>
    </w:p>
    <w:p w14:paraId="4E9530F2" w14:textId="4A57754C" w:rsidR="009317A5" w:rsidRPr="00F251E6" w:rsidRDefault="009317A5" w:rsidP="009317A5">
      <w:pPr>
        <w:spacing w:before="120" w:after="120" w:line="360" w:lineRule="auto"/>
        <w:rPr>
          <w:rFonts w:ascii="Arial" w:hAnsi="Arial" w:cs="Arial"/>
          <w:lang w:val="sq-AL"/>
        </w:rPr>
      </w:pPr>
      <w:r w:rsidRPr="00F251E6">
        <w:rPr>
          <w:rFonts w:ascii="Arial" w:hAnsi="Arial" w:cs="Arial"/>
          <w:lang w:val="sq-AL"/>
        </w:rPr>
        <w:t xml:space="preserve">U slučaju inertnog otpada od istraživanja i eksploatacije mineralnih sirovina koji nije </w:t>
      </w:r>
      <w:r w:rsidR="007E114B">
        <w:rPr>
          <w:rFonts w:ascii="Arial" w:hAnsi="Arial" w:cs="Arial"/>
          <w:lang w:val="sq-AL"/>
        </w:rPr>
        <w:t>zagađen</w:t>
      </w:r>
      <w:r w:rsidR="007E114B" w:rsidRPr="00F251E6">
        <w:rPr>
          <w:rFonts w:ascii="Arial" w:hAnsi="Arial" w:cs="Arial"/>
          <w:lang w:val="sq-AL"/>
        </w:rPr>
        <w:t xml:space="preserve"> </w:t>
      </w:r>
      <w:r w:rsidRPr="00F251E6">
        <w:rPr>
          <w:rFonts w:ascii="Arial" w:hAnsi="Arial" w:cs="Arial"/>
          <w:lang w:val="sq-AL"/>
        </w:rPr>
        <w:t>prema posebnim propisima, operator izrađuje plan upravljanja otpadom u okviru rudarskog projekta, u skladu sa propisima koji regulišu oblast rudarstva. Takođe,</w:t>
      </w:r>
      <w:r>
        <w:rPr>
          <w:rFonts w:ascii="Arial" w:hAnsi="Arial" w:cs="Arial"/>
          <w:lang w:val="sq-AL"/>
        </w:rPr>
        <w:t xml:space="preserve"> </w:t>
      </w:r>
      <w:r w:rsidR="00212FBD">
        <w:rPr>
          <w:rFonts w:ascii="Arial" w:hAnsi="Arial" w:cs="Arial"/>
          <w:lang w:val="sq-AL"/>
        </w:rPr>
        <w:t>važeći</w:t>
      </w:r>
      <w:r w:rsidRPr="00F251E6">
        <w:rPr>
          <w:rFonts w:ascii="Arial" w:hAnsi="Arial" w:cs="Arial"/>
          <w:lang w:val="sq-AL"/>
        </w:rPr>
        <w:t xml:space="preserve"> </w:t>
      </w:r>
      <w:r w:rsidRPr="00212FBD">
        <w:rPr>
          <w:rFonts w:ascii="Arial" w:hAnsi="Arial" w:cs="Arial"/>
          <w:lang w:val="sq-AL"/>
        </w:rPr>
        <w:t>Zakon o rudarstvu  Crne Gore</w:t>
      </w:r>
      <w:r w:rsidRPr="00F251E6">
        <w:rPr>
          <w:rFonts w:ascii="Arial" w:hAnsi="Arial" w:cs="Arial"/>
          <w:lang w:val="sq-AL"/>
        </w:rPr>
        <w:t xml:space="preserve"> nalaže koncesionarima da u toku eksploatacije i nakon isteka ugovora o koncesiji,</w:t>
      </w:r>
      <w:r>
        <w:rPr>
          <w:rFonts w:ascii="Arial" w:hAnsi="Arial" w:cs="Arial"/>
          <w:lang w:val="sq-AL"/>
        </w:rPr>
        <w:t xml:space="preserve"> </w:t>
      </w:r>
      <w:r w:rsidRPr="00F251E6">
        <w:rPr>
          <w:rFonts w:ascii="Arial" w:hAnsi="Arial" w:cs="Arial"/>
          <w:lang w:val="sq-AL"/>
        </w:rPr>
        <w:t>a najkasnije u roku od jedne godine od obustavljanja proizvodnje na rudnicima</w:t>
      </w:r>
      <w:r>
        <w:rPr>
          <w:rFonts w:ascii="Arial" w:hAnsi="Arial" w:cs="Arial"/>
          <w:lang w:val="sq-AL"/>
        </w:rPr>
        <w:t xml:space="preserve">, </w:t>
      </w:r>
      <w:r w:rsidRPr="00F251E6">
        <w:rPr>
          <w:rFonts w:ascii="Arial" w:hAnsi="Arial" w:cs="Arial"/>
          <w:lang w:val="sq-AL"/>
        </w:rPr>
        <w:t>da isti  sprovedu rekultivaciju degradiranih površina, a projekat rekultivacije treba biti uključen u rudarski proj</w:t>
      </w:r>
      <w:r>
        <w:rPr>
          <w:rFonts w:ascii="Arial" w:hAnsi="Arial" w:cs="Arial"/>
          <w:lang w:val="sq-AL"/>
        </w:rPr>
        <w:t xml:space="preserve">ekt. </w:t>
      </w:r>
    </w:p>
    <w:p w14:paraId="46A99D47" w14:textId="7EAC3D99" w:rsidR="009317A5" w:rsidRPr="00F251E6" w:rsidRDefault="009317A5" w:rsidP="009317A5">
      <w:pPr>
        <w:spacing w:before="120" w:after="120" w:line="360" w:lineRule="auto"/>
        <w:rPr>
          <w:rFonts w:ascii="Arial" w:hAnsi="Arial" w:cs="Arial"/>
          <w:lang w:val="sq-AL"/>
        </w:rPr>
      </w:pPr>
      <w:r w:rsidRPr="00F251E6">
        <w:rPr>
          <w:rFonts w:ascii="Arial" w:hAnsi="Arial" w:cs="Arial"/>
          <w:lang w:val="sq-AL"/>
        </w:rPr>
        <w:t>U slučaju obustavljanja rudarskih radova koncesionar je dužan da, preduzme mjere radi zaštite ljudi i imovine</w:t>
      </w:r>
      <w:r w:rsidR="00A531A1">
        <w:rPr>
          <w:rFonts w:ascii="Arial" w:hAnsi="Arial" w:cs="Arial"/>
          <w:lang w:val="sq-AL"/>
        </w:rPr>
        <w:t>. Takođe, k</w:t>
      </w:r>
      <w:r w:rsidRPr="00F251E6">
        <w:rPr>
          <w:rFonts w:ascii="Arial" w:hAnsi="Arial" w:cs="Arial"/>
          <w:lang w:val="sq-AL"/>
        </w:rPr>
        <w:t xml:space="preserve">oncesionar je dužan </w:t>
      </w:r>
      <w:r w:rsidR="00A531A1">
        <w:rPr>
          <w:rFonts w:ascii="Arial" w:hAnsi="Arial" w:cs="Arial"/>
          <w:lang w:val="sq-AL"/>
        </w:rPr>
        <w:t>da</w:t>
      </w:r>
      <w:r w:rsidRPr="00F251E6">
        <w:rPr>
          <w:rFonts w:ascii="Arial" w:hAnsi="Arial" w:cs="Arial"/>
          <w:lang w:val="sq-AL"/>
        </w:rPr>
        <w:t xml:space="preserve"> u roku od jedne godine od dana završetka radova, </w:t>
      </w:r>
      <w:r w:rsidR="00A531A1">
        <w:rPr>
          <w:rFonts w:ascii="Arial" w:hAnsi="Arial" w:cs="Arial"/>
          <w:lang w:val="sq-AL"/>
        </w:rPr>
        <w:t>izvrši</w:t>
      </w:r>
      <w:r w:rsidRPr="00F251E6">
        <w:rPr>
          <w:rFonts w:ascii="Arial" w:hAnsi="Arial" w:cs="Arial"/>
          <w:lang w:val="sq-AL"/>
        </w:rPr>
        <w:t xml:space="preserve"> rekultivacij</w:t>
      </w:r>
      <w:r w:rsidR="00A531A1">
        <w:rPr>
          <w:rFonts w:ascii="Arial" w:hAnsi="Arial" w:cs="Arial"/>
          <w:lang w:val="sq-AL"/>
        </w:rPr>
        <w:t>u</w:t>
      </w:r>
      <w:r w:rsidRPr="00F251E6">
        <w:rPr>
          <w:rFonts w:ascii="Arial" w:hAnsi="Arial" w:cs="Arial"/>
          <w:lang w:val="sq-AL"/>
        </w:rPr>
        <w:t xml:space="preserve"> zemljišta</w:t>
      </w:r>
      <w:r w:rsidR="00A531A1">
        <w:rPr>
          <w:rFonts w:ascii="Arial" w:hAnsi="Arial" w:cs="Arial"/>
          <w:lang w:val="sq-AL"/>
        </w:rPr>
        <w:t>.</w:t>
      </w:r>
    </w:p>
    <w:p w14:paraId="74039A43" w14:textId="77B28EB4" w:rsidR="009317A5" w:rsidRDefault="009317A5" w:rsidP="009317A5">
      <w:pPr>
        <w:spacing w:before="120" w:after="120" w:line="360" w:lineRule="auto"/>
        <w:rPr>
          <w:rFonts w:ascii="Arial" w:hAnsi="Arial" w:cs="Arial"/>
          <w:lang w:val="sq-AL"/>
        </w:rPr>
      </w:pPr>
      <w:r w:rsidRPr="00F251E6">
        <w:rPr>
          <w:rFonts w:ascii="Arial" w:hAnsi="Arial" w:cs="Arial"/>
          <w:lang w:val="sq-AL"/>
        </w:rPr>
        <w:t>Shodno državnom planu upravljanja otpadom po pitanju rudarskog otpada potrebno je napraviti Pilot projekat o načinu sanacije najugroženijih napuštenih rudnika “Liverovići” i “Crvena kita” u Opštini Nikšić i u što kraćem vremenu dostaviti predlog ostalih sanacija.</w:t>
      </w:r>
    </w:p>
    <w:p w14:paraId="44C8433E" w14:textId="77777777" w:rsidR="00E24D1E" w:rsidRDefault="00E24D1E" w:rsidP="009317A5">
      <w:pPr>
        <w:spacing w:before="120" w:after="120" w:line="360" w:lineRule="auto"/>
        <w:rPr>
          <w:rFonts w:ascii="Arial" w:hAnsi="Arial" w:cs="Arial"/>
          <w:lang w:val="sq-AL"/>
        </w:rPr>
      </w:pPr>
    </w:p>
    <w:p w14:paraId="51C88CD2" w14:textId="77777777" w:rsidR="00E24D1E" w:rsidRDefault="00E24D1E" w:rsidP="009317A5">
      <w:pPr>
        <w:spacing w:before="120" w:after="120" w:line="360" w:lineRule="auto"/>
        <w:rPr>
          <w:rFonts w:ascii="Arial" w:hAnsi="Arial" w:cs="Arial"/>
          <w:lang w:val="sq-AL"/>
        </w:rPr>
      </w:pPr>
    </w:p>
    <w:p w14:paraId="48CA726B" w14:textId="77777777" w:rsidR="00E24D1E" w:rsidRDefault="00E24D1E" w:rsidP="009317A5">
      <w:pPr>
        <w:spacing w:before="120" w:after="120" w:line="360" w:lineRule="auto"/>
        <w:rPr>
          <w:rFonts w:ascii="Arial" w:hAnsi="Arial" w:cs="Arial"/>
          <w:lang w:val="sq-AL"/>
        </w:rPr>
      </w:pPr>
    </w:p>
    <w:p w14:paraId="29D75B4E" w14:textId="77777777" w:rsidR="00E24D1E" w:rsidRDefault="00E24D1E" w:rsidP="009317A5">
      <w:pPr>
        <w:spacing w:before="120" w:after="120" w:line="360" w:lineRule="auto"/>
        <w:rPr>
          <w:rFonts w:ascii="Arial" w:hAnsi="Arial" w:cs="Arial"/>
          <w:lang w:val="sq-AL"/>
        </w:rPr>
      </w:pPr>
    </w:p>
    <w:p w14:paraId="45D68851" w14:textId="77777777" w:rsidR="00E24D1E" w:rsidRDefault="00E24D1E" w:rsidP="009317A5">
      <w:pPr>
        <w:spacing w:before="120" w:after="120" w:line="360" w:lineRule="auto"/>
        <w:rPr>
          <w:rFonts w:ascii="Arial" w:hAnsi="Arial" w:cs="Arial"/>
          <w:lang w:val="sq-AL"/>
        </w:rPr>
      </w:pPr>
    </w:p>
    <w:p w14:paraId="5238621E" w14:textId="77777777" w:rsidR="00E24D1E" w:rsidRDefault="00E24D1E" w:rsidP="009317A5">
      <w:pPr>
        <w:spacing w:before="120" w:after="120" w:line="360" w:lineRule="auto"/>
        <w:rPr>
          <w:rFonts w:ascii="Arial" w:hAnsi="Arial" w:cs="Arial"/>
          <w:lang w:val="sq-AL"/>
        </w:rPr>
      </w:pPr>
    </w:p>
    <w:p w14:paraId="5818F8CE" w14:textId="77777777" w:rsidR="00E24D1E" w:rsidRDefault="00E24D1E" w:rsidP="009317A5">
      <w:pPr>
        <w:spacing w:before="120" w:after="120" w:line="360" w:lineRule="auto"/>
        <w:rPr>
          <w:rFonts w:ascii="Arial" w:hAnsi="Arial" w:cs="Arial"/>
          <w:lang w:val="sq-AL"/>
        </w:rPr>
      </w:pPr>
    </w:p>
    <w:p w14:paraId="5416CEA2" w14:textId="77777777" w:rsidR="00D37D42" w:rsidRDefault="00D37D42" w:rsidP="009317A5">
      <w:pPr>
        <w:spacing w:before="120" w:after="120" w:line="360" w:lineRule="auto"/>
        <w:rPr>
          <w:rFonts w:ascii="Arial" w:hAnsi="Arial" w:cs="Arial"/>
          <w:lang w:val="sq-AL"/>
        </w:rPr>
      </w:pPr>
    </w:p>
    <w:p w14:paraId="4941E4A4" w14:textId="1156B9CE" w:rsidR="009317A5" w:rsidRPr="00AF012C" w:rsidRDefault="009317A5" w:rsidP="009317A5">
      <w:pPr>
        <w:pStyle w:val="Caption"/>
        <w:rPr>
          <w:rFonts w:ascii="Arial" w:hAnsi="Arial" w:cs="Arial"/>
          <w:b w:val="0"/>
          <w:lang w:val="sq-AL"/>
        </w:rPr>
      </w:pPr>
      <w:bookmarkStart w:id="1403" w:name="_Toc190160715"/>
      <w:r w:rsidRPr="008E642F">
        <w:rPr>
          <w:rFonts w:ascii="Arial" w:hAnsi="Arial" w:cs="Arial"/>
          <w:b w:val="0"/>
          <w:lang w:val="sq-AL"/>
        </w:rPr>
        <w:lastRenderedPageBreak/>
        <w:t xml:space="preserve">Tabela </w:t>
      </w:r>
      <w:r w:rsidRPr="008E642F">
        <w:rPr>
          <w:rFonts w:ascii="Arial" w:hAnsi="Arial" w:cs="Arial"/>
          <w:b w:val="0"/>
        </w:rPr>
        <w:fldChar w:fldCharType="begin"/>
      </w:r>
      <w:r w:rsidRPr="008E642F">
        <w:rPr>
          <w:rFonts w:ascii="Arial" w:hAnsi="Arial" w:cs="Arial"/>
          <w:b w:val="0"/>
          <w:lang w:val="sq-AL"/>
        </w:rPr>
        <w:instrText xml:space="preserve"> SEQ Tabela \* ARABIC </w:instrText>
      </w:r>
      <w:r w:rsidRPr="008E642F">
        <w:rPr>
          <w:rFonts w:ascii="Arial" w:hAnsi="Arial" w:cs="Arial"/>
          <w:b w:val="0"/>
        </w:rPr>
        <w:fldChar w:fldCharType="separate"/>
      </w:r>
      <w:r w:rsidR="007274DA">
        <w:rPr>
          <w:rFonts w:ascii="Arial" w:hAnsi="Arial" w:cs="Arial"/>
          <w:b w:val="0"/>
          <w:noProof/>
          <w:lang w:val="sq-AL"/>
        </w:rPr>
        <w:t>117</w:t>
      </w:r>
      <w:r w:rsidRPr="008E642F">
        <w:rPr>
          <w:rFonts w:ascii="Arial" w:hAnsi="Arial" w:cs="Arial"/>
          <w:b w:val="0"/>
        </w:rPr>
        <w:fldChar w:fldCharType="end"/>
      </w:r>
      <w:r w:rsidRPr="00AF012C">
        <w:rPr>
          <w:rFonts w:ascii="Arial" w:hAnsi="Arial" w:cs="Arial"/>
          <w:b w:val="0"/>
          <w:lang w:val="sq-AL"/>
        </w:rPr>
        <w:t xml:space="preserve"> Količine i način </w:t>
      </w:r>
      <w:r w:rsidR="006B47B0">
        <w:rPr>
          <w:rFonts w:ascii="Arial" w:hAnsi="Arial" w:cs="Arial"/>
          <w:b w:val="0"/>
          <w:lang w:val="sq-AL"/>
        </w:rPr>
        <w:t>odstranivanja</w:t>
      </w:r>
      <w:r w:rsidR="006B47B0" w:rsidRPr="00AF012C">
        <w:rPr>
          <w:rFonts w:ascii="Arial" w:hAnsi="Arial" w:cs="Arial"/>
          <w:b w:val="0"/>
          <w:lang w:val="sq-AL"/>
        </w:rPr>
        <w:t xml:space="preserve"> </w:t>
      </w:r>
      <w:r w:rsidRPr="00AF012C">
        <w:rPr>
          <w:rFonts w:ascii="Arial" w:hAnsi="Arial" w:cs="Arial"/>
          <w:b w:val="0"/>
          <w:lang w:val="sq-AL"/>
        </w:rPr>
        <w:t xml:space="preserve">otpada iz ekstraktivne industrije (trenutna praksa u rudnicima) </w:t>
      </w:r>
      <w:bookmarkEnd w:id="1403"/>
    </w:p>
    <w:tbl>
      <w:tblPr>
        <w:tblStyle w:val="TableGrid"/>
        <w:tblW w:w="0" w:type="auto"/>
        <w:jc w:val="center"/>
        <w:tblLook w:val="04A0" w:firstRow="1" w:lastRow="0" w:firstColumn="1" w:lastColumn="0" w:noHBand="0" w:noVBand="1"/>
      </w:tblPr>
      <w:tblGrid>
        <w:gridCol w:w="2509"/>
        <w:gridCol w:w="6271"/>
      </w:tblGrid>
      <w:tr w:rsidR="009317A5" w:rsidRPr="008E642F" w14:paraId="603CD1C8" w14:textId="77777777" w:rsidTr="00631D61">
        <w:trPr>
          <w:trHeight w:val="553"/>
          <w:jc w:val="center"/>
        </w:trPr>
        <w:tc>
          <w:tcPr>
            <w:tcW w:w="2509" w:type="dxa"/>
          </w:tcPr>
          <w:p w14:paraId="7FED3B6B" w14:textId="77777777" w:rsidR="009317A5" w:rsidRPr="00E24D1E" w:rsidRDefault="009317A5" w:rsidP="00631D61">
            <w:pPr>
              <w:ind w:left="0"/>
              <w:rPr>
                <w:rFonts w:ascii="Arial" w:hAnsi="Arial" w:cs="Arial"/>
                <w:b/>
                <w:sz w:val="16"/>
                <w:szCs w:val="18"/>
              </w:rPr>
            </w:pPr>
            <w:r w:rsidRPr="00E24D1E">
              <w:rPr>
                <w:rFonts w:ascii="Arial" w:hAnsi="Arial" w:cs="Arial"/>
                <w:b/>
                <w:sz w:val="16"/>
                <w:szCs w:val="18"/>
              </w:rPr>
              <w:t>NAPUŠTENI RUDNIK</w:t>
            </w:r>
          </w:p>
        </w:tc>
        <w:tc>
          <w:tcPr>
            <w:tcW w:w="6271" w:type="dxa"/>
          </w:tcPr>
          <w:p w14:paraId="4B0D81E3" w14:textId="77777777" w:rsidR="009317A5" w:rsidRPr="00E24D1E" w:rsidRDefault="009317A5" w:rsidP="00631D61">
            <w:pPr>
              <w:rPr>
                <w:rFonts w:ascii="Arial" w:hAnsi="Arial" w:cs="Arial"/>
                <w:b/>
                <w:sz w:val="16"/>
                <w:szCs w:val="18"/>
                <w:lang w:val="sr-Latn-ME"/>
              </w:rPr>
            </w:pPr>
            <w:r w:rsidRPr="00E24D1E">
              <w:rPr>
                <w:rFonts w:ascii="Arial" w:hAnsi="Arial" w:cs="Arial"/>
                <w:b/>
                <w:sz w:val="16"/>
                <w:szCs w:val="18"/>
              </w:rPr>
              <w:t>NA</w:t>
            </w:r>
            <w:r w:rsidRPr="00E24D1E">
              <w:rPr>
                <w:rFonts w:ascii="Arial" w:hAnsi="Arial" w:cs="Arial"/>
                <w:b/>
                <w:sz w:val="16"/>
                <w:szCs w:val="18"/>
                <w:lang w:val="sr-Latn-ME"/>
              </w:rPr>
              <w:t>ČIN ZBRINJAVANJA OTPADA</w:t>
            </w:r>
          </w:p>
        </w:tc>
      </w:tr>
      <w:tr w:rsidR="009317A5" w:rsidRPr="008E642F" w14:paraId="03FD0C27" w14:textId="77777777" w:rsidTr="00E70430">
        <w:trPr>
          <w:trHeight w:val="2901"/>
          <w:jc w:val="center"/>
        </w:trPr>
        <w:tc>
          <w:tcPr>
            <w:tcW w:w="2509" w:type="dxa"/>
          </w:tcPr>
          <w:p w14:paraId="1848CA36" w14:textId="77777777" w:rsidR="009317A5" w:rsidRPr="00E24D1E" w:rsidRDefault="009317A5" w:rsidP="00631D61">
            <w:pPr>
              <w:ind w:left="0"/>
              <w:rPr>
                <w:rFonts w:ascii="Arial" w:hAnsi="Arial" w:cs="Arial"/>
                <w:sz w:val="16"/>
                <w:szCs w:val="18"/>
              </w:rPr>
            </w:pPr>
            <w:r w:rsidRPr="00E24D1E">
              <w:rPr>
                <w:rFonts w:ascii="Arial" w:hAnsi="Arial" w:cs="Arial"/>
                <w:sz w:val="16"/>
                <w:szCs w:val="18"/>
              </w:rPr>
              <w:t xml:space="preserve">Liverovići </w:t>
            </w:r>
          </w:p>
        </w:tc>
        <w:tc>
          <w:tcPr>
            <w:tcW w:w="6271" w:type="dxa"/>
          </w:tcPr>
          <w:p w14:paraId="3B824A51" w14:textId="544656DF" w:rsidR="009317A5" w:rsidRPr="00E24D1E" w:rsidRDefault="00783EE0" w:rsidP="00E70430">
            <w:pPr>
              <w:ind w:left="73"/>
              <w:rPr>
                <w:rFonts w:ascii="Arial" w:hAnsi="Arial" w:cs="Arial"/>
                <w:sz w:val="16"/>
                <w:szCs w:val="18"/>
              </w:rPr>
            </w:pPr>
            <w:r w:rsidRPr="00E24D1E">
              <w:rPr>
                <w:rFonts w:ascii="Arial" w:hAnsi="Arial" w:cs="Arial"/>
                <w:sz w:val="16"/>
                <w:szCs w:val="18"/>
              </w:rPr>
              <w:t xml:space="preserve">Tokom </w:t>
            </w:r>
            <w:r w:rsidR="009317A5" w:rsidRPr="00E24D1E">
              <w:rPr>
                <w:rFonts w:ascii="Arial" w:hAnsi="Arial" w:cs="Arial"/>
                <w:sz w:val="16"/>
                <w:szCs w:val="18"/>
              </w:rPr>
              <w:t xml:space="preserve">rada rudnika “Liverovići” nije  postojao definisani sistem </w:t>
            </w:r>
            <w:r w:rsidR="006B47B0" w:rsidRPr="00E24D1E">
              <w:rPr>
                <w:rFonts w:ascii="Arial" w:hAnsi="Arial" w:cs="Arial"/>
                <w:sz w:val="16"/>
                <w:szCs w:val="18"/>
              </w:rPr>
              <w:t>sa</w:t>
            </w:r>
            <w:r w:rsidR="009317A5" w:rsidRPr="00E24D1E">
              <w:rPr>
                <w:rFonts w:ascii="Arial" w:hAnsi="Arial" w:cs="Arial"/>
                <w:sz w:val="16"/>
                <w:szCs w:val="18"/>
              </w:rPr>
              <w:t>kupljanja otpada po kategorijama, a podaci o prosječnim mjesečnim i godišnjim količinama nijesu bili dostupni.</w:t>
            </w:r>
          </w:p>
          <w:p w14:paraId="1069D0F5" w14:textId="571B069C" w:rsidR="009317A5" w:rsidRPr="00E24D1E" w:rsidRDefault="009317A5" w:rsidP="00E70430">
            <w:pPr>
              <w:ind w:left="73"/>
              <w:rPr>
                <w:rFonts w:ascii="Arial" w:hAnsi="Arial" w:cs="Arial"/>
                <w:sz w:val="16"/>
                <w:szCs w:val="18"/>
              </w:rPr>
            </w:pPr>
            <w:r w:rsidRPr="00E24D1E">
              <w:rPr>
                <w:rFonts w:ascii="Arial" w:hAnsi="Arial" w:cs="Arial"/>
                <w:sz w:val="16"/>
                <w:szCs w:val="18"/>
              </w:rPr>
              <w:t xml:space="preserve">Konačno </w:t>
            </w:r>
            <w:r w:rsidR="006B47B0" w:rsidRPr="00E24D1E">
              <w:rPr>
                <w:rFonts w:ascii="Arial" w:hAnsi="Arial" w:cs="Arial"/>
                <w:sz w:val="16"/>
                <w:szCs w:val="18"/>
              </w:rPr>
              <w:t xml:space="preserve">odstranjivanje </w:t>
            </w:r>
            <w:r w:rsidRPr="00E24D1E">
              <w:rPr>
                <w:rFonts w:ascii="Arial" w:hAnsi="Arial" w:cs="Arial"/>
                <w:sz w:val="16"/>
                <w:szCs w:val="18"/>
              </w:rPr>
              <w:t>rudarskog otpada nije se vršilo jer je napušten prije donosenja Zakona o upravljanju otpadom. Orjentaciono,</w:t>
            </w:r>
            <w:r w:rsidR="003600A0" w:rsidRPr="00E24D1E">
              <w:rPr>
                <w:rFonts w:ascii="Arial" w:hAnsi="Arial" w:cs="Arial"/>
                <w:sz w:val="16"/>
                <w:szCs w:val="18"/>
              </w:rPr>
              <w:t xml:space="preserve"> </w:t>
            </w:r>
            <w:r w:rsidRPr="00E24D1E">
              <w:rPr>
                <w:rFonts w:ascii="Arial" w:hAnsi="Arial" w:cs="Arial"/>
                <w:sz w:val="16"/>
                <w:szCs w:val="18"/>
              </w:rPr>
              <w:t>količina rudarskog otpada,na prostoru ovoga,</w:t>
            </w:r>
            <w:r w:rsidR="003600A0" w:rsidRPr="00E24D1E">
              <w:rPr>
                <w:rFonts w:ascii="Arial" w:hAnsi="Arial" w:cs="Arial"/>
                <w:sz w:val="16"/>
                <w:szCs w:val="18"/>
              </w:rPr>
              <w:t xml:space="preserve"> </w:t>
            </w:r>
            <w:r w:rsidRPr="00E24D1E">
              <w:rPr>
                <w:rFonts w:ascii="Arial" w:hAnsi="Arial" w:cs="Arial"/>
                <w:sz w:val="16"/>
                <w:szCs w:val="18"/>
              </w:rPr>
              <w:t>napuštenog rudnika iznosi oko 2.000.000m</w:t>
            </w:r>
            <w:r w:rsidRPr="00E24D1E">
              <w:rPr>
                <w:rFonts w:ascii="Arial" w:hAnsi="Arial" w:cs="Arial"/>
                <w:sz w:val="16"/>
                <w:szCs w:val="18"/>
                <w:vertAlign w:val="superscript"/>
              </w:rPr>
              <w:t>3</w:t>
            </w:r>
            <w:r w:rsidRPr="00E24D1E">
              <w:rPr>
                <w:rFonts w:ascii="Arial" w:hAnsi="Arial" w:cs="Arial"/>
                <w:sz w:val="16"/>
                <w:szCs w:val="18"/>
              </w:rPr>
              <w:t>.</w:t>
            </w:r>
            <w:r w:rsidR="003600A0" w:rsidRPr="00E24D1E">
              <w:rPr>
                <w:rFonts w:ascii="Arial" w:hAnsi="Arial" w:cs="Arial"/>
                <w:sz w:val="16"/>
                <w:szCs w:val="18"/>
              </w:rPr>
              <w:t xml:space="preserve"> </w:t>
            </w:r>
            <w:r w:rsidRPr="00E24D1E">
              <w:rPr>
                <w:rFonts w:ascii="Arial" w:hAnsi="Arial" w:cs="Arial"/>
                <w:sz w:val="16"/>
                <w:szCs w:val="18"/>
              </w:rPr>
              <w:t>Prostor napuštenog rudnika “Liverovići” obuhvata p</w:t>
            </w:r>
            <w:r w:rsidRPr="00E24D1E">
              <w:rPr>
                <w:rFonts w:ascii="Arial" w:hAnsi="Arial" w:cs="Arial"/>
                <w:color w:val="212121"/>
                <w:sz w:val="16"/>
                <w:szCs w:val="18"/>
                <w:shd w:val="clear" w:color="auto" w:fill="FFFFFF"/>
              </w:rPr>
              <w:t>arcele iz posjedovnog lista PL 78 U KO Zagrad I (KP 594,595, 600, 604 ,605,606,607,608,609,610,611 i 612) i parcele iz posjedovnog lista PL 304 u KO Liverovići (KP 17,18,20,21,23, 24, 25,26, 27,245, 257,258, 261, 264, 265), I iste se,</w:t>
            </w:r>
            <w:r w:rsidR="006B47B0" w:rsidRPr="00E24D1E">
              <w:rPr>
                <w:rFonts w:ascii="Arial" w:hAnsi="Arial" w:cs="Arial"/>
                <w:color w:val="212121"/>
                <w:sz w:val="16"/>
                <w:szCs w:val="18"/>
                <w:shd w:val="clear" w:color="auto" w:fill="FFFFFF"/>
              </w:rPr>
              <w:t xml:space="preserve"> </w:t>
            </w:r>
            <w:r w:rsidRPr="00E24D1E">
              <w:rPr>
                <w:rFonts w:ascii="Arial" w:hAnsi="Arial" w:cs="Arial"/>
                <w:color w:val="212121"/>
                <w:sz w:val="16"/>
                <w:szCs w:val="18"/>
                <w:shd w:val="clear" w:color="auto" w:fill="FFFFFF"/>
              </w:rPr>
              <w:t>prema podacima dobijenim sa e-katastra, nalaze u vlasništvu privrednog društva Rudnici Boksita A.D. iz Nikšića.</w:t>
            </w:r>
            <w:r w:rsidRPr="00E24D1E">
              <w:rPr>
                <w:rFonts w:ascii="Arial" w:hAnsi="Arial" w:cs="Arial"/>
                <w:color w:val="212121"/>
                <w:sz w:val="16"/>
                <w:szCs w:val="18"/>
              </w:rPr>
              <w:br/>
            </w:r>
          </w:p>
          <w:p w14:paraId="4681FE13" w14:textId="77777777" w:rsidR="009317A5" w:rsidRPr="00E24D1E" w:rsidRDefault="009317A5" w:rsidP="00631D61">
            <w:pPr>
              <w:rPr>
                <w:rFonts w:ascii="Arial" w:hAnsi="Arial" w:cs="Arial"/>
                <w:sz w:val="16"/>
                <w:szCs w:val="18"/>
              </w:rPr>
            </w:pPr>
          </w:p>
        </w:tc>
      </w:tr>
      <w:tr w:rsidR="009317A5" w:rsidRPr="008E642F" w14:paraId="2569B863" w14:textId="77777777" w:rsidTr="00E70430">
        <w:trPr>
          <w:trHeight w:val="2480"/>
          <w:jc w:val="center"/>
        </w:trPr>
        <w:tc>
          <w:tcPr>
            <w:tcW w:w="2509" w:type="dxa"/>
          </w:tcPr>
          <w:p w14:paraId="1DC7E134" w14:textId="77777777" w:rsidR="009317A5" w:rsidRPr="00E24D1E" w:rsidRDefault="009317A5" w:rsidP="00631D61">
            <w:pPr>
              <w:ind w:left="0"/>
              <w:rPr>
                <w:rFonts w:ascii="Arial" w:hAnsi="Arial" w:cs="Arial"/>
                <w:sz w:val="16"/>
                <w:szCs w:val="18"/>
              </w:rPr>
            </w:pPr>
            <w:r w:rsidRPr="00E24D1E">
              <w:rPr>
                <w:rFonts w:ascii="Arial" w:hAnsi="Arial" w:cs="Arial"/>
                <w:sz w:val="16"/>
                <w:szCs w:val="18"/>
              </w:rPr>
              <w:t>Crvena Kita</w:t>
            </w:r>
          </w:p>
        </w:tc>
        <w:tc>
          <w:tcPr>
            <w:tcW w:w="6271" w:type="dxa"/>
          </w:tcPr>
          <w:p w14:paraId="181741BD" w14:textId="7161D659" w:rsidR="009317A5" w:rsidRPr="00E24D1E" w:rsidRDefault="00783EE0" w:rsidP="00E70430">
            <w:pPr>
              <w:ind w:left="73"/>
              <w:rPr>
                <w:rFonts w:ascii="Arial" w:hAnsi="Arial" w:cs="Arial"/>
                <w:sz w:val="16"/>
                <w:szCs w:val="18"/>
              </w:rPr>
            </w:pPr>
            <w:r w:rsidRPr="00E24D1E">
              <w:rPr>
                <w:rFonts w:ascii="Arial" w:hAnsi="Arial" w:cs="Arial"/>
                <w:sz w:val="16"/>
                <w:szCs w:val="18"/>
              </w:rPr>
              <w:t>Tokom</w:t>
            </w:r>
            <w:r w:rsidR="009317A5" w:rsidRPr="00E24D1E">
              <w:rPr>
                <w:rFonts w:ascii="Arial" w:hAnsi="Arial" w:cs="Arial"/>
                <w:sz w:val="16"/>
                <w:szCs w:val="18"/>
              </w:rPr>
              <w:t xml:space="preserve"> rada rudnika “Crvena Kita” nije  postojao definisani sistem </w:t>
            </w:r>
            <w:r w:rsidR="006B47B0" w:rsidRPr="00E24D1E">
              <w:rPr>
                <w:rFonts w:ascii="Arial" w:hAnsi="Arial" w:cs="Arial"/>
                <w:sz w:val="16"/>
                <w:szCs w:val="18"/>
              </w:rPr>
              <w:t>sa</w:t>
            </w:r>
            <w:r w:rsidR="009317A5" w:rsidRPr="00E24D1E">
              <w:rPr>
                <w:rFonts w:ascii="Arial" w:hAnsi="Arial" w:cs="Arial"/>
                <w:sz w:val="16"/>
                <w:szCs w:val="18"/>
              </w:rPr>
              <w:t>kupljanja otpada po kategorijama, a podaci o prosječnim mjesečnim i godišnjim količinama nijesu bili dostupni.</w:t>
            </w:r>
          </w:p>
          <w:p w14:paraId="4F41ABD4" w14:textId="2DD61F7D" w:rsidR="009317A5" w:rsidRPr="00E24D1E" w:rsidRDefault="006B47B0" w:rsidP="00E70430">
            <w:pPr>
              <w:ind w:left="73"/>
              <w:rPr>
                <w:rFonts w:ascii="Arial" w:hAnsi="Arial" w:cs="Arial"/>
                <w:sz w:val="16"/>
                <w:szCs w:val="18"/>
              </w:rPr>
            </w:pPr>
            <w:r w:rsidRPr="00E24D1E">
              <w:rPr>
                <w:rFonts w:ascii="Arial" w:hAnsi="Arial" w:cs="Arial"/>
                <w:sz w:val="16"/>
                <w:szCs w:val="18"/>
              </w:rPr>
              <w:t>Odstranjivanje</w:t>
            </w:r>
            <w:r w:rsidR="009317A5" w:rsidRPr="00E24D1E">
              <w:rPr>
                <w:rFonts w:ascii="Arial" w:hAnsi="Arial" w:cs="Arial"/>
                <w:sz w:val="16"/>
                <w:szCs w:val="18"/>
              </w:rPr>
              <w:t xml:space="preserve"> rudarskog otpada nije se vršilo jer je napušten prije donošenja Zakona o upravljanju otpadom. Orjentaciono, količina rudarskog otpada, na prostoru ovoga, napuštenog rudnika iznosi oko 1.000.000m</w:t>
            </w:r>
            <w:r w:rsidR="009317A5" w:rsidRPr="00E24D1E">
              <w:rPr>
                <w:rFonts w:ascii="Arial" w:hAnsi="Arial" w:cs="Arial"/>
                <w:sz w:val="16"/>
                <w:szCs w:val="18"/>
                <w:vertAlign w:val="superscript"/>
              </w:rPr>
              <w:t>3</w:t>
            </w:r>
            <w:r w:rsidR="009317A5" w:rsidRPr="00E24D1E">
              <w:rPr>
                <w:rFonts w:ascii="Arial" w:hAnsi="Arial" w:cs="Arial"/>
                <w:sz w:val="16"/>
                <w:szCs w:val="18"/>
              </w:rPr>
              <w:t>. Prostor napuštenog rudnika “Crvena Kita” obuhvata</w:t>
            </w:r>
            <w:r w:rsidR="009317A5" w:rsidRPr="00E24D1E">
              <w:rPr>
                <w:rFonts w:ascii="Arial" w:hAnsi="Arial" w:cs="Arial"/>
                <w:color w:val="212121"/>
                <w:sz w:val="16"/>
                <w:szCs w:val="18"/>
                <w:shd w:val="clear" w:color="auto" w:fill="FFFFFF"/>
              </w:rPr>
              <w:t xml:space="preserve"> parcele iz lista nepokretnosti LN 105 u KO Jabuka (KP 676, 678, 679 i 680),</w:t>
            </w:r>
            <w:r w:rsidR="009317A5" w:rsidRPr="00E24D1E">
              <w:rPr>
                <w:rFonts w:ascii="Arial" w:hAnsi="Arial" w:cs="Arial"/>
                <w:color w:val="212121"/>
                <w:sz w:val="16"/>
                <w:szCs w:val="18"/>
              </w:rPr>
              <w:br/>
            </w:r>
            <w:r w:rsidR="009317A5" w:rsidRPr="00E24D1E">
              <w:rPr>
                <w:rFonts w:ascii="Arial" w:hAnsi="Arial" w:cs="Arial"/>
                <w:sz w:val="16"/>
                <w:szCs w:val="18"/>
              </w:rPr>
              <w:t xml:space="preserve"> </w:t>
            </w:r>
            <w:r w:rsidR="009317A5" w:rsidRPr="00E24D1E">
              <w:rPr>
                <w:rFonts w:ascii="Arial" w:hAnsi="Arial" w:cs="Arial"/>
                <w:color w:val="212121"/>
                <w:sz w:val="16"/>
                <w:szCs w:val="18"/>
                <w:shd w:val="clear" w:color="auto" w:fill="FFFFFF"/>
              </w:rPr>
              <w:t>I iste se, prema podacima dobijenim sa e-katastra, nalaze u vlasništvu privrednog društva Rudnici Boksita A.D. iz Nikšića.</w:t>
            </w:r>
          </w:p>
        </w:tc>
      </w:tr>
      <w:tr w:rsidR="009317A5" w:rsidRPr="008E642F" w14:paraId="7C4F2A12" w14:textId="77777777" w:rsidTr="00631D61">
        <w:trPr>
          <w:trHeight w:val="744"/>
          <w:jc w:val="center"/>
        </w:trPr>
        <w:tc>
          <w:tcPr>
            <w:tcW w:w="2509" w:type="dxa"/>
          </w:tcPr>
          <w:p w14:paraId="63D375AB" w14:textId="2AB0A1E3" w:rsidR="009317A5" w:rsidRPr="00E24D1E" w:rsidRDefault="009317A5" w:rsidP="00631D61">
            <w:pPr>
              <w:ind w:left="0"/>
              <w:rPr>
                <w:rFonts w:ascii="Arial" w:hAnsi="Arial" w:cs="Arial"/>
                <w:sz w:val="16"/>
                <w:szCs w:val="18"/>
              </w:rPr>
            </w:pPr>
            <w:r w:rsidRPr="00E24D1E">
              <w:rPr>
                <w:rFonts w:ascii="Arial" w:hAnsi="Arial" w:cs="Arial"/>
                <w:sz w:val="16"/>
                <w:szCs w:val="18"/>
              </w:rPr>
              <w:t>Brankov krš</w:t>
            </w:r>
            <w:r w:rsidR="007E1E41" w:rsidRPr="00E24D1E">
              <w:rPr>
                <w:rFonts w:ascii="Arial" w:hAnsi="Arial" w:cs="Arial"/>
                <w:sz w:val="16"/>
                <w:szCs w:val="18"/>
              </w:rPr>
              <w:t xml:space="preserve"> </w:t>
            </w:r>
            <w:r w:rsidRPr="00E24D1E">
              <w:rPr>
                <w:rFonts w:ascii="Arial" w:hAnsi="Arial" w:cs="Arial"/>
                <w:sz w:val="16"/>
                <w:szCs w:val="18"/>
              </w:rPr>
              <w:t>-</w:t>
            </w:r>
            <w:r w:rsidR="007E1E41" w:rsidRPr="00E24D1E">
              <w:rPr>
                <w:rFonts w:ascii="Arial" w:hAnsi="Arial" w:cs="Arial"/>
                <w:sz w:val="16"/>
                <w:szCs w:val="18"/>
              </w:rPr>
              <w:t xml:space="preserve"> </w:t>
            </w:r>
            <w:r w:rsidRPr="00E24D1E">
              <w:rPr>
                <w:rFonts w:ascii="Arial" w:hAnsi="Arial" w:cs="Arial"/>
                <w:sz w:val="16"/>
                <w:szCs w:val="18"/>
              </w:rPr>
              <w:t>Cetinje</w:t>
            </w:r>
          </w:p>
        </w:tc>
        <w:tc>
          <w:tcPr>
            <w:tcW w:w="6271" w:type="dxa"/>
          </w:tcPr>
          <w:p w14:paraId="42561ACE" w14:textId="0A82C1D9" w:rsidR="009317A5" w:rsidRPr="00E24D1E" w:rsidRDefault="006B47B0" w:rsidP="00E70430">
            <w:pPr>
              <w:ind w:left="73"/>
              <w:rPr>
                <w:rFonts w:ascii="Arial" w:hAnsi="Arial" w:cs="Arial"/>
                <w:sz w:val="16"/>
                <w:szCs w:val="18"/>
              </w:rPr>
            </w:pPr>
            <w:r w:rsidRPr="00E24D1E">
              <w:rPr>
                <w:rFonts w:ascii="Arial" w:hAnsi="Arial" w:cs="Arial"/>
                <w:sz w:val="16"/>
                <w:szCs w:val="18"/>
              </w:rPr>
              <w:t>Odstranjivanje</w:t>
            </w:r>
            <w:r w:rsidR="009317A5" w:rsidRPr="00E24D1E">
              <w:rPr>
                <w:rFonts w:ascii="Arial" w:hAnsi="Arial" w:cs="Arial"/>
                <w:sz w:val="16"/>
                <w:szCs w:val="18"/>
              </w:rPr>
              <w:t xml:space="preserve"> rudarskog otpada nije vršeno. U pitanju je napušteni površinski kop arhitektonsko</w:t>
            </w:r>
            <w:r w:rsidRPr="00E24D1E">
              <w:rPr>
                <w:rFonts w:ascii="Arial" w:hAnsi="Arial" w:cs="Arial"/>
                <w:sz w:val="16"/>
                <w:szCs w:val="18"/>
              </w:rPr>
              <w:t xml:space="preserve"> </w:t>
            </w:r>
            <w:r w:rsidR="009317A5" w:rsidRPr="00E24D1E">
              <w:rPr>
                <w:rFonts w:ascii="Arial" w:hAnsi="Arial" w:cs="Arial"/>
                <w:sz w:val="16"/>
                <w:szCs w:val="18"/>
              </w:rPr>
              <w:t>-</w:t>
            </w:r>
            <w:r w:rsidRPr="00E24D1E">
              <w:rPr>
                <w:rFonts w:ascii="Arial" w:hAnsi="Arial" w:cs="Arial"/>
                <w:sz w:val="16"/>
                <w:szCs w:val="18"/>
              </w:rPr>
              <w:t xml:space="preserve"> </w:t>
            </w:r>
            <w:r w:rsidR="009317A5" w:rsidRPr="00E24D1E">
              <w:rPr>
                <w:rFonts w:ascii="Arial" w:hAnsi="Arial" w:cs="Arial"/>
                <w:sz w:val="16"/>
                <w:szCs w:val="18"/>
              </w:rPr>
              <w:t>gradjevinskog kamena, gdje je nekada vršena eksploatacija od strane Kobra d.o.o. Budva.</w:t>
            </w:r>
          </w:p>
        </w:tc>
      </w:tr>
      <w:tr w:rsidR="009317A5" w:rsidRPr="008E642F" w14:paraId="4B4A7719" w14:textId="77777777" w:rsidTr="00631D61">
        <w:trPr>
          <w:trHeight w:val="765"/>
          <w:jc w:val="center"/>
        </w:trPr>
        <w:tc>
          <w:tcPr>
            <w:tcW w:w="2509" w:type="dxa"/>
          </w:tcPr>
          <w:p w14:paraId="040E018F" w14:textId="10407AC7" w:rsidR="009317A5" w:rsidRPr="00E24D1E" w:rsidRDefault="009317A5" w:rsidP="00631D61">
            <w:pPr>
              <w:ind w:left="0"/>
              <w:rPr>
                <w:rFonts w:ascii="Arial" w:hAnsi="Arial" w:cs="Arial"/>
                <w:sz w:val="16"/>
                <w:szCs w:val="18"/>
              </w:rPr>
            </w:pPr>
            <w:r w:rsidRPr="00E24D1E">
              <w:rPr>
                <w:rFonts w:ascii="Arial" w:hAnsi="Arial" w:cs="Arial"/>
                <w:sz w:val="16"/>
                <w:szCs w:val="18"/>
              </w:rPr>
              <w:t>Vinići</w:t>
            </w:r>
            <w:r w:rsidR="007E1E41" w:rsidRPr="00E24D1E">
              <w:rPr>
                <w:rFonts w:ascii="Arial" w:hAnsi="Arial" w:cs="Arial"/>
                <w:sz w:val="16"/>
                <w:szCs w:val="18"/>
              </w:rPr>
              <w:t xml:space="preserve"> </w:t>
            </w:r>
            <w:r w:rsidRPr="00E24D1E">
              <w:rPr>
                <w:rFonts w:ascii="Arial" w:hAnsi="Arial" w:cs="Arial"/>
                <w:sz w:val="16"/>
                <w:szCs w:val="18"/>
              </w:rPr>
              <w:t>-</w:t>
            </w:r>
            <w:r w:rsidR="007E1E41" w:rsidRPr="00E24D1E">
              <w:rPr>
                <w:rFonts w:ascii="Arial" w:hAnsi="Arial" w:cs="Arial"/>
                <w:sz w:val="16"/>
                <w:szCs w:val="18"/>
              </w:rPr>
              <w:t xml:space="preserve"> </w:t>
            </w:r>
            <w:r w:rsidRPr="00E24D1E">
              <w:rPr>
                <w:rFonts w:ascii="Arial" w:hAnsi="Arial" w:cs="Arial"/>
                <w:sz w:val="16"/>
                <w:szCs w:val="18"/>
              </w:rPr>
              <w:t>Danilovgrad</w:t>
            </w:r>
          </w:p>
        </w:tc>
        <w:tc>
          <w:tcPr>
            <w:tcW w:w="6271" w:type="dxa"/>
          </w:tcPr>
          <w:p w14:paraId="285E78BB" w14:textId="55536797" w:rsidR="009317A5" w:rsidRPr="00E24D1E" w:rsidRDefault="006B47B0" w:rsidP="00E70430">
            <w:pPr>
              <w:ind w:left="73"/>
              <w:rPr>
                <w:rFonts w:ascii="Arial" w:hAnsi="Arial" w:cs="Arial"/>
                <w:sz w:val="16"/>
                <w:szCs w:val="18"/>
              </w:rPr>
            </w:pPr>
            <w:r w:rsidRPr="00E24D1E">
              <w:rPr>
                <w:rFonts w:ascii="Arial" w:hAnsi="Arial" w:cs="Arial"/>
                <w:sz w:val="16"/>
                <w:szCs w:val="18"/>
              </w:rPr>
              <w:t>Odstranjivanje</w:t>
            </w:r>
            <w:r w:rsidR="009317A5" w:rsidRPr="00E24D1E">
              <w:rPr>
                <w:rFonts w:ascii="Arial" w:hAnsi="Arial" w:cs="Arial"/>
                <w:sz w:val="16"/>
                <w:szCs w:val="18"/>
              </w:rPr>
              <w:t xml:space="preserve"> rudarskog otpada nije vršeno. U pitanju je napušteni površinski kop arhitektonsko-gradjevinskog kamena, gdje je nekada vršena eksploatacija od strane Mermer A.D. Danilovgrad.</w:t>
            </w:r>
          </w:p>
        </w:tc>
      </w:tr>
      <w:tr w:rsidR="009317A5" w:rsidRPr="008E642F" w14:paraId="5EB770A5" w14:textId="77777777" w:rsidTr="00631D61">
        <w:trPr>
          <w:trHeight w:val="457"/>
          <w:jc w:val="center"/>
        </w:trPr>
        <w:tc>
          <w:tcPr>
            <w:tcW w:w="2509" w:type="dxa"/>
          </w:tcPr>
          <w:p w14:paraId="02C7D9C5" w14:textId="4CE8436A" w:rsidR="009317A5" w:rsidRPr="00E24D1E" w:rsidRDefault="009317A5" w:rsidP="00631D61">
            <w:pPr>
              <w:ind w:left="0"/>
              <w:rPr>
                <w:rFonts w:ascii="Arial" w:hAnsi="Arial" w:cs="Arial"/>
                <w:sz w:val="16"/>
                <w:szCs w:val="18"/>
              </w:rPr>
            </w:pPr>
            <w:r w:rsidRPr="00E24D1E">
              <w:rPr>
                <w:rFonts w:ascii="Arial" w:hAnsi="Arial" w:cs="Arial"/>
                <w:sz w:val="16"/>
                <w:szCs w:val="18"/>
              </w:rPr>
              <w:t>Ljuće</w:t>
            </w:r>
            <w:r w:rsidR="007E1E41" w:rsidRPr="00E24D1E">
              <w:rPr>
                <w:rFonts w:ascii="Arial" w:hAnsi="Arial" w:cs="Arial"/>
                <w:sz w:val="16"/>
                <w:szCs w:val="18"/>
              </w:rPr>
              <w:t xml:space="preserve"> </w:t>
            </w:r>
            <w:r w:rsidRPr="00E24D1E">
              <w:rPr>
                <w:rFonts w:ascii="Arial" w:hAnsi="Arial" w:cs="Arial"/>
                <w:sz w:val="16"/>
                <w:szCs w:val="18"/>
              </w:rPr>
              <w:t>-</w:t>
            </w:r>
            <w:r w:rsidR="007E1E41" w:rsidRPr="00E24D1E">
              <w:rPr>
                <w:rFonts w:ascii="Arial" w:hAnsi="Arial" w:cs="Arial"/>
                <w:sz w:val="16"/>
                <w:szCs w:val="18"/>
              </w:rPr>
              <w:t xml:space="preserve"> </w:t>
            </w:r>
            <w:r w:rsidRPr="00E24D1E">
              <w:rPr>
                <w:rFonts w:ascii="Arial" w:hAnsi="Arial" w:cs="Arial"/>
                <w:sz w:val="16"/>
                <w:szCs w:val="18"/>
              </w:rPr>
              <w:t>Pljevlja</w:t>
            </w:r>
          </w:p>
        </w:tc>
        <w:tc>
          <w:tcPr>
            <w:tcW w:w="6271" w:type="dxa"/>
          </w:tcPr>
          <w:p w14:paraId="47FA0C52" w14:textId="7BB9E9D0" w:rsidR="009317A5" w:rsidRPr="00E24D1E" w:rsidRDefault="006B47B0" w:rsidP="00E70430">
            <w:pPr>
              <w:ind w:left="73"/>
              <w:rPr>
                <w:rFonts w:ascii="Arial" w:hAnsi="Arial" w:cs="Arial"/>
                <w:sz w:val="16"/>
                <w:szCs w:val="18"/>
              </w:rPr>
            </w:pPr>
            <w:r w:rsidRPr="00E24D1E">
              <w:rPr>
                <w:rFonts w:ascii="Arial" w:hAnsi="Arial" w:cs="Arial"/>
                <w:sz w:val="16"/>
                <w:szCs w:val="18"/>
              </w:rPr>
              <w:t>Odstranjivanje</w:t>
            </w:r>
            <w:r w:rsidR="009317A5" w:rsidRPr="00E24D1E">
              <w:rPr>
                <w:rFonts w:ascii="Arial" w:hAnsi="Arial" w:cs="Arial"/>
                <w:sz w:val="16"/>
                <w:szCs w:val="18"/>
              </w:rPr>
              <w:t xml:space="preserve"> rudarskog otpada nije vršeno.U pitanju je napušteni površinski kop uglja unutar Ljuće-šumanskog basena gdje je eksploataciju uglja vršio Rudnik uglja A.D. Pljevlja</w:t>
            </w:r>
          </w:p>
        </w:tc>
      </w:tr>
      <w:tr w:rsidR="009317A5" w:rsidRPr="008E642F" w14:paraId="73FDD59F" w14:textId="77777777" w:rsidTr="00631D61">
        <w:trPr>
          <w:trHeight w:val="467"/>
          <w:jc w:val="center"/>
        </w:trPr>
        <w:tc>
          <w:tcPr>
            <w:tcW w:w="2509" w:type="dxa"/>
          </w:tcPr>
          <w:p w14:paraId="3E694607" w14:textId="77777777" w:rsidR="009317A5" w:rsidRPr="00E24D1E" w:rsidRDefault="009317A5" w:rsidP="00631D61">
            <w:pPr>
              <w:ind w:left="0"/>
              <w:rPr>
                <w:rFonts w:ascii="Arial" w:hAnsi="Arial" w:cs="Arial"/>
                <w:sz w:val="16"/>
                <w:szCs w:val="18"/>
              </w:rPr>
            </w:pPr>
            <w:r w:rsidRPr="00E24D1E">
              <w:rPr>
                <w:rFonts w:ascii="Arial" w:hAnsi="Arial" w:cs="Arial"/>
                <w:sz w:val="16"/>
                <w:szCs w:val="18"/>
              </w:rPr>
              <w:t>Šumani-Pljevlja</w:t>
            </w:r>
          </w:p>
        </w:tc>
        <w:tc>
          <w:tcPr>
            <w:tcW w:w="6271" w:type="dxa"/>
          </w:tcPr>
          <w:p w14:paraId="67B05D72" w14:textId="444D0FB1" w:rsidR="009317A5" w:rsidRPr="00E24D1E" w:rsidRDefault="007E1E41" w:rsidP="00E70430">
            <w:pPr>
              <w:ind w:left="214"/>
              <w:rPr>
                <w:rFonts w:ascii="Arial" w:hAnsi="Arial" w:cs="Arial"/>
                <w:sz w:val="16"/>
                <w:szCs w:val="18"/>
              </w:rPr>
            </w:pPr>
            <w:r w:rsidRPr="00E24D1E">
              <w:rPr>
                <w:rFonts w:ascii="Arial" w:hAnsi="Arial" w:cs="Arial"/>
                <w:sz w:val="16"/>
                <w:szCs w:val="18"/>
              </w:rPr>
              <w:t>Od</w:t>
            </w:r>
            <w:r w:rsidR="00212FBD" w:rsidRPr="00E24D1E">
              <w:rPr>
                <w:rFonts w:ascii="Arial" w:hAnsi="Arial" w:cs="Arial"/>
                <w:sz w:val="16"/>
                <w:szCs w:val="18"/>
              </w:rPr>
              <w:t>s</w:t>
            </w:r>
            <w:r w:rsidRPr="00E24D1E">
              <w:rPr>
                <w:rFonts w:ascii="Arial" w:hAnsi="Arial" w:cs="Arial"/>
                <w:sz w:val="16"/>
                <w:szCs w:val="18"/>
              </w:rPr>
              <w:t>tranjivanje</w:t>
            </w:r>
            <w:r w:rsidR="009317A5" w:rsidRPr="00E24D1E">
              <w:rPr>
                <w:rFonts w:ascii="Arial" w:hAnsi="Arial" w:cs="Arial"/>
                <w:sz w:val="16"/>
                <w:szCs w:val="18"/>
              </w:rPr>
              <w:t xml:space="preserve"> rudarskog otpada nije vršeno.U pitanju je napušteni površinski kop uglja unutar Ljuće-šumanskog basena gdje je eksploataciju uglja vršio Rudnik uglja A.D. Pljevlja</w:t>
            </w:r>
          </w:p>
        </w:tc>
      </w:tr>
      <w:tr w:rsidR="009317A5" w:rsidRPr="008E642F" w14:paraId="48882C2C" w14:textId="77777777" w:rsidTr="00E70430">
        <w:trPr>
          <w:trHeight w:val="740"/>
          <w:jc w:val="center"/>
        </w:trPr>
        <w:tc>
          <w:tcPr>
            <w:tcW w:w="2509" w:type="dxa"/>
          </w:tcPr>
          <w:p w14:paraId="6BF93496" w14:textId="77777777" w:rsidR="009317A5" w:rsidRPr="00E24D1E" w:rsidRDefault="009317A5" w:rsidP="00631D61">
            <w:pPr>
              <w:ind w:left="0"/>
              <w:rPr>
                <w:rFonts w:ascii="Arial" w:hAnsi="Arial" w:cs="Arial"/>
                <w:sz w:val="16"/>
                <w:szCs w:val="18"/>
              </w:rPr>
            </w:pPr>
            <w:r w:rsidRPr="00E24D1E">
              <w:rPr>
                <w:rFonts w:ascii="Arial" w:hAnsi="Arial" w:cs="Arial"/>
                <w:sz w:val="16"/>
                <w:szCs w:val="18"/>
              </w:rPr>
              <w:t>Jama “Petnjik”-Berane</w:t>
            </w:r>
          </w:p>
        </w:tc>
        <w:tc>
          <w:tcPr>
            <w:tcW w:w="6271" w:type="dxa"/>
          </w:tcPr>
          <w:p w14:paraId="52635A33" w14:textId="5B5FE319" w:rsidR="009317A5" w:rsidRPr="00E24D1E" w:rsidRDefault="007E1E41" w:rsidP="00E70430">
            <w:pPr>
              <w:ind w:left="214"/>
              <w:rPr>
                <w:rFonts w:ascii="Arial" w:hAnsi="Arial" w:cs="Arial"/>
                <w:sz w:val="16"/>
                <w:szCs w:val="18"/>
              </w:rPr>
            </w:pPr>
            <w:r w:rsidRPr="00E24D1E">
              <w:rPr>
                <w:rFonts w:ascii="Arial" w:hAnsi="Arial" w:cs="Arial"/>
                <w:sz w:val="16"/>
                <w:szCs w:val="18"/>
              </w:rPr>
              <w:t>Odstranjivanje</w:t>
            </w:r>
            <w:r w:rsidR="009317A5" w:rsidRPr="00E24D1E">
              <w:rPr>
                <w:rFonts w:ascii="Arial" w:hAnsi="Arial" w:cs="Arial"/>
                <w:sz w:val="16"/>
                <w:szCs w:val="18"/>
              </w:rPr>
              <w:t xml:space="preserve"> rudarskog otpada nije vršeno.U pitanju je napuštena  jama u kojoj se vršila podzemna eksploatacija mrkog uglja od strane bivšeg koncesionara Rudnici Berane d.o.o. Berane.</w:t>
            </w:r>
          </w:p>
        </w:tc>
      </w:tr>
      <w:tr w:rsidR="009317A5" w:rsidRPr="008E642F" w14:paraId="33681215" w14:textId="77777777" w:rsidTr="00631D61">
        <w:trPr>
          <w:trHeight w:val="483"/>
          <w:jc w:val="center"/>
        </w:trPr>
        <w:tc>
          <w:tcPr>
            <w:tcW w:w="2509" w:type="dxa"/>
          </w:tcPr>
          <w:p w14:paraId="2B135F10" w14:textId="77777777" w:rsidR="009317A5" w:rsidRPr="00E24D1E" w:rsidRDefault="009317A5" w:rsidP="00631D61">
            <w:pPr>
              <w:ind w:left="0"/>
              <w:rPr>
                <w:rFonts w:ascii="Arial" w:hAnsi="Arial" w:cs="Arial"/>
                <w:sz w:val="16"/>
                <w:szCs w:val="18"/>
              </w:rPr>
            </w:pPr>
            <w:r w:rsidRPr="00E24D1E">
              <w:rPr>
                <w:rFonts w:ascii="Arial" w:hAnsi="Arial" w:cs="Arial"/>
                <w:sz w:val="16"/>
                <w:szCs w:val="18"/>
              </w:rPr>
              <w:t>“Police”-Berane</w:t>
            </w:r>
          </w:p>
        </w:tc>
        <w:tc>
          <w:tcPr>
            <w:tcW w:w="6271" w:type="dxa"/>
          </w:tcPr>
          <w:p w14:paraId="2132C2CE" w14:textId="08982235" w:rsidR="009317A5" w:rsidRPr="00E24D1E" w:rsidRDefault="007E1E41" w:rsidP="00E70430">
            <w:pPr>
              <w:ind w:left="214"/>
              <w:rPr>
                <w:rFonts w:ascii="Arial" w:hAnsi="Arial" w:cs="Arial"/>
                <w:sz w:val="16"/>
                <w:szCs w:val="18"/>
              </w:rPr>
            </w:pPr>
            <w:r w:rsidRPr="00E24D1E">
              <w:rPr>
                <w:rFonts w:ascii="Arial" w:hAnsi="Arial" w:cs="Arial"/>
                <w:sz w:val="16"/>
                <w:szCs w:val="18"/>
              </w:rPr>
              <w:t>Odstranjivanje</w:t>
            </w:r>
            <w:r w:rsidR="009317A5" w:rsidRPr="00E24D1E">
              <w:rPr>
                <w:rFonts w:ascii="Arial" w:hAnsi="Arial" w:cs="Arial"/>
                <w:sz w:val="16"/>
                <w:szCs w:val="18"/>
              </w:rPr>
              <w:t xml:space="preserve"> rudarskog otpada nije vršeno.U pitanju je napušteni rudnik uglja  gdje je eksploataciju istog vršilo privredno društvo  Nacional d.o.o. Berane.</w:t>
            </w:r>
          </w:p>
        </w:tc>
      </w:tr>
      <w:tr w:rsidR="009317A5" w:rsidRPr="008E642F" w14:paraId="04B818C8" w14:textId="77777777" w:rsidTr="00631D61">
        <w:trPr>
          <w:trHeight w:val="489"/>
          <w:jc w:val="center"/>
        </w:trPr>
        <w:tc>
          <w:tcPr>
            <w:tcW w:w="2509" w:type="dxa"/>
          </w:tcPr>
          <w:p w14:paraId="3A8A80C7" w14:textId="5D7FDCC9" w:rsidR="009317A5" w:rsidRPr="00E24D1E" w:rsidRDefault="009317A5" w:rsidP="00631D61">
            <w:pPr>
              <w:ind w:left="0"/>
              <w:rPr>
                <w:rFonts w:ascii="Arial" w:hAnsi="Arial" w:cs="Arial"/>
                <w:sz w:val="16"/>
                <w:szCs w:val="18"/>
              </w:rPr>
            </w:pPr>
            <w:r w:rsidRPr="00E24D1E">
              <w:rPr>
                <w:rFonts w:ascii="Arial" w:hAnsi="Arial" w:cs="Arial"/>
                <w:sz w:val="16"/>
                <w:szCs w:val="18"/>
              </w:rPr>
              <w:t>Ležište šljunka i pijeska “Dragalj” -</w:t>
            </w:r>
            <w:r w:rsidR="007E1E41" w:rsidRPr="00E24D1E">
              <w:rPr>
                <w:rFonts w:ascii="Arial" w:hAnsi="Arial" w:cs="Arial"/>
                <w:sz w:val="16"/>
                <w:szCs w:val="18"/>
              </w:rPr>
              <w:t xml:space="preserve"> </w:t>
            </w:r>
            <w:r w:rsidRPr="00E24D1E">
              <w:rPr>
                <w:rFonts w:ascii="Arial" w:hAnsi="Arial" w:cs="Arial"/>
                <w:sz w:val="16"/>
                <w:szCs w:val="18"/>
              </w:rPr>
              <w:t>Kotor</w:t>
            </w:r>
          </w:p>
        </w:tc>
        <w:tc>
          <w:tcPr>
            <w:tcW w:w="6271" w:type="dxa"/>
          </w:tcPr>
          <w:p w14:paraId="6E7B2144" w14:textId="4F6502DA" w:rsidR="009317A5" w:rsidRPr="00E24D1E" w:rsidRDefault="007E1E41" w:rsidP="00E70430">
            <w:pPr>
              <w:ind w:left="214"/>
              <w:rPr>
                <w:rFonts w:ascii="Arial" w:hAnsi="Arial" w:cs="Arial"/>
                <w:sz w:val="16"/>
                <w:szCs w:val="18"/>
              </w:rPr>
            </w:pPr>
            <w:r w:rsidRPr="00E24D1E">
              <w:rPr>
                <w:rFonts w:ascii="Arial" w:hAnsi="Arial" w:cs="Arial"/>
                <w:sz w:val="16"/>
                <w:szCs w:val="18"/>
              </w:rPr>
              <w:t>Odstranjivanje</w:t>
            </w:r>
            <w:r w:rsidR="009317A5" w:rsidRPr="00E24D1E">
              <w:rPr>
                <w:rFonts w:ascii="Arial" w:hAnsi="Arial" w:cs="Arial"/>
                <w:sz w:val="16"/>
                <w:szCs w:val="18"/>
              </w:rPr>
              <w:t xml:space="preserve"> rudarskog otpada nije vršeno.U pitanju je napušteni površinski kop šljunka,</w:t>
            </w:r>
            <w:r w:rsidRPr="00E24D1E">
              <w:rPr>
                <w:rFonts w:ascii="Arial" w:hAnsi="Arial" w:cs="Arial"/>
                <w:sz w:val="16"/>
                <w:szCs w:val="18"/>
              </w:rPr>
              <w:t xml:space="preserve"> </w:t>
            </w:r>
            <w:r w:rsidR="009317A5" w:rsidRPr="00E24D1E">
              <w:rPr>
                <w:rFonts w:ascii="Arial" w:hAnsi="Arial" w:cs="Arial"/>
                <w:sz w:val="16"/>
                <w:szCs w:val="18"/>
              </w:rPr>
              <w:t>pijeska i kamena,</w:t>
            </w:r>
            <w:r w:rsidRPr="00E24D1E">
              <w:rPr>
                <w:rFonts w:ascii="Arial" w:hAnsi="Arial" w:cs="Arial"/>
                <w:sz w:val="16"/>
                <w:szCs w:val="18"/>
              </w:rPr>
              <w:t xml:space="preserve"> </w:t>
            </w:r>
            <w:r w:rsidR="009317A5" w:rsidRPr="00E24D1E">
              <w:rPr>
                <w:rFonts w:ascii="Arial" w:hAnsi="Arial" w:cs="Arial"/>
                <w:sz w:val="16"/>
                <w:szCs w:val="18"/>
              </w:rPr>
              <w:t>gdje je nekada vršena eksploatacija od strane Bakočević&amp;Bakočević d.o.o. Kotor.</w:t>
            </w:r>
          </w:p>
        </w:tc>
      </w:tr>
      <w:tr w:rsidR="009317A5" w:rsidRPr="008E642F" w14:paraId="541171D7" w14:textId="77777777" w:rsidTr="00E24D1E">
        <w:trPr>
          <w:trHeight w:val="544"/>
          <w:jc w:val="center"/>
        </w:trPr>
        <w:tc>
          <w:tcPr>
            <w:tcW w:w="2509" w:type="dxa"/>
          </w:tcPr>
          <w:p w14:paraId="259B5380" w14:textId="77777777" w:rsidR="009317A5" w:rsidRPr="00E24D1E" w:rsidRDefault="009317A5" w:rsidP="00631D61">
            <w:pPr>
              <w:ind w:left="0"/>
              <w:rPr>
                <w:rFonts w:ascii="Arial" w:hAnsi="Arial" w:cs="Arial"/>
                <w:sz w:val="16"/>
                <w:szCs w:val="18"/>
              </w:rPr>
            </w:pPr>
            <w:r w:rsidRPr="00E24D1E">
              <w:rPr>
                <w:rFonts w:ascii="Arial" w:hAnsi="Arial" w:cs="Arial"/>
                <w:sz w:val="16"/>
                <w:szCs w:val="18"/>
              </w:rPr>
              <w:t>Nalježići-Kotor</w:t>
            </w:r>
          </w:p>
        </w:tc>
        <w:tc>
          <w:tcPr>
            <w:tcW w:w="6271" w:type="dxa"/>
          </w:tcPr>
          <w:p w14:paraId="52DF1ABC" w14:textId="712B367D" w:rsidR="009317A5" w:rsidRPr="00E24D1E" w:rsidRDefault="007E1E41" w:rsidP="00E70430">
            <w:pPr>
              <w:ind w:left="214"/>
              <w:rPr>
                <w:rFonts w:ascii="Arial" w:hAnsi="Arial" w:cs="Arial"/>
                <w:sz w:val="16"/>
                <w:szCs w:val="18"/>
              </w:rPr>
            </w:pPr>
            <w:r w:rsidRPr="00E24D1E">
              <w:rPr>
                <w:rFonts w:ascii="Arial" w:hAnsi="Arial" w:cs="Arial"/>
                <w:sz w:val="16"/>
                <w:szCs w:val="18"/>
              </w:rPr>
              <w:t>Odstranjivanje</w:t>
            </w:r>
            <w:r w:rsidR="009317A5" w:rsidRPr="00E24D1E">
              <w:rPr>
                <w:rFonts w:ascii="Arial" w:hAnsi="Arial" w:cs="Arial"/>
                <w:sz w:val="16"/>
                <w:szCs w:val="18"/>
              </w:rPr>
              <w:t xml:space="preserve"> rudarskog otpada nije vršeno.U pitanju je napušteni površinski kop šljunka,</w:t>
            </w:r>
            <w:r w:rsidRPr="00E24D1E">
              <w:rPr>
                <w:rFonts w:ascii="Arial" w:hAnsi="Arial" w:cs="Arial"/>
                <w:sz w:val="16"/>
                <w:szCs w:val="18"/>
              </w:rPr>
              <w:t xml:space="preserve"> </w:t>
            </w:r>
            <w:r w:rsidR="009317A5" w:rsidRPr="00E24D1E">
              <w:rPr>
                <w:rFonts w:ascii="Arial" w:hAnsi="Arial" w:cs="Arial"/>
                <w:sz w:val="16"/>
                <w:szCs w:val="18"/>
              </w:rPr>
              <w:t>pijeska i kamena,</w:t>
            </w:r>
            <w:r w:rsidRPr="00E24D1E">
              <w:rPr>
                <w:rFonts w:ascii="Arial" w:hAnsi="Arial" w:cs="Arial"/>
                <w:sz w:val="16"/>
                <w:szCs w:val="18"/>
              </w:rPr>
              <w:t xml:space="preserve"> </w:t>
            </w:r>
            <w:r w:rsidR="009317A5" w:rsidRPr="00E24D1E">
              <w:rPr>
                <w:rFonts w:ascii="Arial" w:hAnsi="Arial" w:cs="Arial"/>
                <w:sz w:val="16"/>
                <w:szCs w:val="18"/>
              </w:rPr>
              <w:t xml:space="preserve">gdje je nekada vršena eksploatacija od strane KP Kotor. </w:t>
            </w:r>
          </w:p>
        </w:tc>
      </w:tr>
      <w:tr w:rsidR="009317A5" w:rsidRPr="008E642F" w14:paraId="342E9B41" w14:textId="77777777" w:rsidTr="00E24D1E">
        <w:trPr>
          <w:trHeight w:val="607"/>
          <w:jc w:val="center"/>
        </w:trPr>
        <w:tc>
          <w:tcPr>
            <w:tcW w:w="2509" w:type="dxa"/>
          </w:tcPr>
          <w:p w14:paraId="3C493340" w14:textId="77777777" w:rsidR="009317A5" w:rsidRPr="00E24D1E" w:rsidRDefault="009317A5" w:rsidP="00631D61">
            <w:pPr>
              <w:ind w:left="0"/>
              <w:rPr>
                <w:rFonts w:ascii="Arial" w:hAnsi="Arial" w:cs="Arial"/>
                <w:sz w:val="16"/>
                <w:szCs w:val="18"/>
              </w:rPr>
            </w:pPr>
            <w:r w:rsidRPr="00E24D1E">
              <w:rPr>
                <w:rFonts w:ascii="Arial" w:hAnsi="Arial" w:cs="Arial"/>
                <w:sz w:val="16"/>
                <w:szCs w:val="18"/>
              </w:rPr>
              <w:t>Lovanje-Tivat</w:t>
            </w:r>
          </w:p>
        </w:tc>
        <w:tc>
          <w:tcPr>
            <w:tcW w:w="6271" w:type="dxa"/>
          </w:tcPr>
          <w:p w14:paraId="5F3FF889" w14:textId="21D65CB0" w:rsidR="009317A5" w:rsidRPr="00E24D1E" w:rsidRDefault="009317A5" w:rsidP="00E70430">
            <w:pPr>
              <w:ind w:left="214"/>
              <w:rPr>
                <w:rFonts w:ascii="Arial" w:hAnsi="Arial" w:cs="Arial"/>
                <w:sz w:val="16"/>
                <w:szCs w:val="18"/>
              </w:rPr>
            </w:pPr>
            <w:r w:rsidRPr="00E24D1E">
              <w:rPr>
                <w:rFonts w:ascii="Arial" w:hAnsi="Arial" w:cs="Arial"/>
                <w:sz w:val="16"/>
                <w:szCs w:val="18"/>
              </w:rPr>
              <w:t xml:space="preserve">Nakon </w:t>
            </w:r>
            <w:r w:rsidR="007E1E41" w:rsidRPr="00E24D1E">
              <w:rPr>
                <w:rFonts w:ascii="Arial" w:hAnsi="Arial" w:cs="Arial"/>
                <w:sz w:val="16"/>
                <w:szCs w:val="18"/>
              </w:rPr>
              <w:t xml:space="preserve">Drugog </w:t>
            </w:r>
            <w:r w:rsidRPr="00E24D1E">
              <w:rPr>
                <w:rFonts w:ascii="Arial" w:hAnsi="Arial" w:cs="Arial"/>
                <w:sz w:val="16"/>
                <w:szCs w:val="18"/>
              </w:rPr>
              <w:t xml:space="preserve">svjetskog rata </w:t>
            </w:r>
            <w:r w:rsidR="007E1E41" w:rsidRPr="00E24D1E">
              <w:rPr>
                <w:rFonts w:ascii="Arial" w:hAnsi="Arial" w:cs="Arial"/>
                <w:sz w:val="16"/>
                <w:szCs w:val="18"/>
              </w:rPr>
              <w:t xml:space="preserve">je </w:t>
            </w:r>
            <w:r w:rsidRPr="00E24D1E">
              <w:rPr>
                <w:rFonts w:ascii="Arial" w:hAnsi="Arial" w:cs="Arial"/>
                <w:sz w:val="16"/>
                <w:szCs w:val="18"/>
              </w:rPr>
              <w:t>vršena eksploatacija opekarske gline,</w:t>
            </w:r>
            <w:r w:rsidR="007E1E41" w:rsidRPr="00E24D1E">
              <w:rPr>
                <w:rFonts w:ascii="Arial" w:hAnsi="Arial" w:cs="Arial"/>
                <w:sz w:val="16"/>
                <w:szCs w:val="18"/>
              </w:rPr>
              <w:t xml:space="preserve"> </w:t>
            </w:r>
            <w:r w:rsidRPr="00E24D1E">
              <w:rPr>
                <w:rFonts w:ascii="Arial" w:hAnsi="Arial" w:cs="Arial"/>
                <w:sz w:val="16"/>
                <w:szCs w:val="18"/>
              </w:rPr>
              <w:t>za potrebe gradjevinske industrije.</w:t>
            </w:r>
          </w:p>
        </w:tc>
      </w:tr>
      <w:tr w:rsidR="009317A5" w:rsidRPr="008E642F" w14:paraId="7E8426D6" w14:textId="77777777" w:rsidTr="00631D61">
        <w:trPr>
          <w:trHeight w:val="691"/>
          <w:jc w:val="center"/>
        </w:trPr>
        <w:tc>
          <w:tcPr>
            <w:tcW w:w="2509" w:type="dxa"/>
          </w:tcPr>
          <w:p w14:paraId="7B06CD46" w14:textId="38CAF759" w:rsidR="009317A5" w:rsidRPr="00E24D1E" w:rsidRDefault="009317A5" w:rsidP="00631D61">
            <w:pPr>
              <w:ind w:left="0"/>
              <w:rPr>
                <w:rFonts w:ascii="Arial" w:hAnsi="Arial" w:cs="Arial"/>
                <w:sz w:val="16"/>
                <w:szCs w:val="18"/>
              </w:rPr>
            </w:pPr>
            <w:r w:rsidRPr="00E24D1E">
              <w:rPr>
                <w:rFonts w:ascii="Arial" w:hAnsi="Arial" w:cs="Arial"/>
                <w:sz w:val="16"/>
                <w:szCs w:val="18"/>
              </w:rPr>
              <w:t>Djurići</w:t>
            </w:r>
            <w:r w:rsidR="007E1E41" w:rsidRPr="00E24D1E">
              <w:rPr>
                <w:rFonts w:ascii="Arial" w:hAnsi="Arial" w:cs="Arial"/>
                <w:sz w:val="16"/>
                <w:szCs w:val="18"/>
              </w:rPr>
              <w:t xml:space="preserve"> </w:t>
            </w:r>
            <w:r w:rsidRPr="00E24D1E">
              <w:rPr>
                <w:rFonts w:ascii="Arial" w:hAnsi="Arial" w:cs="Arial"/>
                <w:sz w:val="16"/>
                <w:szCs w:val="18"/>
              </w:rPr>
              <w:t>-</w:t>
            </w:r>
            <w:r w:rsidR="007E1E41" w:rsidRPr="00E24D1E">
              <w:rPr>
                <w:rFonts w:ascii="Arial" w:hAnsi="Arial" w:cs="Arial"/>
                <w:sz w:val="16"/>
                <w:szCs w:val="18"/>
              </w:rPr>
              <w:t xml:space="preserve"> </w:t>
            </w:r>
            <w:r w:rsidRPr="00E24D1E">
              <w:rPr>
                <w:rFonts w:ascii="Arial" w:hAnsi="Arial" w:cs="Arial"/>
                <w:sz w:val="16"/>
                <w:szCs w:val="18"/>
              </w:rPr>
              <w:t>Greben i Jošica -Herceg Novi</w:t>
            </w:r>
          </w:p>
        </w:tc>
        <w:tc>
          <w:tcPr>
            <w:tcW w:w="6271" w:type="dxa"/>
          </w:tcPr>
          <w:p w14:paraId="4EFDED44" w14:textId="37AE8868" w:rsidR="009317A5" w:rsidRPr="00E24D1E" w:rsidRDefault="007E1E41" w:rsidP="00E70430">
            <w:pPr>
              <w:ind w:left="214"/>
              <w:rPr>
                <w:rFonts w:ascii="Arial" w:hAnsi="Arial" w:cs="Arial"/>
                <w:sz w:val="16"/>
                <w:szCs w:val="18"/>
              </w:rPr>
            </w:pPr>
            <w:r w:rsidRPr="00E24D1E">
              <w:rPr>
                <w:rFonts w:ascii="Arial" w:hAnsi="Arial" w:cs="Arial"/>
                <w:sz w:val="16"/>
                <w:szCs w:val="18"/>
              </w:rPr>
              <w:t>Odstranjivanje</w:t>
            </w:r>
            <w:r w:rsidR="009317A5" w:rsidRPr="00E24D1E">
              <w:rPr>
                <w:rFonts w:ascii="Arial" w:hAnsi="Arial" w:cs="Arial"/>
                <w:sz w:val="16"/>
                <w:szCs w:val="18"/>
              </w:rPr>
              <w:t xml:space="preserve"> rudarskog otpada nastalog eksploatacijom  ukrasnog kamena(bokita) nije vršeno.</w:t>
            </w:r>
          </w:p>
        </w:tc>
      </w:tr>
    </w:tbl>
    <w:p w14:paraId="72793B9B" w14:textId="4C37A1CA" w:rsidR="009B54C9" w:rsidRPr="00E24D1E" w:rsidRDefault="009B54C9" w:rsidP="009B54C9">
      <w:pPr>
        <w:spacing w:before="120" w:after="120" w:line="360" w:lineRule="auto"/>
        <w:rPr>
          <w:rFonts w:ascii="Arial" w:hAnsi="Arial" w:cs="Arial"/>
          <w:sz w:val="16"/>
        </w:rPr>
      </w:pPr>
      <w:r w:rsidRPr="00E24D1E">
        <w:rPr>
          <w:rFonts w:ascii="Arial" w:hAnsi="Arial" w:cs="Arial"/>
          <w:sz w:val="16"/>
        </w:rPr>
        <w:t xml:space="preserve">Izvor: </w:t>
      </w:r>
      <w:r w:rsidR="00783EE0" w:rsidRPr="00E24D1E">
        <w:rPr>
          <w:rFonts w:ascii="Arial" w:hAnsi="Arial" w:cs="Arial"/>
          <w:sz w:val="16"/>
        </w:rPr>
        <w:t>Ministarstvo rudarstva, nafte i gasa</w:t>
      </w:r>
    </w:p>
    <w:p w14:paraId="11176D79" w14:textId="2613579D" w:rsidR="00C626D7" w:rsidRPr="002A6F4E" w:rsidRDefault="00C626D7" w:rsidP="00F57909">
      <w:pPr>
        <w:pStyle w:val="Heading2"/>
      </w:pPr>
      <w:bookmarkStart w:id="1404" w:name="_Toc193354072"/>
      <w:r w:rsidRPr="002A6F4E">
        <w:lastRenderedPageBreak/>
        <w:t xml:space="preserve">6.12. </w:t>
      </w:r>
      <w:r w:rsidRPr="00212FBD">
        <w:t>Strategija za opasan otpad</w:t>
      </w:r>
      <w:bookmarkStart w:id="1405" w:name="_Toc189759776"/>
      <w:bookmarkEnd w:id="1401"/>
      <w:bookmarkEnd w:id="1402"/>
      <w:r w:rsidRPr="002A6F4E">
        <w:t xml:space="preserve"> - Ciljevi i zadaci</w:t>
      </w:r>
      <w:bookmarkEnd w:id="1404"/>
      <w:bookmarkEnd w:id="1405"/>
      <w:r w:rsidRPr="002A6F4E">
        <w:t xml:space="preserve"> </w:t>
      </w:r>
    </w:p>
    <w:p w14:paraId="4ACF8822" w14:textId="77777777" w:rsidR="00C626D7" w:rsidRPr="002A6F4E" w:rsidRDefault="00C626D7" w:rsidP="00C626D7">
      <w:pPr>
        <w:spacing w:before="120" w:after="120" w:line="360" w:lineRule="auto"/>
        <w:rPr>
          <w:rFonts w:ascii="Arial" w:hAnsi="Arial" w:cs="Arial"/>
          <w:lang w:val="sq-AL"/>
        </w:rPr>
      </w:pPr>
      <w:r w:rsidRPr="002A6F4E">
        <w:rPr>
          <w:rFonts w:ascii="Arial" w:hAnsi="Arial" w:cs="Arial"/>
          <w:lang w:val="sq-AL"/>
        </w:rPr>
        <w:t>Za postizanje ciljeva u pogledu efikasnog upravljanja opasnim otpadom stvaraju se sljedeći uslovi:</w:t>
      </w:r>
    </w:p>
    <w:p w14:paraId="16A65DA4" w14:textId="77777777" w:rsidR="00C626D7" w:rsidRPr="002A6F4E" w:rsidRDefault="00C626D7" w:rsidP="00A23ED0">
      <w:pPr>
        <w:pStyle w:val="ListParagraph"/>
        <w:numPr>
          <w:ilvl w:val="0"/>
          <w:numId w:val="14"/>
        </w:numPr>
        <w:spacing w:before="120" w:after="120" w:line="360" w:lineRule="auto"/>
        <w:ind w:left="2340"/>
        <w:contextualSpacing w:val="0"/>
        <w:rPr>
          <w:rFonts w:ascii="Arial" w:hAnsi="Arial" w:cs="Arial"/>
          <w:iCs/>
          <w:lang w:val="sq-AL"/>
        </w:rPr>
      </w:pPr>
      <w:r w:rsidRPr="002A6F4E">
        <w:rPr>
          <w:rFonts w:ascii="Arial" w:hAnsi="Arial" w:cs="Arial"/>
          <w:iCs/>
          <w:lang w:val="sq-AL"/>
        </w:rPr>
        <w:t xml:space="preserve">Preusmjeravanje opasnog otpada iz toka komunalnog otpada i uspostavljanje posebnog sistema upravljanja opasnim otpadom; </w:t>
      </w:r>
    </w:p>
    <w:p w14:paraId="07631587" w14:textId="77777777" w:rsidR="00C626D7" w:rsidRPr="002A6F4E" w:rsidRDefault="00C626D7" w:rsidP="00A23ED0">
      <w:pPr>
        <w:pStyle w:val="ListParagraph"/>
        <w:numPr>
          <w:ilvl w:val="0"/>
          <w:numId w:val="14"/>
        </w:numPr>
        <w:spacing w:before="120" w:after="120" w:line="360" w:lineRule="auto"/>
        <w:ind w:left="2340"/>
        <w:contextualSpacing w:val="0"/>
        <w:rPr>
          <w:rFonts w:ascii="Arial" w:hAnsi="Arial" w:cs="Arial"/>
          <w:iCs/>
          <w:lang w:val="sq-AL"/>
        </w:rPr>
      </w:pPr>
      <w:r w:rsidRPr="002A6F4E">
        <w:rPr>
          <w:rFonts w:ascii="Arial" w:hAnsi="Arial" w:cs="Arial"/>
          <w:iCs/>
          <w:lang w:val="sq-AL"/>
        </w:rPr>
        <w:t>Izrada inventara “istorijski” opasnog otpada i odgovarajućeg katastra;</w:t>
      </w:r>
    </w:p>
    <w:p w14:paraId="7F3D9150" w14:textId="77777777" w:rsidR="00C626D7" w:rsidRPr="002A6F4E" w:rsidRDefault="00C626D7" w:rsidP="00A23ED0">
      <w:pPr>
        <w:pStyle w:val="ListParagraph"/>
        <w:numPr>
          <w:ilvl w:val="0"/>
          <w:numId w:val="14"/>
        </w:numPr>
        <w:spacing w:before="120" w:after="120" w:line="360" w:lineRule="auto"/>
        <w:ind w:left="2340"/>
        <w:contextualSpacing w:val="0"/>
        <w:rPr>
          <w:rFonts w:ascii="Arial" w:hAnsi="Arial" w:cs="Arial"/>
          <w:iCs/>
          <w:lang w:val="sq-AL"/>
        </w:rPr>
      </w:pPr>
      <w:r w:rsidRPr="002A6F4E">
        <w:rPr>
          <w:rFonts w:ascii="Arial" w:hAnsi="Arial" w:cs="Arial"/>
          <w:iCs/>
          <w:lang w:val="sq-AL"/>
        </w:rPr>
        <w:t>Izrada registra proizvođača opasnog otpada;</w:t>
      </w:r>
    </w:p>
    <w:p w14:paraId="77FCAFE2" w14:textId="77777777" w:rsidR="00C626D7" w:rsidRPr="002A6F4E" w:rsidRDefault="00C626D7" w:rsidP="00A23ED0">
      <w:pPr>
        <w:pStyle w:val="ListParagraph"/>
        <w:numPr>
          <w:ilvl w:val="0"/>
          <w:numId w:val="14"/>
        </w:numPr>
        <w:spacing w:before="120" w:after="120" w:line="360" w:lineRule="auto"/>
        <w:ind w:left="2340"/>
        <w:contextualSpacing w:val="0"/>
        <w:rPr>
          <w:rFonts w:ascii="Arial" w:hAnsi="Arial" w:cs="Arial"/>
          <w:iCs/>
          <w:lang w:val="sq-AL"/>
        </w:rPr>
      </w:pPr>
      <w:r w:rsidRPr="002A6F4E">
        <w:rPr>
          <w:rFonts w:ascii="Arial" w:hAnsi="Arial" w:cs="Arial"/>
          <w:iCs/>
          <w:lang w:val="sq-AL"/>
        </w:rPr>
        <w:t>Sprovođenje mjera karakterizacije i kategorizacije;</w:t>
      </w:r>
    </w:p>
    <w:p w14:paraId="33F45AD4" w14:textId="77777777" w:rsidR="00C626D7" w:rsidRPr="002A6F4E" w:rsidRDefault="00C626D7" w:rsidP="00A23ED0">
      <w:pPr>
        <w:pStyle w:val="ListParagraph"/>
        <w:numPr>
          <w:ilvl w:val="0"/>
          <w:numId w:val="14"/>
        </w:numPr>
        <w:spacing w:before="120" w:after="120" w:line="360" w:lineRule="auto"/>
        <w:ind w:left="2340"/>
        <w:contextualSpacing w:val="0"/>
        <w:rPr>
          <w:rFonts w:ascii="Arial" w:hAnsi="Arial" w:cs="Arial"/>
          <w:iCs/>
          <w:lang w:val="sq-AL"/>
        </w:rPr>
      </w:pPr>
      <w:r w:rsidRPr="002A6F4E">
        <w:rPr>
          <w:rFonts w:ascii="Arial" w:hAnsi="Arial" w:cs="Arial"/>
          <w:iCs/>
          <w:lang w:val="sq-AL"/>
        </w:rPr>
        <w:t>Obezbjeđivanje i identifikacija lokacija na kojima se skladišti opasan otpad;</w:t>
      </w:r>
    </w:p>
    <w:p w14:paraId="404D35E1" w14:textId="77777777" w:rsidR="00C626D7" w:rsidRPr="002A6F4E" w:rsidRDefault="00C626D7" w:rsidP="00A23ED0">
      <w:pPr>
        <w:pStyle w:val="ListParagraph"/>
        <w:numPr>
          <w:ilvl w:val="0"/>
          <w:numId w:val="14"/>
        </w:numPr>
        <w:spacing w:before="120" w:after="120" w:line="360" w:lineRule="auto"/>
        <w:ind w:left="2340"/>
        <w:contextualSpacing w:val="0"/>
        <w:rPr>
          <w:rFonts w:ascii="Arial" w:hAnsi="Arial" w:cs="Arial"/>
          <w:iCs/>
          <w:lang w:val="sq-AL"/>
        </w:rPr>
      </w:pPr>
      <w:r w:rsidRPr="002A6F4E">
        <w:rPr>
          <w:rFonts w:ascii="Arial" w:hAnsi="Arial" w:cs="Arial"/>
          <w:iCs/>
          <w:lang w:val="sq-AL"/>
        </w:rPr>
        <w:t>Obuka proizvođača otpada o njihovim obavezama prema Zakonu;</w:t>
      </w:r>
    </w:p>
    <w:p w14:paraId="6D18E1C9" w14:textId="3DB3C7A9" w:rsidR="00C626D7" w:rsidRPr="002A6F4E" w:rsidRDefault="007E1E41" w:rsidP="00A23ED0">
      <w:pPr>
        <w:pStyle w:val="ListParagraph"/>
        <w:numPr>
          <w:ilvl w:val="0"/>
          <w:numId w:val="14"/>
        </w:numPr>
        <w:spacing w:before="120" w:after="120" w:line="360" w:lineRule="auto"/>
        <w:ind w:left="2340"/>
        <w:contextualSpacing w:val="0"/>
        <w:rPr>
          <w:rFonts w:ascii="Arial" w:hAnsi="Arial" w:cs="Arial"/>
          <w:iCs/>
          <w:lang w:val="sq-AL"/>
        </w:rPr>
      </w:pPr>
      <w:r>
        <w:rPr>
          <w:rFonts w:ascii="Arial" w:hAnsi="Arial" w:cs="Arial"/>
          <w:iCs/>
          <w:lang w:val="sq-AL"/>
        </w:rPr>
        <w:t>Izgradnja</w:t>
      </w:r>
      <w:r w:rsidRPr="002A6F4E">
        <w:rPr>
          <w:rFonts w:ascii="Arial" w:hAnsi="Arial" w:cs="Arial"/>
          <w:iCs/>
          <w:lang w:val="sq-AL"/>
        </w:rPr>
        <w:t xml:space="preserve"> </w:t>
      </w:r>
      <w:r w:rsidR="00C626D7" w:rsidRPr="002A6F4E">
        <w:rPr>
          <w:rFonts w:ascii="Arial" w:hAnsi="Arial" w:cs="Arial"/>
          <w:iCs/>
          <w:lang w:val="sq-AL"/>
        </w:rPr>
        <w:t>postrojenja za upravljanje opasnim otpadom (po potrebi);</w:t>
      </w:r>
    </w:p>
    <w:p w14:paraId="6E9ACF2F" w14:textId="77777777" w:rsidR="00C626D7" w:rsidRPr="002A6F4E" w:rsidRDefault="00C626D7" w:rsidP="00A23ED0">
      <w:pPr>
        <w:pStyle w:val="ListParagraph"/>
        <w:numPr>
          <w:ilvl w:val="0"/>
          <w:numId w:val="14"/>
        </w:numPr>
        <w:spacing w:before="120" w:after="120" w:line="360" w:lineRule="auto"/>
        <w:ind w:left="2340"/>
        <w:contextualSpacing w:val="0"/>
        <w:rPr>
          <w:rFonts w:ascii="Arial" w:hAnsi="Arial" w:cs="Arial"/>
          <w:iCs/>
          <w:lang w:val="sq-AL"/>
        </w:rPr>
      </w:pPr>
      <w:r w:rsidRPr="002A6F4E">
        <w:rPr>
          <w:rFonts w:ascii="Arial" w:hAnsi="Arial" w:cs="Arial"/>
          <w:iCs/>
          <w:lang w:val="sq-AL"/>
        </w:rPr>
        <w:t>Uspostavljanje održivih mehanizama za praćenje, sprovođenje i usklađenost;</w:t>
      </w:r>
    </w:p>
    <w:p w14:paraId="440B1EF5" w14:textId="77777777" w:rsidR="00C626D7" w:rsidRPr="002A6F4E" w:rsidRDefault="00C626D7" w:rsidP="00A23ED0">
      <w:pPr>
        <w:pStyle w:val="ListParagraph"/>
        <w:numPr>
          <w:ilvl w:val="0"/>
          <w:numId w:val="14"/>
        </w:numPr>
        <w:spacing w:before="120" w:after="120" w:line="360" w:lineRule="auto"/>
        <w:ind w:left="2340"/>
        <w:contextualSpacing w:val="0"/>
        <w:rPr>
          <w:rFonts w:ascii="Arial" w:hAnsi="Arial" w:cs="Arial"/>
          <w:iCs/>
          <w:lang w:val="sq-AL"/>
        </w:rPr>
      </w:pPr>
      <w:r w:rsidRPr="002A6F4E">
        <w:rPr>
          <w:rFonts w:ascii="Arial" w:hAnsi="Arial" w:cs="Arial"/>
          <w:iCs/>
          <w:lang w:val="sq-AL"/>
        </w:rPr>
        <w:t>Rehabilitacija kontaminiranih područja i žarišta i pravilno upravljanje svim „istorijskim“ uskladištenim opasnim otpadom.</w:t>
      </w:r>
    </w:p>
    <w:p w14:paraId="0A7A7B85" w14:textId="34FF7BFB" w:rsidR="009316F8" w:rsidRPr="002A6F4E" w:rsidRDefault="00C626D7" w:rsidP="00C626D7">
      <w:pPr>
        <w:spacing w:before="120" w:after="120" w:line="360" w:lineRule="auto"/>
        <w:rPr>
          <w:rFonts w:ascii="Arial" w:hAnsi="Arial" w:cs="Arial"/>
          <w:lang w:val="sq-AL"/>
        </w:rPr>
      </w:pPr>
      <w:r w:rsidRPr="002A6F4E">
        <w:rPr>
          <w:rFonts w:ascii="Arial" w:hAnsi="Arial" w:cs="Arial"/>
          <w:lang w:val="sq-AL"/>
        </w:rPr>
        <w:t>Predloženi ciljevi uzimaju u obzir principe predviđene Zakonom o upravljanju otpadom, kao i posebne potrebe lokalnih industrija i tržišta i uključuju:</w:t>
      </w:r>
    </w:p>
    <w:p w14:paraId="4BF80ABB" w14:textId="48442101"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 xml:space="preserve">Sprečavanje i smanjenje stvaranja opasnog otpada; </w:t>
      </w:r>
    </w:p>
    <w:p w14:paraId="05C09149" w14:textId="78B2EE83"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Osiguravanje integrisanog sigurnog upravljanja opasnim otpadom (uključujući s</w:t>
      </w:r>
      <w:r w:rsidR="009B54C9">
        <w:rPr>
          <w:rFonts w:ascii="Arial" w:hAnsi="Arial" w:cs="Arial"/>
          <w:lang w:val="sq-AL"/>
        </w:rPr>
        <w:t>a</w:t>
      </w:r>
      <w:r w:rsidRPr="002A6F4E">
        <w:rPr>
          <w:rFonts w:ascii="Arial" w:hAnsi="Arial" w:cs="Arial"/>
          <w:lang w:val="sq-AL"/>
        </w:rPr>
        <w:t xml:space="preserve">kupljanje, skladištenje, </w:t>
      </w:r>
      <w:r w:rsidR="008F32AD">
        <w:rPr>
          <w:rFonts w:ascii="Arial" w:hAnsi="Arial" w:cs="Arial"/>
          <w:lang w:val="sq-AL"/>
        </w:rPr>
        <w:t>obrade</w:t>
      </w:r>
      <w:r w:rsidRPr="002A6F4E">
        <w:rPr>
          <w:rFonts w:ascii="Arial" w:hAnsi="Arial" w:cs="Arial"/>
          <w:lang w:val="sq-AL"/>
        </w:rPr>
        <w:t xml:space="preserve"> ili izvoz);</w:t>
      </w:r>
    </w:p>
    <w:p w14:paraId="47925FD5" w14:textId="50E7714E"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Unapređenje stanja životne sredine u Crnoj Gori kao rezultat uspostavljanja/implementacije odgovorajućeg sistema upravljanja otpadom;</w:t>
      </w:r>
    </w:p>
    <w:p w14:paraId="55733EB3" w14:textId="77777777"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rtl/>
          <w:lang w:val="sq-AL"/>
        </w:rPr>
      </w:pPr>
      <w:r w:rsidRPr="002A6F4E">
        <w:rPr>
          <w:rFonts w:ascii="Arial" w:hAnsi="Arial" w:cs="Arial"/>
          <w:lang w:val="sq-AL"/>
        </w:rPr>
        <w:t>Jačanje partnerstava sa privatnim sektorom, civilnim društvom i pojedincima i podizanje njihove svijesti;</w:t>
      </w:r>
    </w:p>
    <w:p w14:paraId="41394E71" w14:textId="5B00C51D"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Uspostavljanje proširene odgovornosti proizvođača kao instrumenta programske politike</w:t>
      </w:r>
      <w:r w:rsidR="009B54C9">
        <w:rPr>
          <w:rFonts w:ascii="Arial" w:hAnsi="Arial" w:cs="Arial"/>
          <w:lang w:val="sq-AL"/>
        </w:rPr>
        <w:t>,</w:t>
      </w:r>
      <w:r w:rsidRPr="002A6F4E">
        <w:rPr>
          <w:rFonts w:ascii="Arial" w:hAnsi="Arial" w:cs="Arial"/>
          <w:lang w:val="sq-AL"/>
        </w:rPr>
        <w:t xml:space="preserve"> koji proširuje odgovornosti proizvođača na razvoj mreža i infrastrukture za upravljanje opasnim otpadom.</w:t>
      </w:r>
    </w:p>
    <w:p w14:paraId="4E8310BA" w14:textId="03751EEA"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 xml:space="preserve">Dodatni ciljevi i zadaci su postavljeni za sljedeće </w:t>
      </w:r>
      <w:r w:rsidR="008F32AD">
        <w:rPr>
          <w:rFonts w:ascii="Arial" w:hAnsi="Arial" w:cs="Arial"/>
          <w:lang w:val="sq-AL"/>
        </w:rPr>
        <w:t>vrste</w:t>
      </w:r>
      <w:r w:rsidR="008F32AD" w:rsidRPr="002A6F4E">
        <w:rPr>
          <w:rFonts w:ascii="Arial" w:hAnsi="Arial" w:cs="Arial"/>
          <w:lang w:val="sq-AL"/>
        </w:rPr>
        <w:t xml:space="preserve"> </w:t>
      </w:r>
      <w:r w:rsidRPr="002A6F4E">
        <w:rPr>
          <w:rFonts w:ascii="Arial" w:hAnsi="Arial" w:cs="Arial"/>
          <w:lang w:val="sq-AL"/>
        </w:rPr>
        <w:t>opasnog otpada.</w:t>
      </w:r>
    </w:p>
    <w:p w14:paraId="15259AF2" w14:textId="30E63872" w:rsidR="009316F8" w:rsidRPr="00212FBD" w:rsidRDefault="00C10D04" w:rsidP="007378E8">
      <w:pPr>
        <w:pStyle w:val="Heading3"/>
        <w:rPr>
          <w:lang w:val="sq-AL"/>
        </w:rPr>
      </w:pPr>
      <w:bookmarkStart w:id="1406" w:name="_Toc189759777"/>
      <w:bookmarkStart w:id="1407" w:name="_Toc193354073"/>
      <w:r w:rsidRPr="00212FBD">
        <w:rPr>
          <w:lang w:val="sq-AL"/>
        </w:rPr>
        <w:t>6.12.1</w:t>
      </w:r>
      <w:r w:rsidR="009316F8" w:rsidRPr="00212FBD">
        <w:rPr>
          <w:lang w:val="sq-AL"/>
        </w:rPr>
        <w:t>. Otpad koji sadrži azbest</w:t>
      </w:r>
      <w:bookmarkEnd w:id="1406"/>
      <w:bookmarkEnd w:id="1407"/>
    </w:p>
    <w:p w14:paraId="21BFB4C0" w14:textId="77777777" w:rsidR="008F32AD" w:rsidRDefault="008F32AD" w:rsidP="009316F8">
      <w:pPr>
        <w:spacing w:before="120" w:after="120" w:line="360" w:lineRule="auto"/>
        <w:rPr>
          <w:rFonts w:ascii="Arial" w:hAnsi="Arial" w:cs="Arial"/>
          <w:lang w:val="hr-HR"/>
        </w:rPr>
      </w:pPr>
    </w:p>
    <w:p w14:paraId="5EB5F48D" w14:textId="77736A3E" w:rsidR="009316F8" w:rsidRPr="002A6F4E" w:rsidRDefault="009316F8" w:rsidP="009316F8">
      <w:pPr>
        <w:spacing w:before="120" w:after="120" w:line="360" w:lineRule="auto"/>
        <w:rPr>
          <w:rFonts w:ascii="Arial" w:hAnsi="Arial" w:cs="Arial"/>
          <w:lang w:val="hr-HR"/>
        </w:rPr>
      </w:pPr>
      <w:r w:rsidRPr="002A6F4E">
        <w:rPr>
          <w:rFonts w:ascii="Arial" w:hAnsi="Arial" w:cs="Arial"/>
          <w:lang w:val="hr-HR"/>
        </w:rPr>
        <w:t>Otpad koji sadrži azbest potrebno je da se spakuje za transport i odloži na način da se vlakna ne mogu osloboditi. Pored toga, upakovani otpad treba da bude označen na odgovarajući način. Svakako će se uzeti u obzir i zakonodavstvo EU</w:t>
      </w:r>
      <w:r w:rsidR="00FC32CE">
        <w:rPr>
          <w:rFonts w:ascii="Arial" w:hAnsi="Arial" w:cs="Arial"/>
          <w:lang w:val="hr-HR"/>
        </w:rPr>
        <w:t>.</w:t>
      </w:r>
    </w:p>
    <w:p w14:paraId="0573BFBC" w14:textId="77777777" w:rsidR="009316F8" w:rsidRPr="002A6F4E" w:rsidRDefault="009316F8" w:rsidP="009316F8">
      <w:pPr>
        <w:spacing w:before="120" w:after="120" w:line="360" w:lineRule="auto"/>
        <w:rPr>
          <w:rFonts w:ascii="Arial" w:hAnsi="Arial" w:cs="Arial"/>
          <w:highlight w:val="cyan"/>
          <w:lang w:val="hr-HR"/>
        </w:rPr>
      </w:pPr>
      <w:r w:rsidRPr="002A6F4E">
        <w:rPr>
          <w:rFonts w:ascii="Arial" w:hAnsi="Arial" w:cs="Arial"/>
          <w:lang w:val="hr-HR"/>
        </w:rPr>
        <w:lastRenderedPageBreak/>
        <w:t>Radi zaštite radnika i životne sredine, otpad koji sadrži azbest koji se akumulira tokom radova na rušenju ili raščišćavanju treba sakupljati u odgovarajuće, zatvorene kontejnere direktno na gradilištu i uz poštovanje mjera bezbjednosti i zdravlja na radu. Odgovarajući kontejneri obično uključuju plastične kese otporne na kidanje, plastične ili metalne kontejnere sa poklopcima koji se mogu pričvrstiti prstenovima za zaključavanje. Daske velikih dimenzija mogu se slagati na palete, umotane u ambalažu otpornu na prašinu, na primjer, jaku plastičnu foliju. Kada se koriste plastične kese i kontejnere, one se moraju puniti u radnom prostoru. U slučaju kada neposredno pakovanje nije moguće, materijal koji sadrži azbest treba držati vlažnim ili pokriti u radnom prostoru za kratkotrajno skladištenje.</w:t>
      </w:r>
    </w:p>
    <w:p w14:paraId="448F4219" w14:textId="306A92CA" w:rsidR="009316F8" w:rsidRPr="002A6F4E" w:rsidRDefault="009316F8" w:rsidP="009316F8">
      <w:pPr>
        <w:spacing w:before="120" w:after="120" w:line="360" w:lineRule="auto"/>
        <w:rPr>
          <w:rFonts w:ascii="Arial" w:hAnsi="Arial" w:cs="Arial"/>
          <w:lang w:val="hr-HR"/>
        </w:rPr>
      </w:pPr>
      <w:r w:rsidRPr="002A6F4E">
        <w:rPr>
          <w:rFonts w:ascii="Arial" w:hAnsi="Arial" w:cs="Arial"/>
          <w:lang w:val="hr-HR"/>
        </w:rPr>
        <w:t xml:space="preserve">Upakovani otpad  je potrebno transportovati u dvokomornu prostoriju za odlaganje materijala. Prije svega, površine vreća moraju biti očišćene sa strane pored radnog prostora prije nego što se stave u drugu vreću ojačanu tkaninom. </w:t>
      </w:r>
      <w:r w:rsidR="008F32AD">
        <w:rPr>
          <w:rFonts w:ascii="Arial" w:hAnsi="Arial" w:cs="Arial"/>
          <w:lang w:val="hr-HR"/>
        </w:rPr>
        <w:t>O</w:t>
      </w:r>
      <w:r w:rsidRPr="002A6F4E">
        <w:rPr>
          <w:rFonts w:ascii="Arial" w:hAnsi="Arial" w:cs="Arial"/>
          <w:lang w:val="hr-HR"/>
        </w:rPr>
        <w:t>vu drugu vreću treba očistiti i zatim odn</w:t>
      </w:r>
      <w:r w:rsidR="009B54C9">
        <w:rPr>
          <w:rFonts w:ascii="Arial" w:hAnsi="Arial" w:cs="Arial"/>
          <w:lang w:val="hr-HR"/>
        </w:rPr>
        <w:t>ij</w:t>
      </w:r>
      <w:r w:rsidRPr="002A6F4E">
        <w:rPr>
          <w:rFonts w:ascii="Arial" w:hAnsi="Arial" w:cs="Arial"/>
          <w:lang w:val="hr-HR"/>
        </w:rPr>
        <w:t>eti u drugu komoru prostorije za odlaganje materijala. Kada koristite kontejnere, drugo pakovanje se može izostaviti. U ovom slučaju, samo spoljašnji dio kontejnera treba temeljno očistiti.</w:t>
      </w:r>
    </w:p>
    <w:p w14:paraId="46E798C4" w14:textId="77777777" w:rsidR="009316F8" w:rsidRPr="002A6F4E" w:rsidRDefault="009316F8" w:rsidP="009316F8">
      <w:pPr>
        <w:spacing w:before="120" w:after="120" w:line="360" w:lineRule="auto"/>
        <w:rPr>
          <w:rFonts w:ascii="Arial" w:hAnsi="Arial" w:cs="Arial"/>
          <w:lang w:val="hr-HR"/>
        </w:rPr>
      </w:pPr>
      <w:r w:rsidRPr="002A6F4E">
        <w:rPr>
          <w:rFonts w:ascii="Arial" w:hAnsi="Arial" w:cs="Arial"/>
          <w:lang w:val="hr-HR"/>
        </w:rPr>
        <w:t>Kontejneri sa otpadom koji sadrži azbest moraju biti označeni na način da se jasno upućuje na njihov sadržaj. Ovo se može uraditi korišćenjem naljepnica o opasnim supstancama na kojima piše „Opasnost: sadrži azbest“.</w:t>
      </w:r>
    </w:p>
    <w:p w14:paraId="3DDC6F52" w14:textId="50340D9F" w:rsidR="009316F8" w:rsidRPr="002A6F4E" w:rsidRDefault="008F32AD" w:rsidP="009316F8">
      <w:pPr>
        <w:spacing w:before="120" w:after="120" w:line="360" w:lineRule="auto"/>
        <w:rPr>
          <w:rFonts w:ascii="Arial" w:hAnsi="Arial" w:cs="Arial"/>
          <w:lang w:val="hr-HR"/>
        </w:rPr>
      </w:pPr>
      <w:r>
        <w:rPr>
          <w:rFonts w:ascii="Arial" w:hAnsi="Arial" w:cs="Arial"/>
          <w:lang w:val="hr-HR"/>
        </w:rPr>
        <w:t>Obrada</w:t>
      </w:r>
      <w:r w:rsidR="009316F8" w:rsidRPr="002A6F4E">
        <w:rPr>
          <w:rFonts w:ascii="Arial" w:hAnsi="Arial" w:cs="Arial"/>
          <w:lang w:val="hr-HR"/>
        </w:rPr>
        <w:t xml:space="preserve"> otpadnog azbesta „tehnologijom termohemijske konverzije“, koja kombinuje hemijski tretman i toplotu kako bi se postigla remineralizacija azbesta i drugih silikatnih materijala, je glavna tehnika predstavljena u odgovarajućem BREF-u „Tretman otpada“.</w:t>
      </w:r>
      <w:r w:rsidR="009316F8" w:rsidRPr="002A6F4E">
        <w:rPr>
          <w:rStyle w:val="FootnoteReference"/>
          <w:rFonts w:ascii="Arial" w:hAnsi="Arial" w:cs="Arial"/>
          <w:sz w:val="20"/>
          <w:szCs w:val="20"/>
        </w:rPr>
        <w:footnoteReference w:id="47"/>
      </w:r>
    </w:p>
    <w:p w14:paraId="4CA767A4" w14:textId="77777777"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Zbog potencijala visokog rizika, transport otpada koji sadrži azbest treba da obavljaju pouzdani prevoznici. Kada  je to moguće, ovaj zadatak treba povjeriti samo specijalizovanim preduzećima. Mora se osigurati da se vlakna ne ispuštaju tokom transporta i istovara. Kontejneri sa otpadom koji sadrži azbest ne smiju se bacati ili prevrtati.</w:t>
      </w:r>
    </w:p>
    <w:p w14:paraId="4D3FEA06" w14:textId="53D659A7" w:rsidR="009316F8" w:rsidRPr="002A6F4E" w:rsidRDefault="009316F8" w:rsidP="009316F8">
      <w:pPr>
        <w:spacing w:before="120" w:after="120" w:line="360" w:lineRule="auto"/>
        <w:rPr>
          <w:rFonts w:ascii="Arial" w:hAnsi="Arial" w:cs="Arial"/>
          <w:lang w:val="sq-AL"/>
        </w:rPr>
      </w:pPr>
      <w:r w:rsidRPr="002A6F4E">
        <w:rPr>
          <w:rFonts w:ascii="Arial" w:hAnsi="Arial" w:cs="Arial"/>
          <w:lang w:val="sq-AL"/>
        </w:rPr>
        <w:t xml:space="preserve">Odlaganje otpada koji sadrži azbest treba biti podvrgnuto strogoj kontroli </w:t>
      </w:r>
      <w:r w:rsidR="009B54C9">
        <w:rPr>
          <w:rFonts w:ascii="Arial" w:hAnsi="Arial" w:cs="Arial"/>
          <w:lang w:val="sq-AL"/>
        </w:rPr>
        <w:t>i</w:t>
      </w:r>
      <w:r w:rsidRPr="002A6F4E">
        <w:rPr>
          <w:rFonts w:ascii="Arial" w:hAnsi="Arial" w:cs="Arial"/>
          <w:lang w:val="sq-AL"/>
        </w:rPr>
        <w:t xml:space="preserve"> odgovarajućim organizacionim mjerama. Od najveće je važnosti da se otpad koji sadrži azbest pravilno odlaže. U tom cilju, potrebno je postaviti odgovarajuće deponije na koje se otpad može odlagati u posebno označenim zonama. Kontejneri se ne mogu rušiti prije sabijanja. Sabijanje se vrši tek nakon dovoljnog prekrivanja rastresitom zemljom. U nedostatku takvih objekata, otpad koji sadrži azbest će se izvoziti.  Troškovi takvog izvoza mogu iznositi nekoliko stotina eura po toni, u zavisnosti od specifičnih uslova i količina otpada.</w:t>
      </w:r>
    </w:p>
    <w:p w14:paraId="2801D427" w14:textId="77777777"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Stoga su za tok otpada koji sadrži azbest postavljeni sljedeći ciljevi:</w:t>
      </w:r>
    </w:p>
    <w:p w14:paraId="6934AC30" w14:textId="77777777" w:rsidR="009316F8" w:rsidRPr="002A6F4E" w:rsidRDefault="009316F8" w:rsidP="00A23ED0">
      <w:pPr>
        <w:pStyle w:val="ListParagraph"/>
        <w:numPr>
          <w:ilvl w:val="0"/>
          <w:numId w:val="14"/>
        </w:numPr>
        <w:spacing w:before="120" w:after="120" w:line="360" w:lineRule="auto"/>
        <w:ind w:left="2340"/>
        <w:contextualSpacing w:val="0"/>
        <w:rPr>
          <w:rFonts w:ascii="Arial" w:hAnsi="Arial" w:cs="Arial"/>
          <w:iCs/>
          <w:lang w:val="sq-AL"/>
        </w:rPr>
      </w:pPr>
      <w:r w:rsidRPr="002A6F4E">
        <w:rPr>
          <w:rFonts w:ascii="Arial" w:hAnsi="Arial" w:cs="Arial"/>
          <w:iCs/>
          <w:lang w:val="sq-AL"/>
        </w:rPr>
        <w:t>Izrada/ažuriranje registra javnih zgrada koje sadrže azbest i izrada plana za odgovarajuće čišćenje;</w:t>
      </w:r>
    </w:p>
    <w:p w14:paraId="24BEAD58" w14:textId="77777777" w:rsidR="009316F8" w:rsidRPr="002A6F4E" w:rsidRDefault="009316F8" w:rsidP="00A23ED0">
      <w:pPr>
        <w:pStyle w:val="ListParagraph"/>
        <w:numPr>
          <w:ilvl w:val="0"/>
          <w:numId w:val="14"/>
        </w:numPr>
        <w:spacing w:before="120" w:after="120" w:line="360" w:lineRule="auto"/>
        <w:ind w:left="2340"/>
        <w:contextualSpacing w:val="0"/>
        <w:rPr>
          <w:rFonts w:ascii="Arial" w:hAnsi="Arial" w:cs="Arial"/>
          <w:iCs/>
          <w:lang w:val="sq-AL"/>
        </w:rPr>
      </w:pPr>
      <w:r w:rsidRPr="002A6F4E">
        <w:rPr>
          <w:rFonts w:ascii="Arial" w:hAnsi="Arial" w:cs="Arial"/>
          <w:lang w:val="sq-AL"/>
        </w:rPr>
        <w:t>Izgradnja cjevovoda bez azbesta u opštinama Crne Gore u kojima to do sad nije urađeno;</w:t>
      </w:r>
    </w:p>
    <w:p w14:paraId="420CBEC4" w14:textId="053115E0" w:rsidR="009316F8" w:rsidRPr="002A6F4E" w:rsidRDefault="007275A6" w:rsidP="00A23ED0">
      <w:pPr>
        <w:pStyle w:val="ListParagraph"/>
        <w:numPr>
          <w:ilvl w:val="0"/>
          <w:numId w:val="14"/>
        </w:numPr>
        <w:spacing w:before="120" w:after="120" w:line="360" w:lineRule="auto"/>
        <w:ind w:left="2340"/>
        <w:contextualSpacing w:val="0"/>
        <w:rPr>
          <w:rFonts w:ascii="Arial" w:hAnsi="Arial" w:cs="Arial"/>
          <w:iCs/>
          <w:lang w:val="sq-AL"/>
        </w:rPr>
      </w:pPr>
      <w:r>
        <w:rPr>
          <w:rFonts w:ascii="Arial" w:hAnsi="Arial" w:cs="Arial"/>
          <w:iCs/>
          <w:lang w:val="sq-AL"/>
        </w:rPr>
        <w:lastRenderedPageBreak/>
        <w:t>O</w:t>
      </w:r>
      <w:r w:rsidR="009316F8" w:rsidRPr="002A6F4E">
        <w:rPr>
          <w:rFonts w:ascii="Arial" w:hAnsi="Arial" w:cs="Arial"/>
          <w:iCs/>
          <w:lang w:val="sq-AL"/>
        </w:rPr>
        <w:t>tpad koji sadrži azbest će se odvojeno sakupljati i izvoziti, dok se ne izgrade namjenske ćelije na deponijama (uglavnom za otpad od rušenja i gradnje) za prijem ove frakcije otpada;</w:t>
      </w:r>
    </w:p>
    <w:p w14:paraId="7DFF4F13" w14:textId="4720F0A4" w:rsidR="009316F8" w:rsidRPr="002A6F4E" w:rsidRDefault="009316F8" w:rsidP="00A23ED0">
      <w:pPr>
        <w:pStyle w:val="ListParagraph"/>
        <w:numPr>
          <w:ilvl w:val="0"/>
          <w:numId w:val="14"/>
        </w:numPr>
        <w:spacing w:before="120" w:after="120" w:line="360" w:lineRule="auto"/>
        <w:ind w:left="2340"/>
        <w:contextualSpacing w:val="0"/>
        <w:rPr>
          <w:rFonts w:ascii="Arial" w:hAnsi="Arial" w:cs="Arial"/>
          <w:iCs/>
          <w:lang w:val="sq-AL"/>
        </w:rPr>
      </w:pPr>
      <w:r w:rsidRPr="002A6F4E">
        <w:rPr>
          <w:rFonts w:ascii="Arial" w:hAnsi="Arial" w:cs="Arial"/>
          <w:iCs/>
          <w:lang w:val="sq-AL"/>
        </w:rPr>
        <w:t>Transport otpada koji sadrži azbest vrši se u skladu sa zakonodavstvom EU i zakonodavstvom</w:t>
      </w:r>
      <w:r w:rsidR="007275A6">
        <w:rPr>
          <w:rFonts w:ascii="Arial" w:hAnsi="Arial" w:cs="Arial"/>
          <w:iCs/>
          <w:lang w:val="sq-AL"/>
        </w:rPr>
        <w:t xml:space="preserve"> Crne Gore</w:t>
      </w:r>
      <w:r w:rsidRPr="002A6F4E">
        <w:rPr>
          <w:rFonts w:ascii="Arial" w:hAnsi="Arial" w:cs="Arial"/>
          <w:iCs/>
          <w:lang w:val="sq-AL"/>
        </w:rPr>
        <w:t>;</w:t>
      </w:r>
    </w:p>
    <w:p w14:paraId="23D9B01D" w14:textId="153FCB4A" w:rsidR="009316F8" w:rsidRPr="00212FBD" w:rsidRDefault="00C10D04" w:rsidP="007378E8">
      <w:pPr>
        <w:pStyle w:val="Heading3"/>
        <w:rPr>
          <w:lang w:val="en-US"/>
        </w:rPr>
      </w:pPr>
      <w:bookmarkStart w:id="1408" w:name="_Toc189759778"/>
      <w:bookmarkStart w:id="1409" w:name="_Toc193354074"/>
      <w:r w:rsidRPr="00212FBD">
        <w:rPr>
          <w:lang w:val="en-US"/>
        </w:rPr>
        <w:t>6.12.2</w:t>
      </w:r>
      <w:r w:rsidR="009316F8" w:rsidRPr="00212FBD">
        <w:rPr>
          <w:lang w:val="en-US"/>
        </w:rPr>
        <w:t>. PCB otpad</w:t>
      </w:r>
      <w:bookmarkEnd w:id="1408"/>
      <w:r w:rsidR="00815B37" w:rsidRPr="00212FBD">
        <w:rPr>
          <w:lang w:val="en-US"/>
        </w:rPr>
        <w:t xml:space="preserve"> i otpad koji sadrži PCB</w:t>
      </w:r>
      <w:bookmarkEnd w:id="1409"/>
    </w:p>
    <w:p w14:paraId="71461A34" w14:textId="08A343C3"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PCB otpadom će se upravljati u skladu sa odredbama čl. 69 i 70 Zakona o upravljanju otpadom, o „PCB i otpadu koji sadrži PCB“ i „Planu upravljanja opremom i otpadom koji sadrzi PCB”.</w:t>
      </w:r>
    </w:p>
    <w:p w14:paraId="29683CA5" w14:textId="77777777" w:rsidR="009316F8" w:rsidRPr="002A6F4E" w:rsidRDefault="009316F8" w:rsidP="009316F8">
      <w:pPr>
        <w:widowControl w:val="0"/>
        <w:spacing w:before="120" w:after="120" w:line="360" w:lineRule="auto"/>
        <w:rPr>
          <w:rFonts w:ascii="Arial" w:hAnsi="Arial" w:cs="Arial"/>
          <w:lang w:val="sq-AL"/>
        </w:rPr>
      </w:pPr>
      <w:r w:rsidRPr="002A6F4E">
        <w:rPr>
          <w:rFonts w:ascii="Arial" w:hAnsi="Arial" w:cs="Arial"/>
          <w:lang w:val="sq-AL"/>
        </w:rPr>
        <w:t>Za tok PCB-a proizvedenih u Crnoj Gori postavljeni su sljedeći ciljevi:</w:t>
      </w:r>
    </w:p>
    <w:p w14:paraId="1EEB543E" w14:textId="0A7C4D0D" w:rsidR="009316F8" w:rsidRPr="002A6F4E" w:rsidRDefault="00FC32CE" w:rsidP="00A23ED0">
      <w:pPr>
        <w:pStyle w:val="ListParagraph"/>
        <w:numPr>
          <w:ilvl w:val="0"/>
          <w:numId w:val="72"/>
        </w:numPr>
        <w:spacing w:before="120" w:after="120" w:line="360" w:lineRule="auto"/>
        <w:ind w:left="720" w:hanging="450"/>
        <w:contextualSpacing w:val="0"/>
        <w:rPr>
          <w:rFonts w:ascii="Arial" w:hAnsi="Arial" w:cs="Arial"/>
          <w:lang w:val="sq-AL"/>
        </w:rPr>
      </w:pPr>
      <w:r>
        <w:rPr>
          <w:rFonts w:ascii="Arial" w:hAnsi="Arial" w:cs="Arial"/>
          <w:lang w:val="sq-AL"/>
        </w:rPr>
        <w:t>Izrada informacionog</w:t>
      </w:r>
      <w:r w:rsidR="009316F8" w:rsidRPr="002A6F4E">
        <w:rPr>
          <w:rFonts w:ascii="Arial" w:hAnsi="Arial" w:cs="Arial"/>
          <w:lang w:val="sq-AL"/>
        </w:rPr>
        <w:t xml:space="preserve"> sistema koji će evidentirati sve uređaje i m</w:t>
      </w:r>
      <w:r>
        <w:rPr>
          <w:rFonts w:ascii="Arial" w:hAnsi="Arial" w:cs="Arial"/>
          <w:lang w:val="sq-AL"/>
        </w:rPr>
        <w:t>a</w:t>
      </w:r>
      <w:r w:rsidR="009316F8" w:rsidRPr="002A6F4E">
        <w:rPr>
          <w:rFonts w:ascii="Arial" w:hAnsi="Arial" w:cs="Arial"/>
          <w:lang w:val="sq-AL"/>
        </w:rPr>
        <w:t>terijale koji sadrže PCB, sa ciljem pravljenja popisa svih povezanih uređaja i opreme.</w:t>
      </w:r>
    </w:p>
    <w:p w14:paraId="450BA13F" w14:textId="77777777"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Evidencija svih uređaja i opreme koja sadrži PCB.</w:t>
      </w:r>
    </w:p>
    <w:p w14:paraId="6A35B5BE" w14:textId="77777777"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Prekogranični transport svih identifikovanih uređaja i opreme.</w:t>
      </w:r>
    </w:p>
    <w:p w14:paraId="298A1B48" w14:textId="77777777" w:rsidR="009316F8" w:rsidRPr="002A6F4E" w:rsidRDefault="009316F8" w:rsidP="00A23ED0">
      <w:pPr>
        <w:pStyle w:val="ListParagraph"/>
        <w:numPr>
          <w:ilvl w:val="0"/>
          <w:numId w:val="72"/>
        </w:numPr>
        <w:spacing w:before="120" w:after="120" w:line="360" w:lineRule="auto"/>
        <w:ind w:left="720" w:hanging="450"/>
        <w:contextualSpacing w:val="0"/>
        <w:rPr>
          <w:rFonts w:ascii="Arial" w:hAnsi="Arial" w:cs="Arial"/>
          <w:lang w:val="sq-AL"/>
        </w:rPr>
      </w:pPr>
      <w:r w:rsidRPr="002A6F4E">
        <w:rPr>
          <w:rFonts w:ascii="Arial" w:hAnsi="Arial" w:cs="Arial"/>
          <w:lang w:val="sq-AL"/>
        </w:rPr>
        <w:t>Implementacija odredbi Akcionog plana, identifikovanih u „Nacionalnom planu za implementaciju Stokholmske konvencije, sa Akcionim planom za 2019-2023“, iz jula 2019. godine.</w:t>
      </w:r>
    </w:p>
    <w:p w14:paraId="32456A28" w14:textId="15A23571" w:rsidR="009316F8" w:rsidRPr="00212FBD" w:rsidRDefault="00C10D04" w:rsidP="007378E8">
      <w:pPr>
        <w:pStyle w:val="Heading3"/>
        <w:rPr>
          <w:lang w:val="sq-AL"/>
        </w:rPr>
      </w:pPr>
      <w:bookmarkStart w:id="1410" w:name="_Toc155272084"/>
      <w:bookmarkStart w:id="1411" w:name="_Toc189759779"/>
      <w:bookmarkStart w:id="1412" w:name="_Toc193354075"/>
      <w:r w:rsidRPr="00212FBD">
        <w:rPr>
          <w:lang w:val="sq-AL"/>
        </w:rPr>
        <w:t xml:space="preserve">6.12.3. </w:t>
      </w:r>
      <w:r w:rsidR="009316F8" w:rsidRPr="00212FBD">
        <w:rPr>
          <w:lang w:val="sq-AL"/>
        </w:rPr>
        <w:t>POPs Otpad</w:t>
      </w:r>
      <w:bookmarkEnd w:id="1410"/>
      <w:bookmarkEnd w:id="1411"/>
      <w:bookmarkEnd w:id="1412"/>
    </w:p>
    <w:p w14:paraId="2C064192" w14:textId="3384FD63" w:rsidR="009316F8" w:rsidRPr="002A6F4E" w:rsidRDefault="009316F8" w:rsidP="009316F8">
      <w:pPr>
        <w:autoSpaceDE w:val="0"/>
        <w:autoSpaceDN w:val="0"/>
        <w:adjustRightInd w:val="0"/>
        <w:spacing w:before="120" w:after="120" w:line="360" w:lineRule="auto"/>
        <w:rPr>
          <w:rFonts w:ascii="Arial" w:hAnsi="Arial" w:cs="Arial"/>
          <w:lang w:val="sq-AL"/>
        </w:rPr>
      </w:pPr>
      <w:bookmarkStart w:id="1413" w:name="_Hlk155267731"/>
      <w:r w:rsidRPr="002A6F4E">
        <w:rPr>
          <w:rFonts w:ascii="Arial" w:hAnsi="Arial" w:cs="Arial"/>
          <w:lang w:val="sq-AL"/>
        </w:rPr>
        <w:t>POPs otpadom se upravlja u skladu sa odredbama člana 71 Zakona o upravljanju otpadom, o „Otpadu koji sadrži ili je kontaminiran dugotrajnim organskim zagađujućim supstancama (POPs otpad)“.</w:t>
      </w:r>
    </w:p>
    <w:p w14:paraId="070E4AFF" w14:textId="77777777" w:rsidR="009316F8" w:rsidRPr="002A6F4E" w:rsidRDefault="009316F8" w:rsidP="009316F8">
      <w:pPr>
        <w:autoSpaceDE w:val="0"/>
        <w:autoSpaceDN w:val="0"/>
        <w:adjustRightInd w:val="0"/>
        <w:spacing w:before="120" w:after="120" w:line="360" w:lineRule="auto"/>
        <w:rPr>
          <w:rFonts w:ascii="Arial" w:hAnsi="Arial" w:cs="Arial"/>
          <w:lang w:val="sq-AL"/>
        </w:rPr>
      </w:pPr>
      <w:r w:rsidRPr="002A6F4E">
        <w:rPr>
          <w:rFonts w:ascii="Arial" w:hAnsi="Arial" w:cs="Arial"/>
          <w:lang w:val="sq-AL"/>
        </w:rPr>
        <w:t>Za tok POPs proizvedenih u Crnoj Gori postavljeni su sljedeći ciljevi:</w:t>
      </w:r>
    </w:p>
    <w:p w14:paraId="4A5FBAA7" w14:textId="51BD7053" w:rsidR="009316F8" w:rsidRPr="002A6F4E" w:rsidRDefault="007275A6" w:rsidP="00A23ED0">
      <w:pPr>
        <w:pStyle w:val="ListParagraph"/>
        <w:numPr>
          <w:ilvl w:val="0"/>
          <w:numId w:val="78"/>
        </w:numPr>
        <w:autoSpaceDE w:val="0"/>
        <w:autoSpaceDN w:val="0"/>
        <w:adjustRightInd w:val="0"/>
        <w:spacing w:before="120" w:after="120" w:line="360" w:lineRule="auto"/>
        <w:rPr>
          <w:rFonts w:ascii="Arial" w:hAnsi="Arial" w:cs="Arial"/>
          <w:lang w:val="sq-AL"/>
        </w:rPr>
      </w:pPr>
      <w:r>
        <w:rPr>
          <w:rFonts w:ascii="Arial" w:hAnsi="Arial" w:cs="Arial"/>
          <w:lang w:val="sq-AL"/>
        </w:rPr>
        <w:t>Uspostavljanje</w:t>
      </w:r>
      <w:r w:rsidRPr="002A6F4E">
        <w:rPr>
          <w:rFonts w:ascii="Arial" w:hAnsi="Arial" w:cs="Arial"/>
          <w:lang w:val="sq-AL"/>
        </w:rPr>
        <w:t xml:space="preserve"> </w:t>
      </w:r>
      <w:r w:rsidR="009316F8" w:rsidRPr="002A6F4E">
        <w:rPr>
          <w:rFonts w:ascii="Arial" w:hAnsi="Arial" w:cs="Arial"/>
          <w:lang w:val="sq-AL"/>
        </w:rPr>
        <w:t>elektronskog sistema koji će evidentirati uređaje i materijale koji sadrže POPs, kako bi se popisali svi povezani uređaji i oprema.</w:t>
      </w:r>
    </w:p>
    <w:p w14:paraId="55888457" w14:textId="77777777" w:rsidR="009316F8" w:rsidRPr="002A6F4E" w:rsidRDefault="009316F8" w:rsidP="009316F8">
      <w:pPr>
        <w:pStyle w:val="ListParagraph"/>
        <w:autoSpaceDE w:val="0"/>
        <w:autoSpaceDN w:val="0"/>
        <w:adjustRightInd w:val="0"/>
        <w:spacing w:before="120" w:after="120" w:line="360" w:lineRule="auto"/>
        <w:rPr>
          <w:rFonts w:ascii="Arial" w:hAnsi="Arial" w:cs="Arial"/>
          <w:lang w:val="sq-AL"/>
        </w:rPr>
      </w:pPr>
    </w:p>
    <w:p w14:paraId="7149D81E" w14:textId="6B8AFFFC" w:rsidR="009316F8" w:rsidRPr="002A6F4E" w:rsidRDefault="009316F8" w:rsidP="00A23ED0">
      <w:pPr>
        <w:pStyle w:val="ListParagraph"/>
        <w:numPr>
          <w:ilvl w:val="0"/>
          <w:numId w:val="78"/>
        </w:numPr>
        <w:autoSpaceDE w:val="0"/>
        <w:autoSpaceDN w:val="0"/>
        <w:adjustRightInd w:val="0"/>
        <w:spacing w:before="120" w:after="120" w:line="360" w:lineRule="auto"/>
        <w:rPr>
          <w:rFonts w:ascii="Arial" w:hAnsi="Arial" w:cs="Arial"/>
          <w:lang w:val="sq-AL"/>
        </w:rPr>
      </w:pPr>
      <w:r w:rsidRPr="002A6F4E">
        <w:rPr>
          <w:rFonts w:ascii="Arial" w:hAnsi="Arial" w:cs="Arial"/>
          <w:lang w:val="sq-AL"/>
        </w:rPr>
        <w:t>Implementacija odredbi Akcionog plana, identifikovanih u „Nacionalnom planu za implementaciju Stokholmske konvencije, sa Akcionim planom za 2019-2023“, iz jula 2019. godine</w:t>
      </w:r>
      <w:r w:rsidR="00FC32CE">
        <w:rPr>
          <w:rFonts w:ascii="Arial" w:hAnsi="Arial" w:cs="Arial"/>
          <w:lang w:val="sq-AL"/>
        </w:rPr>
        <w:t xml:space="preserve">. </w:t>
      </w:r>
      <w:r w:rsidR="00FC32CE">
        <w:rPr>
          <w:rFonts w:ascii="Arial" w:hAnsi="Arial" w:cs="Arial"/>
          <w:lang w:val="hr-HR"/>
        </w:rPr>
        <w:t xml:space="preserve">Novi </w:t>
      </w:r>
      <w:r w:rsidR="00FC32CE" w:rsidRPr="002A6F4E">
        <w:rPr>
          <w:rFonts w:ascii="Arial" w:hAnsi="Arial" w:cs="Arial"/>
          <w:lang w:val="hr-HR"/>
        </w:rPr>
        <w:t>Nacionalni plan za implementaciju Stokholmske konvencije</w:t>
      </w:r>
      <w:r w:rsidR="00FC32CE">
        <w:rPr>
          <w:rFonts w:ascii="Arial" w:hAnsi="Arial" w:cs="Arial"/>
          <w:lang w:val="hr-HR"/>
        </w:rPr>
        <w:t>, za period 2025-2026. godine</w:t>
      </w:r>
      <w:r w:rsidR="00FC32CE" w:rsidRPr="002A6F4E">
        <w:rPr>
          <w:rFonts w:ascii="Arial" w:hAnsi="Arial" w:cs="Arial"/>
          <w:lang w:val="hr-HR"/>
        </w:rPr>
        <w:t xml:space="preserve"> </w:t>
      </w:r>
      <w:r w:rsidR="00FC32CE">
        <w:rPr>
          <w:rFonts w:ascii="Arial" w:hAnsi="Arial" w:cs="Arial"/>
          <w:lang w:val="hr-HR"/>
        </w:rPr>
        <w:t xml:space="preserve">je trenutno u izradi i biće </w:t>
      </w:r>
      <w:r w:rsidR="007275A6">
        <w:rPr>
          <w:rFonts w:ascii="Arial" w:hAnsi="Arial" w:cs="Arial"/>
          <w:lang w:val="hr-HR"/>
        </w:rPr>
        <w:t xml:space="preserve">završen </w:t>
      </w:r>
      <w:r w:rsidR="00FC32CE">
        <w:rPr>
          <w:rFonts w:ascii="Arial" w:hAnsi="Arial" w:cs="Arial"/>
          <w:lang w:val="hr-HR"/>
        </w:rPr>
        <w:t>do kraja 2025 godine.</w:t>
      </w:r>
    </w:p>
    <w:p w14:paraId="38F4E0EC" w14:textId="67FEAFAF" w:rsidR="009316F8" w:rsidRPr="00212FBD" w:rsidRDefault="00C10D04" w:rsidP="007378E8">
      <w:pPr>
        <w:pStyle w:val="Heading3"/>
        <w:rPr>
          <w:lang w:val="sq-AL"/>
        </w:rPr>
      </w:pPr>
      <w:bookmarkStart w:id="1414" w:name="_Toc189759780"/>
      <w:bookmarkStart w:id="1415" w:name="_Toc193354076"/>
      <w:bookmarkEnd w:id="1413"/>
      <w:r w:rsidRPr="00212FBD">
        <w:rPr>
          <w:lang w:val="sq-AL"/>
        </w:rPr>
        <w:t>6.12.4</w:t>
      </w:r>
      <w:r w:rsidR="009316F8" w:rsidRPr="00212FBD">
        <w:rPr>
          <w:lang w:val="sq-AL"/>
        </w:rPr>
        <w:t>. Otpad koji sadrži živu</w:t>
      </w:r>
      <w:bookmarkEnd w:id="1414"/>
      <w:bookmarkEnd w:id="1415"/>
    </w:p>
    <w:p w14:paraId="547A0CFB" w14:textId="528ADE16" w:rsidR="009316F8" w:rsidRPr="005A73C4" w:rsidRDefault="009316F8" w:rsidP="005A73C4">
      <w:pPr>
        <w:autoSpaceDE w:val="0"/>
        <w:autoSpaceDN w:val="0"/>
        <w:adjustRightInd w:val="0"/>
        <w:spacing w:before="120" w:after="120" w:line="360" w:lineRule="auto"/>
        <w:rPr>
          <w:rFonts w:ascii="Arial" w:hAnsi="Arial" w:cs="Arial"/>
          <w:lang w:val="sq-AL"/>
        </w:rPr>
      </w:pPr>
      <w:r w:rsidRPr="002A6F4E">
        <w:rPr>
          <w:rFonts w:ascii="Arial" w:hAnsi="Arial" w:cs="Arial"/>
          <w:lang w:val="sq-AL"/>
        </w:rPr>
        <w:t xml:space="preserve">Za tok otpada koji sadrži živu koji nastaje u Crnoj Gori </w:t>
      </w:r>
      <w:r w:rsidR="00C43645">
        <w:rPr>
          <w:rFonts w:ascii="Arial" w:hAnsi="Arial" w:cs="Arial"/>
          <w:lang w:val="sq-AL"/>
        </w:rPr>
        <w:t>u</w:t>
      </w:r>
      <w:r w:rsidR="00C43645" w:rsidRPr="00631D61">
        <w:rPr>
          <w:rFonts w:ascii="Arial" w:hAnsi="Arial" w:cs="Arial"/>
          <w:lang w:val="sq-AL"/>
        </w:rPr>
        <w:t xml:space="preserve"> toku je</w:t>
      </w:r>
      <w:r w:rsidR="00C43645">
        <w:rPr>
          <w:rFonts w:ascii="Arial" w:hAnsi="Arial" w:cs="Arial"/>
          <w:lang w:val="sq-AL"/>
        </w:rPr>
        <w:t xml:space="preserve"> izrada novog Akcionog plana koji će obuhvatiti period od dvije godine</w:t>
      </w:r>
      <w:r w:rsidR="005A73C4">
        <w:rPr>
          <w:rFonts w:ascii="Arial" w:hAnsi="Arial" w:cs="Arial"/>
          <w:lang w:val="sq-AL"/>
        </w:rPr>
        <w:t xml:space="preserve"> i i</w:t>
      </w:r>
      <w:r w:rsidRPr="005A73C4">
        <w:rPr>
          <w:rFonts w:ascii="Arial" w:hAnsi="Arial" w:cs="Arial"/>
          <w:lang w:val="sq-AL"/>
        </w:rPr>
        <w:t>mplementacija odredbi Akcionog plana, identifikovanih u “Nacionalnom planu implementacije Minamatske konvencije o živi, s Akcionim planom za period 2022-2023 i Izvještajem o Minamata inicijalnoj procjeni“.</w:t>
      </w:r>
      <w:r w:rsidR="004A6A04" w:rsidRPr="005A73C4">
        <w:rPr>
          <w:rFonts w:ascii="Arial" w:hAnsi="Arial" w:cs="Arial"/>
          <w:lang w:val="sq-AL"/>
        </w:rPr>
        <w:t xml:space="preserve"> </w:t>
      </w:r>
    </w:p>
    <w:p w14:paraId="6950CBE7" w14:textId="0BCD7627" w:rsidR="00377063" w:rsidRPr="002A6F4E" w:rsidRDefault="006C693A" w:rsidP="00F57909">
      <w:pPr>
        <w:pStyle w:val="Heading2"/>
      </w:pPr>
      <w:bookmarkStart w:id="1416" w:name="_Toc193354077"/>
      <w:r w:rsidRPr="002A6F4E">
        <w:lastRenderedPageBreak/>
        <w:t>6.1</w:t>
      </w:r>
      <w:r w:rsidR="00C10D04" w:rsidRPr="002A6F4E">
        <w:t>3</w:t>
      </w:r>
      <w:r w:rsidRPr="002A6F4E">
        <w:t xml:space="preserve">. </w:t>
      </w:r>
      <w:r w:rsidR="00377063" w:rsidRPr="002A6F4E">
        <w:t>Sprečavanje stvaranja opasnog otpada</w:t>
      </w:r>
      <w:bookmarkEnd w:id="1416"/>
    </w:p>
    <w:p w14:paraId="5BAB4B23" w14:textId="643A6D03" w:rsidR="00377063" w:rsidRPr="002A6F4E" w:rsidRDefault="00377063" w:rsidP="00377063">
      <w:pPr>
        <w:spacing w:before="120" w:after="120" w:line="360" w:lineRule="auto"/>
        <w:rPr>
          <w:rFonts w:ascii="Arial" w:hAnsi="Arial" w:cs="Arial"/>
          <w:lang w:val="sq-AL"/>
        </w:rPr>
      </w:pPr>
      <w:r w:rsidRPr="002A6F4E">
        <w:rPr>
          <w:rFonts w:ascii="Arial" w:hAnsi="Arial" w:cs="Arial"/>
          <w:lang w:val="sq-AL"/>
        </w:rPr>
        <w:t xml:space="preserve">Prevencija je na vrhu hijerarhije otpada i predstavlja željeni pristup upravljanju materijalima i alternativu </w:t>
      </w:r>
      <w:r w:rsidR="004A6A04">
        <w:rPr>
          <w:rFonts w:ascii="Arial" w:hAnsi="Arial" w:cs="Arial"/>
          <w:lang w:val="sq-AL"/>
        </w:rPr>
        <w:t xml:space="preserve">iskorišćenju </w:t>
      </w:r>
      <w:r w:rsidRPr="002A6F4E">
        <w:rPr>
          <w:rFonts w:ascii="Arial" w:hAnsi="Arial" w:cs="Arial"/>
          <w:lang w:val="sq-AL"/>
        </w:rPr>
        <w:t xml:space="preserve">materijala ili resursa. “Prevencija” znači mjere preduzete prije nego što supstanca, materijal ili proizvod postanu otpad, a koje smanjuju: </w:t>
      </w:r>
    </w:p>
    <w:p w14:paraId="556E5EF9" w14:textId="77777777" w:rsidR="00377063" w:rsidRPr="002A6F4E" w:rsidRDefault="00377063" w:rsidP="00A23ED0">
      <w:pPr>
        <w:pStyle w:val="ListParagraph"/>
        <w:numPr>
          <w:ilvl w:val="0"/>
          <w:numId w:val="80"/>
        </w:numPr>
        <w:spacing w:before="120" w:after="120" w:line="360" w:lineRule="auto"/>
        <w:contextualSpacing w:val="0"/>
        <w:rPr>
          <w:rFonts w:ascii="Arial" w:hAnsi="Arial" w:cs="Arial"/>
          <w:lang w:val="sq-AL"/>
        </w:rPr>
      </w:pPr>
      <w:r w:rsidRPr="002A6F4E">
        <w:rPr>
          <w:rFonts w:ascii="Arial" w:hAnsi="Arial" w:cs="Arial"/>
          <w:lang w:val="sq-AL"/>
        </w:rPr>
        <w:t xml:space="preserve">Količinu otpada, uključujući ponovnu upotrebu proizvoda ili produženje životnog vijeka proizvoda; </w:t>
      </w:r>
    </w:p>
    <w:p w14:paraId="063E4775" w14:textId="51434CF2" w:rsidR="00377063" w:rsidRPr="002A6F4E" w:rsidRDefault="00727A82" w:rsidP="00A23ED0">
      <w:pPr>
        <w:pStyle w:val="ListParagraph"/>
        <w:numPr>
          <w:ilvl w:val="0"/>
          <w:numId w:val="80"/>
        </w:numPr>
        <w:spacing w:before="120" w:after="120" w:line="360" w:lineRule="auto"/>
        <w:contextualSpacing w:val="0"/>
        <w:rPr>
          <w:rFonts w:ascii="Arial" w:hAnsi="Arial" w:cs="Arial"/>
          <w:lang w:val="sq-AL"/>
        </w:rPr>
      </w:pPr>
      <w:r>
        <w:rPr>
          <w:rFonts w:ascii="Arial" w:hAnsi="Arial" w:cs="Arial"/>
          <w:lang w:val="sq-AL"/>
        </w:rPr>
        <w:t>Negativne</w:t>
      </w:r>
      <w:r w:rsidRPr="002A6F4E">
        <w:rPr>
          <w:rFonts w:ascii="Arial" w:hAnsi="Arial" w:cs="Arial"/>
          <w:lang w:val="sq-AL"/>
        </w:rPr>
        <w:t xml:space="preserve"> </w:t>
      </w:r>
      <w:r w:rsidR="00377063" w:rsidRPr="002A6F4E">
        <w:rPr>
          <w:rFonts w:ascii="Arial" w:hAnsi="Arial" w:cs="Arial"/>
          <w:lang w:val="sq-AL"/>
        </w:rPr>
        <w:t>uticaj</w:t>
      </w:r>
      <w:r w:rsidR="00631D61">
        <w:rPr>
          <w:rFonts w:ascii="Arial" w:hAnsi="Arial" w:cs="Arial"/>
          <w:lang w:val="sq-AL"/>
        </w:rPr>
        <w:t xml:space="preserve">e </w:t>
      </w:r>
      <w:r w:rsidR="00377063" w:rsidRPr="002A6F4E">
        <w:rPr>
          <w:rFonts w:ascii="Arial" w:hAnsi="Arial" w:cs="Arial"/>
          <w:lang w:val="sq-AL"/>
        </w:rPr>
        <w:t xml:space="preserve">generisanog otpada na životnu sredinu i zdravlje ljudi; </w:t>
      </w:r>
    </w:p>
    <w:p w14:paraId="1E48148B" w14:textId="77777777" w:rsidR="00377063" w:rsidRPr="002A6F4E" w:rsidRDefault="00377063" w:rsidP="00A23ED0">
      <w:pPr>
        <w:pStyle w:val="ListParagraph"/>
        <w:numPr>
          <w:ilvl w:val="0"/>
          <w:numId w:val="80"/>
        </w:numPr>
        <w:spacing w:before="120" w:after="120" w:line="360" w:lineRule="auto"/>
        <w:contextualSpacing w:val="0"/>
        <w:rPr>
          <w:rFonts w:ascii="Arial" w:hAnsi="Arial" w:cs="Arial"/>
          <w:lang w:val="sq-AL"/>
        </w:rPr>
      </w:pPr>
      <w:r w:rsidRPr="002A6F4E">
        <w:rPr>
          <w:rFonts w:ascii="Arial" w:hAnsi="Arial" w:cs="Arial"/>
          <w:lang w:val="sq-AL"/>
        </w:rPr>
        <w:t>Sadržaj štetnih materija u materijalima i proizvodima.</w:t>
      </w:r>
    </w:p>
    <w:p w14:paraId="4E48E572" w14:textId="77777777" w:rsidR="00377063" w:rsidRPr="002A6F4E" w:rsidRDefault="00377063" w:rsidP="00377063">
      <w:pPr>
        <w:spacing w:before="120" w:after="120" w:line="360" w:lineRule="auto"/>
        <w:rPr>
          <w:rFonts w:ascii="Arial" w:hAnsi="Arial" w:cs="Arial"/>
          <w:lang w:val="sq-AL"/>
        </w:rPr>
      </w:pPr>
      <w:r w:rsidRPr="002A6F4E">
        <w:rPr>
          <w:rFonts w:ascii="Arial" w:hAnsi="Arial" w:cs="Arial"/>
          <w:lang w:val="sq-AL"/>
        </w:rPr>
        <w:t>Postoji nekoliko alata koji se mogu koristiti kako bi se postiglo smanjenje stvaranja opasnog otpada, od kojih neki uključuju:</w:t>
      </w:r>
    </w:p>
    <w:p w14:paraId="5D973528" w14:textId="77777777" w:rsidR="00377063" w:rsidRPr="002A6F4E" w:rsidRDefault="00377063" w:rsidP="00A23ED0">
      <w:pPr>
        <w:pStyle w:val="ListParagraph"/>
        <w:numPr>
          <w:ilvl w:val="0"/>
          <w:numId w:val="80"/>
        </w:numPr>
        <w:spacing w:before="120" w:after="120" w:line="360" w:lineRule="auto"/>
        <w:contextualSpacing w:val="0"/>
        <w:rPr>
          <w:rFonts w:ascii="Arial" w:hAnsi="Arial" w:cs="Arial"/>
          <w:lang w:val="sq-AL"/>
        </w:rPr>
      </w:pPr>
      <w:r w:rsidRPr="002A6F4E">
        <w:rPr>
          <w:rFonts w:ascii="Arial" w:hAnsi="Arial" w:cs="Arial"/>
          <w:lang w:val="sq-AL"/>
        </w:rPr>
        <w:t>Izradu planova, studija i radionica za specifične sektore o usvajanju i implementaciji mjera prevencije otpada (npr. zamjena materijala);</w:t>
      </w:r>
    </w:p>
    <w:p w14:paraId="0CDF2B35" w14:textId="1DEBCD03" w:rsidR="00377063" w:rsidRPr="002A6F4E" w:rsidRDefault="00377063" w:rsidP="00A23ED0">
      <w:pPr>
        <w:pStyle w:val="ListParagraph"/>
        <w:numPr>
          <w:ilvl w:val="0"/>
          <w:numId w:val="80"/>
        </w:numPr>
        <w:spacing w:before="120" w:after="120" w:line="360" w:lineRule="auto"/>
        <w:contextualSpacing w:val="0"/>
        <w:rPr>
          <w:rFonts w:ascii="Arial" w:hAnsi="Arial" w:cs="Arial"/>
          <w:lang w:val="sq-AL"/>
        </w:rPr>
      </w:pPr>
      <w:r w:rsidRPr="002A6F4E">
        <w:rPr>
          <w:rFonts w:ascii="Arial" w:hAnsi="Arial" w:cs="Arial"/>
          <w:lang w:val="sq-AL"/>
        </w:rPr>
        <w:t>Uslove za sprečavanje nastanka otpada u industrijske dozvole;</w:t>
      </w:r>
    </w:p>
    <w:p w14:paraId="68894467" w14:textId="3C0C056A" w:rsidR="00377063" w:rsidRPr="002A6F4E" w:rsidRDefault="00631D61" w:rsidP="00A23ED0">
      <w:pPr>
        <w:pStyle w:val="ListParagraph"/>
        <w:numPr>
          <w:ilvl w:val="0"/>
          <w:numId w:val="80"/>
        </w:numPr>
        <w:spacing w:before="120" w:after="120" w:line="360" w:lineRule="auto"/>
        <w:contextualSpacing w:val="0"/>
        <w:rPr>
          <w:rFonts w:ascii="Arial" w:hAnsi="Arial" w:cs="Arial"/>
          <w:lang w:val="sq-AL"/>
        </w:rPr>
      </w:pPr>
      <w:r>
        <w:rPr>
          <w:rFonts w:ascii="Arial" w:hAnsi="Arial" w:cs="Arial"/>
          <w:lang w:val="sq-AL"/>
        </w:rPr>
        <w:t>Obrazovanje radne</w:t>
      </w:r>
      <w:r w:rsidR="00377063" w:rsidRPr="002A6F4E">
        <w:rPr>
          <w:rFonts w:ascii="Arial" w:hAnsi="Arial" w:cs="Arial"/>
          <w:lang w:val="sq-AL"/>
        </w:rPr>
        <w:t xml:space="preserve"> grupe za </w:t>
      </w:r>
      <w:r>
        <w:rPr>
          <w:rFonts w:ascii="Arial" w:hAnsi="Arial" w:cs="Arial"/>
          <w:lang w:val="sq-AL"/>
        </w:rPr>
        <w:t>monitoring</w:t>
      </w:r>
      <w:r w:rsidR="00377063" w:rsidRPr="002A6F4E">
        <w:rPr>
          <w:rFonts w:ascii="Arial" w:hAnsi="Arial" w:cs="Arial"/>
          <w:lang w:val="sq-AL"/>
        </w:rPr>
        <w:t xml:space="preserve"> i savjetovanje za svaki relevantni sektor sa predstavnicima sektora, regulatornih i drugih organizacija da bi se pristupilo razvoju ciljeva, zadataka i sredstava prevencije otpada;</w:t>
      </w:r>
    </w:p>
    <w:p w14:paraId="75120D70" w14:textId="77777777" w:rsidR="00377063" w:rsidRPr="002A6F4E" w:rsidRDefault="00377063" w:rsidP="00A23ED0">
      <w:pPr>
        <w:pStyle w:val="ListParagraph"/>
        <w:numPr>
          <w:ilvl w:val="0"/>
          <w:numId w:val="80"/>
        </w:numPr>
        <w:spacing w:before="120" w:after="120" w:line="360" w:lineRule="auto"/>
        <w:contextualSpacing w:val="0"/>
        <w:rPr>
          <w:rFonts w:ascii="Arial" w:hAnsi="Arial" w:cs="Arial"/>
          <w:lang w:val="sq-AL"/>
        </w:rPr>
      </w:pPr>
      <w:r w:rsidRPr="002A6F4E">
        <w:rPr>
          <w:rFonts w:ascii="Arial" w:hAnsi="Arial" w:cs="Arial"/>
          <w:lang w:val="sq-AL"/>
        </w:rPr>
        <w:t>Promovisanje saradnje između industrijskih sektora i industrijske simbioze kroz uspostavljanje radnih grupa.</w:t>
      </w:r>
    </w:p>
    <w:p w14:paraId="509A82B7" w14:textId="7E3AABE3" w:rsidR="00377063" w:rsidRPr="002A6F4E" w:rsidRDefault="00C10D04" w:rsidP="00F57909">
      <w:pPr>
        <w:pStyle w:val="Heading2"/>
      </w:pPr>
      <w:bookmarkStart w:id="1417" w:name="_Toc189759782"/>
      <w:bookmarkStart w:id="1418" w:name="_Toc193354078"/>
      <w:r w:rsidRPr="002A6F4E">
        <w:t>6.14</w:t>
      </w:r>
      <w:r w:rsidR="00377063" w:rsidRPr="002A6F4E">
        <w:t>. Sakupljanje i skladištenje</w:t>
      </w:r>
      <w:bookmarkEnd w:id="1417"/>
      <w:r w:rsidR="00A03E83">
        <w:t xml:space="preserve"> opasnog otpada</w:t>
      </w:r>
      <w:bookmarkEnd w:id="1418"/>
    </w:p>
    <w:p w14:paraId="5295783A" w14:textId="7A24B18C" w:rsidR="00377063" w:rsidRPr="002A6F4E" w:rsidRDefault="00377063" w:rsidP="00377063">
      <w:pPr>
        <w:spacing w:before="120" w:after="120" w:line="360" w:lineRule="auto"/>
        <w:rPr>
          <w:rFonts w:ascii="Arial" w:hAnsi="Arial" w:cs="Arial"/>
          <w:lang w:val="sq-AL"/>
        </w:rPr>
      </w:pPr>
      <w:r w:rsidRPr="002A6F4E">
        <w:rPr>
          <w:rFonts w:ascii="Arial" w:hAnsi="Arial" w:cs="Arial"/>
          <w:lang w:val="sq-AL"/>
        </w:rPr>
        <w:t xml:space="preserve">Prvi korak ka implementaciji integrisanog sistema upravljanja opasnim otpadom je uspostavljanje mreže za sakupljanje opasnog otpada, kojom upravljaju ovlašćeni operateri. Konkretnije, svaki proizvođač opasnog otpada treba da vodi računa o </w:t>
      </w:r>
      <w:r w:rsidR="00727A82">
        <w:rPr>
          <w:rFonts w:ascii="Arial" w:hAnsi="Arial" w:cs="Arial"/>
          <w:lang w:val="sq-AL"/>
        </w:rPr>
        <w:t>sa</w:t>
      </w:r>
      <w:r w:rsidRPr="002A6F4E">
        <w:rPr>
          <w:rFonts w:ascii="Arial" w:hAnsi="Arial" w:cs="Arial"/>
          <w:lang w:val="sq-AL"/>
        </w:rPr>
        <w:t>ikupljanju i prenosu opasnog otpada koji proizvodi u licencirano</w:t>
      </w:r>
      <w:r w:rsidR="00631D61">
        <w:rPr>
          <w:rFonts w:ascii="Arial" w:hAnsi="Arial" w:cs="Arial"/>
          <w:lang w:val="sq-AL"/>
        </w:rPr>
        <w:t>m</w:t>
      </w:r>
      <w:r w:rsidRPr="002A6F4E">
        <w:rPr>
          <w:rFonts w:ascii="Arial" w:hAnsi="Arial" w:cs="Arial"/>
          <w:lang w:val="sq-AL"/>
        </w:rPr>
        <w:t xml:space="preserve"> postrojenj</w:t>
      </w:r>
      <w:r w:rsidR="00631D61">
        <w:rPr>
          <w:rFonts w:ascii="Arial" w:hAnsi="Arial" w:cs="Arial"/>
          <w:lang w:val="sq-AL"/>
        </w:rPr>
        <w:t>u</w:t>
      </w:r>
      <w:r w:rsidRPr="002A6F4E">
        <w:rPr>
          <w:rFonts w:ascii="Arial" w:hAnsi="Arial" w:cs="Arial"/>
          <w:lang w:val="sq-AL"/>
        </w:rPr>
        <w:t xml:space="preserve"> za</w:t>
      </w:r>
      <w:r w:rsidR="00631D61">
        <w:rPr>
          <w:rFonts w:ascii="Arial" w:hAnsi="Arial" w:cs="Arial"/>
          <w:lang w:val="sq-AL"/>
        </w:rPr>
        <w:t xml:space="preserve"> obradu.</w:t>
      </w:r>
    </w:p>
    <w:p w14:paraId="4B32296E" w14:textId="77777777" w:rsidR="00377063" w:rsidRPr="002A6F4E" w:rsidRDefault="00377063" w:rsidP="00377063">
      <w:pPr>
        <w:spacing w:before="120" w:after="120" w:line="360" w:lineRule="auto"/>
        <w:rPr>
          <w:rFonts w:ascii="Arial" w:hAnsi="Arial" w:cs="Arial"/>
          <w:lang w:val="sq-AL"/>
        </w:rPr>
      </w:pPr>
      <w:r w:rsidRPr="002A6F4E">
        <w:rPr>
          <w:rFonts w:ascii="Arial" w:hAnsi="Arial" w:cs="Arial"/>
          <w:lang w:val="sq-AL"/>
        </w:rPr>
        <w:t>U ovom okviru, proizvođač opasnog otpada treba da:</w:t>
      </w:r>
    </w:p>
    <w:p w14:paraId="5E6C2B10" w14:textId="77777777" w:rsidR="00377063" w:rsidRPr="002A6F4E" w:rsidRDefault="00377063" w:rsidP="00A23ED0">
      <w:pPr>
        <w:pStyle w:val="ListParagraph"/>
        <w:numPr>
          <w:ilvl w:val="0"/>
          <w:numId w:val="80"/>
        </w:numPr>
        <w:spacing w:before="120" w:after="120" w:line="360" w:lineRule="auto"/>
        <w:contextualSpacing w:val="0"/>
        <w:rPr>
          <w:rFonts w:ascii="Arial" w:hAnsi="Arial" w:cs="Arial"/>
          <w:lang w:val="sq-AL"/>
        </w:rPr>
      </w:pPr>
      <w:r w:rsidRPr="002A6F4E">
        <w:rPr>
          <w:rFonts w:ascii="Arial" w:hAnsi="Arial" w:cs="Arial"/>
          <w:lang w:val="sq-AL"/>
        </w:rPr>
        <w:t>Osigura odvojeno sakupljanje opasnog otpada;</w:t>
      </w:r>
    </w:p>
    <w:p w14:paraId="76BCF74D" w14:textId="3B022A54" w:rsidR="00377063" w:rsidRPr="002A6F4E" w:rsidRDefault="00377063" w:rsidP="00A23ED0">
      <w:pPr>
        <w:pStyle w:val="ListParagraph"/>
        <w:numPr>
          <w:ilvl w:val="0"/>
          <w:numId w:val="80"/>
        </w:numPr>
        <w:spacing w:before="120" w:after="120" w:line="360" w:lineRule="auto"/>
        <w:contextualSpacing w:val="0"/>
        <w:rPr>
          <w:rFonts w:ascii="Arial" w:hAnsi="Arial" w:cs="Arial"/>
          <w:lang w:val="sq-AL"/>
        </w:rPr>
      </w:pPr>
      <w:r w:rsidRPr="002A6F4E">
        <w:rPr>
          <w:rFonts w:ascii="Arial" w:hAnsi="Arial" w:cs="Arial"/>
          <w:lang w:val="sq-AL"/>
        </w:rPr>
        <w:t>Ne miješa</w:t>
      </w:r>
      <w:r w:rsidR="00631D61">
        <w:rPr>
          <w:rFonts w:ascii="Arial" w:hAnsi="Arial" w:cs="Arial"/>
          <w:lang w:val="sq-AL"/>
        </w:rPr>
        <w:t xml:space="preserve"> </w:t>
      </w:r>
      <w:r w:rsidRPr="002A6F4E">
        <w:rPr>
          <w:rFonts w:ascii="Arial" w:hAnsi="Arial" w:cs="Arial"/>
          <w:lang w:val="sq-AL"/>
        </w:rPr>
        <w:t>opasan otpad sa drugim otpadom, a posebno komunalnim otpadom i drugim opasnim otpadom, materijalima ili supstancama</w:t>
      </w:r>
      <w:r w:rsidR="00631D61">
        <w:rPr>
          <w:rFonts w:ascii="Arial" w:hAnsi="Arial" w:cs="Arial"/>
          <w:lang w:val="sq-AL"/>
        </w:rPr>
        <w:t>.</w:t>
      </w:r>
    </w:p>
    <w:p w14:paraId="1A97BF1A" w14:textId="7ADB58FA" w:rsidR="00377063" w:rsidRPr="002A6F4E" w:rsidRDefault="00377063" w:rsidP="00377063">
      <w:pPr>
        <w:spacing w:before="120" w:after="120" w:line="360" w:lineRule="auto"/>
        <w:rPr>
          <w:rFonts w:ascii="Arial" w:hAnsi="Arial" w:cs="Arial"/>
          <w:lang w:val="sq-AL"/>
        </w:rPr>
      </w:pPr>
      <w:r w:rsidRPr="002A6F4E">
        <w:rPr>
          <w:rFonts w:ascii="Arial" w:hAnsi="Arial" w:cs="Arial"/>
          <w:lang w:val="sq-AL"/>
        </w:rPr>
        <w:t xml:space="preserve">Poseban akcenat će biti stavljen na industrijske zone širom zemlje. Trebalo bi razviti dovoljne mreže za </w:t>
      </w:r>
      <w:r w:rsidR="00631D61">
        <w:rPr>
          <w:rFonts w:ascii="Arial" w:hAnsi="Arial" w:cs="Arial"/>
          <w:lang w:val="sq-AL"/>
        </w:rPr>
        <w:t>saku</w:t>
      </w:r>
      <w:r w:rsidRPr="002A6F4E">
        <w:rPr>
          <w:rFonts w:ascii="Arial" w:hAnsi="Arial" w:cs="Arial"/>
          <w:lang w:val="sq-AL"/>
        </w:rPr>
        <w:t xml:space="preserve">pljanje otpada kako bi se pokrile barem oblasti sa značajnom industrijskom aktivnošću. U tom smislu, privatni sektor ili jedinice lokalne samouprave ili </w:t>
      </w:r>
      <w:r w:rsidR="00C416AF">
        <w:rPr>
          <w:rFonts w:ascii="Arial" w:hAnsi="Arial" w:cs="Arial"/>
          <w:lang w:val="sq-AL"/>
        </w:rPr>
        <w:t>j</w:t>
      </w:r>
      <w:r w:rsidR="00E511CC">
        <w:rPr>
          <w:rFonts w:ascii="Arial" w:hAnsi="Arial" w:cs="Arial"/>
          <w:lang w:val="sq-AL"/>
        </w:rPr>
        <w:t>avno</w:t>
      </w:r>
      <w:r w:rsidR="00C416AF">
        <w:rPr>
          <w:rFonts w:ascii="Arial" w:hAnsi="Arial" w:cs="Arial"/>
          <w:lang w:val="sq-AL"/>
        </w:rPr>
        <w:t>-</w:t>
      </w:r>
      <w:r w:rsidR="00E511CC">
        <w:rPr>
          <w:rFonts w:ascii="Arial" w:hAnsi="Arial" w:cs="Arial"/>
          <w:lang w:val="sq-AL"/>
        </w:rPr>
        <w:t>privatno partnerstvo,</w:t>
      </w:r>
      <w:r w:rsidRPr="002A6F4E">
        <w:rPr>
          <w:rFonts w:ascii="Arial" w:hAnsi="Arial" w:cs="Arial"/>
          <w:lang w:val="sq-AL"/>
        </w:rPr>
        <w:t xml:space="preserve"> će izgraditi privremene skladišne objekte u blizini intenzivne industrijske aktivnosti (npr. u industrijskim zonama), gdje će se opasni otpad skladištiti prije daljeg upravljanja.</w:t>
      </w:r>
    </w:p>
    <w:p w14:paraId="4A8AFF71" w14:textId="397A1F04" w:rsidR="00377063" w:rsidRPr="002A6F4E" w:rsidRDefault="00377063" w:rsidP="00377063">
      <w:pPr>
        <w:spacing w:before="120" w:after="120" w:line="360" w:lineRule="auto"/>
        <w:rPr>
          <w:rFonts w:ascii="Arial" w:hAnsi="Arial" w:cs="Arial"/>
          <w:lang w:val="sq-AL"/>
        </w:rPr>
      </w:pPr>
      <w:r w:rsidRPr="002A6F4E">
        <w:rPr>
          <w:rFonts w:ascii="Arial" w:hAnsi="Arial" w:cs="Arial"/>
          <w:lang w:val="sq-AL"/>
        </w:rPr>
        <w:t xml:space="preserve">Privremena skladišta biće dovoljna da pokriju i geografski i kvantitativno cijelu zemlju. Njihova tačna lokacija, broj i kapacitet će biti rezultat studija izvodljivosti koje će biti </w:t>
      </w:r>
      <w:r w:rsidR="009F0BC2">
        <w:rPr>
          <w:rFonts w:ascii="Arial" w:hAnsi="Arial" w:cs="Arial"/>
          <w:lang w:val="sq-AL"/>
        </w:rPr>
        <w:t>iz</w:t>
      </w:r>
      <w:r w:rsidRPr="002A6F4E">
        <w:rPr>
          <w:rFonts w:ascii="Arial" w:hAnsi="Arial" w:cs="Arial"/>
          <w:lang w:val="sq-AL"/>
        </w:rPr>
        <w:t xml:space="preserve">rađene. </w:t>
      </w:r>
      <w:r w:rsidR="009F0BC2">
        <w:rPr>
          <w:rFonts w:ascii="Arial" w:hAnsi="Arial" w:cs="Arial"/>
          <w:lang w:val="sq-AL"/>
        </w:rPr>
        <w:t>U p</w:t>
      </w:r>
      <w:r w:rsidRPr="002A6F4E">
        <w:rPr>
          <w:rFonts w:ascii="Arial" w:hAnsi="Arial" w:cs="Arial"/>
          <w:lang w:val="sq-AL"/>
        </w:rPr>
        <w:t>rivremeni</w:t>
      </w:r>
      <w:r w:rsidR="009F0BC2">
        <w:rPr>
          <w:rFonts w:ascii="Arial" w:hAnsi="Arial" w:cs="Arial"/>
          <w:lang w:val="sq-AL"/>
        </w:rPr>
        <w:t xml:space="preserve">m </w:t>
      </w:r>
      <w:r w:rsidRPr="002A6F4E">
        <w:rPr>
          <w:rFonts w:ascii="Arial" w:hAnsi="Arial" w:cs="Arial"/>
          <w:lang w:val="sq-AL"/>
        </w:rPr>
        <w:t>skladiš</w:t>
      </w:r>
      <w:r w:rsidR="009F0BC2">
        <w:rPr>
          <w:rFonts w:ascii="Arial" w:hAnsi="Arial" w:cs="Arial"/>
          <w:lang w:val="sq-AL"/>
        </w:rPr>
        <w:t>tima</w:t>
      </w:r>
      <w:r w:rsidRPr="002A6F4E">
        <w:rPr>
          <w:rFonts w:ascii="Arial" w:hAnsi="Arial" w:cs="Arial"/>
          <w:lang w:val="sq-AL"/>
        </w:rPr>
        <w:t xml:space="preserve"> </w:t>
      </w:r>
      <w:r w:rsidRPr="002A6F4E">
        <w:rPr>
          <w:rFonts w:ascii="Arial" w:hAnsi="Arial" w:cs="Arial"/>
          <w:lang w:val="sq-AL"/>
        </w:rPr>
        <w:lastRenderedPageBreak/>
        <w:t>će</w:t>
      </w:r>
      <w:r w:rsidR="009F0BC2">
        <w:rPr>
          <w:rFonts w:ascii="Arial" w:hAnsi="Arial" w:cs="Arial"/>
          <w:lang w:val="sq-AL"/>
        </w:rPr>
        <w:t xml:space="preserve"> se</w:t>
      </w:r>
      <w:r w:rsidRPr="002A6F4E">
        <w:rPr>
          <w:rFonts w:ascii="Arial" w:hAnsi="Arial" w:cs="Arial"/>
          <w:lang w:val="sq-AL"/>
        </w:rPr>
        <w:t xml:space="preserve"> skladištiti opasan otpad odvojeno od ostalih procesnih hemikalija ili proizvoda. Ako se skladište nekompatibilne vrste otpada, treba voditi računa o njihovom adekvatnom odvajanju, kako bi se spriječile moguće interakcije u slučaju požara ili prosipanja. Zapaljivi otpad i otpad koji </w:t>
      </w:r>
      <w:r w:rsidR="00E511CC">
        <w:rPr>
          <w:rFonts w:ascii="Arial" w:hAnsi="Arial" w:cs="Arial"/>
          <w:lang w:val="sq-AL"/>
        </w:rPr>
        <w:t xml:space="preserve">se </w:t>
      </w:r>
      <w:r w:rsidRPr="002A6F4E">
        <w:rPr>
          <w:rFonts w:ascii="Arial" w:hAnsi="Arial" w:cs="Arial"/>
          <w:lang w:val="sq-AL"/>
        </w:rPr>
        <w:t>sagor</w:t>
      </w:r>
      <w:r w:rsidR="00E511CC">
        <w:rPr>
          <w:rFonts w:ascii="Arial" w:hAnsi="Arial" w:cs="Arial"/>
          <w:lang w:val="sq-AL"/>
        </w:rPr>
        <w:t>i</w:t>
      </w:r>
      <w:r w:rsidRPr="002A6F4E">
        <w:rPr>
          <w:rFonts w:ascii="Arial" w:hAnsi="Arial" w:cs="Arial"/>
          <w:lang w:val="sq-AL"/>
        </w:rPr>
        <w:t xml:space="preserve">jeva u svakom slučaju moraju skladištiti odvojeno od ostalih otpadnih materijala. </w:t>
      </w:r>
    </w:p>
    <w:p w14:paraId="51767854" w14:textId="77777777" w:rsidR="00377063" w:rsidRPr="002A6F4E" w:rsidRDefault="00377063" w:rsidP="00377063">
      <w:pPr>
        <w:spacing w:before="120" w:after="120" w:line="360" w:lineRule="auto"/>
        <w:rPr>
          <w:rFonts w:ascii="Arial" w:hAnsi="Arial" w:cs="Arial"/>
          <w:lang w:val="sq-AL"/>
        </w:rPr>
      </w:pPr>
      <w:r w:rsidRPr="002A6F4E">
        <w:rPr>
          <w:rFonts w:ascii="Arial" w:hAnsi="Arial" w:cs="Arial"/>
          <w:lang w:val="sq-AL"/>
        </w:rPr>
        <w:t>Površina koju će svaki objekat zauzimati zavisi od količine i vrste otpada koji je predviđen za skladištenje. U svakom slučaju, predlaže se da postoji prostor za privremeno skladištenje otpada za najmanje 6 mjeseci do jedne godine. Svakako, vrijeme skladištenja će zavisiti od vrste i svojstava opasnog otpada koji će se skladištiti.</w:t>
      </w:r>
    </w:p>
    <w:p w14:paraId="48F30608" w14:textId="6CBC304F" w:rsidR="00377063" w:rsidRPr="002A6F4E" w:rsidRDefault="00377063" w:rsidP="00F57909">
      <w:pPr>
        <w:pStyle w:val="Heading2"/>
      </w:pPr>
      <w:bookmarkStart w:id="1419" w:name="_Toc536433558"/>
      <w:bookmarkStart w:id="1420" w:name="_Toc536433963"/>
      <w:bookmarkStart w:id="1421" w:name="_Toc121759153"/>
      <w:bookmarkStart w:id="1422" w:name="_Toc357219"/>
      <w:bookmarkStart w:id="1423" w:name="_Toc2786798"/>
      <w:bookmarkStart w:id="1424" w:name="_Toc3387195"/>
      <w:bookmarkStart w:id="1425" w:name="_Toc370104"/>
      <w:bookmarkStart w:id="1426" w:name="_Toc189759783"/>
      <w:bookmarkStart w:id="1427" w:name="_Toc193354079"/>
      <w:r w:rsidRPr="002A6F4E">
        <w:t xml:space="preserve">6.15. Prerada </w:t>
      </w:r>
      <w:r w:rsidR="00C3020C">
        <w:t xml:space="preserve"> i o</w:t>
      </w:r>
      <w:r w:rsidRPr="002A6F4E">
        <w:t>d</w:t>
      </w:r>
      <w:r w:rsidR="00727A82">
        <w:t>stranjivanje</w:t>
      </w:r>
      <w:bookmarkEnd w:id="1419"/>
      <w:bookmarkEnd w:id="1420"/>
      <w:bookmarkEnd w:id="1421"/>
      <w:bookmarkEnd w:id="1422"/>
      <w:bookmarkEnd w:id="1423"/>
      <w:bookmarkEnd w:id="1424"/>
      <w:bookmarkEnd w:id="1425"/>
      <w:bookmarkEnd w:id="1426"/>
      <w:bookmarkEnd w:id="1427"/>
    </w:p>
    <w:p w14:paraId="2E3B40BE" w14:textId="0A9628A2" w:rsidR="00377063" w:rsidRPr="002A6F4E" w:rsidRDefault="00377063" w:rsidP="00377063">
      <w:pPr>
        <w:spacing w:before="120" w:after="120" w:line="360" w:lineRule="auto"/>
        <w:rPr>
          <w:rFonts w:ascii="Arial" w:hAnsi="Arial" w:cs="Arial"/>
          <w:lang w:val="sq-AL"/>
        </w:rPr>
      </w:pPr>
      <w:r w:rsidRPr="002A6F4E">
        <w:rPr>
          <w:rFonts w:ascii="Arial" w:hAnsi="Arial" w:cs="Arial"/>
          <w:lang w:val="sq-AL"/>
        </w:rPr>
        <w:t>Integrisano upravljanje opasnim otpadom oslanja se na komplementarnost dostupnih praksi upravljanja, sa ciljem da se uvijek primjenjuju rješenja koja se nalaze na višim pozicijama u hijerarhiji upravljanja otpadom. Na taj način prevencija, priprema za ponovnu upotrebu, recikl</w:t>
      </w:r>
      <w:r w:rsidR="00727A82">
        <w:rPr>
          <w:rFonts w:ascii="Arial" w:hAnsi="Arial" w:cs="Arial"/>
          <w:lang w:val="sq-AL"/>
        </w:rPr>
        <w:t>iranje</w:t>
      </w:r>
      <w:r w:rsidRPr="002A6F4E">
        <w:rPr>
          <w:rFonts w:ascii="Arial" w:hAnsi="Arial" w:cs="Arial"/>
          <w:lang w:val="sq-AL"/>
        </w:rPr>
        <w:t xml:space="preserve"> i prerada su poželjniji od spaljivanja ili odlaganja otpada. </w:t>
      </w:r>
    </w:p>
    <w:p w14:paraId="322F78B7" w14:textId="7A678749" w:rsidR="00377063" w:rsidRPr="002A6F4E" w:rsidRDefault="00377063" w:rsidP="00377063">
      <w:pPr>
        <w:spacing w:before="120" w:after="120" w:line="360" w:lineRule="auto"/>
        <w:rPr>
          <w:rFonts w:ascii="Arial" w:hAnsi="Arial" w:cs="Arial"/>
          <w:lang w:val="sq-AL"/>
        </w:rPr>
      </w:pPr>
      <w:r w:rsidRPr="002A6F4E">
        <w:rPr>
          <w:rFonts w:ascii="Arial" w:hAnsi="Arial" w:cs="Arial"/>
          <w:lang w:val="sq-AL"/>
        </w:rPr>
        <w:t xml:space="preserve">Proces korak po korak u pogledu </w:t>
      </w:r>
      <w:r w:rsidR="00613244">
        <w:rPr>
          <w:rFonts w:ascii="Arial" w:hAnsi="Arial" w:cs="Arial"/>
          <w:lang w:val="sq-AL"/>
        </w:rPr>
        <w:t>unapređenja sistema obrade</w:t>
      </w:r>
      <w:r w:rsidRPr="002A6F4E">
        <w:rPr>
          <w:rFonts w:ascii="Arial" w:hAnsi="Arial" w:cs="Arial"/>
          <w:lang w:val="sq-AL"/>
        </w:rPr>
        <w:t xml:space="preserve"> opasnog otpada uključuje sljedeće:</w:t>
      </w:r>
    </w:p>
    <w:p w14:paraId="6236C717" w14:textId="77777777" w:rsidR="00377063" w:rsidRPr="002A6F4E" w:rsidRDefault="00377063" w:rsidP="00A23ED0">
      <w:pPr>
        <w:pStyle w:val="ListParagraph"/>
        <w:numPr>
          <w:ilvl w:val="0"/>
          <w:numId w:val="81"/>
        </w:numPr>
        <w:spacing w:before="120" w:after="120" w:line="360" w:lineRule="auto"/>
        <w:contextualSpacing w:val="0"/>
        <w:rPr>
          <w:rFonts w:ascii="Arial" w:hAnsi="Arial" w:cs="Arial"/>
          <w:lang w:val="sq-AL"/>
        </w:rPr>
      </w:pPr>
      <w:r w:rsidRPr="002A6F4E">
        <w:rPr>
          <w:rFonts w:ascii="Arial" w:hAnsi="Arial" w:cs="Arial"/>
          <w:lang w:val="sq-AL"/>
        </w:rPr>
        <w:t xml:space="preserve">Podsticanje proizvođača opasnog otpada da preduzmu potrebne mjere kako bi spriječili nastajanje opasnog otpada iz svojih aktivnosti; </w:t>
      </w:r>
    </w:p>
    <w:p w14:paraId="6A80A98D" w14:textId="77777777" w:rsidR="00377063" w:rsidRPr="002A6F4E" w:rsidRDefault="00377063" w:rsidP="00A23ED0">
      <w:pPr>
        <w:pStyle w:val="ListParagraph"/>
        <w:numPr>
          <w:ilvl w:val="0"/>
          <w:numId w:val="81"/>
        </w:numPr>
        <w:spacing w:before="120" w:after="120" w:line="360" w:lineRule="auto"/>
        <w:contextualSpacing w:val="0"/>
        <w:rPr>
          <w:rFonts w:ascii="Arial" w:hAnsi="Arial" w:cs="Arial"/>
          <w:lang w:val="sq-AL"/>
        </w:rPr>
      </w:pPr>
      <w:r w:rsidRPr="002A6F4E">
        <w:rPr>
          <w:rFonts w:ascii="Arial" w:hAnsi="Arial" w:cs="Arial"/>
          <w:lang w:val="sq-AL"/>
        </w:rPr>
        <w:t>Razvijanje potrebne mreže postrojenja za tretman opasnog otpada koji se ne može koristiti interno u objektima;</w:t>
      </w:r>
    </w:p>
    <w:p w14:paraId="64F56B26" w14:textId="77777777" w:rsidR="00377063" w:rsidRPr="002A6F4E" w:rsidRDefault="00377063" w:rsidP="00A23ED0">
      <w:pPr>
        <w:pStyle w:val="ListParagraph"/>
        <w:numPr>
          <w:ilvl w:val="0"/>
          <w:numId w:val="81"/>
        </w:numPr>
        <w:spacing w:before="120" w:after="120" w:line="360" w:lineRule="auto"/>
        <w:contextualSpacing w:val="0"/>
        <w:rPr>
          <w:rFonts w:ascii="Arial" w:hAnsi="Arial" w:cs="Arial"/>
          <w:lang w:val="sq-AL"/>
        </w:rPr>
      </w:pPr>
      <w:r w:rsidRPr="002A6F4E">
        <w:rPr>
          <w:rFonts w:ascii="Arial" w:hAnsi="Arial" w:cs="Arial"/>
          <w:lang w:val="sq-AL"/>
        </w:rPr>
        <w:t>Ako je primjenjivo, uključiti industrijske objekte u mrežu postrojenja za preradu opasnog otpada;</w:t>
      </w:r>
    </w:p>
    <w:p w14:paraId="361C8458" w14:textId="4163917E" w:rsidR="00377063" w:rsidRPr="002A6F4E" w:rsidRDefault="00377063" w:rsidP="00A23ED0">
      <w:pPr>
        <w:pStyle w:val="ListParagraph"/>
        <w:numPr>
          <w:ilvl w:val="0"/>
          <w:numId w:val="81"/>
        </w:numPr>
        <w:spacing w:before="120" w:after="120" w:line="360" w:lineRule="auto"/>
        <w:contextualSpacing w:val="0"/>
        <w:rPr>
          <w:rFonts w:ascii="Arial" w:hAnsi="Arial" w:cs="Arial"/>
          <w:lang w:val="sq-AL"/>
        </w:rPr>
      </w:pPr>
      <w:r w:rsidRPr="002A6F4E">
        <w:rPr>
          <w:rFonts w:ascii="Arial" w:hAnsi="Arial" w:cs="Arial"/>
          <w:lang w:val="sq-AL"/>
        </w:rPr>
        <w:t xml:space="preserve">Obezbijediti lokaciju za privremeno odlaganje opasnog otpada koji nije moguće </w:t>
      </w:r>
      <w:r w:rsidR="00613244" w:rsidRPr="002A6F4E">
        <w:rPr>
          <w:rFonts w:ascii="Arial" w:hAnsi="Arial" w:cs="Arial"/>
          <w:lang w:val="sq-AL"/>
        </w:rPr>
        <w:t xml:space="preserve">drugačije </w:t>
      </w:r>
      <w:r w:rsidR="00613244">
        <w:rPr>
          <w:rFonts w:ascii="Arial" w:hAnsi="Arial" w:cs="Arial"/>
          <w:lang w:val="sq-AL"/>
        </w:rPr>
        <w:t>obraditi</w:t>
      </w:r>
      <w:r w:rsidRPr="002A6F4E">
        <w:rPr>
          <w:rFonts w:ascii="Arial" w:hAnsi="Arial" w:cs="Arial"/>
          <w:lang w:val="sq-AL"/>
        </w:rPr>
        <w:t>i.</w:t>
      </w:r>
    </w:p>
    <w:p w14:paraId="7F0E0140" w14:textId="320EF313" w:rsidR="00377063" w:rsidRPr="002A6F4E" w:rsidRDefault="00613244" w:rsidP="00377063">
      <w:pPr>
        <w:spacing w:before="120" w:after="120" w:line="360" w:lineRule="auto"/>
        <w:rPr>
          <w:rFonts w:ascii="Arial" w:hAnsi="Arial" w:cs="Arial"/>
          <w:lang w:val="sq-AL"/>
        </w:rPr>
      </w:pPr>
      <w:r>
        <w:rPr>
          <w:rFonts w:ascii="Arial" w:hAnsi="Arial" w:cs="Arial"/>
          <w:lang w:val="sq-AL"/>
        </w:rPr>
        <w:t>O</w:t>
      </w:r>
      <w:r w:rsidR="00377063" w:rsidRPr="002A6F4E">
        <w:rPr>
          <w:rFonts w:ascii="Arial" w:hAnsi="Arial" w:cs="Arial"/>
          <w:lang w:val="sq-AL"/>
        </w:rPr>
        <w:t xml:space="preserve">bjekti za </w:t>
      </w:r>
      <w:r w:rsidR="001F0CCC">
        <w:rPr>
          <w:rFonts w:ascii="Arial" w:hAnsi="Arial" w:cs="Arial"/>
          <w:lang w:val="sq-AL"/>
        </w:rPr>
        <w:t>obradu</w:t>
      </w:r>
      <w:r w:rsidR="00377063" w:rsidRPr="002A6F4E">
        <w:rPr>
          <w:rFonts w:ascii="Arial" w:hAnsi="Arial" w:cs="Arial"/>
          <w:lang w:val="sq-AL"/>
        </w:rPr>
        <w:t xml:space="preserve"> opasnog otpada treba da:</w:t>
      </w:r>
    </w:p>
    <w:p w14:paraId="5752F9EC" w14:textId="77777777" w:rsidR="00377063" w:rsidRPr="002A6F4E" w:rsidRDefault="00377063" w:rsidP="00A23ED0">
      <w:pPr>
        <w:pStyle w:val="ListParagraph"/>
        <w:numPr>
          <w:ilvl w:val="0"/>
          <w:numId w:val="82"/>
        </w:numPr>
        <w:spacing w:before="120" w:after="120" w:line="360" w:lineRule="auto"/>
        <w:contextualSpacing w:val="0"/>
        <w:rPr>
          <w:rFonts w:ascii="Arial" w:hAnsi="Arial" w:cs="Arial"/>
          <w:lang w:val="sq-AL"/>
        </w:rPr>
      </w:pPr>
      <w:r w:rsidRPr="002A6F4E">
        <w:rPr>
          <w:rFonts w:ascii="Arial" w:hAnsi="Arial" w:cs="Arial"/>
          <w:lang w:val="sq-AL"/>
        </w:rPr>
        <w:t>Obezbijede dovoljne kapacitete za količine koje se stvaraju u Crnoj Gori;</w:t>
      </w:r>
    </w:p>
    <w:p w14:paraId="254AAE60" w14:textId="77777777" w:rsidR="00377063" w:rsidRPr="002A6F4E" w:rsidRDefault="00377063" w:rsidP="00A23ED0">
      <w:pPr>
        <w:pStyle w:val="ListParagraph"/>
        <w:numPr>
          <w:ilvl w:val="0"/>
          <w:numId w:val="82"/>
        </w:numPr>
        <w:spacing w:before="120" w:after="120" w:line="360" w:lineRule="auto"/>
        <w:contextualSpacing w:val="0"/>
        <w:rPr>
          <w:rFonts w:ascii="Arial" w:hAnsi="Arial" w:cs="Arial"/>
          <w:lang w:val="sq-AL"/>
        </w:rPr>
      </w:pPr>
      <w:r w:rsidRPr="002A6F4E">
        <w:rPr>
          <w:rFonts w:ascii="Arial" w:hAnsi="Arial" w:cs="Arial"/>
          <w:lang w:val="sq-AL"/>
        </w:rPr>
        <w:t>Razmotre proizvodne i prostorne uslove po principu blizine kako bi se smanjili troškovi;</w:t>
      </w:r>
    </w:p>
    <w:p w14:paraId="3D1051F9" w14:textId="77777777" w:rsidR="00377063" w:rsidRPr="002A6F4E" w:rsidRDefault="00377063" w:rsidP="00A23ED0">
      <w:pPr>
        <w:pStyle w:val="ListParagraph"/>
        <w:numPr>
          <w:ilvl w:val="0"/>
          <w:numId w:val="82"/>
        </w:numPr>
        <w:spacing w:before="120" w:after="120" w:line="360" w:lineRule="auto"/>
        <w:contextualSpacing w:val="0"/>
        <w:rPr>
          <w:rFonts w:ascii="Arial" w:hAnsi="Arial" w:cs="Arial"/>
          <w:lang w:val="sq-AL"/>
        </w:rPr>
      </w:pPr>
      <w:r w:rsidRPr="002A6F4E">
        <w:rPr>
          <w:rFonts w:ascii="Arial" w:hAnsi="Arial" w:cs="Arial"/>
          <w:lang w:val="sq-AL"/>
        </w:rPr>
        <w:t>Osiguraju tehničku i finansijsku održivost odabranih tehnologija;</w:t>
      </w:r>
    </w:p>
    <w:p w14:paraId="362580AB" w14:textId="77777777" w:rsidR="00377063" w:rsidRPr="002A6F4E" w:rsidRDefault="00377063" w:rsidP="00A23ED0">
      <w:pPr>
        <w:pStyle w:val="ListParagraph"/>
        <w:numPr>
          <w:ilvl w:val="0"/>
          <w:numId w:val="82"/>
        </w:numPr>
        <w:spacing w:before="120" w:after="120" w:line="360" w:lineRule="auto"/>
        <w:contextualSpacing w:val="0"/>
        <w:rPr>
          <w:rFonts w:ascii="Arial" w:hAnsi="Arial" w:cs="Arial"/>
          <w:lang w:val="sq-AL"/>
        </w:rPr>
      </w:pPr>
      <w:r w:rsidRPr="002A6F4E">
        <w:rPr>
          <w:rFonts w:ascii="Arial" w:hAnsi="Arial" w:cs="Arial"/>
          <w:lang w:val="sq-AL"/>
        </w:rPr>
        <w:t>Primijene najbolje dostupne tehnike.</w:t>
      </w:r>
    </w:p>
    <w:p w14:paraId="57C5F756" w14:textId="641171DF" w:rsidR="00377063" w:rsidRPr="002A6F4E" w:rsidRDefault="00377063" w:rsidP="00377063">
      <w:pPr>
        <w:spacing w:before="120" w:after="120" w:line="360" w:lineRule="auto"/>
        <w:rPr>
          <w:rFonts w:ascii="Arial" w:hAnsi="Arial" w:cs="Arial"/>
          <w:lang w:val="sq-AL"/>
        </w:rPr>
      </w:pPr>
      <w:r w:rsidRPr="002A6F4E">
        <w:rPr>
          <w:rFonts w:ascii="Arial" w:hAnsi="Arial" w:cs="Arial"/>
          <w:lang w:val="sq-AL"/>
        </w:rPr>
        <w:t xml:space="preserve">Kao što postoji mnogo vrsta opasnog otpada, tako postoji i mnogo načina na koje se otpadom može upravljati. Na primjer, postoji najmanje </w:t>
      </w:r>
      <w:r w:rsidR="00CB37DC">
        <w:rPr>
          <w:rFonts w:ascii="Arial" w:hAnsi="Arial" w:cs="Arial"/>
          <w:lang w:val="sq-AL"/>
        </w:rPr>
        <w:t>pedeset</w:t>
      </w:r>
      <w:r w:rsidR="00CB37DC" w:rsidRPr="002A6F4E">
        <w:rPr>
          <w:rFonts w:ascii="Arial" w:hAnsi="Arial" w:cs="Arial"/>
          <w:lang w:val="sq-AL"/>
        </w:rPr>
        <w:t xml:space="preserve"> </w:t>
      </w:r>
      <w:r w:rsidRPr="002A6F4E">
        <w:rPr>
          <w:rFonts w:ascii="Arial" w:hAnsi="Arial" w:cs="Arial"/>
          <w:lang w:val="sq-AL"/>
        </w:rPr>
        <w:t xml:space="preserve">komercijalno primijenjenih tehnologija za </w:t>
      </w:r>
      <w:r w:rsidR="001F0CCC">
        <w:rPr>
          <w:rFonts w:ascii="Arial" w:hAnsi="Arial" w:cs="Arial"/>
          <w:lang w:val="sq-AL"/>
        </w:rPr>
        <w:t xml:space="preserve">obradu </w:t>
      </w:r>
      <w:r w:rsidRPr="002A6F4E">
        <w:rPr>
          <w:rFonts w:ascii="Arial" w:hAnsi="Arial" w:cs="Arial"/>
          <w:lang w:val="sq-AL"/>
        </w:rPr>
        <w:t>opasnog otpada. Postrojenje za otpad može funkcionisati sa samo jednom tehnologijom ili može kombinovati više tehnologija, posebno ako je u pitanju komercijalno postrojenje koje opslužuje veći broj proizvođača otpada.</w:t>
      </w:r>
      <w:r w:rsidRPr="002A6F4E">
        <w:rPr>
          <w:rFonts w:ascii="Arial" w:eastAsia="Times New Roman" w:hAnsi="Arial" w:cs="Arial"/>
          <w:vertAlign w:val="superscript"/>
          <w:lang w:val="sq-AL" w:eastAsia="el-GR"/>
        </w:rPr>
        <w:footnoteReference w:id="48"/>
      </w:r>
    </w:p>
    <w:p w14:paraId="60AE8890" w14:textId="77777777" w:rsidR="00377063" w:rsidRPr="002A6F4E" w:rsidRDefault="00377063" w:rsidP="00377063">
      <w:pPr>
        <w:spacing w:before="120" w:after="120" w:line="360" w:lineRule="auto"/>
        <w:rPr>
          <w:rFonts w:ascii="Arial" w:hAnsi="Arial" w:cs="Arial"/>
          <w:lang w:val="sq-AL"/>
        </w:rPr>
      </w:pPr>
      <w:r w:rsidRPr="002A6F4E">
        <w:rPr>
          <w:rFonts w:ascii="Arial" w:hAnsi="Arial" w:cs="Arial"/>
          <w:lang w:val="sq-AL"/>
        </w:rPr>
        <w:t xml:space="preserve">Objekti za upravljanje opasnim otpadom obično, zbog tenderske obaveze, prihvataju sve vrste opasnog otpada za pravilno odlaganje bez obzira na konkurenciju. Međutim, neki namjenski objekti, koji mogu biti u </w:t>
      </w:r>
      <w:r w:rsidRPr="002A6F4E">
        <w:rPr>
          <w:rFonts w:ascii="Arial" w:hAnsi="Arial" w:cs="Arial"/>
          <w:lang w:val="sq-AL"/>
        </w:rPr>
        <w:lastRenderedPageBreak/>
        <w:t xml:space="preserve">konkurenciji za određene vrste otpada, trebalo bi da se </w:t>
      </w:r>
      <w:r w:rsidRPr="002A6F4E">
        <w:rPr>
          <w:rFonts w:ascii="Arial" w:hAnsi="Arial" w:cs="Arial"/>
          <w:lang w:val="sr-Latn-ME"/>
        </w:rPr>
        <w:t>nadmeću</w:t>
      </w:r>
      <w:r w:rsidRPr="002A6F4E">
        <w:rPr>
          <w:rFonts w:ascii="Arial" w:hAnsi="Arial" w:cs="Arial"/>
          <w:lang w:val="sq-AL"/>
        </w:rPr>
        <w:t xml:space="preserve"> samo za one opasne otpade sa kojima mogu da rukuju. U tom smislu, razvijene su različite konfiguracije za određena postrojenja za upravljanje opasnim otpadom i konkurentna postrojenja. </w:t>
      </w:r>
    </w:p>
    <w:p w14:paraId="2456A65A" w14:textId="2B38A104" w:rsidR="005B75CF" w:rsidRPr="001C25C6" w:rsidRDefault="00377063" w:rsidP="00377063">
      <w:pPr>
        <w:spacing w:before="120" w:after="120" w:line="360" w:lineRule="auto"/>
        <w:rPr>
          <w:rFonts w:ascii="Arial" w:hAnsi="Arial" w:cs="Arial"/>
          <w:lang w:val="sq-AL"/>
        </w:rPr>
      </w:pPr>
      <w:r w:rsidRPr="001C25C6">
        <w:rPr>
          <w:rFonts w:ascii="Arial" w:hAnsi="Arial" w:cs="Arial"/>
          <w:lang w:val="sq-AL"/>
        </w:rPr>
        <w:t>Potrebno je odrediti lokaciju za privremeno odlaganje opasnog otpada nastalog iz industrijskih procesa</w:t>
      </w:r>
      <w:r w:rsidR="00CA1B39" w:rsidRPr="001C25C6">
        <w:rPr>
          <w:rFonts w:ascii="Arial" w:hAnsi="Arial" w:cs="Arial"/>
          <w:lang w:val="sq-AL"/>
        </w:rPr>
        <w:t>, a koji se ne može preraditi u Crnoj Gori</w:t>
      </w:r>
      <w:r w:rsidRPr="001C25C6">
        <w:rPr>
          <w:rFonts w:ascii="Arial" w:hAnsi="Arial" w:cs="Arial"/>
          <w:lang w:val="sq-AL"/>
        </w:rPr>
        <w:t>, do njegovog izvoza. Predložena lokacija za privr</w:t>
      </w:r>
      <w:r w:rsidR="001F0CCC">
        <w:rPr>
          <w:rFonts w:ascii="Arial" w:hAnsi="Arial" w:cs="Arial"/>
          <w:lang w:val="sq-AL"/>
        </w:rPr>
        <w:t>e</w:t>
      </w:r>
      <w:r w:rsidRPr="001C25C6">
        <w:rPr>
          <w:rFonts w:ascii="Arial" w:hAnsi="Arial" w:cs="Arial"/>
          <w:lang w:val="sq-AL"/>
        </w:rPr>
        <w:t xml:space="preserve">meno odlaganje ove vrste otpada je na državnoj imovini, u sklopu </w:t>
      </w:r>
      <w:r w:rsidR="001F0CCC">
        <w:rPr>
          <w:rFonts w:ascii="Arial" w:hAnsi="Arial" w:cs="Arial"/>
          <w:lang w:val="sq-AL"/>
        </w:rPr>
        <w:t>KAP.</w:t>
      </w:r>
    </w:p>
    <w:p w14:paraId="52A6564F" w14:textId="43CD9872" w:rsidR="00377063" w:rsidRPr="005B75CF" w:rsidRDefault="00377063" w:rsidP="005B75CF">
      <w:pPr>
        <w:pStyle w:val="ListParagraph"/>
        <w:numPr>
          <w:ilvl w:val="0"/>
          <w:numId w:val="155"/>
        </w:numPr>
        <w:autoSpaceDE w:val="0"/>
        <w:autoSpaceDN w:val="0"/>
        <w:rPr>
          <w:rFonts w:ascii="Arial" w:hAnsi="Arial" w:cs="Arial"/>
          <w:b/>
          <w:bCs/>
          <w:color w:val="000000"/>
          <w:lang w:val="sq-AL"/>
        </w:rPr>
      </w:pPr>
      <w:r w:rsidRPr="005B75CF">
        <w:rPr>
          <w:rFonts w:ascii="Arial" w:hAnsi="Arial" w:cs="Arial"/>
          <w:b/>
          <w:bCs/>
          <w:color w:val="000000"/>
          <w:lang w:val="sq-AL"/>
        </w:rPr>
        <w:t>Uspostavlj</w:t>
      </w:r>
      <w:r w:rsidR="005B75CF" w:rsidRPr="005B75CF">
        <w:rPr>
          <w:rFonts w:ascii="Arial" w:hAnsi="Arial" w:cs="Arial"/>
          <w:b/>
          <w:bCs/>
          <w:color w:val="000000"/>
          <w:lang w:val="sq-AL"/>
        </w:rPr>
        <w:t>anje</w:t>
      </w:r>
      <w:r w:rsidRPr="005B75CF">
        <w:rPr>
          <w:rFonts w:ascii="Arial" w:hAnsi="Arial" w:cs="Arial"/>
          <w:b/>
          <w:bCs/>
          <w:color w:val="000000"/>
          <w:lang w:val="sq-AL"/>
        </w:rPr>
        <w:t xml:space="preserve"> sistem</w:t>
      </w:r>
      <w:r w:rsidR="005B75CF" w:rsidRPr="005B75CF">
        <w:rPr>
          <w:rFonts w:ascii="Arial" w:hAnsi="Arial" w:cs="Arial"/>
          <w:b/>
          <w:bCs/>
          <w:color w:val="000000"/>
          <w:lang w:val="sq-AL"/>
        </w:rPr>
        <w:t>a</w:t>
      </w:r>
      <w:r w:rsidRPr="005B75CF">
        <w:rPr>
          <w:rFonts w:ascii="Arial" w:hAnsi="Arial" w:cs="Arial"/>
          <w:b/>
          <w:bCs/>
          <w:color w:val="000000"/>
          <w:lang w:val="sq-AL"/>
        </w:rPr>
        <w:t xml:space="preserve"> održivog upravljanja opasnim otpadom </w:t>
      </w:r>
    </w:p>
    <w:p w14:paraId="786DE005" w14:textId="415E308B" w:rsidR="00377063" w:rsidRPr="005B75CF" w:rsidRDefault="00377063" w:rsidP="005B75CF">
      <w:pPr>
        <w:spacing w:before="120" w:after="120" w:line="360" w:lineRule="auto"/>
        <w:rPr>
          <w:rFonts w:ascii="Arial" w:hAnsi="Arial" w:cs="Arial"/>
          <w:lang w:val="sr-Latn-ME"/>
        </w:rPr>
      </w:pPr>
      <w:r w:rsidRPr="00085F71">
        <w:rPr>
          <w:rFonts w:ascii="Arial" w:hAnsi="Arial" w:cs="Arial"/>
          <w:lang w:val="sr-Latn-ME"/>
        </w:rPr>
        <w:t>Sprovođenje ovog cilja bazirano je na odredbama iz Okvirne EU direktive o otpadu 2008/98/EC</w:t>
      </w:r>
      <w:r w:rsidR="00CB37DC">
        <w:rPr>
          <w:rFonts w:ascii="Arial" w:hAnsi="Arial" w:cs="Arial"/>
          <w:lang w:val="sr-Latn-ME"/>
        </w:rPr>
        <w:t>,</w:t>
      </w:r>
      <w:r w:rsidRPr="00085F71">
        <w:rPr>
          <w:rFonts w:ascii="Arial" w:hAnsi="Arial" w:cs="Arial"/>
          <w:lang w:val="sr-Latn-ME"/>
        </w:rPr>
        <w:t xml:space="preserve"> dopunjene Direktivom (EU) 2018/851</w:t>
      </w:r>
      <w:r w:rsidR="00085F71" w:rsidRPr="00085F71">
        <w:rPr>
          <w:rFonts w:ascii="Arial" w:hAnsi="Arial" w:cs="Arial"/>
          <w:lang w:val="sr-Latn-ME"/>
        </w:rPr>
        <w:t>.</w:t>
      </w:r>
    </w:p>
    <w:p w14:paraId="2A380BDD" w14:textId="77777777" w:rsidR="00377063" w:rsidRPr="005B75CF" w:rsidRDefault="00377063" w:rsidP="005B75CF">
      <w:pPr>
        <w:pStyle w:val="ListParagraph"/>
        <w:numPr>
          <w:ilvl w:val="0"/>
          <w:numId w:val="155"/>
        </w:numPr>
        <w:autoSpaceDE w:val="0"/>
        <w:autoSpaceDN w:val="0"/>
        <w:rPr>
          <w:rFonts w:ascii="Arial" w:hAnsi="Arial" w:cs="Arial"/>
          <w:color w:val="000000"/>
          <w:lang w:val="sq-AL"/>
        </w:rPr>
      </w:pPr>
      <w:r w:rsidRPr="005B75CF">
        <w:rPr>
          <w:rFonts w:ascii="Arial" w:hAnsi="Arial" w:cs="Arial"/>
          <w:b/>
          <w:bCs/>
          <w:color w:val="000000"/>
          <w:lang w:val="sq-AL"/>
        </w:rPr>
        <w:t xml:space="preserve">Uspostavljanje mreže sakupljanja opasnog otpada iz domaćinstava </w:t>
      </w:r>
    </w:p>
    <w:p w14:paraId="432BF46D" w14:textId="0C4A6B7B" w:rsidR="00377063" w:rsidRPr="00C112A8" w:rsidRDefault="00377063" w:rsidP="00C112A8">
      <w:pPr>
        <w:spacing w:before="120" w:after="120" w:line="360" w:lineRule="auto"/>
        <w:rPr>
          <w:rFonts w:ascii="Arial" w:hAnsi="Arial" w:cs="Arial"/>
          <w:lang w:val="sr-Latn-ME"/>
        </w:rPr>
      </w:pPr>
      <w:r w:rsidRPr="00C112A8">
        <w:rPr>
          <w:rFonts w:ascii="Arial" w:hAnsi="Arial" w:cs="Arial"/>
          <w:lang w:val="sr-Latn-ME"/>
        </w:rPr>
        <w:t xml:space="preserve">Ovom mjerom predviđeno je uspostavljanje najmanje jednog centra za odvojeno sakupljanje opasnog otpada iz domaćinstva po svakoj opštini. Pored toga što će omogućiti odvojeno sakupljanje reciklabilnih materijala i posebnih </w:t>
      </w:r>
      <w:r w:rsidR="00CB37DC">
        <w:rPr>
          <w:rFonts w:ascii="Arial" w:hAnsi="Arial" w:cs="Arial"/>
          <w:lang w:val="sr-Latn-ME"/>
        </w:rPr>
        <w:t>vrsta</w:t>
      </w:r>
      <w:r w:rsidR="00CB37DC" w:rsidRPr="00C112A8">
        <w:rPr>
          <w:rFonts w:ascii="Arial" w:hAnsi="Arial" w:cs="Arial"/>
          <w:lang w:val="sr-Latn-ME"/>
        </w:rPr>
        <w:t xml:space="preserve"> </w:t>
      </w:r>
      <w:r w:rsidRPr="00C112A8">
        <w:rPr>
          <w:rFonts w:ascii="Arial" w:hAnsi="Arial" w:cs="Arial"/>
          <w:lang w:val="sr-Latn-ME"/>
        </w:rPr>
        <w:t xml:space="preserve">otpada iz domaćinstava, ove lokacije biće opremljene i imaće adekvatno osoblje za prihvat opasnog otpada iz domaćinstava. Sakupljeni opasan otpad redovno će se isporučivati operaterima u upravljanju otpadom koji imaju odgovarajuće dozvole ili na regionalna skladišta opasnog otpada. Do kraja 2029. godine će uspostaviti odvojeno sakupljanje frakcija opasnog otpada koje proizvode domaćinstva. </w:t>
      </w:r>
    </w:p>
    <w:p w14:paraId="07C550F0" w14:textId="03C6B1F2" w:rsidR="00377063" w:rsidRPr="00C112A8" w:rsidRDefault="00377063" w:rsidP="00C112A8">
      <w:pPr>
        <w:spacing w:before="120" w:after="120" w:line="360" w:lineRule="auto"/>
        <w:rPr>
          <w:rFonts w:ascii="Arial" w:hAnsi="Arial" w:cs="Arial"/>
          <w:lang w:val="sr-Latn-ME"/>
        </w:rPr>
      </w:pPr>
      <w:r w:rsidRPr="00C112A8">
        <w:rPr>
          <w:rFonts w:ascii="Arial" w:hAnsi="Arial" w:cs="Arial"/>
          <w:lang w:val="sr-Latn-ME"/>
        </w:rPr>
        <w:t xml:space="preserve">Pored toga, za </w:t>
      </w:r>
      <w:r w:rsidR="00CB37DC">
        <w:rPr>
          <w:rFonts w:ascii="Arial" w:hAnsi="Arial" w:cs="Arial"/>
          <w:lang w:val="sr-Latn-ME"/>
        </w:rPr>
        <w:t>posebne vrste</w:t>
      </w:r>
      <w:r w:rsidRPr="00C112A8">
        <w:rPr>
          <w:rFonts w:ascii="Arial" w:hAnsi="Arial" w:cs="Arial"/>
          <w:lang w:val="sr-Latn-ME"/>
        </w:rPr>
        <w:t xml:space="preserve"> opasnog otpada, uspostaviće se siste</w:t>
      </w:r>
      <w:r w:rsidR="001F0CCC">
        <w:rPr>
          <w:rFonts w:ascii="Arial" w:hAnsi="Arial" w:cs="Arial"/>
          <w:lang w:val="sr-Latn-ME"/>
        </w:rPr>
        <w:t>m proširene odgovornosti</w:t>
      </w:r>
      <w:r w:rsidRPr="00C112A8">
        <w:rPr>
          <w:rFonts w:ascii="Arial" w:hAnsi="Arial" w:cs="Arial"/>
          <w:lang w:val="sr-Latn-ME"/>
        </w:rPr>
        <w:t xml:space="preserve"> </w:t>
      </w:r>
      <w:r w:rsidR="001F0CCC">
        <w:rPr>
          <w:rFonts w:ascii="Arial" w:hAnsi="Arial" w:cs="Arial"/>
          <w:lang w:val="sr-Latn-ME"/>
        </w:rPr>
        <w:t>proizvođača.</w:t>
      </w:r>
    </w:p>
    <w:p w14:paraId="37BEC7ED" w14:textId="77777777" w:rsidR="00377063" w:rsidRPr="005B75CF" w:rsidRDefault="00377063" w:rsidP="005B75CF">
      <w:pPr>
        <w:pStyle w:val="ListParagraph"/>
        <w:numPr>
          <w:ilvl w:val="0"/>
          <w:numId w:val="155"/>
        </w:numPr>
        <w:autoSpaceDE w:val="0"/>
        <w:autoSpaceDN w:val="0"/>
        <w:rPr>
          <w:rFonts w:ascii="Arial" w:hAnsi="Arial" w:cs="Arial"/>
          <w:lang w:val="sq-AL"/>
        </w:rPr>
      </w:pPr>
      <w:r w:rsidRPr="005B75CF">
        <w:rPr>
          <w:rFonts w:ascii="Arial" w:hAnsi="Arial" w:cs="Arial"/>
          <w:b/>
          <w:bCs/>
          <w:lang w:val="sq-AL"/>
        </w:rPr>
        <w:t xml:space="preserve">Identifikacija, sanacija i remedijacija kontaminiranih lokacija </w:t>
      </w:r>
    </w:p>
    <w:p w14:paraId="3FE9D500" w14:textId="05D31436" w:rsidR="00377063" w:rsidRPr="005B75CF" w:rsidRDefault="00377063" w:rsidP="005B75CF">
      <w:pPr>
        <w:spacing w:before="120" w:after="120" w:line="480" w:lineRule="auto"/>
        <w:rPr>
          <w:rFonts w:ascii="Arial" w:hAnsi="Arial" w:cs="Arial"/>
          <w:lang w:val="sr-Latn-ME"/>
        </w:rPr>
      </w:pPr>
      <w:r w:rsidRPr="00C112A8">
        <w:rPr>
          <w:rFonts w:ascii="Arial" w:hAnsi="Arial" w:cs="Arial"/>
          <w:lang w:val="sr-Latn-ME"/>
        </w:rPr>
        <w:t xml:space="preserve">Za sve lokacije koje su potencijalno kontaminirane i koje predstavljaju rizik po životnu sredinu, postoji hitna potreba za sanacijom i remedijacijom. Potrebno je, prema prioritetima, izraditi tehničku dokumentaciju i izvršiti sanaciju i remedijaciju. Takođe je potrebna remedijacija lokacija sa </w:t>
      </w:r>
      <w:r w:rsidR="001F0CCC">
        <w:rPr>
          <w:rFonts w:ascii="Arial" w:hAnsi="Arial" w:cs="Arial"/>
          <w:lang w:val="sr-Latn-ME"/>
        </w:rPr>
        <w:t>„</w:t>
      </w:r>
      <w:r w:rsidRPr="00C112A8">
        <w:rPr>
          <w:rFonts w:ascii="Arial" w:hAnsi="Arial" w:cs="Arial"/>
          <w:lang w:val="sr-Latn-ME"/>
        </w:rPr>
        <w:t>istorijskim</w:t>
      </w:r>
      <w:r w:rsidR="001F0CCC">
        <w:rPr>
          <w:rFonts w:ascii="Arial" w:hAnsi="Arial" w:cs="Arial"/>
          <w:lang w:val="sr-Latn-ME"/>
        </w:rPr>
        <w:t xml:space="preserve">“ </w:t>
      </w:r>
      <w:r w:rsidRPr="00C112A8">
        <w:rPr>
          <w:rFonts w:ascii="Arial" w:hAnsi="Arial" w:cs="Arial"/>
          <w:lang w:val="sr-Latn-ME"/>
        </w:rPr>
        <w:t xml:space="preserve">opasnim otpadom. </w:t>
      </w:r>
    </w:p>
    <w:p w14:paraId="089D24D0" w14:textId="03217D5C" w:rsidR="00377063" w:rsidRPr="005B75CF" w:rsidRDefault="00377063" w:rsidP="005B75CF">
      <w:pPr>
        <w:pStyle w:val="ListParagraph"/>
        <w:numPr>
          <w:ilvl w:val="0"/>
          <w:numId w:val="155"/>
        </w:numPr>
        <w:autoSpaceDE w:val="0"/>
        <w:autoSpaceDN w:val="0"/>
        <w:rPr>
          <w:rFonts w:ascii="Arial" w:hAnsi="Arial" w:cs="Arial"/>
          <w:b/>
          <w:bCs/>
          <w:lang w:val="sq-AL"/>
        </w:rPr>
      </w:pPr>
      <w:r w:rsidRPr="005B75CF">
        <w:rPr>
          <w:rFonts w:ascii="Arial" w:hAnsi="Arial" w:cs="Arial"/>
          <w:b/>
          <w:bCs/>
          <w:lang w:val="sq-AL"/>
        </w:rPr>
        <w:t>Poseban cilj</w:t>
      </w:r>
      <w:r w:rsidR="00CA1B39" w:rsidRPr="005B75CF">
        <w:rPr>
          <w:rFonts w:ascii="Arial" w:hAnsi="Arial" w:cs="Arial"/>
          <w:b/>
          <w:bCs/>
          <w:lang w:val="sq-AL"/>
        </w:rPr>
        <w:t>:</w:t>
      </w:r>
      <w:r w:rsidRPr="005B75CF">
        <w:rPr>
          <w:rFonts w:ascii="Arial" w:hAnsi="Arial" w:cs="Arial"/>
          <w:b/>
          <w:bCs/>
          <w:lang w:val="sq-AL"/>
        </w:rPr>
        <w:t xml:space="preserve"> Povećana stopa sakupljanja, ponovne upotrebe i recikl</w:t>
      </w:r>
      <w:r w:rsidR="00CB37DC" w:rsidRPr="005B75CF">
        <w:rPr>
          <w:rFonts w:ascii="Arial" w:hAnsi="Arial" w:cs="Arial"/>
          <w:b/>
          <w:bCs/>
          <w:lang w:val="sq-AL"/>
        </w:rPr>
        <w:t>iranja</w:t>
      </w:r>
      <w:r w:rsidRPr="005B75CF">
        <w:rPr>
          <w:rFonts w:ascii="Arial" w:hAnsi="Arial" w:cs="Arial"/>
          <w:b/>
          <w:bCs/>
          <w:lang w:val="sq-AL"/>
        </w:rPr>
        <w:t xml:space="preserve"> posebnih </w:t>
      </w:r>
      <w:r w:rsidR="00CB37DC" w:rsidRPr="005B75CF">
        <w:rPr>
          <w:rFonts w:ascii="Arial" w:hAnsi="Arial" w:cs="Arial"/>
          <w:b/>
          <w:bCs/>
          <w:lang w:val="sq-AL"/>
        </w:rPr>
        <w:t>vrsta</w:t>
      </w:r>
      <w:r w:rsidRPr="005B75CF">
        <w:rPr>
          <w:rFonts w:ascii="Arial" w:hAnsi="Arial" w:cs="Arial"/>
          <w:b/>
          <w:bCs/>
          <w:lang w:val="sq-AL"/>
        </w:rPr>
        <w:t xml:space="preserve">otpada i efikasnije korišćenje resursa </w:t>
      </w:r>
    </w:p>
    <w:p w14:paraId="2243DED4" w14:textId="002F7847" w:rsidR="00377063" w:rsidRPr="005B75CF" w:rsidRDefault="00377063" w:rsidP="005B75CF">
      <w:pPr>
        <w:spacing w:before="120" w:after="120" w:line="360" w:lineRule="auto"/>
        <w:rPr>
          <w:rFonts w:ascii="Arial" w:hAnsi="Arial" w:cs="Arial"/>
          <w:lang w:val="sr-Latn-ME"/>
        </w:rPr>
      </w:pPr>
      <w:r w:rsidRPr="00883E96">
        <w:rPr>
          <w:rFonts w:ascii="Arial" w:hAnsi="Arial" w:cs="Arial"/>
          <w:lang w:val="sr-Latn-ME"/>
        </w:rPr>
        <w:t>Sprovođenje ovog cilja bazirano je na odredbama iz Okvirne EU direktive o otpadu 2008/98/EC dopunjene Direktivom (EU) 2018/851, Direktive EU o ambalaži i ambalažnom otpadu 94/62/EC dopunjene Direktivom (EU) 2018/852 i ostalih Direktiva EU</w:t>
      </w:r>
      <w:r w:rsidRPr="00C112A8">
        <w:rPr>
          <w:rFonts w:ascii="Arial" w:hAnsi="Arial" w:cs="Arial"/>
          <w:lang w:val="sr-Latn-ME"/>
        </w:rPr>
        <w:t xml:space="preserve"> koje se odnose na posebne </w:t>
      </w:r>
      <w:r w:rsidR="00CB37DC">
        <w:rPr>
          <w:rFonts w:ascii="Arial" w:hAnsi="Arial" w:cs="Arial"/>
          <w:lang w:val="sr-Latn-ME"/>
        </w:rPr>
        <w:t>vrste</w:t>
      </w:r>
      <w:r w:rsidR="00CB37DC" w:rsidRPr="00C112A8">
        <w:rPr>
          <w:rFonts w:ascii="Arial" w:hAnsi="Arial" w:cs="Arial"/>
          <w:lang w:val="sr-Latn-ME"/>
        </w:rPr>
        <w:t xml:space="preserve"> </w:t>
      </w:r>
      <w:r w:rsidRPr="00C112A8">
        <w:rPr>
          <w:rFonts w:ascii="Arial" w:hAnsi="Arial" w:cs="Arial"/>
          <w:lang w:val="sr-Latn-ME"/>
        </w:rPr>
        <w:t xml:space="preserve">otpada, a naročito na: </w:t>
      </w:r>
      <w:r w:rsidR="005C3876">
        <w:rPr>
          <w:rFonts w:ascii="Arial" w:hAnsi="Arial" w:cs="Arial"/>
          <w:lang w:val="sr-Latn-ME"/>
        </w:rPr>
        <w:t>otpadne</w:t>
      </w:r>
      <w:r w:rsidRPr="00C112A8">
        <w:rPr>
          <w:rFonts w:ascii="Arial" w:hAnsi="Arial" w:cs="Arial"/>
          <w:lang w:val="sr-Latn-ME"/>
        </w:rPr>
        <w:t xml:space="preserve"> baterije i akumulatore, otpadna ulja, otpadna vozila, otpad od električne i elektronske opreme, POPs otpad (koji sadrži dugotrajne organske zagađujuće materije) i PCB otpad (koji sadrži polihlorovane bifenile), medicinski otpad, azbest iz otpada od građenja i rušenja</w:t>
      </w:r>
      <w:r w:rsidR="005C3876">
        <w:rPr>
          <w:rFonts w:ascii="Arial" w:hAnsi="Arial" w:cs="Arial"/>
          <w:lang w:val="sr-Latn-ME"/>
        </w:rPr>
        <w:t xml:space="preserve"> i</w:t>
      </w:r>
      <w:r w:rsidRPr="00C112A8">
        <w:rPr>
          <w:rFonts w:ascii="Arial" w:hAnsi="Arial" w:cs="Arial"/>
          <w:lang w:val="sr-Latn-ME"/>
        </w:rPr>
        <w:t xml:space="preserve"> ambalažni otpad. </w:t>
      </w:r>
    </w:p>
    <w:p w14:paraId="20C83E30" w14:textId="7CF8C252" w:rsidR="00377063" w:rsidRPr="005B75CF" w:rsidRDefault="00377063" w:rsidP="005B75CF">
      <w:pPr>
        <w:pStyle w:val="ListParagraph"/>
        <w:numPr>
          <w:ilvl w:val="0"/>
          <w:numId w:val="155"/>
        </w:numPr>
        <w:autoSpaceDE w:val="0"/>
        <w:autoSpaceDN w:val="0"/>
        <w:rPr>
          <w:rFonts w:ascii="Arial" w:hAnsi="Arial" w:cs="Arial"/>
          <w:b/>
          <w:bCs/>
          <w:lang w:val="sq-AL"/>
        </w:rPr>
      </w:pPr>
      <w:r w:rsidRPr="005B75CF">
        <w:rPr>
          <w:rFonts w:ascii="Arial" w:hAnsi="Arial" w:cs="Arial"/>
          <w:b/>
          <w:bCs/>
          <w:lang w:val="sq-AL"/>
        </w:rPr>
        <w:t xml:space="preserve">Uspostavljanje kolektivnih operatera za posebne </w:t>
      </w:r>
      <w:r w:rsidR="00CB37DC" w:rsidRPr="005B75CF">
        <w:rPr>
          <w:rFonts w:ascii="Arial" w:hAnsi="Arial" w:cs="Arial"/>
          <w:b/>
          <w:bCs/>
          <w:lang w:val="sq-AL"/>
        </w:rPr>
        <w:t xml:space="preserve">vrste </w:t>
      </w:r>
      <w:r w:rsidRPr="005B75CF">
        <w:rPr>
          <w:rFonts w:ascii="Arial" w:hAnsi="Arial" w:cs="Arial"/>
          <w:b/>
          <w:bCs/>
          <w:lang w:val="sq-AL"/>
        </w:rPr>
        <w:t xml:space="preserve">otpada (otpad od električne i elektronske opreme, </w:t>
      </w:r>
      <w:r w:rsidR="005E331A" w:rsidRPr="005B75CF">
        <w:rPr>
          <w:rFonts w:ascii="Arial" w:hAnsi="Arial" w:cs="Arial"/>
          <w:b/>
          <w:bCs/>
          <w:lang w:val="sq-AL"/>
        </w:rPr>
        <w:t xml:space="preserve">otpadne </w:t>
      </w:r>
      <w:r w:rsidRPr="005B75CF">
        <w:rPr>
          <w:rFonts w:ascii="Arial" w:hAnsi="Arial" w:cs="Arial"/>
          <w:b/>
          <w:bCs/>
          <w:lang w:val="sq-AL"/>
        </w:rPr>
        <w:t>baterije i akumulatore i otpadna vozila i dr.) po principu proširene odgovornosti proizvođača na cjelokupan životni ciklus proizvoda</w:t>
      </w:r>
      <w:r w:rsidR="005E331A" w:rsidRPr="005B75CF">
        <w:rPr>
          <w:rFonts w:ascii="Arial" w:hAnsi="Arial" w:cs="Arial"/>
          <w:b/>
          <w:bCs/>
          <w:lang w:val="sq-AL"/>
        </w:rPr>
        <w:t>.</w:t>
      </w:r>
      <w:r w:rsidRPr="005B75CF">
        <w:rPr>
          <w:rFonts w:ascii="Arial" w:hAnsi="Arial" w:cs="Arial"/>
          <w:b/>
          <w:bCs/>
          <w:lang w:val="sq-AL"/>
        </w:rPr>
        <w:t xml:space="preserve"> </w:t>
      </w:r>
    </w:p>
    <w:p w14:paraId="3D0682BE" w14:textId="6E43C650" w:rsidR="00377063" w:rsidRPr="00C112A8" w:rsidRDefault="00377063" w:rsidP="00C112A8">
      <w:pPr>
        <w:spacing w:before="120" w:after="120" w:line="360" w:lineRule="auto"/>
        <w:rPr>
          <w:rFonts w:ascii="Arial" w:hAnsi="Arial" w:cs="Arial"/>
          <w:lang w:val="sr-Latn-ME"/>
        </w:rPr>
      </w:pPr>
      <w:r w:rsidRPr="00C112A8">
        <w:rPr>
          <w:rFonts w:ascii="Arial" w:hAnsi="Arial" w:cs="Arial"/>
          <w:lang w:val="sr-Latn-ME"/>
        </w:rPr>
        <w:t xml:space="preserve">Da bi se poboljšalo upravljanje posebnim </w:t>
      </w:r>
      <w:r w:rsidR="005E331A">
        <w:rPr>
          <w:rFonts w:ascii="Arial" w:hAnsi="Arial" w:cs="Arial"/>
          <w:lang w:val="sr-Latn-ME"/>
        </w:rPr>
        <w:t>vrstama</w:t>
      </w:r>
      <w:r w:rsidR="005E331A" w:rsidRPr="00C112A8">
        <w:rPr>
          <w:rFonts w:ascii="Arial" w:hAnsi="Arial" w:cs="Arial"/>
          <w:lang w:val="sr-Latn-ME"/>
        </w:rPr>
        <w:t xml:space="preserve"> </w:t>
      </w:r>
      <w:r w:rsidRPr="00C112A8">
        <w:rPr>
          <w:rFonts w:ascii="Arial" w:hAnsi="Arial" w:cs="Arial"/>
          <w:lang w:val="sr-Latn-ME"/>
        </w:rPr>
        <w:t>otpada, planira se uvođenje kolektivne šeme pr</w:t>
      </w:r>
      <w:r w:rsidR="001F0CCC">
        <w:rPr>
          <w:rFonts w:ascii="Arial" w:hAnsi="Arial" w:cs="Arial"/>
          <w:lang w:val="sr-Latn-ME"/>
        </w:rPr>
        <w:t>o</w:t>
      </w:r>
      <w:r w:rsidR="00CA1B39" w:rsidRPr="00C112A8">
        <w:rPr>
          <w:rFonts w:ascii="Arial" w:hAnsi="Arial" w:cs="Arial"/>
          <w:lang w:val="sr-Latn-ME"/>
        </w:rPr>
        <w:t>širene</w:t>
      </w:r>
      <w:r w:rsidRPr="00C112A8">
        <w:rPr>
          <w:rFonts w:ascii="Arial" w:hAnsi="Arial" w:cs="Arial"/>
          <w:lang w:val="sr-Latn-ME"/>
        </w:rPr>
        <w:t xml:space="preserve"> odgovornosti proizvođača prema odredbama revidirane Okvirne direktive o otpadu. </w:t>
      </w:r>
    </w:p>
    <w:p w14:paraId="3DD27B8E" w14:textId="77777777" w:rsidR="00377063" w:rsidRPr="007C58FB" w:rsidRDefault="00377063" w:rsidP="00377063">
      <w:pPr>
        <w:autoSpaceDE w:val="0"/>
        <w:autoSpaceDN w:val="0"/>
        <w:rPr>
          <w:rFonts w:ascii="Arial" w:hAnsi="Arial" w:cs="Arial"/>
          <w:color w:val="000000"/>
          <w:lang w:val="sr-Latn-ME"/>
        </w:rPr>
      </w:pPr>
    </w:p>
    <w:p w14:paraId="4EDAC9D5" w14:textId="301D8B6D" w:rsidR="00377063" w:rsidRPr="002A6F4E" w:rsidRDefault="00C10D04" w:rsidP="00F57909">
      <w:pPr>
        <w:pStyle w:val="Heading2"/>
      </w:pPr>
      <w:bookmarkStart w:id="1428" w:name="_Toc189759785"/>
      <w:bookmarkStart w:id="1429" w:name="_Toc193354080"/>
      <w:r w:rsidRPr="002A6F4E">
        <w:lastRenderedPageBreak/>
        <w:t>6.16</w:t>
      </w:r>
      <w:r w:rsidR="00377063" w:rsidRPr="002A6F4E">
        <w:t>. Uloge i odgovornosti</w:t>
      </w:r>
      <w:bookmarkEnd w:id="1428"/>
      <w:bookmarkEnd w:id="1429"/>
      <w:r w:rsidR="00377063" w:rsidRPr="002A6F4E">
        <w:t xml:space="preserve"> </w:t>
      </w:r>
    </w:p>
    <w:p w14:paraId="3A7DC2A7" w14:textId="1F9B9B4C" w:rsidR="00377063" w:rsidRPr="002A6F4E" w:rsidRDefault="00377063" w:rsidP="00377063">
      <w:pPr>
        <w:spacing w:before="120" w:after="120" w:line="360" w:lineRule="auto"/>
        <w:rPr>
          <w:rFonts w:ascii="Arial" w:hAnsi="Arial" w:cs="Arial"/>
          <w:lang w:val="sq-AL"/>
        </w:rPr>
      </w:pPr>
      <w:r w:rsidRPr="002A6F4E">
        <w:rPr>
          <w:rFonts w:ascii="Arial" w:hAnsi="Arial" w:cs="Arial"/>
          <w:lang w:val="sq-AL"/>
        </w:rPr>
        <w:t>U skladu sa Zakonom o upravljanju otpadom Agencija za zaštitu životne sredine</w:t>
      </w:r>
      <w:r w:rsidR="005B75CF">
        <w:rPr>
          <w:rFonts w:ascii="Arial" w:hAnsi="Arial" w:cs="Arial"/>
          <w:lang w:val="sq-AL"/>
        </w:rPr>
        <w:t xml:space="preserve"> </w:t>
      </w:r>
      <w:r w:rsidR="005E331A">
        <w:rPr>
          <w:rFonts w:ascii="Arial" w:hAnsi="Arial" w:cs="Arial"/>
          <w:lang w:val="sq-AL"/>
        </w:rPr>
        <w:t>(</w:t>
      </w:r>
      <w:r w:rsidRPr="002A6F4E">
        <w:rPr>
          <w:rFonts w:ascii="Arial" w:hAnsi="Arial" w:cs="Arial"/>
          <w:lang w:val="sq-AL"/>
        </w:rPr>
        <w:t>AZŽS</w:t>
      </w:r>
      <w:r w:rsidR="005E331A">
        <w:rPr>
          <w:rFonts w:ascii="Arial" w:hAnsi="Arial" w:cs="Arial"/>
          <w:lang w:val="sq-AL"/>
        </w:rPr>
        <w:t>)</w:t>
      </w:r>
      <w:r w:rsidRPr="002A6F4E">
        <w:rPr>
          <w:rFonts w:ascii="Arial" w:hAnsi="Arial" w:cs="Arial"/>
          <w:lang w:val="sq-AL"/>
        </w:rPr>
        <w:t xml:space="preserve"> izdaje dozvole za upravljanje otpadom</w:t>
      </w:r>
      <w:r w:rsidR="005B75CF">
        <w:rPr>
          <w:rStyle w:val="FootnoteReference"/>
          <w:rFonts w:cs="Arial"/>
        </w:rPr>
        <w:footnoteReference w:id="49"/>
      </w:r>
      <w:r w:rsidRPr="002A6F4E">
        <w:rPr>
          <w:rFonts w:ascii="Arial" w:hAnsi="Arial" w:cs="Arial"/>
          <w:lang w:val="sq-AL"/>
        </w:rPr>
        <w:t xml:space="preserve">. Proizvođač otpada dužan je da primjenjuje tehnološke postupke, koristi sirovine i druge materijale, organizuje usluge, odnosno postupa na način koji sprečava nastanak otpada ili za rezultat ima najmanju količinu otpada. Proizvođači otpada mogu sami obavljati </w:t>
      </w:r>
      <w:r w:rsidR="00D34724">
        <w:rPr>
          <w:rFonts w:ascii="Arial" w:hAnsi="Arial" w:cs="Arial"/>
          <w:lang w:val="sq-AL"/>
        </w:rPr>
        <w:t>obradu</w:t>
      </w:r>
      <w:r w:rsidRPr="002A6F4E">
        <w:rPr>
          <w:rFonts w:ascii="Arial" w:hAnsi="Arial" w:cs="Arial"/>
          <w:lang w:val="sq-AL"/>
        </w:rPr>
        <w:t xml:space="preserve"> otpada</w:t>
      </w:r>
      <w:r w:rsidR="00D34724">
        <w:rPr>
          <w:rFonts w:ascii="Arial" w:hAnsi="Arial" w:cs="Arial"/>
          <w:lang w:val="sq-AL"/>
        </w:rPr>
        <w:t>, ukoliko posjeduju dozvolu AZŽS</w:t>
      </w:r>
      <w:r w:rsidRPr="002A6F4E">
        <w:rPr>
          <w:rFonts w:ascii="Arial" w:hAnsi="Arial" w:cs="Arial"/>
          <w:lang w:val="sq-AL"/>
        </w:rPr>
        <w:t xml:space="preserve"> ili to povjeriti trgovcu otpadom ili preduzeću ili preduzetniku koji vrši sakupljanje ili </w:t>
      </w:r>
      <w:r w:rsidR="001F0CCC">
        <w:rPr>
          <w:rFonts w:ascii="Arial" w:hAnsi="Arial" w:cs="Arial"/>
          <w:lang w:val="sq-AL"/>
        </w:rPr>
        <w:t xml:space="preserve">obradu </w:t>
      </w:r>
      <w:r w:rsidRPr="002A6F4E">
        <w:rPr>
          <w:rFonts w:ascii="Arial" w:hAnsi="Arial" w:cs="Arial"/>
          <w:lang w:val="sq-AL"/>
        </w:rPr>
        <w:t>otpada. Kada se otpad, osim komunalnog otpada, transportuje radi prethodn</w:t>
      </w:r>
      <w:r w:rsidR="005E331A">
        <w:rPr>
          <w:rFonts w:ascii="Arial" w:hAnsi="Arial" w:cs="Arial"/>
          <w:lang w:val="sq-AL"/>
        </w:rPr>
        <w:t>e</w:t>
      </w:r>
      <w:r w:rsidRPr="002A6F4E">
        <w:rPr>
          <w:rFonts w:ascii="Arial" w:hAnsi="Arial" w:cs="Arial"/>
          <w:lang w:val="sq-AL"/>
        </w:rPr>
        <w:t xml:space="preserve"> </w:t>
      </w:r>
      <w:r w:rsidR="005E331A">
        <w:rPr>
          <w:rFonts w:ascii="Arial" w:hAnsi="Arial" w:cs="Arial"/>
          <w:lang w:val="sq-AL"/>
        </w:rPr>
        <w:t>obrade</w:t>
      </w:r>
      <w:r w:rsidR="005E331A" w:rsidRPr="002A6F4E">
        <w:rPr>
          <w:rFonts w:ascii="Arial" w:hAnsi="Arial" w:cs="Arial"/>
          <w:lang w:val="sq-AL"/>
        </w:rPr>
        <w:t xml:space="preserve"> </w:t>
      </w:r>
      <w:r w:rsidRPr="002A6F4E">
        <w:rPr>
          <w:rFonts w:ascii="Arial" w:hAnsi="Arial" w:cs="Arial"/>
          <w:lang w:val="sq-AL"/>
        </w:rPr>
        <w:t>od prvobitnog proizvođača otpada do lica koja vrše sakupljanje ili tretman otpada, odgovornost prvobitnog proizvođača otpada da izvrši potpunu preradu</w:t>
      </w:r>
      <w:r w:rsidR="00D34724">
        <w:rPr>
          <w:rFonts w:ascii="Arial" w:hAnsi="Arial" w:cs="Arial"/>
          <w:lang w:val="sq-AL"/>
        </w:rPr>
        <w:t>.</w:t>
      </w:r>
    </w:p>
    <w:p w14:paraId="05A14515" w14:textId="2CEE35CB" w:rsidR="00377063" w:rsidRPr="002A6F4E" w:rsidRDefault="005E331A" w:rsidP="00377063">
      <w:pPr>
        <w:spacing w:before="120" w:after="120" w:line="360" w:lineRule="auto"/>
        <w:rPr>
          <w:rFonts w:ascii="Arial" w:hAnsi="Arial" w:cs="Arial"/>
          <w:lang w:val="sq-AL"/>
        </w:rPr>
      </w:pPr>
      <w:r>
        <w:rPr>
          <w:rFonts w:ascii="Arial" w:hAnsi="Arial" w:cs="Arial"/>
          <w:lang w:val="sq-AL"/>
        </w:rPr>
        <w:t>Imaoc</w:t>
      </w:r>
      <w:r w:rsidRPr="002A6F4E">
        <w:rPr>
          <w:rFonts w:ascii="Arial" w:hAnsi="Arial" w:cs="Arial"/>
          <w:lang w:val="sq-AL"/>
        </w:rPr>
        <w:t xml:space="preserve"> </w:t>
      </w:r>
      <w:r w:rsidR="00377063" w:rsidRPr="002A6F4E">
        <w:rPr>
          <w:rFonts w:ascii="Arial" w:hAnsi="Arial" w:cs="Arial"/>
          <w:lang w:val="sq-AL"/>
        </w:rPr>
        <w:t xml:space="preserve">otpada plaća troškove </w:t>
      </w:r>
      <w:r w:rsidR="004A2532">
        <w:rPr>
          <w:rFonts w:ascii="Arial" w:hAnsi="Arial" w:cs="Arial"/>
          <w:lang w:val="sq-AL"/>
        </w:rPr>
        <w:t>sa</w:t>
      </w:r>
      <w:r w:rsidR="00377063" w:rsidRPr="002A6F4E">
        <w:rPr>
          <w:rFonts w:ascii="Arial" w:hAnsi="Arial" w:cs="Arial"/>
          <w:lang w:val="sq-AL"/>
        </w:rPr>
        <w:t xml:space="preserve">kupljanja, transporta i </w:t>
      </w:r>
      <w:r w:rsidR="00D34724">
        <w:rPr>
          <w:rFonts w:ascii="Arial" w:hAnsi="Arial" w:cs="Arial"/>
          <w:lang w:val="sq-AL"/>
        </w:rPr>
        <w:t xml:space="preserve">obrade </w:t>
      </w:r>
      <w:r w:rsidR="00377063" w:rsidRPr="002A6F4E">
        <w:rPr>
          <w:rFonts w:ascii="Arial" w:hAnsi="Arial" w:cs="Arial"/>
          <w:lang w:val="sq-AL"/>
        </w:rPr>
        <w:t>otpada u skladu sa principom „zagađivač plaća“. Troškove upravljanja otpadom snose proizvođači</w:t>
      </w:r>
      <w:r w:rsidR="004A2532">
        <w:rPr>
          <w:rFonts w:ascii="Arial" w:hAnsi="Arial" w:cs="Arial"/>
          <w:lang w:val="sq-AL"/>
        </w:rPr>
        <w:t xml:space="preserve"> i</w:t>
      </w:r>
      <w:r w:rsidR="00377063" w:rsidRPr="002A6F4E">
        <w:rPr>
          <w:rFonts w:ascii="Arial" w:hAnsi="Arial" w:cs="Arial"/>
          <w:lang w:val="sq-AL"/>
        </w:rPr>
        <w:t xml:space="preserve"> uvoznici proizvoda od kojih otpad potiče.     </w:t>
      </w:r>
    </w:p>
    <w:p w14:paraId="6AC7187A" w14:textId="1D7E649C" w:rsidR="00E867F7" w:rsidRDefault="00E867F7" w:rsidP="00E867F7">
      <w:pPr>
        <w:spacing w:before="120" w:after="120" w:line="360" w:lineRule="auto"/>
        <w:rPr>
          <w:rFonts w:ascii="Arial" w:hAnsi="Arial" w:cs="Arial"/>
          <w:lang w:val="sq-AL"/>
        </w:rPr>
      </w:pPr>
      <w:r w:rsidRPr="003B539C">
        <w:rPr>
          <w:rFonts w:ascii="Arial" w:hAnsi="Arial" w:cs="Arial"/>
          <w:lang w:val="sq-AL"/>
        </w:rPr>
        <w:t xml:space="preserve">Nadzor nad sprovođenjem </w:t>
      </w:r>
      <w:r w:rsidR="003B539C" w:rsidRPr="002A6F4E">
        <w:rPr>
          <w:rFonts w:ascii="Arial" w:hAnsi="Arial" w:cs="Arial"/>
          <w:lang w:val="sq-AL"/>
        </w:rPr>
        <w:t>Zakona o upravljanju otpadom</w:t>
      </w:r>
      <w:r w:rsidR="003B539C" w:rsidRPr="003B539C">
        <w:rPr>
          <w:rFonts w:ascii="Arial" w:hAnsi="Arial" w:cs="Arial"/>
          <w:lang w:val="sq-AL"/>
        </w:rPr>
        <w:t xml:space="preserve"> </w:t>
      </w:r>
      <w:r w:rsidRPr="003B539C">
        <w:rPr>
          <w:rFonts w:ascii="Arial" w:hAnsi="Arial" w:cs="Arial"/>
          <w:lang w:val="sq-AL"/>
        </w:rPr>
        <w:t>i propisa donijetih na osnovu ovog zakona vrše, u okviru nadležnosti</w:t>
      </w:r>
      <w:r w:rsidR="003B539C">
        <w:rPr>
          <w:rFonts w:ascii="Arial" w:hAnsi="Arial" w:cs="Arial"/>
          <w:lang w:val="sq-AL"/>
        </w:rPr>
        <w:t xml:space="preserve"> </w:t>
      </w:r>
      <w:r w:rsidRPr="003B539C">
        <w:rPr>
          <w:rFonts w:ascii="Arial" w:hAnsi="Arial" w:cs="Arial"/>
          <w:lang w:val="sq-AL"/>
        </w:rPr>
        <w:t xml:space="preserve">utvrđenih ovim zakonom, </w:t>
      </w:r>
      <w:r w:rsidR="003B539C">
        <w:rPr>
          <w:rFonts w:ascii="Arial" w:hAnsi="Arial" w:cs="Arial"/>
          <w:lang w:val="sq-AL"/>
        </w:rPr>
        <w:t>MERS</w:t>
      </w:r>
      <w:r w:rsidRPr="003B539C">
        <w:rPr>
          <w:rFonts w:ascii="Arial" w:hAnsi="Arial" w:cs="Arial"/>
          <w:lang w:val="sq-AL"/>
        </w:rPr>
        <w:t>, organ uprave nadležan za poslove zaštite životne sredine, organi</w:t>
      </w:r>
      <w:r w:rsidR="003B539C">
        <w:rPr>
          <w:rFonts w:ascii="Arial" w:hAnsi="Arial" w:cs="Arial"/>
          <w:lang w:val="sq-AL"/>
        </w:rPr>
        <w:t xml:space="preserve"> </w:t>
      </w:r>
      <w:r w:rsidRPr="003B539C">
        <w:rPr>
          <w:rFonts w:ascii="Arial" w:hAnsi="Arial" w:cs="Arial"/>
          <w:lang w:val="sq-AL"/>
        </w:rPr>
        <w:t>državne uprave nadležni za oblast poljoprivrede, šumarstva, energetike, rudarstva i geoloških istraživanja,</w:t>
      </w:r>
      <w:r w:rsidR="003B539C">
        <w:rPr>
          <w:rFonts w:ascii="Arial" w:hAnsi="Arial" w:cs="Arial"/>
          <w:lang w:val="sq-AL"/>
        </w:rPr>
        <w:t xml:space="preserve"> </w:t>
      </w:r>
      <w:r w:rsidRPr="003B539C">
        <w:rPr>
          <w:rFonts w:ascii="Arial" w:hAnsi="Arial" w:cs="Arial"/>
          <w:lang w:val="sq-AL"/>
        </w:rPr>
        <w:t>saobraćaja, unutrašnje trgovine i nadležni organi lokalne uprave.</w:t>
      </w:r>
      <w:r w:rsidR="003B539C">
        <w:rPr>
          <w:rStyle w:val="FootnoteReference"/>
          <w:rFonts w:cs="Arial"/>
        </w:rPr>
        <w:footnoteReference w:id="50"/>
      </w:r>
    </w:p>
    <w:p w14:paraId="2C698277" w14:textId="76C277E4" w:rsidR="003B539C" w:rsidRPr="002A6F4E" w:rsidRDefault="003B539C" w:rsidP="00E867F7">
      <w:pPr>
        <w:spacing w:before="120" w:after="120" w:line="360" w:lineRule="auto"/>
        <w:rPr>
          <w:rFonts w:ascii="Arial" w:hAnsi="Arial" w:cs="Arial"/>
          <w:lang w:val="sq-AL"/>
        </w:rPr>
      </w:pPr>
      <w:r>
        <w:rPr>
          <w:rFonts w:ascii="Arial" w:hAnsi="Arial" w:cs="Arial"/>
          <w:lang w:val="sq-AL"/>
        </w:rPr>
        <w:t>E</w:t>
      </w:r>
      <w:r w:rsidRPr="003B539C">
        <w:rPr>
          <w:rFonts w:ascii="Arial" w:hAnsi="Arial" w:cs="Arial"/>
          <w:lang w:val="sq-AL"/>
        </w:rPr>
        <w:t>kološka inspekcija</w:t>
      </w:r>
      <w:r>
        <w:rPr>
          <w:rFonts w:ascii="Arial" w:hAnsi="Arial" w:cs="Arial"/>
          <w:lang w:val="sq-AL"/>
        </w:rPr>
        <w:t xml:space="preserve"> vrši inspekcijski nadzor opasnog otpada.</w:t>
      </w:r>
    </w:p>
    <w:p w14:paraId="3FAA4A37" w14:textId="32D8CD42" w:rsidR="00377063" w:rsidRPr="002A6F4E" w:rsidRDefault="003A61C0" w:rsidP="00377063">
      <w:pPr>
        <w:spacing w:before="120" w:after="120" w:line="360" w:lineRule="auto"/>
        <w:rPr>
          <w:rFonts w:ascii="Arial" w:hAnsi="Arial" w:cs="Arial"/>
          <w:lang w:val="sq-AL"/>
        </w:rPr>
      </w:pPr>
      <w:r>
        <w:rPr>
          <w:rFonts w:ascii="Arial" w:hAnsi="Arial" w:cs="Arial"/>
          <w:lang w:val="sq-AL"/>
        </w:rPr>
        <w:t>N</w:t>
      </w:r>
      <w:r w:rsidR="00377063" w:rsidRPr="002A6F4E">
        <w:rPr>
          <w:rFonts w:ascii="Arial" w:hAnsi="Arial" w:cs="Arial"/>
          <w:lang w:val="sq-AL"/>
        </w:rPr>
        <w:t xml:space="preserve">a osnovu </w:t>
      </w:r>
      <w:r>
        <w:rPr>
          <w:rFonts w:ascii="Arial" w:hAnsi="Arial" w:cs="Arial"/>
          <w:lang w:val="sq-AL"/>
        </w:rPr>
        <w:t>St</w:t>
      </w:r>
      <w:r w:rsidR="00377063" w:rsidRPr="002A6F4E">
        <w:rPr>
          <w:rFonts w:ascii="Arial" w:hAnsi="Arial" w:cs="Arial"/>
          <w:lang w:val="sq-AL"/>
        </w:rPr>
        <w:t>rategije</w:t>
      </w:r>
      <w:r>
        <w:rPr>
          <w:rFonts w:ascii="Arial" w:hAnsi="Arial" w:cs="Arial"/>
          <w:lang w:val="sq-AL"/>
        </w:rPr>
        <w:t xml:space="preserve"> upravljanja otpadom </w:t>
      </w:r>
      <w:r w:rsidR="00A75B9B">
        <w:rPr>
          <w:rFonts w:ascii="Arial" w:hAnsi="Arial" w:cs="Arial"/>
          <w:lang w:val="sq-AL"/>
        </w:rPr>
        <w:t xml:space="preserve">Crne Gore do </w:t>
      </w:r>
      <w:r>
        <w:rPr>
          <w:rFonts w:ascii="Arial" w:hAnsi="Arial" w:cs="Arial"/>
          <w:lang w:val="sq-AL"/>
        </w:rPr>
        <w:t>2030</w:t>
      </w:r>
      <w:r w:rsidR="00A75B9B">
        <w:rPr>
          <w:rFonts w:ascii="Arial" w:hAnsi="Arial" w:cs="Arial"/>
          <w:lang w:val="sq-AL"/>
        </w:rPr>
        <w:t>. godine</w:t>
      </w:r>
      <w:r w:rsidR="00377063" w:rsidRPr="002A6F4E">
        <w:rPr>
          <w:rFonts w:ascii="Arial" w:hAnsi="Arial" w:cs="Arial"/>
          <w:lang w:val="sq-AL"/>
        </w:rPr>
        <w:t>:</w:t>
      </w:r>
    </w:p>
    <w:p w14:paraId="7E08E54B" w14:textId="5168A38E" w:rsidR="00377063" w:rsidRPr="002A6F4E" w:rsidRDefault="00377063" w:rsidP="00A23ED0">
      <w:pPr>
        <w:pStyle w:val="ListParagraph"/>
        <w:numPr>
          <w:ilvl w:val="0"/>
          <w:numId w:val="63"/>
        </w:numPr>
        <w:spacing w:before="120" w:after="120" w:line="360" w:lineRule="auto"/>
        <w:contextualSpacing w:val="0"/>
        <w:rPr>
          <w:rFonts w:ascii="Arial" w:hAnsi="Arial" w:cs="Arial"/>
          <w:lang w:val="sq-AL"/>
        </w:rPr>
      </w:pPr>
      <w:r w:rsidRPr="002A6F4E">
        <w:rPr>
          <w:rFonts w:ascii="Arial" w:hAnsi="Arial" w:cs="Arial"/>
          <w:b/>
          <w:lang w:val="sq-AL"/>
        </w:rPr>
        <w:t>Jedinice lokalne samouprave</w:t>
      </w:r>
      <w:r w:rsidRPr="002A6F4E">
        <w:rPr>
          <w:rFonts w:ascii="Arial" w:hAnsi="Arial" w:cs="Arial"/>
          <w:lang w:val="sq-AL"/>
        </w:rPr>
        <w:t xml:space="preserve"> su odgovorne za planiranje otpada na lokalnom nivou, praćenje postavljenih ciljeva od strane </w:t>
      </w:r>
      <w:r w:rsidR="004A2532">
        <w:rPr>
          <w:rFonts w:ascii="Arial" w:hAnsi="Arial" w:cs="Arial"/>
          <w:lang w:val="sq-AL"/>
        </w:rPr>
        <w:t>državne</w:t>
      </w:r>
      <w:r w:rsidR="004A2532" w:rsidRPr="002A6F4E">
        <w:rPr>
          <w:rFonts w:ascii="Arial" w:hAnsi="Arial" w:cs="Arial"/>
          <w:lang w:val="sq-AL"/>
        </w:rPr>
        <w:t xml:space="preserve"> </w:t>
      </w:r>
      <w:r w:rsidRPr="002A6F4E">
        <w:rPr>
          <w:rFonts w:ascii="Arial" w:hAnsi="Arial" w:cs="Arial"/>
          <w:lang w:val="sq-AL"/>
        </w:rPr>
        <w:t>uprave i izvještavanje.</w:t>
      </w:r>
    </w:p>
    <w:p w14:paraId="6E79E9D7" w14:textId="4509AAED" w:rsidR="00377063" w:rsidRDefault="00377063" w:rsidP="00A23ED0">
      <w:pPr>
        <w:pStyle w:val="ListParagraph"/>
        <w:numPr>
          <w:ilvl w:val="0"/>
          <w:numId w:val="63"/>
        </w:numPr>
        <w:spacing w:before="120" w:after="120" w:line="360" w:lineRule="auto"/>
        <w:contextualSpacing w:val="0"/>
        <w:rPr>
          <w:rFonts w:ascii="Arial" w:hAnsi="Arial" w:cs="Arial"/>
          <w:lang w:val="sq-AL"/>
        </w:rPr>
      </w:pPr>
      <w:r w:rsidRPr="002A6F4E">
        <w:rPr>
          <w:rFonts w:ascii="Arial" w:hAnsi="Arial" w:cs="Arial"/>
          <w:b/>
          <w:lang w:val="sq-AL"/>
        </w:rPr>
        <w:t>Industrije i drugi proizvođači opasnog otpada</w:t>
      </w:r>
      <w:r w:rsidRPr="002A6F4E">
        <w:rPr>
          <w:rFonts w:ascii="Arial" w:hAnsi="Arial" w:cs="Arial"/>
          <w:lang w:val="sq-AL"/>
        </w:rPr>
        <w:t xml:space="preserve"> moraju usvojiti koncept plaćanja zagađivača i odgovornosti proizvođača kako je propisano Zakonom o upravljanju otpadom  i obezbijediti razvoj integrisane mreže za upravljanje opasnim otpadom od sakupljanja do odlaganja</w:t>
      </w:r>
      <w:r w:rsidR="001426D7" w:rsidRPr="002A6F4E">
        <w:rPr>
          <w:rFonts w:ascii="Arial" w:hAnsi="Arial" w:cs="Arial"/>
          <w:lang w:val="sq-AL"/>
        </w:rPr>
        <w:t xml:space="preserve"> </w:t>
      </w:r>
      <w:r w:rsidRPr="002A6F4E">
        <w:rPr>
          <w:rFonts w:ascii="Arial" w:hAnsi="Arial" w:cs="Arial"/>
          <w:lang w:val="sq-AL"/>
        </w:rPr>
        <w:t xml:space="preserve">(mreža za odlaganje otpada u saradnji sa jedinicama lokalne samouprave), kako bi se ispunili ciljevi i zadaci koje su postavili </w:t>
      </w:r>
      <w:r w:rsidR="004A2532">
        <w:rPr>
          <w:rFonts w:ascii="Arial" w:hAnsi="Arial" w:cs="Arial"/>
          <w:lang w:val="sq-AL"/>
        </w:rPr>
        <w:t>državn</w:t>
      </w:r>
      <w:r w:rsidR="004A2532" w:rsidRPr="002A6F4E">
        <w:rPr>
          <w:rFonts w:ascii="Arial" w:hAnsi="Arial" w:cs="Arial"/>
          <w:lang w:val="sq-AL"/>
        </w:rPr>
        <w:t xml:space="preserve">i </w:t>
      </w:r>
      <w:r w:rsidRPr="002A6F4E">
        <w:rPr>
          <w:rFonts w:ascii="Arial" w:hAnsi="Arial" w:cs="Arial"/>
          <w:lang w:val="sq-AL"/>
        </w:rPr>
        <w:t>organi.</w:t>
      </w:r>
    </w:p>
    <w:p w14:paraId="041D3255" w14:textId="77777777" w:rsidR="0054241B" w:rsidRDefault="0054241B" w:rsidP="0054241B">
      <w:pPr>
        <w:spacing w:before="120" w:after="120" w:line="360" w:lineRule="auto"/>
        <w:rPr>
          <w:rFonts w:ascii="Arial" w:hAnsi="Arial" w:cs="Arial"/>
          <w:lang w:val="sq-AL"/>
        </w:rPr>
      </w:pPr>
    </w:p>
    <w:p w14:paraId="32AA9911" w14:textId="77777777" w:rsidR="0054241B" w:rsidRDefault="0054241B" w:rsidP="0054241B">
      <w:pPr>
        <w:spacing w:before="120" w:after="120" w:line="360" w:lineRule="auto"/>
        <w:rPr>
          <w:rFonts w:ascii="Arial" w:hAnsi="Arial" w:cs="Arial"/>
          <w:lang w:val="sq-AL"/>
        </w:rPr>
      </w:pPr>
    </w:p>
    <w:p w14:paraId="1407662B" w14:textId="77777777" w:rsidR="0054241B" w:rsidRDefault="0054241B" w:rsidP="0054241B">
      <w:pPr>
        <w:spacing w:before="120" w:after="120" w:line="360" w:lineRule="auto"/>
        <w:rPr>
          <w:rFonts w:ascii="Arial" w:hAnsi="Arial" w:cs="Arial"/>
          <w:lang w:val="sq-AL"/>
        </w:rPr>
      </w:pPr>
    </w:p>
    <w:p w14:paraId="477A9F53" w14:textId="77777777" w:rsidR="0054241B" w:rsidRDefault="0054241B" w:rsidP="0054241B">
      <w:pPr>
        <w:spacing w:before="120" w:after="120" w:line="360" w:lineRule="auto"/>
        <w:rPr>
          <w:rFonts w:ascii="Arial" w:hAnsi="Arial" w:cs="Arial"/>
          <w:lang w:val="sq-AL"/>
        </w:rPr>
      </w:pPr>
    </w:p>
    <w:p w14:paraId="0D9EC2C4" w14:textId="77777777" w:rsidR="0054241B" w:rsidRDefault="0054241B" w:rsidP="0054241B">
      <w:pPr>
        <w:spacing w:before="120" w:after="120" w:line="360" w:lineRule="auto"/>
        <w:rPr>
          <w:rFonts w:ascii="Arial" w:hAnsi="Arial" w:cs="Arial"/>
          <w:lang w:val="sq-AL"/>
        </w:rPr>
      </w:pPr>
    </w:p>
    <w:p w14:paraId="1927D482" w14:textId="77777777" w:rsidR="0054241B" w:rsidRPr="0054241B" w:rsidRDefault="0054241B" w:rsidP="0054241B">
      <w:pPr>
        <w:spacing w:before="120" w:after="120" w:line="360" w:lineRule="auto"/>
        <w:rPr>
          <w:rFonts w:ascii="Arial" w:hAnsi="Arial" w:cs="Arial"/>
          <w:lang w:val="sq-AL"/>
        </w:rPr>
      </w:pPr>
    </w:p>
    <w:p w14:paraId="560CE03B" w14:textId="1CF93BAE" w:rsidR="00377063" w:rsidRPr="002A6F4E" w:rsidRDefault="001426D7" w:rsidP="001426D7">
      <w:pPr>
        <w:pStyle w:val="Heading1"/>
        <w:numPr>
          <w:ilvl w:val="0"/>
          <w:numId w:val="0"/>
        </w:numPr>
        <w:ind w:left="360"/>
        <w:rPr>
          <w:sz w:val="20"/>
          <w:szCs w:val="20"/>
        </w:rPr>
      </w:pPr>
      <w:bookmarkStart w:id="1430" w:name="_Toc121759156"/>
      <w:bookmarkStart w:id="1431" w:name="_Toc189759786"/>
      <w:bookmarkStart w:id="1432" w:name="_Toc193354081"/>
      <w:r w:rsidRPr="002A6F4E">
        <w:rPr>
          <w:sz w:val="20"/>
          <w:szCs w:val="20"/>
        </w:rPr>
        <w:lastRenderedPageBreak/>
        <w:t>7.</w:t>
      </w:r>
      <w:r w:rsidR="00A73244">
        <w:rPr>
          <w:sz w:val="20"/>
          <w:szCs w:val="20"/>
        </w:rPr>
        <w:t xml:space="preserve"> </w:t>
      </w:r>
      <w:r w:rsidR="000C58F5">
        <w:rPr>
          <w:sz w:val="20"/>
          <w:szCs w:val="20"/>
        </w:rPr>
        <w:t>Program za sprečavanje</w:t>
      </w:r>
      <w:r w:rsidR="00377063" w:rsidRPr="002A6F4E">
        <w:rPr>
          <w:sz w:val="20"/>
          <w:szCs w:val="20"/>
        </w:rPr>
        <w:t xml:space="preserve"> nastanka otpada</w:t>
      </w:r>
      <w:bookmarkEnd w:id="1430"/>
      <w:bookmarkEnd w:id="1431"/>
      <w:bookmarkEnd w:id="1432"/>
    </w:p>
    <w:p w14:paraId="47030C7A" w14:textId="53A63E60" w:rsidR="00377063" w:rsidRPr="002A6F4E" w:rsidRDefault="00377063" w:rsidP="00377063">
      <w:pPr>
        <w:widowControl w:val="0"/>
        <w:shd w:val="clear" w:color="auto" w:fill="C5E0B3" w:themeFill="accent6" w:themeFillTint="66"/>
        <w:spacing w:before="120" w:after="120" w:line="360" w:lineRule="auto"/>
        <w:rPr>
          <w:rFonts w:ascii="Arial" w:hAnsi="Arial" w:cs="Arial"/>
          <w:i/>
          <w:iCs/>
          <w:lang w:val="sq-AL"/>
        </w:rPr>
      </w:pPr>
      <w:r w:rsidRPr="002A6F4E">
        <w:rPr>
          <w:rFonts w:ascii="Arial" w:hAnsi="Arial" w:cs="Arial"/>
          <w:i/>
          <w:iCs/>
          <w:lang w:val="sq-AL"/>
        </w:rPr>
        <w:t>Crna Gora je široko fokusirana na sprečavanje stvaranja otpada i preusmjeravanje otpada sa deponija, koriš</w:t>
      </w:r>
      <w:r w:rsidR="004A2532">
        <w:rPr>
          <w:rFonts w:ascii="Arial" w:hAnsi="Arial" w:cs="Arial"/>
          <w:i/>
          <w:iCs/>
          <w:lang w:val="sq-AL"/>
        </w:rPr>
        <w:t>ć</w:t>
      </w:r>
      <w:r w:rsidRPr="002A6F4E">
        <w:rPr>
          <w:rFonts w:ascii="Arial" w:hAnsi="Arial" w:cs="Arial"/>
          <w:i/>
          <w:iCs/>
          <w:lang w:val="sq-AL"/>
        </w:rPr>
        <w:t>enjem koncepta cirkularne ekonomije za pokretanje održivog, inkluzivnog ekonomskog rasta i razvoja u sektoru otpada, uz istovremeno smanjenje društvenih i ekoloških uticaja otpada</w:t>
      </w:r>
      <w:r w:rsidR="009306C5">
        <w:rPr>
          <w:rFonts w:ascii="Arial" w:hAnsi="Arial" w:cs="Arial"/>
          <w:i/>
          <w:iCs/>
          <w:lang w:val="sq-AL"/>
        </w:rPr>
        <w:t>.</w:t>
      </w:r>
      <w:r w:rsidRPr="002A6F4E">
        <w:rPr>
          <w:rFonts w:ascii="Arial" w:hAnsi="Arial" w:cs="Arial"/>
          <w:lang w:val="sq-AL"/>
        </w:rPr>
        <w:t xml:space="preserve"> </w:t>
      </w:r>
    </w:p>
    <w:p w14:paraId="5B028461" w14:textId="7191975A"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Aktuelno zakonodavstvo EU definiš</w:t>
      </w:r>
      <w:r w:rsidR="003A61C0">
        <w:rPr>
          <w:rFonts w:ascii="Arial" w:hAnsi="Arial" w:cs="Arial"/>
          <w:lang w:val="sq-AL"/>
        </w:rPr>
        <w:t>e</w:t>
      </w:r>
      <w:r w:rsidRPr="002A6F4E">
        <w:rPr>
          <w:rFonts w:ascii="Arial" w:hAnsi="Arial" w:cs="Arial"/>
          <w:lang w:val="sq-AL"/>
        </w:rPr>
        <w:t xml:space="preserve"> prevenciju kao skup mjera koje treba preduzeti prije nego što bilo koja supstanca, materijal ili proizvod postane otpad, a pri čemu mjere takođe moraju doprin</w:t>
      </w:r>
      <w:r w:rsidR="00D34724">
        <w:rPr>
          <w:rFonts w:ascii="Arial" w:hAnsi="Arial" w:cs="Arial"/>
          <w:lang w:val="sq-AL"/>
        </w:rPr>
        <w:t>ij</w:t>
      </w:r>
      <w:r w:rsidRPr="002A6F4E">
        <w:rPr>
          <w:rFonts w:ascii="Arial" w:hAnsi="Arial" w:cs="Arial"/>
          <w:lang w:val="sq-AL"/>
        </w:rPr>
        <w:t>eti smanjenju:</w:t>
      </w:r>
    </w:p>
    <w:p w14:paraId="0A9D51D6" w14:textId="4AC485E3" w:rsidR="00377063" w:rsidRPr="002A6F4E" w:rsidRDefault="00377063" w:rsidP="00A23ED0">
      <w:pPr>
        <w:pStyle w:val="ListParagraph"/>
        <w:widowControl w:val="0"/>
        <w:numPr>
          <w:ilvl w:val="0"/>
          <w:numId w:val="83"/>
        </w:numPr>
        <w:spacing w:before="120" w:after="120" w:line="360" w:lineRule="auto"/>
        <w:contextualSpacing w:val="0"/>
        <w:rPr>
          <w:rFonts w:ascii="Arial" w:hAnsi="Arial" w:cs="Arial"/>
          <w:lang w:val="sq-AL"/>
        </w:rPr>
      </w:pPr>
      <w:r w:rsidRPr="002A6F4E">
        <w:rPr>
          <w:rFonts w:ascii="Arial" w:hAnsi="Arial" w:cs="Arial"/>
          <w:lang w:val="sq-AL"/>
        </w:rPr>
        <w:t>količin</w:t>
      </w:r>
      <w:r w:rsidR="00C71A0F">
        <w:rPr>
          <w:rFonts w:ascii="Arial" w:hAnsi="Arial" w:cs="Arial"/>
          <w:lang w:val="sq-AL"/>
        </w:rPr>
        <w:t>a</w:t>
      </w:r>
      <w:r w:rsidRPr="002A6F4E">
        <w:rPr>
          <w:rFonts w:ascii="Arial" w:hAnsi="Arial" w:cs="Arial"/>
          <w:lang w:val="sq-AL"/>
        </w:rPr>
        <w:t xml:space="preserve"> otpada (uključujući pripremu za ponovnu upotrebu ili produženje vijeka trajanja proizvoda);</w:t>
      </w:r>
    </w:p>
    <w:p w14:paraId="505934FD" w14:textId="77777777" w:rsidR="00377063" w:rsidRPr="002A6F4E" w:rsidRDefault="00377063" w:rsidP="00A23ED0">
      <w:pPr>
        <w:pStyle w:val="ListParagraph"/>
        <w:widowControl w:val="0"/>
        <w:numPr>
          <w:ilvl w:val="0"/>
          <w:numId w:val="83"/>
        </w:numPr>
        <w:spacing w:before="120" w:after="120" w:line="360" w:lineRule="auto"/>
        <w:contextualSpacing w:val="0"/>
        <w:rPr>
          <w:rFonts w:ascii="Arial" w:hAnsi="Arial" w:cs="Arial"/>
          <w:lang w:val="sq-AL"/>
        </w:rPr>
      </w:pPr>
      <w:r w:rsidRPr="002A6F4E">
        <w:rPr>
          <w:rFonts w:ascii="Arial" w:hAnsi="Arial" w:cs="Arial"/>
          <w:lang w:val="sq-AL"/>
        </w:rPr>
        <w:t>negativanog uticaja otpada na zdravlje pojedinaca i životnu sredinu;</w:t>
      </w:r>
    </w:p>
    <w:p w14:paraId="0952BB3C" w14:textId="77777777" w:rsidR="00377063" w:rsidRPr="002A6F4E" w:rsidRDefault="00377063" w:rsidP="00A23ED0">
      <w:pPr>
        <w:pStyle w:val="ListParagraph"/>
        <w:widowControl w:val="0"/>
        <w:numPr>
          <w:ilvl w:val="0"/>
          <w:numId w:val="83"/>
        </w:numPr>
        <w:spacing w:before="120" w:after="120" w:line="360" w:lineRule="auto"/>
        <w:contextualSpacing w:val="0"/>
        <w:rPr>
          <w:rFonts w:ascii="Arial" w:hAnsi="Arial" w:cs="Arial"/>
          <w:lang w:val="sq-AL"/>
        </w:rPr>
      </w:pPr>
      <w:r w:rsidRPr="002A6F4E">
        <w:rPr>
          <w:rFonts w:ascii="Arial" w:hAnsi="Arial" w:cs="Arial"/>
          <w:lang w:val="sq-AL"/>
        </w:rPr>
        <w:t>sadržaja opasnih supstanci u materijalima i proizvodima.</w:t>
      </w:r>
    </w:p>
    <w:p w14:paraId="45E5A0CC" w14:textId="4692D6EF" w:rsidR="00377063" w:rsidRPr="002A6F4E" w:rsidRDefault="00377063" w:rsidP="00377063">
      <w:pPr>
        <w:widowControl w:val="0"/>
        <w:spacing w:before="120" w:after="120" w:line="360" w:lineRule="auto"/>
        <w:rPr>
          <w:rFonts w:ascii="Arial" w:hAnsi="Arial" w:cs="Arial"/>
          <w:i/>
          <w:iCs/>
          <w:u w:val="single"/>
          <w:lang w:val="sq-AL"/>
        </w:rPr>
      </w:pPr>
      <w:r w:rsidRPr="002A6F4E">
        <w:rPr>
          <w:rFonts w:ascii="Arial" w:hAnsi="Arial" w:cs="Arial"/>
          <w:lang w:val="sq-AL"/>
        </w:rPr>
        <w:t>Postoji potreba da se radi u skladu sa hijerarhijom otpada u kojoj je prevencija otpada uvijek prvi korak</w:t>
      </w:r>
      <w:r w:rsidR="001426D7" w:rsidRPr="002A6F4E">
        <w:rPr>
          <w:rFonts w:ascii="Arial" w:hAnsi="Arial" w:cs="Arial"/>
          <w:lang w:val="sq-AL"/>
        </w:rPr>
        <w:t>.</w:t>
      </w:r>
    </w:p>
    <w:p w14:paraId="15568E33" w14:textId="1A7F2775" w:rsidR="00377063" w:rsidRPr="002A6F4E" w:rsidRDefault="00377063" w:rsidP="00377063">
      <w:pPr>
        <w:widowControl w:val="0"/>
        <w:spacing w:before="120" w:after="120" w:line="360" w:lineRule="auto"/>
        <w:rPr>
          <w:rFonts w:ascii="Arial" w:hAnsi="Arial" w:cs="Arial"/>
          <w:i/>
          <w:iCs/>
          <w:lang w:val="sq-AL"/>
        </w:rPr>
      </w:pPr>
      <w:r w:rsidRPr="002A6F4E">
        <w:rPr>
          <w:rFonts w:ascii="Arial" w:hAnsi="Arial" w:cs="Arial"/>
          <w:lang w:val="sq-AL"/>
        </w:rPr>
        <w:t>Sprečavanje otpada podrazumijeva smanjenje količine generisanog otpada, smanjenje opasnog sadržaja tog otpada i smanjenje njegovog uticaja na životnu sredinu.</w:t>
      </w:r>
    </w:p>
    <w:p w14:paraId="3499F712" w14:textId="1B196BC7"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 xml:space="preserve">Prevencija otpada (PO) je unakrsna oblast kreiranja politike i ima direktnu relevantnost za značajan broj već uspostavljenih oblasti politike, kako u oblasti životne sredine (npr. sistemi upravljanja životnom sredinom), tako i specifičnih, prvenstveno neekoloških oblasti (kao što je politika inovacija), koje imaju dobar potencijal da smanje količinu i/ili </w:t>
      </w:r>
      <w:r w:rsidR="004A2532">
        <w:rPr>
          <w:rFonts w:ascii="Arial" w:hAnsi="Arial" w:cs="Arial"/>
          <w:lang w:val="sq-AL"/>
        </w:rPr>
        <w:t>negativne</w:t>
      </w:r>
      <w:r w:rsidR="004A2532" w:rsidRPr="002A6F4E">
        <w:rPr>
          <w:rFonts w:ascii="Arial" w:hAnsi="Arial" w:cs="Arial"/>
          <w:lang w:val="sq-AL"/>
        </w:rPr>
        <w:t xml:space="preserve"> </w:t>
      </w:r>
      <w:r w:rsidRPr="002A6F4E">
        <w:rPr>
          <w:rFonts w:ascii="Arial" w:hAnsi="Arial" w:cs="Arial"/>
          <w:lang w:val="sq-AL"/>
        </w:rPr>
        <w:t>uticaje generisanog otpada, kako na nivou EU, tako i na nivou država članica.</w:t>
      </w:r>
    </w:p>
    <w:p w14:paraId="11A83E64" w14:textId="2BAD2FF4"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 xml:space="preserve">Pored toga, EK predlaže nova pravila o ambalaži širom EU, kako bi se </w:t>
      </w:r>
      <w:r w:rsidR="00C71A0F">
        <w:rPr>
          <w:rFonts w:ascii="Arial" w:hAnsi="Arial" w:cs="Arial"/>
          <w:lang w:val="sq-AL"/>
        </w:rPr>
        <w:t>riješio problem sa</w:t>
      </w:r>
      <w:r w:rsidRPr="002A6F4E">
        <w:rPr>
          <w:rFonts w:ascii="Arial" w:hAnsi="Arial" w:cs="Arial"/>
          <w:lang w:val="sq-AL"/>
        </w:rPr>
        <w:t xml:space="preserve"> stalnim nagomilavanjem otpada. U prosjeku, svaki Evropljanin generiše skoro 180 kg ambalažnog otpada godišnje. Ambalaža je jedan od glavnih korisnika neiskorišćenih materijala jer je 40% plastike i 50% papira koji se koristi u EU namjenjeno za pakovanje. Bez akcije, EU bi do 2030. godine bilježila dalji porast ambalažnog otpada od 19%, a</w:t>
      </w:r>
      <w:r w:rsidR="00D34724">
        <w:rPr>
          <w:rFonts w:ascii="Arial" w:hAnsi="Arial" w:cs="Arial"/>
          <w:lang w:val="sq-AL"/>
        </w:rPr>
        <w:t xml:space="preserve"> </w:t>
      </w:r>
      <w:r w:rsidRPr="002A6F4E">
        <w:rPr>
          <w:rFonts w:ascii="Arial" w:hAnsi="Arial" w:cs="Arial"/>
          <w:lang w:val="sq-AL"/>
        </w:rPr>
        <w:t>plastičnog ambalažnog otpada čak 46%.</w:t>
      </w:r>
    </w:p>
    <w:p w14:paraId="7E6E356D" w14:textId="6EAB5963"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 xml:space="preserve">Nova pravila imaju za cilj da zaustave ovaj trend. Za potrošače će </w:t>
      </w:r>
      <w:r w:rsidRPr="002A6F4E">
        <w:rPr>
          <w:rFonts w:ascii="Arial" w:hAnsi="Arial" w:cs="Arial"/>
          <w:b/>
          <w:bCs/>
          <w:lang w:val="sq-AL"/>
        </w:rPr>
        <w:t>obezbijediti opcije pakovanja za višekratnu upotrebu,</w:t>
      </w:r>
      <w:r w:rsidRPr="002A6F4E">
        <w:rPr>
          <w:rFonts w:ascii="Arial" w:hAnsi="Arial" w:cs="Arial"/>
          <w:lang w:val="sq-AL"/>
        </w:rPr>
        <w:t xml:space="preserve"> </w:t>
      </w:r>
      <w:r w:rsidRPr="002A6F4E">
        <w:rPr>
          <w:rFonts w:ascii="Arial" w:hAnsi="Arial" w:cs="Arial"/>
          <w:b/>
          <w:bCs/>
          <w:lang w:val="sq-AL"/>
        </w:rPr>
        <w:t>osloboditi se nepotrebnog pakovanja,</w:t>
      </w:r>
      <w:r w:rsidRPr="002A6F4E">
        <w:rPr>
          <w:rFonts w:ascii="Arial" w:hAnsi="Arial" w:cs="Arial"/>
          <w:lang w:val="sq-AL"/>
        </w:rPr>
        <w:t xml:space="preserve"> pretjeranog pakovanja i obezbijediti </w:t>
      </w:r>
      <w:r w:rsidRPr="002A6F4E">
        <w:rPr>
          <w:rFonts w:ascii="Arial" w:hAnsi="Arial" w:cs="Arial"/>
          <w:b/>
          <w:bCs/>
          <w:lang w:val="sq-AL"/>
        </w:rPr>
        <w:t>jasne etikete</w:t>
      </w:r>
      <w:r w:rsidRPr="002A6F4E">
        <w:rPr>
          <w:rFonts w:ascii="Arial" w:hAnsi="Arial" w:cs="Arial"/>
          <w:lang w:val="sq-AL"/>
        </w:rPr>
        <w:t xml:space="preserve"> koje će podržati recikl</w:t>
      </w:r>
      <w:r w:rsidR="004A2532">
        <w:rPr>
          <w:rFonts w:ascii="Arial" w:hAnsi="Arial" w:cs="Arial"/>
          <w:lang w:val="sq-AL"/>
        </w:rPr>
        <w:t>iranje</w:t>
      </w:r>
      <w:r w:rsidRPr="002A6F4E">
        <w:rPr>
          <w:rFonts w:ascii="Arial" w:hAnsi="Arial" w:cs="Arial"/>
          <w:lang w:val="sq-AL"/>
        </w:rPr>
        <w:t xml:space="preserve">. Za industriju, pravila će stvoriti </w:t>
      </w:r>
      <w:r w:rsidRPr="002A6F4E">
        <w:rPr>
          <w:rFonts w:ascii="Arial" w:hAnsi="Arial" w:cs="Arial"/>
          <w:b/>
          <w:bCs/>
          <w:lang w:val="sq-AL"/>
        </w:rPr>
        <w:t>nove poslovne mogućnosti,</w:t>
      </w:r>
      <w:r w:rsidRPr="002A6F4E">
        <w:rPr>
          <w:rFonts w:ascii="Arial" w:hAnsi="Arial" w:cs="Arial"/>
          <w:lang w:val="sq-AL"/>
        </w:rPr>
        <w:t xml:space="preserve"> posebno za manja preduzeća, smanjiti potrebu za </w:t>
      </w:r>
      <w:r w:rsidRPr="002A6F4E">
        <w:rPr>
          <w:rFonts w:ascii="Arial" w:hAnsi="Arial" w:cs="Arial"/>
          <w:b/>
          <w:bCs/>
          <w:lang w:val="sq-AL"/>
        </w:rPr>
        <w:t>neiskorišćenim materijalima</w:t>
      </w:r>
      <w:r w:rsidRPr="002A6F4E">
        <w:rPr>
          <w:rFonts w:ascii="Arial" w:hAnsi="Arial" w:cs="Arial"/>
          <w:lang w:val="sq-AL"/>
        </w:rPr>
        <w:t>, povećati kapacitete Evrope u pogledu recikl</w:t>
      </w:r>
      <w:r w:rsidR="004A2532">
        <w:rPr>
          <w:rFonts w:ascii="Arial" w:hAnsi="Arial" w:cs="Arial"/>
          <w:lang w:val="sq-AL"/>
        </w:rPr>
        <w:t>iranja</w:t>
      </w:r>
      <w:r w:rsidRPr="002A6F4E">
        <w:rPr>
          <w:rFonts w:ascii="Arial" w:hAnsi="Arial" w:cs="Arial"/>
          <w:lang w:val="sq-AL"/>
        </w:rPr>
        <w:t xml:space="preserve"> i učiniti Evropu manje zavisnom od primarnih resursa i spoljnih dobavljača. Komisija ima za cilj da do 2050. godine sektor ambalaže postavi na pravi put za </w:t>
      </w:r>
      <w:r w:rsidRPr="002A6F4E">
        <w:rPr>
          <w:rFonts w:ascii="Arial" w:hAnsi="Arial" w:cs="Arial"/>
          <w:b/>
          <w:bCs/>
          <w:lang w:val="sq-AL"/>
        </w:rPr>
        <w:t>klimatsku neutralnost.</w:t>
      </w:r>
    </w:p>
    <w:p w14:paraId="65049227" w14:textId="3493EB79"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Predložena revizija zakonodavstva EU o ambalaži i ambalažnom otpadu ima tri glavna cilja</w:t>
      </w:r>
      <w:r w:rsidR="00C71A0F">
        <w:rPr>
          <w:rFonts w:ascii="Arial" w:hAnsi="Arial" w:cs="Arial"/>
          <w:lang w:val="sq-AL"/>
        </w:rPr>
        <w:t>:</w:t>
      </w:r>
    </w:p>
    <w:p w14:paraId="7B67D03C" w14:textId="3E9110A5" w:rsidR="00377063" w:rsidRPr="00D34724" w:rsidRDefault="00D34724" w:rsidP="00D34724">
      <w:pPr>
        <w:widowControl w:val="0"/>
        <w:tabs>
          <w:tab w:val="left" w:pos="270"/>
        </w:tabs>
        <w:spacing w:before="120" w:after="120" w:line="360" w:lineRule="auto"/>
        <w:ind w:left="180"/>
        <w:rPr>
          <w:rFonts w:ascii="Arial" w:hAnsi="Arial" w:cs="Arial"/>
          <w:lang w:val="sq-AL"/>
        </w:rPr>
      </w:pPr>
      <w:r>
        <w:rPr>
          <w:rFonts w:ascii="Arial" w:hAnsi="Arial" w:cs="Arial"/>
          <w:lang w:val="sq-AL"/>
        </w:rPr>
        <w:t xml:space="preserve">  </w:t>
      </w:r>
      <w:r w:rsidRPr="00D34724">
        <w:rPr>
          <w:rFonts w:ascii="Arial" w:hAnsi="Arial" w:cs="Arial"/>
          <w:lang w:val="sq-AL"/>
        </w:rPr>
        <w:t xml:space="preserve">I </w:t>
      </w:r>
      <w:r w:rsidR="00377063" w:rsidRPr="00D34724">
        <w:rPr>
          <w:rFonts w:ascii="Arial" w:hAnsi="Arial" w:cs="Arial"/>
          <w:lang w:val="sq-AL"/>
        </w:rPr>
        <w:t>Sprečavanje stvaranja ambalažnog otpada: količinski smanjiti ambalažni, ograničiti nepotrebno pakovanje i promovisati rješenja koja nude ambalažu koja može da se dopunjuje i više puta koristi.</w:t>
      </w:r>
    </w:p>
    <w:p w14:paraId="58AC877B" w14:textId="5E385026" w:rsidR="00377063" w:rsidRPr="00D34724" w:rsidRDefault="00D34724" w:rsidP="00D34724">
      <w:pPr>
        <w:widowControl w:val="0"/>
        <w:spacing w:before="120" w:after="120" w:line="360" w:lineRule="auto"/>
        <w:rPr>
          <w:rFonts w:ascii="Arial" w:hAnsi="Arial" w:cs="Arial"/>
          <w:lang w:val="sq-AL"/>
        </w:rPr>
      </w:pPr>
      <w:r>
        <w:rPr>
          <w:rFonts w:ascii="Arial" w:hAnsi="Arial" w:cs="Arial"/>
          <w:lang w:val="sq-AL"/>
        </w:rPr>
        <w:t xml:space="preserve">     II </w:t>
      </w:r>
      <w:r w:rsidRPr="00D34724">
        <w:rPr>
          <w:rFonts w:ascii="Arial" w:hAnsi="Arial" w:cs="Arial"/>
          <w:lang w:val="sq-AL"/>
        </w:rPr>
        <w:t xml:space="preserve"> </w:t>
      </w:r>
      <w:r w:rsidR="00377063" w:rsidRPr="00D34724">
        <w:rPr>
          <w:rFonts w:ascii="Arial" w:hAnsi="Arial" w:cs="Arial"/>
          <w:lang w:val="sq-AL"/>
        </w:rPr>
        <w:t>Podsticanje recikl</w:t>
      </w:r>
      <w:r w:rsidR="008815E3">
        <w:rPr>
          <w:rFonts w:ascii="Arial" w:hAnsi="Arial" w:cs="Arial"/>
          <w:lang w:val="sq-AL"/>
        </w:rPr>
        <w:t>iranja</w:t>
      </w:r>
      <w:r w:rsidR="00377063" w:rsidRPr="00D34724">
        <w:rPr>
          <w:rFonts w:ascii="Arial" w:hAnsi="Arial" w:cs="Arial"/>
          <w:lang w:val="sq-AL"/>
        </w:rPr>
        <w:t xml:space="preserve"> visokog kvaliteta (zatvorene petlje): učiniti da se sva ambalaža na tržištu EU može reciklirati na ekonomski održiv način do 2030. godine.</w:t>
      </w:r>
    </w:p>
    <w:p w14:paraId="6DD652EC" w14:textId="57DB6198" w:rsidR="00377063" w:rsidRPr="00D34724" w:rsidRDefault="00D34724" w:rsidP="00D34724">
      <w:pPr>
        <w:widowControl w:val="0"/>
        <w:spacing w:before="120" w:after="120" w:line="360" w:lineRule="auto"/>
        <w:rPr>
          <w:rFonts w:ascii="Arial" w:hAnsi="Arial" w:cs="Arial"/>
          <w:lang w:val="sq-AL"/>
        </w:rPr>
      </w:pPr>
      <w:r>
        <w:rPr>
          <w:rFonts w:ascii="Arial" w:hAnsi="Arial" w:cs="Arial"/>
          <w:lang w:val="sq-AL"/>
        </w:rPr>
        <w:lastRenderedPageBreak/>
        <w:t xml:space="preserve">     </w:t>
      </w:r>
      <w:r w:rsidRPr="00D34724">
        <w:rPr>
          <w:rFonts w:ascii="Arial" w:hAnsi="Arial" w:cs="Arial"/>
          <w:lang w:val="sq-AL"/>
        </w:rPr>
        <w:t>III</w:t>
      </w:r>
      <w:r>
        <w:rPr>
          <w:rFonts w:ascii="Arial" w:hAnsi="Arial" w:cs="Arial"/>
          <w:lang w:val="sq-AL"/>
        </w:rPr>
        <w:t xml:space="preserve"> </w:t>
      </w:r>
      <w:r w:rsidR="00377063" w:rsidRPr="00D34724">
        <w:rPr>
          <w:rFonts w:ascii="Arial" w:hAnsi="Arial" w:cs="Arial"/>
          <w:lang w:val="sq-AL"/>
        </w:rPr>
        <w:t>Smanjenje potrebu za primarnim prirodnim resursima i stvoranje dobro funkcionalnog tržišta za sekundarne sirovine, povećavajući upotrebu reciklirane plastike u ambalaži kroz obavezne ciljeve.</w:t>
      </w:r>
    </w:p>
    <w:p w14:paraId="52380E63" w14:textId="77777777"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Opšti ciljevi postavljeni u prethodnom DPUO 2015-2020 su i danas relevantni i zbog toga se ovi ciljevi usvajaju i proširuju.</w:t>
      </w:r>
    </w:p>
    <w:p w14:paraId="4B8CC01C" w14:textId="615C69C1"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Osnovni cilj DPUO 2025-2029 je razvoj koordinisanog pristupa za stvaranje uslova za manju potrošnju sirovina i transformaciju potrošačkih standarda, sa krajnjim ciljem postizanja postepenog smanjenja stvaranja otpada.</w:t>
      </w:r>
    </w:p>
    <w:p w14:paraId="71B2CB55" w14:textId="77777777"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Prevencija varira od kvantitativne do kvalitativne:</w:t>
      </w:r>
    </w:p>
    <w:p w14:paraId="732F81EC" w14:textId="77777777" w:rsidR="00377063" w:rsidRPr="002A6F4E" w:rsidRDefault="00377063" w:rsidP="00A23ED0">
      <w:pPr>
        <w:pStyle w:val="ListParagraph"/>
        <w:widowControl w:val="0"/>
        <w:numPr>
          <w:ilvl w:val="0"/>
          <w:numId w:val="84"/>
        </w:numPr>
        <w:spacing w:before="120" w:after="120" w:line="360" w:lineRule="auto"/>
        <w:contextualSpacing w:val="0"/>
        <w:rPr>
          <w:rFonts w:ascii="Arial" w:hAnsi="Arial" w:cs="Arial"/>
          <w:lang w:val="sq-AL"/>
        </w:rPr>
      </w:pPr>
      <w:r w:rsidRPr="002A6F4E">
        <w:rPr>
          <w:rFonts w:ascii="Arial" w:hAnsi="Arial" w:cs="Arial"/>
          <w:lang w:val="sq-AL"/>
        </w:rPr>
        <w:t>Kvalitativna prevencija podrazumijeva smanjenje sadržaja opasnih supstanci u otpadu.</w:t>
      </w:r>
    </w:p>
    <w:p w14:paraId="0098394B" w14:textId="332BDD18" w:rsidR="00377063" w:rsidRPr="002A6F4E" w:rsidRDefault="00377063" w:rsidP="00A23ED0">
      <w:pPr>
        <w:pStyle w:val="ListParagraph"/>
        <w:widowControl w:val="0"/>
        <w:numPr>
          <w:ilvl w:val="0"/>
          <w:numId w:val="84"/>
        </w:numPr>
        <w:spacing w:before="120" w:after="120" w:line="360" w:lineRule="auto"/>
        <w:contextualSpacing w:val="0"/>
        <w:rPr>
          <w:rFonts w:ascii="Arial" w:hAnsi="Arial" w:cs="Arial"/>
          <w:lang w:val="sq-AL"/>
        </w:rPr>
      </w:pPr>
      <w:r w:rsidRPr="002A6F4E">
        <w:rPr>
          <w:rFonts w:ascii="Arial" w:hAnsi="Arial" w:cs="Arial"/>
          <w:lang w:val="sq-AL"/>
        </w:rPr>
        <w:t>Kvantitativna prevencija uključuje</w:t>
      </w:r>
      <w:r w:rsidR="00C71A0F">
        <w:rPr>
          <w:rFonts w:ascii="Arial" w:hAnsi="Arial" w:cs="Arial"/>
          <w:lang w:val="sq-AL"/>
        </w:rPr>
        <w:t xml:space="preserve"> selekciju</w:t>
      </w:r>
      <w:r w:rsidRPr="002A6F4E">
        <w:rPr>
          <w:rFonts w:ascii="Arial" w:hAnsi="Arial" w:cs="Arial"/>
          <w:lang w:val="sq-AL"/>
        </w:rPr>
        <w:t xml:space="preserve"> otpada na izvoru (smanjenje na izvoru)</w:t>
      </w:r>
      <w:r w:rsidR="00C71A0F">
        <w:rPr>
          <w:rFonts w:ascii="Arial" w:hAnsi="Arial" w:cs="Arial"/>
          <w:lang w:val="sq-AL"/>
        </w:rPr>
        <w:t xml:space="preserve"> </w:t>
      </w:r>
      <w:r w:rsidR="005C3876" w:rsidRPr="005C3876">
        <w:rPr>
          <w:rFonts w:ascii="Arial" w:hAnsi="Arial" w:cs="Arial"/>
          <w:lang w:val="sq-AL"/>
        </w:rPr>
        <w:t>monitoring</w:t>
      </w:r>
      <w:r w:rsidRPr="002A6F4E">
        <w:rPr>
          <w:rFonts w:ascii="Arial" w:hAnsi="Arial" w:cs="Arial"/>
          <w:lang w:val="sq-AL"/>
        </w:rPr>
        <w:t xml:space="preserve"> proizvoda kada dođe do kraja životnog vijeka, tako da se ne odbacuje (izbjegavanj</w:t>
      </w:r>
      <w:r w:rsidR="00C71A0F">
        <w:rPr>
          <w:rFonts w:ascii="Arial" w:hAnsi="Arial" w:cs="Arial"/>
          <w:lang w:val="sq-AL"/>
        </w:rPr>
        <w:t>e stvaranja</w:t>
      </w:r>
      <w:r w:rsidRPr="002A6F4E">
        <w:rPr>
          <w:rFonts w:ascii="Arial" w:hAnsi="Arial" w:cs="Arial"/>
          <w:lang w:val="sq-AL"/>
        </w:rPr>
        <w:t xml:space="preserve"> otpada), stimulisanje fundamentalnih promjena u </w:t>
      </w:r>
      <w:r w:rsidR="001F0562">
        <w:rPr>
          <w:rFonts w:ascii="Arial" w:hAnsi="Arial" w:cs="Arial"/>
          <w:lang w:val="sq-AL"/>
        </w:rPr>
        <w:t xml:space="preserve">dizajnu </w:t>
      </w:r>
      <w:r w:rsidRPr="002A6F4E">
        <w:rPr>
          <w:rFonts w:ascii="Arial" w:hAnsi="Arial" w:cs="Arial"/>
          <w:lang w:val="sq-AL"/>
        </w:rPr>
        <w:t>proizvod</w:t>
      </w:r>
      <w:r w:rsidR="001F0562">
        <w:rPr>
          <w:rFonts w:ascii="Arial" w:hAnsi="Arial" w:cs="Arial"/>
          <w:lang w:val="sq-AL"/>
        </w:rPr>
        <w:t>a,</w:t>
      </w:r>
      <w:r w:rsidRPr="002A6F4E">
        <w:rPr>
          <w:rFonts w:ascii="Arial" w:hAnsi="Arial" w:cs="Arial"/>
          <w:lang w:val="sq-AL"/>
        </w:rPr>
        <w:t xml:space="preserve"> produžavajući životni vijek </w:t>
      </w:r>
      <w:r w:rsidR="001F0562">
        <w:rPr>
          <w:rFonts w:ascii="Arial" w:hAnsi="Arial" w:cs="Arial"/>
          <w:lang w:val="sq-AL"/>
        </w:rPr>
        <w:t>istog</w:t>
      </w:r>
      <w:r w:rsidRPr="002A6F4E">
        <w:rPr>
          <w:rFonts w:ascii="Arial" w:hAnsi="Arial" w:cs="Arial"/>
          <w:lang w:val="sq-AL"/>
        </w:rPr>
        <w:t xml:space="preserve"> ili razmatranje opcija kao što su ponovna upotreba (preusmjeravanje otpada) i razmatranje potrošnje resursa, uticaja proizvoda na životnu sredinu</w:t>
      </w:r>
      <w:r w:rsidR="008815E3">
        <w:rPr>
          <w:rFonts w:ascii="Arial" w:hAnsi="Arial" w:cs="Arial"/>
          <w:lang w:val="sq-AL"/>
        </w:rPr>
        <w:t>,</w:t>
      </w:r>
      <w:r w:rsidRPr="002A6F4E">
        <w:rPr>
          <w:rFonts w:ascii="Arial" w:hAnsi="Arial" w:cs="Arial"/>
          <w:lang w:val="sq-AL"/>
        </w:rPr>
        <w:t xml:space="preserve"> itd.</w:t>
      </w:r>
    </w:p>
    <w:p w14:paraId="6ADA9DC7" w14:textId="3167A336"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 xml:space="preserve">Opšti </w:t>
      </w:r>
      <w:r w:rsidRPr="002A6F4E">
        <w:rPr>
          <w:rFonts w:ascii="Arial" w:hAnsi="Arial" w:cs="Arial"/>
          <w:b/>
          <w:bCs/>
          <w:lang w:val="sq-AL"/>
        </w:rPr>
        <w:t>kvalitativni ciljevi</w:t>
      </w:r>
      <w:r w:rsidRPr="002A6F4E">
        <w:rPr>
          <w:rFonts w:ascii="Arial" w:hAnsi="Arial" w:cs="Arial"/>
          <w:lang w:val="sq-AL"/>
        </w:rPr>
        <w:t xml:space="preserve"> koji su postavljeni u DPUO</w:t>
      </w:r>
      <w:r w:rsidR="008815E3">
        <w:rPr>
          <w:rFonts w:ascii="Arial" w:hAnsi="Arial" w:cs="Arial"/>
          <w:lang w:val="sq-AL"/>
        </w:rPr>
        <w:t>,</w:t>
      </w:r>
      <w:r w:rsidRPr="002A6F4E">
        <w:rPr>
          <w:rFonts w:ascii="Arial" w:hAnsi="Arial" w:cs="Arial"/>
          <w:lang w:val="sq-AL"/>
        </w:rPr>
        <w:t xml:space="preserve"> su:</w:t>
      </w:r>
    </w:p>
    <w:p w14:paraId="5FE3C996" w14:textId="6677801B" w:rsidR="00377063" w:rsidRPr="002A6F4E" w:rsidRDefault="00377063" w:rsidP="00A23ED0">
      <w:pPr>
        <w:pStyle w:val="ListParagraph"/>
        <w:widowControl w:val="0"/>
        <w:numPr>
          <w:ilvl w:val="0"/>
          <w:numId w:val="85"/>
        </w:numPr>
        <w:spacing w:before="120" w:after="120" w:line="360" w:lineRule="auto"/>
        <w:contextualSpacing w:val="0"/>
        <w:rPr>
          <w:rFonts w:ascii="Arial" w:hAnsi="Arial" w:cs="Arial"/>
          <w:lang w:val="sq-AL"/>
        </w:rPr>
      </w:pPr>
      <w:r w:rsidRPr="002A6F4E">
        <w:rPr>
          <w:rFonts w:ascii="Arial" w:hAnsi="Arial" w:cs="Arial"/>
          <w:lang w:val="sq-AL"/>
        </w:rPr>
        <w:t>promovisanje cirkularne potrošnje, informisanje, podizanje svijesti i obezbjeđivanje alata za građane da pređu sa linearnog na cirkularni model ponašanja i potrošnje</w:t>
      </w:r>
      <w:r w:rsidR="001F0562">
        <w:rPr>
          <w:rFonts w:ascii="Arial" w:hAnsi="Arial" w:cs="Arial"/>
          <w:lang w:val="sq-AL"/>
        </w:rPr>
        <w:t>,</w:t>
      </w:r>
    </w:p>
    <w:p w14:paraId="40B97342" w14:textId="6FED2D8C" w:rsidR="00377063" w:rsidRPr="002A6F4E" w:rsidRDefault="00377063" w:rsidP="00A23ED0">
      <w:pPr>
        <w:pStyle w:val="ListParagraph"/>
        <w:widowControl w:val="0"/>
        <w:numPr>
          <w:ilvl w:val="0"/>
          <w:numId w:val="85"/>
        </w:numPr>
        <w:spacing w:before="120" w:after="120" w:line="360" w:lineRule="auto"/>
        <w:contextualSpacing w:val="0"/>
        <w:rPr>
          <w:rFonts w:ascii="Arial" w:hAnsi="Arial" w:cs="Arial"/>
          <w:lang w:val="sq-AL"/>
        </w:rPr>
      </w:pPr>
      <w:r w:rsidRPr="002A6F4E">
        <w:rPr>
          <w:rFonts w:ascii="Arial" w:hAnsi="Arial" w:cs="Arial"/>
          <w:lang w:val="sq-AL"/>
        </w:rPr>
        <w:t xml:space="preserve">usvajanje ciljeva smanjenja otpada za </w:t>
      </w:r>
      <w:r w:rsidR="008815E3">
        <w:rPr>
          <w:rFonts w:ascii="Arial" w:hAnsi="Arial" w:cs="Arial"/>
          <w:lang w:val="sq-AL"/>
        </w:rPr>
        <w:t>posebne vrste</w:t>
      </w:r>
      <w:r w:rsidRPr="002A6F4E">
        <w:rPr>
          <w:rFonts w:ascii="Arial" w:hAnsi="Arial" w:cs="Arial"/>
          <w:lang w:val="sq-AL"/>
        </w:rPr>
        <w:t xml:space="preserve"> otpada</w:t>
      </w:r>
      <w:r w:rsidR="001F0562">
        <w:rPr>
          <w:rFonts w:ascii="Arial" w:hAnsi="Arial" w:cs="Arial"/>
          <w:lang w:val="sq-AL"/>
        </w:rPr>
        <w:t>,</w:t>
      </w:r>
    </w:p>
    <w:p w14:paraId="258776CE" w14:textId="21EA8856" w:rsidR="00377063" w:rsidRPr="002A6F4E" w:rsidRDefault="00377063" w:rsidP="00A23ED0">
      <w:pPr>
        <w:pStyle w:val="ListParagraph"/>
        <w:widowControl w:val="0"/>
        <w:numPr>
          <w:ilvl w:val="0"/>
          <w:numId w:val="85"/>
        </w:numPr>
        <w:spacing w:before="120" w:after="120" w:line="360" w:lineRule="auto"/>
        <w:contextualSpacing w:val="0"/>
        <w:rPr>
          <w:rFonts w:ascii="Arial" w:hAnsi="Arial" w:cs="Arial"/>
          <w:lang w:val="sq-AL"/>
        </w:rPr>
      </w:pPr>
      <w:r w:rsidRPr="002A6F4E">
        <w:rPr>
          <w:rFonts w:ascii="Arial" w:hAnsi="Arial" w:cs="Arial"/>
          <w:lang w:val="sq-AL"/>
        </w:rPr>
        <w:t>promovisanje shvatanja da je otpad resurs koji se koristi u širem kontekstu cirkularne ekonomije</w:t>
      </w:r>
      <w:r w:rsidR="001F0562">
        <w:rPr>
          <w:rFonts w:ascii="Arial" w:hAnsi="Arial" w:cs="Arial"/>
          <w:lang w:val="sq-AL"/>
        </w:rPr>
        <w:t>,</w:t>
      </w:r>
    </w:p>
    <w:p w14:paraId="58E58FC8" w14:textId="754E7546" w:rsidR="00377063" w:rsidRPr="002A6F4E" w:rsidRDefault="00377063" w:rsidP="00A23ED0">
      <w:pPr>
        <w:pStyle w:val="ListParagraph"/>
        <w:widowControl w:val="0"/>
        <w:numPr>
          <w:ilvl w:val="0"/>
          <w:numId w:val="85"/>
        </w:numPr>
        <w:spacing w:before="120" w:after="120" w:line="360" w:lineRule="auto"/>
        <w:contextualSpacing w:val="0"/>
        <w:rPr>
          <w:rFonts w:ascii="Arial" w:hAnsi="Arial" w:cs="Arial"/>
          <w:lang w:val="sq-AL"/>
        </w:rPr>
      </w:pPr>
      <w:r w:rsidRPr="002A6F4E">
        <w:rPr>
          <w:rFonts w:ascii="Arial" w:hAnsi="Arial" w:cs="Arial"/>
          <w:lang w:val="sq-AL"/>
        </w:rPr>
        <w:t>jačanje akcija prevencije otpada putem integrisane i sistematske kampanje podizanja svijesti javnosti</w:t>
      </w:r>
      <w:r w:rsidR="001F0562">
        <w:rPr>
          <w:rFonts w:ascii="Arial" w:hAnsi="Arial" w:cs="Arial"/>
          <w:lang w:val="sq-AL"/>
        </w:rPr>
        <w:t>,</w:t>
      </w:r>
    </w:p>
    <w:p w14:paraId="79C9C86A" w14:textId="5DF5E441" w:rsidR="00377063" w:rsidRPr="002A6F4E" w:rsidRDefault="00377063" w:rsidP="00A23ED0">
      <w:pPr>
        <w:pStyle w:val="ListParagraph"/>
        <w:widowControl w:val="0"/>
        <w:numPr>
          <w:ilvl w:val="0"/>
          <w:numId w:val="85"/>
        </w:numPr>
        <w:spacing w:before="120" w:after="120" w:line="360" w:lineRule="auto"/>
        <w:contextualSpacing w:val="0"/>
        <w:rPr>
          <w:rFonts w:ascii="Arial" w:hAnsi="Arial" w:cs="Arial"/>
          <w:lang w:val="sq-AL"/>
        </w:rPr>
      </w:pPr>
      <w:r w:rsidRPr="002A6F4E">
        <w:rPr>
          <w:rFonts w:ascii="Arial" w:hAnsi="Arial" w:cs="Arial"/>
          <w:lang w:val="sq-AL"/>
        </w:rPr>
        <w:t>promovisanje izrade opštinskih planova za prevenciju otpada</w:t>
      </w:r>
      <w:r w:rsidR="001F0562">
        <w:rPr>
          <w:rFonts w:ascii="Arial" w:hAnsi="Arial" w:cs="Arial"/>
          <w:lang w:val="sq-AL"/>
        </w:rPr>
        <w:t>,</w:t>
      </w:r>
    </w:p>
    <w:p w14:paraId="4D1A85C4" w14:textId="1154633D" w:rsidR="00377063" w:rsidRPr="002A6F4E" w:rsidRDefault="00377063" w:rsidP="00A23ED0">
      <w:pPr>
        <w:pStyle w:val="ListParagraph"/>
        <w:widowControl w:val="0"/>
        <w:numPr>
          <w:ilvl w:val="0"/>
          <w:numId w:val="85"/>
        </w:numPr>
        <w:spacing w:before="120" w:after="120" w:line="360" w:lineRule="auto"/>
        <w:contextualSpacing w:val="0"/>
        <w:rPr>
          <w:rFonts w:ascii="Arial" w:hAnsi="Arial" w:cs="Arial"/>
          <w:lang w:val="sq-AL"/>
        </w:rPr>
      </w:pPr>
      <w:r w:rsidRPr="002A6F4E">
        <w:rPr>
          <w:rFonts w:ascii="Arial" w:hAnsi="Arial" w:cs="Arial"/>
          <w:lang w:val="sq-AL"/>
        </w:rPr>
        <w:t>maksimiziranje uvođenja najboljih dostupnih tehnika (BAT) u proizvodni proces kako bi se spriječilo stvaranje otpada i poboljšale kvalitativne karakteristike otpada</w:t>
      </w:r>
      <w:r w:rsidR="001F0562">
        <w:rPr>
          <w:rFonts w:ascii="Arial" w:hAnsi="Arial" w:cs="Arial"/>
          <w:lang w:val="sq-AL"/>
        </w:rPr>
        <w:t>,</w:t>
      </w:r>
    </w:p>
    <w:p w14:paraId="0D8A8267" w14:textId="6D6FCE69" w:rsidR="00377063" w:rsidRPr="002A6F4E" w:rsidRDefault="00377063" w:rsidP="00A23ED0">
      <w:pPr>
        <w:pStyle w:val="ListParagraph"/>
        <w:widowControl w:val="0"/>
        <w:numPr>
          <w:ilvl w:val="0"/>
          <w:numId w:val="85"/>
        </w:numPr>
        <w:spacing w:before="120" w:after="120" w:line="360" w:lineRule="auto"/>
        <w:contextualSpacing w:val="0"/>
        <w:rPr>
          <w:rFonts w:ascii="Arial" w:hAnsi="Arial" w:cs="Arial"/>
          <w:lang w:val="sq-AL"/>
        </w:rPr>
      </w:pPr>
      <w:r w:rsidRPr="002A6F4E">
        <w:rPr>
          <w:rFonts w:ascii="Arial" w:hAnsi="Arial" w:cs="Arial"/>
          <w:lang w:val="sq-AL"/>
        </w:rPr>
        <w:t>razvoj metodologija za minimiziranje prisustva štetnih / opasnih materija u recikliranim materijalima</w:t>
      </w:r>
      <w:r w:rsidR="001F0562">
        <w:rPr>
          <w:rFonts w:ascii="Arial" w:hAnsi="Arial" w:cs="Arial"/>
          <w:lang w:val="sq-AL"/>
        </w:rPr>
        <w:t>.</w:t>
      </w:r>
    </w:p>
    <w:p w14:paraId="15B966DD" w14:textId="77777777" w:rsidR="00377063" w:rsidRPr="002A6F4E" w:rsidRDefault="00377063" w:rsidP="00377063">
      <w:pPr>
        <w:widowControl w:val="0"/>
        <w:spacing w:before="120" w:after="120" w:line="360" w:lineRule="auto"/>
        <w:rPr>
          <w:rFonts w:ascii="Arial" w:hAnsi="Arial" w:cs="Arial"/>
          <w:b/>
          <w:bCs/>
          <w:lang w:val="sq-AL"/>
        </w:rPr>
      </w:pPr>
      <w:r w:rsidRPr="002A6F4E">
        <w:rPr>
          <w:rFonts w:ascii="Arial" w:hAnsi="Arial" w:cs="Arial"/>
          <w:b/>
          <w:bCs/>
          <w:lang w:val="sq-AL"/>
        </w:rPr>
        <w:t>Kvantitativni cilj:</w:t>
      </w:r>
    </w:p>
    <w:p w14:paraId="1B13468C" w14:textId="77777777" w:rsidR="00FC3A3A" w:rsidRPr="000269AE" w:rsidRDefault="00377063" w:rsidP="000269AE">
      <w:pPr>
        <w:widowControl w:val="0"/>
        <w:spacing w:before="120" w:after="120" w:line="360" w:lineRule="auto"/>
        <w:rPr>
          <w:rFonts w:ascii="Arial" w:hAnsi="Arial" w:cs="Arial"/>
          <w:lang w:val="sq-AL"/>
        </w:rPr>
      </w:pPr>
      <w:r w:rsidRPr="000269AE">
        <w:rPr>
          <w:rFonts w:ascii="Arial" w:hAnsi="Arial" w:cs="Arial"/>
          <w:lang w:val="sq-AL"/>
        </w:rPr>
        <w:t xml:space="preserve">Strateški cilj DPUO je </w:t>
      </w:r>
      <w:r w:rsidRPr="000269AE">
        <w:rPr>
          <w:rFonts w:ascii="Arial" w:hAnsi="Arial" w:cs="Arial"/>
          <w:u w:val="single"/>
          <w:lang w:val="sq-AL"/>
        </w:rPr>
        <w:t>smanjenje otpada od hrane</w:t>
      </w:r>
      <w:r w:rsidRPr="000269AE">
        <w:rPr>
          <w:rFonts w:ascii="Arial" w:hAnsi="Arial" w:cs="Arial"/>
          <w:lang w:val="sq-AL"/>
        </w:rPr>
        <w:t xml:space="preserve"> po glavi stanovnika za 15% (uključujući 4% biorazgradivog otpada koji će se kompostirati do 202</w:t>
      </w:r>
      <w:r w:rsidR="00752554" w:rsidRPr="000269AE">
        <w:rPr>
          <w:rFonts w:ascii="Arial" w:hAnsi="Arial" w:cs="Arial"/>
          <w:lang w:val="sq-AL"/>
        </w:rPr>
        <w:t>6</w:t>
      </w:r>
      <w:r w:rsidRPr="000269AE">
        <w:rPr>
          <w:rFonts w:ascii="Arial" w:hAnsi="Arial" w:cs="Arial"/>
          <w:lang w:val="sq-AL"/>
        </w:rPr>
        <w:t xml:space="preserve">. godine), do </w:t>
      </w:r>
      <w:r w:rsidR="00F858D9" w:rsidRPr="000269AE">
        <w:rPr>
          <w:rFonts w:ascii="Arial" w:hAnsi="Arial" w:cs="Arial"/>
          <w:lang w:val="sq-AL"/>
        </w:rPr>
        <w:t>2029</w:t>
      </w:r>
      <w:r w:rsidRPr="000269AE">
        <w:rPr>
          <w:rFonts w:ascii="Arial" w:hAnsi="Arial" w:cs="Arial"/>
          <w:lang w:val="sq-AL"/>
        </w:rPr>
        <w:t>. godine, u poređenju sa generisanim otpadom od hrane iz 202</w:t>
      </w:r>
      <w:r w:rsidR="00752554" w:rsidRPr="000269AE">
        <w:rPr>
          <w:rFonts w:ascii="Arial" w:hAnsi="Arial" w:cs="Arial"/>
          <w:lang w:val="sq-AL"/>
        </w:rPr>
        <w:t>4</w:t>
      </w:r>
      <w:r w:rsidRPr="000269AE">
        <w:rPr>
          <w:rFonts w:ascii="Arial" w:hAnsi="Arial" w:cs="Arial"/>
          <w:lang w:val="sq-AL"/>
        </w:rPr>
        <w:t>. godine na maloprodajnom i potrošačkom nivou, i smanjenje:</w:t>
      </w:r>
    </w:p>
    <w:p w14:paraId="4FF86653" w14:textId="37DD865F" w:rsidR="00FC3A3A" w:rsidRDefault="00377063" w:rsidP="00A23ED0">
      <w:pPr>
        <w:pStyle w:val="ListParagraph"/>
        <w:widowControl w:val="0"/>
        <w:numPr>
          <w:ilvl w:val="0"/>
          <w:numId w:val="144"/>
        </w:numPr>
        <w:spacing w:before="120" w:after="120" w:line="360" w:lineRule="auto"/>
        <w:rPr>
          <w:rFonts w:ascii="Arial" w:hAnsi="Arial" w:cs="Arial"/>
          <w:lang w:val="sq-AL"/>
        </w:rPr>
      </w:pPr>
      <w:r w:rsidRPr="00FC3A3A">
        <w:rPr>
          <w:rFonts w:ascii="Arial" w:hAnsi="Arial" w:cs="Arial"/>
          <w:lang w:val="sq-AL"/>
        </w:rPr>
        <w:t>otpada od hrane u primarnoj proizvodnji, u preradi i proizvodnji, u maloprodaji i drugoj distribuciji hrane, u restoranima i prehrambenim uslugama, kao i u domaćinstvima i</w:t>
      </w:r>
    </w:p>
    <w:p w14:paraId="16C39F0B" w14:textId="077A5F7D" w:rsidR="00377063" w:rsidRDefault="00377063" w:rsidP="00A23ED0">
      <w:pPr>
        <w:pStyle w:val="ListParagraph"/>
        <w:widowControl w:val="0"/>
        <w:numPr>
          <w:ilvl w:val="0"/>
          <w:numId w:val="144"/>
        </w:numPr>
        <w:spacing w:before="120" w:after="120" w:line="360" w:lineRule="auto"/>
        <w:rPr>
          <w:rFonts w:ascii="Arial" w:hAnsi="Arial" w:cs="Arial"/>
          <w:lang w:val="sq-AL"/>
        </w:rPr>
      </w:pPr>
      <w:r w:rsidRPr="00FC3A3A">
        <w:rPr>
          <w:rFonts w:ascii="Arial" w:hAnsi="Arial" w:cs="Arial"/>
          <w:lang w:val="sq-AL"/>
        </w:rPr>
        <w:t xml:space="preserve">gubitaka hrane duž lanca proizvodnje i snabdijevanja (Direktiva 2018/851). </w:t>
      </w:r>
    </w:p>
    <w:p w14:paraId="7CADF002" w14:textId="77777777" w:rsidR="00FC3A3A" w:rsidRPr="00FC3A3A" w:rsidRDefault="00FC3A3A" w:rsidP="00FC3A3A">
      <w:pPr>
        <w:pStyle w:val="ListParagraph"/>
        <w:widowControl w:val="0"/>
        <w:spacing w:before="120" w:after="120" w:line="360" w:lineRule="auto"/>
        <w:rPr>
          <w:rFonts w:ascii="Arial" w:hAnsi="Arial" w:cs="Arial"/>
          <w:lang w:val="sq-AL"/>
        </w:rPr>
      </w:pPr>
    </w:p>
    <w:p w14:paraId="69B92CBB" w14:textId="5154B28F" w:rsidR="00377063" w:rsidRPr="000269AE" w:rsidRDefault="000269AE" w:rsidP="000269AE">
      <w:pPr>
        <w:widowControl w:val="0"/>
        <w:spacing w:before="120" w:after="120" w:line="360" w:lineRule="auto"/>
        <w:rPr>
          <w:rFonts w:ascii="Arial" w:hAnsi="Arial" w:cs="Arial"/>
          <w:lang w:val="sq-AL"/>
        </w:rPr>
      </w:pPr>
      <w:r w:rsidRPr="000269AE">
        <w:rPr>
          <w:rFonts w:ascii="Arial" w:hAnsi="Arial" w:cs="Arial"/>
          <w:u w:val="single"/>
          <w:lang w:val="sq-AL"/>
        </w:rPr>
        <w:lastRenderedPageBreak/>
        <w:t xml:space="preserve">Zabrana </w:t>
      </w:r>
      <w:r w:rsidR="00377063" w:rsidRPr="000269AE">
        <w:rPr>
          <w:rFonts w:ascii="Arial" w:hAnsi="Arial" w:cs="Arial"/>
          <w:u w:val="single"/>
          <w:lang w:val="sq-AL"/>
        </w:rPr>
        <w:t>potrošnje</w:t>
      </w:r>
      <w:r w:rsidR="00FC3A3A" w:rsidRPr="000269AE">
        <w:rPr>
          <w:rFonts w:ascii="Arial" w:hAnsi="Arial" w:cs="Arial"/>
          <w:u w:val="single"/>
          <w:lang w:val="sq-AL"/>
        </w:rPr>
        <w:t xml:space="preserve"> o</w:t>
      </w:r>
      <w:r w:rsidRPr="000269AE">
        <w:rPr>
          <w:rFonts w:ascii="Arial" w:hAnsi="Arial" w:cs="Arial"/>
          <w:u w:val="single"/>
          <w:lang w:val="sq-AL"/>
        </w:rPr>
        <w:t>dređenih</w:t>
      </w:r>
      <w:r w:rsidR="00377063" w:rsidRPr="000269AE">
        <w:rPr>
          <w:rFonts w:ascii="Arial" w:hAnsi="Arial" w:cs="Arial"/>
          <w:u w:val="single"/>
          <w:lang w:val="sq-AL"/>
        </w:rPr>
        <w:t xml:space="preserve"> plastičnih proizvoda za jednokratnu upotrebu</w:t>
      </w:r>
      <w:r w:rsidR="00377063" w:rsidRPr="000269AE">
        <w:rPr>
          <w:rFonts w:ascii="Arial" w:hAnsi="Arial" w:cs="Arial"/>
          <w:lang w:val="sq-AL"/>
        </w:rPr>
        <w:t xml:space="preserve"> :</w:t>
      </w:r>
    </w:p>
    <w:p w14:paraId="39A7D023" w14:textId="22AD1047" w:rsidR="00FC3A3A" w:rsidRDefault="00FC3A3A" w:rsidP="00A23ED0">
      <w:pPr>
        <w:pStyle w:val="ListParagraph"/>
        <w:widowControl w:val="0"/>
        <w:numPr>
          <w:ilvl w:val="0"/>
          <w:numId w:val="143"/>
        </w:numPr>
        <w:spacing w:before="120" w:after="120" w:line="360" w:lineRule="auto"/>
        <w:rPr>
          <w:rFonts w:ascii="Arial" w:hAnsi="Arial" w:cs="Arial"/>
          <w:lang w:val="sq-AL"/>
        </w:rPr>
      </w:pPr>
      <w:r w:rsidRPr="00FC3A3A">
        <w:rPr>
          <w:rFonts w:ascii="Arial" w:hAnsi="Arial" w:cs="Arial"/>
          <w:lang w:val="sq-AL"/>
        </w:rPr>
        <w:t>o</w:t>
      </w:r>
      <w:r w:rsidR="00377063" w:rsidRPr="00FC3A3A">
        <w:rPr>
          <w:rFonts w:ascii="Arial" w:hAnsi="Arial" w:cs="Arial"/>
          <w:lang w:val="sq-AL"/>
        </w:rPr>
        <w:t xml:space="preserve">d 20.oktobra 2024. godine </w:t>
      </w:r>
      <w:r w:rsidR="00752554" w:rsidRPr="00FC3A3A">
        <w:rPr>
          <w:rFonts w:ascii="Arial" w:hAnsi="Arial" w:cs="Arial"/>
          <w:lang w:val="sq-AL"/>
        </w:rPr>
        <w:t xml:space="preserve">stupila je na snagu </w:t>
      </w:r>
      <w:r w:rsidRPr="00FC3A3A">
        <w:rPr>
          <w:rFonts w:ascii="Arial" w:hAnsi="Arial" w:cs="Arial"/>
          <w:lang w:val="sq-AL"/>
        </w:rPr>
        <w:t>odredba Zakona o UO</w:t>
      </w:r>
      <w:r w:rsidR="00752554" w:rsidRPr="00FC3A3A">
        <w:rPr>
          <w:rFonts w:ascii="Arial" w:hAnsi="Arial" w:cs="Arial"/>
          <w:lang w:val="sq-AL"/>
        </w:rPr>
        <w:t xml:space="preserve"> o zabrani upotrebe laganih plastičnih kesa debljine zida od 15-50 mikrona</w:t>
      </w:r>
      <w:r w:rsidRPr="00FC3A3A">
        <w:rPr>
          <w:rFonts w:ascii="Arial" w:hAnsi="Arial" w:cs="Arial"/>
          <w:lang w:val="sq-AL"/>
        </w:rPr>
        <w:t>, a Uredbom je</w:t>
      </w:r>
      <w:r w:rsidR="00377063" w:rsidRPr="00FC3A3A">
        <w:rPr>
          <w:rFonts w:ascii="Arial" w:hAnsi="Arial" w:cs="Arial"/>
          <w:lang w:val="sq-AL"/>
        </w:rPr>
        <w:t xml:space="preserve"> uvedena ekološka naknada</w:t>
      </w:r>
      <w:r w:rsidR="00B5317F">
        <w:rPr>
          <w:rFonts w:ascii="Arial" w:hAnsi="Arial" w:cs="Arial"/>
          <w:lang w:val="sq-AL"/>
        </w:rPr>
        <w:t>,</w:t>
      </w:r>
      <w:r>
        <w:rPr>
          <w:rFonts w:ascii="Arial" w:hAnsi="Arial" w:cs="Arial"/>
          <w:lang w:val="sq-AL"/>
        </w:rPr>
        <w:t xml:space="preserve"> i</w:t>
      </w:r>
    </w:p>
    <w:p w14:paraId="2CE58B4C" w14:textId="3B029B42" w:rsidR="00377063" w:rsidRPr="00FC3A3A" w:rsidRDefault="00377063" w:rsidP="00A23ED0">
      <w:pPr>
        <w:pStyle w:val="ListParagraph"/>
        <w:widowControl w:val="0"/>
        <w:numPr>
          <w:ilvl w:val="0"/>
          <w:numId w:val="143"/>
        </w:numPr>
        <w:spacing w:before="120" w:after="120" w:line="360" w:lineRule="auto"/>
        <w:rPr>
          <w:rFonts w:ascii="Arial" w:hAnsi="Arial" w:cs="Arial"/>
          <w:lang w:val="sq-AL"/>
        </w:rPr>
      </w:pPr>
      <w:r w:rsidRPr="00FC3A3A">
        <w:rPr>
          <w:rFonts w:ascii="Arial" w:hAnsi="Arial" w:cs="Arial"/>
          <w:lang w:val="sq-AL"/>
        </w:rPr>
        <w:t>od 20.oktobra.</w:t>
      </w:r>
      <w:r w:rsidR="00752554" w:rsidRPr="00FC3A3A">
        <w:rPr>
          <w:rFonts w:ascii="Arial" w:hAnsi="Arial" w:cs="Arial"/>
          <w:lang w:val="sq-AL"/>
        </w:rPr>
        <w:t xml:space="preserve"> 2024.</w:t>
      </w:r>
      <w:r w:rsidRPr="00FC3A3A">
        <w:rPr>
          <w:rFonts w:ascii="Arial" w:hAnsi="Arial" w:cs="Arial"/>
          <w:lang w:val="sq-AL"/>
        </w:rPr>
        <w:t xml:space="preserve"> godine </w:t>
      </w:r>
      <w:r w:rsidR="00526A4F" w:rsidRPr="00FC3A3A">
        <w:rPr>
          <w:rFonts w:ascii="Arial" w:hAnsi="Arial" w:cs="Arial"/>
          <w:lang w:val="sq-AL"/>
        </w:rPr>
        <w:t>prodavci</w:t>
      </w:r>
      <w:r w:rsidRPr="00FC3A3A">
        <w:rPr>
          <w:rFonts w:ascii="Arial" w:hAnsi="Arial" w:cs="Arial"/>
          <w:lang w:val="sq-AL"/>
        </w:rPr>
        <w:t xml:space="preserve"> plastičnih kesa</w:t>
      </w:r>
      <w:r w:rsidR="00752554" w:rsidRPr="00FC3A3A">
        <w:rPr>
          <w:rFonts w:ascii="Arial" w:hAnsi="Arial" w:cs="Arial"/>
          <w:lang w:val="sq-AL"/>
        </w:rPr>
        <w:t>,</w:t>
      </w:r>
      <w:r w:rsidR="00526A4F" w:rsidRPr="00FC3A3A">
        <w:rPr>
          <w:rFonts w:ascii="Arial" w:hAnsi="Arial" w:cs="Arial"/>
          <w:lang w:val="sq-AL"/>
        </w:rPr>
        <w:t xml:space="preserve"> kesa za nošenje debljine zida preko 50 mikrona</w:t>
      </w:r>
      <w:r w:rsidRPr="00FC3A3A">
        <w:rPr>
          <w:rFonts w:ascii="Arial" w:hAnsi="Arial" w:cs="Arial"/>
          <w:lang w:val="sq-AL"/>
        </w:rPr>
        <w:t>, u obavezi su da plaćaju ekološku naknadu</w:t>
      </w:r>
      <w:r w:rsidR="00752554" w:rsidRPr="00FC3A3A">
        <w:rPr>
          <w:rFonts w:ascii="Arial" w:hAnsi="Arial" w:cs="Arial"/>
          <w:lang w:val="sq-AL"/>
        </w:rPr>
        <w:t xml:space="preserve"> Fondu za zaštitu životne sredine</w:t>
      </w:r>
      <w:r w:rsidR="00FC3A3A">
        <w:rPr>
          <w:rFonts w:ascii="Arial" w:hAnsi="Arial" w:cs="Arial"/>
          <w:lang w:val="sq-AL"/>
        </w:rPr>
        <w:t xml:space="preserve"> </w:t>
      </w:r>
      <w:r w:rsidR="00752554" w:rsidRPr="00FC3A3A">
        <w:rPr>
          <w:rFonts w:ascii="Arial" w:hAnsi="Arial" w:cs="Arial"/>
          <w:lang w:val="sq-AL"/>
        </w:rPr>
        <w:t>(Eko fond)</w:t>
      </w:r>
      <w:r w:rsidR="007B73FE">
        <w:rPr>
          <w:rFonts w:ascii="Arial" w:hAnsi="Arial" w:cs="Arial"/>
          <w:lang w:val="sq-AL"/>
        </w:rPr>
        <w:t>.</w:t>
      </w:r>
    </w:p>
    <w:p w14:paraId="7D1DB7A6" w14:textId="78F95961"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U DPUO</w:t>
      </w:r>
      <w:r w:rsidR="00752554">
        <w:rPr>
          <w:rFonts w:ascii="Arial" w:hAnsi="Arial" w:cs="Arial"/>
          <w:lang w:val="sq-AL"/>
        </w:rPr>
        <w:t xml:space="preserve"> </w:t>
      </w:r>
      <w:r w:rsidRPr="002A6F4E">
        <w:rPr>
          <w:rFonts w:ascii="Arial" w:hAnsi="Arial" w:cs="Arial"/>
          <w:lang w:val="sq-AL"/>
        </w:rPr>
        <w:t xml:space="preserve">su postavljeni i kvantitativni ciljevi za druge </w:t>
      </w:r>
      <w:r w:rsidR="007B73FE">
        <w:rPr>
          <w:rFonts w:ascii="Arial" w:hAnsi="Arial" w:cs="Arial"/>
          <w:lang w:val="sq-AL"/>
        </w:rPr>
        <w:t>vrste</w:t>
      </w:r>
      <w:r w:rsidR="007B73FE" w:rsidRPr="002A6F4E">
        <w:rPr>
          <w:rFonts w:ascii="Arial" w:hAnsi="Arial" w:cs="Arial"/>
          <w:lang w:val="sq-AL"/>
        </w:rPr>
        <w:t xml:space="preserve"> </w:t>
      </w:r>
      <w:r w:rsidRPr="002A6F4E">
        <w:rPr>
          <w:rFonts w:ascii="Arial" w:hAnsi="Arial" w:cs="Arial"/>
          <w:lang w:val="sq-AL"/>
        </w:rPr>
        <w:t>otpada: papir, ambalažni otpad, otpad od električne i elektronske opreme, industrijski otpad, građevinski otpad i otpad od rušenja.</w:t>
      </w:r>
    </w:p>
    <w:p w14:paraId="781B61B9" w14:textId="77777777" w:rsidR="00377063" w:rsidRDefault="00377063" w:rsidP="00377063">
      <w:pPr>
        <w:pStyle w:val="NoSpacing1"/>
        <w:rPr>
          <w:rFonts w:ascii="Arial" w:hAnsi="Arial" w:cs="Arial"/>
          <w:b/>
          <w:sz w:val="20"/>
          <w:szCs w:val="20"/>
          <w:lang w:val="sq-AL"/>
        </w:rPr>
      </w:pPr>
      <w:r w:rsidRPr="002A6F4E">
        <w:rPr>
          <w:rFonts w:ascii="Arial" w:hAnsi="Arial" w:cs="Arial"/>
          <w:b/>
          <w:sz w:val="20"/>
          <w:szCs w:val="20"/>
          <w:lang w:val="sq-AL"/>
        </w:rPr>
        <w:t>Kvalitativni ciljevi:</w:t>
      </w:r>
    </w:p>
    <w:p w14:paraId="7E9C99B5" w14:textId="77777777" w:rsidR="00C112A8" w:rsidRPr="00C112A8" w:rsidRDefault="00C112A8" w:rsidP="00C112A8">
      <w:pPr>
        <w:pStyle w:val="NoSpacing"/>
        <w:rPr>
          <w:lang w:val="sq-AL"/>
        </w:rPr>
      </w:pPr>
    </w:p>
    <w:p w14:paraId="4D80F150" w14:textId="77777777" w:rsidR="00377063" w:rsidRPr="002A6F4E" w:rsidRDefault="00377063" w:rsidP="00377063">
      <w:pPr>
        <w:pStyle w:val="NoSpacing1"/>
        <w:rPr>
          <w:rFonts w:ascii="Arial" w:hAnsi="Arial" w:cs="Arial"/>
          <w:b/>
          <w:bCs/>
          <w:sz w:val="20"/>
          <w:szCs w:val="20"/>
          <w:u w:val="single"/>
          <w:lang w:val="sq-AL"/>
        </w:rPr>
      </w:pPr>
      <w:r w:rsidRPr="002A6F4E">
        <w:rPr>
          <w:rFonts w:ascii="Arial" w:hAnsi="Arial" w:cs="Arial"/>
          <w:b/>
          <w:bCs/>
          <w:sz w:val="20"/>
          <w:szCs w:val="20"/>
          <w:u w:val="single"/>
          <w:lang w:val="sq-AL"/>
        </w:rPr>
        <w:t>Papir</w:t>
      </w:r>
      <w:r w:rsidRPr="002A6F4E">
        <w:rPr>
          <w:rFonts w:ascii="Arial" w:hAnsi="Arial" w:cs="Arial"/>
          <w:b/>
          <w:bCs/>
          <w:sz w:val="20"/>
          <w:szCs w:val="20"/>
          <w:lang w:val="sq-AL"/>
        </w:rPr>
        <w:t>:</w:t>
      </w:r>
    </w:p>
    <w:p w14:paraId="66B674AF" w14:textId="77777777" w:rsidR="00377063" w:rsidRPr="002A6F4E" w:rsidRDefault="00377063" w:rsidP="00377063">
      <w:pPr>
        <w:widowControl w:val="0"/>
        <w:spacing w:before="120" w:after="120" w:line="360" w:lineRule="auto"/>
        <w:ind w:left="720"/>
        <w:rPr>
          <w:rFonts w:ascii="Arial" w:hAnsi="Arial" w:cs="Arial"/>
          <w:lang w:val="sq-AL"/>
        </w:rPr>
      </w:pPr>
      <w:r w:rsidRPr="002A6F4E">
        <w:rPr>
          <w:rFonts w:ascii="Arial" w:hAnsi="Arial" w:cs="Arial"/>
          <w:lang w:val="sq-AL"/>
        </w:rPr>
        <w:t>Glavni cilj prevencije papira je smanjenje potrošnje papira, kroz usvajanje od strane javnosti ekološki prihvatljivijeg ponašanja u pogledu njegove upotrebe i potrošnje, usvajanjem dobrih praksi njegovog smanjenja i ponovne upotrebe. Cilj će se postići prvenstveno kroz komunikacione alate za ekološki odgovornu potrošnju papira od strane preduzeća (npr. smanjenje štampanog reklamnog materijala) i domaćinstava (npr. e-mail), podsticanje ponovne upotrebe i smanjenje potrošnje (npr. dvostrano štampanje) i opšta svijest svih ciljnih grupa (npr. informativni materijal putem elektronskih naloga javnih preduzeća).</w:t>
      </w:r>
    </w:p>
    <w:p w14:paraId="00A749A0" w14:textId="77777777" w:rsidR="00377063" w:rsidRPr="002A6F4E" w:rsidRDefault="00377063" w:rsidP="00377063">
      <w:pPr>
        <w:widowControl w:val="0"/>
        <w:spacing w:before="120" w:after="120" w:line="360" w:lineRule="auto"/>
        <w:rPr>
          <w:rFonts w:ascii="Arial" w:hAnsi="Arial" w:cs="Arial"/>
          <w:b/>
          <w:bCs/>
          <w:u w:val="single"/>
          <w:lang w:val="sq-AL"/>
        </w:rPr>
      </w:pPr>
      <w:r w:rsidRPr="002A6F4E">
        <w:rPr>
          <w:rFonts w:ascii="Arial" w:hAnsi="Arial" w:cs="Arial"/>
          <w:b/>
          <w:bCs/>
          <w:u w:val="single"/>
          <w:lang w:val="sq-AL"/>
        </w:rPr>
        <w:t>Ambalažni otpad:</w:t>
      </w:r>
    </w:p>
    <w:p w14:paraId="2CC02FC1" w14:textId="77777777" w:rsidR="00377063" w:rsidRPr="002A6F4E" w:rsidRDefault="00377063" w:rsidP="00377063">
      <w:pPr>
        <w:widowControl w:val="0"/>
        <w:spacing w:before="120" w:after="120" w:line="360" w:lineRule="auto"/>
        <w:ind w:left="720"/>
        <w:rPr>
          <w:rFonts w:ascii="Arial" w:hAnsi="Arial" w:cs="Arial"/>
          <w:lang w:val="sq-AL"/>
        </w:rPr>
      </w:pPr>
      <w:r w:rsidRPr="002A6F4E">
        <w:rPr>
          <w:rFonts w:ascii="Arial" w:hAnsi="Arial" w:cs="Arial"/>
          <w:lang w:val="sq-AL"/>
        </w:rPr>
        <w:t>Što se tiče ambalažnog otpada, primarni cilj je spriječiti proizvodnju ambalažnog otpada i eliminisati ili minimizirati ekološki otisak ambalaže. Plan promoviše upotrebu ambalaže za višekratnu upotrebu koja je dostupna na tržištu, kao i smanjenje potrošnje plastičnih kesa.</w:t>
      </w:r>
    </w:p>
    <w:p w14:paraId="63F4D488" w14:textId="77777777" w:rsidR="00377063" w:rsidRPr="002A6F4E" w:rsidRDefault="00377063" w:rsidP="00377063">
      <w:pPr>
        <w:widowControl w:val="0"/>
        <w:spacing w:before="120" w:after="120" w:line="360" w:lineRule="auto"/>
        <w:rPr>
          <w:rFonts w:ascii="Arial" w:hAnsi="Arial" w:cs="Arial"/>
          <w:b/>
          <w:bCs/>
          <w:u w:val="single"/>
          <w:lang w:val="sq-AL"/>
        </w:rPr>
      </w:pPr>
      <w:r w:rsidRPr="002A6F4E">
        <w:rPr>
          <w:rFonts w:ascii="Arial" w:hAnsi="Arial" w:cs="Arial"/>
          <w:b/>
          <w:bCs/>
          <w:u w:val="single"/>
          <w:lang w:val="sq-AL"/>
        </w:rPr>
        <w:t>Otpad od električne i elektronske opreme:</w:t>
      </w:r>
    </w:p>
    <w:p w14:paraId="428A4D72" w14:textId="10E6D275" w:rsidR="00377063" w:rsidRPr="002A6F4E" w:rsidRDefault="00377063" w:rsidP="000269AE">
      <w:pPr>
        <w:widowControl w:val="0"/>
        <w:spacing w:before="120" w:after="120" w:line="360" w:lineRule="auto"/>
        <w:rPr>
          <w:rFonts w:ascii="Arial" w:hAnsi="Arial" w:cs="Arial"/>
          <w:lang w:val="sq-AL"/>
        </w:rPr>
      </w:pPr>
      <w:r w:rsidRPr="002A6F4E">
        <w:rPr>
          <w:rFonts w:ascii="Arial" w:hAnsi="Arial" w:cs="Arial"/>
          <w:lang w:val="sq-AL"/>
        </w:rPr>
        <w:t>Glavni cilj prevencije generisanja otpada od električne i elektronske opreme je promovisanje kroz popravku i ponovnu upotrebu električne/elektronske opreme koliko god je to moguće, tako da njihov rad bude pouzdan, na istom ili sličnom nivou kao i novi uređaji.</w:t>
      </w:r>
    </w:p>
    <w:p w14:paraId="4EC9DD17" w14:textId="02247B7E"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U ovom Planu za period 2025-2029, prioritetni tokovi za prevenciju otpada su</w:t>
      </w:r>
      <w:r w:rsidR="00F3494B">
        <w:rPr>
          <w:rFonts w:ascii="Arial" w:hAnsi="Arial" w:cs="Arial"/>
          <w:lang w:val="sq-AL"/>
        </w:rPr>
        <w:t>:</w:t>
      </w:r>
      <w:r w:rsidRPr="002A6F4E">
        <w:rPr>
          <w:rFonts w:ascii="Arial" w:hAnsi="Arial" w:cs="Arial"/>
          <w:lang w:val="sq-AL"/>
        </w:rPr>
        <w:t xml:space="preserve"> </w:t>
      </w:r>
      <w:r w:rsidR="00F3494B">
        <w:rPr>
          <w:rFonts w:ascii="Arial" w:hAnsi="Arial" w:cs="Arial"/>
          <w:b/>
          <w:bCs/>
          <w:lang w:val="sq-AL"/>
        </w:rPr>
        <w:t>I</w:t>
      </w:r>
      <w:r w:rsidRPr="002A6F4E">
        <w:rPr>
          <w:rFonts w:ascii="Arial" w:hAnsi="Arial" w:cs="Arial"/>
          <w:b/>
          <w:bCs/>
          <w:lang w:val="sq-AL"/>
        </w:rPr>
        <w:t xml:space="preserve">) otpad od hrane, </w:t>
      </w:r>
      <w:r w:rsidR="00F3494B">
        <w:rPr>
          <w:rFonts w:ascii="Arial" w:hAnsi="Arial" w:cs="Arial"/>
          <w:b/>
          <w:bCs/>
          <w:lang w:val="sq-AL"/>
        </w:rPr>
        <w:t>II</w:t>
      </w:r>
      <w:r w:rsidRPr="002A6F4E">
        <w:rPr>
          <w:rFonts w:ascii="Arial" w:hAnsi="Arial" w:cs="Arial"/>
          <w:b/>
          <w:bCs/>
          <w:lang w:val="sq-AL"/>
        </w:rPr>
        <w:t xml:space="preserve">) </w:t>
      </w:r>
      <w:r w:rsidR="007B73FE">
        <w:rPr>
          <w:rFonts w:ascii="Arial" w:hAnsi="Arial" w:cs="Arial"/>
          <w:b/>
          <w:bCs/>
          <w:lang w:val="sq-AL"/>
        </w:rPr>
        <w:t xml:space="preserve">otpadni </w:t>
      </w:r>
      <w:r w:rsidRPr="002A6F4E">
        <w:rPr>
          <w:rFonts w:ascii="Arial" w:hAnsi="Arial" w:cs="Arial"/>
          <w:b/>
          <w:bCs/>
          <w:lang w:val="sq-AL"/>
        </w:rPr>
        <w:t>papir</w:t>
      </w:r>
      <w:r w:rsidR="007B73FE">
        <w:rPr>
          <w:rFonts w:ascii="Arial" w:hAnsi="Arial" w:cs="Arial"/>
          <w:b/>
          <w:bCs/>
          <w:lang w:val="sq-AL"/>
        </w:rPr>
        <w:t>,</w:t>
      </w:r>
      <w:r w:rsidRPr="002A6F4E">
        <w:rPr>
          <w:rFonts w:ascii="Arial" w:hAnsi="Arial" w:cs="Arial"/>
          <w:b/>
          <w:bCs/>
          <w:lang w:val="sq-AL"/>
        </w:rPr>
        <w:t xml:space="preserve"> </w:t>
      </w:r>
      <w:r w:rsidR="00F3494B">
        <w:rPr>
          <w:rFonts w:ascii="Arial" w:hAnsi="Arial" w:cs="Arial"/>
          <w:b/>
          <w:bCs/>
          <w:lang w:val="sq-AL"/>
        </w:rPr>
        <w:t>III</w:t>
      </w:r>
      <w:r w:rsidRPr="002A6F4E">
        <w:rPr>
          <w:rFonts w:ascii="Arial" w:hAnsi="Arial" w:cs="Arial"/>
          <w:b/>
          <w:bCs/>
          <w:lang w:val="sq-AL"/>
        </w:rPr>
        <w:t xml:space="preserve">) </w:t>
      </w:r>
      <w:r w:rsidR="007B73FE">
        <w:rPr>
          <w:rFonts w:ascii="Arial" w:hAnsi="Arial" w:cs="Arial"/>
          <w:b/>
          <w:bCs/>
          <w:lang w:val="sq-AL"/>
        </w:rPr>
        <w:t>otpadna</w:t>
      </w:r>
      <w:r w:rsidR="00212FBD">
        <w:rPr>
          <w:rFonts w:ascii="Arial" w:hAnsi="Arial" w:cs="Arial"/>
          <w:b/>
          <w:bCs/>
          <w:lang w:val="sq-AL"/>
        </w:rPr>
        <w:t xml:space="preserve"> </w:t>
      </w:r>
      <w:r w:rsidRPr="002A6F4E">
        <w:rPr>
          <w:rFonts w:ascii="Arial" w:hAnsi="Arial" w:cs="Arial"/>
          <w:b/>
          <w:bCs/>
          <w:lang w:val="sq-AL"/>
        </w:rPr>
        <w:t>ambalaža</w:t>
      </w:r>
      <w:r w:rsidR="00F3494B">
        <w:rPr>
          <w:rFonts w:ascii="Arial" w:hAnsi="Arial" w:cs="Arial"/>
          <w:b/>
          <w:bCs/>
          <w:lang w:val="sq-AL"/>
        </w:rPr>
        <w:t>,</w:t>
      </w:r>
      <w:r w:rsidRPr="002A6F4E">
        <w:rPr>
          <w:rFonts w:ascii="Arial" w:hAnsi="Arial" w:cs="Arial"/>
          <w:b/>
          <w:bCs/>
          <w:lang w:val="sq-AL"/>
        </w:rPr>
        <w:t xml:space="preserve"> </w:t>
      </w:r>
      <w:r w:rsidR="00F3494B">
        <w:rPr>
          <w:rFonts w:ascii="Arial" w:hAnsi="Arial" w:cs="Arial"/>
          <w:b/>
          <w:bCs/>
          <w:lang w:val="sq-AL"/>
        </w:rPr>
        <w:t>IV</w:t>
      </w:r>
      <w:r w:rsidRPr="002A6F4E">
        <w:rPr>
          <w:rFonts w:ascii="Arial" w:hAnsi="Arial" w:cs="Arial"/>
          <w:b/>
          <w:bCs/>
          <w:lang w:val="sq-AL"/>
        </w:rPr>
        <w:t xml:space="preserve">) specijalni plastični otpad i </w:t>
      </w:r>
      <w:r w:rsidR="00F3494B">
        <w:rPr>
          <w:rFonts w:ascii="Arial" w:hAnsi="Arial" w:cs="Arial"/>
          <w:b/>
          <w:bCs/>
          <w:lang w:val="sq-AL"/>
        </w:rPr>
        <w:t>V</w:t>
      </w:r>
      <w:r w:rsidRPr="002A6F4E">
        <w:rPr>
          <w:rFonts w:ascii="Arial" w:hAnsi="Arial" w:cs="Arial"/>
          <w:b/>
          <w:bCs/>
          <w:lang w:val="sq-AL"/>
        </w:rPr>
        <w:t>) otpad od električne i elektronske opreme</w:t>
      </w:r>
      <w:r w:rsidRPr="002A6F4E">
        <w:rPr>
          <w:rFonts w:ascii="Arial" w:hAnsi="Arial" w:cs="Arial"/>
          <w:lang w:val="sq-AL"/>
        </w:rPr>
        <w:t xml:space="preserve">, gdje je predstavljen niz mjera za podsticanje ekoloških poslovnih procesa i brzih društvenih promjena </w:t>
      </w:r>
      <w:r w:rsidR="00074661">
        <w:rPr>
          <w:rFonts w:ascii="Arial" w:hAnsi="Arial" w:cs="Arial"/>
          <w:lang w:val="sq-AL"/>
        </w:rPr>
        <w:t>po principima cirkularne ekonomije</w:t>
      </w:r>
      <w:r w:rsidRPr="002A6F4E">
        <w:rPr>
          <w:rFonts w:ascii="Arial" w:hAnsi="Arial" w:cs="Arial"/>
          <w:lang w:val="sq-AL"/>
        </w:rPr>
        <w:t>.</w:t>
      </w:r>
    </w:p>
    <w:p w14:paraId="31338A8E" w14:textId="77777777" w:rsidR="00377063" w:rsidRPr="000E238F" w:rsidRDefault="00377063" w:rsidP="000E238F">
      <w:pPr>
        <w:pStyle w:val="Heading"/>
      </w:pPr>
      <w:bookmarkStart w:id="1433" w:name="_Toc121759158"/>
      <w:bookmarkStart w:id="1434" w:name="_Toc189759787"/>
      <w:r w:rsidRPr="000E238F">
        <w:t>Postojeći nedostaci i zahtjevi</w:t>
      </w:r>
      <w:bookmarkEnd w:id="1433"/>
      <w:bookmarkEnd w:id="1434"/>
    </w:p>
    <w:p w14:paraId="2BB9DEA9" w14:textId="3A6A5E41"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Ciljevi</w:t>
      </w:r>
      <w:r w:rsidR="0050675F">
        <w:rPr>
          <w:rFonts w:ascii="Arial" w:hAnsi="Arial" w:cs="Arial"/>
          <w:lang w:val="sq-AL"/>
        </w:rPr>
        <w:t xml:space="preserve"> </w:t>
      </w:r>
      <w:r w:rsidRPr="002A6F4E">
        <w:rPr>
          <w:rFonts w:ascii="Arial" w:hAnsi="Arial" w:cs="Arial"/>
          <w:lang w:val="sq-AL"/>
        </w:rPr>
        <w:t>koji su razmatrani u DPUO 2015-2020 ni</w:t>
      </w:r>
      <w:r w:rsidR="0050675F">
        <w:rPr>
          <w:rFonts w:ascii="Arial" w:hAnsi="Arial" w:cs="Arial"/>
          <w:lang w:val="sq-AL"/>
        </w:rPr>
        <w:t>je</w:t>
      </w:r>
      <w:r w:rsidRPr="002A6F4E">
        <w:rPr>
          <w:rFonts w:ascii="Arial" w:hAnsi="Arial" w:cs="Arial"/>
          <w:lang w:val="sq-AL"/>
        </w:rPr>
        <w:t xml:space="preserve">su </w:t>
      </w:r>
      <w:r w:rsidR="0050675F">
        <w:rPr>
          <w:rFonts w:ascii="Arial" w:hAnsi="Arial" w:cs="Arial"/>
          <w:lang w:val="sq-AL"/>
        </w:rPr>
        <w:t xml:space="preserve">u potpunosti </w:t>
      </w:r>
      <w:r w:rsidRPr="002A6F4E">
        <w:rPr>
          <w:rFonts w:ascii="Arial" w:hAnsi="Arial" w:cs="Arial"/>
          <w:lang w:val="sq-AL"/>
        </w:rPr>
        <w:t>postignuti</w:t>
      </w:r>
      <w:r w:rsidR="007B73FE">
        <w:rPr>
          <w:rFonts w:ascii="Arial" w:hAnsi="Arial" w:cs="Arial"/>
          <w:lang w:val="sq-AL"/>
        </w:rPr>
        <w:t xml:space="preserve"> i</w:t>
      </w:r>
      <w:r w:rsidR="0050675F">
        <w:rPr>
          <w:rFonts w:ascii="Arial" w:hAnsi="Arial" w:cs="Arial"/>
          <w:lang w:val="sq-AL"/>
        </w:rPr>
        <w:t xml:space="preserve"> </w:t>
      </w:r>
      <w:r w:rsidRPr="002A6F4E">
        <w:rPr>
          <w:rFonts w:ascii="Arial" w:hAnsi="Arial" w:cs="Arial"/>
          <w:lang w:val="sq-AL"/>
        </w:rPr>
        <w:t>zahtjevi ostaju nepromijenjeni</w:t>
      </w:r>
      <w:r w:rsidR="007B73FE">
        <w:rPr>
          <w:rFonts w:ascii="Arial" w:hAnsi="Arial" w:cs="Arial"/>
          <w:lang w:val="sq-AL"/>
        </w:rPr>
        <w:t>,</w:t>
      </w:r>
      <w:r w:rsidRPr="002A6F4E">
        <w:rPr>
          <w:rFonts w:ascii="Arial" w:hAnsi="Arial" w:cs="Arial"/>
          <w:lang w:val="sq-AL"/>
        </w:rPr>
        <w:t xml:space="preserve"> a izazovi su veći.</w:t>
      </w:r>
      <w:r w:rsidR="00AD38B7">
        <w:rPr>
          <w:rFonts w:ascii="Arial" w:hAnsi="Arial" w:cs="Arial"/>
          <w:lang w:val="sq-AL"/>
        </w:rPr>
        <w:t xml:space="preserve"> </w:t>
      </w:r>
      <w:r w:rsidRPr="002A6F4E">
        <w:rPr>
          <w:rFonts w:ascii="Arial" w:hAnsi="Arial" w:cs="Arial"/>
          <w:lang w:val="sq-AL"/>
        </w:rPr>
        <w:t xml:space="preserve">Imajući u vidu da je prioritet jedinica lokalne samouprave u Crnoj Gori sakupljanje otpada koji nastaje na njihovoj teritoriji (pokrivenost uslugom urbanih i ruralnih područja), kao i </w:t>
      </w:r>
      <w:r w:rsidR="007B73FE">
        <w:rPr>
          <w:rFonts w:ascii="Arial" w:hAnsi="Arial" w:cs="Arial"/>
          <w:lang w:val="sq-AL"/>
        </w:rPr>
        <w:t>izgradnja</w:t>
      </w:r>
      <w:r w:rsidR="007B73FE" w:rsidRPr="002A6F4E">
        <w:rPr>
          <w:rFonts w:ascii="Arial" w:hAnsi="Arial" w:cs="Arial"/>
          <w:lang w:val="sq-AL"/>
        </w:rPr>
        <w:t xml:space="preserve"> </w:t>
      </w:r>
      <w:r w:rsidRPr="002A6F4E">
        <w:rPr>
          <w:rFonts w:ascii="Arial" w:hAnsi="Arial" w:cs="Arial"/>
          <w:lang w:val="sq-AL"/>
        </w:rPr>
        <w:t>neophodne infrastrukture za upravljanje otpadom, u ovom momentu bilo bi isuviše rano da se sprovode stroge mjere i tarife u cilju spr</w:t>
      </w:r>
      <w:r w:rsidR="007B73FE">
        <w:rPr>
          <w:rFonts w:ascii="Arial" w:hAnsi="Arial" w:cs="Arial"/>
          <w:lang w:val="sq-AL"/>
        </w:rPr>
        <w:t>j</w:t>
      </w:r>
      <w:r w:rsidRPr="002A6F4E">
        <w:rPr>
          <w:rFonts w:ascii="Arial" w:hAnsi="Arial" w:cs="Arial"/>
          <w:lang w:val="sq-AL"/>
        </w:rPr>
        <w:t xml:space="preserve">ečavanja stvaranja otpada. U tom smislu, ovaj </w:t>
      </w:r>
      <w:r w:rsidR="000D7745" w:rsidRPr="000D7745">
        <w:rPr>
          <w:rFonts w:ascii="Arial" w:hAnsi="Arial" w:cs="Arial"/>
          <w:lang w:val="sr-Cyrl-ME"/>
        </w:rPr>
        <w:t>Program za sprečavanje nastanka otpada</w:t>
      </w:r>
      <w:r w:rsidRPr="002A6F4E">
        <w:rPr>
          <w:rFonts w:ascii="Arial" w:hAnsi="Arial" w:cs="Arial"/>
          <w:lang w:val="sq-AL"/>
        </w:rPr>
        <w:t xml:space="preserve"> (</w:t>
      </w:r>
      <w:r w:rsidR="000D7745">
        <w:rPr>
          <w:rFonts w:ascii="Arial" w:hAnsi="Arial" w:cs="Arial"/>
          <w:lang w:val="sq-AL"/>
        </w:rPr>
        <w:t>PSNO</w:t>
      </w:r>
      <w:r w:rsidRPr="002A6F4E">
        <w:rPr>
          <w:rFonts w:ascii="Arial" w:hAnsi="Arial" w:cs="Arial"/>
          <w:lang w:val="sq-AL"/>
        </w:rPr>
        <w:t>) predviđa aktivnosti u određenom vremenskom okviru.</w:t>
      </w:r>
    </w:p>
    <w:p w14:paraId="149FB8C9" w14:textId="0EF3E930"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lastRenderedPageBreak/>
        <w:t>Da bi se počeo mijenjati mentalitet građana prema stvaranju otpada, prvo treba planirati dobro organizovane i ciljane kampanje za prevenciju otpada, a zatim iste implementirati. Ove kampanje ne zahtijevaju značajna sredstva i kada se pravilno razviju dovode do značajnog poboljšanja ekoloških performansi lokalnog stanovništva i posljedično do smanjenja ukupnih troškova u vezi sa upravljanjem otpadom.</w:t>
      </w:r>
    </w:p>
    <w:p w14:paraId="4E80C41F" w14:textId="77777777"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U tom kontekstu sljedeće se predlaže:</w:t>
      </w:r>
    </w:p>
    <w:p w14:paraId="0087E10A" w14:textId="77388D6C" w:rsidR="00AD38B7" w:rsidRDefault="00AD38B7" w:rsidP="00AD38B7">
      <w:pPr>
        <w:widowControl w:val="0"/>
        <w:spacing w:before="120" w:after="120" w:line="360" w:lineRule="auto"/>
        <w:rPr>
          <w:rFonts w:ascii="Arial" w:hAnsi="Arial" w:cs="Arial"/>
          <w:lang w:val="sq-AL"/>
        </w:rPr>
      </w:pPr>
      <w:r>
        <w:rPr>
          <w:rFonts w:ascii="Arial" w:hAnsi="Arial" w:cs="Arial"/>
          <w:lang w:val="sq-AL"/>
        </w:rPr>
        <w:t xml:space="preserve">1. </w:t>
      </w:r>
      <w:r w:rsidR="00377063" w:rsidRPr="00AD38B7">
        <w:rPr>
          <w:rFonts w:ascii="Arial" w:hAnsi="Arial" w:cs="Arial"/>
          <w:lang w:val="sq-AL"/>
        </w:rPr>
        <w:t>promovisanje smanjenja otpada od hrane</w:t>
      </w:r>
      <w:r w:rsidR="009669DC">
        <w:rPr>
          <w:rFonts w:ascii="Arial" w:hAnsi="Arial" w:cs="Arial"/>
          <w:lang w:val="sq-AL"/>
        </w:rPr>
        <w:t>,</w:t>
      </w:r>
    </w:p>
    <w:p w14:paraId="788CA431" w14:textId="4F9671BA" w:rsidR="00377063" w:rsidRPr="00AD38B7" w:rsidRDefault="00AD38B7" w:rsidP="00AD38B7">
      <w:pPr>
        <w:widowControl w:val="0"/>
        <w:spacing w:before="120" w:after="120" w:line="360" w:lineRule="auto"/>
        <w:rPr>
          <w:rFonts w:ascii="Arial" w:hAnsi="Arial" w:cs="Arial"/>
          <w:lang w:val="sq-AL"/>
        </w:rPr>
      </w:pPr>
      <w:r>
        <w:rPr>
          <w:rFonts w:ascii="Arial" w:hAnsi="Arial" w:cs="Arial"/>
          <w:lang w:val="sq-AL"/>
        </w:rPr>
        <w:t xml:space="preserve">2. </w:t>
      </w:r>
      <w:r w:rsidR="00377063" w:rsidRPr="00AD38B7">
        <w:rPr>
          <w:rFonts w:ascii="Arial" w:hAnsi="Arial" w:cs="Arial"/>
          <w:lang w:val="sq-AL"/>
        </w:rPr>
        <w:t xml:space="preserve">promovisanje vraćanja i ponovne upotrebe </w:t>
      </w:r>
      <w:r w:rsidR="00526A4F" w:rsidRPr="00AD38B7">
        <w:rPr>
          <w:rFonts w:ascii="Arial" w:hAnsi="Arial" w:cs="Arial"/>
          <w:lang w:val="sq-AL"/>
        </w:rPr>
        <w:t>ambalaže</w:t>
      </w:r>
      <w:r w:rsidR="009669DC">
        <w:rPr>
          <w:rFonts w:ascii="Arial" w:hAnsi="Arial" w:cs="Arial"/>
          <w:lang w:val="sq-AL"/>
        </w:rPr>
        <w:t>,</w:t>
      </w:r>
    </w:p>
    <w:p w14:paraId="4683ED6D" w14:textId="60294932" w:rsidR="00377063" w:rsidRPr="00AD38B7" w:rsidRDefault="00AD38B7" w:rsidP="00AD38B7">
      <w:pPr>
        <w:widowControl w:val="0"/>
        <w:spacing w:before="120" w:after="120" w:line="360" w:lineRule="auto"/>
        <w:rPr>
          <w:rFonts w:ascii="Arial" w:hAnsi="Arial" w:cs="Arial"/>
          <w:lang w:val="sq-AL"/>
        </w:rPr>
      </w:pPr>
      <w:r>
        <w:rPr>
          <w:rFonts w:ascii="Arial" w:hAnsi="Arial" w:cs="Arial"/>
          <w:lang w:val="sq-AL"/>
        </w:rPr>
        <w:t xml:space="preserve">3. </w:t>
      </w:r>
      <w:r w:rsidR="00377063" w:rsidRPr="00AD38B7">
        <w:rPr>
          <w:rFonts w:ascii="Arial" w:hAnsi="Arial" w:cs="Arial"/>
          <w:lang w:val="sq-AL"/>
        </w:rPr>
        <w:t>promovisanje smanjenja upotrebe plastičnih kesa</w:t>
      </w:r>
      <w:r w:rsidR="00526A4F" w:rsidRPr="00AD38B7">
        <w:rPr>
          <w:rFonts w:ascii="Arial" w:hAnsi="Arial" w:cs="Arial"/>
          <w:lang w:val="sq-AL"/>
        </w:rPr>
        <w:t xml:space="preserve"> i plastike</w:t>
      </w:r>
      <w:r w:rsidR="00377063" w:rsidRPr="00AD38B7">
        <w:rPr>
          <w:rFonts w:ascii="Arial" w:hAnsi="Arial" w:cs="Arial"/>
          <w:lang w:val="sq-AL"/>
        </w:rPr>
        <w:t xml:space="preserve"> za jednokratnu upotrebu</w:t>
      </w:r>
    </w:p>
    <w:p w14:paraId="4E3851BA" w14:textId="5995D266" w:rsidR="00377063" w:rsidRPr="00AD38B7" w:rsidRDefault="00AD38B7" w:rsidP="00AD38B7">
      <w:pPr>
        <w:widowControl w:val="0"/>
        <w:spacing w:before="120" w:after="120" w:line="360" w:lineRule="auto"/>
        <w:rPr>
          <w:rFonts w:ascii="Arial" w:hAnsi="Arial" w:cs="Arial"/>
          <w:lang w:val="sq-AL"/>
        </w:rPr>
      </w:pPr>
      <w:r>
        <w:rPr>
          <w:rFonts w:ascii="Arial" w:hAnsi="Arial" w:cs="Arial"/>
          <w:lang w:val="sq-AL"/>
        </w:rPr>
        <w:t xml:space="preserve">4. </w:t>
      </w:r>
      <w:r w:rsidR="00377063" w:rsidRPr="00AD38B7">
        <w:rPr>
          <w:rFonts w:ascii="Arial" w:hAnsi="Arial" w:cs="Arial"/>
          <w:lang w:val="sq-AL"/>
        </w:rPr>
        <w:t>promovisanje kompostiranja kod kuće i u zajednici, posebno u ruralnim oblastima zemlje</w:t>
      </w:r>
      <w:r w:rsidR="009669DC">
        <w:rPr>
          <w:rFonts w:ascii="Arial" w:hAnsi="Arial" w:cs="Arial"/>
          <w:lang w:val="sq-AL"/>
        </w:rPr>
        <w:t>.</w:t>
      </w:r>
    </w:p>
    <w:p w14:paraId="61A43252" w14:textId="77777777" w:rsidR="00377063" w:rsidRPr="002A6F4E" w:rsidRDefault="00377063" w:rsidP="00893EF0">
      <w:pPr>
        <w:pStyle w:val="Heading"/>
      </w:pPr>
      <w:bookmarkStart w:id="1435" w:name="_Toc121759159"/>
      <w:bookmarkStart w:id="1436" w:name="_Toc189759788"/>
      <w:r w:rsidRPr="002A6F4E">
        <w:t>Predložene mjere, aktivnosti, vremenski raspored i indikatori</w:t>
      </w:r>
      <w:bookmarkEnd w:id="1435"/>
      <w:bookmarkEnd w:id="1436"/>
    </w:p>
    <w:p w14:paraId="732B6740" w14:textId="77777777"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Predstavljen je set mjera, u cilju spriječavanja stvaranja otpada, na osnovu:</w:t>
      </w:r>
    </w:p>
    <w:p w14:paraId="6324FEEE" w14:textId="77777777" w:rsidR="00377063" w:rsidRPr="002A6F4E" w:rsidRDefault="00377063" w:rsidP="00A23ED0">
      <w:pPr>
        <w:pStyle w:val="ListParagraph"/>
        <w:widowControl w:val="0"/>
        <w:numPr>
          <w:ilvl w:val="0"/>
          <w:numId w:val="86"/>
        </w:numPr>
        <w:spacing w:before="120" w:after="120" w:line="360" w:lineRule="auto"/>
        <w:contextualSpacing w:val="0"/>
        <w:rPr>
          <w:rFonts w:ascii="Arial" w:hAnsi="Arial" w:cs="Arial"/>
          <w:lang w:val="sq-AL"/>
        </w:rPr>
      </w:pPr>
      <w:r w:rsidRPr="002A6F4E">
        <w:rPr>
          <w:rFonts w:ascii="Arial" w:hAnsi="Arial" w:cs="Arial"/>
          <w:lang w:val="sq-AL"/>
        </w:rPr>
        <w:t>aktuelne situacije u zemlji,</w:t>
      </w:r>
    </w:p>
    <w:p w14:paraId="1D54D3E5" w14:textId="30BAF488" w:rsidR="00377063" w:rsidRPr="002A6F4E" w:rsidRDefault="00AD38B7" w:rsidP="00A23ED0">
      <w:pPr>
        <w:pStyle w:val="ListParagraph"/>
        <w:widowControl w:val="0"/>
        <w:numPr>
          <w:ilvl w:val="0"/>
          <w:numId w:val="86"/>
        </w:numPr>
        <w:spacing w:before="120" w:after="120" w:line="360" w:lineRule="auto"/>
        <w:contextualSpacing w:val="0"/>
        <w:rPr>
          <w:rFonts w:ascii="Arial" w:hAnsi="Arial" w:cs="Arial"/>
          <w:lang w:val="sq-AL"/>
        </w:rPr>
      </w:pPr>
      <w:r>
        <w:rPr>
          <w:rFonts w:ascii="Arial" w:hAnsi="Arial" w:cs="Arial"/>
          <w:lang w:val="sq-AL"/>
        </w:rPr>
        <w:t>važećeg</w:t>
      </w:r>
      <w:r w:rsidR="00377063" w:rsidRPr="002A6F4E">
        <w:rPr>
          <w:rFonts w:ascii="Arial" w:hAnsi="Arial" w:cs="Arial"/>
          <w:lang w:val="sq-AL"/>
        </w:rPr>
        <w:t xml:space="preserve"> zakonodavstva,</w:t>
      </w:r>
    </w:p>
    <w:p w14:paraId="5A51AD17" w14:textId="77777777" w:rsidR="00377063" w:rsidRPr="002A6F4E" w:rsidRDefault="00377063" w:rsidP="00A23ED0">
      <w:pPr>
        <w:pStyle w:val="ListParagraph"/>
        <w:widowControl w:val="0"/>
        <w:numPr>
          <w:ilvl w:val="0"/>
          <w:numId w:val="86"/>
        </w:numPr>
        <w:spacing w:before="120" w:after="120" w:line="360" w:lineRule="auto"/>
        <w:contextualSpacing w:val="0"/>
        <w:rPr>
          <w:rFonts w:ascii="Arial" w:hAnsi="Arial" w:cs="Arial"/>
          <w:lang w:val="sq-AL"/>
        </w:rPr>
      </w:pPr>
      <w:r w:rsidRPr="002A6F4E">
        <w:rPr>
          <w:rFonts w:ascii="Arial" w:hAnsi="Arial" w:cs="Arial"/>
          <w:lang w:val="sq-AL"/>
        </w:rPr>
        <w:t>važeće direktive EU,</w:t>
      </w:r>
    </w:p>
    <w:p w14:paraId="0A6A2E57" w14:textId="77777777" w:rsidR="00377063" w:rsidRPr="002A6F4E" w:rsidRDefault="00377063" w:rsidP="00A23ED0">
      <w:pPr>
        <w:pStyle w:val="ListParagraph"/>
        <w:widowControl w:val="0"/>
        <w:numPr>
          <w:ilvl w:val="0"/>
          <w:numId w:val="86"/>
        </w:numPr>
        <w:spacing w:before="120" w:after="120" w:line="360" w:lineRule="auto"/>
        <w:contextualSpacing w:val="0"/>
        <w:rPr>
          <w:rFonts w:ascii="Arial" w:hAnsi="Arial" w:cs="Arial"/>
          <w:lang w:val="sq-AL"/>
        </w:rPr>
      </w:pPr>
      <w:r w:rsidRPr="002A6F4E">
        <w:rPr>
          <w:rFonts w:ascii="Arial" w:hAnsi="Arial" w:cs="Arial"/>
          <w:lang w:val="sq-AL"/>
        </w:rPr>
        <w:t>posebnih uslova Crne Gore,</w:t>
      </w:r>
    </w:p>
    <w:p w14:paraId="2680710F" w14:textId="77777777" w:rsidR="00377063" w:rsidRPr="002A6F4E" w:rsidRDefault="00377063" w:rsidP="00A23ED0">
      <w:pPr>
        <w:pStyle w:val="ListParagraph"/>
        <w:widowControl w:val="0"/>
        <w:numPr>
          <w:ilvl w:val="0"/>
          <w:numId w:val="86"/>
        </w:numPr>
        <w:spacing w:before="120" w:after="120" w:line="360" w:lineRule="auto"/>
        <w:contextualSpacing w:val="0"/>
        <w:rPr>
          <w:rFonts w:ascii="Arial" w:hAnsi="Arial" w:cs="Arial"/>
          <w:lang w:val="sq-AL"/>
        </w:rPr>
      </w:pPr>
      <w:r w:rsidRPr="002A6F4E">
        <w:rPr>
          <w:rFonts w:ascii="Arial" w:hAnsi="Arial" w:cs="Arial"/>
          <w:lang w:val="sq-AL"/>
        </w:rPr>
        <w:t>prioritetnih sektora i tokova,</w:t>
      </w:r>
    </w:p>
    <w:p w14:paraId="287E21CB" w14:textId="77777777" w:rsidR="00377063" w:rsidRPr="002A6F4E" w:rsidRDefault="00377063" w:rsidP="00A23ED0">
      <w:pPr>
        <w:pStyle w:val="ListParagraph"/>
        <w:widowControl w:val="0"/>
        <w:numPr>
          <w:ilvl w:val="0"/>
          <w:numId w:val="86"/>
        </w:numPr>
        <w:spacing w:before="120" w:after="120" w:line="360" w:lineRule="auto"/>
        <w:contextualSpacing w:val="0"/>
        <w:rPr>
          <w:rFonts w:ascii="Arial" w:hAnsi="Arial" w:cs="Arial"/>
          <w:lang w:val="sq-AL"/>
        </w:rPr>
      </w:pPr>
      <w:r w:rsidRPr="002A6F4E">
        <w:rPr>
          <w:rFonts w:ascii="Arial" w:hAnsi="Arial" w:cs="Arial"/>
          <w:lang w:val="sq-AL"/>
        </w:rPr>
        <w:t>postavljenih ciljeva za prevenciju,</w:t>
      </w:r>
    </w:p>
    <w:p w14:paraId="09E33E51" w14:textId="77777777" w:rsidR="00377063" w:rsidRPr="002A6F4E" w:rsidRDefault="00377063" w:rsidP="00A23ED0">
      <w:pPr>
        <w:pStyle w:val="ListParagraph"/>
        <w:widowControl w:val="0"/>
        <w:numPr>
          <w:ilvl w:val="0"/>
          <w:numId w:val="86"/>
        </w:numPr>
        <w:spacing w:before="120" w:after="120" w:line="360" w:lineRule="auto"/>
        <w:contextualSpacing w:val="0"/>
        <w:rPr>
          <w:rFonts w:ascii="Arial" w:hAnsi="Arial" w:cs="Arial"/>
          <w:lang w:val="sq-AL"/>
        </w:rPr>
      </w:pPr>
      <w:r w:rsidRPr="002A6F4E">
        <w:rPr>
          <w:rFonts w:ascii="Arial" w:hAnsi="Arial" w:cs="Arial"/>
          <w:lang w:val="sq-AL"/>
        </w:rPr>
        <w:t>odgovarajućih mjera drugih evropskih zemalja.</w:t>
      </w:r>
    </w:p>
    <w:p w14:paraId="6DDA6D88" w14:textId="77777777"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na način da su  široko prihvaćeni, ali i primjenljivi i izvodljivi.</w:t>
      </w:r>
    </w:p>
    <w:p w14:paraId="6FA8FEE0" w14:textId="77777777" w:rsidR="00377063" w:rsidRPr="002A6F4E" w:rsidRDefault="00377063" w:rsidP="000E238F">
      <w:pPr>
        <w:pStyle w:val="Heading"/>
      </w:pPr>
      <w:bookmarkStart w:id="1437" w:name="_Toc121759160"/>
      <w:bookmarkStart w:id="1438" w:name="_Toc189759789"/>
      <w:r w:rsidRPr="002A6F4E">
        <w:t>Horizontalne mjere</w:t>
      </w:r>
      <w:bookmarkEnd w:id="1437"/>
      <w:bookmarkEnd w:id="1438"/>
      <w:r w:rsidRPr="002A6F4E">
        <w:t xml:space="preserve"> </w:t>
      </w:r>
    </w:p>
    <w:p w14:paraId="4146DCF9" w14:textId="1DAEB7E9" w:rsidR="00377063" w:rsidRPr="002A6F4E" w:rsidRDefault="00377063" w:rsidP="00377063">
      <w:pPr>
        <w:widowControl w:val="0"/>
        <w:spacing w:before="120" w:after="120" w:line="360" w:lineRule="auto"/>
        <w:rPr>
          <w:rFonts w:ascii="Arial" w:hAnsi="Arial" w:cs="Arial"/>
          <w:lang w:val="sq-AL"/>
        </w:rPr>
      </w:pPr>
      <w:r w:rsidRPr="002A6F4E">
        <w:rPr>
          <w:rFonts w:ascii="Arial" w:hAnsi="Arial" w:cs="Arial"/>
          <w:lang w:val="sq-AL"/>
        </w:rPr>
        <w:t>Mjere horizontalne implementacije su navedene u nastavku za sve prioritetne sektore novog DPUO, kao i za tokove van prioritetnih sektora u kojima će se iste primjenjivati:</w:t>
      </w:r>
    </w:p>
    <w:p w14:paraId="56981133" w14:textId="77777777" w:rsidR="00377063" w:rsidRPr="002A6F4E" w:rsidRDefault="00377063" w:rsidP="00A23ED0">
      <w:pPr>
        <w:pStyle w:val="ListParagraph"/>
        <w:widowControl w:val="0"/>
        <w:numPr>
          <w:ilvl w:val="0"/>
          <w:numId w:val="87"/>
        </w:numPr>
        <w:spacing w:before="120" w:after="120" w:line="360" w:lineRule="auto"/>
        <w:contextualSpacing w:val="0"/>
        <w:rPr>
          <w:rFonts w:ascii="Arial" w:hAnsi="Arial" w:cs="Arial"/>
          <w:u w:val="single"/>
          <w:lang w:val="sq-AL"/>
        </w:rPr>
      </w:pPr>
      <w:r w:rsidRPr="002A6F4E">
        <w:rPr>
          <w:rFonts w:ascii="Arial" w:hAnsi="Arial" w:cs="Arial"/>
          <w:u w:val="single"/>
          <w:lang w:val="sq-AL"/>
        </w:rPr>
        <w:t>Promjena ponašanja:</w:t>
      </w:r>
    </w:p>
    <w:p w14:paraId="22D8BC14" w14:textId="6317550B"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q-AL"/>
        </w:rPr>
      </w:pPr>
      <w:r w:rsidRPr="002A6F4E">
        <w:rPr>
          <w:rFonts w:ascii="Arial" w:hAnsi="Arial" w:cs="Arial"/>
          <w:lang w:val="sq-AL"/>
        </w:rPr>
        <w:t xml:space="preserve">Podsticanje optimalnog korišćenja postojećih, kao i budućih finansijskih instrumenata </w:t>
      </w:r>
      <w:r w:rsidR="009669DC">
        <w:rPr>
          <w:rFonts w:ascii="Arial" w:hAnsi="Arial" w:cs="Arial"/>
          <w:lang w:val="sq-AL"/>
        </w:rPr>
        <w:t xml:space="preserve">Crne Gore i </w:t>
      </w:r>
      <w:r w:rsidRPr="002A6F4E">
        <w:rPr>
          <w:rFonts w:ascii="Arial" w:hAnsi="Arial" w:cs="Arial"/>
          <w:lang w:val="sq-AL"/>
        </w:rPr>
        <w:t>EU kako bi se obezbijedio prav</w:t>
      </w:r>
      <w:r w:rsidR="009669DC">
        <w:rPr>
          <w:rFonts w:ascii="Arial" w:hAnsi="Arial" w:cs="Arial"/>
          <w:lang w:val="sq-AL"/>
        </w:rPr>
        <w:t>edan</w:t>
      </w:r>
      <w:r w:rsidRPr="002A6F4E">
        <w:rPr>
          <w:rFonts w:ascii="Arial" w:hAnsi="Arial" w:cs="Arial"/>
          <w:lang w:val="sq-AL"/>
        </w:rPr>
        <w:t xml:space="preserve"> prelazak na cirkularnu ekonomiju (CE), kako na lokalnom i regionalnom nivou, tako i na nivou preduzeća i građana – predlaže se formiranje posebnog plana za finansiranje akcija cirkularne ekonomije.</w:t>
      </w:r>
    </w:p>
    <w:p w14:paraId="6FB409FA" w14:textId="77777777"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q-AL"/>
        </w:rPr>
      </w:pPr>
      <w:r w:rsidRPr="002A6F4E">
        <w:rPr>
          <w:rFonts w:ascii="Arial" w:hAnsi="Arial" w:cs="Arial"/>
          <w:lang w:val="sq-AL"/>
        </w:rPr>
        <w:t>Promocija i usvajanje zelenih javnih ugovora u važnim sektorima privrede.</w:t>
      </w:r>
    </w:p>
    <w:p w14:paraId="68EFBD4B" w14:textId="77777777"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q-AL"/>
        </w:rPr>
      </w:pPr>
      <w:r w:rsidRPr="002A6F4E">
        <w:rPr>
          <w:rFonts w:ascii="Arial" w:hAnsi="Arial" w:cs="Arial"/>
          <w:lang w:val="sq-AL"/>
        </w:rPr>
        <w:t>Uspostavljanje podsticaja i destimulacija za proizvođače otpada, građane, privredu i jedinice lokalnih samouprava.</w:t>
      </w:r>
    </w:p>
    <w:p w14:paraId="503DE1A7" w14:textId="67463D35"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q-AL"/>
        </w:rPr>
      </w:pPr>
      <w:r w:rsidRPr="002A6F4E">
        <w:rPr>
          <w:rFonts w:ascii="Arial" w:hAnsi="Arial" w:cs="Arial"/>
          <w:lang w:val="sq-AL"/>
        </w:rPr>
        <w:t xml:space="preserve">Posebno za turistička područja, promocija akcija za sprečavanje stvaranja otpada usljed </w:t>
      </w:r>
      <w:r w:rsidRPr="002A6F4E">
        <w:rPr>
          <w:rFonts w:ascii="Arial" w:hAnsi="Arial" w:cs="Arial"/>
          <w:lang w:val="sq-AL"/>
        </w:rPr>
        <w:lastRenderedPageBreak/>
        <w:t>turističkih tokova, kao što su:</w:t>
      </w:r>
    </w:p>
    <w:p w14:paraId="7106A3B9" w14:textId="0CA70508" w:rsidR="00377063" w:rsidRPr="002A6F4E" w:rsidRDefault="00377063" w:rsidP="00A23ED0">
      <w:pPr>
        <w:pStyle w:val="ListParagraph"/>
        <w:widowControl w:val="0"/>
        <w:numPr>
          <w:ilvl w:val="2"/>
          <w:numId w:val="87"/>
        </w:numPr>
        <w:spacing w:before="120" w:after="120" w:line="360" w:lineRule="auto"/>
        <w:contextualSpacing w:val="0"/>
        <w:rPr>
          <w:rFonts w:ascii="Arial" w:hAnsi="Arial" w:cs="Arial"/>
          <w:lang w:val="sq-AL"/>
        </w:rPr>
      </w:pPr>
      <w:r w:rsidRPr="002A6F4E">
        <w:rPr>
          <w:rFonts w:ascii="Arial" w:hAnsi="Arial" w:cs="Arial"/>
          <w:lang w:val="sq-AL"/>
        </w:rPr>
        <w:t>obuka-edukacija osoblja velikih hotelskih objekata/turističkog smještaja, u vezi sa sprečavanjem generisanja otpada i racionalnog upravljanja nastalim otpadom.</w:t>
      </w:r>
    </w:p>
    <w:p w14:paraId="26C3EB2B" w14:textId="77777777" w:rsidR="00377063" w:rsidRPr="002A6F4E" w:rsidRDefault="00377063" w:rsidP="00A23ED0">
      <w:pPr>
        <w:pStyle w:val="ListParagraph"/>
        <w:widowControl w:val="0"/>
        <w:numPr>
          <w:ilvl w:val="2"/>
          <w:numId w:val="87"/>
        </w:numPr>
        <w:spacing w:before="120" w:after="120" w:line="360" w:lineRule="auto"/>
        <w:contextualSpacing w:val="0"/>
        <w:rPr>
          <w:rFonts w:ascii="Arial" w:hAnsi="Arial" w:cs="Arial"/>
          <w:lang w:val="sq-AL"/>
        </w:rPr>
      </w:pPr>
      <w:r w:rsidRPr="002A6F4E">
        <w:rPr>
          <w:rFonts w:ascii="Arial" w:hAnsi="Arial" w:cs="Arial"/>
          <w:lang w:val="sq-AL"/>
        </w:rPr>
        <w:t>podsticanje turističkih preduzeća za implementaciju i sertifikaciju sistema upravljanja životnom sredinom i/ili za izdavanje eko-oznaka.</w:t>
      </w:r>
    </w:p>
    <w:p w14:paraId="452186F2" w14:textId="77316701"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q-AL"/>
        </w:rPr>
      </w:pPr>
      <w:r w:rsidRPr="002A6F4E">
        <w:rPr>
          <w:rFonts w:ascii="Arial" w:hAnsi="Arial" w:cs="Arial"/>
          <w:lang w:val="sq-AL"/>
        </w:rPr>
        <w:t>Implementacija takse na deponiju prema Zakon</w:t>
      </w:r>
      <w:r w:rsidR="006215D1">
        <w:rPr>
          <w:rFonts w:ascii="Arial" w:hAnsi="Arial" w:cs="Arial"/>
          <w:lang w:val="sq-AL"/>
        </w:rPr>
        <w:t>u</w:t>
      </w:r>
      <w:r w:rsidRPr="002A6F4E">
        <w:rPr>
          <w:rFonts w:ascii="Arial" w:hAnsi="Arial" w:cs="Arial"/>
          <w:lang w:val="sq-AL"/>
        </w:rPr>
        <w:t xml:space="preserve"> o upravljanju otpadom, kao najvažnijeg alata za sprovođenje hijerarhije metoda upravljanja otpadom, kao i za promovisanje ponovne upotrebe i recikl</w:t>
      </w:r>
      <w:r w:rsidR="009669DC">
        <w:rPr>
          <w:rFonts w:ascii="Arial" w:hAnsi="Arial" w:cs="Arial"/>
          <w:lang w:val="sq-AL"/>
        </w:rPr>
        <w:t>iranja</w:t>
      </w:r>
      <w:r w:rsidRPr="002A6F4E">
        <w:rPr>
          <w:rFonts w:ascii="Arial" w:hAnsi="Arial" w:cs="Arial"/>
          <w:lang w:val="sq-AL"/>
        </w:rPr>
        <w:t>, kao i za podsticanje sprečavanja proizvodnje otpada na izvoru.</w:t>
      </w:r>
    </w:p>
    <w:p w14:paraId="3242BFD7" w14:textId="49D83FA1"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q-AL"/>
        </w:rPr>
      </w:pPr>
      <w:r w:rsidRPr="002A6F4E">
        <w:rPr>
          <w:rFonts w:ascii="Arial" w:hAnsi="Arial" w:cs="Arial"/>
          <w:lang w:val="sq-AL"/>
        </w:rPr>
        <w:t xml:space="preserve">Određivanje reprezentativnih indikatora koji će obezbijediti kontinuirano i pouzdano praćenje i evaluaciju sprovođenja mjera prevencije i procesa tranzicije ka cirkularnoj ekonomiji. </w:t>
      </w:r>
    </w:p>
    <w:p w14:paraId="45C67159" w14:textId="77777777"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q-AL"/>
        </w:rPr>
      </w:pPr>
      <w:r w:rsidRPr="002A6F4E">
        <w:rPr>
          <w:rFonts w:ascii="Arial" w:hAnsi="Arial" w:cs="Arial"/>
          <w:lang w:val="sq-AL"/>
        </w:rPr>
        <w:t>Promocija centara za ponovnu upotrebu materijala (MRC), uz obavezu jedinica lokalnih samouprava da razvijaju takve centre na svojoj teritoriji.</w:t>
      </w:r>
    </w:p>
    <w:p w14:paraId="68F73FCB" w14:textId="300001C9"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q-AL"/>
        </w:rPr>
      </w:pPr>
      <w:r w:rsidRPr="002A6F4E">
        <w:rPr>
          <w:rFonts w:ascii="Arial" w:hAnsi="Arial" w:cs="Arial"/>
          <w:lang w:val="sq-AL"/>
        </w:rPr>
        <w:t xml:space="preserve">Izrada internet stranice za </w:t>
      </w:r>
      <w:r w:rsidR="00A35FA9" w:rsidRPr="000D7745">
        <w:rPr>
          <w:rFonts w:ascii="Arial" w:hAnsi="Arial" w:cs="Arial"/>
          <w:lang w:val="sr-Cyrl-ME"/>
        </w:rPr>
        <w:t>Program za sprečavanje nastanka otpada</w:t>
      </w:r>
      <w:r w:rsidRPr="002A6F4E">
        <w:rPr>
          <w:rFonts w:ascii="Arial" w:hAnsi="Arial" w:cs="Arial"/>
          <w:lang w:val="sq-AL"/>
        </w:rPr>
        <w:t>, na kojoj će se u prvoj fazi uvesti praktična implementacija preventivnih programa, a zatim će se programi dopuniti  rezultatima svih akcija.</w:t>
      </w:r>
    </w:p>
    <w:p w14:paraId="70572E21" w14:textId="0EE6EB2D" w:rsidR="00377063" w:rsidRPr="002A6F4E" w:rsidRDefault="00377063" w:rsidP="00A23ED0">
      <w:pPr>
        <w:pStyle w:val="ListParagraph"/>
        <w:widowControl w:val="0"/>
        <w:numPr>
          <w:ilvl w:val="0"/>
          <w:numId w:val="87"/>
        </w:numPr>
        <w:spacing w:before="120" w:after="120" w:line="360" w:lineRule="auto"/>
        <w:contextualSpacing w:val="0"/>
        <w:rPr>
          <w:rFonts w:ascii="Arial" w:hAnsi="Arial" w:cs="Arial"/>
          <w:lang w:val="sq-AL"/>
        </w:rPr>
      </w:pPr>
      <w:r w:rsidRPr="002A6F4E">
        <w:rPr>
          <w:rFonts w:ascii="Arial" w:hAnsi="Arial" w:cs="Arial"/>
          <w:u w:val="single"/>
          <w:lang w:val="sq-AL"/>
        </w:rPr>
        <w:t>Razvoj kampanja za podizanje svesti i informisanja</w:t>
      </w:r>
      <w:r w:rsidRPr="002A6F4E">
        <w:rPr>
          <w:rFonts w:ascii="Arial" w:hAnsi="Arial" w:cs="Arial"/>
          <w:lang w:val="sq-AL"/>
        </w:rPr>
        <w:t xml:space="preserve"> namenjenih široj javnosti ili posebnim grupama potrošača gdje će biti predstavljeni uspješni primjeri preventivnih programa. Opštu koordinaciju i monitoring sprovođenja kampanje informisanja/podizanja svijesti na </w:t>
      </w:r>
      <w:r w:rsidR="009669DC">
        <w:rPr>
          <w:rFonts w:ascii="Arial" w:hAnsi="Arial" w:cs="Arial"/>
          <w:lang w:val="sq-AL"/>
        </w:rPr>
        <w:t xml:space="preserve">državnom </w:t>
      </w:r>
      <w:r w:rsidRPr="002A6F4E">
        <w:rPr>
          <w:rFonts w:ascii="Arial" w:hAnsi="Arial" w:cs="Arial"/>
          <w:lang w:val="sq-AL"/>
        </w:rPr>
        <w:t>nivou sprovodiće MERS u saradnji sa nadležnim organima (industrija, udruženja potrošača, sektor prosv</w:t>
      </w:r>
      <w:r w:rsidR="00E7248E">
        <w:rPr>
          <w:rFonts w:ascii="Arial" w:hAnsi="Arial" w:cs="Arial"/>
          <w:lang w:val="sq-AL"/>
        </w:rPr>
        <w:t>j</w:t>
      </w:r>
      <w:r w:rsidRPr="002A6F4E">
        <w:rPr>
          <w:rFonts w:ascii="Arial" w:hAnsi="Arial" w:cs="Arial"/>
          <w:lang w:val="sq-AL"/>
        </w:rPr>
        <w:t xml:space="preserve">ete i sl.), dok će na lokalnom nivou koordinacija i monitoring vršiti jedinice lokalnih samouprava i lokalni organi. Informativne akcije moraju biti usmjerene na svaku grupu „korisnika“ (ciljne grupe), kako bi se izbjegla bilo kakva </w:t>
      </w:r>
      <w:r w:rsidR="009669DC">
        <w:rPr>
          <w:rFonts w:ascii="Arial" w:hAnsi="Arial" w:cs="Arial"/>
          <w:lang w:val="sq-AL"/>
        </w:rPr>
        <w:t>nerazumijevanja</w:t>
      </w:r>
      <w:r w:rsidR="009669DC" w:rsidRPr="002A6F4E">
        <w:rPr>
          <w:rFonts w:ascii="Arial" w:hAnsi="Arial" w:cs="Arial"/>
          <w:lang w:val="sq-AL"/>
        </w:rPr>
        <w:t xml:space="preserve"> </w:t>
      </w:r>
      <w:r w:rsidRPr="002A6F4E">
        <w:rPr>
          <w:rFonts w:ascii="Arial" w:hAnsi="Arial" w:cs="Arial"/>
          <w:lang w:val="sq-AL"/>
        </w:rPr>
        <w:t>zbog višestrukih, nejasnih i/ili konfliktnih poruka. Informativne akcije će se uglavnom odnositi na tri glavne grupe korisnika, potrošače/domaćinstva, trgovinu i industriju. Konkretno:</w:t>
      </w:r>
    </w:p>
    <w:p w14:paraId="5B918A98" w14:textId="77777777"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q-AL"/>
        </w:rPr>
      </w:pPr>
      <w:r w:rsidRPr="002A6F4E">
        <w:rPr>
          <w:rFonts w:ascii="Arial" w:hAnsi="Arial" w:cs="Arial"/>
          <w:lang w:val="sq-AL"/>
        </w:rPr>
        <w:t>Pristup potrošača/domaćinstva i djelimično trgovine može se ostvariti putem TV/radio poruka, kao i društvenih medija, reklamnih poruka u javnom prevozu. Jedinice lokalnih samouprava treba da igraju važnu ulogu u sprovođenju ovih akcija na svojoj teritoriji.</w:t>
      </w:r>
    </w:p>
    <w:p w14:paraId="797EC48E" w14:textId="4BD8D432"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q-AL"/>
        </w:rPr>
      </w:pPr>
      <w:r w:rsidRPr="002A6F4E">
        <w:rPr>
          <w:rFonts w:ascii="Arial" w:hAnsi="Arial" w:cs="Arial"/>
          <w:lang w:val="sq-AL"/>
        </w:rPr>
        <w:t xml:space="preserve">Što se industrije tiče, mora se naglasiti da, osim glavnog industrijskog otpada, sektor industrije je  direktno ili indirektno uključen u upravljanje drugim prioritetnim tokovima, na primjer, ambalažnim materijalom, otpadom od električne i elektronske opreme. Shodno tome, relevantna informativna kampanja podizanja svijesti za ove tokove takođe treba da uključi industrijska/mala preduzeća, dok je pristup potrošačima/domaćinstvima i komercijalnim preduzećima približno isti. </w:t>
      </w:r>
      <w:r w:rsidR="00601A37">
        <w:rPr>
          <w:rFonts w:ascii="Arial" w:hAnsi="Arial" w:cs="Arial"/>
          <w:lang w:val="sq-AL"/>
        </w:rPr>
        <w:t>Privredna</w:t>
      </w:r>
      <w:r w:rsidR="00601A37" w:rsidRPr="002A6F4E">
        <w:rPr>
          <w:rFonts w:ascii="Arial" w:hAnsi="Arial" w:cs="Arial"/>
          <w:lang w:val="sq-AL"/>
        </w:rPr>
        <w:t xml:space="preserve"> </w:t>
      </w:r>
      <w:r w:rsidRPr="002A6F4E">
        <w:rPr>
          <w:rFonts w:ascii="Arial" w:hAnsi="Arial" w:cs="Arial"/>
          <w:lang w:val="sq-AL"/>
        </w:rPr>
        <w:t xml:space="preserve">komora i lokalna industrijska/industrijska </w:t>
      </w:r>
      <w:r w:rsidR="00E7248E">
        <w:rPr>
          <w:rFonts w:ascii="Arial" w:hAnsi="Arial" w:cs="Arial"/>
          <w:lang w:val="sq-AL"/>
        </w:rPr>
        <w:t>privreda</w:t>
      </w:r>
      <w:r w:rsidRPr="002A6F4E">
        <w:rPr>
          <w:rFonts w:ascii="Arial" w:hAnsi="Arial" w:cs="Arial"/>
          <w:lang w:val="sq-AL"/>
        </w:rPr>
        <w:t xml:space="preserve"> snosiće glavni teret informisanja.</w:t>
      </w:r>
    </w:p>
    <w:p w14:paraId="0F47658A" w14:textId="58515A81"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q-AL"/>
        </w:rPr>
      </w:pPr>
      <w:r w:rsidRPr="002A6F4E">
        <w:rPr>
          <w:rFonts w:ascii="Arial" w:hAnsi="Arial" w:cs="Arial"/>
          <w:lang w:val="sq-AL"/>
        </w:rPr>
        <w:lastRenderedPageBreak/>
        <w:t xml:space="preserve">Organizovanje radionica za </w:t>
      </w:r>
      <w:r w:rsidR="00601A37">
        <w:rPr>
          <w:rFonts w:ascii="Arial" w:hAnsi="Arial" w:cs="Arial"/>
          <w:lang w:val="sq-AL"/>
        </w:rPr>
        <w:t>posebne vrste</w:t>
      </w:r>
      <w:r w:rsidRPr="002A6F4E">
        <w:rPr>
          <w:rFonts w:ascii="Arial" w:hAnsi="Arial" w:cs="Arial"/>
          <w:lang w:val="sq-AL"/>
        </w:rPr>
        <w:t xml:space="preserve"> otpada, sa prezentacijom aktivnosti koje su predviđene DPUO za različite prioritetne tokove (</w:t>
      </w:r>
      <w:r w:rsidR="00601A37">
        <w:rPr>
          <w:rFonts w:ascii="Arial" w:hAnsi="Arial" w:cs="Arial"/>
          <w:lang w:val="sq-AL"/>
        </w:rPr>
        <w:t xml:space="preserve">otpadna </w:t>
      </w:r>
      <w:r w:rsidRPr="002A6F4E">
        <w:rPr>
          <w:rFonts w:ascii="Arial" w:hAnsi="Arial" w:cs="Arial"/>
          <w:lang w:val="sq-AL"/>
        </w:rPr>
        <w:t xml:space="preserve">hrana, </w:t>
      </w:r>
      <w:r w:rsidR="00601A37">
        <w:rPr>
          <w:rFonts w:ascii="Arial" w:hAnsi="Arial" w:cs="Arial"/>
          <w:lang w:val="sq-AL"/>
        </w:rPr>
        <w:t xml:space="preserve">otpadni </w:t>
      </w:r>
      <w:r w:rsidRPr="002A6F4E">
        <w:rPr>
          <w:rFonts w:ascii="Arial" w:hAnsi="Arial" w:cs="Arial"/>
          <w:lang w:val="sq-AL"/>
        </w:rPr>
        <w:t>papir, otpad od električne i elektronske opreme, i sl.), kao što su indikativno:</w:t>
      </w:r>
    </w:p>
    <w:p w14:paraId="410F0C9D" w14:textId="77777777" w:rsidR="00377063" w:rsidRPr="002A6F4E" w:rsidRDefault="00377063" w:rsidP="00A23ED0">
      <w:pPr>
        <w:pStyle w:val="ListParagraph"/>
        <w:widowControl w:val="0"/>
        <w:numPr>
          <w:ilvl w:val="2"/>
          <w:numId w:val="87"/>
        </w:numPr>
        <w:spacing w:before="120" w:after="120" w:line="360" w:lineRule="auto"/>
        <w:contextualSpacing w:val="0"/>
        <w:rPr>
          <w:rFonts w:ascii="Arial" w:hAnsi="Arial" w:cs="Arial"/>
          <w:lang w:val="sq-AL"/>
        </w:rPr>
      </w:pPr>
      <w:r w:rsidRPr="002A6F4E">
        <w:rPr>
          <w:rFonts w:ascii="Arial" w:hAnsi="Arial" w:cs="Arial"/>
          <w:lang w:val="sq-AL"/>
        </w:rPr>
        <w:t>Podsticanje odgovornog ponašanja potrošača, kako bi se postiglo smanjenje otpada na (uglavnom) plastične proizvode za jednokratnu upotrebu za koje ne postoje alternativne opcije.</w:t>
      </w:r>
    </w:p>
    <w:p w14:paraId="7963C6B0" w14:textId="77777777" w:rsidR="00377063" w:rsidRPr="002A6F4E" w:rsidRDefault="00377063" w:rsidP="00A23ED0">
      <w:pPr>
        <w:pStyle w:val="ListParagraph"/>
        <w:widowControl w:val="0"/>
        <w:numPr>
          <w:ilvl w:val="2"/>
          <w:numId w:val="87"/>
        </w:numPr>
        <w:spacing w:before="120" w:after="120" w:line="360" w:lineRule="auto"/>
        <w:contextualSpacing w:val="0"/>
        <w:rPr>
          <w:rFonts w:ascii="Arial" w:hAnsi="Arial" w:cs="Arial"/>
          <w:lang w:val="sq-AL"/>
        </w:rPr>
      </w:pPr>
      <w:r w:rsidRPr="002A6F4E">
        <w:rPr>
          <w:rFonts w:ascii="Arial" w:hAnsi="Arial" w:cs="Arial"/>
          <w:lang w:val="sq-AL"/>
        </w:rPr>
        <w:t>Što se tiče prioritetnog toka „Papir“, potrošači bi mogli da preduzmu akcije u svom svakodnevnom životu, za racionalnu i ekološki odgovornu potrošnju papira, inkorporirajući mogućnosti koje pruža tehnologija u cilju smanjenja stvaranja papirnog otpada kod kuće i na poslu. Isto tako, privatna preduzeća i javne organizacije su pozvane da svojim članovima/zaposlenima uvedu nove standarde ponašanja u cilju spriječavanja stvaranja otpada od papira, čime igraju važnu ulogu u spriječavanju nepotrebne potrošnje papira kroz ciljane akcije podizanja svijesti i podršku promjeni ponašanja.</w:t>
      </w:r>
    </w:p>
    <w:p w14:paraId="03CA3E1C" w14:textId="77777777" w:rsidR="00377063" w:rsidRPr="002A6F4E" w:rsidRDefault="00377063" w:rsidP="00A23ED0">
      <w:pPr>
        <w:pStyle w:val="ListParagraph"/>
        <w:widowControl w:val="0"/>
        <w:numPr>
          <w:ilvl w:val="2"/>
          <w:numId w:val="87"/>
        </w:numPr>
        <w:spacing w:before="120" w:after="120" w:line="360" w:lineRule="auto"/>
        <w:contextualSpacing w:val="0"/>
        <w:rPr>
          <w:rFonts w:ascii="Arial" w:hAnsi="Arial" w:cs="Arial"/>
          <w:lang w:val="sq-AL"/>
        </w:rPr>
      </w:pPr>
      <w:r w:rsidRPr="002A6F4E">
        <w:rPr>
          <w:rFonts w:ascii="Arial" w:hAnsi="Arial" w:cs="Arial"/>
          <w:lang w:val="sq-AL"/>
        </w:rPr>
        <w:t>Što se tiče tekstilnog otpada, opšte informacije o negativnim uticajima na životnu sredinu u vezi sa proizvodnjom tekstila mogu se uzeti u obzir u smjernicama za odgovornu potrošnju.</w:t>
      </w:r>
    </w:p>
    <w:p w14:paraId="00BD6881" w14:textId="4409E69F" w:rsidR="00377063" w:rsidRPr="002A6F4E" w:rsidRDefault="00377063" w:rsidP="00A23ED0">
      <w:pPr>
        <w:pStyle w:val="ListParagraph"/>
        <w:widowControl w:val="0"/>
        <w:numPr>
          <w:ilvl w:val="0"/>
          <w:numId w:val="87"/>
        </w:numPr>
        <w:spacing w:before="120" w:after="120" w:line="360" w:lineRule="auto"/>
        <w:contextualSpacing w:val="0"/>
        <w:rPr>
          <w:rFonts w:ascii="Arial" w:hAnsi="Arial" w:cs="Arial"/>
          <w:lang w:val="sq-AL"/>
        </w:rPr>
      </w:pPr>
      <w:r w:rsidRPr="002A6F4E">
        <w:rPr>
          <w:rFonts w:ascii="Arial" w:hAnsi="Arial" w:cs="Arial"/>
          <w:u w:val="single"/>
          <w:lang w:val="sq-AL"/>
        </w:rPr>
        <w:t>Promocija aktivnosti podizanja svijesti u školama i obrazovnim institucijama</w:t>
      </w:r>
      <w:r w:rsidRPr="002A6F4E">
        <w:rPr>
          <w:rFonts w:ascii="Arial" w:hAnsi="Arial" w:cs="Arial"/>
          <w:lang w:val="sq-AL"/>
        </w:rPr>
        <w:t xml:space="preserve"> i odgovarajućih edukativnih programa za djecu o značaju smanjenja </w:t>
      </w:r>
      <w:r w:rsidR="00601A37">
        <w:rPr>
          <w:rFonts w:ascii="Arial" w:hAnsi="Arial" w:cs="Arial"/>
          <w:lang w:val="sq-AL"/>
        </w:rPr>
        <w:t>odbacivanja</w:t>
      </w:r>
      <w:r w:rsidR="00601A37" w:rsidRPr="002A6F4E">
        <w:rPr>
          <w:rFonts w:ascii="Arial" w:hAnsi="Arial" w:cs="Arial"/>
          <w:lang w:val="sq-AL"/>
        </w:rPr>
        <w:t xml:space="preserve"> </w:t>
      </w:r>
      <w:r w:rsidRPr="002A6F4E">
        <w:rPr>
          <w:rFonts w:ascii="Arial" w:hAnsi="Arial" w:cs="Arial"/>
          <w:lang w:val="sq-AL"/>
        </w:rPr>
        <w:t>hrane, potrošnje papira, racionalnog upravljanja korišćenim knjigama i udžbenicima, ponovne upotrebe ambalaže i potrošnje plastike za jednokratnu upotrebu. Ovo omogućava usvajanje održivog ponašanja kod novih starosnih grupa stanovništva i promoviše njihov doprinos ostvarivanju ciljeva održivog razvoja.</w:t>
      </w:r>
    </w:p>
    <w:p w14:paraId="7D5ED668" w14:textId="4AE140D8" w:rsidR="00377063" w:rsidRPr="002A6F4E" w:rsidRDefault="00377063" w:rsidP="00A23ED0">
      <w:pPr>
        <w:pStyle w:val="ListParagraph"/>
        <w:widowControl w:val="0"/>
        <w:numPr>
          <w:ilvl w:val="0"/>
          <w:numId w:val="87"/>
        </w:numPr>
        <w:spacing w:before="120" w:after="120" w:line="360" w:lineRule="auto"/>
        <w:contextualSpacing w:val="0"/>
        <w:rPr>
          <w:rFonts w:ascii="Arial" w:hAnsi="Arial" w:cs="Arial"/>
          <w:lang w:val="sq-AL"/>
        </w:rPr>
      </w:pPr>
      <w:r w:rsidRPr="002A6F4E">
        <w:rPr>
          <w:rFonts w:ascii="Arial" w:hAnsi="Arial" w:cs="Arial"/>
          <w:u w:val="single"/>
          <w:lang w:val="sq-AL"/>
        </w:rPr>
        <w:t>Podsticanje ponovne upotrebe</w:t>
      </w:r>
      <w:r w:rsidRPr="002A6F4E">
        <w:rPr>
          <w:rFonts w:ascii="Arial" w:hAnsi="Arial" w:cs="Arial"/>
          <w:lang w:val="sq-AL"/>
        </w:rPr>
        <w:t>, kroz organizovanje informativnih kampanja usmjerenih, između ostalog, na potencijalne donatore korišćenog namještaja, koje će uključivati posebno mjere informisanja potrošača o prednostima akcija ponovne upotrebe, dostupnosti usluga popravke namještaja, kao i informacije o uticaju životnog ciklusa korišćenog namještaja za dobavljače, servisere, potrošače i reciklere. U kampanje se mora uključiti promocija kesa za višekratnu upotrebu na tržištu</w:t>
      </w:r>
      <w:r w:rsidR="00601A37">
        <w:rPr>
          <w:rFonts w:ascii="Arial" w:hAnsi="Arial" w:cs="Arial"/>
          <w:lang w:val="sq-AL"/>
        </w:rPr>
        <w:t>,</w:t>
      </w:r>
      <w:r w:rsidRPr="002A6F4E">
        <w:rPr>
          <w:rFonts w:ascii="Arial" w:hAnsi="Arial" w:cs="Arial"/>
          <w:lang w:val="sq-AL"/>
        </w:rPr>
        <w:t xml:space="preserve"> kako bi </w:t>
      </w:r>
      <w:r w:rsidR="00601A37">
        <w:rPr>
          <w:rFonts w:ascii="Arial" w:hAnsi="Arial" w:cs="Arial"/>
          <w:lang w:val="sq-AL"/>
        </w:rPr>
        <w:t>ove aktivnosti</w:t>
      </w:r>
      <w:r w:rsidR="00601A37" w:rsidRPr="002A6F4E">
        <w:rPr>
          <w:rFonts w:ascii="Arial" w:hAnsi="Arial" w:cs="Arial"/>
          <w:lang w:val="sq-AL"/>
        </w:rPr>
        <w:t xml:space="preserve"> </w:t>
      </w:r>
      <w:r w:rsidRPr="002A6F4E">
        <w:rPr>
          <w:rFonts w:ascii="Arial" w:hAnsi="Arial" w:cs="Arial"/>
          <w:lang w:val="sq-AL"/>
        </w:rPr>
        <w:t>postale navika potrošača.</w:t>
      </w:r>
    </w:p>
    <w:p w14:paraId="3A5440CE" w14:textId="0B514A40" w:rsidR="00377063" w:rsidRPr="002A6F4E" w:rsidRDefault="00377063" w:rsidP="00377063">
      <w:pPr>
        <w:widowControl w:val="0"/>
        <w:spacing w:before="120" w:after="120" w:line="360" w:lineRule="auto"/>
        <w:rPr>
          <w:rFonts w:ascii="Arial" w:hAnsi="Arial" w:cs="Arial"/>
          <w:lang w:val="sr-Cyrl-ME"/>
        </w:rPr>
      </w:pPr>
      <w:r w:rsidRPr="002A6F4E">
        <w:rPr>
          <w:rFonts w:ascii="Arial" w:hAnsi="Arial" w:cs="Arial"/>
          <w:lang w:val="sr-Cyrl-ME"/>
        </w:rPr>
        <w:t xml:space="preserve">Dodatne </w:t>
      </w:r>
      <w:r w:rsidRPr="002A6F4E">
        <w:rPr>
          <w:rFonts w:ascii="Arial" w:hAnsi="Arial" w:cs="Arial"/>
          <w:u w:val="single"/>
          <w:lang w:val="sr-Cyrl-ME"/>
        </w:rPr>
        <w:t>horizontalne m</w:t>
      </w:r>
      <w:r w:rsidRPr="002A6F4E">
        <w:rPr>
          <w:rFonts w:ascii="Arial" w:hAnsi="Arial" w:cs="Arial"/>
          <w:u w:val="single"/>
          <w:lang w:val="sr-Latn-ME"/>
        </w:rPr>
        <w:t>j</w:t>
      </w:r>
      <w:r w:rsidRPr="002A6F4E">
        <w:rPr>
          <w:rFonts w:ascii="Arial" w:hAnsi="Arial" w:cs="Arial"/>
          <w:u w:val="single"/>
          <w:lang w:val="sr-Cyrl-ME"/>
        </w:rPr>
        <w:t>ere, u skladu sa odredbama člana 28</w:t>
      </w:r>
      <w:r w:rsidR="000D7745">
        <w:rPr>
          <w:rFonts w:ascii="Arial" w:hAnsi="Arial" w:cs="Arial"/>
          <w:u w:val="single"/>
          <w:lang w:val="sr-Latn-ME"/>
        </w:rPr>
        <w:t xml:space="preserve"> </w:t>
      </w:r>
      <w:r w:rsidRPr="002A6F4E">
        <w:rPr>
          <w:rFonts w:ascii="Arial" w:hAnsi="Arial" w:cs="Arial"/>
          <w:u w:val="single"/>
          <w:lang w:val="sr-Cyrl-ME"/>
        </w:rPr>
        <w:t xml:space="preserve"> </w:t>
      </w:r>
      <w:r w:rsidRPr="002A6F4E">
        <w:rPr>
          <w:rFonts w:ascii="Arial" w:hAnsi="Arial" w:cs="Arial"/>
          <w:u w:val="single"/>
          <w:lang w:val="sr-Latn-ME"/>
        </w:rPr>
        <w:t>Z</w:t>
      </w:r>
      <w:r w:rsidRPr="002A6F4E">
        <w:rPr>
          <w:rFonts w:ascii="Arial" w:hAnsi="Arial" w:cs="Arial"/>
          <w:u w:val="single"/>
          <w:lang w:val="sr-Cyrl-ME"/>
        </w:rPr>
        <w:t>akona o upravljanju otpadom, „Program za sprečavanje nastanka otpada“,</w:t>
      </w:r>
      <w:r w:rsidRPr="002A6F4E">
        <w:rPr>
          <w:rFonts w:ascii="Arial" w:hAnsi="Arial" w:cs="Arial"/>
          <w:lang w:val="sr-Cyrl-ME"/>
        </w:rPr>
        <w:t xml:space="preserve"> obuhvata sl</w:t>
      </w:r>
      <w:r w:rsidRPr="002A6F4E">
        <w:rPr>
          <w:rFonts w:ascii="Arial" w:hAnsi="Arial" w:cs="Arial"/>
          <w:lang w:val="sr-Latn-ME"/>
        </w:rPr>
        <w:t>j</w:t>
      </w:r>
      <w:r w:rsidRPr="002A6F4E">
        <w:rPr>
          <w:rFonts w:ascii="Arial" w:hAnsi="Arial" w:cs="Arial"/>
          <w:lang w:val="sr-Cyrl-ME"/>
        </w:rPr>
        <w:t>edeće:</w:t>
      </w:r>
    </w:p>
    <w:p w14:paraId="4D46E8F1" w14:textId="77777777" w:rsidR="00377063" w:rsidRPr="002A6F4E" w:rsidRDefault="00377063" w:rsidP="00A23ED0">
      <w:pPr>
        <w:pStyle w:val="ListParagraph"/>
        <w:widowControl w:val="0"/>
        <w:numPr>
          <w:ilvl w:val="0"/>
          <w:numId w:val="86"/>
        </w:numPr>
        <w:spacing w:before="120" w:after="120" w:line="360" w:lineRule="auto"/>
        <w:rPr>
          <w:rFonts w:ascii="Arial" w:hAnsi="Arial" w:cs="Arial"/>
          <w:lang w:val="sr-Cyrl-ME"/>
        </w:rPr>
      </w:pPr>
      <w:r w:rsidRPr="002A6F4E">
        <w:rPr>
          <w:rFonts w:ascii="Arial" w:hAnsi="Arial" w:cs="Arial"/>
          <w:lang w:val="sr-Latn-ME"/>
        </w:rPr>
        <w:t xml:space="preserve">Promovisati </w:t>
      </w:r>
      <w:r w:rsidRPr="002A6F4E">
        <w:rPr>
          <w:rFonts w:ascii="Arial" w:hAnsi="Arial" w:cs="Arial"/>
          <w:u w:val="single"/>
          <w:lang w:val="sr-Cyrl-ME"/>
        </w:rPr>
        <w:t>dostupnost rezervnih djelova</w:t>
      </w:r>
      <w:r w:rsidRPr="002A6F4E">
        <w:rPr>
          <w:rFonts w:ascii="Arial" w:hAnsi="Arial" w:cs="Arial"/>
          <w:lang w:val="sr-Cyrl-ME"/>
        </w:rPr>
        <w:t>, uputstava, tehničkih informacija ili drugih</w:t>
      </w:r>
      <w:r w:rsidRPr="002A6F4E">
        <w:rPr>
          <w:rFonts w:ascii="Arial" w:hAnsi="Arial" w:cs="Arial"/>
          <w:lang w:val="sr-Latn-ME"/>
        </w:rPr>
        <w:t xml:space="preserve"> </w:t>
      </w:r>
      <w:r w:rsidRPr="002A6F4E">
        <w:rPr>
          <w:rFonts w:ascii="Arial" w:hAnsi="Arial" w:cs="Arial"/>
          <w:lang w:val="sr-Cyrl-ME"/>
        </w:rPr>
        <w:t xml:space="preserve">instrumenata, opreme ili softvera koji </w:t>
      </w:r>
      <w:r w:rsidRPr="002A6F4E">
        <w:rPr>
          <w:rFonts w:ascii="Arial" w:hAnsi="Arial" w:cs="Arial"/>
          <w:u w:val="single"/>
          <w:lang w:val="sr-Cyrl-ME"/>
        </w:rPr>
        <w:t>omogućavaju popravku i ponovnu upotrebu proizvoda</w:t>
      </w:r>
      <w:r w:rsidRPr="002A6F4E">
        <w:rPr>
          <w:rFonts w:ascii="Arial" w:hAnsi="Arial" w:cs="Arial"/>
          <w:lang w:val="sr-Latn-ME"/>
        </w:rPr>
        <w:t xml:space="preserve"> </w:t>
      </w:r>
      <w:r w:rsidRPr="002A6F4E">
        <w:rPr>
          <w:rFonts w:ascii="Arial" w:hAnsi="Arial" w:cs="Arial"/>
          <w:lang w:val="sr-Cyrl-ME"/>
        </w:rPr>
        <w:t>bez ugrožavanja njihovog kvaliteta i bezbjednosti, u skladu sa zakonima kojima se uređuju</w:t>
      </w:r>
      <w:r w:rsidRPr="002A6F4E">
        <w:rPr>
          <w:rFonts w:ascii="Arial" w:hAnsi="Arial" w:cs="Arial"/>
          <w:lang w:val="sr-Latn-ME"/>
        </w:rPr>
        <w:t xml:space="preserve"> </w:t>
      </w:r>
      <w:r w:rsidRPr="002A6F4E">
        <w:rPr>
          <w:rFonts w:ascii="Arial" w:hAnsi="Arial" w:cs="Arial"/>
          <w:lang w:val="sr-Cyrl-ME"/>
        </w:rPr>
        <w:t>pitanja prava intelektualne svojine;</w:t>
      </w:r>
    </w:p>
    <w:p w14:paraId="346331AE" w14:textId="78268BA4" w:rsidR="00377063" w:rsidRPr="002A6F4E" w:rsidRDefault="00377063" w:rsidP="00377063">
      <w:pPr>
        <w:widowControl w:val="0"/>
        <w:spacing w:before="120" w:after="120" w:line="360" w:lineRule="auto"/>
        <w:ind w:left="720"/>
        <w:rPr>
          <w:rFonts w:ascii="Arial" w:hAnsi="Arial" w:cs="Arial"/>
          <w:lang w:val="sr-Cyrl-ME"/>
        </w:rPr>
      </w:pPr>
      <w:r w:rsidRPr="002A6F4E">
        <w:rPr>
          <w:rFonts w:ascii="Arial" w:hAnsi="Arial" w:cs="Arial"/>
          <w:lang w:val="sr-Cyrl-ME"/>
        </w:rPr>
        <w:t xml:space="preserve">Pravo na popravku je ideja da potrošači treba da imaju mogućnost da popravljaju svoje proizvode, </w:t>
      </w:r>
      <w:r w:rsidRPr="002A6F4E">
        <w:rPr>
          <w:rFonts w:ascii="Arial" w:hAnsi="Arial" w:cs="Arial"/>
          <w:lang w:val="sr-Cyrl-ME"/>
        </w:rPr>
        <w:lastRenderedPageBreak/>
        <w:t>bilo sami ili od strane servisera treće strane, bez suoč</w:t>
      </w:r>
      <w:r w:rsidRPr="002A6F4E">
        <w:rPr>
          <w:rFonts w:ascii="Arial" w:hAnsi="Arial" w:cs="Arial"/>
          <w:lang w:val="sr-Latn-ME"/>
        </w:rPr>
        <w:t>avanja</w:t>
      </w:r>
      <w:r w:rsidRPr="002A6F4E">
        <w:rPr>
          <w:rFonts w:ascii="Arial" w:hAnsi="Arial" w:cs="Arial"/>
          <w:lang w:val="sr-Cyrl-ME"/>
        </w:rPr>
        <w:t xml:space="preserve"> sa nepotrebnim preprekama od strane proizvođača ili prodavaca. Ovo može imati mnoge prednosti, kao što je smanjenje otpada, ušteda novca, produženje životnog v</w:t>
      </w:r>
      <w:r w:rsidRPr="002A6F4E">
        <w:rPr>
          <w:rFonts w:ascii="Arial" w:hAnsi="Arial" w:cs="Arial"/>
          <w:lang w:val="sr-Latn-ME"/>
        </w:rPr>
        <w:t>ij</w:t>
      </w:r>
      <w:r w:rsidRPr="002A6F4E">
        <w:rPr>
          <w:rFonts w:ascii="Arial" w:hAnsi="Arial" w:cs="Arial"/>
          <w:lang w:val="sr-Cyrl-ME"/>
        </w:rPr>
        <w:t>eka proizvoda i podsticanje inovacija i konkurencije.</w:t>
      </w:r>
    </w:p>
    <w:p w14:paraId="5C75A8AA" w14:textId="77777777" w:rsidR="00377063" w:rsidRPr="002A6F4E" w:rsidRDefault="00377063" w:rsidP="00377063">
      <w:pPr>
        <w:widowControl w:val="0"/>
        <w:spacing w:before="120" w:after="120" w:line="360" w:lineRule="auto"/>
        <w:ind w:left="720"/>
        <w:rPr>
          <w:rFonts w:ascii="Arial" w:hAnsi="Arial" w:cs="Arial"/>
          <w:lang w:val="sr-Cyrl-ME"/>
        </w:rPr>
      </w:pPr>
      <w:r w:rsidRPr="002A6F4E">
        <w:rPr>
          <w:rFonts w:ascii="Arial" w:hAnsi="Arial" w:cs="Arial"/>
          <w:lang w:val="sr-Cyrl-ME"/>
        </w:rPr>
        <w:t>Postoji nekoliko m</w:t>
      </w:r>
      <w:r w:rsidRPr="002A6F4E">
        <w:rPr>
          <w:rFonts w:ascii="Arial" w:hAnsi="Arial" w:cs="Arial"/>
          <w:lang w:val="sr-Latn-ME"/>
        </w:rPr>
        <w:t>j</w:t>
      </w:r>
      <w:r w:rsidRPr="002A6F4E">
        <w:rPr>
          <w:rFonts w:ascii="Arial" w:hAnsi="Arial" w:cs="Arial"/>
          <w:lang w:val="sr-Cyrl-ME"/>
        </w:rPr>
        <w:t>era koje se mogu preduzeti za promovisanje dostupnosti rezervnih d</w:t>
      </w:r>
      <w:r w:rsidRPr="002A6F4E">
        <w:rPr>
          <w:rFonts w:ascii="Arial" w:hAnsi="Arial" w:cs="Arial"/>
          <w:lang w:val="sr-Latn-ME"/>
        </w:rPr>
        <w:t>ij</w:t>
      </w:r>
      <w:r w:rsidRPr="002A6F4E">
        <w:rPr>
          <w:rFonts w:ascii="Arial" w:hAnsi="Arial" w:cs="Arial"/>
          <w:lang w:val="sr-Cyrl-ME"/>
        </w:rPr>
        <w:t>elova, uputstava, tehničkih informacija ili drugih instrumenata, opreme ili softvera koji omogućavaju popravku i ponovnu upotrebu proizvoda, kao što su:</w:t>
      </w:r>
    </w:p>
    <w:p w14:paraId="28D47466" w14:textId="77777777"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r-Cyrl-ME"/>
        </w:rPr>
      </w:pPr>
      <w:r w:rsidRPr="002A6F4E">
        <w:rPr>
          <w:rFonts w:ascii="Arial" w:hAnsi="Arial" w:cs="Arial"/>
          <w:lang w:val="sr-Cyrl-ME"/>
        </w:rPr>
        <w:t>Usvajanje i sprovođenje standarda eko-dizajna koji zahtijevaju od proizvođača da dizajniraju proizvode koji su izdržljivi, popravljivi i nadogradivi, kao i da obezbijede rezervne dijelove i informacije o popravci tokom određenog vremenskog perioda nakon što se proizvod više ne prodaje.</w:t>
      </w:r>
    </w:p>
    <w:p w14:paraId="79824372" w14:textId="77777777"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r-Cyrl-ME"/>
        </w:rPr>
      </w:pPr>
      <w:r w:rsidRPr="002A6F4E">
        <w:rPr>
          <w:rFonts w:ascii="Arial" w:hAnsi="Arial" w:cs="Arial"/>
          <w:lang w:val="sr-Cyrl-ME"/>
        </w:rPr>
        <w:t>Pružanje jasnih i pouzdanih informacija potrošačima o popravljivosti i trajnosti proizvoda, kao što su rezultati popravke, procijenjeni životni vijek, dostupnost rezervnih dijelova i ažuriranja softvera i uslovi garancije.</w:t>
      </w:r>
    </w:p>
    <w:p w14:paraId="156256D1" w14:textId="77777777"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r-Cyrl-ME"/>
        </w:rPr>
      </w:pPr>
      <w:r w:rsidRPr="002A6F4E">
        <w:rPr>
          <w:rFonts w:ascii="Arial" w:hAnsi="Arial" w:cs="Arial"/>
          <w:lang w:val="sr-Cyrl-ME"/>
        </w:rPr>
        <w:t>Podrška razvoju i distribuciji priručnika za popravku, vodiča, tutorijala i onlajn platformi koje olakšavaju razm</w:t>
      </w:r>
      <w:r w:rsidRPr="002A6F4E">
        <w:rPr>
          <w:rFonts w:ascii="Arial" w:hAnsi="Arial" w:cs="Arial"/>
          <w:lang w:val="sr-Latn-ME"/>
        </w:rPr>
        <w:t>ij</w:t>
      </w:r>
      <w:r w:rsidRPr="002A6F4E">
        <w:rPr>
          <w:rFonts w:ascii="Arial" w:hAnsi="Arial" w:cs="Arial"/>
          <w:lang w:val="sr-Cyrl-ME"/>
        </w:rPr>
        <w:t>enu znanja i v</w:t>
      </w:r>
      <w:r w:rsidRPr="002A6F4E">
        <w:rPr>
          <w:rFonts w:ascii="Arial" w:hAnsi="Arial" w:cs="Arial"/>
          <w:lang w:val="sr-Latn-ME"/>
        </w:rPr>
        <w:t>j</w:t>
      </w:r>
      <w:r w:rsidRPr="002A6F4E">
        <w:rPr>
          <w:rFonts w:ascii="Arial" w:hAnsi="Arial" w:cs="Arial"/>
          <w:lang w:val="sr-Cyrl-ME"/>
        </w:rPr>
        <w:t>eština popravke među potrošačima i serviserima.</w:t>
      </w:r>
    </w:p>
    <w:p w14:paraId="78A940B3" w14:textId="77777777"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r-Cyrl-ME"/>
        </w:rPr>
      </w:pPr>
      <w:r w:rsidRPr="002A6F4E">
        <w:rPr>
          <w:rFonts w:ascii="Arial" w:hAnsi="Arial" w:cs="Arial"/>
          <w:lang w:val="sr-Cyrl-ME"/>
        </w:rPr>
        <w:t>Podsticanje stvaranja i rasta mreža za popravke, zajednica i preduzeća koja potrošačima nude pristupačne usluge</w:t>
      </w:r>
      <w:r w:rsidRPr="002A6F4E">
        <w:rPr>
          <w:rFonts w:ascii="Arial" w:hAnsi="Arial" w:cs="Arial"/>
          <w:lang w:val="sr-Latn-ME"/>
        </w:rPr>
        <w:t xml:space="preserve"> popravke</w:t>
      </w:r>
      <w:r w:rsidRPr="002A6F4E">
        <w:rPr>
          <w:rFonts w:ascii="Arial" w:hAnsi="Arial" w:cs="Arial"/>
          <w:lang w:val="sr-Cyrl-ME"/>
        </w:rPr>
        <w:t xml:space="preserve"> i r</w:t>
      </w:r>
      <w:r w:rsidRPr="002A6F4E">
        <w:rPr>
          <w:rFonts w:ascii="Arial" w:hAnsi="Arial" w:cs="Arial"/>
          <w:lang w:val="sr-Latn-ME"/>
        </w:rPr>
        <w:t>j</w:t>
      </w:r>
      <w:r w:rsidRPr="002A6F4E">
        <w:rPr>
          <w:rFonts w:ascii="Arial" w:hAnsi="Arial" w:cs="Arial"/>
          <w:lang w:val="sr-Cyrl-ME"/>
        </w:rPr>
        <w:t xml:space="preserve">ešenja </w:t>
      </w:r>
      <w:r w:rsidRPr="002A6F4E">
        <w:rPr>
          <w:rFonts w:ascii="Arial" w:hAnsi="Arial" w:cs="Arial"/>
          <w:lang w:val="sr-Latn-ME"/>
        </w:rPr>
        <w:t>za potrošače</w:t>
      </w:r>
      <w:r w:rsidRPr="002A6F4E">
        <w:rPr>
          <w:rFonts w:ascii="Arial" w:hAnsi="Arial" w:cs="Arial"/>
          <w:lang w:val="sr-Cyrl-ME"/>
        </w:rPr>
        <w:t>.</w:t>
      </w:r>
    </w:p>
    <w:p w14:paraId="10241CC0" w14:textId="629045D8"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r-Cyrl-ME"/>
        </w:rPr>
      </w:pPr>
      <w:r w:rsidRPr="002A6F4E">
        <w:rPr>
          <w:rFonts w:ascii="Arial" w:hAnsi="Arial" w:cs="Arial"/>
          <w:lang w:val="sr-Cyrl-ME"/>
        </w:rPr>
        <w:t>Smanjenje troškova i povećanje podsticaja popravke, na prim</w:t>
      </w:r>
      <w:r w:rsidRPr="002A6F4E">
        <w:rPr>
          <w:rFonts w:ascii="Arial" w:hAnsi="Arial" w:cs="Arial"/>
          <w:lang w:val="sr-Latn-ME"/>
        </w:rPr>
        <w:t>j</w:t>
      </w:r>
      <w:r w:rsidRPr="002A6F4E">
        <w:rPr>
          <w:rFonts w:ascii="Arial" w:hAnsi="Arial" w:cs="Arial"/>
          <w:lang w:val="sr-Cyrl-ME"/>
        </w:rPr>
        <w:t>er smanjenjem poreza na dodatu vr</w:t>
      </w:r>
      <w:r w:rsidRPr="002A6F4E">
        <w:rPr>
          <w:rFonts w:ascii="Arial" w:hAnsi="Arial" w:cs="Arial"/>
          <w:lang w:val="sr-Latn-ME"/>
        </w:rPr>
        <w:t>ij</w:t>
      </w:r>
      <w:r w:rsidRPr="002A6F4E">
        <w:rPr>
          <w:rFonts w:ascii="Arial" w:hAnsi="Arial" w:cs="Arial"/>
          <w:lang w:val="sr-Cyrl-ME"/>
        </w:rPr>
        <w:t xml:space="preserve">ednost (PDV) na usluge popravke, nuđenjem subvencija ili vaučera za popravku ili uvođenjem šema proširene odgovornosti proizvođača koje obavezuju proizvođače da pokriju troškove popravke i </w:t>
      </w:r>
      <w:r w:rsidRPr="002A6F4E">
        <w:rPr>
          <w:rFonts w:ascii="Arial" w:hAnsi="Arial" w:cs="Arial"/>
          <w:lang w:val="sr-Latn-ME"/>
        </w:rPr>
        <w:t>r</w:t>
      </w:r>
      <w:r w:rsidRPr="002A6F4E">
        <w:rPr>
          <w:rFonts w:ascii="Arial" w:hAnsi="Arial" w:cs="Arial"/>
          <w:lang w:val="sr-Cyrl-ME"/>
        </w:rPr>
        <w:t>ecikl</w:t>
      </w:r>
      <w:r w:rsidR="0065582A">
        <w:rPr>
          <w:rFonts w:ascii="Arial" w:hAnsi="Arial" w:cs="Arial"/>
          <w:lang w:val="sr-Latn-ME"/>
        </w:rPr>
        <w:t>iranja</w:t>
      </w:r>
      <w:r w:rsidRPr="002A6F4E">
        <w:rPr>
          <w:rFonts w:ascii="Arial" w:hAnsi="Arial" w:cs="Arial"/>
          <w:lang w:val="sr-Cyrl-ME"/>
        </w:rPr>
        <w:t>.</w:t>
      </w:r>
    </w:p>
    <w:p w14:paraId="546F9FD4" w14:textId="53D447A9"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r-Cyrl-ME"/>
        </w:rPr>
      </w:pPr>
      <w:r w:rsidRPr="002A6F4E">
        <w:rPr>
          <w:rFonts w:ascii="Arial" w:hAnsi="Arial" w:cs="Arial"/>
          <w:lang w:val="sr-Cyrl-ME"/>
        </w:rPr>
        <w:t>Zaštita prava potrošača i servisera na pristup i korišćenje rezervnih d</w:t>
      </w:r>
      <w:r w:rsidRPr="002A6F4E">
        <w:rPr>
          <w:rFonts w:ascii="Arial" w:hAnsi="Arial" w:cs="Arial"/>
          <w:lang w:val="sr-Latn-ME"/>
        </w:rPr>
        <w:t>ij</w:t>
      </w:r>
      <w:r w:rsidRPr="002A6F4E">
        <w:rPr>
          <w:rFonts w:ascii="Arial" w:hAnsi="Arial" w:cs="Arial"/>
          <w:lang w:val="sr-Cyrl-ME"/>
        </w:rPr>
        <w:t xml:space="preserve">elova, alata, opreme i softvera koji omogućavaju popravku i ponovnu upotrebu, bez kršenja prava intelektualne svojine proizvođača ili prodavaca. Ovo može uključivati razjašnjavanje zakonskih definicija i granica popravke, ponovne upotrebe, modifikacije i obrnutog inženjeringa i osiguravanje da </w:t>
      </w:r>
      <w:r w:rsidRPr="002A6F4E">
        <w:rPr>
          <w:rFonts w:ascii="Arial" w:hAnsi="Arial" w:cs="Arial"/>
          <w:lang w:val="sr-Latn-ME"/>
        </w:rPr>
        <w:t>ovi procesi</w:t>
      </w:r>
      <w:r w:rsidRPr="002A6F4E">
        <w:rPr>
          <w:rFonts w:ascii="Arial" w:hAnsi="Arial" w:cs="Arial"/>
          <w:lang w:val="sr-Cyrl-ME"/>
        </w:rPr>
        <w:t xml:space="preserve"> ni</w:t>
      </w:r>
      <w:r w:rsidR="001F5242">
        <w:rPr>
          <w:rFonts w:ascii="Arial" w:hAnsi="Arial" w:cs="Arial"/>
          <w:lang w:val="sr-Latn-ME"/>
        </w:rPr>
        <w:t>je</w:t>
      </w:r>
      <w:r w:rsidRPr="002A6F4E">
        <w:rPr>
          <w:rFonts w:ascii="Arial" w:hAnsi="Arial" w:cs="Arial"/>
          <w:lang w:val="sr-Cyrl-ME"/>
        </w:rPr>
        <w:t>su ograničeni ne</w:t>
      </w:r>
      <w:r w:rsidRPr="002A6F4E">
        <w:rPr>
          <w:rFonts w:ascii="Arial" w:hAnsi="Arial" w:cs="Arial"/>
          <w:lang w:val="sr-Latn-ME"/>
        </w:rPr>
        <w:t>pravednim</w:t>
      </w:r>
      <w:r w:rsidRPr="002A6F4E">
        <w:rPr>
          <w:rFonts w:ascii="Arial" w:hAnsi="Arial" w:cs="Arial"/>
          <w:lang w:val="sr-Cyrl-ME"/>
        </w:rPr>
        <w:t xml:space="preserve"> ugovornim uslovima, m</w:t>
      </w:r>
      <w:r w:rsidRPr="002A6F4E">
        <w:rPr>
          <w:rFonts w:ascii="Arial" w:hAnsi="Arial" w:cs="Arial"/>
          <w:lang w:val="sr-Latn-ME"/>
        </w:rPr>
        <w:t>j</w:t>
      </w:r>
      <w:r w:rsidRPr="002A6F4E">
        <w:rPr>
          <w:rFonts w:ascii="Arial" w:hAnsi="Arial" w:cs="Arial"/>
          <w:lang w:val="sr-Cyrl-ME"/>
        </w:rPr>
        <w:t>erama tehničke zaštite ili vlasničkim standardima.</w:t>
      </w:r>
    </w:p>
    <w:p w14:paraId="59537D0D" w14:textId="2485554F" w:rsidR="00377063" w:rsidRPr="002A6F4E" w:rsidRDefault="00377063" w:rsidP="00377063">
      <w:pPr>
        <w:pStyle w:val="ListParagraph"/>
        <w:widowControl w:val="0"/>
        <w:spacing w:before="120" w:after="120" w:line="360" w:lineRule="auto"/>
        <w:rPr>
          <w:rFonts w:ascii="Arial" w:hAnsi="Arial" w:cs="Arial"/>
          <w:lang w:val="sr-Cyrl-ME"/>
        </w:rPr>
      </w:pPr>
      <w:r w:rsidRPr="002A6F4E">
        <w:rPr>
          <w:rFonts w:ascii="Arial" w:hAnsi="Arial" w:cs="Arial"/>
          <w:lang w:val="sr-Cyrl-ME"/>
        </w:rPr>
        <w:t>Ove m</w:t>
      </w:r>
      <w:r w:rsidRPr="002A6F4E">
        <w:rPr>
          <w:rFonts w:ascii="Arial" w:hAnsi="Arial" w:cs="Arial"/>
          <w:lang w:val="sr-Latn-ME"/>
        </w:rPr>
        <w:t>j</w:t>
      </w:r>
      <w:r w:rsidRPr="002A6F4E">
        <w:rPr>
          <w:rFonts w:ascii="Arial" w:hAnsi="Arial" w:cs="Arial"/>
          <w:lang w:val="sr-Cyrl-ME"/>
        </w:rPr>
        <w:t xml:space="preserve">ere </w:t>
      </w:r>
      <w:r w:rsidR="00951F47">
        <w:rPr>
          <w:rFonts w:ascii="Arial" w:hAnsi="Arial" w:cs="Arial"/>
          <w:lang w:val="sq-AL" w:eastAsia="pl-PL"/>
        </w:rPr>
        <w:t>nijesu</w:t>
      </w:r>
      <w:r w:rsidRPr="002A6F4E">
        <w:rPr>
          <w:rFonts w:ascii="Arial" w:hAnsi="Arial" w:cs="Arial"/>
          <w:lang w:val="sr-Cyrl-ME"/>
        </w:rPr>
        <w:t xml:space="preserve"> iscrpne i mogu se razlikovati u zavisnosti od vrste, složenosti i funkcionalnosti proizvoda. Međutim, </w:t>
      </w:r>
      <w:r w:rsidR="0065582A">
        <w:rPr>
          <w:rFonts w:ascii="Arial" w:hAnsi="Arial" w:cs="Arial"/>
          <w:lang w:val="sr-Latn-ME"/>
        </w:rPr>
        <w:t>ovo pruža</w:t>
      </w:r>
      <w:r w:rsidRPr="002A6F4E">
        <w:rPr>
          <w:rFonts w:ascii="Arial" w:hAnsi="Arial" w:cs="Arial"/>
          <w:lang w:val="sr-Cyrl-ME"/>
        </w:rPr>
        <w:t xml:space="preserve"> opšti okvir za razvoj i sprovođenje politika i praksi koje podržavaju pravo na popravku i cirkularnu ekonomiju.</w:t>
      </w:r>
    </w:p>
    <w:p w14:paraId="72F15148" w14:textId="77777777" w:rsidR="00377063" w:rsidRPr="002A6F4E" w:rsidRDefault="00377063" w:rsidP="00377063">
      <w:pPr>
        <w:pStyle w:val="ListParagraph"/>
        <w:widowControl w:val="0"/>
        <w:spacing w:before="120" w:after="120" w:line="360" w:lineRule="auto"/>
        <w:rPr>
          <w:rFonts w:ascii="Arial" w:hAnsi="Arial" w:cs="Arial"/>
          <w:lang w:val="sr-Cyrl-ME"/>
        </w:rPr>
      </w:pPr>
    </w:p>
    <w:p w14:paraId="2EC83723" w14:textId="39E2C78E" w:rsidR="00377063" w:rsidRPr="002A6F4E" w:rsidRDefault="00377063" w:rsidP="00A23ED0">
      <w:pPr>
        <w:pStyle w:val="ListParagraph"/>
        <w:widowControl w:val="0"/>
        <w:numPr>
          <w:ilvl w:val="0"/>
          <w:numId w:val="86"/>
        </w:numPr>
        <w:spacing w:before="120" w:after="120" w:line="360" w:lineRule="auto"/>
        <w:contextualSpacing w:val="0"/>
        <w:rPr>
          <w:rFonts w:ascii="Arial" w:hAnsi="Arial" w:cs="Arial"/>
          <w:lang w:val="sr-Cyrl-ME"/>
        </w:rPr>
      </w:pPr>
      <w:r w:rsidRPr="002A6F4E">
        <w:rPr>
          <w:rFonts w:ascii="Arial" w:hAnsi="Arial" w:cs="Arial"/>
          <w:lang w:val="sr-Cyrl-ME"/>
        </w:rPr>
        <w:t xml:space="preserve">Identifikujte </w:t>
      </w:r>
      <w:r w:rsidRPr="002A6F4E">
        <w:rPr>
          <w:rFonts w:ascii="Arial" w:hAnsi="Arial" w:cs="Arial"/>
          <w:u w:val="single"/>
          <w:lang w:val="sr-Cyrl-ME"/>
        </w:rPr>
        <w:t>proizvode koji predstavljaju glavne izvore paljenja</w:t>
      </w:r>
      <w:r w:rsidRPr="002A6F4E">
        <w:rPr>
          <w:rFonts w:ascii="Arial" w:hAnsi="Arial" w:cs="Arial"/>
          <w:lang w:val="sr-Cyrl-ME"/>
        </w:rPr>
        <w:t>, naročito u prirodnom i morskom okruženju i preduzimaju odgovarajuće mjere za sprečavanje i smanjenje neuređenih odlagališta od takvih proizvoda. Ovo se odnosi na prevenciju i smanjenje opasnosti od požara, posebno u prirodnim i morskim sredinama, gd</w:t>
      </w:r>
      <w:r w:rsidRPr="002A6F4E">
        <w:rPr>
          <w:rFonts w:ascii="Arial" w:hAnsi="Arial" w:cs="Arial"/>
          <w:lang w:val="sr-Latn-ME"/>
        </w:rPr>
        <w:t>j</w:t>
      </w:r>
      <w:r w:rsidRPr="002A6F4E">
        <w:rPr>
          <w:rFonts w:ascii="Arial" w:hAnsi="Arial" w:cs="Arial"/>
          <w:lang w:val="sr-Cyrl-ME"/>
        </w:rPr>
        <w:t>e požari mogu imati razorne uticaje na biodiverzitet, ekosisteme i zdravlje ljudi. Neke od m</w:t>
      </w:r>
      <w:r w:rsidRPr="002A6F4E">
        <w:rPr>
          <w:rFonts w:ascii="Arial" w:hAnsi="Arial" w:cs="Arial"/>
          <w:lang w:val="sr-Latn-ME"/>
        </w:rPr>
        <w:t>j</w:t>
      </w:r>
      <w:r w:rsidRPr="002A6F4E">
        <w:rPr>
          <w:rFonts w:ascii="Arial" w:hAnsi="Arial" w:cs="Arial"/>
          <w:lang w:val="sr-Cyrl-ME"/>
        </w:rPr>
        <w:t xml:space="preserve">era koje se mogu preduzeti za identifikaciju i kontrolu proizvoda koji </w:t>
      </w:r>
      <w:r w:rsidRPr="002A6F4E">
        <w:rPr>
          <w:rFonts w:ascii="Arial" w:hAnsi="Arial" w:cs="Arial"/>
          <w:lang w:val="sr-Cyrl-ME"/>
        </w:rPr>
        <w:lastRenderedPageBreak/>
        <w:t>predstavljaju glavne izvore paljenja su:</w:t>
      </w:r>
    </w:p>
    <w:p w14:paraId="51F7F67B" w14:textId="77777777"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r-Cyrl-ME"/>
        </w:rPr>
      </w:pPr>
      <w:r w:rsidRPr="002A6F4E">
        <w:rPr>
          <w:rFonts w:ascii="Arial" w:hAnsi="Arial" w:cs="Arial"/>
          <w:lang w:val="sr-Cyrl-ME"/>
        </w:rPr>
        <w:t>Sprovođenje redovnih proc</w:t>
      </w:r>
      <w:r w:rsidRPr="002A6F4E">
        <w:rPr>
          <w:rFonts w:ascii="Arial" w:hAnsi="Arial" w:cs="Arial"/>
          <w:lang w:val="sr-Latn-ME"/>
        </w:rPr>
        <w:t>j</w:t>
      </w:r>
      <w:r w:rsidRPr="002A6F4E">
        <w:rPr>
          <w:rFonts w:ascii="Arial" w:hAnsi="Arial" w:cs="Arial"/>
          <w:lang w:val="sr-Cyrl-ME"/>
        </w:rPr>
        <w:t>ena rizika od požara kako bi se identifikovali potencijalni izvori paljenja, kao što su gr</w:t>
      </w:r>
      <w:r w:rsidRPr="002A6F4E">
        <w:rPr>
          <w:rFonts w:ascii="Arial" w:hAnsi="Arial" w:cs="Arial"/>
          <w:lang w:val="sr-Latn-ME"/>
        </w:rPr>
        <w:t>i</w:t>
      </w:r>
      <w:r w:rsidRPr="002A6F4E">
        <w:rPr>
          <w:rFonts w:ascii="Arial" w:hAnsi="Arial" w:cs="Arial"/>
          <w:lang w:val="sr-Cyrl-ME"/>
        </w:rPr>
        <w:t>jači, osv</w:t>
      </w:r>
      <w:r w:rsidRPr="002A6F4E">
        <w:rPr>
          <w:rFonts w:ascii="Arial" w:hAnsi="Arial" w:cs="Arial"/>
          <w:lang w:val="sr-Latn-ME"/>
        </w:rPr>
        <w:t>j</w:t>
      </w:r>
      <w:r w:rsidRPr="002A6F4E">
        <w:rPr>
          <w:rFonts w:ascii="Arial" w:hAnsi="Arial" w:cs="Arial"/>
          <w:lang w:val="sr-Cyrl-ME"/>
        </w:rPr>
        <w:t>etljenje, otvoreni plamen, električna oprema, materijali za pušače i bilo šta drugo što može da se jako zagr</w:t>
      </w:r>
      <w:r w:rsidRPr="002A6F4E">
        <w:rPr>
          <w:rFonts w:ascii="Arial" w:hAnsi="Arial" w:cs="Arial"/>
          <w:lang w:val="sr-Latn-ME"/>
        </w:rPr>
        <w:t>i</w:t>
      </w:r>
      <w:r w:rsidRPr="002A6F4E">
        <w:rPr>
          <w:rFonts w:ascii="Arial" w:hAnsi="Arial" w:cs="Arial"/>
          <w:lang w:val="sr-Cyrl-ME"/>
        </w:rPr>
        <w:t>je ili izazove varnice.</w:t>
      </w:r>
    </w:p>
    <w:p w14:paraId="30B7B270" w14:textId="77777777"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r-Cyrl-ME"/>
        </w:rPr>
      </w:pPr>
      <w:r w:rsidRPr="002A6F4E">
        <w:rPr>
          <w:rFonts w:ascii="Arial" w:hAnsi="Arial" w:cs="Arial"/>
          <w:lang w:val="sr-Cyrl-ME"/>
        </w:rPr>
        <w:t>Podrška razvoju i širenju vatrootpornih ili vatrootpornih proizvoda i materijala, kao što su tkanine, plastika i metali, koji mogu smanjiti v</w:t>
      </w:r>
      <w:r w:rsidRPr="002A6F4E">
        <w:rPr>
          <w:rFonts w:ascii="Arial" w:hAnsi="Arial" w:cs="Arial"/>
          <w:lang w:val="sr-Latn-ME"/>
        </w:rPr>
        <w:t>j</w:t>
      </w:r>
      <w:r w:rsidRPr="002A6F4E">
        <w:rPr>
          <w:rFonts w:ascii="Arial" w:hAnsi="Arial" w:cs="Arial"/>
          <w:lang w:val="sr-Cyrl-ME"/>
        </w:rPr>
        <w:t xml:space="preserve">erovatnoću i </w:t>
      </w:r>
      <w:r w:rsidRPr="002A6F4E">
        <w:rPr>
          <w:rFonts w:ascii="Arial" w:hAnsi="Arial" w:cs="Arial"/>
          <w:lang w:val="sr-Latn-ME"/>
        </w:rPr>
        <w:t>obim</w:t>
      </w:r>
      <w:r w:rsidRPr="002A6F4E">
        <w:rPr>
          <w:rFonts w:ascii="Arial" w:hAnsi="Arial" w:cs="Arial"/>
          <w:lang w:val="sr-Cyrl-ME"/>
        </w:rPr>
        <w:t xml:space="preserve"> požara.</w:t>
      </w:r>
    </w:p>
    <w:p w14:paraId="12453FCB" w14:textId="4C0E75CA"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r-Cyrl-ME"/>
        </w:rPr>
      </w:pPr>
      <w:r w:rsidRPr="002A6F4E">
        <w:rPr>
          <w:rFonts w:ascii="Arial" w:hAnsi="Arial" w:cs="Arial"/>
          <w:lang w:val="sr-Cyrl-ME"/>
        </w:rPr>
        <w:t>Sprovođenje strogih propisa i standarda o dizajnu, proizvodnji i odlaganju proizvoda koji sadrže ili stvaraju toplotu, varnice ili plamen, kao što su baterije, vatrometi i eksplozivi i obezb</w:t>
      </w:r>
      <w:r w:rsidRPr="002A6F4E">
        <w:rPr>
          <w:rFonts w:ascii="Arial" w:hAnsi="Arial" w:cs="Arial"/>
          <w:lang w:val="sr-Latn-ME"/>
        </w:rPr>
        <w:t>j</w:t>
      </w:r>
      <w:r w:rsidRPr="002A6F4E">
        <w:rPr>
          <w:rFonts w:ascii="Arial" w:hAnsi="Arial" w:cs="Arial"/>
          <w:lang w:val="sr-Cyrl-ME"/>
        </w:rPr>
        <w:t>eđivanje usklađenosti i odgovornosti proizvođača i korisnika.</w:t>
      </w:r>
    </w:p>
    <w:p w14:paraId="05ACFEB4" w14:textId="77777777"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r-Cyrl-ME"/>
        </w:rPr>
      </w:pPr>
      <w:r w:rsidRPr="002A6F4E">
        <w:rPr>
          <w:rFonts w:ascii="Arial" w:hAnsi="Arial" w:cs="Arial"/>
          <w:lang w:val="sr-Cyrl-ME"/>
        </w:rPr>
        <w:t>Promovisanje korišćenja alternativnih ili obnovljivih izvora energije, kao što su solarna energija, energija v</w:t>
      </w:r>
      <w:r w:rsidRPr="002A6F4E">
        <w:rPr>
          <w:rFonts w:ascii="Arial" w:hAnsi="Arial" w:cs="Arial"/>
          <w:lang w:val="sr-Latn-ME"/>
        </w:rPr>
        <w:t>j</w:t>
      </w:r>
      <w:r w:rsidRPr="002A6F4E">
        <w:rPr>
          <w:rFonts w:ascii="Arial" w:hAnsi="Arial" w:cs="Arial"/>
          <w:lang w:val="sr-Cyrl-ME"/>
        </w:rPr>
        <w:t>etra ili hidroenergije, koji mogu smanjiti zavisnost i potrošnju fosilnih goriva, koja su glavni izvori paljenja i emisije gasova</w:t>
      </w:r>
      <w:r w:rsidRPr="002A6F4E">
        <w:rPr>
          <w:rFonts w:ascii="Arial" w:hAnsi="Arial" w:cs="Arial"/>
          <w:lang w:val="sr-Latn-ME"/>
        </w:rPr>
        <w:t xml:space="preserve"> sa efektom</w:t>
      </w:r>
      <w:r w:rsidRPr="002A6F4E">
        <w:rPr>
          <w:rFonts w:ascii="Arial" w:hAnsi="Arial" w:cs="Arial"/>
          <w:lang w:val="sr-Cyrl-ME"/>
        </w:rPr>
        <w:t xml:space="preserve"> staklene bašte.</w:t>
      </w:r>
    </w:p>
    <w:p w14:paraId="58B3FC75" w14:textId="2337A010" w:rsidR="00377063" w:rsidRPr="002A6F4E" w:rsidRDefault="00377063" w:rsidP="00377063">
      <w:pPr>
        <w:pStyle w:val="ListParagraph"/>
        <w:widowControl w:val="0"/>
        <w:spacing w:before="120" w:after="120" w:line="360" w:lineRule="auto"/>
        <w:rPr>
          <w:rFonts w:ascii="Arial" w:hAnsi="Arial" w:cs="Arial"/>
          <w:lang w:val="sr-Cyrl-ME"/>
        </w:rPr>
      </w:pPr>
      <w:r w:rsidRPr="002A6F4E">
        <w:rPr>
          <w:rFonts w:ascii="Arial" w:hAnsi="Arial" w:cs="Arial"/>
          <w:lang w:val="sr-Cyrl-ME"/>
        </w:rPr>
        <w:t>Ove m</w:t>
      </w:r>
      <w:r w:rsidRPr="002A6F4E">
        <w:rPr>
          <w:rFonts w:ascii="Arial" w:hAnsi="Arial" w:cs="Arial"/>
          <w:lang w:val="sr-Latn-ME"/>
        </w:rPr>
        <w:t>j</w:t>
      </w:r>
      <w:r w:rsidRPr="002A6F4E">
        <w:rPr>
          <w:rFonts w:ascii="Arial" w:hAnsi="Arial" w:cs="Arial"/>
          <w:lang w:val="sr-Cyrl-ME"/>
        </w:rPr>
        <w:t>ere ni</w:t>
      </w:r>
      <w:r w:rsidR="001F5242">
        <w:rPr>
          <w:rFonts w:ascii="Arial" w:hAnsi="Arial" w:cs="Arial"/>
          <w:lang w:val="sr-Latn-ME"/>
        </w:rPr>
        <w:t>je</w:t>
      </w:r>
      <w:r w:rsidRPr="002A6F4E">
        <w:rPr>
          <w:rFonts w:ascii="Arial" w:hAnsi="Arial" w:cs="Arial"/>
          <w:lang w:val="sr-Cyrl-ME"/>
        </w:rPr>
        <w:t>su iscrpne i mogu se razlikovati u zavisnosti od vrste, složenosti i funkcionalnosti proizvoda i karakteristika životne sredine. Međutim, one pružaju opšti okvir za razvoj i sprovođenje politika i praksi koje podržavaju identifikaciju proizvoda koji predstavljaju glavne izvore paljenja, kao i prevenciju i smanjenje opasnosti od požara i zaštitu prirodn</w:t>
      </w:r>
      <w:r w:rsidRPr="002A6F4E">
        <w:rPr>
          <w:rFonts w:ascii="Arial" w:hAnsi="Arial" w:cs="Arial"/>
          <w:lang w:val="sr-Latn-ME"/>
        </w:rPr>
        <w:t>e</w:t>
      </w:r>
      <w:r w:rsidRPr="002A6F4E">
        <w:rPr>
          <w:rFonts w:ascii="Arial" w:hAnsi="Arial" w:cs="Arial"/>
          <w:lang w:val="sr-Cyrl-ME"/>
        </w:rPr>
        <w:t xml:space="preserve"> i morsk</w:t>
      </w:r>
      <w:r w:rsidRPr="002A6F4E">
        <w:rPr>
          <w:rFonts w:ascii="Arial" w:hAnsi="Arial" w:cs="Arial"/>
          <w:lang w:val="sr-Latn-ME"/>
        </w:rPr>
        <w:t>e sredine</w:t>
      </w:r>
      <w:r w:rsidRPr="002A6F4E">
        <w:rPr>
          <w:rFonts w:ascii="Arial" w:hAnsi="Arial" w:cs="Arial"/>
          <w:lang w:val="sr-Cyrl-ME"/>
        </w:rPr>
        <w:t>.</w:t>
      </w:r>
    </w:p>
    <w:p w14:paraId="0BE8EFC5" w14:textId="77777777" w:rsidR="00377063" w:rsidRPr="002A6F4E" w:rsidRDefault="00377063" w:rsidP="00377063">
      <w:pPr>
        <w:pStyle w:val="ListParagraph"/>
        <w:widowControl w:val="0"/>
        <w:spacing w:before="120" w:after="120" w:line="360" w:lineRule="auto"/>
        <w:rPr>
          <w:rFonts w:ascii="Arial" w:hAnsi="Arial" w:cs="Arial"/>
          <w:lang w:val="sr-Cyrl-ME"/>
        </w:rPr>
      </w:pPr>
    </w:p>
    <w:p w14:paraId="02431530" w14:textId="12864DA1" w:rsidR="00377063" w:rsidRPr="002A6F4E" w:rsidRDefault="00377063" w:rsidP="00A23ED0">
      <w:pPr>
        <w:pStyle w:val="ListParagraph"/>
        <w:widowControl w:val="0"/>
        <w:numPr>
          <w:ilvl w:val="0"/>
          <w:numId w:val="86"/>
        </w:numPr>
        <w:spacing w:before="120" w:after="120" w:line="360" w:lineRule="auto"/>
        <w:contextualSpacing w:val="0"/>
        <w:rPr>
          <w:rFonts w:ascii="Arial" w:hAnsi="Arial" w:cs="Arial"/>
          <w:lang w:val="sr-Cyrl-ME"/>
        </w:rPr>
      </w:pPr>
      <w:r w:rsidRPr="002A6F4E">
        <w:rPr>
          <w:rFonts w:ascii="Arial" w:hAnsi="Arial" w:cs="Arial"/>
          <w:u w:val="single"/>
          <w:lang w:val="sr-Cyrl-ME"/>
        </w:rPr>
        <w:t xml:space="preserve">Zaustaviti stvaranje otpada u moru </w:t>
      </w:r>
      <w:r w:rsidRPr="002A6F4E">
        <w:rPr>
          <w:rFonts w:ascii="Arial" w:hAnsi="Arial" w:cs="Arial"/>
          <w:lang w:val="sr-Cyrl-ME"/>
        </w:rPr>
        <w:t xml:space="preserve">kao doprinos cilju održivog razvoja Ujedinjenih nacija kako bi spriječili i značajno smanjili zagađenost zagađenost svih vrsta morskih voda. Ovo se odnosi na Cilj održivog razvoja 14: Život </w:t>
      </w:r>
      <w:r w:rsidR="001F5242">
        <w:rPr>
          <w:rFonts w:ascii="Arial" w:hAnsi="Arial" w:cs="Arial"/>
          <w:lang w:val="sr-Latn-ME"/>
        </w:rPr>
        <w:t>pod</w:t>
      </w:r>
      <w:r w:rsidRPr="002A6F4E">
        <w:rPr>
          <w:rFonts w:ascii="Arial" w:hAnsi="Arial" w:cs="Arial"/>
          <w:lang w:val="sr-Cyrl-ME"/>
        </w:rPr>
        <w:t xml:space="preserve"> vod</w:t>
      </w:r>
      <w:r w:rsidR="001F5242">
        <w:rPr>
          <w:rFonts w:ascii="Arial" w:hAnsi="Arial" w:cs="Arial"/>
          <w:lang w:val="sr-Latn-ME"/>
        </w:rPr>
        <w:t>om</w:t>
      </w:r>
      <w:r w:rsidRPr="002A6F4E">
        <w:rPr>
          <w:rFonts w:ascii="Arial" w:hAnsi="Arial" w:cs="Arial"/>
          <w:lang w:val="sr-Cyrl-ME"/>
        </w:rPr>
        <w:t xml:space="preserve">, koji ima za cilj očuvanje i održivo korišćenje okeana, mora i morskih resursa za održivi razvoj. </w:t>
      </w:r>
    </w:p>
    <w:p w14:paraId="629083E3" w14:textId="77777777" w:rsidR="00377063" w:rsidRPr="002A6F4E" w:rsidRDefault="00377063" w:rsidP="00377063">
      <w:pPr>
        <w:widowControl w:val="0"/>
        <w:spacing w:before="120" w:after="120" w:line="360" w:lineRule="auto"/>
        <w:ind w:left="720"/>
        <w:rPr>
          <w:rFonts w:ascii="Arial" w:hAnsi="Arial" w:cs="Arial"/>
          <w:lang w:val="sr-Cyrl-ME"/>
        </w:rPr>
      </w:pPr>
      <w:r w:rsidRPr="002A6F4E">
        <w:rPr>
          <w:rFonts w:ascii="Arial" w:hAnsi="Arial" w:cs="Arial"/>
          <w:lang w:val="sr-Cyrl-ME"/>
        </w:rPr>
        <w:t xml:space="preserve">Jedan od glavnih izvora zagađenja mora je otpad, posebno plastični otpad, koji može </w:t>
      </w:r>
      <w:r w:rsidRPr="002A6F4E">
        <w:rPr>
          <w:rFonts w:ascii="Arial" w:hAnsi="Arial" w:cs="Arial"/>
          <w:lang w:val="sr-Latn-ME"/>
        </w:rPr>
        <w:t xml:space="preserve">nanijeti štetu  morskom živom svijetu, </w:t>
      </w:r>
      <w:r w:rsidRPr="002A6F4E">
        <w:rPr>
          <w:rFonts w:ascii="Arial" w:hAnsi="Arial" w:cs="Arial"/>
          <w:lang w:val="sr-Cyrl-ME"/>
        </w:rPr>
        <w:t xml:space="preserve">ekosistemima i ljudskom zdravlju. Prema Programu Ujedinjenih nacija za životnu sredinu (UNEP), više od 8 miliona tona plastike završi u okeanima svake godine, a ako se trenutni trendovi nastave, u moru bi do 2050. </w:t>
      </w:r>
      <w:r w:rsidRPr="002A6F4E">
        <w:rPr>
          <w:rFonts w:ascii="Arial" w:hAnsi="Arial" w:cs="Arial"/>
          <w:lang w:val="sr-Latn-ME"/>
        </w:rPr>
        <w:t xml:space="preserve">godine </w:t>
      </w:r>
      <w:r w:rsidRPr="002A6F4E">
        <w:rPr>
          <w:rFonts w:ascii="Arial" w:hAnsi="Arial" w:cs="Arial"/>
          <w:lang w:val="sr-Cyrl-ME"/>
        </w:rPr>
        <w:t>moglo biti više plastike nego ribe. Postoji nekoliko m</w:t>
      </w:r>
      <w:r w:rsidRPr="002A6F4E">
        <w:rPr>
          <w:rFonts w:ascii="Arial" w:hAnsi="Arial" w:cs="Arial"/>
          <w:lang w:val="sr-Latn-ME"/>
        </w:rPr>
        <w:t>j</w:t>
      </w:r>
      <w:r w:rsidRPr="002A6F4E">
        <w:rPr>
          <w:rFonts w:ascii="Arial" w:hAnsi="Arial" w:cs="Arial"/>
          <w:lang w:val="sr-Cyrl-ME"/>
        </w:rPr>
        <w:t>era koje može se preduzeti da zaustavi stvaranje otpada u moru, kao što su:</w:t>
      </w:r>
    </w:p>
    <w:p w14:paraId="5D20972C" w14:textId="392806FA"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r-Cyrl-ME"/>
        </w:rPr>
      </w:pPr>
      <w:r w:rsidRPr="002A6F4E">
        <w:rPr>
          <w:rFonts w:ascii="Arial" w:hAnsi="Arial" w:cs="Arial"/>
          <w:lang w:val="sr-Cyrl-ME"/>
        </w:rPr>
        <w:t xml:space="preserve">Smanjenje proizvodnje i potrošnje plastike za jednokratnu upotrebu, kao što su </w:t>
      </w:r>
      <w:r w:rsidRPr="002A6F4E">
        <w:rPr>
          <w:rFonts w:ascii="Arial" w:hAnsi="Arial" w:cs="Arial"/>
          <w:lang w:val="sr-Latn-ME"/>
        </w:rPr>
        <w:t>flaše</w:t>
      </w:r>
      <w:r w:rsidRPr="002A6F4E">
        <w:rPr>
          <w:rFonts w:ascii="Arial" w:hAnsi="Arial" w:cs="Arial"/>
          <w:lang w:val="sr-Cyrl-ME"/>
        </w:rPr>
        <w:t>, kese, slamke i ambalaža i zam</w:t>
      </w:r>
      <w:r w:rsidRPr="002A6F4E">
        <w:rPr>
          <w:rFonts w:ascii="Arial" w:hAnsi="Arial" w:cs="Arial"/>
          <w:lang w:val="sr-Latn-ME"/>
        </w:rPr>
        <w:t>j</w:t>
      </w:r>
      <w:r w:rsidRPr="002A6F4E">
        <w:rPr>
          <w:rFonts w:ascii="Arial" w:hAnsi="Arial" w:cs="Arial"/>
          <w:lang w:val="sr-Cyrl-ME"/>
        </w:rPr>
        <w:t>ena za višekratnu ili biorazgradivu alternativu.</w:t>
      </w:r>
    </w:p>
    <w:p w14:paraId="46545F8E" w14:textId="61C9B31A"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r-Cyrl-ME"/>
        </w:rPr>
      </w:pPr>
      <w:r w:rsidRPr="002A6F4E">
        <w:rPr>
          <w:rFonts w:ascii="Arial" w:hAnsi="Arial" w:cs="Arial"/>
          <w:lang w:val="sr-Cyrl-ME"/>
        </w:rPr>
        <w:t>Poboljšanje sistema upravljanja otpadom na kopnu, posebno u priobalnim područjima, kako bi se spr</w:t>
      </w:r>
      <w:r w:rsidRPr="002A6F4E">
        <w:rPr>
          <w:rFonts w:ascii="Arial" w:hAnsi="Arial" w:cs="Arial"/>
          <w:lang w:val="sr-Latn-ME"/>
        </w:rPr>
        <w:t>ij</w:t>
      </w:r>
      <w:r w:rsidRPr="002A6F4E">
        <w:rPr>
          <w:rFonts w:ascii="Arial" w:hAnsi="Arial" w:cs="Arial"/>
          <w:lang w:val="sr-Cyrl-ME"/>
        </w:rPr>
        <w:t xml:space="preserve">ečio </w:t>
      </w:r>
      <w:r w:rsidRPr="002A6F4E">
        <w:rPr>
          <w:rFonts w:ascii="Arial" w:hAnsi="Arial" w:cs="Arial"/>
          <w:lang w:val="sr-Latn-ME"/>
        </w:rPr>
        <w:t>prodor</w:t>
      </w:r>
      <w:r w:rsidRPr="002A6F4E">
        <w:rPr>
          <w:rFonts w:ascii="Arial" w:hAnsi="Arial" w:cs="Arial"/>
          <w:lang w:val="sr-Cyrl-ME"/>
        </w:rPr>
        <w:t xml:space="preserve"> otpada u vodene tokove i more i da bi se povećalo sakupljanje, recikl</w:t>
      </w:r>
      <w:r w:rsidR="003A300A">
        <w:rPr>
          <w:rFonts w:ascii="Arial" w:hAnsi="Arial" w:cs="Arial"/>
          <w:lang w:val="sr-Latn-ME"/>
        </w:rPr>
        <w:t>iranje</w:t>
      </w:r>
      <w:r w:rsidRPr="002A6F4E">
        <w:rPr>
          <w:rFonts w:ascii="Arial" w:hAnsi="Arial" w:cs="Arial"/>
          <w:lang w:val="sr-Cyrl-ME"/>
        </w:rPr>
        <w:t xml:space="preserve"> i bezb</w:t>
      </w:r>
      <w:r w:rsidRPr="002A6F4E">
        <w:rPr>
          <w:rFonts w:ascii="Arial" w:hAnsi="Arial" w:cs="Arial"/>
          <w:lang w:val="sr-Latn-ME"/>
        </w:rPr>
        <w:t>j</w:t>
      </w:r>
      <w:r w:rsidRPr="002A6F4E">
        <w:rPr>
          <w:rFonts w:ascii="Arial" w:hAnsi="Arial" w:cs="Arial"/>
          <w:lang w:val="sr-Cyrl-ME"/>
        </w:rPr>
        <w:t>edno odlaganje otpada.</w:t>
      </w:r>
    </w:p>
    <w:p w14:paraId="2DE2ABFF" w14:textId="11E8DBCB"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r-Cyrl-ME"/>
        </w:rPr>
      </w:pPr>
      <w:r w:rsidRPr="002A6F4E">
        <w:rPr>
          <w:rFonts w:ascii="Arial" w:hAnsi="Arial" w:cs="Arial"/>
          <w:lang w:val="sr-Cyrl-ME"/>
        </w:rPr>
        <w:t>Podrška razvoju i prim</w:t>
      </w:r>
      <w:r w:rsidRPr="002A6F4E">
        <w:rPr>
          <w:rFonts w:ascii="Arial" w:hAnsi="Arial" w:cs="Arial"/>
          <w:lang w:val="sr-Latn-ME"/>
        </w:rPr>
        <w:t>j</w:t>
      </w:r>
      <w:r w:rsidRPr="002A6F4E">
        <w:rPr>
          <w:rFonts w:ascii="Arial" w:hAnsi="Arial" w:cs="Arial"/>
          <w:lang w:val="sr-Cyrl-ME"/>
        </w:rPr>
        <w:t>eni politika i propisa koji zabranjuju ili ograničavaju upotrebu, trgovinu i odlaganje proizvoda i supstanci koje mogu da zagade morsk</w:t>
      </w:r>
      <w:r w:rsidRPr="002A6F4E">
        <w:rPr>
          <w:rFonts w:ascii="Arial" w:hAnsi="Arial" w:cs="Arial"/>
          <w:lang w:val="sr-Latn-ME"/>
        </w:rPr>
        <w:t>u sredinu</w:t>
      </w:r>
      <w:r w:rsidRPr="002A6F4E">
        <w:rPr>
          <w:rFonts w:ascii="Arial" w:hAnsi="Arial" w:cs="Arial"/>
          <w:lang w:val="sr-Cyrl-ME"/>
        </w:rPr>
        <w:t>, kao što su mikroplastika, živa i pesticidi.</w:t>
      </w:r>
    </w:p>
    <w:p w14:paraId="6BED0E35" w14:textId="2D44AB14"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r-Cyrl-ME"/>
        </w:rPr>
      </w:pPr>
      <w:r w:rsidRPr="002A6F4E">
        <w:rPr>
          <w:rFonts w:ascii="Arial" w:hAnsi="Arial" w:cs="Arial"/>
          <w:lang w:val="sr-Cyrl-ME"/>
        </w:rPr>
        <w:t xml:space="preserve">Podizanje </w:t>
      </w:r>
      <w:r w:rsidRPr="002A6F4E">
        <w:rPr>
          <w:rFonts w:ascii="Arial" w:hAnsi="Arial" w:cs="Arial"/>
          <w:lang w:val="sr-Latn-ME"/>
        </w:rPr>
        <w:t xml:space="preserve">nivoa </w:t>
      </w:r>
      <w:r w:rsidRPr="002A6F4E">
        <w:rPr>
          <w:rFonts w:ascii="Arial" w:hAnsi="Arial" w:cs="Arial"/>
          <w:lang w:val="sr-Cyrl-ME"/>
        </w:rPr>
        <w:t>sv</w:t>
      </w:r>
      <w:r w:rsidRPr="002A6F4E">
        <w:rPr>
          <w:rFonts w:ascii="Arial" w:hAnsi="Arial" w:cs="Arial"/>
          <w:lang w:val="sr-Latn-ME"/>
        </w:rPr>
        <w:t>ij</w:t>
      </w:r>
      <w:r w:rsidRPr="002A6F4E">
        <w:rPr>
          <w:rFonts w:ascii="Arial" w:hAnsi="Arial" w:cs="Arial"/>
          <w:lang w:val="sr-Cyrl-ME"/>
        </w:rPr>
        <w:t>esti i edukacija među potrošačima, proizvođačima i kreatorima politike o uticajima i r</w:t>
      </w:r>
      <w:r w:rsidRPr="002A6F4E">
        <w:rPr>
          <w:rFonts w:ascii="Arial" w:hAnsi="Arial" w:cs="Arial"/>
          <w:lang w:val="sr-Latn-ME"/>
        </w:rPr>
        <w:t>j</w:t>
      </w:r>
      <w:r w:rsidRPr="002A6F4E">
        <w:rPr>
          <w:rFonts w:ascii="Arial" w:hAnsi="Arial" w:cs="Arial"/>
          <w:lang w:val="sr-Cyrl-ME"/>
        </w:rPr>
        <w:t xml:space="preserve">ešenjima zagađenja mora i promovisanje usvajanja održivih praksi i </w:t>
      </w:r>
      <w:r w:rsidRPr="002A6F4E">
        <w:rPr>
          <w:rFonts w:ascii="Arial" w:hAnsi="Arial" w:cs="Arial"/>
          <w:lang w:val="sr-Cyrl-ME"/>
        </w:rPr>
        <w:lastRenderedPageBreak/>
        <w:t>ponašanja koji smanjuju stvaranje i odlaganje otpada.</w:t>
      </w:r>
    </w:p>
    <w:p w14:paraId="0046E66B" w14:textId="03F264BF" w:rsidR="00377063" w:rsidRPr="002A6F4E" w:rsidRDefault="00377063" w:rsidP="00A23ED0">
      <w:pPr>
        <w:pStyle w:val="ListParagraph"/>
        <w:widowControl w:val="0"/>
        <w:numPr>
          <w:ilvl w:val="1"/>
          <w:numId w:val="87"/>
        </w:numPr>
        <w:spacing w:before="120" w:after="120" w:line="360" w:lineRule="auto"/>
        <w:contextualSpacing w:val="0"/>
        <w:rPr>
          <w:rFonts w:ascii="Arial" w:hAnsi="Arial" w:cs="Arial"/>
          <w:lang w:val="sr-Cyrl-ME"/>
        </w:rPr>
      </w:pPr>
      <w:r w:rsidRPr="002A6F4E">
        <w:rPr>
          <w:rFonts w:ascii="Arial" w:hAnsi="Arial" w:cs="Arial"/>
          <w:lang w:val="sr-Cyrl-ME"/>
        </w:rPr>
        <w:t>Unapređenje naučnih istraživanja i inovacija o izvorima, uticajima i r</w:t>
      </w:r>
      <w:r w:rsidRPr="002A6F4E">
        <w:rPr>
          <w:rFonts w:ascii="Arial" w:hAnsi="Arial" w:cs="Arial"/>
          <w:lang w:val="sr-Latn-ME"/>
        </w:rPr>
        <w:t>j</w:t>
      </w:r>
      <w:r w:rsidRPr="002A6F4E">
        <w:rPr>
          <w:rFonts w:ascii="Arial" w:hAnsi="Arial" w:cs="Arial"/>
          <w:lang w:val="sr-Cyrl-ME"/>
        </w:rPr>
        <w:t>ešenjima zagađivanja mora i podsticanje saradnje i koordinacije između različitih aktera, sektora i zemalja u cilju r</w:t>
      </w:r>
      <w:r w:rsidRPr="002A6F4E">
        <w:rPr>
          <w:rFonts w:ascii="Arial" w:hAnsi="Arial" w:cs="Arial"/>
          <w:lang w:val="sr-Latn-ME"/>
        </w:rPr>
        <w:t>j</w:t>
      </w:r>
      <w:r w:rsidRPr="002A6F4E">
        <w:rPr>
          <w:rFonts w:ascii="Arial" w:hAnsi="Arial" w:cs="Arial"/>
          <w:lang w:val="sr-Cyrl-ME"/>
        </w:rPr>
        <w:t>ešavanja ovog globalnog izazova.</w:t>
      </w:r>
    </w:p>
    <w:p w14:paraId="3B023E5C" w14:textId="360F2300" w:rsidR="00377063" w:rsidRPr="002A6F4E" w:rsidRDefault="00377063" w:rsidP="00A23ED0">
      <w:pPr>
        <w:pStyle w:val="ListParagraph"/>
        <w:widowControl w:val="0"/>
        <w:numPr>
          <w:ilvl w:val="0"/>
          <w:numId w:val="87"/>
        </w:numPr>
        <w:spacing w:before="120" w:after="120" w:line="360" w:lineRule="auto"/>
        <w:rPr>
          <w:rFonts w:ascii="Arial" w:hAnsi="Arial" w:cs="Arial"/>
          <w:lang w:val="sr-Cyrl-ME"/>
        </w:rPr>
        <w:sectPr w:rsidR="00377063" w:rsidRPr="002A6F4E" w:rsidSect="00FE289C">
          <w:headerReference w:type="default" r:id="rId23"/>
          <w:footerReference w:type="default" r:id="rId24"/>
          <w:pgSz w:w="11909" w:h="16833"/>
          <w:pgMar w:top="1417" w:right="1134" w:bottom="1417" w:left="1417" w:header="864" w:footer="864" w:gutter="0"/>
          <w:cols w:space="708"/>
          <w:docGrid w:linePitch="272"/>
        </w:sectPr>
      </w:pPr>
      <w:r w:rsidRPr="002A6F4E">
        <w:rPr>
          <w:rFonts w:ascii="Arial" w:hAnsi="Arial" w:cs="Arial"/>
          <w:lang w:val="sr-Cyrl-ME"/>
        </w:rPr>
        <w:t>Ove m</w:t>
      </w:r>
      <w:r w:rsidRPr="002A6F4E">
        <w:rPr>
          <w:rFonts w:ascii="Arial" w:hAnsi="Arial" w:cs="Arial"/>
          <w:lang w:val="sr-Latn-ME"/>
        </w:rPr>
        <w:t>j</w:t>
      </w:r>
      <w:r w:rsidRPr="002A6F4E">
        <w:rPr>
          <w:rFonts w:ascii="Arial" w:hAnsi="Arial" w:cs="Arial"/>
          <w:lang w:val="sr-Cyrl-ME"/>
        </w:rPr>
        <w:t>ere ni</w:t>
      </w:r>
      <w:r w:rsidR="00FD56DD">
        <w:rPr>
          <w:rFonts w:ascii="Arial" w:hAnsi="Arial" w:cs="Arial"/>
          <w:lang w:val="sr-Latn-ME"/>
        </w:rPr>
        <w:t>je</w:t>
      </w:r>
      <w:r w:rsidRPr="002A6F4E">
        <w:rPr>
          <w:rFonts w:ascii="Arial" w:hAnsi="Arial" w:cs="Arial"/>
          <w:lang w:val="sr-Cyrl-ME"/>
        </w:rPr>
        <w:t>su iscrpne i mogu se razlikovati u zavisnosti od vrste, izvora i obima otpada i karakteristika morsk</w:t>
      </w:r>
      <w:r w:rsidRPr="002A6F4E">
        <w:rPr>
          <w:rFonts w:ascii="Arial" w:hAnsi="Arial" w:cs="Arial"/>
          <w:lang w:val="sr-Latn-ME"/>
        </w:rPr>
        <w:t>e sredine</w:t>
      </w:r>
      <w:r w:rsidRPr="002A6F4E">
        <w:rPr>
          <w:rFonts w:ascii="Arial" w:hAnsi="Arial" w:cs="Arial"/>
          <w:lang w:val="sr-Cyrl-ME"/>
        </w:rPr>
        <w:t>. Međutim, on</w:t>
      </w:r>
      <w:r w:rsidRPr="002A6F4E">
        <w:rPr>
          <w:rFonts w:ascii="Arial" w:hAnsi="Arial" w:cs="Arial"/>
          <w:lang w:val="sr-Latn-ME"/>
        </w:rPr>
        <w:t>e</w:t>
      </w:r>
      <w:r w:rsidRPr="002A6F4E">
        <w:rPr>
          <w:rFonts w:ascii="Arial" w:hAnsi="Arial" w:cs="Arial"/>
          <w:lang w:val="sr-Cyrl-ME"/>
        </w:rPr>
        <w:t xml:space="preserve"> obezb</w:t>
      </w:r>
      <w:r w:rsidRPr="002A6F4E">
        <w:rPr>
          <w:rFonts w:ascii="Arial" w:hAnsi="Arial" w:cs="Arial"/>
          <w:lang w:val="sr-Latn-ME"/>
        </w:rPr>
        <w:t>j</w:t>
      </w:r>
      <w:r w:rsidRPr="002A6F4E">
        <w:rPr>
          <w:rFonts w:ascii="Arial" w:hAnsi="Arial" w:cs="Arial"/>
          <w:lang w:val="sr-Cyrl-ME"/>
        </w:rPr>
        <w:t>eđuju opšti okvir za razvoj i sprovođenje akcija koje doprinose cilju održivog razvoja Ujedinjenih nacija za sprečavanje i značajno smanjenje zagađenja svih vrsta morskih voda</w:t>
      </w:r>
    </w:p>
    <w:p w14:paraId="24E981A3" w14:textId="0E4A59E7" w:rsidR="00377063" w:rsidRPr="002A6F4E" w:rsidRDefault="00FD56DD" w:rsidP="00FD56DD">
      <w:pPr>
        <w:pStyle w:val="Heading1"/>
        <w:numPr>
          <w:ilvl w:val="0"/>
          <w:numId w:val="0"/>
        </w:numPr>
        <w:ind w:left="360" w:hanging="360"/>
        <w:rPr>
          <w:sz w:val="20"/>
          <w:szCs w:val="20"/>
        </w:rPr>
      </w:pPr>
      <w:bookmarkStart w:id="1439" w:name="_Toc189759791"/>
      <w:bookmarkStart w:id="1440" w:name="_Toc121761502"/>
      <w:bookmarkStart w:id="1441" w:name="_Toc193354082"/>
      <w:r>
        <w:rPr>
          <w:sz w:val="20"/>
          <w:szCs w:val="20"/>
        </w:rPr>
        <w:lastRenderedPageBreak/>
        <w:t xml:space="preserve">8. </w:t>
      </w:r>
      <w:r w:rsidR="00377063" w:rsidRPr="002A6F4E">
        <w:rPr>
          <w:sz w:val="20"/>
          <w:szCs w:val="20"/>
        </w:rPr>
        <w:t>Instrumenti za sprovođenje / Akcioni plan</w:t>
      </w:r>
      <w:bookmarkEnd w:id="1439"/>
      <w:bookmarkEnd w:id="1441"/>
      <w:r w:rsidR="00377063" w:rsidRPr="002A6F4E">
        <w:rPr>
          <w:sz w:val="20"/>
          <w:szCs w:val="20"/>
        </w:rPr>
        <w:t xml:space="preserve"> </w:t>
      </w:r>
      <w:bookmarkEnd w:id="1440"/>
    </w:p>
    <w:p w14:paraId="2D1EFE11" w14:textId="159DAACE" w:rsidR="00377063" w:rsidRPr="002A6F4E" w:rsidRDefault="00377063" w:rsidP="00377063">
      <w:pPr>
        <w:spacing w:before="120" w:after="120" w:line="360" w:lineRule="auto"/>
        <w:rPr>
          <w:rFonts w:ascii="Arial" w:hAnsi="Arial" w:cs="Arial"/>
          <w:lang w:val="sq-AL" w:bidi="ar-AE"/>
        </w:rPr>
      </w:pPr>
      <w:r w:rsidRPr="002A6F4E">
        <w:rPr>
          <w:rFonts w:ascii="Arial" w:hAnsi="Arial" w:cs="Arial"/>
          <w:lang w:val="sq-AL" w:bidi="ar-AE"/>
        </w:rPr>
        <w:t>Mjere koje će se koristiti u okviru sprovođenja DPUO 2025-2029. mogu se kategorisati na sljedeći način:</w:t>
      </w:r>
    </w:p>
    <w:p w14:paraId="1905A054" w14:textId="65F6643D" w:rsidR="00377063" w:rsidRPr="002A6F4E" w:rsidRDefault="00377063" w:rsidP="00A23ED0">
      <w:pPr>
        <w:pStyle w:val="ListParagraph"/>
        <w:numPr>
          <w:ilvl w:val="0"/>
          <w:numId w:val="88"/>
        </w:numPr>
        <w:spacing w:before="120" w:after="120" w:line="360" w:lineRule="auto"/>
        <w:contextualSpacing w:val="0"/>
        <w:rPr>
          <w:rFonts w:ascii="Arial" w:hAnsi="Arial" w:cs="Arial"/>
          <w:lang w:val="sq-AL" w:bidi="ar-AE"/>
        </w:rPr>
      </w:pPr>
      <w:r w:rsidRPr="002A6F4E">
        <w:rPr>
          <w:rFonts w:ascii="Arial" w:hAnsi="Arial" w:cs="Arial"/>
          <w:lang w:val="sq-AL" w:bidi="ar-AE"/>
        </w:rPr>
        <w:t xml:space="preserve">Zakonske mjere (ZM): </w:t>
      </w:r>
      <w:r w:rsidR="00953FCB">
        <w:rPr>
          <w:rFonts w:ascii="Arial" w:hAnsi="Arial" w:cs="Arial"/>
          <w:lang w:val="sq-AL" w:bidi="ar-AE"/>
        </w:rPr>
        <w:t>propisi</w:t>
      </w:r>
      <w:r w:rsidRPr="002A6F4E">
        <w:rPr>
          <w:rFonts w:ascii="Arial" w:hAnsi="Arial" w:cs="Arial"/>
          <w:lang w:val="sq-AL" w:bidi="ar-AE"/>
        </w:rPr>
        <w:t xml:space="preserve"> za kompletiranje pravnog okvira za </w:t>
      </w:r>
      <w:r w:rsidR="00572C2D">
        <w:rPr>
          <w:rFonts w:ascii="Arial" w:hAnsi="Arial" w:cs="Arial"/>
          <w:lang w:val="sq-AL" w:bidi="ar-AE"/>
        </w:rPr>
        <w:t>efikasan</w:t>
      </w:r>
      <w:r w:rsidR="00572C2D" w:rsidRPr="002A6F4E">
        <w:rPr>
          <w:rFonts w:ascii="Arial" w:hAnsi="Arial" w:cs="Arial"/>
          <w:lang w:val="sq-AL" w:bidi="ar-AE"/>
        </w:rPr>
        <w:t xml:space="preserve"> </w:t>
      </w:r>
      <w:r w:rsidRPr="002A6F4E">
        <w:rPr>
          <w:rFonts w:ascii="Arial" w:hAnsi="Arial" w:cs="Arial"/>
          <w:lang w:val="sq-AL" w:bidi="ar-AE"/>
        </w:rPr>
        <w:t>rad sistema upravljanja otpadom;</w:t>
      </w:r>
    </w:p>
    <w:p w14:paraId="07E47B4E" w14:textId="637C5F3A" w:rsidR="00377063" w:rsidRPr="002A6F4E" w:rsidRDefault="00377063" w:rsidP="00A23ED0">
      <w:pPr>
        <w:pStyle w:val="ListParagraph"/>
        <w:numPr>
          <w:ilvl w:val="0"/>
          <w:numId w:val="88"/>
        </w:numPr>
        <w:spacing w:before="120" w:after="120" w:line="360" w:lineRule="auto"/>
        <w:contextualSpacing w:val="0"/>
        <w:rPr>
          <w:rFonts w:ascii="Arial" w:hAnsi="Arial" w:cs="Arial"/>
          <w:lang w:val="sq-AL" w:bidi="ar-AE"/>
        </w:rPr>
      </w:pPr>
      <w:r w:rsidRPr="002A6F4E">
        <w:rPr>
          <w:rFonts w:ascii="Arial" w:hAnsi="Arial" w:cs="Arial"/>
          <w:lang w:val="sq-AL" w:bidi="ar-AE"/>
        </w:rPr>
        <w:t>Organizaciono – Administrativne m</w:t>
      </w:r>
      <w:r w:rsidR="00194BFD">
        <w:rPr>
          <w:rFonts w:ascii="Arial" w:hAnsi="Arial" w:cs="Arial"/>
          <w:lang w:val="sq-AL" w:bidi="ar-AE"/>
        </w:rPr>
        <w:t>j</w:t>
      </w:r>
      <w:r w:rsidRPr="002A6F4E">
        <w:rPr>
          <w:rFonts w:ascii="Arial" w:hAnsi="Arial" w:cs="Arial"/>
          <w:lang w:val="sq-AL" w:bidi="ar-AE"/>
        </w:rPr>
        <w:t>ere (OAM): aktivnosti izgradnje kapaciteta, radnje za jačanje organizacije, monitoringa i kontrole operacija upravljanja otpadom;</w:t>
      </w:r>
    </w:p>
    <w:p w14:paraId="635B0912" w14:textId="355E104F" w:rsidR="00377063" w:rsidRPr="002A6F4E" w:rsidRDefault="00377063" w:rsidP="00A23ED0">
      <w:pPr>
        <w:pStyle w:val="ListParagraph"/>
        <w:numPr>
          <w:ilvl w:val="0"/>
          <w:numId w:val="88"/>
        </w:numPr>
        <w:spacing w:before="120" w:after="120" w:line="360" w:lineRule="auto"/>
        <w:contextualSpacing w:val="0"/>
        <w:rPr>
          <w:rFonts w:ascii="Arial" w:hAnsi="Arial" w:cs="Arial"/>
          <w:lang w:val="sq-AL" w:bidi="ar-AE"/>
        </w:rPr>
      </w:pPr>
      <w:r w:rsidRPr="002A6F4E">
        <w:rPr>
          <w:rFonts w:ascii="Arial" w:hAnsi="Arial" w:cs="Arial"/>
          <w:lang w:val="sq-AL" w:bidi="ar-AE"/>
        </w:rPr>
        <w:t>Infrastrukturne m</w:t>
      </w:r>
      <w:r w:rsidR="00194BFD">
        <w:rPr>
          <w:rFonts w:ascii="Arial" w:hAnsi="Arial" w:cs="Arial"/>
          <w:lang w:val="sq-AL" w:bidi="ar-AE"/>
        </w:rPr>
        <w:t>j</w:t>
      </w:r>
      <w:r w:rsidRPr="002A6F4E">
        <w:rPr>
          <w:rFonts w:ascii="Arial" w:hAnsi="Arial" w:cs="Arial"/>
          <w:lang w:val="sq-AL" w:bidi="ar-AE"/>
        </w:rPr>
        <w:t>ere (IM): razvoj infrastrukture, nabavka opreme, zatvaranje odlagališta otpada (uključujući neophodne tehničke studije);</w:t>
      </w:r>
    </w:p>
    <w:p w14:paraId="3677D80C" w14:textId="77777777" w:rsidR="00377063" w:rsidRPr="002A6F4E" w:rsidRDefault="00377063" w:rsidP="00A23ED0">
      <w:pPr>
        <w:pStyle w:val="ListParagraph"/>
        <w:numPr>
          <w:ilvl w:val="0"/>
          <w:numId w:val="88"/>
        </w:numPr>
        <w:spacing w:before="120" w:after="120" w:line="360" w:lineRule="auto"/>
        <w:contextualSpacing w:val="0"/>
        <w:rPr>
          <w:rFonts w:ascii="Arial" w:hAnsi="Arial" w:cs="Arial"/>
          <w:lang w:val="sq-AL" w:bidi="ar-AE"/>
        </w:rPr>
      </w:pPr>
      <w:r w:rsidRPr="002A6F4E">
        <w:rPr>
          <w:rFonts w:ascii="Arial" w:hAnsi="Arial" w:cs="Arial"/>
          <w:lang w:val="sq-AL" w:bidi="ar-AE"/>
        </w:rPr>
        <w:t>Finansijske mjere (FM): sprovođenje ekonomskih instrumenata, određivanje tarifa, sistemi potpunog povrata troškova;</w:t>
      </w:r>
    </w:p>
    <w:p w14:paraId="2EA81C67" w14:textId="06B1EA9D" w:rsidR="00377063" w:rsidRPr="002A6F4E" w:rsidRDefault="00377063" w:rsidP="00A23ED0">
      <w:pPr>
        <w:pStyle w:val="ListParagraph"/>
        <w:numPr>
          <w:ilvl w:val="0"/>
          <w:numId w:val="88"/>
        </w:numPr>
        <w:spacing w:before="120" w:after="120" w:line="360" w:lineRule="auto"/>
        <w:contextualSpacing w:val="0"/>
        <w:rPr>
          <w:rFonts w:ascii="Arial" w:hAnsi="Arial" w:cs="Arial"/>
          <w:lang w:val="sq-AL" w:bidi="ar-AE"/>
        </w:rPr>
      </w:pPr>
      <w:r w:rsidRPr="002A6F4E">
        <w:rPr>
          <w:rFonts w:ascii="Arial" w:hAnsi="Arial" w:cs="Arial"/>
          <w:lang w:val="sq-AL" w:bidi="ar-AE"/>
        </w:rPr>
        <w:t>Podizanje svijesti – Informisanje – Obrazovne mjere (PSIOM)</w:t>
      </w:r>
      <w:r w:rsidR="00BE0FB0">
        <w:rPr>
          <w:rFonts w:ascii="Arial" w:hAnsi="Arial" w:cs="Arial"/>
          <w:lang w:val="sq-AL" w:bidi="ar-AE"/>
        </w:rPr>
        <w:t>;</w:t>
      </w:r>
    </w:p>
    <w:p w14:paraId="02565F4F" w14:textId="77777777" w:rsidR="00377063" w:rsidRPr="002A6F4E" w:rsidRDefault="00377063" w:rsidP="00A23ED0">
      <w:pPr>
        <w:pStyle w:val="ListParagraph"/>
        <w:numPr>
          <w:ilvl w:val="0"/>
          <w:numId w:val="88"/>
        </w:numPr>
        <w:spacing w:before="120" w:after="120" w:line="360" w:lineRule="auto"/>
        <w:contextualSpacing w:val="0"/>
        <w:rPr>
          <w:rFonts w:ascii="Arial" w:hAnsi="Arial" w:cs="Arial"/>
          <w:lang w:val="sq-AL" w:bidi="ar-AE"/>
        </w:rPr>
      </w:pPr>
      <w:r w:rsidRPr="002A6F4E">
        <w:rPr>
          <w:rFonts w:ascii="Arial" w:hAnsi="Arial" w:cs="Arial"/>
          <w:lang w:val="sq-AL" w:bidi="ar-AE"/>
        </w:rPr>
        <w:t>Planovi – Smjernice – Specifikacije – Standardi – Studije (PSSSS).</w:t>
      </w:r>
    </w:p>
    <w:p w14:paraId="4692FC8A" w14:textId="77777777" w:rsidR="00377063" w:rsidRPr="002A6F4E" w:rsidRDefault="00377063" w:rsidP="00377063">
      <w:pPr>
        <w:widowControl w:val="0"/>
        <w:tabs>
          <w:tab w:val="left" w:pos="720"/>
        </w:tabs>
        <w:autoSpaceDE w:val="0"/>
        <w:autoSpaceDN w:val="0"/>
        <w:spacing w:before="202" w:line="360" w:lineRule="auto"/>
        <w:ind w:left="360" w:right="355"/>
        <w:rPr>
          <w:rFonts w:ascii="Arial" w:eastAsia="Times New Roman" w:hAnsi="Arial" w:cs="Arial"/>
          <w:lang w:val="hr-HR"/>
        </w:rPr>
      </w:pPr>
    </w:p>
    <w:p w14:paraId="0FEF25BC" w14:textId="77777777" w:rsidR="00377063" w:rsidRPr="002A6F4E" w:rsidRDefault="00377063" w:rsidP="00377063">
      <w:pPr>
        <w:widowControl w:val="0"/>
        <w:tabs>
          <w:tab w:val="left" w:pos="720"/>
        </w:tabs>
        <w:autoSpaceDE w:val="0"/>
        <w:autoSpaceDN w:val="0"/>
        <w:spacing w:before="202" w:line="360" w:lineRule="auto"/>
        <w:ind w:right="355"/>
        <w:rPr>
          <w:rFonts w:ascii="Arial" w:eastAsia="Times New Roman" w:hAnsi="Arial" w:cs="Arial"/>
          <w:lang w:val="hr-HR"/>
        </w:rPr>
      </w:pPr>
    </w:p>
    <w:p w14:paraId="6487617B" w14:textId="77777777" w:rsidR="00377063" w:rsidRPr="002A6F4E" w:rsidRDefault="00377063" w:rsidP="00377063">
      <w:pPr>
        <w:widowControl w:val="0"/>
        <w:tabs>
          <w:tab w:val="left" w:pos="720"/>
        </w:tabs>
        <w:autoSpaceDE w:val="0"/>
        <w:autoSpaceDN w:val="0"/>
        <w:spacing w:before="202" w:line="360" w:lineRule="auto"/>
        <w:ind w:right="355"/>
        <w:rPr>
          <w:rFonts w:ascii="Arial" w:eastAsia="Times New Roman" w:hAnsi="Arial" w:cs="Arial"/>
          <w:lang w:val="hr-HR"/>
        </w:rPr>
        <w:sectPr w:rsidR="00377063" w:rsidRPr="002A6F4E">
          <w:footerReference w:type="default" r:id="rId25"/>
          <w:pgSz w:w="11909" w:h="16833"/>
          <w:pgMar w:top="1417" w:right="1134" w:bottom="1417" w:left="1417" w:header="0" w:footer="1068" w:gutter="0"/>
          <w:cols w:space="720"/>
        </w:sectPr>
      </w:pPr>
    </w:p>
    <w:p w14:paraId="38B390C3" w14:textId="52918C76" w:rsidR="00377063" w:rsidRPr="008E642F" w:rsidRDefault="00377063" w:rsidP="00377063">
      <w:pPr>
        <w:pStyle w:val="Caption"/>
        <w:rPr>
          <w:rFonts w:ascii="Arial" w:hAnsi="Arial" w:cs="Arial"/>
          <w:b w:val="0"/>
          <w:szCs w:val="20"/>
          <w:lang w:val="sq-AL"/>
        </w:rPr>
      </w:pPr>
      <w:bookmarkStart w:id="1442" w:name="_Toc120284546"/>
      <w:bookmarkStart w:id="1443" w:name="_Toc121757199"/>
      <w:bookmarkStart w:id="1444" w:name="_Toc189515719"/>
      <w:bookmarkStart w:id="1445" w:name="_Toc190160814"/>
      <w:r w:rsidRPr="008E642F">
        <w:rPr>
          <w:rFonts w:ascii="Arial" w:hAnsi="Arial" w:cs="Arial"/>
          <w:b w:val="0"/>
          <w:szCs w:val="20"/>
          <w:lang w:val="de-DE"/>
        </w:rPr>
        <w:lastRenderedPageBreak/>
        <w:t xml:space="preserve">Tabela </w:t>
      </w:r>
      <w:r w:rsidRPr="008E642F">
        <w:rPr>
          <w:rFonts w:ascii="Arial" w:hAnsi="Arial" w:cs="Arial"/>
          <w:b w:val="0"/>
          <w:szCs w:val="20"/>
        </w:rPr>
        <w:fldChar w:fldCharType="begin"/>
      </w:r>
      <w:r w:rsidRPr="008E642F">
        <w:rPr>
          <w:rFonts w:ascii="Arial" w:hAnsi="Arial" w:cs="Arial"/>
          <w:b w:val="0"/>
          <w:szCs w:val="20"/>
          <w:lang w:val="de-DE"/>
        </w:rPr>
        <w:instrText xml:space="preserve"> SEQ Tabela \* ARABIC </w:instrText>
      </w:r>
      <w:r w:rsidRPr="008E642F">
        <w:rPr>
          <w:rFonts w:ascii="Arial" w:hAnsi="Arial" w:cs="Arial"/>
          <w:b w:val="0"/>
          <w:szCs w:val="20"/>
        </w:rPr>
        <w:fldChar w:fldCharType="separate"/>
      </w:r>
      <w:r w:rsidR="007274DA">
        <w:rPr>
          <w:rFonts w:ascii="Arial" w:hAnsi="Arial" w:cs="Arial"/>
          <w:b w:val="0"/>
          <w:noProof/>
          <w:szCs w:val="20"/>
          <w:lang w:val="de-DE"/>
        </w:rPr>
        <w:t>118</w:t>
      </w:r>
      <w:r w:rsidRPr="008E642F">
        <w:rPr>
          <w:rFonts w:ascii="Arial" w:hAnsi="Arial" w:cs="Arial"/>
          <w:b w:val="0"/>
          <w:szCs w:val="20"/>
        </w:rPr>
        <w:fldChar w:fldCharType="end"/>
      </w:r>
      <w:r w:rsidRPr="008E642F">
        <w:rPr>
          <w:rFonts w:ascii="Arial" w:hAnsi="Arial" w:cs="Arial"/>
          <w:b w:val="0"/>
          <w:szCs w:val="20"/>
          <w:lang w:val="de-DE"/>
        </w:rPr>
        <w:t xml:space="preserve"> </w:t>
      </w:r>
      <w:r w:rsidRPr="008E642F">
        <w:rPr>
          <w:rFonts w:ascii="Arial" w:hAnsi="Arial" w:cs="Arial"/>
          <w:b w:val="0"/>
          <w:szCs w:val="20"/>
          <w:lang w:val="sq-AL"/>
        </w:rPr>
        <w:t>Akcioni plan za sprovođenje DPUO</w:t>
      </w:r>
      <w:bookmarkEnd w:id="1442"/>
      <w:bookmarkEnd w:id="1443"/>
      <w:bookmarkEnd w:id="1444"/>
      <w:bookmarkEnd w:id="1445"/>
    </w:p>
    <w:tbl>
      <w:tblPr>
        <w:tblW w:w="570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648"/>
        <w:gridCol w:w="1104"/>
        <w:gridCol w:w="2695"/>
        <w:gridCol w:w="2660"/>
        <w:gridCol w:w="1082"/>
        <w:gridCol w:w="3282"/>
      </w:tblGrid>
      <w:tr w:rsidR="000F67ED" w:rsidRPr="002A6F4E" w14:paraId="095437C2" w14:textId="77777777" w:rsidTr="009754F4">
        <w:trPr>
          <w:tblHeader/>
          <w:jc w:val="center"/>
        </w:trPr>
        <w:tc>
          <w:tcPr>
            <w:tcW w:w="304" w:type="pct"/>
            <w:shd w:val="clear" w:color="auto" w:fill="BFBFBF"/>
          </w:tcPr>
          <w:p w14:paraId="5BC563F4" w14:textId="77777777" w:rsidR="00377063" w:rsidRPr="002A6F4E" w:rsidRDefault="00377063" w:rsidP="00FE289C">
            <w:pPr>
              <w:spacing w:before="40" w:after="40" w:line="360" w:lineRule="auto"/>
              <w:ind w:right="45"/>
              <w:rPr>
                <w:rFonts w:ascii="Arial" w:hAnsi="Arial" w:cs="Arial"/>
                <w:b/>
                <w:bCs/>
                <w:lang w:val="sq-AL"/>
              </w:rPr>
            </w:pPr>
            <w:bookmarkStart w:id="1446" w:name="_Hlk120527240"/>
            <w:r w:rsidRPr="002A6F4E">
              <w:rPr>
                <w:rFonts w:ascii="Arial" w:hAnsi="Arial" w:cs="Arial"/>
                <w:b/>
                <w:bCs/>
                <w:lang w:val="sq-AL"/>
              </w:rPr>
              <w:t>Mjera br.</w:t>
            </w:r>
          </w:p>
        </w:tc>
        <w:tc>
          <w:tcPr>
            <w:tcW w:w="518" w:type="pct"/>
            <w:shd w:val="clear" w:color="auto" w:fill="BFBFBF"/>
          </w:tcPr>
          <w:p w14:paraId="3E985CAF" w14:textId="77777777" w:rsidR="00377063" w:rsidRPr="002A6F4E" w:rsidRDefault="00377063" w:rsidP="00FE289C">
            <w:pPr>
              <w:spacing w:before="40" w:after="40" w:line="360" w:lineRule="auto"/>
              <w:ind w:right="45"/>
              <w:rPr>
                <w:rFonts w:ascii="Arial" w:hAnsi="Arial" w:cs="Arial"/>
                <w:b/>
                <w:bCs/>
                <w:lang w:val="sq-AL"/>
              </w:rPr>
            </w:pPr>
            <w:r w:rsidRPr="002A6F4E">
              <w:rPr>
                <w:rFonts w:ascii="Arial" w:hAnsi="Arial" w:cs="Arial"/>
                <w:b/>
                <w:bCs/>
                <w:lang w:val="sq-AL"/>
              </w:rPr>
              <w:t>Kategorija mjere</w:t>
            </w:r>
          </w:p>
        </w:tc>
        <w:tc>
          <w:tcPr>
            <w:tcW w:w="1264" w:type="pct"/>
            <w:shd w:val="clear" w:color="auto" w:fill="BFBFBF"/>
          </w:tcPr>
          <w:p w14:paraId="762885A1" w14:textId="77777777" w:rsidR="00377063" w:rsidRPr="002A6F4E" w:rsidRDefault="00377063" w:rsidP="00FE289C">
            <w:pPr>
              <w:spacing w:before="40" w:after="40" w:line="360" w:lineRule="auto"/>
              <w:ind w:right="45"/>
              <w:rPr>
                <w:rFonts w:ascii="Arial" w:hAnsi="Arial" w:cs="Arial"/>
                <w:b/>
                <w:bCs/>
                <w:lang w:val="sq-AL"/>
              </w:rPr>
            </w:pPr>
            <w:r w:rsidRPr="002A6F4E">
              <w:rPr>
                <w:rFonts w:ascii="Arial" w:hAnsi="Arial" w:cs="Arial"/>
                <w:b/>
                <w:bCs/>
                <w:lang w:val="sq-AL"/>
              </w:rPr>
              <w:t>Opis mjere</w:t>
            </w:r>
          </w:p>
        </w:tc>
        <w:tc>
          <w:tcPr>
            <w:tcW w:w="1101" w:type="pct"/>
            <w:shd w:val="clear" w:color="auto" w:fill="BFBFBF"/>
          </w:tcPr>
          <w:p w14:paraId="0B9B6C73" w14:textId="77777777" w:rsidR="00377063" w:rsidRPr="002A6F4E" w:rsidRDefault="00377063" w:rsidP="00FE289C">
            <w:pPr>
              <w:spacing w:before="40" w:after="40" w:line="360" w:lineRule="auto"/>
              <w:ind w:right="45"/>
              <w:rPr>
                <w:rFonts w:ascii="Arial" w:hAnsi="Arial" w:cs="Arial"/>
                <w:b/>
                <w:bCs/>
                <w:lang w:val="sq-AL"/>
              </w:rPr>
            </w:pPr>
            <w:r w:rsidRPr="002A6F4E">
              <w:rPr>
                <w:rFonts w:ascii="Arial" w:hAnsi="Arial" w:cs="Arial"/>
                <w:b/>
                <w:bCs/>
                <w:lang w:val="sq-AL"/>
              </w:rPr>
              <w:t>Nadležni subjekat</w:t>
            </w:r>
          </w:p>
        </w:tc>
        <w:tc>
          <w:tcPr>
            <w:tcW w:w="508" w:type="pct"/>
            <w:shd w:val="clear" w:color="auto" w:fill="BFBFBF"/>
          </w:tcPr>
          <w:p w14:paraId="649C2E19" w14:textId="77777777" w:rsidR="00377063" w:rsidRPr="002A6F4E" w:rsidRDefault="00377063" w:rsidP="00FE289C">
            <w:pPr>
              <w:spacing w:before="40" w:after="40" w:line="360" w:lineRule="auto"/>
              <w:ind w:right="45"/>
              <w:rPr>
                <w:rFonts w:ascii="Arial" w:hAnsi="Arial" w:cs="Arial"/>
                <w:b/>
                <w:bCs/>
                <w:lang w:val="sq-AL"/>
              </w:rPr>
            </w:pPr>
            <w:r w:rsidRPr="002A6F4E">
              <w:rPr>
                <w:rFonts w:ascii="Arial" w:hAnsi="Arial" w:cs="Arial"/>
                <w:b/>
                <w:bCs/>
                <w:lang w:val="sq-AL"/>
              </w:rPr>
              <w:t>Vrijeme realizacije</w:t>
            </w:r>
          </w:p>
        </w:tc>
        <w:tc>
          <w:tcPr>
            <w:tcW w:w="1305" w:type="pct"/>
            <w:shd w:val="clear" w:color="auto" w:fill="BFBFBF"/>
          </w:tcPr>
          <w:p w14:paraId="56A1695F" w14:textId="77777777" w:rsidR="00377063" w:rsidRPr="002A6F4E" w:rsidRDefault="00377063" w:rsidP="00FE289C">
            <w:pPr>
              <w:spacing w:before="40" w:after="40" w:line="360" w:lineRule="auto"/>
              <w:ind w:right="45"/>
              <w:rPr>
                <w:rFonts w:ascii="Arial" w:hAnsi="Arial" w:cs="Arial"/>
                <w:b/>
                <w:bCs/>
                <w:lang w:val="sq-AL"/>
              </w:rPr>
            </w:pPr>
            <w:r w:rsidRPr="002A6F4E">
              <w:rPr>
                <w:rFonts w:ascii="Arial" w:hAnsi="Arial" w:cs="Arial"/>
                <w:b/>
                <w:bCs/>
                <w:lang w:val="sq-AL"/>
              </w:rPr>
              <w:t>Izvor finansiranja</w:t>
            </w:r>
          </w:p>
        </w:tc>
      </w:tr>
      <w:tr w:rsidR="00377063" w:rsidRPr="002A6F4E" w14:paraId="580FAAB3" w14:textId="77777777" w:rsidTr="009754F4">
        <w:trPr>
          <w:jc w:val="center"/>
        </w:trPr>
        <w:tc>
          <w:tcPr>
            <w:tcW w:w="5000" w:type="pct"/>
            <w:gridSpan w:val="6"/>
            <w:shd w:val="clear" w:color="auto" w:fill="BFBFBF"/>
          </w:tcPr>
          <w:p w14:paraId="7EEBC392" w14:textId="77777777" w:rsidR="00377063" w:rsidRPr="002A6F4E" w:rsidRDefault="00377063" w:rsidP="00FE289C">
            <w:pPr>
              <w:spacing w:before="40" w:after="40" w:line="360" w:lineRule="auto"/>
              <w:ind w:right="45"/>
              <w:rPr>
                <w:rFonts w:ascii="Arial" w:hAnsi="Arial" w:cs="Arial"/>
                <w:b/>
                <w:lang w:val="sq-AL"/>
              </w:rPr>
            </w:pPr>
            <w:r w:rsidRPr="002A6F4E">
              <w:rPr>
                <w:rFonts w:ascii="Arial" w:hAnsi="Arial" w:cs="Arial"/>
                <w:b/>
                <w:lang w:val="sq-AL"/>
              </w:rPr>
              <w:t xml:space="preserve">VIZIJA: </w:t>
            </w:r>
          </w:p>
          <w:p w14:paraId="35BABDC9" w14:textId="48BBB386" w:rsidR="00377063" w:rsidRPr="002A6F4E" w:rsidRDefault="00377063" w:rsidP="00F858D9">
            <w:pPr>
              <w:spacing w:before="40" w:after="40" w:line="360" w:lineRule="auto"/>
              <w:ind w:right="45"/>
              <w:rPr>
                <w:rFonts w:ascii="Arial" w:hAnsi="Arial" w:cs="Arial"/>
                <w:b/>
                <w:lang w:val="sq-AL"/>
              </w:rPr>
            </w:pPr>
            <w:r w:rsidRPr="00822887">
              <w:rPr>
                <w:rFonts w:ascii="Arial" w:hAnsi="Arial" w:cs="Arial"/>
                <w:b/>
                <w:lang w:val="sq-AL"/>
              </w:rPr>
              <w:t xml:space="preserve">Do </w:t>
            </w:r>
            <w:r w:rsidR="00F858D9" w:rsidRPr="00822887">
              <w:rPr>
                <w:rFonts w:ascii="Arial" w:hAnsi="Arial" w:cs="Arial"/>
                <w:b/>
                <w:lang w:val="sq-AL"/>
              </w:rPr>
              <w:t>2029</w:t>
            </w:r>
            <w:r w:rsidRPr="00822887">
              <w:rPr>
                <w:rFonts w:ascii="Arial" w:hAnsi="Arial" w:cs="Arial"/>
                <w:b/>
                <w:lang w:val="sq-AL"/>
              </w:rPr>
              <w:t>. godine</w:t>
            </w:r>
            <w:r w:rsidRPr="002A6F4E">
              <w:rPr>
                <w:rFonts w:ascii="Arial" w:hAnsi="Arial" w:cs="Arial"/>
                <w:b/>
                <w:lang w:val="sq-AL"/>
              </w:rPr>
              <w:t xml:space="preserve">, osigurati prelazak Crne Gore na ekološki održivu i cirkularnu ekonomiju, </w:t>
            </w:r>
            <w:r w:rsidR="00953FCB">
              <w:rPr>
                <w:rFonts w:ascii="Arial" w:hAnsi="Arial" w:cs="Arial"/>
                <w:b/>
                <w:lang w:val="sq-AL"/>
              </w:rPr>
              <w:t xml:space="preserve">kao i obezbjeđivanju kvalitetnih komunalnih usluga </w:t>
            </w:r>
            <w:r w:rsidRPr="002A6F4E">
              <w:rPr>
                <w:rFonts w:ascii="Arial" w:hAnsi="Arial" w:cs="Arial"/>
                <w:b/>
                <w:lang w:val="sq-AL"/>
              </w:rPr>
              <w:t xml:space="preserve">u oblasti upravljanja otpadom </w:t>
            </w:r>
          </w:p>
        </w:tc>
      </w:tr>
      <w:tr w:rsidR="00377063" w:rsidRPr="002A6F4E" w14:paraId="33785D0C" w14:textId="77777777" w:rsidTr="009754F4">
        <w:trPr>
          <w:jc w:val="center"/>
        </w:trPr>
        <w:tc>
          <w:tcPr>
            <w:tcW w:w="5000" w:type="pct"/>
            <w:gridSpan w:val="6"/>
            <w:shd w:val="clear" w:color="auto" w:fill="DBDBDB" w:themeFill="accent3" w:themeFillTint="66"/>
          </w:tcPr>
          <w:p w14:paraId="6C147755" w14:textId="77777777" w:rsidR="00377063" w:rsidRPr="002A6F4E" w:rsidRDefault="00377063" w:rsidP="00FE289C">
            <w:pPr>
              <w:spacing w:before="40" w:after="40" w:line="360" w:lineRule="auto"/>
              <w:ind w:right="45"/>
              <w:rPr>
                <w:rFonts w:ascii="Arial" w:hAnsi="Arial" w:cs="Arial"/>
                <w:b/>
                <w:bCs/>
                <w:lang w:val="sq-AL"/>
              </w:rPr>
            </w:pPr>
            <w:r w:rsidRPr="002A6F4E">
              <w:rPr>
                <w:rFonts w:ascii="Arial" w:hAnsi="Arial" w:cs="Arial"/>
                <w:b/>
                <w:bCs/>
                <w:lang w:val="sq-AL"/>
              </w:rPr>
              <w:t xml:space="preserve">1. </w:t>
            </w:r>
            <w:bookmarkStart w:id="1447" w:name="_Hlk121698802"/>
            <w:r w:rsidRPr="002A6F4E">
              <w:rPr>
                <w:rFonts w:ascii="Arial" w:hAnsi="Arial" w:cs="Arial"/>
                <w:b/>
                <w:bCs/>
                <w:lang w:val="sq-AL"/>
              </w:rPr>
              <w:t xml:space="preserve">Stub A: Politika, zakonodavstvo </w:t>
            </w:r>
            <w:bookmarkEnd w:id="1447"/>
            <w:r w:rsidRPr="002A6F4E">
              <w:rPr>
                <w:rFonts w:ascii="Arial" w:hAnsi="Arial" w:cs="Arial"/>
                <w:b/>
                <w:bCs/>
                <w:lang w:val="sq-AL"/>
              </w:rPr>
              <w:t>i primjena</w:t>
            </w:r>
          </w:p>
          <w:p w14:paraId="6832DDB4" w14:textId="77777777" w:rsidR="00377063" w:rsidRPr="002A6F4E" w:rsidRDefault="00377063" w:rsidP="00FE289C">
            <w:pPr>
              <w:spacing w:before="40" w:after="40" w:line="360" w:lineRule="auto"/>
              <w:rPr>
                <w:rFonts w:ascii="Arial" w:hAnsi="Arial" w:cs="Arial"/>
                <w:bCs/>
                <w:lang w:val="sq-AL" w:bidi="ar-AE"/>
              </w:rPr>
            </w:pPr>
            <w:r w:rsidRPr="002A6F4E">
              <w:rPr>
                <w:rFonts w:ascii="Arial" w:hAnsi="Arial" w:cs="Arial"/>
                <w:b/>
                <w:lang w:val="sq-AL" w:bidi="ar-AE"/>
              </w:rPr>
              <w:t>Strateški ciljevi</w:t>
            </w:r>
            <w:r w:rsidRPr="002A6F4E">
              <w:rPr>
                <w:rFonts w:ascii="Arial" w:hAnsi="Arial" w:cs="Arial"/>
                <w:bCs/>
                <w:lang w:val="sq-AL" w:bidi="ar-AE"/>
              </w:rPr>
              <w:t>:</w:t>
            </w:r>
          </w:p>
          <w:p w14:paraId="02703CE7" w14:textId="4A72E34C" w:rsidR="00377063" w:rsidRPr="002A6F4E" w:rsidRDefault="00377063" w:rsidP="00A23ED0">
            <w:pPr>
              <w:pStyle w:val="ListParagraph"/>
              <w:numPr>
                <w:ilvl w:val="0"/>
                <w:numId w:val="89"/>
              </w:numPr>
              <w:spacing w:before="40" w:after="40" w:line="360" w:lineRule="auto"/>
              <w:rPr>
                <w:rFonts w:ascii="Arial" w:hAnsi="Arial" w:cs="Arial"/>
                <w:bCs/>
                <w:lang w:val="sq-AL"/>
              </w:rPr>
            </w:pPr>
            <w:r w:rsidRPr="002A6F4E">
              <w:rPr>
                <w:rFonts w:ascii="Arial" w:hAnsi="Arial" w:cs="Arial"/>
                <w:bCs/>
                <w:lang w:val="sq-AL"/>
              </w:rPr>
              <w:t>Podržati aktivnosti upravljanja otpadom (UO) praktičnim, efikasnim i primjenjivim zakonodavstvom;</w:t>
            </w:r>
          </w:p>
          <w:p w14:paraId="26DD1CB9" w14:textId="3486A577" w:rsidR="00377063" w:rsidRPr="002A6F4E" w:rsidRDefault="00377063" w:rsidP="00A23ED0">
            <w:pPr>
              <w:pStyle w:val="ListParagraph"/>
              <w:numPr>
                <w:ilvl w:val="0"/>
                <w:numId w:val="89"/>
              </w:numPr>
              <w:spacing w:before="40" w:after="40" w:line="360" w:lineRule="auto"/>
              <w:rPr>
                <w:rFonts w:ascii="Arial" w:hAnsi="Arial" w:cs="Arial"/>
                <w:bCs/>
                <w:lang w:val="sq-AL"/>
              </w:rPr>
            </w:pPr>
            <w:r w:rsidRPr="002A6F4E">
              <w:rPr>
                <w:rFonts w:ascii="Arial" w:hAnsi="Arial" w:cs="Arial"/>
                <w:bCs/>
                <w:lang w:val="sq-AL"/>
              </w:rPr>
              <w:t>Osigurati ekološki prihvatljivo i dugoročno planiranje – bolja koordinacija aktivnostima upravljanja otpadom i osiguranje da se plan povremeno revidira i ažurira u cilju postizanja navedenog cilja i svrhe;</w:t>
            </w:r>
          </w:p>
          <w:p w14:paraId="0DD53DF6" w14:textId="409B6809" w:rsidR="00B541FA" w:rsidRDefault="00377063" w:rsidP="00A23ED0">
            <w:pPr>
              <w:pStyle w:val="ListParagraph"/>
              <w:numPr>
                <w:ilvl w:val="0"/>
                <w:numId w:val="89"/>
              </w:numPr>
              <w:spacing w:before="40" w:after="40" w:line="360" w:lineRule="auto"/>
              <w:rPr>
                <w:rFonts w:ascii="Arial" w:hAnsi="Arial" w:cs="Arial"/>
                <w:bCs/>
                <w:lang w:val="sq-AL"/>
              </w:rPr>
            </w:pPr>
            <w:r w:rsidRPr="002A6F4E">
              <w:rPr>
                <w:rFonts w:ascii="Arial" w:hAnsi="Arial" w:cs="Arial"/>
                <w:bCs/>
                <w:lang w:val="sq-AL"/>
              </w:rPr>
              <w:t xml:space="preserve">Uspostaviti i </w:t>
            </w:r>
            <w:r w:rsidR="008A2467">
              <w:rPr>
                <w:rFonts w:ascii="Arial" w:hAnsi="Arial" w:cs="Arial"/>
                <w:bCs/>
                <w:lang w:val="sq-AL"/>
              </w:rPr>
              <w:t>kontinuira</w:t>
            </w:r>
            <w:r w:rsidR="00822887">
              <w:rPr>
                <w:rFonts w:ascii="Arial" w:hAnsi="Arial" w:cs="Arial"/>
                <w:bCs/>
                <w:lang w:val="sq-AL"/>
              </w:rPr>
              <w:t>n</w:t>
            </w:r>
            <w:r w:rsidR="008A2467">
              <w:rPr>
                <w:rFonts w:ascii="Arial" w:hAnsi="Arial" w:cs="Arial"/>
                <w:bCs/>
                <w:lang w:val="sq-AL"/>
              </w:rPr>
              <w:t>o unaprjeđivati</w:t>
            </w:r>
            <w:r w:rsidR="008A2467" w:rsidRPr="002A6F4E">
              <w:rPr>
                <w:rFonts w:ascii="Arial" w:hAnsi="Arial" w:cs="Arial"/>
                <w:bCs/>
                <w:lang w:val="sq-AL"/>
              </w:rPr>
              <w:t xml:space="preserve"> </w:t>
            </w:r>
            <w:r w:rsidRPr="002A6F4E">
              <w:rPr>
                <w:rFonts w:ascii="Arial" w:hAnsi="Arial" w:cs="Arial"/>
                <w:bCs/>
                <w:lang w:val="sq-AL"/>
              </w:rPr>
              <w:t>postupke monitoringa i primjene;</w:t>
            </w:r>
            <w:r w:rsidR="00FC18AC">
              <w:rPr>
                <w:rFonts w:ascii="Arial" w:hAnsi="Arial" w:cs="Arial"/>
                <w:bCs/>
                <w:lang w:val="sq-AL"/>
              </w:rPr>
              <w:t xml:space="preserve"> </w:t>
            </w:r>
          </w:p>
          <w:p w14:paraId="1F05902A" w14:textId="24F2F14C" w:rsidR="00377063" w:rsidRPr="00FC18AC" w:rsidRDefault="008A2467" w:rsidP="00A23ED0">
            <w:pPr>
              <w:pStyle w:val="ListParagraph"/>
              <w:numPr>
                <w:ilvl w:val="0"/>
                <w:numId w:val="89"/>
              </w:numPr>
              <w:spacing w:before="40" w:after="40" w:line="360" w:lineRule="auto"/>
              <w:rPr>
                <w:rFonts w:ascii="Arial" w:hAnsi="Arial" w:cs="Arial"/>
                <w:bCs/>
                <w:lang w:val="sq-AL"/>
              </w:rPr>
            </w:pPr>
            <w:r>
              <w:rPr>
                <w:rFonts w:ascii="Arial" w:hAnsi="Arial" w:cs="Arial"/>
                <w:bCs/>
                <w:lang w:val="sq-AL"/>
              </w:rPr>
              <w:t>Uspostaviti</w:t>
            </w:r>
            <w:r w:rsidRPr="00FC18AC">
              <w:rPr>
                <w:rFonts w:ascii="Arial" w:hAnsi="Arial" w:cs="Arial"/>
                <w:bCs/>
                <w:lang w:val="sq-AL"/>
              </w:rPr>
              <w:t xml:space="preserve"> </w:t>
            </w:r>
            <w:r w:rsidR="00377063" w:rsidRPr="00FC18AC">
              <w:rPr>
                <w:rFonts w:ascii="Arial" w:hAnsi="Arial" w:cs="Arial"/>
                <w:bCs/>
                <w:lang w:val="sq-AL"/>
              </w:rPr>
              <w:t>informacioni sistem</w:t>
            </w:r>
            <w:r w:rsidR="00AC041B">
              <w:rPr>
                <w:rFonts w:ascii="Arial" w:hAnsi="Arial" w:cs="Arial"/>
                <w:bCs/>
                <w:lang w:val="sq-AL"/>
              </w:rPr>
              <w:t>.</w:t>
            </w:r>
          </w:p>
        </w:tc>
      </w:tr>
      <w:tr w:rsidR="00377063" w:rsidRPr="002A6F4E" w14:paraId="7FED7BFF" w14:textId="77777777" w:rsidTr="009754F4">
        <w:trPr>
          <w:jc w:val="center"/>
        </w:trPr>
        <w:tc>
          <w:tcPr>
            <w:tcW w:w="3695" w:type="pct"/>
            <w:gridSpan w:val="5"/>
            <w:shd w:val="clear" w:color="auto" w:fill="EDEDED" w:themeFill="accent3" w:themeFillTint="33"/>
          </w:tcPr>
          <w:p w14:paraId="2B965B45" w14:textId="77777777" w:rsidR="00377063" w:rsidRPr="002A6F4E" w:rsidRDefault="00377063" w:rsidP="00FE289C">
            <w:pPr>
              <w:spacing w:before="40" w:after="40" w:line="360" w:lineRule="auto"/>
              <w:rPr>
                <w:rFonts w:ascii="Arial" w:hAnsi="Arial" w:cs="Arial"/>
                <w:b/>
                <w:bCs/>
                <w:lang w:val="sq-AL"/>
              </w:rPr>
            </w:pPr>
            <w:r w:rsidRPr="002A6F4E">
              <w:rPr>
                <w:rFonts w:ascii="Arial" w:hAnsi="Arial" w:cs="Arial"/>
                <w:b/>
                <w:lang w:val="sq-AL" w:bidi="ar-AE"/>
              </w:rPr>
              <w:t>Posebni cilj: Uspostaviti jasan okvir za planiranje, uz promovisanje regionalnih usluga u oblasti upravljanja otpadom</w:t>
            </w:r>
          </w:p>
        </w:tc>
        <w:tc>
          <w:tcPr>
            <w:tcW w:w="1305" w:type="pct"/>
            <w:shd w:val="clear" w:color="auto" w:fill="EDEDED" w:themeFill="accent3" w:themeFillTint="33"/>
          </w:tcPr>
          <w:p w14:paraId="42382B9A" w14:textId="77777777" w:rsidR="00377063" w:rsidRPr="002A6F4E" w:rsidRDefault="00377063" w:rsidP="00FE289C">
            <w:pPr>
              <w:spacing w:before="40" w:after="40" w:line="360" w:lineRule="auto"/>
              <w:rPr>
                <w:rFonts w:ascii="Arial" w:hAnsi="Arial" w:cs="Arial"/>
                <w:b/>
                <w:lang w:val="sq-AL" w:bidi="ar-AE"/>
              </w:rPr>
            </w:pPr>
          </w:p>
        </w:tc>
      </w:tr>
      <w:tr w:rsidR="000F67ED" w:rsidRPr="002A6F4E" w14:paraId="0DBA61D3" w14:textId="77777777" w:rsidTr="009754F4">
        <w:trPr>
          <w:jc w:val="center"/>
        </w:trPr>
        <w:tc>
          <w:tcPr>
            <w:tcW w:w="304" w:type="pct"/>
            <w:shd w:val="clear" w:color="auto" w:fill="auto"/>
          </w:tcPr>
          <w:p w14:paraId="54BAE9A9"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1.1</w:t>
            </w:r>
          </w:p>
        </w:tc>
        <w:tc>
          <w:tcPr>
            <w:tcW w:w="518" w:type="pct"/>
            <w:shd w:val="clear" w:color="auto" w:fill="auto"/>
          </w:tcPr>
          <w:p w14:paraId="21A2D455"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ZM</w:t>
            </w:r>
          </w:p>
        </w:tc>
        <w:tc>
          <w:tcPr>
            <w:tcW w:w="1264" w:type="pct"/>
            <w:shd w:val="clear" w:color="auto" w:fill="auto"/>
          </w:tcPr>
          <w:p w14:paraId="7EB895D8"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 xml:space="preserve">Donošenje </w:t>
            </w:r>
            <w:r w:rsidRPr="002A6F4E">
              <w:rPr>
                <w:rFonts w:ascii="Arial" w:hAnsi="Arial" w:cs="Arial"/>
                <w:color w:val="000000" w:themeColor="text1"/>
                <w:lang w:val="sq-AL" w:bidi="ar-AE"/>
              </w:rPr>
              <w:t>DPUO 2025– 2029</w:t>
            </w:r>
          </w:p>
        </w:tc>
        <w:tc>
          <w:tcPr>
            <w:tcW w:w="1101" w:type="pct"/>
            <w:shd w:val="clear" w:color="auto" w:fill="auto"/>
          </w:tcPr>
          <w:p w14:paraId="0A597EED" w14:textId="4CBE5963"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/Vlada Crne Gore</w:t>
            </w:r>
          </w:p>
        </w:tc>
        <w:tc>
          <w:tcPr>
            <w:tcW w:w="508" w:type="pct"/>
            <w:shd w:val="clear" w:color="auto" w:fill="auto"/>
          </w:tcPr>
          <w:p w14:paraId="2666FC87" w14:textId="2462C042" w:rsidR="00377063" w:rsidRPr="002A6F4E" w:rsidRDefault="004242C3" w:rsidP="00FE289C">
            <w:pPr>
              <w:spacing w:before="40" w:after="40" w:line="360" w:lineRule="auto"/>
              <w:rPr>
                <w:rFonts w:ascii="Arial" w:hAnsi="Arial" w:cs="Arial"/>
                <w:lang w:val="sq-AL" w:bidi="ar-AE"/>
              </w:rPr>
            </w:pPr>
            <w:r>
              <w:rPr>
                <w:rFonts w:ascii="Arial" w:hAnsi="Arial" w:cs="Arial"/>
                <w:lang w:val="sq-AL" w:bidi="ar-AE"/>
              </w:rPr>
              <w:t>2025.</w:t>
            </w:r>
          </w:p>
        </w:tc>
        <w:tc>
          <w:tcPr>
            <w:tcW w:w="1305" w:type="pct"/>
          </w:tcPr>
          <w:p w14:paraId="57F283E2" w14:textId="76F9B839" w:rsidR="00377063" w:rsidRPr="002A6F4E" w:rsidRDefault="004242C3" w:rsidP="00FE289C">
            <w:pPr>
              <w:spacing w:before="40" w:after="40" w:line="360" w:lineRule="auto"/>
              <w:rPr>
                <w:rFonts w:ascii="Arial" w:hAnsi="Arial" w:cs="Arial"/>
                <w:lang w:val="sq-AL" w:bidi="ar-AE"/>
              </w:rPr>
            </w:pPr>
            <w:r>
              <w:rPr>
                <w:rFonts w:ascii="Arial" w:hAnsi="Arial" w:cs="Arial"/>
                <w:lang w:bidi="ar-AE"/>
              </w:rPr>
              <w:t>/</w:t>
            </w:r>
          </w:p>
        </w:tc>
      </w:tr>
      <w:tr w:rsidR="000F67ED" w:rsidRPr="002A6F4E" w14:paraId="6D833ECC" w14:textId="77777777" w:rsidTr="009754F4">
        <w:trPr>
          <w:jc w:val="center"/>
        </w:trPr>
        <w:tc>
          <w:tcPr>
            <w:tcW w:w="304" w:type="pct"/>
            <w:shd w:val="clear" w:color="auto" w:fill="auto"/>
          </w:tcPr>
          <w:p w14:paraId="4247A4A2"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1.2</w:t>
            </w:r>
          </w:p>
        </w:tc>
        <w:tc>
          <w:tcPr>
            <w:tcW w:w="518" w:type="pct"/>
            <w:shd w:val="clear" w:color="auto" w:fill="auto"/>
          </w:tcPr>
          <w:p w14:paraId="5183B18B"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ZM</w:t>
            </w:r>
          </w:p>
        </w:tc>
        <w:tc>
          <w:tcPr>
            <w:tcW w:w="1264" w:type="pct"/>
            <w:shd w:val="clear" w:color="auto" w:fill="auto"/>
          </w:tcPr>
          <w:p w14:paraId="443F0168" w14:textId="0F5A467A"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Donijet  Zakon o upravljanju otpadom</w:t>
            </w:r>
          </w:p>
        </w:tc>
        <w:tc>
          <w:tcPr>
            <w:tcW w:w="1101" w:type="pct"/>
            <w:shd w:val="clear" w:color="auto" w:fill="auto"/>
          </w:tcPr>
          <w:p w14:paraId="4025B970"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p>
        </w:tc>
        <w:tc>
          <w:tcPr>
            <w:tcW w:w="508" w:type="pct"/>
            <w:shd w:val="clear" w:color="auto" w:fill="auto"/>
          </w:tcPr>
          <w:p w14:paraId="0247E28C" w14:textId="7B767C1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2024</w:t>
            </w:r>
            <w:r w:rsidR="004242C3">
              <w:rPr>
                <w:rFonts w:ascii="Arial" w:hAnsi="Arial" w:cs="Arial"/>
                <w:lang w:val="sq-AL" w:bidi="ar-AE"/>
              </w:rPr>
              <w:t>.</w:t>
            </w:r>
          </w:p>
        </w:tc>
        <w:tc>
          <w:tcPr>
            <w:tcW w:w="1305" w:type="pct"/>
          </w:tcPr>
          <w:p w14:paraId="1ACAB4B5" w14:textId="513F982A" w:rsidR="00377063" w:rsidRPr="002A6F4E" w:rsidRDefault="008A60FD" w:rsidP="00FE289C">
            <w:pPr>
              <w:spacing w:before="40" w:after="40" w:line="360" w:lineRule="auto"/>
              <w:rPr>
                <w:rFonts w:ascii="Arial" w:hAnsi="Arial" w:cs="Arial"/>
                <w:lang w:val="sq-AL" w:bidi="ar-AE"/>
              </w:rPr>
            </w:pPr>
            <w:r>
              <w:rPr>
                <w:rFonts w:ascii="Arial" w:hAnsi="Arial" w:cs="Arial"/>
                <w:lang w:bidi="ar-AE"/>
              </w:rPr>
              <w:t>/</w:t>
            </w:r>
          </w:p>
        </w:tc>
      </w:tr>
      <w:tr w:rsidR="000F67ED" w:rsidRPr="002A6F4E" w14:paraId="7349D1CF" w14:textId="77777777" w:rsidTr="009754F4">
        <w:trPr>
          <w:jc w:val="center"/>
        </w:trPr>
        <w:tc>
          <w:tcPr>
            <w:tcW w:w="304" w:type="pct"/>
            <w:shd w:val="clear" w:color="auto" w:fill="auto"/>
          </w:tcPr>
          <w:p w14:paraId="5F0D0E0C"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1.3</w:t>
            </w:r>
          </w:p>
        </w:tc>
        <w:tc>
          <w:tcPr>
            <w:tcW w:w="518" w:type="pct"/>
            <w:shd w:val="clear" w:color="auto" w:fill="auto"/>
          </w:tcPr>
          <w:p w14:paraId="12E0B89B"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PSSSS</w:t>
            </w:r>
          </w:p>
        </w:tc>
        <w:tc>
          <w:tcPr>
            <w:tcW w:w="1264" w:type="pct"/>
            <w:shd w:val="clear" w:color="auto" w:fill="auto"/>
          </w:tcPr>
          <w:p w14:paraId="5216C868" w14:textId="171FA3CA"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Priprema referentne baze podataka za komunalni otpad (KO) (generisanje i sastav</w:t>
            </w:r>
            <w:r w:rsidR="00F05767">
              <w:rPr>
                <w:rFonts w:ascii="Arial" w:hAnsi="Arial" w:cs="Arial"/>
                <w:lang w:val="sq-AL" w:bidi="ar-AE"/>
              </w:rPr>
              <w:t xml:space="preserve"> otpada</w:t>
            </w:r>
            <w:r w:rsidRPr="002A6F4E">
              <w:rPr>
                <w:rFonts w:ascii="Arial" w:hAnsi="Arial" w:cs="Arial"/>
                <w:lang w:val="sq-AL" w:bidi="ar-AE"/>
              </w:rPr>
              <w:t xml:space="preserve">) </w:t>
            </w:r>
          </w:p>
        </w:tc>
        <w:tc>
          <w:tcPr>
            <w:tcW w:w="1101" w:type="pct"/>
            <w:shd w:val="clear" w:color="auto" w:fill="auto"/>
          </w:tcPr>
          <w:p w14:paraId="4F131D2A" w14:textId="0C104B7A" w:rsidR="00377063" w:rsidRPr="002A6F4E" w:rsidRDefault="00377063" w:rsidP="00FE289C">
            <w:pPr>
              <w:spacing w:before="40" w:after="40" w:line="360" w:lineRule="auto"/>
              <w:rPr>
                <w:rFonts w:ascii="Arial" w:hAnsi="Arial" w:cs="Arial"/>
                <w:lang w:val="sq-AL" w:bidi="ar-AE"/>
              </w:rPr>
            </w:pPr>
            <w:r w:rsidRPr="00822887">
              <w:rPr>
                <w:rFonts w:ascii="Arial" w:hAnsi="Arial" w:cs="Arial"/>
                <w:lang w:val="sq-AL"/>
              </w:rPr>
              <w:t>MERS</w:t>
            </w:r>
            <w:r w:rsidRPr="00822887">
              <w:rPr>
                <w:rFonts w:ascii="Arial" w:hAnsi="Arial" w:cs="Arial"/>
                <w:lang w:val="sq-AL" w:bidi="ar-AE"/>
              </w:rPr>
              <w:t>/</w:t>
            </w:r>
            <w:r w:rsidR="000F67ED" w:rsidRPr="00822887">
              <w:rPr>
                <w:rFonts w:ascii="Arial" w:hAnsi="Arial" w:cs="Arial"/>
                <w:lang w:val="sq-AL" w:bidi="ar-AE"/>
              </w:rPr>
              <w:t>AZ</w:t>
            </w:r>
            <w:r w:rsidR="002B6F25" w:rsidRPr="00822887">
              <w:rPr>
                <w:rFonts w:ascii="Arial" w:hAnsi="Arial" w:cs="Arial"/>
                <w:lang w:val="sq-AL" w:bidi="ar-AE"/>
              </w:rPr>
              <w:t>ŽS</w:t>
            </w:r>
            <w:r w:rsidR="002B6F25">
              <w:rPr>
                <w:rFonts w:ascii="Arial" w:hAnsi="Arial" w:cs="Arial"/>
                <w:lang w:val="sq-AL" w:bidi="ar-AE"/>
              </w:rPr>
              <w:t>/</w:t>
            </w:r>
            <w:r w:rsidRPr="002A6F4E">
              <w:rPr>
                <w:rFonts w:ascii="Arial" w:hAnsi="Arial" w:cs="Arial"/>
                <w:lang w:val="sq-AL" w:bidi="ar-AE"/>
              </w:rPr>
              <w:t>MONSTAT</w:t>
            </w:r>
          </w:p>
        </w:tc>
        <w:tc>
          <w:tcPr>
            <w:tcW w:w="508" w:type="pct"/>
            <w:shd w:val="clear" w:color="auto" w:fill="auto"/>
          </w:tcPr>
          <w:p w14:paraId="2B52B6DD" w14:textId="3EAAFA3F"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w:t>
            </w:r>
            <w:r w:rsidR="002B6F25">
              <w:rPr>
                <w:rFonts w:ascii="Arial" w:hAnsi="Arial" w:cs="Arial"/>
                <w:lang w:val="sq-AL" w:bidi="ar-AE"/>
              </w:rPr>
              <w:t>6</w:t>
            </w:r>
            <w:r w:rsidRPr="002A6F4E">
              <w:rPr>
                <w:rFonts w:ascii="Arial" w:hAnsi="Arial" w:cs="Arial"/>
                <w:lang w:val="sq-AL" w:bidi="ar-AE"/>
              </w:rPr>
              <w:t>.</w:t>
            </w:r>
          </w:p>
        </w:tc>
        <w:tc>
          <w:tcPr>
            <w:tcW w:w="1305" w:type="pct"/>
          </w:tcPr>
          <w:p w14:paraId="2C1D18B6" w14:textId="4C1E96D9"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Državni budžet</w:t>
            </w:r>
            <w:r w:rsidR="00F05767">
              <w:rPr>
                <w:rFonts w:ascii="Arial" w:hAnsi="Arial" w:cs="Arial"/>
                <w:lang w:bidi="ar-AE"/>
              </w:rPr>
              <w:t>/</w:t>
            </w:r>
            <w:r w:rsidRPr="002A6F4E">
              <w:rPr>
                <w:rFonts w:ascii="Arial" w:hAnsi="Arial" w:cs="Arial"/>
                <w:lang w:bidi="ar-AE"/>
              </w:rPr>
              <w:t>Donatori</w:t>
            </w:r>
            <w:r w:rsidR="00955265">
              <w:rPr>
                <w:rFonts w:ascii="Arial" w:hAnsi="Arial" w:cs="Arial"/>
                <w:lang w:bidi="ar-AE"/>
              </w:rPr>
              <w:t>/</w:t>
            </w:r>
            <w:r w:rsidR="008A2467" w:rsidRPr="008A2467">
              <w:rPr>
                <w:rFonts w:ascii="Arial" w:hAnsi="Arial" w:cs="Arial"/>
                <w:lang w:bidi="ar-AE"/>
              </w:rPr>
              <w:t>Međunarodne finansijske institucije</w:t>
            </w:r>
          </w:p>
        </w:tc>
      </w:tr>
      <w:tr w:rsidR="000F67ED" w:rsidRPr="002A6F4E" w14:paraId="4F0B4361" w14:textId="77777777" w:rsidTr="009754F4">
        <w:trPr>
          <w:jc w:val="center"/>
        </w:trPr>
        <w:tc>
          <w:tcPr>
            <w:tcW w:w="304" w:type="pct"/>
            <w:shd w:val="clear" w:color="auto" w:fill="auto"/>
          </w:tcPr>
          <w:p w14:paraId="7202EE47"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1.4</w:t>
            </w:r>
          </w:p>
        </w:tc>
        <w:tc>
          <w:tcPr>
            <w:tcW w:w="518" w:type="pct"/>
            <w:shd w:val="clear" w:color="auto" w:fill="auto"/>
          </w:tcPr>
          <w:p w14:paraId="757C1233"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PSSSS</w:t>
            </w:r>
          </w:p>
        </w:tc>
        <w:tc>
          <w:tcPr>
            <w:tcW w:w="1264" w:type="pct"/>
            <w:shd w:val="clear" w:color="auto" w:fill="auto"/>
          </w:tcPr>
          <w:p w14:paraId="33D32AD6" w14:textId="73D74E3C" w:rsidR="00377063" w:rsidRPr="002A6F4E" w:rsidRDefault="009D3FFF" w:rsidP="00FE289C">
            <w:pPr>
              <w:spacing w:before="40" w:after="40" w:line="360" w:lineRule="auto"/>
              <w:rPr>
                <w:rFonts w:ascii="Arial" w:hAnsi="Arial" w:cs="Arial"/>
                <w:lang w:val="sq-AL" w:bidi="ar-AE"/>
              </w:rPr>
            </w:pPr>
            <w:r>
              <w:rPr>
                <w:rFonts w:ascii="Arial" w:hAnsi="Arial" w:cs="Arial"/>
                <w:lang w:val="sq-AL" w:bidi="ar-AE"/>
              </w:rPr>
              <w:t>Izrada</w:t>
            </w:r>
            <w:r w:rsidR="00377063" w:rsidRPr="002A6F4E">
              <w:rPr>
                <w:rFonts w:ascii="Arial" w:hAnsi="Arial" w:cs="Arial"/>
                <w:lang w:val="sq-AL" w:bidi="ar-AE"/>
              </w:rPr>
              <w:t xml:space="preserve"> lokalnih planova upravljanja otpadom da bud</w:t>
            </w:r>
            <w:r>
              <w:rPr>
                <w:rFonts w:ascii="Arial" w:hAnsi="Arial" w:cs="Arial"/>
                <w:lang w:val="sq-AL" w:bidi="ar-AE"/>
              </w:rPr>
              <w:t>u</w:t>
            </w:r>
            <w:r w:rsidR="00377063" w:rsidRPr="002A6F4E">
              <w:rPr>
                <w:rFonts w:ascii="Arial" w:hAnsi="Arial" w:cs="Arial"/>
                <w:lang w:val="sq-AL" w:bidi="ar-AE"/>
              </w:rPr>
              <w:t xml:space="preserve"> usklađen</w:t>
            </w:r>
            <w:r w:rsidR="002B6F25">
              <w:rPr>
                <w:rFonts w:ascii="Arial" w:hAnsi="Arial" w:cs="Arial"/>
                <w:lang w:val="sq-AL" w:bidi="ar-AE"/>
              </w:rPr>
              <w:t>i</w:t>
            </w:r>
            <w:r w:rsidR="00377063" w:rsidRPr="002A6F4E">
              <w:rPr>
                <w:rFonts w:ascii="Arial" w:hAnsi="Arial" w:cs="Arial"/>
                <w:lang w:val="sq-AL" w:bidi="ar-AE"/>
              </w:rPr>
              <w:t xml:space="preserve"> sa DPUO </w:t>
            </w:r>
          </w:p>
        </w:tc>
        <w:tc>
          <w:tcPr>
            <w:tcW w:w="1101" w:type="pct"/>
            <w:shd w:val="clear" w:color="auto" w:fill="auto"/>
          </w:tcPr>
          <w:p w14:paraId="471F1468" w14:textId="60211AA9"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r-Latn-ME"/>
              </w:rPr>
              <w:t>Jedinica lokalne samouprave</w:t>
            </w:r>
            <w:r w:rsidRPr="002A6F4E">
              <w:rPr>
                <w:rFonts w:ascii="Arial" w:hAnsi="Arial" w:cs="Arial"/>
                <w:lang w:val="sq-AL" w:bidi="ar-AE"/>
              </w:rPr>
              <w:t xml:space="preserve"> </w:t>
            </w:r>
          </w:p>
        </w:tc>
        <w:tc>
          <w:tcPr>
            <w:tcW w:w="508" w:type="pct"/>
            <w:shd w:val="clear" w:color="auto" w:fill="auto"/>
          </w:tcPr>
          <w:p w14:paraId="0E5EAA42" w14:textId="28D6650E"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w:t>
            </w:r>
            <w:r w:rsidR="00A31739">
              <w:rPr>
                <w:rFonts w:ascii="Arial" w:hAnsi="Arial" w:cs="Arial"/>
                <w:lang w:val="sq-AL" w:bidi="ar-AE"/>
              </w:rPr>
              <w:t>6</w:t>
            </w:r>
            <w:r w:rsidRPr="002A6F4E">
              <w:rPr>
                <w:rFonts w:ascii="Arial" w:hAnsi="Arial" w:cs="Arial"/>
                <w:lang w:val="sq-AL" w:bidi="ar-AE"/>
              </w:rPr>
              <w:t>.</w:t>
            </w:r>
          </w:p>
        </w:tc>
        <w:tc>
          <w:tcPr>
            <w:tcW w:w="1305" w:type="pct"/>
          </w:tcPr>
          <w:p w14:paraId="60B65C99" w14:textId="3C7F3D74" w:rsidR="00377063" w:rsidRPr="002A6F4E" w:rsidRDefault="00CA3D99" w:rsidP="00FE289C">
            <w:pPr>
              <w:spacing w:before="40" w:after="40" w:line="360" w:lineRule="auto"/>
              <w:rPr>
                <w:rFonts w:ascii="Arial" w:hAnsi="Arial" w:cs="Arial"/>
                <w:lang w:val="sq-AL" w:bidi="ar-AE"/>
              </w:rPr>
            </w:pPr>
            <w:r>
              <w:rPr>
                <w:rFonts w:ascii="Arial" w:hAnsi="Arial" w:cs="Arial"/>
                <w:lang w:bidi="ar-AE"/>
              </w:rPr>
              <w:t>Budžet jedinica lokalnih samouprava</w:t>
            </w:r>
          </w:p>
        </w:tc>
      </w:tr>
      <w:tr w:rsidR="000F67ED" w:rsidRPr="002A6F4E" w14:paraId="4E09287F" w14:textId="77777777" w:rsidTr="009754F4">
        <w:trPr>
          <w:jc w:val="center"/>
        </w:trPr>
        <w:tc>
          <w:tcPr>
            <w:tcW w:w="304" w:type="pct"/>
            <w:shd w:val="clear" w:color="auto" w:fill="auto"/>
          </w:tcPr>
          <w:p w14:paraId="7E24CC5B"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1.5</w:t>
            </w:r>
          </w:p>
        </w:tc>
        <w:tc>
          <w:tcPr>
            <w:tcW w:w="518" w:type="pct"/>
            <w:shd w:val="clear" w:color="auto" w:fill="auto"/>
          </w:tcPr>
          <w:p w14:paraId="64C0C361"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ZM</w:t>
            </w:r>
          </w:p>
        </w:tc>
        <w:tc>
          <w:tcPr>
            <w:tcW w:w="1264" w:type="pct"/>
            <w:shd w:val="clear" w:color="auto" w:fill="auto"/>
          </w:tcPr>
          <w:p w14:paraId="5214580C" w14:textId="372A5E4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Uspostavljanje uslova, propisa, specifikacija i zahtjeva za regionalizaciju upravljanja otpadom –</w:t>
            </w:r>
            <w:r w:rsidR="00D74F58">
              <w:rPr>
                <w:rFonts w:ascii="Arial" w:hAnsi="Arial" w:cs="Arial"/>
                <w:lang w:val="sq-AL" w:bidi="ar-AE"/>
              </w:rPr>
              <w:t xml:space="preserve"> </w:t>
            </w:r>
            <w:r w:rsidRPr="002A6F4E">
              <w:rPr>
                <w:rFonts w:ascii="Arial" w:hAnsi="Arial" w:cs="Arial"/>
                <w:lang w:val="sq-AL" w:bidi="ar-AE"/>
              </w:rPr>
              <w:t xml:space="preserve">Osnivanje nadležnih organa i privrednih društava </w:t>
            </w:r>
          </w:p>
        </w:tc>
        <w:tc>
          <w:tcPr>
            <w:tcW w:w="1101" w:type="pct"/>
            <w:shd w:val="clear" w:color="auto" w:fill="auto"/>
          </w:tcPr>
          <w:p w14:paraId="7182AF34" w14:textId="100505C6"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00955265">
              <w:rPr>
                <w:rFonts w:ascii="Arial" w:hAnsi="Arial" w:cs="Arial"/>
                <w:lang w:val="sq-AL"/>
              </w:rPr>
              <w:t>/</w:t>
            </w:r>
            <w:r w:rsidR="00955265">
              <w:t xml:space="preserve"> </w:t>
            </w:r>
            <w:r w:rsidR="00955265" w:rsidRPr="00955265">
              <w:rPr>
                <w:rFonts w:ascii="Arial" w:hAnsi="Arial" w:cs="Arial"/>
                <w:lang w:val="sq-AL"/>
              </w:rPr>
              <w:t>Jedinica lokalne samouprave</w:t>
            </w:r>
          </w:p>
        </w:tc>
        <w:tc>
          <w:tcPr>
            <w:tcW w:w="508" w:type="pct"/>
            <w:shd w:val="clear" w:color="auto" w:fill="auto"/>
          </w:tcPr>
          <w:p w14:paraId="3D885ED8" w14:textId="6BD53E76"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w:t>
            </w:r>
            <w:r w:rsidR="00767043">
              <w:rPr>
                <w:rFonts w:ascii="Arial" w:hAnsi="Arial" w:cs="Arial"/>
                <w:lang w:val="sq-AL" w:bidi="ar-AE"/>
              </w:rPr>
              <w:t>-2028</w:t>
            </w:r>
            <w:r w:rsidRPr="002A6F4E">
              <w:rPr>
                <w:rFonts w:ascii="Arial" w:hAnsi="Arial" w:cs="Arial"/>
                <w:lang w:val="sq-AL" w:bidi="ar-AE"/>
              </w:rPr>
              <w:t>.</w:t>
            </w:r>
          </w:p>
        </w:tc>
        <w:tc>
          <w:tcPr>
            <w:tcW w:w="1305" w:type="pct"/>
          </w:tcPr>
          <w:p w14:paraId="4250C699" w14:textId="33DB322F" w:rsidR="00955265" w:rsidRPr="003D7619" w:rsidRDefault="00955265" w:rsidP="00955265">
            <w:pPr>
              <w:spacing w:before="40" w:after="40" w:line="360" w:lineRule="auto"/>
              <w:rPr>
                <w:rFonts w:ascii="Arial" w:hAnsi="Arial" w:cs="Arial"/>
                <w:lang w:val="sq-AL" w:bidi="ar-AE"/>
              </w:rPr>
            </w:pPr>
            <w:r w:rsidRPr="003D7619">
              <w:rPr>
                <w:lang w:val="sq-AL"/>
              </w:rPr>
              <w:t xml:space="preserve"> </w:t>
            </w:r>
            <w:r w:rsidRPr="003D7619">
              <w:rPr>
                <w:rFonts w:ascii="Arial" w:hAnsi="Arial" w:cs="Arial"/>
                <w:lang w:val="sq-AL" w:bidi="ar-AE"/>
              </w:rPr>
              <w:t>Državni budžet/</w:t>
            </w:r>
            <w:r w:rsidRPr="003D7619">
              <w:rPr>
                <w:lang w:val="sq-AL"/>
              </w:rPr>
              <w:t xml:space="preserve"> </w:t>
            </w:r>
            <w:r w:rsidRPr="003D7619">
              <w:rPr>
                <w:rFonts w:ascii="Arial" w:hAnsi="Arial" w:cs="Arial"/>
                <w:lang w:val="sq-AL" w:bidi="ar-AE"/>
              </w:rPr>
              <w:t>Budžet jedinica lokalnih samouprava/</w:t>
            </w:r>
          </w:p>
          <w:p w14:paraId="33AB4F2C" w14:textId="29852754" w:rsidR="00377063" w:rsidRPr="002A6F4E" w:rsidRDefault="00955265" w:rsidP="00955265">
            <w:pPr>
              <w:spacing w:before="40" w:after="40" w:line="360" w:lineRule="auto"/>
              <w:rPr>
                <w:rFonts w:ascii="Arial" w:hAnsi="Arial" w:cs="Arial"/>
                <w:lang w:val="sq-AL" w:bidi="ar-AE"/>
              </w:rPr>
            </w:pPr>
            <w:r w:rsidRPr="00955265">
              <w:rPr>
                <w:rFonts w:ascii="Arial" w:hAnsi="Arial" w:cs="Arial"/>
                <w:lang w:bidi="ar-AE"/>
              </w:rPr>
              <w:t>Donatori</w:t>
            </w:r>
            <w:r>
              <w:rPr>
                <w:rFonts w:ascii="Arial" w:hAnsi="Arial" w:cs="Arial"/>
                <w:lang w:bidi="ar-AE"/>
              </w:rPr>
              <w:t>/</w:t>
            </w:r>
            <w:r w:rsidRPr="00955265">
              <w:rPr>
                <w:rFonts w:ascii="Arial" w:hAnsi="Arial" w:cs="Arial"/>
                <w:lang w:bidi="ar-AE"/>
              </w:rPr>
              <w:t>Međunarodne finansijske institucije</w:t>
            </w:r>
          </w:p>
        </w:tc>
      </w:tr>
      <w:tr w:rsidR="000F67ED" w:rsidRPr="002A6F4E" w14:paraId="0964A696" w14:textId="77777777" w:rsidTr="009754F4">
        <w:trPr>
          <w:jc w:val="center"/>
        </w:trPr>
        <w:tc>
          <w:tcPr>
            <w:tcW w:w="304" w:type="pct"/>
            <w:shd w:val="clear" w:color="auto" w:fill="auto"/>
          </w:tcPr>
          <w:p w14:paraId="7EE450A6" w14:textId="03F704FF"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1.</w:t>
            </w:r>
            <w:r w:rsidR="00A31739">
              <w:rPr>
                <w:rFonts w:ascii="Arial" w:hAnsi="Arial" w:cs="Arial"/>
                <w:lang w:val="sq-AL" w:bidi="ar-AE"/>
              </w:rPr>
              <w:t>6</w:t>
            </w:r>
          </w:p>
        </w:tc>
        <w:tc>
          <w:tcPr>
            <w:tcW w:w="518" w:type="pct"/>
            <w:shd w:val="clear" w:color="auto" w:fill="auto"/>
          </w:tcPr>
          <w:p w14:paraId="17F6EBF0"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ZM</w:t>
            </w:r>
          </w:p>
        </w:tc>
        <w:tc>
          <w:tcPr>
            <w:tcW w:w="1264" w:type="pct"/>
            <w:shd w:val="clear" w:color="auto" w:fill="auto"/>
          </w:tcPr>
          <w:p w14:paraId="76C624EF" w14:textId="52DC720D" w:rsidR="00377063" w:rsidRPr="002A6F4E" w:rsidRDefault="000F67ED" w:rsidP="00FE289C">
            <w:pPr>
              <w:spacing w:before="40" w:after="40" w:line="360" w:lineRule="auto"/>
              <w:rPr>
                <w:rFonts w:ascii="Arial" w:hAnsi="Arial" w:cs="Arial"/>
                <w:lang w:val="sq-AL" w:bidi="ar-AE"/>
              </w:rPr>
            </w:pPr>
            <w:r>
              <w:rPr>
                <w:rFonts w:ascii="Arial" w:hAnsi="Arial" w:cs="Arial"/>
                <w:lang w:val="sq-AL" w:bidi="ar-AE"/>
              </w:rPr>
              <w:t>Monitoring realizacije</w:t>
            </w:r>
            <w:r w:rsidR="00377063" w:rsidRPr="002A6F4E">
              <w:rPr>
                <w:rFonts w:ascii="Arial" w:hAnsi="Arial" w:cs="Arial"/>
                <w:lang w:val="sq-AL" w:bidi="ar-AE"/>
              </w:rPr>
              <w:t xml:space="preserve"> ciljeva za </w:t>
            </w:r>
            <w:r>
              <w:rPr>
                <w:rFonts w:ascii="Arial" w:hAnsi="Arial" w:cs="Arial"/>
                <w:lang w:val="sq-AL" w:bidi="ar-AE"/>
              </w:rPr>
              <w:t xml:space="preserve">ponovnu upotrebu, </w:t>
            </w:r>
            <w:r w:rsidR="00377063" w:rsidRPr="002A6F4E">
              <w:rPr>
                <w:rFonts w:ascii="Arial" w:hAnsi="Arial" w:cs="Arial"/>
                <w:lang w:val="sq-AL" w:bidi="ar-AE"/>
              </w:rPr>
              <w:t>recikliranje</w:t>
            </w:r>
            <w:r>
              <w:rPr>
                <w:rFonts w:ascii="Arial" w:hAnsi="Arial" w:cs="Arial"/>
                <w:lang w:val="sq-AL" w:bidi="ar-AE"/>
              </w:rPr>
              <w:t xml:space="preserve"> i preradu</w:t>
            </w:r>
            <w:r w:rsidR="00377063" w:rsidRPr="002A6F4E">
              <w:rPr>
                <w:rFonts w:ascii="Arial" w:hAnsi="Arial" w:cs="Arial"/>
                <w:lang w:val="sq-AL" w:bidi="ar-AE"/>
              </w:rPr>
              <w:t xml:space="preserve"> </w:t>
            </w:r>
          </w:p>
        </w:tc>
        <w:tc>
          <w:tcPr>
            <w:tcW w:w="1101" w:type="pct"/>
            <w:shd w:val="clear" w:color="auto" w:fill="auto"/>
          </w:tcPr>
          <w:p w14:paraId="2A83E15B"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p>
        </w:tc>
        <w:tc>
          <w:tcPr>
            <w:tcW w:w="508" w:type="pct"/>
            <w:shd w:val="clear" w:color="auto" w:fill="auto"/>
          </w:tcPr>
          <w:p w14:paraId="206935B4" w14:textId="367BD316"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w:t>
            </w:r>
            <w:r w:rsidR="000F67ED">
              <w:rPr>
                <w:rFonts w:ascii="Arial" w:hAnsi="Arial" w:cs="Arial"/>
                <w:lang w:val="sq-AL" w:bidi="ar-AE"/>
              </w:rPr>
              <w:t>-2029</w:t>
            </w:r>
            <w:r w:rsidRPr="002A6F4E">
              <w:rPr>
                <w:rFonts w:ascii="Arial" w:hAnsi="Arial" w:cs="Arial"/>
                <w:lang w:val="sq-AL" w:bidi="ar-AE"/>
              </w:rPr>
              <w:t>.</w:t>
            </w:r>
          </w:p>
        </w:tc>
        <w:tc>
          <w:tcPr>
            <w:tcW w:w="1305" w:type="pct"/>
          </w:tcPr>
          <w:p w14:paraId="7F3E0577" w14:textId="6DB4EACF" w:rsidR="00377063" w:rsidRPr="002A6F4E" w:rsidRDefault="006124F1" w:rsidP="00FE289C">
            <w:pPr>
              <w:spacing w:before="40" w:after="40" w:line="360" w:lineRule="auto"/>
              <w:rPr>
                <w:rFonts w:ascii="Arial" w:hAnsi="Arial" w:cs="Arial"/>
                <w:lang w:val="sq-AL" w:bidi="ar-AE"/>
              </w:rPr>
            </w:pPr>
            <w:r>
              <w:rPr>
                <w:rFonts w:ascii="Arial" w:hAnsi="Arial" w:cs="Arial"/>
                <w:lang w:bidi="ar-AE"/>
              </w:rPr>
              <w:t>/</w:t>
            </w:r>
          </w:p>
        </w:tc>
      </w:tr>
      <w:tr w:rsidR="000F67ED" w:rsidRPr="002A6F4E" w14:paraId="2D91C143" w14:textId="77777777" w:rsidTr="009754F4">
        <w:trPr>
          <w:jc w:val="center"/>
        </w:trPr>
        <w:tc>
          <w:tcPr>
            <w:tcW w:w="304" w:type="pct"/>
            <w:shd w:val="clear" w:color="auto" w:fill="auto"/>
          </w:tcPr>
          <w:p w14:paraId="12BE3129" w14:textId="5AA2048C"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lastRenderedPageBreak/>
              <w:t>1.</w:t>
            </w:r>
            <w:r w:rsidR="000F67ED">
              <w:rPr>
                <w:rFonts w:ascii="Arial" w:hAnsi="Arial" w:cs="Arial"/>
                <w:lang w:val="sq-AL" w:bidi="ar-AE"/>
              </w:rPr>
              <w:t>7</w:t>
            </w:r>
          </w:p>
        </w:tc>
        <w:tc>
          <w:tcPr>
            <w:tcW w:w="518" w:type="pct"/>
            <w:shd w:val="clear" w:color="auto" w:fill="auto"/>
          </w:tcPr>
          <w:p w14:paraId="2570AE5D"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ZM/OAM</w:t>
            </w:r>
          </w:p>
        </w:tc>
        <w:tc>
          <w:tcPr>
            <w:tcW w:w="1264" w:type="pct"/>
            <w:shd w:val="clear" w:color="auto" w:fill="auto"/>
          </w:tcPr>
          <w:p w14:paraId="6EDDEFA9" w14:textId="692298BD"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I</w:t>
            </w:r>
            <w:r w:rsidR="000F67ED">
              <w:rPr>
                <w:rFonts w:ascii="Arial" w:hAnsi="Arial" w:cs="Arial"/>
                <w:lang w:val="sq-AL" w:bidi="ar-AE"/>
              </w:rPr>
              <w:t>z</w:t>
            </w:r>
            <w:r w:rsidRPr="002A6F4E">
              <w:rPr>
                <w:rFonts w:ascii="Arial" w:hAnsi="Arial" w:cs="Arial"/>
                <w:lang w:val="sq-AL" w:bidi="ar-AE"/>
              </w:rPr>
              <w:t xml:space="preserve">rada </w:t>
            </w:r>
            <w:r w:rsidR="000F67ED">
              <w:rPr>
                <w:rFonts w:ascii="Arial" w:hAnsi="Arial" w:cs="Arial"/>
                <w:lang w:val="sq-AL" w:bidi="ar-AE"/>
              </w:rPr>
              <w:t>i</w:t>
            </w:r>
            <w:r w:rsidRPr="002A6F4E">
              <w:rPr>
                <w:rFonts w:ascii="Arial" w:hAnsi="Arial" w:cs="Arial"/>
                <w:lang w:val="sq-AL" w:bidi="ar-AE"/>
              </w:rPr>
              <w:t xml:space="preserve"> ažuriranje postojećeg sveobuhvatnog i funkcionalnog </w:t>
            </w:r>
            <w:r w:rsidR="000F67ED">
              <w:rPr>
                <w:rFonts w:ascii="Arial" w:hAnsi="Arial" w:cs="Arial"/>
                <w:lang w:val="sq-AL" w:bidi="ar-AE"/>
              </w:rPr>
              <w:t>i</w:t>
            </w:r>
            <w:r w:rsidRPr="002A6F4E">
              <w:rPr>
                <w:rFonts w:ascii="Arial" w:hAnsi="Arial" w:cs="Arial"/>
                <w:lang w:val="sq-AL" w:bidi="ar-AE"/>
              </w:rPr>
              <w:t>nformacionog sistema za upravljanje otpadom (ISUO)</w:t>
            </w:r>
          </w:p>
        </w:tc>
        <w:tc>
          <w:tcPr>
            <w:tcW w:w="1101" w:type="pct"/>
            <w:shd w:val="clear" w:color="auto" w:fill="auto"/>
          </w:tcPr>
          <w:p w14:paraId="53402A58" w14:textId="37C690AE"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A</w:t>
            </w:r>
            <w:r w:rsidR="000F67ED">
              <w:rPr>
                <w:rFonts w:ascii="Arial" w:hAnsi="Arial" w:cs="Arial"/>
                <w:lang w:val="sq-AL" w:bidi="ar-AE"/>
              </w:rPr>
              <w:t>Z</w:t>
            </w:r>
            <w:r w:rsidRPr="002A6F4E">
              <w:rPr>
                <w:rFonts w:ascii="Arial" w:hAnsi="Arial" w:cs="Arial"/>
                <w:lang w:val="sq-AL" w:bidi="ar-AE"/>
              </w:rPr>
              <w:t>ŽS</w:t>
            </w:r>
          </w:p>
        </w:tc>
        <w:tc>
          <w:tcPr>
            <w:tcW w:w="508" w:type="pct"/>
            <w:shd w:val="clear" w:color="auto" w:fill="auto"/>
          </w:tcPr>
          <w:p w14:paraId="5FA546DC" w14:textId="1D1657F3"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w:t>
            </w:r>
          </w:p>
        </w:tc>
        <w:tc>
          <w:tcPr>
            <w:tcW w:w="1305" w:type="pct"/>
          </w:tcPr>
          <w:p w14:paraId="23DE989F" w14:textId="7B20F895"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Državni budžet</w:t>
            </w:r>
            <w:r w:rsidR="00955265">
              <w:rPr>
                <w:rFonts w:ascii="Arial" w:hAnsi="Arial" w:cs="Arial"/>
                <w:lang w:bidi="ar-AE"/>
              </w:rPr>
              <w:t>/</w:t>
            </w:r>
            <w:r w:rsidRPr="002A6F4E">
              <w:rPr>
                <w:rFonts w:ascii="Arial" w:hAnsi="Arial" w:cs="Arial"/>
                <w:lang w:bidi="ar-AE"/>
              </w:rPr>
              <w:t>Donatori</w:t>
            </w:r>
            <w:r w:rsidR="00955265">
              <w:rPr>
                <w:rFonts w:ascii="Arial" w:hAnsi="Arial" w:cs="Arial"/>
                <w:lang w:bidi="ar-AE"/>
              </w:rPr>
              <w:t>/</w:t>
            </w:r>
            <w:r w:rsidR="00955265" w:rsidRPr="00955265">
              <w:rPr>
                <w:rFonts w:ascii="Arial" w:hAnsi="Arial" w:cs="Arial"/>
                <w:lang w:bidi="ar-AE"/>
              </w:rPr>
              <w:t>Međunarodne finansijske institucije</w:t>
            </w:r>
          </w:p>
        </w:tc>
      </w:tr>
      <w:tr w:rsidR="000F67ED" w:rsidRPr="002A6F4E" w14:paraId="3B9CC11E" w14:textId="77777777" w:rsidTr="009754F4">
        <w:trPr>
          <w:jc w:val="center"/>
        </w:trPr>
        <w:tc>
          <w:tcPr>
            <w:tcW w:w="304" w:type="pct"/>
            <w:shd w:val="clear" w:color="auto" w:fill="auto"/>
          </w:tcPr>
          <w:p w14:paraId="4BAFF557" w14:textId="3FB679D1"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1.</w:t>
            </w:r>
            <w:r w:rsidR="000F67ED">
              <w:rPr>
                <w:rFonts w:ascii="Arial" w:hAnsi="Arial" w:cs="Arial"/>
                <w:lang w:val="sq-AL" w:bidi="ar-AE"/>
              </w:rPr>
              <w:t>8</w:t>
            </w:r>
          </w:p>
        </w:tc>
        <w:tc>
          <w:tcPr>
            <w:tcW w:w="518" w:type="pct"/>
            <w:shd w:val="clear" w:color="auto" w:fill="auto"/>
          </w:tcPr>
          <w:p w14:paraId="3863E7D1"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6BC11544" w14:textId="2A8C05A0"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 xml:space="preserve">Unaprijediti kapacitete i mehanizme unutar </w:t>
            </w:r>
            <w:r w:rsidRPr="002A6F4E">
              <w:rPr>
                <w:rFonts w:ascii="Arial" w:hAnsi="Arial" w:cs="Arial"/>
                <w:lang w:val="sq-AL"/>
              </w:rPr>
              <w:t>MERS</w:t>
            </w:r>
            <w:r w:rsidRPr="002A6F4E">
              <w:rPr>
                <w:rFonts w:ascii="Arial" w:hAnsi="Arial" w:cs="Arial"/>
                <w:lang w:val="sq-AL" w:bidi="ar-AE"/>
              </w:rPr>
              <w:t xml:space="preserve"> kako bi se osigurala pravilna kontrola i primjena </w:t>
            </w:r>
            <w:r w:rsidR="003739D4">
              <w:rPr>
                <w:rFonts w:ascii="Arial" w:hAnsi="Arial" w:cs="Arial"/>
                <w:lang w:val="sq-AL" w:bidi="ar-AE"/>
              </w:rPr>
              <w:t>DPUO</w:t>
            </w:r>
            <w:r w:rsidRPr="002A6F4E">
              <w:rPr>
                <w:rFonts w:ascii="Arial" w:hAnsi="Arial" w:cs="Arial"/>
                <w:lang w:val="sq-AL" w:bidi="ar-AE"/>
              </w:rPr>
              <w:t xml:space="preserve"> </w:t>
            </w:r>
          </w:p>
        </w:tc>
        <w:tc>
          <w:tcPr>
            <w:tcW w:w="1101" w:type="pct"/>
            <w:shd w:val="clear" w:color="auto" w:fill="auto"/>
          </w:tcPr>
          <w:p w14:paraId="6959B176"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p>
        </w:tc>
        <w:tc>
          <w:tcPr>
            <w:tcW w:w="508" w:type="pct"/>
            <w:shd w:val="clear" w:color="auto" w:fill="auto"/>
          </w:tcPr>
          <w:p w14:paraId="30F9DB1A" w14:textId="3AED5F38"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w:t>
            </w:r>
            <w:r w:rsidR="00045228">
              <w:rPr>
                <w:rFonts w:ascii="Arial" w:hAnsi="Arial" w:cs="Arial"/>
                <w:lang w:val="sq-AL" w:bidi="ar-AE"/>
              </w:rPr>
              <w:t>5-</w:t>
            </w:r>
            <w:r w:rsidRPr="002A6F4E">
              <w:rPr>
                <w:rFonts w:ascii="Arial" w:hAnsi="Arial" w:cs="Arial"/>
                <w:lang w:val="sq-AL" w:bidi="ar-AE"/>
              </w:rPr>
              <w:t>202</w:t>
            </w:r>
            <w:r w:rsidR="00955265">
              <w:rPr>
                <w:rFonts w:ascii="Arial" w:hAnsi="Arial" w:cs="Arial"/>
                <w:lang w:val="sq-AL" w:bidi="ar-AE"/>
              </w:rPr>
              <w:t>7</w:t>
            </w:r>
            <w:r w:rsidRPr="002A6F4E">
              <w:rPr>
                <w:rFonts w:ascii="Arial" w:hAnsi="Arial" w:cs="Arial"/>
                <w:lang w:val="sq-AL" w:bidi="ar-AE"/>
              </w:rPr>
              <w:t>.</w:t>
            </w:r>
          </w:p>
        </w:tc>
        <w:tc>
          <w:tcPr>
            <w:tcW w:w="1305" w:type="pct"/>
          </w:tcPr>
          <w:p w14:paraId="7C57491C"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Državni budžet</w:t>
            </w:r>
          </w:p>
        </w:tc>
      </w:tr>
      <w:tr w:rsidR="00377063" w:rsidRPr="002A6F4E" w14:paraId="436C6870" w14:textId="77777777" w:rsidTr="009754F4">
        <w:trPr>
          <w:jc w:val="center"/>
        </w:trPr>
        <w:tc>
          <w:tcPr>
            <w:tcW w:w="5000" w:type="pct"/>
            <w:gridSpan w:val="6"/>
            <w:shd w:val="clear" w:color="auto" w:fill="DBDBDB" w:themeFill="accent3" w:themeFillTint="66"/>
          </w:tcPr>
          <w:p w14:paraId="07A95ED0" w14:textId="77777777" w:rsidR="00377063" w:rsidRPr="002A6F4E" w:rsidRDefault="00377063" w:rsidP="00FE289C">
            <w:pPr>
              <w:spacing w:before="40" w:after="40" w:line="360" w:lineRule="auto"/>
              <w:ind w:right="45"/>
              <w:rPr>
                <w:rFonts w:ascii="Arial" w:hAnsi="Arial" w:cs="Arial"/>
                <w:b/>
                <w:bCs/>
                <w:lang w:val="sq-AL"/>
              </w:rPr>
            </w:pPr>
            <w:r w:rsidRPr="002A6F4E">
              <w:rPr>
                <w:rFonts w:ascii="Arial" w:hAnsi="Arial" w:cs="Arial"/>
                <w:b/>
                <w:bCs/>
                <w:lang w:val="sq-AL"/>
              </w:rPr>
              <w:t xml:space="preserve">2. </w:t>
            </w:r>
            <w:bookmarkStart w:id="1448" w:name="_Hlk121698833"/>
            <w:r w:rsidRPr="002A6F4E">
              <w:rPr>
                <w:rFonts w:ascii="Arial" w:hAnsi="Arial" w:cs="Arial"/>
                <w:b/>
                <w:bCs/>
                <w:lang w:val="sq-AL"/>
              </w:rPr>
              <w:t xml:space="preserve">Stub B: </w:t>
            </w:r>
            <w:bookmarkEnd w:id="1448"/>
            <w:r w:rsidRPr="002A6F4E">
              <w:rPr>
                <w:rFonts w:ascii="Arial" w:hAnsi="Arial" w:cs="Arial"/>
                <w:b/>
                <w:bCs/>
                <w:lang w:val="sq-AL"/>
              </w:rPr>
              <w:t>Održivo finansiranje</w:t>
            </w:r>
          </w:p>
          <w:p w14:paraId="07A70CE9" w14:textId="77777777" w:rsidR="00377063" w:rsidRPr="002A6F4E" w:rsidRDefault="00377063" w:rsidP="00FE289C">
            <w:pPr>
              <w:spacing w:before="40" w:after="40" w:line="360" w:lineRule="auto"/>
              <w:rPr>
                <w:rFonts w:ascii="Arial" w:hAnsi="Arial" w:cs="Arial"/>
                <w:bCs/>
                <w:lang w:val="sq-AL" w:bidi="ar-AE"/>
              </w:rPr>
            </w:pPr>
            <w:r w:rsidRPr="002A6F4E">
              <w:rPr>
                <w:rFonts w:ascii="Arial" w:hAnsi="Arial" w:cs="Arial"/>
                <w:b/>
                <w:lang w:val="sq-AL" w:bidi="ar-AE"/>
              </w:rPr>
              <w:t>Strateški ciljevi</w:t>
            </w:r>
            <w:r w:rsidRPr="002A6F4E">
              <w:rPr>
                <w:rFonts w:ascii="Arial" w:hAnsi="Arial" w:cs="Arial"/>
                <w:bCs/>
                <w:lang w:val="sq-AL" w:bidi="ar-AE"/>
              </w:rPr>
              <w:t>:</w:t>
            </w:r>
          </w:p>
          <w:p w14:paraId="2EA6F4BA" w14:textId="3F6AC12F" w:rsidR="00377063" w:rsidRPr="002A6F4E" w:rsidRDefault="00955265" w:rsidP="00A23ED0">
            <w:pPr>
              <w:pStyle w:val="ListParagraph"/>
              <w:numPr>
                <w:ilvl w:val="0"/>
                <w:numId w:val="89"/>
              </w:numPr>
              <w:spacing w:before="40" w:after="40" w:line="360" w:lineRule="auto"/>
              <w:rPr>
                <w:rFonts w:ascii="Arial" w:hAnsi="Arial" w:cs="Arial"/>
                <w:bCs/>
                <w:lang w:val="sq-AL"/>
              </w:rPr>
            </w:pPr>
            <w:r>
              <w:rPr>
                <w:rFonts w:ascii="Arial" w:hAnsi="Arial" w:cs="Arial"/>
                <w:bCs/>
                <w:lang w:val="sq-AL"/>
              </w:rPr>
              <w:t>Uspostaviti</w:t>
            </w:r>
            <w:r w:rsidRPr="002A6F4E">
              <w:rPr>
                <w:rFonts w:ascii="Arial" w:hAnsi="Arial" w:cs="Arial"/>
                <w:bCs/>
                <w:lang w:val="sq-AL"/>
              </w:rPr>
              <w:t xml:space="preserve"> </w:t>
            </w:r>
            <w:r w:rsidR="00377063" w:rsidRPr="002A6F4E">
              <w:rPr>
                <w:rFonts w:ascii="Arial" w:hAnsi="Arial" w:cs="Arial"/>
                <w:bCs/>
                <w:lang w:val="sq-AL"/>
              </w:rPr>
              <w:t>sisteme i programe upravljanja otpadom koji su finansijski samoodrživi;</w:t>
            </w:r>
          </w:p>
          <w:p w14:paraId="5607523E" w14:textId="6AFA0EB4" w:rsidR="00377063" w:rsidRPr="002A6F4E" w:rsidRDefault="00377063" w:rsidP="00A23ED0">
            <w:pPr>
              <w:pStyle w:val="ListParagraph"/>
              <w:numPr>
                <w:ilvl w:val="0"/>
                <w:numId w:val="89"/>
              </w:numPr>
              <w:spacing w:before="40" w:after="40" w:line="360" w:lineRule="auto"/>
              <w:rPr>
                <w:rFonts w:ascii="Arial" w:hAnsi="Arial" w:cs="Arial"/>
                <w:bCs/>
                <w:lang w:val="sq-AL"/>
              </w:rPr>
            </w:pPr>
            <w:r w:rsidRPr="002A6F4E">
              <w:rPr>
                <w:rFonts w:ascii="Arial" w:hAnsi="Arial" w:cs="Arial"/>
                <w:bCs/>
                <w:lang w:val="sq-AL"/>
              </w:rPr>
              <w:t xml:space="preserve">Uspostaviti šeme podsticaja kojima se primjenjuje princip </w:t>
            </w:r>
            <w:r w:rsidR="00A53BF6">
              <w:rPr>
                <w:rFonts w:ascii="Arial" w:hAnsi="Arial" w:cs="Arial"/>
                <w:bCs/>
                <w:lang w:val="sr-Latn-ME"/>
              </w:rPr>
              <w:t>„</w:t>
            </w:r>
            <w:r w:rsidRPr="002A6F4E">
              <w:rPr>
                <w:rFonts w:ascii="Arial" w:hAnsi="Arial" w:cs="Arial"/>
                <w:bCs/>
                <w:lang w:val="sq-AL"/>
              </w:rPr>
              <w:t>zagađivač plaća</w:t>
            </w:r>
            <w:r w:rsidR="00A53BF6">
              <w:rPr>
                <w:rFonts w:ascii="Arial" w:hAnsi="Arial" w:cs="Arial"/>
                <w:bCs/>
                <w:lang w:val="sq-AL"/>
              </w:rPr>
              <w:t>”</w:t>
            </w:r>
            <w:r w:rsidRPr="002A6F4E">
              <w:rPr>
                <w:rFonts w:ascii="Arial" w:hAnsi="Arial" w:cs="Arial"/>
                <w:bCs/>
                <w:lang w:val="sq-AL"/>
              </w:rPr>
              <w:t>, time što će se podstaći čistija proizvodnja i prerada otpada;</w:t>
            </w:r>
          </w:p>
          <w:p w14:paraId="71EB0A15" w14:textId="30939CF8" w:rsidR="00377063" w:rsidRPr="002A6F4E" w:rsidRDefault="00377063" w:rsidP="00A23ED0">
            <w:pPr>
              <w:pStyle w:val="ListParagraph"/>
              <w:numPr>
                <w:ilvl w:val="0"/>
                <w:numId w:val="89"/>
              </w:numPr>
              <w:spacing w:before="40" w:after="40" w:line="360" w:lineRule="auto"/>
              <w:rPr>
                <w:rFonts w:ascii="Arial" w:hAnsi="Arial" w:cs="Arial"/>
                <w:bCs/>
                <w:lang w:val="sq-AL"/>
              </w:rPr>
            </w:pPr>
            <w:r w:rsidRPr="002A6F4E">
              <w:rPr>
                <w:rFonts w:ascii="Arial" w:hAnsi="Arial" w:cs="Arial"/>
                <w:bCs/>
                <w:lang w:val="sq-AL"/>
              </w:rPr>
              <w:t xml:space="preserve">Promovisanje </w:t>
            </w:r>
            <w:r w:rsidR="0079476A">
              <w:rPr>
                <w:rFonts w:ascii="Arial" w:hAnsi="Arial" w:cs="Arial"/>
                <w:bCs/>
                <w:lang w:val="sq-AL"/>
              </w:rPr>
              <w:t>proširene</w:t>
            </w:r>
            <w:r w:rsidRPr="002A6F4E">
              <w:rPr>
                <w:rFonts w:ascii="Arial" w:hAnsi="Arial" w:cs="Arial"/>
                <w:bCs/>
                <w:lang w:val="sq-AL"/>
              </w:rPr>
              <w:t xml:space="preserve"> odgovornosti proizvođača i principa </w:t>
            </w:r>
            <w:r w:rsidR="00A53BF6">
              <w:rPr>
                <w:rFonts w:ascii="Arial" w:hAnsi="Arial" w:cs="Arial"/>
                <w:bCs/>
                <w:lang w:val="sq-AL"/>
              </w:rPr>
              <w:t>“</w:t>
            </w:r>
            <w:r w:rsidRPr="002A6F4E">
              <w:rPr>
                <w:rFonts w:ascii="Arial" w:hAnsi="Arial" w:cs="Arial"/>
                <w:bCs/>
                <w:lang w:val="sq-AL"/>
              </w:rPr>
              <w:t>zagađivač plaća</w:t>
            </w:r>
            <w:r w:rsidR="00A53BF6">
              <w:rPr>
                <w:rFonts w:ascii="Arial" w:hAnsi="Arial" w:cs="Arial"/>
                <w:bCs/>
                <w:lang w:val="sq-AL"/>
              </w:rPr>
              <w:t>”</w:t>
            </w:r>
            <w:r w:rsidRPr="002A6F4E">
              <w:rPr>
                <w:rFonts w:ascii="Arial" w:hAnsi="Arial" w:cs="Arial"/>
                <w:bCs/>
                <w:lang w:val="sq-AL"/>
              </w:rPr>
              <w:t>;</w:t>
            </w:r>
          </w:p>
          <w:p w14:paraId="60EEC79B" w14:textId="77777777" w:rsidR="00377063" w:rsidRPr="002A6F4E" w:rsidRDefault="00377063" w:rsidP="00FE289C">
            <w:pPr>
              <w:spacing w:before="40" w:after="40" w:line="360" w:lineRule="auto"/>
              <w:ind w:right="45"/>
              <w:rPr>
                <w:rFonts w:ascii="Arial" w:hAnsi="Arial" w:cs="Arial"/>
                <w:b/>
                <w:bCs/>
                <w:lang w:val="sq-AL"/>
              </w:rPr>
            </w:pPr>
            <w:r w:rsidRPr="002A6F4E">
              <w:rPr>
                <w:rFonts w:ascii="Arial" w:hAnsi="Arial" w:cs="Arial"/>
                <w:bCs/>
                <w:lang w:val="sq-AL"/>
              </w:rPr>
              <w:t>Donošenje i primjena ekonomskih instrumenata;</w:t>
            </w:r>
          </w:p>
        </w:tc>
      </w:tr>
      <w:tr w:rsidR="000F67ED" w:rsidRPr="002A6F4E" w14:paraId="3A20652F" w14:textId="77777777" w:rsidTr="009754F4">
        <w:trPr>
          <w:jc w:val="center"/>
        </w:trPr>
        <w:tc>
          <w:tcPr>
            <w:tcW w:w="304" w:type="pct"/>
            <w:shd w:val="clear" w:color="auto" w:fill="auto"/>
          </w:tcPr>
          <w:p w14:paraId="30EF7671"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2.1</w:t>
            </w:r>
          </w:p>
        </w:tc>
        <w:tc>
          <w:tcPr>
            <w:tcW w:w="518" w:type="pct"/>
            <w:shd w:val="clear" w:color="auto" w:fill="auto"/>
          </w:tcPr>
          <w:p w14:paraId="6D9F9A26"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FM</w:t>
            </w:r>
          </w:p>
        </w:tc>
        <w:tc>
          <w:tcPr>
            <w:tcW w:w="1264" w:type="pct"/>
            <w:shd w:val="clear" w:color="auto" w:fill="auto"/>
          </w:tcPr>
          <w:p w14:paraId="1EE9A07D"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 xml:space="preserve">Izrada finansijskog plana za aktivnosti recikliranja: </w:t>
            </w:r>
          </w:p>
          <w:p w14:paraId="03BE987B" w14:textId="77777777" w:rsidR="00377063" w:rsidRPr="002A6F4E" w:rsidRDefault="00377063" w:rsidP="00A23ED0">
            <w:pPr>
              <w:pStyle w:val="ListParagraph"/>
              <w:numPr>
                <w:ilvl w:val="0"/>
                <w:numId w:val="89"/>
              </w:numPr>
              <w:spacing w:before="40" w:after="40" w:line="360" w:lineRule="auto"/>
              <w:ind w:left="242" w:hanging="218"/>
              <w:rPr>
                <w:rFonts w:ascii="Arial" w:hAnsi="Arial" w:cs="Arial"/>
                <w:lang w:val="sq-AL" w:bidi="ar-AE"/>
              </w:rPr>
            </w:pPr>
            <w:r w:rsidRPr="002A6F4E">
              <w:rPr>
                <w:rFonts w:ascii="Arial" w:hAnsi="Arial" w:cs="Arial"/>
                <w:lang w:val="sq-AL" w:bidi="ar-AE"/>
              </w:rPr>
              <w:t>Osmisliti sistem povraćaja troškova;</w:t>
            </w:r>
          </w:p>
          <w:p w14:paraId="41EC5B95" w14:textId="7D81F9BE" w:rsidR="00377063" w:rsidRPr="002A6F4E" w:rsidRDefault="00377063" w:rsidP="00A23ED0">
            <w:pPr>
              <w:pStyle w:val="ListParagraph"/>
              <w:numPr>
                <w:ilvl w:val="0"/>
                <w:numId w:val="89"/>
              </w:numPr>
              <w:spacing w:before="40" w:after="40" w:line="360" w:lineRule="auto"/>
              <w:ind w:left="242" w:hanging="218"/>
              <w:rPr>
                <w:rFonts w:ascii="Arial" w:hAnsi="Arial" w:cs="Arial"/>
                <w:lang w:val="sq-AL" w:bidi="ar-AE"/>
              </w:rPr>
            </w:pPr>
            <w:r w:rsidRPr="002A6F4E">
              <w:rPr>
                <w:rFonts w:ascii="Arial" w:hAnsi="Arial" w:cs="Arial"/>
                <w:lang w:val="sq-AL" w:bidi="ar-AE"/>
              </w:rPr>
              <w:t xml:space="preserve">Uvođenje ekonomskih instrumenata za smanjenje </w:t>
            </w:r>
            <w:r w:rsidR="00054FCD">
              <w:rPr>
                <w:rFonts w:ascii="Arial" w:hAnsi="Arial" w:cs="Arial"/>
                <w:lang w:val="sq-AL" w:bidi="ar-AE"/>
              </w:rPr>
              <w:t xml:space="preserve">količina </w:t>
            </w:r>
            <w:r w:rsidRPr="002A6F4E">
              <w:rPr>
                <w:rFonts w:ascii="Arial" w:hAnsi="Arial" w:cs="Arial"/>
                <w:lang w:val="sq-AL" w:bidi="ar-AE"/>
              </w:rPr>
              <w:t>otpada</w:t>
            </w:r>
            <w:r w:rsidR="00054FCD">
              <w:rPr>
                <w:rFonts w:ascii="Arial" w:hAnsi="Arial" w:cs="Arial"/>
                <w:lang w:val="sq-AL" w:bidi="ar-AE"/>
              </w:rPr>
              <w:t>.</w:t>
            </w:r>
          </w:p>
        </w:tc>
        <w:tc>
          <w:tcPr>
            <w:tcW w:w="1101" w:type="pct"/>
            <w:shd w:val="clear" w:color="auto" w:fill="auto"/>
          </w:tcPr>
          <w:p w14:paraId="2382461C" w14:textId="67ECB99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/MF</w:t>
            </w:r>
            <w:r w:rsidR="00054FCD" w:rsidRPr="00054FCD">
              <w:rPr>
                <w:rFonts w:ascii="Arial" w:hAnsi="Arial" w:cs="Arial"/>
                <w:lang w:val="sq-AL" w:bidi="ar-AE"/>
              </w:rPr>
              <w:t>/Jedinica lokalne samouprave</w:t>
            </w:r>
          </w:p>
        </w:tc>
        <w:tc>
          <w:tcPr>
            <w:tcW w:w="508" w:type="pct"/>
            <w:shd w:val="clear" w:color="auto" w:fill="auto"/>
          </w:tcPr>
          <w:p w14:paraId="57C877FD"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 – 2026.</w:t>
            </w:r>
          </w:p>
        </w:tc>
        <w:tc>
          <w:tcPr>
            <w:tcW w:w="1305" w:type="pct"/>
          </w:tcPr>
          <w:p w14:paraId="46F23F4B" w14:textId="14AEA722" w:rsidR="00054FCD" w:rsidRPr="003D7619" w:rsidRDefault="00054FCD" w:rsidP="00054FCD">
            <w:pPr>
              <w:spacing w:before="40" w:after="40" w:line="360" w:lineRule="auto"/>
              <w:rPr>
                <w:rFonts w:ascii="Arial" w:hAnsi="Arial" w:cs="Arial"/>
                <w:lang w:val="sq-AL" w:bidi="ar-AE"/>
              </w:rPr>
            </w:pPr>
            <w:r w:rsidRPr="003D7619">
              <w:rPr>
                <w:rFonts w:ascii="Arial" w:hAnsi="Arial" w:cs="Arial"/>
                <w:lang w:val="sq-AL" w:bidi="ar-AE"/>
              </w:rPr>
              <w:t>Državni budžet/Budžet jedinica lokalnih samouprava/</w:t>
            </w:r>
          </w:p>
          <w:p w14:paraId="40AFFA41" w14:textId="7F98CF03" w:rsidR="00377063" w:rsidRPr="002A6F4E" w:rsidRDefault="00054FCD" w:rsidP="00054FCD">
            <w:pPr>
              <w:spacing w:before="40" w:after="40" w:line="360" w:lineRule="auto"/>
              <w:rPr>
                <w:rFonts w:ascii="Arial" w:hAnsi="Arial" w:cs="Arial"/>
                <w:lang w:val="sq-AL" w:bidi="ar-AE"/>
              </w:rPr>
            </w:pPr>
            <w:r w:rsidRPr="00054FCD">
              <w:rPr>
                <w:rFonts w:ascii="Arial" w:hAnsi="Arial" w:cs="Arial"/>
                <w:lang w:bidi="ar-AE"/>
              </w:rPr>
              <w:t>Donatori/Međunarodne finansijske institucije</w:t>
            </w:r>
          </w:p>
        </w:tc>
      </w:tr>
      <w:tr w:rsidR="000F67ED" w:rsidRPr="002A6F4E" w14:paraId="36A8FF40" w14:textId="77777777" w:rsidTr="009754F4">
        <w:trPr>
          <w:jc w:val="center"/>
        </w:trPr>
        <w:tc>
          <w:tcPr>
            <w:tcW w:w="304" w:type="pct"/>
            <w:shd w:val="clear" w:color="auto" w:fill="auto"/>
          </w:tcPr>
          <w:p w14:paraId="07D68030" w14:textId="77777777" w:rsidR="00377063" w:rsidRPr="00276534" w:rsidRDefault="00377063" w:rsidP="00FE289C">
            <w:pPr>
              <w:spacing w:before="40" w:after="40" w:line="360" w:lineRule="auto"/>
              <w:rPr>
                <w:rFonts w:ascii="Arial" w:hAnsi="Arial" w:cs="Arial"/>
                <w:lang w:val="sq-AL" w:bidi="ar-AE"/>
              </w:rPr>
            </w:pPr>
            <w:r w:rsidRPr="00276534">
              <w:rPr>
                <w:rFonts w:ascii="Arial" w:hAnsi="Arial" w:cs="Arial"/>
                <w:lang w:val="sq-AL" w:bidi="ar-AE"/>
              </w:rPr>
              <w:t>2.2</w:t>
            </w:r>
          </w:p>
        </w:tc>
        <w:tc>
          <w:tcPr>
            <w:tcW w:w="518" w:type="pct"/>
            <w:shd w:val="clear" w:color="auto" w:fill="auto"/>
          </w:tcPr>
          <w:p w14:paraId="4B00692F" w14:textId="77777777" w:rsidR="00377063" w:rsidRPr="00276534" w:rsidRDefault="00377063" w:rsidP="00FE289C">
            <w:pPr>
              <w:spacing w:before="40" w:after="40" w:line="360" w:lineRule="auto"/>
              <w:rPr>
                <w:rFonts w:ascii="Arial" w:hAnsi="Arial" w:cs="Arial"/>
                <w:lang w:val="sq-AL" w:bidi="ar-AE"/>
              </w:rPr>
            </w:pPr>
            <w:r w:rsidRPr="00276534">
              <w:rPr>
                <w:rFonts w:ascii="Arial" w:hAnsi="Arial" w:cs="Arial"/>
                <w:lang w:val="sq-AL" w:bidi="ar-AE"/>
              </w:rPr>
              <w:t>ZM</w:t>
            </w:r>
          </w:p>
        </w:tc>
        <w:tc>
          <w:tcPr>
            <w:tcW w:w="1264" w:type="pct"/>
            <w:shd w:val="clear" w:color="auto" w:fill="auto"/>
          </w:tcPr>
          <w:p w14:paraId="69D00F4E" w14:textId="77777777" w:rsidR="00377063" w:rsidRPr="00276534" w:rsidRDefault="00377063" w:rsidP="00FE289C">
            <w:pPr>
              <w:spacing w:before="40" w:after="40" w:line="360" w:lineRule="auto"/>
              <w:rPr>
                <w:rFonts w:ascii="Arial" w:hAnsi="Arial" w:cs="Arial"/>
                <w:lang w:val="sq-AL" w:bidi="ar-AE"/>
              </w:rPr>
            </w:pPr>
            <w:r w:rsidRPr="00822887">
              <w:rPr>
                <w:rFonts w:ascii="Arial" w:hAnsi="Arial" w:cs="Arial"/>
                <w:lang w:val="sq-AL" w:bidi="ar-AE"/>
              </w:rPr>
              <w:t>Mjere davanja podsticaja upravljanju otpadom</w:t>
            </w:r>
            <w:r w:rsidRPr="00276534">
              <w:rPr>
                <w:rFonts w:ascii="Arial" w:hAnsi="Arial" w:cs="Arial"/>
                <w:lang w:val="sq-AL" w:bidi="ar-AE"/>
              </w:rPr>
              <w:t xml:space="preserve"> </w:t>
            </w:r>
          </w:p>
        </w:tc>
        <w:tc>
          <w:tcPr>
            <w:tcW w:w="1101" w:type="pct"/>
            <w:shd w:val="clear" w:color="auto" w:fill="auto"/>
          </w:tcPr>
          <w:p w14:paraId="6DE81E5E" w14:textId="5D33CFED" w:rsidR="00377063" w:rsidRPr="00276534" w:rsidRDefault="00377063" w:rsidP="00FE289C">
            <w:pPr>
              <w:spacing w:before="40" w:after="40" w:line="360" w:lineRule="auto"/>
              <w:rPr>
                <w:rFonts w:ascii="Arial" w:hAnsi="Arial" w:cs="Arial"/>
                <w:lang w:val="sq-AL" w:bidi="ar-AE"/>
              </w:rPr>
            </w:pPr>
            <w:r w:rsidRPr="00276534">
              <w:rPr>
                <w:rFonts w:ascii="Arial" w:hAnsi="Arial" w:cs="Arial"/>
                <w:lang w:val="sq-AL"/>
              </w:rPr>
              <w:t>MERS</w:t>
            </w:r>
            <w:r w:rsidRPr="00276534">
              <w:rPr>
                <w:rFonts w:ascii="Arial" w:hAnsi="Arial" w:cs="Arial"/>
                <w:lang w:val="sq-AL" w:bidi="ar-AE"/>
              </w:rPr>
              <w:t>/MF</w:t>
            </w:r>
            <w:r w:rsidR="00054FCD" w:rsidRPr="00054FCD">
              <w:rPr>
                <w:rFonts w:ascii="Arial" w:hAnsi="Arial" w:cs="Arial"/>
                <w:lang w:val="sq-AL" w:bidi="ar-AE"/>
              </w:rPr>
              <w:t>/Jedinica lokalne samouprave</w:t>
            </w:r>
          </w:p>
        </w:tc>
        <w:tc>
          <w:tcPr>
            <w:tcW w:w="508" w:type="pct"/>
            <w:shd w:val="clear" w:color="auto" w:fill="auto"/>
          </w:tcPr>
          <w:p w14:paraId="7CE1DFBA" w14:textId="0C8C0543" w:rsidR="00377063" w:rsidRPr="00276534" w:rsidRDefault="00377063" w:rsidP="00FE289C">
            <w:pPr>
              <w:spacing w:before="40" w:after="40" w:line="360" w:lineRule="auto"/>
              <w:rPr>
                <w:rFonts w:ascii="Arial" w:hAnsi="Arial" w:cs="Arial"/>
                <w:lang w:val="sq-AL" w:bidi="ar-AE"/>
              </w:rPr>
            </w:pPr>
            <w:r w:rsidRPr="00276534">
              <w:rPr>
                <w:rFonts w:ascii="Arial" w:hAnsi="Arial" w:cs="Arial"/>
                <w:lang w:val="sq-AL" w:bidi="ar-AE"/>
              </w:rPr>
              <w:t>202</w:t>
            </w:r>
            <w:r w:rsidR="00054FCD">
              <w:rPr>
                <w:rFonts w:ascii="Arial" w:hAnsi="Arial" w:cs="Arial"/>
                <w:lang w:val="sq-AL" w:bidi="ar-AE"/>
              </w:rPr>
              <w:t>6</w:t>
            </w:r>
            <w:r w:rsidRPr="00276534">
              <w:rPr>
                <w:rFonts w:ascii="Arial" w:hAnsi="Arial" w:cs="Arial"/>
                <w:lang w:val="sq-AL" w:bidi="ar-AE"/>
              </w:rPr>
              <w:t xml:space="preserve"> – 202</w:t>
            </w:r>
            <w:r w:rsidR="00054FCD">
              <w:rPr>
                <w:rFonts w:ascii="Arial" w:hAnsi="Arial" w:cs="Arial"/>
                <w:lang w:val="sq-AL" w:bidi="ar-AE"/>
              </w:rPr>
              <w:t>8</w:t>
            </w:r>
            <w:r w:rsidRPr="00276534">
              <w:rPr>
                <w:rFonts w:ascii="Arial" w:hAnsi="Arial" w:cs="Arial"/>
                <w:lang w:val="sq-AL" w:bidi="ar-AE"/>
              </w:rPr>
              <w:t>.</w:t>
            </w:r>
          </w:p>
        </w:tc>
        <w:tc>
          <w:tcPr>
            <w:tcW w:w="1305" w:type="pct"/>
          </w:tcPr>
          <w:p w14:paraId="0CC51E9A" w14:textId="77777777" w:rsidR="00054FCD" w:rsidRPr="003D7619" w:rsidRDefault="00054FCD" w:rsidP="00054FCD">
            <w:pPr>
              <w:spacing w:before="40" w:after="40" w:line="360" w:lineRule="auto"/>
              <w:rPr>
                <w:rFonts w:ascii="Arial" w:hAnsi="Arial" w:cs="Arial"/>
                <w:lang w:val="sq-AL" w:bidi="ar-AE"/>
              </w:rPr>
            </w:pPr>
            <w:r w:rsidRPr="003D7619">
              <w:rPr>
                <w:rFonts w:ascii="Arial" w:hAnsi="Arial" w:cs="Arial"/>
                <w:lang w:val="sq-AL" w:bidi="ar-AE"/>
              </w:rPr>
              <w:t>Državni budžet/Budžet jedinica lokalnih samouprava/</w:t>
            </w:r>
          </w:p>
          <w:p w14:paraId="0050CBD9" w14:textId="47D89131" w:rsidR="00377063" w:rsidRPr="00276534" w:rsidRDefault="00054FCD" w:rsidP="00054FCD">
            <w:pPr>
              <w:spacing w:before="40" w:after="40" w:line="360" w:lineRule="auto"/>
              <w:rPr>
                <w:rFonts w:ascii="Arial" w:hAnsi="Arial" w:cs="Arial"/>
                <w:lang w:val="sq-AL" w:bidi="ar-AE"/>
              </w:rPr>
            </w:pPr>
            <w:r w:rsidRPr="00054FCD">
              <w:rPr>
                <w:rFonts w:ascii="Arial" w:hAnsi="Arial" w:cs="Arial"/>
                <w:lang w:bidi="ar-AE"/>
              </w:rPr>
              <w:t>Donatori/Međunarodne finansijske institucije</w:t>
            </w:r>
          </w:p>
        </w:tc>
      </w:tr>
      <w:tr w:rsidR="000F67ED" w:rsidRPr="002A6F4E" w14:paraId="7B87EB12" w14:textId="77777777" w:rsidTr="009754F4">
        <w:trPr>
          <w:jc w:val="center"/>
        </w:trPr>
        <w:tc>
          <w:tcPr>
            <w:tcW w:w="304" w:type="pct"/>
            <w:shd w:val="clear" w:color="auto" w:fill="auto"/>
          </w:tcPr>
          <w:p w14:paraId="0C5515AB"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2.3</w:t>
            </w:r>
          </w:p>
        </w:tc>
        <w:tc>
          <w:tcPr>
            <w:tcW w:w="518" w:type="pct"/>
            <w:shd w:val="clear" w:color="auto" w:fill="auto"/>
          </w:tcPr>
          <w:p w14:paraId="372CF3B3"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ZM / FM</w:t>
            </w:r>
          </w:p>
        </w:tc>
        <w:tc>
          <w:tcPr>
            <w:tcW w:w="1264" w:type="pct"/>
            <w:shd w:val="clear" w:color="auto" w:fill="auto"/>
          </w:tcPr>
          <w:p w14:paraId="4D8E0CBD" w14:textId="5A46DEF0" w:rsidR="00BB68E1" w:rsidRPr="00BB68E1" w:rsidRDefault="004A4186" w:rsidP="00BB68E1">
            <w:pPr>
              <w:spacing w:before="40" w:after="40" w:line="360" w:lineRule="auto"/>
              <w:rPr>
                <w:rFonts w:ascii="Arial" w:hAnsi="Arial" w:cs="Arial"/>
                <w:lang w:val="sq-AL" w:bidi="ar-AE"/>
              </w:rPr>
            </w:pPr>
            <w:r w:rsidRPr="00BB68E1">
              <w:rPr>
                <w:rFonts w:ascii="Arial" w:hAnsi="Arial" w:cs="Arial"/>
                <w:lang w:val="sq-AL" w:bidi="ar-AE"/>
              </w:rPr>
              <w:t xml:space="preserve">Uspostaviti </w:t>
            </w:r>
            <w:r w:rsidR="0072101D" w:rsidRPr="00BB68E1">
              <w:rPr>
                <w:rFonts w:ascii="Arial" w:hAnsi="Arial" w:cs="Arial"/>
                <w:lang w:val="sq-AL" w:bidi="ar-AE"/>
              </w:rPr>
              <w:t xml:space="preserve">EPR </w:t>
            </w:r>
            <w:r w:rsidRPr="00BB68E1">
              <w:rPr>
                <w:rFonts w:ascii="Arial" w:hAnsi="Arial" w:cs="Arial"/>
                <w:lang w:val="sq-AL" w:bidi="ar-AE"/>
              </w:rPr>
              <w:t>s</w:t>
            </w:r>
            <w:r w:rsidR="00377063" w:rsidRPr="00BB68E1">
              <w:rPr>
                <w:rFonts w:ascii="Arial" w:hAnsi="Arial" w:cs="Arial"/>
                <w:lang w:val="sq-AL" w:bidi="ar-AE"/>
              </w:rPr>
              <w:t xml:space="preserve">istem </w:t>
            </w:r>
            <w:r w:rsidR="0072101D">
              <w:rPr>
                <w:rFonts w:ascii="Arial" w:hAnsi="Arial" w:cs="Arial"/>
                <w:lang w:val="sq-AL" w:bidi="ar-AE"/>
              </w:rPr>
              <w:t>za</w:t>
            </w:r>
            <w:r w:rsidR="00377063" w:rsidRPr="00BB68E1">
              <w:rPr>
                <w:rFonts w:ascii="Arial" w:hAnsi="Arial" w:cs="Arial"/>
                <w:lang w:val="sq-AL" w:bidi="ar-AE"/>
              </w:rPr>
              <w:t xml:space="preserve"> organizacije koje </w:t>
            </w:r>
            <w:r w:rsidR="0072101D">
              <w:rPr>
                <w:rFonts w:ascii="Arial" w:hAnsi="Arial" w:cs="Arial"/>
                <w:lang w:val="sq-AL" w:bidi="ar-AE"/>
              </w:rPr>
              <w:t xml:space="preserve">su </w:t>
            </w:r>
            <w:r w:rsidR="00377063" w:rsidRPr="00BB68E1">
              <w:rPr>
                <w:rFonts w:ascii="Arial" w:hAnsi="Arial" w:cs="Arial"/>
                <w:lang w:val="sq-AL" w:bidi="ar-AE"/>
              </w:rPr>
              <w:t>odgovorn</w:t>
            </w:r>
            <w:r w:rsidR="0072101D">
              <w:rPr>
                <w:rFonts w:ascii="Arial" w:hAnsi="Arial" w:cs="Arial"/>
                <w:lang w:val="sq-AL" w:bidi="ar-AE"/>
              </w:rPr>
              <w:t>e</w:t>
            </w:r>
            <w:r w:rsidR="00377063" w:rsidRPr="00BB68E1">
              <w:rPr>
                <w:rFonts w:ascii="Arial" w:hAnsi="Arial" w:cs="Arial"/>
                <w:lang w:val="sq-AL" w:bidi="ar-AE"/>
              </w:rPr>
              <w:t xml:space="preserve"> za posebne </w:t>
            </w:r>
            <w:r w:rsidR="00054FCD">
              <w:rPr>
                <w:rFonts w:ascii="Arial" w:hAnsi="Arial" w:cs="Arial"/>
                <w:lang w:val="sq-AL" w:bidi="ar-AE"/>
              </w:rPr>
              <w:t>vrste</w:t>
            </w:r>
            <w:r w:rsidR="00054FCD" w:rsidRPr="00BB68E1">
              <w:rPr>
                <w:rFonts w:ascii="Arial" w:hAnsi="Arial" w:cs="Arial"/>
                <w:lang w:val="sq-AL" w:bidi="ar-AE"/>
              </w:rPr>
              <w:t xml:space="preserve"> </w:t>
            </w:r>
            <w:r w:rsidR="00377063" w:rsidRPr="00BB68E1">
              <w:rPr>
                <w:rFonts w:ascii="Arial" w:hAnsi="Arial" w:cs="Arial"/>
                <w:lang w:val="sq-AL" w:bidi="ar-AE"/>
              </w:rPr>
              <w:t>otpada (otpadna električna i elektronska oprema, baterije</w:t>
            </w:r>
            <w:r w:rsidR="00E541D3" w:rsidRPr="00BB68E1">
              <w:rPr>
                <w:rFonts w:ascii="Arial" w:hAnsi="Arial" w:cs="Arial"/>
                <w:lang w:val="sq-AL" w:bidi="ar-AE"/>
              </w:rPr>
              <w:t xml:space="preserve"> i akumulatori</w:t>
            </w:r>
            <w:r w:rsidR="00377063" w:rsidRPr="00BB68E1">
              <w:rPr>
                <w:rFonts w:ascii="Arial" w:hAnsi="Arial" w:cs="Arial"/>
                <w:lang w:val="sq-AL" w:bidi="ar-AE"/>
              </w:rPr>
              <w:t>,</w:t>
            </w:r>
            <w:r w:rsidR="00E541D3" w:rsidRPr="00BB68E1">
              <w:rPr>
                <w:rFonts w:ascii="Arial" w:hAnsi="Arial" w:cs="Arial"/>
                <w:lang w:val="sq-AL" w:bidi="ar-AE"/>
              </w:rPr>
              <w:t xml:space="preserve"> otpadna vozila,</w:t>
            </w:r>
            <w:r w:rsidR="00377063" w:rsidRPr="00BB68E1">
              <w:rPr>
                <w:rFonts w:ascii="Arial" w:hAnsi="Arial" w:cs="Arial"/>
                <w:lang w:val="sq-AL" w:bidi="ar-AE"/>
              </w:rPr>
              <w:t xml:space="preserve"> </w:t>
            </w:r>
            <w:r w:rsidR="00E541D3" w:rsidRPr="00BB68E1">
              <w:rPr>
                <w:rFonts w:ascii="Arial" w:hAnsi="Arial" w:cs="Arial"/>
                <w:lang w:val="sq-AL" w:bidi="ar-AE"/>
              </w:rPr>
              <w:t>otpadne</w:t>
            </w:r>
            <w:r w:rsidR="00377063" w:rsidRPr="00BB68E1">
              <w:rPr>
                <w:rFonts w:ascii="Arial" w:hAnsi="Arial" w:cs="Arial"/>
                <w:lang w:val="sq-AL" w:bidi="ar-AE"/>
              </w:rPr>
              <w:t xml:space="preserve"> gume, ambalažu i ambalažni otpad</w:t>
            </w:r>
            <w:r w:rsidR="00F72FAC" w:rsidRPr="00BB68E1">
              <w:rPr>
                <w:rFonts w:ascii="Arial" w:hAnsi="Arial" w:cs="Arial"/>
                <w:lang w:val="sq-AL" w:bidi="ar-AE"/>
              </w:rPr>
              <w:t xml:space="preserve">, </w:t>
            </w:r>
            <w:r w:rsidR="005B779A" w:rsidRPr="00BB68E1">
              <w:rPr>
                <w:rFonts w:ascii="Arial" w:hAnsi="Arial" w:cs="Arial"/>
                <w:lang w:val="sq-AL" w:bidi="ar-AE"/>
              </w:rPr>
              <w:t xml:space="preserve">otpadni </w:t>
            </w:r>
            <w:r w:rsidR="00F72FAC" w:rsidRPr="00BB68E1">
              <w:rPr>
                <w:rFonts w:ascii="Arial" w:hAnsi="Arial" w:cs="Arial"/>
                <w:lang w:val="sq-AL" w:bidi="ar-AE"/>
              </w:rPr>
              <w:lastRenderedPageBreak/>
              <w:t>ribolovni alat koji sadrži plastiku i otpad od plastičnih proizvoda za jednokratnu upotrebu</w:t>
            </w:r>
            <w:r w:rsidR="005174DC" w:rsidRPr="00BB68E1">
              <w:rPr>
                <w:rFonts w:ascii="Arial" w:hAnsi="Arial" w:cs="Arial"/>
                <w:lang w:val="sq-AL" w:bidi="ar-AE"/>
              </w:rPr>
              <w:t>)</w:t>
            </w:r>
            <w:r w:rsidR="0072101D">
              <w:rPr>
                <w:rFonts w:ascii="Arial" w:hAnsi="Arial" w:cs="Arial"/>
                <w:lang w:val="sq-AL" w:bidi="ar-AE"/>
              </w:rPr>
              <w:t xml:space="preserve"> što </w:t>
            </w:r>
            <w:r w:rsidR="005174DC" w:rsidRPr="00BB68E1">
              <w:rPr>
                <w:rFonts w:ascii="Arial" w:hAnsi="Arial" w:cs="Arial"/>
                <w:lang w:val="sq-AL" w:bidi="ar-AE"/>
              </w:rPr>
              <w:t>podr</w:t>
            </w:r>
            <w:r w:rsidR="00BB68E1" w:rsidRPr="00BB68E1">
              <w:rPr>
                <w:rFonts w:ascii="Arial" w:hAnsi="Arial" w:cs="Arial"/>
                <w:lang w:val="sq-AL" w:bidi="ar-AE"/>
              </w:rPr>
              <w:t>a</w:t>
            </w:r>
            <w:r w:rsidR="005174DC" w:rsidRPr="00BB68E1">
              <w:rPr>
                <w:rFonts w:ascii="Arial" w:hAnsi="Arial" w:cs="Arial"/>
                <w:lang w:val="sq-AL" w:bidi="ar-AE"/>
              </w:rPr>
              <w:t>zumijeva uskl</w:t>
            </w:r>
            <w:r w:rsidR="00BB68E1" w:rsidRPr="00BB68E1">
              <w:rPr>
                <w:rFonts w:ascii="Arial" w:hAnsi="Arial" w:cs="Arial"/>
                <w:lang w:val="sq-AL" w:bidi="ar-AE"/>
              </w:rPr>
              <w:t xml:space="preserve">ađenost sa </w:t>
            </w:r>
            <w:r w:rsidR="00377063" w:rsidRPr="00BB68E1">
              <w:rPr>
                <w:rFonts w:ascii="Arial" w:hAnsi="Arial" w:cs="Arial"/>
                <w:lang w:val="sq-AL" w:bidi="ar-AE"/>
              </w:rPr>
              <w:t>zakonodavstvo</w:t>
            </w:r>
            <w:r w:rsidR="00BB68E1" w:rsidRPr="00BB68E1">
              <w:rPr>
                <w:rFonts w:ascii="Arial" w:hAnsi="Arial" w:cs="Arial"/>
                <w:lang w:val="sq-AL" w:bidi="ar-AE"/>
              </w:rPr>
              <w:t>m.</w:t>
            </w:r>
          </w:p>
          <w:p w14:paraId="2A87762F" w14:textId="3F274340" w:rsidR="00377063" w:rsidRPr="002A6F4E" w:rsidRDefault="00377063" w:rsidP="00A23ED0">
            <w:pPr>
              <w:pStyle w:val="ListParagraph"/>
              <w:numPr>
                <w:ilvl w:val="0"/>
                <w:numId w:val="89"/>
              </w:numPr>
              <w:spacing w:before="40" w:after="40" w:line="360" w:lineRule="auto"/>
              <w:ind w:left="242" w:hanging="218"/>
              <w:rPr>
                <w:rFonts w:ascii="Arial" w:hAnsi="Arial" w:cs="Arial"/>
                <w:lang w:val="sq-AL" w:bidi="ar-AE"/>
              </w:rPr>
            </w:pPr>
            <w:r w:rsidRPr="002A6F4E">
              <w:rPr>
                <w:rFonts w:ascii="Arial" w:hAnsi="Arial" w:cs="Arial"/>
                <w:lang w:val="sq-AL" w:bidi="ar-AE"/>
              </w:rPr>
              <w:t>uspostavljanje sistema izdavanja dozvola/saglasnosti za upravljanj</w:t>
            </w:r>
            <w:r w:rsidR="0072101D">
              <w:rPr>
                <w:rFonts w:ascii="Arial" w:hAnsi="Arial" w:cs="Arial"/>
                <w:lang w:val="sq-AL" w:bidi="ar-AE"/>
              </w:rPr>
              <w:t>e</w:t>
            </w:r>
            <w:r w:rsidRPr="002A6F4E">
              <w:rPr>
                <w:rFonts w:ascii="Arial" w:hAnsi="Arial" w:cs="Arial"/>
                <w:lang w:val="sq-AL" w:bidi="ar-AE"/>
              </w:rPr>
              <w:t xml:space="preserve"> posebnim tokovima otpada</w:t>
            </w:r>
            <w:r w:rsidR="0072101D">
              <w:rPr>
                <w:rFonts w:ascii="Arial" w:hAnsi="Arial" w:cs="Arial"/>
                <w:lang w:val="sq-AL" w:bidi="ar-AE"/>
              </w:rPr>
              <w:t xml:space="preserve"> koji se ne odnose na proširenu odgovornost</w:t>
            </w:r>
            <w:r w:rsidRPr="002A6F4E">
              <w:rPr>
                <w:rFonts w:ascii="Arial" w:hAnsi="Arial" w:cs="Arial"/>
                <w:lang w:val="sq-AL" w:bidi="ar-AE"/>
              </w:rPr>
              <w:t xml:space="preserve"> (</w:t>
            </w:r>
            <w:r w:rsidR="0072101D">
              <w:rPr>
                <w:rFonts w:ascii="Arial" w:hAnsi="Arial" w:cs="Arial"/>
                <w:lang w:val="sq-AL" w:bidi="ar-AE"/>
              </w:rPr>
              <w:t>građevinski otpad i otpad od rušenja</w:t>
            </w:r>
            <w:r w:rsidRPr="002A6F4E">
              <w:rPr>
                <w:rFonts w:ascii="Arial" w:hAnsi="Arial" w:cs="Arial"/>
                <w:lang w:val="sq-AL" w:bidi="ar-AE"/>
              </w:rPr>
              <w:t xml:space="preserve">, otpadna ulja, </w:t>
            </w:r>
            <w:r w:rsidR="00ED18C7">
              <w:rPr>
                <w:rFonts w:ascii="Arial" w:hAnsi="Arial" w:cs="Arial"/>
                <w:lang w:val="sq-AL" w:bidi="ar-AE"/>
              </w:rPr>
              <w:t>kanalizacioni mulj</w:t>
            </w:r>
            <w:r w:rsidRPr="002A6F4E">
              <w:rPr>
                <w:rFonts w:ascii="Arial" w:hAnsi="Arial" w:cs="Arial"/>
                <w:lang w:val="sq-AL" w:bidi="ar-AE"/>
              </w:rPr>
              <w:t>, itd)</w:t>
            </w:r>
          </w:p>
        </w:tc>
        <w:tc>
          <w:tcPr>
            <w:tcW w:w="1101" w:type="pct"/>
            <w:shd w:val="clear" w:color="auto" w:fill="auto"/>
          </w:tcPr>
          <w:p w14:paraId="29CD9FC6" w14:textId="35DCF5B1"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lastRenderedPageBreak/>
              <w:t>ME</w:t>
            </w:r>
            <w:r w:rsidR="003C23C3">
              <w:rPr>
                <w:rFonts w:ascii="Arial" w:hAnsi="Arial" w:cs="Arial"/>
                <w:lang w:val="sq-AL" w:bidi="ar-AE"/>
              </w:rPr>
              <w:t>RS</w:t>
            </w:r>
            <w:r w:rsidRPr="002A6F4E">
              <w:rPr>
                <w:rFonts w:ascii="Arial" w:hAnsi="Arial" w:cs="Arial"/>
                <w:lang w:val="sq-AL" w:bidi="ar-AE"/>
              </w:rPr>
              <w:t>/</w:t>
            </w:r>
            <w:r w:rsidR="00124837" w:rsidRPr="002A6F4E">
              <w:rPr>
                <w:rFonts w:ascii="Arial" w:hAnsi="Arial" w:cs="Arial"/>
                <w:lang w:val="sq-AL" w:bidi="ar-AE"/>
              </w:rPr>
              <w:t>A</w:t>
            </w:r>
            <w:r w:rsidR="00124837">
              <w:rPr>
                <w:rFonts w:ascii="Arial" w:hAnsi="Arial" w:cs="Arial"/>
                <w:lang w:val="sq-AL" w:bidi="ar-AE"/>
              </w:rPr>
              <w:t>Z</w:t>
            </w:r>
            <w:r w:rsidR="00124837" w:rsidRPr="002A6F4E">
              <w:rPr>
                <w:rFonts w:ascii="Arial" w:hAnsi="Arial" w:cs="Arial"/>
                <w:lang w:val="sq-AL" w:bidi="ar-AE"/>
              </w:rPr>
              <w:t>ŽS</w:t>
            </w:r>
            <w:r w:rsidRPr="002A6F4E">
              <w:rPr>
                <w:rFonts w:ascii="Arial" w:hAnsi="Arial" w:cs="Arial"/>
                <w:lang w:val="sq-AL" w:bidi="ar-AE"/>
              </w:rPr>
              <w:t xml:space="preserve"> /Privatni sektor</w:t>
            </w:r>
            <w:r w:rsidR="00054FCD">
              <w:rPr>
                <w:rFonts w:ascii="Arial" w:hAnsi="Arial" w:cs="Arial"/>
                <w:lang w:val="sq-AL" w:bidi="ar-AE"/>
              </w:rPr>
              <w:t>/</w:t>
            </w:r>
            <w:r w:rsidR="00054FCD" w:rsidRPr="00054FCD">
              <w:rPr>
                <w:rFonts w:ascii="Arial" w:hAnsi="Arial" w:cs="Arial"/>
                <w:lang w:val="sq-AL" w:bidi="ar-AE"/>
              </w:rPr>
              <w:t>/Jedinica lokalne samouprave</w:t>
            </w:r>
            <w:r w:rsidR="0072101D">
              <w:rPr>
                <w:rFonts w:ascii="Arial" w:hAnsi="Arial" w:cs="Arial"/>
                <w:lang w:val="sq-AL" w:bidi="ar-AE"/>
              </w:rPr>
              <w:t xml:space="preserve"> </w:t>
            </w:r>
          </w:p>
        </w:tc>
        <w:tc>
          <w:tcPr>
            <w:tcW w:w="508" w:type="pct"/>
            <w:shd w:val="clear" w:color="auto" w:fill="auto"/>
          </w:tcPr>
          <w:p w14:paraId="50773955" w14:textId="296924F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w:t>
            </w:r>
            <w:r w:rsidR="004A4186">
              <w:rPr>
                <w:rFonts w:ascii="Arial" w:hAnsi="Arial" w:cs="Arial"/>
                <w:lang w:val="sq-AL" w:bidi="ar-AE"/>
              </w:rPr>
              <w:t>-</w:t>
            </w:r>
            <w:r w:rsidR="004A4186" w:rsidRPr="00135EE4">
              <w:rPr>
                <w:rFonts w:ascii="Arial" w:hAnsi="Arial" w:cs="Arial"/>
                <w:lang w:val="sq-AL" w:bidi="ar-AE"/>
              </w:rPr>
              <w:t>202</w:t>
            </w:r>
            <w:r w:rsidR="00CD6FB9">
              <w:rPr>
                <w:rFonts w:ascii="Arial" w:hAnsi="Arial" w:cs="Arial"/>
                <w:lang w:val="sq-AL" w:bidi="ar-AE"/>
              </w:rPr>
              <w:t>8</w:t>
            </w:r>
            <w:r w:rsidRPr="002A6F4E">
              <w:rPr>
                <w:rFonts w:ascii="Arial" w:hAnsi="Arial" w:cs="Arial"/>
                <w:lang w:val="sq-AL" w:bidi="ar-AE"/>
              </w:rPr>
              <w:t>.</w:t>
            </w:r>
          </w:p>
        </w:tc>
        <w:tc>
          <w:tcPr>
            <w:tcW w:w="1305" w:type="pct"/>
          </w:tcPr>
          <w:p w14:paraId="08DF59E2" w14:textId="58FACBCE" w:rsidR="00377063" w:rsidRPr="002A6F4E" w:rsidRDefault="009B0411" w:rsidP="00FE289C">
            <w:pPr>
              <w:spacing w:before="40" w:after="40" w:line="360" w:lineRule="auto"/>
              <w:rPr>
                <w:rFonts w:ascii="Arial" w:hAnsi="Arial" w:cs="Arial"/>
                <w:lang w:val="sq-AL" w:bidi="ar-AE"/>
              </w:rPr>
            </w:pPr>
            <w:r>
              <w:rPr>
                <w:rFonts w:ascii="Arial" w:hAnsi="Arial" w:cs="Arial"/>
                <w:lang w:bidi="ar-AE"/>
              </w:rPr>
              <w:t>/</w:t>
            </w:r>
          </w:p>
        </w:tc>
      </w:tr>
      <w:tr w:rsidR="000F67ED" w:rsidRPr="002A6F4E" w14:paraId="194F7127" w14:textId="77777777" w:rsidTr="009754F4">
        <w:trPr>
          <w:jc w:val="center"/>
        </w:trPr>
        <w:tc>
          <w:tcPr>
            <w:tcW w:w="304" w:type="pct"/>
            <w:shd w:val="clear" w:color="auto" w:fill="auto"/>
          </w:tcPr>
          <w:p w14:paraId="285205AE"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2.4</w:t>
            </w:r>
          </w:p>
        </w:tc>
        <w:tc>
          <w:tcPr>
            <w:tcW w:w="518" w:type="pct"/>
            <w:shd w:val="clear" w:color="auto" w:fill="auto"/>
          </w:tcPr>
          <w:p w14:paraId="6DB0ACAA"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ZM / FM</w:t>
            </w:r>
          </w:p>
        </w:tc>
        <w:tc>
          <w:tcPr>
            <w:tcW w:w="1264" w:type="pct"/>
            <w:shd w:val="clear" w:color="auto" w:fill="auto"/>
          </w:tcPr>
          <w:p w14:paraId="2DDCE866" w14:textId="5C775728"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 xml:space="preserve">Razvoj tržišta za sekundarne sirovine koje se </w:t>
            </w:r>
            <w:r w:rsidR="001E02C3">
              <w:rPr>
                <w:rFonts w:ascii="Arial" w:hAnsi="Arial" w:cs="Arial"/>
                <w:lang w:val="sq-AL" w:bidi="ar-AE"/>
              </w:rPr>
              <w:t>odnose na</w:t>
            </w:r>
            <w:r w:rsidRPr="002A6F4E">
              <w:rPr>
                <w:rFonts w:ascii="Arial" w:hAnsi="Arial" w:cs="Arial"/>
                <w:lang w:val="sq-AL" w:bidi="ar-AE"/>
              </w:rPr>
              <w:t xml:space="preserve"> poseb</w:t>
            </w:r>
            <w:r w:rsidR="00D6379C">
              <w:rPr>
                <w:rFonts w:ascii="Arial" w:hAnsi="Arial" w:cs="Arial"/>
                <w:lang w:val="sq-AL" w:bidi="ar-AE"/>
              </w:rPr>
              <w:t>ne</w:t>
            </w:r>
            <w:r w:rsidRPr="002A6F4E">
              <w:rPr>
                <w:rFonts w:ascii="Arial" w:hAnsi="Arial" w:cs="Arial"/>
                <w:lang w:val="sq-AL" w:bidi="ar-AE"/>
              </w:rPr>
              <w:t xml:space="preserve"> </w:t>
            </w:r>
            <w:r w:rsidR="00D6379C">
              <w:rPr>
                <w:rFonts w:ascii="Arial" w:hAnsi="Arial" w:cs="Arial"/>
                <w:lang w:val="sq-AL" w:bidi="ar-AE"/>
              </w:rPr>
              <w:t>vrste</w:t>
            </w:r>
            <w:r w:rsidRPr="002A6F4E">
              <w:rPr>
                <w:rFonts w:ascii="Arial" w:hAnsi="Arial" w:cs="Arial"/>
                <w:lang w:val="sq-AL" w:bidi="ar-AE"/>
              </w:rPr>
              <w:t xml:space="preserve"> otpada (</w:t>
            </w:r>
            <w:r w:rsidR="005465D3">
              <w:rPr>
                <w:rFonts w:ascii="Arial" w:hAnsi="Arial" w:cs="Arial"/>
                <w:lang w:val="sq-AL" w:bidi="ar-AE"/>
              </w:rPr>
              <w:t>građevinski otpad i otpad od rušenja</w:t>
            </w:r>
            <w:r w:rsidRPr="002A6F4E">
              <w:rPr>
                <w:rFonts w:ascii="Arial" w:hAnsi="Arial" w:cs="Arial"/>
                <w:lang w:val="sq-AL" w:bidi="ar-AE"/>
              </w:rPr>
              <w:t>,</w:t>
            </w:r>
            <w:r w:rsidR="005465D3">
              <w:rPr>
                <w:rFonts w:ascii="Arial" w:hAnsi="Arial" w:cs="Arial"/>
                <w:lang w:val="sq-AL" w:bidi="ar-AE"/>
              </w:rPr>
              <w:t xml:space="preserve"> </w:t>
            </w:r>
            <w:r w:rsidR="005465D3" w:rsidRPr="00BB68E1">
              <w:rPr>
                <w:rFonts w:ascii="Arial" w:hAnsi="Arial" w:cs="Arial"/>
                <w:lang w:val="sq-AL" w:bidi="ar-AE"/>
              </w:rPr>
              <w:t>otpadna električna i elektronska oprema</w:t>
            </w:r>
            <w:r w:rsidRPr="002A6F4E">
              <w:rPr>
                <w:rFonts w:ascii="Arial" w:hAnsi="Arial" w:cs="Arial"/>
                <w:lang w:val="sq-AL" w:bidi="ar-AE"/>
              </w:rPr>
              <w:t xml:space="preserve">, </w:t>
            </w:r>
            <w:r w:rsidR="005465D3">
              <w:rPr>
                <w:rFonts w:ascii="Arial" w:hAnsi="Arial" w:cs="Arial"/>
                <w:lang w:val="sq-AL" w:bidi="ar-AE"/>
              </w:rPr>
              <w:t xml:space="preserve">otpadne </w:t>
            </w:r>
            <w:r w:rsidRPr="002A6F4E">
              <w:rPr>
                <w:rFonts w:ascii="Arial" w:hAnsi="Arial" w:cs="Arial"/>
                <w:lang w:val="sq-AL" w:bidi="ar-AE"/>
              </w:rPr>
              <w:t xml:space="preserve">baterije, </w:t>
            </w:r>
            <w:r w:rsidR="005465D3">
              <w:rPr>
                <w:rFonts w:ascii="Arial" w:hAnsi="Arial" w:cs="Arial"/>
                <w:lang w:val="sq-AL" w:bidi="ar-AE"/>
              </w:rPr>
              <w:t>otpadne</w:t>
            </w:r>
            <w:r w:rsidRPr="002A6F4E">
              <w:rPr>
                <w:rFonts w:ascii="Arial" w:hAnsi="Arial" w:cs="Arial"/>
                <w:lang w:val="sq-AL" w:bidi="ar-AE"/>
              </w:rPr>
              <w:t xml:space="preserve"> gume, otpadna ulja, itd) pomoću poreskih olakšica ili drugih instrumenata </w:t>
            </w:r>
            <w:r w:rsidR="005465D3">
              <w:rPr>
                <w:rFonts w:ascii="Arial" w:hAnsi="Arial" w:cs="Arial"/>
                <w:lang w:val="sq-AL" w:bidi="ar-AE"/>
              </w:rPr>
              <w:t xml:space="preserve"> </w:t>
            </w:r>
          </w:p>
        </w:tc>
        <w:tc>
          <w:tcPr>
            <w:tcW w:w="1101" w:type="pct"/>
            <w:shd w:val="clear" w:color="auto" w:fill="auto"/>
          </w:tcPr>
          <w:p w14:paraId="0ECC679A" w14:textId="04E8306C"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 MF/ sistem EPR/privatni sektor</w:t>
            </w:r>
          </w:p>
        </w:tc>
        <w:tc>
          <w:tcPr>
            <w:tcW w:w="508" w:type="pct"/>
            <w:shd w:val="clear" w:color="auto" w:fill="auto"/>
          </w:tcPr>
          <w:p w14:paraId="52AF2A8E" w14:textId="018E4FB4" w:rsidR="00377063" w:rsidRPr="002A6F4E" w:rsidRDefault="00377063" w:rsidP="00F858D9">
            <w:pPr>
              <w:spacing w:before="40" w:after="40" w:line="360" w:lineRule="auto"/>
              <w:rPr>
                <w:rFonts w:ascii="Arial" w:hAnsi="Arial" w:cs="Arial"/>
                <w:lang w:val="sq-AL" w:bidi="ar-AE"/>
              </w:rPr>
            </w:pPr>
            <w:r w:rsidRPr="002A6F4E">
              <w:rPr>
                <w:rFonts w:ascii="Arial" w:hAnsi="Arial" w:cs="Arial"/>
                <w:lang w:val="sq-AL" w:bidi="ar-AE"/>
              </w:rPr>
              <w:t>20</w:t>
            </w:r>
            <w:r w:rsidR="00F858D9" w:rsidRPr="002A6F4E">
              <w:rPr>
                <w:rFonts w:ascii="Arial" w:hAnsi="Arial" w:cs="Arial"/>
                <w:lang w:val="sq-AL" w:bidi="ar-AE"/>
              </w:rPr>
              <w:t>25</w:t>
            </w:r>
            <w:r w:rsidR="001011AB">
              <w:rPr>
                <w:rFonts w:ascii="Arial" w:hAnsi="Arial" w:cs="Arial"/>
                <w:lang w:val="sq-AL" w:bidi="ar-AE"/>
              </w:rPr>
              <w:t>-</w:t>
            </w:r>
            <w:r w:rsidR="00F858D9" w:rsidRPr="002A6F4E">
              <w:rPr>
                <w:rFonts w:ascii="Arial" w:hAnsi="Arial" w:cs="Arial"/>
                <w:lang w:val="sq-AL" w:bidi="ar-AE"/>
              </w:rPr>
              <w:t>202</w:t>
            </w:r>
            <w:r w:rsidR="001011AB">
              <w:rPr>
                <w:rFonts w:ascii="Arial" w:hAnsi="Arial" w:cs="Arial"/>
                <w:lang w:val="sq-AL" w:bidi="ar-AE"/>
              </w:rPr>
              <w:t>8</w:t>
            </w:r>
            <w:r w:rsidRPr="002A6F4E">
              <w:rPr>
                <w:rFonts w:ascii="Arial" w:hAnsi="Arial" w:cs="Arial"/>
                <w:lang w:val="sq-AL" w:bidi="ar-AE"/>
              </w:rPr>
              <w:t>.</w:t>
            </w:r>
          </w:p>
        </w:tc>
        <w:tc>
          <w:tcPr>
            <w:tcW w:w="1305" w:type="pct"/>
          </w:tcPr>
          <w:p w14:paraId="2500587D" w14:textId="4D833272" w:rsidR="00377063" w:rsidRPr="002A6F4E" w:rsidRDefault="001011AB" w:rsidP="00FE289C">
            <w:pPr>
              <w:spacing w:before="40" w:after="40" w:line="360" w:lineRule="auto"/>
              <w:rPr>
                <w:rFonts w:ascii="Arial" w:hAnsi="Arial" w:cs="Arial"/>
                <w:lang w:val="sq-AL" w:bidi="ar-AE"/>
              </w:rPr>
            </w:pPr>
            <w:r>
              <w:rPr>
                <w:rFonts w:ascii="Arial" w:hAnsi="Arial" w:cs="Arial"/>
                <w:lang w:bidi="ar-AE"/>
              </w:rPr>
              <w:t>/</w:t>
            </w:r>
          </w:p>
        </w:tc>
      </w:tr>
      <w:tr w:rsidR="000F67ED" w:rsidRPr="0014164F" w14:paraId="661735A4" w14:textId="77777777" w:rsidTr="009754F4">
        <w:trPr>
          <w:jc w:val="center"/>
        </w:trPr>
        <w:tc>
          <w:tcPr>
            <w:tcW w:w="304" w:type="pct"/>
            <w:shd w:val="clear" w:color="auto" w:fill="auto"/>
          </w:tcPr>
          <w:p w14:paraId="17B4B26C"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2.5</w:t>
            </w:r>
          </w:p>
        </w:tc>
        <w:tc>
          <w:tcPr>
            <w:tcW w:w="518" w:type="pct"/>
            <w:shd w:val="clear" w:color="auto" w:fill="auto"/>
          </w:tcPr>
          <w:p w14:paraId="0A2D9721"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FM</w:t>
            </w:r>
          </w:p>
        </w:tc>
        <w:tc>
          <w:tcPr>
            <w:tcW w:w="1264" w:type="pct"/>
            <w:shd w:val="clear" w:color="auto" w:fill="auto"/>
          </w:tcPr>
          <w:p w14:paraId="120B81D1" w14:textId="7226934A" w:rsidR="00377063" w:rsidRPr="002A6F4E" w:rsidRDefault="00441BF4" w:rsidP="00FE289C">
            <w:pPr>
              <w:spacing w:before="40" w:after="40" w:line="360" w:lineRule="auto"/>
              <w:rPr>
                <w:rFonts w:ascii="Arial" w:hAnsi="Arial" w:cs="Arial"/>
                <w:lang w:val="sq-AL" w:bidi="ar-AE"/>
              </w:rPr>
            </w:pPr>
            <w:r>
              <w:rPr>
                <w:rFonts w:ascii="Arial" w:hAnsi="Arial" w:cs="Arial"/>
                <w:lang w:val="sq-AL" w:bidi="ar-AE"/>
              </w:rPr>
              <w:t>Obezbjeđenje</w:t>
            </w:r>
            <w:r w:rsidR="00377063" w:rsidRPr="002A6F4E">
              <w:rPr>
                <w:rFonts w:ascii="Arial" w:hAnsi="Arial" w:cs="Arial"/>
                <w:lang w:val="sq-AL" w:bidi="ar-AE"/>
              </w:rPr>
              <w:t xml:space="preserve"> finansijskih sredstava u cilju zatvaranja odlagališta otpada </w:t>
            </w:r>
          </w:p>
        </w:tc>
        <w:tc>
          <w:tcPr>
            <w:tcW w:w="1101" w:type="pct"/>
            <w:shd w:val="clear" w:color="auto" w:fill="auto"/>
          </w:tcPr>
          <w:p w14:paraId="5E7FE493" w14:textId="5531D34E" w:rsidR="00377063" w:rsidRPr="002A6F4E" w:rsidRDefault="00D6379C" w:rsidP="00FE289C">
            <w:pPr>
              <w:spacing w:before="40" w:after="40" w:line="360" w:lineRule="auto"/>
              <w:rPr>
                <w:rFonts w:ascii="Arial" w:hAnsi="Arial" w:cs="Arial"/>
                <w:lang w:val="sq-AL" w:bidi="ar-AE"/>
              </w:rPr>
            </w:pPr>
            <w:r>
              <w:rPr>
                <w:rFonts w:ascii="Arial" w:hAnsi="Arial" w:cs="Arial"/>
                <w:lang w:val="sq-AL"/>
              </w:rPr>
              <w:t>Jedinice lokalnih samouprava/</w:t>
            </w:r>
            <w:r w:rsidR="00377063" w:rsidRPr="002A6F4E">
              <w:rPr>
                <w:rFonts w:ascii="Arial" w:hAnsi="Arial" w:cs="Arial"/>
                <w:lang w:val="sq-AL"/>
              </w:rPr>
              <w:t>MERS</w:t>
            </w:r>
            <w:r>
              <w:rPr>
                <w:rFonts w:ascii="Arial" w:hAnsi="Arial" w:cs="Arial"/>
                <w:lang w:val="sq-AL" w:bidi="ar-AE"/>
              </w:rPr>
              <w:t>/</w:t>
            </w:r>
            <w:r w:rsidR="00377063" w:rsidRPr="002A6F4E">
              <w:rPr>
                <w:rFonts w:ascii="Arial" w:hAnsi="Arial" w:cs="Arial"/>
                <w:lang w:val="sq-AL" w:bidi="ar-AE"/>
              </w:rPr>
              <w:t xml:space="preserve"> </w:t>
            </w:r>
            <w:r>
              <w:rPr>
                <w:rFonts w:ascii="Arial" w:hAnsi="Arial" w:cs="Arial"/>
                <w:lang w:val="sr-Latn-ME"/>
              </w:rPr>
              <w:t>MF</w:t>
            </w:r>
          </w:p>
        </w:tc>
        <w:tc>
          <w:tcPr>
            <w:tcW w:w="508" w:type="pct"/>
            <w:shd w:val="clear" w:color="auto" w:fill="auto"/>
          </w:tcPr>
          <w:p w14:paraId="6B70B756" w14:textId="301738A6" w:rsidR="00377063" w:rsidRPr="002A6F4E" w:rsidRDefault="00377063" w:rsidP="00F858D9">
            <w:pPr>
              <w:spacing w:before="40" w:after="40" w:line="360" w:lineRule="auto"/>
              <w:rPr>
                <w:rFonts w:ascii="Arial" w:hAnsi="Arial" w:cs="Arial"/>
                <w:lang w:val="sq-AL" w:bidi="ar-AE"/>
              </w:rPr>
            </w:pPr>
            <w:r w:rsidRPr="002A6F4E">
              <w:rPr>
                <w:rFonts w:ascii="Arial" w:hAnsi="Arial" w:cs="Arial"/>
                <w:lang w:val="sq-AL" w:bidi="ar-AE"/>
              </w:rPr>
              <w:t>2025</w:t>
            </w:r>
            <w:r w:rsidR="00441BF4">
              <w:rPr>
                <w:rFonts w:ascii="Arial" w:hAnsi="Arial" w:cs="Arial"/>
                <w:lang w:val="sq-AL" w:bidi="ar-AE"/>
              </w:rPr>
              <w:t>-</w:t>
            </w:r>
            <w:r w:rsidR="00F858D9" w:rsidRPr="002A6F4E">
              <w:rPr>
                <w:rFonts w:ascii="Arial" w:hAnsi="Arial" w:cs="Arial"/>
                <w:lang w:val="sq-AL" w:bidi="ar-AE"/>
              </w:rPr>
              <w:t>2029</w:t>
            </w:r>
            <w:r w:rsidRPr="002A6F4E">
              <w:rPr>
                <w:rFonts w:ascii="Arial" w:hAnsi="Arial" w:cs="Arial"/>
                <w:lang w:val="sq-AL" w:bidi="ar-AE"/>
              </w:rPr>
              <w:t>.</w:t>
            </w:r>
          </w:p>
        </w:tc>
        <w:tc>
          <w:tcPr>
            <w:tcW w:w="1305" w:type="pct"/>
          </w:tcPr>
          <w:p w14:paraId="5E365993" w14:textId="31201FDE" w:rsidR="00377063" w:rsidRPr="002A6F4E" w:rsidRDefault="00441BF4" w:rsidP="00FE289C">
            <w:pPr>
              <w:spacing w:before="40" w:after="40" w:line="360" w:lineRule="auto"/>
              <w:rPr>
                <w:rFonts w:ascii="Arial" w:hAnsi="Arial" w:cs="Arial"/>
                <w:lang w:val="sq-AL" w:bidi="ar-AE"/>
              </w:rPr>
            </w:pPr>
            <w:r w:rsidRPr="003D7619">
              <w:rPr>
                <w:rFonts w:ascii="Arial" w:hAnsi="Arial" w:cs="Arial"/>
                <w:lang w:val="sq-AL" w:bidi="ar-AE"/>
              </w:rPr>
              <w:t>Državni budžet/</w:t>
            </w:r>
            <w:r w:rsidR="00D6379C" w:rsidRPr="003D7619">
              <w:rPr>
                <w:rFonts w:ascii="Arial" w:hAnsi="Arial" w:cs="Arial"/>
                <w:lang w:val="sq-AL" w:bidi="ar-AE"/>
              </w:rPr>
              <w:t>Budžet jedinica lokalnih samouprava/</w:t>
            </w:r>
            <w:r w:rsidRPr="003D7619">
              <w:rPr>
                <w:rFonts w:ascii="Arial" w:hAnsi="Arial" w:cs="Arial"/>
                <w:lang w:val="sq-AL" w:bidi="ar-AE"/>
              </w:rPr>
              <w:t>Donatori/Međunarodne finansijske institucije</w:t>
            </w:r>
          </w:p>
        </w:tc>
      </w:tr>
      <w:tr w:rsidR="000F67ED" w:rsidRPr="0014164F" w14:paraId="565B533C" w14:textId="77777777" w:rsidTr="009754F4">
        <w:trPr>
          <w:jc w:val="center"/>
        </w:trPr>
        <w:tc>
          <w:tcPr>
            <w:tcW w:w="304" w:type="pct"/>
            <w:shd w:val="clear" w:color="auto" w:fill="auto"/>
          </w:tcPr>
          <w:p w14:paraId="2371BB3B"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2.6</w:t>
            </w:r>
          </w:p>
        </w:tc>
        <w:tc>
          <w:tcPr>
            <w:tcW w:w="518" w:type="pct"/>
            <w:shd w:val="clear" w:color="auto" w:fill="auto"/>
          </w:tcPr>
          <w:p w14:paraId="5D289A6D"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PSSSS</w:t>
            </w:r>
          </w:p>
        </w:tc>
        <w:tc>
          <w:tcPr>
            <w:tcW w:w="1264" w:type="pct"/>
            <w:shd w:val="clear" w:color="auto" w:fill="auto"/>
          </w:tcPr>
          <w:p w14:paraId="79B93930" w14:textId="28A71591"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 xml:space="preserve">Izrada smjernica i metodologije za </w:t>
            </w:r>
            <w:r w:rsidR="00DD24CE">
              <w:rPr>
                <w:rFonts w:ascii="Arial" w:hAnsi="Arial" w:cs="Arial"/>
                <w:lang w:val="sq-AL" w:bidi="ar-AE"/>
              </w:rPr>
              <w:t>računanje</w:t>
            </w:r>
            <w:r w:rsidRPr="002A6F4E">
              <w:rPr>
                <w:rFonts w:ascii="Arial" w:hAnsi="Arial" w:cs="Arial"/>
                <w:lang w:val="sq-AL" w:bidi="ar-AE"/>
              </w:rPr>
              <w:t xml:space="preserve"> cjelokupnog troška aktivnosti upravljanja otpadom – </w:t>
            </w:r>
          </w:p>
          <w:p w14:paraId="51D3CE5D" w14:textId="350B45D3"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Korišćenje modela makro</w:t>
            </w:r>
            <w:r w:rsidR="00905C3A">
              <w:rPr>
                <w:rFonts w:ascii="Arial" w:hAnsi="Arial" w:cs="Arial"/>
                <w:lang w:val="sq-AL" w:bidi="ar-AE"/>
              </w:rPr>
              <w:t xml:space="preserve"> </w:t>
            </w:r>
            <w:r w:rsidRPr="002A6F4E">
              <w:rPr>
                <w:rFonts w:ascii="Arial" w:hAnsi="Arial" w:cs="Arial"/>
                <w:lang w:val="sq-AL" w:bidi="ar-AE"/>
              </w:rPr>
              <w:t xml:space="preserve">-priuštivosti koji podržava </w:t>
            </w:r>
            <w:r w:rsidRPr="002A6F4E">
              <w:rPr>
                <w:rFonts w:ascii="Arial" w:hAnsi="Arial" w:cs="Arial"/>
                <w:lang w:val="sq-AL" w:bidi="ar-AE"/>
              </w:rPr>
              <w:lastRenderedPageBreak/>
              <w:t xml:space="preserve">poređenje tarifa za potpuni povrat troškova sa pristupačnim tarifama, potrebama za finansiranjem i doprinosom potencijalnih ekonomskih instrumenata (kao što je proširena odgovornost potrošača ili porez na </w:t>
            </w:r>
            <w:r w:rsidR="00E21F58">
              <w:rPr>
                <w:rFonts w:ascii="Arial" w:hAnsi="Arial" w:cs="Arial"/>
                <w:lang w:val="sq-AL" w:bidi="ar-AE"/>
              </w:rPr>
              <w:t xml:space="preserve">odlaganje miješanog otpada na </w:t>
            </w:r>
            <w:r w:rsidRPr="002A6F4E">
              <w:rPr>
                <w:rFonts w:ascii="Arial" w:hAnsi="Arial" w:cs="Arial"/>
                <w:lang w:val="sq-AL" w:bidi="ar-AE"/>
              </w:rPr>
              <w:t>deponiju)</w:t>
            </w:r>
          </w:p>
        </w:tc>
        <w:tc>
          <w:tcPr>
            <w:tcW w:w="1101" w:type="pct"/>
            <w:shd w:val="clear" w:color="auto" w:fill="auto"/>
          </w:tcPr>
          <w:p w14:paraId="45A09D3A" w14:textId="753BF538" w:rsidR="00377063" w:rsidRPr="002A6F4E" w:rsidRDefault="008E0D10" w:rsidP="00FE289C">
            <w:pPr>
              <w:spacing w:before="40" w:after="40" w:line="360" w:lineRule="auto"/>
              <w:rPr>
                <w:rFonts w:ascii="Arial" w:hAnsi="Arial" w:cs="Arial"/>
                <w:lang w:val="sq-AL" w:bidi="ar-AE"/>
              </w:rPr>
            </w:pPr>
            <w:r w:rsidRPr="002A6F4E">
              <w:rPr>
                <w:rFonts w:ascii="Arial" w:hAnsi="Arial" w:cs="Arial"/>
                <w:lang w:val="sr-Latn-ME"/>
              </w:rPr>
              <w:lastRenderedPageBreak/>
              <w:t>Jedinice lokalnih samouprava</w:t>
            </w:r>
            <w:r>
              <w:rPr>
                <w:rFonts w:ascii="Arial" w:hAnsi="Arial" w:cs="Arial"/>
                <w:lang w:val="sr-Latn-ME"/>
              </w:rPr>
              <w:t>/</w:t>
            </w:r>
            <w:r w:rsidRPr="002A6F4E">
              <w:rPr>
                <w:rFonts w:ascii="Arial" w:hAnsi="Arial" w:cs="Arial"/>
                <w:lang w:val="sq-AL"/>
              </w:rPr>
              <w:t>MERS</w:t>
            </w:r>
            <w:r w:rsidRPr="002A6F4E">
              <w:rPr>
                <w:rFonts w:ascii="Arial" w:hAnsi="Arial" w:cs="Arial"/>
                <w:lang w:val="sq-AL" w:bidi="ar-AE"/>
              </w:rPr>
              <w:t>/MF</w:t>
            </w:r>
          </w:p>
        </w:tc>
        <w:tc>
          <w:tcPr>
            <w:tcW w:w="508" w:type="pct"/>
            <w:shd w:val="clear" w:color="auto" w:fill="auto"/>
          </w:tcPr>
          <w:p w14:paraId="3DBC92F0" w14:textId="389F8A06"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w:t>
            </w:r>
            <w:r w:rsidR="00694A60">
              <w:rPr>
                <w:rFonts w:ascii="Arial" w:hAnsi="Arial" w:cs="Arial"/>
                <w:lang w:val="sq-AL" w:bidi="ar-AE"/>
              </w:rPr>
              <w:t>5</w:t>
            </w:r>
            <w:r w:rsidR="00441BF4">
              <w:rPr>
                <w:rFonts w:ascii="Arial" w:hAnsi="Arial" w:cs="Arial"/>
                <w:lang w:val="sq-AL" w:bidi="ar-AE"/>
              </w:rPr>
              <w:t>-</w:t>
            </w:r>
            <w:r w:rsidRPr="002A6F4E">
              <w:rPr>
                <w:rFonts w:ascii="Arial" w:hAnsi="Arial" w:cs="Arial"/>
                <w:lang w:val="sq-AL" w:bidi="ar-AE"/>
              </w:rPr>
              <w:t>202</w:t>
            </w:r>
            <w:r w:rsidR="00694A60">
              <w:rPr>
                <w:rFonts w:ascii="Arial" w:hAnsi="Arial" w:cs="Arial"/>
                <w:lang w:val="sq-AL" w:bidi="ar-AE"/>
              </w:rPr>
              <w:t>7</w:t>
            </w:r>
            <w:r w:rsidRPr="002A6F4E">
              <w:rPr>
                <w:rFonts w:ascii="Arial" w:hAnsi="Arial" w:cs="Arial"/>
                <w:lang w:val="sq-AL" w:bidi="ar-AE"/>
              </w:rPr>
              <w:t>.</w:t>
            </w:r>
          </w:p>
        </w:tc>
        <w:tc>
          <w:tcPr>
            <w:tcW w:w="1305" w:type="pct"/>
          </w:tcPr>
          <w:p w14:paraId="065DC500" w14:textId="5B7ECE29" w:rsidR="00377063" w:rsidRPr="002A6F4E" w:rsidRDefault="00377063" w:rsidP="00FE289C">
            <w:pPr>
              <w:spacing w:before="40" w:after="40" w:line="360" w:lineRule="auto"/>
              <w:rPr>
                <w:rFonts w:ascii="Arial" w:hAnsi="Arial" w:cs="Arial"/>
                <w:lang w:val="sq-AL" w:bidi="ar-AE"/>
              </w:rPr>
            </w:pPr>
            <w:r w:rsidRPr="00822887">
              <w:rPr>
                <w:rFonts w:ascii="Arial" w:hAnsi="Arial" w:cs="Arial"/>
                <w:lang w:val="sq-AL" w:bidi="ar-AE"/>
              </w:rPr>
              <w:t>Državni budžet</w:t>
            </w:r>
            <w:r w:rsidR="008E0D10" w:rsidRPr="00822887">
              <w:rPr>
                <w:rFonts w:ascii="Arial" w:hAnsi="Arial" w:cs="Arial"/>
                <w:lang w:val="sq-AL" w:bidi="ar-AE"/>
              </w:rPr>
              <w:t>/Budžet jedinica lokalnih samouprava</w:t>
            </w:r>
            <w:r w:rsidR="00E21F58" w:rsidRPr="003D7619">
              <w:rPr>
                <w:lang w:val="sq-AL"/>
              </w:rPr>
              <w:t xml:space="preserve"> </w:t>
            </w:r>
            <w:r w:rsidR="00E21F58" w:rsidRPr="00E21F58">
              <w:rPr>
                <w:rFonts w:ascii="Arial" w:hAnsi="Arial" w:cs="Arial"/>
                <w:lang w:val="sq-AL" w:bidi="ar-AE"/>
              </w:rPr>
              <w:t>Donatori/Međunarodne finansijske institucije</w:t>
            </w:r>
          </w:p>
        </w:tc>
      </w:tr>
      <w:tr w:rsidR="000F67ED" w:rsidRPr="0014164F" w14:paraId="239E8344" w14:textId="77777777" w:rsidTr="009754F4">
        <w:trPr>
          <w:jc w:val="center"/>
        </w:trPr>
        <w:tc>
          <w:tcPr>
            <w:tcW w:w="304" w:type="pct"/>
            <w:shd w:val="clear" w:color="auto" w:fill="auto"/>
          </w:tcPr>
          <w:p w14:paraId="08951485"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2.7</w:t>
            </w:r>
          </w:p>
        </w:tc>
        <w:tc>
          <w:tcPr>
            <w:tcW w:w="518" w:type="pct"/>
            <w:shd w:val="clear" w:color="auto" w:fill="auto"/>
          </w:tcPr>
          <w:p w14:paraId="5A40DF1F"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PSSSS</w:t>
            </w:r>
          </w:p>
        </w:tc>
        <w:tc>
          <w:tcPr>
            <w:tcW w:w="1264" w:type="pct"/>
            <w:shd w:val="clear" w:color="auto" w:fill="auto"/>
          </w:tcPr>
          <w:p w14:paraId="05BC99EF" w14:textId="6D2916C5"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 xml:space="preserve">Izrada smjernica, metodologije i formula za </w:t>
            </w:r>
            <w:r w:rsidR="00694A60">
              <w:rPr>
                <w:rFonts w:ascii="Arial" w:hAnsi="Arial" w:cs="Arial"/>
                <w:lang w:val="sq-AL" w:bidi="ar-AE"/>
              </w:rPr>
              <w:t>određivanja</w:t>
            </w:r>
            <w:r w:rsidR="00694A60" w:rsidRPr="002A6F4E">
              <w:rPr>
                <w:rFonts w:ascii="Arial" w:hAnsi="Arial" w:cs="Arial"/>
                <w:lang w:val="sq-AL" w:bidi="ar-AE"/>
              </w:rPr>
              <w:t xml:space="preserve"> </w:t>
            </w:r>
            <w:r w:rsidRPr="002A6F4E">
              <w:rPr>
                <w:rFonts w:ascii="Arial" w:hAnsi="Arial" w:cs="Arial"/>
                <w:lang w:val="sq-AL" w:bidi="ar-AE"/>
              </w:rPr>
              <w:t>tarifa/ naknada za otpad povezanih sa stvarnim troškom upravljanja otpadom, uz navođenje kako će se otpad mjeriti i naplaćivati – Postavljanje praga pristupačnosti</w:t>
            </w:r>
          </w:p>
        </w:tc>
        <w:tc>
          <w:tcPr>
            <w:tcW w:w="1101" w:type="pct"/>
            <w:shd w:val="clear" w:color="auto" w:fill="auto"/>
          </w:tcPr>
          <w:p w14:paraId="2F6A07FE" w14:textId="3E7BE712"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00694A60">
              <w:rPr>
                <w:rFonts w:ascii="Arial" w:hAnsi="Arial" w:cs="Arial"/>
                <w:lang w:val="sq-AL"/>
              </w:rPr>
              <w:t>/</w:t>
            </w:r>
            <w:r w:rsidR="00694A60" w:rsidRPr="00694A60">
              <w:rPr>
                <w:rFonts w:ascii="Arial" w:hAnsi="Arial" w:cs="Arial"/>
                <w:lang w:val="sq-AL"/>
              </w:rPr>
              <w:t>Jedinice lokalnih samouprava</w:t>
            </w:r>
            <w:r w:rsidRPr="002A6F4E">
              <w:rPr>
                <w:rFonts w:ascii="Arial" w:hAnsi="Arial" w:cs="Arial"/>
                <w:lang w:val="sq-AL" w:bidi="ar-AE"/>
              </w:rPr>
              <w:t>/MF</w:t>
            </w:r>
          </w:p>
        </w:tc>
        <w:tc>
          <w:tcPr>
            <w:tcW w:w="508" w:type="pct"/>
            <w:shd w:val="clear" w:color="auto" w:fill="auto"/>
          </w:tcPr>
          <w:p w14:paraId="11C16E86" w14:textId="451DCB3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w:t>
            </w:r>
            <w:r w:rsidR="00727FAE">
              <w:rPr>
                <w:rFonts w:ascii="Arial" w:hAnsi="Arial" w:cs="Arial"/>
                <w:lang w:val="sq-AL" w:bidi="ar-AE"/>
              </w:rPr>
              <w:t>5-</w:t>
            </w:r>
            <w:r w:rsidRPr="002A6F4E">
              <w:rPr>
                <w:rFonts w:ascii="Arial" w:hAnsi="Arial" w:cs="Arial"/>
                <w:lang w:val="sq-AL" w:bidi="ar-AE"/>
              </w:rPr>
              <w:t>2026.</w:t>
            </w:r>
          </w:p>
        </w:tc>
        <w:tc>
          <w:tcPr>
            <w:tcW w:w="1305" w:type="pct"/>
          </w:tcPr>
          <w:p w14:paraId="44B9B696" w14:textId="325C7D4C" w:rsidR="00377063" w:rsidRPr="002A6F4E" w:rsidRDefault="00377063" w:rsidP="00FE289C">
            <w:pPr>
              <w:spacing w:before="40" w:after="40" w:line="360" w:lineRule="auto"/>
              <w:rPr>
                <w:rFonts w:ascii="Arial" w:hAnsi="Arial" w:cs="Arial"/>
                <w:lang w:val="sq-AL" w:bidi="ar-AE"/>
              </w:rPr>
            </w:pPr>
            <w:r w:rsidRPr="003D7619">
              <w:rPr>
                <w:rFonts w:ascii="Arial" w:hAnsi="Arial" w:cs="Arial"/>
                <w:lang w:val="sq-AL" w:bidi="ar-AE"/>
              </w:rPr>
              <w:t>Državni budžet</w:t>
            </w:r>
            <w:r w:rsidR="00694A60" w:rsidRPr="003D7619">
              <w:rPr>
                <w:lang w:val="sq-AL"/>
              </w:rPr>
              <w:t xml:space="preserve"> /</w:t>
            </w:r>
            <w:r w:rsidR="00694A60" w:rsidRPr="003D7619">
              <w:rPr>
                <w:rFonts w:ascii="Arial" w:hAnsi="Arial" w:cs="Arial"/>
                <w:lang w:val="sq-AL" w:bidi="ar-AE"/>
              </w:rPr>
              <w:t>Budžet jedinica lokalnih samouprava Donatori/</w:t>
            </w:r>
            <w:r w:rsidR="00822887" w:rsidRPr="003D7619">
              <w:rPr>
                <w:rFonts w:ascii="Arial" w:hAnsi="Arial" w:cs="Arial"/>
                <w:lang w:val="sq-AL" w:bidi="ar-AE"/>
              </w:rPr>
              <w:t xml:space="preserve"> </w:t>
            </w:r>
            <w:r w:rsidR="00694A60" w:rsidRPr="003D7619">
              <w:rPr>
                <w:rFonts w:ascii="Arial" w:hAnsi="Arial" w:cs="Arial"/>
                <w:lang w:val="sq-AL" w:bidi="ar-AE"/>
              </w:rPr>
              <w:t>Međunarodne finansijske institucije</w:t>
            </w:r>
          </w:p>
        </w:tc>
      </w:tr>
      <w:tr w:rsidR="000F67ED" w:rsidRPr="002A6F4E" w14:paraId="24D4DBE4" w14:textId="77777777" w:rsidTr="009754F4">
        <w:trPr>
          <w:jc w:val="center"/>
        </w:trPr>
        <w:tc>
          <w:tcPr>
            <w:tcW w:w="304" w:type="pct"/>
            <w:shd w:val="clear" w:color="auto" w:fill="auto"/>
          </w:tcPr>
          <w:p w14:paraId="131E9B53"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2.8</w:t>
            </w:r>
          </w:p>
        </w:tc>
        <w:tc>
          <w:tcPr>
            <w:tcW w:w="518" w:type="pct"/>
            <w:shd w:val="clear" w:color="auto" w:fill="auto"/>
          </w:tcPr>
          <w:p w14:paraId="18398DE8"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ZM</w:t>
            </w:r>
          </w:p>
        </w:tc>
        <w:tc>
          <w:tcPr>
            <w:tcW w:w="1264" w:type="pct"/>
            <w:shd w:val="clear" w:color="auto" w:fill="auto"/>
          </w:tcPr>
          <w:p w14:paraId="7305AD15" w14:textId="13B781B0" w:rsidR="00377063" w:rsidRPr="002A6F4E" w:rsidRDefault="00727FAE" w:rsidP="00FE289C">
            <w:pPr>
              <w:spacing w:before="40" w:after="40" w:line="360" w:lineRule="auto"/>
              <w:rPr>
                <w:rFonts w:ascii="Arial" w:hAnsi="Arial" w:cs="Arial"/>
                <w:lang w:val="sq-AL" w:bidi="ar-AE"/>
              </w:rPr>
            </w:pPr>
            <w:r>
              <w:rPr>
                <w:rFonts w:ascii="Arial" w:hAnsi="Arial" w:cs="Arial"/>
                <w:lang w:val="sq-AL" w:bidi="ar-AE"/>
              </w:rPr>
              <w:t>Akt</w:t>
            </w:r>
            <w:r w:rsidR="00377063" w:rsidRPr="002A6F4E">
              <w:rPr>
                <w:rFonts w:ascii="Arial" w:hAnsi="Arial" w:cs="Arial"/>
                <w:lang w:val="sq-AL" w:bidi="ar-AE"/>
              </w:rPr>
              <w:t xml:space="preserve"> kojim će se uspostaviti vrsta ekonomskih instrumenata koji će se primjenjivati, uz navođenje kako će se ti instrumenti primjenjivati, te uz opis neophodnih reformi u tehničkim i institucionalnim elementima sistema upravljanja otpadom</w:t>
            </w:r>
          </w:p>
        </w:tc>
        <w:tc>
          <w:tcPr>
            <w:tcW w:w="1101" w:type="pct"/>
            <w:shd w:val="clear" w:color="auto" w:fill="auto"/>
          </w:tcPr>
          <w:p w14:paraId="3BCDFA7C" w14:textId="01DB0B6F"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00694A60" w:rsidRPr="00694A60">
              <w:rPr>
                <w:rFonts w:ascii="Arial" w:hAnsi="Arial" w:cs="Arial"/>
                <w:lang w:val="sq-AL"/>
              </w:rPr>
              <w:t>/Jedinice lokalnih samouprava / MF</w:t>
            </w:r>
          </w:p>
        </w:tc>
        <w:tc>
          <w:tcPr>
            <w:tcW w:w="508" w:type="pct"/>
            <w:shd w:val="clear" w:color="auto" w:fill="auto"/>
          </w:tcPr>
          <w:p w14:paraId="680F4AA0"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 – 2027.</w:t>
            </w:r>
          </w:p>
        </w:tc>
        <w:tc>
          <w:tcPr>
            <w:tcW w:w="1305" w:type="pct"/>
          </w:tcPr>
          <w:p w14:paraId="2DAEC553" w14:textId="4F3C063C" w:rsidR="00377063" w:rsidRPr="002A6F4E" w:rsidRDefault="00727FAE" w:rsidP="00FE289C">
            <w:pPr>
              <w:spacing w:before="40" w:after="40" w:line="360" w:lineRule="auto"/>
              <w:rPr>
                <w:rFonts w:ascii="Arial" w:hAnsi="Arial" w:cs="Arial"/>
                <w:lang w:val="sq-AL" w:bidi="ar-AE"/>
              </w:rPr>
            </w:pPr>
            <w:r>
              <w:rPr>
                <w:rFonts w:ascii="Arial" w:hAnsi="Arial" w:cs="Arial"/>
                <w:lang w:bidi="ar-AE"/>
              </w:rPr>
              <w:t>/</w:t>
            </w:r>
          </w:p>
        </w:tc>
      </w:tr>
      <w:tr w:rsidR="00377063" w:rsidRPr="0014164F" w14:paraId="02AC5D09" w14:textId="77777777" w:rsidTr="009754F4">
        <w:trPr>
          <w:jc w:val="center"/>
        </w:trPr>
        <w:tc>
          <w:tcPr>
            <w:tcW w:w="5000" w:type="pct"/>
            <w:gridSpan w:val="6"/>
            <w:shd w:val="clear" w:color="auto" w:fill="DBDBDB" w:themeFill="accent3" w:themeFillTint="66"/>
          </w:tcPr>
          <w:p w14:paraId="15049265" w14:textId="77777777" w:rsidR="00377063" w:rsidRPr="002A6F4E" w:rsidRDefault="00377063" w:rsidP="00FE289C">
            <w:pPr>
              <w:spacing w:before="40" w:after="40" w:line="360" w:lineRule="auto"/>
              <w:ind w:right="45"/>
              <w:rPr>
                <w:rFonts w:ascii="Arial" w:hAnsi="Arial" w:cs="Arial"/>
                <w:b/>
                <w:bCs/>
                <w:lang w:val="sq-AL"/>
              </w:rPr>
            </w:pPr>
            <w:r w:rsidRPr="002A6F4E">
              <w:rPr>
                <w:rFonts w:ascii="Arial" w:hAnsi="Arial" w:cs="Arial"/>
                <w:b/>
                <w:bCs/>
                <w:lang w:val="sq-AL"/>
              </w:rPr>
              <w:t xml:space="preserve">3. </w:t>
            </w:r>
            <w:bookmarkStart w:id="1449" w:name="_Hlk121698889"/>
            <w:r w:rsidRPr="002A6F4E">
              <w:rPr>
                <w:rFonts w:ascii="Arial" w:hAnsi="Arial" w:cs="Arial"/>
                <w:b/>
                <w:bCs/>
                <w:lang w:val="sq-AL"/>
              </w:rPr>
              <w:t xml:space="preserve">Stub C: </w:t>
            </w:r>
            <w:bookmarkEnd w:id="1449"/>
            <w:r w:rsidRPr="002A6F4E">
              <w:rPr>
                <w:rFonts w:ascii="Arial" w:hAnsi="Arial" w:cs="Arial"/>
                <w:b/>
                <w:bCs/>
                <w:lang w:val="sq-AL"/>
              </w:rPr>
              <w:t>Izgradnja kapaciteta</w:t>
            </w:r>
          </w:p>
          <w:p w14:paraId="6B70FAFD" w14:textId="77777777" w:rsidR="00377063" w:rsidRPr="002A6F4E" w:rsidRDefault="00377063" w:rsidP="00FE289C">
            <w:pPr>
              <w:spacing w:before="40" w:after="40" w:line="360" w:lineRule="auto"/>
              <w:rPr>
                <w:rFonts w:ascii="Arial" w:hAnsi="Arial" w:cs="Arial"/>
                <w:bCs/>
                <w:lang w:val="sq-AL" w:bidi="ar-AE"/>
              </w:rPr>
            </w:pPr>
            <w:r w:rsidRPr="002A6F4E">
              <w:rPr>
                <w:rFonts w:ascii="Arial" w:hAnsi="Arial" w:cs="Arial"/>
                <w:b/>
                <w:lang w:val="sq-AL" w:bidi="ar-AE"/>
              </w:rPr>
              <w:t>Strateški ciljevi</w:t>
            </w:r>
            <w:r w:rsidRPr="002A6F4E">
              <w:rPr>
                <w:rFonts w:ascii="Arial" w:hAnsi="Arial" w:cs="Arial"/>
                <w:bCs/>
                <w:lang w:val="sq-AL" w:bidi="ar-AE"/>
              </w:rPr>
              <w:t>:</w:t>
            </w:r>
          </w:p>
          <w:p w14:paraId="7DA8311A" w14:textId="77777777" w:rsidR="00727FAE" w:rsidRDefault="00377063" w:rsidP="00A23ED0">
            <w:pPr>
              <w:pStyle w:val="ListParagraph"/>
              <w:numPr>
                <w:ilvl w:val="0"/>
                <w:numId w:val="89"/>
              </w:numPr>
              <w:spacing w:before="40" w:after="40" w:line="360" w:lineRule="auto"/>
              <w:rPr>
                <w:rFonts w:ascii="Arial" w:hAnsi="Arial" w:cs="Arial"/>
                <w:bCs/>
                <w:lang w:val="sq-AL"/>
              </w:rPr>
            </w:pPr>
            <w:r w:rsidRPr="002A6F4E">
              <w:rPr>
                <w:rFonts w:ascii="Arial" w:hAnsi="Arial" w:cs="Arial"/>
                <w:bCs/>
                <w:lang w:val="sq-AL"/>
              </w:rPr>
              <w:t xml:space="preserve">Odrediti uloge i nadležnosti na </w:t>
            </w:r>
            <w:r w:rsidR="00727FAE">
              <w:rPr>
                <w:rFonts w:ascii="Arial" w:hAnsi="Arial" w:cs="Arial"/>
                <w:bCs/>
                <w:lang w:val="sq-AL"/>
              </w:rPr>
              <w:t>državnom</w:t>
            </w:r>
            <w:r w:rsidRPr="002A6F4E">
              <w:rPr>
                <w:rFonts w:ascii="Arial" w:hAnsi="Arial" w:cs="Arial"/>
                <w:bCs/>
                <w:lang w:val="sq-AL"/>
              </w:rPr>
              <w:t xml:space="preserve"> i lokalnom</w:t>
            </w:r>
            <w:r w:rsidR="00727FAE">
              <w:rPr>
                <w:rFonts w:ascii="Arial" w:hAnsi="Arial" w:cs="Arial"/>
                <w:bCs/>
                <w:lang w:val="sq-AL"/>
              </w:rPr>
              <w:t xml:space="preserve"> </w:t>
            </w:r>
            <w:r w:rsidRPr="002A6F4E">
              <w:rPr>
                <w:rFonts w:ascii="Arial" w:hAnsi="Arial" w:cs="Arial"/>
                <w:bCs/>
                <w:lang w:val="sq-AL"/>
              </w:rPr>
              <w:t>nivou područja na kojem se pružaju usluge;</w:t>
            </w:r>
          </w:p>
          <w:p w14:paraId="5481627E" w14:textId="7DD208CA" w:rsidR="00377063" w:rsidRPr="00727FAE" w:rsidRDefault="00377063" w:rsidP="00A23ED0">
            <w:pPr>
              <w:pStyle w:val="ListParagraph"/>
              <w:numPr>
                <w:ilvl w:val="0"/>
                <w:numId w:val="89"/>
              </w:numPr>
              <w:spacing w:before="40" w:after="40" w:line="360" w:lineRule="auto"/>
              <w:rPr>
                <w:rFonts w:ascii="Arial" w:hAnsi="Arial" w:cs="Arial"/>
                <w:bCs/>
                <w:lang w:val="sq-AL"/>
              </w:rPr>
            </w:pPr>
            <w:r w:rsidRPr="00727FAE">
              <w:rPr>
                <w:rFonts w:ascii="Arial" w:hAnsi="Arial" w:cs="Arial"/>
                <w:bCs/>
                <w:lang w:val="sq-AL"/>
              </w:rPr>
              <w:t>Ojačati kapacitete onih koji su uključeni u upravljanje otpadom;</w:t>
            </w:r>
          </w:p>
        </w:tc>
      </w:tr>
      <w:tr w:rsidR="000F67ED" w:rsidRPr="0014164F" w14:paraId="09CD2E6E" w14:textId="77777777" w:rsidTr="009754F4">
        <w:trPr>
          <w:jc w:val="center"/>
        </w:trPr>
        <w:tc>
          <w:tcPr>
            <w:tcW w:w="304" w:type="pct"/>
            <w:shd w:val="clear" w:color="auto" w:fill="auto"/>
          </w:tcPr>
          <w:p w14:paraId="2979CCE8"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lastRenderedPageBreak/>
              <w:t>3.1</w:t>
            </w:r>
          </w:p>
        </w:tc>
        <w:tc>
          <w:tcPr>
            <w:tcW w:w="518" w:type="pct"/>
            <w:shd w:val="clear" w:color="auto" w:fill="auto"/>
          </w:tcPr>
          <w:p w14:paraId="40B6A152"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3957AABE" w14:textId="47F9139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Jačanje administrativnih kapaciteta u odnosu na planiranje u oblasti otpada</w:t>
            </w:r>
          </w:p>
        </w:tc>
        <w:tc>
          <w:tcPr>
            <w:tcW w:w="1101" w:type="pct"/>
            <w:shd w:val="clear" w:color="auto" w:fill="auto"/>
          </w:tcPr>
          <w:p w14:paraId="733E20B3" w14:textId="4BB572BE"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w:t>
            </w:r>
            <w:r w:rsidRPr="002A6F4E">
              <w:rPr>
                <w:rFonts w:ascii="Arial" w:hAnsi="Arial" w:cs="Arial"/>
                <w:lang w:val="sr-Latn-ME"/>
              </w:rPr>
              <w:t>Jedinice lokalnih samouprava</w:t>
            </w:r>
          </w:p>
        </w:tc>
        <w:tc>
          <w:tcPr>
            <w:tcW w:w="508" w:type="pct"/>
            <w:shd w:val="clear" w:color="auto" w:fill="auto"/>
          </w:tcPr>
          <w:p w14:paraId="31795F86" w14:textId="1BFA3636"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w:t>
            </w:r>
            <w:r w:rsidR="00905C3A">
              <w:rPr>
                <w:rFonts w:ascii="Arial" w:hAnsi="Arial" w:cs="Arial"/>
                <w:lang w:val="sq-AL" w:bidi="ar-AE"/>
              </w:rPr>
              <w:t>5</w:t>
            </w:r>
            <w:r w:rsidR="008E0D10">
              <w:rPr>
                <w:rFonts w:ascii="Arial" w:hAnsi="Arial" w:cs="Arial"/>
                <w:lang w:val="sq-AL" w:bidi="ar-AE"/>
              </w:rPr>
              <w:t>-</w:t>
            </w:r>
            <w:r w:rsidRPr="002A6F4E">
              <w:rPr>
                <w:rFonts w:ascii="Arial" w:hAnsi="Arial" w:cs="Arial"/>
                <w:lang w:val="sq-AL" w:bidi="ar-AE"/>
              </w:rPr>
              <w:t>202</w:t>
            </w:r>
            <w:r w:rsidR="00905C3A">
              <w:rPr>
                <w:rFonts w:ascii="Arial" w:hAnsi="Arial" w:cs="Arial"/>
                <w:lang w:val="sq-AL" w:bidi="ar-AE"/>
              </w:rPr>
              <w:t>7</w:t>
            </w:r>
            <w:r w:rsidRPr="002A6F4E">
              <w:rPr>
                <w:rFonts w:ascii="Arial" w:hAnsi="Arial" w:cs="Arial"/>
                <w:lang w:val="sq-AL" w:bidi="ar-AE"/>
              </w:rPr>
              <w:t>.</w:t>
            </w:r>
          </w:p>
        </w:tc>
        <w:tc>
          <w:tcPr>
            <w:tcW w:w="1305" w:type="pct"/>
          </w:tcPr>
          <w:p w14:paraId="1852721F" w14:textId="46B3036D" w:rsidR="00377063" w:rsidRPr="003D7619" w:rsidRDefault="00377063" w:rsidP="00FE289C">
            <w:pPr>
              <w:spacing w:before="40" w:after="40" w:line="360" w:lineRule="auto"/>
              <w:rPr>
                <w:rFonts w:ascii="Arial" w:hAnsi="Arial" w:cs="Arial"/>
                <w:lang w:val="sq-AL" w:bidi="ar-AE"/>
              </w:rPr>
            </w:pPr>
            <w:r w:rsidRPr="003D7619">
              <w:rPr>
                <w:rFonts w:ascii="Arial" w:hAnsi="Arial" w:cs="Arial"/>
                <w:lang w:val="sq-AL" w:bidi="ar-AE"/>
              </w:rPr>
              <w:t>Državni budžet</w:t>
            </w:r>
            <w:r w:rsidR="008E0D10" w:rsidRPr="003D7619">
              <w:rPr>
                <w:rFonts w:ascii="Arial" w:hAnsi="Arial" w:cs="Arial"/>
                <w:lang w:val="sq-AL" w:bidi="ar-AE"/>
              </w:rPr>
              <w:t>/</w:t>
            </w:r>
          </w:p>
          <w:p w14:paraId="2DF0CBF4" w14:textId="0141BDAC" w:rsidR="00377063" w:rsidRPr="002A6F4E" w:rsidRDefault="00377063" w:rsidP="00FE289C">
            <w:pPr>
              <w:spacing w:before="40" w:after="40" w:line="360" w:lineRule="auto"/>
              <w:rPr>
                <w:rFonts w:ascii="Arial" w:hAnsi="Arial" w:cs="Arial"/>
                <w:lang w:val="sq-AL" w:bidi="ar-AE"/>
              </w:rPr>
            </w:pPr>
            <w:r w:rsidRPr="003D7619">
              <w:rPr>
                <w:rFonts w:ascii="Arial" w:hAnsi="Arial" w:cs="Arial"/>
                <w:lang w:val="sq-AL" w:bidi="ar-AE"/>
              </w:rPr>
              <w:t>Lokalni budžet</w:t>
            </w:r>
            <w:r w:rsidR="00694A60" w:rsidRPr="003D7619">
              <w:rPr>
                <w:lang w:val="sq-AL"/>
              </w:rPr>
              <w:t xml:space="preserve"> </w:t>
            </w:r>
            <w:r w:rsidR="00694A60" w:rsidRPr="003D7619">
              <w:rPr>
                <w:rFonts w:ascii="Arial" w:hAnsi="Arial" w:cs="Arial"/>
                <w:lang w:val="sq-AL" w:bidi="ar-AE"/>
              </w:rPr>
              <w:t>Donatori/Međunarodne finansijske institucije</w:t>
            </w:r>
            <w:r w:rsidRPr="003D7619">
              <w:rPr>
                <w:rFonts w:ascii="Arial" w:hAnsi="Arial" w:cs="Arial"/>
                <w:lang w:val="sq-AL" w:bidi="ar-AE"/>
              </w:rPr>
              <w:t xml:space="preserve"> </w:t>
            </w:r>
          </w:p>
        </w:tc>
      </w:tr>
      <w:tr w:rsidR="000F67ED" w:rsidRPr="0014164F" w14:paraId="4BC7E170" w14:textId="77777777" w:rsidTr="009754F4">
        <w:trPr>
          <w:jc w:val="center"/>
        </w:trPr>
        <w:tc>
          <w:tcPr>
            <w:tcW w:w="304" w:type="pct"/>
            <w:shd w:val="clear" w:color="auto" w:fill="auto"/>
          </w:tcPr>
          <w:p w14:paraId="1F7ADCD2"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3.2</w:t>
            </w:r>
          </w:p>
        </w:tc>
        <w:tc>
          <w:tcPr>
            <w:tcW w:w="518" w:type="pct"/>
            <w:shd w:val="clear" w:color="auto" w:fill="auto"/>
          </w:tcPr>
          <w:p w14:paraId="47763A3B"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1DA4D063" w14:textId="55A5F5A4" w:rsidR="00377063" w:rsidRPr="002A6F4E" w:rsidRDefault="00E04F55" w:rsidP="00FE289C">
            <w:pPr>
              <w:spacing w:before="40" w:after="40" w:line="360" w:lineRule="auto"/>
              <w:rPr>
                <w:rFonts w:ascii="Arial" w:hAnsi="Arial" w:cs="Arial"/>
                <w:lang w:val="sq-AL" w:bidi="ar-AE"/>
              </w:rPr>
            </w:pPr>
            <w:r>
              <w:rPr>
                <w:rFonts w:ascii="Arial" w:hAnsi="Arial" w:cs="Arial"/>
                <w:lang w:val="sq-AL" w:bidi="ar-AE"/>
              </w:rPr>
              <w:t>Izrada</w:t>
            </w:r>
            <w:r w:rsidR="00377063" w:rsidRPr="002A6F4E">
              <w:rPr>
                <w:rFonts w:ascii="Arial" w:hAnsi="Arial" w:cs="Arial"/>
                <w:lang w:val="sq-AL" w:bidi="ar-AE"/>
              </w:rPr>
              <w:t xml:space="preserve"> plana obuka za sve zaposlene koji se bave uslugama sakupljanja, recikliranja, obrad</w:t>
            </w:r>
            <w:r w:rsidR="00B851C6">
              <w:rPr>
                <w:rFonts w:ascii="Arial" w:hAnsi="Arial" w:cs="Arial"/>
                <w:lang w:val="sq-AL" w:bidi="ar-AE"/>
              </w:rPr>
              <w:t>e</w:t>
            </w:r>
            <w:r w:rsidR="00377063" w:rsidRPr="002A6F4E">
              <w:rPr>
                <w:rFonts w:ascii="Arial" w:hAnsi="Arial" w:cs="Arial"/>
                <w:lang w:val="sq-AL" w:bidi="ar-AE"/>
              </w:rPr>
              <w:t xml:space="preserve"> i </w:t>
            </w:r>
            <w:r>
              <w:rPr>
                <w:rFonts w:ascii="Arial" w:hAnsi="Arial" w:cs="Arial"/>
                <w:lang w:val="sq-AL" w:bidi="ar-AE"/>
              </w:rPr>
              <w:t>odstranjivanja</w:t>
            </w:r>
            <w:r w:rsidR="00377063" w:rsidRPr="002A6F4E">
              <w:rPr>
                <w:rFonts w:ascii="Arial" w:hAnsi="Arial" w:cs="Arial"/>
                <w:lang w:val="sq-AL" w:bidi="ar-AE"/>
              </w:rPr>
              <w:t xml:space="preserve"> </w:t>
            </w:r>
            <w:r w:rsidR="00B851C6">
              <w:rPr>
                <w:rFonts w:ascii="Arial" w:hAnsi="Arial" w:cs="Arial"/>
                <w:lang w:val="sq-AL" w:bidi="ar-AE"/>
              </w:rPr>
              <w:t>otpada</w:t>
            </w:r>
          </w:p>
        </w:tc>
        <w:tc>
          <w:tcPr>
            <w:tcW w:w="1101" w:type="pct"/>
            <w:shd w:val="clear" w:color="auto" w:fill="auto"/>
          </w:tcPr>
          <w:p w14:paraId="56DB2F78" w14:textId="0700A221"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w:t>
            </w:r>
            <w:r w:rsidRPr="002A6F4E">
              <w:rPr>
                <w:rFonts w:ascii="Arial" w:hAnsi="Arial" w:cs="Arial"/>
                <w:lang w:val="sr-Latn-ME"/>
              </w:rPr>
              <w:t>Jedinice lokalnih samouprava</w:t>
            </w:r>
          </w:p>
        </w:tc>
        <w:tc>
          <w:tcPr>
            <w:tcW w:w="508" w:type="pct"/>
            <w:shd w:val="clear" w:color="auto" w:fill="auto"/>
          </w:tcPr>
          <w:p w14:paraId="31B8EFB4" w14:textId="665DB009"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w:t>
            </w:r>
            <w:r w:rsidR="00905C3A">
              <w:rPr>
                <w:rFonts w:ascii="Arial" w:hAnsi="Arial" w:cs="Arial"/>
                <w:lang w:val="sq-AL" w:bidi="ar-AE"/>
              </w:rPr>
              <w:t>5</w:t>
            </w:r>
            <w:r w:rsidR="008E0D10">
              <w:rPr>
                <w:rFonts w:ascii="Arial" w:hAnsi="Arial" w:cs="Arial"/>
                <w:lang w:val="sq-AL" w:bidi="ar-AE"/>
              </w:rPr>
              <w:t>-</w:t>
            </w:r>
            <w:r w:rsidRPr="002A6F4E">
              <w:rPr>
                <w:rFonts w:ascii="Arial" w:hAnsi="Arial" w:cs="Arial"/>
                <w:lang w:val="sq-AL" w:bidi="ar-AE"/>
              </w:rPr>
              <w:t>202</w:t>
            </w:r>
            <w:r w:rsidR="00905C3A">
              <w:rPr>
                <w:rFonts w:ascii="Arial" w:hAnsi="Arial" w:cs="Arial"/>
                <w:lang w:val="sq-AL" w:bidi="ar-AE"/>
              </w:rPr>
              <w:t>5</w:t>
            </w:r>
            <w:r w:rsidRPr="002A6F4E">
              <w:rPr>
                <w:rFonts w:ascii="Arial" w:hAnsi="Arial" w:cs="Arial"/>
                <w:lang w:val="sq-AL" w:bidi="ar-AE"/>
              </w:rPr>
              <w:t>.</w:t>
            </w:r>
          </w:p>
        </w:tc>
        <w:tc>
          <w:tcPr>
            <w:tcW w:w="1305" w:type="pct"/>
          </w:tcPr>
          <w:p w14:paraId="1ED08F74" w14:textId="332C9030" w:rsidR="00377063" w:rsidRPr="003D7619" w:rsidRDefault="00377063" w:rsidP="00FE289C">
            <w:pPr>
              <w:spacing w:before="40" w:after="40" w:line="360" w:lineRule="auto"/>
              <w:rPr>
                <w:rFonts w:ascii="Arial" w:hAnsi="Arial" w:cs="Arial"/>
                <w:lang w:val="sq-AL" w:bidi="ar-AE"/>
              </w:rPr>
            </w:pPr>
            <w:r w:rsidRPr="003D7619">
              <w:rPr>
                <w:rFonts w:ascii="Arial" w:hAnsi="Arial" w:cs="Arial"/>
                <w:lang w:val="sq-AL" w:bidi="ar-AE"/>
              </w:rPr>
              <w:t>Državni budže</w:t>
            </w:r>
            <w:r w:rsidR="008E0D10" w:rsidRPr="003D7619">
              <w:rPr>
                <w:rFonts w:ascii="Arial" w:hAnsi="Arial" w:cs="Arial"/>
                <w:lang w:val="sq-AL" w:bidi="ar-AE"/>
              </w:rPr>
              <w:t>t/</w:t>
            </w:r>
          </w:p>
          <w:p w14:paraId="421C1E6C" w14:textId="32C94D8C" w:rsidR="00377063" w:rsidRPr="002A6F4E" w:rsidRDefault="00377063" w:rsidP="00FE289C">
            <w:pPr>
              <w:spacing w:before="40" w:after="40" w:line="360" w:lineRule="auto"/>
              <w:rPr>
                <w:rFonts w:ascii="Arial" w:hAnsi="Arial" w:cs="Arial"/>
                <w:lang w:val="sq-AL" w:bidi="ar-AE"/>
              </w:rPr>
            </w:pPr>
            <w:r w:rsidRPr="003D7619">
              <w:rPr>
                <w:rFonts w:ascii="Arial" w:hAnsi="Arial" w:cs="Arial"/>
                <w:lang w:val="sq-AL" w:bidi="ar-AE"/>
              </w:rPr>
              <w:t>Lokalni budžet</w:t>
            </w:r>
            <w:r w:rsidR="00694A60" w:rsidRPr="003D7619">
              <w:rPr>
                <w:lang w:val="sq-AL"/>
              </w:rPr>
              <w:t xml:space="preserve"> </w:t>
            </w:r>
            <w:r w:rsidR="00694A60" w:rsidRPr="003D7619">
              <w:rPr>
                <w:rFonts w:ascii="Arial" w:hAnsi="Arial" w:cs="Arial"/>
                <w:lang w:val="sq-AL" w:bidi="ar-AE"/>
              </w:rPr>
              <w:t>Donatori/Međunarodne finansijske institucije</w:t>
            </w:r>
          </w:p>
        </w:tc>
      </w:tr>
      <w:tr w:rsidR="000F67ED" w:rsidRPr="002A6F4E" w14:paraId="610FC82B" w14:textId="77777777" w:rsidTr="009754F4">
        <w:trPr>
          <w:jc w:val="center"/>
        </w:trPr>
        <w:tc>
          <w:tcPr>
            <w:tcW w:w="304" w:type="pct"/>
            <w:shd w:val="clear" w:color="auto" w:fill="auto"/>
          </w:tcPr>
          <w:p w14:paraId="4E20551C"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3.3</w:t>
            </w:r>
          </w:p>
        </w:tc>
        <w:tc>
          <w:tcPr>
            <w:tcW w:w="518" w:type="pct"/>
            <w:shd w:val="clear" w:color="auto" w:fill="auto"/>
          </w:tcPr>
          <w:p w14:paraId="496E01B1"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1C43BA12" w14:textId="6830597A" w:rsidR="00377063" w:rsidRPr="002A6F4E" w:rsidRDefault="00905C3A" w:rsidP="00FE289C">
            <w:pPr>
              <w:spacing w:before="40" w:after="40" w:line="360" w:lineRule="auto"/>
              <w:rPr>
                <w:rFonts w:ascii="Arial" w:hAnsi="Arial" w:cs="Arial"/>
                <w:lang w:val="sq-AL" w:bidi="ar-AE"/>
              </w:rPr>
            </w:pPr>
            <w:r>
              <w:rPr>
                <w:rFonts w:ascii="Arial" w:hAnsi="Arial" w:cs="Arial"/>
                <w:lang w:val="sq-AL" w:bidi="ar-AE"/>
              </w:rPr>
              <w:t xml:space="preserve">Izrada </w:t>
            </w:r>
            <w:r w:rsidRPr="002A6F4E">
              <w:rPr>
                <w:rFonts w:ascii="Arial" w:hAnsi="Arial" w:cs="Arial"/>
                <w:lang w:val="sq-AL" w:bidi="ar-AE"/>
              </w:rPr>
              <w:t xml:space="preserve"> </w:t>
            </w:r>
            <w:r>
              <w:rPr>
                <w:rFonts w:ascii="Arial" w:hAnsi="Arial" w:cs="Arial"/>
                <w:lang w:val="sq-AL" w:bidi="ar-AE"/>
              </w:rPr>
              <w:t xml:space="preserve">plana u cilju jačanja </w:t>
            </w:r>
            <w:r w:rsidR="00377063" w:rsidRPr="002A6F4E">
              <w:rPr>
                <w:rFonts w:ascii="Arial" w:hAnsi="Arial" w:cs="Arial"/>
                <w:lang w:val="sq-AL" w:bidi="ar-AE"/>
              </w:rPr>
              <w:t>kapacitet</w:t>
            </w:r>
            <w:r>
              <w:rPr>
                <w:rFonts w:ascii="Arial" w:hAnsi="Arial" w:cs="Arial"/>
                <w:lang w:val="sq-AL" w:bidi="ar-AE"/>
              </w:rPr>
              <w:t>a</w:t>
            </w:r>
            <w:r w:rsidR="00377063" w:rsidRPr="002A6F4E">
              <w:rPr>
                <w:rFonts w:ascii="Arial" w:hAnsi="Arial" w:cs="Arial"/>
                <w:lang w:val="sq-AL" w:bidi="ar-AE"/>
              </w:rPr>
              <w:t xml:space="preserve"> svih institucija uključenih u upravljanje otpadom dodatnom reorganizacijom i finansijskim resursima, dodatnim zapošljavanjem i takođe, realizacijom odgovarajućih obuka kadra na </w:t>
            </w:r>
            <w:r w:rsidR="00E04F55">
              <w:rPr>
                <w:rFonts w:ascii="Arial" w:hAnsi="Arial" w:cs="Arial"/>
                <w:lang w:val="sq-AL" w:bidi="ar-AE"/>
              </w:rPr>
              <w:t>državnom</w:t>
            </w:r>
            <w:r w:rsidR="00377063" w:rsidRPr="002A6F4E">
              <w:rPr>
                <w:rFonts w:ascii="Arial" w:hAnsi="Arial" w:cs="Arial"/>
                <w:lang w:val="sq-AL" w:bidi="ar-AE"/>
              </w:rPr>
              <w:t>, regionalnom i lokalnom nivou</w:t>
            </w:r>
          </w:p>
        </w:tc>
        <w:tc>
          <w:tcPr>
            <w:tcW w:w="1101" w:type="pct"/>
            <w:shd w:val="clear" w:color="auto" w:fill="auto"/>
          </w:tcPr>
          <w:p w14:paraId="6D46050D" w14:textId="7CAB9F75"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w:t>
            </w:r>
            <w:r w:rsidRPr="002A6F4E">
              <w:rPr>
                <w:rFonts w:ascii="Arial" w:hAnsi="Arial" w:cs="Arial"/>
                <w:lang w:val="sr-Latn-ME"/>
              </w:rPr>
              <w:t>Jedinice lokalnih samouprava</w:t>
            </w:r>
          </w:p>
        </w:tc>
        <w:tc>
          <w:tcPr>
            <w:tcW w:w="508" w:type="pct"/>
            <w:shd w:val="clear" w:color="auto" w:fill="auto"/>
          </w:tcPr>
          <w:p w14:paraId="323CACA0" w14:textId="354773DD"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w:t>
            </w:r>
            <w:r w:rsidR="00905C3A">
              <w:rPr>
                <w:rFonts w:ascii="Arial" w:hAnsi="Arial" w:cs="Arial"/>
                <w:lang w:val="sq-AL" w:bidi="ar-AE"/>
              </w:rPr>
              <w:t>5</w:t>
            </w:r>
            <w:r w:rsidR="00E04F55">
              <w:rPr>
                <w:rFonts w:ascii="Arial" w:hAnsi="Arial" w:cs="Arial"/>
                <w:lang w:val="sq-AL" w:bidi="ar-AE"/>
              </w:rPr>
              <w:t>-</w:t>
            </w:r>
            <w:r w:rsidRPr="002A6F4E">
              <w:rPr>
                <w:rFonts w:ascii="Arial" w:hAnsi="Arial" w:cs="Arial"/>
                <w:lang w:val="sq-AL" w:bidi="ar-AE"/>
              </w:rPr>
              <w:t>202</w:t>
            </w:r>
            <w:r w:rsidR="00905C3A">
              <w:rPr>
                <w:rFonts w:ascii="Arial" w:hAnsi="Arial" w:cs="Arial"/>
                <w:lang w:val="sq-AL" w:bidi="ar-AE"/>
              </w:rPr>
              <w:t>7</w:t>
            </w:r>
            <w:r w:rsidRPr="002A6F4E">
              <w:rPr>
                <w:rFonts w:ascii="Arial" w:hAnsi="Arial" w:cs="Arial"/>
                <w:lang w:val="sq-AL" w:bidi="ar-AE"/>
              </w:rPr>
              <w:t>.</w:t>
            </w:r>
          </w:p>
        </w:tc>
        <w:tc>
          <w:tcPr>
            <w:tcW w:w="1305" w:type="pct"/>
          </w:tcPr>
          <w:p w14:paraId="5CB734FD" w14:textId="4FA43ECE" w:rsidR="00377063" w:rsidRPr="002A6F4E" w:rsidRDefault="00377063" w:rsidP="00FE289C">
            <w:pPr>
              <w:spacing w:before="40" w:after="40" w:line="360" w:lineRule="auto"/>
              <w:rPr>
                <w:rFonts w:ascii="Arial" w:hAnsi="Arial" w:cs="Arial"/>
                <w:lang w:bidi="ar-AE"/>
              </w:rPr>
            </w:pPr>
            <w:r w:rsidRPr="002A6F4E">
              <w:rPr>
                <w:rFonts w:ascii="Arial" w:hAnsi="Arial" w:cs="Arial"/>
                <w:lang w:bidi="ar-AE"/>
              </w:rPr>
              <w:t>Državni budžet</w:t>
            </w:r>
            <w:r w:rsidR="008E0D10">
              <w:rPr>
                <w:rFonts w:ascii="Arial" w:hAnsi="Arial" w:cs="Arial"/>
                <w:lang w:bidi="ar-AE"/>
              </w:rPr>
              <w:t>/</w:t>
            </w:r>
          </w:p>
          <w:p w14:paraId="7B78B6F5" w14:textId="77777777" w:rsidR="00377063" w:rsidRPr="002A6F4E" w:rsidRDefault="00377063" w:rsidP="00FE289C">
            <w:pPr>
              <w:spacing w:before="40" w:after="40" w:line="360" w:lineRule="auto"/>
              <w:rPr>
                <w:rFonts w:ascii="Arial" w:hAnsi="Arial" w:cs="Arial"/>
                <w:lang w:val="sq-AL" w:bidi="ar-AE"/>
              </w:rPr>
            </w:pPr>
            <w:r w:rsidRPr="005814ED">
              <w:rPr>
                <w:rFonts w:ascii="Arial" w:hAnsi="Arial" w:cs="Arial"/>
                <w:lang w:bidi="ar-AE"/>
              </w:rPr>
              <w:t>Lokalni budžet</w:t>
            </w:r>
          </w:p>
        </w:tc>
      </w:tr>
      <w:tr w:rsidR="00377063" w:rsidRPr="0014164F" w14:paraId="0EDDA650" w14:textId="77777777" w:rsidTr="009754F4">
        <w:trPr>
          <w:jc w:val="center"/>
        </w:trPr>
        <w:tc>
          <w:tcPr>
            <w:tcW w:w="5000" w:type="pct"/>
            <w:gridSpan w:val="6"/>
            <w:shd w:val="clear" w:color="auto" w:fill="DBDBDB" w:themeFill="accent3" w:themeFillTint="66"/>
          </w:tcPr>
          <w:p w14:paraId="357EFA81" w14:textId="77777777" w:rsidR="00377063" w:rsidRPr="002A6F4E" w:rsidRDefault="00377063" w:rsidP="00FE289C">
            <w:pPr>
              <w:spacing w:before="40" w:after="40" w:line="360" w:lineRule="auto"/>
              <w:ind w:right="45"/>
              <w:rPr>
                <w:rFonts w:ascii="Arial" w:hAnsi="Arial" w:cs="Arial"/>
                <w:b/>
                <w:bCs/>
                <w:lang w:val="sq-AL"/>
              </w:rPr>
            </w:pPr>
            <w:r w:rsidRPr="002A6F4E">
              <w:rPr>
                <w:rFonts w:ascii="Arial" w:hAnsi="Arial" w:cs="Arial"/>
                <w:b/>
                <w:bCs/>
                <w:lang w:val="sq-AL"/>
              </w:rPr>
              <w:t xml:space="preserve">4. </w:t>
            </w:r>
            <w:bookmarkStart w:id="1450" w:name="_Hlk121698910"/>
            <w:r w:rsidRPr="002A6F4E">
              <w:rPr>
                <w:rFonts w:ascii="Arial" w:hAnsi="Arial" w:cs="Arial"/>
                <w:b/>
                <w:bCs/>
                <w:lang w:val="sq-AL"/>
              </w:rPr>
              <w:t xml:space="preserve">Stub D: Održivo integrisano upravljanje otpadom </w:t>
            </w:r>
            <w:bookmarkEnd w:id="1450"/>
          </w:p>
          <w:p w14:paraId="635CFB61" w14:textId="77777777" w:rsidR="00377063" w:rsidRPr="002A6F4E" w:rsidRDefault="00377063" w:rsidP="00FE289C">
            <w:pPr>
              <w:spacing w:before="40" w:after="40" w:line="360" w:lineRule="auto"/>
              <w:rPr>
                <w:rFonts w:ascii="Arial" w:hAnsi="Arial" w:cs="Arial"/>
                <w:bCs/>
                <w:lang w:val="sq-AL" w:bidi="ar-AE"/>
              </w:rPr>
            </w:pPr>
            <w:r w:rsidRPr="002A6F4E">
              <w:rPr>
                <w:rFonts w:ascii="Arial" w:hAnsi="Arial" w:cs="Arial"/>
                <w:b/>
                <w:lang w:val="sq-AL" w:bidi="ar-AE"/>
              </w:rPr>
              <w:t>Strateški ciljevi</w:t>
            </w:r>
            <w:r w:rsidRPr="002A6F4E">
              <w:rPr>
                <w:rFonts w:ascii="Arial" w:hAnsi="Arial" w:cs="Arial"/>
                <w:bCs/>
                <w:lang w:val="sq-AL" w:bidi="ar-AE"/>
              </w:rPr>
              <w:t>:</w:t>
            </w:r>
          </w:p>
          <w:p w14:paraId="0124B440" w14:textId="5A1924FB" w:rsidR="00377063" w:rsidRPr="002A6F4E" w:rsidRDefault="00801D7B" w:rsidP="00A23ED0">
            <w:pPr>
              <w:pStyle w:val="ListParagraph"/>
              <w:numPr>
                <w:ilvl w:val="0"/>
                <w:numId w:val="89"/>
              </w:numPr>
              <w:spacing w:before="40" w:after="40" w:line="360" w:lineRule="auto"/>
              <w:rPr>
                <w:rFonts w:ascii="Arial" w:hAnsi="Arial" w:cs="Arial"/>
                <w:lang w:val="sq-AL"/>
              </w:rPr>
            </w:pPr>
            <w:r>
              <w:rPr>
                <w:rFonts w:ascii="Arial" w:hAnsi="Arial" w:cs="Arial"/>
                <w:lang w:val="sq-AL"/>
              </w:rPr>
              <w:t>poboljšati</w:t>
            </w:r>
            <w:r w:rsidR="00377063" w:rsidRPr="002A6F4E">
              <w:rPr>
                <w:rFonts w:ascii="Arial" w:hAnsi="Arial" w:cs="Arial"/>
                <w:lang w:val="sq-AL"/>
              </w:rPr>
              <w:t xml:space="preserve"> održivost praksi održivog upravljanja otpadom;</w:t>
            </w:r>
          </w:p>
          <w:p w14:paraId="78239FF6" w14:textId="77777777" w:rsidR="00377063" w:rsidRPr="002A6F4E" w:rsidRDefault="00377063" w:rsidP="00A23ED0">
            <w:pPr>
              <w:pStyle w:val="ListParagraph"/>
              <w:numPr>
                <w:ilvl w:val="0"/>
                <w:numId w:val="89"/>
              </w:numPr>
              <w:spacing w:before="40" w:after="40" w:line="360" w:lineRule="auto"/>
              <w:rPr>
                <w:rFonts w:ascii="Arial" w:hAnsi="Arial" w:cs="Arial"/>
                <w:lang w:val="sq-AL"/>
              </w:rPr>
            </w:pPr>
            <w:r w:rsidRPr="002A6F4E">
              <w:rPr>
                <w:rFonts w:ascii="Arial" w:hAnsi="Arial" w:cs="Arial"/>
                <w:lang w:val="sq-AL"/>
              </w:rPr>
              <w:t xml:space="preserve">progresivno kretanje prema </w:t>
            </w:r>
            <w:r w:rsidRPr="002A6F4E">
              <w:rPr>
                <w:rFonts w:ascii="Arial" w:hAnsi="Arial" w:cs="Arial"/>
                <w:lang w:val="sr-Latn-ME"/>
              </w:rPr>
              <w:t>„cirkularnoj ekonomiji“ i efikasnom korišćenju resursa</w:t>
            </w:r>
            <w:r w:rsidRPr="002A6F4E">
              <w:rPr>
                <w:rFonts w:ascii="Arial" w:hAnsi="Arial" w:cs="Arial"/>
                <w:lang w:val="sq-AL"/>
              </w:rPr>
              <w:t>;</w:t>
            </w:r>
          </w:p>
          <w:p w14:paraId="09BCA0B9" w14:textId="712855AF" w:rsidR="00377063" w:rsidRPr="002A6F4E" w:rsidRDefault="00377063" w:rsidP="00A23ED0">
            <w:pPr>
              <w:pStyle w:val="ListParagraph"/>
              <w:numPr>
                <w:ilvl w:val="0"/>
                <w:numId w:val="89"/>
              </w:numPr>
              <w:spacing w:before="40" w:after="40" w:line="360" w:lineRule="auto"/>
              <w:rPr>
                <w:rFonts w:ascii="Arial" w:hAnsi="Arial" w:cs="Arial"/>
                <w:lang w:val="sq-AL"/>
              </w:rPr>
            </w:pPr>
            <w:r w:rsidRPr="002A6F4E">
              <w:rPr>
                <w:rFonts w:ascii="Arial" w:hAnsi="Arial" w:cs="Arial"/>
                <w:lang w:val="sq-AL"/>
              </w:rPr>
              <w:t xml:space="preserve">promovisanje efikasnog sakupljanja otpada (uzimajući u obzir razvrstavanje u izvornom procesu), te smanjenja uticaja koji upravljanje otpadom ima na ljude i ekosisteme; </w:t>
            </w:r>
          </w:p>
          <w:p w14:paraId="246E9E11" w14:textId="1134BDB4" w:rsidR="00377063" w:rsidRPr="002A6F4E" w:rsidRDefault="00377063" w:rsidP="00A23ED0">
            <w:pPr>
              <w:pStyle w:val="ListParagraph"/>
              <w:numPr>
                <w:ilvl w:val="0"/>
                <w:numId w:val="89"/>
              </w:numPr>
              <w:spacing w:before="40" w:after="40" w:line="360" w:lineRule="auto"/>
              <w:rPr>
                <w:rFonts w:ascii="Arial" w:hAnsi="Arial" w:cs="Arial"/>
                <w:lang w:val="sq-AL"/>
              </w:rPr>
            </w:pPr>
            <w:r w:rsidRPr="002A6F4E">
              <w:rPr>
                <w:rFonts w:ascii="Arial" w:hAnsi="Arial" w:cs="Arial"/>
                <w:lang w:val="sq-AL"/>
              </w:rPr>
              <w:t>promovisanje hijerarhije u upravljanju otpadom – promovisanje sprečavanj</w:t>
            </w:r>
            <w:r w:rsidR="00801D7B">
              <w:rPr>
                <w:rFonts w:ascii="Arial" w:hAnsi="Arial" w:cs="Arial"/>
                <w:lang w:val="sq-AL"/>
              </w:rPr>
              <w:t>a</w:t>
            </w:r>
            <w:r w:rsidRPr="002A6F4E">
              <w:rPr>
                <w:rFonts w:ascii="Arial" w:hAnsi="Arial" w:cs="Arial"/>
                <w:lang w:val="sq-AL"/>
              </w:rPr>
              <w:t xml:space="preserve"> nastanka otpada, svođenja na najmanji mogući nivo, ponovne upotrebe i recikliranja;</w:t>
            </w:r>
          </w:p>
          <w:p w14:paraId="42B2C93E" w14:textId="77777777" w:rsidR="00377063" w:rsidRPr="002A6F4E" w:rsidRDefault="00377063" w:rsidP="00A23ED0">
            <w:pPr>
              <w:pStyle w:val="ListParagraph"/>
              <w:numPr>
                <w:ilvl w:val="0"/>
                <w:numId w:val="89"/>
              </w:numPr>
              <w:spacing w:before="40" w:after="40" w:line="360" w:lineRule="auto"/>
              <w:rPr>
                <w:rFonts w:ascii="Arial" w:hAnsi="Arial" w:cs="Arial"/>
                <w:lang w:val="sq-AL"/>
              </w:rPr>
            </w:pPr>
            <w:r w:rsidRPr="002A6F4E">
              <w:rPr>
                <w:rFonts w:ascii="Arial" w:hAnsi="Arial" w:cs="Arial"/>
                <w:lang w:val="sq-AL"/>
              </w:rPr>
              <w:t>promovisanje decentralizovanog upravljanja otpadom;</w:t>
            </w:r>
          </w:p>
          <w:p w14:paraId="5FDF2BE9" w14:textId="52FF6113" w:rsidR="00377063" w:rsidRPr="002A6F4E" w:rsidRDefault="00377063" w:rsidP="00A23ED0">
            <w:pPr>
              <w:pStyle w:val="ListParagraph"/>
              <w:numPr>
                <w:ilvl w:val="0"/>
                <w:numId w:val="89"/>
              </w:numPr>
              <w:spacing w:before="40" w:after="40" w:line="360" w:lineRule="auto"/>
              <w:rPr>
                <w:rFonts w:ascii="Arial" w:hAnsi="Arial" w:cs="Arial"/>
                <w:lang w:val="sq-AL"/>
              </w:rPr>
            </w:pPr>
            <w:r w:rsidRPr="002A6F4E">
              <w:rPr>
                <w:rFonts w:ascii="Arial" w:hAnsi="Arial" w:cs="Arial"/>
                <w:lang w:val="sq-AL"/>
              </w:rPr>
              <w:t xml:space="preserve">smanjiti količinu otpada koji se </w:t>
            </w:r>
            <w:r w:rsidR="003015C3">
              <w:rPr>
                <w:rFonts w:ascii="Arial" w:hAnsi="Arial" w:cs="Arial"/>
                <w:lang w:val="sq-AL"/>
              </w:rPr>
              <w:t>generiše</w:t>
            </w:r>
            <w:r w:rsidR="003015C3" w:rsidRPr="002A6F4E">
              <w:rPr>
                <w:rFonts w:ascii="Arial" w:hAnsi="Arial" w:cs="Arial"/>
                <w:lang w:val="sq-AL"/>
              </w:rPr>
              <w:t xml:space="preserve"> </w:t>
            </w:r>
            <w:r w:rsidRPr="002A6F4E">
              <w:rPr>
                <w:rFonts w:ascii="Arial" w:hAnsi="Arial" w:cs="Arial"/>
                <w:lang w:val="sq-AL"/>
              </w:rPr>
              <w:t xml:space="preserve">i </w:t>
            </w:r>
            <w:r w:rsidR="003015C3">
              <w:rPr>
                <w:rFonts w:ascii="Arial" w:hAnsi="Arial" w:cs="Arial"/>
                <w:lang w:val="sq-AL"/>
              </w:rPr>
              <w:t xml:space="preserve">odlaže </w:t>
            </w:r>
            <w:r w:rsidRPr="002A6F4E">
              <w:rPr>
                <w:rFonts w:ascii="Arial" w:hAnsi="Arial" w:cs="Arial"/>
                <w:lang w:val="sq-AL"/>
              </w:rPr>
              <w:t>depon</w:t>
            </w:r>
            <w:r w:rsidR="003015C3">
              <w:rPr>
                <w:rFonts w:ascii="Arial" w:hAnsi="Arial" w:cs="Arial"/>
                <w:lang w:val="sq-AL"/>
              </w:rPr>
              <w:t>i</w:t>
            </w:r>
            <w:r w:rsidRPr="002A6F4E">
              <w:rPr>
                <w:rFonts w:ascii="Arial" w:hAnsi="Arial" w:cs="Arial"/>
                <w:lang w:val="sq-AL"/>
              </w:rPr>
              <w:t xml:space="preserve">je; </w:t>
            </w:r>
          </w:p>
          <w:p w14:paraId="0FA46210" w14:textId="77777777" w:rsidR="00377063" w:rsidRPr="002A6F4E" w:rsidRDefault="00377063" w:rsidP="00A23ED0">
            <w:pPr>
              <w:pStyle w:val="ListParagraph"/>
              <w:numPr>
                <w:ilvl w:val="0"/>
                <w:numId w:val="89"/>
              </w:numPr>
              <w:spacing w:before="40" w:after="40" w:line="360" w:lineRule="auto"/>
              <w:rPr>
                <w:rFonts w:ascii="Arial" w:hAnsi="Arial" w:cs="Arial"/>
                <w:lang w:val="sq-AL"/>
              </w:rPr>
            </w:pPr>
            <w:r w:rsidRPr="002A6F4E">
              <w:rPr>
                <w:rFonts w:ascii="Arial" w:hAnsi="Arial" w:cs="Arial"/>
                <w:lang w:val="sq-AL"/>
              </w:rPr>
              <w:t>postići da se otpad iskorišćava u najvećoj mogućoj mjeri;</w:t>
            </w:r>
          </w:p>
          <w:p w14:paraId="3052C02D" w14:textId="77777777" w:rsidR="00377063" w:rsidRPr="002A6F4E" w:rsidRDefault="00377063" w:rsidP="00A23ED0">
            <w:pPr>
              <w:pStyle w:val="ListParagraph"/>
              <w:numPr>
                <w:ilvl w:val="0"/>
                <w:numId w:val="89"/>
              </w:numPr>
              <w:spacing w:before="40" w:after="40" w:line="360" w:lineRule="auto"/>
              <w:rPr>
                <w:rFonts w:ascii="Arial" w:hAnsi="Arial" w:cs="Arial"/>
                <w:lang w:val="sq-AL"/>
              </w:rPr>
            </w:pPr>
            <w:r w:rsidRPr="002A6F4E">
              <w:rPr>
                <w:rFonts w:ascii="Arial" w:hAnsi="Arial" w:cs="Arial"/>
                <w:lang w:val="sq-AL"/>
              </w:rPr>
              <w:t xml:space="preserve">unaprijediti infrastrukturu u oblasti upravljanja otpadom i podržati njeno održivo funkcionisanje i održavanje; </w:t>
            </w:r>
          </w:p>
          <w:p w14:paraId="71A3594F" w14:textId="77777777" w:rsidR="00377063" w:rsidRPr="002A6F4E" w:rsidRDefault="00377063" w:rsidP="00A23ED0">
            <w:pPr>
              <w:pStyle w:val="ListParagraph"/>
              <w:numPr>
                <w:ilvl w:val="0"/>
                <w:numId w:val="89"/>
              </w:numPr>
              <w:spacing w:before="40" w:after="40" w:line="360" w:lineRule="auto"/>
              <w:rPr>
                <w:rFonts w:ascii="Arial" w:hAnsi="Arial" w:cs="Arial"/>
                <w:lang w:val="sq-AL"/>
              </w:rPr>
            </w:pPr>
            <w:r w:rsidRPr="002A6F4E">
              <w:rPr>
                <w:rFonts w:ascii="Arial" w:hAnsi="Arial" w:cs="Arial"/>
                <w:lang w:val="sq-AL"/>
              </w:rPr>
              <w:t>promovisanje korišćenja najboljih dostupnih tehnika za upravljanje otpadom;</w:t>
            </w:r>
          </w:p>
          <w:p w14:paraId="22A6192C" w14:textId="77777777" w:rsidR="00377063" w:rsidRPr="002A6F4E" w:rsidRDefault="00377063" w:rsidP="00A23ED0">
            <w:pPr>
              <w:pStyle w:val="ListParagraph"/>
              <w:numPr>
                <w:ilvl w:val="0"/>
                <w:numId w:val="89"/>
              </w:numPr>
              <w:spacing w:before="40" w:after="40" w:line="360" w:lineRule="auto"/>
              <w:rPr>
                <w:rFonts w:ascii="Arial" w:hAnsi="Arial" w:cs="Arial"/>
                <w:lang w:val="sq-AL"/>
              </w:rPr>
            </w:pPr>
            <w:r w:rsidRPr="002A6F4E">
              <w:rPr>
                <w:rFonts w:ascii="Arial" w:hAnsi="Arial" w:cs="Arial"/>
                <w:lang w:val="sq-AL"/>
              </w:rPr>
              <w:t>planirati inicijative za podsticanje ponovne upotrebe resursa;</w:t>
            </w:r>
          </w:p>
          <w:p w14:paraId="08DE30DD" w14:textId="77777777" w:rsidR="00801D7B" w:rsidRPr="00801D7B" w:rsidRDefault="00377063" w:rsidP="00A23ED0">
            <w:pPr>
              <w:pStyle w:val="ListParagraph"/>
              <w:numPr>
                <w:ilvl w:val="0"/>
                <w:numId w:val="89"/>
              </w:numPr>
              <w:spacing w:before="40" w:after="40" w:line="360" w:lineRule="auto"/>
              <w:rPr>
                <w:rFonts w:ascii="Arial" w:hAnsi="Arial" w:cs="Arial"/>
                <w:b/>
                <w:bCs/>
                <w:lang w:val="sq-AL"/>
              </w:rPr>
            </w:pPr>
            <w:r w:rsidRPr="002A6F4E">
              <w:rPr>
                <w:rFonts w:ascii="Arial" w:hAnsi="Arial" w:cs="Arial"/>
                <w:lang w:val="sq-AL"/>
              </w:rPr>
              <w:t xml:space="preserve">podstaći participativni pristup prilikom izgradnje i primjene sistema upravljanja otpadom, </w:t>
            </w:r>
            <w:r w:rsidR="00801D7B">
              <w:rPr>
                <w:rFonts w:ascii="Arial" w:hAnsi="Arial" w:cs="Arial"/>
                <w:lang w:val="sq-AL"/>
              </w:rPr>
              <w:t>kroz</w:t>
            </w:r>
            <w:r w:rsidRPr="002A6F4E">
              <w:rPr>
                <w:rFonts w:ascii="Arial" w:hAnsi="Arial" w:cs="Arial"/>
                <w:lang w:val="sq-AL"/>
              </w:rPr>
              <w:t xml:space="preserve"> uključivanje neformalnog sektora i promovisanje učešća privatnog sektora;</w:t>
            </w:r>
          </w:p>
          <w:p w14:paraId="4C4F0773" w14:textId="69932342" w:rsidR="00377063" w:rsidRPr="00801D7B" w:rsidRDefault="00377063" w:rsidP="00A23ED0">
            <w:pPr>
              <w:pStyle w:val="ListParagraph"/>
              <w:numPr>
                <w:ilvl w:val="0"/>
                <w:numId w:val="89"/>
              </w:numPr>
              <w:spacing w:before="40" w:after="40" w:line="360" w:lineRule="auto"/>
              <w:rPr>
                <w:rFonts w:ascii="Arial" w:hAnsi="Arial" w:cs="Arial"/>
                <w:b/>
                <w:bCs/>
                <w:lang w:val="sq-AL"/>
              </w:rPr>
            </w:pPr>
            <w:r w:rsidRPr="00801D7B">
              <w:rPr>
                <w:rFonts w:ascii="Arial" w:hAnsi="Arial" w:cs="Arial"/>
                <w:lang w:val="sq-AL"/>
              </w:rPr>
              <w:t>osigurat</w:t>
            </w:r>
            <w:r w:rsidR="00801D7B">
              <w:rPr>
                <w:rFonts w:ascii="Arial" w:hAnsi="Arial" w:cs="Arial"/>
                <w:lang w:val="sq-AL"/>
              </w:rPr>
              <w:t>i</w:t>
            </w:r>
            <w:r w:rsidRPr="00801D7B">
              <w:rPr>
                <w:rFonts w:ascii="Arial" w:hAnsi="Arial" w:cs="Arial"/>
                <w:lang w:val="sq-AL"/>
              </w:rPr>
              <w:t xml:space="preserve"> zaštitu zdravlja ljudi i životne sredine kroz bezbjedno </w:t>
            </w:r>
            <w:r w:rsidR="00801D7B">
              <w:rPr>
                <w:rFonts w:ascii="Arial" w:hAnsi="Arial" w:cs="Arial"/>
                <w:lang w:val="sq-AL"/>
              </w:rPr>
              <w:t>odstranjivanje</w:t>
            </w:r>
            <w:r w:rsidRPr="00801D7B">
              <w:rPr>
                <w:rFonts w:ascii="Arial" w:hAnsi="Arial" w:cs="Arial"/>
                <w:lang w:val="sq-AL"/>
              </w:rPr>
              <w:t xml:space="preserve"> otpada</w:t>
            </w:r>
            <w:r w:rsidR="00801D7B">
              <w:rPr>
                <w:rFonts w:ascii="Arial" w:hAnsi="Arial" w:cs="Arial"/>
                <w:lang w:val="sq-AL"/>
              </w:rPr>
              <w:t>.</w:t>
            </w:r>
          </w:p>
        </w:tc>
      </w:tr>
      <w:tr w:rsidR="00377063" w:rsidRPr="00156696" w14:paraId="164E7433" w14:textId="77777777" w:rsidTr="009754F4">
        <w:trPr>
          <w:jc w:val="center"/>
        </w:trPr>
        <w:tc>
          <w:tcPr>
            <w:tcW w:w="3695" w:type="pct"/>
            <w:gridSpan w:val="5"/>
            <w:shd w:val="clear" w:color="auto" w:fill="EDEDED" w:themeFill="accent3" w:themeFillTint="33"/>
          </w:tcPr>
          <w:p w14:paraId="6842153D" w14:textId="77777777" w:rsidR="00377063" w:rsidRPr="002A6F4E" w:rsidRDefault="00377063" w:rsidP="00FE289C">
            <w:pPr>
              <w:spacing w:before="40" w:after="40" w:line="360" w:lineRule="auto"/>
              <w:rPr>
                <w:rFonts w:ascii="Arial" w:hAnsi="Arial" w:cs="Arial"/>
                <w:b/>
                <w:bCs/>
                <w:i/>
                <w:lang w:val="sq-AL" w:bidi="ar-AE"/>
              </w:rPr>
            </w:pPr>
            <w:r w:rsidRPr="002A6F4E">
              <w:rPr>
                <w:rFonts w:ascii="Arial" w:hAnsi="Arial" w:cs="Arial"/>
                <w:b/>
                <w:lang w:val="sq-AL" w:bidi="ar-AE"/>
              </w:rPr>
              <w:lastRenderedPageBreak/>
              <w:t>Posebni cilj I</w:t>
            </w:r>
            <w:r w:rsidRPr="002A6F4E">
              <w:rPr>
                <w:rFonts w:ascii="Arial" w:hAnsi="Arial" w:cs="Arial"/>
                <w:bCs/>
                <w:lang w:val="sq-AL" w:bidi="ar-AE"/>
              </w:rPr>
              <w:t xml:space="preserve">: </w:t>
            </w:r>
            <w:bookmarkStart w:id="1451" w:name="_Hlk121692436"/>
            <w:r w:rsidRPr="002A6F4E">
              <w:rPr>
                <w:rFonts w:ascii="Arial" w:hAnsi="Arial" w:cs="Arial"/>
                <w:b/>
                <w:bCs/>
                <w:i/>
                <w:lang w:val="sq-AL" w:bidi="ar-AE"/>
              </w:rPr>
              <w:t xml:space="preserve">Crna Gora će se progresivno kretati prema </w:t>
            </w:r>
            <w:r w:rsidRPr="002A6F4E">
              <w:rPr>
                <w:rFonts w:ascii="Arial" w:hAnsi="Arial" w:cs="Arial"/>
                <w:b/>
                <w:bCs/>
                <w:i/>
                <w:lang w:val="sr-Latn-ME" w:bidi="ar-AE"/>
              </w:rPr>
              <w:t>„cirkularnoj ekonomiji“ kako bi realizovala mogućnosti ponovne upotrebe resursa, te razvijala investiranje i zapošljavanje u sektoru recikliranja</w:t>
            </w:r>
            <w:bookmarkEnd w:id="1451"/>
            <w:r w:rsidRPr="002A6F4E">
              <w:rPr>
                <w:rFonts w:ascii="Arial" w:hAnsi="Arial" w:cs="Arial"/>
                <w:b/>
                <w:bCs/>
                <w:i/>
                <w:lang w:val="sr-Latn-ME" w:bidi="ar-AE"/>
              </w:rPr>
              <w:t>:</w:t>
            </w:r>
          </w:p>
          <w:p w14:paraId="4A35BE9E" w14:textId="5B5A3BD0" w:rsidR="00377063" w:rsidRPr="002A6F4E" w:rsidRDefault="00377063" w:rsidP="00A23ED0">
            <w:pPr>
              <w:pStyle w:val="ListParagraph"/>
              <w:numPr>
                <w:ilvl w:val="0"/>
                <w:numId w:val="89"/>
              </w:numPr>
              <w:spacing w:before="40" w:after="40" w:line="360" w:lineRule="auto"/>
              <w:contextualSpacing w:val="0"/>
              <w:rPr>
                <w:rFonts w:ascii="Arial" w:hAnsi="Arial" w:cs="Arial"/>
                <w:i/>
                <w:lang w:val="sq-AL" w:bidi="ar-AE"/>
              </w:rPr>
            </w:pPr>
            <w:r w:rsidRPr="002A6F4E">
              <w:rPr>
                <w:rFonts w:ascii="Arial" w:hAnsi="Arial" w:cs="Arial"/>
                <w:i/>
                <w:lang w:val="sq-AL" w:bidi="ar-AE"/>
              </w:rPr>
              <w:t xml:space="preserve">Najmanje 30% otpadnih materijala, kao što su papir, metal, plastika i staklo, iz domaćinstava i drugih izvora u kojima su tokovi otpada slični tokovima </w:t>
            </w:r>
            <w:r w:rsidR="003015C3">
              <w:rPr>
                <w:rFonts w:ascii="Arial" w:hAnsi="Arial" w:cs="Arial"/>
                <w:i/>
                <w:lang w:val="sq-AL" w:bidi="ar-AE"/>
              </w:rPr>
              <w:t>otpada iz domaćinstva</w:t>
            </w:r>
            <w:r w:rsidRPr="002A6F4E">
              <w:rPr>
                <w:rFonts w:ascii="Arial" w:hAnsi="Arial" w:cs="Arial"/>
                <w:i/>
                <w:lang w:val="sq-AL" w:bidi="ar-AE"/>
              </w:rPr>
              <w:t>, treba da se pripremi za ponovnu upotrebu i recikl</w:t>
            </w:r>
            <w:r w:rsidR="003015C3">
              <w:rPr>
                <w:rFonts w:ascii="Arial" w:hAnsi="Arial" w:cs="Arial"/>
                <w:i/>
                <w:lang w:val="sq-AL" w:bidi="ar-AE"/>
              </w:rPr>
              <w:t>iranje</w:t>
            </w:r>
            <w:r w:rsidRPr="002A6F4E">
              <w:rPr>
                <w:rFonts w:ascii="Arial" w:hAnsi="Arial" w:cs="Arial"/>
                <w:i/>
                <w:lang w:val="sq-AL" w:bidi="ar-AE"/>
              </w:rPr>
              <w:t xml:space="preserve"> do </w:t>
            </w:r>
            <w:r w:rsidR="00F858D9" w:rsidRPr="002A6F4E">
              <w:rPr>
                <w:rFonts w:ascii="Arial" w:hAnsi="Arial" w:cs="Arial"/>
                <w:i/>
                <w:lang w:val="sq-AL" w:bidi="ar-AE"/>
              </w:rPr>
              <w:t>202</w:t>
            </w:r>
            <w:r w:rsidR="00801D7B">
              <w:rPr>
                <w:rFonts w:ascii="Arial" w:hAnsi="Arial" w:cs="Arial"/>
                <w:i/>
                <w:lang w:val="sq-AL" w:bidi="ar-AE"/>
              </w:rPr>
              <w:t>8</w:t>
            </w:r>
            <w:r w:rsidRPr="002A6F4E">
              <w:rPr>
                <w:rFonts w:ascii="Arial" w:hAnsi="Arial" w:cs="Arial"/>
                <w:i/>
                <w:lang w:val="sq-AL" w:bidi="ar-AE"/>
              </w:rPr>
              <w:t>. godine;</w:t>
            </w:r>
          </w:p>
          <w:p w14:paraId="0ADE9E1A" w14:textId="18F4D5C1"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do 2030. godine, za ponovnu upotrebu i recikliranje </w:t>
            </w:r>
            <w:r w:rsidR="00801D7B">
              <w:rPr>
                <w:rFonts w:ascii="Arial" w:hAnsi="Arial" w:cs="Arial"/>
                <w:i/>
                <w:lang w:val="sq-AL" w:bidi="ar-AE"/>
              </w:rPr>
              <w:t xml:space="preserve">treba </w:t>
            </w:r>
            <w:r w:rsidRPr="002A6F4E">
              <w:rPr>
                <w:rFonts w:ascii="Arial" w:hAnsi="Arial" w:cs="Arial"/>
                <w:i/>
                <w:lang w:val="sq-AL" w:bidi="ar-AE"/>
              </w:rPr>
              <w:t>da bude pripremljeno najmanje 50% otpadnog materijala, poput papira, metala, plastike i stakla, koji potiče od domaćinstava i ostalih izvora u kojima su tokovi otpada slični tokovima otpada iz domaćinstva;</w:t>
            </w:r>
          </w:p>
          <w:p w14:paraId="41B4DBCB" w14:textId="36C7C162" w:rsidR="00BD4CCD" w:rsidRPr="00BD4CCD" w:rsidRDefault="00BD4CCD" w:rsidP="00A23ED0">
            <w:pPr>
              <w:pStyle w:val="ListParagraph"/>
              <w:numPr>
                <w:ilvl w:val="0"/>
                <w:numId w:val="89"/>
              </w:numPr>
              <w:spacing w:before="40" w:after="40" w:line="360" w:lineRule="auto"/>
              <w:ind w:left="749"/>
              <w:contextualSpacing w:val="0"/>
              <w:rPr>
                <w:rFonts w:ascii="Arial" w:hAnsi="Arial" w:cs="Arial"/>
                <w:i/>
                <w:lang w:val="sq-AL" w:bidi="ar-AE"/>
              </w:rPr>
            </w:pPr>
            <w:bookmarkStart w:id="1452" w:name="_Hlk121692797"/>
            <w:r w:rsidRPr="002A6F4E">
              <w:rPr>
                <w:rFonts w:ascii="Arial" w:hAnsi="Arial" w:cs="Arial"/>
                <w:i/>
                <w:lang w:val="sq-AL" w:bidi="ar-AE"/>
              </w:rPr>
              <w:t>do 202</w:t>
            </w:r>
            <w:r>
              <w:rPr>
                <w:rFonts w:ascii="Arial" w:hAnsi="Arial" w:cs="Arial"/>
                <w:i/>
                <w:lang w:val="sq-AL" w:bidi="ar-AE"/>
              </w:rPr>
              <w:t>8</w:t>
            </w:r>
            <w:r w:rsidRPr="002A6F4E">
              <w:rPr>
                <w:rFonts w:ascii="Arial" w:hAnsi="Arial" w:cs="Arial"/>
                <w:i/>
                <w:lang w:val="sq-AL" w:bidi="ar-AE"/>
              </w:rPr>
              <w:t>. godine, ostvariti recikliranje 30% težine staklene ambalaže;</w:t>
            </w:r>
          </w:p>
          <w:p w14:paraId="5C567285" w14:textId="2A921824"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2030. godine, ostvariti recikliranje 40% težine staklene ambalaže;</w:t>
            </w:r>
          </w:p>
          <w:p w14:paraId="7B74506C" w14:textId="3670D69D" w:rsidR="00377063" w:rsidRPr="00BD4CCD" w:rsidRDefault="00BD4CCD"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202</w:t>
            </w:r>
            <w:r>
              <w:rPr>
                <w:rFonts w:ascii="Arial" w:hAnsi="Arial" w:cs="Arial"/>
                <w:i/>
                <w:lang w:val="sq-AL" w:bidi="ar-AE"/>
              </w:rPr>
              <w:t>8</w:t>
            </w:r>
            <w:r w:rsidRPr="002A6F4E">
              <w:rPr>
                <w:rFonts w:ascii="Arial" w:hAnsi="Arial" w:cs="Arial"/>
                <w:i/>
                <w:lang w:val="sq-AL" w:bidi="ar-AE"/>
              </w:rPr>
              <w:t xml:space="preserve">. godine, ostvariti recikliranje </w:t>
            </w:r>
            <w:r>
              <w:rPr>
                <w:rFonts w:ascii="Arial" w:hAnsi="Arial" w:cs="Arial"/>
                <w:i/>
                <w:lang w:val="sq-AL" w:bidi="ar-AE"/>
              </w:rPr>
              <w:t>3</w:t>
            </w:r>
            <w:r w:rsidRPr="002A6F4E">
              <w:rPr>
                <w:rFonts w:ascii="Arial" w:hAnsi="Arial" w:cs="Arial"/>
                <w:i/>
                <w:lang w:val="sq-AL" w:bidi="ar-AE"/>
              </w:rPr>
              <w:t>0% težine papirne i kartonske ambalaže;</w:t>
            </w:r>
          </w:p>
          <w:p w14:paraId="383E45F5" w14:textId="77777777"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2030. godine, ostvariti recikliranje 40% težine papirne i kartonske ambalaže;</w:t>
            </w:r>
          </w:p>
          <w:p w14:paraId="156EDB36" w14:textId="06CABDD3" w:rsidR="00BD4CCD" w:rsidRPr="00BD4CCD" w:rsidRDefault="00BD4CCD"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202</w:t>
            </w:r>
            <w:r>
              <w:rPr>
                <w:rFonts w:ascii="Arial" w:hAnsi="Arial" w:cs="Arial"/>
                <w:i/>
                <w:lang w:val="sq-AL" w:bidi="ar-AE"/>
              </w:rPr>
              <w:t>8</w:t>
            </w:r>
            <w:r w:rsidRPr="002A6F4E">
              <w:rPr>
                <w:rFonts w:ascii="Arial" w:hAnsi="Arial" w:cs="Arial"/>
                <w:i/>
                <w:lang w:val="sq-AL" w:bidi="ar-AE"/>
              </w:rPr>
              <w:t xml:space="preserve"> godine, ostvariti recikliranje 40% mase metalne ambalaže;</w:t>
            </w:r>
          </w:p>
          <w:p w14:paraId="720DC80A" w14:textId="2AE10339" w:rsidR="00377063"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2030. godine, ostvariti recikliranje 50% mase metalne ambalaže;</w:t>
            </w:r>
          </w:p>
          <w:p w14:paraId="154564B2" w14:textId="0F47AD38" w:rsidR="00BD4CCD" w:rsidRPr="00BD4CCD" w:rsidRDefault="00BD4CCD"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202</w:t>
            </w:r>
            <w:r>
              <w:rPr>
                <w:rFonts w:ascii="Arial" w:hAnsi="Arial" w:cs="Arial"/>
                <w:i/>
                <w:lang w:val="sq-AL" w:bidi="ar-AE"/>
              </w:rPr>
              <w:t>8</w:t>
            </w:r>
            <w:r w:rsidRPr="002A6F4E">
              <w:rPr>
                <w:rFonts w:ascii="Arial" w:hAnsi="Arial" w:cs="Arial"/>
                <w:i/>
                <w:lang w:val="sq-AL" w:bidi="ar-AE"/>
              </w:rPr>
              <w:t>. godine, ostvariti recikliranje 15 % težine plastične ambalaže;</w:t>
            </w:r>
          </w:p>
          <w:p w14:paraId="03EDFAB9" w14:textId="4BCCFB62" w:rsidR="00377063"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2030. godine, ostvariti recikliranje 22,5% težine plastične ambalaže;</w:t>
            </w:r>
          </w:p>
          <w:p w14:paraId="11D4C7BB" w14:textId="2CB9E818" w:rsidR="00BD4CCD" w:rsidRPr="00BD4CCD" w:rsidRDefault="00BD4CCD"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202</w:t>
            </w:r>
            <w:r>
              <w:rPr>
                <w:rFonts w:ascii="Arial" w:hAnsi="Arial" w:cs="Arial"/>
                <w:i/>
                <w:lang w:val="sq-AL" w:bidi="ar-AE"/>
              </w:rPr>
              <w:t>8</w:t>
            </w:r>
            <w:r w:rsidRPr="002A6F4E">
              <w:rPr>
                <w:rFonts w:ascii="Arial" w:hAnsi="Arial" w:cs="Arial"/>
                <w:i/>
                <w:lang w:val="sq-AL" w:bidi="ar-AE"/>
              </w:rPr>
              <w:t xml:space="preserve">. godine, ostvariti recikliranje 5% </w:t>
            </w:r>
            <w:r>
              <w:rPr>
                <w:rFonts w:ascii="Arial" w:hAnsi="Arial" w:cs="Arial"/>
                <w:i/>
                <w:lang w:val="sq-AL" w:bidi="ar-AE"/>
              </w:rPr>
              <w:t>drvne mase</w:t>
            </w:r>
            <w:r w:rsidRPr="002A6F4E">
              <w:rPr>
                <w:rFonts w:ascii="Arial" w:hAnsi="Arial" w:cs="Arial"/>
                <w:i/>
                <w:lang w:val="sq-AL" w:bidi="ar-AE"/>
              </w:rPr>
              <w:t>;</w:t>
            </w:r>
          </w:p>
          <w:p w14:paraId="45C27753" w14:textId="1E6C6C00"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do 2030. godine, ostvariti recikliranje 10% </w:t>
            </w:r>
            <w:r w:rsidR="00271491">
              <w:rPr>
                <w:rFonts w:ascii="Arial" w:hAnsi="Arial" w:cs="Arial"/>
                <w:i/>
                <w:lang w:val="sq-AL" w:bidi="ar-AE"/>
              </w:rPr>
              <w:t>drvne mase</w:t>
            </w:r>
            <w:r w:rsidRPr="002A6F4E">
              <w:rPr>
                <w:rFonts w:ascii="Arial" w:hAnsi="Arial" w:cs="Arial"/>
                <w:i/>
                <w:lang w:val="sq-AL" w:bidi="ar-AE"/>
              </w:rPr>
              <w:t>;</w:t>
            </w:r>
          </w:p>
          <w:p w14:paraId="54F9737D" w14:textId="019E9847"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202</w:t>
            </w:r>
            <w:r w:rsidR="0046763F">
              <w:rPr>
                <w:rFonts w:ascii="Arial" w:hAnsi="Arial" w:cs="Arial"/>
                <w:i/>
                <w:lang w:val="sq-AL" w:bidi="ar-AE"/>
              </w:rPr>
              <w:t>8</w:t>
            </w:r>
            <w:r w:rsidRPr="002A6F4E">
              <w:rPr>
                <w:rFonts w:ascii="Arial" w:hAnsi="Arial" w:cs="Arial"/>
                <w:i/>
                <w:lang w:val="sq-AL" w:bidi="ar-AE"/>
              </w:rPr>
              <w:t>. godine, 20% odvojeno sakupljenog kabastog otpada da bude ponovo upotrijebljeno/reciklirano;</w:t>
            </w:r>
          </w:p>
          <w:p w14:paraId="00D05A3B" w14:textId="23B45664"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2030. godine, 40% odvojeno sakupljenog kabastog otpada da bude pono</w:t>
            </w:r>
            <w:r w:rsidR="00705AA1">
              <w:rPr>
                <w:rFonts w:ascii="Arial" w:hAnsi="Arial" w:cs="Arial"/>
                <w:i/>
                <w:lang w:val="sq-AL" w:bidi="ar-AE"/>
              </w:rPr>
              <w:t>v</w:t>
            </w:r>
            <w:r w:rsidRPr="002A6F4E">
              <w:rPr>
                <w:rFonts w:ascii="Arial" w:hAnsi="Arial" w:cs="Arial"/>
                <w:i/>
                <w:lang w:val="sq-AL" w:bidi="ar-AE"/>
              </w:rPr>
              <w:t>o upotrijebljeno/reciklirano;</w:t>
            </w:r>
          </w:p>
          <w:bookmarkEnd w:id="1452"/>
          <w:p w14:paraId="57E06F5E" w14:textId="70A873B4" w:rsidR="0079508F" w:rsidRPr="00B078DC" w:rsidRDefault="00B078DC" w:rsidP="00A23ED0">
            <w:pPr>
              <w:pStyle w:val="ListParagraph"/>
              <w:numPr>
                <w:ilvl w:val="0"/>
                <w:numId w:val="89"/>
              </w:numPr>
              <w:spacing w:before="40" w:after="40" w:line="360" w:lineRule="auto"/>
              <w:ind w:left="749"/>
              <w:contextualSpacing w:val="0"/>
              <w:rPr>
                <w:rFonts w:ascii="Arial" w:hAnsi="Arial" w:cs="Arial"/>
                <w:i/>
                <w:lang w:val="sq-AL" w:bidi="ar-AE"/>
              </w:rPr>
            </w:pPr>
            <w:r>
              <w:rPr>
                <w:rFonts w:ascii="Arial" w:hAnsi="Arial" w:cs="Arial"/>
                <w:i/>
                <w:lang w:val="sq-AL" w:bidi="ar-AE"/>
              </w:rPr>
              <w:t>Do 01.01.2027. godine komunalni biootpad bude ponovo odvojeno sakupljen ili recikliran na izvor;</w:t>
            </w:r>
          </w:p>
          <w:p w14:paraId="3FDB1014" w14:textId="2FB56E69" w:rsidR="0079508F" w:rsidRPr="00705AA1" w:rsidRDefault="0079508F"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202</w:t>
            </w:r>
            <w:r w:rsidR="003015C3">
              <w:rPr>
                <w:rFonts w:ascii="Arial" w:hAnsi="Arial" w:cs="Arial"/>
                <w:i/>
                <w:lang w:val="sq-AL" w:bidi="ar-AE"/>
              </w:rPr>
              <w:t>7</w:t>
            </w:r>
            <w:r w:rsidRPr="002A6F4E">
              <w:rPr>
                <w:rFonts w:ascii="Arial" w:hAnsi="Arial" w:cs="Arial"/>
                <w:i/>
                <w:lang w:val="sq-AL" w:bidi="ar-AE"/>
              </w:rPr>
              <w:t xml:space="preserve">. godine </w:t>
            </w:r>
            <w:r w:rsidRPr="00B078DC">
              <w:rPr>
                <w:rFonts w:ascii="Arial" w:hAnsi="Arial" w:cs="Arial"/>
                <w:i/>
                <w:lang w:val="sq-AL" w:bidi="ar-AE"/>
              </w:rPr>
              <w:t xml:space="preserve">da 10% tekstila </w:t>
            </w:r>
            <w:r w:rsidR="00705AA1" w:rsidRPr="00B078DC">
              <w:rPr>
                <w:rFonts w:ascii="Arial" w:hAnsi="Arial" w:cs="Arial"/>
                <w:i/>
                <w:lang w:val="sq-AL" w:bidi="ar-AE"/>
              </w:rPr>
              <w:t>da</w:t>
            </w:r>
            <w:r w:rsidR="00705AA1" w:rsidRPr="002A6F4E">
              <w:rPr>
                <w:rFonts w:ascii="Arial" w:hAnsi="Arial" w:cs="Arial"/>
                <w:i/>
                <w:lang w:val="sq-AL" w:bidi="ar-AE"/>
              </w:rPr>
              <w:t xml:space="preserve"> bude ponovo upotrijebljeno/reciklirano;</w:t>
            </w:r>
          </w:p>
        </w:tc>
        <w:tc>
          <w:tcPr>
            <w:tcW w:w="1305" w:type="pct"/>
            <w:shd w:val="clear" w:color="auto" w:fill="EDEDED" w:themeFill="accent3" w:themeFillTint="33"/>
          </w:tcPr>
          <w:p w14:paraId="52049ED7" w14:textId="77777777" w:rsidR="00377063" w:rsidRPr="002A6F4E" w:rsidRDefault="00377063" w:rsidP="00FE289C">
            <w:pPr>
              <w:spacing w:before="40" w:after="40" w:line="360" w:lineRule="auto"/>
              <w:rPr>
                <w:rFonts w:ascii="Arial" w:hAnsi="Arial" w:cs="Arial"/>
                <w:b/>
                <w:lang w:val="sq-AL" w:bidi="ar-AE"/>
              </w:rPr>
            </w:pPr>
          </w:p>
        </w:tc>
      </w:tr>
      <w:tr w:rsidR="000F67ED" w:rsidRPr="002A6F4E" w14:paraId="5059D6EC" w14:textId="77777777" w:rsidTr="009754F4">
        <w:trPr>
          <w:jc w:val="center"/>
        </w:trPr>
        <w:tc>
          <w:tcPr>
            <w:tcW w:w="304" w:type="pct"/>
            <w:shd w:val="clear" w:color="auto" w:fill="auto"/>
          </w:tcPr>
          <w:p w14:paraId="5ACC970D"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4.1</w:t>
            </w:r>
          </w:p>
        </w:tc>
        <w:tc>
          <w:tcPr>
            <w:tcW w:w="518" w:type="pct"/>
            <w:shd w:val="clear" w:color="auto" w:fill="auto"/>
          </w:tcPr>
          <w:p w14:paraId="75CBB558"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PSSSS</w:t>
            </w:r>
          </w:p>
        </w:tc>
        <w:tc>
          <w:tcPr>
            <w:tcW w:w="1264" w:type="pct"/>
            <w:shd w:val="clear" w:color="auto" w:fill="auto"/>
          </w:tcPr>
          <w:p w14:paraId="22F8F931"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Studija:</w:t>
            </w:r>
          </w:p>
          <w:p w14:paraId="447C88F8" w14:textId="2525A103" w:rsidR="00377063" w:rsidRPr="002A6F4E" w:rsidRDefault="00377063" w:rsidP="00A23ED0">
            <w:pPr>
              <w:pStyle w:val="ListParagraph"/>
              <w:numPr>
                <w:ilvl w:val="0"/>
                <w:numId w:val="89"/>
              </w:numPr>
              <w:spacing w:before="40" w:after="40" w:line="360" w:lineRule="auto"/>
              <w:ind w:left="242" w:hanging="218"/>
              <w:rPr>
                <w:rFonts w:ascii="Arial" w:hAnsi="Arial" w:cs="Arial"/>
                <w:lang w:val="sq-AL" w:bidi="ar-AE"/>
              </w:rPr>
            </w:pPr>
            <w:r w:rsidRPr="002A6F4E">
              <w:rPr>
                <w:rFonts w:ascii="Arial" w:hAnsi="Arial" w:cs="Arial"/>
                <w:lang w:val="sq-AL" w:bidi="ar-AE"/>
              </w:rPr>
              <w:t>Utvrđivanja potrebnih kapaciteta za razvrstavanje i biološku obradu</w:t>
            </w:r>
            <w:r w:rsidR="003015C3">
              <w:rPr>
                <w:rFonts w:ascii="Arial" w:hAnsi="Arial" w:cs="Arial"/>
                <w:lang w:val="sq-AL" w:bidi="ar-AE"/>
              </w:rPr>
              <w:t xml:space="preserve"> otpada</w:t>
            </w:r>
            <w:r w:rsidRPr="002A6F4E">
              <w:rPr>
                <w:rFonts w:ascii="Arial" w:hAnsi="Arial" w:cs="Arial"/>
                <w:lang w:val="sq-AL" w:bidi="ar-AE"/>
              </w:rPr>
              <w:t xml:space="preserve">; </w:t>
            </w:r>
          </w:p>
          <w:p w14:paraId="789F6676" w14:textId="77777777" w:rsidR="00377063" w:rsidRPr="002A6F4E" w:rsidRDefault="00377063" w:rsidP="00A23ED0">
            <w:pPr>
              <w:pStyle w:val="ListParagraph"/>
              <w:numPr>
                <w:ilvl w:val="0"/>
                <w:numId w:val="89"/>
              </w:numPr>
              <w:spacing w:before="40" w:after="40" w:line="360" w:lineRule="auto"/>
              <w:ind w:left="242" w:hanging="218"/>
              <w:rPr>
                <w:rFonts w:ascii="Arial" w:hAnsi="Arial" w:cs="Arial"/>
                <w:lang w:val="sq-AL" w:bidi="ar-AE"/>
              </w:rPr>
            </w:pPr>
            <w:r w:rsidRPr="002A6F4E">
              <w:rPr>
                <w:rFonts w:ascii="Arial" w:hAnsi="Arial" w:cs="Arial"/>
                <w:lang w:val="sq-AL" w:bidi="ar-AE"/>
              </w:rPr>
              <w:lastRenderedPageBreak/>
              <w:t>Stavljanja sekundarnih proizvoda na tržište;</w:t>
            </w:r>
          </w:p>
          <w:p w14:paraId="162AAAF1" w14:textId="77777777" w:rsidR="00377063" w:rsidRPr="002A6F4E" w:rsidRDefault="00377063" w:rsidP="00A23ED0">
            <w:pPr>
              <w:pStyle w:val="ListParagraph"/>
              <w:numPr>
                <w:ilvl w:val="0"/>
                <w:numId w:val="89"/>
              </w:numPr>
              <w:spacing w:before="40" w:after="40" w:line="360" w:lineRule="auto"/>
              <w:ind w:left="242" w:hanging="218"/>
              <w:rPr>
                <w:rFonts w:ascii="Arial" w:hAnsi="Arial" w:cs="Arial"/>
                <w:lang w:val="sq-AL" w:bidi="ar-AE"/>
              </w:rPr>
            </w:pPr>
            <w:r w:rsidRPr="002A6F4E">
              <w:rPr>
                <w:rFonts w:ascii="Arial" w:hAnsi="Arial" w:cs="Arial"/>
                <w:lang w:val="sq-AL" w:bidi="ar-AE"/>
              </w:rPr>
              <w:t xml:space="preserve">Plana ocjene i nabavke opreme za kompostiranje u domaćinstvima; </w:t>
            </w:r>
          </w:p>
          <w:p w14:paraId="7DEC8C94" w14:textId="6EE173D8" w:rsidR="00377063" w:rsidRPr="002A6F4E" w:rsidRDefault="00377063" w:rsidP="00A23ED0">
            <w:pPr>
              <w:pStyle w:val="ListParagraph"/>
              <w:numPr>
                <w:ilvl w:val="0"/>
                <w:numId w:val="89"/>
              </w:numPr>
              <w:spacing w:before="40" w:after="40" w:line="360" w:lineRule="auto"/>
              <w:ind w:left="242" w:hanging="218"/>
              <w:rPr>
                <w:rFonts w:ascii="Arial" w:hAnsi="Arial" w:cs="Arial"/>
                <w:lang w:val="sq-AL" w:bidi="ar-AE"/>
              </w:rPr>
            </w:pPr>
            <w:r w:rsidRPr="002A6F4E">
              <w:rPr>
                <w:rFonts w:ascii="Arial" w:hAnsi="Arial" w:cs="Arial"/>
                <w:lang w:val="sq-AL" w:bidi="ar-AE"/>
              </w:rPr>
              <w:t>Izrade smjernic</w:t>
            </w:r>
            <w:r w:rsidR="00270CFD">
              <w:rPr>
                <w:rFonts w:ascii="Arial" w:hAnsi="Arial" w:cs="Arial"/>
                <w:lang w:val="sq-AL" w:bidi="ar-AE"/>
              </w:rPr>
              <w:t>a</w:t>
            </w:r>
            <w:r w:rsidRPr="002A6F4E">
              <w:rPr>
                <w:rFonts w:ascii="Arial" w:hAnsi="Arial" w:cs="Arial"/>
                <w:lang w:val="sq-AL" w:bidi="ar-AE"/>
              </w:rPr>
              <w:t xml:space="preserve"> za unapr</w:t>
            </w:r>
            <w:r w:rsidR="00B46B69">
              <w:rPr>
                <w:rFonts w:ascii="Arial" w:hAnsi="Arial" w:cs="Arial"/>
                <w:lang w:val="sq-AL" w:bidi="ar-AE"/>
              </w:rPr>
              <w:t>j</w:t>
            </w:r>
            <w:r w:rsidRPr="002A6F4E">
              <w:rPr>
                <w:rFonts w:ascii="Arial" w:hAnsi="Arial" w:cs="Arial"/>
                <w:lang w:val="sq-AL" w:bidi="ar-AE"/>
              </w:rPr>
              <w:t>eđenje postoj</w:t>
            </w:r>
            <w:r w:rsidR="00270CFD">
              <w:rPr>
                <w:rFonts w:ascii="Arial" w:hAnsi="Arial" w:cs="Arial"/>
                <w:lang w:val="sq-AL" w:bidi="ar-AE"/>
              </w:rPr>
              <w:t>eći</w:t>
            </w:r>
            <w:r w:rsidRPr="002A6F4E">
              <w:rPr>
                <w:rFonts w:ascii="Arial" w:hAnsi="Arial" w:cs="Arial"/>
                <w:lang w:val="sq-AL" w:bidi="ar-AE"/>
              </w:rPr>
              <w:t>h i novih postrojenja za razvrstavanje i kompostiranje.</w:t>
            </w:r>
          </w:p>
          <w:p w14:paraId="76DA1055" w14:textId="77777777" w:rsidR="00377063" w:rsidRPr="002A6F4E" w:rsidRDefault="00377063" w:rsidP="00A23ED0">
            <w:pPr>
              <w:pStyle w:val="ListParagraph"/>
              <w:numPr>
                <w:ilvl w:val="0"/>
                <w:numId w:val="89"/>
              </w:numPr>
              <w:spacing w:before="40" w:after="40" w:line="360" w:lineRule="auto"/>
              <w:ind w:left="242" w:hanging="218"/>
              <w:rPr>
                <w:rFonts w:ascii="Arial" w:hAnsi="Arial" w:cs="Arial"/>
                <w:lang w:val="sq-AL" w:bidi="ar-AE"/>
              </w:rPr>
            </w:pPr>
            <w:r w:rsidRPr="002A6F4E">
              <w:rPr>
                <w:rFonts w:ascii="Arial" w:hAnsi="Arial" w:cs="Arial"/>
                <w:lang w:val="sq-AL" w:bidi="ar-AE"/>
              </w:rPr>
              <w:t>Integracije neformalnog sektora</w:t>
            </w:r>
          </w:p>
        </w:tc>
        <w:tc>
          <w:tcPr>
            <w:tcW w:w="1101" w:type="pct"/>
            <w:shd w:val="clear" w:color="auto" w:fill="auto"/>
          </w:tcPr>
          <w:p w14:paraId="26B195C6" w14:textId="00C0DDC5"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lastRenderedPageBreak/>
              <w:t>MERS</w:t>
            </w:r>
            <w:r w:rsidR="00203D94">
              <w:rPr>
                <w:rFonts w:ascii="Arial" w:hAnsi="Arial" w:cs="Arial"/>
                <w:lang w:val="sq-AL"/>
              </w:rPr>
              <w:t>/ Jedinice lokalnih samouprava</w:t>
            </w:r>
          </w:p>
        </w:tc>
        <w:tc>
          <w:tcPr>
            <w:tcW w:w="508" w:type="pct"/>
            <w:shd w:val="clear" w:color="auto" w:fill="auto"/>
          </w:tcPr>
          <w:p w14:paraId="05CBA161" w14:textId="52F48C96"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w:t>
            </w:r>
            <w:r w:rsidR="00270CFD">
              <w:rPr>
                <w:rFonts w:ascii="Arial" w:hAnsi="Arial" w:cs="Arial"/>
                <w:lang w:val="sq-AL" w:bidi="ar-AE"/>
              </w:rPr>
              <w:t>6</w:t>
            </w:r>
            <w:r w:rsidRPr="002A6F4E">
              <w:rPr>
                <w:rFonts w:ascii="Arial" w:hAnsi="Arial" w:cs="Arial"/>
                <w:lang w:val="sq-AL" w:bidi="ar-AE"/>
              </w:rPr>
              <w:t>-202</w:t>
            </w:r>
            <w:r w:rsidR="00270CFD">
              <w:rPr>
                <w:rFonts w:ascii="Arial" w:hAnsi="Arial" w:cs="Arial"/>
                <w:lang w:val="sq-AL" w:bidi="ar-AE"/>
              </w:rPr>
              <w:t>7</w:t>
            </w:r>
            <w:r w:rsidRPr="002A6F4E">
              <w:rPr>
                <w:rFonts w:ascii="Arial" w:hAnsi="Arial" w:cs="Arial"/>
                <w:lang w:val="sq-AL" w:bidi="ar-AE"/>
              </w:rPr>
              <w:t>.</w:t>
            </w:r>
          </w:p>
        </w:tc>
        <w:tc>
          <w:tcPr>
            <w:tcW w:w="1305" w:type="pct"/>
          </w:tcPr>
          <w:p w14:paraId="6FFAAE8C" w14:textId="29E5EB1E" w:rsidR="00377063" w:rsidRPr="002A6F4E" w:rsidRDefault="00377063" w:rsidP="00203D94">
            <w:pPr>
              <w:spacing w:before="40" w:after="40" w:line="360" w:lineRule="auto"/>
              <w:rPr>
                <w:rFonts w:ascii="Arial" w:hAnsi="Arial" w:cs="Arial"/>
                <w:lang w:val="sq-AL" w:bidi="ar-AE"/>
              </w:rPr>
            </w:pPr>
            <w:r w:rsidRPr="002A6F4E">
              <w:rPr>
                <w:rFonts w:ascii="Arial" w:hAnsi="Arial" w:cs="Arial"/>
                <w:lang w:val="sq-AL" w:bidi="ar-AE"/>
              </w:rPr>
              <w:t>Državni budžet</w:t>
            </w:r>
            <w:r w:rsidR="00270CFD">
              <w:rPr>
                <w:rFonts w:ascii="Arial" w:hAnsi="Arial" w:cs="Arial"/>
                <w:lang w:val="sq-AL" w:bidi="ar-AE"/>
              </w:rPr>
              <w:t>/</w:t>
            </w:r>
            <w:r w:rsidR="00203D94" w:rsidRPr="00B46B69">
              <w:rPr>
                <w:rFonts w:ascii="Arial" w:hAnsi="Arial" w:cs="Arial"/>
                <w:lang w:val="sq-AL" w:bidi="ar-AE"/>
              </w:rPr>
              <w:t>Bud</w:t>
            </w:r>
            <w:r w:rsidR="00B46B69">
              <w:rPr>
                <w:rFonts w:ascii="Arial" w:hAnsi="Arial" w:cs="Arial"/>
                <w:lang w:val="sq-AL" w:bidi="ar-AE"/>
              </w:rPr>
              <w:t>ž</w:t>
            </w:r>
            <w:r w:rsidR="00203D94" w:rsidRPr="00B46B69">
              <w:rPr>
                <w:rFonts w:ascii="Arial" w:hAnsi="Arial" w:cs="Arial"/>
                <w:lang w:val="sq-AL" w:bidi="ar-AE"/>
              </w:rPr>
              <w:t>et jedinica lokalne samouprave/</w:t>
            </w:r>
          </w:p>
          <w:p w14:paraId="7F07266B" w14:textId="0FA0BB62"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Donatori</w:t>
            </w:r>
            <w:r w:rsidR="00270CFD">
              <w:rPr>
                <w:rFonts w:ascii="Arial" w:hAnsi="Arial" w:cs="Arial"/>
                <w:lang w:val="sq-AL" w:bidi="ar-AE"/>
              </w:rPr>
              <w:t>/</w:t>
            </w:r>
            <w:r w:rsidR="00270CFD">
              <w:rPr>
                <w:rFonts w:ascii="Arial" w:hAnsi="Arial" w:cs="Arial"/>
                <w:lang w:bidi="ar-AE"/>
              </w:rPr>
              <w:t xml:space="preserve"> Međunarodne finansijske institucije</w:t>
            </w:r>
          </w:p>
        </w:tc>
      </w:tr>
      <w:tr w:rsidR="000F67ED" w:rsidRPr="002A6F4E" w14:paraId="36EC0A2D" w14:textId="77777777" w:rsidTr="009754F4">
        <w:trPr>
          <w:jc w:val="center"/>
        </w:trPr>
        <w:tc>
          <w:tcPr>
            <w:tcW w:w="304" w:type="pct"/>
            <w:shd w:val="clear" w:color="auto" w:fill="auto"/>
          </w:tcPr>
          <w:p w14:paraId="70F3F0B3" w14:textId="5B860E38"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EE7C0A">
              <w:rPr>
                <w:rFonts w:ascii="Arial" w:hAnsi="Arial" w:cs="Arial"/>
                <w:lang w:val="sq-AL" w:bidi="ar-AE"/>
              </w:rPr>
              <w:t>2</w:t>
            </w:r>
          </w:p>
        </w:tc>
        <w:tc>
          <w:tcPr>
            <w:tcW w:w="518" w:type="pct"/>
            <w:shd w:val="clear" w:color="auto" w:fill="auto"/>
          </w:tcPr>
          <w:p w14:paraId="5965EDCD"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IM</w:t>
            </w:r>
          </w:p>
        </w:tc>
        <w:tc>
          <w:tcPr>
            <w:tcW w:w="1264" w:type="pct"/>
            <w:shd w:val="clear" w:color="auto" w:fill="auto"/>
          </w:tcPr>
          <w:p w14:paraId="3660A52B"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Izgraditi kapacitete za recikliranje</w:t>
            </w:r>
          </w:p>
        </w:tc>
        <w:tc>
          <w:tcPr>
            <w:tcW w:w="1101" w:type="pct"/>
            <w:shd w:val="clear" w:color="auto" w:fill="auto"/>
          </w:tcPr>
          <w:p w14:paraId="34AD3857" w14:textId="277E4E92" w:rsidR="00377063" w:rsidRPr="002A6F4E" w:rsidRDefault="00203D94" w:rsidP="00FE289C">
            <w:pPr>
              <w:spacing w:before="40" w:after="40" w:line="360" w:lineRule="auto"/>
              <w:rPr>
                <w:rFonts w:ascii="Arial" w:hAnsi="Arial" w:cs="Arial"/>
                <w:lang w:val="sq-AL" w:bidi="ar-AE"/>
              </w:rPr>
            </w:pPr>
            <w:r>
              <w:rPr>
                <w:rFonts w:ascii="Arial" w:hAnsi="Arial" w:cs="Arial"/>
                <w:lang w:val="sq-AL" w:bidi="ar-AE"/>
              </w:rPr>
              <w:t>Jedinice lokalnih samouprava/</w:t>
            </w:r>
            <w:r w:rsidR="00377063" w:rsidRPr="002A6F4E">
              <w:rPr>
                <w:rFonts w:ascii="Arial" w:hAnsi="Arial" w:cs="Arial"/>
                <w:lang w:val="sq-AL"/>
              </w:rPr>
              <w:t>MERS</w:t>
            </w:r>
            <w:r w:rsidR="00377063" w:rsidRPr="002A6F4E">
              <w:rPr>
                <w:rFonts w:ascii="Arial" w:hAnsi="Arial" w:cs="Arial"/>
                <w:lang w:val="sq-AL" w:bidi="ar-AE"/>
              </w:rPr>
              <w:t xml:space="preserve">  </w:t>
            </w:r>
          </w:p>
        </w:tc>
        <w:tc>
          <w:tcPr>
            <w:tcW w:w="508" w:type="pct"/>
            <w:shd w:val="clear" w:color="auto" w:fill="auto"/>
          </w:tcPr>
          <w:p w14:paraId="745733A6" w14:textId="5D99FE8B"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w:t>
            </w:r>
            <w:r w:rsidR="00203D94">
              <w:rPr>
                <w:rFonts w:ascii="Arial" w:hAnsi="Arial" w:cs="Arial"/>
                <w:lang w:val="sq-AL" w:bidi="ar-AE"/>
              </w:rPr>
              <w:t>5</w:t>
            </w:r>
            <w:r w:rsidR="00C77E15">
              <w:rPr>
                <w:rFonts w:ascii="Arial" w:hAnsi="Arial" w:cs="Arial"/>
                <w:lang w:val="sq-AL" w:bidi="ar-AE"/>
              </w:rPr>
              <w:t>-</w:t>
            </w:r>
            <w:r w:rsidRPr="002A6F4E">
              <w:rPr>
                <w:rFonts w:ascii="Arial" w:hAnsi="Arial" w:cs="Arial"/>
                <w:lang w:val="sq-AL" w:bidi="ar-AE"/>
              </w:rPr>
              <w:t>202</w:t>
            </w:r>
            <w:r w:rsidR="00203D94">
              <w:rPr>
                <w:rFonts w:ascii="Arial" w:hAnsi="Arial" w:cs="Arial"/>
                <w:lang w:val="sq-AL" w:bidi="ar-AE"/>
              </w:rPr>
              <w:t>8</w:t>
            </w:r>
            <w:r w:rsidRPr="002A6F4E">
              <w:rPr>
                <w:rFonts w:ascii="Arial" w:hAnsi="Arial" w:cs="Arial"/>
                <w:lang w:val="sq-AL" w:bidi="ar-AE"/>
              </w:rPr>
              <w:t>.</w:t>
            </w:r>
          </w:p>
        </w:tc>
        <w:tc>
          <w:tcPr>
            <w:tcW w:w="1305" w:type="pct"/>
          </w:tcPr>
          <w:p w14:paraId="50656389" w14:textId="2A5101DA"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Državni budžet</w:t>
            </w:r>
            <w:r w:rsidR="00EE7C0A">
              <w:rPr>
                <w:rFonts w:ascii="Arial" w:hAnsi="Arial" w:cs="Arial"/>
                <w:lang w:val="sq-AL" w:bidi="ar-AE"/>
              </w:rPr>
              <w:t>/</w:t>
            </w:r>
            <w:r w:rsidR="00203D94" w:rsidRPr="00B46B69">
              <w:rPr>
                <w:rFonts w:ascii="Arial" w:hAnsi="Arial" w:cs="Arial"/>
                <w:lang w:val="sq-AL" w:bidi="ar-AE"/>
              </w:rPr>
              <w:t>Budžet jedinica lokalne samouprava/</w:t>
            </w:r>
          </w:p>
          <w:p w14:paraId="5CA85EE7" w14:textId="272217D5"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Donatori</w:t>
            </w:r>
            <w:r w:rsidR="00EE7C0A">
              <w:rPr>
                <w:rFonts w:ascii="Arial" w:hAnsi="Arial" w:cs="Arial"/>
                <w:lang w:val="sq-AL" w:bidi="ar-AE"/>
              </w:rPr>
              <w:t>/</w:t>
            </w:r>
          </w:p>
          <w:p w14:paraId="424D9F7B" w14:textId="2EF87120"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EPR Sistem</w:t>
            </w:r>
            <w:r w:rsidR="00EE7C0A">
              <w:rPr>
                <w:rFonts w:ascii="Arial" w:hAnsi="Arial" w:cs="Arial"/>
                <w:lang w:val="sq-AL" w:bidi="ar-AE"/>
              </w:rPr>
              <w:t>/</w:t>
            </w:r>
            <w:r w:rsidR="00EE7C0A">
              <w:rPr>
                <w:rFonts w:ascii="Arial" w:hAnsi="Arial" w:cs="Arial"/>
                <w:lang w:bidi="ar-AE"/>
              </w:rPr>
              <w:t xml:space="preserve"> Međunarodne finansijske institucije</w:t>
            </w:r>
          </w:p>
        </w:tc>
      </w:tr>
      <w:tr w:rsidR="000F67ED" w:rsidRPr="002A6F4E" w14:paraId="560A4BC7" w14:textId="77777777" w:rsidTr="009754F4">
        <w:trPr>
          <w:jc w:val="center"/>
        </w:trPr>
        <w:tc>
          <w:tcPr>
            <w:tcW w:w="304" w:type="pct"/>
            <w:shd w:val="clear" w:color="auto" w:fill="auto"/>
          </w:tcPr>
          <w:p w14:paraId="66D83808" w14:textId="469C3653"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452F6D">
              <w:rPr>
                <w:rFonts w:ascii="Arial" w:hAnsi="Arial" w:cs="Arial"/>
                <w:lang w:val="sq-AL" w:bidi="ar-AE"/>
              </w:rPr>
              <w:t>3</w:t>
            </w:r>
          </w:p>
        </w:tc>
        <w:tc>
          <w:tcPr>
            <w:tcW w:w="518" w:type="pct"/>
            <w:shd w:val="clear" w:color="auto" w:fill="auto"/>
          </w:tcPr>
          <w:p w14:paraId="0FEA759B"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FM</w:t>
            </w:r>
          </w:p>
        </w:tc>
        <w:tc>
          <w:tcPr>
            <w:tcW w:w="1264" w:type="pct"/>
            <w:shd w:val="clear" w:color="auto" w:fill="auto"/>
          </w:tcPr>
          <w:p w14:paraId="30AE87F6"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 xml:space="preserve">Uspostavljanje motivacionih mjera za </w:t>
            </w:r>
            <w:r w:rsidRPr="002A6F4E">
              <w:rPr>
                <w:rFonts w:ascii="Arial" w:hAnsi="Arial" w:cs="Arial"/>
                <w:lang w:val="sr-Latn-ME"/>
              </w:rPr>
              <w:t>jedinice lokalnih samouprava</w:t>
            </w:r>
            <w:r w:rsidRPr="002A6F4E">
              <w:rPr>
                <w:rFonts w:ascii="Arial" w:hAnsi="Arial" w:cs="Arial"/>
                <w:lang w:val="sq-AL" w:bidi="ar-AE"/>
              </w:rPr>
              <w:t xml:space="preserve"> koje postižu visok nivo recikliranja</w:t>
            </w:r>
          </w:p>
        </w:tc>
        <w:tc>
          <w:tcPr>
            <w:tcW w:w="1101" w:type="pct"/>
            <w:shd w:val="clear" w:color="auto" w:fill="auto"/>
          </w:tcPr>
          <w:p w14:paraId="32A2BB3D" w14:textId="77C6FA54"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 xml:space="preserve"> /</w:t>
            </w:r>
            <w:r w:rsidR="00203D94">
              <w:rPr>
                <w:rFonts w:ascii="Arial" w:hAnsi="Arial" w:cs="Arial"/>
                <w:lang w:val="sq-AL" w:bidi="ar-AE"/>
              </w:rPr>
              <w:t>Jedinice lokalnih samouprava/</w:t>
            </w:r>
            <w:r w:rsidRPr="002A6F4E">
              <w:rPr>
                <w:rFonts w:ascii="Arial" w:hAnsi="Arial" w:cs="Arial"/>
                <w:lang w:val="sq-AL" w:bidi="ar-AE"/>
              </w:rPr>
              <w:t>MF</w:t>
            </w:r>
          </w:p>
        </w:tc>
        <w:tc>
          <w:tcPr>
            <w:tcW w:w="508" w:type="pct"/>
            <w:shd w:val="clear" w:color="auto" w:fill="auto"/>
          </w:tcPr>
          <w:p w14:paraId="27F5E8F4" w14:textId="1966DE15" w:rsidR="00377063" w:rsidRPr="002A6F4E" w:rsidRDefault="00377063" w:rsidP="00F858D9">
            <w:pPr>
              <w:spacing w:before="40" w:after="40" w:line="360" w:lineRule="auto"/>
              <w:rPr>
                <w:rFonts w:ascii="Arial" w:hAnsi="Arial" w:cs="Arial"/>
                <w:lang w:val="sq-AL" w:bidi="ar-AE"/>
              </w:rPr>
            </w:pPr>
            <w:r w:rsidRPr="002A6F4E">
              <w:rPr>
                <w:rFonts w:ascii="Arial" w:hAnsi="Arial" w:cs="Arial"/>
                <w:lang w:val="sq-AL" w:bidi="ar-AE"/>
              </w:rPr>
              <w:t>2025</w:t>
            </w:r>
            <w:r w:rsidR="00C77E15">
              <w:rPr>
                <w:rFonts w:ascii="Arial" w:hAnsi="Arial" w:cs="Arial"/>
                <w:lang w:val="sq-AL" w:bidi="ar-AE"/>
              </w:rPr>
              <w:t>-</w:t>
            </w:r>
            <w:r w:rsidR="00F858D9" w:rsidRPr="002A6F4E">
              <w:rPr>
                <w:rFonts w:ascii="Arial" w:hAnsi="Arial" w:cs="Arial"/>
                <w:lang w:val="sq-AL" w:bidi="ar-AE"/>
              </w:rPr>
              <w:t>2029</w:t>
            </w:r>
            <w:r w:rsidRPr="002A6F4E">
              <w:rPr>
                <w:rFonts w:ascii="Arial" w:hAnsi="Arial" w:cs="Arial"/>
                <w:lang w:val="sq-AL" w:bidi="ar-AE"/>
              </w:rPr>
              <w:t>.</w:t>
            </w:r>
          </w:p>
        </w:tc>
        <w:tc>
          <w:tcPr>
            <w:tcW w:w="1305" w:type="pct"/>
          </w:tcPr>
          <w:p w14:paraId="18C67853" w14:textId="579979FC" w:rsidR="00203D94" w:rsidRPr="00203D94" w:rsidRDefault="002524B4" w:rsidP="00203D94">
            <w:pPr>
              <w:spacing w:before="40" w:after="40" w:line="360" w:lineRule="auto"/>
              <w:rPr>
                <w:rFonts w:ascii="Arial" w:hAnsi="Arial" w:cs="Arial"/>
                <w:lang w:val="sq-AL" w:bidi="ar-AE"/>
              </w:rPr>
            </w:pPr>
            <w:r>
              <w:rPr>
                <w:rFonts w:ascii="Arial" w:hAnsi="Arial" w:cs="Arial"/>
                <w:lang w:val="sq-AL" w:bidi="ar-AE"/>
              </w:rPr>
              <w:t>Eko Fond</w:t>
            </w:r>
            <w:r w:rsidR="00203D94">
              <w:rPr>
                <w:rFonts w:ascii="Arial" w:hAnsi="Arial" w:cs="Arial"/>
                <w:lang w:val="sq-AL" w:bidi="ar-AE"/>
              </w:rPr>
              <w:t>/</w:t>
            </w:r>
            <w:r w:rsidR="00203D94" w:rsidRPr="00203D94">
              <w:rPr>
                <w:rFonts w:ascii="Arial" w:hAnsi="Arial" w:cs="Arial"/>
                <w:lang w:val="sq-AL" w:bidi="ar-AE"/>
              </w:rPr>
              <w:t>Donatori/</w:t>
            </w:r>
          </w:p>
          <w:p w14:paraId="1FF6B1A8" w14:textId="5FF9D11D" w:rsidR="00377063" w:rsidRPr="002A6F4E" w:rsidRDefault="00203D94" w:rsidP="00203D94">
            <w:pPr>
              <w:spacing w:before="40" w:after="40" w:line="360" w:lineRule="auto"/>
              <w:rPr>
                <w:rFonts w:ascii="Arial" w:hAnsi="Arial" w:cs="Arial"/>
                <w:lang w:val="sq-AL" w:bidi="ar-AE"/>
              </w:rPr>
            </w:pPr>
            <w:r w:rsidRPr="00203D94">
              <w:rPr>
                <w:rFonts w:ascii="Arial" w:hAnsi="Arial" w:cs="Arial"/>
                <w:lang w:val="sq-AL" w:bidi="ar-AE"/>
              </w:rPr>
              <w:t>/Međunarodne finansijske institucije</w:t>
            </w:r>
          </w:p>
        </w:tc>
      </w:tr>
      <w:tr w:rsidR="00377063" w:rsidRPr="0014164F" w14:paraId="2D3E5871" w14:textId="77777777" w:rsidTr="009754F4">
        <w:trPr>
          <w:jc w:val="center"/>
        </w:trPr>
        <w:tc>
          <w:tcPr>
            <w:tcW w:w="3695" w:type="pct"/>
            <w:gridSpan w:val="5"/>
            <w:shd w:val="clear" w:color="auto" w:fill="EDEDED" w:themeFill="accent3" w:themeFillTint="33"/>
          </w:tcPr>
          <w:p w14:paraId="6409F1A6" w14:textId="20D76618" w:rsidR="00377063" w:rsidRPr="002A6F4E" w:rsidRDefault="00377063" w:rsidP="00FE289C">
            <w:pPr>
              <w:spacing w:before="40" w:after="40" w:line="360" w:lineRule="auto"/>
              <w:rPr>
                <w:rFonts w:ascii="Arial" w:hAnsi="Arial" w:cs="Arial"/>
                <w:b/>
                <w:bCs/>
                <w:i/>
                <w:lang w:val="sq-AL" w:bidi="ar-AE"/>
              </w:rPr>
            </w:pPr>
            <w:bookmarkStart w:id="1453" w:name="_Hlk121751201"/>
            <w:r w:rsidRPr="002A6F4E">
              <w:rPr>
                <w:rFonts w:ascii="Arial" w:hAnsi="Arial" w:cs="Arial"/>
                <w:b/>
                <w:lang w:val="sq-AL" w:bidi="ar-AE"/>
              </w:rPr>
              <w:t>Posebni cilj II</w:t>
            </w:r>
            <w:r w:rsidRPr="002A6F4E">
              <w:rPr>
                <w:rFonts w:ascii="Arial" w:hAnsi="Arial" w:cs="Arial"/>
                <w:bCs/>
                <w:lang w:val="sq-AL" w:bidi="ar-AE"/>
              </w:rPr>
              <w:t xml:space="preserve">: </w:t>
            </w:r>
            <w:r w:rsidRPr="002A6F4E">
              <w:rPr>
                <w:rFonts w:ascii="Arial" w:hAnsi="Arial" w:cs="Arial"/>
                <w:b/>
                <w:i/>
                <w:iCs/>
                <w:lang w:val="sq-AL" w:bidi="ar-AE"/>
              </w:rPr>
              <w:t>Crna Gora uveliko je usredsređena na sprečavanje generisanja otpad</w:t>
            </w:r>
            <w:r w:rsidR="003E6442">
              <w:rPr>
                <w:rFonts w:ascii="Arial" w:hAnsi="Arial" w:cs="Arial"/>
                <w:b/>
                <w:i/>
                <w:iCs/>
                <w:lang w:val="sq-AL" w:bidi="ar-AE"/>
              </w:rPr>
              <w:t>a</w:t>
            </w:r>
            <w:r w:rsidRPr="002A6F4E">
              <w:rPr>
                <w:rFonts w:ascii="Arial" w:hAnsi="Arial" w:cs="Arial"/>
                <w:b/>
                <w:i/>
                <w:iCs/>
                <w:lang w:val="sq-AL" w:bidi="ar-AE"/>
              </w:rPr>
              <w:t>, time što ulaže u koncept cirkularne ekonomije radi pokretanja održivog, inkluzivnog ekonomskog rasta i razvoja u sektoru otpada, pritom smanjujući uticaje koje otpad ima na životnu sredinu i društvo:</w:t>
            </w:r>
          </w:p>
          <w:p w14:paraId="6C885DC5" w14:textId="3B6BC50F" w:rsidR="00377063" w:rsidRPr="002A6F4E" w:rsidRDefault="00377063" w:rsidP="00A23ED0">
            <w:pPr>
              <w:pStyle w:val="ListParagraph"/>
              <w:numPr>
                <w:ilvl w:val="0"/>
                <w:numId w:val="89"/>
              </w:numPr>
              <w:spacing w:before="40" w:after="40" w:line="360" w:lineRule="auto"/>
              <w:rPr>
                <w:rFonts w:ascii="Arial" w:hAnsi="Arial" w:cs="Arial"/>
                <w:i/>
                <w:lang w:val="sq-AL" w:bidi="ar-AE"/>
              </w:rPr>
            </w:pPr>
            <w:r w:rsidRPr="002A6F4E">
              <w:rPr>
                <w:rFonts w:ascii="Arial" w:hAnsi="Arial" w:cs="Arial"/>
                <w:i/>
                <w:lang w:val="sq-AL" w:bidi="ar-AE"/>
              </w:rPr>
              <w:t>promovisanje cirkularn</w:t>
            </w:r>
            <w:r w:rsidR="003E6442">
              <w:rPr>
                <w:rFonts w:ascii="Arial" w:hAnsi="Arial" w:cs="Arial"/>
                <w:i/>
                <w:lang w:val="sq-AL" w:bidi="ar-AE"/>
              </w:rPr>
              <w:t>ih</w:t>
            </w:r>
            <w:r w:rsidRPr="002A6F4E">
              <w:rPr>
                <w:rFonts w:ascii="Arial" w:hAnsi="Arial" w:cs="Arial"/>
                <w:i/>
                <w:lang w:val="sq-AL" w:bidi="ar-AE"/>
              </w:rPr>
              <w:t xml:space="preserve"> </w:t>
            </w:r>
            <w:r w:rsidR="003E6442">
              <w:rPr>
                <w:rFonts w:ascii="Arial" w:hAnsi="Arial" w:cs="Arial"/>
                <w:i/>
                <w:lang w:val="sq-AL" w:bidi="ar-AE"/>
              </w:rPr>
              <w:t>principa</w:t>
            </w:r>
            <w:r w:rsidRPr="002A6F4E">
              <w:rPr>
                <w:rFonts w:ascii="Arial" w:hAnsi="Arial" w:cs="Arial"/>
                <w:i/>
                <w:lang w:val="sq-AL" w:bidi="ar-AE"/>
              </w:rPr>
              <w:t>, podizanja svijesti, te obezbjeđivanje alata građanima u cilju pomjeranja sa linearnog na cirkularni model ponašanja i potrošnje</w:t>
            </w:r>
            <w:r w:rsidR="003E6442">
              <w:rPr>
                <w:rFonts w:ascii="Arial" w:hAnsi="Arial" w:cs="Arial"/>
                <w:i/>
                <w:lang w:val="sq-AL" w:bidi="ar-AE"/>
              </w:rPr>
              <w:t>,</w:t>
            </w:r>
          </w:p>
          <w:p w14:paraId="4682410F" w14:textId="77777777" w:rsidR="00377063" w:rsidRPr="002A6F4E" w:rsidRDefault="00377063" w:rsidP="00A23ED0">
            <w:pPr>
              <w:pStyle w:val="ListParagraph"/>
              <w:numPr>
                <w:ilvl w:val="0"/>
                <w:numId w:val="89"/>
              </w:numPr>
              <w:spacing w:before="40" w:after="40" w:line="360" w:lineRule="auto"/>
              <w:rPr>
                <w:rFonts w:ascii="Arial" w:hAnsi="Arial" w:cs="Arial"/>
                <w:i/>
                <w:lang w:val="sq-AL" w:bidi="ar-AE"/>
              </w:rPr>
            </w:pPr>
            <w:r w:rsidRPr="002A6F4E">
              <w:rPr>
                <w:rFonts w:ascii="Arial" w:hAnsi="Arial" w:cs="Arial"/>
                <w:i/>
                <w:lang w:val="sq-AL" w:bidi="ar-AE"/>
              </w:rPr>
              <w:t>donošenje ciljeva za smanjenje otpada za posebne tokove:</w:t>
            </w:r>
          </w:p>
          <w:p w14:paraId="0E06A4E9" w14:textId="49F979B0" w:rsidR="00377063" w:rsidRPr="002A6F4E" w:rsidRDefault="00377063" w:rsidP="00A23ED0">
            <w:pPr>
              <w:pStyle w:val="ListParagraph"/>
              <w:numPr>
                <w:ilvl w:val="1"/>
                <w:numId w:val="89"/>
              </w:numPr>
              <w:spacing w:before="40" w:after="40" w:line="360" w:lineRule="auto"/>
              <w:contextualSpacing w:val="0"/>
              <w:rPr>
                <w:rFonts w:ascii="Arial" w:hAnsi="Arial" w:cs="Arial"/>
                <w:i/>
                <w:lang w:val="sq-AL" w:bidi="ar-AE"/>
              </w:rPr>
            </w:pPr>
            <w:r w:rsidRPr="002A6F4E">
              <w:rPr>
                <w:rFonts w:ascii="Arial" w:hAnsi="Arial" w:cs="Arial"/>
                <w:i/>
                <w:lang w:val="sq-AL" w:bidi="ar-AE"/>
              </w:rPr>
              <w:t xml:space="preserve">Do </w:t>
            </w:r>
            <w:r w:rsidR="00F858D9" w:rsidRPr="002A6F4E">
              <w:rPr>
                <w:rFonts w:ascii="Arial" w:hAnsi="Arial" w:cs="Arial"/>
                <w:i/>
                <w:lang w:val="sq-AL" w:bidi="ar-AE"/>
              </w:rPr>
              <w:t>2029</w:t>
            </w:r>
            <w:r w:rsidRPr="002A6F4E">
              <w:rPr>
                <w:rFonts w:ascii="Arial" w:hAnsi="Arial" w:cs="Arial"/>
                <w:i/>
                <w:lang w:val="sq-AL" w:bidi="ar-AE"/>
              </w:rPr>
              <w:t xml:space="preserve">. godine, 15% smanjenja otpada od hrane po glavi stanovnika (uključujući </w:t>
            </w:r>
            <w:r w:rsidR="003E6442">
              <w:rPr>
                <w:rFonts w:ascii="Arial" w:hAnsi="Arial" w:cs="Arial"/>
                <w:i/>
                <w:lang w:val="sq-AL" w:bidi="ar-AE"/>
              </w:rPr>
              <w:t>k</w:t>
            </w:r>
            <w:r w:rsidRPr="002A6F4E">
              <w:rPr>
                <w:rFonts w:ascii="Arial" w:hAnsi="Arial" w:cs="Arial"/>
                <w:i/>
                <w:lang w:val="sq-AL" w:bidi="ar-AE"/>
              </w:rPr>
              <w:t>ompostiranje u domaćinstvu 4% biootpada do 202</w:t>
            </w:r>
            <w:r w:rsidR="003E6442">
              <w:rPr>
                <w:rFonts w:ascii="Arial" w:hAnsi="Arial" w:cs="Arial"/>
                <w:i/>
                <w:lang w:val="sq-AL" w:bidi="ar-AE"/>
              </w:rPr>
              <w:t>6</w:t>
            </w:r>
            <w:r w:rsidRPr="002A6F4E">
              <w:rPr>
                <w:rFonts w:ascii="Arial" w:hAnsi="Arial" w:cs="Arial"/>
                <w:i/>
                <w:lang w:val="sq-AL" w:bidi="ar-AE"/>
              </w:rPr>
              <w:t>. godine)</w:t>
            </w:r>
            <w:r w:rsidR="00322427">
              <w:rPr>
                <w:rFonts w:ascii="Arial" w:hAnsi="Arial" w:cs="Arial"/>
                <w:i/>
                <w:lang w:val="sq-AL" w:bidi="ar-AE"/>
              </w:rPr>
              <w:t>,</w:t>
            </w:r>
          </w:p>
          <w:p w14:paraId="2FF1248F" w14:textId="02BE209F" w:rsidR="00377063" w:rsidRPr="002A6F4E" w:rsidRDefault="00377063" w:rsidP="00A23ED0">
            <w:pPr>
              <w:pStyle w:val="ListParagraph"/>
              <w:numPr>
                <w:ilvl w:val="1"/>
                <w:numId w:val="89"/>
              </w:numPr>
              <w:spacing w:before="40" w:after="40" w:line="360" w:lineRule="auto"/>
              <w:contextualSpacing w:val="0"/>
              <w:rPr>
                <w:rFonts w:ascii="Arial" w:hAnsi="Arial" w:cs="Arial"/>
                <w:i/>
                <w:lang w:val="sq-AL" w:bidi="ar-AE"/>
              </w:rPr>
            </w:pPr>
            <w:r w:rsidRPr="002A6F4E">
              <w:rPr>
                <w:rFonts w:ascii="Arial" w:hAnsi="Arial" w:cs="Arial"/>
                <w:i/>
                <w:lang w:val="sq-AL" w:bidi="ar-AE"/>
              </w:rPr>
              <w:t>Do 202</w:t>
            </w:r>
            <w:r w:rsidR="003E6442">
              <w:rPr>
                <w:rFonts w:ascii="Arial" w:hAnsi="Arial" w:cs="Arial"/>
                <w:i/>
                <w:lang w:val="sq-AL" w:bidi="ar-AE"/>
              </w:rPr>
              <w:t>6</w:t>
            </w:r>
            <w:r w:rsidRPr="002A6F4E">
              <w:rPr>
                <w:rFonts w:ascii="Arial" w:hAnsi="Arial" w:cs="Arial"/>
                <w:i/>
                <w:lang w:val="sq-AL" w:bidi="ar-AE"/>
              </w:rPr>
              <w:t>. godine, smanjenje potrošnje plastičnih proizv</w:t>
            </w:r>
            <w:r w:rsidR="00322427">
              <w:rPr>
                <w:rFonts w:ascii="Arial" w:hAnsi="Arial" w:cs="Arial"/>
                <w:i/>
                <w:lang w:val="sq-AL" w:bidi="ar-AE"/>
              </w:rPr>
              <w:t>o</w:t>
            </w:r>
            <w:r w:rsidRPr="002A6F4E">
              <w:rPr>
                <w:rFonts w:ascii="Arial" w:hAnsi="Arial" w:cs="Arial"/>
                <w:i/>
                <w:lang w:val="sq-AL" w:bidi="ar-AE"/>
              </w:rPr>
              <w:t>da za jednokratnu upotrebu za 30%</w:t>
            </w:r>
            <w:r w:rsidR="00322427">
              <w:rPr>
                <w:rFonts w:ascii="Arial" w:hAnsi="Arial" w:cs="Arial"/>
                <w:i/>
                <w:lang w:val="sq-AL" w:bidi="ar-AE"/>
              </w:rPr>
              <w:t>,</w:t>
            </w:r>
          </w:p>
          <w:p w14:paraId="51145857" w14:textId="6B1D7E2A" w:rsidR="00377063" w:rsidRPr="002A6F4E" w:rsidRDefault="00377063" w:rsidP="00A23ED0">
            <w:pPr>
              <w:pStyle w:val="ListParagraph"/>
              <w:numPr>
                <w:ilvl w:val="1"/>
                <w:numId w:val="89"/>
              </w:numPr>
              <w:spacing w:before="40" w:after="40" w:line="360" w:lineRule="auto"/>
              <w:contextualSpacing w:val="0"/>
              <w:rPr>
                <w:rFonts w:ascii="Arial" w:hAnsi="Arial" w:cs="Arial"/>
                <w:i/>
                <w:lang w:val="sq-AL" w:bidi="ar-AE"/>
              </w:rPr>
            </w:pPr>
            <w:r w:rsidRPr="002A6F4E">
              <w:rPr>
                <w:rFonts w:ascii="Arial" w:hAnsi="Arial" w:cs="Arial"/>
                <w:i/>
                <w:lang w:val="sq-AL" w:bidi="ar-AE"/>
              </w:rPr>
              <w:t>Do 202</w:t>
            </w:r>
            <w:r w:rsidR="00322427">
              <w:rPr>
                <w:rFonts w:ascii="Arial" w:hAnsi="Arial" w:cs="Arial"/>
                <w:i/>
                <w:lang w:val="sq-AL" w:bidi="ar-AE"/>
              </w:rPr>
              <w:t>8</w:t>
            </w:r>
            <w:r w:rsidRPr="002A6F4E">
              <w:rPr>
                <w:rFonts w:ascii="Arial" w:hAnsi="Arial" w:cs="Arial"/>
                <w:i/>
                <w:lang w:val="sq-AL" w:bidi="ar-AE"/>
              </w:rPr>
              <w:t>. godine, smanjenje potrošnje plastičnih proizvoda za jednokratnu upotre</w:t>
            </w:r>
            <w:r w:rsidR="003E6442">
              <w:rPr>
                <w:rFonts w:ascii="Arial" w:hAnsi="Arial" w:cs="Arial"/>
                <w:i/>
                <w:lang w:val="sq-AL" w:bidi="ar-AE"/>
              </w:rPr>
              <w:t>b</w:t>
            </w:r>
            <w:r w:rsidRPr="002A6F4E">
              <w:rPr>
                <w:rFonts w:ascii="Arial" w:hAnsi="Arial" w:cs="Arial"/>
                <w:i/>
                <w:lang w:val="sq-AL" w:bidi="ar-AE"/>
              </w:rPr>
              <w:t>u za 60%</w:t>
            </w:r>
            <w:r w:rsidR="00322427">
              <w:rPr>
                <w:rFonts w:ascii="Arial" w:hAnsi="Arial" w:cs="Arial"/>
                <w:i/>
                <w:lang w:val="sq-AL" w:bidi="ar-AE"/>
              </w:rPr>
              <w:t>,</w:t>
            </w:r>
          </w:p>
          <w:p w14:paraId="23A3B982" w14:textId="551C21A7" w:rsidR="00377063" w:rsidRPr="00B46B69" w:rsidRDefault="007446E4" w:rsidP="00B46B69">
            <w:pPr>
              <w:spacing w:before="40" w:after="40" w:line="360" w:lineRule="auto"/>
              <w:ind w:left="1110"/>
              <w:rPr>
                <w:rFonts w:ascii="Arial" w:hAnsi="Arial" w:cs="Arial"/>
                <w:i/>
                <w:lang w:val="sq-AL" w:bidi="ar-AE"/>
              </w:rPr>
            </w:pPr>
            <w:r>
              <w:rPr>
                <w:rFonts w:ascii="Arial" w:hAnsi="Arial" w:cs="Arial"/>
                <w:i/>
                <w:lang w:val="sq-AL" w:bidi="ar-AE"/>
              </w:rPr>
              <w:t xml:space="preserve">Napomena: </w:t>
            </w:r>
            <w:r w:rsidR="00377063" w:rsidRPr="00B46B69">
              <w:rPr>
                <w:rFonts w:ascii="Arial" w:hAnsi="Arial" w:cs="Arial"/>
                <w:i/>
                <w:lang w:val="sq-AL" w:bidi="ar-AE"/>
              </w:rPr>
              <w:t>Od 20. oktobra 2024.</w:t>
            </w:r>
            <w:r w:rsidR="00D51D58" w:rsidRPr="00B46B69">
              <w:rPr>
                <w:rFonts w:ascii="Arial" w:hAnsi="Arial" w:cs="Arial"/>
                <w:i/>
                <w:lang w:val="sq-AL" w:bidi="ar-AE"/>
              </w:rPr>
              <w:t xml:space="preserve"> </w:t>
            </w:r>
            <w:r w:rsidR="00377063" w:rsidRPr="00B46B69">
              <w:rPr>
                <w:rFonts w:ascii="Arial" w:hAnsi="Arial" w:cs="Arial"/>
                <w:i/>
                <w:lang w:val="sq-AL" w:bidi="ar-AE"/>
              </w:rPr>
              <w:t xml:space="preserve">godine, </w:t>
            </w:r>
            <w:r w:rsidR="00322427" w:rsidRPr="00B46B69">
              <w:rPr>
                <w:rFonts w:ascii="Arial" w:hAnsi="Arial" w:cs="Arial"/>
                <w:i/>
                <w:lang w:val="sq-AL" w:bidi="ar-AE"/>
              </w:rPr>
              <w:t xml:space="preserve">zabranjena je upotreba laganih plastičnih kesa za nošenje, debljine zida </w:t>
            </w:r>
            <w:r w:rsidR="009B638B" w:rsidRPr="00B46B69">
              <w:rPr>
                <w:rFonts w:ascii="Arial" w:hAnsi="Arial" w:cs="Arial"/>
                <w:i/>
                <w:lang w:val="sq-AL" w:bidi="ar-AE"/>
              </w:rPr>
              <w:t>od 15 do 50 mikrona, a</w:t>
            </w:r>
            <w:r w:rsidR="00322427" w:rsidRPr="00B46B69">
              <w:rPr>
                <w:rFonts w:ascii="Arial" w:hAnsi="Arial" w:cs="Arial"/>
                <w:i/>
                <w:lang w:val="sq-AL" w:bidi="ar-AE"/>
              </w:rPr>
              <w:t xml:space="preserve"> </w:t>
            </w:r>
            <w:r w:rsidR="00377063" w:rsidRPr="00B46B69">
              <w:rPr>
                <w:rFonts w:ascii="Arial" w:hAnsi="Arial" w:cs="Arial"/>
                <w:i/>
                <w:lang w:val="sq-AL" w:bidi="ar-AE"/>
              </w:rPr>
              <w:t>p</w:t>
            </w:r>
            <w:r w:rsidR="00865776" w:rsidRPr="00B46B69">
              <w:rPr>
                <w:rFonts w:ascii="Arial" w:hAnsi="Arial" w:cs="Arial"/>
                <w:i/>
                <w:lang w:val="sq-AL" w:bidi="ar-AE"/>
              </w:rPr>
              <w:t>rodavci</w:t>
            </w:r>
            <w:r w:rsidR="00377063" w:rsidRPr="00B46B69">
              <w:rPr>
                <w:rFonts w:ascii="Arial" w:hAnsi="Arial" w:cs="Arial"/>
                <w:i/>
                <w:lang w:val="sq-AL" w:bidi="ar-AE"/>
              </w:rPr>
              <w:t xml:space="preserve"> </w:t>
            </w:r>
            <w:r w:rsidR="00377063" w:rsidRPr="00B46B69">
              <w:rPr>
                <w:rFonts w:ascii="Arial" w:hAnsi="Arial" w:cs="Arial"/>
                <w:i/>
                <w:lang w:val="sq-AL" w:bidi="ar-AE"/>
              </w:rPr>
              <w:lastRenderedPageBreak/>
              <w:t>plastičnih kesa za nošenje</w:t>
            </w:r>
            <w:r w:rsidR="00865776" w:rsidRPr="00B46B69">
              <w:rPr>
                <w:rFonts w:ascii="Arial" w:hAnsi="Arial" w:cs="Arial"/>
                <w:i/>
                <w:lang w:val="sq-AL" w:bidi="ar-AE"/>
              </w:rPr>
              <w:t>, debljine zida preko 50 mikrona</w:t>
            </w:r>
            <w:r w:rsidR="00377063" w:rsidRPr="00B46B69">
              <w:rPr>
                <w:rFonts w:ascii="Arial" w:hAnsi="Arial" w:cs="Arial"/>
                <w:i/>
                <w:lang w:val="sq-AL" w:bidi="ar-AE"/>
              </w:rPr>
              <w:t xml:space="preserve">, dužni </w:t>
            </w:r>
            <w:r w:rsidR="00322427" w:rsidRPr="00B46B69">
              <w:rPr>
                <w:rFonts w:ascii="Arial" w:hAnsi="Arial" w:cs="Arial"/>
                <w:i/>
                <w:lang w:val="sq-AL" w:bidi="ar-AE"/>
              </w:rPr>
              <w:t xml:space="preserve">su </w:t>
            </w:r>
            <w:r w:rsidR="00377063" w:rsidRPr="00B46B69">
              <w:rPr>
                <w:rFonts w:ascii="Arial" w:hAnsi="Arial" w:cs="Arial"/>
                <w:i/>
                <w:lang w:val="sq-AL" w:bidi="ar-AE"/>
              </w:rPr>
              <w:t>da plate ekološku taksu</w:t>
            </w:r>
            <w:r w:rsidR="00D51D58" w:rsidRPr="00B46B69">
              <w:rPr>
                <w:rFonts w:ascii="Arial" w:hAnsi="Arial" w:cs="Arial"/>
                <w:i/>
                <w:lang w:val="sq-AL" w:bidi="ar-AE"/>
              </w:rPr>
              <w:t>.</w:t>
            </w:r>
          </w:p>
          <w:p w14:paraId="5B106D38" w14:textId="6D3CD51A" w:rsidR="00377063" w:rsidRPr="002A6F4E" w:rsidRDefault="00377063" w:rsidP="00A23ED0">
            <w:pPr>
              <w:pStyle w:val="ListParagraph"/>
              <w:numPr>
                <w:ilvl w:val="0"/>
                <w:numId w:val="89"/>
              </w:numPr>
              <w:spacing w:before="40" w:after="40" w:line="360" w:lineRule="auto"/>
              <w:rPr>
                <w:rFonts w:ascii="Arial" w:hAnsi="Arial" w:cs="Arial"/>
                <w:i/>
                <w:lang w:val="sq-AL" w:bidi="ar-AE"/>
              </w:rPr>
            </w:pPr>
            <w:r w:rsidRPr="002A6F4E">
              <w:rPr>
                <w:rFonts w:ascii="Arial" w:hAnsi="Arial" w:cs="Arial"/>
                <w:i/>
                <w:lang w:val="sq-AL" w:bidi="ar-AE"/>
              </w:rPr>
              <w:t>promovisanje razumijevanja da je otpad resurs koji treba koristiti u širem kontekstu cirkularne ekonomije</w:t>
            </w:r>
            <w:r w:rsidR="00D51D58">
              <w:rPr>
                <w:rFonts w:ascii="Arial" w:hAnsi="Arial" w:cs="Arial"/>
                <w:i/>
                <w:lang w:val="sq-AL" w:bidi="ar-AE"/>
              </w:rPr>
              <w:t>,</w:t>
            </w:r>
          </w:p>
          <w:p w14:paraId="203AD1A4" w14:textId="3398F9CD" w:rsidR="00377063" w:rsidRPr="002A6F4E" w:rsidRDefault="00377063" w:rsidP="00A23ED0">
            <w:pPr>
              <w:pStyle w:val="ListParagraph"/>
              <w:numPr>
                <w:ilvl w:val="0"/>
                <w:numId w:val="89"/>
              </w:numPr>
              <w:spacing w:before="40" w:after="40" w:line="360" w:lineRule="auto"/>
              <w:rPr>
                <w:rFonts w:ascii="Arial" w:hAnsi="Arial" w:cs="Arial"/>
                <w:i/>
                <w:lang w:val="sq-AL" w:bidi="ar-AE"/>
              </w:rPr>
            </w:pPr>
            <w:r w:rsidRPr="002A6F4E">
              <w:rPr>
                <w:rFonts w:ascii="Arial" w:hAnsi="Arial" w:cs="Arial"/>
                <w:i/>
                <w:lang w:val="sq-AL" w:bidi="ar-AE"/>
              </w:rPr>
              <w:t>jačanje radnji na sprečavanju nastanka otpada pomoću integrisanih i sistematskih kampanja podizanja svijesti</w:t>
            </w:r>
          </w:p>
          <w:p w14:paraId="0B894152" w14:textId="0EB4013F" w:rsidR="00377063" w:rsidRPr="002A6F4E" w:rsidRDefault="00377063" w:rsidP="00A23ED0">
            <w:pPr>
              <w:pStyle w:val="ListParagraph"/>
              <w:numPr>
                <w:ilvl w:val="0"/>
                <w:numId w:val="89"/>
              </w:numPr>
              <w:spacing w:before="40" w:after="40" w:line="360" w:lineRule="auto"/>
              <w:rPr>
                <w:rFonts w:ascii="Arial" w:hAnsi="Arial" w:cs="Arial"/>
                <w:i/>
                <w:lang w:val="sq-AL" w:bidi="ar-AE"/>
              </w:rPr>
            </w:pPr>
            <w:r w:rsidRPr="002A6F4E">
              <w:rPr>
                <w:rFonts w:ascii="Arial" w:hAnsi="Arial" w:cs="Arial"/>
                <w:i/>
                <w:lang w:val="sq-AL" w:bidi="ar-AE"/>
              </w:rPr>
              <w:t>promovisanje izrade planova sprečavanja nastanka komunalnog otpada u skladu sa DPUO</w:t>
            </w:r>
            <w:r w:rsidR="00D51D58">
              <w:rPr>
                <w:rFonts w:ascii="Arial" w:hAnsi="Arial" w:cs="Arial"/>
                <w:i/>
                <w:lang w:val="sq-AL" w:bidi="ar-AE"/>
              </w:rPr>
              <w:t>,</w:t>
            </w:r>
          </w:p>
          <w:p w14:paraId="2B9B97DE" w14:textId="2AA08436" w:rsidR="00377063" w:rsidRPr="002A6F4E" w:rsidRDefault="00377063" w:rsidP="00A23ED0">
            <w:pPr>
              <w:pStyle w:val="ListParagraph"/>
              <w:numPr>
                <w:ilvl w:val="0"/>
                <w:numId w:val="89"/>
              </w:numPr>
              <w:spacing w:before="40" w:after="40" w:line="360" w:lineRule="auto"/>
              <w:rPr>
                <w:rFonts w:ascii="Arial" w:hAnsi="Arial" w:cs="Arial"/>
                <w:i/>
                <w:lang w:val="sq-AL" w:bidi="ar-AE"/>
              </w:rPr>
            </w:pPr>
            <w:r w:rsidRPr="002A6F4E">
              <w:rPr>
                <w:rFonts w:ascii="Arial" w:hAnsi="Arial" w:cs="Arial"/>
                <w:i/>
                <w:lang w:val="sq-AL" w:bidi="ar-AE"/>
              </w:rPr>
              <w:t>uvesti najbolje dostupne tehnike (BAT) u najvećoj mogućoj mjeri u proizvodnim procesima u cilju sprečavanja generisanja otpada i unapređenja kvalitativnih karakteristika otpada</w:t>
            </w:r>
            <w:r w:rsidR="00D51D58">
              <w:rPr>
                <w:rFonts w:ascii="Arial" w:hAnsi="Arial" w:cs="Arial"/>
                <w:i/>
                <w:lang w:val="sq-AL" w:bidi="ar-AE"/>
              </w:rPr>
              <w:t>,</w:t>
            </w:r>
          </w:p>
          <w:p w14:paraId="0B1DF884" w14:textId="08382E30" w:rsidR="00377063" w:rsidRPr="002A6F4E" w:rsidRDefault="00377063" w:rsidP="00A23ED0">
            <w:pPr>
              <w:pStyle w:val="ListParagraph"/>
              <w:numPr>
                <w:ilvl w:val="0"/>
                <w:numId w:val="89"/>
              </w:numPr>
              <w:spacing w:before="40" w:after="40" w:line="360" w:lineRule="auto"/>
              <w:rPr>
                <w:rFonts w:ascii="Arial" w:hAnsi="Arial" w:cs="Arial"/>
                <w:b/>
                <w:bCs/>
                <w:lang w:val="sq-AL"/>
              </w:rPr>
            </w:pPr>
            <w:r w:rsidRPr="002A6F4E">
              <w:rPr>
                <w:rFonts w:ascii="Arial" w:hAnsi="Arial" w:cs="Arial"/>
                <w:i/>
                <w:lang w:val="sq-AL" w:bidi="ar-AE"/>
              </w:rPr>
              <w:t>izrada metodologije u cilju dovođenja prisustva štetnih/opasnih materija u recikliranim materijalima na najmanji mogući nivo</w:t>
            </w:r>
            <w:r w:rsidR="00D51D58">
              <w:rPr>
                <w:rFonts w:ascii="Arial" w:hAnsi="Arial" w:cs="Arial"/>
                <w:i/>
                <w:lang w:val="sq-AL" w:bidi="ar-AE"/>
              </w:rPr>
              <w:t>.</w:t>
            </w:r>
          </w:p>
        </w:tc>
        <w:tc>
          <w:tcPr>
            <w:tcW w:w="1305" w:type="pct"/>
            <w:shd w:val="clear" w:color="auto" w:fill="EDEDED" w:themeFill="accent3" w:themeFillTint="33"/>
          </w:tcPr>
          <w:p w14:paraId="17D3A3C4" w14:textId="77777777" w:rsidR="00377063" w:rsidRPr="002A6F4E" w:rsidRDefault="00377063" w:rsidP="00FE289C">
            <w:pPr>
              <w:spacing w:before="40" w:after="40" w:line="360" w:lineRule="auto"/>
              <w:rPr>
                <w:rFonts w:ascii="Arial" w:hAnsi="Arial" w:cs="Arial"/>
                <w:b/>
                <w:lang w:val="sq-AL" w:bidi="ar-AE"/>
              </w:rPr>
            </w:pPr>
          </w:p>
        </w:tc>
      </w:tr>
      <w:tr w:rsidR="00377063" w:rsidRPr="0014164F" w14:paraId="4E1853F1" w14:textId="77777777" w:rsidTr="009754F4">
        <w:trPr>
          <w:jc w:val="center"/>
        </w:trPr>
        <w:tc>
          <w:tcPr>
            <w:tcW w:w="3695" w:type="pct"/>
            <w:gridSpan w:val="5"/>
            <w:shd w:val="clear" w:color="auto" w:fill="auto"/>
          </w:tcPr>
          <w:p w14:paraId="4BD3B068" w14:textId="77777777" w:rsidR="00377063" w:rsidRPr="002A6F4E" w:rsidRDefault="00377063" w:rsidP="00FE289C">
            <w:pPr>
              <w:spacing w:before="40" w:after="40" w:line="360" w:lineRule="auto"/>
              <w:rPr>
                <w:rFonts w:ascii="Arial" w:hAnsi="Arial" w:cs="Arial"/>
                <w:lang w:val="sq-AL" w:bidi="ar-AE"/>
              </w:rPr>
            </w:pPr>
          </w:p>
        </w:tc>
        <w:tc>
          <w:tcPr>
            <w:tcW w:w="1305" w:type="pct"/>
          </w:tcPr>
          <w:p w14:paraId="132358F4" w14:textId="77777777" w:rsidR="00377063" w:rsidRPr="002A6F4E" w:rsidRDefault="00377063" w:rsidP="00FE289C">
            <w:pPr>
              <w:spacing w:before="40" w:after="40" w:line="360" w:lineRule="auto"/>
              <w:rPr>
                <w:rFonts w:ascii="Arial" w:hAnsi="Arial" w:cs="Arial"/>
                <w:lang w:val="sq-AL" w:bidi="ar-AE"/>
              </w:rPr>
            </w:pPr>
          </w:p>
        </w:tc>
      </w:tr>
      <w:bookmarkEnd w:id="1453"/>
      <w:tr w:rsidR="000F67ED" w:rsidRPr="002A6F4E" w14:paraId="5CAD56F0" w14:textId="77777777" w:rsidTr="009754F4">
        <w:trPr>
          <w:jc w:val="center"/>
        </w:trPr>
        <w:tc>
          <w:tcPr>
            <w:tcW w:w="304" w:type="pct"/>
            <w:shd w:val="clear" w:color="auto" w:fill="auto"/>
          </w:tcPr>
          <w:p w14:paraId="3233E989" w14:textId="175E5B3E"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7939B5">
              <w:rPr>
                <w:rFonts w:ascii="Arial" w:hAnsi="Arial" w:cs="Arial"/>
                <w:lang w:val="sq-AL" w:bidi="ar-AE"/>
              </w:rPr>
              <w:t>4</w:t>
            </w:r>
          </w:p>
        </w:tc>
        <w:tc>
          <w:tcPr>
            <w:tcW w:w="518" w:type="pct"/>
            <w:shd w:val="clear" w:color="auto" w:fill="auto"/>
          </w:tcPr>
          <w:p w14:paraId="0C92EFD5"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PSSSS</w:t>
            </w:r>
          </w:p>
        </w:tc>
        <w:tc>
          <w:tcPr>
            <w:tcW w:w="1264" w:type="pct"/>
            <w:shd w:val="clear" w:color="auto" w:fill="auto"/>
          </w:tcPr>
          <w:p w14:paraId="7C0787A8" w14:textId="19E424EF" w:rsidR="00377063" w:rsidRPr="002A6F4E" w:rsidRDefault="007939B5" w:rsidP="00FE289C">
            <w:pPr>
              <w:spacing w:before="40" w:after="40" w:line="360" w:lineRule="auto"/>
              <w:rPr>
                <w:rFonts w:ascii="Arial" w:hAnsi="Arial" w:cs="Arial"/>
                <w:lang w:val="sq-AL" w:bidi="ar-AE"/>
              </w:rPr>
            </w:pPr>
            <w:r>
              <w:rPr>
                <w:rFonts w:ascii="Arial" w:hAnsi="Arial" w:cs="Arial"/>
                <w:lang w:val="sq-AL" w:bidi="ar-AE"/>
              </w:rPr>
              <w:t>S</w:t>
            </w:r>
            <w:r w:rsidR="00377063" w:rsidRPr="002A6F4E">
              <w:rPr>
                <w:rFonts w:ascii="Arial" w:hAnsi="Arial" w:cs="Arial"/>
                <w:lang w:val="sq-AL" w:bidi="ar-AE"/>
              </w:rPr>
              <w:t xml:space="preserve">tudije izvodljivosti za transfer stanice i centre za sakupljanje otpada </w:t>
            </w:r>
          </w:p>
        </w:tc>
        <w:tc>
          <w:tcPr>
            <w:tcW w:w="1101" w:type="pct"/>
            <w:shd w:val="clear" w:color="auto" w:fill="auto"/>
          </w:tcPr>
          <w:p w14:paraId="47EC2A99" w14:textId="01327FBE"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w:t>
            </w:r>
            <w:r w:rsidRPr="00B46B69">
              <w:rPr>
                <w:rFonts w:ascii="Arial" w:hAnsi="Arial" w:cs="Arial"/>
                <w:lang w:val="sr-Latn-ME"/>
              </w:rPr>
              <w:t>Jedinice lokalnih samouprava</w:t>
            </w:r>
          </w:p>
        </w:tc>
        <w:tc>
          <w:tcPr>
            <w:tcW w:w="508" w:type="pct"/>
            <w:shd w:val="clear" w:color="auto" w:fill="auto"/>
          </w:tcPr>
          <w:p w14:paraId="4A2AFF15" w14:textId="095B5233"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 – 202</w:t>
            </w:r>
            <w:r w:rsidR="007446E4">
              <w:rPr>
                <w:rFonts w:ascii="Arial" w:hAnsi="Arial" w:cs="Arial"/>
                <w:lang w:val="sq-AL" w:bidi="ar-AE"/>
              </w:rPr>
              <w:t>7</w:t>
            </w:r>
            <w:r w:rsidRPr="002A6F4E">
              <w:rPr>
                <w:rFonts w:ascii="Arial" w:hAnsi="Arial" w:cs="Arial"/>
                <w:lang w:val="sq-AL" w:bidi="ar-AE"/>
              </w:rPr>
              <w:t>.</w:t>
            </w:r>
          </w:p>
        </w:tc>
        <w:tc>
          <w:tcPr>
            <w:tcW w:w="1305" w:type="pct"/>
          </w:tcPr>
          <w:p w14:paraId="6E8897C0" w14:textId="6069B3A6"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Državni budžet</w:t>
            </w:r>
            <w:r w:rsidR="007939B5">
              <w:rPr>
                <w:rFonts w:ascii="Arial" w:hAnsi="Arial" w:cs="Arial"/>
                <w:lang w:val="sq-AL" w:bidi="ar-AE"/>
              </w:rPr>
              <w:t>/</w:t>
            </w:r>
          </w:p>
          <w:p w14:paraId="093299C3" w14:textId="521DC471" w:rsidR="00377063" w:rsidRPr="002A6F4E" w:rsidRDefault="00377063" w:rsidP="00FE289C">
            <w:pPr>
              <w:spacing w:before="40" w:after="40" w:line="360" w:lineRule="auto"/>
              <w:rPr>
                <w:rFonts w:ascii="Arial" w:hAnsi="Arial" w:cs="Arial"/>
                <w:lang w:val="sq-AL" w:bidi="ar-AE"/>
              </w:rPr>
            </w:pPr>
            <w:r w:rsidRPr="00B46B69">
              <w:rPr>
                <w:rFonts w:ascii="Arial" w:hAnsi="Arial" w:cs="Arial"/>
                <w:lang w:val="sq-AL" w:bidi="ar-AE"/>
              </w:rPr>
              <w:t>Lokalni budžet</w:t>
            </w:r>
            <w:r w:rsidR="007939B5" w:rsidRPr="00B46B69">
              <w:rPr>
                <w:rFonts w:ascii="Arial" w:hAnsi="Arial" w:cs="Arial"/>
                <w:lang w:val="sq-AL" w:bidi="ar-AE"/>
              </w:rPr>
              <w:t>/</w:t>
            </w:r>
          </w:p>
          <w:p w14:paraId="75418ECD" w14:textId="0E7EB71E" w:rsidR="00377063" w:rsidRDefault="00377063" w:rsidP="00FE289C">
            <w:pPr>
              <w:spacing w:before="40" w:after="40" w:line="360" w:lineRule="auto"/>
              <w:rPr>
                <w:rFonts w:ascii="Arial" w:hAnsi="Arial" w:cs="Arial"/>
                <w:lang w:val="sq-AL" w:bidi="ar-AE"/>
              </w:rPr>
            </w:pPr>
            <w:r w:rsidRPr="002A6F4E">
              <w:rPr>
                <w:rFonts w:ascii="Arial" w:hAnsi="Arial" w:cs="Arial"/>
                <w:lang w:val="sq-AL" w:bidi="ar-AE"/>
              </w:rPr>
              <w:t>Donatori</w:t>
            </w:r>
            <w:r w:rsidR="007939B5">
              <w:rPr>
                <w:rFonts w:ascii="Arial" w:hAnsi="Arial" w:cs="Arial"/>
                <w:lang w:val="sq-AL" w:bidi="ar-AE"/>
              </w:rPr>
              <w:t>/</w:t>
            </w:r>
          </w:p>
          <w:p w14:paraId="2E43B23F" w14:textId="59289B44" w:rsidR="007939B5" w:rsidRPr="002A6F4E" w:rsidRDefault="007939B5" w:rsidP="00FE289C">
            <w:pPr>
              <w:spacing w:before="40" w:after="40" w:line="360" w:lineRule="auto"/>
              <w:rPr>
                <w:rFonts w:ascii="Arial" w:hAnsi="Arial" w:cs="Arial"/>
                <w:lang w:val="sq-AL" w:bidi="ar-AE"/>
              </w:rPr>
            </w:pPr>
            <w:r>
              <w:rPr>
                <w:rFonts w:ascii="Arial" w:hAnsi="Arial" w:cs="Arial"/>
                <w:lang w:val="sq-AL" w:bidi="ar-AE"/>
              </w:rPr>
              <w:t>Međunarodne finansijske institucije</w:t>
            </w:r>
          </w:p>
          <w:p w14:paraId="6F103AD1" w14:textId="77777777" w:rsidR="00377063" w:rsidRPr="002A6F4E" w:rsidRDefault="00377063" w:rsidP="00FE289C">
            <w:pPr>
              <w:spacing w:before="40" w:after="40" w:line="360" w:lineRule="auto"/>
              <w:rPr>
                <w:rFonts w:ascii="Arial" w:hAnsi="Arial" w:cs="Arial"/>
                <w:lang w:val="sq-AL" w:bidi="ar-AE"/>
              </w:rPr>
            </w:pPr>
          </w:p>
        </w:tc>
      </w:tr>
      <w:tr w:rsidR="000F67ED" w:rsidRPr="002A6F4E" w14:paraId="3D2AB4A8" w14:textId="77777777" w:rsidTr="009754F4">
        <w:trPr>
          <w:jc w:val="center"/>
        </w:trPr>
        <w:tc>
          <w:tcPr>
            <w:tcW w:w="304" w:type="pct"/>
            <w:shd w:val="clear" w:color="auto" w:fill="auto"/>
          </w:tcPr>
          <w:p w14:paraId="706351D1" w14:textId="48EAD80D"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7939B5">
              <w:rPr>
                <w:rFonts w:ascii="Arial" w:hAnsi="Arial" w:cs="Arial"/>
                <w:lang w:val="sq-AL" w:bidi="ar-AE"/>
              </w:rPr>
              <w:t>5</w:t>
            </w:r>
          </w:p>
        </w:tc>
        <w:tc>
          <w:tcPr>
            <w:tcW w:w="518" w:type="pct"/>
            <w:shd w:val="clear" w:color="auto" w:fill="auto"/>
          </w:tcPr>
          <w:p w14:paraId="2D46AEDF"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IM</w:t>
            </w:r>
          </w:p>
        </w:tc>
        <w:tc>
          <w:tcPr>
            <w:tcW w:w="1264" w:type="pct"/>
            <w:shd w:val="clear" w:color="auto" w:fill="auto"/>
          </w:tcPr>
          <w:p w14:paraId="0BAF62E1"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Nabavka opreme za sakupljanje</w:t>
            </w:r>
          </w:p>
        </w:tc>
        <w:tc>
          <w:tcPr>
            <w:tcW w:w="1101" w:type="pct"/>
            <w:shd w:val="clear" w:color="auto" w:fill="auto"/>
          </w:tcPr>
          <w:p w14:paraId="6270F840"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r-Latn-ME"/>
              </w:rPr>
              <w:t>Jedinice lokalnih samouprava</w:t>
            </w:r>
          </w:p>
        </w:tc>
        <w:tc>
          <w:tcPr>
            <w:tcW w:w="508" w:type="pct"/>
            <w:shd w:val="clear" w:color="auto" w:fill="auto"/>
          </w:tcPr>
          <w:p w14:paraId="22F09707" w14:textId="0F6D2E85"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 – 202</w:t>
            </w:r>
            <w:r w:rsidR="007446E4">
              <w:rPr>
                <w:rFonts w:ascii="Arial" w:hAnsi="Arial" w:cs="Arial"/>
                <w:lang w:val="sq-AL" w:bidi="ar-AE"/>
              </w:rPr>
              <w:t>7</w:t>
            </w:r>
            <w:r w:rsidRPr="002A6F4E">
              <w:rPr>
                <w:rFonts w:ascii="Arial" w:hAnsi="Arial" w:cs="Arial"/>
                <w:lang w:val="sq-AL" w:bidi="ar-AE"/>
              </w:rPr>
              <w:t>.</w:t>
            </w:r>
          </w:p>
        </w:tc>
        <w:tc>
          <w:tcPr>
            <w:tcW w:w="1305" w:type="pct"/>
          </w:tcPr>
          <w:p w14:paraId="02DEB0FA" w14:textId="4105847E"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Državni budžet</w:t>
            </w:r>
            <w:r w:rsidR="007939B5">
              <w:rPr>
                <w:rFonts w:ascii="Arial" w:hAnsi="Arial" w:cs="Arial"/>
                <w:lang w:val="sq-AL" w:bidi="ar-AE"/>
              </w:rPr>
              <w:t>/</w:t>
            </w:r>
          </w:p>
          <w:p w14:paraId="0EBB8F22" w14:textId="40CA322A" w:rsidR="007939B5"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Lokalni budžet</w:t>
            </w:r>
            <w:r w:rsidR="007939B5">
              <w:rPr>
                <w:rFonts w:ascii="Arial" w:hAnsi="Arial" w:cs="Arial"/>
                <w:lang w:val="sq-AL" w:bidi="ar-AE"/>
              </w:rPr>
              <w:t>/ Međunarodne finansijske institucije/</w:t>
            </w:r>
          </w:p>
          <w:p w14:paraId="676126C4" w14:textId="27F35445"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Donatori</w:t>
            </w:r>
            <w:r w:rsidR="007939B5">
              <w:rPr>
                <w:rFonts w:ascii="Arial" w:hAnsi="Arial" w:cs="Arial"/>
                <w:lang w:val="sq-AL" w:bidi="ar-AE"/>
              </w:rPr>
              <w:t>/</w:t>
            </w:r>
          </w:p>
          <w:p w14:paraId="15190D1D"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EPR Sistem</w:t>
            </w:r>
          </w:p>
          <w:p w14:paraId="7D18D830" w14:textId="77777777" w:rsidR="00377063" w:rsidRPr="002A6F4E" w:rsidRDefault="00377063" w:rsidP="00FE289C">
            <w:pPr>
              <w:spacing w:before="40" w:after="40" w:line="360" w:lineRule="auto"/>
              <w:rPr>
                <w:rFonts w:ascii="Arial" w:hAnsi="Arial" w:cs="Arial"/>
                <w:lang w:val="sq-AL" w:bidi="ar-AE"/>
              </w:rPr>
            </w:pPr>
          </w:p>
        </w:tc>
      </w:tr>
      <w:tr w:rsidR="000F67ED" w:rsidRPr="0014164F" w14:paraId="2CD2001D" w14:textId="77777777" w:rsidTr="009754F4">
        <w:trPr>
          <w:jc w:val="center"/>
        </w:trPr>
        <w:tc>
          <w:tcPr>
            <w:tcW w:w="304" w:type="pct"/>
            <w:shd w:val="clear" w:color="auto" w:fill="auto"/>
          </w:tcPr>
          <w:p w14:paraId="2A615764" w14:textId="34246450"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B078DC">
              <w:rPr>
                <w:rFonts w:ascii="Arial" w:hAnsi="Arial" w:cs="Arial"/>
                <w:lang w:val="sq-AL" w:bidi="ar-AE"/>
              </w:rPr>
              <w:t>6</w:t>
            </w:r>
          </w:p>
        </w:tc>
        <w:tc>
          <w:tcPr>
            <w:tcW w:w="518" w:type="pct"/>
            <w:shd w:val="clear" w:color="auto" w:fill="auto"/>
          </w:tcPr>
          <w:p w14:paraId="7362604E"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IM</w:t>
            </w:r>
          </w:p>
        </w:tc>
        <w:tc>
          <w:tcPr>
            <w:tcW w:w="1264" w:type="pct"/>
            <w:shd w:val="clear" w:color="auto" w:fill="auto"/>
          </w:tcPr>
          <w:p w14:paraId="20158D65"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Izgradnja mreže transfer stanica</w:t>
            </w:r>
          </w:p>
        </w:tc>
        <w:tc>
          <w:tcPr>
            <w:tcW w:w="1101" w:type="pct"/>
            <w:shd w:val="clear" w:color="auto" w:fill="auto"/>
          </w:tcPr>
          <w:p w14:paraId="75DE154F" w14:textId="44381AC8"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r-Latn-ME"/>
              </w:rPr>
              <w:t>Jedinice</w:t>
            </w:r>
            <w:r w:rsidR="00B078DC">
              <w:rPr>
                <w:rFonts w:ascii="Arial" w:hAnsi="Arial" w:cs="Arial"/>
                <w:lang w:val="sr-Latn-ME"/>
              </w:rPr>
              <w:t xml:space="preserve"> </w:t>
            </w:r>
            <w:r w:rsidRPr="002A6F4E">
              <w:rPr>
                <w:rFonts w:ascii="Arial" w:hAnsi="Arial" w:cs="Arial"/>
                <w:lang w:val="sr-Latn-ME"/>
              </w:rPr>
              <w:t>lokalnih samouprava</w:t>
            </w:r>
            <w:r w:rsidRPr="002A6F4E">
              <w:rPr>
                <w:rFonts w:ascii="Arial" w:hAnsi="Arial" w:cs="Arial"/>
                <w:lang w:val="sq-AL" w:bidi="ar-AE"/>
              </w:rPr>
              <w:t xml:space="preserve">/ </w:t>
            </w:r>
            <w:r w:rsidR="00B078DC" w:rsidRPr="002A6F4E">
              <w:rPr>
                <w:rFonts w:ascii="Arial" w:hAnsi="Arial" w:cs="Arial"/>
                <w:lang w:val="sq-AL"/>
              </w:rPr>
              <w:t>MERS</w:t>
            </w:r>
            <w:r w:rsidR="00B078DC" w:rsidRPr="002A6F4E">
              <w:rPr>
                <w:rFonts w:ascii="Arial" w:hAnsi="Arial" w:cs="Arial"/>
                <w:lang w:val="sq-AL" w:bidi="ar-AE"/>
              </w:rPr>
              <w:t xml:space="preserve"> </w:t>
            </w:r>
          </w:p>
        </w:tc>
        <w:tc>
          <w:tcPr>
            <w:tcW w:w="508" w:type="pct"/>
            <w:shd w:val="clear" w:color="auto" w:fill="auto"/>
          </w:tcPr>
          <w:p w14:paraId="63E46BB0" w14:textId="507FB924"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 – 202</w:t>
            </w:r>
            <w:r w:rsidR="001213F2">
              <w:rPr>
                <w:rFonts w:ascii="Arial" w:hAnsi="Arial" w:cs="Arial"/>
                <w:lang w:val="sq-AL" w:bidi="ar-AE"/>
              </w:rPr>
              <w:t>7</w:t>
            </w:r>
            <w:r w:rsidRPr="002A6F4E">
              <w:rPr>
                <w:rFonts w:ascii="Arial" w:hAnsi="Arial" w:cs="Arial"/>
                <w:lang w:val="sq-AL" w:bidi="ar-AE"/>
              </w:rPr>
              <w:t>.</w:t>
            </w:r>
          </w:p>
        </w:tc>
        <w:tc>
          <w:tcPr>
            <w:tcW w:w="1305" w:type="pct"/>
          </w:tcPr>
          <w:p w14:paraId="4D041FAB" w14:textId="68A4B38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Državni budžet</w:t>
            </w:r>
            <w:r w:rsidR="00B078DC">
              <w:rPr>
                <w:rFonts w:ascii="Arial" w:hAnsi="Arial" w:cs="Arial"/>
                <w:lang w:val="sq-AL" w:bidi="ar-AE"/>
              </w:rPr>
              <w:t>/</w:t>
            </w:r>
          </w:p>
          <w:p w14:paraId="323FD011" w14:textId="11883D74" w:rsidR="00377063" w:rsidRPr="002A6F4E" w:rsidRDefault="00377063" w:rsidP="00FE289C">
            <w:pPr>
              <w:spacing w:before="40" w:after="40" w:line="360" w:lineRule="auto"/>
              <w:rPr>
                <w:rFonts w:ascii="Arial" w:hAnsi="Arial" w:cs="Arial"/>
                <w:lang w:val="sq-AL" w:bidi="ar-AE"/>
              </w:rPr>
            </w:pPr>
            <w:r w:rsidRPr="00B46B69">
              <w:rPr>
                <w:rFonts w:ascii="Arial" w:hAnsi="Arial" w:cs="Arial"/>
                <w:lang w:val="sq-AL" w:bidi="ar-AE"/>
              </w:rPr>
              <w:t>Lokalni budžet</w:t>
            </w:r>
            <w:r w:rsidR="00B078DC" w:rsidRPr="00B46B69">
              <w:rPr>
                <w:rFonts w:ascii="Arial" w:hAnsi="Arial" w:cs="Arial"/>
                <w:lang w:val="sq-AL" w:bidi="ar-AE"/>
              </w:rPr>
              <w:t>/</w:t>
            </w:r>
          </w:p>
          <w:p w14:paraId="551DFA0F" w14:textId="47A1B89F"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Donatori</w:t>
            </w:r>
            <w:r w:rsidR="001213F2">
              <w:rPr>
                <w:rFonts w:ascii="Arial" w:hAnsi="Arial" w:cs="Arial"/>
                <w:lang w:val="sq-AL" w:bidi="ar-AE"/>
              </w:rPr>
              <w:t>/ Međunarodne finansijske institucije</w:t>
            </w:r>
          </w:p>
          <w:p w14:paraId="7A0F0223" w14:textId="77777777" w:rsidR="00377063" w:rsidRPr="002A6F4E" w:rsidRDefault="00377063" w:rsidP="00FE289C">
            <w:pPr>
              <w:spacing w:before="40" w:after="40" w:line="360" w:lineRule="auto"/>
              <w:rPr>
                <w:rFonts w:ascii="Arial" w:hAnsi="Arial" w:cs="Arial"/>
                <w:lang w:val="sq-AL" w:bidi="ar-AE"/>
              </w:rPr>
            </w:pPr>
          </w:p>
        </w:tc>
      </w:tr>
      <w:tr w:rsidR="000F67ED" w:rsidRPr="0014164F" w14:paraId="2DAEA14A" w14:textId="77777777" w:rsidTr="009754F4">
        <w:trPr>
          <w:jc w:val="center"/>
        </w:trPr>
        <w:tc>
          <w:tcPr>
            <w:tcW w:w="304" w:type="pct"/>
            <w:shd w:val="clear" w:color="auto" w:fill="auto"/>
          </w:tcPr>
          <w:p w14:paraId="0F5B14B5" w14:textId="087EB30E"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1213F2">
              <w:rPr>
                <w:rFonts w:ascii="Arial" w:hAnsi="Arial" w:cs="Arial"/>
                <w:lang w:val="sq-AL" w:bidi="ar-AE"/>
              </w:rPr>
              <w:t>7</w:t>
            </w:r>
          </w:p>
        </w:tc>
        <w:tc>
          <w:tcPr>
            <w:tcW w:w="518" w:type="pct"/>
            <w:shd w:val="clear" w:color="auto" w:fill="auto"/>
          </w:tcPr>
          <w:p w14:paraId="343611C3"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IM</w:t>
            </w:r>
          </w:p>
        </w:tc>
        <w:tc>
          <w:tcPr>
            <w:tcW w:w="1264" w:type="pct"/>
            <w:shd w:val="clear" w:color="auto" w:fill="auto"/>
          </w:tcPr>
          <w:p w14:paraId="19542D8D"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 xml:space="preserve">Nabavka opreme za kompostiranje u domaćinstvu </w:t>
            </w:r>
          </w:p>
        </w:tc>
        <w:tc>
          <w:tcPr>
            <w:tcW w:w="1101" w:type="pct"/>
            <w:shd w:val="clear" w:color="auto" w:fill="auto"/>
          </w:tcPr>
          <w:p w14:paraId="4D64272E" w14:textId="7C608E12"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r-Latn-ME"/>
              </w:rPr>
              <w:t>Jedinice lokalnih samouprava</w:t>
            </w:r>
            <w:r w:rsidRPr="002A6F4E">
              <w:rPr>
                <w:rFonts w:ascii="Arial" w:hAnsi="Arial" w:cs="Arial"/>
                <w:lang w:val="sq-AL" w:bidi="ar-AE"/>
              </w:rPr>
              <w:t>/</w:t>
            </w:r>
            <w:r w:rsidR="001213F2" w:rsidRPr="002A6F4E">
              <w:rPr>
                <w:rFonts w:ascii="Arial" w:hAnsi="Arial" w:cs="Arial"/>
                <w:lang w:val="sq-AL"/>
              </w:rPr>
              <w:t xml:space="preserve"> MERS</w:t>
            </w:r>
            <w:r w:rsidR="001213F2" w:rsidRPr="002A6F4E">
              <w:rPr>
                <w:rFonts w:ascii="Arial" w:hAnsi="Arial" w:cs="Arial"/>
                <w:lang w:val="sq-AL" w:bidi="ar-AE"/>
              </w:rPr>
              <w:t xml:space="preserve"> </w:t>
            </w:r>
          </w:p>
        </w:tc>
        <w:tc>
          <w:tcPr>
            <w:tcW w:w="508" w:type="pct"/>
            <w:shd w:val="clear" w:color="auto" w:fill="auto"/>
          </w:tcPr>
          <w:p w14:paraId="163FE8F4" w14:textId="6A9E67F0"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 – 202</w:t>
            </w:r>
            <w:r w:rsidR="007446E4">
              <w:rPr>
                <w:rFonts w:ascii="Arial" w:hAnsi="Arial" w:cs="Arial"/>
                <w:lang w:val="sq-AL" w:bidi="ar-AE"/>
              </w:rPr>
              <w:t>7</w:t>
            </w:r>
            <w:r w:rsidRPr="002A6F4E">
              <w:rPr>
                <w:rFonts w:ascii="Arial" w:hAnsi="Arial" w:cs="Arial"/>
                <w:lang w:val="sq-AL" w:bidi="ar-AE"/>
              </w:rPr>
              <w:t>.</w:t>
            </w:r>
          </w:p>
        </w:tc>
        <w:tc>
          <w:tcPr>
            <w:tcW w:w="1305" w:type="pct"/>
          </w:tcPr>
          <w:p w14:paraId="2CD898EE" w14:textId="1F3731D1"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Državni budžet</w:t>
            </w:r>
            <w:r w:rsidR="001213F2">
              <w:rPr>
                <w:rFonts w:ascii="Arial" w:hAnsi="Arial" w:cs="Arial"/>
                <w:lang w:val="sq-AL" w:bidi="ar-AE"/>
              </w:rPr>
              <w:t>/</w:t>
            </w:r>
          </w:p>
          <w:p w14:paraId="0C6FB676" w14:textId="237EDA59"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Lokalni budžet</w:t>
            </w:r>
            <w:r w:rsidR="001213F2">
              <w:rPr>
                <w:rFonts w:ascii="Arial" w:hAnsi="Arial" w:cs="Arial"/>
                <w:lang w:val="sq-AL" w:bidi="ar-AE"/>
              </w:rPr>
              <w:t>/</w:t>
            </w:r>
          </w:p>
          <w:p w14:paraId="34B771BC" w14:textId="4B077232"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Donatori</w:t>
            </w:r>
            <w:r w:rsidR="001213F2">
              <w:rPr>
                <w:rFonts w:ascii="Arial" w:hAnsi="Arial" w:cs="Arial"/>
                <w:lang w:val="sq-AL" w:bidi="ar-AE"/>
              </w:rPr>
              <w:t>/</w:t>
            </w:r>
            <w:r w:rsidR="007446E4" w:rsidRPr="007446E4">
              <w:rPr>
                <w:rFonts w:ascii="Arial" w:hAnsi="Arial" w:cs="Arial"/>
                <w:lang w:val="sq-AL" w:bidi="ar-AE"/>
              </w:rPr>
              <w:t>Međunarodne finansijske institucije</w:t>
            </w:r>
          </w:p>
          <w:p w14:paraId="7C92FADB" w14:textId="77777777" w:rsidR="00377063" w:rsidRPr="002A6F4E" w:rsidRDefault="00377063" w:rsidP="00FE289C">
            <w:pPr>
              <w:spacing w:before="40" w:after="40" w:line="360" w:lineRule="auto"/>
              <w:rPr>
                <w:rFonts w:ascii="Arial" w:hAnsi="Arial" w:cs="Arial"/>
                <w:lang w:val="sq-AL" w:bidi="ar-AE"/>
              </w:rPr>
            </w:pPr>
          </w:p>
        </w:tc>
      </w:tr>
      <w:tr w:rsidR="000F67ED" w:rsidRPr="0014164F" w14:paraId="4384D636" w14:textId="77777777" w:rsidTr="009754F4">
        <w:trPr>
          <w:jc w:val="center"/>
        </w:trPr>
        <w:tc>
          <w:tcPr>
            <w:tcW w:w="304" w:type="pct"/>
            <w:shd w:val="clear" w:color="auto" w:fill="auto"/>
          </w:tcPr>
          <w:p w14:paraId="1F6E65EE" w14:textId="1D3DCA0B"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lastRenderedPageBreak/>
              <w:t>4.</w:t>
            </w:r>
            <w:r w:rsidR="001213F2">
              <w:rPr>
                <w:rFonts w:ascii="Arial" w:hAnsi="Arial" w:cs="Arial"/>
                <w:lang w:val="sq-AL" w:bidi="ar-AE"/>
              </w:rPr>
              <w:t>8</w:t>
            </w:r>
          </w:p>
        </w:tc>
        <w:tc>
          <w:tcPr>
            <w:tcW w:w="518" w:type="pct"/>
            <w:shd w:val="clear" w:color="auto" w:fill="auto"/>
          </w:tcPr>
          <w:p w14:paraId="69493154"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IM</w:t>
            </w:r>
          </w:p>
        </w:tc>
        <w:tc>
          <w:tcPr>
            <w:tcW w:w="1264" w:type="pct"/>
            <w:shd w:val="clear" w:color="auto" w:fill="auto"/>
          </w:tcPr>
          <w:p w14:paraId="37F64380" w14:textId="015C5512"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Izgradnja mreže centara za sakupljanje otpada</w:t>
            </w:r>
            <w:r w:rsidR="001213F2">
              <w:rPr>
                <w:rFonts w:ascii="Arial" w:hAnsi="Arial" w:cs="Arial"/>
                <w:lang w:val="sq-AL" w:bidi="ar-AE"/>
              </w:rPr>
              <w:t xml:space="preserve"> (reciklažna dvorišta)</w:t>
            </w:r>
          </w:p>
        </w:tc>
        <w:tc>
          <w:tcPr>
            <w:tcW w:w="1101" w:type="pct"/>
            <w:shd w:val="clear" w:color="auto" w:fill="auto"/>
          </w:tcPr>
          <w:p w14:paraId="7D88531F" w14:textId="5CE9688A" w:rsidR="00377063" w:rsidRPr="002A6F4E" w:rsidRDefault="00377063" w:rsidP="00FE289C">
            <w:pPr>
              <w:spacing w:before="40" w:after="40" w:line="360" w:lineRule="auto"/>
              <w:rPr>
                <w:rFonts w:ascii="Arial" w:hAnsi="Arial" w:cs="Arial"/>
                <w:lang w:val="sq-AL" w:bidi="ar-AE"/>
              </w:rPr>
            </w:pPr>
            <w:r w:rsidRPr="00B46B69">
              <w:rPr>
                <w:rFonts w:ascii="Arial" w:hAnsi="Arial" w:cs="Arial"/>
                <w:lang w:val="sr-Latn-ME"/>
              </w:rPr>
              <w:t>Jedinice lokalnih samouprava</w:t>
            </w:r>
            <w:r w:rsidRPr="00B46B69">
              <w:rPr>
                <w:rFonts w:ascii="Arial" w:hAnsi="Arial" w:cs="Arial"/>
                <w:lang w:val="sq-AL" w:bidi="ar-AE"/>
              </w:rPr>
              <w:t xml:space="preserve">/ </w:t>
            </w:r>
            <w:r w:rsidR="001213F2" w:rsidRPr="00B46B69">
              <w:rPr>
                <w:rFonts w:ascii="Arial" w:hAnsi="Arial" w:cs="Arial"/>
                <w:lang w:val="sq-AL"/>
              </w:rPr>
              <w:t>MERS</w:t>
            </w:r>
            <w:r w:rsidR="001213F2" w:rsidRPr="002A6F4E">
              <w:rPr>
                <w:rFonts w:ascii="Arial" w:hAnsi="Arial" w:cs="Arial"/>
                <w:lang w:val="sq-AL" w:bidi="ar-AE"/>
              </w:rPr>
              <w:t xml:space="preserve"> </w:t>
            </w:r>
          </w:p>
        </w:tc>
        <w:tc>
          <w:tcPr>
            <w:tcW w:w="508" w:type="pct"/>
            <w:shd w:val="clear" w:color="auto" w:fill="auto"/>
          </w:tcPr>
          <w:p w14:paraId="71E9D35B" w14:textId="5A064C8C"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 – 202</w:t>
            </w:r>
            <w:r w:rsidR="007446E4">
              <w:rPr>
                <w:rFonts w:ascii="Arial" w:hAnsi="Arial" w:cs="Arial"/>
                <w:lang w:val="sq-AL" w:bidi="ar-AE"/>
              </w:rPr>
              <w:t>8</w:t>
            </w:r>
            <w:r w:rsidRPr="002A6F4E">
              <w:rPr>
                <w:rFonts w:ascii="Arial" w:hAnsi="Arial" w:cs="Arial"/>
                <w:lang w:val="sq-AL" w:bidi="ar-AE"/>
              </w:rPr>
              <w:t>.</w:t>
            </w:r>
          </w:p>
        </w:tc>
        <w:tc>
          <w:tcPr>
            <w:tcW w:w="1305" w:type="pct"/>
          </w:tcPr>
          <w:p w14:paraId="325E3715" w14:textId="71F5ACB6"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Državni budžet</w:t>
            </w:r>
            <w:r w:rsidR="001213F2">
              <w:rPr>
                <w:rFonts w:ascii="Arial" w:hAnsi="Arial" w:cs="Arial"/>
                <w:lang w:val="sq-AL" w:bidi="ar-AE"/>
              </w:rPr>
              <w:t>/</w:t>
            </w:r>
          </w:p>
          <w:p w14:paraId="6373DF31" w14:textId="78EFC949"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Lokalni budžet</w:t>
            </w:r>
            <w:r w:rsidR="001213F2">
              <w:rPr>
                <w:rFonts w:ascii="Arial" w:hAnsi="Arial" w:cs="Arial"/>
                <w:lang w:val="sq-AL" w:bidi="ar-AE"/>
              </w:rPr>
              <w:t>/</w:t>
            </w:r>
          </w:p>
          <w:p w14:paraId="6F464E56" w14:textId="3EB37DA9"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Donatori</w:t>
            </w:r>
            <w:r w:rsidR="001213F2">
              <w:rPr>
                <w:rFonts w:ascii="Arial" w:hAnsi="Arial" w:cs="Arial"/>
                <w:lang w:val="sq-AL" w:bidi="ar-AE"/>
              </w:rPr>
              <w:t>/Međunarodne finansijske institucije</w:t>
            </w:r>
          </w:p>
          <w:p w14:paraId="77383CE3" w14:textId="524C61AA" w:rsidR="00377063" w:rsidRPr="002A6F4E" w:rsidRDefault="00377063" w:rsidP="00FE289C">
            <w:pPr>
              <w:spacing w:before="40" w:after="40" w:line="360" w:lineRule="auto"/>
              <w:rPr>
                <w:rFonts w:ascii="Arial" w:hAnsi="Arial" w:cs="Arial"/>
                <w:lang w:val="sq-AL" w:bidi="ar-AE"/>
              </w:rPr>
            </w:pPr>
          </w:p>
        </w:tc>
      </w:tr>
      <w:tr w:rsidR="00377063" w:rsidRPr="0014164F" w14:paraId="35A76191" w14:textId="77777777" w:rsidTr="009754F4">
        <w:trPr>
          <w:jc w:val="center"/>
        </w:trPr>
        <w:tc>
          <w:tcPr>
            <w:tcW w:w="3695" w:type="pct"/>
            <w:gridSpan w:val="5"/>
            <w:shd w:val="clear" w:color="auto" w:fill="EDEDED" w:themeFill="accent3" w:themeFillTint="33"/>
          </w:tcPr>
          <w:p w14:paraId="664857CC" w14:textId="06E89E54" w:rsidR="00377063" w:rsidRPr="002A6F4E" w:rsidRDefault="00377063" w:rsidP="00FE289C">
            <w:pPr>
              <w:spacing w:before="40" w:after="40" w:line="360" w:lineRule="auto"/>
              <w:rPr>
                <w:rFonts w:ascii="Arial" w:hAnsi="Arial" w:cs="Arial"/>
                <w:b/>
                <w:bCs/>
                <w:i/>
                <w:lang w:val="sq-AL" w:bidi="ar-AE"/>
              </w:rPr>
            </w:pPr>
            <w:r w:rsidRPr="002A6F4E">
              <w:rPr>
                <w:rFonts w:ascii="Arial" w:hAnsi="Arial" w:cs="Arial"/>
                <w:b/>
                <w:lang w:val="sq-AL" w:bidi="ar-AE"/>
              </w:rPr>
              <w:t>Posebni cilj IV</w:t>
            </w:r>
            <w:r w:rsidRPr="002A6F4E">
              <w:rPr>
                <w:rFonts w:ascii="Arial" w:hAnsi="Arial" w:cs="Arial"/>
                <w:bCs/>
                <w:lang w:val="sq-AL" w:bidi="ar-AE"/>
              </w:rPr>
              <w:t xml:space="preserve">: </w:t>
            </w:r>
            <w:r w:rsidRPr="002A6F4E">
              <w:rPr>
                <w:rFonts w:ascii="Arial" w:hAnsi="Arial" w:cs="Arial"/>
                <w:b/>
                <w:bCs/>
                <w:i/>
                <w:lang w:val="sq-AL" w:bidi="ar-AE"/>
              </w:rPr>
              <w:t xml:space="preserve">Crna Gora kao primarni cilj postavlja da obrađuje otpad koji nije pogodan za ponovnu upotrebu/recikliranje prije </w:t>
            </w:r>
            <w:r w:rsidR="007446E4">
              <w:rPr>
                <w:rFonts w:ascii="Arial" w:hAnsi="Arial" w:cs="Arial"/>
                <w:b/>
                <w:bCs/>
                <w:i/>
                <w:lang w:val="sq-AL" w:bidi="ar-AE"/>
              </w:rPr>
              <w:t>odstranjivanja</w:t>
            </w:r>
            <w:r w:rsidRPr="002A6F4E">
              <w:rPr>
                <w:rFonts w:ascii="Arial" w:hAnsi="Arial" w:cs="Arial"/>
                <w:b/>
                <w:bCs/>
                <w:i/>
                <w:lang w:val="sq-AL" w:bidi="ar-AE"/>
              </w:rPr>
              <w:t>, te da upotrebljava otpad kao materijal i izvor energije</w:t>
            </w:r>
            <w:bookmarkStart w:id="1454" w:name="_Hlk121694486"/>
            <w:r w:rsidRPr="002A6F4E">
              <w:rPr>
                <w:rFonts w:ascii="Arial" w:hAnsi="Arial" w:cs="Arial"/>
                <w:b/>
                <w:bCs/>
                <w:i/>
                <w:lang w:val="sq-AL" w:bidi="ar-AE"/>
              </w:rPr>
              <w:t xml:space="preserve">  </w:t>
            </w:r>
            <w:bookmarkEnd w:id="1454"/>
          </w:p>
          <w:p w14:paraId="005D1BC8" w14:textId="77777777" w:rsidR="00377063" w:rsidRPr="002A6F4E" w:rsidRDefault="00377063" w:rsidP="00A23ED0">
            <w:pPr>
              <w:pStyle w:val="ListParagraph"/>
              <w:numPr>
                <w:ilvl w:val="0"/>
                <w:numId w:val="89"/>
              </w:numPr>
              <w:spacing w:before="40" w:after="40" w:line="360" w:lineRule="auto"/>
              <w:ind w:hanging="357"/>
              <w:rPr>
                <w:rFonts w:ascii="Arial" w:hAnsi="Arial" w:cs="Arial"/>
                <w:i/>
                <w:lang w:val="sq-AL" w:bidi="ar-AE"/>
              </w:rPr>
            </w:pPr>
            <w:bookmarkStart w:id="1455" w:name="_Hlk121694562"/>
            <w:r w:rsidRPr="002A6F4E">
              <w:rPr>
                <w:rFonts w:ascii="Arial" w:hAnsi="Arial" w:cs="Arial"/>
                <w:i/>
                <w:lang w:val="sq-AL" w:bidi="ar-AE"/>
              </w:rPr>
              <w:t xml:space="preserve">do 2025. godine, najveće količine odloženog biorazgradivog otpada na nivou od 75% količina generisanih 2010. godine; </w:t>
            </w:r>
          </w:p>
          <w:p w14:paraId="0EFF8600" w14:textId="77777777" w:rsidR="00377063" w:rsidRPr="002A6F4E" w:rsidRDefault="00377063" w:rsidP="00A23ED0">
            <w:pPr>
              <w:pStyle w:val="ListParagraph"/>
              <w:numPr>
                <w:ilvl w:val="0"/>
                <w:numId w:val="89"/>
              </w:numPr>
              <w:spacing w:before="40" w:after="40" w:line="360" w:lineRule="auto"/>
              <w:ind w:hanging="357"/>
              <w:rPr>
                <w:rFonts w:ascii="Arial" w:hAnsi="Arial" w:cs="Arial"/>
                <w:i/>
                <w:lang w:val="sq-AL" w:bidi="ar-AE"/>
              </w:rPr>
            </w:pPr>
            <w:r w:rsidRPr="002A6F4E">
              <w:rPr>
                <w:rFonts w:ascii="Arial" w:hAnsi="Arial" w:cs="Arial"/>
                <w:i/>
                <w:lang w:val="sq-AL" w:bidi="ar-AE"/>
              </w:rPr>
              <w:t>do 2029. godine, najveće količine odloženog biorazgradivog otpada na nivou od 50% količina generisanih 2010. godine;</w:t>
            </w:r>
          </w:p>
          <w:p w14:paraId="1596E829" w14:textId="3D362EBC" w:rsidR="00377063" w:rsidRPr="00F72E85" w:rsidRDefault="00377063" w:rsidP="00A23ED0">
            <w:pPr>
              <w:pStyle w:val="ListParagraph"/>
              <w:numPr>
                <w:ilvl w:val="0"/>
                <w:numId w:val="89"/>
              </w:numPr>
              <w:spacing w:before="40" w:after="40" w:line="360" w:lineRule="auto"/>
              <w:ind w:hanging="357"/>
              <w:rPr>
                <w:rFonts w:ascii="Arial" w:hAnsi="Arial" w:cs="Arial"/>
                <w:i/>
                <w:lang w:val="sq-AL" w:bidi="ar-AE"/>
              </w:rPr>
            </w:pPr>
            <w:r w:rsidRPr="002A6F4E">
              <w:rPr>
                <w:rFonts w:ascii="Arial" w:hAnsi="Arial" w:cs="Arial"/>
                <w:i/>
                <w:lang w:val="sq-AL" w:bidi="ar-AE"/>
              </w:rPr>
              <w:t>do 2033. godine, najveće količine odloženog biorazgradivog otpada na nivou od 35% količina generisanih 2010. godine</w:t>
            </w:r>
            <w:bookmarkEnd w:id="1455"/>
            <w:r w:rsidR="00F72E85">
              <w:rPr>
                <w:rFonts w:ascii="Arial" w:hAnsi="Arial" w:cs="Arial"/>
                <w:i/>
                <w:lang w:val="sq-AL" w:bidi="ar-AE"/>
              </w:rPr>
              <w:t>.</w:t>
            </w:r>
          </w:p>
        </w:tc>
        <w:tc>
          <w:tcPr>
            <w:tcW w:w="1305" w:type="pct"/>
            <w:shd w:val="clear" w:color="auto" w:fill="EDEDED" w:themeFill="accent3" w:themeFillTint="33"/>
          </w:tcPr>
          <w:p w14:paraId="59553A38" w14:textId="77777777" w:rsidR="00377063" w:rsidRPr="002A6F4E" w:rsidRDefault="00377063" w:rsidP="00FE289C">
            <w:pPr>
              <w:spacing w:before="40" w:after="40" w:line="360" w:lineRule="auto"/>
              <w:rPr>
                <w:rFonts w:ascii="Arial" w:hAnsi="Arial" w:cs="Arial"/>
                <w:b/>
                <w:lang w:val="sq-AL" w:bidi="ar-AE"/>
              </w:rPr>
            </w:pPr>
          </w:p>
        </w:tc>
      </w:tr>
      <w:tr w:rsidR="000F67ED" w:rsidRPr="0014164F" w14:paraId="6263F815" w14:textId="77777777" w:rsidTr="009754F4">
        <w:trPr>
          <w:jc w:val="center"/>
        </w:trPr>
        <w:tc>
          <w:tcPr>
            <w:tcW w:w="304" w:type="pct"/>
            <w:shd w:val="clear" w:color="auto" w:fill="auto"/>
          </w:tcPr>
          <w:p w14:paraId="7156CEBD" w14:textId="6A6F5583"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F72E85">
              <w:rPr>
                <w:rFonts w:ascii="Arial" w:hAnsi="Arial" w:cs="Arial"/>
                <w:lang w:val="sq-AL" w:bidi="ar-AE"/>
              </w:rPr>
              <w:t>9</w:t>
            </w:r>
          </w:p>
        </w:tc>
        <w:tc>
          <w:tcPr>
            <w:tcW w:w="518" w:type="pct"/>
            <w:shd w:val="clear" w:color="auto" w:fill="auto"/>
          </w:tcPr>
          <w:p w14:paraId="2A462B69"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PSSSS</w:t>
            </w:r>
          </w:p>
        </w:tc>
        <w:tc>
          <w:tcPr>
            <w:tcW w:w="1264" w:type="pct"/>
            <w:shd w:val="clear" w:color="auto" w:fill="auto"/>
          </w:tcPr>
          <w:p w14:paraId="60FC33A2"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Studija:</w:t>
            </w:r>
          </w:p>
          <w:p w14:paraId="4655BB8C" w14:textId="77777777" w:rsidR="00377063" w:rsidRPr="002A6F4E" w:rsidRDefault="00377063" w:rsidP="00A23ED0">
            <w:pPr>
              <w:pStyle w:val="ListParagraph"/>
              <w:numPr>
                <w:ilvl w:val="0"/>
                <w:numId w:val="89"/>
              </w:numPr>
              <w:spacing w:before="40" w:after="40" w:line="360" w:lineRule="auto"/>
              <w:ind w:left="242" w:hanging="218"/>
              <w:rPr>
                <w:rFonts w:ascii="Arial" w:hAnsi="Arial" w:cs="Arial"/>
                <w:lang w:val="sq-AL" w:bidi="ar-AE"/>
              </w:rPr>
            </w:pPr>
            <w:r w:rsidRPr="002A6F4E">
              <w:rPr>
                <w:rFonts w:ascii="Arial" w:hAnsi="Arial" w:cs="Arial"/>
                <w:lang w:val="sq-AL" w:bidi="ar-AE"/>
              </w:rPr>
              <w:t>utvrđivanja potrebnih kapaciteta za obradu otpada;</w:t>
            </w:r>
          </w:p>
          <w:p w14:paraId="6208C0B3" w14:textId="4C30729B" w:rsidR="00377063" w:rsidRPr="002A6F4E" w:rsidRDefault="00377063" w:rsidP="00A23ED0">
            <w:pPr>
              <w:pStyle w:val="ListParagraph"/>
              <w:numPr>
                <w:ilvl w:val="0"/>
                <w:numId w:val="89"/>
              </w:numPr>
              <w:spacing w:before="40" w:after="40" w:line="360" w:lineRule="auto"/>
              <w:ind w:left="242" w:hanging="218"/>
              <w:rPr>
                <w:rFonts w:ascii="Arial" w:hAnsi="Arial" w:cs="Arial"/>
                <w:lang w:val="sq-AL" w:bidi="ar-AE"/>
              </w:rPr>
            </w:pPr>
            <w:r w:rsidRPr="002A6F4E">
              <w:rPr>
                <w:rFonts w:ascii="Arial" w:hAnsi="Arial" w:cs="Arial"/>
                <w:lang w:val="sq-AL" w:bidi="ar-AE"/>
              </w:rPr>
              <w:t>tehnologija za obradu otpada koje treba primijeniti</w:t>
            </w:r>
            <w:r w:rsidR="00F72E85">
              <w:rPr>
                <w:rFonts w:ascii="Arial" w:hAnsi="Arial" w:cs="Arial"/>
                <w:lang w:val="sq-AL" w:bidi="ar-AE"/>
              </w:rPr>
              <w:t>;</w:t>
            </w:r>
          </w:p>
          <w:p w14:paraId="04D580E0" w14:textId="77777777" w:rsidR="00377063" w:rsidRPr="002A6F4E" w:rsidRDefault="00377063" w:rsidP="00A23ED0">
            <w:pPr>
              <w:pStyle w:val="ListParagraph"/>
              <w:numPr>
                <w:ilvl w:val="0"/>
                <w:numId w:val="89"/>
              </w:numPr>
              <w:spacing w:before="40" w:after="40" w:line="360" w:lineRule="auto"/>
              <w:ind w:left="242" w:hanging="218"/>
              <w:rPr>
                <w:rFonts w:ascii="Arial" w:hAnsi="Arial" w:cs="Arial"/>
                <w:lang w:val="sq-AL" w:bidi="ar-AE"/>
              </w:rPr>
            </w:pPr>
            <w:r w:rsidRPr="002A6F4E">
              <w:rPr>
                <w:rFonts w:ascii="Arial" w:hAnsi="Arial" w:cs="Arial"/>
                <w:lang w:val="sq-AL" w:bidi="ar-AE"/>
              </w:rPr>
              <w:t>stavljanja na tržište sekundarnih proizvoda;</w:t>
            </w:r>
          </w:p>
          <w:p w14:paraId="0DBDCFCB" w14:textId="7986C4E0" w:rsidR="00377063" w:rsidRPr="002A6F4E" w:rsidRDefault="00377063" w:rsidP="00A23ED0">
            <w:pPr>
              <w:pStyle w:val="ListParagraph"/>
              <w:numPr>
                <w:ilvl w:val="0"/>
                <w:numId w:val="89"/>
              </w:numPr>
              <w:spacing w:before="40" w:after="40" w:line="360" w:lineRule="auto"/>
              <w:ind w:left="242" w:hanging="218"/>
              <w:rPr>
                <w:rFonts w:ascii="Arial" w:hAnsi="Arial" w:cs="Arial"/>
                <w:lang w:val="sq-AL" w:bidi="ar-AE"/>
              </w:rPr>
            </w:pPr>
            <w:r w:rsidRPr="002A6F4E">
              <w:rPr>
                <w:rFonts w:ascii="Arial" w:hAnsi="Arial" w:cs="Arial"/>
                <w:lang w:val="sq-AL" w:bidi="ar-AE"/>
              </w:rPr>
              <w:t>izrade standarda i uslova za obradu otpada</w:t>
            </w:r>
            <w:r w:rsidR="00F72E85">
              <w:rPr>
                <w:rFonts w:ascii="Arial" w:hAnsi="Arial" w:cs="Arial"/>
                <w:lang w:val="sq-AL" w:bidi="ar-AE"/>
              </w:rPr>
              <w:t>.</w:t>
            </w:r>
          </w:p>
        </w:tc>
        <w:tc>
          <w:tcPr>
            <w:tcW w:w="1101" w:type="pct"/>
            <w:shd w:val="clear" w:color="auto" w:fill="auto"/>
          </w:tcPr>
          <w:p w14:paraId="45D95DFC" w14:textId="5B553E5D"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00F72E85">
              <w:rPr>
                <w:rFonts w:ascii="Arial" w:hAnsi="Arial" w:cs="Arial"/>
                <w:lang w:val="sq-AL"/>
              </w:rPr>
              <w:t>/Jedinice lokalnih samouprava</w:t>
            </w:r>
          </w:p>
        </w:tc>
        <w:tc>
          <w:tcPr>
            <w:tcW w:w="508" w:type="pct"/>
            <w:shd w:val="clear" w:color="auto" w:fill="auto"/>
          </w:tcPr>
          <w:p w14:paraId="3EF77213" w14:textId="652BA411"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w:t>
            </w:r>
            <w:r w:rsidR="00F72E85">
              <w:rPr>
                <w:rFonts w:ascii="Arial" w:hAnsi="Arial" w:cs="Arial"/>
                <w:lang w:val="sq-AL" w:bidi="ar-AE"/>
              </w:rPr>
              <w:t>6</w:t>
            </w:r>
            <w:r w:rsidRPr="002A6F4E">
              <w:rPr>
                <w:rFonts w:ascii="Arial" w:hAnsi="Arial" w:cs="Arial"/>
                <w:lang w:val="sq-AL" w:bidi="ar-AE"/>
              </w:rPr>
              <w:t xml:space="preserve"> – 202</w:t>
            </w:r>
            <w:r w:rsidR="00F72E85">
              <w:rPr>
                <w:rFonts w:ascii="Arial" w:hAnsi="Arial" w:cs="Arial"/>
                <w:lang w:val="sq-AL" w:bidi="ar-AE"/>
              </w:rPr>
              <w:t>7</w:t>
            </w:r>
            <w:r w:rsidRPr="002A6F4E">
              <w:rPr>
                <w:rFonts w:ascii="Arial" w:hAnsi="Arial" w:cs="Arial"/>
                <w:lang w:val="sq-AL" w:bidi="ar-AE"/>
              </w:rPr>
              <w:t>.</w:t>
            </w:r>
          </w:p>
        </w:tc>
        <w:tc>
          <w:tcPr>
            <w:tcW w:w="1305" w:type="pct"/>
          </w:tcPr>
          <w:p w14:paraId="320A960A" w14:textId="124BF4A7" w:rsidR="007446E4" w:rsidRDefault="00377063" w:rsidP="007446E4">
            <w:pPr>
              <w:spacing w:before="40" w:after="40" w:line="360" w:lineRule="auto"/>
              <w:rPr>
                <w:rFonts w:ascii="Arial" w:hAnsi="Arial" w:cs="Arial"/>
                <w:lang w:val="sq-AL" w:bidi="ar-AE"/>
              </w:rPr>
            </w:pPr>
            <w:r w:rsidRPr="002A6F4E">
              <w:rPr>
                <w:rFonts w:ascii="Arial" w:hAnsi="Arial" w:cs="Arial"/>
                <w:lang w:val="sq-AL" w:bidi="ar-AE"/>
              </w:rPr>
              <w:t>Državni budžet</w:t>
            </w:r>
            <w:r w:rsidR="007446E4">
              <w:rPr>
                <w:rFonts w:ascii="Arial" w:hAnsi="Arial" w:cs="Arial"/>
                <w:lang w:val="sq-AL" w:bidi="ar-AE"/>
              </w:rPr>
              <w:t>/ Lokalni bužet</w:t>
            </w:r>
          </w:p>
          <w:p w14:paraId="35E02176" w14:textId="77777777" w:rsidR="00377063" w:rsidRPr="002A6F4E" w:rsidRDefault="00377063" w:rsidP="00FE289C">
            <w:pPr>
              <w:spacing w:before="40" w:after="40" w:line="360" w:lineRule="auto"/>
              <w:rPr>
                <w:rFonts w:ascii="Arial" w:hAnsi="Arial" w:cs="Arial"/>
                <w:lang w:val="sq-AL" w:bidi="ar-AE"/>
              </w:rPr>
            </w:pPr>
          </w:p>
          <w:p w14:paraId="4F4CF4E8" w14:textId="20C046E7" w:rsidR="00F72E85" w:rsidRDefault="00377063" w:rsidP="00FE289C">
            <w:pPr>
              <w:spacing w:before="40" w:after="40" w:line="360" w:lineRule="auto"/>
              <w:rPr>
                <w:rFonts w:ascii="Arial" w:hAnsi="Arial" w:cs="Arial"/>
                <w:lang w:val="sq-AL" w:bidi="ar-AE"/>
              </w:rPr>
            </w:pPr>
            <w:r w:rsidRPr="002A6F4E">
              <w:rPr>
                <w:rFonts w:ascii="Arial" w:hAnsi="Arial" w:cs="Arial"/>
                <w:lang w:val="sq-AL" w:bidi="ar-AE"/>
              </w:rPr>
              <w:t>Donatori</w:t>
            </w:r>
            <w:r w:rsidR="00F72E85">
              <w:rPr>
                <w:rFonts w:ascii="Arial" w:hAnsi="Arial" w:cs="Arial"/>
                <w:lang w:val="sq-AL" w:bidi="ar-AE"/>
              </w:rPr>
              <w:t>/</w:t>
            </w:r>
            <w:r w:rsidR="007446E4" w:rsidRPr="003D7619">
              <w:rPr>
                <w:lang w:val="sq-AL"/>
              </w:rPr>
              <w:t xml:space="preserve"> </w:t>
            </w:r>
            <w:r w:rsidR="007446E4" w:rsidRPr="007446E4">
              <w:rPr>
                <w:rFonts w:ascii="Arial" w:hAnsi="Arial" w:cs="Arial"/>
                <w:lang w:val="sq-AL" w:bidi="ar-AE"/>
              </w:rPr>
              <w:t>Međunarodne finansijske institucije</w:t>
            </w:r>
          </w:p>
          <w:p w14:paraId="1520840A" w14:textId="77777777" w:rsidR="00F72E85" w:rsidRPr="002A6F4E" w:rsidRDefault="00F72E85" w:rsidP="00FE289C">
            <w:pPr>
              <w:spacing w:before="40" w:after="40" w:line="360" w:lineRule="auto"/>
              <w:rPr>
                <w:rFonts w:ascii="Arial" w:hAnsi="Arial" w:cs="Arial"/>
                <w:lang w:val="sq-AL" w:bidi="ar-AE"/>
              </w:rPr>
            </w:pPr>
          </w:p>
          <w:p w14:paraId="6319732A" w14:textId="77777777" w:rsidR="00377063" w:rsidRPr="002A6F4E" w:rsidRDefault="00377063" w:rsidP="00FE289C">
            <w:pPr>
              <w:spacing w:before="40" w:after="40" w:line="360" w:lineRule="auto"/>
              <w:rPr>
                <w:rFonts w:ascii="Arial" w:hAnsi="Arial" w:cs="Arial"/>
                <w:lang w:val="sq-AL" w:bidi="ar-AE"/>
              </w:rPr>
            </w:pPr>
          </w:p>
        </w:tc>
      </w:tr>
      <w:tr w:rsidR="00377063" w:rsidRPr="0014164F" w14:paraId="44066D88" w14:textId="77777777" w:rsidTr="009754F4">
        <w:trPr>
          <w:jc w:val="center"/>
        </w:trPr>
        <w:tc>
          <w:tcPr>
            <w:tcW w:w="3695" w:type="pct"/>
            <w:gridSpan w:val="5"/>
            <w:shd w:val="clear" w:color="auto" w:fill="EDEDED" w:themeFill="accent3" w:themeFillTint="33"/>
          </w:tcPr>
          <w:p w14:paraId="0D92D079" w14:textId="13D8156A" w:rsidR="00377063" w:rsidRPr="00275761" w:rsidRDefault="00377063" w:rsidP="00275761">
            <w:pPr>
              <w:spacing w:before="40" w:after="40" w:line="360" w:lineRule="auto"/>
              <w:rPr>
                <w:rFonts w:ascii="Arial" w:hAnsi="Arial" w:cs="Arial"/>
                <w:b/>
                <w:lang w:val="sq-AL" w:bidi="ar-AE"/>
              </w:rPr>
            </w:pPr>
            <w:r w:rsidRPr="002A6F4E">
              <w:rPr>
                <w:rFonts w:ascii="Arial" w:hAnsi="Arial" w:cs="Arial"/>
                <w:b/>
                <w:lang w:val="sq-AL" w:bidi="ar-AE"/>
              </w:rPr>
              <w:t>Posebni cilj V</w:t>
            </w:r>
            <w:r w:rsidRPr="002A6F4E">
              <w:rPr>
                <w:rFonts w:ascii="Arial" w:hAnsi="Arial" w:cs="Arial"/>
                <w:bCs/>
                <w:lang w:val="sq-AL" w:bidi="ar-AE"/>
              </w:rPr>
              <w:t xml:space="preserve">: </w:t>
            </w:r>
            <w:r w:rsidRPr="002A6F4E">
              <w:rPr>
                <w:rFonts w:ascii="Arial" w:hAnsi="Arial" w:cs="Arial"/>
                <w:b/>
                <w:lang w:val="sq-AL" w:bidi="ar-AE"/>
              </w:rPr>
              <w:t>Primarni cilj Crne Gore je da smanji zavisnost od deponija u korist alternativnih rješenja koja su ekološki pogodnija</w:t>
            </w:r>
          </w:p>
        </w:tc>
        <w:tc>
          <w:tcPr>
            <w:tcW w:w="1305" w:type="pct"/>
            <w:shd w:val="clear" w:color="auto" w:fill="EDEDED" w:themeFill="accent3" w:themeFillTint="33"/>
          </w:tcPr>
          <w:p w14:paraId="5454607D" w14:textId="77777777" w:rsidR="00377063" w:rsidRPr="002A6F4E" w:rsidRDefault="00377063" w:rsidP="00FE289C">
            <w:pPr>
              <w:spacing w:before="40" w:after="40" w:line="360" w:lineRule="auto"/>
              <w:rPr>
                <w:rFonts w:ascii="Arial" w:hAnsi="Arial" w:cs="Arial"/>
                <w:b/>
                <w:lang w:val="sq-AL" w:bidi="ar-AE"/>
              </w:rPr>
            </w:pPr>
          </w:p>
        </w:tc>
      </w:tr>
      <w:tr w:rsidR="000F67ED" w:rsidRPr="002A6F4E" w14:paraId="1BAA1AFF" w14:textId="77777777" w:rsidTr="009754F4">
        <w:trPr>
          <w:jc w:val="center"/>
        </w:trPr>
        <w:tc>
          <w:tcPr>
            <w:tcW w:w="304" w:type="pct"/>
            <w:shd w:val="clear" w:color="auto" w:fill="auto"/>
          </w:tcPr>
          <w:p w14:paraId="6B32BC58" w14:textId="41D04EAC"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4.</w:t>
            </w:r>
            <w:r w:rsidR="00275761">
              <w:rPr>
                <w:rFonts w:ascii="Arial" w:hAnsi="Arial" w:cs="Arial"/>
                <w:lang w:bidi="ar-AE"/>
              </w:rPr>
              <w:t>10</w:t>
            </w:r>
          </w:p>
        </w:tc>
        <w:tc>
          <w:tcPr>
            <w:tcW w:w="518" w:type="pct"/>
            <w:shd w:val="clear" w:color="auto" w:fill="auto"/>
          </w:tcPr>
          <w:p w14:paraId="14705E21" w14:textId="1473251F" w:rsidR="00377063" w:rsidRPr="002A6F4E" w:rsidRDefault="00275761" w:rsidP="00FE289C">
            <w:pPr>
              <w:spacing w:before="40" w:after="40" w:line="360" w:lineRule="auto"/>
              <w:rPr>
                <w:rFonts w:ascii="Arial" w:hAnsi="Arial" w:cs="Arial"/>
                <w:lang w:val="sq-AL" w:bidi="ar-AE"/>
              </w:rPr>
            </w:pPr>
            <w:r>
              <w:rPr>
                <w:rFonts w:ascii="Arial" w:hAnsi="Arial" w:cs="Arial"/>
                <w:lang w:bidi="ar-AE"/>
              </w:rPr>
              <w:t>Z</w:t>
            </w:r>
            <w:r w:rsidR="00377063" w:rsidRPr="002A6F4E">
              <w:rPr>
                <w:rFonts w:ascii="Arial" w:hAnsi="Arial" w:cs="Arial"/>
                <w:lang w:bidi="ar-AE"/>
              </w:rPr>
              <w:t>M</w:t>
            </w:r>
          </w:p>
        </w:tc>
        <w:tc>
          <w:tcPr>
            <w:tcW w:w="1264" w:type="pct"/>
            <w:shd w:val="clear" w:color="auto" w:fill="auto"/>
          </w:tcPr>
          <w:p w14:paraId="35D7C9AB" w14:textId="250EBF81"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 xml:space="preserve">Izraditi novi pravni okvir, propise i standarde za deponije sa tehničkim specifikacijama kako bi se olakšalo postavljanje, projektovanje, izgradnja, rad i </w:t>
            </w:r>
            <w:r w:rsidRPr="002A6F4E">
              <w:rPr>
                <w:rFonts w:ascii="Arial" w:hAnsi="Arial" w:cs="Arial"/>
                <w:lang w:val="sq-AL" w:bidi="ar-AE"/>
              </w:rPr>
              <w:lastRenderedPageBreak/>
              <w:t>praćenje postojećih i novih objekata</w:t>
            </w:r>
          </w:p>
        </w:tc>
        <w:tc>
          <w:tcPr>
            <w:tcW w:w="1101" w:type="pct"/>
            <w:shd w:val="clear" w:color="auto" w:fill="auto"/>
          </w:tcPr>
          <w:p w14:paraId="32606902" w14:textId="0ADC7D4F"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lastRenderedPageBreak/>
              <w:t>ME</w:t>
            </w:r>
            <w:r w:rsidR="00275761">
              <w:rPr>
                <w:rFonts w:ascii="Arial" w:hAnsi="Arial" w:cs="Arial"/>
                <w:lang w:bidi="ar-AE"/>
              </w:rPr>
              <w:t>RS</w:t>
            </w:r>
            <w:r w:rsidR="004E1388" w:rsidRPr="004E1388">
              <w:rPr>
                <w:rFonts w:ascii="Arial" w:hAnsi="Arial" w:cs="Arial"/>
                <w:lang w:bidi="ar-AE"/>
              </w:rPr>
              <w:t>/Jedinice lokalnih samouprava</w:t>
            </w:r>
          </w:p>
        </w:tc>
        <w:tc>
          <w:tcPr>
            <w:tcW w:w="508" w:type="pct"/>
            <w:shd w:val="clear" w:color="auto" w:fill="auto"/>
          </w:tcPr>
          <w:p w14:paraId="37A93AEF" w14:textId="41D57A2D"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2025-202</w:t>
            </w:r>
            <w:r w:rsidR="004E1388">
              <w:rPr>
                <w:rFonts w:ascii="Arial" w:hAnsi="Arial" w:cs="Arial"/>
                <w:lang w:bidi="ar-AE"/>
              </w:rPr>
              <w:t>7</w:t>
            </w:r>
          </w:p>
        </w:tc>
        <w:tc>
          <w:tcPr>
            <w:tcW w:w="1305" w:type="pct"/>
          </w:tcPr>
          <w:p w14:paraId="7246A80E" w14:textId="7FFE507C" w:rsidR="00377063" w:rsidRPr="002A6F4E" w:rsidRDefault="00275761" w:rsidP="00FE289C">
            <w:pPr>
              <w:spacing w:before="40" w:after="40" w:line="360" w:lineRule="auto"/>
              <w:rPr>
                <w:rFonts w:ascii="Arial" w:hAnsi="Arial" w:cs="Arial"/>
                <w:lang w:val="sq-AL" w:bidi="ar-AE"/>
              </w:rPr>
            </w:pPr>
            <w:r>
              <w:rPr>
                <w:rFonts w:ascii="Arial" w:hAnsi="Arial" w:cs="Arial"/>
                <w:lang w:bidi="ar-AE"/>
              </w:rPr>
              <w:t>/</w:t>
            </w:r>
          </w:p>
        </w:tc>
      </w:tr>
      <w:tr w:rsidR="000F67ED" w:rsidRPr="002A6F4E" w14:paraId="356E69DF" w14:textId="77777777" w:rsidTr="009754F4">
        <w:trPr>
          <w:jc w:val="center"/>
        </w:trPr>
        <w:tc>
          <w:tcPr>
            <w:tcW w:w="304" w:type="pct"/>
            <w:shd w:val="clear" w:color="auto" w:fill="auto"/>
          </w:tcPr>
          <w:p w14:paraId="67DA707E" w14:textId="443146BA"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4.</w:t>
            </w:r>
            <w:r w:rsidR="005014FA">
              <w:rPr>
                <w:rFonts w:ascii="Arial" w:hAnsi="Arial" w:cs="Arial"/>
                <w:lang w:bidi="ar-AE"/>
              </w:rPr>
              <w:t>1</w:t>
            </w:r>
            <w:r w:rsidRPr="002A6F4E">
              <w:rPr>
                <w:rFonts w:ascii="Arial" w:hAnsi="Arial" w:cs="Arial"/>
                <w:lang w:bidi="ar-AE"/>
              </w:rPr>
              <w:t>1</w:t>
            </w:r>
          </w:p>
        </w:tc>
        <w:tc>
          <w:tcPr>
            <w:tcW w:w="518" w:type="pct"/>
            <w:shd w:val="clear" w:color="auto" w:fill="auto"/>
          </w:tcPr>
          <w:p w14:paraId="421A7308"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PGSSS</w:t>
            </w:r>
          </w:p>
        </w:tc>
        <w:tc>
          <w:tcPr>
            <w:tcW w:w="1264" w:type="pct"/>
            <w:shd w:val="clear" w:color="auto" w:fill="auto"/>
          </w:tcPr>
          <w:p w14:paraId="0BBBCAE8"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Ekološke i tehničke studije za proširenje deponije u Možuri – Izdavanje dozvole</w:t>
            </w:r>
          </w:p>
        </w:tc>
        <w:tc>
          <w:tcPr>
            <w:tcW w:w="1101" w:type="pct"/>
            <w:shd w:val="clear" w:color="auto" w:fill="auto"/>
          </w:tcPr>
          <w:p w14:paraId="34AC96AC" w14:textId="1E8A6514" w:rsidR="007C2FF7" w:rsidRDefault="00377063" w:rsidP="00FE289C">
            <w:pPr>
              <w:spacing w:before="40" w:after="40" w:line="360" w:lineRule="auto"/>
              <w:rPr>
                <w:rFonts w:ascii="Arial" w:hAnsi="Arial" w:cs="Arial"/>
                <w:lang w:bidi="ar-AE"/>
              </w:rPr>
            </w:pPr>
            <w:r w:rsidRPr="002A6F4E">
              <w:rPr>
                <w:rFonts w:ascii="Arial" w:hAnsi="Arial" w:cs="Arial"/>
                <w:lang w:bidi="ar-AE"/>
              </w:rPr>
              <w:t xml:space="preserve">Jedinice lokalnih samouprava/ </w:t>
            </w:r>
          </w:p>
          <w:p w14:paraId="3E63E752" w14:textId="0DAD45EF" w:rsidR="00377063" w:rsidRPr="007C2FF7" w:rsidRDefault="007C2FF7" w:rsidP="00FE289C">
            <w:pPr>
              <w:spacing w:before="40" w:after="40" w:line="360" w:lineRule="auto"/>
              <w:rPr>
                <w:rFonts w:ascii="Arial" w:hAnsi="Arial" w:cs="Arial"/>
                <w:lang w:bidi="ar-AE"/>
              </w:rPr>
            </w:pPr>
            <w:r>
              <w:rPr>
                <w:rFonts w:ascii="Arial" w:hAnsi="Arial" w:cs="Arial"/>
                <w:lang w:bidi="ar-AE"/>
              </w:rPr>
              <w:t>MERS</w:t>
            </w:r>
          </w:p>
        </w:tc>
        <w:tc>
          <w:tcPr>
            <w:tcW w:w="508" w:type="pct"/>
            <w:shd w:val="clear" w:color="auto" w:fill="auto"/>
          </w:tcPr>
          <w:p w14:paraId="19AE01BE"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2025 - 2026</w:t>
            </w:r>
          </w:p>
        </w:tc>
        <w:tc>
          <w:tcPr>
            <w:tcW w:w="1305" w:type="pct"/>
          </w:tcPr>
          <w:p w14:paraId="43859E67" w14:textId="1106FBCD" w:rsidR="00377063" w:rsidRPr="003D7619" w:rsidRDefault="00377063" w:rsidP="00FE289C">
            <w:pPr>
              <w:spacing w:before="40" w:after="40" w:line="360" w:lineRule="auto"/>
              <w:rPr>
                <w:rFonts w:ascii="Arial" w:hAnsi="Arial" w:cs="Arial"/>
                <w:lang w:val="sq-AL" w:bidi="ar-AE"/>
              </w:rPr>
            </w:pPr>
            <w:r w:rsidRPr="003D7619">
              <w:rPr>
                <w:rFonts w:ascii="Arial" w:hAnsi="Arial" w:cs="Arial"/>
                <w:lang w:val="sq-AL" w:bidi="ar-AE"/>
              </w:rPr>
              <w:t>Državni budžet</w:t>
            </w:r>
            <w:r w:rsidR="007C2FF7" w:rsidRPr="003D7619">
              <w:rPr>
                <w:rFonts w:ascii="Arial" w:hAnsi="Arial" w:cs="Arial"/>
                <w:lang w:val="sq-AL" w:bidi="ar-AE"/>
              </w:rPr>
              <w:t>/</w:t>
            </w:r>
            <w:r w:rsidR="004E1388" w:rsidRPr="003D7619">
              <w:rPr>
                <w:rFonts w:ascii="Arial" w:hAnsi="Arial" w:cs="Arial"/>
                <w:lang w:val="sq-AL" w:bidi="ar-AE"/>
              </w:rPr>
              <w:t>Lokalni budžet/</w:t>
            </w:r>
          </w:p>
          <w:p w14:paraId="1DFD9B04" w14:textId="77777777" w:rsidR="00377063" w:rsidRPr="003D7619" w:rsidRDefault="00377063" w:rsidP="00FE289C">
            <w:pPr>
              <w:spacing w:before="40" w:after="40" w:line="360" w:lineRule="auto"/>
              <w:rPr>
                <w:rFonts w:ascii="Arial" w:hAnsi="Arial" w:cs="Arial"/>
                <w:lang w:val="sq-AL" w:bidi="ar-AE"/>
              </w:rPr>
            </w:pPr>
            <w:r w:rsidRPr="003D7619">
              <w:rPr>
                <w:rFonts w:ascii="Arial" w:hAnsi="Arial" w:cs="Arial"/>
                <w:lang w:val="sq-AL" w:bidi="ar-AE"/>
              </w:rPr>
              <w:t>Donatori</w:t>
            </w:r>
            <w:r w:rsidR="007C2FF7" w:rsidRPr="003D7619">
              <w:rPr>
                <w:rFonts w:ascii="Arial" w:hAnsi="Arial" w:cs="Arial"/>
                <w:lang w:val="sq-AL" w:bidi="ar-AE"/>
              </w:rPr>
              <w:t>/</w:t>
            </w:r>
          </w:p>
          <w:p w14:paraId="781AC116" w14:textId="2530A84B" w:rsidR="007C2FF7" w:rsidRPr="002A6F4E" w:rsidRDefault="007C2FF7" w:rsidP="00FE289C">
            <w:pPr>
              <w:spacing w:before="40" w:after="40" w:line="360" w:lineRule="auto"/>
              <w:rPr>
                <w:rFonts w:ascii="Arial" w:hAnsi="Arial" w:cs="Arial"/>
                <w:lang w:val="sq-AL" w:bidi="ar-AE"/>
              </w:rPr>
            </w:pPr>
            <w:r>
              <w:rPr>
                <w:rFonts w:ascii="Arial" w:hAnsi="Arial" w:cs="Arial"/>
                <w:lang w:val="sq-AL" w:bidi="ar-AE"/>
              </w:rPr>
              <w:t>Međunarodne finansijske institucije</w:t>
            </w:r>
          </w:p>
        </w:tc>
      </w:tr>
      <w:tr w:rsidR="000F67ED" w:rsidRPr="0014164F" w14:paraId="178B714B" w14:textId="77777777" w:rsidTr="009754F4">
        <w:trPr>
          <w:jc w:val="center"/>
        </w:trPr>
        <w:tc>
          <w:tcPr>
            <w:tcW w:w="304" w:type="pct"/>
            <w:shd w:val="clear" w:color="auto" w:fill="auto"/>
          </w:tcPr>
          <w:p w14:paraId="67E053AB" w14:textId="2B2BA844"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5014FA">
              <w:rPr>
                <w:rFonts w:ascii="Arial" w:hAnsi="Arial" w:cs="Arial"/>
                <w:lang w:val="sq-AL" w:bidi="ar-AE"/>
              </w:rPr>
              <w:t>1</w:t>
            </w:r>
            <w:r w:rsidRPr="002A6F4E">
              <w:rPr>
                <w:rFonts w:ascii="Arial" w:hAnsi="Arial" w:cs="Arial"/>
                <w:lang w:val="sq-AL" w:bidi="ar-AE"/>
              </w:rPr>
              <w:t>2</w:t>
            </w:r>
          </w:p>
        </w:tc>
        <w:tc>
          <w:tcPr>
            <w:tcW w:w="518" w:type="pct"/>
            <w:shd w:val="clear" w:color="auto" w:fill="auto"/>
          </w:tcPr>
          <w:p w14:paraId="23F6C826"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IM</w:t>
            </w:r>
          </w:p>
        </w:tc>
        <w:tc>
          <w:tcPr>
            <w:tcW w:w="1264" w:type="pct"/>
            <w:shd w:val="clear" w:color="auto" w:fill="auto"/>
          </w:tcPr>
          <w:p w14:paraId="4D692B67" w14:textId="2A03F589" w:rsidR="00377063" w:rsidRPr="002A6F4E" w:rsidRDefault="00AB7457" w:rsidP="00FE289C">
            <w:pPr>
              <w:spacing w:before="40" w:after="40" w:line="360" w:lineRule="auto"/>
              <w:rPr>
                <w:rFonts w:ascii="Arial" w:hAnsi="Arial" w:cs="Arial"/>
                <w:lang w:val="sq-AL" w:bidi="ar-AE"/>
              </w:rPr>
            </w:pPr>
            <w:r>
              <w:rPr>
                <w:rFonts w:ascii="Arial" w:hAnsi="Arial" w:cs="Arial"/>
                <w:lang w:val="sq-AL" w:bidi="ar-AE"/>
              </w:rPr>
              <w:t>Unapređivanje</w:t>
            </w:r>
            <w:r w:rsidR="00377063" w:rsidRPr="002A6F4E">
              <w:rPr>
                <w:rFonts w:ascii="Arial" w:hAnsi="Arial" w:cs="Arial"/>
                <w:lang w:val="sq-AL" w:bidi="ar-AE"/>
              </w:rPr>
              <w:t xml:space="preserve"> postojećih </w:t>
            </w:r>
            <w:r>
              <w:rPr>
                <w:rFonts w:ascii="Arial" w:hAnsi="Arial" w:cs="Arial"/>
                <w:lang w:val="sq-AL" w:bidi="ar-AE"/>
              </w:rPr>
              <w:t>kapaciteta reciklažnih centara</w:t>
            </w:r>
            <w:r w:rsidR="00377063" w:rsidRPr="002A6F4E">
              <w:rPr>
                <w:rFonts w:ascii="Arial" w:hAnsi="Arial" w:cs="Arial"/>
                <w:lang w:val="sq-AL" w:bidi="ar-AE"/>
              </w:rPr>
              <w:t xml:space="preserve"> </w:t>
            </w:r>
            <w:r w:rsidR="004E1388">
              <w:rPr>
                <w:rFonts w:ascii="Arial" w:hAnsi="Arial" w:cs="Arial"/>
                <w:lang w:val="sq-AL" w:bidi="ar-AE"/>
              </w:rPr>
              <w:t>kako bi bile</w:t>
            </w:r>
            <w:r>
              <w:rPr>
                <w:rFonts w:ascii="Arial" w:hAnsi="Arial" w:cs="Arial"/>
                <w:lang w:val="sq-AL" w:bidi="ar-AE"/>
              </w:rPr>
              <w:t xml:space="preserve"> </w:t>
            </w:r>
            <w:r w:rsidR="00377063" w:rsidRPr="002A6F4E">
              <w:rPr>
                <w:rFonts w:ascii="Arial" w:hAnsi="Arial" w:cs="Arial"/>
                <w:lang w:val="sq-AL" w:bidi="ar-AE"/>
              </w:rPr>
              <w:t>u skladu sa standardima</w:t>
            </w:r>
          </w:p>
          <w:p w14:paraId="56B2E0D7"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w:t>
            </w:r>
          </w:p>
        </w:tc>
        <w:tc>
          <w:tcPr>
            <w:tcW w:w="1101" w:type="pct"/>
            <w:shd w:val="clear" w:color="auto" w:fill="auto"/>
          </w:tcPr>
          <w:p w14:paraId="27686A74" w14:textId="74EF5472"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Jedinice lokalnih samouprava</w:t>
            </w:r>
            <w:r w:rsidRPr="002A6F4E">
              <w:rPr>
                <w:rFonts w:ascii="Arial" w:hAnsi="Arial" w:cs="Arial"/>
                <w:lang w:val="sq-AL" w:bidi="ar-AE"/>
              </w:rPr>
              <w:t xml:space="preserve"> /Operater d</w:t>
            </w:r>
            <w:r w:rsidR="00AB7457">
              <w:rPr>
                <w:rFonts w:ascii="Arial" w:hAnsi="Arial" w:cs="Arial"/>
                <w:lang w:val="sq-AL" w:bidi="ar-AE"/>
              </w:rPr>
              <w:t>e</w:t>
            </w:r>
            <w:r w:rsidRPr="002A6F4E">
              <w:rPr>
                <w:rFonts w:ascii="Arial" w:hAnsi="Arial" w:cs="Arial"/>
                <w:lang w:val="sq-AL" w:bidi="ar-AE"/>
              </w:rPr>
              <w:t xml:space="preserve">ponije </w:t>
            </w:r>
          </w:p>
        </w:tc>
        <w:tc>
          <w:tcPr>
            <w:tcW w:w="508" w:type="pct"/>
            <w:shd w:val="clear" w:color="auto" w:fill="auto"/>
          </w:tcPr>
          <w:p w14:paraId="6BC8AF84" w14:textId="1B143CA2"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w:t>
            </w:r>
            <w:r w:rsidR="00AB7457">
              <w:rPr>
                <w:rFonts w:ascii="Arial" w:hAnsi="Arial" w:cs="Arial"/>
                <w:lang w:val="sq-AL" w:bidi="ar-AE"/>
              </w:rPr>
              <w:t>6</w:t>
            </w:r>
            <w:r w:rsidRPr="002A6F4E">
              <w:rPr>
                <w:rFonts w:ascii="Arial" w:hAnsi="Arial" w:cs="Arial"/>
                <w:lang w:val="sq-AL" w:bidi="ar-AE"/>
              </w:rPr>
              <w:t>-202</w:t>
            </w:r>
            <w:r w:rsidR="00AB7457">
              <w:rPr>
                <w:rFonts w:ascii="Arial" w:hAnsi="Arial" w:cs="Arial"/>
                <w:lang w:val="sq-AL" w:bidi="ar-AE"/>
              </w:rPr>
              <w:t>7</w:t>
            </w:r>
            <w:r w:rsidRPr="002A6F4E">
              <w:rPr>
                <w:rFonts w:ascii="Arial" w:hAnsi="Arial" w:cs="Arial"/>
                <w:lang w:val="sq-AL" w:bidi="ar-AE"/>
              </w:rPr>
              <w:t>.</w:t>
            </w:r>
          </w:p>
        </w:tc>
        <w:tc>
          <w:tcPr>
            <w:tcW w:w="1305" w:type="pct"/>
          </w:tcPr>
          <w:p w14:paraId="0D0250D2" w14:textId="574BE8B4"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Državni budžet</w:t>
            </w:r>
            <w:r w:rsidR="007C2FF7">
              <w:rPr>
                <w:rFonts w:ascii="Arial" w:hAnsi="Arial" w:cs="Arial"/>
                <w:lang w:val="sq-AL" w:bidi="ar-AE"/>
              </w:rPr>
              <w:t>/</w:t>
            </w:r>
          </w:p>
          <w:p w14:paraId="2CE33120" w14:textId="162B2DF7" w:rsidR="00377063" w:rsidRPr="002A6F4E" w:rsidRDefault="00377063" w:rsidP="00FE289C">
            <w:pPr>
              <w:spacing w:before="40" w:after="40" w:line="360" w:lineRule="auto"/>
              <w:rPr>
                <w:rFonts w:ascii="Arial" w:hAnsi="Arial" w:cs="Arial"/>
                <w:lang w:val="sq-AL" w:bidi="ar-AE"/>
              </w:rPr>
            </w:pPr>
            <w:r w:rsidRPr="00B46B69">
              <w:rPr>
                <w:rFonts w:ascii="Arial" w:hAnsi="Arial" w:cs="Arial"/>
                <w:lang w:val="sq-AL" w:bidi="ar-AE"/>
              </w:rPr>
              <w:t>Lokalni budžet</w:t>
            </w:r>
            <w:r w:rsidR="007C2FF7" w:rsidRPr="00B46B69">
              <w:rPr>
                <w:rFonts w:ascii="Arial" w:hAnsi="Arial" w:cs="Arial"/>
                <w:lang w:val="sq-AL" w:bidi="ar-AE"/>
              </w:rPr>
              <w:t>/</w:t>
            </w:r>
          </w:p>
          <w:p w14:paraId="2CB8BA69" w14:textId="77777777" w:rsidR="00377063" w:rsidRDefault="00377063" w:rsidP="00FE289C">
            <w:pPr>
              <w:spacing w:before="40" w:after="40" w:line="360" w:lineRule="auto"/>
              <w:rPr>
                <w:rFonts w:ascii="Arial" w:hAnsi="Arial" w:cs="Arial"/>
                <w:lang w:val="sq-AL" w:bidi="ar-AE"/>
              </w:rPr>
            </w:pPr>
            <w:r w:rsidRPr="002A6F4E">
              <w:rPr>
                <w:rFonts w:ascii="Arial" w:hAnsi="Arial" w:cs="Arial"/>
                <w:lang w:val="sq-AL" w:bidi="ar-AE"/>
              </w:rPr>
              <w:t>Donatori</w:t>
            </w:r>
            <w:r w:rsidR="00AB7457">
              <w:rPr>
                <w:rFonts w:ascii="Arial" w:hAnsi="Arial" w:cs="Arial"/>
                <w:lang w:val="sq-AL" w:bidi="ar-AE"/>
              </w:rPr>
              <w:t>/ Međunarodne finansijske institucije</w:t>
            </w:r>
          </w:p>
          <w:p w14:paraId="22E0723E" w14:textId="02205064" w:rsidR="00AD37C4" w:rsidRPr="002A6F4E" w:rsidRDefault="00AD37C4" w:rsidP="00FE289C">
            <w:pPr>
              <w:spacing w:before="40" w:after="40" w:line="360" w:lineRule="auto"/>
              <w:rPr>
                <w:rFonts w:ascii="Arial" w:hAnsi="Arial" w:cs="Arial"/>
                <w:lang w:val="sq-AL" w:bidi="ar-AE"/>
              </w:rPr>
            </w:pPr>
          </w:p>
        </w:tc>
      </w:tr>
      <w:tr w:rsidR="000F67ED" w:rsidRPr="0014164F" w14:paraId="51767B5B" w14:textId="77777777" w:rsidTr="009754F4">
        <w:trPr>
          <w:jc w:val="center"/>
        </w:trPr>
        <w:tc>
          <w:tcPr>
            <w:tcW w:w="304" w:type="pct"/>
            <w:shd w:val="clear" w:color="auto" w:fill="auto"/>
          </w:tcPr>
          <w:p w14:paraId="5B8609A2" w14:textId="53536E7C"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4.</w:t>
            </w:r>
            <w:r w:rsidR="00F664E7">
              <w:rPr>
                <w:rFonts w:ascii="Arial" w:hAnsi="Arial" w:cs="Arial"/>
                <w:lang w:bidi="ar-AE"/>
              </w:rPr>
              <w:t>1</w:t>
            </w:r>
            <w:r w:rsidRPr="002A6F4E">
              <w:rPr>
                <w:rFonts w:ascii="Arial" w:hAnsi="Arial" w:cs="Arial"/>
                <w:lang w:bidi="ar-AE"/>
              </w:rPr>
              <w:t>3</w:t>
            </w:r>
          </w:p>
        </w:tc>
        <w:tc>
          <w:tcPr>
            <w:tcW w:w="518" w:type="pct"/>
            <w:shd w:val="clear" w:color="auto" w:fill="auto"/>
          </w:tcPr>
          <w:p w14:paraId="402C7F51"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IM</w:t>
            </w:r>
          </w:p>
        </w:tc>
        <w:tc>
          <w:tcPr>
            <w:tcW w:w="1264" w:type="pct"/>
            <w:shd w:val="clear" w:color="auto" w:fill="auto"/>
          </w:tcPr>
          <w:p w14:paraId="061D1CBF"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Proširenje deponije u Možuri</w:t>
            </w:r>
          </w:p>
        </w:tc>
        <w:tc>
          <w:tcPr>
            <w:tcW w:w="1101" w:type="pct"/>
            <w:shd w:val="clear" w:color="auto" w:fill="auto"/>
          </w:tcPr>
          <w:p w14:paraId="25E48875" w14:textId="15FDF81A"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Jedinice lokalnih samouprava/Operator deponije</w:t>
            </w:r>
          </w:p>
        </w:tc>
        <w:tc>
          <w:tcPr>
            <w:tcW w:w="508" w:type="pct"/>
            <w:shd w:val="clear" w:color="auto" w:fill="auto"/>
          </w:tcPr>
          <w:p w14:paraId="4B53A567" w14:textId="4B23B232"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2025 - 202</w:t>
            </w:r>
            <w:r w:rsidR="004E1388">
              <w:rPr>
                <w:rFonts w:ascii="Arial" w:hAnsi="Arial" w:cs="Arial"/>
                <w:lang w:bidi="ar-AE"/>
              </w:rPr>
              <w:t>7</w:t>
            </w:r>
          </w:p>
        </w:tc>
        <w:tc>
          <w:tcPr>
            <w:tcW w:w="1305" w:type="pct"/>
          </w:tcPr>
          <w:p w14:paraId="62FD4365" w14:textId="4DCEDCDB" w:rsidR="00377063" w:rsidRPr="003D7619" w:rsidRDefault="00377063" w:rsidP="00FE289C">
            <w:pPr>
              <w:spacing w:before="40" w:after="40" w:line="360" w:lineRule="auto"/>
              <w:rPr>
                <w:rFonts w:ascii="Arial" w:hAnsi="Arial" w:cs="Arial"/>
                <w:lang w:val="sq-AL" w:bidi="ar-AE"/>
              </w:rPr>
            </w:pPr>
            <w:r w:rsidRPr="003D7619">
              <w:rPr>
                <w:rFonts w:ascii="Arial" w:hAnsi="Arial" w:cs="Arial"/>
                <w:lang w:val="sq-AL" w:bidi="ar-AE"/>
              </w:rPr>
              <w:t>Državni budžet</w:t>
            </w:r>
            <w:r w:rsidR="00AB7457" w:rsidRPr="003D7619">
              <w:rPr>
                <w:rFonts w:ascii="Arial" w:hAnsi="Arial" w:cs="Arial"/>
                <w:lang w:val="sq-AL" w:bidi="ar-AE"/>
              </w:rPr>
              <w:t>/</w:t>
            </w:r>
            <w:r w:rsidR="004E1388" w:rsidRPr="003D7619">
              <w:rPr>
                <w:rFonts w:ascii="Arial" w:hAnsi="Arial" w:cs="Arial"/>
                <w:lang w:val="sq-AL" w:bidi="ar-AE"/>
              </w:rPr>
              <w:t>Lokalni budžet/</w:t>
            </w:r>
          </w:p>
          <w:p w14:paraId="290F77DF" w14:textId="1C661C2C" w:rsidR="00377063" w:rsidRPr="002A6F4E" w:rsidRDefault="00377063" w:rsidP="00FE289C">
            <w:pPr>
              <w:spacing w:before="40" w:after="40" w:line="360" w:lineRule="auto"/>
              <w:rPr>
                <w:rFonts w:ascii="Arial" w:hAnsi="Arial" w:cs="Arial"/>
                <w:lang w:val="sq-AL" w:bidi="ar-AE"/>
              </w:rPr>
            </w:pPr>
            <w:r w:rsidRPr="003D7619">
              <w:rPr>
                <w:rFonts w:ascii="Arial" w:hAnsi="Arial" w:cs="Arial"/>
                <w:lang w:val="sq-AL" w:bidi="ar-AE"/>
              </w:rPr>
              <w:t>Donatori</w:t>
            </w:r>
            <w:r w:rsidR="00AB7457" w:rsidRPr="003D7619">
              <w:rPr>
                <w:rFonts w:ascii="Arial" w:hAnsi="Arial" w:cs="Arial"/>
                <w:lang w:val="sq-AL" w:bidi="ar-AE"/>
              </w:rPr>
              <w:t>/</w:t>
            </w:r>
            <w:r w:rsidR="00AB7457">
              <w:rPr>
                <w:rFonts w:ascii="Arial" w:hAnsi="Arial" w:cs="Arial"/>
                <w:lang w:val="sq-AL" w:bidi="ar-AE"/>
              </w:rPr>
              <w:t xml:space="preserve"> Međunarodne finansijske institucije</w:t>
            </w:r>
          </w:p>
        </w:tc>
      </w:tr>
      <w:tr w:rsidR="00377063" w:rsidRPr="0014164F" w14:paraId="597068E7" w14:textId="77777777" w:rsidTr="009754F4">
        <w:trPr>
          <w:jc w:val="center"/>
        </w:trPr>
        <w:tc>
          <w:tcPr>
            <w:tcW w:w="3695" w:type="pct"/>
            <w:gridSpan w:val="5"/>
            <w:shd w:val="clear" w:color="auto" w:fill="EDEDED" w:themeFill="accent3" w:themeFillTint="33"/>
          </w:tcPr>
          <w:p w14:paraId="496727A0" w14:textId="239A6847" w:rsidR="00377063" w:rsidRPr="002A6F4E" w:rsidRDefault="00377063" w:rsidP="00FE289C">
            <w:pPr>
              <w:spacing w:before="40" w:after="40" w:line="360" w:lineRule="auto"/>
              <w:rPr>
                <w:rFonts w:ascii="Arial" w:hAnsi="Arial" w:cs="Arial"/>
                <w:b/>
                <w:lang w:val="sq-AL" w:bidi="ar-AE"/>
              </w:rPr>
            </w:pPr>
            <w:r w:rsidRPr="002A6F4E">
              <w:rPr>
                <w:rFonts w:ascii="Arial" w:hAnsi="Arial" w:cs="Arial"/>
                <w:b/>
                <w:lang w:val="sq-AL" w:bidi="ar-AE"/>
              </w:rPr>
              <w:t>Posebni cilj VI</w:t>
            </w:r>
            <w:r w:rsidRPr="002A6F4E">
              <w:rPr>
                <w:rFonts w:ascii="Arial" w:hAnsi="Arial" w:cs="Arial"/>
                <w:bCs/>
                <w:lang w:val="sq-AL" w:bidi="ar-AE"/>
              </w:rPr>
              <w:t xml:space="preserve">: </w:t>
            </w:r>
            <w:bookmarkStart w:id="1456" w:name="_Hlk121694770"/>
            <w:r w:rsidRPr="002A6F4E">
              <w:rPr>
                <w:rFonts w:ascii="Arial" w:hAnsi="Arial" w:cs="Arial"/>
                <w:b/>
                <w:lang w:val="sq-AL" w:bidi="ar-AE"/>
              </w:rPr>
              <w:t xml:space="preserve">Crna Gora će se pretvoriti u društvo “bez </w:t>
            </w:r>
            <w:r w:rsidR="00F664E7">
              <w:rPr>
                <w:rFonts w:ascii="Arial" w:hAnsi="Arial" w:cs="Arial"/>
                <w:b/>
                <w:lang w:val="sq-AL" w:bidi="ar-AE"/>
              </w:rPr>
              <w:t xml:space="preserve">neuređenih </w:t>
            </w:r>
            <w:r w:rsidRPr="002A6F4E">
              <w:rPr>
                <w:rFonts w:ascii="Arial" w:hAnsi="Arial" w:cs="Arial"/>
                <w:b/>
                <w:lang w:val="sq-AL" w:bidi="ar-AE"/>
              </w:rPr>
              <w:t>odlagališta otpada”</w:t>
            </w:r>
          </w:p>
          <w:p w14:paraId="15680F9A" w14:textId="2894D784"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zabrana stvaranja novih </w:t>
            </w:r>
            <w:r w:rsidR="004E1388">
              <w:rPr>
                <w:rFonts w:ascii="Arial" w:hAnsi="Arial" w:cs="Arial"/>
                <w:i/>
                <w:lang w:val="sq-AL" w:bidi="ar-AE"/>
              </w:rPr>
              <w:t xml:space="preserve">neuređenih </w:t>
            </w:r>
            <w:r w:rsidRPr="002A6F4E">
              <w:rPr>
                <w:rFonts w:ascii="Arial" w:hAnsi="Arial" w:cs="Arial"/>
                <w:i/>
                <w:lang w:val="sq-AL" w:bidi="ar-AE"/>
              </w:rPr>
              <w:t>odlagališta otpada;</w:t>
            </w:r>
          </w:p>
          <w:p w14:paraId="542B3EB1" w14:textId="511CE06D"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zabrana spaljivanja otpada na </w:t>
            </w:r>
            <w:r w:rsidR="004E1388">
              <w:rPr>
                <w:rFonts w:ascii="Arial" w:hAnsi="Arial" w:cs="Arial"/>
                <w:i/>
                <w:lang w:val="sq-AL" w:bidi="ar-AE"/>
              </w:rPr>
              <w:t xml:space="preserve">neuređenim </w:t>
            </w:r>
            <w:r w:rsidRPr="002A6F4E">
              <w:rPr>
                <w:rFonts w:ascii="Arial" w:hAnsi="Arial" w:cs="Arial"/>
                <w:i/>
                <w:lang w:val="sq-AL" w:bidi="ar-AE"/>
              </w:rPr>
              <w:t>odlagalištima otpada;</w:t>
            </w:r>
          </w:p>
          <w:p w14:paraId="1A10EB8A" w14:textId="5F7AB62D"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zatvaranje postojećih </w:t>
            </w:r>
            <w:r w:rsidR="004E1388">
              <w:rPr>
                <w:rFonts w:ascii="Arial" w:hAnsi="Arial" w:cs="Arial"/>
                <w:i/>
                <w:lang w:val="sq-AL" w:bidi="ar-AE"/>
              </w:rPr>
              <w:t xml:space="preserve">neuređenih </w:t>
            </w:r>
            <w:r w:rsidRPr="002A6F4E">
              <w:rPr>
                <w:rFonts w:ascii="Arial" w:hAnsi="Arial" w:cs="Arial"/>
                <w:i/>
                <w:lang w:val="sq-AL" w:bidi="ar-AE"/>
              </w:rPr>
              <w:t>odlagališta otpada;</w:t>
            </w:r>
          </w:p>
          <w:p w14:paraId="1628BB71" w14:textId="48F33187" w:rsidR="00377063" w:rsidRPr="002A6F4E" w:rsidRDefault="00B6481C" w:rsidP="00A23ED0">
            <w:pPr>
              <w:pStyle w:val="ListParagraph"/>
              <w:numPr>
                <w:ilvl w:val="0"/>
                <w:numId w:val="89"/>
              </w:numPr>
              <w:spacing w:before="40" w:after="40" w:line="360" w:lineRule="auto"/>
              <w:ind w:left="749"/>
              <w:contextualSpacing w:val="0"/>
              <w:rPr>
                <w:rFonts w:ascii="Arial" w:hAnsi="Arial" w:cs="Arial"/>
                <w:b/>
                <w:bCs/>
                <w:lang w:val="sq-AL"/>
              </w:rPr>
            </w:pPr>
            <w:r>
              <w:rPr>
                <w:rFonts w:ascii="Arial" w:hAnsi="Arial" w:cs="Arial"/>
                <w:i/>
                <w:lang w:val="sq-AL" w:bidi="ar-AE"/>
              </w:rPr>
              <w:t>sanacija</w:t>
            </w:r>
            <w:r w:rsidR="00377063" w:rsidRPr="002A6F4E">
              <w:rPr>
                <w:rFonts w:ascii="Arial" w:hAnsi="Arial" w:cs="Arial"/>
                <w:i/>
                <w:lang w:val="sq-AL" w:bidi="ar-AE"/>
              </w:rPr>
              <w:t xml:space="preserve"> </w:t>
            </w:r>
            <w:r w:rsidR="004E1388">
              <w:rPr>
                <w:rFonts w:ascii="Arial" w:hAnsi="Arial" w:cs="Arial"/>
                <w:i/>
                <w:lang w:val="sq-AL" w:bidi="ar-AE"/>
              </w:rPr>
              <w:t xml:space="preserve">neiređenih </w:t>
            </w:r>
            <w:r w:rsidR="00377063" w:rsidRPr="002A6F4E">
              <w:rPr>
                <w:rFonts w:ascii="Arial" w:hAnsi="Arial" w:cs="Arial"/>
                <w:i/>
                <w:lang w:val="sq-AL" w:bidi="ar-AE"/>
              </w:rPr>
              <w:t xml:space="preserve">odlagališta otpada (po prioritetu) i </w:t>
            </w:r>
            <w:r>
              <w:rPr>
                <w:rFonts w:ascii="Arial" w:hAnsi="Arial" w:cs="Arial"/>
                <w:i/>
                <w:lang w:val="sq-AL" w:bidi="ar-AE"/>
              </w:rPr>
              <w:t>sanacija</w:t>
            </w:r>
            <w:r w:rsidR="00377063" w:rsidRPr="002A6F4E">
              <w:rPr>
                <w:rFonts w:ascii="Arial" w:hAnsi="Arial" w:cs="Arial"/>
                <w:i/>
                <w:lang w:val="sq-AL" w:bidi="ar-AE"/>
              </w:rPr>
              <w:t xml:space="preserve"> svih </w:t>
            </w:r>
            <w:r w:rsidR="004E1388">
              <w:rPr>
                <w:rFonts w:ascii="Arial" w:hAnsi="Arial" w:cs="Arial"/>
                <w:i/>
                <w:lang w:val="sq-AL" w:bidi="ar-AE"/>
              </w:rPr>
              <w:t xml:space="preserve">neuređenih </w:t>
            </w:r>
            <w:r w:rsidR="00377063" w:rsidRPr="002A6F4E">
              <w:rPr>
                <w:rFonts w:ascii="Arial" w:hAnsi="Arial" w:cs="Arial"/>
                <w:i/>
                <w:lang w:val="sq-AL" w:bidi="ar-AE"/>
              </w:rPr>
              <w:t xml:space="preserve">odlagališta otpada do </w:t>
            </w:r>
            <w:r w:rsidR="00F858D9" w:rsidRPr="002A6F4E">
              <w:rPr>
                <w:rFonts w:ascii="Arial" w:hAnsi="Arial" w:cs="Arial"/>
                <w:i/>
                <w:lang w:val="sq-AL" w:bidi="ar-AE"/>
              </w:rPr>
              <w:t>20</w:t>
            </w:r>
            <w:r w:rsidR="007E0A36">
              <w:rPr>
                <w:rFonts w:ascii="Arial" w:hAnsi="Arial" w:cs="Arial"/>
                <w:i/>
                <w:lang w:val="sq-AL" w:bidi="ar-AE"/>
              </w:rPr>
              <w:t>33</w:t>
            </w:r>
            <w:r w:rsidR="00377063" w:rsidRPr="002A6F4E">
              <w:rPr>
                <w:rFonts w:ascii="Arial" w:hAnsi="Arial" w:cs="Arial"/>
                <w:i/>
                <w:lang w:val="sq-AL" w:bidi="ar-AE"/>
              </w:rPr>
              <w:t>. godine;</w:t>
            </w:r>
            <w:bookmarkEnd w:id="1456"/>
          </w:p>
        </w:tc>
        <w:tc>
          <w:tcPr>
            <w:tcW w:w="1305" w:type="pct"/>
            <w:shd w:val="clear" w:color="auto" w:fill="EDEDED" w:themeFill="accent3" w:themeFillTint="33"/>
          </w:tcPr>
          <w:p w14:paraId="33AB9B45" w14:textId="77777777" w:rsidR="00377063" w:rsidRPr="002A6F4E" w:rsidRDefault="00377063" w:rsidP="00FE289C">
            <w:pPr>
              <w:spacing w:before="40" w:after="40" w:line="360" w:lineRule="auto"/>
              <w:rPr>
                <w:rFonts w:ascii="Arial" w:hAnsi="Arial" w:cs="Arial"/>
                <w:b/>
                <w:lang w:val="sq-AL" w:bidi="ar-AE"/>
              </w:rPr>
            </w:pPr>
          </w:p>
        </w:tc>
      </w:tr>
      <w:tr w:rsidR="000F67ED" w:rsidRPr="002A6F4E" w14:paraId="0553EE22" w14:textId="77777777" w:rsidTr="009754F4">
        <w:trPr>
          <w:jc w:val="center"/>
        </w:trPr>
        <w:tc>
          <w:tcPr>
            <w:tcW w:w="304" w:type="pct"/>
            <w:shd w:val="clear" w:color="auto" w:fill="auto"/>
          </w:tcPr>
          <w:p w14:paraId="0D7C4793" w14:textId="35B23516"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C9452E">
              <w:rPr>
                <w:rFonts w:ascii="Arial" w:hAnsi="Arial" w:cs="Arial"/>
                <w:lang w:val="sq-AL" w:bidi="ar-AE"/>
              </w:rPr>
              <w:t>14</w:t>
            </w:r>
          </w:p>
        </w:tc>
        <w:tc>
          <w:tcPr>
            <w:tcW w:w="518" w:type="pct"/>
            <w:shd w:val="clear" w:color="auto" w:fill="auto"/>
          </w:tcPr>
          <w:p w14:paraId="73D29323"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IM</w:t>
            </w:r>
          </w:p>
        </w:tc>
        <w:tc>
          <w:tcPr>
            <w:tcW w:w="1264" w:type="pct"/>
            <w:shd w:val="clear" w:color="auto" w:fill="auto"/>
          </w:tcPr>
          <w:p w14:paraId="7063A384" w14:textId="3377FD35" w:rsidR="00377063" w:rsidRPr="002A6F4E" w:rsidRDefault="004E1388" w:rsidP="00FE289C">
            <w:pPr>
              <w:spacing w:before="40" w:after="40" w:line="360" w:lineRule="auto"/>
              <w:rPr>
                <w:rFonts w:ascii="Arial" w:hAnsi="Arial" w:cs="Arial"/>
                <w:lang w:val="sq-AL" w:bidi="ar-AE"/>
              </w:rPr>
            </w:pPr>
            <w:r>
              <w:rPr>
                <w:rFonts w:ascii="Arial" w:hAnsi="Arial" w:cs="Arial"/>
                <w:lang w:val="sq-AL" w:bidi="ar-AE"/>
              </w:rPr>
              <w:t>Sanacija</w:t>
            </w:r>
            <w:r w:rsidRPr="002A6F4E">
              <w:rPr>
                <w:rFonts w:ascii="Arial" w:hAnsi="Arial" w:cs="Arial"/>
                <w:lang w:val="sq-AL" w:bidi="ar-AE"/>
              </w:rPr>
              <w:t xml:space="preserve"> </w:t>
            </w:r>
            <w:r>
              <w:rPr>
                <w:rFonts w:ascii="Arial" w:hAnsi="Arial" w:cs="Arial"/>
                <w:lang w:val="sq-AL" w:bidi="ar-AE"/>
              </w:rPr>
              <w:t xml:space="preserve">neuređenih </w:t>
            </w:r>
            <w:r w:rsidR="00377063" w:rsidRPr="002A6F4E">
              <w:rPr>
                <w:rFonts w:ascii="Arial" w:hAnsi="Arial" w:cs="Arial"/>
                <w:lang w:val="sq-AL" w:bidi="ar-AE"/>
              </w:rPr>
              <w:t>odlagališta otpada i mjesta za privremeno skladištenje</w:t>
            </w:r>
            <w:r>
              <w:rPr>
                <w:rFonts w:ascii="Arial" w:hAnsi="Arial" w:cs="Arial"/>
                <w:lang w:val="sq-AL" w:bidi="ar-AE"/>
              </w:rPr>
              <w:t xml:space="preserve"> komunalnog</w:t>
            </w:r>
            <w:r w:rsidR="00377063" w:rsidRPr="002A6F4E">
              <w:rPr>
                <w:rFonts w:ascii="Arial" w:hAnsi="Arial" w:cs="Arial"/>
                <w:lang w:val="sq-AL" w:bidi="ar-AE"/>
              </w:rPr>
              <w:t xml:space="preserve"> otpada</w:t>
            </w:r>
          </w:p>
        </w:tc>
        <w:tc>
          <w:tcPr>
            <w:tcW w:w="1101" w:type="pct"/>
            <w:shd w:val="clear" w:color="auto" w:fill="auto"/>
          </w:tcPr>
          <w:p w14:paraId="3984FE42" w14:textId="50624EFE"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 xml:space="preserve"> / </w:t>
            </w:r>
          </w:p>
        </w:tc>
        <w:tc>
          <w:tcPr>
            <w:tcW w:w="508" w:type="pct"/>
            <w:shd w:val="clear" w:color="auto" w:fill="auto"/>
          </w:tcPr>
          <w:p w14:paraId="3E1AF4D5" w14:textId="16333AB1" w:rsidR="00377063" w:rsidRPr="002A6F4E" w:rsidRDefault="00377063" w:rsidP="00F858D9">
            <w:pPr>
              <w:spacing w:before="40" w:after="40" w:line="360" w:lineRule="auto"/>
              <w:rPr>
                <w:rFonts w:ascii="Arial" w:hAnsi="Arial" w:cs="Arial"/>
                <w:lang w:val="sq-AL" w:bidi="ar-AE"/>
              </w:rPr>
            </w:pPr>
            <w:r w:rsidRPr="002A6F4E">
              <w:rPr>
                <w:rFonts w:ascii="Arial" w:hAnsi="Arial" w:cs="Arial"/>
                <w:lang w:val="sq-AL" w:bidi="ar-AE"/>
              </w:rPr>
              <w:t xml:space="preserve">2025 – </w:t>
            </w:r>
            <w:r w:rsidR="00F858D9" w:rsidRPr="002A6F4E">
              <w:rPr>
                <w:rFonts w:ascii="Arial" w:hAnsi="Arial" w:cs="Arial"/>
                <w:lang w:val="sq-AL" w:bidi="ar-AE"/>
              </w:rPr>
              <w:t>2029</w:t>
            </w:r>
            <w:r w:rsidRPr="002A6F4E">
              <w:rPr>
                <w:rFonts w:ascii="Arial" w:hAnsi="Arial" w:cs="Arial"/>
                <w:lang w:val="sq-AL" w:bidi="ar-AE"/>
              </w:rPr>
              <w:t>.</w:t>
            </w:r>
          </w:p>
        </w:tc>
        <w:tc>
          <w:tcPr>
            <w:tcW w:w="1305" w:type="pct"/>
          </w:tcPr>
          <w:p w14:paraId="39AF06DA" w14:textId="428333A1" w:rsidR="004E1388" w:rsidRPr="003D7619" w:rsidRDefault="00377063" w:rsidP="004E1388">
            <w:pPr>
              <w:spacing w:before="40" w:after="40" w:line="360" w:lineRule="auto"/>
              <w:rPr>
                <w:rFonts w:ascii="Arial" w:hAnsi="Arial" w:cs="Arial"/>
                <w:lang w:val="sq-AL" w:bidi="ar-AE"/>
              </w:rPr>
            </w:pPr>
            <w:r w:rsidRPr="003D7619">
              <w:rPr>
                <w:rFonts w:ascii="Arial" w:hAnsi="Arial" w:cs="Arial"/>
                <w:lang w:val="sq-AL" w:bidi="ar-AE"/>
              </w:rPr>
              <w:t>Državni budžet</w:t>
            </w:r>
            <w:r w:rsidR="00C9452E" w:rsidRPr="003D7619">
              <w:rPr>
                <w:rFonts w:ascii="Arial" w:hAnsi="Arial" w:cs="Arial"/>
                <w:lang w:val="sq-AL" w:bidi="ar-AE"/>
              </w:rPr>
              <w:t>/</w:t>
            </w:r>
            <w:r w:rsidR="004E1388" w:rsidRPr="003D7619">
              <w:rPr>
                <w:rFonts w:ascii="Arial" w:hAnsi="Arial" w:cs="Arial"/>
                <w:lang w:val="sq-AL" w:bidi="ar-AE"/>
              </w:rPr>
              <w:t>Lokalni budžet/</w:t>
            </w:r>
          </w:p>
          <w:p w14:paraId="2B2F5477" w14:textId="3E609230" w:rsidR="00377063" w:rsidRPr="003D7619" w:rsidRDefault="004E1388" w:rsidP="004E1388">
            <w:pPr>
              <w:spacing w:before="40" w:after="40" w:line="360" w:lineRule="auto"/>
              <w:rPr>
                <w:rFonts w:ascii="Arial" w:hAnsi="Arial" w:cs="Arial"/>
                <w:lang w:val="sq-AL" w:bidi="ar-AE"/>
              </w:rPr>
            </w:pPr>
            <w:r w:rsidRPr="003D7619">
              <w:rPr>
                <w:rFonts w:ascii="Arial" w:hAnsi="Arial" w:cs="Arial"/>
                <w:lang w:val="sq-AL" w:bidi="ar-AE"/>
              </w:rPr>
              <w:t>Donatori/Međunarodne finansijske institucije</w:t>
            </w:r>
          </w:p>
          <w:p w14:paraId="51C81ED7"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Donatori</w:t>
            </w:r>
          </w:p>
        </w:tc>
      </w:tr>
      <w:tr w:rsidR="00377063" w:rsidRPr="0014164F" w14:paraId="0EEF18EB" w14:textId="77777777" w:rsidTr="009754F4">
        <w:trPr>
          <w:trHeight w:val="575"/>
          <w:jc w:val="center"/>
        </w:trPr>
        <w:tc>
          <w:tcPr>
            <w:tcW w:w="3695" w:type="pct"/>
            <w:gridSpan w:val="5"/>
            <w:shd w:val="clear" w:color="auto" w:fill="EDEDED" w:themeFill="accent3" w:themeFillTint="33"/>
          </w:tcPr>
          <w:p w14:paraId="7FE34186" w14:textId="77777777" w:rsidR="00377063" w:rsidRPr="002A6F4E" w:rsidRDefault="00377063" w:rsidP="00FE289C">
            <w:pPr>
              <w:spacing w:before="40" w:after="40" w:line="360" w:lineRule="auto"/>
              <w:rPr>
                <w:rFonts w:ascii="Arial" w:hAnsi="Arial" w:cs="Arial"/>
                <w:b/>
                <w:bCs/>
                <w:lang w:val="sq-AL"/>
              </w:rPr>
            </w:pPr>
            <w:r w:rsidRPr="002A6F4E">
              <w:rPr>
                <w:rFonts w:ascii="Arial" w:hAnsi="Arial" w:cs="Arial"/>
                <w:b/>
                <w:lang w:val="sq-AL" w:bidi="ar-AE"/>
              </w:rPr>
              <w:t xml:space="preserve">Posebni cilj VII: </w:t>
            </w:r>
            <w:bookmarkStart w:id="1457" w:name="_Hlk121694874"/>
            <w:r w:rsidRPr="002A6F4E">
              <w:rPr>
                <w:rFonts w:ascii="Arial" w:hAnsi="Arial" w:cs="Arial"/>
                <w:b/>
                <w:lang w:val="sq-AL" w:bidi="ar-AE"/>
              </w:rPr>
              <w:t xml:space="preserve">Za </w:t>
            </w:r>
            <w:r w:rsidRPr="002A6F4E">
              <w:rPr>
                <w:rFonts w:ascii="Arial" w:hAnsi="Arial" w:cs="Arial"/>
                <w:b/>
                <w:u w:val="single"/>
                <w:lang w:val="sq-AL" w:bidi="ar-AE"/>
              </w:rPr>
              <w:t>posebne tokove otpada,</w:t>
            </w:r>
            <w:r w:rsidRPr="002A6F4E">
              <w:rPr>
                <w:rFonts w:ascii="Arial" w:hAnsi="Arial" w:cs="Arial"/>
                <w:b/>
                <w:lang w:val="sq-AL" w:bidi="ar-AE"/>
              </w:rPr>
              <w:t xml:space="preserve"> sprovodiće se propisna organizacija sakupljanja, privremenog skladištenja i isporuke otpada ovlašćenim reciklažnim centrima. Uspostaviće se odgovarajući sistem upravljanja i izvještavanje o količini otpada koji je generisan i kojim se upravljalo.</w:t>
            </w:r>
            <w:bookmarkEnd w:id="1457"/>
          </w:p>
        </w:tc>
        <w:tc>
          <w:tcPr>
            <w:tcW w:w="1305" w:type="pct"/>
            <w:shd w:val="clear" w:color="auto" w:fill="EDEDED" w:themeFill="accent3" w:themeFillTint="33"/>
          </w:tcPr>
          <w:p w14:paraId="4C55B434" w14:textId="77777777" w:rsidR="00377063" w:rsidRPr="002A6F4E" w:rsidRDefault="00377063" w:rsidP="00FE289C">
            <w:pPr>
              <w:spacing w:before="40" w:after="40" w:line="360" w:lineRule="auto"/>
              <w:rPr>
                <w:rFonts w:ascii="Arial" w:hAnsi="Arial" w:cs="Arial"/>
                <w:b/>
                <w:lang w:val="sq-AL" w:bidi="ar-AE"/>
              </w:rPr>
            </w:pPr>
          </w:p>
        </w:tc>
      </w:tr>
      <w:tr w:rsidR="00377063" w:rsidRPr="0014164F" w14:paraId="52604DCC" w14:textId="77777777" w:rsidTr="009754F4">
        <w:trPr>
          <w:trHeight w:val="780"/>
          <w:jc w:val="center"/>
        </w:trPr>
        <w:tc>
          <w:tcPr>
            <w:tcW w:w="3695" w:type="pct"/>
            <w:gridSpan w:val="5"/>
            <w:shd w:val="clear" w:color="auto" w:fill="EDEDED" w:themeFill="accent3" w:themeFillTint="33"/>
          </w:tcPr>
          <w:p w14:paraId="059BA3AD" w14:textId="77777777" w:rsidR="00377063" w:rsidRPr="002A6F4E" w:rsidRDefault="00377063" w:rsidP="00FE289C">
            <w:pPr>
              <w:spacing w:before="40" w:after="40" w:line="360" w:lineRule="auto"/>
              <w:rPr>
                <w:rFonts w:ascii="Arial" w:hAnsi="Arial" w:cs="Arial"/>
                <w:b/>
                <w:lang w:val="sq-AL" w:bidi="ar-AE"/>
              </w:rPr>
            </w:pPr>
            <w:r w:rsidRPr="002A6F4E">
              <w:rPr>
                <w:rFonts w:ascii="Arial" w:hAnsi="Arial" w:cs="Arial"/>
                <w:b/>
                <w:lang w:val="sq-AL" w:bidi="ar-AE"/>
              </w:rPr>
              <w:t xml:space="preserve">Posebni cilj VIIa: Građevinski otpad i otpad od rušenja (CDW) </w:t>
            </w:r>
          </w:p>
          <w:p w14:paraId="3EE2CF15" w14:textId="6A6F0C1F"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Odvojeno sakupljanje CDW, na osnovu materijala, odnosno drvo, mineralne frakcije (beton, cigle, pločice, keramika i kamen).</w:t>
            </w:r>
          </w:p>
          <w:p w14:paraId="1E2F2B0D" w14:textId="4130F7A6"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2030. godine, najmanje 70% težine neopasnog građevinskog otpada pripremljeno je za ponovnu upotrebu i recikliranje.</w:t>
            </w:r>
          </w:p>
          <w:p w14:paraId="12936412" w14:textId="77777777"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lastRenderedPageBreak/>
              <w:t>Promovisanje odvajanje materijala na gradilištu.</w:t>
            </w:r>
          </w:p>
          <w:p w14:paraId="3B72D1EB" w14:textId="30245EA2"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Zahtijevati odvojeno sakupljanje otpada od iskopa, koje je isključeno iz postavljenih ciljeva.</w:t>
            </w:r>
          </w:p>
          <w:p w14:paraId="3EEBF3DF" w14:textId="77777777"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Odvojeno upravljanje otpadom od rušenja iz starih zgrada koji sadrži azbest.</w:t>
            </w:r>
          </w:p>
          <w:p w14:paraId="7CF78122" w14:textId="2DDE14B6"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Obraditi kontaminirani CDW u cilju prerade ili </w:t>
            </w:r>
            <w:r w:rsidR="0065202A">
              <w:rPr>
                <w:rFonts w:ascii="Arial" w:hAnsi="Arial" w:cs="Arial"/>
                <w:i/>
                <w:lang w:val="sq-AL" w:bidi="ar-AE"/>
              </w:rPr>
              <w:t>odstranjivanja</w:t>
            </w:r>
            <w:r w:rsidRPr="002A6F4E">
              <w:rPr>
                <w:rFonts w:ascii="Arial" w:hAnsi="Arial" w:cs="Arial"/>
                <w:i/>
                <w:lang w:val="sq-AL" w:bidi="ar-AE"/>
              </w:rPr>
              <w:t>.</w:t>
            </w:r>
          </w:p>
          <w:p w14:paraId="3E21EE5C" w14:textId="21B1CA0B" w:rsidR="00377063" w:rsidRPr="002A6F4E" w:rsidRDefault="00377063" w:rsidP="00A23ED0">
            <w:pPr>
              <w:pStyle w:val="ListParagraph"/>
              <w:numPr>
                <w:ilvl w:val="0"/>
                <w:numId w:val="89"/>
              </w:numPr>
              <w:spacing w:before="40" w:after="40" w:line="360" w:lineRule="auto"/>
              <w:contextualSpacing w:val="0"/>
              <w:rPr>
                <w:rFonts w:ascii="Arial" w:hAnsi="Arial" w:cs="Arial"/>
                <w:i/>
                <w:lang w:val="sq-AL" w:bidi="ar-AE"/>
              </w:rPr>
            </w:pPr>
            <w:r w:rsidRPr="002A6F4E">
              <w:rPr>
                <w:rFonts w:ascii="Arial" w:hAnsi="Arial" w:cs="Arial"/>
                <w:i/>
                <w:lang w:val="sq-AL" w:bidi="ar-AE"/>
              </w:rPr>
              <w:t>Izgraditi mrežu odgovarajućih objekata za obradu</w:t>
            </w:r>
            <w:r w:rsidR="0065202A">
              <w:rPr>
                <w:rFonts w:ascii="Arial" w:hAnsi="Arial" w:cs="Arial"/>
                <w:i/>
                <w:lang w:val="sq-AL" w:bidi="ar-AE"/>
              </w:rPr>
              <w:t xml:space="preserve"> </w:t>
            </w:r>
            <w:r w:rsidRPr="002A6F4E">
              <w:rPr>
                <w:rFonts w:ascii="Arial" w:hAnsi="Arial" w:cs="Arial"/>
                <w:i/>
                <w:lang w:val="sq-AL" w:bidi="ar-AE"/>
              </w:rPr>
              <w:t>(mogućnost finansiranja od strane Eko fonda).</w:t>
            </w:r>
          </w:p>
          <w:p w14:paraId="36C226C0" w14:textId="77777777"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Podržati razvoj tržišta za sekundarne sirovine koje se mogu ponovo upotrijebiti iz CDW. </w:t>
            </w:r>
          </w:p>
        </w:tc>
        <w:tc>
          <w:tcPr>
            <w:tcW w:w="1305" w:type="pct"/>
            <w:shd w:val="clear" w:color="auto" w:fill="EDEDED" w:themeFill="accent3" w:themeFillTint="33"/>
          </w:tcPr>
          <w:p w14:paraId="515559BB" w14:textId="77777777" w:rsidR="00377063" w:rsidRPr="002A6F4E" w:rsidRDefault="00377063" w:rsidP="00FE289C">
            <w:pPr>
              <w:spacing w:before="40" w:after="40" w:line="360" w:lineRule="auto"/>
              <w:rPr>
                <w:rFonts w:ascii="Arial" w:hAnsi="Arial" w:cs="Arial"/>
                <w:b/>
                <w:lang w:val="sq-AL" w:bidi="ar-AE"/>
              </w:rPr>
            </w:pPr>
          </w:p>
        </w:tc>
      </w:tr>
      <w:tr w:rsidR="000F67ED" w:rsidRPr="00156696" w14:paraId="2C9671D7" w14:textId="77777777" w:rsidTr="009754F4">
        <w:trPr>
          <w:jc w:val="center"/>
        </w:trPr>
        <w:tc>
          <w:tcPr>
            <w:tcW w:w="304" w:type="pct"/>
            <w:shd w:val="clear" w:color="auto" w:fill="auto"/>
          </w:tcPr>
          <w:p w14:paraId="53957668" w14:textId="519C04A3"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BE4450">
              <w:rPr>
                <w:rFonts w:ascii="Arial" w:hAnsi="Arial" w:cs="Arial"/>
                <w:lang w:val="sq-AL" w:bidi="ar-AE"/>
              </w:rPr>
              <w:t>15</w:t>
            </w:r>
          </w:p>
        </w:tc>
        <w:tc>
          <w:tcPr>
            <w:tcW w:w="518" w:type="pct"/>
            <w:shd w:val="clear" w:color="auto" w:fill="auto"/>
          </w:tcPr>
          <w:p w14:paraId="27EC51D1" w14:textId="1D39BA50"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PSSSS/ IM /FM</w:t>
            </w:r>
          </w:p>
        </w:tc>
        <w:tc>
          <w:tcPr>
            <w:tcW w:w="1264" w:type="pct"/>
            <w:shd w:val="clear" w:color="auto" w:fill="auto"/>
          </w:tcPr>
          <w:p w14:paraId="300B9731" w14:textId="4F0D5545" w:rsidR="00377063" w:rsidRPr="002A6F4E" w:rsidRDefault="00377063" w:rsidP="00FE289C">
            <w:pPr>
              <w:spacing w:before="40" w:after="40" w:line="360" w:lineRule="auto"/>
              <w:ind w:left="29"/>
              <w:rPr>
                <w:rFonts w:ascii="Arial" w:hAnsi="Arial" w:cs="Arial"/>
                <w:lang w:val="sq-AL" w:bidi="ar-AE"/>
              </w:rPr>
            </w:pPr>
            <w:r w:rsidRPr="002A6F4E">
              <w:rPr>
                <w:rFonts w:ascii="Arial" w:hAnsi="Arial" w:cs="Arial"/>
                <w:lang w:val="sq-AL" w:bidi="ar-AE"/>
              </w:rPr>
              <w:t xml:space="preserve">Izgradnja mreže odgovarajućih objekata i mjesta za obradu CDW: </w:t>
            </w:r>
          </w:p>
          <w:p w14:paraId="47B40B97" w14:textId="290BD1FF" w:rsidR="00377063" w:rsidRPr="002A6F4E" w:rsidRDefault="00377063" w:rsidP="00A23ED0">
            <w:pPr>
              <w:pStyle w:val="ListParagraph"/>
              <w:numPr>
                <w:ilvl w:val="0"/>
                <w:numId w:val="89"/>
              </w:numPr>
              <w:tabs>
                <w:tab w:val="left" w:pos="324"/>
              </w:tabs>
              <w:spacing w:before="40" w:after="40" w:line="360" w:lineRule="auto"/>
              <w:ind w:left="324" w:hanging="295"/>
              <w:rPr>
                <w:rFonts w:ascii="Arial" w:hAnsi="Arial" w:cs="Arial"/>
                <w:lang w:val="sq-AL" w:bidi="ar-AE"/>
              </w:rPr>
            </w:pPr>
            <w:r w:rsidRPr="002A6F4E">
              <w:rPr>
                <w:rFonts w:ascii="Arial" w:hAnsi="Arial" w:cs="Arial"/>
                <w:lang w:val="sq-AL" w:bidi="ar-AE"/>
              </w:rPr>
              <w:t xml:space="preserve">Izradom odgovarajućih studija </w:t>
            </w:r>
            <w:r w:rsidR="00CE6F91">
              <w:rPr>
                <w:rFonts w:ascii="Arial" w:hAnsi="Arial" w:cs="Arial"/>
                <w:lang w:val="sq-AL" w:bidi="ar-AE"/>
              </w:rPr>
              <w:t>za</w:t>
            </w:r>
            <w:r w:rsidRPr="002A6F4E">
              <w:rPr>
                <w:rFonts w:ascii="Arial" w:hAnsi="Arial" w:cs="Arial"/>
                <w:lang w:val="sq-AL" w:bidi="ar-AE"/>
              </w:rPr>
              <w:t xml:space="preserve"> odabirm lokacija</w:t>
            </w:r>
            <w:r w:rsidR="00BE4450">
              <w:rPr>
                <w:rFonts w:ascii="Arial" w:hAnsi="Arial" w:cs="Arial"/>
                <w:lang w:val="sq-AL" w:bidi="ar-AE"/>
              </w:rPr>
              <w:t>;</w:t>
            </w:r>
            <w:r w:rsidRPr="002A6F4E">
              <w:rPr>
                <w:rFonts w:ascii="Arial" w:hAnsi="Arial" w:cs="Arial"/>
                <w:lang w:val="sq-AL" w:bidi="ar-AE"/>
              </w:rPr>
              <w:t xml:space="preserve"> </w:t>
            </w:r>
          </w:p>
          <w:p w14:paraId="612D830F" w14:textId="38213454" w:rsidR="00377063" w:rsidRPr="002A6F4E" w:rsidRDefault="00377063" w:rsidP="00A23ED0">
            <w:pPr>
              <w:pStyle w:val="ListParagraph"/>
              <w:numPr>
                <w:ilvl w:val="0"/>
                <w:numId w:val="89"/>
              </w:numPr>
              <w:tabs>
                <w:tab w:val="left" w:pos="324"/>
              </w:tabs>
              <w:spacing w:before="40" w:after="40" w:line="360" w:lineRule="auto"/>
              <w:ind w:left="324" w:hanging="295"/>
              <w:rPr>
                <w:rFonts w:ascii="Arial" w:hAnsi="Arial" w:cs="Arial"/>
                <w:lang w:val="sq-AL" w:bidi="ar-AE"/>
              </w:rPr>
            </w:pPr>
            <w:r w:rsidRPr="002A6F4E">
              <w:rPr>
                <w:rFonts w:ascii="Arial" w:hAnsi="Arial" w:cs="Arial"/>
                <w:lang w:val="sq-AL" w:bidi="ar-AE"/>
              </w:rPr>
              <w:t>Obezbjeđivanjem finansiranja i izdavanja dozvola</w:t>
            </w:r>
            <w:r w:rsidR="00BE4450">
              <w:rPr>
                <w:rFonts w:ascii="Arial" w:hAnsi="Arial" w:cs="Arial"/>
                <w:lang w:val="sq-AL" w:bidi="ar-AE"/>
              </w:rPr>
              <w:t>;</w:t>
            </w:r>
          </w:p>
          <w:p w14:paraId="2A09C32C" w14:textId="77777777" w:rsidR="00377063" w:rsidRPr="002A6F4E" w:rsidRDefault="00377063" w:rsidP="00A23ED0">
            <w:pPr>
              <w:pStyle w:val="ListParagraph"/>
              <w:numPr>
                <w:ilvl w:val="0"/>
                <w:numId w:val="89"/>
              </w:numPr>
              <w:tabs>
                <w:tab w:val="left" w:pos="324"/>
              </w:tabs>
              <w:spacing w:before="40" w:after="40" w:line="360" w:lineRule="auto"/>
              <w:ind w:left="324" w:hanging="295"/>
              <w:rPr>
                <w:rFonts w:ascii="Arial" w:hAnsi="Arial" w:cs="Arial"/>
                <w:lang w:val="sq-AL" w:bidi="ar-AE"/>
              </w:rPr>
            </w:pPr>
            <w:r w:rsidRPr="002A6F4E">
              <w:rPr>
                <w:rFonts w:ascii="Arial" w:hAnsi="Arial" w:cs="Arial"/>
                <w:lang w:val="sq-AL" w:bidi="ar-AE"/>
              </w:rPr>
              <w:t>Uključenjem zainteresovanih strana</w:t>
            </w:r>
          </w:p>
          <w:p w14:paraId="539137F7" w14:textId="6F41D54C" w:rsidR="00377063" w:rsidRPr="002A6F4E" w:rsidRDefault="00377063" w:rsidP="00A23ED0">
            <w:pPr>
              <w:pStyle w:val="ListParagraph"/>
              <w:numPr>
                <w:ilvl w:val="0"/>
                <w:numId w:val="89"/>
              </w:numPr>
              <w:tabs>
                <w:tab w:val="left" w:pos="324"/>
              </w:tabs>
              <w:spacing w:before="40" w:after="40" w:line="360" w:lineRule="auto"/>
              <w:ind w:left="324" w:hanging="295"/>
              <w:rPr>
                <w:rFonts w:ascii="Arial" w:hAnsi="Arial" w:cs="Arial"/>
                <w:lang w:val="sq-AL" w:bidi="ar-AE"/>
              </w:rPr>
            </w:pPr>
            <w:r w:rsidRPr="00B46B69">
              <w:rPr>
                <w:rFonts w:ascii="Arial" w:hAnsi="Arial" w:cs="Arial"/>
                <w:lang w:val="sq-AL" w:bidi="ar-AE"/>
              </w:rPr>
              <w:t xml:space="preserve">Izgradnjom objekata za obradu i mjesta i </w:t>
            </w:r>
            <w:r w:rsidR="00CE6F91" w:rsidRPr="00B46B69">
              <w:rPr>
                <w:rFonts w:ascii="Arial" w:hAnsi="Arial" w:cs="Arial"/>
                <w:lang w:val="sq-AL" w:bidi="ar-AE"/>
              </w:rPr>
              <w:t>od</w:t>
            </w:r>
            <w:r w:rsidR="00B46B69" w:rsidRPr="00B46B69">
              <w:rPr>
                <w:rFonts w:ascii="Arial" w:hAnsi="Arial" w:cs="Arial"/>
                <w:lang w:val="sq-AL" w:bidi="ar-AE"/>
              </w:rPr>
              <w:t>s</w:t>
            </w:r>
            <w:r w:rsidR="00CE6F91" w:rsidRPr="00B46B69">
              <w:rPr>
                <w:rFonts w:ascii="Arial" w:hAnsi="Arial" w:cs="Arial"/>
                <w:lang w:val="sq-AL" w:bidi="ar-AE"/>
              </w:rPr>
              <w:t xml:space="preserve">tranjivanje </w:t>
            </w:r>
            <w:r w:rsidRPr="00B46B69">
              <w:rPr>
                <w:rFonts w:ascii="Arial" w:hAnsi="Arial" w:cs="Arial"/>
                <w:lang w:val="sq-AL" w:bidi="ar-AE"/>
              </w:rPr>
              <w:t>CDW</w:t>
            </w:r>
          </w:p>
        </w:tc>
        <w:tc>
          <w:tcPr>
            <w:tcW w:w="1101" w:type="pct"/>
            <w:shd w:val="clear" w:color="auto" w:fill="auto"/>
          </w:tcPr>
          <w:p w14:paraId="72004466" w14:textId="32F9903B" w:rsidR="00BE4450"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 xml:space="preserve"> /</w:t>
            </w:r>
          </w:p>
          <w:p w14:paraId="3422EE11" w14:textId="77777777" w:rsidR="00BE4450" w:rsidRDefault="00377063" w:rsidP="00FE289C">
            <w:pPr>
              <w:spacing w:before="40" w:after="40" w:line="360" w:lineRule="auto"/>
              <w:rPr>
                <w:rFonts w:ascii="Arial" w:hAnsi="Arial" w:cs="Arial"/>
                <w:lang w:val="sq-AL"/>
              </w:rPr>
            </w:pPr>
            <w:r w:rsidRPr="002A6F4E">
              <w:rPr>
                <w:rFonts w:ascii="Arial" w:hAnsi="Arial" w:cs="Arial"/>
                <w:lang w:val="sq-AL" w:bidi="ar-AE"/>
              </w:rPr>
              <w:t xml:space="preserve"> </w:t>
            </w:r>
            <w:r w:rsidR="00BE4450">
              <w:rPr>
                <w:rFonts w:ascii="Arial" w:hAnsi="Arial" w:cs="Arial"/>
                <w:lang w:val="sq-AL" w:bidi="ar-AE"/>
              </w:rPr>
              <w:t>J</w:t>
            </w:r>
            <w:r w:rsidRPr="002A6F4E">
              <w:rPr>
                <w:rFonts w:ascii="Arial" w:hAnsi="Arial" w:cs="Arial"/>
                <w:lang w:val="sq-AL" w:bidi="ar-AE"/>
              </w:rPr>
              <w:t>edinice lokalnih samouprava</w:t>
            </w:r>
            <w:r w:rsidRPr="002A6F4E">
              <w:rPr>
                <w:rFonts w:ascii="Arial" w:hAnsi="Arial" w:cs="Arial"/>
                <w:lang w:val="sq-AL"/>
              </w:rPr>
              <w:t xml:space="preserve"> (posebno u odnosu na sakupljanje i privremeno skladištenje)</w:t>
            </w:r>
            <w:r w:rsidR="00BE4450">
              <w:rPr>
                <w:rFonts w:ascii="Arial" w:hAnsi="Arial" w:cs="Arial"/>
                <w:lang w:val="sq-AL"/>
              </w:rPr>
              <w:t>/</w:t>
            </w:r>
          </w:p>
          <w:p w14:paraId="051CD56D" w14:textId="3689BDB3" w:rsidR="00377063" w:rsidRPr="002A6F4E" w:rsidRDefault="00BE4450" w:rsidP="00FE289C">
            <w:pPr>
              <w:spacing w:before="40" w:after="40" w:line="360" w:lineRule="auto"/>
              <w:rPr>
                <w:rFonts w:ascii="Arial" w:hAnsi="Arial" w:cs="Arial"/>
                <w:lang w:val="sq-AL" w:bidi="ar-AE"/>
              </w:rPr>
            </w:pPr>
            <w:r>
              <w:rPr>
                <w:rFonts w:ascii="Arial" w:hAnsi="Arial" w:cs="Arial"/>
                <w:lang w:val="sq-AL" w:bidi="ar-AE"/>
              </w:rPr>
              <w:t>P</w:t>
            </w:r>
            <w:r w:rsidR="00377063" w:rsidRPr="002A6F4E">
              <w:rPr>
                <w:rFonts w:ascii="Arial" w:hAnsi="Arial" w:cs="Arial"/>
                <w:lang w:val="sq-AL" w:bidi="ar-AE"/>
              </w:rPr>
              <w:t>rivatni sektor</w:t>
            </w:r>
          </w:p>
        </w:tc>
        <w:tc>
          <w:tcPr>
            <w:tcW w:w="508" w:type="pct"/>
            <w:shd w:val="clear" w:color="auto" w:fill="auto"/>
          </w:tcPr>
          <w:p w14:paraId="3E347025"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2025-2027.</w:t>
            </w:r>
          </w:p>
        </w:tc>
        <w:tc>
          <w:tcPr>
            <w:tcW w:w="1305" w:type="pct"/>
          </w:tcPr>
          <w:p w14:paraId="7CBF0218" w14:textId="62E4CAC6" w:rsidR="00377063" w:rsidRPr="00B46B69" w:rsidRDefault="00377063" w:rsidP="00FE289C">
            <w:pPr>
              <w:spacing w:before="40" w:after="40" w:line="360" w:lineRule="auto"/>
              <w:rPr>
                <w:rFonts w:ascii="Arial" w:hAnsi="Arial" w:cs="Arial"/>
                <w:lang w:val="sq-AL" w:bidi="ar-AE"/>
              </w:rPr>
            </w:pPr>
            <w:r w:rsidRPr="00B46B69">
              <w:rPr>
                <w:rFonts w:ascii="Arial" w:hAnsi="Arial" w:cs="Arial"/>
                <w:lang w:val="sq-AL" w:bidi="ar-AE"/>
              </w:rPr>
              <w:t>Državni budžet</w:t>
            </w:r>
          </w:p>
          <w:p w14:paraId="3835F89D" w14:textId="77777777" w:rsidR="00BE4450" w:rsidRPr="00B46B69" w:rsidRDefault="00377063" w:rsidP="00FE289C">
            <w:pPr>
              <w:spacing w:before="40" w:after="40" w:line="360" w:lineRule="auto"/>
              <w:rPr>
                <w:rFonts w:ascii="Arial" w:hAnsi="Arial" w:cs="Arial"/>
                <w:lang w:val="sq-AL" w:bidi="ar-AE"/>
              </w:rPr>
            </w:pPr>
            <w:r w:rsidRPr="00B46B69">
              <w:rPr>
                <w:rFonts w:ascii="Arial" w:hAnsi="Arial" w:cs="Arial"/>
                <w:lang w:val="sq-AL" w:bidi="ar-AE"/>
              </w:rPr>
              <w:t>(mogućnost finansiranja od strane Eko fonda)</w:t>
            </w:r>
            <w:r w:rsidR="00BE4450" w:rsidRPr="00B46B69">
              <w:rPr>
                <w:rFonts w:ascii="Arial" w:hAnsi="Arial" w:cs="Arial"/>
                <w:lang w:val="sq-AL" w:bidi="ar-AE"/>
              </w:rPr>
              <w:t>/</w:t>
            </w:r>
          </w:p>
          <w:p w14:paraId="46C05DEF" w14:textId="2B1EF626" w:rsidR="00377063" w:rsidRPr="002A6F4E" w:rsidRDefault="00377063" w:rsidP="00FE289C">
            <w:pPr>
              <w:spacing w:before="40" w:after="40" w:line="360" w:lineRule="auto"/>
              <w:rPr>
                <w:rFonts w:ascii="Arial" w:hAnsi="Arial" w:cs="Arial"/>
                <w:lang w:val="de-DE" w:bidi="ar-AE"/>
              </w:rPr>
            </w:pPr>
            <w:r w:rsidRPr="002A6F4E">
              <w:rPr>
                <w:rFonts w:ascii="Arial" w:hAnsi="Arial" w:cs="Arial"/>
                <w:lang w:val="de-DE" w:bidi="ar-AE"/>
              </w:rPr>
              <w:t>Donatori</w:t>
            </w:r>
            <w:r w:rsidR="00BE4450">
              <w:rPr>
                <w:rFonts w:ascii="Arial" w:hAnsi="Arial" w:cs="Arial"/>
                <w:lang w:val="de-DE" w:bidi="ar-AE"/>
              </w:rPr>
              <w:t>/</w:t>
            </w:r>
          </w:p>
          <w:p w14:paraId="5CE0868B"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de-DE" w:bidi="ar-AE"/>
              </w:rPr>
              <w:t>Privatni sektor</w:t>
            </w:r>
          </w:p>
        </w:tc>
      </w:tr>
      <w:tr w:rsidR="000F67ED" w:rsidRPr="002A6F4E" w14:paraId="03C99FB1" w14:textId="77777777" w:rsidTr="009754F4">
        <w:trPr>
          <w:jc w:val="center"/>
        </w:trPr>
        <w:tc>
          <w:tcPr>
            <w:tcW w:w="304" w:type="pct"/>
            <w:shd w:val="clear" w:color="auto" w:fill="auto"/>
          </w:tcPr>
          <w:p w14:paraId="229A1BCD" w14:textId="044E11E3"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BE4450">
              <w:rPr>
                <w:rFonts w:ascii="Arial" w:hAnsi="Arial" w:cs="Arial"/>
                <w:lang w:val="sq-AL" w:bidi="ar-AE"/>
              </w:rPr>
              <w:t>16</w:t>
            </w:r>
          </w:p>
        </w:tc>
        <w:tc>
          <w:tcPr>
            <w:tcW w:w="518" w:type="pct"/>
            <w:shd w:val="clear" w:color="auto" w:fill="auto"/>
          </w:tcPr>
          <w:p w14:paraId="0D294105"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02B0237A" w14:textId="77777777" w:rsidR="00377063" w:rsidRPr="002A6F4E" w:rsidRDefault="00377063" w:rsidP="00FE289C">
            <w:pPr>
              <w:spacing w:before="40" w:after="40" w:line="360" w:lineRule="auto"/>
              <w:ind w:left="54"/>
              <w:rPr>
                <w:rFonts w:ascii="Arial" w:hAnsi="Arial" w:cs="Arial"/>
                <w:lang w:val="sq-AL" w:bidi="ar-AE"/>
              </w:rPr>
            </w:pPr>
            <w:r w:rsidRPr="002A6F4E">
              <w:rPr>
                <w:rFonts w:ascii="Arial" w:eastAsia="Times New Roman" w:hAnsi="Arial" w:cs="Arial"/>
                <w:lang w:val="sq-AL" w:eastAsia="el-GR"/>
              </w:rPr>
              <w:t>Podrška odvojenom sakupljanju CDW time što će se intenzivirati inspekcije i kontrole koje se bave sakupljanjem CDW bez razvrstavanja i njegovim nezakonitim odlaganjem</w:t>
            </w:r>
          </w:p>
        </w:tc>
        <w:tc>
          <w:tcPr>
            <w:tcW w:w="1101" w:type="pct"/>
            <w:shd w:val="clear" w:color="auto" w:fill="auto"/>
          </w:tcPr>
          <w:p w14:paraId="3A4DBDD0" w14:textId="45B42DFF"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 xml:space="preserve"> / sistem EPR</w:t>
            </w:r>
            <w:r w:rsidR="00CE6F91">
              <w:rPr>
                <w:rFonts w:ascii="Arial" w:hAnsi="Arial" w:cs="Arial"/>
                <w:lang w:val="sq-AL" w:bidi="ar-AE"/>
              </w:rPr>
              <w:t>/Nadležne inspekcije</w:t>
            </w:r>
            <w:r w:rsidRPr="002A6F4E">
              <w:rPr>
                <w:rFonts w:ascii="Arial" w:hAnsi="Arial" w:cs="Arial"/>
                <w:lang w:val="sq-AL" w:bidi="ar-AE"/>
              </w:rPr>
              <w:t xml:space="preserve"> </w:t>
            </w:r>
          </w:p>
        </w:tc>
        <w:tc>
          <w:tcPr>
            <w:tcW w:w="508" w:type="pct"/>
            <w:shd w:val="clear" w:color="auto" w:fill="auto"/>
          </w:tcPr>
          <w:p w14:paraId="53779AC6"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w:t>
            </w:r>
            <w:r w:rsidRPr="00B46B69">
              <w:rPr>
                <w:rFonts w:ascii="Arial" w:hAnsi="Arial" w:cs="Arial"/>
                <w:lang w:val="sq-AL" w:bidi="ar-AE"/>
              </w:rPr>
              <w:t>2030.</w:t>
            </w:r>
          </w:p>
        </w:tc>
        <w:tc>
          <w:tcPr>
            <w:tcW w:w="1305" w:type="pct"/>
          </w:tcPr>
          <w:p w14:paraId="2E796FFA" w14:textId="308524AA" w:rsidR="00377063" w:rsidRPr="002A6F4E" w:rsidRDefault="00BE4450" w:rsidP="00FE289C">
            <w:pPr>
              <w:spacing w:before="40" w:after="40" w:line="360" w:lineRule="auto"/>
              <w:rPr>
                <w:rFonts w:ascii="Arial" w:hAnsi="Arial" w:cs="Arial"/>
                <w:lang w:val="sq-AL" w:bidi="ar-AE"/>
              </w:rPr>
            </w:pPr>
            <w:r>
              <w:rPr>
                <w:rFonts w:ascii="Arial" w:hAnsi="Arial" w:cs="Arial"/>
                <w:lang w:val="sq-AL" w:bidi="ar-AE"/>
              </w:rPr>
              <w:t>/</w:t>
            </w:r>
          </w:p>
        </w:tc>
      </w:tr>
      <w:tr w:rsidR="000F67ED" w:rsidRPr="0014164F" w14:paraId="4376B66D" w14:textId="77777777" w:rsidTr="009754F4">
        <w:trPr>
          <w:jc w:val="center"/>
        </w:trPr>
        <w:tc>
          <w:tcPr>
            <w:tcW w:w="304" w:type="pct"/>
            <w:shd w:val="clear" w:color="auto" w:fill="auto"/>
          </w:tcPr>
          <w:p w14:paraId="690002EB" w14:textId="5B45B502"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BE4450">
              <w:rPr>
                <w:rFonts w:ascii="Arial" w:hAnsi="Arial" w:cs="Arial"/>
                <w:lang w:val="sq-AL" w:bidi="ar-AE"/>
              </w:rPr>
              <w:t>17</w:t>
            </w:r>
          </w:p>
        </w:tc>
        <w:tc>
          <w:tcPr>
            <w:tcW w:w="518" w:type="pct"/>
            <w:shd w:val="clear" w:color="auto" w:fill="auto"/>
          </w:tcPr>
          <w:p w14:paraId="407CE55C"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1277DB28"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 xml:space="preserve">Korišćenje specijalizovanog kadra, opremljenog neophodnom zaštitnom opremom i korišćenje odgovarajućih kesa i </w:t>
            </w:r>
            <w:r w:rsidRPr="002A6F4E">
              <w:rPr>
                <w:rFonts w:ascii="Arial" w:hAnsi="Arial" w:cs="Arial"/>
                <w:lang w:val="sq-AL" w:bidi="ar-AE"/>
              </w:rPr>
              <w:lastRenderedPageBreak/>
              <w:t>kontejnera za sakupljanje kontaminiranih materijala i materijala koji sadrže azbest</w:t>
            </w:r>
          </w:p>
        </w:tc>
        <w:tc>
          <w:tcPr>
            <w:tcW w:w="1101" w:type="pct"/>
            <w:shd w:val="clear" w:color="auto" w:fill="auto"/>
          </w:tcPr>
          <w:p w14:paraId="0D8D7B7D" w14:textId="4BA0BC32" w:rsidR="00BE4450" w:rsidRDefault="00377063" w:rsidP="00FE289C">
            <w:pPr>
              <w:spacing w:before="40" w:after="40" w:line="360" w:lineRule="auto"/>
              <w:rPr>
                <w:rFonts w:ascii="Arial" w:hAnsi="Arial" w:cs="Arial"/>
                <w:lang w:val="sq-AL" w:bidi="ar-AE"/>
              </w:rPr>
            </w:pPr>
            <w:r w:rsidRPr="002A6F4E">
              <w:rPr>
                <w:rFonts w:ascii="Arial" w:hAnsi="Arial" w:cs="Arial"/>
                <w:lang w:val="sq-AL"/>
              </w:rPr>
              <w:lastRenderedPageBreak/>
              <w:t>MERS</w:t>
            </w:r>
            <w:r w:rsidRPr="002A6F4E">
              <w:rPr>
                <w:rFonts w:ascii="Arial" w:hAnsi="Arial" w:cs="Arial"/>
                <w:lang w:val="sq-AL" w:bidi="ar-AE"/>
              </w:rPr>
              <w:t xml:space="preserve">/ </w:t>
            </w:r>
          </w:p>
          <w:p w14:paraId="217F7550" w14:textId="45EB12C3" w:rsidR="00BE4450" w:rsidRDefault="00377063" w:rsidP="00FE289C">
            <w:pPr>
              <w:spacing w:before="40" w:after="40" w:line="360" w:lineRule="auto"/>
              <w:rPr>
                <w:rFonts w:ascii="Arial" w:hAnsi="Arial" w:cs="Arial"/>
                <w:lang w:val="sq-AL" w:bidi="ar-AE"/>
              </w:rPr>
            </w:pPr>
            <w:r w:rsidRPr="002A6F4E">
              <w:rPr>
                <w:rFonts w:ascii="Arial" w:hAnsi="Arial" w:cs="Arial"/>
                <w:lang w:val="sq-AL" w:bidi="ar-AE"/>
              </w:rPr>
              <w:t xml:space="preserve">/ </w:t>
            </w:r>
          </w:p>
          <w:p w14:paraId="1B1F541E" w14:textId="3BE90B18" w:rsidR="00377063" w:rsidRPr="002A6F4E" w:rsidRDefault="00BE4450" w:rsidP="00FE289C">
            <w:pPr>
              <w:spacing w:before="40" w:after="40" w:line="360" w:lineRule="auto"/>
              <w:rPr>
                <w:rFonts w:ascii="Arial" w:hAnsi="Arial" w:cs="Arial"/>
                <w:lang w:val="sq-AL" w:bidi="ar-AE"/>
              </w:rPr>
            </w:pPr>
            <w:r>
              <w:rPr>
                <w:rFonts w:ascii="Arial" w:hAnsi="Arial" w:cs="Arial"/>
                <w:lang w:val="sq-AL" w:bidi="ar-AE"/>
              </w:rPr>
              <w:t>P</w:t>
            </w:r>
            <w:r w:rsidR="00377063" w:rsidRPr="002A6F4E">
              <w:rPr>
                <w:rFonts w:ascii="Arial" w:hAnsi="Arial" w:cs="Arial"/>
                <w:lang w:val="sq-AL" w:bidi="ar-AE"/>
              </w:rPr>
              <w:t>rivatni sektor</w:t>
            </w:r>
          </w:p>
        </w:tc>
        <w:tc>
          <w:tcPr>
            <w:tcW w:w="508" w:type="pct"/>
            <w:shd w:val="clear" w:color="auto" w:fill="auto"/>
          </w:tcPr>
          <w:p w14:paraId="1BEABA6C" w14:textId="534AB7A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2025-202</w:t>
            </w:r>
            <w:r w:rsidR="00BE4450">
              <w:rPr>
                <w:rFonts w:ascii="Arial" w:hAnsi="Arial" w:cs="Arial"/>
                <w:lang w:val="sq-AL" w:bidi="ar-AE"/>
              </w:rPr>
              <w:t>8</w:t>
            </w:r>
            <w:r w:rsidRPr="002A6F4E">
              <w:rPr>
                <w:rFonts w:ascii="Arial" w:hAnsi="Arial" w:cs="Arial"/>
                <w:lang w:val="sq-AL" w:bidi="ar-AE"/>
              </w:rPr>
              <w:t>.</w:t>
            </w:r>
          </w:p>
        </w:tc>
        <w:tc>
          <w:tcPr>
            <w:tcW w:w="1305" w:type="pct"/>
          </w:tcPr>
          <w:p w14:paraId="3E3CF458" w14:textId="663B8C7E" w:rsidR="00377063" w:rsidRPr="002A6F4E" w:rsidRDefault="00377063" w:rsidP="00FE289C">
            <w:pPr>
              <w:spacing w:before="40" w:after="40" w:line="360" w:lineRule="auto"/>
              <w:rPr>
                <w:rFonts w:ascii="Arial" w:hAnsi="Arial" w:cs="Arial"/>
                <w:lang w:val="sq-AL" w:bidi="ar-AE"/>
              </w:rPr>
            </w:pPr>
            <w:r w:rsidRPr="003D7619">
              <w:rPr>
                <w:rFonts w:ascii="Arial" w:hAnsi="Arial" w:cs="Arial"/>
                <w:lang w:val="de-DE" w:bidi="ar-AE"/>
              </w:rPr>
              <w:t>Državni budžet</w:t>
            </w:r>
            <w:r w:rsidR="00BE4450" w:rsidRPr="003D7619">
              <w:rPr>
                <w:rFonts w:ascii="Arial" w:hAnsi="Arial" w:cs="Arial"/>
                <w:lang w:val="de-DE" w:bidi="ar-AE"/>
              </w:rPr>
              <w:t>/</w:t>
            </w:r>
            <w:r w:rsidR="00CE6F91" w:rsidRPr="003D7619">
              <w:rPr>
                <w:rFonts w:ascii="Arial" w:hAnsi="Arial" w:cs="Arial"/>
                <w:lang w:val="de-DE" w:bidi="ar-AE"/>
              </w:rPr>
              <w:t>Donatori/Međunarodne finansijske institucije/</w:t>
            </w:r>
            <w:r w:rsidRPr="003D7619">
              <w:rPr>
                <w:rFonts w:ascii="Arial" w:hAnsi="Arial" w:cs="Arial"/>
                <w:lang w:val="de-DE" w:bidi="ar-AE"/>
              </w:rPr>
              <w:t>Privatni sektor</w:t>
            </w:r>
          </w:p>
        </w:tc>
      </w:tr>
      <w:tr w:rsidR="00377063" w:rsidRPr="0014164F" w14:paraId="341BDA07" w14:textId="77777777" w:rsidTr="009754F4">
        <w:trPr>
          <w:trHeight w:val="780"/>
          <w:jc w:val="center"/>
        </w:trPr>
        <w:tc>
          <w:tcPr>
            <w:tcW w:w="3695" w:type="pct"/>
            <w:gridSpan w:val="5"/>
            <w:shd w:val="clear" w:color="auto" w:fill="EDEDED" w:themeFill="accent3" w:themeFillTint="33"/>
          </w:tcPr>
          <w:p w14:paraId="3C414100" w14:textId="77777777" w:rsidR="00377063" w:rsidRPr="002A6F4E" w:rsidRDefault="00377063" w:rsidP="00FE289C">
            <w:pPr>
              <w:spacing w:before="40" w:after="40" w:line="360" w:lineRule="auto"/>
              <w:rPr>
                <w:rFonts w:ascii="Arial" w:hAnsi="Arial" w:cs="Arial"/>
                <w:b/>
                <w:lang w:val="sq-AL" w:bidi="ar-AE"/>
              </w:rPr>
            </w:pPr>
            <w:r w:rsidRPr="002A6F4E">
              <w:rPr>
                <w:rFonts w:ascii="Arial" w:hAnsi="Arial" w:cs="Arial"/>
                <w:b/>
                <w:lang w:val="sq-AL" w:bidi="ar-AE"/>
              </w:rPr>
              <w:t xml:space="preserve">Posebni cilj VIIb: Otpadna električna i elektronska oprema (OEEO) </w:t>
            </w:r>
          </w:p>
          <w:p w14:paraId="2E6768D4" w14:textId="6AC58F33"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Pratiti količine</w:t>
            </w:r>
            <w:r w:rsidR="00B83957">
              <w:rPr>
                <w:rFonts w:ascii="Arial" w:hAnsi="Arial" w:cs="Arial"/>
                <w:i/>
                <w:lang w:val="sq-AL" w:bidi="ar-AE"/>
              </w:rPr>
              <w:t xml:space="preserve"> otpada od </w:t>
            </w:r>
            <w:r w:rsidRPr="002A6F4E">
              <w:rPr>
                <w:rFonts w:ascii="Arial" w:hAnsi="Arial" w:cs="Arial"/>
                <w:i/>
                <w:lang w:val="sq-AL" w:bidi="ar-AE"/>
              </w:rPr>
              <w:t xml:space="preserve"> električn</w:t>
            </w:r>
            <w:r w:rsidR="00B83957">
              <w:rPr>
                <w:rFonts w:ascii="Arial" w:hAnsi="Arial" w:cs="Arial"/>
                <w:i/>
                <w:lang w:val="sq-AL" w:bidi="ar-AE"/>
              </w:rPr>
              <w:t>e</w:t>
            </w:r>
            <w:r w:rsidRPr="002A6F4E">
              <w:rPr>
                <w:rFonts w:ascii="Arial" w:hAnsi="Arial" w:cs="Arial"/>
                <w:i/>
                <w:lang w:val="sq-AL" w:bidi="ar-AE"/>
              </w:rPr>
              <w:t xml:space="preserve"> i elektr</w:t>
            </w:r>
            <w:r w:rsidR="00BE4450">
              <w:rPr>
                <w:rFonts w:ascii="Arial" w:hAnsi="Arial" w:cs="Arial"/>
                <w:i/>
                <w:lang w:val="sq-AL" w:bidi="ar-AE"/>
              </w:rPr>
              <w:t>ons</w:t>
            </w:r>
            <w:r w:rsidRPr="002A6F4E">
              <w:rPr>
                <w:rFonts w:ascii="Arial" w:hAnsi="Arial" w:cs="Arial"/>
                <w:i/>
                <w:lang w:val="sq-AL" w:bidi="ar-AE"/>
              </w:rPr>
              <w:t>k</w:t>
            </w:r>
            <w:r w:rsidR="00B83957">
              <w:rPr>
                <w:rFonts w:ascii="Arial" w:hAnsi="Arial" w:cs="Arial"/>
                <w:i/>
                <w:lang w:val="sq-AL" w:bidi="ar-AE"/>
              </w:rPr>
              <w:t>e</w:t>
            </w:r>
            <w:r w:rsidRPr="002A6F4E">
              <w:rPr>
                <w:rFonts w:ascii="Arial" w:hAnsi="Arial" w:cs="Arial"/>
                <w:i/>
                <w:lang w:val="sq-AL" w:bidi="ar-AE"/>
              </w:rPr>
              <w:t xml:space="preserve"> o</w:t>
            </w:r>
            <w:r w:rsidR="00B83957">
              <w:rPr>
                <w:rFonts w:ascii="Arial" w:hAnsi="Arial" w:cs="Arial"/>
                <w:i/>
                <w:lang w:val="sq-AL" w:bidi="ar-AE"/>
              </w:rPr>
              <w:t>preme</w:t>
            </w:r>
            <w:r w:rsidRPr="002A6F4E">
              <w:rPr>
                <w:rFonts w:ascii="Arial" w:hAnsi="Arial" w:cs="Arial"/>
                <w:i/>
                <w:lang w:val="sq-AL" w:bidi="ar-AE"/>
              </w:rPr>
              <w:t xml:space="preserve"> u Crnoj Gori.</w:t>
            </w:r>
          </w:p>
          <w:p w14:paraId="502D5FF6" w14:textId="32FAC546"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Do </w:t>
            </w:r>
            <w:r w:rsidRPr="00866FDC">
              <w:rPr>
                <w:rFonts w:ascii="Arial" w:hAnsi="Arial" w:cs="Arial"/>
                <w:i/>
                <w:lang w:val="sq-AL" w:bidi="ar-AE"/>
              </w:rPr>
              <w:t xml:space="preserve">31. </w:t>
            </w:r>
            <w:r w:rsidR="00866FDC">
              <w:rPr>
                <w:rFonts w:ascii="Arial" w:hAnsi="Arial" w:cs="Arial"/>
                <w:i/>
                <w:lang w:val="sq-AL" w:bidi="ar-AE"/>
              </w:rPr>
              <w:t>d</w:t>
            </w:r>
            <w:r w:rsidRPr="00866FDC">
              <w:rPr>
                <w:rFonts w:ascii="Arial" w:hAnsi="Arial" w:cs="Arial"/>
                <w:i/>
                <w:lang w:val="sq-AL" w:bidi="ar-AE"/>
              </w:rPr>
              <w:t>ecembra 2025. godine,</w:t>
            </w:r>
            <w:r w:rsidRPr="002A6F4E">
              <w:rPr>
                <w:rFonts w:ascii="Arial" w:hAnsi="Arial" w:cs="Arial"/>
                <w:i/>
                <w:lang w:val="sq-AL" w:bidi="ar-AE"/>
              </w:rPr>
              <w:t xml:space="preserve"> odvojeno sakupiti najmanje 45% godišnje prosječne težine električne i elektronske opreme koja je stavljena na tržiste u prethodne tri godine (pretpostavlja se da ovo odgovara količini od 60% generisanog OEEO).</w:t>
            </w:r>
          </w:p>
          <w:p w14:paraId="77C73D20" w14:textId="77777777"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2027. godine, odvojeno sakupiti najmanje 65% godišnje prosječne težine električne i elektronske opreme koja je stavljena na tržište u prethodne tri godine (pretpostavlja se da ovo odgovara količini od 60% generisanog OEEO).</w:t>
            </w:r>
          </w:p>
          <w:p w14:paraId="3180EFE2" w14:textId="3E59E868"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Do </w:t>
            </w:r>
            <w:r w:rsidR="00F858D9" w:rsidRPr="002A6F4E">
              <w:rPr>
                <w:rFonts w:ascii="Arial" w:hAnsi="Arial" w:cs="Arial"/>
                <w:i/>
                <w:lang w:val="sq-AL" w:bidi="ar-AE"/>
              </w:rPr>
              <w:t>2029</w:t>
            </w:r>
            <w:r w:rsidRPr="002A6F4E">
              <w:rPr>
                <w:rFonts w:ascii="Arial" w:hAnsi="Arial" w:cs="Arial"/>
                <w:i/>
                <w:lang w:val="sq-AL" w:bidi="ar-AE"/>
              </w:rPr>
              <w:t>. godine, najmanje 80% odvojeno sakupljene opreme za izmjenu toplote i otpadne opreme velikih dimenzija (spoljašne dimenzije veće od 50 cm) koja se odvojeno se upotrebljava ili reciklira.</w:t>
            </w:r>
          </w:p>
          <w:p w14:paraId="3A7F834C" w14:textId="300DDE84"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Do 2027. godine, najmanje </w:t>
            </w:r>
            <w:r w:rsidR="00BE4450">
              <w:rPr>
                <w:rFonts w:ascii="Arial" w:hAnsi="Arial" w:cs="Arial"/>
                <w:i/>
                <w:lang w:val="sq-AL" w:bidi="ar-AE"/>
              </w:rPr>
              <w:t>75</w:t>
            </w:r>
            <w:r w:rsidRPr="002A6F4E">
              <w:rPr>
                <w:rFonts w:ascii="Arial" w:hAnsi="Arial" w:cs="Arial"/>
                <w:i/>
                <w:lang w:val="sq-AL" w:bidi="ar-AE"/>
              </w:rPr>
              <w:t>% odvojeno sakupljenih otpadnih ekrana, monitora i opreme koja sadrži ekrane dimenzija većih od 100 cm</w:t>
            </w:r>
            <w:r w:rsidRPr="002A6F4E">
              <w:rPr>
                <w:rFonts w:ascii="Arial" w:hAnsi="Arial" w:cs="Arial"/>
                <w:i/>
                <w:vertAlign w:val="superscript"/>
                <w:lang w:val="sq-AL" w:bidi="ar-AE"/>
              </w:rPr>
              <w:t>2</w:t>
            </w:r>
            <w:r w:rsidRPr="002A6F4E">
              <w:rPr>
                <w:rFonts w:ascii="Arial" w:hAnsi="Arial" w:cs="Arial"/>
                <w:i/>
                <w:lang w:val="sq-AL" w:bidi="ar-AE"/>
              </w:rPr>
              <w:t xml:space="preserve"> ponovo se upotrebljava ili reciklira.</w:t>
            </w:r>
          </w:p>
          <w:p w14:paraId="48DCDE6A" w14:textId="77777777"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2027. godine, najmanje 50% odvojeno sakupljene otpadne opreme malih dimenzija (spoljašne dimenzije ne prelaze 50 cm) ponovo se upotrebljava ili reciklira.</w:t>
            </w:r>
          </w:p>
          <w:p w14:paraId="5C4D603F" w14:textId="77777777"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Do 2027. godine, najmanje 80% odvojeno sakupljenih otpadnih lampi se reciklira. </w:t>
            </w:r>
          </w:p>
          <w:p w14:paraId="7DE5E4D0" w14:textId="77777777"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Podrška izgradnje infrastrukture za opradu OEEO.</w:t>
            </w:r>
          </w:p>
        </w:tc>
        <w:tc>
          <w:tcPr>
            <w:tcW w:w="1305" w:type="pct"/>
            <w:shd w:val="clear" w:color="auto" w:fill="EDEDED" w:themeFill="accent3" w:themeFillTint="33"/>
          </w:tcPr>
          <w:p w14:paraId="7787E9A8" w14:textId="77777777" w:rsidR="00377063" w:rsidRPr="002A6F4E" w:rsidRDefault="00377063" w:rsidP="00FE289C">
            <w:pPr>
              <w:spacing w:before="40" w:after="40" w:line="360" w:lineRule="auto"/>
              <w:rPr>
                <w:rFonts w:ascii="Arial" w:hAnsi="Arial" w:cs="Arial"/>
                <w:b/>
                <w:lang w:val="sq-AL" w:bidi="ar-AE"/>
              </w:rPr>
            </w:pPr>
          </w:p>
        </w:tc>
      </w:tr>
      <w:tr w:rsidR="000F67ED" w:rsidRPr="002A6F4E" w14:paraId="5FC39336" w14:textId="77777777" w:rsidTr="009754F4">
        <w:trPr>
          <w:jc w:val="center"/>
        </w:trPr>
        <w:tc>
          <w:tcPr>
            <w:tcW w:w="304" w:type="pct"/>
            <w:shd w:val="clear" w:color="auto" w:fill="auto"/>
          </w:tcPr>
          <w:p w14:paraId="2B880C18" w14:textId="3995834D"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BE4450">
              <w:rPr>
                <w:rFonts w:ascii="Arial" w:hAnsi="Arial" w:cs="Arial"/>
                <w:lang w:val="sq-AL" w:bidi="ar-AE"/>
              </w:rPr>
              <w:t>18</w:t>
            </w:r>
          </w:p>
        </w:tc>
        <w:tc>
          <w:tcPr>
            <w:tcW w:w="518" w:type="pct"/>
            <w:shd w:val="clear" w:color="auto" w:fill="auto"/>
          </w:tcPr>
          <w:p w14:paraId="1D44CE7C"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73B235BF" w14:textId="5F97565F" w:rsidR="00377063" w:rsidRPr="002A6F4E" w:rsidRDefault="00BE4450" w:rsidP="00FE289C">
            <w:pPr>
              <w:spacing w:before="40" w:after="40" w:line="360" w:lineRule="auto"/>
              <w:ind w:left="54"/>
              <w:rPr>
                <w:rFonts w:ascii="Arial" w:eastAsia="Times New Roman" w:hAnsi="Arial" w:cs="Arial"/>
                <w:lang w:val="sq-AL" w:eastAsia="el-GR"/>
              </w:rPr>
            </w:pPr>
            <w:r>
              <w:rPr>
                <w:rFonts w:ascii="Arial" w:eastAsia="Times New Roman" w:hAnsi="Arial" w:cs="Arial"/>
                <w:lang w:val="sq-AL" w:eastAsia="el-GR"/>
              </w:rPr>
              <w:t>U</w:t>
            </w:r>
            <w:r w:rsidR="00B83957">
              <w:rPr>
                <w:rFonts w:ascii="Arial" w:eastAsia="Times New Roman" w:hAnsi="Arial" w:cs="Arial"/>
                <w:lang w:val="sq-AL" w:eastAsia="el-GR"/>
              </w:rPr>
              <w:t>spostaviti</w:t>
            </w:r>
            <w:r>
              <w:rPr>
                <w:rFonts w:ascii="Arial" w:eastAsia="Times New Roman" w:hAnsi="Arial" w:cs="Arial"/>
                <w:lang w:val="sq-AL" w:eastAsia="el-GR"/>
              </w:rPr>
              <w:t xml:space="preserve"> informacioni sistem </w:t>
            </w:r>
            <w:r w:rsidR="00377063" w:rsidRPr="002A6F4E">
              <w:rPr>
                <w:rFonts w:ascii="Arial" w:eastAsia="Times New Roman" w:hAnsi="Arial" w:cs="Arial"/>
                <w:lang w:val="sq-AL" w:eastAsia="el-GR"/>
              </w:rPr>
              <w:t>u kom je</w:t>
            </w:r>
            <w:r w:rsidR="00B83957">
              <w:rPr>
                <w:rFonts w:ascii="Arial" w:eastAsia="Times New Roman" w:hAnsi="Arial" w:cs="Arial"/>
                <w:lang w:val="sq-AL" w:eastAsia="el-GR"/>
              </w:rPr>
              <w:t xml:space="preserve"> prikazana</w:t>
            </w:r>
            <w:r w:rsidR="00377063" w:rsidRPr="002A6F4E">
              <w:rPr>
                <w:rFonts w:ascii="Arial" w:eastAsia="Times New Roman" w:hAnsi="Arial" w:cs="Arial"/>
                <w:lang w:val="sq-AL" w:eastAsia="el-GR"/>
              </w:rPr>
              <w:t xml:space="preserve"> prodaja električne i elektronske opreme  </w:t>
            </w:r>
          </w:p>
        </w:tc>
        <w:tc>
          <w:tcPr>
            <w:tcW w:w="1101" w:type="pct"/>
            <w:shd w:val="clear" w:color="auto" w:fill="auto"/>
          </w:tcPr>
          <w:p w14:paraId="1AD05827" w14:textId="4BD973BF" w:rsidR="00BE4450" w:rsidRDefault="00BE4450" w:rsidP="00FE289C">
            <w:pPr>
              <w:spacing w:before="40" w:after="40" w:line="360" w:lineRule="auto"/>
              <w:rPr>
                <w:rFonts w:ascii="Arial" w:hAnsi="Arial" w:cs="Arial"/>
                <w:lang w:val="sq-AL"/>
              </w:rPr>
            </w:pPr>
            <w:r>
              <w:rPr>
                <w:rFonts w:ascii="Arial" w:hAnsi="Arial" w:cs="Arial"/>
                <w:lang w:val="sq-AL"/>
              </w:rPr>
              <w:t>A</w:t>
            </w:r>
            <w:r w:rsidR="00B83957">
              <w:rPr>
                <w:rFonts w:ascii="Arial" w:hAnsi="Arial" w:cs="Arial"/>
                <w:lang w:val="sq-AL"/>
              </w:rPr>
              <w:t>ZŽS</w:t>
            </w:r>
            <w:r>
              <w:rPr>
                <w:rFonts w:ascii="Arial" w:hAnsi="Arial" w:cs="Arial"/>
                <w:lang w:val="sq-AL"/>
              </w:rPr>
              <w:t>/</w:t>
            </w:r>
          </w:p>
          <w:p w14:paraId="16C4E443" w14:textId="20031C2D" w:rsidR="00377063" w:rsidRPr="002A6F4E" w:rsidRDefault="00BE4450" w:rsidP="00FE289C">
            <w:pPr>
              <w:spacing w:before="40" w:after="40" w:line="360" w:lineRule="auto"/>
              <w:rPr>
                <w:rFonts w:ascii="Arial" w:hAnsi="Arial" w:cs="Arial"/>
                <w:lang w:val="sq-AL" w:bidi="ar-AE"/>
              </w:rPr>
            </w:pPr>
            <w:r>
              <w:rPr>
                <w:rFonts w:ascii="Arial" w:hAnsi="Arial" w:cs="Arial"/>
                <w:lang w:val="sq-AL"/>
              </w:rPr>
              <w:t xml:space="preserve"> </w:t>
            </w:r>
            <w:r w:rsidR="00377063" w:rsidRPr="002A6F4E">
              <w:rPr>
                <w:rFonts w:ascii="Arial" w:hAnsi="Arial" w:cs="Arial"/>
                <w:lang w:val="sq-AL"/>
              </w:rPr>
              <w:t>MERS</w:t>
            </w:r>
            <w:r w:rsidR="00377063" w:rsidRPr="002A6F4E">
              <w:rPr>
                <w:rFonts w:ascii="Arial" w:hAnsi="Arial" w:cs="Arial"/>
                <w:lang w:val="sq-AL" w:bidi="ar-AE"/>
              </w:rPr>
              <w:t xml:space="preserve"> </w:t>
            </w:r>
          </w:p>
        </w:tc>
        <w:tc>
          <w:tcPr>
            <w:tcW w:w="508" w:type="pct"/>
            <w:shd w:val="clear" w:color="auto" w:fill="auto"/>
          </w:tcPr>
          <w:p w14:paraId="1A75AC31"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2025-2026.</w:t>
            </w:r>
          </w:p>
        </w:tc>
        <w:tc>
          <w:tcPr>
            <w:tcW w:w="1305" w:type="pct"/>
          </w:tcPr>
          <w:p w14:paraId="2F5BA314" w14:textId="65004795" w:rsidR="00377063" w:rsidRPr="002A6F4E" w:rsidRDefault="00377063" w:rsidP="00FE289C">
            <w:pPr>
              <w:spacing w:before="40" w:after="40" w:line="360" w:lineRule="auto"/>
              <w:rPr>
                <w:rFonts w:ascii="Arial" w:hAnsi="Arial" w:cs="Arial"/>
                <w:lang w:bidi="ar-AE"/>
              </w:rPr>
            </w:pPr>
            <w:r w:rsidRPr="002A6F4E">
              <w:rPr>
                <w:rFonts w:ascii="Arial" w:hAnsi="Arial" w:cs="Arial"/>
                <w:lang w:bidi="ar-AE"/>
              </w:rPr>
              <w:t>Državni budžet</w:t>
            </w:r>
            <w:r w:rsidR="00BE4450">
              <w:rPr>
                <w:rFonts w:ascii="Arial" w:hAnsi="Arial" w:cs="Arial"/>
                <w:lang w:bidi="ar-AE"/>
              </w:rPr>
              <w:t>/</w:t>
            </w:r>
          </w:p>
          <w:p w14:paraId="698BF07C" w14:textId="45D41CD2" w:rsidR="00377063" w:rsidRDefault="00377063" w:rsidP="00FE289C">
            <w:pPr>
              <w:spacing w:before="40" w:after="40" w:line="360" w:lineRule="auto"/>
              <w:rPr>
                <w:rFonts w:ascii="Arial" w:hAnsi="Arial" w:cs="Arial"/>
                <w:lang w:bidi="ar-AE"/>
              </w:rPr>
            </w:pPr>
            <w:r w:rsidRPr="002A6F4E">
              <w:rPr>
                <w:rFonts w:ascii="Arial" w:hAnsi="Arial" w:cs="Arial"/>
                <w:lang w:bidi="ar-AE"/>
              </w:rPr>
              <w:t>Donatori</w:t>
            </w:r>
            <w:r w:rsidR="00AD37C4">
              <w:rPr>
                <w:rFonts w:ascii="Arial" w:hAnsi="Arial" w:cs="Arial"/>
                <w:lang w:bidi="ar-AE"/>
              </w:rPr>
              <w:t>/</w:t>
            </w:r>
          </w:p>
          <w:p w14:paraId="75628A7D" w14:textId="6067D452" w:rsidR="00AD37C4" w:rsidRDefault="00AD37C4" w:rsidP="00FE289C">
            <w:pPr>
              <w:spacing w:before="40" w:after="40" w:line="360" w:lineRule="auto"/>
              <w:rPr>
                <w:rFonts w:ascii="Arial" w:hAnsi="Arial" w:cs="Arial"/>
                <w:lang w:bidi="ar-AE"/>
              </w:rPr>
            </w:pPr>
            <w:r>
              <w:rPr>
                <w:rFonts w:ascii="Arial" w:hAnsi="Arial" w:cs="Arial"/>
                <w:lang w:val="sq-AL" w:bidi="ar-AE"/>
              </w:rPr>
              <w:t>Međunarodne finansijske institucije</w:t>
            </w:r>
          </w:p>
          <w:p w14:paraId="60816F8B" w14:textId="77777777" w:rsidR="00AD37C4" w:rsidRPr="002A6F4E" w:rsidRDefault="00AD37C4" w:rsidP="00FE289C">
            <w:pPr>
              <w:spacing w:before="40" w:after="40" w:line="360" w:lineRule="auto"/>
              <w:rPr>
                <w:rFonts w:ascii="Arial" w:hAnsi="Arial" w:cs="Arial"/>
                <w:lang w:bidi="ar-AE"/>
              </w:rPr>
            </w:pPr>
          </w:p>
          <w:p w14:paraId="3895A40F" w14:textId="77777777" w:rsidR="00377063" w:rsidRPr="002A6F4E" w:rsidRDefault="00377063" w:rsidP="00FE289C">
            <w:pPr>
              <w:spacing w:before="40" w:after="40" w:line="360" w:lineRule="auto"/>
              <w:rPr>
                <w:rFonts w:ascii="Arial" w:hAnsi="Arial" w:cs="Arial"/>
                <w:lang w:val="sq-AL" w:bidi="ar-AE"/>
              </w:rPr>
            </w:pPr>
          </w:p>
        </w:tc>
      </w:tr>
      <w:tr w:rsidR="000F67ED" w:rsidRPr="0014164F" w14:paraId="5F383C54" w14:textId="77777777" w:rsidTr="009754F4">
        <w:trPr>
          <w:jc w:val="center"/>
        </w:trPr>
        <w:tc>
          <w:tcPr>
            <w:tcW w:w="304" w:type="pct"/>
            <w:shd w:val="clear" w:color="auto" w:fill="auto"/>
          </w:tcPr>
          <w:p w14:paraId="6CF36E8F" w14:textId="25B6B44D"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BE4450">
              <w:rPr>
                <w:rFonts w:ascii="Arial" w:hAnsi="Arial" w:cs="Arial"/>
                <w:lang w:val="sq-AL" w:bidi="ar-AE"/>
              </w:rPr>
              <w:t>19</w:t>
            </w:r>
          </w:p>
        </w:tc>
        <w:tc>
          <w:tcPr>
            <w:tcW w:w="518" w:type="pct"/>
            <w:shd w:val="clear" w:color="auto" w:fill="auto"/>
          </w:tcPr>
          <w:p w14:paraId="51E54C06"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IM</w:t>
            </w:r>
          </w:p>
        </w:tc>
        <w:tc>
          <w:tcPr>
            <w:tcW w:w="1264" w:type="pct"/>
            <w:shd w:val="clear" w:color="auto" w:fill="auto"/>
          </w:tcPr>
          <w:p w14:paraId="64A2678E" w14:textId="703A3C2D" w:rsidR="00377063" w:rsidRPr="002A6F4E" w:rsidRDefault="00377063" w:rsidP="00FE289C">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Obezbijediti cjelokupnu teritoriju zemlje</w:t>
            </w:r>
            <w:r w:rsidR="00AD37C4">
              <w:rPr>
                <w:rFonts w:ascii="Arial" w:eastAsia="Times New Roman" w:hAnsi="Arial" w:cs="Arial"/>
                <w:lang w:val="sq-AL" w:eastAsia="el-GR"/>
              </w:rPr>
              <w:t xml:space="preserve"> posudama</w:t>
            </w:r>
            <w:r w:rsidRPr="002A6F4E">
              <w:rPr>
                <w:rFonts w:ascii="Arial" w:eastAsia="Times New Roman" w:hAnsi="Arial" w:cs="Arial"/>
                <w:lang w:val="sq-AL" w:eastAsia="el-GR"/>
              </w:rPr>
              <w:t xml:space="preserve"> za sakupljanje EEO/ distribuirati </w:t>
            </w:r>
            <w:r w:rsidR="005C4A0C">
              <w:rPr>
                <w:rFonts w:ascii="Arial" w:eastAsia="Times New Roman" w:hAnsi="Arial" w:cs="Arial"/>
                <w:lang w:val="sq-AL" w:eastAsia="el-GR"/>
              </w:rPr>
              <w:t>posude</w:t>
            </w:r>
            <w:r w:rsidRPr="002A6F4E">
              <w:rPr>
                <w:rFonts w:ascii="Arial" w:eastAsia="Times New Roman" w:hAnsi="Arial" w:cs="Arial"/>
                <w:lang w:val="sq-AL" w:eastAsia="el-GR"/>
              </w:rPr>
              <w:t xml:space="preserve"> za sakupljanje svim maloprodajnim objektima i distributerima EEO</w:t>
            </w:r>
            <w:r w:rsidR="00AD37C4">
              <w:rPr>
                <w:rFonts w:ascii="Arial" w:eastAsia="Times New Roman" w:hAnsi="Arial" w:cs="Arial"/>
                <w:lang w:val="sq-AL" w:eastAsia="el-GR"/>
              </w:rPr>
              <w:t>.</w:t>
            </w:r>
          </w:p>
          <w:p w14:paraId="456BA992" w14:textId="574AE1DF" w:rsidR="00377063" w:rsidRPr="002A6F4E" w:rsidRDefault="00377063" w:rsidP="00FE289C">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Saradnja sa jedinicama  lokalnih samouprava</w:t>
            </w:r>
            <w:r w:rsidR="000A3583">
              <w:rPr>
                <w:rFonts w:ascii="Arial" w:eastAsia="Times New Roman" w:hAnsi="Arial" w:cs="Arial"/>
                <w:lang w:val="sq-AL" w:eastAsia="el-GR"/>
              </w:rPr>
              <w:t xml:space="preserve"> </w:t>
            </w:r>
            <w:r w:rsidRPr="002A6F4E">
              <w:rPr>
                <w:rFonts w:ascii="Arial" w:eastAsia="Times New Roman" w:hAnsi="Arial" w:cs="Arial"/>
                <w:lang w:val="sq-AL" w:eastAsia="el-GR"/>
              </w:rPr>
              <w:t xml:space="preserve">u cilju unapređenja infrastrukture </w:t>
            </w:r>
            <w:r w:rsidRPr="002A6F4E">
              <w:rPr>
                <w:rFonts w:ascii="Arial" w:eastAsia="Times New Roman" w:hAnsi="Arial" w:cs="Arial"/>
                <w:lang w:val="sq-AL" w:eastAsia="el-GR"/>
              </w:rPr>
              <w:lastRenderedPageBreak/>
              <w:t xml:space="preserve">(postavljanje </w:t>
            </w:r>
            <w:r w:rsidR="00AD37C4">
              <w:rPr>
                <w:rFonts w:ascii="Arial" w:eastAsia="Times New Roman" w:hAnsi="Arial" w:cs="Arial"/>
                <w:lang w:val="sq-AL" w:eastAsia="el-GR"/>
              </w:rPr>
              <w:t>posuda</w:t>
            </w:r>
            <w:r w:rsidRPr="002A6F4E">
              <w:rPr>
                <w:rFonts w:ascii="Arial" w:eastAsia="Times New Roman" w:hAnsi="Arial" w:cs="Arial"/>
                <w:lang w:val="sq-AL" w:eastAsia="el-GR"/>
              </w:rPr>
              <w:t xml:space="preserve"> u centrima za sakupljanje otpada) </w:t>
            </w:r>
          </w:p>
          <w:p w14:paraId="4E5530F6" w14:textId="34B00E5F" w:rsidR="00377063" w:rsidRPr="002A6F4E" w:rsidRDefault="000A3583" w:rsidP="00FE289C">
            <w:pPr>
              <w:spacing w:before="40" w:after="40" w:line="360" w:lineRule="auto"/>
              <w:ind w:left="54"/>
              <w:rPr>
                <w:rFonts w:ascii="Arial" w:eastAsia="Times New Roman" w:hAnsi="Arial" w:cs="Arial"/>
                <w:lang w:val="sq-AL" w:eastAsia="el-GR"/>
              </w:rPr>
            </w:pPr>
            <w:r>
              <w:rPr>
                <w:rFonts w:ascii="Arial" w:eastAsia="Times New Roman" w:hAnsi="Arial" w:cs="Arial"/>
                <w:lang w:val="sq-AL" w:eastAsia="el-GR"/>
              </w:rPr>
              <w:t>Izgradnja</w:t>
            </w:r>
            <w:r w:rsidR="00377063" w:rsidRPr="002A6F4E">
              <w:rPr>
                <w:rFonts w:ascii="Arial" w:eastAsia="Times New Roman" w:hAnsi="Arial" w:cs="Arial"/>
                <w:lang w:val="sq-AL" w:eastAsia="el-GR"/>
              </w:rPr>
              <w:t xml:space="preserve"> infrastrukture za demontažu i </w:t>
            </w:r>
            <w:r>
              <w:rPr>
                <w:rFonts w:ascii="Arial" w:eastAsia="Times New Roman" w:hAnsi="Arial" w:cs="Arial"/>
                <w:lang w:val="sq-AL" w:eastAsia="el-GR"/>
              </w:rPr>
              <w:t>obradu</w:t>
            </w:r>
          </w:p>
        </w:tc>
        <w:tc>
          <w:tcPr>
            <w:tcW w:w="1101" w:type="pct"/>
            <w:shd w:val="clear" w:color="auto" w:fill="auto"/>
          </w:tcPr>
          <w:p w14:paraId="35442EED" w14:textId="5E0CA61F"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lastRenderedPageBreak/>
              <w:t>MERS</w:t>
            </w:r>
            <w:r w:rsidRPr="002A6F4E">
              <w:rPr>
                <w:rFonts w:ascii="Arial" w:hAnsi="Arial" w:cs="Arial"/>
                <w:lang w:val="sq-AL" w:bidi="ar-AE"/>
              </w:rPr>
              <w:t>/</w:t>
            </w:r>
            <w:r w:rsidR="00B83957">
              <w:rPr>
                <w:rFonts w:ascii="Arial" w:hAnsi="Arial" w:cs="Arial"/>
                <w:lang w:val="sq-AL" w:bidi="ar-AE"/>
              </w:rPr>
              <w:t>J</w:t>
            </w:r>
            <w:r w:rsidRPr="002A6F4E">
              <w:rPr>
                <w:rFonts w:ascii="Arial" w:hAnsi="Arial" w:cs="Arial"/>
                <w:lang w:val="sq-AL" w:bidi="ar-AE"/>
              </w:rPr>
              <w:t>edinice lokalnih samouprava</w:t>
            </w:r>
            <w:r w:rsidRPr="00B46B69">
              <w:rPr>
                <w:rFonts w:ascii="Arial" w:hAnsi="Arial" w:cs="Arial"/>
                <w:lang w:val="sq-AL"/>
              </w:rPr>
              <w:t>/</w:t>
            </w:r>
            <w:r w:rsidR="00B83957" w:rsidRPr="00B46B69">
              <w:rPr>
                <w:rFonts w:ascii="Arial" w:hAnsi="Arial" w:cs="Arial"/>
                <w:lang w:val="sq-AL"/>
              </w:rPr>
              <w:t>S</w:t>
            </w:r>
            <w:r w:rsidRPr="00B46B69">
              <w:rPr>
                <w:rFonts w:ascii="Arial" w:hAnsi="Arial" w:cs="Arial"/>
                <w:lang w:val="sq-AL" w:bidi="ar-AE"/>
              </w:rPr>
              <w:t>istem EPR</w:t>
            </w:r>
            <w:r w:rsidRPr="002A6F4E">
              <w:rPr>
                <w:rFonts w:ascii="Arial" w:hAnsi="Arial" w:cs="Arial"/>
                <w:lang w:val="sq-AL" w:bidi="ar-AE"/>
              </w:rPr>
              <w:t xml:space="preserve"> </w:t>
            </w:r>
          </w:p>
        </w:tc>
        <w:tc>
          <w:tcPr>
            <w:tcW w:w="508" w:type="pct"/>
            <w:shd w:val="clear" w:color="auto" w:fill="auto"/>
          </w:tcPr>
          <w:p w14:paraId="13C9009C" w14:textId="1CA7E6BB" w:rsidR="00377063" w:rsidRPr="002A6F4E" w:rsidRDefault="00377063" w:rsidP="00F858D9">
            <w:pPr>
              <w:spacing w:before="40" w:after="40" w:line="360" w:lineRule="auto"/>
              <w:rPr>
                <w:rFonts w:ascii="Arial" w:hAnsi="Arial" w:cs="Arial"/>
                <w:lang w:val="sq-AL" w:bidi="ar-AE"/>
              </w:rPr>
            </w:pPr>
            <w:r w:rsidRPr="002A6F4E">
              <w:rPr>
                <w:rFonts w:ascii="Arial" w:hAnsi="Arial" w:cs="Arial"/>
                <w:lang w:val="sq-AL" w:bidi="ar-AE"/>
              </w:rPr>
              <w:t>2025-</w:t>
            </w:r>
            <w:r w:rsidR="00F858D9" w:rsidRPr="002A6F4E">
              <w:rPr>
                <w:rFonts w:ascii="Arial" w:hAnsi="Arial" w:cs="Arial"/>
                <w:lang w:val="sq-AL" w:bidi="ar-AE"/>
              </w:rPr>
              <w:t>2029</w:t>
            </w:r>
            <w:r w:rsidRPr="002A6F4E">
              <w:rPr>
                <w:rFonts w:ascii="Arial" w:hAnsi="Arial" w:cs="Arial"/>
                <w:lang w:val="sq-AL" w:bidi="ar-AE"/>
              </w:rPr>
              <w:t>.</w:t>
            </w:r>
          </w:p>
        </w:tc>
        <w:tc>
          <w:tcPr>
            <w:tcW w:w="1305" w:type="pct"/>
          </w:tcPr>
          <w:p w14:paraId="2129113A" w14:textId="77777777" w:rsidR="00377063" w:rsidRPr="00B46B69" w:rsidRDefault="00377063" w:rsidP="00FE289C">
            <w:pPr>
              <w:spacing w:before="40" w:after="40" w:line="360" w:lineRule="auto"/>
              <w:rPr>
                <w:rFonts w:ascii="Arial" w:hAnsi="Arial" w:cs="Arial"/>
                <w:lang w:val="sq-AL" w:bidi="ar-AE"/>
              </w:rPr>
            </w:pPr>
            <w:r w:rsidRPr="00B46B69">
              <w:rPr>
                <w:rFonts w:ascii="Arial" w:hAnsi="Arial" w:cs="Arial"/>
                <w:lang w:val="sq-AL" w:bidi="ar-AE"/>
              </w:rPr>
              <w:t>Državni budžet</w:t>
            </w:r>
          </w:p>
          <w:p w14:paraId="7BD5AFC9" w14:textId="6E4D46B6" w:rsidR="00B83957" w:rsidRPr="00B83957" w:rsidRDefault="00377063" w:rsidP="00B83957">
            <w:pPr>
              <w:spacing w:before="40" w:after="40" w:line="360" w:lineRule="auto"/>
              <w:rPr>
                <w:rFonts w:ascii="Arial" w:hAnsi="Arial" w:cs="Arial"/>
                <w:lang w:val="sq-AL" w:bidi="ar-AE"/>
              </w:rPr>
            </w:pPr>
            <w:r w:rsidRPr="00B46B69">
              <w:rPr>
                <w:rFonts w:ascii="Arial" w:hAnsi="Arial" w:cs="Arial"/>
                <w:lang w:val="sq-AL" w:bidi="ar-AE"/>
              </w:rPr>
              <w:t>Lokalni bud</w:t>
            </w:r>
            <w:r w:rsidR="00AD37C4" w:rsidRPr="00B46B69">
              <w:rPr>
                <w:rFonts w:ascii="Arial" w:hAnsi="Arial" w:cs="Arial"/>
                <w:lang w:val="sq-AL" w:bidi="ar-AE"/>
              </w:rPr>
              <w:t>ž</w:t>
            </w:r>
            <w:r w:rsidRPr="00B46B69">
              <w:rPr>
                <w:rFonts w:ascii="Arial" w:hAnsi="Arial" w:cs="Arial"/>
                <w:lang w:val="sq-AL" w:bidi="ar-AE"/>
              </w:rPr>
              <w:t>et</w:t>
            </w:r>
            <w:r w:rsidR="00AD37C4" w:rsidRPr="00B46B69">
              <w:rPr>
                <w:rFonts w:ascii="Arial" w:hAnsi="Arial" w:cs="Arial"/>
                <w:lang w:val="sq-AL" w:bidi="ar-AE"/>
              </w:rPr>
              <w:t>/</w:t>
            </w:r>
            <w:r w:rsidR="00B83957" w:rsidRPr="003D7619">
              <w:rPr>
                <w:lang w:val="sq-AL"/>
              </w:rPr>
              <w:t xml:space="preserve"> </w:t>
            </w:r>
            <w:r w:rsidR="00B83957" w:rsidRPr="00B83957">
              <w:rPr>
                <w:rFonts w:ascii="Arial" w:hAnsi="Arial" w:cs="Arial"/>
                <w:lang w:val="sq-AL" w:bidi="ar-AE"/>
              </w:rPr>
              <w:t>Donatori/</w:t>
            </w:r>
          </w:p>
          <w:p w14:paraId="3F86AC85" w14:textId="259E9CB8" w:rsidR="00377063" w:rsidRPr="00B46B69" w:rsidRDefault="00B83957" w:rsidP="00B83957">
            <w:pPr>
              <w:spacing w:before="40" w:after="40" w:line="360" w:lineRule="auto"/>
              <w:rPr>
                <w:rFonts w:ascii="Arial" w:hAnsi="Arial" w:cs="Arial"/>
                <w:lang w:val="sq-AL" w:bidi="ar-AE"/>
              </w:rPr>
            </w:pPr>
            <w:r w:rsidRPr="00B83957">
              <w:rPr>
                <w:rFonts w:ascii="Arial" w:hAnsi="Arial" w:cs="Arial"/>
                <w:lang w:val="sq-AL" w:bidi="ar-AE"/>
              </w:rPr>
              <w:t>Međunarodne finansijske institucije</w:t>
            </w:r>
            <w:r>
              <w:rPr>
                <w:rFonts w:ascii="Arial" w:hAnsi="Arial" w:cs="Arial"/>
                <w:lang w:val="sq-AL" w:bidi="ar-AE"/>
              </w:rPr>
              <w:t>/</w:t>
            </w:r>
          </w:p>
          <w:p w14:paraId="2C954AFA" w14:textId="77777777" w:rsidR="00377063" w:rsidRPr="00B46B69" w:rsidRDefault="00377063" w:rsidP="00FE289C">
            <w:pPr>
              <w:spacing w:before="40" w:after="40" w:line="360" w:lineRule="auto"/>
              <w:rPr>
                <w:rFonts w:ascii="Arial" w:hAnsi="Arial" w:cs="Arial"/>
                <w:lang w:val="sq-AL" w:bidi="ar-AE"/>
              </w:rPr>
            </w:pPr>
            <w:r w:rsidRPr="00B46B69">
              <w:rPr>
                <w:rFonts w:ascii="Arial" w:hAnsi="Arial" w:cs="Arial"/>
                <w:lang w:val="sq-AL" w:bidi="ar-AE"/>
              </w:rPr>
              <w:t>EPR sistem</w:t>
            </w:r>
          </w:p>
          <w:p w14:paraId="766A186E"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de-DE" w:bidi="ar-AE"/>
              </w:rPr>
              <w:t>Privatni sektor</w:t>
            </w:r>
          </w:p>
        </w:tc>
      </w:tr>
      <w:tr w:rsidR="000F67ED" w:rsidRPr="002A6F4E" w14:paraId="46520B78" w14:textId="77777777" w:rsidTr="009754F4">
        <w:trPr>
          <w:jc w:val="center"/>
        </w:trPr>
        <w:tc>
          <w:tcPr>
            <w:tcW w:w="304" w:type="pct"/>
            <w:shd w:val="clear" w:color="auto" w:fill="auto"/>
          </w:tcPr>
          <w:p w14:paraId="0B6F52D6" w14:textId="626835F5"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0A3583">
              <w:rPr>
                <w:rFonts w:ascii="Arial" w:hAnsi="Arial" w:cs="Arial"/>
                <w:lang w:val="sq-AL" w:bidi="ar-AE"/>
              </w:rPr>
              <w:t>20</w:t>
            </w:r>
          </w:p>
        </w:tc>
        <w:tc>
          <w:tcPr>
            <w:tcW w:w="518" w:type="pct"/>
            <w:shd w:val="clear" w:color="auto" w:fill="auto"/>
          </w:tcPr>
          <w:p w14:paraId="48C999EF"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FM / OAM</w:t>
            </w:r>
          </w:p>
        </w:tc>
        <w:tc>
          <w:tcPr>
            <w:tcW w:w="1264" w:type="pct"/>
            <w:shd w:val="clear" w:color="auto" w:fill="auto"/>
          </w:tcPr>
          <w:p w14:paraId="79233685" w14:textId="245399F3" w:rsidR="00377063" w:rsidRPr="002A6F4E" w:rsidRDefault="00377063" w:rsidP="00FE289C">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Obezbijediti </w:t>
            </w:r>
            <w:r w:rsidR="000A3583">
              <w:rPr>
                <w:rFonts w:ascii="Arial" w:eastAsia="Times New Roman" w:hAnsi="Arial" w:cs="Arial"/>
                <w:lang w:val="sq-AL" w:eastAsia="el-GR"/>
              </w:rPr>
              <w:t>praćenje</w:t>
            </w:r>
            <w:r w:rsidRPr="002A6F4E">
              <w:rPr>
                <w:rFonts w:ascii="Arial" w:eastAsia="Times New Roman" w:hAnsi="Arial" w:cs="Arial"/>
                <w:lang w:val="sq-AL" w:eastAsia="el-GR"/>
              </w:rPr>
              <w:t xml:space="preserve"> količine otpada iz određenih tokova OEEO koje se ponovno upotrebljavaju / recikliraju </w:t>
            </w:r>
          </w:p>
        </w:tc>
        <w:tc>
          <w:tcPr>
            <w:tcW w:w="1101" w:type="pct"/>
            <w:shd w:val="clear" w:color="auto" w:fill="auto"/>
          </w:tcPr>
          <w:p w14:paraId="56EF7E35" w14:textId="6B617C4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w:t>
            </w:r>
            <w:r w:rsidR="008235DE">
              <w:rPr>
                <w:rFonts w:ascii="Arial" w:hAnsi="Arial" w:cs="Arial"/>
                <w:lang w:val="sq-AL" w:bidi="ar-AE"/>
              </w:rPr>
              <w:t xml:space="preserve"> AZŽS/inspekcijski nadzor/</w:t>
            </w:r>
            <w:r w:rsidRPr="002A6F4E">
              <w:rPr>
                <w:rFonts w:ascii="Arial" w:hAnsi="Arial" w:cs="Arial"/>
                <w:lang w:val="sq-AL" w:bidi="ar-AE"/>
              </w:rPr>
              <w:t xml:space="preserve"> sistem EPR </w:t>
            </w:r>
          </w:p>
        </w:tc>
        <w:tc>
          <w:tcPr>
            <w:tcW w:w="508" w:type="pct"/>
            <w:shd w:val="clear" w:color="auto" w:fill="auto"/>
          </w:tcPr>
          <w:p w14:paraId="3CC994B1" w14:textId="63DCCDC3"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2025-202</w:t>
            </w:r>
            <w:r w:rsidR="003073EE">
              <w:rPr>
                <w:rFonts w:ascii="Arial" w:hAnsi="Arial" w:cs="Arial"/>
                <w:lang w:val="sq-AL" w:bidi="ar-AE"/>
              </w:rPr>
              <w:t>9</w:t>
            </w:r>
            <w:r w:rsidRPr="002A6F4E">
              <w:rPr>
                <w:rFonts w:ascii="Arial" w:hAnsi="Arial" w:cs="Arial"/>
                <w:lang w:val="sq-AL" w:bidi="ar-AE"/>
              </w:rPr>
              <w:t>.</w:t>
            </w:r>
          </w:p>
        </w:tc>
        <w:tc>
          <w:tcPr>
            <w:tcW w:w="1305" w:type="pct"/>
          </w:tcPr>
          <w:p w14:paraId="1C5A112F" w14:textId="43BDAAC1" w:rsidR="00377063" w:rsidRPr="002A6F4E" w:rsidRDefault="000A3583" w:rsidP="00FE289C">
            <w:pPr>
              <w:spacing w:before="40" w:after="40" w:line="360" w:lineRule="auto"/>
              <w:rPr>
                <w:rFonts w:ascii="Arial" w:hAnsi="Arial" w:cs="Arial"/>
                <w:lang w:val="sq-AL" w:bidi="ar-AE"/>
              </w:rPr>
            </w:pPr>
            <w:r>
              <w:rPr>
                <w:rFonts w:ascii="Arial" w:hAnsi="Arial" w:cs="Arial"/>
                <w:lang w:val="sq-AL" w:bidi="ar-AE"/>
              </w:rPr>
              <w:t>/</w:t>
            </w:r>
          </w:p>
        </w:tc>
      </w:tr>
      <w:tr w:rsidR="000F67ED" w:rsidRPr="002A6F4E" w14:paraId="18380DFB" w14:textId="77777777" w:rsidTr="009754F4">
        <w:trPr>
          <w:jc w:val="center"/>
        </w:trPr>
        <w:tc>
          <w:tcPr>
            <w:tcW w:w="304" w:type="pct"/>
            <w:shd w:val="clear" w:color="auto" w:fill="auto"/>
          </w:tcPr>
          <w:p w14:paraId="548EDACD" w14:textId="63042D43"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3073EE">
              <w:rPr>
                <w:rFonts w:ascii="Arial" w:hAnsi="Arial" w:cs="Arial"/>
                <w:lang w:val="sq-AL" w:bidi="ar-AE"/>
              </w:rPr>
              <w:t>21</w:t>
            </w:r>
          </w:p>
        </w:tc>
        <w:tc>
          <w:tcPr>
            <w:tcW w:w="518" w:type="pct"/>
            <w:shd w:val="clear" w:color="auto" w:fill="auto"/>
          </w:tcPr>
          <w:p w14:paraId="076CCD02"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FM / OAM</w:t>
            </w:r>
          </w:p>
        </w:tc>
        <w:tc>
          <w:tcPr>
            <w:tcW w:w="1264" w:type="pct"/>
            <w:shd w:val="clear" w:color="auto" w:fill="auto"/>
          </w:tcPr>
          <w:p w14:paraId="740173BB" w14:textId="77777777" w:rsidR="00377063" w:rsidRPr="002A6F4E" w:rsidRDefault="00377063" w:rsidP="00FE289C">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Pratiti plaćanje naknada za sistem EPR i uvesti finansijske kazne </w:t>
            </w:r>
          </w:p>
        </w:tc>
        <w:tc>
          <w:tcPr>
            <w:tcW w:w="1101" w:type="pct"/>
            <w:shd w:val="clear" w:color="auto" w:fill="auto"/>
          </w:tcPr>
          <w:p w14:paraId="76C1BB00" w14:textId="08814836"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/MF/</w:t>
            </w:r>
            <w:r w:rsidR="003073EE">
              <w:rPr>
                <w:rFonts w:ascii="Arial" w:hAnsi="Arial" w:cs="Arial"/>
                <w:lang w:val="sq-AL" w:bidi="ar-AE"/>
              </w:rPr>
              <w:t>Eko fond/ inspekcijski nadzor/</w:t>
            </w:r>
            <w:r w:rsidRPr="002A6F4E">
              <w:rPr>
                <w:rFonts w:ascii="Arial" w:hAnsi="Arial" w:cs="Arial"/>
                <w:lang w:val="sq-AL" w:bidi="ar-AE"/>
              </w:rPr>
              <w:t xml:space="preserve"> sistem EPR </w:t>
            </w:r>
          </w:p>
        </w:tc>
        <w:tc>
          <w:tcPr>
            <w:tcW w:w="508" w:type="pct"/>
            <w:shd w:val="clear" w:color="auto" w:fill="auto"/>
          </w:tcPr>
          <w:p w14:paraId="012FE8C3" w14:textId="1EA36A30" w:rsidR="00377063" w:rsidRPr="002A6F4E" w:rsidRDefault="00377063" w:rsidP="00F858D9">
            <w:pPr>
              <w:spacing w:before="40" w:after="40" w:line="360" w:lineRule="auto"/>
              <w:rPr>
                <w:rFonts w:ascii="Arial" w:hAnsi="Arial" w:cs="Arial"/>
                <w:lang w:val="sq-AL" w:bidi="ar-AE"/>
              </w:rPr>
            </w:pPr>
            <w:r w:rsidRPr="002A6F4E">
              <w:rPr>
                <w:rFonts w:ascii="Arial" w:hAnsi="Arial" w:cs="Arial"/>
                <w:lang w:val="sq-AL" w:bidi="ar-AE"/>
              </w:rPr>
              <w:t>2025-</w:t>
            </w:r>
            <w:r w:rsidR="00F858D9" w:rsidRPr="002A6F4E">
              <w:rPr>
                <w:rFonts w:ascii="Arial" w:hAnsi="Arial" w:cs="Arial"/>
                <w:lang w:val="sq-AL" w:bidi="ar-AE"/>
              </w:rPr>
              <w:t>2029</w:t>
            </w:r>
            <w:r w:rsidRPr="002A6F4E">
              <w:rPr>
                <w:rFonts w:ascii="Arial" w:hAnsi="Arial" w:cs="Arial"/>
                <w:lang w:val="sq-AL" w:bidi="ar-AE"/>
              </w:rPr>
              <w:t>.</w:t>
            </w:r>
          </w:p>
        </w:tc>
        <w:tc>
          <w:tcPr>
            <w:tcW w:w="1305" w:type="pct"/>
          </w:tcPr>
          <w:p w14:paraId="26013AC3" w14:textId="3AD178C0" w:rsidR="00377063" w:rsidRPr="002A6F4E" w:rsidRDefault="000A3583" w:rsidP="00FE289C">
            <w:pPr>
              <w:spacing w:before="40" w:after="40" w:line="360" w:lineRule="auto"/>
              <w:rPr>
                <w:rFonts w:ascii="Arial" w:hAnsi="Arial" w:cs="Arial"/>
                <w:lang w:val="sq-AL" w:bidi="ar-AE"/>
              </w:rPr>
            </w:pPr>
            <w:r>
              <w:rPr>
                <w:rFonts w:ascii="Arial" w:hAnsi="Arial" w:cs="Arial"/>
                <w:lang w:val="sq-AL" w:bidi="ar-AE"/>
              </w:rPr>
              <w:t>/</w:t>
            </w:r>
          </w:p>
        </w:tc>
      </w:tr>
      <w:tr w:rsidR="00377063" w:rsidRPr="0014164F" w14:paraId="2289B75B" w14:textId="77777777" w:rsidTr="009754F4">
        <w:trPr>
          <w:trHeight w:val="780"/>
          <w:jc w:val="center"/>
        </w:trPr>
        <w:tc>
          <w:tcPr>
            <w:tcW w:w="3695" w:type="pct"/>
            <w:gridSpan w:val="5"/>
            <w:shd w:val="clear" w:color="auto" w:fill="EDEDED" w:themeFill="accent3" w:themeFillTint="33"/>
          </w:tcPr>
          <w:p w14:paraId="397D0B92" w14:textId="79D1EF29" w:rsidR="00377063" w:rsidRPr="002A6F4E" w:rsidRDefault="00377063" w:rsidP="00FE289C">
            <w:pPr>
              <w:spacing w:before="40" w:after="40" w:line="360" w:lineRule="auto"/>
              <w:rPr>
                <w:rFonts w:ascii="Arial" w:hAnsi="Arial" w:cs="Arial"/>
                <w:b/>
                <w:lang w:val="sq-AL" w:bidi="ar-AE"/>
              </w:rPr>
            </w:pPr>
            <w:r w:rsidRPr="002A6F4E">
              <w:rPr>
                <w:rFonts w:ascii="Arial" w:hAnsi="Arial" w:cs="Arial"/>
                <w:b/>
                <w:lang w:val="sq-AL" w:bidi="ar-AE"/>
              </w:rPr>
              <w:t xml:space="preserve">Posebni cilj VIIc: </w:t>
            </w:r>
            <w:r w:rsidR="00B83957">
              <w:rPr>
                <w:rFonts w:ascii="Arial" w:hAnsi="Arial" w:cs="Arial"/>
                <w:b/>
                <w:lang w:val="sq-AL" w:bidi="ar-AE"/>
              </w:rPr>
              <w:t>Otpadna vozila</w:t>
            </w:r>
            <w:r w:rsidRPr="002A6F4E">
              <w:rPr>
                <w:rFonts w:ascii="Arial" w:hAnsi="Arial" w:cs="Arial"/>
                <w:b/>
                <w:lang w:val="sq-AL" w:bidi="ar-AE"/>
              </w:rPr>
              <w:t xml:space="preserve"> (</w:t>
            </w:r>
            <w:r w:rsidRPr="00B46B69">
              <w:rPr>
                <w:rFonts w:ascii="Arial" w:hAnsi="Arial" w:cs="Arial"/>
                <w:b/>
                <w:lang w:val="sq-AL" w:bidi="ar-AE"/>
              </w:rPr>
              <w:t>ELV</w:t>
            </w:r>
            <w:r w:rsidRPr="002A6F4E">
              <w:rPr>
                <w:rFonts w:ascii="Arial" w:hAnsi="Arial" w:cs="Arial"/>
                <w:b/>
                <w:lang w:val="sq-AL" w:bidi="ar-AE"/>
              </w:rPr>
              <w:t>)</w:t>
            </w:r>
          </w:p>
          <w:p w14:paraId="0D31B6C6" w14:textId="3B9DFACC"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Uspostavljanje odgovarajuće mreže objekata za </w:t>
            </w:r>
            <w:r w:rsidR="00407812">
              <w:rPr>
                <w:rFonts w:ascii="Arial" w:hAnsi="Arial" w:cs="Arial"/>
                <w:i/>
                <w:lang w:val="sq-AL" w:bidi="ar-AE"/>
              </w:rPr>
              <w:t>obradu</w:t>
            </w:r>
            <w:r w:rsidRPr="002A6F4E">
              <w:rPr>
                <w:rFonts w:ascii="Arial" w:hAnsi="Arial" w:cs="Arial"/>
                <w:i/>
                <w:lang w:val="sq-AL" w:bidi="ar-AE"/>
              </w:rPr>
              <w:t>.</w:t>
            </w:r>
          </w:p>
          <w:p w14:paraId="473D73BD" w14:textId="6ED00F97"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202</w:t>
            </w:r>
            <w:r w:rsidR="00A23F1C">
              <w:rPr>
                <w:rFonts w:ascii="Arial" w:hAnsi="Arial" w:cs="Arial"/>
                <w:i/>
                <w:lang w:val="sq-AL" w:bidi="ar-AE"/>
              </w:rPr>
              <w:t>7</w:t>
            </w:r>
            <w:r w:rsidRPr="002A6F4E">
              <w:rPr>
                <w:rFonts w:ascii="Arial" w:hAnsi="Arial" w:cs="Arial"/>
                <w:i/>
                <w:lang w:val="sq-AL" w:bidi="ar-AE"/>
              </w:rPr>
              <w:t>. godine, 100% ELV je sakupljeno.</w:t>
            </w:r>
          </w:p>
          <w:p w14:paraId="1B8E0124" w14:textId="05D0EB10" w:rsidR="00377063" w:rsidRPr="00063CBB"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063CBB">
              <w:rPr>
                <w:rFonts w:ascii="Arial" w:hAnsi="Arial" w:cs="Arial"/>
                <w:i/>
                <w:lang w:val="sq-AL" w:bidi="ar-AE"/>
              </w:rPr>
              <w:t xml:space="preserve">95% ukupne </w:t>
            </w:r>
            <w:r w:rsidR="001006EF" w:rsidRPr="00063CBB">
              <w:rPr>
                <w:rFonts w:ascii="Arial" w:hAnsi="Arial" w:cs="Arial"/>
                <w:i/>
                <w:lang w:val="sq-AL" w:bidi="ar-AE"/>
              </w:rPr>
              <w:t>mase</w:t>
            </w:r>
            <w:r w:rsidRPr="00063CBB">
              <w:rPr>
                <w:rFonts w:ascii="Arial" w:hAnsi="Arial" w:cs="Arial"/>
                <w:i/>
                <w:lang w:val="sq-AL" w:bidi="ar-AE"/>
              </w:rPr>
              <w:t xml:space="preserve"> na godišnjem nivou sakupljenih </w:t>
            </w:r>
            <w:r w:rsidR="00E442FF">
              <w:rPr>
                <w:rFonts w:ascii="Arial" w:hAnsi="Arial" w:cs="Arial"/>
                <w:i/>
                <w:lang w:val="sq-AL" w:bidi="ar-AE"/>
              </w:rPr>
              <w:t xml:space="preserve">otpadnih </w:t>
            </w:r>
            <w:r w:rsidRPr="00063CBB">
              <w:rPr>
                <w:rFonts w:ascii="Arial" w:hAnsi="Arial" w:cs="Arial"/>
                <w:i/>
                <w:lang w:val="sq-AL" w:bidi="ar-AE"/>
              </w:rPr>
              <w:t>vozila ponovo se upotrebljava ili reciklira.</w:t>
            </w:r>
          </w:p>
          <w:p w14:paraId="31CE6FA3" w14:textId="3AD67F55" w:rsidR="00377063" w:rsidRPr="00063CBB"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063CBB">
              <w:rPr>
                <w:rFonts w:ascii="Arial" w:hAnsi="Arial" w:cs="Arial"/>
                <w:i/>
                <w:lang w:val="sq-AL" w:bidi="ar-AE"/>
              </w:rPr>
              <w:t xml:space="preserve">85% ukupne </w:t>
            </w:r>
            <w:r w:rsidR="001006EF" w:rsidRPr="00063CBB">
              <w:rPr>
                <w:rFonts w:ascii="Arial" w:hAnsi="Arial" w:cs="Arial"/>
                <w:i/>
                <w:lang w:val="sq-AL" w:bidi="ar-AE"/>
              </w:rPr>
              <w:t>mase</w:t>
            </w:r>
            <w:r w:rsidRPr="00063CBB">
              <w:rPr>
                <w:rFonts w:ascii="Arial" w:hAnsi="Arial" w:cs="Arial"/>
                <w:i/>
                <w:lang w:val="sq-AL" w:bidi="ar-AE"/>
              </w:rPr>
              <w:t xml:space="preserve"> na godišnjem nivou sakupljenih </w:t>
            </w:r>
            <w:r w:rsidR="00E442FF">
              <w:rPr>
                <w:rFonts w:ascii="Arial" w:hAnsi="Arial" w:cs="Arial"/>
                <w:i/>
                <w:lang w:val="sq-AL" w:bidi="ar-AE"/>
              </w:rPr>
              <w:t xml:space="preserve">otpadnih </w:t>
            </w:r>
            <w:r w:rsidRPr="00063CBB">
              <w:rPr>
                <w:rFonts w:ascii="Arial" w:hAnsi="Arial" w:cs="Arial"/>
                <w:i/>
                <w:lang w:val="sq-AL" w:bidi="ar-AE"/>
              </w:rPr>
              <w:t xml:space="preserve">vozila ponovo se upotrebljava ili reciklira. </w:t>
            </w:r>
          </w:p>
          <w:p w14:paraId="579D8479" w14:textId="51DFB466" w:rsidR="00377063" w:rsidRPr="002A6F4E" w:rsidRDefault="00CC164B" w:rsidP="00A23ED0">
            <w:pPr>
              <w:pStyle w:val="ListParagraph"/>
              <w:numPr>
                <w:ilvl w:val="0"/>
                <w:numId w:val="89"/>
              </w:numPr>
              <w:spacing w:before="40" w:after="40" w:line="360" w:lineRule="auto"/>
              <w:ind w:left="749"/>
              <w:contextualSpacing w:val="0"/>
              <w:rPr>
                <w:rFonts w:ascii="Arial" w:hAnsi="Arial" w:cs="Arial"/>
                <w:i/>
                <w:lang w:val="sq-AL" w:bidi="ar-AE"/>
              </w:rPr>
            </w:pPr>
            <w:r>
              <w:rPr>
                <w:rFonts w:ascii="Arial" w:hAnsi="Arial" w:cs="Arial"/>
                <w:i/>
                <w:lang w:val="sq-AL" w:bidi="ar-AE"/>
              </w:rPr>
              <w:t>Sprečavanje</w:t>
            </w:r>
            <w:r w:rsidR="00377063" w:rsidRPr="002A6F4E">
              <w:rPr>
                <w:rFonts w:ascii="Arial" w:hAnsi="Arial" w:cs="Arial"/>
                <w:i/>
                <w:lang w:val="sq-AL" w:bidi="ar-AE"/>
              </w:rPr>
              <w:t xml:space="preserve"> nezakonitog rada objekata za </w:t>
            </w:r>
            <w:r w:rsidR="001006EF">
              <w:rPr>
                <w:rFonts w:ascii="Arial" w:hAnsi="Arial" w:cs="Arial"/>
                <w:i/>
                <w:lang w:val="sq-AL" w:bidi="ar-AE"/>
              </w:rPr>
              <w:t>obradu</w:t>
            </w:r>
            <w:r w:rsidR="00377063" w:rsidRPr="002A6F4E">
              <w:rPr>
                <w:rFonts w:ascii="Arial" w:hAnsi="Arial" w:cs="Arial"/>
                <w:i/>
                <w:lang w:val="sq-AL" w:bidi="ar-AE"/>
              </w:rPr>
              <w:t>.</w:t>
            </w:r>
          </w:p>
        </w:tc>
        <w:tc>
          <w:tcPr>
            <w:tcW w:w="1305" w:type="pct"/>
            <w:shd w:val="clear" w:color="auto" w:fill="EDEDED" w:themeFill="accent3" w:themeFillTint="33"/>
          </w:tcPr>
          <w:p w14:paraId="50F00201" w14:textId="77777777" w:rsidR="00377063" w:rsidRPr="002A6F4E" w:rsidRDefault="00377063" w:rsidP="00FE289C">
            <w:pPr>
              <w:spacing w:before="40" w:after="40" w:line="360" w:lineRule="auto"/>
              <w:rPr>
                <w:rFonts w:ascii="Arial" w:hAnsi="Arial" w:cs="Arial"/>
                <w:b/>
                <w:lang w:val="sq-AL" w:bidi="ar-AE"/>
              </w:rPr>
            </w:pPr>
          </w:p>
        </w:tc>
      </w:tr>
      <w:tr w:rsidR="000F67ED" w:rsidRPr="0014164F" w14:paraId="47CC2EC4" w14:textId="77777777" w:rsidTr="009754F4">
        <w:trPr>
          <w:jc w:val="center"/>
        </w:trPr>
        <w:tc>
          <w:tcPr>
            <w:tcW w:w="304" w:type="pct"/>
            <w:shd w:val="clear" w:color="auto" w:fill="auto"/>
          </w:tcPr>
          <w:p w14:paraId="184BF37B" w14:textId="1000CAF0"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1006EF">
              <w:rPr>
                <w:rFonts w:ascii="Arial" w:hAnsi="Arial" w:cs="Arial"/>
                <w:lang w:val="sq-AL" w:bidi="ar-AE"/>
              </w:rPr>
              <w:t>22</w:t>
            </w:r>
          </w:p>
        </w:tc>
        <w:tc>
          <w:tcPr>
            <w:tcW w:w="518" w:type="pct"/>
            <w:shd w:val="clear" w:color="auto" w:fill="auto"/>
          </w:tcPr>
          <w:p w14:paraId="34C86BDC"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07DE96EA" w14:textId="5D5AD81B" w:rsidR="00377063" w:rsidRPr="002A6F4E" w:rsidRDefault="00377063" w:rsidP="00FE289C">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Izgradnja </w:t>
            </w:r>
            <w:r w:rsidR="001006EF">
              <w:rPr>
                <w:rFonts w:ascii="Arial" w:eastAsia="Times New Roman" w:hAnsi="Arial" w:cs="Arial"/>
                <w:lang w:val="sq-AL" w:eastAsia="el-GR"/>
              </w:rPr>
              <w:t>informacionog</w:t>
            </w:r>
            <w:r w:rsidRPr="002A6F4E">
              <w:rPr>
                <w:rFonts w:ascii="Arial" w:eastAsia="Times New Roman" w:hAnsi="Arial" w:cs="Arial"/>
                <w:lang w:val="sq-AL" w:eastAsia="el-GR"/>
              </w:rPr>
              <w:t xml:space="preserve"> sistema u kojem će </w:t>
            </w:r>
            <w:r w:rsidR="00E442FF">
              <w:rPr>
                <w:rFonts w:ascii="Arial" w:eastAsia="Times New Roman" w:hAnsi="Arial" w:cs="Arial"/>
                <w:lang w:val="sq-AL" w:eastAsia="el-GR"/>
              </w:rPr>
              <w:t>biti prikazana</w:t>
            </w:r>
            <w:r w:rsidRPr="002A6F4E">
              <w:rPr>
                <w:rFonts w:ascii="Arial" w:eastAsia="Times New Roman" w:hAnsi="Arial" w:cs="Arial"/>
                <w:lang w:val="sq-AL" w:eastAsia="el-GR"/>
              </w:rPr>
              <w:t xml:space="preserve"> prodaja vozila (spisak uvoznika i izvoznika i izvršene kontrole prekograničnog saobraćaja) </w:t>
            </w:r>
          </w:p>
        </w:tc>
        <w:tc>
          <w:tcPr>
            <w:tcW w:w="1101" w:type="pct"/>
            <w:shd w:val="clear" w:color="auto" w:fill="auto"/>
          </w:tcPr>
          <w:p w14:paraId="01504722" w14:textId="55FD2B97" w:rsidR="00377063" w:rsidRPr="002A6F4E" w:rsidRDefault="001006EF" w:rsidP="00FE289C">
            <w:pPr>
              <w:spacing w:before="40" w:after="40" w:line="360" w:lineRule="auto"/>
              <w:rPr>
                <w:rFonts w:ascii="Arial" w:hAnsi="Arial" w:cs="Arial"/>
                <w:lang w:val="sq-AL" w:bidi="ar-AE"/>
              </w:rPr>
            </w:pPr>
            <w:r>
              <w:rPr>
                <w:rFonts w:ascii="Arial" w:hAnsi="Arial" w:cs="Arial"/>
                <w:lang w:val="sq-AL"/>
              </w:rPr>
              <w:t>AZŽS/</w:t>
            </w:r>
            <w:r w:rsidR="00377063" w:rsidRPr="002A6F4E">
              <w:rPr>
                <w:rFonts w:ascii="Arial" w:hAnsi="Arial" w:cs="Arial"/>
                <w:lang w:val="sq-AL"/>
              </w:rPr>
              <w:t>MERS</w:t>
            </w:r>
            <w:r w:rsidR="00377063" w:rsidRPr="002A6F4E">
              <w:rPr>
                <w:rFonts w:ascii="Arial" w:hAnsi="Arial" w:cs="Arial"/>
                <w:lang w:val="sq-AL" w:bidi="ar-AE"/>
              </w:rPr>
              <w:t>/</w:t>
            </w:r>
            <w:r w:rsidR="00E442FF">
              <w:rPr>
                <w:rFonts w:ascii="Arial" w:hAnsi="Arial" w:cs="Arial"/>
                <w:lang w:val="sq-AL" w:bidi="ar-AE"/>
              </w:rPr>
              <w:t>MF</w:t>
            </w:r>
          </w:p>
        </w:tc>
        <w:tc>
          <w:tcPr>
            <w:tcW w:w="508" w:type="pct"/>
            <w:shd w:val="clear" w:color="auto" w:fill="auto"/>
          </w:tcPr>
          <w:p w14:paraId="7FC598B2"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2025-2026.</w:t>
            </w:r>
          </w:p>
        </w:tc>
        <w:tc>
          <w:tcPr>
            <w:tcW w:w="1305" w:type="pct"/>
          </w:tcPr>
          <w:p w14:paraId="5A7FF174" w14:textId="2CFEC793" w:rsidR="00377063" w:rsidRPr="00B46B69" w:rsidRDefault="001006EF" w:rsidP="00FE289C">
            <w:pPr>
              <w:spacing w:before="40" w:after="40" w:line="360" w:lineRule="auto"/>
              <w:rPr>
                <w:rFonts w:ascii="Arial" w:hAnsi="Arial" w:cs="Arial"/>
                <w:lang w:val="sq-AL" w:bidi="ar-AE"/>
              </w:rPr>
            </w:pPr>
            <w:r w:rsidRPr="00B46B69">
              <w:rPr>
                <w:rFonts w:ascii="Arial" w:hAnsi="Arial" w:cs="Arial"/>
                <w:lang w:val="sq-AL" w:bidi="ar-AE"/>
              </w:rPr>
              <w:t>AZŽS/</w:t>
            </w:r>
            <w:r w:rsidR="00377063" w:rsidRPr="00B46B69">
              <w:rPr>
                <w:rFonts w:ascii="Arial" w:hAnsi="Arial" w:cs="Arial"/>
                <w:lang w:val="sq-AL" w:bidi="ar-AE"/>
              </w:rPr>
              <w:t>Državni budžet</w:t>
            </w:r>
            <w:r w:rsidRPr="00B46B69">
              <w:rPr>
                <w:rFonts w:ascii="Arial" w:hAnsi="Arial" w:cs="Arial"/>
                <w:lang w:val="sq-AL" w:bidi="ar-AE"/>
              </w:rPr>
              <w:t>/</w:t>
            </w:r>
          </w:p>
          <w:p w14:paraId="401FB113" w14:textId="01215DCD" w:rsidR="001006EF" w:rsidRPr="00B46B69" w:rsidRDefault="00377063" w:rsidP="001006EF">
            <w:pPr>
              <w:spacing w:before="40" w:after="40" w:line="360" w:lineRule="auto"/>
              <w:rPr>
                <w:rFonts w:ascii="Arial" w:hAnsi="Arial" w:cs="Arial"/>
                <w:lang w:val="sq-AL" w:bidi="ar-AE"/>
              </w:rPr>
            </w:pPr>
            <w:r w:rsidRPr="00B46B69">
              <w:rPr>
                <w:rFonts w:ascii="Arial" w:hAnsi="Arial" w:cs="Arial"/>
                <w:lang w:val="sq-AL" w:bidi="ar-AE"/>
              </w:rPr>
              <w:t>Donatori</w:t>
            </w:r>
            <w:r w:rsidR="001006EF" w:rsidRPr="00B46B69">
              <w:rPr>
                <w:rFonts w:ascii="Arial" w:hAnsi="Arial" w:cs="Arial"/>
                <w:lang w:val="sq-AL" w:bidi="ar-AE"/>
              </w:rPr>
              <w:t>/</w:t>
            </w:r>
            <w:r w:rsidR="001006EF">
              <w:rPr>
                <w:rFonts w:ascii="Arial" w:hAnsi="Arial" w:cs="Arial"/>
                <w:lang w:val="sq-AL" w:bidi="ar-AE"/>
              </w:rPr>
              <w:t>Međunarodne finansijske institucije</w:t>
            </w:r>
          </w:p>
          <w:p w14:paraId="795EE034" w14:textId="793D4F7F" w:rsidR="00377063" w:rsidRPr="002A6F4E" w:rsidRDefault="00377063" w:rsidP="00FE289C">
            <w:pPr>
              <w:spacing w:before="40" w:after="40" w:line="360" w:lineRule="auto"/>
              <w:rPr>
                <w:rFonts w:ascii="Arial" w:hAnsi="Arial" w:cs="Arial"/>
                <w:lang w:val="sq-AL" w:bidi="ar-AE"/>
              </w:rPr>
            </w:pPr>
          </w:p>
        </w:tc>
      </w:tr>
      <w:tr w:rsidR="000F67ED" w:rsidRPr="002A6F4E" w14:paraId="0E3DE659" w14:textId="77777777" w:rsidTr="009754F4">
        <w:trPr>
          <w:jc w:val="center"/>
        </w:trPr>
        <w:tc>
          <w:tcPr>
            <w:tcW w:w="304" w:type="pct"/>
            <w:shd w:val="clear" w:color="auto" w:fill="auto"/>
          </w:tcPr>
          <w:p w14:paraId="7F2AE30D" w14:textId="0A2BA3FD"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295C96">
              <w:rPr>
                <w:rFonts w:ascii="Arial" w:hAnsi="Arial" w:cs="Arial"/>
                <w:lang w:val="sq-AL" w:bidi="ar-AE"/>
              </w:rPr>
              <w:t>23</w:t>
            </w:r>
          </w:p>
        </w:tc>
        <w:tc>
          <w:tcPr>
            <w:tcW w:w="518" w:type="pct"/>
            <w:shd w:val="clear" w:color="auto" w:fill="auto"/>
          </w:tcPr>
          <w:p w14:paraId="2B555F5D"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 xml:space="preserve">OAM </w:t>
            </w:r>
          </w:p>
        </w:tc>
        <w:tc>
          <w:tcPr>
            <w:tcW w:w="1264" w:type="pct"/>
            <w:shd w:val="clear" w:color="auto" w:fill="auto"/>
          </w:tcPr>
          <w:p w14:paraId="05382D29" w14:textId="77777777" w:rsidR="00377063" w:rsidRPr="002A6F4E" w:rsidRDefault="00377063" w:rsidP="00FE289C">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Saradnja sa prodavcima vozila</w:t>
            </w:r>
          </w:p>
        </w:tc>
        <w:tc>
          <w:tcPr>
            <w:tcW w:w="1101" w:type="pct"/>
            <w:shd w:val="clear" w:color="auto" w:fill="auto"/>
          </w:tcPr>
          <w:p w14:paraId="57291E1D" w14:textId="0C48328E"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w:t>
            </w:r>
            <w:r w:rsidR="00E442FF">
              <w:rPr>
                <w:rFonts w:ascii="Arial" w:hAnsi="Arial" w:cs="Arial"/>
                <w:lang w:val="sq-AL" w:bidi="ar-AE"/>
              </w:rPr>
              <w:t>S</w:t>
            </w:r>
            <w:r w:rsidRPr="002A6F4E">
              <w:rPr>
                <w:rFonts w:ascii="Arial" w:hAnsi="Arial" w:cs="Arial"/>
                <w:lang w:val="sq-AL" w:bidi="ar-AE"/>
              </w:rPr>
              <w:t xml:space="preserve">istem EPR/ </w:t>
            </w:r>
            <w:r w:rsidR="00E442FF">
              <w:rPr>
                <w:rFonts w:ascii="Arial" w:hAnsi="Arial" w:cs="Arial"/>
                <w:lang w:val="sq-AL" w:bidi="ar-AE"/>
              </w:rPr>
              <w:t>P</w:t>
            </w:r>
            <w:r w:rsidRPr="002A6F4E">
              <w:rPr>
                <w:rFonts w:ascii="Arial" w:hAnsi="Arial" w:cs="Arial"/>
                <w:lang w:val="sq-AL" w:bidi="ar-AE"/>
              </w:rPr>
              <w:t>rivatni sektor</w:t>
            </w:r>
          </w:p>
        </w:tc>
        <w:tc>
          <w:tcPr>
            <w:tcW w:w="508" w:type="pct"/>
            <w:shd w:val="clear" w:color="auto" w:fill="auto"/>
          </w:tcPr>
          <w:p w14:paraId="5F751C6B" w14:textId="14C89C13" w:rsidR="00377063" w:rsidRPr="002A6F4E" w:rsidRDefault="00377063" w:rsidP="00F858D9">
            <w:pPr>
              <w:spacing w:before="40" w:after="40" w:line="360" w:lineRule="auto"/>
              <w:rPr>
                <w:rFonts w:ascii="Arial" w:hAnsi="Arial" w:cs="Arial"/>
                <w:lang w:val="sq-AL" w:bidi="ar-AE"/>
              </w:rPr>
            </w:pPr>
            <w:r w:rsidRPr="002A6F4E">
              <w:rPr>
                <w:rFonts w:ascii="Arial" w:hAnsi="Arial" w:cs="Arial"/>
                <w:lang w:val="sq-AL" w:bidi="ar-AE"/>
              </w:rPr>
              <w:t>2025-</w:t>
            </w:r>
            <w:r w:rsidR="00F858D9" w:rsidRPr="002A6F4E">
              <w:rPr>
                <w:rFonts w:ascii="Arial" w:hAnsi="Arial" w:cs="Arial"/>
                <w:lang w:val="sq-AL" w:bidi="ar-AE"/>
              </w:rPr>
              <w:t>2029</w:t>
            </w:r>
            <w:r w:rsidRPr="002A6F4E">
              <w:rPr>
                <w:rFonts w:ascii="Arial" w:hAnsi="Arial" w:cs="Arial"/>
                <w:lang w:val="sq-AL" w:bidi="ar-AE"/>
              </w:rPr>
              <w:t>.</w:t>
            </w:r>
          </w:p>
        </w:tc>
        <w:tc>
          <w:tcPr>
            <w:tcW w:w="1305" w:type="pct"/>
          </w:tcPr>
          <w:p w14:paraId="2AD02591" w14:textId="352DFD5F" w:rsidR="00377063" w:rsidRPr="002A6F4E" w:rsidRDefault="001006EF" w:rsidP="00FE289C">
            <w:pPr>
              <w:spacing w:before="40" w:after="40" w:line="360" w:lineRule="auto"/>
              <w:rPr>
                <w:rFonts w:ascii="Arial" w:hAnsi="Arial" w:cs="Arial"/>
                <w:lang w:val="sq-AL" w:bidi="ar-AE"/>
              </w:rPr>
            </w:pPr>
            <w:r>
              <w:rPr>
                <w:rFonts w:ascii="Arial" w:hAnsi="Arial" w:cs="Arial"/>
                <w:lang w:val="sq-AL" w:bidi="ar-AE"/>
              </w:rPr>
              <w:t>/</w:t>
            </w:r>
          </w:p>
        </w:tc>
      </w:tr>
      <w:tr w:rsidR="000F67ED" w:rsidRPr="00156696" w14:paraId="4D4EE458" w14:textId="77777777" w:rsidTr="009754F4">
        <w:trPr>
          <w:jc w:val="center"/>
        </w:trPr>
        <w:tc>
          <w:tcPr>
            <w:tcW w:w="304" w:type="pct"/>
            <w:shd w:val="clear" w:color="auto" w:fill="auto"/>
          </w:tcPr>
          <w:p w14:paraId="77BAA06C" w14:textId="23891379"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295C96">
              <w:rPr>
                <w:rFonts w:ascii="Arial" w:hAnsi="Arial" w:cs="Arial"/>
                <w:lang w:val="sq-AL" w:bidi="ar-AE"/>
              </w:rPr>
              <w:t>24</w:t>
            </w:r>
          </w:p>
        </w:tc>
        <w:tc>
          <w:tcPr>
            <w:tcW w:w="518" w:type="pct"/>
            <w:shd w:val="clear" w:color="auto" w:fill="auto"/>
          </w:tcPr>
          <w:p w14:paraId="4DA94300"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FM / IM</w:t>
            </w:r>
          </w:p>
        </w:tc>
        <w:tc>
          <w:tcPr>
            <w:tcW w:w="1264" w:type="pct"/>
            <w:shd w:val="clear" w:color="auto" w:fill="auto"/>
          </w:tcPr>
          <w:p w14:paraId="717C22E6" w14:textId="0B9D4454" w:rsidR="00377063" w:rsidRPr="002A6F4E" w:rsidRDefault="00377063" w:rsidP="00FE289C">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Uspostavljanje objekata za </w:t>
            </w:r>
            <w:r w:rsidR="001006EF">
              <w:rPr>
                <w:rFonts w:ascii="Arial" w:eastAsia="Times New Roman" w:hAnsi="Arial" w:cs="Arial"/>
                <w:lang w:val="sq-AL" w:eastAsia="el-GR"/>
              </w:rPr>
              <w:t>obradu</w:t>
            </w:r>
            <w:r w:rsidRPr="002A6F4E">
              <w:rPr>
                <w:rFonts w:ascii="Arial" w:eastAsia="Times New Roman" w:hAnsi="Arial" w:cs="Arial"/>
                <w:lang w:val="sq-AL" w:eastAsia="el-GR"/>
              </w:rPr>
              <w:t xml:space="preserve"> </w:t>
            </w:r>
            <w:r w:rsidRPr="00B46B69">
              <w:rPr>
                <w:rFonts w:ascii="Arial" w:eastAsia="Times New Roman" w:hAnsi="Arial" w:cs="Arial"/>
                <w:lang w:val="sq-AL" w:eastAsia="el-GR"/>
              </w:rPr>
              <w:t>ELV</w:t>
            </w:r>
            <w:r w:rsidRPr="002A6F4E">
              <w:rPr>
                <w:rFonts w:ascii="Arial" w:eastAsia="Times New Roman" w:hAnsi="Arial" w:cs="Arial"/>
                <w:lang w:val="sq-AL" w:eastAsia="el-GR"/>
              </w:rPr>
              <w:t xml:space="preserve"> (dodatno uz </w:t>
            </w:r>
            <w:r w:rsidR="001006EF">
              <w:rPr>
                <w:rFonts w:ascii="Arial" w:eastAsia="Times New Roman" w:hAnsi="Arial" w:cs="Arial"/>
                <w:lang w:val="sq-AL" w:eastAsia="el-GR"/>
              </w:rPr>
              <w:t>postrojenje za obradu otpadnih vozila</w:t>
            </w:r>
            <w:r w:rsidRPr="002A6F4E">
              <w:rPr>
                <w:rFonts w:ascii="Arial" w:eastAsia="Times New Roman" w:hAnsi="Arial" w:cs="Arial"/>
                <w:lang w:val="sq-AL" w:eastAsia="el-GR"/>
              </w:rPr>
              <w:t xml:space="preserve"> u Reciklažnom centru </w:t>
            </w:r>
            <w:r w:rsidR="001006EF">
              <w:rPr>
                <w:rFonts w:ascii="Arial" w:eastAsia="Times New Roman" w:hAnsi="Arial" w:cs="Arial"/>
                <w:lang w:val="sq-AL" w:eastAsia="el-GR"/>
              </w:rPr>
              <w:t>na lokaciji</w:t>
            </w:r>
            <w:r w:rsidRPr="002A6F4E">
              <w:rPr>
                <w:rFonts w:ascii="Arial" w:eastAsia="Times New Roman" w:hAnsi="Arial" w:cs="Arial"/>
                <w:lang w:val="sq-AL" w:eastAsia="el-GR"/>
              </w:rPr>
              <w:t xml:space="preserve"> Livade</w:t>
            </w:r>
            <w:r w:rsidR="001006EF">
              <w:rPr>
                <w:rFonts w:ascii="Arial" w:eastAsia="Times New Roman" w:hAnsi="Arial" w:cs="Arial"/>
                <w:lang w:val="sq-AL" w:eastAsia="el-GR"/>
              </w:rPr>
              <w:t xml:space="preserve"> u Podgorici</w:t>
            </w:r>
            <w:r w:rsidRPr="002A6F4E">
              <w:rPr>
                <w:rFonts w:ascii="Arial" w:eastAsia="Times New Roman" w:hAnsi="Arial" w:cs="Arial"/>
                <w:lang w:val="sq-AL" w:eastAsia="el-GR"/>
              </w:rPr>
              <w:t xml:space="preserve">) </w:t>
            </w:r>
          </w:p>
        </w:tc>
        <w:tc>
          <w:tcPr>
            <w:tcW w:w="1101" w:type="pct"/>
            <w:shd w:val="clear" w:color="auto" w:fill="auto"/>
          </w:tcPr>
          <w:p w14:paraId="4253D1D5" w14:textId="04ABAB18"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w:t>
            </w:r>
            <w:r w:rsidR="00E442FF">
              <w:rPr>
                <w:rFonts w:ascii="Arial" w:hAnsi="Arial" w:cs="Arial"/>
                <w:lang w:val="sq-AL" w:bidi="ar-AE"/>
              </w:rPr>
              <w:t>S</w:t>
            </w:r>
            <w:r w:rsidRPr="002A6F4E">
              <w:rPr>
                <w:rFonts w:ascii="Arial" w:hAnsi="Arial" w:cs="Arial"/>
                <w:lang w:val="sq-AL" w:bidi="ar-AE"/>
              </w:rPr>
              <w:t xml:space="preserve">istem EPR/ </w:t>
            </w:r>
            <w:r w:rsidR="00E442FF">
              <w:rPr>
                <w:rFonts w:ascii="Arial" w:hAnsi="Arial" w:cs="Arial"/>
                <w:lang w:val="sq-AL" w:bidi="ar-AE"/>
              </w:rPr>
              <w:t>P</w:t>
            </w:r>
            <w:r w:rsidRPr="002A6F4E">
              <w:rPr>
                <w:rFonts w:ascii="Arial" w:hAnsi="Arial" w:cs="Arial"/>
                <w:lang w:val="sq-AL" w:bidi="ar-AE"/>
              </w:rPr>
              <w:t>rivatni sektor</w:t>
            </w:r>
          </w:p>
        </w:tc>
        <w:tc>
          <w:tcPr>
            <w:tcW w:w="508" w:type="pct"/>
            <w:shd w:val="clear" w:color="auto" w:fill="auto"/>
          </w:tcPr>
          <w:p w14:paraId="24A5B105" w14:textId="69031849" w:rsidR="00377063" w:rsidRPr="002A6F4E" w:rsidRDefault="00377063" w:rsidP="00F858D9">
            <w:pPr>
              <w:spacing w:before="40" w:after="40" w:line="360" w:lineRule="auto"/>
              <w:rPr>
                <w:rFonts w:ascii="Arial" w:hAnsi="Arial" w:cs="Arial"/>
                <w:lang w:val="sq-AL" w:bidi="ar-AE"/>
              </w:rPr>
            </w:pPr>
            <w:r w:rsidRPr="002A6F4E">
              <w:rPr>
                <w:rFonts w:ascii="Arial" w:hAnsi="Arial" w:cs="Arial"/>
                <w:lang w:val="sq-AL" w:bidi="ar-AE"/>
              </w:rPr>
              <w:t>2025-</w:t>
            </w:r>
            <w:r w:rsidR="00F858D9" w:rsidRPr="002A6F4E">
              <w:rPr>
                <w:rFonts w:ascii="Arial" w:hAnsi="Arial" w:cs="Arial"/>
                <w:lang w:val="sq-AL" w:bidi="ar-AE"/>
              </w:rPr>
              <w:t>2029</w:t>
            </w:r>
            <w:r w:rsidRPr="002A6F4E">
              <w:rPr>
                <w:rFonts w:ascii="Arial" w:hAnsi="Arial" w:cs="Arial"/>
                <w:lang w:val="sq-AL" w:bidi="ar-AE"/>
              </w:rPr>
              <w:t>.</w:t>
            </w:r>
          </w:p>
        </w:tc>
        <w:tc>
          <w:tcPr>
            <w:tcW w:w="1305" w:type="pct"/>
          </w:tcPr>
          <w:p w14:paraId="0384E217" w14:textId="584AE271" w:rsidR="00377063" w:rsidRPr="00B46B69" w:rsidRDefault="00377063" w:rsidP="00FE289C">
            <w:pPr>
              <w:spacing w:before="40" w:after="40" w:line="360" w:lineRule="auto"/>
              <w:rPr>
                <w:rFonts w:ascii="Arial" w:hAnsi="Arial" w:cs="Arial"/>
                <w:lang w:val="sq-AL" w:bidi="ar-AE"/>
              </w:rPr>
            </w:pPr>
            <w:r w:rsidRPr="00B46B69">
              <w:rPr>
                <w:rFonts w:ascii="Arial" w:hAnsi="Arial" w:cs="Arial"/>
                <w:lang w:val="sq-AL" w:bidi="ar-AE"/>
              </w:rPr>
              <w:t>Državni budžet</w:t>
            </w:r>
            <w:r w:rsidR="001006EF" w:rsidRPr="00B46B69">
              <w:rPr>
                <w:rFonts w:ascii="Arial" w:hAnsi="Arial" w:cs="Arial"/>
                <w:lang w:val="sq-AL" w:bidi="ar-AE"/>
              </w:rPr>
              <w:t>/</w:t>
            </w:r>
          </w:p>
          <w:p w14:paraId="1BE23498" w14:textId="26C7C12F" w:rsidR="00377063" w:rsidRPr="00B46B69" w:rsidRDefault="00377063" w:rsidP="00FE289C">
            <w:pPr>
              <w:spacing w:before="40" w:after="40" w:line="360" w:lineRule="auto"/>
              <w:rPr>
                <w:rFonts w:ascii="Arial" w:hAnsi="Arial" w:cs="Arial"/>
                <w:lang w:val="sq-AL" w:bidi="ar-AE"/>
              </w:rPr>
            </w:pPr>
            <w:r w:rsidRPr="00B46B69">
              <w:rPr>
                <w:rFonts w:ascii="Arial" w:hAnsi="Arial" w:cs="Arial"/>
                <w:lang w:val="sq-AL" w:bidi="ar-AE"/>
              </w:rPr>
              <w:t>Lokalni bud</w:t>
            </w:r>
            <w:r w:rsidR="001006EF" w:rsidRPr="00B46B69">
              <w:rPr>
                <w:rFonts w:ascii="Arial" w:hAnsi="Arial" w:cs="Arial"/>
                <w:lang w:val="sq-AL" w:bidi="ar-AE"/>
              </w:rPr>
              <w:t>ž</w:t>
            </w:r>
            <w:r w:rsidRPr="00B46B69">
              <w:rPr>
                <w:rFonts w:ascii="Arial" w:hAnsi="Arial" w:cs="Arial"/>
                <w:lang w:val="sq-AL" w:bidi="ar-AE"/>
              </w:rPr>
              <w:t>et</w:t>
            </w:r>
            <w:r w:rsidR="001006EF" w:rsidRPr="00B46B69">
              <w:rPr>
                <w:rFonts w:ascii="Arial" w:hAnsi="Arial" w:cs="Arial"/>
                <w:lang w:val="sq-AL" w:bidi="ar-AE"/>
              </w:rPr>
              <w:t>/</w:t>
            </w:r>
          </w:p>
          <w:p w14:paraId="50087373" w14:textId="77777777" w:rsidR="00377063" w:rsidRPr="00B46B69" w:rsidRDefault="00377063" w:rsidP="00FE289C">
            <w:pPr>
              <w:spacing w:before="40" w:after="40" w:line="360" w:lineRule="auto"/>
              <w:rPr>
                <w:rFonts w:ascii="Arial" w:hAnsi="Arial" w:cs="Arial"/>
                <w:lang w:val="sq-AL" w:bidi="ar-AE"/>
              </w:rPr>
            </w:pPr>
            <w:r w:rsidRPr="00B46B69">
              <w:rPr>
                <w:rFonts w:ascii="Arial" w:hAnsi="Arial" w:cs="Arial"/>
                <w:lang w:val="sq-AL" w:bidi="ar-AE"/>
              </w:rPr>
              <w:t>EPR sistem</w:t>
            </w:r>
          </w:p>
          <w:p w14:paraId="6F41E083"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de-DE" w:bidi="ar-AE"/>
              </w:rPr>
              <w:t>Privatni sektor</w:t>
            </w:r>
          </w:p>
        </w:tc>
      </w:tr>
      <w:tr w:rsidR="00377063" w:rsidRPr="0014164F" w14:paraId="78541303" w14:textId="77777777" w:rsidTr="009754F4">
        <w:trPr>
          <w:trHeight w:val="780"/>
          <w:jc w:val="center"/>
        </w:trPr>
        <w:tc>
          <w:tcPr>
            <w:tcW w:w="3695" w:type="pct"/>
            <w:gridSpan w:val="5"/>
            <w:shd w:val="clear" w:color="auto" w:fill="EDEDED" w:themeFill="accent3" w:themeFillTint="33"/>
          </w:tcPr>
          <w:p w14:paraId="669AED64" w14:textId="505C1712" w:rsidR="00377063" w:rsidRPr="002A6F4E" w:rsidRDefault="00377063" w:rsidP="00FE289C">
            <w:pPr>
              <w:spacing w:before="40" w:after="40" w:line="360" w:lineRule="auto"/>
              <w:rPr>
                <w:rFonts w:ascii="Arial" w:hAnsi="Arial" w:cs="Arial"/>
                <w:b/>
                <w:lang w:val="sq-AL" w:bidi="ar-AE"/>
              </w:rPr>
            </w:pPr>
            <w:r w:rsidRPr="002A6F4E">
              <w:rPr>
                <w:rFonts w:ascii="Arial" w:hAnsi="Arial" w:cs="Arial"/>
                <w:b/>
                <w:lang w:val="sq-AL" w:bidi="ar-AE"/>
              </w:rPr>
              <w:lastRenderedPageBreak/>
              <w:t>Posebni cilj VIId: B</w:t>
            </w:r>
            <w:r w:rsidR="00295C96">
              <w:rPr>
                <w:rFonts w:ascii="Arial" w:hAnsi="Arial" w:cs="Arial"/>
                <w:b/>
                <w:lang w:val="sq-AL" w:bidi="ar-AE"/>
              </w:rPr>
              <w:t>a</w:t>
            </w:r>
            <w:r w:rsidRPr="002A6F4E">
              <w:rPr>
                <w:rFonts w:ascii="Arial" w:hAnsi="Arial" w:cs="Arial"/>
                <w:b/>
                <w:lang w:val="sq-AL" w:bidi="ar-AE"/>
              </w:rPr>
              <w:t>terije i akumulatori</w:t>
            </w:r>
          </w:p>
          <w:p w14:paraId="609204F8" w14:textId="77EDFD7B"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Pratiti količine baterija i akumulatora u Crnoj Gori.</w:t>
            </w:r>
          </w:p>
          <w:p w14:paraId="5CD590A8" w14:textId="77777777"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Podržati izgradnju infrastrukture za obradu otpadnih baterija i akumulatora.</w:t>
            </w:r>
          </w:p>
          <w:p w14:paraId="081B72D2" w14:textId="5C2A9D83"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2025. godine, nivo sakupl</w:t>
            </w:r>
            <w:r w:rsidR="0054632B">
              <w:rPr>
                <w:rFonts w:ascii="Arial" w:hAnsi="Arial" w:cs="Arial"/>
                <w:i/>
                <w:lang w:val="sq-AL" w:bidi="ar-AE"/>
              </w:rPr>
              <w:t>j</w:t>
            </w:r>
            <w:r w:rsidRPr="002A6F4E">
              <w:rPr>
                <w:rFonts w:ascii="Arial" w:hAnsi="Arial" w:cs="Arial"/>
                <w:i/>
                <w:lang w:val="sq-AL" w:bidi="ar-AE"/>
              </w:rPr>
              <w:t xml:space="preserve">enih otpadnih baterija i akumulatora iznosi 25% od ukupne godišnje </w:t>
            </w:r>
            <w:r w:rsidR="00CF1F90">
              <w:rPr>
                <w:rFonts w:ascii="Arial" w:hAnsi="Arial" w:cs="Arial"/>
                <w:i/>
                <w:lang w:val="sq-AL" w:bidi="ar-AE"/>
              </w:rPr>
              <w:t>mase</w:t>
            </w:r>
            <w:r w:rsidRPr="002A6F4E">
              <w:rPr>
                <w:rFonts w:ascii="Arial" w:hAnsi="Arial" w:cs="Arial"/>
                <w:i/>
                <w:lang w:val="sq-AL" w:bidi="ar-AE"/>
              </w:rPr>
              <w:t xml:space="preserve"> baterija i akumulatora koji se stavljaju na tržište. </w:t>
            </w:r>
          </w:p>
          <w:p w14:paraId="2010AA73" w14:textId="0AC2555D" w:rsidR="00377063" w:rsidRPr="002A6F4E" w:rsidRDefault="00377063" w:rsidP="00A23ED0">
            <w:pPr>
              <w:pStyle w:val="ListParagraph"/>
              <w:numPr>
                <w:ilvl w:val="0"/>
                <w:numId w:val="89"/>
              </w:numPr>
              <w:spacing w:before="40" w:after="40" w:line="360" w:lineRule="auto"/>
              <w:contextualSpacing w:val="0"/>
              <w:rPr>
                <w:rFonts w:ascii="Arial" w:hAnsi="Arial" w:cs="Arial"/>
                <w:i/>
                <w:lang w:val="sq-AL" w:bidi="ar-AE"/>
              </w:rPr>
            </w:pPr>
            <w:r w:rsidRPr="002A6F4E">
              <w:rPr>
                <w:rFonts w:ascii="Arial" w:hAnsi="Arial" w:cs="Arial"/>
                <w:i/>
                <w:lang w:val="sq-AL" w:bidi="ar-AE"/>
              </w:rPr>
              <w:t>Do 2027. godine, nivo sakupl</w:t>
            </w:r>
            <w:r w:rsidR="00295C96">
              <w:rPr>
                <w:rFonts w:ascii="Arial" w:hAnsi="Arial" w:cs="Arial"/>
                <w:i/>
                <w:lang w:val="sq-AL" w:bidi="ar-AE"/>
              </w:rPr>
              <w:t>j</w:t>
            </w:r>
            <w:r w:rsidRPr="002A6F4E">
              <w:rPr>
                <w:rFonts w:ascii="Arial" w:hAnsi="Arial" w:cs="Arial"/>
                <w:i/>
                <w:lang w:val="sq-AL" w:bidi="ar-AE"/>
              </w:rPr>
              <w:t xml:space="preserve">enih otpadnih baterija i akumulatora iznosi 45% od ukupne godišnje </w:t>
            </w:r>
            <w:r w:rsidR="00CF1F90">
              <w:rPr>
                <w:rFonts w:ascii="Arial" w:hAnsi="Arial" w:cs="Arial"/>
                <w:i/>
                <w:lang w:val="sq-AL" w:bidi="ar-AE"/>
              </w:rPr>
              <w:t>mase</w:t>
            </w:r>
            <w:r w:rsidRPr="002A6F4E">
              <w:rPr>
                <w:rFonts w:ascii="Arial" w:hAnsi="Arial" w:cs="Arial"/>
                <w:i/>
                <w:lang w:val="sq-AL" w:bidi="ar-AE"/>
              </w:rPr>
              <w:t xml:space="preserve"> baterija i akumulatora koji se stavljaju na tržište.</w:t>
            </w:r>
          </w:p>
          <w:p w14:paraId="1A08A18F" w14:textId="40E2E992"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Spr</w:t>
            </w:r>
            <w:r w:rsidR="00E442FF">
              <w:rPr>
                <w:rFonts w:ascii="Arial" w:hAnsi="Arial" w:cs="Arial"/>
                <w:i/>
                <w:lang w:val="sq-AL" w:bidi="ar-AE"/>
              </w:rPr>
              <w:t>j</w:t>
            </w:r>
            <w:r w:rsidRPr="002A6F4E">
              <w:rPr>
                <w:rFonts w:ascii="Arial" w:hAnsi="Arial" w:cs="Arial"/>
                <w:i/>
                <w:lang w:val="sq-AL" w:bidi="ar-AE"/>
              </w:rPr>
              <w:t>ečavanje nezakonitog izvoza otpadnih baterija i akumulatora.</w:t>
            </w:r>
          </w:p>
        </w:tc>
        <w:tc>
          <w:tcPr>
            <w:tcW w:w="1305" w:type="pct"/>
            <w:shd w:val="clear" w:color="auto" w:fill="EDEDED" w:themeFill="accent3" w:themeFillTint="33"/>
          </w:tcPr>
          <w:p w14:paraId="582AADA2" w14:textId="77777777" w:rsidR="00377063" w:rsidRPr="002A6F4E" w:rsidRDefault="00377063" w:rsidP="00FE289C">
            <w:pPr>
              <w:spacing w:before="40" w:after="40" w:line="360" w:lineRule="auto"/>
              <w:rPr>
                <w:rFonts w:ascii="Arial" w:hAnsi="Arial" w:cs="Arial"/>
                <w:b/>
                <w:lang w:val="sq-AL" w:bidi="ar-AE"/>
              </w:rPr>
            </w:pPr>
          </w:p>
        </w:tc>
      </w:tr>
      <w:tr w:rsidR="000F67ED" w:rsidRPr="002A6F4E" w14:paraId="1405E478" w14:textId="77777777" w:rsidTr="009754F4">
        <w:trPr>
          <w:jc w:val="center"/>
        </w:trPr>
        <w:tc>
          <w:tcPr>
            <w:tcW w:w="304" w:type="pct"/>
            <w:shd w:val="clear" w:color="auto" w:fill="auto"/>
          </w:tcPr>
          <w:p w14:paraId="4C6A6143" w14:textId="1A9A939A"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4744F3">
              <w:rPr>
                <w:rFonts w:ascii="Arial" w:hAnsi="Arial" w:cs="Arial"/>
                <w:lang w:val="sq-AL" w:bidi="ar-AE"/>
              </w:rPr>
              <w:t>25</w:t>
            </w:r>
          </w:p>
        </w:tc>
        <w:tc>
          <w:tcPr>
            <w:tcW w:w="518" w:type="pct"/>
            <w:shd w:val="clear" w:color="auto" w:fill="auto"/>
          </w:tcPr>
          <w:p w14:paraId="282214E4"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IM</w:t>
            </w:r>
          </w:p>
        </w:tc>
        <w:tc>
          <w:tcPr>
            <w:tcW w:w="1264" w:type="pct"/>
            <w:shd w:val="clear" w:color="auto" w:fill="auto"/>
          </w:tcPr>
          <w:p w14:paraId="3E884898" w14:textId="31285816" w:rsidR="00377063" w:rsidRPr="002A6F4E" w:rsidRDefault="00377063" w:rsidP="00FE289C">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Postavljanje </w:t>
            </w:r>
            <w:r w:rsidR="004744F3">
              <w:rPr>
                <w:rFonts w:ascii="Arial" w:eastAsia="Times New Roman" w:hAnsi="Arial" w:cs="Arial"/>
                <w:lang w:val="sq-AL" w:eastAsia="el-GR"/>
              </w:rPr>
              <w:t>posuda</w:t>
            </w:r>
            <w:r w:rsidRPr="002A6F4E">
              <w:rPr>
                <w:rFonts w:ascii="Arial" w:eastAsia="Times New Roman" w:hAnsi="Arial" w:cs="Arial"/>
                <w:lang w:val="sq-AL" w:eastAsia="el-GR"/>
              </w:rPr>
              <w:t xml:space="preserve"> za sakupljanje otpadnih baterija na mjestima sa zajedničkim pristupom</w:t>
            </w:r>
            <w:r w:rsidR="004744F3">
              <w:rPr>
                <w:rFonts w:ascii="Arial" w:eastAsia="Times New Roman" w:hAnsi="Arial" w:cs="Arial"/>
                <w:lang w:val="sq-AL" w:eastAsia="el-GR"/>
              </w:rPr>
              <w:t xml:space="preserve"> </w:t>
            </w:r>
            <w:r w:rsidRPr="002A6F4E">
              <w:rPr>
                <w:rFonts w:ascii="Arial" w:eastAsia="Times New Roman" w:hAnsi="Arial" w:cs="Arial"/>
                <w:lang w:val="sq-AL" w:eastAsia="el-GR"/>
              </w:rPr>
              <w:t>i mjestima na kojima se očekuje visok nivo proizvodnje (npr. benzinske pumpe, radionice, industrije, itd)</w:t>
            </w:r>
          </w:p>
          <w:p w14:paraId="0D55B9ED" w14:textId="7EDD223F" w:rsidR="00377063" w:rsidRPr="002A6F4E" w:rsidRDefault="004744F3" w:rsidP="00FE289C">
            <w:pPr>
              <w:spacing w:before="40" w:after="40" w:line="360" w:lineRule="auto"/>
              <w:ind w:left="54"/>
              <w:rPr>
                <w:rFonts w:ascii="Arial" w:eastAsia="Times New Roman" w:hAnsi="Arial" w:cs="Arial"/>
                <w:lang w:val="sq-AL" w:eastAsia="el-GR"/>
              </w:rPr>
            </w:pPr>
            <w:r>
              <w:rPr>
                <w:rFonts w:ascii="Arial" w:eastAsia="Times New Roman" w:hAnsi="Arial" w:cs="Arial"/>
                <w:lang w:val="sq-AL" w:eastAsia="el-GR"/>
              </w:rPr>
              <w:t xml:space="preserve">Izgradnja </w:t>
            </w:r>
            <w:r w:rsidR="00377063" w:rsidRPr="002A6F4E">
              <w:rPr>
                <w:rFonts w:ascii="Arial" w:eastAsia="Times New Roman" w:hAnsi="Arial" w:cs="Arial"/>
                <w:lang w:val="sq-AL" w:eastAsia="el-GR"/>
              </w:rPr>
              <w:t xml:space="preserve">infrastrukture za </w:t>
            </w:r>
            <w:r>
              <w:rPr>
                <w:rFonts w:ascii="Arial" w:eastAsia="Times New Roman" w:hAnsi="Arial" w:cs="Arial"/>
                <w:lang w:val="sq-AL" w:eastAsia="el-GR"/>
              </w:rPr>
              <w:t>obradu</w:t>
            </w:r>
          </w:p>
        </w:tc>
        <w:tc>
          <w:tcPr>
            <w:tcW w:w="1101" w:type="pct"/>
            <w:shd w:val="clear" w:color="auto" w:fill="auto"/>
          </w:tcPr>
          <w:p w14:paraId="2CCA703F" w14:textId="6E462A15"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w:t>
            </w:r>
            <w:r w:rsidR="00514F96" w:rsidRPr="00B46B69">
              <w:rPr>
                <w:rFonts w:ascii="Arial" w:hAnsi="Arial" w:cs="Arial"/>
                <w:lang w:val="sq-AL" w:bidi="ar-AE"/>
              </w:rPr>
              <w:t>J</w:t>
            </w:r>
            <w:r w:rsidRPr="00B46B69">
              <w:rPr>
                <w:rFonts w:ascii="Arial" w:hAnsi="Arial" w:cs="Arial"/>
                <w:lang w:val="sq-AL" w:bidi="ar-AE"/>
              </w:rPr>
              <w:t>edinice lokalnih samouprava</w:t>
            </w:r>
            <w:r w:rsidRPr="002A6F4E">
              <w:rPr>
                <w:rFonts w:ascii="Arial" w:hAnsi="Arial" w:cs="Arial"/>
                <w:lang w:val="sq-AL"/>
              </w:rPr>
              <w:t>/</w:t>
            </w:r>
            <w:r w:rsidR="00E442FF">
              <w:rPr>
                <w:rFonts w:ascii="Arial" w:hAnsi="Arial" w:cs="Arial"/>
                <w:lang w:val="sq-AL" w:bidi="ar-AE"/>
              </w:rPr>
              <w:t>S</w:t>
            </w:r>
            <w:r w:rsidRPr="002A6F4E">
              <w:rPr>
                <w:rFonts w:ascii="Arial" w:hAnsi="Arial" w:cs="Arial"/>
                <w:lang w:val="sq-AL" w:bidi="ar-AE"/>
              </w:rPr>
              <w:t>istem EPR/</w:t>
            </w:r>
            <w:r w:rsidR="00E442FF">
              <w:rPr>
                <w:rFonts w:ascii="Arial" w:hAnsi="Arial" w:cs="Arial"/>
                <w:lang w:val="sq-AL" w:bidi="ar-AE"/>
              </w:rPr>
              <w:t>P</w:t>
            </w:r>
            <w:r w:rsidRPr="002A6F4E">
              <w:rPr>
                <w:rFonts w:ascii="Arial" w:hAnsi="Arial" w:cs="Arial"/>
                <w:lang w:val="sq-AL" w:bidi="ar-AE"/>
              </w:rPr>
              <w:t>rivatni sektor</w:t>
            </w:r>
          </w:p>
        </w:tc>
        <w:tc>
          <w:tcPr>
            <w:tcW w:w="508" w:type="pct"/>
            <w:shd w:val="clear" w:color="auto" w:fill="auto"/>
          </w:tcPr>
          <w:p w14:paraId="6D40EEBC" w14:textId="72C5D9F6" w:rsidR="00377063" w:rsidRPr="002A6F4E" w:rsidRDefault="00377063" w:rsidP="00F858D9">
            <w:pPr>
              <w:spacing w:before="40" w:after="40" w:line="360" w:lineRule="auto"/>
              <w:rPr>
                <w:rFonts w:ascii="Arial" w:hAnsi="Arial" w:cs="Arial"/>
                <w:lang w:val="sq-AL" w:bidi="ar-AE"/>
              </w:rPr>
            </w:pPr>
            <w:r w:rsidRPr="002A6F4E">
              <w:rPr>
                <w:rFonts w:ascii="Arial" w:hAnsi="Arial" w:cs="Arial"/>
                <w:lang w:val="sq-AL" w:bidi="ar-AE"/>
              </w:rPr>
              <w:t>2025-</w:t>
            </w:r>
            <w:r w:rsidR="00F858D9" w:rsidRPr="002A6F4E">
              <w:rPr>
                <w:rFonts w:ascii="Arial" w:hAnsi="Arial" w:cs="Arial"/>
                <w:lang w:val="sq-AL" w:bidi="ar-AE"/>
              </w:rPr>
              <w:t>2029</w:t>
            </w:r>
            <w:r w:rsidRPr="002A6F4E">
              <w:rPr>
                <w:rFonts w:ascii="Arial" w:hAnsi="Arial" w:cs="Arial"/>
                <w:lang w:val="sq-AL" w:bidi="ar-AE"/>
              </w:rPr>
              <w:t>.</w:t>
            </w:r>
          </w:p>
        </w:tc>
        <w:tc>
          <w:tcPr>
            <w:tcW w:w="1305" w:type="pct"/>
          </w:tcPr>
          <w:p w14:paraId="6F1397EF" w14:textId="696583CC" w:rsidR="00377063" w:rsidRPr="00B46B69" w:rsidRDefault="00377063" w:rsidP="00FE289C">
            <w:pPr>
              <w:spacing w:before="40" w:after="40" w:line="360" w:lineRule="auto"/>
              <w:rPr>
                <w:rFonts w:ascii="Arial" w:hAnsi="Arial" w:cs="Arial"/>
                <w:lang w:val="sq-AL" w:bidi="ar-AE"/>
              </w:rPr>
            </w:pPr>
            <w:r w:rsidRPr="00B46B69">
              <w:rPr>
                <w:rFonts w:ascii="Arial" w:hAnsi="Arial" w:cs="Arial"/>
                <w:lang w:val="sq-AL" w:bidi="ar-AE"/>
              </w:rPr>
              <w:t>Državni budžet</w:t>
            </w:r>
            <w:r w:rsidR="004744F3" w:rsidRPr="00B46B69">
              <w:rPr>
                <w:rFonts w:ascii="Arial" w:hAnsi="Arial" w:cs="Arial"/>
                <w:lang w:val="sq-AL" w:bidi="ar-AE"/>
              </w:rPr>
              <w:t>/</w:t>
            </w:r>
          </w:p>
          <w:p w14:paraId="5DB88C8E" w14:textId="767E1261" w:rsidR="00377063" w:rsidRPr="00B46B69" w:rsidRDefault="00377063" w:rsidP="00FE289C">
            <w:pPr>
              <w:spacing w:before="40" w:after="40" w:line="360" w:lineRule="auto"/>
              <w:rPr>
                <w:rFonts w:ascii="Arial" w:hAnsi="Arial" w:cs="Arial"/>
                <w:lang w:val="sq-AL" w:bidi="ar-AE"/>
              </w:rPr>
            </w:pPr>
            <w:r w:rsidRPr="00B46B69">
              <w:rPr>
                <w:rFonts w:ascii="Arial" w:hAnsi="Arial" w:cs="Arial"/>
                <w:lang w:val="sq-AL" w:bidi="ar-AE"/>
              </w:rPr>
              <w:t>Lokalni bud</w:t>
            </w:r>
            <w:r w:rsidR="004744F3" w:rsidRPr="00B46B69">
              <w:rPr>
                <w:rFonts w:ascii="Arial" w:hAnsi="Arial" w:cs="Arial"/>
                <w:lang w:val="sq-AL" w:bidi="ar-AE"/>
              </w:rPr>
              <w:t>ž</w:t>
            </w:r>
            <w:r w:rsidRPr="00B46B69">
              <w:rPr>
                <w:rFonts w:ascii="Arial" w:hAnsi="Arial" w:cs="Arial"/>
                <w:lang w:val="sq-AL" w:bidi="ar-AE"/>
              </w:rPr>
              <w:t>et</w:t>
            </w:r>
            <w:r w:rsidR="004744F3" w:rsidRPr="00B46B69">
              <w:rPr>
                <w:rFonts w:ascii="Arial" w:hAnsi="Arial" w:cs="Arial"/>
                <w:lang w:val="sq-AL" w:bidi="ar-AE"/>
              </w:rPr>
              <w:t>/</w:t>
            </w:r>
          </w:p>
          <w:p w14:paraId="0BF5109C" w14:textId="404C8E80" w:rsidR="00377063" w:rsidRPr="00B46B69" w:rsidRDefault="00377063" w:rsidP="00FE289C">
            <w:pPr>
              <w:spacing w:before="40" w:after="40" w:line="360" w:lineRule="auto"/>
              <w:rPr>
                <w:rFonts w:ascii="Arial" w:hAnsi="Arial" w:cs="Arial"/>
                <w:lang w:val="sq-AL" w:bidi="ar-AE"/>
              </w:rPr>
            </w:pPr>
            <w:r w:rsidRPr="00B46B69">
              <w:rPr>
                <w:rFonts w:ascii="Arial" w:hAnsi="Arial" w:cs="Arial"/>
                <w:lang w:val="sq-AL" w:bidi="ar-AE"/>
              </w:rPr>
              <w:t xml:space="preserve">EPR </w:t>
            </w:r>
            <w:r w:rsidR="004744F3" w:rsidRPr="00B46B69">
              <w:rPr>
                <w:rFonts w:ascii="Arial" w:hAnsi="Arial" w:cs="Arial"/>
                <w:lang w:val="sq-AL" w:bidi="ar-AE"/>
              </w:rPr>
              <w:t>sistem/</w:t>
            </w:r>
          </w:p>
          <w:p w14:paraId="538AEF29" w14:textId="2C8D4C6D"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Privatni se</w:t>
            </w:r>
            <w:r w:rsidR="00514F96">
              <w:rPr>
                <w:rFonts w:ascii="Arial" w:hAnsi="Arial" w:cs="Arial"/>
                <w:lang w:bidi="ar-AE"/>
              </w:rPr>
              <w:t>k</w:t>
            </w:r>
            <w:r w:rsidRPr="002A6F4E">
              <w:rPr>
                <w:rFonts w:ascii="Arial" w:hAnsi="Arial" w:cs="Arial"/>
                <w:lang w:bidi="ar-AE"/>
              </w:rPr>
              <w:t>tor</w:t>
            </w:r>
          </w:p>
        </w:tc>
      </w:tr>
      <w:tr w:rsidR="000F67ED" w:rsidRPr="002A6F4E" w14:paraId="67BEB51D" w14:textId="77777777" w:rsidTr="009754F4">
        <w:trPr>
          <w:jc w:val="center"/>
        </w:trPr>
        <w:tc>
          <w:tcPr>
            <w:tcW w:w="304" w:type="pct"/>
            <w:shd w:val="clear" w:color="auto" w:fill="auto"/>
          </w:tcPr>
          <w:p w14:paraId="411A8AA3" w14:textId="4FFF38A9"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514F96">
              <w:rPr>
                <w:rFonts w:ascii="Arial" w:hAnsi="Arial" w:cs="Arial"/>
                <w:lang w:val="sq-AL" w:bidi="ar-AE"/>
              </w:rPr>
              <w:t>26</w:t>
            </w:r>
          </w:p>
        </w:tc>
        <w:tc>
          <w:tcPr>
            <w:tcW w:w="518" w:type="pct"/>
            <w:shd w:val="clear" w:color="auto" w:fill="auto"/>
          </w:tcPr>
          <w:p w14:paraId="32456E26"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2C9F86F7" w14:textId="14C9527B" w:rsidR="00377063" w:rsidRPr="002A6F4E" w:rsidRDefault="00377063" w:rsidP="00FE289C">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Izgraditi </w:t>
            </w:r>
            <w:r w:rsidR="00514F96">
              <w:rPr>
                <w:rFonts w:ascii="Arial" w:eastAsia="Times New Roman" w:hAnsi="Arial" w:cs="Arial"/>
                <w:lang w:val="sq-AL" w:eastAsia="el-GR"/>
              </w:rPr>
              <w:t>informacioni</w:t>
            </w:r>
            <w:r w:rsidRPr="002A6F4E">
              <w:rPr>
                <w:rFonts w:ascii="Arial" w:eastAsia="Times New Roman" w:hAnsi="Arial" w:cs="Arial"/>
                <w:lang w:val="sq-AL" w:eastAsia="el-GR"/>
              </w:rPr>
              <w:t xml:space="preserve"> sistem u kojem je </w:t>
            </w:r>
            <w:r w:rsidR="00E442FF">
              <w:rPr>
                <w:rFonts w:ascii="Arial" w:eastAsia="Times New Roman" w:hAnsi="Arial" w:cs="Arial"/>
                <w:lang w:val="sq-AL" w:eastAsia="el-GR"/>
              </w:rPr>
              <w:t>prikazana</w:t>
            </w:r>
            <w:r w:rsidR="00E442FF" w:rsidRPr="002A6F4E">
              <w:rPr>
                <w:rFonts w:ascii="Arial" w:eastAsia="Times New Roman" w:hAnsi="Arial" w:cs="Arial"/>
                <w:lang w:val="sq-AL" w:eastAsia="el-GR"/>
              </w:rPr>
              <w:t xml:space="preserve"> </w:t>
            </w:r>
            <w:r w:rsidRPr="002A6F4E">
              <w:rPr>
                <w:rFonts w:ascii="Arial" w:eastAsia="Times New Roman" w:hAnsi="Arial" w:cs="Arial"/>
                <w:lang w:val="sq-AL" w:eastAsia="el-GR"/>
              </w:rPr>
              <w:t>prodaja baterija i akumulatora (spi</w:t>
            </w:r>
            <w:r w:rsidR="00514F96">
              <w:rPr>
                <w:rFonts w:ascii="Arial" w:eastAsia="Times New Roman" w:hAnsi="Arial" w:cs="Arial"/>
                <w:lang w:val="sq-AL" w:eastAsia="el-GR"/>
              </w:rPr>
              <w:t>s</w:t>
            </w:r>
            <w:r w:rsidRPr="002A6F4E">
              <w:rPr>
                <w:rFonts w:ascii="Arial" w:eastAsia="Times New Roman" w:hAnsi="Arial" w:cs="Arial"/>
                <w:lang w:val="sq-AL" w:eastAsia="el-GR"/>
              </w:rPr>
              <w:t>ak uvoznika</w:t>
            </w:r>
            <w:r w:rsidR="00514F96">
              <w:rPr>
                <w:rFonts w:ascii="Arial" w:eastAsia="Times New Roman" w:hAnsi="Arial" w:cs="Arial"/>
                <w:lang w:val="sq-AL" w:eastAsia="el-GR"/>
              </w:rPr>
              <w:t xml:space="preserve">, </w:t>
            </w:r>
            <w:r w:rsidRPr="002A6F4E">
              <w:rPr>
                <w:rFonts w:ascii="Arial" w:eastAsia="Times New Roman" w:hAnsi="Arial" w:cs="Arial"/>
                <w:lang w:val="sq-AL" w:eastAsia="el-GR"/>
              </w:rPr>
              <w:t xml:space="preserve">izvoznika i izvršene kontrole prekograničnog saobraćaja) </w:t>
            </w:r>
          </w:p>
        </w:tc>
        <w:tc>
          <w:tcPr>
            <w:tcW w:w="1101" w:type="pct"/>
            <w:shd w:val="clear" w:color="auto" w:fill="auto"/>
          </w:tcPr>
          <w:p w14:paraId="7F097F6D" w14:textId="0684261C" w:rsidR="00377063" w:rsidRPr="002A6F4E" w:rsidRDefault="00514F96" w:rsidP="00FE289C">
            <w:pPr>
              <w:spacing w:before="40" w:after="40" w:line="360" w:lineRule="auto"/>
              <w:rPr>
                <w:rFonts w:ascii="Arial" w:hAnsi="Arial" w:cs="Arial"/>
                <w:lang w:val="sq-AL" w:bidi="ar-AE"/>
              </w:rPr>
            </w:pPr>
            <w:r>
              <w:rPr>
                <w:rFonts w:ascii="Arial" w:hAnsi="Arial" w:cs="Arial"/>
                <w:lang w:val="sq-AL"/>
              </w:rPr>
              <w:t>AZŽS/</w:t>
            </w:r>
            <w:r w:rsidR="00377063" w:rsidRPr="002A6F4E">
              <w:rPr>
                <w:rFonts w:ascii="Arial" w:hAnsi="Arial" w:cs="Arial"/>
                <w:lang w:val="sq-AL"/>
              </w:rPr>
              <w:t>MERS</w:t>
            </w:r>
            <w:r w:rsidR="00377063" w:rsidRPr="002A6F4E">
              <w:rPr>
                <w:rFonts w:ascii="Arial" w:hAnsi="Arial" w:cs="Arial"/>
                <w:lang w:val="sq-AL" w:bidi="ar-AE"/>
              </w:rPr>
              <w:t xml:space="preserve"> / MF</w:t>
            </w:r>
          </w:p>
        </w:tc>
        <w:tc>
          <w:tcPr>
            <w:tcW w:w="508" w:type="pct"/>
            <w:shd w:val="clear" w:color="auto" w:fill="auto"/>
          </w:tcPr>
          <w:p w14:paraId="2A6A86AA"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2025-2027.</w:t>
            </w:r>
          </w:p>
        </w:tc>
        <w:tc>
          <w:tcPr>
            <w:tcW w:w="1305" w:type="pct"/>
          </w:tcPr>
          <w:p w14:paraId="1172449B" w14:textId="362C3104"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bidi="ar-AE"/>
              </w:rPr>
              <w:t>Državni budžet</w:t>
            </w:r>
            <w:r w:rsidR="00514F96">
              <w:rPr>
                <w:rFonts w:ascii="Arial" w:hAnsi="Arial" w:cs="Arial"/>
                <w:lang w:bidi="ar-AE"/>
              </w:rPr>
              <w:t>/</w:t>
            </w:r>
            <w:r w:rsidRPr="002A6F4E">
              <w:rPr>
                <w:rFonts w:ascii="Arial" w:hAnsi="Arial" w:cs="Arial"/>
                <w:lang w:val="sq-AL" w:bidi="ar-AE"/>
              </w:rPr>
              <w:t>Donatori</w:t>
            </w:r>
            <w:r w:rsidR="00514F96">
              <w:rPr>
                <w:rFonts w:ascii="Arial" w:hAnsi="Arial" w:cs="Arial"/>
                <w:lang w:val="sq-AL" w:bidi="ar-AE"/>
              </w:rPr>
              <w:t>/</w:t>
            </w:r>
            <w:r w:rsidR="00E442FF">
              <w:rPr>
                <w:rFonts w:ascii="Arial" w:hAnsi="Arial" w:cs="Arial"/>
                <w:lang w:val="sq-AL" w:bidi="ar-AE"/>
              </w:rPr>
              <w:t xml:space="preserve"> </w:t>
            </w:r>
            <w:r w:rsidR="00514F96">
              <w:rPr>
                <w:rFonts w:ascii="Arial" w:hAnsi="Arial" w:cs="Arial"/>
                <w:lang w:val="sq-AL" w:bidi="ar-AE"/>
              </w:rPr>
              <w:t>Međunarodne finansijske institucije</w:t>
            </w:r>
          </w:p>
        </w:tc>
      </w:tr>
      <w:tr w:rsidR="000F67ED" w:rsidRPr="002A6F4E" w14:paraId="6BCCC00D" w14:textId="77777777" w:rsidTr="009754F4">
        <w:trPr>
          <w:jc w:val="center"/>
        </w:trPr>
        <w:tc>
          <w:tcPr>
            <w:tcW w:w="304" w:type="pct"/>
            <w:shd w:val="clear" w:color="auto" w:fill="auto"/>
          </w:tcPr>
          <w:p w14:paraId="1A370C54" w14:textId="47F89553"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0816D9">
              <w:rPr>
                <w:rFonts w:ascii="Arial" w:hAnsi="Arial" w:cs="Arial"/>
                <w:lang w:val="sq-AL" w:bidi="ar-AE"/>
              </w:rPr>
              <w:t>27</w:t>
            </w:r>
          </w:p>
        </w:tc>
        <w:tc>
          <w:tcPr>
            <w:tcW w:w="518" w:type="pct"/>
            <w:shd w:val="clear" w:color="auto" w:fill="auto"/>
          </w:tcPr>
          <w:p w14:paraId="4CE0B07B"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 xml:space="preserve">FM </w:t>
            </w:r>
          </w:p>
        </w:tc>
        <w:tc>
          <w:tcPr>
            <w:tcW w:w="1264" w:type="pct"/>
            <w:shd w:val="clear" w:color="auto" w:fill="auto"/>
          </w:tcPr>
          <w:p w14:paraId="62DF40D6" w14:textId="77777777" w:rsidR="00377063" w:rsidRPr="002A6F4E" w:rsidRDefault="00377063" w:rsidP="00FE289C">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Obezbjeđivanje podsticaja za razvoj lokalnih industrija koje bi reciklirale olovnu kiselinu i akumulatore koji sadrže Ni – Cd </w:t>
            </w:r>
          </w:p>
        </w:tc>
        <w:tc>
          <w:tcPr>
            <w:tcW w:w="1101" w:type="pct"/>
            <w:shd w:val="clear" w:color="auto" w:fill="auto"/>
          </w:tcPr>
          <w:p w14:paraId="29C74FFF"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 xml:space="preserve"> / MF</w:t>
            </w:r>
          </w:p>
        </w:tc>
        <w:tc>
          <w:tcPr>
            <w:tcW w:w="508" w:type="pct"/>
            <w:shd w:val="clear" w:color="auto" w:fill="auto"/>
          </w:tcPr>
          <w:p w14:paraId="5E54C5F2"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2025-2027.</w:t>
            </w:r>
          </w:p>
        </w:tc>
        <w:tc>
          <w:tcPr>
            <w:tcW w:w="1305" w:type="pct"/>
          </w:tcPr>
          <w:p w14:paraId="753ACCB9" w14:textId="7BE36528" w:rsidR="00377063" w:rsidRPr="002A6F4E" w:rsidRDefault="00595241" w:rsidP="00FE289C">
            <w:pPr>
              <w:spacing w:before="40" w:after="40" w:line="360" w:lineRule="auto"/>
              <w:rPr>
                <w:rFonts w:ascii="Arial" w:hAnsi="Arial" w:cs="Arial"/>
                <w:lang w:val="sq-AL" w:bidi="ar-AE"/>
              </w:rPr>
            </w:pPr>
            <w:r>
              <w:rPr>
                <w:rFonts w:ascii="Arial" w:hAnsi="Arial" w:cs="Arial"/>
                <w:lang w:val="sq-AL" w:bidi="ar-AE"/>
              </w:rPr>
              <w:t>Eko fond/Donatori</w:t>
            </w:r>
            <w:r w:rsidR="00E442FF">
              <w:t xml:space="preserve"> /</w:t>
            </w:r>
            <w:r w:rsidR="00E442FF" w:rsidRPr="00E442FF">
              <w:rPr>
                <w:rFonts w:ascii="Arial" w:hAnsi="Arial" w:cs="Arial"/>
                <w:lang w:val="sq-AL" w:bidi="ar-AE"/>
              </w:rPr>
              <w:t>Međunarodne finansijske institucije</w:t>
            </w:r>
          </w:p>
        </w:tc>
      </w:tr>
      <w:tr w:rsidR="00377063" w:rsidRPr="0014164F" w14:paraId="21D38D58" w14:textId="77777777" w:rsidTr="009754F4">
        <w:trPr>
          <w:trHeight w:val="780"/>
          <w:jc w:val="center"/>
        </w:trPr>
        <w:tc>
          <w:tcPr>
            <w:tcW w:w="3695" w:type="pct"/>
            <w:gridSpan w:val="5"/>
            <w:shd w:val="clear" w:color="auto" w:fill="EDEDED" w:themeFill="accent3" w:themeFillTint="33"/>
          </w:tcPr>
          <w:p w14:paraId="28F0B3D3" w14:textId="77777777" w:rsidR="00377063" w:rsidRPr="002A6F4E" w:rsidRDefault="00377063" w:rsidP="00FE289C">
            <w:pPr>
              <w:spacing w:before="40" w:after="40" w:line="360" w:lineRule="auto"/>
              <w:rPr>
                <w:rFonts w:ascii="Arial" w:hAnsi="Arial" w:cs="Arial"/>
                <w:b/>
                <w:lang w:val="sq-AL" w:bidi="ar-AE"/>
              </w:rPr>
            </w:pPr>
            <w:r w:rsidRPr="002A6F4E">
              <w:rPr>
                <w:rFonts w:ascii="Arial" w:hAnsi="Arial" w:cs="Arial"/>
                <w:b/>
                <w:lang w:val="sq-AL" w:bidi="ar-AE"/>
              </w:rPr>
              <w:t>Posebni cilj VIIe: Otpadne gume</w:t>
            </w:r>
          </w:p>
          <w:p w14:paraId="352F7E4B" w14:textId="77777777"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Pratiti količine guma kojima se trguje u Crnoj Gori.</w:t>
            </w:r>
          </w:p>
          <w:p w14:paraId="7A0CD883" w14:textId="5DE41BEC"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202</w:t>
            </w:r>
            <w:r w:rsidR="000816D9">
              <w:rPr>
                <w:rFonts w:ascii="Arial" w:hAnsi="Arial" w:cs="Arial"/>
                <w:i/>
                <w:lang w:val="sq-AL" w:bidi="ar-AE"/>
              </w:rPr>
              <w:t>7</w:t>
            </w:r>
            <w:r w:rsidRPr="002A6F4E">
              <w:rPr>
                <w:rFonts w:ascii="Arial" w:hAnsi="Arial" w:cs="Arial"/>
                <w:i/>
                <w:lang w:val="sq-AL" w:bidi="ar-AE"/>
              </w:rPr>
              <w:t>. godine, odvojeno sakupljati najmanje 50% otpadnih guma koje se proizvedu na godišnjem nivou.</w:t>
            </w:r>
          </w:p>
          <w:p w14:paraId="097BC00B" w14:textId="7677751E" w:rsidR="00377063" w:rsidRPr="000816D9"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B46B69">
              <w:rPr>
                <w:rFonts w:ascii="Arial" w:hAnsi="Arial" w:cs="Arial"/>
                <w:i/>
                <w:lang w:val="sq-AL" w:bidi="ar-AE"/>
              </w:rPr>
              <w:t xml:space="preserve">Do </w:t>
            </w:r>
            <w:r w:rsidR="00F858D9" w:rsidRPr="00B46B69">
              <w:rPr>
                <w:rFonts w:ascii="Arial" w:hAnsi="Arial" w:cs="Arial"/>
                <w:i/>
                <w:lang w:val="sq-AL" w:bidi="ar-AE"/>
              </w:rPr>
              <w:t>2029</w:t>
            </w:r>
            <w:r w:rsidRPr="00B46B69">
              <w:rPr>
                <w:rFonts w:ascii="Arial" w:hAnsi="Arial" w:cs="Arial"/>
                <w:i/>
                <w:lang w:val="sq-AL" w:bidi="ar-AE"/>
              </w:rPr>
              <w:t>. godine</w:t>
            </w:r>
            <w:r w:rsidRPr="002A6F4E">
              <w:rPr>
                <w:rFonts w:ascii="Arial" w:hAnsi="Arial" w:cs="Arial"/>
                <w:i/>
                <w:lang w:val="sq-AL" w:bidi="ar-AE"/>
              </w:rPr>
              <w:t xml:space="preserve">, odvojeno sakupljati najmanje 80% otpadnih guma koje se proizvedu na godišnjem nivou. </w:t>
            </w:r>
          </w:p>
        </w:tc>
        <w:tc>
          <w:tcPr>
            <w:tcW w:w="1305" w:type="pct"/>
            <w:shd w:val="clear" w:color="auto" w:fill="EDEDED" w:themeFill="accent3" w:themeFillTint="33"/>
          </w:tcPr>
          <w:p w14:paraId="6B832948" w14:textId="77777777" w:rsidR="00377063" w:rsidRPr="002A6F4E" w:rsidRDefault="00377063" w:rsidP="00FE289C">
            <w:pPr>
              <w:spacing w:before="40" w:after="40" w:line="360" w:lineRule="auto"/>
              <w:rPr>
                <w:rFonts w:ascii="Arial" w:hAnsi="Arial" w:cs="Arial"/>
                <w:b/>
                <w:lang w:val="sq-AL" w:bidi="ar-AE"/>
              </w:rPr>
            </w:pPr>
          </w:p>
        </w:tc>
      </w:tr>
      <w:tr w:rsidR="000F67ED" w:rsidRPr="002A6F4E" w14:paraId="016DD1FF" w14:textId="77777777" w:rsidTr="009754F4">
        <w:trPr>
          <w:jc w:val="center"/>
        </w:trPr>
        <w:tc>
          <w:tcPr>
            <w:tcW w:w="304" w:type="pct"/>
            <w:shd w:val="clear" w:color="auto" w:fill="auto"/>
          </w:tcPr>
          <w:p w14:paraId="4BE228E2" w14:textId="0003836A"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lastRenderedPageBreak/>
              <w:t>4.</w:t>
            </w:r>
            <w:r w:rsidR="000816D9">
              <w:rPr>
                <w:rFonts w:ascii="Arial" w:hAnsi="Arial" w:cs="Arial"/>
                <w:lang w:val="sq-AL" w:bidi="ar-AE"/>
              </w:rPr>
              <w:t>28</w:t>
            </w:r>
          </w:p>
        </w:tc>
        <w:tc>
          <w:tcPr>
            <w:tcW w:w="518" w:type="pct"/>
            <w:shd w:val="clear" w:color="auto" w:fill="auto"/>
          </w:tcPr>
          <w:p w14:paraId="3E473D9E"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4E13B63B" w14:textId="2431A2D6" w:rsidR="00377063" w:rsidRPr="002A6F4E" w:rsidRDefault="00377063" w:rsidP="00FE289C">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Izgraditi </w:t>
            </w:r>
            <w:r w:rsidR="000816D9">
              <w:rPr>
                <w:rFonts w:ascii="Arial" w:eastAsia="Times New Roman" w:hAnsi="Arial" w:cs="Arial"/>
                <w:lang w:val="sq-AL" w:eastAsia="el-GR"/>
              </w:rPr>
              <w:t>informacioni</w:t>
            </w:r>
            <w:r w:rsidRPr="002A6F4E">
              <w:rPr>
                <w:rFonts w:ascii="Arial" w:eastAsia="Times New Roman" w:hAnsi="Arial" w:cs="Arial"/>
                <w:lang w:val="sq-AL" w:eastAsia="el-GR"/>
              </w:rPr>
              <w:t xml:space="preserve"> sistem u kojem </w:t>
            </w:r>
            <w:r w:rsidR="003306AE">
              <w:rPr>
                <w:rFonts w:ascii="Arial" w:eastAsia="Times New Roman" w:hAnsi="Arial" w:cs="Arial"/>
                <w:lang w:val="sq-AL" w:eastAsia="el-GR"/>
              </w:rPr>
              <w:t>je prikazana</w:t>
            </w:r>
            <w:r w:rsidR="003306AE" w:rsidRPr="002A6F4E">
              <w:rPr>
                <w:rFonts w:ascii="Arial" w:eastAsia="Times New Roman" w:hAnsi="Arial" w:cs="Arial"/>
                <w:lang w:val="sq-AL" w:eastAsia="el-GR"/>
              </w:rPr>
              <w:t xml:space="preserve"> </w:t>
            </w:r>
            <w:r w:rsidRPr="002A6F4E">
              <w:rPr>
                <w:rFonts w:ascii="Arial" w:eastAsia="Times New Roman" w:hAnsi="Arial" w:cs="Arial"/>
                <w:lang w:val="sq-AL" w:eastAsia="el-GR"/>
              </w:rPr>
              <w:t>prodaja guma (spisak uvoznika i izvoznika i izvršene kontrole prekograničnog saobraćaja)</w:t>
            </w:r>
          </w:p>
        </w:tc>
        <w:tc>
          <w:tcPr>
            <w:tcW w:w="1101" w:type="pct"/>
            <w:shd w:val="clear" w:color="auto" w:fill="auto"/>
          </w:tcPr>
          <w:p w14:paraId="6542DB7C" w14:textId="1036D5D8" w:rsidR="00377063" w:rsidRPr="002A6F4E" w:rsidRDefault="000816D9" w:rsidP="00FE289C">
            <w:pPr>
              <w:spacing w:before="40" w:after="40" w:line="360" w:lineRule="auto"/>
              <w:rPr>
                <w:rFonts w:ascii="Arial" w:hAnsi="Arial" w:cs="Arial"/>
                <w:lang w:val="sq-AL" w:bidi="ar-AE"/>
              </w:rPr>
            </w:pPr>
            <w:r>
              <w:rPr>
                <w:rFonts w:ascii="Arial" w:hAnsi="Arial" w:cs="Arial"/>
                <w:lang w:val="sq-AL"/>
              </w:rPr>
              <w:t>AZŽS/</w:t>
            </w:r>
            <w:r w:rsidR="00377063" w:rsidRPr="002A6F4E">
              <w:rPr>
                <w:rFonts w:ascii="Arial" w:hAnsi="Arial" w:cs="Arial"/>
                <w:lang w:val="sq-AL"/>
              </w:rPr>
              <w:t>MERS</w:t>
            </w:r>
            <w:r w:rsidR="00377063" w:rsidRPr="002A6F4E">
              <w:rPr>
                <w:rFonts w:ascii="Arial" w:hAnsi="Arial" w:cs="Arial"/>
                <w:lang w:val="sq-AL" w:bidi="ar-AE"/>
              </w:rPr>
              <w:t>/MF</w:t>
            </w:r>
          </w:p>
        </w:tc>
        <w:tc>
          <w:tcPr>
            <w:tcW w:w="508" w:type="pct"/>
            <w:shd w:val="clear" w:color="auto" w:fill="auto"/>
          </w:tcPr>
          <w:p w14:paraId="50EB0D05"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2025-2027.</w:t>
            </w:r>
          </w:p>
        </w:tc>
        <w:tc>
          <w:tcPr>
            <w:tcW w:w="1305" w:type="pct"/>
          </w:tcPr>
          <w:p w14:paraId="78307A09" w14:textId="77777777" w:rsidR="000816D9" w:rsidRPr="000816D9" w:rsidRDefault="000816D9" w:rsidP="000816D9">
            <w:pPr>
              <w:spacing w:before="40" w:after="40" w:line="360" w:lineRule="auto"/>
              <w:rPr>
                <w:rFonts w:ascii="Arial" w:hAnsi="Arial" w:cs="Arial"/>
                <w:lang w:bidi="ar-AE"/>
              </w:rPr>
            </w:pPr>
            <w:r w:rsidRPr="000816D9">
              <w:rPr>
                <w:rFonts w:ascii="Arial" w:hAnsi="Arial" w:cs="Arial"/>
                <w:lang w:bidi="ar-AE"/>
              </w:rPr>
              <w:t>Državni budžet/</w:t>
            </w:r>
          </w:p>
          <w:p w14:paraId="3AB30905" w14:textId="76C6B6A2" w:rsidR="00377063" w:rsidRPr="002A6F4E" w:rsidRDefault="000816D9" w:rsidP="000816D9">
            <w:pPr>
              <w:spacing w:before="40" w:after="40" w:line="360" w:lineRule="auto"/>
              <w:rPr>
                <w:rFonts w:ascii="Arial" w:hAnsi="Arial" w:cs="Arial"/>
                <w:lang w:val="sq-AL" w:bidi="ar-AE"/>
              </w:rPr>
            </w:pPr>
            <w:r w:rsidRPr="000816D9">
              <w:rPr>
                <w:rFonts w:ascii="Arial" w:hAnsi="Arial" w:cs="Arial"/>
                <w:lang w:bidi="ar-AE"/>
              </w:rPr>
              <w:t>Donatori/ Međunarodne finansijske institucije</w:t>
            </w:r>
          </w:p>
        </w:tc>
      </w:tr>
      <w:tr w:rsidR="000F67ED" w:rsidRPr="002A6F4E" w14:paraId="0B11B003" w14:textId="77777777" w:rsidTr="009754F4">
        <w:trPr>
          <w:jc w:val="center"/>
        </w:trPr>
        <w:tc>
          <w:tcPr>
            <w:tcW w:w="304" w:type="pct"/>
            <w:shd w:val="clear" w:color="auto" w:fill="auto"/>
          </w:tcPr>
          <w:p w14:paraId="6D1DDA8F" w14:textId="5507BF5A"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0816D9">
              <w:rPr>
                <w:rFonts w:ascii="Arial" w:hAnsi="Arial" w:cs="Arial"/>
                <w:lang w:val="sq-AL" w:bidi="ar-AE"/>
              </w:rPr>
              <w:t>29</w:t>
            </w:r>
          </w:p>
        </w:tc>
        <w:tc>
          <w:tcPr>
            <w:tcW w:w="518" w:type="pct"/>
            <w:shd w:val="clear" w:color="auto" w:fill="auto"/>
          </w:tcPr>
          <w:p w14:paraId="2D567F43"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 xml:space="preserve">OAM </w:t>
            </w:r>
          </w:p>
        </w:tc>
        <w:tc>
          <w:tcPr>
            <w:tcW w:w="1264" w:type="pct"/>
            <w:shd w:val="clear" w:color="auto" w:fill="auto"/>
          </w:tcPr>
          <w:p w14:paraId="6A5CEE27" w14:textId="77777777" w:rsidR="00377063" w:rsidRPr="002A6F4E" w:rsidRDefault="00377063" w:rsidP="00FE289C">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Saradnja sa trgovcima i mjestima na kojima se očekuje visoki nivo proizvodnje otpadnih guma (npr. radionice i vulkanizeri)</w:t>
            </w:r>
          </w:p>
        </w:tc>
        <w:tc>
          <w:tcPr>
            <w:tcW w:w="1101" w:type="pct"/>
            <w:shd w:val="clear" w:color="auto" w:fill="auto"/>
          </w:tcPr>
          <w:p w14:paraId="0A292C95" w14:textId="4B114ED9" w:rsidR="00377063" w:rsidRPr="002A6F4E" w:rsidRDefault="00E060FD" w:rsidP="00FE289C">
            <w:pPr>
              <w:spacing w:before="40" w:after="40" w:line="360" w:lineRule="auto"/>
              <w:rPr>
                <w:rFonts w:ascii="Arial" w:hAnsi="Arial" w:cs="Arial"/>
                <w:lang w:val="sq-AL" w:bidi="ar-AE"/>
              </w:rPr>
            </w:pPr>
            <w:r>
              <w:rPr>
                <w:rFonts w:ascii="Arial" w:hAnsi="Arial" w:cs="Arial"/>
                <w:lang w:val="sq-AL"/>
              </w:rPr>
              <w:t>AZŽS/</w:t>
            </w:r>
            <w:r w:rsidR="00377063" w:rsidRPr="002A6F4E">
              <w:rPr>
                <w:rFonts w:ascii="Arial" w:hAnsi="Arial" w:cs="Arial"/>
                <w:lang w:val="sq-AL"/>
              </w:rPr>
              <w:t>MERS</w:t>
            </w:r>
            <w:r w:rsidR="00377063" w:rsidRPr="002A6F4E">
              <w:rPr>
                <w:rFonts w:ascii="Arial" w:hAnsi="Arial" w:cs="Arial"/>
                <w:lang w:val="sq-AL" w:bidi="ar-AE"/>
              </w:rPr>
              <w:t>/</w:t>
            </w:r>
            <w:r w:rsidR="003306AE">
              <w:rPr>
                <w:rFonts w:ascii="Arial" w:hAnsi="Arial" w:cs="Arial"/>
                <w:lang w:val="sq-AL" w:bidi="ar-AE"/>
              </w:rPr>
              <w:t>S</w:t>
            </w:r>
            <w:r w:rsidR="00377063" w:rsidRPr="002A6F4E">
              <w:rPr>
                <w:rFonts w:ascii="Arial" w:hAnsi="Arial" w:cs="Arial"/>
                <w:lang w:val="sq-AL" w:bidi="ar-AE"/>
              </w:rPr>
              <w:t>istem EPR /</w:t>
            </w:r>
            <w:r w:rsidR="003306AE">
              <w:rPr>
                <w:rFonts w:ascii="Arial" w:hAnsi="Arial" w:cs="Arial"/>
                <w:lang w:val="sq-AL" w:bidi="ar-AE"/>
              </w:rPr>
              <w:t>P</w:t>
            </w:r>
            <w:r w:rsidR="00377063" w:rsidRPr="002A6F4E">
              <w:rPr>
                <w:rFonts w:ascii="Arial" w:hAnsi="Arial" w:cs="Arial"/>
                <w:lang w:val="sq-AL" w:bidi="ar-AE"/>
              </w:rPr>
              <w:t>rivatni sektor</w:t>
            </w:r>
          </w:p>
        </w:tc>
        <w:tc>
          <w:tcPr>
            <w:tcW w:w="508" w:type="pct"/>
            <w:shd w:val="clear" w:color="auto" w:fill="auto"/>
          </w:tcPr>
          <w:p w14:paraId="689FFE82" w14:textId="6282A40A" w:rsidR="00377063" w:rsidRPr="002A6F4E" w:rsidRDefault="00377063" w:rsidP="00F858D9">
            <w:pPr>
              <w:spacing w:before="40" w:after="40" w:line="360" w:lineRule="auto"/>
              <w:rPr>
                <w:rFonts w:ascii="Arial" w:hAnsi="Arial" w:cs="Arial"/>
                <w:lang w:val="sq-AL" w:bidi="ar-AE"/>
              </w:rPr>
            </w:pPr>
            <w:r w:rsidRPr="002A6F4E">
              <w:rPr>
                <w:rFonts w:ascii="Arial" w:hAnsi="Arial" w:cs="Arial"/>
                <w:lang w:val="sq-AL" w:bidi="ar-AE"/>
              </w:rPr>
              <w:t>2025-</w:t>
            </w:r>
            <w:r w:rsidR="00F858D9" w:rsidRPr="002A6F4E">
              <w:rPr>
                <w:rFonts w:ascii="Arial" w:hAnsi="Arial" w:cs="Arial"/>
                <w:lang w:val="sq-AL" w:bidi="ar-AE"/>
              </w:rPr>
              <w:t>2029</w:t>
            </w:r>
            <w:r w:rsidRPr="002A6F4E">
              <w:rPr>
                <w:rFonts w:ascii="Arial" w:hAnsi="Arial" w:cs="Arial"/>
                <w:lang w:val="sq-AL" w:bidi="ar-AE"/>
              </w:rPr>
              <w:t>.</w:t>
            </w:r>
          </w:p>
        </w:tc>
        <w:tc>
          <w:tcPr>
            <w:tcW w:w="1305" w:type="pct"/>
          </w:tcPr>
          <w:p w14:paraId="5CF3ABC6" w14:textId="5C1DC572" w:rsidR="00377063" w:rsidRPr="002A6F4E" w:rsidRDefault="000816D9" w:rsidP="00FE289C">
            <w:pPr>
              <w:spacing w:before="40" w:after="40" w:line="360" w:lineRule="auto"/>
              <w:rPr>
                <w:rFonts w:ascii="Arial" w:hAnsi="Arial" w:cs="Arial"/>
                <w:lang w:val="sq-AL" w:bidi="ar-AE"/>
              </w:rPr>
            </w:pPr>
            <w:r>
              <w:rPr>
                <w:rFonts w:ascii="Arial" w:hAnsi="Arial" w:cs="Arial"/>
                <w:lang w:val="sq-AL" w:bidi="ar-AE"/>
              </w:rPr>
              <w:t>/</w:t>
            </w:r>
          </w:p>
        </w:tc>
      </w:tr>
      <w:tr w:rsidR="000F67ED" w:rsidRPr="0014164F" w14:paraId="2A175224" w14:textId="77777777" w:rsidTr="009754F4">
        <w:trPr>
          <w:jc w:val="center"/>
        </w:trPr>
        <w:tc>
          <w:tcPr>
            <w:tcW w:w="304" w:type="pct"/>
            <w:shd w:val="clear" w:color="auto" w:fill="auto"/>
          </w:tcPr>
          <w:p w14:paraId="409A17D7" w14:textId="078FBCC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4.</w:t>
            </w:r>
            <w:r w:rsidR="00E060FD">
              <w:rPr>
                <w:rFonts w:ascii="Arial" w:hAnsi="Arial" w:cs="Arial"/>
                <w:lang w:val="sq-AL" w:bidi="ar-AE"/>
              </w:rPr>
              <w:t>30</w:t>
            </w:r>
          </w:p>
        </w:tc>
        <w:tc>
          <w:tcPr>
            <w:tcW w:w="518" w:type="pct"/>
            <w:shd w:val="clear" w:color="auto" w:fill="auto"/>
          </w:tcPr>
          <w:p w14:paraId="72916825" w14:textId="77777777"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FM / IM</w:t>
            </w:r>
          </w:p>
        </w:tc>
        <w:tc>
          <w:tcPr>
            <w:tcW w:w="1264" w:type="pct"/>
            <w:shd w:val="clear" w:color="auto" w:fill="auto"/>
          </w:tcPr>
          <w:p w14:paraId="4F5559DD" w14:textId="720AA7C8" w:rsidR="00377063" w:rsidRPr="002A6F4E" w:rsidRDefault="00377063" w:rsidP="00FE289C">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Davanje podsticaja za korišćenje otpadnih guma i uspostavljanje objekata za recikl</w:t>
            </w:r>
            <w:r w:rsidR="003306AE">
              <w:rPr>
                <w:rFonts w:ascii="Arial" w:eastAsia="Times New Roman" w:hAnsi="Arial" w:cs="Arial"/>
                <w:lang w:val="sq-AL" w:eastAsia="el-GR"/>
              </w:rPr>
              <w:t>iranje</w:t>
            </w:r>
            <w:r w:rsidRPr="002A6F4E">
              <w:rPr>
                <w:rFonts w:ascii="Arial" w:eastAsia="Times New Roman" w:hAnsi="Arial" w:cs="Arial"/>
                <w:lang w:val="sq-AL" w:eastAsia="el-GR"/>
              </w:rPr>
              <w:t xml:space="preserve"> guma</w:t>
            </w:r>
          </w:p>
        </w:tc>
        <w:tc>
          <w:tcPr>
            <w:tcW w:w="1101" w:type="pct"/>
            <w:shd w:val="clear" w:color="auto" w:fill="auto"/>
          </w:tcPr>
          <w:p w14:paraId="18654808" w14:textId="7DBF236E"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 MF/</w:t>
            </w:r>
            <w:r w:rsidR="003306AE">
              <w:rPr>
                <w:rFonts w:ascii="Arial" w:hAnsi="Arial" w:cs="Arial"/>
                <w:lang w:val="sq-AL" w:bidi="ar-AE"/>
              </w:rPr>
              <w:t>S</w:t>
            </w:r>
            <w:r w:rsidRPr="002A6F4E">
              <w:rPr>
                <w:rFonts w:ascii="Arial" w:hAnsi="Arial" w:cs="Arial"/>
                <w:lang w:val="sq-AL" w:bidi="ar-AE"/>
              </w:rPr>
              <w:t>istem EPR / privatni sektor</w:t>
            </w:r>
          </w:p>
        </w:tc>
        <w:tc>
          <w:tcPr>
            <w:tcW w:w="508" w:type="pct"/>
            <w:shd w:val="clear" w:color="auto" w:fill="auto"/>
          </w:tcPr>
          <w:p w14:paraId="00891F18" w14:textId="0442B51A" w:rsidR="00377063" w:rsidRPr="002A6F4E" w:rsidRDefault="00377063" w:rsidP="00F858D9">
            <w:pPr>
              <w:spacing w:before="40" w:after="40" w:line="360" w:lineRule="auto"/>
              <w:rPr>
                <w:rFonts w:ascii="Arial" w:hAnsi="Arial" w:cs="Arial"/>
                <w:lang w:val="sq-AL" w:bidi="ar-AE"/>
              </w:rPr>
            </w:pPr>
            <w:r w:rsidRPr="002A6F4E">
              <w:rPr>
                <w:rFonts w:ascii="Arial" w:hAnsi="Arial" w:cs="Arial"/>
                <w:lang w:val="sq-AL" w:bidi="ar-AE"/>
              </w:rPr>
              <w:t>2025-</w:t>
            </w:r>
            <w:r w:rsidR="00F858D9" w:rsidRPr="002A6F4E">
              <w:rPr>
                <w:rFonts w:ascii="Arial" w:hAnsi="Arial" w:cs="Arial"/>
                <w:lang w:val="sq-AL" w:bidi="ar-AE"/>
              </w:rPr>
              <w:t>2029</w:t>
            </w:r>
            <w:r w:rsidRPr="002A6F4E">
              <w:rPr>
                <w:rFonts w:ascii="Arial" w:hAnsi="Arial" w:cs="Arial"/>
                <w:lang w:val="sq-AL" w:bidi="ar-AE"/>
              </w:rPr>
              <w:t>.</w:t>
            </w:r>
          </w:p>
        </w:tc>
        <w:tc>
          <w:tcPr>
            <w:tcW w:w="1305" w:type="pct"/>
          </w:tcPr>
          <w:p w14:paraId="277A9A70" w14:textId="48CEBF96"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Državni budžet</w:t>
            </w:r>
            <w:r w:rsidR="00E060FD">
              <w:rPr>
                <w:rFonts w:ascii="Arial" w:hAnsi="Arial" w:cs="Arial"/>
                <w:lang w:val="sq-AL" w:bidi="ar-AE"/>
              </w:rPr>
              <w:t>/</w:t>
            </w:r>
          </w:p>
          <w:p w14:paraId="3E56FC3C" w14:textId="28BF34BD" w:rsidR="00377063" w:rsidRPr="002A6F4E" w:rsidRDefault="00377063" w:rsidP="00FE289C">
            <w:pPr>
              <w:spacing w:before="40" w:after="40" w:line="360" w:lineRule="auto"/>
              <w:rPr>
                <w:rFonts w:ascii="Arial" w:hAnsi="Arial" w:cs="Arial"/>
                <w:lang w:val="sq-AL" w:bidi="ar-AE"/>
              </w:rPr>
            </w:pPr>
            <w:r w:rsidRPr="002A6F4E">
              <w:rPr>
                <w:rFonts w:ascii="Arial" w:hAnsi="Arial" w:cs="Arial"/>
                <w:lang w:val="sq-AL" w:bidi="ar-AE"/>
              </w:rPr>
              <w:t>Eko fond</w:t>
            </w:r>
            <w:r w:rsidR="00E060FD">
              <w:rPr>
                <w:rFonts w:ascii="Arial" w:hAnsi="Arial" w:cs="Arial"/>
                <w:lang w:val="sq-AL" w:bidi="ar-AE"/>
              </w:rPr>
              <w:t>/</w:t>
            </w:r>
            <w:r w:rsidRPr="002A6F4E">
              <w:rPr>
                <w:rFonts w:ascii="Arial" w:hAnsi="Arial" w:cs="Arial"/>
                <w:lang w:val="sq-AL" w:bidi="ar-AE"/>
              </w:rPr>
              <w:t>EPR sistem</w:t>
            </w:r>
            <w:r w:rsidR="00E060FD">
              <w:rPr>
                <w:rFonts w:ascii="Arial" w:hAnsi="Arial" w:cs="Arial"/>
                <w:lang w:val="sq-AL" w:bidi="ar-AE"/>
              </w:rPr>
              <w:t>/ Privatni sektor</w:t>
            </w:r>
          </w:p>
        </w:tc>
      </w:tr>
      <w:tr w:rsidR="00377063" w:rsidRPr="0014164F" w14:paraId="11627492" w14:textId="77777777" w:rsidTr="009754F4">
        <w:trPr>
          <w:trHeight w:val="780"/>
          <w:jc w:val="center"/>
        </w:trPr>
        <w:tc>
          <w:tcPr>
            <w:tcW w:w="3695" w:type="pct"/>
            <w:gridSpan w:val="5"/>
            <w:shd w:val="clear" w:color="auto" w:fill="EDEDED" w:themeFill="accent3" w:themeFillTint="33"/>
          </w:tcPr>
          <w:p w14:paraId="5BB7040C" w14:textId="77777777" w:rsidR="00377063" w:rsidRPr="002A6F4E" w:rsidRDefault="00377063" w:rsidP="00FE289C">
            <w:pPr>
              <w:spacing w:before="40" w:after="40" w:line="360" w:lineRule="auto"/>
              <w:rPr>
                <w:rFonts w:ascii="Arial" w:hAnsi="Arial" w:cs="Arial"/>
                <w:b/>
                <w:lang w:val="sq-AL" w:bidi="ar-AE"/>
              </w:rPr>
            </w:pPr>
            <w:r w:rsidRPr="002A6F4E">
              <w:rPr>
                <w:rFonts w:ascii="Arial" w:hAnsi="Arial" w:cs="Arial"/>
                <w:b/>
                <w:lang w:val="sq-AL" w:bidi="ar-AE"/>
              </w:rPr>
              <w:t xml:space="preserve">Posebni cilj VIIf: Otpadna ulja </w:t>
            </w:r>
          </w:p>
          <w:p w14:paraId="17231974" w14:textId="0D673F30"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Do </w:t>
            </w:r>
            <w:r w:rsidR="00F858D9" w:rsidRPr="002A6F4E">
              <w:rPr>
                <w:rFonts w:ascii="Arial" w:hAnsi="Arial" w:cs="Arial"/>
                <w:i/>
                <w:lang w:val="sq-AL" w:bidi="ar-AE"/>
              </w:rPr>
              <w:t>2029</w:t>
            </w:r>
            <w:r w:rsidRPr="002A6F4E">
              <w:rPr>
                <w:rFonts w:ascii="Arial" w:hAnsi="Arial" w:cs="Arial"/>
                <w:i/>
                <w:lang w:val="sq-AL" w:bidi="ar-AE"/>
              </w:rPr>
              <w:t>. godine, postići da odvojeno sakuplja 70% otpadnih ulja  proizvedenih na godišnjem nivou.</w:t>
            </w:r>
          </w:p>
          <w:p w14:paraId="3894297E" w14:textId="5AD71F7E" w:rsidR="00377063" w:rsidRPr="002A6F4E" w:rsidRDefault="00377063"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203</w:t>
            </w:r>
            <w:r w:rsidR="002E4426">
              <w:rPr>
                <w:rFonts w:ascii="Arial" w:hAnsi="Arial" w:cs="Arial"/>
                <w:i/>
                <w:lang w:val="sq-AL" w:bidi="ar-AE"/>
              </w:rPr>
              <w:t>3</w:t>
            </w:r>
            <w:r w:rsidRPr="002A6F4E">
              <w:rPr>
                <w:rFonts w:ascii="Arial" w:hAnsi="Arial" w:cs="Arial"/>
                <w:i/>
                <w:lang w:val="sq-AL" w:bidi="ar-AE"/>
              </w:rPr>
              <w:t>. godine, postići da se odvojeno sakuplja 85% otpadnih ulja proizvedenih na godišnjem nivou.</w:t>
            </w:r>
          </w:p>
        </w:tc>
        <w:tc>
          <w:tcPr>
            <w:tcW w:w="1305" w:type="pct"/>
            <w:shd w:val="clear" w:color="auto" w:fill="EDEDED" w:themeFill="accent3" w:themeFillTint="33"/>
          </w:tcPr>
          <w:p w14:paraId="2708A303" w14:textId="77777777" w:rsidR="00377063" w:rsidRPr="002A6F4E" w:rsidRDefault="00377063" w:rsidP="00FE289C">
            <w:pPr>
              <w:spacing w:before="40" w:after="40" w:line="360" w:lineRule="auto"/>
              <w:rPr>
                <w:rFonts w:ascii="Arial" w:hAnsi="Arial" w:cs="Arial"/>
                <w:b/>
                <w:lang w:val="sq-AL" w:bidi="ar-AE"/>
              </w:rPr>
            </w:pPr>
          </w:p>
        </w:tc>
      </w:tr>
      <w:tr w:rsidR="00841B02" w:rsidRPr="002A6F4E" w14:paraId="0CDB13A6" w14:textId="77777777" w:rsidTr="009754F4">
        <w:trPr>
          <w:jc w:val="center"/>
        </w:trPr>
        <w:tc>
          <w:tcPr>
            <w:tcW w:w="304" w:type="pct"/>
            <w:shd w:val="clear" w:color="auto" w:fill="auto"/>
          </w:tcPr>
          <w:p w14:paraId="091ECDA6" w14:textId="0EE3AA3D"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Pr>
                <w:rFonts w:ascii="Arial" w:hAnsi="Arial" w:cs="Arial"/>
                <w:lang w:val="sq-AL" w:bidi="ar-AE"/>
              </w:rPr>
              <w:t>31</w:t>
            </w:r>
          </w:p>
        </w:tc>
        <w:tc>
          <w:tcPr>
            <w:tcW w:w="518" w:type="pct"/>
            <w:shd w:val="clear" w:color="auto" w:fill="auto"/>
          </w:tcPr>
          <w:p w14:paraId="7DC40D27"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653985AE" w14:textId="29B2853D" w:rsidR="00841B02" w:rsidRPr="002A6F4E" w:rsidRDefault="00841B02" w:rsidP="00841B02">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Popis </w:t>
            </w:r>
            <w:r w:rsidR="003306AE">
              <w:rPr>
                <w:rFonts w:ascii="Arial" w:eastAsia="Times New Roman" w:hAnsi="Arial" w:cs="Arial"/>
                <w:lang w:val="sq-AL" w:eastAsia="el-GR"/>
              </w:rPr>
              <w:t>lokacija</w:t>
            </w:r>
            <w:r w:rsidR="003306AE" w:rsidRPr="002A6F4E">
              <w:rPr>
                <w:rFonts w:ascii="Arial" w:eastAsia="Times New Roman" w:hAnsi="Arial" w:cs="Arial"/>
                <w:lang w:val="sq-AL" w:eastAsia="el-GR"/>
              </w:rPr>
              <w:t xml:space="preserve"> </w:t>
            </w:r>
            <w:r w:rsidRPr="002A6F4E">
              <w:rPr>
                <w:rFonts w:ascii="Arial" w:eastAsia="Times New Roman" w:hAnsi="Arial" w:cs="Arial"/>
                <w:lang w:val="sq-AL" w:eastAsia="el-GR"/>
              </w:rPr>
              <w:t xml:space="preserve">proizvodnje otpadnih ulja (radionice, benzinske pumpe, industrije/zanatske radnje, lučki objekti, itd) i vođenje evidencije o </w:t>
            </w:r>
            <w:r w:rsidR="003306AE">
              <w:rPr>
                <w:rFonts w:ascii="Arial" w:eastAsia="Times New Roman" w:hAnsi="Arial" w:cs="Arial"/>
                <w:lang w:val="sq-AL" w:eastAsia="el-GR"/>
              </w:rPr>
              <w:t>prevozi</w:t>
            </w:r>
            <w:r w:rsidRPr="002A6F4E">
              <w:rPr>
                <w:rFonts w:ascii="Arial" w:eastAsia="Times New Roman" w:hAnsi="Arial" w:cs="Arial"/>
                <w:lang w:val="sq-AL" w:eastAsia="el-GR"/>
              </w:rPr>
              <w:t>/ od</w:t>
            </w:r>
            <w:r w:rsidR="003306AE">
              <w:rPr>
                <w:rFonts w:ascii="Arial" w:eastAsia="Times New Roman" w:hAnsi="Arial" w:cs="Arial"/>
                <w:lang w:val="sq-AL" w:eastAsia="el-GR"/>
              </w:rPr>
              <w:t>vozu</w:t>
            </w:r>
            <w:r w:rsidRPr="002A6F4E">
              <w:rPr>
                <w:rFonts w:ascii="Arial" w:eastAsia="Times New Roman" w:hAnsi="Arial" w:cs="Arial"/>
                <w:lang w:val="sq-AL" w:eastAsia="el-GR"/>
              </w:rPr>
              <w:t xml:space="preserve"> otpadnih ulja sa </w:t>
            </w:r>
            <w:r w:rsidR="003306AE">
              <w:rPr>
                <w:rFonts w:ascii="Arial" w:eastAsia="Times New Roman" w:hAnsi="Arial" w:cs="Arial"/>
                <w:lang w:val="sq-AL" w:eastAsia="el-GR"/>
              </w:rPr>
              <w:t>lokacija</w:t>
            </w:r>
            <w:r w:rsidRPr="002A6F4E">
              <w:rPr>
                <w:rFonts w:ascii="Arial" w:eastAsia="Times New Roman" w:hAnsi="Arial" w:cs="Arial"/>
                <w:lang w:val="sq-AL" w:eastAsia="el-GR"/>
              </w:rPr>
              <w:t xml:space="preserve"> za sakupljanje, u cilju spr</w:t>
            </w:r>
            <w:r w:rsidR="003306AE">
              <w:rPr>
                <w:rFonts w:ascii="Arial" w:eastAsia="Times New Roman" w:hAnsi="Arial" w:cs="Arial"/>
                <w:lang w:val="sq-AL" w:eastAsia="el-GR"/>
              </w:rPr>
              <w:t>j</w:t>
            </w:r>
            <w:r w:rsidRPr="002A6F4E">
              <w:rPr>
                <w:rFonts w:ascii="Arial" w:eastAsia="Times New Roman" w:hAnsi="Arial" w:cs="Arial"/>
                <w:lang w:val="sq-AL" w:eastAsia="el-GR"/>
              </w:rPr>
              <w:t>ečavanja nezakonitog odliva</w:t>
            </w:r>
          </w:p>
        </w:tc>
        <w:tc>
          <w:tcPr>
            <w:tcW w:w="1101" w:type="pct"/>
            <w:shd w:val="clear" w:color="auto" w:fill="auto"/>
          </w:tcPr>
          <w:p w14:paraId="6ACA4F6E" w14:textId="0B116B72" w:rsidR="00841B02" w:rsidRPr="002A6F4E" w:rsidRDefault="00841B02" w:rsidP="00841B02">
            <w:pPr>
              <w:spacing w:before="40" w:after="40" w:line="360" w:lineRule="auto"/>
              <w:rPr>
                <w:rFonts w:ascii="Arial" w:hAnsi="Arial" w:cs="Arial"/>
                <w:lang w:val="sq-AL" w:bidi="ar-AE"/>
              </w:rPr>
            </w:pPr>
            <w:r>
              <w:rPr>
                <w:rFonts w:ascii="Arial" w:hAnsi="Arial" w:cs="Arial"/>
                <w:lang w:val="sq-AL"/>
              </w:rPr>
              <w:t>AZŽS/</w:t>
            </w:r>
            <w:r w:rsidRPr="002A6F4E">
              <w:rPr>
                <w:rFonts w:ascii="Arial" w:hAnsi="Arial" w:cs="Arial"/>
                <w:lang w:val="sq-AL"/>
              </w:rPr>
              <w:t>MERS</w:t>
            </w:r>
          </w:p>
        </w:tc>
        <w:tc>
          <w:tcPr>
            <w:tcW w:w="508" w:type="pct"/>
            <w:shd w:val="clear" w:color="auto" w:fill="auto"/>
          </w:tcPr>
          <w:p w14:paraId="6E562C63"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2025-2027.</w:t>
            </w:r>
          </w:p>
        </w:tc>
        <w:tc>
          <w:tcPr>
            <w:tcW w:w="1305" w:type="pct"/>
          </w:tcPr>
          <w:p w14:paraId="731AAE86" w14:textId="77777777" w:rsidR="00841B02" w:rsidRPr="000816D9" w:rsidRDefault="00841B02" w:rsidP="00841B02">
            <w:pPr>
              <w:spacing w:before="40" w:after="40" w:line="360" w:lineRule="auto"/>
              <w:rPr>
                <w:rFonts w:ascii="Arial" w:hAnsi="Arial" w:cs="Arial"/>
                <w:lang w:bidi="ar-AE"/>
              </w:rPr>
            </w:pPr>
            <w:r w:rsidRPr="000816D9">
              <w:rPr>
                <w:rFonts w:ascii="Arial" w:hAnsi="Arial" w:cs="Arial"/>
                <w:lang w:bidi="ar-AE"/>
              </w:rPr>
              <w:t>Državni budžet/</w:t>
            </w:r>
          </w:p>
          <w:p w14:paraId="2A8008B7" w14:textId="40AE3B98" w:rsidR="00841B02" w:rsidRPr="002A6F4E" w:rsidRDefault="00841B02" w:rsidP="00841B02">
            <w:pPr>
              <w:spacing w:before="40" w:after="40" w:line="360" w:lineRule="auto"/>
              <w:rPr>
                <w:rFonts w:ascii="Arial" w:hAnsi="Arial" w:cs="Arial"/>
                <w:lang w:val="sq-AL" w:bidi="ar-AE"/>
              </w:rPr>
            </w:pPr>
            <w:r w:rsidRPr="000816D9">
              <w:rPr>
                <w:rFonts w:ascii="Arial" w:hAnsi="Arial" w:cs="Arial"/>
                <w:lang w:bidi="ar-AE"/>
              </w:rPr>
              <w:t>Donatori/Međunarodne finansijske institucije</w:t>
            </w:r>
          </w:p>
        </w:tc>
      </w:tr>
      <w:tr w:rsidR="00841B02" w:rsidRPr="002A6F4E" w14:paraId="7469CF81" w14:textId="77777777" w:rsidTr="009754F4">
        <w:trPr>
          <w:jc w:val="center"/>
        </w:trPr>
        <w:tc>
          <w:tcPr>
            <w:tcW w:w="304" w:type="pct"/>
            <w:shd w:val="clear" w:color="auto" w:fill="auto"/>
          </w:tcPr>
          <w:p w14:paraId="4B8D7F80" w14:textId="107CFAD4"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Pr>
                <w:rFonts w:ascii="Arial" w:hAnsi="Arial" w:cs="Arial"/>
                <w:lang w:val="sq-AL" w:bidi="ar-AE"/>
              </w:rPr>
              <w:t>32</w:t>
            </w:r>
          </w:p>
        </w:tc>
        <w:tc>
          <w:tcPr>
            <w:tcW w:w="518" w:type="pct"/>
            <w:shd w:val="clear" w:color="auto" w:fill="auto"/>
          </w:tcPr>
          <w:p w14:paraId="0E61342F"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 xml:space="preserve">OAM </w:t>
            </w:r>
          </w:p>
        </w:tc>
        <w:tc>
          <w:tcPr>
            <w:tcW w:w="1264" w:type="pct"/>
            <w:shd w:val="clear" w:color="auto" w:fill="auto"/>
          </w:tcPr>
          <w:p w14:paraId="421BAB04" w14:textId="564DABC5" w:rsidR="00841B02" w:rsidRPr="002A6F4E" w:rsidRDefault="00841B02" w:rsidP="00841B02">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Saradnja sa trgovcima i mjestima na kojima se očekuje visok nivo proizvodnje otpadnih ulja (radionice, benzinske </w:t>
            </w:r>
            <w:r w:rsidRPr="002A6F4E">
              <w:rPr>
                <w:rFonts w:ascii="Arial" w:eastAsia="Times New Roman" w:hAnsi="Arial" w:cs="Arial"/>
                <w:lang w:val="sq-AL" w:eastAsia="el-GR"/>
              </w:rPr>
              <w:lastRenderedPageBreak/>
              <w:t>pumpe, industrije/zanatske radnje, lučki objekti, itd)</w:t>
            </w:r>
          </w:p>
        </w:tc>
        <w:tc>
          <w:tcPr>
            <w:tcW w:w="1101" w:type="pct"/>
            <w:shd w:val="clear" w:color="auto" w:fill="auto"/>
          </w:tcPr>
          <w:p w14:paraId="3A7C9E48" w14:textId="2EC67232" w:rsidR="00841B02" w:rsidRPr="002A6F4E" w:rsidRDefault="00841B02" w:rsidP="00841B02">
            <w:pPr>
              <w:spacing w:before="40" w:after="40" w:line="360" w:lineRule="auto"/>
              <w:rPr>
                <w:rFonts w:ascii="Arial" w:hAnsi="Arial" w:cs="Arial"/>
                <w:lang w:val="sq-AL" w:bidi="ar-AE"/>
              </w:rPr>
            </w:pPr>
            <w:r>
              <w:rPr>
                <w:rFonts w:ascii="Arial" w:hAnsi="Arial" w:cs="Arial"/>
                <w:lang w:val="sq-AL"/>
              </w:rPr>
              <w:lastRenderedPageBreak/>
              <w:t>AZŽS/</w:t>
            </w:r>
            <w:r w:rsidRPr="002A6F4E">
              <w:rPr>
                <w:rFonts w:ascii="Arial" w:hAnsi="Arial" w:cs="Arial"/>
                <w:lang w:val="sq-AL"/>
              </w:rPr>
              <w:t>MERS</w:t>
            </w:r>
            <w:r w:rsidRPr="002A6F4E">
              <w:rPr>
                <w:rFonts w:ascii="Arial" w:hAnsi="Arial" w:cs="Arial"/>
                <w:lang w:val="sq-AL" w:bidi="ar-AE"/>
              </w:rPr>
              <w:t>/</w:t>
            </w:r>
            <w:r w:rsidR="003306AE">
              <w:rPr>
                <w:rFonts w:ascii="Arial" w:hAnsi="Arial" w:cs="Arial"/>
                <w:lang w:val="sq-AL" w:bidi="ar-AE"/>
              </w:rPr>
              <w:t>S</w:t>
            </w:r>
            <w:r w:rsidRPr="002A6F4E">
              <w:rPr>
                <w:rFonts w:ascii="Arial" w:hAnsi="Arial" w:cs="Arial"/>
                <w:lang w:val="sq-AL" w:bidi="ar-AE"/>
              </w:rPr>
              <w:t>istem EPR /</w:t>
            </w:r>
            <w:r w:rsidR="003306AE">
              <w:rPr>
                <w:rFonts w:ascii="Arial" w:hAnsi="Arial" w:cs="Arial"/>
                <w:lang w:val="sq-AL" w:bidi="ar-AE"/>
              </w:rPr>
              <w:t>P</w:t>
            </w:r>
            <w:r w:rsidRPr="002A6F4E">
              <w:rPr>
                <w:rFonts w:ascii="Arial" w:hAnsi="Arial" w:cs="Arial"/>
                <w:lang w:val="sq-AL" w:bidi="ar-AE"/>
              </w:rPr>
              <w:t>rivatni sektor</w:t>
            </w:r>
          </w:p>
        </w:tc>
        <w:tc>
          <w:tcPr>
            <w:tcW w:w="508" w:type="pct"/>
            <w:shd w:val="clear" w:color="auto" w:fill="auto"/>
          </w:tcPr>
          <w:p w14:paraId="59D10439" w14:textId="013D313F"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2025-2029.</w:t>
            </w:r>
          </w:p>
        </w:tc>
        <w:tc>
          <w:tcPr>
            <w:tcW w:w="1305" w:type="pct"/>
          </w:tcPr>
          <w:p w14:paraId="429BF744" w14:textId="4FC12158" w:rsidR="00841B02" w:rsidRPr="002A6F4E" w:rsidRDefault="00841B02" w:rsidP="00841B02">
            <w:pPr>
              <w:spacing w:before="40" w:after="40" w:line="360" w:lineRule="auto"/>
              <w:rPr>
                <w:rFonts w:ascii="Arial" w:hAnsi="Arial" w:cs="Arial"/>
                <w:lang w:val="sq-AL" w:bidi="ar-AE"/>
              </w:rPr>
            </w:pPr>
            <w:r>
              <w:rPr>
                <w:rFonts w:ascii="Arial" w:hAnsi="Arial" w:cs="Arial"/>
                <w:lang w:val="sq-AL" w:bidi="ar-AE"/>
              </w:rPr>
              <w:t>/</w:t>
            </w:r>
          </w:p>
        </w:tc>
      </w:tr>
      <w:tr w:rsidR="00841B02" w:rsidRPr="002A6F4E" w14:paraId="59B020DE" w14:textId="77777777" w:rsidTr="009754F4">
        <w:trPr>
          <w:jc w:val="center"/>
        </w:trPr>
        <w:tc>
          <w:tcPr>
            <w:tcW w:w="304" w:type="pct"/>
            <w:shd w:val="clear" w:color="auto" w:fill="auto"/>
          </w:tcPr>
          <w:p w14:paraId="1A4A85F8" w14:textId="02D4686B"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bidi="ar-AE"/>
              </w:rPr>
              <w:t>4.</w:t>
            </w:r>
            <w:r w:rsidR="008B59FB">
              <w:rPr>
                <w:rFonts w:ascii="Arial" w:hAnsi="Arial" w:cs="Arial"/>
                <w:lang w:bidi="ar-AE"/>
              </w:rPr>
              <w:t>33</w:t>
            </w:r>
          </w:p>
        </w:tc>
        <w:tc>
          <w:tcPr>
            <w:tcW w:w="518" w:type="pct"/>
            <w:shd w:val="clear" w:color="auto" w:fill="auto"/>
          </w:tcPr>
          <w:p w14:paraId="3802498B"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bidi="ar-AE"/>
              </w:rPr>
              <w:t>IM</w:t>
            </w:r>
          </w:p>
        </w:tc>
        <w:tc>
          <w:tcPr>
            <w:tcW w:w="1264" w:type="pct"/>
            <w:shd w:val="clear" w:color="auto" w:fill="auto"/>
          </w:tcPr>
          <w:p w14:paraId="4ACC3A27" w14:textId="20F9D098" w:rsidR="00841B02" w:rsidRPr="002A6F4E" w:rsidRDefault="00841B02" w:rsidP="00841B02">
            <w:pPr>
              <w:spacing w:before="40" w:after="40" w:line="360" w:lineRule="auto"/>
              <w:ind w:left="54"/>
              <w:rPr>
                <w:rFonts w:ascii="Arial" w:eastAsia="Times New Roman" w:hAnsi="Arial" w:cs="Arial"/>
                <w:lang w:val="de-DE" w:eastAsia="el-GR"/>
              </w:rPr>
            </w:pPr>
            <w:r>
              <w:rPr>
                <w:rFonts w:ascii="Arial" w:eastAsia="Times New Roman" w:hAnsi="Arial" w:cs="Arial"/>
                <w:lang w:val="de-DE" w:eastAsia="el-GR"/>
              </w:rPr>
              <w:t>Izgradnja</w:t>
            </w:r>
            <w:r w:rsidRPr="002A6F4E">
              <w:rPr>
                <w:rFonts w:ascii="Arial" w:eastAsia="Times New Roman" w:hAnsi="Arial" w:cs="Arial"/>
                <w:lang w:val="de-DE" w:eastAsia="el-GR"/>
              </w:rPr>
              <w:t xml:space="preserve"> infrastrukture za </w:t>
            </w:r>
            <w:r>
              <w:rPr>
                <w:rFonts w:ascii="Arial" w:eastAsia="Times New Roman" w:hAnsi="Arial" w:cs="Arial"/>
                <w:lang w:val="de-DE" w:eastAsia="el-GR"/>
              </w:rPr>
              <w:t>obradu</w:t>
            </w:r>
          </w:p>
          <w:p w14:paraId="17DFD026" w14:textId="77777777" w:rsidR="00841B02" w:rsidRPr="002A6F4E" w:rsidRDefault="00841B02" w:rsidP="00841B02">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de-DE" w:eastAsia="el-GR"/>
              </w:rPr>
              <w:t>​</w:t>
            </w:r>
          </w:p>
        </w:tc>
        <w:tc>
          <w:tcPr>
            <w:tcW w:w="1101" w:type="pct"/>
            <w:shd w:val="clear" w:color="auto" w:fill="auto"/>
          </w:tcPr>
          <w:p w14:paraId="0040FD74" w14:textId="0E17A23D"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bidi="ar-AE"/>
              </w:rPr>
              <w:t>/</w:t>
            </w:r>
            <w:r>
              <w:rPr>
                <w:rFonts w:ascii="Arial" w:hAnsi="Arial" w:cs="Arial"/>
                <w:lang w:bidi="ar-AE"/>
              </w:rPr>
              <w:t>Jedinice lokalne samouprave/</w:t>
            </w:r>
            <w:r w:rsidRPr="002A6F4E">
              <w:rPr>
                <w:rFonts w:ascii="Arial" w:hAnsi="Arial" w:cs="Arial"/>
                <w:lang w:bidi="ar-AE"/>
              </w:rPr>
              <w:t>MF/</w:t>
            </w:r>
            <w:r w:rsidR="003306AE">
              <w:rPr>
                <w:rFonts w:ascii="Arial" w:hAnsi="Arial" w:cs="Arial"/>
                <w:lang w:val="sq-AL" w:bidi="ar-AE"/>
              </w:rPr>
              <w:t>P</w:t>
            </w:r>
            <w:r w:rsidRPr="002A6F4E">
              <w:rPr>
                <w:rFonts w:ascii="Arial" w:hAnsi="Arial" w:cs="Arial"/>
                <w:lang w:val="sq-AL" w:bidi="ar-AE"/>
              </w:rPr>
              <w:t>rivatni sektor</w:t>
            </w:r>
            <w:r>
              <w:rPr>
                <w:rFonts w:ascii="Arial" w:hAnsi="Arial" w:cs="Arial"/>
                <w:lang w:val="sq-AL" w:bidi="ar-AE"/>
              </w:rPr>
              <w:t xml:space="preserve">/ </w:t>
            </w:r>
          </w:p>
        </w:tc>
        <w:tc>
          <w:tcPr>
            <w:tcW w:w="508" w:type="pct"/>
            <w:shd w:val="clear" w:color="auto" w:fill="auto"/>
          </w:tcPr>
          <w:p w14:paraId="5847EEBB" w14:textId="2D250D5A"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bidi="ar-AE"/>
              </w:rPr>
              <w:t>2025-2029</w:t>
            </w:r>
          </w:p>
        </w:tc>
        <w:tc>
          <w:tcPr>
            <w:tcW w:w="1305" w:type="pct"/>
          </w:tcPr>
          <w:p w14:paraId="5A9E607D" w14:textId="2045B1DC"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Državni budžet</w:t>
            </w:r>
            <w:r>
              <w:rPr>
                <w:rFonts w:ascii="Arial" w:hAnsi="Arial" w:cs="Arial"/>
                <w:lang w:bidi="ar-AE"/>
              </w:rPr>
              <w:t>/</w:t>
            </w:r>
            <w:r w:rsidR="008B59FB">
              <w:rPr>
                <w:rFonts w:ascii="Arial" w:hAnsi="Arial" w:cs="Arial"/>
                <w:lang w:bidi="ar-AE"/>
              </w:rPr>
              <w:t>Donatori/</w:t>
            </w:r>
          </w:p>
          <w:p w14:paraId="08E87A7F" w14:textId="739D7744" w:rsidR="00841B02" w:rsidRPr="002A6F4E" w:rsidRDefault="00930813" w:rsidP="00841B02">
            <w:pPr>
              <w:spacing w:before="40" w:after="40" w:line="360" w:lineRule="auto"/>
              <w:rPr>
                <w:rFonts w:ascii="Arial" w:hAnsi="Arial" w:cs="Arial"/>
                <w:lang w:val="sq-AL" w:bidi="ar-AE"/>
              </w:rPr>
            </w:pPr>
            <w:r w:rsidRPr="00930813">
              <w:rPr>
                <w:rFonts w:ascii="Arial" w:hAnsi="Arial" w:cs="Arial"/>
                <w:lang w:bidi="ar-AE"/>
              </w:rPr>
              <w:t>Međunarodne finansijske institucije</w:t>
            </w:r>
          </w:p>
        </w:tc>
      </w:tr>
      <w:tr w:rsidR="00841B02" w:rsidRPr="0014164F" w14:paraId="3779D446" w14:textId="77777777" w:rsidTr="009754F4">
        <w:trPr>
          <w:trHeight w:val="780"/>
          <w:jc w:val="center"/>
        </w:trPr>
        <w:tc>
          <w:tcPr>
            <w:tcW w:w="3695" w:type="pct"/>
            <w:gridSpan w:val="5"/>
            <w:shd w:val="clear" w:color="auto" w:fill="EDEDED" w:themeFill="accent3" w:themeFillTint="33"/>
          </w:tcPr>
          <w:p w14:paraId="54E9D078" w14:textId="77777777" w:rsidR="00841B02" w:rsidRPr="002A6F4E" w:rsidRDefault="00841B02" w:rsidP="00841B02">
            <w:pPr>
              <w:spacing w:before="40" w:after="40" w:line="360" w:lineRule="auto"/>
              <w:rPr>
                <w:rFonts w:ascii="Arial" w:hAnsi="Arial" w:cs="Arial"/>
                <w:b/>
                <w:lang w:val="sq-AL" w:bidi="ar-AE"/>
              </w:rPr>
            </w:pPr>
            <w:r w:rsidRPr="002A6F4E">
              <w:rPr>
                <w:rFonts w:ascii="Arial" w:hAnsi="Arial" w:cs="Arial"/>
                <w:b/>
                <w:lang w:val="sq-AL" w:bidi="ar-AE"/>
              </w:rPr>
              <w:t>Posebni cilj VIIg: Otpad iz poljoprivrede</w:t>
            </w:r>
          </w:p>
          <w:p w14:paraId="28EF740C" w14:textId="42917F23" w:rsidR="00841B02" w:rsidRPr="002A6F4E" w:rsidRDefault="00841B02"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Izgradnja mreže za sakupljanje biorazgradivog otpada iz poljoprivrede, u cilju proizvodnje energije (korišćenjem biogasa ili biomase) ili vrijednog proizvoda (npr. đubriva ili stočne hrane, itd).</w:t>
            </w:r>
          </w:p>
          <w:p w14:paraId="0543ABC8" w14:textId="77777777" w:rsidR="00841B02" w:rsidRPr="002A6F4E" w:rsidRDefault="00841B02"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Odvojeno sakupljanje i prerada plastičnog otpada poljoprivrednog porijekla, uz akcenat na plastiku iz staklenika i ambalažnog otpada (npr. đubriva).</w:t>
            </w:r>
          </w:p>
          <w:p w14:paraId="1021CCB5" w14:textId="77777777" w:rsidR="00841B02" w:rsidRPr="002A6F4E" w:rsidRDefault="00841B02"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Odvojeno sakupljanje i upravljanje ambalažnim otpadom koji sadrži opasne materije (npr. pesticide).</w:t>
            </w:r>
          </w:p>
        </w:tc>
        <w:tc>
          <w:tcPr>
            <w:tcW w:w="1305" w:type="pct"/>
            <w:shd w:val="clear" w:color="auto" w:fill="EDEDED" w:themeFill="accent3" w:themeFillTint="33"/>
          </w:tcPr>
          <w:p w14:paraId="7BB7064E" w14:textId="77777777" w:rsidR="00841B02" w:rsidRPr="002A6F4E" w:rsidRDefault="00841B02" w:rsidP="00841B02">
            <w:pPr>
              <w:spacing w:before="40" w:after="40" w:line="360" w:lineRule="auto"/>
              <w:rPr>
                <w:rFonts w:ascii="Arial" w:hAnsi="Arial" w:cs="Arial"/>
                <w:b/>
                <w:lang w:val="sq-AL" w:bidi="ar-AE"/>
              </w:rPr>
            </w:pPr>
          </w:p>
        </w:tc>
      </w:tr>
      <w:tr w:rsidR="00841B02" w:rsidRPr="0014164F" w14:paraId="341CF2A6" w14:textId="77777777" w:rsidTr="009754F4">
        <w:trPr>
          <w:jc w:val="center"/>
        </w:trPr>
        <w:tc>
          <w:tcPr>
            <w:tcW w:w="304" w:type="pct"/>
            <w:shd w:val="clear" w:color="auto" w:fill="auto"/>
          </w:tcPr>
          <w:p w14:paraId="57D157AC" w14:textId="02A94A1A"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0F0410">
              <w:rPr>
                <w:rFonts w:ascii="Arial" w:hAnsi="Arial" w:cs="Arial"/>
                <w:lang w:val="sq-AL" w:bidi="ar-AE"/>
              </w:rPr>
              <w:t>34</w:t>
            </w:r>
          </w:p>
        </w:tc>
        <w:tc>
          <w:tcPr>
            <w:tcW w:w="518" w:type="pct"/>
            <w:shd w:val="clear" w:color="auto" w:fill="auto"/>
          </w:tcPr>
          <w:p w14:paraId="151D3DF3"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1DDE4C4D" w14:textId="70383F93" w:rsidR="00841B02" w:rsidRPr="002A6F4E" w:rsidRDefault="00841B02" w:rsidP="00841B02">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Pospiješiti odgovarajuće sakupljanje otpada koji se generiše u poljoprivredi</w:t>
            </w:r>
          </w:p>
        </w:tc>
        <w:tc>
          <w:tcPr>
            <w:tcW w:w="1101" w:type="pct"/>
            <w:shd w:val="clear" w:color="auto" w:fill="auto"/>
          </w:tcPr>
          <w:p w14:paraId="7421E236" w14:textId="3078D506"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Ministarstvo poljoprivrede, šumarstva i vodoprivrede</w:t>
            </w:r>
            <w:r w:rsidR="00C97057">
              <w:rPr>
                <w:rFonts w:ascii="Arial" w:hAnsi="Arial" w:cs="Arial"/>
                <w:lang w:val="sq-AL" w:bidi="ar-AE"/>
              </w:rPr>
              <w:t>/MERS</w:t>
            </w:r>
            <w:r w:rsidR="003306AE">
              <w:rPr>
                <w:rFonts w:ascii="Arial" w:hAnsi="Arial" w:cs="Arial"/>
                <w:lang w:val="sq-AL" w:bidi="ar-AE"/>
              </w:rPr>
              <w:t>/Jedinice lokalnih samouprava</w:t>
            </w:r>
          </w:p>
        </w:tc>
        <w:tc>
          <w:tcPr>
            <w:tcW w:w="508" w:type="pct"/>
            <w:shd w:val="clear" w:color="auto" w:fill="auto"/>
          </w:tcPr>
          <w:p w14:paraId="52F03351"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2025-2027.</w:t>
            </w:r>
          </w:p>
        </w:tc>
        <w:tc>
          <w:tcPr>
            <w:tcW w:w="1305" w:type="pct"/>
          </w:tcPr>
          <w:p w14:paraId="63ED9473" w14:textId="5655270B" w:rsidR="00841B02" w:rsidRPr="003D7619" w:rsidRDefault="00841B02" w:rsidP="00841B02">
            <w:pPr>
              <w:spacing w:before="40" w:after="40" w:line="360" w:lineRule="auto"/>
              <w:rPr>
                <w:rFonts w:ascii="Arial" w:hAnsi="Arial" w:cs="Arial"/>
                <w:lang w:val="sq-AL" w:bidi="ar-AE"/>
              </w:rPr>
            </w:pPr>
            <w:r w:rsidRPr="003D7619">
              <w:rPr>
                <w:rFonts w:ascii="Arial" w:hAnsi="Arial" w:cs="Arial"/>
                <w:lang w:val="sq-AL" w:bidi="ar-AE"/>
              </w:rPr>
              <w:t>Državni budžet</w:t>
            </w:r>
            <w:r w:rsidR="00A540B7" w:rsidRPr="003D7619">
              <w:rPr>
                <w:rFonts w:ascii="Arial" w:hAnsi="Arial" w:cs="Arial"/>
                <w:lang w:val="sq-AL" w:bidi="ar-AE"/>
              </w:rPr>
              <w:t>/</w:t>
            </w:r>
            <w:r w:rsidR="003306AE" w:rsidRPr="003D7619">
              <w:rPr>
                <w:rFonts w:ascii="Arial" w:hAnsi="Arial" w:cs="Arial"/>
                <w:lang w:val="sq-AL" w:bidi="ar-AE"/>
              </w:rPr>
              <w:t>Lokalni budžet/</w:t>
            </w:r>
          </w:p>
          <w:p w14:paraId="2C64DA71" w14:textId="77777777" w:rsidR="00841B02" w:rsidRPr="002A6F4E" w:rsidRDefault="00841B02" w:rsidP="00841B02">
            <w:pPr>
              <w:spacing w:before="40" w:after="40" w:line="360" w:lineRule="auto"/>
              <w:rPr>
                <w:rFonts w:ascii="Arial" w:hAnsi="Arial" w:cs="Arial"/>
                <w:lang w:val="sq-AL" w:bidi="ar-AE"/>
              </w:rPr>
            </w:pPr>
            <w:r w:rsidRPr="003D7619">
              <w:rPr>
                <w:rFonts w:ascii="Arial" w:hAnsi="Arial" w:cs="Arial"/>
                <w:lang w:val="sq-AL" w:bidi="ar-AE"/>
              </w:rPr>
              <w:t>Privatni sektor</w:t>
            </w:r>
          </w:p>
        </w:tc>
      </w:tr>
      <w:tr w:rsidR="00841B02" w:rsidRPr="002A6F4E" w14:paraId="22547807" w14:textId="77777777" w:rsidTr="009754F4">
        <w:trPr>
          <w:jc w:val="center"/>
        </w:trPr>
        <w:tc>
          <w:tcPr>
            <w:tcW w:w="304" w:type="pct"/>
            <w:shd w:val="clear" w:color="auto" w:fill="auto"/>
          </w:tcPr>
          <w:p w14:paraId="55959CBA" w14:textId="0C61BF05"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A540B7">
              <w:rPr>
                <w:rFonts w:ascii="Arial" w:hAnsi="Arial" w:cs="Arial"/>
                <w:lang w:val="sq-AL" w:bidi="ar-AE"/>
              </w:rPr>
              <w:t>35</w:t>
            </w:r>
          </w:p>
        </w:tc>
        <w:tc>
          <w:tcPr>
            <w:tcW w:w="518" w:type="pct"/>
            <w:shd w:val="clear" w:color="auto" w:fill="auto"/>
          </w:tcPr>
          <w:p w14:paraId="67AA5DEA"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 xml:space="preserve">OAM </w:t>
            </w:r>
          </w:p>
        </w:tc>
        <w:tc>
          <w:tcPr>
            <w:tcW w:w="1264" w:type="pct"/>
            <w:shd w:val="clear" w:color="auto" w:fill="auto"/>
          </w:tcPr>
          <w:p w14:paraId="0DE1CBC1" w14:textId="77777777" w:rsidR="00841B02" w:rsidRPr="002A6F4E" w:rsidRDefault="00841B02" w:rsidP="00841B02">
            <w:pPr>
              <w:spacing w:before="40" w:after="40" w:line="360" w:lineRule="auto"/>
              <w:ind w:left="54"/>
              <w:rPr>
                <w:rFonts w:ascii="Arial" w:hAnsi="Arial" w:cs="Arial"/>
                <w:lang w:val="sq-AL" w:eastAsia="el-GR"/>
              </w:rPr>
            </w:pPr>
            <w:r w:rsidRPr="002A6F4E">
              <w:rPr>
                <w:rFonts w:ascii="Arial" w:hAnsi="Arial" w:cs="Arial"/>
                <w:lang w:val="sq-AL" w:eastAsia="el-GR"/>
              </w:rPr>
              <w:t xml:space="preserve">Ponovna upotreba, kada je moguće uz radnje poput: </w:t>
            </w:r>
          </w:p>
          <w:p w14:paraId="2A525440" w14:textId="77777777" w:rsidR="00841B02" w:rsidRPr="002A6F4E" w:rsidRDefault="00841B02" w:rsidP="00A23ED0">
            <w:pPr>
              <w:pStyle w:val="ListParagraph"/>
              <w:numPr>
                <w:ilvl w:val="0"/>
                <w:numId w:val="89"/>
              </w:numPr>
              <w:tabs>
                <w:tab w:val="left" w:pos="324"/>
              </w:tabs>
              <w:spacing w:before="40" w:after="40" w:line="360" w:lineRule="auto"/>
              <w:ind w:left="324" w:hanging="270"/>
              <w:rPr>
                <w:rFonts w:ascii="Arial" w:hAnsi="Arial" w:cs="Arial"/>
                <w:lang w:val="sq-AL" w:bidi="ar-AE"/>
              </w:rPr>
            </w:pPr>
            <w:r w:rsidRPr="002A6F4E">
              <w:rPr>
                <w:rFonts w:ascii="Arial" w:hAnsi="Arial" w:cs="Arial"/>
                <w:lang w:val="sq-AL" w:bidi="ar-AE"/>
              </w:rPr>
              <w:t>Ispaša žetvenih ostataka kako bi postali sastavni dio poljoprivrede;</w:t>
            </w:r>
          </w:p>
          <w:p w14:paraId="3376EA60" w14:textId="77777777" w:rsidR="00841B02" w:rsidRPr="002A6F4E" w:rsidRDefault="00841B02" w:rsidP="00A23ED0">
            <w:pPr>
              <w:pStyle w:val="ListParagraph"/>
              <w:numPr>
                <w:ilvl w:val="0"/>
                <w:numId w:val="89"/>
              </w:numPr>
              <w:tabs>
                <w:tab w:val="left" w:pos="324"/>
              </w:tabs>
              <w:spacing w:before="40" w:after="40" w:line="360" w:lineRule="auto"/>
              <w:ind w:left="324" w:hanging="270"/>
              <w:rPr>
                <w:rFonts w:ascii="Arial" w:hAnsi="Arial" w:cs="Arial"/>
                <w:lang w:val="sq-AL" w:bidi="ar-AE"/>
              </w:rPr>
            </w:pPr>
            <w:r w:rsidRPr="002A6F4E">
              <w:rPr>
                <w:rFonts w:ascii="Arial" w:hAnsi="Arial" w:cs="Arial"/>
                <w:lang w:val="sq-AL" w:bidi="ar-AE"/>
              </w:rPr>
              <w:t>Usitnjavanje i zaoravanje  žetvenih ostataka;</w:t>
            </w:r>
          </w:p>
          <w:p w14:paraId="740A3785" w14:textId="77777777" w:rsidR="00841B02" w:rsidRPr="002A6F4E" w:rsidRDefault="00841B02" w:rsidP="00A23ED0">
            <w:pPr>
              <w:pStyle w:val="ListParagraph"/>
              <w:numPr>
                <w:ilvl w:val="0"/>
                <w:numId w:val="89"/>
              </w:numPr>
              <w:tabs>
                <w:tab w:val="left" w:pos="324"/>
              </w:tabs>
              <w:spacing w:before="40" w:after="40" w:line="360" w:lineRule="auto"/>
              <w:ind w:left="324" w:hanging="270"/>
              <w:rPr>
                <w:rFonts w:ascii="Arial" w:hAnsi="Arial" w:cs="Arial"/>
                <w:lang w:val="sq-AL" w:bidi="ar-AE"/>
              </w:rPr>
            </w:pPr>
            <w:r w:rsidRPr="002A6F4E">
              <w:rPr>
                <w:rFonts w:ascii="Arial" w:hAnsi="Arial" w:cs="Arial"/>
                <w:lang w:val="sq-AL" w:bidi="ar-AE"/>
              </w:rPr>
              <w:t>Orezivanje višegodišnjih biljaka kako bi postale sastavni dio kompostne gomile;</w:t>
            </w:r>
          </w:p>
          <w:p w14:paraId="4700D091" w14:textId="77777777" w:rsidR="00841B02" w:rsidRPr="002A6F4E" w:rsidRDefault="00841B02" w:rsidP="00A23ED0">
            <w:pPr>
              <w:pStyle w:val="ListParagraph"/>
              <w:numPr>
                <w:ilvl w:val="0"/>
                <w:numId w:val="89"/>
              </w:numPr>
              <w:tabs>
                <w:tab w:val="left" w:pos="324"/>
              </w:tabs>
              <w:spacing w:before="40" w:after="40" w:line="360" w:lineRule="auto"/>
              <w:ind w:left="324" w:hanging="270"/>
              <w:rPr>
                <w:rFonts w:ascii="Arial" w:hAnsi="Arial" w:cs="Arial"/>
                <w:lang w:val="sq-AL" w:bidi="ar-AE"/>
              </w:rPr>
            </w:pPr>
            <w:r w:rsidRPr="002A6F4E">
              <w:rPr>
                <w:rFonts w:ascii="Arial" w:hAnsi="Arial" w:cs="Arial"/>
                <w:lang w:val="sq-AL" w:bidi="ar-AE"/>
              </w:rPr>
              <w:t>Kompostiranje žetvenih ostataka, odvojeno ili sa ostalim tokovima;</w:t>
            </w:r>
          </w:p>
          <w:p w14:paraId="054E3035" w14:textId="77777777" w:rsidR="00841B02" w:rsidRPr="002A6F4E" w:rsidRDefault="00841B02" w:rsidP="00A23ED0">
            <w:pPr>
              <w:pStyle w:val="ListParagraph"/>
              <w:numPr>
                <w:ilvl w:val="0"/>
                <w:numId w:val="89"/>
              </w:numPr>
              <w:tabs>
                <w:tab w:val="left" w:pos="324"/>
              </w:tabs>
              <w:spacing w:before="40" w:after="40" w:line="360" w:lineRule="auto"/>
              <w:ind w:left="324" w:hanging="270"/>
              <w:rPr>
                <w:rFonts w:ascii="Arial" w:eastAsia="Times New Roman" w:hAnsi="Arial" w:cs="Arial"/>
                <w:lang w:val="sq-AL" w:eastAsia="el-GR"/>
              </w:rPr>
            </w:pPr>
            <w:r w:rsidRPr="002A6F4E">
              <w:rPr>
                <w:rFonts w:ascii="Arial" w:hAnsi="Arial" w:cs="Arial"/>
                <w:lang w:val="sq-AL" w:bidi="ar-AE"/>
              </w:rPr>
              <w:t>Fermentacija stočnog otpada, po potrebi, na licu mjesta ili u postrojenjima za obradu stajnjaka.</w:t>
            </w:r>
          </w:p>
        </w:tc>
        <w:tc>
          <w:tcPr>
            <w:tcW w:w="1101" w:type="pct"/>
            <w:shd w:val="clear" w:color="auto" w:fill="auto"/>
          </w:tcPr>
          <w:p w14:paraId="239C1974" w14:textId="572C4D5B" w:rsidR="00841B02" w:rsidRPr="002A6F4E" w:rsidRDefault="00C97057" w:rsidP="00841B02">
            <w:pPr>
              <w:spacing w:before="40" w:after="40" w:line="360" w:lineRule="auto"/>
              <w:rPr>
                <w:rFonts w:ascii="Arial" w:hAnsi="Arial" w:cs="Arial"/>
                <w:lang w:val="sq-AL" w:bidi="ar-AE"/>
              </w:rPr>
            </w:pPr>
            <w:r w:rsidRPr="002A6F4E">
              <w:rPr>
                <w:rFonts w:ascii="Arial" w:hAnsi="Arial" w:cs="Arial"/>
                <w:lang w:val="sq-AL" w:bidi="ar-AE"/>
              </w:rPr>
              <w:t>Ministarstvo poljoprivrede, šumarstva i vodoprivrede</w:t>
            </w:r>
            <w:r>
              <w:rPr>
                <w:rFonts w:ascii="Arial" w:hAnsi="Arial" w:cs="Arial"/>
                <w:lang w:val="sq-AL" w:bidi="ar-AE"/>
              </w:rPr>
              <w:t>/MERS</w:t>
            </w:r>
            <w:r w:rsidR="003306AE" w:rsidRPr="003306AE">
              <w:rPr>
                <w:rFonts w:ascii="Arial" w:hAnsi="Arial" w:cs="Arial"/>
                <w:lang w:val="sq-AL" w:bidi="ar-AE"/>
              </w:rPr>
              <w:t>/Jedinice lokalnih samouprava</w:t>
            </w:r>
          </w:p>
        </w:tc>
        <w:tc>
          <w:tcPr>
            <w:tcW w:w="508" w:type="pct"/>
            <w:shd w:val="clear" w:color="auto" w:fill="auto"/>
          </w:tcPr>
          <w:p w14:paraId="36893375" w14:textId="7DD11D1B"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2025-2029.</w:t>
            </w:r>
          </w:p>
        </w:tc>
        <w:tc>
          <w:tcPr>
            <w:tcW w:w="1305" w:type="pct"/>
          </w:tcPr>
          <w:p w14:paraId="4887F1CF"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bidi="ar-AE"/>
              </w:rPr>
              <w:t>Privatni sektor</w:t>
            </w:r>
          </w:p>
        </w:tc>
      </w:tr>
      <w:tr w:rsidR="00841B02" w:rsidRPr="002A6F4E" w14:paraId="75B9855D" w14:textId="77777777" w:rsidTr="009754F4">
        <w:trPr>
          <w:jc w:val="center"/>
        </w:trPr>
        <w:tc>
          <w:tcPr>
            <w:tcW w:w="304" w:type="pct"/>
            <w:shd w:val="clear" w:color="auto" w:fill="auto"/>
          </w:tcPr>
          <w:p w14:paraId="1D8D789D" w14:textId="094B1F7D"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lastRenderedPageBreak/>
              <w:t>4.</w:t>
            </w:r>
            <w:r w:rsidR="00A540B7">
              <w:rPr>
                <w:rFonts w:ascii="Arial" w:hAnsi="Arial" w:cs="Arial"/>
                <w:lang w:val="sq-AL" w:bidi="ar-AE"/>
              </w:rPr>
              <w:t>36</w:t>
            </w:r>
          </w:p>
        </w:tc>
        <w:tc>
          <w:tcPr>
            <w:tcW w:w="518" w:type="pct"/>
            <w:shd w:val="clear" w:color="auto" w:fill="auto"/>
          </w:tcPr>
          <w:p w14:paraId="5758F13B"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 xml:space="preserve">OAM </w:t>
            </w:r>
          </w:p>
        </w:tc>
        <w:tc>
          <w:tcPr>
            <w:tcW w:w="1264" w:type="pct"/>
            <w:shd w:val="clear" w:color="auto" w:fill="auto"/>
          </w:tcPr>
          <w:p w14:paraId="0A2B483E" w14:textId="77777777" w:rsidR="00841B02" w:rsidRPr="002A6F4E" w:rsidRDefault="00841B02" w:rsidP="00841B02">
            <w:pPr>
              <w:spacing w:before="40" w:after="40" w:line="360" w:lineRule="auto"/>
              <w:ind w:left="54"/>
              <w:rPr>
                <w:rFonts w:ascii="Arial" w:hAnsi="Arial" w:cs="Arial"/>
                <w:lang w:val="sq-AL" w:eastAsia="el-GR"/>
              </w:rPr>
            </w:pPr>
            <w:r w:rsidRPr="002A6F4E">
              <w:rPr>
                <w:rFonts w:ascii="Arial" w:hAnsi="Arial" w:cs="Arial"/>
                <w:lang w:val="sq-AL" w:eastAsia="el-GR"/>
              </w:rPr>
              <w:t xml:space="preserve">Recikliranje i/ili ponovna upotreba energije, u skladu sa hijerarhijom i poštovanjem redosljeda prioriteta: </w:t>
            </w:r>
          </w:p>
          <w:p w14:paraId="397F23E7" w14:textId="77777777" w:rsidR="00841B02" w:rsidRPr="002A6F4E" w:rsidRDefault="00841B02" w:rsidP="00A23ED0">
            <w:pPr>
              <w:pStyle w:val="ListParagraph"/>
              <w:numPr>
                <w:ilvl w:val="0"/>
                <w:numId w:val="89"/>
              </w:numPr>
              <w:tabs>
                <w:tab w:val="left" w:pos="324"/>
              </w:tabs>
              <w:spacing w:before="40" w:after="40" w:line="360" w:lineRule="auto"/>
              <w:ind w:left="324" w:hanging="270"/>
              <w:rPr>
                <w:rFonts w:ascii="Arial" w:hAnsi="Arial" w:cs="Arial"/>
                <w:lang w:val="sq-AL" w:bidi="ar-AE"/>
              </w:rPr>
            </w:pPr>
            <w:r w:rsidRPr="002A6F4E">
              <w:rPr>
                <w:rFonts w:ascii="Arial" w:hAnsi="Arial" w:cs="Arial"/>
                <w:lang w:val="sq-AL" w:bidi="ar-AE"/>
              </w:rPr>
              <w:t xml:space="preserve">Reciklirana kao organska materija; </w:t>
            </w:r>
          </w:p>
          <w:p w14:paraId="5D91234B" w14:textId="77777777" w:rsidR="00841B02" w:rsidRPr="002A6F4E" w:rsidRDefault="00841B02" w:rsidP="00A23ED0">
            <w:pPr>
              <w:pStyle w:val="ListParagraph"/>
              <w:numPr>
                <w:ilvl w:val="0"/>
                <w:numId w:val="89"/>
              </w:numPr>
              <w:tabs>
                <w:tab w:val="left" w:pos="324"/>
              </w:tabs>
              <w:spacing w:before="40" w:after="40" w:line="360" w:lineRule="auto"/>
              <w:ind w:left="324" w:hanging="270"/>
              <w:rPr>
                <w:rFonts w:ascii="Arial" w:hAnsi="Arial" w:cs="Arial"/>
                <w:lang w:val="sq-AL" w:bidi="ar-AE"/>
              </w:rPr>
            </w:pPr>
            <w:r w:rsidRPr="002A6F4E">
              <w:rPr>
                <w:rFonts w:ascii="Arial" w:hAnsi="Arial" w:cs="Arial"/>
                <w:lang w:val="sq-AL" w:bidi="ar-AE"/>
              </w:rPr>
              <w:t>Reciklirana kao sredstvo za kondicioniranje zemljišta;</w:t>
            </w:r>
          </w:p>
          <w:p w14:paraId="2403CDF0" w14:textId="77777777" w:rsidR="00841B02" w:rsidRPr="002A6F4E" w:rsidRDefault="00841B02" w:rsidP="00A23ED0">
            <w:pPr>
              <w:pStyle w:val="ListParagraph"/>
              <w:numPr>
                <w:ilvl w:val="0"/>
                <w:numId w:val="89"/>
              </w:numPr>
              <w:tabs>
                <w:tab w:val="left" w:pos="324"/>
              </w:tabs>
              <w:spacing w:before="40" w:after="40" w:line="360" w:lineRule="auto"/>
              <w:ind w:left="324" w:hanging="270"/>
              <w:rPr>
                <w:rFonts w:ascii="Arial" w:hAnsi="Arial" w:cs="Arial"/>
                <w:lang w:val="sq-AL" w:bidi="ar-AE"/>
              </w:rPr>
            </w:pPr>
            <w:r w:rsidRPr="002A6F4E">
              <w:rPr>
                <w:rFonts w:ascii="Arial" w:hAnsi="Arial" w:cs="Arial"/>
                <w:lang w:val="sq-AL" w:bidi="ar-AE"/>
              </w:rPr>
              <w:t>Upotrijebljena kao sekundarna sirovina u ostalim namjenama nakon odgovarajuće dokumentacije (indikativno u keramici);</w:t>
            </w:r>
          </w:p>
          <w:p w14:paraId="410033EC" w14:textId="77777777" w:rsidR="00841B02" w:rsidRPr="002A6F4E" w:rsidRDefault="00841B02" w:rsidP="00A23ED0">
            <w:pPr>
              <w:pStyle w:val="ListParagraph"/>
              <w:numPr>
                <w:ilvl w:val="0"/>
                <w:numId w:val="89"/>
              </w:numPr>
              <w:tabs>
                <w:tab w:val="left" w:pos="324"/>
              </w:tabs>
              <w:spacing w:before="40" w:after="40" w:line="360" w:lineRule="auto"/>
              <w:ind w:left="324" w:hanging="270"/>
              <w:rPr>
                <w:rFonts w:ascii="Arial" w:hAnsi="Arial" w:cs="Arial"/>
                <w:lang w:val="sq-AL" w:bidi="ar-AE"/>
              </w:rPr>
            </w:pPr>
            <w:r w:rsidRPr="002A6F4E">
              <w:rPr>
                <w:rFonts w:ascii="Arial" w:hAnsi="Arial" w:cs="Arial"/>
                <w:lang w:val="sq-AL" w:bidi="ar-AE"/>
              </w:rPr>
              <w:t>Ponovna upotreba energije i toplote u postrojenjima za biogas;</w:t>
            </w:r>
          </w:p>
          <w:p w14:paraId="3FD4C65E" w14:textId="25CDF153" w:rsidR="00841B02" w:rsidRPr="002A6F4E" w:rsidRDefault="00841B02" w:rsidP="00A23ED0">
            <w:pPr>
              <w:pStyle w:val="ListParagraph"/>
              <w:numPr>
                <w:ilvl w:val="0"/>
                <w:numId w:val="89"/>
              </w:numPr>
              <w:tabs>
                <w:tab w:val="left" w:pos="324"/>
              </w:tabs>
              <w:spacing w:before="40" w:after="40" w:line="360" w:lineRule="auto"/>
              <w:ind w:left="324" w:hanging="270"/>
              <w:rPr>
                <w:rFonts w:ascii="Arial" w:eastAsia="Times New Roman" w:hAnsi="Arial" w:cs="Arial"/>
                <w:lang w:val="sq-AL" w:eastAsia="el-GR"/>
              </w:rPr>
            </w:pPr>
            <w:r w:rsidRPr="002A6F4E">
              <w:rPr>
                <w:rFonts w:ascii="Arial" w:hAnsi="Arial" w:cs="Arial"/>
                <w:lang w:val="sq-AL" w:bidi="ar-AE"/>
              </w:rPr>
              <w:t xml:space="preserve">Ponovna upotreba energije u postrojenjima  </w:t>
            </w:r>
            <w:r w:rsidR="00311FB6">
              <w:rPr>
                <w:rFonts w:ascii="Arial" w:hAnsi="Arial" w:cs="Arial"/>
                <w:lang w:val="sq-AL" w:bidi="ar-AE"/>
              </w:rPr>
              <w:t xml:space="preserve">za spaljivanje </w:t>
            </w:r>
            <w:r w:rsidR="00267C61">
              <w:rPr>
                <w:rFonts w:ascii="Arial" w:hAnsi="Arial" w:cs="Arial"/>
                <w:lang w:val="sq-AL" w:bidi="ar-AE"/>
              </w:rPr>
              <w:t>i/</w:t>
            </w:r>
            <w:r w:rsidRPr="002A6F4E">
              <w:rPr>
                <w:rFonts w:ascii="Arial" w:hAnsi="Arial" w:cs="Arial"/>
                <w:lang w:val="sq-AL" w:bidi="ar-AE"/>
              </w:rPr>
              <w:t xml:space="preserve">ili suspaljivanje. </w:t>
            </w:r>
          </w:p>
        </w:tc>
        <w:tc>
          <w:tcPr>
            <w:tcW w:w="1101" w:type="pct"/>
            <w:shd w:val="clear" w:color="auto" w:fill="auto"/>
          </w:tcPr>
          <w:p w14:paraId="60CAD19F" w14:textId="59FCC981" w:rsidR="00841B02" w:rsidRPr="002A6F4E" w:rsidRDefault="00C97057" w:rsidP="00841B02">
            <w:pPr>
              <w:spacing w:before="40" w:after="40" w:line="360" w:lineRule="auto"/>
              <w:rPr>
                <w:rFonts w:ascii="Arial" w:hAnsi="Arial" w:cs="Arial"/>
                <w:lang w:val="sq-AL" w:bidi="ar-AE"/>
              </w:rPr>
            </w:pPr>
            <w:r w:rsidRPr="002A6F4E">
              <w:rPr>
                <w:rFonts w:ascii="Arial" w:hAnsi="Arial" w:cs="Arial"/>
                <w:lang w:val="sq-AL" w:bidi="ar-AE"/>
              </w:rPr>
              <w:t>Ministarstvo poljoprivrede, šumarstva i vodoprivrede</w:t>
            </w:r>
            <w:r>
              <w:rPr>
                <w:rFonts w:ascii="Arial" w:hAnsi="Arial" w:cs="Arial"/>
                <w:lang w:val="sq-AL" w:bidi="ar-AE"/>
              </w:rPr>
              <w:t>/MERS</w:t>
            </w:r>
            <w:r w:rsidR="00C52A08" w:rsidRPr="00C52A08">
              <w:rPr>
                <w:rFonts w:ascii="Arial" w:hAnsi="Arial" w:cs="Arial"/>
                <w:lang w:val="sq-AL" w:bidi="ar-AE"/>
              </w:rPr>
              <w:t>/Jedinice lokalnih samouprava</w:t>
            </w:r>
          </w:p>
        </w:tc>
        <w:tc>
          <w:tcPr>
            <w:tcW w:w="508" w:type="pct"/>
            <w:shd w:val="clear" w:color="auto" w:fill="auto"/>
          </w:tcPr>
          <w:p w14:paraId="5FD8B9EB" w14:textId="37A41515"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2025-2029.</w:t>
            </w:r>
          </w:p>
        </w:tc>
        <w:tc>
          <w:tcPr>
            <w:tcW w:w="1305" w:type="pct"/>
          </w:tcPr>
          <w:p w14:paraId="18616190" w14:textId="12B2FE4D"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Državni budžet</w:t>
            </w:r>
            <w:r w:rsidR="00311FB6">
              <w:rPr>
                <w:rFonts w:ascii="Arial" w:hAnsi="Arial" w:cs="Arial"/>
                <w:lang w:bidi="ar-AE"/>
              </w:rPr>
              <w:t>/</w:t>
            </w:r>
          </w:p>
          <w:p w14:paraId="6AE88815"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bidi="ar-AE"/>
              </w:rPr>
              <w:t>Privatni sektor</w:t>
            </w:r>
          </w:p>
        </w:tc>
      </w:tr>
      <w:tr w:rsidR="00841B02" w:rsidRPr="0014164F" w14:paraId="629A447A" w14:textId="77777777" w:rsidTr="009754F4">
        <w:trPr>
          <w:jc w:val="center"/>
        </w:trPr>
        <w:tc>
          <w:tcPr>
            <w:tcW w:w="304" w:type="pct"/>
            <w:shd w:val="clear" w:color="auto" w:fill="auto"/>
          </w:tcPr>
          <w:p w14:paraId="693E24D0" w14:textId="52B55CB9"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311FB6">
              <w:rPr>
                <w:rFonts w:ascii="Arial" w:hAnsi="Arial" w:cs="Arial"/>
                <w:lang w:val="sq-AL" w:bidi="ar-AE"/>
              </w:rPr>
              <w:t>37</w:t>
            </w:r>
          </w:p>
        </w:tc>
        <w:tc>
          <w:tcPr>
            <w:tcW w:w="518" w:type="pct"/>
            <w:shd w:val="clear" w:color="auto" w:fill="auto"/>
          </w:tcPr>
          <w:p w14:paraId="10172C49" w14:textId="3BB7A8DF"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PSSSS/ IM</w:t>
            </w:r>
          </w:p>
        </w:tc>
        <w:tc>
          <w:tcPr>
            <w:tcW w:w="1264" w:type="pct"/>
            <w:shd w:val="clear" w:color="auto" w:fill="auto"/>
          </w:tcPr>
          <w:p w14:paraId="640AB57F" w14:textId="77777777" w:rsidR="00841B02" w:rsidRPr="002A6F4E" w:rsidRDefault="00841B02" w:rsidP="00841B02">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Izgradnja mreže za sakupljanje i prevoz otpada iz poljoprivrede, kao i infrastrukture za upravljanje otpadom iz poljoprivrede uz akcenat na proizvodnju korisnih proizvoda i ponovnu upotrebu materijala i/ili energije.</w:t>
            </w:r>
          </w:p>
        </w:tc>
        <w:tc>
          <w:tcPr>
            <w:tcW w:w="1101" w:type="pct"/>
            <w:shd w:val="clear" w:color="auto" w:fill="auto"/>
          </w:tcPr>
          <w:p w14:paraId="09E1C632" w14:textId="36B6AC17" w:rsidR="00841B02" w:rsidRPr="002A6F4E" w:rsidRDefault="00C97057" w:rsidP="00841B02">
            <w:pPr>
              <w:spacing w:before="40" w:after="40" w:line="360" w:lineRule="auto"/>
              <w:rPr>
                <w:rFonts w:ascii="Arial" w:hAnsi="Arial" w:cs="Arial"/>
                <w:lang w:val="sq-AL" w:bidi="ar-AE"/>
              </w:rPr>
            </w:pPr>
            <w:r w:rsidRPr="002A6F4E">
              <w:rPr>
                <w:rFonts w:ascii="Arial" w:hAnsi="Arial" w:cs="Arial"/>
                <w:lang w:val="sq-AL" w:bidi="ar-AE"/>
              </w:rPr>
              <w:t>Ministarstvo poljoprivrede, šumarstva i vodoprivrede</w:t>
            </w:r>
            <w:r>
              <w:rPr>
                <w:rFonts w:ascii="Arial" w:hAnsi="Arial" w:cs="Arial"/>
                <w:lang w:val="sq-AL" w:bidi="ar-AE"/>
              </w:rPr>
              <w:t>/MERS</w:t>
            </w:r>
            <w:r w:rsidR="00E951EC">
              <w:rPr>
                <w:rFonts w:ascii="Arial" w:hAnsi="Arial" w:cs="Arial"/>
                <w:lang w:val="sq-AL" w:bidi="ar-AE"/>
              </w:rPr>
              <w:t>/Jedinice lokalnih samouprava</w:t>
            </w:r>
          </w:p>
        </w:tc>
        <w:tc>
          <w:tcPr>
            <w:tcW w:w="508" w:type="pct"/>
            <w:shd w:val="clear" w:color="auto" w:fill="auto"/>
          </w:tcPr>
          <w:p w14:paraId="357D25B6" w14:textId="15F9BDCE"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2025-2029.</w:t>
            </w:r>
          </w:p>
        </w:tc>
        <w:tc>
          <w:tcPr>
            <w:tcW w:w="1305" w:type="pct"/>
          </w:tcPr>
          <w:p w14:paraId="1D1C7DC7" w14:textId="3C2B27B5" w:rsidR="00841B02" w:rsidRPr="002A6F4E" w:rsidRDefault="00841B02" w:rsidP="00841B02">
            <w:pPr>
              <w:spacing w:before="40" w:after="40" w:line="360" w:lineRule="auto"/>
              <w:rPr>
                <w:rFonts w:ascii="Arial" w:hAnsi="Arial" w:cs="Arial"/>
                <w:lang w:val="de-DE" w:bidi="ar-AE"/>
              </w:rPr>
            </w:pPr>
            <w:r w:rsidRPr="002A6F4E">
              <w:rPr>
                <w:rFonts w:ascii="Arial" w:hAnsi="Arial" w:cs="Arial"/>
                <w:lang w:val="de-DE" w:bidi="ar-AE"/>
              </w:rPr>
              <w:t>Državni budžet</w:t>
            </w:r>
            <w:r w:rsidR="00267C61">
              <w:rPr>
                <w:rFonts w:ascii="Arial" w:hAnsi="Arial" w:cs="Arial"/>
                <w:lang w:val="de-DE" w:bidi="ar-AE"/>
              </w:rPr>
              <w:t>/</w:t>
            </w:r>
          </w:p>
          <w:p w14:paraId="6911F9C8" w14:textId="68AFD27E" w:rsidR="00841B02" w:rsidRPr="002A6F4E" w:rsidRDefault="00841B02" w:rsidP="00841B02">
            <w:pPr>
              <w:spacing w:before="40" w:after="40" w:line="360" w:lineRule="auto"/>
              <w:rPr>
                <w:rFonts w:ascii="Arial" w:hAnsi="Arial" w:cs="Arial"/>
                <w:lang w:val="de-DE" w:bidi="ar-AE"/>
              </w:rPr>
            </w:pPr>
            <w:r w:rsidRPr="002A6F4E">
              <w:rPr>
                <w:rFonts w:ascii="Arial" w:hAnsi="Arial" w:cs="Arial"/>
                <w:lang w:val="de-DE" w:bidi="ar-AE"/>
              </w:rPr>
              <w:t>Donatori</w:t>
            </w:r>
            <w:r w:rsidR="00267C61">
              <w:rPr>
                <w:rFonts w:ascii="Arial" w:hAnsi="Arial" w:cs="Arial"/>
                <w:lang w:val="de-DE" w:bidi="ar-AE"/>
              </w:rPr>
              <w:t>/</w:t>
            </w:r>
          </w:p>
          <w:p w14:paraId="71A85A3A" w14:textId="04C65DF0"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de-DE" w:bidi="ar-AE"/>
              </w:rPr>
              <w:t>Privatni sektor</w:t>
            </w:r>
            <w:r w:rsidR="00267C61">
              <w:rPr>
                <w:rFonts w:ascii="Arial" w:hAnsi="Arial" w:cs="Arial"/>
                <w:lang w:val="de-DE" w:bidi="ar-AE"/>
              </w:rPr>
              <w:t>/</w:t>
            </w:r>
            <w:r w:rsidR="00267C61" w:rsidRPr="00B46B69">
              <w:rPr>
                <w:rFonts w:ascii="Arial" w:hAnsi="Arial" w:cs="Arial"/>
                <w:lang w:val="de-DE" w:bidi="ar-AE"/>
              </w:rPr>
              <w:t xml:space="preserve"> Međunarodne finansijske institucije</w:t>
            </w:r>
          </w:p>
        </w:tc>
      </w:tr>
      <w:tr w:rsidR="00841B02" w:rsidRPr="002A6F4E" w14:paraId="3B15F668" w14:textId="77777777" w:rsidTr="009754F4">
        <w:trPr>
          <w:jc w:val="center"/>
        </w:trPr>
        <w:tc>
          <w:tcPr>
            <w:tcW w:w="304" w:type="pct"/>
            <w:shd w:val="clear" w:color="auto" w:fill="auto"/>
          </w:tcPr>
          <w:p w14:paraId="5341DB41" w14:textId="194548E6"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311FB6">
              <w:rPr>
                <w:rFonts w:ascii="Arial" w:hAnsi="Arial" w:cs="Arial"/>
                <w:lang w:val="sq-AL" w:bidi="ar-AE"/>
              </w:rPr>
              <w:t>38</w:t>
            </w:r>
          </w:p>
        </w:tc>
        <w:tc>
          <w:tcPr>
            <w:tcW w:w="518" w:type="pct"/>
            <w:shd w:val="clear" w:color="auto" w:fill="auto"/>
          </w:tcPr>
          <w:p w14:paraId="20852BC6"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2FED18A2" w14:textId="3B27E83F" w:rsidR="00841B02" w:rsidRPr="002A6F4E" w:rsidRDefault="00841B02" w:rsidP="00841B02">
            <w:pPr>
              <w:spacing w:before="40" w:after="40" w:line="360" w:lineRule="auto"/>
              <w:ind w:left="54"/>
              <w:rPr>
                <w:rFonts w:ascii="Arial" w:hAnsi="Arial" w:cs="Arial"/>
                <w:lang w:val="sq-AL" w:bidi="ar-AE"/>
              </w:rPr>
            </w:pPr>
            <w:r w:rsidRPr="002A6F4E">
              <w:rPr>
                <w:rFonts w:ascii="Arial" w:hAnsi="Arial" w:cs="Arial"/>
                <w:lang w:val="sq-AL" w:bidi="ar-AE"/>
              </w:rPr>
              <w:t xml:space="preserve">Ispitivanje mogućnosti zajedničke obrade određenih kategorija otpada iz poljoprivrede u postrojenjima u kojima se vrši organska </w:t>
            </w:r>
            <w:r w:rsidRPr="002A6F4E">
              <w:rPr>
                <w:rFonts w:ascii="Arial" w:hAnsi="Arial" w:cs="Arial"/>
                <w:lang w:val="sq-AL" w:bidi="ar-AE"/>
              </w:rPr>
              <w:lastRenderedPageBreak/>
              <w:t>frakcijama KO u MBT ili kompostiranje i/ili zajednička obrada sa KO u postrojenjima za ponovnu upotrebu energije uz termičku obradu.</w:t>
            </w:r>
          </w:p>
        </w:tc>
        <w:tc>
          <w:tcPr>
            <w:tcW w:w="1101" w:type="pct"/>
            <w:shd w:val="clear" w:color="auto" w:fill="auto"/>
          </w:tcPr>
          <w:p w14:paraId="35D6C031" w14:textId="52DF3F6D" w:rsidR="00841B02" w:rsidRPr="002A6F4E" w:rsidRDefault="00C97057" w:rsidP="00841B02">
            <w:pPr>
              <w:spacing w:before="40" w:after="40" w:line="360" w:lineRule="auto"/>
              <w:rPr>
                <w:rFonts w:ascii="Arial" w:hAnsi="Arial" w:cs="Arial"/>
                <w:lang w:val="sq-AL" w:bidi="ar-AE"/>
              </w:rPr>
            </w:pPr>
            <w:r w:rsidRPr="002A6F4E">
              <w:rPr>
                <w:rFonts w:ascii="Arial" w:hAnsi="Arial" w:cs="Arial"/>
                <w:lang w:val="sq-AL" w:bidi="ar-AE"/>
              </w:rPr>
              <w:lastRenderedPageBreak/>
              <w:t>Ministarstvo poljoprivrede, šumarstva i vodoprivrede</w:t>
            </w:r>
            <w:r>
              <w:rPr>
                <w:rFonts w:ascii="Arial" w:hAnsi="Arial" w:cs="Arial"/>
                <w:lang w:val="sq-AL" w:bidi="ar-AE"/>
              </w:rPr>
              <w:t>/MERS</w:t>
            </w:r>
            <w:r w:rsidR="00E951EC">
              <w:rPr>
                <w:rFonts w:ascii="Arial" w:hAnsi="Arial" w:cs="Arial"/>
                <w:lang w:val="sq-AL" w:bidi="ar-AE"/>
              </w:rPr>
              <w:t>/Jedinice lokalnih smouprava</w:t>
            </w:r>
          </w:p>
        </w:tc>
        <w:tc>
          <w:tcPr>
            <w:tcW w:w="508" w:type="pct"/>
            <w:shd w:val="clear" w:color="auto" w:fill="auto"/>
          </w:tcPr>
          <w:p w14:paraId="0A97DA44" w14:textId="6D44CB18"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2025-2029.</w:t>
            </w:r>
          </w:p>
        </w:tc>
        <w:tc>
          <w:tcPr>
            <w:tcW w:w="1305" w:type="pct"/>
          </w:tcPr>
          <w:p w14:paraId="7E9D1A99" w14:textId="55604029"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Državni budžet</w:t>
            </w:r>
            <w:r w:rsidR="00D44F6D">
              <w:rPr>
                <w:rFonts w:ascii="Arial" w:hAnsi="Arial" w:cs="Arial"/>
                <w:lang w:bidi="ar-AE"/>
              </w:rPr>
              <w:t>/</w:t>
            </w:r>
          </w:p>
          <w:p w14:paraId="6C124CC0" w14:textId="77777777"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Donatori</w:t>
            </w:r>
          </w:p>
          <w:p w14:paraId="1517549E" w14:textId="77777777" w:rsidR="00841B02" w:rsidRPr="002A6F4E" w:rsidRDefault="00841B02" w:rsidP="00841B02">
            <w:pPr>
              <w:spacing w:before="40" w:after="40" w:line="360" w:lineRule="auto"/>
              <w:rPr>
                <w:rFonts w:ascii="Arial" w:hAnsi="Arial" w:cs="Arial"/>
                <w:lang w:val="sq-AL" w:bidi="ar-AE"/>
              </w:rPr>
            </w:pPr>
          </w:p>
        </w:tc>
      </w:tr>
      <w:tr w:rsidR="00841B02" w:rsidRPr="0014164F" w14:paraId="24440644" w14:textId="77777777" w:rsidTr="009754F4">
        <w:trPr>
          <w:trHeight w:val="780"/>
          <w:jc w:val="center"/>
        </w:trPr>
        <w:tc>
          <w:tcPr>
            <w:tcW w:w="3695" w:type="pct"/>
            <w:gridSpan w:val="5"/>
            <w:shd w:val="clear" w:color="auto" w:fill="EDEDED" w:themeFill="accent3" w:themeFillTint="33"/>
          </w:tcPr>
          <w:p w14:paraId="549AD8C9" w14:textId="4746C0B2" w:rsidR="00841B02" w:rsidRPr="002A6F4E" w:rsidRDefault="00841B02" w:rsidP="00841B02">
            <w:pPr>
              <w:spacing w:before="40" w:after="40" w:line="360" w:lineRule="auto"/>
              <w:rPr>
                <w:rFonts w:ascii="Arial" w:hAnsi="Arial" w:cs="Arial"/>
                <w:b/>
                <w:lang w:val="sq-AL" w:bidi="ar-AE"/>
              </w:rPr>
            </w:pPr>
            <w:r w:rsidRPr="002A6F4E">
              <w:rPr>
                <w:rFonts w:ascii="Arial" w:hAnsi="Arial" w:cs="Arial"/>
                <w:b/>
                <w:lang w:val="sq-AL" w:bidi="ar-AE"/>
              </w:rPr>
              <w:t xml:space="preserve">Posebni cilj VIIh: </w:t>
            </w:r>
            <w:r>
              <w:rPr>
                <w:rFonts w:ascii="Arial" w:hAnsi="Arial" w:cs="Arial"/>
                <w:b/>
                <w:lang w:val="sq-AL" w:bidi="ar-AE"/>
              </w:rPr>
              <w:t>Kanalizacioni mulj</w:t>
            </w:r>
            <w:r w:rsidRPr="002A6F4E">
              <w:rPr>
                <w:rFonts w:ascii="Arial" w:hAnsi="Arial" w:cs="Arial"/>
                <w:b/>
                <w:lang w:val="sq-AL" w:bidi="ar-AE"/>
              </w:rPr>
              <w:t xml:space="preserve"> </w:t>
            </w:r>
          </w:p>
          <w:p w14:paraId="537B6B2A" w14:textId="67EC9BC5" w:rsidR="00841B02" w:rsidRPr="002A6F4E" w:rsidRDefault="00841B02"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 203</w:t>
            </w:r>
            <w:r w:rsidR="00947877">
              <w:rPr>
                <w:rFonts w:ascii="Arial" w:hAnsi="Arial" w:cs="Arial"/>
                <w:i/>
                <w:lang w:val="sq-AL" w:bidi="ar-AE"/>
              </w:rPr>
              <w:t>5</w:t>
            </w:r>
            <w:r w:rsidRPr="002A6F4E">
              <w:rPr>
                <w:rFonts w:ascii="Arial" w:hAnsi="Arial" w:cs="Arial"/>
                <w:i/>
                <w:lang w:val="sq-AL" w:bidi="ar-AE"/>
              </w:rPr>
              <w:t>. godine, završetak planirane mreže postrojenja za tretman otpadnih voda.</w:t>
            </w:r>
          </w:p>
          <w:p w14:paraId="474F25EB" w14:textId="77777777" w:rsidR="00841B02" w:rsidRPr="002A6F4E" w:rsidRDefault="00841B02"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Svođenje odlaganja mulja na deponije na najmanji mogući nivo, i samo nakon što su isključene sve ostale tehnike za njegovu upotrebu.</w:t>
            </w:r>
          </w:p>
        </w:tc>
        <w:tc>
          <w:tcPr>
            <w:tcW w:w="1305" w:type="pct"/>
            <w:shd w:val="clear" w:color="auto" w:fill="EDEDED" w:themeFill="accent3" w:themeFillTint="33"/>
          </w:tcPr>
          <w:p w14:paraId="426E807D" w14:textId="77777777" w:rsidR="00841B02" w:rsidRPr="002A6F4E" w:rsidRDefault="00841B02" w:rsidP="00841B02">
            <w:pPr>
              <w:spacing w:before="40" w:after="40" w:line="360" w:lineRule="auto"/>
              <w:rPr>
                <w:rFonts w:ascii="Arial" w:hAnsi="Arial" w:cs="Arial"/>
                <w:b/>
                <w:lang w:val="sq-AL" w:bidi="ar-AE"/>
              </w:rPr>
            </w:pPr>
          </w:p>
        </w:tc>
      </w:tr>
      <w:tr w:rsidR="00841B02" w:rsidRPr="002A6F4E" w14:paraId="1E4FC2DD" w14:textId="77777777" w:rsidTr="009754F4">
        <w:trPr>
          <w:jc w:val="center"/>
        </w:trPr>
        <w:tc>
          <w:tcPr>
            <w:tcW w:w="304" w:type="pct"/>
            <w:shd w:val="clear" w:color="auto" w:fill="auto"/>
          </w:tcPr>
          <w:p w14:paraId="60B123C9" w14:textId="5109D152"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A5647F">
              <w:rPr>
                <w:rFonts w:ascii="Arial" w:hAnsi="Arial" w:cs="Arial"/>
                <w:lang w:val="sq-AL" w:bidi="ar-AE"/>
              </w:rPr>
              <w:t>39</w:t>
            </w:r>
          </w:p>
        </w:tc>
        <w:tc>
          <w:tcPr>
            <w:tcW w:w="518" w:type="pct"/>
            <w:shd w:val="clear" w:color="auto" w:fill="auto"/>
          </w:tcPr>
          <w:p w14:paraId="06B6C1FF" w14:textId="67283A41"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PSSSS/IM / FM</w:t>
            </w:r>
          </w:p>
        </w:tc>
        <w:tc>
          <w:tcPr>
            <w:tcW w:w="1264" w:type="pct"/>
            <w:shd w:val="clear" w:color="auto" w:fill="auto"/>
          </w:tcPr>
          <w:p w14:paraId="2C3CFD4C" w14:textId="387EDF82" w:rsidR="00841B02" w:rsidRPr="002A6F4E" w:rsidRDefault="00841B02" w:rsidP="00841B02">
            <w:pPr>
              <w:spacing w:before="40" w:after="40" w:line="360" w:lineRule="auto"/>
              <w:ind w:left="29"/>
              <w:rPr>
                <w:rFonts w:ascii="Arial" w:hAnsi="Arial" w:cs="Arial"/>
                <w:lang w:val="sq-AL" w:bidi="ar-AE"/>
              </w:rPr>
            </w:pPr>
            <w:r w:rsidRPr="002A6F4E">
              <w:rPr>
                <w:rFonts w:ascii="Arial" w:hAnsi="Arial" w:cs="Arial"/>
                <w:lang w:val="sq-AL" w:bidi="ar-AE"/>
              </w:rPr>
              <w:t>Završe</w:t>
            </w:r>
            <w:r w:rsidR="006508B9">
              <w:rPr>
                <w:rFonts w:ascii="Arial" w:hAnsi="Arial" w:cs="Arial"/>
                <w:lang w:val="sq-AL" w:bidi="ar-AE"/>
              </w:rPr>
              <w:t>tak</w:t>
            </w:r>
            <w:r w:rsidRPr="002A6F4E">
              <w:rPr>
                <w:rFonts w:ascii="Arial" w:hAnsi="Arial" w:cs="Arial"/>
                <w:lang w:val="sq-AL" w:bidi="ar-AE"/>
              </w:rPr>
              <w:t xml:space="preserve"> planirane mreže postrojenja za tretman otpadnih voda:</w:t>
            </w:r>
          </w:p>
          <w:p w14:paraId="3ACE2626" w14:textId="77777777" w:rsidR="00841B02" w:rsidRPr="002A6F4E" w:rsidRDefault="00841B02" w:rsidP="00A23ED0">
            <w:pPr>
              <w:pStyle w:val="ListParagraph"/>
              <w:numPr>
                <w:ilvl w:val="0"/>
                <w:numId w:val="89"/>
              </w:numPr>
              <w:tabs>
                <w:tab w:val="left" w:pos="324"/>
              </w:tabs>
              <w:spacing w:before="40" w:after="40" w:line="360" w:lineRule="auto"/>
              <w:ind w:left="324" w:hanging="270"/>
              <w:rPr>
                <w:rFonts w:ascii="Arial" w:hAnsi="Arial" w:cs="Arial"/>
                <w:lang w:val="sq-AL" w:bidi="ar-AE"/>
              </w:rPr>
            </w:pPr>
            <w:r w:rsidRPr="002A6F4E">
              <w:rPr>
                <w:rFonts w:ascii="Arial" w:hAnsi="Arial" w:cs="Arial"/>
                <w:lang w:val="sq-AL" w:bidi="ar-AE"/>
              </w:rPr>
              <w:t>Uspostavljanje organizacione strukture za sakupljanje kanalizacionog mulja</w:t>
            </w:r>
          </w:p>
          <w:p w14:paraId="119A5BF8" w14:textId="3714505D" w:rsidR="00841B02" w:rsidRPr="002A6F4E" w:rsidRDefault="00841B02" w:rsidP="00A23ED0">
            <w:pPr>
              <w:pStyle w:val="ListParagraph"/>
              <w:numPr>
                <w:ilvl w:val="0"/>
                <w:numId w:val="89"/>
              </w:numPr>
              <w:tabs>
                <w:tab w:val="left" w:pos="324"/>
              </w:tabs>
              <w:spacing w:before="40" w:after="40" w:line="360" w:lineRule="auto"/>
              <w:ind w:left="324" w:hanging="270"/>
              <w:rPr>
                <w:rFonts w:ascii="Arial" w:hAnsi="Arial" w:cs="Arial"/>
                <w:lang w:val="sq-AL" w:bidi="ar-AE"/>
              </w:rPr>
            </w:pPr>
            <w:r w:rsidRPr="002A6F4E">
              <w:rPr>
                <w:rFonts w:ascii="Arial" w:hAnsi="Arial" w:cs="Arial"/>
                <w:lang w:val="sq-AL" w:bidi="ar-AE"/>
              </w:rPr>
              <w:t>Izrada odgovarajućih studija i dalje određivanje konačnih lokacija/odabir lokacija, po potrebi</w:t>
            </w:r>
          </w:p>
          <w:p w14:paraId="69C6FC9A" w14:textId="77777777" w:rsidR="00841B02" w:rsidRPr="002A6F4E" w:rsidRDefault="00841B02" w:rsidP="00A23ED0">
            <w:pPr>
              <w:pStyle w:val="ListParagraph"/>
              <w:numPr>
                <w:ilvl w:val="0"/>
                <w:numId w:val="89"/>
              </w:numPr>
              <w:tabs>
                <w:tab w:val="left" w:pos="324"/>
              </w:tabs>
              <w:spacing w:before="40" w:after="40" w:line="360" w:lineRule="auto"/>
              <w:ind w:left="324" w:hanging="270"/>
              <w:rPr>
                <w:rFonts w:ascii="Arial" w:hAnsi="Arial" w:cs="Arial"/>
                <w:lang w:val="sq-AL" w:bidi="ar-AE"/>
              </w:rPr>
            </w:pPr>
            <w:r w:rsidRPr="002A6F4E">
              <w:rPr>
                <w:rFonts w:ascii="Arial" w:hAnsi="Arial" w:cs="Arial"/>
                <w:lang w:val="sq-AL" w:bidi="ar-AE"/>
              </w:rPr>
              <w:t xml:space="preserve">Finansiranje postrojenja za preradu otpadnih voda </w:t>
            </w:r>
          </w:p>
          <w:p w14:paraId="11D5930A" w14:textId="4919CF9F" w:rsidR="00841B02" w:rsidRPr="002A6F4E" w:rsidRDefault="00841B02" w:rsidP="00A23ED0">
            <w:pPr>
              <w:pStyle w:val="ListParagraph"/>
              <w:numPr>
                <w:ilvl w:val="0"/>
                <w:numId w:val="89"/>
              </w:numPr>
              <w:tabs>
                <w:tab w:val="left" w:pos="324"/>
              </w:tabs>
              <w:spacing w:before="40" w:after="40" w:line="360" w:lineRule="auto"/>
              <w:ind w:left="324" w:hanging="270"/>
              <w:rPr>
                <w:rFonts w:ascii="Arial" w:hAnsi="Arial" w:cs="Arial"/>
                <w:lang w:val="sq-AL" w:bidi="ar-AE"/>
              </w:rPr>
            </w:pPr>
            <w:r w:rsidRPr="002A6F4E">
              <w:rPr>
                <w:rFonts w:ascii="Arial" w:hAnsi="Arial" w:cs="Arial"/>
                <w:lang w:val="sq-AL" w:bidi="ar-AE"/>
              </w:rPr>
              <w:t>I</w:t>
            </w:r>
            <w:r>
              <w:rPr>
                <w:rFonts w:ascii="Arial" w:hAnsi="Arial" w:cs="Arial"/>
                <w:lang w:val="sq-AL" w:bidi="ar-AE"/>
              </w:rPr>
              <w:t>z</w:t>
            </w:r>
            <w:r w:rsidRPr="002A6F4E">
              <w:rPr>
                <w:rFonts w:ascii="Arial" w:hAnsi="Arial" w:cs="Arial"/>
                <w:lang w:val="sq-AL" w:bidi="ar-AE"/>
              </w:rPr>
              <w:t xml:space="preserve">rada studije i izgradnja objekata za obradu mulja povezanih na velika i srednja PTOV, u skladu sa standardima i normama. Usvajanje konvencionalnih i naprednih tehnologija za obradu mulja, u zavisnosti od veličine PTOV i ekonomskih i tehničkih kriterijuma. Indikativno: </w:t>
            </w:r>
          </w:p>
          <w:p w14:paraId="49769A1C" w14:textId="215BBEE1" w:rsidR="00841B02" w:rsidRPr="002A6F4E" w:rsidRDefault="00841B02" w:rsidP="00A23ED0">
            <w:pPr>
              <w:numPr>
                <w:ilvl w:val="1"/>
                <w:numId w:val="90"/>
              </w:numPr>
              <w:spacing w:before="60" w:after="60" w:line="360" w:lineRule="auto"/>
              <w:ind w:left="774"/>
              <w:rPr>
                <w:rFonts w:ascii="Arial" w:eastAsia="Times New Roman" w:hAnsi="Arial" w:cs="Arial"/>
                <w:lang w:val="sq-AL"/>
              </w:rPr>
            </w:pPr>
            <w:r w:rsidRPr="002A6F4E">
              <w:rPr>
                <w:rFonts w:ascii="Arial" w:eastAsia="Times New Roman" w:hAnsi="Arial" w:cs="Arial"/>
                <w:lang w:val="sq-AL"/>
              </w:rPr>
              <w:lastRenderedPageBreak/>
              <w:t>Anaerobna prerada u mezofiličnom/ termofiličnom području uz termičku obradu (pasterizaciju)</w:t>
            </w:r>
          </w:p>
          <w:p w14:paraId="6602F5D7" w14:textId="77777777" w:rsidR="00841B02" w:rsidRPr="002A6F4E" w:rsidRDefault="00841B02" w:rsidP="00A23ED0">
            <w:pPr>
              <w:numPr>
                <w:ilvl w:val="1"/>
                <w:numId w:val="90"/>
              </w:numPr>
              <w:spacing w:before="60" w:after="60" w:line="360" w:lineRule="auto"/>
              <w:ind w:left="774"/>
              <w:rPr>
                <w:rFonts w:ascii="Arial" w:eastAsia="Times New Roman" w:hAnsi="Arial" w:cs="Arial"/>
                <w:lang w:val="sq-AL"/>
              </w:rPr>
            </w:pPr>
            <w:r w:rsidRPr="002A6F4E">
              <w:rPr>
                <w:rFonts w:ascii="Arial" w:eastAsia="Times New Roman" w:hAnsi="Arial" w:cs="Arial"/>
                <w:lang w:val="sq-AL"/>
              </w:rPr>
              <w:t>Termofilična aerobna obrada</w:t>
            </w:r>
          </w:p>
          <w:p w14:paraId="1A9E38DC" w14:textId="77777777" w:rsidR="00841B02" w:rsidRPr="002A6F4E" w:rsidRDefault="00841B02" w:rsidP="00A23ED0">
            <w:pPr>
              <w:numPr>
                <w:ilvl w:val="1"/>
                <w:numId w:val="90"/>
              </w:numPr>
              <w:spacing w:before="60" w:after="60" w:line="360" w:lineRule="auto"/>
              <w:ind w:left="774"/>
              <w:rPr>
                <w:rFonts w:ascii="Arial" w:eastAsia="Times New Roman" w:hAnsi="Arial" w:cs="Arial"/>
                <w:lang w:val="sq-AL"/>
              </w:rPr>
            </w:pPr>
            <w:r w:rsidRPr="002A6F4E">
              <w:rPr>
                <w:rFonts w:ascii="Arial" w:eastAsia="Times New Roman" w:hAnsi="Arial" w:cs="Arial"/>
                <w:lang w:val="sq-AL"/>
              </w:rPr>
              <w:t>Kompostiranje i zajedničko kompostiranje sa ostalim organskim otpadom</w:t>
            </w:r>
          </w:p>
          <w:p w14:paraId="42F81E26" w14:textId="7BE65BC0" w:rsidR="00841B02" w:rsidRPr="002A6F4E" w:rsidRDefault="00841B02" w:rsidP="00A23ED0">
            <w:pPr>
              <w:pStyle w:val="ListParagraph"/>
              <w:numPr>
                <w:ilvl w:val="0"/>
                <w:numId w:val="89"/>
              </w:numPr>
              <w:tabs>
                <w:tab w:val="left" w:pos="324"/>
              </w:tabs>
              <w:spacing w:before="40" w:after="40" w:line="360" w:lineRule="auto"/>
              <w:ind w:left="324" w:hanging="270"/>
              <w:rPr>
                <w:rFonts w:ascii="Arial" w:hAnsi="Arial" w:cs="Arial"/>
                <w:lang w:val="sq-AL" w:bidi="ar-AE"/>
              </w:rPr>
            </w:pPr>
            <w:r w:rsidRPr="002A6F4E">
              <w:rPr>
                <w:rFonts w:ascii="Arial" w:hAnsi="Arial" w:cs="Arial"/>
                <w:lang w:val="sq-AL" w:bidi="ar-AE"/>
              </w:rPr>
              <w:t>Upotreba proizvedenog mulja,</w:t>
            </w:r>
            <w:r w:rsidR="006508B9">
              <w:rPr>
                <w:rFonts w:ascii="Arial" w:hAnsi="Arial" w:cs="Arial"/>
                <w:lang w:val="sq-AL" w:bidi="ar-AE"/>
              </w:rPr>
              <w:t xml:space="preserve"> </w:t>
            </w:r>
            <w:r w:rsidRPr="002A6F4E">
              <w:rPr>
                <w:rFonts w:ascii="Arial" w:hAnsi="Arial" w:cs="Arial"/>
                <w:lang w:val="sq-AL" w:bidi="ar-AE"/>
              </w:rPr>
              <w:t>nakon konvencionalne/napredne obrade, uz primjenu na zemlj</w:t>
            </w:r>
            <w:r w:rsidR="006508B9">
              <w:rPr>
                <w:rFonts w:ascii="Arial" w:hAnsi="Arial" w:cs="Arial"/>
                <w:lang w:val="sq-AL" w:bidi="ar-AE"/>
              </w:rPr>
              <w:t>i</w:t>
            </w:r>
            <w:r w:rsidRPr="002A6F4E">
              <w:rPr>
                <w:rFonts w:ascii="Arial" w:hAnsi="Arial" w:cs="Arial"/>
                <w:lang w:val="sq-AL" w:bidi="ar-AE"/>
              </w:rPr>
              <w:t xml:space="preserve">štu: </w:t>
            </w:r>
          </w:p>
          <w:p w14:paraId="43A9638F" w14:textId="77777777" w:rsidR="00841B02" w:rsidRPr="002A6F4E" w:rsidRDefault="00841B02" w:rsidP="00A23ED0">
            <w:pPr>
              <w:numPr>
                <w:ilvl w:val="1"/>
                <w:numId w:val="90"/>
              </w:numPr>
              <w:spacing w:before="60" w:after="60" w:line="360" w:lineRule="auto"/>
              <w:ind w:left="774"/>
              <w:rPr>
                <w:rFonts w:ascii="Arial" w:eastAsia="Times New Roman" w:hAnsi="Arial" w:cs="Arial"/>
                <w:lang w:val="sq-AL"/>
              </w:rPr>
            </w:pPr>
            <w:r w:rsidRPr="002A6F4E">
              <w:rPr>
                <w:rFonts w:ascii="Arial" w:eastAsia="Times New Roman" w:hAnsi="Arial" w:cs="Arial"/>
                <w:lang w:val="sq-AL"/>
              </w:rPr>
              <w:t xml:space="preserve">Poljoprivreda; </w:t>
            </w:r>
          </w:p>
          <w:p w14:paraId="545D30ED" w14:textId="77777777" w:rsidR="00841B02" w:rsidRPr="002A6F4E" w:rsidRDefault="00841B02" w:rsidP="00A23ED0">
            <w:pPr>
              <w:numPr>
                <w:ilvl w:val="1"/>
                <w:numId w:val="90"/>
              </w:numPr>
              <w:spacing w:before="60" w:after="60" w:line="360" w:lineRule="auto"/>
              <w:ind w:left="774"/>
              <w:rPr>
                <w:rFonts w:ascii="Arial" w:eastAsia="Times New Roman" w:hAnsi="Arial" w:cs="Arial"/>
                <w:lang w:val="sq-AL"/>
              </w:rPr>
            </w:pPr>
            <w:r w:rsidRPr="002A6F4E">
              <w:rPr>
                <w:rFonts w:ascii="Arial" w:eastAsia="Times New Roman" w:hAnsi="Arial" w:cs="Arial"/>
                <w:lang w:val="sq-AL"/>
              </w:rPr>
              <w:t xml:space="preserve">Šumarstvo; </w:t>
            </w:r>
          </w:p>
          <w:p w14:paraId="043975B5" w14:textId="6983D3CA" w:rsidR="00841B02" w:rsidRPr="006508B9" w:rsidRDefault="00841B02" w:rsidP="00A23ED0">
            <w:pPr>
              <w:numPr>
                <w:ilvl w:val="1"/>
                <w:numId w:val="90"/>
              </w:numPr>
              <w:spacing w:before="60" w:after="60" w:line="360" w:lineRule="auto"/>
              <w:ind w:left="774"/>
              <w:rPr>
                <w:rFonts w:ascii="Arial" w:eastAsia="Times New Roman" w:hAnsi="Arial" w:cs="Arial"/>
                <w:lang w:val="sq-AL"/>
              </w:rPr>
            </w:pPr>
            <w:r w:rsidRPr="002A6F4E">
              <w:rPr>
                <w:rFonts w:ascii="Arial" w:eastAsia="Times New Roman" w:hAnsi="Arial" w:cs="Arial"/>
                <w:lang w:val="sq-AL"/>
              </w:rPr>
              <w:t>Ozelenjavanje, , sanacija deponija i odlagališta;</w:t>
            </w:r>
          </w:p>
          <w:p w14:paraId="2B655009" w14:textId="77777777" w:rsidR="00841B02" w:rsidRPr="002A6F4E" w:rsidRDefault="00841B02" w:rsidP="00A23ED0">
            <w:pPr>
              <w:pStyle w:val="ListParagraph"/>
              <w:numPr>
                <w:ilvl w:val="0"/>
                <w:numId w:val="89"/>
              </w:numPr>
              <w:tabs>
                <w:tab w:val="left" w:pos="324"/>
              </w:tabs>
              <w:spacing w:before="40" w:after="40" w:line="360" w:lineRule="auto"/>
              <w:ind w:left="324" w:hanging="270"/>
              <w:rPr>
                <w:rFonts w:ascii="Arial" w:hAnsi="Arial" w:cs="Arial"/>
                <w:lang w:val="sq-AL" w:bidi="ar-AE"/>
              </w:rPr>
            </w:pPr>
            <w:r w:rsidRPr="002A6F4E">
              <w:rPr>
                <w:rFonts w:ascii="Arial" w:hAnsi="Arial" w:cs="Arial"/>
                <w:lang w:val="sq-AL" w:bidi="ar-AE"/>
              </w:rPr>
              <w:t>Upotreba energije:</w:t>
            </w:r>
          </w:p>
          <w:p w14:paraId="68BC3458" w14:textId="77777777" w:rsidR="00841B02" w:rsidRPr="002A6F4E" w:rsidRDefault="00841B02" w:rsidP="00A23ED0">
            <w:pPr>
              <w:numPr>
                <w:ilvl w:val="1"/>
                <w:numId w:val="90"/>
              </w:numPr>
              <w:spacing w:before="60" w:after="60" w:line="360" w:lineRule="auto"/>
              <w:ind w:left="774"/>
              <w:rPr>
                <w:rFonts w:ascii="Arial" w:eastAsia="Times New Roman" w:hAnsi="Arial" w:cs="Arial"/>
                <w:lang w:val="sq-AL"/>
              </w:rPr>
            </w:pPr>
            <w:r w:rsidRPr="002A6F4E">
              <w:rPr>
                <w:rFonts w:ascii="Arial" w:eastAsia="Times New Roman" w:hAnsi="Arial" w:cs="Arial"/>
                <w:lang w:val="sq-AL"/>
              </w:rPr>
              <w:t>kao alternativnog goriva u objektima za proizvodnju električne energije, itd.</w:t>
            </w:r>
          </w:p>
          <w:p w14:paraId="17311453" w14:textId="1860FC8B" w:rsidR="00841B02" w:rsidRPr="002A6F4E" w:rsidRDefault="00841B02" w:rsidP="00A23ED0">
            <w:pPr>
              <w:numPr>
                <w:ilvl w:val="1"/>
                <w:numId w:val="90"/>
              </w:numPr>
              <w:spacing w:before="40" w:after="40" w:line="360" w:lineRule="auto"/>
              <w:ind w:left="774"/>
              <w:rPr>
                <w:rFonts w:ascii="Arial" w:hAnsi="Arial" w:cs="Arial"/>
                <w:lang w:val="sq-AL" w:bidi="ar-AE"/>
              </w:rPr>
            </w:pPr>
            <w:r w:rsidRPr="002A6F4E">
              <w:rPr>
                <w:rFonts w:ascii="Arial" w:eastAsia="Times New Roman" w:hAnsi="Arial" w:cs="Arial"/>
                <w:lang w:val="sq-AL"/>
              </w:rPr>
              <w:t xml:space="preserve">autonomno ili </w:t>
            </w:r>
            <w:r w:rsidR="006228D9">
              <w:rPr>
                <w:rFonts w:ascii="Arial" w:eastAsia="Times New Roman" w:hAnsi="Arial" w:cs="Arial"/>
                <w:lang w:val="sq-AL"/>
              </w:rPr>
              <w:t>su</w:t>
            </w:r>
            <w:r w:rsidRPr="002A6F4E">
              <w:rPr>
                <w:rFonts w:ascii="Arial" w:eastAsia="Times New Roman" w:hAnsi="Arial" w:cs="Arial"/>
                <w:lang w:val="sq-AL"/>
              </w:rPr>
              <w:t>spaljivanje u jedinicama za termičk</w:t>
            </w:r>
            <w:r w:rsidR="006228D9">
              <w:rPr>
                <w:rFonts w:ascii="Arial" w:eastAsia="Times New Roman" w:hAnsi="Arial" w:cs="Arial"/>
                <w:lang w:val="sq-AL"/>
              </w:rPr>
              <w:t>u obradu</w:t>
            </w:r>
          </w:p>
          <w:p w14:paraId="50E56D66" w14:textId="0CCBE089" w:rsidR="00841B02" w:rsidRPr="002A6F4E" w:rsidRDefault="00841B02" w:rsidP="00A23ED0">
            <w:pPr>
              <w:numPr>
                <w:ilvl w:val="1"/>
                <w:numId w:val="90"/>
              </w:numPr>
              <w:spacing w:before="40" w:after="40" w:line="360" w:lineRule="auto"/>
              <w:ind w:left="774"/>
              <w:rPr>
                <w:rFonts w:ascii="Arial" w:hAnsi="Arial" w:cs="Arial"/>
                <w:lang w:val="sq-AL" w:bidi="ar-AE"/>
              </w:rPr>
            </w:pPr>
            <w:r w:rsidRPr="002A6F4E">
              <w:rPr>
                <w:rFonts w:ascii="Arial" w:eastAsia="Times New Roman" w:hAnsi="Arial" w:cs="Arial"/>
                <w:lang w:val="sq-AL"/>
              </w:rPr>
              <w:t xml:space="preserve">Procjena da li je potrebno </w:t>
            </w:r>
            <w:r w:rsidR="00EE515B">
              <w:rPr>
                <w:rFonts w:ascii="Arial" w:eastAsia="Times New Roman" w:hAnsi="Arial" w:cs="Arial"/>
                <w:lang w:val="sq-AL"/>
              </w:rPr>
              <w:t xml:space="preserve">u Crnoj Gori </w:t>
            </w:r>
            <w:r w:rsidR="00E951EC">
              <w:rPr>
                <w:rFonts w:ascii="Arial" w:eastAsia="Times New Roman" w:hAnsi="Arial" w:cs="Arial"/>
                <w:lang w:val="sq-AL"/>
              </w:rPr>
              <w:t>izgraditi</w:t>
            </w:r>
            <w:r w:rsidRPr="002A6F4E">
              <w:rPr>
                <w:rFonts w:ascii="Arial" w:eastAsia="Times New Roman" w:hAnsi="Arial" w:cs="Arial"/>
                <w:lang w:val="sq-AL"/>
              </w:rPr>
              <w:t xml:space="preserve">i jedno </w:t>
            </w:r>
            <w:r w:rsidRPr="002A6F4E">
              <w:rPr>
                <w:rFonts w:ascii="Arial" w:eastAsia="Times New Roman" w:hAnsi="Arial" w:cs="Arial"/>
                <w:lang w:val="sq-AL"/>
              </w:rPr>
              <w:lastRenderedPageBreak/>
              <w:t>postrojenje (u Podgorici) ili dva regionalna (jedno u Podgorici i drugo</w:t>
            </w:r>
            <w:r w:rsidR="006228D9">
              <w:rPr>
                <w:rFonts w:ascii="Arial" w:eastAsia="Times New Roman" w:hAnsi="Arial" w:cs="Arial"/>
                <w:lang w:val="sq-AL"/>
              </w:rPr>
              <w:t xml:space="preserve"> na jugu/sjeveru</w:t>
            </w:r>
            <w:r w:rsidRPr="002A6F4E">
              <w:rPr>
                <w:rFonts w:ascii="Arial" w:eastAsia="Times New Roman" w:hAnsi="Arial" w:cs="Arial"/>
                <w:lang w:val="sq-AL"/>
              </w:rPr>
              <w:t>)</w:t>
            </w:r>
          </w:p>
        </w:tc>
        <w:tc>
          <w:tcPr>
            <w:tcW w:w="1101" w:type="pct"/>
            <w:shd w:val="clear" w:color="auto" w:fill="auto"/>
          </w:tcPr>
          <w:p w14:paraId="0CA2B335" w14:textId="72E324EA"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rPr>
              <w:lastRenderedPageBreak/>
              <w:t>MER</w:t>
            </w:r>
            <w:r w:rsidR="00F61444">
              <w:rPr>
                <w:rFonts w:ascii="Arial" w:hAnsi="Arial" w:cs="Arial"/>
                <w:lang w:val="sq-AL"/>
              </w:rPr>
              <w:t>S</w:t>
            </w:r>
            <w:r w:rsidRPr="002A6F4E">
              <w:rPr>
                <w:rFonts w:ascii="Arial" w:hAnsi="Arial" w:cs="Arial"/>
                <w:lang w:val="sq-AL" w:bidi="ar-AE"/>
              </w:rPr>
              <w:t>/</w:t>
            </w:r>
            <w:r w:rsidR="00A732DD">
              <w:rPr>
                <w:rFonts w:ascii="Arial" w:hAnsi="Arial" w:cs="Arial"/>
                <w:lang w:val="sq-AL" w:bidi="ar-AE"/>
              </w:rPr>
              <w:t>MF/</w:t>
            </w:r>
            <w:r w:rsidR="00F61444">
              <w:rPr>
                <w:rFonts w:ascii="Arial" w:hAnsi="Arial" w:cs="Arial"/>
                <w:lang w:val="sq-AL" w:bidi="ar-AE"/>
              </w:rPr>
              <w:t>J</w:t>
            </w:r>
            <w:r w:rsidRPr="002A6F4E">
              <w:rPr>
                <w:rFonts w:ascii="Arial" w:hAnsi="Arial" w:cs="Arial"/>
                <w:lang w:val="sq-AL" w:bidi="ar-AE"/>
              </w:rPr>
              <w:t>edinice lokalnih samouprava</w:t>
            </w:r>
            <w:r w:rsidRPr="002A6F4E">
              <w:rPr>
                <w:rFonts w:ascii="Arial" w:hAnsi="Arial" w:cs="Arial"/>
                <w:lang w:val="sq-AL"/>
              </w:rPr>
              <w:t xml:space="preserve"> </w:t>
            </w:r>
          </w:p>
        </w:tc>
        <w:tc>
          <w:tcPr>
            <w:tcW w:w="508" w:type="pct"/>
            <w:shd w:val="clear" w:color="auto" w:fill="auto"/>
          </w:tcPr>
          <w:p w14:paraId="58C1A0DD"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2025-2029.</w:t>
            </w:r>
          </w:p>
        </w:tc>
        <w:tc>
          <w:tcPr>
            <w:tcW w:w="1305" w:type="pct"/>
          </w:tcPr>
          <w:p w14:paraId="1745295C" w14:textId="2C61F352"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Državni budžet</w:t>
            </w:r>
            <w:r w:rsidR="00F61444">
              <w:rPr>
                <w:rFonts w:ascii="Arial" w:hAnsi="Arial" w:cs="Arial"/>
                <w:lang w:bidi="ar-AE"/>
              </w:rPr>
              <w:t>/</w:t>
            </w:r>
          </w:p>
          <w:p w14:paraId="5350778D" w14:textId="0471A357"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Donatori</w:t>
            </w:r>
            <w:r w:rsidR="00F61444">
              <w:rPr>
                <w:rFonts w:ascii="Arial" w:hAnsi="Arial" w:cs="Arial"/>
                <w:lang w:bidi="ar-AE"/>
              </w:rPr>
              <w:t>/</w:t>
            </w:r>
            <w:r w:rsidR="00F61444" w:rsidRPr="00930813">
              <w:rPr>
                <w:rFonts w:ascii="Arial" w:hAnsi="Arial" w:cs="Arial"/>
                <w:lang w:bidi="ar-AE"/>
              </w:rPr>
              <w:t>Međunarodne finansijske institucije</w:t>
            </w:r>
          </w:p>
          <w:p w14:paraId="510740DA" w14:textId="77777777" w:rsidR="00841B02" w:rsidRPr="002A6F4E" w:rsidRDefault="00841B02" w:rsidP="00841B02">
            <w:pPr>
              <w:spacing w:before="40" w:after="40" w:line="360" w:lineRule="auto"/>
              <w:rPr>
                <w:rFonts w:ascii="Arial" w:hAnsi="Arial" w:cs="Arial"/>
                <w:lang w:val="sq-AL" w:bidi="ar-AE"/>
              </w:rPr>
            </w:pPr>
          </w:p>
        </w:tc>
      </w:tr>
      <w:tr w:rsidR="00841B02" w:rsidRPr="002A6F4E" w14:paraId="074BB84A" w14:textId="77777777" w:rsidTr="009754F4">
        <w:trPr>
          <w:jc w:val="center"/>
        </w:trPr>
        <w:tc>
          <w:tcPr>
            <w:tcW w:w="304" w:type="pct"/>
            <w:shd w:val="clear" w:color="auto" w:fill="auto"/>
          </w:tcPr>
          <w:p w14:paraId="74F35FB0" w14:textId="5BF5E63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lastRenderedPageBreak/>
              <w:t>4.</w:t>
            </w:r>
            <w:r w:rsidR="00A732DD">
              <w:rPr>
                <w:rFonts w:ascii="Arial" w:hAnsi="Arial" w:cs="Arial"/>
                <w:lang w:val="sq-AL" w:bidi="ar-AE"/>
              </w:rPr>
              <w:t>40</w:t>
            </w:r>
          </w:p>
        </w:tc>
        <w:tc>
          <w:tcPr>
            <w:tcW w:w="518" w:type="pct"/>
            <w:shd w:val="clear" w:color="auto" w:fill="auto"/>
          </w:tcPr>
          <w:p w14:paraId="37AAE71D" w14:textId="16940398"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PSSSS/ IM</w:t>
            </w:r>
          </w:p>
        </w:tc>
        <w:tc>
          <w:tcPr>
            <w:tcW w:w="1264" w:type="pct"/>
            <w:shd w:val="clear" w:color="auto" w:fill="auto"/>
          </w:tcPr>
          <w:p w14:paraId="327106E6" w14:textId="77777777" w:rsidR="00841B02" w:rsidRPr="002A6F4E" w:rsidRDefault="00841B02" w:rsidP="00841B02">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Smanjenje krajnje proizvedene količine mulja kroz ocjenu/usvajanje novih tehnologija i metoda poput termičke hidrolize i bioremedijacije pogodnim mikroorganizmima </w:t>
            </w:r>
          </w:p>
        </w:tc>
        <w:tc>
          <w:tcPr>
            <w:tcW w:w="1101" w:type="pct"/>
            <w:shd w:val="clear" w:color="auto" w:fill="auto"/>
          </w:tcPr>
          <w:p w14:paraId="35226458" w14:textId="475AA088"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 xml:space="preserve">/ </w:t>
            </w:r>
            <w:r w:rsidR="00780D64">
              <w:rPr>
                <w:rFonts w:ascii="Arial" w:hAnsi="Arial" w:cs="Arial"/>
                <w:lang w:val="sq-AL" w:bidi="ar-AE"/>
              </w:rPr>
              <w:t>Jedinice loklanih samouprava/</w:t>
            </w:r>
            <w:r w:rsidR="00A732DD">
              <w:rPr>
                <w:rFonts w:ascii="Arial" w:hAnsi="Arial" w:cs="Arial"/>
                <w:lang w:val="sq-AL" w:bidi="ar-AE"/>
              </w:rPr>
              <w:t>MF</w:t>
            </w:r>
          </w:p>
        </w:tc>
        <w:tc>
          <w:tcPr>
            <w:tcW w:w="508" w:type="pct"/>
            <w:shd w:val="clear" w:color="auto" w:fill="auto"/>
          </w:tcPr>
          <w:p w14:paraId="0370660E"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2025-2029.</w:t>
            </w:r>
          </w:p>
        </w:tc>
        <w:tc>
          <w:tcPr>
            <w:tcW w:w="1305" w:type="pct"/>
          </w:tcPr>
          <w:p w14:paraId="6902875F" w14:textId="31C541FC"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Državni budžet</w:t>
            </w:r>
            <w:r w:rsidR="00A732DD">
              <w:rPr>
                <w:rFonts w:ascii="Arial" w:hAnsi="Arial" w:cs="Arial"/>
                <w:lang w:bidi="ar-AE"/>
              </w:rPr>
              <w:t>/</w:t>
            </w:r>
            <w:r w:rsidRPr="002A6F4E">
              <w:rPr>
                <w:rFonts w:ascii="Arial" w:hAnsi="Arial" w:cs="Arial"/>
                <w:lang w:bidi="ar-AE"/>
              </w:rPr>
              <w:t>Donatori</w:t>
            </w:r>
            <w:r w:rsidR="00A732DD">
              <w:rPr>
                <w:rFonts w:ascii="Arial" w:hAnsi="Arial" w:cs="Arial"/>
                <w:lang w:bidi="ar-AE"/>
              </w:rPr>
              <w:t>/</w:t>
            </w:r>
            <w:r w:rsidR="00A732DD" w:rsidRPr="00930813">
              <w:rPr>
                <w:rFonts w:ascii="Arial" w:hAnsi="Arial" w:cs="Arial"/>
                <w:lang w:bidi="ar-AE"/>
              </w:rPr>
              <w:t>Međunarodne finansijske institucije</w:t>
            </w:r>
          </w:p>
          <w:p w14:paraId="21103EF3" w14:textId="77777777" w:rsidR="00841B02" w:rsidRPr="002A6F4E" w:rsidRDefault="00841B02" w:rsidP="00841B02">
            <w:pPr>
              <w:spacing w:before="40" w:after="40" w:line="360" w:lineRule="auto"/>
              <w:rPr>
                <w:rFonts w:ascii="Arial" w:hAnsi="Arial" w:cs="Arial"/>
                <w:lang w:val="sq-AL" w:bidi="ar-AE"/>
              </w:rPr>
            </w:pPr>
          </w:p>
        </w:tc>
      </w:tr>
      <w:tr w:rsidR="00841B02" w:rsidRPr="0014164F" w14:paraId="7609D09D" w14:textId="77777777" w:rsidTr="009754F4">
        <w:trPr>
          <w:trHeight w:val="780"/>
          <w:jc w:val="center"/>
        </w:trPr>
        <w:tc>
          <w:tcPr>
            <w:tcW w:w="3695" w:type="pct"/>
            <w:gridSpan w:val="5"/>
            <w:shd w:val="clear" w:color="auto" w:fill="EDEDED" w:themeFill="accent3" w:themeFillTint="33"/>
          </w:tcPr>
          <w:p w14:paraId="7EE99159" w14:textId="77777777" w:rsidR="00841B02" w:rsidRPr="002A6F4E" w:rsidRDefault="00841B02" w:rsidP="00841B02">
            <w:pPr>
              <w:spacing w:before="40" w:after="40" w:line="360" w:lineRule="auto"/>
              <w:rPr>
                <w:rFonts w:ascii="Arial" w:hAnsi="Arial" w:cs="Arial"/>
                <w:b/>
                <w:lang w:val="sq-AL" w:bidi="ar-AE"/>
              </w:rPr>
            </w:pPr>
            <w:r w:rsidRPr="002A6F4E">
              <w:rPr>
                <w:rFonts w:ascii="Arial" w:hAnsi="Arial" w:cs="Arial"/>
                <w:b/>
                <w:lang w:val="sq-AL" w:bidi="ar-AE"/>
              </w:rPr>
              <w:t>Posebni cilj VIIi: Medicinski i vetrinarski otpad</w:t>
            </w:r>
          </w:p>
          <w:p w14:paraId="6179F273" w14:textId="318D51F3" w:rsidR="00841B02" w:rsidRPr="002A6F4E" w:rsidRDefault="00841B02"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Proizvođ</w:t>
            </w:r>
            <w:r w:rsidR="00662BDF">
              <w:rPr>
                <w:rFonts w:ascii="Arial" w:hAnsi="Arial" w:cs="Arial"/>
                <w:i/>
                <w:lang w:val="sq-AL" w:bidi="ar-AE"/>
              </w:rPr>
              <w:t>a</w:t>
            </w:r>
            <w:r w:rsidRPr="002A6F4E">
              <w:rPr>
                <w:rFonts w:ascii="Arial" w:hAnsi="Arial" w:cs="Arial"/>
                <w:i/>
                <w:lang w:val="sq-AL" w:bidi="ar-AE"/>
              </w:rPr>
              <w:t>čima otpada se preporučuje da medicinski i veterinarski otpad odvajaju na mjestu nastanka i izvrše kategorizaciju medicinskog i vetrinarskog otpada koji proizvedu.</w:t>
            </w:r>
          </w:p>
          <w:p w14:paraId="1E570E01" w14:textId="77777777" w:rsidR="00841B02" w:rsidRPr="002A6F4E" w:rsidRDefault="00841B02"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Uporedo, treba ojačati sadašnju mrežu za odvojeno sakupljanje medicinskog i vetrinarskog otpada, uz akcenat na velike proizvođače.</w:t>
            </w:r>
          </w:p>
          <w:p w14:paraId="0CC1093E" w14:textId="1B3D5B0A" w:rsidR="00841B02" w:rsidRPr="002A6F4E" w:rsidRDefault="00841B02"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I</w:t>
            </w:r>
            <w:r w:rsidR="00662BDF">
              <w:rPr>
                <w:rFonts w:ascii="Arial" w:hAnsi="Arial" w:cs="Arial"/>
                <w:i/>
                <w:lang w:val="sq-AL" w:bidi="ar-AE"/>
              </w:rPr>
              <w:t>zg</w:t>
            </w:r>
            <w:r w:rsidRPr="002A6F4E">
              <w:rPr>
                <w:rFonts w:ascii="Arial" w:hAnsi="Arial" w:cs="Arial"/>
                <w:i/>
                <w:lang w:val="sq-AL" w:bidi="ar-AE"/>
              </w:rPr>
              <w:t>radnja objekta za obradu nusproizvoda životinjskog porijekla, kapaciteta 10.000 t/godišnje.</w:t>
            </w:r>
          </w:p>
        </w:tc>
        <w:tc>
          <w:tcPr>
            <w:tcW w:w="1305" w:type="pct"/>
            <w:shd w:val="clear" w:color="auto" w:fill="EDEDED" w:themeFill="accent3" w:themeFillTint="33"/>
          </w:tcPr>
          <w:p w14:paraId="648C50EF" w14:textId="77777777" w:rsidR="00841B02" w:rsidRPr="002A6F4E" w:rsidRDefault="00841B02" w:rsidP="00841B02">
            <w:pPr>
              <w:spacing w:before="40" w:after="40" w:line="360" w:lineRule="auto"/>
              <w:rPr>
                <w:rFonts w:ascii="Arial" w:hAnsi="Arial" w:cs="Arial"/>
                <w:b/>
                <w:lang w:val="sq-AL" w:bidi="ar-AE"/>
              </w:rPr>
            </w:pPr>
          </w:p>
        </w:tc>
      </w:tr>
      <w:tr w:rsidR="00841B02" w:rsidRPr="002A6F4E" w14:paraId="07317689" w14:textId="77777777" w:rsidTr="009754F4">
        <w:trPr>
          <w:jc w:val="center"/>
        </w:trPr>
        <w:tc>
          <w:tcPr>
            <w:tcW w:w="304" w:type="pct"/>
            <w:shd w:val="clear" w:color="auto" w:fill="auto"/>
          </w:tcPr>
          <w:p w14:paraId="71951789" w14:textId="663320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5272D2">
              <w:rPr>
                <w:rFonts w:ascii="Arial" w:hAnsi="Arial" w:cs="Arial"/>
                <w:lang w:val="sq-AL" w:bidi="ar-AE"/>
              </w:rPr>
              <w:t>41</w:t>
            </w:r>
          </w:p>
        </w:tc>
        <w:tc>
          <w:tcPr>
            <w:tcW w:w="518" w:type="pct"/>
            <w:shd w:val="clear" w:color="auto" w:fill="auto"/>
          </w:tcPr>
          <w:p w14:paraId="7FB4D063"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bidi="ar-AE"/>
              </w:rPr>
              <w:t xml:space="preserve">PSSSS </w:t>
            </w:r>
          </w:p>
        </w:tc>
        <w:tc>
          <w:tcPr>
            <w:tcW w:w="1264" w:type="pct"/>
            <w:shd w:val="clear" w:color="auto" w:fill="auto"/>
          </w:tcPr>
          <w:p w14:paraId="56AB5C47" w14:textId="77777777" w:rsidR="00841B02" w:rsidRPr="002A6F4E" w:rsidRDefault="00841B02" w:rsidP="00841B02">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Izrada studije izvodljivosti za riješavanje pitanja medicinskog i veterinarskog otpada</w:t>
            </w:r>
          </w:p>
        </w:tc>
        <w:tc>
          <w:tcPr>
            <w:tcW w:w="1101" w:type="pct"/>
            <w:shd w:val="clear" w:color="auto" w:fill="auto"/>
          </w:tcPr>
          <w:p w14:paraId="06FFE271" w14:textId="485AD835"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Ministarstvo zdravlja</w:t>
            </w:r>
            <w:r w:rsidR="00C97057">
              <w:rPr>
                <w:rFonts w:ascii="Arial" w:hAnsi="Arial" w:cs="Arial"/>
                <w:lang w:val="sq-AL" w:bidi="ar-AE"/>
              </w:rPr>
              <w:t>/</w:t>
            </w:r>
            <w:r w:rsidR="00D22DDF" w:rsidRPr="002A6F4E">
              <w:rPr>
                <w:rFonts w:ascii="Arial" w:hAnsi="Arial" w:cs="Arial"/>
                <w:lang w:val="sq-AL" w:bidi="ar-AE"/>
              </w:rPr>
              <w:t xml:space="preserve"> Ministarstvo poljoprivrede, šumarstva i vodoprivrede</w:t>
            </w:r>
            <w:r w:rsidR="00D22DDF">
              <w:rPr>
                <w:rFonts w:ascii="Arial" w:hAnsi="Arial" w:cs="Arial"/>
                <w:lang w:val="sq-AL" w:bidi="ar-AE"/>
              </w:rPr>
              <w:t>/</w:t>
            </w:r>
            <w:r w:rsidR="00C97057">
              <w:rPr>
                <w:rFonts w:ascii="Arial" w:hAnsi="Arial" w:cs="Arial"/>
                <w:lang w:val="sq-AL" w:bidi="ar-AE"/>
              </w:rPr>
              <w:t>MERS</w:t>
            </w:r>
            <w:r w:rsidR="00780D64">
              <w:rPr>
                <w:rFonts w:ascii="Arial" w:hAnsi="Arial" w:cs="Arial"/>
                <w:lang w:val="sq-AL" w:bidi="ar-AE"/>
              </w:rPr>
              <w:t>/ Jedinice lokalnih samouprava</w:t>
            </w:r>
          </w:p>
        </w:tc>
        <w:tc>
          <w:tcPr>
            <w:tcW w:w="508" w:type="pct"/>
            <w:shd w:val="clear" w:color="auto" w:fill="auto"/>
          </w:tcPr>
          <w:p w14:paraId="219EC9F1"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bidi="ar-AE"/>
              </w:rPr>
              <w:t>2025-2026</w:t>
            </w:r>
          </w:p>
        </w:tc>
        <w:tc>
          <w:tcPr>
            <w:tcW w:w="1305" w:type="pct"/>
          </w:tcPr>
          <w:p w14:paraId="63B5E190" w14:textId="77777777"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Državni budžet</w:t>
            </w:r>
          </w:p>
          <w:p w14:paraId="539B484C" w14:textId="77777777" w:rsidR="00841B02" w:rsidRPr="002A6F4E" w:rsidRDefault="00841B02" w:rsidP="00841B02">
            <w:pPr>
              <w:spacing w:before="40" w:after="40" w:line="360" w:lineRule="auto"/>
              <w:rPr>
                <w:rFonts w:ascii="Arial" w:hAnsi="Arial" w:cs="Arial"/>
                <w:lang w:val="sq-AL" w:bidi="ar-AE"/>
              </w:rPr>
            </w:pPr>
          </w:p>
        </w:tc>
      </w:tr>
      <w:tr w:rsidR="00841B02" w:rsidRPr="002A6F4E" w14:paraId="68860A6F" w14:textId="77777777" w:rsidTr="009754F4">
        <w:trPr>
          <w:jc w:val="center"/>
        </w:trPr>
        <w:tc>
          <w:tcPr>
            <w:tcW w:w="304" w:type="pct"/>
            <w:shd w:val="clear" w:color="auto" w:fill="auto"/>
          </w:tcPr>
          <w:p w14:paraId="0F9D20F7" w14:textId="05C16DE1"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427DE3">
              <w:rPr>
                <w:rFonts w:ascii="Arial" w:hAnsi="Arial" w:cs="Arial"/>
                <w:lang w:val="sq-AL" w:bidi="ar-AE"/>
              </w:rPr>
              <w:t>42</w:t>
            </w:r>
          </w:p>
        </w:tc>
        <w:tc>
          <w:tcPr>
            <w:tcW w:w="518" w:type="pct"/>
            <w:shd w:val="clear" w:color="auto" w:fill="auto"/>
          </w:tcPr>
          <w:p w14:paraId="1A066A3E"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03267D15" w14:textId="77777777" w:rsidR="00841B02" w:rsidRPr="002A6F4E" w:rsidRDefault="00841B02" w:rsidP="00841B02">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Jačanje sadašnje mreže za odvojeno sakupljanje otpada iz zdravstva, uz akcenat na velike proizvođače </w:t>
            </w:r>
          </w:p>
        </w:tc>
        <w:tc>
          <w:tcPr>
            <w:tcW w:w="1101" w:type="pct"/>
            <w:shd w:val="clear" w:color="auto" w:fill="auto"/>
          </w:tcPr>
          <w:p w14:paraId="769936B6" w14:textId="158DB850"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Ministarstvo zdravlja/ bolnice</w:t>
            </w:r>
            <w:r w:rsidR="006E0E7F">
              <w:rPr>
                <w:rFonts w:ascii="Arial" w:hAnsi="Arial" w:cs="Arial"/>
                <w:lang w:val="sq-AL" w:bidi="ar-AE"/>
              </w:rPr>
              <w:t>/domovi zdravlja/laboratorije/privatne ambulante</w:t>
            </w:r>
          </w:p>
        </w:tc>
        <w:tc>
          <w:tcPr>
            <w:tcW w:w="508" w:type="pct"/>
            <w:shd w:val="clear" w:color="auto" w:fill="auto"/>
          </w:tcPr>
          <w:p w14:paraId="6ED4EB23"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2025-2027.</w:t>
            </w:r>
          </w:p>
        </w:tc>
        <w:tc>
          <w:tcPr>
            <w:tcW w:w="1305" w:type="pct"/>
          </w:tcPr>
          <w:p w14:paraId="794D9AC4" w14:textId="52D706ED"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Državni budžet</w:t>
            </w:r>
            <w:r w:rsidR="00115E68">
              <w:rPr>
                <w:rFonts w:ascii="Arial" w:hAnsi="Arial" w:cs="Arial"/>
                <w:lang w:bidi="ar-AE"/>
              </w:rPr>
              <w:t>/</w:t>
            </w:r>
          </w:p>
          <w:p w14:paraId="3137578D" w14:textId="77777777"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Privatni sektor</w:t>
            </w:r>
          </w:p>
          <w:p w14:paraId="332689ED" w14:textId="77777777" w:rsidR="00841B02" w:rsidRPr="002A6F4E" w:rsidRDefault="00841B02" w:rsidP="00841B02">
            <w:pPr>
              <w:spacing w:before="40" w:after="40" w:line="360" w:lineRule="auto"/>
              <w:rPr>
                <w:rFonts w:ascii="Arial" w:hAnsi="Arial" w:cs="Arial"/>
                <w:lang w:bidi="ar-AE"/>
              </w:rPr>
            </w:pPr>
          </w:p>
        </w:tc>
      </w:tr>
      <w:tr w:rsidR="00841B02" w:rsidRPr="0014164F" w14:paraId="56FACF91" w14:textId="77777777" w:rsidTr="009754F4">
        <w:trPr>
          <w:jc w:val="center"/>
        </w:trPr>
        <w:tc>
          <w:tcPr>
            <w:tcW w:w="304" w:type="pct"/>
            <w:shd w:val="clear" w:color="auto" w:fill="auto"/>
          </w:tcPr>
          <w:p w14:paraId="794B2D25" w14:textId="32B0158B"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D22DDF">
              <w:rPr>
                <w:rFonts w:ascii="Arial" w:hAnsi="Arial" w:cs="Arial"/>
                <w:lang w:val="sq-AL" w:bidi="ar-AE"/>
              </w:rPr>
              <w:t>43</w:t>
            </w:r>
          </w:p>
        </w:tc>
        <w:tc>
          <w:tcPr>
            <w:tcW w:w="518" w:type="pct"/>
            <w:shd w:val="clear" w:color="auto" w:fill="auto"/>
          </w:tcPr>
          <w:p w14:paraId="540FE910"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 xml:space="preserve">OAM </w:t>
            </w:r>
          </w:p>
        </w:tc>
        <w:tc>
          <w:tcPr>
            <w:tcW w:w="1264" w:type="pct"/>
            <w:shd w:val="clear" w:color="auto" w:fill="auto"/>
          </w:tcPr>
          <w:p w14:paraId="016CF823" w14:textId="56CE2FDD" w:rsidR="00841B02" w:rsidRPr="002A6F4E" w:rsidRDefault="00841B02" w:rsidP="00841B02">
            <w:pPr>
              <w:tabs>
                <w:tab w:val="left" w:pos="324"/>
              </w:tabs>
              <w:spacing w:before="40" w:after="40" w:line="360" w:lineRule="auto"/>
              <w:ind w:left="54"/>
              <w:rPr>
                <w:rFonts w:ascii="Arial" w:eastAsia="Times New Roman" w:hAnsi="Arial" w:cs="Arial"/>
                <w:lang w:val="sq-AL" w:eastAsia="el-GR"/>
              </w:rPr>
            </w:pPr>
            <w:r w:rsidRPr="002A6F4E">
              <w:rPr>
                <w:rFonts w:ascii="Arial" w:hAnsi="Arial" w:cs="Arial"/>
                <w:lang w:val="sq-AL" w:eastAsia="el-GR"/>
              </w:rPr>
              <w:t xml:space="preserve">Stvaranje sistema na nivou opštine za sakupljanje i transport otpada iz zdravstva koji potiče od malih proizvođača (npr. </w:t>
            </w:r>
            <w:r w:rsidR="00115E68">
              <w:rPr>
                <w:rFonts w:ascii="Arial" w:hAnsi="Arial" w:cs="Arial"/>
                <w:lang w:val="sq-AL" w:eastAsia="el-GR"/>
              </w:rPr>
              <w:lastRenderedPageBreak/>
              <w:t>stomatologa</w:t>
            </w:r>
            <w:r w:rsidRPr="002A6F4E">
              <w:rPr>
                <w:rFonts w:ascii="Arial" w:hAnsi="Arial" w:cs="Arial"/>
                <w:lang w:val="sq-AL" w:eastAsia="el-GR"/>
              </w:rPr>
              <w:t>, vet</w:t>
            </w:r>
            <w:r w:rsidR="00115E68">
              <w:rPr>
                <w:rFonts w:ascii="Arial" w:hAnsi="Arial" w:cs="Arial"/>
                <w:lang w:val="sq-AL" w:eastAsia="el-GR"/>
              </w:rPr>
              <w:t>e</w:t>
            </w:r>
            <w:r w:rsidRPr="002A6F4E">
              <w:rPr>
                <w:rFonts w:ascii="Arial" w:hAnsi="Arial" w:cs="Arial"/>
                <w:lang w:val="sq-AL" w:eastAsia="el-GR"/>
              </w:rPr>
              <w:t>rinara, kućne njege, itd)</w:t>
            </w:r>
          </w:p>
        </w:tc>
        <w:tc>
          <w:tcPr>
            <w:tcW w:w="1101" w:type="pct"/>
            <w:shd w:val="clear" w:color="auto" w:fill="auto"/>
          </w:tcPr>
          <w:p w14:paraId="4C780AB7" w14:textId="40FF32AE"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lastRenderedPageBreak/>
              <w:t xml:space="preserve">Ministarstvo zdravlja / </w:t>
            </w:r>
            <w:r w:rsidR="00115E68">
              <w:rPr>
                <w:rFonts w:ascii="Arial" w:hAnsi="Arial" w:cs="Arial"/>
                <w:lang w:val="sq-AL" w:bidi="ar-AE"/>
              </w:rPr>
              <w:t>J</w:t>
            </w:r>
            <w:r w:rsidRPr="002A6F4E">
              <w:rPr>
                <w:rFonts w:ascii="Arial" w:hAnsi="Arial" w:cs="Arial"/>
                <w:lang w:val="sq-AL" w:bidi="ar-AE"/>
              </w:rPr>
              <w:t>edinice lokalnih samouprava / privatni sektor</w:t>
            </w:r>
          </w:p>
        </w:tc>
        <w:tc>
          <w:tcPr>
            <w:tcW w:w="508" w:type="pct"/>
            <w:shd w:val="clear" w:color="auto" w:fill="auto"/>
          </w:tcPr>
          <w:p w14:paraId="343FEA92"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2025-2030.</w:t>
            </w:r>
          </w:p>
        </w:tc>
        <w:tc>
          <w:tcPr>
            <w:tcW w:w="1305" w:type="pct"/>
          </w:tcPr>
          <w:p w14:paraId="1316AB0C" w14:textId="19482165"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Državni budžet</w:t>
            </w:r>
            <w:r w:rsidR="00115E68">
              <w:rPr>
                <w:rFonts w:ascii="Arial" w:hAnsi="Arial" w:cs="Arial"/>
                <w:lang w:val="sq-AL" w:bidi="ar-AE"/>
              </w:rPr>
              <w:t>/</w:t>
            </w:r>
          </w:p>
          <w:p w14:paraId="67ACB430" w14:textId="7F35CD8B"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Lokalni budžet</w:t>
            </w:r>
            <w:r w:rsidR="00115E68">
              <w:rPr>
                <w:rFonts w:ascii="Arial" w:hAnsi="Arial" w:cs="Arial"/>
                <w:lang w:val="sq-AL" w:bidi="ar-AE"/>
              </w:rPr>
              <w:t>/</w:t>
            </w:r>
          </w:p>
          <w:p w14:paraId="6789848E"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Privatni sektor</w:t>
            </w:r>
          </w:p>
          <w:p w14:paraId="21AF23BD" w14:textId="77777777" w:rsidR="00841B02" w:rsidRPr="002A6F4E" w:rsidRDefault="00841B02" w:rsidP="00841B02">
            <w:pPr>
              <w:spacing w:before="40" w:after="40" w:line="360" w:lineRule="auto"/>
              <w:rPr>
                <w:rFonts w:ascii="Arial" w:hAnsi="Arial" w:cs="Arial"/>
                <w:lang w:val="sq-AL" w:bidi="ar-AE"/>
              </w:rPr>
            </w:pPr>
          </w:p>
        </w:tc>
      </w:tr>
      <w:tr w:rsidR="00841B02" w:rsidRPr="002A6F4E" w14:paraId="6F817D3C" w14:textId="77777777" w:rsidTr="009754F4">
        <w:trPr>
          <w:jc w:val="center"/>
        </w:trPr>
        <w:tc>
          <w:tcPr>
            <w:tcW w:w="304" w:type="pct"/>
            <w:shd w:val="clear" w:color="auto" w:fill="auto"/>
          </w:tcPr>
          <w:p w14:paraId="6EF9D992" w14:textId="09C7D8DB"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115E68">
              <w:rPr>
                <w:rFonts w:ascii="Arial" w:hAnsi="Arial" w:cs="Arial"/>
                <w:lang w:val="sq-AL" w:bidi="ar-AE"/>
              </w:rPr>
              <w:t>44</w:t>
            </w:r>
          </w:p>
        </w:tc>
        <w:tc>
          <w:tcPr>
            <w:tcW w:w="518" w:type="pct"/>
            <w:shd w:val="clear" w:color="auto" w:fill="auto"/>
          </w:tcPr>
          <w:p w14:paraId="021CA576"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 xml:space="preserve">OAM </w:t>
            </w:r>
          </w:p>
        </w:tc>
        <w:tc>
          <w:tcPr>
            <w:tcW w:w="1264" w:type="pct"/>
            <w:shd w:val="clear" w:color="auto" w:fill="auto"/>
          </w:tcPr>
          <w:p w14:paraId="2004573E" w14:textId="77777777" w:rsidR="00841B02" w:rsidRPr="002A6F4E" w:rsidRDefault="00841B02" w:rsidP="00841B02">
            <w:pPr>
              <w:tabs>
                <w:tab w:val="left" w:pos="324"/>
              </w:tabs>
              <w:spacing w:before="40" w:after="40" w:line="360" w:lineRule="auto"/>
              <w:ind w:left="54"/>
              <w:rPr>
                <w:rFonts w:ascii="Arial" w:eastAsia="Times New Roman" w:hAnsi="Arial" w:cs="Arial"/>
                <w:lang w:val="sq-AL" w:eastAsia="el-GR"/>
              </w:rPr>
            </w:pPr>
            <w:r w:rsidRPr="002A6F4E">
              <w:rPr>
                <w:rFonts w:ascii="Arial" w:hAnsi="Arial" w:cs="Arial"/>
                <w:lang w:val="sq-AL" w:eastAsia="el-GR"/>
              </w:rPr>
              <w:t xml:space="preserve">Unaprijediti podatke koje sakupljaju i dostavljaju nadležna tijela </w:t>
            </w:r>
          </w:p>
        </w:tc>
        <w:tc>
          <w:tcPr>
            <w:tcW w:w="1101" w:type="pct"/>
            <w:shd w:val="clear" w:color="auto" w:fill="auto"/>
          </w:tcPr>
          <w:p w14:paraId="6193A1EB" w14:textId="23435305"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Ministarstvo zdravlja / bolnice/Proizvođači medicinskog i veterinarskog otpada</w:t>
            </w:r>
          </w:p>
        </w:tc>
        <w:tc>
          <w:tcPr>
            <w:tcW w:w="508" w:type="pct"/>
            <w:shd w:val="clear" w:color="auto" w:fill="auto"/>
          </w:tcPr>
          <w:p w14:paraId="77B78E48" w14:textId="45192B93"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2025-2029.</w:t>
            </w:r>
          </w:p>
        </w:tc>
        <w:tc>
          <w:tcPr>
            <w:tcW w:w="1305" w:type="pct"/>
          </w:tcPr>
          <w:p w14:paraId="57DA5F29" w14:textId="097212EA" w:rsidR="00841B02" w:rsidRPr="002A6F4E" w:rsidRDefault="00115E68" w:rsidP="00841B02">
            <w:pPr>
              <w:spacing w:before="40" w:after="40" w:line="360" w:lineRule="auto"/>
              <w:rPr>
                <w:rFonts w:ascii="Arial" w:hAnsi="Arial" w:cs="Arial"/>
                <w:lang w:val="sq-AL" w:bidi="ar-AE"/>
              </w:rPr>
            </w:pPr>
            <w:r>
              <w:rPr>
                <w:rFonts w:ascii="Arial" w:hAnsi="Arial" w:cs="Arial"/>
                <w:lang w:val="sq-AL" w:bidi="ar-AE"/>
              </w:rPr>
              <w:t>/</w:t>
            </w:r>
          </w:p>
        </w:tc>
      </w:tr>
      <w:tr w:rsidR="00841B02" w:rsidRPr="0014164F" w14:paraId="7011BACB" w14:textId="77777777" w:rsidTr="009754F4">
        <w:trPr>
          <w:jc w:val="center"/>
        </w:trPr>
        <w:tc>
          <w:tcPr>
            <w:tcW w:w="304" w:type="pct"/>
            <w:shd w:val="clear" w:color="auto" w:fill="auto"/>
          </w:tcPr>
          <w:p w14:paraId="55AE62BA" w14:textId="532D97FD"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115E68">
              <w:rPr>
                <w:rFonts w:ascii="Arial" w:hAnsi="Arial" w:cs="Arial"/>
                <w:lang w:val="sq-AL" w:bidi="ar-AE"/>
              </w:rPr>
              <w:t>45</w:t>
            </w:r>
          </w:p>
        </w:tc>
        <w:tc>
          <w:tcPr>
            <w:tcW w:w="518" w:type="pct"/>
            <w:shd w:val="clear" w:color="auto" w:fill="auto"/>
          </w:tcPr>
          <w:p w14:paraId="1E0E6432" w14:textId="28C21FD3"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PSSSS/IM / FM</w:t>
            </w:r>
          </w:p>
        </w:tc>
        <w:tc>
          <w:tcPr>
            <w:tcW w:w="1264" w:type="pct"/>
            <w:shd w:val="clear" w:color="auto" w:fill="auto"/>
          </w:tcPr>
          <w:p w14:paraId="292697D9" w14:textId="69C4A90B" w:rsidR="00841B02" w:rsidRPr="002A6F4E" w:rsidRDefault="00841B02" w:rsidP="00841B02">
            <w:pPr>
              <w:tabs>
                <w:tab w:val="left" w:pos="324"/>
              </w:tabs>
              <w:spacing w:before="40" w:after="40" w:line="360" w:lineRule="auto"/>
              <w:ind w:left="54"/>
              <w:rPr>
                <w:rFonts w:ascii="Arial" w:hAnsi="Arial" w:cs="Arial"/>
                <w:lang w:val="sq-AL" w:eastAsia="el-GR"/>
              </w:rPr>
            </w:pPr>
            <w:r w:rsidRPr="002A6F4E">
              <w:rPr>
                <w:rFonts w:ascii="Arial" w:hAnsi="Arial" w:cs="Arial"/>
                <w:lang w:val="sq-AL" w:eastAsia="el-GR"/>
              </w:rPr>
              <w:t>Izgradnja infrastrukture za odvojeno sakupljanje i privremeno skladištenje medicinskog i veterinarskog otpada uz objekte u kojima se isti generiše</w:t>
            </w:r>
          </w:p>
        </w:tc>
        <w:tc>
          <w:tcPr>
            <w:tcW w:w="1101" w:type="pct"/>
            <w:shd w:val="clear" w:color="auto" w:fill="auto"/>
          </w:tcPr>
          <w:p w14:paraId="489C36D3"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Ministarstvo zdravlja / bolnice / privatni sektor</w:t>
            </w:r>
          </w:p>
        </w:tc>
        <w:tc>
          <w:tcPr>
            <w:tcW w:w="508" w:type="pct"/>
            <w:shd w:val="clear" w:color="auto" w:fill="auto"/>
          </w:tcPr>
          <w:p w14:paraId="2BF01212" w14:textId="33736589"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2025-2029.</w:t>
            </w:r>
          </w:p>
        </w:tc>
        <w:tc>
          <w:tcPr>
            <w:tcW w:w="1305" w:type="pct"/>
          </w:tcPr>
          <w:p w14:paraId="33F21914" w14:textId="38960D99" w:rsidR="00841B02" w:rsidRPr="007E519A" w:rsidRDefault="00841B02" w:rsidP="00841B02">
            <w:pPr>
              <w:spacing w:before="40" w:after="40" w:line="360" w:lineRule="auto"/>
              <w:rPr>
                <w:rFonts w:ascii="Arial" w:hAnsi="Arial" w:cs="Arial"/>
                <w:lang w:val="de-DE" w:bidi="ar-AE"/>
              </w:rPr>
            </w:pPr>
            <w:r w:rsidRPr="007E519A">
              <w:rPr>
                <w:rFonts w:ascii="Arial" w:hAnsi="Arial" w:cs="Arial"/>
                <w:lang w:val="de-DE" w:bidi="ar-AE"/>
              </w:rPr>
              <w:t>Državni budžet</w:t>
            </w:r>
            <w:r w:rsidR="007927A5" w:rsidRPr="007E519A">
              <w:rPr>
                <w:rFonts w:ascii="Arial" w:hAnsi="Arial" w:cs="Arial"/>
                <w:lang w:val="de-DE" w:bidi="ar-AE"/>
              </w:rPr>
              <w:t>/</w:t>
            </w:r>
          </w:p>
          <w:p w14:paraId="69B8D441" w14:textId="69CF17E3" w:rsidR="00841B02" w:rsidRPr="007E519A" w:rsidRDefault="00841B02" w:rsidP="00841B02">
            <w:pPr>
              <w:spacing w:before="40" w:after="40" w:line="360" w:lineRule="auto"/>
              <w:rPr>
                <w:rFonts w:ascii="Arial" w:hAnsi="Arial" w:cs="Arial"/>
                <w:lang w:val="de-DE" w:bidi="ar-AE"/>
              </w:rPr>
            </w:pPr>
            <w:r w:rsidRPr="007E519A">
              <w:rPr>
                <w:rFonts w:ascii="Arial" w:hAnsi="Arial" w:cs="Arial"/>
                <w:lang w:val="de-DE" w:bidi="ar-AE"/>
              </w:rPr>
              <w:t xml:space="preserve">Privatni </w:t>
            </w:r>
            <w:r w:rsidR="00187287" w:rsidRPr="007E519A">
              <w:rPr>
                <w:rFonts w:ascii="Arial" w:hAnsi="Arial" w:cs="Arial"/>
                <w:lang w:val="de-DE" w:bidi="ar-AE"/>
              </w:rPr>
              <w:t>se</w:t>
            </w:r>
            <w:r w:rsidR="00B72938" w:rsidRPr="007E519A">
              <w:rPr>
                <w:rFonts w:ascii="Arial" w:hAnsi="Arial" w:cs="Arial"/>
                <w:lang w:val="de-DE" w:bidi="ar-AE"/>
              </w:rPr>
              <w:t>k</w:t>
            </w:r>
            <w:r w:rsidR="00187287" w:rsidRPr="007E519A">
              <w:rPr>
                <w:rFonts w:ascii="Arial" w:hAnsi="Arial" w:cs="Arial"/>
                <w:lang w:val="de-DE" w:bidi="ar-AE"/>
              </w:rPr>
              <w:t xml:space="preserve">tor/ </w:t>
            </w:r>
            <w:r w:rsidR="00780D64">
              <w:rPr>
                <w:rFonts w:ascii="Arial" w:hAnsi="Arial" w:cs="Arial"/>
                <w:lang w:val="de-DE" w:bidi="ar-AE"/>
              </w:rPr>
              <w:t>Donatori/</w:t>
            </w:r>
            <w:r w:rsidR="00187287" w:rsidRPr="007E519A">
              <w:rPr>
                <w:rFonts w:ascii="Arial" w:hAnsi="Arial" w:cs="Arial"/>
                <w:lang w:val="de-DE" w:bidi="ar-AE"/>
              </w:rPr>
              <w:t>Međunarodne finansijske institucije</w:t>
            </w:r>
          </w:p>
          <w:p w14:paraId="72B3A018" w14:textId="77777777" w:rsidR="00841B02" w:rsidRPr="002A6F4E" w:rsidRDefault="00841B02" w:rsidP="00841B02">
            <w:pPr>
              <w:spacing w:before="40" w:after="40" w:line="360" w:lineRule="auto"/>
              <w:rPr>
                <w:rFonts w:ascii="Arial" w:hAnsi="Arial" w:cs="Arial"/>
                <w:lang w:val="sq-AL" w:bidi="ar-AE"/>
              </w:rPr>
            </w:pPr>
          </w:p>
        </w:tc>
      </w:tr>
      <w:tr w:rsidR="00841B02" w:rsidRPr="0014164F" w14:paraId="1A814A59" w14:textId="77777777" w:rsidTr="009754F4">
        <w:trPr>
          <w:jc w:val="center"/>
        </w:trPr>
        <w:tc>
          <w:tcPr>
            <w:tcW w:w="304" w:type="pct"/>
            <w:shd w:val="clear" w:color="auto" w:fill="auto"/>
          </w:tcPr>
          <w:p w14:paraId="7337E42C" w14:textId="28F16EF1"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44629A">
              <w:rPr>
                <w:rFonts w:ascii="Arial" w:hAnsi="Arial" w:cs="Arial"/>
                <w:lang w:val="sq-AL" w:bidi="ar-AE"/>
              </w:rPr>
              <w:t>46</w:t>
            </w:r>
          </w:p>
        </w:tc>
        <w:tc>
          <w:tcPr>
            <w:tcW w:w="518" w:type="pct"/>
            <w:shd w:val="clear" w:color="auto" w:fill="auto"/>
          </w:tcPr>
          <w:p w14:paraId="42395183"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PSSSS / IM / FM</w:t>
            </w:r>
          </w:p>
        </w:tc>
        <w:tc>
          <w:tcPr>
            <w:tcW w:w="1264" w:type="pct"/>
            <w:shd w:val="clear" w:color="auto" w:fill="auto"/>
          </w:tcPr>
          <w:p w14:paraId="2BF8ED3A" w14:textId="218B45DA" w:rsidR="00841B02" w:rsidRPr="002A6F4E" w:rsidRDefault="00841B02" w:rsidP="00841B02">
            <w:pPr>
              <w:spacing w:before="40" w:after="40" w:line="360" w:lineRule="auto"/>
              <w:ind w:left="29"/>
              <w:rPr>
                <w:rFonts w:ascii="Arial" w:hAnsi="Arial" w:cs="Arial"/>
                <w:lang w:val="sq-AL" w:bidi="ar-AE"/>
              </w:rPr>
            </w:pPr>
            <w:r w:rsidRPr="002A6F4E">
              <w:rPr>
                <w:rFonts w:ascii="Arial" w:hAnsi="Arial" w:cs="Arial"/>
                <w:lang w:val="sq-AL" w:bidi="ar-AE"/>
              </w:rPr>
              <w:t>Izgradnja odgovarajuć</w:t>
            </w:r>
            <w:r w:rsidR="00D664A9">
              <w:rPr>
                <w:rFonts w:ascii="Arial" w:hAnsi="Arial" w:cs="Arial"/>
                <w:lang w:val="sq-AL" w:bidi="ar-AE"/>
              </w:rPr>
              <w:t>eg</w:t>
            </w:r>
            <w:r w:rsidR="005220E3">
              <w:rPr>
                <w:rFonts w:ascii="Arial" w:hAnsi="Arial" w:cs="Arial"/>
                <w:lang w:val="sq-AL" w:bidi="ar-AE"/>
              </w:rPr>
              <w:t>/ih</w:t>
            </w:r>
            <w:r w:rsidR="00D664A9">
              <w:rPr>
                <w:rFonts w:ascii="Arial" w:hAnsi="Arial" w:cs="Arial"/>
                <w:lang w:val="sq-AL" w:bidi="ar-AE"/>
              </w:rPr>
              <w:t xml:space="preserve"> </w:t>
            </w:r>
            <w:r w:rsidRPr="002A6F4E">
              <w:rPr>
                <w:rFonts w:ascii="Arial" w:hAnsi="Arial" w:cs="Arial"/>
                <w:lang w:val="sq-AL" w:bidi="ar-AE"/>
              </w:rPr>
              <w:t>objekta</w:t>
            </w:r>
            <w:r w:rsidR="005220E3">
              <w:rPr>
                <w:rFonts w:ascii="Arial" w:hAnsi="Arial" w:cs="Arial"/>
                <w:lang w:val="sq-AL" w:bidi="ar-AE"/>
              </w:rPr>
              <w:t>/objekata</w:t>
            </w:r>
            <w:r w:rsidRPr="002A6F4E">
              <w:rPr>
                <w:rFonts w:ascii="Arial" w:hAnsi="Arial" w:cs="Arial"/>
                <w:lang w:val="sq-AL" w:bidi="ar-AE"/>
              </w:rPr>
              <w:t xml:space="preserve"> za obradu nus-proizvoda životinjskog porijekla:</w:t>
            </w:r>
          </w:p>
          <w:p w14:paraId="07B18D5C" w14:textId="78E49127" w:rsidR="00841B02" w:rsidRPr="002A6F4E" w:rsidRDefault="00841B02" w:rsidP="00A23ED0">
            <w:pPr>
              <w:pStyle w:val="ListParagraph"/>
              <w:numPr>
                <w:ilvl w:val="0"/>
                <w:numId w:val="89"/>
              </w:numPr>
              <w:tabs>
                <w:tab w:val="left" w:pos="324"/>
              </w:tabs>
              <w:spacing w:before="40" w:after="40" w:line="360" w:lineRule="auto"/>
              <w:ind w:left="324" w:hanging="295"/>
              <w:rPr>
                <w:rFonts w:ascii="Arial" w:hAnsi="Arial" w:cs="Arial"/>
                <w:lang w:val="sq-AL" w:bidi="ar-AE"/>
              </w:rPr>
            </w:pPr>
            <w:r w:rsidRPr="002A6F4E">
              <w:rPr>
                <w:rFonts w:ascii="Arial" w:hAnsi="Arial" w:cs="Arial"/>
                <w:lang w:val="sq-AL" w:bidi="ar-AE"/>
              </w:rPr>
              <w:t>Izradom odgovarajućih studija i daljim određivanjem  lokacija/odabirom lokacija</w:t>
            </w:r>
            <w:r w:rsidR="003206C4">
              <w:rPr>
                <w:rFonts w:ascii="Arial" w:hAnsi="Arial" w:cs="Arial"/>
                <w:lang w:val="sq-AL" w:bidi="ar-AE"/>
              </w:rPr>
              <w:t>;</w:t>
            </w:r>
            <w:r w:rsidRPr="002A6F4E">
              <w:rPr>
                <w:rFonts w:ascii="Arial" w:hAnsi="Arial" w:cs="Arial"/>
                <w:lang w:val="sq-AL" w:bidi="ar-AE"/>
              </w:rPr>
              <w:t xml:space="preserve"> </w:t>
            </w:r>
          </w:p>
          <w:p w14:paraId="4188BA3E" w14:textId="73A178EE" w:rsidR="00841B02" w:rsidRPr="002A6F4E" w:rsidRDefault="00841B02" w:rsidP="00A23ED0">
            <w:pPr>
              <w:pStyle w:val="ListParagraph"/>
              <w:numPr>
                <w:ilvl w:val="0"/>
                <w:numId w:val="89"/>
              </w:numPr>
              <w:tabs>
                <w:tab w:val="left" w:pos="324"/>
              </w:tabs>
              <w:spacing w:before="40" w:after="40" w:line="360" w:lineRule="auto"/>
              <w:ind w:left="324" w:hanging="295"/>
              <w:rPr>
                <w:rFonts w:ascii="Arial" w:hAnsi="Arial" w:cs="Arial"/>
                <w:lang w:val="sq-AL" w:bidi="ar-AE"/>
              </w:rPr>
            </w:pPr>
            <w:r w:rsidRPr="002A6F4E">
              <w:rPr>
                <w:rFonts w:ascii="Arial" w:hAnsi="Arial" w:cs="Arial"/>
                <w:lang w:val="sq-AL" w:bidi="ar-AE"/>
              </w:rPr>
              <w:t>Obezbjeđivanjem finansiranja i izdavanja dozvola</w:t>
            </w:r>
            <w:r w:rsidR="003206C4">
              <w:rPr>
                <w:rFonts w:ascii="Arial" w:hAnsi="Arial" w:cs="Arial"/>
                <w:lang w:val="sq-AL" w:bidi="ar-AE"/>
              </w:rPr>
              <w:t>,</w:t>
            </w:r>
          </w:p>
          <w:p w14:paraId="355DC2BA" w14:textId="38D8EF98" w:rsidR="00841B02" w:rsidRPr="002A6F4E" w:rsidRDefault="00841B02" w:rsidP="00A23ED0">
            <w:pPr>
              <w:pStyle w:val="ListParagraph"/>
              <w:numPr>
                <w:ilvl w:val="0"/>
                <w:numId w:val="89"/>
              </w:numPr>
              <w:tabs>
                <w:tab w:val="left" w:pos="324"/>
              </w:tabs>
              <w:spacing w:before="40" w:after="40" w:line="360" w:lineRule="auto"/>
              <w:ind w:left="324" w:hanging="295"/>
              <w:rPr>
                <w:rFonts w:ascii="Arial" w:hAnsi="Arial" w:cs="Arial"/>
                <w:lang w:val="sq-AL" w:bidi="ar-AE"/>
              </w:rPr>
            </w:pPr>
            <w:r w:rsidRPr="002A6F4E">
              <w:rPr>
                <w:rFonts w:ascii="Arial" w:hAnsi="Arial" w:cs="Arial"/>
                <w:lang w:val="sq-AL" w:bidi="ar-AE"/>
              </w:rPr>
              <w:t>Uključivanjem zainteresovanih strana</w:t>
            </w:r>
            <w:r w:rsidR="003206C4">
              <w:rPr>
                <w:rFonts w:ascii="Arial" w:hAnsi="Arial" w:cs="Arial"/>
                <w:lang w:val="sq-AL" w:bidi="ar-AE"/>
              </w:rPr>
              <w:t>,</w:t>
            </w:r>
          </w:p>
          <w:p w14:paraId="69042A1E" w14:textId="756C6E96" w:rsidR="00841B02" w:rsidRPr="002A6F4E" w:rsidRDefault="00841B02" w:rsidP="00A23ED0">
            <w:pPr>
              <w:pStyle w:val="ListParagraph"/>
              <w:numPr>
                <w:ilvl w:val="0"/>
                <w:numId w:val="89"/>
              </w:numPr>
              <w:tabs>
                <w:tab w:val="left" w:pos="324"/>
              </w:tabs>
              <w:spacing w:before="40" w:after="40" w:line="360" w:lineRule="auto"/>
              <w:ind w:left="324" w:hanging="295"/>
              <w:rPr>
                <w:rFonts w:ascii="Arial" w:hAnsi="Arial" w:cs="Arial"/>
                <w:lang w:val="sq-AL" w:bidi="ar-AE"/>
              </w:rPr>
            </w:pPr>
            <w:r w:rsidRPr="002A6F4E">
              <w:rPr>
                <w:rFonts w:ascii="Arial" w:hAnsi="Arial" w:cs="Arial"/>
                <w:lang w:val="sq-AL" w:bidi="ar-AE"/>
              </w:rPr>
              <w:t>Izgradnjom objekta za preradu nus-proizvoda životinjskog porijekla</w:t>
            </w:r>
            <w:r w:rsidR="003206C4">
              <w:rPr>
                <w:rFonts w:ascii="Arial" w:hAnsi="Arial" w:cs="Arial"/>
                <w:lang w:val="sq-AL" w:bidi="ar-AE"/>
              </w:rPr>
              <w:t>.</w:t>
            </w:r>
          </w:p>
        </w:tc>
        <w:tc>
          <w:tcPr>
            <w:tcW w:w="1101" w:type="pct"/>
            <w:shd w:val="clear" w:color="auto" w:fill="auto"/>
          </w:tcPr>
          <w:p w14:paraId="5FD0A4DA" w14:textId="14A934BB" w:rsidR="00841B02" w:rsidRPr="002A6F4E" w:rsidRDefault="005220E3" w:rsidP="00841B02">
            <w:pPr>
              <w:spacing w:before="40" w:after="40" w:line="360" w:lineRule="auto"/>
              <w:rPr>
                <w:rFonts w:ascii="Arial" w:hAnsi="Arial" w:cs="Arial"/>
                <w:lang w:val="sq-AL" w:bidi="ar-AE"/>
              </w:rPr>
            </w:pPr>
            <w:r w:rsidRPr="002A6F4E">
              <w:rPr>
                <w:rFonts w:ascii="Arial" w:hAnsi="Arial" w:cs="Arial"/>
                <w:lang w:val="sq-AL" w:bidi="ar-AE"/>
              </w:rPr>
              <w:t>Ministarstvo poljoprivrede, šumarstva i vodoprivrede</w:t>
            </w:r>
            <w:r>
              <w:rPr>
                <w:rFonts w:ascii="Arial" w:hAnsi="Arial" w:cs="Arial"/>
                <w:lang w:val="sq-AL" w:bidi="ar-AE"/>
              </w:rPr>
              <w:t xml:space="preserve"> </w:t>
            </w:r>
            <w:r w:rsidR="00C97057">
              <w:rPr>
                <w:rFonts w:ascii="Arial" w:hAnsi="Arial" w:cs="Arial"/>
                <w:lang w:val="sq-AL" w:bidi="ar-AE"/>
              </w:rPr>
              <w:t>/MERS</w:t>
            </w:r>
            <w:r w:rsidR="00841B02" w:rsidRPr="002A6F4E">
              <w:rPr>
                <w:rFonts w:ascii="Arial" w:hAnsi="Arial" w:cs="Arial"/>
                <w:lang w:val="sq-AL" w:bidi="ar-AE"/>
              </w:rPr>
              <w:t>/</w:t>
            </w:r>
            <w:r w:rsidR="00D664A9">
              <w:rPr>
                <w:rFonts w:ascii="Arial" w:hAnsi="Arial" w:cs="Arial"/>
                <w:lang w:val="sq-AL" w:bidi="ar-AE"/>
              </w:rPr>
              <w:t>J</w:t>
            </w:r>
            <w:r w:rsidR="00841B02" w:rsidRPr="002A6F4E">
              <w:rPr>
                <w:rFonts w:ascii="Arial" w:hAnsi="Arial" w:cs="Arial"/>
                <w:lang w:val="sq-AL" w:bidi="ar-AE"/>
              </w:rPr>
              <w:t>edinice lokalnih samouprava</w:t>
            </w:r>
          </w:p>
        </w:tc>
        <w:tc>
          <w:tcPr>
            <w:tcW w:w="508" w:type="pct"/>
            <w:shd w:val="clear" w:color="auto" w:fill="auto"/>
          </w:tcPr>
          <w:p w14:paraId="625124DF" w14:textId="77777777" w:rsidR="00841B02" w:rsidRPr="002A6F4E" w:rsidRDefault="00841B02" w:rsidP="00841B02">
            <w:pPr>
              <w:spacing w:before="40" w:after="40" w:line="360" w:lineRule="auto"/>
              <w:rPr>
                <w:rFonts w:ascii="Arial" w:hAnsi="Arial" w:cs="Arial"/>
                <w:lang w:val="sq-AL" w:bidi="ar-AE"/>
              </w:rPr>
            </w:pPr>
          </w:p>
        </w:tc>
        <w:tc>
          <w:tcPr>
            <w:tcW w:w="1305" w:type="pct"/>
          </w:tcPr>
          <w:p w14:paraId="512934AA" w14:textId="3A589D8F" w:rsidR="00841B02" w:rsidRPr="007E519A" w:rsidRDefault="00841B02" w:rsidP="00841B02">
            <w:pPr>
              <w:spacing w:before="40" w:after="40" w:line="360" w:lineRule="auto"/>
              <w:rPr>
                <w:rFonts w:ascii="Arial" w:hAnsi="Arial" w:cs="Arial"/>
                <w:lang w:val="de-DE" w:bidi="ar-AE"/>
              </w:rPr>
            </w:pPr>
            <w:r w:rsidRPr="007E519A">
              <w:rPr>
                <w:rFonts w:ascii="Arial" w:hAnsi="Arial" w:cs="Arial"/>
                <w:lang w:val="de-DE" w:bidi="ar-AE"/>
              </w:rPr>
              <w:t>Državni budžet</w:t>
            </w:r>
            <w:r w:rsidR="007927A5" w:rsidRPr="007E519A">
              <w:rPr>
                <w:rFonts w:ascii="Arial" w:hAnsi="Arial" w:cs="Arial"/>
                <w:lang w:val="de-DE" w:bidi="ar-AE"/>
              </w:rPr>
              <w:t>/</w:t>
            </w:r>
            <w:r w:rsidRPr="007E519A">
              <w:rPr>
                <w:rFonts w:ascii="Arial" w:hAnsi="Arial" w:cs="Arial"/>
                <w:lang w:val="de-DE" w:bidi="ar-AE"/>
              </w:rPr>
              <w:t xml:space="preserve">Privatni </w:t>
            </w:r>
            <w:r w:rsidR="005220E3" w:rsidRPr="007E519A">
              <w:rPr>
                <w:rFonts w:ascii="Arial" w:hAnsi="Arial" w:cs="Arial"/>
                <w:lang w:val="de-DE" w:bidi="ar-AE"/>
              </w:rPr>
              <w:t>sektor/Donatori/ Međunarodne finansijske institucije</w:t>
            </w:r>
          </w:p>
          <w:p w14:paraId="34D640D0" w14:textId="77777777" w:rsidR="00841B02" w:rsidRPr="002A6F4E" w:rsidRDefault="00841B02" w:rsidP="00841B02">
            <w:pPr>
              <w:spacing w:before="40" w:after="40" w:line="360" w:lineRule="auto"/>
              <w:rPr>
                <w:rFonts w:ascii="Arial" w:hAnsi="Arial" w:cs="Arial"/>
                <w:lang w:val="sq-AL" w:bidi="ar-AE"/>
              </w:rPr>
            </w:pPr>
          </w:p>
        </w:tc>
      </w:tr>
      <w:tr w:rsidR="00841B02" w:rsidRPr="002A6F4E" w14:paraId="2D03E627" w14:textId="77777777" w:rsidTr="009754F4">
        <w:trPr>
          <w:trHeight w:val="780"/>
          <w:jc w:val="center"/>
        </w:trPr>
        <w:tc>
          <w:tcPr>
            <w:tcW w:w="3695" w:type="pct"/>
            <w:gridSpan w:val="5"/>
            <w:shd w:val="clear" w:color="auto" w:fill="EDEDED" w:themeFill="accent3" w:themeFillTint="33"/>
          </w:tcPr>
          <w:p w14:paraId="6D0E098D" w14:textId="77777777" w:rsidR="00841B02" w:rsidRPr="002A6F4E" w:rsidRDefault="00841B02" w:rsidP="00841B02">
            <w:pPr>
              <w:spacing w:before="40" w:after="40" w:line="360" w:lineRule="auto"/>
              <w:rPr>
                <w:rFonts w:ascii="Arial" w:hAnsi="Arial" w:cs="Arial"/>
                <w:b/>
                <w:lang w:val="sq-AL" w:bidi="ar-AE"/>
              </w:rPr>
            </w:pPr>
            <w:r w:rsidRPr="002A6F4E">
              <w:rPr>
                <w:rFonts w:ascii="Arial" w:hAnsi="Arial" w:cs="Arial"/>
                <w:b/>
                <w:lang w:val="sq-AL" w:bidi="ar-AE"/>
              </w:rPr>
              <w:t>Posebni cilj VIIj: Industrijski neopasni otpad</w:t>
            </w:r>
          </w:p>
          <w:p w14:paraId="4E916287" w14:textId="479438F6" w:rsidR="00841B02" w:rsidRPr="002A6F4E" w:rsidRDefault="00841B02"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Osiguranje racionalnog upravljanja (spr</w:t>
            </w:r>
            <w:r w:rsidR="003206C4">
              <w:rPr>
                <w:rFonts w:ascii="Arial" w:hAnsi="Arial" w:cs="Arial"/>
                <w:i/>
                <w:lang w:val="sq-AL" w:bidi="ar-AE"/>
              </w:rPr>
              <w:t>j</w:t>
            </w:r>
            <w:r w:rsidRPr="002A6F4E">
              <w:rPr>
                <w:rFonts w:ascii="Arial" w:hAnsi="Arial" w:cs="Arial"/>
                <w:i/>
                <w:lang w:val="sq-AL" w:bidi="ar-AE"/>
              </w:rPr>
              <w:t xml:space="preserve">ečavanje, recikliranje) industrijskim otpadom kroz primjenu najboljih dostupnih tehnika. </w:t>
            </w:r>
          </w:p>
          <w:p w14:paraId="3A7DBC12" w14:textId="6C827D18" w:rsidR="00841B02" w:rsidRPr="002A6F4E" w:rsidRDefault="00841B02"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Dovesti preradu/upotrebu industrijskog ot</w:t>
            </w:r>
            <w:r w:rsidR="00C01FE4">
              <w:rPr>
                <w:rFonts w:ascii="Arial" w:hAnsi="Arial" w:cs="Arial"/>
                <w:i/>
                <w:lang w:val="sq-AL" w:bidi="ar-AE"/>
              </w:rPr>
              <w:t>p</w:t>
            </w:r>
            <w:r w:rsidRPr="002A6F4E">
              <w:rPr>
                <w:rFonts w:ascii="Arial" w:hAnsi="Arial" w:cs="Arial"/>
                <w:i/>
                <w:lang w:val="sq-AL" w:bidi="ar-AE"/>
              </w:rPr>
              <w:t xml:space="preserve">ada na najveći mogući nivo kroz mogućnosti: </w:t>
            </w:r>
          </w:p>
          <w:p w14:paraId="04A4CF04" w14:textId="66B05F62" w:rsidR="00841B02" w:rsidRPr="002A6F4E" w:rsidRDefault="00C01FE4" w:rsidP="00A23ED0">
            <w:pPr>
              <w:pStyle w:val="ListParagraph"/>
              <w:numPr>
                <w:ilvl w:val="1"/>
                <w:numId w:val="89"/>
              </w:numPr>
              <w:spacing w:before="40" w:after="40" w:line="360" w:lineRule="auto"/>
              <w:ind w:left="1212"/>
              <w:contextualSpacing w:val="0"/>
              <w:rPr>
                <w:rFonts w:ascii="Arial" w:hAnsi="Arial" w:cs="Arial"/>
                <w:i/>
                <w:lang w:val="sq-AL" w:bidi="ar-AE"/>
              </w:rPr>
            </w:pPr>
            <w:r>
              <w:rPr>
                <w:rFonts w:ascii="Arial" w:hAnsi="Arial" w:cs="Arial"/>
                <w:i/>
                <w:lang w:val="sq-AL" w:bidi="ar-AE"/>
              </w:rPr>
              <w:t>upotrebu</w:t>
            </w:r>
            <w:r w:rsidR="00841B02" w:rsidRPr="002A6F4E">
              <w:rPr>
                <w:rFonts w:ascii="Arial" w:hAnsi="Arial" w:cs="Arial"/>
                <w:i/>
                <w:lang w:val="sq-AL" w:bidi="ar-AE"/>
              </w:rPr>
              <w:t xml:space="preserve"> od strane ostalih industrija (npr. kao sirovinu ili gorivo)</w:t>
            </w:r>
            <w:r>
              <w:rPr>
                <w:rFonts w:ascii="Arial" w:hAnsi="Arial" w:cs="Arial"/>
                <w:i/>
                <w:lang w:val="sq-AL" w:bidi="ar-AE"/>
              </w:rPr>
              <w:t>,</w:t>
            </w:r>
            <w:r w:rsidR="00841B02" w:rsidRPr="002A6F4E">
              <w:rPr>
                <w:rFonts w:ascii="Arial" w:hAnsi="Arial" w:cs="Arial"/>
                <w:i/>
                <w:lang w:val="sq-AL" w:bidi="ar-AE"/>
              </w:rPr>
              <w:t xml:space="preserve"> </w:t>
            </w:r>
          </w:p>
          <w:p w14:paraId="41A68313" w14:textId="30E69F1B" w:rsidR="00841B02" w:rsidRPr="002A6F4E" w:rsidRDefault="00841B02" w:rsidP="00A23ED0">
            <w:pPr>
              <w:pStyle w:val="ListParagraph"/>
              <w:numPr>
                <w:ilvl w:val="1"/>
                <w:numId w:val="89"/>
              </w:numPr>
              <w:spacing w:before="40" w:after="40" w:line="360" w:lineRule="auto"/>
              <w:ind w:left="1212"/>
              <w:contextualSpacing w:val="0"/>
              <w:rPr>
                <w:rFonts w:ascii="Arial" w:hAnsi="Arial" w:cs="Arial"/>
                <w:i/>
                <w:lang w:val="sq-AL" w:bidi="ar-AE"/>
              </w:rPr>
            </w:pPr>
            <w:r w:rsidRPr="002A6F4E">
              <w:rPr>
                <w:rFonts w:ascii="Arial" w:hAnsi="Arial" w:cs="Arial"/>
                <w:i/>
                <w:lang w:val="sq-AL" w:bidi="ar-AE"/>
              </w:rPr>
              <w:lastRenderedPageBreak/>
              <w:t>prerade materijala iz postojećih/budućih objekata za preradu otpada</w:t>
            </w:r>
            <w:r w:rsidR="00C01FE4">
              <w:rPr>
                <w:rFonts w:ascii="Arial" w:hAnsi="Arial" w:cs="Arial"/>
                <w:i/>
                <w:lang w:val="sq-AL" w:bidi="ar-AE"/>
              </w:rPr>
              <w:t>,</w:t>
            </w:r>
          </w:p>
          <w:p w14:paraId="2BFF59B4" w14:textId="434E4E7F" w:rsidR="00841B02" w:rsidRPr="002A6F4E" w:rsidRDefault="00841B02" w:rsidP="00A23ED0">
            <w:pPr>
              <w:pStyle w:val="ListParagraph"/>
              <w:numPr>
                <w:ilvl w:val="1"/>
                <w:numId w:val="89"/>
              </w:numPr>
              <w:spacing w:before="40" w:after="40" w:line="360" w:lineRule="auto"/>
              <w:ind w:left="1212"/>
              <w:contextualSpacing w:val="0"/>
              <w:rPr>
                <w:rFonts w:ascii="Arial" w:hAnsi="Arial" w:cs="Arial"/>
                <w:i/>
                <w:lang w:val="sq-AL" w:bidi="ar-AE"/>
              </w:rPr>
            </w:pPr>
            <w:r w:rsidRPr="002A6F4E">
              <w:rPr>
                <w:rFonts w:ascii="Arial" w:hAnsi="Arial" w:cs="Arial"/>
                <w:i/>
                <w:lang w:val="sq-AL" w:bidi="ar-AE"/>
              </w:rPr>
              <w:t>zajedničko upravljanje industrijskim otpadom i sličnim otpadom drugog porijekla</w:t>
            </w:r>
            <w:r w:rsidR="00C01FE4">
              <w:rPr>
                <w:rFonts w:ascii="Arial" w:hAnsi="Arial" w:cs="Arial"/>
                <w:i/>
                <w:lang w:val="sq-AL" w:bidi="ar-AE"/>
              </w:rPr>
              <w:t>.</w:t>
            </w:r>
          </w:p>
          <w:p w14:paraId="7E211425" w14:textId="570DAD40" w:rsidR="00841B02" w:rsidRPr="002A6F4E" w:rsidRDefault="00841B02"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Izgradnja infrastrukture za </w:t>
            </w:r>
            <w:r w:rsidR="00C01FE4">
              <w:rPr>
                <w:rFonts w:ascii="Arial" w:hAnsi="Arial" w:cs="Arial"/>
                <w:i/>
                <w:lang w:val="sq-AL" w:bidi="ar-AE"/>
              </w:rPr>
              <w:t>obradu</w:t>
            </w:r>
            <w:r w:rsidRPr="002A6F4E">
              <w:rPr>
                <w:rFonts w:ascii="Arial" w:hAnsi="Arial" w:cs="Arial"/>
                <w:i/>
                <w:lang w:val="sq-AL" w:bidi="ar-AE"/>
              </w:rPr>
              <w:t xml:space="preserve"> koja je neophodna za upravljanje industrijskim otpadom.</w:t>
            </w:r>
          </w:p>
          <w:p w14:paraId="560ED3C4" w14:textId="77777777" w:rsidR="00841B02" w:rsidRPr="002A6F4E" w:rsidRDefault="00841B02"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Uklanjanje industrijskog </w:t>
            </w:r>
            <w:r w:rsidRPr="002A6F4E">
              <w:rPr>
                <w:rFonts w:ascii="Arial" w:hAnsi="Arial" w:cs="Arial"/>
                <w:i/>
                <w:lang w:val="sr-Latn-ME" w:bidi="ar-AE"/>
              </w:rPr>
              <w:t xml:space="preserve">„istorijskog otpada“ do 2030. godine. </w:t>
            </w:r>
          </w:p>
        </w:tc>
        <w:tc>
          <w:tcPr>
            <w:tcW w:w="1305" w:type="pct"/>
            <w:shd w:val="clear" w:color="auto" w:fill="EDEDED" w:themeFill="accent3" w:themeFillTint="33"/>
          </w:tcPr>
          <w:p w14:paraId="11DED7A7" w14:textId="77777777" w:rsidR="00841B02" w:rsidRPr="002A6F4E" w:rsidRDefault="00841B02" w:rsidP="00841B02">
            <w:pPr>
              <w:spacing w:before="40" w:after="40" w:line="360" w:lineRule="auto"/>
              <w:rPr>
                <w:rFonts w:ascii="Arial" w:hAnsi="Arial" w:cs="Arial"/>
                <w:b/>
                <w:lang w:val="sq-AL" w:bidi="ar-AE"/>
              </w:rPr>
            </w:pPr>
          </w:p>
        </w:tc>
      </w:tr>
      <w:tr w:rsidR="00841B02" w:rsidRPr="002A6F4E" w14:paraId="487049DB" w14:textId="77777777" w:rsidTr="009754F4">
        <w:trPr>
          <w:jc w:val="center"/>
        </w:trPr>
        <w:tc>
          <w:tcPr>
            <w:tcW w:w="304" w:type="pct"/>
            <w:shd w:val="clear" w:color="auto" w:fill="auto"/>
          </w:tcPr>
          <w:p w14:paraId="09A140C3" w14:textId="7D8926EA"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C01FE4">
              <w:rPr>
                <w:rFonts w:ascii="Arial" w:hAnsi="Arial" w:cs="Arial"/>
                <w:lang w:val="sq-AL" w:bidi="ar-AE"/>
              </w:rPr>
              <w:t>47</w:t>
            </w:r>
          </w:p>
        </w:tc>
        <w:tc>
          <w:tcPr>
            <w:tcW w:w="518" w:type="pct"/>
            <w:shd w:val="clear" w:color="auto" w:fill="auto"/>
          </w:tcPr>
          <w:p w14:paraId="0A3E1D1C"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0BEF6B5B" w14:textId="39A8F1E7" w:rsidR="00841B02" w:rsidRPr="002A6F4E" w:rsidRDefault="00841B02" w:rsidP="00841B02">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Obnova/produženje izdatih ekoloških saglasnosti za rad industrijskih objekata uz primjenu najboljih dostupnih tehnika (BAT) u najvećoj  mogućoj mjeri u cilju postizanja najmanjeg mogućeg nivoa proizvodnje industrijskog otpada </w:t>
            </w:r>
          </w:p>
        </w:tc>
        <w:tc>
          <w:tcPr>
            <w:tcW w:w="1101" w:type="pct"/>
            <w:shd w:val="clear" w:color="auto" w:fill="auto"/>
          </w:tcPr>
          <w:p w14:paraId="7AF62DAA" w14:textId="63DD57F3" w:rsidR="00841B02" w:rsidRPr="002A6F4E" w:rsidRDefault="00C01FE4" w:rsidP="00841B02">
            <w:pPr>
              <w:spacing w:before="40" w:after="40" w:line="360" w:lineRule="auto"/>
              <w:rPr>
                <w:rFonts w:ascii="Arial" w:hAnsi="Arial" w:cs="Arial"/>
                <w:lang w:val="sq-AL" w:bidi="ar-AE"/>
              </w:rPr>
            </w:pPr>
            <w:r>
              <w:rPr>
                <w:rFonts w:ascii="Arial" w:hAnsi="Arial" w:cs="Arial"/>
                <w:lang w:val="sq-AL"/>
              </w:rPr>
              <w:t>AZŽS/</w:t>
            </w:r>
            <w:r w:rsidR="00841B02" w:rsidRPr="002A6F4E">
              <w:rPr>
                <w:rFonts w:ascii="Arial" w:hAnsi="Arial" w:cs="Arial"/>
                <w:lang w:val="sq-AL"/>
              </w:rPr>
              <w:t>MERS</w:t>
            </w:r>
            <w:r>
              <w:rPr>
                <w:rFonts w:ascii="Arial" w:hAnsi="Arial" w:cs="Arial"/>
                <w:lang w:val="sq-AL"/>
              </w:rPr>
              <w:t>/Ministarstvo nadležno za oblast industrije</w:t>
            </w:r>
          </w:p>
        </w:tc>
        <w:tc>
          <w:tcPr>
            <w:tcW w:w="508" w:type="pct"/>
            <w:shd w:val="clear" w:color="auto" w:fill="auto"/>
          </w:tcPr>
          <w:p w14:paraId="5142C805" w14:textId="2213F71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2025-2029.</w:t>
            </w:r>
          </w:p>
        </w:tc>
        <w:tc>
          <w:tcPr>
            <w:tcW w:w="1305" w:type="pct"/>
          </w:tcPr>
          <w:p w14:paraId="0A004C00" w14:textId="3134A87B" w:rsidR="00841B02" w:rsidRPr="002A6F4E" w:rsidRDefault="00C01FE4" w:rsidP="00841B02">
            <w:pPr>
              <w:spacing w:before="40" w:after="40" w:line="360" w:lineRule="auto"/>
              <w:rPr>
                <w:rFonts w:ascii="Arial" w:hAnsi="Arial" w:cs="Arial"/>
                <w:lang w:val="sq-AL" w:bidi="ar-AE"/>
              </w:rPr>
            </w:pPr>
            <w:r>
              <w:rPr>
                <w:rFonts w:ascii="Arial" w:hAnsi="Arial" w:cs="Arial"/>
                <w:lang w:val="sq-AL" w:bidi="ar-AE"/>
              </w:rPr>
              <w:t>/</w:t>
            </w:r>
          </w:p>
        </w:tc>
      </w:tr>
      <w:tr w:rsidR="00841B02" w:rsidRPr="002A6F4E" w14:paraId="2324F749" w14:textId="77777777" w:rsidTr="009754F4">
        <w:trPr>
          <w:jc w:val="center"/>
        </w:trPr>
        <w:tc>
          <w:tcPr>
            <w:tcW w:w="304" w:type="pct"/>
            <w:shd w:val="clear" w:color="auto" w:fill="auto"/>
          </w:tcPr>
          <w:p w14:paraId="16CE36B2" w14:textId="528124C2"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C01FE4">
              <w:rPr>
                <w:rFonts w:ascii="Arial" w:hAnsi="Arial" w:cs="Arial"/>
                <w:lang w:val="sq-AL" w:bidi="ar-AE"/>
              </w:rPr>
              <w:t>48</w:t>
            </w:r>
          </w:p>
        </w:tc>
        <w:tc>
          <w:tcPr>
            <w:tcW w:w="518" w:type="pct"/>
            <w:shd w:val="clear" w:color="auto" w:fill="auto"/>
          </w:tcPr>
          <w:p w14:paraId="0014FFDE"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 xml:space="preserve">FM </w:t>
            </w:r>
          </w:p>
        </w:tc>
        <w:tc>
          <w:tcPr>
            <w:tcW w:w="1264" w:type="pct"/>
            <w:shd w:val="clear" w:color="auto" w:fill="auto"/>
          </w:tcPr>
          <w:p w14:paraId="40A899C7" w14:textId="28EA6DC7" w:rsidR="00841B02" w:rsidRPr="002A6F4E" w:rsidRDefault="00841B02" w:rsidP="00841B02">
            <w:pPr>
              <w:tabs>
                <w:tab w:val="left" w:pos="324"/>
              </w:tabs>
              <w:spacing w:before="40" w:after="40" w:line="360" w:lineRule="auto"/>
              <w:ind w:left="54"/>
              <w:rPr>
                <w:rFonts w:ascii="Arial" w:eastAsia="Times New Roman" w:hAnsi="Arial" w:cs="Arial"/>
                <w:lang w:val="sq-AL" w:eastAsia="el-GR"/>
              </w:rPr>
            </w:pPr>
            <w:r w:rsidRPr="002A6F4E">
              <w:rPr>
                <w:rFonts w:ascii="Arial" w:hAnsi="Arial" w:cs="Arial"/>
                <w:color w:val="000000"/>
                <w:lang w:val="sq-AL"/>
              </w:rPr>
              <w:t>Obezbjeđivanje fin</w:t>
            </w:r>
            <w:r w:rsidR="00CC4CDB">
              <w:rPr>
                <w:rFonts w:ascii="Arial" w:hAnsi="Arial" w:cs="Arial"/>
                <w:color w:val="000000"/>
                <w:lang w:val="sq-AL"/>
              </w:rPr>
              <w:t>a</w:t>
            </w:r>
            <w:r w:rsidRPr="002A6F4E">
              <w:rPr>
                <w:rFonts w:ascii="Arial" w:hAnsi="Arial" w:cs="Arial"/>
                <w:color w:val="000000"/>
                <w:lang w:val="sq-AL"/>
              </w:rPr>
              <w:t>nsijskih podsticaja za ekološku modernizaciju industrijskih objekata, u cilju uključivanja najboljih mogućih tehnika u proizvodni proces u najvećoj mogućoj mjeri</w:t>
            </w:r>
          </w:p>
        </w:tc>
        <w:tc>
          <w:tcPr>
            <w:tcW w:w="1101" w:type="pct"/>
            <w:shd w:val="clear" w:color="auto" w:fill="auto"/>
          </w:tcPr>
          <w:p w14:paraId="1F202EA1" w14:textId="074F24F6"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/MF</w:t>
            </w:r>
            <w:r w:rsidR="0013691C">
              <w:rPr>
                <w:rFonts w:ascii="Arial" w:hAnsi="Arial" w:cs="Arial"/>
                <w:lang w:val="sq-AL" w:bidi="ar-AE"/>
              </w:rPr>
              <w:t>/</w:t>
            </w:r>
            <w:r w:rsidR="0013691C">
              <w:rPr>
                <w:rFonts w:ascii="Arial" w:hAnsi="Arial" w:cs="Arial"/>
                <w:lang w:val="sq-AL"/>
              </w:rPr>
              <w:t>Ministarstvo nadležno za oblast industrije</w:t>
            </w:r>
          </w:p>
        </w:tc>
        <w:tc>
          <w:tcPr>
            <w:tcW w:w="508" w:type="pct"/>
            <w:shd w:val="clear" w:color="auto" w:fill="auto"/>
          </w:tcPr>
          <w:p w14:paraId="30A9949B" w14:textId="0584B61F"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2025-2029.</w:t>
            </w:r>
          </w:p>
        </w:tc>
        <w:tc>
          <w:tcPr>
            <w:tcW w:w="1305" w:type="pct"/>
          </w:tcPr>
          <w:p w14:paraId="321C67E3" w14:textId="3C97F42F" w:rsidR="00DE7B6D" w:rsidRPr="002A6F4E" w:rsidRDefault="00DE7B6D" w:rsidP="00DE7B6D">
            <w:pPr>
              <w:spacing w:before="40" w:after="40" w:line="360" w:lineRule="auto"/>
              <w:rPr>
                <w:rFonts w:ascii="Arial" w:hAnsi="Arial" w:cs="Arial"/>
                <w:lang w:bidi="ar-AE"/>
              </w:rPr>
            </w:pPr>
            <w:r w:rsidRPr="002A6F4E">
              <w:rPr>
                <w:rFonts w:ascii="Arial" w:hAnsi="Arial" w:cs="Arial"/>
                <w:lang w:bidi="ar-AE"/>
              </w:rPr>
              <w:t>Državni budžet</w:t>
            </w:r>
            <w:r>
              <w:rPr>
                <w:rFonts w:ascii="Arial" w:hAnsi="Arial" w:cs="Arial"/>
                <w:lang w:bidi="ar-AE"/>
              </w:rPr>
              <w:t>/Donatori/</w:t>
            </w:r>
            <w:r w:rsidRPr="00930813">
              <w:rPr>
                <w:rFonts w:ascii="Arial" w:hAnsi="Arial" w:cs="Arial"/>
                <w:lang w:bidi="ar-AE"/>
              </w:rPr>
              <w:t>Međunarodne finansijske institucije</w:t>
            </w:r>
          </w:p>
          <w:p w14:paraId="74B6C809" w14:textId="275575A0" w:rsidR="00841B02" w:rsidRPr="002A6F4E" w:rsidRDefault="00841B02" w:rsidP="00841B02">
            <w:pPr>
              <w:spacing w:before="40" w:after="40" w:line="360" w:lineRule="auto"/>
              <w:rPr>
                <w:rFonts w:ascii="Arial" w:hAnsi="Arial" w:cs="Arial"/>
                <w:lang w:val="sq-AL" w:bidi="ar-AE"/>
              </w:rPr>
            </w:pPr>
          </w:p>
        </w:tc>
      </w:tr>
      <w:tr w:rsidR="00841B02" w:rsidRPr="002A6F4E" w14:paraId="5FB165D0" w14:textId="77777777" w:rsidTr="009754F4">
        <w:trPr>
          <w:jc w:val="center"/>
        </w:trPr>
        <w:tc>
          <w:tcPr>
            <w:tcW w:w="304" w:type="pct"/>
            <w:shd w:val="clear" w:color="auto" w:fill="auto"/>
          </w:tcPr>
          <w:p w14:paraId="5C2F624A" w14:textId="068C95D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CC4CDB">
              <w:rPr>
                <w:rFonts w:ascii="Arial" w:hAnsi="Arial" w:cs="Arial"/>
                <w:lang w:val="sq-AL" w:bidi="ar-AE"/>
              </w:rPr>
              <w:t>49</w:t>
            </w:r>
          </w:p>
        </w:tc>
        <w:tc>
          <w:tcPr>
            <w:tcW w:w="518" w:type="pct"/>
            <w:shd w:val="clear" w:color="auto" w:fill="auto"/>
          </w:tcPr>
          <w:p w14:paraId="20DAA89F"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 xml:space="preserve">OAM </w:t>
            </w:r>
          </w:p>
        </w:tc>
        <w:tc>
          <w:tcPr>
            <w:tcW w:w="1264" w:type="pct"/>
            <w:shd w:val="clear" w:color="auto" w:fill="auto"/>
          </w:tcPr>
          <w:p w14:paraId="7F839946" w14:textId="77777777" w:rsidR="00841B02" w:rsidRPr="002A6F4E" w:rsidRDefault="00841B02" w:rsidP="00841B02">
            <w:pPr>
              <w:tabs>
                <w:tab w:val="left" w:pos="324"/>
              </w:tabs>
              <w:spacing w:before="40" w:after="40" w:line="360" w:lineRule="auto"/>
              <w:ind w:left="54"/>
              <w:rPr>
                <w:rFonts w:ascii="Arial" w:eastAsia="Times New Roman" w:hAnsi="Arial" w:cs="Arial"/>
                <w:lang w:val="sq-AL" w:eastAsia="el-GR"/>
              </w:rPr>
            </w:pPr>
            <w:r w:rsidRPr="002A6F4E">
              <w:rPr>
                <w:rFonts w:ascii="Arial" w:hAnsi="Arial" w:cs="Arial"/>
                <w:color w:val="000000"/>
                <w:lang w:val="sq-AL"/>
              </w:rPr>
              <w:t xml:space="preserve">Intenziviranje kontrola usklađenosti u pogledu ekoloških saglasnosti i korišćenja najboljih dostupnih tehnika </w:t>
            </w:r>
          </w:p>
        </w:tc>
        <w:tc>
          <w:tcPr>
            <w:tcW w:w="1101" w:type="pct"/>
            <w:shd w:val="clear" w:color="auto" w:fill="auto"/>
          </w:tcPr>
          <w:p w14:paraId="769C1780" w14:textId="0249A4FF"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rPr>
              <w:t>MERS</w:t>
            </w:r>
            <w:r w:rsidR="00066B0E">
              <w:rPr>
                <w:rFonts w:ascii="Arial" w:hAnsi="Arial" w:cs="Arial"/>
                <w:lang w:val="sq-AL"/>
              </w:rPr>
              <w:t>/AZŽS/Ekološka inspekcija</w:t>
            </w:r>
            <w:r w:rsidR="0013691C">
              <w:rPr>
                <w:rFonts w:ascii="Arial" w:hAnsi="Arial" w:cs="Arial"/>
                <w:lang w:val="sq-AL"/>
              </w:rPr>
              <w:t>/Ministarstvo nadležno za oblast industrije</w:t>
            </w:r>
          </w:p>
        </w:tc>
        <w:tc>
          <w:tcPr>
            <w:tcW w:w="508" w:type="pct"/>
            <w:shd w:val="clear" w:color="auto" w:fill="auto"/>
          </w:tcPr>
          <w:p w14:paraId="5D3E7A1E" w14:textId="3EF74148"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2025-2029.</w:t>
            </w:r>
          </w:p>
        </w:tc>
        <w:tc>
          <w:tcPr>
            <w:tcW w:w="1305" w:type="pct"/>
          </w:tcPr>
          <w:p w14:paraId="40DFAB0A" w14:textId="038EEB4B" w:rsidR="00841B02" w:rsidRPr="002A6F4E" w:rsidRDefault="00066B0E" w:rsidP="00841B02">
            <w:pPr>
              <w:spacing w:before="40" w:after="40" w:line="360" w:lineRule="auto"/>
              <w:rPr>
                <w:rFonts w:ascii="Arial" w:hAnsi="Arial" w:cs="Arial"/>
                <w:lang w:val="sq-AL" w:bidi="ar-AE"/>
              </w:rPr>
            </w:pPr>
            <w:r>
              <w:rPr>
                <w:rFonts w:ascii="Arial" w:hAnsi="Arial" w:cs="Arial"/>
                <w:lang w:val="sq-AL" w:bidi="ar-AE"/>
              </w:rPr>
              <w:t>/</w:t>
            </w:r>
          </w:p>
        </w:tc>
      </w:tr>
      <w:tr w:rsidR="00841B02" w:rsidRPr="002A6F4E" w14:paraId="37A6D42E" w14:textId="77777777" w:rsidTr="009754F4">
        <w:trPr>
          <w:jc w:val="center"/>
        </w:trPr>
        <w:tc>
          <w:tcPr>
            <w:tcW w:w="304" w:type="pct"/>
            <w:shd w:val="clear" w:color="auto" w:fill="auto"/>
          </w:tcPr>
          <w:p w14:paraId="339BCBD5" w14:textId="3C77A41D"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CC4CDB">
              <w:rPr>
                <w:rFonts w:ascii="Arial" w:hAnsi="Arial" w:cs="Arial"/>
                <w:lang w:val="sq-AL" w:bidi="ar-AE"/>
              </w:rPr>
              <w:t>50</w:t>
            </w:r>
          </w:p>
        </w:tc>
        <w:tc>
          <w:tcPr>
            <w:tcW w:w="518" w:type="pct"/>
            <w:shd w:val="clear" w:color="auto" w:fill="auto"/>
          </w:tcPr>
          <w:p w14:paraId="7AE77A19"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 xml:space="preserve">PSSSS </w:t>
            </w:r>
          </w:p>
        </w:tc>
        <w:tc>
          <w:tcPr>
            <w:tcW w:w="1264" w:type="pct"/>
            <w:shd w:val="clear" w:color="auto" w:fill="auto"/>
          </w:tcPr>
          <w:p w14:paraId="1D441B7A" w14:textId="77777777" w:rsidR="00841B02" w:rsidRPr="002A6F4E" w:rsidRDefault="00841B02" w:rsidP="00841B02">
            <w:pPr>
              <w:tabs>
                <w:tab w:val="left" w:pos="324"/>
              </w:tabs>
              <w:spacing w:before="40" w:after="40" w:line="360" w:lineRule="auto"/>
              <w:ind w:left="54"/>
              <w:rPr>
                <w:rFonts w:ascii="Arial" w:hAnsi="Arial" w:cs="Arial"/>
                <w:lang w:val="sq-AL" w:eastAsia="el-GR"/>
              </w:rPr>
            </w:pPr>
            <w:r w:rsidRPr="002A6F4E">
              <w:rPr>
                <w:rFonts w:ascii="Arial" w:eastAsia="Times New Roman" w:hAnsi="Arial" w:cs="Arial"/>
                <w:lang w:val="sq-AL" w:eastAsia="el-GR"/>
              </w:rPr>
              <w:t>Kategorizacija tokova industrijskog otpada koji se može koristiti kao sirovina, gorivo, itd., a potiče iz industrijskih objekata</w:t>
            </w:r>
          </w:p>
        </w:tc>
        <w:tc>
          <w:tcPr>
            <w:tcW w:w="1101" w:type="pct"/>
            <w:shd w:val="clear" w:color="auto" w:fill="auto"/>
          </w:tcPr>
          <w:p w14:paraId="58DEDDAD" w14:textId="5E4B83E1"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rPr>
              <w:t>MERS</w:t>
            </w:r>
            <w:r w:rsidR="0013691C">
              <w:rPr>
                <w:rFonts w:ascii="Arial" w:hAnsi="Arial" w:cs="Arial"/>
                <w:lang w:val="sq-AL"/>
              </w:rPr>
              <w:t xml:space="preserve">/Ministarstvo nadležno za oblast industrije </w:t>
            </w:r>
          </w:p>
        </w:tc>
        <w:tc>
          <w:tcPr>
            <w:tcW w:w="508" w:type="pct"/>
            <w:shd w:val="clear" w:color="auto" w:fill="auto"/>
          </w:tcPr>
          <w:p w14:paraId="78EB2530"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2025-2026.</w:t>
            </w:r>
          </w:p>
        </w:tc>
        <w:tc>
          <w:tcPr>
            <w:tcW w:w="1305" w:type="pct"/>
          </w:tcPr>
          <w:p w14:paraId="6FFE9F7D" w14:textId="77777777"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Državni budžet</w:t>
            </w:r>
          </w:p>
          <w:p w14:paraId="163984C2" w14:textId="77777777" w:rsidR="00841B02" w:rsidRPr="002A6F4E" w:rsidRDefault="00841B02" w:rsidP="00841B02">
            <w:pPr>
              <w:spacing w:before="40" w:after="40" w:line="360" w:lineRule="auto"/>
              <w:rPr>
                <w:rFonts w:ascii="Arial" w:hAnsi="Arial" w:cs="Arial"/>
                <w:lang w:val="sq-AL" w:bidi="ar-AE"/>
              </w:rPr>
            </w:pPr>
          </w:p>
        </w:tc>
      </w:tr>
      <w:tr w:rsidR="00841B02" w:rsidRPr="002A6F4E" w14:paraId="42498BD6" w14:textId="77777777" w:rsidTr="009754F4">
        <w:trPr>
          <w:jc w:val="center"/>
        </w:trPr>
        <w:tc>
          <w:tcPr>
            <w:tcW w:w="304" w:type="pct"/>
            <w:shd w:val="clear" w:color="auto" w:fill="auto"/>
          </w:tcPr>
          <w:p w14:paraId="1BA1C41F" w14:textId="0FE34FDC"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CC4CDB">
              <w:rPr>
                <w:rFonts w:ascii="Arial" w:hAnsi="Arial" w:cs="Arial"/>
                <w:lang w:val="sq-AL" w:bidi="ar-AE"/>
              </w:rPr>
              <w:t>5</w:t>
            </w:r>
            <w:r w:rsidR="009754F4">
              <w:rPr>
                <w:rFonts w:ascii="Arial" w:hAnsi="Arial" w:cs="Arial"/>
                <w:lang w:val="sq-AL" w:bidi="ar-AE"/>
              </w:rPr>
              <w:t>1</w:t>
            </w:r>
          </w:p>
        </w:tc>
        <w:tc>
          <w:tcPr>
            <w:tcW w:w="518" w:type="pct"/>
            <w:shd w:val="clear" w:color="auto" w:fill="auto"/>
          </w:tcPr>
          <w:p w14:paraId="27ED8F36"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FM</w:t>
            </w:r>
          </w:p>
        </w:tc>
        <w:tc>
          <w:tcPr>
            <w:tcW w:w="1264" w:type="pct"/>
            <w:shd w:val="clear" w:color="auto" w:fill="auto"/>
            <w:vAlign w:val="center"/>
          </w:tcPr>
          <w:p w14:paraId="5F9BDC10" w14:textId="05319BEE" w:rsidR="00841B02" w:rsidRPr="002A6F4E" w:rsidRDefault="00841B02" w:rsidP="00841B02">
            <w:pPr>
              <w:tabs>
                <w:tab w:val="left" w:pos="324"/>
              </w:tabs>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Obezbjeđivanje podsticaja za izgradnju infrastrukture za </w:t>
            </w:r>
            <w:r w:rsidR="009754F4">
              <w:rPr>
                <w:rFonts w:ascii="Arial" w:eastAsia="Times New Roman" w:hAnsi="Arial" w:cs="Arial"/>
                <w:lang w:val="sq-AL" w:eastAsia="el-GR"/>
              </w:rPr>
              <w:t>obradu</w:t>
            </w:r>
            <w:r w:rsidRPr="002A6F4E">
              <w:rPr>
                <w:rFonts w:ascii="Arial" w:eastAsia="Times New Roman" w:hAnsi="Arial" w:cs="Arial"/>
                <w:lang w:val="sq-AL" w:eastAsia="el-GR"/>
              </w:rPr>
              <w:t xml:space="preserve"> koja je neophodna za </w:t>
            </w:r>
            <w:r w:rsidRPr="002A6F4E">
              <w:rPr>
                <w:rFonts w:ascii="Arial" w:eastAsia="Times New Roman" w:hAnsi="Arial" w:cs="Arial"/>
                <w:lang w:val="sq-AL" w:eastAsia="el-GR"/>
              </w:rPr>
              <w:lastRenderedPageBreak/>
              <w:t xml:space="preserve">upravljanje industrijskim otpadom </w:t>
            </w:r>
          </w:p>
        </w:tc>
        <w:tc>
          <w:tcPr>
            <w:tcW w:w="1101" w:type="pct"/>
            <w:shd w:val="clear" w:color="auto" w:fill="auto"/>
          </w:tcPr>
          <w:p w14:paraId="79563CA8" w14:textId="777AF213"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rPr>
              <w:lastRenderedPageBreak/>
              <w:t>MERS</w:t>
            </w:r>
            <w:r w:rsidRPr="002A6F4E">
              <w:rPr>
                <w:rFonts w:ascii="Arial" w:hAnsi="Arial" w:cs="Arial"/>
                <w:lang w:val="sq-AL" w:bidi="ar-AE"/>
              </w:rPr>
              <w:t>/MF</w:t>
            </w:r>
            <w:r w:rsidR="009754F4">
              <w:rPr>
                <w:rFonts w:ascii="Arial" w:hAnsi="Arial" w:cs="Arial"/>
                <w:lang w:val="sq-AL" w:bidi="ar-AE"/>
              </w:rPr>
              <w:t>/</w:t>
            </w:r>
            <w:r w:rsidR="009754F4">
              <w:rPr>
                <w:rFonts w:ascii="Arial" w:hAnsi="Arial" w:cs="Arial"/>
                <w:lang w:val="sq-AL"/>
              </w:rPr>
              <w:t>Ministarstvo nadležno za oblast industrije</w:t>
            </w:r>
          </w:p>
        </w:tc>
        <w:tc>
          <w:tcPr>
            <w:tcW w:w="508" w:type="pct"/>
            <w:shd w:val="clear" w:color="auto" w:fill="auto"/>
          </w:tcPr>
          <w:p w14:paraId="7C61F9FB" w14:textId="41455AA2"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2025-2029.</w:t>
            </w:r>
          </w:p>
        </w:tc>
        <w:tc>
          <w:tcPr>
            <w:tcW w:w="1305" w:type="pct"/>
          </w:tcPr>
          <w:p w14:paraId="14DF0A3E" w14:textId="77777777" w:rsidR="009754F4" w:rsidRPr="002A6F4E" w:rsidRDefault="009754F4" w:rsidP="009754F4">
            <w:pPr>
              <w:spacing w:before="40" w:after="40" w:line="360" w:lineRule="auto"/>
              <w:rPr>
                <w:rFonts w:ascii="Arial" w:hAnsi="Arial" w:cs="Arial"/>
                <w:lang w:bidi="ar-AE"/>
              </w:rPr>
            </w:pPr>
            <w:r w:rsidRPr="002A6F4E">
              <w:rPr>
                <w:rFonts w:ascii="Arial" w:hAnsi="Arial" w:cs="Arial"/>
                <w:lang w:bidi="ar-AE"/>
              </w:rPr>
              <w:t>Državni budžet</w:t>
            </w:r>
            <w:r>
              <w:rPr>
                <w:rFonts w:ascii="Arial" w:hAnsi="Arial" w:cs="Arial"/>
                <w:lang w:bidi="ar-AE"/>
              </w:rPr>
              <w:t>/Donatori/</w:t>
            </w:r>
            <w:r w:rsidRPr="00930813">
              <w:rPr>
                <w:rFonts w:ascii="Arial" w:hAnsi="Arial" w:cs="Arial"/>
                <w:lang w:bidi="ar-AE"/>
              </w:rPr>
              <w:t>Međunarodne finansijske institucije</w:t>
            </w:r>
          </w:p>
          <w:p w14:paraId="55C00340" w14:textId="4F58987E" w:rsidR="00841B02" w:rsidRPr="002A6F4E" w:rsidRDefault="00841B02" w:rsidP="00841B02">
            <w:pPr>
              <w:spacing w:before="40" w:after="40" w:line="360" w:lineRule="auto"/>
              <w:rPr>
                <w:rFonts w:ascii="Arial" w:hAnsi="Arial" w:cs="Arial"/>
                <w:lang w:val="sq-AL" w:bidi="ar-AE"/>
              </w:rPr>
            </w:pPr>
          </w:p>
        </w:tc>
      </w:tr>
      <w:tr w:rsidR="00841B02" w:rsidRPr="002A6F4E" w14:paraId="45A216EB" w14:textId="77777777" w:rsidTr="009754F4">
        <w:trPr>
          <w:jc w:val="center"/>
        </w:trPr>
        <w:tc>
          <w:tcPr>
            <w:tcW w:w="304" w:type="pct"/>
            <w:shd w:val="clear" w:color="auto" w:fill="auto"/>
          </w:tcPr>
          <w:p w14:paraId="1A866590" w14:textId="7FF228ED"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lastRenderedPageBreak/>
              <w:t>4.</w:t>
            </w:r>
            <w:r w:rsidR="00CC4CDB">
              <w:rPr>
                <w:rFonts w:ascii="Arial" w:hAnsi="Arial" w:cs="Arial"/>
                <w:lang w:val="sq-AL" w:bidi="ar-AE"/>
              </w:rPr>
              <w:t>5</w:t>
            </w:r>
            <w:r w:rsidR="009754F4">
              <w:rPr>
                <w:rFonts w:ascii="Arial" w:hAnsi="Arial" w:cs="Arial"/>
                <w:lang w:val="sq-AL" w:bidi="ar-AE"/>
              </w:rPr>
              <w:t>2</w:t>
            </w:r>
          </w:p>
        </w:tc>
        <w:tc>
          <w:tcPr>
            <w:tcW w:w="518" w:type="pct"/>
            <w:shd w:val="clear" w:color="auto" w:fill="auto"/>
          </w:tcPr>
          <w:p w14:paraId="30F31078"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IM</w:t>
            </w:r>
          </w:p>
        </w:tc>
        <w:tc>
          <w:tcPr>
            <w:tcW w:w="1264" w:type="pct"/>
            <w:shd w:val="clear" w:color="auto" w:fill="auto"/>
          </w:tcPr>
          <w:p w14:paraId="77CB862F" w14:textId="77777777" w:rsidR="00841B02" w:rsidRPr="002A6F4E" w:rsidRDefault="00841B02" w:rsidP="00841B02">
            <w:pPr>
              <w:tabs>
                <w:tab w:val="left" w:pos="324"/>
              </w:tabs>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Uklanjanje industrijskog </w:t>
            </w:r>
            <w:r w:rsidRPr="002A6F4E">
              <w:rPr>
                <w:rFonts w:ascii="Arial" w:eastAsia="Times New Roman" w:hAnsi="Arial" w:cs="Arial"/>
                <w:lang w:val="sr-Latn-ME" w:eastAsia="el-GR"/>
              </w:rPr>
              <w:t xml:space="preserve">„istorijskog“ otpada i sanacija utvrđenih lokacija </w:t>
            </w:r>
          </w:p>
        </w:tc>
        <w:tc>
          <w:tcPr>
            <w:tcW w:w="1101" w:type="pct"/>
            <w:shd w:val="clear" w:color="auto" w:fill="auto"/>
          </w:tcPr>
          <w:p w14:paraId="55E7BAED" w14:textId="42B3F9B1"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rPr>
              <w:t>MERS</w:t>
            </w:r>
            <w:r w:rsidR="008D3024">
              <w:rPr>
                <w:rFonts w:ascii="Arial" w:hAnsi="Arial" w:cs="Arial"/>
                <w:lang w:val="sq-AL"/>
              </w:rPr>
              <w:t>/Ministarstvo nadležno za oblast industrije</w:t>
            </w:r>
          </w:p>
        </w:tc>
        <w:tc>
          <w:tcPr>
            <w:tcW w:w="508" w:type="pct"/>
            <w:shd w:val="clear" w:color="auto" w:fill="auto"/>
          </w:tcPr>
          <w:p w14:paraId="35FAE7B2"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2025-2030.</w:t>
            </w:r>
          </w:p>
        </w:tc>
        <w:tc>
          <w:tcPr>
            <w:tcW w:w="1305" w:type="pct"/>
          </w:tcPr>
          <w:p w14:paraId="4C32AC0B" w14:textId="77777777" w:rsidR="008D3024" w:rsidRPr="002A6F4E" w:rsidRDefault="008D3024" w:rsidP="008D3024">
            <w:pPr>
              <w:spacing w:before="40" w:after="40" w:line="360" w:lineRule="auto"/>
              <w:rPr>
                <w:rFonts w:ascii="Arial" w:hAnsi="Arial" w:cs="Arial"/>
                <w:lang w:bidi="ar-AE"/>
              </w:rPr>
            </w:pPr>
            <w:r w:rsidRPr="002A6F4E">
              <w:rPr>
                <w:rFonts w:ascii="Arial" w:hAnsi="Arial" w:cs="Arial"/>
                <w:lang w:bidi="ar-AE"/>
              </w:rPr>
              <w:t>Državni budžet</w:t>
            </w:r>
            <w:r>
              <w:rPr>
                <w:rFonts w:ascii="Arial" w:hAnsi="Arial" w:cs="Arial"/>
                <w:lang w:bidi="ar-AE"/>
              </w:rPr>
              <w:t>/Donatori/</w:t>
            </w:r>
            <w:r w:rsidRPr="00930813">
              <w:rPr>
                <w:rFonts w:ascii="Arial" w:hAnsi="Arial" w:cs="Arial"/>
                <w:lang w:bidi="ar-AE"/>
              </w:rPr>
              <w:t>Međunarodne finansijske institucije</w:t>
            </w:r>
          </w:p>
          <w:p w14:paraId="078CF510" w14:textId="77777777" w:rsidR="00841B02" w:rsidRPr="002A6F4E" w:rsidRDefault="00841B02" w:rsidP="008D3024">
            <w:pPr>
              <w:spacing w:before="40" w:after="40" w:line="360" w:lineRule="auto"/>
              <w:rPr>
                <w:rFonts w:ascii="Arial" w:hAnsi="Arial" w:cs="Arial"/>
                <w:lang w:val="sq-AL" w:bidi="ar-AE"/>
              </w:rPr>
            </w:pPr>
          </w:p>
        </w:tc>
      </w:tr>
      <w:tr w:rsidR="00841B02" w:rsidRPr="002A6F4E" w14:paraId="4E0EE0B9" w14:textId="77777777" w:rsidTr="009754F4">
        <w:trPr>
          <w:trHeight w:val="780"/>
          <w:jc w:val="center"/>
        </w:trPr>
        <w:tc>
          <w:tcPr>
            <w:tcW w:w="3695" w:type="pct"/>
            <w:gridSpan w:val="5"/>
            <w:shd w:val="clear" w:color="auto" w:fill="EDEDED" w:themeFill="accent3" w:themeFillTint="33"/>
          </w:tcPr>
          <w:p w14:paraId="7656005F" w14:textId="77777777" w:rsidR="00841B02" w:rsidRPr="002A6F4E" w:rsidRDefault="00841B02" w:rsidP="00841B02">
            <w:pPr>
              <w:spacing w:before="40" w:after="40" w:line="360" w:lineRule="auto"/>
              <w:rPr>
                <w:rFonts w:ascii="Arial" w:hAnsi="Arial" w:cs="Arial"/>
                <w:b/>
                <w:lang w:val="sq-AL" w:bidi="ar-AE"/>
              </w:rPr>
            </w:pPr>
            <w:r w:rsidRPr="002A6F4E">
              <w:rPr>
                <w:rFonts w:ascii="Arial" w:hAnsi="Arial" w:cs="Arial"/>
                <w:b/>
                <w:lang w:val="sq-AL" w:bidi="ar-AE"/>
              </w:rPr>
              <w:t>Posebni cilj VIIk: Industrijski neopasni otpad</w:t>
            </w:r>
          </w:p>
          <w:p w14:paraId="5C5935E5" w14:textId="2438023E" w:rsidR="00841B02" w:rsidRPr="002A6F4E" w:rsidRDefault="00841B02"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 xml:space="preserve">Izgradnja </w:t>
            </w:r>
            <w:r w:rsidR="006E4F5D">
              <w:rPr>
                <w:rFonts w:ascii="Arial" w:hAnsi="Arial" w:cs="Arial"/>
                <w:i/>
                <w:lang w:val="sq-AL" w:bidi="ar-AE"/>
              </w:rPr>
              <w:t>elektronskog</w:t>
            </w:r>
            <w:r w:rsidRPr="002A6F4E">
              <w:rPr>
                <w:rFonts w:ascii="Arial" w:hAnsi="Arial" w:cs="Arial"/>
                <w:i/>
                <w:lang w:val="sq-AL" w:bidi="ar-AE"/>
              </w:rPr>
              <w:t xml:space="preserve"> sistema </w:t>
            </w:r>
            <w:r w:rsidR="006E4F5D">
              <w:rPr>
                <w:rFonts w:ascii="Arial" w:hAnsi="Arial" w:cs="Arial"/>
                <w:i/>
                <w:lang w:val="sq-AL" w:bidi="ar-AE"/>
              </w:rPr>
              <w:t xml:space="preserve">u </w:t>
            </w:r>
            <w:r w:rsidRPr="002A6F4E">
              <w:rPr>
                <w:rFonts w:ascii="Arial" w:hAnsi="Arial" w:cs="Arial"/>
                <w:i/>
                <w:lang w:val="sq-AL" w:bidi="ar-AE"/>
              </w:rPr>
              <w:t>k</w:t>
            </w:r>
            <w:r w:rsidR="006E4F5D">
              <w:rPr>
                <w:rFonts w:ascii="Arial" w:hAnsi="Arial" w:cs="Arial"/>
                <w:i/>
                <w:lang w:val="sq-AL" w:bidi="ar-AE"/>
              </w:rPr>
              <w:t>om</w:t>
            </w:r>
            <w:r w:rsidRPr="002A6F4E">
              <w:rPr>
                <w:rFonts w:ascii="Arial" w:hAnsi="Arial" w:cs="Arial"/>
                <w:i/>
                <w:lang w:val="sq-AL" w:bidi="ar-AE"/>
              </w:rPr>
              <w:t xml:space="preserve"> će</w:t>
            </w:r>
            <w:r w:rsidR="006E4F5D">
              <w:rPr>
                <w:rFonts w:ascii="Arial" w:hAnsi="Arial" w:cs="Arial"/>
                <w:i/>
                <w:lang w:val="sq-AL" w:bidi="ar-AE"/>
              </w:rPr>
              <w:t xml:space="preserve"> se</w:t>
            </w:r>
            <w:r w:rsidRPr="002A6F4E">
              <w:rPr>
                <w:rFonts w:ascii="Arial" w:hAnsi="Arial" w:cs="Arial"/>
                <w:i/>
                <w:lang w:val="sq-AL" w:bidi="ar-AE"/>
              </w:rPr>
              <w:t xml:space="preserve"> voditi evidencij</w:t>
            </w:r>
            <w:r w:rsidR="006E4F5D">
              <w:rPr>
                <w:rFonts w:ascii="Arial" w:hAnsi="Arial" w:cs="Arial"/>
                <w:i/>
                <w:lang w:val="sq-AL" w:bidi="ar-AE"/>
              </w:rPr>
              <w:t>a</w:t>
            </w:r>
            <w:r w:rsidRPr="002A6F4E">
              <w:rPr>
                <w:rFonts w:ascii="Arial" w:hAnsi="Arial" w:cs="Arial"/>
                <w:i/>
                <w:lang w:val="sq-AL" w:bidi="ar-AE"/>
              </w:rPr>
              <w:t xml:space="preserve"> o svim uređajima i materijalima koji sadrže PCB, u cilju popisa svih uređaja i oprema.</w:t>
            </w:r>
          </w:p>
          <w:p w14:paraId="657575EB" w14:textId="77777777" w:rsidR="00841B02" w:rsidRPr="002A6F4E" w:rsidRDefault="00841B02" w:rsidP="00A23ED0">
            <w:pPr>
              <w:pStyle w:val="ListParagraph"/>
              <w:numPr>
                <w:ilvl w:val="0"/>
                <w:numId w:val="89"/>
              </w:numPr>
              <w:spacing w:before="40" w:after="40" w:line="360" w:lineRule="auto"/>
              <w:ind w:left="749"/>
              <w:contextualSpacing w:val="0"/>
              <w:rPr>
                <w:rFonts w:ascii="Arial" w:hAnsi="Arial" w:cs="Arial"/>
                <w:i/>
                <w:lang w:val="sq-AL" w:bidi="ar-AE"/>
              </w:rPr>
            </w:pPr>
            <w:r w:rsidRPr="002A6F4E">
              <w:rPr>
                <w:rFonts w:ascii="Arial" w:hAnsi="Arial" w:cs="Arial"/>
                <w:i/>
                <w:lang w:val="sq-AL" w:bidi="ar-AE"/>
              </w:rPr>
              <w:t>Prekogranični transport svih uređaja i opreme je utvrđen.</w:t>
            </w:r>
          </w:p>
        </w:tc>
        <w:tc>
          <w:tcPr>
            <w:tcW w:w="1305" w:type="pct"/>
            <w:shd w:val="clear" w:color="auto" w:fill="EDEDED" w:themeFill="accent3" w:themeFillTint="33"/>
          </w:tcPr>
          <w:p w14:paraId="6639AF81" w14:textId="77777777" w:rsidR="00841B02" w:rsidRPr="002A6F4E" w:rsidRDefault="00841B02" w:rsidP="00841B02">
            <w:pPr>
              <w:spacing w:before="40" w:after="40" w:line="360" w:lineRule="auto"/>
              <w:rPr>
                <w:rFonts w:ascii="Arial" w:hAnsi="Arial" w:cs="Arial"/>
                <w:b/>
                <w:lang w:val="sq-AL" w:bidi="ar-AE"/>
              </w:rPr>
            </w:pPr>
          </w:p>
        </w:tc>
      </w:tr>
      <w:tr w:rsidR="00841B02" w:rsidRPr="002A6F4E" w14:paraId="029216EF" w14:textId="77777777" w:rsidTr="009754F4">
        <w:trPr>
          <w:jc w:val="center"/>
        </w:trPr>
        <w:tc>
          <w:tcPr>
            <w:tcW w:w="304" w:type="pct"/>
            <w:shd w:val="clear" w:color="auto" w:fill="auto"/>
          </w:tcPr>
          <w:p w14:paraId="2BCFF286" w14:textId="454168FA"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4.</w:t>
            </w:r>
            <w:r w:rsidR="00D612D4">
              <w:rPr>
                <w:rFonts w:ascii="Arial" w:hAnsi="Arial" w:cs="Arial"/>
                <w:lang w:val="sq-AL" w:bidi="ar-AE"/>
              </w:rPr>
              <w:t>5</w:t>
            </w:r>
            <w:r w:rsidR="009754F4">
              <w:rPr>
                <w:rFonts w:ascii="Arial" w:hAnsi="Arial" w:cs="Arial"/>
                <w:lang w:val="sq-AL" w:bidi="ar-AE"/>
              </w:rPr>
              <w:t>3</w:t>
            </w:r>
          </w:p>
        </w:tc>
        <w:tc>
          <w:tcPr>
            <w:tcW w:w="518" w:type="pct"/>
            <w:shd w:val="clear" w:color="auto" w:fill="auto"/>
          </w:tcPr>
          <w:p w14:paraId="6397C5EF"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OAM</w:t>
            </w:r>
          </w:p>
        </w:tc>
        <w:tc>
          <w:tcPr>
            <w:tcW w:w="1264" w:type="pct"/>
            <w:shd w:val="clear" w:color="auto" w:fill="auto"/>
          </w:tcPr>
          <w:p w14:paraId="5091580F" w14:textId="675B2576" w:rsidR="00841B02" w:rsidRPr="002A6F4E" w:rsidRDefault="00841B02" w:rsidP="00841B02">
            <w:pPr>
              <w:spacing w:before="40" w:after="40" w:line="360" w:lineRule="auto"/>
              <w:ind w:left="54"/>
              <w:rPr>
                <w:rFonts w:ascii="Arial" w:eastAsia="Times New Roman" w:hAnsi="Arial" w:cs="Arial"/>
                <w:lang w:val="sq-AL" w:eastAsia="el-GR"/>
              </w:rPr>
            </w:pPr>
            <w:r w:rsidRPr="002A6F4E">
              <w:rPr>
                <w:rFonts w:ascii="Arial" w:eastAsia="Times New Roman" w:hAnsi="Arial" w:cs="Arial"/>
                <w:lang w:val="sq-AL" w:eastAsia="el-GR"/>
              </w:rPr>
              <w:t xml:space="preserve">Izgradnja </w:t>
            </w:r>
            <w:r w:rsidR="006E4F5D">
              <w:rPr>
                <w:rFonts w:ascii="Arial" w:hAnsi="Arial" w:cs="Arial"/>
                <w:i/>
                <w:lang w:val="sq-AL" w:bidi="ar-AE"/>
              </w:rPr>
              <w:t>elektronskog</w:t>
            </w:r>
            <w:r w:rsidR="006E4F5D" w:rsidRPr="002A6F4E">
              <w:rPr>
                <w:rFonts w:ascii="Arial" w:hAnsi="Arial" w:cs="Arial"/>
                <w:i/>
                <w:lang w:val="sq-AL" w:bidi="ar-AE"/>
              </w:rPr>
              <w:t xml:space="preserve"> </w:t>
            </w:r>
            <w:r w:rsidRPr="002A6F4E">
              <w:rPr>
                <w:rFonts w:ascii="Arial" w:eastAsia="Times New Roman" w:hAnsi="Arial" w:cs="Arial"/>
                <w:lang w:val="sq-AL" w:eastAsia="el-GR"/>
              </w:rPr>
              <w:t>sistema i evidentiranje svih uređaja i materijala koji sadrže PCB</w:t>
            </w:r>
          </w:p>
        </w:tc>
        <w:tc>
          <w:tcPr>
            <w:tcW w:w="1101" w:type="pct"/>
            <w:shd w:val="clear" w:color="auto" w:fill="auto"/>
          </w:tcPr>
          <w:p w14:paraId="72EC296A" w14:textId="52F5F844"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rPr>
              <w:t>MERS</w:t>
            </w:r>
            <w:r w:rsidR="00FC20AE">
              <w:rPr>
                <w:rFonts w:ascii="Arial" w:hAnsi="Arial" w:cs="Arial"/>
                <w:lang w:val="sq-AL"/>
              </w:rPr>
              <w:t>/AZŽS</w:t>
            </w:r>
          </w:p>
        </w:tc>
        <w:tc>
          <w:tcPr>
            <w:tcW w:w="508" w:type="pct"/>
            <w:shd w:val="clear" w:color="auto" w:fill="auto"/>
          </w:tcPr>
          <w:p w14:paraId="68FDABE9"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2025-2027.</w:t>
            </w:r>
          </w:p>
        </w:tc>
        <w:tc>
          <w:tcPr>
            <w:tcW w:w="1305" w:type="pct"/>
          </w:tcPr>
          <w:p w14:paraId="66B8F2C4" w14:textId="77777777"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Državni budžet</w:t>
            </w:r>
          </w:p>
          <w:p w14:paraId="60464356" w14:textId="77777777"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Donatori</w:t>
            </w:r>
          </w:p>
        </w:tc>
      </w:tr>
      <w:tr w:rsidR="00841B02" w:rsidRPr="0014164F" w14:paraId="26208FC5" w14:textId="77777777" w:rsidTr="009754F4">
        <w:trPr>
          <w:jc w:val="center"/>
        </w:trPr>
        <w:tc>
          <w:tcPr>
            <w:tcW w:w="3695" w:type="pct"/>
            <w:gridSpan w:val="5"/>
            <w:shd w:val="clear" w:color="auto" w:fill="DBDBDB" w:themeFill="accent3" w:themeFillTint="66"/>
          </w:tcPr>
          <w:p w14:paraId="39867663" w14:textId="1BD4CB9D" w:rsidR="00841B02" w:rsidRPr="002A6F4E" w:rsidRDefault="00841B02" w:rsidP="00841B02">
            <w:pPr>
              <w:spacing w:before="40" w:after="40" w:line="360" w:lineRule="auto"/>
              <w:ind w:right="45"/>
              <w:rPr>
                <w:rFonts w:ascii="Arial" w:hAnsi="Arial" w:cs="Arial"/>
                <w:b/>
                <w:bCs/>
                <w:lang w:val="sq-AL"/>
              </w:rPr>
            </w:pPr>
            <w:r w:rsidRPr="002A6F4E">
              <w:rPr>
                <w:rFonts w:ascii="Arial" w:hAnsi="Arial" w:cs="Arial"/>
                <w:b/>
                <w:bCs/>
                <w:lang w:val="sq-AL"/>
              </w:rPr>
              <w:t xml:space="preserve">5. </w:t>
            </w:r>
            <w:bookmarkStart w:id="1458" w:name="_Hlk121698976"/>
            <w:r w:rsidRPr="002A6F4E">
              <w:rPr>
                <w:rFonts w:ascii="Arial" w:hAnsi="Arial" w:cs="Arial"/>
                <w:b/>
                <w:bCs/>
                <w:lang w:val="sq-AL"/>
              </w:rPr>
              <w:t xml:space="preserve">Stub E: Podizanje javne svijesti / </w:t>
            </w:r>
            <w:bookmarkEnd w:id="1458"/>
            <w:r w:rsidR="001F2346">
              <w:rPr>
                <w:rFonts w:ascii="Arial" w:hAnsi="Arial" w:cs="Arial"/>
                <w:b/>
                <w:bCs/>
                <w:lang w:val="sq-AL"/>
              </w:rPr>
              <w:t>edukativne kampanje</w:t>
            </w:r>
          </w:p>
          <w:p w14:paraId="76788A35" w14:textId="77777777" w:rsidR="00841B02" w:rsidRPr="002A6F4E" w:rsidRDefault="00841B02" w:rsidP="00841B02">
            <w:pPr>
              <w:spacing w:before="40" w:after="40" w:line="360" w:lineRule="auto"/>
              <w:rPr>
                <w:rFonts w:ascii="Arial" w:hAnsi="Arial" w:cs="Arial"/>
                <w:bCs/>
                <w:lang w:val="sq-AL" w:bidi="ar-AE"/>
              </w:rPr>
            </w:pPr>
            <w:r w:rsidRPr="002A6F4E">
              <w:rPr>
                <w:rFonts w:ascii="Arial" w:hAnsi="Arial" w:cs="Arial"/>
                <w:b/>
                <w:lang w:val="sq-AL" w:bidi="ar-AE"/>
              </w:rPr>
              <w:t>Strateški cilj</w:t>
            </w:r>
            <w:r w:rsidRPr="002A6F4E">
              <w:rPr>
                <w:rFonts w:ascii="Arial" w:hAnsi="Arial" w:cs="Arial"/>
                <w:bCs/>
                <w:lang w:val="sq-AL" w:bidi="ar-AE"/>
              </w:rPr>
              <w:t>:</w:t>
            </w:r>
          </w:p>
          <w:p w14:paraId="095B06B9" w14:textId="77777777" w:rsidR="00841B02" w:rsidRPr="002A6F4E" w:rsidRDefault="00841B02" w:rsidP="00A23ED0">
            <w:pPr>
              <w:pStyle w:val="ListParagraph"/>
              <w:numPr>
                <w:ilvl w:val="0"/>
                <w:numId w:val="89"/>
              </w:numPr>
              <w:spacing w:before="40" w:after="40" w:line="360" w:lineRule="auto"/>
              <w:ind w:left="748" w:hanging="357"/>
              <w:rPr>
                <w:rFonts w:ascii="Arial" w:hAnsi="Arial" w:cs="Arial"/>
                <w:lang w:val="sq-AL"/>
              </w:rPr>
            </w:pPr>
            <w:r w:rsidRPr="002A6F4E">
              <w:rPr>
                <w:rFonts w:ascii="Arial" w:hAnsi="Arial" w:cs="Arial"/>
                <w:lang w:val="sq-AL"/>
              </w:rPr>
              <w:t>Podići svijest javnosti o odgovornosti koju ima prema upravljanju otpadom;</w:t>
            </w:r>
          </w:p>
          <w:p w14:paraId="041D973D" w14:textId="77777777" w:rsidR="00841B02" w:rsidRPr="002A6F4E" w:rsidRDefault="00841B02" w:rsidP="00A23ED0">
            <w:pPr>
              <w:pStyle w:val="ListParagraph"/>
              <w:numPr>
                <w:ilvl w:val="0"/>
                <w:numId w:val="89"/>
              </w:numPr>
              <w:spacing w:before="40" w:after="40" w:line="360" w:lineRule="auto"/>
              <w:ind w:left="748" w:hanging="357"/>
              <w:rPr>
                <w:rFonts w:ascii="Arial" w:hAnsi="Arial" w:cs="Arial"/>
                <w:lang w:val="sq-AL"/>
              </w:rPr>
            </w:pPr>
            <w:r w:rsidRPr="002A6F4E">
              <w:rPr>
                <w:rFonts w:ascii="Arial" w:hAnsi="Arial" w:cs="Arial"/>
                <w:lang w:val="sq-AL"/>
              </w:rPr>
              <w:t>Uvesti i pospiješiti učešće zajednice u oblasti upravljanja otpadom;</w:t>
            </w:r>
          </w:p>
          <w:p w14:paraId="7E3FC331" w14:textId="77777777" w:rsidR="00841B02" w:rsidRPr="002A6F4E" w:rsidRDefault="00841B02" w:rsidP="00A23ED0">
            <w:pPr>
              <w:pStyle w:val="ListParagraph"/>
              <w:numPr>
                <w:ilvl w:val="0"/>
                <w:numId w:val="89"/>
              </w:numPr>
              <w:spacing w:before="40" w:after="40" w:line="360" w:lineRule="auto"/>
              <w:ind w:left="748" w:hanging="357"/>
              <w:rPr>
                <w:rFonts w:ascii="Arial" w:hAnsi="Arial" w:cs="Arial"/>
                <w:b/>
                <w:bCs/>
                <w:lang w:val="sq-AL"/>
              </w:rPr>
            </w:pPr>
            <w:r w:rsidRPr="002A6F4E">
              <w:rPr>
                <w:rFonts w:ascii="Arial" w:hAnsi="Arial" w:cs="Arial"/>
                <w:lang w:val="sq-AL"/>
              </w:rPr>
              <w:t>Promovisati javnosti smanjenje nastanka otpada, njegovo recikliranje i ponovnu upotrebu;</w:t>
            </w:r>
          </w:p>
        </w:tc>
        <w:tc>
          <w:tcPr>
            <w:tcW w:w="1305" w:type="pct"/>
            <w:shd w:val="clear" w:color="auto" w:fill="DBDBDB" w:themeFill="accent3" w:themeFillTint="66"/>
          </w:tcPr>
          <w:p w14:paraId="6F302C4E" w14:textId="77777777" w:rsidR="00841B02" w:rsidRPr="002A6F4E" w:rsidRDefault="00841B02" w:rsidP="00841B02">
            <w:pPr>
              <w:spacing w:before="40" w:after="40" w:line="360" w:lineRule="auto"/>
              <w:ind w:right="45"/>
              <w:rPr>
                <w:rFonts w:ascii="Arial" w:hAnsi="Arial" w:cs="Arial"/>
                <w:b/>
                <w:bCs/>
                <w:lang w:val="sq-AL"/>
              </w:rPr>
            </w:pPr>
          </w:p>
        </w:tc>
      </w:tr>
      <w:tr w:rsidR="00841B02" w:rsidRPr="0014164F" w14:paraId="45288653" w14:textId="77777777" w:rsidTr="009754F4">
        <w:trPr>
          <w:jc w:val="center"/>
        </w:trPr>
        <w:tc>
          <w:tcPr>
            <w:tcW w:w="3695" w:type="pct"/>
            <w:gridSpan w:val="5"/>
            <w:shd w:val="clear" w:color="auto" w:fill="EDEDED" w:themeFill="accent3" w:themeFillTint="33"/>
          </w:tcPr>
          <w:p w14:paraId="4A382D8A" w14:textId="50DDDB1F" w:rsidR="00841B02" w:rsidRPr="002A6F4E" w:rsidRDefault="00841B02" w:rsidP="00841B02">
            <w:pPr>
              <w:spacing w:before="40" w:after="40" w:line="360" w:lineRule="auto"/>
              <w:rPr>
                <w:rFonts w:ascii="Arial" w:hAnsi="Arial" w:cs="Arial"/>
                <w:b/>
                <w:bCs/>
                <w:lang w:val="sq-AL"/>
              </w:rPr>
            </w:pPr>
            <w:r w:rsidRPr="002A6F4E">
              <w:rPr>
                <w:rFonts w:ascii="Arial" w:hAnsi="Arial" w:cs="Arial"/>
                <w:b/>
                <w:lang w:val="sq-AL" w:bidi="ar-AE"/>
              </w:rPr>
              <w:t xml:space="preserve">Posebni cilj: U roku od </w:t>
            </w:r>
            <w:r w:rsidR="003206C4">
              <w:rPr>
                <w:rFonts w:ascii="Arial" w:hAnsi="Arial" w:cs="Arial"/>
                <w:b/>
                <w:lang w:val="sq-AL" w:bidi="ar-AE"/>
              </w:rPr>
              <w:t>dvije</w:t>
            </w:r>
            <w:r w:rsidR="003206C4" w:rsidRPr="002A6F4E">
              <w:rPr>
                <w:rFonts w:ascii="Arial" w:hAnsi="Arial" w:cs="Arial"/>
                <w:b/>
                <w:lang w:val="sq-AL" w:bidi="ar-AE"/>
              </w:rPr>
              <w:t xml:space="preserve"> </w:t>
            </w:r>
            <w:r w:rsidRPr="002A6F4E">
              <w:rPr>
                <w:rFonts w:ascii="Arial" w:hAnsi="Arial" w:cs="Arial"/>
                <w:b/>
                <w:lang w:val="sq-AL" w:bidi="ar-AE"/>
              </w:rPr>
              <w:t xml:space="preserve">godine od donošenja plana, kampanje treba da </w:t>
            </w:r>
            <w:r w:rsidR="003F46C2">
              <w:rPr>
                <w:rFonts w:ascii="Arial" w:hAnsi="Arial" w:cs="Arial"/>
                <w:b/>
                <w:lang w:val="sq-AL" w:bidi="ar-AE"/>
              </w:rPr>
              <w:t xml:space="preserve">obuhvate </w:t>
            </w:r>
            <w:r w:rsidRPr="002A6F4E">
              <w:rPr>
                <w:rFonts w:ascii="Arial" w:hAnsi="Arial" w:cs="Arial"/>
                <w:b/>
                <w:lang w:val="sq-AL" w:bidi="ar-AE"/>
              </w:rPr>
              <w:t>najmanje 60% stanovništva</w:t>
            </w:r>
          </w:p>
        </w:tc>
        <w:tc>
          <w:tcPr>
            <w:tcW w:w="1305" w:type="pct"/>
            <w:shd w:val="clear" w:color="auto" w:fill="EDEDED" w:themeFill="accent3" w:themeFillTint="33"/>
          </w:tcPr>
          <w:p w14:paraId="6837F114" w14:textId="77777777" w:rsidR="00841B02" w:rsidRPr="002A6F4E" w:rsidRDefault="00841B02" w:rsidP="00841B02">
            <w:pPr>
              <w:spacing w:before="40" w:after="40" w:line="360" w:lineRule="auto"/>
              <w:rPr>
                <w:rFonts w:ascii="Arial" w:hAnsi="Arial" w:cs="Arial"/>
                <w:b/>
                <w:lang w:val="sq-AL" w:bidi="ar-AE"/>
              </w:rPr>
            </w:pPr>
          </w:p>
        </w:tc>
      </w:tr>
      <w:tr w:rsidR="00841B02" w:rsidRPr="0014164F" w14:paraId="13591654" w14:textId="77777777" w:rsidTr="009754F4">
        <w:trPr>
          <w:jc w:val="center"/>
        </w:trPr>
        <w:tc>
          <w:tcPr>
            <w:tcW w:w="304" w:type="pct"/>
            <w:shd w:val="clear" w:color="auto" w:fill="auto"/>
          </w:tcPr>
          <w:p w14:paraId="3EB5F3DF"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5.1</w:t>
            </w:r>
          </w:p>
        </w:tc>
        <w:tc>
          <w:tcPr>
            <w:tcW w:w="518" w:type="pct"/>
            <w:shd w:val="clear" w:color="auto" w:fill="auto"/>
          </w:tcPr>
          <w:p w14:paraId="6559840E"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PSIOM</w:t>
            </w:r>
          </w:p>
        </w:tc>
        <w:tc>
          <w:tcPr>
            <w:tcW w:w="1264" w:type="pct"/>
            <w:shd w:val="clear" w:color="auto" w:fill="auto"/>
          </w:tcPr>
          <w:p w14:paraId="362C0951" w14:textId="2561BFBB"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Obrazovanje i podizanje svijesti o preformulisanju sakupljanja, prerade, ponovne upotrebe i recikliranja otpada, te njegov</w:t>
            </w:r>
            <w:r w:rsidR="00A511F1">
              <w:rPr>
                <w:rFonts w:ascii="Arial" w:hAnsi="Arial" w:cs="Arial"/>
                <w:lang w:val="sq-AL" w:bidi="ar-AE"/>
              </w:rPr>
              <w:t>e obrade</w:t>
            </w:r>
            <w:r w:rsidRPr="002A6F4E">
              <w:rPr>
                <w:rFonts w:ascii="Arial" w:hAnsi="Arial" w:cs="Arial"/>
                <w:lang w:val="sq-AL" w:bidi="ar-AE"/>
              </w:rPr>
              <w:t xml:space="preserve"> </w:t>
            </w:r>
          </w:p>
        </w:tc>
        <w:tc>
          <w:tcPr>
            <w:tcW w:w="1101" w:type="pct"/>
            <w:shd w:val="clear" w:color="auto" w:fill="auto"/>
          </w:tcPr>
          <w:p w14:paraId="526E4868" w14:textId="3A226AB8"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w:t>
            </w:r>
            <w:r w:rsidR="002B5614">
              <w:rPr>
                <w:rFonts w:ascii="Arial" w:hAnsi="Arial" w:cs="Arial"/>
                <w:lang w:val="sq-AL" w:bidi="ar-AE"/>
              </w:rPr>
              <w:t>J</w:t>
            </w:r>
            <w:r w:rsidRPr="002A6F4E">
              <w:rPr>
                <w:rFonts w:ascii="Arial" w:hAnsi="Arial" w:cs="Arial"/>
                <w:lang w:val="sq-AL" w:bidi="ar-AE"/>
              </w:rPr>
              <w:t xml:space="preserve">edinice lokalnih samouprava </w:t>
            </w:r>
          </w:p>
        </w:tc>
        <w:tc>
          <w:tcPr>
            <w:tcW w:w="508" w:type="pct"/>
            <w:shd w:val="clear" w:color="auto" w:fill="auto"/>
          </w:tcPr>
          <w:p w14:paraId="6BDCB1C5" w14:textId="5564D834"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 2029.</w:t>
            </w:r>
          </w:p>
        </w:tc>
        <w:tc>
          <w:tcPr>
            <w:tcW w:w="1305" w:type="pct"/>
          </w:tcPr>
          <w:p w14:paraId="0C9CB34D" w14:textId="168D204C"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Državni budžet</w:t>
            </w:r>
            <w:r w:rsidR="002B5614">
              <w:rPr>
                <w:rFonts w:ascii="Arial" w:hAnsi="Arial" w:cs="Arial"/>
                <w:lang w:val="sq-AL" w:bidi="ar-AE"/>
              </w:rPr>
              <w:t>/</w:t>
            </w:r>
          </w:p>
          <w:p w14:paraId="729757A1" w14:textId="3F1CB67C"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Lokalni budžet</w:t>
            </w:r>
            <w:r w:rsidR="002B5614">
              <w:rPr>
                <w:rFonts w:ascii="Arial" w:hAnsi="Arial" w:cs="Arial"/>
                <w:lang w:val="sq-AL" w:bidi="ar-AE"/>
              </w:rPr>
              <w:t>/</w:t>
            </w:r>
          </w:p>
          <w:p w14:paraId="3309A058" w14:textId="3078DB96"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Donatori</w:t>
            </w:r>
            <w:r w:rsidR="003F46C2">
              <w:rPr>
                <w:rFonts w:ascii="Arial" w:hAnsi="Arial" w:cs="Arial"/>
                <w:lang w:val="sq-AL" w:bidi="ar-AE"/>
              </w:rPr>
              <w:t>/</w:t>
            </w:r>
            <w:r w:rsidR="003F46C2" w:rsidRPr="003D7619">
              <w:rPr>
                <w:lang w:val="sq-AL"/>
              </w:rPr>
              <w:t xml:space="preserve"> </w:t>
            </w:r>
            <w:r w:rsidR="003F46C2" w:rsidRPr="003F46C2">
              <w:rPr>
                <w:rFonts w:ascii="Arial" w:hAnsi="Arial" w:cs="Arial"/>
                <w:lang w:val="sq-AL" w:bidi="ar-AE"/>
              </w:rPr>
              <w:t>Međunarodne finansijske institucije</w:t>
            </w:r>
          </w:p>
        </w:tc>
      </w:tr>
      <w:tr w:rsidR="00841B02" w:rsidRPr="0014164F" w14:paraId="6463FB24" w14:textId="77777777" w:rsidTr="009754F4">
        <w:trPr>
          <w:jc w:val="center"/>
        </w:trPr>
        <w:tc>
          <w:tcPr>
            <w:tcW w:w="304" w:type="pct"/>
            <w:shd w:val="clear" w:color="auto" w:fill="auto"/>
          </w:tcPr>
          <w:p w14:paraId="5BBA5D7F"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5.2</w:t>
            </w:r>
          </w:p>
        </w:tc>
        <w:tc>
          <w:tcPr>
            <w:tcW w:w="518" w:type="pct"/>
            <w:shd w:val="clear" w:color="auto" w:fill="auto"/>
          </w:tcPr>
          <w:p w14:paraId="17A1A7D5"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PSIOM</w:t>
            </w:r>
          </w:p>
        </w:tc>
        <w:tc>
          <w:tcPr>
            <w:tcW w:w="1264" w:type="pct"/>
            <w:shd w:val="clear" w:color="auto" w:fill="auto"/>
          </w:tcPr>
          <w:p w14:paraId="2FB04FED" w14:textId="33D1732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Obrazovanje i podizanje svijesti treba da utiče na ponašanje i mentalitet građana po pitanju nelegalnog odlaganja</w:t>
            </w:r>
            <w:r w:rsidR="003F46C2">
              <w:rPr>
                <w:rFonts w:ascii="Arial" w:hAnsi="Arial" w:cs="Arial"/>
                <w:lang w:val="sq-AL" w:bidi="ar-AE"/>
              </w:rPr>
              <w:t xml:space="preserve"> otpada</w:t>
            </w:r>
            <w:r w:rsidRPr="002A6F4E">
              <w:rPr>
                <w:rFonts w:ascii="Arial" w:hAnsi="Arial" w:cs="Arial"/>
                <w:lang w:val="sq-AL" w:bidi="ar-AE"/>
              </w:rPr>
              <w:t>.</w:t>
            </w:r>
          </w:p>
        </w:tc>
        <w:tc>
          <w:tcPr>
            <w:tcW w:w="1101" w:type="pct"/>
            <w:shd w:val="clear" w:color="auto" w:fill="auto"/>
          </w:tcPr>
          <w:p w14:paraId="19F6FDC2" w14:textId="2B581014"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rPr>
              <w:t>MERS</w:t>
            </w:r>
            <w:r w:rsidRPr="002A6F4E">
              <w:rPr>
                <w:rFonts w:ascii="Arial" w:hAnsi="Arial" w:cs="Arial"/>
                <w:lang w:val="sq-AL" w:bidi="ar-AE"/>
              </w:rPr>
              <w:t>/</w:t>
            </w:r>
            <w:r w:rsidR="002B5614">
              <w:rPr>
                <w:rFonts w:ascii="Arial" w:hAnsi="Arial" w:cs="Arial"/>
                <w:lang w:val="sq-AL" w:bidi="ar-AE"/>
              </w:rPr>
              <w:t>J</w:t>
            </w:r>
            <w:r w:rsidRPr="002A6F4E">
              <w:rPr>
                <w:rFonts w:ascii="Arial" w:hAnsi="Arial" w:cs="Arial"/>
                <w:lang w:val="sq-AL" w:bidi="ar-AE"/>
              </w:rPr>
              <w:t xml:space="preserve">edinice lokalnih samouprava  </w:t>
            </w:r>
          </w:p>
        </w:tc>
        <w:tc>
          <w:tcPr>
            <w:tcW w:w="508" w:type="pct"/>
            <w:shd w:val="clear" w:color="auto" w:fill="auto"/>
          </w:tcPr>
          <w:p w14:paraId="3371B9F8" w14:textId="65D10FFF"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 – 2029.</w:t>
            </w:r>
          </w:p>
        </w:tc>
        <w:tc>
          <w:tcPr>
            <w:tcW w:w="1305" w:type="pct"/>
          </w:tcPr>
          <w:p w14:paraId="3002542C" w14:textId="44A731DF"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Državni budžet</w:t>
            </w:r>
            <w:r w:rsidR="003F46C2">
              <w:rPr>
                <w:rFonts w:ascii="Arial" w:hAnsi="Arial" w:cs="Arial"/>
                <w:lang w:val="sq-AL" w:bidi="ar-AE"/>
              </w:rPr>
              <w:t>/</w:t>
            </w:r>
            <w:r w:rsidRPr="002A6F4E">
              <w:rPr>
                <w:rFonts w:ascii="Arial" w:hAnsi="Arial" w:cs="Arial"/>
                <w:lang w:val="sq-AL" w:bidi="ar-AE"/>
              </w:rPr>
              <w:t>Lokalni budžet</w:t>
            </w:r>
            <w:r w:rsidR="003F46C2">
              <w:rPr>
                <w:rFonts w:ascii="Arial" w:hAnsi="Arial" w:cs="Arial"/>
                <w:lang w:val="sq-AL" w:bidi="ar-AE"/>
              </w:rPr>
              <w:t>/</w:t>
            </w:r>
            <w:r w:rsidRPr="002A6F4E">
              <w:rPr>
                <w:rFonts w:ascii="Arial" w:hAnsi="Arial" w:cs="Arial"/>
                <w:lang w:val="sq-AL" w:bidi="ar-AE"/>
              </w:rPr>
              <w:t>Donatori</w:t>
            </w:r>
            <w:r w:rsidR="003F46C2" w:rsidRPr="003F46C2">
              <w:rPr>
                <w:rFonts w:ascii="Arial" w:hAnsi="Arial" w:cs="Arial"/>
                <w:lang w:val="sq-AL" w:bidi="ar-AE"/>
              </w:rPr>
              <w:t>/Međunarodne finansijske institucije</w:t>
            </w:r>
          </w:p>
        </w:tc>
      </w:tr>
      <w:tr w:rsidR="00841B02" w:rsidRPr="002A6F4E" w14:paraId="7B60A3C8" w14:textId="77777777" w:rsidTr="009754F4">
        <w:trPr>
          <w:jc w:val="center"/>
        </w:trPr>
        <w:tc>
          <w:tcPr>
            <w:tcW w:w="304" w:type="pct"/>
            <w:shd w:val="clear" w:color="auto" w:fill="auto"/>
          </w:tcPr>
          <w:p w14:paraId="68295A9B" w14:textId="357701A2"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bidi="ar-AE"/>
              </w:rPr>
              <w:lastRenderedPageBreak/>
              <w:t>5.</w:t>
            </w:r>
            <w:r w:rsidR="00BB7DCB">
              <w:rPr>
                <w:rFonts w:ascii="Arial" w:hAnsi="Arial" w:cs="Arial"/>
                <w:lang w:bidi="ar-AE"/>
              </w:rPr>
              <w:t>3</w:t>
            </w:r>
          </w:p>
        </w:tc>
        <w:tc>
          <w:tcPr>
            <w:tcW w:w="518" w:type="pct"/>
            <w:shd w:val="clear" w:color="auto" w:fill="auto"/>
          </w:tcPr>
          <w:p w14:paraId="1585D68F"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PSIOM</w:t>
            </w:r>
          </w:p>
        </w:tc>
        <w:tc>
          <w:tcPr>
            <w:tcW w:w="1264" w:type="pct"/>
            <w:shd w:val="clear" w:color="auto" w:fill="auto"/>
          </w:tcPr>
          <w:p w14:paraId="4A84F527" w14:textId="5D257FA9"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 xml:space="preserve">Izrada </w:t>
            </w:r>
            <w:r w:rsidR="00130BE2">
              <w:rPr>
                <w:rFonts w:ascii="Arial" w:hAnsi="Arial" w:cs="Arial"/>
                <w:lang w:val="sq-AL" w:bidi="ar-AE"/>
              </w:rPr>
              <w:t>Državnog</w:t>
            </w:r>
            <w:r w:rsidRPr="002A6F4E">
              <w:rPr>
                <w:rFonts w:ascii="Arial" w:hAnsi="Arial" w:cs="Arial"/>
                <w:lang w:val="sq-AL" w:bidi="ar-AE"/>
              </w:rPr>
              <w:t xml:space="preserve"> komunikacionog plana u oblasti upravljanja otpadom, na osnovu kojeg će se izraditi lokalni komunikacioni planovi upravljanja otpadom</w:t>
            </w:r>
          </w:p>
        </w:tc>
        <w:tc>
          <w:tcPr>
            <w:tcW w:w="1101" w:type="pct"/>
            <w:shd w:val="clear" w:color="auto" w:fill="auto"/>
          </w:tcPr>
          <w:p w14:paraId="69BDC4C3" w14:textId="4A2EDAF0"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rPr>
              <w:t>MERS</w:t>
            </w:r>
            <w:r w:rsidR="00BB7DCB">
              <w:rPr>
                <w:rFonts w:ascii="Arial" w:hAnsi="Arial" w:cs="Arial"/>
                <w:lang w:val="sq-AL"/>
              </w:rPr>
              <w:t>/</w:t>
            </w:r>
            <w:r w:rsidR="00BB7DCB">
              <w:rPr>
                <w:rFonts w:ascii="Arial" w:hAnsi="Arial" w:cs="Arial"/>
                <w:lang w:val="sq-AL" w:bidi="ar-AE"/>
              </w:rPr>
              <w:t xml:space="preserve"> J</w:t>
            </w:r>
            <w:r w:rsidR="00BB7DCB" w:rsidRPr="002A6F4E">
              <w:rPr>
                <w:rFonts w:ascii="Arial" w:hAnsi="Arial" w:cs="Arial"/>
                <w:lang w:val="sq-AL" w:bidi="ar-AE"/>
              </w:rPr>
              <w:t xml:space="preserve">edinice lokalnih samouprava  </w:t>
            </w:r>
          </w:p>
        </w:tc>
        <w:tc>
          <w:tcPr>
            <w:tcW w:w="508" w:type="pct"/>
            <w:shd w:val="clear" w:color="auto" w:fill="auto"/>
          </w:tcPr>
          <w:p w14:paraId="303266C0" w14:textId="24A40B24"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bidi="ar-AE"/>
              </w:rPr>
              <w:t>202</w:t>
            </w:r>
            <w:r w:rsidR="00BB7DCB">
              <w:rPr>
                <w:rFonts w:ascii="Arial" w:hAnsi="Arial" w:cs="Arial"/>
                <w:lang w:bidi="ar-AE"/>
              </w:rPr>
              <w:t>6.</w:t>
            </w:r>
          </w:p>
        </w:tc>
        <w:tc>
          <w:tcPr>
            <w:tcW w:w="1305" w:type="pct"/>
          </w:tcPr>
          <w:p w14:paraId="189C9B89" w14:textId="4E174E5F"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Državni budžet</w:t>
            </w:r>
            <w:r w:rsidR="00493153">
              <w:rPr>
                <w:rFonts w:ascii="Arial" w:hAnsi="Arial" w:cs="Arial"/>
                <w:lang w:bidi="ar-AE"/>
              </w:rPr>
              <w:t>/</w:t>
            </w:r>
          </w:p>
          <w:p w14:paraId="4B078AB2" w14:textId="363D4D63" w:rsidR="00841B02" w:rsidRPr="002A6F4E" w:rsidRDefault="00493153" w:rsidP="00841B02">
            <w:pPr>
              <w:spacing w:before="40" w:after="40" w:line="360" w:lineRule="auto"/>
              <w:rPr>
                <w:rFonts w:ascii="Arial" w:hAnsi="Arial" w:cs="Arial"/>
                <w:lang w:bidi="ar-AE"/>
              </w:rPr>
            </w:pPr>
            <w:r w:rsidRPr="002A6F4E">
              <w:rPr>
                <w:rFonts w:ascii="Arial" w:hAnsi="Arial" w:cs="Arial"/>
                <w:lang w:bidi="ar-AE"/>
              </w:rPr>
              <w:t>Donatori</w:t>
            </w:r>
            <w:r w:rsidR="003F46C2">
              <w:rPr>
                <w:rFonts w:ascii="Arial" w:hAnsi="Arial" w:cs="Arial"/>
                <w:lang w:bidi="ar-AE"/>
              </w:rPr>
              <w:t>/</w:t>
            </w:r>
            <w:r w:rsidR="003F46C2" w:rsidRPr="003F46C2">
              <w:rPr>
                <w:rFonts w:ascii="Arial" w:hAnsi="Arial" w:cs="Arial"/>
                <w:lang w:bidi="ar-AE"/>
              </w:rPr>
              <w:t>Međunarodne finansijske institucije</w:t>
            </w:r>
          </w:p>
        </w:tc>
      </w:tr>
      <w:tr w:rsidR="00841B02" w:rsidRPr="002A6F4E" w14:paraId="4412C872" w14:textId="77777777" w:rsidTr="009754F4">
        <w:trPr>
          <w:jc w:val="center"/>
        </w:trPr>
        <w:tc>
          <w:tcPr>
            <w:tcW w:w="304" w:type="pct"/>
            <w:shd w:val="clear" w:color="auto" w:fill="auto"/>
          </w:tcPr>
          <w:p w14:paraId="457816AF" w14:textId="0B8BC64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5.</w:t>
            </w:r>
            <w:r w:rsidR="00BB7DCB">
              <w:rPr>
                <w:rFonts w:ascii="Arial" w:hAnsi="Arial" w:cs="Arial"/>
                <w:lang w:val="sq-AL" w:bidi="ar-AE"/>
              </w:rPr>
              <w:t>4</w:t>
            </w:r>
          </w:p>
        </w:tc>
        <w:tc>
          <w:tcPr>
            <w:tcW w:w="518" w:type="pct"/>
            <w:shd w:val="clear" w:color="auto" w:fill="auto"/>
          </w:tcPr>
          <w:p w14:paraId="2B0B0820"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PSIOM</w:t>
            </w:r>
          </w:p>
        </w:tc>
        <w:tc>
          <w:tcPr>
            <w:tcW w:w="1264" w:type="pct"/>
            <w:shd w:val="clear" w:color="auto" w:fill="auto"/>
          </w:tcPr>
          <w:p w14:paraId="61437137" w14:textId="3B0DD80A"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 xml:space="preserve">Kampanja o podizanju svijesti javnosti na </w:t>
            </w:r>
            <w:r w:rsidR="00130BE2">
              <w:rPr>
                <w:rFonts w:ascii="Arial" w:hAnsi="Arial" w:cs="Arial"/>
                <w:lang w:val="sq-AL" w:bidi="ar-AE"/>
              </w:rPr>
              <w:t>državnom</w:t>
            </w:r>
            <w:r w:rsidRPr="002A6F4E">
              <w:rPr>
                <w:rFonts w:ascii="Arial" w:hAnsi="Arial" w:cs="Arial"/>
                <w:lang w:val="sq-AL" w:bidi="ar-AE"/>
              </w:rPr>
              <w:t xml:space="preserve"> nivou kojom se obavještava o DPUO </w:t>
            </w:r>
          </w:p>
        </w:tc>
        <w:tc>
          <w:tcPr>
            <w:tcW w:w="1101" w:type="pct"/>
            <w:shd w:val="clear" w:color="auto" w:fill="auto"/>
          </w:tcPr>
          <w:p w14:paraId="735B30A8"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rPr>
              <w:t>MERS</w:t>
            </w:r>
          </w:p>
        </w:tc>
        <w:tc>
          <w:tcPr>
            <w:tcW w:w="508" w:type="pct"/>
            <w:shd w:val="clear" w:color="auto" w:fill="auto"/>
          </w:tcPr>
          <w:p w14:paraId="0C668988" w14:textId="0B53AA51"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w:t>
            </w:r>
            <w:r w:rsidRPr="002A6F4E">
              <w:rPr>
                <w:rFonts w:ascii="Arial" w:hAnsi="Arial" w:cs="Arial"/>
                <w:lang w:bidi="ar-AE"/>
              </w:rPr>
              <w:t>-2029</w:t>
            </w:r>
          </w:p>
        </w:tc>
        <w:tc>
          <w:tcPr>
            <w:tcW w:w="1305" w:type="pct"/>
          </w:tcPr>
          <w:p w14:paraId="54B6DA7B" w14:textId="55FCFB6B"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Državni budžet</w:t>
            </w:r>
            <w:r w:rsidR="00934088">
              <w:rPr>
                <w:rFonts w:ascii="Arial" w:hAnsi="Arial" w:cs="Arial"/>
                <w:lang w:bidi="ar-AE"/>
              </w:rPr>
              <w:t>/</w:t>
            </w:r>
          </w:p>
          <w:p w14:paraId="05E883BE" w14:textId="0076074C"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bidi="ar-AE"/>
              </w:rPr>
              <w:t>Donatori</w:t>
            </w:r>
            <w:r w:rsidR="003F46C2" w:rsidRPr="003F46C2">
              <w:rPr>
                <w:rFonts w:ascii="Arial" w:hAnsi="Arial" w:cs="Arial"/>
                <w:lang w:bidi="ar-AE"/>
              </w:rPr>
              <w:t>/Međunarodne finansijske institucije</w:t>
            </w:r>
          </w:p>
        </w:tc>
      </w:tr>
      <w:tr w:rsidR="00841B02" w:rsidRPr="0014164F" w14:paraId="6553075D" w14:textId="77777777" w:rsidTr="009754F4">
        <w:trPr>
          <w:jc w:val="center"/>
        </w:trPr>
        <w:tc>
          <w:tcPr>
            <w:tcW w:w="304" w:type="pct"/>
            <w:shd w:val="clear" w:color="auto" w:fill="auto"/>
          </w:tcPr>
          <w:p w14:paraId="1FA08EA3" w14:textId="669BCBE6"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5.</w:t>
            </w:r>
            <w:r w:rsidR="00BB7DCB">
              <w:rPr>
                <w:rFonts w:ascii="Arial" w:hAnsi="Arial" w:cs="Arial"/>
                <w:lang w:val="sq-AL" w:bidi="ar-AE"/>
              </w:rPr>
              <w:t>5</w:t>
            </w:r>
          </w:p>
        </w:tc>
        <w:tc>
          <w:tcPr>
            <w:tcW w:w="518" w:type="pct"/>
            <w:shd w:val="clear" w:color="auto" w:fill="auto"/>
          </w:tcPr>
          <w:p w14:paraId="6D8CD928"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PSIOM</w:t>
            </w:r>
          </w:p>
        </w:tc>
        <w:tc>
          <w:tcPr>
            <w:tcW w:w="1264" w:type="pct"/>
            <w:shd w:val="clear" w:color="auto" w:fill="auto"/>
          </w:tcPr>
          <w:p w14:paraId="4F73BA7B" w14:textId="1218CB63"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 xml:space="preserve">Kampanje podizanja svijesti javnosti na lokalnom nivou kojima se obavještava o odredbama DPUO (na osnovu odredbi </w:t>
            </w:r>
            <w:r w:rsidR="00493153">
              <w:rPr>
                <w:rFonts w:ascii="Arial" w:hAnsi="Arial" w:cs="Arial"/>
                <w:lang w:val="sq-AL" w:bidi="ar-AE"/>
              </w:rPr>
              <w:t>Državnog</w:t>
            </w:r>
            <w:r w:rsidRPr="002A6F4E">
              <w:rPr>
                <w:rFonts w:ascii="Arial" w:hAnsi="Arial" w:cs="Arial"/>
                <w:lang w:val="sq-AL" w:bidi="ar-AE"/>
              </w:rPr>
              <w:t xml:space="preserve"> komunikacionog plana i kampanje za podizanje svesti javnosti)</w:t>
            </w:r>
          </w:p>
        </w:tc>
        <w:tc>
          <w:tcPr>
            <w:tcW w:w="1101" w:type="pct"/>
            <w:shd w:val="clear" w:color="auto" w:fill="auto"/>
          </w:tcPr>
          <w:p w14:paraId="25C5F0B4" w14:textId="15089E6C" w:rsidR="00841B02" w:rsidRPr="002A6F4E" w:rsidRDefault="00F1442B" w:rsidP="00841B02">
            <w:pPr>
              <w:spacing w:before="40" w:after="40" w:line="360" w:lineRule="auto"/>
              <w:rPr>
                <w:rFonts w:ascii="Arial" w:hAnsi="Arial" w:cs="Arial"/>
                <w:lang w:val="sq-AL" w:bidi="ar-AE"/>
              </w:rPr>
            </w:pPr>
            <w:r>
              <w:rPr>
                <w:rFonts w:ascii="Arial" w:hAnsi="Arial" w:cs="Arial"/>
                <w:lang w:val="sq-AL" w:bidi="ar-AE"/>
              </w:rPr>
              <w:t>J</w:t>
            </w:r>
            <w:r w:rsidR="00841B02" w:rsidRPr="002A6F4E">
              <w:rPr>
                <w:rFonts w:ascii="Arial" w:hAnsi="Arial" w:cs="Arial"/>
                <w:lang w:val="sq-AL" w:bidi="ar-AE"/>
              </w:rPr>
              <w:t xml:space="preserve">edinice lokalnih samouprava  </w:t>
            </w:r>
          </w:p>
        </w:tc>
        <w:tc>
          <w:tcPr>
            <w:tcW w:w="508" w:type="pct"/>
            <w:shd w:val="clear" w:color="auto" w:fill="auto"/>
          </w:tcPr>
          <w:p w14:paraId="35AFF212"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 2029.</w:t>
            </w:r>
          </w:p>
        </w:tc>
        <w:tc>
          <w:tcPr>
            <w:tcW w:w="1305" w:type="pct"/>
          </w:tcPr>
          <w:p w14:paraId="39E67DB9" w14:textId="5C3F5C12"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Državni budžet</w:t>
            </w:r>
            <w:r w:rsidR="00493153">
              <w:rPr>
                <w:rFonts w:ascii="Arial" w:hAnsi="Arial" w:cs="Arial"/>
                <w:lang w:val="sq-AL" w:bidi="ar-AE"/>
              </w:rPr>
              <w:t>/</w:t>
            </w:r>
          </w:p>
          <w:p w14:paraId="5A71EC3C" w14:textId="05BC06D8"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Lokalni budžet</w:t>
            </w:r>
            <w:r w:rsidR="00493153">
              <w:rPr>
                <w:rFonts w:ascii="Arial" w:hAnsi="Arial" w:cs="Arial"/>
                <w:lang w:val="sq-AL" w:bidi="ar-AE"/>
              </w:rPr>
              <w:t>/</w:t>
            </w:r>
          </w:p>
          <w:p w14:paraId="5F80A551" w14:textId="0CF39CDD"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Donatori</w:t>
            </w:r>
            <w:r w:rsidR="003F46C2" w:rsidRPr="003F46C2">
              <w:rPr>
                <w:rFonts w:ascii="Arial" w:hAnsi="Arial" w:cs="Arial"/>
                <w:lang w:val="sq-AL" w:bidi="ar-AE"/>
              </w:rPr>
              <w:t>/Međunarodne finansijske institucije</w:t>
            </w:r>
          </w:p>
        </w:tc>
      </w:tr>
      <w:tr w:rsidR="00841B02" w:rsidRPr="0014164F" w14:paraId="72E62DBF" w14:textId="77777777" w:rsidTr="009754F4">
        <w:trPr>
          <w:jc w:val="center"/>
        </w:trPr>
        <w:tc>
          <w:tcPr>
            <w:tcW w:w="304" w:type="pct"/>
            <w:shd w:val="clear" w:color="auto" w:fill="auto"/>
          </w:tcPr>
          <w:p w14:paraId="3D4E6D0D" w14:textId="0E5B03A6"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5.</w:t>
            </w:r>
            <w:r w:rsidR="00BB7DCB">
              <w:rPr>
                <w:rFonts w:ascii="Arial" w:hAnsi="Arial" w:cs="Arial"/>
                <w:lang w:val="sq-AL" w:bidi="ar-AE"/>
              </w:rPr>
              <w:t>6</w:t>
            </w:r>
          </w:p>
        </w:tc>
        <w:tc>
          <w:tcPr>
            <w:tcW w:w="518" w:type="pct"/>
            <w:shd w:val="clear" w:color="auto" w:fill="auto"/>
          </w:tcPr>
          <w:p w14:paraId="04BA65A4"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PSIOM</w:t>
            </w:r>
          </w:p>
        </w:tc>
        <w:tc>
          <w:tcPr>
            <w:tcW w:w="1264" w:type="pct"/>
            <w:shd w:val="clear" w:color="auto" w:fill="auto"/>
          </w:tcPr>
          <w:p w14:paraId="7DD9F6DA" w14:textId="5EFC6E83"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Izrada školskih programa obrazovanja o održivom upravljanju otpadom, spr</w:t>
            </w:r>
            <w:r w:rsidR="001E3A79">
              <w:rPr>
                <w:rFonts w:ascii="Arial" w:hAnsi="Arial" w:cs="Arial"/>
                <w:lang w:val="sq-AL" w:bidi="ar-AE"/>
              </w:rPr>
              <w:t>j</w:t>
            </w:r>
            <w:r w:rsidRPr="002A6F4E">
              <w:rPr>
                <w:rFonts w:ascii="Arial" w:hAnsi="Arial" w:cs="Arial"/>
                <w:lang w:val="sq-AL" w:bidi="ar-AE"/>
              </w:rPr>
              <w:t>ečavanju njegovog nastanka, recikliranju, itd.</w:t>
            </w:r>
          </w:p>
        </w:tc>
        <w:tc>
          <w:tcPr>
            <w:tcW w:w="1101" w:type="pct"/>
            <w:shd w:val="clear" w:color="auto" w:fill="auto"/>
          </w:tcPr>
          <w:p w14:paraId="2DE004D4" w14:textId="3D3938DF" w:rsidR="00841B02" w:rsidRPr="002A6F4E" w:rsidRDefault="001050AB" w:rsidP="00841B02">
            <w:pPr>
              <w:spacing w:before="40" w:after="40" w:line="360" w:lineRule="auto"/>
              <w:rPr>
                <w:rFonts w:ascii="Arial" w:hAnsi="Arial" w:cs="Arial"/>
                <w:lang w:val="sq-AL" w:bidi="ar-AE"/>
              </w:rPr>
            </w:pPr>
            <w:r w:rsidRPr="002A6F4E">
              <w:rPr>
                <w:rFonts w:ascii="Arial" w:hAnsi="Arial" w:cs="Arial"/>
                <w:lang w:val="sq-AL" w:bidi="ar-AE"/>
              </w:rPr>
              <w:t xml:space="preserve">Ministarstvo </w:t>
            </w:r>
            <w:r w:rsidR="00C3121F">
              <w:rPr>
                <w:rFonts w:ascii="Arial" w:hAnsi="Arial" w:cs="Arial"/>
                <w:lang w:val="sq-AL" w:bidi="ar-AE"/>
              </w:rPr>
              <w:t xml:space="preserve">nadležno za oblast </w:t>
            </w:r>
            <w:r w:rsidRPr="002A6F4E">
              <w:rPr>
                <w:rFonts w:ascii="Arial" w:hAnsi="Arial" w:cs="Arial"/>
                <w:lang w:val="sq-AL" w:bidi="ar-AE"/>
              </w:rPr>
              <w:t>prosvjete</w:t>
            </w:r>
            <w:r w:rsidR="00C3121F">
              <w:rPr>
                <w:rFonts w:ascii="Arial" w:hAnsi="Arial" w:cs="Arial"/>
                <w:lang w:val="sq-AL" w:bidi="ar-AE"/>
              </w:rPr>
              <w:t>/</w:t>
            </w:r>
            <w:r w:rsidR="00841B02" w:rsidRPr="002A6F4E">
              <w:rPr>
                <w:rFonts w:ascii="Arial" w:hAnsi="Arial" w:cs="Arial"/>
                <w:lang w:val="sq-AL"/>
              </w:rPr>
              <w:t>MERS</w:t>
            </w:r>
            <w:r w:rsidR="001E3A79">
              <w:rPr>
                <w:rFonts w:ascii="Arial" w:hAnsi="Arial" w:cs="Arial"/>
                <w:lang w:val="sq-AL"/>
              </w:rPr>
              <w:t>/Jedinice lokalnih samouprava</w:t>
            </w:r>
            <w:r w:rsidR="00841B02" w:rsidRPr="002A6F4E">
              <w:rPr>
                <w:rFonts w:ascii="Arial" w:hAnsi="Arial" w:cs="Arial"/>
                <w:lang w:val="sq-AL" w:bidi="ar-AE"/>
              </w:rPr>
              <w:t xml:space="preserve"> </w:t>
            </w:r>
          </w:p>
        </w:tc>
        <w:tc>
          <w:tcPr>
            <w:tcW w:w="508" w:type="pct"/>
            <w:shd w:val="clear" w:color="auto" w:fill="auto"/>
          </w:tcPr>
          <w:p w14:paraId="062607C5" w14:textId="30752DC9"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w:t>
            </w:r>
            <w:r w:rsidR="00CF6F91">
              <w:rPr>
                <w:rFonts w:ascii="Arial" w:hAnsi="Arial" w:cs="Arial"/>
                <w:lang w:val="sq-AL" w:bidi="ar-AE"/>
              </w:rPr>
              <w:t>-</w:t>
            </w:r>
            <w:r w:rsidRPr="002A6F4E">
              <w:rPr>
                <w:rFonts w:ascii="Arial" w:hAnsi="Arial" w:cs="Arial"/>
                <w:lang w:val="sq-AL" w:bidi="ar-AE"/>
              </w:rPr>
              <w:t>2029.</w:t>
            </w:r>
          </w:p>
        </w:tc>
        <w:tc>
          <w:tcPr>
            <w:tcW w:w="1305" w:type="pct"/>
          </w:tcPr>
          <w:p w14:paraId="7C04C05E"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Državni budžet</w:t>
            </w:r>
          </w:p>
          <w:p w14:paraId="5D54D201"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Lokalni budžet</w:t>
            </w:r>
          </w:p>
          <w:p w14:paraId="1A0953F2"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Donatori</w:t>
            </w:r>
          </w:p>
        </w:tc>
      </w:tr>
      <w:tr w:rsidR="00841B02" w:rsidRPr="002A6F4E" w14:paraId="04A5062E" w14:textId="77777777" w:rsidTr="009754F4">
        <w:trPr>
          <w:jc w:val="center"/>
        </w:trPr>
        <w:tc>
          <w:tcPr>
            <w:tcW w:w="304" w:type="pct"/>
            <w:shd w:val="clear" w:color="auto" w:fill="auto"/>
          </w:tcPr>
          <w:p w14:paraId="0375F97E" w14:textId="3E38CFE0"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5.</w:t>
            </w:r>
            <w:r w:rsidR="00BB7DCB">
              <w:rPr>
                <w:rFonts w:ascii="Arial" w:hAnsi="Arial" w:cs="Arial"/>
                <w:lang w:val="sq-AL" w:bidi="ar-AE"/>
              </w:rPr>
              <w:t>7</w:t>
            </w:r>
          </w:p>
        </w:tc>
        <w:tc>
          <w:tcPr>
            <w:tcW w:w="518" w:type="pct"/>
            <w:shd w:val="clear" w:color="auto" w:fill="auto"/>
          </w:tcPr>
          <w:p w14:paraId="5FF1090C"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PSIOM</w:t>
            </w:r>
          </w:p>
        </w:tc>
        <w:tc>
          <w:tcPr>
            <w:tcW w:w="1264" w:type="pct"/>
            <w:shd w:val="clear" w:color="auto" w:fill="auto"/>
          </w:tcPr>
          <w:p w14:paraId="3CF50CFE" w14:textId="574787B8"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 xml:space="preserve">Izrada kampanja podizanja svijesti i komuniciranja u odnosu na novi sistem EPR (uključujući organizacije koje se bave </w:t>
            </w:r>
            <w:r w:rsidR="00ED7D8B">
              <w:rPr>
                <w:rFonts w:ascii="Arial" w:hAnsi="Arial" w:cs="Arial"/>
                <w:lang w:val="sq-AL" w:bidi="ar-AE"/>
              </w:rPr>
              <w:t xml:space="preserve">proširenom </w:t>
            </w:r>
            <w:r w:rsidRPr="002A6F4E">
              <w:rPr>
                <w:rFonts w:ascii="Arial" w:hAnsi="Arial" w:cs="Arial"/>
                <w:lang w:val="sq-AL" w:bidi="ar-AE"/>
              </w:rPr>
              <w:t xml:space="preserve">odgovornošću proizvođača) za posebne </w:t>
            </w:r>
            <w:r w:rsidR="007678E6">
              <w:rPr>
                <w:rFonts w:ascii="Arial" w:hAnsi="Arial" w:cs="Arial"/>
                <w:lang w:val="sq-AL" w:bidi="ar-AE"/>
              </w:rPr>
              <w:t>vrste</w:t>
            </w:r>
            <w:r w:rsidR="007678E6" w:rsidRPr="002A6F4E">
              <w:rPr>
                <w:rFonts w:ascii="Arial" w:hAnsi="Arial" w:cs="Arial"/>
                <w:lang w:val="sq-AL" w:bidi="ar-AE"/>
              </w:rPr>
              <w:t xml:space="preserve"> </w:t>
            </w:r>
            <w:r w:rsidRPr="002A6F4E">
              <w:rPr>
                <w:rFonts w:ascii="Arial" w:hAnsi="Arial" w:cs="Arial"/>
                <w:lang w:val="sq-AL" w:bidi="ar-AE"/>
              </w:rPr>
              <w:t>otpada</w:t>
            </w:r>
          </w:p>
        </w:tc>
        <w:tc>
          <w:tcPr>
            <w:tcW w:w="1101" w:type="pct"/>
            <w:shd w:val="clear" w:color="auto" w:fill="auto"/>
          </w:tcPr>
          <w:p w14:paraId="20003AE0"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rPr>
              <w:t>MERS</w:t>
            </w:r>
          </w:p>
        </w:tc>
        <w:tc>
          <w:tcPr>
            <w:tcW w:w="508" w:type="pct"/>
            <w:shd w:val="clear" w:color="auto" w:fill="auto"/>
          </w:tcPr>
          <w:p w14:paraId="43DF6B9B"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2025-2029.</w:t>
            </w:r>
          </w:p>
        </w:tc>
        <w:tc>
          <w:tcPr>
            <w:tcW w:w="1305" w:type="pct"/>
          </w:tcPr>
          <w:p w14:paraId="6D2FF70B" w14:textId="77777777"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Državni budžet</w:t>
            </w:r>
          </w:p>
          <w:p w14:paraId="642543C0"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bidi="ar-AE"/>
              </w:rPr>
              <w:t>Donatori</w:t>
            </w:r>
          </w:p>
        </w:tc>
      </w:tr>
      <w:tr w:rsidR="00841B02" w:rsidRPr="0014164F" w14:paraId="355FCB1F" w14:textId="77777777" w:rsidTr="009754F4">
        <w:trPr>
          <w:jc w:val="center"/>
        </w:trPr>
        <w:tc>
          <w:tcPr>
            <w:tcW w:w="304" w:type="pct"/>
            <w:shd w:val="clear" w:color="auto" w:fill="auto"/>
          </w:tcPr>
          <w:p w14:paraId="49EAB5A1" w14:textId="1C3E6A46"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5.</w:t>
            </w:r>
            <w:r w:rsidR="00BB7DCB">
              <w:rPr>
                <w:rFonts w:ascii="Arial" w:hAnsi="Arial" w:cs="Arial"/>
                <w:lang w:val="sq-AL" w:bidi="ar-AE"/>
              </w:rPr>
              <w:t>8</w:t>
            </w:r>
          </w:p>
        </w:tc>
        <w:tc>
          <w:tcPr>
            <w:tcW w:w="518" w:type="pct"/>
            <w:shd w:val="clear" w:color="auto" w:fill="auto"/>
          </w:tcPr>
          <w:p w14:paraId="4C46ADB1"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PSIOM</w:t>
            </w:r>
          </w:p>
        </w:tc>
        <w:tc>
          <w:tcPr>
            <w:tcW w:w="1264" w:type="pct"/>
            <w:shd w:val="clear" w:color="auto" w:fill="auto"/>
          </w:tcPr>
          <w:p w14:paraId="4E822EB9" w14:textId="3B8FF426"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Izrada kampanje kojom se građani obavještavaju o sakupljanju i upravljanju kabast</w:t>
            </w:r>
            <w:r w:rsidR="00ED7D8B">
              <w:rPr>
                <w:rFonts w:ascii="Arial" w:hAnsi="Arial" w:cs="Arial"/>
                <w:lang w:val="sq-AL" w:bidi="ar-AE"/>
              </w:rPr>
              <w:t>im</w:t>
            </w:r>
            <w:r w:rsidRPr="002A6F4E">
              <w:rPr>
                <w:rFonts w:ascii="Arial" w:hAnsi="Arial" w:cs="Arial"/>
                <w:lang w:val="sq-AL" w:bidi="ar-AE"/>
              </w:rPr>
              <w:t xml:space="preserve"> otpad</w:t>
            </w:r>
            <w:r w:rsidR="00ED7D8B">
              <w:rPr>
                <w:rFonts w:ascii="Arial" w:hAnsi="Arial" w:cs="Arial"/>
                <w:lang w:val="sq-AL" w:bidi="ar-AE"/>
              </w:rPr>
              <w:t xml:space="preserve">om </w:t>
            </w:r>
            <w:r w:rsidRPr="002A6F4E">
              <w:rPr>
                <w:rFonts w:ascii="Arial" w:hAnsi="Arial" w:cs="Arial"/>
                <w:lang w:val="sq-AL" w:bidi="ar-AE"/>
              </w:rPr>
              <w:t>unutar svake opštine</w:t>
            </w:r>
          </w:p>
        </w:tc>
        <w:tc>
          <w:tcPr>
            <w:tcW w:w="1101" w:type="pct"/>
            <w:shd w:val="clear" w:color="auto" w:fill="auto"/>
          </w:tcPr>
          <w:p w14:paraId="73475DB9" w14:textId="5E542911" w:rsidR="00841B02" w:rsidRPr="002A6F4E" w:rsidRDefault="009A60B8" w:rsidP="00841B02">
            <w:pPr>
              <w:spacing w:before="40" w:after="40" w:line="360" w:lineRule="auto"/>
              <w:rPr>
                <w:rFonts w:ascii="Arial" w:hAnsi="Arial" w:cs="Arial"/>
                <w:lang w:val="sq-AL" w:bidi="ar-AE"/>
              </w:rPr>
            </w:pPr>
            <w:r>
              <w:rPr>
                <w:rFonts w:ascii="Arial" w:hAnsi="Arial" w:cs="Arial"/>
                <w:lang w:val="sq-AL" w:bidi="ar-AE"/>
              </w:rPr>
              <w:t>J</w:t>
            </w:r>
            <w:r w:rsidR="00841B02" w:rsidRPr="002A6F4E">
              <w:rPr>
                <w:rFonts w:ascii="Arial" w:hAnsi="Arial" w:cs="Arial"/>
                <w:lang w:val="sq-AL" w:bidi="ar-AE"/>
              </w:rPr>
              <w:t xml:space="preserve">edinice lokalnih samouprava  </w:t>
            </w:r>
          </w:p>
        </w:tc>
        <w:tc>
          <w:tcPr>
            <w:tcW w:w="508" w:type="pct"/>
            <w:shd w:val="clear" w:color="auto" w:fill="auto"/>
          </w:tcPr>
          <w:p w14:paraId="13E37F57"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 – 2029.</w:t>
            </w:r>
          </w:p>
        </w:tc>
        <w:tc>
          <w:tcPr>
            <w:tcW w:w="1305" w:type="pct"/>
          </w:tcPr>
          <w:p w14:paraId="1998ED45" w14:textId="1D73B493" w:rsidR="00841B02" w:rsidRPr="003D7619" w:rsidRDefault="00841B02" w:rsidP="00841B02">
            <w:pPr>
              <w:spacing w:before="40" w:after="40" w:line="360" w:lineRule="auto"/>
              <w:rPr>
                <w:rFonts w:ascii="Arial" w:hAnsi="Arial" w:cs="Arial"/>
                <w:lang w:val="de-DE" w:bidi="ar-AE"/>
              </w:rPr>
            </w:pPr>
            <w:r w:rsidRPr="003D7619">
              <w:rPr>
                <w:rFonts w:ascii="Arial" w:hAnsi="Arial" w:cs="Arial"/>
                <w:lang w:val="de-DE" w:bidi="ar-AE"/>
              </w:rPr>
              <w:t>Lokalni budžet</w:t>
            </w:r>
            <w:r w:rsidR="00455771" w:rsidRPr="003D7619">
              <w:rPr>
                <w:lang w:val="de-DE"/>
              </w:rPr>
              <w:t xml:space="preserve"> </w:t>
            </w:r>
            <w:r w:rsidR="00455771" w:rsidRPr="003D7619">
              <w:rPr>
                <w:rFonts w:ascii="Arial" w:hAnsi="Arial" w:cs="Arial"/>
                <w:lang w:val="de-DE" w:bidi="ar-AE"/>
              </w:rPr>
              <w:t>Donatori/Međunarodne finansijske institucije</w:t>
            </w:r>
          </w:p>
          <w:p w14:paraId="1AD3408B" w14:textId="77777777" w:rsidR="00841B02" w:rsidRPr="002A6F4E" w:rsidRDefault="00841B02" w:rsidP="00841B02">
            <w:pPr>
              <w:spacing w:before="40" w:after="40" w:line="360" w:lineRule="auto"/>
              <w:rPr>
                <w:rFonts w:ascii="Arial" w:hAnsi="Arial" w:cs="Arial"/>
                <w:lang w:val="sq-AL" w:bidi="ar-AE"/>
              </w:rPr>
            </w:pPr>
          </w:p>
        </w:tc>
      </w:tr>
      <w:tr w:rsidR="00841B02" w:rsidRPr="002A6F4E" w14:paraId="7BD05387" w14:textId="77777777" w:rsidTr="009754F4">
        <w:trPr>
          <w:jc w:val="center"/>
        </w:trPr>
        <w:tc>
          <w:tcPr>
            <w:tcW w:w="304" w:type="pct"/>
            <w:shd w:val="clear" w:color="auto" w:fill="auto"/>
          </w:tcPr>
          <w:p w14:paraId="370027B3" w14:textId="74A2A312"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lastRenderedPageBreak/>
              <w:t>5.</w:t>
            </w:r>
            <w:r w:rsidR="00BB7DCB">
              <w:rPr>
                <w:rFonts w:ascii="Arial" w:hAnsi="Arial" w:cs="Arial"/>
                <w:lang w:val="sq-AL" w:bidi="ar-AE"/>
              </w:rPr>
              <w:t>9</w:t>
            </w:r>
          </w:p>
        </w:tc>
        <w:tc>
          <w:tcPr>
            <w:tcW w:w="518" w:type="pct"/>
            <w:shd w:val="clear" w:color="auto" w:fill="auto"/>
          </w:tcPr>
          <w:p w14:paraId="1BFFC3CA"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PSIOM</w:t>
            </w:r>
          </w:p>
        </w:tc>
        <w:tc>
          <w:tcPr>
            <w:tcW w:w="1264" w:type="pct"/>
            <w:shd w:val="clear" w:color="auto" w:fill="auto"/>
          </w:tcPr>
          <w:p w14:paraId="3E06D3FB" w14:textId="4BF20A34"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 xml:space="preserve">Obrazovne, informativne i </w:t>
            </w:r>
            <w:r w:rsidR="00AF63A4">
              <w:rPr>
                <w:rFonts w:ascii="Arial" w:hAnsi="Arial" w:cs="Arial"/>
                <w:lang w:val="sq-AL" w:bidi="ar-AE"/>
              </w:rPr>
              <w:t xml:space="preserve">druge </w:t>
            </w:r>
            <w:r w:rsidRPr="002A6F4E">
              <w:rPr>
                <w:rFonts w:ascii="Arial" w:hAnsi="Arial" w:cs="Arial"/>
                <w:lang w:val="sq-AL" w:bidi="ar-AE"/>
              </w:rPr>
              <w:t>radnje na podizanju svijesti o upravljanju otpadom iz poljoprivrede, uz akcenat na mlade poljoprivrednike</w:t>
            </w:r>
          </w:p>
        </w:tc>
        <w:tc>
          <w:tcPr>
            <w:tcW w:w="1101" w:type="pct"/>
            <w:shd w:val="clear" w:color="auto" w:fill="auto"/>
          </w:tcPr>
          <w:p w14:paraId="26FF157C" w14:textId="6E2E8D56" w:rsidR="00841B02" w:rsidRPr="002A6F4E" w:rsidRDefault="00713FE6" w:rsidP="00841B02">
            <w:pPr>
              <w:spacing w:before="40" w:after="40" w:line="360" w:lineRule="auto"/>
              <w:rPr>
                <w:rFonts w:ascii="Arial" w:hAnsi="Arial" w:cs="Arial"/>
                <w:lang w:val="sq-AL" w:bidi="ar-AE"/>
              </w:rPr>
            </w:pPr>
            <w:r w:rsidRPr="002A6F4E">
              <w:rPr>
                <w:rFonts w:ascii="Arial" w:hAnsi="Arial" w:cs="Arial"/>
                <w:lang w:val="sq-AL" w:bidi="ar-AE"/>
              </w:rPr>
              <w:t>Ministarstvo poljoprivrede, šumarstva i vodoprivrede</w:t>
            </w:r>
            <w:r>
              <w:t xml:space="preserve"> </w:t>
            </w:r>
            <w:r w:rsidR="00841B02" w:rsidRPr="002A6F4E">
              <w:rPr>
                <w:rFonts w:ascii="Arial" w:hAnsi="Arial" w:cs="Arial"/>
                <w:lang w:val="sq-AL"/>
              </w:rPr>
              <w:t>MERS</w:t>
            </w:r>
            <w:r w:rsidR="00841B02" w:rsidRPr="002A6F4E">
              <w:rPr>
                <w:rFonts w:ascii="Arial" w:hAnsi="Arial" w:cs="Arial"/>
                <w:lang w:val="sq-AL" w:bidi="ar-AE"/>
              </w:rPr>
              <w:t>/</w:t>
            </w:r>
            <w:r w:rsidR="008D1592">
              <w:rPr>
                <w:rFonts w:ascii="Arial" w:hAnsi="Arial" w:cs="Arial"/>
                <w:lang w:val="sq-AL" w:bidi="ar-AE"/>
              </w:rPr>
              <w:t>/</w:t>
            </w:r>
            <w:r w:rsidRPr="00713FE6">
              <w:rPr>
                <w:rFonts w:ascii="Arial" w:hAnsi="Arial" w:cs="Arial"/>
                <w:lang w:val="sq-AL" w:bidi="ar-AE"/>
              </w:rPr>
              <w:t xml:space="preserve">Jedinice lokalnih samouprava  </w:t>
            </w:r>
          </w:p>
        </w:tc>
        <w:tc>
          <w:tcPr>
            <w:tcW w:w="508" w:type="pct"/>
            <w:shd w:val="clear" w:color="auto" w:fill="auto"/>
          </w:tcPr>
          <w:p w14:paraId="22E7EC99" w14:textId="77777777"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val="sq-AL" w:bidi="ar-AE"/>
              </w:rPr>
              <w:t>2025-2029.</w:t>
            </w:r>
          </w:p>
        </w:tc>
        <w:tc>
          <w:tcPr>
            <w:tcW w:w="1305" w:type="pct"/>
          </w:tcPr>
          <w:p w14:paraId="366C660D" w14:textId="77777777" w:rsidR="00841B02" w:rsidRPr="002A6F4E" w:rsidRDefault="00841B02" w:rsidP="00841B02">
            <w:pPr>
              <w:spacing w:before="40" w:after="40" w:line="360" w:lineRule="auto"/>
              <w:rPr>
                <w:rFonts w:ascii="Arial" w:hAnsi="Arial" w:cs="Arial"/>
                <w:lang w:bidi="ar-AE"/>
              </w:rPr>
            </w:pPr>
            <w:r w:rsidRPr="002A6F4E">
              <w:rPr>
                <w:rFonts w:ascii="Arial" w:hAnsi="Arial" w:cs="Arial"/>
                <w:lang w:bidi="ar-AE"/>
              </w:rPr>
              <w:t>Državni budžet</w:t>
            </w:r>
          </w:p>
          <w:p w14:paraId="7793CA99" w14:textId="4C497023" w:rsidR="00841B02" w:rsidRPr="002A6F4E" w:rsidRDefault="00841B02" w:rsidP="00841B02">
            <w:pPr>
              <w:spacing w:before="40" w:after="40" w:line="360" w:lineRule="auto"/>
              <w:rPr>
                <w:rFonts w:ascii="Arial" w:hAnsi="Arial" w:cs="Arial"/>
                <w:lang w:val="sq-AL" w:bidi="ar-AE"/>
              </w:rPr>
            </w:pPr>
            <w:r w:rsidRPr="002A6F4E">
              <w:rPr>
                <w:rFonts w:ascii="Arial" w:hAnsi="Arial" w:cs="Arial"/>
                <w:lang w:bidi="ar-AE"/>
              </w:rPr>
              <w:t>Privatni se</w:t>
            </w:r>
            <w:r w:rsidR="00AF63A4">
              <w:rPr>
                <w:rFonts w:ascii="Arial" w:hAnsi="Arial" w:cs="Arial"/>
                <w:lang w:bidi="ar-AE"/>
              </w:rPr>
              <w:t>k</w:t>
            </w:r>
            <w:r w:rsidRPr="002A6F4E">
              <w:rPr>
                <w:rFonts w:ascii="Arial" w:hAnsi="Arial" w:cs="Arial"/>
                <w:lang w:bidi="ar-AE"/>
              </w:rPr>
              <w:t>tor</w:t>
            </w:r>
          </w:p>
        </w:tc>
      </w:tr>
      <w:bookmarkEnd w:id="1446"/>
    </w:tbl>
    <w:p w14:paraId="02215D4E" w14:textId="77777777" w:rsidR="00377063" w:rsidRPr="002A6F4E" w:rsidRDefault="00377063" w:rsidP="00377063">
      <w:pPr>
        <w:spacing w:after="120" w:line="360" w:lineRule="auto"/>
        <w:rPr>
          <w:rFonts w:ascii="Arial" w:hAnsi="Arial" w:cs="Arial"/>
          <w:lang w:val="sq-AL"/>
        </w:rPr>
        <w:sectPr w:rsidR="00377063" w:rsidRPr="002A6F4E">
          <w:headerReference w:type="default" r:id="rId26"/>
          <w:footerReference w:type="default" r:id="rId27"/>
          <w:pgSz w:w="11909" w:h="16833"/>
          <w:pgMar w:top="1417" w:right="1134" w:bottom="1417" w:left="1417" w:header="850" w:footer="907" w:gutter="0"/>
          <w:cols w:space="708"/>
          <w:docGrid w:linePitch="272"/>
        </w:sectPr>
      </w:pPr>
    </w:p>
    <w:p w14:paraId="5505252B" w14:textId="77777777" w:rsidR="00377063" w:rsidRPr="002A6F4E" w:rsidRDefault="00377063" w:rsidP="00377063">
      <w:pPr>
        <w:shd w:val="clear" w:color="auto" w:fill="FFFFFF"/>
        <w:spacing w:line="360" w:lineRule="auto"/>
        <w:textAlignment w:val="baseline"/>
        <w:rPr>
          <w:rFonts w:ascii="Arial" w:eastAsia="Times New Roman" w:hAnsi="Arial" w:cs="Arial"/>
          <w:b/>
          <w:bCs/>
          <w:lang w:val="en-US"/>
        </w:rPr>
      </w:pPr>
    </w:p>
    <w:p w14:paraId="416FC66E" w14:textId="07EFF96D" w:rsidR="00377063" w:rsidRPr="002A6F4E" w:rsidRDefault="00377063" w:rsidP="00F57909">
      <w:pPr>
        <w:pStyle w:val="Heading2"/>
        <w:numPr>
          <w:ilvl w:val="1"/>
          <w:numId w:val="139"/>
        </w:numPr>
      </w:pPr>
      <w:bookmarkStart w:id="1459" w:name="_Toc189759795"/>
      <w:bookmarkStart w:id="1460" w:name="_Toc193354083"/>
      <w:r w:rsidRPr="002A6F4E">
        <w:t>SWOT analiza klju</w:t>
      </w:r>
      <w:r w:rsidRPr="002A6F4E">
        <w:rPr>
          <w:lang w:val="sr-Latn-ME"/>
        </w:rPr>
        <w:t>čnih faktora</w:t>
      </w:r>
      <w:r w:rsidRPr="002A6F4E">
        <w:t xml:space="preserve"> DPUO Crne Gore</w:t>
      </w:r>
      <w:bookmarkEnd w:id="1459"/>
      <w:bookmarkEnd w:id="1460"/>
    </w:p>
    <w:p w14:paraId="781C3257" w14:textId="048D84E1" w:rsidR="00377063" w:rsidRPr="002A6F4E" w:rsidRDefault="00377063" w:rsidP="00377063">
      <w:pPr>
        <w:shd w:val="clear" w:color="auto" w:fill="FFFFFF"/>
        <w:spacing w:line="360" w:lineRule="auto"/>
        <w:textAlignment w:val="baseline"/>
        <w:rPr>
          <w:rFonts w:ascii="Arial" w:eastAsia="Times New Roman" w:hAnsi="Arial" w:cs="Arial"/>
          <w:color w:val="000000"/>
          <w:lang w:val="sr-Latn-ME"/>
        </w:rPr>
      </w:pPr>
      <w:r w:rsidRPr="002A6F4E">
        <w:rPr>
          <w:rFonts w:ascii="Arial" w:eastAsia="Times New Roman" w:hAnsi="Arial" w:cs="Arial"/>
          <w:bCs/>
          <w:lang w:val="sq-AL"/>
        </w:rPr>
        <w:t>SWOT</w:t>
      </w:r>
      <w:r w:rsidRPr="002A6F4E">
        <w:rPr>
          <w:rFonts w:ascii="Arial" w:eastAsia="Times New Roman" w:hAnsi="Arial" w:cs="Arial"/>
          <w:bCs/>
          <w:lang w:val="sr-Latn-ME"/>
        </w:rPr>
        <w:t xml:space="preserve"> </w:t>
      </w:r>
      <w:r w:rsidRPr="002A6F4E">
        <w:rPr>
          <w:rFonts w:ascii="Arial" w:eastAsia="Times New Roman" w:hAnsi="Arial" w:cs="Arial"/>
          <w:bCs/>
          <w:lang w:val="sq-AL"/>
        </w:rPr>
        <w:t>analiza</w:t>
      </w:r>
      <w:r w:rsidRPr="002A6F4E">
        <w:rPr>
          <w:rFonts w:ascii="Arial" w:eastAsia="Times New Roman" w:hAnsi="Arial" w:cs="Arial"/>
          <w:bCs/>
          <w:lang w:val="sr-Latn-ME"/>
        </w:rPr>
        <w:t xml:space="preserve"> (</w:t>
      </w:r>
      <w:r w:rsidRPr="002A6F4E">
        <w:rPr>
          <w:rFonts w:ascii="Arial" w:eastAsia="Times New Roman" w:hAnsi="Arial" w:cs="Arial"/>
          <w:bCs/>
          <w:i/>
          <w:lang w:val="sq-AL"/>
        </w:rPr>
        <w:t>engl</w:t>
      </w:r>
      <w:r w:rsidRPr="002A6F4E">
        <w:rPr>
          <w:rFonts w:ascii="Arial" w:eastAsia="Times New Roman" w:hAnsi="Arial" w:cs="Arial"/>
          <w:bCs/>
          <w:i/>
          <w:lang w:val="sr-Latn-ME"/>
        </w:rPr>
        <w:t xml:space="preserve">. </w:t>
      </w:r>
      <w:r w:rsidRPr="002A6F4E">
        <w:rPr>
          <w:rFonts w:ascii="Arial" w:eastAsia="Times New Roman" w:hAnsi="Arial" w:cs="Arial"/>
          <w:bCs/>
          <w:i/>
          <w:lang w:val="sq-AL"/>
        </w:rPr>
        <w:t>SWOT</w:t>
      </w:r>
      <w:r w:rsidRPr="002A6F4E">
        <w:rPr>
          <w:rFonts w:ascii="Arial" w:eastAsia="Times New Roman" w:hAnsi="Arial" w:cs="Arial"/>
          <w:bCs/>
          <w:i/>
          <w:lang w:val="sr-Latn-ME"/>
        </w:rPr>
        <w:t xml:space="preserve"> </w:t>
      </w:r>
      <w:r w:rsidRPr="002A6F4E">
        <w:rPr>
          <w:rFonts w:ascii="Arial" w:eastAsia="Times New Roman" w:hAnsi="Arial" w:cs="Arial"/>
          <w:bCs/>
          <w:i/>
          <w:lang w:val="sq-AL"/>
        </w:rPr>
        <w:t>analysis</w:t>
      </w:r>
      <w:r w:rsidRPr="002A6F4E">
        <w:rPr>
          <w:rFonts w:ascii="Arial" w:eastAsia="Times New Roman" w:hAnsi="Arial" w:cs="Arial"/>
          <w:bCs/>
          <w:lang w:val="sr-Latn-ME"/>
        </w:rPr>
        <w:t xml:space="preserve">) </w:t>
      </w:r>
      <w:r w:rsidRPr="002A6F4E">
        <w:rPr>
          <w:rFonts w:ascii="Arial" w:eastAsia="Times New Roman" w:hAnsi="Arial" w:cs="Arial"/>
          <w:bCs/>
          <w:lang w:val="sq-AL"/>
        </w:rPr>
        <w:t>je</w:t>
      </w:r>
      <w:r w:rsidRPr="002A6F4E">
        <w:rPr>
          <w:rFonts w:ascii="Arial" w:eastAsia="Times New Roman" w:hAnsi="Arial" w:cs="Arial"/>
          <w:bCs/>
          <w:lang w:val="sr-Latn-ME"/>
        </w:rPr>
        <w:t xml:space="preserve"> </w:t>
      </w:r>
      <w:r w:rsidRPr="002A6F4E">
        <w:rPr>
          <w:rFonts w:ascii="Arial" w:eastAsia="Times New Roman" w:hAnsi="Arial" w:cs="Arial"/>
          <w:bCs/>
          <w:lang w:val="sq-AL"/>
        </w:rPr>
        <w:t>kvalitativna</w:t>
      </w:r>
      <w:r w:rsidRPr="002A6F4E">
        <w:rPr>
          <w:rFonts w:ascii="Arial" w:eastAsia="Times New Roman" w:hAnsi="Arial" w:cs="Arial"/>
          <w:bCs/>
          <w:lang w:val="sr-Latn-ME"/>
        </w:rPr>
        <w:t xml:space="preserve"> </w:t>
      </w:r>
      <w:r w:rsidRPr="002A6F4E">
        <w:rPr>
          <w:rFonts w:ascii="Arial" w:eastAsia="Times New Roman" w:hAnsi="Arial" w:cs="Arial"/>
          <w:bCs/>
          <w:lang w:val="sq-AL"/>
        </w:rPr>
        <w:t>analiti</w:t>
      </w:r>
      <w:r w:rsidRPr="002A6F4E">
        <w:rPr>
          <w:rFonts w:ascii="Arial" w:eastAsia="Times New Roman" w:hAnsi="Arial" w:cs="Arial"/>
          <w:bCs/>
          <w:lang w:val="sr-Latn-ME"/>
        </w:rPr>
        <w:t>č</w:t>
      </w:r>
      <w:r w:rsidRPr="002A6F4E">
        <w:rPr>
          <w:rFonts w:ascii="Arial" w:eastAsia="Times New Roman" w:hAnsi="Arial" w:cs="Arial"/>
          <w:bCs/>
          <w:lang w:val="sq-AL"/>
        </w:rPr>
        <w:t>ka</w:t>
      </w:r>
      <w:r w:rsidRPr="002A6F4E">
        <w:rPr>
          <w:rFonts w:ascii="Arial" w:eastAsia="Times New Roman" w:hAnsi="Arial" w:cs="Arial"/>
          <w:bCs/>
          <w:lang w:val="sr-Latn-ME"/>
        </w:rPr>
        <w:t xml:space="preserve"> </w:t>
      </w:r>
      <w:r w:rsidRPr="002A6F4E">
        <w:rPr>
          <w:rFonts w:ascii="Arial" w:eastAsia="Times New Roman" w:hAnsi="Arial" w:cs="Arial"/>
          <w:bCs/>
          <w:lang w:val="sq-AL"/>
        </w:rPr>
        <w:t>metoda</w:t>
      </w:r>
      <w:r w:rsidRPr="002A6F4E">
        <w:rPr>
          <w:rFonts w:ascii="Arial" w:eastAsia="Times New Roman" w:hAnsi="Arial" w:cs="Arial"/>
          <w:bCs/>
          <w:lang w:val="sr-Latn-ME"/>
        </w:rPr>
        <w:t xml:space="preserve"> </w:t>
      </w:r>
      <w:r w:rsidRPr="002A6F4E">
        <w:rPr>
          <w:rFonts w:ascii="Arial" w:eastAsia="Times New Roman" w:hAnsi="Arial" w:cs="Arial"/>
          <w:bCs/>
          <w:lang w:val="sq-AL"/>
        </w:rPr>
        <w:t>kojom</w:t>
      </w:r>
      <w:r w:rsidRPr="002A6F4E">
        <w:rPr>
          <w:rFonts w:ascii="Arial" w:eastAsia="Times New Roman" w:hAnsi="Arial" w:cs="Arial"/>
          <w:bCs/>
          <w:lang w:val="sr-Latn-ME"/>
        </w:rPr>
        <w:t xml:space="preserve"> </w:t>
      </w:r>
      <w:r w:rsidRPr="002A6F4E">
        <w:rPr>
          <w:rFonts w:ascii="Arial" w:eastAsia="Times New Roman" w:hAnsi="Arial" w:cs="Arial"/>
          <w:bCs/>
          <w:lang w:val="sq-AL"/>
        </w:rPr>
        <w:t>se</w:t>
      </w:r>
      <w:r w:rsidRPr="002A6F4E">
        <w:rPr>
          <w:rFonts w:ascii="Arial" w:eastAsia="Times New Roman" w:hAnsi="Arial" w:cs="Arial"/>
          <w:bCs/>
          <w:lang w:val="sr-Latn-ME"/>
        </w:rPr>
        <w:t xml:space="preserve"> </w:t>
      </w:r>
      <w:r w:rsidRPr="002A6F4E">
        <w:rPr>
          <w:rFonts w:ascii="Arial" w:eastAsia="Times New Roman" w:hAnsi="Arial" w:cs="Arial"/>
          <w:bCs/>
          <w:lang w:val="sq-AL"/>
        </w:rPr>
        <w:t>vr</w:t>
      </w:r>
      <w:r w:rsidR="000253AA">
        <w:rPr>
          <w:rFonts w:ascii="Arial" w:eastAsia="Times New Roman" w:hAnsi="Arial" w:cs="Arial"/>
          <w:bCs/>
          <w:lang w:val="sq-AL"/>
        </w:rPr>
        <w:t>j</w:t>
      </w:r>
      <w:r w:rsidRPr="002A6F4E">
        <w:rPr>
          <w:rFonts w:ascii="Arial" w:eastAsia="Times New Roman" w:hAnsi="Arial" w:cs="Arial"/>
          <w:bCs/>
          <w:lang w:val="sq-AL"/>
        </w:rPr>
        <w:t>ednovanjem</w:t>
      </w:r>
      <w:r w:rsidRPr="002A6F4E">
        <w:rPr>
          <w:rFonts w:ascii="Arial" w:eastAsia="Times New Roman" w:hAnsi="Arial" w:cs="Arial"/>
          <w:bCs/>
          <w:lang w:val="sr-Latn-ME"/>
        </w:rPr>
        <w:t xml:space="preserve"> </w:t>
      </w:r>
      <w:r w:rsidRPr="002A6F4E">
        <w:rPr>
          <w:rFonts w:ascii="Arial" w:eastAsia="Times New Roman" w:hAnsi="Arial" w:cs="Arial"/>
          <w:bCs/>
          <w:lang w:val="sq-AL"/>
        </w:rPr>
        <w:t>pojedinih</w:t>
      </w:r>
      <w:r w:rsidRPr="002A6F4E">
        <w:rPr>
          <w:rFonts w:ascii="Arial" w:eastAsia="Times New Roman" w:hAnsi="Arial" w:cs="Arial"/>
          <w:bCs/>
          <w:lang w:val="sr-Latn-ME"/>
        </w:rPr>
        <w:t xml:space="preserve"> </w:t>
      </w:r>
      <w:r w:rsidRPr="002A6F4E">
        <w:rPr>
          <w:rFonts w:ascii="Arial" w:eastAsia="Times New Roman" w:hAnsi="Arial" w:cs="Arial"/>
          <w:bCs/>
          <w:lang w:val="sq-AL"/>
        </w:rPr>
        <w:t>razvojnih</w:t>
      </w:r>
      <w:r w:rsidRPr="002A6F4E">
        <w:rPr>
          <w:rFonts w:ascii="Arial" w:eastAsia="Times New Roman" w:hAnsi="Arial" w:cs="Arial"/>
          <w:bCs/>
          <w:lang w:val="sr-Latn-ME"/>
        </w:rPr>
        <w:t xml:space="preserve"> </w:t>
      </w:r>
      <w:r w:rsidRPr="002A6F4E">
        <w:rPr>
          <w:rFonts w:ascii="Arial" w:eastAsia="Times New Roman" w:hAnsi="Arial" w:cs="Arial"/>
          <w:bCs/>
          <w:lang w:val="sq-AL"/>
        </w:rPr>
        <w:t>komponenti</w:t>
      </w:r>
      <w:r w:rsidRPr="002A6F4E">
        <w:rPr>
          <w:rFonts w:ascii="Arial" w:eastAsia="Times New Roman" w:hAnsi="Arial" w:cs="Arial"/>
          <w:bCs/>
          <w:lang w:val="sr-Latn-ME"/>
        </w:rPr>
        <w:t xml:space="preserve"> </w:t>
      </w:r>
      <w:r w:rsidRPr="002A6F4E">
        <w:rPr>
          <w:rFonts w:ascii="Arial" w:eastAsia="Times New Roman" w:hAnsi="Arial" w:cs="Arial"/>
          <w:bCs/>
          <w:lang w:val="sq-AL"/>
        </w:rPr>
        <w:t>od</w:t>
      </w:r>
      <w:r w:rsidRPr="002A6F4E">
        <w:rPr>
          <w:rFonts w:ascii="Arial" w:eastAsia="Times New Roman" w:hAnsi="Arial" w:cs="Arial"/>
          <w:bCs/>
          <w:lang w:val="sr-Latn-ME"/>
        </w:rPr>
        <w:t xml:space="preserve"> </w:t>
      </w:r>
      <w:r w:rsidRPr="002A6F4E">
        <w:rPr>
          <w:rFonts w:ascii="Arial" w:eastAsia="Times New Roman" w:hAnsi="Arial" w:cs="Arial"/>
          <w:bCs/>
          <w:lang w:val="sq-AL"/>
        </w:rPr>
        <w:t>strate</w:t>
      </w:r>
      <w:r w:rsidRPr="002A6F4E">
        <w:rPr>
          <w:rFonts w:ascii="Arial" w:eastAsia="Times New Roman" w:hAnsi="Arial" w:cs="Arial"/>
          <w:bCs/>
          <w:lang w:val="sr-Latn-ME"/>
        </w:rPr>
        <w:t>š</w:t>
      </w:r>
      <w:r w:rsidRPr="002A6F4E">
        <w:rPr>
          <w:rFonts w:ascii="Arial" w:eastAsia="Times New Roman" w:hAnsi="Arial" w:cs="Arial"/>
          <w:bCs/>
          <w:lang w:val="sq-AL"/>
        </w:rPr>
        <w:t>ke</w:t>
      </w:r>
      <w:r w:rsidRPr="002A6F4E">
        <w:rPr>
          <w:rFonts w:ascii="Arial" w:eastAsia="Times New Roman" w:hAnsi="Arial" w:cs="Arial"/>
          <w:bCs/>
          <w:lang w:val="sr-Latn-ME"/>
        </w:rPr>
        <w:t xml:space="preserve"> </w:t>
      </w:r>
      <w:r w:rsidRPr="002A6F4E">
        <w:rPr>
          <w:rFonts w:ascii="Arial" w:eastAsia="Times New Roman" w:hAnsi="Arial" w:cs="Arial"/>
          <w:bCs/>
          <w:lang w:val="sq-AL"/>
        </w:rPr>
        <w:t>va</w:t>
      </w:r>
      <w:r w:rsidRPr="002A6F4E">
        <w:rPr>
          <w:rFonts w:ascii="Arial" w:eastAsia="Times New Roman" w:hAnsi="Arial" w:cs="Arial"/>
          <w:bCs/>
          <w:lang w:val="sr-Latn-ME"/>
        </w:rPr>
        <w:t>ž</w:t>
      </w:r>
      <w:r w:rsidRPr="002A6F4E">
        <w:rPr>
          <w:rFonts w:ascii="Arial" w:eastAsia="Times New Roman" w:hAnsi="Arial" w:cs="Arial"/>
          <w:bCs/>
          <w:lang w:val="sq-AL"/>
        </w:rPr>
        <w:t>nosti</w:t>
      </w:r>
      <w:r w:rsidRPr="002A6F4E">
        <w:rPr>
          <w:rFonts w:ascii="Arial" w:eastAsia="Times New Roman" w:hAnsi="Arial" w:cs="Arial"/>
          <w:bCs/>
          <w:lang w:val="sr-Latn-ME"/>
        </w:rPr>
        <w:t xml:space="preserve"> (</w:t>
      </w:r>
      <w:r w:rsidRPr="002A6F4E">
        <w:rPr>
          <w:rFonts w:ascii="Arial" w:eastAsia="Times New Roman" w:hAnsi="Arial" w:cs="Arial"/>
          <w:bCs/>
          <w:lang w:val="sq-AL"/>
        </w:rPr>
        <w:t>faktora</w:t>
      </w:r>
      <w:r w:rsidRPr="002A6F4E">
        <w:rPr>
          <w:rFonts w:ascii="Arial" w:eastAsia="Times New Roman" w:hAnsi="Arial" w:cs="Arial"/>
          <w:bCs/>
          <w:lang w:val="sr-Latn-ME"/>
        </w:rPr>
        <w:t xml:space="preserve">), </w:t>
      </w:r>
      <w:r w:rsidRPr="002A6F4E">
        <w:rPr>
          <w:rFonts w:ascii="Arial" w:eastAsia="Times New Roman" w:hAnsi="Arial" w:cs="Arial"/>
          <w:bCs/>
          <w:lang w:val="sq-AL"/>
        </w:rPr>
        <w:t>stvarnih</w:t>
      </w:r>
      <w:r w:rsidRPr="002A6F4E">
        <w:rPr>
          <w:rFonts w:ascii="Arial" w:eastAsia="Times New Roman" w:hAnsi="Arial" w:cs="Arial"/>
          <w:bCs/>
          <w:lang w:val="sr-Latn-ME"/>
        </w:rPr>
        <w:t xml:space="preserve"> </w:t>
      </w:r>
      <w:r w:rsidRPr="002A6F4E">
        <w:rPr>
          <w:rFonts w:ascii="Arial" w:eastAsia="Times New Roman" w:hAnsi="Arial" w:cs="Arial"/>
          <w:bCs/>
          <w:lang w:val="sq-AL"/>
        </w:rPr>
        <w:t>ili</w:t>
      </w:r>
      <w:r w:rsidRPr="002A6F4E">
        <w:rPr>
          <w:rFonts w:ascii="Arial" w:eastAsia="Times New Roman" w:hAnsi="Arial" w:cs="Arial"/>
          <w:bCs/>
          <w:lang w:val="sr-Latn-ME"/>
        </w:rPr>
        <w:t xml:space="preserve"> </w:t>
      </w:r>
      <w:r w:rsidRPr="002A6F4E">
        <w:rPr>
          <w:rFonts w:ascii="Arial" w:eastAsia="Times New Roman" w:hAnsi="Arial" w:cs="Arial"/>
          <w:bCs/>
          <w:lang w:val="sq-AL"/>
        </w:rPr>
        <w:t>potencijalno</w:t>
      </w:r>
      <w:r w:rsidRPr="002A6F4E">
        <w:rPr>
          <w:rFonts w:ascii="Arial" w:eastAsia="Times New Roman" w:hAnsi="Arial" w:cs="Arial"/>
          <w:bCs/>
          <w:lang w:val="sr-Latn-ME"/>
        </w:rPr>
        <w:t xml:space="preserve"> </w:t>
      </w:r>
      <w:r w:rsidRPr="002A6F4E">
        <w:rPr>
          <w:rFonts w:ascii="Arial" w:eastAsia="Times New Roman" w:hAnsi="Arial" w:cs="Arial"/>
          <w:bCs/>
          <w:lang w:val="sq-AL"/>
        </w:rPr>
        <w:t>iskoristivih</w:t>
      </w:r>
      <w:r w:rsidRPr="002A6F4E">
        <w:rPr>
          <w:rFonts w:ascii="Arial" w:eastAsia="Times New Roman" w:hAnsi="Arial" w:cs="Arial"/>
          <w:bCs/>
          <w:lang w:val="sr-Latn-ME"/>
        </w:rPr>
        <w:t xml:space="preserve">,  </w:t>
      </w:r>
      <w:r w:rsidRPr="002A6F4E">
        <w:rPr>
          <w:rFonts w:ascii="Arial" w:eastAsia="Times New Roman" w:hAnsi="Arial" w:cs="Arial"/>
          <w:bCs/>
          <w:lang w:val="sq-AL"/>
        </w:rPr>
        <w:t>u</w:t>
      </w:r>
      <w:r w:rsidRPr="002A6F4E">
        <w:rPr>
          <w:rFonts w:ascii="Arial" w:eastAsia="Times New Roman" w:hAnsi="Arial" w:cs="Arial"/>
          <w:bCs/>
          <w:lang w:val="sr-Latn-ME"/>
        </w:rPr>
        <w:t xml:space="preserve"> </w:t>
      </w:r>
      <w:r w:rsidRPr="002A6F4E">
        <w:rPr>
          <w:rFonts w:ascii="Arial" w:eastAsia="Times New Roman" w:hAnsi="Arial" w:cs="Arial"/>
          <w:bCs/>
          <w:lang w:val="sq-AL"/>
        </w:rPr>
        <w:t>okviru</w:t>
      </w:r>
      <w:r w:rsidRPr="002A6F4E">
        <w:rPr>
          <w:rFonts w:ascii="Arial" w:eastAsia="Times New Roman" w:hAnsi="Arial" w:cs="Arial"/>
          <w:bCs/>
          <w:lang w:val="sr-Latn-ME"/>
        </w:rPr>
        <w:t xml:space="preserve"> č</w:t>
      </w:r>
      <w:r w:rsidRPr="002A6F4E">
        <w:rPr>
          <w:rFonts w:ascii="Arial" w:eastAsia="Times New Roman" w:hAnsi="Arial" w:cs="Arial"/>
          <w:bCs/>
          <w:lang w:val="sq-AL"/>
        </w:rPr>
        <w:t>etiri</w:t>
      </w:r>
      <w:r w:rsidRPr="002A6F4E">
        <w:rPr>
          <w:rFonts w:ascii="Arial" w:eastAsia="Times New Roman" w:hAnsi="Arial" w:cs="Arial"/>
          <w:bCs/>
          <w:lang w:val="sr-Latn-ME"/>
        </w:rPr>
        <w:t xml:space="preserve">  </w:t>
      </w:r>
      <w:r w:rsidRPr="002A6F4E">
        <w:rPr>
          <w:rFonts w:ascii="Arial" w:eastAsia="Times New Roman" w:hAnsi="Arial" w:cs="Arial"/>
          <w:bCs/>
          <w:lang w:val="sq-AL"/>
        </w:rPr>
        <w:t>polja</w:t>
      </w:r>
      <w:r w:rsidRPr="002A6F4E">
        <w:rPr>
          <w:rFonts w:ascii="Arial" w:eastAsia="Times New Roman" w:hAnsi="Arial" w:cs="Arial"/>
          <w:bCs/>
          <w:lang w:val="sr-Latn-ME"/>
        </w:rPr>
        <w:t xml:space="preserve"> </w:t>
      </w:r>
      <w:r w:rsidRPr="002A6F4E">
        <w:rPr>
          <w:rFonts w:ascii="Arial" w:eastAsia="Times New Roman" w:hAnsi="Arial" w:cs="Arial"/>
          <w:bCs/>
          <w:lang w:val="sq-AL"/>
        </w:rPr>
        <w:t>analize</w:t>
      </w:r>
      <w:r w:rsidRPr="002A6F4E">
        <w:rPr>
          <w:rFonts w:ascii="Arial" w:eastAsia="Times New Roman" w:hAnsi="Arial" w:cs="Arial"/>
          <w:bCs/>
          <w:lang w:val="sr-Latn-ME"/>
        </w:rPr>
        <w:t xml:space="preserve">,  </w:t>
      </w:r>
      <w:r w:rsidRPr="002A6F4E">
        <w:rPr>
          <w:rFonts w:ascii="Arial" w:eastAsia="Times New Roman" w:hAnsi="Arial" w:cs="Arial"/>
          <w:bCs/>
          <w:lang w:val="sq-AL"/>
        </w:rPr>
        <w:t>procjenjuju</w:t>
      </w:r>
      <w:r w:rsidRPr="002A6F4E">
        <w:rPr>
          <w:rFonts w:ascii="Arial" w:eastAsia="Times New Roman" w:hAnsi="Arial" w:cs="Arial"/>
          <w:bCs/>
          <w:lang w:val="sr-Latn-ME"/>
        </w:rPr>
        <w:t xml:space="preserve"> </w:t>
      </w:r>
      <w:r w:rsidRPr="002A6F4E">
        <w:rPr>
          <w:rFonts w:ascii="Arial" w:eastAsia="Times New Roman" w:hAnsi="Arial" w:cs="Arial"/>
          <w:bCs/>
          <w:lang w:val="sq-AL"/>
        </w:rPr>
        <w:t>snage</w:t>
      </w:r>
      <w:r w:rsidRPr="002A6F4E">
        <w:rPr>
          <w:rFonts w:ascii="Arial" w:eastAsia="Times New Roman" w:hAnsi="Arial" w:cs="Arial"/>
          <w:bCs/>
          <w:lang w:val="sr-Latn-ME"/>
        </w:rPr>
        <w:t xml:space="preserve"> (</w:t>
      </w:r>
      <w:r w:rsidRPr="002A6F4E">
        <w:rPr>
          <w:rFonts w:ascii="Arial" w:eastAsia="Times New Roman" w:hAnsi="Arial" w:cs="Arial"/>
          <w:b/>
          <w:i/>
          <w:iCs/>
          <w:shd w:val="clear" w:color="auto" w:fill="FFFFFF"/>
          <w:lang w:val="sq-AL"/>
        </w:rPr>
        <w:t>S</w:t>
      </w:r>
      <w:r w:rsidRPr="002A6F4E">
        <w:rPr>
          <w:rFonts w:ascii="Arial" w:eastAsia="Times New Roman" w:hAnsi="Arial" w:cs="Arial"/>
          <w:i/>
          <w:iCs/>
          <w:shd w:val="clear" w:color="auto" w:fill="FFFFFF"/>
          <w:lang w:val="sq-AL"/>
        </w:rPr>
        <w:t>trengths</w:t>
      </w:r>
      <w:r w:rsidRPr="002A6F4E">
        <w:rPr>
          <w:rFonts w:ascii="Arial" w:eastAsia="Times New Roman" w:hAnsi="Arial" w:cs="Arial"/>
          <w:i/>
          <w:iCs/>
          <w:shd w:val="clear" w:color="auto" w:fill="FFFFFF"/>
          <w:lang w:val="sr-Latn-ME"/>
        </w:rPr>
        <w:t>)</w:t>
      </w:r>
      <w:r w:rsidRPr="002A6F4E">
        <w:rPr>
          <w:rFonts w:ascii="Arial" w:eastAsia="Times New Roman" w:hAnsi="Arial" w:cs="Arial"/>
          <w:bCs/>
          <w:lang w:val="sr-Latn-ME"/>
        </w:rPr>
        <w:t xml:space="preserve">, </w:t>
      </w:r>
      <w:r w:rsidRPr="002A6F4E">
        <w:rPr>
          <w:rFonts w:ascii="Arial" w:eastAsia="Times New Roman" w:hAnsi="Arial" w:cs="Arial"/>
          <w:bCs/>
          <w:lang w:val="sq-AL"/>
        </w:rPr>
        <w:t>slabosti</w:t>
      </w:r>
      <w:r w:rsidRPr="002A6F4E">
        <w:rPr>
          <w:rFonts w:ascii="Arial" w:eastAsia="Times New Roman" w:hAnsi="Arial" w:cs="Arial"/>
          <w:bCs/>
          <w:lang w:val="sr-Latn-ME"/>
        </w:rPr>
        <w:t xml:space="preserve"> (</w:t>
      </w:r>
      <w:r w:rsidRPr="002A6F4E">
        <w:rPr>
          <w:rFonts w:ascii="Arial" w:eastAsia="Times New Roman" w:hAnsi="Arial" w:cs="Arial"/>
          <w:b/>
          <w:i/>
          <w:iCs/>
          <w:shd w:val="clear" w:color="auto" w:fill="FFFFFF"/>
          <w:lang w:val="sq-AL"/>
        </w:rPr>
        <w:t>W</w:t>
      </w:r>
      <w:r w:rsidRPr="002A6F4E">
        <w:rPr>
          <w:rFonts w:ascii="Arial" w:eastAsia="Times New Roman" w:hAnsi="Arial" w:cs="Arial"/>
          <w:i/>
          <w:iCs/>
          <w:shd w:val="clear" w:color="auto" w:fill="FFFFFF"/>
          <w:lang w:val="sq-AL"/>
        </w:rPr>
        <w:t>eaknesses</w:t>
      </w:r>
      <w:r w:rsidRPr="002A6F4E">
        <w:rPr>
          <w:rFonts w:ascii="Arial" w:eastAsia="Times New Roman" w:hAnsi="Arial" w:cs="Arial"/>
          <w:i/>
          <w:iCs/>
          <w:shd w:val="clear" w:color="auto" w:fill="FFFFFF"/>
          <w:lang w:val="sr-Latn-ME"/>
        </w:rPr>
        <w:t>)</w:t>
      </w:r>
      <w:r w:rsidRPr="002A6F4E">
        <w:rPr>
          <w:rFonts w:ascii="Arial" w:eastAsia="Times New Roman" w:hAnsi="Arial" w:cs="Arial"/>
          <w:bCs/>
          <w:lang w:val="sr-Latn-ME"/>
        </w:rPr>
        <w:t>,  š</w:t>
      </w:r>
      <w:r w:rsidRPr="002A6F4E">
        <w:rPr>
          <w:rFonts w:ascii="Arial" w:eastAsia="Times New Roman" w:hAnsi="Arial" w:cs="Arial"/>
          <w:bCs/>
          <w:lang w:val="sq-AL"/>
        </w:rPr>
        <w:t>anse</w:t>
      </w:r>
      <w:r w:rsidRPr="002A6F4E">
        <w:rPr>
          <w:rFonts w:ascii="Arial" w:eastAsia="Times New Roman" w:hAnsi="Arial" w:cs="Arial"/>
          <w:bCs/>
          <w:lang w:val="sr-Latn-ME"/>
        </w:rPr>
        <w:t xml:space="preserve"> (</w:t>
      </w:r>
      <w:r w:rsidRPr="002A6F4E">
        <w:rPr>
          <w:rFonts w:ascii="Arial" w:eastAsia="Times New Roman" w:hAnsi="Arial" w:cs="Arial"/>
          <w:b/>
          <w:i/>
          <w:iCs/>
          <w:shd w:val="clear" w:color="auto" w:fill="FFFFFF"/>
          <w:lang w:val="sq-AL"/>
        </w:rPr>
        <w:t>O</w:t>
      </w:r>
      <w:r w:rsidRPr="002A6F4E">
        <w:rPr>
          <w:rFonts w:ascii="Arial" w:eastAsia="Times New Roman" w:hAnsi="Arial" w:cs="Arial"/>
          <w:i/>
          <w:iCs/>
          <w:shd w:val="clear" w:color="auto" w:fill="FFFFFF"/>
          <w:lang w:val="sq-AL"/>
        </w:rPr>
        <w:t>pportunities</w:t>
      </w:r>
      <w:r w:rsidRPr="002A6F4E">
        <w:rPr>
          <w:rFonts w:ascii="Arial" w:eastAsia="Times New Roman" w:hAnsi="Arial" w:cs="Arial"/>
          <w:i/>
          <w:iCs/>
          <w:shd w:val="clear" w:color="auto" w:fill="FFFFFF"/>
          <w:lang w:val="sr-Latn-ME"/>
        </w:rPr>
        <w:t xml:space="preserve">) </w:t>
      </w:r>
      <w:r w:rsidRPr="002A6F4E">
        <w:rPr>
          <w:rFonts w:ascii="Arial" w:eastAsia="Times New Roman" w:hAnsi="Arial" w:cs="Arial"/>
          <w:bCs/>
          <w:lang w:val="sr-Latn-ME"/>
        </w:rPr>
        <w:t xml:space="preserve"> </w:t>
      </w:r>
      <w:r w:rsidRPr="002A6F4E">
        <w:rPr>
          <w:rFonts w:ascii="Arial" w:eastAsia="Times New Roman" w:hAnsi="Arial" w:cs="Arial"/>
          <w:bCs/>
          <w:lang w:val="sq-AL"/>
        </w:rPr>
        <w:t>i</w:t>
      </w:r>
      <w:r w:rsidRPr="002A6F4E">
        <w:rPr>
          <w:rFonts w:ascii="Arial" w:eastAsia="Times New Roman" w:hAnsi="Arial" w:cs="Arial"/>
          <w:bCs/>
          <w:lang w:val="sr-Latn-ME"/>
        </w:rPr>
        <w:t xml:space="preserve"> </w:t>
      </w:r>
      <w:r w:rsidRPr="002A6F4E">
        <w:rPr>
          <w:rFonts w:ascii="Arial" w:eastAsia="Times New Roman" w:hAnsi="Arial" w:cs="Arial"/>
          <w:bCs/>
          <w:lang w:val="sq-AL"/>
        </w:rPr>
        <w:t>prijetnje</w:t>
      </w:r>
      <w:r w:rsidRPr="002A6F4E">
        <w:rPr>
          <w:rFonts w:ascii="Arial" w:eastAsia="Times New Roman" w:hAnsi="Arial" w:cs="Arial"/>
          <w:bCs/>
          <w:lang w:val="sr-Latn-ME"/>
        </w:rPr>
        <w:t xml:space="preserve"> (</w:t>
      </w:r>
      <w:r w:rsidRPr="002A6F4E">
        <w:rPr>
          <w:rFonts w:ascii="Arial" w:eastAsia="Times New Roman" w:hAnsi="Arial" w:cs="Arial"/>
          <w:b/>
          <w:i/>
          <w:iCs/>
          <w:shd w:val="clear" w:color="auto" w:fill="FFFFFF"/>
          <w:lang w:val="sq-AL"/>
        </w:rPr>
        <w:t>T</w:t>
      </w:r>
      <w:r w:rsidRPr="002A6F4E">
        <w:rPr>
          <w:rFonts w:ascii="Arial" w:eastAsia="Times New Roman" w:hAnsi="Arial" w:cs="Arial"/>
          <w:i/>
          <w:iCs/>
          <w:shd w:val="clear" w:color="auto" w:fill="FFFFFF"/>
          <w:lang w:val="sq-AL"/>
        </w:rPr>
        <w:t>hreats</w:t>
      </w:r>
      <w:r w:rsidRPr="002A6F4E">
        <w:rPr>
          <w:rFonts w:ascii="Arial" w:eastAsia="Times New Roman" w:hAnsi="Arial" w:cs="Arial"/>
          <w:shd w:val="clear" w:color="auto" w:fill="FFFFFF"/>
          <w:lang w:val="sq-AL"/>
        </w:rPr>
        <w:t> </w:t>
      </w:r>
      <w:r w:rsidRPr="002A6F4E">
        <w:rPr>
          <w:rFonts w:ascii="Arial" w:eastAsia="Times New Roman" w:hAnsi="Arial" w:cs="Arial"/>
          <w:shd w:val="clear" w:color="auto" w:fill="FFFFFF"/>
          <w:lang w:val="sr-Latn-ME"/>
        </w:rPr>
        <w:t>)</w:t>
      </w:r>
      <w:r w:rsidRPr="002A6F4E">
        <w:rPr>
          <w:rFonts w:ascii="Arial" w:eastAsia="Times New Roman" w:hAnsi="Arial" w:cs="Arial"/>
          <w:lang w:val="sr-Latn-ME"/>
        </w:rPr>
        <w:t xml:space="preserve"> </w:t>
      </w:r>
      <w:r w:rsidRPr="002A6F4E">
        <w:rPr>
          <w:rFonts w:ascii="Arial" w:eastAsia="Times New Roman" w:hAnsi="Arial" w:cs="Arial"/>
          <w:bCs/>
          <w:lang w:val="sr-Latn-ME"/>
        </w:rPr>
        <w:t xml:space="preserve"> </w:t>
      </w:r>
      <w:r w:rsidRPr="002A6F4E">
        <w:rPr>
          <w:rFonts w:ascii="Arial" w:eastAsia="Times New Roman" w:hAnsi="Arial" w:cs="Arial"/>
          <w:bCs/>
          <w:lang w:val="sq-AL"/>
        </w:rPr>
        <w:t>analiziranog</w:t>
      </w:r>
      <w:r w:rsidRPr="002A6F4E">
        <w:rPr>
          <w:rFonts w:ascii="Arial" w:eastAsia="Times New Roman" w:hAnsi="Arial" w:cs="Arial"/>
          <w:bCs/>
          <w:lang w:val="sr-Latn-ME"/>
        </w:rPr>
        <w:t xml:space="preserve"> </w:t>
      </w:r>
      <w:r w:rsidRPr="002A6F4E">
        <w:rPr>
          <w:rFonts w:ascii="Arial" w:eastAsia="Times New Roman" w:hAnsi="Arial" w:cs="Arial"/>
          <w:bCs/>
          <w:lang w:val="sq-AL"/>
        </w:rPr>
        <w:t>organizacionog</w:t>
      </w:r>
      <w:r w:rsidRPr="002A6F4E">
        <w:rPr>
          <w:rFonts w:ascii="Arial" w:eastAsia="Times New Roman" w:hAnsi="Arial" w:cs="Arial"/>
          <w:bCs/>
          <w:lang w:val="sr-Latn-ME"/>
        </w:rPr>
        <w:t xml:space="preserve"> </w:t>
      </w:r>
      <w:r w:rsidRPr="002A6F4E">
        <w:rPr>
          <w:rFonts w:ascii="Arial" w:eastAsia="Times New Roman" w:hAnsi="Arial" w:cs="Arial"/>
          <w:bCs/>
          <w:lang w:val="sq-AL"/>
        </w:rPr>
        <w:t>entiteta</w:t>
      </w:r>
      <w:r w:rsidRPr="002A6F4E">
        <w:rPr>
          <w:rFonts w:ascii="Arial" w:eastAsia="Times New Roman" w:hAnsi="Arial" w:cs="Arial"/>
          <w:bCs/>
          <w:lang w:val="sr-Latn-ME"/>
        </w:rPr>
        <w:t xml:space="preserve">, </w:t>
      </w:r>
      <w:r w:rsidRPr="002A6F4E">
        <w:rPr>
          <w:rFonts w:ascii="Arial" w:eastAsia="Times New Roman" w:hAnsi="Arial" w:cs="Arial"/>
          <w:bCs/>
          <w:lang w:val="sq-AL"/>
        </w:rPr>
        <w:t>u</w:t>
      </w:r>
      <w:r w:rsidRPr="002A6F4E">
        <w:rPr>
          <w:rFonts w:ascii="Arial" w:eastAsia="Times New Roman" w:hAnsi="Arial" w:cs="Arial"/>
          <w:bCs/>
          <w:lang w:val="sr-Latn-ME"/>
        </w:rPr>
        <w:t xml:space="preserve"> </w:t>
      </w:r>
      <w:r w:rsidRPr="002A6F4E">
        <w:rPr>
          <w:rFonts w:ascii="Arial" w:eastAsia="Times New Roman" w:hAnsi="Arial" w:cs="Arial"/>
          <w:bCs/>
          <w:lang w:val="sq-AL"/>
        </w:rPr>
        <w:t>konkretnom</w:t>
      </w:r>
      <w:r w:rsidRPr="002A6F4E">
        <w:rPr>
          <w:rFonts w:ascii="Arial" w:eastAsia="Times New Roman" w:hAnsi="Arial" w:cs="Arial"/>
          <w:bCs/>
          <w:lang w:val="sr-Latn-ME"/>
        </w:rPr>
        <w:t xml:space="preserve"> </w:t>
      </w:r>
      <w:r w:rsidRPr="002A6F4E">
        <w:rPr>
          <w:rFonts w:ascii="Arial" w:eastAsia="Times New Roman" w:hAnsi="Arial" w:cs="Arial"/>
          <w:bCs/>
          <w:lang w:val="sq-AL"/>
        </w:rPr>
        <w:t>slu</w:t>
      </w:r>
      <w:r w:rsidRPr="002A6F4E">
        <w:rPr>
          <w:rFonts w:ascii="Arial" w:eastAsia="Times New Roman" w:hAnsi="Arial" w:cs="Arial"/>
          <w:bCs/>
          <w:lang w:val="sr-Latn-ME"/>
        </w:rPr>
        <w:t>č</w:t>
      </w:r>
      <w:r w:rsidRPr="002A6F4E">
        <w:rPr>
          <w:rFonts w:ascii="Arial" w:eastAsia="Times New Roman" w:hAnsi="Arial" w:cs="Arial"/>
          <w:bCs/>
          <w:lang w:val="sq-AL"/>
        </w:rPr>
        <w:t>aju</w:t>
      </w:r>
      <w:r w:rsidRPr="002A6F4E">
        <w:rPr>
          <w:rFonts w:ascii="Arial" w:eastAsia="Times New Roman" w:hAnsi="Arial" w:cs="Arial"/>
          <w:bCs/>
          <w:lang w:val="sr-Latn-ME"/>
        </w:rPr>
        <w:t xml:space="preserve"> </w:t>
      </w:r>
      <w:r w:rsidRPr="002A6F4E">
        <w:rPr>
          <w:rFonts w:ascii="Arial" w:eastAsia="Times New Roman" w:hAnsi="Arial" w:cs="Arial"/>
          <w:bCs/>
          <w:lang w:val="sq-AL"/>
        </w:rPr>
        <w:t>Dr</w:t>
      </w:r>
      <w:r w:rsidRPr="002A6F4E">
        <w:rPr>
          <w:rFonts w:ascii="Arial" w:eastAsia="Times New Roman" w:hAnsi="Arial" w:cs="Arial"/>
          <w:bCs/>
          <w:lang w:val="sr-Latn-ME"/>
        </w:rPr>
        <w:t>ž</w:t>
      </w:r>
      <w:r w:rsidRPr="002A6F4E">
        <w:rPr>
          <w:rFonts w:ascii="Arial" w:eastAsia="Times New Roman" w:hAnsi="Arial" w:cs="Arial"/>
          <w:bCs/>
          <w:lang w:val="sq-AL"/>
        </w:rPr>
        <w:t>avnog</w:t>
      </w:r>
      <w:r w:rsidRPr="002A6F4E">
        <w:rPr>
          <w:rFonts w:ascii="Arial" w:eastAsia="Times New Roman" w:hAnsi="Arial" w:cs="Arial"/>
          <w:bCs/>
          <w:lang w:val="sr-Latn-ME"/>
        </w:rPr>
        <w:t xml:space="preserve"> </w:t>
      </w:r>
      <w:r w:rsidRPr="002A6F4E">
        <w:rPr>
          <w:rFonts w:ascii="Arial" w:eastAsia="Times New Roman" w:hAnsi="Arial" w:cs="Arial"/>
          <w:bCs/>
          <w:lang w:val="sq-AL"/>
        </w:rPr>
        <w:t>plana</w:t>
      </w:r>
      <w:r w:rsidRPr="002A6F4E">
        <w:rPr>
          <w:rFonts w:ascii="Arial" w:eastAsia="Times New Roman" w:hAnsi="Arial" w:cs="Arial"/>
          <w:bCs/>
          <w:lang w:val="sr-Latn-ME"/>
        </w:rPr>
        <w:t xml:space="preserve"> </w:t>
      </w:r>
      <w:r w:rsidRPr="002A6F4E">
        <w:rPr>
          <w:rFonts w:ascii="Arial" w:eastAsia="Times New Roman" w:hAnsi="Arial" w:cs="Arial"/>
          <w:bCs/>
          <w:lang w:val="sq-AL"/>
        </w:rPr>
        <w:t>za</w:t>
      </w:r>
      <w:r w:rsidRPr="002A6F4E">
        <w:rPr>
          <w:rFonts w:ascii="Arial" w:eastAsia="Times New Roman" w:hAnsi="Arial" w:cs="Arial"/>
          <w:bCs/>
          <w:lang w:val="sr-Latn-ME"/>
        </w:rPr>
        <w:t xml:space="preserve"> </w:t>
      </w:r>
      <w:r w:rsidRPr="002A6F4E">
        <w:rPr>
          <w:rFonts w:ascii="Arial" w:eastAsia="Times New Roman" w:hAnsi="Arial" w:cs="Arial"/>
          <w:bCs/>
          <w:lang w:val="sq-AL"/>
        </w:rPr>
        <w:t>upravljanje</w:t>
      </w:r>
      <w:r w:rsidRPr="002A6F4E">
        <w:rPr>
          <w:rFonts w:ascii="Arial" w:eastAsia="Times New Roman" w:hAnsi="Arial" w:cs="Arial"/>
          <w:bCs/>
          <w:lang w:val="sr-Latn-ME"/>
        </w:rPr>
        <w:t xml:space="preserve"> </w:t>
      </w:r>
      <w:r w:rsidRPr="002A6F4E">
        <w:rPr>
          <w:rFonts w:ascii="Arial" w:eastAsia="Times New Roman" w:hAnsi="Arial" w:cs="Arial"/>
          <w:bCs/>
          <w:lang w:val="sq-AL"/>
        </w:rPr>
        <w:t>otpadom</w:t>
      </w:r>
      <w:r w:rsidRPr="002A6F4E">
        <w:rPr>
          <w:rFonts w:ascii="Arial" w:eastAsia="Times New Roman" w:hAnsi="Arial" w:cs="Arial"/>
          <w:bCs/>
          <w:lang w:val="sr-Latn-ME"/>
        </w:rPr>
        <w:t xml:space="preserve"> (</w:t>
      </w:r>
      <w:r w:rsidRPr="002A6F4E">
        <w:rPr>
          <w:rFonts w:ascii="Arial" w:eastAsia="Times New Roman" w:hAnsi="Arial" w:cs="Arial"/>
          <w:bCs/>
          <w:lang w:val="sq-AL"/>
        </w:rPr>
        <w:t>DPUO</w:t>
      </w:r>
      <w:r w:rsidRPr="002A6F4E">
        <w:rPr>
          <w:rFonts w:ascii="Arial" w:eastAsia="Times New Roman" w:hAnsi="Arial" w:cs="Arial"/>
          <w:bCs/>
          <w:lang w:val="sr-Latn-ME"/>
        </w:rPr>
        <w:t>).</w:t>
      </w:r>
      <w:r w:rsidRPr="002A6F4E">
        <w:rPr>
          <w:rFonts w:ascii="Arial" w:eastAsia="Times New Roman" w:hAnsi="Arial" w:cs="Arial"/>
          <w:b/>
          <w:vertAlign w:val="superscript"/>
          <w:lang w:val="en-US"/>
        </w:rPr>
        <w:footnoteReference w:id="51"/>
      </w:r>
      <w:r w:rsidRPr="002A6F4E">
        <w:rPr>
          <w:rFonts w:ascii="Arial" w:eastAsia="Times New Roman" w:hAnsi="Arial" w:cs="Arial"/>
          <w:bCs/>
          <w:lang w:val="sr-Latn-ME"/>
        </w:rPr>
        <w:t xml:space="preserve"> </w:t>
      </w:r>
      <w:r w:rsidRPr="002A6F4E">
        <w:rPr>
          <w:rFonts w:ascii="Arial" w:eastAsia="Times New Roman" w:hAnsi="Arial" w:cs="Arial"/>
          <w:bCs/>
          <w:color w:val="000000"/>
          <w:lang w:val="sr-Latn-ME"/>
        </w:rPr>
        <w:t xml:space="preserve">Radi se </w:t>
      </w:r>
      <w:r w:rsidRPr="002A6F4E">
        <w:rPr>
          <w:rFonts w:ascii="Arial" w:eastAsia="Times New Roman" w:hAnsi="Arial" w:cs="Arial"/>
          <w:bCs/>
          <w:color w:val="000000"/>
          <w:lang w:val="en-US"/>
        </w:rPr>
        <w:t>o</w:t>
      </w:r>
      <w:r w:rsidRPr="002A6F4E">
        <w:rPr>
          <w:rFonts w:ascii="Arial" w:eastAsia="Times New Roman" w:hAnsi="Arial" w:cs="Arial"/>
          <w:bCs/>
          <w:color w:val="000000"/>
          <w:lang w:val="sr-Latn-ME"/>
        </w:rPr>
        <w:t xml:space="preserve"> </w:t>
      </w:r>
      <w:r w:rsidRPr="002A6F4E">
        <w:rPr>
          <w:rFonts w:ascii="Arial" w:eastAsia="Times New Roman" w:hAnsi="Arial" w:cs="Arial"/>
          <w:color w:val="000000"/>
          <w:shd w:val="clear" w:color="auto" w:fill="FFFFFF"/>
          <w:lang w:val="en-US"/>
        </w:rPr>
        <w:t>tehnici</w:t>
      </w:r>
      <w:r w:rsidRPr="002A6F4E">
        <w:rPr>
          <w:rFonts w:ascii="Arial" w:eastAsia="Times New Roman" w:hAnsi="Arial" w:cs="Arial"/>
          <w:color w:val="000000"/>
          <w:shd w:val="clear" w:color="auto" w:fill="FFFFFF"/>
          <w:lang w:val="sr-Latn-ME"/>
        </w:rPr>
        <w:t xml:space="preserve"> </w:t>
      </w:r>
      <w:r w:rsidRPr="002A6F4E">
        <w:rPr>
          <w:rFonts w:ascii="Arial" w:eastAsia="Times New Roman" w:hAnsi="Arial" w:cs="Arial"/>
          <w:color w:val="000000"/>
          <w:shd w:val="clear" w:color="auto" w:fill="FFFFFF"/>
          <w:lang w:val="en-US"/>
        </w:rPr>
        <w:t>iz</w:t>
      </w:r>
      <w:r w:rsidRPr="002A6F4E">
        <w:rPr>
          <w:rFonts w:ascii="Arial" w:eastAsia="Times New Roman" w:hAnsi="Arial" w:cs="Arial"/>
          <w:color w:val="000000"/>
          <w:shd w:val="clear" w:color="auto" w:fill="FFFFFF"/>
          <w:lang w:val="sr-Latn-ME"/>
        </w:rPr>
        <w:t xml:space="preserve"> </w:t>
      </w:r>
      <w:r w:rsidRPr="002A6F4E">
        <w:rPr>
          <w:rFonts w:ascii="Arial" w:eastAsia="Times New Roman" w:hAnsi="Arial" w:cs="Arial"/>
          <w:color w:val="000000"/>
          <w:shd w:val="clear" w:color="auto" w:fill="FFFFFF"/>
          <w:lang w:val="en-US"/>
        </w:rPr>
        <w:t>bogatog</w:t>
      </w:r>
      <w:r w:rsidRPr="002A6F4E">
        <w:rPr>
          <w:rFonts w:ascii="Arial" w:eastAsia="Times New Roman" w:hAnsi="Arial" w:cs="Arial"/>
          <w:color w:val="000000"/>
          <w:shd w:val="clear" w:color="auto" w:fill="FFFFFF"/>
          <w:lang w:val="sr-Latn-ME"/>
        </w:rPr>
        <w:t xml:space="preserve"> </w:t>
      </w:r>
      <w:r w:rsidRPr="002A6F4E">
        <w:rPr>
          <w:rFonts w:ascii="Arial" w:eastAsia="Times New Roman" w:hAnsi="Arial" w:cs="Arial"/>
          <w:bCs/>
          <w:color w:val="000000"/>
          <w:lang w:val="en-US"/>
        </w:rPr>
        <w:t>analiti</w:t>
      </w:r>
      <w:r w:rsidRPr="002A6F4E">
        <w:rPr>
          <w:rFonts w:ascii="Arial" w:eastAsia="Times New Roman" w:hAnsi="Arial" w:cs="Arial"/>
          <w:bCs/>
          <w:color w:val="000000"/>
          <w:lang w:val="sr-Latn-ME"/>
        </w:rPr>
        <w:t>č</w:t>
      </w:r>
      <w:r w:rsidRPr="002A6F4E">
        <w:rPr>
          <w:rFonts w:ascii="Arial" w:eastAsia="Times New Roman" w:hAnsi="Arial" w:cs="Arial"/>
          <w:bCs/>
          <w:color w:val="000000"/>
          <w:lang w:val="en-US"/>
        </w:rPr>
        <w:t>kog</w:t>
      </w:r>
      <w:r w:rsidRPr="002A6F4E">
        <w:rPr>
          <w:rFonts w:ascii="Arial" w:eastAsia="Times New Roman" w:hAnsi="Arial" w:cs="Arial"/>
          <w:bCs/>
          <w:color w:val="000000"/>
          <w:lang w:val="sr-Latn-ME"/>
        </w:rPr>
        <w:t xml:space="preserve"> </w:t>
      </w:r>
      <w:r w:rsidRPr="002A6F4E">
        <w:rPr>
          <w:rFonts w:ascii="Arial" w:eastAsia="Times New Roman" w:hAnsi="Arial" w:cs="Arial"/>
          <w:bCs/>
          <w:color w:val="000000"/>
          <w:lang w:val="en-US"/>
        </w:rPr>
        <w:t>i</w:t>
      </w:r>
      <w:r w:rsidRPr="002A6F4E">
        <w:rPr>
          <w:rFonts w:ascii="Arial" w:eastAsia="Times New Roman" w:hAnsi="Arial" w:cs="Arial"/>
          <w:bCs/>
          <w:color w:val="000000"/>
          <w:lang w:val="sr-Latn-ME"/>
        </w:rPr>
        <w:t xml:space="preserve"> </w:t>
      </w:r>
      <w:r w:rsidRPr="002A6F4E">
        <w:rPr>
          <w:rFonts w:ascii="Arial" w:eastAsia="Times New Roman" w:hAnsi="Arial" w:cs="Arial"/>
          <w:bCs/>
          <w:color w:val="000000"/>
          <w:lang w:val="en-US"/>
        </w:rPr>
        <w:t>metodolo</w:t>
      </w:r>
      <w:r w:rsidRPr="002A6F4E">
        <w:rPr>
          <w:rFonts w:ascii="Arial" w:eastAsia="Times New Roman" w:hAnsi="Arial" w:cs="Arial"/>
          <w:bCs/>
          <w:color w:val="000000"/>
          <w:lang w:val="sr-Latn-ME"/>
        </w:rPr>
        <w:t>š</w:t>
      </w:r>
      <w:r w:rsidRPr="002A6F4E">
        <w:rPr>
          <w:rFonts w:ascii="Arial" w:eastAsia="Times New Roman" w:hAnsi="Arial" w:cs="Arial"/>
          <w:bCs/>
          <w:color w:val="000000"/>
          <w:lang w:val="en-US"/>
        </w:rPr>
        <w:t>kog</w:t>
      </w:r>
      <w:r w:rsidRPr="002A6F4E">
        <w:rPr>
          <w:rFonts w:ascii="Arial" w:eastAsia="Times New Roman" w:hAnsi="Arial" w:cs="Arial"/>
          <w:bCs/>
          <w:color w:val="000000"/>
          <w:lang w:val="sr-Latn-ME"/>
        </w:rPr>
        <w:t xml:space="preserve"> </w:t>
      </w:r>
      <w:r w:rsidRPr="002A6F4E">
        <w:rPr>
          <w:rFonts w:ascii="Arial" w:eastAsia="Times New Roman" w:hAnsi="Arial" w:cs="Arial"/>
          <w:bCs/>
          <w:color w:val="000000"/>
          <w:lang w:val="en-US"/>
        </w:rPr>
        <w:t>instrumentarija</w:t>
      </w:r>
      <w:r w:rsidRPr="002A6F4E">
        <w:rPr>
          <w:rFonts w:ascii="Arial" w:eastAsia="Times New Roman" w:hAnsi="Arial" w:cs="Arial"/>
          <w:color w:val="000000"/>
          <w:lang w:val="sr-Latn-ME"/>
        </w:rPr>
        <w:t xml:space="preserve"> </w:t>
      </w:r>
      <w:hyperlink r:id="rId28" w:tooltip="Strategija" w:history="1">
        <w:r w:rsidRPr="002A6F4E">
          <w:rPr>
            <w:rFonts w:ascii="Arial" w:eastAsia="Times New Roman" w:hAnsi="Arial" w:cs="Arial"/>
            <w:color w:val="000000"/>
            <w:shd w:val="clear" w:color="auto" w:fill="FFFFFF"/>
            <w:lang w:val="en-US"/>
          </w:rPr>
          <w:t>strategijskog</w:t>
        </w:r>
      </w:hyperlink>
      <w:r w:rsidRPr="002A6F4E">
        <w:rPr>
          <w:rFonts w:ascii="Arial" w:eastAsia="Times New Roman" w:hAnsi="Arial" w:cs="Arial"/>
          <w:color w:val="000000"/>
          <w:lang w:val="sr-Latn-ME"/>
        </w:rPr>
        <w:t xml:space="preserve"> </w:t>
      </w:r>
      <w:r w:rsidRPr="002A6F4E">
        <w:rPr>
          <w:rFonts w:ascii="Arial" w:eastAsia="Times New Roman" w:hAnsi="Arial" w:cs="Arial"/>
          <w:color w:val="000000"/>
          <w:lang w:val="en-US"/>
        </w:rPr>
        <w:t>menad</w:t>
      </w:r>
      <w:r w:rsidRPr="002A6F4E">
        <w:rPr>
          <w:rFonts w:ascii="Arial" w:eastAsia="Times New Roman" w:hAnsi="Arial" w:cs="Arial"/>
          <w:color w:val="000000"/>
          <w:lang w:val="sr-Latn-ME"/>
        </w:rPr>
        <w:t>ž</w:t>
      </w:r>
      <w:r w:rsidRPr="002A6F4E">
        <w:rPr>
          <w:rFonts w:ascii="Arial" w:eastAsia="Times New Roman" w:hAnsi="Arial" w:cs="Arial"/>
          <w:color w:val="000000"/>
          <w:lang w:val="en-US"/>
        </w:rPr>
        <w:t>menta</w:t>
      </w:r>
      <w:r w:rsidRPr="002A6F4E">
        <w:rPr>
          <w:rFonts w:ascii="Arial" w:eastAsia="Times New Roman" w:hAnsi="Arial" w:cs="Arial"/>
          <w:color w:val="000000"/>
          <w:shd w:val="clear" w:color="auto" w:fill="FFFFFF"/>
          <w:lang w:val="en-US"/>
        </w:rPr>
        <w:t> putem</w:t>
      </w:r>
      <w:r w:rsidRPr="002A6F4E">
        <w:rPr>
          <w:rFonts w:ascii="Arial" w:eastAsia="Times New Roman" w:hAnsi="Arial" w:cs="Arial"/>
          <w:color w:val="000000"/>
          <w:shd w:val="clear" w:color="auto" w:fill="FFFFFF"/>
          <w:lang w:val="sr-Latn-ME"/>
        </w:rPr>
        <w:t xml:space="preserve"> </w:t>
      </w:r>
      <w:r w:rsidRPr="002A6F4E">
        <w:rPr>
          <w:rFonts w:ascii="Arial" w:eastAsia="Times New Roman" w:hAnsi="Arial" w:cs="Arial"/>
          <w:color w:val="000000"/>
          <w:shd w:val="clear" w:color="auto" w:fill="FFFFFF"/>
          <w:lang w:val="en-US"/>
        </w:rPr>
        <w:t>koje</w:t>
      </w:r>
      <w:r w:rsidRPr="002A6F4E">
        <w:rPr>
          <w:rFonts w:ascii="Arial" w:eastAsia="Times New Roman" w:hAnsi="Arial" w:cs="Arial"/>
          <w:color w:val="000000"/>
          <w:shd w:val="clear" w:color="auto" w:fill="FFFFFF"/>
          <w:lang w:val="sr-Latn-ME"/>
        </w:rPr>
        <w:t xml:space="preserve"> se </w:t>
      </w:r>
      <w:r w:rsidRPr="002A6F4E">
        <w:rPr>
          <w:rFonts w:ascii="Arial" w:eastAsia="Times New Roman" w:hAnsi="Arial" w:cs="Arial"/>
          <w:color w:val="000000"/>
          <w:shd w:val="clear" w:color="auto" w:fill="FFFFFF"/>
          <w:lang w:val="en-US"/>
        </w:rPr>
        <w:t>dovo</w:t>
      </w:r>
      <w:r w:rsidRPr="002A6F4E">
        <w:rPr>
          <w:rFonts w:ascii="Arial" w:eastAsia="Times New Roman" w:hAnsi="Arial" w:cs="Arial"/>
          <w:color w:val="000000"/>
          <w:shd w:val="clear" w:color="auto" w:fill="FFFFFF"/>
          <w:lang w:val="sr-Latn-ME"/>
        </w:rPr>
        <w:t>đ</w:t>
      </w:r>
      <w:r w:rsidRPr="002A6F4E">
        <w:rPr>
          <w:rFonts w:ascii="Arial" w:eastAsia="Times New Roman" w:hAnsi="Arial" w:cs="Arial"/>
          <w:color w:val="000000"/>
          <w:shd w:val="clear" w:color="auto" w:fill="FFFFFF"/>
          <w:lang w:val="en-US"/>
        </w:rPr>
        <w:t>enjem</w:t>
      </w:r>
      <w:r w:rsidRPr="002A6F4E">
        <w:rPr>
          <w:rFonts w:ascii="Arial" w:eastAsia="Times New Roman" w:hAnsi="Arial" w:cs="Arial"/>
          <w:color w:val="000000"/>
          <w:shd w:val="clear" w:color="auto" w:fill="FFFFFF"/>
          <w:lang w:val="sr-Latn-ME"/>
        </w:rPr>
        <w:t xml:space="preserve"> </w:t>
      </w:r>
      <w:r w:rsidRPr="002A6F4E">
        <w:rPr>
          <w:rFonts w:ascii="Arial" w:eastAsia="Times New Roman" w:hAnsi="Arial" w:cs="Arial"/>
          <w:color w:val="000000"/>
          <w:shd w:val="clear" w:color="auto" w:fill="FFFFFF"/>
          <w:lang w:val="en-US"/>
        </w:rPr>
        <w:t>u</w:t>
      </w:r>
      <w:r w:rsidRPr="002A6F4E">
        <w:rPr>
          <w:rFonts w:ascii="Arial" w:eastAsia="Times New Roman" w:hAnsi="Arial" w:cs="Arial"/>
          <w:color w:val="000000"/>
          <w:shd w:val="clear" w:color="auto" w:fill="FFFFFF"/>
          <w:lang w:val="sr-Latn-ME"/>
        </w:rPr>
        <w:t xml:space="preserve"> </w:t>
      </w:r>
      <w:r w:rsidRPr="002A6F4E">
        <w:rPr>
          <w:rFonts w:ascii="Arial" w:eastAsia="Times New Roman" w:hAnsi="Arial" w:cs="Arial"/>
          <w:color w:val="000000"/>
          <w:shd w:val="clear" w:color="auto" w:fill="FFFFFF"/>
          <w:lang w:val="en-US"/>
        </w:rPr>
        <w:t>vezu</w:t>
      </w:r>
      <w:r w:rsidRPr="002A6F4E">
        <w:rPr>
          <w:rFonts w:ascii="Arial" w:eastAsia="Times New Roman" w:hAnsi="Arial" w:cs="Arial"/>
          <w:color w:val="000000"/>
          <w:shd w:val="clear" w:color="auto" w:fill="FFFFFF"/>
          <w:lang w:val="sr-Latn-ME"/>
        </w:rPr>
        <w:t xml:space="preserve">, </w:t>
      </w:r>
      <w:r w:rsidR="0012322E">
        <w:rPr>
          <w:rFonts w:ascii="Arial" w:eastAsia="Times New Roman" w:hAnsi="Arial" w:cs="Arial"/>
          <w:color w:val="000000"/>
          <w:shd w:val="clear" w:color="auto" w:fill="FFFFFF"/>
          <w:lang w:val="en-US"/>
        </w:rPr>
        <w:t>odnosno</w:t>
      </w:r>
      <w:r w:rsidR="0012322E" w:rsidRPr="003D7619">
        <w:rPr>
          <w:rFonts w:ascii="Arial" w:eastAsia="Times New Roman" w:hAnsi="Arial" w:cs="Arial"/>
          <w:color w:val="000000"/>
          <w:shd w:val="clear" w:color="auto" w:fill="FFFFFF"/>
          <w:lang w:val="sr-Latn-ME"/>
        </w:rPr>
        <w:t xml:space="preserve"> </w:t>
      </w:r>
      <w:r w:rsidRPr="002A6F4E">
        <w:rPr>
          <w:rFonts w:ascii="Arial" w:eastAsia="Times New Roman" w:hAnsi="Arial" w:cs="Arial"/>
          <w:color w:val="000000"/>
          <w:shd w:val="clear" w:color="auto" w:fill="FFFFFF"/>
          <w:lang w:val="en-US"/>
        </w:rPr>
        <w:t>pore</w:t>
      </w:r>
      <w:r w:rsidRPr="002A6F4E">
        <w:rPr>
          <w:rFonts w:ascii="Arial" w:eastAsia="Times New Roman" w:hAnsi="Arial" w:cs="Arial"/>
          <w:color w:val="000000"/>
          <w:shd w:val="clear" w:color="auto" w:fill="FFFFFF"/>
          <w:lang w:val="sr-Latn-ME"/>
        </w:rPr>
        <w:t>đ</w:t>
      </w:r>
      <w:r w:rsidRPr="002A6F4E">
        <w:rPr>
          <w:rFonts w:ascii="Arial" w:eastAsia="Times New Roman" w:hAnsi="Arial" w:cs="Arial"/>
          <w:color w:val="000000"/>
          <w:shd w:val="clear" w:color="auto" w:fill="FFFFFF"/>
          <w:lang w:val="en-US"/>
        </w:rPr>
        <w:t>enjem</w:t>
      </w:r>
      <w:r w:rsidRPr="002A6F4E">
        <w:rPr>
          <w:rFonts w:ascii="Arial" w:eastAsia="Times New Roman" w:hAnsi="Arial" w:cs="Arial"/>
          <w:color w:val="000000"/>
          <w:shd w:val="clear" w:color="auto" w:fill="FFFFFF"/>
          <w:lang w:val="sr-Latn-ME"/>
        </w:rPr>
        <w:t xml:space="preserve">, </w:t>
      </w:r>
      <w:r w:rsidRPr="002A6F4E">
        <w:rPr>
          <w:rFonts w:ascii="Arial" w:eastAsia="Times New Roman" w:hAnsi="Arial" w:cs="Arial"/>
          <w:color w:val="000000"/>
          <w:shd w:val="clear" w:color="auto" w:fill="FFFFFF"/>
          <w:lang w:val="en-US"/>
        </w:rPr>
        <w:t>snaga</w:t>
      </w:r>
      <w:r w:rsidRPr="002A6F4E">
        <w:rPr>
          <w:rFonts w:ascii="Arial" w:eastAsia="Times New Roman" w:hAnsi="Arial" w:cs="Arial"/>
          <w:color w:val="000000"/>
          <w:shd w:val="clear" w:color="auto" w:fill="FFFFFF"/>
          <w:lang w:val="sr-Latn-ME"/>
        </w:rPr>
        <w:t xml:space="preserve"> </w:t>
      </w:r>
      <w:r w:rsidRPr="002A6F4E">
        <w:rPr>
          <w:rFonts w:ascii="Arial" w:eastAsia="Times New Roman" w:hAnsi="Arial" w:cs="Arial"/>
          <w:color w:val="000000"/>
          <w:shd w:val="clear" w:color="auto" w:fill="FFFFFF"/>
          <w:lang w:val="en-US"/>
        </w:rPr>
        <w:t>i</w:t>
      </w:r>
      <w:r w:rsidRPr="002A6F4E">
        <w:rPr>
          <w:rFonts w:ascii="Arial" w:eastAsia="Times New Roman" w:hAnsi="Arial" w:cs="Arial"/>
          <w:color w:val="000000"/>
          <w:shd w:val="clear" w:color="auto" w:fill="FFFFFF"/>
          <w:lang w:val="sr-Latn-ME"/>
        </w:rPr>
        <w:t xml:space="preserve"> </w:t>
      </w:r>
      <w:r w:rsidRPr="002A6F4E">
        <w:rPr>
          <w:rFonts w:ascii="Arial" w:eastAsia="Times New Roman" w:hAnsi="Arial" w:cs="Arial"/>
          <w:color w:val="000000"/>
          <w:shd w:val="clear" w:color="auto" w:fill="FFFFFF"/>
          <w:lang w:val="en-US"/>
        </w:rPr>
        <w:t>slabosti pojedine</w:t>
      </w:r>
      <w:r w:rsidRPr="002A6F4E">
        <w:rPr>
          <w:rFonts w:ascii="Arial" w:eastAsia="Times New Roman" w:hAnsi="Arial" w:cs="Arial"/>
          <w:color w:val="000000"/>
          <w:shd w:val="clear" w:color="auto" w:fill="FFFFFF"/>
          <w:lang w:val="sr-Latn-ME"/>
        </w:rPr>
        <w:t xml:space="preserve"> </w:t>
      </w:r>
      <w:r w:rsidRPr="002A6F4E">
        <w:rPr>
          <w:rFonts w:ascii="Arial" w:eastAsia="Times New Roman" w:hAnsi="Arial" w:cs="Arial"/>
          <w:shd w:val="clear" w:color="auto" w:fill="FFFFFF"/>
          <w:lang w:val="en-US"/>
        </w:rPr>
        <w:t>organizacije</w:t>
      </w:r>
      <w:r w:rsidRPr="002A6F4E">
        <w:rPr>
          <w:rFonts w:ascii="Arial" w:eastAsia="Times New Roman" w:hAnsi="Arial" w:cs="Arial"/>
          <w:shd w:val="clear" w:color="auto" w:fill="FFFFFF"/>
          <w:lang w:val="sr-Latn-ME"/>
        </w:rPr>
        <w:t xml:space="preserve"> (</w:t>
      </w:r>
      <w:r w:rsidRPr="002A6F4E">
        <w:rPr>
          <w:rFonts w:ascii="Arial" w:eastAsia="Times New Roman" w:hAnsi="Arial" w:cs="Arial"/>
          <w:shd w:val="clear" w:color="auto" w:fill="FFFFFF"/>
          <w:lang w:val="en-US"/>
        </w:rPr>
        <w:t>interni</w:t>
      </w:r>
      <w:r w:rsidRPr="002A6F4E">
        <w:rPr>
          <w:rFonts w:ascii="Arial" w:eastAsia="Times New Roman" w:hAnsi="Arial" w:cs="Arial"/>
          <w:shd w:val="clear" w:color="auto" w:fill="FFFFFF"/>
          <w:lang w:val="sr-Latn-ME"/>
        </w:rPr>
        <w:t xml:space="preserve"> </w:t>
      </w:r>
      <w:r w:rsidRPr="002A6F4E">
        <w:rPr>
          <w:rFonts w:ascii="Arial" w:eastAsia="Times New Roman" w:hAnsi="Arial" w:cs="Arial"/>
          <w:shd w:val="clear" w:color="auto" w:fill="FFFFFF"/>
          <w:lang w:val="en-US"/>
        </w:rPr>
        <w:t>faktori</w:t>
      </w:r>
      <w:r w:rsidRPr="002A6F4E">
        <w:rPr>
          <w:rFonts w:ascii="Arial" w:eastAsia="Times New Roman" w:hAnsi="Arial" w:cs="Arial"/>
          <w:shd w:val="clear" w:color="auto" w:fill="FFFFFF"/>
          <w:lang w:val="sr-Latn-ME"/>
        </w:rPr>
        <w:t xml:space="preserve">) </w:t>
      </w:r>
      <w:r w:rsidRPr="002A6F4E">
        <w:rPr>
          <w:rFonts w:ascii="Arial" w:eastAsia="Times New Roman" w:hAnsi="Arial" w:cs="Arial"/>
          <w:shd w:val="clear" w:color="auto" w:fill="FFFFFF"/>
          <w:lang w:val="en-US"/>
        </w:rPr>
        <w:t>sa</w:t>
      </w:r>
      <w:r w:rsidRPr="002A6F4E">
        <w:rPr>
          <w:rFonts w:ascii="Arial" w:eastAsia="Times New Roman" w:hAnsi="Arial" w:cs="Arial"/>
          <w:shd w:val="clear" w:color="auto" w:fill="FFFFFF"/>
          <w:lang w:val="sr-Latn-ME"/>
        </w:rPr>
        <w:t xml:space="preserve"> </w:t>
      </w:r>
      <w:r w:rsidRPr="002A6F4E">
        <w:rPr>
          <w:rFonts w:ascii="Arial" w:eastAsia="Times New Roman" w:hAnsi="Arial" w:cs="Arial"/>
          <w:shd w:val="clear" w:color="auto" w:fill="FFFFFF"/>
          <w:lang w:val="en-US"/>
        </w:rPr>
        <w:t>njenim</w:t>
      </w:r>
      <w:r w:rsidRPr="002A6F4E">
        <w:rPr>
          <w:rFonts w:ascii="Arial" w:eastAsia="Times New Roman" w:hAnsi="Arial" w:cs="Arial"/>
          <w:shd w:val="clear" w:color="auto" w:fill="FFFFFF"/>
          <w:lang w:val="sr-Latn-ME"/>
        </w:rPr>
        <w:t xml:space="preserve"> š</w:t>
      </w:r>
      <w:r w:rsidRPr="002A6F4E">
        <w:rPr>
          <w:rFonts w:ascii="Arial" w:eastAsia="Times New Roman" w:hAnsi="Arial" w:cs="Arial"/>
          <w:shd w:val="clear" w:color="auto" w:fill="FFFFFF"/>
          <w:lang w:val="en-US"/>
        </w:rPr>
        <w:t>ansama</w:t>
      </w:r>
      <w:r w:rsidRPr="002A6F4E">
        <w:rPr>
          <w:rFonts w:ascii="Arial" w:eastAsia="Times New Roman" w:hAnsi="Arial" w:cs="Arial"/>
          <w:shd w:val="clear" w:color="auto" w:fill="FFFFFF"/>
          <w:lang w:val="sr-Latn-ME"/>
        </w:rPr>
        <w:t xml:space="preserve"> </w:t>
      </w:r>
      <w:r w:rsidRPr="002A6F4E">
        <w:rPr>
          <w:rFonts w:ascii="Arial" w:eastAsia="Times New Roman" w:hAnsi="Arial" w:cs="Arial"/>
          <w:shd w:val="clear" w:color="auto" w:fill="FFFFFF"/>
          <w:lang w:val="en-US"/>
        </w:rPr>
        <w:t>i</w:t>
      </w:r>
      <w:r w:rsidRPr="002A6F4E">
        <w:rPr>
          <w:rFonts w:ascii="Arial" w:eastAsia="Times New Roman" w:hAnsi="Arial" w:cs="Arial"/>
          <w:shd w:val="clear" w:color="auto" w:fill="FFFFFF"/>
          <w:lang w:val="sr-Latn-ME"/>
        </w:rPr>
        <w:t xml:space="preserve"> </w:t>
      </w:r>
      <w:r w:rsidRPr="002A6F4E">
        <w:rPr>
          <w:rFonts w:ascii="Arial" w:eastAsia="Times New Roman" w:hAnsi="Arial" w:cs="Arial"/>
          <w:shd w:val="clear" w:color="auto" w:fill="FFFFFF"/>
          <w:lang w:val="en-US"/>
        </w:rPr>
        <w:t>prijetnjama</w:t>
      </w:r>
      <w:r w:rsidRPr="002A6F4E">
        <w:rPr>
          <w:rFonts w:ascii="Arial" w:eastAsia="Times New Roman" w:hAnsi="Arial" w:cs="Arial"/>
          <w:shd w:val="clear" w:color="auto" w:fill="FFFFFF"/>
          <w:lang w:val="sr-Latn-ME"/>
        </w:rPr>
        <w:t xml:space="preserve"> </w:t>
      </w:r>
      <w:r w:rsidRPr="002A6F4E">
        <w:rPr>
          <w:rFonts w:ascii="Arial" w:eastAsia="Times New Roman" w:hAnsi="Arial" w:cs="Arial"/>
          <w:shd w:val="clear" w:color="auto" w:fill="FFFFFF"/>
          <w:lang w:val="en-US"/>
        </w:rPr>
        <w:t>iz</w:t>
      </w:r>
      <w:r w:rsidRPr="002A6F4E">
        <w:rPr>
          <w:rFonts w:ascii="Arial" w:eastAsia="Times New Roman" w:hAnsi="Arial" w:cs="Arial"/>
          <w:shd w:val="clear" w:color="auto" w:fill="FFFFFF"/>
          <w:lang w:val="sr-Latn-ME"/>
        </w:rPr>
        <w:t xml:space="preserve"> </w:t>
      </w:r>
      <w:r w:rsidRPr="002A6F4E">
        <w:rPr>
          <w:rFonts w:ascii="Arial" w:eastAsia="Times New Roman" w:hAnsi="Arial" w:cs="Arial"/>
          <w:shd w:val="clear" w:color="auto" w:fill="FFFFFF"/>
          <w:lang w:val="en-US"/>
        </w:rPr>
        <w:t>eksternog</w:t>
      </w:r>
      <w:r w:rsidRPr="002A6F4E">
        <w:rPr>
          <w:rFonts w:ascii="Arial" w:eastAsia="Times New Roman" w:hAnsi="Arial" w:cs="Arial"/>
          <w:shd w:val="clear" w:color="auto" w:fill="FFFFFF"/>
          <w:lang w:val="sr-Latn-ME"/>
        </w:rPr>
        <w:t xml:space="preserve"> </w:t>
      </w:r>
      <w:r w:rsidRPr="002A6F4E">
        <w:rPr>
          <w:rFonts w:ascii="Arial" w:eastAsia="Times New Roman" w:hAnsi="Arial" w:cs="Arial"/>
          <w:shd w:val="clear" w:color="auto" w:fill="FFFFFF"/>
          <w:lang w:val="en-US"/>
        </w:rPr>
        <w:t>okru</w:t>
      </w:r>
      <w:r w:rsidRPr="002A6F4E">
        <w:rPr>
          <w:rFonts w:ascii="Arial" w:eastAsia="Times New Roman" w:hAnsi="Arial" w:cs="Arial"/>
          <w:shd w:val="clear" w:color="auto" w:fill="FFFFFF"/>
          <w:lang w:val="sr-Latn-ME"/>
        </w:rPr>
        <w:t>ž</w:t>
      </w:r>
      <w:r w:rsidRPr="002A6F4E">
        <w:rPr>
          <w:rFonts w:ascii="Arial" w:eastAsia="Times New Roman" w:hAnsi="Arial" w:cs="Arial"/>
          <w:shd w:val="clear" w:color="auto" w:fill="FFFFFF"/>
          <w:lang w:val="en-US"/>
        </w:rPr>
        <w:t>enja</w:t>
      </w:r>
      <w:r w:rsidRPr="002A6F4E">
        <w:rPr>
          <w:rFonts w:ascii="Arial" w:eastAsia="Times New Roman" w:hAnsi="Arial" w:cs="Arial"/>
          <w:shd w:val="clear" w:color="auto" w:fill="FFFFFF"/>
          <w:lang w:val="sr-Latn-ME"/>
        </w:rPr>
        <w:t xml:space="preserve"> (</w:t>
      </w:r>
      <w:r w:rsidRPr="002A6F4E">
        <w:rPr>
          <w:rFonts w:ascii="Arial" w:eastAsia="Times New Roman" w:hAnsi="Arial" w:cs="Arial"/>
          <w:shd w:val="clear" w:color="auto" w:fill="FFFFFF"/>
          <w:lang w:val="en-US"/>
        </w:rPr>
        <w:t>eksterni</w:t>
      </w:r>
      <w:r w:rsidRPr="002A6F4E">
        <w:rPr>
          <w:rFonts w:ascii="Arial" w:eastAsia="Times New Roman" w:hAnsi="Arial" w:cs="Arial"/>
          <w:shd w:val="clear" w:color="auto" w:fill="FFFFFF"/>
          <w:lang w:val="sr-Latn-ME"/>
        </w:rPr>
        <w:t xml:space="preserve"> </w:t>
      </w:r>
      <w:r w:rsidRPr="002A6F4E">
        <w:rPr>
          <w:rFonts w:ascii="Arial" w:eastAsia="Times New Roman" w:hAnsi="Arial" w:cs="Arial"/>
          <w:shd w:val="clear" w:color="auto" w:fill="FFFFFF"/>
          <w:lang w:val="en-US"/>
        </w:rPr>
        <w:t>faktori</w:t>
      </w:r>
      <w:r w:rsidRPr="002A6F4E">
        <w:rPr>
          <w:rFonts w:ascii="Arial" w:eastAsia="Times New Roman" w:hAnsi="Arial" w:cs="Arial"/>
          <w:shd w:val="clear" w:color="auto" w:fill="FFFFFF"/>
          <w:lang w:val="sr-Latn-ME"/>
        </w:rPr>
        <w:t xml:space="preserve">), prepoznaje </w:t>
      </w:r>
      <w:r w:rsidRPr="002A6F4E">
        <w:rPr>
          <w:rFonts w:ascii="Arial" w:eastAsia="Times New Roman" w:hAnsi="Arial" w:cs="Arial"/>
          <w:shd w:val="clear" w:color="auto" w:fill="FFFFFF"/>
          <w:lang w:val="en-US"/>
        </w:rPr>
        <w:t>potencijalni</w:t>
      </w:r>
      <w:r w:rsidRPr="002A6F4E">
        <w:rPr>
          <w:rFonts w:ascii="Arial" w:eastAsia="Times New Roman" w:hAnsi="Arial" w:cs="Arial"/>
          <w:shd w:val="clear" w:color="auto" w:fill="FFFFFF"/>
          <w:lang w:val="sr-Latn-ME"/>
        </w:rPr>
        <w:t xml:space="preserve"> </w:t>
      </w:r>
      <w:r w:rsidRPr="002A6F4E">
        <w:rPr>
          <w:rFonts w:ascii="Arial" w:eastAsia="Times New Roman" w:hAnsi="Arial" w:cs="Arial"/>
          <w:shd w:val="clear" w:color="auto" w:fill="FFFFFF"/>
          <w:lang w:val="en-US"/>
        </w:rPr>
        <w:t>strategijski</w:t>
      </w:r>
      <w:r w:rsidRPr="002A6F4E">
        <w:rPr>
          <w:rFonts w:ascii="Arial" w:eastAsia="Times New Roman" w:hAnsi="Arial" w:cs="Arial"/>
          <w:shd w:val="clear" w:color="auto" w:fill="FFFFFF"/>
          <w:lang w:val="sr-Latn-ME"/>
        </w:rPr>
        <w:t xml:space="preserve"> </w:t>
      </w:r>
      <w:r w:rsidRPr="002A6F4E">
        <w:rPr>
          <w:rFonts w:ascii="Arial" w:eastAsia="Times New Roman" w:hAnsi="Arial" w:cs="Arial"/>
          <w:shd w:val="clear" w:color="auto" w:fill="FFFFFF"/>
          <w:lang w:val="en-US"/>
        </w:rPr>
        <w:t>izbor</w:t>
      </w:r>
      <w:r w:rsidRPr="002A6F4E">
        <w:rPr>
          <w:rFonts w:ascii="Arial" w:eastAsia="Times New Roman" w:hAnsi="Arial" w:cs="Arial"/>
          <w:shd w:val="clear" w:color="auto" w:fill="FFFFFF"/>
          <w:lang w:val="sr-Latn-ME"/>
        </w:rPr>
        <w:t xml:space="preserve">. </w:t>
      </w:r>
      <w:r w:rsidRPr="002A6F4E">
        <w:rPr>
          <w:rFonts w:ascii="Arial" w:eastAsia="Times New Roman" w:hAnsi="Arial" w:cs="Arial"/>
          <w:iCs/>
          <w:lang w:val="en-US"/>
        </w:rPr>
        <w:t>Kao</w:t>
      </w:r>
      <w:r w:rsidRPr="002A6F4E">
        <w:rPr>
          <w:rFonts w:ascii="Arial" w:eastAsia="Times New Roman" w:hAnsi="Arial" w:cs="Arial"/>
          <w:iCs/>
          <w:lang w:val="sr-Latn-ME"/>
        </w:rPr>
        <w:t xml:space="preserve"> </w:t>
      </w:r>
      <w:r w:rsidRPr="002A6F4E">
        <w:rPr>
          <w:rFonts w:ascii="Arial" w:eastAsia="Times New Roman" w:hAnsi="Arial" w:cs="Arial"/>
          <w:iCs/>
          <w:lang w:val="en-US"/>
        </w:rPr>
        <w:t>metoda</w:t>
      </w:r>
      <w:r w:rsidRPr="002A6F4E">
        <w:rPr>
          <w:rFonts w:ascii="Arial" w:eastAsia="Times New Roman" w:hAnsi="Arial" w:cs="Arial"/>
          <w:iCs/>
          <w:lang w:val="sr-Latn-ME"/>
        </w:rPr>
        <w:t xml:space="preserve"> </w:t>
      </w:r>
      <w:r w:rsidRPr="002A6F4E">
        <w:rPr>
          <w:rFonts w:ascii="Arial" w:eastAsia="Times New Roman" w:hAnsi="Arial" w:cs="Arial"/>
          <w:iCs/>
          <w:lang w:val="en-US"/>
        </w:rPr>
        <w:t>ima</w:t>
      </w:r>
      <w:r w:rsidRPr="002A6F4E">
        <w:rPr>
          <w:rFonts w:ascii="Arial" w:eastAsia="Times New Roman" w:hAnsi="Arial" w:cs="Arial"/>
          <w:iCs/>
          <w:lang w:val="sr-Latn-ME"/>
        </w:rPr>
        <w:t xml:space="preserve"> </w:t>
      </w:r>
      <w:r w:rsidRPr="002A6F4E">
        <w:rPr>
          <w:rFonts w:ascii="Arial" w:eastAsia="Times New Roman" w:hAnsi="Arial" w:cs="Arial"/>
          <w:iCs/>
          <w:lang w:val="en-US"/>
        </w:rPr>
        <w:t>za</w:t>
      </w:r>
      <w:r w:rsidRPr="002A6F4E">
        <w:rPr>
          <w:rFonts w:ascii="Arial" w:eastAsia="Times New Roman" w:hAnsi="Arial" w:cs="Arial"/>
          <w:iCs/>
          <w:lang w:val="sr-Latn-ME"/>
        </w:rPr>
        <w:t xml:space="preserve"> </w:t>
      </w:r>
      <w:r w:rsidRPr="002A6F4E">
        <w:rPr>
          <w:rFonts w:ascii="Arial" w:eastAsia="Times New Roman" w:hAnsi="Arial" w:cs="Arial"/>
          <w:lang w:val="en-US"/>
        </w:rPr>
        <w:t>cilj</w:t>
      </w:r>
      <w:r w:rsidRPr="002A6F4E">
        <w:rPr>
          <w:rFonts w:ascii="Arial" w:eastAsia="Times New Roman" w:hAnsi="Arial" w:cs="Arial"/>
          <w:lang w:val="sr-Latn-ME"/>
        </w:rPr>
        <w:t xml:space="preserve"> </w:t>
      </w:r>
      <w:r w:rsidRPr="002A6F4E">
        <w:rPr>
          <w:rFonts w:ascii="Arial" w:eastAsia="Times New Roman" w:hAnsi="Arial" w:cs="Arial"/>
          <w:lang w:val="en-US"/>
        </w:rPr>
        <w:t>da</w:t>
      </w:r>
      <w:r w:rsidRPr="002A6F4E">
        <w:rPr>
          <w:rFonts w:ascii="Arial" w:eastAsia="Times New Roman" w:hAnsi="Arial" w:cs="Arial"/>
          <w:lang w:val="sr-Latn-ME"/>
        </w:rPr>
        <w:t xml:space="preserve"> </w:t>
      </w:r>
      <w:r w:rsidRPr="002A6F4E">
        <w:rPr>
          <w:rFonts w:ascii="Arial" w:eastAsia="Times New Roman" w:hAnsi="Arial" w:cs="Arial"/>
          <w:lang w:val="en-US"/>
        </w:rPr>
        <w:t>omogu</w:t>
      </w:r>
      <w:r w:rsidRPr="002A6F4E">
        <w:rPr>
          <w:rFonts w:ascii="Arial" w:eastAsia="Times New Roman" w:hAnsi="Arial" w:cs="Arial"/>
          <w:lang w:val="sr-Latn-ME"/>
        </w:rPr>
        <w:t>ć</w:t>
      </w:r>
      <w:r w:rsidRPr="002A6F4E">
        <w:rPr>
          <w:rFonts w:ascii="Arial" w:eastAsia="Times New Roman" w:hAnsi="Arial" w:cs="Arial"/>
          <w:lang w:val="en-US"/>
        </w:rPr>
        <w:t>i</w:t>
      </w:r>
      <w:r w:rsidRPr="002A6F4E">
        <w:rPr>
          <w:rFonts w:ascii="Arial" w:eastAsia="Times New Roman" w:hAnsi="Arial" w:cs="Arial"/>
          <w:lang w:val="sr-Latn-ME"/>
        </w:rPr>
        <w:t xml:space="preserve"> </w:t>
      </w:r>
      <w:r w:rsidRPr="002A6F4E">
        <w:rPr>
          <w:rFonts w:ascii="Arial" w:eastAsia="Times New Roman" w:hAnsi="Arial" w:cs="Arial"/>
          <w:lang w:val="en-US"/>
        </w:rPr>
        <w:t>donosiocima</w:t>
      </w:r>
      <w:r w:rsidRPr="002A6F4E">
        <w:rPr>
          <w:rFonts w:ascii="Arial" w:eastAsia="Times New Roman" w:hAnsi="Arial" w:cs="Arial"/>
          <w:lang w:val="sr-Latn-ME"/>
        </w:rPr>
        <w:t xml:space="preserve"> </w:t>
      </w:r>
      <w:r w:rsidRPr="002A6F4E">
        <w:rPr>
          <w:rFonts w:ascii="Arial" w:eastAsia="Times New Roman" w:hAnsi="Arial" w:cs="Arial"/>
          <w:lang w:val="en-US"/>
        </w:rPr>
        <w:t>odluke</w:t>
      </w:r>
      <w:r w:rsidRPr="002A6F4E">
        <w:rPr>
          <w:rFonts w:ascii="Arial" w:eastAsia="Times New Roman" w:hAnsi="Arial" w:cs="Arial"/>
          <w:lang w:val="sr-Latn-ME"/>
        </w:rPr>
        <w:t xml:space="preserve"> </w:t>
      </w:r>
      <w:r w:rsidRPr="002A6F4E">
        <w:rPr>
          <w:rFonts w:ascii="Arial" w:eastAsia="Times New Roman" w:hAnsi="Arial" w:cs="Arial"/>
          <w:lang w:val="en-US"/>
        </w:rPr>
        <w:t>da</w:t>
      </w:r>
      <w:r w:rsidRPr="002A6F4E">
        <w:rPr>
          <w:rFonts w:ascii="Arial" w:eastAsia="Times New Roman" w:hAnsi="Arial" w:cs="Arial"/>
          <w:lang w:val="sr-Latn-ME"/>
        </w:rPr>
        <w:t xml:space="preserve"> </w:t>
      </w:r>
      <w:r w:rsidRPr="002A6F4E">
        <w:rPr>
          <w:rFonts w:ascii="Arial" w:eastAsia="Times New Roman" w:hAnsi="Arial" w:cs="Arial"/>
          <w:lang w:val="en-US"/>
        </w:rPr>
        <w:t>identifikuju</w:t>
      </w:r>
      <w:r w:rsidRPr="002A6F4E">
        <w:rPr>
          <w:rFonts w:ascii="Arial" w:eastAsia="Times New Roman" w:hAnsi="Arial" w:cs="Arial"/>
          <w:lang w:val="sr-Latn-ME"/>
        </w:rPr>
        <w:t xml:space="preserve"> </w:t>
      </w:r>
      <w:r w:rsidRPr="002A6F4E">
        <w:rPr>
          <w:rFonts w:ascii="Arial" w:eastAsia="Times New Roman" w:hAnsi="Arial" w:cs="Arial"/>
          <w:lang w:val="en-US"/>
        </w:rPr>
        <w:t>i</w:t>
      </w:r>
      <w:r w:rsidRPr="002A6F4E">
        <w:rPr>
          <w:rFonts w:ascii="Arial" w:eastAsia="Times New Roman" w:hAnsi="Arial" w:cs="Arial"/>
          <w:lang w:val="sr-Latn-ME"/>
        </w:rPr>
        <w:t xml:space="preserve"> </w:t>
      </w:r>
      <w:r w:rsidRPr="002A6F4E">
        <w:rPr>
          <w:rFonts w:ascii="Arial" w:eastAsia="Times New Roman" w:hAnsi="Arial" w:cs="Arial"/>
          <w:lang w:val="en-US"/>
        </w:rPr>
        <w:t>maksimalno</w:t>
      </w:r>
      <w:r w:rsidRPr="002A6F4E">
        <w:rPr>
          <w:rFonts w:ascii="Arial" w:eastAsia="Times New Roman" w:hAnsi="Arial" w:cs="Arial"/>
          <w:lang w:val="sr-Latn-ME"/>
        </w:rPr>
        <w:t xml:space="preserve"> </w:t>
      </w:r>
      <w:r w:rsidRPr="002A6F4E">
        <w:rPr>
          <w:rFonts w:ascii="Arial" w:eastAsia="Times New Roman" w:hAnsi="Arial" w:cs="Arial"/>
          <w:lang w:val="en-US"/>
        </w:rPr>
        <w:t>iskoriste</w:t>
      </w:r>
      <w:r w:rsidRPr="002A6F4E">
        <w:rPr>
          <w:rFonts w:ascii="Arial" w:eastAsia="Times New Roman" w:hAnsi="Arial" w:cs="Arial"/>
          <w:lang w:val="sr-Latn-ME"/>
        </w:rPr>
        <w:t xml:space="preserve"> </w:t>
      </w:r>
      <w:r w:rsidRPr="002A6F4E">
        <w:rPr>
          <w:rFonts w:ascii="Arial" w:eastAsia="Times New Roman" w:hAnsi="Arial" w:cs="Arial"/>
          <w:lang w:val="en-US"/>
        </w:rPr>
        <w:t>snage</w:t>
      </w:r>
      <w:r w:rsidRPr="002A6F4E">
        <w:rPr>
          <w:rFonts w:ascii="Arial" w:eastAsia="Times New Roman" w:hAnsi="Arial" w:cs="Arial"/>
          <w:lang w:val="sr-Latn-ME"/>
        </w:rPr>
        <w:t xml:space="preserve"> </w:t>
      </w:r>
      <w:r w:rsidRPr="002A6F4E">
        <w:rPr>
          <w:rFonts w:ascii="Arial" w:eastAsia="Times New Roman" w:hAnsi="Arial" w:cs="Arial"/>
          <w:lang w:val="en-US"/>
        </w:rPr>
        <w:t>i</w:t>
      </w:r>
      <w:r w:rsidRPr="002A6F4E">
        <w:rPr>
          <w:rFonts w:ascii="Arial" w:eastAsia="Times New Roman" w:hAnsi="Arial" w:cs="Arial"/>
          <w:lang w:val="sr-Latn-ME"/>
        </w:rPr>
        <w:t xml:space="preserve"> š</w:t>
      </w:r>
      <w:r w:rsidRPr="002A6F4E">
        <w:rPr>
          <w:rFonts w:ascii="Arial" w:eastAsia="Times New Roman" w:hAnsi="Arial" w:cs="Arial"/>
          <w:lang w:val="en-US"/>
        </w:rPr>
        <w:t>anse</w:t>
      </w:r>
      <w:r w:rsidRPr="002A6F4E">
        <w:rPr>
          <w:rFonts w:ascii="Arial" w:eastAsia="Times New Roman" w:hAnsi="Arial" w:cs="Arial"/>
          <w:lang w:val="sr-Latn-ME"/>
        </w:rPr>
        <w:t xml:space="preserve">, </w:t>
      </w:r>
      <w:r w:rsidRPr="002A6F4E">
        <w:rPr>
          <w:rFonts w:ascii="Arial" w:eastAsia="Times New Roman" w:hAnsi="Arial" w:cs="Arial"/>
          <w:lang w:val="en-US"/>
        </w:rPr>
        <w:t>s</w:t>
      </w:r>
      <w:r w:rsidRPr="002A6F4E">
        <w:rPr>
          <w:rFonts w:ascii="Arial" w:eastAsia="Times New Roman" w:hAnsi="Arial" w:cs="Arial"/>
          <w:lang w:val="sr-Latn-ME"/>
        </w:rPr>
        <w:t xml:space="preserve"> </w:t>
      </w:r>
      <w:r w:rsidRPr="002A6F4E">
        <w:rPr>
          <w:rFonts w:ascii="Arial" w:eastAsia="Times New Roman" w:hAnsi="Arial" w:cs="Arial"/>
          <w:lang w:val="en-US"/>
        </w:rPr>
        <w:t>jedne</w:t>
      </w:r>
      <w:r w:rsidRPr="002A6F4E">
        <w:rPr>
          <w:rFonts w:ascii="Arial" w:eastAsia="Times New Roman" w:hAnsi="Arial" w:cs="Arial"/>
          <w:lang w:val="sr-Latn-ME"/>
        </w:rPr>
        <w:t xml:space="preserve">, </w:t>
      </w:r>
      <w:r w:rsidRPr="002A6F4E">
        <w:rPr>
          <w:rFonts w:ascii="Arial" w:eastAsia="Times New Roman" w:hAnsi="Arial" w:cs="Arial"/>
          <w:lang w:val="en-US"/>
        </w:rPr>
        <w:t>a</w:t>
      </w:r>
      <w:r w:rsidRPr="002A6F4E">
        <w:rPr>
          <w:rFonts w:ascii="Arial" w:eastAsia="Times New Roman" w:hAnsi="Arial" w:cs="Arial"/>
          <w:lang w:val="sr-Latn-ME"/>
        </w:rPr>
        <w:t xml:space="preserve"> </w:t>
      </w:r>
      <w:r w:rsidRPr="002A6F4E">
        <w:rPr>
          <w:rFonts w:ascii="Arial" w:eastAsia="Times New Roman" w:hAnsi="Arial" w:cs="Arial"/>
          <w:lang w:val="en-US"/>
        </w:rPr>
        <w:t>s</w:t>
      </w:r>
      <w:r w:rsidRPr="002A6F4E">
        <w:rPr>
          <w:rFonts w:ascii="Arial" w:eastAsia="Times New Roman" w:hAnsi="Arial" w:cs="Arial"/>
          <w:lang w:val="sr-Latn-ME"/>
        </w:rPr>
        <w:t xml:space="preserve"> </w:t>
      </w:r>
      <w:r w:rsidRPr="002A6F4E">
        <w:rPr>
          <w:rFonts w:ascii="Arial" w:eastAsia="Times New Roman" w:hAnsi="Arial" w:cs="Arial"/>
          <w:lang w:val="en-US"/>
        </w:rPr>
        <w:t>druge</w:t>
      </w:r>
      <w:r w:rsidRPr="002A6F4E">
        <w:rPr>
          <w:rFonts w:ascii="Arial" w:eastAsia="Times New Roman" w:hAnsi="Arial" w:cs="Arial"/>
          <w:lang w:val="sr-Latn-ME"/>
        </w:rPr>
        <w:t xml:space="preserve"> </w:t>
      </w:r>
      <w:r w:rsidRPr="002A6F4E">
        <w:rPr>
          <w:rFonts w:ascii="Arial" w:eastAsia="Times New Roman" w:hAnsi="Arial" w:cs="Arial"/>
          <w:lang w:val="en-US"/>
        </w:rPr>
        <w:t>strane</w:t>
      </w:r>
      <w:r w:rsidRPr="002A6F4E">
        <w:rPr>
          <w:rFonts w:ascii="Arial" w:eastAsia="Times New Roman" w:hAnsi="Arial" w:cs="Arial"/>
          <w:lang w:val="sr-Latn-ME"/>
        </w:rPr>
        <w:t xml:space="preserve"> </w:t>
      </w:r>
      <w:r w:rsidRPr="002A6F4E">
        <w:rPr>
          <w:rFonts w:ascii="Arial" w:eastAsia="Times New Roman" w:hAnsi="Arial" w:cs="Arial"/>
          <w:lang w:val="en-US"/>
        </w:rPr>
        <w:t>nastoje</w:t>
      </w:r>
      <w:r w:rsidRPr="002A6F4E">
        <w:rPr>
          <w:rFonts w:ascii="Arial" w:eastAsia="Times New Roman" w:hAnsi="Arial" w:cs="Arial"/>
          <w:lang w:val="sr-Latn-ME"/>
        </w:rPr>
        <w:t xml:space="preserve"> </w:t>
      </w:r>
      <w:r w:rsidRPr="002A6F4E">
        <w:rPr>
          <w:rFonts w:ascii="Arial" w:eastAsia="Times New Roman" w:hAnsi="Arial" w:cs="Arial"/>
          <w:lang w:val="en-US"/>
        </w:rPr>
        <w:t>minimizirati</w:t>
      </w:r>
      <w:r w:rsidRPr="002A6F4E">
        <w:rPr>
          <w:rFonts w:ascii="Arial" w:eastAsia="Times New Roman" w:hAnsi="Arial" w:cs="Arial"/>
          <w:lang w:val="sr-Latn-ME"/>
        </w:rPr>
        <w:t xml:space="preserve"> </w:t>
      </w:r>
      <w:r w:rsidRPr="002A6F4E">
        <w:rPr>
          <w:rFonts w:ascii="Arial" w:eastAsia="Times New Roman" w:hAnsi="Arial" w:cs="Arial"/>
          <w:lang w:val="en-US"/>
        </w:rPr>
        <w:t>slabosti</w:t>
      </w:r>
      <w:r w:rsidRPr="002A6F4E">
        <w:rPr>
          <w:rFonts w:ascii="Arial" w:eastAsia="Times New Roman" w:hAnsi="Arial" w:cs="Arial"/>
          <w:lang w:val="sr-Latn-ME"/>
        </w:rPr>
        <w:t xml:space="preserve"> </w:t>
      </w:r>
      <w:r w:rsidRPr="002A6F4E">
        <w:rPr>
          <w:rFonts w:ascii="Arial" w:eastAsia="Times New Roman" w:hAnsi="Arial" w:cs="Arial"/>
          <w:lang w:val="en-US"/>
        </w:rPr>
        <w:t>i</w:t>
      </w:r>
      <w:r w:rsidRPr="002A6F4E">
        <w:rPr>
          <w:rFonts w:ascii="Arial" w:eastAsia="Times New Roman" w:hAnsi="Arial" w:cs="Arial"/>
          <w:lang w:val="sr-Latn-ME"/>
        </w:rPr>
        <w:t xml:space="preserve"> </w:t>
      </w:r>
      <w:r w:rsidRPr="002A6F4E">
        <w:rPr>
          <w:rFonts w:ascii="Arial" w:eastAsia="Times New Roman" w:hAnsi="Arial" w:cs="Arial"/>
          <w:lang w:val="en-US"/>
        </w:rPr>
        <w:t>opasnosti</w:t>
      </w:r>
      <w:r w:rsidRPr="002A6F4E">
        <w:rPr>
          <w:rFonts w:ascii="Arial" w:eastAsia="Times New Roman" w:hAnsi="Arial" w:cs="Arial"/>
          <w:lang w:val="sr-Latn-ME"/>
        </w:rPr>
        <w:t xml:space="preserve"> </w:t>
      </w:r>
      <w:r w:rsidRPr="002A6F4E">
        <w:rPr>
          <w:rFonts w:ascii="Arial" w:eastAsia="Times New Roman" w:hAnsi="Arial" w:cs="Arial"/>
          <w:lang w:val="en-US"/>
        </w:rPr>
        <w:t>koje</w:t>
      </w:r>
      <w:r w:rsidRPr="002A6F4E">
        <w:rPr>
          <w:rFonts w:ascii="Arial" w:eastAsia="Times New Roman" w:hAnsi="Arial" w:cs="Arial"/>
          <w:lang w:val="sr-Latn-ME"/>
        </w:rPr>
        <w:t xml:space="preserve"> </w:t>
      </w:r>
      <w:r w:rsidRPr="002A6F4E">
        <w:rPr>
          <w:rFonts w:ascii="Arial" w:eastAsia="Times New Roman" w:hAnsi="Arial" w:cs="Arial"/>
          <w:lang w:val="en-US"/>
        </w:rPr>
        <w:t>su</w:t>
      </w:r>
      <w:r w:rsidRPr="002A6F4E">
        <w:rPr>
          <w:rFonts w:ascii="Arial" w:eastAsia="Times New Roman" w:hAnsi="Arial" w:cs="Arial"/>
          <w:lang w:val="sr-Latn-ME"/>
        </w:rPr>
        <w:t xml:space="preserve"> </w:t>
      </w:r>
      <w:r w:rsidRPr="002A6F4E">
        <w:rPr>
          <w:rFonts w:ascii="Arial" w:eastAsia="Times New Roman" w:hAnsi="Arial" w:cs="Arial"/>
          <w:lang w:val="en-US"/>
        </w:rPr>
        <w:t>prepreka</w:t>
      </w:r>
      <w:r w:rsidRPr="002A6F4E">
        <w:rPr>
          <w:rFonts w:ascii="Arial" w:eastAsia="Times New Roman" w:hAnsi="Arial" w:cs="Arial"/>
          <w:lang w:val="sr-Latn-ME"/>
        </w:rPr>
        <w:t xml:space="preserve">, </w:t>
      </w:r>
      <w:r w:rsidRPr="002A6F4E">
        <w:rPr>
          <w:rFonts w:ascii="Arial" w:eastAsia="Times New Roman" w:hAnsi="Arial" w:cs="Arial"/>
          <w:lang w:val="en-US"/>
        </w:rPr>
        <w:t>kako</w:t>
      </w:r>
      <w:r w:rsidRPr="002A6F4E">
        <w:rPr>
          <w:rFonts w:ascii="Arial" w:eastAsia="Times New Roman" w:hAnsi="Arial" w:cs="Arial"/>
          <w:lang w:val="sr-Latn-ME"/>
        </w:rPr>
        <w:t xml:space="preserve"> </w:t>
      </w:r>
      <w:r w:rsidRPr="002A6F4E">
        <w:rPr>
          <w:rFonts w:ascii="Arial" w:eastAsia="Times New Roman" w:hAnsi="Arial" w:cs="Arial"/>
          <w:lang w:val="en-US"/>
        </w:rPr>
        <w:t>bi</w:t>
      </w:r>
      <w:r w:rsidRPr="002A6F4E">
        <w:rPr>
          <w:rFonts w:ascii="Arial" w:eastAsia="Times New Roman" w:hAnsi="Arial" w:cs="Arial"/>
          <w:lang w:val="sr-Latn-ME"/>
        </w:rPr>
        <w:t xml:space="preserve"> </w:t>
      </w:r>
      <w:r w:rsidRPr="002A6F4E">
        <w:rPr>
          <w:rFonts w:ascii="Arial" w:eastAsia="Times New Roman" w:hAnsi="Arial" w:cs="Arial"/>
          <w:lang w:val="en-US"/>
        </w:rPr>
        <w:t>se</w:t>
      </w:r>
      <w:r w:rsidRPr="002A6F4E">
        <w:rPr>
          <w:rFonts w:ascii="Arial" w:eastAsia="Times New Roman" w:hAnsi="Arial" w:cs="Arial"/>
          <w:lang w:val="sr-Latn-ME"/>
        </w:rPr>
        <w:t xml:space="preserve"> </w:t>
      </w:r>
      <w:r w:rsidRPr="002A6F4E">
        <w:rPr>
          <w:rFonts w:ascii="Arial" w:eastAsia="Times New Roman" w:hAnsi="Arial" w:cs="Arial"/>
          <w:lang w:val="en-US"/>
        </w:rPr>
        <w:t>realizovali</w:t>
      </w:r>
      <w:r w:rsidRPr="002A6F4E">
        <w:rPr>
          <w:rFonts w:ascii="Arial" w:eastAsia="Times New Roman" w:hAnsi="Arial" w:cs="Arial"/>
          <w:lang w:val="sr-Latn-ME"/>
        </w:rPr>
        <w:t xml:space="preserve"> </w:t>
      </w:r>
      <w:r w:rsidRPr="002A6F4E">
        <w:rPr>
          <w:rFonts w:ascii="Arial" w:eastAsia="Times New Roman" w:hAnsi="Arial" w:cs="Arial"/>
          <w:lang w:val="en-US"/>
        </w:rPr>
        <w:t>planirani</w:t>
      </w:r>
      <w:r w:rsidRPr="002A6F4E">
        <w:rPr>
          <w:rFonts w:ascii="Arial" w:eastAsia="Times New Roman" w:hAnsi="Arial" w:cs="Arial"/>
          <w:lang w:val="sr-Latn-ME"/>
        </w:rPr>
        <w:t xml:space="preserve"> </w:t>
      </w:r>
      <w:r w:rsidRPr="002A6F4E">
        <w:rPr>
          <w:rFonts w:ascii="Arial" w:eastAsia="Times New Roman" w:hAnsi="Arial" w:cs="Arial"/>
          <w:lang w:val="en-US"/>
        </w:rPr>
        <w:t>ciljevi</w:t>
      </w:r>
      <w:r w:rsidRPr="002A6F4E">
        <w:rPr>
          <w:rFonts w:ascii="Arial" w:eastAsia="Times New Roman" w:hAnsi="Arial" w:cs="Arial"/>
          <w:lang w:val="sr-Latn-ME"/>
        </w:rPr>
        <w:t xml:space="preserve">. </w:t>
      </w:r>
      <w:r w:rsidRPr="002A6F4E">
        <w:rPr>
          <w:rFonts w:ascii="Arial" w:eastAsia="Times New Roman" w:hAnsi="Arial" w:cs="Arial"/>
          <w:iCs/>
          <w:lang w:val="en-US"/>
        </w:rPr>
        <w:t>U</w:t>
      </w:r>
      <w:r w:rsidRPr="002A6F4E">
        <w:rPr>
          <w:rFonts w:ascii="Arial" w:eastAsia="Times New Roman" w:hAnsi="Arial" w:cs="Arial"/>
          <w:iCs/>
          <w:lang w:val="sr-Latn-ME"/>
        </w:rPr>
        <w:t xml:space="preserve"> </w:t>
      </w:r>
      <w:r w:rsidRPr="002A6F4E">
        <w:rPr>
          <w:rFonts w:ascii="Arial" w:eastAsia="Times New Roman" w:hAnsi="Arial" w:cs="Arial"/>
          <w:iCs/>
          <w:lang w:val="en-US"/>
        </w:rPr>
        <w:t>osnovi</w:t>
      </w:r>
      <w:r w:rsidRPr="002A6F4E">
        <w:rPr>
          <w:rFonts w:ascii="Arial" w:eastAsia="Times New Roman" w:hAnsi="Arial" w:cs="Arial"/>
          <w:iCs/>
          <w:lang w:val="sr-Latn-ME"/>
        </w:rPr>
        <w:t xml:space="preserve"> </w:t>
      </w:r>
      <w:r w:rsidRPr="002A6F4E">
        <w:rPr>
          <w:rFonts w:ascii="Arial" w:eastAsia="Times New Roman" w:hAnsi="Arial" w:cs="Arial"/>
          <w:iCs/>
          <w:lang w:val="en-US"/>
        </w:rPr>
        <w:t>ista</w:t>
      </w:r>
      <w:r w:rsidRPr="002A6F4E">
        <w:rPr>
          <w:rFonts w:ascii="Arial" w:eastAsia="Times New Roman" w:hAnsi="Arial" w:cs="Arial"/>
          <w:iCs/>
          <w:lang w:val="sr-Latn-ME"/>
        </w:rPr>
        <w:t xml:space="preserve"> </w:t>
      </w:r>
      <w:r w:rsidRPr="002A6F4E">
        <w:rPr>
          <w:rFonts w:ascii="Arial" w:eastAsia="Times New Roman" w:hAnsi="Arial" w:cs="Arial"/>
          <w:iCs/>
          <w:lang w:val="en-US"/>
        </w:rPr>
        <w:t>predstavlja</w:t>
      </w:r>
      <w:r w:rsidRPr="002A6F4E">
        <w:rPr>
          <w:rFonts w:ascii="Arial" w:eastAsia="Times New Roman" w:hAnsi="Arial" w:cs="Arial"/>
          <w:iCs/>
          <w:lang w:val="sr-Latn-ME"/>
        </w:rPr>
        <w:t xml:space="preserve"> </w:t>
      </w:r>
      <w:r w:rsidRPr="002A6F4E">
        <w:rPr>
          <w:rFonts w:ascii="Arial" w:eastAsia="Times New Roman" w:hAnsi="Arial" w:cs="Arial"/>
          <w:iCs/>
          <w:lang w:val="en-US"/>
        </w:rPr>
        <w:t>dio</w:t>
      </w:r>
      <w:r w:rsidRPr="002A6F4E">
        <w:rPr>
          <w:rFonts w:ascii="Arial" w:eastAsia="Times New Roman" w:hAnsi="Arial" w:cs="Arial"/>
          <w:iCs/>
          <w:lang w:val="sr-Latn-ME"/>
        </w:rPr>
        <w:t xml:space="preserve"> </w:t>
      </w:r>
      <w:r w:rsidRPr="002A6F4E">
        <w:rPr>
          <w:rFonts w:ascii="Arial" w:eastAsia="Times New Roman" w:hAnsi="Arial" w:cs="Arial"/>
          <w:iCs/>
          <w:lang w:val="en-US"/>
        </w:rPr>
        <w:t>prakti</w:t>
      </w:r>
      <w:r w:rsidRPr="002A6F4E">
        <w:rPr>
          <w:rFonts w:ascii="Arial" w:eastAsia="Times New Roman" w:hAnsi="Arial" w:cs="Arial"/>
          <w:iCs/>
          <w:lang w:val="sr-Latn-ME"/>
        </w:rPr>
        <w:t>č</w:t>
      </w:r>
      <w:r w:rsidRPr="002A6F4E">
        <w:rPr>
          <w:rFonts w:ascii="Arial" w:eastAsia="Times New Roman" w:hAnsi="Arial" w:cs="Arial"/>
          <w:iCs/>
          <w:lang w:val="en-US"/>
        </w:rPr>
        <w:t>nog</w:t>
      </w:r>
      <w:r w:rsidRPr="002A6F4E">
        <w:rPr>
          <w:rFonts w:ascii="Arial" w:eastAsia="Times New Roman" w:hAnsi="Arial" w:cs="Arial"/>
          <w:iCs/>
          <w:lang w:val="sr-Latn-ME"/>
        </w:rPr>
        <w:t xml:space="preserve"> </w:t>
      </w:r>
      <w:r w:rsidRPr="002A6F4E">
        <w:rPr>
          <w:rFonts w:ascii="Arial" w:eastAsia="Times New Roman" w:hAnsi="Arial" w:cs="Arial"/>
          <w:iCs/>
          <w:lang w:val="en-US"/>
        </w:rPr>
        <w:t>alata</w:t>
      </w:r>
      <w:r w:rsidRPr="002A6F4E">
        <w:rPr>
          <w:rFonts w:ascii="Arial" w:eastAsia="Times New Roman" w:hAnsi="Arial" w:cs="Arial"/>
          <w:iCs/>
          <w:lang w:val="sr-Latn-ME"/>
        </w:rPr>
        <w:t xml:space="preserve"> </w:t>
      </w:r>
      <w:r w:rsidRPr="002A6F4E">
        <w:rPr>
          <w:rFonts w:ascii="Arial" w:eastAsia="Times New Roman" w:hAnsi="Arial" w:cs="Arial"/>
          <w:iCs/>
          <w:lang w:val="en-US"/>
        </w:rPr>
        <w:t>koji</w:t>
      </w:r>
      <w:r w:rsidRPr="002A6F4E">
        <w:rPr>
          <w:rFonts w:ascii="Arial" w:eastAsia="Times New Roman" w:hAnsi="Arial" w:cs="Arial"/>
          <w:iCs/>
          <w:lang w:val="sr-Latn-ME"/>
        </w:rPr>
        <w:t xml:space="preserve"> </w:t>
      </w:r>
      <w:r w:rsidRPr="002A6F4E">
        <w:rPr>
          <w:rFonts w:ascii="Arial" w:eastAsia="Times New Roman" w:hAnsi="Arial" w:cs="Arial"/>
          <w:iCs/>
          <w:lang w:val="en-US"/>
        </w:rPr>
        <w:t>svoju</w:t>
      </w:r>
      <w:r w:rsidRPr="002A6F4E">
        <w:rPr>
          <w:rFonts w:ascii="Arial" w:eastAsia="Times New Roman" w:hAnsi="Arial" w:cs="Arial"/>
          <w:iCs/>
          <w:lang w:val="sr-Latn-ME"/>
        </w:rPr>
        <w:t xml:space="preserve"> </w:t>
      </w:r>
      <w:r w:rsidRPr="002A6F4E">
        <w:rPr>
          <w:rFonts w:ascii="Arial" w:eastAsia="Times New Roman" w:hAnsi="Arial" w:cs="Arial"/>
          <w:iCs/>
          <w:lang w:val="en-US"/>
        </w:rPr>
        <w:t>primjenu</w:t>
      </w:r>
      <w:r w:rsidRPr="002A6F4E">
        <w:rPr>
          <w:rFonts w:ascii="Arial" w:eastAsia="Times New Roman" w:hAnsi="Arial" w:cs="Arial"/>
          <w:iCs/>
          <w:lang w:val="sr-Latn-ME"/>
        </w:rPr>
        <w:t xml:space="preserve"> </w:t>
      </w:r>
      <w:r w:rsidRPr="002A6F4E">
        <w:rPr>
          <w:rFonts w:ascii="Arial" w:eastAsia="Times New Roman" w:hAnsi="Arial" w:cs="Arial"/>
          <w:iCs/>
          <w:lang w:val="en-US"/>
        </w:rPr>
        <w:t>nalazi</w:t>
      </w:r>
      <w:r w:rsidRPr="002A6F4E">
        <w:rPr>
          <w:rFonts w:ascii="Arial" w:eastAsia="Times New Roman" w:hAnsi="Arial" w:cs="Arial"/>
          <w:iCs/>
          <w:lang w:val="sr-Latn-ME"/>
        </w:rPr>
        <w:t xml:space="preserve"> </w:t>
      </w:r>
      <w:r w:rsidRPr="002A6F4E">
        <w:rPr>
          <w:rFonts w:ascii="Arial" w:eastAsia="Times New Roman" w:hAnsi="Arial" w:cs="Arial"/>
          <w:iCs/>
          <w:lang w:val="en-US"/>
        </w:rPr>
        <w:t>u</w:t>
      </w:r>
      <w:r w:rsidRPr="002A6F4E">
        <w:rPr>
          <w:rFonts w:ascii="Arial" w:eastAsia="Times New Roman" w:hAnsi="Arial" w:cs="Arial"/>
          <w:iCs/>
          <w:lang w:val="sr-Latn-ME"/>
        </w:rPr>
        <w:t xml:space="preserve"> </w:t>
      </w:r>
      <w:r w:rsidRPr="002A6F4E">
        <w:rPr>
          <w:rFonts w:ascii="Arial" w:eastAsia="Times New Roman" w:hAnsi="Arial" w:cs="Arial"/>
          <w:iCs/>
          <w:lang w:val="en-US"/>
        </w:rPr>
        <w:t>procesu</w:t>
      </w:r>
      <w:r w:rsidRPr="002A6F4E">
        <w:rPr>
          <w:rFonts w:ascii="Arial" w:eastAsia="Times New Roman" w:hAnsi="Arial" w:cs="Arial"/>
          <w:iCs/>
          <w:lang w:val="sr-Latn-ME"/>
        </w:rPr>
        <w:t xml:space="preserve"> </w:t>
      </w:r>
      <w:r w:rsidRPr="002A6F4E">
        <w:rPr>
          <w:rFonts w:ascii="Arial" w:eastAsia="Times New Roman" w:hAnsi="Arial" w:cs="Arial"/>
          <w:iCs/>
          <w:lang w:val="en-US"/>
        </w:rPr>
        <w:t>strategijskog</w:t>
      </w:r>
      <w:r w:rsidRPr="002A6F4E">
        <w:rPr>
          <w:rFonts w:ascii="Arial" w:eastAsia="Times New Roman" w:hAnsi="Arial" w:cs="Arial"/>
          <w:iCs/>
          <w:lang w:val="sr-Latn-ME"/>
        </w:rPr>
        <w:t xml:space="preserve"> </w:t>
      </w:r>
      <w:r w:rsidRPr="002A6F4E">
        <w:rPr>
          <w:rFonts w:ascii="Arial" w:eastAsia="Times New Roman" w:hAnsi="Arial" w:cs="Arial"/>
          <w:iCs/>
          <w:lang w:val="en-US"/>
        </w:rPr>
        <w:t>menad</w:t>
      </w:r>
      <w:r w:rsidRPr="002A6F4E">
        <w:rPr>
          <w:rFonts w:ascii="Arial" w:eastAsia="Times New Roman" w:hAnsi="Arial" w:cs="Arial"/>
          <w:iCs/>
          <w:lang w:val="sr-Latn-ME"/>
        </w:rPr>
        <w:t>ž</w:t>
      </w:r>
      <w:r w:rsidRPr="002A6F4E">
        <w:rPr>
          <w:rFonts w:ascii="Arial" w:eastAsia="Times New Roman" w:hAnsi="Arial" w:cs="Arial"/>
          <w:iCs/>
          <w:lang w:val="en-US"/>
        </w:rPr>
        <w:t>menta</w:t>
      </w:r>
      <w:r w:rsidRPr="002A6F4E">
        <w:rPr>
          <w:rFonts w:ascii="Arial" w:eastAsia="Times New Roman" w:hAnsi="Arial" w:cs="Arial"/>
          <w:iCs/>
          <w:lang w:val="sr-Latn-ME"/>
        </w:rPr>
        <w:t xml:space="preserve"> </w:t>
      </w:r>
      <w:r w:rsidRPr="002A6F4E">
        <w:rPr>
          <w:rFonts w:ascii="Arial" w:eastAsia="Times New Roman" w:hAnsi="Arial" w:cs="Arial"/>
          <w:iCs/>
          <w:lang w:val="en-US"/>
        </w:rPr>
        <w:t>ne</w:t>
      </w:r>
      <w:r w:rsidR="000253AA">
        <w:rPr>
          <w:rFonts w:ascii="Arial" w:eastAsia="Times New Roman" w:hAnsi="Arial" w:cs="Arial"/>
          <w:iCs/>
          <w:lang w:val="en-US"/>
        </w:rPr>
        <w:t>za</w:t>
      </w:r>
      <w:r w:rsidRPr="002A6F4E">
        <w:rPr>
          <w:rFonts w:ascii="Arial" w:eastAsia="Times New Roman" w:hAnsi="Arial" w:cs="Arial"/>
          <w:iCs/>
          <w:lang w:val="en-US"/>
        </w:rPr>
        <w:t>visno</w:t>
      </w:r>
      <w:r w:rsidRPr="002A6F4E">
        <w:rPr>
          <w:rFonts w:ascii="Arial" w:eastAsia="Times New Roman" w:hAnsi="Arial" w:cs="Arial"/>
          <w:iCs/>
          <w:lang w:val="sr-Latn-ME"/>
        </w:rPr>
        <w:t xml:space="preserve"> </w:t>
      </w:r>
      <w:r w:rsidRPr="002A6F4E">
        <w:rPr>
          <w:rFonts w:ascii="Arial" w:eastAsia="Times New Roman" w:hAnsi="Arial" w:cs="Arial"/>
          <w:iCs/>
          <w:lang w:val="en-US"/>
        </w:rPr>
        <w:t>od</w:t>
      </w:r>
      <w:r w:rsidRPr="002A6F4E">
        <w:rPr>
          <w:rFonts w:ascii="Arial" w:eastAsia="Times New Roman" w:hAnsi="Arial" w:cs="Arial"/>
          <w:iCs/>
          <w:lang w:val="sr-Latn-ME"/>
        </w:rPr>
        <w:t xml:space="preserve"> </w:t>
      </w:r>
      <w:r w:rsidRPr="002A6F4E">
        <w:rPr>
          <w:rFonts w:ascii="Arial" w:eastAsia="Times New Roman" w:hAnsi="Arial" w:cs="Arial"/>
          <w:iCs/>
          <w:lang w:val="en-US"/>
        </w:rPr>
        <w:t>vrste</w:t>
      </w:r>
      <w:r w:rsidRPr="002A6F4E">
        <w:rPr>
          <w:rFonts w:ascii="Arial" w:eastAsia="Times New Roman" w:hAnsi="Arial" w:cs="Arial"/>
          <w:iCs/>
          <w:lang w:val="sr-Latn-ME"/>
        </w:rPr>
        <w:t xml:space="preserve"> </w:t>
      </w:r>
      <w:r w:rsidRPr="002A6F4E">
        <w:rPr>
          <w:rFonts w:ascii="Arial" w:eastAsia="Times New Roman" w:hAnsi="Arial" w:cs="Arial"/>
          <w:iCs/>
          <w:lang w:val="en-US"/>
        </w:rPr>
        <w:t>organizacije</w:t>
      </w:r>
      <w:r w:rsidRPr="002A6F4E">
        <w:rPr>
          <w:rFonts w:ascii="Arial" w:eastAsia="Times New Roman" w:hAnsi="Arial" w:cs="Arial"/>
          <w:iCs/>
          <w:lang w:val="sr-Latn-ME"/>
        </w:rPr>
        <w:t xml:space="preserve">. </w:t>
      </w:r>
      <w:r w:rsidRPr="002A6F4E">
        <w:rPr>
          <w:rFonts w:ascii="Arial" w:eastAsia="+mn-ea" w:hAnsi="Arial" w:cs="Arial"/>
          <w:bCs/>
          <w:color w:val="000000"/>
          <w:lang w:val="en-US"/>
        </w:rPr>
        <w:t>Skra</w:t>
      </w:r>
      <w:r w:rsidRPr="002A6F4E">
        <w:rPr>
          <w:rFonts w:ascii="Arial" w:eastAsia="+mn-ea" w:hAnsi="Arial" w:cs="Arial"/>
          <w:bCs/>
          <w:color w:val="000000"/>
          <w:lang w:val="sr-Latn-ME"/>
        </w:rPr>
        <w:t>ć</w:t>
      </w:r>
      <w:r w:rsidRPr="002A6F4E">
        <w:rPr>
          <w:rFonts w:ascii="Arial" w:eastAsia="+mn-ea" w:hAnsi="Arial" w:cs="Arial"/>
          <w:bCs/>
          <w:color w:val="000000"/>
          <w:lang w:val="en-US"/>
        </w:rPr>
        <w:t>enicu</w:t>
      </w:r>
      <w:r w:rsidRPr="002A6F4E">
        <w:rPr>
          <w:rFonts w:ascii="Arial" w:eastAsia="+mn-ea" w:hAnsi="Arial" w:cs="Arial"/>
          <w:bCs/>
          <w:color w:val="000000"/>
          <w:lang w:val="sr-Latn-ME"/>
        </w:rPr>
        <w:t xml:space="preserve"> </w:t>
      </w:r>
      <w:r w:rsidRPr="004325FB">
        <w:rPr>
          <w:rFonts w:ascii="Arial" w:eastAsia="+mn-ea" w:hAnsi="Arial" w:cs="Arial"/>
          <w:b/>
          <w:bCs/>
          <w:color w:val="000000"/>
          <w:lang w:val="en-US"/>
        </w:rPr>
        <w:t>SWOT</w:t>
      </w:r>
      <w:r w:rsidRPr="002A6F4E">
        <w:rPr>
          <w:rFonts w:ascii="Arial" w:eastAsia="+mn-ea" w:hAnsi="Arial" w:cs="Arial"/>
          <w:bCs/>
          <w:color w:val="000000"/>
          <w:lang w:val="sr-Latn-ME"/>
        </w:rPr>
        <w:t xml:space="preserve"> č</w:t>
      </w:r>
      <w:r w:rsidRPr="002A6F4E">
        <w:rPr>
          <w:rFonts w:ascii="Arial" w:eastAsia="+mn-ea" w:hAnsi="Arial" w:cs="Arial"/>
          <w:bCs/>
          <w:color w:val="000000"/>
          <w:lang w:val="en-US"/>
        </w:rPr>
        <w:t>ine</w:t>
      </w:r>
      <w:r w:rsidRPr="002A6F4E">
        <w:rPr>
          <w:rFonts w:ascii="Arial" w:eastAsia="+mn-ea" w:hAnsi="Arial" w:cs="Arial"/>
          <w:bCs/>
          <w:color w:val="000000"/>
          <w:lang w:val="sr-Latn-ME"/>
        </w:rPr>
        <w:t xml:space="preserve"> </w:t>
      </w:r>
      <w:r w:rsidRPr="002A6F4E">
        <w:rPr>
          <w:rFonts w:ascii="Arial" w:eastAsia="+mn-ea" w:hAnsi="Arial" w:cs="Arial"/>
          <w:bCs/>
          <w:color w:val="000000"/>
          <w:lang w:val="sl-SI"/>
        </w:rPr>
        <w:t>akronimi od prvih slova pojmova:</w:t>
      </w:r>
    </w:p>
    <w:p w14:paraId="6CC41F46" w14:textId="7C0C2EC3" w:rsidR="00377063" w:rsidRPr="002A6F4E" w:rsidRDefault="00377063" w:rsidP="00A23ED0">
      <w:pPr>
        <w:numPr>
          <w:ilvl w:val="1"/>
          <w:numId w:val="91"/>
        </w:numPr>
        <w:spacing w:after="160" w:line="360" w:lineRule="auto"/>
        <w:contextualSpacing/>
        <w:textAlignment w:val="baseline"/>
        <w:rPr>
          <w:rFonts w:ascii="Arial" w:hAnsi="Arial" w:cs="Arial"/>
          <w:color w:val="000000"/>
          <w:lang w:val="en-US"/>
        </w:rPr>
      </w:pPr>
      <w:r w:rsidRPr="002A6F4E">
        <w:rPr>
          <w:rFonts w:ascii="Arial" w:hAnsi="Arial" w:cs="Arial"/>
          <w:b/>
          <w:bCs/>
          <w:iCs/>
          <w:color w:val="000000"/>
          <w:lang w:val="en-US"/>
        </w:rPr>
        <w:t>S</w:t>
      </w:r>
      <w:r w:rsidRPr="002A6F4E">
        <w:rPr>
          <w:rFonts w:ascii="Arial" w:hAnsi="Arial" w:cs="Arial"/>
          <w:color w:val="000000"/>
          <w:lang w:val="en-US"/>
        </w:rPr>
        <w:t xml:space="preserve"> trengths</w:t>
      </w:r>
      <w:r w:rsidRPr="002A6F4E">
        <w:rPr>
          <w:rFonts w:ascii="Arial" w:hAnsi="Arial" w:cs="Arial"/>
          <w:color w:val="000000"/>
          <w:lang w:val="sl-SI"/>
        </w:rPr>
        <w:t xml:space="preserve"> – </w:t>
      </w:r>
      <w:r w:rsidR="001226AB">
        <w:rPr>
          <w:rFonts w:ascii="Arial" w:hAnsi="Arial" w:cs="Arial"/>
          <w:color w:val="000000"/>
          <w:lang w:val="sl-SI"/>
        </w:rPr>
        <w:t>snage</w:t>
      </w:r>
    </w:p>
    <w:p w14:paraId="3AF0C162" w14:textId="77777777" w:rsidR="00377063" w:rsidRPr="002A6F4E" w:rsidRDefault="00377063" w:rsidP="00A23ED0">
      <w:pPr>
        <w:numPr>
          <w:ilvl w:val="1"/>
          <w:numId w:val="91"/>
        </w:numPr>
        <w:spacing w:after="160" w:line="360" w:lineRule="auto"/>
        <w:contextualSpacing/>
        <w:textAlignment w:val="baseline"/>
        <w:rPr>
          <w:rFonts w:ascii="Arial" w:hAnsi="Arial" w:cs="Arial"/>
          <w:color w:val="000000"/>
          <w:lang w:val="en-US"/>
        </w:rPr>
      </w:pPr>
      <w:r w:rsidRPr="002A6F4E">
        <w:rPr>
          <w:rFonts w:ascii="Arial" w:hAnsi="Arial" w:cs="Arial"/>
          <w:b/>
          <w:bCs/>
          <w:iCs/>
          <w:color w:val="000000"/>
          <w:lang w:val="en-US"/>
        </w:rPr>
        <w:t>W</w:t>
      </w:r>
      <w:r w:rsidRPr="002A6F4E">
        <w:rPr>
          <w:rFonts w:ascii="Arial" w:hAnsi="Arial" w:cs="Arial"/>
          <w:color w:val="000000"/>
          <w:lang w:val="en-US"/>
        </w:rPr>
        <w:t xml:space="preserve"> eaknesses</w:t>
      </w:r>
      <w:r w:rsidRPr="002A6F4E">
        <w:rPr>
          <w:rFonts w:ascii="Arial" w:hAnsi="Arial" w:cs="Arial"/>
          <w:color w:val="000000"/>
          <w:lang w:val="sl-SI"/>
        </w:rPr>
        <w:t xml:space="preserve"> - slabosti</w:t>
      </w:r>
    </w:p>
    <w:p w14:paraId="4137974E" w14:textId="24A8AB0F" w:rsidR="00377063" w:rsidRPr="002A6F4E" w:rsidRDefault="00377063" w:rsidP="00A23ED0">
      <w:pPr>
        <w:numPr>
          <w:ilvl w:val="1"/>
          <w:numId w:val="91"/>
        </w:numPr>
        <w:spacing w:before="72" w:after="108" w:line="360" w:lineRule="auto"/>
        <w:ind w:left="1526" w:hanging="634"/>
        <w:contextualSpacing/>
        <w:textAlignment w:val="baseline"/>
        <w:rPr>
          <w:rFonts w:ascii="Arial" w:hAnsi="Arial" w:cs="Arial"/>
          <w:color w:val="000000"/>
          <w:lang w:val="en-US"/>
        </w:rPr>
      </w:pPr>
      <w:r w:rsidRPr="002A6F4E">
        <w:rPr>
          <w:rFonts w:ascii="Arial" w:hAnsi="Arial" w:cs="Arial"/>
          <w:b/>
          <w:bCs/>
          <w:iCs/>
          <w:color w:val="000000"/>
          <w:lang w:val="en-US"/>
        </w:rPr>
        <w:t>O</w:t>
      </w:r>
      <w:r w:rsidRPr="002A6F4E">
        <w:rPr>
          <w:rFonts w:ascii="Arial" w:hAnsi="Arial" w:cs="Arial"/>
          <w:color w:val="000000"/>
          <w:lang w:val="en-US"/>
        </w:rPr>
        <w:t xml:space="preserve"> pportunities</w:t>
      </w:r>
      <w:r w:rsidRPr="002A6F4E">
        <w:rPr>
          <w:rFonts w:ascii="Arial" w:hAnsi="Arial" w:cs="Arial"/>
          <w:color w:val="000000"/>
          <w:lang w:val="sl-SI"/>
        </w:rPr>
        <w:t xml:space="preserve"> – mogućnosti</w:t>
      </w:r>
      <w:r w:rsidR="001226AB">
        <w:rPr>
          <w:rFonts w:ascii="Arial" w:hAnsi="Arial" w:cs="Arial"/>
          <w:color w:val="000000"/>
          <w:lang w:val="sl-SI"/>
        </w:rPr>
        <w:t>/</w:t>
      </w:r>
      <w:r w:rsidRPr="002A6F4E">
        <w:rPr>
          <w:rFonts w:ascii="Arial" w:hAnsi="Arial" w:cs="Arial"/>
          <w:color w:val="000000"/>
          <w:lang w:val="sl-SI"/>
        </w:rPr>
        <w:t>šanse</w:t>
      </w:r>
    </w:p>
    <w:p w14:paraId="0CB468DA" w14:textId="1528D776" w:rsidR="00377063" w:rsidRPr="002A6F4E" w:rsidRDefault="00377063" w:rsidP="00A23ED0">
      <w:pPr>
        <w:numPr>
          <w:ilvl w:val="1"/>
          <w:numId w:val="92"/>
        </w:numPr>
        <w:spacing w:after="160" w:line="360" w:lineRule="auto"/>
        <w:contextualSpacing/>
        <w:textAlignment w:val="baseline"/>
        <w:rPr>
          <w:rFonts w:ascii="Arial" w:hAnsi="Arial" w:cs="Arial"/>
          <w:color w:val="000000"/>
          <w:lang w:val="en-US"/>
        </w:rPr>
      </w:pPr>
      <w:r w:rsidRPr="002A6F4E">
        <w:rPr>
          <w:rFonts w:ascii="Arial" w:hAnsi="Arial" w:cs="Arial"/>
          <w:b/>
          <w:bCs/>
          <w:iCs/>
          <w:color w:val="000000"/>
          <w:lang w:val="en-US"/>
        </w:rPr>
        <w:t>T</w:t>
      </w:r>
      <w:r w:rsidRPr="002A6F4E">
        <w:rPr>
          <w:rFonts w:ascii="Arial" w:hAnsi="Arial" w:cs="Arial"/>
          <w:color w:val="000000"/>
          <w:lang w:val="en-US"/>
        </w:rPr>
        <w:t xml:space="preserve"> hreats</w:t>
      </w:r>
      <w:r w:rsidRPr="002A6F4E">
        <w:rPr>
          <w:rFonts w:ascii="Arial" w:hAnsi="Arial" w:cs="Arial"/>
          <w:color w:val="000000"/>
          <w:lang w:val="sl-SI"/>
        </w:rPr>
        <w:t xml:space="preserve"> – opasnosti</w:t>
      </w:r>
      <w:r w:rsidR="001226AB">
        <w:rPr>
          <w:rFonts w:ascii="Arial" w:hAnsi="Arial" w:cs="Arial"/>
          <w:color w:val="000000"/>
          <w:lang w:val="sl-SI"/>
        </w:rPr>
        <w:t>/prijetnje</w:t>
      </w:r>
    </w:p>
    <w:p w14:paraId="77377AD8" w14:textId="493BDBFD" w:rsidR="00377063" w:rsidRPr="002A6F4E" w:rsidRDefault="00377063" w:rsidP="00865776">
      <w:pPr>
        <w:autoSpaceDE w:val="0"/>
        <w:autoSpaceDN w:val="0"/>
        <w:adjustRightInd w:val="0"/>
        <w:spacing w:line="360" w:lineRule="auto"/>
        <w:rPr>
          <w:rFonts w:ascii="Arial" w:hAnsi="Arial" w:cs="Arial"/>
          <w:iCs/>
          <w:color w:val="000000"/>
          <w:lang w:val="en-US"/>
        </w:rPr>
      </w:pPr>
      <w:r w:rsidRPr="002A6F4E">
        <w:rPr>
          <w:rFonts w:ascii="Arial" w:hAnsi="Arial" w:cs="Arial"/>
          <w:iCs/>
          <w:color w:val="000000"/>
          <w:lang w:val="en-US"/>
        </w:rPr>
        <w:t>SWOT analiza u osnovi predstavlja dio procesa str</w:t>
      </w:r>
      <w:r w:rsidR="00547108">
        <w:rPr>
          <w:rFonts w:ascii="Arial" w:hAnsi="Arial" w:cs="Arial"/>
          <w:iCs/>
          <w:color w:val="000000"/>
          <w:lang w:val="en-US"/>
        </w:rPr>
        <w:t>a</w:t>
      </w:r>
      <w:r w:rsidRPr="002A6F4E">
        <w:rPr>
          <w:rFonts w:ascii="Arial" w:hAnsi="Arial" w:cs="Arial"/>
          <w:iCs/>
          <w:color w:val="000000"/>
          <w:lang w:val="en-US"/>
        </w:rPr>
        <w:t xml:space="preserve">tegijskog menadžmenta, a obuhvata:  </w:t>
      </w:r>
    </w:p>
    <w:p w14:paraId="2670B76B" w14:textId="442F63C9" w:rsidR="00377063" w:rsidRPr="002A6F4E" w:rsidRDefault="00377063" w:rsidP="00A23ED0">
      <w:pPr>
        <w:numPr>
          <w:ilvl w:val="0"/>
          <w:numId w:val="93"/>
        </w:numPr>
        <w:autoSpaceDE w:val="0"/>
        <w:autoSpaceDN w:val="0"/>
        <w:adjustRightInd w:val="0"/>
        <w:spacing w:after="160" w:line="360" w:lineRule="auto"/>
        <w:rPr>
          <w:rFonts w:ascii="Arial" w:hAnsi="Arial" w:cs="Arial"/>
          <w:iCs/>
          <w:color w:val="000000"/>
          <w:lang w:val="en-US"/>
        </w:rPr>
      </w:pPr>
      <w:r w:rsidRPr="002A6F4E">
        <w:rPr>
          <w:rFonts w:ascii="Arial" w:hAnsi="Arial" w:cs="Arial"/>
          <w:b/>
          <w:iCs/>
          <w:color w:val="000000"/>
          <w:lang w:val="en-US"/>
        </w:rPr>
        <w:t xml:space="preserve">Internu analizu </w:t>
      </w:r>
      <w:r w:rsidRPr="002A6F4E">
        <w:rPr>
          <w:rFonts w:ascii="Arial" w:hAnsi="Arial" w:cs="Arial"/>
          <w:iCs/>
          <w:color w:val="000000"/>
          <w:lang w:val="en-US"/>
        </w:rPr>
        <w:t>koja podrazumijeva proces evaluacije internih snaga i slabosti kako bi saznali u čemu je organizacija dobra ili loša, odnosno šta je od navedenog dobro, a šta nedostaje ili je u manjku. Konkretnije, kada je u pitanju DPUO evaluacija se odnosi na pretpostavke i faktore i  rješenja koja se predla</w:t>
      </w:r>
      <w:r w:rsidRPr="002A6F4E">
        <w:rPr>
          <w:rFonts w:ascii="Arial" w:hAnsi="Arial" w:cs="Arial"/>
          <w:iCs/>
          <w:color w:val="000000"/>
          <w:lang w:val="sr-Latn-ME"/>
        </w:rPr>
        <w:t>ž</w:t>
      </w:r>
      <w:r w:rsidRPr="002A6F4E">
        <w:rPr>
          <w:rFonts w:ascii="Arial" w:hAnsi="Arial" w:cs="Arial"/>
          <w:iCs/>
          <w:color w:val="000000"/>
          <w:lang w:val="en-US"/>
        </w:rPr>
        <w:t xml:space="preserve">u istim. </w:t>
      </w:r>
    </w:p>
    <w:p w14:paraId="4D394AFA" w14:textId="6913EAC3" w:rsidR="00377063" w:rsidRPr="002A6F4E" w:rsidRDefault="00377063" w:rsidP="00A23ED0">
      <w:pPr>
        <w:numPr>
          <w:ilvl w:val="0"/>
          <w:numId w:val="93"/>
        </w:numPr>
        <w:autoSpaceDE w:val="0"/>
        <w:autoSpaceDN w:val="0"/>
        <w:adjustRightInd w:val="0"/>
        <w:spacing w:after="160" w:line="360" w:lineRule="auto"/>
        <w:rPr>
          <w:rFonts w:ascii="Arial" w:hAnsi="Arial" w:cs="Arial"/>
          <w:iCs/>
          <w:color w:val="000000"/>
          <w:lang w:val="en-US"/>
        </w:rPr>
      </w:pPr>
      <w:r w:rsidRPr="002A6F4E">
        <w:rPr>
          <w:rFonts w:ascii="Arial" w:hAnsi="Arial" w:cs="Arial"/>
          <w:b/>
          <w:iCs/>
          <w:color w:val="000000"/>
          <w:lang w:val="en-US"/>
        </w:rPr>
        <w:t>Eksternu analizu,</w:t>
      </w:r>
      <w:r w:rsidRPr="002A6F4E">
        <w:rPr>
          <w:rFonts w:ascii="Arial" w:hAnsi="Arial" w:cs="Arial"/>
          <w:iCs/>
          <w:color w:val="000000"/>
          <w:lang w:val="en-US"/>
        </w:rPr>
        <w:t xml:space="preserve"> koja podrazumijeva proces skeniranja i evaluacije eksternog okruženja organizacije  na način da menadžeri saznaju sa kakvim se šansama i prijetnjama može da suoči njihova organizacija.  Konkretnije, kada je u pitanju DPUO evaluacijom se procjenjuju potencijalne šanse i prijetnje koje idu u prilog ili mogu da ometu implementaciju plana.</w:t>
      </w:r>
      <w:r w:rsidRPr="002A6F4E">
        <w:rPr>
          <w:rFonts w:ascii="Arial" w:eastAsia="Times New Roman" w:hAnsi="Arial" w:cs="Arial"/>
          <w:lang w:val="bs-Latn"/>
        </w:rPr>
        <w:tab/>
        <w:t xml:space="preserve"> </w:t>
      </w:r>
    </w:p>
    <w:p w14:paraId="29FE411F" w14:textId="7909B327" w:rsidR="00377063" w:rsidRPr="0054632B" w:rsidRDefault="00377063" w:rsidP="00377063">
      <w:pPr>
        <w:autoSpaceDE w:val="0"/>
        <w:autoSpaceDN w:val="0"/>
        <w:adjustRightInd w:val="0"/>
        <w:spacing w:line="360" w:lineRule="auto"/>
        <w:rPr>
          <w:rFonts w:ascii="Arial" w:hAnsi="Arial" w:cs="Arial"/>
          <w:iCs/>
          <w:color w:val="000000" w:themeColor="text1"/>
          <w:lang w:val="bs-Latn"/>
        </w:rPr>
      </w:pPr>
      <w:r w:rsidRPr="002A6F4E">
        <w:rPr>
          <w:rFonts w:ascii="Arial" w:hAnsi="Arial" w:cs="Arial"/>
          <w:lang w:val="en-US"/>
        </w:rPr>
        <w:t>Na</w:t>
      </w:r>
      <w:r w:rsidRPr="002A6F4E">
        <w:rPr>
          <w:rFonts w:ascii="Arial" w:hAnsi="Arial" w:cs="Arial"/>
          <w:spacing w:val="-13"/>
          <w:lang w:val="bs-Latn"/>
        </w:rPr>
        <w:t xml:space="preserve"> </w:t>
      </w:r>
      <w:r w:rsidRPr="002A6F4E">
        <w:rPr>
          <w:rFonts w:ascii="Arial" w:hAnsi="Arial" w:cs="Arial"/>
          <w:lang w:val="en-US"/>
        </w:rPr>
        <w:t>snage</w:t>
      </w:r>
      <w:r w:rsidRPr="002A6F4E">
        <w:rPr>
          <w:rFonts w:ascii="Arial" w:hAnsi="Arial" w:cs="Arial"/>
          <w:spacing w:val="-13"/>
          <w:lang w:val="bs-Latn"/>
        </w:rPr>
        <w:t xml:space="preserve"> </w:t>
      </w:r>
      <w:r w:rsidRPr="002A6F4E">
        <w:rPr>
          <w:rFonts w:ascii="Arial" w:hAnsi="Arial" w:cs="Arial"/>
          <w:lang w:val="en-US"/>
        </w:rPr>
        <w:t>i</w:t>
      </w:r>
      <w:r w:rsidRPr="002A6F4E">
        <w:rPr>
          <w:rFonts w:ascii="Arial" w:hAnsi="Arial" w:cs="Arial"/>
          <w:spacing w:val="-10"/>
          <w:lang w:val="bs-Latn"/>
        </w:rPr>
        <w:t xml:space="preserve"> </w:t>
      </w:r>
      <w:r w:rsidRPr="002A6F4E">
        <w:rPr>
          <w:rFonts w:ascii="Arial" w:hAnsi="Arial" w:cs="Arial"/>
          <w:lang w:val="en-US"/>
        </w:rPr>
        <w:t>slabosti</w:t>
      </w:r>
      <w:r w:rsidRPr="002A6F4E">
        <w:rPr>
          <w:rFonts w:ascii="Arial" w:hAnsi="Arial" w:cs="Arial"/>
          <w:lang w:val="bs-Latn"/>
        </w:rPr>
        <w:t>,</w:t>
      </w:r>
      <w:r w:rsidRPr="002A6F4E">
        <w:rPr>
          <w:rFonts w:ascii="Arial" w:hAnsi="Arial" w:cs="Arial"/>
          <w:spacing w:val="-10"/>
          <w:lang w:val="bs-Latn"/>
        </w:rPr>
        <w:t xml:space="preserve"> </w:t>
      </w:r>
      <w:r w:rsidRPr="002A6F4E">
        <w:rPr>
          <w:rFonts w:ascii="Arial" w:hAnsi="Arial" w:cs="Arial"/>
          <w:lang w:val="en-US"/>
        </w:rPr>
        <w:t>kao</w:t>
      </w:r>
      <w:r w:rsidRPr="002A6F4E">
        <w:rPr>
          <w:rFonts w:ascii="Arial" w:hAnsi="Arial" w:cs="Arial"/>
          <w:spacing w:val="-11"/>
          <w:lang w:val="bs-Latn"/>
        </w:rPr>
        <w:t xml:space="preserve"> </w:t>
      </w:r>
      <w:r w:rsidRPr="002A6F4E">
        <w:rPr>
          <w:rFonts w:ascii="Arial" w:hAnsi="Arial" w:cs="Arial"/>
          <w:spacing w:val="-11"/>
          <w:lang w:val="en-US"/>
        </w:rPr>
        <w:t>u</w:t>
      </w:r>
      <w:r w:rsidRPr="002A6F4E">
        <w:rPr>
          <w:rFonts w:ascii="Arial" w:hAnsi="Arial" w:cs="Arial"/>
          <w:lang w:val="en-US"/>
        </w:rPr>
        <w:t>nutra</w:t>
      </w:r>
      <w:r w:rsidRPr="002A6F4E">
        <w:rPr>
          <w:rFonts w:ascii="Arial" w:hAnsi="Arial" w:cs="Arial"/>
          <w:lang w:val="bs-Latn"/>
        </w:rPr>
        <w:t>š</w:t>
      </w:r>
      <w:r w:rsidRPr="002A6F4E">
        <w:rPr>
          <w:rFonts w:ascii="Arial" w:hAnsi="Arial" w:cs="Arial"/>
          <w:lang w:val="en-US"/>
        </w:rPr>
        <w:t>nje</w:t>
      </w:r>
      <w:r w:rsidRPr="002A6F4E">
        <w:rPr>
          <w:rFonts w:ascii="Arial" w:hAnsi="Arial" w:cs="Arial"/>
          <w:spacing w:val="-13"/>
          <w:lang w:val="bs-Latn"/>
        </w:rPr>
        <w:t xml:space="preserve"> </w:t>
      </w:r>
      <w:r w:rsidRPr="002A6F4E">
        <w:rPr>
          <w:rFonts w:ascii="Arial" w:hAnsi="Arial" w:cs="Arial"/>
          <w:lang w:val="en-US"/>
        </w:rPr>
        <w:t>faktore</w:t>
      </w:r>
      <w:r w:rsidRPr="002A6F4E">
        <w:rPr>
          <w:rFonts w:ascii="Arial" w:hAnsi="Arial" w:cs="Arial"/>
          <w:lang w:val="bs-Latn"/>
        </w:rPr>
        <w:t xml:space="preserve"> </w:t>
      </w:r>
      <w:r w:rsidRPr="002A6F4E">
        <w:rPr>
          <w:rFonts w:ascii="Arial" w:hAnsi="Arial" w:cs="Arial"/>
          <w:lang w:val="en-US"/>
        </w:rPr>
        <w:t>ili</w:t>
      </w:r>
      <w:r w:rsidRPr="002A6F4E">
        <w:rPr>
          <w:rFonts w:ascii="Arial" w:hAnsi="Arial" w:cs="Arial"/>
          <w:lang w:val="bs-Latn"/>
        </w:rPr>
        <w:t xml:space="preserve"> </w:t>
      </w:r>
      <w:r w:rsidRPr="002A6F4E">
        <w:rPr>
          <w:rFonts w:ascii="Arial" w:hAnsi="Arial" w:cs="Arial"/>
          <w:lang w:val="en-US"/>
        </w:rPr>
        <w:t>odrednice</w:t>
      </w:r>
      <w:r w:rsidRPr="002A6F4E">
        <w:rPr>
          <w:rFonts w:ascii="Arial" w:hAnsi="Arial" w:cs="Arial"/>
          <w:lang w:val="bs-Latn"/>
        </w:rPr>
        <w:t xml:space="preserve"> </w:t>
      </w:r>
      <w:r w:rsidRPr="002A6F4E">
        <w:rPr>
          <w:rFonts w:ascii="Arial" w:hAnsi="Arial" w:cs="Arial"/>
          <w:lang w:val="en-US"/>
        </w:rPr>
        <w:t>u</w:t>
      </w:r>
      <w:r w:rsidRPr="002A6F4E">
        <w:rPr>
          <w:rFonts w:ascii="Arial" w:hAnsi="Arial" w:cs="Arial"/>
          <w:lang w:val="bs-Latn"/>
        </w:rPr>
        <w:t xml:space="preserve"> </w:t>
      </w:r>
      <w:r w:rsidRPr="002A6F4E">
        <w:rPr>
          <w:rFonts w:ascii="Arial" w:hAnsi="Arial" w:cs="Arial"/>
          <w:lang w:val="en-US"/>
        </w:rPr>
        <w:t>pogledu</w:t>
      </w:r>
      <w:r w:rsidRPr="002A6F4E">
        <w:rPr>
          <w:rFonts w:ascii="Arial" w:hAnsi="Arial" w:cs="Arial"/>
          <w:lang w:val="bs-Latn"/>
        </w:rPr>
        <w:t xml:space="preserve"> </w:t>
      </w:r>
      <w:r w:rsidRPr="002A6F4E">
        <w:rPr>
          <w:rFonts w:ascii="Arial" w:hAnsi="Arial" w:cs="Arial"/>
          <w:lang w:val="en-US"/>
        </w:rPr>
        <w:t>krajnjeg</w:t>
      </w:r>
      <w:r w:rsidRPr="002A6F4E">
        <w:rPr>
          <w:rFonts w:ascii="Arial" w:hAnsi="Arial" w:cs="Arial"/>
          <w:lang w:val="bs-Latn"/>
        </w:rPr>
        <w:t xml:space="preserve"> </w:t>
      </w:r>
      <w:r w:rsidRPr="002A6F4E">
        <w:rPr>
          <w:rFonts w:ascii="Arial" w:hAnsi="Arial" w:cs="Arial"/>
          <w:lang w:val="en-US"/>
        </w:rPr>
        <w:t>ishoda</w:t>
      </w:r>
      <w:r w:rsidRPr="002A6F4E">
        <w:rPr>
          <w:rFonts w:ascii="Arial" w:hAnsi="Arial" w:cs="Arial"/>
          <w:lang w:val="bs-Latn"/>
        </w:rPr>
        <w:t xml:space="preserve"> </w:t>
      </w:r>
      <w:r w:rsidRPr="002A6F4E">
        <w:rPr>
          <w:rFonts w:ascii="Arial" w:hAnsi="Arial" w:cs="Arial"/>
          <w:lang w:val="en-US"/>
        </w:rPr>
        <w:t>primjene</w:t>
      </w:r>
      <w:r w:rsidRPr="002A6F4E">
        <w:rPr>
          <w:rFonts w:ascii="Arial" w:hAnsi="Arial" w:cs="Arial"/>
          <w:lang w:val="bs-Latn"/>
        </w:rPr>
        <w:t xml:space="preserve"> </w:t>
      </w:r>
      <w:r w:rsidRPr="002A6F4E">
        <w:rPr>
          <w:rFonts w:ascii="Arial" w:hAnsi="Arial" w:cs="Arial"/>
          <w:lang w:val="en-US"/>
        </w:rPr>
        <w:t>predlo</w:t>
      </w:r>
      <w:r w:rsidRPr="002A6F4E">
        <w:rPr>
          <w:rFonts w:ascii="Arial" w:hAnsi="Arial" w:cs="Arial"/>
          <w:lang w:val="bs-Latn"/>
        </w:rPr>
        <w:t>ž</w:t>
      </w:r>
      <w:r w:rsidRPr="002A6F4E">
        <w:rPr>
          <w:rFonts w:ascii="Arial" w:hAnsi="Arial" w:cs="Arial"/>
          <w:lang w:val="en-US"/>
        </w:rPr>
        <w:t>enog</w:t>
      </w:r>
      <w:r w:rsidRPr="002A6F4E">
        <w:rPr>
          <w:rFonts w:ascii="Arial" w:hAnsi="Arial" w:cs="Arial"/>
          <w:lang w:val="bs-Latn"/>
        </w:rPr>
        <w:t xml:space="preserve"> </w:t>
      </w:r>
      <w:r w:rsidRPr="002A6F4E">
        <w:rPr>
          <w:rFonts w:ascii="Arial" w:hAnsi="Arial" w:cs="Arial"/>
          <w:lang w:val="en-US"/>
        </w:rPr>
        <w:t>DPUO</w:t>
      </w:r>
      <w:r w:rsidRPr="002A6F4E">
        <w:rPr>
          <w:rFonts w:ascii="Arial" w:hAnsi="Arial" w:cs="Arial"/>
          <w:lang w:val="bs-Latn"/>
        </w:rPr>
        <w:t xml:space="preserve"> </w:t>
      </w:r>
      <w:r w:rsidRPr="002A6F4E">
        <w:rPr>
          <w:rFonts w:ascii="Arial" w:hAnsi="Arial" w:cs="Arial"/>
          <w:lang w:val="en-US"/>
        </w:rPr>
        <w:t>mo</w:t>
      </w:r>
      <w:r w:rsidRPr="002A6F4E">
        <w:rPr>
          <w:rFonts w:ascii="Arial" w:hAnsi="Arial" w:cs="Arial"/>
          <w:lang w:val="bs-Latn"/>
        </w:rPr>
        <w:t>ž</w:t>
      </w:r>
      <w:r w:rsidRPr="002A6F4E">
        <w:rPr>
          <w:rFonts w:ascii="Arial" w:hAnsi="Arial" w:cs="Arial"/>
          <w:lang w:val="en-US"/>
        </w:rPr>
        <w:t>e</w:t>
      </w:r>
      <w:r w:rsidRPr="002A6F4E">
        <w:rPr>
          <w:rFonts w:ascii="Arial" w:hAnsi="Arial" w:cs="Arial"/>
          <w:spacing w:val="-10"/>
          <w:lang w:val="bs-Latn"/>
        </w:rPr>
        <w:t xml:space="preserve"> </w:t>
      </w:r>
      <w:r w:rsidRPr="002A6F4E">
        <w:rPr>
          <w:rFonts w:ascii="Arial" w:hAnsi="Arial" w:cs="Arial"/>
          <w:lang w:val="en-US"/>
        </w:rPr>
        <w:t>se</w:t>
      </w:r>
      <w:r w:rsidRPr="002A6F4E">
        <w:rPr>
          <w:rFonts w:ascii="Arial" w:hAnsi="Arial" w:cs="Arial"/>
          <w:spacing w:val="-10"/>
          <w:lang w:val="bs-Latn"/>
        </w:rPr>
        <w:t xml:space="preserve"> </w:t>
      </w:r>
      <w:r w:rsidRPr="002A6F4E">
        <w:rPr>
          <w:rFonts w:ascii="Arial" w:hAnsi="Arial" w:cs="Arial"/>
          <w:lang w:val="en-US"/>
        </w:rPr>
        <w:t>djelovati</w:t>
      </w:r>
      <w:r w:rsidRPr="002A6F4E">
        <w:rPr>
          <w:rFonts w:ascii="Arial" w:hAnsi="Arial" w:cs="Arial"/>
          <w:lang w:val="bs-Latn"/>
        </w:rPr>
        <w:t xml:space="preserve"> </w:t>
      </w:r>
      <w:r w:rsidRPr="002A6F4E">
        <w:rPr>
          <w:rFonts w:ascii="Arial" w:hAnsi="Arial" w:cs="Arial"/>
          <w:lang w:val="en-US"/>
        </w:rPr>
        <w:t>sa</w:t>
      </w:r>
      <w:r w:rsidRPr="002A6F4E">
        <w:rPr>
          <w:rFonts w:ascii="Arial" w:hAnsi="Arial" w:cs="Arial"/>
          <w:lang w:val="bs-Latn"/>
        </w:rPr>
        <w:t xml:space="preserve"> </w:t>
      </w:r>
      <w:r w:rsidRPr="002A6F4E">
        <w:rPr>
          <w:rFonts w:ascii="Arial" w:hAnsi="Arial" w:cs="Arial"/>
          <w:lang w:val="en-US"/>
        </w:rPr>
        <w:t>strane</w:t>
      </w:r>
      <w:r w:rsidRPr="002A6F4E">
        <w:rPr>
          <w:rFonts w:ascii="Arial" w:hAnsi="Arial" w:cs="Arial"/>
          <w:lang w:val="bs-Latn"/>
        </w:rPr>
        <w:t xml:space="preserve"> </w:t>
      </w:r>
      <w:r w:rsidRPr="002A6F4E">
        <w:rPr>
          <w:rFonts w:ascii="Arial" w:hAnsi="Arial" w:cs="Arial"/>
          <w:lang w:val="en-US"/>
        </w:rPr>
        <w:t>relevantnih</w:t>
      </w:r>
      <w:r w:rsidRPr="002A6F4E">
        <w:rPr>
          <w:rFonts w:ascii="Arial" w:hAnsi="Arial" w:cs="Arial"/>
          <w:lang w:val="bs-Latn"/>
        </w:rPr>
        <w:t xml:space="preserve"> </w:t>
      </w:r>
      <w:r w:rsidRPr="002A6F4E">
        <w:rPr>
          <w:rFonts w:ascii="Arial" w:hAnsi="Arial" w:cs="Arial"/>
          <w:lang w:val="en-US"/>
        </w:rPr>
        <w:t>organa</w:t>
      </w:r>
      <w:r w:rsidRPr="002A6F4E">
        <w:rPr>
          <w:rFonts w:ascii="Arial" w:hAnsi="Arial" w:cs="Arial"/>
          <w:lang w:val="bs-Latn"/>
        </w:rPr>
        <w:t xml:space="preserve"> </w:t>
      </w:r>
      <w:r w:rsidRPr="002A6F4E">
        <w:rPr>
          <w:rFonts w:ascii="Arial" w:hAnsi="Arial" w:cs="Arial"/>
          <w:lang w:val="en-US"/>
        </w:rPr>
        <w:t>i</w:t>
      </w:r>
      <w:r w:rsidRPr="002A6F4E">
        <w:rPr>
          <w:rFonts w:ascii="Arial" w:hAnsi="Arial" w:cs="Arial"/>
          <w:lang w:val="bs-Latn"/>
        </w:rPr>
        <w:t xml:space="preserve"> </w:t>
      </w:r>
      <w:r w:rsidRPr="002A6F4E">
        <w:rPr>
          <w:rFonts w:ascii="Arial" w:hAnsi="Arial" w:cs="Arial"/>
          <w:lang w:val="en-US"/>
        </w:rPr>
        <w:t>institucija</w:t>
      </w:r>
      <w:r w:rsidRPr="002A6F4E">
        <w:rPr>
          <w:rFonts w:ascii="Arial" w:hAnsi="Arial" w:cs="Arial"/>
          <w:lang w:val="bs-Latn"/>
        </w:rPr>
        <w:t xml:space="preserve"> </w:t>
      </w:r>
      <w:r w:rsidRPr="002A6F4E">
        <w:rPr>
          <w:rFonts w:ascii="Arial" w:hAnsi="Arial" w:cs="Arial"/>
          <w:lang w:val="en-US"/>
        </w:rPr>
        <w:t>sa</w:t>
      </w:r>
      <w:r w:rsidRPr="002A6F4E">
        <w:rPr>
          <w:rFonts w:ascii="Arial" w:hAnsi="Arial" w:cs="Arial"/>
          <w:lang w:val="bs-Latn"/>
        </w:rPr>
        <w:t xml:space="preserve"> </w:t>
      </w:r>
      <w:r w:rsidRPr="002A6F4E">
        <w:rPr>
          <w:rFonts w:ascii="Arial" w:hAnsi="Arial" w:cs="Arial"/>
          <w:lang w:val="en-US"/>
        </w:rPr>
        <w:t>nivoa</w:t>
      </w:r>
      <w:r w:rsidRPr="002A6F4E">
        <w:rPr>
          <w:rFonts w:ascii="Arial" w:hAnsi="Arial" w:cs="Arial"/>
          <w:lang w:val="bs-Latn"/>
        </w:rPr>
        <w:t xml:space="preserve">  </w:t>
      </w:r>
      <w:r w:rsidRPr="002A6F4E">
        <w:rPr>
          <w:rFonts w:ascii="Arial" w:hAnsi="Arial" w:cs="Arial"/>
          <w:lang w:val="en-US"/>
        </w:rPr>
        <w:t>dr</w:t>
      </w:r>
      <w:r w:rsidRPr="002A6F4E">
        <w:rPr>
          <w:rFonts w:ascii="Arial" w:hAnsi="Arial" w:cs="Arial"/>
          <w:lang w:val="bs-Latn"/>
        </w:rPr>
        <w:t>ž</w:t>
      </w:r>
      <w:r w:rsidRPr="002A6F4E">
        <w:rPr>
          <w:rFonts w:ascii="Arial" w:hAnsi="Arial" w:cs="Arial"/>
          <w:lang w:val="en-US"/>
        </w:rPr>
        <w:t>ave</w:t>
      </w:r>
      <w:r w:rsidRPr="002A6F4E">
        <w:rPr>
          <w:rFonts w:ascii="Arial" w:hAnsi="Arial" w:cs="Arial"/>
          <w:lang w:val="bs-Latn"/>
        </w:rPr>
        <w:t xml:space="preserve"> </w:t>
      </w:r>
      <w:r w:rsidRPr="002A6F4E">
        <w:rPr>
          <w:rFonts w:ascii="Arial" w:hAnsi="Arial" w:cs="Arial"/>
          <w:lang w:val="en-US"/>
        </w:rPr>
        <w:t>kao</w:t>
      </w:r>
      <w:r w:rsidRPr="002A6F4E">
        <w:rPr>
          <w:rFonts w:ascii="Arial" w:hAnsi="Arial" w:cs="Arial"/>
          <w:lang w:val="bs-Latn"/>
        </w:rPr>
        <w:t xml:space="preserve"> š</w:t>
      </w:r>
      <w:r w:rsidRPr="002A6F4E">
        <w:rPr>
          <w:rFonts w:ascii="Arial" w:hAnsi="Arial" w:cs="Arial"/>
          <w:lang w:val="en-US"/>
        </w:rPr>
        <w:t>to</w:t>
      </w:r>
      <w:r w:rsidRPr="002A6F4E">
        <w:rPr>
          <w:rFonts w:ascii="Arial" w:hAnsi="Arial" w:cs="Arial"/>
          <w:lang w:val="bs-Latn"/>
        </w:rPr>
        <w:t xml:space="preserve"> </w:t>
      </w:r>
      <w:r w:rsidRPr="002A6F4E">
        <w:rPr>
          <w:rFonts w:ascii="Arial" w:hAnsi="Arial" w:cs="Arial"/>
          <w:lang w:val="en-US"/>
        </w:rPr>
        <w:t>su</w:t>
      </w:r>
      <w:r w:rsidRPr="002A6F4E">
        <w:rPr>
          <w:rFonts w:ascii="Arial" w:hAnsi="Arial" w:cs="Arial"/>
          <w:lang w:val="bs-Latn"/>
        </w:rPr>
        <w:t xml:space="preserve"> </w:t>
      </w:r>
      <w:r w:rsidRPr="002A6F4E">
        <w:rPr>
          <w:rFonts w:ascii="Arial" w:hAnsi="Arial" w:cs="Arial"/>
          <w:lang w:val="en-US"/>
        </w:rPr>
        <w:t>Vlada</w:t>
      </w:r>
      <w:r w:rsidRPr="002A6F4E">
        <w:rPr>
          <w:rFonts w:ascii="Arial" w:hAnsi="Arial" w:cs="Arial"/>
          <w:lang w:val="bs-Latn"/>
        </w:rPr>
        <w:t xml:space="preserve"> </w:t>
      </w:r>
      <w:r w:rsidRPr="002A6F4E">
        <w:rPr>
          <w:rFonts w:ascii="Arial" w:hAnsi="Arial" w:cs="Arial"/>
          <w:lang w:val="en-US"/>
        </w:rPr>
        <w:t>Crne</w:t>
      </w:r>
      <w:r w:rsidRPr="002A6F4E">
        <w:rPr>
          <w:rFonts w:ascii="Arial" w:hAnsi="Arial" w:cs="Arial"/>
          <w:lang w:val="bs-Latn"/>
        </w:rPr>
        <w:t xml:space="preserve"> </w:t>
      </w:r>
      <w:r w:rsidRPr="002A6F4E">
        <w:rPr>
          <w:rFonts w:ascii="Arial" w:hAnsi="Arial" w:cs="Arial"/>
          <w:lang w:val="en-US"/>
        </w:rPr>
        <w:t>Gore</w:t>
      </w:r>
      <w:r w:rsidRPr="002A6F4E">
        <w:rPr>
          <w:rFonts w:ascii="Arial" w:hAnsi="Arial" w:cs="Arial"/>
          <w:lang w:val="bs-Latn"/>
        </w:rPr>
        <w:t xml:space="preserve">,  </w:t>
      </w:r>
      <w:r w:rsidR="003A55AE">
        <w:rPr>
          <w:rFonts w:ascii="Arial" w:hAnsi="Arial" w:cs="Arial"/>
          <w:lang w:val="en-US"/>
        </w:rPr>
        <w:t>r</w:t>
      </w:r>
      <w:r w:rsidRPr="002A6F4E">
        <w:rPr>
          <w:rFonts w:ascii="Arial" w:hAnsi="Arial" w:cs="Arial"/>
          <w:lang w:val="en-US"/>
        </w:rPr>
        <w:t>esorno</w:t>
      </w:r>
      <w:r w:rsidRPr="002A6F4E">
        <w:rPr>
          <w:rFonts w:ascii="Arial" w:hAnsi="Arial" w:cs="Arial"/>
          <w:lang w:val="bs-Latn"/>
        </w:rPr>
        <w:t xml:space="preserve"> </w:t>
      </w:r>
      <w:r w:rsidRPr="002A6F4E">
        <w:rPr>
          <w:rFonts w:ascii="Arial" w:hAnsi="Arial" w:cs="Arial"/>
          <w:lang w:val="en-US"/>
        </w:rPr>
        <w:t>ministarstvo</w:t>
      </w:r>
      <w:r w:rsidRPr="002A6F4E">
        <w:rPr>
          <w:rFonts w:ascii="Arial" w:hAnsi="Arial" w:cs="Arial"/>
          <w:lang w:val="bs-Latn"/>
        </w:rPr>
        <w:t xml:space="preserve"> – </w:t>
      </w:r>
      <w:r w:rsidRPr="002A6F4E">
        <w:rPr>
          <w:rFonts w:ascii="Arial" w:hAnsi="Arial" w:cs="Arial"/>
          <w:lang w:val="en-US"/>
        </w:rPr>
        <w:t>MERS</w:t>
      </w:r>
      <w:r w:rsidRPr="002A6F4E">
        <w:rPr>
          <w:rFonts w:ascii="Arial" w:hAnsi="Arial" w:cs="Arial"/>
          <w:lang w:val="bs-Latn"/>
        </w:rPr>
        <w:t xml:space="preserve">, </w:t>
      </w:r>
      <w:r w:rsidRPr="002A6F4E">
        <w:rPr>
          <w:rFonts w:ascii="Arial" w:hAnsi="Arial" w:cs="Arial"/>
          <w:lang w:val="en-US"/>
        </w:rPr>
        <w:t>Agencija</w:t>
      </w:r>
      <w:r w:rsidRPr="002A6F4E">
        <w:rPr>
          <w:rFonts w:ascii="Arial" w:hAnsi="Arial" w:cs="Arial"/>
          <w:lang w:val="bs-Latn"/>
        </w:rPr>
        <w:t xml:space="preserve"> </w:t>
      </w:r>
      <w:r w:rsidRPr="002A6F4E">
        <w:rPr>
          <w:rFonts w:ascii="Arial" w:hAnsi="Arial" w:cs="Arial"/>
          <w:lang w:val="en-US"/>
        </w:rPr>
        <w:t>za</w:t>
      </w:r>
      <w:r w:rsidRPr="002A6F4E">
        <w:rPr>
          <w:rFonts w:ascii="Arial" w:hAnsi="Arial" w:cs="Arial"/>
          <w:lang w:val="bs-Latn"/>
        </w:rPr>
        <w:t xml:space="preserve"> </w:t>
      </w:r>
      <w:r w:rsidRPr="002A6F4E">
        <w:rPr>
          <w:rFonts w:ascii="Arial" w:hAnsi="Arial" w:cs="Arial"/>
          <w:lang w:val="en-US"/>
        </w:rPr>
        <w:t>za</w:t>
      </w:r>
      <w:r w:rsidRPr="002A6F4E">
        <w:rPr>
          <w:rFonts w:ascii="Arial" w:hAnsi="Arial" w:cs="Arial"/>
          <w:lang w:val="bs-Latn"/>
        </w:rPr>
        <w:t>š</w:t>
      </w:r>
      <w:r w:rsidRPr="002A6F4E">
        <w:rPr>
          <w:rFonts w:ascii="Arial" w:hAnsi="Arial" w:cs="Arial"/>
          <w:lang w:val="en-US"/>
        </w:rPr>
        <w:t>titu</w:t>
      </w:r>
      <w:r w:rsidRPr="002A6F4E">
        <w:rPr>
          <w:rFonts w:ascii="Arial" w:hAnsi="Arial" w:cs="Arial"/>
          <w:lang w:val="bs-Latn"/>
        </w:rPr>
        <w:t xml:space="preserve"> ž</w:t>
      </w:r>
      <w:r w:rsidRPr="002A6F4E">
        <w:rPr>
          <w:rFonts w:ascii="Arial" w:hAnsi="Arial" w:cs="Arial"/>
          <w:lang w:val="en-US"/>
        </w:rPr>
        <w:t>ivotne</w:t>
      </w:r>
      <w:r w:rsidRPr="002A6F4E">
        <w:rPr>
          <w:rFonts w:ascii="Arial" w:hAnsi="Arial" w:cs="Arial"/>
          <w:lang w:val="bs-Latn"/>
        </w:rPr>
        <w:t xml:space="preserve"> </w:t>
      </w:r>
      <w:r w:rsidRPr="002A6F4E">
        <w:rPr>
          <w:rFonts w:ascii="Arial" w:hAnsi="Arial" w:cs="Arial"/>
          <w:lang w:val="en-US"/>
        </w:rPr>
        <w:t>sredine</w:t>
      </w:r>
      <w:r w:rsidRPr="002A6F4E">
        <w:rPr>
          <w:rFonts w:ascii="Arial" w:hAnsi="Arial" w:cs="Arial"/>
          <w:lang w:val="bs-Latn"/>
        </w:rPr>
        <w:t xml:space="preserve">, </w:t>
      </w:r>
      <w:r w:rsidRPr="002A6F4E">
        <w:rPr>
          <w:rFonts w:ascii="Arial" w:hAnsi="Arial" w:cs="Arial"/>
          <w:lang w:val="en-US"/>
        </w:rPr>
        <w:t>organa</w:t>
      </w:r>
      <w:r w:rsidRPr="002A6F4E">
        <w:rPr>
          <w:rFonts w:ascii="Arial" w:hAnsi="Arial" w:cs="Arial"/>
          <w:lang w:val="bs-Latn"/>
        </w:rPr>
        <w:t xml:space="preserve"> </w:t>
      </w:r>
      <w:r w:rsidRPr="002A6F4E">
        <w:rPr>
          <w:rFonts w:ascii="Arial" w:hAnsi="Arial" w:cs="Arial"/>
          <w:lang w:val="en-US"/>
        </w:rPr>
        <w:t>lokalne</w:t>
      </w:r>
      <w:r w:rsidRPr="002A6F4E">
        <w:rPr>
          <w:rFonts w:ascii="Arial" w:hAnsi="Arial" w:cs="Arial"/>
          <w:lang w:val="bs-Latn"/>
        </w:rPr>
        <w:t xml:space="preserve"> </w:t>
      </w:r>
      <w:r w:rsidRPr="002A6F4E">
        <w:rPr>
          <w:rFonts w:ascii="Arial" w:hAnsi="Arial" w:cs="Arial"/>
          <w:lang w:val="en-US"/>
        </w:rPr>
        <w:t>samouprave</w:t>
      </w:r>
      <w:r w:rsidRPr="002A6F4E">
        <w:rPr>
          <w:rFonts w:ascii="Arial" w:hAnsi="Arial" w:cs="Arial"/>
          <w:lang w:val="bs-Latn"/>
        </w:rPr>
        <w:t xml:space="preserve"> </w:t>
      </w:r>
      <w:r w:rsidRPr="002A6F4E">
        <w:rPr>
          <w:rFonts w:ascii="Arial" w:hAnsi="Arial" w:cs="Arial"/>
          <w:lang w:val="en-US"/>
        </w:rPr>
        <w:t>i</w:t>
      </w:r>
      <w:r w:rsidRPr="002A6F4E">
        <w:rPr>
          <w:rFonts w:ascii="Arial" w:hAnsi="Arial" w:cs="Arial"/>
          <w:lang w:val="bs-Latn"/>
        </w:rPr>
        <w:t xml:space="preserve"> </w:t>
      </w:r>
      <w:r w:rsidRPr="002A6F4E">
        <w:rPr>
          <w:rFonts w:ascii="Arial" w:hAnsi="Arial" w:cs="Arial"/>
          <w:lang w:val="en-US"/>
        </w:rPr>
        <w:t>drugo</w:t>
      </w:r>
      <w:r w:rsidRPr="002A6F4E">
        <w:rPr>
          <w:rFonts w:ascii="Arial" w:hAnsi="Arial" w:cs="Arial"/>
          <w:lang w:val="bs-Latn"/>
        </w:rPr>
        <w:t xml:space="preserve">, </w:t>
      </w:r>
      <w:r w:rsidRPr="002A6F4E">
        <w:rPr>
          <w:rFonts w:ascii="Arial" w:hAnsi="Arial" w:cs="Arial"/>
          <w:lang w:val="en-US"/>
        </w:rPr>
        <w:t>na</w:t>
      </w:r>
      <w:r w:rsidRPr="002A6F4E">
        <w:rPr>
          <w:rFonts w:ascii="Arial" w:hAnsi="Arial" w:cs="Arial"/>
          <w:lang w:val="bs-Latn"/>
        </w:rPr>
        <w:t xml:space="preserve"> </w:t>
      </w:r>
      <w:r w:rsidRPr="002A6F4E">
        <w:rPr>
          <w:rFonts w:ascii="Arial" w:hAnsi="Arial" w:cs="Arial"/>
          <w:lang w:val="en-US"/>
        </w:rPr>
        <w:t>na</w:t>
      </w:r>
      <w:r w:rsidRPr="002A6F4E">
        <w:rPr>
          <w:rFonts w:ascii="Arial" w:hAnsi="Arial" w:cs="Arial"/>
          <w:lang w:val="bs-Latn"/>
        </w:rPr>
        <w:t>č</w:t>
      </w:r>
      <w:r w:rsidRPr="002A6F4E">
        <w:rPr>
          <w:rFonts w:ascii="Arial" w:hAnsi="Arial" w:cs="Arial"/>
          <w:lang w:val="en-US"/>
        </w:rPr>
        <w:t>in</w:t>
      </w:r>
      <w:r w:rsidRPr="002A6F4E">
        <w:rPr>
          <w:rFonts w:ascii="Arial" w:hAnsi="Arial" w:cs="Arial"/>
          <w:spacing w:val="-1"/>
          <w:lang w:val="bs-Latn"/>
        </w:rPr>
        <w:t xml:space="preserve"> </w:t>
      </w:r>
      <w:r w:rsidRPr="002A6F4E">
        <w:rPr>
          <w:rFonts w:ascii="Arial" w:hAnsi="Arial" w:cs="Arial"/>
          <w:lang w:val="en-US"/>
        </w:rPr>
        <w:t>da</w:t>
      </w:r>
      <w:r w:rsidRPr="002A6F4E">
        <w:rPr>
          <w:rFonts w:ascii="Arial" w:hAnsi="Arial" w:cs="Arial"/>
          <w:lang w:val="bs-Latn"/>
        </w:rPr>
        <w:t xml:space="preserve"> </w:t>
      </w:r>
      <w:r w:rsidRPr="002A6F4E">
        <w:rPr>
          <w:rFonts w:ascii="Arial" w:hAnsi="Arial" w:cs="Arial"/>
          <w:lang w:val="en-US"/>
        </w:rPr>
        <w:t>se</w:t>
      </w:r>
      <w:r w:rsidRPr="002A6F4E">
        <w:rPr>
          <w:rFonts w:ascii="Arial" w:hAnsi="Arial" w:cs="Arial"/>
          <w:spacing w:val="-1"/>
          <w:lang w:val="bs-Latn"/>
        </w:rPr>
        <w:t xml:space="preserve"> </w:t>
      </w:r>
      <w:r w:rsidRPr="002A6F4E">
        <w:rPr>
          <w:rFonts w:ascii="Arial" w:hAnsi="Arial" w:cs="Arial"/>
          <w:lang w:val="en-US"/>
        </w:rPr>
        <w:t>snage</w:t>
      </w:r>
      <w:r w:rsidRPr="002A6F4E">
        <w:rPr>
          <w:rFonts w:ascii="Arial" w:hAnsi="Arial" w:cs="Arial"/>
          <w:spacing w:val="-1"/>
          <w:lang w:val="bs-Latn"/>
        </w:rPr>
        <w:t xml:space="preserve"> </w:t>
      </w:r>
      <w:r w:rsidRPr="002A6F4E">
        <w:rPr>
          <w:rFonts w:ascii="Arial" w:hAnsi="Arial" w:cs="Arial"/>
          <w:lang w:val="en-US"/>
        </w:rPr>
        <w:t>poja</w:t>
      </w:r>
      <w:r w:rsidRPr="002A6F4E">
        <w:rPr>
          <w:rFonts w:ascii="Arial" w:hAnsi="Arial" w:cs="Arial"/>
          <w:lang w:val="bs-Latn"/>
        </w:rPr>
        <w:t>č</w:t>
      </w:r>
      <w:r w:rsidRPr="002A6F4E">
        <w:rPr>
          <w:rFonts w:ascii="Arial" w:hAnsi="Arial" w:cs="Arial"/>
          <w:lang w:val="en-US"/>
        </w:rPr>
        <w:t>avaju</w:t>
      </w:r>
      <w:r w:rsidRPr="002A6F4E">
        <w:rPr>
          <w:rFonts w:ascii="Arial" w:hAnsi="Arial" w:cs="Arial"/>
          <w:lang w:val="bs-Latn"/>
        </w:rPr>
        <w:t xml:space="preserve">, </w:t>
      </w:r>
      <w:r w:rsidRPr="002A6F4E">
        <w:rPr>
          <w:rFonts w:ascii="Arial" w:hAnsi="Arial" w:cs="Arial"/>
          <w:lang w:val="en-US"/>
        </w:rPr>
        <w:t>a</w:t>
      </w:r>
      <w:r w:rsidRPr="002A6F4E">
        <w:rPr>
          <w:rFonts w:ascii="Arial" w:hAnsi="Arial" w:cs="Arial"/>
          <w:lang w:val="bs-Latn"/>
        </w:rPr>
        <w:t xml:space="preserve"> </w:t>
      </w:r>
      <w:r w:rsidRPr="002A6F4E">
        <w:rPr>
          <w:rFonts w:ascii="Arial" w:hAnsi="Arial" w:cs="Arial"/>
          <w:lang w:val="en-US"/>
        </w:rPr>
        <w:t>slabosti</w:t>
      </w:r>
      <w:r w:rsidRPr="002A6F4E">
        <w:rPr>
          <w:rFonts w:ascii="Arial" w:hAnsi="Arial" w:cs="Arial"/>
          <w:lang w:val="bs-Latn"/>
        </w:rPr>
        <w:t xml:space="preserve"> </w:t>
      </w:r>
      <w:r w:rsidRPr="002A6F4E">
        <w:rPr>
          <w:rFonts w:ascii="Arial" w:hAnsi="Arial" w:cs="Arial"/>
          <w:lang w:val="en-US"/>
        </w:rPr>
        <w:t>nastoje</w:t>
      </w:r>
      <w:r w:rsidRPr="002A6F4E">
        <w:rPr>
          <w:rFonts w:ascii="Arial" w:hAnsi="Arial" w:cs="Arial"/>
          <w:lang w:val="bs-Latn"/>
        </w:rPr>
        <w:t xml:space="preserve"> </w:t>
      </w:r>
      <w:r w:rsidRPr="002A6F4E">
        <w:rPr>
          <w:rFonts w:ascii="Arial" w:hAnsi="Arial" w:cs="Arial"/>
          <w:lang w:val="en-US"/>
        </w:rPr>
        <w:t>umanjiti</w:t>
      </w:r>
      <w:r w:rsidRPr="002A6F4E">
        <w:rPr>
          <w:rFonts w:ascii="Arial" w:hAnsi="Arial" w:cs="Arial"/>
          <w:lang w:val="bs-Latn"/>
        </w:rPr>
        <w:t xml:space="preserve"> </w:t>
      </w:r>
      <w:r w:rsidRPr="002A6F4E">
        <w:rPr>
          <w:rFonts w:ascii="Arial" w:hAnsi="Arial" w:cs="Arial"/>
          <w:lang w:val="en-US"/>
        </w:rPr>
        <w:t>ili</w:t>
      </w:r>
      <w:r w:rsidRPr="002A6F4E">
        <w:rPr>
          <w:rFonts w:ascii="Arial" w:hAnsi="Arial" w:cs="Arial"/>
          <w:lang w:val="bs-Latn"/>
        </w:rPr>
        <w:t xml:space="preserve"> </w:t>
      </w:r>
      <w:r w:rsidRPr="002A6F4E">
        <w:rPr>
          <w:rFonts w:ascii="Arial" w:hAnsi="Arial" w:cs="Arial"/>
          <w:lang w:val="en-US"/>
        </w:rPr>
        <w:t>eliminisati</w:t>
      </w:r>
      <w:r w:rsidRPr="002A6F4E">
        <w:rPr>
          <w:rFonts w:ascii="Arial" w:hAnsi="Arial" w:cs="Arial"/>
          <w:lang w:val="bs-Latn"/>
        </w:rPr>
        <w:t xml:space="preserve">. </w:t>
      </w:r>
      <w:r w:rsidRPr="002A6F4E">
        <w:rPr>
          <w:rFonts w:ascii="Arial" w:hAnsi="Arial" w:cs="Arial"/>
          <w:lang w:val="en-US"/>
        </w:rPr>
        <w:t>Prilike</w:t>
      </w:r>
      <w:r w:rsidRPr="002A6F4E">
        <w:rPr>
          <w:rFonts w:ascii="Arial" w:hAnsi="Arial" w:cs="Arial"/>
          <w:spacing w:val="-1"/>
          <w:lang w:val="bs-Latn"/>
        </w:rPr>
        <w:t xml:space="preserve"> </w:t>
      </w:r>
      <w:r w:rsidRPr="002A6F4E">
        <w:rPr>
          <w:rFonts w:ascii="Arial" w:hAnsi="Arial" w:cs="Arial"/>
          <w:lang w:val="en-US"/>
        </w:rPr>
        <w:t>i</w:t>
      </w:r>
      <w:r w:rsidRPr="002A6F4E">
        <w:rPr>
          <w:rFonts w:ascii="Arial" w:hAnsi="Arial" w:cs="Arial"/>
          <w:lang w:val="bs-Latn"/>
        </w:rPr>
        <w:t xml:space="preserve"> </w:t>
      </w:r>
      <w:r w:rsidRPr="002A6F4E">
        <w:rPr>
          <w:rFonts w:ascii="Arial" w:hAnsi="Arial" w:cs="Arial"/>
          <w:lang w:val="en-US"/>
        </w:rPr>
        <w:t>prijetnje</w:t>
      </w:r>
      <w:r w:rsidRPr="002A6F4E">
        <w:rPr>
          <w:rFonts w:ascii="Arial" w:hAnsi="Arial" w:cs="Arial"/>
          <w:lang w:val="bs-Latn"/>
        </w:rPr>
        <w:t xml:space="preserve"> </w:t>
      </w:r>
      <w:r w:rsidRPr="002A6F4E">
        <w:rPr>
          <w:rFonts w:ascii="Arial" w:hAnsi="Arial" w:cs="Arial"/>
          <w:lang w:val="en-US"/>
        </w:rPr>
        <w:t>su</w:t>
      </w:r>
      <w:r w:rsidRPr="002A6F4E">
        <w:rPr>
          <w:rFonts w:ascii="Arial" w:hAnsi="Arial" w:cs="Arial"/>
          <w:lang w:val="bs-Latn"/>
        </w:rPr>
        <w:t xml:space="preserve"> </w:t>
      </w:r>
      <w:r w:rsidRPr="002A6F4E">
        <w:rPr>
          <w:rFonts w:ascii="Arial" w:hAnsi="Arial" w:cs="Arial"/>
          <w:lang w:val="en-US"/>
        </w:rPr>
        <w:t>vanjski</w:t>
      </w:r>
      <w:r w:rsidRPr="002A6F4E">
        <w:rPr>
          <w:rFonts w:ascii="Arial" w:hAnsi="Arial" w:cs="Arial"/>
          <w:lang w:val="bs-Latn"/>
        </w:rPr>
        <w:t xml:space="preserve"> </w:t>
      </w:r>
      <w:r w:rsidRPr="002A6F4E">
        <w:rPr>
          <w:rFonts w:ascii="Arial" w:hAnsi="Arial" w:cs="Arial"/>
          <w:lang w:val="en-US"/>
        </w:rPr>
        <w:t>faktori</w:t>
      </w:r>
      <w:r w:rsidRPr="002A6F4E">
        <w:rPr>
          <w:rFonts w:ascii="Arial" w:hAnsi="Arial" w:cs="Arial"/>
          <w:lang w:val="bs-Latn"/>
        </w:rPr>
        <w:t xml:space="preserve"> </w:t>
      </w:r>
      <w:r w:rsidRPr="002A6F4E">
        <w:rPr>
          <w:rFonts w:ascii="Arial" w:hAnsi="Arial" w:cs="Arial"/>
          <w:lang w:val="en-US"/>
        </w:rPr>
        <w:t>koji</w:t>
      </w:r>
      <w:r w:rsidRPr="002A6F4E">
        <w:rPr>
          <w:rFonts w:ascii="Arial" w:hAnsi="Arial" w:cs="Arial"/>
          <w:lang w:val="bs-Latn"/>
        </w:rPr>
        <w:t xml:space="preserve">  </w:t>
      </w:r>
      <w:r w:rsidRPr="002A6F4E">
        <w:rPr>
          <w:rFonts w:ascii="Arial" w:hAnsi="Arial" w:cs="Arial"/>
          <w:lang w:val="en-US"/>
        </w:rPr>
        <w:t>mogu</w:t>
      </w:r>
      <w:r w:rsidRPr="002A6F4E">
        <w:rPr>
          <w:rFonts w:ascii="Arial" w:hAnsi="Arial" w:cs="Arial"/>
          <w:lang w:val="bs-Latn"/>
        </w:rPr>
        <w:t xml:space="preserve"> </w:t>
      </w:r>
      <w:r w:rsidRPr="002A6F4E">
        <w:rPr>
          <w:rFonts w:ascii="Arial" w:hAnsi="Arial" w:cs="Arial"/>
          <w:lang w:val="en-US"/>
        </w:rPr>
        <w:t>uticati</w:t>
      </w:r>
      <w:r w:rsidRPr="002A6F4E">
        <w:rPr>
          <w:rFonts w:ascii="Arial" w:hAnsi="Arial" w:cs="Arial"/>
          <w:lang w:val="bs-Latn"/>
        </w:rPr>
        <w:t xml:space="preserve"> </w:t>
      </w:r>
      <w:r w:rsidRPr="002A6F4E">
        <w:rPr>
          <w:rFonts w:ascii="Arial" w:hAnsi="Arial" w:cs="Arial"/>
          <w:lang w:val="en-US"/>
        </w:rPr>
        <w:t>na</w:t>
      </w:r>
      <w:r w:rsidRPr="002A6F4E">
        <w:rPr>
          <w:rFonts w:ascii="Arial" w:hAnsi="Arial" w:cs="Arial"/>
          <w:lang w:val="bs-Latn"/>
        </w:rPr>
        <w:t xml:space="preserve"> </w:t>
      </w:r>
      <w:r w:rsidRPr="002A6F4E">
        <w:rPr>
          <w:rFonts w:ascii="Arial" w:hAnsi="Arial" w:cs="Arial"/>
          <w:lang w:val="en-US"/>
        </w:rPr>
        <w:t>snage</w:t>
      </w:r>
      <w:r w:rsidRPr="002A6F4E">
        <w:rPr>
          <w:rFonts w:ascii="Arial" w:hAnsi="Arial" w:cs="Arial"/>
          <w:spacing w:val="-3"/>
          <w:lang w:val="bs-Latn"/>
        </w:rPr>
        <w:t xml:space="preserve"> </w:t>
      </w:r>
      <w:r w:rsidRPr="002A6F4E">
        <w:rPr>
          <w:rFonts w:ascii="Arial" w:hAnsi="Arial" w:cs="Arial"/>
          <w:lang w:val="en-US"/>
        </w:rPr>
        <w:t>i</w:t>
      </w:r>
      <w:r w:rsidRPr="002A6F4E">
        <w:rPr>
          <w:rFonts w:ascii="Arial" w:hAnsi="Arial" w:cs="Arial"/>
          <w:spacing w:val="-3"/>
          <w:lang w:val="bs-Latn"/>
        </w:rPr>
        <w:t xml:space="preserve"> </w:t>
      </w:r>
      <w:r w:rsidRPr="002A6F4E">
        <w:rPr>
          <w:rFonts w:ascii="Arial" w:hAnsi="Arial" w:cs="Arial"/>
          <w:lang w:val="en-US"/>
        </w:rPr>
        <w:t>slabosti</w:t>
      </w:r>
      <w:r w:rsidRPr="002A6F4E">
        <w:rPr>
          <w:rFonts w:ascii="Arial" w:hAnsi="Arial" w:cs="Arial"/>
          <w:lang w:val="bs-Latn"/>
        </w:rPr>
        <w:t>,</w:t>
      </w:r>
      <w:r w:rsidRPr="002A6F4E">
        <w:rPr>
          <w:rFonts w:ascii="Arial" w:hAnsi="Arial" w:cs="Arial"/>
          <w:spacing w:val="-1"/>
          <w:lang w:val="bs-Latn"/>
        </w:rPr>
        <w:t xml:space="preserve"> </w:t>
      </w:r>
      <w:r w:rsidRPr="002A6F4E">
        <w:rPr>
          <w:rFonts w:ascii="Arial" w:hAnsi="Arial" w:cs="Arial"/>
          <w:lang w:val="en-US"/>
        </w:rPr>
        <w:t>direktno</w:t>
      </w:r>
      <w:r w:rsidRPr="002A6F4E">
        <w:rPr>
          <w:rFonts w:ascii="Arial" w:hAnsi="Arial" w:cs="Arial"/>
          <w:spacing w:val="-4"/>
          <w:lang w:val="bs-Latn"/>
        </w:rPr>
        <w:t xml:space="preserve"> </w:t>
      </w:r>
      <w:r w:rsidRPr="002A6F4E">
        <w:rPr>
          <w:rFonts w:ascii="Arial" w:hAnsi="Arial" w:cs="Arial"/>
          <w:lang w:val="en-US"/>
        </w:rPr>
        <w:t>ili</w:t>
      </w:r>
      <w:r w:rsidRPr="002A6F4E">
        <w:rPr>
          <w:rFonts w:ascii="Arial" w:hAnsi="Arial" w:cs="Arial"/>
          <w:spacing w:val="-3"/>
          <w:lang w:val="bs-Latn"/>
        </w:rPr>
        <w:t xml:space="preserve"> </w:t>
      </w:r>
      <w:r w:rsidRPr="002A6F4E">
        <w:rPr>
          <w:rFonts w:ascii="Arial" w:hAnsi="Arial" w:cs="Arial"/>
          <w:lang w:val="en-US"/>
        </w:rPr>
        <w:t>indirektno</w:t>
      </w:r>
      <w:r w:rsidRPr="002A6F4E">
        <w:rPr>
          <w:rFonts w:ascii="Arial" w:hAnsi="Arial" w:cs="Arial"/>
          <w:lang w:val="bs-Latn"/>
        </w:rPr>
        <w:t>,</w:t>
      </w:r>
      <w:r w:rsidRPr="002A6F4E">
        <w:rPr>
          <w:rFonts w:ascii="Arial" w:hAnsi="Arial" w:cs="Arial"/>
          <w:spacing w:val="-4"/>
          <w:lang w:val="bs-Latn"/>
        </w:rPr>
        <w:t xml:space="preserve"> </w:t>
      </w:r>
      <w:r w:rsidRPr="002A6F4E">
        <w:rPr>
          <w:rFonts w:ascii="Arial" w:hAnsi="Arial" w:cs="Arial"/>
          <w:lang w:val="en-US"/>
        </w:rPr>
        <w:t>pozitivno</w:t>
      </w:r>
      <w:r w:rsidRPr="002A6F4E">
        <w:rPr>
          <w:rFonts w:ascii="Arial" w:hAnsi="Arial" w:cs="Arial"/>
          <w:spacing w:val="-4"/>
          <w:lang w:val="bs-Latn"/>
        </w:rPr>
        <w:t xml:space="preserve"> </w:t>
      </w:r>
      <w:r w:rsidRPr="002A6F4E">
        <w:rPr>
          <w:rFonts w:ascii="Arial" w:hAnsi="Arial" w:cs="Arial"/>
          <w:lang w:val="en-US"/>
        </w:rPr>
        <w:t>ili</w:t>
      </w:r>
      <w:r w:rsidRPr="002A6F4E">
        <w:rPr>
          <w:rFonts w:ascii="Arial" w:hAnsi="Arial" w:cs="Arial"/>
          <w:spacing w:val="-5"/>
          <w:lang w:val="bs-Latn"/>
        </w:rPr>
        <w:t xml:space="preserve"> </w:t>
      </w:r>
      <w:r w:rsidRPr="002A6F4E">
        <w:rPr>
          <w:rFonts w:ascii="Arial" w:hAnsi="Arial" w:cs="Arial"/>
          <w:lang w:val="en-US"/>
        </w:rPr>
        <w:t>negativno</w:t>
      </w:r>
      <w:r w:rsidRPr="002A6F4E">
        <w:rPr>
          <w:rFonts w:ascii="Arial" w:hAnsi="Arial" w:cs="Arial"/>
          <w:spacing w:val="-4"/>
          <w:lang w:val="bs-Latn"/>
        </w:rPr>
        <w:t xml:space="preserve"> </w:t>
      </w:r>
      <w:r w:rsidRPr="002A6F4E">
        <w:rPr>
          <w:rFonts w:ascii="Arial" w:hAnsi="Arial" w:cs="Arial"/>
          <w:lang w:val="en-US"/>
        </w:rPr>
        <w:t>i</w:t>
      </w:r>
      <w:r w:rsidRPr="002A6F4E">
        <w:rPr>
          <w:rFonts w:ascii="Arial" w:hAnsi="Arial" w:cs="Arial"/>
          <w:spacing w:val="-3"/>
          <w:lang w:val="bs-Latn"/>
        </w:rPr>
        <w:t xml:space="preserve"> </w:t>
      </w:r>
      <w:r w:rsidRPr="002A6F4E">
        <w:rPr>
          <w:rFonts w:ascii="Arial" w:hAnsi="Arial" w:cs="Arial"/>
          <w:lang w:val="en-US"/>
        </w:rPr>
        <w:t>tako</w:t>
      </w:r>
      <w:r w:rsidRPr="002A6F4E">
        <w:rPr>
          <w:rFonts w:ascii="Arial" w:hAnsi="Arial" w:cs="Arial"/>
          <w:spacing w:val="-3"/>
          <w:lang w:val="bs-Latn"/>
        </w:rPr>
        <w:t xml:space="preserve"> </w:t>
      </w:r>
      <w:r w:rsidRPr="002A6F4E">
        <w:rPr>
          <w:rFonts w:ascii="Arial" w:hAnsi="Arial" w:cs="Arial"/>
          <w:spacing w:val="-3"/>
          <w:lang w:val="en-US"/>
        </w:rPr>
        <w:t>na</w:t>
      </w:r>
      <w:r w:rsidRPr="002A6F4E">
        <w:rPr>
          <w:rFonts w:ascii="Arial" w:hAnsi="Arial" w:cs="Arial"/>
          <w:spacing w:val="-3"/>
          <w:lang w:val="bs-Latn"/>
        </w:rPr>
        <w:t xml:space="preserve"> </w:t>
      </w:r>
      <w:r w:rsidRPr="002A6F4E">
        <w:rPr>
          <w:rFonts w:ascii="Arial" w:hAnsi="Arial" w:cs="Arial"/>
          <w:spacing w:val="-3"/>
          <w:lang w:val="en-US"/>
        </w:rPr>
        <w:t>dugi</w:t>
      </w:r>
      <w:r w:rsidRPr="002A6F4E">
        <w:rPr>
          <w:rFonts w:ascii="Arial" w:hAnsi="Arial" w:cs="Arial"/>
          <w:spacing w:val="-3"/>
          <w:lang w:val="bs-Latn"/>
        </w:rPr>
        <w:t xml:space="preserve"> </w:t>
      </w:r>
      <w:r w:rsidRPr="002A6F4E">
        <w:rPr>
          <w:rFonts w:ascii="Arial" w:hAnsi="Arial" w:cs="Arial"/>
          <w:spacing w:val="-3"/>
          <w:lang w:val="en-US"/>
        </w:rPr>
        <w:t>rok</w:t>
      </w:r>
      <w:r w:rsidRPr="002A6F4E">
        <w:rPr>
          <w:rFonts w:ascii="Arial" w:hAnsi="Arial" w:cs="Arial"/>
          <w:spacing w:val="-3"/>
          <w:lang w:val="bs-Latn"/>
        </w:rPr>
        <w:t xml:space="preserve"> </w:t>
      </w:r>
      <w:r w:rsidRPr="002A6F4E">
        <w:rPr>
          <w:rFonts w:ascii="Arial" w:hAnsi="Arial" w:cs="Arial"/>
          <w:lang w:val="en-US"/>
        </w:rPr>
        <w:t>uticati</w:t>
      </w:r>
      <w:r w:rsidRPr="002A6F4E">
        <w:rPr>
          <w:rFonts w:ascii="Arial" w:hAnsi="Arial" w:cs="Arial"/>
          <w:spacing w:val="40"/>
          <w:lang w:val="bs-Latn"/>
        </w:rPr>
        <w:t xml:space="preserve"> </w:t>
      </w:r>
      <w:r w:rsidRPr="002A6F4E">
        <w:rPr>
          <w:rFonts w:ascii="Arial" w:hAnsi="Arial" w:cs="Arial"/>
          <w:lang w:val="en-US"/>
        </w:rPr>
        <w:t>pospje</w:t>
      </w:r>
      <w:r w:rsidR="0004664A">
        <w:rPr>
          <w:rFonts w:ascii="Arial" w:hAnsi="Arial" w:cs="Arial"/>
          <w:lang w:val="bs-Latn"/>
        </w:rPr>
        <w:t>š</w:t>
      </w:r>
      <w:r w:rsidRPr="002A6F4E">
        <w:rPr>
          <w:rFonts w:ascii="Arial" w:hAnsi="Arial" w:cs="Arial"/>
          <w:lang w:val="en-US"/>
        </w:rPr>
        <w:t>iti</w:t>
      </w:r>
      <w:r w:rsidRPr="002A6F4E">
        <w:rPr>
          <w:rFonts w:ascii="Arial" w:hAnsi="Arial" w:cs="Arial"/>
          <w:lang w:val="bs-Latn"/>
        </w:rPr>
        <w:t xml:space="preserve"> </w:t>
      </w:r>
      <w:r w:rsidRPr="002A6F4E">
        <w:rPr>
          <w:rFonts w:ascii="Arial" w:hAnsi="Arial" w:cs="Arial"/>
          <w:lang w:val="en-US"/>
        </w:rPr>
        <w:t>ili</w:t>
      </w:r>
      <w:r w:rsidRPr="002A6F4E">
        <w:rPr>
          <w:rFonts w:ascii="Arial" w:hAnsi="Arial" w:cs="Arial"/>
          <w:lang w:val="bs-Latn"/>
        </w:rPr>
        <w:t xml:space="preserve"> </w:t>
      </w:r>
      <w:r w:rsidRPr="002A6F4E">
        <w:rPr>
          <w:rFonts w:ascii="Arial" w:hAnsi="Arial" w:cs="Arial"/>
          <w:lang w:val="en-US"/>
        </w:rPr>
        <w:t>onemogu</w:t>
      </w:r>
      <w:r w:rsidRPr="002A6F4E">
        <w:rPr>
          <w:rFonts w:ascii="Arial" w:hAnsi="Arial" w:cs="Arial"/>
          <w:lang w:val="bs-Latn"/>
        </w:rPr>
        <w:t>ć</w:t>
      </w:r>
      <w:r w:rsidRPr="002A6F4E">
        <w:rPr>
          <w:rFonts w:ascii="Arial" w:hAnsi="Arial" w:cs="Arial"/>
          <w:lang w:val="en-US"/>
        </w:rPr>
        <w:t>iti</w:t>
      </w:r>
      <w:r w:rsidRPr="002A6F4E">
        <w:rPr>
          <w:rFonts w:ascii="Arial" w:hAnsi="Arial" w:cs="Arial"/>
          <w:lang w:val="bs-Latn"/>
        </w:rPr>
        <w:t xml:space="preserve"> </w:t>
      </w:r>
      <w:r w:rsidRPr="002A6F4E">
        <w:rPr>
          <w:rFonts w:ascii="Arial" w:hAnsi="Arial" w:cs="Arial"/>
          <w:spacing w:val="-3"/>
          <w:lang w:val="en-US"/>
        </w:rPr>
        <w:t>implementaciju</w:t>
      </w:r>
      <w:r w:rsidRPr="002A6F4E">
        <w:rPr>
          <w:rFonts w:ascii="Arial" w:hAnsi="Arial" w:cs="Arial"/>
          <w:spacing w:val="-3"/>
          <w:lang w:val="bs-Latn"/>
        </w:rPr>
        <w:t xml:space="preserve"> </w:t>
      </w:r>
      <w:r w:rsidR="0004664A">
        <w:rPr>
          <w:rFonts w:ascii="Arial" w:hAnsi="Arial" w:cs="Arial"/>
          <w:spacing w:val="-3"/>
          <w:lang w:val="en-US"/>
        </w:rPr>
        <w:t>DPUO</w:t>
      </w:r>
      <w:r w:rsidRPr="002A6F4E">
        <w:rPr>
          <w:rFonts w:ascii="Arial" w:hAnsi="Arial" w:cs="Arial"/>
          <w:spacing w:val="-3"/>
          <w:lang w:val="bs-Latn"/>
        </w:rPr>
        <w:t xml:space="preserve">. </w:t>
      </w:r>
      <w:r w:rsidRPr="002A6F4E">
        <w:rPr>
          <w:rFonts w:ascii="Arial" w:hAnsi="Arial" w:cs="Arial"/>
          <w:lang w:val="en-US"/>
        </w:rPr>
        <w:t>Na</w:t>
      </w:r>
      <w:r w:rsidRPr="002A6F4E">
        <w:rPr>
          <w:rFonts w:ascii="Arial" w:hAnsi="Arial" w:cs="Arial"/>
          <w:spacing w:val="-1"/>
          <w:lang w:val="bs-Latn"/>
        </w:rPr>
        <w:t xml:space="preserve"> </w:t>
      </w:r>
      <w:r w:rsidR="00D212FD">
        <w:rPr>
          <w:rFonts w:ascii="Arial" w:hAnsi="Arial" w:cs="Arial"/>
          <w:lang w:val="en-US"/>
        </w:rPr>
        <w:t>spoljne</w:t>
      </w:r>
      <w:r w:rsidR="00D212FD" w:rsidRPr="002A6F4E">
        <w:rPr>
          <w:rFonts w:ascii="Arial" w:hAnsi="Arial" w:cs="Arial"/>
          <w:spacing w:val="-1"/>
          <w:lang w:val="bs-Latn"/>
        </w:rPr>
        <w:t xml:space="preserve"> </w:t>
      </w:r>
      <w:r w:rsidRPr="002A6F4E">
        <w:rPr>
          <w:rFonts w:ascii="Arial" w:hAnsi="Arial" w:cs="Arial"/>
          <w:lang w:val="en-US"/>
        </w:rPr>
        <w:t>faktore</w:t>
      </w:r>
      <w:r w:rsidRPr="002A6F4E">
        <w:rPr>
          <w:rFonts w:ascii="Arial" w:hAnsi="Arial" w:cs="Arial"/>
          <w:spacing w:val="-3"/>
          <w:lang w:val="bs-Latn"/>
        </w:rPr>
        <w:t xml:space="preserve"> </w:t>
      </w:r>
      <w:r w:rsidRPr="002A6F4E">
        <w:rPr>
          <w:rFonts w:ascii="Arial" w:hAnsi="Arial" w:cs="Arial"/>
          <w:lang w:val="en-US"/>
        </w:rPr>
        <w:t>ne</w:t>
      </w:r>
      <w:r w:rsidRPr="002A6F4E">
        <w:rPr>
          <w:rFonts w:ascii="Arial" w:hAnsi="Arial" w:cs="Arial"/>
          <w:spacing w:val="-3"/>
          <w:lang w:val="bs-Latn"/>
        </w:rPr>
        <w:t xml:space="preserve"> </w:t>
      </w:r>
      <w:r w:rsidRPr="002A6F4E">
        <w:rPr>
          <w:rFonts w:ascii="Arial" w:hAnsi="Arial" w:cs="Arial"/>
          <w:lang w:val="en-US"/>
        </w:rPr>
        <w:t>mo</w:t>
      </w:r>
      <w:r w:rsidRPr="002A6F4E">
        <w:rPr>
          <w:rFonts w:ascii="Arial" w:hAnsi="Arial" w:cs="Arial"/>
          <w:lang w:val="bs-Latn"/>
        </w:rPr>
        <w:t>ž</w:t>
      </w:r>
      <w:r w:rsidRPr="002A6F4E">
        <w:rPr>
          <w:rFonts w:ascii="Arial" w:hAnsi="Arial" w:cs="Arial"/>
          <w:lang w:val="en-US"/>
        </w:rPr>
        <w:t>e</w:t>
      </w:r>
      <w:r w:rsidRPr="002A6F4E">
        <w:rPr>
          <w:rFonts w:ascii="Arial" w:hAnsi="Arial" w:cs="Arial"/>
          <w:spacing w:val="-3"/>
          <w:lang w:val="bs-Latn"/>
        </w:rPr>
        <w:t xml:space="preserve"> </w:t>
      </w:r>
      <w:r w:rsidRPr="002A6F4E">
        <w:rPr>
          <w:rFonts w:ascii="Arial" w:hAnsi="Arial" w:cs="Arial"/>
          <w:lang w:val="en-US"/>
        </w:rPr>
        <w:t>se</w:t>
      </w:r>
      <w:r w:rsidRPr="002A6F4E">
        <w:rPr>
          <w:rFonts w:ascii="Arial" w:hAnsi="Arial" w:cs="Arial"/>
          <w:spacing w:val="-3"/>
          <w:lang w:val="bs-Latn"/>
        </w:rPr>
        <w:t xml:space="preserve"> </w:t>
      </w:r>
      <w:r w:rsidRPr="002A6F4E">
        <w:rPr>
          <w:rFonts w:ascii="Arial" w:hAnsi="Arial" w:cs="Arial"/>
          <w:spacing w:val="-3"/>
          <w:lang w:val="en-US"/>
        </w:rPr>
        <w:t>uvijek</w:t>
      </w:r>
      <w:r w:rsidRPr="002A6F4E">
        <w:rPr>
          <w:rFonts w:ascii="Arial" w:hAnsi="Arial" w:cs="Arial"/>
          <w:spacing w:val="-3"/>
          <w:lang w:val="bs-Latn"/>
        </w:rPr>
        <w:t xml:space="preserve"> </w:t>
      </w:r>
      <w:r w:rsidRPr="002A6F4E">
        <w:rPr>
          <w:rFonts w:ascii="Arial" w:hAnsi="Arial" w:cs="Arial"/>
          <w:spacing w:val="-3"/>
          <w:lang w:val="en-US"/>
        </w:rPr>
        <w:t>djelovati</w:t>
      </w:r>
      <w:r w:rsidRPr="002A6F4E">
        <w:rPr>
          <w:rFonts w:ascii="Arial" w:hAnsi="Arial" w:cs="Arial"/>
          <w:spacing w:val="-3"/>
          <w:lang w:val="bs-Latn"/>
        </w:rPr>
        <w:t xml:space="preserve"> </w:t>
      </w:r>
      <w:r w:rsidRPr="002A6F4E">
        <w:rPr>
          <w:rFonts w:ascii="Arial" w:hAnsi="Arial" w:cs="Arial"/>
          <w:spacing w:val="-3"/>
          <w:lang w:val="en-US"/>
        </w:rPr>
        <w:t>u</w:t>
      </w:r>
      <w:r w:rsidRPr="002A6F4E">
        <w:rPr>
          <w:rFonts w:ascii="Arial" w:hAnsi="Arial" w:cs="Arial"/>
          <w:spacing w:val="-3"/>
          <w:lang w:val="bs-Latn"/>
        </w:rPr>
        <w:t xml:space="preserve"> </w:t>
      </w:r>
      <w:r w:rsidRPr="002A6F4E">
        <w:rPr>
          <w:rFonts w:ascii="Arial" w:hAnsi="Arial" w:cs="Arial"/>
          <w:spacing w:val="-3"/>
          <w:lang w:val="en-US"/>
        </w:rPr>
        <w:lastRenderedPageBreak/>
        <w:t>kratkom</w:t>
      </w:r>
      <w:r w:rsidRPr="002A6F4E">
        <w:rPr>
          <w:rFonts w:ascii="Arial" w:hAnsi="Arial" w:cs="Arial"/>
          <w:spacing w:val="-3"/>
          <w:lang w:val="bs-Latn"/>
        </w:rPr>
        <w:t xml:space="preserve"> </w:t>
      </w:r>
      <w:r w:rsidRPr="002A6F4E">
        <w:rPr>
          <w:rFonts w:ascii="Arial" w:hAnsi="Arial" w:cs="Arial"/>
          <w:spacing w:val="-3"/>
          <w:lang w:val="en-US"/>
        </w:rPr>
        <w:t>roku</w:t>
      </w:r>
      <w:r w:rsidRPr="002A6F4E">
        <w:rPr>
          <w:rFonts w:ascii="Arial" w:hAnsi="Arial" w:cs="Arial"/>
          <w:spacing w:val="-3"/>
          <w:lang w:val="bs-Latn"/>
        </w:rPr>
        <w:t xml:space="preserve">, </w:t>
      </w:r>
      <w:r w:rsidR="00D212FD">
        <w:rPr>
          <w:rFonts w:ascii="Arial" w:hAnsi="Arial" w:cs="Arial"/>
          <w:lang w:val="en-US"/>
        </w:rPr>
        <w:t>ali</w:t>
      </w:r>
      <w:r w:rsidRPr="002A6F4E">
        <w:rPr>
          <w:rFonts w:ascii="Arial" w:hAnsi="Arial" w:cs="Arial"/>
          <w:spacing w:val="-6"/>
          <w:lang w:val="bs-Latn"/>
        </w:rPr>
        <w:t xml:space="preserve"> </w:t>
      </w:r>
      <w:r w:rsidRPr="002A6F4E">
        <w:rPr>
          <w:rFonts w:ascii="Arial" w:hAnsi="Arial" w:cs="Arial"/>
          <w:lang w:val="en-US"/>
        </w:rPr>
        <w:t>prilike</w:t>
      </w:r>
      <w:r w:rsidRPr="002A6F4E">
        <w:rPr>
          <w:rFonts w:ascii="Arial" w:hAnsi="Arial" w:cs="Arial"/>
          <w:spacing w:val="-6"/>
          <w:lang w:val="bs-Latn"/>
        </w:rPr>
        <w:t xml:space="preserve"> </w:t>
      </w:r>
      <w:r w:rsidRPr="002A6F4E">
        <w:rPr>
          <w:rFonts w:ascii="Arial" w:hAnsi="Arial" w:cs="Arial"/>
          <w:lang w:val="en-US"/>
        </w:rPr>
        <w:t>se</w:t>
      </w:r>
      <w:r w:rsidRPr="002A6F4E">
        <w:rPr>
          <w:rFonts w:ascii="Arial" w:hAnsi="Arial" w:cs="Arial"/>
          <w:spacing w:val="-8"/>
          <w:lang w:val="bs-Latn"/>
        </w:rPr>
        <w:t xml:space="preserve"> </w:t>
      </w:r>
      <w:r w:rsidRPr="002A6F4E">
        <w:rPr>
          <w:rFonts w:ascii="Arial" w:hAnsi="Arial" w:cs="Arial"/>
          <w:lang w:val="en-US"/>
        </w:rPr>
        <w:t>mogu</w:t>
      </w:r>
      <w:r w:rsidRPr="002A6F4E">
        <w:rPr>
          <w:rFonts w:ascii="Arial" w:hAnsi="Arial" w:cs="Arial"/>
          <w:spacing w:val="-9"/>
          <w:lang w:val="bs-Latn"/>
        </w:rPr>
        <w:t xml:space="preserve"> </w:t>
      </w:r>
      <w:r w:rsidRPr="002A6F4E">
        <w:rPr>
          <w:rFonts w:ascii="Arial" w:hAnsi="Arial" w:cs="Arial"/>
          <w:lang w:val="en-US"/>
        </w:rPr>
        <w:t>iskoristiti</w:t>
      </w:r>
      <w:r w:rsidRPr="002A6F4E">
        <w:rPr>
          <w:rFonts w:ascii="Arial" w:hAnsi="Arial" w:cs="Arial"/>
          <w:spacing w:val="-5"/>
          <w:lang w:val="bs-Latn"/>
        </w:rPr>
        <w:t xml:space="preserve"> </w:t>
      </w:r>
      <w:r w:rsidRPr="002A6F4E">
        <w:rPr>
          <w:rFonts w:ascii="Arial" w:hAnsi="Arial" w:cs="Arial"/>
          <w:lang w:val="en-US"/>
        </w:rPr>
        <w:t>za</w:t>
      </w:r>
      <w:r w:rsidRPr="002A6F4E">
        <w:rPr>
          <w:rFonts w:ascii="Arial" w:hAnsi="Arial" w:cs="Arial"/>
          <w:spacing w:val="-4"/>
          <w:lang w:val="bs-Latn"/>
        </w:rPr>
        <w:t xml:space="preserve"> </w:t>
      </w:r>
      <w:r w:rsidRPr="002A6F4E">
        <w:rPr>
          <w:rFonts w:ascii="Arial" w:hAnsi="Arial" w:cs="Arial"/>
          <w:lang w:val="en-US"/>
        </w:rPr>
        <w:t>pobolj</w:t>
      </w:r>
      <w:r w:rsidRPr="002A6F4E">
        <w:rPr>
          <w:rFonts w:ascii="Arial" w:hAnsi="Arial" w:cs="Arial"/>
          <w:lang w:val="bs-Latn"/>
        </w:rPr>
        <w:t>š</w:t>
      </w:r>
      <w:r w:rsidRPr="002A6F4E">
        <w:rPr>
          <w:rFonts w:ascii="Arial" w:hAnsi="Arial" w:cs="Arial"/>
          <w:lang w:val="en-US"/>
        </w:rPr>
        <w:t>anje</w:t>
      </w:r>
      <w:r w:rsidRPr="002A6F4E">
        <w:rPr>
          <w:rFonts w:ascii="Arial" w:hAnsi="Arial" w:cs="Arial"/>
          <w:spacing w:val="-5"/>
          <w:lang w:val="bs-Latn"/>
        </w:rPr>
        <w:t xml:space="preserve"> </w:t>
      </w:r>
      <w:r w:rsidRPr="002A6F4E">
        <w:rPr>
          <w:rFonts w:ascii="Arial" w:hAnsi="Arial" w:cs="Arial"/>
          <w:lang w:val="en-US"/>
        </w:rPr>
        <w:t>snaga</w:t>
      </w:r>
      <w:r w:rsidRPr="002A6F4E">
        <w:rPr>
          <w:rFonts w:ascii="Arial" w:hAnsi="Arial" w:cs="Arial"/>
          <w:spacing w:val="-8"/>
          <w:lang w:val="bs-Latn"/>
        </w:rPr>
        <w:t xml:space="preserve"> </w:t>
      </w:r>
      <w:r w:rsidRPr="002A6F4E">
        <w:rPr>
          <w:rFonts w:ascii="Arial" w:hAnsi="Arial" w:cs="Arial"/>
          <w:lang w:val="en-US"/>
        </w:rPr>
        <w:t>ili</w:t>
      </w:r>
      <w:r w:rsidRPr="002A6F4E">
        <w:rPr>
          <w:rFonts w:ascii="Arial" w:hAnsi="Arial" w:cs="Arial"/>
          <w:spacing w:val="-7"/>
          <w:lang w:val="bs-Latn"/>
        </w:rPr>
        <w:t xml:space="preserve"> </w:t>
      </w:r>
      <w:r w:rsidRPr="002A6F4E">
        <w:rPr>
          <w:rFonts w:ascii="Arial" w:hAnsi="Arial" w:cs="Arial"/>
          <w:lang w:val="en-US"/>
        </w:rPr>
        <w:t>prevladavanje</w:t>
      </w:r>
      <w:r w:rsidRPr="002A6F4E">
        <w:rPr>
          <w:rFonts w:ascii="Arial" w:hAnsi="Arial" w:cs="Arial"/>
          <w:spacing w:val="-8"/>
          <w:lang w:val="bs-Latn"/>
        </w:rPr>
        <w:t xml:space="preserve"> </w:t>
      </w:r>
      <w:r w:rsidRPr="002A6F4E">
        <w:rPr>
          <w:rFonts w:ascii="Arial" w:hAnsi="Arial" w:cs="Arial"/>
          <w:lang w:val="en-US"/>
        </w:rPr>
        <w:t>slabosti</w:t>
      </w:r>
      <w:r w:rsidRPr="002A6F4E">
        <w:rPr>
          <w:rFonts w:ascii="Arial" w:hAnsi="Arial" w:cs="Arial"/>
          <w:lang w:val="bs-Latn"/>
        </w:rPr>
        <w:t>.</w:t>
      </w:r>
      <w:r w:rsidRPr="002A6F4E">
        <w:rPr>
          <w:rFonts w:ascii="Arial" w:hAnsi="Arial" w:cs="Arial"/>
          <w:spacing w:val="-6"/>
          <w:lang w:val="bs-Latn"/>
        </w:rPr>
        <w:t xml:space="preserve"> </w:t>
      </w:r>
      <w:r w:rsidRPr="002A6F4E">
        <w:rPr>
          <w:rFonts w:ascii="Arial" w:hAnsi="Arial" w:cs="Arial"/>
          <w:lang w:val="en-US"/>
        </w:rPr>
        <w:t>Prijetnje</w:t>
      </w:r>
      <w:r w:rsidRPr="002A6F4E">
        <w:rPr>
          <w:rFonts w:ascii="Arial" w:hAnsi="Arial" w:cs="Arial"/>
          <w:spacing w:val="-8"/>
          <w:lang w:val="bs-Latn"/>
        </w:rPr>
        <w:t xml:space="preserve"> </w:t>
      </w:r>
      <w:r w:rsidRPr="002A6F4E">
        <w:rPr>
          <w:rFonts w:ascii="Arial" w:hAnsi="Arial" w:cs="Arial"/>
          <w:lang w:val="en-US"/>
        </w:rPr>
        <w:t>su</w:t>
      </w:r>
      <w:r w:rsidRPr="002A6F4E">
        <w:rPr>
          <w:rFonts w:ascii="Arial" w:hAnsi="Arial" w:cs="Arial"/>
          <w:spacing w:val="-8"/>
          <w:lang w:val="bs-Latn"/>
        </w:rPr>
        <w:t xml:space="preserve"> </w:t>
      </w:r>
      <w:r w:rsidRPr="002A6F4E">
        <w:rPr>
          <w:rFonts w:ascii="Arial" w:hAnsi="Arial" w:cs="Arial"/>
          <w:lang w:val="en-US"/>
        </w:rPr>
        <w:t>faktori</w:t>
      </w:r>
      <w:r w:rsidRPr="002A6F4E">
        <w:rPr>
          <w:rFonts w:ascii="Arial" w:hAnsi="Arial" w:cs="Arial"/>
          <w:spacing w:val="-7"/>
          <w:lang w:val="bs-Latn"/>
        </w:rPr>
        <w:t xml:space="preserve"> </w:t>
      </w:r>
      <w:r w:rsidRPr="002A6F4E">
        <w:rPr>
          <w:rFonts w:ascii="Arial" w:hAnsi="Arial" w:cs="Arial"/>
          <w:lang w:val="en-US"/>
        </w:rPr>
        <w:t>na</w:t>
      </w:r>
      <w:r w:rsidRPr="002A6F4E">
        <w:rPr>
          <w:rFonts w:ascii="Arial" w:hAnsi="Arial" w:cs="Arial"/>
          <w:spacing w:val="-8"/>
          <w:lang w:val="bs-Latn"/>
        </w:rPr>
        <w:t xml:space="preserve"> </w:t>
      </w:r>
      <w:r w:rsidRPr="002A6F4E">
        <w:rPr>
          <w:rFonts w:ascii="Arial" w:hAnsi="Arial" w:cs="Arial"/>
          <w:lang w:val="en-US"/>
        </w:rPr>
        <w:t>koje</w:t>
      </w:r>
      <w:r w:rsidRPr="002A6F4E">
        <w:rPr>
          <w:rFonts w:ascii="Arial" w:hAnsi="Arial" w:cs="Arial"/>
          <w:spacing w:val="-8"/>
          <w:lang w:val="bs-Latn"/>
        </w:rPr>
        <w:t xml:space="preserve"> </w:t>
      </w:r>
      <w:r w:rsidRPr="002A6F4E">
        <w:rPr>
          <w:rFonts w:ascii="Arial" w:hAnsi="Arial" w:cs="Arial"/>
          <w:lang w:val="en-US"/>
        </w:rPr>
        <w:t>se</w:t>
      </w:r>
      <w:r w:rsidRPr="002A6F4E">
        <w:rPr>
          <w:rFonts w:ascii="Arial" w:hAnsi="Arial" w:cs="Arial"/>
          <w:spacing w:val="-8"/>
          <w:lang w:val="bs-Latn"/>
        </w:rPr>
        <w:t xml:space="preserve"> </w:t>
      </w:r>
      <w:r w:rsidRPr="002A6F4E">
        <w:rPr>
          <w:rFonts w:ascii="Arial" w:hAnsi="Arial" w:cs="Arial"/>
          <w:lang w:val="en-US"/>
        </w:rPr>
        <w:t>ne</w:t>
      </w:r>
      <w:r w:rsidRPr="002A6F4E">
        <w:rPr>
          <w:rFonts w:ascii="Arial" w:hAnsi="Arial" w:cs="Arial"/>
          <w:spacing w:val="-8"/>
          <w:lang w:val="bs-Latn"/>
        </w:rPr>
        <w:t xml:space="preserve"> </w:t>
      </w:r>
      <w:r w:rsidRPr="002A6F4E">
        <w:rPr>
          <w:rFonts w:ascii="Arial" w:hAnsi="Arial" w:cs="Arial"/>
          <w:lang w:val="en-US"/>
        </w:rPr>
        <w:t>mo</w:t>
      </w:r>
      <w:r w:rsidRPr="002A6F4E">
        <w:rPr>
          <w:rFonts w:ascii="Arial" w:hAnsi="Arial" w:cs="Arial"/>
          <w:lang w:val="bs-Latn"/>
        </w:rPr>
        <w:t>ž</w:t>
      </w:r>
      <w:r w:rsidRPr="002A6F4E">
        <w:rPr>
          <w:rFonts w:ascii="Arial" w:hAnsi="Arial" w:cs="Arial"/>
          <w:lang w:val="en-US"/>
        </w:rPr>
        <w:t>e</w:t>
      </w:r>
      <w:r w:rsidRPr="002A6F4E">
        <w:rPr>
          <w:rFonts w:ascii="Arial" w:hAnsi="Arial" w:cs="Arial"/>
          <w:spacing w:val="-8"/>
          <w:lang w:val="bs-Latn"/>
        </w:rPr>
        <w:t xml:space="preserve"> </w:t>
      </w:r>
      <w:r w:rsidRPr="002A6F4E">
        <w:rPr>
          <w:rFonts w:ascii="Arial" w:hAnsi="Arial" w:cs="Arial"/>
          <w:spacing w:val="-8"/>
          <w:lang w:val="en-US"/>
        </w:rPr>
        <w:t>podjednako</w:t>
      </w:r>
      <w:r w:rsidRPr="002A6F4E">
        <w:rPr>
          <w:rFonts w:ascii="Arial" w:hAnsi="Arial" w:cs="Arial"/>
          <w:spacing w:val="-8"/>
          <w:lang w:val="bs-Latn"/>
        </w:rPr>
        <w:t xml:space="preserve"> </w:t>
      </w:r>
      <w:r w:rsidRPr="002A6F4E">
        <w:rPr>
          <w:rFonts w:ascii="Arial" w:hAnsi="Arial" w:cs="Arial"/>
          <w:lang w:val="en-US"/>
        </w:rPr>
        <w:t>djelovati</w:t>
      </w:r>
      <w:r w:rsidRPr="002A6F4E">
        <w:rPr>
          <w:rFonts w:ascii="Arial" w:hAnsi="Arial" w:cs="Arial"/>
          <w:lang w:val="bs-Latn"/>
        </w:rPr>
        <w:t>,</w:t>
      </w:r>
      <w:r w:rsidRPr="002A6F4E">
        <w:rPr>
          <w:rFonts w:ascii="Arial" w:hAnsi="Arial" w:cs="Arial"/>
          <w:spacing w:val="-9"/>
          <w:lang w:val="bs-Latn"/>
        </w:rPr>
        <w:t xml:space="preserve"> </w:t>
      </w:r>
      <w:r w:rsidRPr="002A6F4E">
        <w:rPr>
          <w:rFonts w:ascii="Arial" w:hAnsi="Arial" w:cs="Arial"/>
          <w:lang w:val="en-US"/>
        </w:rPr>
        <w:t>ali</w:t>
      </w:r>
      <w:r w:rsidRPr="002A6F4E">
        <w:rPr>
          <w:rFonts w:ascii="Arial" w:hAnsi="Arial" w:cs="Arial"/>
          <w:spacing w:val="-7"/>
          <w:lang w:val="bs-Latn"/>
        </w:rPr>
        <w:t xml:space="preserve"> </w:t>
      </w:r>
      <w:r w:rsidRPr="002A6F4E">
        <w:rPr>
          <w:rFonts w:ascii="Arial" w:hAnsi="Arial" w:cs="Arial"/>
          <w:lang w:val="en-US"/>
        </w:rPr>
        <w:t>ih</w:t>
      </w:r>
      <w:r w:rsidRPr="002A6F4E">
        <w:rPr>
          <w:rFonts w:ascii="Arial" w:hAnsi="Arial" w:cs="Arial"/>
          <w:spacing w:val="-9"/>
          <w:lang w:val="bs-Latn"/>
        </w:rPr>
        <w:t xml:space="preserve"> </w:t>
      </w:r>
      <w:r w:rsidRPr="002A6F4E">
        <w:rPr>
          <w:rFonts w:ascii="Arial" w:hAnsi="Arial" w:cs="Arial"/>
          <w:lang w:val="en-US"/>
        </w:rPr>
        <w:t>neprestano</w:t>
      </w:r>
      <w:r w:rsidRPr="002A6F4E">
        <w:rPr>
          <w:rFonts w:ascii="Arial" w:hAnsi="Arial" w:cs="Arial"/>
          <w:spacing w:val="-11"/>
          <w:lang w:val="bs-Latn"/>
        </w:rPr>
        <w:t xml:space="preserve"> </w:t>
      </w:r>
      <w:r w:rsidRPr="002A6F4E">
        <w:rPr>
          <w:rFonts w:ascii="Arial" w:hAnsi="Arial" w:cs="Arial"/>
          <w:lang w:val="en-US"/>
        </w:rPr>
        <w:t>treba</w:t>
      </w:r>
      <w:r w:rsidRPr="002A6F4E">
        <w:rPr>
          <w:rFonts w:ascii="Arial" w:hAnsi="Arial" w:cs="Arial"/>
          <w:spacing w:val="-8"/>
          <w:lang w:val="bs-Latn"/>
        </w:rPr>
        <w:t xml:space="preserve"> </w:t>
      </w:r>
      <w:r w:rsidRPr="002A6F4E">
        <w:rPr>
          <w:rFonts w:ascii="Arial" w:hAnsi="Arial" w:cs="Arial"/>
          <w:lang w:val="en-US"/>
        </w:rPr>
        <w:t>imati</w:t>
      </w:r>
      <w:r w:rsidRPr="002A6F4E">
        <w:rPr>
          <w:rFonts w:ascii="Arial" w:hAnsi="Arial" w:cs="Arial"/>
          <w:lang w:val="bs-Latn"/>
        </w:rPr>
        <w:t xml:space="preserve"> </w:t>
      </w:r>
      <w:r w:rsidRPr="002A6F4E">
        <w:rPr>
          <w:rFonts w:ascii="Arial" w:hAnsi="Arial" w:cs="Arial"/>
          <w:lang w:val="en-US"/>
        </w:rPr>
        <w:t>u</w:t>
      </w:r>
      <w:r w:rsidRPr="002A6F4E">
        <w:rPr>
          <w:rFonts w:ascii="Arial" w:hAnsi="Arial" w:cs="Arial"/>
          <w:lang w:val="bs-Latn"/>
        </w:rPr>
        <w:t xml:space="preserve"> </w:t>
      </w:r>
      <w:r w:rsidRPr="002A6F4E">
        <w:rPr>
          <w:rFonts w:ascii="Arial" w:hAnsi="Arial" w:cs="Arial"/>
          <w:lang w:val="en-US"/>
        </w:rPr>
        <w:t>vidu</w:t>
      </w:r>
      <w:r w:rsidRPr="002A6F4E">
        <w:rPr>
          <w:rFonts w:ascii="Arial" w:hAnsi="Arial" w:cs="Arial"/>
          <w:lang w:val="bs-Latn"/>
        </w:rPr>
        <w:t xml:space="preserve"> </w:t>
      </w:r>
      <w:r w:rsidRPr="002A6F4E">
        <w:rPr>
          <w:rFonts w:ascii="Arial" w:hAnsi="Arial" w:cs="Arial"/>
          <w:lang w:val="en-US"/>
        </w:rPr>
        <w:t>jer</w:t>
      </w:r>
      <w:r w:rsidRPr="002A6F4E">
        <w:rPr>
          <w:rFonts w:ascii="Arial" w:hAnsi="Arial" w:cs="Arial"/>
          <w:lang w:val="bs-Latn"/>
        </w:rPr>
        <w:t xml:space="preserve"> </w:t>
      </w:r>
      <w:r w:rsidRPr="002A6F4E">
        <w:rPr>
          <w:rFonts w:ascii="Arial" w:hAnsi="Arial" w:cs="Arial"/>
          <w:lang w:val="en-US"/>
        </w:rPr>
        <w:t>su</w:t>
      </w:r>
      <w:r w:rsidRPr="002A6F4E">
        <w:rPr>
          <w:rFonts w:ascii="Arial" w:hAnsi="Arial" w:cs="Arial"/>
          <w:lang w:val="bs-Latn"/>
        </w:rPr>
        <w:t xml:space="preserve"> </w:t>
      </w:r>
      <w:r w:rsidRPr="002A6F4E">
        <w:rPr>
          <w:rFonts w:ascii="Arial" w:hAnsi="Arial" w:cs="Arial"/>
          <w:lang w:val="en-US"/>
        </w:rPr>
        <w:t>potencijalni</w:t>
      </w:r>
      <w:r w:rsidRPr="002A6F4E">
        <w:rPr>
          <w:rFonts w:ascii="Arial" w:hAnsi="Arial" w:cs="Arial"/>
          <w:lang w:val="bs-Latn"/>
        </w:rPr>
        <w:t xml:space="preserve"> </w:t>
      </w:r>
      <w:r w:rsidRPr="002A6F4E">
        <w:rPr>
          <w:rFonts w:ascii="Arial" w:hAnsi="Arial" w:cs="Arial"/>
          <w:lang w:val="en-US"/>
        </w:rPr>
        <w:t>rizik</w:t>
      </w:r>
      <w:r w:rsidRPr="002A6F4E">
        <w:rPr>
          <w:rFonts w:ascii="Arial" w:hAnsi="Arial" w:cs="Arial"/>
          <w:lang w:val="bs-Latn"/>
        </w:rPr>
        <w:t xml:space="preserve"> </w:t>
      </w:r>
      <w:r w:rsidRPr="002A6F4E">
        <w:rPr>
          <w:rFonts w:ascii="Arial" w:hAnsi="Arial" w:cs="Arial"/>
          <w:lang w:val="en-US"/>
        </w:rPr>
        <w:t>u</w:t>
      </w:r>
      <w:r w:rsidRPr="002A6F4E">
        <w:rPr>
          <w:rFonts w:ascii="Arial" w:hAnsi="Arial" w:cs="Arial"/>
          <w:lang w:val="bs-Latn"/>
        </w:rPr>
        <w:t xml:space="preserve"> </w:t>
      </w:r>
      <w:r w:rsidRPr="002A6F4E">
        <w:rPr>
          <w:rFonts w:ascii="Arial" w:hAnsi="Arial" w:cs="Arial"/>
          <w:lang w:val="en-US"/>
        </w:rPr>
        <w:t>procesu</w:t>
      </w:r>
      <w:r w:rsidRPr="002A6F4E">
        <w:rPr>
          <w:rFonts w:ascii="Arial" w:hAnsi="Arial" w:cs="Arial"/>
          <w:lang w:val="bs-Latn"/>
        </w:rPr>
        <w:t xml:space="preserve"> </w:t>
      </w:r>
      <w:r w:rsidR="00971275">
        <w:rPr>
          <w:rFonts w:ascii="Arial" w:hAnsi="Arial" w:cs="Arial"/>
          <w:lang w:val="bs-Latn"/>
        </w:rPr>
        <w:t>s</w:t>
      </w:r>
      <w:r w:rsidRPr="002A6F4E">
        <w:rPr>
          <w:rFonts w:ascii="Arial" w:hAnsi="Arial" w:cs="Arial"/>
          <w:lang w:val="en-US"/>
        </w:rPr>
        <w:t>provo</w:t>
      </w:r>
      <w:r w:rsidRPr="002A6F4E">
        <w:rPr>
          <w:rFonts w:ascii="Arial" w:hAnsi="Arial" w:cs="Arial"/>
          <w:lang w:val="bs-Latn"/>
        </w:rPr>
        <w:t>đ</w:t>
      </w:r>
      <w:r w:rsidRPr="002A6F4E">
        <w:rPr>
          <w:rFonts w:ascii="Arial" w:hAnsi="Arial" w:cs="Arial"/>
          <w:lang w:val="en-US"/>
        </w:rPr>
        <w:t>enj</w:t>
      </w:r>
      <w:r w:rsidR="00971275">
        <w:rPr>
          <w:rFonts w:ascii="Arial" w:hAnsi="Arial" w:cs="Arial"/>
          <w:lang w:val="en-US"/>
        </w:rPr>
        <w:t>a</w:t>
      </w:r>
      <w:r w:rsidRPr="002A6F4E">
        <w:rPr>
          <w:rFonts w:ascii="Arial" w:hAnsi="Arial" w:cs="Arial"/>
          <w:lang w:val="bs-Latn"/>
        </w:rPr>
        <w:t xml:space="preserve"> </w:t>
      </w:r>
      <w:r w:rsidRPr="002A6F4E">
        <w:rPr>
          <w:rFonts w:ascii="Arial" w:hAnsi="Arial" w:cs="Arial"/>
          <w:lang w:val="en-US"/>
        </w:rPr>
        <w:t>razvojnih</w:t>
      </w:r>
      <w:r w:rsidRPr="002A6F4E">
        <w:rPr>
          <w:rFonts w:ascii="Arial" w:hAnsi="Arial" w:cs="Arial"/>
          <w:lang w:val="bs-Latn"/>
        </w:rPr>
        <w:t xml:space="preserve"> </w:t>
      </w:r>
      <w:r w:rsidRPr="002A6F4E">
        <w:rPr>
          <w:rFonts w:ascii="Arial" w:hAnsi="Arial" w:cs="Arial"/>
          <w:lang w:val="en-US"/>
        </w:rPr>
        <w:t>planova</w:t>
      </w:r>
      <w:r w:rsidRPr="002A6F4E">
        <w:rPr>
          <w:rFonts w:ascii="Arial" w:hAnsi="Arial" w:cs="Arial"/>
          <w:lang w:val="bs-Latn"/>
        </w:rPr>
        <w:t xml:space="preserve"> </w:t>
      </w:r>
      <w:r w:rsidRPr="002A6F4E">
        <w:rPr>
          <w:rFonts w:ascii="Arial" w:hAnsi="Arial" w:cs="Arial"/>
          <w:lang w:val="en-US"/>
        </w:rPr>
        <w:t>i</w:t>
      </w:r>
      <w:r w:rsidRPr="002A6F4E">
        <w:rPr>
          <w:rFonts w:ascii="Arial" w:hAnsi="Arial" w:cs="Arial"/>
          <w:lang w:val="bs-Latn"/>
        </w:rPr>
        <w:t xml:space="preserve"> </w:t>
      </w:r>
      <w:r w:rsidRPr="002A6F4E">
        <w:rPr>
          <w:rFonts w:ascii="Arial" w:hAnsi="Arial" w:cs="Arial"/>
          <w:lang w:val="en-US"/>
        </w:rPr>
        <w:t>strate</w:t>
      </w:r>
      <w:r w:rsidRPr="002A6F4E">
        <w:rPr>
          <w:rFonts w:ascii="Arial" w:hAnsi="Arial" w:cs="Arial"/>
          <w:lang w:val="bs-Latn"/>
        </w:rPr>
        <w:t>š</w:t>
      </w:r>
      <w:r w:rsidRPr="002A6F4E">
        <w:rPr>
          <w:rFonts w:ascii="Arial" w:hAnsi="Arial" w:cs="Arial"/>
          <w:lang w:val="en-US"/>
        </w:rPr>
        <w:t>kih</w:t>
      </w:r>
      <w:r w:rsidRPr="002A6F4E">
        <w:rPr>
          <w:rFonts w:ascii="Arial" w:hAnsi="Arial" w:cs="Arial"/>
          <w:lang w:val="bs-Latn"/>
        </w:rPr>
        <w:t xml:space="preserve"> </w:t>
      </w:r>
      <w:r w:rsidRPr="002A6F4E">
        <w:rPr>
          <w:rFonts w:ascii="Arial" w:hAnsi="Arial" w:cs="Arial"/>
          <w:lang w:val="en-US"/>
        </w:rPr>
        <w:t>dokumenata</w:t>
      </w:r>
      <w:r w:rsidRPr="002A6F4E">
        <w:rPr>
          <w:rFonts w:ascii="Arial" w:hAnsi="Arial" w:cs="Arial"/>
          <w:lang w:val="bs-Latn"/>
        </w:rPr>
        <w:t xml:space="preserve">, </w:t>
      </w:r>
      <w:r w:rsidRPr="002A6F4E">
        <w:rPr>
          <w:rFonts w:ascii="Arial" w:hAnsi="Arial" w:cs="Arial"/>
          <w:lang w:val="en-US"/>
        </w:rPr>
        <w:t>konkretno</w:t>
      </w:r>
      <w:r w:rsidRPr="002A6F4E">
        <w:rPr>
          <w:rFonts w:ascii="Arial" w:hAnsi="Arial" w:cs="Arial"/>
          <w:lang w:val="bs-Latn"/>
        </w:rPr>
        <w:t xml:space="preserve"> </w:t>
      </w:r>
      <w:r w:rsidRPr="002A6F4E">
        <w:rPr>
          <w:rFonts w:ascii="Arial" w:hAnsi="Arial" w:cs="Arial"/>
          <w:lang w:val="en-US"/>
        </w:rPr>
        <w:t>DPUO</w:t>
      </w:r>
      <w:r w:rsidR="00D212FD">
        <w:rPr>
          <w:rFonts w:ascii="Arial" w:hAnsi="Arial" w:cs="Arial"/>
          <w:lang w:val="bs-Latn"/>
        </w:rPr>
        <w:t xml:space="preserve">. U vezi prethodno navedenog, </w:t>
      </w:r>
      <w:r w:rsidRPr="002A6F4E">
        <w:rPr>
          <w:rFonts w:ascii="Arial" w:hAnsi="Arial" w:cs="Arial"/>
          <w:iCs/>
          <w:lang w:val="en-US"/>
        </w:rPr>
        <w:t>model</w:t>
      </w:r>
      <w:r w:rsidRPr="002A6F4E">
        <w:rPr>
          <w:rFonts w:ascii="Arial" w:hAnsi="Arial" w:cs="Arial"/>
          <w:iCs/>
          <w:lang w:val="bs-Latn"/>
        </w:rPr>
        <w:t xml:space="preserve"> </w:t>
      </w:r>
      <w:r w:rsidR="00D212FD">
        <w:rPr>
          <w:rFonts w:ascii="Arial" w:hAnsi="Arial" w:cs="Arial"/>
          <w:iCs/>
          <w:lang w:val="bs-Latn"/>
        </w:rPr>
        <w:t xml:space="preserve">je </w:t>
      </w:r>
      <w:r w:rsidRPr="002A6F4E">
        <w:rPr>
          <w:rFonts w:ascii="Arial" w:hAnsi="Arial" w:cs="Arial"/>
          <w:iCs/>
          <w:lang w:val="en-US"/>
        </w:rPr>
        <w:t>prikazan</w:t>
      </w:r>
      <w:r w:rsidRPr="002A6F4E">
        <w:rPr>
          <w:rFonts w:ascii="Arial" w:hAnsi="Arial" w:cs="Arial"/>
          <w:iCs/>
          <w:lang w:val="bs-Latn"/>
        </w:rPr>
        <w:t xml:space="preserve"> </w:t>
      </w:r>
      <w:r w:rsidRPr="002A6F4E">
        <w:rPr>
          <w:rFonts w:ascii="Arial" w:hAnsi="Arial" w:cs="Arial"/>
          <w:iCs/>
          <w:lang w:val="en-US"/>
        </w:rPr>
        <w:t>na</w:t>
      </w:r>
      <w:r w:rsidRPr="002A6F4E">
        <w:rPr>
          <w:rFonts w:ascii="Arial" w:hAnsi="Arial" w:cs="Arial"/>
          <w:iCs/>
          <w:lang w:val="bs-Latn"/>
        </w:rPr>
        <w:t xml:space="preserve"> </w:t>
      </w:r>
      <w:r w:rsidRPr="0054632B">
        <w:rPr>
          <w:rFonts w:ascii="Arial" w:hAnsi="Arial" w:cs="Arial"/>
          <w:iCs/>
          <w:color w:val="000000" w:themeColor="text1"/>
          <w:lang w:val="en-US"/>
        </w:rPr>
        <w:t>slici</w:t>
      </w:r>
      <w:r w:rsidRPr="0054632B">
        <w:rPr>
          <w:rFonts w:ascii="Arial" w:hAnsi="Arial" w:cs="Arial"/>
          <w:iCs/>
          <w:color w:val="000000" w:themeColor="text1"/>
          <w:lang w:val="bs-Latn"/>
        </w:rPr>
        <w:t xml:space="preserve"> </w:t>
      </w:r>
      <w:r w:rsidR="00695794" w:rsidRPr="0054632B">
        <w:rPr>
          <w:rFonts w:ascii="Arial" w:hAnsi="Arial" w:cs="Arial"/>
          <w:iCs/>
          <w:color w:val="000000" w:themeColor="text1"/>
          <w:lang w:val="bs-Latn"/>
        </w:rPr>
        <w:t>1</w:t>
      </w:r>
      <w:r w:rsidR="005812AD">
        <w:rPr>
          <w:rFonts w:ascii="Arial" w:hAnsi="Arial" w:cs="Arial"/>
          <w:iCs/>
          <w:color w:val="000000" w:themeColor="text1"/>
          <w:lang w:val="bs-Latn"/>
        </w:rPr>
        <w:t>5</w:t>
      </w:r>
      <w:r w:rsidRPr="0054632B">
        <w:rPr>
          <w:rFonts w:ascii="Arial" w:hAnsi="Arial" w:cs="Arial"/>
          <w:iCs/>
          <w:color w:val="000000" w:themeColor="text1"/>
          <w:lang w:val="bs-Latn"/>
        </w:rPr>
        <w:t>.</w:t>
      </w:r>
    </w:p>
    <w:p w14:paraId="1A15161C" w14:textId="77777777" w:rsidR="00377063" w:rsidRPr="002A6F4E" w:rsidRDefault="00377063" w:rsidP="00377063">
      <w:pPr>
        <w:autoSpaceDE w:val="0"/>
        <w:autoSpaceDN w:val="0"/>
        <w:adjustRightInd w:val="0"/>
        <w:spacing w:line="360" w:lineRule="auto"/>
        <w:rPr>
          <w:rFonts w:ascii="Arial" w:hAnsi="Arial" w:cs="Arial"/>
          <w:lang w:val="bs-Latn"/>
        </w:rPr>
      </w:pPr>
    </w:p>
    <w:p w14:paraId="35FDED77" w14:textId="75CE9647" w:rsidR="00377063" w:rsidRPr="008E642F" w:rsidRDefault="00377063" w:rsidP="00695794">
      <w:pPr>
        <w:pStyle w:val="Caption"/>
        <w:jc w:val="center"/>
        <w:rPr>
          <w:rFonts w:ascii="Arial" w:hAnsi="Arial" w:cs="Arial"/>
          <w:b w:val="0"/>
          <w:iCs/>
          <w:color w:val="000000"/>
          <w:szCs w:val="20"/>
          <w:lang w:val="bs-Latn"/>
        </w:rPr>
      </w:pPr>
      <w:bookmarkStart w:id="1461" w:name="_Toc190160849"/>
      <w:r w:rsidRPr="008E642F">
        <w:rPr>
          <w:rFonts w:ascii="Arial" w:hAnsi="Arial" w:cs="Arial"/>
          <w:b w:val="0"/>
        </w:rPr>
        <w:t>Slika</w:t>
      </w:r>
      <w:r w:rsidRPr="008E642F">
        <w:rPr>
          <w:rFonts w:ascii="Arial" w:hAnsi="Arial" w:cs="Arial"/>
          <w:b w:val="0"/>
          <w:lang w:val="bs-Latn"/>
        </w:rPr>
        <w:t xml:space="preserve"> </w:t>
      </w:r>
      <w:r w:rsidR="005812AD" w:rsidRPr="00AF012C">
        <w:rPr>
          <w:rFonts w:ascii="Arial" w:hAnsi="Arial" w:cs="Arial"/>
          <w:b w:val="0"/>
          <w:lang w:val="bs-Latn"/>
        </w:rPr>
        <w:t>15</w:t>
      </w:r>
      <w:r w:rsidRPr="008E642F">
        <w:rPr>
          <w:rFonts w:ascii="Arial" w:hAnsi="Arial" w:cs="Arial"/>
          <w:b w:val="0"/>
          <w:iCs/>
          <w:color w:val="000000"/>
          <w:lang w:val="bs-Latn"/>
        </w:rPr>
        <w:t xml:space="preserve"> </w:t>
      </w:r>
      <w:r w:rsidRPr="008E642F">
        <w:rPr>
          <w:rFonts w:ascii="Arial" w:hAnsi="Arial" w:cs="Arial"/>
          <w:b w:val="0"/>
        </w:rPr>
        <w:t>SWOT</w:t>
      </w:r>
      <w:r w:rsidRPr="008E642F">
        <w:rPr>
          <w:rFonts w:ascii="Arial" w:hAnsi="Arial" w:cs="Arial"/>
          <w:b w:val="0"/>
          <w:szCs w:val="20"/>
          <w:lang w:val="bs-Latn"/>
        </w:rPr>
        <w:t xml:space="preserve"> </w:t>
      </w:r>
      <w:r w:rsidRPr="008E642F">
        <w:rPr>
          <w:rFonts w:ascii="Arial" w:hAnsi="Arial" w:cs="Arial"/>
          <w:b w:val="0"/>
          <w:szCs w:val="20"/>
        </w:rPr>
        <w:t>analiza</w:t>
      </w:r>
      <w:r w:rsidRPr="008E642F">
        <w:rPr>
          <w:rFonts w:ascii="Arial" w:hAnsi="Arial" w:cs="Arial"/>
          <w:b w:val="0"/>
          <w:szCs w:val="20"/>
          <w:lang w:val="bs-Latn"/>
        </w:rPr>
        <w:t xml:space="preserve"> </w:t>
      </w:r>
      <w:r w:rsidRPr="008E642F">
        <w:rPr>
          <w:rFonts w:ascii="Arial" w:hAnsi="Arial" w:cs="Arial"/>
          <w:b w:val="0"/>
          <w:szCs w:val="20"/>
        </w:rPr>
        <w:t>evaluacije</w:t>
      </w:r>
      <w:r w:rsidRPr="008E642F">
        <w:rPr>
          <w:rFonts w:ascii="Arial" w:hAnsi="Arial" w:cs="Arial"/>
          <w:b w:val="0"/>
          <w:szCs w:val="20"/>
          <w:lang w:val="bs-Latn"/>
        </w:rPr>
        <w:t xml:space="preserve"> </w:t>
      </w:r>
      <w:r w:rsidRPr="008E642F">
        <w:rPr>
          <w:rFonts w:ascii="Arial" w:hAnsi="Arial" w:cs="Arial"/>
          <w:b w:val="0"/>
          <w:szCs w:val="20"/>
        </w:rPr>
        <w:t>izvodlj</w:t>
      </w:r>
      <w:r w:rsidR="00025A24" w:rsidRPr="008E642F">
        <w:rPr>
          <w:rFonts w:ascii="Arial" w:hAnsi="Arial" w:cs="Arial"/>
          <w:b w:val="0"/>
          <w:szCs w:val="20"/>
        </w:rPr>
        <w:t>i</w:t>
      </w:r>
      <w:r w:rsidRPr="008E642F">
        <w:rPr>
          <w:rFonts w:ascii="Arial" w:hAnsi="Arial" w:cs="Arial"/>
          <w:b w:val="0"/>
          <w:szCs w:val="20"/>
        </w:rPr>
        <w:t>vosti</w:t>
      </w:r>
      <w:r w:rsidRPr="008E642F">
        <w:rPr>
          <w:rFonts w:ascii="Arial" w:hAnsi="Arial" w:cs="Arial"/>
          <w:b w:val="0"/>
          <w:szCs w:val="20"/>
          <w:lang w:val="bs-Latn"/>
        </w:rPr>
        <w:t xml:space="preserve"> </w:t>
      </w:r>
      <w:r w:rsidRPr="008E642F">
        <w:rPr>
          <w:rFonts w:ascii="Arial" w:hAnsi="Arial" w:cs="Arial"/>
          <w:b w:val="0"/>
          <w:szCs w:val="20"/>
        </w:rPr>
        <w:t>DPUO</w:t>
      </w:r>
      <w:r w:rsidRPr="008E642F">
        <w:rPr>
          <w:rFonts w:ascii="Arial" w:hAnsi="Arial" w:cs="Arial"/>
          <w:b w:val="0"/>
          <w:szCs w:val="20"/>
          <w:lang w:val="bs-Latn"/>
        </w:rPr>
        <w:t xml:space="preserve"> </w:t>
      </w:r>
      <w:r w:rsidRPr="008E642F">
        <w:rPr>
          <w:rFonts w:ascii="Arial" w:hAnsi="Arial" w:cs="Arial"/>
          <w:b w:val="0"/>
          <w:szCs w:val="20"/>
        </w:rPr>
        <w:t>Crne</w:t>
      </w:r>
      <w:r w:rsidRPr="008E642F">
        <w:rPr>
          <w:rFonts w:ascii="Arial" w:hAnsi="Arial" w:cs="Arial"/>
          <w:b w:val="0"/>
          <w:szCs w:val="20"/>
          <w:lang w:val="bs-Latn"/>
        </w:rPr>
        <w:t xml:space="preserve"> </w:t>
      </w:r>
      <w:r w:rsidRPr="008E642F">
        <w:rPr>
          <w:rFonts w:ascii="Arial" w:hAnsi="Arial" w:cs="Arial"/>
          <w:b w:val="0"/>
          <w:szCs w:val="20"/>
        </w:rPr>
        <w:t>Gore</w:t>
      </w:r>
      <w:bookmarkEnd w:id="1461"/>
    </w:p>
    <w:p w14:paraId="302007E3" w14:textId="3873568F" w:rsidR="00377063" w:rsidRPr="002A6F4E" w:rsidRDefault="00377063" w:rsidP="00695794">
      <w:pPr>
        <w:autoSpaceDE w:val="0"/>
        <w:autoSpaceDN w:val="0"/>
        <w:adjustRightInd w:val="0"/>
        <w:spacing w:line="360" w:lineRule="auto"/>
        <w:jc w:val="center"/>
        <w:rPr>
          <w:rFonts w:ascii="Arial" w:hAnsi="Arial" w:cs="Arial"/>
          <w:iCs/>
          <w:color w:val="000000"/>
          <w:lang w:val="en-US"/>
        </w:rPr>
      </w:pPr>
      <w:r w:rsidRPr="002A6F4E">
        <w:rPr>
          <w:rFonts w:ascii="Arial" w:hAnsi="Arial" w:cs="Arial"/>
          <w:noProof/>
          <w:color w:val="000000"/>
          <w:lang w:val="en-US"/>
        </w:rPr>
        <w:drawing>
          <wp:inline distT="0" distB="0" distL="0" distR="0" wp14:anchorId="58AFE313" wp14:editId="6EA730DB">
            <wp:extent cx="4502785" cy="25812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4514105" cy="2587731"/>
                    </a:xfrm>
                    <a:prstGeom prst="rect">
                      <a:avLst/>
                    </a:prstGeom>
                    <a:noFill/>
                    <a:ln>
                      <a:noFill/>
                    </a:ln>
                  </pic:spPr>
                </pic:pic>
              </a:graphicData>
            </a:graphic>
          </wp:inline>
        </w:drawing>
      </w:r>
    </w:p>
    <w:p w14:paraId="6247837D" w14:textId="77777777" w:rsidR="00695794" w:rsidRPr="002A6F4E" w:rsidRDefault="00695794" w:rsidP="00377063">
      <w:pPr>
        <w:autoSpaceDE w:val="0"/>
        <w:autoSpaceDN w:val="0"/>
        <w:adjustRightInd w:val="0"/>
        <w:spacing w:line="360" w:lineRule="auto"/>
        <w:rPr>
          <w:rFonts w:ascii="Arial" w:eastAsia="TimesNewRomanPSMT" w:hAnsi="Arial" w:cs="Arial"/>
          <w:lang w:val="en-US"/>
        </w:rPr>
      </w:pPr>
    </w:p>
    <w:p w14:paraId="57DB6867" w14:textId="663E7074" w:rsidR="00377063" w:rsidRPr="002A6F4E" w:rsidRDefault="00377063" w:rsidP="00377063">
      <w:pPr>
        <w:autoSpaceDE w:val="0"/>
        <w:autoSpaceDN w:val="0"/>
        <w:adjustRightInd w:val="0"/>
        <w:spacing w:line="360" w:lineRule="auto"/>
        <w:rPr>
          <w:rFonts w:ascii="Arial" w:eastAsia="TimesNewRomanPSMT" w:hAnsi="Arial" w:cs="Arial"/>
          <w:lang w:val="en-US"/>
        </w:rPr>
      </w:pPr>
      <w:r w:rsidRPr="002A6F4E">
        <w:rPr>
          <w:rFonts w:ascii="Arial" w:eastAsia="TimesNewRomanPSMT" w:hAnsi="Arial" w:cs="Arial"/>
          <w:lang w:val="en-US"/>
        </w:rPr>
        <w:t xml:space="preserve">Kada su u pitanju postavljeni ciljevi i pretpostavljene mjere koji se odnose na jedinstveni </w:t>
      </w:r>
      <w:r w:rsidR="00971275">
        <w:rPr>
          <w:rFonts w:ascii="Arial" w:eastAsia="TimesNewRomanPSMT" w:hAnsi="Arial" w:cs="Arial"/>
          <w:lang w:val="en-US"/>
        </w:rPr>
        <w:t>državni</w:t>
      </w:r>
      <w:r w:rsidRPr="002A6F4E">
        <w:rPr>
          <w:rFonts w:ascii="Arial" w:eastAsia="TimesNewRomanPSMT" w:hAnsi="Arial" w:cs="Arial"/>
          <w:lang w:val="en-US"/>
        </w:rPr>
        <w:t xml:space="preserve"> okvir DPUO, potrebno je da SWOT analizom budu obuhvaćene sljedeće vrste instrumenata, odnosno javne politike to: </w:t>
      </w:r>
    </w:p>
    <w:p w14:paraId="17412890" w14:textId="77777777" w:rsidR="00377063" w:rsidRPr="008E642F" w:rsidRDefault="00377063" w:rsidP="00A23ED0">
      <w:pPr>
        <w:numPr>
          <w:ilvl w:val="0"/>
          <w:numId w:val="94"/>
        </w:numPr>
        <w:autoSpaceDE w:val="0"/>
        <w:autoSpaceDN w:val="0"/>
        <w:adjustRightInd w:val="0"/>
        <w:spacing w:after="160" w:line="360" w:lineRule="auto"/>
        <w:contextualSpacing/>
        <w:rPr>
          <w:rFonts w:ascii="Arial" w:eastAsia="TimesNewRomanPSMT" w:hAnsi="Arial" w:cs="Arial"/>
          <w:lang w:val="en-US"/>
        </w:rPr>
      </w:pPr>
      <w:r w:rsidRPr="008E642F">
        <w:rPr>
          <w:rFonts w:ascii="Arial" w:eastAsia="TimesNewRomanPSMT" w:hAnsi="Arial" w:cs="Arial"/>
          <w:lang w:val="en-US"/>
        </w:rPr>
        <w:t xml:space="preserve">regulatorni – institucionalni instrumenti; </w:t>
      </w:r>
    </w:p>
    <w:p w14:paraId="39BDDA6E" w14:textId="77777777" w:rsidR="00377063" w:rsidRPr="008E642F" w:rsidRDefault="00377063" w:rsidP="00A23ED0">
      <w:pPr>
        <w:numPr>
          <w:ilvl w:val="0"/>
          <w:numId w:val="94"/>
        </w:numPr>
        <w:autoSpaceDE w:val="0"/>
        <w:autoSpaceDN w:val="0"/>
        <w:adjustRightInd w:val="0"/>
        <w:spacing w:after="160" w:line="360" w:lineRule="auto"/>
        <w:contextualSpacing/>
        <w:rPr>
          <w:rFonts w:ascii="Arial" w:eastAsia="TimesNewRomanPSMT" w:hAnsi="Arial" w:cs="Arial"/>
          <w:lang w:val="en-US"/>
        </w:rPr>
      </w:pPr>
      <w:r w:rsidRPr="008E642F">
        <w:rPr>
          <w:rFonts w:ascii="Arial" w:eastAsia="TimesNewRomanPSMT" w:hAnsi="Arial" w:cs="Arial"/>
          <w:lang w:val="en-US"/>
        </w:rPr>
        <w:t xml:space="preserve">ekonomski instrumenti; </w:t>
      </w:r>
    </w:p>
    <w:p w14:paraId="437177B1" w14:textId="77777777" w:rsidR="00377063" w:rsidRPr="008E642F" w:rsidRDefault="00377063" w:rsidP="00A23ED0">
      <w:pPr>
        <w:numPr>
          <w:ilvl w:val="0"/>
          <w:numId w:val="94"/>
        </w:numPr>
        <w:autoSpaceDE w:val="0"/>
        <w:autoSpaceDN w:val="0"/>
        <w:adjustRightInd w:val="0"/>
        <w:spacing w:after="160" w:line="360" w:lineRule="auto"/>
        <w:contextualSpacing/>
        <w:rPr>
          <w:rFonts w:ascii="Arial" w:eastAsia="TimesNewRomanPSMT" w:hAnsi="Arial" w:cs="Arial"/>
          <w:lang w:val="en-US"/>
        </w:rPr>
      </w:pPr>
      <w:r w:rsidRPr="008E642F">
        <w:rPr>
          <w:rFonts w:ascii="Arial" w:eastAsia="TimesNewRomanPSMT" w:hAnsi="Arial" w:cs="Arial"/>
          <w:lang w:val="en-US"/>
        </w:rPr>
        <w:t xml:space="preserve">proširena odgovornost proizvođača; </w:t>
      </w:r>
    </w:p>
    <w:p w14:paraId="730990F2" w14:textId="042AE0DF" w:rsidR="00377063" w:rsidRPr="008E642F" w:rsidRDefault="00377063" w:rsidP="00A23ED0">
      <w:pPr>
        <w:numPr>
          <w:ilvl w:val="0"/>
          <w:numId w:val="94"/>
        </w:numPr>
        <w:autoSpaceDE w:val="0"/>
        <w:autoSpaceDN w:val="0"/>
        <w:adjustRightInd w:val="0"/>
        <w:spacing w:after="160" w:line="360" w:lineRule="auto"/>
        <w:contextualSpacing/>
        <w:rPr>
          <w:rFonts w:ascii="Arial" w:eastAsia="TimesNewRomanPSMT" w:hAnsi="Arial" w:cs="Arial"/>
          <w:lang w:val="en-US"/>
        </w:rPr>
      </w:pPr>
      <w:r w:rsidRPr="008E642F">
        <w:rPr>
          <w:rFonts w:ascii="Arial" w:eastAsia="TimesNewRomanPSMT" w:hAnsi="Arial" w:cs="Arial"/>
          <w:lang w:val="en-US"/>
        </w:rPr>
        <w:t xml:space="preserve">održivi razvoj, zelene finansije; </w:t>
      </w:r>
    </w:p>
    <w:p w14:paraId="510A9756" w14:textId="77777777" w:rsidR="00377063" w:rsidRPr="008E642F" w:rsidRDefault="00377063" w:rsidP="00A23ED0">
      <w:pPr>
        <w:numPr>
          <w:ilvl w:val="0"/>
          <w:numId w:val="94"/>
        </w:numPr>
        <w:autoSpaceDE w:val="0"/>
        <w:autoSpaceDN w:val="0"/>
        <w:adjustRightInd w:val="0"/>
        <w:spacing w:after="160" w:line="360" w:lineRule="auto"/>
        <w:contextualSpacing/>
        <w:rPr>
          <w:rFonts w:ascii="Arial" w:eastAsia="TimesNewRomanPSMT" w:hAnsi="Arial" w:cs="Arial"/>
          <w:lang w:val="en-US"/>
        </w:rPr>
      </w:pPr>
      <w:r w:rsidRPr="008E642F">
        <w:rPr>
          <w:rFonts w:ascii="Arial" w:eastAsia="TimesNewRomanPSMT" w:hAnsi="Arial" w:cs="Arial"/>
          <w:lang w:val="en-US"/>
        </w:rPr>
        <w:t xml:space="preserve">informisanje javnosti i podizanje nivoa svijesti; </w:t>
      </w:r>
    </w:p>
    <w:p w14:paraId="1E5CAF29" w14:textId="5FE36EE0" w:rsidR="00377063" w:rsidRPr="008E642F" w:rsidRDefault="00377063" w:rsidP="00A23ED0">
      <w:pPr>
        <w:numPr>
          <w:ilvl w:val="0"/>
          <w:numId w:val="94"/>
        </w:numPr>
        <w:autoSpaceDE w:val="0"/>
        <w:autoSpaceDN w:val="0"/>
        <w:adjustRightInd w:val="0"/>
        <w:spacing w:after="160" w:line="360" w:lineRule="auto"/>
        <w:contextualSpacing/>
        <w:rPr>
          <w:rFonts w:ascii="Arial" w:eastAsia="TimesNewRomanPSMT" w:hAnsi="Arial" w:cs="Arial"/>
          <w:lang w:val="en-US"/>
        </w:rPr>
      </w:pPr>
      <w:r w:rsidRPr="008E642F">
        <w:rPr>
          <w:rFonts w:ascii="Arial" w:eastAsia="TimesNewRomanPSMT" w:hAnsi="Arial" w:cs="Arial"/>
          <w:lang w:val="en-US"/>
        </w:rPr>
        <w:t>monitoring i izvještavanje</w:t>
      </w:r>
      <w:r w:rsidR="00D212FD">
        <w:rPr>
          <w:rFonts w:ascii="Arial" w:eastAsia="TimesNewRomanPSMT" w:hAnsi="Arial" w:cs="Arial"/>
          <w:lang w:val="en-US"/>
        </w:rPr>
        <w:t>;</w:t>
      </w:r>
      <w:r w:rsidRPr="008E642F">
        <w:rPr>
          <w:rFonts w:ascii="Arial" w:eastAsia="TimesNewRomanPSMT" w:hAnsi="Arial" w:cs="Arial"/>
          <w:lang w:val="en-US"/>
        </w:rPr>
        <w:t xml:space="preserve">  </w:t>
      </w:r>
    </w:p>
    <w:p w14:paraId="1631DCB0" w14:textId="248A063F" w:rsidR="00377063" w:rsidRPr="008E642F" w:rsidRDefault="00377063" w:rsidP="00A23ED0">
      <w:pPr>
        <w:numPr>
          <w:ilvl w:val="0"/>
          <w:numId w:val="94"/>
        </w:numPr>
        <w:autoSpaceDE w:val="0"/>
        <w:autoSpaceDN w:val="0"/>
        <w:adjustRightInd w:val="0"/>
        <w:spacing w:after="160" w:line="360" w:lineRule="auto"/>
        <w:contextualSpacing/>
        <w:rPr>
          <w:rFonts w:ascii="Arial" w:eastAsia="TimesNewRomanPSMT" w:hAnsi="Arial" w:cs="Arial"/>
          <w:lang w:val="de-DE"/>
        </w:rPr>
      </w:pPr>
      <w:r w:rsidRPr="008E642F">
        <w:rPr>
          <w:rFonts w:ascii="Arial" w:eastAsia="TimesNewRomanPSMT" w:hAnsi="Arial" w:cs="Arial"/>
          <w:lang w:val="de-DE"/>
        </w:rPr>
        <w:t xml:space="preserve">te promocija sprovođenja i usklađenosti. </w:t>
      </w:r>
    </w:p>
    <w:p w14:paraId="2583CB29" w14:textId="77777777" w:rsidR="00D212FD" w:rsidRDefault="00D212FD" w:rsidP="00377063">
      <w:pPr>
        <w:autoSpaceDE w:val="0"/>
        <w:autoSpaceDN w:val="0"/>
        <w:adjustRightInd w:val="0"/>
        <w:spacing w:line="360" w:lineRule="auto"/>
        <w:rPr>
          <w:rFonts w:ascii="Arial" w:eastAsia="TimesNewRomanPSMT" w:hAnsi="Arial" w:cs="Arial"/>
          <w:lang w:val="de-DE"/>
        </w:rPr>
      </w:pPr>
    </w:p>
    <w:p w14:paraId="240EF637" w14:textId="3321749F" w:rsidR="00695794" w:rsidRDefault="00377063" w:rsidP="00377063">
      <w:pPr>
        <w:autoSpaceDE w:val="0"/>
        <w:autoSpaceDN w:val="0"/>
        <w:adjustRightInd w:val="0"/>
        <w:spacing w:line="360" w:lineRule="auto"/>
        <w:rPr>
          <w:rFonts w:ascii="Arial" w:hAnsi="Arial" w:cs="Arial"/>
          <w:lang w:val="sr-Latn-ME"/>
        </w:rPr>
      </w:pPr>
      <w:r w:rsidRPr="002A6F4E">
        <w:rPr>
          <w:rFonts w:ascii="Arial" w:eastAsia="TimesNewRomanPSMT" w:hAnsi="Arial" w:cs="Arial"/>
          <w:lang w:val="de-DE"/>
        </w:rPr>
        <w:t>U smislu prethodno navedenog, ovdje će s</w:t>
      </w:r>
      <w:r w:rsidRPr="002A6F4E">
        <w:rPr>
          <w:rFonts w:ascii="Arial" w:hAnsi="Arial" w:cs="Arial"/>
          <w:lang w:val="de-DE"/>
        </w:rPr>
        <w:t xml:space="preserve"> obzirom na sadržaj predmetne studije, održivost </w:t>
      </w:r>
      <w:r w:rsidRPr="002A6F4E">
        <w:rPr>
          <w:rFonts w:ascii="Arial" w:hAnsi="Arial" w:cs="Arial"/>
          <w:spacing w:val="-2"/>
          <w:lang w:val="de-DE"/>
        </w:rPr>
        <w:t>DPUO  biti vrednovana kroz prizmu bitnih odrednic</w:t>
      </w:r>
      <w:r w:rsidR="00971275">
        <w:rPr>
          <w:rFonts w:ascii="Arial" w:hAnsi="Arial" w:cs="Arial"/>
          <w:spacing w:val="-2"/>
          <w:lang w:val="de-DE"/>
        </w:rPr>
        <w:t>a</w:t>
      </w:r>
      <w:r w:rsidRPr="002A6F4E">
        <w:rPr>
          <w:rFonts w:ascii="Arial" w:hAnsi="Arial" w:cs="Arial"/>
          <w:spacing w:val="-2"/>
          <w:lang w:val="de-DE"/>
        </w:rPr>
        <w:t xml:space="preserve"> tipa: p</w:t>
      </w:r>
      <w:r w:rsidRPr="002A6F4E">
        <w:rPr>
          <w:rFonts w:ascii="Arial" w:hAnsi="Arial" w:cs="Arial"/>
          <w:lang w:val="de-DE"/>
        </w:rPr>
        <w:t>rivreda,</w:t>
      </w:r>
      <w:r w:rsidRPr="002A6F4E">
        <w:rPr>
          <w:rFonts w:ascii="Arial" w:hAnsi="Arial" w:cs="Arial"/>
          <w:spacing w:val="-4"/>
          <w:lang w:val="de-DE"/>
        </w:rPr>
        <w:t xml:space="preserve"> </w:t>
      </w:r>
      <w:r w:rsidRPr="002A6F4E">
        <w:rPr>
          <w:rFonts w:ascii="Arial" w:hAnsi="Arial" w:cs="Arial"/>
          <w:lang w:val="de-DE"/>
        </w:rPr>
        <w:t>ruralni</w:t>
      </w:r>
      <w:r w:rsidRPr="002A6F4E">
        <w:rPr>
          <w:rFonts w:ascii="Arial" w:hAnsi="Arial" w:cs="Arial"/>
          <w:spacing w:val="-4"/>
          <w:lang w:val="de-DE"/>
        </w:rPr>
        <w:t xml:space="preserve"> </w:t>
      </w:r>
      <w:r w:rsidRPr="002A6F4E">
        <w:rPr>
          <w:rFonts w:ascii="Arial" w:hAnsi="Arial" w:cs="Arial"/>
          <w:lang w:val="de-DE"/>
        </w:rPr>
        <w:t>razvoj</w:t>
      </w:r>
      <w:r w:rsidRPr="002A6F4E">
        <w:rPr>
          <w:rFonts w:ascii="Arial" w:hAnsi="Arial" w:cs="Arial"/>
          <w:spacing w:val="-2"/>
          <w:lang w:val="de-DE"/>
        </w:rPr>
        <w:t xml:space="preserve"> </w:t>
      </w:r>
      <w:r w:rsidRPr="002A6F4E">
        <w:rPr>
          <w:rFonts w:ascii="Arial" w:hAnsi="Arial" w:cs="Arial"/>
          <w:lang w:val="de-DE"/>
        </w:rPr>
        <w:t>i</w:t>
      </w:r>
      <w:r w:rsidRPr="002A6F4E">
        <w:rPr>
          <w:rFonts w:ascii="Arial" w:hAnsi="Arial" w:cs="Arial"/>
          <w:spacing w:val="-5"/>
          <w:lang w:val="de-DE"/>
        </w:rPr>
        <w:t xml:space="preserve"> </w:t>
      </w:r>
      <w:r w:rsidRPr="002A6F4E">
        <w:rPr>
          <w:rFonts w:ascii="Arial" w:hAnsi="Arial" w:cs="Arial"/>
          <w:spacing w:val="-2"/>
          <w:lang w:val="de-DE"/>
        </w:rPr>
        <w:t>turizam</w:t>
      </w:r>
      <w:r w:rsidRPr="002A6F4E">
        <w:rPr>
          <w:rFonts w:ascii="Arial" w:hAnsi="Arial" w:cs="Arial"/>
          <w:lang w:val="de-DE"/>
        </w:rPr>
        <w:t xml:space="preserve"> društvo</w:t>
      </w:r>
      <w:r w:rsidRPr="002A6F4E">
        <w:rPr>
          <w:rFonts w:ascii="Arial" w:hAnsi="Arial" w:cs="Arial"/>
          <w:spacing w:val="-6"/>
          <w:lang w:val="de-DE"/>
        </w:rPr>
        <w:t xml:space="preserve"> </w:t>
      </w:r>
      <w:r w:rsidRPr="002A6F4E">
        <w:rPr>
          <w:rFonts w:ascii="Arial" w:hAnsi="Arial" w:cs="Arial"/>
          <w:lang w:val="de-DE"/>
        </w:rPr>
        <w:t>i</w:t>
      </w:r>
      <w:r w:rsidRPr="002A6F4E">
        <w:rPr>
          <w:rFonts w:ascii="Arial" w:hAnsi="Arial" w:cs="Arial"/>
          <w:spacing w:val="-3"/>
          <w:lang w:val="de-DE"/>
        </w:rPr>
        <w:t xml:space="preserve"> </w:t>
      </w:r>
      <w:r w:rsidRPr="002A6F4E">
        <w:rPr>
          <w:rFonts w:ascii="Arial" w:hAnsi="Arial" w:cs="Arial"/>
          <w:lang w:val="de-DE"/>
        </w:rPr>
        <w:t xml:space="preserve">socijalna </w:t>
      </w:r>
      <w:r w:rsidRPr="002A6F4E">
        <w:rPr>
          <w:rFonts w:ascii="Arial" w:hAnsi="Arial" w:cs="Arial"/>
          <w:spacing w:val="-5"/>
          <w:lang w:val="de-DE"/>
        </w:rPr>
        <w:t>zaštita; z</w:t>
      </w:r>
      <w:r w:rsidRPr="002A6F4E">
        <w:rPr>
          <w:rFonts w:ascii="Arial" w:hAnsi="Arial" w:cs="Arial"/>
          <w:lang w:val="de-DE"/>
        </w:rPr>
        <w:t>aštita</w:t>
      </w:r>
      <w:r w:rsidRPr="002A6F4E">
        <w:rPr>
          <w:rFonts w:ascii="Arial" w:hAnsi="Arial" w:cs="Arial"/>
          <w:spacing w:val="-4"/>
          <w:lang w:val="de-DE"/>
        </w:rPr>
        <w:t xml:space="preserve"> okruženja, održivi razvoj </w:t>
      </w:r>
      <w:r w:rsidRPr="002A6F4E">
        <w:rPr>
          <w:rFonts w:ascii="Arial" w:hAnsi="Arial" w:cs="Arial"/>
          <w:lang w:val="de-DE"/>
        </w:rPr>
        <w:t>i</w:t>
      </w:r>
      <w:r w:rsidRPr="002A6F4E">
        <w:rPr>
          <w:rFonts w:ascii="Arial" w:hAnsi="Arial" w:cs="Arial"/>
          <w:spacing w:val="-5"/>
          <w:lang w:val="de-DE"/>
        </w:rPr>
        <w:t xml:space="preserve"> </w:t>
      </w:r>
      <w:r w:rsidRPr="002A6F4E">
        <w:rPr>
          <w:rFonts w:ascii="Arial" w:hAnsi="Arial" w:cs="Arial"/>
          <w:lang w:val="de-DE"/>
        </w:rPr>
        <w:t>ključni</w:t>
      </w:r>
      <w:r w:rsidRPr="002A6F4E">
        <w:rPr>
          <w:rFonts w:ascii="Arial" w:hAnsi="Arial" w:cs="Arial"/>
          <w:spacing w:val="-2"/>
          <w:lang w:val="de-DE"/>
        </w:rPr>
        <w:t xml:space="preserve"> </w:t>
      </w:r>
      <w:r w:rsidRPr="002A6F4E">
        <w:rPr>
          <w:rFonts w:ascii="Arial" w:hAnsi="Arial" w:cs="Arial"/>
          <w:lang w:val="de-DE"/>
        </w:rPr>
        <w:t>rizici</w:t>
      </w:r>
      <w:r w:rsidRPr="002A6F4E">
        <w:rPr>
          <w:rFonts w:ascii="Arial" w:hAnsi="Arial" w:cs="Arial"/>
          <w:spacing w:val="-4"/>
          <w:lang w:val="de-DE"/>
        </w:rPr>
        <w:t xml:space="preserve"> </w:t>
      </w:r>
      <w:r w:rsidRPr="002A6F4E">
        <w:rPr>
          <w:rFonts w:ascii="Arial" w:hAnsi="Arial" w:cs="Arial"/>
          <w:lang w:val="de-DE"/>
        </w:rPr>
        <w:t>budućeg</w:t>
      </w:r>
      <w:r w:rsidRPr="002A6F4E">
        <w:rPr>
          <w:rFonts w:ascii="Arial" w:hAnsi="Arial" w:cs="Arial"/>
          <w:spacing w:val="-6"/>
          <w:lang w:val="de-DE"/>
        </w:rPr>
        <w:t xml:space="preserve"> </w:t>
      </w:r>
      <w:r w:rsidRPr="002A6F4E">
        <w:rPr>
          <w:rFonts w:ascii="Arial" w:hAnsi="Arial" w:cs="Arial"/>
          <w:lang w:val="de-DE"/>
        </w:rPr>
        <w:t>razvoja</w:t>
      </w:r>
      <w:r w:rsidRPr="002A6F4E">
        <w:rPr>
          <w:rFonts w:ascii="Arial" w:hAnsi="Arial" w:cs="Arial"/>
          <w:spacing w:val="-4"/>
          <w:lang w:val="de-DE"/>
        </w:rPr>
        <w:t>; i</w:t>
      </w:r>
      <w:r w:rsidRPr="002A6F4E">
        <w:rPr>
          <w:rFonts w:ascii="Arial" w:hAnsi="Arial" w:cs="Arial"/>
          <w:lang w:val="de-DE"/>
        </w:rPr>
        <w:t>nfrastruktura,</w:t>
      </w:r>
      <w:r w:rsidRPr="002A6F4E">
        <w:rPr>
          <w:rFonts w:ascii="Arial" w:hAnsi="Arial" w:cs="Arial"/>
          <w:spacing w:val="-5"/>
          <w:lang w:val="de-DE"/>
        </w:rPr>
        <w:t xml:space="preserve"> </w:t>
      </w:r>
      <w:r w:rsidRPr="002A6F4E">
        <w:rPr>
          <w:rFonts w:ascii="Arial" w:hAnsi="Arial" w:cs="Arial"/>
          <w:lang w:val="de-DE"/>
        </w:rPr>
        <w:t>prostor</w:t>
      </w:r>
      <w:r w:rsidRPr="002A6F4E">
        <w:rPr>
          <w:rFonts w:ascii="Arial" w:hAnsi="Arial" w:cs="Arial"/>
          <w:spacing w:val="-7"/>
          <w:lang w:val="de-DE"/>
        </w:rPr>
        <w:t xml:space="preserve"> </w:t>
      </w:r>
      <w:r w:rsidRPr="002A6F4E">
        <w:rPr>
          <w:rFonts w:ascii="Arial" w:hAnsi="Arial" w:cs="Arial"/>
          <w:lang w:val="de-DE"/>
        </w:rPr>
        <w:t>i</w:t>
      </w:r>
      <w:r w:rsidRPr="002A6F4E">
        <w:rPr>
          <w:rFonts w:ascii="Arial" w:hAnsi="Arial" w:cs="Arial"/>
          <w:spacing w:val="-3"/>
          <w:lang w:val="de-DE"/>
        </w:rPr>
        <w:t xml:space="preserve"> </w:t>
      </w:r>
      <w:r w:rsidRPr="002A6F4E">
        <w:rPr>
          <w:rFonts w:ascii="Arial" w:hAnsi="Arial" w:cs="Arial"/>
          <w:spacing w:val="-2"/>
          <w:lang w:val="de-DE"/>
        </w:rPr>
        <w:t>energetika; i</w:t>
      </w:r>
      <w:r w:rsidRPr="002A6F4E">
        <w:rPr>
          <w:rFonts w:ascii="Arial" w:hAnsi="Arial" w:cs="Arial"/>
          <w:lang w:val="de-DE"/>
        </w:rPr>
        <w:t xml:space="preserve">nstitucionalni kontekst </w:t>
      </w:r>
      <w:r w:rsidR="00971275">
        <w:rPr>
          <w:rFonts w:ascii="Arial" w:hAnsi="Arial" w:cs="Arial"/>
          <w:lang w:val="de-DE"/>
        </w:rPr>
        <w:t>i</w:t>
      </w:r>
      <w:r w:rsidRPr="002A6F4E">
        <w:rPr>
          <w:rFonts w:ascii="Arial" w:hAnsi="Arial" w:cs="Arial"/>
          <w:lang w:val="de-DE"/>
        </w:rPr>
        <w:t xml:space="preserve"> drugo. Saglasno prethodnom, posebno ćemo ukazati na značaj važeće i potrebu za inoviranjem domaće p</w:t>
      </w:r>
      <w:r w:rsidRPr="002A6F4E">
        <w:rPr>
          <w:rFonts w:ascii="Arial" w:hAnsi="Arial" w:cs="Arial"/>
          <w:lang w:val="sr-Latn-ME"/>
        </w:rPr>
        <w:t xml:space="preserve">ravne regulative koja se odnosi na konceptualni okvir plana upravljanja otpadom sa osvrtom na neke od ključnih odrednica i Zakona o </w:t>
      </w:r>
      <w:r w:rsidR="00971275">
        <w:rPr>
          <w:rFonts w:ascii="Arial" w:hAnsi="Arial" w:cs="Arial"/>
          <w:lang w:val="sr-Latn-ME"/>
        </w:rPr>
        <w:t>u</w:t>
      </w:r>
      <w:r w:rsidRPr="002A6F4E">
        <w:rPr>
          <w:rFonts w:ascii="Arial" w:hAnsi="Arial" w:cs="Arial"/>
          <w:lang w:val="sr-Latn-ME"/>
        </w:rPr>
        <w:t xml:space="preserve">pravljanju otpadom. </w:t>
      </w:r>
    </w:p>
    <w:p w14:paraId="7D329018" w14:textId="77777777" w:rsidR="0054632B" w:rsidRDefault="0054632B" w:rsidP="00377063">
      <w:pPr>
        <w:autoSpaceDE w:val="0"/>
        <w:autoSpaceDN w:val="0"/>
        <w:adjustRightInd w:val="0"/>
        <w:spacing w:line="360" w:lineRule="auto"/>
        <w:rPr>
          <w:rFonts w:ascii="Arial" w:hAnsi="Arial" w:cs="Arial"/>
          <w:lang w:val="sr-Latn-ME"/>
        </w:rPr>
      </w:pPr>
    </w:p>
    <w:p w14:paraId="17CEE747" w14:textId="77777777" w:rsidR="0054632B" w:rsidRPr="002A6F4E" w:rsidRDefault="0054632B" w:rsidP="00377063">
      <w:pPr>
        <w:autoSpaceDE w:val="0"/>
        <w:autoSpaceDN w:val="0"/>
        <w:adjustRightInd w:val="0"/>
        <w:spacing w:line="360" w:lineRule="auto"/>
        <w:rPr>
          <w:rFonts w:ascii="Arial" w:hAnsi="Arial" w:cs="Arial"/>
          <w:lang w:val="sr-Latn-ME"/>
        </w:rPr>
      </w:pPr>
    </w:p>
    <w:p w14:paraId="4D671EA7" w14:textId="77777777" w:rsidR="00695794" w:rsidRPr="002A6F4E" w:rsidRDefault="00695794" w:rsidP="00377063">
      <w:pPr>
        <w:autoSpaceDE w:val="0"/>
        <w:autoSpaceDN w:val="0"/>
        <w:adjustRightInd w:val="0"/>
        <w:spacing w:line="360" w:lineRule="auto"/>
        <w:rPr>
          <w:rFonts w:ascii="Arial" w:hAnsi="Arial" w:cs="Arial"/>
          <w:lang w:val="sr-Latn-ME"/>
        </w:rPr>
      </w:pPr>
    </w:p>
    <w:p w14:paraId="324F21DF" w14:textId="2AEF65D7" w:rsidR="00377063" w:rsidRPr="002A6F4E" w:rsidRDefault="00377063" w:rsidP="00377063">
      <w:pPr>
        <w:autoSpaceDE w:val="0"/>
        <w:autoSpaceDN w:val="0"/>
        <w:adjustRightInd w:val="0"/>
        <w:spacing w:line="360" w:lineRule="auto"/>
        <w:rPr>
          <w:rFonts w:ascii="Arial" w:hAnsi="Arial" w:cs="Arial"/>
          <w:b/>
          <w:lang w:val="sr-Latn-ME"/>
        </w:rPr>
      </w:pPr>
      <w:r w:rsidRPr="002A6F4E">
        <w:rPr>
          <w:rFonts w:ascii="Arial" w:hAnsi="Arial" w:cs="Arial"/>
          <w:b/>
          <w:lang w:val="en-US"/>
        </w:rPr>
        <w:t>Zakon</w:t>
      </w:r>
      <w:r w:rsidRPr="002A6F4E">
        <w:rPr>
          <w:rFonts w:ascii="Arial" w:hAnsi="Arial" w:cs="Arial"/>
          <w:b/>
          <w:lang w:val="sr-Latn-ME"/>
        </w:rPr>
        <w:t xml:space="preserve"> </w:t>
      </w:r>
      <w:r w:rsidRPr="002A6F4E">
        <w:rPr>
          <w:rFonts w:ascii="Arial" w:hAnsi="Arial" w:cs="Arial"/>
          <w:b/>
          <w:lang w:val="en-US"/>
        </w:rPr>
        <w:t>o</w:t>
      </w:r>
      <w:r w:rsidRPr="002A6F4E">
        <w:rPr>
          <w:rFonts w:ascii="Arial" w:hAnsi="Arial" w:cs="Arial"/>
          <w:b/>
          <w:lang w:val="sr-Latn-ME"/>
        </w:rPr>
        <w:t xml:space="preserve"> </w:t>
      </w:r>
      <w:r w:rsidRPr="002A6F4E">
        <w:rPr>
          <w:rFonts w:ascii="Arial" w:hAnsi="Arial" w:cs="Arial"/>
          <w:b/>
          <w:lang w:val="en-US"/>
        </w:rPr>
        <w:t>upravljanju</w:t>
      </w:r>
      <w:r w:rsidRPr="002A6F4E">
        <w:rPr>
          <w:rFonts w:ascii="Arial" w:hAnsi="Arial" w:cs="Arial"/>
          <w:b/>
          <w:lang w:val="sr-Latn-ME"/>
        </w:rPr>
        <w:t xml:space="preserve"> </w:t>
      </w:r>
      <w:r w:rsidRPr="002A6F4E">
        <w:rPr>
          <w:rFonts w:ascii="Arial" w:hAnsi="Arial" w:cs="Arial"/>
          <w:b/>
          <w:lang w:val="en-US"/>
        </w:rPr>
        <w:t>otpadom</w:t>
      </w:r>
      <w:r w:rsidRPr="002A6F4E">
        <w:rPr>
          <w:rFonts w:ascii="Arial" w:hAnsi="Arial" w:cs="Arial"/>
          <w:b/>
          <w:lang w:val="sr-Latn-ME"/>
        </w:rPr>
        <w:t xml:space="preserve">; </w:t>
      </w:r>
      <w:r w:rsidRPr="002A6F4E">
        <w:rPr>
          <w:rFonts w:ascii="Arial" w:hAnsi="Arial" w:cs="Arial"/>
          <w:b/>
          <w:lang w:val="en-US"/>
        </w:rPr>
        <w:t>osnovne</w:t>
      </w:r>
      <w:r w:rsidRPr="002A6F4E">
        <w:rPr>
          <w:rFonts w:ascii="Arial" w:hAnsi="Arial" w:cs="Arial"/>
          <w:b/>
          <w:lang w:val="sr-Latn-ME"/>
        </w:rPr>
        <w:t xml:space="preserve"> </w:t>
      </w:r>
      <w:r w:rsidRPr="002A6F4E">
        <w:rPr>
          <w:rFonts w:ascii="Arial" w:hAnsi="Arial" w:cs="Arial"/>
          <w:b/>
          <w:lang w:val="en-US"/>
        </w:rPr>
        <w:t>odredbe</w:t>
      </w:r>
      <w:r w:rsidRPr="002A6F4E">
        <w:rPr>
          <w:rFonts w:ascii="Arial" w:hAnsi="Arial" w:cs="Arial"/>
          <w:b/>
          <w:lang w:val="sr-Latn-ME"/>
        </w:rPr>
        <w:t>:</w:t>
      </w:r>
    </w:p>
    <w:p w14:paraId="20D32E72" w14:textId="77777777" w:rsidR="00377063" w:rsidRPr="002A6F4E" w:rsidRDefault="00377063" w:rsidP="00A23ED0">
      <w:pPr>
        <w:numPr>
          <w:ilvl w:val="0"/>
          <w:numId w:val="95"/>
        </w:numPr>
        <w:shd w:val="clear" w:color="auto" w:fill="FFFFFF"/>
        <w:spacing w:after="160" w:line="360" w:lineRule="auto"/>
        <w:rPr>
          <w:rFonts w:ascii="Arial" w:eastAsia="Times New Roman" w:hAnsi="Arial" w:cs="Arial"/>
          <w:color w:val="000000"/>
          <w:lang w:val="en-US"/>
        </w:rPr>
      </w:pPr>
      <w:r w:rsidRPr="002A6F4E">
        <w:rPr>
          <w:rFonts w:ascii="Arial" w:eastAsia="Times New Roman" w:hAnsi="Arial" w:cs="Arial"/>
          <w:b/>
          <w:bCs/>
          <w:color w:val="000000"/>
          <w:lang w:val="en-US"/>
        </w:rPr>
        <w:t>Predmet; Član 1</w:t>
      </w:r>
      <w:r w:rsidRPr="002A6F4E">
        <w:rPr>
          <w:rFonts w:ascii="Arial" w:eastAsia="Times New Roman" w:hAnsi="Arial" w:cs="Arial"/>
          <w:b/>
          <w:bCs/>
          <w:color w:val="000000"/>
          <w:lang w:val="sr-Latn-ME"/>
        </w:rPr>
        <w:t xml:space="preserve">: </w:t>
      </w:r>
    </w:p>
    <w:p w14:paraId="60A99B5C" w14:textId="77777777" w:rsidR="00377063" w:rsidRPr="002A6F4E" w:rsidRDefault="00377063" w:rsidP="00A23ED0">
      <w:pPr>
        <w:numPr>
          <w:ilvl w:val="0"/>
          <w:numId w:val="96"/>
        </w:numPr>
        <w:shd w:val="clear" w:color="auto" w:fill="FFFFFF"/>
        <w:spacing w:after="160" w:line="360" w:lineRule="auto"/>
        <w:rPr>
          <w:rFonts w:ascii="Arial" w:eastAsia="Times New Roman" w:hAnsi="Arial" w:cs="Arial"/>
          <w:color w:val="000000"/>
          <w:lang w:val="en-US"/>
        </w:rPr>
      </w:pPr>
      <w:r w:rsidRPr="002A6F4E">
        <w:rPr>
          <w:rFonts w:ascii="Arial" w:eastAsia="Times New Roman" w:hAnsi="Arial" w:cs="Arial"/>
          <w:color w:val="000000"/>
          <w:lang w:val="en-US"/>
        </w:rPr>
        <w:t>Ovim zakonom uređuju se vrste i klasifikacija otpada, planiranje, uslovi i način upravljanja otpadom, kao i druga pitanja od značaja za upravljanje otpadom.</w:t>
      </w:r>
    </w:p>
    <w:p w14:paraId="65BA115B" w14:textId="77777777" w:rsidR="00377063" w:rsidRPr="002A6F4E" w:rsidRDefault="00377063" w:rsidP="00A23ED0">
      <w:pPr>
        <w:numPr>
          <w:ilvl w:val="0"/>
          <w:numId w:val="95"/>
        </w:numPr>
        <w:shd w:val="clear" w:color="auto" w:fill="FFFFFF"/>
        <w:spacing w:before="240" w:after="160" w:line="360" w:lineRule="auto"/>
        <w:rPr>
          <w:rFonts w:ascii="Arial" w:eastAsia="Times New Roman" w:hAnsi="Arial" w:cs="Arial"/>
          <w:color w:val="000000"/>
          <w:lang w:val="en-US"/>
        </w:rPr>
      </w:pPr>
      <w:r w:rsidRPr="002A6F4E">
        <w:rPr>
          <w:rFonts w:ascii="Arial" w:eastAsia="Times New Roman" w:hAnsi="Arial" w:cs="Arial"/>
          <w:b/>
          <w:bCs/>
          <w:color w:val="000000"/>
          <w:lang w:val="en-US"/>
        </w:rPr>
        <w:t xml:space="preserve">Upravljanje otpadom; Član 2; </w:t>
      </w:r>
    </w:p>
    <w:p w14:paraId="2E38B058" w14:textId="77777777" w:rsidR="00377063" w:rsidRPr="002A6F4E" w:rsidRDefault="00377063" w:rsidP="00A23ED0">
      <w:pPr>
        <w:numPr>
          <w:ilvl w:val="0"/>
          <w:numId w:val="97"/>
        </w:numPr>
        <w:shd w:val="clear" w:color="auto" w:fill="FFFFFF"/>
        <w:spacing w:after="160" w:line="360" w:lineRule="auto"/>
        <w:rPr>
          <w:rFonts w:ascii="Arial" w:eastAsia="Times New Roman" w:hAnsi="Arial" w:cs="Arial"/>
          <w:color w:val="000000"/>
          <w:lang w:val="en-US"/>
        </w:rPr>
      </w:pPr>
      <w:r w:rsidRPr="002A6F4E">
        <w:rPr>
          <w:rFonts w:ascii="Arial" w:eastAsia="Times New Roman" w:hAnsi="Arial" w:cs="Arial"/>
          <w:color w:val="000000"/>
          <w:lang w:val="en-US"/>
        </w:rPr>
        <w:t>Upravljanje otpadom podrazumijeva sakupljanje, transport, preradu, sortiranje i odstranjivanje otpada, kontrolu nad tim postupcima, naknadno održavanje deponija, kao i aktivnosti trgovca i posrednika otpadom i sanaciju neuređenih odlagališta.</w:t>
      </w:r>
    </w:p>
    <w:p w14:paraId="4FD1E31B" w14:textId="77777777" w:rsidR="00377063" w:rsidRPr="002A6F4E" w:rsidRDefault="00377063" w:rsidP="00A23ED0">
      <w:pPr>
        <w:numPr>
          <w:ilvl w:val="0"/>
          <w:numId w:val="97"/>
        </w:numPr>
        <w:shd w:val="clear" w:color="auto" w:fill="FFFFFF"/>
        <w:spacing w:after="160" w:line="360" w:lineRule="auto"/>
        <w:rPr>
          <w:rFonts w:ascii="Arial" w:eastAsia="Times New Roman" w:hAnsi="Arial" w:cs="Arial"/>
          <w:color w:val="000000"/>
          <w:lang w:val="de-DE"/>
        </w:rPr>
      </w:pPr>
      <w:r w:rsidRPr="002A6F4E">
        <w:rPr>
          <w:rFonts w:ascii="Arial" w:eastAsia="Times New Roman" w:hAnsi="Arial" w:cs="Arial"/>
          <w:color w:val="000000"/>
          <w:lang w:val="de-DE"/>
        </w:rPr>
        <w:t>Upravljanje otpadom je djelatnost od javnog interesa.</w:t>
      </w:r>
    </w:p>
    <w:p w14:paraId="4202530F" w14:textId="77777777" w:rsidR="00377063" w:rsidRPr="002A6F4E" w:rsidRDefault="00377063" w:rsidP="00A23ED0">
      <w:pPr>
        <w:numPr>
          <w:ilvl w:val="0"/>
          <w:numId w:val="97"/>
        </w:numPr>
        <w:shd w:val="clear" w:color="auto" w:fill="FFFFFF"/>
        <w:spacing w:after="160" w:line="360" w:lineRule="auto"/>
        <w:rPr>
          <w:rFonts w:ascii="Arial" w:eastAsia="Times New Roman" w:hAnsi="Arial" w:cs="Arial"/>
          <w:color w:val="000000"/>
          <w:lang w:val="de-DE"/>
        </w:rPr>
      </w:pPr>
      <w:r w:rsidRPr="002A6F4E">
        <w:rPr>
          <w:rFonts w:ascii="Arial" w:eastAsia="Times New Roman" w:hAnsi="Arial" w:cs="Arial"/>
          <w:color w:val="000000"/>
          <w:lang w:val="de-DE"/>
        </w:rPr>
        <w:t xml:space="preserve">U skladu sa principom "zagađivač plaća" troškove upravljanja otpadom, kao i troškove za neophodnu infrastrukturu (utvrđenu planovima upravljanja otpadom) i njen rad, snosi svako lice čijom aktivnošću nastaje otpad (u daljem tekstu: izvorni proizvođač otpada), postojeći ili prethodni imalac otpada. </w:t>
      </w:r>
    </w:p>
    <w:p w14:paraId="6E392E87" w14:textId="77777777" w:rsidR="00377063" w:rsidRPr="002A6F4E" w:rsidRDefault="00377063" w:rsidP="00A23ED0">
      <w:pPr>
        <w:numPr>
          <w:ilvl w:val="0"/>
          <w:numId w:val="97"/>
        </w:numPr>
        <w:shd w:val="clear" w:color="auto" w:fill="FFFFFF"/>
        <w:spacing w:after="160" w:line="360" w:lineRule="auto"/>
        <w:rPr>
          <w:rFonts w:ascii="Arial" w:eastAsia="Times New Roman" w:hAnsi="Arial" w:cs="Arial"/>
          <w:color w:val="000000"/>
          <w:lang w:val="de-DE"/>
        </w:rPr>
      </w:pPr>
      <w:r w:rsidRPr="002A6F4E">
        <w:rPr>
          <w:rFonts w:ascii="Arial" w:eastAsia="Times New Roman" w:hAnsi="Arial" w:cs="Arial"/>
          <w:color w:val="000000"/>
          <w:lang w:val="de-DE"/>
        </w:rPr>
        <w:t>Troškove upravljanja otpadom snose u potpunosti proizvođači proizvoda od kojih otpad potiče u skladu sa članom 15 ovog zakona.</w:t>
      </w:r>
    </w:p>
    <w:p w14:paraId="22BAE735" w14:textId="77777777" w:rsidR="00377063" w:rsidRPr="002A6F4E" w:rsidRDefault="00377063" w:rsidP="00A23ED0">
      <w:pPr>
        <w:numPr>
          <w:ilvl w:val="0"/>
          <w:numId w:val="98"/>
        </w:numPr>
        <w:shd w:val="clear" w:color="auto" w:fill="FFFFFF"/>
        <w:spacing w:before="100" w:beforeAutospacing="1" w:after="160" w:line="360" w:lineRule="auto"/>
        <w:rPr>
          <w:rFonts w:ascii="Arial" w:eastAsia="Times New Roman" w:hAnsi="Arial" w:cs="Arial"/>
          <w:color w:val="000000"/>
          <w:lang w:val="en-US"/>
        </w:rPr>
      </w:pPr>
      <w:r w:rsidRPr="002A6F4E">
        <w:rPr>
          <w:rFonts w:ascii="Arial" w:eastAsia="Times New Roman" w:hAnsi="Arial" w:cs="Arial"/>
          <w:b/>
          <w:bCs/>
          <w:color w:val="000000"/>
          <w:lang w:val="en-US"/>
        </w:rPr>
        <w:t xml:space="preserve">Principi upravljanja otpadom; Član 4; </w:t>
      </w:r>
      <w:r w:rsidRPr="002A6F4E">
        <w:rPr>
          <w:rFonts w:ascii="Arial" w:eastAsia="Times New Roman" w:hAnsi="Arial" w:cs="Arial"/>
          <w:b/>
          <w:color w:val="000000"/>
          <w:lang w:val="en-US"/>
        </w:rPr>
        <w:t>Upravljanje otpadom zasniva se na principima</w:t>
      </w:r>
      <w:r w:rsidRPr="002A6F4E">
        <w:rPr>
          <w:rFonts w:ascii="Arial" w:eastAsia="Times New Roman" w:hAnsi="Arial" w:cs="Arial"/>
          <w:color w:val="000000"/>
          <w:lang w:val="en-US"/>
        </w:rPr>
        <w:t>:</w:t>
      </w:r>
    </w:p>
    <w:p w14:paraId="7744A0F6" w14:textId="0EAE8A90" w:rsidR="00377063" w:rsidRPr="002A6F4E" w:rsidRDefault="00377063" w:rsidP="00A23ED0">
      <w:pPr>
        <w:numPr>
          <w:ilvl w:val="0"/>
          <w:numId w:val="99"/>
        </w:numPr>
        <w:shd w:val="clear" w:color="auto" w:fill="FFFFFF"/>
        <w:spacing w:after="160" w:line="360" w:lineRule="auto"/>
        <w:rPr>
          <w:rFonts w:ascii="Arial" w:eastAsia="Times New Roman" w:hAnsi="Arial" w:cs="Arial"/>
          <w:color w:val="000000"/>
          <w:lang w:val="en-US"/>
        </w:rPr>
      </w:pPr>
      <w:r w:rsidRPr="002A6F4E">
        <w:rPr>
          <w:rFonts w:ascii="Arial" w:eastAsia="Times New Roman" w:hAnsi="Arial" w:cs="Arial"/>
          <w:color w:val="000000"/>
          <w:lang w:val="en-US"/>
        </w:rPr>
        <w:t xml:space="preserve">održivog razvoja, kojim se obezbjeđuje efikasnije korišćenje resursa, smanjenje količine otpada i postupanje sa otpadom na način kojim se doprinosi smanjenju negativnih uticaja na životnu sredinu i poboljšanju efikasnosti korišćenja resursa, radi unapređenja kružne ekonomije i garantovanja dugoročne konkurentnosti; </w:t>
      </w:r>
    </w:p>
    <w:p w14:paraId="1EDFECDD" w14:textId="77777777" w:rsidR="00377063" w:rsidRPr="002A6F4E" w:rsidRDefault="00377063" w:rsidP="00A23ED0">
      <w:pPr>
        <w:numPr>
          <w:ilvl w:val="0"/>
          <w:numId w:val="99"/>
        </w:numPr>
        <w:shd w:val="clear" w:color="auto" w:fill="FFFFFF"/>
        <w:spacing w:after="160" w:line="360" w:lineRule="auto"/>
        <w:rPr>
          <w:rFonts w:ascii="Arial" w:eastAsia="Times New Roman" w:hAnsi="Arial" w:cs="Arial"/>
          <w:color w:val="000000"/>
          <w:lang w:val="en-US"/>
        </w:rPr>
      </w:pPr>
      <w:r w:rsidRPr="002A6F4E">
        <w:rPr>
          <w:rFonts w:ascii="Arial" w:eastAsia="Times New Roman" w:hAnsi="Arial" w:cs="Arial"/>
          <w:color w:val="000000"/>
          <w:lang w:val="en-US"/>
        </w:rPr>
        <w:t>blizine i regionalnog upravljanja otpadom, radi obrade otpada što je moguće bliže mjestu nastajanja u skladu sa ekonomskom opravdanošću izbora lokacije, dok se regionalno upravljanje otpadom obezbjeđuje izradom i primjenom strateških planova zasnovanih na nacionalnoj politici;</w:t>
      </w:r>
    </w:p>
    <w:p w14:paraId="0F8E988E" w14:textId="5FB34666" w:rsidR="00377063" w:rsidRPr="002A6F4E" w:rsidRDefault="00377063" w:rsidP="00A23ED0">
      <w:pPr>
        <w:numPr>
          <w:ilvl w:val="0"/>
          <w:numId w:val="99"/>
        </w:numPr>
        <w:shd w:val="clear" w:color="auto" w:fill="FFFFFF"/>
        <w:spacing w:after="160" w:line="360" w:lineRule="auto"/>
        <w:rPr>
          <w:rFonts w:ascii="Arial" w:eastAsia="Times New Roman" w:hAnsi="Arial" w:cs="Arial"/>
          <w:color w:val="000000"/>
          <w:lang w:val="en-US"/>
        </w:rPr>
      </w:pPr>
      <w:r w:rsidRPr="002A6F4E">
        <w:rPr>
          <w:rFonts w:ascii="Arial" w:eastAsia="Times New Roman" w:hAnsi="Arial" w:cs="Arial"/>
          <w:color w:val="000000"/>
          <w:lang w:val="en-US"/>
        </w:rPr>
        <w:t>predostrožnosti, odnosno preventivnog djelovanja, preduzimanjem mjera za sprečavanje negativnih uticaja na životnu sredinu i zdravlje ljudi i u slučaju nepostojanja naučnih i stručnih podataka;</w:t>
      </w:r>
    </w:p>
    <w:p w14:paraId="6C7F30E3" w14:textId="77777777" w:rsidR="00377063" w:rsidRPr="002A6F4E" w:rsidRDefault="00377063" w:rsidP="00A23ED0">
      <w:pPr>
        <w:numPr>
          <w:ilvl w:val="0"/>
          <w:numId w:val="99"/>
        </w:numPr>
        <w:shd w:val="clear" w:color="auto" w:fill="FFFFFF"/>
        <w:spacing w:after="160" w:line="360" w:lineRule="auto"/>
        <w:rPr>
          <w:rFonts w:ascii="Arial" w:eastAsia="Times New Roman" w:hAnsi="Arial" w:cs="Arial"/>
          <w:color w:val="000000"/>
          <w:lang w:val="en-US"/>
        </w:rPr>
      </w:pPr>
      <w:r w:rsidRPr="002A6F4E">
        <w:rPr>
          <w:rFonts w:ascii="Arial" w:eastAsia="Times New Roman" w:hAnsi="Arial" w:cs="Arial"/>
          <w:color w:val="000000"/>
          <w:lang w:val="en-US"/>
        </w:rPr>
        <w:t>"zagađivač plaća" prema kojem proizvođač otpada snosi troškove upravljanja otpadom, kao i troškove za potrebnu infrastrukturu i njen rad, troškove preventivnog djelovanja i troškove sanacionih mjera zbog negativnih uticaja na životnu sredinu i zdravlje ljudi;</w:t>
      </w:r>
    </w:p>
    <w:p w14:paraId="6683623C" w14:textId="77777777" w:rsidR="00377063" w:rsidRPr="002A6F4E" w:rsidRDefault="00377063" w:rsidP="00A23ED0">
      <w:pPr>
        <w:numPr>
          <w:ilvl w:val="0"/>
          <w:numId w:val="99"/>
        </w:numPr>
        <w:shd w:val="clear" w:color="auto" w:fill="FFFFFF"/>
        <w:spacing w:after="160" w:line="360" w:lineRule="auto"/>
        <w:rPr>
          <w:rFonts w:ascii="Arial" w:eastAsia="Times New Roman" w:hAnsi="Arial" w:cs="Arial"/>
          <w:color w:val="000000"/>
          <w:lang w:val="en-US"/>
        </w:rPr>
      </w:pPr>
      <w:r w:rsidRPr="002A6F4E">
        <w:rPr>
          <w:rFonts w:ascii="Arial" w:eastAsia="Times New Roman" w:hAnsi="Arial" w:cs="Arial"/>
          <w:color w:val="000000"/>
          <w:lang w:val="en-US"/>
        </w:rPr>
        <w:lastRenderedPageBreak/>
        <w:t>hijerarhije otpada koja obezbjeđuje poštovanje redosljeda prioriteta u upravljanju otpadom i to:</w:t>
      </w:r>
    </w:p>
    <w:p w14:paraId="595C75AE" w14:textId="59066045" w:rsidR="00377063" w:rsidRPr="002A6F4E" w:rsidRDefault="00377063" w:rsidP="00A23ED0">
      <w:pPr>
        <w:numPr>
          <w:ilvl w:val="0"/>
          <w:numId w:val="99"/>
        </w:numPr>
        <w:shd w:val="clear" w:color="auto" w:fill="FFFFFF"/>
        <w:spacing w:after="160" w:line="360" w:lineRule="auto"/>
        <w:rPr>
          <w:rFonts w:ascii="Arial" w:eastAsia="Times New Roman" w:hAnsi="Arial" w:cs="Arial"/>
          <w:color w:val="000000"/>
          <w:lang w:val="en-US"/>
        </w:rPr>
      </w:pPr>
      <w:r w:rsidRPr="002A6F4E">
        <w:rPr>
          <w:rFonts w:ascii="Arial" w:eastAsia="Times New Roman" w:hAnsi="Arial" w:cs="Arial"/>
          <w:color w:val="000000"/>
          <w:lang w:val="en-US"/>
        </w:rPr>
        <w:t>odvojenog sakupljanja otpada i zabrane miješanja sa drugim otpadom ili drugim materijalima kada je to neophodno radi usaglašavanja sa ciljevima i principima ovog zakona i hijerarhije otpada, kao i radi olakšavanja i unapređenja pripreme za ponovnu upotrebu, recikliranje ili druge postupke prerade;</w:t>
      </w:r>
    </w:p>
    <w:p w14:paraId="4B1B84E7" w14:textId="77777777" w:rsidR="00377063" w:rsidRPr="002A6F4E" w:rsidRDefault="00377063" w:rsidP="00A23ED0">
      <w:pPr>
        <w:numPr>
          <w:ilvl w:val="0"/>
          <w:numId w:val="99"/>
        </w:numPr>
        <w:shd w:val="clear" w:color="auto" w:fill="FFFFFF"/>
        <w:spacing w:after="160" w:line="360" w:lineRule="auto"/>
        <w:rPr>
          <w:rFonts w:ascii="Arial" w:eastAsia="Times New Roman" w:hAnsi="Arial" w:cs="Arial"/>
          <w:color w:val="000000"/>
          <w:lang w:val="en-US"/>
        </w:rPr>
      </w:pPr>
      <w:r w:rsidRPr="002A6F4E">
        <w:rPr>
          <w:rFonts w:ascii="Arial" w:eastAsia="Times New Roman" w:hAnsi="Arial" w:cs="Arial"/>
          <w:color w:val="000000"/>
          <w:lang w:val="en-US"/>
        </w:rPr>
        <w:t>da otpad ili materije dobijene od njega ne predstavljaju veći potencijal opasnosti u slučaju recikliranja od uporedivih primarnih sirovina ili proizvoda od primarnih sirovina;</w:t>
      </w:r>
    </w:p>
    <w:p w14:paraId="5BAC60D7" w14:textId="5EFB1365" w:rsidR="00695794" w:rsidRPr="0054632B" w:rsidRDefault="00377063" w:rsidP="00A23ED0">
      <w:pPr>
        <w:numPr>
          <w:ilvl w:val="0"/>
          <w:numId w:val="99"/>
        </w:numPr>
        <w:shd w:val="clear" w:color="auto" w:fill="FFFFFF"/>
        <w:spacing w:after="160" w:line="360" w:lineRule="auto"/>
        <w:rPr>
          <w:rFonts w:ascii="Arial" w:eastAsia="Times New Roman" w:hAnsi="Arial" w:cs="Arial"/>
          <w:color w:val="000000"/>
          <w:lang w:val="en-US"/>
        </w:rPr>
      </w:pPr>
      <w:r w:rsidRPr="002A6F4E">
        <w:rPr>
          <w:rFonts w:ascii="Arial" w:eastAsia="Times New Roman" w:hAnsi="Arial" w:cs="Arial"/>
          <w:color w:val="000000"/>
          <w:lang w:val="en-US"/>
        </w:rPr>
        <w:t>proširene odgovornosti proizvođača prema kojoj svako fizičko ili pravno lice koje profesionalno razvija, proizvodi, prerađuje, obrađuje, prodaje ili uvozi proizvode snosi odgovornost za upravljanje otpadom koji preostaje nakon upotrebe tih proizvoda, kao i finansijsku odgovornost za te aktivnosti.</w:t>
      </w:r>
    </w:p>
    <w:p w14:paraId="4D34B6BC" w14:textId="77777777" w:rsidR="00377063" w:rsidRPr="002A6F4E" w:rsidRDefault="00377063" w:rsidP="00A23ED0">
      <w:pPr>
        <w:numPr>
          <w:ilvl w:val="0"/>
          <w:numId w:val="100"/>
        </w:numPr>
        <w:shd w:val="clear" w:color="auto" w:fill="FFFFFF"/>
        <w:spacing w:before="100" w:beforeAutospacing="1" w:after="160" w:line="360" w:lineRule="auto"/>
        <w:rPr>
          <w:rFonts w:ascii="Arial" w:eastAsia="Times New Roman" w:hAnsi="Arial" w:cs="Arial"/>
          <w:color w:val="000000"/>
          <w:lang w:val="en-US"/>
        </w:rPr>
      </w:pPr>
      <w:r w:rsidRPr="002A6F4E">
        <w:rPr>
          <w:rFonts w:ascii="Arial" w:eastAsia="Times New Roman" w:hAnsi="Arial" w:cs="Arial"/>
          <w:b/>
          <w:bCs/>
          <w:color w:val="000000"/>
          <w:lang w:val="en-US"/>
        </w:rPr>
        <w:t xml:space="preserve">Ponovna upotreba i recikliranje; Član 21; </w:t>
      </w:r>
      <w:r w:rsidRPr="002A6F4E">
        <w:rPr>
          <w:rFonts w:ascii="Arial" w:eastAsia="Times New Roman" w:hAnsi="Arial" w:cs="Arial"/>
          <w:color w:val="000000"/>
          <w:lang w:val="en-US"/>
        </w:rPr>
        <w:t xml:space="preserve"> </w:t>
      </w:r>
    </w:p>
    <w:p w14:paraId="7A5317D8" w14:textId="77777777" w:rsidR="00377063" w:rsidRPr="002A6F4E" w:rsidRDefault="00377063" w:rsidP="00377063">
      <w:pPr>
        <w:shd w:val="clear" w:color="auto" w:fill="FFFFFF"/>
        <w:spacing w:before="100" w:beforeAutospacing="1" w:line="360" w:lineRule="auto"/>
        <w:ind w:left="720"/>
        <w:rPr>
          <w:rFonts w:ascii="Arial" w:eastAsia="Times New Roman" w:hAnsi="Arial" w:cs="Arial"/>
          <w:color w:val="000000"/>
          <w:lang w:val="en-US"/>
        </w:rPr>
      </w:pPr>
      <w:r w:rsidRPr="002A6F4E">
        <w:rPr>
          <w:rFonts w:ascii="Arial" w:eastAsia="Times New Roman" w:hAnsi="Arial" w:cs="Arial"/>
          <w:color w:val="000000"/>
          <w:lang w:val="en-US"/>
        </w:rPr>
        <w:t>Upravljanje otpadom vrši se odvojenim prikupljanjem papira, metala, plastike i stakla i to na način da se:</w:t>
      </w:r>
    </w:p>
    <w:p w14:paraId="60C6B998" w14:textId="77777777" w:rsidR="00377063" w:rsidRPr="002A6F4E" w:rsidRDefault="00377063" w:rsidP="00A23ED0">
      <w:pPr>
        <w:numPr>
          <w:ilvl w:val="0"/>
          <w:numId w:val="101"/>
        </w:numPr>
        <w:shd w:val="clear" w:color="auto" w:fill="FFFFFF"/>
        <w:spacing w:after="160" w:line="360" w:lineRule="auto"/>
        <w:ind w:left="1440"/>
        <w:rPr>
          <w:rFonts w:ascii="Arial" w:eastAsia="Times New Roman" w:hAnsi="Arial" w:cs="Arial"/>
          <w:color w:val="000000"/>
          <w:lang w:val="en-US"/>
        </w:rPr>
      </w:pPr>
      <w:r w:rsidRPr="002A6F4E">
        <w:rPr>
          <w:rFonts w:ascii="Arial" w:eastAsia="Times New Roman" w:hAnsi="Arial" w:cs="Arial"/>
          <w:color w:val="000000"/>
          <w:lang w:val="en-US"/>
        </w:rPr>
        <w:t>do 2030. godine pripremi za ponovnu upotrebu i recikliranje otpadnih materijala, kao što su papir, metal, plastika i staklo, iz domaćinstva i drugih izvora u kojima su tokovi otpada slični sa tokovima otpada iz domaćinstva, najmanje 50% ukupne mase sakupljenog otpada;</w:t>
      </w:r>
    </w:p>
    <w:p w14:paraId="42CAED70" w14:textId="77777777" w:rsidR="00377063" w:rsidRPr="002A6F4E" w:rsidRDefault="00377063" w:rsidP="00A23ED0">
      <w:pPr>
        <w:numPr>
          <w:ilvl w:val="0"/>
          <w:numId w:val="101"/>
        </w:numPr>
        <w:shd w:val="clear" w:color="auto" w:fill="FFFFFF"/>
        <w:spacing w:after="160" w:line="360" w:lineRule="auto"/>
        <w:ind w:left="1440"/>
        <w:rPr>
          <w:rFonts w:ascii="Arial" w:eastAsia="Times New Roman" w:hAnsi="Arial" w:cs="Arial"/>
          <w:color w:val="000000"/>
          <w:lang w:val="en-US"/>
        </w:rPr>
      </w:pPr>
      <w:r w:rsidRPr="002A6F4E">
        <w:rPr>
          <w:rFonts w:ascii="Arial" w:eastAsia="Times New Roman" w:hAnsi="Arial" w:cs="Arial"/>
          <w:color w:val="000000"/>
          <w:lang w:val="en-US"/>
        </w:rPr>
        <w:t>do 2030. godine pripremi za ponovnu upotrebu, recikliranje i druge načine materijalne prerade, uključujući postupke popunjavanja kojima se otpad koristi kao zamjena za druge materijale, neopasnog građevinskog otpada, isključujući materijal iz prirode utvrđen brojem 17 05 04 na listi otpada, najmanje 70% mase sakupljenog otpada.</w:t>
      </w:r>
    </w:p>
    <w:p w14:paraId="7E03A6C5" w14:textId="77777777" w:rsidR="00377063" w:rsidRPr="002A6F4E" w:rsidRDefault="00377063" w:rsidP="00A23ED0">
      <w:pPr>
        <w:numPr>
          <w:ilvl w:val="0"/>
          <w:numId w:val="101"/>
        </w:numPr>
        <w:shd w:val="clear" w:color="auto" w:fill="FFFFFF"/>
        <w:spacing w:after="160" w:line="360" w:lineRule="auto"/>
        <w:ind w:left="1440"/>
        <w:rPr>
          <w:rFonts w:ascii="Arial" w:eastAsia="Times New Roman" w:hAnsi="Arial" w:cs="Arial"/>
          <w:color w:val="000000"/>
          <w:lang w:val="en-US"/>
        </w:rPr>
      </w:pPr>
      <w:r w:rsidRPr="002A6F4E">
        <w:rPr>
          <w:rFonts w:ascii="Arial" w:eastAsia="Times New Roman" w:hAnsi="Arial" w:cs="Arial"/>
          <w:color w:val="000000"/>
          <w:lang w:val="en-US"/>
        </w:rPr>
        <w:t>Za postizanje ciljeva iz stava 1 ovog člana od 1. januara 2025. godine:</w:t>
      </w:r>
    </w:p>
    <w:p w14:paraId="6D21BF89" w14:textId="77777777" w:rsidR="00377063" w:rsidRPr="002A6F4E" w:rsidRDefault="00377063" w:rsidP="00A23ED0">
      <w:pPr>
        <w:numPr>
          <w:ilvl w:val="2"/>
          <w:numId w:val="100"/>
        </w:numPr>
        <w:shd w:val="clear" w:color="auto" w:fill="FFFFFF"/>
        <w:spacing w:after="160" w:line="360" w:lineRule="auto"/>
        <w:ind w:left="2880"/>
        <w:rPr>
          <w:rFonts w:ascii="Arial" w:eastAsia="Times New Roman" w:hAnsi="Arial" w:cs="Arial"/>
          <w:color w:val="000000"/>
          <w:lang w:val="en-US"/>
        </w:rPr>
      </w:pPr>
      <w:r w:rsidRPr="002A6F4E">
        <w:rPr>
          <w:rFonts w:ascii="Arial" w:eastAsia="Times New Roman" w:hAnsi="Arial" w:cs="Arial"/>
          <w:color w:val="000000"/>
          <w:lang w:val="en-US"/>
        </w:rPr>
        <w:t>odvojeno se sakuplja opasan otpad koji nastaje u domaćinstvima,</w:t>
      </w:r>
    </w:p>
    <w:p w14:paraId="42BDE13B" w14:textId="77777777" w:rsidR="00377063" w:rsidRPr="002A6F4E" w:rsidRDefault="00377063" w:rsidP="00A23ED0">
      <w:pPr>
        <w:numPr>
          <w:ilvl w:val="2"/>
          <w:numId w:val="100"/>
        </w:numPr>
        <w:shd w:val="clear" w:color="auto" w:fill="FFFFFF"/>
        <w:spacing w:after="160" w:line="360" w:lineRule="auto"/>
        <w:ind w:left="2880"/>
        <w:rPr>
          <w:rFonts w:ascii="Arial" w:eastAsia="Times New Roman" w:hAnsi="Arial" w:cs="Arial"/>
          <w:color w:val="000000"/>
          <w:lang w:val="en-US"/>
        </w:rPr>
      </w:pPr>
      <w:r w:rsidRPr="002A6F4E">
        <w:rPr>
          <w:rFonts w:ascii="Arial" w:eastAsia="Times New Roman" w:hAnsi="Arial" w:cs="Arial"/>
          <w:color w:val="000000"/>
          <w:lang w:val="en-US"/>
        </w:rPr>
        <w:t>odvojeno se sakuplja otpad od tekstila koji nastaje u domaćinstvima, i</w:t>
      </w:r>
    </w:p>
    <w:p w14:paraId="09767505" w14:textId="77777777" w:rsidR="00377063" w:rsidRPr="002A6F4E" w:rsidRDefault="00377063" w:rsidP="00A23ED0">
      <w:pPr>
        <w:numPr>
          <w:ilvl w:val="2"/>
          <w:numId w:val="100"/>
        </w:numPr>
        <w:shd w:val="clear" w:color="auto" w:fill="FFFFFF"/>
        <w:spacing w:after="160" w:line="360" w:lineRule="auto"/>
        <w:ind w:left="2880"/>
        <w:rPr>
          <w:rFonts w:ascii="Arial" w:eastAsia="Times New Roman" w:hAnsi="Arial" w:cs="Arial"/>
          <w:color w:val="000000"/>
          <w:lang w:val="en-US"/>
        </w:rPr>
      </w:pPr>
      <w:r w:rsidRPr="002A6F4E">
        <w:rPr>
          <w:rFonts w:ascii="Arial" w:eastAsia="Times New Roman" w:hAnsi="Arial" w:cs="Arial"/>
          <w:color w:val="000000"/>
          <w:lang w:val="en-US"/>
        </w:rPr>
        <w:t>selektivno se izdvajaju sortiranjem građevinskog otpada: drvo, mineralne frakcije (beton, cigle, pločice, keramika i kamenje), metal, staklo, plastika i gips.</w:t>
      </w:r>
    </w:p>
    <w:p w14:paraId="2073F977" w14:textId="77777777" w:rsidR="00377063" w:rsidRPr="002A6F4E" w:rsidRDefault="00377063" w:rsidP="00A23ED0">
      <w:pPr>
        <w:numPr>
          <w:ilvl w:val="0"/>
          <w:numId w:val="101"/>
        </w:numPr>
        <w:shd w:val="clear" w:color="auto" w:fill="FFFFFF"/>
        <w:spacing w:after="160" w:line="360" w:lineRule="auto"/>
        <w:ind w:left="1440"/>
        <w:rPr>
          <w:rFonts w:ascii="Arial" w:eastAsia="Times New Roman" w:hAnsi="Arial" w:cs="Arial"/>
          <w:color w:val="000000"/>
          <w:lang w:val="en-US"/>
        </w:rPr>
      </w:pPr>
      <w:r w:rsidRPr="002A6F4E">
        <w:rPr>
          <w:rFonts w:ascii="Arial" w:eastAsia="Times New Roman" w:hAnsi="Arial" w:cs="Arial"/>
          <w:color w:val="000000"/>
          <w:lang w:val="en-US"/>
        </w:rPr>
        <w:t>Od 1. januara 2027. godine komunalni biootpad koji ulazi u aerobnu ili anaerobnu obradu može se smatrati recikliranim samo ako je odvojeno sakupljen ili recikliran na izvoru.</w:t>
      </w:r>
    </w:p>
    <w:p w14:paraId="1C3609FF" w14:textId="77777777" w:rsidR="00377063" w:rsidRPr="002A6F4E" w:rsidRDefault="00377063" w:rsidP="00377063">
      <w:pPr>
        <w:shd w:val="clear" w:color="auto" w:fill="FFFFFF"/>
        <w:spacing w:before="100" w:beforeAutospacing="1" w:after="100" w:afterAutospacing="1" w:line="360" w:lineRule="auto"/>
        <w:rPr>
          <w:rFonts w:ascii="Arial" w:eastAsia="Times New Roman" w:hAnsi="Arial" w:cs="Arial"/>
          <w:b/>
          <w:color w:val="000000"/>
          <w:lang w:val="en-US"/>
        </w:rPr>
      </w:pPr>
      <w:r w:rsidRPr="002A6F4E">
        <w:rPr>
          <w:rFonts w:ascii="Arial" w:eastAsia="Times New Roman" w:hAnsi="Arial" w:cs="Arial"/>
          <w:b/>
          <w:color w:val="000000"/>
          <w:lang w:val="en-US"/>
        </w:rPr>
        <w:t>Planovi i programi upravljanja otpadom su u Zakonu uređeni sljedećim odredbama:</w:t>
      </w:r>
    </w:p>
    <w:p w14:paraId="602A4537" w14:textId="77777777" w:rsidR="00377063" w:rsidRPr="002A6F4E" w:rsidRDefault="00377063" w:rsidP="00377063">
      <w:pPr>
        <w:shd w:val="clear" w:color="auto" w:fill="FFFFFF"/>
        <w:spacing w:before="100" w:beforeAutospacing="1" w:line="360" w:lineRule="auto"/>
        <w:rPr>
          <w:rFonts w:ascii="Arial" w:eastAsia="Times New Roman" w:hAnsi="Arial" w:cs="Arial"/>
          <w:color w:val="000000"/>
          <w:lang w:val="en-US"/>
        </w:rPr>
      </w:pPr>
      <w:r w:rsidRPr="002A6F4E">
        <w:rPr>
          <w:rFonts w:ascii="Arial" w:eastAsia="Times New Roman" w:hAnsi="Arial" w:cs="Arial"/>
          <w:b/>
          <w:bCs/>
          <w:color w:val="000000"/>
          <w:lang w:val="en-US"/>
        </w:rPr>
        <w:lastRenderedPageBreak/>
        <w:t xml:space="preserve">Vrste planova; Član 25; </w:t>
      </w:r>
    </w:p>
    <w:p w14:paraId="50AE370E" w14:textId="77777777" w:rsidR="00377063" w:rsidRPr="002A6F4E" w:rsidRDefault="00377063" w:rsidP="00A23ED0">
      <w:pPr>
        <w:numPr>
          <w:ilvl w:val="0"/>
          <w:numId w:val="102"/>
        </w:numPr>
        <w:shd w:val="clear" w:color="auto" w:fill="FFFFFF"/>
        <w:spacing w:after="160" w:line="360" w:lineRule="auto"/>
        <w:rPr>
          <w:rFonts w:ascii="Arial" w:eastAsia="Times New Roman" w:hAnsi="Arial" w:cs="Arial"/>
          <w:color w:val="000000"/>
          <w:lang w:val="en-US"/>
        </w:rPr>
      </w:pPr>
      <w:r w:rsidRPr="002A6F4E">
        <w:rPr>
          <w:rFonts w:ascii="Arial" w:eastAsia="Times New Roman" w:hAnsi="Arial" w:cs="Arial"/>
          <w:color w:val="000000"/>
          <w:lang w:val="en-US"/>
        </w:rPr>
        <w:t>Upravljanje otpadom vrši se u skladu sa državnim planom upravljanja otpadom (u daljem tekstu: Državni plan) i lokalnim planovima upravljanja komunalnim i neopasnim građevinskim otpadom (u daljem tekstu: lokalni plan).</w:t>
      </w:r>
    </w:p>
    <w:p w14:paraId="4682F964" w14:textId="77777777" w:rsidR="00377063" w:rsidRPr="002A6F4E" w:rsidRDefault="00377063" w:rsidP="00A23ED0">
      <w:pPr>
        <w:numPr>
          <w:ilvl w:val="0"/>
          <w:numId w:val="102"/>
        </w:numPr>
        <w:shd w:val="clear" w:color="auto" w:fill="FFFFFF"/>
        <w:spacing w:after="160" w:line="360" w:lineRule="auto"/>
        <w:rPr>
          <w:rFonts w:ascii="Arial" w:eastAsia="Times New Roman" w:hAnsi="Arial" w:cs="Arial"/>
          <w:color w:val="000000"/>
          <w:lang w:val="en-US"/>
        </w:rPr>
      </w:pPr>
      <w:r w:rsidRPr="002A6F4E">
        <w:rPr>
          <w:rFonts w:ascii="Arial" w:eastAsia="Times New Roman" w:hAnsi="Arial" w:cs="Arial"/>
          <w:color w:val="000000"/>
          <w:lang w:val="en-US"/>
        </w:rPr>
        <w:t>Imalac otpada dužan je da upravlja otpadom u skladu sa Državnim planom i lokalnim planom.</w:t>
      </w:r>
    </w:p>
    <w:p w14:paraId="29A63AFC" w14:textId="77777777" w:rsidR="00377063" w:rsidRPr="002A6F4E" w:rsidRDefault="00377063" w:rsidP="00377063">
      <w:pPr>
        <w:shd w:val="clear" w:color="auto" w:fill="FFFFFF"/>
        <w:spacing w:before="100" w:beforeAutospacing="1" w:line="360" w:lineRule="auto"/>
        <w:rPr>
          <w:rFonts w:ascii="Arial" w:eastAsia="Times New Roman" w:hAnsi="Arial" w:cs="Arial"/>
          <w:color w:val="000000"/>
          <w:lang w:val="en-US"/>
        </w:rPr>
      </w:pPr>
      <w:r w:rsidRPr="002A6F4E">
        <w:rPr>
          <w:rFonts w:ascii="Arial" w:eastAsia="Times New Roman" w:hAnsi="Arial" w:cs="Arial"/>
          <w:b/>
          <w:bCs/>
          <w:color w:val="000000"/>
          <w:lang w:val="en-US"/>
        </w:rPr>
        <w:t xml:space="preserve">Državni plan; Član 26; </w:t>
      </w:r>
    </w:p>
    <w:p w14:paraId="69319E3A" w14:textId="77777777" w:rsidR="00377063" w:rsidRPr="002A6F4E" w:rsidRDefault="00377063" w:rsidP="00A23ED0">
      <w:pPr>
        <w:numPr>
          <w:ilvl w:val="0"/>
          <w:numId w:val="103"/>
        </w:numPr>
        <w:shd w:val="clear" w:color="auto" w:fill="FFFFFF"/>
        <w:spacing w:after="160" w:line="360" w:lineRule="auto"/>
        <w:rPr>
          <w:rFonts w:ascii="Arial" w:eastAsia="Times New Roman" w:hAnsi="Arial" w:cs="Arial"/>
          <w:color w:val="000000"/>
          <w:lang w:val="en-US"/>
        </w:rPr>
      </w:pPr>
      <w:r w:rsidRPr="002A6F4E">
        <w:rPr>
          <w:rFonts w:ascii="Arial" w:eastAsia="Times New Roman" w:hAnsi="Arial" w:cs="Arial"/>
          <w:color w:val="000000"/>
          <w:lang w:val="en-US"/>
        </w:rPr>
        <w:t>Državni plan je osnovni dokument kojim se određuju dugoročni ciljevi upravljanja otpadom i utvrđuju uslovi za racionalno i održivo upravljanje otpadom u Crnoj Gori.</w:t>
      </w:r>
    </w:p>
    <w:p w14:paraId="2F8FF841" w14:textId="77777777" w:rsidR="00377063" w:rsidRPr="002A6F4E" w:rsidRDefault="00377063" w:rsidP="00377063">
      <w:pPr>
        <w:shd w:val="clear" w:color="auto" w:fill="FFFFFF"/>
        <w:spacing w:before="100" w:beforeAutospacing="1" w:line="360" w:lineRule="auto"/>
        <w:rPr>
          <w:rFonts w:ascii="Arial" w:eastAsia="Times New Roman" w:hAnsi="Arial" w:cs="Arial"/>
          <w:color w:val="000000"/>
          <w:lang w:val="en-US"/>
        </w:rPr>
      </w:pPr>
      <w:r w:rsidRPr="002A6F4E">
        <w:rPr>
          <w:rFonts w:ascii="Arial" w:eastAsia="Times New Roman" w:hAnsi="Arial" w:cs="Arial"/>
          <w:b/>
          <w:bCs/>
          <w:color w:val="000000"/>
          <w:lang w:val="en-US"/>
        </w:rPr>
        <w:t>Lokalni plan; Član 30</w:t>
      </w:r>
    </w:p>
    <w:p w14:paraId="41339FA5" w14:textId="77777777" w:rsidR="00377063" w:rsidRPr="00213651" w:rsidRDefault="00377063" w:rsidP="00A23ED0">
      <w:pPr>
        <w:numPr>
          <w:ilvl w:val="0"/>
          <w:numId w:val="104"/>
        </w:numPr>
        <w:shd w:val="clear" w:color="auto" w:fill="FFFFFF"/>
        <w:spacing w:after="160" w:line="360" w:lineRule="auto"/>
        <w:rPr>
          <w:rFonts w:ascii="Arial" w:eastAsia="Times New Roman" w:hAnsi="Arial" w:cs="Arial"/>
          <w:color w:val="000000"/>
          <w:lang w:val="en-US"/>
        </w:rPr>
      </w:pPr>
      <w:r w:rsidRPr="002A6F4E">
        <w:rPr>
          <w:rFonts w:ascii="Arial" w:eastAsia="Times New Roman" w:hAnsi="Arial" w:cs="Arial"/>
          <w:color w:val="000000"/>
          <w:lang w:val="en-US"/>
        </w:rPr>
        <w:t xml:space="preserve">Lokalni plan donosi skupština Glavnog grada, Prijestonice i opštine (u daljem tekstu: jedinica </w:t>
      </w:r>
      <w:r w:rsidRPr="00213651">
        <w:rPr>
          <w:rFonts w:ascii="Arial" w:eastAsia="Times New Roman" w:hAnsi="Arial" w:cs="Arial"/>
          <w:color w:val="000000"/>
          <w:lang w:val="en-US"/>
        </w:rPr>
        <w:t>lokalne samouprave), na period na koji je donijet Državni plan.</w:t>
      </w:r>
    </w:p>
    <w:p w14:paraId="74804219" w14:textId="77777777" w:rsidR="00377063" w:rsidRPr="00213651" w:rsidRDefault="00377063" w:rsidP="00A23ED0">
      <w:pPr>
        <w:numPr>
          <w:ilvl w:val="0"/>
          <w:numId w:val="104"/>
        </w:numPr>
        <w:shd w:val="clear" w:color="auto" w:fill="FFFFFF"/>
        <w:spacing w:after="160" w:line="360" w:lineRule="auto"/>
        <w:rPr>
          <w:rFonts w:ascii="Arial" w:eastAsia="Times New Roman" w:hAnsi="Arial" w:cs="Arial"/>
          <w:color w:val="000000"/>
          <w:lang w:val="de-DE"/>
        </w:rPr>
      </w:pPr>
      <w:r w:rsidRPr="00213651">
        <w:rPr>
          <w:rFonts w:ascii="Arial" w:eastAsia="Times New Roman" w:hAnsi="Arial" w:cs="Arial"/>
          <w:color w:val="000000"/>
          <w:lang w:val="de-DE"/>
        </w:rPr>
        <w:t>Lokalni plan mora biti usaglašen sa Državnim planom.</w:t>
      </w:r>
    </w:p>
    <w:p w14:paraId="3912755C" w14:textId="575FBAED" w:rsidR="00377063" w:rsidRPr="00213651" w:rsidRDefault="00377063" w:rsidP="00377063">
      <w:pPr>
        <w:spacing w:after="160" w:line="360" w:lineRule="auto"/>
        <w:rPr>
          <w:rFonts w:ascii="Arial" w:hAnsi="Arial" w:cs="Arial"/>
          <w:color w:val="000000" w:themeColor="text1"/>
          <w:lang w:val="sr-Latn-ME"/>
        </w:rPr>
      </w:pPr>
      <w:r w:rsidRPr="00AF012C">
        <w:rPr>
          <w:rFonts w:ascii="Arial" w:hAnsi="Arial" w:cs="Arial"/>
          <w:lang w:val="de-DE"/>
        </w:rPr>
        <w:t>Pregled</w:t>
      </w:r>
      <w:r w:rsidRPr="00213651">
        <w:rPr>
          <w:rFonts w:ascii="Arial" w:hAnsi="Arial" w:cs="Arial"/>
          <w:lang w:val="sr-Latn-ME"/>
        </w:rPr>
        <w:t xml:space="preserve"> </w:t>
      </w:r>
      <w:r w:rsidRPr="00AF012C">
        <w:rPr>
          <w:rFonts w:ascii="Arial" w:hAnsi="Arial" w:cs="Arial"/>
          <w:lang w:val="de-DE"/>
        </w:rPr>
        <w:t>snaga</w:t>
      </w:r>
      <w:r w:rsidRPr="00213651">
        <w:rPr>
          <w:rFonts w:ascii="Arial" w:hAnsi="Arial" w:cs="Arial"/>
          <w:lang w:val="sr-Latn-ME"/>
        </w:rPr>
        <w:t xml:space="preserve">, </w:t>
      </w:r>
      <w:r w:rsidRPr="00AF012C">
        <w:rPr>
          <w:rFonts w:ascii="Arial" w:hAnsi="Arial" w:cs="Arial"/>
          <w:lang w:val="de-DE"/>
        </w:rPr>
        <w:t>slabosti</w:t>
      </w:r>
      <w:r w:rsidRPr="00213651">
        <w:rPr>
          <w:rFonts w:ascii="Arial" w:hAnsi="Arial" w:cs="Arial"/>
          <w:lang w:val="sr-Latn-ME"/>
        </w:rPr>
        <w:t>, š</w:t>
      </w:r>
      <w:r w:rsidRPr="00AF012C">
        <w:rPr>
          <w:rFonts w:ascii="Arial" w:hAnsi="Arial" w:cs="Arial"/>
          <w:lang w:val="de-DE"/>
        </w:rPr>
        <w:t>ansi</w:t>
      </w:r>
      <w:r w:rsidRPr="00213651">
        <w:rPr>
          <w:rFonts w:ascii="Arial" w:hAnsi="Arial" w:cs="Arial"/>
          <w:lang w:val="sr-Latn-ME"/>
        </w:rPr>
        <w:t xml:space="preserve"> </w:t>
      </w:r>
      <w:r w:rsidRPr="00AF012C">
        <w:rPr>
          <w:rFonts w:ascii="Arial" w:hAnsi="Arial" w:cs="Arial"/>
          <w:lang w:val="de-DE"/>
        </w:rPr>
        <w:t>i</w:t>
      </w:r>
      <w:r w:rsidRPr="00213651">
        <w:rPr>
          <w:rFonts w:ascii="Arial" w:hAnsi="Arial" w:cs="Arial"/>
          <w:lang w:val="sr-Latn-ME"/>
        </w:rPr>
        <w:t xml:space="preserve"> </w:t>
      </w:r>
      <w:r w:rsidRPr="00AF012C">
        <w:rPr>
          <w:rFonts w:ascii="Arial" w:hAnsi="Arial" w:cs="Arial"/>
          <w:lang w:val="de-DE"/>
        </w:rPr>
        <w:t>prijetnji</w:t>
      </w:r>
      <w:r w:rsidRPr="00213651">
        <w:rPr>
          <w:rFonts w:ascii="Arial" w:hAnsi="Arial" w:cs="Arial"/>
          <w:lang w:val="sr-Latn-ME"/>
        </w:rPr>
        <w:t xml:space="preserve"> </w:t>
      </w:r>
      <w:r w:rsidRPr="00AF012C">
        <w:rPr>
          <w:rFonts w:ascii="Arial" w:hAnsi="Arial" w:cs="Arial"/>
          <w:lang w:val="de-DE"/>
        </w:rPr>
        <w:t>u</w:t>
      </w:r>
      <w:r w:rsidRPr="00213651">
        <w:rPr>
          <w:rFonts w:ascii="Arial" w:hAnsi="Arial" w:cs="Arial"/>
          <w:lang w:val="sr-Latn-ME"/>
        </w:rPr>
        <w:t xml:space="preserve"> </w:t>
      </w:r>
      <w:r w:rsidRPr="00AF012C">
        <w:rPr>
          <w:rFonts w:ascii="Arial" w:hAnsi="Arial" w:cs="Arial"/>
          <w:lang w:val="de-DE"/>
        </w:rPr>
        <w:t>pogledu</w:t>
      </w:r>
      <w:r w:rsidRPr="00213651">
        <w:rPr>
          <w:rFonts w:ascii="Arial" w:hAnsi="Arial" w:cs="Arial"/>
          <w:lang w:val="sr-Latn-ME"/>
        </w:rPr>
        <w:t xml:space="preserve"> </w:t>
      </w:r>
      <w:r w:rsidRPr="00AF012C">
        <w:rPr>
          <w:rFonts w:ascii="Arial" w:hAnsi="Arial" w:cs="Arial"/>
          <w:lang w:val="de-DE"/>
        </w:rPr>
        <w:t>koncipiranja</w:t>
      </w:r>
      <w:r w:rsidRPr="00213651">
        <w:rPr>
          <w:rFonts w:ascii="Arial" w:hAnsi="Arial" w:cs="Arial"/>
          <w:lang w:val="sr-Latn-ME"/>
        </w:rPr>
        <w:t xml:space="preserve"> </w:t>
      </w:r>
      <w:r w:rsidRPr="00AF012C">
        <w:rPr>
          <w:rFonts w:ascii="Arial" w:hAnsi="Arial" w:cs="Arial"/>
          <w:lang w:val="de-DE"/>
        </w:rPr>
        <w:t>i</w:t>
      </w:r>
      <w:r w:rsidRPr="00213651">
        <w:rPr>
          <w:rFonts w:ascii="Arial" w:hAnsi="Arial" w:cs="Arial"/>
          <w:lang w:val="sr-Latn-ME"/>
        </w:rPr>
        <w:t xml:space="preserve"> </w:t>
      </w:r>
      <w:r w:rsidRPr="00AF012C">
        <w:rPr>
          <w:rFonts w:ascii="Arial" w:hAnsi="Arial" w:cs="Arial"/>
          <w:lang w:val="de-DE"/>
        </w:rPr>
        <w:t>posebno</w:t>
      </w:r>
      <w:r w:rsidRPr="00213651">
        <w:rPr>
          <w:rFonts w:ascii="Arial" w:hAnsi="Arial" w:cs="Arial"/>
          <w:lang w:val="sr-Latn-ME"/>
        </w:rPr>
        <w:t xml:space="preserve"> </w:t>
      </w:r>
      <w:r w:rsidRPr="00AF012C">
        <w:rPr>
          <w:rFonts w:ascii="Arial" w:hAnsi="Arial" w:cs="Arial"/>
          <w:lang w:val="de-DE"/>
        </w:rPr>
        <w:t>implementacije</w:t>
      </w:r>
      <w:r w:rsidRPr="00213651">
        <w:rPr>
          <w:rFonts w:ascii="Arial" w:hAnsi="Arial" w:cs="Arial"/>
          <w:lang w:val="sr-Latn-ME"/>
        </w:rPr>
        <w:t xml:space="preserve"> </w:t>
      </w:r>
      <w:r w:rsidRPr="00AF012C">
        <w:rPr>
          <w:rFonts w:ascii="Arial" w:hAnsi="Arial" w:cs="Arial"/>
          <w:lang w:val="de-DE"/>
        </w:rPr>
        <w:t>DPUO</w:t>
      </w:r>
      <w:r w:rsidRPr="00213651">
        <w:rPr>
          <w:rFonts w:ascii="Arial" w:hAnsi="Arial" w:cs="Arial"/>
          <w:lang w:val="sr-Latn-ME"/>
        </w:rPr>
        <w:t xml:space="preserve"> </w:t>
      </w:r>
      <w:r w:rsidRPr="00AF012C">
        <w:rPr>
          <w:rFonts w:ascii="Arial" w:hAnsi="Arial" w:cs="Arial"/>
          <w:lang w:val="de-DE"/>
        </w:rPr>
        <w:t>daje</w:t>
      </w:r>
      <w:r w:rsidRPr="00213651">
        <w:rPr>
          <w:rFonts w:ascii="Arial" w:hAnsi="Arial" w:cs="Arial"/>
          <w:lang w:val="sr-Latn-ME"/>
        </w:rPr>
        <w:t xml:space="preserve"> </w:t>
      </w:r>
      <w:r w:rsidRPr="00AF012C">
        <w:rPr>
          <w:rFonts w:ascii="Arial" w:hAnsi="Arial" w:cs="Arial"/>
          <w:lang w:val="de-DE"/>
        </w:rPr>
        <w:t>se</w:t>
      </w:r>
      <w:r w:rsidRPr="00213651">
        <w:rPr>
          <w:rFonts w:ascii="Arial" w:hAnsi="Arial" w:cs="Arial"/>
          <w:lang w:val="sr-Latn-ME"/>
        </w:rPr>
        <w:t xml:space="preserve"> </w:t>
      </w:r>
      <w:r w:rsidRPr="00AF012C">
        <w:rPr>
          <w:rFonts w:ascii="Arial" w:hAnsi="Arial" w:cs="Arial"/>
          <w:lang w:val="de-DE"/>
        </w:rPr>
        <w:t>u</w:t>
      </w:r>
      <w:r w:rsidRPr="00213651">
        <w:rPr>
          <w:rFonts w:ascii="Arial" w:hAnsi="Arial" w:cs="Arial"/>
          <w:lang w:val="sr-Latn-ME"/>
        </w:rPr>
        <w:t xml:space="preserve"> </w:t>
      </w:r>
      <w:r w:rsidR="00896526" w:rsidRPr="00AF012C">
        <w:rPr>
          <w:rFonts w:ascii="Arial" w:hAnsi="Arial" w:cs="Arial"/>
          <w:color w:val="000000" w:themeColor="text1"/>
          <w:lang w:val="de-DE"/>
        </w:rPr>
        <w:t>sljedećoj tabeli.</w:t>
      </w:r>
    </w:p>
    <w:p w14:paraId="4C292735" w14:textId="4F7D7596" w:rsidR="006C693A" w:rsidRPr="008E642F" w:rsidRDefault="006C693A" w:rsidP="006C693A">
      <w:pPr>
        <w:pStyle w:val="Caption"/>
        <w:rPr>
          <w:rFonts w:ascii="Arial" w:hAnsi="Arial" w:cs="Arial"/>
          <w:b w:val="0"/>
          <w:szCs w:val="20"/>
          <w:lang w:val="sr-Latn-ME"/>
        </w:rPr>
      </w:pPr>
      <w:bookmarkStart w:id="1462" w:name="_Toc190160815"/>
      <w:r w:rsidRPr="008E642F">
        <w:rPr>
          <w:rFonts w:ascii="Arial" w:hAnsi="Arial" w:cs="Arial"/>
          <w:b w:val="0"/>
        </w:rPr>
        <w:t>Tabela</w:t>
      </w:r>
      <w:r w:rsidRPr="008E642F">
        <w:rPr>
          <w:rFonts w:ascii="Arial" w:hAnsi="Arial" w:cs="Arial"/>
          <w:b w:val="0"/>
          <w:lang w:val="sr-Latn-ME"/>
        </w:rPr>
        <w:t xml:space="preserve"> </w:t>
      </w:r>
      <w:r w:rsidRPr="008E642F">
        <w:rPr>
          <w:rFonts w:ascii="Arial" w:hAnsi="Arial" w:cs="Arial"/>
          <w:b w:val="0"/>
        </w:rPr>
        <w:fldChar w:fldCharType="begin"/>
      </w:r>
      <w:r w:rsidRPr="008E642F">
        <w:rPr>
          <w:rFonts w:ascii="Arial" w:hAnsi="Arial" w:cs="Arial"/>
          <w:b w:val="0"/>
          <w:lang w:val="sr-Latn-ME"/>
        </w:rPr>
        <w:instrText xml:space="preserve"> </w:instrText>
      </w:r>
      <w:r w:rsidRPr="008E642F">
        <w:rPr>
          <w:rFonts w:ascii="Arial" w:hAnsi="Arial" w:cs="Arial"/>
          <w:b w:val="0"/>
        </w:rPr>
        <w:instrText>SEQ</w:instrText>
      </w:r>
      <w:r w:rsidRPr="008E642F">
        <w:rPr>
          <w:rFonts w:ascii="Arial" w:hAnsi="Arial" w:cs="Arial"/>
          <w:b w:val="0"/>
          <w:lang w:val="sr-Latn-ME"/>
        </w:rPr>
        <w:instrText xml:space="preserve"> </w:instrText>
      </w:r>
      <w:r w:rsidRPr="008E642F">
        <w:rPr>
          <w:rFonts w:ascii="Arial" w:hAnsi="Arial" w:cs="Arial"/>
          <w:b w:val="0"/>
        </w:rPr>
        <w:instrText>Tabela</w:instrText>
      </w:r>
      <w:r w:rsidRPr="008E642F">
        <w:rPr>
          <w:rFonts w:ascii="Arial" w:hAnsi="Arial" w:cs="Arial"/>
          <w:b w:val="0"/>
          <w:lang w:val="sr-Latn-ME"/>
        </w:rPr>
        <w:instrText xml:space="preserve"> \* </w:instrText>
      </w:r>
      <w:r w:rsidRPr="008E642F">
        <w:rPr>
          <w:rFonts w:ascii="Arial" w:hAnsi="Arial" w:cs="Arial"/>
          <w:b w:val="0"/>
        </w:rPr>
        <w:instrText>ARABIC</w:instrText>
      </w:r>
      <w:r w:rsidRPr="008E642F">
        <w:rPr>
          <w:rFonts w:ascii="Arial" w:hAnsi="Arial" w:cs="Arial"/>
          <w:b w:val="0"/>
          <w:lang w:val="sr-Latn-ME"/>
        </w:rPr>
        <w:instrText xml:space="preserve"> </w:instrText>
      </w:r>
      <w:r w:rsidRPr="008E642F">
        <w:rPr>
          <w:rFonts w:ascii="Arial" w:hAnsi="Arial" w:cs="Arial"/>
          <w:b w:val="0"/>
        </w:rPr>
        <w:fldChar w:fldCharType="separate"/>
      </w:r>
      <w:r w:rsidR="007274DA" w:rsidRPr="007274DA">
        <w:rPr>
          <w:rFonts w:ascii="Arial" w:hAnsi="Arial" w:cs="Arial"/>
          <w:b w:val="0"/>
          <w:noProof/>
          <w:lang w:val="sr-Latn-ME"/>
        </w:rPr>
        <w:t>119</w:t>
      </w:r>
      <w:r w:rsidRPr="008E642F">
        <w:rPr>
          <w:rFonts w:ascii="Arial" w:hAnsi="Arial" w:cs="Arial"/>
          <w:b w:val="0"/>
        </w:rPr>
        <w:fldChar w:fldCharType="end"/>
      </w:r>
      <w:r w:rsidRPr="008E642F">
        <w:rPr>
          <w:rFonts w:ascii="Arial" w:hAnsi="Arial" w:cs="Arial"/>
          <w:b w:val="0"/>
          <w:color w:val="FF0000"/>
          <w:lang w:val="sr-Latn-ME"/>
        </w:rPr>
        <w:t xml:space="preserve"> </w:t>
      </w:r>
      <w:r w:rsidRPr="008E642F">
        <w:rPr>
          <w:rFonts w:ascii="Arial" w:hAnsi="Arial" w:cs="Arial"/>
          <w:b w:val="0"/>
          <w:lang w:val="de-DE"/>
        </w:rPr>
        <w:t>SWOT</w:t>
      </w:r>
      <w:r w:rsidRPr="008E642F">
        <w:rPr>
          <w:rFonts w:ascii="Arial" w:hAnsi="Arial" w:cs="Arial"/>
          <w:b w:val="0"/>
          <w:lang w:val="sr-Latn-ME"/>
        </w:rPr>
        <w:t xml:space="preserve"> </w:t>
      </w:r>
      <w:r w:rsidRPr="008E642F">
        <w:rPr>
          <w:rFonts w:ascii="Arial" w:hAnsi="Arial" w:cs="Arial"/>
          <w:b w:val="0"/>
          <w:lang w:val="de-DE"/>
        </w:rPr>
        <w:t>analiza</w:t>
      </w:r>
      <w:r w:rsidRPr="008E642F">
        <w:rPr>
          <w:rFonts w:ascii="Arial" w:hAnsi="Arial" w:cs="Arial"/>
          <w:b w:val="0"/>
          <w:lang w:val="sr-Latn-ME"/>
        </w:rPr>
        <w:t xml:space="preserve"> </w:t>
      </w:r>
      <w:r w:rsidRPr="008E642F">
        <w:rPr>
          <w:rFonts w:ascii="Arial" w:hAnsi="Arial" w:cs="Arial"/>
          <w:b w:val="0"/>
          <w:lang w:val="de-DE"/>
        </w:rPr>
        <w:t>za</w:t>
      </w:r>
      <w:r w:rsidRPr="008E642F">
        <w:rPr>
          <w:rFonts w:ascii="Arial" w:hAnsi="Arial" w:cs="Arial"/>
          <w:b w:val="0"/>
          <w:szCs w:val="20"/>
          <w:lang w:val="sr-Latn-ME"/>
        </w:rPr>
        <w:t xml:space="preserve"> </w:t>
      </w:r>
      <w:r w:rsidRPr="008E642F">
        <w:rPr>
          <w:rFonts w:ascii="Arial" w:hAnsi="Arial" w:cs="Arial"/>
          <w:b w:val="0"/>
          <w:szCs w:val="20"/>
          <w:lang w:val="de-DE"/>
        </w:rPr>
        <w:t>potrebe</w:t>
      </w:r>
      <w:r w:rsidRPr="008E642F">
        <w:rPr>
          <w:rFonts w:ascii="Arial" w:hAnsi="Arial" w:cs="Arial"/>
          <w:b w:val="0"/>
          <w:szCs w:val="20"/>
          <w:lang w:val="sr-Latn-ME"/>
        </w:rPr>
        <w:t xml:space="preserve"> </w:t>
      </w:r>
      <w:r w:rsidRPr="008E642F">
        <w:rPr>
          <w:rFonts w:ascii="Arial" w:hAnsi="Arial" w:cs="Arial"/>
          <w:b w:val="0"/>
          <w:szCs w:val="20"/>
          <w:lang w:val="de-DE"/>
        </w:rPr>
        <w:t>koncipiranja</w:t>
      </w:r>
      <w:r w:rsidR="008D695A" w:rsidRPr="00AF012C">
        <w:rPr>
          <w:rFonts w:ascii="Arial" w:hAnsi="Arial" w:cs="Arial"/>
          <w:b w:val="0"/>
          <w:sz w:val="20"/>
          <w:szCs w:val="20"/>
          <w:lang w:val="sr-Latn-ME"/>
        </w:rPr>
        <w:t xml:space="preserve"> </w:t>
      </w:r>
      <w:r w:rsidRPr="008E642F">
        <w:rPr>
          <w:rFonts w:ascii="Arial" w:hAnsi="Arial" w:cs="Arial"/>
          <w:b w:val="0"/>
          <w:szCs w:val="20"/>
          <w:lang w:val="en-US"/>
        </w:rPr>
        <w:t>Dr</w:t>
      </w:r>
      <w:r w:rsidRPr="008E642F">
        <w:rPr>
          <w:rFonts w:ascii="Arial" w:hAnsi="Arial" w:cs="Arial"/>
          <w:b w:val="0"/>
          <w:szCs w:val="20"/>
          <w:lang w:val="sr-Latn-ME"/>
        </w:rPr>
        <w:t>ž</w:t>
      </w:r>
      <w:r w:rsidRPr="008E642F">
        <w:rPr>
          <w:rFonts w:ascii="Arial" w:hAnsi="Arial" w:cs="Arial"/>
          <w:b w:val="0"/>
          <w:szCs w:val="20"/>
          <w:lang w:val="en-US"/>
        </w:rPr>
        <w:t>avnog</w:t>
      </w:r>
      <w:r w:rsidRPr="008E642F">
        <w:rPr>
          <w:rFonts w:ascii="Arial" w:hAnsi="Arial" w:cs="Arial"/>
          <w:b w:val="0"/>
          <w:szCs w:val="20"/>
          <w:lang w:val="sr-Latn-ME"/>
        </w:rPr>
        <w:t xml:space="preserve"> </w:t>
      </w:r>
      <w:r w:rsidRPr="008E642F">
        <w:rPr>
          <w:rFonts w:ascii="Arial" w:hAnsi="Arial" w:cs="Arial"/>
          <w:b w:val="0"/>
          <w:szCs w:val="20"/>
          <w:lang w:val="en-US"/>
        </w:rPr>
        <w:t>plana</w:t>
      </w:r>
      <w:r w:rsidRPr="008E642F">
        <w:rPr>
          <w:rFonts w:ascii="Arial" w:hAnsi="Arial" w:cs="Arial"/>
          <w:b w:val="0"/>
          <w:szCs w:val="20"/>
          <w:lang w:val="sr-Latn-ME"/>
        </w:rPr>
        <w:t xml:space="preserve"> </w:t>
      </w:r>
      <w:r w:rsidRPr="008E642F">
        <w:rPr>
          <w:rFonts w:ascii="Arial" w:hAnsi="Arial" w:cs="Arial"/>
          <w:b w:val="0"/>
          <w:szCs w:val="20"/>
          <w:lang w:val="en-US"/>
        </w:rPr>
        <w:t>za</w:t>
      </w:r>
      <w:r w:rsidRPr="008E642F">
        <w:rPr>
          <w:rFonts w:ascii="Arial" w:hAnsi="Arial" w:cs="Arial"/>
          <w:b w:val="0"/>
          <w:szCs w:val="20"/>
          <w:lang w:val="sr-Latn-ME"/>
        </w:rPr>
        <w:t xml:space="preserve"> </w:t>
      </w:r>
      <w:r w:rsidRPr="008E642F">
        <w:rPr>
          <w:rFonts w:ascii="Arial" w:hAnsi="Arial" w:cs="Arial"/>
          <w:b w:val="0"/>
          <w:szCs w:val="20"/>
          <w:lang w:val="en-US"/>
        </w:rPr>
        <w:t>upravljanje</w:t>
      </w:r>
      <w:r w:rsidRPr="008E642F">
        <w:rPr>
          <w:rFonts w:ascii="Arial" w:hAnsi="Arial" w:cs="Arial"/>
          <w:b w:val="0"/>
          <w:szCs w:val="20"/>
          <w:lang w:val="sr-Latn-ME"/>
        </w:rPr>
        <w:t xml:space="preserve"> </w:t>
      </w:r>
      <w:r w:rsidRPr="008E642F">
        <w:rPr>
          <w:rFonts w:ascii="Arial" w:hAnsi="Arial" w:cs="Arial"/>
          <w:b w:val="0"/>
          <w:szCs w:val="20"/>
          <w:lang w:val="en-US"/>
        </w:rPr>
        <w:t>otpadom</w:t>
      </w:r>
      <w:r w:rsidRPr="008E642F">
        <w:rPr>
          <w:rFonts w:ascii="Arial" w:hAnsi="Arial" w:cs="Arial"/>
          <w:b w:val="0"/>
          <w:szCs w:val="20"/>
          <w:lang w:val="sr-Latn-ME"/>
        </w:rPr>
        <w:t xml:space="preserve"> </w:t>
      </w:r>
      <w:r w:rsidRPr="008E642F">
        <w:rPr>
          <w:rFonts w:ascii="Arial" w:hAnsi="Arial" w:cs="Arial"/>
          <w:b w:val="0"/>
          <w:szCs w:val="20"/>
          <w:lang w:val="en-US"/>
        </w:rPr>
        <w:t>CG</w:t>
      </w:r>
      <w:bookmarkEnd w:id="1462"/>
    </w:p>
    <w:tbl>
      <w:tblPr>
        <w:tblStyle w:val="GridTable4-Accent51"/>
        <w:tblW w:w="0" w:type="auto"/>
        <w:jc w:val="center"/>
        <w:tblLook w:val="04A0" w:firstRow="1" w:lastRow="0" w:firstColumn="1" w:lastColumn="0" w:noHBand="0" w:noVBand="1"/>
      </w:tblPr>
      <w:tblGrid>
        <w:gridCol w:w="9350"/>
      </w:tblGrid>
      <w:tr w:rsidR="006C693A" w:rsidRPr="002A6F4E" w14:paraId="4E762CEB" w14:textId="77777777" w:rsidTr="006957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50" w:type="dxa"/>
          </w:tcPr>
          <w:p w14:paraId="61D1F378" w14:textId="77777777" w:rsidR="006C693A" w:rsidRPr="002A6F4E" w:rsidRDefault="006C693A" w:rsidP="00FE289C">
            <w:pPr>
              <w:spacing w:line="360" w:lineRule="auto"/>
              <w:rPr>
                <w:rFonts w:ascii="Arial" w:hAnsi="Arial" w:cs="Arial"/>
                <w:b w:val="0"/>
                <w:bCs w:val="0"/>
                <w:highlight w:val="lightGray"/>
                <w:lang w:val="en-US"/>
              </w:rPr>
            </w:pPr>
            <w:r w:rsidRPr="002A6F4E">
              <w:rPr>
                <w:rFonts w:ascii="Arial" w:hAnsi="Arial" w:cs="Arial"/>
                <w:color w:val="538135"/>
                <w:highlight w:val="lightGray"/>
                <w:lang w:val="en-US"/>
              </w:rPr>
              <w:t xml:space="preserve">S   N   A   G    E   </w:t>
            </w:r>
          </w:p>
        </w:tc>
      </w:tr>
      <w:tr w:rsidR="006C693A" w:rsidRPr="0014164F" w14:paraId="61C45B31" w14:textId="77777777" w:rsidTr="00695794">
        <w:trPr>
          <w:jc w:val="center"/>
        </w:trPr>
        <w:tc>
          <w:tcPr>
            <w:cnfStyle w:val="001000000000" w:firstRow="0" w:lastRow="0" w:firstColumn="1" w:lastColumn="0" w:oddVBand="0" w:evenVBand="0" w:oddHBand="0" w:evenHBand="0" w:firstRowFirstColumn="0" w:firstRowLastColumn="0" w:lastRowFirstColumn="0" w:lastRowLastColumn="0"/>
            <w:tcW w:w="9350" w:type="dxa"/>
            <w:shd w:val="clear" w:color="auto" w:fill="D9E2F3"/>
          </w:tcPr>
          <w:p w14:paraId="26A6038C" w14:textId="77777777" w:rsidR="006C693A" w:rsidRPr="002A6F4E" w:rsidRDefault="006C693A" w:rsidP="00FE289C">
            <w:pPr>
              <w:spacing w:line="360" w:lineRule="auto"/>
              <w:rPr>
                <w:rFonts w:ascii="Arial" w:hAnsi="Arial" w:cs="Arial"/>
                <w:b w:val="0"/>
                <w:bCs w:val="0"/>
                <w:lang w:val="sr-Latn-CS"/>
              </w:rPr>
            </w:pPr>
          </w:p>
          <w:p w14:paraId="49E2D2F9" w14:textId="31D3693C" w:rsidR="006C693A" w:rsidRPr="002A6F4E" w:rsidRDefault="006C693A" w:rsidP="00A23ED0">
            <w:pPr>
              <w:numPr>
                <w:ilvl w:val="0"/>
                <w:numId w:val="105"/>
              </w:numPr>
              <w:spacing w:line="360" w:lineRule="auto"/>
              <w:rPr>
                <w:rFonts w:ascii="Arial" w:hAnsi="Arial" w:cs="Arial"/>
                <w:b w:val="0"/>
                <w:bCs w:val="0"/>
                <w:lang w:val="sr-Latn-CS"/>
              </w:rPr>
            </w:pPr>
            <w:r w:rsidRPr="002A6F4E">
              <w:rPr>
                <w:rFonts w:ascii="Arial" w:hAnsi="Arial" w:cs="Arial"/>
                <w:lang w:val="en-US"/>
              </w:rPr>
              <w:t>Va</w:t>
            </w:r>
            <w:r w:rsidRPr="002A6F4E">
              <w:rPr>
                <w:rFonts w:ascii="Arial" w:hAnsi="Arial" w:cs="Arial"/>
                <w:lang w:val="sr-Latn-CS"/>
              </w:rPr>
              <w:t>ž</w:t>
            </w:r>
            <w:r w:rsidRPr="002A6F4E">
              <w:rPr>
                <w:rFonts w:ascii="Arial" w:hAnsi="Arial" w:cs="Arial"/>
                <w:lang w:val="en-US"/>
              </w:rPr>
              <w:t>e</w:t>
            </w:r>
            <w:r w:rsidRPr="002A6F4E">
              <w:rPr>
                <w:rFonts w:ascii="Arial" w:hAnsi="Arial" w:cs="Arial"/>
                <w:lang w:val="sr-Latn-CS"/>
              </w:rPr>
              <w:t>ć</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propisi</w:t>
            </w:r>
            <w:r w:rsidRPr="002A6F4E">
              <w:rPr>
                <w:rFonts w:ascii="Arial" w:hAnsi="Arial" w:cs="Arial"/>
                <w:spacing w:val="1"/>
                <w:lang w:val="sr-Latn-CS"/>
              </w:rPr>
              <w:t xml:space="preserve"> </w:t>
            </w:r>
            <w:r w:rsidRPr="002A6F4E">
              <w:rPr>
                <w:rFonts w:ascii="Arial" w:hAnsi="Arial" w:cs="Arial"/>
                <w:lang w:val="en-US"/>
              </w:rPr>
              <w:t>koji</w:t>
            </w:r>
            <w:r w:rsidRPr="002A6F4E">
              <w:rPr>
                <w:rFonts w:ascii="Arial" w:hAnsi="Arial" w:cs="Arial"/>
                <w:spacing w:val="1"/>
                <w:lang w:val="sr-Latn-CS"/>
              </w:rPr>
              <w:t xml:space="preserve"> </w:t>
            </w:r>
            <w:r w:rsidRPr="002A6F4E">
              <w:rPr>
                <w:rFonts w:ascii="Arial" w:hAnsi="Arial" w:cs="Arial"/>
                <w:lang w:val="en-US"/>
              </w:rPr>
              <w:t>reguli</w:t>
            </w:r>
            <w:r w:rsidRPr="002A6F4E">
              <w:rPr>
                <w:rFonts w:ascii="Arial" w:hAnsi="Arial" w:cs="Arial"/>
                <w:lang w:val="sr-Latn-CS"/>
              </w:rPr>
              <w:t>š</w:t>
            </w:r>
            <w:r w:rsidRPr="002A6F4E">
              <w:rPr>
                <w:rFonts w:ascii="Arial" w:hAnsi="Arial" w:cs="Arial"/>
                <w:lang w:val="en-US"/>
              </w:rPr>
              <w:t>u</w:t>
            </w:r>
            <w:r w:rsidRPr="002A6F4E">
              <w:rPr>
                <w:rFonts w:ascii="Arial" w:hAnsi="Arial" w:cs="Arial"/>
                <w:spacing w:val="1"/>
                <w:lang w:val="sr-Latn-CS"/>
              </w:rPr>
              <w:t xml:space="preserve"> </w:t>
            </w:r>
            <w:r w:rsidRPr="002A6F4E">
              <w:rPr>
                <w:rFonts w:ascii="Arial" w:hAnsi="Arial" w:cs="Arial"/>
                <w:lang w:val="en-US"/>
              </w:rPr>
              <w:t>upravljanje</w:t>
            </w:r>
            <w:r w:rsidRPr="002A6F4E">
              <w:rPr>
                <w:rFonts w:ascii="Arial" w:hAnsi="Arial" w:cs="Arial"/>
                <w:spacing w:val="1"/>
                <w:lang w:val="sr-Latn-CS"/>
              </w:rPr>
              <w:t xml:space="preserve"> </w:t>
            </w:r>
            <w:r w:rsidRPr="002A6F4E">
              <w:rPr>
                <w:rFonts w:ascii="Arial" w:hAnsi="Arial" w:cs="Arial"/>
                <w:lang w:val="en-US"/>
              </w:rPr>
              <w:t>otpadom</w:t>
            </w:r>
            <w:r w:rsidRPr="002A6F4E">
              <w:rPr>
                <w:rFonts w:ascii="Arial" w:hAnsi="Arial" w:cs="Arial"/>
                <w:spacing w:val="1"/>
                <w:lang w:val="sr-Latn-CS"/>
              </w:rPr>
              <w:t xml:space="preserve"> </w:t>
            </w:r>
            <w:r w:rsidRPr="002A6F4E">
              <w:rPr>
                <w:rFonts w:ascii="Arial" w:hAnsi="Arial" w:cs="Arial"/>
                <w:lang w:val="en-US"/>
              </w:rPr>
              <w:t>u</w:t>
            </w:r>
            <w:r w:rsidRPr="002A6F4E">
              <w:rPr>
                <w:rFonts w:ascii="Arial" w:hAnsi="Arial" w:cs="Arial"/>
                <w:lang w:val="sr-Latn-CS"/>
              </w:rPr>
              <w:t xml:space="preserve"> </w:t>
            </w:r>
            <w:r w:rsidRPr="002A6F4E">
              <w:rPr>
                <w:rFonts w:ascii="Arial" w:hAnsi="Arial" w:cs="Arial"/>
                <w:lang w:val="en-US"/>
              </w:rPr>
              <w:t>C</w:t>
            </w:r>
            <w:r w:rsidR="004D1B2F">
              <w:rPr>
                <w:rFonts w:ascii="Arial" w:hAnsi="Arial" w:cs="Arial"/>
                <w:lang w:val="en-US"/>
              </w:rPr>
              <w:t>rnoj</w:t>
            </w:r>
            <w:r w:rsidR="004D1B2F" w:rsidRPr="003D7619">
              <w:rPr>
                <w:rFonts w:ascii="Arial" w:hAnsi="Arial" w:cs="Arial"/>
                <w:lang w:val="sr-Latn-CS"/>
              </w:rPr>
              <w:t xml:space="preserve"> </w:t>
            </w:r>
            <w:r w:rsidR="004D1B2F">
              <w:rPr>
                <w:rFonts w:ascii="Arial" w:hAnsi="Arial" w:cs="Arial"/>
                <w:lang w:val="en-US"/>
              </w:rPr>
              <w:t>Gori</w:t>
            </w:r>
            <w:r w:rsidRPr="002A6F4E">
              <w:rPr>
                <w:rFonts w:ascii="Arial" w:hAnsi="Arial" w:cs="Arial"/>
                <w:spacing w:val="51"/>
                <w:lang w:val="sr-Latn-CS"/>
              </w:rPr>
              <w:t xml:space="preserve"> </w:t>
            </w:r>
            <w:r w:rsidRPr="002A6F4E">
              <w:rPr>
                <w:rFonts w:ascii="Arial" w:hAnsi="Arial" w:cs="Arial"/>
                <w:lang w:val="en-US"/>
              </w:rPr>
              <w:t>pru</w:t>
            </w:r>
            <w:r w:rsidRPr="002A6F4E">
              <w:rPr>
                <w:rFonts w:ascii="Arial" w:hAnsi="Arial" w:cs="Arial"/>
                <w:lang w:val="sr-Latn-CS"/>
              </w:rPr>
              <w:t>ž</w:t>
            </w:r>
            <w:r w:rsidRPr="002A6F4E">
              <w:rPr>
                <w:rFonts w:ascii="Arial" w:hAnsi="Arial" w:cs="Arial"/>
                <w:lang w:val="en-US"/>
              </w:rPr>
              <w:t>aju</w:t>
            </w:r>
            <w:r w:rsidRPr="002A6F4E">
              <w:rPr>
                <w:rFonts w:ascii="Arial" w:hAnsi="Arial" w:cs="Arial"/>
                <w:spacing w:val="1"/>
                <w:lang w:val="sr-Latn-CS"/>
              </w:rPr>
              <w:t xml:space="preserve"> </w:t>
            </w:r>
            <w:r w:rsidRPr="002A6F4E">
              <w:rPr>
                <w:rFonts w:ascii="Arial" w:hAnsi="Arial" w:cs="Arial"/>
                <w:spacing w:val="1"/>
                <w:lang w:val="en-US"/>
              </w:rPr>
              <w:t>relativno</w:t>
            </w:r>
            <w:r w:rsidRPr="002A6F4E">
              <w:rPr>
                <w:rFonts w:ascii="Arial" w:hAnsi="Arial" w:cs="Arial"/>
                <w:spacing w:val="1"/>
                <w:lang w:val="sr-Latn-CS"/>
              </w:rPr>
              <w:t xml:space="preserve"> </w:t>
            </w:r>
            <w:r w:rsidRPr="002A6F4E">
              <w:rPr>
                <w:rFonts w:ascii="Arial" w:hAnsi="Arial" w:cs="Arial"/>
                <w:spacing w:val="1"/>
                <w:lang w:val="en-US"/>
              </w:rPr>
              <w:t>dobru</w:t>
            </w:r>
            <w:r w:rsidRPr="002A6F4E">
              <w:rPr>
                <w:rFonts w:ascii="Arial" w:hAnsi="Arial" w:cs="Arial"/>
                <w:spacing w:val="1"/>
                <w:lang w:val="sr-Latn-CS"/>
              </w:rPr>
              <w:t xml:space="preserve"> </w:t>
            </w:r>
            <w:r w:rsidRPr="002A6F4E">
              <w:rPr>
                <w:rFonts w:ascii="Arial" w:hAnsi="Arial" w:cs="Arial"/>
                <w:spacing w:val="1"/>
                <w:lang w:val="en-US"/>
              </w:rPr>
              <w:t>po</w:t>
            </w:r>
            <w:r w:rsidRPr="002A6F4E">
              <w:rPr>
                <w:rFonts w:ascii="Arial" w:hAnsi="Arial" w:cs="Arial"/>
                <w:spacing w:val="1"/>
                <w:lang w:val="sr-Latn-CS"/>
              </w:rPr>
              <w:t>č</w:t>
            </w:r>
            <w:r w:rsidRPr="002A6F4E">
              <w:rPr>
                <w:rFonts w:ascii="Arial" w:hAnsi="Arial" w:cs="Arial"/>
                <w:spacing w:val="1"/>
                <w:lang w:val="en-US"/>
              </w:rPr>
              <w:t>etnu</w:t>
            </w:r>
            <w:r w:rsidRPr="002A6F4E">
              <w:rPr>
                <w:rFonts w:ascii="Arial" w:hAnsi="Arial" w:cs="Arial"/>
                <w:spacing w:val="1"/>
                <w:lang w:val="sr-Latn-CS"/>
              </w:rPr>
              <w:t xml:space="preserve"> </w:t>
            </w:r>
            <w:r w:rsidRPr="002A6F4E">
              <w:rPr>
                <w:rFonts w:ascii="Arial" w:hAnsi="Arial" w:cs="Arial"/>
                <w:lang w:val="en-US"/>
              </w:rPr>
              <w:t>osnovu</w:t>
            </w:r>
            <w:r w:rsidRPr="002A6F4E">
              <w:rPr>
                <w:rFonts w:ascii="Arial" w:hAnsi="Arial" w:cs="Arial"/>
                <w:spacing w:val="1"/>
                <w:lang w:val="sr-Latn-CS"/>
              </w:rPr>
              <w:t xml:space="preserve"> </w:t>
            </w:r>
            <w:r w:rsidRPr="002A6F4E">
              <w:rPr>
                <w:rFonts w:ascii="Arial" w:hAnsi="Arial" w:cs="Arial"/>
                <w:lang w:val="en-US"/>
              </w:rPr>
              <w:t>za</w:t>
            </w:r>
            <w:r w:rsidRPr="002A6F4E">
              <w:rPr>
                <w:rFonts w:ascii="Arial" w:hAnsi="Arial" w:cs="Arial"/>
                <w:spacing w:val="1"/>
                <w:lang w:val="sr-Latn-CS"/>
              </w:rPr>
              <w:t xml:space="preserve"> </w:t>
            </w:r>
            <w:r w:rsidRPr="002A6F4E">
              <w:rPr>
                <w:rFonts w:ascii="Arial" w:hAnsi="Arial" w:cs="Arial"/>
                <w:lang w:val="en-US"/>
              </w:rPr>
              <w:t>odgovaraju</w:t>
            </w:r>
            <w:r w:rsidRPr="002A6F4E">
              <w:rPr>
                <w:rFonts w:ascii="Arial" w:hAnsi="Arial" w:cs="Arial"/>
                <w:lang w:val="sr-Latn-CS"/>
              </w:rPr>
              <w:t>ć</w:t>
            </w:r>
            <w:r w:rsidRPr="002A6F4E">
              <w:rPr>
                <w:rFonts w:ascii="Arial" w:hAnsi="Arial" w:cs="Arial"/>
                <w:lang w:val="en-US"/>
              </w:rPr>
              <w:t>e</w:t>
            </w:r>
            <w:r w:rsidRPr="002A6F4E">
              <w:rPr>
                <w:rFonts w:ascii="Arial" w:hAnsi="Arial" w:cs="Arial"/>
                <w:spacing w:val="1"/>
                <w:lang w:val="sr-Latn-CS"/>
              </w:rPr>
              <w:t xml:space="preserve"> </w:t>
            </w:r>
            <w:r w:rsidRPr="002A6F4E">
              <w:rPr>
                <w:rFonts w:ascii="Arial" w:hAnsi="Arial" w:cs="Arial"/>
                <w:lang w:val="en-US"/>
              </w:rPr>
              <w:t>upravljanje</w:t>
            </w:r>
            <w:r w:rsidRPr="002A6F4E">
              <w:rPr>
                <w:rFonts w:ascii="Arial" w:hAnsi="Arial" w:cs="Arial"/>
                <w:lang w:val="sr-Latn-CS"/>
              </w:rPr>
              <w:t xml:space="preserve"> </w:t>
            </w:r>
            <w:r w:rsidRPr="002A6F4E">
              <w:rPr>
                <w:rFonts w:ascii="Arial" w:hAnsi="Arial" w:cs="Arial"/>
                <w:lang w:val="en-US"/>
              </w:rPr>
              <w:t>otpadom</w:t>
            </w:r>
            <w:r w:rsidRPr="002A6F4E">
              <w:rPr>
                <w:rFonts w:ascii="Arial" w:hAnsi="Arial" w:cs="Arial"/>
                <w:lang w:val="sr-Latn-CS"/>
              </w:rPr>
              <w:t>;</w:t>
            </w:r>
          </w:p>
          <w:p w14:paraId="1DC46E61" w14:textId="77777777" w:rsidR="006C693A" w:rsidRPr="002A6F4E" w:rsidRDefault="006C693A" w:rsidP="00A23ED0">
            <w:pPr>
              <w:numPr>
                <w:ilvl w:val="0"/>
                <w:numId w:val="105"/>
              </w:numPr>
              <w:spacing w:line="360" w:lineRule="auto"/>
              <w:rPr>
                <w:rFonts w:ascii="Arial" w:hAnsi="Arial" w:cs="Arial"/>
                <w:b w:val="0"/>
                <w:bCs w:val="0"/>
                <w:lang w:val="en-US"/>
              </w:rPr>
            </w:pPr>
            <w:r w:rsidRPr="002A6F4E">
              <w:rPr>
                <w:rFonts w:ascii="Arial" w:hAnsi="Arial" w:cs="Arial"/>
                <w:lang w:val="en-US"/>
              </w:rPr>
              <w:t>Evidentan interes lokalne samouprave za rješavanje problema u upravljanju otpadom;</w:t>
            </w:r>
          </w:p>
          <w:p w14:paraId="13CB4380" w14:textId="0A1C2AD7" w:rsidR="006C693A" w:rsidRPr="00AF012C" w:rsidRDefault="006C693A" w:rsidP="00A23ED0">
            <w:pPr>
              <w:numPr>
                <w:ilvl w:val="0"/>
                <w:numId w:val="105"/>
              </w:numPr>
              <w:spacing w:line="360" w:lineRule="auto"/>
              <w:contextualSpacing/>
              <w:rPr>
                <w:rFonts w:ascii="Arial" w:hAnsi="Arial" w:cs="Arial"/>
                <w:b w:val="0"/>
                <w:bCs w:val="0"/>
                <w:lang w:val="de-DE"/>
              </w:rPr>
            </w:pPr>
            <w:r w:rsidRPr="00AF012C">
              <w:rPr>
                <w:rFonts w:ascii="Arial" w:hAnsi="Arial" w:cs="Arial"/>
                <w:lang w:val="de-DE"/>
              </w:rPr>
              <w:t>Povećan interes države za razvoj saobraćajne i komunalne infrastru</w:t>
            </w:r>
            <w:r w:rsidR="000075AB" w:rsidRPr="00AF012C">
              <w:rPr>
                <w:rFonts w:ascii="Arial" w:hAnsi="Arial" w:cs="Arial"/>
                <w:lang w:val="de-DE"/>
              </w:rPr>
              <w:t>k</w:t>
            </w:r>
            <w:r w:rsidRPr="00AF012C">
              <w:rPr>
                <w:rFonts w:ascii="Arial" w:hAnsi="Arial" w:cs="Arial"/>
                <w:lang w:val="de-DE"/>
              </w:rPr>
              <w:t>ture;</w:t>
            </w:r>
          </w:p>
          <w:p w14:paraId="77E94B2E" w14:textId="77777777" w:rsidR="006C693A" w:rsidRPr="00AF012C" w:rsidRDefault="006C693A" w:rsidP="00A23ED0">
            <w:pPr>
              <w:numPr>
                <w:ilvl w:val="0"/>
                <w:numId w:val="105"/>
              </w:numPr>
              <w:spacing w:line="360" w:lineRule="auto"/>
              <w:contextualSpacing/>
              <w:rPr>
                <w:rFonts w:ascii="Arial" w:hAnsi="Arial" w:cs="Arial"/>
                <w:b w:val="0"/>
                <w:bCs w:val="0"/>
                <w:lang w:val="de-DE"/>
              </w:rPr>
            </w:pPr>
            <w:r w:rsidRPr="00AF012C">
              <w:rPr>
                <w:rFonts w:ascii="Arial" w:hAnsi="Arial" w:cs="Arial"/>
                <w:lang w:val="de-DE"/>
              </w:rPr>
              <w:t xml:space="preserve">Afirmacija razvoja turističkog sektora kao strateškog pravca razvoja kod poslodavaca i države; </w:t>
            </w:r>
          </w:p>
          <w:p w14:paraId="4BF62111" w14:textId="77777777" w:rsidR="006C693A" w:rsidRPr="00AF012C" w:rsidRDefault="006C693A" w:rsidP="00A23ED0">
            <w:pPr>
              <w:numPr>
                <w:ilvl w:val="0"/>
                <w:numId w:val="105"/>
              </w:numPr>
              <w:spacing w:line="360" w:lineRule="auto"/>
              <w:contextualSpacing/>
              <w:rPr>
                <w:rFonts w:ascii="Arial" w:hAnsi="Arial" w:cs="Arial"/>
                <w:b w:val="0"/>
                <w:bCs w:val="0"/>
                <w:lang w:val="de-DE"/>
              </w:rPr>
            </w:pPr>
            <w:r w:rsidRPr="00AF012C">
              <w:rPr>
                <w:rFonts w:ascii="Arial" w:hAnsi="Arial" w:cs="Arial"/>
                <w:lang w:val="de-DE"/>
              </w:rPr>
              <w:t>Intenzivna komunikacija s potencijalnim investitorima u oblasti zaštite životne sredine;</w:t>
            </w:r>
          </w:p>
          <w:p w14:paraId="3C5F5EAB" w14:textId="7A6D308A" w:rsidR="006C693A" w:rsidRPr="00AF012C" w:rsidRDefault="006C693A" w:rsidP="00A23ED0">
            <w:pPr>
              <w:numPr>
                <w:ilvl w:val="0"/>
                <w:numId w:val="105"/>
              </w:numPr>
              <w:spacing w:line="360" w:lineRule="auto"/>
              <w:rPr>
                <w:rFonts w:ascii="Arial" w:hAnsi="Arial" w:cs="Arial"/>
                <w:b w:val="0"/>
                <w:bCs w:val="0"/>
                <w:lang w:val="de-DE"/>
              </w:rPr>
            </w:pPr>
            <w:r w:rsidRPr="00AF012C">
              <w:rPr>
                <w:rFonts w:ascii="Arial" w:hAnsi="Arial" w:cs="Arial"/>
                <w:lang w:val="de-DE"/>
              </w:rPr>
              <w:t>Postojanje</w:t>
            </w:r>
            <w:r w:rsidRPr="00AF012C">
              <w:rPr>
                <w:rFonts w:ascii="Arial" w:hAnsi="Arial" w:cs="Arial"/>
                <w:spacing w:val="1"/>
                <w:lang w:val="de-DE"/>
              </w:rPr>
              <w:t xml:space="preserve"> </w:t>
            </w:r>
            <w:r w:rsidRPr="00AF012C">
              <w:rPr>
                <w:rFonts w:ascii="Arial" w:hAnsi="Arial" w:cs="Arial"/>
                <w:lang w:val="de-DE"/>
              </w:rPr>
              <w:t>relevantnih institucija i organizacija koje su odgovorne za</w:t>
            </w:r>
            <w:r w:rsidRPr="00AF012C">
              <w:rPr>
                <w:rFonts w:ascii="Arial" w:hAnsi="Arial" w:cs="Arial"/>
                <w:spacing w:val="1"/>
                <w:lang w:val="de-DE"/>
              </w:rPr>
              <w:t xml:space="preserve"> </w:t>
            </w:r>
            <w:r w:rsidRPr="00AF012C">
              <w:rPr>
                <w:rFonts w:ascii="Arial" w:hAnsi="Arial" w:cs="Arial"/>
                <w:lang w:val="de-DE"/>
              </w:rPr>
              <w:t>upravljanje</w:t>
            </w:r>
            <w:r w:rsidRPr="00AF012C">
              <w:rPr>
                <w:rFonts w:ascii="Arial" w:hAnsi="Arial" w:cs="Arial"/>
                <w:spacing w:val="1"/>
                <w:lang w:val="de-DE"/>
              </w:rPr>
              <w:t xml:space="preserve"> </w:t>
            </w:r>
            <w:r w:rsidRPr="00AF012C">
              <w:rPr>
                <w:rFonts w:ascii="Arial" w:hAnsi="Arial" w:cs="Arial"/>
                <w:lang w:val="de-DE"/>
              </w:rPr>
              <w:t>medicinskim</w:t>
            </w:r>
            <w:r w:rsidRPr="00AF012C">
              <w:rPr>
                <w:rFonts w:ascii="Arial" w:hAnsi="Arial" w:cs="Arial"/>
                <w:spacing w:val="1"/>
                <w:lang w:val="de-DE"/>
              </w:rPr>
              <w:t xml:space="preserve"> </w:t>
            </w:r>
            <w:r w:rsidRPr="00AF012C">
              <w:rPr>
                <w:rFonts w:ascii="Arial" w:hAnsi="Arial" w:cs="Arial"/>
                <w:lang w:val="de-DE"/>
              </w:rPr>
              <w:t>otpadom je u fu</w:t>
            </w:r>
            <w:r w:rsidR="000075AB" w:rsidRPr="00AF012C">
              <w:rPr>
                <w:rFonts w:ascii="Arial" w:hAnsi="Arial" w:cs="Arial"/>
                <w:lang w:val="de-DE"/>
              </w:rPr>
              <w:t>nk</w:t>
            </w:r>
            <w:r w:rsidRPr="00AF012C">
              <w:rPr>
                <w:rFonts w:ascii="Arial" w:hAnsi="Arial" w:cs="Arial"/>
                <w:lang w:val="de-DE"/>
              </w:rPr>
              <w:t>c</w:t>
            </w:r>
            <w:r w:rsidR="000075AB" w:rsidRPr="00AF012C">
              <w:rPr>
                <w:rFonts w:ascii="Arial" w:hAnsi="Arial" w:cs="Arial"/>
                <w:lang w:val="de-DE"/>
              </w:rPr>
              <w:t>i</w:t>
            </w:r>
            <w:r w:rsidRPr="00AF012C">
              <w:rPr>
                <w:rFonts w:ascii="Arial" w:hAnsi="Arial" w:cs="Arial"/>
                <w:lang w:val="de-DE"/>
              </w:rPr>
              <w:t>ji izvod</w:t>
            </w:r>
            <w:r w:rsidR="000075AB" w:rsidRPr="00AF012C">
              <w:rPr>
                <w:rFonts w:ascii="Arial" w:hAnsi="Arial" w:cs="Arial"/>
                <w:lang w:val="de-DE"/>
              </w:rPr>
              <w:t>lj</w:t>
            </w:r>
            <w:r w:rsidRPr="00AF012C">
              <w:rPr>
                <w:rFonts w:ascii="Arial" w:hAnsi="Arial" w:cs="Arial"/>
                <w:lang w:val="de-DE"/>
              </w:rPr>
              <w:t>ivosti;</w:t>
            </w:r>
          </w:p>
          <w:p w14:paraId="31BFA9A1" w14:textId="1678EEED" w:rsidR="006C693A" w:rsidRPr="00AF012C" w:rsidRDefault="006C693A" w:rsidP="00A23ED0">
            <w:pPr>
              <w:numPr>
                <w:ilvl w:val="0"/>
                <w:numId w:val="105"/>
              </w:numPr>
              <w:spacing w:line="360" w:lineRule="auto"/>
              <w:rPr>
                <w:rFonts w:ascii="Arial" w:hAnsi="Arial" w:cs="Arial"/>
                <w:b w:val="0"/>
                <w:bCs w:val="0"/>
                <w:lang w:val="de-DE"/>
              </w:rPr>
            </w:pPr>
            <w:r w:rsidRPr="00AF012C">
              <w:rPr>
                <w:rFonts w:ascii="Arial" w:hAnsi="Arial" w:cs="Arial"/>
                <w:lang w:val="de-DE"/>
              </w:rPr>
              <w:t>Postojeći</w:t>
            </w:r>
            <w:r w:rsidRPr="00AF012C">
              <w:rPr>
                <w:rFonts w:ascii="Arial" w:hAnsi="Arial" w:cs="Arial"/>
                <w:spacing w:val="1"/>
                <w:lang w:val="de-DE"/>
              </w:rPr>
              <w:t xml:space="preserve"> </w:t>
            </w:r>
            <w:r w:rsidRPr="00AF012C">
              <w:rPr>
                <w:rFonts w:ascii="Arial" w:hAnsi="Arial" w:cs="Arial"/>
                <w:lang w:val="de-DE"/>
              </w:rPr>
              <w:t>infrastrukturni</w:t>
            </w:r>
            <w:r w:rsidRPr="00AF012C">
              <w:rPr>
                <w:rFonts w:ascii="Arial" w:hAnsi="Arial" w:cs="Arial"/>
                <w:spacing w:val="1"/>
                <w:lang w:val="de-DE"/>
              </w:rPr>
              <w:t xml:space="preserve"> </w:t>
            </w:r>
            <w:r w:rsidRPr="00AF012C">
              <w:rPr>
                <w:rFonts w:ascii="Arial" w:hAnsi="Arial" w:cs="Arial"/>
                <w:lang w:val="de-DE"/>
              </w:rPr>
              <w:t xml:space="preserve">kapaciteti za </w:t>
            </w:r>
            <w:r w:rsidR="004D1B2F">
              <w:rPr>
                <w:rFonts w:ascii="Arial" w:hAnsi="Arial" w:cs="Arial"/>
                <w:lang w:val="de-DE"/>
              </w:rPr>
              <w:t>upravljanje</w:t>
            </w:r>
            <w:r w:rsidR="004D1B2F" w:rsidRPr="00AF012C">
              <w:rPr>
                <w:rFonts w:ascii="Arial" w:hAnsi="Arial" w:cs="Arial"/>
                <w:lang w:val="de-DE"/>
              </w:rPr>
              <w:t xml:space="preserve"> </w:t>
            </w:r>
            <w:r w:rsidRPr="00AF012C">
              <w:rPr>
                <w:rFonts w:ascii="Arial" w:hAnsi="Arial" w:cs="Arial"/>
                <w:lang w:val="de-DE"/>
              </w:rPr>
              <w:t>otpadom,</w:t>
            </w:r>
            <w:r w:rsidRPr="00AF012C">
              <w:rPr>
                <w:rFonts w:ascii="Arial" w:hAnsi="Arial" w:cs="Arial"/>
                <w:spacing w:val="1"/>
                <w:lang w:val="de-DE"/>
              </w:rPr>
              <w:t xml:space="preserve">  mada nedovoljni,  </w:t>
            </w:r>
            <w:r w:rsidRPr="00AF012C">
              <w:rPr>
                <w:rFonts w:ascii="Arial" w:hAnsi="Arial" w:cs="Arial"/>
                <w:lang w:val="de-DE"/>
              </w:rPr>
              <w:t>mogu</w:t>
            </w:r>
            <w:r w:rsidRPr="00AF012C">
              <w:rPr>
                <w:rFonts w:ascii="Arial" w:hAnsi="Arial" w:cs="Arial"/>
                <w:spacing w:val="1"/>
                <w:lang w:val="de-DE"/>
              </w:rPr>
              <w:t xml:space="preserve"> </w:t>
            </w:r>
            <w:r w:rsidRPr="00AF012C">
              <w:rPr>
                <w:rFonts w:ascii="Arial" w:hAnsi="Arial" w:cs="Arial"/>
                <w:lang w:val="de-DE"/>
              </w:rPr>
              <w:t>se</w:t>
            </w:r>
            <w:r w:rsidRPr="00AF012C">
              <w:rPr>
                <w:rFonts w:ascii="Arial" w:hAnsi="Arial" w:cs="Arial"/>
                <w:spacing w:val="1"/>
                <w:lang w:val="de-DE"/>
              </w:rPr>
              <w:t xml:space="preserve"> efikasnije </w:t>
            </w:r>
            <w:r w:rsidRPr="00AF012C">
              <w:rPr>
                <w:rFonts w:ascii="Arial" w:hAnsi="Arial" w:cs="Arial"/>
                <w:lang w:val="de-DE"/>
              </w:rPr>
              <w:t>iskoristiti</w:t>
            </w:r>
            <w:r w:rsidRPr="00AF012C">
              <w:rPr>
                <w:rFonts w:ascii="Arial" w:hAnsi="Arial" w:cs="Arial"/>
                <w:spacing w:val="1"/>
                <w:lang w:val="de-DE"/>
              </w:rPr>
              <w:t xml:space="preserve"> </w:t>
            </w:r>
            <w:r w:rsidRPr="00AF012C">
              <w:rPr>
                <w:rFonts w:ascii="Arial" w:hAnsi="Arial" w:cs="Arial"/>
                <w:lang w:val="de-DE"/>
              </w:rPr>
              <w:t>za</w:t>
            </w:r>
            <w:r w:rsidRPr="00AF012C">
              <w:rPr>
                <w:rFonts w:ascii="Arial" w:hAnsi="Arial" w:cs="Arial"/>
                <w:spacing w:val="1"/>
                <w:lang w:val="de-DE"/>
              </w:rPr>
              <w:t xml:space="preserve"> </w:t>
            </w:r>
            <w:r w:rsidRPr="00AF012C">
              <w:rPr>
                <w:rFonts w:ascii="Arial" w:hAnsi="Arial" w:cs="Arial"/>
                <w:lang w:val="de-DE"/>
              </w:rPr>
              <w:t>adekvatno</w:t>
            </w:r>
            <w:r w:rsidRPr="00AF012C">
              <w:rPr>
                <w:rFonts w:ascii="Arial" w:hAnsi="Arial" w:cs="Arial"/>
                <w:spacing w:val="1"/>
                <w:lang w:val="de-DE"/>
              </w:rPr>
              <w:t xml:space="preserve"> </w:t>
            </w:r>
            <w:r w:rsidR="000075AB" w:rsidRPr="00AF012C">
              <w:rPr>
                <w:rFonts w:ascii="Arial" w:hAnsi="Arial" w:cs="Arial"/>
                <w:lang w:val="de-DE"/>
              </w:rPr>
              <w:t>odstranjivanje</w:t>
            </w:r>
            <w:r w:rsidRPr="00AF012C">
              <w:rPr>
                <w:rFonts w:ascii="Arial" w:hAnsi="Arial" w:cs="Arial"/>
                <w:lang w:val="de-DE"/>
              </w:rPr>
              <w:t xml:space="preserve"> otpada;</w:t>
            </w:r>
          </w:p>
          <w:p w14:paraId="20DB415C" w14:textId="53C1C7E6" w:rsidR="006C693A" w:rsidRPr="00AF012C" w:rsidRDefault="006C693A" w:rsidP="00A23ED0">
            <w:pPr>
              <w:numPr>
                <w:ilvl w:val="0"/>
                <w:numId w:val="105"/>
              </w:numPr>
              <w:spacing w:line="360" w:lineRule="auto"/>
              <w:rPr>
                <w:rFonts w:ascii="Arial" w:hAnsi="Arial" w:cs="Arial"/>
                <w:b w:val="0"/>
                <w:bCs w:val="0"/>
                <w:lang w:val="de-DE"/>
              </w:rPr>
            </w:pPr>
            <w:r w:rsidRPr="00AF012C">
              <w:rPr>
                <w:rFonts w:ascii="Arial" w:hAnsi="Arial" w:cs="Arial"/>
                <w:lang w:val="de-DE"/>
              </w:rPr>
              <w:t xml:space="preserve">Evidentno je </w:t>
            </w:r>
            <w:r w:rsidR="00D70DEB">
              <w:rPr>
                <w:rFonts w:ascii="Arial" w:hAnsi="Arial" w:cs="Arial"/>
                <w:lang w:val="de-DE"/>
              </w:rPr>
              <w:t>potrebna</w:t>
            </w:r>
            <w:r w:rsidR="007E519A">
              <w:rPr>
                <w:rFonts w:ascii="Arial" w:hAnsi="Arial" w:cs="Arial"/>
                <w:lang w:val="de-DE"/>
              </w:rPr>
              <w:t xml:space="preserve"> </w:t>
            </w:r>
            <w:r w:rsidRPr="00AF012C">
              <w:rPr>
                <w:rFonts w:ascii="Arial" w:hAnsi="Arial" w:cs="Arial"/>
                <w:lang w:val="de-DE"/>
              </w:rPr>
              <w:t>saradnj</w:t>
            </w:r>
            <w:r w:rsidR="00D70DEB">
              <w:rPr>
                <w:rFonts w:ascii="Arial" w:hAnsi="Arial" w:cs="Arial"/>
                <w:lang w:val="de-DE"/>
              </w:rPr>
              <w:t>a</w:t>
            </w:r>
            <w:r w:rsidRPr="00AF012C">
              <w:rPr>
                <w:rFonts w:ascii="Arial" w:hAnsi="Arial" w:cs="Arial"/>
                <w:spacing w:val="1"/>
                <w:lang w:val="de-DE"/>
              </w:rPr>
              <w:t xml:space="preserve"> </w:t>
            </w:r>
            <w:r w:rsidRPr="00AF012C">
              <w:rPr>
                <w:rFonts w:ascii="Arial" w:hAnsi="Arial" w:cs="Arial"/>
                <w:lang w:val="de-DE"/>
              </w:rPr>
              <w:t>sa međunarodnim organizacijama i stručnjacima kako bi</w:t>
            </w:r>
            <w:r w:rsidRPr="00AF012C">
              <w:rPr>
                <w:rFonts w:ascii="Arial" w:hAnsi="Arial" w:cs="Arial"/>
                <w:spacing w:val="1"/>
                <w:lang w:val="de-DE"/>
              </w:rPr>
              <w:t xml:space="preserve"> </w:t>
            </w:r>
            <w:r w:rsidRPr="00AF012C">
              <w:rPr>
                <w:rFonts w:ascii="Arial" w:hAnsi="Arial" w:cs="Arial"/>
                <w:lang w:val="de-DE"/>
              </w:rPr>
              <w:t>se unapr</w:t>
            </w:r>
            <w:r w:rsidR="00D70DEB">
              <w:rPr>
                <w:rFonts w:ascii="Arial" w:hAnsi="Arial" w:cs="Arial"/>
                <w:lang w:val="de-DE"/>
              </w:rPr>
              <w:t>ij</w:t>
            </w:r>
            <w:r w:rsidRPr="00AF012C">
              <w:rPr>
                <w:rFonts w:ascii="Arial" w:hAnsi="Arial" w:cs="Arial"/>
                <w:lang w:val="de-DE"/>
              </w:rPr>
              <w:t>edila praksa efikasnijeg upravljanja otpadom;</w:t>
            </w:r>
          </w:p>
          <w:p w14:paraId="16671EEC" w14:textId="2A65DDC3" w:rsidR="006C693A" w:rsidRPr="00AF012C" w:rsidRDefault="006C693A" w:rsidP="00A23ED0">
            <w:pPr>
              <w:numPr>
                <w:ilvl w:val="0"/>
                <w:numId w:val="105"/>
              </w:numPr>
              <w:spacing w:line="360" w:lineRule="auto"/>
              <w:rPr>
                <w:rFonts w:ascii="Arial" w:hAnsi="Arial" w:cs="Arial"/>
                <w:b w:val="0"/>
                <w:bCs w:val="0"/>
                <w:lang w:val="de-DE"/>
              </w:rPr>
            </w:pPr>
            <w:r w:rsidRPr="00AF012C">
              <w:rPr>
                <w:rFonts w:ascii="Arial" w:hAnsi="Arial" w:cs="Arial"/>
                <w:lang w:val="de-DE"/>
              </w:rPr>
              <w:t>Komunalne djelatnosti u  Crnoj Gori su, uglavnom u nadležnosti komunalnih preduzeća čiji je osnivač opština;</w:t>
            </w:r>
          </w:p>
          <w:p w14:paraId="0D19F591" w14:textId="75F31723" w:rsidR="006C693A" w:rsidRPr="00AF012C" w:rsidRDefault="006C693A" w:rsidP="00A23ED0">
            <w:pPr>
              <w:numPr>
                <w:ilvl w:val="0"/>
                <w:numId w:val="105"/>
              </w:numPr>
              <w:spacing w:line="360" w:lineRule="auto"/>
              <w:rPr>
                <w:rFonts w:ascii="Arial" w:hAnsi="Arial" w:cs="Arial"/>
                <w:b w:val="0"/>
                <w:bCs w:val="0"/>
                <w:lang w:val="de-DE"/>
              </w:rPr>
            </w:pPr>
            <w:r w:rsidRPr="00AF012C">
              <w:rPr>
                <w:rFonts w:ascii="Arial" w:hAnsi="Arial" w:cs="Arial"/>
                <w:lang w:val="de-DE"/>
              </w:rPr>
              <w:lastRenderedPageBreak/>
              <w:t xml:space="preserve">U manjem broju opština postoje ugovori sa strateškim partnerima o sakupljanju ili </w:t>
            </w:r>
            <w:r w:rsidR="00CD5BD4" w:rsidRPr="00AF012C">
              <w:rPr>
                <w:rFonts w:ascii="Arial" w:hAnsi="Arial" w:cs="Arial"/>
                <w:lang w:val="de-DE"/>
              </w:rPr>
              <w:t>obradi</w:t>
            </w:r>
            <w:r w:rsidRPr="00AF012C">
              <w:rPr>
                <w:rFonts w:ascii="Arial" w:hAnsi="Arial" w:cs="Arial"/>
                <w:lang w:val="de-DE"/>
              </w:rPr>
              <w:t xml:space="preserve"> otpada;</w:t>
            </w:r>
          </w:p>
          <w:p w14:paraId="37EE6723" w14:textId="20F95370" w:rsidR="006C693A" w:rsidRPr="00AF012C" w:rsidRDefault="006C693A" w:rsidP="00A23ED0">
            <w:pPr>
              <w:numPr>
                <w:ilvl w:val="0"/>
                <w:numId w:val="105"/>
              </w:numPr>
              <w:spacing w:line="360" w:lineRule="auto"/>
              <w:rPr>
                <w:rFonts w:ascii="Arial" w:hAnsi="Arial" w:cs="Arial"/>
                <w:b w:val="0"/>
                <w:bCs w:val="0"/>
                <w:lang w:val="de-DE"/>
              </w:rPr>
            </w:pPr>
            <w:r w:rsidRPr="00AF012C">
              <w:rPr>
                <w:rFonts w:ascii="Arial" w:hAnsi="Arial" w:cs="Arial"/>
                <w:lang w:val="de-DE"/>
              </w:rPr>
              <w:t>Postepeno pre</w:t>
            </w:r>
            <w:r w:rsidR="00CD5BD4" w:rsidRPr="00AF012C">
              <w:rPr>
                <w:rFonts w:ascii="Arial" w:hAnsi="Arial" w:cs="Arial"/>
                <w:lang w:val="de-DE"/>
              </w:rPr>
              <w:t>o</w:t>
            </w:r>
            <w:r w:rsidRPr="00AF012C">
              <w:rPr>
                <w:rFonts w:ascii="Arial" w:hAnsi="Arial" w:cs="Arial"/>
                <w:lang w:val="de-DE"/>
              </w:rPr>
              <w:t xml:space="preserve">vladava pozitivan odnos prema važnosti  koncepta i ispunjenja ciljeva održivog ekonomskog razvoja; </w:t>
            </w:r>
          </w:p>
          <w:p w14:paraId="4FF76AAD" w14:textId="77777777" w:rsidR="006C693A" w:rsidRPr="00AF012C" w:rsidRDefault="006C693A" w:rsidP="00FE289C">
            <w:pPr>
              <w:spacing w:line="360" w:lineRule="auto"/>
              <w:rPr>
                <w:rFonts w:ascii="Arial" w:hAnsi="Arial" w:cs="Arial"/>
                <w:b w:val="0"/>
                <w:bCs w:val="0"/>
                <w:lang w:val="de-DE"/>
              </w:rPr>
            </w:pPr>
          </w:p>
        </w:tc>
      </w:tr>
      <w:tr w:rsidR="006C693A" w:rsidRPr="002A6F4E" w14:paraId="13DBBA0F" w14:textId="77777777" w:rsidTr="00695794">
        <w:trPr>
          <w:jc w:val="center"/>
        </w:trPr>
        <w:tc>
          <w:tcPr>
            <w:cnfStyle w:val="001000000000" w:firstRow="0" w:lastRow="0" w:firstColumn="1" w:lastColumn="0" w:oddVBand="0" w:evenVBand="0" w:oddHBand="0" w:evenHBand="0" w:firstRowFirstColumn="0" w:firstRowLastColumn="0" w:lastRowFirstColumn="0" w:lastRowLastColumn="0"/>
            <w:tcW w:w="9350" w:type="dxa"/>
          </w:tcPr>
          <w:p w14:paraId="44EB59AA" w14:textId="77777777" w:rsidR="006C693A" w:rsidRPr="002A6F4E" w:rsidRDefault="006C693A" w:rsidP="00FE289C">
            <w:pPr>
              <w:spacing w:line="360" w:lineRule="auto"/>
              <w:rPr>
                <w:rFonts w:ascii="Arial" w:hAnsi="Arial" w:cs="Arial"/>
                <w:b w:val="0"/>
                <w:bCs w:val="0"/>
                <w:lang w:val="en-US"/>
              </w:rPr>
            </w:pPr>
            <w:r w:rsidRPr="002A6F4E">
              <w:rPr>
                <w:rFonts w:ascii="Arial" w:hAnsi="Arial" w:cs="Arial"/>
                <w:color w:val="C00000"/>
                <w:highlight w:val="darkGray"/>
                <w:lang w:val="en-US"/>
              </w:rPr>
              <w:lastRenderedPageBreak/>
              <w:t>S L A B O S T I</w:t>
            </w:r>
          </w:p>
        </w:tc>
      </w:tr>
      <w:tr w:rsidR="006C693A" w:rsidRPr="0014164F" w14:paraId="5A133FB8" w14:textId="77777777" w:rsidTr="00695794">
        <w:trPr>
          <w:jc w:val="center"/>
        </w:trPr>
        <w:tc>
          <w:tcPr>
            <w:cnfStyle w:val="001000000000" w:firstRow="0" w:lastRow="0" w:firstColumn="1" w:lastColumn="0" w:oddVBand="0" w:evenVBand="0" w:oddHBand="0" w:evenHBand="0" w:firstRowFirstColumn="0" w:firstRowLastColumn="0" w:lastRowFirstColumn="0" w:lastRowLastColumn="0"/>
            <w:tcW w:w="9350" w:type="dxa"/>
            <w:shd w:val="clear" w:color="auto" w:fill="D9E2F3"/>
          </w:tcPr>
          <w:p w14:paraId="6F7D891E"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spacing w:val="1"/>
                <w:lang w:val="bs-Latn"/>
              </w:rPr>
            </w:pPr>
            <w:r w:rsidRPr="002A6F4E">
              <w:rPr>
                <w:rFonts w:ascii="Arial" w:eastAsia="Times New Roman" w:hAnsi="Arial" w:cs="Arial"/>
                <w:lang w:val="bs-Latn"/>
              </w:rPr>
              <w:t>Nedovoljno razvijena svijest i razumijevanje o važnosti upravljanju otpadom</w:t>
            </w:r>
            <w:r w:rsidRPr="002A6F4E">
              <w:rPr>
                <w:rFonts w:ascii="Arial" w:eastAsia="Times New Roman" w:hAnsi="Arial" w:cs="Arial"/>
                <w:spacing w:val="1"/>
                <w:lang w:val="bs-Latn"/>
              </w:rPr>
              <w:t xml:space="preserve"> </w:t>
            </w:r>
            <w:r w:rsidRPr="002A6F4E">
              <w:rPr>
                <w:rFonts w:ascii="Arial" w:eastAsia="Times New Roman" w:hAnsi="Arial" w:cs="Arial"/>
                <w:lang w:val="bs-Latn"/>
              </w:rPr>
              <w:t>među</w:t>
            </w:r>
            <w:r w:rsidRPr="002A6F4E">
              <w:rPr>
                <w:rFonts w:ascii="Arial" w:eastAsia="Times New Roman" w:hAnsi="Arial" w:cs="Arial"/>
                <w:spacing w:val="1"/>
                <w:lang w:val="bs-Latn"/>
              </w:rPr>
              <w:t xml:space="preserve"> </w:t>
            </w:r>
            <w:r w:rsidRPr="002A6F4E">
              <w:rPr>
                <w:rFonts w:ascii="Arial" w:eastAsia="Times New Roman" w:hAnsi="Arial" w:cs="Arial"/>
                <w:lang w:val="bs-Latn"/>
              </w:rPr>
              <w:t>relevantnim</w:t>
            </w:r>
            <w:r w:rsidRPr="002A6F4E">
              <w:rPr>
                <w:rFonts w:ascii="Arial" w:eastAsia="Times New Roman" w:hAnsi="Arial" w:cs="Arial"/>
                <w:spacing w:val="1"/>
                <w:lang w:val="bs-Latn"/>
              </w:rPr>
              <w:t xml:space="preserve"> </w:t>
            </w:r>
            <w:r w:rsidRPr="002A6F4E">
              <w:rPr>
                <w:rFonts w:ascii="Arial" w:eastAsia="Times New Roman" w:hAnsi="Arial" w:cs="Arial"/>
                <w:lang w:val="bs-Latn"/>
              </w:rPr>
              <w:t>akterima,</w:t>
            </w:r>
            <w:r w:rsidRPr="002A6F4E">
              <w:rPr>
                <w:rFonts w:ascii="Arial" w:eastAsia="Times New Roman" w:hAnsi="Arial" w:cs="Arial"/>
                <w:spacing w:val="1"/>
                <w:lang w:val="bs-Latn"/>
              </w:rPr>
              <w:t xml:space="preserve"> </w:t>
            </w:r>
            <w:r w:rsidRPr="002A6F4E">
              <w:rPr>
                <w:rFonts w:ascii="Arial" w:eastAsia="Times New Roman" w:hAnsi="Arial" w:cs="Arial"/>
                <w:lang w:val="bs-Latn"/>
              </w:rPr>
              <w:t>uključujući</w:t>
            </w:r>
            <w:r w:rsidRPr="002A6F4E">
              <w:rPr>
                <w:rFonts w:ascii="Arial" w:eastAsia="Times New Roman" w:hAnsi="Arial" w:cs="Arial"/>
                <w:spacing w:val="1"/>
                <w:lang w:val="bs-Latn"/>
              </w:rPr>
              <w:t xml:space="preserve"> </w:t>
            </w:r>
            <w:r w:rsidRPr="002A6F4E">
              <w:rPr>
                <w:rFonts w:ascii="Arial" w:eastAsia="Times New Roman" w:hAnsi="Arial" w:cs="Arial"/>
                <w:lang w:val="bs-Latn"/>
              </w:rPr>
              <w:t>regulatorna</w:t>
            </w:r>
            <w:r w:rsidRPr="002A6F4E">
              <w:rPr>
                <w:rFonts w:ascii="Arial" w:eastAsia="Times New Roman" w:hAnsi="Arial" w:cs="Arial"/>
                <w:spacing w:val="1"/>
                <w:lang w:val="bs-Latn"/>
              </w:rPr>
              <w:t xml:space="preserve"> </w:t>
            </w:r>
            <w:r w:rsidRPr="002A6F4E">
              <w:rPr>
                <w:rFonts w:ascii="Arial" w:eastAsia="Times New Roman" w:hAnsi="Arial" w:cs="Arial"/>
                <w:lang w:val="bs-Latn"/>
              </w:rPr>
              <w:t>tijela</w:t>
            </w:r>
            <w:r w:rsidRPr="002A6F4E">
              <w:rPr>
                <w:rFonts w:ascii="Arial" w:eastAsia="Times New Roman" w:hAnsi="Arial" w:cs="Arial"/>
                <w:spacing w:val="1"/>
                <w:lang w:val="bs-Latn"/>
              </w:rPr>
              <w:t xml:space="preserve"> </w:t>
            </w:r>
            <w:r w:rsidRPr="002A6F4E">
              <w:rPr>
                <w:rFonts w:ascii="Arial" w:eastAsia="Times New Roman" w:hAnsi="Arial" w:cs="Arial"/>
                <w:lang w:val="bs-Latn"/>
              </w:rPr>
              <w:t>i</w:t>
            </w:r>
            <w:r w:rsidRPr="002A6F4E">
              <w:rPr>
                <w:rFonts w:ascii="Arial" w:eastAsia="Times New Roman" w:hAnsi="Arial" w:cs="Arial"/>
                <w:spacing w:val="1"/>
                <w:lang w:val="bs-Latn"/>
              </w:rPr>
              <w:t xml:space="preserve"> </w:t>
            </w:r>
            <w:r w:rsidRPr="002A6F4E">
              <w:rPr>
                <w:rFonts w:ascii="Arial" w:eastAsia="Times New Roman" w:hAnsi="Arial" w:cs="Arial"/>
                <w:lang w:val="bs-Latn"/>
              </w:rPr>
              <w:t>javnost;</w:t>
            </w:r>
            <w:r w:rsidRPr="002A6F4E">
              <w:rPr>
                <w:rFonts w:ascii="Arial" w:eastAsia="Times New Roman" w:hAnsi="Arial" w:cs="Arial"/>
                <w:spacing w:val="1"/>
                <w:lang w:val="bs-Latn"/>
              </w:rPr>
              <w:t xml:space="preserve"> </w:t>
            </w:r>
          </w:p>
          <w:p w14:paraId="3E024287" w14:textId="4C8DE9EF"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spacing w:val="1"/>
                <w:lang w:val="bs-Latn"/>
              </w:rPr>
            </w:pPr>
            <w:r w:rsidRPr="002A6F4E">
              <w:rPr>
                <w:rFonts w:ascii="Arial" w:eastAsia="Times New Roman" w:hAnsi="Arial" w:cs="Arial"/>
                <w:lang w:val="bs-Latn"/>
              </w:rPr>
              <w:t>Nizak  nivo</w:t>
            </w:r>
            <w:r w:rsidRPr="002A6F4E">
              <w:rPr>
                <w:rFonts w:ascii="Arial" w:eastAsia="Times New Roman" w:hAnsi="Arial" w:cs="Arial"/>
                <w:spacing w:val="1"/>
                <w:lang w:val="bs-Latn"/>
              </w:rPr>
              <w:t xml:space="preserve"> </w:t>
            </w:r>
            <w:r w:rsidRPr="002A6F4E">
              <w:rPr>
                <w:rFonts w:ascii="Arial" w:eastAsia="Times New Roman" w:hAnsi="Arial" w:cs="Arial"/>
                <w:lang w:val="bs-Latn"/>
              </w:rPr>
              <w:t>svijesti</w:t>
            </w:r>
            <w:r w:rsidRPr="002A6F4E">
              <w:rPr>
                <w:rFonts w:ascii="Arial" w:eastAsia="Times New Roman" w:hAnsi="Arial" w:cs="Arial"/>
                <w:spacing w:val="1"/>
                <w:lang w:val="bs-Latn"/>
              </w:rPr>
              <w:t xml:space="preserve"> </w:t>
            </w:r>
            <w:r w:rsidRPr="002A6F4E">
              <w:rPr>
                <w:rFonts w:ascii="Arial" w:eastAsia="Times New Roman" w:hAnsi="Arial" w:cs="Arial"/>
                <w:lang w:val="bs-Latn"/>
              </w:rPr>
              <w:t>i</w:t>
            </w:r>
            <w:r w:rsidRPr="002A6F4E">
              <w:rPr>
                <w:rFonts w:ascii="Arial" w:eastAsia="Times New Roman" w:hAnsi="Arial" w:cs="Arial"/>
                <w:spacing w:val="1"/>
                <w:lang w:val="bs-Latn"/>
              </w:rPr>
              <w:t xml:space="preserve"> </w:t>
            </w:r>
            <w:r w:rsidRPr="002A6F4E">
              <w:rPr>
                <w:rFonts w:ascii="Arial" w:eastAsia="Times New Roman" w:hAnsi="Arial" w:cs="Arial"/>
                <w:lang w:val="bs-Latn"/>
              </w:rPr>
              <w:t>nedostatak</w:t>
            </w:r>
            <w:r w:rsidRPr="002A6F4E">
              <w:rPr>
                <w:rFonts w:ascii="Arial" w:eastAsia="Times New Roman" w:hAnsi="Arial" w:cs="Arial"/>
                <w:spacing w:val="1"/>
                <w:lang w:val="bs-Latn"/>
              </w:rPr>
              <w:t xml:space="preserve"> </w:t>
            </w:r>
            <w:r w:rsidRPr="002A6F4E">
              <w:rPr>
                <w:rFonts w:ascii="Arial" w:eastAsia="Times New Roman" w:hAnsi="Arial" w:cs="Arial"/>
                <w:lang w:val="bs-Latn"/>
              </w:rPr>
              <w:t>edukacije o pravilnom postupanju otpadom</w:t>
            </w:r>
            <w:r w:rsidRPr="002A6F4E">
              <w:rPr>
                <w:rFonts w:ascii="Arial" w:eastAsia="Times New Roman" w:hAnsi="Arial" w:cs="Arial"/>
                <w:spacing w:val="1"/>
                <w:lang w:val="bs-Latn"/>
              </w:rPr>
              <w:t xml:space="preserve"> </w:t>
            </w:r>
            <w:r w:rsidRPr="002A6F4E">
              <w:rPr>
                <w:rFonts w:ascii="Arial" w:eastAsia="Times New Roman" w:hAnsi="Arial" w:cs="Arial"/>
                <w:lang w:val="bs-Latn"/>
              </w:rPr>
              <w:t>i</w:t>
            </w:r>
            <w:r w:rsidRPr="002A6F4E">
              <w:rPr>
                <w:rFonts w:ascii="Arial" w:eastAsia="Times New Roman" w:hAnsi="Arial" w:cs="Arial"/>
                <w:spacing w:val="1"/>
                <w:lang w:val="bs-Latn"/>
              </w:rPr>
              <w:t xml:space="preserve"> </w:t>
            </w:r>
            <w:r w:rsidRPr="002A6F4E">
              <w:rPr>
                <w:rFonts w:ascii="Arial" w:eastAsia="Times New Roman" w:hAnsi="Arial" w:cs="Arial"/>
                <w:lang w:val="bs-Latn"/>
              </w:rPr>
              <w:t>njegovim</w:t>
            </w:r>
            <w:r w:rsidRPr="002A6F4E">
              <w:rPr>
                <w:rFonts w:ascii="Arial" w:eastAsia="Times New Roman" w:hAnsi="Arial" w:cs="Arial"/>
                <w:spacing w:val="1"/>
                <w:lang w:val="bs-Latn"/>
              </w:rPr>
              <w:t xml:space="preserve"> </w:t>
            </w:r>
            <w:r w:rsidRPr="002A6F4E">
              <w:rPr>
                <w:rFonts w:ascii="Arial" w:eastAsia="Times New Roman" w:hAnsi="Arial" w:cs="Arial"/>
                <w:lang w:val="bs-Latn"/>
              </w:rPr>
              <w:t>potencijalnim</w:t>
            </w:r>
            <w:r w:rsidRPr="002A6F4E">
              <w:rPr>
                <w:rFonts w:ascii="Arial" w:eastAsia="Times New Roman" w:hAnsi="Arial" w:cs="Arial"/>
                <w:spacing w:val="1"/>
                <w:lang w:val="bs-Latn"/>
              </w:rPr>
              <w:t xml:space="preserve"> </w:t>
            </w:r>
            <w:r w:rsidRPr="002A6F4E">
              <w:rPr>
                <w:rFonts w:ascii="Arial" w:eastAsia="Times New Roman" w:hAnsi="Arial" w:cs="Arial"/>
                <w:lang w:val="bs-Latn"/>
              </w:rPr>
              <w:t>rizicima</w:t>
            </w:r>
            <w:r w:rsidRPr="002A6F4E">
              <w:rPr>
                <w:rFonts w:ascii="Arial" w:eastAsia="Times New Roman" w:hAnsi="Arial" w:cs="Arial"/>
                <w:spacing w:val="1"/>
                <w:lang w:val="bs-Latn"/>
              </w:rPr>
              <w:t xml:space="preserve"> </w:t>
            </w:r>
            <w:r w:rsidRPr="002A6F4E">
              <w:rPr>
                <w:rFonts w:ascii="Arial" w:eastAsia="Times New Roman" w:hAnsi="Arial" w:cs="Arial"/>
                <w:lang w:val="bs-Latn"/>
              </w:rPr>
              <w:t>i</w:t>
            </w:r>
            <w:r w:rsidRPr="002A6F4E">
              <w:rPr>
                <w:rFonts w:ascii="Arial" w:eastAsia="Times New Roman" w:hAnsi="Arial" w:cs="Arial"/>
                <w:spacing w:val="1"/>
                <w:lang w:val="bs-Latn"/>
              </w:rPr>
              <w:t xml:space="preserve"> </w:t>
            </w:r>
            <w:r w:rsidRPr="002A6F4E">
              <w:rPr>
                <w:rFonts w:ascii="Arial" w:eastAsia="Times New Roman" w:hAnsi="Arial" w:cs="Arial"/>
                <w:lang w:val="bs-Latn"/>
              </w:rPr>
              <w:t>nedostatak</w:t>
            </w:r>
            <w:r w:rsidRPr="002A6F4E">
              <w:rPr>
                <w:rFonts w:ascii="Arial" w:eastAsia="Times New Roman" w:hAnsi="Arial" w:cs="Arial"/>
                <w:spacing w:val="1"/>
                <w:lang w:val="bs-Latn"/>
              </w:rPr>
              <w:t xml:space="preserve"> </w:t>
            </w:r>
            <w:r w:rsidRPr="002A6F4E">
              <w:rPr>
                <w:rFonts w:ascii="Arial" w:eastAsia="Times New Roman" w:hAnsi="Arial" w:cs="Arial"/>
                <w:lang w:val="bs-Latn"/>
              </w:rPr>
              <w:t>aktivne</w:t>
            </w:r>
            <w:r w:rsidRPr="002A6F4E">
              <w:rPr>
                <w:rFonts w:ascii="Arial" w:eastAsia="Times New Roman" w:hAnsi="Arial" w:cs="Arial"/>
                <w:spacing w:val="1"/>
                <w:lang w:val="bs-Latn"/>
              </w:rPr>
              <w:t xml:space="preserve"> </w:t>
            </w:r>
            <w:r w:rsidRPr="002A6F4E">
              <w:rPr>
                <w:rFonts w:ascii="Arial" w:eastAsia="Times New Roman" w:hAnsi="Arial" w:cs="Arial"/>
                <w:lang w:val="bs-Latn"/>
              </w:rPr>
              <w:t>podrške</w:t>
            </w:r>
            <w:r w:rsidRPr="002A6F4E">
              <w:rPr>
                <w:rFonts w:ascii="Arial" w:eastAsia="Times New Roman" w:hAnsi="Arial" w:cs="Arial"/>
                <w:spacing w:val="1"/>
                <w:lang w:val="bs-Latn"/>
              </w:rPr>
              <w:t xml:space="preserve"> </w:t>
            </w:r>
            <w:r w:rsidRPr="002A6F4E">
              <w:rPr>
                <w:rFonts w:ascii="Arial" w:eastAsia="Times New Roman" w:hAnsi="Arial" w:cs="Arial"/>
                <w:lang w:val="bs-Latn"/>
              </w:rPr>
              <w:t>i</w:t>
            </w:r>
            <w:r w:rsidRPr="002A6F4E">
              <w:rPr>
                <w:rFonts w:ascii="Arial" w:eastAsia="Times New Roman" w:hAnsi="Arial" w:cs="Arial"/>
                <w:spacing w:val="51"/>
                <w:lang w:val="bs-Latn"/>
              </w:rPr>
              <w:t xml:space="preserve"> </w:t>
            </w:r>
            <w:r w:rsidRPr="002A6F4E">
              <w:rPr>
                <w:rFonts w:ascii="Arial" w:eastAsia="Times New Roman" w:hAnsi="Arial" w:cs="Arial"/>
                <w:lang w:val="bs-Latn"/>
              </w:rPr>
              <w:t>angažovanja</w:t>
            </w:r>
            <w:r w:rsidR="00AF41CA">
              <w:rPr>
                <w:rFonts w:ascii="Arial" w:eastAsia="Times New Roman" w:hAnsi="Arial" w:cs="Arial"/>
                <w:spacing w:val="-47"/>
                <w:lang w:val="bs-Latn"/>
              </w:rPr>
              <w:t xml:space="preserve">  </w:t>
            </w:r>
            <w:r w:rsidRPr="002A6F4E">
              <w:rPr>
                <w:rFonts w:ascii="Arial" w:eastAsia="Times New Roman" w:hAnsi="Arial" w:cs="Arial"/>
                <w:lang w:val="bs-Latn"/>
              </w:rPr>
              <w:t>javnosti</w:t>
            </w:r>
            <w:r w:rsidRPr="002A6F4E">
              <w:rPr>
                <w:rFonts w:ascii="Arial" w:eastAsia="Times New Roman" w:hAnsi="Arial" w:cs="Arial"/>
                <w:spacing w:val="1"/>
                <w:lang w:val="bs-Latn"/>
              </w:rPr>
              <w:t xml:space="preserve"> </w:t>
            </w:r>
            <w:r w:rsidRPr="002A6F4E">
              <w:rPr>
                <w:rFonts w:ascii="Arial" w:eastAsia="Times New Roman" w:hAnsi="Arial" w:cs="Arial"/>
                <w:lang w:val="bs-Latn"/>
              </w:rPr>
              <w:t>u</w:t>
            </w:r>
            <w:r w:rsidRPr="002A6F4E">
              <w:rPr>
                <w:rFonts w:ascii="Arial" w:eastAsia="Times New Roman" w:hAnsi="Arial" w:cs="Arial"/>
                <w:spacing w:val="1"/>
                <w:lang w:val="bs-Latn"/>
              </w:rPr>
              <w:t xml:space="preserve"> </w:t>
            </w:r>
            <w:r w:rsidRPr="002A6F4E">
              <w:rPr>
                <w:rFonts w:ascii="Arial" w:eastAsia="Times New Roman" w:hAnsi="Arial" w:cs="Arial"/>
                <w:lang w:val="bs-Latn"/>
              </w:rPr>
              <w:t>rješavanju</w:t>
            </w:r>
            <w:r w:rsidRPr="002A6F4E">
              <w:rPr>
                <w:rFonts w:ascii="Arial" w:eastAsia="Times New Roman" w:hAnsi="Arial" w:cs="Arial"/>
                <w:spacing w:val="1"/>
                <w:lang w:val="bs-Latn"/>
              </w:rPr>
              <w:t xml:space="preserve"> </w:t>
            </w:r>
            <w:r w:rsidRPr="002A6F4E">
              <w:rPr>
                <w:rFonts w:ascii="Arial" w:eastAsia="Times New Roman" w:hAnsi="Arial" w:cs="Arial"/>
                <w:lang w:val="bs-Latn"/>
              </w:rPr>
              <w:t>problema</w:t>
            </w:r>
            <w:r w:rsidRPr="002A6F4E">
              <w:rPr>
                <w:rFonts w:ascii="Arial" w:eastAsia="Times New Roman" w:hAnsi="Arial" w:cs="Arial"/>
                <w:spacing w:val="1"/>
                <w:lang w:val="bs-Latn"/>
              </w:rPr>
              <w:t xml:space="preserve"> </w:t>
            </w:r>
            <w:r w:rsidRPr="002A6F4E">
              <w:rPr>
                <w:rFonts w:ascii="Arial" w:eastAsia="Times New Roman" w:hAnsi="Arial" w:cs="Arial"/>
                <w:lang w:val="bs-Latn"/>
              </w:rPr>
              <w:t>otpada</w:t>
            </w:r>
            <w:r w:rsidRPr="002A6F4E">
              <w:rPr>
                <w:rFonts w:ascii="Arial" w:eastAsia="Times New Roman" w:hAnsi="Arial" w:cs="Arial"/>
                <w:spacing w:val="1"/>
                <w:lang w:val="bs-Latn"/>
              </w:rPr>
              <w:t xml:space="preserve"> </w:t>
            </w:r>
            <w:r w:rsidRPr="002A6F4E">
              <w:rPr>
                <w:rFonts w:ascii="Arial" w:eastAsia="Times New Roman" w:hAnsi="Arial" w:cs="Arial"/>
                <w:lang w:val="bs-Latn"/>
              </w:rPr>
              <w:t>značajno</w:t>
            </w:r>
            <w:r w:rsidRPr="002A6F4E">
              <w:rPr>
                <w:rFonts w:ascii="Arial" w:eastAsia="Times New Roman" w:hAnsi="Arial" w:cs="Arial"/>
                <w:spacing w:val="1"/>
                <w:lang w:val="bs-Latn"/>
              </w:rPr>
              <w:t xml:space="preserve"> </w:t>
            </w:r>
            <w:r w:rsidRPr="002A6F4E">
              <w:rPr>
                <w:rFonts w:ascii="Arial" w:eastAsia="Times New Roman" w:hAnsi="Arial" w:cs="Arial"/>
                <w:lang w:val="bs-Latn"/>
              </w:rPr>
              <w:t>utiču</w:t>
            </w:r>
            <w:r w:rsidRPr="002A6F4E">
              <w:rPr>
                <w:rFonts w:ascii="Arial" w:eastAsia="Times New Roman" w:hAnsi="Arial" w:cs="Arial"/>
                <w:spacing w:val="1"/>
                <w:lang w:val="bs-Latn"/>
              </w:rPr>
              <w:t xml:space="preserve"> </w:t>
            </w:r>
            <w:r w:rsidRPr="002A6F4E">
              <w:rPr>
                <w:rFonts w:ascii="Arial" w:eastAsia="Times New Roman" w:hAnsi="Arial" w:cs="Arial"/>
                <w:lang w:val="bs-Latn"/>
              </w:rPr>
              <w:t>na</w:t>
            </w:r>
            <w:r w:rsidRPr="002A6F4E">
              <w:rPr>
                <w:rFonts w:ascii="Arial" w:eastAsia="Times New Roman" w:hAnsi="Arial" w:cs="Arial"/>
                <w:spacing w:val="1"/>
                <w:lang w:val="bs-Latn"/>
              </w:rPr>
              <w:t xml:space="preserve"> </w:t>
            </w:r>
            <w:r w:rsidRPr="002A6F4E">
              <w:rPr>
                <w:rFonts w:ascii="Arial" w:eastAsia="Times New Roman" w:hAnsi="Arial" w:cs="Arial"/>
                <w:lang w:val="bs-Latn"/>
              </w:rPr>
              <w:t>loše</w:t>
            </w:r>
            <w:r w:rsidRPr="002A6F4E">
              <w:rPr>
                <w:rFonts w:ascii="Arial" w:eastAsia="Times New Roman" w:hAnsi="Arial" w:cs="Arial"/>
                <w:spacing w:val="1"/>
                <w:lang w:val="bs-Latn"/>
              </w:rPr>
              <w:t xml:space="preserve"> </w:t>
            </w:r>
            <w:r w:rsidRPr="002A6F4E">
              <w:rPr>
                <w:rFonts w:ascii="Arial" w:eastAsia="Times New Roman" w:hAnsi="Arial" w:cs="Arial"/>
                <w:lang w:val="bs-Latn"/>
              </w:rPr>
              <w:t>stanje</w:t>
            </w:r>
            <w:r w:rsidRPr="002A6F4E">
              <w:rPr>
                <w:rFonts w:ascii="Arial" w:eastAsia="Times New Roman" w:hAnsi="Arial" w:cs="Arial"/>
                <w:spacing w:val="1"/>
                <w:lang w:val="bs-Latn"/>
              </w:rPr>
              <w:t xml:space="preserve"> </w:t>
            </w:r>
            <w:r w:rsidRPr="002A6F4E">
              <w:rPr>
                <w:rFonts w:ascii="Arial" w:eastAsia="Times New Roman" w:hAnsi="Arial" w:cs="Arial"/>
                <w:lang w:val="bs-Latn"/>
              </w:rPr>
              <w:t>u</w:t>
            </w:r>
            <w:r w:rsidRPr="002A6F4E">
              <w:rPr>
                <w:rFonts w:ascii="Arial" w:eastAsia="Times New Roman" w:hAnsi="Arial" w:cs="Arial"/>
                <w:spacing w:val="1"/>
                <w:lang w:val="bs-Latn"/>
              </w:rPr>
              <w:t xml:space="preserve"> </w:t>
            </w:r>
            <w:r w:rsidRPr="002A6F4E">
              <w:rPr>
                <w:rFonts w:ascii="Arial" w:eastAsia="Times New Roman" w:hAnsi="Arial" w:cs="Arial"/>
                <w:lang w:val="bs-Latn"/>
              </w:rPr>
              <w:t>ovoj</w:t>
            </w:r>
            <w:r w:rsidRPr="002A6F4E">
              <w:rPr>
                <w:rFonts w:ascii="Arial" w:eastAsia="Times New Roman" w:hAnsi="Arial" w:cs="Arial"/>
                <w:spacing w:val="1"/>
                <w:lang w:val="bs-Latn"/>
              </w:rPr>
              <w:t xml:space="preserve"> </w:t>
            </w:r>
            <w:r w:rsidRPr="002A6F4E">
              <w:rPr>
                <w:rFonts w:ascii="Arial" w:eastAsia="Times New Roman" w:hAnsi="Arial" w:cs="Arial"/>
                <w:lang w:val="bs-Latn"/>
              </w:rPr>
              <w:t>oblasti;</w:t>
            </w:r>
          </w:p>
          <w:p w14:paraId="77BF0DFB"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spacing w:val="29"/>
                <w:lang w:val="bs-Latn"/>
              </w:rPr>
            </w:pPr>
            <w:r w:rsidRPr="002A6F4E">
              <w:rPr>
                <w:rFonts w:ascii="Arial" w:eastAsia="Times New Roman" w:hAnsi="Arial" w:cs="Arial"/>
                <w:lang w:val="bs-Latn"/>
              </w:rPr>
              <w:t>Nedostatak</w:t>
            </w:r>
            <w:r w:rsidRPr="002A6F4E">
              <w:rPr>
                <w:rFonts w:ascii="Arial" w:eastAsia="Times New Roman" w:hAnsi="Arial" w:cs="Arial"/>
                <w:spacing w:val="1"/>
                <w:lang w:val="bs-Latn"/>
              </w:rPr>
              <w:t xml:space="preserve"> </w:t>
            </w:r>
            <w:r w:rsidRPr="002A6F4E">
              <w:rPr>
                <w:rFonts w:ascii="Arial" w:eastAsia="Times New Roman" w:hAnsi="Arial" w:cs="Arial"/>
                <w:lang w:val="bs-Latn"/>
              </w:rPr>
              <w:t>finansijskih,</w:t>
            </w:r>
            <w:r w:rsidRPr="002A6F4E">
              <w:rPr>
                <w:rFonts w:ascii="Arial" w:eastAsia="Times New Roman" w:hAnsi="Arial" w:cs="Arial"/>
                <w:spacing w:val="1"/>
                <w:lang w:val="bs-Latn"/>
              </w:rPr>
              <w:t xml:space="preserve"> </w:t>
            </w:r>
            <w:r w:rsidRPr="002A6F4E">
              <w:rPr>
                <w:rFonts w:ascii="Arial" w:eastAsia="Times New Roman" w:hAnsi="Arial" w:cs="Arial"/>
                <w:lang w:val="bs-Latn"/>
              </w:rPr>
              <w:t>tehničkih</w:t>
            </w:r>
            <w:r w:rsidRPr="002A6F4E">
              <w:rPr>
                <w:rFonts w:ascii="Arial" w:eastAsia="Times New Roman" w:hAnsi="Arial" w:cs="Arial"/>
                <w:spacing w:val="1"/>
                <w:lang w:val="bs-Latn"/>
              </w:rPr>
              <w:t xml:space="preserve"> </w:t>
            </w:r>
            <w:r w:rsidRPr="002A6F4E">
              <w:rPr>
                <w:rFonts w:ascii="Arial" w:eastAsia="Times New Roman" w:hAnsi="Arial" w:cs="Arial"/>
                <w:lang w:val="bs-Latn"/>
              </w:rPr>
              <w:t>i</w:t>
            </w:r>
            <w:r w:rsidRPr="002A6F4E">
              <w:rPr>
                <w:rFonts w:ascii="Arial" w:eastAsia="Times New Roman" w:hAnsi="Arial" w:cs="Arial"/>
                <w:spacing w:val="1"/>
                <w:lang w:val="bs-Latn"/>
              </w:rPr>
              <w:t xml:space="preserve"> </w:t>
            </w:r>
            <w:r w:rsidRPr="002A6F4E">
              <w:rPr>
                <w:rFonts w:ascii="Arial" w:eastAsia="Times New Roman" w:hAnsi="Arial" w:cs="Arial"/>
                <w:lang w:val="bs-Latn"/>
              </w:rPr>
              <w:t>ljudskih</w:t>
            </w:r>
            <w:r w:rsidRPr="002A6F4E">
              <w:rPr>
                <w:rFonts w:ascii="Arial" w:eastAsia="Times New Roman" w:hAnsi="Arial" w:cs="Arial"/>
                <w:spacing w:val="1"/>
                <w:lang w:val="bs-Latn"/>
              </w:rPr>
              <w:t xml:space="preserve"> </w:t>
            </w:r>
            <w:r w:rsidRPr="002A6F4E">
              <w:rPr>
                <w:rFonts w:ascii="Arial" w:eastAsia="Times New Roman" w:hAnsi="Arial" w:cs="Arial"/>
                <w:lang w:val="bs-Latn"/>
              </w:rPr>
              <w:t>resursa</w:t>
            </w:r>
            <w:r w:rsidRPr="002A6F4E">
              <w:rPr>
                <w:rFonts w:ascii="Arial" w:eastAsia="Times New Roman" w:hAnsi="Arial" w:cs="Arial"/>
                <w:spacing w:val="1"/>
                <w:lang w:val="bs-Latn"/>
              </w:rPr>
              <w:t xml:space="preserve"> </w:t>
            </w:r>
            <w:r w:rsidRPr="002A6F4E">
              <w:rPr>
                <w:rFonts w:ascii="Arial" w:eastAsia="Times New Roman" w:hAnsi="Arial" w:cs="Arial"/>
                <w:lang w:val="bs-Latn"/>
              </w:rPr>
              <w:t>predstavlja</w:t>
            </w:r>
            <w:r w:rsidRPr="002A6F4E">
              <w:rPr>
                <w:rFonts w:ascii="Arial" w:eastAsia="Times New Roman" w:hAnsi="Arial" w:cs="Arial"/>
                <w:spacing w:val="1"/>
                <w:lang w:val="bs-Latn"/>
              </w:rPr>
              <w:t xml:space="preserve"> </w:t>
            </w:r>
            <w:r w:rsidRPr="002A6F4E">
              <w:rPr>
                <w:rFonts w:ascii="Arial" w:eastAsia="Times New Roman" w:hAnsi="Arial" w:cs="Arial"/>
                <w:lang w:val="bs-Latn"/>
              </w:rPr>
              <w:t>ograničenje</w:t>
            </w:r>
            <w:r w:rsidRPr="002A6F4E">
              <w:rPr>
                <w:rFonts w:ascii="Arial" w:eastAsia="Times New Roman" w:hAnsi="Arial" w:cs="Arial"/>
                <w:spacing w:val="1"/>
                <w:lang w:val="bs-Latn"/>
              </w:rPr>
              <w:t xml:space="preserve"> </w:t>
            </w:r>
            <w:r w:rsidRPr="002A6F4E">
              <w:rPr>
                <w:rFonts w:ascii="Arial" w:eastAsia="Times New Roman" w:hAnsi="Arial" w:cs="Arial"/>
                <w:lang w:val="bs-Latn"/>
              </w:rPr>
              <w:t>za</w:t>
            </w:r>
            <w:r w:rsidRPr="002A6F4E">
              <w:rPr>
                <w:rFonts w:ascii="Arial" w:eastAsia="Times New Roman" w:hAnsi="Arial" w:cs="Arial"/>
                <w:spacing w:val="1"/>
                <w:lang w:val="bs-Latn"/>
              </w:rPr>
              <w:t xml:space="preserve"> </w:t>
            </w:r>
            <w:r w:rsidRPr="002A6F4E">
              <w:rPr>
                <w:rFonts w:ascii="Arial" w:eastAsia="Times New Roman" w:hAnsi="Arial" w:cs="Arial"/>
                <w:lang w:val="bs-Latn"/>
              </w:rPr>
              <w:t>efikasno</w:t>
            </w:r>
            <w:r w:rsidRPr="002A6F4E">
              <w:rPr>
                <w:rFonts w:ascii="Arial" w:eastAsia="Times New Roman" w:hAnsi="Arial" w:cs="Arial"/>
                <w:spacing w:val="1"/>
                <w:lang w:val="bs-Latn"/>
              </w:rPr>
              <w:t xml:space="preserve"> </w:t>
            </w:r>
            <w:r w:rsidRPr="002A6F4E">
              <w:rPr>
                <w:rFonts w:ascii="Arial" w:eastAsia="Times New Roman" w:hAnsi="Arial" w:cs="Arial"/>
                <w:lang w:val="bs-Latn"/>
              </w:rPr>
              <w:t>upravljanje</w:t>
            </w:r>
            <w:r w:rsidRPr="002A6F4E">
              <w:rPr>
                <w:rFonts w:ascii="Arial" w:eastAsia="Times New Roman" w:hAnsi="Arial" w:cs="Arial"/>
                <w:spacing w:val="1"/>
                <w:lang w:val="bs-Latn"/>
              </w:rPr>
              <w:t xml:space="preserve"> </w:t>
            </w:r>
            <w:r w:rsidRPr="002A6F4E">
              <w:rPr>
                <w:rFonts w:ascii="Arial" w:eastAsia="Times New Roman" w:hAnsi="Arial" w:cs="Arial"/>
                <w:lang w:val="bs-Latn"/>
              </w:rPr>
              <w:t>medicinskim</w:t>
            </w:r>
            <w:r w:rsidRPr="002A6F4E">
              <w:rPr>
                <w:rFonts w:ascii="Arial" w:eastAsia="Times New Roman" w:hAnsi="Arial" w:cs="Arial"/>
                <w:spacing w:val="25"/>
                <w:lang w:val="bs-Latn"/>
              </w:rPr>
              <w:t xml:space="preserve"> </w:t>
            </w:r>
            <w:r w:rsidRPr="002A6F4E">
              <w:rPr>
                <w:rFonts w:ascii="Arial" w:eastAsia="Times New Roman" w:hAnsi="Arial" w:cs="Arial"/>
                <w:lang w:val="bs-Latn"/>
              </w:rPr>
              <w:t>otpadom;</w:t>
            </w:r>
          </w:p>
          <w:p w14:paraId="77884752"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NewRomanPSMT" w:hAnsi="Arial" w:cs="Arial"/>
                <w:lang w:val="bs-Latn"/>
              </w:rPr>
              <w:t>Nemogućnost da proces upravljanja otpadom bude na zdravim finansijskim osnovama, kako ne bi dovelo do gomilanja deficita javnog sektora;</w:t>
            </w:r>
          </w:p>
          <w:p w14:paraId="42251FC8"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NewRomanPSMT" w:hAnsi="Arial" w:cs="Arial"/>
                <w:lang w:val="bs-Latn"/>
              </w:rPr>
              <w:t xml:space="preserve">Nije uspostavljen set ekonomskih instrumenata u funkciji proširene odgovornosti proizvođača kako bi se podržao princip da „zagađivač plaća“; </w:t>
            </w:r>
          </w:p>
          <w:p w14:paraId="25411366"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Ne funkcioniše tržište sekundarnih sirovina tako da značajan dio otpada bude besprovatno uništen;</w:t>
            </w:r>
          </w:p>
          <w:p w14:paraId="4C91FE6E" w14:textId="30DEC4CD"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Javna sv</w:t>
            </w:r>
            <w:r w:rsidR="0012238F">
              <w:rPr>
                <w:rFonts w:ascii="Arial" w:eastAsia="Times New Roman" w:hAnsi="Arial" w:cs="Arial"/>
                <w:lang w:val="bs-Latn"/>
              </w:rPr>
              <w:t>ij</w:t>
            </w:r>
            <w:r w:rsidRPr="002A6F4E">
              <w:rPr>
                <w:rFonts w:ascii="Arial" w:eastAsia="Times New Roman" w:hAnsi="Arial" w:cs="Arial"/>
                <w:lang w:val="bs-Latn"/>
              </w:rPr>
              <w:t>est o postupanju sa otpadom nije dovoljno razvijena;</w:t>
            </w:r>
          </w:p>
          <w:p w14:paraId="17DA9BA7" w14:textId="7B544D43" w:rsidR="006C693A" w:rsidRPr="002A6F4E" w:rsidRDefault="006C693A" w:rsidP="00A23ED0">
            <w:pPr>
              <w:numPr>
                <w:ilvl w:val="0"/>
                <w:numId w:val="106"/>
              </w:numPr>
              <w:spacing w:line="360" w:lineRule="auto"/>
              <w:contextualSpacing/>
              <w:rPr>
                <w:rFonts w:ascii="Arial" w:hAnsi="Arial" w:cs="Arial"/>
                <w:b w:val="0"/>
                <w:bCs w:val="0"/>
                <w:lang w:val="sr-Latn-RS"/>
              </w:rPr>
            </w:pPr>
            <w:r w:rsidRPr="002A6F4E">
              <w:rPr>
                <w:rFonts w:ascii="Arial" w:hAnsi="Arial" w:cs="Arial"/>
                <w:lang w:val="sr-Latn-RS"/>
              </w:rPr>
              <w:t>U svim slojevima našeg društva je prisutno nesavjesno odbacivanje različitih vrsta otpada. Ovo se posebno odnosi na građevinski otpad i otpad o rušenja za koji je Zakonom o upravljanju otpadom, propisana obaveza JLS da odrede lokacije za privremeno skladište ove vrste otpada;</w:t>
            </w:r>
          </w:p>
          <w:p w14:paraId="38921967" w14:textId="77777777" w:rsidR="006C693A" w:rsidRPr="002A6F4E" w:rsidRDefault="006C693A" w:rsidP="00A23ED0">
            <w:pPr>
              <w:numPr>
                <w:ilvl w:val="0"/>
                <w:numId w:val="106"/>
              </w:numPr>
              <w:spacing w:line="360" w:lineRule="auto"/>
              <w:contextualSpacing/>
              <w:rPr>
                <w:rFonts w:ascii="Arial" w:hAnsi="Arial" w:cs="Arial"/>
                <w:b w:val="0"/>
                <w:bCs w:val="0"/>
                <w:lang w:val="sr-Latn-RS"/>
              </w:rPr>
            </w:pPr>
            <w:r w:rsidRPr="002A6F4E">
              <w:rPr>
                <w:rFonts w:ascii="Arial" w:hAnsi="Arial" w:cs="Arial"/>
                <w:lang w:val="sr-Latn-RS"/>
              </w:rPr>
              <w:t>Nedovoljna saradnja između javnog i privatnog sektora;</w:t>
            </w:r>
          </w:p>
          <w:p w14:paraId="57E5660C"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Potreba</w:t>
            </w:r>
            <w:r w:rsidRPr="002A6F4E">
              <w:rPr>
                <w:rFonts w:ascii="Arial" w:eastAsia="Times New Roman" w:hAnsi="Arial" w:cs="Arial"/>
                <w:spacing w:val="28"/>
                <w:lang w:val="bs-Latn"/>
              </w:rPr>
              <w:t xml:space="preserve"> </w:t>
            </w:r>
            <w:r w:rsidRPr="002A6F4E">
              <w:rPr>
                <w:rFonts w:ascii="Arial" w:eastAsia="Times New Roman" w:hAnsi="Arial" w:cs="Arial"/>
                <w:lang w:val="bs-Latn"/>
              </w:rPr>
              <w:t>za</w:t>
            </w:r>
            <w:r w:rsidRPr="002A6F4E">
              <w:rPr>
                <w:rFonts w:ascii="Arial" w:eastAsia="Times New Roman" w:hAnsi="Arial" w:cs="Arial"/>
                <w:spacing w:val="26"/>
                <w:lang w:val="bs-Latn"/>
              </w:rPr>
              <w:t xml:space="preserve"> </w:t>
            </w:r>
            <w:r w:rsidRPr="002A6F4E">
              <w:rPr>
                <w:rFonts w:ascii="Arial" w:eastAsia="Times New Roman" w:hAnsi="Arial" w:cs="Arial"/>
                <w:lang w:val="bs-Latn"/>
              </w:rPr>
              <w:t>boljom</w:t>
            </w:r>
            <w:r w:rsidRPr="002A6F4E">
              <w:rPr>
                <w:rFonts w:ascii="Arial" w:eastAsia="Times New Roman" w:hAnsi="Arial" w:cs="Arial"/>
                <w:spacing w:val="27"/>
                <w:lang w:val="bs-Latn"/>
              </w:rPr>
              <w:t xml:space="preserve"> </w:t>
            </w:r>
            <w:r w:rsidRPr="002A6F4E">
              <w:rPr>
                <w:rFonts w:ascii="Arial" w:eastAsia="Times New Roman" w:hAnsi="Arial" w:cs="Arial"/>
                <w:lang w:val="bs-Latn"/>
              </w:rPr>
              <w:t>usaglašenošću kako bi se prevazišao nedostatak</w:t>
            </w:r>
            <w:r w:rsidRPr="002A6F4E">
              <w:rPr>
                <w:rFonts w:ascii="Arial" w:eastAsia="Times New Roman" w:hAnsi="Arial" w:cs="Arial"/>
                <w:spacing w:val="1"/>
                <w:lang w:val="bs-Latn"/>
              </w:rPr>
              <w:t xml:space="preserve"> </w:t>
            </w:r>
            <w:r w:rsidRPr="002A6F4E">
              <w:rPr>
                <w:rFonts w:ascii="Arial" w:eastAsia="Times New Roman" w:hAnsi="Arial" w:cs="Arial"/>
                <w:lang w:val="bs-Latn"/>
              </w:rPr>
              <w:t>koordinacije između relevantnih institucija može dovesti</w:t>
            </w:r>
            <w:r w:rsidRPr="002A6F4E">
              <w:rPr>
                <w:rFonts w:ascii="Arial" w:eastAsia="Times New Roman" w:hAnsi="Arial" w:cs="Arial"/>
                <w:spacing w:val="1"/>
                <w:lang w:val="bs-Latn"/>
              </w:rPr>
              <w:t xml:space="preserve"> </w:t>
            </w:r>
            <w:r w:rsidRPr="002A6F4E">
              <w:rPr>
                <w:rFonts w:ascii="Arial" w:eastAsia="Times New Roman" w:hAnsi="Arial" w:cs="Arial"/>
                <w:lang w:val="bs-Latn"/>
              </w:rPr>
              <w:t>do</w:t>
            </w:r>
            <w:r w:rsidRPr="002A6F4E">
              <w:rPr>
                <w:rFonts w:ascii="Arial" w:eastAsia="Times New Roman" w:hAnsi="Arial" w:cs="Arial"/>
                <w:spacing w:val="1"/>
                <w:lang w:val="bs-Latn"/>
              </w:rPr>
              <w:t xml:space="preserve"> </w:t>
            </w:r>
            <w:r w:rsidRPr="002A6F4E">
              <w:rPr>
                <w:rFonts w:ascii="Arial" w:eastAsia="Times New Roman" w:hAnsi="Arial" w:cs="Arial"/>
                <w:lang w:val="bs-Latn"/>
              </w:rPr>
              <w:t>nedoslednosti</w:t>
            </w:r>
            <w:r w:rsidRPr="002A6F4E">
              <w:rPr>
                <w:rFonts w:ascii="Arial" w:eastAsia="Times New Roman" w:hAnsi="Arial" w:cs="Arial"/>
                <w:spacing w:val="1"/>
                <w:lang w:val="bs-Latn"/>
              </w:rPr>
              <w:t xml:space="preserve"> </w:t>
            </w:r>
            <w:r w:rsidRPr="002A6F4E">
              <w:rPr>
                <w:rFonts w:ascii="Arial" w:eastAsia="Times New Roman" w:hAnsi="Arial" w:cs="Arial"/>
                <w:lang w:val="bs-Latn"/>
              </w:rPr>
              <w:t>u</w:t>
            </w:r>
            <w:r w:rsidRPr="002A6F4E">
              <w:rPr>
                <w:rFonts w:ascii="Arial" w:eastAsia="Times New Roman" w:hAnsi="Arial" w:cs="Arial"/>
                <w:spacing w:val="1"/>
                <w:lang w:val="bs-Latn"/>
              </w:rPr>
              <w:t xml:space="preserve"> </w:t>
            </w:r>
            <w:r w:rsidRPr="002A6F4E">
              <w:rPr>
                <w:rFonts w:ascii="Arial" w:eastAsia="Times New Roman" w:hAnsi="Arial" w:cs="Arial"/>
                <w:lang w:val="bs-Latn"/>
              </w:rPr>
              <w:t>praksi</w:t>
            </w:r>
            <w:r w:rsidRPr="002A6F4E">
              <w:rPr>
                <w:rFonts w:ascii="Arial" w:eastAsia="Times New Roman" w:hAnsi="Arial" w:cs="Arial"/>
                <w:spacing w:val="1"/>
                <w:lang w:val="bs-Latn"/>
              </w:rPr>
              <w:t xml:space="preserve"> </w:t>
            </w:r>
            <w:r w:rsidRPr="002A6F4E">
              <w:rPr>
                <w:rFonts w:ascii="Arial" w:eastAsia="Times New Roman" w:hAnsi="Arial" w:cs="Arial"/>
                <w:lang w:val="bs-Latn"/>
              </w:rPr>
              <w:t>upravljanja</w:t>
            </w:r>
            <w:r w:rsidRPr="002A6F4E">
              <w:rPr>
                <w:rFonts w:ascii="Arial" w:eastAsia="Times New Roman" w:hAnsi="Arial" w:cs="Arial"/>
                <w:spacing w:val="1"/>
                <w:lang w:val="bs-Latn"/>
              </w:rPr>
              <w:t xml:space="preserve"> </w:t>
            </w:r>
            <w:r w:rsidRPr="002A6F4E">
              <w:rPr>
                <w:rFonts w:ascii="Arial" w:eastAsia="Times New Roman" w:hAnsi="Arial" w:cs="Arial"/>
                <w:lang w:val="bs-Latn"/>
              </w:rPr>
              <w:t>otpadom;</w:t>
            </w:r>
          </w:p>
          <w:p w14:paraId="1688CE34" w14:textId="4306C94D"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Nepovoljna putna infrastruktura, nead</w:t>
            </w:r>
            <w:r w:rsidR="00AF41CA">
              <w:rPr>
                <w:rFonts w:ascii="Arial" w:eastAsia="Times New Roman" w:hAnsi="Arial" w:cs="Arial"/>
                <w:lang w:val="bs-Latn"/>
              </w:rPr>
              <w:t>e</w:t>
            </w:r>
            <w:r w:rsidRPr="002A6F4E">
              <w:rPr>
                <w:rFonts w:ascii="Arial" w:eastAsia="Times New Roman" w:hAnsi="Arial" w:cs="Arial"/>
                <w:lang w:val="bs-Latn"/>
              </w:rPr>
              <w:t xml:space="preserve">kvatna urbanizacija i nizak nivo uređenosti urbanih površina; </w:t>
            </w:r>
          </w:p>
          <w:p w14:paraId="195B4D53"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Lokalne samouprave nijesu adekvatno organizovale upravljanje neopasnim građevinskim otpadom u skladu sa Zakonom o upravljanju otpadom;</w:t>
            </w:r>
          </w:p>
          <w:p w14:paraId="5EB237FA"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Tehnička opremljenost i kapaciteti JLS i komunalnih preduzeća su limitirajući faktor za uspješnu realizaciju lokalnih planova;</w:t>
            </w:r>
          </w:p>
          <w:p w14:paraId="761A4EF4"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U dijelu zakonske obaveze organizovanja odvojenog sakupljanja otpada nijesu ostvareni zadovoljavajući rezultati;</w:t>
            </w:r>
          </w:p>
          <w:p w14:paraId="6A53DE60" w14:textId="6C250291"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 xml:space="preserve">Evidentan je veliki broj neuređenih odlagališta, obično na vidnim mjestima, pored </w:t>
            </w:r>
            <w:r w:rsidRPr="002A6F4E">
              <w:rPr>
                <w:rFonts w:ascii="Arial" w:eastAsia="Times New Roman" w:hAnsi="Arial" w:cs="Arial"/>
                <w:lang w:val="bs-Latn"/>
              </w:rPr>
              <w:lastRenderedPageBreak/>
              <w:t xml:space="preserve">puteva, na obalama rijeka i sl.; </w:t>
            </w:r>
          </w:p>
          <w:p w14:paraId="2E86ECE8"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Uklanjanje i saniranje neuređenih odlagališta je u nadležnosti lokalnih samouprava, koje u najvećoj mjeri nemaju dovoljno kapaciteta u infrastrukturnom i kadrovskom smislu;</w:t>
            </w:r>
          </w:p>
          <w:p w14:paraId="514E3CC0" w14:textId="7EEB8654"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sr-Latn-ME"/>
              </w:rPr>
              <w:t>Na deponijama se odlažu velike količine otpada koje bi trebalo odvojeno sakuplj</w:t>
            </w:r>
            <w:r w:rsidR="00B40DEF">
              <w:rPr>
                <w:rFonts w:ascii="Arial" w:eastAsia="Times New Roman" w:hAnsi="Arial" w:cs="Arial"/>
                <w:lang w:val="sr-Latn-ME"/>
              </w:rPr>
              <w:t>ati</w:t>
            </w:r>
            <w:r w:rsidRPr="002A6F4E">
              <w:rPr>
                <w:rFonts w:ascii="Arial" w:eastAsia="Times New Roman" w:hAnsi="Arial" w:cs="Arial"/>
                <w:lang w:val="sr-Latn-ME"/>
              </w:rPr>
              <w:t xml:space="preserve"> za recikl</w:t>
            </w:r>
            <w:r w:rsidR="00D70DEB">
              <w:rPr>
                <w:rFonts w:ascii="Arial" w:eastAsia="Times New Roman" w:hAnsi="Arial" w:cs="Arial"/>
                <w:lang w:val="sr-Latn-ME"/>
              </w:rPr>
              <w:t>iranje</w:t>
            </w:r>
            <w:r w:rsidRPr="002A6F4E">
              <w:rPr>
                <w:rFonts w:ascii="Arial" w:eastAsia="Times New Roman" w:hAnsi="Arial" w:cs="Arial"/>
                <w:lang w:val="sr-Latn-ME"/>
              </w:rPr>
              <w:t>, što značajno smanjuje vijek njihovog trajanja;</w:t>
            </w:r>
          </w:p>
          <w:p w14:paraId="417D7149"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Sakupljanje je bolje organizovano u urbanim oblastima, dok su ruralne oblasti slabije pokrivene;</w:t>
            </w:r>
          </w:p>
          <w:p w14:paraId="046FC7B4"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 xml:space="preserve">U ruralnim područjima je izražena neodgovarajuća infrastrukturna opremljenosti, dostupnosti i organizacije; </w:t>
            </w:r>
          </w:p>
          <w:p w14:paraId="4F4CF11F" w14:textId="2C8D3AAE"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Infrastrukturni sistem za recikl</w:t>
            </w:r>
            <w:r w:rsidR="00D70DEB">
              <w:rPr>
                <w:rFonts w:ascii="Arial" w:eastAsia="Times New Roman" w:hAnsi="Arial" w:cs="Arial"/>
                <w:lang w:val="bs-Latn"/>
              </w:rPr>
              <w:t>iranje</w:t>
            </w:r>
            <w:r w:rsidRPr="002A6F4E">
              <w:rPr>
                <w:rFonts w:ascii="Arial" w:eastAsia="Times New Roman" w:hAnsi="Arial" w:cs="Arial"/>
                <w:lang w:val="bs-Latn"/>
              </w:rPr>
              <w:t xml:space="preserve"> nije uravnotežen da bi ukupna efikasnost bila maksimalna; </w:t>
            </w:r>
            <w:r w:rsidR="00B40DEF">
              <w:rPr>
                <w:rFonts w:ascii="Arial" w:eastAsia="Times New Roman" w:hAnsi="Arial" w:cs="Arial"/>
                <w:lang w:val="bs-Latn"/>
              </w:rPr>
              <w:t>infrastruktura</w:t>
            </w:r>
            <w:r w:rsidRPr="002A6F4E">
              <w:rPr>
                <w:rFonts w:ascii="Arial" w:eastAsia="Times New Roman" w:hAnsi="Arial" w:cs="Arial"/>
                <w:lang w:val="bs-Latn"/>
              </w:rPr>
              <w:t xml:space="preserve"> za odvojeno sakupljanje otpada nije dovoljno razvijena u odnosu na postojeće kapacitete za recikliranje; </w:t>
            </w:r>
          </w:p>
          <w:p w14:paraId="55CB1CF5" w14:textId="6FC40110"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Postoji svega nekoliko registrovanih postrojenja za recikliranje PET i druge vrste plastike, metala, papira</w:t>
            </w:r>
            <w:r w:rsidR="00296041">
              <w:rPr>
                <w:rFonts w:ascii="Arial" w:eastAsia="Times New Roman" w:hAnsi="Arial" w:cs="Arial"/>
                <w:lang w:val="bs-Latn"/>
              </w:rPr>
              <w:t>,</w:t>
            </w:r>
            <w:r w:rsidRPr="002A6F4E">
              <w:rPr>
                <w:rFonts w:ascii="Arial" w:eastAsia="Times New Roman" w:hAnsi="Arial" w:cs="Arial"/>
                <w:lang w:val="bs-Latn"/>
              </w:rPr>
              <w:t xml:space="preserve"> itd.; </w:t>
            </w:r>
          </w:p>
          <w:p w14:paraId="6C22D604" w14:textId="23C7FDAC"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Iako komunalni otpad sadrži visok stepen biorazgradivog udela, ne postoji mreža postrojenja za biološk</w:t>
            </w:r>
            <w:r w:rsidR="00375B0E">
              <w:rPr>
                <w:rFonts w:ascii="Arial" w:eastAsia="Times New Roman" w:hAnsi="Arial" w:cs="Arial"/>
                <w:lang w:val="bs-Latn"/>
              </w:rPr>
              <w:t xml:space="preserve">u obradu </w:t>
            </w:r>
            <w:r w:rsidRPr="002A6F4E">
              <w:rPr>
                <w:rFonts w:ascii="Arial" w:eastAsia="Times New Roman" w:hAnsi="Arial" w:cs="Arial"/>
                <w:lang w:val="bs-Latn"/>
              </w:rPr>
              <w:t>komunalnog otpada, osim u regionalnom centru za upravljanje otpadom tako da C</w:t>
            </w:r>
            <w:r w:rsidR="00375B0E">
              <w:rPr>
                <w:rFonts w:ascii="Arial" w:eastAsia="Times New Roman" w:hAnsi="Arial" w:cs="Arial"/>
                <w:lang w:val="bs-Latn"/>
              </w:rPr>
              <w:t xml:space="preserve">rna </w:t>
            </w:r>
            <w:r w:rsidRPr="002A6F4E">
              <w:rPr>
                <w:rFonts w:ascii="Arial" w:eastAsia="Times New Roman" w:hAnsi="Arial" w:cs="Arial"/>
                <w:lang w:val="bs-Latn"/>
              </w:rPr>
              <w:t>G</w:t>
            </w:r>
            <w:r w:rsidR="00375B0E">
              <w:rPr>
                <w:rFonts w:ascii="Arial" w:eastAsia="Times New Roman" w:hAnsi="Arial" w:cs="Arial"/>
                <w:lang w:val="bs-Latn"/>
              </w:rPr>
              <w:t>ora</w:t>
            </w:r>
            <w:r w:rsidRPr="002A6F4E">
              <w:rPr>
                <w:rFonts w:ascii="Arial" w:eastAsia="Times New Roman" w:hAnsi="Arial" w:cs="Arial"/>
                <w:lang w:val="bs-Latn"/>
              </w:rPr>
              <w:t xml:space="preserve"> nema potrebnu infrastrukturu za smanjenje odlaganja biorazgradivog otpada na deponije;</w:t>
            </w:r>
          </w:p>
          <w:p w14:paraId="0F7950B1" w14:textId="4110E9EC" w:rsidR="006C693A" w:rsidRPr="002A6F4E" w:rsidRDefault="00FF1345"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Pr>
                <w:rFonts w:ascii="Arial" w:eastAsia="Times New Roman" w:hAnsi="Arial" w:cs="Arial"/>
                <w:lang w:val="sr-Latn-ME"/>
              </w:rPr>
              <w:t>P</w:t>
            </w:r>
            <w:r w:rsidR="006C693A" w:rsidRPr="002A6F4E">
              <w:rPr>
                <w:rFonts w:ascii="Arial" w:eastAsia="Times New Roman" w:hAnsi="Arial" w:cs="Arial"/>
                <w:lang w:val="sr-Latn-ME"/>
              </w:rPr>
              <w:t>roces odvojenog sakupljanja otpada se veoma slabo realizuje, a kao uzroci mogu se naznačiti nerazvijena infrastruktura u sektoru upravljanja otpadom, neefikasan inspekcijski nadzor i nedovoljan stepen ekološke svijesti našeg stanovništva;</w:t>
            </w:r>
          </w:p>
          <w:p w14:paraId="3C1945E1" w14:textId="40EACBDD" w:rsidR="006C693A" w:rsidRPr="002A6F4E" w:rsidRDefault="00951F47"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Pr>
                <w:rFonts w:ascii="Arial" w:eastAsia="Times New Roman" w:hAnsi="Arial" w:cs="Arial"/>
                <w:lang w:val="sr-Latn-ME"/>
              </w:rPr>
              <w:t>Nijesu</w:t>
            </w:r>
            <w:r w:rsidR="006C693A" w:rsidRPr="002A6F4E">
              <w:rPr>
                <w:rFonts w:ascii="Arial" w:eastAsia="Times New Roman" w:hAnsi="Arial" w:cs="Arial"/>
                <w:lang w:val="sr-Latn-ME"/>
              </w:rPr>
              <w:t xml:space="preserve"> na adekvatan način u</w:t>
            </w:r>
            <w:r w:rsidR="006C693A" w:rsidRPr="002A6F4E">
              <w:rPr>
                <w:rFonts w:ascii="Arial" w:eastAsia="Times New Roman" w:hAnsi="Arial" w:cs="Arial"/>
                <w:lang w:val="bs-Latn"/>
              </w:rPr>
              <w:t>rađene i primjenjene procedure sa ovlaš</w:t>
            </w:r>
            <w:r w:rsidR="00FF1345">
              <w:rPr>
                <w:rFonts w:ascii="Arial" w:eastAsia="Times New Roman" w:hAnsi="Arial" w:cs="Arial"/>
                <w:lang w:val="bs-Latn"/>
              </w:rPr>
              <w:t>ć</w:t>
            </w:r>
            <w:r w:rsidR="006C693A" w:rsidRPr="002A6F4E">
              <w:rPr>
                <w:rFonts w:ascii="Arial" w:eastAsia="Times New Roman" w:hAnsi="Arial" w:cs="Arial"/>
                <w:lang w:val="bs-Latn"/>
              </w:rPr>
              <w:t xml:space="preserve">enim preduzećima za </w:t>
            </w:r>
            <w:r w:rsidR="00375B0E">
              <w:rPr>
                <w:rFonts w:ascii="Arial" w:eastAsia="Times New Roman" w:hAnsi="Arial" w:cs="Arial"/>
                <w:lang w:val="bs-Latn"/>
              </w:rPr>
              <w:t>sa</w:t>
            </w:r>
            <w:r w:rsidR="006C693A" w:rsidRPr="002A6F4E">
              <w:rPr>
                <w:rFonts w:ascii="Arial" w:eastAsia="Times New Roman" w:hAnsi="Arial" w:cs="Arial"/>
                <w:lang w:val="bs-Latn"/>
              </w:rPr>
              <w:t xml:space="preserve">kupljanje, transport i preradu otpada sa kojima imaju </w:t>
            </w:r>
            <w:r w:rsidR="00375B0E">
              <w:rPr>
                <w:rFonts w:ascii="Arial" w:eastAsia="Times New Roman" w:hAnsi="Arial" w:cs="Arial"/>
                <w:lang w:val="bs-Latn"/>
              </w:rPr>
              <w:t>u</w:t>
            </w:r>
            <w:r w:rsidR="006C693A" w:rsidRPr="002A6F4E">
              <w:rPr>
                <w:rFonts w:ascii="Arial" w:eastAsia="Times New Roman" w:hAnsi="Arial" w:cs="Arial"/>
                <w:lang w:val="bs-Latn"/>
              </w:rPr>
              <w:t xml:space="preserve">govore za transport, privremeno skladištenje do </w:t>
            </w:r>
            <w:r w:rsidR="00375B0E">
              <w:rPr>
                <w:rFonts w:ascii="Arial" w:eastAsia="Times New Roman" w:hAnsi="Arial" w:cs="Arial"/>
                <w:lang w:val="bs-Latn"/>
              </w:rPr>
              <w:t>odstranjivanja</w:t>
            </w:r>
            <w:r w:rsidR="006C693A" w:rsidRPr="002A6F4E">
              <w:rPr>
                <w:rFonts w:ascii="Arial" w:eastAsia="Times New Roman" w:hAnsi="Arial" w:cs="Arial"/>
                <w:lang w:val="bs-Latn"/>
              </w:rPr>
              <w:t>, uz primjenu odgovarajućih mjera zaštite zdravlja i sigurnosti zaposlenika i okruženje;</w:t>
            </w:r>
          </w:p>
          <w:p w14:paraId="309AAFB1" w14:textId="146B05AD"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Opasan otpad iz domaćinstava ne sakuplja se u dovoljnoj mjeri odvojeno od m</w:t>
            </w:r>
            <w:r w:rsidR="00FF1345">
              <w:rPr>
                <w:rFonts w:ascii="Arial" w:eastAsia="Times New Roman" w:hAnsi="Arial" w:cs="Arial"/>
                <w:lang w:val="bs-Latn"/>
              </w:rPr>
              <w:t>iješanog</w:t>
            </w:r>
            <w:r w:rsidRPr="002A6F4E">
              <w:rPr>
                <w:rFonts w:ascii="Arial" w:eastAsia="Times New Roman" w:hAnsi="Arial" w:cs="Arial"/>
                <w:lang w:val="bs-Latn"/>
              </w:rPr>
              <w:t xml:space="preserve"> komunalnog otpada; </w:t>
            </w:r>
          </w:p>
          <w:p w14:paraId="3952E2CE"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Samo nekoliko lokalnih samouprava ima centre za sakupljanje otpada („reciklažna dvorišta”);</w:t>
            </w:r>
          </w:p>
          <w:p w14:paraId="3BD3D9F2" w14:textId="7C95EC6C"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sr-Latn-ME"/>
              </w:rPr>
              <w:t>Značajna količina organskog otpada završi na deponijama ili bude odbačena na nepropisan način. Rezultat takvog odnosa je smanjenje vijeka trajanja deponija i veliki broj neuređenih odlagališta;</w:t>
            </w:r>
          </w:p>
          <w:p w14:paraId="495CDBFA"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Linije za sekundarnu separaciju otpada postoje samo u nekim lokalnim samoupravama;</w:t>
            </w:r>
          </w:p>
          <w:p w14:paraId="0A6FCF1B" w14:textId="5F8FA127" w:rsidR="006C693A" w:rsidRPr="002A6F4E" w:rsidRDefault="00EB625B"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Pr>
                <w:rFonts w:ascii="Arial" w:eastAsia="Times New Roman" w:hAnsi="Arial" w:cs="Arial"/>
                <w:lang w:val="bs-Latn"/>
              </w:rPr>
              <w:t>Iz</w:t>
            </w:r>
            <w:r w:rsidR="006C693A" w:rsidRPr="002A6F4E">
              <w:rPr>
                <w:rFonts w:ascii="Arial" w:eastAsia="Times New Roman" w:hAnsi="Arial" w:cs="Arial"/>
                <w:lang w:val="bs-Latn"/>
              </w:rPr>
              <w:t>osta</w:t>
            </w:r>
            <w:r>
              <w:rPr>
                <w:rFonts w:ascii="Arial" w:eastAsia="Times New Roman" w:hAnsi="Arial" w:cs="Arial"/>
                <w:lang w:val="bs-Latn"/>
              </w:rPr>
              <w:t>je</w:t>
            </w:r>
            <w:r w:rsidR="006C693A" w:rsidRPr="002A6F4E">
              <w:rPr>
                <w:rFonts w:ascii="Arial" w:eastAsia="Times New Roman" w:hAnsi="Arial" w:cs="Arial"/>
                <w:lang w:val="bs-Latn"/>
              </w:rPr>
              <w:t xml:space="preserve"> kontinuiran inspekcijski nadzor, od lokalnog do </w:t>
            </w:r>
            <w:r>
              <w:rPr>
                <w:rFonts w:ascii="Arial" w:eastAsia="Times New Roman" w:hAnsi="Arial" w:cs="Arial"/>
                <w:lang w:val="bs-Latn"/>
              </w:rPr>
              <w:t>državnog</w:t>
            </w:r>
            <w:r w:rsidR="006C693A" w:rsidRPr="002A6F4E">
              <w:rPr>
                <w:rFonts w:ascii="Arial" w:eastAsia="Times New Roman" w:hAnsi="Arial" w:cs="Arial"/>
                <w:lang w:val="bs-Latn"/>
              </w:rPr>
              <w:t xml:space="preserve"> nivoa i treba</w:t>
            </w:r>
            <w:r>
              <w:rPr>
                <w:rFonts w:ascii="Arial" w:eastAsia="Times New Roman" w:hAnsi="Arial" w:cs="Arial"/>
                <w:lang w:val="bs-Latn"/>
              </w:rPr>
              <w:t xml:space="preserve"> ga </w:t>
            </w:r>
            <w:r w:rsidR="006C693A" w:rsidRPr="002A6F4E">
              <w:rPr>
                <w:rFonts w:ascii="Arial" w:eastAsia="Times New Roman" w:hAnsi="Arial" w:cs="Arial"/>
                <w:lang w:val="bs-Latn"/>
              </w:rPr>
              <w:t xml:space="preserve"> poboljšati;</w:t>
            </w:r>
          </w:p>
          <w:p w14:paraId="7E68E4A5" w14:textId="2426481C"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sr-Latn-RS"/>
              </w:rPr>
              <w:t>Selektivno sakupljanje otpada nije zaži</w:t>
            </w:r>
            <w:r w:rsidR="00EB625B">
              <w:rPr>
                <w:rFonts w:ascii="Arial" w:eastAsia="Times New Roman" w:hAnsi="Arial" w:cs="Arial"/>
                <w:lang w:val="sr-Latn-RS"/>
              </w:rPr>
              <w:t>v</w:t>
            </w:r>
            <w:r w:rsidRPr="002A6F4E">
              <w:rPr>
                <w:rFonts w:ascii="Arial" w:eastAsia="Times New Roman" w:hAnsi="Arial" w:cs="Arial"/>
                <w:lang w:val="sr-Latn-RS"/>
              </w:rPr>
              <w:t>jelo u dovoljnoj mjeri;</w:t>
            </w:r>
          </w:p>
          <w:p w14:paraId="191883BB" w14:textId="11D7AEDF"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sr-Latn-RS"/>
              </w:rPr>
              <w:t xml:space="preserve">Evidentno je neodgovoran odnos prema odlaganju otpada koji se može ponovo koristiti </w:t>
            </w:r>
            <w:r w:rsidRPr="002A6F4E">
              <w:rPr>
                <w:rFonts w:ascii="Arial" w:eastAsia="Times New Roman" w:hAnsi="Arial" w:cs="Arial"/>
                <w:lang w:val="sr-Latn-RS"/>
              </w:rPr>
              <w:lastRenderedPageBreak/>
              <w:t xml:space="preserve">ili reciklirati, </w:t>
            </w:r>
            <w:r w:rsidR="00FF1345">
              <w:rPr>
                <w:rFonts w:ascii="Arial" w:eastAsia="Times New Roman" w:hAnsi="Arial" w:cs="Arial"/>
                <w:lang w:val="sr-Latn-RS"/>
              </w:rPr>
              <w:t xml:space="preserve">što </w:t>
            </w:r>
            <w:r w:rsidRPr="002A6F4E">
              <w:rPr>
                <w:rFonts w:ascii="Arial" w:eastAsia="Times New Roman" w:hAnsi="Arial" w:cs="Arial"/>
                <w:lang w:val="sr-Latn-RS"/>
              </w:rPr>
              <w:t xml:space="preserve">otežava primarnu selekciju komunalnog otpada; </w:t>
            </w:r>
          </w:p>
          <w:p w14:paraId="5C826517" w14:textId="1E9BD4F6"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NewRomanPSMT" w:hAnsi="Arial" w:cs="Arial"/>
                <w:lang w:val="bs-Latn"/>
              </w:rPr>
              <w:t>Princip da “</w:t>
            </w:r>
            <w:r w:rsidR="00FF1345">
              <w:rPr>
                <w:rFonts w:ascii="Arial" w:eastAsia="TimesNewRomanPSMT" w:hAnsi="Arial" w:cs="Arial"/>
                <w:lang w:val="bs-Latn"/>
              </w:rPr>
              <w:t>zagađivač</w:t>
            </w:r>
            <w:r w:rsidR="00FF1345" w:rsidRPr="002A6F4E">
              <w:rPr>
                <w:rFonts w:ascii="Arial" w:eastAsia="TimesNewRomanPSMT" w:hAnsi="Arial" w:cs="Arial"/>
                <w:lang w:val="bs-Latn"/>
              </w:rPr>
              <w:t xml:space="preserve"> </w:t>
            </w:r>
            <w:r w:rsidRPr="002A6F4E">
              <w:rPr>
                <w:rFonts w:ascii="Arial" w:eastAsia="TimesNewRomanPSMT" w:hAnsi="Arial" w:cs="Arial"/>
                <w:lang w:val="bs-Latn"/>
              </w:rPr>
              <w:t>plaća” ne funkcioniše u potpunosti, čime je dovedena u pitanje mogućnost da se osigura finansijska održivost pružanja usluga upravljanja otpadom;</w:t>
            </w:r>
          </w:p>
          <w:p w14:paraId="116CFA20"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Većina lokalnih samouprava ima mehanizaciju i vozila za sakupljanje otpada, međutim, postoji nedostatak odgovarajuće opreme za odvojeno sakupljanje otpada;</w:t>
            </w:r>
          </w:p>
          <w:p w14:paraId="1CC45E24" w14:textId="3E2982A4"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Neadekvatan i nepotpun</w:t>
            </w:r>
            <w:r w:rsidR="00D81470">
              <w:rPr>
                <w:rFonts w:ascii="Arial" w:eastAsia="Times New Roman" w:hAnsi="Arial" w:cs="Arial"/>
                <w:lang w:val="bs-Latn"/>
              </w:rPr>
              <w:t>a</w:t>
            </w:r>
            <w:r w:rsidRPr="002A6F4E">
              <w:rPr>
                <w:rFonts w:ascii="Arial" w:eastAsia="Times New Roman" w:hAnsi="Arial" w:cs="Arial"/>
                <w:lang w:val="bs-Latn"/>
              </w:rPr>
              <w:t xml:space="preserve"> </w:t>
            </w:r>
            <w:r w:rsidR="00D81470">
              <w:rPr>
                <w:rFonts w:ascii="Arial" w:eastAsia="Times New Roman" w:hAnsi="Arial" w:cs="Arial"/>
                <w:lang w:val="bs-Latn"/>
              </w:rPr>
              <w:t>obrada</w:t>
            </w:r>
            <w:r w:rsidR="00D81470" w:rsidRPr="002A6F4E">
              <w:rPr>
                <w:rFonts w:ascii="Arial" w:eastAsia="Times New Roman" w:hAnsi="Arial" w:cs="Arial"/>
                <w:lang w:val="bs-Latn"/>
              </w:rPr>
              <w:t xml:space="preserve"> </w:t>
            </w:r>
            <w:r w:rsidRPr="002A6F4E">
              <w:rPr>
                <w:rFonts w:ascii="Arial" w:eastAsia="Times New Roman" w:hAnsi="Arial" w:cs="Arial"/>
                <w:lang w:val="bs-Latn"/>
              </w:rPr>
              <w:t>otpada koji  obuhvata fizičke, termičke, hemijske ili biološke procese</w:t>
            </w:r>
            <w:r w:rsidR="00D81470">
              <w:rPr>
                <w:rFonts w:ascii="Arial" w:eastAsia="Times New Roman" w:hAnsi="Arial" w:cs="Arial"/>
                <w:lang w:val="bs-Latn"/>
              </w:rPr>
              <w:t>,</w:t>
            </w:r>
            <w:r w:rsidRPr="002A6F4E">
              <w:rPr>
                <w:rFonts w:ascii="Arial" w:eastAsia="Times New Roman" w:hAnsi="Arial" w:cs="Arial"/>
                <w:lang w:val="bs-Latn"/>
              </w:rPr>
              <w:t xml:space="preserve"> uključujući i razvrstavanje otpada prije </w:t>
            </w:r>
            <w:r w:rsidR="00D81470">
              <w:rPr>
                <w:rFonts w:ascii="Arial" w:eastAsia="Times New Roman" w:hAnsi="Arial" w:cs="Arial"/>
                <w:lang w:val="bs-Latn"/>
              </w:rPr>
              <w:t>obrade</w:t>
            </w:r>
            <w:r w:rsidRPr="002A6F4E">
              <w:rPr>
                <w:rFonts w:ascii="Arial" w:eastAsia="Times New Roman" w:hAnsi="Arial" w:cs="Arial"/>
                <w:lang w:val="bs-Latn"/>
              </w:rPr>
              <w:t>, koji mijenjaju karakteristike otpada sa ciljem smanjenja zapremine ili opasnih karakteristika, olakšanja rukovanja sa otpadom ili podsticanja recikl</w:t>
            </w:r>
            <w:r w:rsidR="00D81470">
              <w:rPr>
                <w:rFonts w:ascii="Arial" w:eastAsia="Times New Roman" w:hAnsi="Arial" w:cs="Arial"/>
                <w:lang w:val="bs-Latn"/>
              </w:rPr>
              <w:t>iranja</w:t>
            </w:r>
            <w:r w:rsidRPr="002A6F4E">
              <w:rPr>
                <w:rFonts w:ascii="Arial" w:eastAsia="Times New Roman" w:hAnsi="Arial" w:cs="Arial"/>
                <w:lang w:val="bs-Latn"/>
              </w:rPr>
              <w:t>;</w:t>
            </w:r>
          </w:p>
          <w:p w14:paraId="345C4D9E" w14:textId="2980FBD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 xml:space="preserve">U cjelini je upitna </w:t>
            </w:r>
            <w:r w:rsidR="00E40625">
              <w:rPr>
                <w:rFonts w:ascii="Arial" w:eastAsia="Times New Roman" w:hAnsi="Arial" w:cs="Arial"/>
                <w:lang w:val="bs-Latn"/>
              </w:rPr>
              <w:t xml:space="preserve">primarna </w:t>
            </w:r>
            <w:r w:rsidRPr="002A6F4E">
              <w:rPr>
                <w:rFonts w:ascii="Arial" w:eastAsia="Times New Roman" w:hAnsi="Arial" w:cs="Arial"/>
                <w:lang w:val="bs-Latn"/>
              </w:rPr>
              <w:t xml:space="preserve">selekcija – </w:t>
            </w:r>
            <w:r w:rsidR="00E40625">
              <w:rPr>
                <w:rFonts w:ascii="Arial" w:eastAsia="Times New Roman" w:hAnsi="Arial" w:cs="Arial"/>
                <w:lang w:val="bs-Latn"/>
              </w:rPr>
              <w:t>odvajanje</w:t>
            </w:r>
            <w:r w:rsidRPr="002A6F4E">
              <w:rPr>
                <w:rFonts w:ascii="Arial" w:eastAsia="Times New Roman" w:hAnsi="Arial" w:cs="Arial"/>
                <w:lang w:val="bs-Latn"/>
              </w:rPr>
              <w:t xml:space="preserve"> komunalnog otpada na mjestu nastanka, preuzimanje, odvoza na mjesto za odlaganje</w:t>
            </w:r>
            <w:r w:rsidR="00B83CB5">
              <w:rPr>
                <w:rFonts w:ascii="Arial" w:eastAsia="Times New Roman" w:hAnsi="Arial" w:cs="Arial"/>
                <w:lang w:val="bs-Latn"/>
              </w:rPr>
              <w:t>,</w:t>
            </w:r>
            <w:r w:rsidRPr="002A6F4E">
              <w:rPr>
                <w:rFonts w:ascii="Arial" w:eastAsia="Times New Roman" w:hAnsi="Arial" w:cs="Arial"/>
                <w:lang w:val="bs-Latn"/>
              </w:rPr>
              <w:t xml:space="preserve"> koja ne funk</w:t>
            </w:r>
            <w:r w:rsidR="00E40625">
              <w:rPr>
                <w:rFonts w:ascii="Arial" w:eastAsia="Times New Roman" w:hAnsi="Arial" w:cs="Arial"/>
                <w:lang w:val="bs-Latn"/>
              </w:rPr>
              <w:t>c</w:t>
            </w:r>
            <w:r w:rsidRPr="002A6F4E">
              <w:rPr>
                <w:rFonts w:ascii="Arial" w:eastAsia="Times New Roman" w:hAnsi="Arial" w:cs="Arial"/>
                <w:lang w:val="bs-Latn"/>
              </w:rPr>
              <w:t>ioniše na zadovoljav</w:t>
            </w:r>
            <w:r w:rsidR="001032A4">
              <w:rPr>
                <w:rFonts w:ascii="Arial" w:eastAsia="Times New Roman" w:hAnsi="Arial" w:cs="Arial"/>
                <w:lang w:val="bs-Latn"/>
              </w:rPr>
              <w:t>a</w:t>
            </w:r>
            <w:r w:rsidRPr="002A6F4E">
              <w:rPr>
                <w:rFonts w:ascii="Arial" w:eastAsia="Times New Roman" w:hAnsi="Arial" w:cs="Arial"/>
                <w:lang w:val="bs-Latn"/>
              </w:rPr>
              <w:t>jući način;</w:t>
            </w:r>
          </w:p>
          <w:p w14:paraId="541A6543" w14:textId="7867BB72"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 xml:space="preserve">Ne </w:t>
            </w:r>
            <w:r w:rsidR="00E40625">
              <w:rPr>
                <w:rFonts w:ascii="Arial" w:eastAsia="Times New Roman" w:hAnsi="Arial" w:cs="Arial"/>
                <w:lang w:val="bs-Latn"/>
              </w:rPr>
              <w:t>s</w:t>
            </w:r>
            <w:r w:rsidRPr="002A6F4E">
              <w:rPr>
                <w:rFonts w:ascii="Arial" w:eastAsia="Times New Roman" w:hAnsi="Arial" w:cs="Arial"/>
                <w:lang w:val="bs-Latn"/>
              </w:rPr>
              <w:t>provodi se kontinuiran nadzor nad skladištenjem i odvozom otpada s lokacije, a ovlaš</w:t>
            </w:r>
            <w:r w:rsidR="00B83CB5">
              <w:rPr>
                <w:rFonts w:ascii="Arial" w:eastAsia="Times New Roman" w:hAnsi="Arial" w:cs="Arial"/>
                <w:lang w:val="bs-Latn"/>
              </w:rPr>
              <w:t>ć</w:t>
            </w:r>
            <w:r w:rsidRPr="002A6F4E">
              <w:rPr>
                <w:rFonts w:ascii="Arial" w:eastAsia="Times New Roman" w:hAnsi="Arial" w:cs="Arial"/>
                <w:lang w:val="bs-Latn"/>
              </w:rPr>
              <w:t xml:space="preserve">eni sakupljači otpada s kojima je sklopljen ugovor odvoze otpad i daju ga na </w:t>
            </w:r>
            <w:r w:rsidR="00B83CB5">
              <w:rPr>
                <w:rFonts w:ascii="Arial" w:eastAsia="Times New Roman" w:hAnsi="Arial" w:cs="Arial"/>
                <w:lang w:val="bs-Latn"/>
              </w:rPr>
              <w:t>obradu</w:t>
            </w:r>
            <w:r w:rsidRPr="002A6F4E">
              <w:rPr>
                <w:rFonts w:ascii="Arial" w:eastAsia="Times New Roman" w:hAnsi="Arial" w:cs="Arial"/>
                <w:lang w:val="bs-Latn"/>
              </w:rPr>
              <w:t xml:space="preserve"> o čemu se ne vodi propisana evidencija;</w:t>
            </w:r>
          </w:p>
          <w:p w14:paraId="13ABA464"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 xml:space="preserve">Nedovoljan broj i struktura kontejnera za sakupljanje otpada; </w:t>
            </w:r>
          </w:p>
          <w:p w14:paraId="3ACE5D21"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 xml:space="preserve">Evidentan je nedostatak odgovarajućih vozila za prevoz otpada i neadekvatna distribucija kontejnera; </w:t>
            </w:r>
          </w:p>
          <w:p w14:paraId="19D79BCC" w14:textId="3E8EF448"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Evidentna je neadekvatnu učestalost transporta otpada i izbor adekvatne rute kretanja vozila, posebno u urbanim sredinam</w:t>
            </w:r>
            <w:r w:rsidR="00B83CB5">
              <w:rPr>
                <w:rFonts w:ascii="Arial" w:eastAsia="Times New Roman" w:hAnsi="Arial" w:cs="Arial"/>
                <w:lang w:val="bs-Latn"/>
              </w:rPr>
              <w:t>a</w:t>
            </w:r>
            <w:r w:rsidRPr="002A6F4E">
              <w:rPr>
                <w:rFonts w:ascii="Arial" w:eastAsia="Times New Roman" w:hAnsi="Arial" w:cs="Arial"/>
                <w:lang w:val="bs-Latn"/>
              </w:rPr>
              <w:t xml:space="preserve">; </w:t>
            </w:r>
          </w:p>
          <w:p w14:paraId="7F80AEA8" w14:textId="759D1AC0"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 xml:space="preserve">Prisutno je stvaranje </w:t>
            </w:r>
            <w:r w:rsidR="00B83CB5">
              <w:rPr>
                <w:rFonts w:ascii="Arial" w:eastAsia="Times New Roman" w:hAnsi="Arial" w:cs="Arial"/>
                <w:lang w:val="bs-Latn"/>
              </w:rPr>
              <w:t>neuređenih odlagališta</w:t>
            </w:r>
            <w:r w:rsidRPr="002A6F4E">
              <w:rPr>
                <w:rFonts w:ascii="Arial" w:eastAsia="Times New Roman" w:hAnsi="Arial" w:cs="Arial"/>
                <w:lang w:val="bs-Latn"/>
              </w:rPr>
              <w:t xml:space="preserve"> od strane osoba koje se bave sakupljanjem sekundarnih sirovina, pri čemu je najveći problem sa električnim uređajima (frižideri, hladnjaci, bojleri, mašine za veš, suđe</w:t>
            </w:r>
            <w:r w:rsidR="00D81470">
              <w:rPr>
                <w:rFonts w:ascii="Arial" w:eastAsia="Times New Roman" w:hAnsi="Arial" w:cs="Arial"/>
                <w:lang w:val="bs-Latn"/>
              </w:rPr>
              <w:t>,</w:t>
            </w:r>
            <w:r w:rsidRPr="002A6F4E">
              <w:rPr>
                <w:rFonts w:ascii="Arial" w:eastAsia="Times New Roman" w:hAnsi="Arial" w:cs="Arial"/>
                <w:lang w:val="bs-Latn"/>
              </w:rPr>
              <w:t xml:space="preserve"> itd), jer neovlaš</w:t>
            </w:r>
            <w:r w:rsidR="00BD5093">
              <w:rPr>
                <w:rFonts w:ascii="Arial" w:eastAsia="Times New Roman" w:hAnsi="Arial" w:cs="Arial"/>
                <w:lang w:val="bs-Latn"/>
              </w:rPr>
              <w:t>ć</w:t>
            </w:r>
            <w:r w:rsidRPr="002A6F4E">
              <w:rPr>
                <w:rFonts w:ascii="Arial" w:eastAsia="Times New Roman" w:hAnsi="Arial" w:cs="Arial"/>
                <w:lang w:val="bs-Latn"/>
              </w:rPr>
              <w:t>ene osobe od građana preuzmu te uređaje i iz njih izdvoje samo sirovine koje su interesantne na tržištu;</w:t>
            </w:r>
          </w:p>
          <w:p w14:paraId="06B9632A" w14:textId="6243DF50"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 xml:space="preserve">Ne prati se kontinuirano pojava i uklanjanje </w:t>
            </w:r>
            <w:r w:rsidR="00BD5093">
              <w:rPr>
                <w:rFonts w:ascii="Arial" w:eastAsia="Times New Roman" w:hAnsi="Arial" w:cs="Arial"/>
                <w:lang w:val="bs-Latn"/>
              </w:rPr>
              <w:t>neuređenih odlagališta</w:t>
            </w:r>
            <w:r w:rsidR="00BD5093" w:rsidRPr="002A6F4E">
              <w:rPr>
                <w:rFonts w:ascii="Arial" w:eastAsia="Times New Roman" w:hAnsi="Arial" w:cs="Arial"/>
                <w:lang w:val="bs-Latn"/>
              </w:rPr>
              <w:t xml:space="preserve"> </w:t>
            </w:r>
            <w:r w:rsidRPr="002A6F4E">
              <w:rPr>
                <w:rFonts w:ascii="Arial" w:eastAsia="Times New Roman" w:hAnsi="Arial" w:cs="Arial"/>
                <w:lang w:val="bs-Latn"/>
              </w:rPr>
              <w:t>i ne vrši se saniranje područja na kojem su se nalazile;</w:t>
            </w:r>
          </w:p>
          <w:p w14:paraId="111DE6C0"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Otpad čija se vrijedna svojstva mogu iskoristiti ne sakuplja se odvojeno  i skladišti;</w:t>
            </w:r>
          </w:p>
          <w:p w14:paraId="432A18D6" w14:textId="10F00A5B"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NewRomanPSMT" w:hAnsi="Arial" w:cs="Arial"/>
                <w:lang w:val="bs-Latn"/>
              </w:rPr>
              <w:t>Otežano je obezbjeđivanje visokog nivoa naplate naknada</w:t>
            </w:r>
            <w:r w:rsidR="00BD5093">
              <w:rPr>
                <w:rFonts w:ascii="Arial" w:eastAsia="TimesNewRomanPSMT" w:hAnsi="Arial" w:cs="Arial"/>
                <w:lang w:val="bs-Latn"/>
              </w:rPr>
              <w:t>;</w:t>
            </w:r>
          </w:p>
          <w:p w14:paraId="41078F5A" w14:textId="77777777" w:rsidR="006C693A" w:rsidRPr="002A6F4E" w:rsidRDefault="006C693A" w:rsidP="00A23ED0">
            <w:pPr>
              <w:widowControl w:val="0"/>
              <w:numPr>
                <w:ilvl w:val="0"/>
                <w:numId w:val="106"/>
              </w:numPr>
              <w:autoSpaceDE w:val="0"/>
              <w:autoSpaceDN w:val="0"/>
              <w:spacing w:line="360" w:lineRule="auto"/>
              <w:ind w:right="110"/>
              <w:rPr>
                <w:rFonts w:ascii="Arial" w:eastAsia="Times New Roman" w:hAnsi="Arial" w:cs="Arial"/>
                <w:b w:val="0"/>
                <w:bCs w:val="0"/>
                <w:lang w:val="bs-Latn"/>
              </w:rPr>
            </w:pPr>
            <w:r w:rsidRPr="002A6F4E">
              <w:rPr>
                <w:rFonts w:ascii="Arial" w:eastAsia="Times New Roman" w:hAnsi="Arial" w:cs="Arial"/>
                <w:lang w:val="bs-Latn"/>
              </w:rPr>
              <w:t>Nedovoljno se direktno  podstiče razvoj ekološke svijesti o neminovnosti da razmišljamo o otpadu kao značajnom resursu.</w:t>
            </w:r>
          </w:p>
        </w:tc>
      </w:tr>
      <w:tr w:rsidR="006C693A" w:rsidRPr="002A6F4E" w14:paraId="68723EC3" w14:textId="77777777" w:rsidTr="00695794">
        <w:trPr>
          <w:jc w:val="center"/>
        </w:trPr>
        <w:tc>
          <w:tcPr>
            <w:cnfStyle w:val="001000000000" w:firstRow="0" w:lastRow="0" w:firstColumn="1" w:lastColumn="0" w:oddVBand="0" w:evenVBand="0" w:oddHBand="0" w:evenHBand="0" w:firstRowFirstColumn="0" w:firstRowLastColumn="0" w:lastRowFirstColumn="0" w:lastRowLastColumn="0"/>
            <w:tcW w:w="9350" w:type="dxa"/>
          </w:tcPr>
          <w:p w14:paraId="2F804F62" w14:textId="77777777" w:rsidR="006C693A" w:rsidRPr="002A6F4E" w:rsidRDefault="006C693A" w:rsidP="00FE289C">
            <w:pPr>
              <w:spacing w:line="360" w:lineRule="auto"/>
              <w:rPr>
                <w:rFonts w:ascii="Arial" w:hAnsi="Arial" w:cs="Arial"/>
                <w:b w:val="0"/>
                <w:bCs w:val="0"/>
                <w:lang w:val="en-US"/>
              </w:rPr>
            </w:pPr>
            <w:r w:rsidRPr="002A6F4E">
              <w:rPr>
                <w:rFonts w:ascii="Arial" w:hAnsi="Arial" w:cs="Arial"/>
                <w:color w:val="538135"/>
                <w:highlight w:val="lightGray"/>
                <w:lang w:val="en-US"/>
              </w:rPr>
              <w:lastRenderedPageBreak/>
              <w:t>Š    A   N   S   E</w:t>
            </w:r>
          </w:p>
        </w:tc>
      </w:tr>
      <w:tr w:rsidR="006C693A" w:rsidRPr="002A6F4E" w14:paraId="4D1FC512" w14:textId="77777777" w:rsidTr="00695794">
        <w:trPr>
          <w:jc w:val="center"/>
        </w:trPr>
        <w:tc>
          <w:tcPr>
            <w:cnfStyle w:val="001000000000" w:firstRow="0" w:lastRow="0" w:firstColumn="1" w:lastColumn="0" w:oddVBand="0" w:evenVBand="0" w:oddHBand="0" w:evenHBand="0" w:firstRowFirstColumn="0" w:firstRowLastColumn="0" w:lastRowFirstColumn="0" w:lastRowLastColumn="0"/>
            <w:tcW w:w="9350" w:type="dxa"/>
            <w:shd w:val="clear" w:color="auto" w:fill="D9E2F3"/>
          </w:tcPr>
          <w:p w14:paraId="01DEA8B8" w14:textId="6FBBF5B9"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sr-Latn-CS"/>
              </w:rPr>
              <w:t>Cilj iz DPUO je recikliranje najmanje 50% svih vrsta komunalnog otpada do 2030.g</w:t>
            </w:r>
            <w:r w:rsidR="009C4B20">
              <w:rPr>
                <w:rFonts w:ascii="Arial" w:hAnsi="Arial" w:cs="Arial"/>
                <w:lang w:val="sr-Latn-CS"/>
              </w:rPr>
              <w:t>odine</w:t>
            </w:r>
            <w:r w:rsidRPr="002A6F4E">
              <w:rPr>
                <w:rFonts w:ascii="Arial" w:hAnsi="Arial" w:cs="Arial"/>
                <w:lang w:val="sr-Latn-CS"/>
              </w:rPr>
              <w:t>;</w:t>
            </w:r>
          </w:p>
          <w:p w14:paraId="55FB4135" w14:textId="271828D2" w:rsidR="006C693A" w:rsidRPr="002A6F4E" w:rsidRDefault="006C693A" w:rsidP="00A23ED0">
            <w:pPr>
              <w:widowControl w:val="0"/>
              <w:numPr>
                <w:ilvl w:val="0"/>
                <w:numId w:val="107"/>
              </w:numPr>
              <w:tabs>
                <w:tab w:val="left" w:pos="469"/>
              </w:tabs>
              <w:autoSpaceDE w:val="0"/>
              <w:autoSpaceDN w:val="0"/>
              <w:spacing w:line="360" w:lineRule="auto"/>
              <w:ind w:right="102"/>
              <w:rPr>
                <w:rFonts w:ascii="Arial" w:eastAsia="Times New Roman" w:hAnsi="Arial" w:cs="Arial"/>
                <w:b w:val="0"/>
                <w:bCs w:val="0"/>
                <w:lang w:val="bs-Latn"/>
              </w:rPr>
            </w:pPr>
            <w:r w:rsidRPr="002A6F4E">
              <w:rPr>
                <w:rFonts w:ascii="Arial" w:eastAsia="Times New Roman" w:hAnsi="Arial" w:cs="Arial"/>
                <w:lang w:val="bs-Latn"/>
              </w:rPr>
              <w:t xml:space="preserve">Uspješna implementacija Državnog plana za upravljanje otpadom, Prostornog plana Crne Gore i dugih strateških razvojnih dokumenata; </w:t>
            </w:r>
          </w:p>
          <w:p w14:paraId="23016819" w14:textId="6A7F8890"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en-US"/>
              </w:rPr>
              <w:t>Mjere</w:t>
            </w:r>
            <w:r w:rsidRPr="002A6F4E">
              <w:rPr>
                <w:rFonts w:ascii="Arial" w:hAnsi="Arial" w:cs="Arial"/>
                <w:lang w:val="bs-Latn"/>
              </w:rPr>
              <w:t xml:space="preserve"> </w:t>
            </w:r>
            <w:r w:rsidRPr="002A6F4E">
              <w:rPr>
                <w:rFonts w:ascii="Arial" w:hAnsi="Arial" w:cs="Arial"/>
                <w:lang w:val="en-US"/>
              </w:rPr>
              <w:t>javnih</w:t>
            </w:r>
            <w:r w:rsidRPr="002A6F4E">
              <w:rPr>
                <w:rFonts w:ascii="Arial" w:hAnsi="Arial" w:cs="Arial"/>
                <w:lang w:val="bs-Latn"/>
              </w:rPr>
              <w:t xml:space="preserve"> </w:t>
            </w:r>
            <w:r w:rsidRPr="002A6F4E">
              <w:rPr>
                <w:rFonts w:ascii="Arial" w:hAnsi="Arial" w:cs="Arial"/>
                <w:lang w:val="en-US"/>
              </w:rPr>
              <w:t>politika</w:t>
            </w:r>
            <w:r w:rsidRPr="002A6F4E">
              <w:rPr>
                <w:rFonts w:ascii="Arial" w:hAnsi="Arial" w:cs="Arial"/>
                <w:lang w:val="bs-Latn"/>
              </w:rPr>
              <w:t xml:space="preserve"> </w:t>
            </w:r>
            <w:r w:rsidRPr="002A6F4E">
              <w:rPr>
                <w:rFonts w:ascii="Arial" w:hAnsi="Arial" w:cs="Arial"/>
                <w:lang w:val="en-US"/>
              </w:rPr>
              <w:t>za</w:t>
            </w:r>
            <w:r w:rsidRPr="002A6F4E">
              <w:rPr>
                <w:rFonts w:ascii="Arial" w:hAnsi="Arial" w:cs="Arial"/>
                <w:lang w:val="bs-Latn"/>
              </w:rPr>
              <w:t xml:space="preserve"> </w:t>
            </w:r>
            <w:r w:rsidRPr="002A6F4E">
              <w:rPr>
                <w:rFonts w:ascii="Arial" w:hAnsi="Arial" w:cs="Arial"/>
                <w:lang w:val="en-US"/>
              </w:rPr>
              <w:t>podsticanje</w:t>
            </w:r>
            <w:r w:rsidRPr="002A6F4E">
              <w:rPr>
                <w:rFonts w:ascii="Arial" w:hAnsi="Arial" w:cs="Arial"/>
                <w:lang w:val="bs-Latn"/>
              </w:rPr>
              <w:t xml:space="preserve"> </w:t>
            </w:r>
            <w:r w:rsidRPr="002A6F4E">
              <w:rPr>
                <w:rFonts w:ascii="Arial" w:hAnsi="Arial" w:cs="Arial"/>
                <w:lang w:val="en-US"/>
              </w:rPr>
              <w:t>zelene</w:t>
            </w:r>
            <w:r w:rsidRPr="002A6F4E">
              <w:rPr>
                <w:rFonts w:ascii="Arial" w:hAnsi="Arial" w:cs="Arial"/>
                <w:lang w:val="bs-Latn"/>
              </w:rPr>
              <w:t xml:space="preserve"> </w:t>
            </w:r>
            <w:r w:rsidRPr="002A6F4E">
              <w:rPr>
                <w:rFonts w:ascii="Arial" w:hAnsi="Arial" w:cs="Arial"/>
                <w:lang w:val="en-US"/>
              </w:rPr>
              <w:t>i</w:t>
            </w:r>
            <w:r w:rsidRPr="002A6F4E">
              <w:rPr>
                <w:rFonts w:ascii="Arial" w:hAnsi="Arial" w:cs="Arial"/>
                <w:lang w:val="bs-Latn"/>
              </w:rPr>
              <w:t xml:space="preserve"> </w:t>
            </w:r>
            <w:r w:rsidRPr="002A6F4E">
              <w:rPr>
                <w:rFonts w:ascii="Arial" w:hAnsi="Arial" w:cs="Arial"/>
                <w:lang w:val="en-US"/>
              </w:rPr>
              <w:t>digitalne</w:t>
            </w:r>
            <w:r w:rsidRPr="002A6F4E">
              <w:rPr>
                <w:rFonts w:ascii="Arial" w:hAnsi="Arial" w:cs="Arial"/>
                <w:lang w:val="bs-Latn"/>
              </w:rPr>
              <w:t xml:space="preserve"> </w:t>
            </w:r>
            <w:r w:rsidRPr="002A6F4E">
              <w:rPr>
                <w:rFonts w:ascii="Arial" w:hAnsi="Arial" w:cs="Arial"/>
                <w:lang w:val="en-US"/>
              </w:rPr>
              <w:t>tranzicije</w:t>
            </w:r>
            <w:r w:rsidRPr="002A6F4E">
              <w:rPr>
                <w:rFonts w:ascii="Arial" w:hAnsi="Arial" w:cs="Arial"/>
                <w:lang w:val="bs-Latn"/>
              </w:rPr>
              <w:t xml:space="preserve"> </w:t>
            </w:r>
            <w:r w:rsidRPr="002A6F4E">
              <w:rPr>
                <w:rFonts w:ascii="Arial" w:hAnsi="Arial" w:cs="Arial"/>
                <w:lang w:val="en-US"/>
              </w:rPr>
              <w:t>u</w:t>
            </w:r>
            <w:r w:rsidRPr="002A6F4E">
              <w:rPr>
                <w:rFonts w:ascii="Arial" w:hAnsi="Arial" w:cs="Arial"/>
                <w:lang w:val="bs-Latn"/>
              </w:rPr>
              <w:t xml:space="preserve"> </w:t>
            </w:r>
            <w:r w:rsidRPr="002A6F4E">
              <w:rPr>
                <w:rFonts w:ascii="Arial" w:hAnsi="Arial" w:cs="Arial"/>
                <w:lang w:val="en-US"/>
              </w:rPr>
              <w:t>privredi</w:t>
            </w:r>
            <w:r w:rsidRPr="002A6F4E">
              <w:rPr>
                <w:rFonts w:ascii="Arial" w:hAnsi="Arial" w:cs="Arial"/>
                <w:lang w:val="bs-Latn"/>
              </w:rPr>
              <w:t xml:space="preserve"> </w:t>
            </w:r>
            <w:r w:rsidRPr="002A6F4E">
              <w:rPr>
                <w:rFonts w:ascii="Arial" w:hAnsi="Arial" w:cs="Arial"/>
                <w:lang w:val="en-US"/>
              </w:rPr>
              <w:t>na</w:t>
            </w:r>
            <w:r w:rsidRPr="002A6F4E">
              <w:rPr>
                <w:rFonts w:ascii="Arial" w:hAnsi="Arial" w:cs="Arial"/>
                <w:lang w:val="bs-Latn"/>
              </w:rPr>
              <w:t xml:space="preserve"> </w:t>
            </w:r>
            <w:r w:rsidRPr="002A6F4E">
              <w:rPr>
                <w:rFonts w:ascii="Arial" w:hAnsi="Arial" w:cs="Arial"/>
                <w:lang w:val="en-US"/>
              </w:rPr>
              <w:t>nivou</w:t>
            </w:r>
            <w:r w:rsidRPr="002A6F4E">
              <w:rPr>
                <w:rFonts w:ascii="Arial" w:hAnsi="Arial" w:cs="Arial"/>
                <w:lang w:val="bs-Latn"/>
              </w:rPr>
              <w:t xml:space="preserve"> </w:t>
            </w:r>
            <w:r w:rsidRPr="002A6F4E">
              <w:rPr>
                <w:rFonts w:ascii="Arial" w:hAnsi="Arial" w:cs="Arial"/>
                <w:lang w:val="en-US"/>
              </w:rPr>
              <w:t>C</w:t>
            </w:r>
            <w:r w:rsidR="009C4B20">
              <w:rPr>
                <w:rFonts w:ascii="Arial" w:hAnsi="Arial" w:cs="Arial"/>
                <w:lang w:val="en-US"/>
              </w:rPr>
              <w:t>rne</w:t>
            </w:r>
            <w:r w:rsidR="009C4B20" w:rsidRPr="00AF012C">
              <w:rPr>
                <w:rFonts w:ascii="Arial" w:hAnsi="Arial" w:cs="Arial"/>
                <w:lang w:val="bs-Latn"/>
              </w:rPr>
              <w:t xml:space="preserve"> </w:t>
            </w:r>
            <w:r w:rsidRPr="002A6F4E">
              <w:rPr>
                <w:rFonts w:ascii="Arial" w:hAnsi="Arial" w:cs="Arial"/>
                <w:lang w:val="en-US"/>
              </w:rPr>
              <w:t>G</w:t>
            </w:r>
            <w:r w:rsidR="009C4B20">
              <w:rPr>
                <w:rFonts w:ascii="Arial" w:hAnsi="Arial" w:cs="Arial"/>
                <w:lang w:val="en-US"/>
              </w:rPr>
              <w:t>ore</w:t>
            </w:r>
            <w:r w:rsidRPr="002A6F4E">
              <w:rPr>
                <w:rFonts w:ascii="Arial" w:hAnsi="Arial" w:cs="Arial"/>
                <w:lang w:val="bs-Latn"/>
              </w:rPr>
              <w:t xml:space="preserve"> (</w:t>
            </w:r>
            <w:r w:rsidRPr="002A6F4E">
              <w:rPr>
                <w:rFonts w:ascii="Arial" w:hAnsi="Arial" w:cs="Arial"/>
                <w:lang w:val="en-US"/>
              </w:rPr>
              <w:t>zelena</w:t>
            </w:r>
            <w:r w:rsidRPr="002A6F4E">
              <w:rPr>
                <w:rFonts w:ascii="Arial" w:hAnsi="Arial" w:cs="Arial"/>
                <w:lang w:val="bs-Latn"/>
              </w:rPr>
              <w:t xml:space="preserve"> </w:t>
            </w:r>
            <w:r w:rsidRPr="002A6F4E">
              <w:rPr>
                <w:rFonts w:ascii="Arial" w:hAnsi="Arial" w:cs="Arial"/>
                <w:lang w:val="en-US"/>
              </w:rPr>
              <w:t>ekonomija</w:t>
            </w:r>
            <w:r w:rsidRPr="002A6F4E">
              <w:rPr>
                <w:rFonts w:ascii="Arial" w:hAnsi="Arial" w:cs="Arial"/>
                <w:lang w:val="bs-Latn"/>
              </w:rPr>
              <w:t>);</w:t>
            </w:r>
          </w:p>
          <w:p w14:paraId="08034966" w14:textId="77777777"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en-US"/>
              </w:rPr>
              <w:lastRenderedPageBreak/>
              <w:t>Uspostavljanje</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dobro</w:t>
            </w:r>
            <w:r w:rsidRPr="002A6F4E">
              <w:rPr>
                <w:rFonts w:ascii="Arial" w:hAnsi="Arial" w:cs="Arial"/>
                <w:lang w:val="sr-Latn-CS"/>
              </w:rPr>
              <w:t xml:space="preserve"> </w:t>
            </w:r>
            <w:r w:rsidRPr="002A6F4E">
              <w:rPr>
                <w:rFonts w:ascii="Arial" w:hAnsi="Arial" w:cs="Arial"/>
                <w:lang w:val="en-US"/>
              </w:rPr>
              <w:t>funkcionisanje</w:t>
            </w:r>
            <w:r w:rsidRPr="002A6F4E">
              <w:rPr>
                <w:rFonts w:ascii="Arial" w:hAnsi="Arial" w:cs="Arial"/>
                <w:lang w:val="sr-Latn-CS"/>
              </w:rPr>
              <w:t xml:space="preserve">, </w:t>
            </w:r>
            <w:r w:rsidRPr="002A6F4E">
              <w:rPr>
                <w:rFonts w:ascii="Arial" w:hAnsi="Arial" w:cs="Arial"/>
                <w:lang w:val="en-US"/>
              </w:rPr>
              <w:t>odnosno</w:t>
            </w:r>
            <w:r w:rsidRPr="002A6F4E">
              <w:rPr>
                <w:rFonts w:ascii="Arial" w:hAnsi="Arial" w:cs="Arial"/>
                <w:lang w:val="sr-Latn-CS"/>
              </w:rPr>
              <w:t xml:space="preserve">, </w:t>
            </w:r>
            <w:r w:rsidRPr="002A6F4E">
              <w:rPr>
                <w:rFonts w:ascii="Arial" w:hAnsi="Arial" w:cs="Arial"/>
                <w:lang w:val="en-US"/>
              </w:rPr>
              <w:t>sprovo</w:t>
            </w:r>
            <w:r w:rsidRPr="002A6F4E">
              <w:rPr>
                <w:rFonts w:ascii="Arial" w:hAnsi="Arial" w:cs="Arial"/>
                <w:lang w:val="sr-Latn-CS"/>
              </w:rPr>
              <w:t>đ</w:t>
            </w:r>
            <w:r w:rsidRPr="002A6F4E">
              <w:rPr>
                <w:rFonts w:ascii="Arial" w:hAnsi="Arial" w:cs="Arial"/>
                <w:lang w:val="en-US"/>
              </w:rPr>
              <w:t>enje</w:t>
            </w:r>
            <w:r w:rsidRPr="002A6F4E">
              <w:rPr>
                <w:rFonts w:ascii="Arial" w:hAnsi="Arial" w:cs="Arial"/>
                <w:lang w:val="sr-Latn-CS"/>
              </w:rPr>
              <w:t xml:space="preserve"> </w:t>
            </w:r>
            <w:r w:rsidRPr="002A6F4E">
              <w:rPr>
                <w:rFonts w:ascii="Arial" w:hAnsi="Arial" w:cs="Arial"/>
                <w:lang w:val="en-US"/>
              </w:rPr>
              <w:t>zakonodavnog</w:t>
            </w:r>
            <w:r w:rsidRPr="002A6F4E">
              <w:rPr>
                <w:rFonts w:ascii="Arial" w:hAnsi="Arial" w:cs="Arial"/>
                <w:lang w:val="sr-Latn-CS"/>
              </w:rPr>
              <w:t xml:space="preserve"> </w:t>
            </w:r>
            <w:r w:rsidRPr="002A6F4E">
              <w:rPr>
                <w:rFonts w:ascii="Arial" w:hAnsi="Arial" w:cs="Arial"/>
                <w:lang w:val="en-US"/>
              </w:rPr>
              <w:t>sistema</w:t>
            </w:r>
            <w:r w:rsidRPr="002A6F4E">
              <w:rPr>
                <w:rFonts w:ascii="Arial" w:hAnsi="Arial" w:cs="Arial"/>
                <w:lang w:val="sr-Latn-CS"/>
              </w:rPr>
              <w:t xml:space="preserve"> </w:t>
            </w:r>
            <w:r w:rsidRPr="002A6F4E">
              <w:rPr>
                <w:rFonts w:ascii="Arial" w:hAnsi="Arial" w:cs="Arial"/>
                <w:lang w:val="en-US"/>
              </w:rPr>
              <w:t>u</w:t>
            </w:r>
            <w:r w:rsidRPr="002A6F4E">
              <w:rPr>
                <w:rFonts w:ascii="Arial" w:hAnsi="Arial" w:cs="Arial"/>
                <w:lang w:val="sr-Latn-CS"/>
              </w:rPr>
              <w:t xml:space="preserve"> </w:t>
            </w:r>
            <w:r w:rsidRPr="002A6F4E">
              <w:rPr>
                <w:rFonts w:ascii="Arial" w:hAnsi="Arial" w:cs="Arial"/>
                <w:lang w:val="en-US"/>
              </w:rPr>
              <w:t>praksi</w:t>
            </w:r>
            <w:r w:rsidRPr="002A6F4E">
              <w:rPr>
                <w:rFonts w:ascii="Arial" w:hAnsi="Arial" w:cs="Arial"/>
                <w:lang w:val="sr-Latn-CS"/>
              </w:rPr>
              <w:t xml:space="preserve"> </w:t>
            </w:r>
            <w:r w:rsidRPr="002A6F4E">
              <w:rPr>
                <w:rFonts w:ascii="Arial" w:hAnsi="Arial" w:cs="Arial"/>
                <w:lang w:val="en-US"/>
              </w:rPr>
              <w:t>upravljanja</w:t>
            </w:r>
            <w:r w:rsidRPr="002A6F4E">
              <w:rPr>
                <w:rFonts w:ascii="Arial" w:hAnsi="Arial" w:cs="Arial"/>
                <w:lang w:val="sr-Latn-CS"/>
              </w:rPr>
              <w:t xml:space="preserve"> </w:t>
            </w:r>
            <w:r w:rsidRPr="002A6F4E">
              <w:rPr>
                <w:rFonts w:ascii="Arial" w:hAnsi="Arial" w:cs="Arial"/>
                <w:lang w:val="en-US"/>
              </w:rPr>
              <w:t>otpadom</w:t>
            </w:r>
            <w:r w:rsidRPr="002A6F4E">
              <w:rPr>
                <w:rFonts w:ascii="Arial" w:hAnsi="Arial" w:cs="Arial"/>
                <w:lang w:val="sr-Latn-CS"/>
              </w:rPr>
              <w:t xml:space="preserve">, </w:t>
            </w:r>
            <w:r w:rsidRPr="002A6F4E">
              <w:rPr>
                <w:rFonts w:ascii="Arial" w:hAnsi="Arial" w:cs="Arial"/>
                <w:lang w:val="en-US"/>
              </w:rPr>
              <w:t>neophodno</w:t>
            </w:r>
            <w:r w:rsidRPr="002A6F4E">
              <w:rPr>
                <w:rFonts w:ascii="Arial" w:hAnsi="Arial" w:cs="Arial"/>
                <w:lang w:val="sr-Latn-CS"/>
              </w:rPr>
              <w:t xml:space="preserve"> </w:t>
            </w:r>
            <w:r w:rsidRPr="002A6F4E">
              <w:rPr>
                <w:rFonts w:ascii="Arial" w:hAnsi="Arial" w:cs="Arial"/>
                <w:lang w:val="en-US"/>
              </w:rPr>
              <w:t>je</w:t>
            </w:r>
            <w:r w:rsidRPr="002A6F4E">
              <w:rPr>
                <w:rFonts w:ascii="Arial" w:hAnsi="Arial" w:cs="Arial"/>
                <w:lang w:val="sr-Latn-CS"/>
              </w:rPr>
              <w:t xml:space="preserve"> </w:t>
            </w:r>
            <w:r w:rsidRPr="002A6F4E">
              <w:rPr>
                <w:rFonts w:ascii="Arial" w:hAnsi="Arial" w:cs="Arial"/>
                <w:lang w:val="en-US"/>
              </w:rPr>
              <w:t>postojanje</w:t>
            </w:r>
            <w:r w:rsidRPr="002A6F4E">
              <w:rPr>
                <w:rFonts w:ascii="Arial" w:hAnsi="Arial" w:cs="Arial"/>
                <w:lang w:val="sr-Latn-CS"/>
              </w:rPr>
              <w:t xml:space="preserve"> </w:t>
            </w:r>
            <w:r w:rsidRPr="002A6F4E">
              <w:rPr>
                <w:rFonts w:ascii="Arial" w:hAnsi="Arial" w:cs="Arial"/>
                <w:lang w:val="en-US"/>
              </w:rPr>
              <w:t>adekvatne</w:t>
            </w:r>
            <w:r w:rsidRPr="002A6F4E">
              <w:rPr>
                <w:rFonts w:ascii="Arial" w:hAnsi="Arial" w:cs="Arial"/>
                <w:lang w:val="sr-Latn-CS"/>
              </w:rPr>
              <w:t xml:space="preserve"> </w:t>
            </w:r>
            <w:r w:rsidRPr="002A6F4E">
              <w:rPr>
                <w:rFonts w:ascii="Arial" w:hAnsi="Arial" w:cs="Arial"/>
                <w:lang w:val="en-US"/>
              </w:rPr>
              <w:t>institucionalne</w:t>
            </w:r>
            <w:r w:rsidRPr="002A6F4E">
              <w:rPr>
                <w:rFonts w:ascii="Arial" w:hAnsi="Arial" w:cs="Arial"/>
                <w:lang w:val="sr-Latn-CS"/>
              </w:rPr>
              <w:t xml:space="preserve"> </w:t>
            </w:r>
            <w:r w:rsidRPr="002A6F4E">
              <w:rPr>
                <w:rFonts w:ascii="Arial" w:hAnsi="Arial" w:cs="Arial"/>
                <w:lang w:val="en-US"/>
              </w:rPr>
              <w:t>organizacije</w:t>
            </w:r>
            <w:r w:rsidRPr="002A6F4E">
              <w:rPr>
                <w:rFonts w:ascii="Arial" w:hAnsi="Arial" w:cs="Arial"/>
                <w:lang w:val="sr-Latn-CS"/>
              </w:rPr>
              <w:t xml:space="preserve">, </w:t>
            </w:r>
            <w:r w:rsidRPr="002A6F4E">
              <w:rPr>
                <w:rFonts w:ascii="Arial" w:hAnsi="Arial" w:cs="Arial"/>
                <w:lang w:val="en-US"/>
              </w:rPr>
              <w:t>koja</w:t>
            </w:r>
            <w:r w:rsidRPr="002A6F4E">
              <w:rPr>
                <w:rFonts w:ascii="Arial" w:hAnsi="Arial" w:cs="Arial"/>
                <w:lang w:val="sr-Latn-CS"/>
              </w:rPr>
              <w:t xml:space="preserve"> </w:t>
            </w:r>
            <w:r w:rsidRPr="002A6F4E">
              <w:rPr>
                <w:rFonts w:ascii="Arial" w:hAnsi="Arial" w:cs="Arial"/>
                <w:lang w:val="en-US"/>
              </w:rPr>
              <w:t>podrazumijeva</w:t>
            </w:r>
            <w:r w:rsidRPr="002A6F4E">
              <w:rPr>
                <w:rFonts w:ascii="Arial" w:hAnsi="Arial" w:cs="Arial"/>
                <w:lang w:val="sr-Latn-CS"/>
              </w:rPr>
              <w:t xml:space="preserve"> </w:t>
            </w:r>
            <w:r w:rsidRPr="002A6F4E">
              <w:rPr>
                <w:rFonts w:ascii="Arial" w:hAnsi="Arial" w:cs="Arial"/>
                <w:lang w:val="en-US"/>
              </w:rPr>
              <w:t>skup</w:t>
            </w:r>
            <w:r w:rsidRPr="002A6F4E">
              <w:rPr>
                <w:rFonts w:ascii="Arial" w:hAnsi="Arial" w:cs="Arial"/>
                <w:lang w:val="sr-Latn-CS"/>
              </w:rPr>
              <w:t xml:space="preserve"> </w:t>
            </w:r>
            <w:r w:rsidRPr="002A6F4E">
              <w:rPr>
                <w:rFonts w:ascii="Arial" w:hAnsi="Arial" w:cs="Arial"/>
                <w:lang w:val="en-US"/>
              </w:rPr>
              <w:t>dr</w:t>
            </w:r>
            <w:r w:rsidRPr="002A6F4E">
              <w:rPr>
                <w:rFonts w:ascii="Arial" w:hAnsi="Arial" w:cs="Arial"/>
                <w:lang w:val="sr-Latn-CS"/>
              </w:rPr>
              <w:t>ž</w:t>
            </w:r>
            <w:r w:rsidRPr="002A6F4E">
              <w:rPr>
                <w:rFonts w:ascii="Arial" w:hAnsi="Arial" w:cs="Arial"/>
                <w:lang w:val="en-US"/>
              </w:rPr>
              <w:t>avnih</w:t>
            </w:r>
            <w:r w:rsidRPr="002A6F4E">
              <w:rPr>
                <w:rFonts w:ascii="Arial" w:hAnsi="Arial" w:cs="Arial"/>
                <w:lang w:val="sr-Latn-CS"/>
              </w:rPr>
              <w:t xml:space="preserve"> </w:t>
            </w:r>
            <w:r w:rsidRPr="002A6F4E">
              <w:rPr>
                <w:rFonts w:ascii="Arial" w:hAnsi="Arial" w:cs="Arial"/>
                <w:lang w:val="en-US"/>
              </w:rPr>
              <w:t>organa</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javnih</w:t>
            </w:r>
            <w:r w:rsidRPr="002A6F4E">
              <w:rPr>
                <w:rFonts w:ascii="Arial" w:hAnsi="Arial" w:cs="Arial"/>
                <w:lang w:val="sr-Latn-CS"/>
              </w:rPr>
              <w:t xml:space="preserve"> </w:t>
            </w:r>
            <w:r w:rsidRPr="002A6F4E">
              <w:rPr>
                <w:rFonts w:ascii="Arial" w:hAnsi="Arial" w:cs="Arial"/>
                <w:lang w:val="en-US"/>
              </w:rPr>
              <w:t>slu</w:t>
            </w:r>
            <w:r w:rsidRPr="002A6F4E">
              <w:rPr>
                <w:rFonts w:ascii="Arial" w:hAnsi="Arial" w:cs="Arial"/>
                <w:lang w:val="sr-Latn-CS"/>
              </w:rPr>
              <w:t>ž</w:t>
            </w:r>
            <w:r w:rsidRPr="002A6F4E">
              <w:rPr>
                <w:rFonts w:ascii="Arial" w:hAnsi="Arial" w:cs="Arial"/>
                <w:lang w:val="en-US"/>
              </w:rPr>
              <w:t>bi</w:t>
            </w:r>
            <w:r w:rsidRPr="002A6F4E">
              <w:rPr>
                <w:rFonts w:ascii="Arial" w:hAnsi="Arial" w:cs="Arial"/>
                <w:lang w:val="sr-Latn-CS"/>
              </w:rPr>
              <w:t xml:space="preserve"> </w:t>
            </w:r>
            <w:r w:rsidRPr="002A6F4E">
              <w:rPr>
                <w:rFonts w:ascii="Arial" w:hAnsi="Arial" w:cs="Arial"/>
                <w:lang w:val="en-US"/>
              </w:rPr>
              <w:t>koje</w:t>
            </w:r>
            <w:r w:rsidRPr="002A6F4E">
              <w:rPr>
                <w:rFonts w:ascii="Arial" w:hAnsi="Arial" w:cs="Arial"/>
                <w:lang w:val="sr-Latn-CS"/>
              </w:rPr>
              <w:t xml:space="preserve"> </w:t>
            </w:r>
            <w:r w:rsidRPr="002A6F4E">
              <w:rPr>
                <w:rFonts w:ascii="Arial" w:hAnsi="Arial" w:cs="Arial"/>
                <w:lang w:val="en-US"/>
              </w:rPr>
              <w:t>u</w:t>
            </w:r>
            <w:r w:rsidRPr="002A6F4E">
              <w:rPr>
                <w:rFonts w:ascii="Arial" w:hAnsi="Arial" w:cs="Arial"/>
                <w:lang w:val="sr-Latn-CS"/>
              </w:rPr>
              <w:t xml:space="preserve"> </w:t>
            </w:r>
            <w:r w:rsidRPr="002A6F4E">
              <w:rPr>
                <w:rFonts w:ascii="Arial" w:hAnsi="Arial" w:cs="Arial"/>
                <w:lang w:val="en-US"/>
              </w:rPr>
              <w:t>zavisnosti</w:t>
            </w:r>
            <w:r w:rsidRPr="002A6F4E">
              <w:rPr>
                <w:rFonts w:ascii="Arial" w:hAnsi="Arial" w:cs="Arial"/>
                <w:lang w:val="sr-Latn-CS"/>
              </w:rPr>
              <w:t xml:space="preserve"> </w:t>
            </w:r>
            <w:r w:rsidRPr="002A6F4E">
              <w:rPr>
                <w:rFonts w:ascii="Arial" w:hAnsi="Arial" w:cs="Arial"/>
                <w:lang w:val="en-US"/>
              </w:rPr>
              <w:t>od</w:t>
            </w:r>
            <w:r w:rsidRPr="002A6F4E">
              <w:rPr>
                <w:rFonts w:ascii="Arial" w:hAnsi="Arial" w:cs="Arial"/>
                <w:lang w:val="sr-Latn-CS"/>
              </w:rPr>
              <w:t xml:space="preserve"> </w:t>
            </w:r>
            <w:r w:rsidRPr="002A6F4E">
              <w:rPr>
                <w:rFonts w:ascii="Arial" w:hAnsi="Arial" w:cs="Arial"/>
                <w:lang w:val="en-US"/>
              </w:rPr>
              <w:t>svog</w:t>
            </w:r>
            <w:r w:rsidRPr="002A6F4E">
              <w:rPr>
                <w:rFonts w:ascii="Arial" w:hAnsi="Arial" w:cs="Arial"/>
                <w:lang w:val="sr-Latn-CS"/>
              </w:rPr>
              <w:t xml:space="preserve"> </w:t>
            </w:r>
            <w:r w:rsidRPr="002A6F4E">
              <w:rPr>
                <w:rFonts w:ascii="Arial" w:hAnsi="Arial" w:cs="Arial"/>
                <w:lang w:val="en-US"/>
              </w:rPr>
              <w:t>zakonski</w:t>
            </w:r>
            <w:r w:rsidRPr="002A6F4E">
              <w:rPr>
                <w:rFonts w:ascii="Arial" w:hAnsi="Arial" w:cs="Arial"/>
                <w:lang w:val="sr-Latn-CS"/>
              </w:rPr>
              <w:t xml:space="preserve"> </w:t>
            </w:r>
            <w:r w:rsidRPr="002A6F4E">
              <w:rPr>
                <w:rFonts w:ascii="Arial" w:hAnsi="Arial" w:cs="Arial"/>
                <w:lang w:val="en-US"/>
              </w:rPr>
              <w:t>odre</w:t>
            </w:r>
            <w:r w:rsidRPr="002A6F4E">
              <w:rPr>
                <w:rFonts w:ascii="Arial" w:hAnsi="Arial" w:cs="Arial"/>
                <w:lang w:val="sr-Latn-CS"/>
              </w:rPr>
              <w:t>đ</w:t>
            </w:r>
            <w:r w:rsidRPr="002A6F4E">
              <w:rPr>
                <w:rFonts w:ascii="Arial" w:hAnsi="Arial" w:cs="Arial"/>
                <w:lang w:val="en-US"/>
              </w:rPr>
              <w:t>enog</w:t>
            </w:r>
            <w:r w:rsidRPr="002A6F4E">
              <w:rPr>
                <w:rFonts w:ascii="Arial" w:hAnsi="Arial" w:cs="Arial"/>
                <w:lang w:val="sr-Latn-CS"/>
              </w:rPr>
              <w:t xml:space="preserve"> </w:t>
            </w:r>
            <w:r w:rsidRPr="002A6F4E">
              <w:rPr>
                <w:rFonts w:ascii="Arial" w:hAnsi="Arial" w:cs="Arial"/>
                <w:lang w:val="en-US"/>
              </w:rPr>
              <w:t>hijerarhijskog</w:t>
            </w:r>
            <w:r w:rsidRPr="002A6F4E">
              <w:rPr>
                <w:rFonts w:ascii="Arial" w:hAnsi="Arial" w:cs="Arial"/>
                <w:lang w:val="sr-Latn-CS"/>
              </w:rPr>
              <w:t xml:space="preserve"> </w:t>
            </w:r>
            <w:r w:rsidRPr="002A6F4E">
              <w:rPr>
                <w:rFonts w:ascii="Arial" w:hAnsi="Arial" w:cs="Arial"/>
                <w:lang w:val="en-US"/>
              </w:rPr>
              <w:t>polo</w:t>
            </w:r>
            <w:r w:rsidRPr="002A6F4E">
              <w:rPr>
                <w:rFonts w:ascii="Arial" w:hAnsi="Arial" w:cs="Arial"/>
                <w:lang w:val="sr-Latn-CS"/>
              </w:rPr>
              <w:t>ž</w:t>
            </w:r>
            <w:r w:rsidRPr="002A6F4E">
              <w:rPr>
                <w:rFonts w:ascii="Arial" w:hAnsi="Arial" w:cs="Arial"/>
                <w:lang w:val="en-US"/>
              </w:rPr>
              <w:t>aja</w:t>
            </w:r>
            <w:r w:rsidRPr="002A6F4E">
              <w:rPr>
                <w:rFonts w:ascii="Arial" w:hAnsi="Arial" w:cs="Arial"/>
                <w:lang w:val="sr-Latn-CS"/>
              </w:rPr>
              <w:t xml:space="preserve"> </w:t>
            </w:r>
            <w:r w:rsidRPr="002A6F4E">
              <w:rPr>
                <w:rFonts w:ascii="Arial" w:hAnsi="Arial" w:cs="Arial"/>
                <w:lang w:val="en-US"/>
              </w:rPr>
              <w:t>imaju</w:t>
            </w:r>
            <w:r w:rsidRPr="002A6F4E">
              <w:rPr>
                <w:rFonts w:ascii="Arial" w:hAnsi="Arial" w:cs="Arial"/>
                <w:lang w:val="sr-Latn-CS"/>
              </w:rPr>
              <w:t xml:space="preserve"> </w:t>
            </w:r>
            <w:r w:rsidRPr="002A6F4E">
              <w:rPr>
                <w:rFonts w:ascii="Arial" w:hAnsi="Arial" w:cs="Arial"/>
                <w:lang w:val="en-US"/>
              </w:rPr>
              <w:t>ta</w:t>
            </w:r>
            <w:r w:rsidRPr="002A6F4E">
              <w:rPr>
                <w:rFonts w:ascii="Arial" w:hAnsi="Arial" w:cs="Arial"/>
                <w:lang w:val="sr-Latn-CS"/>
              </w:rPr>
              <w:t>č</w:t>
            </w:r>
            <w:r w:rsidRPr="002A6F4E">
              <w:rPr>
                <w:rFonts w:ascii="Arial" w:hAnsi="Arial" w:cs="Arial"/>
                <w:lang w:val="en-US"/>
              </w:rPr>
              <w:t>nu</w:t>
            </w:r>
            <w:r w:rsidRPr="002A6F4E">
              <w:rPr>
                <w:rFonts w:ascii="Arial" w:hAnsi="Arial" w:cs="Arial"/>
                <w:lang w:val="sr-Latn-CS"/>
              </w:rPr>
              <w:t xml:space="preserve"> </w:t>
            </w:r>
            <w:r w:rsidRPr="002A6F4E">
              <w:rPr>
                <w:rFonts w:ascii="Arial" w:hAnsi="Arial" w:cs="Arial"/>
                <w:lang w:val="en-US"/>
              </w:rPr>
              <w:t>utvr</w:t>
            </w:r>
            <w:r w:rsidRPr="002A6F4E">
              <w:rPr>
                <w:rFonts w:ascii="Arial" w:hAnsi="Arial" w:cs="Arial"/>
                <w:lang w:val="sr-Latn-CS"/>
              </w:rPr>
              <w:t>đ</w:t>
            </w:r>
            <w:r w:rsidRPr="002A6F4E">
              <w:rPr>
                <w:rFonts w:ascii="Arial" w:hAnsi="Arial" w:cs="Arial"/>
                <w:lang w:val="en-US"/>
              </w:rPr>
              <w:t>ene</w:t>
            </w:r>
            <w:r w:rsidRPr="002A6F4E">
              <w:rPr>
                <w:rFonts w:ascii="Arial" w:hAnsi="Arial" w:cs="Arial"/>
                <w:lang w:val="sr-Latn-CS"/>
              </w:rPr>
              <w:t xml:space="preserve"> </w:t>
            </w:r>
            <w:r w:rsidRPr="002A6F4E">
              <w:rPr>
                <w:rFonts w:ascii="Arial" w:hAnsi="Arial" w:cs="Arial"/>
                <w:lang w:val="en-US"/>
              </w:rPr>
              <w:t>nadle</w:t>
            </w:r>
            <w:r w:rsidRPr="002A6F4E">
              <w:rPr>
                <w:rFonts w:ascii="Arial" w:hAnsi="Arial" w:cs="Arial"/>
                <w:lang w:val="sr-Latn-CS"/>
              </w:rPr>
              <w:t>ž</w:t>
            </w:r>
            <w:r w:rsidRPr="002A6F4E">
              <w:rPr>
                <w:rFonts w:ascii="Arial" w:hAnsi="Arial" w:cs="Arial"/>
                <w:lang w:val="en-US"/>
              </w:rPr>
              <w:t>nosti</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odgovornosti</w:t>
            </w:r>
            <w:r w:rsidRPr="002A6F4E">
              <w:rPr>
                <w:rFonts w:ascii="Arial" w:hAnsi="Arial" w:cs="Arial"/>
                <w:lang w:val="sr-Latn-CS"/>
              </w:rPr>
              <w:t>;</w:t>
            </w:r>
          </w:p>
          <w:p w14:paraId="01237805" w14:textId="77777777"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en-US"/>
              </w:rPr>
              <w:t>Dosljedna</w:t>
            </w:r>
            <w:r w:rsidRPr="002A6F4E">
              <w:rPr>
                <w:rFonts w:ascii="Arial" w:hAnsi="Arial" w:cs="Arial"/>
                <w:lang w:val="sr-Latn-CS"/>
              </w:rPr>
              <w:t xml:space="preserve"> </w:t>
            </w:r>
            <w:r w:rsidRPr="002A6F4E">
              <w:rPr>
                <w:rFonts w:ascii="Arial" w:hAnsi="Arial" w:cs="Arial"/>
                <w:lang w:val="en-US"/>
              </w:rPr>
              <w:t>primjena</w:t>
            </w:r>
            <w:r w:rsidRPr="002A6F4E">
              <w:rPr>
                <w:rFonts w:ascii="Arial" w:hAnsi="Arial" w:cs="Arial"/>
                <w:lang w:val="sr-Latn-CS"/>
              </w:rPr>
              <w:t xml:space="preserve"> </w:t>
            </w:r>
            <w:r w:rsidRPr="002A6F4E">
              <w:rPr>
                <w:rFonts w:ascii="Arial" w:hAnsi="Arial" w:cs="Arial"/>
                <w:lang w:val="en-US"/>
              </w:rPr>
              <w:t>usvojenih</w:t>
            </w:r>
            <w:r w:rsidRPr="002A6F4E">
              <w:rPr>
                <w:rFonts w:ascii="Arial" w:hAnsi="Arial" w:cs="Arial"/>
                <w:lang w:val="sr-Latn-CS"/>
              </w:rPr>
              <w:t xml:space="preserve"> </w:t>
            </w:r>
            <w:r w:rsidRPr="002A6F4E">
              <w:rPr>
                <w:rFonts w:ascii="Arial" w:hAnsi="Arial" w:cs="Arial"/>
                <w:lang w:val="en-US"/>
              </w:rPr>
              <w:t>planskih</w:t>
            </w:r>
            <w:r w:rsidRPr="002A6F4E">
              <w:rPr>
                <w:rFonts w:ascii="Arial" w:hAnsi="Arial" w:cs="Arial"/>
                <w:lang w:val="sr-Latn-CS"/>
              </w:rPr>
              <w:t xml:space="preserve"> </w:t>
            </w:r>
            <w:r w:rsidRPr="002A6F4E">
              <w:rPr>
                <w:rFonts w:ascii="Arial" w:hAnsi="Arial" w:cs="Arial"/>
                <w:lang w:val="en-US"/>
              </w:rPr>
              <w:t>dokumenata</w:t>
            </w:r>
            <w:r w:rsidRPr="002A6F4E">
              <w:rPr>
                <w:rFonts w:ascii="Arial" w:hAnsi="Arial" w:cs="Arial"/>
                <w:lang w:val="sr-Latn-CS"/>
              </w:rPr>
              <w:t xml:space="preserve"> </w:t>
            </w:r>
            <w:r w:rsidRPr="002A6F4E">
              <w:rPr>
                <w:rFonts w:ascii="Arial" w:hAnsi="Arial" w:cs="Arial"/>
                <w:lang w:val="en-US"/>
              </w:rPr>
              <w:t>iz</w:t>
            </w:r>
            <w:r w:rsidRPr="002A6F4E">
              <w:rPr>
                <w:rFonts w:ascii="Arial" w:hAnsi="Arial" w:cs="Arial"/>
                <w:lang w:val="sr-Latn-CS"/>
              </w:rPr>
              <w:t xml:space="preserve"> </w:t>
            </w:r>
            <w:r w:rsidRPr="002A6F4E">
              <w:rPr>
                <w:rFonts w:ascii="Arial" w:hAnsi="Arial" w:cs="Arial"/>
                <w:lang w:val="en-US"/>
              </w:rPr>
              <w:t>prethodnog</w:t>
            </w:r>
            <w:r w:rsidRPr="002A6F4E">
              <w:rPr>
                <w:rFonts w:ascii="Arial" w:hAnsi="Arial" w:cs="Arial"/>
                <w:lang w:val="sr-Latn-CS"/>
              </w:rPr>
              <w:t xml:space="preserve"> </w:t>
            </w:r>
            <w:r w:rsidRPr="002A6F4E">
              <w:rPr>
                <w:rFonts w:ascii="Arial" w:hAnsi="Arial" w:cs="Arial"/>
                <w:lang w:val="en-US"/>
              </w:rPr>
              <w:t>perioda</w:t>
            </w:r>
            <w:r w:rsidRPr="002A6F4E">
              <w:rPr>
                <w:rFonts w:ascii="Arial" w:hAnsi="Arial" w:cs="Arial"/>
                <w:lang w:val="sr-Latn-CS"/>
              </w:rPr>
              <w:t xml:space="preserve">, </w:t>
            </w:r>
            <w:r w:rsidRPr="002A6F4E">
              <w:rPr>
                <w:rFonts w:ascii="Arial" w:hAnsi="Arial" w:cs="Arial"/>
                <w:lang w:val="en-US"/>
              </w:rPr>
              <w:t>kojima</w:t>
            </w:r>
            <w:r w:rsidRPr="002A6F4E">
              <w:rPr>
                <w:rFonts w:ascii="Arial" w:hAnsi="Arial" w:cs="Arial"/>
                <w:lang w:val="sr-Latn-CS"/>
              </w:rPr>
              <w:t xml:space="preserve"> </w:t>
            </w:r>
            <w:r w:rsidRPr="002A6F4E">
              <w:rPr>
                <w:rFonts w:ascii="Arial" w:hAnsi="Arial" w:cs="Arial"/>
                <w:lang w:val="en-US"/>
              </w:rPr>
              <w:t>su</w:t>
            </w:r>
            <w:r w:rsidRPr="002A6F4E">
              <w:rPr>
                <w:rFonts w:ascii="Arial" w:hAnsi="Arial" w:cs="Arial"/>
                <w:lang w:val="sr-Latn-CS"/>
              </w:rPr>
              <w:t xml:space="preserve"> </w:t>
            </w:r>
            <w:r w:rsidRPr="002A6F4E">
              <w:rPr>
                <w:rFonts w:ascii="Arial" w:hAnsi="Arial" w:cs="Arial"/>
                <w:lang w:val="en-US"/>
              </w:rPr>
              <w:t>definisana</w:t>
            </w:r>
            <w:r w:rsidRPr="002A6F4E">
              <w:rPr>
                <w:rFonts w:ascii="Arial" w:hAnsi="Arial" w:cs="Arial"/>
                <w:lang w:val="sr-Latn-CS"/>
              </w:rPr>
              <w:t xml:space="preserve"> </w:t>
            </w:r>
            <w:r w:rsidRPr="002A6F4E">
              <w:rPr>
                <w:rFonts w:ascii="Arial" w:hAnsi="Arial" w:cs="Arial"/>
                <w:lang w:val="en-US"/>
              </w:rPr>
              <w:t>pitanja</w:t>
            </w:r>
            <w:r w:rsidRPr="002A6F4E">
              <w:rPr>
                <w:rFonts w:ascii="Arial" w:hAnsi="Arial" w:cs="Arial"/>
                <w:lang w:val="sr-Latn-CS"/>
              </w:rPr>
              <w:t xml:space="preserve"> </w:t>
            </w:r>
            <w:r w:rsidRPr="002A6F4E">
              <w:rPr>
                <w:rFonts w:ascii="Arial" w:hAnsi="Arial" w:cs="Arial"/>
                <w:lang w:val="en-US"/>
              </w:rPr>
              <w:t>iz</w:t>
            </w:r>
            <w:r w:rsidRPr="002A6F4E">
              <w:rPr>
                <w:rFonts w:ascii="Arial" w:hAnsi="Arial" w:cs="Arial"/>
                <w:lang w:val="sr-Latn-CS"/>
              </w:rPr>
              <w:t xml:space="preserve"> </w:t>
            </w:r>
            <w:r w:rsidRPr="002A6F4E">
              <w:rPr>
                <w:rFonts w:ascii="Arial" w:hAnsi="Arial" w:cs="Arial"/>
                <w:lang w:val="en-US"/>
              </w:rPr>
              <w:t>oblasti</w:t>
            </w:r>
            <w:r w:rsidRPr="002A6F4E">
              <w:rPr>
                <w:rFonts w:ascii="Arial" w:hAnsi="Arial" w:cs="Arial"/>
                <w:lang w:val="sr-Latn-CS"/>
              </w:rPr>
              <w:t xml:space="preserve"> </w:t>
            </w:r>
            <w:r w:rsidRPr="002A6F4E">
              <w:rPr>
                <w:rFonts w:ascii="Arial" w:hAnsi="Arial" w:cs="Arial"/>
                <w:lang w:val="en-US"/>
              </w:rPr>
              <w:t>za</w:t>
            </w:r>
            <w:r w:rsidRPr="002A6F4E">
              <w:rPr>
                <w:rFonts w:ascii="Arial" w:hAnsi="Arial" w:cs="Arial"/>
                <w:lang w:val="sr-Latn-CS"/>
              </w:rPr>
              <w:t>š</w:t>
            </w:r>
            <w:r w:rsidRPr="002A6F4E">
              <w:rPr>
                <w:rFonts w:ascii="Arial" w:hAnsi="Arial" w:cs="Arial"/>
                <w:lang w:val="en-US"/>
              </w:rPr>
              <w:t>tite</w:t>
            </w:r>
            <w:r w:rsidRPr="002A6F4E">
              <w:rPr>
                <w:rFonts w:ascii="Arial" w:hAnsi="Arial" w:cs="Arial"/>
                <w:lang w:val="sr-Latn-CS"/>
              </w:rPr>
              <w:t xml:space="preserve"> ž</w:t>
            </w:r>
            <w:r w:rsidRPr="002A6F4E">
              <w:rPr>
                <w:rFonts w:ascii="Arial" w:hAnsi="Arial" w:cs="Arial"/>
                <w:lang w:val="en-US"/>
              </w:rPr>
              <w:t>ivotne</w:t>
            </w:r>
            <w:r w:rsidRPr="002A6F4E">
              <w:rPr>
                <w:rFonts w:ascii="Arial" w:hAnsi="Arial" w:cs="Arial"/>
                <w:lang w:val="sr-Latn-CS"/>
              </w:rPr>
              <w:t xml:space="preserve"> </w:t>
            </w:r>
            <w:r w:rsidRPr="002A6F4E">
              <w:rPr>
                <w:rFonts w:ascii="Arial" w:hAnsi="Arial" w:cs="Arial"/>
                <w:lang w:val="en-US"/>
              </w:rPr>
              <w:t>sredine</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upravljanja</w:t>
            </w:r>
            <w:r w:rsidRPr="002A6F4E">
              <w:rPr>
                <w:rFonts w:ascii="Arial" w:hAnsi="Arial" w:cs="Arial"/>
                <w:lang w:val="sr-Latn-CS"/>
              </w:rPr>
              <w:t xml:space="preserve"> </w:t>
            </w:r>
            <w:r w:rsidRPr="002A6F4E">
              <w:rPr>
                <w:rFonts w:ascii="Arial" w:hAnsi="Arial" w:cs="Arial"/>
                <w:lang w:val="en-US"/>
              </w:rPr>
              <w:t>otpadom</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postavljeni</w:t>
            </w:r>
            <w:r w:rsidRPr="002A6F4E">
              <w:rPr>
                <w:rFonts w:ascii="Arial" w:hAnsi="Arial" w:cs="Arial"/>
                <w:lang w:val="sr-Latn-CS"/>
              </w:rPr>
              <w:t xml:space="preserve"> </w:t>
            </w:r>
            <w:r w:rsidRPr="002A6F4E">
              <w:rPr>
                <w:rFonts w:ascii="Arial" w:hAnsi="Arial" w:cs="Arial"/>
                <w:lang w:val="en-US"/>
              </w:rPr>
              <w:t>kratkoro</w:t>
            </w:r>
            <w:r w:rsidRPr="002A6F4E">
              <w:rPr>
                <w:rFonts w:ascii="Arial" w:hAnsi="Arial" w:cs="Arial"/>
                <w:lang w:val="sr-Latn-CS"/>
              </w:rPr>
              <w:t>č</w:t>
            </w:r>
            <w:r w:rsidRPr="002A6F4E">
              <w:rPr>
                <w:rFonts w:ascii="Arial" w:hAnsi="Arial" w:cs="Arial"/>
                <w:lang w:val="en-US"/>
              </w:rPr>
              <w:t>ni</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dugoro</w:t>
            </w:r>
            <w:r w:rsidRPr="002A6F4E">
              <w:rPr>
                <w:rFonts w:ascii="Arial" w:hAnsi="Arial" w:cs="Arial"/>
                <w:lang w:val="sr-Latn-CS"/>
              </w:rPr>
              <w:t>č</w:t>
            </w:r>
            <w:r w:rsidRPr="002A6F4E">
              <w:rPr>
                <w:rFonts w:ascii="Arial" w:hAnsi="Arial" w:cs="Arial"/>
                <w:lang w:val="en-US"/>
              </w:rPr>
              <w:t>ni</w:t>
            </w:r>
            <w:r w:rsidRPr="002A6F4E">
              <w:rPr>
                <w:rFonts w:ascii="Arial" w:hAnsi="Arial" w:cs="Arial"/>
                <w:lang w:val="sr-Latn-CS"/>
              </w:rPr>
              <w:t xml:space="preserve"> </w:t>
            </w:r>
            <w:r w:rsidRPr="002A6F4E">
              <w:rPr>
                <w:rFonts w:ascii="Arial" w:hAnsi="Arial" w:cs="Arial"/>
                <w:lang w:val="en-US"/>
              </w:rPr>
              <w:t>ciljevi</w:t>
            </w:r>
            <w:r w:rsidRPr="002A6F4E">
              <w:rPr>
                <w:rFonts w:ascii="Arial" w:hAnsi="Arial" w:cs="Arial"/>
                <w:lang w:val="sr-Latn-CS"/>
              </w:rPr>
              <w:t xml:space="preserve">, </w:t>
            </w:r>
            <w:r w:rsidRPr="002A6F4E">
              <w:rPr>
                <w:rFonts w:ascii="Arial" w:hAnsi="Arial" w:cs="Arial"/>
                <w:lang w:val="en-US"/>
              </w:rPr>
              <w:t>kojima</w:t>
            </w:r>
            <w:r w:rsidRPr="002A6F4E">
              <w:rPr>
                <w:rFonts w:ascii="Arial" w:hAnsi="Arial" w:cs="Arial"/>
                <w:lang w:val="sr-Latn-CS"/>
              </w:rPr>
              <w:t xml:space="preserve"> </w:t>
            </w:r>
            <w:r w:rsidRPr="002A6F4E">
              <w:rPr>
                <w:rFonts w:ascii="Arial" w:hAnsi="Arial" w:cs="Arial"/>
                <w:lang w:val="en-US"/>
              </w:rPr>
              <w:t>se</w:t>
            </w:r>
            <w:r w:rsidRPr="002A6F4E">
              <w:rPr>
                <w:rFonts w:ascii="Arial" w:hAnsi="Arial" w:cs="Arial"/>
                <w:lang w:val="sr-Latn-CS"/>
              </w:rPr>
              <w:t xml:space="preserve"> </w:t>
            </w:r>
            <w:r w:rsidRPr="002A6F4E">
              <w:rPr>
                <w:rFonts w:ascii="Arial" w:hAnsi="Arial" w:cs="Arial"/>
                <w:lang w:val="en-US"/>
              </w:rPr>
              <w:t>te</w:t>
            </w:r>
            <w:r w:rsidRPr="002A6F4E">
              <w:rPr>
                <w:rFonts w:ascii="Arial" w:hAnsi="Arial" w:cs="Arial"/>
                <w:lang w:val="sr-Latn-CS"/>
              </w:rPr>
              <w:t>ž</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unapre</w:t>
            </w:r>
            <w:r w:rsidRPr="002A6F4E">
              <w:rPr>
                <w:rFonts w:ascii="Arial" w:hAnsi="Arial" w:cs="Arial"/>
                <w:lang w:val="sr-Latn-CS"/>
              </w:rPr>
              <w:t>đ</w:t>
            </w:r>
            <w:r w:rsidRPr="002A6F4E">
              <w:rPr>
                <w:rFonts w:ascii="Arial" w:hAnsi="Arial" w:cs="Arial"/>
                <w:lang w:val="en-US"/>
              </w:rPr>
              <w:t>enju</w:t>
            </w:r>
            <w:r w:rsidRPr="002A6F4E">
              <w:rPr>
                <w:rFonts w:ascii="Arial" w:hAnsi="Arial" w:cs="Arial"/>
                <w:lang w:val="sr-Latn-CS"/>
              </w:rPr>
              <w:t xml:space="preserve"> </w:t>
            </w:r>
            <w:r w:rsidRPr="002A6F4E">
              <w:rPr>
                <w:rFonts w:ascii="Arial" w:hAnsi="Arial" w:cs="Arial"/>
                <w:lang w:val="en-US"/>
              </w:rPr>
              <w:t>postoje</w:t>
            </w:r>
            <w:r w:rsidRPr="002A6F4E">
              <w:rPr>
                <w:rFonts w:ascii="Arial" w:hAnsi="Arial" w:cs="Arial"/>
                <w:lang w:val="sr-Latn-CS"/>
              </w:rPr>
              <w:t>ć</w:t>
            </w:r>
            <w:r w:rsidRPr="002A6F4E">
              <w:rPr>
                <w:rFonts w:ascii="Arial" w:hAnsi="Arial" w:cs="Arial"/>
                <w:lang w:val="en-US"/>
              </w:rPr>
              <w:t>eg</w:t>
            </w:r>
            <w:r w:rsidRPr="002A6F4E">
              <w:rPr>
                <w:rFonts w:ascii="Arial" w:hAnsi="Arial" w:cs="Arial"/>
                <w:lang w:val="sr-Latn-CS"/>
              </w:rPr>
              <w:t xml:space="preserve"> </w:t>
            </w:r>
            <w:r w:rsidRPr="002A6F4E">
              <w:rPr>
                <w:rFonts w:ascii="Arial" w:hAnsi="Arial" w:cs="Arial"/>
                <w:lang w:val="en-US"/>
              </w:rPr>
              <w:t>stanja</w:t>
            </w:r>
            <w:r w:rsidRPr="002A6F4E">
              <w:rPr>
                <w:rFonts w:ascii="Arial" w:hAnsi="Arial" w:cs="Arial"/>
                <w:lang w:val="sr-Latn-CS"/>
              </w:rPr>
              <w:t>;</w:t>
            </w:r>
          </w:p>
          <w:p w14:paraId="48C00081" w14:textId="77777777"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sr-Latn-CS"/>
              </w:rPr>
              <w:t>Dosljedno prihvatanja evropskih standarda i politika održivog upravljanja otpadom;</w:t>
            </w:r>
          </w:p>
          <w:p w14:paraId="08E0208C" w14:textId="64A82C7A"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de-DE"/>
              </w:rPr>
              <w:t>Korištenje</w:t>
            </w:r>
            <w:r w:rsidRPr="002A6F4E">
              <w:rPr>
                <w:rFonts w:ascii="Arial" w:hAnsi="Arial" w:cs="Arial"/>
                <w:spacing w:val="-6"/>
                <w:lang w:val="de-DE"/>
              </w:rPr>
              <w:t xml:space="preserve"> </w:t>
            </w:r>
            <w:r w:rsidRPr="002A6F4E">
              <w:rPr>
                <w:rFonts w:ascii="Arial" w:hAnsi="Arial" w:cs="Arial"/>
                <w:lang w:val="de-DE"/>
              </w:rPr>
              <w:t>EU</w:t>
            </w:r>
            <w:r w:rsidRPr="002A6F4E">
              <w:rPr>
                <w:rFonts w:ascii="Arial" w:hAnsi="Arial" w:cs="Arial"/>
                <w:spacing w:val="-5"/>
                <w:lang w:val="de-DE"/>
              </w:rPr>
              <w:t xml:space="preserve"> </w:t>
            </w:r>
            <w:r w:rsidRPr="002A6F4E">
              <w:rPr>
                <w:rFonts w:ascii="Arial" w:hAnsi="Arial" w:cs="Arial"/>
                <w:lang w:val="de-DE"/>
              </w:rPr>
              <w:t>fondova</w:t>
            </w:r>
            <w:r w:rsidRPr="002A6F4E">
              <w:rPr>
                <w:rFonts w:ascii="Arial" w:hAnsi="Arial" w:cs="Arial"/>
                <w:spacing w:val="-4"/>
                <w:lang w:val="de-DE"/>
              </w:rPr>
              <w:t xml:space="preserve"> </w:t>
            </w:r>
            <w:r w:rsidRPr="002A6F4E">
              <w:rPr>
                <w:rFonts w:ascii="Arial" w:hAnsi="Arial" w:cs="Arial"/>
                <w:lang w:val="de-DE"/>
              </w:rPr>
              <w:t>za</w:t>
            </w:r>
            <w:r w:rsidRPr="002A6F4E">
              <w:rPr>
                <w:rFonts w:ascii="Arial" w:hAnsi="Arial" w:cs="Arial"/>
                <w:spacing w:val="-3"/>
                <w:lang w:val="de-DE"/>
              </w:rPr>
              <w:t xml:space="preserve"> </w:t>
            </w:r>
            <w:r w:rsidRPr="002A6F4E">
              <w:rPr>
                <w:rFonts w:ascii="Arial" w:hAnsi="Arial" w:cs="Arial"/>
                <w:lang w:val="de-DE"/>
              </w:rPr>
              <w:t>unapređenje</w:t>
            </w:r>
            <w:r w:rsidRPr="002A6F4E">
              <w:rPr>
                <w:rFonts w:ascii="Arial" w:hAnsi="Arial" w:cs="Arial"/>
                <w:spacing w:val="-4"/>
                <w:lang w:val="de-DE"/>
              </w:rPr>
              <w:t xml:space="preserve"> </w:t>
            </w:r>
            <w:r w:rsidRPr="002A6F4E">
              <w:rPr>
                <w:rFonts w:ascii="Arial" w:hAnsi="Arial" w:cs="Arial"/>
                <w:lang w:val="de-DE"/>
              </w:rPr>
              <w:t>prostornog</w:t>
            </w:r>
            <w:r w:rsidRPr="002A6F4E">
              <w:rPr>
                <w:rFonts w:ascii="Arial" w:hAnsi="Arial" w:cs="Arial"/>
                <w:spacing w:val="-3"/>
                <w:lang w:val="de-DE"/>
              </w:rPr>
              <w:t xml:space="preserve"> </w:t>
            </w:r>
            <w:r w:rsidRPr="002A6F4E">
              <w:rPr>
                <w:rFonts w:ascii="Arial" w:hAnsi="Arial" w:cs="Arial"/>
                <w:spacing w:val="-2"/>
                <w:lang w:val="de-DE"/>
              </w:rPr>
              <w:t>razvoja;</w:t>
            </w:r>
          </w:p>
          <w:p w14:paraId="194D44F9" w14:textId="77777777"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de-DE"/>
              </w:rPr>
              <w:t>Korištenje</w:t>
            </w:r>
            <w:r w:rsidRPr="002A6F4E">
              <w:rPr>
                <w:rFonts w:ascii="Arial" w:hAnsi="Arial" w:cs="Arial"/>
                <w:spacing w:val="-7"/>
                <w:lang w:val="de-DE"/>
              </w:rPr>
              <w:t xml:space="preserve"> sredstava i fondova iz </w:t>
            </w:r>
            <w:r w:rsidRPr="002A6F4E">
              <w:rPr>
                <w:rFonts w:ascii="Arial" w:hAnsi="Arial" w:cs="Arial"/>
                <w:lang w:val="de-DE"/>
              </w:rPr>
              <w:t>programa</w:t>
            </w:r>
            <w:r w:rsidRPr="002A6F4E">
              <w:rPr>
                <w:rFonts w:ascii="Arial" w:hAnsi="Arial" w:cs="Arial"/>
                <w:spacing w:val="-7"/>
                <w:lang w:val="de-DE"/>
              </w:rPr>
              <w:t xml:space="preserve"> </w:t>
            </w:r>
            <w:r w:rsidRPr="002A6F4E">
              <w:rPr>
                <w:rFonts w:ascii="Arial" w:hAnsi="Arial" w:cs="Arial"/>
                <w:lang w:val="de-DE"/>
              </w:rPr>
              <w:t>energetske</w:t>
            </w:r>
            <w:r w:rsidRPr="002A6F4E">
              <w:rPr>
                <w:rFonts w:ascii="Arial" w:hAnsi="Arial" w:cs="Arial"/>
                <w:spacing w:val="-7"/>
                <w:lang w:val="de-DE"/>
              </w:rPr>
              <w:t xml:space="preserve">  efikasnosti;</w:t>
            </w:r>
          </w:p>
          <w:p w14:paraId="445BBB14" w14:textId="7EBC1308" w:rsidR="006C693A" w:rsidRPr="002A6F4E" w:rsidRDefault="006C693A" w:rsidP="00A23ED0">
            <w:pPr>
              <w:widowControl w:val="0"/>
              <w:numPr>
                <w:ilvl w:val="0"/>
                <w:numId w:val="107"/>
              </w:numPr>
              <w:tabs>
                <w:tab w:val="left" w:pos="469"/>
              </w:tabs>
              <w:autoSpaceDE w:val="0"/>
              <w:autoSpaceDN w:val="0"/>
              <w:spacing w:before="1" w:line="360" w:lineRule="auto"/>
              <w:ind w:right="102"/>
              <w:rPr>
                <w:rFonts w:ascii="Arial" w:eastAsia="Times New Roman" w:hAnsi="Arial" w:cs="Arial"/>
                <w:b w:val="0"/>
                <w:bCs w:val="0"/>
                <w:lang w:val="bs-Latn"/>
              </w:rPr>
            </w:pPr>
            <w:r w:rsidRPr="002A6F4E">
              <w:rPr>
                <w:rFonts w:ascii="Arial" w:eastAsia="Times New Roman" w:hAnsi="Arial" w:cs="Arial"/>
                <w:lang w:val="bs-Latn"/>
              </w:rPr>
              <w:t>Koriš</w:t>
            </w:r>
            <w:r w:rsidR="009C4B20">
              <w:rPr>
                <w:rFonts w:ascii="Arial" w:eastAsia="Times New Roman" w:hAnsi="Arial" w:cs="Arial"/>
                <w:lang w:val="bs-Latn"/>
              </w:rPr>
              <w:t>ć</w:t>
            </w:r>
            <w:r w:rsidRPr="002A6F4E">
              <w:rPr>
                <w:rFonts w:ascii="Arial" w:eastAsia="Times New Roman" w:hAnsi="Arial" w:cs="Arial"/>
                <w:lang w:val="bs-Latn"/>
              </w:rPr>
              <w:t>enje</w:t>
            </w:r>
            <w:r w:rsidRPr="002A6F4E">
              <w:rPr>
                <w:rFonts w:ascii="Arial" w:eastAsia="Times New Roman" w:hAnsi="Arial" w:cs="Arial"/>
                <w:spacing w:val="-3"/>
                <w:lang w:val="bs-Latn"/>
              </w:rPr>
              <w:t xml:space="preserve"> </w:t>
            </w:r>
            <w:r w:rsidRPr="002A6F4E">
              <w:rPr>
                <w:rFonts w:ascii="Arial" w:eastAsia="Times New Roman" w:hAnsi="Arial" w:cs="Arial"/>
                <w:lang w:val="bs-Latn"/>
              </w:rPr>
              <w:t>znanja</w:t>
            </w:r>
            <w:r w:rsidRPr="002A6F4E">
              <w:rPr>
                <w:rFonts w:ascii="Arial" w:eastAsia="Times New Roman" w:hAnsi="Arial" w:cs="Arial"/>
                <w:spacing w:val="-2"/>
                <w:lang w:val="bs-Latn"/>
              </w:rPr>
              <w:t xml:space="preserve"> </w:t>
            </w:r>
            <w:r w:rsidRPr="002A6F4E">
              <w:rPr>
                <w:rFonts w:ascii="Arial" w:eastAsia="Times New Roman" w:hAnsi="Arial" w:cs="Arial"/>
                <w:lang w:val="bs-Latn"/>
              </w:rPr>
              <w:t>i</w:t>
            </w:r>
            <w:r w:rsidRPr="002A6F4E">
              <w:rPr>
                <w:rFonts w:ascii="Arial" w:eastAsia="Times New Roman" w:hAnsi="Arial" w:cs="Arial"/>
                <w:spacing w:val="-3"/>
                <w:lang w:val="bs-Latn"/>
              </w:rPr>
              <w:t xml:space="preserve"> </w:t>
            </w:r>
            <w:r w:rsidRPr="002A6F4E">
              <w:rPr>
                <w:rFonts w:ascii="Arial" w:eastAsia="Times New Roman" w:hAnsi="Arial" w:cs="Arial"/>
                <w:lang w:val="bs-Latn"/>
              </w:rPr>
              <w:t>iskustva</w:t>
            </w:r>
            <w:r w:rsidRPr="002A6F4E">
              <w:rPr>
                <w:rFonts w:ascii="Arial" w:eastAsia="Times New Roman" w:hAnsi="Arial" w:cs="Arial"/>
                <w:spacing w:val="-5"/>
                <w:lang w:val="bs-Latn"/>
              </w:rPr>
              <w:t xml:space="preserve"> </w:t>
            </w:r>
            <w:r w:rsidRPr="002A6F4E">
              <w:rPr>
                <w:rFonts w:ascii="Arial" w:eastAsia="Times New Roman" w:hAnsi="Arial" w:cs="Arial"/>
                <w:lang w:val="bs-Latn"/>
              </w:rPr>
              <w:t>u</w:t>
            </w:r>
            <w:r w:rsidRPr="002A6F4E">
              <w:rPr>
                <w:rFonts w:ascii="Arial" w:eastAsia="Times New Roman" w:hAnsi="Arial" w:cs="Arial"/>
                <w:spacing w:val="-2"/>
                <w:lang w:val="bs-Latn"/>
              </w:rPr>
              <w:t xml:space="preserve"> </w:t>
            </w:r>
            <w:r w:rsidRPr="002A6F4E">
              <w:rPr>
                <w:rFonts w:ascii="Arial" w:eastAsia="Times New Roman" w:hAnsi="Arial" w:cs="Arial"/>
                <w:lang w:val="bs-Latn"/>
              </w:rPr>
              <w:t>zaštiti</w:t>
            </w:r>
            <w:r w:rsidRPr="002A6F4E">
              <w:rPr>
                <w:rFonts w:ascii="Arial" w:eastAsia="Times New Roman" w:hAnsi="Arial" w:cs="Arial"/>
                <w:spacing w:val="-1"/>
                <w:lang w:val="bs-Latn"/>
              </w:rPr>
              <w:t xml:space="preserve"> okruženja </w:t>
            </w:r>
            <w:r w:rsidRPr="002A6F4E">
              <w:rPr>
                <w:rFonts w:ascii="Arial" w:eastAsia="Times New Roman" w:hAnsi="Arial" w:cs="Arial"/>
                <w:lang w:val="bs-Latn"/>
              </w:rPr>
              <w:t>i</w:t>
            </w:r>
            <w:r w:rsidRPr="002A6F4E">
              <w:rPr>
                <w:rFonts w:ascii="Arial" w:eastAsia="Times New Roman" w:hAnsi="Arial" w:cs="Arial"/>
                <w:spacing w:val="-1"/>
                <w:lang w:val="bs-Latn"/>
              </w:rPr>
              <w:t xml:space="preserve"> </w:t>
            </w:r>
            <w:r w:rsidRPr="002A6F4E">
              <w:rPr>
                <w:rFonts w:ascii="Arial" w:eastAsia="Times New Roman" w:hAnsi="Arial" w:cs="Arial"/>
                <w:lang w:val="bs-Latn"/>
              </w:rPr>
              <w:t>prostornom</w:t>
            </w:r>
            <w:r w:rsidRPr="002A6F4E">
              <w:rPr>
                <w:rFonts w:ascii="Arial" w:eastAsia="Times New Roman" w:hAnsi="Arial" w:cs="Arial"/>
                <w:spacing w:val="-3"/>
                <w:lang w:val="bs-Latn"/>
              </w:rPr>
              <w:t xml:space="preserve"> </w:t>
            </w:r>
            <w:r w:rsidRPr="002A6F4E">
              <w:rPr>
                <w:rFonts w:ascii="Arial" w:eastAsia="Times New Roman" w:hAnsi="Arial" w:cs="Arial"/>
                <w:lang w:val="bs-Latn"/>
              </w:rPr>
              <w:t>razvoju</w:t>
            </w:r>
            <w:r w:rsidRPr="002A6F4E">
              <w:rPr>
                <w:rFonts w:ascii="Arial" w:eastAsia="Times New Roman" w:hAnsi="Arial" w:cs="Arial"/>
                <w:spacing w:val="-3"/>
                <w:lang w:val="bs-Latn"/>
              </w:rPr>
              <w:t xml:space="preserve"> </w:t>
            </w:r>
            <w:r w:rsidRPr="002A6F4E">
              <w:rPr>
                <w:rFonts w:ascii="Arial" w:eastAsia="Times New Roman" w:hAnsi="Arial" w:cs="Arial"/>
                <w:lang w:val="bs-Latn"/>
              </w:rPr>
              <w:t>od</w:t>
            </w:r>
            <w:r w:rsidRPr="002A6F4E">
              <w:rPr>
                <w:rFonts w:ascii="Arial" w:eastAsia="Times New Roman" w:hAnsi="Arial" w:cs="Arial"/>
                <w:spacing w:val="-2"/>
                <w:lang w:val="bs-Latn"/>
              </w:rPr>
              <w:t xml:space="preserve"> </w:t>
            </w:r>
            <w:r w:rsidRPr="002A6F4E">
              <w:rPr>
                <w:rFonts w:ascii="Arial" w:eastAsia="Times New Roman" w:hAnsi="Arial" w:cs="Arial"/>
                <w:lang w:val="bs-Latn"/>
              </w:rPr>
              <w:t>drugih regija EU kroz međunarodnu saradnju;</w:t>
            </w:r>
          </w:p>
          <w:p w14:paraId="0E24D811" w14:textId="39A6FE2A" w:rsidR="006C693A" w:rsidRPr="002A6F4E" w:rsidRDefault="006C693A" w:rsidP="00A23ED0">
            <w:pPr>
              <w:widowControl w:val="0"/>
              <w:numPr>
                <w:ilvl w:val="0"/>
                <w:numId w:val="107"/>
              </w:numPr>
              <w:tabs>
                <w:tab w:val="left" w:pos="469"/>
              </w:tabs>
              <w:autoSpaceDE w:val="0"/>
              <w:autoSpaceDN w:val="0"/>
              <w:spacing w:before="1" w:line="360" w:lineRule="auto"/>
              <w:ind w:right="102"/>
              <w:rPr>
                <w:rFonts w:ascii="Arial" w:eastAsia="Times New Roman" w:hAnsi="Arial" w:cs="Arial"/>
                <w:b w:val="0"/>
                <w:bCs w:val="0"/>
                <w:lang w:val="bs-Latn"/>
              </w:rPr>
            </w:pPr>
            <w:r w:rsidRPr="002A6F4E">
              <w:rPr>
                <w:rFonts w:ascii="Arial" w:eastAsia="TimesNewRomanPSMT" w:hAnsi="Arial" w:cs="Arial"/>
                <w:lang w:val="bs-Latn"/>
              </w:rPr>
              <w:t xml:space="preserve">Jasnije razdvajanje odgovornosti za planiranje, odnosno koje odluke treba donositi na </w:t>
            </w:r>
            <w:r w:rsidR="005536D9">
              <w:rPr>
                <w:rFonts w:ascii="Arial" w:eastAsia="TimesNewRomanPSMT" w:hAnsi="Arial" w:cs="Arial"/>
                <w:lang w:val="bs-Latn"/>
              </w:rPr>
              <w:t>državnom</w:t>
            </w:r>
            <w:r w:rsidRPr="002A6F4E">
              <w:rPr>
                <w:rFonts w:ascii="Arial" w:eastAsia="TimesNewRomanPSMT" w:hAnsi="Arial" w:cs="Arial"/>
                <w:lang w:val="bs-Latn"/>
              </w:rPr>
              <w:t>, a koje na lokalnom nivou;</w:t>
            </w:r>
          </w:p>
          <w:p w14:paraId="3681C9EF" w14:textId="77777777" w:rsidR="006C693A" w:rsidRPr="002A6F4E" w:rsidRDefault="006C693A" w:rsidP="00A23ED0">
            <w:pPr>
              <w:widowControl w:val="0"/>
              <w:numPr>
                <w:ilvl w:val="0"/>
                <w:numId w:val="107"/>
              </w:numPr>
              <w:tabs>
                <w:tab w:val="left" w:pos="469"/>
              </w:tabs>
              <w:autoSpaceDE w:val="0"/>
              <w:autoSpaceDN w:val="0"/>
              <w:spacing w:before="1" w:line="360" w:lineRule="auto"/>
              <w:ind w:right="102"/>
              <w:rPr>
                <w:rFonts w:ascii="Arial" w:eastAsia="Times New Roman" w:hAnsi="Arial" w:cs="Arial"/>
                <w:b w:val="0"/>
                <w:bCs w:val="0"/>
                <w:lang w:val="bs-Latn"/>
              </w:rPr>
            </w:pPr>
            <w:r w:rsidRPr="002A6F4E">
              <w:rPr>
                <w:rFonts w:ascii="Arial" w:eastAsia="TimesNewRomanPSMT" w:hAnsi="Arial" w:cs="Arial"/>
                <w:lang w:val="bs-Latn"/>
              </w:rPr>
              <w:t>Razvoj programa obuke i podrške opštinama u cilju jačanja kompetencija zaposlenih u opštinama;</w:t>
            </w:r>
          </w:p>
          <w:p w14:paraId="2C2CB3C9" w14:textId="56E75E1C" w:rsidR="006C693A" w:rsidRPr="002A6F4E" w:rsidRDefault="006C693A" w:rsidP="00A23ED0">
            <w:pPr>
              <w:widowControl w:val="0"/>
              <w:numPr>
                <w:ilvl w:val="0"/>
                <w:numId w:val="107"/>
              </w:numPr>
              <w:tabs>
                <w:tab w:val="left" w:pos="469"/>
              </w:tabs>
              <w:autoSpaceDE w:val="0"/>
              <w:autoSpaceDN w:val="0"/>
              <w:spacing w:before="1" w:line="360" w:lineRule="auto"/>
              <w:ind w:right="102"/>
              <w:rPr>
                <w:rFonts w:ascii="Arial" w:eastAsia="Times New Roman" w:hAnsi="Arial" w:cs="Arial"/>
                <w:b w:val="0"/>
                <w:bCs w:val="0"/>
                <w:lang w:val="bs-Latn"/>
              </w:rPr>
            </w:pPr>
            <w:r w:rsidRPr="002A6F4E">
              <w:rPr>
                <w:rFonts w:ascii="Arial" w:eastAsia="TimesNewRomanPSMT" w:hAnsi="Arial" w:cs="Arial"/>
                <w:lang w:val="bs-Latn"/>
              </w:rPr>
              <w:t xml:space="preserve">Jačanje vještina zaposlenih u </w:t>
            </w:r>
            <w:r w:rsidR="005536D9">
              <w:rPr>
                <w:rFonts w:ascii="Arial" w:eastAsia="TimesNewRomanPSMT" w:hAnsi="Arial" w:cs="Arial"/>
                <w:lang w:val="bs-Latn"/>
              </w:rPr>
              <w:t>državnim organima</w:t>
            </w:r>
            <w:r w:rsidRPr="002A6F4E">
              <w:rPr>
                <w:rFonts w:ascii="Arial" w:eastAsia="TimesNewRomanPSMT" w:hAnsi="Arial" w:cs="Arial"/>
                <w:lang w:val="bs-Latn"/>
              </w:rPr>
              <w:t xml:space="preserve"> i jedinicama lokalne samouprave</w:t>
            </w:r>
            <w:r w:rsidR="005536D9">
              <w:rPr>
                <w:rFonts w:ascii="Arial" w:eastAsia="TimesNewRomanPSMT" w:hAnsi="Arial" w:cs="Arial"/>
                <w:lang w:val="bs-Latn"/>
              </w:rPr>
              <w:t>;</w:t>
            </w:r>
          </w:p>
          <w:p w14:paraId="49F9F751" w14:textId="71E2CC05" w:rsidR="006C693A" w:rsidRPr="002A6F4E" w:rsidRDefault="006C693A" w:rsidP="00A23ED0">
            <w:pPr>
              <w:widowControl w:val="0"/>
              <w:numPr>
                <w:ilvl w:val="0"/>
                <w:numId w:val="107"/>
              </w:numPr>
              <w:tabs>
                <w:tab w:val="left" w:pos="469"/>
              </w:tabs>
              <w:autoSpaceDE w:val="0"/>
              <w:autoSpaceDN w:val="0"/>
              <w:spacing w:before="1" w:line="360" w:lineRule="auto"/>
              <w:ind w:right="102"/>
              <w:rPr>
                <w:rFonts w:ascii="Arial" w:eastAsia="Times New Roman" w:hAnsi="Arial" w:cs="Arial"/>
                <w:b w:val="0"/>
                <w:bCs w:val="0"/>
                <w:lang w:val="bs-Latn"/>
              </w:rPr>
            </w:pPr>
            <w:r w:rsidRPr="002A6F4E">
              <w:rPr>
                <w:rFonts w:ascii="Arial" w:eastAsia="TimesNewRomanPSMT" w:hAnsi="Arial" w:cs="Arial"/>
                <w:lang w:val="bs-Latn"/>
              </w:rPr>
              <w:t>Poboljšan odnos komunalnih preduzeća i građana intenziviranjem aktivnosti ovih preduzeća u oblasti odnosa s javnošću;</w:t>
            </w:r>
          </w:p>
          <w:p w14:paraId="1591BB57" w14:textId="77777777"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eastAsia="TimesNewRomanPSMT" w:hAnsi="Arial" w:cs="Arial"/>
                <w:lang w:val="en-US"/>
              </w:rPr>
              <w:t>Podizanje</w:t>
            </w:r>
            <w:r w:rsidRPr="002A6F4E">
              <w:rPr>
                <w:rFonts w:ascii="Arial" w:eastAsia="TimesNewRomanPSMT" w:hAnsi="Arial" w:cs="Arial"/>
                <w:lang w:val="bs-Latn"/>
              </w:rPr>
              <w:t xml:space="preserve"> </w:t>
            </w:r>
            <w:r w:rsidRPr="002A6F4E">
              <w:rPr>
                <w:rFonts w:ascii="Arial" w:eastAsia="TimesNewRomanPSMT" w:hAnsi="Arial" w:cs="Arial"/>
                <w:lang w:val="en-US"/>
              </w:rPr>
              <w:t>nivoa</w:t>
            </w:r>
            <w:r w:rsidRPr="002A6F4E">
              <w:rPr>
                <w:rFonts w:ascii="Arial" w:eastAsia="TimesNewRomanPSMT" w:hAnsi="Arial" w:cs="Arial"/>
                <w:lang w:val="bs-Latn"/>
              </w:rPr>
              <w:t xml:space="preserve"> </w:t>
            </w:r>
            <w:r w:rsidRPr="002A6F4E">
              <w:rPr>
                <w:rFonts w:ascii="Arial" w:eastAsia="TimesNewRomanPSMT" w:hAnsi="Arial" w:cs="Arial"/>
                <w:lang w:val="en-US"/>
              </w:rPr>
              <w:t>svijesti</w:t>
            </w:r>
            <w:r w:rsidRPr="002A6F4E">
              <w:rPr>
                <w:rFonts w:ascii="Arial" w:eastAsia="TimesNewRomanPSMT" w:hAnsi="Arial" w:cs="Arial"/>
                <w:lang w:val="bs-Latn"/>
              </w:rPr>
              <w:t xml:space="preserve"> </w:t>
            </w:r>
            <w:r w:rsidRPr="002A6F4E">
              <w:rPr>
                <w:rFonts w:ascii="Arial" w:eastAsia="TimesNewRomanPSMT" w:hAnsi="Arial" w:cs="Arial"/>
                <w:lang w:val="en-US"/>
              </w:rPr>
              <w:t>javnosti</w:t>
            </w:r>
            <w:r w:rsidRPr="002A6F4E">
              <w:rPr>
                <w:rFonts w:ascii="Arial" w:eastAsia="TimesNewRomanPSMT" w:hAnsi="Arial" w:cs="Arial"/>
                <w:lang w:val="bs-Latn"/>
              </w:rPr>
              <w:t xml:space="preserve"> </w:t>
            </w:r>
            <w:r w:rsidRPr="002A6F4E">
              <w:rPr>
                <w:rFonts w:ascii="Arial" w:eastAsia="TimesNewRomanPSMT" w:hAnsi="Arial" w:cs="Arial"/>
                <w:lang w:val="en-US"/>
              </w:rPr>
              <w:t>o</w:t>
            </w:r>
            <w:r w:rsidRPr="002A6F4E">
              <w:rPr>
                <w:rFonts w:ascii="Arial" w:eastAsia="TimesNewRomanPSMT" w:hAnsi="Arial" w:cs="Arial"/>
                <w:lang w:val="bs-Latn"/>
              </w:rPr>
              <w:t xml:space="preserve"> </w:t>
            </w:r>
            <w:r w:rsidRPr="002A6F4E">
              <w:rPr>
                <w:rFonts w:ascii="Arial" w:eastAsia="TimesNewRomanPSMT" w:hAnsi="Arial" w:cs="Arial"/>
                <w:lang w:val="en-US"/>
              </w:rPr>
              <w:t>zna</w:t>
            </w:r>
            <w:r w:rsidRPr="002A6F4E">
              <w:rPr>
                <w:rFonts w:ascii="Arial" w:eastAsia="TimesNewRomanPSMT" w:hAnsi="Arial" w:cs="Arial"/>
                <w:lang w:val="bs-Latn"/>
              </w:rPr>
              <w:t>č</w:t>
            </w:r>
            <w:r w:rsidRPr="002A6F4E">
              <w:rPr>
                <w:rFonts w:ascii="Arial" w:eastAsia="TimesNewRomanPSMT" w:hAnsi="Arial" w:cs="Arial"/>
                <w:lang w:val="en-US"/>
              </w:rPr>
              <w:t>aju</w:t>
            </w:r>
            <w:r w:rsidRPr="002A6F4E">
              <w:rPr>
                <w:rFonts w:ascii="Arial" w:eastAsia="TimesNewRomanPSMT" w:hAnsi="Arial" w:cs="Arial"/>
                <w:lang w:val="bs-Latn"/>
              </w:rPr>
              <w:t xml:space="preserve"> </w:t>
            </w:r>
            <w:r w:rsidRPr="002A6F4E">
              <w:rPr>
                <w:rFonts w:ascii="Arial" w:eastAsia="TimesNewRomanPSMT" w:hAnsi="Arial" w:cs="Arial"/>
                <w:lang w:val="en-US"/>
              </w:rPr>
              <w:t>pravilnog</w:t>
            </w:r>
            <w:r w:rsidRPr="002A6F4E">
              <w:rPr>
                <w:rFonts w:ascii="Arial" w:eastAsia="TimesNewRomanPSMT" w:hAnsi="Arial" w:cs="Arial"/>
                <w:lang w:val="bs-Latn"/>
              </w:rPr>
              <w:t xml:space="preserve"> </w:t>
            </w:r>
            <w:r w:rsidRPr="002A6F4E">
              <w:rPr>
                <w:rFonts w:ascii="Arial" w:eastAsia="TimesNewRomanPSMT" w:hAnsi="Arial" w:cs="Arial"/>
                <w:lang w:val="en-US"/>
              </w:rPr>
              <w:t>upravljanja</w:t>
            </w:r>
            <w:r w:rsidRPr="002A6F4E">
              <w:rPr>
                <w:rFonts w:ascii="Arial" w:eastAsia="TimesNewRomanPSMT" w:hAnsi="Arial" w:cs="Arial"/>
                <w:lang w:val="bs-Latn"/>
              </w:rPr>
              <w:t xml:space="preserve"> </w:t>
            </w:r>
            <w:r w:rsidRPr="002A6F4E">
              <w:rPr>
                <w:rFonts w:ascii="Arial" w:eastAsia="TimesNewRomanPSMT" w:hAnsi="Arial" w:cs="Arial"/>
                <w:lang w:val="en-US"/>
              </w:rPr>
              <w:t>otpadom</w:t>
            </w:r>
            <w:r w:rsidRPr="002A6F4E">
              <w:rPr>
                <w:rFonts w:ascii="Arial" w:eastAsia="TimesNewRomanPSMT" w:hAnsi="Arial" w:cs="Arial"/>
                <w:lang w:val="bs-Latn"/>
              </w:rPr>
              <w:t xml:space="preserve"> </w:t>
            </w:r>
            <w:r w:rsidRPr="002A6F4E">
              <w:rPr>
                <w:rFonts w:ascii="Arial" w:eastAsia="TimesNewRomanPSMT" w:hAnsi="Arial" w:cs="Arial"/>
                <w:lang w:val="en-US"/>
              </w:rPr>
              <w:t>i</w:t>
            </w:r>
            <w:r w:rsidRPr="002A6F4E">
              <w:rPr>
                <w:rFonts w:ascii="Arial" w:eastAsia="TimesNewRomanPSMT" w:hAnsi="Arial" w:cs="Arial"/>
                <w:lang w:val="bs-Latn"/>
              </w:rPr>
              <w:t xml:space="preserve"> </w:t>
            </w:r>
            <w:r w:rsidRPr="002A6F4E">
              <w:rPr>
                <w:rFonts w:ascii="Arial" w:eastAsia="TimesNewRomanPSMT" w:hAnsi="Arial" w:cs="Arial"/>
                <w:lang w:val="en-US"/>
              </w:rPr>
              <w:t>uklju</w:t>
            </w:r>
            <w:r w:rsidRPr="002A6F4E">
              <w:rPr>
                <w:rFonts w:ascii="Arial" w:eastAsia="TimesNewRomanPSMT" w:hAnsi="Arial" w:cs="Arial"/>
                <w:lang w:val="bs-Latn"/>
              </w:rPr>
              <w:t>č</w:t>
            </w:r>
            <w:r w:rsidRPr="002A6F4E">
              <w:rPr>
                <w:rFonts w:ascii="Arial" w:eastAsia="TimesNewRomanPSMT" w:hAnsi="Arial" w:cs="Arial"/>
                <w:lang w:val="en-US"/>
              </w:rPr>
              <w:t>ivanje</w:t>
            </w:r>
            <w:r w:rsidRPr="002A6F4E">
              <w:rPr>
                <w:rFonts w:ascii="Arial" w:eastAsia="TimesNewRomanPSMT" w:hAnsi="Arial" w:cs="Arial"/>
                <w:lang w:val="bs-Latn"/>
              </w:rPr>
              <w:t xml:space="preserve"> </w:t>
            </w:r>
            <w:r w:rsidRPr="002A6F4E">
              <w:rPr>
                <w:rFonts w:ascii="Arial" w:eastAsia="TimesNewRomanPSMT" w:hAnsi="Arial" w:cs="Arial"/>
                <w:lang w:val="en-US"/>
              </w:rPr>
              <w:t>javnosti</w:t>
            </w:r>
            <w:r w:rsidRPr="002A6F4E">
              <w:rPr>
                <w:rFonts w:ascii="Arial" w:eastAsia="TimesNewRomanPSMT" w:hAnsi="Arial" w:cs="Arial"/>
                <w:lang w:val="bs-Latn"/>
              </w:rPr>
              <w:t xml:space="preserve"> </w:t>
            </w:r>
            <w:r w:rsidRPr="002A6F4E">
              <w:rPr>
                <w:rFonts w:ascii="Arial" w:eastAsia="TimesNewRomanPSMT" w:hAnsi="Arial" w:cs="Arial"/>
                <w:lang w:val="en-US"/>
              </w:rPr>
              <w:t>u</w:t>
            </w:r>
            <w:r w:rsidRPr="002A6F4E">
              <w:rPr>
                <w:rFonts w:ascii="Arial" w:eastAsia="TimesNewRomanPSMT" w:hAnsi="Arial" w:cs="Arial"/>
                <w:lang w:val="bs-Latn"/>
              </w:rPr>
              <w:t xml:space="preserve"> </w:t>
            </w:r>
            <w:r w:rsidRPr="002A6F4E">
              <w:rPr>
                <w:rFonts w:ascii="Arial" w:eastAsia="TimesNewRomanPSMT" w:hAnsi="Arial" w:cs="Arial"/>
                <w:lang w:val="en-US"/>
              </w:rPr>
              <w:t>proces</w:t>
            </w:r>
            <w:r w:rsidRPr="002A6F4E">
              <w:rPr>
                <w:rFonts w:ascii="Arial" w:eastAsia="TimesNewRomanPSMT" w:hAnsi="Arial" w:cs="Arial"/>
                <w:lang w:val="bs-Latn"/>
              </w:rPr>
              <w:t xml:space="preserve"> </w:t>
            </w:r>
            <w:r w:rsidRPr="002A6F4E">
              <w:rPr>
                <w:rFonts w:ascii="Arial" w:eastAsia="TimesNewRomanPSMT" w:hAnsi="Arial" w:cs="Arial"/>
                <w:lang w:val="en-US"/>
              </w:rPr>
              <w:t>dono</w:t>
            </w:r>
            <w:r w:rsidRPr="002A6F4E">
              <w:rPr>
                <w:rFonts w:ascii="Arial" w:eastAsia="TimesNewRomanPSMT" w:hAnsi="Arial" w:cs="Arial"/>
                <w:lang w:val="bs-Latn"/>
              </w:rPr>
              <w:t>š</w:t>
            </w:r>
            <w:r w:rsidRPr="002A6F4E">
              <w:rPr>
                <w:rFonts w:ascii="Arial" w:eastAsia="TimesNewRomanPSMT" w:hAnsi="Arial" w:cs="Arial"/>
                <w:lang w:val="en-US"/>
              </w:rPr>
              <w:t>enja</w:t>
            </w:r>
            <w:r w:rsidRPr="002A6F4E">
              <w:rPr>
                <w:rFonts w:ascii="Arial" w:eastAsia="TimesNewRomanPSMT" w:hAnsi="Arial" w:cs="Arial"/>
                <w:lang w:val="bs-Latn"/>
              </w:rPr>
              <w:t xml:space="preserve"> </w:t>
            </w:r>
            <w:r w:rsidRPr="002A6F4E">
              <w:rPr>
                <w:rFonts w:ascii="Arial" w:eastAsia="TimesNewRomanPSMT" w:hAnsi="Arial" w:cs="Arial"/>
                <w:lang w:val="en-US"/>
              </w:rPr>
              <w:t>odluka</w:t>
            </w:r>
            <w:r w:rsidRPr="002A6F4E">
              <w:rPr>
                <w:rFonts w:ascii="Arial" w:eastAsia="TimesNewRomanPSMT" w:hAnsi="Arial" w:cs="Arial"/>
                <w:lang w:val="bs-Latn"/>
              </w:rPr>
              <w:t>;</w:t>
            </w:r>
          </w:p>
          <w:p w14:paraId="12CCB513" w14:textId="04BF9118"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en-US"/>
              </w:rPr>
              <w:t>Prilika</w:t>
            </w:r>
            <w:r w:rsidRPr="002A6F4E">
              <w:rPr>
                <w:rFonts w:ascii="Arial" w:hAnsi="Arial" w:cs="Arial"/>
                <w:lang w:val="sr-Latn-CS"/>
              </w:rPr>
              <w:t xml:space="preserve"> </w:t>
            </w:r>
            <w:r w:rsidRPr="002A6F4E">
              <w:rPr>
                <w:rFonts w:ascii="Arial" w:hAnsi="Arial" w:cs="Arial"/>
                <w:lang w:val="en-US"/>
              </w:rPr>
              <w:t>za</w:t>
            </w:r>
            <w:r w:rsidRPr="002A6F4E">
              <w:rPr>
                <w:rFonts w:ascii="Arial" w:hAnsi="Arial" w:cs="Arial"/>
                <w:lang w:val="sr-Latn-CS"/>
              </w:rPr>
              <w:t xml:space="preserve"> </w:t>
            </w:r>
            <w:r w:rsidRPr="002A6F4E">
              <w:rPr>
                <w:rFonts w:ascii="Arial" w:hAnsi="Arial" w:cs="Arial"/>
                <w:lang w:val="en-US"/>
              </w:rPr>
              <w:t>ja</w:t>
            </w:r>
            <w:r w:rsidRPr="002A6F4E">
              <w:rPr>
                <w:rFonts w:ascii="Arial" w:hAnsi="Arial" w:cs="Arial"/>
                <w:lang w:val="sr-Latn-CS"/>
              </w:rPr>
              <w:t>č</w:t>
            </w:r>
            <w:r w:rsidRPr="002A6F4E">
              <w:rPr>
                <w:rFonts w:ascii="Arial" w:hAnsi="Arial" w:cs="Arial"/>
                <w:lang w:val="en-US"/>
              </w:rPr>
              <w:t>anje</w:t>
            </w:r>
            <w:r w:rsidRPr="002A6F4E">
              <w:rPr>
                <w:rFonts w:ascii="Arial" w:hAnsi="Arial" w:cs="Arial"/>
                <w:lang w:val="sr-Latn-CS"/>
              </w:rPr>
              <w:t xml:space="preserve"> </w:t>
            </w:r>
            <w:r w:rsidRPr="002A6F4E">
              <w:rPr>
                <w:rFonts w:ascii="Arial" w:hAnsi="Arial" w:cs="Arial"/>
                <w:lang w:val="en-US"/>
              </w:rPr>
              <w:t>sv</w:t>
            </w:r>
            <w:r w:rsidR="00EB0F9F">
              <w:rPr>
                <w:rFonts w:ascii="Arial" w:hAnsi="Arial" w:cs="Arial"/>
                <w:lang w:val="en-US"/>
              </w:rPr>
              <w:t>ij</w:t>
            </w:r>
            <w:r w:rsidRPr="002A6F4E">
              <w:rPr>
                <w:rFonts w:ascii="Arial" w:hAnsi="Arial" w:cs="Arial"/>
                <w:lang w:val="en-US"/>
              </w:rPr>
              <w:t>esti</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edukacije</w:t>
            </w:r>
            <w:r w:rsidRPr="002A6F4E">
              <w:rPr>
                <w:rFonts w:ascii="Arial" w:hAnsi="Arial" w:cs="Arial"/>
                <w:lang w:val="sr-Latn-CS"/>
              </w:rPr>
              <w:t xml:space="preserve"> </w:t>
            </w:r>
            <w:r w:rsidRPr="002A6F4E">
              <w:rPr>
                <w:rFonts w:ascii="Arial" w:hAnsi="Arial" w:cs="Arial"/>
                <w:lang w:val="en-US"/>
              </w:rPr>
              <w:t>o</w:t>
            </w:r>
            <w:r w:rsidRPr="002A6F4E">
              <w:rPr>
                <w:rFonts w:ascii="Arial" w:hAnsi="Arial" w:cs="Arial"/>
                <w:spacing w:val="1"/>
                <w:lang w:val="sr-Latn-CS"/>
              </w:rPr>
              <w:t xml:space="preserve"> </w:t>
            </w:r>
            <w:r w:rsidRPr="002A6F4E">
              <w:rPr>
                <w:rFonts w:ascii="Arial" w:hAnsi="Arial" w:cs="Arial"/>
                <w:lang w:val="en-US"/>
              </w:rPr>
              <w:t>pravilnom</w:t>
            </w:r>
            <w:r w:rsidRPr="002A6F4E">
              <w:rPr>
                <w:rFonts w:ascii="Arial" w:hAnsi="Arial" w:cs="Arial"/>
                <w:lang w:val="sr-Latn-CS"/>
              </w:rPr>
              <w:t xml:space="preserve"> </w:t>
            </w:r>
            <w:r w:rsidRPr="002A6F4E">
              <w:rPr>
                <w:rFonts w:ascii="Arial" w:hAnsi="Arial" w:cs="Arial"/>
                <w:lang w:val="en-US"/>
              </w:rPr>
              <w:t>upravljanju</w:t>
            </w:r>
            <w:r w:rsidRPr="002A6F4E">
              <w:rPr>
                <w:rFonts w:ascii="Arial" w:hAnsi="Arial" w:cs="Arial"/>
                <w:lang w:val="sr-Latn-CS"/>
              </w:rPr>
              <w:t xml:space="preserve"> </w:t>
            </w:r>
            <w:r w:rsidRPr="002A6F4E">
              <w:rPr>
                <w:rFonts w:ascii="Arial" w:hAnsi="Arial" w:cs="Arial"/>
                <w:lang w:val="en-US"/>
              </w:rPr>
              <w:t>otpadom</w:t>
            </w:r>
            <w:r w:rsidRPr="002A6F4E">
              <w:rPr>
                <w:rFonts w:ascii="Arial" w:hAnsi="Arial" w:cs="Arial"/>
                <w:lang w:val="sr-Latn-CS"/>
              </w:rPr>
              <w:t xml:space="preserve">, </w:t>
            </w:r>
            <w:r w:rsidRPr="002A6F4E">
              <w:rPr>
                <w:rFonts w:ascii="Arial" w:hAnsi="Arial" w:cs="Arial"/>
                <w:lang w:val="en-US"/>
              </w:rPr>
              <w:t>kako</w:t>
            </w:r>
            <w:r w:rsidRPr="002A6F4E">
              <w:rPr>
                <w:rFonts w:ascii="Arial" w:hAnsi="Arial" w:cs="Arial"/>
                <w:lang w:val="sr-Latn-CS"/>
              </w:rPr>
              <w:t xml:space="preserve"> </w:t>
            </w:r>
            <w:r w:rsidRPr="002A6F4E">
              <w:rPr>
                <w:rFonts w:ascii="Arial" w:hAnsi="Arial" w:cs="Arial"/>
                <w:lang w:val="en-US"/>
              </w:rPr>
              <w:t>me</w:t>
            </w:r>
            <w:r w:rsidRPr="002A6F4E">
              <w:rPr>
                <w:rFonts w:ascii="Arial" w:hAnsi="Arial" w:cs="Arial"/>
                <w:lang w:val="sr-Latn-CS"/>
              </w:rPr>
              <w:t>đ</w:t>
            </w:r>
            <w:r w:rsidRPr="002A6F4E">
              <w:rPr>
                <w:rFonts w:ascii="Arial" w:hAnsi="Arial" w:cs="Arial"/>
                <w:lang w:val="en-US"/>
              </w:rPr>
              <w:t>u</w:t>
            </w:r>
            <w:r w:rsidRPr="002A6F4E">
              <w:rPr>
                <w:rFonts w:ascii="Arial" w:hAnsi="Arial" w:cs="Arial"/>
                <w:spacing w:val="1"/>
                <w:lang w:val="sr-Latn-CS"/>
              </w:rPr>
              <w:t xml:space="preserve"> </w:t>
            </w:r>
            <w:r w:rsidRPr="002A6F4E">
              <w:rPr>
                <w:rFonts w:ascii="Arial" w:hAnsi="Arial" w:cs="Arial"/>
                <w:lang w:val="en-US"/>
              </w:rPr>
              <w:t>ustanovama</w:t>
            </w:r>
            <w:r w:rsidRPr="002A6F4E">
              <w:rPr>
                <w:rFonts w:ascii="Arial" w:hAnsi="Arial" w:cs="Arial"/>
                <w:lang w:val="sr-Latn-CS"/>
              </w:rPr>
              <w:t xml:space="preserve">, </w:t>
            </w:r>
            <w:r w:rsidRPr="002A6F4E">
              <w:rPr>
                <w:rFonts w:ascii="Arial" w:hAnsi="Arial" w:cs="Arial"/>
                <w:lang w:val="en-US"/>
              </w:rPr>
              <w:t>tako</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me</w:t>
            </w:r>
            <w:r w:rsidRPr="002A6F4E">
              <w:rPr>
                <w:rFonts w:ascii="Arial" w:hAnsi="Arial" w:cs="Arial"/>
                <w:lang w:val="sr-Latn-CS"/>
              </w:rPr>
              <w:t>đ</w:t>
            </w:r>
            <w:r w:rsidRPr="002A6F4E">
              <w:rPr>
                <w:rFonts w:ascii="Arial" w:hAnsi="Arial" w:cs="Arial"/>
                <w:lang w:val="en-US"/>
              </w:rPr>
              <w:t>u</w:t>
            </w:r>
            <w:r w:rsidRPr="002A6F4E">
              <w:rPr>
                <w:rFonts w:ascii="Arial" w:hAnsi="Arial" w:cs="Arial"/>
                <w:lang w:val="sr-Latn-CS"/>
              </w:rPr>
              <w:t xml:space="preserve"> š</w:t>
            </w:r>
            <w:r w:rsidRPr="002A6F4E">
              <w:rPr>
                <w:rFonts w:ascii="Arial" w:hAnsi="Arial" w:cs="Arial"/>
                <w:lang w:val="en-US"/>
              </w:rPr>
              <w:t>irom</w:t>
            </w:r>
            <w:r w:rsidRPr="002A6F4E">
              <w:rPr>
                <w:rFonts w:ascii="Arial" w:hAnsi="Arial" w:cs="Arial"/>
                <w:lang w:val="sr-Latn-CS"/>
              </w:rPr>
              <w:t xml:space="preserve"> </w:t>
            </w:r>
            <w:r w:rsidRPr="002A6F4E">
              <w:rPr>
                <w:rFonts w:ascii="Arial" w:hAnsi="Arial" w:cs="Arial"/>
                <w:lang w:val="en-US"/>
              </w:rPr>
              <w:t>javno</w:t>
            </w:r>
            <w:r w:rsidRPr="002A6F4E">
              <w:rPr>
                <w:rFonts w:ascii="Arial" w:hAnsi="Arial" w:cs="Arial"/>
                <w:lang w:val="sr-Latn-CS"/>
              </w:rPr>
              <w:t>šć</w:t>
            </w:r>
            <w:r w:rsidRPr="002A6F4E">
              <w:rPr>
                <w:rFonts w:ascii="Arial" w:hAnsi="Arial" w:cs="Arial"/>
                <w:lang w:val="en-US"/>
              </w:rPr>
              <w:t>u</w:t>
            </w:r>
            <w:r w:rsidRPr="002A6F4E">
              <w:rPr>
                <w:rFonts w:ascii="Arial" w:hAnsi="Arial" w:cs="Arial"/>
                <w:lang w:val="sr-Latn-CS"/>
              </w:rPr>
              <w:t>;</w:t>
            </w:r>
          </w:p>
          <w:p w14:paraId="524B63C8" w14:textId="302B5368"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en-US"/>
              </w:rPr>
              <w:t>Napredak</w:t>
            </w:r>
            <w:r w:rsidRPr="002A6F4E">
              <w:rPr>
                <w:rFonts w:ascii="Arial" w:hAnsi="Arial" w:cs="Arial"/>
                <w:spacing w:val="1"/>
                <w:lang w:val="sr-Latn-CS"/>
              </w:rPr>
              <w:t xml:space="preserve"> </w:t>
            </w:r>
            <w:r w:rsidRPr="002A6F4E">
              <w:rPr>
                <w:rFonts w:ascii="Arial" w:hAnsi="Arial" w:cs="Arial"/>
                <w:lang w:val="en-US"/>
              </w:rPr>
              <w:t>u</w:t>
            </w:r>
            <w:r w:rsidRPr="002A6F4E">
              <w:rPr>
                <w:rFonts w:ascii="Arial" w:hAnsi="Arial" w:cs="Arial"/>
                <w:spacing w:val="1"/>
                <w:lang w:val="sr-Latn-CS"/>
              </w:rPr>
              <w:t xml:space="preserve"> </w:t>
            </w:r>
            <w:r w:rsidRPr="002A6F4E">
              <w:rPr>
                <w:rFonts w:ascii="Arial" w:hAnsi="Arial" w:cs="Arial"/>
                <w:lang w:val="en-US"/>
              </w:rPr>
              <w:t>tehnologiji</w:t>
            </w:r>
            <w:r w:rsidRPr="002A6F4E">
              <w:rPr>
                <w:rFonts w:ascii="Arial" w:hAnsi="Arial" w:cs="Arial"/>
                <w:spacing w:val="1"/>
                <w:lang w:val="sr-Latn-CS"/>
              </w:rPr>
              <w:t xml:space="preserve"> </w:t>
            </w:r>
            <w:r w:rsidR="005536D9">
              <w:rPr>
                <w:rFonts w:ascii="Arial" w:hAnsi="Arial" w:cs="Arial"/>
                <w:spacing w:val="1"/>
                <w:lang w:val="en-US"/>
              </w:rPr>
              <w:t>sa</w:t>
            </w:r>
            <w:r w:rsidRPr="002A6F4E">
              <w:rPr>
                <w:rFonts w:ascii="Arial" w:hAnsi="Arial" w:cs="Arial"/>
                <w:spacing w:val="1"/>
                <w:lang w:val="en-US"/>
              </w:rPr>
              <w:t>kupljanja</w:t>
            </w:r>
            <w:r w:rsidRPr="002A6F4E">
              <w:rPr>
                <w:rFonts w:ascii="Arial" w:hAnsi="Arial" w:cs="Arial"/>
                <w:spacing w:val="1"/>
                <w:lang w:val="sr-Latn-CS"/>
              </w:rPr>
              <w:t xml:space="preserve"> </w:t>
            </w:r>
            <w:r w:rsidRPr="002A6F4E">
              <w:rPr>
                <w:rFonts w:ascii="Arial" w:hAnsi="Arial" w:cs="Arial"/>
                <w:spacing w:val="1"/>
                <w:lang w:val="en-US"/>
              </w:rPr>
              <w:t>i</w:t>
            </w:r>
            <w:r w:rsidRPr="002A6F4E">
              <w:rPr>
                <w:rFonts w:ascii="Arial" w:hAnsi="Arial" w:cs="Arial"/>
                <w:spacing w:val="1"/>
                <w:lang w:val="sr-Latn-CS"/>
              </w:rPr>
              <w:t xml:space="preserve"> </w:t>
            </w:r>
            <w:r w:rsidRPr="002A6F4E">
              <w:rPr>
                <w:rFonts w:ascii="Arial" w:hAnsi="Arial" w:cs="Arial"/>
                <w:spacing w:val="1"/>
                <w:lang w:val="en-US"/>
              </w:rPr>
              <w:t>obrade</w:t>
            </w:r>
            <w:r w:rsidRPr="002A6F4E">
              <w:rPr>
                <w:rFonts w:ascii="Arial" w:hAnsi="Arial" w:cs="Arial"/>
                <w:spacing w:val="1"/>
                <w:lang w:val="sr-Latn-CS"/>
              </w:rPr>
              <w:t xml:space="preserve"> </w:t>
            </w:r>
            <w:r w:rsidRPr="002A6F4E">
              <w:rPr>
                <w:rFonts w:ascii="Arial" w:hAnsi="Arial" w:cs="Arial"/>
                <w:lang w:val="en-US"/>
              </w:rPr>
              <w:t>mo</w:t>
            </w:r>
            <w:r w:rsidRPr="002A6F4E">
              <w:rPr>
                <w:rFonts w:ascii="Arial" w:hAnsi="Arial" w:cs="Arial"/>
                <w:lang w:val="sr-Latn-CS"/>
              </w:rPr>
              <w:t>ž</w:t>
            </w:r>
            <w:r w:rsidRPr="002A6F4E">
              <w:rPr>
                <w:rFonts w:ascii="Arial" w:hAnsi="Arial" w:cs="Arial"/>
                <w:lang w:val="en-US"/>
              </w:rPr>
              <w:t>e</w:t>
            </w:r>
            <w:r w:rsidRPr="002A6F4E">
              <w:rPr>
                <w:rFonts w:ascii="Arial" w:hAnsi="Arial" w:cs="Arial"/>
                <w:spacing w:val="1"/>
                <w:lang w:val="sr-Latn-CS"/>
              </w:rPr>
              <w:t xml:space="preserve"> </w:t>
            </w:r>
            <w:r w:rsidRPr="002A6F4E">
              <w:rPr>
                <w:rFonts w:ascii="Arial" w:hAnsi="Arial" w:cs="Arial"/>
                <w:lang w:val="en-US"/>
              </w:rPr>
              <w:t>pru</w:t>
            </w:r>
            <w:r w:rsidRPr="002A6F4E">
              <w:rPr>
                <w:rFonts w:ascii="Arial" w:hAnsi="Arial" w:cs="Arial"/>
                <w:lang w:val="sr-Latn-CS"/>
              </w:rPr>
              <w:t>ž</w:t>
            </w:r>
            <w:r w:rsidRPr="002A6F4E">
              <w:rPr>
                <w:rFonts w:ascii="Arial" w:hAnsi="Arial" w:cs="Arial"/>
                <w:lang w:val="en-US"/>
              </w:rPr>
              <w:t>iti</w:t>
            </w:r>
            <w:r w:rsidRPr="002A6F4E">
              <w:rPr>
                <w:rFonts w:ascii="Arial" w:hAnsi="Arial" w:cs="Arial"/>
                <w:spacing w:val="1"/>
                <w:lang w:val="sr-Latn-CS"/>
              </w:rPr>
              <w:t xml:space="preserve"> </w:t>
            </w:r>
            <w:r w:rsidRPr="002A6F4E">
              <w:rPr>
                <w:rFonts w:ascii="Arial" w:hAnsi="Arial" w:cs="Arial"/>
                <w:lang w:val="en-US"/>
              </w:rPr>
              <w:t>nove</w:t>
            </w:r>
            <w:r w:rsidRPr="002A6F4E">
              <w:rPr>
                <w:rFonts w:ascii="Arial" w:hAnsi="Arial" w:cs="Arial"/>
                <w:spacing w:val="1"/>
                <w:lang w:val="sr-Latn-CS"/>
              </w:rPr>
              <w:t xml:space="preserve"> </w:t>
            </w:r>
            <w:r w:rsidRPr="002A6F4E">
              <w:rPr>
                <w:rFonts w:ascii="Arial" w:hAnsi="Arial" w:cs="Arial"/>
                <w:lang w:val="en-US"/>
              </w:rPr>
              <w:t>metode</w:t>
            </w:r>
            <w:r w:rsidRPr="002A6F4E">
              <w:rPr>
                <w:rFonts w:ascii="Arial" w:hAnsi="Arial" w:cs="Arial"/>
                <w:spacing w:val="50"/>
                <w:lang w:val="sr-Latn-CS"/>
              </w:rPr>
              <w:t xml:space="preserve"> </w:t>
            </w:r>
            <w:r w:rsidRPr="002A6F4E">
              <w:rPr>
                <w:rFonts w:ascii="Arial" w:hAnsi="Arial" w:cs="Arial"/>
                <w:lang w:val="en-US"/>
              </w:rPr>
              <w:t>i</w:t>
            </w:r>
            <w:r w:rsidRPr="002A6F4E">
              <w:rPr>
                <w:rFonts w:ascii="Arial" w:hAnsi="Arial" w:cs="Arial"/>
                <w:spacing w:val="1"/>
                <w:lang w:val="sr-Latn-CS"/>
              </w:rPr>
              <w:t xml:space="preserve"> </w:t>
            </w:r>
            <w:r w:rsidRPr="002A6F4E">
              <w:rPr>
                <w:rFonts w:ascii="Arial" w:hAnsi="Arial" w:cs="Arial"/>
                <w:lang w:val="en-US"/>
              </w:rPr>
              <w:t>r</w:t>
            </w:r>
            <w:r w:rsidR="00EB0F9F">
              <w:rPr>
                <w:rFonts w:ascii="Arial" w:hAnsi="Arial" w:cs="Arial"/>
                <w:lang w:val="en-US"/>
              </w:rPr>
              <w:t>j</w:t>
            </w:r>
            <w:r w:rsidRPr="002A6F4E">
              <w:rPr>
                <w:rFonts w:ascii="Arial" w:hAnsi="Arial" w:cs="Arial"/>
                <w:lang w:val="en-US"/>
              </w:rPr>
              <w:t>e</w:t>
            </w:r>
            <w:r w:rsidRPr="002A6F4E">
              <w:rPr>
                <w:rFonts w:ascii="Arial" w:hAnsi="Arial" w:cs="Arial"/>
                <w:lang w:val="sr-Latn-CS"/>
              </w:rPr>
              <w:t>š</w:t>
            </w:r>
            <w:r w:rsidRPr="002A6F4E">
              <w:rPr>
                <w:rFonts w:ascii="Arial" w:hAnsi="Arial" w:cs="Arial"/>
                <w:lang w:val="en-US"/>
              </w:rPr>
              <w:t>enja</w:t>
            </w:r>
            <w:r w:rsidRPr="002A6F4E">
              <w:rPr>
                <w:rFonts w:ascii="Arial" w:hAnsi="Arial" w:cs="Arial"/>
                <w:lang w:val="sr-Latn-CS"/>
              </w:rPr>
              <w:t xml:space="preserve"> </w:t>
            </w:r>
            <w:r w:rsidRPr="002A6F4E">
              <w:rPr>
                <w:rFonts w:ascii="Arial" w:hAnsi="Arial" w:cs="Arial"/>
                <w:lang w:val="en-US"/>
              </w:rPr>
              <w:t>za</w:t>
            </w:r>
            <w:r w:rsidRPr="002A6F4E">
              <w:rPr>
                <w:rFonts w:ascii="Arial" w:hAnsi="Arial" w:cs="Arial"/>
                <w:lang w:val="sr-Latn-CS"/>
              </w:rPr>
              <w:t xml:space="preserve"> </w:t>
            </w:r>
            <w:r w:rsidRPr="002A6F4E">
              <w:rPr>
                <w:rFonts w:ascii="Arial" w:hAnsi="Arial" w:cs="Arial"/>
                <w:lang w:val="en-US"/>
              </w:rPr>
              <w:t>efikasn</w:t>
            </w:r>
            <w:r w:rsidR="005536D9">
              <w:rPr>
                <w:rFonts w:ascii="Arial" w:hAnsi="Arial" w:cs="Arial"/>
                <w:lang w:val="en-US"/>
              </w:rPr>
              <w:t>u</w:t>
            </w:r>
            <w:r w:rsidRPr="002A6F4E">
              <w:rPr>
                <w:rFonts w:ascii="Arial" w:hAnsi="Arial" w:cs="Arial"/>
                <w:lang w:val="sr-Latn-CS"/>
              </w:rPr>
              <w:t xml:space="preserve"> </w:t>
            </w:r>
            <w:r w:rsidR="005536D9">
              <w:rPr>
                <w:rFonts w:ascii="Arial" w:hAnsi="Arial" w:cs="Arial"/>
                <w:lang w:val="en-US"/>
              </w:rPr>
              <w:t>obradu</w:t>
            </w:r>
            <w:r w:rsidRPr="002A6F4E">
              <w:rPr>
                <w:rFonts w:ascii="Arial" w:hAnsi="Arial" w:cs="Arial"/>
                <w:lang w:val="sr-Latn-CS"/>
              </w:rPr>
              <w:t xml:space="preserve"> </w:t>
            </w:r>
            <w:r w:rsidRPr="002A6F4E">
              <w:rPr>
                <w:rFonts w:ascii="Arial" w:hAnsi="Arial" w:cs="Arial"/>
                <w:lang w:val="en-US"/>
              </w:rPr>
              <w:t>otpada</w:t>
            </w:r>
            <w:r w:rsidRPr="002A6F4E">
              <w:rPr>
                <w:rFonts w:ascii="Arial" w:hAnsi="Arial" w:cs="Arial"/>
                <w:lang w:val="sr-Latn-CS"/>
              </w:rPr>
              <w:t xml:space="preserve">; </w:t>
            </w:r>
          </w:p>
          <w:p w14:paraId="313FCD3E" w14:textId="62B11F7E"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en-US"/>
              </w:rPr>
              <w:t>Postoji</w:t>
            </w:r>
            <w:r w:rsidRPr="002A6F4E">
              <w:rPr>
                <w:rFonts w:ascii="Arial" w:hAnsi="Arial" w:cs="Arial"/>
                <w:lang w:val="sr-Latn-CS"/>
              </w:rPr>
              <w:t xml:space="preserve"> </w:t>
            </w:r>
            <w:r w:rsidRPr="002A6F4E">
              <w:rPr>
                <w:rFonts w:ascii="Arial" w:hAnsi="Arial" w:cs="Arial"/>
                <w:lang w:val="en-US"/>
              </w:rPr>
              <w:t>mogu</w:t>
            </w:r>
            <w:r w:rsidRPr="002A6F4E">
              <w:rPr>
                <w:rFonts w:ascii="Arial" w:hAnsi="Arial" w:cs="Arial"/>
                <w:lang w:val="sr-Latn-CS"/>
              </w:rPr>
              <w:t>ć</w:t>
            </w:r>
            <w:r w:rsidRPr="002A6F4E">
              <w:rPr>
                <w:rFonts w:ascii="Arial" w:hAnsi="Arial" w:cs="Arial"/>
                <w:lang w:val="en-US"/>
              </w:rPr>
              <w:t>nost</w:t>
            </w:r>
            <w:r w:rsidRPr="002A6F4E">
              <w:rPr>
                <w:rFonts w:ascii="Arial" w:hAnsi="Arial" w:cs="Arial"/>
                <w:lang w:val="sr-Latn-CS"/>
              </w:rPr>
              <w:t xml:space="preserve"> </w:t>
            </w:r>
            <w:r w:rsidRPr="002A6F4E">
              <w:rPr>
                <w:rFonts w:ascii="Arial" w:hAnsi="Arial" w:cs="Arial"/>
                <w:lang w:val="en-US"/>
              </w:rPr>
              <w:t>za</w:t>
            </w:r>
            <w:r w:rsidRPr="002A6F4E">
              <w:rPr>
                <w:rFonts w:ascii="Arial" w:hAnsi="Arial" w:cs="Arial"/>
                <w:lang w:val="sr-Latn-CS"/>
              </w:rPr>
              <w:t xml:space="preserve"> </w:t>
            </w:r>
            <w:r w:rsidRPr="002A6F4E">
              <w:rPr>
                <w:rFonts w:ascii="Arial" w:hAnsi="Arial" w:cs="Arial"/>
                <w:lang w:val="en-US"/>
              </w:rPr>
              <w:t>ja</w:t>
            </w:r>
            <w:r w:rsidRPr="002A6F4E">
              <w:rPr>
                <w:rFonts w:ascii="Arial" w:hAnsi="Arial" w:cs="Arial"/>
                <w:lang w:val="sr-Latn-CS"/>
              </w:rPr>
              <w:t>č</w:t>
            </w:r>
            <w:r w:rsidRPr="002A6F4E">
              <w:rPr>
                <w:rFonts w:ascii="Arial" w:hAnsi="Arial" w:cs="Arial"/>
                <w:lang w:val="en-US"/>
              </w:rPr>
              <w:t>u</w:t>
            </w:r>
            <w:r w:rsidRPr="002A6F4E">
              <w:rPr>
                <w:rFonts w:ascii="Arial" w:hAnsi="Arial" w:cs="Arial"/>
                <w:lang w:val="sr-Latn-CS"/>
              </w:rPr>
              <w:t xml:space="preserve"> </w:t>
            </w:r>
            <w:r w:rsidRPr="002A6F4E">
              <w:rPr>
                <w:rFonts w:ascii="Arial" w:hAnsi="Arial" w:cs="Arial"/>
                <w:lang w:val="en-US"/>
              </w:rPr>
              <w:t>regionalnu</w:t>
            </w:r>
            <w:r w:rsidRPr="002A6F4E">
              <w:rPr>
                <w:rFonts w:ascii="Arial" w:hAnsi="Arial" w:cs="Arial"/>
                <w:lang w:val="sr-Latn-CS"/>
              </w:rPr>
              <w:t xml:space="preserve"> </w:t>
            </w:r>
            <w:r w:rsidRPr="002A6F4E">
              <w:rPr>
                <w:rFonts w:ascii="Arial" w:hAnsi="Arial" w:cs="Arial"/>
                <w:lang w:val="en-US"/>
              </w:rPr>
              <w:t>saradnju</w:t>
            </w:r>
            <w:r w:rsidRPr="002A6F4E">
              <w:rPr>
                <w:rFonts w:ascii="Arial" w:hAnsi="Arial" w:cs="Arial"/>
                <w:lang w:val="sr-Latn-CS"/>
              </w:rPr>
              <w:t xml:space="preserve"> </w:t>
            </w:r>
            <w:r w:rsidRPr="002A6F4E">
              <w:rPr>
                <w:rFonts w:ascii="Arial" w:hAnsi="Arial" w:cs="Arial"/>
                <w:lang w:val="en-US"/>
              </w:rPr>
              <w:t>u</w:t>
            </w:r>
            <w:r w:rsidRPr="002A6F4E">
              <w:rPr>
                <w:rFonts w:ascii="Arial" w:hAnsi="Arial" w:cs="Arial"/>
                <w:lang w:val="sr-Latn-CS"/>
              </w:rPr>
              <w:t xml:space="preserve"> </w:t>
            </w:r>
            <w:r w:rsidRPr="002A6F4E">
              <w:rPr>
                <w:rFonts w:ascii="Arial" w:hAnsi="Arial" w:cs="Arial"/>
                <w:lang w:val="en-US"/>
              </w:rPr>
              <w:t>oblasti</w:t>
            </w:r>
            <w:r w:rsidRPr="002A6F4E">
              <w:rPr>
                <w:rFonts w:ascii="Arial" w:hAnsi="Arial" w:cs="Arial"/>
                <w:spacing w:val="1"/>
                <w:lang w:val="sr-Latn-CS"/>
              </w:rPr>
              <w:t xml:space="preserve"> </w:t>
            </w:r>
            <w:r w:rsidRPr="002A6F4E">
              <w:rPr>
                <w:rFonts w:ascii="Arial" w:hAnsi="Arial" w:cs="Arial"/>
                <w:lang w:val="en-US"/>
              </w:rPr>
              <w:t>upravljanja</w:t>
            </w:r>
            <w:r w:rsidRPr="002A6F4E">
              <w:rPr>
                <w:rFonts w:ascii="Arial" w:hAnsi="Arial" w:cs="Arial"/>
                <w:spacing w:val="1"/>
                <w:lang w:val="sr-Latn-CS"/>
              </w:rPr>
              <w:t xml:space="preserve"> </w:t>
            </w:r>
            <w:r w:rsidRPr="002A6F4E">
              <w:rPr>
                <w:rFonts w:ascii="Arial" w:hAnsi="Arial" w:cs="Arial"/>
                <w:lang w:val="en-US"/>
              </w:rPr>
              <w:t>otpadom</w:t>
            </w:r>
            <w:r w:rsidRPr="002A6F4E">
              <w:rPr>
                <w:rFonts w:ascii="Arial" w:hAnsi="Arial" w:cs="Arial"/>
                <w:lang w:val="sr-Latn-CS"/>
              </w:rPr>
              <w:t>,</w:t>
            </w:r>
            <w:r w:rsidRPr="002A6F4E">
              <w:rPr>
                <w:rFonts w:ascii="Arial" w:hAnsi="Arial" w:cs="Arial"/>
                <w:spacing w:val="1"/>
                <w:lang w:val="sr-Latn-CS"/>
              </w:rPr>
              <w:t xml:space="preserve"> </w:t>
            </w:r>
            <w:r w:rsidRPr="002A6F4E">
              <w:rPr>
                <w:rFonts w:ascii="Arial" w:hAnsi="Arial" w:cs="Arial"/>
                <w:lang w:val="en-US"/>
              </w:rPr>
              <w:t>razm</w:t>
            </w:r>
            <w:r w:rsidR="00EB0F9F">
              <w:rPr>
                <w:rFonts w:ascii="Arial" w:hAnsi="Arial" w:cs="Arial"/>
                <w:lang w:val="en-US"/>
              </w:rPr>
              <w:t>j</w:t>
            </w:r>
            <w:r w:rsidRPr="002A6F4E">
              <w:rPr>
                <w:rFonts w:ascii="Arial" w:hAnsi="Arial" w:cs="Arial"/>
                <w:lang w:val="en-US"/>
              </w:rPr>
              <w:t>ena</w:t>
            </w:r>
            <w:r w:rsidRPr="002A6F4E">
              <w:rPr>
                <w:rFonts w:ascii="Arial" w:hAnsi="Arial" w:cs="Arial"/>
                <w:spacing w:val="1"/>
                <w:lang w:val="sr-Latn-CS"/>
              </w:rPr>
              <w:t xml:space="preserve"> </w:t>
            </w:r>
            <w:r w:rsidRPr="002A6F4E">
              <w:rPr>
                <w:rFonts w:ascii="Arial" w:hAnsi="Arial" w:cs="Arial"/>
                <w:lang w:val="en-US"/>
              </w:rPr>
              <w:t>iskustava</w:t>
            </w:r>
            <w:r w:rsidRPr="002A6F4E">
              <w:rPr>
                <w:rFonts w:ascii="Arial" w:hAnsi="Arial" w:cs="Arial"/>
                <w:lang w:val="sr-Latn-CS"/>
              </w:rPr>
              <w:t xml:space="preserve"> </w:t>
            </w:r>
            <w:r w:rsidRPr="002A6F4E">
              <w:rPr>
                <w:rFonts w:ascii="Arial" w:hAnsi="Arial" w:cs="Arial"/>
                <w:lang w:val="en-US"/>
              </w:rPr>
              <w:t>i</w:t>
            </w:r>
            <w:r w:rsidR="00EB0F9F" w:rsidRPr="002A6F4E">
              <w:rPr>
                <w:rFonts w:ascii="Arial" w:hAnsi="Arial" w:cs="Arial"/>
                <w:lang w:val="sr-Latn-CS"/>
              </w:rPr>
              <w:t xml:space="preserve"> </w:t>
            </w:r>
            <w:r w:rsidRPr="002A6F4E">
              <w:rPr>
                <w:rFonts w:ascii="Arial" w:hAnsi="Arial" w:cs="Arial"/>
                <w:lang w:val="en-US"/>
              </w:rPr>
              <w:t>resursa</w:t>
            </w:r>
            <w:r w:rsidRPr="002A6F4E">
              <w:rPr>
                <w:rFonts w:ascii="Arial" w:hAnsi="Arial" w:cs="Arial"/>
                <w:lang w:val="sr-Latn-CS"/>
              </w:rPr>
              <w:t>;</w:t>
            </w:r>
            <w:r w:rsidR="00666412">
              <w:rPr>
                <w:rFonts w:ascii="Arial" w:hAnsi="Arial" w:cs="Arial"/>
                <w:lang w:val="sr-Latn-CS"/>
              </w:rPr>
              <w:t xml:space="preserve"> </w:t>
            </w:r>
          </w:p>
          <w:p w14:paraId="77B19857" w14:textId="22BF365D"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en-US"/>
              </w:rPr>
              <w:t>U</w:t>
            </w:r>
            <w:r w:rsidRPr="002A6F4E">
              <w:rPr>
                <w:rFonts w:ascii="Arial" w:hAnsi="Arial" w:cs="Arial"/>
                <w:lang w:val="sr-Latn-CS"/>
              </w:rPr>
              <w:t xml:space="preserve"> </w:t>
            </w:r>
            <w:r w:rsidRPr="002A6F4E">
              <w:rPr>
                <w:rFonts w:ascii="Arial" w:hAnsi="Arial" w:cs="Arial"/>
                <w:lang w:val="en-US"/>
              </w:rPr>
              <w:t>ovoj</w:t>
            </w:r>
            <w:r w:rsidRPr="002A6F4E">
              <w:rPr>
                <w:rFonts w:ascii="Arial" w:hAnsi="Arial" w:cs="Arial"/>
                <w:lang w:val="sr-Latn-CS"/>
              </w:rPr>
              <w:t xml:space="preserve"> </w:t>
            </w:r>
            <w:r w:rsidRPr="002A6F4E">
              <w:rPr>
                <w:rFonts w:ascii="Arial" w:hAnsi="Arial" w:cs="Arial"/>
                <w:lang w:val="en-US"/>
              </w:rPr>
              <w:t>oblasti</w:t>
            </w:r>
            <w:r w:rsidRPr="002A6F4E">
              <w:rPr>
                <w:rFonts w:ascii="Arial" w:hAnsi="Arial" w:cs="Arial"/>
                <w:lang w:val="sr-Latn-CS"/>
              </w:rPr>
              <w:t xml:space="preserve"> </w:t>
            </w:r>
            <w:r w:rsidRPr="002A6F4E">
              <w:rPr>
                <w:rFonts w:ascii="Arial" w:hAnsi="Arial" w:cs="Arial"/>
                <w:lang w:val="en-US"/>
              </w:rPr>
              <w:t>postoji</w:t>
            </w:r>
            <w:r w:rsidRPr="002A6F4E">
              <w:rPr>
                <w:rFonts w:ascii="Arial" w:hAnsi="Arial" w:cs="Arial"/>
                <w:lang w:val="sr-Latn-CS"/>
              </w:rPr>
              <w:t xml:space="preserve"> </w:t>
            </w:r>
            <w:r w:rsidRPr="002A6F4E">
              <w:rPr>
                <w:rFonts w:ascii="Arial" w:hAnsi="Arial" w:cs="Arial"/>
                <w:lang w:val="en-US"/>
              </w:rPr>
              <w:t>potencijal</w:t>
            </w:r>
            <w:r w:rsidRPr="002A6F4E">
              <w:rPr>
                <w:rFonts w:ascii="Arial" w:hAnsi="Arial" w:cs="Arial"/>
                <w:lang w:val="sr-Latn-CS"/>
              </w:rPr>
              <w:t xml:space="preserve"> </w:t>
            </w:r>
            <w:r w:rsidRPr="002A6F4E">
              <w:rPr>
                <w:rFonts w:ascii="Arial" w:hAnsi="Arial" w:cs="Arial"/>
                <w:lang w:val="en-US"/>
              </w:rPr>
              <w:t>za</w:t>
            </w:r>
            <w:r w:rsidRPr="002A6F4E">
              <w:rPr>
                <w:rFonts w:ascii="Arial" w:hAnsi="Arial" w:cs="Arial"/>
                <w:lang w:val="sr-Latn-CS"/>
              </w:rPr>
              <w:t xml:space="preserve"> </w:t>
            </w:r>
            <w:r w:rsidRPr="002A6F4E">
              <w:rPr>
                <w:rFonts w:ascii="Arial" w:hAnsi="Arial" w:cs="Arial"/>
                <w:lang w:val="en-US"/>
              </w:rPr>
              <w:t>privla</w:t>
            </w:r>
            <w:r w:rsidRPr="002A6F4E">
              <w:rPr>
                <w:rFonts w:ascii="Arial" w:hAnsi="Arial" w:cs="Arial"/>
                <w:lang w:val="sr-Latn-CS"/>
              </w:rPr>
              <w:t>č</w:t>
            </w:r>
            <w:r w:rsidRPr="002A6F4E">
              <w:rPr>
                <w:rFonts w:ascii="Arial" w:hAnsi="Arial" w:cs="Arial"/>
                <w:lang w:val="en-US"/>
              </w:rPr>
              <w:t>enje</w:t>
            </w:r>
            <w:r w:rsidRPr="002A6F4E">
              <w:rPr>
                <w:rFonts w:ascii="Arial" w:hAnsi="Arial" w:cs="Arial"/>
                <w:lang w:val="sr-Latn-CS"/>
              </w:rPr>
              <w:t xml:space="preserve"> </w:t>
            </w:r>
            <w:r w:rsidRPr="002A6F4E">
              <w:rPr>
                <w:rFonts w:ascii="Arial" w:hAnsi="Arial" w:cs="Arial"/>
                <w:lang w:val="en-US"/>
              </w:rPr>
              <w:t>investicija</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finansijske</w:t>
            </w:r>
            <w:r w:rsidRPr="002A6F4E">
              <w:rPr>
                <w:rFonts w:ascii="Arial" w:hAnsi="Arial" w:cs="Arial"/>
                <w:spacing w:val="1"/>
                <w:lang w:val="sr-Latn-CS"/>
              </w:rPr>
              <w:t xml:space="preserve"> </w:t>
            </w:r>
            <w:r w:rsidRPr="002A6F4E">
              <w:rPr>
                <w:rFonts w:ascii="Arial" w:hAnsi="Arial" w:cs="Arial"/>
                <w:lang w:val="en-US"/>
              </w:rPr>
              <w:t>podr</w:t>
            </w:r>
            <w:r w:rsidRPr="002A6F4E">
              <w:rPr>
                <w:rFonts w:ascii="Arial" w:hAnsi="Arial" w:cs="Arial"/>
                <w:lang w:val="sr-Latn-CS"/>
              </w:rPr>
              <w:t>š</w:t>
            </w:r>
            <w:r w:rsidRPr="002A6F4E">
              <w:rPr>
                <w:rFonts w:ascii="Arial" w:hAnsi="Arial" w:cs="Arial"/>
                <w:lang w:val="en-US"/>
              </w:rPr>
              <w:t>ke</w:t>
            </w:r>
            <w:r w:rsidRPr="002A6F4E">
              <w:rPr>
                <w:rFonts w:ascii="Arial" w:hAnsi="Arial" w:cs="Arial"/>
                <w:spacing w:val="1"/>
                <w:lang w:val="sr-Latn-CS"/>
              </w:rPr>
              <w:t xml:space="preserve"> </w:t>
            </w:r>
            <w:r w:rsidRPr="002A6F4E">
              <w:rPr>
                <w:rFonts w:ascii="Arial" w:hAnsi="Arial" w:cs="Arial"/>
                <w:lang w:val="en-US"/>
              </w:rPr>
              <w:t>za</w:t>
            </w:r>
            <w:r w:rsidRPr="002A6F4E">
              <w:rPr>
                <w:rFonts w:ascii="Arial" w:hAnsi="Arial" w:cs="Arial"/>
                <w:spacing w:val="1"/>
                <w:lang w:val="sr-Latn-CS"/>
              </w:rPr>
              <w:t xml:space="preserve"> </w:t>
            </w:r>
            <w:r w:rsidRPr="002A6F4E">
              <w:rPr>
                <w:rFonts w:ascii="Arial" w:hAnsi="Arial" w:cs="Arial"/>
                <w:lang w:val="en-US"/>
              </w:rPr>
              <w:t>unapre</w:t>
            </w:r>
            <w:r w:rsidRPr="002A6F4E">
              <w:rPr>
                <w:rFonts w:ascii="Arial" w:hAnsi="Arial" w:cs="Arial"/>
                <w:lang w:val="sr-Latn-CS"/>
              </w:rPr>
              <w:t>đ</w:t>
            </w:r>
            <w:r w:rsidRPr="002A6F4E">
              <w:rPr>
                <w:rFonts w:ascii="Arial" w:hAnsi="Arial" w:cs="Arial"/>
                <w:lang w:val="en-US"/>
              </w:rPr>
              <w:t>enje</w:t>
            </w:r>
            <w:r w:rsidRPr="002A6F4E">
              <w:rPr>
                <w:rFonts w:ascii="Arial" w:hAnsi="Arial" w:cs="Arial"/>
                <w:spacing w:val="1"/>
                <w:lang w:val="sr-Latn-CS"/>
              </w:rPr>
              <w:t xml:space="preserve"> </w:t>
            </w:r>
            <w:r w:rsidRPr="002A6F4E">
              <w:rPr>
                <w:rFonts w:ascii="Arial" w:hAnsi="Arial" w:cs="Arial"/>
                <w:lang w:val="en-US"/>
              </w:rPr>
              <w:t>infrastrukture</w:t>
            </w:r>
            <w:r w:rsidRPr="002A6F4E">
              <w:rPr>
                <w:rFonts w:ascii="Arial" w:hAnsi="Arial" w:cs="Arial"/>
                <w:spacing w:val="1"/>
                <w:lang w:val="sr-Latn-CS"/>
              </w:rPr>
              <w:t xml:space="preserve"> </w:t>
            </w:r>
            <w:r w:rsidRPr="002A6F4E">
              <w:rPr>
                <w:rFonts w:ascii="Arial" w:hAnsi="Arial" w:cs="Arial"/>
                <w:lang w:val="en-US"/>
              </w:rPr>
              <w:t>i</w:t>
            </w:r>
            <w:r w:rsidRPr="002A6F4E">
              <w:rPr>
                <w:rFonts w:ascii="Arial" w:hAnsi="Arial" w:cs="Arial"/>
                <w:spacing w:val="1"/>
                <w:lang w:val="sr-Latn-CS"/>
              </w:rPr>
              <w:t xml:space="preserve"> </w:t>
            </w:r>
            <w:r w:rsidRPr="002A6F4E">
              <w:rPr>
                <w:rFonts w:ascii="Arial" w:hAnsi="Arial" w:cs="Arial"/>
                <w:lang w:val="en-US"/>
              </w:rPr>
              <w:t>kapaciteta</w:t>
            </w:r>
            <w:r w:rsidRPr="002A6F4E">
              <w:rPr>
                <w:rFonts w:ascii="Arial" w:hAnsi="Arial" w:cs="Arial"/>
                <w:spacing w:val="1"/>
                <w:lang w:val="sr-Latn-CS"/>
              </w:rPr>
              <w:t xml:space="preserve"> </w:t>
            </w:r>
            <w:r w:rsidRPr="002A6F4E">
              <w:rPr>
                <w:rFonts w:ascii="Arial" w:hAnsi="Arial" w:cs="Arial"/>
                <w:lang w:val="en-US"/>
              </w:rPr>
              <w:t>za</w:t>
            </w:r>
            <w:r w:rsidRPr="002A6F4E">
              <w:rPr>
                <w:rFonts w:ascii="Arial" w:hAnsi="Arial" w:cs="Arial"/>
                <w:spacing w:val="1"/>
                <w:lang w:val="sr-Latn-CS"/>
              </w:rPr>
              <w:t xml:space="preserve"> </w:t>
            </w:r>
            <w:r w:rsidRPr="002A6F4E">
              <w:rPr>
                <w:rFonts w:ascii="Arial" w:hAnsi="Arial" w:cs="Arial"/>
                <w:lang w:val="en-US"/>
              </w:rPr>
              <w:t>upravljanje</w:t>
            </w:r>
            <w:r w:rsidRPr="002A6F4E">
              <w:rPr>
                <w:rFonts w:ascii="Arial" w:hAnsi="Arial" w:cs="Arial"/>
                <w:spacing w:val="1"/>
                <w:lang w:val="sr-Latn-CS"/>
              </w:rPr>
              <w:t xml:space="preserve"> </w:t>
            </w:r>
            <w:r w:rsidRPr="002A6F4E">
              <w:rPr>
                <w:rFonts w:ascii="Arial" w:hAnsi="Arial" w:cs="Arial"/>
                <w:lang w:val="en-US"/>
              </w:rPr>
              <w:t>medicinskim</w:t>
            </w:r>
            <w:r w:rsidRPr="002A6F4E">
              <w:rPr>
                <w:rFonts w:ascii="Arial" w:hAnsi="Arial" w:cs="Arial"/>
                <w:spacing w:val="1"/>
                <w:lang w:val="sr-Latn-CS"/>
              </w:rPr>
              <w:t xml:space="preserve"> </w:t>
            </w:r>
            <w:r w:rsidRPr="002A6F4E">
              <w:rPr>
                <w:rFonts w:ascii="Arial" w:hAnsi="Arial" w:cs="Arial"/>
                <w:lang w:val="en-US"/>
              </w:rPr>
              <w:t>otpadom</w:t>
            </w:r>
            <w:r w:rsidRPr="002A6F4E">
              <w:rPr>
                <w:rFonts w:ascii="Arial" w:hAnsi="Arial" w:cs="Arial"/>
                <w:lang w:val="sr-Latn-CS"/>
              </w:rPr>
              <w:t>;</w:t>
            </w:r>
          </w:p>
          <w:p w14:paraId="732E331E" w14:textId="440DAF2D" w:rsidR="006C693A" w:rsidRPr="002A6F4E" w:rsidRDefault="006C693A" w:rsidP="00A23ED0">
            <w:pPr>
              <w:widowControl w:val="0"/>
              <w:numPr>
                <w:ilvl w:val="0"/>
                <w:numId w:val="107"/>
              </w:numPr>
              <w:tabs>
                <w:tab w:val="left" w:pos="421"/>
              </w:tabs>
              <w:autoSpaceDE w:val="0"/>
              <w:autoSpaceDN w:val="0"/>
              <w:spacing w:line="360" w:lineRule="auto"/>
              <w:ind w:right="479"/>
              <w:rPr>
                <w:rFonts w:ascii="Arial" w:eastAsia="Times New Roman" w:hAnsi="Arial" w:cs="Arial"/>
                <w:b w:val="0"/>
                <w:bCs w:val="0"/>
                <w:lang w:val="bs-Latn"/>
              </w:rPr>
            </w:pPr>
            <w:r w:rsidRPr="002A6F4E">
              <w:rPr>
                <w:rFonts w:ascii="Arial" w:eastAsia="Times New Roman" w:hAnsi="Arial" w:cs="Arial"/>
                <w:lang w:val="bs-Latn"/>
              </w:rPr>
              <w:t>Očuvana</w:t>
            </w:r>
            <w:r w:rsidRPr="002A6F4E">
              <w:rPr>
                <w:rFonts w:ascii="Arial" w:eastAsia="Times New Roman" w:hAnsi="Arial" w:cs="Arial"/>
                <w:spacing w:val="-3"/>
                <w:lang w:val="bs-Latn"/>
              </w:rPr>
              <w:t xml:space="preserve"> </w:t>
            </w:r>
            <w:r w:rsidR="005536D9">
              <w:rPr>
                <w:rFonts w:ascii="Arial" w:eastAsia="Times New Roman" w:hAnsi="Arial" w:cs="Arial"/>
                <w:lang w:val="bs-Latn"/>
              </w:rPr>
              <w:t>životna sredina</w:t>
            </w:r>
            <w:r w:rsidRPr="002A6F4E">
              <w:rPr>
                <w:rFonts w:ascii="Arial" w:eastAsia="Times New Roman" w:hAnsi="Arial" w:cs="Arial"/>
                <w:spacing w:val="-2"/>
                <w:lang w:val="bs-Latn"/>
              </w:rPr>
              <w:t xml:space="preserve"> </w:t>
            </w:r>
            <w:r w:rsidRPr="002A6F4E">
              <w:rPr>
                <w:rFonts w:ascii="Arial" w:eastAsia="Times New Roman" w:hAnsi="Arial" w:cs="Arial"/>
                <w:spacing w:val="-1"/>
                <w:lang w:val="bs-Latn"/>
              </w:rPr>
              <w:t xml:space="preserve"> </w:t>
            </w:r>
            <w:r w:rsidRPr="002A6F4E">
              <w:rPr>
                <w:rFonts w:ascii="Arial" w:eastAsia="Times New Roman" w:hAnsi="Arial" w:cs="Arial"/>
                <w:lang w:val="bs-Latn"/>
              </w:rPr>
              <w:t>–</w:t>
            </w:r>
            <w:r w:rsidRPr="002A6F4E">
              <w:rPr>
                <w:rFonts w:ascii="Arial" w:eastAsia="Times New Roman" w:hAnsi="Arial" w:cs="Arial"/>
                <w:spacing w:val="-5"/>
                <w:lang w:val="bs-Latn"/>
              </w:rPr>
              <w:t xml:space="preserve"> </w:t>
            </w:r>
            <w:r w:rsidRPr="002A6F4E">
              <w:rPr>
                <w:rFonts w:ascii="Arial" w:eastAsia="Times New Roman" w:hAnsi="Arial" w:cs="Arial"/>
                <w:lang w:val="bs-Latn"/>
              </w:rPr>
              <w:t>mogućnost</w:t>
            </w:r>
            <w:r w:rsidRPr="002A6F4E">
              <w:rPr>
                <w:rFonts w:ascii="Arial" w:eastAsia="Times New Roman" w:hAnsi="Arial" w:cs="Arial"/>
                <w:spacing w:val="-2"/>
                <w:lang w:val="bs-Latn"/>
              </w:rPr>
              <w:t xml:space="preserve"> </w:t>
            </w:r>
            <w:r w:rsidRPr="002A6F4E">
              <w:rPr>
                <w:rFonts w:ascii="Arial" w:eastAsia="Times New Roman" w:hAnsi="Arial" w:cs="Arial"/>
                <w:lang w:val="bs-Latn"/>
              </w:rPr>
              <w:t>za</w:t>
            </w:r>
            <w:r w:rsidRPr="002A6F4E">
              <w:rPr>
                <w:rFonts w:ascii="Arial" w:eastAsia="Times New Roman" w:hAnsi="Arial" w:cs="Arial"/>
                <w:spacing w:val="-4"/>
                <w:lang w:val="bs-Latn"/>
              </w:rPr>
              <w:t xml:space="preserve"> </w:t>
            </w:r>
            <w:r w:rsidRPr="002A6F4E">
              <w:rPr>
                <w:rFonts w:ascii="Arial" w:eastAsia="Times New Roman" w:hAnsi="Arial" w:cs="Arial"/>
                <w:lang w:val="bs-Latn"/>
              </w:rPr>
              <w:t>razvoj</w:t>
            </w:r>
            <w:r w:rsidRPr="002A6F4E">
              <w:rPr>
                <w:rFonts w:ascii="Arial" w:eastAsia="Times New Roman" w:hAnsi="Arial" w:cs="Arial"/>
                <w:spacing w:val="-4"/>
                <w:lang w:val="bs-Latn"/>
              </w:rPr>
              <w:t xml:space="preserve"> </w:t>
            </w:r>
            <w:r w:rsidRPr="002A6F4E">
              <w:rPr>
                <w:rFonts w:ascii="Arial" w:eastAsia="Times New Roman" w:hAnsi="Arial" w:cs="Arial"/>
                <w:spacing w:val="-2"/>
                <w:lang w:val="bs-Latn"/>
              </w:rPr>
              <w:t xml:space="preserve">turizma i </w:t>
            </w:r>
            <w:r w:rsidRPr="002A6F4E">
              <w:rPr>
                <w:rFonts w:ascii="Arial" w:eastAsia="Times New Roman" w:hAnsi="Arial" w:cs="Arial"/>
                <w:lang w:val="bs-Latn"/>
              </w:rPr>
              <w:t>odlični</w:t>
            </w:r>
            <w:r w:rsidRPr="002A6F4E">
              <w:rPr>
                <w:rFonts w:ascii="Arial" w:eastAsia="Times New Roman" w:hAnsi="Arial" w:cs="Arial"/>
                <w:spacing w:val="-5"/>
                <w:lang w:val="bs-Latn"/>
              </w:rPr>
              <w:t xml:space="preserve"> uslovi </w:t>
            </w:r>
            <w:r w:rsidRPr="002A6F4E">
              <w:rPr>
                <w:rFonts w:ascii="Arial" w:eastAsia="Times New Roman" w:hAnsi="Arial" w:cs="Arial"/>
                <w:lang w:val="bs-Latn"/>
              </w:rPr>
              <w:t>za</w:t>
            </w:r>
            <w:r w:rsidRPr="002A6F4E">
              <w:rPr>
                <w:rFonts w:ascii="Arial" w:eastAsia="Times New Roman" w:hAnsi="Arial" w:cs="Arial"/>
                <w:spacing w:val="-5"/>
                <w:lang w:val="bs-Latn"/>
              </w:rPr>
              <w:t xml:space="preserve"> </w:t>
            </w:r>
            <w:r w:rsidRPr="002A6F4E">
              <w:rPr>
                <w:rFonts w:ascii="Arial" w:eastAsia="Times New Roman" w:hAnsi="Arial" w:cs="Arial"/>
                <w:lang w:val="bs-Latn"/>
              </w:rPr>
              <w:t>razvoj</w:t>
            </w:r>
            <w:r w:rsidRPr="002A6F4E">
              <w:rPr>
                <w:rFonts w:ascii="Arial" w:eastAsia="Times New Roman" w:hAnsi="Arial" w:cs="Arial"/>
                <w:spacing w:val="-4"/>
                <w:lang w:val="bs-Latn"/>
              </w:rPr>
              <w:t xml:space="preserve"> </w:t>
            </w:r>
            <w:r w:rsidRPr="002A6F4E">
              <w:rPr>
                <w:rFonts w:ascii="Arial" w:eastAsia="Times New Roman" w:hAnsi="Arial" w:cs="Arial"/>
                <w:lang w:val="bs-Latn"/>
              </w:rPr>
              <w:t>ostalih</w:t>
            </w:r>
            <w:r w:rsidRPr="002A6F4E">
              <w:rPr>
                <w:rFonts w:ascii="Arial" w:eastAsia="Times New Roman" w:hAnsi="Arial" w:cs="Arial"/>
                <w:spacing w:val="-6"/>
                <w:lang w:val="bs-Latn"/>
              </w:rPr>
              <w:t xml:space="preserve"> </w:t>
            </w:r>
            <w:r w:rsidRPr="002A6F4E">
              <w:rPr>
                <w:rFonts w:ascii="Arial" w:eastAsia="Times New Roman" w:hAnsi="Arial" w:cs="Arial"/>
                <w:lang w:val="bs-Latn"/>
              </w:rPr>
              <w:t>selektivnih</w:t>
            </w:r>
            <w:r w:rsidRPr="002A6F4E">
              <w:rPr>
                <w:rFonts w:ascii="Arial" w:eastAsia="Times New Roman" w:hAnsi="Arial" w:cs="Arial"/>
                <w:spacing w:val="-3"/>
                <w:lang w:val="bs-Latn"/>
              </w:rPr>
              <w:t xml:space="preserve"> </w:t>
            </w:r>
            <w:r w:rsidRPr="002A6F4E">
              <w:rPr>
                <w:rFonts w:ascii="Arial" w:eastAsia="Times New Roman" w:hAnsi="Arial" w:cs="Arial"/>
                <w:lang w:val="bs-Latn"/>
              </w:rPr>
              <w:t>oblika</w:t>
            </w:r>
            <w:r w:rsidRPr="002A6F4E">
              <w:rPr>
                <w:rFonts w:ascii="Arial" w:eastAsia="Times New Roman" w:hAnsi="Arial" w:cs="Arial"/>
                <w:spacing w:val="-5"/>
                <w:lang w:val="bs-Latn"/>
              </w:rPr>
              <w:t xml:space="preserve"> </w:t>
            </w:r>
            <w:r w:rsidRPr="002A6F4E">
              <w:rPr>
                <w:rFonts w:ascii="Arial" w:eastAsia="Times New Roman" w:hAnsi="Arial" w:cs="Arial"/>
                <w:lang w:val="bs-Latn"/>
              </w:rPr>
              <w:t>turizma</w:t>
            </w:r>
            <w:r w:rsidRPr="002A6F4E">
              <w:rPr>
                <w:rFonts w:ascii="Arial" w:eastAsia="Times New Roman" w:hAnsi="Arial" w:cs="Arial"/>
                <w:spacing w:val="-5"/>
                <w:lang w:val="bs-Latn"/>
              </w:rPr>
              <w:t xml:space="preserve"> </w:t>
            </w:r>
            <w:r w:rsidRPr="002A6F4E">
              <w:rPr>
                <w:rFonts w:ascii="Arial" w:eastAsia="Times New Roman" w:hAnsi="Arial" w:cs="Arial"/>
                <w:lang w:val="bs-Latn"/>
              </w:rPr>
              <w:t>(seoski,</w:t>
            </w:r>
            <w:r w:rsidRPr="002A6F4E">
              <w:rPr>
                <w:rFonts w:ascii="Arial" w:eastAsia="Times New Roman" w:hAnsi="Arial" w:cs="Arial"/>
                <w:spacing w:val="-6"/>
                <w:lang w:val="bs-Latn"/>
              </w:rPr>
              <w:t xml:space="preserve"> </w:t>
            </w:r>
            <w:r w:rsidRPr="002A6F4E">
              <w:rPr>
                <w:rFonts w:ascii="Arial" w:eastAsia="Times New Roman" w:hAnsi="Arial" w:cs="Arial"/>
                <w:lang w:val="bs-Latn"/>
              </w:rPr>
              <w:t>lovni, ruralni, sportski, itd);</w:t>
            </w:r>
          </w:p>
          <w:p w14:paraId="4E6C0D4B" w14:textId="16ACA1A8"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sr-Latn-CS"/>
              </w:rPr>
              <w:t xml:space="preserve">Potrebno je fokusirati se na obradu i kompostiranje najvećeg dijela otpada koji obuhvata organski otpad, </w:t>
            </w:r>
            <w:r w:rsidR="005536D9">
              <w:rPr>
                <w:rFonts w:ascii="Arial" w:hAnsi="Arial" w:cs="Arial"/>
                <w:lang w:val="sr-Latn-CS"/>
              </w:rPr>
              <w:t xml:space="preserve">otpadnu </w:t>
            </w:r>
            <w:r w:rsidRPr="002A6F4E">
              <w:rPr>
                <w:rFonts w:ascii="Arial" w:hAnsi="Arial" w:cs="Arial"/>
                <w:lang w:val="sr-Latn-CS"/>
              </w:rPr>
              <w:t xml:space="preserve">plastiku i </w:t>
            </w:r>
            <w:r w:rsidR="005536D9">
              <w:rPr>
                <w:rFonts w:ascii="Arial" w:hAnsi="Arial" w:cs="Arial"/>
                <w:lang w:val="sr-Latn-CS"/>
              </w:rPr>
              <w:t xml:space="preserve">otpadni </w:t>
            </w:r>
            <w:r w:rsidRPr="002A6F4E">
              <w:rPr>
                <w:rFonts w:ascii="Arial" w:hAnsi="Arial" w:cs="Arial"/>
                <w:lang w:val="sr-Latn-CS"/>
              </w:rPr>
              <w:t>papir;</w:t>
            </w:r>
          </w:p>
          <w:p w14:paraId="2246D8C7" w14:textId="5C062617"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sr-Latn-CS"/>
              </w:rPr>
              <w:t>Investirati u modernu tehnologiju recikl</w:t>
            </w:r>
            <w:r w:rsidR="005536D9">
              <w:rPr>
                <w:rFonts w:ascii="Arial" w:hAnsi="Arial" w:cs="Arial"/>
                <w:lang w:val="sr-Latn-CS"/>
              </w:rPr>
              <w:t>iranja</w:t>
            </w:r>
            <w:r w:rsidRPr="002A6F4E">
              <w:rPr>
                <w:rFonts w:ascii="Arial" w:hAnsi="Arial" w:cs="Arial"/>
                <w:lang w:val="sr-Latn-CS"/>
              </w:rPr>
              <w:t>, uključujući optičke i magnetske separatore, kompostane i energetske sisteme za iskorišćavanje otpada koji se ne može reciklirati;</w:t>
            </w:r>
          </w:p>
          <w:p w14:paraId="12F71EAA" w14:textId="66C3AAF4" w:rsidR="006C693A" w:rsidRPr="002A6F4E" w:rsidRDefault="006C693A" w:rsidP="00A23ED0">
            <w:pPr>
              <w:numPr>
                <w:ilvl w:val="0"/>
                <w:numId w:val="107"/>
              </w:numPr>
              <w:autoSpaceDE w:val="0"/>
              <w:autoSpaceDN w:val="0"/>
              <w:adjustRightInd w:val="0"/>
              <w:spacing w:line="360" w:lineRule="auto"/>
              <w:rPr>
                <w:rFonts w:ascii="Arial" w:hAnsi="Arial" w:cs="Arial"/>
                <w:b w:val="0"/>
                <w:bCs w:val="0"/>
                <w:lang w:val="sr-Latn-CS"/>
              </w:rPr>
            </w:pPr>
            <w:r w:rsidRPr="002A6F4E">
              <w:rPr>
                <w:rFonts w:ascii="Arial" w:hAnsi="Arial" w:cs="Arial"/>
                <w:lang w:val="en-US"/>
              </w:rPr>
              <w:lastRenderedPageBreak/>
              <w:t>Aktivno</w:t>
            </w:r>
            <w:r w:rsidRPr="002A6F4E">
              <w:rPr>
                <w:rFonts w:ascii="Arial" w:hAnsi="Arial" w:cs="Arial"/>
                <w:lang w:val="sr-Latn-CS"/>
              </w:rPr>
              <w:t xml:space="preserve"> </w:t>
            </w:r>
            <w:r w:rsidRPr="002A6F4E">
              <w:rPr>
                <w:rFonts w:ascii="Arial" w:hAnsi="Arial" w:cs="Arial"/>
                <w:lang w:val="en-US"/>
              </w:rPr>
              <w:t>raditi</w:t>
            </w:r>
            <w:r w:rsidRPr="002A6F4E">
              <w:rPr>
                <w:rFonts w:ascii="Arial" w:hAnsi="Arial" w:cs="Arial"/>
                <w:lang w:val="sr-Latn-CS"/>
              </w:rPr>
              <w:t xml:space="preserve"> </w:t>
            </w:r>
            <w:r w:rsidRPr="002A6F4E">
              <w:rPr>
                <w:rFonts w:ascii="Arial" w:hAnsi="Arial" w:cs="Arial"/>
                <w:lang w:val="en-US"/>
              </w:rPr>
              <w:t>na</w:t>
            </w:r>
            <w:r w:rsidRPr="002A6F4E">
              <w:rPr>
                <w:rFonts w:ascii="Arial" w:hAnsi="Arial" w:cs="Arial"/>
                <w:lang w:val="sr-Latn-CS"/>
              </w:rPr>
              <w:t xml:space="preserve"> </w:t>
            </w:r>
            <w:r w:rsidRPr="002A6F4E">
              <w:rPr>
                <w:rFonts w:ascii="Arial" w:hAnsi="Arial" w:cs="Arial"/>
                <w:lang w:val="en-US"/>
              </w:rPr>
              <w:t>uvo</w:t>
            </w:r>
            <w:r w:rsidRPr="002A6F4E">
              <w:rPr>
                <w:rFonts w:ascii="Arial" w:hAnsi="Arial" w:cs="Arial"/>
                <w:lang w:val="sr-Latn-CS"/>
              </w:rPr>
              <w:t>đ</w:t>
            </w:r>
            <w:r w:rsidRPr="002A6F4E">
              <w:rPr>
                <w:rFonts w:ascii="Arial" w:hAnsi="Arial" w:cs="Arial"/>
                <w:lang w:val="en-US"/>
              </w:rPr>
              <w:t>enju</w:t>
            </w:r>
            <w:r w:rsidRPr="002A6F4E">
              <w:rPr>
                <w:rFonts w:ascii="Arial" w:hAnsi="Arial" w:cs="Arial"/>
                <w:lang w:val="sr-Latn-CS"/>
              </w:rPr>
              <w:t xml:space="preserve"> </w:t>
            </w:r>
            <w:r w:rsidRPr="002A6F4E">
              <w:rPr>
                <w:rFonts w:ascii="Arial" w:hAnsi="Arial" w:cs="Arial"/>
                <w:lang w:val="en-US"/>
              </w:rPr>
              <w:t>sistema</w:t>
            </w:r>
            <w:r w:rsidRPr="002A6F4E">
              <w:rPr>
                <w:rFonts w:ascii="Arial" w:hAnsi="Arial" w:cs="Arial"/>
                <w:lang w:val="sr-Latn-CS"/>
              </w:rPr>
              <w:t xml:space="preserve"> </w:t>
            </w:r>
            <w:r w:rsidRPr="002A6F4E">
              <w:rPr>
                <w:rFonts w:ascii="Arial" w:hAnsi="Arial" w:cs="Arial"/>
                <w:lang w:val="en-US"/>
              </w:rPr>
              <w:t>odvojenog</w:t>
            </w:r>
            <w:r w:rsidRPr="002A6F4E">
              <w:rPr>
                <w:rFonts w:ascii="Arial" w:hAnsi="Arial" w:cs="Arial"/>
                <w:lang w:val="sr-Latn-CS"/>
              </w:rPr>
              <w:t xml:space="preserve"> </w:t>
            </w:r>
            <w:r w:rsidRPr="002A6F4E">
              <w:rPr>
                <w:rFonts w:ascii="Arial" w:hAnsi="Arial" w:cs="Arial"/>
                <w:lang w:val="en-US"/>
              </w:rPr>
              <w:t>sakupljanja</w:t>
            </w:r>
            <w:r w:rsidRPr="002A6F4E">
              <w:rPr>
                <w:rFonts w:ascii="Arial" w:hAnsi="Arial" w:cs="Arial"/>
                <w:lang w:val="sr-Latn-CS"/>
              </w:rPr>
              <w:t>, č</w:t>
            </w:r>
            <w:r w:rsidRPr="002A6F4E">
              <w:rPr>
                <w:rFonts w:ascii="Arial" w:hAnsi="Arial" w:cs="Arial"/>
                <w:lang w:val="en-US"/>
              </w:rPr>
              <w:t>ime</w:t>
            </w:r>
            <w:r w:rsidRPr="002A6F4E">
              <w:rPr>
                <w:rFonts w:ascii="Arial" w:hAnsi="Arial" w:cs="Arial"/>
                <w:lang w:val="sr-Latn-CS"/>
              </w:rPr>
              <w:t xml:space="preserve"> ć</w:t>
            </w:r>
            <w:r w:rsidRPr="002A6F4E">
              <w:rPr>
                <w:rFonts w:ascii="Arial" w:hAnsi="Arial" w:cs="Arial"/>
                <w:lang w:val="en-US"/>
              </w:rPr>
              <w:t>e</w:t>
            </w:r>
            <w:r w:rsidRPr="002A6F4E">
              <w:rPr>
                <w:rFonts w:ascii="Arial" w:hAnsi="Arial" w:cs="Arial"/>
                <w:lang w:val="sr-Latn-CS"/>
              </w:rPr>
              <w:t xml:space="preserve"> </w:t>
            </w:r>
            <w:r w:rsidRPr="002A6F4E">
              <w:rPr>
                <w:rFonts w:ascii="Arial" w:hAnsi="Arial" w:cs="Arial"/>
                <w:lang w:val="en-US"/>
              </w:rPr>
              <w:t>se</w:t>
            </w:r>
            <w:r w:rsidRPr="002A6F4E">
              <w:rPr>
                <w:rFonts w:ascii="Arial" w:hAnsi="Arial" w:cs="Arial"/>
                <w:lang w:val="sr-Latn-CS"/>
              </w:rPr>
              <w:t xml:space="preserve"> </w:t>
            </w:r>
            <w:r w:rsidRPr="002A6F4E">
              <w:rPr>
                <w:rFonts w:ascii="Arial" w:hAnsi="Arial" w:cs="Arial"/>
                <w:lang w:val="en-US"/>
              </w:rPr>
              <w:t>ispuniti</w:t>
            </w:r>
            <w:r w:rsidRPr="002A6F4E">
              <w:rPr>
                <w:rFonts w:ascii="Arial" w:hAnsi="Arial" w:cs="Arial"/>
                <w:lang w:val="sr-Latn-CS"/>
              </w:rPr>
              <w:t xml:space="preserve"> </w:t>
            </w:r>
            <w:r w:rsidRPr="002A6F4E">
              <w:rPr>
                <w:rFonts w:ascii="Arial" w:hAnsi="Arial" w:cs="Arial"/>
                <w:lang w:val="en-US"/>
              </w:rPr>
              <w:t>pretpostavke</w:t>
            </w:r>
            <w:r w:rsidRPr="002A6F4E">
              <w:rPr>
                <w:rFonts w:ascii="Arial" w:hAnsi="Arial" w:cs="Arial"/>
                <w:lang w:val="sr-Latn-CS"/>
              </w:rPr>
              <w:t xml:space="preserve"> </w:t>
            </w:r>
            <w:r w:rsidRPr="002A6F4E">
              <w:rPr>
                <w:rFonts w:ascii="Arial" w:hAnsi="Arial" w:cs="Arial"/>
                <w:lang w:val="en-US"/>
              </w:rPr>
              <w:t>za</w:t>
            </w:r>
            <w:r w:rsidRPr="002A6F4E">
              <w:rPr>
                <w:rFonts w:ascii="Arial" w:hAnsi="Arial" w:cs="Arial"/>
                <w:lang w:val="sr-Latn-CS"/>
              </w:rPr>
              <w:t xml:space="preserve"> </w:t>
            </w:r>
            <w:r w:rsidRPr="002A6F4E">
              <w:rPr>
                <w:rFonts w:ascii="Arial" w:hAnsi="Arial" w:cs="Arial"/>
                <w:lang w:val="en-US"/>
              </w:rPr>
              <w:t>valorizaciju</w:t>
            </w:r>
            <w:r w:rsidRPr="002A6F4E">
              <w:rPr>
                <w:rFonts w:ascii="Arial" w:hAnsi="Arial" w:cs="Arial"/>
                <w:lang w:val="sr-Latn-CS"/>
              </w:rPr>
              <w:t xml:space="preserve"> </w:t>
            </w:r>
            <w:r w:rsidRPr="002A6F4E">
              <w:rPr>
                <w:rFonts w:ascii="Arial" w:hAnsi="Arial" w:cs="Arial"/>
                <w:lang w:val="en-US"/>
              </w:rPr>
              <w:t>vrijednosti</w:t>
            </w:r>
            <w:r w:rsidRPr="002A6F4E">
              <w:rPr>
                <w:rFonts w:ascii="Arial" w:hAnsi="Arial" w:cs="Arial"/>
                <w:lang w:val="sr-Latn-CS"/>
              </w:rPr>
              <w:t xml:space="preserve"> </w:t>
            </w:r>
            <w:r w:rsidRPr="002A6F4E">
              <w:rPr>
                <w:rFonts w:ascii="Arial" w:hAnsi="Arial" w:cs="Arial"/>
                <w:lang w:val="en-US"/>
              </w:rPr>
              <w:t>frakcij</w:t>
            </w:r>
            <w:r w:rsidR="00D6433C">
              <w:rPr>
                <w:rFonts w:ascii="Arial" w:hAnsi="Arial" w:cs="Arial"/>
                <w:lang w:val="en-US"/>
              </w:rPr>
              <w:t>a</w:t>
            </w:r>
            <w:r w:rsidRPr="002A6F4E">
              <w:rPr>
                <w:rFonts w:ascii="Arial" w:hAnsi="Arial" w:cs="Arial"/>
                <w:lang w:val="sr-Latn-CS"/>
              </w:rPr>
              <w:t xml:space="preserve"> </w:t>
            </w:r>
            <w:r w:rsidRPr="002A6F4E">
              <w:rPr>
                <w:rFonts w:ascii="Arial" w:hAnsi="Arial" w:cs="Arial"/>
                <w:lang w:val="en-US"/>
              </w:rPr>
              <w:t>komunalnog</w:t>
            </w:r>
            <w:r w:rsidRPr="002A6F4E">
              <w:rPr>
                <w:rFonts w:ascii="Arial" w:hAnsi="Arial" w:cs="Arial"/>
                <w:lang w:val="sr-Latn-CS"/>
              </w:rPr>
              <w:t xml:space="preserve"> </w:t>
            </w:r>
            <w:r w:rsidRPr="002A6F4E">
              <w:rPr>
                <w:rFonts w:ascii="Arial" w:hAnsi="Arial" w:cs="Arial"/>
                <w:lang w:val="en-US"/>
              </w:rPr>
              <w:t>otpada</w:t>
            </w:r>
            <w:r w:rsidRPr="002A6F4E">
              <w:rPr>
                <w:rFonts w:ascii="Arial" w:hAnsi="Arial" w:cs="Arial"/>
                <w:lang w:val="sr-Latn-CS"/>
              </w:rPr>
              <w:t xml:space="preserve">, </w:t>
            </w:r>
            <w:r w:rsidRPr="002A6F4E">
              <w:rPr>
                <w:rFonts w:ascii="Arial" w:hAnsi="Arial" w:cs="Arial"/>
                <w:lang w:val="en-US"/>
              </w:rPr>
              <w:t>tj</w:t>
            </w:r>
            <w:r w:rsidRPr="002A6F4E">
              <w:rPr>
                <w:rFonts w:ascii="Arial" w:hAnsi="Arial" w:cs="Arial"/>
                <w:lang w:val="sr-Latn-CS"/>
              </w:rPr>
              <w:t xml:space="preserve">. </w:t>
            </w:r>
            <w:r w:rsidRPr="002A6F4E">
              <w:rPr>
                <w:rFonts w:ascii="Arial" w:hAnsi="Arial" w:cs="Arial"/>
                <w:lang w:val="en-US"/>
              </w:rPr>
              <w:t>papira</w:t>
            </w:r>
            <w:r w:rsidRPr="002A6F4E">
              <w:rPr>
                <w:rFonts w:ascii="Arial" w:hAnsi="Arial" w:cs="Arial"/>
                <w:lang w:val="sr-Latn-CS"/>
              </w:rPr>
              <w:t xml:space="preserve">, </w:t>
            </w:r>
            <w:r w:rsidRPr="002A6F4E">
              <w:rPr>
                <w:rFonts w:ascii="Arial" w:hAnsi="Arial" w:cs="Arial"/>
                <w:lang w:val="en-US"/>
              </w:rPr>
              <w:t>kartona</w:t>
            </w:r>
            <w:r w:rsidRPr="002A6F4E">
              <w:rPr>
                <w:rFonts w:ascii="Arial" w:hAnsi="Arial" w:cs="Arial"/>
                <w:lang w:val="sr-Latn-CS"/>
              </w:rPr>
              <w:t xml:space="preserve">, </w:t>
            </w:r>
            <w:r w:rsidRPr="002A6F4E">
              <w:rPr>
                <w:rFonts w:ascii="Arial" w:hAnsi="Arial" w:cs="Arial"/>
                <w:lang w:val="en-US"/>
              </w:rPr>
              <w:t>plastike</w:t>
            </w:r>
            <w:r w:rsidRPr="002A6F4E">
              <w:rPr>
                <w:rFonts w:ascii="Arial" w:hAnsi="Arial" w:cs="Arial"/>
                <w:lang w:val="sr-Latn-CS"/>
              </w:rPr>
              <w:t xml:space="preserve">, </w:t>
            </w:r>
            <w:r w:rsidRPr="002A6F4E">
              <w:rPr>
                <w:rFonts w:ascii="Arial" w:hAnsi="Arial" w:cs="Arial"/>
                <w:lang w:val="en-US"/>
              </w:rPr>
              <w:t>limenki</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dr</w:t>
            </w:r>
            <w:r w:rsidRPr="002A6F4E">
              <w:rPr>
                <w:rFonts w:ascii="Arial" w:hAnsi="Arial" w:cs="Arial"/>
                <w:lang w:val="sr-Latn-CS"/>
              </w:rPr>
              <w:t xml:space="preserve">., </w:t>
            </w:r>
            <w:r w:rsidRPr="002A6F4E">
              <w:rPr>
                <w:rFonts w:ascii="Arial" w:hAnsi="Arial" w:cs="Arial"/>
                <w:lang w:val="en-US"/>
              </w:rPr>
              <w:t>a</w:t>
            </w:r>
            <w:r w:rsidRPr="002A6F4E">
              <w:rPr>
                <w:rFonts w:ascii="Arial" w:hAnsi="Arial" w:cs="Arial"/>
                <w:lang w:val="sr-Latn-CS"/>
              </w:rPr>
              <w:t xml:space="preserve"> </w:t>
            </w:r>
            <w:r w:rsidRPr="002A6F4E">
              <w:rPr>
                <w:rFonts w:ascii="Arial" w:hAnsi="Arial" w:cs="Arial"/>
                <w:lang w:val="en-US"/>
              </w:rPr>
              <w:t>samim</w:t>
            </w:r>
            <w:r w:rsidRPr="002A6F4E">
              <w:rPr>
                <w:rFonts w:ascii="Arial" w:hAnsi="Arial" w:cs="Arial"/>
                <w:lang w:val="sr-Latn-CS"/>
              </w:rPr>
              <w:t xml:space="preserve"> </w:t>
            </w:r>
            <w:r w:rsidRPr="002A6F4E">
              <w:rPr>
                <w:rFonts w:ascii="Arial" w:hAnsi="Arial" w:cs="Arial"/>
                <w:lang w:val="en-US"/>
              </w:rPr>
              <w:t>tim</w:t>
            </w:r>
            <w:r w:rsidRPr="002A6F4E">
              <w:rPr>
                <w:rFonts w:ascii="Arial" w:hAnsi="Arial" w:cs="Arial"/>
                <w:lang w:val="sr-Latn-CS"/>
              </w:rPr>
              <w:t xml:space="preserve"> ć</w:t>
            </w:r>
            <w:r w:rsidRPr="002A6F4E">
              <w:rPr>
                <w:rFonts w:ascii="Arial" w:hAnsi="Arial" w:cs="Arial"/>
                <w:lang w:val="en-US"/>
              </w:rPr>
              <w:t>e</w:t>
            </w:r>
            <w:r w:rsidRPr="002A6F4E">
              <w:rPr>
                <w:rFonts w:ascii="Arial" w:hAnsi="Arial" w:cs="Arial"/>
                <w:lang w:val="sr-Latn-CS"/>
              </w:rPr>
              <w:t xml:space="preserve"> </w:t>
            </w:r>
            <w:r w:rsidRPr="002A6F4E">
              <w:rPr>
                <w:rFonts w:ascii="Arial" w:hAnsi="Arial" w:cs="Arial"/>
                <w:lang w:val="en-US"/>
              </w:rPr>
              <w:t>se</w:t>
            </w:r>
            <w:r w:rsidRPr="002A6F4E">
              <w:rPr>
                <w:rFonts w:ascii="Arial" w:hAnsi="Arial" w:cs="Arial"/>
                <w:lang w:val="sr-Latn-CS"/>
              </w:rPr>
              <w:t xml:space="preserve"> </w:t>
            </w:r>
            <w:r w:rsidRPr="002A6F4E">
              <w:rPr>
                <w:rFonts w:ascii="Arial" w:hAnsi="Arial" w:cs="Arial"/>
                <w:lang w:val="en-US"/>
              </w:rPr>
              <w:t>smanjiti</w:t>
            </w:r>
            <w:r w:rsidRPr="002A6F4E">
              <w:rPr>
                <w:rFonts w:ascii="Arial" w:hAnsi="Arial" w:cs="Arial"/>
                <w:lang w:val="sr-Latn-CS"/>
              </w:rPr>
              <w:t xml:space="preserve"> </w:t>
            </w:r>
            <w:r w:rsidRPr="002A6F4E">
              <w:rPr>
                <w:rFonts w:ascii="Arial" w:hAnsi="Arial" w:cs="Arial"/>
                <w:lang w:val="en-US"/>
              </w:rPr>
              <w:t>koli</w:t>
            </w:r>
            <w:r w:rsidRPr="002A6F4E">
              <w:rPr>
                <w:rFonts w:ascii="Arial" w:hAnsi="Arial" w:cs="Arial"/>
                <w:lang w:val="sr-Latn-CS"/>
              </w:rPr>
              <w:t>č</w:t>
            </w:r>
            <w:r w:rsidRPr="002A6F4E">
              <w:rPr>
                <w:rFonts w:ascii="Arial" w:hAnsi="Arial" w:cs="Arial"/>
                <w:lang w:val="en-US"/>
              </w:rPr>
              <w:t>ina</w:t>
            </w:r>
            <w:r w:rsidRPr="002A6F4E">
              <w:rPr>
                <w:rFonts w:ascii="Arial" w:hAnsi="Arial" w:cs="Arial"/>
                <w:lang w:val="sr-Latn-CS"/>
              </w:rPr>
              <w:t xml:space="preserve"> </w:t>
            </w:r>
            <w:r w:rsidRPr="002A6F4E">
              <w:rPr>
                <w:rFonts w:ascii="Arial" w:hAnsi="Arial" w:cs="Arial"/>
                <w:lang w:val="en-US"/>
              </w:rPr>
              <w:t>otpada</w:t>
            </w:r>
            <w:r w:rsidRPr="002A6F4E">
              <w:rPr>
                <w:rFonts w:ascii="Arial" w:hAnsi="Arial" w:cs="Arial"/>
                <w:lang w:val="sr-Latn-CS"/>
              </w:rPr>
              <w:t xml:space="preserve"> </w:t>
            </w:r>
            <w:r w:rsidRPr="002A6F4E">
              <w:rPr>
                <w:rFonts w:ascii="Arial" w:hAnsi="Arial" w:cs="Arial"/>
                <w:lang w:val="en-US"/>
              </w:rPr>
              <w:t>koju</w:t>
            </w:r>
            <w:r w:rsidRPr="002A6F4E">
              <w:rPr>
                <w:rFonts w:ascii="Arial" w:hAnsi="Arial" w:cs="Arial"/>
                <w:lang w:val="sr-Latn-CS"/>
              </w:rPr>
              <w:t xml:space="preserve"> </w:t>
            </w:r>
            <w:r w:rsidRPr="002A6F4E">
              <w:rPr>
                <w:rFonts w:ascii="Arial" w:hAnsi="Arial" w:cs="Arial"/>
                <w:lang w:val="en-US"/>
              </w:rPr>
              <w:t>je</w:t>
            </w:r>
            <w:r w:rsidRPr="002A6F4E">
              <w:rPr>
                <w:rFonts w:ascii="Arial" w:hAnsi="Arial" w:cs="Arial"/>
                <w:lang w:val="sr-Latn-CS"/>
              </w:rPr>
              <w:t xml:space="preserve"> </w:t>
            </w:r>
            <w:r w:rsidRPr="002A6F4E">
              <w:rPr>
                <w:rFonts w:ascii="Arial" w:hAnsi="Arial" w:cs="Arial"/>
                <w:lang w:val="en-US"/>
              </w:rPr>
              <w:t>potrebno</w:t>
            </w:r>
            <w:r w:rsidRPr="002A6F4E">
              <w:rPr>
                <w:rFonts w:ascii="Arial" w:hAnsi="Arial" w:cs="Arial"/>
                <w:lang w:val="sr-Latn-CS"/>
              </w:rPr>
              <w:t xml:space="preserve"> </w:t>
            </w:r>
            <w:r w:rsidRPr="002A6F4E">
              <w:rPr>
                <w:rFonts w:ascii="Arial" w:hAnsi="Arial" w:cs="Arial"/>
                <w:lang w:val="en-US"/>
              </w:rPr>
              <w:t>deponovati</w:t>
            </w:r>
            <w:r w:rsidRPr="002A6F4E">
              <w:rPr>
                <w:rFonts w:ascii="Arial" w:hAnsi="Arial" w:cs="Arial"/>
                <w:lang w:val="sr-Latn-CS"/>
              </w:rPr>
              <w:t xml:space="preserve"> </w:t>
            </w:r>
            <w:r w:rsidRPr="002A6F4E">
              <w:rPr>
                <w:rFonts w:ascii="Arial" w:hAnsi="Arial" w:cs="Arial"/>
                <w:lang w:val="en-US"/>
              </w:rPr>
              <w:t>ili</w:t>
            </w:r>
            <w:r w:rsidRPr="002A6F4E">
              <w:rPr>
                <w:rFonts w:ascii="Arial" w:hAnsi="Arial" w:cs="Arial"/>
                <w:lang w:val="sr-Latn-CS"/>
              </w:rPr>
              <w:t xml:space="preserve"> </w:t>
            </w:r>
            <w:r w:rsidRPr="002A6F4E">
              <w:rPr>
                <w:rFonts w:ascii="Arial" w:hAnsi="Arial" w:cs="Arial"/>
                <w:lang w:val="en-US"/>
              </w:rPr>
              <w:t>privremeno</w:t>
            </w:r>
            <w:r w:rsidRPr="002A6F4E">
              <w:rPr>
                <w:rFonts w:ascii="Arial" w:hAnsi="Arial" w:cs="Arial"/>
                <w:lang w:val="sr-Latn-CS"/>
              </w:rPr>
              <w:t xml:space="preserve"> </w:t>
            </w:r>
            <w:r w:rsidRPr="002A6F4E">
              <w:rPr>
                <w:rFonts w:ascii="Arial" w:hAnsi="Arial" w:cs="Arial"/>
                <w:lang w:val="en-US"/>
              </w:rPr>
              <w:t>skladi</w:t>
            </w:r>
            <w:r w:rsidRPr="002A6F4E">
              <w:rPr>
                <w:rFonts w:ascii="Arial" w:hAnsi="Arial" w:cs="Arial"/>
                <w:lang w:val="sr-Latn-CS"/>
              </w:rPr>
              <w:t>š</w:t>
            </w:r>
            <w:r w:rsidRPr="002A6F4E">
              <w:rPr>
                <w:rFonts w:ascii="Arial" w:hAnsi="Arial" w:cs="Arial"/>
                <w:lang w:val="en-US"/>
              </w:rPr>
              <w:t>titi</w:t>
            </w:r>
            <w:r w:rsidRPr="002A6F4E">
              <w:rPr>
                <w:rFonts w:ascii="Arial" w:hAnsi="Arial" w:cs="Arial"/>
                <w:lang w:val="sr-Latn-CS"/>
              </w:rPr>
              <w:t>;</w:t>
            </w:r>
          </w:p>
          <w:p w14:paraId="2D602777" w14:textId="04D59B46" w:rsidR="006C693A" w:rsidRPr="002A6F4E" w:rsidRDefault="003E3DB0" w:rsidP="00A23ED0">
            <w:pPr>
              <w:numPr>
                <w:ilvl w:val="0"/>
                <w:numId w:val="107"/>
              </w:numPr>
              <w:autoSpaceDE w:val="0"/>
              <w:autoSpaceDN w:val="0"/>
              <w:adjustRightInd w:val="0"/>
              <w:spacing w:line="360" w:lineRule="auto"/>
              <w:rPr>
                <w:rFonts w:ascii="Arial" w:hAnsi="Arial" w:cs="Arial"/>
                <w:b w:val="0"/>
                <w:bCs w:val="0"/>
                <w:lang w:val="sr-Latn-CS"/>
              </w:rPr>
            </w:pPr>
            <w:r>
              <w:rPr>
                <w:rFonts w:ascii="Arial" w:hAnsi="Arial" w:cs="Arial"/>
                <w:lang w:val="sr-Latn-CS"/>
              </w:rPr>
              <w:t xml:space="preserve">Ojačati sistem </w:t>
            </w:r>
            <w:r w:rsidR="006C693A" w:rsidRPr="002A6F4E">
              <w:rPr>
                <w:rFonts w:ascii="Arial" w:hAnsi="Arial" w:cs="Arial"/>
                <w:lang w:val="sr-Latn-CS"/>
              </w:rPr>
              <w:t>ekonomskih instrumenata pored onih zakonom propisanih kako bi se uticalo na ponašanje građana i pokrili troškovi upravljanja otpadom;</w:t>
            </w:r>
          </w:p>
          <w:p w14:paraId="5CD6D38D" w14:textId="77777777"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sr-Latn-CS"/>
              </w:rPr>
              <w:t xml:space="preserve">Dodatno investirati u postrojenja za mehaničko razvrstavanje i sisteme za baliranje; </w:t>
            </w:r>
          </w:p>
          <w:p w14:paraId="387EA177" w14:textId="4F34B869"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en-US"/>
              </w:rPr>
              <w:t>Preporu</w:t>
            </w:r>
            <w:r w:rsidRPr="002A6F4E">
              <w:rPr>
                <w:rFonts w:ascii="Arial" w:hAnsi="Arial" w:cs="Arial"/>
                <w:lang w:val="sr-Latn-CS"/>
              </w:rPr>
              <w:t>č</w:t>
            </w:r>
            <w:r w:rsidRPr="002A6F4E">
              <w:rPr>
                <w:rFonts w:ascii="Arial" w:hAnsi="Arial" w:cs="Arial"/>
                <w:lang w:val="en-US"/>
              </w:rPr>
              <w:t>uje</w:t>
            </w:r>
            <w:r w:rsidRPr="002A6F4E">
              <w:rPr>
                <w:rFonts w:ascii="Arial" w:hAnsi="Arial" w:cs="Arial"/>
                <w:lang w:val="sr-Latn-CS"/>
              </w:rPr>
              <w:t xml:space="preserve"> </w:t>
            </w:r>
            <w:r w:rsidRPr="002A6F4E">
              <w:rPr>
                <w:rFonts w:ascii="Arial" w:hAnsi="Arial" w:cs="Arial"/>
                <w:lang w:val="en-US"/>
              </w:rPr>
              <w:t>se</w:t>
            </w:r>
            <w:r w:rsidRPr="002A6F4E">
              <w:rPr>
                <w:rFonts w:ascii="Arial" w:hAnsi="Arial" w:cs="Arial"/>
                <w:lang w:val="sr-Latn-CS"/>
              </w:rPr>
              <w:t xml:space="preserve"> </w:t>
            </w:r>
            <w:r w:rsidRPr="002A6F4E">
              <w:rPr>
                <w:rFonts w:ascii="Arial" w:hAnsi="Arial" w:cs="Arial"/>
                <w:lang w:val="en-US"/>
              </w:rPr>
              <w:t>jedinicama</w:t>
            </w:r>
            <w:r w:rsidRPr="002A6F4E">
              <w:rPr>
                <w:rFonts w:ascii="Arial" w:hAnsi="Arial" w:cs="Arial"/>
                <w:lang w:val="sr-Latn-CS"/>
              </w:rPr>
              <w:t xml:space="preserve"> </w:t>
            </w:r>
            <w:r w:rsidRPr="002A6F4E">
              <w:rPr>
                <w:rFonts w:ascii="Arial" w:hAnsi="Arial" w:cs="Arial"/>
                <w:lang w:val="en-US"/>
              </w:rPr>
              <w:t>lokalne</w:t>
            </w:r>
            <w:r w:rsidRPr="002A6F4E">
              <w:rPr>
                <w:rFonts w:ascii="Arial" w:hAnsi="Arial" w:cs="Arial"/>
                <w:lang w:val="sr-Latn-CS"/>
              </w:rPr>
              <w:t xml:space="preserve"> </w:t>
            </w:r>
            <w:r w:rsidRPr="002A6F4E">
              <w:rPr>
                <w:rFonts w:ascii="Arial" w:hAnsi="Arial" w:cs="Arial"/>
                <w:lang w:val="en-US"/>
              </w:rPr>
              <w:t>samouprave</w:t>
            </w:r>
            <w:r w:rsidRPr="002A6F4E">
              <w:rPr>
                <w:rFonts w:ascii="Arial" w:hAnsi="Arial" w:cs="Arial"/>
                <w:lang w:val="sr-Latn-CS"/>
              </w:rPr>
              <w:t xml:space="preserve"> </w:t>
            </w:r>
            <w:r w:rsidRPr="002A6F4E">
              <w:rPr>
                <w:rFonts w:ascii="Arial" w:hAnsi="Arial" w:cs="Arial"/>
                <w:lang w:val="en-US"/>
              </w:rPr>
              <w:t>da</w:t>
            </w:r>
            <w:r w:rsidRPr="002A6F4E">
              <w:rPr>
                <w:rFonts w:ascii="Arial" w:hAnsi="Arial" w:cs="Arial"/>
                <w:lang w:val="sr-Latn-CS"/>
              </w:rPr>
              <w:t xml:space="preserve">: </w:t>
            </w:r>
            <w:r w:rsidRPr="002A6F4E">
              <w:rPr>
                <w:rFonts w:ascii="Arial" w:hAnsi="Arial" w:cs="Arial"/>
                <w:lang w:val="en-US"/>
              </w:rPr>
              <w:t>intenziviraju</w:t>
            </w:r>
            <w:r w:rsidRPr="002A6F4E">
              <w:rPr>
                <w:rFonts w:ascii="Arial" w:hAnsi="Arial" w:cs="Arial"/>
                <w:lang w:val="sr-Latn-CS"/>
              </w:rPr>
              <w:t xml:space="preserve"> </w:t>
            </w:r>
            <w:r w:rsidRPr="002A6F4E">
              <w:rPr>
                <w:rFonts w:ascii="Arial" w:hAnsi="Arial" w:cs="Arial"/>
                <w:lang w:val="en-US"/>
              </w:rPr>
              <w:t>aktivnosti</w:t>
            </w:r>
            <w:r w:rsidRPr="002A6F4E">
              <w:rPr>
                <w:rFonts w:ascii="Arial" w:hAnsi="Arial" w:cs="Arial"/>
                <w:lang w:val="sr-Latn-CS"/>
              </w:rPr>
              <w:t xml:space="preserve"> </w:t>
            </w:r>
            <w:r w:rsidRPr="002A6F4E">
              <w:rPr>
                <w:rFonts w:ascii="Arial" w:hAnsi="Arial" w:cs="Arial"/>
                <w:lang w:val="en-US"/>
              </w:rPr>
              <w:t>na</w:t>
            </w:r>
            <w:r w:rsidRPr="002A6F4E">
              <w:rPr>
                <w:rFonts w:ascii="Arial" w:hAnsi="Arial" w:cs="Arial"/>
                <w:lang w:val="sr-Latn-CS"/>
              </w:rPr>
              <w:t xml:space="preserve"> </w:t>
            </w:r>
            <w:r w:rsidRPr="002A6F4E">
              <w:rPr>
                <w:rFonts w:ascii="Arial" w:hAnsi="Arial" w:cs="Arial"/>
                <w:lang w:val="en-US"/>
              </w:rPr>
              <w:t>odvojenom</w:t>
            </w:r>
            <w:r w:rsidRPr="002A6F4E">
              <w:rPr>
                <w:rFonts w:ascii="Arial" w:hAnsi="Arial" w:cs="Arial"/>
                <w:lang w:val="sr-Latn-CS"/>
              </w:rPr>
              <w:t xml:space="preserve"> </w:t>
            </w:r>
            <w:r w:rsidRPr="002A6F4E">
              <w:rPr>
                <w:rFonts w:ascii="Arial" w:hAnsi="Arial" w:cs="Arial"/>
                <w:lang w:val="en-US"/>
              </w:rPr>
              <w:t>sakupljanju</w:t>
            </w:r>
            <w:r w:rsidRPr="002A6F4E">
              <w:rPr>
                <w:rFonts w:ascii="Arial" w:hAnsi="Arial" w:cs="Arial"/>
                <w:lang w:val="sr-Latn-CS"/>
              </w:rPr>
              <w:t xml:space="preserve"> </w:t>
            </w:r>
            <w:r w:rsidRPr="002A6F4E">
              <w:rPr>
                <w:rFonts w:ascii="Arial" w:hAnsi="Arial" w:cs="Arial"/>
                <w:lang w:val="en-US"/>
              </w:rPr>
              <w:t>komunalnog</w:t>
            </w:r>
            <w:r w:rsidRPr="002A6F4E">
              <w:rPr>
                <w:rFonts w:ascii="Arial" w:hAnsi="Arial" w:cs="Arial"/>
                <w:lang w:val="sr-Latn-CS"/>
              </w:rPr>
              <w:t xml:space="preserve"> </w:t>
            </w:r>
            <w:r w:rsidRPr="002A6F4E">
              <w:rPr>
                <w:rFonts w:ascii="Arial" w:hAnsi="Arial" w:cs="Arial"/>
                <w:lang w:val="en-US"/>
              </w:rPr>
              <w:t>otpada</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neopasnog</w:t>
            </w:r>
            <w:r w:rsidRPr="002A6F4E">
              <w:rPr>
                <w:rFonts w:ascii="Arial" w:hAnsi="Arial" w:cs="Arial"/>
                <w:lang w:val="sr-Latn-CS"/>
              </w:rPr>
              <w:t xml:space="preserve"> </w:t>
            </w:r>
            <w:r w:rsidRPr="002A6F4E">
              <w:rPr>
                <w:rFonts w:ascii="Arial" w:hAnsi="Arial" w:cs="Arial"/>
                <w:lang w:val="en-US"/>
              </w:rPr>
              <w:t>gra</w:t>
            </w:r>
            <w:r w:rsidRPr="002A6F4E">
              <w:rPr>
                <w:rFonts w:ascii="Arial" w:hAnsi="Arial" w:cs="Arial"/>
                <w:lang w:val="sr-Latn-CS"/>
              </w:rPr>
              <w:t>đ</w:t>
            </w:r>
            <w:r w:rsidRPr="002A6F4E">
              <w:rPr>
                <w:rFonts w:ascii="Arial" w:hAnsi="Arial" w:cs="Arial"/>
                <w:lang w:val="en-US"/>
              </w:rPr>
              <w:t>evinskog</w:t>
            </w:r>
            <w:r w:rsidRPr="002A6F4E">
              <w:rPr>
                <w:rFonts w:ascii="Arial" w:hAnsi="Arial" w:cs="Arial"/>
                <w:lang w:val="sr-Latn-CS"/>
              </w:rPr>
              <w:t xml:space="preserve"> </w:t>
            </w:r>
            <w:r w:rsidRPr="002A6F4E">
              <w:rPr>
                <w:rFonts w:ascii="Arial" w:hAnsi="Arial" w:cs="Arial"/>
                <w:lang w:val="en-US"/>
              </w:rPr>
              <w:t>otpada</w:t>
            </w:r>
            <w:r w:rsidRPr="002A6F4E">
              <w:rPr>
                <w:rFonts w:ascii="Arial" w:hAnsi="Arial" w:cs="Arial"/>
                <w:lang w:val="sr-Latn-CS"/>
              </w:rPr>
              <w:t xml:space="preserve">; </w:t>
            </w:r>
            <w:r w:rsidRPr="002A6F4E">
              <w:rPr>
                <w:rFonts w:ascii="Arial" w:hAnsi="Arial" w:cs="Arial"/>
                <w:lang w:val="en-US"/>
              </w:rPr>
              <w:t>preduzmu</w:t>
            </w:r>
            <w:r w:rsidRPr="002A6F4E">
              <w:rPr>
                <w:rFonts w:ascii="Arial" w:hAnsi="Arial" w:cs="Arial"/>
                <w:lang w:val="sr-Latn-CS"/>
              </w:rPr>
              <w:t xml:space="preserve"> </w:t>
            </w:r>
            <w:r w:rsidRPr="002A6F4E">
              <w:rPr>
                <w:rFonts w:ascii="Arial" w:hAnsi="Arial" w:cs="Arial"/>
                <w:lang w:val="en-US"/>
              </w:rPr>
              <w:t>aktivnosti</w:t>
            </w:r>
            <w:r w:rsidRPr="002A6F4E">
              <w:rPr>
                <w:rFonts w:ascii="Arial" w:hAnsi="Arial" w:cs="Arial"/>
                <w:lang w:val="sr-Latn-CS"/>
              </w:rPr>
              <w:t xml:space="preserve"> </w:t>
            </w:r>
            <w:r w:rsidRPr="002A6F4E">
              <w:rPr>
                <w:rFonts w:ascii="Arial" w:hAnsi="Arial" w:cs="Arial"/>
                <w:lang w:val="en-US"/>
              </w:rPr>
              <w:t>na</w:t>
            </w:r>
            <w:r w:rsidRPr="002A6F4E">
              <w:rPr>
                <w:rFonts w:ascii="Arial" w:hAnsi="Arial" w:cs="Arial"/>
                <w:lang w:val="sr-Latn-CS"/>
              </w:rPr>
              <w:t xml:space="preserve"> </w:t>
            </w:r>
            <w:r w:rsidRPr="002A6F4E">
              <w:rPr>
                <w:rFonts w:ascii="Arial" w:hAnsi="Arial" w:cs="Arial"/>
                <w:lang w:val="en-US"/>
              </w:rPr>
              <w:t>odre</w:t>
            </w:r>
            <w:r w:rsidRPr="002A6F4E">
              <w:rPr>
                <w:rFonts w:ascii="Arial" w:hAnsi="Arial" w:cs="Arial"/>
                <w:lang w:val="sr-Latn-CS"/>
              </w:rPr>
              <w:t>đ</w:t>
            </w:r>
            <w:r w:rsidRPr="002A6F4E">
              <w:rPr>
                <w:rFonts w:ascii="Arial" w:hAnsi="Arial" w:cs="Arial"/>
                <w:lang w:val="en-US"/>
              </w:rPr>
              <w:t>ivanju</w:t>
            </w:r>
            <w:r w:rsidRPr="002A6F4E">
              <w:rPr>
                <w:rFonts w:ascii="Arial" w:hAnsi="Arial" w:cs="Arial"/>
                <w:lang w:val="sr-Latn-CS"/>
              </w:rPr>
              <w:t xml:space="preserve"> </w:t>
            </w:r>
            <w:r w:rsidRPr="002A6F4E">
              <w:rPr>
                <w:rFonts w:ascii="Arial" w:hAnsi="Arial" w:cs="Arial"/>
                <w:lang w:val="en-US"/>
              </w:rPr>
              <w:t>sastava</w:t>
            </w:r>
            <w:r w:rsidRPr="002A6F4E">
              <w:rPr>
                <w:rFonts w:ascii="Arial" w:hAnsi="Arial" w:cs="Arial"/>
                <w:lang w:val="sr-Latn-CS"/>
              </w:rPr>
              <w:t xml:space="preserve"> </w:t>
            </w:r>
            <w:r w:rsidRPr="002A6F4E">
              <w:rPr>
                <w:rFonts w:ascii="Arial" w:hAnsi="Arial" w:cs="Arial"/>
                <w:lang w:val="en-US"/>
              </w:rPr>
              <w:t>komunalnog</w:t>
            </w:r>
            <w:r w:rsidRPr="002A6F4E">
              <w:rPr>
                <w:rFonts w:ascii="Arial" w:hAnsi="Arial" w:cs="Arial"/>
                <w:lang w:val="sr-Latn-CS"/>
              </w:rPr>
              <w:t xml:space="preserve"> </w:t>
            </w:r>
            <w:r w:rsidRPr="002A6F4E">
              <w:rPr>
                <w:rFonts w:ascii="Arial" w:hAnsi="Arial" w:cs="Arial"/>
                <w:lang w:val="en-US"/>
              </w:rPr>
              <w:t>otpada</w:t>
            </w:r>
            <w:r w:rsidRPr="002A6F4E">
              <w:rPr>
                <w:rFonts w:ascii="Arial" w:hAnsi="Arial" w:cs="Arial"/>
                <w:lang w:val="sr-Latn-CS"/>
              </w:rPr>
              <w:t xml:space="preserve">; </w:t>
            </w:r>
            <w:r w:rsidRPr="002A6F4E">
              <w:rPr>
                <w:rFonts w:ascii="Arial" w:hAnsi="Arial" w:cs="Arial"/>
                <w:lang w:val="en-US"/>
              </w:rPr>
              <w:t>na</w:t>
            </w:r>
            <w:r w:rsidRPr="002A6F4E">
              <w:rPr>
                <w:rFonts w:ascii="Arial" w:hAnsi="Arial" w:cs="Arial"/>
                <w:lang w:val="sr-Latn-CS"/>
              </w:rPr>
              <w:t xml:space="preserve"> </w:t>
            </w:r>
            <w:r w:rsidRPr="002A6F4E">
              <w:rPr>
                <w:rFonts w:ascii="Arial" w:hAnsi="Arial" w:cs="Arial"/>
                <w:lang w:val="en-US"/>
              </w:rPr>
              <w:t>godi</w:t>
            </w:r>
            <w:r w:rsidRPr="002A6F4E">
              <w:rPr>
                <w:rFonts w:ascii="Arial" w:hAnsi="Arial" w:cs="Arial"/>
                <w:lang w:val="sr-Latn-CS"/>
              </w:rPr>
              <w:t>š</w:t>
            </w:r>
            <w:r w:rsidRPr="002A6F4E">
              <w:rPr>
                <w:rFonts w:ascii="Arial" w:hAnsi="Arial" w:cs="Arial"/>
                <w:lang w:val="en-US"/>
              </w:rPr>
              <w:t>njem</w:t>
            </w:r>
            <w:r w:rsidRPr="002A6F4E">
              <w:rPr>
                <w:rFonts w:ascii="Arial" w:hAnsi="Arial" w:cs="Arial"/>
                <w:lang w:val="sr-Latn-CS"/>
              </w:rPr>
              <w:t xml:space="preserve"> </w:t>
            </w:r>
            <w:r w:rsidRPr="002A6F4E">
              <w:rPr>
                <w:rFonts w:ascii="Arial" w:hAnsi="Arial" w:cs="Arial"/>
                <w:lang w:val="en-US"/>
              </w:rPr>
              <w:t>nivou</w:t>
            </w:r>
            <w:r w:rsidRPr="002A6F4E">
              <w:rPr>
                <w:rFonts w:ascii="Arial" w:hAnsi="Arial" w:cs="Arial"/>
                <w:lang w:val="sr-Latn-CS"/>
              </w:rPr>
              <w:t xml:space="preserve"> </w:t>
            </w:r>
            <w:r w:rsidRPr="002A6F4E">
              <w:rPr>
                <w:rFonts w:ascii="Arial" w:hAnsi="Arial" w:cs="Arial"/>
                <w:lang w:val="en-US"/>
              </w:rPr>
              <w:t>a</w:t>
            </w:r>
            <w:r w:rsidRPr="002A6F4E">
              <w:rPr>
                <w:rFonts w:ascii="Arial" w:hAnsi="Arial" w:cs="Arial"/>
                <w:lang w:val="sr-Latn-CS"/>
              </w:rPr>
              <w:t>ž</w:t>
            </w:r>
            <w:r w:rsidRPr="002A6F4E">
              <w:rPr>
                <w:rFonts w:ascii="Arial" w:hAnsi="Arial" w:cs="Arial"/>
                <w:lang w:val="en-US"/>
              </w:rPr>
              <w:t>uriraju</w:t>
            </w:r>
            <w:r w:rsidRPr="002A6F4E">
              <w:rPr>
                <w:rFonts w:ascii="Arial" w:hAnsi="Arial" w:cs="Arial"/>
                <w:lang w:val="sr-Latn-CS"/>
              </w:rPr>
              <w:t xml:space="preserve"> </w:t>
            </w:r>
            <w:r w:rsidRPr="002A6F4E">
              <w:rPr>
                <w:rFonts w:ascii="Arial" w:hAnsi="Arial" w:cs="Arial"/>
                <w:lang w:val="en-US"/>
              </w:rPr>
              <w:t>popis</w:t>
            </w:r>
            <w:r w:rsidRPr="002A6F4E">
              <w:rPr>
                <w:rFonts w:ascii="Arial" w:hAnsi="Arial" w:cs="Arial"/>
                <w:lang w:val="sr-Latn-CS"/>
              </w:rPr>
              <w:t xml:space="preserve"> </w:t>
            </w:r>
            <w:r w:rsidRPr="002A6F4E">
              <w:rPr>
                <w:rFonts w:ascii="Arial" w:hAnsi="Arial" w:cs="Arial"/>
                <w:lang w:val="en-US"/>
              </w:rPr>
              <w:t>neure</w:t>
            </w:r>
            <w:r w:rsidRPr="002A6F4E">
              <w:rPr>
                <w:rFonts w:ascii="Arial" w:hAnsi="Arial" w:cs="Arial"/>
                <w:lang w:val="sr-Latn-CS"/>
              </w:rPr>
              <w:t>đ</w:t>
            </w:r>
            <w:r w:rsidRPr="002A6F4E">
              <w:rPr>
                <w:rFonts w:ascii="Arial" w:hAnsi="Arial" w:cs="Arial"/>
                <w:lang w:val="en-US"/>
              </w:rPr>
              <w:t>enih</w:t>
            </w:r>
            <w:r w:rsidRPr="002A6F4E">
              <w:rPr>
                <w:rFonts w:ascii="Arial" w:hAnsi="Arial" w:cs="Arial"/>
                <w:lang w:val="sr-Latn-CS"/>
              </w:rPr>
              <w:t xml:space="preserve"> </w:t>
            </w:r>
            <w:r w:rsidRPr="002A6F4E">
              <w:rPr>
                <w:rFonts w:ascii="Arial" w:hAnsi="Arial" w:cs="Arial"/>
                <w:lang w:val="en-US"/>
              </w:rPr>
              <w:t>odlagali</w:t>
            </w:r>
            <w:r w:rsidRPr="002A6F4E">
              <w:rPr>
                <w:rFonts w:ascii="Arial" w:hAnsi="Arial" w:cs="Arial"/>
                <w:lang w:val="sr-Latn-CS"/>
              </w:rPr>
              <w:t>š</w:t>
            </w:r>
            <w:r w:rsidRPr="002A6F4E">
              <w:rPr>
                <w:rFonts w:ascii="Arial" w:hAnsi="Arial" w:cs="Arial"/>
                <w:lang w:val="en-US"/>
              </w:rPr>
              <w:t>ta</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preduzmu</w:t>
            </w:r>
            <w:r w:rsidRPr="002A6F4E">
              <w:rPr>
                <w:rFonts w:ascii="Arial" w:hAnsi="Arial" w:cs="Arial"/>
                <w:lang w:val="sr-Latn-CS"/>
              </w:rPr>
              <w:t xml:space="preserve"> </w:t>
            </w:r>
            <w:r w:rsidRPr="002A6F4E">
              <w:rPr>
                <w:rFonts w:ascii="Arial" w:hAnsi="Arial" w:cs="Arial"/>
                <w:lang w:val="en-US"/>
              </w:rPr>
              <w:t>mjere</w:t>
            </w:r>
            <w:r w:rsidRPr="002A6F4E">
              <w:rPr>
                <w:rFonts w:ascii="Arial" w:hAnsi="Arial" w:cs="Arial"/>
                <w:lang w:val="sr-Latn-CS"/>
              </w:rPr>
              <w:t xml:space="preserve"> </w:t>
            </w:r>
            <w:r w:rsidRPr="002A6F4E">
              <w:rPr>
                <w:rFonts w:ascii="Arial" w:hAnsi="Arial" w:cs="Arial"/>
                <w:lang w:val="en-US"/>
              </w:rPr>
              <w:t>za</w:t>
            </w:r>
            <w:r w:rsidRPr="002A6F4E">
              <w:rPr>
                <w:rFonts w:ascii="Arial" w:hAnsi="Arial" w:cs="Arial"/>
                <w:lang w:val="sr-Latn-CS"/>
              </w:rPr>
              <w:t xml:space="preserve"> č</w:t>
            </w:r>
            <w:r w:rsidRPr="002A6F4E">
              <w:rPr>
                <w:rFonts w:ascii="Arial" w:hAnsi="Arial" w:cs="Arial"/>
                <w:lang w:val="en-US"/>
              </w:rPr>
              <w:t>i</w:t>
            </w:r>
            <w:r w:rsidRPr="002A6F4E">
              <w:rPr>
                <w:rFonts w:ascii="Arial" w:hAnsi="Arial" w:cs="Arial"/>
                <w:lang w:val="sr-Latn-CS"/>
              </w:rPr>
              <w:t>šć</w:t>
            </w:r>
            <w:r w:rsidRPr="002A6F4E">
              <w:rPr>
                <w:rFonts w:ascii="Arial" w:hAnsi="Arial" w:cs="Arial"/>
                <w:lang w:val="en-US"/>
              </w:rPr>
              <w:t>enje</w:t>
            </w:r>
            <w:r w:rsidRPr="002A6F4E">
              <w:rPr>
                <w:rFonts w:ascii="Arial" w:hAnsi="Arial" w:cs="Arial"/>
                <w:lang w:val="sr-Latn-CS"/>
              </w:rPr>
              <w:t xml:space="preserve">, </w:t>
            </w:r>
            <w:r w:rsidRPr="002A6F4E">
              <w:rPr>
                <w:rFonts w:ascii="Arial" w:hAnsi="Arial" w:cs="Arial"/>
                <w:lang w:val="en-US"/>
              </w:rPr>
              <w:t>odnosno</w:t>
            </w:r>
            <w:r w:rsidRPr="002A6F4E">
              <w:rPr>
                <w:rFonts w:ascii="Arial" w:hAnsi="Arial" w:cs="Arial"/>
                <w:lang w:val="sr-Latn-CS"/>
              </w:rPr>
              <w:t xml:space="preserve"> </w:t>
            </w:r>
            <w:r w:rsidRPr="002A6F4E">
              <w:rPr>
                <w:rFonts w:ascii="Arial" w:hAnsi="Arial" w:cs="Arial"/>
                <w:lang w:val="en-US"/>
              </w:rPr>
              <w:t>sanaciju</w:t>
            </w:r>
            <w:r w:rsidRPr="002A6F4E">
              <w:rPr>
                <w:rFonts w:ascii="Arial" w:hAnsi="Arial" w:cs="Arial"/>
                <w:lang w:val="sr-Latn-CS"/>
              </w:rPr>
              <w:t xml:space="preserve"> </w:t>
            </w:r>
            <w:r w:rsidRPr="002A6F4E">
              <w:rPr>
                <w:rFonts w:ascii="Arial" w:hAnsi="Arial" w:cs="Arial"/>
                <w:lang w:val="en-US"/>
              </w:rPr>
              <w:t>istih</w:t>
            </w:r>
            <w:r w:rsidRPr="002A6F4E">
              <w:rPr>
                <w:rFonts w:ascii="Arial" w:hAnsi="Arial" w:cs="Arial"/>
                <w:lang w:val="sr-Latn-CS"/>
              </w:rPr>
              <w:t xml:space="preserve">; </w:t>
            </w:r>
            <w:r w:rsidRPr="002A6F4E">
              <w:rPr>
                <w:rFonts w:ascii="Arial" w:hAnsi="Arial" w:cs="Arial"/>
                <w:lang w:val="en-US"/>
              </w:rPr>
              <w:t>preduzmu</w:t>
            </w:r>
            <w:r w:rsidRPr="002A6F4E">
              <w:rPr>
                <w:rFonts w:ascii="Arial" w:hAnsi="Arial" w:cs="Arial"/>
                <w:lang w:val="sr-Latn-CS"/>
              </w:rPr>
              <w:t xml:space="preserve"> </w:t>
            </w:r>
            <w:r w:rsidRPr="002A6F4E">
              <w:rPr>
                <w:rFonts w:ascii="Arial" w:hAnsi="Arial" w:cs="Arial"/>
                <w:lang w:val="en-US"/>
              </w:rPr>
              <w:t>mjere</w:t>
            </w:r>
            <w:r w:rsidRPr="002A6F4E">
              <w:rPr>
                <w:rFonts w:ascii="Arial" w:hAnsi="Arial" w:cs="Arial"/>
                <w:lang w:val="sr-Latn-CS"/>
              </w:rPr>
              <w:t xml:space="preserve"> </w:t>
            </w:r>
            <w:r w:rsidRPr="002A6F4E">
              <w:rPr>
                <w:rFonts w:ascii="Arial" w:hAnsi="Arial" w:cs="Arial"/>
                <w:lang w:val="en-US"/>
              </w:rPr>
              <w:t>na</w:t>
            </w:r>
            <w:r w:rsidRPr="002A6F4E">
              <w:rPr>
                <w:rFonts w:ascii="Arial" w:hAnsi="Arial" w:cs="Arial"/>
                <w:lang w:val="sr-Latn-CS"/>
              </w:rPr>
              <w:t xml:space="preserve"> </w:t>
            </w:r>
            <w:r w:rsidRPr="002A6F4E">
              <w:rPr>
                <w:rFonts w:ascii="Arial" w:hAnsi="Arial" w:cs="Arial"/>
                <w:lang w:val="en-US"/>
              </w:rPr>
              <w:t>ja</w:t>
            </w:r>
            <w:r w:rsidRPr="002A6F4E">
              <w:rPr>
                <w:rFonts w:ascii="Arial" w:hAnsi="Arial" w:cs="Arial"/>
                <w:lang w:val="sr-Latn-CS"/>
              </w:rPr>
              <w:t>č</w:t>
            </w:r>
            <w:r w:rsidRPr="002A6F4E">
              <w:rPr>
                <w:rFonts w:ascii="Arial" w:hAnsi="Arial" w:cs="Arial"/>
                <w:lang w:val="en-US"/>
              </w:rPr>
              <w:t>anju</w:t>
            </w:r>
            <w:r w:rsidRPr="002A6F4E">
              <w:rPr>
                <w:rFonts w:ascii="Arial" w:hAnsi="Arial" w:cs="Arial"/>
                <w:lang w:val="sr-Latn-CS"/>
              </w:rPr>
              <w:t xml:space="preserve"> </w:t>
            </w:r>
            <w:r w:rsidRPr="002A6F4E">
              <w:rPr>
                <w:rFonts w:ascii="Arial" w:hAnsi="Arial" w:cs="Arial"/>
                <w:lang w:val="en-US"/>
              </w:rPr>
              <w:t>ekolo</w:t>
            </w:r>
            <w:r w:rsidRPr="002A6F4E">
              <w:rPr>
                <w:rFonts w:ascii="Arial" w:hAnsi="Arial" w:cs="Arial"/>
                <w:lang w:val="sr-Latn-CS"/>
              </w:rPr>
              <w:t>š</w:t>
            </w:r>
            <w:r w:rsidRPr="002A6F4E">
              <w:rPr>
                <w:rFonts w:ascii="Arial" w:hAnsi="Arial" w:cs="Arial"/>
                <w:lang w:val="en-US"/>
              </w:rPr>
              <w:t>ke</w:t>
            </w:r>
            <w:r w:rsidRPr="002A6F4E">
              <w:rPr>
                <w:rFonts w:ascii="Arial" w:hAnsi="Arial" w:cs="Arial"/>
                <w:lang w:val="sr-Latn-CS"/>
              </w:rPr>
              <w:t xml:space="preserve"> </w:t>
            </w:r>
            <w:r w:rsidRPr="002A6F4E">
              <w:rPr>
                <w:rFonts w:ascii="Arial" w:hAnsi="Arial" w:cs="Arial"/>
                <w:lang w:val="en-US"/>
              </w:rPr>
              <w:t>svijesti</w:t>
            </w:r>
            <w:r w:rsidRPr="002A6F4E">
              <w:rPr>
                <w:rFonts w:ascii="Arial" w:hAnsi="Arial" w:cs="Arial"/>
                <w:lang w:val="sr-Latn-CS"/>
              </w:rPr>
              <w:t xml:space="preserve"> </w:t>
            </w:r>
            <w:r w:rsidRPr="002A6F4E">
              <w:rPr>
                <w:rFonts w:ascii="Arial" w:hAnsi="Arial" w:cs="Arial"/>
                <w:lang w:val="en-US"/>
              </w:rPr>
              <w:t>o</w:t>
            </w:r>
            <w:r w:rsidRPr="002A6F4E">
              <w:rPr>
                <w:rFonts w:ascii="Arial" w:hAnsi="Arial" w:cs="Arial"/>
                <w:lang w:val="sr-Latn-CS"/>
              </w:rPr>
              <w:t xml:space="preserve"> </w:t>
            </w:r>
            <w:r w:rsidRPr="002A6F4E">
              <w:rPr>
                <w:rFonts w:ascii="Arial" w:hAnsi="Arial" w:cs="Arial"/>
                <w:lang w:val="en-US"/>
              </w:rPr>
              <w:t>pravilnom</w:t>
            </w:r>
            <w:r w:rsidRPr="002A6F4E">
              <w:rPr>
                <w:rFonts w:ascii="Arial" w:hAnsi="Arial" w:cs="Arial"/>
                <w:lang w:val="sr-Latn-CS"/>
              </w:rPr>
              <w:t xml:space="preserve"> </w:t>
            </w:r>
            <w:r w:rsidRPr="002A6F4E">
              <w:rPr>
                <w:rFonts w:ascii="Arial" w:hAnsi="Arial" w:cs="Arial"/>
                <w:lang w:val="en-US"/>
              </w:rPr>
              <w:t>upravljanju</w:t>
            </w:r>
            <w:r w:rsidRPr="002A6F4E">
              <w:rPr>
                <w:rFonts w:ascii="Arial" w:hAnsi="Arial" w:cs="Arial"/>
                <w:lang w:val="sr-Latn-CS"/>
              </w:rPr>
              <w:t xml:space="preserve"> </w:t>
            </w:r>
            <w:r w:rsidRPr="002A6F4E">
              <w:rPr>
                <w:rFonts w:ascii="Arial" w:hAnsi="Arial" w:cs="Arial"/>
                <w:lang w:val="en-US"/>
              </w:rPr>
              <w:t>otpadom</w:t>
            </w:r>
            <w:r w:rsidRPr="002A6F4E">
              <w:rPr>
                <w:rFonts w:ascii="Arial" w:hAnsi="Arial" w:cs="Arial"/>
                <w:lang w:val="sr-Latn-CS"/>
              </w:rPr>
              <w:t>;</w:t>
            </w:r>
          </w:p>
          <w:p w14:paraId="6D051284" w14:textId="02AAC500"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en-US"/>
              </w:rPr>
              <w:t>Da</w:t>
            </w:r>
            <w:r w:rsidRPr="002A6F4E">
              <w:rPr>
                <w:rFonts w:ascii="Arial" w:hAnsi="Arial" w:cs="Arial"/>
                <w:lang w:val="sr-Latn-CS"/>
              </w:rPr>
              <w:t xml:space="preserve"> </w:t>
            </w:r>
            <w:r w:rsidRPr="002A6F4E">
              <w:rPr>
                <w:rFonts w:ascii="Arial" w:hAnsi="Arial" w:cs="Arial"/>
                <w:lang w:val="en-US"/>
              </w:rPr>
              <w:t>lokalne</w:t>
            </w:r>
            <w:r w:rsidRPr="002A6F4E">
              <w:rPr>
                <w:rFonts w:ascii="Arial" w:hAnsi="Arial" w:cs="Arial"/>
                <w:lang w:val="sr-Latn-CS"/>
              </w:rPr>
              <w:t xml:space="preserve"> </w:t>
            </w:r>
            <w:r w:rsidRPr="002A6F4E">
              <w:rPr>
                <w:rFonts w:ascii="Arial" w:hAnsi="Arial" w:cs="Arial"/>
                <w:lang w:val="en-US"/>
              </w:rPr>
              <w:t>samouprave</w:t>
            </w:r>
            <w:r w:rsidRPr="002A6F4E">
              <w:rPr>
                <w:rFonts w:ascii="Arial" w:hAnsi="Arial" w:cs="Arial"/>
                <w:lang w:val="sr-Latn-CS"/>
              </w:rPr>
              <w:t xml:space="preserve"> </w:t>
            </w:r>
            <w:r w:rsidRPr="002A6F4E">
              <w:rPr>
                <w:rFonts w:ascii="Arial" w:hAnsi="Arial" w:cs="Arial"/>
                <w:lang w:val="en-US"/>
              </w:rPr>
              <w:t>o</w:t>
            </w:r>
            <w:r w:rsidRPr="002A6F4E">
              <w:rPr>
                <w:rFonts w:ascii="Arial" w:hAnsi="Arial" w:cs="Arial"/>
                <w:lang w:val="sr-Latn-CS"/>
              </w:rPr>
              <w:t xml:space="preserve"> </w:t>
            </w:r>
            <w:r w:rsidRPr="002A6F4E">
              <w:rPr>
                <w:rFonts w:ascii="Arial" w:hAnsi="Arial" w:cs="Arial"/>
                <w:lang w:val="en-US"/>
              </w:rPr>
              <w:t>preduzetim</w:t>
            </w:r>
            <w:r w:rsidRPr="002A6F4E">
              <w:rPr>
                <w:rFonts w:ascii="Arial" w:hAnsi="Arial" w:cs="Arial"/>
                <w:lang w:val="sr-Latn-CS"/>
              </w:rPr>
              <w:t xml:space="preserve"> </w:t>
            </w:r>
            <w:r w:rsidRPr="002A6F4E">
              <w:rPr>
                <w:rFonts w:ascii="Arial" w:hAnsi="Arial" w:cs="Arial"/>
                <w:lang w:val="en-US"/>
              </w:rPr>
              <w:t>aktivnostima</w:t>
            </w:r>
            <w:r w:rsidRPr="002A6F4E">
              <w:rPr>
                <w:rFonts w:ascii="Arial" w:hAnsi="Arial" w:cs="Arial"/>
                <w:lang w:val="sr-Latn-CS"/>
              </w:rPr>
              <w:t xml:space="preserve"> </w:t>
            </w:r>
            <w:r w:rsidRPr="002A6F4E">
              <w:rPr>
                <w:rFonts w:ascii="Arial" w:hAnsi="Arial" w:cs="Arial"/>
                <w:lang w:val="en-US"/>
              </w:rPr>
              <w:t>iz</w:t>
            </w:r>
            <w:r w:rsidRPr="002A6F4E">
              <w:rPr>
                <w:rFonts w:ascii="Arial" w:hAnsi="Arial" w:cs="Arial"/>
                <w:lang w:val="sr-Latn-CS"/>
              </w:rPr>
              <w:t xml:space="preserve"> </w:t>
            </w:r>
            <w:r w:rsidRPr="002A6F4E">
              <w:rPr>
                <w:rFonts w:ascii="Arial" w:hAnsi="Arial" w:cs="Arial"/>
                <w:lang w:val="en-US"/>
              </w:rPr>
              <w:t>oblasti</w:t>
            </w:r>
            <w:r w:rsidRPr="002A6F4E">
              <w:rPr>
                <w:rFonts w:ascii="Arial" w:hAnsi="Arial" w:cs="Arial"/>
                <w:lang w:val="sr-Latn-CS"/>
              </w:rPr>
              <w:t xml:space="preserve"> </w:t>
            </w:r>
            <w:r w:rsidRPr="002A6F4E">
              <w:rPr>
                <w:rFonts w:ascii="Arial" w:hAnsi="Arial" w:cs="Arial"/>
                <w:lang w:val="en-US"/>
              </w:rPr>
              <w:t>upravljanja</w:t>
            </w:r>
            <w:r w:rsidRPr="002A6F4E">
              <w:rPr>
                <w:rFonts w:ascii="Arial" w:hAnsi="Arial" w:cs="Arial"/>
                <w:lang w:val="sr-Latn-CS"/>
              </w:rPr>
              <w:t xml:space="preserve"> </w:t>
            </w:r>
            <w:r w:rsidRPr="002A6F4E">
              <w:rPr>
                <w:rFonts w:ascii="Arial" w:hAnsi="Arial" w:cs="Arial"/>
                <w:lang w:val="en-US"/>
              </w:rPr>
              <w:t>otpadom</w:t>
            </w:r>
            <w:r w:rsidRPr="002A6F4E">
              <w:rPr>
                <w:rFonts w:ascii="Arial" w:hAnsi="Arial" w:cs="Arial"/>
                <w:lang w:val="sr-Latn-CS"/>
              </w:rPr>
              <w:t xml:space="preserve"> </w:t>
            </w:r>
            <w:r w:rsidRPr="002A6F4E">
              <w:rPr>
                <w:rFonts w:ascii="Arial" w:hAnsi="Arial" w:cs="Arial"/>
                <w:lang w:val="en-US"/>
              </w:rPr>
              <w:t>na</w:t>
            </w:r>
            <w:r w:rsidRPr="002A6F4E">
              <w:rPr>
                <w:rFonts w:ascii="Arial" w:hAnsi="Arial" w:cs="Arial"/>
                <w:lang w:val="sr-Latn-CS"/>
              </w:rPr>
              <w:t xml:space="preserve"> </w:t>
            </w:r>
            <w:r w:rsidRPr="002A6F4E">
              <w:rPr>
                <w:rFonts w:ascii="Arial" w:hAnsi="Arial" w:cs="Arial"/>
                <w:lang w:val="en-US"/>
              </w:rPr>
              <w:t>godi</w:t>
            </w:r>
            <w:r w:rsidRPr="002A6F4E">
              <w:rPr>
                <w:rFonts w:ascii="Arial" w:hAnsi="Arial" w:cs="Arial"/>
                <w:lang w:val="sr-Latn-CS"/>
              </w:rPr>
              <w:t>š</w:t>
            </w:r>
            <w:r w:rsidRPr="002A6F4E">
              <w:rPr>
                <w:rFonts w:ascii="Arial" w:hAnsi="Arial" w:cs="Arial"/>
                <w:lang w:val="en-US"/>
              </w:rPr>
              <w:t>njem</w:t>
            </w:r>
            <w:r w:rsidRPr="002A6F4E">
              <w:rPr>
                <w:rFonts w:ascii="Arial" w:hAnsi="Arial" w:cs="Arial"/>
                <w:lang w:val="sr-Latn-CS"/>
              </w:rPr>
              <w:t xml:space="preserve"> </w:t>
            </w:r>
            <w:r w:rsidRPr="002A6F4E">
              <w:rPr>
                <w:rFonts w:ascii="Arial" w:hAnsi="Arial" w:cs="Arial"/>
                <w:lang w:val="en-US"/>
              </w:rPr>
              <w:t>nivou</w:t>
            </w:r>
            <w:r w:rsidRPr="002A6F4E">
              <w:rPr>
                <w:rFonts w:ascii="Arial" w:hAnsi="Arial" w:cs="Arial"/>
                <w:lang w:val="sr-Latn-CS"/>
              </w:rPr>
              <w:t xml:space="preserve"> </w:t>
            </w:r>
            <w:r w:rsidRPr="002A6F4E">
              <w:rPr>
                <w:rFonts w:ascii="Arial" w:hAnsi="Arial" w:cs="Arial"/>
                <w:lang w:val="en-US"/>
              </w:rPr>
              <w:t>obavje</w:t>
            </w:r>
            <w:r w:rsidRPr="002A6F4E">
              <w:rPr>
                <w:rFonts w:ascii="Arial" w:hAnsi="Arial" w:cs="Arial"/>
                <w:lang w:val="sr-Latn-CS"/>
              </w:rPr>
              <w:t>š</w:t>
            </w:r>
            <w:r w:rsidRPr="002A6F4E">
              <w:rPr>
                <w:rFonts w:ascii="Arial" w:hAnsi="Arial" w:cs="Arial"/>
                <w:lang w:val="en-US"/>
              </w:rPr>
              <w:t>tavaju</w:t>
            </w:r>
            <w:r w:rsidRPr="002A6F4E">
              <w:rPr>
                <w:rFonts w:ascii="Arial" w:hAnsi="Arial" w:cs="Arial"/>
                <w:lang w:val="sr-Latn-CS"/>
              </w:rPr>
              <w:t xml:space="preserve"> </w:t>
            </w:r>
            <w:r w:rsidRPr="002A6F4E">
              <w:rPr>
                <w:rFonts w:ascii="Arial" w:hAnsi="Arial" w:cs="Arial"/>
                <w:lang w:val="en-US"/>
              </w:rPr>
              <w:t>resorno</w:t>
            </w:r>
            <w:r w:rsidRPr="002A6F4E">
              <w:rPr>
                <w:rFonts w:ascii="Arial" w:hAnsi="Arial" w:cs="Arial"/>
                <w:lang w:val="sr-Latn-CS"/>
              </w:rPr>
              <w:t xml:space="preserve"> </w:t>
            </w:r>
            <w:r w:rsidRPr="002A6F4E">
              <w:rPr>
                <w:rFonts w:ascii="Arial" w:hAnsi="Arial" w:cs="Arial"/>
                <w:lang w:val="en-US"/>
              </w:rPr>
              <w:t>ministars</w:t>
            </w:r>
            <w:r w:rsidR="003E3DB0">
              <w:rPr>
                <w:rFonts w:ascii="Arial" w:hAnsi="Arial" w:cs="Arial"/>
                <w:lang w:val="en-US"/>
              </w:rPr>
              <w:t>t</w:t>
            </w:r>
            <w:r w:rsidRPr="002A6F4E">
              <w:rPr>
                <w:rFonts w:ascii="Arial" w:hAnsi="Arial" w:cs="Arial"/>
                <w:lang w:val="en-US"/>
              </w:rPr>
              <w:t>vo</w:t>
            </w:r>
            <w:r w:rsidRPr="002A6F4E">
              <w:rPr>
                <w:rFonts w:ascii="Arial" w:hAnsi="Arial" w:cs="Arial"/>
                <w:lang w:val="sr-Latn-CS"/>
              </w:rPr>
              <w:t>;</w:t>
            </w:r>
          </w:p>
          <w:p w14:paraId="76A44C4F" w14:textId="56DCE9F4"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en-US"/>
              </w:rPr>
              <w:t>Radi</w:t>
            </w:r>
            <w:r w:rsidRPr="002A6F4E">
              <w:rPr>
                <w:rFonts w:ascii="Arial" w:hAnsi="Arial" w:cs="Arial"/>
                <w:lang w:val="sr-Latn-CS"/>
              </w:rPr>
              <w:t xml:space="preserve"> </w:t>
            </w:r>
            <w:r w:rsidRPr="002A6F4E">
              <w:rPr>
                <w:rFonts w:ascii="Arial" w:hAnsi="Arial" w:cs="Arial"/>
                <w:lang w:val="en-US"/>
              </w:rPr>
              <w:t>kvalitetnijeg</w:t>
            </w:r>
            <w:r w:rsidRPr="002A6F4E">
              <w:rPr>
                <w:rFonts w:ascii="Arial" w:hAnsi="Arial" w:cs="Arial"/>
                <w:lang w:val="sr-Latn-CS"/>
              </w:rPr>
              <w:t xml:space="preserve"> </w:t>
            </w:r>
            <w:r w:rsidRPr="002A6F4E">
              <w:rPr>
                <w:rFonts w:ascii="Arial" w:hAnsi="Arial" w:cs="Arial"/>
                <w:lang w:val="en-US"/>
              </w:rPr>
              <w:t>izvje</w:t>
            </w:r>
            <w:r w:rsidRPr="002A6F4E">
              <w:rPr>
                <w:rFonts w:ascii="Arial" w:hAnsi="Arial" w:cs="Arial"/>
                <w:lang w:val="sr-Latn-CS"/>
              </w:rPr>
              <w:t>š</w:t>
            </w:r>
            <w:r w:rsidRPr="002A6F4E">
              <w:rPr>
                <w:rFonts w:ascii="Arial" w:hAnsi="Arial" w:cs="Arial"/>
                <w:lang w:val="en-US"/>
              </w:rPr>
              <w:t>tavanja</w:t>
            </w:r>
            <w:r w:rsidRPr="002A6F4E">
              <w:rPr>
                <w:rFonts w:ascii="Arial" w:hAnsi="Arial" w:cs="Arial"/>
                <w:lang w:val="sr-Latn-CS"/>
              </w:rPr>
              <w:t xml:space="preserve"> </w:t>
            </w:r>
            <w:r w:rsidRPr="002A6F4E">
              <w:rPr>
                <w:rFonts w:ascii="Arial" w:hAnsi="Arial" w:cs="Arial"/>
                <w:lang w:val="en-US"/>
              </w:rPr>
              <w:t>o</w:t>
            </w:r>
            <w:r w:rsidRPr="002A6F4E">
              <w:rPr>
                <w:rFonts w:ascii="Arial" w:hAnsi="Arial" w:cs="Arial"/>
                <w:lang w:val="sr-Latn-CS"/>
              </w:rPr>
              <w:t xml:space="preserve"> </w:t>
            </w:r>
            <w:r w:rsidRPr="002A6F4E">
              <w:rPr>
                <w:rFonts w:ascii="Arial" w:hAnsi="Arial" w:cs="Arial"/>
                <w:lang w:val="en-US"/>
              </w:rPr>
              <w:t>proizvedenim</w:t>
            </w:r>
            <w:r w:rsidRPr="002A6F4E">
              <w:rPr>
                <w:rFonts w:ascii="Arial" w:hAnsi="Arial" w:cs="Arial"/>
                <w:lang w:val="sr-Latn-CS"/>
              </w:rPr>
              <w:t xml:space="preserve"> </w:t>
            </w:r>
            <w:r w:rsidRPr="002A6F4E">
              <w:rPr>
                <w:rFonts w:ascii="Arial" w:hAnsi="Arial" w:cs="Arial"/>
                <w:lang w:val="en-US"/>
              </w:rPr>
              <w:t>koli</w:t>
            </w:r>
            <w:r w:rsidRPr="002A6F4E">
              <w:rPr>
                <w:rFonts w:ascii="Arial" w:hAnsi="Arial" w:cs="Arial"/>
                <w:lang w:val="sr-Latn-CS"/>
              </w:rPr>
              <w:t>č</w:t>
            </w:r>
            <w:r w:rsidRPr="002A6F4E">
              <w:rPr>
                <w:rFonts w:ascii="Arial" w:hAnsi="Arial" w:cs="Arial"/>
                <w:lang w:val="en-US"/>
              </w:rPr>
              <w:t>inama</w:t>
            </w:r>
            <w:r w:rsidRPr="002A6F4E">
              <w:rPr>
                <w:rFonts w:ascii="Arial" w:hAnsi="Arial" w:cs="Arial"/>
                <w:lang w:val="sr-Latn-CS"/>
              </w:rPr>
              <w:t xml:space="preserve"> </w:t>
            </w:r>
            <w:r w:rsidRPr="002A6F4E">
              <w:rPr>
                <w:rFonts w:ascii="Arial" w:hAnsi="Arial" w:cs="Arial"/>
                <w:lang w:val="en-US"/>
              </w:rPr>
              <w:t>otpada</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uop</w:t>
            </w:r>
            <w:r w:rsidRPr="002A6F4E">
              <w:rPr>
                <w:rFonts w:ascii="Arial" w:hAnsi="Arial" w:cs="Arial"/>
                <w:lang w:val="sr-Latn-CS"/>
              </w:rPr>
              <w:t>š</w:t>
            </w:r>
            <w:r w:rsidRPr="002A6F4E">
              <w:rPr>
                <w:rFonts w:ascii="Arial" w:hAnsi="Arial" w:cs="Arial"/>
                <w:lang w:val="en-US"/>
              </w:rPr>
              <w:t>te</w:t>
            </w:r>
            <w:r w:rsidRPr="002A6F4E">
              <w:rPr>
                <w:rFonts w:ascii="Arial" w:hAnsi="Arial" w:cs="Arial"/>
                <w:lang w:val="sr-Latn-CS"/>
              </w:rPr>
              <w:t xml:space="preserve"> </w:t>
            </w:r>
            <w:r w:rsidRPr="002A6F4E">
              <w:rPr>
                <w:rFonts w:ascii="Arial" w:hAnsi="Arial" w:cs="Arial"/>
                <w:lang w:val="en-US"/>
              </w:rPr>
              <w:t>stanja</w:t>
            </w:r>
            <w:r w:rsidRPr="002A6F4E">
              <w:rPr>
                <w:rFonts w:ascii="Arial" w:hAnsi="Arial" w:cs="Arial"/>
                <w:lang w:val="sr-Latn-CS"/>
              </w:rPr>
              <w:t xml:space="preserve"> </w:t>
            </w:r>
            <w:r w:rsidRPr="002A6F4E">
              <w:rPr>
                <w:rFonts w:ascii="Arial" w:hAnsi="Arial" w:cs="Arial"/>
                <w:lang w:val="en-US"/>
              </w:rPr>
              <w:t>u</w:t>
            </w:r>
            <w:r w:rsidRPr="002A6F4E">
              <w:rPr>
                <w:rFonts w:ascii="Arial" w:hAnsi="Arial" w:cs="Arial"/>
                <w:lang w:val="sr-Latn-CS"/>
              </w:rPr>
              <w:t xml:space="preserve"> </w:t>
            </w:r>
            <w:r w:rsidRPr="002A6F4E">
              <w:rPr>
                <w:rFonts w:ascii="Arial" w:hAnsi="Arial" w:cs="Arial"/>
                <w:lang w:val="en-US"/>
              </w:rPr>
              <w:t>oblasti</w:t>
            </w:r>
            <w:r w:rsidRPr="002A6F4E">
              <w:rPr>
                <w:rFonts w:ascii="Arial" w:hAnsi="Arial" w:cs="Arial"/>
                <w:lang w:val="sr-Latn-CS"/>
              </w:rPr>
              <w:t xml:space="preserve"> </w:t>
            </w:r>
            <w:r w:rsidRPr="002A6F4E">
              <w:rPr>
                <w:rFonts w:ascii="Arial" w:hAnsi="Arial" w:cs="Arial"/>
                <w:lang w:val="en-US"/>
              </w:rPr>
              <w:t>upravljanja</w:t>
            </w:r>
            <w:r w:rsidRPr="002A6F4E">
              <w:rPr>
                <w:rFonts w:ascii="Arial" w:hAnsi="Arial" w:cs="Arial"/>
                <w:lang w:val="sr-Latn-CS"/>
              </w:rPr>
              <w:t xml:space="preserve"> </w:t>
            </w:r>
            <w:r w:rsidRPr="002A6F4E">
              <w:rPr>
                <w:rFonts w:ascii="Arial" w:hAnsi="Arial" w:cs="Arial"/>
                <w:lang w:val="en-US"/>
              </w:rPr>
              <w:t>otpadom</w:t>
            </w:r>
            <w:r w:rsidRPr="002A6F4E">
              <w:rPr>
                <w:rFonts w:ascii="Arial" w:hAnsi="Arial" w:cs="Arial"/>
                <w:lang w:val="sr-Latn-CS"/>
              </w:rPr>
              <w:t xml:space="preserve">, </w:t>
            </w:r>
            <w:r w:rsidRPr="002A6F4E">
              <w:rPr>
                <w:rFonts w:ascii="Arial" w:hAnsi="Arial" w:cs="Arial"/>
                <w:lang w:val="en-US"/>
              </w:rPr>
              <w:t>od</w:t>
            </w:r>
            <w:r w:rsidRPr="002A6F4E">
              <w:rPr>
                <w:rFonts w:ascii="Arial" w:hAnsi="Arial" w:cs="Arial"/>
                <w:lang w:val="sr-Latn-CS"/>
              </w:rPr>
              <w:t xml:space="preserve"> </w:t>
            </w:r>
            <w:r w:rsidRPr="002A6F4E">
              <w:rPr>
                <w:rFonts w:ascii="Arial" w:hAnsi="Arial" w:cs="Arial"/>
                <w:lang w:val="en-US"/>
              </w:rPr>
              <w:t>posebne</w:t>
            </w:r>
            <w:r w:rsidRPr="002A6F4E">
              <w:rPr>
                <w:rFonts w:ascii="Arial" w:hAnsi="Arial" w:cs="Arial"/>
                <w:lang w:val="sr-Latn-CS"/>
              </w:rPr>
              <w:t xml:space="preserve"> </w:t>
            </w:r>
            <w:r w:rsidRPr="002A6F4E">
              <w:rPr>
                <w:rFonts w:ascii="Arial" w:hAnsi="Arial" w:cs="Arial"/>
                <w:lang w:val="en-US"/>
              </w:rPr>
              <w:t>va</w:t>
            </w:r>
            <w:r w:rsidRPr="002A6F4E">
              <w:rPr>
                <w:rFonts w:ascii="Arial" w:hAnsi="Arial" w:cs="Arial"/>
                <w:lang w:val="sr-Latn-CS"/>
              </w:rPr>
              <w:t>ž</w:t>
            </w:r>
            <w:r w:rsidRPr="002A6F4E">
              <w:rPr>
                <w:rFonts w:ascii="Arial" w:hAnsi="Arial" w:cs="Arial"/>
                <w:lang w:val="en-US"/>
              </w:rPr>
              <w:t>nosti</w:t>
            </w:r>
            <w:r w:rsidRPr="002A6F4E">
              <w:rPr>
                <w:rFonts w:ascii="Arial" w:hAnsi="Arial" w:cs="Arial"/>
                <w:lang w:val="sr-Latn-CS"/>
              </w:rPr>
              <w:t xml:space="preserve"> </w:t>
            </w:r>
            <w:r w:rsidRPr="002A6F4E">
              <w:rPr>
                <w:rFonts w:ascii="Arial" w:hAnsi="Arial" w:cs="Arial"/>
                <w:lang w:val="en-US"/>
              </w:rPr>
              <w:t>je</w:t>
            </w:r>
            <w:r w:rsidRPr="002A6F4E">
              <w:rPr>
                <w:rFonts w:ascii="Arial" w:hAnsi="Arial" w:cs="Arial"/>
                <w:lang w:val="sr-Latn-CS"/>
              </w:rPr>
              <w:t xml:space="preserve"> </w:t>
            </w:r>
            <w:r w:rsidRPr="002A6F4E">
              <w:rPr>
                <w:rFonts w:ascii="Arial" w:hAnsi="Arial" w:cs="Arial"/>
                <w:lang w:val="en-US"/>
              </w:rPr>
              <w:t>uspostavljanje</w:t>
            </w:r>
            <w:r w:rsidRPr="002A6F4E">
              <w:rPr>
                <w:rFonts w:ascii="Arial" w:hAnsi="Arial" w:cs="Arial"/>
                <w:lang w:val="sr-Latn-CS"/>
              </w:rPr>
              <w:t xml:space="preserve"> </w:t>
            </w:r>
            <w:r w:rsidRPr="002A6F4E">
              <w:rPr>
                <w:rFonts w:ascii="Arial" w:hAnsi="Arial" w:cs="Arial"/>
                <w:lang w:val="en-US"/>
              </w:rPr>
              <w:t>informacionog</w:t>
            </w:r>
            <w:r w:rsidRPr="002A6F4E">
              <w:rPr>
                <w:rFonts w:ascii="Arial" w:hAnsi="Arial" w:cs="Arial"/>
                <w:lang w:val="sr-Latn-CS"/>
              </w:rPr>
              <w:t xml:space="preserve"> </w:t>
            </w:r>
            <w:r w:rsidRPr="002A6F4E">
              <w:rPr>
                <w:rFonts w:ascii="Arial" w:hAnsi="Arial" w:cs="Arial"/>
                <w:lang w:val="en-US"/>
              </w:rPr>
              <w:t>sistema</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jedinstvene</w:t>
            </w:r>
            <w:r w:rsidRPr="002A6F4E">
              <w:rPr>
                <w:rFonts w:ascii="Arial" w:hAnsi="Arial" w:cs="Arial"/>
                <w:lang w:val="sr-Latn-CS"/>
              </w:rPr>
              <w:t xml:space="preserve"> </w:t>
            </w:r>
            <w:r w:rsidRPr="002A6F4E">
              <w:rPr>
                <w:rFonts w:ascii="Arial" w:hAnsi="Arial" w:cs="Arial"/>
                <w:lang w:val="en-US"/>
              </w:rPr>
              <w:t>baze</w:t>
            </w:r>
            <w:r w:rsidRPr="002A6F4E">
              <w:rPr>
                <w:rFonts w:ascii="Arial" w:hAnsi="Arial" w:cs="Arial"/>
                <w:lang w:val="sr-Latn-CS"/>
              </w:rPr>
              <w:t xml:space="preserve"> </w:t>
            </w:r>
            <w:r w:rsidRPr="002A6F4E">
              <w:rPr>
                <w:rFonts w:ascii="Arial" w:hAnsi="Arial" w:cs="Arial"/>
                <w:lang w:val="en-US"/>
              </w:rPr>
              <w:t>podataka</w:t>
            </w:r>
            <w:r w:rsidRPr="002A6F4E">
              <w:rPr>
                <w:rFonts w:ascii="Arial" w:hAnsi="Arial" w:cs="Arial"/>
                <w:lang w:val="sr-Latn-CS"/>
              </w:rPr>
              <w:t xml:space="preserve"> </w:t>
            </w:r>
            <w:r w:rsidRPr="002A6F4E">
              <w:rPr>
                <w:rFonts w:ascii="Arial" w:hAnsi="Arial" w:cs="Arial"/>
                <w:lang w:val="en-US"/>
              </w:rPr>
              <w:t>za</w:t>
            </w:r>
            <w:r w:rsidRPr="002A6F4E">
              <w:rPr>
                <w:rFonts w:ascii="Arial" w:hAnsi="Arial" w:cs="Arial"/>
                <w:lang w:val="sr-Latn-CS"/>
              </w:rPr>
              <w:t xml:space="preserve"> </w:t>
            </w:r>
            <w:r w:rsidR="003E3DB0">
              <w:rPr>
                <w:rFonts w:ascii="Arial" w:hAnsi="Arial" w:cs="Arial"/>
                <w:lang w:val="sr-Latn-CS"/>
              </w:rPr>
              <w:t>MERS</w:t>
            </w:r>
            <w:r w:rsidRPr="002A6F4E">
              <w:rPr>
                <w:rFonts w:ascii="Arial" w:hAnsi="Arial" w:cs="Arial"/>
                <w:lang w:val="sr-Latn-CS"/>
              </w:rPr>
              <w:t xml:space="preserve">, </w:t>
            </w:r>
            <w:r w:rsidR="003E3DB0">
              <w:rPr>
                <w:rFonts w:ascii="Arial" w:hAnsi="Arial" w:cs="Arial"/>
                <w:lang w:val="en-US"/>
              </w:rPr>
              <w:t>AZ</w:t>
            </w:r>
            <w:r w:rsidR="003E3DB0" w:rsidRPr="00AF012C">
              <w:rPr>
                <w:rFonts w:ascii="Arial" w:hAnsi="Arial" w:cs="Arial"/>
                <w:lang w:val="sr-Latn-CS"/>
              </w:rPr>
              <w:t>Ž</w:t>
            </w:r>
            <w:r w:rsidR="003E3DB0">
              <w:rPr>
                <w:rFonts w:ascii="Arial" w:hAnsi="Arial" w:cs="Arial"/>
                <w:lang w:val="en-US"/>
              </w:rPr>
              <w:t>S</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Upravu</w:t>
            </w:r>
            <w:r w:rsidRPr="002A6F4E">
              <w:rPr>
                <w:rFonts w:ascii="Arial" w:hAnsi="Arial" w:cs="Arial"/>
                <w:lang w:val="sr-Latn-CS"/>
              </w:rPr>
              <w:t xml:space="preserve"> </w:t>
            </w:r>
            <w:r w:rsidRPr="002A6F4E">
              <w:rPr>
                <w:rFonts w:ascii="Arial" w:hAnsi="Arial" w:cs="Arial"/>
                <w:lang w:val="en-US"/>
              </w:rPr>
              <w:t>za</w:t>
            </w:r>
            <w:r w:rsidRPr="002A6F4E">
              <w:rPr>
                <w:rFonts w:ascii="Arial" w:hAnsi="Arial" w:cs="Arial"/>
                <w:lang w:val="sr-Latn-CS"/>
              </w:rPr>
              <w:t xml:space="preserve"> </w:t>
            </w:r>
            <w:r w:rsidRPr="002A6F4E">
              <w:rPr>
                <w:rFonts w:ascii="Arial" w:hAnsi="Arial" w:cs="Arial"/>
                <w:lang w:val="en-US"/>
              </w:rPr>
              <w:t>statistiku</w:t>
            </w:r>
            <w:r w:rsidRPr="002A6F4E">
              <w:rPr>
                <w:rFonts w:ascii="Arial" w:hAnsi="Arial" w:cs="Arial"/>
                <w:lang w:val="sr-Latn-CS"/>
              </w:rPr>
              <w:t>;</w:t>
            </w:r>
          </w:p>
          <w:p w14:paraId="1810645E" w14:textId="78078BAA"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eastAsia="TimesNewRomanPSMT" w:hAnsi="Arial" w:cs="Arial"/>
                <w:lang w:val="en-US"/>
              </w:rPr>
              <w:t>Lokalna</w:t>
            </w:r>
            <w:r w:rsidRPr="002A6F4E">
              <w:rPr>
                <w:rFonts w:ascii="Arial" w:eastAsia="TimesNewRomanPSMT" w:hAnsi="Arial" w:cs="Arial"/>
                <w:lang w:val="sr-Latn-CS"/>
              </w:rPr>
              <w:t xml:space="preserve"> </w:t>
            </w:r>
            <w:r w:rsidRPr="002A6F4E">
              <w:rPr>
                <w:rFonts w:ascii="Arial" w:eastAsia="TimesNewRomanPSMT" w:hAnsi="Arial" w:cs="Arial"/>
                <w:lang w:val="en-US"/>
              </w:rPr>
              <w:t>samouprava</w:t>
            </w:r>
            <w:r w:rsidRPr="002A6F4E">
              <w:rPr>
                <w:rFonts w:ascii="Arial" w:eastAsia="TimesNewRomanPSMT" w:hAnsi="Arial" w:cs="Arial"/>
                <w:lang w:val="sr-Latn-CS"/>
              </w:rPr>
              <w:t xml:space="preserve"> </w:t>
            </w:r>
            <w:r w:rsidRPr="002A6F4E">
              <w:rPr>
                <w:rFonts w:ascii="Arial" w:eastAsia="TimesNewRomanPSMT" w:hAnsi="Arial" w:cs="Arial"/>
                <w:lang w:val="en-US"/>
              </w:rPr>
              <w:t>da</w:t>
            </w:r>
            <w:r w:rsidRPr="002A6F4E">
              <w:rPr>
                <w:rFonts w:ascii="Arial" w:eastAsia="TimesNewRomanPSMT" w:hAnsi="Arial" w:cs="Arial"/>
                <w:lang w:val="sr-Latn-CS"/>
              </w:rPr>
              <w:t xml:space="preserve"> </w:t>
            </w:r>
            <w:r w:rsidRPr="002A6F4E">
              <w:rPr>
                <w:rFonts w:ascii="Arial" w:eastAsia="TimesNewRomanPSMT" w:hAnsi="Arial" w:cs="Arial"/>
                <w:lang w:val="en-US"/>
              </w:rPr>
              <w:t>inovira</w:t>
            </w:r>
            <w:r w:rsidRPr="002A6F4E">
              <w:rPr>
                <w:rFonts w:ascii="Arial" w:eastAsia="TimesNewRomanPSMT" w:hAnsi="Arial" w:cs="Arial"/>
                <w:lang w:val="sr-Latn-CS"/>
              </w:rPr>
              <w:t xml:space="preserve"> </w:t>
            </w:r>
            <w:r w:rsidRPr="002A6F4E">
              <w:rPr>
                <w:rFonts w:ascii="Arial" w:eastAsia="TimesNewRomanPSMT" w:hAnsi="Arial" w:cs="Arial"/>
                <w:lang w:val="en-US"/>
              </w:rPr>
              <w:t>metode</w:t>
            </w:r>
            <w:r w:rsidRPr="002A6F4E">
              <w:rPr>
                <w:rFonts w:ascii="Arial" w:eastAsia="TimesNewRomanPSMT" w:hAnsi="Arial" w:cs="Arial"/>
                <w:lang w:val="sr-Latn-CS"/>
              </w:rPr>
              <w:t xml:space="preserve"> </w:t>
            </w:r>
            <w:r w:rsidRPr="002A6F4E">
              <w:rPr>
                <w:rFonts w:ascii="Arial" w:eastAsia="TimesNewRomanPSMT" w:hAnsi="Arial" w:cs="Arial"/>
                <w:lang w:val="en-US"/>
              </w:rPr>
              <w:t>za</w:t>
            </w:r>
            <w:r w:rsidRPr="002A6F4E">
              <w:rPr>
                <w:rFonts w:ascii="Arial" w:eastAsia="TimesNewRomanPSMT" w:hAnsi="Arial" w:cs="Arial"/>
                <w:lang w:val="sr-Latn-CS"/>
              </w:rPr>
              <w:t xml:space="preserve"> </w:t>
            </w:r>
            <w:r w:rsidRPr="002A6F4E">
              <w:rPr>
                <w:rFonts w:ascii="Arial" w:eastAsia="TimesNewRomanPSMT" w:hAnsi="Arial" w:cs="Arial"/>
                <w:lang w:val="en-US"/>
              </w:rPr>
              <w:t>odre</w:t>
            </w:r>
            <w:r w:rsidRPr="002A6F4E">
              <w:rPr>
                <w:rFonts w:ascii="Arial" w:eastAsia="TimesNewRomanPSMT" w:hAnsi="Arial" w:cs="Arial"/>
                <w:lang w:val="sr-Latn-CS"/>
              </w:rPr>
              <w:t>đ</w:t>
            </w:r>
            <w:r w:rsidRPr="002A6F4E">
              <w:rPr>
                <w:rFonts w:ascii="Arial" w:eastAsia="TimesNewRomanPSMT" w:hAnsi="Arial" w:cs="Arial"/>
                <w:lang w:val="en-US"/>
              </w:rPr>
              <w:t>ivanje</w:t>
            </w:r>
            <w:r w:rsidRPr="002A6F4E">
              <w:rPr>
                <w:rFonts w:ascii="Arial" w:eastAsia="TimesNewRomanPSMT" w:hAnsi="Arial" w:cs="Arial"/>
                <w:lang w:val="sr-Latn-CS"/>
              </w:rPr>
              <w:t xml:space="preserve"> </w:t>
            </w:r>
            <w:r w:rsidRPr="002A6F4E">
              <w:rPr>
                <w:rFonts w:ascii="Arial" w:eastAsia="TimesNewRomanPSMT" w:hAnsi="Arial" w:cs="Arial"/>
                <w:lang w:val="en-US"/>
              </w:rPr>
              <w:t>cijene</w:t>
            </w:r>
            <w:r w:rsidRPr="002A6F4E">
              <w:rPr>
                <w:rFonts w:ascii="Arial" w:eastAsia="TimesNewRomanPSMT" w:hAnsi="Arial" w:cs="Arial"/>
                <w:lang w:val="sr-Latn-CS"/>
              </w:rPr>
              <w:t xml:space="preserve"> </w:t>
            </w:r>
            <w:r w:rsidRPr="002A6F4E">
              <w:rPr>
                <w:rFonts w:ascii="Arial" w:eastAsia="TimesNewRomanPSMT" w:hAnsi="Arial" w:cs="Arial"/>
                <w:lang w:val="en-US"/>
              </w:rPr>
              <w:t>ili</w:t>
            </w:r>
            <w:r w:rsidRPr="002A6F4E">
              <w:rPr>
                <w:rFonts w:ascii="Arial" w:eastAsia="TimesNewRomanPSMT" w:hAnsi="Arial" w:cs="Arial"/>
                <w:lang w:val="sr-Latn-CS"/>
              </w:rPr>
              <w:t xml:space="preserve"> </w:t>
            </w:r>
            <w:r w:rsidRPr="002A6F4E">
              <w:rPr>
                <w:rFonts w:ascii="Arial" w:eastAsia="TimesNewRomanPSMT" w:hAnsi="Arial" w:cs="Arial"/>
                <w:lang w:val="en-US"/>
              </w:rPr>
              <w:t>tro</w:t>
            </w:r>
            <w:r w:rsidRPr="002A6F4E">
              <w:rPr>
                <w:rFonts w:ascii="Arial" w:eastAsia="TimesNewRomanPSMT" w:hAnsi="Arial" w:cs="Arial"/>
                <w:lang w:val="sr-Latn-CS"/>
              </w:rPr>
              <w:t>š</w:t>
            </w:r>
            <w:r w:rsidRPr="002A6F4E">
              <w:rPr>
                <w:rFonts w:ascii="Arial" w:eastAsia="TimesNewRomanPSMT" w:hAnsi="Arial" w:cs="Arial"/>
                <w:lang w:val="en-US"/>
              </w:rPr>
              <w:t>kova</w:t>
            </w:r>
            <w:r w:rsidRPr="002A6F4E">
              <w:rPr>
                <w:rFonts w:ascii="Arial" w:eastAsia="TimesNewRomanPSMT" w:hAnsi="Arial" w:cs="Arial"/>
                <w:lang w:val="sr-Latn-CS"/>
              </w:rPr>
              <w:t xml:space="preserve"> </w:t>
            </w:r>
            <w:r w:rsidRPr="002A6F4E">
              <w:rPr>
                <w:rFonts w:ascii="Arial" w:eastAsia="TimesNewRomanPSMT" w:hAnsi="Arial" w:cs="Arial"/>
                <w:lang w:val="en-US"/>
              </w:rPr>
              <w:t>za</w:t>
            </w:r>
            <w:r w:rsidRPr="002A6F4E">
              <w:rPr>
                <w:rFonts w:ascii="Arial" w:eastAsia="TimesNewRomanPSMT" w:hAnsi="Arial" w:cs="Arial"/>
                <w:lang w:val="sr-Latn-CS"/>
              </w:rPr>
              <w:t xml:space="preserve"> </w:t>
            </w:r>
            <w:r w:rsidRPr="002A6F4E">
              <w:rPr>
                <w:rFonts w:ascii="Arial" w:eastAsia="TimesNewRomanPSMT" w:hAnsi="Arial" w:cs="Arial"/>
                <w:lang w:val="en-US"/>
              </w:rPr>
              <w:t>usluge</w:t>
            </w:r>
            <w:r w:rsidRPr="002A6F4E">
              <w:rPr>
                <w:rFonts w:ascii="Arial" w:eastAsia="TimesNewRomanPSMT" w:hAnsi="Arial" w:cs="Arial"/>
                <w:lang w:val="sr-Latn-CS"/>
              </w:rPr>
              <w:t xml:space="preserve"> </w:t>
            </w:r>
            <w:r w:rsidRPr="002A6F4E">
              <w:rPr>
                <w:rFonts w:ascii="Arial" w:eastAsia="TimesNewRomanPSMT" w:hAnsi="Arial" w:cs="Arial"/>
                <w:lang w:val="en-US"/>
              </w:rPr>
              <w:t>sakupljanja</w:t>
            </w:r>
            <w:r w:rsidRPr="002A6F4E">
              <w:rPr>
                <w:rFonts w:ascii="Arial" w:eastAsia="TimesNewRomanPSMT" w:hAnsi="Arial" w:cs="Arial"/>
                <w:lang w:val="sr-Latn-CS"/>
              </w:rPr>
              <w:t xml:space="preserve">, </w:t>
            </w:r>
            <w:r w:rsidR="00E156D8">
              <w:rPr>
                <w:rFonts w:ascii="Arial" w:eastAsia="TimesNewRomanPSMT" w:hAnsi="Arial" w:cs="Arial"/>
                <w:lang w:val="en-US"/>
              </w:rPr>
              <w:t>prerade</w:t>
            </w:r>
            <w:r w:rsidR="00E156D8" w:rsidRPr="002A6F4E">
              <w:rPr>
                <w:rFonts w:ascii="Arial" w:eastAsia="TimesNewRomanPSMT" w:hAnsi="Arial" w:cs="Arial"/>
                <w:lang w:val="sr-Latn-CS"/>
              </w:rPr>
              <w:t xml:space="preserve"> </w:t>
            </w:r>
            <w:r w:rsidRPr="002A6F4E">
              <w:rPr>
                <w:rFonts w:ascii="Arial" w:eastAsia="TimesNewRomanPSMT" w:hAnsi="Arial" w:cs="Arial"/>
                <w:lang w:val="en-US"/>
              </w:rPr>
              <w:t>i</w:t>
            </w:r>
            <w:r w:rsidRPr="002A6F4E">
              <w:rPr>
                <w:rFonts w:ascii="Arial" w:eastAsia="TimesNewRomanPSMT" w:hAnsi="Arial" w:cs="Arial"/>
                <w:lang w:val="sr-Latn-CS"/>
              </w:rPr>
              <w:t xml:space="preserve"> </w:t>
            </w:r>
            <w:r w:rsidRPr="002A6F4E">
              <w:rPr>
                <w:rFonts w:ascii="Arial" w:eastAsia="TimesNewRomanPSMT" w:hAnsi="Arial" w:cs="Arial"/>
                <w:lang w:val="en-US"/>
              </w:rPr>
              <w:t>odlaganja</w:t>
            </w:r>
            <w:r w:rsidRPr="002A6F4E">
              <w:rPr>
                <w:rFonts w:ascii="Arial" w:eastAsia="TimesNewRomanPSMT" w:hAnsi="Arial" w:cs="Arial"/>
                <w:lang w:val="sr-Latn-CS"/>
              </w:rPr>
              <w:t xml:space="preserve"> </w:t>
            </w:r>
            <w:r w:rsidRPr="002A6F4E">
              <w:rPr>
                <w:rFonts w:ascii="Arial" w:eastAsia="TimesNewRomanPSMT" w:hAnsi="Arial" w:cs="Arial"/>
                <w:lang w:val="en-US"/>
              </w:rPr>
              <w:t>komunalnog</w:t>
            </w:r>
            <w:r w:rsidRPr="002A6F4E">
              <w:rPr>
                <w:rFonts w:ascii="Arial" w:eastAsia="TimesNewRomanPSMT" w:hAnsi="Arial" w:cs="Arial"/>
                <w:lang w:val="sr-Latn-CS"/>
              </w:rPr>
              <w:t xml:space="preserve"> </w:t>
            </w:r>
            <w:r w:rsidRPr="002A6F4E">
              <w:rPr>
                <w:rFonts w:ascii="Arial" w:eastAsia="TimesNewRomanPSMT" w:hAnsi="Arial" w:cs="Arial"/>
                <w:lang w:val="en-US"/>
              </w:rPr>
              <w:t>otpada</w:t>
            </w:r>
            <w:r w:rsidRPr="002A6F4E">
              <w:rPr>
                <w:rFonts w:ascii="Arial" w:eastAsia="TimesNewRomanPSMT" w:hAnsi="Arial" w:cs="Arial"/>
                <w:lang w:val="sr-Latn-CS"/>
              </w:rPr>
              <w:t>;</w:t>
            </w:r>
          </w:p>
          <w:p w14:paraId="47E732C1" w14:textId="77777777"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eastAsia="TimesNewRomanPSMT" w:hAnsi="Arial" w:cs="Arial"/>
                <w:lang w:val="en-US"/>
              </w:rPr>
              <w:t>Uvo</w:t>
            </w:r>
            <w:r w:rsidRPr="002A6F4E">
              <w:rPr>
                <w:rFonts w:ascii="Arial" w:eastAsia="TimesNewRomanPSMT" w:hAnsi="Arial" w:cs="Arial"/>
                <w:lang w:val="sr-Latn-CS"/>
              </w:rPr>
              <w:t>đ</w:t>
            </w:r>
            <w:r w:rsidRPr="002A6F4E">
              <w:rPr>
                <w:rFonts w:ascii="Arial" w:eastAsia="TimesNewRomanPSMT" w:hAnsi="Arial" w:cs="Arial"/>
                <w:lang w:val="en-US"/>
              </w:rPr>
              <w:t>enje</w:t>
            </w:r>
            <w:r w:rsidRPr="002A6F4E">
              <w:rPr>
                <w:rFonts w:ascii="Arial" w:eastAsia="TimesNewRomanPSMT" w:hAnsi="Arial" w:cs="Arial"/>
                <w:lang w:val="sr-Latn-CS"/>
              </w:rPr>
              <w:t xml:space="preserve"> </w:t>
            </w:r>
            <w:r w:rsidRPr="002A6F4E">
              <w:rPr>
                <w:rFonts w:ascii="Arial" w:eastAsia="TimesNewRomanPSMT" w:hAnsi="Arial" w:cs="Arial"/>
                <w:lang w:val="en-US"/>
              </w:rPr>
              <w:t>takse</w:t>
            </w:r>
            <w:r w:rsidRPr="002A6F4E">
              <w:rPr>
                <w:rFonts w:ascii="Arial" w:eastAsia="TimesNewRomanPSMT" w:hAnsi="Arial" w:cs="Arial"/>
                <w:lang w:val="sr-Latn-CS"/>
              </w:rPr>
              <w:t xml:space="preserve"> </w:t>
            </w:r>
            <w:r w:rsidRPr="002A6F4E">
              <w:rPr>
                <w:rFonts w:ascii="Arial" w:eastAsia="TimesNewRomanPSMT" w:hAnsi="Arial" w:cs="Arial"/>
                <w:lang w:val="en-US"/>
              </w:rPr>
              <w:t>ili</w:t>
            </w:r>
            <w:r w:rsidRPr="002A6F4E">
              <w:rPr>
                <w:rFonts w:ascii="Arial" w:eastAsia="TimesNewRomanPSMT" w:hAnsi="Arial" w:cs="Arial"/>
                <w:lang w:val="sr-Latn-CS"/>
              </w:rPr>
              <w:t xml:space="preserve"> </w:t>
            </w:r>
            <w:r w:rsidRPr="002A6F4E">
              <w:rPr>
                <w:rFonts w:ascii="Arial" w:eastAsia="TimesNewRomanPSMT" w:hAnsi="Arial" w:cs="Arial"/>
                <w:lang w:val="en-US"/>
              </w:rPr>
              <w:t>poreza</w:t>
            </w:r>
            <w:r w:rsidRPr="002A6F4E">
              <w:rPr>
                <w:rFonts w:ascii="Arial" w:eastAsia="TimesNewRomanPSMT" w:hAnsi="Arial" w:cs="Arial"/>
                <w:lang w:val="sr-Latn-CS"/>
              </w:rPr>
              <w:t xml:space="preserve"> </w:t>
            </w:r>
            <w:r w:rsidRPr="002A6F4E">
              <w:rPr>
                <w:rFonts w:ascii="Arial" w:eastAsia="TimesNewRomanPSMT" w:hAnsi="Arial" w:cs="Arial"/>
                <w:lang w:val="en-US"/>
              </w:rPr>
              <w:t>na</w:t>
            </w:r>
            <w:r w:rsidRPr="002A6F4E">
              <w:rPr>
                <w:rFonts w:ascii="Arial" w:eastAsia="TimesNewRomanPSMT" w:hAnsi="Arial" w:cs="Arial"/>
                <w:lang w:val="sr-Latn-CS"/>
              </w:rPr>
              <w:t xml:space="preserve"> </w:t>
            </w:r>
            <w:r w:rsidRPr="002A6F4E">
              <w:rPr>
                <w:rFonts w:ascii="Arial" w:eastAsia="TimesNewRomanPSMT" w:hAnsi="Arial" w:cs="Arial"/>
                <w:lang w:val="en-US"/>
              </w:rPr>
              <w:t>deponije</w:t>
            </w:r>
            <w:r w:rsidRPr="002A6F4E">
              <w:rPr>
                <w:rFonts w:ascii="Arial" w:eastAsia="TimesNewRomanPSMT" w:hAnsi="Arial" w:cs="Arial"/>
                <w:lang w:val="sr-Latn-CS"/>
              </w:rPr>
              <w:t xml:space="preserve"> </w:t>
            </w:r>
            <w:r w:rsidRPr="002A6F4E">
              <w:rPr>
                <w:rFonts w:ascii="Arial" w:eastAsia="TimesNewRomanPSMT" w:hAnsi="Arial" w:cs="Arial"/>
                <w:lang w:val="en-US"/>
              </w:rPr>
              <w:t>ima</w:t>
            </w:r>
            <w:r w:rsidRPr="002A6F4E">
              <w:rPr>
                <w:rFonts w:ascii="Arial" w:eastAsia="TimesNewRomanPSMT" w:hAnsi="Arial" w:cs="Arial"/>
                <w:lang w:val="sr-Latn-CS"/>
              </w:rPr>
              <w:t xml:space="preserve"> </w:t>
            </w:r>
            <w:r w:rsidRPr="002A6F4E">
              <w:rPr>
                <w:rFonts w:ascii="Arial" w:eastAsia="TimesNewRomanPSMT" w:hAnsi="Arial" w:cs="Arial"/>
                <w:lang w:val="en-US"/>
              </w:rPr>
              <w:t>velike</w:t>
            </w:r>
            <w:r w:rsidRPr="002A6F4E">
              <w:rPr>
                <w:rFonts w:ascii="Arial" w:eastAsia="TimesNewRomanPSMT" w:hAnsi="Arial" w:cs="Arial"/>
                <w:lang w:val="sr-Latn-CS"/>
              </w:rPr>
              <w:t xml:space="preserve"> </w:t>
            </w:r>
            <w:r w:rsidRPr="002A6F4E">
              <w:rPr>
                <w:rFonts w:ascii="Arial" w:eastAsia="TimesNewRomanPSMT" w:hAnsi="Arial" w:cs="Arial"/>
                <w:lang w:val="en-US"/>
              </w:rPr>
              <w:t>efekte</w:t>
            </w:r>
            <w:r w:rsidRPr="002A6F4E">
              <w:rPr>
                <w:rFonts w:ascii="Arial" w:eastAsia="TimesNewRomanPSMT" w:hAnsi="Arial" w:cs="Arial"/>
                <w:lang w:val="sr-Latn-CS"/>
              </w:rPr>
              <w:t xml:space="preserve"> </w:t>
            </w:r>
            <w:r w:rsidRPr="002A6F4E">
              <w:rPr>
                <w:rFonts w:ascii="Arial" w:eastAsia="TimesNewRomanPSMT" w:hAnsi="Arial" w:cs="Arial"/>
                <w:lang w:val="en-US"/>
              </w:rPr>
              <w:t>na</w:t>
            </w:r>
            <w:r w:rsidRPr="002A6F4E">
              <w:rPr>
                <w:rFonts w:ascii="Arial" w:eastAsia="TimesNewRomanPSMT" w:hAnsi="Arial" w:cs="Arial"/>
                <w:lang w:val="sr-Latn-CS"/>
              </w:rPr>
              <w:t xml:space="preserve"> </w:t>
            </w:r>
            <w:r w:rsidRPr="002A6F4E">
              <w:rPr>
                <w:rFonts w:ascii="Arial" w:eastAsia="TimesNewRomanPSMT" w:hAnsi="Arial" w:cs="Arial"/>
                <w:lang w:val="en-US"/>
              </w:rPr>
              <w:t>koli</w:t>
            </w:r>
            <w:r w:rsidRPr="002A6F4E">
              <w:rPr>
                <w:rFonts w:ascii="Arial" w:eastAsia="TimesNewRomanPSMT" w:hAnsi="Arial" w:cs="Arial"/>
                <w:lang w:val="sr-Latn-CS"/>
              </w:rPr>
              <w:t>č</w:t>
            </w:r>
            <w:r w:rsidRPr="002A6F4E">
              <w:rPr>
                <w:rFonts w:ascii="Arial" w:eastAsia="TimesNewRomanPSMT" w:hAnsi="Arial" w:cs="Arial"/>
                <w:lang w:val="en-US"/>
              </w:rPr>
              <w:t>inu</w:t>
            </w:r>
            <w:r w:rsidRPr="002A6F4E">
              <w:rPr>
                <w:rFonts w:ascii="Arial" w:eastAsia="TimesNewRomanPSMT" w:hAnsi="Arial" w:cs="Arial"/>
                <w:lang w:val="sr-Latn-CS"/>
              </w:rPr>
              <w:t xml:space="preserve"> </w:t>
            </w:r>
            <w:r w:rsidRPr="002A6F4E">
              <w:rPr>
                <w:rFonts w:ascii="Arial" w:eastAsia="TimesNewRomanPSMT" w:hAnsi="Arial" w:cs="Arial"/>
                <w:lang w:val="en-US"/>
              </w:rPr>
              <w:t>otpada</w:t>
            </w:r>
            <w:r w:rsidRPr="002A6F4E">
              <w:rPr>
                <w:rFonts w:ascii="Arial" w:eastAsia="TimesNewRomanPSMT" w:hAnsi="Arial" w:cs="Arial"/>
                <w:lang w:val="sr-Latn-CS"/>
              </w:rPr>
              <w:t xml:space="preserve"> </w:t>
            </w:r>
            <w:r w:rsidRPr="002A6F4E">
              <w:rPr>
                <w:rFonts w:ascii="Arial" w:eastAsia="TimesNewRomanPSMT" w:hAnsi="Arial" w:cs="Arial"/>
                <w:lang w:val="en-US"/>
              </w:rPr>
              <w:t>koji</w:t>
            </w:r>
            <w:r w:rsidRPr="002A6F4E">
              <w:rPr>
                <w:rFonts w:ascii="Arial" w:eastAsia="TimesNewRomanPSMT" w:hAnsi="Arial" w:cs="Arial"/>
                <w:lang w:val="sr-Latn-CS"/>
              </w:rPr>
              <w:t xml:space="preserve"> </w:t>
            </w:r>
            <w:r w:rsidRPr="002A6F4E">
              <w:rPr>
                <w:rFonts w:ascii="Arial" w:eastAsia="TimesNewRomanPSMT" w:hAnsi="Arial" w:cs="Arial"/>
                <w:lang w:val="en-US"/>
              </w:rPr>
              <w:t>se</w:t>
            </w:r>
            <w:r w:rsidRPr="002A6F4E">
              <w:rPr>
                <w:rFonts w:ascii="Arial" w:eastAsia="TimesNewRomanPSMT" w:hAnsi="Arial" w:cs="Arial"/>
                <w:lang w:val="sr-Latn-CS"/>
              </w:rPr>
              <w:t xml:space="preserve"> </w:t>
            </w:r>
            <w:r w:rsidRPr="002A6F4E">
              <w:rPr>
                <w:rFonts w:ascii="Arial" w:eastAsia="TimesNewRomanPSMT" w:hAnsi="Arial" w:cs="Arial"/>
                <w:lang w:val="en-US"/>
              </w:rPr>
              <w:t>odla</w:t>
            </w:r>
            <w:r w:rsidRPr="002A6F4E">
              <w:rPr>
                <w:rFonts w:ascii="Arial" w:eastAsia="TimesNewRomanPSMT" w:hAnsi="Arial" w:cs="Arial"/>
                <w:lang w:val="sr-Latn-CS"/>
              </w:rPr>
              <w:t>ž</w:t>
            </w:r>
            <w:r w:rsidRPr="002A6F4E">
              <w:rPr>
                <w:rFonts w:ascii="Arial" w:eastAsia="TimesNewRomanPSMT" w:hAnsi="Arial" w:cs="Arial"/>
                <w:lang w:val="en-US"/>
              </w:rPr>
              <w:t>e</w:t>
            </w:r>
            <w:r w:rsidRPr="002A6F4E">
              <w:rPr>
                <w:rFonts w:ascii="Arial" w:eastAsia="TimesNewRomanPSMT" w:hAnsi="Arial" w:cs="Arial"/>
                <w:lang w:val="sr-Latn-CS"/>
              </w:rPr>
              <w:t xml:space="preserve"> </w:t>
            </w:r>
            <w:r w:rsidRPr="002A6F4E">
              <w:rPr>
                <w:rFonts w:ascii="Arial" w:eastAsia="TimesNewRomanPSMT" w:hAnsi="Arial" w:cs="Arial"/>
                <w:lang w:val="en-US"/>
              </w:rPr>
              <w:t>na</w:t>
            </w:r>
            <w:r w:rsidRPr="002A6F4E">
              <w:rPr>
                <w:rFonts w:ascii="Arial" w:eastAsia="TimesNewRomanPSMT" w:hAnsi="Arial" w:cs="Arial"/>
                <w:lang w:val="sr-Latn-CS"/>
              </w:rPr>
              <w:t xml:space="preserve"> </w:t>
            </w:r>
            <w:r w:rsidRPr="002A6F4E">
              <w:rPr>
                <w:rFonts w:ascii="Arial" w:eastAsia="TimesNewRomanPSMT" w:hAnsi="Arial" w:cs="Arial"/>
                <w:lang w:val="en-US"/>
              </w:rPr>
              <w:t>deponije</w:t>
            </w:r>
            <w:r w:rsidRPr="002A6F4E">
              <w:rPr>
                <w:rFonts w:ascii="Arial" w:eastAsia="TimesNewRomanPSMT" w:hAnsi="Arial" w:cs="Arial"/>
                <w:lang w:val="sr-Latn-CS"/>
              </w:rPr>
              <w:t>;</w:t>
            </w:r>
          </w:p>
          <w:p w14:paraId="0B92F055" w14:textId="30B2DDE0" w:rsidR="006C693A" w:rsidRPr="002A6F4E" w:rsidRDefault="006C693A" w:rsidP="00A23ED0">
            <w:pPr>
              <w:numPr>
                <w:ilvl w:val="0"/>
                <w:numId w:val="107"/>
              </w:numPr>
              <w:spacing w:line="360" w:lineRule="auto"/>
              <w:rPr>
                <w:rFonts w:ascii="Arial" w:hAnsi="Arial" w:cs="Arial"/>
                <w:b w:val="0"/>
                <w:bCs w:val="0"/>
                <w:lang w:val="sr-Latn-CS"/>
              </w:rPr>
            </w:pPr>
            <w:r w:rsidRPr="002A6F4E">
              <w:rPr>
                <w:rFonts w:ascii="Arial" w:hAnsi="Arial" w:cs="Arial"/>
                <w:lang w:val="sr-Latn-CS"/>
              </w:rPr>
              <w:t xml:space="preserve">U kontinuitetu je potrebno raditi na </w:t>
            </w:r>
            <w:r w:rsidRPr="002A6F4E">
              <w:rPr>
                <w:rFonts w:ascii="Arial" w:eastAsia="Times New Roman" w:hAnsi="Arial" w:cs="Arial"/>
                <w:lang w:val="sr-Latn-CS"/>
              </w:rPr>
              <w:t>edukaciji i podizanju svijesti o pravilnom odlaganju otpada, kao i o važnosti recikl</w:t>
            </w:r>
            <w:r w:rsidR="00E156D8">
              <w:rPr>
                <w:rFonts w:ascii="Arial" w:eastAsia="Times New Roman" w:hAnsi="Arial" w:cs="Arial"/>
                <w:lang w:val="sr-Latn-CS"/>
              </w:rPr>
              <w:t>iranja</w:t>
            </w:r>
            <w:r w:rsidRPr="002A6F4E">
              <w:rPr>
                <w:rFonts w:ascii="Arial" w:eastAsia="Times New Roman" w:hAnsi="Arial" w:cs="Arial"/>
                <w:lang w:val="sr-Latn-CS"/>
              </w:rPr>
              <w:t xml:space="preserve"> za </w:t>
            </w:r>
            <w:r w:rsidR="00E156D8">
              <w:rPr>
                <w:rFonts w:ascii="Arial" w:eastAsia="Times New Roman" w:hAnsi="Arial" w:cs="Arial"/>
                <w:lang w:val="sr-Latn-CS"/>
              </w:rPr>
              <w:t>zaštitu</w:t>
            </w:r>
            <w:r w:rsidR="00E156D8" w:rsidRPr="002A6F4E">
              <w:rPr>
                <w:rFonts w:ascii="Arial" w:eastAsia="Times New Roman" w:hAnsi="Arial" w:cs="Arial"/>
                <w:lang w:val="sr-Latn-CS"/>
              </w:rPr>
              <w:t xml:space="preserve"> </w:t>
            </w:r>
            <w:r w:rsidRPr="002A6F4E">
              <w:rPr>
                <w:rFonts w:ascii="Arial" w:eastAsia="Times New Roman" w:hAnsi="Arial" w:cs="Arial"/>
                <w:lang w:val="sr-Latn-CS"/>
              </w:rPr>
              <w:t>životne sredine;</w:t>
            </w:r>
          </w:p>
          <w:p w14:paraId="1F1A94AB" w14:textId="0BDC8E9D" w:rsidR="006C693A" w:rsidRPr="002A6F4E" w:rsidRDefault="006C693A" w:rsidP="00A23ED0">
            <w:pPr>
              <w:numPr>
                <w:ilvl w:val="0"/>
                <w:numId w:val="107"/>
              </w:numPr>
              <w:autoSpaceDE w:val="0"/>
              <w:autoSpaceDN w:val="0"/>
              <w:adjustRightInd w:val="0"/>
              <w:spacing w:line="360" w:lineRule="auto"/>
              <w:rPr>
                <w:rFonts w:ascii="Arial" w:eastAsia="TimesNewRomanPSMT" w:hAnsi="Arial" w:cs="Arial"/>
                <w:b w:val="0"/>
                <w:bCs w:val="0"/>
                <w:lang w:val="sr-Latn-CS"/>
              </w:rPr>
            </w:pPr>
            <w:r w:rsidRPr="002A6F4E">
              <w:rPr>
                <w:rFonts w:ascii="Arial" w:eastAsia="TimesNewRomanPSMT" w:hAnsi="Arial" w:cs="Arial"/>
                <w:lang w:val="en-US"/>
              </w:rPr>
              <w:t>Osigurati</w:t>
            </w:r>
            <w:r w:rsidRPr="002A6F4E">
              <w:rPr>
                <w:rFonts w:ascii="Arial" w:eastAsia="TimesNewRomanPSMT" w:hAnsi="Arial" w:cs="Arial"/>
                <w:lang w:val="sr-Latn-CS"/>
              </w:rPr>
              <w:t xml:space="preserve"> </w:t>
            </w:r>
            <w:r w:rsidRPr="002A6F4E">
              <w:rPr>
                <w:rFonts w:ascii="Arial" w:eastAsia="TimesNewRomanPSMT" w:hAnsi="Arial" w:cs="Arial"/>
                <w:lang w:val="en-US"/>
              </w:rPr>
              <w:t>kontinuitet</w:t>
            </w:r>
            <w:r w:rsidRPr="002A6F4E">
              <w:rPr>
                <w:rFonts w:ascii="Arial" w:eastAsia="TimesNewRomanPSMT" w:hAnsi="Arial" w:cs="Arial"/>
                <w:lang w:val="sr-Latn-CS"/>
              </w:rPr>
              <w:t xml:space="preserve">, </w:t>
            </w:r>
            <w:r w:rsidRPr="002A6F4E">
              <w:rPr>
                <w:rFonts w:ascii="Arial" w:eastAsia="TimesNewRomanPSMT" w:hAnsi="Arial" w:cs="Arial"/>
                <w:lang w:val="en-US"/>
              </w:rPr>
              <w:t>dosljednost</w:t>
            </w:r>
            <w:r w:rsidRPr="002A6F4E">
              <w:rPr>
                <w:rFonts w:ascii="Arial" w:eastAsia="TimesNewRomanPSMT" w:hAnsi="Arial" w:cs="Arial"/>
                <w:lang w:val="sr-Latn-CS"/>
              </w:rPr>
              <w:t xml:space="preserve">, </w:t>
            </w:r>
            <w:r w:rsidRPr="002A6F4E">
              <w:rPr>
                <w:rFonts w:ascii="Arial" w:eastAsia="TimesNewRomanPSMT" w:hAnsi="Arial" w:cs="Arial"/>
                <w:lang w:val="en-US"/>
              </w:rPr>
              <w:t>komplementarnost</w:t>
            </w:r>
            <w:r w:rsidRPr="002A6F4E">
              <w:rPr>
                <w:rFonts w:ascii="Arial" w:eastAsia="TimesNewRomanPSMT" w:hAnsi="Arial" w:cs="Arial"/>
                <w:lang w:val="sr-Latn-CS"/>
              </w:rPr>
              <w:t xml:space="preserve"> </w:t>
            </w:r>
            <w:r w:rsidRPr="002A6F4E">
              <w:rPr>
                <w:rFonts w:ascii="Arial" w:eastAsia="TimesNewRomanPSMT" w:hAnsi="Arial" w:cs="Arial"/>
                <w:lang w:val="en-US"/>
              </w:rPr>
              <w:t>i</w:t>
            </w:r>
            <w:r w:rsidRPr="002A6F4E">
              <w:rPr>
                <w:rFonts w:ascii="Arial" w:eastAsia="TimesNewRomanPSMT" w:hAnsi="Arial" w:cs="Arial"/>
                <w:lang w:val="sr-Latn-CS"/>
              </w:rPr>
              <w:t xml:space="preserve"> </w:t>
            </w:r>
            <w:r w:rsidRPr="002A6F4E">
              <w:rPr>
                <w:rFonts w:ascii="Arial" w:eastAsia="TimesNewRomanPSMT" w:hAnsi="Arial" w:cs="Arial"/>
                <w:lang w:val="en-US"/>
              </w:rPr>
              <w:t>jasno</w:t>
            </w:r>
            <w:r w:rsidRPr="002A6F4E">
              <w:rPr>
                <w:rFonts w:ascii="Arial" w:eastAsia="TimesNewRomanPSMT" w:hAnsi="Arial" w:cs="Arial"/>
                <w:lang w:val="sr-Latn-CS"/>
              </w:rPr>
              <w:t>ć</w:t>
            </w:r>
            <w:r w:rsidRPr="002A6F4E">
              <w:rPr>
                <w:rFonts w:ascii="Arial" w:eastAsia="TimesNewRomanPSMT" w:hAnsi="Arial" w:cs="Arial"/>
                <w:lang w:val="en-US"/>
              </w:rPr>
              <w:t>u</w:t>
            </w:r>
            <w:r w:rsidRPr="002A6F4E">
              <w:rPr>
                <w:rFonts w:ascii="Arial" w:eastAsia="TimesNewRomanPSMT" w:hAnsi="Arial" w:cs="Arial"/>
                <w:lang w:val="sr-Latn-CS"/>
              </w:rPr>
              <w:t xml:space="preserve"> </w:t>
            </w:r>
            <w:r w:rsidRPr="002A6F4E">
              <w:rPr>
                <w:rFonts w:ascii="Arial" w:eastAsia="TimesNewRomanPSMT" w:hAnsi="Arial" w:cs="Arial"/>
                <w:lang w:val="en-US"/>
              </w:rPr>
              <w:t>komunikacija</w:t>
            </w:r>
            <w:r w:rsidRPr="002A6F4E">
              <w:rPr>
                <w:rFonts w:ascii="Arial" w:eastAsia="TimesNewRomanPSMT" w:hAnsi="Arial" w:cs="Arial"/>
                <w:lang w:val="sr-Latn-CS"/>
              </w:rPr>
              <w:t xml:space="preserve"> </w:t>
            </w:r>
            <w:r w:rsidRPr="002A6F4E">
              <w:rPr>
                <w:rFonts w:ascii="Arial" w:eastAsia="TimesNewRomanPSMT" w:hAnsi="Arial" w:cs="Arial"/>
                <w:lang w:val="en-US"/>
              </w:rPr>
              <w:t>sa</w:t>
            </w:r>
            <w:r w:rsidRPr="002A6F4E">
              <w:rPr>
                <w:rFonts w:ascii="Arial" w:eastAsia="TimesNewRomanPSMT" w:hAnsi="Arial" w:cs="Arial"/>
                <w:lang w:val="sr-Latn-CS"/>
              </w:rPr>
              <w:t xml:space="preserve"> </w:t>
            </w:r>
            <w:r w:rsidRPr="002A6F4E">
              <w:rPr>
                <w:rFonts w:ascii="Arial" w:eastAsia="TimesNewRomanPSMT" w:hAnsi="Arial" w:cs="Arial"/>
                <w:lang w:val="en-US"/>
              </w:rPr>
              <w:t>dobro</w:t>
            </w:r>
            <w:r w:rsidRPr="002A6F4E">
              <w:rPr>
                <w:rFonts w:ascii="Arial" w:eastAsia="TimesNewRomanPSMT" w:hAnsi="Arial" w:cs="Arial"/>
                <w:lang w:val="sr-Latn-CS"/>
              </w:rPr>
              <w:t xml:space="preserve"> </w:t>
            </w:r>
            <w:r w:rsidRPr="002A6F4E">
              <w:rPr>
                <w:rFonts w:ascii="Arial" w:eastAsia="TimesNewRomanPSMT" w:hAnsi="Arial" w:cs="Arial"/>
                <w:lang w:val="en-US"/>
              </w:rPr>
              <w:t>definisanim</w:t>
            </w:r>
            <w:r w:rsidRPr="002A6F4E">
              <w:rPr>
                <w:rFonts w:ascii="Arial" w:eastAsia="TimesNewRomanPSMT" w:hAnsi="Arial" w:cs="Arial"/>
                <w:lang w:val="sr-Latn-CS"/>
              </w:rPr>
              <w:t xml:space="preserve"> </w:t>
            </w:r>
            <w:r w:rsidRPr="002A6F4E">
              <w:rPr>
                <w:rFonts w:ascii="Arial" w:eastAsia="TimesNewRomanPSMT" w:hAnsi="Arial" w:cs="Arial"/>
                <w:lang w:val="en-US"/>
              </w:rPr>
              <w:t>ciljevima</w:t>
            </w:r>
            <w:r w:rsidRPr="002A6F4E">
              <w:rPr>
                <w:rFonts w:ascii="Arial" w:eastAsia="TimesNewRomanPSMT" w:hAnsi="Arial" w:cs="Arial"/>
                <w:lang w:val="sr-Latn-CS"/>
              </w:rPr>
              <w:t>;</w:t>
            </w:r>
          </w:p>
          <w:p w14:paraId="59C628E7" w14:textId="77777777" w:rsidR="006C693A" w:rsidRPr="002A6F4E" w:rsidRDefault="006C693A" w:rsidP="00A23ED0">
            <w:pPr>
              <w:numPr>
                <w:ilvl w:val="0"/>
                <w:numId w:val="107"/>
              </w:numPr>
              <w:autoSpaceDE w:val="0"/>
              <w:autoSpaceDN w:val="0"/>
              <w:adjustRightInd w:val="0"/>
              <w:spacing w:line="360" w:lineRule="auto"/>
              <w:rPr>
                <w:rFonts w:ascii="Arial" w:eastAsia="TimesNewRomanPSMT" w:hAnsi="Arial" w:cs="Arial"/>
                <w:b w:val="0"/>
                <w:bCs w:val="0"/>
                <w:lang w:val="sr-Latn-CS"/>
              </w:rPr>
            </w:pPr>
            <w:r w:rsidRPr="002A6F4E">
              <w:rPr>
                <w:rFonts w:ascii="Arial" w:eastAsia="TimesNewRomanPSMT" w:hAnsi="Arial" w:cs="Arial"/>
                <w:lang w:val="en-US"/>
              </w:rPr>
              <w:t>Kreirati</w:t>
            </w:r>
            <w:r w:rsidRPr="002A6F4E">
              <w:rPr>
                <w:rFonts w:ascii="Arial" w:eastAsia="TimesNewRomanPSMT" w:hAnsi="Arial" w:cs="Arial"/>
                <w:lang w:val="sr-Latn-CS"/>
              </w:rPr>
              <w:t xml:space="preserve"> </w:t>
            </w:r>
            <w:r w:rsidRPr="002A6F4E">
              <w:rPr>
                <w:rFonts w:ascii="Arial" w:eastAsia="TimesNewRomanPSMT" w:hAnsi="Arial" w:cs="Arial"/>
                <w:lang w:val="en-US"/>
              </w:rPr>
              <w:t>jasne</w:t>
            </w:r>
            <w:r w:rsidRPr="002A6F4E">
              <w:rPr>
                <w:rFonts w:ascii="Arial" w:eastAsia="TimesNewRomanPSMT" w:hAnsi="Arial" w:cs="Arial"/>
                <w:lang w:val="sr-Latn-CS"/>
              </w:rPr>
              <w:t xml:space="preserve"> </w:t>
            </w:r>
            <w:r w:rsidRPr="002A6F4E">
              <w:rPr>
                <w:rFonts w:ascii="Arial" w:eastAsia="TimesNewRomanPSMT" w:hAnsi="Arial" w:cs="Arial"/>
                <w:lang w:val="en-US"/>
              </w:rPr>
              <w:t>poruke</w:t>
            </w:r>
            <w:r w:rsidRPr="002A6F4E">
              <w:rPr>
                <w:rFonts w:ascii="Arial" w:eastAsia="TimesNewRomanPSMT" w:hAnsi="Arial" w:cs="Arial"/>
                <w:lang w:val="sr-Latn-CS"/>
              </w:rPr>
              <w:t xml:space="preserve"> </w:t>
            </w:r>
            <w:r w:rsidRPr="002A6F4E">
              <w:rPr>
                <w:rFonts w:ascii="Arial" w:eastAsia="TimesNewRomanPSMT" w:hAnsi="Arial" w:cs="Arial"/>
                <w:lang w:val="en-US"/>
              </w:rPr>
              <w:t>prikladne</w:t>
            </w:r>
            <w:r w:rsidRPr="002A6F4E">
              <w:rPr>
                <w:rFonts w:ascii="Arial" w:eastAsia="TimesNewRomanPSMT" w:hAnsi="Arial" w:cs="Arial"/>
                <w:lang w:val="sr-Latn-CS"/>
              </w:rPr>
              <w:t xml:space="preserve"> </w:t>
            </w:r>
            <w:r w:rsidRPr="002A6F4E">
              <w:rPr>
                <w:rFonts w:ascii="Arial" w:eastAsia="TimesNewRomanPSMT" w:hAnsi="Arial" w:cs="Arial"/>
                <w:lang w:val="en-US"/>
              </w:rPr>
              <w:t>i</w:t>
            </w:r>
            <w:r w:rsidRPr="002A6F4E">
              <w:rPr>
                <w:rFonts w:ascii="Arial" w:eastAsia="TimesNewRomanPSMT" w:hAnsi="Arial" w:cs="Arial"/>
                <w:lang w:val="sr-Latn-CS"/>
              </w:rPr>
              <w:t xml:space="preserve"> </w:t>
            </w:r>
            <w:r w:rsidRPr="002A6F4E">
              <w:rPr>
                <w:rFonts w:ascii="Arial" w:eastAsia="TimesNewRomanPSMT" w:hAnsi="Arial" w:cs="Arial"/>
                <w:lang w:val="en-US"/>
              </w:rPr>
              <w:t>usmjerene</w:t>
            </w:r>
            <w:r w:rsidRPr="002A6F4E">
              <w:rPr>
                <w:rFonts w:ascii="Arial" w:eastAsia="TimesNewRomanPSMT" w:hAnsi="Arial" w:cs="Arial"/>
                <w:lang w:val="sr-Latn-CS"/>
              </w:rPr>
              <w:t xml:space="preserve"> </w:t>
            </w:r>
            <w:r w:rsidRPr="002A6F4E">
              <w:rPr>
                <w:rFonts w:ascii="Arial" w:eastAsia="TimesNewRomanPSMT" w:hAnsi="Arial" w:cs="Arial"/>
                <w:lang w:val="en-US"/>
              </w:rPr>
              <w:t>ka</w:t>
            </w:r>
            <w:r w:rsidRPr="002A6F4E">
              <w:rPr>
                <w:rFonts w:ascii="Arial" w:eastAsia="TimesNewRomanPSMT" w:hAnsi="Arial" w:cs="Arial"/>
                <w:lang w:val="sr-Latn-CS"/>
              </w:rPr>
              <w:t xml:space="preserve"> </w:t>
            </w:r>
            <w:r w:rsidRPr="002A6F4E">
              <w:rPr>
                <w:rFonts w:ascii="Arial" w:eastAsia="TimesNewRomanPSMT" w:hAnsi="Arial" w:cs="Arial"/>
                <w:lang w:val="en-US"/>
              </w:rPr>
              <w:t>dobro</w:t>
            </w:r>
            <w:r w:rsidRPr="002A6F4E">
              <w:rPr>
                <w:rFonts w:ascii="Arial" w:eastAsia="TimesNewRomanPSMT" w:hAnsi="Arial" w:cs="Arial"/>
                <w:lang w:val="sr-Latn-CS"/>
              </w:rPr>
              <w:t xml:space="preserve"> </w:t>
            </w:r>
            <w:r w:rsidRPr="002A6F4E">
              <w:rPr>
                <w:rFonts w:ascii="Arial" w:eastAsia="TimesNewRomanPSMT" w:hAnsi="Arial" w:cs="Arial"/>
                <w:lang w:val="en-US"/>
              </w:rPr>
              <w:t>definisanoj</w:t>
            </w:r>
            <w:r w:rsidRPr="002A6F4E">
              <w:rPr>
                <w:rFonts w:ascii="Arial" w:eastAsia="TimesNewRomanPSMT" w:hAnsi="Arial" w:cs="Arial"/>
                <w:lang w:val="sr-Latn-CS"/>
              </w:rPr>
              <w:t xml:space="preserve"> </w:t>
            </w:r>
            <w:r w:rsidRPr="002A6F4E">
              <w:rPr>
                <w:rFonts w:ascii="Arial" w:eastAsia="TimesNewRomanPSMT" w:hAnsi="Arial" w:cs="Arial"/>
                <w:lang w:val="en-US"/>
              </w:rPr>
              <w:t>ciljnoj</w:t>
            </w:r>
            <w:r w:rsidRPr="002A6F4E">
              <w:rPr>
                <w:rFonts w:ascii="Arial" w:eastAsia="TimesNewRomanPSMT" w:hAnsi="Arial" w:cs="Arial"/>
                <w:lang w:val="sr-Latn-CS"/>
              </w:rPr>
              <w:t xml:space="preserve"> </w:t>
            </w:r>
            <w:r w:rsidRPr="002A6F4E">
              <w:rPr>
                <w:rFonts w:ascii="Arial" w:eastAsia="TimesNewRomanPSMT" w:hAnsi="Arial" w:cs="Arial"/>
                <w:lang w:val="en-US"/>
              </w:rPr>
              <w:t>grupi</w:t>
            </w:r>
            <w:r w:rsidRPr="002A6F4E">
              <w:rPr>
                <w:rFonts w:ascii="Arial" w:eastAsia="TimesNewRomanPSMT" w:hAnsi="Arial" w:cs="Arial"/>
                <w:lang w:val="sr-Latn-CS"/>
              </w:rPr>
              <w:t>;</w:t>
            </w:r>
          </w:p>
          <w:p w14:paraId="221C1C62" w14:textId="77777777" w:rsidR="006C693A" w:rsidRPr="002A6F4E" w:rsidRDefault="006C693A" w:rsidP="00A23ED0">
            <w:pPr>
              <w:numPr>
                <w:ilvl w:val="0"/>
                <w:numId w:val="107"/>
              </w:numPr>
              <w:autoSpaceDE w:val="0"/>
              <w:autoSpaceDN w:val="0"/>
              <w:adjustRightInd w:val="0"/>
              <w:spacing w:line="360" w:lineRule="auto"/>
              <w:rPr>
                <w:rFonts w:ascii="Arial" w:eastAsia="TimesNewRomanPSMT" w:hAnsi="Arial" w:cs="Arial"/>
                <w:b w:val="0"/>
                <w:bCs w:val="0"/>
                <w:lang w:val="sr-Latn-CS"/>
              </w:rPr>
            </w:pPr>
            <w:r w:rsidRPr="002A6F4E">
              <w:rPr>
                <w:rFonts w:ascii="Arial" w:eastAsia="TimesNewRomanPSMT" w:hAnsi="Arial" w:cs="Arial"/>
                <w:lang w:val="en-US"/>
              </w:rPr>
              <w:t>Osigurati</w:t>
            </w:r>
            <w:r w:rsidRPr="002A6F4E">
              <w:rPr>
                <w:rFonts w:ascii="Arial" w:eastAsia="TimesNewRomanPSMT" w:hAnsi="Arial" w:cs="Arial"/>
                <w:lang w:val="sr-Latn-CS"/>
              </w:rPr>
              <w:t xml:space="preserve"> </w:t>
            </w:r>
            <w:r w:rsidRPr="002A6F4E">
              <w:rPr>
                <w:rFonts w:ascii="Arial" w:eastAsia="TimesNewRomanPSMT" w:hAnsi="Arial" w:cs="Arial"/>
                <w:lang w:val="en-US"/>
              </w:rPr>
              <w:t>efikasnu</w:t>
            </w:r>
            <w:r w:rsidRPr="002A6F4E">
              <w:rPr>
                <w:rFonts w:ascii="Arial" w:eastAsia="TimesNewRomanPSMT" w:hAnsi="Arial" w:cs="Arial"/>
                <w:lang w:val="sr-Latn-CS"/>
              </w:rPr>
              <w:t xml:space="preserve"> </w:t>
            </w:r>
            <w:r w:rsidRPr="002A6F4E">
              <w:rPr>
                <w:rFonts w:ascii="Arial" w:eastAsia="TimesNewRomanPSMT" w:hAnsi="Arial" w:cs="Arial"/>
                <w:lang w:val="en-US"/>
              </w:rPr>
              <w:t>isporuku</w:t>
            </w:r>
            <w:r w:rsidRPr="002A6F4E">
              <w:rPr>
                <w:rFonts w:ascii="Arial" w:eastAsia="TimesNewRomanPSMT" w:hAnsi="Arial" w:cs="Arial"/>
                <w:lang w:val="sr-Latn-CS"/>
              </w:rPr>
              <w:t xml:space="preserve"> </w:t>
            </w:r>
            <w:r w:rsidRPr="002A6F4E">
              <w:rPr>
                <w:rFonts w:ascii="Arial" w:eastAsia="TimesNewRomanPSMT" w:hAnsi="Arial" w:cs="Arial"/>
                <w:lang w:val="en-US"/>
              </w:rPr>
              <w:t>kroz</w:t>
            </w:r>
            <w:r w:rsidRPr="002A6F4E">
              <w:rPr>
                <w:rFonts w:ascii="Arial" w:eastAsia="TimesNewRomanPSMT" w:hAnsi="Arial" w:cs="Arial"/>
                <w:lang w:val="sr-Latn-CS"/>
              </w:rPr>
              <w:t xml:space="preserve"> </w:t>
            </w:r>
            <w:r w:rsidRPr="002A6F4E">
              <w:rPr>
                <w:rFonts w:ascii="Arial" w:eastAsia="TimesNewRomanPSMT" w:hAnsi="Arial" w:cs="Arial"/>
                <w:lang w:val="en-US"/>
              </w:rPr>
              <w:t>integraciju</w:t>
            </w:r>
            <w:r w:rsidRPr="002A6F4E">
              <w:rPr>
                <w:rFonts w:ascii="Arial" w:eastAsia="TimesNewRomanPSMT" w:hAnsi="Arial" w:cs="Arial"/>
                <w:lang w:val="sr-Latn-CS"/>
              </w:rPr>
              <w:t xml:space="preserve"> </w:t>
            </w:r>
            <w:r w:rsidRPr="002A6F4E">
              <w:rPr>
                <w:rFonts w:ascii="Arial" w:eastAsia="TimesNewRomanPSMT" w:hAnsi="Arial" w:cs="Arial"/>
                <w:lang w:val="en-US"/>
              </w:rPr>
              <w:t>aktivnosti</w:t>
            </w:r>
            <w:r w:rsidRPr="002A6F4E">
              <w:rPr>
                <w:rFonts w:ascii="Arial" w:eastAsia="TimesNewRomanPSMT" w:hAnsi="Arial" w:cs="Arial"/>
                <w:lang w:val="sr-Latn-CS"/>
              </w:rPr>
              <w:t xml:space="preserve"> </w:t>
            </w:r>
            <w:r w:rsidRPr="002A6F4E">
              <w:rPr>
                <w:rFonts w:ascii="Arial" w:eastAsia="TimesNewRomanPSMT" w:hAnsi="Arial" w:cs="Arial"/>
                <w:lang w:val="en-US"/>
              </w:rPr>
              <w:t>i</w:t>
            </w:r>
            <w:r w:rsidRPr="002A6F4E">
              <w:rPr>
                <w:rFonts w:ascii="Arial" w:eastAsia="TimesNewRomanPSMT" w:hAnsi="Arial" w:cs="Arial"/>
                <w:lang w:val="sr-Latn-CS"/>
              </w:rPr>
              <w:t xml:space="preserve"> </w:t>
            </w:r>
            <w:r w:rsidRPr="002A6F4E">
              <w:rPr>
                <w:rFonts w:ascii="Arial" w:eastAsia="TimesNewRomanPSMT" w:hAnsi="Arial" w:cs="Arial"/>
                <w:lang w:val="en-US"/>
              </w:rPr>
              <w:t>jasne</w:t>
            </w:r>
            <w:r w:rsidRPr="002A6F4E">
              <w:rPr>
                <w:rFonts w:ascii="Arial" w:eastAsia="TimesNewRomanPSMT" w:hAnsi="Arial" w:cs="Arial"/>
                <w:lang w:val="sr-Latn-CS"/>
              </w:rPr>
              <w:t xml:space="preserve"> </w:t>
            </w:r>
            <w:r w:rsidRPr="002A6F4E">
              <w:rPr>
                <w:rFonts w:ascii="Arial" w:eastAsia="TimesNewRomanPSMT" w:hAnsi="Arial" w:cs="Arial"/>
                <w:lang w:val="en-US"/>
              </w:rPr>
              <w:t>linije</w:t>
            </w:r>
            <w:r w:rsidRPr="002A6F4E">
              <w:rPr>
                <w:rFonts w:ascii="Arial" w:eastAsia="TimesNewRomanPSMT" w:hAnsi="Arial" w:cs="Arial"/>
                <w:lang w:val="sr-Latn-CS"/>
              </w:rPr>
              <w:t xml:space="preserve"> </w:t>
            </w:r>
            <w:r w:rsidRPr="002A6F4E">
              <w:rPr>
                <w:rFonts w:ascii="Arial" w:eastAsia="TimesNewRomanPSMT" w:hAnsi="Arial" w:cs="Arial"/>
                <w:lang w:val="en-US"/>
              </w:rPr>
              <w:t>odgovornosti</w:t>
            </w:r>
            <w:r w:rsidRPr="002A6F4E">
              <w:rPr>
                <w:rFonts w:ascii="Arial" w:eastAsia="TimesNewRomanPSMT" w:hAnsi="Arial" w:cs="Arial"/>
                <w:lang w:val="sr-Latn-CS"/>
              </w:rPr>
              <w:t xml:space="preserve">; </w:t>
            </w:r>
          </w:p>
          <w:p w14:paraId="2B7995BF" w14:textId="161F258A" w:rsidR="006C693A" w:rsidRPr="002A6F4E" w:rsidRDefault="006C693A" w:rsidP="00A23ED0">
            <w:pPr>
              <w:numPr>
                <w:ilvl w:val="0"/>
                <w:numId w:val="107"/>
              </w:numPr>
              <w:autoSpaceDE w:val="0"/>
              <w:autoSpaceDN w:val="0"/>
              <w:adjustRightInd w:val="0"/>
              <w:spacing w:line="360" w:lineRule="auto"/>
              <w:rPr>
                <w:rFonts w:ascii="Arial" w:eastAsia="TimesNewRomanPSMT" w:hAnsi="Arial" w:cs="Arial"/>
                <w:b w:val="0"/>
                <w:bCs w:val="0"/>
                <w:lang w:val="sr-Latn-CS"/>
              </w:rPr>
            </w:pPr>
            <w:r w:rsidRPr="002A6F4E">
              <w:rPr>
                <w:rFonts w:ascii="Arial" w:eastAsia="TimesNewRomanPSMT" w:hAnsi="Arial" w:cs="Arial"/>
                <w:lang w:val="en-US"/>
              </w:rPr>
              <w:t>Posebno</w:t>
            </w:r>
            <w:r w:rsidRPr="002A6F4E">
              <w:rPr>
                <w:rFonts w:ascii="Arial" w:eastAsia="TimesNewRomanPSMT" w:hAnsi="Arial" w:cs="Arial"/>
                <w:lang w:val="sr-Latn-CS"/>
              </w:rPr>
              <w:t xml:space="preserve"> </w:t>
            </w:r>
            <w:r w:rsidRPr="002A6F4E">
              <w:rPr>
                <w:rFonts w:ascii="Arial" w:eastAsia="TimesNewRomanPSMT" w:hAnsi="Arial" w:cs="Arial"/>
                <w:lang w:val="en-US"/>
              </w:rPr>
              <w:t>efikasan</w:t>
            </w:r>
            <w:r w:rsidRPr="002A6F4E">
              <w:rPr>
                <w:rFonts w:ascii="Arial" w:eastAsia="TimesNewRomanPSMT" w:hAnsi="Arial" w:cs="Arial"/>
                <w:lang w:val="sr-Latn-CS"/>
              </w:rPr>
              <w:t xml:space="preserve"> </w:t>
            </w:r>
            <w:r w:rsidRPr="002A6F4E">
              <w:rPr>
                <w:rFonts w:ascii="Arial" w:eastAsia="TimesNewRomanPSMT" w:hAnsi="Arial" w:cs="Arial"/>
                <w:lang w:val="en-US"/>
              </w:rPr>
              <w:t>na</w:t>
            </w:r>
            <w:r w:rsidRPr="002A6F4E">
              <w:rPr>
                <w:rFonts w:ascii="Arial" w:eastAsia="TimesNewRomanPSMT" w:hAnsi="Arial" w:cs="Arial"/>
                <w:lang w:val="sr-Latn-CS"/>
              </w:rPr>
              <w:t>č</w:t>
            </w:r>
            <w:r w:rsidRPr="002A6F4E">
              <w:rPr>
                <w:rFonts w:ascii="Arial" w:eastAsia="TimesNewRomanPSMT" w:hAnsi="Arial" w:cs="Arial"/>
                <w:lang w:val="en-US"/>
              </w:rPr>
              <w:t>in</w:t>
            </w:r>
            <w:r w:rsidRPr="002A6F4E">
              <w:rPr>
                <w:rFonts w:ascii="Arial" w:eastAsia="TimesNewRomanPSMT" w:hAnsi="Arial" w:cs="Arial"/>
                <w:lang w:val="sr-Latn-CS"/>
              </w:rPr>
              <w:t xml:space="preserve"> </w:t>
            </w:r>
            <w:r w:rsidRPr="002A6F4E">
              <w:rPr>
                <w:rFonts w:ascii="Arial" w:eastAsia="TimesNewRomanPSMT" w:hAnsi="Arial" w:cs="Arial"/>
                <w:lang w:val="en-US"/>
              </w:rPr>
              <w:t>da</w:t>
            </w:r>
            <w:r w:rsidRPr="002A6F4E">
              <w:rPr>
                <w:rFonts w:ascii="Arial" w:eastAsia="TimesNewRomanPSMT" w:hAnsi="Arial" w:cs="Arial"/>
                <w:lang w:val="sr-Latn-CS"/>
              </w:rPr>
              <w:t xml:space="preserve"> </w:t>
            </w:r>
            <w:r w:rsidRPr="002A6F4E">
              <w:rPr>
                <w:rFonts w:ascii="Arial" w:eastAsia="TimesNewRomanPSMT" w:hAnsi="Arial" w:cs="Arial"/>
                <w:lang w:val="en-US"/>
              </w:rPr>
              <w:t>se</w:t>
            </w:r>
            <w:r w:rsidRPr="002A6F4E">
              <w:rPr>
                <w:rFonts w:ascii="Arial" w:eastAsia="TimesNewRomanPSMT" w:hAnsi="Arial" w:cs="Arial"/>
                <w:lang w:val="sr-Latn-CS"/>
              </w:rPr>
              <w:t xml:space="preserve"> </w:t>
            </w:r>
            <w:r w:rsidRPr="002A6F4E">
              <w:rPr>
                <w:rFonts w:ascii="Arial" w:eastAsia="TimesNewRomanPSMT" w:hAnsi="Arial" w:cs="Arial"/>
                <w:lang w:val="en-US"/>
              </w:rPr>
              <w:t>pobolj</w:t>
            </w:r>
            <w:r w:rsidRPr="002A6F4E">
              <w:rPr>
                <w:rFonts w:ascii="Arial" w:eastAsia="TimesNewRomanPSMT" w:hAnsi="Arial" w:cs="Arial"/>
                <w:lang w:val="sr-Latn-CS"/>
              </w:rPr>
              <w:t>š</w:t>
            </w:r>
            <w:r w:rsidRPr="002A6F4E">
              <w:rPr>
                <w:rFonts w:ascii="Arial" w:eastAsia="TimesNewRomanPSMT" w:hAnsi="Arial" w:cs="Arial"/>
                <w:lang w:val="en-US"/>
              </w:rPr>
              <w:t>aju</w:t>
            </w:r>
            <w:r w:rsidRPr="002A6F4E">
              <w:rPr>
                <w:rFonts w:ascii="Arial" w:eastAsia="TimesNewRomanPSMT" w:hAnsi="Arial" w:cs="Arial"/>
                <w:lang w:val="sr-Latn-CS"/>
              </w:rPr>
              <w:t xml:space="preserve"> </w:t>
            </w:r>
            <w:r w:rsidRPr="002A6F4E">
              <w:rPr>
                <w:rFonts w:ascii="Arial" w:eastAsia="TimesNewRomanPSMT" w:hAnsi="Arial" w:cs="Arial"/>
                <w:lang w:val="en-US"/>
              </w:rPr>
              <w:t>stavovi</w:t>
            </w:r>
            <w:r w:rsidRPr="002A6F4E">
              <w:rPr>
                <w:rFonts w:ascii="Arial" w:eastAsia="TimesNewRomanPSMT" w:hAnsi="Arial" w:cs="Arial"/>
                <w:lang w:val="sr-Latn-CS"/>
              </w:rPr>
              <w:t xml:space="preserve"> </w:t>
            </w:r>
            <w:r w:rsidRPr="002A6F4E">
              <w:rPr>
                <w:rFonts w:ascii="Arial" w:eastAsia="TimesNewRomanPSMT" w:hAnsi="Arial" w:cs="Arial"/>
                <w:lang w:val="en-US"/>
              </w:rPr>
              <w:t>prema</w:t>
            </w:r>
            <w:r w:rsidRPr="002A6F4E">
              <w:rPr>
                <w:rFonts w:ascii="Arial" w:eastAsia="TimesNewRomanPSMT" w:hAnsi="Arial" w:cs="Arial"/>
                <w:lang w:val="sr-Latn-CS"/>
              </w:rPr>
              <w:t xml:space="preserve"> </w:t>
            </w:r>
            <w:r w:rsidRPr="002A6F4E">
              <w:rPr>
                <w:rFonts w:ascii="Arial" w:eastAsia="TimesNewRomanPSMT" w:hAnsi="Arial" w:cs="Arial"/>
                <w:lang w:val="en-US"/>
              </w:rPr>
              <w:t>ponovnoj</w:t>
            </w:r>
            <w:r w:rsidRPr="002A6F4E">
              <w:rPr>
                <w:rFonts w:ascii="Arial" w:eastAsia="TimesNewRomanPSMT" w:hAnsi="Arial" w:cs="Arial"/>
                <w:lang w:val="sr-Latn-CS"/>
              </w:rPr>
              <w:t xml:space="preserve"> </w:t>
            </w:r>
            <w:r w:rsidRPr="002A6F4E">
              <w:rPr>
                <w:rFonts w:ascii="Arial" w:eastAsia="TimesNewRomanPSMT" w:hAnsi="Arial" w:cs="Arial"/>
                <w:lang w:val="en-US"/>
              </w:rPr>
              <w:t>upotrebi</w:t>
            </w:r>
            <w:r w:rsidRPr="002A6F4E">
              <w:rPr>
                <w:rFonts w:ascii="Arial" w:eastAsia="TimesNewRomanPSMT" w:hAnsi="Arial" w:cs="Arial"/>
                <w:lang w:val="sr-Latn-CS"/>
              </w:rPr>
              <w:t xml:space="preserve"> </w:t>
            </w:r>
            <w:r w:rsidRPr="002A6F4E">
              <w:rPr>
                <w:rFonts w:ascii="Arial" w:eastAsia="TimesNewRomanPSMT" w:hAnsi="Arial" w:cs="Arial"/>
                <w:lang w:val="en-US"/>
              </w:rPr>
              <w:t>i</w:t>
            </w:r>
            <w:r w:rsidRPr="002A6F4E">
              <w:rPr>
                <w:rFonts w:ascii="Arial" w:eastAsia="TimesNewRomanPSMT" w:hAnsi="Arial" w:cs="Arial"/>
                <w:lang w:val="sr-Latn-CS"/>
              </w:rPr>
              <w:t xml:space="preserve"> </w:t>
            </w:r>
            <w:r w:rsidRPr="002A6F4E">
              <w:rPr>
                <w:rFonts w:ascii="Arial" w:eastAsia="TimesNewRomanPSMT" w:hAnsi="Arial" w:cs="Arial"/>
                <w:lang w:val="en-US"/>
              </w:rPr>
              <w:t>recikl</w:t>
            </w:r>
            <w:r w:rsidR="00E156D8">
              <w:rPr>
                <w:rFonts w:ascii="Arial" w:eastAsia="TimesNewRomanPSMT" w:hAnsi="Arial" w:cs="Arial"/>
                <w:lang w:val="en-US"/>
              </w:rPr>
              <w:t>iranju</w:t>
            </w:r>
            <w:r w:rsidRPr="002A6F4E">
              <w:rPr>
                <w:rFonts w:ascii="Arial" w:eastAsia="TimesNewRomanPSMT" w:hAnsi="Arial" w:cs="Arial"/>
                <w:lang w:val="sr-Latn-CS"/>
              </w:rPr>
              <w:t xml:space="preserve"> </w:t>
            </w:r>
            <w:r w:rsidRPr="002A6F4E">
              <w:rPr>
                <w:rFonts w:ascii="Arial" w:eastAsia="TimesNewRomanPSMT" w:hAnsi="Arial" w:cs="Arial"/>
                <w:lang w:val="en-US"/>
              </w:rPr>
              <w:t>otpada</w:t>
            </w:r>
            <w:r w:rsidRPr="002A6F4E">
              <w:rPr>
                <w:rFonts w:ascii="Arial" w:eastAsia="TimesNewRomanPSMT" w:hAnsi="Arial" w:cs="Arial"/>
                <w:lang w:val="sr-Latn-CS"/>
              </w:rPr>
              <w:t xml:space="preserve"> </w:t>
            </w:r>
            <w:r w:rsidRPr="002A6F4E">
              <w:rPr>
                <w:rFonts w:ascii="Arial" w:eastAsia="TimesNewRomanPSMT" w:hAnsi="Arial" w:cs="Arial"/>
                <w:lang w:val="en-US"/>
              </w:rPr>
              <w:t>jeste</w:t>
            </w:r>
            <w:r w:rsidRPr="002A6F4E">
              <w:rPr>
                <w:rFonts w:ascii="Arial" w:eastAsia="TimesNewRomanPSMT" w:hAnsi="Arial" w:cs="Arial"/>
                <w:lang w:val="sr-Latn-CS"/>
              </w:rPr>
              <w:t xml:space="preserve"> </w:t>
            </w:r>
            <w:r w:rsidRPr="002A6F4E">
              <w:rPr>
                <w:rFonts w:ascii="Arial" w:eastAsia="TimesNewRomanPSMT" w:hAnsi="Arial" w:cs="Arial"/>
                <w:lang w:val="en-US"/>
              </w:rPr>
              <w:t>da</w:t>
            </w:r>
            <w:r w:rsidRPr="002A6F4E">
              <w:rPr>
                <w:rFonts w:ascii="Arial" w:eastAsia="TimesNewRomanPSMT" w:hAnsi="Arial" w:cs="Arial"/>
                <w:lang w:val="sr-Latn-CS"/>
              </w:rPr>
              <w:t xml:space="preserve"> </w:t>
            </w:r>
            <w:r w:rsidRPr="002A6F4E">
              <w:rPr>
                <w:rFonts w:ascii="Arial" w:eastAsia="TimesNewRomanPSMT" w:hAnsi="Arial" w:cs="Arial"/>
                <w:lang w:val="en-US"/>
              </w:rPr>
              <w:t>se</w:t>
            </w:r>
            <w:r w:rsidRPr="002A6F4E">
              <w:rPr>
                <w:rFonts w:ascii="Arial" w:eastAsia="TimesNewRomanPSMT" w:hAnsi="Arial" w:cs="Arial"/>
                <w:lang w:val="sr-Latn-CS"/>
              </w:rPr>
              <w:t xml:space="preserve"> </w:t>
            </w:r>
            <w:r w:rsidRPr="002A6F4E">
              <w:rPr>
                <w:rFonts w:ascii="Arial" w:eastAsia="TimesNewRomanPSMT" w:hAnsi="Arial" w:cs="Arial"/>
                <w:lang w:val="en-US"/>
              </w:rPr>
              <w:t>edukacija</w:t>
            </w:r>
            <w:r w:rsidRPr="002A6F4E">
              <w:rPr>
                <w:rFonts w:ascii="Arial" w:eastAsia="TimesNewRomanPSMT" w:hAnsi="Arial" w:cs="Arial"/>
                <w:lang w:val="sr-Latn-CS"/>
              </w:rPr>
              <w:t xml:space="preserve"> </w:t>
            </w:r>
            <w:r w:rsidRPr="002A6F4E">
              <w:rPr>
                <w:rFonts w:ascii="Arial" w:eastAsia="TimesNewRomanPSMT" w:hAnsi="Arial" w:cs="Arial"/>
                <w:lang w:val="en-US"/>
              </w:rPr>
              <w:t>o</w:t>
            </w:r>
            <w:r w:rsidRPr="002A6F4E">
              <w:rPr>
                <w:rFonts w:ascii="Arial" w:eastAsia="TimesNewRomanPSMT" w:hAnsi="Arial" w:cs="Arial"/>
                <w:lang w:val="sr-Latn-CS"/>
              </w:rPr>
              <w:t xml:space="preserve"> </w:t>
            </w:r>
            <w:r w:rsidRPr="002A6F4E">
              <w:rPr>
                <w:rFonts w:ascii="Arial" w:eastAsia="TimesNewRomanPSMT" w:hAnsi="Arial" w:cs="Arial"/>
                <w:lang w:val="en-US"/>
              </w:rPr>
              <w:t>upravljanju</w:t>
            </w:r>
            <w:r w:rsidRPr="002A6F4E">
              <w:rPr>
                <w:rFonts w:ascii="Arial" w:eastAsia="TimesNewRomanPSMT" w:hAnsi="Arial" w:cs="Arial"/>
                <w:lang w:val="sr-Latn-CS"/>
              </w:rPr>
              <w:t xml:space="preserve"> </w:t>
            </w:r>
            <w:r w:rsidRPr="002A6F4E">
              <w:rPr>
                <w:rFonts w:ascii="Arial" w:eastAsia="TimesNewRomanPSMT" w:hAnsi="Arial" w:cs="Arial"/>
                <w:lang w:val="en-US"/>
              </w:rPr>
              <w:t>otpadom</w:t>
            </w:r>
            <w:r w:rsidRPr="002A6F4E">
              <w:rPr>
                <w:rFonts w:ascii="Arial" w:eastAsia="TimesNewRomanPSMT" w:hAnsi="Arial" w:cs="Arial"/>
                <w:lang w:val="sr-Latn-CS"/>
              </w:rPr>
              <w:t xml:space="preserve"> </w:t>
            </w:r>
            <w:r w:rsidRPr="002A6F4E">
              <w:rPr>
                <w:rFonts w:ascii="Arial" w:eastAsia="TimesNewRomanPSMT" w:hAnsi="Arial" w:cs="Arial"/>
                <w:lang w:val="en-US"/>
              </w:rPr>
              <w:t>u</w:t>
            </w:r>
            <w:r w:rsidR="00E156D8">
              <w:rPr>
                <w:rFonts w:ascii="Arial" w:eastAsia="TimesNewRomanPSMT" w:hAnsi="Arial" w:cs="Arial"/>
                <w:lang w:val="en-US"/>
              </w:rPr>
              <w:t>vrsti</w:t>
            </w:r>
            <w:r w:rsidRPr="002A6F4E">
              <w:rPr>
                <w:rFonts w:ascii="Arial" w:eastAsia="TimesNewRomanPSMT" w:hAnsi="Arial" w:cs="Arial"/>
                <w:lang w:val="sr-Latn-CS"/>
              </w:rPr>
              <w:t xml:space="preserve"> </w:t>
            </w:r>
            <w:r w:rsidRPr="002A6F4E">
              <w:rPr>
                <w:rFonts w:ascii="Arial" w:eastAsia="TimesNewRomanPSMT" w:hAnsi="Arial" w:cs="Arial"/>
                <w:lang w:val="en-US"/>
              </w:rPr>
              <w:t>u</w:t>
            </w:r>
            <w:r w:rsidRPr="002A6F4E">
              <w:rPr>
                <w:rFonts w:ascii="Arial" w:eastAsia="TimesNewRomanPSMT" w:hAnsi="Arial" w:cs="Arial"/>
                <w:lang w:val="sr-Latn-CS"/>
              </w:rPr>
              <w:t xml:space="preserve"> š</w:t>
            </w:r>
            <w:r w:rsidRPr="002A6F4E">
              <w:rPr>
                <w:rFonts w:ascii="Arial" w:eastAsia="TimesNewRomanPSMT" w:hAnsi="Arial" w:cs="Arial"/>
                <w:lang w:val="en-US"/>
              </w:rPr>
              <w:t>kolski</w:t>
            </w:r>
            <w:r w:rsidRPr="002A6F4E">
              <w:rPr>
                <w:rFonts w:ascii="Arial" w:eastAsia="TimesNewRomanPSMT" w:hAnsi="Arial" w:cs="Arial"/>
                <w:lang w:val="sr-Latn-CS"/>
              </w:rPr>
              <w:t xml:space="preserve"> </w:t>
            </w:r>
            <w:r w:rsidRPr="002A6F4E">
              <w:rPr>
                <w:rFonts w:ascii="Arial" w:eastAsia="TimesNewRomanPSMT" w:hAnsi="Arial" w:cs="Arial"/>
                <w:lang w:val="en-US"/>
              </w:rPr>
              <w:t>program</w:t>
            </w:r>
            <w:r w:rsidRPr="002A6F4E">
              <w:rPr>
                <w:rFonts w:ascii="Arial" w:eastAsia="TimesNewRomanPSMT" w:hAnsi="Arial" w:cs="Arial"/>
                <w:lang w:val="sr-Latn-CS"/>
              </w:rPr>
              <w:t xml:space="preserve">, </w:t>
            </w:r>
            <w:r w:rsidRPr="002A6F4E">
              <w:rPr>
                <w:rFonts w:ascii="Arial" w:eastAsia="TimesNewRomanPSMT" w:hAnsi="Arial" w:cs="Arial"/>
                <w:lang w:val="en-US"/>
              </w:rPr>
              <w:t>podu</w:t>
            </w:r>
            <w:r w:rsidRPr="002A6F4E">
              <w:rPr>
                <w:rFonts w:ascii="Arial" w:eastAsia="TimesNewRomanPSMT" w:hAnsi="Arial" w:cs="Arial"/>
                <w:lang w:val="sr-Latn-CS"/>
              </w:rPr>
              <w:t>č</w:t>
            </w:r>
            <w:r w:rsidRPr="002A6F4E">
              <w:rPr>
                <w:rFonts w:ascii="Arial" w:eastAsia="TimesNewRomanPSMT" w:hAnsi="Arial" w:cs="Arial"/>
                <w:lang w:val="en-US"/>
              </w:rPr>
              <w:t>avaju</w:t>
            </w:r>
            <w:r w:rsidRPr="002A6F4E">
              <w:rPr>
                <w:rFonts w:ascii="Arial" w:eastAsia="TimesNewRomanPSMT" w:hAnsi="Arial" w:cs="Arial"/>
                <w:lang w:val="sr-Latn-CS"/>
              </w:rPr>
              <w:t>ć</w:t>
            </w:r>
            <w:r w:rsidRPr="002A6F4E">
              <w:rPr>
                <w:rFonts w:ascii="Arial" w:eastAsia="TimesNewRomanPSMT" w:hAnsi="Arial" w:cs="Arial"/>
                <w:lang w:val="en-US"/>
              </w:rPr>
              <w:t>i</w:t>
            </w:r>
            <w:r w:rsidRPr="002A6F4E">
              <w:rPr>
                <w:rFonts w:ascii="Arial" w:eastAsia="TimesNewRomanPSMT" w:hAnsi="Arial" w:cs="Arial"/>
                <w:lang w:val="sr-Latn-CS"/>
              </w:rPr>
              <w:t xml:space="preserve"> </w:t>
            </w:r>
            <w:r w:rsidRPr="002A6F4E">
              <w:rPr>
                <w:rFonts w:ascii="Arial" w:eastAsia="TimesNewRomanPSMT" w:hAnsi="Arial" w:cs="Arial"/>
                <w:lang w:val="en-US"/>
              </w:rPr>
              <w:t>djecu</w:t>
            </w:r>
            <w:r w:rsidRPr="002A6F4E">
              <w:rPr>
                <w:rFonts w:ascii="Arial" w:eastAsia="TimesNewRomanPSMT" w:hAnsi="Arial" w:cs="Arial"/>
                <w:lang w:val="sr-Latn-CS"/>
              </w:rPr>
              <w:t xml:space="preserve"> </w:t>
            </w:r>
            <w:r w:rsidRPr="002A6F4E">
              <w:rPr>
                <w:rFonts w:ascii="Arial" w:eastAsia="TimesNewRomanPSMT" w:hAnsi="Arial" w:cs="Arial"/>
                <w:lang w:val="en-US"/>
              </w:rPr>
              <w:t>o</w:t>
            </w:r>
            <w:r w:rsidRPr="002A6F4E">
              <w:rPr>
                <w:rFonts w:ascii="Arial" w:eastAsia="TimesNewRomanPSMT" w:hAnsi="Arial" w:cs="Arial"/>
                <w:lang w:val="sr-Latn-CS"/>
              </w:rPr>
              <w:t xml:space="preserve"> </w:t>
            </w:r>
            <w:r w:rsidRPr="002A6F4E">
              <w:rPr>
                <w:rFonts w:ascii="Arial" w:eastAsia="TimesNewRomanPSMT" w:hAnsi="Arial" w:cs="Arial"/>
                <w:lang w:val="en-US"/>
              </w:rPr>
              <w:t>uzrocima</w:t>
            </w:r>
            <w:r w:rsidRPr="002A6F4E">
              <w:rPr>
                <w:rFonts w:ascii="Arial" w:eastAsia="TimesNewRomanPSMT" w:hAnsi="Arial" w:cs="Arial"/>
                <w:lang w:val="sr-Latn-CS"/>
              </w:rPr>
              <w:t xml:space="preserve"> </w:t>
            </w:r>
            <w:r w:rsidRPr="002A6F4E">
              <w:rPr>
                <w:rFonts w:ascii="Arial" w:eastAsia="TimesNewRomanPSMT" w:hAnsi="Arial" w:cs="Arial"/>
                <w:lang w:val="en-US"/>
              </w:rPr>
              <w:t>i</w:t>
            </w:r>
            <w:r w:rsidRPr="002A6F4E">
              <w:rPr>
                <w:rFonts w:ascii="Arial" w:eastAsia="TimesNewRomanPSMT" w:hAnsi="Arial" w:cs="Arial"/>
                <w:lang w:val="sr-Latn-CS"/>
              </w:rPr>
              <w:t xml:space="preserve"> </w:t>
            </w:r>
            <w:r w:rsidRPr="002A6F4E">
              <w:rPr>
                <w:rFonts w:ascii="Arial" w:eastAsia="TimesNewRomanPSMT" w:hAnsi="Arial" w:cs="Arial"/>
                <w:lang w:val="en-US"/>
              </w:rPr>
              <w:t>posljedicama</w:t>
            </w:r>
            <w:r w:rsidRPr="002A6F4E">
              <w:rPr>
                <w:rFonts w:ascii="Arial" w:eastAsia="TimesNewRomanPSMT" w:hAnsi="Arial" w:cs="Arial"/>
                <w:lang w:val="sr-Latn-CS"/>
              </w:rPr>
              <w:t xml:space="preserve"> </w:t>
            </w:r>
            <w:r w:rsidRPr="002A6F4E">
              <w:rPr>
                <w:rFonts w:ascii="Arial" w:eastAsia="TimesNewRomanPSMT" w:hAnsi="Arial" w:cs="Arial"/>
                <w:lang w:val="en-US"/>
              </w:rPr>
              <w:t>odlaganja</w:t>
            </w:r>
            <w:r w:rsidRPr="002A6F4E">
              <w:rPr>
                <w:rFonts w:ascii="Arial" w:eastAsia="TimesNewRomanPSMT" w:hAnsi="Arial" w:cs="Arial"/>
                <w:lang w:val="sr-Latn-CS"/>
              </w:rPr>
              <w:t xml:space="preserve"> </w:t>
            </w:r>
            <w:r w:rsidRPr="002A6F4E">
              <w:rPr>
                <w:rFonts w:ascii="Arial" w:eastAsia="TimesNewRomanPSMT" w:hAnsi="Arial" w:cs="Arial"/>
                <w:lang w:val="en-US"/>
              </w:rPr>
              <w:t>otpada</w:t>
            </w:r>
            <w:r w:rsidRPr="002A6F4E">
              <w:rPr>
                <w:rFonts w:ascii="Arial" w:eastAsia="TimesNewRomanPSMT" w:hAnsi="Arial" w:cs="Arial"/>
                <w:lang w:val="sr-Latn-CS"/>
              </w:rPr>
              <w:t xml:space="preserve"> </w:t>
            </w:r>
            <w:r w:rsidRPr="002A6F4E">
              <w:rPr>
                <w:rFonts w:ascii="Arial" w:eastAsia="TimesNewRomanPSMT" w:hAnsi="Arial" w:cs="Arial"/>
                <w:lang w:val="en-US"/>
              </w:rPr>
              <w:t>i</w:t>
            </w:r>
            <w:r w:rsidRPr="002A6F4E">
              <w:rPr>
                <w:rFonts w:ascii="Arial" w:eastAsia="TimesNewRomanPSMT" w:hAnsi="Arial" w:cs="Arial"/>
                <w:lang w:val="sr-Latn-CS"/>
              </w:rPr>
              <w:t xml:space="preserve"> </w:t>
            </w:r>
            <w:r w:rsidRPr="002A6F4E">
              <w:rPr>
                <w:rFonts w:ascii="Arial" w:eastAsia="TimesNewRomanPSMT" w:hAnsi="Arial" w:cs="Arial"/>
                <w:lang w:val="en-US"/>
              </w:rPr>
              <w:t>va</w:t>
            </w:r>
            <w:r w:rsidRPr="002A6F4E">
              <w:rPr>
                <w:rFonts w:ascii="Arial" w:eastAsia="TimesNewRomanPSMT" w:hAnsi="Arial" w:cs="Arial"/>
                <w:lang w:val="sr-Latn-CS"/>
              </w:rPr>
              <w:t>ž</w:t>
            </w:r>
            <w:r w:rsidRPr="002A6F4E">
              <w:rPr>
                <w:rFonts w:ascii="Arial" w:eastAsia="TimesNewRomanPSMT" w:hAnsi="Arial" w:cs="Arial"/>
                <w:lang w:val="en-US"/>
              </w:rPr>
              <w:t>nosti</w:t>
            </w:r>
            <w:r w:rsidRPr="002A6F4E">
              <w:rPr>
                <w:rFonts w:ascii="Arial" w:eastAsia="TimesNewRomanPSMT" w:hAnsi="Arial" w:cs="Arial"/>
                <w:lang w:val="sr-Latn-CS"/>
              </w:rPr>
              <w:t xml:space="preserve"> </w:t>
            </w:r>
            <w:r w:rsidRPr="002A6F4E">
              <w:rPr>
                <w:rFonts w:ascii="Arial" w:eastAsia="TimesNewRomanPSMT" w:hAnsi="Arial" w:cs="Arial"/>
                <w:lang w:val="en-US"/>
              </w:rPr>
              <w:t>prevencije</w:t>
            </w:r>
            <w:r w:rsidRPr="002A6F4E">
              <w:rPr>
                <w:rFonts w:ascii="Arial" w:eastAsia="TimesNewRomanPSMT" w:hAnsi="Arial" w:cs="Arial"/>
                <w:lang w:val="sr-Latn-CS"/>
              </w:rPr>
              <w:t xml:space="preserve"> </w:t>
            </w:r>
            <w:r w:rsidR="003E3DB0">
              <w:rPr>
                <w:rFonts w:ascii="Arial" w:eastAsia="TimesNewRomanPSMT" w:hAnsi="Arial" w:cs="Arial"/>
                <w:lang w:val="sr-Latn-CS"/>
              </w:rPr>
              <w:t>i</w:t>
            </w:r>
            <w:r w:rsidRPr="002A6F4E">
              <w:rPr>
                <w:rFonts w:ascii="Arial" w:eastAsia="TimesNewRomanPSMT" w:hAnsi="Arial" w:cs="Arial"/>
                <w:lang w:val="sr-Latn-CS"/>
              </w:rPr>
              <w:t xml:space="preserve"> </w:t>
            </w:r>
            <w:r w:rsidRPr="002A6F4E">
              <w:rPr>
                <w:rFonts w:ascii="Arial" w:eastAsia="TimesNewRomanPSMT" w:hAnsi="Arial" w:cs="Arial"/>
                <w:lang w:val="en-US"/>
              </w:rPr>
              <w:t>recikl</w:t>
            </w:r>
            <w:r w:rsidR="00E156D8">
              <w:rPr>
                <w:rFonts w:ascii="Arial" w:eastAsia="TimesNewRomanPSMT" w:hAnsi="Arial" w:cs="Arial"/>
                <w:lang w:val="en-US"/>
              </w:rPr>
              <w:t>iranja</w:t>
            </w:r>
            <w:r w:rsidRPr="002A6F4E">
              <w:rPr>
                <w:rFonts w:ascii="Arial" w:eastAsia="TimesNewRomanPSMT" w:hAnsi="Arial" w:cs="Arial"/>
                <w:lang w:val="sr-Latn-CS"/>
              </w:rPr>
              <w:t xml:space="preserve"> </w:t>
            </w:r>
            <w:r w:rsidRPr="002A6F4E">
              <w:rPr>
                <w:rFonts w:ascii="Arial" w:eastAsia="TimesNewRomanPSMT" w:hAnsi="Arial" w:cs="Arial"/>
                <w:lang w:val="en-US"/>
              </w:rPr>
              <w:t>otpada</w:t>
            </w:r>
            <w:r w:rsidRPr="002A6F4E">
              <w:rPr>
                <w:rFonts w:ascii="Arial" w:eastAsia="TimesNewRomanPSMT" w:hAnsi="Arial" w:cs="Arial"/>
                <w:lang w:val="sr-Latn-CS"/>
              </w:rPr>
              <w:t xml:space="preserve"> </w:t>
            </w:r>
            <w:r w:rsidRPr="002A6F4E">
              <w:rPr>
                <w:rFonts w:ascii="Arial" w:eastAsia="TimesNewRomanPSMT" w:hAnsi="Arial" w:cs="Arial"/>
                <w:lang w:val="en-US"/>
              </w:rPr>
              <w:t>kroz</w:t>
            </w:r>
            <w:r w:rsidRPr="002A6F4E">
              <w:rPr>
                <w:rFonts w:ascii="Arial" w:eastAsia="TimesNewRomanPSMT" w:hAnsi="Arial" w:cs="Arial"/>
                <w:lang w:val="sr-Latn-CS"/>
              </w:rPr>
              <w:t xml:space="preserve"> </w:t>
            </w:r>
            <w:r w:rsidRPr="002A6F4E">
              <w:rPr>
                <w:rFonts w:ascii="Arial" w:eastAsia="TimesNewRomanPSMT" w:hAnsi="Arial" w:cs="Arial"/>
                <w:lang w:val="en-US"/>
              </w:rPr>
              <w:t>zabavne</w:t>
            </w:r>
            <w:r w:rsidRPr="002A6F4E">
              <w:rPr>
                <w:rFonts w:ascii="Arial" w:eastAsia="TimesNewRomanPSMT" w:hAnsi="Arial" w:cs="Arial"/>
                <w:lang w:val="sr-Latn-CS"/>
              </w:rPr>
              <w:t xml:space="preserve"> </w:t>
            </w:r>
            <w:r w:rsidRPr="002A6F4E">
              <w:rPr>
                <w:rFonts w:ascii="Arial" w:eastAsia="TimesNewRomanPSMT" w:hAnsi="Arial" w:cs="Arial"/>
                <w:lang w:val="en-US"/>
              </w:rPr>
              <w:t>aktivnosti</w:t>
            </w:r>
            <w:r w:rsidRPr="002A6F4E">
              <w:rPr>
                <w:rFonts w:ascii="Arial" w:eastAsia="TimesNewRomanPSMT" w:hAnsi="Arial" w:cs="Arial"/>
                <w:lang w:val="sr-Latn-CS"/>
              </w:rPr>
              <w:t>;</w:t>
            </w:r>
          </w:p>
          <w:p w14:paraId="7272986D" w14:textId="21569A71" w:rsidR="006C693A" w:rsidRPr="002A6F4E" w:rsidRDefault="006C693A" w:rsidP="00A23ED0">
            <w:pPr>
              <w:numPr>
                <w:ilvl w:val="0"/>
                <w:numId w:val="107"/>
              </w:numPr>
              <w:autoSpaceDE w:val="0"/>
              <w:autoSpaceDN w:val="0"/>
              <w:adjustRightInd w:val="0"/>
              <w:spacing w:line="360" w:lineRule="auto"/>
              <w:rPr>
                <w:rFonts w:ascii="Arial" w:eastAsia="TimesNewRomanPSMT" w:hAnsi="Arial" w:cs="Arial"/>
                <w:b w:val="0"/>
                <w:bCs w:val="0"/>
                <w:lang w:val="sr-Latn-CS"/>
              </w:rPr>
            </w:pPr>
            <w:r w:rsidRPr="002A6F4E">
              <w:rPr>
                <w:rFonts w:ascii="Arial" w:eastAsia="TimesNewRomanPSMT" w:hAnsi="Arial" w:cs="Arial"/>
                <w:lang w:val="en-US"/>
              </w:rPr>
              <w:t>Ja</w:t>
            </w:r>
            <w:r w:rsidRPr="002A6F4E">
              <w:rPr>
                <w:rFonts w:ascii="Arial" w:eastAsia="TimesNewRomanPSMT" w:hAnsi="Arial" w:cs="Arial"/>
                <w:lang w:val="sr-Latn-CS"/>
              </w:rPr>
              <w:t>č</w:t>
            </w:r>
            <w:r w:rsidRPr="002A6F4E">
              <w:rPr>
                <w:rFonts w:ascii="Arial" w:eastAsia="TimesNewRomanPSMT" w:hAnsi="Arial" w:cs="Arial"/>
                <w:lang w:val="en-US"/>
              </w:rPr>
              <w:t>anje</w:t>
            </w:r>
            <w:r w:rsidRPr="002A6F4E">
              <w:rPr>
                <w:rFonts w:ascii="Arial" w:eastAsia="TimesNewRomanPSMT" w:hAnsi="Arial" w:cs="Arial"/>
                <w:lang w:val="sr-Latn-CS"/>
              </w:rPr>
              <w:t xml:space="preserve"> </w:t>
            </w:r>
            <w:r w:rsidRPr="002A6F4E">
              <w:rPr>
                <w:rFonts w:ascii="Arial" w:eastAsia="TimesNewRomanPSMT" w:hAnsi="Arial" w:cs="Arial"/>
                <w:lang w:val="en-US"/>
              </w:rPr>
              <w:t>partnerstva</w:t>
            </w:r>
            <w:r w:rsidRPr="002A6F4E">
              <w:rPr>
                <w:rFonts w:ascii="Arial" w:eastAsia="TimesNewRomanPSMT" w:hAnsi="Arial" w:cs="Arial"/>
                <w:lang w:val="sr-Latn-CS"/>
              </w:rPr>
              <w:t xml:space="preserve"> </w:t>
            </w:r>
            <w:r w:rsidRPr="002A6F4E">
              <w:rPr>
                <w:rFonts w:ascii="Arial" w:eastAsia="TimesNewRomanPSMT" w:hAnsi="Arial" w:cs="Arial"/>
                <w:lang w:val="en-US"/>
              </w:rPr>
              <w:t>i</w:t>
            </w:r>
            <w:r w:rsidRPr="002A6F4E">
              <w:rPr>
                <w:rFonts w:ascii="Arial" w:eastAsia="TimesNewRomanPSMT" w:hAnsi="Arial" w:cs="Arial"/>
                <w:lang w:val="sr-Latn-CS"/>
              </w:rPr>
              <w:t xml:space="preserve"> </w:t>
            </w:r>
            <w:r w:rsidRPr="002A6F4E">
              <w:rPr>
                <w:rFonts w:ascii="Arial" w:eastAsia="TimesNewRomanPSMT" w:hAnsi="Arial" w:cs="Arial"/>
                <w:lang w:val="en-US"/>
              </w:rPr>
              <w:t>podizanje</w:t>
            </w:r>
            <w:r w:rsidRPr="002A6F4E">
              <w:rPr>
                <w:rFonts w:ascii="Arial" w:eastAsia="TimesNewRomanPSMT" w:hAnsi="Arial" w:cs="Arial"/>
                <w:lang w:val="sr-Latn-CS"/>
              </w:rPr>
              <w:t xml:space="preserve"> </w:t>
            </w:r>
            <w:r w:rsidRPr="002A6F4E">
              <w:rPr>
                <w:rFonts w:ascii="Arial" w:eastAsia="TimesNewRomanPSMT" w:hAnsi="Arial" w:cs="Arial"/>
                <w:lang w:val="en-US"/>
              </w:rPr>
              <w:t>nivoa</w:t>
            </w:r>
            <w:r w:rsidRPr="002A6F4E">
              <w:rPr>
                <w:rFonts w:ascii="Arial" w:eastAsia="TimesNewRomanPSMT" w:hAnsi="Arial" w:cs="Arial"/>
                <w:lang w:val="sr-Latn-CS"/>
              </w:rPr>
              <w:t xml:space="preserve"> </w:t>
            </w:r>
            <w:r w:rsidRPr="002A6F4E">
              <w:rPr>
                <w:rFonts w:ascii="Arial" w:eastAsia="TimesNewRomanPSMT" w:hAnsi="Arial" w:cs="Arial"/>
                <w:lang w:val="en-US"/>
              </w:rPr>
              <w:t>svijesti</w:t>
            </w:r>
            <w:r w:rsidRPr="002A6F4E">
              <w:rPr>
                <w:rFonts w:ascii="Arial" w:eastAsia="TimesNewRomanPSMT" w:hAnsi="Arial" w:cs="Arial"/>
                <w:lang w:val="sr-Latn-CS"/>
              </w:rPr>
              <w:t xml:space="preserve"> </w:t>
            </w:r>
            <w:r w:rsidRPr="002A6F4E">
              <w:rPr>
                <w:rFonts w:ascii="Arial" w:eastAsia="TimesNewRomanPSMT" w:hAnsi="Arial" w:cs="Arial"/>
                <w:lang w:val="en-US"/>
              </w:rPr>
              <w:t>komunalnih</w:t>
            </w:r>
            <w:r w:rsidRPr="002A6F4E">
              <w:rPr>
                <w:rFonts w:ascii="Arial" w:eastAsia="TimesNewRomanPSMT" w:hAnsi="Arial" w:cs="Arial"/>
                <w:lang w:val="sr-Latn-CS"/>
              </w:rPr>
              <w:t xml:space="preserve"> </w:t>
            </w:r>
            <w:r w:rsidRPr="002A6F4E">
              <w:rPr>
                <w:rFonts w:ascii="Arial" w:eastAsia="TimesNewRomanPSMT" w:hAnsi="Arial" w:cs="Arial"/>
                <w:lang w:val="en-US"/>
              </w:rPr>
              <w:t>preduze</w:t>
            </w:r>
            <w:r w:rsidRPr="002A6F4E">
              <w:rPr>
                <w:rFonts w:ascii="Arial" w:eastAsia="TimesNewRomanPSMT" w:hAnsi="Arial" w:cs="Arial"/>
                <w:lang w:val="sr-Latn-CS"/>
              </w:rPr>
              <w:t>ć</w:t>
            </w:r>
            <w:r w:rsidRPr="002A6F4E">
              <w:rPr>
                <w:rFonts w:ascii="Arial" w:eastAsia="TimesNewRomanPSMT" w:hAnsi="Arial" w:cs="Arial"/>
                <w:lang w:val="en-US"/>
              </w:rPr>
              <w:t>a</w:t>
            </w:r>
            <w:r w:rsidRPr="002A6F4E">
              <w:rPr>
                <w:rFonts w:ascii="Arial" w:eastAsia="TimesNewRomanPSMT" w:hAnsi="Arial" w:cs="Arial"/>
                <w:lang w:val="sr-Latn-CS"/>
              </w:rPr>
              <w:t xml:space="preserve">, </w:t>
            </w:r>
            <w:r w:rsidRPr="002A6F4E">
              <w:rPr>
                <w:rFonts w:ascii="Arial" w:eastAsia="TimesNewRomanPSMT" w:hAnsi="Arial" w:cs="Arial"/>
                <w:lang w:val="en-US"/>
              </w:rPr>
              <w:t>privatnog</w:t>
            </w:r>
            <w:r w:rsidRPr="002A6F4E">
              <w:rPr>
                <w:rFonts w:ascii="Arial" w:eastAsia="TimesNewRomanPSMT" w:hAnsi="Arial" w:cs="Arial"/>
                <w:lang w:val="sr-Latn-CS"/>
              </w:rPr>
              <w:t xml:space="preserve"> </w:t>
            </w:r>
            <w:r w:rsidRPr="002A6F4E">
              <w:rPr>
                <w:rFonts w:ascii="Arial" w:eastAsia="TimesNewRomanPSMT" w:hAnsi="Arial" w:cs="Arial"/>
                <w:lang w:val="en-US"/>
              </w:rPr>
              <w:t>sektora</w:t>
            </w:r>
            <w:r w:rsidRPr="002A6F4E">
              <w:rPr>
                <w:rFonts w:ascii="Arial" w:eastAsia="TimesNewRomanPSMT" w:hAnsi="Arial" w:cs="Arial"/>
                <w:lang w:val="sr-Latn-CS"/>
              </w:rPr>
              <w:t xml:space="preserve">, </w:t>
            </w:r>
            <w:r w:rsidRPr="002A6F4E">
              <w:rPr>
                <w:rFonts w:ascii="Arial" w:eastAsia="TimesNewRomanPSMT" w:hAnsi="Arial" w:cs="Arial"/>
                <w:lang w:val="en-US"/>
              </w:rPr>
              <w:t>civilnog</w:t>
            </w:r>
            <w:r w:rsidRPr="002A6F4E">
              <w:rPr>
                <w:rFonts w:ascii="Arial" w:eastAsia="TimesNewRomanPSMT" w:hAnsi="Arial" w:cs="Arial"/>
                <w:lang w:val="sr-Latn-CS"/>
              </w:rPr>
              <w:t xml:space="preserve"> </w:t>
            </w:r>
            <w:r w:rsidRPr="002A6F4E">
              <w:rPr>
                <w:rFonts w:ascii="Arial" w:eastAsia="TimesNewRomanPSMT" w:hAnsi="Arial" w:cs="Arial"/>
                <w:lang w:val="en-US"/>
              </w:rPr>
              <w:t>dru</w:t>
            </w:r>
            <w:r w:rsidRPr="002A6F4E">
              <w:rPr>
                <w:rFonts w:ascii="Arial" w:eastAsia="TimesNewRomanPSMT" w:hAnsi="Arial" w:cs="Arial"/>
                <w:lang w:val="sr-Latn-CS"/>
              </w:rPr>
              <w:t>š</w:t>
            </w:r>
            <w:r w:rsidRPr="002A6F4E">
              <w:rPr>
                <w:rFonts w:ascii="Arial" w:eastAsia="TimesNewRomanPSMT" w:hAnsi="Arial" w:cs="Arial"/>
                <w:lang w:val="en-US"/>
              </w:rPr>
              <w:t>tva</w:t>
            </w:r>
            <w:r w:rsidRPr="002A6F4E">
              <w:rPr>
                <w:rFonts w:ascii="Arial" w:eastAsia="TimesNewRomanPSMT" w:hAnsi="Arial" w:cs="Arial"/>
                <w:lang w:val="sr-Latn-CS"/>
              </w:rPr>
              <w:t xml:space="preserve"> </w:t>
            </w:r>
            <w:r w:rsidRPr="002A6F4E">
              <w:rPr>
                <w:rFonts w:ascii="Arial" w:eastAsia="TimesNewRomanPSMT" w:hAnsi="Arial" w:cs="Arial"/>
                <w:lang w:val="en-US"/>
              </w:rPr>
              <w:t>i</w:t>
            </w:r>
            <w:r w:rsidRPr="002A6F4E">
              <w:rPr>
                <w:rFonts w:ascii="Arial" w:eastAsia="TimesNewRomanPSMT" w:hAnsi="Arial" w:cs="Arial"/>
                <w:lang w:val="sr-Latn-CS"/>
              </w:rPr>
              <w:t xml:space="preserve"> </w:t>
            </w:r>
            <w:r w:rsidRPr="002A6F4E">
              <w:rPr>
                <w:rFonts w:ascii="Arial" w:eastAsia="TimesNewRomanPSMT" w:hAnsi="Arial" w:cs="Arial"/>
                <w:lang w:val="en-US"/>
              </w:rPr>
              <w:t>pojedinaca</w:t>
            </w:r>
            <w:r w:rsidRPr="002A6F4E">
              <w:rPr>
                <w:rFonts w:ascii="Arial" w:eastAsia="TimesNewRomanPSMT" w:hAnsi="Arial" w:cs="Arial"/>
                <w:lang w:val="sr-Latn-CS"/>
              </w:rPr>
              <w:t>;</w:t>
            </w:r>
          </w:p>
          <w:p w14:paraId="314E77D9" w14:textId="77777777" w:rsidR="006C693A" w:rsidRPr="002A6F4E" w:rsidRDefault="006C693A" w:rsidP="00A23ED0">
            <w:pPr>
              <w:numPr>
                <w:ilvl w:val="0"/>
                <w:numId w:val="107"/>
              </w:numPr>
              <w:autoSpaceDE w:val="0"/>
              <w:autoSpaceDN w:val="0"/>
              <w:adjustRightInd w:val="0"/>
              <w:spacing w:line="360" w:lineRule="auto"/>
              <w:rPr>
                <w:rFonts w:ascii="Arial" w:eastAsia="TimesNewRomanPSMT" w:hAnsi="Arial" w:cs="Arial"/>
                <w:b w:val="0"/>
                <w:bCs w:val="0"/>
                <w:lang w:val="sr-Latn-CS"/>
              </w:rPr>
            </w:pPr>
            <w:r w:rsidRPr="002A6F4E">
              <w:rPr>
                <w:rFonts w:ascii="Arial" w:hAnsi="Arial" w:cs="Arial"/>
                <w:lang w:val="sr-Latn-RS"/>
              </w:rPr>
              <w:t>Unapređenje kućnog kompostiranja otpada i time smanjenja količina odloženog organskog otpada;</w:t>
            </w:r>
          </w:p>
          <w:p w14:paraId="2A588930" w14:textId="43EFE7E3" w:rsidR="006C693A" w:rsidRPr="002A6F4E" w:rsidRDefault="006C693A" w:rsidP="00A23ED0">
            <w:pPr>
              <w:numPr>
                <w:ilvl w:val="0"/>
                <w:numId w:val="107"/>
              </w:numPr>
              <w:autoSpaceDE w:val="0"/>
              <w:autoSpaceDN w:val="0"/>
              <w:adjustRightInd w:val="0"/>
              <w:spacing w:line="360" w:lineRule="auto"/>
              <w:rPr>
                <w:rFonts w:ascii="Arial" w:eastAsia="TimesNewRomanPSMT" w:hAnsi="Arial" w:cs="Arial"/>
                <w:b w:val="0"/>
                <w:bCs w:val="0"/>
                <w:lang w:val="sr-Latn-CS"/>
              </w:rPr>
            </w:pPr>
            <w:r w:rsidRPr="002A6F4E">
              <w:rPr>
                <w:rFonts w:ascii="Arial" w:hAnsi="Arial" w:cs="Arial"/>
                <w:lang w:val="en-US"/>
              </w:rPr>
              <w:lastRenderedPageBreak/>
              <w:t>Direktnom</w:t>
            </w:r>
            <w:r w:rsidRPr="002A6F4E">
              <w:rPr>
                <w:rFonts w:ascii="Arial" w:hAnsi="Arial" w:cs="Arial"/>
                <w:lang w:val="sr-Latn-CS"/>
              </w:rPr>
              <w:t xml:space="preserve"> </w:t>
            </w:r>
            <w:r w:rsidRPr="002A6F4E">
              <w:rPr>
                <w:rFonts w:ascii="Arial" w:hAnsi="Arial" w:cs="Arial"/>
                <w:lang w:val="en-US"/>
              </w:rPr>
              <w:t>komunikacijom</w:t>
            </w:r>
            <w:r w:rsidRPr="002A6F4E">
              <w:rPr>
                <w:rFonts w:ascii="Arial" w:hAnsi="Arial" w:cs="Arial"/>
                <w:lang w:val="sr-Latn-CS"/>
              </w:rPr>
              <w:t xml:space="preserve"> </w:t>
            </w:r>
            <w:r w:rsidRPr="002A6F4E">
              <w:rPr>
                <w:rFonts w:ascii="Arial" w:hAnsi="Arial" w:cs="Arial"/>
                <w:lang w:val="en-US"/>
              </w:rPr>
              <w:t>sa</w:t>
            </w:r>
            <w:r w:rsidRPr="002A6F4E">
              <w:rPr>
                <w:rFonts w:ascii="Arial" w:hAnsi="Arial" w:cs="Arial"/>
                <w:lang w:val="sr-Latn-CS"/>
              </w:rPr>
              <w:t xml:space="preserve"> </w:t>
            </w:r>
            <w:r w:rsidRPr="002A6F4E">
              <w:rPr>
                <w:rFonts w:ascii="Arial" w:hAnsi="Arial" w:cs="Arial"/>
                <w:lang w:val="en-US"/>
              </w:rPr>
              <w:t>gra</w:t>
            </w:r>
            <w:r w:rsidRPr="002A6F4E">
              <w:rPr>
                <w:rFonts w:ascii="Arial" w:hAnsi="Arial" w:cs="Arial"/>
                <w:lang w:val="sr-Latn-CS"/>
              </w:rPr>
              <w:t>đ</w:t>
            </w:r>
            <w:r w:rsidRPr="002A6F4E">
              <w:rPr>
                <w:rFonts w:ascii="Arial" w:hAnsi="Arial" w:cs="Arial"/>
                <w:lang w:val="en-US"/>
              </w:rPr>
              <w:t>anima</w:t>
            </w:r>
            <w:r w:rsidRPr="002A6F4E">
              <w:rPr>
                <w:rFonts w:ascii="Arial" w:hAnsi="Arial" w:cs="Arial"/>
                <w:lang w:val="sr-Latn-CS"/>
              </w:rPr>
              <w:t xml:space="preserve">, </w:t>
            </w:r>
            <w:r w:rsidRPr="002A6F4E">
              <w:rPr>
                <w:rFonts w:ascii="Arial" w:hAnsi="Arial" w:cs="Arial"/>
                <w:lang w:val="en-US"/>
              </w:rPr>
              <w:t>nabavkom</w:t>
            </w:r>
            <w:r w:rsidRPr="002A6F4E">
              <w:rPr>
                <w:rFonts w:ascii="Arial" w:hAnsi="Arial" w:cs="Arial"/>
                <w:lang w:val="sr-Latn-CS"/>
              </w:rPr>
              <w:t xml:space="preserve"> </w:t>
            </w:r>
            <w:r w:rsidRPr="002A6F4E">
              <w:rPr>
                <w:rFonts w:ascii="Arial" w:hAnsi="Arial" w:cs="Arial"/>
                <w:lang w:val="en-US"/>
              </w:rPr>
              <w:t>ili</w:t>
            </w:r>
            <w:r w:rsidRPr="002A6F4E">
              <w:rPr>
                <w:rFonts w:ascii="Arial" w:hAnsi="Arial" w:cs="Arial"/>
                <w:lang w:val="sr-Latn-CS"/>
              </w:rPr>
              <w:t xml:space="preserve"> </w:t>
            </w:r>
            <w:r w:rsidRPr="002A6F4E">
              <w:rPr>
                <w:rFonts w:ascii="Arial" w:hAnsi="Arial" w:cs="Arial"/>
                <w:lang w:val="en-US"/>
              </w:rPr>
              <w:t>izradom</w:t>
            </w:r>
            <w:r w:rsidRPr="002A6F4E">
              <w:rPr>
                <w:rFonts w:ascii="Arial" w:hAnsi="Arial" w:cs="Arial"/>
                <w:lang w:val="sr-Latn-CS"/>
              </w:rPr>
              <w:t xml:space="preserve"> </w:t>
            </w:r>
            <w:r w:rsidRPr="002A6F4E">
              <w:rPr>
                <w:rFonts w:ascii="Arial" w:hAnsi="Arial" w:cs="Arial"/>
                <w:lang w:val="en-US"/>
              </w:rPr>
              <w:t>kompostera</w:t>
            </w:r>
            <w:r w:rsidRPr="002A6F4E">
              <w:rPr>
                <w:rFonts w:ascii="Arial" w:hAnsi="Arial" w:cs="Arial"/>
                <w:lang w:val="sr-Latn-CS"/>
              </w:rPr>
              <w:t xml:space="preserve">, </w:t>
            </w:r>
            <w:r w:rsidRPr="002A6F4E">
              <w:rPr>
                <w:rFonts w:ascii="Arial" w:hAnsi="Arial" w:cs="Arial"/>
                <w:lang w:val="en-US"/>
              </w:rPr>
              <w:t>pokazivanjem</w:t>
            </w:r>
            <w:r w:rsidRPr="002A6F4E">
              <w:rPr>
                <w:rFonts w:ascii="Arial" w:hAnsi="Arial" w:cs="Arial"/>
                <w:lang w:val="sr-Latn-CS"/>
              </w:rPr>
              <w:t xml:space="preserve"> </w:t>
            </w:r>
            <w:r w:rsidRPr="002A6F4E">
              <w:rPr>
                <w:rFonts w:ascii="Arial" w:hAnsi="Arial" w:cs="Arial"/>
                <w:lang w:val="en-US"/>
              </w:rPr>
              <w:t>procesa</w:t>
            </w:r>
            <w:r w:rsidRPr="002A6F4E">
              <w:rPr>
                <w:rFonts w:ascii="Arial" w:hAnsi="Arial" w:cs="Arial"/>
                <w:lang w:val="sr-Latn-CS"/>
              </w:rPr>
              <w:t xml:space="preserve"> </w:t>
            </w:r>
            <w:r w:rsidRPr="002A6F4E">
              <w:rPr>
                <w:rFonts w:ascii="Arial" w:hAnsi="Arial" w:cs="Arial"/>
                <w:lang w:val="en-US"/>
              </w:rPr>
              <w:t>kompostiranja</w:t>
            </w:r>
            <w:r w:rsidRPr="002A6F4E">
              <w:rPr>
                <w:rFonts w:ascii="Arial" w:hAnsi="Arial" w:cs="Arial"/>
                <w:lang w:val="sr-Latn-CS"/>
              </w:rPr>
              <w:t xml:space="preserve"> </w:t>
            </w:r>
            <w:r w:rsidRPr="002A6F4E">
              <w:rPr>
                <w:rFonts w:ascii="Arial" w:hAnsi="Arial" w:cs="Arial"/>
                <w:lang w:val="en-US"/>
              </w:rPr>
              <w:t>i</w:t>
            </w:r>
            <w:r w:rsidRPr="002A6F4E">
              <w:rPr>
                <w:rFonts w:ascii="Arial" w:hAnsi="Arial" w:cs="Arial"/>
                <w:lang w:val="sr-Latn-CS"/>
              </w:rPr>
              <w:t xml:space="preserve"> </w:t>
            </w:r>
            <w:r w:rsidRPr="002A6F4E">
              <w:rPr>
                <w:rFonts w:ascii="Arial" w:hAnsi="Arial" w:cs="Arial"/>
                <w:lang w:val="en-US"/>
              </w:rPr>
              <w:t>informisanjem</w:t>
            </w:r>
            <w:r w:rsidRPr="002A6F4E">
              <w:rPr>
                <w:rFonts w:ascii="Arial" w:hAnsi="Arial" w:cs="Arial"/>
                <w:lang w:val="sr-Latn-CS"/>
              </w:rPr>
              <w:t xml:space="preserve"> </w:t>
            </w:r>
            <w:r w:rsidRPr="002A6F4E">
              <w:rPr>
                <w:rFonts w:ascii="Arial" w:hAnsi="Arial" w:cs="Arial"/>
                <w:lang w:val="en-US"/>
              </w:rPr>
              <w:t>o</w:t>
            </w:r>
            <w:r w:rsidRPr="002A6F4E">
              <w:rPr>
                <w:rFonts w:ascii="Arial" w:hAnsi="Arial" w:cs="Arial"/>
                <w:lang w:val="sr-Latn-CS"/>
              </w:rPr>
              <w:t xml:space="preserve"> </w:t>
            </w:r>
            <w:r w:rsidRPr="002A6F4E">
              <w:rPr>
                <w:rFonts w:ascii="Arial" w:hAnsi="Arial" w:cs="Arial"/>
                <w:lang w:val="en-US"/>
              </w:rPr>
              <w:t>na</w:t>
            </w:r>
            <w:r w:rsidRPr="002A6F4E">
              <w:rPr>
                <w:rFonts w:ascii="Arial" w:hAnsi="Arial" w:cs="Arial"/>
                <w:lang w:val="sr-Latn-CS"/>
              </w:rPr>
              <w:t>č</w:t>
            </w:r>
            <w:r w:rsidRPr="002A6F4E">
              <w:rPr>
                <w:rFonts w:ascii="Arial" w:hAnsi="Arial" w:cs="Arial"/>
                <w:lang w:val="en-US"/>
              </w:rPr>
              <w:t>inu</w:t>
            </w:r>
            <w:r w:rsidRPr="002A6F4E">
              <w:rPr>
                <w:rFonts w:ascii="Arial" w:hAnsi="Arial" w:cs="Arial"/>
                <w:lang w:val="sr-Latn-CS"/>
              </w:rPr>
              <w:t xml:space="preserve"> </w:t>
            </w:r>
            <w:r w:rsidRPr="002A6F4E">
              <w:rPr>
                <w:rFonts w:ascii="Arial" w:hAnsi="Arial" w:cs="Arial"/>
                <w:lang w:val="en-US"/>
              </w:rPr>
              <w:t>upotrebe</w:t>
            </w:r>
            <w:r w:rsidRPr="002A6F4E">
              <w:rPr>
                <w:rFonts w:ascii="Arial" w:hAnsi="Arial" w:cs="Arial"/>
                <w:lang w:val="sr-Latn-CS"/>
              </w:rPr>
              <w:t xml:space="preserve"> </w:t>
            </w:r>
            <w:r w:rsidRPr="002A6F4E">
              <w:rPr>
                <w:rFonts w:ascii="Arial" w:hAnsi="Arial" w:cs="Arial"/>
                <w:lang w:val="en-US"/>
              </w:rPr>
              <w:t>komposta</w:t>
            </w:r>
            <w:r w:rsidR="0040427F" w:rsidRPr="003D7619">
              <w:rPr>
                <w:rFonts w:ascii="Arial" w:hAnsi="Arial" w:cs="Arial"/>
                <w:lang w:val="sr-Latn-CS"/>
              </w:rPr>
              <w:t xml:space="preserve"> </w:t>
            </w:r>
            <w:r w:rsidRPr="002A6F4E">
              <w:rPr>
                <w:rFonts w:ascii="Arial" w:hAnsi="Arial" w:cs="Arial"/>
                <w:lang w:val="sr-Latn-CS"/>
              </w:rPr>
              <w:t>-đ</w:t>
            </w:r>
            <w:r w:rsidRPr="002A6F4E">
              <w:rPr>
                <w:rFonts w:ascii="Arial" w:hAnsi="Arial" w:cs="Arial"/>
                <w:lang w:val="en-US"/>
              </w:rPr>
              <w:t>ubriva</w:t>
            </w:r>
            <w:r w:rsidRPr="002A6F4E">
              <w:rPr>
                <w:rFonts w:ascii="Arial" w:hAnsi="Arial" w:cs="Arial"/>
                <w:lang w:val="sr-Latn-CS"/>
              </w:rPr>
              <w:t xml:space="preserve"> </w:t>
            </w:r>
            <w:r w:rsidRPr="002A6F4E">
              <w:rPr>
                <w:rFonts w:ascii="Arial" w:hAnsi="Arial" w:cs="Arial"/>
                <w:lang w:val="en-US"/>
              </w:rPr>
              <w:t>oja</w:t>
            </w:r>
            <w:r w:rsidRPr="002A6F4E">
              <w:rPr>
                <w:rFonts w:ascii="Arial" w:hAnsi="Arial" w:cs="Arial"/>
                <w:lang w:val="sr-Latn-CS"/>
              </w:rPr>
              <w:t>č</w:t>
            </w:r>
            <w:r w:rsidRPr="002A6F4E">
              <w:rPr>
                <w:rFonts w:ascii="Arial" w:hAnsi="Arial" w:cs="Arial"/>
                <w:lang w:val="en-US"/>
              </w:rPr>
              <w:t>a</w:t>
            </w:r>
            <w:r w:rsidRPr="002A6F4E">
              <w:rPr>
                <w:rFonts w:ascii="Arial" w:hAnsi="Arial" w:cs="Arial"/>
                <w:lang w:val="sr-Latn-CS"/>
              </w:rPr>
              <w:t>ć</w:t>
            </w:r>
            <w:r w:rsidRPr="002A6F4E">
              <w:rPr>
                <w:rFonts w:ascii="Arial" w:hAnsi="Arial" w:cs="Arial"/>
                <w:lang w:val="en-US"/>
              </w:rPr>
              <w:t>e</w:t>
            </w:r>
            <w:r w:rsidRPr="002A6F4E">
              <w:rPr>
                <w:rFonts w:ascii="Arial" w:hAnsi="Arial" w:cs="Arial"/>
                <w:lang w:val="sr-Latn-CS"/>
              </w:rPr>
              <w:t xml:space="preserve"> </w:t>
            </w:r>
            <w:r w:rsidRPr="002A6F4E">
              <w:rPr>
                <w:rFonts w:ascii="Arial" w:hAnsi="Arial" w:cs="Arial"/>
                <w:lang w:val="en-US"/>
              </w:rPr>
              <w:t>se</w:t>
            </w:r>
            <w:r w:rsidRPr="002A6F4E">
              <w:rPr>
                <w:rFonts w:ascii="Arial" w:hAnsi="Arial" w:cs="Arial"/>
                <w:lang w:val="sr-Latn-CS"/>
              </w:rPr>
              <w:t xml:space="preserve"> </w:t>
            </w:r>
            <w:r w:rsidRPr="002A6F4E">
              <w:rPr>
                <w:rFonts w:ascii="Arial" w:hAnsi="Arial" w:cs="Arial"/>
                <w:lang w:val="en-US"/>
              </w:rPr>
              <w:t>gra</w:t>
            </w:r>
            <w:r w:rsidRPr="002A6F4E">
              <w:rPr>
                <w:rFonts w:ascii="Arial" w:hAnsi="Arial" w:cs="Arial"/>
                <w:lang w:val="sr-Latn-CS"/>
              </w:rPr>
              <w:t>đ</w:t>
            </w:r>
            <w:r w:rsidRPr="002A6F4E">
              <w:rPr>
                <w:rFonts w:ascii="Arial" w:hAnsi="Arial" w:cs="Arial"/>
                <w:lang w:val="en-US"/>
              </w:rPr>
              <w:t>anska</w:t>
            </w:r>
            <w:r w:rsidRPr="002A6F4E">
              <w:rPr>
                <w:rFonts w:ascii="Arial" w:hAnsi="Arial" w:cs="Arial"/>
                <w:lang w:val="sr-Latn-CS"/>
              </w:rPr>
              <w:t xml:space="preserve"> </w:t>
            </w:r>
            <w:r w:rsidRPr="002A6F4E">
              <w:rPr>
                <w:rFonts w:ascii="Arial" w:hAnsi="Arial" w:cs="Arial"/>
                <w:lang w:val="en-US"/>
              </w:rPr>
              <w:t>svijest</w:t>
            </w:r>
            <w:r w:rsidRPr="002A6F4E">
              <w:rPr>
                <w:rFonts w:ascii="Arial" w:hAnsi="Arial" w:cs="Arial"/>
                <w:lang w:val="sr-Latn-CS"/>
              </w:rPr>
              <w:t xml:space="preserve"> </w:t>
            </w:r>
            <w:r w:rsidRPr="002A6F4E">
              <w:rPr>
                <w:rFonts w:ascii="Arial" w:hAnsi="Arial" w:cs="Arial"/>
                <w:lang w:val="en-US"/>
              </w:rPr>
              <w:t>da</w:t>
            </w:r>
            <w:r w:rsidRPr="002A6F4E">
              <w:rPr>
                <w:rFonts w:ascii="Arial" w:hAnsi="Arial" w:cs="Arial"/>
                <w:lang w:val="sr-Latn-CS"/>
              </w:rPr>
              <w:t xml:space="preserve"> </w:t>
            </w:r>
            <w:r w:rsidRPr="002A6F4E">
              <w:rPr>
                <w:rFonts w:ascii="Arial" w:hAnsi="Arial" w:cs="Arial"/>
                <w:lang w:val="en-US"/>
              </w:rPr>
              <w:t>od</w:t>
            </w:r>
            <w:r w:rsidRPr="002A6F4E">
              <w:rPr>
                <w:rFonts w:ascii="Arial" w:hAnsi="Arial" w:cs="Arial"/>
                <w:lang w:val="sr-Latn-CS"/>
              </w:rPr>
              <w:t xml:space="preserve"> </w:t>
            </w:r>
            <w:r w:rsidRPr="002A6F4E">
              <w:rPr>
                <w:rFonts w:ascii="Arial" w:hAnsi="Arial" w:cs="Arial"/>
                <w:lang w:val="en-US"/>
              </w:rPr>
              <w:t>otpada</w:t>
            </w:r>
            <w:r w:rsidRPr="002A6F4E">
              <w:rPr>
                <w:rFonts w:ascii="Arial" w:hAnsi="Arial" w:cs="Arial"/>
                <w:lang w:val="sr-Latn-CS"/>
              </w:rPr>
              <w:t xml:space="preserve"> </w:t>
            </w:r>
            <w:r w:rsidRPr="002A6F4E">
              <w:rPr>
                <w:rFonts w:ascii="Arial" w:hAnsi="Arial" w:cs="Arial"/>
                <w:lang w:val="en-US"/>
              </w:rPr>
              <w:t>mo</w:t>
            </w:r>
            <w:r w:rsidRPr="002A6F4E">
              <w:rPr>
                <w:rFonts w:ascii="Arial" w:hAnsi="Arial" w:cs="Arial"/>
                <w:lang w:val="sr-Latn-CS"/>
              </w:rPr>
              <w:t>ž</w:t>
            </w:r>
            <w:r w:rsidRPr="002A6F4E">
              <w:rPr>
                <w:rFonts w:ascii="Arial" w:hAnsi="Arial" w:cs="Arial"/>
                <w:lang w:val="en-US"/>
              </w:rPr>
              <w:t>emo</w:t>
            </w:r>
            <w:r w:rsidRPr="002A6F4E">
              <w:rPr>
                <w:rFonts w:ascii="Arial" w:hAnsi="Arial" w:cs="Arial"/>
                <w:lang w:val="sr-Latn-CS"/>
              </w:rPr>
              <w:t xml:space="preserve"> </w:t>
            </w:r>
            <w:r w:rsidRPr="002A6F4E">
              <w:rPr>
                <w:rFonts w:ascii="Arial" w:hAnsi="Arial" w:cs="Arial"/>
                <w:lang w:val="en-US"/>
              </w:rPr>
              <w:t>ostvariti</w:t>
            </w:r>
            <w:r w:rsidRPr="002A6F4E">
              <w:rPr>
                <w:rFonts w:ascii="Arial" w:hAnsi="Arial" w:cs="Arial"/>
                <w:lang w:val="sr-Latn-CS"/>
              </w:rPr>
              <w:t xml:space="preserve"> </w:t>
            </w:r>
            <w:r w:rsidRPr="002A6F4E">
              <w:rPr>
                <w:rFonts w:ascii="Arial" w:hAnsi="Arial" w:cs="Arial"/>
                <w:lang w:val="en-US"/>
              </w:rPr>
              <w:t>korist</w:t>
            </w:r>
            <w:r w:rsidRPr="002A6F4E">
              <w:rPr>
                <w:rFonts w:ascii="Arial" w:hAnsi="Arial" w:cs="Arial"/>
                <w:lang w:val="sr-Latn-CS"/>
              </w:rPr>
              <w:t>;</w:t>
            </w:r>
          </w:p>
          <w:p w14:paraId="2193C99C" w14:textId="33EB71DE" w:rsidR="006C693A" w:rsidRPr="002A6F4E" w:rsidRDefault="006C693A" w:rsidP="00A23ED0">
            <w:pPr>
              <w:numPr>
                <w:ilvl w:val="0"/>
                <w:numId w:val="107"/>
              </w:numPr>
              <w:autoSpaceDE w:val="0"/>
              <w:autoSpaceDN w:val="0"/>
              <w:adjustRightInd w:val="0"/>
              <w:spacing w:line="360" w:lineRule="auto"/>
              <w:rPr>
                <w:rFonts w:ascii="Arial" w:eastAsia="TimesNewRomanPSMT" w:hAnsi="Arial" w:cs="Arial"/>
                <w:b w:val="0"/>
                <w:bCs w:val="0"/>
                <w:lang w:val="en-US"/>
              </w:rPr>
            </w:pPr>
            <w:r w:rsidRPr="002A6F4E">
              <w:rPr>
                <w:rFonts w:ascii="Arial" w:hAnsi="Arial" w:cs="Arial"/>
                <w:lang w:val="en-US"/>
              </w:rPr>
              <w:t xml:space="preserve">Direktan marketing, </w:t>
            </w:r>
            <w:r w:rsidRPr="002A6F4E">
              <w:rPr>
                <w:rFonts w:ascii="Arial" w:eastAsia="TimesNewRomanPSMT" w:hAnsi="Arial" w:cs="Arial"/>
                <w:lang w:val="en-US"/>
              </w:rPr>
              <w:t xml:space="preserve">propaganda </w:t>
            </w:r>
            <w:r w:rsidR="003E3DB0">
              <w:rPr>
                <w:rFonts w:ascii="Arial" w:eastAsia="TimesNewRomanPSMT" w:hAnsi="Arial" w:cs="Arial"/>
                <w:lang w:val="en-US"/>
              </w:rPr>
              <w:t>“</w:t>
            </w:r>
            <w:r w:rsidRPr="002A6F4E">
              <w:rPr>
                <w:rFonts w:ascii="Arial" w:eastAsia="TimesNewRomanPSMT" w:hAnsi="Arial" w:cs="Arial"/>
                <w:lang w:val="en-US"/>
              </w:rPr>
              <w:t>od vrata do vrata</w:t>
            </w:r>
            <w:r w:rsidR="003E3DB0">
              <w:rPr>
                <w:rFonts w:ascii="Arial" w:eastAsia="TimesNewRomanPSMT" w:hAnsi="Arial" w:cs="Arial"/>
                <w:lang w:val="en-US"/>
              </w:rPr>
              <w:t>”</w:t>
            </w:r>
            <w:r w:rsidRPr="002A6F4E">
              <w:rPr>
                <w:rFonts w:ascii="Arial" w:eastAsia="TimesNewRomanPSMT" w:hAnsi="Arial" w:cs="Arial"/>
                <w:lang w:val="en-US"/>
              </w:rPr>
              <w:t>, distribucija letaka/informacija, izložbe i događaji</w:t>
            </w:r>
            <w:r w:rsidR="003E3DB0">
              <w:rPr>
                <w:rFonts w:ascii="Arial" w:eastAsia="TimesNewRomanPSMT" w:hAnsi="Arial" w:cs="Arial"/>
                <w:lang w:val="en-US"/>
              </w:rPr>
              <w:t>;</w:t>
            </w:r>
          </w:p>
          <w:p w14:paraId="3DAA30FA" w14:textId="3541B2C0" w:rsidR="006C693A" w:rsidRPr="002A6F4E" w:rsidRDefault="006C693A" w:rsidP="00A23ED0">
            <w:pPr>
              <w:numPr>
                <w:ilvl w:val="0"/>
                <w:numId w:val="107"/>
              </w:numPr>
              <w:autoSpaceDE w:val="0"/>
              <w:autoSpaceDN w:val="0"/>
              <w:adjustRightInd w:val="0"/>
              <w:spacing w:line="480" w:lineRule="auto"/>
              <w:rPr>
                <w:rFonts w:ascii="Arial" w:eastAsia="TimesNewRomanPSMT" w:hAnsi="Arial" w:cs="Arial"/>
                <w:b w:val="0"/>
                <w:bCs w:val="0"/>
                <w:lang w:val="en-US"/>
              </w:rPr>
            </w:pPr>
            <w:r w:rsidRPr="002A6F4E">
              <w:rPr>
                <w:rFonts w:ascii="Arial" w:hAnsi="Arial" w:cs="Arial"/>
                <w:lang w:val="en-US"/>
              </w:rPr>
              <w:t>Angažovanje zajednice; p</w:t>
            </w:r>
            <w:r w:rsidRPr="002A6F4E">
              <w:rPr>
                <w:rFonts w:ascii="Arial" w:eastAsia="TimesNewRomanPSMT" w:hAnsi="Arial" w:cs="Arial"/>
                <w:lang w:val="en-US"/>
              </w:rPr>
              <w:t>rogram za škole, podrška lokalnim grupama, saradnja sa organizacijama trećeg sektora, seminari i kampanje</w:t>
            </w:r>
            <w:r w:rsidR="003E3DB0">
              <w:rPr>
                <w:rFonts w:ascii="Arial" w:eastAsia="TimesNewRomanPSMT" w:hAnsi="Arial" w:cs="Arial"/>
                <w:lang w:val="en-US"/>
              </w:rPr>
              <w:t xml:space="preserve"> “</w:t>
            </w:r>
            <w:r w:rsidRPr="002A6F4E">
              <w:rPr>
                <w:rFonts w:ascii="Arial" w:eastAsia="TimesNewRomanPSMT" w:hAnsi="Arial" w:cs="Arial"/>
                <w:lang w:val="en-US"/>
              </w:rPr>
              <w:t>od vrata do vrata</w:t>
            </w:r>
            <w:r w:rsidR="003E3DB0">
              <w:rPr>
                <w:rFonts w:ascii="Arial" w:eastAsia="TimesNewRomanPSMT" w:hAnsi="Arial" w:cs="Arial"/>
                <w:lang w:val="en-US"/>
              </w:rPr>
              <w:t>”;</w:t>
            </w:r>
          </w:p>
          <w:p w14:paraId="4525AF5A" w14:textId="77777777" w:rsidR="006C693A" w:rsidRPr="002A6F4E" w:rsidRDefault="006C693A" w:rsidP="00A23ED0">
            <w:pPr>
              <w:numPr>
                <w:ilvl w:val="0"/>
                <w:numId w:val="107"/>
              </w:numPr>
              <w:autoSpaceDE w:val="0"/>
              <w:autoSpaceDN w:val="0"/>
              <w:adjustRightInd w:val="0"/>
              <w:spacing w:line="360" w:lineRule="auto"/>
              <w:rPr>
                <w:rFonts w:ascii="Arial" w:eastAsia="TimesNewRomanPSMT" w:hAnsi="Arial" w:cs="Arial"/>
                <w:b w:val="0"/>
                <w:bCs w:val="0"/>
                <w:lang w:val="en-US"/>
              </w:rPr>
            </w:pPr>
            <w:r w:rsidRPr="002A6F4E">
              <w:rPr>
                <w:rFonts w:ascii="Arial" w:hAnsi="Arial" w:cs="Arial"/>
                <w:lang w:val="en-US"/>
              </w:rPr>
              <w:t>Realizacijom kućnog kompostiranja otpada u dvorištima pružiće potrebne informacije građanima na koji način se može voditi ovaj proces u kućnim uslovima i kakvi su njegovi efekti;</w:t>
            </w:r>
          </w:p>
          <w:p w14:paraId="51C4E2F1" w14:textId="3655BDAF" w:rsidR="006C693A" w:rsidRPr="002A6F4E" w:rsidRDefault="006C693A" w:rsidP="00A23ED0">
            <w:pPr>
              <w:numPr>
                <w:ilvl w:val="0"/>
                <w:numId w:val="107"/>
              </w:numPr>
              <w:autoSpaceDE w:val="0"/>
              <w:autoSpaceDN w:val="0"/>
              <w:adjustRightInd w:val="0"/>
              <w:spacing w:line="360" w:lineRule="auto"/>
              <w:rPr>
                <w:rFonts w:ascii="Arial" w:eastAsia="TimesNewRomanPSMT" w:hAnsi="Arial" w:cs="Arial"/>
                <w:b w:val="0"/>
                <w:bCs w:val="0"/>
                <w:lang w:val="en-US"/>
              </w:rPr>
            </w:pPr>
            <w:r w:rsidRPr="002A6F4E">
              <w:rPr>
                <w:rFonts w:ascii="Arial" w:hAnsi="Arial" w:cs="Arial"/>
                <w:lang w:val="en-US"/>
              </w:rPr>
              <w:t>Sklopiti kratkorčne ili dugoročne ugovore sa privrednim društvima koja otkupljuju sekundarne sirovine i koja posjeduju adekvatne dozvole za bavljenje navedenom d</w:t>
            </w:r>
            <w:r w:rsidR="0040427F">
              <w:rPr>
                <w:rFonts w:ascii="Arial" w:hAnsi="Arial" w:cs="Arial"/>
                <w:lang w:val="en-US"/>
              </w:rPr>
              <w:t>j</w:t>
            </w:r>
            <w:r w:rsidRPr="002A6F4E">
              <w:rPr>
                <w:rFonts w:ascii="Arial" w:hAnsi="Arial" w:cs="Arial"/>
                <w:lang w:val="en-US"/>
              </w:rPr>
              <w:t xml:space="preserve">elatnosti; </w:t>
            </w:r>
          </w:p>
          <w:p w14:paraId="094309D3" w14:textId="659FD79D" w:rsidR="006C693A" w:rsidRPr="002A6F4E" w:rsidRDefault="006C693A" w:rsidP="00A23ED0">
            <w:pPr>
              <w:numPr>
                <w:ilvl w:val="0"/>
                <w:numId w:val="107"/>
              </w:numPr>
              <w:autoSpaceDE w:val="0"/>
              <w:autoSpaceDN w:val="0"/>
              <w:adjustRightInd w:val="0"/>
              <w:spacing w:line="360" w:lineRule="auto"/>
              <w:rPr>
                <w:rFonts w:ascii="Arial" w:eastAsia="TimesNewRomanPSMT" w:hAnsi="Arial" w:cs="Arial"/>
                <w:b w:val="0"/>
                <w:bCs w:val="0"/>
                <w:lang w:val="en-US"/>
              </w:rPr>
            </w:pPr>
            <w:r w:rsidRPr="002A6F4E">
              <w:rPr>
                <w:rFonts w:ascii="Arial" w:hAnsi="Arial" w:cs="Arial"/>
                <w:lang w:val="en-US"/>
              </w:rPr>
              <w:t xml:space="preserve">Minimizirati generisanje opasnog otpada čime se smanjuju troškovi njegovog </w:t>
            </w:r>
            <w:r w:rsidR="0040427F">
              <w:rPr>
                <w:rFonts w:ascii="Arial" w:hAnsi="Arial" w:cs="Arial"/>
                <w:lang w:val="en-US"/>
              </w:rPr>
              <w:t>odstranjivanja</w:t>
            </w:r>
            <w:r w:rsidRPr="002A6F4E">
              <w:rPr>
                <w:rFonts w:ascii="Arial" w:hAnsi="Arial" w:cs="Arial"/>
                <w:lang w:val="en-US"/>
              </w:rPr>
              <w:t>;</w:t>
            </w:r>
          </w:p>
          <w:p w14:paraId="6BDCA80F" w14:textId="3D1AE10C" w:rsidR="006C693A" w:rsidRPr="002A6F4E" w:rsidRDefault="006C693A" w:rsidP="00A23ED0">
            <w:pPr>
              <w:numPr>
                <w:ilvl w:val="0"/>
                <w:numId w:val="107"/>
              </w:numPr>
              <w:autoSpaceDE w:val="0"/>
              <w:autoSpaceDN w:val="0"/>
              <w:adjustRightInd w:val="0"/>
              <w:spacing w:line="360" w:lineRule="auto"/>
              <w:rPr>
                <w:rFonts w:ascii="Arial" w:eastAsia="TimesNewRomanPSMT" w:hAnsi="Arial" w:cs="Arial"/>
                <w:b w:val="0"/>
                <w:bCs w:val="0"/>
                <w:lang w:val="en-US"/>
              </w:rPr>
            </w:pPr>
            <w:r w:rsidRPr="002A6F4E">
              <w:rPr>
                <w:rFonts w:ascii="Arial" w:hAnsi="Arial" w:cs="Arial"/>
                <w:lang w:val="en-US"/>
              </w:rPr>
              <w:t>Podsticati mjere koje se preduzimaju radi spr</w:t>
            </w:r>
            <w:r w:rsidR="0040427F">
              <w:rPr>
                <w:rFonts w:ascii="Arial" w:hAnsi="Arial" w:cs="Arial"/>
                <w:lang w:val="en-US"/>
              </w:rPr>
              <w:t>j</w:t>
            </w:r>
            <w:r w:rsidRPr="002A6F4E">
              <w:rPr>
                <w:rFonts w:ascii="Arial" w:hAnsi="Arial" w:cs="Arial"/>
                <w:lang w:val="en-US"/>
              </w:rPr>
              <w:t xml:space="preserve">ečavanja </w:t>
            </w:r>
            <w:r w:rsidR="0079476A">
              <w:rPr>
                <w:rFonts w:ascii="Arial" w:hAnsi="Arial" w:cs="Arial"/>
                <w:lang w:val="en-US"/>
              </w:rPr>
              <w:t>nastanka</w:t>
            </w:r>
            <w:r w:rsidRPr="002A6F4E">
              <w:rPr>
                <w:rFonts w:ascii="Arial" w:hAnsi="Arial" w:cs="Arial"/>
                <w:lang w:val="en-US"/>
              </w:rPr>
              <w:t xml:space="preserve"> otpada, posebno opasnog otpada; </w:t>
            </w:r>
          </w:p>
          <w:p w14:paraId="0B284170" w14:textId="77777777" w:rsidR="006C693A" w:rsidRPr="002A6F4E" w:rsidRDefault="006C693A" w:rsidP="00A23ED0">
            <w:pPr>
              <w:numPr>
                <w:ilvl w:val="0"/>
                <w:numId w:val="107"/>
              </w:numPr>
              <w:autoSpaceDE w:val="0"/>
              <w:autoSpaceDN w:val="0"/>
              <w:adjustRightInd w:val="0"/>
              <w:spacing w:line="360" w:lineRule="auto"/>
              <w:rPr>
                <w:rFonts w:ascii="Arial" w:eastAsia="TimesNewRomanPSMT" w:hAnsi="Arial" w:cs="Arial"/>
                <w:b w:val="0"/>
                <w:bCs w:val="0"/>
                <w:lang w:val="en-US"/>
              </w:rPr>
            </w:pPr>
            <w:r w:rsidRPr="002A6F4E">
              <w:rPr>
                <w:rFonts w:ascii="Arial" w:hAnsi="Arial" w:cs="Arial"/>
                <w:lang w:val="en-US"/>
              </w:rPr>
              <w:t>Odvajanje i sortiranje otpada, posebno opasnog od drugih vrsta otpada, kao i otpad koji će se ponovo koristiti;</w:t>
            </w:r>
          </w:p>
          <w:p w14:paraId="22630E13" w14:textId="15A3323C" w:rsidR="006C693A" w:rsidRPr="002A6F4E" w:rsidRDefault="006C693A" w:rsidP="00A23ED0">
            <w:pPr>
              <w:numPr>
                <w:ilvl w:val="0"/>
                <w:numId w:val="107"/>
              </w:numPr>
              <w:autoSpaceDE w:val="0"/>
              <w:autoSpaceDN w:val="0"/>
              <w:adjustRightInd w:val="0"/>
              <w:spacing w:line="360" w:lineRule="auto"/>
              <w:rPr>
                <w:rFonts w:ascii="Arial" w:eastAsia="TimesNewRomanPSMT" w:hAnsi="Arial" w:cs="Arial"/>
                <w:b w:val="0"/>
                <w:bCs w:val="0"/>
                <w:lang w:val="en-US"/>
              </w:rPr>
            </w:pPr>
            <w:r w:rsidRPr="002A6F4E">
              <w:rPr>
                <w:rFonts w:ascii="Arial" w:hAnsi="Arial" w:cs="Arial"/>
                <w:lang w:val="sr-Latn-ME"/>
              </w:rPr>
              <w:t>Smanjenje organskog otpada što se može postići kućnim kompostiranjem otpada; kompostiranjem organskog otpada dobija se kompost koji se može koristiti kao đubrivo;</w:t>
            </w:r>
          </w:p>
        </w:tc>
      </w:tr>
      <w:tr w:rsidR="006C693A" w:rsidRPr="002A6F4E" w14:paraId="3B452B69" w14:textId="77777777" w:rsidTr="00695794">
        <w:trPr>
          <w:jc w:val="center"/>
        </w:trPr>
        <w:tc>
          <w:tcPr>
            <w:cnfStyle w:val="001000000000" w:firstRow="0" w:lastRow="0" w:firstColumn="1" w:lastColumn="0" w:oddVBand="0" w:evenVBand="0" w:oddHBand="0" w:evenHBand="0" w:firstRowFirstColumn="0" w:firstRowLastColumn="0" w:lastRowFirstColumn="0" w:lastRowLastColumn="0"/>
            <w:tcW w:w="9350" w:type="dxa"/>
          </w:tcPr>
          <w:p w14:paraId="56D81908" w14:textId="77777777" w:rsidR="006C693A" w:rsidRPr="002A6F4E" w:rsidRDefault="006C693A" w:rsidP="00FE289C">
            <w:pPr>
              <w:spacing w:line="360" w:lineRule="auto"/>
              <w:rPr>
                <w:rFonts w:ascii="Arial" w:hAnsi="Arial" w:cs="Arial"/>
                <w:b w:val="0"/>
                <w:bCs w:val="0"/>
                <w:lang w:val="en-US"/>
              </w:rPr>
            </w:pPr>
            <w:r w:rsidRPr="002A6F4E">
              <w:rPr>
                <w:rFonts w:ascii="Arial" w:hAnsi="Arial" w:cs="Arial"/>
                <w:color w:val="C00000"/>
                <w:highlight w:val="lightGray"/>
                <w:lang w:val="en-US"/>
              </w:rPr>
              <w:lastRenderedPageBreak/>
              <w:t>P   R   I  J   E  T  NJ   E</w:t>
            </w:r>
          </w:p>
        </w:tc>
      </w:tr>
      <w:tr w:rsidR="006C693A" w:rsidRPr="0014164F" w14:paraId="753C9D97" w14:textId="77777777" w:rsidTr="00695794">
        <w:trPr>
          <w:jc w:val="center"/>
        </w:trPr>
        <w:tc>
          <w:tcPr>
            <w:cnfStyle w:val="001000000000" w:firstRow="0" w:lastRow="0" w:firstColumn="1" w:lastColumn="0" w:oddVBand="0" w:evenVBand="0" w:oddHBand="0" w:evenHBand="0" w:firstRowFirstColumn="0" w:firstRowLastColumn="0" w:lastRowFirstColumn="0" w:lastRowLastColumn="0"/>
            <w:tcW w:w="9350" w:type="dxa"/>
            <w:shd w:val="clear" w:color="auto" w:fill="D9E2F3"/>
          </w:tcPr>
          <w:p w14:paraId="679F3D60" w14:textId="290F828F" w:rsidR="006C693A" w:rsidRPr="002A6F4E" w:rsidRDefault="006C693A" w:rsidP="00A23ED0">
            <w:pPr>
              <w:numPr>
                <w:ilvl w:val="0"/>
                <w:numId w:val="108"/>
              </w:numPr>
              <w:spacing w:line="360" w:lineRule="auto"/>
              <w:contextualSpacing/>
              <w:rPr>
                <w:rFonts w:ascii="Arial" w:hAnsi="Arial" w:cs="Arial"/>
                <w:b w:val="0"/>
                <w:bCs w:val="0"/>
                <w:lang w:val="en-US"/>
              </w:rPr>
            </w:pPr>
            <w:r w:rsidRPr="002A6F4E">
              <w:rPr>
                <w:rFonts w:ascii="Arial" w:hAnsi="Arial" w:cs="Arial"/>
                <w:lang w:val="en-US"/>
              </w:rPr>
              <w:t xml:space="preserve">Nedovoljno uvažavanje </w:t>
            </w:r>
            <w:r w:rsidR="006156A7">
              <w:rPr>
                <w:rFonts w:ascii="Arial" w:hAnsi="Arial" w:cs="Arial"/>
                <w:lang w:val="en-US"/>
              </w:rPr>
              <w:t xml:space="preserve">i </w:t>
            </w:r>
            <w:r w:rsidRPr="002A6F4E">
              <w:rPr>
                <w:rFonts w:ascii="Arial" w:hAnsi="Arial" w:cs="Arial"/>
                <w:lang w:val="en-US"/>
              </w:rPr>
              <w:t>istrajnost na</w:t>
            </w:r>
            <w:r w:rsidR="006156A7">
              <w:rPr>
                <w:rFonts w:ascii="Arial" w:hAnsi="Arial" w:cs="Arial"/>
                <w:lang w:val="en-US"/>
              </w:rPr>
              <w:t>d</w:t>
            </w:r>
            <w:r w:rsidRPr="002A6F4E">
              <w:rPr>
                <w:rFonts w:ascii="Arial" w:hAnsi="Arial" w:cs="Arial"/>
                <w:lang w:val="en-US"/>
              </w:rPr>
              <w:t>ležnih organa u pogledu adekvatne primjene  zakonske regulative iz oblastu upravljanja otpadom;</w:t>
            </w:r>
          </w:p>
          <w:p w14:paraId="63026ABB" w14:textId="77777777" w:rsidR="006C693A" w:rsidRPr="002A6F4E" w:rsidRDefault="006C693A" w:rsidP="00A23ED0">
            <w:pPr>
              <w:numPr>
                <w:ilvl w:val="0"/>
                <w:numId w:val="108"/>
              </w:numPr>
              <w:spacing w:line="360" w:lineRule="auto"/>
              <w:contextualSpacing/>
              <w:rPr>
                <w:rFonts w:ascii="Arial" w:hAnsi="Arial" w:cs="Arial"/>
                <w:b w:val="0"/>
                <w:bCs w:val="0"/>
                <w:lang w:val="en-US"/>
              </w:rPr>
            </w:pPr>
            <w:r w:rsidRPr="002A6F4E">
              <w:rPr>
                <w:rFonts w:ascii="Arial" w:hAnsi="Arial" w:cs="Arial"/>
                <w:lang w:val="en-US"/>
              </w:rPr>
              <w:t>Ne pridržavanje rješenja predviđenih DPUO;</w:t>
            </w:r>
          </w:p>
          <w:p w14:paraId="6EC5867C" w14:textId="77777777" w:rsidR="006C693A" w:rsidRPr="002A6F4E" w:rsidRDefault="006C693A" w:rsidP="00A23ED0">
            <w:pPr>
              <w:numPr>
                <w:ilvl w:val="0"/>
                <w:numId w:val="108"/>
              </w:numPr>
              <w:spacing w:line="360" w:lineRule="auto"/>
              <w:contextualSpacing/>
              <w:rPr>
                <w:rFonts w:ascii="Arial" w:hAnsi="Arial" w:cs="Arial"/>
                <w:b w:val="0"/>
                <w:bCs w:val="0"/>
                <w:lang w:val="en-US"/>
              </w:rPr>
            </w:pPr>
            <w:r w:rsidRPr="002A6F4E">
              <w:rPr>
                <w:rFonts w:ascii="Arial" w:hAnsi="Arial" w:cs="Arial"/>
                <w:lang w:val="en-US"/>
              </w:rPr>
              <w:t xml:space="preserve">Izostanak izrade planova za upravljanje otpadom na nivou lokalne samouprave; </w:t>
            </w:r>
          </w:p>
          <w:p w14:paraId="2AC53B3C" w14:textId="77777777" w:rsidR="006C693A" w:rsidRPr="002A6F4E" w:rsidRDefault="006C693A" w:rsidP="00A23ED0">
            <w:pPr>
              <w:widowControl w:val="0"/>
              <w:numPr>
                <w:ilvl w:val="0"/>
                <w:numId w:val="108"/>
              </w:numPr>
              <w:tabs>
                <w:tab w:val="left" w:pos="469"/>
              </w:tabs>
              <w:autoSpaceDE w:val="0"/>
              <w:autoSpaceDN w:val="0"/>
              <w:spacing w:line="360" w:lineRule="auto"/>
              <w:rPr>
                <w:rFonts w:ascii="Arial" w:eastAsia="Times New Roman" w:hAnsi="Arial" w:cs="Arial"/>
                <w:b w:val="0"/>
                <w:bCs w:val="0"/>
                <w:lang w:val="bs-Latn"/>
              </w:rPr>
            </w:pPr>
            <w:r w:rsidRPr="002A6F4E">
              <w:rPr>
                <w:rFonts w:ascii="Arial" w:eastAsia="Times New Roman" w:hAnsi="Arial" w:cs="Arial"/>
                <w:lang w:val="bs-Latn"/>
              </w:rPr>
              <w:t>Pravna</w:t>
            </w:r>
            <w:r w:rsidRPr="002A6F4E">
              <w:rPr>
                <w:rFonts w:ascii="Arial" w:eastAsia="Times New Roman" w:hAnsi="Arial" w:cs="Arial"/>
                <w:spacing w:val="-5"/>
                <w:lang w:val="bs-Latn"/>
              </w:rPr>
              <w:t xml:space="preserve"> </w:t>
            </w:r>
            <w:r w:rsidRPr="002A6F4E">
              <w:rPr>
                <w:rFonts w:ascii="Arial" w:eastAsia="Times New Roman" w:hAnsi="Arial" w:cs="Arial"/>
                <w:spacing w:val="-2"/>
                <w:lang w:val="bs-Latn"/>
              </w:rPr>
              <w:t xml:space="preserve">nesigurnost i </w:t>
            </w:r>
            <w:r w:rsidRPr="002A6F4E">
              <w:rPr>
                <w:rFonts w:ascii="Arial" w:eastAsia="Times New Roman" w:hAnsi="Arial" w:cs="Arial"/>
                <w:lang w:val="bs-Latn"/>
              </w:rPr>
              <w:t>komplikovana</w:t>
            </w:r>
            <w:r w:rsidRPr="002A6F4E">
              <w:rPr>
                <w:rFonts w:ascii="Arial" w:eastAsia="Times New Roman" w:hAnsi="Arial" w:cs="Arial"/>
                <w:spacing w:val="-7"/>
                <w:lang w:val="bs-Latn"/>
              </w:rPr>
              <w:t xml:space="preserve"> </w:t>
            </w:r>
            <w:r w:rsidRPr="002A6F4E">
              <w:rPr>
                <w:rFonts w:ascii="Arial" w:eastAsia="Times New Roman" w:hAnsi="Arial" w:cs="Arial"/>
                <w:lang w:val="bs-Latn"/>
              </w:rPr>
              <w:t>regulativa</w:t>
            </w:r>
            <w:r w:rsidRPr="002A6F4E">
              <w:rPr>
                <w:rFonts w:ascii="Arial" w:eastAsia="Times New Roman" w:hAnsi="Arial" w:cs="Arial"/>
                <w:spacing w:val="-5"/>
                <w:lang w:val="bs-Latn"/>
              </w:rPr>
              <w:t xml:space="preserve"> </w:t>
            </w:r>
            <w:r w:rsidRPr="002A6F4E">
              <w:rPr>
                <w:rFonts w:ascii="Arial" w:eastAsia="Times New Roman" w:hAnsi="Arial" w:cs="Arial"/>
                <w:lang w:val="bs-Latn"/>
              </w:rPr>
              <w:t>za</w:t>
            </w:r>
            <w:r w:rsidRPr="002A6F4E">
              <w:rPr>
                <w:rFonts w:ascii="Arial" w:eastAsia="Times New Roman" w:hAnsi="Arial" w:cs="Arial"/>
                <w:spacing w:val="-4"/>
                <w:lang w:val="bs-Latn"/>
              </w:rPr>
              <w:t xml:space="preserve"> efikasno i </w:t>
            </w:r>
            <w:r w:rsidRPr="002A6F4E">
              <w:rPr>
                <w:rFonts w:ascii="Arial" w:eastAsia="Times New Roman" w:hAnsi="Arial" w:cs="Arial"/>
                <w:lang w:val="bs-Latn"/>
              </w:rPr>
              <w:t>i</w:t>
            </w:r>
            <w:r w:rsidRPr="002A6F4E">
              <w:rPr>
                <w:rFonts w:ascii="Arial" w:eastAsia="Times New Roman" w:hAnsi="Arial" w:cs="Arial"/>
                <w:spacing w:val="-8"/>
                <w:lang w:val="bs-Latn"/>
              </w:rPr>
              <w:t xml:space="preserve"> </w:t>
            </w:r>
            <w:r w:rsidRPr="002A6F4E">
              <w:rPr>
                <w:rFonts w:ascii="Arial" w:eastAsia="Times New Roman" w:hAnsi="Arial" w:cs="Arial"/>
                <w:lang w:val="bs-Latn"/>
              </w:rPr>
              <w:t>konkurentno</w:t>
            </w:r>
            <w:r w:rsidRPr="002A6F4E">
              <w:rPr>
                <w:rFonts w:ascii="Arial" w:eastAsia="Times New Roman" w:hAnsi="Arial" w:cs="Arial"/>
                <w:spacing w:val="40"/>
                <w:lang w:val="bs-Latn"/>
              </w:rPr>
              <w:t xml:space="preserve"> </w:t>
            </w:r>
            <w:r w:rsidRPr="002A6F4E">
              <w:rPr>
                <w:rFonts w:ascii="Arial" w:eastAsia="Times New Roman" w:hAnsi="Arial" w:cs="Arial"/>
                <w:spacing w:val="-2"/>
                <w:lang w:val="bs-Latn"/>
              </w:rPr>
              <w:t>poslovanje preduzeća za pružanje komunalnih usluga;</w:t>
            </w:r>
          </w:p>
          <w:p w14:paraId="6B7E2DC2" w14:textId="77777777" w:rsidR="006C693A" w:rsidRPr="002A6F4E" w:rsidRDefault="006C693A" w:rsidP="00A23ED0">
            <w:pPr>
              <w:widowControl w:val="0"/>
              <w:numPr>
                <w:ilvl w:val="0"/>
                <w:numId w:val="108"/>
              </w:numPr>
              <w:tabs>
                <w:tab w:val="left" w:pos="469"/>
              </w:tabs>
              <w:autoSpaceDE w:val="0"/>
              <w:autoSpaceDN w:val="0"/>
              <w:adjustRightInd w:val="0"/>
              <w:spacing w:before="1" w:line="360" w:lineRule="auto"/>
              <w:rPr>
                <w:rFonts w:ascii="Arial" w:eastAsia="Times New Roman" w:hAnsi="Arial" w:cs="Arial"/>
                <w:b w:val="0"/>
                <w:bCs w:val="0"/>
                <w:lang w:val="bs-Latn"/>
              </w:rPr>
            </w:pPr>
            <w:r w:rsidRPr="002A6F4E">
              <w:rPr>
                <w:rFonts w:ascii="Arial" w:eastAsia="Times New Roman" w:hAnsi="Arial" w:cs="Arial"/>
                <w:spacing w:val="-2"/>
                <w:lang w:val="bs-Latn"/>
              </w:rPr>
              <w:t xml:space="preserve">Izostanak prihoda od državnog i budžeta </w:t>
            </w:r>
            <w:r w:rsidRPr="002A6F4E">
              <w:rPr>
                <w:rFonts w:ascii="Arial" w:eastAsia="TimesNewRomanPSMT" w:hAnsi="Arial" w:cs="Arial"/>
                <w:lang w:val="bs-Latn"/>
              </w:rPr>
              <w:t xml:space="preserve">lokalne samouprave; oba izvora treba da se dopunjavaju prihodima od većih ekoloških naknada i poreza; </w:t>
            </w:r>
          </w:p>
          <w:p w14:paraId="62AE57D2" w14:textId="77777777" w:rsidR="006C693A" w:rsidRPr="002A6F4E" w:rsidRDefault="006C693A" w:rsidP="00A23ED0">
            <w:pPr>
              <w:widowControl w:val="0"/>
              <w:numPr>
                <w:ilvl w:val="0"/>
                <w:numId w:val="108"/>
              </w:numPr>
              <w:tabs>
                <w:tab w:val="left" w:pos="706"/>
              </w:tabs>
              <w:autoSpaceDE w:val="0"/>
              <w:autoSpaceDN w:val="0"/>
              <w:spacing w:before="1" w:line="360" w:lineRule="auto"/>
              <w:rPr>
                <w:rFonts w:ascii="Arial" w:eastAsia="Times New Roman" w:hAnsi="Arial" w:cs="Arial"/>
                <w:b w:val="0"/>
                <w:bCs w:val="0"/>
                <w:lang w:val="bs-Latn"/>
              </w:rPr>
            </w:pPr>
            <w:r w:rsidRPr="002A6F4E">
              <w:rPr>
                <w:rFonts w:ascii="Arial" w:eastAsia="Times New Roman" w:hAnsi="Arial" w:cs="Arial"/>
                <w:lang w:val="bs-Latn"/>
              </w:rPr>
              <w:t>Manjak</w:t>
            </w:r>
            <w:r w:rsidRPr="002A6F4E">
              <w:rPr>
                <w:rFonts w:ascii="Arial" w:eastAsia="Times New Roman" w:hAnsi="Arial" w:cs="Arial"/>
                <w:spacing w:val="-7"/>
                <w:lang w:val="bs-Latn"/>
              </w:rPr>
              <w:t xml:space="preserve"> sistemskog </w:t>
            </w:r>
            <w:r w:rsidRPr="002A6F4E">
              <w:rPr>
                <w:rFonts w:ascii="Arial" w:eastAsia="Times New Roman" w:hAnsi="Arial" w:cs="Arial"/>
                <w:lang w:val="bs-Latn"/>
              </w:rPr>
              <w:t>upravljanja</w:t>
            </w:r>
            <w:r w:rsidRPr="002A6F4E">
              <w:rPr>
                <w:rFonts w:ascii="Arial" w:eastAsia="Times New Roman" w:hAnsi="Arial" w:cs="Arial"/>
                <w:spacing w:val="-4"/>
                <w:lang w:val="bs-Latn"/>
              </w:rPr>
              <w:t xml:space="preserve"> </w:t>
            </w:r>
            <w:r w:rsidRPr="002A6F4E">
              <w:rPr>
                <w:rFonts w:ascii="Arial" w:eastAsia="Times New Roman" w:hAnsi="Arial" w:cs="Arial"/>
                <w:lang w:val="bs-Latn"/>
              </w:rPr>
              <w:t>prostorom</w:t>
            </w:r>
            <w:r w:rsidRPr="002A6F4E">
              <w:rPr>
                <w:rFonts w:ascii="Arial" w:eastAsia="Times New Roman" w:hAnsi="Arial" w:cs="Arial"/>
                <w:spacing w:val="-4"/>
                <w:lang w:val="bs-Latn"/>
              </w:rPr>
              <w:t xml:space="preserve"> </w:t>
            </w:r>
            <w:r w:rsidRPr="002A6F4E">
              <w:rPr>
                <w:rFonts w:ascii="Arial" w:eastAsia="Times New Roman" w:hAnsi="Arial" w:cs="Arial"/>
                <w:lang w:val="bs-Latn"/>
              </w:rPr>
              <w:t>na</w:t>
            </w:r>
            <w:r w:rsidRPr="002A6F4E">
              <w:rPr>
                <w:rFonts w:ascii="Arial" w:eastAsia="Times New Roman" w:hAnsi="Arial" w:cs="Arial"/>
                <w:spacing w:val="-5"/>
                <w:lang w:val="bs-Latn"/>
              </w:rPr>
              <w:t xml:space="preserve"> </w:t>
            </w:r>
            <w:r w:rsidRPr="002A6F4E">
              <w:rPr>
                <w:rFonts w:ascii="Arial" w:eastAsia="Times New Roman" w:hAnsi="Arial" w:cs="Arial"/>
                <w:lang w:val="bs-Latn"/>
              </w:rPr>
              <w:t>državnom nivou;</w:t>
            </w:r>
          </w:p>
          <w:p w14:paraId="556C064E" w14:textId="3714DF77" w:rsidR="006C693A" w:rsidRPr="002A6F4E" w:rsidRDefault="006C693A" w:rsidP="00A23ED0">
            <w:pPr>
              <w:numPr>
                <w:ilvl w:val="0"/>
                <w:numId w:val="108"/>
              </w:numPr>
              <w:spacing w:line="360" w:lineRule="auto"/>
              <w:contextualSpacing/>
              <w:rPr>
                <w:rFonts w:ascii="Arial" w:hAnsi="Arial" w:cs="Arial"/>
                <w:b w:val="0"/>
                <w:bCs w:val="0"/>
                <w:lang w:val="bs-Latn"/>
              </w:rPr>
            </w:pPr>
            <w:r w:rsidRPr="002A6F4E">
              <w:rPr>
                <w:rFonts w:ascii="Arial" w:hAnsi="Arial" w:cs="Arial"/>
                <w:lang w:val="en-US"/>
              </w:rPr>
              <w:t>Nedovoljno</w:t>
            </w:r>
            <w:r w:rsidRPr="002A6F4E">
              <w:rPr>
                <w:rFonts w:ascii="Arial" w:hAnsi="Arial" w:cs="Arial"/>
                <w:lang w:val="bs-Latn"/>
              </w:rPr>
              <w:t xml:space="preserve"> </w:t>
            </w:r>
            <w:r w:rsidRPr="002A6F4E">
              <w:rPr>
                <w:rFonts w:ascii="Arial" w:hAnsi="Arial" w:cs="Arial"/>
                <w:lang w:val="en-US"/>
              </w:rPr>
              <w:t>efikasno</w:t>
            </w:r>
            <w:r w:rsidRPr="002A6F4E">
              <w:rPr>
                <w:rFonts w:ascii="Arial" w:hAnsi="Arial" w:cs="Arial"/>
                <w:lang w:val="bs-Latn"/>
              </w:rPr>
              <w:t xml:space="preserve"> </w:t>
            </w:r>
            <w:r w:rsidRPr="002A6F4E">
              <w:rPr>
                <w:rFonts w:ascii="Arial" w:hAnsi="Arial" w:cs="Arial"/>
                <w:lang w:val="en-US"/>
              </w:rPr>
              <w:t>djelovanje</w:t>
            </w:r>
            <w:r w:rsidRPr="002A6F4E">
              <w:rPr>
                <w:rFonts w:ascii="Arial" w:hAnsi="Arial" w:cs="Arial"/>
                <w:lang w:val="bs-Latn"/>
              </w:rPr>
              <w:t xml:space="preserve"> </w:t>
            </w:r>
            <w:r w:rsidRPr="002A6F4E">
              <w:rPr>
                <w:rFonts w:ascii="Arial" w:hAnsi="Arial" w:cs="Arial"/>
                <w:lang w:val="en-US"/>
              </w:rPr>
              <w:t>dr</w:t>
            </w:r>
            <w:r w:rsidRPr="002A6F4E">
              <w:rPr>
                <w:rFonts w:ascii="Arial" w:hAnsi="Arial" w:cs="Arial"/>
                <w:lang w:val="bs-Latn"/>
              </w:rPr>
              <w:t>ž</w:t>
            </w:r>
            <w:r w:rsidRPr="002A6F4E">
              <w:rPr>
                <w:rFonts w:ascii="Arial" w:hAnsi="Arial" w:cs="Arial"/>
                <w:lang w:val="en-US"/>
              </w:rPr>
              <w:t>avnih</w:t>
            </w:r>
            <w:r w:rsidRPr="002A6F4E">
              <w:rPr>
                <w:rFonts w:ascii="Arial" w:hAnsi="Arial" w:cs="Arial"/>
                <w:lang w:val="bs-Latn"/>
              </w:rPr>
              <w:t xml:space="preserve">, </w:t>
            </w:r>
            <w:r w:rsidRPr="002A6F4E">
              <w:rPr>
                <w:rFonts w:ascii="Arial" w:hAnsi="Arial" w:cs="Arial"/>
                <w:lang w:val="en-US"/>
              </w:rPr>
              <w:t>regionalnih</w:t>
            </w:r>
            <w:r w:rsidRPr="002A6F4E">
              <w:rPr>
                <w:rFonts w:ascii="Arial" w:hAnsi="Arial" w:cs="Arial"/>
                <w:lang w:val="bs-Latn"/>
              </w:rPr>
              <w:t xml:space="preserve"> </w:t>
            </w:r>
            <w:r w:rsidRPr="002A6F4E">
              <w:rPr>
                <w:rFonts w:ascii="Arial" w:hAnsi="Arial" w:cs="Arial"/>
                <w:lang w:val="en-US"/>
              </w:rPr>
              <w:t>i</w:t>
            </w:r>
            <w:r w:rsidRPr="002A6F4E">
              <w:rPr>
                <w:rFonts w:ascii="Arial" w:hAnsi="Arial" w:cs="Arial"/>
                <w:lang w:val="bs-Latn"/>
              </w:rPr>
              <w:t xml:space="preserve"> </w:t>
            </w:r>
            <w:r w:rsidRPr="002A6F4E">
              <w:rPr>
                <w:rFonts w:ascii="Arial" w:hAnsi="Arial" w:cs="Arial"/>
                <w:lang w:val="en-US"/>
              </w:rPr>
              <w:t>lokalnih</w:t>
            </w:r>
            <w:r w:rsidRPr="002A6F4E">
              <w:rPr>
                <w:rFonts w:ascii="Arial" w:hAnsi="Arial" w:cs="Arial"/>
                <w:lang w:val="bs-Latn"/>
              </w:rPr>
              <w:t xml:space="preserve"> </w:t>
            </w:r>
            <w:r w:rsidRPr="002A6F4E">
              <w:rPr>
                <w:rFonts w:ascii="Arial" w:hAnsi="Arial" w:cs="Arial"/>
                <w:lang w:val="en-US"/>
              </w:rPr>
              <w:t>institucija</w:t>
            </w:r>
            <w:r w:rsidRPr="002A6F4E">
              <w:rPr>
                <w:rFonts w:ascii="Arial" w:hAnsi="Arial" w:cs="Arial"/>
                <w:lang w:val="bs-Latn"/>
              </w:rPr>
              <w:t xml:space="preserve"> </w:t>
            </w:r>
            <w:r w:rsidRPr="002A6F4E">
              <w:rPr>
                <w:rFonts w:ascii="Arial" w:hAnsi="Arial" w:cs="Arial"/>
                <w:lang w:val="en-US"/>
              </w:rPr>
              <w:t>za</w:t>
            </w:r>
            <w:r w:rsidRPr="002A6F4E">
              <w:rPr>
                <w:rFonts w:ascii="Arial" w:hAnsi="Arial" w:cs="Arial"/>
                <w:lang w:val="bs-Latn"/>
              </w:rPr>
              <w:t xml:space="preserve"> </w:t>
            </w:r>
            <w:r w:rsidRPr="002A6F4E">
              <w:rPr>
                <w:rFonts w:ascii="Arial" w:hAnsi="Arial" w:cs="Arial"/>
                <w:lang w:val="en-US"/>
              </w:rPr>
              <w:t>unapre</w:t>
            </w:r>
            <w:r w:rsidRPr="002A6F4E">
              <w:rPr>
                <w:rFonts w:ascii="Arial" w:hAnsi="Arial" w:cs="Arial"/>
                <w:lang w:val="bs-Latn"/>
              </w:rPr>
              <w:t>đ</w:t>
            </w:r>
            <w:r w:rsidRPr="002A6F4E">
              <w:rPr>
                <w:rFonts w:ascii="Arial" w:hAnsi="Arial" w:cs="Arial"/>
                <w:lang w:val="en-US"/>
              </w:rPr>
              <w:t>enje</w:t>
            </w:r>
            <w:r w:rsidRPr="002A6F4E">
              <w:rPr>
                <w:rFonts w:ascii="Arial" w:hAnsi="Arial" w:cs="Arial"/>
                <w:lang w:val="bs-Latn"/>
              </w:rPr>
              <w:t xml:space="preserve"> </w:t>
            </w:r>
            <w:r w:rsidR="000B3E65">
              <w:rPr>
                <w:rFonts w:ascii="Arial" w:hAnsi="Arial" w:cs="Arial"/>
                <w:lang w:val="en-US"/>
              </w:rPr>
              <w:t>za</w:t>
            </w:r>
            <w:r w:rsidR="000B3E65" w:rsidRPr="003D7619">
              <w:rPr>
                <w:rFonts w:ascii="Arial" w:hAnsi="Arial" w:cs="Arial"/>
                <w:lang w:val="bs-Latn"/>
              </w:rPr>
              <w:t>š</w:t>
            </w:r>
            <w:r w:rsidR="000B3E65">
              <w:rPr>
                <w:rFonts w:ascii="Arial" w:hAnsi="Arial" w:cs="Arial"/>
                <w:lang w:val="en-US"/>
              </w:rPr>
              <w:t>tite</w:t>
            </w:r>
            <w:r w:rsidR="000B3E65" w:rsidRPr="003D7619">
              <w:rPr>
                <w:rFonts w:ascii="Arial" w:hAnsi="Arial" w:cs="Arial"/>
                <w:lang w:val="bs-Latn"/>
              </w:rPr>
              <w:t xml:space="preserve"> ž</w:t>
            </w:r>
            <w:r w:rsidR="000B3E65">
              <w:rPr>
                <w:rFonts w:ascii="Arial" w:hAnsi="Arial" w:cs="Arial"/>
                <w:lang w:val="en-US"/>
              </w:rPr>
              <w:t>ivotne</w:t>
            </w:r>
            <w:r w:rsidR="000B3E65" w:rsidRPr="003D7619">
              <w:rPr>
                <w:rFonts w:ascii="Arial" w:hAnsi="Arial" w:cs="Arial"/>
                <w:lang w:val="bs-Latn"/>
              </w:rPr>
              <w:t xml:space="preserve"> </w:t>
            </w:r>
            <w:r w:rsidR="000B3E65">
              <w:rPr>
                <w:rFonts w:ascii="Arial" w:hAnsi="Arial" w:cs="Arial"/>
                <w:lang w:val="en-US"/>
              </w:rPr>
              <w:t>sredine</w:t>
            </w:r>
            <w:r w:rsidRPr="002A6F4E">
              <w:rPr>
                <w:rFonts w:ascii="Arial" w:hAnsi="Arial" w:cs="Arial"/>
                <w:lang w:val="bs-Latn"/>
              </w:rPr>
              <w:t xml:space="preserve">, </w:t>
            </w:r>
            <w:r w:rsidRPr="002A6F4E">
              <w:rPr>
                <w:rFonts w:ascii="Arial" w:hAnsi="Arial" w:cs="Arial"/>
                <w:lang w:val="en-US"/>
              </w:rPr>
              <w:t>podsticanja</w:t>
            </w:r>
            <w:r w:rsidRPr="002A6F4E">
              <w:rPr>
                <w:rFonts w:ascii="Arial" w:hAnsi="Arial" w:cs="Arial"/>
                <w:lang w:val="bs-Latn"/>
              </w:rPr>
              <w:t xml:space="preserve"> </w:t>
            </w:r>
            <w:r w:rsidRPr="002A6F4E">
              <w:rPr>
                <w:rFonts w:ascii="Arial" w:hAnsi="Arial" w:cs="Arial"/>
                <w:lang w:val="en-US"/>
              </w:rPr>
              <w:t>i</w:t>
            </w:r>
            <w:r w:rsidRPr="002A6F4E">
              <w:rPr>
                <w:rFonts w:ascii="Arial" w:hAnsi="Arial" w:cs="Arial"/>
                <w:lang w:val="bs-Latn"/>
              </w:rPr>
              <w:t xml:space="preserve"> </w:t>
            </w:r>
            <w:r w:rsidRPr="002A6F4E">
              <w:rPr>
                <w:rFonts w:ascii="Arial" w:hAnsi="Arial" w:cs="Arial"/>
                <w:lang w:val="en-US"/>
              </w:rPr>
              <w:t>primjene</w:t>
            </w:r>
            <w:r w:rsidRPr="002A6F4E">
              <w:rPr>
                <w:rFonts w:ascii="Arial" w:hAnsi="Arial" w:cs="Arial"/>
                <w:lang w:val="bs-Latn"/>
              </w:rPr>
              <w:t xml:space="preserve"> </w:t>
            </w:r>
            <w:r w:rsidRPr="002A6F4E">
              <w:rPr>
                <w:rFonts w:ascii="Arial" w:hAnsi="Arial" w:cs="Arial"/>
                <w:lang w:val="en-US"/>
              </w:rPr>
              <w:t>odr</w:t>
            </w:r>
            <w:r w:rsidRPr="002A6F4E">
              <w:rPr>
                <w:rFonts w:ascii="Arial" w:hAnsi="Arial" w:cs="Arial"/>
                <w:lang w:val="bs-Latn"/>
              </w:rPr>
              <w:t>ž</w:t>
            </w:r>
            <w:r w:rsidRPr="002A6F4E">
              <w:rPr>
                <w:rFonts w:ascii="Arial" w:hAnsi="Arial" w:cs="Arial"/>
                <w:lang w:val="en-US"/>
              </w:rPr>
              <w:t>ivog</w:t>
            </w:r>
            <w:r w:rsidRPr="002A6F4E">
              <w:rPr>
                <w:rFonts w:ascii="Arial" w:hAnsi="Arial" w:cs="Arial"/>
                <w:spacing w:val="40"/>
                <w:lang w:val="bs-Latn"/>
              </w:rPr>
              <w:t xml:space="preserve"> </w:t>
            </w:r>
            <w:r w:rsidRPr="002A6F4E">
              <w:rPr>
                <w:rFonts w:ascii="Arial" w:hAnsi="Arial" w:cs="Arial"/>
                <w:lang w:val="en-US"/>
              </w:rPr>
              <w:t>razvoja</w:t>
            </w:r>
            <w:r w:rsidRPr="002A6F4E">
              <w:rPr>
                <w:rFonts w:ascii="Arial" w:hAnsi="Arial" w:cs="Arial"/>
                <w:lang w:val="bs-Latn"/>
              </w:rPr>
              <w:t>;</w:t>
            </w:r>
          </w:p>
          <w:p w14:paraId="62AD140C" w14:textId="1FCF24B8" w:rsidR="006C693A" w:rsidRPr="00AF012C" w:rsidRDefault="006C693A" w:rsidP="00A23ED0">
            <w:pPr>
              <w:numPr>
                <w:ilvl w:val="0"/>
                <w:numId w:val="108"/>
              </w:numPr>
              <w:tabs>
                <w:tab w:val="left" w:pos="568"/>
                <w:tab w:val="left" w:pos="569"/>
              </w:tabs>
              <w:spacing w:line="360" w:lineRule="auto"/>
              <w:contextualSpacing/>
              <w:rPr>
                <w:rFonts w:ascii="Arial" w:hAnsi="Arial" w:cs="Arial"/>
                <w:b w:val="0"/>
                <w:bCs w:val="0"/>
                <w:lang w:val="bs-Latn"/>
              </w:rPr>
            </w:pPr>
            <w:r w:rsidRPr="00AF012C">
              <w:rPr>
                <w:rFonts w:ascii="Arial" w:hAnsi="Arial" w:cs="Arial"/>
                <w:lang w:val="bs-Latn"/>
              </w:rPr>
              <w:t xml:space="preserve">  </w:t>
            </w:r>
            <w:r w:rsidRPr="002A6F4E">
              <w:rPr>
                <w:rFonts w:ascii="Arial" w:hAnsi="Arial" w:cs="Arial"/>
                <w:lang w:val="en-US"/>
              </w:rPr>
              <w:t>Slo</w:t>
            </w:r>
            <w:r w:rsidRPr="00AF012C">
              <w:rPr>
                <w:rFonts w:ascii="Arial" w:hAnsi="Arial" w:cs="Arial"/>
                <w:lang w:val="bs-Latn"/>
              </w:rPr>
              <w:t>ž</w:t>
            </w:r>
            <w:r w:rsidRPr="002A6F4E">
              <w:rPr>
                <w:rFonts w:ascii="Arial" w:hAnsi="Arial" w:cs="Arial"/>
                <w:lang w:val="en-US"/>
              </w:rPr>
              <w:t>enost</w:t>
            </w:r>
            <w:r w:rsidRPr="00AF012C">
              <w:rPr>
                <w:rFonts w:ascii="Arial" w:hAnsi="Arial" w:cs="Arial"/>
                <w:spacing w:val="1"/>
                <w:lang w:val="bs-Latn"/>
              </w:rPr>
              <w:t xml:space="preserve"> </w:t>
            </w:r>
            <w:r w:rsidRPr="002A6F4E">
              <w:rPr>
                <w:rFonts w:ascii="Arial" w:hAnsi="Arial" w:cs="Arial"/>
                <w:spacing w:val="1"/>
                <w:lang w:val="en-US"/>
              </w:rPr>
              <w:t>doma</w:t>
            </w:r>
            <w:r w:rsidRPr="00AF012C">
              <w:rPr>
                <w:rFonts w:ascii="Arial" w:hAnsi="Arial" w:cs="Arial"/>
                <w:spacing w:val="1"/>
                <w:lang w:val="bs-Latn"/>
              </w:rPr>
              <w:t>ć</w:t>
            </w:r>
            <w:r w:rsidRPr="002A6F4E">
              <w:rPr>
                <w:rFonts w:ascii="Arial" w:hAnsi="Arial" w:cs="Arial"/>
                <w:spacing w:val="1"/>
                <w:lang w:val="en-US"/>
              </w:rPr>
              <w:t>eg</w:t>
            </w:r>
            <w:r w:rsidRPr="00AF012C">
              <w:rPr>
                <w:rFonts w:ascii="Arial" w:hAnsi="Arial" w:cs="Arial"/>
                <w:spacing w:val="1"/>
                <w:lang w:val="bs-Latn"/>
              </w:rPr>
              <w:t xml:space="preserve"> </w:t>
            </w:r>
            <w:r w:rsidRPr="002A6F4E">
              <w:rPr>
                <w:rFonts w:ascii="Arial" w:hAnsi="Arial" w:cs="Arial"/>
                <w:lang w:val="en-US"/>
              </w:rPr>
              <w:t>regulatornog</w:t>
            </w:r>
            <w:r w:rsidRPr="00AF012C">
              <w:rPr>
                <w:rFonts w:ascii="Arial" w:hAnsi="Arial" w:cs="Arial"/>
                <w:spacing w:val="1"/>
                <w:lang w:val="bs-Latn"/>
              </w:rPr>
              <w:t xml:space="preserve"> </w:t>
            </w:r>
            <w:r w:rsidRPr="002A6F4E">
              <w:rPr>
                <w:rFonts w:ascii="Arial" w:hAnsi="Arial" w:cs="Arial"/>
                <w:lang w:val="en-US"/>
              </w:rPr>
              <w:t>okvira</w:t>
            </w:r>
            <w:r w:rsidRPr="00AF012C">
              <w:rPr>
                <w:rFonts w:ascii="Arial" w:hAnsi="Arial" w:cs="Arial"/>
                <w:spacing w:val="1"/>
                <w:lang w:val="bs-Latn"/>
              </w:rPr>
              <w:t xml:space="preserve"> </w:t>
            </w:r>
            <w:r w:rsidRPr="002A6F4E">
              <w:rPr>
                <w:rFonts w:ascii="Arial" w:hAnsi="Arial" w:cs="Arial"/>
                <w:lang w:val="en-US"/>
              </w:rPr>
              <w:t>i</w:t>
            </w:r>
            <w:r w:rsidRPr="00AF012C">
              <w:rPr>
                <w:rFonts w:ascii="Arial" w:hAnsi="Arial" w:cs="Arial"/>
                <w:spacing w:val="1"/>
                <w:lang w:val="bs-Latn"/>
              </w:rPr>
              <w:t xml:space="preserve"> </w:t>
            </w:r>
            <w:r w:rsidRPr="002A6F4E">
              <w:rPr>
                <w:rFonts w:ascii="Arial" w:hAnsi="Arial" w:cs="Arial"/>
                <w:lang w:val="en-US"/>
              </w:rPr>
              <w:t>nedosl</w:t>
            </w:r>
            <w:r w:rsidR="006156A7">
              <w:rPr>
                <w:rFonts w:ascii="Arial" w:hAnsi="Arial" w:cs="Arial"/>
                <w:lang w:val="en-US"/>
              </w:rPr>
              <w:t>j</w:t>
            </w:r>
            <w:r w:rsidRPr="002A6F4E">
              <w:rPr>
                <w:rFonts w:ascii="Arial" w:hAnsi="Arial" w:cs="Arial"/>
                <w:lang w:val="en-US"/>
              </w:rPr>
              <w:t>ednost</w:t>
            </w:r>
            <w:r w:rsidRPr="00AF012C">
              <w:rPr>
                <w:rFonts w:ascii="Arial" w:hAnsi="Arial" w:cs="Arial"/>
                <w:spacing w:val="1"/>
                <w:lang w:val="bs-Latn"/>
              </w:rPr>
              <w:t xml:space="preserve"> </w:t>
            </w:r>
            <w:r w:rsidRPr="002A6F4E">
              <w:rPr>
                <w:rFonts w:ascii="Arial" w:hAnsi="Arial" w:cs="Arial"/>
                <w:lang w:val="en-US"/>
              </w:rPr>
              <w:t>u</w:t>
            </w:r>
            <w:r w:rsidRPr="00AF012C">
              <w:rPr>
                <w:rFonts w:ascii="Arial" w:hAnsi="Arial" w:cs="Arial"/>
                <w:spacing w:val="1"/>
                <w:lang w:val="bs-Latn"/>
              </w:rPr>
              <w:t xml:space="preserve"> </w:t>
            </w:r>
            <w:r w:rsidRPr="002A6F4E">
              <w:rPr>
                <w:rFonts w:ascii="Arial" w:hAnsi="Arial" w:cs="Arial"/>
                <w:lang w:val="en-US"/>
              </w:rPr>
              <w:t>prim</w:t>
            </w:r>
            <w:r w:rsidR="000B3E65">
              <w:rPr>
                <w:rFonts w:ascii="Arial" w:hAnsi="Arial" w:cs="Arial"/>
                <w:lang w:val="en-US"/>
              </w:rPr>
              <w:t>j</w:t>
            </w:r>
            <w:r w:rsidRPr="002A6F4E">
              <w:rPr>
                <w:rFonts w:ascii="Arial" w:hAnsi="Arial" w:cs="Arial"/>
                <w:lang w:val="en-US"/>
              </w:rPr>
              <w:t>eni</w:t>
            </w:r>
            <w:r w:rsidR="006156A7" w:rsidRPr="00AF012C">
              <w:rPr>
                <w:rFonts w:ascii="Arial" w:hAnsi="Arial" w:cs="Arial"/>
                <w:lang w:val="bs-Latn"/>
              </w:rPr>
              <w:t xml:space="preserve"> </w:t>
            </w:r>
            <w:r w:rsidRPr="00AF012C">
              <w:rPr>
                <w:rFonts w:ascii="Arial" w:hAnsi="Arial" w:cs="Arial"/>
                <w:spacing w:val="-47"/>
                <w:lang w:val="bs-Latn"/>
              </w:rPr>
              <w:t xml:space="preserve"> </w:t>
            </w:r>
            <w:r w:rsidRPr="002A6F4E">
              <w:rPr>
                <w:rFonts w:ascii="Arial" w:hAnsi="Arial" w:cs="Arial"/>
                <w:lang w:val="en-US"/>
              </w:rPr>
              <w:t>propisa</w:t>
            </w:r>
            <w:r w:rsidRPr="00AF012C">
              <w:rPr>
                <w:rFonts w:ascii="Arial" w:hAnsi="Arial" w:cs="Arial"/>
                <w:spacing w:val="1"/>
                <w:lang w:val="bs-Latn"/>
              </w:rPr>
              <w:t xml:space="preserve"> </w:t>
            </w:r>
            <w:r w:rsidRPr="002A6F4E">
              <w:rPr>
                <w:rFonts w:ascii="Arial" w:hAnsi="Arial" w:cs="Arial"/>
                <w:lang w:val="en-US"/>
              </w:rPr>
              <w:t>mo</w:t>
            </w:r>
            <w:r w:rsidRPr="00AF012C">
              <w:rPr>
                <w:rFonts w:ascii="Arial" w:hAnsi="Arial" w:cs="Arial"/>
                <w:lang w:val="bs-Latn"/>
              </w:rPr>
              <w:t>ž</w:t>
            </w:r>
            <w:r w:rsidRPr="002A6F4E">
              <w:rPr>
                <w:rFonts w:ascii="Arial" w:hAnsi="Arial" w:cs="Arial"/>
                <w:lang w:val="en-US"/>
              </w:rPr>
              <w:t>e</w:t>
            </w:r>
            <w:r w:rsidRPr="00AF012C">
              <w:rPr>
                <w:rFonts w:ascii="Arial" w:hAnsi="Arial" w:cs="Arial"/>
                <w:spacing w:val="1"/>
                <w:lang w:val="bs-Latn"/>
              </w:rPr>
              <w:t xml:space="preserve"> </w:t>
            </w:r>
            <w:r w:rsidRPr="002A6F4E">
              <w:rPr>
                <w:rFonts w:ascii="Arial" w:hAnsi="Arial" w:cs="Arial"/>
                <w:lang w:val="en-US"/>
              </w:rPr>
              <w:t>ote</w:t>
            </w:r>
            <w:r w:rsidRPr="00AF012C">
              <w:rPr>
                <w:rFonts w:ascii="Arial" w:hAnsi="Arial" w:cs="Arial"/>
                <w:lang w:val="bs-Latn"/>
              </w:rPr>
              <w:t>ž</w:t>
            </w:r>
            <w:r w:rsidRPr="002A6F4E">
              <w:rPr>
                <w:rFonts w:ascii="Arial" w:hAnsi="Arial" w:cs="Arial"/>
                <w:lang w:val="en-US"/>
              </w:rPr>
              <w:t>ati</w:t>
            </w:r>
            <w:r w:rsidRPr="00AF012C">
              <w:rPr>
                <w:rFonts w:ascii="Arial" w:hAnsi="Arial" w:cs="Arial"/>
                <w:spacing w:val="1"/>
                <w:lang w:val="bs-Latn"/>
              </w:rPr>
              <w:t xml:space="preserve"> </w:t>
            </w:r>
            <w:r w:rsidRPr="002A6F4E">
              <w:rPr>
                <w:rFonts w:ascii="Arial" w:hAnsi="Arial" w:cs="Arial"/>
                <w:lang w:val="en-US"/>
              </w:rPr>
              <w:t>efikasno</w:t>
            </w:r>
            <w:r w:rsidRPr="00AF012C">
              <w:rPr>
                <w:rFonts w:ascii="Arial" w:hAnsi="Arial" w:cs="Arial"/>
                <w:spacing w:val="1"/>
                <w:lang w:val="bs-Latn"/>
              </w:rPr>
              <w:t xml:space="preserve"> </w:t>
            </w:r>
            <w:r w:rsidRPr="002A6F4E">
              <w:rPr>
                <w:rFonts w:ascii="Arial" w:hAnsi="Arial" w:cs="Arial"/>
                <w:lang w:val="en-US"/>
              </w:rPr>
              <w:t>upravljanje</w:t>
            </w:r>
            <w:r w:rsidRPr="00AF012C">
              <w:rPr>
                <w:rFonts w:ascii="Arial" w:hAnsi="Arial" w:cs="Arial"/>
                <w:spacing w:val="1"/>
                <w:lang w:val="bs-Latn"/>
              </w:rPr>
              <w:t xml:space="preserve"> </w:t>
            </w:r>
            <w:r w:rsidRPr="002A6F4E">
              <w:rPr>
                <w:rFonts w:ascii="Arial" w:hAnsi="Arial" w:cs="Arial"/>
                <w:lang w:val="en-US"/>
              </w:rPr>
              <w:t>medicinskim</w:t>
            </w:r>
            <w:r w:rsidRPr="00AF012C">
              <w:rPr>
                <w:rFonts w:ascii="Arial" w:hAnsi="Arial" w:cs="Arial"/>
                <w:spacing w:val="-47"/>
                <w:lang w:val="bs-Latn"/>
              </w:rPr>
              <w:t xml:space="preserve"> </w:t>
            </w:r>
            <w:r w:rsidRPr="002A6F4E">
              <w:rPr>
                <w:rFonts w:ascii="Arial" w:hAnsi="Arial" w:cs="Arial"/>
                <w:lang w:val="en-US"/>
              </w:rPr>
              <w:t>otpadom</w:t>
            </w:r>
            <w:r w:rsidRPr="00AF012C">
              <w:rPr>
                <w:rFonts w:ascii="Arial" w:hAnsi="Arial" w:cs="Arial"/>
                <w:lang w:val="bs-Latn"/>
              </w:rPr>
              <w:t>;</w:t>
            </w:r>
          </w:p>
          <w:p w14:paraId="24E6E960" w14:textId="1882CB13" w:rsidR="006C693A" w:rsidRPr="00AF012C" w:rsidRDefault="006C693A" w:rsidP="00A23ED0">
            <w:pPr>
              <w:numPr>
                <w:ilvl w:val="0"/>
                <w:numId w:val="108"/>
              </w:numPr>
              <w:tabs>
                <w:tab w:val="left" w:pos="568"/>
                <w:tab w:val="left" w:pos="569"/>
              </w:tabs>
              <w:spacing w:line="360" w:lineRule="auto"/>
              <w:contextualSpacing/>
              <w:rPr>
                <w:rFonts w:ascii="Arial" w:hAnsi="Arial" w:cs="Arial"/>
                <w:b w:val="0"/>
                <w:bCs w:val="0"/>
                <w:lang w:val="bs-Latn"/>
              </w:rPr>
            </w:pPr>
            <w:r w:rsidRPr="00AF012C">
              <w:rPr>
                <w:rFonts w:ascii="Arial" w:hAnsi="Arial" w:cs="Arial"/>
                <w:lang w:val="bs-Latn"/>
              </w:rPr>
              <w:t xml:space="preserve">  </w:t>
            </w:r>
            <w:r w:rsidRPr="002A6F4E">
              <w:rPr>
                <w:rFonts w:ascii="Arial" w:hAnsi="Arial" w:cs="Arial"/>
                <w:lang w:val="en-US"/>
              </w:rPr>
              <w:t>Nepostojanje</w:t>
            </w:r>
            <w:r w:rsidRPr="00AF012C">
              <w:rPr>
                <w:rFonts w:ascii="Arial" w:hAnsi="Arial" w:cs="Arial"/>
                <w:spacing w:val="-7"/>
                <w:lang w:val="bs-Latn"/>
              </w:rPr>
              <w:t xml:space="preserve"> </w:t>
            </w:r>
            <w:r w:rsidRPr="002A6F4E">
              <w:rPr>
                <w:rFonts w:ascii="Arial" w:hAnsi="Arial" w:cs="Arial"/>
                <w:spacing w:val="-7"/>
                <w:lang w:val="en-US"/>
              </w:rPr>
              <w:t>sistema</w:t>
            </w:r>
            <w:r w:rsidRPr="00AF012C">
              <w:rPr>
                <w:rFonts w:ascii="Arial" w:hAnsi="Arial" w:cs="Arial"/>
                <w:spacing w:val="-7"/>
                <w:lang w:val="bs-Latn"/>
              </w:rPr>
              <w:t xml:space="preserve"> </w:t>
            </w:r>
            <w:r w:rsidRPr="002A6F4E">
              <w:rPr>
                <w:rFonts w:ascii="Arial" w:hAnsi="Arial" w:cs="Arial"/>
                <w:lang w:val="en-US"/>
              </w:rPr>
              <w:t>upravljanja</w:t>
            </w:r>
            <w:r w:rsidRPr="00AF012C">
              <w:rPr>
                <w:rFonts w:ascii="Arial" w:hAnsi="Arial" w:cs="Arial"/>
                <w:spacing w:val="-7"/>
                <w:lang w:val="bs-Latn"/>
              </w:rPr>
              <w:t xml:space="preserve"> </w:t>
            </w:r>
            <w:r w:rsidRPr="002A6F4E">
              <w:rPr>
                <w:rFonts w:ascii="Arial" w:hAnsi="Arial" w:cs="Arial"/>
                <w:lang w:val="en-US"/>
              </w:rPr>
              <w:t>rizicima</w:t>
            </w:r>
            <w:r w:rsidRPr="00AF012C">
              <w:rPr>
                <w:rFonts w:ascii="Arial" w:hAnsi="Arial" w:cs="Arial"/>
                <w:spacing w:val="-7"/>
                <w:lang w:val="bs-Latn"/>
              </w:rPr>
              <w:t xml:space="preserve"> </w:t>
            </w:r>
            <w:r w:rsidR="006156A7">
              <w:rPr>
                <w:rFonts w:ascii="Arial" w:hAnsi="Arial" w:cs="Arial"/>
                <w:spacing w:val="-7"/>
                <w:lang w:val="en-US"/>
              </w:rPr>
              <w:t>zaga</w:t>
            </w:r>
            <w:r w:rsidR="006156A7" w:rsidRPr="00AF012C">
              <w:rPr>
                <w:rFonts w:ascii="Arial" w:hAnsi="Arial" w:cs="Arial"/>
                <w:spacing w:val="-7"/>
                <w:lang w:val="bs-Latn"/>
              </w:rPr>
              <w:t>đ</w:t>
            </w:r>
            <w:r w:rsidR="006156A7">
              <w:rPr>
                <w:rFonts w:ascii="Arial" w:hAnsi="Arial" w:cs="Arial"/>
                <w:spacing w:val="-7"/>
                <w:lang w:val="en-US"/>
              </w:rPr>
              <w:t>enja</w:t>
            </w:r>
            <w:r w:rsidR="006156A7" w:rsidRPr="00AF012C">
              <w:rPr>
                <w:rFonts w:ascii="Arial" w:hAnsi="Arial" w:cs="Arial"/>
                <w:spacing w:val="-7"/>
                <w:lang w:val="bs-Latn"/>
              </w:rPr>
              <w:t xml:space="preserve"> ž</w:t>
            </w:r>
            <w:r w:rsidR="006156A7">
              <w:rPr>
                <w:rFonts w:ascii="Arial" w:hAnsi="Arial" w:cs="Arial"/>
                <w:spacing w:val="-7"/>
                <w:lang w:val="en-US"/>
              </w:rPr>
              <w:t>ivotne</w:t>
            </w:r>
            <w:r w:rsidR="006156A7" w:rsidRPr="00AF012C">
              <w:rPr>
                <w:rFonts w:ascii="Arial" w:hAnsi="Arial" w:cs="Arial"/>
                <w:spacing w:val="-7"/>
                <w:lang w:val="bs-Latn"/>
              </w:rPr>
              <w:t xml:space="preserve"> </w:t>
            </w:r>
            <w:r w:rsidR="006156A7">
              <w:rPr>
                <w:rFonts w:ascii="Arial" w:hAnsi="Arial" w:cs="Arial"/>
                <w:spacing w:val="-7"/>
                <w:lang w:val="en-US"/>
              </w:rPr>
              <w:t>sredine</w:t>
            </w:r>
            <w:r w:rsidRPr="00AF012C">
              <w:rPr>
                <w:rFonts w:ascii="Arial" w:hAnsi="Arial" w:cs="Arial"/>
                <w:spacing w:val="-7"/>
                <w:lang w:val="bs-Latn"/>
              </w:rPr>
              <w:t>;</w:t>
            </w:r>
          </w:p>
          <w:p w14:paraId="4810891F" w14:textId="3B738879" w:rsidR="006C693A" w:rsidRPr="00AF012C" w:rsidRDefault="006C693A" w:rsidP="00A23ED0">
            <w:pPr>
              <w:numPr>
                <w:ilvl w:val="0"/>
                <w:numId w:val="108"/>
              </w:numPr>
              <w:spacing w:line="360" w:lineRule="auto"/>
              <w:contextualSpacing/>
              <w:rPr>
                <w:rFonts w:ascii="Arial" w:hAnsi="Arial" w:cs="Arial"/>
                <w:b w:val="0"/>
                <w:bCs w:val="0"/>
                <w:spacing w:val="1"/>
                <w:lang w:val="bs-Latn"/>
              </w:rPr>
            </w:pPr>
            <w:r w:rsidRPr="002A6F4E">
              <w:rPr>
                <w:rFonts w:ascii="Arial" w:hAnsi="Arial" w:cs="Arial"/>
                <w:spacing w:val="1"/>
                <w:lang w:val="de-DE"/>
              </w:rPr>
              <w:lastRenderedPageBreak/>
              <w:t>Nepostojanje</w:t>
            </w:r>
            <w:r w:rsidRPr="00AF012C">
              <w:rPr>
                <w:rFonts w:ascii="Arial" w:hAnsi="Arial" w:cs="Arial"/>
                <w:spacing w:val="1"/>
                <w:lang w:val="bs-Latn"/>
              </w:rPr>
              <w:t xml:space="preserve"> </w:t>
            </w:r>
            <w:r w:rsidRPr="002A6F4E">
              <w:rPr>
                <w:rFonts w:ascii="Arial" w:hAnsi="Arial" w:cs="Arial"/>
                <w:spacing w:val="1"/>
                <w:lang w:val="de-DE"/>
              </w:rPr>
              <w:t>preciznih</w:t>
            </w:r>
            <w:r w:rsidRPr="00AF012C">
              <w:rPr>
                <w:rFonts w:ascii="Arial" w:hAnsi="Arial" w:cs="Arial"/>
                <w:spacing w:val="1"/>
                <w:lang w:val="bs-Latn"/>
              </w:rPr>
              <w:t xml:space="preserve"> </w:t>
            </w:r>
            <w:r w:rsidR="006156A7">
              <w:rPr>
                <w:rFonts w:ascii="Arial" w:hAnsi="Arial" w:cs="Arial"/>
                <w:spacing w:val="1"/>
                <w:lang w:val="de-DE"/>
              </w:rPr>
              <w:t>mehanizama</w:t>
            </w:r>
            <w:r w:rsidRPr="00AF012C">
              <w:rPr>
                <w:rFonts w:ascii="Arial" w:eastAsia="TimesNewRomanPSMT" w:hAnsi="Arial" w:cs="Arial"/>
                <w:lang w:val="bs-Latn"/>
              </w:rPr>
              <w:t xml:space="preserve"> </w:t>
            </w:r>
            <w:r w:rsidRPr="002A6F4E">
              <w:rPr>
                <w:rFonts w:ascii="Arial" w:eastAsia="TimesNewRomanPSMT" w:hAnsi="Arial" w:cs="Arial"/>
                <w:lang w:val="de-DE"/>
              </w:rPr>
              <w:t>za</w:t>
            </w:r>
            <w:r w:rsidRPr="00AF012C">
              <w:rPr>
                <w:rFonts w:ascii="Arial" w:eastAsia="TimesNewRomanPSMT" w:hAnsi="Arial" w:cs="Arial"/>
                <w:lang w:val="bs-Latn"/>
              </w:rPr>
              <w:t xml:space="preserve"> </w:t>
            </w:r>
            <w:r w:rsidRPr="002A6F4E">
              <w:rPr>
                <w:rFonts w:ascii="Arial" w:eastAsia="TimesNewRomanPSMT" w:hAnsi="Arial" w:cs="Arial"/>
                <w:lang w:val="de-DE"/>
              </w:rPr>
              <w:t>monitoring</w:t>
            </w:r>
            <w:r w:rsidRPr="00AF012C">
              <w:rPr>
                <w:rFonts w:ascii="Arial" w:eastAsia="TimesNewRomanPSMT" w:hAnsi="Arial" w:cs="Arial"/>
                <w:lang w:val="bs-Latn"/>
              </w:rPr>
              <w:t xml:space="preserve"> </w:t>
            </w:r>
            <w:r w:rsidRPr="002A6F4E">
              <w:rPr>
                <w:rFonts w:ascii="Arial" w:eastAsia="TimesNewRomanPSMT" w:hAnsi="Arial" w:cs="Arial"/>
                <w:lang w:val="de-DE"/>
              </w:rPr>
              <w:t>i</w:t>
            </w:r>
            <w:r w:rsidRPr="00AF012C">
              <w:rPr>
                <w:rFonts w:ascii="Arial" w:eastAsia="TimesNewRomanPSMT" w:hAnsi="Arial" w:cs="Arial"/>
                <w:lang w:val="bs-Latn"/>
              </w:rPr>
              <w:t xml:space="preserve"> </w:t>
            </w:r>
            <w:r w:rsidRPr="002A6F4E">
              <w:rPr>
                <w:rFonts w:ascii="Arial" w:eastAsia="TimesNewRomanPSMT" w:hAnsi="Arial" w:cs="Arial"/>
                <w:lang w:val="de-DE"/>
              </w:rPr>
              <w:t>sprovo</w:t>
            </w:r>
            <w:r w:rsidRPr="00AF012C">
              <w:rPr>
                <w:rFonts w:ascii="Arial" w:eastAsia="TimesNewRomanPSMT" w:hAnsi="Arial" w:cs="Arial"/>
                <w:lang w:val="bs-Latn"/>
              </w:rPr>
              <w:t>đ</w:t>
            </w:r>
            <w:r w:rsidRPr="002A6F4E">
              <w:rPr>
                <w:rFonts w:ascii="Arial" w:eastAsia="TimesNewRomanPSMT" w:hAnsi="Arial" w:cs="Arial"/>
                <w:lang w:val="de-DE"/>
              </w:rPr>
              <w:t>enje</w:t>
            </w:r>
            <w:r w:rsidRPr="00AF012C">
              <w:rPr>
                <w:rFonts w:ascii="Arial" w:eastAsia="TimesNewRomanPSMT" w:hAnsi="Arial" w:cs="Arial"/>
                <w:lang w:val="bs-Latn"/>
              </w:rPr>
              <w:t xml:space="preserve"> </w:t>
            </w:r>
            <w:r w:rsidRPr="002A6F4E">
              <w:rPr>
                <w:rFonts w:ascii="Arial" w:eastAsia="TimesNewRomanPSMT" w:hAnsi="Arial" w:cs="Arial"/>
                <w:lang w:val="de-DE"/>
              </w:rPr>
              <w:t>koji</w:t>
            </w:r>
            <w:r w:rsidRPr="00AF012C">
              <w:rPr>
                <w:rFonts w:ascii="Arial" w:eastAsia="TimesNewRomanPSMT" w:hAnsi="Arial" w:cs="Arial"/>
                <w:lang w:val="bs-Latn"/>
              </w:rPr>
              <w:t xml:space="preserve"> </w:t>
            </w:r>
            <w:r w:rsidRPr="002A6F4E">
              <w:rPr>
                <w:rFonts w:ascii="Arial" w:eastAsia="TimesNewRomanPSMT" w:hAnsi="Arial" w:cs="Arial"/>
                <w:lang w:val="de-DE"/>
              </w:rPr>
              <w:t>obezbje</w:t>
            </w:r>
            <w:r w:rsidRPr="00AF012C">
              <w:rPr>
                <w:rFonts w:ascii="Arial" w:eastAsia="TimesNewRomanPSMT" w:hAnsi="Arial" w:cs="Arial"/>
                <w:lang w:val="bs-Latn"/>
              </w:rPr>
              <w:t>đ</w:t>
            </w:r>
            <w:r w:rsidRPr="002A6F4E">
              <w:rPr>
                <w:rFonts w:ascii="Arial" w:eastAsia="TimesNewRomanPSMT" w:hAnsi="Arial" w:cs="Arial"/>
                <w:lang w:val="de-DE"/>
              </w:rPr>
              <w:t>uju</w:t>
            </w:r>
            <w:r w:rsidRPr="00AF012C">
              <w:rPr>
                <w:rFonts w:ascii="Arial" w:eastAsia="TimesNewRomanPSMT" w:hAnsi="Arial" w:cs="Arial"/>
                <w:lang w:val="bs-Latn"/>
              </w:rPr>
              <w:t xml:space="preserve"> </w:t>
            </w:r>
            <w:r w:rsidRPr="002A6F4E">
              <w:rPr>
                <w:rFonts w:ascii="Arial" w:eastAsia="TimesNewRomanPSMT" w:hAnsi="Arial" w:cs="Arial"/>
                <w:lang w:val="de-DE"/>
              </w:rPr>
              <w:t>da</w:t>
            </w:r>
            <w:r w:rsidRPr="00AF012C">
              <w:rPr>
                <w:rFonts w:ascii="Arial" w:eastAsia="TimesNewRomanPSMT" w:hAnsi="Arial" w:cs="Arial"/>
                <w:lang w:val="bs-Latn"/>
              </w:rPr>
              <w:t xml:space="preserve"> </w:t>
            </w:r>
            <w:r w:rsidRPr="002A6F4E">
              <w:rPr>
                <w:rFonts w:ascii="Arial" w:eastAsia="TimesNewRomanPSMT" w:hAnsi="Arial" w:cs="Arial"/>
                <w:lang w:val="de-DE"/>
              </w:rPr>
              <w:t>se</w:t>
            </w:r>
            <w:r w:rsidRPr="00AF012C">
              <w:rPr>
                <w:rFonts w:ascii="Arial" w:eastAsia="TimesNewRomanPSMT" w:hAnsi="Arial" w:cs="Arial"/>
                <w:lang w:val="bs-Latn"/>
              </w:rPr>
              <w:t xml:space="preserve"> </w:t>
            </w:r>
            <w:r w:rsidRPr="002A6F4E">
              <w:rPr>
                <w:rFonts w:ascii="Arial" w:eastAsia="TimesNewRomanPSMT" w:hAnsi="Arial" w:cs="Arial"/>
                <w:lang w:val="de-DE"/>
              </w:rPr>
              <w:t>proizvo</w:t>
            </w:r>
            <w:r w:rsidRPr="00AF012C">
              <w:rPr>
                <w:rFonts w:ascii="Arial" w:eastAsia="TimesNewRomanPSMT" w:hAnsi="Arial" w:cs="Arial"/>
                <w:lang w:val="bs-Latn"/>
              </w:rPr>
              <w:t>đ</w:t>
            </w:r>
            <w:r w:rsidRPr="002A6F4E">
              <w:rPr>
                <w:rFonts w:ascii="Arial" w:eastAsia="TimesNewRomanPSMT" w:hAnsi="Arial" w:cs="Arial"/>
                <w:lang w:val="de-DE"/>
              </w:rPr>
              <w:t>a</w:t>
            </w:r>
            <w:r w:rsidRPr="00AF012C">
              <w:rPr>
                <w:rFonts w:ascii="Arial" w:eastAsia="TimesNewRomanPSMT" w:hAnsi="Arial" w:cs="Arial"/>
                <w:lang w:val="bs-Latn"/>
              </w:rPr>
              <w:t>č</w:t>
            </w:r>
            <w:r w:rsidRPr="002A6F4E">
              <w:rPr>
                <w:rFonts w:ascii="Arial" w:eastAsia="TimesNewRomanPSMT" w:hAnsi="Arial" w:cs="Arial"/>
                <w:lang w:val="de-DE"/>
              </w:rPr>
              <w:t>i</w:t>
            </w:r>
            <w:r w:rsidRPr="00AF012C">
              <w:rPr>
                <w:rFonts w:ascii="Arial" w:eastAsia="TimesNewRomanPSMT" w:hAnsi="Arial" w:cs="Arial"/>
                <w:lang w:val="bs-Latn"/>
              </w:rPr>
              <w:t xml:space="preserve"> </w:t>
            </w:r>
            <w:r w:rsidRPr="002A6F4E">
              <w:rPr>
                <w:rFonts w:ascii="Arial" w:eastAsia="TimesNewRomanPSMT" w:hAnsi="Arial" w:cs="Arial"/>
                <w:lang w:val="de-DE"/>
              </w:rPr>
              <w:t>pridr</w:t>
            </w:r>
            <w:r w:rsidRPr="00AF012C">
              <w:rPr>
                <w:rFonts w:ascii="Arial" w:eastAsia="TimesNewRomanPSMT" w:hAnsi="Arial" w:cs="Arial"/>
                <w:lang w:val="bs-Latn"/>
              </w:rPr>
              <w:t>ž</w:t>
            </w:r>
            <w:r w:rsidRPr="002A6F4E">
              <w:rPr>
                <w:rFonts w:ascii="Arial" w:eastAsia="TimesNewRomanPSMT" w:hAnsi="Arial" w:cs="Arial"/>
                <w:lang w:val="de-DE"/>
              </w:rPr>
              <w:t>avaju</w:t>
            </w:r>
            <w:r w:rsidRPr="00AF012C">
              <w:rPr>
                <w:rFonts w:ascii="Arial" w:eastAsia="TimesNewRomanPSMT" w:hAnsi="Arial" w:cs="Arial"/>
                <w:lang w:val="bs-Latn"/>
              </w:rPr>
              <w:t xml:space="preserve"> </w:t>
            </w:r>
            <w:r w:rsidRPr="002A6F4E">
              <w:rPr>
                <w:rFonts w:ascii="Arial" w:eastAsia="TimesNewRomanPSMT" w:hAnsi="Arial" w:cs="Arial"/>
                <w:lang w:val="de-DE"/>
              </w:rPr>
              <w:t>svojih</w:t>
            </w:r>
            <w:r w:rsidRPr="00AF012C">
              <w:rPr>
                <w:rFonts w:ascii="Arial" w:eastAsia="TimesNewRomanPSMT" w:hAnsi="Arial" w:cs="Arial"/>
                <w:lang w:val="bs-Latn"/>
              </w:rPr>
              <w:t xml:space="preserve"> </w:t>
            </w:r>
            <w:r w:rsidRPr="002A6F4E">
              <w:rPr>
                <w:rFonts w:ascii="Arial" w:eastAsia="TimesNewRomanPSMT" w:hAnsi="Arial" w:cs="Arial"/>
                <w:lang w:val="de-DE"/>
              </w:rPr>
              <w:t>obaveza</w:t>
            </w:r>
            <w:r w:rsidR="000B3E65" w:rsidRPr="003D7619">
              <w:rPr>
                <w:rFonts w:ascii="Arial" w:eastAsia="TimesNewRomanPSMT" w:hAnsi="Arial" w:cs="Arial"/>
                <w:lang w:val="bs-Latn"/>
              </w:rPr>
              <w:t>;</w:t>
            </w:r>
          </w:p>
          <w:p w14:paraId="3D69345E" w14:textId="5B378421" w:rsidR="006C693A" w:rsidRPr="00AF012C" w:rsidRDefault="006156A7" w:rsidP="00A23ED0">
            <w:pPr>
              <w:numPr>
                <w:ilvl w:val="0"/>
                <w:numId w:val="108"/>
              </w:numPr>
              <w:spacing w:line="360" w:lineRule="auto"/>
              <w:contextualSpacing/>
              <w:rPr>
                <w:rFonts w:ascii="Arial" w:hAnsi="Arial" w:cs="Arial"/>
                <w:b w:val="0"/>
                <w:bCs w:val="0"/>
                <w:spacing w:val="1"/>
                <w:lang w:val="bs-Latn"/>
              </w:rPr>
            </w:pPr>
            <w:r>
              <w:rPr>
                <w:rFonts w:ascii="Arial" w:hAnsi="Arial" w:cs="Arial"/>
                <w:lang w:val="de-DE"/>
              </w:rPr>
              <w:t>Zaga</w:t>
            </w:r>
            <w:r w:rsidRPr="00AF012C">
              <w:rPr>
                <w:rFonts w:ascii="Arial" w:hAnsi="Arial" w:cs="Arial"/>
                <w:lang w:val="bs-Latn"/>
              </w:rPr>
              <w:t>đ</w:t>
            </w:r>
            <w:r>
              <w:rPr>
                <w:rFonts w:ascii="Arial" w:hAnsi="Arial" w:cs="Arial"/>
                <w:lang w:val="de-DE"/>
              </w:rPr>
              <w:t>enje</w:t>
            </w:r>
            <w:r w:rsidRPr="00AF012C">
              <w:rPr>
                <w:rFonts w:ascii="Arial" w:hAnsi="Arial" w:cs="Arial"/>
                <w:lang w:val="bs-Latn"/>
              </w:rPr>
              <w:t xml:space="preserve"> </w:t>
            </w:r>
            <w:r>
              <w:rPr>
                <w:rFonts w:ascii="Arial" w:hAnsi="Arial" w:cs="Arial"/>
                <w:lang w:val="de-DE"/>
              </w:rPr>
              <w:t>zemlji</w:t>
            </w:r>
            <w:r w:rsidRPr="00AF012C">
              <w:rPr>
                <w:rFonts w:ascii="Arial" w:hAnsi="Arial" w:cs="Arial"/>
                <w:lang w:val="bs-Latn"/>
              </w:rPr>
              <w:t>š</w:t>
            </w:r>
            <w:r>
              <w:rPr>
                <w:rFonts w:ascii="Arial" w:hAnsi="Arial" w:cs="Arial"/>
                <w:lang w:val="de-DE"/>
              </w:rPr>
              <w:t>ta</w:t>
            </w:r>
            <w:r w:rsidR="006C693A" w:rsidRPr="00AF012C">
              <w:rPr>
                <w:rFonts w:ascii="Arial" w:hAnsi="Arial" w:cs="Arial"/>
                <w:lang w:val="bs-Latn"/>
              </w:rPr>
              <w:t>,</w:t>
            </w:r>
            <w:r w:rsidRPr="00AF012C">
              <w:rPr>
                <w:rFonts w:ascii="Arial" w:hAnsi="Arial" w:cs="Arial"/>
                <w:lang w:val="bs-Latn"/>
              </w:rPr>
              <w:t xml:space="preserve"> </w:t>
            </w:r>
            <w:r>
              <w:rPr>
                <w:rFonts w:ascii="Arial" w:hAnsi="Arial" w:cs="Arial"/>
                <w:lang w:val="de-DE"/>
              </w:rPr>
              <w:t>vazduha</w:t>
            </w:r>
            <w:r w:rsidR="006C693A" w:rsidRPr="00AF012C">
              <w:rPr>
                <w:rFonts w:ascii="Arial" w:hAnsi="Arial" w:cs="Arial"/>
                <w:spacing w:val="40"/>
                <w:lang w:val="bs-Latn"/>
              </w:rPr>
              <w:t xml:space="preserve"> </w:t>
            </w:r>
            <w:r w:rsidR="006C693A" w:rsidRPr="002A6F4E">
              <w:rPr>
                <w:rFonts w:ascii="Arial" w:hAnsi="Arial" w:cs="Arial"/>
                <w:lang w:val="de-DE"/>
              </w:rPr>
              <w:t>i</w:t>
            </w:r>
            <w:r w:rsidR="006C693A" w:rsidRPr="00AF012C">
              <w:rPr>
                <w:rFonts w:ascii="Arial" w:hAnsi="Arial" w:cs="Arial"/>
                <w:spacing w:val="40"/>
                <w:lang w:val="bs-Latn"/>
              </w:rPr>
              <w:t xml:space="preserve"> </w:t>
            </w:r>
            <w:r w:rsidR="006C693A" w:rsidRPr="002A6F4E">
              <w:rPr>
                <w:rFonts w:ascii="Arial" w:hAnsi="Arial" w:cs="Arial"/>
                <w:lang w:val="de-DE"/>
              </w:rPr>
              <w:t>vode</w:t>
            </w:r>
            <w:r w:rsidR="006C693A" w:rsidRPr="00AF012C">
              <w:rPr>
                <w:rFonts w:ascii="Arial" w:hAnsi="Arial" w:cs="Arial"/>
                <w:spacing w:val="40"/>
                <w:lang w:val="bs-Latn"/>
              </w:rPr>
              <w:t xml:space="preserve"> </w:t>
            </w:r>
            <w:r w:rsidR="006C693A" w:rsidRPr="002A6F4E">
              <w:rPr>
                <w:rFonts w:ascii="Arial" w:hAnsi="Arial" w:cs="Arial"/>
                <w:lang w:val="de-DE"/>
              </w:rPr>
              <w:t>nesavjesnim</w:t>
            </w:r>
            <w:r w:rsidR="006C693A" w:rsidRPr="00AF012C">
              <w:rPr>
                <w:rFonts w:ascii="Arial" w:hAnsi="Arial" w:cs="Arial"/>
                <w:spacing w:val="40"/>
                <w:lang w:val="bs-Latn"/>
              </w:rPr>
              <w:t xml:space="preserve"> </w:t>
            </w:r>
            <w:r w:rsidR="006C693A" w:rsidRPr="002A6F4E">
              <w:rPr>
                <w:rFonts w:ascii="Arial" w:hAnsi="Arial" w:cs="Arial"/>
                <w:lang w:val="de-DE"/>
              </w:rPr>
              <w:t>kori</w:t>
            </w:r>
            <w:r w:rsidR="006C693A" w:rsidRPr="00AF012C">
              <w:rPr>
                <w:rFonts w:ascii="Arial" w:hAnsi="Arial" w:cs="Arial"/>
                <w:lang w:val="bs-Latn"/>
              </w:rPr>
              <w:t>š</w:t>
            </w:r>
            <w:r w:rsidRPr="00AF012C">
              <w:rPr>
                <w:rFonts w:ascii="Arial" w:hAnsi="Arial" w:cs="Arial"/>
                <w:lang w:val="bs-Latn"/>
              </w:rPr>
              <w:t>ć</w:t>
            </w:r>
            <w:r w:rsidR="006C693A" w:rsidRPr="002A6F4E">
              <w:rPr>
                <w:rFonts w:ascii="Arial" w:hAnsi="Arial" w:cs="Arial"/>
                <w:lang w:val="de-DE"/>
              </w:rPr>
              <w:t>enjem</w:t>
            </w:r>
            <w:r w:rsidR="006C693A" w:rsidRPr="00AF012C">
              <w:rPr>
                <w:rFonts w:ascii="Arial" w:hAnsi="Arial" w:cs="Arial"/>
                <w:spacing w:val="40"/>
                <w:lang w:val="bs-Latn"/>
              </w:rPr>
              <w:t xml:space="preserve"> </w:t>
            </w:r>
            <w:r w:rsidR="006C693A" w:rsidRPr="002A6F4E">
              <w:rPr>
                <w:rFonts w:ascii="Arial" w:hAnsi="Arial" w:cs="Arial"/>
                <w:lang w:val="de-DE"/>
              </w:rPr>
              <w:t>ovih</w:t>
            </w:r>
            <w:r w:rsidR="006C693A" w:rsidRPr="00AF012C">
              <w:rPr>
                <w:rFonts w:ascii="Arial" w:hAnsi="Arial" w:cs="Arial"/>
                <w:spacing w:val="40"/>
                <w:lang w:val="bs-Latn"/>
              </w:rPr>
              <w:t xml:space="preserve"> </w:t>
            </w:r>
            <w:r w:rsidR="006C693A" w:rsidRPr="002A6F4E">
              <w:rPr>
                <w:rFonts w:ascii="Arial" w:hAnsi="Arial" w:cs="Arial"/>
                <w:spacing w:val="-2"/>
                <w:lang w:val="de-DE"/>
              </w:rPr>
              <w:t>resursa</w:t>
            </w:r>
            <w:r w:rsidR="006C693A" w:rsidRPr="00AF012C">
              <w:rPr>
                <w:rFonts w:ascii="Arial" w:hAnsi="Arial" w:cs="Arial"/>
                <w:spacing w:val="-2"/>
                <w:lang w:val="bs-Latn"/>
              </w:rPr>
              <w:t>;</w:t>
            </w:r>
          </w:p>
          <w:p w14:paraId="080AC648" w14:textId="6BC9CA4D" w:rsidR="006C693A" w:rsidRPr="00AF012C" w:rsidRDefault="006C693A" w:rsidP="00A23ED0">
            <w:pPr>
              <w:numPr>
                <w:ilvl w:val="0"/>
                <w:numId w:val="108"/>
              </w:numPr>
              <w:spacing w:line="360" w:lineRule="auto"/>
              <w:contextualSpacing/>
              <w:rPr>
                <w:rFonts w:ascii="Arial" w:hAnsi="Arial" w:cs="Arial"/>
                <w:b w:val="0"/>
                <w:bCs w:val="0"/>
                <w:spacing w:val="1"/>
                <w:lang w:val="bs-Latn"/>
              </w:rPr>
            </w:pPr>
            <w:r w:rsidRPr="002A6F4E">
              <w:rPr>
                <w:rFonts w:ascii="Arial" w:hAnsi="Arial" w:cs="Arial"/>
                <w:lang w:val="de-DE"/>
              </w:rPr>
              <w:t>Nepravilno</w:t>
            </w:r>
            <w:r w:rsidRPr="00AF012C">
              <w:rPr>
                <w:rFonts w:ascii="Arial" w:hAnsi="Arial" w:cs="Arial"/>
                <w:spacing w:val="1"/>
                <w:lang w:val="bs-Latn"/>
              </w:rPr>
              <w:t xml:space="preserve"> </w:t>
            </w:r>
            <w:r w:rsidRPr="002A6F4E">
              <w:rPr>
                <w:rFonts w:ascii="Arial" w:hAnsi="Arial" w:cs="Arial"/>
                <w:lang w:val="de-DE"/>
              </w:rPr>
              <w:t>upravljanje</w:t>
            </w:r>
            <w:r w:rsidRPr="00AF012C">
              <w:rPr>
                <w:rFonts w:ascii="Arial" w:hAnsi="Arial" w:cs="Arial"/>
                <w:spacing w:val="1"/>
                <w:lang w:val="bs-Latn"/>
              </w:rPr>
              <w:t xml:space="preserve"> </w:t>
            </w:r>
            <w:r w:rsidRPr="002A6F4E">
              <w:rPr>
                <w:rFonts w:ascii="Arial" w:hAnsi="Arial" w:cs="Arial"/>
                <w:lang w:val="de-DE"/>
              </w:rPr>
              <w:t>otpadom</w:t>
            </w:r>
            <w:r w:rsidRPr="00AF012C">
              <w:rPr>
                <w:rFonts w:ascii="Arial" w:hAnsi="Arial" w:cs="Arial"/>
                <w:spacing w:val="1"/>
                <w:lang w:val="bs-Latn"/>
              </w:rPr>
              <w:t xml:space="preserve"> </w:t>
            </w:r>
            <w:r w:rsidRPr="002A6F4E">
              <w:rPr>
                <w:rFonts w:ascii="Arial" w:hAnsi="Arial" w:cs="Arial"/>
                <w:lang w:val="de-DE"/>
              </w:rPr>
              <w:t>mo</w:t>
            </w:r>
            <w:r w:rsidRPr="00AF012C">
              <w:rPr>
                <w:rFonts w:ascii="Arial" w:hAnsi="Arial" w:cs="Arial"/>
                <w:lang w:val="bs-Latn"/>
              </w:rPr>
              <w:t>ž</w:t>
            </w:r>
            <w:r w:rsidRPr="002A6F4E">
              <w:rPr>
                <w:rFonts w:ascii="Arial" w:hAnsi="Arial" w:cs="Arial"/>
                <w:lang w:val="de-DE"/>
              </w:rPr>
              <w:t>e</w:t>
            </w:r>
            <w:r w:rsidRPr="00AF012C">
              <w:rPr>
                <w:rFonts w:ascii="Arial" w:hAnsi="Arial" w:cs="Arial"/>
                <w:spacing w:val="1"/>
                <w:lang w:val="bs-Latn"/>
              </w:rPr>
              <w:t xml:space="preserve"> </w:t>
            </w:r>
            <w:r w:rsidRPr="002A6F4E">
              <w:rPr>
                <w:rFonts w:ascii="Arial" w:hAnsi="Arial" w:cs="Arial"/>
                <w:lang w:val="de-DE"/>
              </w:rPr>
              <w:t>predstavljati</w:t>
            </w:r>
            <w:r w:rsidRPr="00AF012C">
              <w:rPr>
                <w:rFonts w:ascii="Arial" w:hAnsi="Arial" w:cs="Arial"/>
                <w:lang w:val="bs-Latn"/>
              </w:rPr>
              <w:t xml:space="preserve"> </w:t>
            </w:r>
            <w:r w:rsidRPr="00AF012C">
              <w:rPr>
                <w:rFonts w:ascii="Arial" w:hAnsi="Arial" w:cs="Arial"/>
                <w:spacing w:val="-47"/>
                <w:lang w:val="bs-Latn"/>
              </w:rPr>
              <w:t xml:space="preserve"> </w:t>
            </w:r>
            <w:r w:rsidRPr="002A6F4E">
              <w:rPr>
                <w:rFonts w:ascii="Arial" w:hAnsi="Arial" w:cs="Arial"/>
                <w:lang w:val="de-DE"/>
              </w:rPr>
              <w:t>ozbiljne</w:t>
            </w:r>
            <w:r w:rsidRPr="00AF012C">
              <w:rPr>
                <w:rFonts w:ascii="Arial" w:hAnsi="Arial" w:cs="Arial"/>
                <w:lang w:val="bs-Latn"/>
              </w:rPr>
              <w:t xml:space="preserve"> </w:t>
            </w:r>
            <w:r w:rsidRPr="002A6F4E">
              <w:rPr>
                <w:rFonts w:ascii="Arial" w:hAnsi="Arial" w:cs="Arial"/>
                <w:lang w:val="de-DE"/>
              </w:rPr>
              <w:t>zdravstvene</w:t>
            </w:r>
            <w:r w:rsidRPr="00AF012C">
              <w:rPr>
                <w:rFonts w:ascii="Arial" w:hAnsi="Arial" w:cs="Arial"/>
                <w:lang w:val="bs-Latn"/>
              </w:rPr>
              <w:t xml:space="preserve"> </w:t>
            </w:r>
            <w:r w:rsidRPr="002A6F4E">
              <w:rPr>
                <w:rFonts w:ascii="Arial" w:hAnsi="Arial" w:cs="Arial"/>
                <w:lang w:val="de-DE"/>
              </w:rPr>
              <w:t>rizike</w:t>
            </w:r>
            <w:r w:rsidRPr="00AF012C">
              <w:rPr>
                <w:rFonts w:ascii="Arial" w:hAnsi="Arial" w:cs="Arial"/>
                <w:lang w:val="bs-Latn"/>
              </w:rPr>
              <w:t xml:space="preserve"> </w:t>
            </w:r>
            <w:r w:rsidRPr="002A6F4E">
              <w:rPr>
                <w:rFonts w:ascii="Arial" w:hAnsi="Arial" w:cs="Arial"/>
                <w:lang w:val="de-DE"/>
              </w:rPr>
              <w:t>za</w:t>
            </w:r>
            <w:r w:rsidRPr="00AF012C">
              <w:rPr>
                <w:rFonts w:ascii="Arial" w:hAnsi="Arial" w:cs="Arial"/>
                <w:lang w:val="bs-Latn"/>
              </w:rPr>
              <w:t xml:space="preserve"> </w:t>
            </w:r>
            <w:r w:rsidRPr="002A6F4E">
              <w:rPr>
                <w:rFonts w:ascii="Arial" w:hAnsi="Arial" w:cs="Arial"/>
                <w:lang w:val="de-DE"/>
              </w:rPr>
              <w:t>radnike</w:t>
            </w:r>
            <w:r w:rsidRPr="00AF012C">
              <w:rPr>
                <w:rFonts w:ascii="Arial" w:hAnsi="Arial" w:cs="Arial"/>
                <w:lang w:val="bs-Latn"/>
              </w:rPr>
              <w:t xml:space="preserve">, </w:t>
            </w:r>
            <w:r w:rsidRPr="002A6F4E">
              <w:rPr>
                <w:rFonts w:ascii="Arial" w:hAnsi="Arial" w:cs="Arial"/>
                <w:lang w:val="de-DE"/>
              </w:rPr>
              <w:t>pacijente</w:t>
            </w:r>
            <w:r w:rsidRPr="00AF012C">
              <w:rPr>
                <w:rFonts w:ascii="Arial" w:hAnsi="Arial" w:cs="Arial"/>
                <w:lang w:val="bs-Latn"/>
              </w:rPr>
              <w:t xml:space="preserve">, </w:t>
            </w:r>
            <w:r w:rsidRPr="002A6F4E">
              <w:rPr>
                <w:rFonts w:ascii="Arial" w:hAnsi="Arial" w:cs="Arial"/>
                <w:lang w:val="de-DE"/>
              </w:rPr>
              <w:t>javnost</w:t>
            </w:r>
            <w:r w:rsidRPr="00AF012C">
              <w:rPr>
                <w:rFonts w:ascii="Arial" w:hAnsi="Arial" w:cs="Arial"/>
                <w:lang w:val="bs-Latn"/>
              </w:rPr>
              <w:t xml:space="preserve"> </w:t>
            </w:r>
            <w:r w:rsidRPr="002A6F4E">
              <w:rPr>
                <w:rFonts w:ascii="Arial" w:hAnsi="Arial" w:cs="Arial"/>
                <w:lang w:val="de-DE"/>
              </w:rPr>
              <w:t>i</w:t>
            </w:r>
            <w:r w:rsidRPr="00AF012C">
              <w:rPr>
                <w:rFonts w:ascii="Arial" w:hAnsi="Arial" w:cs="Arial"/>
                <w:spacing w:val="-47"/>
                <w:lang w:val="bs-Latn"/>
              </w:rPr>
              <w:t xml:space="preserve"> </w:t>
            </w:r>
            <w:r w:rsidR="006156A7" w:rsidRPr="00AF012C">
              <w:rPr>
                <w:rFonts w:ascii="Arial" w:hAnsi="Arial" w:cs="Arial"/>
                <w:spacing w:val="-47"/>
                <w:lang w:val="bs-Latn"/>
              </w:rPr>
              <w:t xml:space="preserve">   </w:t>
            </w:r>
            <w:r w:rsidRPr="00AF012C">
              <w:rPr>
                <w:rFonts w:ascii="Arial" w:hAnsi="Arial" w:cs="Arial"/>
                <w:lang w:val="bs-Latn"/>
              </w:rPr>
              <w:t>ž</w:t>
            </w:r>
            <w:r w:rsidRPr="002A6F4E">
              <w:rPr>
                <w:rFonts w:ascii="Arial" w:hAnsi="Arial" w:cs="Arial"/>
                <w:lang w:val="de-DE"/>
              </w:rPr>
              <w:t>ivotnu</w:t>
            </w:r>
            <w:r w:rsidRPr="00AF012C">
              <w:rPr>
                <w:rFonts w:ascii="Arial" w:hAnsi="Arial" w:cs="Arial"/>
                <w:lang w:val="bs-Latn"/>
              </w:rPr>
              <w:t xml:space="preserve"> </w:t>
            </w:r>
            <w:r w:rsidRPr="002A6F4E">
              <w:rPr>
                <w:rFonts w:ascii="Arial" w:hAnsi="Arial" w:cs="Arial"/>
                <w:lang w:val="de-DE"/>
              </w:rPr>
              <w:t>sredinu</w:t>
            </w:r>
            <w:r w:rsidRPr="00AF012C">
              <w:rPr>
                <w:rFonts w:ascii="Arial" w:hAnsi="Arial" w:cs="Arial"/>
                <w:lang w:val="bs-Latn"/>
              </w:rPr>
              <w:t>;</w:t>
            </w:r>
          </w:p>
          <w:p w14:paraId="20655A40" w14:textId="77777777" w:rsidR="006C693A" w:rsidRPr="002A6F4E" w:rsidRDefault="006C693A" w:rsidP="00A23ED0">
            <w:pPr>
              <w:numPr>
                <w:ilvl w:val="0"/>
                <w:numId w:val="108"/>
              </w:numPr>
              <w:spacing w:line="360" w:lineRule="auto"/>
              <w:contextualSpacing/>
              <w:rPr>
                <w:rFonts w:ascii="Arial" w:hAnsi="Arial" w:cs="Arial"/>
                <w:b w:val="0"/>
                <w:bCs w:val="0"/>
                <w:spacing w:val="1"/>
                <w:lang w:val="en-US"/>
              </w:rPr>
            </w:pPr>
            <w:r w:rsidRPr="002A6F4E">
              <w:rPr>
                <w:rFonts w:ascii="Arial" w:hAnsi="Arial" w:cs="Arial"/>
                <w:lang w:val="en-US"/>
              </w:rPr>
              <w:t>Izloženost infektivnom otpadu i opasnim</w:t>
            </w:r>
            <w:r w:rsidRPr="002A6F4E">
              <w:rPr>
                <w:rFonts w:ascii="Arial" w:hAnsi="Arial" w:cs="Arial"/>
                <w:spacing w:val="1"/>
                <w:lang w:val="en-US"/>
              </w:rPr>
              <w:t xml:space="preserve"> </w:t>
            </w:r>
            <w:r w:rsidRPr="002A6F4E">
              <w:rPr>
                <w:rFonts w:ascii="Arial" w:hAnsi="Arial" w:cs="Arial"/>
                <w:lang w:val="en-US"/>
              </w:rPr>
              <w:t>supstancama</w:t>
            </w:r>
            <w:r w:rsidRPr="002A6F4E">
              <w:rPr>
                <w:rFonts w:ascii="Arial" w:hAnsi="Arial" w:cs="Arial"/>
                <w:spacing w:val="1"/>
                <w:lang w:val="en-US"/>
              </w:rPr>
              <w:t xml:space="preserve"> </w:t>
            </w:r>
            <w:r w:rsidRPr="002A6F4E">
              <w:rPr>
                <w:rFonts w:ascii="Arial" w:hAnsi="Arial" w:cs="Arial"/>
                <w:lang w:val="en-US"/>
              </w:rPr>
              <w:t>može</w:t>
            </w:r>
            <w:r w:rsidRPr="002A6F4E">
              <w:rPr>
                <w:rFonts w:ascii="Arial" w:hAnsi="Arial" w:cs="Arial"/>
                <w:spacing w:val="1"/>
                <w:lang w:val="en-US"/>
              </w:rPr>
              <w:t xml:space="preserve"> </w:t>
            </w:r>
            <w:r w:rsidRPr="002A6F4E">
              <w:rPr>
                <w:rFonts w:ascii="Arial" w:hAnsi="Arial" w:cs="Arial"/>
                <w:lang w:val="en-US"/>
              </w:rPr>
              <w:t>dovesti</w:t>
            </w:r>
            <w:r w:rsidRPr="002A6F4E">
              <w:rPr>
                <w:rFonts w:ascii="Arial" w:hAnsi="Arial" w:cs="Arial"/>
                <w:spacing w:val="1"/>
                <w:lang w:val="en-US"/>
              </w:rPr>
              <w:t xml:space="preserve"> </w:t>
            </w:r>
            <w:r w:rsidRPr="002A6F4E">
              <w:rPr>
                <w:rFonts w:ascii="Arial" w:hAnsi="Arial" w:cs="Arial"/>
                <w:lang w:val="en-US"/>
              </w:rPr>
              <w:t>do</w:t>
            </w:r>
            <w:r w:rsidRPr="002A6F4E">
              <w:rPr>
                <w:rFonts w:ascii="Arial" w:hAnsi="Arial" w:cs="Arial"/>
                <w:spacing w:val="1"/>
                <w:lang w:val="en-US"/>
              </w:rPr>
              <w:t xml:space="preserve"> </w:t>
            </w:r>
            <w:r w:rsidRPr="002A6F4E">
              <w:rPr>
                <w:rFonts w:ascii="Arial" w:hAnsi="Arial" w:cs="Arial"/>
                <w:lang w:val="en-US"/>
              </w:rPr>
              <w:t>širenja</w:t>
            </w:r>
            <w:r w:rsidRPr="002A6F4E">
              <w:rPr>
                <w:rFonts w:ascii="Arial" w:hAnsi="Arial" w:cs="Arial"/>
                <w:spacing w:val="1"/>
                <w:lang w:val="en-US"/>
              </w:rPr>
              <w:t xml:space="preserve"> </w:t>
            </w:r>
            <w:r w:rsidRPr="002A6F4E">
              <w:rPr>
                <w:rFonts w:ascii="Arial" w:hAnsi="Arial" w:cs="Arial"/>
                <w:lang w:val="en-US"/>
              </w:rPr>
              <w:t>bolesti</w:t>
            </w:r>
            <w:r w:rsidRPr="002A6F4E">
              <w:rPr>
                <w:rFonts w:ascii="Arial" w:hAnsi="Arial" w:cs="Arial"/>
                <w:spacing w:val="1"/>
                <w:lang w:val="en-US"/>
              </w:rPr>
              <w:t xml:space="preserve"> </w:t>
            </w:r>
            <w:r w:rsidRPr="002A6F4E">
              <w:rPr>
                <w:rFonts w:ascii="Arial" w:hAnsi="Arial" w:cs="Arial"/>
                <w:lang w:val="en-US"/>
              </w:rPr>
              <w:t>i</w:t>
            </w:r>
            <w:r w:rsidRPr="002A6F4E">
              <w:rPr>
                <w:rFonts w:ascii="Arial" w:hAnsi="Arial" w:cs="Arial"/>
                <w:spacing w:val="1"/>
                <w:lang w:val="en-US"/>
              </w:rPr>
              <w:t xml:space="preserve"> </w:t>
            </w:r>
            <w:r w:rsidRPr="002A6F4E">
              <w:rPr>
                <w:rFonts w:ascii="Arial" w:hAnsi="Arial" w:cs="Arial"/>
                <w:lang w:val="en-US"/>
              </w:rPr>
              <w:t>kontaminacije;</w:t>
            </w:r>
          </w:p>
          <w:p w14:paraId="6B441586" w14:textId="5A474B85" w:rsidR="006C693A" w:rsidRPr="002A6F4E" w:rsidRDefault="006C693A" w:rsidP="00A23ED0">
            <w:pPr>
              <w:numPr>
                <w:ilvl w:val="0"/>
                <w:numId w:val="108"/>
              </w:numPr>
              <w:spacing w:line="360" w:lineRule="auto"/>
              <w:contextualSpacing/>
              <w:rPr>
                <w:rFonts w:ascii="Arial" w:hAnsi="Arial" w:cs="Arial"/>
                <w:b w:val="0"/>
                <w:bCs w:val="0"/>
                <w:lang w:val="en-US"/>
              </w:rPr>
            </w:pPr>
            <w:r w:rsidRPr="002A6F4E">
              <w:rPr>
                <w:rFonts w:ascii="Arial" w:hAnsi="Arial" w:cs="Arial"/>
                <w:lang w:val="en-US"/>
              </w:rPr>
              <w:t>Nedovoljna</w:t>
            </w:r>
            <w:r w:rsidRPr="002A6F4E">
              <w:rPr>
                <w:rFonts w:ascii="Arial" w:hAnsi="Arial" w:cs="Arial"/>
                <w:spacing w:val="1"/>
                <w:lang w:val="en-US"/>
              </w:rPr>
              <w:t xml:space="preserve"> razvijena </w:t>
            </w:r>
            <w:r w:rsidRPr="002A6F4E">
              <w:rPr>
                <w:rFonts w:ascii="Arial" w:hAnsi="Arial" w:cs="Arial"/>
                <w:lang w:val="en-US"/>
              </w:rPr>
              <w:t>svijest</w:t>
            </w:r>
            <w:r w:rsidRPr="002A6F4E">
              <w:rPr>
                <w:rFonts w:ascii="Arial" w:hAnsi="Arial" w:cs="Arial"/>
                <w:spacing w:val="1"/>
                <w:lang w:val="en-US"/>
              </w:rPr>
              <w:t xml:space="preserve"> </w:t>
            </w:r>
            <w:r w:rsidRPr="002A6F4E">
              <w:rPr>
                <w:rFonts w:ascii="Arial" w:hAnsi="Arial" w:cs="Arial"/>
                <w:lang w:val="en-US"/>
              </w:rPr>
              <w:t>o</w:t>
            </w:r>
            <w:r w:rsidRPr="002A6F4E">
              <w:rPr>
                <w:rFonts w:ascii="Arial" w:hAnsi="Arial" w:cs="Arial"/>
                <w:spacing w:val="1"/>
                <w:lang w:val="en-US"/>
              </w:rPr>
              <w:t xml:space="preserve"> </w:t>
            </w:r>
            <w:r w:rsidRPr="002A6F4E">
              <w:rPr>
                <w:rFonts w:ascii="Arial" w:hAnsi="Arial" w:cs="Arial"/>
                <w:lang w:val="en-US"/>
              </w:rPr>
              <w:t>važnosti</w:t>
            </w:r>
            <w:r w:rsidRPr="002A6F4E">
              <w:rPr>
                <w:rFonts w:ascii="Arial" w:hAnsi="Arial" w:cs="Arial"/>
                <w:spacing w:val="1"/>
                <w:lang w:val="en-US"/>
              </w:rPr>
              <w:t xml:space="preserve"> </w:t>
            </w:r>
            <w:r w:rsidRPr="002A6F4E">
              <w:rPr>
                <w:rFonts w:ascii="Arial" w:hAnsi="Arial" w:cs="Arial"/>
                <w:lang w:val="en-US"/>
              </w:rPr>
              <w:t>pravilnog</w:t>
            </w:r>
            <w:r w:rsidRPr="002A6F4E">
              <w:rPr>
                <w:rFonts w:ascii="Arial" w:hAnsi="Arial" w:cs="Arial"/>
                <w:spacing w:val="1"/>
                <w:lang w:val="en-US"/>
              </w:rPr>
              <w:t xml:space="preserve"> </w:t>
            </w:r>
            <w:r w:rsidRPr="002A6F4E">
              <w:rPr>
                <w:rFonts w:ascii="Arial" w:hAnsi="Arial" w:cs="Arial"/>
                <w:lang w:val="en-US"/>
              </w:rPr>
              <w:t>upravljanja</w:t>
            </w:r>
            <w:r w:rsidRPr="002A6F4E">
              <w:rPr>
                <w:rFonts w:ascii="Arial" w:hAnsi="Arial" w:cs="Arial"/>
                <w:spacing w:val="1"/>
                <w:lang w:val="en-US"/>
              </w:rPr>
              <w:t xml:space="preserve"> </w:t>
            </w:r>
            <w:r w:rsidRPr="002A6F4E">
              <w:rPr>
                <w:rFonts w:ascii="Arial" w:hAnsi="Arial" w:cs="Arial"/>
                <w:lang w:val="en-US"/>
              </w:rPr>
              <w:t>otpadom</w:t>
            </w:r>
            <w:r w:rsidR="000B3E65">
              <w:rPr>
                <w:rFonts w:ascii="Arial" w:hAnsi="Arial" w:cs="Arial"/>
                <w:lang w:val="en-US"/>
              </w:rPr>
              <w:t>,</w:t>
            </w:r>
            <w:r w:rsidRPr="002A6F4E">
              <w:rPr>
                <w:rFonts w:ascii="Arial" w:hAnsi="Arial" w:cs="Arial"/>
                <w:spacing w:val="1"/>
                <w:lang w:val="en-US"/>
              </w:rPr>
              <w:t xml:space="preserve"> kao proizvodnim resursom;</w:t>
            </w:r>
          </w:p>
          <w:p w14:paraId="059C36CD" w14:textId="4AFD29A3" w:rsidR="006C693A" w:rsidRPr="002A6F4E" w:rsidRDefault="006C693A" w:rsidP="00A23ED0">
            <w:pPr>
              <w:widowControl w:val="0"/>
              <w:numPr>
                <w:ilvl w:val="0"/>
                <w:numId w:val="108"/>
              </w:numPr>
              <w:tabs>
                <w:tab w:val="left" w:pos="469"/>
              </w:tabs>
              <w:autoSpaceDE w:val="0"/>
              <w:autoSpaceDN w:val="0"/>
              <w:spacing w:line="360" w:lineRule="auto"/>
              <w:ind w:right="760"/>
              <w:rPr>
                <w:rFonts w:ascii="Arial" w:eastAsia="Times New Roman" w:hAnsi="Arial" w:cs="Arial"/>
                <w:b w:val="0"/>
                <w:bCs w:val="0"/>
                <w:lang w:val="bs-Latn"/>
              </w:rPr>
            </w:pPr>
            <w:r w:rsidRPr="002A6F4E">
              <w:rPr>
                <w:rFonts w:ascii="Arial" w:eastAsia="Times New Roman" w:hAnsi="Arial" w:cs="Arial"/>
                <w:lang w:val="bs-Latn"/>
              </w:rPr>
              <w:t>Komunalna preduzeća ne</w:t>
            </w:r>
            <w:r w:rsidRPr="002A6F4E">
              <w:rPr>
                <w:rFonts w:ascii="Arial" w:eastAsia="Times New Roman" w:hAnsi="Arial" w:cs="Arial"/>
                <w:spacing w:val="-5"/>
                <w:lang w:val="bs-Latn"/>
              </w:rPr>
              <w:t xml:space="preserve"> </w:t>
            </w:r>
            <w:r w:rsidRPr="002A6F4E">
              <w:rPr>
                <w:rFonts w:ascii="Arial" w:eastAsia="Times New Roman" w:hAnsi="Arial" w:cs="Arial"/>
                <w:lang w:val="bs-Latn"/>
              </w:rPr>
              <w:t>pridaju</w:t>
            </w:r>
            <w:r w:rsidRPr="002A6F4E">
              <w:rPr>
                <w:rFonts w:ascii="Arial" w:eastAsia="Times New Roman" w:hAnsi="Arial" w:cs="Arial"/>
                <w:spacing w:val="-8"/>
                <w:lang w:val="bs-Latn"/>
              </w:rPr>
              <w:t xml:space="preserve"> </w:t>
            </w:r>
            <w:r w:rsidRPr="002A6F4E">
              <w:rPr>
                <w:rFonts w:ascii="Arial" w:eastAsia="Times New Roman" w:hAnsi="Arial" w:cs="Arial"/>
                <w:lang w:val="bs-Latn"/>
              </w:rPr>
              <w:t>dovoljno</w:t>
            </w:r>
            <w:r w:rsidRPr="002A6F4E">
              <w:rPr>
                <w:rFonts w:ascii="Arial" w:eastAsia="Times New Roman" w:hAnsi="Arial" w:cs="Arial"/>
                <w:spacing w:val="-5"/>
                <w:lang w:val="bs-Latn"/>
              </w:rPr>
              <w:t xml:space="preserve"> </w:t>
            </w:r>
            <w:r w:rsidRPr="002A6F4E">
              <w:rPr>
                <w:rFonts w:ascii="Arial" w:eastAsia="Times New Roman" w:hAnsi="Arial" w:cs="Arial"/>
                <w:lang w:val="bs-Latn"/>
              </w:rPr>
              <w:t>pažnje</w:t>
            </w:r>
            <w:r w:rsidRPr="002A6F4E">
              <w:rPr>
                <w:rFonts w:ascii="Arial" w:eastAsia="Times New Roman" w:hAnsi="Arial" w:cs="Arial"/>
                <w:spacing w:val="-5"/>
                <w:lang w:val="bs-Latn"/>
              </w:rPr>
              <w:t xml:space="preserve"> </w:t>
            </w:r>
            <w:r w:rsidRPr="002A6F4E">
              <w:rPr>
                <w:rFonts w:ascii="Arial" w:eastAsia="Times New Roman" w:hAnsi="Arial" w:cs="Arial"/>
                <w:lang w:val="bs-Latn"/>
              </w:rPr>
              <w:t>digitalnoj</w:t>
            </w:r>
            <w:r w:rsidRPr="002A6F4E">
              <w:rPr>
                <w:rFonts w:ascii="Arial" w:eastAsia="Times New Roman" w:hAnsi="Arial" w:cs="Arial"/>
                <w:spacing w:val="-7"/>
                <w:lang w:val="bs-Latn"/>
              </w:rPr>
              <w:t xml:space="preserve"> </w:t>
            </w:r>
            <w:r w:rsidRPr="002A6F4E">
              <w:rPr>
                <w:rFonts w:ascii="Arial" w:eastAsia="Times New Roman" w:hAnsi="Arial" w:cs="Arial"/>
                <w:lang w:val="bs-Latn"/>
              </w:rPr>
              <w:t>i</w:t>
            </w:r>
            <w:r w:rsidRPr="002A6F4E">
              <w:rPr>
                <w:rFonts w:ascii="Arial" w:eastAsia="Times New Roman" w:hAnsi="Arial" w:cs="Arial"/>
                <w:spacing w:val="-4"/>
                <w:lang w:val="bs-Latn"/>
              </w:rPr>
              <w:t xml:space="preserve"> </w:t>
            </w:r>
            <w:r w:rsidRPr="002A6F4E">
              <w:rPr>
                <w:rFonts w:ascii="Arial" w:eastAsia="Times New Roman" w:hAnsi="Arial" w:cs="Arial"/>
                <w:lang w:val="bs-Latn"/>
              </w:rPr>
              <w:t>zelenoj tranziciji;</w:t>
            </w:r>
          </w:p>
          <w:p w14:paraId="54EF0E38" w14:textId="68C06B07" w:rsidR="006C693A" w:rsidRPr="002A6F4E" w:rsidRDefault="006C693A" w:rsidP="00A23ED0">
            <w:pPr>
              <w:numPr>
                <w:ilvl w:val="0"/>
                <w:numId w:val="108"/>
              </w:numPr>
              <w:spacing w:line="360" w:lineRule="auto"/>
              <w:contextualSpacing/>
              <w:rPr>
                <w:rFonts w:ascii="Arial" w:hAnsi="Arial" w:cs="Arial"/>
                <w:b w:val="0"/>
                <w:bCs w:val="0"/>
                <w:spacing w:val="1"/>
                <w:lang w:val="bs-Latn"/>
              </w:rPr>
            </w:pPr>
            <w:r w:rsidRPr="002A6F4E">
              <w:rPr>
                <w:rFonts w:ascii="Arial" w:hAnsi="Arial" w:cs="Arial"/>
                <w:lang w:val="en-US"/>
              </w:rPr>
              <w:t>Nedovoljno</w:t>
            </w:r>
            <w:r w:rsidRPr="002A6F4E">
              <w:rPr>
                <w:rFonts w:ascii="Arial" w:hAnsi="Arial" w:cs="Arial"/>
                <w:lang w:val="bs-Latn"/>
              </w:rPr>
              <w:t xml:space="preserve"> </w:t>
            </w:r>
            <w:r w:rsidRPr="002A6F4E">
              <w:rPr>
                <w:rFonts w:ascii="Arial" w:hAnsi="Arial" w:cs="Arial"/>
                <w:lang w:val="en-US"/>
              </w:rPr>
              <w:t>anga</w:t>
            </w:r>
            <w:r w:rsidRPr="002A6F4E">
              <w:rPr>
                <w:rFonts w:ascii="Arial" w:hAnsi="Arial" w:cs="Arial"/>
                <w:lang w:val="bs-Latn"/>
              </w:rPr>
              <w:t>ž</w:t>
            </w:r>
            <w:r w:rsidRPr="002A6F4E">
              <w:rPr>
                <w:rFonts w:ascii="Arial" w:hAnsi="Arial" w:cs="Arial"/>
                <w:lang w:val="en-US"/>
              </w:rPr>
              <w:t>ovanj</w:t>
            </w:r>
            <w:r w:rsidR="000B3E65">
              <w:rPr>
                <w:rFonts w:ascii="Arial" w:hAnsi="Arial" w:cs="Arial"/>
                <w:lang w:val="en-US"/>
              </w:rPr>
              <w:t>e</w:t>
            </w:r>
            <w:r w:rsidRPr="002A6F4E">
              <w:rPr>
                <w:rFonts w:ascii="Arial" w:hAnsi="Arial" w:cs="Arial"/>
                <w:spacing w:val="1"/>
                <w:lang w:val="bs-Latn"/>
              </w:rPr>
              <w:t xml:space="preserve"> </w:t>
            </w:r>
            <w:r w:rsidRPr="002A6F4E">
              <w:rPr>
                <w:rFonts w:ascii="Arial" w:hAnsi="Arial" w:cs="Arial"/>
                <w:lang w:val="en-US"/>
              </w:rPr>
              <w:t>relevantnih</w:t>
            </w:r>
            <w:r w:rsidRPr="002A6F4E">
              <w:rPr>
                <w:rFonts w:ascii="Arial" w:hAnsi="Arial" w:cs="Arial"/>
                <w:spacing w:val="1"/>
                <w:lang w:val="bs-Latn"/>
              </w:rPr>
              <w:t xml:space="preserve"> </w:t>
            </w:r>
            <w:r w:rsidRPr="002A6F4E">
              <w:rPr>
                <w:rFonts w:ascii="Arial" w:hAnsi="Arial" w:cs="Arial"/>
                <w:lang w:val="en-US"/>
              </w:rPr>
              <w:t>aktera</w:t>
            </w:r>
            <w:r w:rsidRPr="002A6F4E">
              <w:rPr>
                <w:rFonts w:ascii="Arial" w:hAnsi="Arial" w:cs="Arial"/>
                <w:spacing w:val="1"/>
                <w:lang w:val="bs-Latn"/>
              </w:rPr>
              <w:t xml:space="preserve"> š</w:t>
            </w:r>
            <w:r w:rsidRPr="002A6F4E">
              <w:rPr>
                <w:rFonts w:ascii="Arial" w:hAnsi="Arial" w:cs="Arial"/>
                <w:spacing w:val="1"/>
                <w:lang w:val="en-US"/>
              </w:rPr>
              <w:t>to</w:t>
            </w:r>
            <w:r w:rsidRPr="002A6F4E">
              <w:rPr>
                <w:rFonts w:ascii="Arial" w:hAnsi="Arial" w:cs="Arial"/>
                <w:spacing w:val="1"/>
                <w:lang w:val="bs-Latn"/>
              </w:rPr>
              <w:t xml:space="preserve"> </w:t>
            </w:r>
            <w:r w:rsidRPr="002A6F4E">
              <w:rPr>
                <w:rFonts w:ascii="Arial" w:hAnsi="Arial" w:cs="Arial"/>
                <w:spacing w:val="1"/>
                <w:lang w:val="en-US"/>
              </w:rPr>
              <w:t>ote</w:t>
            </w:r>
            <w:r w:rsidRPr="002A6F4E">
              <w:rPr>
                <w:rFonts w:ascii="Arial" w:hAnsi="Arial" w:cs="Arial"/>
                <w:spacing w:val="1"/>
                <w:lang w:val="bs-Latn"/>
              </w:rPr>
              <w:t>ž</w:t>
            </w:r>
            <w:r w:rsidRPr="002A6F4E">
              <w:rPr>
                <w:rFonts w:ascii="Arial" w:hAnsi="Arial" w:cs="Arial"/>
                <w:spacing w:val="1"/>
                <w:lang w:val="en-US"/>
              </w:rPr>
              <w:t>ava</w:t>
            </w:r>
            <w:r w:rsidRPr="002A6F4E">
              <w:rPr>
                <w:rFonts w:ascii="Arial" w:hAnsi="Arial" w:cs="Arial"/>
                <w:spacing w:val="1"/>
                <w:lang w:val="bs-Latn"/>
              </w:rPr>
              <w:t xml:space="preserve"> </w:t>
            </w:r>
            <w:r w:rsidRPr="002A6F4E">
              <w:rPr>
                <w:rFonts w:ascii="Arial" w:hAnsi="Arial" w:cs="Arial"/>
                <w:lang w:val="en-US"/>
              </w:rPr>
              <w:t>implementaciju</w:t>
            </w:r>
            <w:r w:rsidRPr="002A6F4E">
              <w:rPr>
                <w:rFonts w:ascii="Arial" w:hAnsi="Arial" w:cs="Arial"/>
                <w:spacing w:val="1"/>
                <w:lang w:val="bs-Latn"/>
              </w:rPr>
              <w:t xml:space="preserve"> </w:t>
            </w:r>
            <w:r w:rsidRPr="002A6F4E">
              <w:rPr>
                <w:rFonts w:ascii="Arial" w:hAnsi="Arial" w:cs="Arial"/>
                <w:lang w:val="en-US"/>
              </w:rPr>
              <w:t>efikasnih</w:t>
            </w:r>
            <w:r w:rsidRPr="002A6F4E">
              <w:rPr>
                <w:rFonts w:ascii="Arial" w:hAnsi="Arial" w:cs="Arial"/>
                <w:spacing w:val="1"/>
                <w:lang w:val="bs-Latn"/>
              </w:rPr>
              <w:t xml:space="preserve"> </w:t>
            </w:r>
            <w:r w:rsidRPr="002A6F4E">
              <w:rPr>
                <w:rFonts w:ascii="Arial" w:hAnsi="Arial" w:cs="Arial"/>
                <w:lang w:val="en-US"/>
              </w:rPr>
              <w:t>mjera</w:t>
            </w:r>
            <w:r w:rsidRPr="002A6F4E">
              <w:rPr>
                <w:rFonts w:ascii="Arial" w:hAnsi="Arial" w:cs="Arial"/>
                <w:spacing w:val="1"/>
                <w:lang w:val="bs-Latn"/>
              </w:rPr>
              <w:t xml:space="preserve"> </w:t>
            </w:r>
            <w:r w:rsidRPr="002A6F4E">
              <w:rPr>
                <w:rFonts w:ascii="Arial" w:hAnsi="Arial" w:cs="Arial"/>
                <w:lang w:val="en-US"/>
              </w:rPr>
              <w:t>i</w:t>
            </w:r>
            <w:r w:rsidRPr="002A6F4E">
              <w:rPr>
                <w:rFonts w:ascii="Arial" w:hAnsi="Arial" w:cs="Arial"/>
                <w:spacing w:val="1"/>
                <w:lang w:val="bs-Latn"/>
              </w:rPr>
              <w:t xml:space="preserve"> </w:t>
            </w:r>
            <w:r w:rsidRPr="002A6F4E">
              <w:rPr>
                <w:rFonts w:ascii="Arial" w:hAnsi="Arial" w:cs="Arial"/>
                <w:lang w:val="en-US"/>
              </w:rPr>
              <w:t>praksi</w:t>
            </w:r>
            <w:r w:rsidRPr="002A6F4E">
              <w:rPr>
                <w:rFonts w:ascii="Arial" w:hAnsi="Arial" w:cs="Arial"/>
                <w:lang w:val="bs-Latn"/>
              </w:rPr>
              <w:t xml:space="preserve"> </w:t>
            </w:r>
            <w:r w:rsidRPr="002A6F4E">
              <w:rPr>
                <w:rFonts w:ascii="Arial" w:hAnsi="Arial" w:cs="Arial"/>
                <w:lang w:val="en-US"/>
              </w:rPr>
              <w:t>upravljanja</w:t>
            </w:r>
            <w:r w:rsidRPr="002A6F4E">
              <w:rPr>
                <w:rFonts w:ascii="Arial" w:hAnsi="Arial" w:cs="Arial"/>
                <w:lang w:val="bs-Latn"/>
              </w:rPr>
              <w:t xml:space="preserve"> </w:t>
            </w:r>
            <w:r w:rsidRPr="002A6F4E">
              <w:rPr>
                <w:rFonts w:ascii="Arial" w:hAnsi="Arial" w:cs="Arial"/>
                <w:lang w:val="en-US"/>
              </w:rPr>
              <w:t>otpadom</w:t>
            </w:r>
            <w:r w:rsidRPr="002A6F4E">
              <w:rPr>
                <w:rFonts w:ascii="Arial" w:hAnsi="Arial" w:cs="Arial"/>
                <w:spacing w:val="1"/>
                <w:lang w:val="bs-Latn"/>
              </w:rPr>
              <w:t>;</w:t>
            </w:r>
          </w:p>
          <w:p w14:paraId="72015993" w14:textId="27CA7200" w:rsidR="006C693A" w:rsidRPr="002A6F4E" w:rsidRDefault="006C693A" w:rsidP="00A23ED0">
            <w:pPr>
              <w:numPr>
                <w:ilvl w:val="0"/>
                <w:numId w:val="108"/>
              </w:numPr>
              <w:spacing w:line="360" w:lineRule="auto"/>
              <w:contextualSpacing/>
              <w:rPr>
                <w:rFonts w:ascii="Arial" w:hAnsi="Arial" w:cs="Arial"/>
                <w:b w:val="0"/>
                <w:bCs w:val="0"/>
                <w:spacing w:val="1"/>
                <w:lang w:val="bs-Latn"/>
              </w:rPr>
            </w:pPr>
            <w:r w:rsidRPr="002A6F4E">
              <w:rPr>
                <w:rFonts w:ascii="Arial" w:hAnsi="Arial" w:cs="Arial"/>
                <w:lang w:val="en-US"/>
              </w:rPr>
              <w:t>Nedostatak</w:t>
            </w:r>
            <w:r w:rsidRPr="002A6F4E">
              <w:rPr>
                <w:rFonts w:ascii="Arial" w:hAnsi="Arial" w:cs="Arial"/>
                <w:spacing w:val="1"/>
                <w:lang w:val="bs-Latn"/>
              </w:rPr>
              <w:t xml:space="preserve"> </w:t>
            </w:r>
            <w:r w:rsidRPr="002A6F4E">
              <w:rPr>
                <w:rFonts w:ascii="Arial" w:hAnsi="Arial" w:cs="Arial"/>
                <w:lang w:val="en-US"/>
              </w:rPr>
              <w:t>finansijskih</w:t>
            </w:r>
            <w:r w:rsidRPr="002A6F4E">
              <w:rPr>
                <w:rFonts w:ascii="Arial" w:hAnsi="Arial" w:cs="Arial"/>
                <w:lang w:val="bs-Latn"/>
              </w:rPr>
              <w:t xml:space="preserve">, </w:t>
            </w:r>
            <w:r w:rsidRPr="002A6F4E">
              <w:rPr>
                <w:rFonts w:ascii="Arial" w:hAnsi="Arial" w:cs="Arial"/>
                <w:lang w:val="en-US"/>
              </w:rPr>
              <w:t>tehni</w:t>
            </w:r>
            <w:r w:rsidRPr="002A6F4E">
              <w:rPr>
                <w:rFonts w:ascii="Arial" w:hAnsi="Arial" w:cs="Arial"/>
                <w:lang w:val="bs-Latn"/>
              </w:rPr>
              <w:t>č</w:t>
            </w:r>
            <w:r w:rsidRPr="002A6F4E">
              <w:rPr>
                <w:rFonts w:ascii="Arial" w:hAnsi="Arial" w:cs="Arial"/>
                <w:lang w:val="en-US"/>
              </w:rPr>
              <w:t>kih</w:t>
            </w:r>
            <w:r w:rsidRPr="002A6F4E">
              <w:rPr>
                <w:rFonts w:ascii="Arial" w:hAnsi="Arial" w:cs="Arial"/>
                <w:lang w:val="bs-Latn"/>
              </w:rPr>
              <w:t xml:space="preserve"> </w:t>
            </w:r>
            <w:r w:rsidRPr="002A6F4E">
              <w:rPr>
                <w:rFonts w:ascii="Arial" w:hAnsi="Arial" w:cs="Arial"/>
                <w:lang w:val="en-US"/>
              </w:rPr>
              <w:t>i</w:t>
            </w:r>
            <w:r w:rsidRPr="002A6F4E">
              <w:rPr>
                <w:rFonts w:ascii="Arial" w:hAnsi="Arial" w:cs="Arial"/>
                <w:lang w:val="bs-Latn"/>
              </w:rPr>
              <w:t xml:space="preserve"> </w:t>
            </w:r>
            <w:r w:rsidRPr="002A6F4E">
              <w:rPr>
                <w:rFonts w:ascii="Arial" w:hAnsi="Arial" w:cs="Arial"/>
                <w:lang w:val="en-US"/>
              </w:rPr>
              <w:t>ljudskih</w:t>
            </w:r>
            <w:r w:rsidRPr="002A6F4E">
              <w:rPr>
                <w:rFonts w:ascii="Arial" w:hAnsi="Arial" w:cs="Arial"/>
                <w:lang w:val="bs-Latn"/>
              </w:rPr>
              <w:t xml:space="preserve"> </w:t>
            </w:r>
            <w:r w:rsidRPr="002A6F4E">
              <w:rPr>
                <w:rFonts w:ascii="Arial" w:hAnsi="Arial" w:cs="Arial"/>
                <w:lang w:val="en-US"/>
              </w:rPr>
              <w:t>resursa</w:t>
            </w:r>
            <w:r w:rsidRPr="002A6F4E">
              <w:rPr>
                <w:rFonts w:ascii="Arial" w:hAnsi="Arial" w:cs="Arial"/>
                <w:lang w:val="bs-Latn"/>
              </w:rPr>
              <w:t xml:space="preserve"> </w:t>
            </w:r>
            <w:r w:rsidRPr="002A6F4E">
              <w:rPr>
                <w:rFonts w:ascii="Arial" w:hAnsi="Arial" w:cs="Arial"/>
                <w:lang w:val="en-US"/>
              </w:rPr>
              <w:t>mo</w:t>
            </w:r>
            <w:r w:rsidRPr="002A6F4E">
              <w:rPr>
                <w:rFonts w:ascii="Arial" w:hAnsi="Arial" w:cs="Arial"/>
                <w:lang w:val="bs-Latn"/>
              </w:rPr>
              <w:t>ž</w:t>
            </w:r>
            <w:r w:rsidRPr="002A6F4E">
              <w:rPr>
                <w:rFonts w:ascii="Arial" w:hAnsi="Arial" w:cs="Arial"/>
                <w:lang w:val="en-US"/>
              </w:rPr>
              <w:t>e</w:t>
            </w:r>
            <w:r w:rsidRPr="002A6F4E">
              <w:rPr>
                <w:rFonts w:ascii="Arial" w:hAnsi="Arial" w:cs="Arial"/>
                <w:lang w:val="bs-Latn"/>
              </w:rPr>
              <w:t xml:space="preserve"> </w:t>
            </w:r>
            <w:r w:rsidRPr="002A6F4E">
              <w:rPr>
                <w:rFonts w:ascii="Arial" w:hAnsi="Arial" w:cs="Arial"/>
                <w:lang w:val="en-US"/>
              </w:rPr>
              <w:t>dodatno</w:t>
            </w:r>
            <w:r w:rsidRPr="002A6F4E">
              <w:rPr>
                <w:rFonts w:ascii="Arial" w:hAnsi="Arial" w:cs="Arial"/>
                <w:lang w:val="bs-Latn"/>
              </w:rPr>
              <w:t xml:space="preserve"> </w:t>
            </w:r>
            <w:r w:rsidRPr="002A6F4E">
              <w:rPr>
                <w:rFonts w:ascii="Arial" w:hAnsi="Arial" w:cs="Arial"/>
                <w:lang w:val="en-US"/>
              </w:rPr>
              <w:t>ograni</w:t>
            </w:r>
            <w:r w:rsidRPr="002A6F4E">
              <w:rPr>
                <w:rFonts w:ascii="Arial" w:hAnsi="Arial" w:cs="Arial"/>
                <w:lang w:val="bs-Latn"/>
              </w:rPr>
              <w:t>č</w:t>
            </w:r>
            <w:r w:rsidRPr="002A6F4E">
              <w:rPr>
                <w:rFonts w:ascii="Arial" w:hAnsi="Arial" w:cs="Arial"/>
                <w:lang w:val="en-US"/>
              </w:rPr>
              <w:t>iti</w:t>
            </w:r>
            <w:r w:rsidRPr="002A6F4E">
              <w:rPr>
                <w:rFonts w:ascii="Arial" w:hAnsi="Arial" w:cs="Arial"/>
                <w:spacing w:val="1"/>
                <w:lang w:val="bs-Latn"/>
              </w:rPr>
              <w:t xml:space="preserve"> </w:t>
            </w:r>
            <w:r w:rsidRPr="002A6F4E">
              <w:rPr>
                <w:rFonts w:ascii="Arial" w:hAnsi="Arial" w:cs="Arial"/>
                <w:lang w:val="en-US"/>
              </w:rPr>
              <w:t>mogu</w:t>
            </w:r>
            <w:r w:rsidRPr="002A6F4E">
              <w:rPr>
                <w:rFonts w:ascii="Arial" w:hAnsi="Arial" w:cs="Arial"/>
                <w:lang w:val="bs-Latn"/>
              </w:rPr>
              <w:t>ć</w:t>
            </w:r>
            <w:r w:rsidRPr="002A6F4E">
              <w:rPr>
                <w:rFonts w:ascii="Arial" w:hAnsi="Arial" w:cs="Arial"/>
                <w:lang w:val="en-US"/>
              </w:rPr>
              <w:t>nosti</w:t>
            </w:r>
            <w:r w:rsidRPr="002A6F4E">
              <w:rPr>
                <w:rFonts w:ascii="Arial" w:hAnsi="Arial" w:cs="Arial"/>
                <w:lang w:val="bs-Latn"/>
              </w:rPr>
              <w:t xml:space="preserve"> </w:t>
            </w:r>
            <w:r w:rsidRPr="002A6F4E">
              <w:rPr>
                <w:rFonts w:ascii="Arial" w:hAnsi="Arial" w:cs="Arial"/>
                <w:lang w:val="en-US"/>
              </w:rPr>
              <w:t>za</w:t>
            </w:r>
            <w:r w:rsidRPr="002A6F4E">
              <w:rPr>
                <w:rFonts w:ascii="Arial" w:hAnsi="Arial" w:cs="Arial"/>
                <w:lang w:val="bs-Latn"/>
              </w:rPr>
              <w:t xml:space="preserve"> </w:t>
            </w:r>
            <w:r w:rsidR="006156A7">
              <w:rPr>
                <w:rFonts w:ascii="Arial" w:hAnsi="Arial" w:cs="Arial"/>
                <w:lang w:val="bs-Latn"/>
              </w:rPr>
              <w:t xml:space="preserve">izgradnju </w:t>
            </w:r>
            <w:r w:rsidRPr="002A6F4E">
              <w:rPr>
                <w:rFonts w:ascii="Arial" w:hAnsi="Arial" w:cs="Arial"/>
                <w:lang w:val="en-US"/>
              </w:rPr>
              <w:t>adekvatne</w:t>
            </w:r>
            <w:r w:rsidRPr="002A6F4E">
              <w:rPr>
                <w:rFonts w:ascii="Arial" w:hAnsi="Arial" w:cs="Arial"/>
                <w:lang w:val="bs-Latn"/>
              </w:rPr>
              <w:t xml:space="preserve"> </w:t>
            </w:r>
            <w:r w:rsidRPr="002A6F4E">
              <w:rPr>
                <w:rFonts w:ascii="Arial" w:hAnsi="Arial" w:cs="Arial"/>
                <w:lang w:val="en-US"/>
              </w:rPr>
              <w:t>infrastrukture</w:t>
            </w:r>
            <w:r w:rsidRPr="002A6F4E">
              <w:rPr>
                <w:rFonts w:ascii="Arial" w:hAnsi="Arial" w:cs="Arial"/>
                <w:lang w:val="bs-Latn"/>
              </w:rPr>
              <w:t xml:space="preserve"> </w:t>
            </w:r>
            <w:r w:rsidRPr="002A6F4E">
              <w:rPr>
                <w:rFonts w:ascii="Arial" w:hAnsi="Arial" w:cs="Arial"/>
                <w:lang w:val="en-US"/>
              </w:rPr>
              <w:t>i</w:t>
            </w:r>
            <w:r w:rsidRPr="002A6F4E">
              <w:rPr>
                <w:rFonts w:ascii="Arial" w:hAnsi="Arial" w:cs="Arial"/>
                <w:lang w:val="bs-Latn"/>
              </w:rPr>
              <w:t xml:space="preserve"> </w:t>
            </w:r>
            <w:r w:rsidR="006156A7">
              <w:rPr>
                <w:rFonts w:ascii="Arial" w:hAnsi="Arial" w:cs="Arial"/>
                <w:lang w:val="bs-Latn"/>
              </w:rPr>
              <w:t xml:space="preserve">obrade </w:t>
            </w:r>
            <w:r w:rsidRPr="002A6F4E">
              <w:rPr>
                <w:rFonts w:ascii="Arial" w:hAnsi="Arial" w:cs="Arial"/>
                <w:lang w:val="en-US"/>
              </w:rPr>
              <w:t>otpada</w:t>
            </w:r>
            <w:r w:rsidRPr="002A6F4E">
              <w:rPr>
                <w:rFonts w:ascii="Arial" w:hAnsi="Arial" w:cs="Arial"/>
                <w:lang w:val="bs-Latn"/>
              </w:rPr>
              <w:t>;</w:t>
            </w:r>
            <w:r w:rsidRPr="002A6F4E">
              <w:rPr>
                <w:rFonts w:ascii="Arial" w:hAnsi="Arial" w:cs="Arial"/>
                <w:spacing w:val="1"/>
                <w:lang w:val="bs-Latn"/>
              </w:rPr>
              <w:t xml:space="preserve"> </w:t>
            </w:r>
          </w:p>
          <w:p w14:paraId="38D6576F" w14:textId="240E3EE0" w:rsidR="006C693A" w:rsidRPr="002A6F4E" w:rsidRDefault="006C693A" w:rsidP="00A23ED0">
            <w:pPr>
              <w:numPr>
                <w:ilvl w:val="0"/>
                <w:numId w:val="108"/>
              </w:numPr>
              <w:spacing w:line="360" w:lineRule="auto"/>
              <w:contextualSpacing/>
              <w:rPr>
                <w:rFonts w:ascii="Arial" w:hAnsi="Arial" w:cs="Arial"/>
                <w:b w:val="0"/>
                <w:bCs w:val="0"/>
                <w:lang w:val="bs-Latn"/>
              </w:rPr>
            </w:pPr>
            <w:r w:rsidRPr="002A6F4E">
              <w:rPr>
                <w:rFonts w:ascii="Arial" w:hAnsi="Arial" w:cs="Arial"/>
                <w:lang w:val="en-US"/>
              </w:rPr>
              <w:t>Nedostatak</w:t>
            </w:r>
            <w:r w:rsidRPr="002A6F4E">
              <w:rPr>
                <w:rFonts w:ascii="Arial" w:hAnsi="Arial" w:cs="Arial"/>
                <w:spacing w:val="1"/>
                <w:lang w:val="bs-Latn"/>
              </w:rPr>
              <w:t xml:space="preserve"> </w:t>
            </w:r>
            <w:r w:rsidRPr="002A6F4E">
              <w:rPr>
                <w:rFonts w:ascii="Arial" w:hAnsi="Arial" w:cs="Arial"/>
                <w:lang w:val="en-US"/>
              </w:rPr>
              <w:t>specijalizovanih</w:t>
            </w:r>
            <w:r w:rsidRPr="002A6F4E">
              <w:rPr>
                <w:rFonts w:ascii="Arial" w:hAnsi="Arial" w:cs="Arial"/>
                <w:spacing w:val="1"/>
                <w:lang w:val="bs-Latn"/>
              </w:rPr>
              <w:t xml:space="preserve"> </w:t>
            </w:r>
            <w:r w:rsidRPr="002A6F4E">
              <w:rPr>
                <w:rFonts w:ascii="Arial" w:hAnsi="Arial" w:cs="Arial"/>
                <w:lang w:val="en-US"/>
              </w:rPr>
              <w:t>postrojenja</w:t>
            </w:r>
            <w:r w:rsidRPr="002A6F4E">
              <w:rPr>
                <w:rFonts w:ascii="Arial" w:hAnsi="Arial" w:cs="Arial"/>
                <w:lang w:val="bs-Latn"/>
              </w:rPr>
              <w:t xml:space="preserve"> </w:t>
            </w:r>
            <w:r w:rsidRPr="002A6F4E">
              <w:rPr>
                <w:rFonts w:ascii="Arial" w:hAnsi="Arial" w:cs="Arial"/>
                <w:lang w:val="en-US"/>
              </w:rPr>
              <w:t>za</w:t>
            </w:r>
            <w:r w:rsidR="006156A7" w:rsidRPr="00AF012C">
              <w:rPr>
                <w:rFonts w:ascii="Arial" w:hAnsi="Arial" w:cs="Arial"/>
                <w:lang w:val="bs-Latn"/>
              </w:rPr>
              <w:t xml:space="preserve"> </w:t>
            </w:r>
            <w:r w:rsidR="006156A7">
              <w:rPr>
                <w:rFonts w:ascii="Arial" w:hAnsi="Arial" w:cs="Arial"/>
                <w:lang w:val="en-US"/>
              </w:rPr>
              <w:t>obradu</w:t>
            </w:r>
            <w:r w:rsidRPr="002A6F4E">
              <w:rPr>
                <w:rFonts w:ascii="Arial" w:hAnsi="Arial" w:cs="Arial"/>
                <w:lang w:val="bs-Latn"/>
              </w:rPr>
              <w:t xml:space="preserve"> </w:t>
            </w:r>
            <w:r w:rsidRPr="002A6F4E">
              <w:rPr>
                <w:rFonts w:ascii="Arial" w:hAnsi="Arial" w:cs="Arial"/>
                <w:lang w:val="en-US"/>
              </w:rPr>
              <w:t>medicinskog</w:t>
            </w:r>
            <w:r w:rsidRPr="002A6F4E">
              <w:rPr>
                <w:rFonts w:ascii="Arial" w:hAnsi="Arial" w:cs="Arial"/>
                <w:lang w:val="bs-Latn"/>
              </w:rPr>
              <w:t xml:space="preserve"> </w:t>
            </w:r>
            <w:r w:rsidRPr="002A6F4E">
              <w:rPr>
                <w:rFonts w:ascii="Arial" w:hAnsi="Arial" w:cs="Arial"/>
                <w:lang w:val="en-US"/>
              </w:rPr>
              <w:t>otpada</w:t>
            </w:r>
            <w:r w:rsidRPr="002A6F4E">
              <w:rPr>
                <w:rFonts w:ascii="Arial" w:hAnsi="Arial" w:cs="Arial"/>
                <w:lang w:val="bs-Latn"/>
              </w:rPr>
              <w:t xml:space="preserve"> </w:t>
            </w:r>
            <w:r w:rsidRPr="002A6F4E">
              <w:rPr>
                <w:rFonts w:ascii="Arial" w:hAnsi="Arial" w:cs="Arial"/>
                <w:lang w:val="en-US"/>
              </w:rPr>
              <w:t>i</w:t>
            </w:r>
            <w:r w:rsidRPr="002A6F4E">
              <w:rPr>
                <w:rFonts w:ascii="Arial" w:hAnsi="Arial" w:cs="Arial"/>
                <w:lang w:val="bs-Latn"/>
              </w:rPr>
              <w:t xml:space="preserve"> </w:t>
            </w:r>
            <w:r w:rsidRPr="002A6F4E">
              <w:rPr>
                <w:rFonts w:ascii="Arial" w:hAnsi="Arial" w:cs="Arial"/>
                <w:lang w:val="en-US"/>
              </w:rPr>
              <w:t>neadekvatne</w:t>
            </w:r>
            <w:r w:rsidRPr="002A6F4E">
              <w:rPr>
                <w:rFonts w:ascii="Arial" w:hAnsi="Arial" w:cs="Arial"/>
                <w:spacing w:val="1"/>
                <w:lang w:val="bs-Latn"/>
              </w:rPr>
              <w:t xml:space="preserve"> </w:t>
            </w:r>
            <w:r w:rsidRPr="002A6F4E">
              <w:rPr>
                <w:rFonts w:ascii="Arial" w:hAnsi="Arial" w:cs="Arial"/>
                <w:lang w:val="en-US"/>
              </w:rPr>
              <w:t>infrastrukture</w:t>
            </w:r>
            <w:r w:rsidRPr="002A6F4E">
              <w:rPr>
                <w:rFonts w:ascii="Arial" w:hAnsi="Arial" w:cs="Arial"/>
                <w:lang w:val="bs-Latn"/>
              </w:rPr>
              <w:t xml:space="preserve"> </w:t>
            </w:r>
            <w:r w:rsidRPr="002A6F4E">
              <w:rPr>
                <w:rFonts w:ascii="Arial" w:hAnsi="Arial" w:cs="Arial"/>
                <w:lang w:val="en-US"/>
              </w:rPr>
              <w:t>za</w:t>
            </w:r>
            <w:r w:rsidRPr="002A6F4E">
              <w:rPr>
                <w:rFonts w:ascii="Arial" w:hAnsi="Arial" w:cs="Arial"/>
                <w:lang w:val="bs-Latn"/>
              </w:rPr>
              <w:t xml:space="preserve"> </w:t>
            </w:r>
            <w:r w:rsidR="000B3E65">
              <w:rPr>
                <w:rFonts w:ascii="Arial" w:hAnsi="Arial" w:cs="Arial"/>
                <w:lang w:val="bs-Latn"/>
              </w:rPr>
              <w:t>sa</w:t>
            </w:r>
            <w:r w:rsidRPr="002A6F4E">
              <w:rPr>
                <w:rFonts w:ascii="Arial" w:hAnsi="Arial" w:cs="Arial"/>
                <w:lang w:val="en-US"/>
              </w:rPr>
              <w:t>kupljanje</w:t>
            </w:r>
            <w:r w:rsidRPr="002A6F4E">
              <w:rPr>
                <w:rFonts w:ascii="Arial" w:hAnsi="Arial" w:cs="Arial"/>
                <w:lang w:val="bs-Latn"/>
              </w:rPr>
              <w:t xml:space="preserve">, </w:t>
            </w:r>
            <w:r w:rsidRPr="002A6F4E">
              <w:rPr>
                <w:rFonts w:ascii="Arial" w:hAnsi="Arial" w:cs="Arial"/>
                <w:lang w:val="en-US"/>
              </w:rPr>
              <w:t>transport</w:t>
            </w:r>
            <w:r w:rsidRPr="002A6F4E">
              <w:rPr>
                <w:rFonts w:ascii="Arial" w:hAnsi="Arial" w:cs="Arial"/>
                <w:lang w:val="bs-Latn"/>
              </w:rPr>
              <w:t xml:space="preserve"> </w:t>
            </w:r>
            <w:r w:rsidRPr="002A6F4E">
              <w:rPr>
                <w:rFonts w:ascii="Arial" w:hAnsi="Arial" w:cs="Arial"/>
                <w:lang w:val="en-US"/>
              </w:rPr>
              <w:t>i</w:t>
            </w:r>
            <w:r w:rsidRPr="002A6F4E">
              <w:rPr>
                <w:rFonts w:ascii="Arial" w:hAnsi="Arial" w:cs="Arial"/>
                <w:lang w:val="bs-Latn"/>
              </w:rPr>
              <w:t xml:space="preserve"> </w:t>
            </w:r>
            <w:r w:rsidRPr="002A6F4E">
              <w:rPr>
                <w:rFonts w:ascii="Arial" w:hAnsi="Arial" w:cs="Arial"/>
                <w:lang w:val="en-US"/>
              </w:rPr>
              <w:t>o</w:t>
            </w:r>
            <w:r w:rsidR="000B3E65">
              <w:rPr>
                <w:rFonts w:ascii="Arial" w:hAnsi="Arial" w:cs="Arial"/>
                <w:lang w:val="en-US"/>
              </w:rPr>
              <w:t>bradu</w:t>
            </w:r>
            <w:r w:rsidR="006156A7" w:rsidRPr="00AF012C">
              <w:rPr>
                <w:rFonts w:ascii="Arial" w:hAnsi="Arial" w:cs="Arial"/>
                <w:lang w:val="bs-Latn"/>
              </w:rPr>
              <w:t>,</w:t>
            </w:r>
            <w:r w:rsidRPr="002A6F4E">
              <w:rPr>
                <w:rFonts w:ascii="Arial" w:hAnsi="Arial" w:cs="Arial"/>
                <w:lang w:val="bs-Latn"/>
              </w:rPr>
              <w:t xml:space="preserve"> </w:t>
            </w:r>
            <w:r w:rsidRPr="002A6F4E">
              <w:rPr>
                <w:rFonts w:ascii="Arial" w:hAnsi="Arial" w:cs="Arial"/>
                <w:lang w:val="en-US"/>
              </w:rPr>
              <w:t>mogu</w:t>
            </w:r>
            <w:r w:rsidRPr="002A6F4E">
              <w:rPr>
                <w:rFonts w:ascii="Arial" w:hAnsi="Arial" w:cs="Arial"/>
                <w:spacing w:val="1"/>
                <w:lang w:val="bs-Latn"/>
              </w:rPr>
              <w:t xml:space="preserve"> </w:t>
            </w:r>
            <w:r w:rsidRPr="002A6F4E">
              <w:rPr>
                <w:rFonts w:ascii="Arial" w:hAnsi="Arial" w:cs="Arial"/>
                <w:lang w:val="en-US"/>
              </w:rPr>
              <w:t>predstavljati</w:t>
            </w:r>
            <w:r w:rsidRPr="002A6F4E">
              <w:rPr>
                <w:rFonts w:ascii="Arial" w:hAnsi="Arial" w:cs="Arial"/>
                <w:lang w:val="bs-Latn"/>
              </w:rPr>
              <w:t xml:space="preserve"> </w:t>
            </w:r>
            <w:r w:rsidRPr="002A6F4E">
              <w:rPr>
                <w:rFonts w:ascii="Arial" w:hAnsi="Arial" w:cs="Arial"/>
                <w:lang w:val="en-US"/>
              </w:rPr>
              <w:t>prepreke</w:t>
            </w:r>
            <w:r w:rsidRPr="002A6F4E">
              <w:rPr>
                <w:rFonts w:ascii="Arial" w:hAnsi="Arial" w:cs="Arial"/>
                <w:lang w:val="bs-Latn"/>
              </w:rPr>
              <w:t xml:space="preserve"> </w:t>
            </w:r>
            <w:r w:rsidRPr="002A6F4E">
              <w:rPr>
                <w:rFonts w:ascii="Arial" w:hAnsi="Arial" w:cs="Arial"/>
                <w:lang w:val="en-US"/>
              </w:rPr>
              <w:t>u</w:t>
            </w:r>
            <w:r w:rsidRPr="002A6F4E">
              <w:rPr>
                <w:rFonts w:ascii="Arial" w:hAnsi="Arial" w:cs="Arial"/>
                <w:lang w:val="bs-Latn"/>
              </w:rPr>
              <w:t xml:space="preserve"> </w:t>
            </w:r>
            <w:r w:rsidRPr="002A6F4E">
              <w:rPr>
                <w:rFonts w:ascii="Arial" w:hAnsi="Arial" w:cs="Arial"/>
                <w:lang w:val="en-US"/>
              </w:rPr>
              <w:t>efikasnom</w:t>
            </w:r>
            <w:r w:rsidRPr="002A6F4E">
              <w:rPr>
                <w:rFonts w:ascii="Arial" w:hAnsi="Arial" w:cs="Arial"/>
                <w:lang w:val="bs-Latn"/>
              </w:rPr>
              <w:t xml:space="preserve"> </w:t>
            </w:r>
            <w:r w:rsidRPr="002A6F4E">
              <w:rPr>
                <w:rFonts w:ascii="Arial" w:hAnsi="Arial" w:cs="Arial"/>
                <w:lang w:val="en-US"/>
              </w:rPr>
              <w:t>upravljanju</w:t>
            </w:r>
            <w:r w:rsidRPr="002A6F4E">
              <w:rPr>
                <w:rFonts w:ascii="Arial" w:hAnsi="Arial" w:cs="Arial"/>
                <w:lang w:val="bs-Latn"/>
              </w:rPr>
              <w:t>;</w:t>
            </w:r>
          </w:p>
          <w:p w14:paraId="11E5210F" w14:textId="77777777" w:rsidR="006C693A" w:rsidRPr="002A6F4E" w:rsidRDefault="006C693A" w:rsidP="00A23ED0">
            <w:pPr>
              <w:numPr>
                <w:ilvl w:val="0"/>
                <w:numId w:val="108"/>
              </w:numPr>
              <w:spacing w:line="360" w:lineRule="auto"/>
              <w:contextualSpacing/>
              <w:rPr>
                <w:rFonts w:ascii="Arial" w:hAnsi="Arial" w:cs="Arial"/>
                <w:b w:val="0"/>
                <w:bCs w:val="0"/>
                <w:lang w:val="en-US"/>
              </w:rPr>
            </w:pPr>
            <w:r w:rsidRPr="002A6F4E">
              <w:rPr>
                <w:rFonts w:ascii="Arial" w:hAnsi="Arial" w:cs="Arial"/>
                <w:lang w:val="en-US"/>
              </w:rPr>
              <w:t>Manjak modernih logističkih kapaciteta u TS i reciklažnim centrima;</w:t>
            </w:r>
          </w:p>
          <w:p w14:paraId="1E31E6DC" w14:textId="6094130E" w:rsidR="006C693A" w:rsidRPr="002A6F4E" w:rsidRDefault="006C693A" w:rsidP="00A23ED0">
            <w:pPr>
              <w:numPr>
                <w:ilvl w:val="0"/>
                <w:numId w:val="108"/>
              </w:numPr>
              <w:spacing w:line="360" w:lineRule="auto"/>
              <w:contextualSpacing/>
              <w:rPr>
                <w:rFonts w:ascii="Arial" w:hAnsi="Arial" w:cs="Arial"/>
                <w:b w:val="0"/>
                <w:bCs w:val="0"/>
                <w:lang w:val="en-US"/>
              </w:rPr>
            </w:pPr>
            <w:r w:rsidRPr="002A6F4E">
              <w:rPr>
                <w:rFonts w:ascii="Arial" w:hAnsi="Arial" w:cs="Arial"/>
                <w:lang w:val="en-US"/>
              </w:rPr>
              <w:t>Složenost</w:t>
            </w:r>
            <w:r w:rsidRPr="002A6F4E">
              <w:rPr>
                <w:rFonts w:ascii="Arial" w:hAnsi="Arial" w:cs="Arial"/>
                <w:spacing w:val="1"/>
                <w:lang w:val="en-US"/>
              </w:rPr>
              <w:t xml:space="preserve"> domaćeg </w:t>
            </w:r>
            <w:r w:rsidRPr="002A6F4E">
              <w:rPr>
                <w:rFonts w:ascii="Arial" w:hAnsi="Arial" w:cs="Arial"/>
                <w:lang w:val="en-US"/>
              </w:rPr>
              <w:t>regulatornog</w:t>
            </w:r>
            <w:r w:rsidRPr="002A6F4E">
              <w:rPr>
                <w:rFonts w:ascii="Arial" w:hAnsi="Arial" w:cs="Arial"/>
                <w:spacing w:val="1"/>
                <w:lang w:val="en-US"/>
              </w:rPr>
              <w:t xml:space="preserve"> </w:t>
            </w:r>
            <w:r w:rsidRPr="002A6F4E">
              <w:rPr>
                <w:rFonts w:ascii="Arial" w:hAnsi="Arial" w:cs="Arial"/>
                <w:lang w:val="en-US"/>
              </w:rPr>
              <w:t>okvira</w:t>
            </w:r>
            <w:r w:rsidRPr="002A6F4E">
              <w:rPr>
                <w:rFonts w:ascii="Arial" w:hAnsi="Arial" w:cs="Arial"/>
                <w:spacing w:val="1"/>
                <w:lang w:val="en-US"/>
              </w:rPr>
              <w:t xml:space="preserve"> </w:t>
            </w:r>
            <w:r w:rsidRPr="002A6F4E">
              <w:rPr>
                <w:rFonts w:ascii="Arial" w:hAnsi="Arial" w:cs="Arial"/>
                <w:lang w:val="en-US"/>
              </w:rPr>
              <w:t>i</w:t>
            </w:r>
            <w:r w:rsidRPr="002A6F4E">
              <w:rPr>
                <w:rFonts w:ascii="Arial" w:hAnsi="Arial" w:cs="Arial"/>
                <w:spacing w:val="1"/>
                <w:lang w:val="en-US"/>
              </w:rPr>
              <w:t xml:space="preserve"> </w:t>
            </w:r>
            <w:r w:rsidRPr="002A6F4E">
              <w:rPr>
                <w:rFonts w:ascii="Arial" w:hAnsi="Arial" w:cs="Arial"/>
                <w:lang w:val="en-US"/>
              </w:rPr>
              <w:t>nedosljednost</w:t>
            </w:r>
            <w:r w:rsidRPr="002A6F4E">
              <w:rPr>
                <w:rFonts w:ascii="Arial" w:hAnsi="Arial" w:cs="Arial"/>
                <w:spacing w:val="1"/>
                <w:lang w:val="en-US"/>
              </w:rPr>
              <w:t xml:space="preserve"> </w:t>
            </w:r>
            <w:r w:rsidRPr="002A6F4E">
              <w:rPr>
                <w:rFonts w:ascii="Arial" w:hAnsi="Arial" w:cs="Arial"/>
                <w:lang w:val="en-US"/>
              </w:rPr>
              <w:t>u</w:t>
            </w:r>
            <w:r w:rsidRPr="002A6F4E">
              <w:rPr>
                <w:rFonts w:ascii="Arial" w:hAnsi="Arial" w:cs="Arial"/>
                <w:spacing w:val="1"/>
                <w:lang w:val="en-US"/>
              </w:rPr>
              <w:t xml:space="preserve"> </w:t>
            </w:r>
            <w:r w:rsidRPr="002A6F4E">
              <w:rPr>
                <w:rFonts w:ascii="Arial" w:hAnsi="Arial" w:cs="Arial"/>
                <w:lang w:val="en-US"/>
              </w:rPr>
              <w:t>primjeni</w:t>
            </w:r>
            <w:r w:rsidRPr="002A6F4E">
              <w:rPr>
                <w:rFonts w:ascii="Arial" w:hAnsi="Arial" w:cs="Arial"/>
                <w:spacing w:val="1"/>
                <w:lang w:val="en-US"/>
              </w:rPr>
              <w:t xml:space="preserve"> </w:t>
            </w:r>
            <w:r w:rsidRPr="002A6F4E">
              <w:rPr>
                <w:rFonts w:ascii="Arial" w:hAnsi="Arial" w:cs="Arial"/>
                <w:spacing w:val="-47"/>
                <w:lang w:val="en-US"/>
              </w:rPr>
              <w:t xml:space="preserve"> </w:t>
            </w:r>
            <w:r w:rsidR="006156A7">
              <w:rPr>
                <w:rFonts w:ascii="Arial" w:hAnsi="Arial" w:cs="Arial"/>
                <w:spacing w:val="-47"/>
                <w:lang w:val="en-US"/>
              </w:rPr>
              <w:t xml:space="preserve">       </w:t>
            </w:r>
            <w:r w:rsidRPr="002A6F4E">
              <w:rPr>
                <w:rFonts w:ascii="Arial" w:hAnsi="Arial" w:cs="Arial"/>
                <w:lang w:val="en-US"/>
              </w:rPr>
              <w:t>propisa</w:t>
            </w:r>
            <w:r w:rsidRPr="002A6F4E">
              <w:rPr>
                <w:rFonts w:ascii="Arial" w:hAnsi="Arial" w:cs="Arial"/>
                <w:spacing w:val="1"/>
                <w:lang w:val="en-US"/>
              </w:rPr>
              <w:t xml:space="preserve"> </w:t>
            </w:r>
            <w:r w:rsidRPr="002A6F4E">
              <w:rPr>
                <w:rFonts w:ascii="Arial" w:hAnsi="Arial" w:cs="Arial"/>
                <w:lang w:val="en-US"/>
              </w:rPr>
              <w:t>može</w:t>
            </w:r>
            <w:r w:rsidRPr="002A6F4E">
              <w:rPr>
                <w:rFonts w:ascii="Arial" w:hAnsi="Arial" w:cs="Arial"/>
                <w:spacing w:val="1"/>
                <w:lang w:val="en-US"/>
              </w:rPr>
              <w:t xml:space="preserve"> posebno </w:t>
            </w:r>
            <w:r w:rsidRPr="002A6F4E">
              <w:rPr>
                <w:rFonts w:ascii="Arial" w:hAnsi="Arial" w:cs="Arial"/>
                <w:lang w:val="en-US"/>
              </w:rPr>
              <w:t>otežati</w:t>
            </w:r>
            <w:r w:rsidRPr="002A6F4E">
              <w:rPr>
                <w:rFonts w:ascii="Arial" w:hAnsi="Arial" w:cs="Arial"/>
                <w:spacing w:val="1"/>
                <w:lang w:val="en-US"/>
              </w:rPr>
              <w:t xml:space="preserve"> </w:t>
            </w:r>
            <w:r w:rsidRPr="002A6F4E">
              <w:rPr>
                <w:rFonts w:ascii="Arial" w:hAnsi="Arial" w:cs="Arial"/>
                <w:lang w:val="en-US"/>
              </w:rPr>
              <w:t>efikasno</w:t>
            </w:r>
            <w:r w:rsidRPr="002A6F4E">
              <w:rPr>
                <w:rFonts w:ascii="Arial" w:hAnsi="Arial" w:cs="Arial"/>
                <w:spacing w:val="1"/>
                <w:lang w:val="en-US"/>
              </w:rPr>
              <w:t xml:space="preserve"> </w:t>
            </w:r>
            <w:r w:rsidRPr="002A6F4E">
              <w:rPr>
                <w:rFonts w:ascii="Arial" w:hAnsi="Arial" w:cs="Arial"/>
                <w:lang w:val="en-US"/>
              </w:rPr>
              <w:t>upravljanje</w:t>
            </w:r>
            <w:r w:rsidRPr="002A6F4E">
              <w:rPr>
                <w:rFonts w:ascii="Arial" w:hAnsi="Arial" w:cs="Arial"/>
                <w:spacing w:val="1"/>
                <w:lang w:val="en-US"/>
              </w:rPr>
              <w:t xml:space="preserve"> </w:t>
            </w:r>
            <w:r w:rsidRPr="002A6F4E">
              <w:rPr>
                <w:rFonts w:ascii="Arial" w:hAnsi="Arial" w:cs="Arial"/>
                <w:lang w:val="en-US"/>
              </w:rPr>
              <w:t>medicinskim</w:t>
            </w:r>
            <w:r w:rsidRPr="002A6F4E">
              <w:rPr>
                <w:rFonts w:ascii="Arial" w:hAnsi="Arial" w:cs="Arial"/>
                <w:spacing w:val="1"/>
                <w:lang w:val="en-US"/>
              </w:rPr>
              <w:t xml:space="preserve"> otpadom;</w:t>
            </w:r>
            <w:r w:rsidRPr="002A6F4E">
              <w:rPr>
                <w:rFonts w:ascii="Arial" w:hAnsi="Arial" w:cs="Arial"/>
                <w:lang w:val="en-US"/>
              </w:rPr>
              <w:t xml:space="preserve"> </w:t>
            </w:r>
            <w:r w:rsidRPr="002A6F4E">
              <w:rPr>
                <w:rFonts w:ascii="Arial" w:hAnsi="Arial" w:cs="Arial"/>
                <w:spacing w:val="-47"/>
                <w:lang w:val="en-US"/>
              </w:rPr>
              <w:t xml:space="preserve"> </w:t>
            </w:r>
          </w:p>
          <w:p w14:paraId="7B72586A" w14:textId="77777777" w:rsidR="006C693A" w:rsidRPr="002A6F4E" w:rsidRDefault="006C693A" w:rsidP="00A23ED0">
            <w:pPr>
              <w:numPr>
                <w:ilvl w:val="0"/>
                <w:numId w:val="108"/>
              </w:numPr>
              <w:spacing w:line="360" w:lineRule="auto"/>
              <w:contextualSpacing/>
              <w:rPr>
                <w:rFonts w:ascii="Arial" w:hAnsi="Arial" w:cs="Arial"/>
                <w:b w:val="0"/>
                <w:bCs w:val="0"/>
                <w:lang w:val="en-US"/>
              </w:rPr>
            </w:pPr>
            <w:r w:rsidRPr="002A6F4E">
              <w:rPr>
                <w:rFonts w:ascii="Arial" w:hAnsi="Arial" w:cs="Arial"/>
                <w:lang w:val="en-US"/>
              </w:rPr>
              <w:t>Nedostatak</w:t>
            </w:r>
            <w:r w:rsidRPr="002A6F4E">
              <w:rPr>
                <w:rFonts w:ascii="Arial" w:hAnsi="Arial" w:cs="Arial"/>
                <w:spacing w:val="-6"/>
                <w:lang w:val="en-US"/>
              </w:rPr>
              <w:t xml:space="preserve"> </w:t>
            </w:r>
            <w:r w:rsidRPr="002A6F4E">
              <w:rPr>
                <w:rFonts w:ascii="Arial" w:hAnsi="Arial" w:cs="Arial"/>
                <w:lang w:val="en-US"/>
              </w:rPr>
              <w:t>umrežavanja</w:t>
            </w:r>
            <w:r w:rsidRPr="002A6F4E">
              <w:rPr>
                <w:rFonts w:ascii="Arial" w:hAnsi="Arial" w:cs="Arial"/>
                <w:spacing w:val="-6"/>
                <w:lang w:val="en-US"/>
              </w:rPr>
              <w:t xml:space="preserve"> </w:t>
            </w:r>
            <w:r w:rsidRPr="002A6F4E">
              <w:rPr>
                <w:rFonts w:ascii="Arial" w:hAnsi="Arial" w:cs="Arial"/>
                <w:lang w:val="en-US"/>
              </w:rPr>
              <w:t>i</w:t>
            </w:r>
            <w:r w:rsidRPr="002A6F4E">
              <w:rPr>
                <w:rFonts w:ascii="Arial" w:hAnsi="Arial" w:cs="Arial"/>
                <w:spacing w:val="-8"/>
                <w:lang w:val="en-US"/>
              </w:rPr>
              <w:t xml:space="preserve"> </w:t>
            </w:r>
            <w:r w:rsidRPr="002A6F4E">
              <w:rPr>
                <w:rFonts w:ascii="Arial" w:hAnsi="Arial" w:cs="Arial"/>
                <w:lang w:val="en-US"/>
              </w:rPr>
              <w:t>zajedničkog</w:t>
            </w:r>
            <w:r w:rsidRPr="002A6F4E">
              <w:rPr>
                <w:rFonts w:ascii="Arial" w:hAnsi="Arial" w:cs="Arial"/>
                <w:spacing w:val="-6"/>
                <w:lang w:val="en-US"/>
              </w:rPr>
              <w:t xml:space="preserve"> </w:t>
            </w:r>
            <w:r w:rsidRPr="002A6F4E">
              <w:rPr>
                <w:rFonts w:ascii="Arial" w:hAnsi="Arial" w:cs="Arial"/>
                <w:lang w:val="en-US"/>
              </w:rPr>
              <w:t>nastupa lokalnih samouprava;</w:t>
            </w:r>
          </w:p>
          <w:p w14:paraId="6CB6DA2F" w14:textId="77777777" w:rsidR="006C693A" w:rsidRPr="002A6F4E" w:rsidRDefault="006C693A" w:rsidP="00A23ED0">
            <w:pPr>
              <w:numPr>
                <w:ilvl w:val="0"/>
                <w:numId w:val="108"/>
              </w:numPr>
              <w:autoSpaceDE w:val="0"/>
              <w:autoSpaceDN w:val="0"/>
              <w:adjustRightInd w:val="0"/>
              <w:spacing w:line="360" w:lineRule="auto"/>
              <w:contextualSpacing/>
              <w:rPr>
                <w:rFonts w:ascii="Arial" w:eastAsia="TimesNewRomanPSMT" w:hAnsi="Arial" w:cs="Arial"/>
                <w:b w:val="0"/>
                <w:bCs w:val="0"/>
                <w:lang w:val="en-US"/>
              </w:rPr>
            </w:pPr>
            <w:r w:rsidRPr="002A6F4E">
              <w:rPr>
                <w:rFonts w:ascii="Arial" w:eastAsia="TimesNewRomanPSMT" w:hAnsi="Arial" w:cs="Arial"/>
                <w:lang w:val="en-US"/>
              </w:rPr>
              <w:t>Nemogućnost da se u kontinuitetu obezbijedi finansijska održivosti komunalnih preduzeća i aktivnosti upravljanja komunalnim otpadom;</w:t>
            </w:r>
          </w:p>
          <w:p w14:paraId="3DDD2AB2" w14:textId="77777777" w:rsidR="006C693A" w:rsidRPr="002A6F4E" w:rsidRDefault="006C693A" w:rsidP="00A23ED0">
            <w:pPr>
              <w:numPr>
                <w:ilvl w:val="0"/>
                <w:numId w:val="108"/>
              </w:numPr>
              <w:autoSpaceDE w:val="0"/>
              <w:autoSpaceDN w:val="0"/>
              <w:adjustRightInd w:val="0"/>
              <w:spacing w:line="360" w:lineRule="auto"/>
              <w:contextualSpacing/>
              <w:rPr>
                <w:rFonts w:ascii="Arial" w:hAnsi="Arial" w:cs="Arial"/>
                <w:b w:val="0"/>
                <w:bCs w:val="0"/>
                <w:lang w:val="sr-Latn-CS"/>
              </w:rPr>
            </w:pPr>
            <w:r w:rsidRPr="002A6F4E">
              <w:rPr>
                <w:rFonts w:ascii="Arial" w:eastAsia="TimesNewRomanPSMT" w:hAnsi="Arial" w:cs="Arial"/>
                <w:lang w:val="en-US"/>
              </w:rPr>
              <w:t>Nedovolno osnažen princip “zagađivač plaća” tako što osigurava da troškove upravljanja otpadom snose oni koji su odgovorni za generisanje otpada;</w:t>
            </w:r>
          </w:p>
          <w:p w14:paraId="68BBBE9C" w14:textId="3CA760B9" w:rsidR="006C693A" w:rsidRPr="002A6F4E" w:rsidRDefault="006C693A" w:rsidP="00A23ED0">
            <w:pPr>
              <w:widowControl w:val="0"/>
              <w:numPr>
                <w:ilvl w:val="0"/>
                <w:numId w:val="108"/>
              </w:numPr>
              <w:tabs>
                <w:tab w:val="left" w:pos="572"/>
              </w:tabs>
              <w:autoSpaceDE w:val="0"/>
              <w:autoSpaceDN w:val="0"/>
              <w:spacing w:before="1" w:line="360" w:lineRule="auto"/>
              <w:rPr>
                <w:rFonts w:ascii="Arial" w:eastAsia="Times New Roman" w:hAnsi="Arial" w:cs="Arial"/>
                <w:b w:val="0"/>
                <w:bCs w:val="0"/>
                <w:lang w:val="bs-Latn"/>
              </w:rPr>
            </w:pPr>
            <w:r w:rsidRPr="002A6F4E">
              <w:rPr>
                <w:rFonts w:ascii="Arial" w:eastAsia="Times New Roman" w:hAnsi="Arial" w:cs="Arial"/>
                <w:lang w:val="bs-Latn"/>
              </w:rPr>
              <w:t xml:space="preserve">  Značajan</w:t>
            </w:r>
            <w:r w:rsidRPr="002A6F4E">
              <w:rPr>
                <w:rFonts w:ascii="Arial" w:eastAsia="Times New Roman" w:hAnsi="Arial" w:cs="Arial"/>
                <w:spacing w:val="-7"/>
                <w:lang w:val="bs-Latn"/>
              </w:rPr>
              <w:t xml:space="preserve"> </w:t>
            </w:r>
            <w:r w:rsidRPr="002A6F4E">
              <w:rPr>
                <w:rFonts w:ascii="Arial" w:eastAsia="Times New Roman" w:hAnsi="Arial" w:cs="Arial"/>
                <w:lang w:val="bs-Latn"/>
              </w:rPr>
              <w:t>udio</w:t>
            </w:r>
            <w:r w:rsidRPr="002A6F4E">
              <w:rPr>
                <w:rFonts w:ascii="Arial" w:eastAsia="Times New Roman" w:hAnsi="Arial" w:cs="Arial"/>
                <w:spacing w:val="-6"/>
                <w:lang w:val="bs-Latn"/>
              </w:rPr>
              <w:t xml:space="preserve"> </w:t>
            </w:r>
            <w:r w:rsidRPr="002A6F4E">
              <w:rPr>
                <w:rFonts w:ascii="Arial" w:eastAsia="Times New Roman" w:hAnsi="Arial" w:cs="Arial"/>
                <w:lang w:val="bs-Latn"/>
              </w:rPr>
              <w:t>biomase</w:t>
            </w:r>
            <w:r w:rsidRPr="002A6F4E">
              <w:rPr>
                <w:rFonts w:ascii="Arial" w:eastAsia="Times New Roman" w:hAnsi="Arial" w:cs="Arial"/>
                <w:spacing w:val="-4"/>
                <w:lang w:val="bs-Latn"/>
              </w:rPr>
              <w:t xml:space="preserve"> </w:t>
            </w:r>
            <w:r w:rsidRPr="002A6F4E">
              <w:rPr>
                <w:rFonts w:ascii="Arial" w:eastAsia="Times New Roman" w:hAnsi="Arial" w:cs="Arial"/>
                <w:lang w:val="bs-Latn"/>
              </w:rPr>
              <w:t>nije</w:t>
            </w:r>
            <w:r w:rsidRPr="002A6F4E">
              <w:rPr>
                <w:rFonts w:ascii="Arial" w:eastAsia="Times New Roman" w:hAnsi="Arial" w:cs="Arial"/>
                <w:spacing w:val="-4"/>
                <w:lang w:val="bs-Latn"/>
              </w:rPr>
              <w:t xml:space="preserve"> </w:t>
            </w:r>
            <w:r w:rsidRPr="002A6F4E">
              <w:rPr>
                <w:rFonts w:ascii="Arial" w:eastAsia="Times New Roman" w:hAnsi="Arial" w:cs="Arial"/>
                <w:spacing w:val="-2"/>
                <w:lang w:val="bs-Latn"/>
              </w:rPr>
              <w:t>iskorišten;</w:t>
            </w:r>
          </w:p>
          <w:p w14:paraId="058C5F9C" w14:textId="7B4165DA" w:rsidR="006C693A" w:rsidRPr="002A6F4E" w:rsidRDefault="006C693A" w:rsidP="00A23ED0">
            <w:pPr>
              <w:widowControl w:val="0"/>
              <w:numPr>
                <w:ilvl w:val="0"/>
                <w:numId w:val="108"/>
              </w:numPr>
              <w:tabs>
                <w:tab w:val="left" w:pos="572"/>
              </w:tabs>
              <w:autoSpaceDE w:val="0"/>
              <w:autoSpaceDN w:val="0"/>
              <w:spacing w:before="1" w:line="360" w:lineRule="auto"/>
              <w:rPr>
                <w:rFonts w:ascii="Arial" w:eastAsia="Times New Roman" w:hAnsi="Arial" w:cs="Arial"/>
                <w:b w:val="0"/>
                <w:bCs w:val="0"/>
                <w:lang w:val="bs-Latn"/>
              </w:rPr>
            </w:pPr>
            <w:r w:rsidRPr="002A6F4E">
              <w:rPr>
                <w:rFonts w:ascii="Arial" w:eastAsia="Times New Roman" w:hAnsi="Arial" w:cs="Arial"/>
                <w:spacing w:val="-2"/>
                <w:lang w:val="bs-Latn"/>
              </w:rPr>
              <w:t xml:space="preserve">  </w:t>
            </w:r>
            <w:r w:rsidRPr="002A6F4E">
              <w:rPr>
                <w:rFonts w:ascii="Arial" w:eastAsia="Times New Roman" w:hAnsi="Arial" w:cs="Arial"/>
                <w:lang w:val="bs-Latn"/>
              </w:rPr>
              <w:t xml:space="preserve">Povremeno izlivanje u vodotokove, kanale, drenažne sisteme i sl. na štetu zagađenja </w:t>
            </w:r>
            <w:r w:rsidR="000B3E65">
              <w:rPr>
                <w:rFonts w:ascii="Arial" w:eastAsia="Times New Roman" w:hAnsi="Arial" w:cs="Arial"/>
                <w:lang w:val="bs-Latn"/>
              </w:rPr>
              <w:t>životne sredine</w:t>
            </w:r>
            <w:r w:rsidRPr="002A6F4E">
              <w:rPr>
                <w:rFonts w:ascii="Arial" w:eastAsia="Times New Roman" w:hAnsi="Arial" w:cs="Arial"/>
                <w:lang w:val="bs-Latn"/>
              </w:rPr>
              <w:t>;</w:t>
            </w:r>
          </w:p>
        </w:tc>
      </w:tr>
    </w:tbl>
    <w:p w14:paraId="3176935B" w14:textId="77777777" w:rsidR="006C693A" w:rsidRPr="002A6F4E" w:rsidRDefault="006C693A" w:rsidP="006C693A">
      <w:pPr>
        <w:spacing w:after="160" w:line="360" w:lineRule="auto"/>
        <w:rPr>
          <w:rFonts w:ascii="Arial" w:hAnsi="Arial" w:cs="Arial"/>
          <w:lang w:val="bs-Latn"/>
        </w:rPr>
      </w:pPr>
    </w:p>
    <w:p w14:paraId="791AAEAB" w14:textId="52E53624" w:rsidR="006C693A" w:rsidRDefault="006C693A" w:rsidP="003915E9">
      <w:pPr>
        <w:spacing w:line="360" w:lineRule="auto"/>
        <w:rPr>
          <w:rFonts w:ascii="Arial" w:hAnsi="Arial" w:cs="Arial"/>
          <w:lang w:val="bs-Latn"/>
        </w:rPr>
      </w:pPr>
      <w:r w:rsidRPr="002A6F4E">
        <w:rPr>
          <w:rFonts w:ascii="Arial" w:hAnsi="Arial" w:cs="Arial"/>
          <w:lang w:val="en-US"/>
        </w:rPr>
        <w:t>Iz</w:t>
      </w:r>
      <w:r w:rsidRPr="002A6F4E">
        <w:rPr>
          <w:rFonts w:ascii="Arial" w:hAnsi="Arial" w:cs="Arial"/>
          <w:lang w:val="bs-Latn"/>
        </w:rPr>
        <w:t xml:space="preserve"> </w:t>
      </w:r>
      <w:r w:rsidRPr="002A6F4E">
        <w:rPr>
          <w:rFonts w:ascii="Arial" w:hAnsi="Arial" w:cs="Arial"/>
          <w:lang w:val="en-US"/>
        </w:rPr>
        <w:t>nalaza</w:t>
      </w:r>
      <w:r w:rsidRPr="002A6F4E">
        <w:rPr>
          <w:rFonts w:ascii="Arial" w:hAnsi="Arial" w:cs="Arial"/>
          <w:lang w:val="bs-Latn"/>
        </w:rPr>
        <w:t xml:space="preserve"> </w:t>
      </w:r>
      <w:r w:rsidRPr="002A6F4E">
        <w:rPr>
          <w:rFonts w:ascii="Arial" w:hAnsi="Arial" w:cs="Arial"/>
          <w:lang w:val="en-US"/>
        </w:rPr>
        <w:t>SWOT</w:t>
      </w:r>
      <w:r w:rsidRPr="002A6F4E">
        <w:rPr>
          <w:rFonts w:ascii="Arial" w:hAnsi="Arial" w:cs="Arial"/>
          <w:lang w:val="bs-Latn"/>
        </w:rPr>
        <w:t xml:space="preserve"> </w:t>
      </w:r>
      <w:r w:rsidRPr="002A6F4E">
        <w:rPr>
          <w:rFonts w:ascii="Arial" w:hAnsi="Arial" w:cs="Arial"/>
          <w:lang w:val="en-US"/>
        </w:rPr>
        <w:t>analize</w:t>
      </w:r>
      <w:r w:rsidRPr="002A6F4E">
        <w:rPr>
          <w:rFonts w:ascii="Arial" w:hAnsi="Arial" w:cs="Arial"/>
          <w:lang w:val="bs-Latn"/>
        </w:rPr>
        <w:t xml:space="preserve"> </w:t>
      </w:r>
      <w:r w:rsidRPr="002A6F4E">
        <w:rPr>
          <w:rFonts w:ascii="Arial" w:hAnsi="Arial" w:cs="Arial"/>
          <w:lang w:val="en-US"/>
        </w:rPr>
        <w:t>bitnih</w:t>
      </w:r>
      <w:r w:rsidRPr="002A6F4E">
        <w:rPr>
          <w:rFonts w:ascii="Arial" w:hAnsi="Arial" w:cs="Arial"/>
          <w:lang w:val="bs-Latn"/>
        </w:rPr>
        <w:t xml:space="preserve"> </w:t>
      </w:r>
      <w:r w:rsidRPr="002A6F4E">
        <w:rPr>
          <w:rFonts w:ascii="Arial" w:hAnsi="Arial" w:cs="Arial"/>
          <w:lang w:val="en-US"/>
        </w:rPr>
        <w:t>odrednica</w:t>
      </w:r>
      <w:r w:rsidRPr="002A6F4E">
        <w:rPr>
          <w:rFonts w:ascii="Arial" w:hAnsi="Arial" w:cs="Arial"/>
          <w:lang w:val="bs-Latn"/>
        </w:rPr>
        <w:t xml:space="preserve"> </w:t>
      </w:r>
      <w:r w:rsidRPr="002A6F4E">
        <w:rPr>
          <w:rFonts w:ascii="Arial" w:hAnsi="Arial" w:cs="Arial"/>
          <w:lang w:val="en-US"/>
        </w:rPr>
        <w:t>novog</w:t>
      </w:r>
      <w:r w:rsidRPr="002A6F4E">
        <w:rPr>
          <w:rFonts w:ascii="Arial" w:hAnsi="Arial" w:cs="Arial"/>
          <w:lang w:val="bs-Latn"/>
        </w:rPr>
        <w:t xml:space="preserve"> </w:t>
      </w:r>
      <w:r w:rsidRPr="002A6F4E">
        <w:rPr>
          <w:rFonts w:ascii="Arial" w:hAnsi="Arial" w:cs="Arial"/>
          <w:lang w:val="en-US"/>
        </w:rPr>
        <w:t>konceptualnog</w:t>
      </w:r>
      <w:r w:rsidRPr="002A6F4E">
        <w:rPr>
          <w:rFonts w:ascii="Arial" w:hAnsi="Arial" w:cs="Arial"/>
          <w:lang w:val="bs-Latn"/>
        </w:rPr>
        <w:t xml:space="preserve"> </w:t>
      </w:r>
      <w:r w:rsidRPr="002A6F4E">
        <w:rPr>
          <w:rFonts w:ascii="Arial" w:hAnsi="Arial" w:cs="Arial"/>
          <w:lang w:val="en-US"/>
        </w:rPr>
        <w:t>okvira</w:t>
      </w:r>
      <w:r w:rsidRPr="002A6F4E">
        <w:rPr>
          <w:rFonts w:ascii="Arial" w:hAnsi="Arial" w:cs="Arial"/>
          <w:lang w:val="bs-Latn"/>
        </w:rPr>
        <w:t xml:space="preserve"> </w:t>
      </w:r>
      <w:r w:rsidRPr="002A6F4E">
        <w:rPr>
          <w:rFonts w:ascii="Arial" w:hAnsi="Arial" w:cs="Arial"/>
          <w:lang w:val="en-US"/>
        </w:rPr>
        <w:t>DPUO</w:t>
      </w:r>
      <w:r w:rsidRPr="002A6F4E">
        <w:rPr>
          <w:rFonts w:ascii="Arial" w:hAnsi="Arial" w:cs="Arial"/>
          <w:lang w:val="bs-Latn"/>
        </w:rPr>
        <w:t xml:space="preserve"> </w:t>
      </w:r>
      <w:r w:rsidRPr="002A6F4E">
        <w:rPr>
          <w:rFonts w:ascii="Arial" w:hAnsi="Arial" w:cs="Arial"/>
          <w:lang w:val="en-US"/>
        </w:rPr>
        <w:t>name</w:t>
      </w:r>
      <w:r w:rsidRPr="002A6F4E">
        <w:rPr>
          <w:rFonts w:ascii="Arial" w:hAnsi="Arial" w:cs="Arial"/>
          <w:lang w:val="bs-Latn"/>
        </w:rPr>
        <w:t>ć</w:t>
      </w:r>
      <w:r w:rsidRPr="002A6F4E">
        <w:rPr>
          <w:rFonts w:ascii="Arial" w:hAnsi="Arial" w:cs="Arial"/>
          <w:lang w:val="en-US"/>
        </w:rPr>
        <w:t>e</w:t>
      </w:r>
      <w:r w:rsidRPr="002A6F4E">
        <w:rPr>
          <w:rFonts w:ascii="Arial" w:hAnsi="Arial" w:cs="Arial"/>
          <w:lang w:val="bs-Latn"/>
        </w:rPr>
        <w:t xml:space="preserve"> </w:t>
      </w:r>
      <w:r w:rsidRPr="002A6F4E">
        <w:rPr>
          <w:rFonts w:ascii="Arial" w:hAnsi="Arial" w:cs="Arial"/>
          <w:lang w:val="en-US"/>
        </w:rPr>
        <w:t>se</w:t>
      </w:r>
      <w:r w:rsidRPr="002A6F4E">
        <w:rPr>
          <w:rFonts w:ascii="Arial" w:hAnsi="Arial" w:cs="Arial"/>
          <w:lang w:val="bs-Latn"/>
        </w:rPr>
        <w:t xml:space="preserve"> </w:t>
      </w:r>
      <w:r w:rsidRPr="002A6F4E">
        <w:rPr>
          <w:rFonts w:ascii="Arial" w:hAnsi="Arial" w:cs="Arial"/>
          <w:lang w:val="en-US"/>
        </w:rPr>
        <w:t>zaklju</w:t>
      </w:r>
      <w:r w:rsidRPr="002A6F4E">
        <w:rPr>
          <w:rFonts w:ascii="Arial" w:hAnsi="Arial" w:cs="Arial"/>
          <w:lang w:val="bs-Latn"/>
        </w:rPr>
        <w:t>č</w:t>
      </w:r>
      <w:r w:rsidRPr="002A6F4E">
        <w:rPr>
          <w:rFonts w:ascii="Arial" w:hAnsi="Arial" w:cs="Arial"/>
          <w:lang w:val="en-US"/>
        </w:rPr>
        <w:t>ak</w:t>
      </w:r>
      <w:r w:rsidRPr="002A6F4E">
        <w:rPr>
          <w:rFonts w:ascii="Arial" w:hAnsi="Arial" w:cs="Arial"/>
          <w:lang w:val="bs-Latn"/>
        </w:rPr>
        <w:t xml:space="preserve"> </w:t>
      </w:r>
      <w:r w:rsidRPr="002A6F4E">
        <w:rPr>
          <w:rFonts w:ascii="Arial" w:hAnsi="Arial" w:cs="Arial"/>
          <w:lang w:val="en-US"/>
        </w:rPr>
        <w:t>da</w:t>
      </w:r>
      <w:r w:rsidRPr="002A6F4E">
        <w:rPr>
          <w:rFonts w:ascii="Arial" w:hAnsi="Arial" w:cs="Arial"/>
          <w:lang w:val="bs-Latn"/>
        </w:rPr>
        <w:t xml:space="preserve"> </w:t>
      </w:r>
      <w:r w:rsidRPr="002A6F4E">
        <w:rPr>
          <w:rFonts w:ascii="Arial" w:hAnsi="Arial" w:cs="Arial"/>
          <w:lang w:val="en-US"/>
        </w:rPr>
        <w:t>su</w:t>
      </w:r>
      <w:r w:rsidRPr="002A6F4E">
        <w:rPr>
          <w:rFonts w:ascii="Arial" w:hAnsi="Arial" w:cs="Arial"/>
          <w:lang w:val="bs-Latn"/>
        </w:rPr>
        <w:t xml:space="preserve"> </w:t>
      </w:r>
      <w:r w:rsidRPr="002A6F4E">
        <w:rPr>
          <w:rFonts w:ascii="Arial" w:hAnsi="Arial" w:cs="Arial"/>
          <w:lang w:val="en-US"/>
        </w:rPr>
        <w:t>relevantni</w:t>
      </w:r>
      <w:r w:rsidRPr="002A6F4E">
        <w:rPr>
          <w:rFonts w:ascii="Arial" w:hAnsi="Arial" w:cs="Arial"/>
          <w:lang w:val="bs-Latn"/>
        </w:rPr>
        <w:t xml:space="preserve"> </w:t>
      </w:r>
      <w:r w:rsidRPr="002A6F4E">
        <w:rPr>
          <w:rFonts w:ascii="Arial" w:hAnsi="Arial" w:cs="Arial"/>
          <w:lang w:val="en-US"/>
        </w:rPr>
        <w:t>dr</w:t>
      </w:r>
      <w:r w:rsidRPr="002A6F4E">
        <w:rPr>
          <w:rFonts w:ascii="Arial" w:hAnsi="Arial" w:cs="Arial"/>
          <w:lang w:val="bs-Latn"/>
        </w:rPr>
        <w:t>ž</w:t>
      </w:r>
      <w:r w:rsidRPr="002A6F4E">
        <w:rPr>
          <w:rFonts w:ascii="Arial" w:hAnsi="Arial" w:cs="Arial"/>
          <w:lang w:val="en-US"/>
        </w:rPr>
        <w:t>avni</w:t>
      </w:r>
      <w:r w:rsidRPr="002A6F4E">
        <w:rPr>
          <w:rFonts w:ascii="Arial" w:hAnsi="Arial" w:cs="Arial"/>
          <w:lang w:val="bs-Latn"/>
        </w:rPr>
        <w:t xml:space="preserve"> </w:t>
      </w:r>
      <w:r w:rsidRPr="002A6F4E">
        <w:rPr>
          <w:rFonts w:ascii="Arial" w:hAnsi="Arial" w:cs="Arial"/>
          <w:lang w:val="en-US"/>
        </w:rPr>
        <w:t>organi</w:t>
      </w:r>
      <w:r w:rsidRPr="002A6F4E">
        <w:rPr>
          <w:rFonts w:ascii="Arial" w:hAnsi="Arial" w:cs="Arial"/>
          <w:lang w:val="bs-Latn"/>
        </w:rPr>
        <w:t xml:space="preserve"> </w:t>
      </w:r>
      <w:r w:rsidRPr="002A6F4E">
        <w:rPr>
          <w:rFonts w:ascii="Arial" w:hAnsi="Arial" w:cs="Arial"/>
          <w:lang w:val="en-US"/>
        </w:rPr>
        <w:t>u</w:t>
      </w:r>
      <w:r w:rsidRPr="002A6F4E">
        <w:rPr>
          <w:rFonts w:ascii="Arial" w:hAnsi="Arial" w:cs="Arial"/>
          <w:lang w:val="bs-Latn"/>
        </w:rPr>
        <w:t xml:space="preserve"> </w:t>
      </w:r>
      <w:r w:rsidRPr="002A6F4E">
        <w:rPr>
          <w:rFonts w:ascii="Arial" w:hAnsi="Arial" w:cs="Arial"/>
          <w:lang w:val="en-US"/>
        </w:rPr>
        <w:t>institucionalnoj</w:t>
      </w:r>
      <w:r w:rsidRPr="002A6F4E">
        <w:rPr>
          <w:rFonts w:ascii="Arial" w:hAnsi="Arial" w:cs="Arial"/>
          <w:lang w:val="bs-Latn"/>
        </w:rPr>
        <w:t xml:space="preserve"> </w:t>
      </w:r>
      <w:r w:rsidRPr="002A6F4E">
        <w:rPr>
          <w:rFonts w:ascii="Arial" w:hAnsi="Arial" w:cs="Arial"/>
          <w:lang w:val="en-US"/>
        </w:rPr>
        <w:t>sferi</w:t>
      </w:r>
      <w:r w:rsidRPr="002A6F4E">
        <w:rPr>
          <w:rFonts w:ascii="Arial" w:hAnsi="Arial" w:cs="Arial"/>
          <w:lang w:val="bs-Latn"/>
        </w:rPr>
        <w:t xml:space="preserve"> </w:t>
      </w:r>
      <w:r w:rsidRPr="002A6F4E">
        <w:rPr>
          <w:rFonts w:ascii="Arial" w:hAnsi="Arial" w:cs="Arial"/>
          <w:lang w:val="en-US"/>
        </w:rPr>
        <w:t>pokrenuli</w:t>
      </w:r>
      <w:r w:rsidRPr="002A6F4E">
        <w:rPr>
          <w:rFonts w:ascii="Arial" w:hAnsi="Arial" w:cs="Arial"/>
          <w:lang w:val="bs-Latn"/>
        </w:rPr>
        <w:t xml:space="preserve"> </w:t>
      </w:r>
      <w:r w:rsidRPr="002A6F4E">
        <w:rPr>
          <w:rFonts w:ascii="Arial" w:hAnsi="Arial" w:cs="Arial"/>
          <w:lang w:val="en-US"/>
        </w:rPr>
        <w:t>promjene</w:t>
      </w:r>
      <w:r w:rsidRPr="002A6F4E">
        <w:rPr>
          <w:rFonts w:ascii="Arial" w:hAnsi="Arial" w:cs="Arial"/>
          <w:lang w:val="bs-Latn"/>
        </w:rPr>
        <w:t xml:space="preserve"> </w:t>
      </w:r>
      <w:r w:rsidRPr="002A6F4E">
        <w:rPr>
          <w:rFonts w:ascii="Arial" w:hAnsi="Arial" w:cs="Arial"/>
          <w:lang w:val="en-US"/>
        </w:rPr>
        <w:t>koje</w:t>
      </w:r>
      <w:r w:rsidRPr="002A6F4E">
        <w:rPr>
          <w:rFonts w:ascii="Arial" w:hAnsi="Arial" w:cs="Arial"/>
          <w:lang w:val="bs-Latn"/>
        </w:rPr>
        <w:t xml:space="preserve">, </w:t>
      </w:r>
      <w:r w:rsidRPr="002A6F4E">
        <w:rPr>
          <w:rFonts w:ascii="Arial" w:hAnsi="Arial" w:cs="Arial"/>
          <w:lang w:val="en-US"/>
        </w:rPr>
        <w:t>ako</w:t>
      </w:r>
      <w:r w:rsidRPr="002A6F4E">
        <w:rPr>
          <w:rFonts w:ascii="Arial" w:hAnsi="Arial" w:cs="Arial"/>
          <w:lang w:val="bs-Latn"/>
        </w:rPr>
        <w:t xml:space="preserve"> </w:t>
      </w:r>
      <w:r w:rsidRPr="002A6F4E">
        <w:rPr>
          <w:rFonts w:ascii="Arial" w:hAnsi="Arial" w:cs="Arial"/>
          <w:lang w:val="en-US"/>
        </w:rPr>
        <w:t>budu</w:t>
      </w:r>
      <w:r w:rsidRPr="002A6F4E">
        <w:rPr>
          <w:rFonts w:ascii="Arial" w:hAnsi="Arial" w:cs="Arial"/>
          <w:lang w:val="bs-Latn"/>
        </w:rPr>
        <w:t xml:space="preserve"> </w:t>
      </w:r>
      <w:r w:rsidRPr="002A6F4E">
        <w:rPr>
          <w:rFonts w:ascii="Arial" w:hAnsi="Arial" w:cs="Arial"/>
          <w:lang w:val="en-US"/>
        </w:rPr>
        <w:t>dosljedno</w:t>
      </w:r>
      <w:r w:rsidRPr="002A6F4E">
        <w:rPr>
          <w:rFonts w:ascii="Arial" w:hAnsi="Arial" w:cs="Arial"/>
          <w:lang w:val="bs-Latn"/>
        </w:rPr>
        <w:t xml:space="preserve"> </w:t>
      </w:r>
      <w:r w:rsidRPr="002A6F4E">
        <w:rPr>
          <w:rFonts w:ascii="Arial" w:hAnsi="Arial" w:cs="Arial"/>
          <w:lang w:val="en-US"/>
        </w:rPr>
        <w:t>implementirane</w:t>
      </w:r>
      <w:r w:rsidRPr="002A6F4E">
        <w:rPr>
          <w:rFonts w:ascii="Arial" w:hAnsi="Arial" w:cs="Arial"/>
          <w:lang w:val="bs-Latn"/>
        </w:rPr>
        <w:t xml:space="preserve"> </w:t>
      </w:r>
      <w:r w:rsidRPr="002A6F4E">
        <w:rPr>
          <w:rFonts w:ascii="Arial" w:hAnsi="Arial" w:cs="Arial"/>
          <w:lang w:val="en-US"/>
        </w:rPr>
        <w:t>sve</w:t>
      </w:r>
      <w:r w:rsidRPr="002A6F4E">
        <w:rPr>
          <w:rFonts w:ascii="Arial" w:hAnsi="Arial" w:cs="Arial"/>
          <w:lang w:val="bs-Latn"/>
        </w:rPr>
        <w:t xml:space="preserve"> </w:t>
      </w:r>
      <w:r w:rsidRPr="002A6F4E">
        <w:rPr>
          <w:rFonts w:ascii="Arial" w:hAnsi="Arial" w:cs="Arial"/>
          <w:lang w:val="en-US"/>
        </w:rPr>
        <w:t>do</w:t>
      </w:r>
      <w:r w:rsidRPr="002A6F4E">
        <w:rPr>
          <w:rFonts w:ascii="Arial" w:hAnsi="Arial" w:cs="Arial"/>
          <w:lang w:val="bs-Latn"/>
        </w:rPr>
        <w:t xml:space="preserve"> </w:t>
      </w:r>
      <w:r w:rsidRPr="002A6F4E">
        <w:rPr>
          <w:rFonts w:ascii="Arial" w:hAnsi="Arial" w:cs="Arial"/>
          <w:lang w:val="en-US"/>
        </w:rPr>
        <w:t>nivoa</w:t>
      </w:r>
      <w:r w:rsidRPr="002A6F4E">
        <w:rPr>
          <w:rFonts w:ascii="Arial" w:hAnsi="Arial" w:cs="Arial"/>
          <w:lang w:val="bs-Latn"/>
        </w:rPr>
        <w:t xml:space="preserve"> </w:t>
      </w:r>
      <w:r w:rsidRPr="002A6F4E">
        <w:rPr>
          <w:rFonts w:ascii="Arial" w:hAnsi="Arial" w:cs="Arial"/>
          <w:lang w:val="en-US"/>
        </w:rPr>
        <w:t>lokalne</w:t>
      </w:r>
      <w:r w:rsidRPr="002A6F4E">
        <w:rPr>
          <w:rFonts w:ascii="Arial" w:hAnsi="Arial" w:cs="Arial"/>
          <w:lang w:val="bs-Latn"/>
        </w:rPr>
        <w:t xml:space="preserve"> </w:t>
      </w:r>
      <w:r w:rsidRPr="002A6F4E">
        <w:rPr>
          <w:rFonts w:ascii="Arial" w:hAnsi="Arial" w:cs="Arial"/>
          <w:lang w:val="en-US"/>
        </w:rPr>
        <w:t>samouprave</w:t>
      </w:r>
      <w:r w:rsidRPr="002A6F4E">
        <w:rPr>
          <w:rFonts w:ascii="Arial" w:hAnsi="Arial" w:cs="Arial"/>
          <w:lang w:val="bs-Latn"/>
        </w:rPr>
        <w:t xml:space="preserve">, </w:t>
      </w:r>
      <w:r w:rsidRPr="002A6F4E">
        <w:rPr>
          <w:rFonts w:ascii="Arial" w:hAnsi="Arial" w:cs="Arial"/>
          <w:lang w:val="en-US"/>
        </w:rPr>
        <w:t>mogu</w:t>
      </w:r>
      <w:r w:rsidRPr="002A6F4E">
        <w:rPr>
          <w:rFonts w:ascii="Arial" w:hAnsi="Arial" w:cs="Arial"/>
          <w:lang w:val="bs-Latn"/>
        </w:rPr>
        <w:t xml:space="preserve"> </w:t>
      </w:r>
      <w:r w:rsidRPr="002A6F4E">
        <w:rPr>
          <w:rFonts w:ascii="Arial" w:hAnsi="Arial" w:cs="Arial"/>
          <w:lang w:val="en-US"/>
        </w:rPr>
        <w:t>rezultirati</w:t>
      </w:r>
      <w:r w:rsidRPr="002A6F4E">
        <w:rPr>
          <w:rFonts w:ascii="Arial" w:hAnsi="Arial" w:cs="Arial"/>
          <w:lang w:val="bs-Latn"/>
        </w:rPr>
        <w:t xml:space="preserve"> </w:t>
      </w:r>
      <w:r w:rsidRPr="002A6F4E">
        <w:rPr>
          <w:rFonts w:ascii="Arial" w:hAnsi="Arial" w:cs="Arial"/>
          <w:lang w:val="en-US"/>
        </w:rPr>
        <w:t>pozitivnim</w:t>
      </w:r>
      <w:r w:rsidRPr="002A6F4E">
        <w:rPr>
          <w:rFonts w:ascii="Arial" w:hAnsi="Arial" w:cs="Arial"/>
          <w:lang w:val="bs-Latn"/>
        </w:rPr>
        <w:t xml:space="preserve"> </w:t>
      </w:r>
      <w:r w:rsidRPr="002A6F4E">
        <w:rPr>
          <w:rFonts w:ascii="Arial" w:hAnsi="Arial" w:cs="Arial"/>
          <w:lang w:val="en-US"/>
        </w:rPr>
        <w:t>u</w:t>
      </w:r>
      <w:r w:rsidRPr="002A6F4E">
        <w:rPr>
          <w:rFonts w:ascii="Arial" w:hAnsi="Arial" w:cs="Arial"/>
          <w:lang w:val="bs-Latn"/>
        </w:rPr>
        <w:t>č</w:t>
      </w:r>
      <w:r w:rsidRPr="002A6F4E">
        <w:rPr>
          <w:rFonts w:ascii="Arial" w:hAnsi="Arial" w:cs="Arial"/>
          <w:lang w:val="en-US"/>
        </w:rPr>
        <w:t>incima</w:t>
      </w:r>
      <w:r w:rsidRPr="002A6F4E">
        <w:rPr>
          <w:rFonts w:ascii="Arial" w:hAnsi="Arial" w:cs="Arial"/>
          <w:lang w:val="bs-Latn"/>
        </w:rPr>
        <w:t xml:space="preserve">.  </w:t>
      </w:r>
      <w:r w:rsidRPr="002A6F4E">
        <w:rPr>
          <w:rFonts w:ascii="Arial" w:hAnsi="Arial" w:cs="Arial"/>
          <w:lang w:val="en-US"/>
        </w:rPr>
        <w:t>Naime</w:t>
      </w:r>
      <w:r w:rsidRPr="002A6F4E">
        <w:rPr>
          <w:rFonts w:ascii="Arial" w:hAnsi="Arial" w:cs="Arial"/>
          <w:lang w:val="bs-Latn"/>
        </w:rPr>
        <w:t xml:space="preserve">, </w:t>
      </w:r>
      <w:r w:rsidRPr="002A6F4E">
        <w:rPr>
          <w:rFonts w:ascii="Arial" w:hAnsi="Arial" w:cs="Arial"/>
          <w:lang w:val="en-US"/>
        </w:rPr>
        <w:t>kako</w:t>
      </w:r>
      <w:r w:rsidRPr="002A6F4E">
        <w:rPr>
          <w:rFonts w:ascii="Arial" w:hAnsi="Arial" w:cs="Arial"/>
          <w:lang w:val="bs-Latn"/>
        </w:rPr>
        <w:t xml:space="preserve"> </w:t>
      </w:r>
      <w:r w:rsidRPr="002A6F4E">
        <w:rPr>
          <w:rFonts w:ascii="Arial" w:hAnsi="Arial" w:cs="Arial"/>
          <w:lang w:val="en-US"/>
        </w:rPr>
        <w:t>je</w:t>
      </w:r>
      <w:r w:rsidRPr="002A6F4E">
        <w:rPr>
          <w:rFonts w:ascii="Arial" w:hAnsi="Arial" w:cs="Arial"/>
          <w:lang w:val="bs-Latn"/>
        </w:rPr>
        <w:t xml:space="preserve"> </w:t>
      </w:r>
      <w:r w:rsidRPr="002A6F4E">
        <w:rPr>
          <w:rFonts w:ascii="Arial" w:hAnsi="Arial" w:cs="Arial"/>
          <w:lang w:val="en-US"/>
        </w:rPr>
        <w:t>dosada</w:t>
      </w:r>
      <w:r w:rsidRPr="002A6F4E">
        <w:rPr>
          <w:rFonts w:ascii="Arial" w:hAnsi="Arial" w:cs="Arial"/>
          <w:lang w:val="bs-Latn"/>
        </w:rPr>
        <w:t>š</w:t>
      </w:r>
      <w:r w:rsidRPr="002A6F4E">
        <w:rPr>
          <w:rFonts w:ascii="Arial" w:hAnsi="Arial" w:cs="Arial"/>
          <w:lang w:val="en-US"/>
        </w:rPr>
        <w:t>nja</w:t>
      </w:r>
      <w:r w:rsidRPr="002A6F4E">
        <w:rPr>
          <w:rFonts w:ascii="Arial" w:hAnsi="Arial" w:cs="Arial"/>
          <w:lang w:val="bs-Latn"/>
        </w:rPr>
        <w:t xml:space="preserve"> </w:t>
      </w:r>
      <w:r w:rsidRPr="002A6F4E">
        <w:rPr>
          <w:rFonts w:ascii="Arial" w:hAnsi="Arial" w:cs="Arial"/>
          <w:lang w:val="en-US"/>
        </w:rPr>
        <w:t>praksa</w:t>
      </w:r>
      <w:r w:rsidRPr="002A6F4E">
        <w:rPr>
          <w:rFonts w:ascii="Arial" w:hAnsi="Arial" w:cs="Arial"/>
          <w:lang w:val="bs-Latn"/>
        </w:rPr>
        <w:t xml:space="preserve"> </w:t>
      </w:r>
      <w:r w:rsidRPr="002A6F4E">
        <w:rPr>
          <w:rFonts w:ascii="Arial" w:hAnsi="Arial" w:cs="Arial"/>
          <w:lang w:val="en-US"/>
        </w:rPr>
        <w:t>upravljanja</w:t>
      </w:r>
      <w:r w:rsidRPr="002A6F4E">
        <w:rPr>
          <w:rFonts w:ascii="Arial" w:hAnsi="Arial" w:cs="Arial"/>
          <w:lang w:val="bs-Latn"/>
        </w:rPr>
        <w:t xml:space="preserve"> </w:t>
      </w:r>
      <w:r w:rsidRPr="002A6F4E">
        <w:rPr>
          <w:rFonts w:ascii="Arial" w:hAnsi="Arial" w:cs="Arial"/>
          <w:lang w:val="en-US"/>
        </w:rPr>
        <w:t>otpadom</w:t>
      </w:r>
      <w:r w:rsidRPr="002A6F4E">
        <w:rPr>
          <w:rFonts w:ascii="Arial" w:hAnsi="Arial" w:cs="Arial"/>
          <w:lang w:val="bs-Latn"/>
        </w:rPr>
        <w:t xml:space="preserve"> </w:t>
      </w:r>
      <w:r w:rsidRPr="002A6F4E">
        <w:rPr>
          <w:rFonts w:ascii="Arial" w:hAnsi="Arial" w:cs="Arial"/>
          <w:lang w:val="en-US"/>
        </w:rPr>
        <w:t>ocijenjena</w:t>
      </w:r>
      <w:r w:rsidRPr="002A6F4E">
        <w:rPr>
          <w:rFonts w:ascii="Arial" w:hAnsi="Arial" w:cs="Arial"/>
          <w:lang w:val="bs-Latn"/>
        </w:rPr>
        <w:t xml:space="preserve"> </w:t>
      </w:r>
      <w:r w:rsidR="006156A7">
        <w:rPr>
          <w:rFonts w:ascii="Arial" w:hAnsi="Arial" w:cs="Arial"/>
          <w:lang w:val="en-US"/>
        </w:rPr>
        <w:t>da</w:t>
      </w:r>
      <w:r w:rsidR="006156A7" w:rsidRPr="00AF012C">
        <w:rPr>
          <w:rFonts w:ascii="Arial" w:hAnsi="Arial" w:cs="Arial"/>
          <w:lang w:val="bs-Latn"/>
        </w:rPr>
        <w:t xml:space="preserve"> </w:t>
      </w:r>
      <w:r w:rsidR="006156A7">
        <w:rPr>
          <w:rFonts w:ascii="Arial" w:hAnsi="Arial" w:cs="Arial"/>
          <w:lang w:val="en-US"/>
        </w:rPr>
        <w:t>nije</w:t>
      </w:r>
      <w:r w:rsidR="006156A7" w:rsidRPr="00AF012C">
        <w:rPr>
          <w:rFonts w:ascii="Arial" w:hAnsi="Arial" w:cs="Arial"/>
          <w:lang w:val="bs-Latn"/>
        </w:rPr>
        <w:t xml:space="preserve"> </w:t>
      </w:r>
      <w:r w:rsidR="006156A7">
        <w:rPr>
          <w:rFonts w:ascii="Arial" w:hAnsi="Arial" w:cs="Arial"/>
          <w:lang w:val="en-US"/>
        </w:rPr>
        <w:t>na</w:t>
      </w:r>
      <w:r w:rsidR="006156A7" w:rsidRPr="00AF012C">
        <w:rPr>
          <w:rFonts w:ascii="Arial" w:hAnsi="Arial" w:cs="Arial"/>
          <w:lang w:val="bs-Latn"/>
        </w:rPr>
        <w:t xml:space="preserve"> </w:t>
      </w:r>
      <w:r w:rsidR="006156A7">
        <w:rPr>
          <w:rFonts w:ascii="Arial" w:hAnsi="Arial" w:cs="Arial"/>
          <w:lang w:val="en-US"/>
        </w:rPr>
        <w:t>zadovoljavaju</w:t>
      </w:r>
      <w:r w:rsidR="006156A7" w:rsidRPr="00AF012C">
        <w:rPr>
          <w:rFonts w:ascii="Arial" w:hAnsi="Arial" w:cs="Arial"/>
          <w:lang w:val="bs-Latn"/>
        </w:rPr>
        <w:t>ć</w:t>
      </w:r>
      <w:r w:rsidR="006156A7">
        <w:rPr>
          <w:rFonts w:ascii="Arial" w:hAnsi="Arial" w:cs="Arial"/>
          <w:lang w:val="en-US"/>
        </w:rPr>
        <w:t>em</w:t>
      </w:r>
      <w:r w:rsidR="006156A7" w:rsidRPr="00AF012C">
        <w:rPr>
          <w:rFonts w:ascii="Arial" w:hAnsi="Arial" w:cs="Arial"/>
          <w:lang w:val="bs-Latn"/>
        </w:rPr>
        <w:t xml:space="preserve"> </w:t>
      </w:r>
      <w:r w:rsidR="006156A7">
        <w:rPr>
          <w:rFonts w:ascii="Arial" w:hAnsi="Arial" w:cs="Arial"/>
          <w:lang w:val="en-US"/>
        </w:rPr>
        <w:t>nivou</w:t>
      </w:r>
      <w:r w:rsidR="003915E9">
        <w:rPr>
          <w:rFonts w:ascii="Arial" w:hAnsi="Arial" w:cs="Arial"/>
          <w:lang w:val="bs-Latn"/>
        </w:rPr>
        <w:t xml:space="preserve">, </w:t>
      </w:r>
      <w:r w:rsidRPr="002A6F4E">
        <w:rPr>
          <w:rFonts w:ascii="Arial" w:hAnsi="Arial" w:cs="Arial"/>
          <w:lang w:val="en-US"/>
        </w:rPr>
        <w:t>usvajanjem</w:t>
      </w:r>
      <w:r w:rsidRPr="002A6F4E">
        <w:rPr>
          <w:rFonts w:ascii="Arial" w:hAnsi="Arial" w:cs="Arial"/>
          <w:lang w:val="bs-Latn"/>
        </w:rPr>
        <w:t xml:space="preserve"> </w:t>
      </w:r>
      <w:r w:rsidRPr="002A6F4E">
        <w:rPr>
          <w:rFonts w:ascii="Arial" w:hAnsi="Arial" w:cs="Arial"/>
          <w:lang w:val="en-US"/>
        </w:rPr>
        <w:t>novog</w:t>
      </w:r>
      <w:r w:rsidRPr="002A6F4E">
        <w:rPr>
          <w:rFonts w:ascii="Arial" w:hAnsi="Arial" w:cs="Arial"/>
          <w:lang w:val="bs-Latn"/>
        </w:rPr>
        <w:t xml:space="preserve"> </w:t>
      </w:r>
      <w:r w:rsidRPr="002A6F4E">
        <w:rPr>
          <w:rFonts w:ascii="Arial" w:hAnsi="Arial" w:cs="Arial"/>
          <w:lang w:val="en-US"/>
        </w:rPr>
        <w:t>Zakona</w:t>
      </w:r>
      <w:r w:rsidRPr="002A6F4E">
        <w:rPr>
          <w:rFonts w:ascii="Arial" w:hAnsi="Arial" w:cs="Arial"/>
          <w:lang w:val="bs-Latn"/>
        </w:rPr>
        <w:t xml:space="preserve"> </w:t>
      </w:r>
      <w:r w:rsidRPr="002A6F4E">
        <w:rPr>
          <w:rFonts w:ascii="Arial" w:hAnsi="Arial" w:cs="Arial"/>
          <w:lang w:val="en-US"/>
        </w:rPr>
        <w:t>o</w:t>
      </w:r>
      <w:r w:rsidRPr="002A6F4E">
        <w:rPr>
          <w:rFonts w:ascii="Arial" w:hAnsi="Arial" w:cs="Arial"/>
          <w:lang w:val="bs-Latn"/>
        </w:rPr>
        <w:t xml:space="preserve"> </w:t>
      </w:r>
      <w:r w:rsidRPr="002A6F4E">
        <w:rPr>
          <w:rFonts w:ascii="Arial" w:hAnsi="Arial" w:cs="Arial"/>
          <w:lang w:val="en-US"/>
        </w:rPr>
        <w:t>upravljanju</w:t>
      </w:r>
      <w:r w:rsidRPr="002A6F4E">
        <w:rPr>
          <w:rFonts w:ascii="Arial" w:hAnsi="Arial" w:cs="Arial"/>
          <w:lang w:val="bs-Latn"/>
        </w:rPr>
        <w:t xml:space="preserve"> </w:t>
      </w:r>
      <w:r w:rsidRPr="002A6F4E">
        <w:rPr>
          <w:rFonts w:ascii="Arial" w:hAnsi="Arial" w:cs="Arial"/>
          <w:lang w:val="en-US"/>
        </w:rPr>
        <w:t>otpadom</w:t>
      </w:r>
      <w:r w:rsidR="0012322E" w:rsidRPr="003D7619">
        <w:rPr>
          <w:rFonts w:ascii="Arial" w:hAnsi="Arial" w:cs="Arial"/>
          <w:lang w:val="bs-Latn"/>
        </w:rPr>
        <w:t>,</w:t>
      </w:r>
      <w:r w:rsidRPr="002A6F4E">
        <w:rPr>
          <w:rFonts w:ascii="Arial" w:hAnsi="Arial" w:cs="Arial"/>
          <w:lang w:val="bs-Latn"/>
        </w:rPr>
        <w:t xml:space="preserve"> </w:t>
      </w:r>
      <w:r w:rsidRPr="002A6F4E">
        <w:rPr>
          <w:rFonts w:ascii="Arial" w:hAnsi="Arial" w:cs="Arial"/>
          <w:lang w:val="en-US"/>
        </w:rPr>
        <w:t>koj</w:t>
      </w:r>
      <w:r w:rsidR="0012322E">
        <w:rPr>
          <w:rFonts w:ascii="Arial" w:hAnsi="Arial" w:cs="Arial"/>
          <w:lang w:val="en-US"/>
        </w:rPr>
        <w:t>i</w:t>
      </w:r>
      <w:r w:rsidRPr="002A6F4E">
        <w:rPr>
          <w:rFonts w:ascii="Arial" w:hAnsi="Arial" w:cs="Arial"/>
          <w:lang w:val="en-US"/>
        </w:rPr>
        <w:t>m</w:t>
      </w:r>
      <w:r w:rsidRPr="002A6F4E">
        <w:rPr>
          <w:rFonts w:ascii="Arial" w:hAnsi="Arial" w:cs="Arial"/>
          <w:lang w:val="bs-Latn"/>
        </w:rPr>
        <w:t xml:space="preserve"> </w:t>
      </w:r>
      <w:r w:rsidR="0012322E">
        <w:rPr>
          <w:rFonts w:ascii="Arial" w:hAnsi="Arial" w:cs="Arial"/>
          <w:lang w:val="bs-Latn"/>
        </w:rPr>
        <w:t xml:space="preserve">su </w:t>
      </w:r>
      <w:r w:rsidRPr="002A6F4E">
        <w:rPr>
          <w:rFonts w:ascii="Arial" w:hAnsi="Arial" w:cs="Arial"/>
          <w:lang w:val="en-US"/>
        </w:rPr>
        <w:t>se</w:t>
      </w:r>
      <w:r w:rsidRPr="002A6F4E">
        <w:rPr>
          <w:rFonts w:ascii="Arial" w:hAnsi="Arial" w:cs="Arial"/>
          <w:lang w:val="bs-Latn"/>
        </w:rPr>
        <w:t xml:space="preserve"> </w:t>
      </w:r>
      <w:r w:rsidR="0012322E">
        <w:rPr>
          <w:rFonts w:ascii="Arial" w:hAnsi="Arial" w:cs="Arial"/>
          <w:lang w:val="en-US"/>
        </w:rPr>
        <w:t>definisali</w:t>
      </w:r>
      <w:r w:rsidRPr="002A6F4E">
        <w:rPr>
          <w:rFonts w:ascii="Arial" w:hAnsi="Arial" w:cs="Arial"/>
          <w:lang w:val="bs-Latn"/>
        </w:rPr>
        <w:t xml:space="preserve"> </w:t>
      </w:r>
      <w:r w:rsidRPr="002A6F4E">
        <w:rPr>
          <w:rFonts w:ascii="Arial" w:hAnsi="Arial" w:cs="Arial"/>
          <w:lang w:val="en-US"/>
        </w:rPr>
        <w:t>kratkoro</w:t>
      </w:r>
      <w:r w:rsidRPr="002A6F4E">
        <w:rPr>
          <w:rFonts w:ascii="Arial" w:hAnsi="Arial" w:cs="Arial"/>
          <w:lang w:val="bs-Latn"/>
        </w:rPr>
        <w:t>č</w:t>
      </w:r>
      <w:r w:rsidRPr="002A6F4E">
        <w:rPr>
          <w:rFonts w:ascii="Arial" w:hAnsi="Arial" w:cs="Arial"/>
          <w:lang w:val="en-US"/>
        </w:rPr>
        <w:t>ni</w:t>
      </w:r>
      <w:r w:rsidRPr="002A6F4E">
        <w:rPr>
          <w:rFonts w:ascii="Arial" w:hAnsi="Arial" w:cs="Arial"/>
          <w:lang w:val="bs-Latn"/>
        </w:rPr>
        <w:t xml:space="preserve"> </w:t>
      </w:r>
      <w:r w:rsidRPr="002A6F4E">
        <w:rPr>
          <w:rFonts w:ascii="Arial" w:hAnsi="Arial" w:cs="Arial"/>
          <w:lang w:val="en-US"/>
        </w:rPr>
        <w:t>i</w:t>
      </w:r>
      <w:r w:rsidRPr="002A6F4E">
        <w:rPr>
          <w:rFonts w:ascii="Arial" w:hAnsi="Arial" w:cs="Arial"/>
          <w:lang w:val="bs-Latn"/>
        </w:rPr>
        <w:t xml:space="preserve"> </w:t>
      </w:r>
      <w:r w:rsidRPr="002A6F4E">
        <w:rPr>
          <w:rFonts w:ascii="Arial" w:hAnsi="Arial" w:cs="Arial"/>
          <w:lang w:val="en-US"/>
        </w:rPr>
        <w:t>dugoro</w:t>
      </w:r>
      <w:r w:rsidRPr="002A6F4E">
        <w:rPr>
          <w:rFonts w:ascii="Arial" w:hAnsi="Arial" w:cs="Arial"/>
          <w:lang w:val="bs-Latn"/>
        </w:rPr>
        <w:t>č</w:t>
      </w:r>
      <w:r w:rsidRPr="002A6F4E">
        <w:rPr>
          <w:rFonts w:ascii="Arial" w:hAnsi="Arial" w:cs="Arial"/>
          <w:lang w:val="en-US"/>
        </w:rPr>
        <w:t>ni</w:t>
      </w:r>
      <w:r w:rsidRPr="002A6F4E">
        <w:rPr>
          <w:rFonts w:ascii="Arial" w:hAnsi="Arial" w:cs="Arial"/>
          <w:lang w:val="bs-Latn"/>
        </w:rPr>
        <w:t xml:space="preserve"> </w:t>
      </w:r>
      <w:r w:rsidRPr="002A6F4E">
        <w:rPr>
          <w:rFonts w:ascii="Arial" w:hAnsi="Arial" w:cs="Arial"/>
          <w:lang w:val="en-US"/>
        </w:rPr>
        <w:t>ciljevi</w:t>
      </w:r>
      <w:r w:rsidRPr="002A6F4E">
        <w:rPr>
          <w:rFonts w:ascii="Arial" w:hAnsi="Arial" w:cs="Arial"/>
          <w:lang w:val="bs-Latn"/>
        </w:rPr>
        <w:t xml:space="preserve"> </w:t>
      </w:r>
      <w:r w:rsidRPr="002A6F4E">
        <w:rPr>
          <w:rFonts w:ascii="Arial" w:hAnsi="Arial" w:cs="Arial"/>
          <w:lang w:val="en-US"/>
        </w:rPr>
        <w:t>u</w:t>
      </w:r>
      <w:r w:rsidRPr="002A6F4E">
        <w:rPr>
          <w:rFonts w:ascii="Arial" w:hAnsi="Arial" w:cs="Arial"/>
          <w:lang w:val="bs-Latn"/>
        </w:rPr>
        <w:t xml:space="preserve"> </w:t>
      </w:r>
      <w:r w:rsidRPr="002A6F4E">
        <w:rPr>
          <w:rFonts w:ascii="Arial" w:hAnsi="Arial" w:cs="Arial"/>
          <w:lang w:val="en-US"/>
        </w:rPr>
        <w:t>uspostavljanju</w:t>
      </w:r>
      <w:r w:rsidRPr="002A6F4E">
        <w:rPr>
          <w:rFonts w:ascii="Arial" w:hAnsi="Arial" w:cs="Arial"/>
          <w:lang w:val="bs-Latn"/>
        </w:rPr>
        <w:t xml:space="preserve"> </w:t>
      </w:r>
      <w:r w:rsidRPr="002A6F4E">
        <w:rPr>
          <w:rFonts w:ascii="Arial" w:hAnsi="Arial" w:cs="Arial"/>
          <w:lang w:val="en-US"/>
        </w:rPr>
        <w:t>sistema</w:t>
      </w:r>
      <w:r w:rsidRPr="002A6F4E">
        <w:rPr>
          <w:rFonts w:ascii="Arial" w:hAnsi="Arial" w:cs="Arial"/>
          <w:lang w:val="bs-Latn"/>
        </w:rPr>
        <w:t xml:space="preserve"> </w:t>
      </w:r>
      <w:r w:rsidRPr="002A6F4E">
        <w:rPr>
          <w:rFonts w:ascii="Arial" w:hAnsi="Arial" w:cs="Arial"/>
          <w:lang w:val="en-US"/>
        </w:rPr>
        <w:t>upravljanja</w:t>
      </w:r>
      <w:r w:rsidRPr="002A6F4E">
        <w:rPr>
          <w:rFonts w:ascii="Arial" w:hAnsi="Arial" w:cs="Arial"/>
          <w:lang w:val="bs-Latn"/>
        </w:rPr>
        <w:t xml:space="preserve"> </w:t>
      </w:r>
      <w:r w:rsidRPr="002A6F4E">
        <w:rPr>
          <w:rFonts w:ascii="Arial" w:hAnsi="Arial" w:cs="Arial"/>
          <w:lang w:val="en-US"/>
        </w:rPr>
        <w:t>otpadom</w:t>
      </w:r>
      <w:r w:rsidRPr="002A6F4E">
        <w:rPr>
          <w:rFonts w:ascii="Arial" w:hAnsi="Arial" w:cs="Arial"/>
          <w:lang w:val="bs-Latn"/>
        </w:rPr>
        <w:t xml:space="preserve">. </w:t>
      </w:r>
    </w:p>
    <w:p w14:paraId="019AF33E" w14:textId="77777777" w:rsidR="003915E9" w:rsidRPr="003915E9" w:rsidRDefault="003915E9" w:rsidP="003915E9">
      <w:pPr>
        <w:spacing w:line="360" w:lineRule="auto"/>
        <w:rPr>
          <w:rFonts w:ascii="Arial" w:hAnsi="Arial" w:cs="Arial"/>
          <w:lang w:val="bs-Latn"/>
        </w:rPr>
      </w:pPr>
    </w:p>
    <w:p w14:paraId="0FABD009" w14:textId="77777777" w:rsidR="006C693A" w:rsidRPr="002A6F4E" w:rsidRDefault="006C693A" w:rsidP="006C693A">
      <w:pPr>
        <w:spacing w:after="160" w:line="360" w:lineRule="auto"/>
        <w:rPr>
          <w:rFonts w:ascii="Arial" w:hAnsi="Arial" w:cs="Arial"/>
          <w:iCs/>
          <w:lang w:val="it-IT"/>
        </w:rPr>
      </w:pPr>
      <w:r w:rsidRPr="002A6F4E">
        <w:rPr>
          <w:rFonts w:ascii="Arial" w:hAnsi="Arial" w:cs="Arial"/>
          <w:iCs/>
          <w:lang w:val="it-IT"/>
        </w:rPr>
        <w:lastRenderedPageBreak/>
        <w:t xml:space="preserve">Navedenom procjenom relevantnih faktora od strategijskog značaja za koncipiranje i implementaciju novog DPUO Crne Gore,  kao sumaran nalaz može se zaključiti: </w:t>
      </w:r>
    </w:p>
    <w:p w14:paraId="5A8AE82E" w14:textId="2CA47511" w:rsidR="006C693A" w:rsidRPr="003915E9" w:rsidRDefault="006C693A" w:rsidP="00A23ED0">
      <w:pPr>
        <w:numPr>
          <w:ilvl w:val="0"/>
          <w:numId w:val="109"/>
        </w:numPr>
        <w:spacing w:after="160" w:line="360" w:lineRule="auto"/>
        <w:contextualSpacing/>
        <w:rPr>
          <w:rFonts w:ascii="Arial" w:hAnsi="Arial" w:cs="Arial"/>
          <w:iCs/>
          <w:lang w:val="it-IT"/>
        </w:rPr>
      </w:pPr>
      <w:r w:rsidRPr="002A6F4E">
        <w:rPr>
          <w:rFonts w:ascii="Arial" w:hAnsi="Arial" w:cs="Arial"/>
          <w:iCs/>
          <w:lang w:val="it-IT"/>
        </w:rPr>
        <w:t xml:space="preserve">da </w:t>
      </w:r>
      <w:r w:rsidRPr="002A6F4E">
        <w:rPr>
          <w:rFonts w:ascii="Arial" w:hAnsi="Arial" w:cs="Arial"/>
          <w:b/>
          <w:iCs/>
          <w:lang w:val="it-IT"/>
        </w:rPr>
        <w:t>snage</w:t>
      </w:r>
      <w:r w:rsidRPr="002A6F4E">
        <w:rPr>
          <w:rFonts w:ascii="Arial" w:hAnsi="Arial" w:cs="Arial"/>
          <w:iCs/>
          <w:lang w:val="it-IT"/>
        </w:rPr>
        <w:t xml:space="preserve">,  kao unutrašnja odrednica i </w:t>
      </w:r>
      <w:r w:rsidRPr="002A6F4E">
        <w:rPr>
          <w:rFonts w:ascii="Arial" w:hAnsi="Arial" w:cs="Arial"/>
          <w:b/>
          <w:iCs/>
          <w:lang w:val="it-IT"/>
        </w:rPr>
        <w:t>šanse,</w:t>
      </w:r>
      <w:r w:rsidRPr="002A6F4E">
        <w:rPr>
          <w:rFonts w:ascii="Arial" w:hAnsi="Arial" w:cs="Arial"/>
          <w:iCs/>
          <w:lang w:val="it-IT"/>
        </w:rPr>
        <w:t xml:space="preserve"> kao spoljna odrednica</w:t>
      </w:r>
      <w:r w:rsidR="003915E9">
        <w:rPr>
          <w:rFonts w:ascii="Arial" w:hAnsi="Arial" w:cs="Arial"/>
          <w:iCs/>
          <w:lang w:val="it-IT"/>
        </w:rPr>
        <w:t xml:space="preserve"> </w:t>
      </w:r>
      <w:r w:rsidR="0091537F" w:rsidRPr="008960B4">
        <w:rPr>
          <w:rFonts w:ascii="Arial" w:hAnsi="Arial" w:cs="Arial"/>
          <w:b/>
          <w:iCs/>
          <w:u w:val="single"/>
          <w:lang w:val="it-IT"/>
        </w:rPr>
        <w:t>nadmašuju</w:t>
      </w:r>
    </w:p>
    <w:p w14:paraId="1DFA0F3E" w14:textId="485DD5CD" w:rsidR="006C693A" w:rsidRPr="008960B4" w:rsidRDefault="006C693A" w:rsidP="0091537F">
      <w:pPr>
        <w:spacing w:after="240" w:line="360" w:lineRule="auto"/>
        <w:ind w:left="1788"/>
        <w:contextualSpacing/>
        <w:rPr>
          <w:rFonts w:ascii="Arial" w:hAnsi="Arial" w:cs="Arial"/>
          <w:iCs/>
          <w:lang w:val="it-IT"/>
        </w:rPr>
      </w:pPr>
      <w:r w:rsidRPr="008960B4">
        <w:rPr>
          <w:rFonts w:ascii="Arial" w:hAnsi="Arial" w:cs="Arial"/>
          <w:b/>
          <w:iCs/>
          <w:lang w:val="it-IT"/>
        </w:rPr>
        <w:t>slabosti,</w:t>
      </w:r>
      <w:r w:rsidRPr="008960B4">
        <w:rPr>
          <w:rFonts w:ascii="Arial" w:hAnsi="Arial" w:cs="Arial"/>
          <w:iCs/>
          <w:lang w:val="it-IT"/>
        </w:rPr>
        <w:t xml:space="preserve"> kao unutrašnju odrednicu, s </w:t>
      </w:r>
      <w:r w:rsidRPr="008960B4">
        <w:rPr>
          <w:rFonts w:ascii="Arial" w:hAnsi="Arial" w:cs="Arial"/>
          <w:b/>
          <w:iCs/>
          <w:lang w:val="it-IT"/>
        </w:rPr>
        <w:t>jedne,</w:t>
      </w:r>
      <w:r w:rsidRPr="008960B4">
        <w:rPr>
          <w:rFonts w:ascii="Arial" w:hAnsi="Arial" w:cs="Arial"/>
          <w:iCs/>
          <w:lang w:val="it-IT"/>
        </w:rPr>
        <w:t xml:space="preserve"> i </w:t>
      </w:r>
      <w:r w:rsidRPr="008960B4">
        <w:rPr>
          <w:rFonts w:ascii="Arial" w:hAnsi="Arial" w:cs="Arial"/>
          <w:b/>
          <w:iCs/>
          <w:lang w:val="it-IT"/>
        </w:rPr>
        <w:t>prijetnje</w:t>
      </w:r>
      <w:r w:rsidRPr="008960B4">
        <w:rPr>
          <w:rFonts w:ascii="Arial" w:hAnsi="Arial" w:cs="Arial"/>
          <w:iCs/>
          <w:lang w:val="it-IT"/>
        </w:rPr>
        <w:t xml:space="preserve"> kao spoljnu odrednicu implementacije DPUO Crne Gore. </w:t>
      </w:r>
    </w:p>
    <w:p w14:paraId="1D2791E5" w14:textId="3D9DC345" w:rsidR="006C693A" w:rsidRPr="008960B4" w:rsidRDefault="006C693A" w:rsidP="006C693A">
      <w:pPr>
        <w:spacing w:line="360" w:lineRule="auto"/>
        <w:rPr>
          <w:rFonts w:ascii="Arial" w:hAnsi="Arial" w:cs="Arial"/>
          <w:lang w:val="it-IT"/>
        </w:rPr>
      </w:pPr>
      <w:r w:rsidRPr="008960B4">
        <w:rPr>
          <w:rFonts w:ascii="Arial" w:hAnsi="Arial" w:cs="Arial"/>
          <w:lang w:val="it-IT"/>
        </w:rPr>
        <w:t>Konačno, nadležni organi državne i lokalne samouprave moraju otkloniti slabosti na koje je ukazala SWOT analiza i uspostaviti otvoren</w:t>
      </w:r>
      <w:r w:rsidR="007B59D0">
        <w:rPr>
          <w:rFonts w:ascii="Arial" w:hAnsi="Arial" w:cs="Arial"/>
          <w:lang w:val="it-IT"/>
        </w:rPr>
        <w:t>iju</w:t>
      </w:r>
      <w:r w:rsidRPr="008960B4">
        <w:rPr>
          <w:rFonts w:ascii="Arial" w:hAnsi="Arial" w:cs="Arial"/>
          <w:lang w:val="it-IT"/>
        </w:rPr>
        <w:t xml:space="preserve"> komunikaciju i mogućnost </w:t>
      </w:r>
      <w:r w:rsidR="007B59D0">
        <w:rPr>
          <w:rFonts w:ascii="Arial" w:hAnsi="Arial" w:cs="Arial"/>
          <w:lang w:val="it-IT"/>
        </w:rPr>
        <w:t xml:space="preserve">bolje </w:t>
      </w:r>
      <w:r w:rsidRPr="008960B4">
        <w:rPr>
          <w:rFonts w:ascii="Arial" w:hAnsi="Arial" w:cs="Arial"/>
          <w:lang w:val="it-IT"/>
        </w:rPr>
        <w:t>saradnje između sebe, kao i sa odgovornim licima i javnošću koji predstavljaju nezaobilazne karike budućeg D</w:t>
      </w:r>
      <w:r w:rsidR="008124B8" w:rsidRPr="008960B4">
        <w:rPr>
          <w:rFonts w:ascii="Arial" w:hAnsi="Arial" w:cs="Arial"/>
          <w:lang w:val="it-IT"/>
        </w:rPr>
        <w:t>P</w:t>
      </w:r>
      <w:r w:rsidRPr="008960B4">
        <w:rPr>
          <w:rFonts w:ascii="Arial" w:hAnsi="Arial" w:cs="Arial"/>
          <w:lang w:val="it-IT"/>
        </w:rPr>
        <w:t>UO  .</w:t>
      </w:r>
    </w:p>
    <w:p w14:paraId="1214C5E7" w14:textId="02BFED33" w:rsidR="006C693A" w:rsidRPr="002A6F4E" w:rsidRDefault="006C693A" w:rsidP="00F57909">
      <w:pPr>
        <w:pStyle w:val="Heading2"/>
        <w:numPr>
          <w:ilvl w:val="1"/>
          <w:numId w:val="139"/>
        </w:numPr>
      </w:pPr>
      <w:bookmarkStart w:id="1463" w:name="_Toc189759796"/>
      <w:bookmarkStart w:id="1464" w:name="_Toc193354084"/>
      <w:r w:rsidRPr="002A6F4E">
        <w:t>Monitoring i evaluacija</w:t>
      </w:r>
      <w:bookmarkEnd w:id="1463"/>
      <w:bookmarkEnd w:id="1464"/>
    </w:p>
    <w:p w14:paraId="41F8DBE0" w14:textId="3D5DFA34" w:rsidR="006C693A" w:rsidRPr="002A6F4E" w:rsidRDefault="006C693A" w:rsidP="006C693A">
      <w:pPr>
        <w:spacing w:before="120" w:after="120" w:line="360" w:lineRule="auto"/>
        <w:rPr>
          <w:rFonts w:ascii="Arial" w:hAnsi="Arial" w:cs="Arial"/>
          <w:lang w:val="sq-AL"/>
        </w:rPr>
      </w:pPr>
      <w:r w:rsidRPr="002A6F4E">
        <w:rPr>
          <w:rFonts w:ascii="Arial" w:hAnsi="Arial" w:cs="Arial"/>
          <w:lang w:val="sq-AL"/>
        </w:rPr>
        <w:t xml:space="preserve">Opšti cilj koji treba postići primjenom ovog </w:t>
      </w:r>
      <w:r w:rsidR="003915E9">
        <w:rPr>
          <w:rFonts w:ascii="Arial" w:hAnsi="Arial" w:cs="Arial"/>
          <w:lang w:val="sq-AL"/>
        </w:rPr>
        <w:t>p</w:t>
      </w:r>
      <w:r w:rsidRPr="002A6F4E">
        <w:rPr>
          <w:rFonts w:ascii="Arial" w:hAnsi="Arial" w:cs="Arial"/>
          <w:lang w:val="sq-AL"/>
        </w:rPr>
        <w:t>lana je uspostavljanje održivog sistema upravljanja otpadom i njegovo stalno unapređenje.</w:t>
      </w:r>
      <w:r w:rsidR="007D6275">
        <w:rPr>
          <w:rFonts w:ascii="Arial" w:hAnsi="Arial" w:cs="Arial"/>
          <w:lang w:val="sq-AL"/>
        </w:rPr>
        <w:t xml:space="preserve"> </w:t>
      </w:r>
      <w:r w:rsidRPr="002A6F4E">
        <w:rPr>
          <w:rFonts w:ascii="Arial" w:hAnsi="Arial" w:cs="Arial"/>
          <w:lang w:val="sq-AL"/>
        </w:rPr>
        <w:t xml:space="preserve">Državnim planom upravljanja otpadom </w:t>
      </w:r>
      <w:r w:rsidR="007B59D0">
        <w:rPr>
          <w:rFonts w:ascii="Arial" w:hAnsi="Arial" w:cs="Arial"/>
          <w:lang w:val="sq-AL"/>
        </w:rPr>
        <w:t>navedeni su</w:t>
      </w:r>
      <w:r w:rsidR="009F2CD5">
        <w:rPr>
          <w:rFonts w:ascii="Arial" w:hAnsi="Arial" w:cs="Arial"/>
          <w:lang w:val="sq-AL"/>
        </w:rPr>
        <w:t xml:space="preserve"> </w:t>
      </w:r>
      <w:r w:rsidRPr="002A6F4E">
        <w:rPr>
          <w:rFonts w:ascii="Arial" w:hAnsi="Arial" w:cs="Arial"/>
          <w:lang w:val="sq-AL"/>
        </w:rPr>
        <w:t>ciljev</w:t>
      </w:r>
      <w:r w:rsidR="007B59D0">
        <w:rPr>
          <w:rFonts w:ascii="Arial" w:hAnsi="Arial" w:cs="Arial"/>
          <w:lang w:val="sq-AL"/>
        </w:rPr>
        <w:t>i</w:t>
      </w:r>
      <w:r w:rsidRPr="002A6F4E">
        <w:rPr>
          <w:rFonts w:ascii="Arial" w:hAnsi="Arial" w:cs="Arial"/>
          <w:lang w:val="sq-AL"/>
        </w:rPr>
        <w:t>, mjere i aktivnosti koje treba postići i preduzeti radi njegovog uspostavljanja</w:t>
      </w:r>
      <w:r w:rsidR="007B59D0">
        <w:rPr>
          <w:rFonts w:ascii="Arial" w:hAnsi="Arial" w:cs="Arial"/>
          <w:lang w:val="sq-AL"/>
        </w:rPr>
        <w:t xml:space="preserve"> pomenutog sistema</w:t>
      </w:r>
      <w:r w:rsidRPr="002A6F4E">
        <w:rPr>
          <w:rFonts w:ascii="Arial" w:hAnsi="Arial" w:cs="Arial"/>
          <w:lang w:val="sq-AL"/>
        </w:rPr>
        <w:t>. MERS</w:t>
      </w:r>
      <w:r w:rsidR="009F2CD5">
        <w:rPr>
          <w:rFonts w:ascii="Arial" w:hAnsi="Arial" w:cs="Arial"/>
          <w:lang w:val="sq-AL"/>
        </w:rPr>
        <w:t xml:space="preserve"> je</w:t>
      </w:r>
      <w:r w:rsidRPr="002A6F4E">
        <w:rPr>
          <w:rFonts w:ascii="Arial" w:hAnsi="Arial" w:cs="Arial"/>
          <w:lang w:val="sq-AL"/>
        </w:rPr>
        <w:t xml:space="preserve"> zadužen</w:t>
      </w:r>
      <w:r w:rsidR="009F2CD5">
        <w:rPr>
          <w:rFonts w:ascii="Arial" w:hAnsi="Arial" w:cs="Arial"/>
          <w:lang w:val="sq-AL"/>
        </w:rPr>
        <w:t xml:space="preserve"> za</w:t>
      </w:r>
      <w:r w:rsidRPr="002A6F4E">
        <w:rPr>
          <w:rFonts w:ascii="Arial" w:hAnsi="Arial" w:cs="Arial"/>
          <w:lang w:val="sq-AL"/>
        </w:rPr>
        <w:t xml:space="preserve"> praćenje napretka u sprovođenju DPUO</w:t>
      </w:r>
      <w:r w:rsidR="007B59D0">
        <w:rPr>
          <w:rFonts w:ascii="Arial" w:hAnsi="Arial" w:cs="Arial"/>
          <w:lang w:val="sq-AL"/>
        </w:rPr>
        <w:t xml:space="preserve"> i </w:t>
      </w:r>
      <w:r w:rsidR="009F2CD5">
        <w:rPr>
          <w:rFonts w:ascii="Arial" w:hAnsi="Arial" w:cs="Arial"/>
          <w:lang w:val="sq-AL"/>
        </w:rPr>
        <w:t xml:space="preserve"> </w:t>
      </w:r>
      <w:r w:rsidRPr="002A6F4E">
        <w:rPr>
          <w:rFonts w:ascii="Arial" w:hAnsi="Arial" w:cs="Arial"/>
          <w:lang w:val="sq-AL"/>
        </w:rPr>
        <w:t xml:space="preserve">pruža podršku drugim organima, službama i organizacijama u sprovođenju aktivnosti iz njihovog djelokruga i komunicira sa partnerima i javnošću u vezi sa sprovođenjem </w:t>
      </w:r>
      <w:r w:rsidR="003915E9">
        <w:rPr>
          <w:rFonts w:ascii="Arial" w:hAnsi="Arial" w:cs="Arial"/>
          <w:lang w:val="sq-AL"/>
        </w:rPr>
        <w:t>plana</w:t>
      </w:r>
      <w:r w:rsidRPr="002A6F4E">
        <w:rPr>
          <w:rFonts w:ascii="Arial" w:hAnsi="Arial" w:cs="Arial"/>
          <w:lang w:val="sq-AL"/>
        </w:rPr>
        <w:t>.</w:t>
      </w:r>
    </w:p>
    <w:p w14:paraId="0317F99E" w14:textId="0012B98D" w:rsidR="006C693A" w:rsidRPr="002A6F4E" w:rsidRDefault="006C693A" w:rsidP="006C693A">
      <w:pPr>
        <w:spacing w:before="120" w:after="120" w:line="360" w:lineRule="auto"/>
        <w:rPr>
          <w:rFonts w:ascii="Arial" w:hAnsi="Arial" w:cs="Arial"/>
          <w:lang w:val="sq-AL"/>
        </w:rPr>
      </w:pPr>
      <w:r w:rsidRPr="002A6F4E">
        <w:rPr>
          <w:rFonts w:ascii="Arial" w:hAnsi="Arial" w:cs="Arial"/>
          <w:lang w:val="sq-AL"/>
        </w:rPr>
        <w:t>Izv</w:t>
      </w:r>
      <w:r w:rsidR="003915E9">
        <w:rPr>
          <w:rFonts w:ascii="Arial" w:hAnsi="Arial" w:cs="Arial"/>
          <w:lang w:val="sq-AL"/>
        </w:rPr>
        <w:t>j</w:t>
      </w:r>
      <w:r w:rsidRPr="002A6F4E">
        <w:rPr>
          <w:rFonts w:ascii="Arial" w:hAnsi="Arial" w:cs="Arial"/>
          <w:lang w:val="sq-AL"/>
        </w:rPr>
        <w:t xml:space="preserve">eštaje o napretku u sprovođenju </w:t>
      </w:r>
      <w:r w:rsidR="009F2CD5">
        <w:rPr>
          <w:rFonts w:ascii="Arial" w:hAnsi="Arial" w:cs="Arial"/>
          <w:lang w:val="sq-AL"/>
        </w:rPr>
        <w:t>A</w:t>
      </w:r>
      <w:r w:rsidRPr="002A6F4E">
        <w:rPr>
          <w:rFonts w:ascii="Arial" w:hAnsi="Arial" w:cs="Arial"/>
          <w:lang w:val="sq-AL"/>
        </w:rPr>
        <w:t xml:space="preserve">kcionog plana </w:t>
      </w:r>
      <w:r w:rsidR="009F2CD5">
        <w:rPr>
          <w:rFonts w:ascii="Arial" w:hAnsi="Arial" w:cs="Arial"/>
          <w:lang w:val="sq-AL"/>
        </w:rPr>
        <w:t>MERS</w:t>
      </w:r>
      <w:r w:rsidRPr="002A6F4E">
        <w:rPr>
          <w:rFonts w:ascii="Arial" w:hAnsi="Arial" w:cs="Arial"/>
          <w:lang w:val="sq-AL"/>
        </w:rPr>
        <w:t xml:space="preserve"> priprema na osnovu izvještaja koje dostavljaju svi organi i organizacije nadležni za sprovođenje mjera i aktivnosti. Podatke o postignutim vrijednostima indikatora učinka, koje u skladu sa svojim nadležnostima prati A</w:t>
      </w:r>
      <w:r w:rsidR="007B59D0">
        <w:rPr>
          <w:rFonts w:ascii="Arial" w:hAnsi="Arial" w:cs="Arial"/>
          <w:lang w:val="sq-AL"/>
        </w:rPr>
        <w:t>ZŽS</w:t>
      </w:r>
      <w:r w:rsidRPr="002A6F4E">
        <w:rPr>
          <w:rFonts w:ascii="Arial" w:hAnsi="Arial" w:cs="Arial"/>
          <w:lang w:val="sq-AL"/>
        </w:rPr>
        <w:t>, treba dostaviti A</w:t>
      </w:r>
      <w:r w:rsidR="007B59D0">
        <w:rPr>
          <w:rFonts w:ascii="Arial" w:hAnsi="Arial" w:cs="Arial"/>
          <w:lang w:val="sq-AL"/>
        </w:rPr>
        <w:t>ZŽS</w:t>
      </w:r>
      <w:r w:rsidRPr="002A6F4E">
        <w:rPr>
          <w:rFonts w:ascii="Arial" w:hAnsi="Arial" w:cs="Arial"/>
          <w:lang w:val="sq-AL"/>
        </w:rPr>
        <w:t xml:space="preserve"> za potrebe izrade godišnjih izv</w:t>
      </w:r>
      <w:r w:rsidR="0048766D">
        <w:rPr>
          <w:rFonts w:ascii="Arial" w:hAnsi="Arial" w:cs="Arial"/>
          <w:lang w:val="sq-AL"/>
        </w:rPr>
        <w:t>j</w:t>
      </w:r>
      <w:r w:rsidRPr="002A6F4E">
        <w:rPr>
          <w:rFonts w:ascii="Arial" w:hAnsi="Arial" w:cs="Arial"/>
          <w:lang w:val="sq-AL"/>
        </w:rPr>
        <w:t xml:space="preserve">eštaja o sprovođenju </w:t>
      </w:r>
      <w:r w:rsidR="00BD200C">
        <w:rPr>
          <w:rFonts w:ascii="Arial" w:hAnsi="Arial" w:cs="Arial"/>
          <w:lang w:val="sq-AL"/>
        </w:rPr>
        <w:t>A</w:t>
      </w:r>
      <w:r w:rsidRPr="002A6F4E">
        <w:rPr>
          <w:rFonts w:ascii="Arial" w:hAnsi="Arial" w:cs="Arial"/>
          <w:lang w:val="sq-AL"/>
        </w:rPr>
        <w:t>kcionog plana.</w:t>
      </w:r>
      <w:r w:rsidR="00F650E4">
        <w:rPr>
          <w:rFonts w:ascii="Arial" w:hAnsi="Arial" w:cs="Arial"/>
          <w:lang w:val="sq-AL"/>
        </w:rPr>
        <w:t xml:space="preserve"> </w:t>
      </w:r>
      <w:r w:rsidRPr="002A6F4E">
        <w:rPr>
          <w:rFonts w:ascii="Arial" w:hAnsi="Arial" w:cs="Arial"/>
          <w:lang w:val="sq-AL"/>
        </w:rPr>
        <w:t>Nadležna tijela i organizacije, kao tijela i organizacije koji su prepoznati kao partneri u sprovođenju mjera i aktivnosti, dužni su da izv</w:t>
      </w:r>
      <w:r w:rsidR="00BD200C">
        <w:rPr>
          <w:rFonts w:ascii="Arial" w:hAnsi="Arial" w:cs="Arial"/>
          <w:lang w:val="sq-AL"/>
        </w:rPr>
        <w:t>j</w:t>
      </w:r>
      <w:r w:rsidRPr="002A6F4E">
        <w:rPr>
          <w:rFonts w:ascii="Arial" w:hAnsi="Arial" w:cs="Arial"/>
          <w:lang w:val="sq-AL"/>
        </w:rPr>
        <w:t xml:space="preserve">eštavaju </w:t>
      </w:r>
      <w:r w:rsidR="00D231CD">
        <w:rPr>
          <w:rFonts w:ascii="Arial" w:hAnsi="Arial" w:cs="Arial"/>
          <w:lang w:val="sq-AL"/>
        </w:rPr>
        <w:t>MERS</w:t>
      </w:r>
      <w:r w:rsidRPr="002A6F4E">
        <w:rPr>
          <w:rFonts w:ascii="Arial" w:hAnsi="Arial" w:cs="Arial"/>
          <w:lang w:val="sq-AL"/>
        </w:rPr>
        <w:t xml:space="preserve"> na godišnjem nivou o napretku u sprovođenju, kao i o svim pitanjima koja se jave tokom postizanja planiranih rezultata. Na osnovu toga, </w:t>
      </w:r>
      <w:r w:rsidR="001E3090">
        <w:rPr>
          <w:rFonts w:ascii="Arial" w:hAnsi="Arial" w:cs="Arial"/>
          <w:lang w:val="sq-AL"/>
        </w:rPr>
        <w:t>MERS</w:t>
      </w:r>
      <w:r w:rsidRPr="002A6F4E">
        <w:rPr>
          <w:rFonts w:ascii="Arial" w:hAnsi="Arial" w:cs="Arial"/>
          <w:lang w:val="sq-AL"/>
        </w:rPr>
        <w:t xml:space="preserve"> ima osnovu za procjenu napretka u sprovođenju </w:t>
      </w:r>
      <w:r w:rsidR="00BD200C">
        <w:rPr>
          <w:rFonts w:ascii="Arial" w:hAnsi="Arial" w:cs="Arial"/>
          <w:lang w:val="sq-AL"/>
        </w:rPr>
        <w:t>DPUO</w:t>
      </w:r>
      <w:r w:rsidRPr="002A6F4E">
        <w:rPr>
          <w:rFonts w:ascii="Arial" w:hAnsi="Arial" w:cs="Arial"/>
          <w:lang w:val="sq-AL"/>
        </w:rPr>
        <w:t xml:space="preserve"> i utvrđivanje aktuelnih problema i mogućih rizika i potrebe prilagođavanja aktivnosti u skladu sa njima, te osnovu za pravovremeno donošenje odluka u cilju postizanja očekivanih rezultata.</w:t>
      </w:r>
    </w:p>
    <w:p w14:paraId="61449D20" w14:textId="1A6083FD" w:rsidR="006C693A" w:rsidRPr="002A6F4E" w:rsidRDefault="006C693A" w:rsidP="00D37D42">
      <w:pPr>
        <w:spacing w:before="120" w:after="120" w:line="360" w:lineRule="auto"/>
        <w:rPr>
          <w:rFonts w:ascii="Arial" w:hAnsi="Arial" w:cs="Arial"/>
          <w:lang w:val="sq-AL"/>
        </w:rPr>
      </w:pPr>
      <w:r w:rsidRPr="002A6F4E">
        <w:rPr>
          <w:rFonts w:ascii="Arial" w:hAnsi="Arial" w:cs="Arial"/>
          <w:lang w:val="sq-AL"/>
        </w:rPr>
        <w:t xml:space="preserve">Izrada </w:t>
      </w:r>
      <w:r w:rsidR="00BD200C">
        <w:rPr>
          <w:rFonts w:ascii="Arial" w:hAnsi="Arial" w:cs="Arial"/>
          <w:lang w:val="sq-AL"/>
        </w:rPr>
        <w:t>I</w:t>
      </w:r>
      <w:r w:rsidRPr="002A6F4E">
        <w:rPr>
          <w:rFonts w:ascii="Arial" w:hAnsi="Arial" w:cs="Arial"/>
          <w:lang w:val="sq-AL"/>
        </w:rPr>
        <w:t>zvještaja o sprovođenju akcionog plana i dostavljanje izvještaja Vladi vršiće se u skladu sa rokovima utvrđenim Zakono</w:t>
      </w:r>
      <w:r w:rsidR="00BD200C">
        <w:rPr>
          <w:rFonts w:ascii="Arial" w:hAnsi="Arial" w:cs="Arial"/>
          <w:lang w:val="sq-AL"/>
        </w:rPr>
        <w:t>m.</w:t>
      </w:r>
      <w:r w:rsidRPr="002A6F4E">
        <w:rPr>
          <w:rFonts w:ascii="Arial" w:hAnsi="Arial" w:cs="Arial"/>
          <w:lang w:val="sq-AL"/>
        </w:rPr>
        <w:t xml:space="preserve"> Ministarstvo</w:t>
      </w:r>
      <w:r w:rsidR="00BD200C">
        <w:rPr>
          <w:rFonts w:ascii="Arial" w:hAnsi="Arial" w:cs="Arial"/>
          <w:lang w:val="sq-AL"/>
        </w:rPr>
        <w:t xml:space="preserve"> će</w:t>
      </w:r>
      <w:r w:rsidRPr="002A6F4E">
        <w:rPr>
          <w:rFonts w:ascii="Arial" w:hAnsi="Arial" w:cs="Arial"/>
          <w:lang w:val="sq-AL"/>
        </w:rPr>
        <w:t xml:space="preserve"> nakon svake tri godine sprovođenja Programa, pripremiti izv</w:t>
      </w:r>
      <w:r w:rsidR="00BD200C">
        <w:rPr>
          <w:rFonts w:ascii="Arial" w:hAnsi="Arial" w:cs="Arial"/>
          <w:lang w:val="sq-AL"/>
        </w:rPr>
        <w:t>j</w:t>
      </w:r>
      <w:r w:rsidRPr="002A6F4E">
        <w:rPr>
          <w:rFonts w:ascii="Arial" w:hAnsi="Arial" w:cs="Arial"/>
          <w:lang w:val="sq-AL"/>
        </w:rPr>
        <w:t xml:space="preserve">eštaj o rezultatima u postizanju ciljeva utvrđenih </w:t>
      </w:r>
      <w:r w:rsidR="00BD200C">
        <w:rPr>
          <w:rFonts w:ascii="Arial" w:hAnsi="Arial" w:cs="Arial"/>
          <w:lang w:val="sq-AL"/>
        </w:rPr>
        <w:t>DPUO</w:t>
      </w:r>
      <w:r w:rsidRPr="002A6F4E">
        <w:rPr>
          <w:rFonts w:ascii="Arial" w:hAnsi="Arial" w:cs="Arial"/>
          <w:lang w:val="sq-AL"/>
        </w:rPr>
        <w:t>, u okviru kojeg može predložiti eventualnu reviziju</w:t>
      </w:r>
      <w:r w:rsidR="00BD200C">
        <w:rPr>
          <w:rFonts w:ascii="Arial" w:hAnsi="Arial" w:cs="Arial"/>
          <w:lang w:val="sq-AL"/>
        </w:rPr>
        <w:t>.</w:t>
      </w:r>
      <w:r w:rsidRPr="002A6F4E">
        <w:rPr>
          <w:rFonts w:ascii="Arial" w:hAnsi="Arial" w:cs="Arial"/>
          <w:lang w:val="sq-AL"/>
        </w:rPr>
        <w:t xml:space="preserve"> Konačni </w:t>
      </w:r>
      <w:r w:rsidR="00BD349C">
        <w:rPr>
          <w:rFonts w:ascii="Arial" w:hAnsi="Arial" w:cs="Arial"/>
          <w:lang w:val="sq-AL"/>
        </w:rPr>
        <w:t>I</w:t>
      </w:r>
      <w:r w:rsidRPr="002A6F4E">
        <w:rPr>
          <w:rFonts w:ascii="Arial" w:hAnsi="Arial" w:cs="Arial"/>
          <w:lang w:val="sq-AL"/>
        </w:rPr>
        <w:t>zv</w:t>
      </w:r>
      <w:r w:rsidR="00BD200C">
        <w:rPr>
          <w:rFonts w:ascii="Arial" w:hAnsi="Arial" w:cs="Arial"/>
          <w:lang w:val="sq-AL"/>
        </w:rPr>
        <w:t>j</w:t>
      </w:r>
      <w:r w:rsidRPr="002A6F4E">
        <w:rPr>
          <w:rFonts w:ascii="Arial" w:hAnsi="Arial" w:cs="Arial"/>
          <w:lang w:val="sq-AL"/>
        </w:rPr>
        <w:t xml:space="preserve">eštaj biće dostavljen Vladi na usvajanje po isteku </w:t>
      </w:r>
      <w:r w:rsidR="00BD349C">
        <w:rPr>
          <w:rFonts w:ascii="Arial" w:hAnsi="Arial" w:cs="Arial"/>
          <w:lang w:val="sq-AL"/>
        </w:rPr>
        <w:t>DPUO.</w:t>
      </w:r>
      <w:r w:rsidRPr="002A6F4E">
        <w:rPr>
          <w:rFonts w:ascii="Arial" w:hAnsi="Arial" w:cs="Arial"/>
          <w:lang w:val="sq-AL"/>
        </w:rPr>
        <w:t xml:space="preserve"> Evaluacija učinka</w:t>
      </w:r>
      <w:r w:rsidR="00BD349C">
        <w:rPr>
          <w:rFonts w:ascii="Arial" w:hAnsi="Arial" w:cs="Arial"/>
          <w:lang w:val="sq-AL"/>
        </w:rPr>
        <w:t xml:space="preserve"> DPUO</w:t>
      </w:r>
      <w:r w:rsidRPr="002A6F4E">
        <w:rPr>
          <w:rFonts w:ascii="Arial" w:hAnsi="Arial" w:cs="Arial"/>
          <w:lang w:val="sq-AL"/>
        </w:rPr>
        <w:t xml:space="preserve"> vrši se analizom da li su i u kojoj mjeri postignuti efekti u skladu sa indikatorima ishoda na nivou opšteg cilja, indikatorima ishoda na nivou posebnih ciljeva i indikatorima rezulta</w:t>
      </w:r>
      <w:r w:rsidR="00D37D42">
        <w:rPr>
          <w:rFonts w:ascii="Arial" w:hAnsi="Arial" w:cs="Arial"/>
          <w:lang w:val="sq-AL"/>
        </w:rPr>
        <w:t>ta na nivou pojedinačnih mjera.</w:t>
      </w:r>
    </w:p>
    <w:p w14:paraId="4FB37CCB" w14:textId="44966F55" w:rsidR="00695794" w:rsidRPr="002A6F4E" w:rsidRDefault="00695794" w:rsidP="00F57909">
      <w:pPr>
        <w:pStyle w:val="Heading2"/>
        <w:numPr>
          <w:ilvl w:val="1"/>
          <w:numId w:val="139"/>
        </w:numPr>
      </w:pPr>
      <w:bookmarkStart w:id="1465" w:name="_Toc120284543"/>
      <w:bookmarkStart w:id="1466" w:name="_Toc121759172"/>
      <w:bookmarkStart w:id="1467" w:name="_Toc121761506"/>
      <w:bookmarkStart w:id="1468" w:name="_Toc189759797"/>
      <w:bookmarkStart w:id="1469" w:name="_Toc193354085"/>
      <w:r w:rsidRPr="002A6F4E">
        <w:t>Preliminarna procjena rizika</w:t>
      </w:r>
      <w:bookmarkEnd w:id="1465"/>
      <w:bookmarkEnd w:id="1466"/>
      <w:bookmarkEnd w:id="1467"/>
      <w:bookmarkEnd w:id="1468"/>
      <w:bookmarkEnd w:id="1469"/>
    </w:p>
    <w:p w14:paraId="33C7599A" w14:textId="77777777" w:rsidR="00695794" w:rsidRPr="002A6F4E" w:rsidRDefault="00695794" w:rsidP="00695794">
      <w:pPr>
        <w:spacing w:before="120" w:after="120" w:line="360" w:lineRule="auto"/>
        <w:rPr>
          <w:rFonts w:ascii="Arial" w:hAnsi="Arial" w:cs="Arial"/>
          <w:lang w:val="sq-AL" w:bidi="ar-AE"/>
        </w:rPr>
      </w:pPr>
      <w:r w:rsidRPr="002A6F4E">
        <w:rPr>
          <w:rFonts w:ascii="Arial" w:hAnsi="Arial" w:cs="Arial"/>
          <w:lang w:val="sq-AL" w:bidi="ar-AE"/>
        </w:rPr>
        <w:t>Sprovođenju plana, sistema i projekta integrisanog upravljanja otpadom pripisuje se nekoliko rizika, uključujući:</w:t>
      </w:r>
    </w:p>
    <w:p w14:paraId="01C54B55" w14:textId="77777777" w:rsidR="00695794" w:rsidRPr="002A6F4E" w:rsidRDefault="00695794" w:rsidP="00A23ED0">
      <w:pPr>
        <w:pStyle w:val="ListParagraph"/>
        <w:numPr>
          <w:ilvl w:val="0"/>
          <w:numId w:val="110"/>
        </w:numPr>
        <w:spacing w:before="120" w:after="120" w:line="360" w:lineRule="auto"/>
        <w:contextualSpacing w:val="0"/>
        <w:rPr>
          <w:rFonts w:ascii="Arial" w:hAnsi="Arial" w:cs="Arial"/>
          <w:lang w:val="sq-AL"/>
        </w:rPr>
      </w:pPr>
      <w:r w:rsidRPr="002A6F4E">
        <w:rPr>
          <w:rFonts w:ascii="Arial" w:hAnsi="Arial" w:cs="Arial"/>
          <w:lang w:val="sq-AL"/>
        </w:rPr>
        <w:t xml:space="preserve">Rizici tražnje: </w:t>
      </w:r>
    </w:p>
    <w:p w14:paraId="08E79BF4" w14:textId="6965116A" w:rsidR="00695794" w:rsidRPr="002A6F4E" w:rsidRDefault="003E7F7D" w:rsidP="00A23ED0">
      <w:pPr>
        <w:pStyle w:val="ListParagraph"/>
        <w:numPr>
          <w:ilvl w:val="1"/>
          <w:numId w:val="110"/>
        </w:numPr>
        <w:spacing w:before="120" w:after="120" w:line="360" w:lineRule="auto"/>
        <w:contextualSpacing w:val="0"/>
        <w:rPr>
          <w:rFonts w:ascii="Arial" w:hAnsi="Arial" w:cs="Arial"/>
          <w:lang w:val="sq-AL"/>
        </w:rPr>
      </w:pPr>
      <w:r>
        <w:rPr>
          <w:rFonts w:ascii="Arial" w:hAnsi="Arial" w:cs="Arial"/>
          <w:lang w:val="sq-AL"/>
        </w:rPr>
        <w:lastRenderedPageBreak/>
        <w:t>Generisanj</w:t>
      </w:r>
      <w:r w:rsidRPr="002A6F4E">
        <w:rPr>
          <w:rFonts w:ascii="Arial" w:hAnsi="Arial" w:cs="Arial"/>
          <w:lang w:val="sq-AL"/>
        </w:rPr>
        <w:t xml:space="preserve">e </w:t>
      </w:r>
      <w:r w:rsidR="00695794" w:rsidRPr="002A6F4E">
        <w:rPr>
          <w:rFonts w:ascii="Arial" w:hAnsi="Arial" w:cs="Arial"/>
          <w:lang w:val="sq-AL"/>
        </w:rPr>
        <w:t>i sastav otpada drugačiji je od predviđenog</w:t>
      </w:r>
      <w:r w:rsidR="00BD349C">
        <w:rPr>
          <w:rFonts w:ascii="Arial" w:hAnsi="Arial" w:cs="Arial"/>
          <w:lang w:val="sq-AL"/>
        </w:rPr>
        <w:t>;</w:t>
      </w:r>
    </w:p>
    <w:p w14:paraId="3856893B" w14:textId="36768813"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Nedovoljna kontrola toka otpada;</w:t>
      </w:r>
    </w:p>
    <w:p w14:paraId="6ADB5FA2" w14:textId="6559FC61" w:rsidR="00695794" w:rsidRPr="002A6F4E" w:rsidRDefault="00695794" w:rsidP="00695794">
      <w:pPr>
        <w:spacing w:before="120" w:after="120" w:line="360" w:lineRule="auto"/>
        <w:ind w:left="720"/>
        <w:rPr>
          <w:rFonts w:ascii="Arial" w:hAnsi="Arial" w:cs="Arial"/>
          <w:lang w:val="sq-AL" w:bidi="ar-AE"/>
        </w:rPr>
      </w:pPr>
      <w:r w:rsidRPr="002A6F4E">
        <w:rPr>
          <w:rFonts w:ascii="Arial" w:hAnsi="Arial" w:cs="Arial"/>
          <w:lang w:val="sq-AL" w:bidi="ar-AE"/>
        </w:rPr>
        <w:t>Informacionim sistemima za monitoring i upravljanje zahtijevaće se da se operateri obavještavaju o tome kako se tok otpada mijenja i da se osigura da su izvršene neophodne operativne adaptacije kako bi se održala efikasnost. Ovo će najvjerovatnije biti pitanje od značaja u prvim godinama rada kada se razvijaju sistemi za odvojeno sakupljanje. Ovo će</w:t>
      </w:r>
      <w:r w:rsidR="00BD349C">
        <w:rPr>
          <w:rFonts w:ascii="Arial" w:hAnsi="Arial" w:cs="Arial"/>
          <w:lang w:val="sq-AL" w:bidi="ar-AE"/>
        </w:rPr>
        <w:t xml:space="preserve"> u početku</w:t>
      </w:r>
      <w:r w:rsidRPr="002A6F4E">
        <w:rPr>
          <w:rFonts w:ascii="Arial" w:hAnsi="Arial" w:cs="Arial"/>
          <w:lang w:val="sq-AL" w:bidi="ar-AE"/>
        </w:rPr>
        <w:t xml:space="preserve"> rezultirati većim količinama m</w:t>
      </w:r>
      <w:r w:rsidR="00BD349C">
        <w:rPr>
          <w:rFonts w:ascii="Arial" w:hAnsi="Arial" w:cs="Arial"/>
          <w:lang w:val="sq-AL" w:bidi="ar-AE"/>
        </w:rPr>
        <w:t>iješanog</w:t>
      </w:r>
      <w:r w:rsidRPr="002A6F4E">
        <w:rPr>
          <w:rFonts w:ascii="Arial" w:hAnsi="Arial" w:cs="Arial"/>
          <w:lang w:val="sq-AL" w:bidi="ar-AE"/>
        </w:rPr>
        <w:t xml:space="preserve"> otpada i manjim količinama odvojeno sakupljenog otpada za recikl</w:t>
      </w:r>
      <w:r w:rsidR="003E7F7D">
        <w:rPr>
          <w:rFonts w:ascii="Arial" w:hAnsi="Arial" w:cs="Arial"/>
          <w:lang w:val="sq-AL" w:bidi="ar-AE"/>
        </w:rPr>
        <w:t>iranje</w:t>
      </w:r>
      <w:r w:rsidRPr="002A6F4E">
        <w:rPr>
          <w:rFonts w:ascii="Arial" w:hAnsi="Arial" w:cs="Arial"/>
          <w:lang w:val="sq-AL" w:bidi="ar-AE"/>
        </w:rPr>
        <w:t>.</w:t>
      </w:r>
    </w:p>
    <w:p w14:paraId="7CF0B825" w14:textId="77777777" w:rsidR="00695794" w:rsidRPr="002A6F4E" w:rsidRDefault="00695794" w:rsidP="00A23ED0">
      <w:pPr>
        <w:pStyle w:val="ListParagraph"/>
        <w:numPr>
          <w:ilvl w:val="0"/>
          <w:numId w:val="110"/>
        </w:numPr>
        <w:spacing w:before="120" w:after="120" w:line="360" w:lineRule="auto"/>
        <w:contextualSpacing w:val="0"/>
        <w:rPr>
          <w:rFonts w:ascii="Arial" w:hAnsi="Arial" w:cs="Arial"/>
          <w:lang w:val="sq-AL"/>
        </w:rPr>
      </w:pPr>
      <w:r w:rsidRPr="002A6F4E">
        <w:rPr>
          <w:rFonts w:ascii="Arial" w:hAnsi="Arial" w:cs="Arial"/>
          <w:lang w:val="sq-AL"/>
        </w:rPr>
        <w:t>Rizici projektovanja:</w:t>
      </w:r>
    </w:p>
    <w:p w14:paraId="39D54BAB" w14:textId="77777777"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Neadekvatne ankete i ispitivanja;</w:t>
      </w:r>
    </w:p>
    <w:p w14:paraId="46C4AC13" w14:textId="77777777"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Izbor neodgovarajuće tehnologije;</w:t>
      </w:r>
    </w:p>
    <w:p w14:paraId="020A1D4A" w14:textId="4833F9CB"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Neadekvatne procjene troškova projektovanja</w:t>
      </w:r>
      <w:r w:rsidR="003E7F7D">
        <w:rPr>
          <w:rFonts w:ascii="Arial" w:hAnsi="Arial" w:cs="Arial"/>
          <w:lang w:val="sq-AL"/>
        </w:rPr>
        <w:t>.</w:t>
      </w:r>
    </w:p>
    <w:p w14:paraId="59123ED4" w14:textId="77777777" w:rsidR="00695794" w:rsidRPr="002A6F4E" w:rsidRDefault="00695794" w:rsidP="00695794">
      <w:pPr>
        <w:spacing w:before="120" w:after="120" w:line="360" w:lineRule="auto"/>
        <w:ind w:left="720"/>
        <w:rPr>
          <w:rFonts w:ascii="Arial" w:hAnsi="Arial" w:cs="Arial"/>
          <w:lang w:val="sq-AL" w:bidi="ar-AE"/>
        </w:rPr>
      </w:pPr>
      <w:r w:rsidRPr="002A6F4E">
        <w:rPr>
          <w:rFonts w:ascii="Arial" w:hAnsi="Arial" w:cs="Arial"/>
          <w:lang w:val="sq-AL" w:bidi="ar-AE"/>
        </w:rPr>
        <w:t>Sva istraživanja i ispitivanja treba da budu urađena u skladu sa međunarodnim standardima i posebnim karakteristikama područja.</w:t>
      </w:r>
    </w:p>
    <w:p w14:paraId="2C012588" w14:textId="66CC1322" w:rsidR="00695794" w:rsidRPr="002A6F4E" w:rsidRDefault="00695794" w:rsidP="00695794">
      <w:pPr>
        <w:spacing w:before="120" w:after="120" w:line="360" w:lineRule="auto"/>
        <w:ind w:left="720"/>
        <w:rPr>
          <w:rFonts w:ascii="Arial" w:hAnsi="Arial" w:cs="Arial"/>
          <w:lang w:val="sq-AL" w:bidi="ar-AE"/>
        </w:rPr>
      </w:pPr>
      <w:r w:rsidRPr="002A6F4E">
        <w:rPr>
          <w:rFonts w:ascii="Arial" w:hAnsi="Arial" w:cs="Arial"/>
          <w:lang w:val="sq-AL" w:bidi="ar-AE"/>
        </w:rPr>
        <w:t>Izbor tehnologije treba ispitati i izvršiti kroz detaljne analize opcija i izradu tehničkih specifikacija. Naglasak treba staviti n</w:t>
      </w:r>
      <w:r w:rsidR="00BD349C">
        <w:rPr>
          <w:rFonts w:ascii="Arial" w:hAnsi="Arial" w:cs="Arial"/>
          <w:lang w:val="sq-AL" w:bidi="ar-AE"/>
        </w:rPr>
        <w:t xml:space="preserve">a </w:t>
      </w:r>
      <w:r w:rsidRPr="002A6F4E">
        <w:rPr>
          <w:rFonts w:ascii="Arial" w:hAnsi="Arial" w:cs="Arial"/>
          <w:lang w:val="sq-AL" w:bidi="ar-AE"/>
        </w:rPr>
        <w:t xml:space="preserve">tehnologije sa </w:t>
      </w:r>
      <w:r w:rsidR="00BD349C">
        <w:rPr>
          <w:rFonts w:ascii="Arial" w:hAnsi="Arial" w:cs="Arial"/>
          <w:lang w:val="sq-AL" w:bidi="ar-AE"/>
        </w:rPr>
        <w:t>adekvatnim</w:t>
      </w:r>
      <w:r w:rsidRPr="002A6F4E">
        <w:rPr>
          <w:rFonts w:ascii="Arial" w:hAnsi="Arial" w:cs="Arial"/>
          <w:lang w:val="sq-AL" w:bidi="ar-AE"/>
        </w:rPr>
        <w:t xml:space="preserve"> referencama.</w:t>
      </w:r>
    </w:p>
    <w:p w14:paraId="4309AD12" w14:textId="77777777" w:rsidR="00695794" w:rsidRPr="002A6F4E" w:rsidRDefault="00695794" w:rsidP="00695794">
      <w:pPr>
        <w:spacing w:before="120" w:after="120" w:line="360" w:lineRule="auto"/>
        <w:ind w:left="720"/>
        <w:rPr>
          <w:rFonts w:ascii="Arial" w:hAnsi="Arial" w:cs="Arial"/>
          <w:lang w:val="sq-AL" w:bidi="ar-AE"/>
        </w:rPr>
      </w:pPr>
      <w:r w:rsidRPr="002A6F4E">
        <w:rPr>
          <w:rFonts w:ascii="Arial" w:hAnsi="Arial" w:cs="Arial"/>
          <w:lang w:val="sq-AL" w:bidi="ar-AE"/>
        </w:rPr>
        <w:t xml:space="preserve">Procjene troškova treba da budu zasnovane na nedavnim istraživanjima tržišta. </w:t>
      </w:r>
    </w:p>
    <w:p w14:paraId="65415D22" w14:textId="77777777" w:rsidR="00695794" w:rsidRPr="002A6F4E" w:rsidRDefault="00695794" w:rsidP="00A23ED0">
      <w:pPr>
        <w:pStyle w:val="ListParagraph"/>
        <w:numPr>
          <w:ilvl w:val="0"/>
          <w:numId w:val="110"/>
        </w:numPr>
        <w:spacing w:before="120" w:after="120" w:line="360" w:lineRule="auto"/>
        <w:contextualSpacing w:val="0"/>
        <w:rPr>
          <w:rFonts w:ascii="Arial" w:hAnsi="Arial" w:cs="Arial"/>
          <w:lang w:val="sq-AL"/>
        </w:rPr>
      </w:pPr>
      <w:r w:rsidRPr="002A6F4E">
        <w:rPr>
          <w:rFonts w:ascii="Arial" w:hAnsi="Arial" w:cs="Arial"/>
          <w:lang w:val="sq-AL"/>
        </w:rPr>
        <w:t>Rizici otkupa zemljišta:</w:t>
      </w:r>
    </w:p>
    <w:p w14:paraId="179EDA24" w14:textId="77777777"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Proceduralna kašnjenja;</w:t>
      </w:r>
    </w:p>
    <w:p w14:paraId="44234310" w14:textId="3CBBC0C1"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Cijena zemljišta veća od predviđene</w:t>
      </w:r>
      <w:r w:rsidR="003E7F7D">
        <w:rPr>
          <w:rFonts w:ascii="Arial" w:hAnsi="Arial" w:cs="Arial"/>
          <w:lang w:val="sq-AL"/>
        </w:rPr>
        <w:t>.</w:t>
      </w:r>
    </w:p>
    <w:p w14:paraId="17D08831" w14:textId="77777777" w:rsidR="00695794" w:rsidRPr="002A6F4E" w:rsidRDefault="00695794" w:rsidP="00695794">
      <w:pPr>
        <w:spacing w:before="120" w:after="120" w:line="360" w:lineRule="auto"/>
        <w:ind w:left="720"/>
        <w:rPr>
          <w:rFonts w:ascii="Arial" w:hAnsi="Arial" w:cs="Arial"/>
          <w:lang w:val="sq-AL" w:bidi="ar-AE"/>
        </w:rPr>
      </w:pPr>
      <w:r w:rsidRPr="00F47358">
        <w:rPr>
          <w:rFonts w:ascii="Arial" w:hAnsi="Arial" w:cs="Arial"/>
          <w:lang w:val="sq-AL" w:bidi="ar-AE"/>
        </w:rPr>
        <w:t>U mjeri u kojoj je to moguće, lokacije za izgradnju infrastrukture za upravljanje otpadom treba da budu na zemljištu koje je u javnom vlasništvu.</w:t>
      </w:r>
    </w:p>
    <w:p w14:paraId="36058F4D" w14:textId="77777777" w:rsidR="00695794" w:rsidRPr="002A6F4E" w:rsidRDefault="00695794" w:rsidP="00A23ED0">
      <w:pPr>
        <w:pStyle w:val="ListParagraph"/>
        <w:numPr>
          <w:ilvl w:val="0"/>
          <w:numId w:val="110"/>
        </w:numPr>
        <w:spacing w:before="120" w:after="120" w:line="360" w:lineRule="auto"/>
        <w:contextualSpacing w:val="0"/>
        <w:rPr>
          <w:rFonts w:ascii="Arial" w:hAnsi="Arial" w:cs="Arial"/>
          <w:lang w:val="sq-AL"/>
        </w:rPr>
      </w:pPr>
      <w:r w:rsidRPr="002A6F4E">
        <w:rPr>
          <w:rFonts w:ascii="Arial" w:hAnsi="Arial" w:cs="Arial"/>
          <w:lang w:val="sq-AL"/>
        </w:rPr>
        <w:t>Administrativni rizici i rizici nabavke:</w:t>
      </w:r>
    </w:p>
    <w:p w14:paraId="0E574C1A" w14:textId="77777777"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Proceduralna kašnjenja;</w:t>
      </w:r>
    </w:p>
    <w:p w14:paraId="460F2DBA" w14:textId="77777777"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Građevinske ili ostale dozvole;</w:t>
      </w:r>
    </w:p>
    <w:p w14:paraId="4F5A1FD2" w14:textId="77777777"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 xml:space="preserve">Upotrebne dozvole; </w:t>
      </w:r>
    </w:p>
    <w:p w14:paraId="4F83A0AB" w14:textId="2CE2879E"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Nedovoljni kapaciteti organa za upravljanje otpadom</w:t>
      </w:r>
      <w:r w:rsidR="00BD349C">
        <w:rPr>
          <w:rFonts w:ascii="Arial" w:hAnsi="Arial" w:cs="Arial"/>
          <w:lang w:val="sq-AL"/>
        </w:rPr>
        <w:t>.</w:t>
      </w:r>
    </w:p>
    <w:p w14:paraId="106B42B6" w14:textId="77777777" w:rsidR="00695794" w:rsidRPr="002A6F4E" w:rsidRDefault="00695794" w:rsidP="00695794">
      <w:pPr>
        <w:spacing w:before="120" w:after="120" w:line="360" w:lineRule="auto"/>
        <w:ind w:left="720"/>
        <w:rPr>
          <w:rFonts w:ascii="Arial" w:hAnsi="Arial" w:cs="Arial"/>
          <w:lang w:val="sq-AL" w:bidi="ar-AE"/>
        </w:rPr>
      </w:pPr>
      <w:r w:rsidRPr="002A6F4E">
        <w:rPr>
          <w:rFonts w:ascii="Arial" w:hAnsi="Arial" w:cs="Arial"/>
          <w:lang w:val="sq-AL" w:bidi="ar-AE"/>
        </w:rPr>
        <w:t>Projekti treba da budu osmišljeni na visokom nivou kvaliteta kako bi se izbjegla kašnjenja tokom postupaka izdavanja dozvola.</w:t>
      </w:r>
    </w:p>
    <w:p w14:paraId="38119117" w14:textId="0979946A" w:rsidR="00695794" w:rsidRPr="002A6F4E" w:rsidRDefault="00695794" w:rsidP="00A23ED0">
      <w:pPr>
        <w:pStyle w:val="ListParagraph"/>
        <w:numPr>
          <w:ilvl w:val="0"/>
          <w:numId w:val="110"/>
        </w:numPr>
        <w:spacing w:before="120" w:after="120" w:line="360" w:lineRule="auto"/>
        <w:contextualSpacing w:val="0"/>
        <w:rPr>
          <w:rFonts w:ascii="Arial" w:hAnsi="Arial" w:cs="Arial"/>
          <w:lang w:val="sq-AL"/>
        </w:rPr>
      </w:pPr>
      <w:r w:rsidRPr="002A6F4E">
        <w:rPr>
          <w:rFonts w:ascii="Arial" w:hAnsi="Arial" w:cs="Arial"/>
          <w:lang w:val="sq-AL"/>
        </w:rPr>
        <w:t>Rizici izgradnje</w:t>
      </w:r>
      <w:r w:rsidR="00BD349C">
        <w:rPr>
          <w:rFonts w:ascii="Arial" w:hAnsi="Arial" w:cs="Arial"/>
          <w:lang w:val="sq-AL"/>
        </w:rPr>
        <w:t>:</w:t>
      </w:r>
    </w:p>
    <w:p w14:paraId="14F803D6" w14:textId="38951E4E"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 xml:space="preserve">Projekti možda ne dobiju finansijska sredstva od donatora ili </w:t>
      </w:r>
      <w:r w:rsidR="003E7F7D">
        <w:rPr>
          <w:rFonts w:ascii="Arial" w:hAnsi="Arial" w:cs="Arial"/>
          <w:lang w:val="sq-AL"/>
        </w:rPr>
        <w:t>državne ili lokalne</w:t>
      </w:r>
      <w:r w:rsidR="003E7F7D" w:rsidRPr="002A6F4E">
        <w:rPr>
          <w:rFonts w:ascii="Arial" w:hAnsi="Arial" w:cs="Arial"/>
          <w:lang w:val="sq-AL"/>
        </w:rPr>
        <w:t xml:space="preserve"> </w:t>
      </w:r>
      <w:r w:rsidRPr="002A6F4E">
        <w:rPr>
          <w:rFonts w:ascii="Arial" w:hAnsi="Arial" w:cs="Arial"/>
          <w:lang w:val="sq-AL"/>
        </w:rPr>
        <w:t>vlasti;</w:t>
      </w:r>
    </w:p>
    <w:p w14:paraId="09B7F27A" w14:textId="77777777"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lastRenderedPageBreak/>
        <w:t>Prekoračenje troškova projekta i kašnjenje u izgradnji;</w:t>
      </w:r>
    </w:p>
    <w:p w14:paraId="70DDDB9A" w14:textId="4BB86B87"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Povezani sa izvođačem (stečaj, nedostatak resursa)</w:t>
      </w:r>
      <w:r w:rsidR="003E7F7D">
        <w:rPr>
          <w:rFonts w:ascii="Arial" w:hAnsi="Arial" w:cs="Arial"/>
          <w:lang w:val="sq-AL"/>
        </w:rPr>
        <w:t>.</w:t>
      </w:r>
    </w:p>
    <w:p w14:paraId="0A3EA660" w14:textId="31C6A251" w:rsidR="00695794" w:rsidRPr="002A6F4E" w:rsidRDefault="00695794" w:rsidP="00695794">
      <w:pPr>
        <w:spacing w:before="120" w:after="120" w:line="360" w:lineRule="auto"/>
        <w:ind w:left="720"/>
        <w:rPr>
          <w:rFonts w:ascii="Arial" w:hAnsi="Arial" w:cs="Arial"/>
          <w:lang w:val="sq-AL" w:bidi="ar-AE"/>
        </w:rPr>
      </w:pPr>
      <w:r w:rsidRPr="002A6F4E">
        <w:rPr>
          <w:rFonts w:ascii="Arial" w:hAnsi="Arial" w:cs="Arial"/>
          <w:lang w:val="sq-AL" w:bidi="ar-AE"/>
        </w:rPr>
        <w:t>Potrebno je primijeniti konvencionalne mjere ublažavanja rizika, uključujući, naročito, korišćenje standardnih uslova za ugovore i bankarske garancije</w:t>
      </w:r>
      <w:r w:rsidR="009B7275">
        <w:rPr>
          <w:rFonts w:ascii="Arial" w:hAnsi="Arial" w:cs="Arial"/>
          <w:lang w:val="sq-AL" w:bidi="ar-AE"/>
        </w:rPr>
        <w:t>.</w:t>
      </w:r>
    </w:p>
    <w:p w14:paraId="20815511" w14:textId="2C4DD71E" w:rsidR="00695794" w:rsidRPr="002A6F4E" w:rsidRDefault="00695794" w:rsidP="00A23ED0">
      <w:pPr>
        <w:pStyle w:val="ListParagraph"/>
        <w:numPr>
          <w:ilvl w:val="0"/>
          <w:numId w:val="110"/>
        </w:numPr>
        <w:spacing w:before="120" w:after="120" w:line="360" w:lineRule="auto"/>
        <w:contextualSpacing w:val="0"/>
        <w:rPr>
          <w:rFonts w:ascii="Arial" w:hAnsi="Arial" w:cs="Arial"/>
          <w:lang w:val="sq-AL"/>
        </w:rPr>
      </w:pPr>
      <w:r w:rsidRPr="002A6F4E">
        <w:rPr>
          <w:rFonts w:ascii="Arial" w:hAnsi="Arial" w:cs="Arial"/>
          <w:lang w:val="sq-AL"/>
        </w:rPr>
        <w:t>Operativni rizici</w:t>
      </w:r>
      <w:r w:rsidR="009B7275">
        <w:rPr>
          <w:rFonts w:ascii="Arial" w:hAnsi="Arial" w:cs="Arial"/>
          <w:lang w:val="sq-AL"/>
        </w:rPr>
        <w:t>:</w:t>
      </w:r>
    </w:p>
    <w:p w14:paraId="1CA93CC1" w14:textId="7962A3D3"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Sastav otpada dru</w:t>
      </w:r>
      <w:r w:rsidR="009B7275">
        <w:rPr>
          <w:rFonts w:ascii="Arial" w:hAnsi="Arial" w:cs="Arial"/>
          <w:lang w:val="sq-AL"/>
        </w:rPr>
        <w:t>gačij</w:t>
      </w:r>
      <w:r w:rsidRPr="002A6F4E">
        <w:rPr>
          <w:rFonts w:ascii="Arial" w:hAnsi="Arial" w:cs="Arial"/>
          <w:lang w:val="sq-AL"/>
        </w:rPr>
        <w:t>i je od predviđenog ili ima neočekivano velike varijacije;</w:t>
      </w:r>
    </w:p>
    <w:p w14:paraId="238C67D8" w14:textId="302CF1AD"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 xml:space="preserve">Nedovoljne prakse u odvojenom sakupljanju u primarnoj </w:t>
      </w:r>
      <w:r w:rsidR="009B7275">
        <w:rPr>
          <w:rFonts w:ascii="Arial" w:hAnsi="Arial" w:cs="Arial"/>
          <w:lang w:val="sq-AL"/>
        </w:rPr>
        <w:t>selekciji</w:t>
      </w:r>
      <w:r w:rsidRPr="002A6F4E">
        <w:rPr>
          <w:rFonts w:ascii="Arial" w:hAnsi="Arial" w:cs="Arial"/>
          <w:lang w:val="sq-AL"/>
        </w:rPr>
        <w:t xml:space="preserve"> – kontaminirani tokovi koji ulaze u objekte za preradu materijala, postrojenja za preradu biološkog otpada i mehaničko-biološku obradu;</w:t>
      </w:r>
    </w:p>
    <w:p w14:paraId="5C7897FE" w14:textId="7D020809" w:rsidR="00695794" w:rsidRPr="002A6F4E" w:rsidRDefault="009B7275" w:rsidP="00A23ED0">
      <w:pPr>
        <w:pStyle w:val="ListParagraph"/>
        <w:numPr>
          <w:ilvl w:val="1"/>
          <w:numId w:val="110"/>
        </w:numPr>
        <w:spacing w:before="120" w:after="120" w:line="360" w:lineRule="auto"/>
        <w:contextualSpacing w:val="0"/>
        <w:rPr>
          <w:rFonts w:ascii="Arial" w:hAnsi="Arial" w:cs="Arial"/>
          <w:lang w:val="sq-AL"/>
        </w:rPr>
      </w:pPr>
      <w:r>
        <w:rPr>
          <w:rFonts w:ascii="Arial" w:hAnsi="Arial" w:cs="Arial"/>
          <w:lang w:val="sq-AL"/>
        </w:rPr>
        <w:t>T</w:t>
      </w:r>
      <w:r w:rsidR="00695794" w:rsidRPr="002A6F4E">
        <w:rPr>
          <w:rFonts w:ascii="Arial" w:hAnsi="Arial" w:cs="Arial"/>
          <w:lang w:val="sq-AL"/>
        </w:rPr>
        <w:t>roškovi održavanja i popravke veći su od predviđenih;</w:t>
      </w:r>
    </w:p>
    <w:p w14:paraId="196BD2E7" w14:textId="77777777"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Rezultati procesa ne ispunjavaju ciljeve kvaliteta;</w:t>
      </w:r>
    </w:p>
    <w:p w14:paraId="5886A369" w14:textId="77777777"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Neispunjavanje u smislu zadovoljavanja ograničenja emisija koje proizvodi objekat (u vazduh i/ili vodu);</w:t>
      </w:r>
    </w:p>
    <w:p w14:paraId="4037D587" w14:textId="2A0EF17C"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Prihodi od sekundarnih proizvoda</w:t>
      </w:r>
      <w:r w:rsidR="009B7275">
        <w:rPr>
          <w:rFonts w:ascii="Arial" w:hAnsi="Arial" w:cs="Arial"/>
          <w:lang w:val="sq-AL"/>
        </w:rPr>
        <w:t>.</w:t>
      </w:r>
    </w:p>
    <w:p w14:paraId="3907627A" w14:textId="7EEF2DE8" w:rsidR="00695794" w:rsidRPr="002A6F4E" w:rsidRDefault="00695794" w:rsidP="00695794">
      <w:pPr>
        <w:spacing w:before="120" w:after="120" w:line="360" w:lineRule="auto"/>
        <w:ind w:left="720"/>
        <w:rPr>
          <w:rFonts w:ascii="Arial" w:hAnsi="Arial" w:cs="Arial"/>
          <w:lang w:val="sq-AL" w:bidi="ar-AE"/>
        </w:rPr>
      </w:pPr>
      <w:r w:rsidRPr="002A6F4E">
        <w:rPr>
          <w:rFonts w:ascii="Arial" w:hAnsi="Arial" w:cs="Arial"/>
          <w:lang w:val="sq-AL" w:bidi="ar-AE"/>
        </w:rPr>
        <w:t>Sastav otpad</w:t>
      </w:r>
      <w:r w:rsidR="009B7275">
        <w:rPr>
          <w:rFonts w:ascii="Arial" w:hAnsi="Arial" w:cs="Arial"/>
          <w:lang w:val="sq-AL" w:bidi="ar-AE"/>
        </w:rPr>
        <w:t>a</w:t>
      </w:r>
      <w:r w:rsidRPr="002A6F4E">
        <w:rPr>
          <w:rFonts w:ascii="Arial" w:hAnsi="Arial" w:cs="Arial"/>
          <w:lang w:val="sq-AL" w:bidi="ar-AE"/>
        </w:rPr>
        <w:t xml:space="preserve"> treba detaljno ispitati. Sastav se može promijeniti vremenom, a nivo efikasnosti razvrstavanja, takođe, može biti dru</w:t>
      </w:r>
      <w:r w:rsidR="009B7275">
        <w:rPr>
          <w:rFonts w:ascii="Arial" w:hAnsi="Arial" w:cs="Arial"/>
          <w:lang w:val="sq-AL" w:bidi="ar-AE"/>
        </w:rPr>
        <w:t>gačiji</w:t>
      </w:r>
      <w:r w:rsidRPr="002A6F4E">
        <w:rPr>
          <w:rFonts w:ascii="Arial" w:hAnsi="Arial" w:cs="Arial"/>
          <w:lang w:val="sq-AL" w:bidi="ar-AE"/>
        </w:rPr>
        <w:t xml:space="preserve"> od projektovanog. Sastav i količina otpada ne može se direktno kontrolisati, već se mora kontinuirano pratiti uz preduzimanje odgovarajućih mjera. Tamo gdje se naiđe na nizak nivo ili nepravilno razvrstavanje na mjestu nastanka, potrebno je razmotriti dodatne mjere za podizanje svijesti, te primijeniti podsticajne mjere.</w:t>
      </w:r>
    </w:p>
    <w:p w14:paraId="66BEB888" w14:textId="1DA228E4" w:rsidR="00695794" w:rsidRPr="002A6F4E" w:rsidRDefault="00695794" w:rsidP="006E67DC">
      <w:pPr>
        <w:spacing w:before="120" w:after="120" w:line="360" w:lineRule="auto"/>
        <w:ind w:left="720"/>
        <w:rPr>
          <w:rFonts w:ascii="Arial" w:hAnsi="Arial" w:cs="Arial"/>
          <w:lang w:val="sq-AL" w:bidi="ar-AE"/>
        </w:rPr>
      </w:pPr>
      <w:r w:rsidRPr="002A6F4E">
        <w:rPr>
          <w:rFonts w:ascii="Arial" w:hAnsi="Arial" w:cs="Arial"/>
          <w:lang w:val="sq-AL" w:bidi="ar-AE"/>
        </w:rPr>
        <w:t>Najveći rizik povezan sa rezultatima iz procesa je onaj koji je povezan sa dostupnim tržištem i cijenom reciklažnih proizvoda (posebno plastike), za koje se predviđa da će generisati na</w:t>
      </w:r>
      <w:r w:rsidR="006E67DC">
        <w:rPr>
          <w:rFonts w:ascii="Arial" w:hAnsi="Arial" w:cs="Arial"/>
          <w:lang w:val="sq-AL" w:bidi="ar-AE"/>
        </w:rPr>
        <w:t>jveći dio necarinskih prihoda.</w:t>
      </w:r>
    </w:p>
    <w:p w14:paraId="3DBA289A" w14:textId="77777777" w:rsidR="00695794" w:rsidRPr="002A6F4E" w:rsidRDefault="00695794" w:rsidP="00A23ED0">
      <w:pPr>
        <w:pStyle w:val="ListParagraph"/>
        <w:numPr>
          <w:ilvl w:val="0"/>
          <w:numId w:val="110"/>
        </w:numPr>
        <w:spacing w:before="120" w:after="120" w:line="360" w:lineRule="auto"/>
        <w:contextualSpacing w:val="0"/>
        <w:rPr>
          <w:rFonts w:ascii="Arial" w:hAnsi="Arial" w:cs="Arial"/>
          <w:lang w:val="sq-AL"/>
        </w:rPr>
      </w:pPr>
      <w:r w:rsidRPr="002A6F4E">
        <w:rPr>
          <w:rFonts w:ascii="Arial" w:hAnsi="Arial" w:cs="Arial"/>
          <w:lang w:val="sq-AL"/>
        </w:rPr>
        <w:t>Finansijski rizici:</w:t>
      </w:r>
    </w:p>
    <w:p w14:paraId="29B464B4" w14:textId="77777777"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Naknada se povećava sporije od očekivanog;</w:t>
      </w:r>
    </w:p>
    <w:p w14:paraId="08880F2E" w14:textId="46019F14"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Naplata naknada je manja od očekivanog</w:t>
      </w:r>
      <w:r w:rsidR="009B7275">
        <w:rPr>
          <w:rFonts w:ascii="Arial" w:hAnsi="Arial" w:cs="Arial"/>
          <w:lang w:val="sq-AL"/>
        </w:rPr>
        <w:t>.</w:t>
      </w:r>
    </w:p>
    <w:p w14:paraId="66BB1D9E" w14:textId="77777777" w:rsidR="00695794" w:rsidRPr="002A6F4E" w:rsidRDefault="00695794" w:rsidP="00695794">
      <w:pPr>
        <w:spacing w:before="120" w:after="120" w:line="360" w:lineRule="auto"/>
        <w:ind w:left="720"/>
        <w:rPr>
          <w:rFonts w:ascii="Arial" w:hAnsi="Arial" w:cs="Arial"/>
          <w:lang w:val="sq-AL" w:bidi="ar-AE"/>
        </w:rPr>
      </w:pPr>
      <w:r w:rsidRPr="002A6F4E">
        <w:rPr>
          <w:rFonts w:ascii="Arial" w:hAnsi="Arial" w:cs="Arial"/>
          <w:lang w:val="sq-AL" w:bidi="ar-AE"/>
        </w:rPr>
        <w:t xml:space="preserve">Prvim pitanjem treba da se pozabave jednice lokalnih samouprava u skladu sa smjernicama koje će dati </w:t>
      </w:r>
      <w:r w:rsidRPr="002A6F4E">
        <w:rPr>
          <w:rFonts w:ascii="Arial" w:hAnsi="Arial" w:cs="Arial"/>
          <w:lang w:val="sq-AL"/>
        </w:rPr>
        <w:t>MERS</w:t>
      </w:r>
      <w:r w:rsidRPr="002A6F4E">
        <w:rPr>
          <w:rFonts w:ascii="Arial" w:hAnsi="Arial" w:cs="Arial"/>
          <w:lang w:val="sq-AL" w:bidi="ar-AE"/>
        </w:rPr>
        <w:t>.</w:t>
      </w:r>
    </w:p>
    <w:p w14:paraId="336C224C" w14:textId="77777777" w:rsidR="00695794" w:rsidRPr="002A6F4E" w:rsidRDefault="00695794" w:rsidP="00695794">
      <w:pPr>
        <w:spacing w:before="120" w:after="120" w:line="360" w:lineRule="auto"/>
        <w:ind w:left="720"/>
        <w:rPr>
          <w:rFonts w:ascii="Arial" w:hAnsi="Arial" w:cs="Arial"/>
          <w:lang w:val="sq-AL" w:bidi="ar-AE"/>
        </w:rPr>
      </w:pPr>
      <w:r w:rsidRPr="002A6F4E">
        <w:rPr>
          <w:rFonts w:ascii="Arial" w:hAnsi="Arial" w:cs="Arial"/>
          <w:lang w:val="sq-AL" w:bidi="ar-AE"/>
        </w:rPr>
        <w:t>Naplata naknada od domaćinstava uvijek predstavlja problem koji može da se poveća u slučaju povećanja naknada koje su neophodne da se novi integrisani sistem učini finansijski održivim.</w:t>
      </w:r>
    </w:p>
    <w:p w14:paraId="566C86AA" w14:textId="51FB33FC" w:rsidR="00695794" w:rsidRPr="002A6F4E" w:rsidRDefault="00695794" w:rsidP="00695794">
      <w:pPr>
        <w:spacing w:before="120" w:after="120" w:line="360" w:lineRule="auto"/>
        <w:ind w:left="720"/>
        <w:rPr>
          <w:rFonts w:ascii="Arial" w:hAnsi="Arial" w:cs="Arial"/>
          <w:lang w:val="sq-AL" w:bidi="ar-AE"/>
        </w:rPr>
      </w:pPr>
      <w:r w:rsidRPr="002A6F4E">
        <w:rPr>
          <w:rFonts w:ascii="Arial" w:hAnsi="Arial" w:cs="Arial"/>
          <w:lang w:val="sq-AL" w:bidi="ar-AE"/>
        </w:rPr>
        <w:t>Neophodan je značajan napor da se građani i privredna društva informišu o uvođenju novog sistema, razlozima za to, prednostima i posljedicama.</w:t>
      </w:r>
    </w:p>
    <w:p w14:paraId="1C77056C" w14:textId="77777777" w:rsidR="00695794" w:rsidRPr="002A6F4E" w:rsidRDefault="00695794" w:rsidP="00A23ED0">
      <w:pPr>
        <w:pStyle w:val="ListParagraph"/>
        <w:numPr>
          <w:ilvl w:val="0"/>
          <w:numId w:val="110"/>
        </w:numPr>
        <w:spacing w:before="120" w:after="120" w:line="360" w:lineRule="auto"/>
        <w:contextualSpacing w:val="0"/>
        <w:rPr>
          <w:rFonts w:ascii="Arial" w:hAnsi="Arial" w:cs="Arial"/>
          <w:lang w:val="sq-AL"/>
        </w:rPr>
      </w:pPr>
      <w:r w:rsidRPr="002A6F4E">
        <w:rPr>
          <w:rFonts w:ascii="Arial" w:hAnsi="Arial" w:cs="Arial"/>
          <w:lang w:val="sq-AL"/>
        </w:rPr>
        <w:lastRenderedPageBreak/>
        <w:t>Regulatorni rizici:</w:t>
      </w:r>
    </w:p>
    <w:p w14:paraId="1D17B5A9" w14:textId="77777777"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Promjene ekoloških zahtjeva, ekonomskih i regulatornih instrumenata kao što su uvođenje taksi na deponovanje/spaljivanje otpada, zabrane deponovanja i slično;</w:t>
      </w:r>
    </w:p>
    <w:p w14:paraId="31A0DB6E" w14:textId="12C31FBA" w:rsidR="00695794" w:rsidRPr="002A6F4E" w:rsidRDefault="00695794" w:rsidP="00A23ED0">
      <w:pPr>
        <w:pStyle w:val="ListParagraph"/>
        <w:numPr>
          <w:ilvl w:val="0"/>
          <w:numId w:val="110"/>
        </w:numPr>
        <w:spacing w:before="120" w:after="120" w:line="360" w:lineRule="auto"/>
        <w:contextualSpacing w:val="0"/>
        <w:rPr>
          <w:rFonts w:ascii="Arial" w:hAnsi="Arial" w:cs="Arial"/>
          <w:lang w:val="sq-AL"/>
        </w:rPr>
      </w:pPr>
      <w:r w:rsidRPr="002A6F4E">
        <w:rPr>
          <w:rFonts w:ascii="Arial" w:hAnsi="Arial" w:cs="Arial"/>
          <w:lang w:val="sq-AL"/>
        </w:rPr>
        <w:t>Protivljenje javnosti</w:t>
      </w:r>
      <w:r w:rsidR="009B7275">
        <w:rPr>
          <w:rFonts w:ascii="Arial" w:hAnsi="Arial" w:cs="Arial"/>
          <w:lang w:val="sq-AL"/>
        </w:rPr>
        <w:t>:</w:t>
      </w:r>
    </w:p>
    <w:p w14:paraId="030EC5EF" w14:textId="1F043A3C" w:rsidR="00695794" w:rsidRPr="002A6F4E" w:rsidRDefault="00695794" w:rsidP="00695794">
      <w:pPr>
        <w:spacing w:before="120" w:after="120" w:line="360" w:lineRule="auto"/>
        <w:ind w:left="720"/>
        <w:rPr>
          <w:rFonts w:ascii="Arial" w:hAnsi="Arial" w:cs="Arial"/>
          <w:lang w:val="sq-AL" w:bidi="ar-AE"/>
        </w:rPr>
      </w:pPr>
      <w:r w:rsidRPr="002A6F4E">
        <w:rPr>
          <w:rFonts w:ascii="Arial" w:hAnsi="Arial" w:cs="Arial"/>
          <w:lang w:val="sq-AL" w:bidi="ar-AE"/>
        </w:rPr>
        <w:t xml:space="preserve">Ovo će vjerovatno dovesti do značajnog protivljenja javnosti koje treba riješiti </w:t>
      </w:r>
      <w:r w:rsidR="00B12739">
        <w:rPr>
          <w:rFonts w:ascii="Arial" w:hAnsi="Arial" w:cs="Arial"/>
          <w:lang w:val="sq-AL" w:bidi="ar-AE"/>
        </w:rPr>
        <w:t xml:space="preserve">adekvatnim </w:t>
      </w:r>
      <w:r w:rsidRPr="002A6F4E">
        <w:rPr>
          <w:rFonts w:ascii="Arial" w:hAnsi="Arial" w:cs="Arial"/>
          <w:lang w:val="sq-AL" w:bidi="ar-AE"/>
        </w:rPr>
        <w:t xml:space="preserve">mjerama, uključujući </w:t>
      </w:r>
      <w:r w:rsidR="00B12739">
        <w:rPr>
          <w:rFonts w:ascii="Arial" w:hAnsi="Arial" w:cs="Arial"/>
          <w:lang w:val="sq-AL" w:bidi="ar-AE"/>
        </w:rPr>
        <w:t>saradnju</w:t>
      </w:r>
      <w:r w:rsidRPr="002A6F4E">
        <w:rPr>
          <w:rFonts w:ascii="Arial" w:hAnsi="Arial" w:cs="Arial"/>
          <w:lang w:val="sq-AL" w:bidi="ar-AE"/>
        </w:rPr>
        <w:t xml:space="preserve"> sa medijima i </w:t>
      </w:r>
      <w:r w:rsidR="00B12739">
        <w:rPr>
          <w:rFonts w:ascii="Arial" w:hAnsi="Arial" w:cs="Arial"/>
          <w:lang w:val="sq-AL" w:bidi="ar-AE"/>
        </w:rPr>
        <w:t>sa</w:t>
      </w:r>
      <w:r w:rsidR="00B12739" w:rsidRPr="002A6F4E">
        <w:rPr>
          <w:rFonts w:ascii="Arial" w:hAnsi="Arial" w:cs="Arial"/>
          <w:lang w:val="sq-AL" w:bidi="ar-AE"/>
        </w:rPr>
        <w:t xml:space="preserve"> </w:t>
      </w:r>
      <w:r w:rsidRPr="002A6F4E">
        <w:rPr>
          <w:rFonts w:ascii="Arial" w:hAnsi="Arial" w:cs="Arial"/>
          <w:lang w:val="sq-AL" w:bidi="ar-AE"/>
        </w:rPr>
        <w:t>drugi</w:t>
      </w:r>
      <w:r w:rsidR="00B12739">
        <w:rPr>
          <w:rFonts w:ascii="Arial" w:hAnsi="Arial" w:cs="Arial"/>
          <w:lang w:val="sq-AL" w:bidi="ar-AE"/>
        </w:rPr>
        <w:t>m</w:t>
      </w:r>
      <w:r w:rsidRPr="002A6F4E">
        <w:rPr>
          <w:rFonts w:ascii="Arial" w:hAnsi="Arial" w:cs="Arial"/>
          <w:lang w:val="sq-AL" w:bidi="ar-AE"/>
        </w:rPr>
        <w:t xml:space="preserve"> dostupni</w:t>
      </w:r>
      <w:r w:rsidR="00B12739">
        <w:rPr>
          <w:rFonts w:ascii="Arial" w:hAnsi="Arial" w:cs="Arial"/>
          <w:lang w:val="sq-AL" w:bidi="ar-AE"/>
        </w:rPr>
        <w:t>m</w:t>
      </w:r>
      <w:r w:rsidRPr="002A6F4E">
        <w:rPr>
          <w:rFonts w:ascii="Arial" w:hAnsi="Arial" w:cs="Arial"/>
          <w:lang w:val="sq-AL" w:bidi="ar-AE"/>
        </w:rPr>
        <w:t xml:space="preserve"> putev</w:t>
      </w:r>
      <w:r w:rsidR="00B12739">
        <w:rPr>
          <w:rFonts w:ascii="Arial" w:hAnsi="Arial" w:cs="Arial"/>
          <w:lang w:val="sq-AL" w:bidi="ar-AE"/>
        </w:rPr>
        <w:t>im</w:t>
      </w:r>
      <w:r w:rsidRPr="002A6F4E">
        <w:rPr>
          <w:rFonts w:ascii="Arial" w:hAnsi="Arial" w:cs="Arial"/>
          <w:lang w:val="sq-AL" w:bidi="ar-AE"/>
        </w:rPr>
        <w:t>a komunikacije (javne rasprave, kampanje, obrazovne aktivnosti).</w:t>
      </w:r>
    </w:p>
    <w:p w14:paraId="68CC136D" w14:textId="62A4E7E1" w:rsidR="00695794" w:rsidRPr="002A6F4E" w:rsidRDefault="00695794" w:rsidP="00A23ED0">
      <w:pPr>
        <w:pStyle w:val="ListParagraph"/>
        <w:numPr>
          <w:ilvl w:val="0"/>
          <w:numId w:val="111"/>
        </w:numPr>
        <w:spacing w:before="120" w:after="120" w:line="360" w:lineRule="auto"/>
        <w:rPr>
          <w:rFonts w:ascii="Arial" w:hAnsi="Arial" w:cs="Arial"/>
          <w:lang w:val="sq-AL"/>
        </w:rPr>
      </w:pPr>
      <w:r w:rsidRPr="002A6F4E">
        <w:rPr>
          <w:rFonts w:ascii="Arial" w:hAnsi="Arial" w:cs="Arial"/>
          <w:lang w:val="sq-AL"/>
        </w:rPr>
        <w:t>Ponašanje proizvođača otpada</w:t>
      </w:r>
      <w:r w:rsidR="009B7275">
        <w:rPr>
          <w:rFonts w:ascii="Arial" w:hAnsi="Arial" w:cs="Arial"/>
          <w:lang w:val="sq-AL"/>
        </w:rPr>
        <w:t>:</w:t>
      </w:r>
    </w:p>
    <w:p w14:paraId="78121FE0" w14:textId="59D0B62A" w:rsidR="00695794" w:rsidRPr="002A6F4E" w:rsidRDefault="00695794" w:rsidP="00695794">
      <w:pPr>
        <w:spacing w:before="120" w:after="120" w:line="360" w:lineRule="auto"/>
        <w:ind w:left="720"/>
        <w:rPr>
          <w:rFonts w:ascii="Arial" w:hAnsi="Arial" w:cs="Arial"/>
          <w:lang w:val="sq-AL"/>
        </w:rPr>
      </w:pPr>
      <w:r w:rsidRPr="002A6F4E">
        <w:rPr>
          <w:rFonts w:ascii="Arial" w:hAnsi="Arial" w:cs="Arial"/>
          <w:lang w:val="sq-AL"/>
        </w:rPr>
        <w:t xml:space="preserve">Jasno je da će sistemi odvojenog sakupljanja zahtijevati suštinske promjene u ponašanju proizvođača otpada i da spremnost potrošača da ove promjene izvrše na niskom nivou ukoliko zavisi od njihove dobre volje, bez suštinskog podsticaja. Ako proizvođači otpada ne razvrstavaju otpad u predviđenom i očekivanom obimu, ovo će predstavljati značajan </w:t>
      </w:r>
      <w:r w:rsidR="00B43F67">
        <w:rPr>
          <w:rFonts w:ascii="Arial" w:hAnsi="Arial" w:cs="Arial"/>
          <w:lang w:val="sq-AL"/>
        </w:rPr>
        <w:t>rizik.</w:t>
      </w:r>
    </w:p>
    <w:p w14:paraId="15AD5F03" w14:textId="635DE94F" w:rsidR="00B43F67" w:rsidRDefault="00695794" w:rsidP="00A23ED0">
      <w:pPr>
        <w:pStyle w:val="ListParagraph"/>
        <w:numPr>
          <w:ilvl w:val="0"/>
          <w:numId w:val="145"/>
        </w:numPr>
        <w:spacing w:before="120" w:after="120" w:line="360" w:lineRule="auto"/>
        <w:rPr>
          <w:rFonts w:ascii="Arial" w:hAnsi="Arial" w:cs="Arial"/>
          <w:lang w:val="sq-AL"/>
        </w:rPr>
      </w:pPr>
      <w:r w:rsidRPr="00B43F67">
        <w:rPr>
          <w:rFonts w:ascii="Arial" w:hAnsi="Arial" w:cs="Arial"/>
          <w:lang w:val="sq-AL"/>
        </w:rPr>
        <w:t>Ključne opcije ublažavanja uključuju:</w:t>
      </w:r>
    </w:p>
    <w:p w14:paraId="24CC753C" w14:textId="77777777" w:rsidR="00B43F67" w:rsidRPr="00B43F67" w:rsidRDefault="00B43F67" w:rsidP="00B43F67">
      <w:pPr>
        <w:pStyle w:val="ListParagraph"/>
        <w:spacing w:before="120" w:after="120" w:line="360" w:lineRule="auto"/>
        <w:rPr>
          <w:rFonts w:ascii="Arial" w:hAnsi="Arial" w:cs="Arial"/>
          <w:lang w:val="sq-AL"/>
        </w:rPr>
      </w:pPr>
    </w:p>
    <w:p w14:paraId="2E437168" w14:textId="3EFE35E3" w:rsidR="00695794" w:rsidRPr="002A6F4E" w:rsidRDefault="00B43F67" w:rsidP="00A23ED0">
      <w:pPr>
        <w:pStyle w:val="ListParagraph"/>
        <w:numPr>
          <w:ilvl w:val="1"/>
          <w:numId w:val="110"/>
        </w:numPr>
        <w:spacing w:before="120" w:after="120" w:line="360" w:lineRule="auto"/>
        <w:rPr>
          <w:rFonts w:ascii="Arial" w:hAnsi="Arial" w:cs="Arial"/>
          <w:lang w:val="sq-AL"/>
        </w:rPr>
      </w:pPr>
      <w:r>
        <w:rPr>
          <w:rFonts w:ascii="Arial" w:hAnsi="Arial" w:cs="Arial"/>
          <w:lang w:val="sq-AL"/>
        </w:rPr>
        <w:t>P</w:t>
      </w:r>
      <w:r w:rsidR="00695794" w:rsidRPr="002A6F4E">
        <w:rPr>
          <w:rFonts w:ascii="Arial" w:hAnsi="Arial" w:cs="Arial"/>
          <w:lang w:val="sq-AL"/>
        </w:rPr>
        <w:t>odizanje svijesti kako bi se potrošači uvjerili u prednosti novog integrisanog sistema upravljanja otpadom, te da plaćanje naknada predstavlja „vrijednost za novac“;</w:t>
      </w:r>
    </w:p>
    <w:p w14:paraId="57736050" w14:textId="372C2105" w:rsidR="00695794" w:rsidRPr="002A6F4E" w:rsidRDefault="00695794" w:rsidP="00A23ED0">
      <w:pPr>
        <w:pStyle w:val="ListParagraph"/>
        <w:numPr>
          <w:ilvl w:val="1"/>
          <w:numId w:val="110"/>
        </w:numPr>
        <w:spacing w:before="120" w:after="120" w:line="360" w:lineRule="auto"/>
        <w:contextualSpacing w:val="0"/>
        <w:rPr>
          <w:rFonts w:ascii="Arial" w:hAnsi="Arial" w:cs="Arial"/>
          <w:lang w:val="sq-AL"/>
        </w:rPr>
      </w:pPr>
      <w:r w:rsidRPr="002A6F4E">
        <w:rPr>
          <w:rFonts w:ascii="Arial" w:hAnsi="Arial" w:cs="Arial"/>
          <w:lang w:val="sq-AL"/>
        </w:rPr>
        <w:t>Cjenovne podsticaje, kao što su šeme „plati koliko baciš“.</w:t>
      </w:r>
    </w:p>
    <w:p w14:paraId="4FE1EE86" w14:textId="77777777" w:rsidR="00695794" w:rsidRPr="002A6F4E" w:rsidRDefault="00695794" w:rsidP="00F57909">
      <w:pPr>
        <w:pStyle w:val="Heading2"/>
        <w:numPr>
          <w:ilvl w:val="1"/>
          <w:numId w:val="139"/>
        </w:numPr>
      </w:pPr>
      <w:bookmarkStart w:id="1470" w:name="_Toc189759798"/>
      <w:bookmarkStart w:id="1471" w:name="_Toc193354086"/>
      <w:r w:rsidRPr="002A6F4E">
        <w:t>Upravljanje podacima i izvještavanje</w:t>
      </w:r>
      <w:bookmarkEnd w:id="1470"/>
      <w:bookmarkEnd w:id="1471"/>
    </w:p>
    <w:p w14:paraId="29885D7A" w14:textId="7FE30347" w:rsidR="00695794" w:rsidRPr="002A6F4E" w:rsidRDefault="00695794" w:rsidP="00695794">
      <w:pPr>
        <w:widowControl w:val="0"/>
        <w:spacing w:before="120" w:after="120" w:line="360" w:lineRule="auto"/>
        <w:rPr>
          <w:rFonts w:ascii="Arial" w:hAnsi="Arial" w:cs="Arial"/>
          <w:lang w:val="sq-AL"/>
        </w:rPr>
      </w:pPr>
      <w:r w:rsidRPr="002A6F4E">
        <w:rPr>
          <w:rFonts w:ascii="Arial" w:hAnsi="Arial" w:cs="Arial"/>
          <w:lang w:val="sq-AL"/>
        </w:rPr>
        <w:t xml:space="preserve">Monitoring otpada i upravljanje podacima su važni elementi za efikasno upravljanje otpadom. Primjena visokokvalitetnih sistema za monitoring otpada i upravljanje podacima zahtijeva značajne napore na </w:t>
      </w:r>
      <w:r w:rsidR="00B43F67">
        <w:rPr>
          <w:rFonts w:ascii="Arial" w:hAnsi="Arial" w:cs="Arial"/>
          <w:lang w:val="sq-AL"/>
        </w:rPr>
        <w:t xml:space="preserve">državnom </w:t>
      </w:r>
      <w:r w:rsidRPr="002A6F4E">
        <w:rPr>
          <w:rFonts w:ascii="Arial" w:hAnsi="Arial" w:cs="Arial"/>
          <w:lang w:val="sq-AL"/>
        </w:rPr>
        <w:t>i lokalnom nivou.</w:t>
      </w:r>
    </w:p>
    <w:p w14:paraId="6F76E024" w14:textId="437DAF21" w:rsidR="00695794" w:rsidRPr="002A6F4E" w:rsidRDefault="00B43F67" w:rsidP="00695794">
      <w:pPr>
        <w:widowControl w:val="0"/>
        <w:spacing w:before="120" w:after="120" w:line="360" w:lineRule="auto"/>
        <w:rPr>
          <w:rFonts w:ascii="Arial" w:hAnsi="Arial" w:cs="Arial"/>
          <w:lang w:val="sq-AL"/>
        </w:rPr>
      </w:pPr>
      <w:r>
        <w:rPr>
          <w:rFonts w:ascii="Arial" w:hAnsi="Arial" w:cs="Arial"/>
          <w:lang w:val="sq-AL"/>
        </w:rPr>
        <w:t xml:space="preserve">      </w:t>
      </w:r>
      <w:r w:rsidR="00695794" w:rsidRPr="002A6F4E">
        <w:rPr>
          <w:rFonts w:ascii="Arial" w:hAnsi="Arial" w:cs="Arial"/>
          <w:lang w:val="sq-AL"/>
        </w:rPr>
        <w:t xml:space="preserve">Glavne odredbe </w:t>
      </w:r>
      <w:r>
        <w:rPr>
          <w:rFonts w:ascii="Arial" w:hAnsi="Arial" w:cs="Arial"/>
          <w:lang w:val="sq-AL"/>
        </w:rPr>
        <w:t>Z</w:t>
      </w:r>
      <w:r w:rsidR="00695794" w:rsidRPr="002A6F4E">
        <w:rPr>
          <w:rFonts w:ascii="Arial" w:hAnsi="Arial" w:cs="Arial"/>
          <w:lang w:val="sq-AL"/>
        </w:rPr>
        <w:t>akona</w:t>
      </w:r>
      <w:r>
        <w:rPr>
          <w:rFonts w:ascii="Arial" w:hAnsi="Arial" w:cs="Arial"/>
          <w:lang w:val="sq-AL"/>
        </w:rPr>
        <w:t xml:space="preserve"> o upravljanju otpadom,</w:t>
      </w:r>
      <w:r w:rsidR="00695794" w:rsidRPr="002A6F4E">
        <w:rPr>
          <w:rFonts w:ascii="Arial" w:hAnsi="Arial" w:cs="Arial"/>
          <w:lang w:val="sq-AL"/>
        </w:rPr>
        <w:t xml:space="preserve"> koje se odnose na upravljanje podacima su:</w:t>
      </w:r>
    </w:p>
    <w:p w14:paraId="3E81C894" w14:textId="77777777" w:rsidR="00695794" w:rsidRPr="002A6F4E" w:rsidRDefault="00695794" w:rsidP="00A23ED0">
      <w:pPr>
        <w:pStyle w:val="ListParagraph"/>
        <w:widowControl w:val="0"/>
        <w:numPr>
          <w:ilvl w:val="0"/>
          <w:numId w:val="112"/>
        </w:numPr>
        <w:spacing w:before="120" w:after="120" w:line="360" w:lineRule="auto"/>
        <w:contextualSpacing w:val="0"/>
        <w:rPr>
          <w:rFonts w:ascii="Arial" w:hAnsi="Arial" w:cs="Arial"/>
          <w:lang w:val="sq-AL"/>
        </w:rPr>
      </w:pPr>
      <w:r w:rsidRPr="002A6F4E">
        <w:rPr>
          <w:rFonts w:ascii="Arial" w:hAnsi="Arial" w:cs="Arial"/>
          <w:lang w:val="sq-AL"/>
        </w:rPr>
        <w:t>evidenciju o komunalnom otpadu koji nastaje na teritoriji jedinice lokalne samouprave dužan je da vodi  nadležni organ lokalne samouprave;</w:t>
      </w:r>
    </w:p>
    <w:p w14:paraId="13F8A737" w14:textId="003AE42C" w:rsidR="00695794" w:rsidRPr="002A6F4E" w:rsidRDefault="00695794" w:rsidP="00A23ED0">
      <w:pPr>
        <w:pStyle w:val="ListParagraph"/>
        <w:widowControl w:val="0"/>
        <w:numPr>
          <w:ilvl w:val="0"/>
          <w:numId w:val="112"/>
        </w:numPr>
        <w:spacing w:before="120" w:after="120" w:line="360" w:lineRule="auto"/>
        <w:contextualSpacing w:val="0"/>
        <w:rPr>
          <w:rFonts w:ascii="Arial" w:hAnsi="Arial" w:cs="Arial"/>
          <w:lang w:val="sq-AL"/>
        </w:rPr>
      </w:pPr>
      <w:r w:rsidRPr="002A6F4E">
        <w:rPr>
          <w:rFonts w:ascii="Arial" w:hAnsi="Arial" w:cs="Arial"/>
          <w:lang w:val="sq-AL"/>
        </w:rPr>
        <w:t xml:space="preserve">način vođenja evidencije o otpadu, sadržaj formulara  za </w:t>
      </w:r>
      <w:r w:rsidR="00A34750">
        <w:rPr>
          <w:rFonts w:ascii="Arial" w:hAnsi="Arial" w:cs="Arial"/>
          <w:lang w:val="sq-AL"/>
        </w:rPr>
        <w:t>obradu</w:t>
      </w:r>
      <w:r w:rsidR="00A34750" w:rsidRPr="002A6F4E">
        <w:rPr>
          <w:rFonts w:ascii="Arial" w:hAnsi="Arial" w:cs="Arial"/>
          <w:lang w:val="sq-AL"/>
        </w:rPr>
        <w:t xml:space="preserve"> </w:t>
      </w:r>
      <w:r w:rsidRPr="002A6F4E">
        <w:rPr>
          <w:rFonts w:ascii="Arial" w:hAnsi="Arial" w:cs="Arial"/>
          <w:lang w:val="sq-AL"/>
        </w:rPr>
        <w:t>otpada, način njegovog popunjavanja  i način sačinjavanja godišnjih izvještaja utvrđuje se propisom ministarstva nadležnog za poslove zaštite životne sredine;</w:t>
      </w:r>
    </w:p>
    <w:p w14:paraId="4533AD77" w14:textId="77777777" w:rsidR="00695794" w:rsidRPr="002A6F4E" w:rsidRDefault="00695794" w:rsidP="00A23ED0">
      <w:pPr>
        <w:pStyle w:val="ListParagraph"/>
        <w:widowControl w:val="0"/>
        <w:numPr>
          <w:ilvl w:val="0"/>
          <w:numId w:val="112"/>
        </w:numPr>
        <w:spacing w:before="120" w:after="120" w:line="360" w:lineRule="auto"/>
        <w:contextualSpacing w:val="0"/>
        <w:rPr>
          <w:rFonts w:ascii="Arial" w:hAnsi="Arial" w:cs="Arial"/>
          <w:lang w:val="sq-AL"/>
        </w:rPr>
      </w:pPr>
      <w:r w:rsidRPr="002A6F4E">
        <w:rPr>
          <w:rFonts w:ascii="Arial" w:hAnsi="Arial" w:cs="Arial"/>
          <w:lang w:val="sq-AL"/>
        </w:rPr>
        <w:t>evidenciju proizvodnje i upravljanja otpadom na osnovu podataka iz godišnjih izvještaja o otpadu vodi Agencija (organ uprave nadležan za zaštitu životne sredine).</w:t>
      </w:r>
    </w:p>
    <w:p w14:paraId="6A9288D1" w14:textId="4E49EE7D" w:rsidR="00695794" w:rsidRPr="002A6F4E" w:rsidRDefault="00695794" w:rsidP="00695794">
      <w:pPr>
        <w:widowControl w:val="0"/>
        <w:spacing w:before="120" w:after="120" w:line="360" w:lineRule="auto"/>
        <w:rPr>
          <w:rFonts w:ascii="Arial" w:hAnsi="Arial" w:cs="Arial"/>
          <w:lang w:val="sq-AL"/>
        </w:rPr>
      </w:pPr>
      <w:r w:rsidRPr="002A6F4E">
        <w:rPr>
          <w:rFonts w:ascii="Arial" w:hAnsi="Arial" w:cs="Arial"/>
          <w:lang w:val="sq-AL"/>
        </w:rPr>
        <w:t xml:space="preserve">Pravilnikom o klasifikaciji otpada i katalogu otpada uređuje se klasifikacija otpada, katalog otpada, postupci </w:t>
      </w:r>
      <w:r w:rsidR="00B43F67">
        <w:rPr>
          <w:rFonts w:ascii="Arial" w:hAnsi="Arial" w:cs="Arial"/>
          <w:lang w:val="sq-AL"/>
        </w:rPr>
        <w:t xml:space="preserve">obrade </w:t>
      </w:r>
      <w:r w:rsidRPr="002A6F4E">
        <w:rPr>
          <w:rFonts w:ascii="Arial" w:hAnsi="Arial" w:cs="Arial"/>
          <w:lang w:val="sq-AL"/>
        </w:rPr>
        <w:t>otpada. Katalog otpada je lista otpada prema svojstvima i lokaciji na kojoj nastaje</w:t>
      </w:r>
      <w:r w:rsidR="00B43F67">
        <w:rPr>
          <w:rFonts w:ascii="Arial" w:hAnsi="Arial" w:cs="Arial"/>
          <w:lang w:val="sq-AL"/>
        </w:rPr>
        <w:t>.</w:t>
      </w:r>
      <w:r w:rsidRPr="002A6F4E">
        <w:rPr>
          <w:rFonts w:ascii="Arial" w:hAnsi="Arial" w:cs="Arial"/>
          <w:lang w:val="sq-AL"/>
        </w:rPr>
        <w:t xml:space="preserve"> </w:t>
      </w:r>
      <w:r w:rsidR="00B43F67">
        <w:rPr>
          <w:rFonts w:ascii="Arial" w:hAnsi="Arial" w:cs="Arial"/>
          <w:lang w:val="sq-AL"/>
        </w:rPr>
        <w:t>O</w:t>
      </w:r>
      <w:r w:rsidRPr="002A6F4E">
        <w:rPr>
          <w:rFonts w:ascii="Arial" w:hAnsi="Arial" w:cs="Arial"/>
          <w:lang w:val="sq-AL"/>
        </w:rPr>
        <w:t>tpad se razvrstava u grupe, podgrupe i vrste industrije čija je djelatnost proizvodnja otpada.</w:t>
      </w:r>
    </w:p>
    <w:p w14:paraId="1297AAEC" w14:textId="6E500D53" w:rsidR="00695794" w:rsidRPr="002A6F4E" w:rsidRDefault="00695794" w:rsidP="00695794">
      <w:pPr>
        <w:widowControl w:val="0"/>
        <w:spacing w:before="120" w:after="120" w:line="360" w:lineRule="auto"/>
        <w:rPr>
          <w:rFonts w:ascii="Arial" w:hAnsi="Arial" w:cs="Arial"/>
          <w:lang w:val="sq-AL"/>
        </w:rPr>
      </w:pPr>
      <w:r w:rsidRPr="002A6F4E">
        <w:rPr>
          <w:rFonts w:ascii="Arial" w:hAnsi="Arial" w:cs="Arial"/>
          <w:lang w:val="sq-AL"/>
        </w:rPr>
        <w:lastRenderedPageBreak/>
        <w:t>Podatke o upravljanju otpadom prikuplja jedinica za monitoring A</w:t>
      </w:r>
      <w:r w:rsidR="00A34750">
        <w:rPr>
          <w:rFonts w:ascii="Arial" w:hAnsi="Arial" w:cs="Arial"/>
          <w:lang w:val="sq-AL"/>
        </w:rPr>
        <w:t>ZŽS</w:t>
      </w:r>
      <w:r w:rsidR="00B43F67">
        <w:rPr>
          <w:rFonts w:ascii="Arial" w:hAnsi="Arial" w:cs="Arial"/>
          <w:lang w:val="sq-AL"/>
        </w:rPr>
        <w:t>.</w:t>
      </w:r>
      <w:r w:rsidRPr="002A6F4E">
        <w:rPr>
          <w:rFonts w:ascii="Arial" w:hAnsi="Arial" w:cs="Arial"/>
          <w:lang w:val="sq-AL"/>
        </w:rPr>
        <w:t xml:space="preserve"> </w:t>
      </w:r>
    </w:p>
    <w:p w14:paraId="5F84CFE9" w14:textId="2271535F" w:rsidR="00695794" w:rsidRPr="002A6F4E" w:rsidRDefault="00695794" w:rsidP="00695794">
      <w:pPr>
        <w:widowControl w:val="0"/>
        <w:spacing w:before="120" w:after="120" w:line="360" w:lineRule="auto"/>
        <w:rPr>
          <w:rFonts w:ascii="Arial" w:hAnsi="Arial" w:cs="Arial"/>
          <w:lang w:val="sq-AL"/>
        </w:rPr>
      </w:pPr>
      <w:r w:rsidRPr="002A6F4E">
        <w:rPr>
          <w:rFonts w:ascii="Arial" w:hAnsi="Arial" w:cs="Arial"/>
          <w:lang w:val="sq-AL"/>
        </w:rPr>
        <w:t>Uprava za statistiku (MONSTAT) samostalno prikuplja podatke u skladu sa Uredbom o statistici otpada (EC 2150/2002). Statistika otpada se dostavlja EUROSTA</w:t>
      </w:r>
      <w:r w:rsidR="00B43F67">
        <w:rPr>
          <w:rFonts w:ascii="Arial" w:hAnsi="Arial" w:cs="Arial"/>
          <w:lang w:val="sq-AL"/>
        </w:rPr>
        <w:t>T</w:t>
      </w:r>
      <w:r w:rsidRPr="002A6F4E">
        <w:rPr>
          <w:rFonts w:ascii="Arial" w:hAnsi="Arial" w:cs="Arial"/>
          <w:lang w:val="sq-AL"/>
        </w:rPr>
        <w:t xml:space="preserve"> u propisanim rokovima</w:t>
      </w:r>
      <w:r w:rsidR="00A34750">
        <w:rPr>
          <w:rFonts w:ascii="Arial" w:hAnsi="Arial" w:cs="Arial"/>
          <w:lang w:val="sq-AL"/>
        </w:rPr>
        <w:t>, a</w:t>
      </w:r>
      <w:r w:rsidRPr="002A6F4E">
        <w:rPr>
          <w:rFonts w:ascii="Arial" w:hAnsi="Arial" w:cs="Arial"/>
          <w:lang w:val="sq-AL"/>
        </w:rPr>
        <w:t xml:space="preserve"> EUROSTAT prati usklađenost statističkih sistema u zemljama proširenja sa pravnim tekovinama EU o statistici.</w:t>
      </w:r>
    </w:p>
    <w:p w14:paraId="4F716525" w14:textId="70981F01" w:rsidR="001032A4" w:rsidRDefault="00695794" w:rsidP="006C693A">
      <w:pPr>
        <w:widowControl w:val="0"/>
        <w:spacing w:before="120" w:after="120" w:line="360" w:lineRule="auto"/>
        <w:rPr>
          <w:rFonts w:ascii="Arial" w:hAnsi="Arial" w:cs="Arial"/>
          <w:lang w:val="sq-AL"/>
        </w:rPr>
      </w:pPr>
      <w:r w:rsidRPr="002A6F4E">
        <w:rPr>
          <w:rFonts w:ascii="Arial" w:hAnsi="Arial" w:cs="Arial"/>
          <w:lang w:val="sq-AL"/>
        </w:rPr>
        <w:t xml:space="preserve">Praćenje usklađenosti se sprovodi jednom godišnje u saradnji sa </w:t>
      </w:r>
      <w:r w:rsidR="00B43F67">
        <w:rPr>
          <w:rFonts w:ascii="Arial" w:hAnsi="Arial" w:cs="Arial"/>
          <w:lang w:val="sq-AL"/>
        </w:rPr>
        <w:t xml:space="preserve">Upravom </w:t>
      </w:r>
      <w:r w:rsidRPr="002A6F4E">
        <w:rPr>
          <w:rFonts w:ascii="Arial" w:hAnsi="Arial" w:cs="Arial"/>
          <w:lang w:val="sq-AL"/>
        </w:rPr>
        <w:t>za statistiku (</w:t>
      </w:r>
      <w:r w:rsidR="00B43F67">
        <w:rPr>
          <w:rFonts w:ascii="Arial" w:hAnsi="Arial" w:cs="Arial"/>
          <w:lang w:val="sq-AL"/>
        </w:rPr>
        <w:t>MONSTAT</w:t>
      </w:r>
      <w:r w:rsidRPr="002A6F4E">
        <w:rPr>
          <w:rFonts w:ascii="Arial" w:hAnsi="Arial" w:cs="Arial"/>
          <w:lang w:val="sq-AL"/>
        </w:rPr>
        <w:t xml:space="preserve">). Statistički </w:t>
      </w:r>
      <w:r w:rsidR="00B43F67">
        <w:rPr>
          <w:rFonts w:ascii="Arial" w:hAnsi="Arial" w:cs="Arial"/>
          <w:lang w:val="sq-AL"/>
        </w:rPr>
        <w:t xml:space="preserve">godišnjak </w:t>
      </w:r>
      <w:r w:rsidRPr="002A6F4E">
        <w:rPr>
          <w:rFonts w:ascii="Arial" w:hAnsi="Arial" w:cs="Arial"/>
          <w:lang w:val="sq-AL"/>
        </w:rPr>
        <w:t>i SMIS+ (Informacioni sistem za statističko upravljanje) su dva važna alata koja se koriste u praćenju usklađenosti. Od zemalja se traži da procijene nivo usklađenosti za svak</w:t>
      </w:r>
      <w:r w:rsidR="00A34750">
        <w:rPr>
          <w:rFonts w:ascii="Arial" w:hAnsi="Arial" w:cs="Arial"/>
          <w:lang w:val="sq-AL"/>
        </w:rPr>
        <w:t>u</w:t>
      </w:r>
      <w:r w:rsidRPr="002A6F4E">
        <w:rPr>
          <w:rFonts w:ascii="Arial" w:hAnsi="Arial" w:cs="Arial"/>
          <w:lang w:val="sq-AL"/>
        </w:rPr>
        <w:t xml:space="preserve">temu, a EUROSTAT daje povratne informacije o procjeni  statističkih instituta unoseći njihovu procjenu u aplikaciju. U posljednje dvije godine, EUROSTAT je ocijenio statistiku otpada kao oblast </w:t>
      </w:r>
      <w:r w:rsidR="001032A4">
        <w:rPr>
          <w:rFonts w:ascii="Arial" w:hAnsi="Arial" w:cs="Arial"/>
          <w:lang w:val="sq-AL"/>
        </w:rPr>
        <w:t>koja je u potpunosti usklađena.</w:t>
      </w:r>
    </w:p>
    <w:p w14:paraId="2B4E048B" w14:textId="4AA8B77B" w:rsidR="006C693A" w:rsidRPr="002A6F4E" w:rsidRDefault="006C693A" w:rsidP="006C693A">
      <w:pPr>
        <w:widowControl w:val="0"/>
        <w:spacing w:before="120" w:after="120" w:line="360" w:lineRule="auto"/>
        <w:rPr>
          <w:rFonts w:ascii="Arial" w:hAnsi="Arial" w:cs="Arial"/>
          <w:lang w:val="sq-AL"/>
        </w:rPr>
      </w:pPr>
      <w:r w:rsidRPr="002A6F4E">
        <w:rPr>
          <w:rFonts w:ascii="Arial" w:hAnsi="Arial" w:cs="Arial"/>
          <w:lang w:val="sq-AL"/>
        </w:rPr>
        <w:t>Međutim, iako je uspostavljen osnovni sistem izvještavanja, trenutno podaci o komunalnom otpadu u Crnoj Gori su još uvijek nepouzdan</w:t>
      </w:r>
      <w:r w:rsidR="00153B62">
        <w:rPr>
          <w:rFonts w:ascii="Arial" w:hAnsi="Arial" w:cs="Arial"/>
          <w:lang w:val="sq-AL"/>
        </w:rPr>
        <w:t>i.</w:t>
      </w:r>
      <w:r w:rsidRPr="002A6F4E">
        <w:rPr>
          <w:rFonts w:ascii="Arial" w:hAnsi="Arial" w:cs="Arial"/>
          <w:lang w:val="sq-AL"/>
        </w:rPr>
        <w:t xml:space="preserve"> Čini se da sistem upravljanja podacima ne pruža organima upravljanja konzistentne informacije neophodne za monitoring  investicionih projekata, monitoring napretka ka ciljevima i razvoj politike. Podaci o industrijskom otpadu </w:t>
      </w:r>
      <w:r w:rsidR="00153B62">
        <w:rPr>
          <w:rFonts w:ascii="Arial" w:hAnsi="Arial" w:cs="Arial"/>
          <w:lang w:val="sq-AL"/>
        </w:rPr>
        <w:t>nijesu na zadovoljavajućem nivou</w:t>
      </w:r>
      <w:r w:rsidRPr="002A6F4E">
        <w:rPr>
          <w:rFonts w:ascii="Arial" w:hAnsi="Arial" w:cs="Arial"/>
          <w:lang w:val="sq-AL"/>
        </w:rPr>
        <w:t>. Djelokrug za mjerenje učinka prema ključnim ciljevima je ograničen jer nema podataka ili su isti nepouzdani</w:t>
      </w:r>
      <w:r w:rsidR="00153B62">
        <w:rPr>
          <w:rFonts w:ascii="Arial" w:hAnsi="Arial" w:cs="Arial"/>
          <w:lang w:val="sq-AL"/>
        </w:rPr>
        <w:t>.</w:t>
      </w:r>
    </w:p>
    <w:p w14:paraId="6B111898" w14:textId="16EA4BBF" w:rsidR="006C693A" w:rsidRPr="002A6F4E" w:rsidRDefault="006C693A" w:rsidP="006C693A">
      <w:pPr>
        <w:widowControl w:val="0"/>
        <w:spacing w:before="120" w:after="120" w:line="360" w:lineRule="auto"/>
        <w:rPr>
          <w:rFonts w:ascii="Arial" w:hAnsi="Arial" w:cs="Arial"/>
          <w:lang w:val="sq-AL"/>
        </w:rPr>
      </w:pPr>
      <w:r w:rsidRPr="002A6F4E">
        <w:rPr>
          <w:rFonts w:ascii="Arial" w:hAnsi="Arial" w:cs="Arial"/>
          <w:lang w:val="sq-AL"/>
        </w:rPr>
        <w:t>U budućnosti, izvještavanje i monitoring treba da budu u skladu sa zahtjevima EU i kompatibilni sa zahtjevima A</w:t>
      </w:r>
      <w:r w:rsidR="00A34750">
        <w:rPr>
          <w:rFonts w:ascii="Arial" w:hAnsi="Arial" w:cs="Arial"/>
          <w:lang w:val="sq-AL"/>
        </w:rPr>
        <w:t>ZŽS</w:t>
      </w:r>
      <w:r w:rsidR="00153B62">
        <w:rPr>
          <w:rFonts w:ascii="Arial" w:hAnsi="Arial" w:cs="Arial"/>
          <w:lang w:val="sq-AL"/>
        </w:rPr>
        <w:t>.</w:t>
      </w:r>
      <w:r w:rsidRPr="002A6F4E">
        <w:rPr>
          <w:rFonts w:ascii="Arial" w:hAnsi="Arial" w:cs="Arial"/>
          <w:lang w:val="sq-AL"/>
        </w:rPr>
        <w:t xml:space="preserve"> Stoga je potrebno uspostaviti administrativnu saradnju između lokalnih, regionalnih i nacionalnih organa uprave, uz jačanje operativnih kapaciteta i podršku regionalnim mehanizmima izvještavanja. Preporučuje se implementacija sveobuhvatnog programa prikupljanja i monitoringa podataka zasnovanog na elektronskom praćenju i izvještavanju podataka od proizvođača, preko sakupljača, a zatim do sljedećih rukovalaca otpadom. Takvi sistemi mogu pomoći u mjerenju učinka i ukazati na to gdje se dešavaju potencijalno nezakonite aktivnosti.</w:t>
      </w:r>
    </w:p>
    <w:p w14:paraId="09E95FBB" w14:textId="77777777" w:rsidR="006C693A" w:rsidRPr="002A6F4E" w:rsidRDefault="006C693A" w:rsidP="006C693A">
      <w:pPr>
        <w:widowControl w:val="0"/>
        <w:spacing w:before="120" w:after="120" w:line="360" w:lineRule="auto"/>
        <w:rPr>
          <w:rFonts w:ascii="Arial" w:hAnsi="Arial" w:cs="Arial"/>
          <w:lang w:val="sq-AL"/>
        </w:rPr>
      </w:pPr>
      <w:r w:rsidRPr="002A6F4E">
        <w:rPr>
          <w:rFonts w:ascii="Arial" w:hAnsi="Arial" w:cs="Arial"/>
          <w:lang w:val="sq-AL"/>
        </w:rPr>
        <w:t>Na osnovu analize postojećeg sistema upravljanja podacima u Crnoj Gori, dolazimo do sljedećih zaključaka:</w:t>
      </w:r>
    </w:p>
    <w:p w14:paraId="590A3A9C" w14:textId="3568A4E5" w:rsidR="006C693A" w:rsidRPr="002A6F4E" w:rsidRDefault="006C693A" w:rsidP="00A23ED0">
      <w:pPr>
        <w:pStyle w:val="ListParagraph"/>
        <w:numPr>
          <w:ilvl w:val="0"/>
          <w:numId w:val="131"/>
        </w:numPr>
        <w:spacing w:before="120" w:after="120" w:line="360" w:lineRule="auto"/>
        <w:rPr>
          <w:rFonts w:ascii="Arial" w:hAnsi="Arial" w:cs="Arial"/>
          <w:iCs/>
          <w:lang w:val="sq-AL"/>
        </w:rPr>
      </w:pPr>
      <w:r w:rsidRPr="002A6F4E">
        <w:rPr>
          <w:rFonts w:ascii="Arial" w:hAnsi="Arial" w:cs="Arial"/>
          <w:iCs/>
          <w:lang w:val="sq-AL"/>
        </w:rPr>
        <w:t>Podaci o komunalnom otpadu u ovom trenutku nije moguće provjeriti (postoji određena nedosljednost u podacima koje prikuplja MONSTAT i podacima koje je prijavila A</w:t>
      </w:r>
      <w:r w:rsidR="00A34750">
        <w:rPr>
          <w:rFonts w:ascii="Arial" w:hAnsi="Arial" w:cs="Arial"/>
          <w:iCs/>
          <w:lang w:val="sq-AL"/>
        </w:rPr>
        <w:t>ZŽS</w:t>
      </w:r>
      <w:r w:rsidRPr="002A6F4E">
        <w:rPr>
          <w:rFonts w:ascii="Arial" w:hAnsi="Arial" w:cs="Arial"/>
          <w:iCs/>
          <w:lang w:val="sq-AL"/>
        </w:rPr>
        <w:t>, uglavnom zbog različitog metodološkog pristupa u prikupljanju podataka);</w:t>
      </w:r>
    </w:p>
    <w:p w14:paraId="78775CEB" w14:textId="11E6CBCC" w:rsidR="006C693A" w:rsidRPr="002A6F4E" w:rsidRDefault="006C693A" w:rsidP="00A23ED0">
      <w:pPr>
        <w:pStyle w:val="ListParagraph"/>
        <w:numPr>
          <w:ilvl w:val="0"/>
          <w:numId w:val="131"/>
        </w:numPr>
        <w:spacing w:before="120" w:after="120" w:line="360" w:lineRule="auto"/>
        <w:rPr>
          <w:rFonts w:ascii="Arial" w:hAnsi="Arial" w:cs="Arial"/>
          <w:iCs/>
          <w:lang w:val="sq-AL"/>
        </w:rPr>
      </w:pPr>
      <w:r w:rsidRPr="002A6F4E">
        <w:rPr>
          <w:rFonts w:ascii="Arial" w:hAnsi="Arial" w:cs="Arial"/>
          <w:iCs/>
          <w:lang w:val="sq-AL"/>
        </w:rPr>
        <w:t>Podaci o industrijskom otpadu nemaju značajne indikatore za relevantnost;</w:t>
      </w:r>
    </w:p>
    <w:p w14:paraId="163492F1" w14:textId="2C6D7B4A" w:rsidR="006C693A" w:rsidRPr="002A6F4E" w:rsidRDefault="006C693A" w:rsidP="00A23ED0">
      <w:pPr>
        <w:pStyle w:val="ListParagraph"/>
        <w:numPr>
          <w:ilvl w:val="0"/>
          <w:numId w:val="131"/>
        </w:numPr>
        <w:spacing w:before="120" w:after="120" w:line="360" w:lineRule="auto"/>
        <w:rPr>
          <w:rFonts w:ascii="Arial" w:hAnsi="Arial" w:cs="Arial"/>
          <w:iCs/>
          <w:lang w:val="sq-AL"/>
        </w:rPr>
      </w:pPr>
      <w:r w:rsidRPr="002A6F4E">
        <w:rPr>
          <w:rFonts w:ascii="Arial" w:hAnsi="Arial" w:cs="Arial"/>
          <w:iCs/>
          <w:lang w:val="sq-AL"/>
        </w:rPr>
        <w:t>Projekcije je teško napraviti zbog podataka ograničenog kvaliteta</w:t>
      </w:r>
      <w:r w:rsidR="00695794" w:rsidRPr="002A6F4E">
        <w:rPr>
          <w:rFonts w:ascii="Arial" w:hAnsi="Arial" w:cs="Arial"/>
          <w:iCs/>
          <w:lang w:val="sq-AL"/>
        </w:rPr>
        <w:t>.</w:t>
      </w:r>
    </w:p>
    <w:p w14:paraId="79F5ECDB" w14:textId="578B3413" w:rsidR="006C693A" w:rsidRPr="002A6F4E" w:rsidRDefault="006C693A" w:rsidP="006C693A">
      <w:pPr>
        <w:widowControl w:val="0"/>
        <w:spacing w:before="120" w:after="120" w:line="360" w:lineRule="auto"/>
        <w:rPr>
          <w:rFonts w:ascii="Arial" w:hAnsi="Arial" w:cs="Arial"/>
          <w:lang w:val="sq-AL"/>
        </w:rPr>
      </w:pPr>
      <w:r w:rsidRPr="002A6F4E">
        <w:rPr>
          <w:rFonts w:ascii="Arial" w:hAnsi="Arial" w:cs="Arial"/>
          <w:lang w:val="sq-AL"/>
        </w:rPr>
        <w:t xml:space="preserve">Dobijanje tačnih podataka o količinama komunalnog otpada nastalog u pojedinim nadležnostima podrazumijeva dugotrajan i složen metod istraživanja za koji je potrebno utvrditi metodologiju i na osnovu dobijenih podataka izvršiti njihovu detaljnu sistematizaciju. Redovno vođenje evidencije je izuzetno važno za pouzdanu analizu podataka i poređenje evidentiranih količina po vremenskom periodu i sezoni. Pouzdani podaci o količini i sastavu nastalog otpada predstavljaju osnovu za izradu relevantnih planskih dokumenata, kao i za utvrđivanje dugoročnih ciljeva i racionalno i održivo upravljanje otpadom na </w:t>
      </w:r>
      <w:r w:rsidR="00153B62">
        <w:rPr>
          <w:rFonts w:ascii="Arial" w:hAnsi="Arial" w:cs="Arial"/>
          <w:lang w:val="sq-AL"/>
        </w:rPr>
        <w:t>državnom</w:t>
      </w:r>
      <w:r w:rsidRPr="002A6F4E">
        <w:rPr>
          <w:rFonts w:ascii="Arial" w:hAnsi="Arial" w:cs="Arial"/>
          <w:lang w:val="sq-AL"/>
        </w:rPr>
        <w:t xml:space="preserve"> </w:t>
      </w:r>
      <w:r w:rsidRPr="002A6F4E">
        <w:rPr>
          <w:rFonts w:ascii="Arial" w:hAnsi="Arial" w:cs="Arial"/>
          <w:lang w:val="sq-AL"/>
        </w:rPr>
        <w:lastRenderedPageBreak/>
        <w:t>nivou. Poznavanje relevantnih indikatora fizičkih karakteristika otpada je od velikog značaja za uspješno funkcionisanje svih elemenata sistema upravljanja otpadom koji obuhvata sakupljanje, transport</w:t>
      </w:r>
      <w:r w:rsidR="00153B62">
        <w:rPr>
          <w:rFonts w:ascii="Arial" w:hAnsi="Arial" w:cs="Arial"/>
          <w:lang w:val="sq-AL"/>
        </w:rPr>
        <w:t xml:space="preserve"> i obradu otpada</w:t>
      </w:r>
      <w:r w:rsidRPr="002A6F4E">
        <w:rPr>
          <w:rFonts w:ascii="Arial" w:hAnsi="Arial" w:cs="Arial"/>
          <w:lang w:val="sq-AL"/>
        </w:rPr>
        <w:t xml:space="preserve">. Pored uticaja na izbor opreme i optimizaciju procesa sa tehničke tačke gledišta, procjena budućih investicija je takođe usko povezana sa informacijama o količini i sastavu komunalnog otpada. </w:t>
      </w:r>
    </w:p>
    <w:p w14:paraId="6A8C8E6F" w14:textId="6E0B506B" w:rsidR="006C693A" w:rsidRPr="002A6F4E" w:rsidRDefault="006C693A" w:rsidP="006C693A">
      <w:pPr>
        <w:widowControl w:val="0"/>
        <w:spacing w:before="120" w:after="120" w:line="360" w:lineRule="auto"/>
        <w:rPr>
          <w:rFonts w:ascii="Arial" w:hAnsi="Arial" w:cs="Arial"/>
          <w:lang w:val="sq-AL"/>
        </w:rPr>
      </w:pPr>
      <w:r w:rsidRPr="002A6F4E">
        <w:rPr>
          <w:rFonts w:ascii="Arial" w:hAnsi="Arial" w:cs="Arial"/>
          <w:lang w:val="sq-AL"/>
        </w:rPr>
        <w:t>Definisanjem standardizovanog načina praćenja količine i sastava generisanog otpada, stvaraju se uslovi za poređenje raspoloživih podataka između jed</w:t>
      </w:r>
      <w:r w:rsidR="00153B62">
        <w:rPr>
          <w:rFonts w:ascii="Arial" w:hAnsi="Arial" w:cs="Arial"/>
          <w:lang w:val="sq-AL"/>
        </w:rPr>
        <w:t>i</w:t>
      </w:r>
      <w:r w:rsidRPr="002A6F4E">
        <w:rPr>
          <w:rFonts w:ascii="Arial" w:hAnsi="Arial" w:cs="Arial"/>
          <w:lang w:val="sq-AL"/>
        </w:rPr>
        <w:t xml:space="preserve">nica lokalnih samouprava na </w:t>
      </w:r>
      <w:r w:rsidR="00153B62">
        <w:rPr>
          <w:rFonts w:ascii="Arial" w:hAnsi="Arial" w:cs="Arial"/>
          <w:lang w:val="sq-AL"/>
        </w:rPr>
        <w:t>državnom</w:t>
      </w:r>
      <w:r w:rsidRPr="002A6F4E">
        <w:rPr>
          <w:rFonts w:ascii="Arial" w:hAnsi="Arial" w:cs="Arial"/>
          <w:lang w:val="sq-AL"/>
        </w:rPr>
        <w:t xml:space="preserve"> nivou, a ispunjavaju se i obaveze izvještavanja prema Evropskoj agenciji za životnu sredinu, odnosno omogućava poređenje podataka između različitih zemalja. Harmonizacija podzakonskih akata koja se planira </w:t>
      </w:r>
      <w:r w:rsidR="00253898">
        <w:rPr>
          <w:rFonts w:ascii="Arial" w:hAnsi="Arial" w:cs="Arial"/>
          <w:lang w:val="sq-AL"/>
        </w:rPr>
        <w:t>na osnovu</w:t>
      </w:r>
      <w:r w:rsidRPr="002A6F4E">
        <w:rPr>
          <w:rFonts w:ascii="Arial" w:hAnsi="Arial" w:cs="Arial"/>
          <w:lang w:val="sq-AL"/>
        </w:rPr>
        <w:t xml:space="preserve"> Zakona o upravljanju otpadom treba da obezbijedi dovoljan okvir za prevazilaženje ovih prepreka koje proizilaze iz ograničenja metodologije </w:t>
      </w:r>
      <w:r w:rsidR="00253898">
        <w:rPr>
          <w:rFonts w:ascii="Arial" w:hAnsi="Arial" w:cs="Arial"/>
          <w:lang w:val="sq-AL"/>
        </w:rPr>
        <w:t>sa</w:t>
      </w:r>
      <w:r w:rsidRPr="002A6F4E">
        <w:rPr>
          <w:rFonts w:ascii="Arial" w:hAnsi="Arial" w:cs="Arial"/>
          <w:lang w:val="sq-AL"/>
        </w:rPr>
        <w:t>kupljanja podataka.</w:t>
      </w:r>
    </w:p>
    <w:p w14:paraId="2D412259" w14:textId="5BF75DEE" w:rsidR="006C693A" w:rsidRPr="002A6F4E" w:rsidRDefault="006C693A" w:rsidP="006C693A">
      <w:pPr>
        <w:widowControl w:val="0"/>
        <w:spacing w:before="120" w:after="120" w:line="360" w:lineRule="auto"/>
        <w:rPr>
          <w:rFonts w:ascii="Arial" w:hAnsi="Arial" w:cs="Arial"/>
          <w:lang w:val="sq-AL"/>
        </w:rPr>
      </w:pPr>
      <w:r w:rsidRPr="002A6F4E">
        <w:rPr>
          <w:rFonts w:ascii="Arial" w:hAnsi="Arial" w:cs="Arial"/>
          <w:lang w:val="sq-AL"/>
        </w:rPr>
        <w:t>Stoga je uspostavljanje Informacionog sistema upravljanja otpadom (Waste Management Information System-</w:t>
      </w:r>
      <w:r w:rsidR="00253898">
        <w:rPr>
          <w:rFonts w:ascii="Arial" w:hAnsi="Arial" w:cs="Arial"/>
          <w:lang w:val="sq-AL"/>
        </w:rPr>
        <w:t xml:space="preserve"> </w:t>
      </w:r>
      <w:r w:rsidRPr="002A6F4E">
        <w:rPr>
          <w:rFonts w:ascii="Arial" w:hAnsi="Arial" w:cs="Arial"/>
          <w:lang w:val="sq-AL"/>
        </w:rPr>
        <w:t xml:space="preserve">WMIS) veoma važno za upravljanje otpadom. Ovaj informacioni sistem će biti integrisani informacioni sistem koji uključuje procese i alate za </w:t>
      </w:r>
      <w:r w:rsidR="00253898">
        <w:rPr>
          <w:rFonts w:ascii="Arial" w:hAnsi="Arial" w:cs="Arial"/>
          <w:lang w:val="sq-AL"/>
        </w:rPr>
        <w:t>sa</w:t>
      </w:r>
      <w:r w:rsidRPr="002A6F4E">
        <w:rPr>
          <w:rFonts w:ascii="Arial" w:hAnsi="Arial" w:cs="Arial"/>
          <w:lang w:val="sq-AL"/>
        </w:rPr>
        <w:t xml:space="preserve">kupljanje podataka i za razmjenu informacija </w:t>
      </w:r>
      <w:r w:rsidR="00153B62">
        <w:rPr>
          <w:rFonts w:ascii="Arial" w:hAnsi="Arial" w:cs="Arial"/>
          <w:lang w:val="sq-AL"/>
        </w:rPr>
        <w:t xml:space="preserve">u </w:t>
      </w:r>
      <w:r w:rsidRPr="002A6F4E">
        <w:rPr>
          <w:rFonts w:ascii="Arial" w:hAnsi="Arial" w:cs="Arial"/>
          <w:lang w:val="sq-AL"/>
        </w:rPr>
        <w:t xml:space="preserve"> sektoru otpada. Si</w:t>
      </w:r>
      <w:r w:rsidR="00153B62">
        <w:rPr>
          <w:rFonts w:ascii="Arial" w:hAnsi="Arial" w:cs="Arial"/>
          <w:lang w:val="sq-AL"/>
        </w:rPr>
        <w:t>s</w:t>
      </w:r>
      <w:r w:rsidRPr="002A6F4E">
        <w:rPr>
          <w:rFonts w:ascii="Arial" w:hAnsi="Arial" w:cs="Arial"/>
          <w:lang w:val="sq-AL"/>
        </w:rPr>
        <w:t>tem će biti  „elektronski“  što predstavlja dio sveukupnog nastojanja da se uvedu nove tehnologije u odnos između države i građanina. Vremenom, WMIS će obezbijediti osnovu za regulaciju i kontrolu u sektoru otpada, čuvaće podatke o licenciranim operaterima i postrojenjima</w:t>
      </w:r>
      <w:r w:rsidR="00253898">
        <w:rPr>
          <w:rFonts w:ascii="Arial" w:hAnsi="Arial" w:cs="Arial"/>
          <w:lang w:val="sq-AL"/>
        </w:rPr>
        <w:t xml:space="preserve"> koje imaju odgovarajuće dozvole</w:t>
      </w:r>
      <w:r w:rsidRPr="002A6F4E">
        <w:rPr>
          <w:rFonts w:ascii="Arial" w:hAnsi="Arial" w:cs="Arial"/>
          <w:lang w:val="sq-AL"/>
        </w:rPr>
        <w:t>, izvještaje o inspekciji i monitoringu, kao i preduzete mjere za sprovođenje. Sistem će obezbijediti osnovu za praćenje izvještavanja o ostvarenju Crne Gore u pogledu ispunjavanja ciljeva postavljenih strategijom.</w:t>
      </w:r>
    </w:p>
    <w:p w14:paraId="36CF8AFF" w14:textId="77777777" w:rsidR="006C693A" w:rsidRPr="002A6F4E" w:rsidRDefault="006C693A" w:rsidP="006C693A">
      <w:pPr>
        <w:spacing w:before="120" w:after="120" w:line="360" w:lineRule="auto"/>
        <w:rPr>
          <w:rFonts w:ascii="Arial" w:hAnsi="Arial" w:cs="Arial"/>
          <w:iCs/>
          <w:lang w:val="sq-AL"/>
        </w:rPr>
      </w:pPr>
      <w:r w:rsidRPr="002A6F4E">
        <w:rPr>
          <w:rFonts w:ascii="Arial" w:hAnsi="Arial" w:cs="Arial"/>
          <w:iCs/>
          <w:lang w:val="sq-AL"/>
        </w:rPr>
        <w:t>Tačnije, glavni ciljevi sistema biće:</w:t>
      </w:r>
    </w:p>
    <w:p w14:paraId="53142A3C" w14:textId="0809E90D" w:rsidR="006C693A" w:rsidRPr="002A6F4E" w:rsidRDefault="00153B62" w:rsidP="00A23ED0">
      <w:pPr>
        <w:pStyle w:val="ListParagraph"/>
        <w:numPr>
          <w:ilvl w:val="0"/>
          <w:numId w:val="132"/>
        </w:numPr>
        <w:spacing w:before="120" w:after="120" w:line="360" w:lineRule="auto"/>
        <w:rPr>
          <w:rFonts w:ascii="Arial" w:hAnsi="Arial" w:cs="Arial"/>
          <w:iCs/>
          <w:lang w:val="sq-AL"/>
        </w:rPr>
      </w:pPr>
      <w:r>
        <w:rPr>
          <w:rFonts w:ascii="Arial" w:hAnsi="Arial" w:cs="Arial"/>
          <w:iCs/>
          <w:lang w:val="sq-AL"/>
        </w:rPr>
        <w:t>P</w:t>
      </w:r>
      <w:r w:rsidR="006C693A" w:rsidRPr="002A6F4E">
        <w:rPr>
          <w:rFonts w:ascii="Arial" w:hAnsi="Arial" w:cs="Arial"/>
          <w:iCs/>
          <w:lang w:val="sq-AL"/>
        </w:rPr>
        <w:t>ouzdani</w:t>
      </w:r>
      <w:r>
        <w:rPr>
          <w:rFonts w:ascii="Arial" w:hAnsi="Arial" w:cs="Arial"/>
          <w:iCs/>
          <w:lang w:val="sq-AL"/>
        </w:rPr>
        <w:t xml:space="preserve"> </w:t>
      </w:r>
      <w:r w:rsidR="006C693A" w:rsidRPr="002A6F4E">
        <w:rPr>
          <w:rFonts w:ascii="Arial" w:hAnsi="Arial" w:cs="Arial"/>
          <w:iCs/>
          <w:lang w:val="sq-AL"/>
        </w:rPr>
        <w:t xml:space="preserve">podaci na </w:t>
      </w:r>
      <w:r>
        <w:rPr>
          <w:rFonts w:ascii="Arial" w:hAnsi="Arial" w:cs="Arial"/>
          <w:iCs/>
          <w:lang w:val="sq-AL"/>
        </w:rPr>
        <w:t>državnom</w:t>
      </w:r>
      <w:r w:rsidR="006C693A" w:rsidRPr="002A6F4E">
        <w:rPr>
          <w:rFonts w:ascii="Arial" w:hAnsi="Arial" w:cs="Arial"/>
          <w:iCs/>
          <w:lang w:val="sq-AL"/>
        </w:rPr>
        <w:t xml:space="preserve"> i </w:t>
      </w:r>
      <w:r w:rsidR="002A2094">
        <w:rPr>
          <w:rFonts w:ascii="Arial" w:hAnsi="Arial" w:cs="Arial"/>
          <w:iCs/>
          <w:lang w:val="sq-AL"/>
        </w:rPr>
        <w:t>lokalnom</w:t>
      </w:r>
      <w:r w:rsidR="006C693A" w:rsidRPr="002A6F4E">
        <w:rPr>
          <w:rFonts w:ascii="Arial" w:hAnsi="Arial" w:cs="Arial"/>
          <w:iCs/>
          <w:lang w:val="sq-AL"/>
        </w:rPr>
        <w:t xml:space="preserve"> nivou;</w:t>
      </w:r>
    </w:p>
    <w:p w14:paraId="47A51238" w14:textId="24C5863C" w:rsidR="006C693A" w:rsidRPr="002A6F4E" w:rsidRDefault="006C693A" w:rsidP="00A23ED0">
      <w:pPr>
        <w:pStyle w:val="ListParagraph"/>
        <w:numPr>
          <w:ilvl w:val="0"/>
          <w:numId w:val="132"/>
        </w:numPr>
        <w:spacing w:before="120" w:after="120" w:line="360" w:lineRule="auto"/>
        <w:rPr>
          <w:rFonts w:ascii="Arial" w:hAnsi="Arial" w:cs="Arial"/>
          <w:iCs/>
          <w:lang w:val="sq-AL"/>
        </w:rPr>
      </w:pPr>
      <w:r w:rsidRPr="002A6F4E">
        <w:rPr>
          <w:rFonts w:ascii="Arial" w:hAnsi="Arial" w:cs="Arial"/>
          <w:iCs/>
          <w:lang w:val="sq-AL"/>
        </w:rPr>
        <w:t>Informisanje građana i zainteresovanih stran</w:t>
      </w:r>
      <w:r w:rsidR="00153B62">
        <w:rPr>
          <w:rFonts w:ascii="Arial" w:hAnsi="Arial" w:cs="Arial"/>
          <w:iCs/>
          <w:lang w:val="sq-AL"/>
        </w:rPr>
        <w:t>a;</w:t>
      </w:r>
    </w:p>
    <w:p w14:paraId="22B8C0B1" w14:textId="48BB6AA9" w:rsidR="006C693A" w:rsidRPr="002A6F4E" w:rsidRDefault="006C693A" w:rsidP="00A23ED0">
      <w:pPr>
        <w:pStyle w:val="ListParagraph"/>
        <w:numPr>
          <w:ilvl w:val="0"/>
          <w:numId w:val="132"/>
        </w:numPr>
        <w:spacing w:before="120" w:after="120" w:line="360" w:lineRule="auto"/>
        <w:rPr>
          <w:rFonts w:ascii="Arial" w:hAnsi="Arial" w:cs="Arial"/>
          <w:iCs/>
          <w:lang w:val="sq-AL"/>
        </w:rPr>
      </w:pPr>
      <w:r w:rsidRPr="002A6F4E">
        <w:rPr>
          <w:rFonts w:ascii="Arial" w:hAnsi="Arial" w:cs="Arial"/>
          <w:iCs/>
          <w:lang w:val="sq-AL"/>
        </w:rPr>
        <w:t>Ostvarivanje dostupnost</w:t>
      </w:r>
      <w:r w:rsidR="00153B62">
        <w:rPr>
          <w:rFonts w:ascii="Arial" w:hAnsi="Arial" w:cs="Arial"/>
          <w:iCs/>
          <w:lang w:val="sq-AL"/>
        </w:rPr>
        <w:t>i</w:t>
      </w:r>
      <w:r w:rsidRPr="002A6F4E">
        <w:rPr>
          <w:rFonts w:ascii="Arial" w:hAnsi="Arial" w:cs="Arial"/>
          <w:iCs/>
          <w:lang w:val="sq-AL"/>
        </w:rPr>
        <w:t xml:space="preserve"> podataka za ispunjavanje međunarodnih obaveza.</w:t>
      </w:r>
    </w:p>
    <w:p w14:paraId="24C511AE" w14:textId="77777777" w:rsidR="006C693A" w:rsidRPr="002A6F4E" w:rsidRDefault="006C693A" w:rsidP="006C693A">
      <w:pPr>
        <w:widowControl w:val="0"/>
        <w:spacing w:before="120" w:after="120" w:line="360" w:lineRule="auto"/>
        <w:rPr>
          <w:rFonts w:ascii="Arial" w:hAnsi="Arial" w:cs="Arial"/>
          <w:lang w:val="sq-AL"/>
        </w:rPr>
      </w:pPr>
      <w:r w:rsidRPr="002A6F4E">
        <w:rPr>
          <w:rFonts w:ascii="Arial" w:hAnsi="Arial" w:cs="Arial"/>
          <w:lang w:val="sq-AL"/>
        </w:rPr>
        <w:t>Glavni segment bi se odnosio na dizajniranje centralne digitalne aplikacije za:</w:t>
      </w:r>
    </w:p>
    <w:p w14:paraId="37440FB6" w14:textId="77777777" w:rsidR="006C693A" w:rsidRPr="002A6F4E" w:rsidRDefault="006C693A" w:rsidP="00A23ED0">
      <w:pPr>
        <w:pStyle w:val="ListParagraph"/>
        <w:widowControl w:val="0"/>
        <w:numPr>
          <w:ilvl w:val="0"/>
          <w:numId w:val="133"/>
        </w:numPr>
        <w:spacing w:before="120" w:after="120" w:line="360" w:lineRule="auto"/>
        <w:contextualSpacing w:val="0"/>
        <w:rPr>
          <w:rFonts w:ascii="Arial" w:hAnsi="Arial" w:cs="Arial"/>
          <w:lang w:val="sq-AL"/>
        </w:rPr>
      </w:pPr>
      <w:r w:rsidRPr="002A6F4E">
        <w:rPr>
          <w:rFonts w:ascii="Arial" w:hAnsi="Arial" w:cs="Arial"/>
          <w:lang w:val="sq-AL"/>
        </w:rPr>
        <w:t>vođenje Registra stvaranja i toka otpada;</w:t>
      </w:r>
    </w:p>
    <w:p w14:paraId="491B883E" w14:textId="1C9552CC" w:rsidR="006C693A" w:rsidRPr="002A6F4E" w:rsidRDefault="006C693A" w:rsidP="00A23ED0">
      <w:pPr>
        <w:pStyle w:val="ListParagraph"/>
        <w:widowControl w:val="0"/>
        <w:numPr>
          <w:ilvl w:val="0"/>
          <w:numId w:val="133"/>
        </w:numPr>
        <w:spacing w:before="120" w:after="120" w:line="360" w:lineRule="auto"/>
        <w:contextualSpacing w:val="0"/>
        <w:rPr>
          <w:rFonts w:ascii="Arial" w:hAnsi="Arial" w:cs="Arial"/>
          <w:lang w:val="sq-AL"/>
        </w:rPr>
      </w:pPr>
      <w:r w:rsidRPr="002A6F4E">
        <w:rPr>
          <w:rFonts w:ascii="Arial" w:hAnsi="Arial" w:cs="Arial"/>
          <w:lang w:val="sq-AL"/>
        </w:rPr>
        <w:t xml:space="preserve">osmišljavanje i unapređenje registra poslova upravljanja otpadom u kojem se traže i primaju zahtjevi za dobijanje dozvola za </w:t>
      </w:r>
      <w:r w:rsidR="00153B62">
        <w:rPr>
          <w:rFonts w:ascii="Arial" w:hAnsi="Arial" w:cs="Arial"/>
          <w:lang w:val="sq-AL"/>
        </w:rPr>
        <w:t>U</w:t>
      </w:r>
      <w:r w:rsidRPr="002A6F4E">
        <w:rPr>
          <w:rFonts w:ascii="Arial" w:hAnsi="Arial" w:cs="Arial"/>
          <w:lang w:val="sq-AL"/>
        </w:rPr>
        <w:t>pravljanje otpadom, kao i zahtjevi za upis u odgovarajuće registre, upravljanje registrima i drugu dokumentaciju koja se odnosi na poslove upravljanja otpadom;</w:t>
      </w:r>
    </w:p>
    <w:p w14:paraId="4046852B" w14:textId="77777777" w:rsidR="006C693A" w:rsidRPr="002A6F4E" w:rsidRDefault="006C693A" w:rsidP="00A23ED0">
      <w:pPr>
        <w:pStyle w:val="ListParagraph"/>
        <w:widowControl w:val="0"/>
        <w:numPr>
          <w:ilvl w:val="0"/>
          <w:numId w:val="133"/>
        </w:numPr>
        <w:spacing w:before="120" w:after="120" w:line="360" w:lineRule="auto"/>
        <w:contextualSpacing w:val="0"/>
        <w:rPr>
          <w:rFonts w:ascii="Arial" w:hAnsi="Arial" w:cs="Arial"/>
          <w:lang w:val="sq-AL"/>
        </w:rPr>
      </w:pPr>
      <w:r w:rsidRPr="002A6F4E">
        <w:rPr>
          <w:rFonts w:ascii="Arial" w:hAnsi="Arial" w:cs="Arial"/>
          <w:lang w:val="sq-AL"/>
        </w:rPr>
        <w:t>stvaranje i unapređenje centralne digitalne aplikacije za prekogranično kretanje otpada;</w:t>
      </w:r>
    </w:p>
    <w:p w14:paraId="6C6FA9DF" w14:textId="55AC887B" w:rsidR="006C693A" w:rsidRPr="002A6F4E" w:rsidRDefault="006C693A" w:rsidP="00A23ED0">
      <w:pPr>
        <w:pStyle w:val="ListParagraph"/>
        <w:widowControl w:val="0"/>
        <w:numPr>
          <w:ilvl w:val="0"/>
          <w:numId w:val="133"/>
        </w:numPr>
        <w:spacing w:before="120" w:after="120" w:line="360" w:lineRule="auto"/>
        <w:contextualSpacing w:val="0"/>
        <w:rPr>
          <w:rFonts w:ascii="Arial" w:hAnsi="Arial" w:cs="Arial"/>
          <w:lang w:val="sq-AL"/>
        </w:rPr>
      </w:pPr>
      <w:r w:rsidRPr="002A6F4E">
        <w:rPr>
          <w:rFonts w:ascii="Arial" w:hAnsi="Arial" w:cs="Arial"/>
          <w:lang w:val="sq-AL"/>
        </w:rPr>
        <w:t xml:space="preserve">dizajniranje aplikacije za </w:t>
      </w:r>
      <w:r w:rsidR="00153B62">
        <w:rPr>
          <w:rFonts w:ascii="Arial" w:hAnsi="Arial" w:cs="Arial"/>
          <w:lang w:val="sq-AL"/>
        </w:rPr>
        <w:t>neuređena odlagališta</w:t>
      </w:r>
      <w:r w:rsidRPr="002A6F4E">
        <w:rPr>
          <w:rFonts w:ascii="Arial" w:hAnsi="Arial" w:cs="Arial"/>
          <w:lang w:val="sq-AL"/>
        </w:rPr>
        <w:t>;</w:t>
      </w:r>
    </w:p>
    <w:p w14:paraId="12D4B565" w14:textId="77777777" w:rsidR="006C693A" w:rsidRPr="002A6F4E" w:rsidRDefault="006C693A" w:rsidP="00A23ED0">
      <w:pPr>
        <w:pStyle w:val="ListParagraph"/>
        <w:widowControl w:val="0"/>
        <w:numPr>
          <w:ilvl w:val="0"/>
          <w:numId w:val="133"/>
        </w:numPr>
        <w:spacing w:before="120" w:after="120" w:line="360" w:lineRule="auto"/>
        <w:contextualSpacing w:val="0"/>
        <w:rPr>
          <w:rFonts w:ascii="Arial" w:hAnsi="Arial" w:cs="Arial"/>
          <w:lang w:val="sq-AL"/>
        </w:rPr>
      </w:pPr>
      <w:r w:rsidRPr="002A6F4E">
        <w:rPr>
          <w:rFonts w:ascii="Arial" w:hAnsi="Arial" w:cs="Arial"/>
          <w:lang w:val="sq-AL"/>
        </w:rPr>
        <w:t xml:space="preserve">dizajniranje centralne digitalne aplikacije Registra za upravljanje posebnim kategorijama otpada, za prijavljivanje količina materije i materijala stavljenih u promet, podataka neophodnih za koordinaciju nadzora nad količinama stavljenih u promet i drugih propisanih podataka u cilju </w:t>
      </w:r>
      <w:r w:rsidRPr="002A6F4E">
        <w:rPr>
          <w:rFonts w:ascii="Arial" w:hAnsi="Arial" w:cs="Arial"/>
          <w:lang w:val="sq-AL"/>
        </w:rPr>
        <w:lastRenderedPageBreak/>
        <w:t>sprovođenja posebne kategorije sistema upravljanja otpadom.</w:t>
      </w:r>
    </w:p>
    <w:p w14:paraId="053F8E08" w14:textId="77777777" w:rsidR="006C693A" w:rsidRPr="002A6F4E" w:rsidRDefault="006C693A" w:rsidP="006C693A">
      <w:pPr>
        <w:spacing w:before="120" w:after="120" w:line="360" w:lineRule="auto"/>
        <w:rPr>
          <w:rFonts w:ascii="Arial" w:hAnsi="Arial" w:cs="Arial"/>
          <w:lang w:val="sq-AL"/>
        </w:rPr>
      </w:pPr>
      <w:r w:rsidRPr="002A6F4E">
        <w:rPr>
          <w:rFonts w:ascii="Arial" w:hAnsi="Arial" w:cs="Arial"/>
          <w:lang w:val="sq-AL"/>
        </w:rPr>
        <w:t>Očekuje se da ovaj sistem koriste:</w:t>
      </w:r>
    </w:p>
    <w:p w14:paraId="72386E11" w14:textId="2B1219CD" w:rsidR="006C693A" w:rsidRPr="002A6F4E" w:rsidRDefault="006C693A" w:rsidP="00A23ED0">
      <w:pPr>
        <w:pStyle w:val="ListParagraph"/>
        <w:numPr>
          <w:ilvl w:val="0"/>
          <w:numId w:val="134"/>
        </w:numPr>
        <w:spacing w:before="120" w:after="120" w:line="360" w:lineRule="auto"/>
        <w:contextualSpacing w:val="0"/>
        <w:rPr>
          <w:rFonts w:ascii="Arial" w:hAnsi="Arial" w:cs="Arial"/>
          <w:lang w:val="sq-AL"/>
        </w:rPr>
      </w:pPr>
      <w:r w:rsidRPr="002A6F4E">
        <w:rPr>
          <w:rFonts w:ascii="Arial" w:hAnsi="Arial" w:cs="Arial"/>
          <w:lang w:val="sq-AL"/>
        </w:rPr>
        <w:t xml:space="preserve">Svi subjekti uključeni u upravljanje otpadom kojima će potencijalno biti dozvoljeno da unose podatke u sistem na </w:t>
      </w:r>
      <w:r w:rsidR="002A2094">
        <w:rPr>
          <w:rFonts w:ascii="Arial" w:hAnsi="Arial" w:cs="Arial"/>
          <w:lang w:val="sq-AL"/>
        </w:rPr>
        <w:t xml:space="preserve">državnom </w:t>
      </w:r>
      <w:r w:rsidRPr="002A6F4E">
        <w:rPr>
          <w:rFonts w:ascii="Arial" w:hAnsi="Arial" w:cs="Arial"/>
          <w:lang w:val="sq-AL"/>
        </w:rPr>
        <w:t xml:space="preserve">i </w:t>
      </w:r>
      <w:r w:rsidR="002A2094">
        <w:rPr>
          <w:rFonts w:ascii="Arial" w:hAnsi="Arial" w:cs="Arial"/>
          <w:lang w:val="sq-AL"/>
        </w:rPr>
        <w:t xml:space="preserve">lokalnom </w:t>
      </w:r>
      <w:r w:rsidRPr="002A6F4E">
        <w:rPr>
          <w:rFonts w:ascii="Arial" w:hAnsi="Arial" w:cs="Arial"/>
          <w:lang w:val="sq-AL"/>
        </w:rPr>
        <w:t>nivou;</w:t>
      </w:r>
    </w:p>
    <w:p w14:paraId="79E385F9" w14:textId="65A9CB10" w:rsidR="006C693A" w:rsidRPr="002A6F4E" w:rsidRDefault="006C693A" w:rsidP="00A23ED0">
      <w:pPr>
        <w:pStyle w:val="ListParagraph"/>
        <w:numPr>
          <w:ilvl w:val="0"/>
          <w:numId w:val="134"/>
        </w:numPr>
        <w:spacing w:before="120" w:after="120" w:line="360" w:lineRule="auto"/>
        <w:contextualSpacing w:val="0"/>
        <w:rPr>
          <w:rFonts w:ascii="Arial" w:hAnsi="Arial" w:cs="Arial"/>
          <w:lang w:val="sq-AL"/>
        </w:rPr>
      </w:pPr>
      <w:r w:rsidRPr="002A6F4E">
        <w:rPr>
          <w:rFonts w:ascii="Arial" w:hAnsi="Arial" w:cs="Arial"/>
          <w:lang w:val="sq-AL"/>
        </w:rPr>
        <w:t>Građani i zainteresovane strane će imati pristup informacijama o upravljanju povrat</w:t>
      </w:r>
      <w:r w:rsidR="002A2094">
        <w:rPr>
          <w:rFonts w:ascii="Arial" w:hAnsi="Arial" w:cs="Arial"/>
          <w:lang w:val="sq-AL"/>
        </w:rPr>
        <w:t>om</w:t>
      </w:r>
      <w:r w:rsidRPr="002A6F4E">
        <w:rPr>
          <w:rFonts w:ascii="Arial" w:hAnsi="Arial" w:cs="Arial"/>
          <w:lang w:val="sq-AL"/>
        </w:rPr>
        <w:t xml:space="preserve"> materijala iz otpada</w:t>
      </w:r>
      <w:r w:rsidR="00695794" w:rsidRPr="002A6F4E">
        <w:rPr>
          <w:rFonts w:ascii="Arial" w:hAnsi="Arial" w:cs="Arial"/>
          <w:lang w:val="sq-AL"/>
        </w:rPr>
        <w:t>.</w:t>
      </w:r>
    </w:p>
    <w:p w14:paraId="28978EC7" w14:textId="3850D0AC" w:rsidR="006C693A" w:rsidRPr="002A6F4E" w:rsidRDefault="006C693A" w:rsidP="006C693A">
      <w:pPr>
        <w:widowControl w:val="0"/>
        <w:spacing w:before="120" w:after="120" w:line="360" w:lineRule="auto"/>
        <w:rPr>
          <w:rFonts w:ascii="Arial" w:hAnsi="Arial" w:cs="Arial"/>
          <w:lang w:val="sq-AL"/>
        </w:rPr>
      </w:pPr>
      <w:r w:rsidRPr="002A6F4E">
        <w:rPr>
          <w:rFonts w:ascii="Arial" w:hAnsi="Arial" w:cs="Arial"/>
          <w:lang w:val="sq-AL"/>
        </w:rPr>
        <w:t xml:space="preserve">Preko ovog sistema nadležni organi će moći da prate učinak aktivnosti upravljanja otpadom u svakoj oblasti, procijenjuju nivo sprovođenja politike i strategije upravljanja otpadom i ispunjavaju svoje obaveze izvještavanja prema </w:t>
      </w:r>
      <w:r w:rsidR="0045585D">
        <w:rPr>
          <w:rFonts w:ascii="Arial" w:hAnsi="Arial" w:cs="Arial"/>
          <w:lang w:val="sq-AL"/>
        </w:rPr>
        <w:t>državnim</w:t>
      </w:r>
      <w:r w:rsidRPr="002A6F4E">
        <w:rPr>
          <w:rFonts w:ascii="Arial" w:hAnsi="Arial" w:cs="Arial"/>
          <w:lang w:val="sq-AL"/>
        </w:rPr>
        <w:t xml:space="preserve"> i međunarodnim institucijama. Si</w:t>
      </w:r>
      <w:r w:rsidR="0045585D">
        <w:rPr>
          <w:rFonts w:ascii="Arial" w:hAnsi="Arial" w:cs="Arial"/>
          <w:lang w:val="sq-AL"/>
        </w:rPr>
        <w:t>s</w:t>
      </w:r>
      <w:r w:rsidRPr="002A6F4E">
        <w:rPr>
          <w:rFonts w:ascii="Arial" w:hAnsi="Arial" w:cs="Arial"/>
          <w:lang w:val="sq-AL"/>
        </w:rPr>
        <w:t>tem WMIS će sadržati  informacije kao što su</w:t>
      </w:r>
      <w:r w:rsidR="00AF6EC8">
        <w:rPr>
          <w:rFonts w:ascii="Arial" w:hAnsi="Arial" w:cs="Arial"/>
          <w:lang w:val="sq-AL"/>
        </w:rPr>
        <w:t>:</w:t>
      </w:r>
    </w:p>
    <w:p w14:paraId="594D42BB" w14:textId="3BDB53E5"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Količine otpada kojima se upravlja u različitim fazama upravljanja otpadom (od sakupljanja do od</w:t>
      </w:r>
      <w:r w:rsidR="00C812D1">
        <w:rPr>
          <w:rFonts w:ascii="Arial" w:hAnsi="Arial" w:cs="Arial"/>
          <w:lang w:val="sq-AL"/>
        </w:rPr>
        <w:t>stranjivanja</w:t>
      </w:r>
      <w:r w:rsidRPr="002A6F4E">
        <w:rPr>
          <w:rFonts w:ascii="Arial" w:hAnsi="Arial" w:cs="Arial"/>
          <w:lang w:val="sq-AL"/>
        </w:rPr>
        <w:t>) po oblastima pokrivenim uslugama upravljanja otpadom i operateru;</w:t>
      </w:r>
    </w:p>
    <w:p w14:paraId="0405E2FE" w14:textId="77777777"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Podaci o količini i vrsti otpada koji se uvozi, izvozi i otpada u tranzitu;</w:t>
      </w:r>
    </w:p>
    <w:p w14:paraId="70E1E2B1" w14:textId="62EE3E57"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Izvori</w:t>
      </w:r>
      <w:r w:rsidR="00AF6EC8">
        <w:rPr>
          <w:rFonts w:ascii="Arial" w:hAnsi="Arial" w:cs="Arial"/>
          <w:lang w:val="sq-AL"/>
        </w:rPr>
        <w:t xml:space="preserve"> nastanka</w:t>
      </w:r>
      <w:r w:rsidRPr="002A6F4E">
        <w:rPr>
          <w:rFonts w:ascii="Arial" w:hAnsi="Arial" w:cs="Arial"/>
          <w:lang w:val="sq-AL"/>
        </w:rPr>
        <w:t xml:space="preserve"> otpada (npr. domaćinstva, komercijalne/industrijske aktivnosti, ulice, parkovi, pijace, opasni otpad, građevinski otpad i otpad od rušenja i sl)</w:t>
      </w:r>
      <w:r w:rsidR="00AF6EC8">
        <w:rPr>
          <w:rFonts w:ascii="Arial" w:hAnsi="Arial" w:cs="Arial"/>
          <w:lang w:val="sq-AL"/>
        </w:rPr>
        <w:t>;</w:t>
      </w:r>
    </w:p>
    <w:p w14:paraId="24C297E3" w14:textId="52BD7DB5"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Sastav/svojstva otpada, na osnovu privremenih mjerenja koja se mogu desiti u budućnosti;</w:t>
      </w:r>
    </w:p>
    <w:p w14:paraId="5849B568" w14:textId="77777777"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Registar i evidencija izdatih licenci za upravljanje otpadom;</w:t>
      </w:r>
    </w:p>
    <w:p w14:paraId="1EC13DBC" w14:textId="77777777"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Registar operatera upravljanja otpadom;</w:t>
      </w:r>
    </w:p>
    <w:p w14:paraId="766A1ECC" w14:textId="77777777"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Registar i evidencija za izdavanje dozvola za uvoz, izvoz i tranzit otpada;</w:t>
      </w:r>
    </w:p>
    <w:p w14:paraId="602C7F94" w14:textId="77777777"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Napomene za zakonodavstvo, planove, projekte i pravce razvoja upravljanja otpadom;</w:t>
      </w:r>
    </w:p>
    <w:p w14:paraId="26273A31" w14:textId="582205AD"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Podaci iz izvještaja o realizaciji i ostvarivanju planova upravljanja otpadom;</w:t>
      </w:r>
    </w:p>
    <w:p w14:paraId="49F03315" w14:textId="7076B148"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Inkorporacija glavnih elemenata alternativnih tehnologija upravljanja otpadom (u vezi sa svim fazama upravljanja otpadom), kao što su glavne tehnološke komponente, operativne karakteristike (potrošnja goriva/električne energije, potrošnja sirovina i pomoćnih materijala, zahtjevi površine, preduslovi za ugradnju, pravilan rad i sl), efikasnost odvajanja/transformacije/ponovne upotrebe otpada, emisije u vazduh, stvaranje otpadnih voda i rezidualnog otpada, finansijske karakteristike (kapitalni troškovi, troškovi rada i održavanja itd), primjeri primjene (uglavnom uspješne, ali moguće i neuspješne) i potencijalni uočeni problemi. Ova karakteristika će biti izuzetno korisna za organe upravljanja jer će im omogućiti da odlučuju o budućim prilagođavanjima sistema upravljanja otpadom koji se primjenjuj</w:t>
      </w:r>
      <w:r w:rsidR="00AF6EC8">
        <w:rPr>
          <w:rFonts w:ascii="Arial" w:hAnsi="Arial" w:cs="Arial"/>
          <w:lang w:val="sq-AL"/>
        </w:rPr>
        <w:t>u</w:t>
      </w:r>
      <w:r w:rsidRPr="002A6F4E">
        <w:rPr>
          <w:rFonts w:ascii="Arial" w:hAnsi="Arial" w:cs="Arial"/>
          <w:lang w:val="sq-AL"/>
        </w:rPr>
        <w:t xml:space="preserve"> u ovoj oblasti;</w:t>
      </w:r>
    </w:p>
    <w:p w14:paraId="1EE478D5" w14:textId="1FE28FE6"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Rad postojećih objekata, kvarovi, reklamacije</w:t>
      </w:r>
      <w:r w:rsidR="008B59FB">
        <w:rPr>
          <w:rFonts w:ascii="Arial" w:hAnsi="Arial" w:cs="Arial"/>
          <w:lang w:val="sq-AL"/>
        </w:rPr>
        <w:t>,</w:t>
      </w:r>
      <w:r w:rsidRPr="002A6F4E">
        <w:rPr>
          <w:rFonts w:ascii="Arial" w:hAnsi="Arial" w:cs="Arial"/>
          <w:lang w:val="sq-AL"/>
        </w:rPr>
        <w:t xml:space="preserve"> itd.;</w:t>
      </w:r>
    </w:p>
    <w:p w14:paraId="3DFC52CE" w14:textId="2D35C7E0"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lastRenderedPageBreak/>
        <w:t>Informacije o logistici otpada kao što su učestalost sakupljanja u ruralnim i urbanim sredinama, broj i vrsta uključenih kamiona, broj i vrsta uključenih</w:t>
      </w:r>
      <w:r w:rsidR="00AF6EC8">
        <w:rPr>
          <w:rFonts w:ascii="Arial" w:hAnsi="Arial" w:cs="Arial"/>
          <w:lang w:val="sq-AL"/>
        </w:rPr>
        <w:t xml:space="preserve"> posuda</w:t>
      </w:r>
      <w:r w:rsidRPr="002A6F4E">
        <w:rPr>
          <w:rFonts w:ascii="Arial" w:hAnsi="Arial" w:cs="Arial"/>
          <w:lang w:val="sq-AL"/>
        </w:rPr>
        <w:t xml:space="preserve"> za sakupljanje otpada, itd;</w:t>
      </w:r>
    </w:p>
    <w:p w14:paraId="140170FF" w14:textId="4A8C77F2"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 xml:space="preserve">Rezultati u pogledu sekundarnih proizvoda i ostataka iz postrojenja za </w:t>
      </w:r>
      <w:r w:rsidR="006C4AE0">
        <w:rPr>
          <w:rFonts w:ascii="Arial" w:hAnsi="Arial" w:cs="Arial"/>
          <w:lang w:val="sq-AL"/>
        </w:rPr>
        <w:t>obradu</w:t>
      </w:r>
      <w:r w:rsidRPr="002A6F4E">
        <w:rPr>
          <w:rFonts w:ascii="Arial" w:hAnsi="Arial" w:cs="Arial"/>
          <w:lang w:val="sq-AL"/>
        </w:rPr>
        <w:t>;</w:t>
      </w:r>
    </w:p>
    <w:p w14:paraId="1658970B" w14:textId="77777777"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Emisije u atmosferu, zemljište i vode od rada postojećih objekata (količine, svojstva i karakteristike);</w:t>
      </w:r>
    </w:p>
    <w:p w14:paraId="5FA74182" w14:textId="77777777"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Dostupno tržište za apsorpciju sekundarnih proizvoda (npr. pojedinosti o reciklerima koji koriste reciklirane materijale ili poljoprivrednicima koji koriste proizvedeni kompost);</w:t>
      </w:r>
    </w:p>
    <w:p w14:paraId="2E890121" w14:textId="5F523260"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Alat će omogućiti izračunavanje indikatora uslova životne sredine koji se odnose na upravljanje otpadom (npr., proizvodnja otpada</w:t>
      </w:r>
      <w:r w:rsidR="00AF6EC8">
        <w:rPr>
          <w:rFonts w:ascii="Arial" w:hAnsi="Arial" w:cs="Arial"/>
          <w:lang w:val="sq-AL"/>
        </w:rPr>
        <w:t xml:space="preserve"> po glavi</w:t>
      </w:r>
      <w:r w:rsidRPr="002A6F4E">
        <w:rPr>
          <w:rFonts w:ascii="Arial" w:hAnsi="Arial" w:cs="Arial"/>
          <w:lang w:val="sq-AL"/>
        </w:rPr>
        <w:t xml:space="preserve"> stanovnik</w:t>
      </w:r>
      <w:r w:rsidR="00AF6EC8">
        <w:rPr>
          <w:rFonts w:ascii="Arial" w:hAnsi="Arial" w:cs="Arial"/>
          <w:lang w:val="sq-AL"/>
        </w:rPr>
        <w:t>a</w:t>
      </w:r>
      <w:r w:rsidRPr="002A6F4E">
        <w:rPr>
          <w:rFonts w:ascii="Arial" w:hAnsi="Arial" w:cs="Arial"/>
          <w:lang w:val="sq-AL"/>
        </w:rPr>
        <w:t>,</w:t>
      </w:r>
      <w:r w:rsidR="00AF6EC8">
        <w:rPr>
          <w:rFonts w:ascii="Arial" w:hAnsi="Arial" w:cs="Arial"/>
          <w:lang w:val="sq-AL"/>
        </w:rPr>
        <w:t xml:space="preserve"> </w:t>
      </w:r>
      <w:r w:rsidRPr="002A6F4E">
        <w:rPr>
          <w:rFonts w:ascii="Arial" w:hAnsi="Arial" w:cs="Arial"/>
          <w:lang w:val="sq-AL"/>
        </w:rPr>
        <w:t>prostor koji se koristi za odlaganje, ocjedne vode i emitovani biogas, itd);</w:t>
      </w:r>
    </w:p>
    <w:p w14:paraId="58FD0DDA" w14:textId="77777777"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Informacije o troškovima upravljanja otpadom (investicioni i operativni troškovi) i tarifama za postojeće aktivnosti i objekte upravljanja otpadom;</w:t>
      </w:r>
    </w:p>
    <w:p w14:paraId="7F094D3E" w14:textId="4DE457A4" w:rsidR="006C693A" w:rsidRPr="002A6F4E" w:rsidRDefault="006C693A" w:rsidP="00A23ED0">
      <w:pPr>
        <w:pStyle w:val="ListParagraph"/>
        <w:numPr>
          <w:ilvl w:val="0"/>
          <w:numId w:val="135"/>
        </w:numPr>
        <w:spacing w:before="120" w:after="120" w:line="360" w:lineRule="auto"/>
        <w:contextualSpacing w:val="0"/>
        <w:rPr>
          <w:rFonts w:ascii="Arial" w:hAnsi="Arial" w:cs="Arial"/>
          <w:lang w:val="sq-AL"/>
        </w:rPr>
      </w:pPr>
      <w:r w:rsidRPr="002A6F4E">
        <w:rPr>
          <w:rFonts w:ascii="Arial" w:hAnsi="Arial" w:cs="Arial"/>
          <w:lang w:val="sq-AL"/>
        </w:rPr>
        <w:t>Baza podataka može takođe biti praćena Geografskim informacionim sistemom (GIS) za vizuelnu ilustraciju objekata za upravljanje otpadom. Upotreba GIS</w:t>
      </w:r>
      <w:r w:rsidR="00AF6EC8">
        <w:rPr>
          <w:rFonts w:ascii="Arial" w:hAnsi="Arial" w:cs="Arial"/>
          <w:lang w:val="sq-AL"/>
        </w:rPr>
        <w:t xml:space="preserve"> </w:t>
      </w:r>
      <w:r w:rsidRPr="002A6F4E">
        <w:rPr>
          <w:rFonts w:ascii="Arial" w:hAnsi="Arial" w:cs="Arial"/>
          <w:lang w:val="sq-AL"/>
        </w:rPr>
        <w:t>će preobraziti WMIS u dinamički alat jer će omogućiti brz i potpun pregled stanja upravljanja otpadom u oblasti ispitivanja i omogućiti izvlačenje zaključaka čak i u oblastima za koje nema dovoljno podataka (npr. na osnovu informacija iz susjednih oblasti). Takođe se može koristiti kao alat za određivanje lokacija budućih infrastruktura za upravljanje otpadom</w:t>
      </w:r>
      <w:r w:rsidR="00AF6EC8">
        <w:rPr>
          <w:rFonts w:ascii="Arial" w:hAnsi="Arial" w:cs="Arial"/>
          <w:lang w:val="sq-AL"/>
        </w:rPr>
        <w:t>.</w:t>
      </w:r>
    </w:p>
    <w:p w14:paraId="22E536B1" w14:textId="2B61B170" w:rsidR="006C693A" w:rsidRPr="002A6F4E" w:rsidRDefault="006C693A" w:rsidP="006C693A">
      <w:pPr>
        <w:spacing w:before="120" w:after="120" w:line="360" w:lineRule="auto"/>
        <w:rPr>
          <w:rFonts w:ascii="Arial" w:hAnsi="Arial" w:cs="Arial"/>
          <w:lang w:val="sq-AL"/>
        </w:rPr>
      </w:pPr>
      <w:r w:rsidRPr="002A6F4E">
        <w:rPr>
          <w:rFonts w:ascii="Arial" w:hAnsi="Arial" w:cs="Arial"/>
          <w:lang w:val="sq-AL"/>
        </w:rPr>
        <w:t>Sistem će imati mogućnosti analize i izvještavanja u skladu sa potrebama nadležnih organa. Tačnije, sistem će :</w:t>
      </w:r>
    </w:p>
    <w:p w14:paraId="4E6FDED2" w14:textId="7655CC3A" w:rsidR="006C693A" w:rsidRPr="002A6F4E" w:rsidRDefault="006C693A" w:rsidP="00A23ED0">
      <w:pPr>
        <w:pStyle w:val="ListParagraph"/>
        <w:numPr>
          <w:ilvl w:val="0"/>
          <w:numId w:val="136"/>
        </w:numPr>
        <w:spacing w:before="120" w:after="120" w:line="360" w:lineRule="auto"/>
        <w:rPr>
          <w:rFonts w:ascii="Arial" w:hAnsi="Arial" w:cs="Arial"/>
          <w:iCs/>
          <w:lang w:val="sq-AL"/>
        </w:rPr>
      </w:pPr>
      <w:r w:rsidRPr="002A6F4E">
        <w:rPr>
          <w:rFonts w:ascii="Arial" w:hAnsi="Arial" w:cs="Arial"/>
          <w:iCs/>
          <w:lang w:val="sq-AL"/>
        </w:rPr>
        <w:t xml:space="preserve">Predstaviti </w:t>
      </w:r>
      <w:r w:rsidR="00342CAA">
        <w:rPr>
          <w:rFonts w:ascii="Arial" w:hAnsi="Arial" w:cs="Arial"/>
          <w:iCs/>
          <w:lang w:val="sq-AL"/>
        </w:rPr>
        <w:t>zbirne</w:t>
      </w:r>
      <w:r w:rsidRPr="002A6F4E">
        <w:rPr>
          <w:rFonts w:ascii="Arial" w:hAnsi="Arial" w:cs="Arial"/>
          <w:iCs/>
          <w:lang w:val="sq-AL"/>
        </w:rPr>
        <w:t xml:space="preserve"> podatke i druge statističke analize;</w:t>
      </w:r>
    </w:p>
    <w:p w14:paraId="34C3F2CF" w14:textId="77777777" w:rsidR="006C693A" w:rsidRPr="002A6F4E" w:rsidRDefault="006C693A" w:rsidP="00A23ED0">
      <w:pPr>
        <w:pStyle w:val="ListParagraph"/>
        <w:numPr>
          <w:ilvl w:val="0"/>
          <w:numId w:val="136"/>
        </w:numPr>
        <w:spacing w:before="120" w:after="120" w:line="360" w:lineRule="auto"/>
        <w:rPr>
          <w:rFonts w:ascii="Arial" w:hAnsi="Arial" w:cs="Arial"/>
          <w:iCs/>
          <w:lang w:val="sq-AL"/>
        </w:rPr>
      </w:pPr>
      <w:r w:rsidRPr="002A6F4E">
        <w:rPr>
          <w:rFonts w:ascii="Arial" w:hAnsi="Arial" w:cs="Arial"/>
          <w:iCs/>
          <w:lang w:val="sq-AL"/>
        </w:rPr>
        <w:t>Predstaviti podatke za geografske regione;</w:t>
      </w:r>
    </w:p>
    <w:p w14:paraId="5C46C4D7" w14:textId="77777777" w:rsidR="006C693A" w:rsidRPr="002A6F4E" w:rsidRDefault="006C693A" w:rsidP="00A23ED0">
      <w:pPr>
        <w:pStyle w:val="ListParagraph"/>
        <w:numPr>
          <w:ilvl w:val="0"/>
          <w:numId w:val="136"/>
        </w:numPr>
        <w:spacing w:before="120" w:after="120" w:line="360" w:lineRule="auto"/>
        <w:rPr>
          <w:rFonts w:ascii="Arial" w:hAnsi="Arial" w:cs="Arial"/>
          <w:iCs/>
          <w:lang w:val="sq-AL"/>
        </w:rPr>
      </w:pPr>
      <w:r w:rsidRPr="002A6F4E">
        <w:rPr>
          <w:rFonts w:ascii="Arial" w:hAnsi="Arial" w:cs="Arial"/>
          <w:iCs/>
          <w:lang w:val="sq-AL"/>
        </w:rPr>
        <w:t>Pripremiti relevantne grafikone;</w:t>
      </w:r>
    </w:p>
    <w:p w14:paraId="21FA5D8D" w14:textId="77777777" w:rsidR="006C693A" w:rsidRPr="002A6F4E" w:rsidRDefault="006C693A" w:rsidP="00A23ED0">
      <w:pPr>
        <w:pStyle w:val="ListParagraph"/>
        <w:numPr>
          <w:ilvl w:val="0"/>
          <w:numId w:val="136"/>
        </w:numPr>
        <w:spacing w:before="120" w:after="120" w:line="360" w:lineRule="auto"/>
        <w:rPr>
          <w:rFonts w:ascii="Arial" w:hAnsi="Arial" w:cs="Arial"/>
          <w:iCs/>
          <w:lang w:val="sq-AL"/>
        </w:rPr>
      </w:pPr>
      <w:r w:rsidRPr="002A6F4E">
        <w:rPr>
          <w:rFonts w:ascii="Arial" w:hAnsi="Arial" w:cs="Arial"/>
          <w:iCs/>
          <w:lang w:val="sq-AL"/>
        </w:rPr>
        <w:t>Izračunati potrebne indikatore;</w:t>
      </w:r>
    </w:p>
    <w:p w14:paraId="1CE39DDA" w14:textId="03D7C042" w:rsidR="006C693A" w:rsidRPr="002A6F4E" w:rsidRDefault="006C693A" w:rsidP="00A23ED0">
      <w:pPr>
        <w:pStyle w:val="ListParagraph"/>
        <w:numPr>
          <w:ilvl w:val="0"/>
          <w:numId w:val="136"/>
        </w:numPr>
        <w:spacing w:before="120" w:after="120" w:line="360" w:lineRule="auto"/>
        <w:rPr>
          <w:rFonts w:ascii="Arial" w:hAnsi="Arial" w:cs="Arial"/>
          <w:iCs/>
          <w:lang w:val="sq-AL"/>
        </w:rPr>
      </w:pPr>
      <w:r w:rsidRPr="002A6F4E">
        <w:rPr>
          <w:rFonts w:ascii="Arial" w:hAnsi="Arial" w:cs="Arial"/>
          <w:iCs/>
          <w:lang w:val="sq-AL"/>
        </w:rPr>
        <w:t xml:space="preserve">Pripremiti  izvještaje prema obrascima koje </w:t>
      </w:r>
      <w:r w:rsidRPr="002A6F4E">
        <w:rPr>
          <w:rFonts w:ascii="Arial" w:hAnsi="Arial" w:cs="Arial"/>
          <w:lang w:val="sq-AL"/>
        </w:rPr>
        <w:t>MERS</w:t>
      </w:r>
      <w:r w:rsidRPr="002A6F4E">
        <w:rPr>
          <w:rFonts w:ascii="Arial" w:hAnsi="Arial" w:cs="Arial"/>
          <w:iCs/>
          <w:lang w:val="sq-AL"/>
        </w:rPr>
        <w:t xml:space="preserve"> treba da pripremi za svoje obaveze izvještavanja prema </w:t>
      </w:r>
      <w:r w:rsidR="0065214E">
        <w:rPr>
          <w:rFonts w:ascii="Arial" w:hAnsi="Arial" w:cs="Arial"/>
          <w:iCs/>
          <w:lang w:val="sq-AL"/>
        </w:rPr>
        <w:t>državnim</w:t>
      </w:r>
      <w:r w:rsidRPr="002A6F4E">
        <w:rPr>
          <w:rFonts w:ascii="Arial" w:hAnsi="Arial" w:cs="Arial"/>
          <w:iCs/>
          <w:lang w:val="sq-AL"/>
        </w:rPr>
        <w:t xml:space="preserve"> i međunarodnim institucijama.</w:t>
      </w:r>
    </w:p>
    <w:p w14:paraId="5C02165E" w14:textId="11C8DA67" w:rsidR="0065214E" w:rsidRDefault="006C693A" w:rsidP="006C693A">
      <w:pPr>
        <w:spacing w:before="120" w:after="120" w:line="360" w:lineRule="auto"/>
        <w:rPr>
          <w:rFonts w:ascii="Arial" w:hAnsi="Arial" w:cs="Arial"/>
          <w:lang w:val="sq-AL" w:bidi="ar-AE"/>
        </w:rPr>
      </w:pPr>
      <w:r w:rsidRPr="002A6F4E">
        <w:rPr>
          <w:rFonts w:ascii="Arial" w:hAnsi="Arial" w:cs="Arial"/>
          <w:lang w:val="sq-AL" w:bidi="ar-AE"/>
        </w:rPr>
        <w:t xml:space="preserve">Da bi WMIS bio u potpunosti funkcionalan i efikasno korišćen neophodno je da se kontinuirano popunjava sa ažuriranim podacima i informacijama koje će poticati od stvarnih proizvođača i rukovalaca otpadom, kao i državnih organa i organa jedinica lokalnih samouprava. </w:t>
      </w:r>
      <w:r w:rsidR="0045585D">
        <w:rPr>
          <w:rFonts w:ascii="Arial" w:hAnsi="Arial" w:cs="Arial"/>
          <w:lang w:val="sq-AL" w:bidi="ar-AE"/>
        </w:rPr>
        <w:t>Z</w:t>
      </w:r>
      <w:r w:rsidRPr="002A6F4E">
        <w:rPr>
          <w:rFonts w:ascii="Arial" w:hAnsi="Arial" w:cs="Arial"/>
          <w:lang w:val="sq-AL" w:bidi="ar-AE"/>
        </w:rPr>
        <w:t xml:space="preserve">akon o </w:t>
      </w:r>
      <w:r w:rsidR="006C4AE0">
        <w:rPr>
          <w:rFonts w:ascii="Arial" w:hAnsi="Arial" w:cs="Arial"/>
          <w:lang w:val="sq-AL" w:bidi="ar-AE"/>
        </w:rPr>
        <w:t xml:space="preserve">upravljanju </w:t>
      </w:r>
      <w:r w:rsidRPr="002A6F4E">
        <w:rPr>
          <w:rFonts w:ascii="Arial" w:hAnsi="Arial" w:cs="Arial"/>
          <w:lang w:val="sq-AL" w:bidi="ar-AE"/>
        </w:rPr>
        <w:t>otpad</w:t>
      </w:r>
      <w:r w:rsidR="006C4AE0">
        <w:rPr>
          <w:rFonts w:ascii="Arial" w:hAnsi="Arial" w:cs="Arial"/>
          <w:lang w:val="sq-AL" w:bidi="ar-AE"/>
        </w:rPr>
        <w:t>om</w:t>
      </w:r>
      <w:r w:rsidRPr="002A6F4E">
        <w:rPr>
          <w:rFonts w:ascii="Arial" w:hAnsi="Arial" w:cs="Arial"/>
          <w:lang w:val="sq-AL" w:bidi="ar-AE"/>
        </w:rPr>
        <w:t xml:space="preserve"> precizira obavezu izvještavanja svake zainteresovane strane. </w:t>
      </w:r>
    </w:p>
    <w:p w14:paraId="2947C731" w14:textId="77777777" w:rsidR="0065214E" w:rsidRDefault="0065214E" w:rsidP="006C693A">
      <w:pPr>
        <w:spacing w:before="120" w:after="120" w:line="360" w:lineRule="auto"/>
        <w:rPr>
          <w:rFonts w:ascii="Arial" w:hAnsi="Arial" w:cs="Arial"/>
          <w:lang w:val="sq-AL" w:bidi="ar-AE"/>
        </w:rPr>
      </w:pPr>
    </w:p>
    <w:p w14:paraId="710769D3" w14:textId="77777777" w:rsidR="006E67DC" w:rsidRDefault="006E67DC" w:rsidP="006C693A">
      <w:pPr>
        <w:spacing w:before="120" w:after="120" w:line="360" w:lineRule="auto"/>
        <w:rPr>
          <w:rFonts w:ascii="Arial" w:hAnsi="Arial" w:cs="Arial"/>
          <w:lang w:val="sq-AL" w:bidi="ar-AE"/>
        </w:rPr>
      </w:pPr>
    </w:p>
    <w:p w14:paraId="4473A9EE" w14:textId="77777777" w:rsidR="006E67DC" w:rsidRDefault="006E67DC" w:rsidP="006C693A">
      <w:pPr>
        <w:spacing w:before="120" w:after="120" w:line="360" w:lineRule="auto"/>
        <w:rPr>
          <w:rFonts w:ascii="Arial" w:hAnsi="Arial" w:cs="Arial"/>
          <w:lang w:val="sq-AL" w:bidi="ar-AE"/>
        </w:rPr>
      </w:pPr>
    </w:p>
    <w:p w14:paraId="244AE70E" w14:textId="77777777" w:rsidR="006E67DC" w:rsidRDefault="006E67DC" w:rsidP="006C693A">
      <w:pPr>
        <w:spacing w:before="120" w:after="120" w:line="360" w:lineRule="auto"/>
        <w:rPr>
          <w:rFonts w:ascii="Arial" w:hAnsi="Arial" w:cs="Arial"/>
          <w:lang w:val="sq-AL" w:bidi="ar-AE"/>
        </w:rPr>
      </w:pPr>
    </w:p>
    <w:p w14:paraId="632B6D70" w14:textId="4CE880B6" w:rsidR="006C693A" w:rsidRPr="00BB4BBF" w:rsidRDefault="006C693A" w:rsidP="006C693A">
      <w:pPr>
        <w:spacing w:before="120" w:after="120" w:line="360" w:lineRule="auto"/>
        <w:rPr>
          <w:rFonts w:ascii="Arial" w:hAnsi="Arial" w:cs="Arial"/>
          <w:lang w:val="sq-AL" w:bidi="ar-AE"/>
        </w:rPr>
      </w:pPr>
      <w:r w:rsidRPr="00BB4BBF">
        <w:rPr>
          <w:rFonts w:ascii="Arial" w:hAnsi="Arial" w:cs="Arial"/>
          <w:lang w:val="sq-AL" w:bidi="ar-AE"/>
        </w:rPr>
        <w:lastRenderedPageBreak/>
        <w:t>Konkretno</w:t>
      </w:r>
      <w:r w:rsidR="0065214E" w:rsidRPr="00BB4BBF">
        <w:rPr>
          <w:rFonts w:ascii="Arial" w:hAnsi="Arial" w:cs="Arial"/>
          <w:lang w:val="sq-AL" w:bidi="ar-AE"/>
        </w:rPr>
        <w:t>:</w:t>
      </w:r>
    </w:p>
    <w:p w14:paraId="14125933" w14:textId="083819EF" w:rsidR="006C693A" w:rsidRPr="002A6F4E" w:rsidRDefault="006C693A" w:rsidP="00A23ED0">
      <w:pPr>
        <w:pStyle w:val="ListParagraph"/>
        <w:numPr>
          <w:ilvl w:val="0"/>
          <w:numId w:val="113"/>
        </w:numPr>
        <w:spacing w:before="120" w:after="120" w:line="360" w:lineRule="auto"/>
        <w:contextualSpacing w:val="0"/>
        <w:rPr>
          <w:rFonts w:ascii="Arial" w:hAnsi="Arial" w:cs="Arial"/>
          <w:lang w:val="sq-AL" w:bidi="ar-AE"/>
        </w:rPr>
      </w:pPr>
      <w:r w:rsidRPr="00BB4BBF">
        <w:rPr>
          <w:rFonts w:ascii="Arial" w:hAnsi="Arial" w:cs="Arial"/>
          <w:lang w:val="sq-AL" w:bidi="ar-AE"/>
        </w:rPr>
        <w:t>Imalac otpada</w:t>
      </w:r>
      <w:r w:rsidR="00BB4BBF" w:rsidRPr="00BB4BBF">
        <w:rPr>
          <w:rFonts w:ascii="Arial" w:hAnsi="Arial" w:cs="Arial"/>
          <w:lang w:val="sq-AL" w:bidi="ar-AE"/>
        </w:rPr>
        <w:t xml:space="preserve"> i nadležni organ lokalne uprave </w:t>
      </w:r>
      <w:r w:rsidRPr="00BB4BBF">
        <w:rPr>
          <w:rFonts w:ascii="Arial" w:hAnsi="Arial" w:cs="Arial"/>
          <w:lang w:val="sq-AL" w:bidi="ar-AE"/>
        </w:rPr>
        <w:t>na osnovu podataka iz evidencije o količinama i vrstama otpada, duž</w:t>
      </w:r>
      <w:r w:rsidR="00BB4BBF" w:rsidRPr="00BB4BBF">
        <w:rPr>
          <w:rFonts w:ascii="Arial" w:hAnsi="Arial" w:cs="Arial"/>
          <w:lang w:val="sq-AL" w:bidi="ar-AE"/>
        </w:rPr>
        <w:t xml:space="preserve">ni su da pripreme </w:t>
      </w:r>
      <w:r w:rsidRPr="00BB4BBF">
        <w:rPr>
          <w:rFonts w:ascii="Arial" w:hAnsi="Arial" w:cs="Arial"/>
          <w:lang w:val="sq-AL" w:bidi="ar-AE"/>
        </w:rPr>
        <w:t>godišnj</w:t>
      </w:r>
      <w:r w:rsidR="00BB4BBF" w:rsidRPr="00BB4BBF">
        <w:rPr>
          <w:rFonts w:ascii="Arial" w:hAnsi="Arial" w:cs="Arial"/>
          <w:lang w:val="sq-AL" w:bidi="ar-AE"/>
        </w:rPr>
        <w:t>e</w:t>
      </w:r>
      <w:r w:rsidRPr="00BB4BBF">
        <w:rPr>
          <w:rFonts w:ascii="Arial" w:hAnsi="Arial" w:cs="Arial"/>
          <w:lang w:val="sq-AL" w:bidi="ar-AE"/>
        </w:rPr>
        <w:t xml:space="preserve"> </w:t>
      </w:r>
      <w:r w:rsidR="00BB4BBF" w:rsidRPr="00BB4BBF">
        <w:rPr>
          <w:rFonts w:ascii="Arial" w:hAnsi="Arial" w:cs="Arial"/>
          <w:lang w:val="sq-AL" w:bidi="ar-AE"/>
        </w:rPr>
        <w:t>I</w:t>
      </w:r>
      <w:r w:rsidRPr="00BB4BBF">
        <w:rPr>
          <w:rFonts w:ascii="Arial" w:hAnsi="Arial" w:cs="Arial"/>
          <w:lang w:val="sq-AL" w:bidi="ar-AE"/>
        </w:rPr>
        <w:t>zvještaj</w:t>
      </w:r>
      <w:r w:rsidR="00BB4BBF" w:rsidRPr="00BB4BBF">
        <w:rPr>
          <w:rFonts w:ascii="Arial" w:hAnsi="Arial" w:cs="Arial"/>
          <w:lang w:val="sq-AL" w:bidi="ar-AE"/>
        </w:rPr>
        <w:t>e</w:t>
      </w:r>
      <w:r w:rsidRPr="00BB4BBF">
        <w:rPr>
          <w:rFonts w:ascii="Arial" w:hAnsi="Arial" w:cs="Arial"/>
          <w:lang w:val="sq-AL" w:bidi="ar-AE"/>
        </w:rPr>
        <w:t xml:space="preserve"> o otpadu</w:t>
      </w:r>
      <w:r w:rsidR="00BB4BBF" w:rsidRPr="00BB4BBF">
        <w:rPr>
          <w:rFonts w:ascii="Arial" w:hAnsi="Arial" w:cs="Arial"/>
          <w:lang w:val="sq-AL" w:bidi="ar-AE"/>
        </w:rPr>
        <w:t xml:space="preserve">, </w:t>
      </w:r>
      <w:r w:rsidRPr="00BB4BBF">
        <w:rPr>
          <w:rFonts w:ascii="Arial" w:hAnsi="Arial" w:cs="Arial"/>
          <w:lang w:val="sq-AL" w:bidi="ar-AE"/>
        </w:rPr>
        <w:t>koj</w:t>
      </w:r>
      <w:r w:rsidR="00BB4BBF" w:rsidRPr="00BB4BBF">
        <w:rPr>
          <w:rFonts w:ascii="Arial" w:hAnsi="Arial" w:cs="Arial"/>
          <w:lang w:val="sq-AL" w:bidi="ar-AE"/>
        </w:rPr>
        <w:t>e</w:t>
      </w:r>
      <w:r w:rsidRPr="00BB4BBF">
        <w:rPr>
          <w:rFonts w:ascii="Arial" w:hAnsi="Arial" w:cs="Arial"/>
          <w:lang w:val="sq-AL" w:bidi="ar-AE"/>
        </w:rPr>
        <w:t xml:space="preserve"> dostavlja</w:t>
      </w:r>
      <w:r w:rsidR="00BB4BBF" w:rsidRPr="00BB4BBF">
        <w:rPr>
          <w:rFonts w:ascii="Arial" w:hAnsi="Arial" w:cs="Arial"/>
          <w:lang w:val="sq-AL" w:bidi="ar-AE"/>
        </w:rPr>
        <w:t>ju</w:t>
      </w:r>
      <w:r w:rsidRPr="00BB4BBF">
        <w:rPr>
          <w:rFonts w:ascii="Arial" w:hAnsi="Arial" w:cs="Arial"/>
          <w:lang w:val="sq-AL" w:bidi="ar-AE"/>
        </w:rPr>
        <w:t xml:space="preserve"> </w:t>
      </w:r>
      <w:r w:rsidR="0065214E" w:rsidRPr="00BB4BBF">
        <w:rPr>
          <w:rFonts w:ascii="Arial" w:hAnsi="Arial" w:cs="Arial"/>
          <w:lang w:val="sq-AL" w:bidi="ar-AE"/>
        </w:rPr>
        <w:t>A</w:t>
      </w:r>
      <w:r w:rsidR="006C4AE0">
        <w:rPr>
          <w:rFonts w:ascii="Arial" w:hAnsi="Arial" w:cs="Arial"/>
          <w:lang w:val="sq-AL" w:bidi="ar-AE"/>
        </w:rPr>
        <w:t>ZŽS</w:t>
      </w:r>
      <w:r w:rsidR="003F3D9A" w:rsidRPr="00BB4BBF">
        <w:rPr>
          <w:rFonts w:ascii="Arial" w:hAnsi="Arial" w:cs="Arial"/>
          <w:lang w:val="sq-AL" w:bidi="ar-AE"/>
        </w:rPr>
        <w:t xml:space="preserve"> do 31. marta tekuće</w:t>
      </w:r>
      <w:r w:rsidR="00BB4BBF" w:rsidRPr="00BB4BBF">
        <w:rPr>
          <w:rFonts w:ascii="Arial" w:hAnsi="Arial" w:cs="Arial"/>
          <w:lang w:val="sq-AL" w:bidi="ar-AE"/>
        </w:rPr>
        <w:t xml:space="preserve"> za prethodnu godinu.</w:t>
      </w:r>
    </w:p>
    <w:p w14:paraId="2FBCC193" w14:textId="13EF48A9" w:rsidR="006C693A" w:rsidRPr="002A6F4E" w:rsidRDefault="006C693A" w:rsidP="006C693A">
      <w:pPr>
        <w:spacing w:before="120" w:after="120" w:line="360" w:lineRule="auto"/>
        <w:rPr>
          <w:rFonts w:ascii="Arial" w:hAnsi="Arial" w:cs="Arial"/>
          <w:lang w:val="sq-AL" w:bidi="ar-AE"/>
        </w:rPr>
      </w:pPr>
      <w:r w:rsidRPr="002A6F4E">
        <w:rPr>
          <w:rFonts w:ascii="Arial" w:hAnsi="Arial" w:cs="Arial"/>
          <w:lang w:val="sq-AL" w:bidi="ar-AE"/>
        </w:rPr>
        <w:t>Međutim, na osnovu WMIS koji će biti razvijen, procedure, protokoli, formati i eventualno podzakonske odredbe moraju biti detaljne kako bi se osigurao nesmetan protok svih potrebnih informacija između zainteresovanih strana</w:t>
      </w:r>
      <w:r w:rsidR="003A7B86">
        <w:rPr>
          <w:rFonts w:ascii="Arial" w:hAnsi="Arial" w:cs="Arial"/>
          <w:lang w:val="sq-AL" w:bidi="ar-AE"/>
        </w:rPr>
        <w:t xml:space="preserve"> i izvještavanja MERS o sprovođenju DPUO</w:t>
      </w:r>
      <w:r w:rsidRPr="002A6F4E">
        <w:rPr>
          <w:rFonts w:ascii="Arial" w:hAnsi="Arial" w:cs="Arial"/>
          <w:lang w:val="sq-AL" w:bidi="ar-AE"/>
        </w:rPr>
        <w:t xml:space="preserve">. Ovo je neophodno kako bi </w:t>
      </w:r>
      <w:r w:rsidRPr="002A6F4E">
        <w:rPr>
          <w:rFonts w:ascii="Arial" w:hAnsi="Arial" w:cs="Arial"/>
          <w:lang w:val="sq-AL"/>
        </w:rPr>
        <w:t>MERS</w:t>
      </w:r>
      <w:r w:rsidRPr="002A6F4E">
        <w:rPr>
          <w:rFonts w:ascii="Arial" w:hAnsi="Arial" w:cs="Arial"/>
          <w:lang w:val="sq-AL" w:bidi="ar-AE"/>
        </w:rPr>
        <w:t xml:space="preserve"> mogao da prati trenutno stanje upravljanja otpadom u zemlji, izradi buduće strategije i politike upravljanja otpadom i ispuni svoje obaveze izvještavanja prema </w:t>
      </w:r>
      <w:r w:rsidR="003A7B86">
        <w:rPr>
          <w:rFonts w:ascii="Arial" w:hAnsi="Arial" w:cs="Arial"/>
          <w:lang w:val="sq-AL" w:bidi="ar-AE"/>
        </w:rPr>
        <w:t>državnim</w:t>
      </w:r>
      <w:r w:rsidRPr="002A6F4E">
        <w:rPr>
          <w:rFonts w:ascii="Arial" w:hAnsi="Arial" w:cs="Arial"/>
          <w:lang w:val="sq-AL" w:bidi="ar-AE"/>
        </w:rPr>
        <w:t xml:space="preserve"> i međunarodnim organizacijama.</w:t>
      </w:r>
    </w:p>
    <w:p w14:paraId="775AED88" w14:textId="390E82A7" w:rsidR="006C693A" w:rsidRPr="002A6F4E" w:rsidRDefault="003A7B86" w:rsidP="006C693A">
      <w:pPr>
        <w:spacing w:before="120" w:after="120" w:line="360" w:lineRule="auto"/>
        <w:rPr>
          <w:rFonts w:ascii="Arial" w:hAnsi="Arial" w:cs="Arial"/>
          <w:lang w:val="sq-AL" w:bidi="ar-AE"/>
        </w:rPr>
      </w:pPr>
      <w:r>
        <w:rPr>
          <w:rFonts w:ascii="Arial" w:hAnsi="Arial" w:cs="Arial"/>
          <w:lang w:val="sq-AL" w:bidi="ar-AE"/>
        </w:rPr>
        <w:t>Zakon o upravljanju otpadom definiše</w:t>
      </w:r>
      <w:r w:rsidR="006C693A" w:rsidRPr="002A6F4E">
        <w:rPr>
          <w:rFonts w:ascii="Arial" w:hAnsi="Arial" w:cs="Arial"/>
          <w:lang w:val="sq-AL" w:bidi="ar-AE"/>
        </w:rPr>
        <w:t>:</w:t>
      </w:r>
    </w:p>
    <w:p w14:paraId="76575F08" w14:textId="1A9C09ED" w:rsidR="006C693A" w:rsidRPr="002A6F4E" w:rsidRDefault="006C693A" w:rsidP="00A23ED0">
      <w:pPr>
        <w:pStyle w:val="ListParagraph"/>
        <w:numPr>
          <w:ilvl w:val="0"/>
          <w:numId w:val="110"/>
        </w:numPr>
        <w:spacing w:before="120" w:after="120" w:line="360" w:lineRule="auto"/>
        <w:contextualSpacing w:val="0"/>
        <w:rPr>
          <w:rFonts w:ascii="Arial" w:hAnsi="Arial" w:cs="Arial"/>
          <w:lang w:val="sq-AL"/>
        </w:rPr>
      </w:pPr>
      <w:r w:rsidRPr="002A6F4E">
        <w:rPr>
          <w:rFonts w:ascii="Arial" w:hAnsi="Arial" w:cs="Arial"/>
          <w:lang w:val="sq-AL"/>
        </w:rPr>
        <w:t xml:space="preserve">Ko </w:t>
      </w:r>
      <w:r w:rsidR="00667506">
        <w:rPr>
          <w:rFonts w:ascii="Arial" w:hAnsi="Arial" w:cs="Arial"/>
          <w:lang w:val="sq-AL"/>
        </w:rPr>
        <w:t>koga</w:t>
      </w:r>
      <w:r w:rsidRPr="002A6F4E">
        <w:rPr>
          <w:rFonts w:ascii="Arial" w:hAnsi="Arial" w:cs="Arial"/>
          <w:lang w:val="sq-AL"/>
        </w:rPr>
        <w:t xml:space="preserve"> treba da izvještava (npr. </w:t>
      </w:r>
      <w:r w:rsidR="006C4AE0">
        <w:rPr>
          <w:rFonts w:ascii="Arial" w:hAnsi="Arial" w:cs="Arial"/>
          <w:lang w:val="sq-AL"/>
        </w:rPr>
        <w:t>j</w:t>
      </w:r>
      <w:r w:rsidRPr="002A6F4E">
        <w:rPr>
          <w:rFonts w:ascii="Arial" w:hAnsi="Arial" w:cs="Arial"/>
          <w:lang w:val="sq-AL"/>
        </w:rPr>
        <w:t>edinice lokalnih samouprava  MERS, operateri jedinic</w:t>
      </w:r>
      <w:r w:rsidR="005C4FBF">
        <w:rPr>
          <w:rFonts w:ascii="Arial" w:hAnsi="Arial" w:cs="Arial"/>
          <w:lang w:val="sq-AL"/>
        </w:rPr>
        <w:t>a</w:t>
      </w:r>
      <w:r w:rsidRPr="002A6F4E">
        <w:rPr>
          <w:rFonts w:ascii="Arial" w:hAnsi="Arial" w:cs="Arial"/>
          <w:lang w:val="sq-AL"/>
        </w:rPr>
        <w:t xml:space="preserve"> lokalnih samouprava  ili MERS, itd);</w:t>
      </w:r>
    </w:p>
    <w:p w14:paraId="10E5B404" w14:textId="547170B8" w:rsidR="006C693A" w:rsidRPr="002A6F4E" w:rsidRDefault="006C693A" w:rsidP="00A23ED0">
      <w:pPr>
        <w:pStyle w:val="ListParagraph"/>
        <w:numPr>
          <w:ilvl w:val="0"/>
          <w:numId w:val="110"/>
        </w:numPr>
        <w:spacing w:before="120" w:after="120" w:line="360" w:lineRule="auto"/>
        <w:contextualSpacing w:val="0"/>
        <w:rPr>
          <w:rFonts w:ascii="Arial" w:hAnsi="Arial" w:cs="Arial"/>
          <w:lang w:val="sq-AL"/>
        </w:rPr>
      </w:pPr>
      <w:r w:rsidRPr="002A6F4E">
        <w:rPr>
          <w:rFonts w:ascii="Arial" w:hAnsi="Arial" w:cs="Arial"/>
          <w:lang w:val="sq-AL"/>
        </w:rPr>
        <w:t>Kada treba da se izvještava;</w:t>
      </w:r>
    </w:p>
    <w:p w14:paraId="5737A58A" w14:textId="234209CF" w:rsidR="006C693A" w:rsidRPr="002A6F4E" w:rsidRDefault="006C693A" w:rsidP="00A23ED0">
      <w:pPr>
        <w:pStyle w:val="ListParagraph"/>
        <w:numPr>
          <w:ilvl w:val="0"/>
          <w:numId w:val="110"/>
        </w:numPr>
        <w:spacing w:before="120" w:after="120" w:line="360" w:lineRule="auto"/>
        <w:contextualSpacing w:val="0"/>
        <w:rPr>
          <w:rFonts w:ascii="Arial" w:hAnsi="Arial" w:cs="Arial"/>
          <w:lang w:val="sq-AL"/>
        </w:rPr>
      </w:pPr>
      <w:r w:rsidRPr="002A6F4E">
        <w:rPr>
          <w:rFonts w:ascii="Arial" w:hAnsi="Arial" w:cs="Arial"/>
          <w:lang w:val="sq-AL"/>
        </w:rPr>
        <w:t>Kako se može izvještavati (elektronski, štampane kopije, internet obrasci</w:t>
      </w:r>
      <w:r w:rsidR="00EB07E9">
        <w:rPr>
          <w:rFonts w:ascii="Arial" w:hAnsi="Arial" w:cs="Arial"/>
          <w:lang w:val="sq-AL"/>
        </w:rPr>
        <w:t>,</w:t>
      </w:r>
      <w:r w:rsidRPr="002A6F4E">
        <w:rPr>
          <w:rFonts w:ascii="Arial" w:hAnsi="Arial" w:cs="Arial"/>
          <w:lang w:val="sq-AL"/>
        </w:rPr>
        <w:t xml:space="preserve"> itd);</w:t>
      </w:r>
    </w:p>
    <w:p w14:paraId="0CD67FCB" w14:textId="16390DA5" w:rsidR="006C693A" w:rsidRPr="002A6F4E" w:rsidRDefault="006C693A" w:rsidP="00A23ED0">
      <w:pPr>
        <w:pStyle w:val="ListParagraph"/>
        <w:numPr>
          <w:ilvl w:val="0"/>
          <w:numId w:val="110"/>
        </w:numPr>
        <w:spacing w:before="120" w:after="120" w:line="360" w:lineRule="auto"/>
        <w:contextualSpacing w:val="0"/>
        <w:rPr>
          <w:rFonts w:ascii="Arial" w:hAnsi="Arial" w:cs="Arial"/>
          <w:lang w:val="sq-AL"/>
        </w:rPr>
      </w:pPr>
      <w:r w:rsidRPr="002A6F4E">
        <w:rPr>
          <w:rFonts w:ascii="Arial" w:hAnsi="Arial" w:cs="Arial"/>
          <w:lang w:val="sq-AL"/>
        </w:rPr>
        <w:t>O čemu treba da se izvještava (format izvještaja)</w:t>
      </w:r>
      <w:r w:rsidR="003A7B86">
        <w:rPr>
          <w:rFonts w:ascii="Arial" w:hAnsi="Arial" w:cs="Arial"/>
          <w:lang w:val="sq-AL"/>
        </w:rPr>
        <w:t>.</w:t>
      </w:r>
    </w:p>
    <w:p w14:paraId="1358016E" w14:textId="77E9542C" w:rsidR="006C693A" w:rsidRPr="002A6F4E" w:rsidRDefault="006C693A" w:rsidP="006C693A">
      <w:pPr>
        <w:spacing w:before="120" w:after="120" w:line="360" w:lineRule="auto"/>
        <w:rPr>
          <w:rFonts w:ascii="Arial" w:hAnsi="Arial" w:cs="Arial"/>
          <w:lang w:val="sq-AL" w:bidi="ar-AE"/>
        </w:rPr>
      </w:pPr>
      <w:r w:rsidRPr="002A6F4E">
        <w:rPr>
          <w:rFonts w:ascii="Arial" w:hAnsi="Arial" w:cs="Arial"/>
          <w:lang w:val="sq-AL" w:bidi="ar-AE"/>
        </w:rPr>
        <w:t>Definisaće se sadržaj izvještaja i razviti posebni formati. Napominje se da će postojati različiti formati izvještavanja i zahtjevi za podacima prema subjektu koji izvještava (npr. različite izvještaje će podnositi j</w:t>
      </w:r>
      <w:r w:rsidRPr="002A6F4E">
        <w:rPr>
          <w:rFonts w:ascii="Arial" w:hAnsi="Arial" w:cs="Arial"/>
          <w:lang w:val="sq-AL"/>
        </w:rPr>
        <w:t>edinice lokalnih samouprava</w:t>
      </w:r>
      <w:r w:rsidRPr="002A6F4E">
        <w:rPr>
          <w:rFonts w:ascii="Arial" w:hAnsi="Arial" w:cs="Arial"/>
          <w:lang w:val="sq-AL" w:bidi="ar-AE"/>
        </w:rPr>
        <w:t>, a različite operateri postrojenja za otpad).</w:t>
      </w:r>
    </w:p>
    <w:p w14:paraId="323BA2EB" w14:textId="11ACB7BD" w:rsidR="006C693A" w:rsidRPr="002A6F4E" w:rsidRDefault="006C693A" w:rsidP="006C693A">
      <w:pPr>
        <w:spacing w:before="120" w:after="120" w:line="360" w:lineRule="auto"/>
        <w:rPr>
          <w:rFonts w:ascii="Arial" w:hAnsi="Arial" w:cs="Arial"/>
          <w:lang w:val="sq-AL" w:bidi="ar-AE"/>
        </w:rPr>
      </w:pPr>
      <w:r w:rsidRPr="002A6F4E">
        <w:rPr>
          <w:rFonts w:ascii="Arial" w:hAnsi="Arial" w:cs="Arial"/>
          <w:lang w:val="sq-AL" w:bidi="ar-AE"/>
        </w:rPr>
        <w:t xml:space="preserve">Poseban akcenat će biti stavljen na obuku zaposlenih u </w:t>
      </w:r>
      <w:r w:rsidRPr="002A6F4E">
        <w:rPr>
          <w:rFonts w:ascii="Arial" w:hAnsi="Arial" w:cs="Arial"/>
          <w:lang w:val="sq-AL"/>
        </w:rPr>
        <w:t>MERS</w:t>
      </w:r>
      <w:r w:rsidR="003A7B86">
        <w:rPr>
          <w:rFonts w:ascii="Arial" w:hAnsi="Arial" w:cs="Arial"/>
          <w:lang w:val="sq-AL" w:bidi="ar-AE"/>
        </w:rPr>
        <w:t xml:space="preserve"> i drugim nadležnim institucijama</w:t>
      </w:r>
      <w:r w:rsidRPr="002A6F4E">
        <w:rPr>
          <w:rFonts w:ascii="Arial" w:hAnsi="Arial" w:cs="Arial"/>
          <w:lang w:val="sq-AL" w:bidi="ar-AE"/>
        </w:rPr>
        <w:t xml:space="preserve"> o stvarnoj upotrebi sistema</w:t>
      </w:r>
      <w:r w:rsidR="00EB07E9">
        <w:rPr>
          <w:rFonts w:ascii="Arial" w:hAnsi="Arial" w:cs="Arial"/>
          <w:lang w:val="sq-AL" w:bidi="ar-AE"/>
        </w:rPr>
        <w:t>,</w:t>
      </w:r>
      <w:r w:rsidRPr="002A6F4E">
        <w:rPr>
          <w:rFonts w:ascii="Arial" w:hAnsi="Arial" w:cs="Arial"/>
          <w:lang w:val="sq-AL" w:bidi="ar-AE"/>
        </w:rPr>
        <w:t xml:space="preserve"> kao i o tome kako se ovaj sistem može koristiti u procjeni trenutnog stanja upravljanja otpadom, i o utvrđivanju budućih inicijativa i planiranja u oblasti upravljanja otpadom.</w:t>
      </w:r>
    </w:p>
    <w:p w14:paraId="6F589802" w14:textId="77777777" w:rsidR="006C693A" w:rsidRPr="002A6F4E" w:rsidRDefault="006C693A" w:rsidP="00F57909">
      <w:pPr>
        <w:pStyle w:val="Heading2"/>
        <w:numPr>
          <w:ilvl w:val="1"/>
          <w:numId w:val="139"/>
        </w:numPr>
      </w:pPr>
      <w:bookmarkStart w:id="1472" w:name="_Toc120284545"/>
      <w:bookmarkStart w:id="1473" w:name="_Toc121759174"/>
      <w:bookmarkStart w:id="1474" w:name="_Toc189759799"/>
      <w:bookmarkStart w:id="1475" w:name="_Toc193354087"/>
      <w:r w:rsidRPr="002A6F4E">
        <w:t>Instrumenti za sprovođenje</w:t>
      </w:r>
      <w:bookmarkEnd w:id="1472"/>
      <w:bookmarkEnd w:id="1473"/>
      <w:bookmarkEnd w:id="1474"/>
      <w:bookmarkEnd w:id="1475"/>
    </w:p>
    <w:p w14:paraId="34CC769E" w14:textId="59DBDC91" w:rsidR="006C693A" w:rsidRPr="002A6F4E" w:rsidRDefault="006C693A" w:rsidP="006C693A">
      <w:pPr>
        <w:spacing w:before="120" w:after="120" w:line="360" w:lineRule="auto"/>
        <w:rPr>
          <w:rFonts w:ascii="Arial" w:hAnsi="Arial" w:cs="Arial"/>
          <w:iCs/>
          <w:lang w:val="sq-AL"/>
        </w:rPr>
      </w:pPr>
      <w:r w:rsidRPr="002A6F4E">
        <w:rPr>
          <w:rFonts w:ascii="Arial" w:hAnsi="Arial" w:cs="Arial"/>
          <w:iCs/>
          <w:lang w:val="sq-AL"/>
        </w:rPr>
        <w:t>Instrumenti i podsticaji koji treba da podrže implementaciju DPUO</w:t>
      </w:r>
      <w:r w:rsidR="003A7B86">
        <w:rPr>
          <w:rFonts w:ascii="Arial" w:hAnsi="Arial" w:cs="Arial"/>
          <w:iCs/>
          <w:lang w:val="sq-AL"/>
        </w:rPr>
        <w:t xml:space="preserve"> </w:t>
      </w:r>
      <w:r w:rsidRPr="002A6F4E">
        <w:rPr>
          <w:rFonts w:ascii="Arial" w:hAnsi="Arial" w:cs="Arial"/>
          <w:iCs/>
          <w:lang w:val="sq-AL"/>
        </w:rPr>
        <w:t>mogu se podijeliti na:</w:t>
      </w:r>
    </w:p>
    <w:p w14:paraId="22EF68D6" w14:textId="77777777" w:rsidR="006C693A" w:rsidRPr="002A6F4E" w:rsidRDefault="006C693A" w:rsidP="00A23ED0">
      <w:pPr>
        <w:pStyle w:val="ListParagraph"/>
        <w:numPr>
          <w:ilvl w:val="0"/>
          <w:numId w:val="137"/>
        </w:numPr>
        <w:spacing w:before="120" w:after="120" w:line="360" w:lineRule="auto"/>
        <w:rPr>
          <w:rFonts w:ascii="Arial" w:hAnsi="Arial" w:cs="Arial"/>
          <w:iCs/>
          <w:lang w:val="sq-AL"/>
        </w:rPr>
      </w:pPr>
      <w:r w:rsidRPr="002A6F4E">
        <w:rPr>
          <w:rFonts w:ascii="Arial" w:hAnsi="Arial" w:cs="Arial"/>
          <w:iCs/>
          <w:lang w:val="sq-AL"/>
        </w:rPr>
        <w:t>zakonodavne instrumente;</w:t>
      </w:r>
    </w:p>
    <w:p w14:paraId="5595A0A0" w14:textId="77777777" w:rsidR="006C693A" w:rsidRPr="002A6F4E" w:rsidRDefault="006C693A" w:rsidP="00A23ED0">
      <w:pPr>
        <w:pStyle w:val="ListParagraph"/>
        <w:numPr>
          <w:ilvl w:val="0"/>
          <w:numId w:val="137"/>
        </w:numPr>
        <w:spacing w:before="120" w:after="120" w:line="360" w:lineRule="auto"/>
        <w:rPr>
          <w:rFonts w:ascii="Arial" w:hAnsi="Arial" w:cs="Arial"/>
          <w:iCs/>
          <w:lang w:val="sq-AL"/>
        </w:rPr>
      </w:pPr>
      <w:r w:rsidRPr="002A6F4E">
        <w:rPr>
          <w:rFonts w:ascii="Arial" w:hAnsi="Arial" w:cs="Arial"/>
          <w:iCs/>
          <w:lang w:val="sq-AL"/>
        </w:rPr>
        <w:t>institucionalne instrumente;</w:t>
      </w:r>
    </w:p>
    <w:p w14:paraId="683FED85" w14:textId="77777777" w:rsidR="006C693A" w:rsidRPr="002A6F4E" w:rsidRDefault="006C693A" w:rsidP="00A23ED0">
      <w:pPr>
        <w:pStyle w:val="ListParagraph"/>
        <w:numPr>
          <w:ilvl w:val="0"/>
          <w:numId w:val="137"/>
        </w:numPr>
        <w:spacing w:before="120" w:after="120" w:line="360" w:lineRule="auto"/>
        <w:rPr>
          <w:rFonts w:ascii="Arial" w:hAnsi="Arial" w:cs="Arial"/>
          <w:iCs/>
          <w:lang w:val="sq-AL"/>
        </w:rPr>
      </w:pPr>
      <w:r w:rsidRPr="002A6F4E">
        <w:rPr>
          <w:rFonts w:ascii="Arial" w:hAnsi="Arial" w:cs="Arial"/>
          <w:iCs/>
          <w:lang w:val="sq-AL"/>
        </w:rPr>
        <w:t>edukacija i podizanje svijesti javnosti;</w:t>
      </w:r>
    </w:p>
    <w:p w14:paraId="7787E785" w14:textId="77777777" w:rsidR="006C693A" w:rsidRPr="002A6F4E" w:rsidRDefault="006C693A" w:rsidP="00A23ED0">
      <w:pPr>
        <w:pStyle w:val="ListParagraph"/>
        <w:numPr>
          <w:ilvl w:val="0"/>
          <w:numId w:val="137"/>
        </w:numPr>
        <w:spacing w:before="120" w:after="120" w:line="360" w:lineRule="auto"/>
        <w:rPr>
          <w:rFonts w:ascii="Arial" w:hAnsi="Arial" w:cs="Arial"/>
          <w:iCs/>
          <w:lang w:val="sq-AL"/>
        </w:rPr>
      </w:pPr>
      <w:r w:rsidRPr="002A6F4E">
        <w:rPr>
          <w:rFonts w:ascii="Arial" w:hAnsi="Arial" w:cs="Arial"/>
          <w:iCs/>
          <w:lang w:val="sq-AL"/>
        </w:rPr>
        <w:t>finansijske i ekonomske instrumente.</w:t>
      </w:r>
    </w:p>
    <w:p w14:paraId="33C9E236" w14:textId="77777777" w:rsidR="006C693A" w:rsidRPr="002A6F4E" w:rsidRDefault="006C693A" w:rsidP="00F57909">
      <w:pPr>
        <w:pStyle w:val="Heading2"/>
        <w:numPr>
          <w:ilvl w:val="1"/>
          <w:numId w:val="139"/>
        </w:numPr>
      </w:pPr>
      <w:bookmarkStart w:id="1476" w:name="_Toc151854077"/>
      <w:bookmarkStart w:id="1477" w:name="_Toc189759800"/>
      <w:bookmarkStart w:id="1478" w:name="_Toc193354088"/>
      <w:bookmarkEnd w:id="1476"/>
      <w:r w:rsidRPr="002A6F4E">
        <w:t>Strateška procjena uticaja na životnu sredinu i javna rasprava</w:t>
      </w:r>
      <w:bookmarkEnd w:id="1477"/>
      <w:bookmarkEnd w:id="1478"/>
    </w:p>
    <w:p w14:paraId="536CE60E" w14:textId="312BE021" w:rsidR="004532A7" w:rsidRPr="007D6275" w:rsidRDefault="006C693A" w:rsidP="006C693A">
      <w:pPr>
        <w:spacing w:before="120" w:after="120" w:line="360" w:lineRule="auto"/>
        <w:rPr>
          <w:rFonts w:ascii="Arial" w:hAnsi="Arial" w:cs="Arial"/>
          <w:iCs/>
          <w:lang w:val="sq-AL"/>
        </w:rPr>
      </w:pPr>
      <w:r w:rsidRPr="002A6F4E">
        <w:rPr>
          <w:rFonts w:ascii="Arial" w:hAnsi="Arial" w:cs="Arial"/>
          <w:iCs/>
          <w:lang w:val="sq-AL"/>
        </w:rPr>
        <w:t>Svrha S</w:t>
      </w:r>
      <w:r w:rsidR="00B605B6" w:rsidRPr="002A6F4E">
        <w:rPr>
          <w:rFonts w:ascii="Arial" w:hAnsi="Arial" w:cs="Arial"/>
          <w:iCs/>
          <w:lang w:val="sq-AL"/>
        </w:rPr>
        <w:t>PU</w:t>
      </w:r>
      <w:r w:rsidRPr="002A6F4E">
        <w:rPr>
          <w:rFonts w:ascii="Arial" w:hAnsi="Arial" w:cs="Arial"/>
          <w:iCs/>
          <w:lang w:val="sq-AL"/>
        </w:rPr>
        <w:t xml:space="preserve"> izvještaja je da se identifikuju i analiziraju mogući uticaji na životnu sredinu od implementacije planskog dokumenta u početnoj fazi njegove izrade i da se predlože odgovarajuće mjere za prevenciju, kontrolu i/ili kompenzaciju uticaja.</w:t>
      </w:r>
    </w:p>
    <w:p w14:paraId="0DF14E4A" w14:textId="6FB5B832" w:rsidR="006C693A" w:rsidRPr="004532A7" w:rsidRDefault="00CA1A31" w:rsidP="006C693A">
      <w:pPr>
        <w:spacing w:before="120" w:after="120" w:line="360" w:lineRule="auto"/>
        <w:rPr>
          <w:rFonts w:ascii="Arial" w:hAnsi="Arial" w:cs="Arial"/>
          <w:b/>
          <w:iCs/>
          <w:lang w:val="sq-AL"/>
        </w:rPr>
      </w:pPr>
      <w:r>
        <w:rPr>
          <w:rFonts w:ascii="Arial" w:hAnsi="Arial" w:cs="Arial"/>
          <w:iCs/>
          <w:lang w:val="sq-AL"/>
        </w:rPr>
        <w:lastRenderedPageBreak/>
        <w:t>Nakon implementacije, od DP</w:t>
      </w:r>
      <w:r w:rsidR="006C693A" w:rsidRPr="002A6F4E">
        <w:rPr>
          <w:rFonts w:ascii="Arial" w:hAnsi="Arial" w:cs="Arial"/>
          <w:iCs/>
          <w:lang w:val="sq-AL"/>
        </w:rPr>
        <w:t>U</w:t>
      </w:r>
      <w:r>
        <w:rPr>
          <w:rFonts w:ascii="Arial" w:hAnsi="Arial" w:cs="Arial"/>
          <w:iCs/>
          <w:lang w:val="sq-AL"/>
        </w:rPr>
        <w:t>O</w:t>
      </w:r>
      <w:r w:rsidR="006C693A" w:rsidRPr="002A6F4E">
        <w:rPr>
          <w:rFonts w:ascii="Arial" w:hAnsi="Arial" w:cs="Arial"/>
          <w:iCs/>
          <w:lang w:val="sq-AL"/>
        </w:rPr>
        <w:t xml:space="preserve"> se očekuje da će rezultirati značajnim i dugoročnim pozitivnim uticajima na stanovništvo i životnu sredinu prvenstveno u oblasti higijene,</w:t>
      </w:r>
      <w:r w:rsidR="004532A7">
        <w:rPr>
          <w:rFonts w:ascii="Arial" w:hAnsi="Arial" w:cs="Arial"/>
          <w:iCs/>
          <w:lang w:val="sq-AL"/>
        </w:rPr>
        <w:t xml:space="preserve"> </w:t>
      </w:r>
      <w:r w:rsidR="006C693A" w:rsidRPr="002A6F4E">
        <w:rPr>
          <w:rFonts w:ascii="Arial" w:hAnsi="Arial" w:cs="Arial"/>
          <w:iCs/>
          <w:lang w:val="sq-AL"/>
        </w:rPr>
        <w:t xml:space="preserve">poboljšanju i unapređenju sistema sakupljanja otpada i na kraju, ono što može biti najvažnije, u oblasti </w:t>
      </w:r>
      <w:r w:rsidR="00EB07E9">
        <w:rPr>
          <w:rFonts w:ascii="Arial" w:hAnsi="Arial" w:cs="Arial"/>
          <w:iCs/>
          <w:lang w:val="sq-AL"/>
        </w:rPr>
        <w:t>odstranjivanja</w:t>
      </w:r>
      <w:r w:rsidR="006C693A" w:rsidRPr="002A6F4E">
        <w:rPr>
          <w:rFonts w:ascii="Arial" w:hAnsi="Arial" w:cs="Arial"/>
          <w:iCs/>
          <w:lang w:val="sq-AL"/>
        </w:rPr>
        <w:t xml:space="preserve"> otpada i u prevenciji otpada.</w:t>
      </w:r>
    </w:p>
    <w:p w14:paraId="40360FB2" w14:textId="77777777" w:rsidR="006C693A" w:rsidRPr="002A6F4E" w:rsidRDefault="006C693A" w:rsidP="00F57909">
      <w:pPr>
        <w:pStyle w:val="Heading2"/>
        <w:numPr>
          <w:ilvl w:val="1"/>
          <w:numId w:val="139"/>
        </w:numPr>
      </w:pPr>
      <w:bookmarkStart w:id="1479" w:name="_Toc189759802"/>
      <w:bookmarkStart w:id="1480" w:name="_Toc193354089"/>
      <w:r w:rsidRPr="002A6F4E">
        <w:t>Institucionalni instrumenti</w:t>
      </w:r>
      <w:bookmarkEnd w:id="1479"/>
      <w:bookmarkEnd w:id="1480"/>
    </w:p>
    <w:p w14:paraId="7504FD8C" w14:textId="4EE4AB53" w:rsidR="006C693A" w:rsidRPr="002A6F4E" w:rsidRDefault="006C693A" w:rsidP="006C693A">
      <w:pPr>
        <w:widowControl w:val="0"/>
        <w:spacing w:before="120" w:after="120" w:line="360" w:lineRule="auto"/>
        <w:rPr>
          <w:rFonts w:ascii="Arial" w:hAnsi="Arial" w:cs="Arial"/>
          <w:lang w:val="sq-AL"/>
        </w:rPr>
      </w:pPr>
      <w:r w:rsidRPr="002A6F4E">
        <w:rPr>
          <w:rFonts w:ascii="Arial" w:hAnsi="Arial" w:cs="Arial"/>
          <w:lang w:val="sq-AL"/>
        </w:rPr>
        <w:t>Institucionalne reforme odnose se na jačanje postojećih administrativnih kapaciteta, a posebno su potrebni kapaciteti institucija i organa zaduženih za planiranje, kontrolu, nadzor, izvještavanje i sertifikaciju. Takođe, ključna je bliža saradnja između MERS, A</w:t>
      </w:r>
      <w:r w:rsidR="00EB07E9">
        <w:rPr>
          <w:rFonts w:ascii="Arial" w:hAnsi="Arial" w:cs="Arial"/>
          <w:lang w:val="sq-AL"/>
        </w:rPr>
        <w:t>ZŽS</w:t>
      </w:r>
      <w:r w:rsidRPr="002A6F4E">
        <w:rPr>
          <w:rFonts w:ascii="Arial" w:hAnsi="Arial" w:cs="Arial"/>
          <w:lang w:val="sq-AL"/>
        </w:rPr>
        <w:t xml:space="preserve"> i jedinica lokalne samouprave u cilju tehničke podrške i administrativne pomoći, kao i za implementaciju ekonomskih instrumenata, podizanja svijesti javnosti, kreiranja i upravljanja informacionim sistemom. Važno je razviti i implementirati programe obuke i tehničku i finansijsku pomoć jedinicama lokalnih samouprava.</w:t>
      </w:r>
      <w:r w:rsidRPr="002A6F4E">
        <w:rPr>
          <w:rFonts w:ascii="Arial" w:hAnsi="Arial" w:cs="Arial"/>
        </w:rPr>
        <w:t xml:space="preserve"> </w:t>
      </w:r>
      <w:r w:rsidRPr="002A6F4E">
        <w:rPr>
          <w:rFonts w:ascii="Arial" w:hAnsi="Arial" w:cs="Arial"/>
          <w:lang w:val="sq-AL"/>
        </w:rPr>
        <w:t xml:space="preserve">Pored toga, imperativ je jačanje administrativnih kapaciteta zapošljavanjem osoblja i pružanjem dodatne obuke na državnom i lokalnom nivou. Postoji snažna potreba za daljim jačanjem međuinstitucionalne saradnje i koordinacije procesa u ovoj oblasti. Ljudski resursi su potrebni za: razvoj i uspostavljanje ekoloških/tehničkih standarda i smjernica; razvoj strategije upravljanja otpadom i planiranje implementacije na </w:t>
      </w:r>
      <w:r w:rsidR="00EB07E9">
        <w:rPr>
          <w:rFonts w:ascii="Arial" w:hAnsi="Arial" w:cs="Arial"/>
          <w:lang w:val="sq-AL"/>
        </w:rPr>
        <w:t>državnom</w:t>
      </w:r>
      <w:r w:rsidR="00EB07E9" w:rsidRPr="002A6F4E">
        <w:rPr>
          <w:rFonts w:ascii="Arial" w:hAnsi="Arial" w:cs="Arial"/>
          <w:lang w:val="sq-AL"/>
        </w:rPr>
        <w:t xml:space="preserve"> </w:t>
      </w:r>
      <w:r w:rsidRPr="002A6F4E">
        <w:rPr>
          <w:rFonts w:ascii="Arial" w:hAnsi="Arial" w:cs="Arial"/>
          <w:lang w:val="sq-AL"/>
        </w:rPr>
        <w:t xml:space="preserve">i lokalnom nivou; izdavanje dozvola; nadzor, monitoring i inspekciju objekata i aktivnosti  upravljanja otpadom; pokretanje i sprovođenje krivično-izvršnih radnji; i </w:t>
      </w:r>
      <w:r w:rsidR="00EB07E9">
        <w:rPr>
          <w:rFonts w:ascii="Arial" w:hAnsi="Arial" w:cs="Arial"/>
          <w:lang w:val="sq-AL"/>
        </w:rPr>
        <w:t>sa</w:t>
      </w:r>
      <w:r w:rsidRPr="002A6F4E">
        <w:rPr>
          <w:rFonts w:ascii="Arial" w:hAnsi="Arial" w:cs="Arial"/>
          <w:lang w:val="sq-AL"/>
        </w:rPr>
        <w:t>kupljanje podataka, vršenje analiza i izvještavanje.</w:t>
      </w:r>
    </w:p>
    <w:p w14:paraId="5B7FD48D" w14:textId="3BA7F843" w:rsidR="006C693A" w:rsidRPr="002A6F4E" w:rsidRDefault="006C693A" w:rsidP="006C693A">
      <w:pPr>
        <w:widowControl w:val="0"/>
        <w:spacing w:before="120" w:after="120" w:line="360" w:lineRule="auto"/>
        <w:rPr>
          <w:rFonts w:ascii="Arial" w:hAnsi="Arial" w:cs="Arial"/>
          <w:lang w:val="sq-AL"/>
        </w:rPr>
      </w:pPr>
      <w:r w:rsidRPr="002A6F4E">
        <w:rPr>
          <w:rFonts w:ascii="Arial" w:hAnsi="Arial" w:cs="Arial"/>
          <w:lang w:val="sq-AL"/>
        </w:rPr>
        <w:t xml:space="preserve">Neophodne su aktivnosti na jačanju inspekcije u cilju kontrole sprovođenja propisa u sektoru upravljanja otpadom i postizanja pune usklađenosti rada zainteresovanih strana sa njihovim zakonskim obavezama. Potrebna je izgradnja kapaciteta kroz zapošljavanje i dodatnu obuku. Takođe je važno ojačati međuinstitucionalnu saradnju u inspekcijskim aktivnostima, između inspektora za životnu sredinu, inspekcije rada, veterinarske inspekcije, saobraćajne inspekcije i </w:t>
      </w:r>
      <w:r w:rsidR="00604485">
        <w:rPr>
          <w:rFonts w:ascii="Arial" w:hAnsi="Arial" w:cs="Arial"/>
          <w:lang w:val="sq-AL"/>
        </w:rPr>
        <w:t>dr</w:t>
      </w:r>
      <w:r w:rsidRPr="002A6F4E">
        <w:rPr>
          <w:rFonts w:ascii="Arial" w:hAnsi="Arial" w:cs="Arial"/>
          <w:lang w:val="sq-AL"/>
        </w:rPr>
        <w:t xml:space="preserve">. </w:t>
      </w:r>
    </w:p>
    <w:p w14:paraId="520A0641" w14:textId="77777777" w:rsidR="006C693A" w:rsidRPr="002A6F4E" w:rsidRDefault="006C693A" w:rsidP="006C693A">
      <w:pPr>
        <w:widowControl w:val="0"/>
        <w:spacing w:before="120" w:after="120" w:line="360" w:lineRule="auto"/>
        <w:rPr>
          <w:rFonts w:ascii="Arial" w:hAnsi="Arial" w:cs="Arial"/>
          <w:lang w:val="sq-AL"/>
        </w:rPr>
      </w:pPr>
      <w:r w:rsidRPr="002A6F4E">
        <w:rPr>
          <w:rFonts w:ascii="Arial" w:hAnsi="Arial" w:cs="Arial"/>
          <w:lang w:val="sq-AL"/>
        </w:rPr>
        <w:t>U smislu institucionalnog jačanja, predlažu se sljedeće ključne akcije:</w:t>
      </w:r>
    </w:p>
    <w:p w14:paraId="659ECE11" w14:textId="77777777" w:rsidR="006C693A" w:rsidRPr="002A6F4E" w:rsidRDefault="006C693A" w:rsidP="00A23ED0">
      <w:pPr>
        <w:pStyle w:val="ListParagraph"/>
        <w:widowControl w:val="0"/>
        <w:numPr>
          <w:ilvl w:val="0"/>
          <w:numId w:val="138"/>
        </w:numPr>
        <w:spacing w:before="120" w:after="120" w:line="360" w:lineRule="auto"/>
        <w:contextualSpacing w:val="0"/>
        <w:rPr>
          <w:rFonts w:ascii="Arial" w:hAnsi="Arial" w:cs="Arial"/>
          <w:lang w:val="sq-AL"/>
        </w:rPr>
      </w:pPr>
      <w:r w:rsidRPr="002A6F4E">
        <w:rPr>
          <w:rFonts w:ascii="Arial" w:hAnsi="Arial" w:cs="Arial"/>
          <w:lang w:val="sq-AL"/>
        </w:rPr>
        <w:t>Jačanje nivoa koordinacije/saradnje među ključnim akterima;</w:t>
      </w:r>
    </w:p>
    <w:p w14:paraId="185455F1" w14:textId="2780E906" w:rsidR="006C693A" w:rsidRPr="002A6F4E" w:rsidRDefault="006C693A" w:rsidP="00A23ED0">
      <w:pPr>
        <w:pStyle w:val="ListParagraph"/>
        <w:widowControl w:val="0"/>
        <w:numPr>
          <w:ilvl w:val="0"/>
          <w:numId w:val="138"/>
        </w:numPr>
        <w:spacing w:before="120" w:after="120" w:line="360" w:lineRule="auto"/>
        <w:contextualSpacing w:val="0"/>
        <w:rPr>
          <w:rFonts w:ascii="Arial" w:hAnsi="Arial" w:cs="Arial"/>
          <w:lang w:val="sq-AL"/>
        </w:rPr>
      </w:pPr>
      <w:r w:rsidRPr="002A6F4E">
        <w:rPr>
          <w:rFonts w:ascii="Arial" w:hAnsi="Arial" w:cs="Arial"/>
          <w:lang w:val="sq-AL"/>
        </w:rPr>
        <w:t xml:space="preserve">Jasnije razdvajanje uloga </w:t>
      </w:r>
      <w:r w:rsidR="00604485">
        <w:rPr>
          <w:rFonts w:ascii="Arial" w:hAnsi="Arial" w:cs="Arial"/>
          <w:lang w:val="sq-AL"/>
        </w:rPr>
        <w:t>državne</w:t>
      </w:r>
      <w:r w:rsidRPr="002A6F4E">
        <w:rPr>
          <w:rFonts w:ascii="Arial" w:hAnsi="Arial" w:cs="Arial"/>
          <w:lang w:val="sq-AL"/>
        </w:rPr>
        <w:t xml:space="preserve"> i lokalne uprave u postojećim zakonima;</w:t>
      </w:r>
    </w:p>
    <w:p w14:paraId="7671CA60" w14:textId="717E8ED9" w:rsidR="006C693A" w:rsidRPr="002A6F4E" w:rsidRDefault="006C693A" w:rsidP="00A23ED0">
      <w:pPr>
        <w:pStyle w:val="ListParagraph"/>
        <w:widowControl w:val="0"/>
        <w:numPr>
          <w:ilvl w:val="0"/>
          <w:numId w:val="138"/>
        </w:numPr>
        <w:spacing w:before="120" w:after="120" w:line="360" w:lineRule="auto"/>
        <w:contextualSpacing w:val="0"/>
        <w:rPr>
          <w:rFonts w:ascii="Arial" w:hAnsi="Arial" w:cs="Arial"/>
          <w:lang w:val="sq-AL"/>
        </w:rPr>
      </w:pPr>
      <w:r w:rsidRPr="002A6F4E">
        <w:rPr>
          <w:rFonts w:ascii="Arial" w:hAnsi="Arial" w:cs="Arial"/>
          <w:lang w:val="sq-AL"/>
        </w:rPr>
        <w:t xml:space="preserve">Jačanje jedinica lokalne samouprave u cilju postizanja </w:t>
      </w:r>
      <w:r w:rsidR="007D2F3A">
        <w:rPr>
          <w:rFonts w:ascii="Arial" w:hAnsi="Arial" w:cs="Arial"/>
          <w:lang w:val="sq-AL"/>
        </w:rPr>
        <w:t>većih kapaciteta</w:t>
      </w:r>
      <w:r w:rsidRPr="002A6F4E">
        <w:rPr>
          <w:rFonts w:ascii="Arial" w:hAnsi="Arial" w:cs="Arial"/>
          <w:lang w:val="sq-AL"/>
        </w:rPr>
        <w:t xml:space="preserve"> lokalnih usluga upravljanja otpadom;</w:t>
      </w:r>
    </w:p>
    <w:p w14:paraId="066DBE30" w14:textId="358D6373" w:rsidR="006C693A" w:rsidRPr="002A6F4E" w:rsidRDefault="006C693A" w:rsidP="00A23ED0">
      <w:pPr>
        <w:pStyle w:val="ListParagraph"/>
        <w:widowControl w:val="0"/>
        <w:numPr>
          <w:ilvl w:val="0"/>
          <w:numId w:val="138"/>
        </w:numPr>
        <w:spacing w:before="120" w:after="120" w:line="360" w:lineRule="auto"/>
        <w:contextualSpacing w:val="0"/>
        <w:rPr>
          <w:rFonts w:ascii="Arial" w:hAnsi="Arial" w:cs="Arial"/>
          <w:lang w:val="sq-AL"/>
        </w:rPr>
      </w:pPr>
      <w:r w:rsidRPr="002A6F4E">
        <w:rPr>
          <w:rFonts w:ascii="Arial" w:hAnsi="Arial" w:cs="Arial"/>
          <w:lang w:val="sq-AL"/>
        </w:rPr>
        <w:t>Podrška postizanju ciljeva za recikl</w:t>
      </w:r>
      <w:r w:rsidR="00A90E58">
        <w:rPr>
          <w:rFonts w:ascii="Arial" w:hAnsi="Arial" w:cs="Arial"/>
          <w:lang w:val="sq-AL"/>
        </w:rPr>
        <w:t>iranje</w:t>
      </w:r>
      <w:r w:rsidRPr="002A6F4E">
        <w:rPr>
          <w:rFonts w:ascii="Arial" w:hAnsi="Arial" w:cs="Arial"/>
          <w:lang w:val="sq-AL"/>
        </w:rPr>
        <w:t xml:space="preserve"> i preusmjeravanje biorazgradivog otpada kroz odgovarajuću tehničku i infrastrukturnu pomoć </w:t>
      </w:r>
      <w:r w:rsidR="007D2F3A">
        <w:rPr>
          <w:rFonts w:ascii="Arial" w:hAnsi="Arial" w:cs="Arial"/>
          <w:lang w:val="sq-AL"/>
        </w:rPr>
        <w:t>državnih</w:t>
      </w:r>
      <w:r w:rsidRPr="002A6F4E">
        <w:rPr>
          <w:rFonts w:ascii="Arial" w:hAnsi="Arial" w:cs="Arial"/>
          <w:lang w:val="sq-AL"/>
        </w:rPr>
        <w:t xml:space="preserve"> i lokalnih organa uprave;</w:t>
      </w:r>
    </w:p>
    <w:p w14:paraId="569F4C3A" w14:textId="77777777" w:rsidR="006C693A" w:rsidRPr="002A6F4E" w:rsidRDefault="006C693A" w:rsidP="00A23ED0">
      <w:pPr>
        <w:pStyle w:val="ListParagraph"/>
        <w:widowControl w:val="0"/>
        <w:numPr>
          <w:ilvl w:val="0"/>
          <w:numId w:val="138"/>
        </w:numPr>
        <w:spacing w:before="120" w:after="120" w:line="360" w:lineRule="auto"/>
        <w:contextualSpacing w:val="0"/>
        <w:rPr>
          <w:rFonts w:ascii="Arial" w:hAnsi="Arial" w:cs="Arial"/>
          <w:lang w:val="sq-AL"/>
        </w:rPr>
      </w:pPr>
      <w:r w:rsidRPr="002A6F4E">
        <w:rPr>
          <w:rFonts w:ascii="Arial" w:hAnsi="Arial" w:cs="Arial"/>
          <w:lang w:val="sq-AL"/>
        </w:rPr>
        <w:t>Jačanje ekoloških inspekcija kako bi se postigla puna usklađenost zainteresovanih strana sa njihovim zakonskim obavezama na državnom i lokalnom nivou;</w:t>
      </w:r>
    </w:p>
    <w:p w14:paraId="772EE47E" w14:textId="0C2CF385" w:rsidR="006C693A" w:rsidRPr="002A6F4E" w:rsidRDefault="006C693A" w:rsidP="00A23ED0">
      <w:pPr>
        <w:pStyle w:val="ListParagraph"/>
        <w:widowControl w:val="0"/>
        <w:numPr>
          <w:ilvl w:val="0"/>
          <w:numId w:val="138"/>
        </w:numPr>
        <w:spacing w:before="120" w:after="120" w:line="360" w:lineRule="auto"/>
        <w:contextualSpacing w:val="0"/>
        <w:rPr>
          <w:rFonts w:ascii="Arial" w:hAnsi="Arial" w:cs="Arial"/>
          <w:lang w:val="sq-AL"/>
        </w:rPr>
      </w:pPr>
      <w:r w:rsidRPr="002A6F4E">
        <w:rPr>
          <w:rFonts w:ascii="Arial" w:hAnsi="Arial" w:cs="Arial"/>
          <w:lang w:val="sq-AL"/>
        </w:rPr>
        <w:t xml:space="preserve">MERS treba da nadgleda usklađivanje </w:t>
      </w:r>
      <w:r w:rsidR="00A90E58">
        <w:rPr>
          <w:rFonts w:ascii="Arial" w:hAnsi="Arial" w:cs="Arial"/>
          <w:lang w:val="sq-AL"/>
        </w:rPr>
        <w:t>lokalnih</w:t>
      </w:r>
      <w:r w:rsidR="00A90E58" w:rsidRPr="002A6F4E">
        <w:rPr>
          <w:rFonts w:ascii="Arial" w:hAnsi="Arial" w:cs="Arial"/>
          <w:lang w:val="sq-AL"/>
        </w:rPr>
        <w:t xml:space="preserve"> </w:t>
      </w:r>
      <w:r w:rsidRPr="002A6F4E">
        <w:rPr>
          <w:rFonts w:ascii="Arial" w:hAnsi="Arial" w:cs="Arial"/>
          <w:lang w:val="sq-AL"/>
        </w:rPr>
        <w:t xml:space="preserve">planova sa </w:t>
      </w:r>
      <w:r w:rsidR="007D2F3A">
        <w:rPr>
          <w:rFonts w:ascii="Arial" w:hAnsi="Arial" w:cs="Arial"/>
          <w:lang w:val="sq-AL"/>
        </w:rPr>
        <w:t>državnim</w:t>
      </w:r>
      <w:r w:rsidRPr="002A6F4E">
        <w:rPr>
          <w:rFonts w:ascii="Arial" w:hAnsi="Arial" w:cs="Arial"/>
          <w:lang w:val="sq-AL"/>
        </w:rPr>
        <w:t xml:space="preserve"> planom;</w:t>
      </w:r>
    </w:p>
    <w:p w14:paraId="4B83AD49" w14:textId="164FAB99" w:rsidR="006C693A" w:rsidRPr="002A6F4E" w:rsidRDefault="006C693A" w:rsidP="00A23ED0">
      <w:pPr>
        <w:pStyle w:val="ListParagraph"/>
        <w:widowControl w:val="0"/>
        <w:numPr>
          <w:ilvl w:val="0"/>
          <w:numId w:val="138"/>
        </w:numPr>
        <w:spacing w:before="120" w:after="120" w:line="360" w:lineRule="auto"/>
        <w:contextualSpacing w:val="0"/>
        <w:rPr>
          <w:rFonts w:ascii="Arial" w:hAnsi="Arial" w:cs="Arial"/>
          <w:lang w:val="sq-AL"/>
        </w:rPr>
      </w:pPr>
      <w:r w:rsidRPr="002A6F4E">
        <w:rPr>
          <w:rFonts w:ascii="Arial" w:hAnsi="Arial" w:cs="Arial"/>
          <w:lang w:val="sq-AL"/>
        </w:rPr>
        <w:t>Promovisanje foruma/konferencija/seminara za razmjenu znanja i iskustva između različitih zainteresovanih strana;</w:t>
      </w:r>
    </w:p>
    <w:p w14:paraId="0D8B8905" w14:textId="101C3B89" w:rsidR="006C693A" w:rsidRPr="002A6F4E" w:rsidRDefault="006C693A" w:rsidP="00F57909">
      <w:pPr>
        <w:pStyle w:val="Heading2"/>
        <w:numPr>
          <w:ilvl w:val="1"/>
          <w:numId w:val="139"/>
        </w:numPr>
      </w:pPr>
      <w:bookmarkStart w:id="1481" w:name="_Toc189759803"/>
      <w:bookmarkStart w:id="1482" w:name="_Toc193354090"/>
      <w:r w:rsidRPr="002A6F4E">
        <w:lastRenderedPageBreak/>
        <w:t xml:space="preserve">Uključivanje javnosti i </w:t>
      </w:r>
      <w:r w:rsidR="00A92BA2">
        <w:t>edukacija</w:t>
      </w:r>
      <w:r w:rsidRPr="002A6F4E">
        <w:t xml:space="preserve"> o upravljanju otpadom</w:t>
      </w:r>
      <w:bookmarkStart w:id="1483" w:name="_Hlk130795567"/>
      <w:bookmarkStart w:id="1484" w:name="_Toc130832807"/>
      <w:bookmarkEnd w:id="1481"/>
      <w:bookmarkEnd w:id="1482"/>
    </w:p>
    <w:p w14:paraId="64506EB5" w14:textId="5C820B1B" w:rsidR="008B7930" w:rsidRPr="002A6F4E" w:rsidRDefault="00B16661" w:rsidP="006C693A">
      <w:pPr>
        <w:autoSpaceDE w:val="0"/>
        <w:autoSpaceDN w:val="0"/>
        <w:adjustRightInd w:val="0"/>
        <w:spacing w:line="360" w:lineRule="auto"/>
        <w:rPr>
          <w:rFonts w:ascii="Arial" w:eastAsia="TimesNewRomanPSMT" w:hAnsi="Arial" w:cs="Arial"/>
          <w:color w:val="000000"/>
          <w:lang w:val="hr-HR"/>
        </w:rPr>
      </w:pPr>
      <w:r>
        <w:rPr>
          <w:rFonts w:ascii="Arial" w:eastAsia="TimesNewRomanPSMT" w:hAnsi="Arial" w:cs="Arial"/>
          <w:color w:val="000000"/>
          <w:lang w:val="hr-HR"/>
        </w:rPr>
        <w:t>Edukacija i u</w:t>
      </w:r>
      <w:r w:rsidR="006C693A" w:rsidRPr="002A6F4E">
        <w:rPr>
          <w:rFonts w:ascii="Arial" w:eastAsia="TimesNewRomanPSMT" w:hAnsi="Arial" w:cs="Arial"/>
          <w:color w:val="000000"/>
          <w:lang w:val="hr-HR"/>
        </w:rPr>
        <w:t>ključivanje javnosti u proces implementacije DPUO je od suštinskog značaja u kontekstu njegove uspješnosti i održivosti.</w:t>
      </w:r>
    </w:p>
    <w:p w14:paraId="7890580C" w14:textId="6CE7CBE5" w:rsidR="006C693A" w:rsidRPr="002A6F4E" w:rsidRDefault="004F2AEF" w:rsidP="006C693A">
      <w:pPr>
        <w:autoSpaceDE w:val="0"/>
        <w:autoSpaceDN w:val="0"/>
        <w:adjustRightInd w:val="0"/>
        <w:spacing w:line="360" w:lineRule="auto"/>
        <w:rPr>
          <w:rFonts w:ascii="Arial" w:hAnsi="Arial" w:cs="Arial"/>
          <w:color w:val="000000"/>
          <w:lang w:val="hr-HR"/>
        </w:rPr>
      </w:pPr>
      <w:r>
        <w:rPr>
          <w:rFonts w:ascii="Arial" w:hAnsi="Arial" w:cs="Arial"/>
          <w:color w:val="000000"/>
          <w:lang w:val="hr-HR"/>
        </w:rPr>
        <w:t xml:space="preserve">U cilju edukacije </w:t>
      </w:r>
      <w:r w:rsidR="006C693A" w:rsidRPr="002A6F4E">
        <w:rPr>
          <w:rFonts w:ascii="Arial" w:hAnsi="Arial" w:cs="Arial"/>
          <w:color w:val="000000"/>
          <w:lang w:val="hr-HR"/>
        </w:rPr>
        <w:t xml:space="preserve">potrebno je uraditi </w:t>
      </w:r>
      <w:r w:rsidR="006C693A" w:rsidRPr="008C2ABC">
        <w:rPr>
          <w:rFonts w:ascii="Arial" w:hAnsi="Arial" w:cs="Arial"/>
          <w:color w:val="000000"/>
          <w:lang w:val="hr-HR"/>
        </w:rPr>
        <w:t>komunikacion</w:t>
      </w:r>
      <w:r w:rsidRPr="008C2ABC">
        <w:rPr>
          <w:rFonts w:ascii="Arial" w:hAnsi="Arial" w:cs="Arial"/>
          <w:color w:val="000000"/>
          <w:lang w:val="hr-HR"/>
        </w:rPr>
        <w:t>i plan</w:t>
      </w:r>
      <w:r>
        <w:rPr>
          <w:rFonts w:ascii="Arial" w:hAnsi="Arial" w:cs="Arial"/>
          <w:color w:val="000000"/>
          <w:lang w:val="hr-HR"/>
        </w:rPr>
        <w:t xml:space="preserve"> </w:t>
      </w:r>
      <w:r w:rsidR="006C693A" w:rsidRPr="002A6F4E">
        <w:rPr>
          <w:rFonts w:ascii="Arial" w:hAnsi="Arial" w:cs="Arial"/>
          <w:color w:val="000000"/>
          <w:lang w:val="hr-HR"/>
        </w:rPr>
        <w:t>za podizanje svijesti javnosti o važnosti uključivanj</w:t>
      </w:r>
      <w:r>
        <w:rPr>
          <w:rFonts w:ascii="Arial" w:hAnsi="Arial" w:cs="Arial"/>
          <w:color w:val="000000"/>
          <w:lang w:val="hr-HR"/>
        </w:rPr>
        <w:t>a</w:t>
      </w:r>
      <w:r w:rsidR="006C693A" w:rsidRPr="002A6F4E">
        <w:rPr>
          <w:rFonts w:ascii="Arial" w:hAnsi="Arial" w:cs="Arial"/>
          <w:color w:val="000000"/>
          <w:lang w:val="hr-HR"/>
        </w:rPr>
        <w:t xml:space="preserve"> u proces uspostavljanja održivog upravljanja otpadom,</w:t>
      </w:r>
      <w:r>
        <w:rPr>
          <w:rFonts w:ascii="Arial" w:hAnsi="Arial" w:cs="Arial"/>
          <w:color w:val="000000"/>
          <w:lang w:val="hr-HR"/>
        </w:rPr>
        <w:t xml:space="preserve"> </w:t>
      </w:r>
      <w:r w:rsidR="006C693A" w:rsidRPr="002A6F4E">
        <w:rPr>
          <w:rFonts w:ascii="Arial" w:hAnsi="Arial" w:cs="Arial"/>
          <w:color w:val="000000"/>
          <w:lang w:val="hr-HR"/>
        </w:rPr>
        <w:t xml:space="preserve"> koja bi pomogla u samoj implementaciji. </w:t>
      </w:r>
    </w:p>
    <w:p w14:paraId="214B65BE" w14:textId="77777777" w:rsidR="008B7930" w:rsidRPr="002A6F4E" w:rsidRDefault="008B7930" w:rsidP="006C693A">
      <w:pPr>
        <w:autoSpaceDE w:val="0"/>
        <w:autoSpaceDN w:val="0"/>
        <w:adjustRightInd w:val="0"/>
        <w:spacing w:line="360" w:lineRule="auto"/>
        <w:rPr>
          <w:rFonts w:ascii="Arial" w:hAnsi="Arial" w:cs="Arial"/>
          <w:color w:val="000000"/>
          <w:lang w:val="hr-HR"/>
        </w:rPr>
      </w:pPr>
    </w:p>
    <w:p w14:paraId="548ECB28" w14:textId="3386E665" w:rsidR="006C693A" w:rsidRPr="002A6F4E" w:rsidRDefault="004F2AEF" w:rsidP="006C693A">
      <w:pPr>
        <w:autoSpaceDE w:val="0"/>
        <w:autoSpaceDN w:val="0"/>
        <w:adjustRightInd w:val="0"/>
        <w:spacing w:line="360" w:lineRule="auto"/>
        <w:rPr>
          <w:rFonts w:ascii="Arial" w:hAnsi="Arial" w:cs="Arial"/>
          <w:color w:val="000000"/>
          <w:lang w:val="hr-HR"/>
        </w:rPr>
      </w:pPr>
      <w:r>
        <w:rPr>
          <w:rFonts w:ascii="Arial" w:eastAsia="TimesNewRomanPSMT" w:hAnsi="Arial" w:cs="Arial"/>
          <w:color w:val="000000"/>
          <w:lang w:val="hr-HR"/>
        </w:rPr>
        <w:t>Osim</w:t>
      </w:r>
      <w:r w:rsidR="006C693A" w:rsidRPr="002A6F4E">
        <w:rPr>
          <w:rFonts w:ascii="Arial" w:eastAsia="TimesNewRomanPSMT" w:hAnsi="Arial" w:cs="Arial"/>
          <w:color w:val="000000"/>
          <w:lang w:val="hr-HR"/>
        </w:rPr>
        <w:t xml:space="preserve"> što je, shodno Zakonu o upravljanju otpadom, obaveza DPUO da definiše </w:t>
      </w:r>
      <w:r w:rsidR="006C693A" w:rsidRPr="002A6F4E">
        <w:rPr>
          <w:rFonts w:ascii="Arial" w:hAnsi="Arial" w:cs="Arial"/>
          <w:lang w:val="hr-HR"/>
        </w:rPr>
        <w:t>način podizanja svijesti i pružanja informacija javnosti ili posebnim potrošačkim grupama o upravljanju otpadom i način sprovođenja kampanje</w:t>
      </w:r>
      <w:r>
        <w:rPr>
          <w:rFonts w:ascii="Arial" w:hAnsi="Arial" w:cs="Arial"/>
          <w:lang w:val="hr-HR"/>
        </w:rPr>
        <w:t>,</w:t>
      </w:r>
      <w:r w:rsidR="006C693A" w:rsidRPr="002A6F4E">
        <w:rPr>
          <w:rFonts w:ascii="Arial" w:hAnsi="Arial" w:cs="Arial"/>
          <w:lang w:val="hr-HR"/>
        </w:rPr>
        <w:t xml:space="preserve"> </w:t>
      </w:r>
      <w:r w:rsidR="006C693A" w:rsidRPr="002A6F4E">
        <w:rPr>
          <w:rFonts w:ascii="Arial" w:eastAsia="TimesNewRomanPSMT" w:hAnsi="Arial" w:cs="Arial"/>
          <w:color w:val="000000"/>
          <w:lang w:val="hr-HR"/>
        </w:rPr>
        <w:t xml:space="preserve">uključuje </w:t>
      </w:r>
      <w:r w:rsidR="00A90E58">
        <w:rPr>
          <w:rFonts w:ascii="Arial" w:eastAsia="TimesNewRomanPSMT" w:hAnsi="Arial" w:cs="Arial"/>
          <w:color w:val="000000"/>
          <w:lang w:val="hr-HR"/>
        </w:rPr>
        <w:t xml:space="preserve">i </w:t>
      </w:r>
      <w:r w:rsidR="006C693A" w:rsidRPr="002A6F4E">
        <w:rPr>
          <w:rFonts w:ascii="Arial" w:eastAsia="TimesNewRomanPSMT" w:hAnsi="Arial" w:cs="Arial"/>
          <w:color w:val="000000"/>
          <w:lang w:val="hr-HR"/>
        </w:rPr>
        <w:t>m</w:t>
      </w:r>
      <w:r w:rsidR="006C693A" w:rsidRPr="002A6F4E">
        <w:rPr>
          <w:rFonts w:ascii="Arial" w:hAnsi="Arial" w:cs="Arial"/>
          <w:color w:val="000000"/>
          <w:lang w:val="hr-HR"/>
        </w:rPr>
        <w:t>jere za ra</w:t>
      </w:r>
      <w:r w:rsidR="006C693A" w:rsidRPr="002A6F4E">
        <w:rPr>
          <w:rFonts w:ascii="Arial" w:eastAsia="TimesNewRomanPSMT" w:hAnsi="Arial" w:cs="Arial"/>
          <w:color w:val="000000"/>
          <w:lang w:val="hr-HR"/>
        </w:rPr>
        <w:t>zvoj i podršku informativnih kampanja za podizanje</w:t>
      </w:r>
      <w:r w:rsidR="006C693A" w:rsidRPr="002A6F4E">
        <w:rPr>
          <w:rFonts w:ascii="Arial" w:hAnsi="Arial" w:cs="Arial"/>
          <w:lang w:val="hr-HR"/>
        </w:rPr>
        <w:t xml:space="preserve"> </w:t>
      </w:r>
      <w:r w:rsidR="006C693A" w:rsidRPr="002A6F4E">
        <w:rPr>
          <w:rFonts w:ascii="Arial" w:hAnsi="Arial" w:cs="Arial"/>
          <w:color w:val="000000"/>
          <w:lang w:val="hr-HR"/>
        </w:rPr>
        <w:t>svijesti o prevenciji i od</w:t>
      </w:r>
      <w:r w:rsidR="00A90E58">
        <w:rPr>
          <w:rFonts w:ascii="Arial" w:hAnsi="Arial" w:cs="Arial"/>
          <w:color w:val="000000"/>
          <w:lang w:val="hr-HR"/>
        </w:rPr>
        <w:t>stranjivanju</w:t>
      </w:r>
      <w:r w:rsidR="006C693A" w:rsidRPr="002A6F4E">
        <w:rPr>
          <w:rFonts w:ascii="Arial" w:hAnsi="Arial" w:cs="Arial"/>
          <w:color w:val="000000"/>
          <w:lang w:val="hr-HR"/>
        </w:rPr>
        <w:t xml:space="preserve"> otpada, ovaj dokument treba da ponudi i konkretne smjernice za podsticanje svih relevantnih ciljnih grupa koje svojim aktivnostima mogu doprinijeti ostvarivanju </w:t>
      </w:r>
      <w:r>
        <w:rPr>
          <w:rFonts w:ascii="Arial" w:hAnsi="Arial" w:cs="Arial"/>
          <w:color w:val="000000"/>
          <w:lang w:val="hr-HR"/>
        </w:rPr>
        <w:t>A</w:t>
      </w:r>
      <w:r w:rsidR="006C693A" w:rsidRPr="002A6F4E">
        <w:rPr>
          <w:rFonts w:ascii="Arial" w:hAnsi="Arial" w:cs="Arial"/>
          <w:color w:val="000000"/>
          <w:lang w:val="hr-HR"/>
        </w:rPr>
        <w:t>kcionog plana.</w:t>
      </w:r>
    </w:p>
    <w:p w14:paraId="3015414F" w14:textId="77777777" w:rsidR="006C693A" w:rsidRPr="002A6F4E" w:rsidRDefault="006C693A" w:rsidP="006C693A">
      <w:pPr>
        <w:autoSpaceDE w:val="0"/>
        <w:autoSpaceDN w:val="0"/>
        <w:adjustRightInd w:val="0"/>
        <w:spacing w:line="360" w:lineRule="auto"/>
        <w:rPr>
          <w:rFonts w:ascii="Arial" w:hAnsi="Arial" w:cs="Arial"/>
          <w:color w:val="000000"/>
          <w:lang w:val="hr-HR"/>
        </w:rPr>
      </w:pPr>
    </w:p>
    <w:p w14:paraId="3A77502A" w14:textId="77777777" w:rsidR="006C693A" w:rsidRPr="002A6F4E" w:rsidRDefault="006C693A" w:rsidP="006C693A">
      <w:pPr>
        <w:autoSpaceDE w:val="0"/>
        <w:autoSpaceDN w:val="0"/>
        <w:adjustRightInd w:val="0"/>
        <w:spacing w:line="360" w:lineRule="auto"/>
        <w:rPr>
          <w:rFonts w:ascii="Arial" w:hAnsi="Arial" w:cs="Arial"/>
          <w:color w:val="000000"/>
          <w:lang w:val="hr-HR"/>
        </w:rPr>
      </w:pPr>
      <w:r w:rsidRPr="002A6F4E">
        <w:rPr>
          <w:rFonts w:ascii="Arial" w:hAnsi="Arial" w:cs="Arial"/>
          <w:color w:val="000000"/>
          <w:lang w:val="hr-HR"/>
        </w:rPr>
        <w:t>Upravo bi taj pozitivan trend trebao biti podsticaj za uključivanje javnosti u primjenu DPUO, jer će građani/ke Crne Gore imati najveće benefite od konkretnih rezultata u lokalnim zajednicama.</w:t>
      </w:r>
    </w:p>
    <w:p w14:paraId="0E4B2B49" w14:textId="77777777" w:rsidR="006C693A" w:rsidRPr="002A6F4E" w:rsidRDefault="006C693A" w:rsidP="006C693A">
      <w:pPr>
        <w:autoSpaceDE w:val="0"/>
        <w:autoSpaceDN w:val="0"/>
        <w:adjustRightInd w:val="0"/>
        <w:spacing w:line="360" w:lineRule="auto"/>
        <w:rPr>
          <w:rFonts w:ascii="Arial" w:hAnsi="Arial" w:cs="Arial"/>
          <w:color w:val="000000"/>
          <w:lang w:val="hr-HR"/>
        </w:rPr>
      </w:pPr>
    </w:p>
    <w:p w14:paraId="74C842B1" w14:textId="69A43928" w:rsidR="006C693A" w:rsidRPr="002A6F4E" w:rsidRDefault="006C693A" w:rsidP="006C693A">
      <w:pPr>
        <w:autoSpaceDE w:val="0"/>
        <w:autoSpaceDN w:val="0"/>
        <w:adjustRightInd w:val="0"/>
        <w:spacing w:line="360" w:lineRule="auto"/>
        <w:rPr>
          <w:rFonts w:ascii="Arial" w:hAnsi="Arial" w:cs="Arial"/>
          <w:color w:val="000000"/>
          <w:lang w:val="hr-HR"/>
        </w:rPr>
      </w:pPr>
      <w:r w:rsidRPr="002A6F4E">
        <w:rPr>
          <w:rFonts w:ascii="Arial" w:hAnsi="Arial" w:cs="Arial"/>
          <w:color w:val="000000"/>
          <w:lang w:val="hr-HR"/>
        </w:rPr>
        <w:t xml:space="preserve">Kao i za DPUO i za lokalne planove postoji zakonska obaveza da </w:t>
      </w:r>
      <w:r w:rsidR="00611C03">
        <w:rPr>
          <w:rFonts w:ascii="Arial" w:hAnsi="Arial" w:cs="Arial"/>
          <w:color w:val="000000"/>
          <w:lang w:val="hr-HR"/>
        </w:rPr>
        <w:t xml:space="preserve">uspostave </w:t>
      </w:r>
      <w:r w:rsidRPr="002A6F4E">
        <w:rPr>
          <w:rFonts w:ascii="Arial" w:eastAsia="TimesNewRomanPSMT" w:hAnsi="Arial" w:cs="Arial"/>
          <w:color w:val="000000"/>
          <w:lang w:val="hr-HR"/>
        </w:rPr>
        <w:t>način za podizanje sv</w:t>
      </w:r>
      <w:r w:rsidRPr="002A6F4E">
        <w:rPr>
          <w:rFonts w:ascii="Arial" w:hAnsi="Arial" w:cs="Arial"/>
          <w:color w:val="000000"/>
          <w:lang w:val="hr-HR"/>
        </w:rPr>
        <w:t>ijesti o pravilnom postupanju sa otpadom</w:t>
      </w:r>
      <w:r w:rsidR="00611C03">
        <w:rPr>
          <w:rFonts w:ascii="Arial" w:hAnsi="Arial" w:cs="Arial"/>
          <w:color w:val="000000"/>
          <w:lang w:val="hr-HR"/>
        </w:rPr>
        <w:t>.</w:t>
      </w:r>
    </w:p>
    <w:p w14:paraId="41B382D3" w14:textId="77777777" w:rsidR="006C693A" w:rsidRPr="002A6F4E" w:rsidRDefault="006C693A" w:rsidP="006C693A">
      <w:pPr>
        <w:autoSpaceDE w:val="0"/>
        <w:autoSpaceDN w:val="0"/>
        <w:adjustRightInd w:val="0"/>
        <w:spacing w:line="360" w:lineRule="auto"/>
        <w:rPr>
          <w:rFonts w:ascii="Arial" w:hAnsi="Arial" w:cs="Arial"/>
          <w:color w:val="000000"/>
          <w:lang w:val="hr-HR"/>
        </w:rPr>
      </w:pPr>
    </w:p>
    <w:p w14:paraId="1EAEC2AE" w14:textId="4F88B675" w:rsidR="006C693A" w:rsidRPr="002A6F4E" w:rsidRDefault="006C693A" w:rsidP="006C693A">
      <w:pPr>
        <w:autoSpaceDE w:val="0"/>
        <w:autoSpaceDN w:val="0"/>
        <w:adjustRightInd w:val="0"/>
        <w:spacing w:line="360" w:lineRule="auto"/>
        <w:rPr>
          <w:rFonts w:ascii="Arial" w:eastAsia="TimesNewRomanPSMT" w:hAnsi="Arial" w:cs="Arial"/>
          <w:color w:val="000000"/>
          <w:lang w:val="hr-HR"/>
        </w:rPr>
      </w:pPr>
      <w:r w:rsidRPr="002A6F4E">
        <w:rPr>
          <w:rFonts w:ascii="Arial" w:hAnsi="Arial" w:cs="Arial"/>
          <w:color w:val="000000"/>
          <w:lang w:val="hr-HR"/>
        </w:rPr>
        <w:t xml:space="preserve">Zakon o upravljanju otpadom daje i druge konkretne podsticajne mjere kakva je da se sredstva </w:t>
      </w:r>
      <w:r w:rsidRPr="002A6F4E">
        <w:rPr>
          <w:rFonts w:ascii="Arial" w:eastAsia="TimesNewRomanPSMT" w:hAnsi="Arial" w:cs="Arial"/>
          <w:color w:val="000000"/>
          <w:lang w:val="hr-HR"/>
        </w:rPr>
        <w:t>od naknade „</w:t>
      </w:r>
      <w:r w:rsidRPr="002A6F4E">
        <w:rPr>
          <w:rFonts w:ascii="Arial" w:hAnsi="Arial" w:cs="Arial"/>
          <w:color w:val="000000"/>
          <w:lang w:val="hr-HR"/>
        </w:rPr>
        <w:t>laganih plas</w:t>
      </w:r>
      <w:r w:rsidRPr="002A6F4E">
        <w:rPr>
          <w:rFonts w:ascii="Arial" w:eastAsia="TimesNewRomanPSMT" w:hAnsi="Arial" w:cs="Arial"/>
          <w:color w:val="000000"/>
          <w:lang w:val="hr-HR"/>
        </w:rPr>
        <w:t>tičn</w:t>
      </w:r>
      <w:r w:rsidRPr="002A6F4E">
        <w:rPr>
          <w:rFonts w:ascii="Arial" w:hAnsi="Arial" w:cs="Arial"/>
          <w:color w:val="000000"/>
          <w:lang w:val="hr-HR"/>
        </w:rPr>
        <w:t xml:space="preserve">ih kesa </w:t>
      </w:r>
      <w:r w:rsidRPr="002A6F4E">
        <w:rPr>
          <w:rFonts w:ascii="Arial" w:eastAsia="TimesNewRomanPSMT" w:hAnsi="Arial" w:cs="Arial"/>
          <w:color w:val="000000"/>
          <w:lang w:val="hr-HR"/>
        </w:rPr>
        <w:t xml:space="preserve">za nošenje“ </w:t>
      </w:r>
      <w:r w:rsidRPr="002A6F4E">
        <w:rPr>
          <w:rFonts w:ascii="Arial" w:hAnsi="Arial" w:cs="Arial"/>
          <w:color w:val="000000"/>
          <w:lang w:val="hr-HR"/>
        </w:rPr>
        <w:t>upla</w:t>
      </w:r>
      <w:r w:rsidRPr="002A6F4E">
        <w:rPr>
          <w:rFonts w:ascii="Arial" w:eastAsia="TimesNewRomanPSMT" w:hAnsi="Arial" w:cs="Arial"/>
          <w:color w:val="000000"/>
          <w:lang w:val="hr-HR"/>
        </w:rPr>
        <w:t>ćuju se na račun Fonda za zaštitu životne sredine</w:t>
      </w:r>
      <w:r w:rsidR="00611C03">
        <w:rPr>
          <w:rFonts w:ascii="Arial" w:eastAsia="TimesNewRomanPSMT" w:hAnsi="Arial" w:cs="Arial"/>
          <w:color w:val="000000"/>
          <w:lang w:val="hr-HR"/>
        </w:rPr>
        <w:t xml:space="preserve"> Crne Gore</w:t>
      </w:r>
      <w:r w:rsidRPr="002A6F4E">
        <w:rPr>
          <w:rFonts w:ascii="Arial" w:eastAsia="TimesNewRomanPSMT" w:hAnsi="Arial" w:cs="Arial"/>
          <w:color w:val="000000"/>
          <w:lang w:val="hr-HR"/>
        </w:rPr>
        <w:t xml:space="preserve"> i mogu se koristiti samo za finansiranje i sufinansiranje aktivnosti podizanja</w:t>
      </w:r>
      <w:r w:rsidR="00A451B3">
        <w:rPr>
          <w:rFonts w:ascii="Arial" w:eastAsia="TimesNewRomanPSMT" w:hAnsi="Arial" w:cs="Arial"/>
          <w:color w:val="000000"/>
          <w:lang w:val="hr-HR"/>
        </w:rPr>
        <w:t xml:space="preserve"> </w:t>
      </w:r>
      <w:r w:rsidRPr="002A6F4E">
        <w:rPr>
          <w:rFonts w:ascii="Arial" w:hAnsi="Arial" w:cs="Arial"/>
          <w:color w:val="000000"/>
          <w:lang w:val="hr-HR"/>
        </w:rPr>
        <w:t>svij</w:t>
      </w:r>
      <w:r w:rsidRPr="002A6F4E">
        <w:rPr>
          <w:rFonts w:ascii="Arial" w:eastAsia="TimesNewRomanPSMT" w:hAnsi="Arial" w:cs="Arial"/>
          <w:color w:val="000000"/>
          <w:lang w:val="hr-HR"/>
        </w:rPr>
        <w:t>esti i informisanja javnosti i kampanjama o uticaju upotrebe plastičnih kesa na životnu sredin</w:t>
      </w:r>
      <w:r w:rsidRPr="002A6F4E">
        <w:rPr>
          <w:rFonts w:ascii="Arial" w:hAnsi="Arial" w:cs="Arial"/>
          <w:color w:val="000000"/>
          <w:lang w:val="hr-HR"/>
        </w:rPr>
        <w:t>u.</w:t>
      </w:r>
    </w:p>
    <w:p w14:paraId="316F4183" w14:textId="77777777" w:rsidR="006C693A" w:rsidRPr="002A6F4E" w:rsidRDefault="006C693A" w:rsidP="006C693A">
      <w:pPr>
        <w:autoSpaceDE w:val="0"/>
        <w:autoSpaceDN w:val="0"/>
        <w:adjustRightInd w:val="0"/>
        <w:spacing w:line="360" w:lineRule="auto"/>
        <w:rPr>
          <w:rFonts w:ascii="Arial" w:hAnsi="Arial" w:cs="Arial"/>
          <w:lang w:val="hr-HR"/>
        </w:rPr>
      </w:pPr>
    </w:p>
    <w:p w14:paraId="14311031" w14:textId="268C2A0C" w:rsidR="006C693A" w:rsidRPr="002A6F4E" w:rsidRDefault="006C693A" w:rsidP="006C693A">
      <w:pPr>
        <w:autoSpaceDE w:val="0"/>
        <w:autoSpaceDN w:val="0"/>
        <w:adjustRightInd w:val="0"/>
        <w:spacing w:line="360" w:lineRule="auto"/>
        <w:rPr>
          <w:rFonts w:ascii="Arial" w:hAnsi="Arial" w:cs="Arial"/>
          <w:lang w:val="hr-HR"/>
        </w:rPr>
      </w:pPr>
      <w:r w:rsidRPr="002A6F4E">
        <w:rPr>
          <w:rFonts w:ascii="Arial" w:hAnsi="Arial" w:cs="Arial"/>
          <w:lang w:val="hr-HR"/>
        </w:rPr>
        <w:t>Kvalitetno, pravovremeno i konkretno info</w:t>
      </w:r>
      <w:r w:rsidR="004F2AEF">
        <w:rPr>
          <w:rFonts w:ascii="Arial" w:hAnsi="Arial" w:cs="Arial"/>
          <w:lang w:val="hr-HR"/>
        </w:rPr>
        <w:t>r</w:t>
      </w:r>
      <w:r w:rsidRPr="002A6F4E">
        <w:rPr>
          <w:rFonts w:ascii="Arial" w:hAnsi="Arial" w:cs="Arial"/>
          <w:lang w:val="hr-HR"/>
        </w:rPr>
        <w:t>misanje građana, mora da prati i obrazovanje o održivom upravljanju otpadom, prevencije nastanka i mogućnostima ponovne upotrebe otpad</w:t>
      </w:r>
      <w:r w:rsidR="00A55A8D">
        <w:rPr>
          <w:rFonts w:ascii="Arial" w:hAnsi="Arial" w:cs="Arial"/>
          <w:lang w:val="hr-HR"/>
        </w:rPr>
        <w:t>a</w:t>
      </w:r>
      <w:r w:rsidRPr="002A6F4E">
        <w:rPr>
          <w:rFonts w:ascii="Arial" w:hAnsi="Arial" w:cs="Arial"/>
          <w:lang w:val="hr-HR"/>
        </w:rPr>
        <w:t>, kako bi se spriječile neželjene situacije</w:t>
      </w:r>
      <w:r w:rsidR="00A55A8D">
        <w:rPr>
          <w:rFonts w:ascii="Arial" w:hAnsi="Arial" w:cs="Arial"/>
          <w:lang w:val="hr-HR"/>
        </w:rPr>
        <w:t>.</w:t>
      </w:r>
    </w:p>
    <w:p w14:paraId="3946D3DC" w14:textId="77777777" w:rsidR="006C693A" w:rsidRPr="002A6F4E" w:rsidRDefault="006C693A" w:rsidP="006C693A">
      <w:pPr>
        <w:autoSpaceDE w:val="0"/>
        <w:autoSpaceDN w:val="0"/>
        <w:adjustRightInd w:val="0"/>
        <w:spacing w:line="360" w:lineRule="auto"/>
        <w:rPr>
          <w:rFonts w:ascii="Arial" w:hAnsi="Arial" w:cs="Arial"/>
          <w:lang w:val="hr-HR"/>
        </w:rPr>
      </w:pPr>
    </w:p>
    <w:p w14:paraId="6D3A7144" w14:textId="0AE64C75" w:rsidR="006C693A" w:rsidRPr="002A6F4E" w:rsidRDefault="006C693A" w:rsidP="006C693A">
      <w:pPr>
        <w:autoSpaceDE w:val="0"/>
        <w:autoSpaceDN w:val="0"/>
        <w:adjustRightInd w:val="0"/>
        <w:spacing w:line="360" w:lineRule="auto"/>
        <w:rPr>
          <w:rFonts w:ascii="Arial" w:hAnsi="Arial" w:cs="Arial"/>
          <w:lang w:val="hr-HR"/>
        </w:rPr>
      </w:pPr>
      <w:r w:rsidRPr="002A6F4E">
        <w:rPr>
          <w:rFonts w:ascii="Arial" w:hAnsi="Arial" w:cs="Arial"/>
          <w:lang w:val="hr-HR"/>
        </w:rPr>
        <w:t xml:space="preserve">Zato je potrebna podrška obrazovnog sistema kroz realizaciju akreditovanih programa za stručno usavršavanje nastavnog kadra, kako bi </w:t>
      </w:r>
      <w:r w:rsidR="00A55A8D">
        <w:rPr>
          <w:rFonts w:ascii="Arial" w:hAnsi="Arial" w:cs="Arial"/>
          <w:lang w:val="hr-HR"/>
        </w:rPr>
        <w:t xml:space="preserve">njihovom </w:t>
      </w:r>
      <w:r w:rsidRPr="002A6F4E">
        <w:rPr>
          <w:rFonts w:ascii="Arial" w:hAnsi="Arial" w:cs="Arial"/>
          <w:lang w:val="hr-HR"/>
        </w:rPr>
        <w:t>edukacijom obezbijedili uslove za  bolje razumijevanje problematike</w:t>
      </w:r>
      <w:r w:rsidR="00A55A8D">
        <w:rPr>
          <w:rFonts w:ascii="Arial" w:hAnsi="Arial" w:cs="Arial"/>
          <w:lang w:val="hr-HR"/>
        </w:rPr>
        <w:t>,</w:t>
      </w:r>
      <w:r w:rsidRPr="002A6F4E">
        <w:rPr>
          <w:rFonts w:ascii="Arial" w:hAnsi="Arial" w:cs="Arial"/>
          <w:lang w:val="hr-HR"/>
        </w:rPr>
        <w:t xml:space="preserve"> počev od najmlađih. </w:t>
      </w:r>
    </w:p>
    <w:p w14:paraId="76182F71" w14:textId="77777777" w:rsidR="006C693A" w:rsidRPr="002A6F4E" w:rsidRDefault="006C693A" w:rsidP="006C693A">
      <w:pPr>
        <w:autoSpaceDE w:val="0"/>
        <w:autoSpaceDN w:val="0"/>
        <w:adjustRightInd w:val="0"/>
        <w:spacing w:line="360" w:lineRule="auto"/>
        <w:rPr>
          <w:rFonts w:ascii="Arial" w:hAnsi="Arial" w:cs="Arial"/>
          <w:lang w:val="hr-HR"/>
        </w:rPr>
      </w:pPr>
    </w:p>
    <w:p w14:paraId="09995AF4" w14:textId="64836A79" w:rsidR="006C693A" w:rsidRPr="002A6F4E" w:rsidRDefault="006C693A" w:rsidP="006C693A">
      <w:pPr>
        <w:autoSpaceDE w:val="0"/>
        <w:autoSpaceDN w:val="0"/>
        <w:adjustRightInd w:val="0"/>
        <w:spacing w:line="360" w:lineRule="auto"/>
        <w:rPr>
          <w:rFonts w:ascii="Arial" w:hAnsi="Arial" w:cs="Arial"/>
          <w:lang w:val="hr-HR"/>
        </w:rPr>
      </w:pPr>
      <w:r w:rsidRPr="002A6F4E">
        <w:rPr>
          <w:rFonts w:ascii="Arial" w:hAnsi="Arial" w:cs="Arial"/>
          <w:lang w:val="hr-HR"/>
        </w:rPr>
        <w:t xml:space="preserve">Kada je univerzitetska zajednica u pitanju potrebno je motivisati studente koji za završne radove imaju teme iz oblasti upravljanja otpadom </w:t>
      </w:r>
      <w:r w:rsidRPr="008C2ABC">
        <w:rPr>
          <w:rFonts w:ascii="Arial" w:hAnsi="Arial" w:cs="Arial"/>
          <w:lang w:val="hr-HR"/>
        </w:rPr>
        <w:t>i komunalnim otpadnim vodama</w:t>
      </w:r>
      <w:r w:rsidRPr="002A6F4E">
        <w:rPr>
          <w:rFonts w:ascii="Arial" w:hAnsi="Arial" w:cs="Arial"/>
          <w:lang w:val="hr-HR"/>
        </w:rPr>
        <w:t>, da upoznaju javnost sa njima i na taj način utiču na primjenu pozitivnih praksi.</w:t>
      </w:r>
    </w:p>
    <w:p w14:paraId="209881EB" w14:textId="77777777" w:rsidR="00927A6A" w:rsidRPr="002A6F4E" w:rsidRDefault="00927A6A" w:rsidP="006C693A">
      <w:pPr>
        <w:autoSpaceDE w:val="0"/>
        <w:autoSpaceDN w:val="0"/>
        <w:adjustRightInd w:val="0"/>
        <w:spacing w:line="360" w:lineRule="auto"/>
        <w:rPr>
          <w:rFonts w:ascii="Arial" w:hAnsi="Arial" w:cs="Arial"/>
          <w:lang w:val="hr-HR"/>
        </w:rPr>
      </w:pPr>
    </w:p>
    <w:p w14:paraId="5B42EDA6" w14:textId="4246F6C2" w:rsidR="006C693A" w:rsidRPr="002A6F4E" w:rsidRDefault="006C693A" w:rsidP="006C693A">
      <w:pPr>
        <w:autoSpaceDE w:val="0"/>
        <w:autoSpaceDN w:val="0"/>
        <w:adjustRightInd w:val="0"/>
        <w:spacing w:line="360" w:lineRule="auto"/>
        <w:rPr>
          <w:rFonts w:ascii="Arial" w:hAnsi="Arial" w:cs="Arial"/>
          <w:lang w:val="sr-Latn-ME"/>
        </w:rPr>
      </w:pPr>
      <w:r w:rsidRPr="002A6F4E">
        <w:rPr>
          <w:rFonts w:ascii="Arial" w:hAnsi="Arial" w:cs="Arial"/>
          <w:lang w:val="hr-HR"/>
        </w:rPr>
        <w:t>I vaninstitucionalni edukativni prostori, kakvo je cjeloživotno obrazovanje, otvaraju mogućnost i za teško zapošljive kategorije, da se kroz npr. revital</w:t>
      </w:r>
      <w:r w:rsidR="000B6C76">
        <w:rPr>
          <w:rFonts w:ascii="Arial" w:hAnsi="Arial" w:cs="Arial"/>
          <w:lang w:val="hr-HR"/>
        </w:rPr>
        <w:t>i</w:t>
      </w:r>
      <w:r w:rsidRPr="002A6F4E">
        <w:rPr>
          <w:rFonts w:ascii="Arial" w:hAnsi="Arial" w:cs="Arial"/>
          <w:lang w:val="hr-HR"/>
        </w:rPr>
        <w:t xml:space="preserve">zaciju starih zanata i umjetnički izražaj dostignu ciljevi </w:t>
      </w:r>
      <w:r w:rsidRPr="002A6F4E">
        <w:rPr>
          <w:rFonts w:ascii="Arial" w:hAnsi="Arial" w:cs="Arial"/>
          <w:lang w:val="hr-HR"/>
        </w:rPr>
        <w:lastRenderedPageBreak/>
        <w:t>recikl</w:t>
      </w:r>
      <w:r w:rsidR="00A90E58">
        <w:rPr>
          <w:rFonts w:ascii="Arial" w:hAnsi="Arial" w:cs="Arial"/>
          <w:lang w:val="hr-HR"/>
        </w:rPr>
        <w:t>iranja</w:t>
      </w:r>
      <w:r w:rsidRPr="002A6F4E">
        <w:rPr>
          <w:rFonts w:ascii="Arial" w:hAnsi="Arial" w:cs="Arial"/>
          <w:lang w:val="hr-HR"/>
        </w:rPr>
        <w:t>. Kabasti i stakleni otpad imaju potencijal da se kroz ponovnu upotrebu obezb</w:t>
      </w:r>
      <w:r w:rsidR="000B6C76">
        <w:rPr>
          <w:rFonts w:ascii="Arial" w:hAnsi="Arial" w:cs="Arial"/>
          <w:lang w:val="hr-HR"/>
        </w:rPr>
        <w:t>i</w:t>
      </w:r>
      <w:r w:rsidRPr="002A6F4E">
        <w:rPr>
          <w:rFonts w:ascii="Arial" w:hAnsi="Arial" w:cs="Arial"/>
          <w:lang w:val="hr-HR"/>
        </w:rPr>
        <w:t xml:space="preserve">jedi i unikatnost, </w:t>
      </w:r>
      <w:r w:rsidRPr="002A6F4E">
        <w:rPr>
          <w:rFonts w:ascii="Arial" w:hAnsi="Arial" w:cs="Arial"/>
          <w:lang w:val="sr-Latn-ME"/>
        </w:rPr>
        <w:t>čime se dobija na vrijednosti.</w:t>
      </w:r>
    </w:p>
    <w:p w14:paraId="31A3DD2F" w14:textId="77777777" w:rsidR="006C693A" w:rsidRPr="002A6F4E" w:rsidRDefault="006C693A" w:rsidP="006C693A">
      <w:pPr>
        <w:autoSpaceDE w:val="0"/>
        <w:autoSpaceDN w:val="0"/>
        <w:adjustRightInd w:val="0"/>
        <w:spacing w:line="360" w:lineRule="auto"/>
        <w:rPr>
          <w:rFonts w:ascii="Arial" w:hAnsi="Arial" w:cs="Arial"/>
          <w:lang w:val="sr-Latn-ME"/>
        </w:rPr>
      </w:pPr>
    </w:p>
    <w:p w14:paraId="766932C8" w14:textId="1DEA2C04" w:rsidR="006C693A" w:rsidRPr="002A6F4E" w:rsidRDefault="006C693A" w:rsidP="006C693A">
      <w:pPr>
        <w:autoSpaceDE w:val="0"/>
        <w:autoSpaceDN w:val="0"/>
        <w:adjustRightInd w:val="0"/>
        <w:spacing w:line="360" w:lineRule="auto"/>
        <w:rPr>
          <w:rFonts w:ascii="Arial" w:hAnsi="Arial" w:cs="Arial"/>
          <w:lang w:val="sr-Latn-ME"/>
        </w:rPr>
      </w:pPr>
      <w:r w:rsidRPr="002A6F4E">
        <w:rPr>
          <w:rFonts w:ascii="Arial" w:hAnsi="Arial" w:cs="Arial"/>
          <w:lang w:val="sr-Latn-ME"/>
        </w:rPr>
        <w:t>Poseban akcenat u informisanju i obrazovanju javnosti treba staviti i na proces evrop</w:t>
      </w:r>
      <w:r w:rsidR="008E190F">
        <w:rPr>
          <w:rFonts w:ascii="Arial" w:hAnsi="Arial" w:cs="Arial"/>
          <w:lang w:val="sr-Latn-ME"/>
        </w:rPr>
        <w:t>s</w:t>
      </w:r>
      <w:r w:rsidRPr="002A6F4E">
        <w:rPr>
          <w:rFonts w:ascii="Arial" w:hAnsi="Arial" w:cs="Arial"/>
          <w:lang w:val="sr-Latn-ME"/>
        </w:rPr>
        <w:t>kih integracija, kada je oblast upravljanja otpadom u pitanju, jer se od građana očekuje da spremno prihvate standarde i prakse zemalja članica Evropske Unije.</w:t>
      </w:r>
    </w:p>
    <w:p w14:paraId="3EC29BD6" w14:textId="77777777" w:rsidR="006C693A" w:rsidRPr="002A6F4E" w:rsidRDefault="006C693A" w:rsidP="006C693A">
      <w:pPr>
        <w:autoSpaceDE w:val="0"/>
        <w:autoSpaceDN w:val="0"/>
        <w:adjustRightInd w:val="0"/>
        <w:spacing w:line="360" w:lineRule="auto"/>
        <w:rPr>
          <w:rFonts w:ascii="Arial" w:hAnsi="Arial" w:cs="Arial"/>
          <w:lang w:val="sr-Latn-ME"/>
        </w:rPr>
      </w:pPr>
    </w:p>
    <w:p w14:paraId="4AE12560" w14:textId="77F2D552" w:rsidR="006C693A" w:rsidRPr="002A6F4E" w:rsidRDefault="006C693A" w:rsidP="006C693A">
      <w:pPr>
        <w:autoSpaceDE w:val="0"/>
        <w:autoSpaceDN w:val="0"/>
        <w:adjustRightInd w:val="0"/>
        <w:spacing w:line="360" w:lineRule="auto"/>
        <w:rPr>
          <w:rFonts w:ascii="Arial" w:hAnsi="Arial" w:cs="Arial"/>
          <w:lang w:val="sr-Latn-ME"/>
        </w:rPr>
      </w:pPr>
      <w:r w:rsidRPr="002A6F4E">
        <w:rPr>
          <w:rFonts w:ascii="Arial" w:hAnsi="Arial" w:cs="Arial"/>
          <w:lang w:val="sr-Latn-ME"/>
        </w:rPr>
        <w:t>Imajući u vidu važnost komunalnih preduzeća u uspostavljanju održivog sistema otpada u lokalnim zajednicama i činjenicu da su njihovi osnivači lokalne samouprave, potrebno je javnost upoznati sa njihovim radom, izazovima sa kojima se svakodnevno susr</w:t>
      </w:r>
      <w:r w:rsidR="001F6816">
        <w:rPr>
          <w:rFonts w:ascii="Arial" w:hAnsi="Arial" w:cs="Arial"/>
          <w:lang w:val="sr-Latn-ME"/>
        </w:rPr>
        <w:t>ij</w:t>
      </w:r>
      <w:r w:rsidRPr="002A6F4E">
        <w:rPr>
          <w:rFonts w:ascii="Arial" w:hAnsi="Arial" w:cs="Arial"/>
          <w:lang w:val="sr-Latn-ME"/>
        </w:rPr>
        <w:t>eću, važnosti njihovog poslovanja za kvalitet životne sredine, kako bi građani shvatili da nijesu samo korisnici njihovih usluga</w:t>
      </w:r>
      <w:r w:rsidR="001F6816">
        <w:rPr>
          <w:rFonts w:ascii="Arial" w:hAnsi="Arial" w:cs="Arial"/>
          <w:lang w:val="sr-Latn-ME"/>
        </w:rPr>
        <w:t>,</w:t>
      </w:r>
      <w:r w:rsidRPr="002A6F4E">
        <w:rPr>
          <w:rFonts w:ascii="Arial" w:hAnsi="Arial" w:cs="Arial"/>
          <w:lang w:val="sr-Latn-ME"/>
        </w:rPr>
        <w:t xml:space="preserve"> već i </w:t>
      </w:r>
      <w:r w:rsidR="001F6816">
        <w:rPr>
          <w:rFonts w:ascii="Arial" w:hAnsi="Arial" w:cs="Arial"/>
          <w:lang w:val="sr-Latn-ME"/>
        </w:rPr>
        <w:t>aktivni učesnici</w:t>
      </w:r>
      <w:r w:rsidRPr="002A6F4E">
        <w:rPr>
          <w:rFonts w:ascii="Arial" w:hAnsi="Arial" w:cs="Arial"/>
          <w:lang w:val="sr-Latn-ME"/>
        </w:rPr>
        <w:t>, čime bi se uticalo na buđenje solidarnosti i veću odgovornost u praksi.</w:t>
      </w:r>
    </w:p>
    <w:p w14:paraId="3A63BC67" w14:textId="02813BB0" w:rsidR="006C693A" w:rsidRPr="002A6F4E" w:rsidRDefault="006C693A" w:rsidP="006C693A">
      <w:pPr>
        <w:autoSpaceDE w:val="0"/>
        <w:autoSpaceDN w:val="0"/>
        <w:adjustRightInd w:val="0"/>
        <w:spacing w:line="360" w:lineRule="auto"/>
        <w:rPr>
          <w:rFonts w:ascii="Arial" w:hAnsi="Arial" w:cs="Arial"/>
          <w:lang w:val="sr-Latn-ME"/>
        </w:rPr>
      </w:pPr>
      <w:r w:rsidRPr="002A6F4E">
        <w:rPr>
          <w:rFonts w:ascii="Arial" w:hAnsi="Arial" w:cs="Arial"/>
          <w:lang w:val="sr-Latn-ME"/>
        </w:rPr>
        <w:t xml:space="preserve">Kao strateške ciljeve uključivanja javnosti u proces implementacije DPUO prepoznaje: </w:t>
      </w:r>
    </w:p>
    <w:p w14:paraId="1F3F7DCF" w14:textId="77777777" w:rsidR="006C693A" w:rsidRPr="002A6F4E" w:rsidRDefault="006C693A" w:rsidP="00A23ED0">
      <w:pPr>
        <w:pStyle w:val="ListParagraph"/>
        <w:numPr>
          <w:ilvl w:val="0"/>
          <w:numId w:val="114"/>
        </w:numPr>
        <w:autoSpaceDE w:val="0"/>
        <w:autoSpaceDN w:val="0"/>
        <w:adjustRightInd w:val="0"/>
        <w:spacing w:line="360" w:lineRule="auto"/>
        <w:rPr>
          <w:rFonts w:ascii="Arial" w:hAnsi="Arial" w:cs="Arial"/>
          <w:lang w:val="sr-Latn-ME"/>
        </w:rPr>
      </w:pPr>
      <w:r w:rsidRPr="002A6F4E">
        <w:rPr>
          <w:rFonts w:ascii="Arial" w:hAnsi="Arial" w:cs="Arial"/>
          <w:lang w:val="sr-Latn-ME"/>
        </w:rPr>
        <w:t>Povećanje svijesti javnosti o pojedinačnoj odgovornosti u sistemu upravljanja otpadom, mogućnostima učešća u procesu donošenja odluka, sa akcentom na lokalne planove upravljanja otpadom,</w:t>
      </w:r>
    </w:p>
    <w:p w14:paraId="61CA1F20" w14:textId="2BE71D9F" w:rsidR="006C693A" w:rsidRPr="002A6F4E" w:rsidRDefault="006C693A" w:rsidP="00A23ED0">
      <w:pPr>
        <w:pStyle w:val="ListParagraph"/>
        <w:numPr>
          <w:ilvl w:val="0"/>
          <w:numId w:val="114"/>
        </w:numPr>
        <w:autoSpaceDE w:val="0"/>
        <w:autoSpaceDN w:val="0"/>
        <w:adjustRightInd w:val="0"/>
        <w:spacing w:line="360" w:lineRule="auto"/>
        <w:rPr>
          <w:rFonts w:ascii="Arial" w:hAnsi="Arial" w:cs="Arial"/>
          <w:lang w:val="sr-Latn-ME"/>
        </w:rPr>
      </w:pPr>
      <w:r w:rsidRPr="002A6F4E">
        <w:rPr>
          <w:rFonts w:ascii="Arial" w:hAnsi="Arial" w:cs="Arial"/>
          <w:lang w:val="sr-Latn-ME"/>
        </w:rPr>
        <w:t xml:space="preserve">Upoznavanje javnosti sa postojećom infrastrukturom za </w:t>
      </w:r>
      <w:r w:rsidR="0019052B" w:rsidRPr="002A6F4E">
        <w:rPr>
          <w:rFonts w:ascii="Arial" w:hAnsi="Arial" w:cs="Arial"/>
          <w:lang w:val="sr-Latn-ME"/>
        </w:rPr>
        <w:t xml:space="preserve">sakupljanje otpada </w:t>
      </w:r>
      <w:r w:rsidR="0019052B">
        <w:rPr>
          <w:rFonts w:ascii="Arial" w:hAnsi="Arial" w:cs="Arial"/>
          <w:lang w:val="sr-Latn-ME"/>
        </w:rPr>
        <w:t xml:space="preserve">i </w:t>
      </w:r>
      <w:r w:rsidR="00252D6C">
        <w:rPr>
          <w:rFonts w:ascii="Arial" w:hAnsi="Arial" w:cs="Arial"/>
          <w:lang w:val="sr-Latn-ME"/>
        </w:rPr>
        <w:t xml:space="preserve">odstranjivanje </w:t>
      </w:r>
      <w:r w:rsidRPr="002A6F4E">
        <w:rPr>
          <w:rFonts w:ascii="Arial" w:hAnsi="Arial" w:cs="Arial"/>
          <w:lang w:val="sr-Latn-ME"/>
        </w:rPr>
        <w:t xml:space="preserve"> u lokalnim zajednicama, dinami</w:t>
      </w:r>
      <w:r w:rsidR="00787EE8">
        <w:rPr>
          <w:rFonts w:ascii="Arial" w:hAnsi="Arial" w:cs="Arial"/>
          <w:lang w:val="sr-Latn-ME"/>
        </w:rPr>
        <w:t>kom</w:t>
      </w:r>
      <w:r w:rsidRPr="002A6F4E">
        <w:rPr>
          <w:rFonts w:ascii="Arial" w:hAnsi="Arial" w:cs="Arial"/>
          <w:lang w:val="sr-Latn-ME"/>
        </w:rPr>
        <w:t xml:space="preserve"> odvoženja otpada i modelima saradnje sa komunalnim preduzećima</w:t>
      </w:r>
      <w:r w:rsidR="00787EE8">
        <w:rPr>
          <w:rFonts w:ascii="Arial" w:hAnsi="Arial" w:cs="Arial"/>
          <w:lang w:val="sr-Latn-ME"/>
        </w:rPr>
        <w:t>,</w:t>
      </w:r>
    </w:p>
    <w:p w14:paraId="2218FFEB" w14:textId="31B1C832" w:rsidR="006C693A" w:rsidRPr="002A6F4E" w:rsidRDefault="006C693A" w:rsidP="00A23ED0">
      <w:pPr>
        <w:pStyle w:val="ListParagraph"/>
        <w:numPr>
          <w:ilvl w:val="0"/>
          <w:numId w:val="114"/>
        </w:numPr>
        <w:autoSpaceDE w:val="0"/>
        <w:autoSpaceDN w:val="0"/>
        <w:adjustRightInd w:val="0"/>
        <w:spacing w:line="360" w:lineRule="auto"/>
        <w:rPr>
          <w:rFonts w:ascii="Arial" w:hAnsi="Arial" w:cs="Arial"/>
          <w:lang w:val="sr-Latn-ME"/>
        </w:rPr>
      </w:pPr>
      <w:r w:rsidRPr="002A6F4E">
        <w:rPr>
          <w:rFonts w:ascii="Arial" w:hAnsi="Arial" w:cs="Arial"/>
          <w:lang w:val="sr-Latn-ME"/>
        </w:rPr>
        <w:t>Promovisanje načina prevencije i smanjen</w:t>
      </w:r>
      <w:r w:rsidR="00691105">
        <w:rPr>
          <w:rFonts w:ascii="Arial" w:hAnsi="Arial" w:cs="Arial"/>
          <w:lang w:val="sr-Latn-ME"/>
        </w:rPr>
        <w:t>j</w:t>
      </w:r>
      <w:r w:rsidRPr="002A6F4E">
        <w:rPr>
          <w:rFonts w:ascii="Arial" w:hAnsi="Arial" w:cs="Arial"/>
          <w:lang w:val="sr-Latn-ME"/>
        </w:rPr>
        <w:t>a stvaranja otpada u domaćinstvima  i mogućnostima benefita od reciklaže</w:t>
      </w:r>
      <w:r w:rsidR="00787EE8">
        <w:rPr>
          <w:rFonts w:ascii="Arial" w:hAnsi="Arial" w:cs="Arial"/>
          <w:lang w:val="sr-Latn-ME"/>
        </w:rPr>
        <w:t>,</w:t>
      </w:r>
    </w:p>
    <w:p w14:paraId="341EA66D" w14:textId="2064EB71" w:rsidR="006C693A" w:rsidRPr="002A6F4E" w:rsidRDefault="006C693A" w:rsidP="00A23ED0">
      <w:pPr>
        <w:pStyle w:val="ListParagraph"/>
        <w:numPr>
          <w:ilvl w:val="0"/>
          <w:numId w:val="114"/>
        </w:numPr>
        <w:autoSpaceDE w:val="0"/>
        <w:autoSpaceDN w:val="0"/>
        <w:adjustRightInd w:val="0"/>
        <w:spacing w:line="360" w:lineRule="auto"/>
        <w:rPr>
          <w:rFonts w:ascii="Arial" w:hAnsi="Arial" w:cs="Arial"/>
          <w:lang w:val="sr-Latn-ME"/>
        </w:rPr>
      </w:pPr>
      <w:r w:rsidRPr="002A6F4E">
        <w:rPr>
          <w:rFonts w:ascii="Arial" w:hAnsi="Arial" w:cs="Arial"/>
          <w:lang w:val="sr-Latn-ME"/>
        </w:rPr>
        <w:t>Uvođenje u obrazovni sistem programa za stručno usavršavanje nastavnika</w:t>
      </w:r>
      <w:r w:rsidR="00691105">
        <w:rPr>
          <w:rFonts w:ascii="Arial" w:hAnsi="Arial" w:cs="Arial"/>
          <w:lang w:val="sr-Latn-ME"/>
        </w:rPr>
        <w:t xml:space="preserve"> u oblasti </w:t>
      </w:r>
      <w:r w:rsidRPr="002A6F4E">
        <w:rPr>
          <w:rFonts w:ascii="Arial" w:hAnsi="Arial" w:cs="Arial"/>
          <w:lang w:val="sr-Latn-ME"/>
        </w:rPr>
        <w:t>održivo</w:t>
      </w:r>
      <w:r w:rsidR="00691105">
        <w:rPr>
          <w:rFonts w:ascii="Arial" w:hAnsi="Arial" w:cs="Arial"/>
          <w:lang w:val="sr-Latn-ME"/>
        </w:rPr>
        <w:t>g</w:t>
      </w:r>
      <w:r w:rsidRPr="002A6F4E">
        <w:rPr>
          <w:rFonts w:ascii="Arial" w:hAnsi="Arial" w:cs="Arial"/>
          <w:lang w:val="sr-Latn-ME"/>
        </w:rPr>
        <w:t xml:space="preserve"> način</w:t>
      </w:r>
      <w:r w:rsidR="00691105">
        <w:rPr>
          <w:rFonts w:ascii="Arial" w:hAnsi="Arial" w:cs="Arial"/>
          <w:lang w:val="sr-Latn-ME"/>
        </w:rPr>
        <w:t>a</w:t>
      </w:r>
      <w:r w:rsidRPr="002A6F4E">
        <w:rPr>
          <w:rFonts w:ascii="Arial" w:hAnsi="Arial" w:cs="Arial"/>
          <w:lang w:val="sr-Latn-ME"/>
        </w:rPr>
        <w:t xml:space="preserve"> upravljanja otpadom, kao i podrška vaninstitucionalnom ob</w:t>
      </w:r>
      <w:r w:rsidR="00691105">
        <w:rPr>
          <w:rFonts w:ascii="Arial" w:hAnsi="Arial" w:cs="Arial"/>
          <w:lang w:val="sr-Latn-ME"/>
        </w:rPr>
        <w:t>r</w:t>
      </w:r>
      <w:r w:rsidRPr="002A6F4E">
        <w:rPr>
          <w:rFonts w:ascii="Arial" w:hAnsi="Arial" w:cs="Arial"/>
          <w:lang w:val="sr-Latn-ME"/>
        </w:rPr>
        <w:t>azovanju za programe i obuke koje imaju za cilj ponovnu upotrebu otpada</w:t>
      </w:r>
      <w:r w:rsidR="00787EE8">
        <w:rPr>
          <w:rFonts w:ascii="Arial" w:hAnsi="Arial" w:cs="Arial"/>
          <w:lang w:val="sr-Latn-ME"/>
        </w:rPr>
        <w:t>,</w:t>
      </w:r>
    </w:p>
    <w:p w14:paraId="2CA9CD64" w14:textId="2403AF21" w:rsidR="006C693A" w:rsidRPr="002A6F4E" w:rsidRDefault="00691105" w:rsidP="00A23ED0">
      <w:pPr>
        <w:pStyle w:val="ListParagraph"/>
        <w:numPr>
          <w:ilvl w:val="0"/>
          <w:numId w:val="114"/>
        </w:numPr>
        <w:autoSpaceDE w:val="0"/>
        <w:autoSpaceDN w:val="0"/>
        <w:adjustRightInd w:val="0"/>
        <w:spacing w:line="360" w:lineRule="auto"/>
        <w:rPr>
          <w:rFonts w:ascii="Arial" w:hAnsi="Arial" w:cs="Arial"/>
          <w:lang w:val="sr-Latn-ME"/>
        </w:rPr>
      </w:pPr>
      <w:r>
        <w:rPr>
          <w:rFonts w:ascii="Arial" w:hAnsi="Arial" w:cs="Arial"/>
          <w:lang w:val="sr-Latn-ME"/>
        </w:rPr>
        <w:t>Informisanje</w:t>
      </w:r>
      <w:r w:rsidR="006C693A" w:rsidRPr="002A6F4E">
        <w:rPr>
          <w:rFonts w:ascii="Arial" w:hAnsi="Arial" w:cs="Arial"/>
          <w:lang w:val="sr-Latn-ME"/>
        </w:rPr>
        <w:t xml:space="preserve"> javnosti </w:t>
      </w:r>
      <w:r>
        <w:rPr>
          <w:rFonts w:ascii="Arial" w:hAnsi="Arial" w:cs="Arial"/>
          <w:lang w:val="sr-Latn-ME"/>
        </w:rPr>
        <w:t>o</w:t>
      </w:r>
      <w:r w:rsidR="006C693A" w:rsidRPr="002A6F4E">
        <w:rPr>
          <w:rFonts w:ascii="Arial" w:hAnsi="Arial" w:cs="Arial"/>
          <w:lang w:val="sr-Latn-ME"/>
        </w:rPr>
        <w:t xml:space="preserve"> obavezama države u kontekstu procesa evropskih integracija, kada je oblast upravljanja otpadom u pitanju i mogućnostim doprinosa u postizanju ciljeva recikl</w:t>
      </w:r>
      <w:r w:rsidR="00252D6C">
        <w:rPr>
          <w:rFonts w:ascii="Arial" w:hAnsi="Arial" w:cs="Arial"/>
          <w:lang w:val="sr-Latn-ME"/>
        </w:rPr>
        <w:t>iranja</w:t>
      </w:r>
      <w:r w:rsidR="00927A6A" w:rsidRPr="002A6F4E">
        <w:rPr>
          <w:rFonts w:ascii="Arial" w:hAnsi="Arial" w:cs="Arial"/>
          <w:lang w:val="sr-Latn-ME"/>
        </w:rPr>
        <w:t>.</w:t>
      </w:r>
    </w:p>
    <w:p w14:paraId="30153DEC" w14:textId="77777777" w:rsidR="00927A6A" w:rsidRPr="002A6F4E" w:rsidRDefault="00927A6A" w:rsidP="00927A6A">
      <w:pPr>
        <w:autoSpaceDE w:val="0"/>
        <w:autoSpaceDN w:val="0"/>
        <w:adjustRightInd w:val="0"/>
        <w:spacing w:line="360" w:lineRule="auto"/>
        <w:rPr>
          <w:rFonts w:ascii="Arial" w:hAnsi="Arial" w:cs="Arial"/>
          <w:lang w:val="sr-Latn-ME"/>
        </w:rPr>
      </w:pPr>
    </w:p>
    <w:p w14:paraId="09394B59" w14:textId="3C624D85" w:rsidR="006C693A" w:rsidRPr="002A6F4E" w:rsidRDefault="006C693A" w:rsidP="006C693A">
      <w:pPr>
        <w:autoSpaceDE w:val="0"/>
        <w:autoSpaceDN w:val="0"/>
        <w:adjustRightInd w:val="0"/>
        <w:spacing w:line="360" w:lineRule="auto"/>
        <w:rPr>
          <w:rFonts w:ascii="Arial" w:hAnsi="Arial" w:cs="Arial"/>
          <w:lang w:val="sr-Latn-ME"/>
        </w:rPr>
      </w:pPr>
      <w:r w:rsidRPr="002A6F4E">
        <w:rPr>
          <w:rFonts w:ascii="Arial" w:hAnsi="Arial" w:cs="Arial"/>
          <w:lang w:val="sr-Latn-ME"/>
        </w:rPr>
        <w:t xml:space="preserve">Navedeni strateški ciljevi biće ostvareni kroz javnu kampanju koja je dio akcionog plana, a koju će tokom implementacionog perioda DPUO kreirati i realizovati </w:t>
      </w:r>
      <w:bookmarkStart w:id="1485" w:name="_Hlk185941478"/>
      <w:r w:rsidR="00252D6C">
        <w:rPr>
          <w:rFonts w:ascii="Arial" w:hAnsi="Arial" w:cs="Arial"/>
          <w:lang w:val="sr-Latn-ME"/>
        </w:rPr>
        <w:t>MERS</w:t>
      </w:r>
      <w:r w:rsidRPr="002A6F4E">
        <w:rPr>
          <w:rFonts w:ascii="Arial" w:hAnsi="Arial" w:cs="Arial"/>
          <w:lang w:val="sr-Latn-ME"/>
        </w:rPr>
        <w:t xml:space="preserve"> </w:t>
      </w:r>
      <w:bookmarkEnd w:id="1485"/>
      <w:r w:rsidRPr="002A6F4E">
        <w:rPr>
          <w:rFonts w:ascii="Arial" w:hAnsi="Arial" w:cs="Arial"/>
          <w:lang w:val="sr-Latn-ME"/>
        </w:rPr>
        <w:t xml:space="preserve">sa relevantnim partnerima i civilnim društvom. </w:t>
      </w:r>
    </w:p>
    <w:p w14:paraId="760C5CE3" w14:textId="4CA04049" w:rsidR="006C693A" w:rsidRPr="002A6F4E" w:rsidRDefault="00B550DE" w:rsidP="006C693A">
      <w:pPr>
        <w:autoSpaceDE w:val="0"/>
        <w:autoSpaceDN w:val="0"/>
        <w:adjustRightInd w:val="0"/>
        <w:spacing w:line="360" w:lineRule="auto"/>
        <w:rPr>
          <w:rFonts w:ascii="Arial" w:hAnsi="Arial" w:cs="Arial"/>
          <w:lang w:val="sr-Latn-ME"/>
        </w:rPr>
      </w:pPr>
      <w:r>
        <w:rPr>
          <w:rFonts w:ascii="Arial" w:hAnsi="Arial" w:cs="Arial"/>
          <w:lang w:val="sr-Latn-ME"/>
        </w:rPr>
        <w:t>Edukativna</w:t>
      </w:r>
      <w:r w:rsidR="006C693A" w:rsidRPr="002A6F4E">
        <w:rPr>
          <w:rFonts w:ascii="Arial" w:hAnsi="Arial" w:cs="Arial"/>
          <w:lang w:val="sr-Latn-ME"/>
        </w:rPr>
        <w:t xml:space="preserve"> kampanja će biti posvećena i podsticanju javnog dijaloga kroz medijski prostor, čime će se stručnoj i laičkoj javnosti omogućiti da konstruktivnom kritikom, predlozima i inovativni</w:t>
      </w:r>
      <w:r>
        <w:rPr>
          <w:rFonts w:ascii="Arial" w:hAnsi="Arial" w:cs="Arial"/>
          <w:lang w:val="sr-Latn-ME"/>
        </w:rPr>
        <w:t>m</w:t>
      </w:r>
      <w:r w:rsidR="006C693A" w:rsidRPr="002A6F4E">
        <w:rPr>
          <w:rFonts w:ascii="Arial" w:hAnsi="Arial" w:cs="Arial"/>
          <w:lang w:val="sr-Latn-ME"/>
        </w:rPr>
        <w:t xml:space="preserve"> rješenjima utiču na uspostavljanje održivog sistema upravljanja otpadom.</w:t>
      </w:r>
    </w:p>
    <w:p w14:paraId="383A6CAE" w14:textId="77777777" w:rsidR="00927A6A" w:rsidRPr="002A6F4E" w:rsidRDefault="00927A6A" w:rsidP="006C693A">
      <w:pPr>
        <w:autoSpaceDE w:val="0"/>
        <w:autoSpaceDN w:val="0"/>
        <w:adjustRightInd w:val="0"/>
        <w:spacing w:line="360" w:lineRule="auto"/>
        <w:rPr>
          <w:rFonts w:ascii="Arial" w:hAnsi="Arial" w:cs="Arial"/>
          <w:lang w:val="sr-Latn-ME"/>
        </w:rPr>
      </w:pPr>
    </w:p>
    <w:p w14:paraId="53545C36" w14:textId="41B5F896" w:rsidR="006C693A" w:rsidRPr="002A6F4E" w:rsidRDefault="006C693A" w:rsidP="006C693A">
      <w:pPr>
        <w:autoSpaceDE w:val="0"/>
        <w:autoSpaceDN w:val="0"/>
        <w:adjustRightInd w:val="0"/>
        <w:spacing w:line="360" w:lineRule="auto"/>
        <w:rPr>
          <w:rFonts w:ascii="Arial" w:hAnsi="Arial" w:cs="Arial"/>
          <w:lang w:val="sr-Latn-ME"/>
        </w:rPr>
      </w:pPr>
      <w:r w:rsidRPr="002A6F4E">
        <w:rPr>
          <w:rFonts w:ascii="Arial" w:hAnsi="Arial" w:cs="Arial"/>
          <w:lang w:val="sr-Latn-ME"/>
        </w:rPr>
        <w:t>Veoma je važno da i jedinice lokalne samouprave kroz izradu i realizaciju lokalnih planova, daju do</w:t>
      </w:r>
      <w:r w:rsidR="00B550DE">
        <w:rPr>
          <w:rFonts w:ascii="Arial" w:hAnsi="Arial" w:cs="Arial"/>
          <w:lang w:val="sr-Latn-ME"/>
        </w:rPr>
        <w:t>pr</w:t>
      </w:r>
      <w:r w:rsidRPr="002A6F4E">
        <w:rPr>
          <w:rFonts w:ascii="Arial" w:hAnsi="Arial" w:cs="Arial"/>
          <w:lang w:val="sr-Latn-ME"/>
        </w:rPr>
        <w:t xml:space="preserve">inos vidljivosti kampanje, pa je potrebna  njihova stalna komunikacija sa </w:t>
      </w:r>
      <w:r w:rsidR="00252D6C">
        <w:rPr>
          <w:rFonts w:ascii="Arial" w:hAnsi="Arial" w:cs="Arial"/>
          <w:lang w:val="sr-Latn-ME"/>
        </w:rPr>
        <w:t>MERS</w:t>
      </w:r>
      <w:r w:rsidRPr="002A6F4E">
        <w:rPr>
          <w:rFonts w:ascii="Arial" w:hAnsi="Arial" w:cs="Arial"/>
          <w:lang w:val="sr-Latn-ME"/>
        </w:rPr>
        <w:t xml:space="preserve"> i A</w:t>
      </w:r>
      <w:r w:rsidR="00252D6C">
        <w:rPr>
          <w:rFonts w:ascii="Arial" w:hAnsi="Arial" w:cs="Arial"/>
          <w:lang w:val="sr-Latn-ME"/>
        </w:rPr>
        <w:t>ZŽS</w:t>
      </w:r>
      <w:r w:rsidR="00B550DE">
        <w:rPr>
          <w:rFonts w:ascii="Arial" w:hAnsi="Arial" w:cs="Arial"/>
          <w:lang w:val="sr-Latn-ME"/>
        </w:rPr>
        <w:t>.</w:t>
      </w:r>
    </w:p>
    <w:p w14:paraId="1ADEEAB1" w14:textId="77777777" w:rsidR="00927A6A" w:rsidRPr="002A6F4E" w:rsidRDefault="00927A6A" w:rsidP="006C693A">
      <w:pPr>
        <w:autoSpaceDE w:val="0"/>
        <w:autoSpaceDN w:val="0"/>
        <w:adjustRightInd w:val="0"/>
        <w:spacing w:line="360" w:lineRule="auto"/>
        <w:rPr>
          <w:rFonts w:ascii="Arial" w:hAnsi="Arial" w:cs="Arial"/>
          <w:lang w:val="sr-Latn-ME"/>
        </w:rPr>
      </w:pPr>
    </w:p>
    <w:p w14:paraId="6662653F" w14:textId="4F67EA7C" w:rsidR="006C693A" w:rsidRPr="002A6F4E" w:rsidRDefault="006C693A" w:rsidP="006C693A">
      <w:pPr>
        <w:autoSpaceDE w:val="0"/>
        <w:autoSpaceDN w:val="0"/>
        <w:adjustRightInd w:val="0"/>
        <w:spacing w:line="360" w:lineRule="auto"/>
        <w:rPr>
          <w:rFonts w:ascii="Arial" w:hAnsi="Arial" w:cs="Arial"/>
          <w:lang w:val="sr-Latn-ME"/>
        </w:rPr>
      </w:pPr>
      <w:r w:rsidRPr="002A6F4E">
        <w:rPr>
          <w:rFonts w:ascii="Arial" w:hAnsi="Arial" w:cs="Arial"/>
          <w:lang w:val="sr-Latn-ME"/>
        </w:rPr>
        <w:lastRenderedPageBreak/>
        <w:t>Kada je obrazovanje u pitanju, potrebno je upoznavanje relevantnih institucija, kao što su</w:t>
      </w:r>
      <w:r w:rsidR="00B550DE">
        <w:rPr>
          <w:rFonts w:ascii="Arial" w:hAnsi="Arial" w:cs="Arial"/>
          <w:lang w:val="sr-Latn-ME"/>
        </w:rPr>
        <w:t>:</w:t>
      </w:r>
      <w:r w:rsidRPr="002A6F4E">
        <w:rPr>
          <w:rFonts w:ascii="Arial" w:hAnsi="Arial" w:cs="Arial"/>
          <w:lang w:val="sr-Latn-ME"/>
        </w:rPr>
        <w:t xml:space="preserve"> </w:t>
      </w:r>
      <w:r w:rsidR="00B550DE" w:rsidRPr="002A6F4E">
        <w:rPr>
          <w:rFonts w:ascii="Arial" w:hAnsi="Arial" w:cs="Arial"/>
          <w:lang w:val="sr-Latn-ME"/>
        </w:rPr>
        <w:t>resorn</w:t>
      </w:r>
      <w:r w:rsidR="00B550DE">
        <w:rPr>
          <w:rFonts w:ascii="Arial" w:hAnsi="Arial" w:cs="Arial"/>
          <w:lang w:val="sr-Latn-ME"/>
        </w:rPr>
        <w:t>o</w:t>
      </w:r>
      <w:r w:rsidR="00B550DE" w:rsidRPr="002A6F4E">
        <w:rPr>
          <w:rFonts w:ascii="Arial" w:hAnsi="Arial" w:cs="Arial"/>
          <w:lang w:val="sr-Latn-ME"/>
        </w:rPr>
        <w:t xml:space="preserve"> </w:t>
      </w:r>
      <w:r w:rsidR="00B550DE">
        <w:rPr>
          <w:rFonts w:ascii="Arial" w:hAnsi="Arial" w:cs="Arial"/>
          <w:lang w:val="sr-Latn-ME"/>
        </w:rPr>
        <w:t>M</w:t>
      </w:r>
      <w:r w:rsidR="00B550DE" w:rsidRPr="002A6F4E">
        <w:rPr>
          <w:rFonts w:ascii="Arial" w:hAnsi="Arial" w:cs="Arial"/>
          <w:lang w:val="sr-Latn-ME"/>
        </w:rPr>
        <w:t>inistarstv</w:t>
      </w:r>
      <w:r w:rsidR="00B550DE">
        <w:rPr>
          <w:rFonts w:ascii="Arial" w:hAnsi="Arial" w:cs="Arial"/>
          <w:lang w:val="sr-Latn-ME"/>
        </w:rPr>
        <w:t>o,</w:t>
      </w:r>
      <w:r w:rsidR="00B550DE" w:rsidRPr="002A6F4E">
        <w:rPr>
          <w:rFonts w:ascii="Arial" w:hAnsi="Arial" w:cs="Arial"/>
          <w:lang w:val="sr-Latn-ME"/>
        </w:rPr>
        <w:t xml:space="preserve"> </w:t>
      </w:r>
      <w:r w:rsidRPr="002A6F4E">
        <w:rPr>
          <w:rFonts w:ascii="Arial" w:hAnsi="Arial" w:cs="Arial"/>
          <w:lang w:val="sr-Latn-ME"/>
        </w:rPr>
        <w:t xml:space="preserve">Zavod za školstvo Crne Gore, </w:t>
      </w:r>
      <w:r w:rsidR="002B69DB">
        <w:rPr>
          <w:rFonts w:ascii="Arial" w:hAnsi="Arial" w:cs="Arial"/>
          <w:lang w:val="sr-Latn-ME"/>
        </w:rPr>
        <w:t>u</w:t>
      </w:r>
      <w:r w:rsidRPr="002A6F4E">
        <w:rPr>
          <w:rFonts w:ascii="Arial" w:hAnsi="Arial" w:cs="Arial"/>
          <w:lang w:val="sr-Latn-ME"/>
        </w:rPr>
        <w:t>niverzitetske jedinice, N</w:t>
      </w:r>
      <w:r w:rsidR="00B550DE">
        <w:rPr>
          <w:rFonts w:ascii="Arial" w:hAnsi="Arial" w:cs="Arial"/>
          <w:lang w:val="sr-Latn-ME"/>
        </w:rPr>
        <w:t>a</w:t>
      </w:r>
      <w:r w:rsidRPr="002A6F4E">
        <w:rPr>
          <w:rFonts w:ascii="Arial" w:hAnsi="Arial" w:cs="Arial"/>
          <w:lang w:val="sr-Latn-ME"/>
        </w:rPr>
        <w:t>cionalni savjet za obrazovanje i dr.</w:t>
      </w:r>
      <w:r w:rsidR="002B69DB" w:rsidRPr="002B69DB">
        <w:rPr>
          <w:rFonts w:ascii="Arial" w:hAnsi="Arial" w:cs="Arial"/>
          <w:lang w:val="sr-Latn-ME"/>
        </w:rPr>
        <w:t xml:space="preserve"> </w:t>
      </w:r>
      <w:r w:rsidR="002B69DB" w:rsidRPr="002A6F4E">
        <w:rPr>
          <w:rFonts w:ascii="Arial" w:hAnsi="Arial" w:cs="Arial"/>
          <w:lang w:val="sr-Latn-ME"/>
        </w:rPr>
        <w:t>sa strateškim ciljevima DPUO</w:t>
      </w:r>
      <w:r w:rsidR="002B69DB">
        <w:rPr>
          <w:rFonts w:ascii="Arial" w:hAnsi="Arial" w:cs="Arial"/>
          <w:lang w:val="sr-Latn-ME"/>
        </w:rPr>
        <w:t>.</w:t>
      </w:r>
    </w:p>
    <w:p w14:paraId="0D040ED4" w14:textId="77777777" w:rsidR="00927A6A" w:rsidRPr="002A6F4E" w:rsidRDefault="00927A6A" w:rsidP="006C693A">
      <w:pPr>
        <w:autoSpaceDE w:val="0"/>
        <w:autoSpaceDN w:val="0"/>
        <w:adjustRightInd w:val="0"/>
        <w:spacing w:line="360" w:lineRule="auto"/>
        <w:rPr>
          <w:rFonts w:ascii="Arial" w:hAnsi="Arial" w:cs="Arial"/>
          <w:lang w:val="sr-Latn-ME"/>
        </w:rPr>
      </w:pPr>
    </w:p>
    <w:p w14:paraId="67D315B9" w14:textId="4265B1BC" w:rsidR="006C693A" w:rsidRPr="002A6F4E" w:rsidRDefault="006118C9" w:rsidP="006C693A">
      <w:pPr>
        <w:autoSpaceDE w:val="0"/>
        <w:autoSpaceDN w:val="0"/>
        <w:adjustRightInd w:val="0"/>
        <w:spacing w:line="360" w:lineRule="auto"/>
        <w:rPr>
          <w:rFonts w:ascii="Arial" w:hAnsi="Arial" w:cs="Arial"/>
          <w:lang w:val="sr-Latn-ME"/>
        </w:rPr>
      </w:pPr>
      <w:r>
        <w:rPr>
          <w:rFonts w:ascii="Arial" w:hAnsi="Arial" w:cs="Arial"/>
          <w:lang w:val="sr-Latn-ME"/>
        </w:rPr>
        <w:t>K</w:t>
      </w:r>
      <w:r w:rsidR="006C693A" w:rsidRPr="002A6F4E">
        <w:rPr>
          <w:rFonts w:ascii="Arial" w:hAnsi="Arial" w:cs="Arial"/>
          <w:lang w:val="sr-Latn-ME"/>
        </w:rPr>
        <w:t xml:space="preserve">ampanja treba da uključi  i saradnju sa Delegacijom EU u Crnoj Gori, kroz promovisanje programa čiji </w:t>
      </w:r>
      <w:r>
        <w:rPr>
          <w:rFonts w:ascii="Arial" w:hAnsi="Arial" w:cs="Arial"/>
          <w:lang w:val="sr-Latn-ME"/>
        </w:rPr>
        <w:t xml:space="preserve">su </w:t>
      </w:r>
      <w:r w:rsidR="006C693A" w:rsidRPr="002A6F4E">
        <w:rPr>
          <w:rFonts w:ascii="Arial" w:hAnsi="Arial" w:cs="Arial"/>
          <w:lang w:val="sr-Latn-ME"/>
        </w:rPr>
        <w:t>cilj</w:t>
      </w:r>
      <w:r>
        <w:rPr>
          <w:rFonts w:ascii="Arial" w:hAnsi="Arial" w:cs="Arial"/>
          <w:lang w:val="sr-Latn-ME"/>
        </w:rPr>
        <w:t>evi</w:t>
      </w:r>
      <w:r w:rsidR="006C693A" w:rsidRPr="002A6F4E">
        <w:rPr>
          <w:rFonts w:ascii="Arial" w:hAnsi="Arial" w:cs="Arial"/>
          <w:lang w:val="sr-Latn-ME"/>
        </w:rPr>
        <w:t xml:space="preserve"> unapređenje sistema upravljanja otpadom</w:t>
      </w:r>
      <w:r>
        <w:rPr>
          <w:rFonts w:ascii="Arial" w:hAnsi="Arial" w:cs="Arial"/>
          <w:lang w:val="sr-Latn-ME"/>
        </w:rPr>
        <w:t>.</w:t>
      </w:r>
      <w:r w:rsidR="00771BC4">
        <w:rPr>
          <w:rFonts w:ascii="Arial" w:hAnsi="Arial" w:cs="Arial"/>
          <w:lang w:val="sr-Latn-ME"/>
        </w:rPr>
        <w:t xml:space="preserve"> Ovo je</w:t>
      </w:r>
      <w:r w:rsidR="006C693A" w:rsidRPr="002A6F4E">
        <w:rPr>
          <w:rFonts w:ascii="Arial" w:hAnsi="Arial" w:cs="Arial"/>
          <w:lang w:val="sr-Latn-ME"/>
        </w:rPr>
        <w:t xml:space="preserve"> prilika da lokalne samouprave, komunalna preduzeća i organizacije civilnog društva dobiju finansijsku podršku za projekte iz te oblasti, jer građani imaju mogućnost da kroz učešće u usvajanju budžeta lokalnih zajednica pokrenu inicijative i predloge u cilju poboljšanja infrastrukture. Takođe, saradnja sa Delegacijom EU u implementaciji DPUO otvara prostor i za organizovanje studijskih posjeta primjerima dobre prakse u toj međunarodnoj zajednici, što bi imalo značaj efekat na upoznavanje javnosti sa benefitima odgovornog ponašanja.</w:t>
      </w:r>
    </w:p>
    <w:p w14:paraId="4111563E" w14:textId="02AA1B79" w:rsidR="006C693A" w:rsidRPr="002A6F4E" w:rsidRDefault="006C693A" w:rsidP="00F57909">
      <w:pPr>
        <w:pStyle w:val="Heading2"/>
        <w:numPr>
          <w:ilvl w:val="1"/>
          <w:numId w:val="139"/>
        </w:numPr>
      </w:pPr>
      <w:bookmarkStart w:id="1486" w:name="_Toc189759805"/>
      <w:bookmarkStart w:id="1487" w:name="_Toc193354091"/>
      <w:bookmarkEnd w:id="1483"/>
      <w:bookmarkEnd w:id="1484"/>
      <w:r w:rsidRPr="002A6F4E">
        <w:t>Finansijski i ekonomski instrumenti</w:t>
      </w:r>
      <w:bookmarkEnd w:id="1486"/>
      <w:bookmarkEnd w:id="1487"/>
    </w:p>
    <w:p w14:paraId="51265C5E" w14:textId="77777777" w:rsidR="006C693A" w:rsidRPr="002A6F4E" w:rsidRDefault="006C693A" w:rsidP="006C693A">
      <w:pPr>
        <w:spacing w:before="120" w:after="120" w:line="360" w:lineRule="auto"/>
        <w:rPr>
          <w:rFonts w:ascii="Arial" w:hAnsi="Arial" w:cs="Arial"/>
          <w:lang w:val="sq-AL"/>
        </w:rPr>
      </w:pPr>
      <w:r w:rsidRPr="002A6F4E">
        <w:rPr>
          <w:rFonts w:ascii="Arial" w:hAnsi="Arial" w:cs="Arial"/>
          <w:lang w:val="sq-AL"/>
        </w:rPr>
        <w:t>Na osnovu iskustava i efekata u zemljama EU, kao i specifičnih uslova u Crnoj Gori, mogli bi se razmotriti sljedeći finansijski i ekonomski instrumenti za implementaciju:</w:t>
      </w:r>
    </w:p>
    <w:p w14:paraId="47B265CE" w14:textId="6BAAA63B" w:rsidR="006C693A" w:rsidRPr="002A6F4E" w:rsidRDefault="006C693A" w:rsidP="00A23ED0">
      <w:pPr>
        <w:pStyle w:val="ListParagraph"/>
        <w:widowControl w:val="0"/>
        <w:numPr>
          <w:ilvl w:val="0"/>
          <w:numId w:val="115"/>
        </w:numPr>
        <w:spacing w:before="120" w:after="120" w:line="360" w:lineRule="auto"/>
        <w:rPr>
          <w:rFonts w:ascii="Arial" w:hAnsi="Arial" w:cs="Arial"/>
          <w:lang w:val="pl-PL"/>
        </w:rPr>
      </w:pPr>
      <w:r w:rsidRPr="002A6F4E">
        <w:rPr>
          <w:rFonts w:ascii="Arial" w:hAnsi="Arial" w:cs="Arial"/>
          <w:u w:val="single"/>
          <w:lang w:val="pl-PL"/>
        </w:rPr>
        <w:t>Proširena odgovornost proizvođača</w:t>
      </w:r>
      <w:r w:rsidRPr="002A6F4E">
        <w:rPr>
          <w:rFonts w:ascii="Arial" w:hAnsi="Arial" w:cs="Arial"/>
          <w:lang w:val="pl-PL"/>
        </w:rPr>
        <w:t xml:space="preserve"> (</w:t>
      </w:r>
      <w:r w:rsidR="00BA4CFC">
        <w:rPr>
          <w:rFonts w:ascii="Arial" w:hAnsi="Arial" w:cs="Arial"/>
          <w:lang w:val="pl-PL"/>
        </w:rPr>
        <w:t>EPR</w:t>
      </w:r>
      <w:r w:rsidRPr="002A6F4E">
        <w:rPr>
          <w:rFonts w:ascii="Arial" w:hAnsi="Arial" w:cs="Arial"/>
          <w:lang w:val="pl-PL"/>
        </w:rPr>
        <w:t>) – P</w:t>
      </w:r>
      <w:r w:rsidR="00CE305E">
        <w:rPr>
          <w:rFonts w:ascii="Arial" w:hAnsi="Arial" w:cs="Arial"/>
          <w:lang w:val="pl-PL"/>
        </w:rPr>
        <w:t>rogram p</w:t>
      </w:r>
      <w:r w:rsidRPr="002A6F4E">
        <w:rPr>
          <w:rFonts w:ascii="Arial" w:hAnsi="Arial" w:cs="Arial"/>
          <w:lang w:val="pl-PL"/>
        </w:rPr>
        <w:t>roširen</w:t>
      </w:r>
      <w:r w:rsidR="00CE305E">
        <w:rPr>
          <w:rFonts w:ascii="Arial" w:hAnsi="Arial" w:cs="Arial"/>
          <w:lang w:val="pl-PL"/>
        </w:rPr>
        <w:t xml:space="preserve">e </w:t>
      </w:r>
      <w:r w:rsidRPr="002A6F4E">
        <w:rPr>
          <w:rFonts w:ascii="Arial" w:hAnsi="Arial" w:cs="Arial"/>
          <w:lang w:val="pl-PL"/>
        </w:rPr>
        <w:t>odgovornost</w:t>
      </w:r>
      <w:r w:rsidR="00CE305E">
        <w:rPr>
          <w:rFonts w:ascii="Arial" w:hAnsi="Arial" w:cs="Arial"/>
          <w:lang w:val="pl-PL"/>
        </w:rPr>
        <w:t>i</w:t>
      </w:r>
      <w:r w:rsidRPr="002A6F4E">
        <w:rPr>
          <w:rFonts w:ascii="Arial" w:hAnsi="Arial" w:cs="Arial"/>
          <w:lang w:val="pl-PL"/>
        </w:rPr>
        <w:t xml:space="preserve"> proizvođača je</w:t>
      </w:r>
      <w:r w:rsidR="00CE305E">
        <w:rPr>
          <w:rFonts w:ascii="Arial" w:hAnsi="Arial" w:cs="Arial"/>
          <w:lang w:val="pl-PL"/>
        </w:rPr>
        <w:t xml:space="preserve"> niz mjera koje se preduzimaju kako bi se osiguralo da proizvođači proizvoda imaju finansijsku odgovornost ili finansijsku i organizacionu odgovornost za upravljanjem otpadom, fazom ili fazama upravljanja otpadom u životnom ciklusu prozvoda;</w:t>
      </w:r>
    </w:p>
    <w:p w14:paraId="21F859A4" w14:textId="22E52745" w:rsidR="006C693A" w:rsidRPr="002A6F4E" w:rsidRDefault="006C693A" w:rsidP="00A23ED0">
      <w:pPr>
        <w:pStyle w:val="ListParagraph"/>
        <w:numPr>
          <w:ilvl w:val="0"/>
          <w:numId w:val="115"/>
        </w:numPr>
        <w:spacing w:before="120" w:after="120" w:line="360" w:lineRule="auto"/>
        <w:contextualSpacing w:val="0"/>
        <w:rPr>
          <w:rFonts w:ascii="Arial" w:hAnsi="Arial" w:cs="Arial"/>
          <w:lang w:val="sq-AL"/>
        </w:rPr>
      </w:pPr>
      <w:r w:rsidRPr="002A6F4E">
        <w:rPr>
          <w:rFonts w:ascii="Arial" w:hAnsi="Arial" w:cs="Arial"/>
          <w:u w:val="single"/>
          <w:lang w:val="sq-AL"/>
        </w:rPr>
        <w:t xml:space="preserve">Sistem povraćaja depozita </w:t>
      </w:r>
      <w:r w:rsidRPr="002A6F4E">
        <w:rPr>
          <w:rFonts w:ascii="Arial" w:hAnsi="Arial" w:cs="Arial"/>
          <w:lang w:val="sq-AL"/>
        </w:rPr>
        <w:t xml:space="preserve"> – sistem povraćaja depozita najverovatnije može doprinjeti većoj količini ponovne upotrebe ambalaže za piće koja se može ponovo puniti s jedne strane i višim stopama recikl</w:t>
      </w:r>
      <w:r w:rsidR="000A1D12">
        <w:rPr>
          <w:rFonts w:ascii="Arial" w:hAnsi="Arial" w:cs="Arial"/>
          <w:lang w:val="sq-AL"/>
        </w:rPr>
        <w:t>iranja</w:t>
      </w:r>
      <w:r w:rsidRPr="002A6F4E">
        <w:rPr>
          <w:rFonts w:ascii="Arial" w:hAnsi="Arial" w:cs="Arial"/>
          <w:lang w:val="sq-AL"/>
        </w:rPr>
        <w:t xml:space="preserve"> i boljem kvalitetu materijala s druge strane. DRS bi mogao dati dobar doprinos u smislu ispunjavanja ciljeva EU o ponovnoj upotrebi i recikl</w:t>
      </w:r>
      <w:r w:rsidR="000A1D12">
        <w:rPr>
          <w:rFonts w:ascii="Arial" w:hAnsi="Arial" w:cs="Arial"/>
          <w:lang w:val="sq-AL"/>
        </w:rPr>
        <w:t>iranju</w:t>
      </w:r>
      <w:r w:rsidRPr="002A6F4E">
        <w:rPr>
          <w:rFonts w:ascii="Arial" w:hAnsi="Arial" w:cs="Arial"/>
          <w:lang w:val="sq-AL"/>
        </w:rPr>
        <w:t xml:space="preserve">. </w:t>
      </w:r>
    </w:p>
    <w:p w14:paraId="4F93BF32" w14:textId="48F89811" w:rsidR="006C693A" w:rsidRPr="002A6F4E" w:rsidRDefault="002E6AF9" w:rsidP="00A23ED0">
      <w:pPr>
        <w:pStyle w:val="ListParagraph"/>
        <w:numPr>
          <w:ilvl w:val="0"/>
          <w:numId w:val="115"/>
        </w:numPr>
        <w:spacing w:before="120" w:after="120" w:line="360" w:lineRule="auto"/>
        <w:contextualSpacing w:val="0"/>
        <w:rPr>
          <w:rFonts w:ascii="Arial" w:hAnsi="Arial" w:cs="Arial"/>
          <w:lang w:val="sq-AL"/>
        </w:rPr>
      </w:pPr>
      <w:r>
        <w:rPr>
          <w:rFonts w:ascii="Arial" w:hAnsi="Arial" w:cs="Arial"/>
          <w:u w:val="single"/>
          <w:lang w:val="sq-AL"/>
        </w:rPr>
        <w:t>Naknada</w:t>
      </w:r>
      <w:r w:rsidR="006C693A" w:rsidRPr="002A6F4E">
        <w:rPr>
          <w:rFonts w:ascii="Arial" w:hAnsi="Arial" w:cs="Arial"/>
          <w:u w:val="single"/>
          <w:lang w:val="sq-AL"/>
        </w:rPr>
        <w:t xml:space="preserve"> </w:t>
      </w:r>
      <w:r>
        <w:rPr>
          <w:rFonts w:ascii="Arial" w:hAnsi="Arial" w:cs="Arial"/>
          <w:u w:val="single"/>
          <w:lang w:val="sq-AL"/>
        </w:rPr>
        <w:t>za odlaganje na</w:t>
      </w:r>
      <w:r w:rsidR="006C693A" w:rsidRPr="002A6F4E">
        <w:rPr>
          <w:rFonts w:ascii="Arial" w:hAnsi="Arial" w:cs="Arial"/>
          <w:u w:val="single"/>
          <w:lang w:val="sq-AL"/>
        </w:rPr>
        <w:t xml:space="preserve"> deponij</w:t>
      </w:r>
      <w:r>
        <w:rPr>
          <w:rFonts w:ascii="Arial" w:hAnsi="Arial" w:cs="Arial"/>
          <w:u w:val="single"/>
          <w:lang w:val="sq-AL"/>
        </w:rPr>
        <w:t>u</w:t>
      </w:r>
      <w:r w:rsidR="006C693A" w:rsidRPr="002A6F4E">
        <w:rPr>
          <w:rFonts w:ascii="Arial" w:hAnsi="Arial" w:cs="Arial"/>
          <w:lang w:val="sq-AL"/>
        </w:rPr>
        <w:t xml:space="preserve"> – iskustva mnogih zemalja su pokazala da uvođenje </w:t>
      </w:r>
      <w:r>
        <w:rPr>
          <w:rFonts w:ascii="Arial" w:hAnsi="Arial" w:cs="Arial"/>
          <w:lang w:val="sq-AL"/>
        </w:rPr>
        <w:t>naknada</w:t>
      </w:r>
      <w:r w:rsidR="006C693A" w:rsidRPr="002A6F4E">
        <w:rPr>
          <w:rFonts w:ascii="Arial" w:hAnsi="Arial" w:cs="Arial"/>
          <w:lang w:val="sq-AL"/>
        </w:rPr>
        <w:t xml:space="preserve"> </w:t>
      </w:r>
      <w:r>
        <w:rPr>
          <w:rFonts w:ascii="Arial" w:hAnsi="Arial" w:cs="Arial"/>
          <w:lang w:val="sq-AL"/>
        </w:rPr>
        <w:t xml:space="preserve">za odlaganje </w:t>
      </w:r>
      <w:r w:rsidR="006C693A" w:rsidRPr="002A6F4E">
        <w:rPr>
          <w:rFonts w:ascii="Arial" w:hAnsi="Arial" w:cs="Arial"/>
          <w:lang w:val="sq-AL"/>
        </w:rPr>
        <w:t>na deponij</w:t>
      </w:r>
      <w:r>
        <w:rPr>
          <w:rFonts w:ascii="Arial" w:hAnsi="Arial" w:cs="Arial"/>
          <w:lang w:val="sq-AL"/>
        </w:rPr>
        <w:t>ama</w:t>
      </w:r>
      <w:r w:rsidR="006C693A" w:rsidRPr="002A6F4E">
        <w:rPr>
          <w:rFonts w:ascii="Arial" w:hAnsi="Arial" w:cs="Arial"/>
          <w:lang w:val="sq-AL"/>
        </w:rPr>
        <w:t xml:space="preserve"> ima velike efekte na količinu otpada koji se odlaže na </w:t>
      </w:r>
      <w:r>
        <w:rPr>
          <w:rFonts w:ascii="Arial" w:hAnsi="Arial" w:cs="Arial"/>
          <w:lang w:val="sq-AL"/>
        </w:rPr>
        <w:t>istim</w:t>
      </w:r>
      <w:r w:rsidR="006C693A" w:rsidRPr="002A6F4E">
        <w:rPr>
          <w:rFonts w:ascii="Arial" w:hAnsi="Arial" w:cs="Arial"/>
          <w:lang w:val="sq-AL"/>
        </w:rPr>
        <w:t xml:space="preserve">. </w:t>
      </w:r>
      <w:r w:rsidR="004A58E4">
        <w:rPr>
          <w:rFonts w:ascii="Arial" w:hAnsi="Arial" w:cs="Arial"/>
          <w:lang w:val="sq-AL"/>
        </w:rPr>
        <w:t>N</w:t>
      </w:r>
      <w:r>
        <w:rPr>
          <w:rFonts w:ascii="Arial" w:hAnsi="Arial" w:cs="Arial"/>
          <w:lang w:val="sq-AL"/>
        </w:rPr>
        <w:t>aknade za odlaganje</w:t>
      </w:r>
      <w:r w:rsidR="006C693A" w:rsidRPr="002A6F4E">
        <w:rPr>
          <w:rFonts w:ascii="Arial" w:hAnsi="Arial" w:cs="Arial"/>
          <w:lang w:val="sq-AL"/>
        </w:rPr>
        <w:t xml:space="preserve"> na deponij</w:t>
      </w:r>
      <w:r>
        <w:rPr>
          <w:rFonts w:ascii="Arial" w:hAnsi="Arial" w:cs="Arial"/>
          <w:lang w:val="sq-AL"/>
        </w:rPr>
        <w:t>ama</w:t>
      </w:r>
      <w:r w:rsidR="006C693A" w:rsidRPr="002A6F4E">
        <w:rPr>
          <w:rFonts w:ascii="Arial" w:hAnsi="Arial" w:cs="Arial"/>
          <w:lang w:val="sq-AL"/>
        </w:rPr>
        <w:t xml:space="preserve"> mogu doprin</w:t>
      </w:r>
      <w:r>
        <w:rPr>
          <w:rFonts w:ascii="Arial" w:hAnsi="Arial" w:cs="Arial"/>
          <w:lang w:val="sq-AL"/>
        </w:rPr>
        <w:t>ij</w:t>
      </w:r>
      <w:r w:rsidR="006C693A" w:rsidRPr="002A6F4E">
        <w:rPr>
          <w:rFonts w:ascii="Arial" w:hAnsi="Arial" w:cs="Arial"/>
          <w:lang w:val="sq-AL"/>
        </w:rPr>
        <w:t>eti preusmjeravanju tokova otpada sa deponija na recikl</w:t>
      </w:r>
      <w:r w:rsidR="000A1D12">
        <w:rPr>
          <w:rFonts w:ascii="Arial" w:hAnsi="Arial" w:cs="Arial"/>
          <w:lang w:val="sq-AL"/>
        </w:rPr>
        <w:t>iranje</w:t>
      </w:r>
      <w:r w:rsidR="006C693A" w:rsidRPr="002A6F4E">
        <w:rPr>
          <w:rFonts w:ascii="Arial" w:hAnsi="Arial" w:cs="Arial"/>
          <w:lang w:val="sq-AL"/>
        </w:rPr>
        <w:t>, tj. više cijene za deponovanje će uticati na donošenje odluka proizvođača otpada da koriste opcije recikl</w:t>
      </w:r>
      <w:r w:rsidR="000A1D12">
        <w:rPr>
          <w:rFonts w:ascii="Arial" w:hAnsi="Arial" w:cs="Arial"/>
          <w:lang w:val="sq-AL"/>
        </w:rPr>
        <w:t>iranja</w:t>
      </w:r>
      <w:r w:rsidR="006C693A" w:rsidRPr="002A6F4E">
        <w:rPr>
          <w:rFonts w:ascii="Arial" w:hAnsi="Arial" w:cs="Arial"/>
          <w:lang w:val="sq-AL"/>
        </w:rPr>
        <w:t xml:space="preserve"> ili da minimiziraju količine otpada koje se deponuju. Efikasnost ekološkog podsticaja </w:t>
      </w:r>
      <w:r>
        <w:rPr>
          <w:rFonts w:ascii="Arial" w:hAnsi="Arial" w:cs="Arial"/>
          <w:lang w:val="sq-AL"/>
        </w:rPr>
        <w:t>naknada za odlaganje</w:t>
      </w:r>
      <w:r w:rsidR="006C693A" w:rsidRPr="002A6F4E">
        <w:rPr>
          <w:rFonts w:ascii="Arial" w:hAnsi="Arial" w:cs="Arial"/>
          <w:lang w:val="sq-AL"/>
        </w:rPr>
        <w:t xml:space="preserve"> na deponij</w:t>
      </w:r>
      <w:r>
        <w:rPr>
          <w:rFonts w:ascii="Arial" w:hAnsi="Arial" w:cs="Arial"/>
          <w:lang w:val="sq-AL"/>
        </w:rPr>
        <w:t>ama</w:t>
      </w:r>
      <w:r w:rsidR="006C693A" w:rsidRPr="002A6F4E">
        <w:rPr>
          <w:rFonts w:ascii="Arial" w:hAnsi="Arial" w:cs="Arial"/>
          <w:lang w:val="sq-AL"/>
        </w:rPr>
        <w:t xml:space="preserve"> zavisi od </w:t>
      </w:r>
      <w:r w:rsidR="006A519F">
        <w:rPr>
          <w:rFonts w:ascii="Arial" w:hAnsi="Arial" w:cs="Arial"/>
          <w:lang w:val="sq-AL"/>
        </w:rPr>
        <w:t>same naknade</w:t>
      </w:r>
      <w:r w:rsidR="006C693A" w:rsidRPr="002A6F4E">
        <w:rPr>
          <w:rFonts w:ascii="Arial" w:hAnsi="Arial" w:cs="Arial"/>
          <w:lang w:val="sq-AL"/>
        </w:rPr>
        <w:t xml:space="preserve">. Budući da su potrebna velika ulaganja za pretvaranje neuređenih </w:t>
      </w:r>
      <w:r>
        <w:rPr>
          <w:rFonts w:ascii="Arial" w:hAnsi="Arial" w:cs="Arial"/>
          <w:lang w:val="sq-AL"/>
        </w:rPr>
        <w:t>odlagališta</w:t>
      </w:r>
      <w:r w:rsidR="006C693A" w:rsidRPr="002A6F4E">
        <w:rPr>
          <w:rFonts w:ascii="Arial" w:hAnsi="Arial" w:cs="Arial"/>
          <w:lang w:val="sq-AL"/>
        </w:rPr>
        <w:t xml:space="preserve"> u uređen</w:t>
      </w:r>
      <w:r>
        <w:rPr>
          <w:rFonts w:ascii="Arial" w:hAnsi="Arial" w:cs="Arial"/>
          <w:lang w:val="sq-AL"/>
        </w:rPr>
        <w:t>a</w:t>
      </w:r>
      <w:r w:rsidR="006C693A" w:rsidRPr="002A6F4E">
        <w:rPr>
          <w:rFonts w:ascii="Arial" w:hAnsi="Arial" w:cs="Arial"/>
          <w:lang w:val="sq-AL"/>
        </w:rPr>
        <w:t xml:space="preserve">, poželjnija opcija bi bila uvođenje </w:t>
      </w:r>
      <w:r>
        <w:rPr>
          <w:rFonts w:ascii="Arial" w:hAnsi="Arial" w:cs="Arial"/>
          <w:lang w:val="sq-AL"/>
        </w:rPr>
        <w:t>naknada</w:t>
      </w:r>
      <w:r w:rsidR="006C693A" w:rsidRPr="002A6F4E">
        <w:rPr>
          <w:rFonts w:ascii="Arial" w:hAnsi="Arial" w:cs="Arial"/>
          <w:lang w:val="sq-AL"/>
        </w:rPr>
        <w:t xml:space="preserve"> </w:t>
      </w:r>
      <w:r>
        <w:rPr>
          <w:rFonts w:ascii="Arial" w:hAnsi="Arial" w:cs="Arial"/>
          <w:lang w:val="sq-AL"/>
        </w:rPr>
        <w:t>za odlaganje na</w:t>
      </w:r>
      <w:r w:rsidR="006C693A" w:rsidRPr="002A6F4E">
        <w:rPr>
          <w:rFonts w:ascii="Arial" w:hAnsi="Arial" w:cs="Arial"/>
          <w:lang w:val="sq-AL"/>
        </w:rPr>
        <w:t xml:space="preserve"> deponij</w:t>
      </w:r>
      <w:r>
        <w:rPr>
          <w:rFonts w:ascii="Arial" w:hAnsi="Arial" w:cs="Arial"/>
          <w:lang w:val="sq-AL"/>
        </w:rPr>
        <w:t>ama</w:t>
      </w:r>
      <w:r w:rsidR="006C693A" w:rsidRPr="002A6F4E">
        <w:rPr>
          <w:rFonts w:ascii="Arial" w:hAnsi="Arial" w:cs="Arial"/>
          <w:lang w:val="sq-AL"/>
        </w:rPr>
        <w:t xml:space="preserve"> i da se prihodi od toga usmjeravaju u investicije u sistem upravljanja otpadom. Većina zemalja koje uvode </w:t>
      </w:r>
      <w:r>
        <w:rPr>
          <w:rFonts w:ascii="Arial" w:hAnsi="Arial" w:cs="Arial"/>
          <w:lang w:val="sq-AL"/>
        </w:rPr>
        <w:t>ove naknade,</w:t>
      </w:r>
      <w:r w:rsidR="006C693A" w:rsidRPr="002A6F4E">
        <w:rPr>
          <w:rFonts w:ascii="Arial" w:hAnsi="Arial" w:cs="Arial"/>
          <w:lang w:val="sq-AL"/>
        </w:rPr>
        <w:t xml:space="preserve"> istovremeno su uvele instrumente kao što su zabrana odlaganja određenih </w:t>
      </w:r>
      <w:r w:rsidR="002148F0">
        <w:rPr>
          <w:rFonts w:ascii="Arial" w:hAnsi="Arial" w:cs="Arial"/>
          <w:lang w:val="sq-AL"/>
        </w:rPr>
        <w:t xml:space="preserve">vrsta otpada </w:t>
      </w:r>
      <w:r w:rsidR="006C693A" w:rsidRPr="002A6F4E">
        <w:rPr>
          <w:rFonts w:ascii="Arial" w:hAnsi="Arial" w:cs="Arial"/>
          <w:lang w:val="sq-AL"/>
        </w:rPr>
        <w:t xml:space="preserve">na deponije ili </w:t>
      </w:r>
      <w:r w:rsidR="002148F0">
        <w:rPr>
          <w:rFonts w:ascii="Arial" w:hAnsi="Arial" w:cs="Arial"/>
          <w:lang w:val="sq-AL"/>
        </w:rPr>
        <w:t xml:space="preserve">ili neke druge </w:t>
      </w:r>
      <w:r w:rsidR="006C693A" w:rsidRPr="002A6F4E">
        <w:rPr>
          <w:rFonts w:ascii="Arial" w:hAnsi="Arial" w:cs="Arial"/>
          <w:lang w:val="sq-AL"/>
        </w:rPr>
        <w:t>ambicioznije</w:t>
      </w:r>
      <w:r w:rsidR="002148F0">
        <w:rPr>
          <w:rFonts w:ascii="Arial" w:hAnsi="Arial" w:cs="Arial"/>
          <w:lang w:val="sq-AL"/>
        </w:rPr>
        <w:t xml:space="preserve"> mjere</w:t>
      </w:r>
      <w:r w:rsidR="006C693A" w:rsidRPr="002A6F4E">
        <w:rPr>
          <w:rFonts w:ascii="Arial" w:hAnsi="Arial" w:cs="Arial"/>
          <w:lang w:val="sq-AL"/>
        </w:rPr>
        <w:t xml:space="preserve">. </w:t>
      </w:r>
    </w:p>
    <w:p w14:paraId="721ABA1A" w14:textId="03EE97D6" w:rsidR="006C693A" w:rsidRPr="002A6F4E" w:rsidRDefault="00F55D56" w:rsidP="00A23ED0">
      <w:pPr>
        <w:pStyle w:val="ListParagraph"/>
        <w:numPr>
          <w:ilvl w:val="0"/>
          <w:numId w:val="115"/>
        </w:numPr>
        <w:spacing w:before="120" w:after="120" w:line="360" w:lineRule="auto"/>
        <w:contextualSpacing w:val="0"/>
        <w:rPr>
          <w:rFonts w:ascii="Arial" w:hAnsi="Arial" w:cs="Arial"/>
          <w:lang w:val="sq-AL"/>
        </w:rPr>
      </w:pPr>
      <w:r>
        <w:rPr>
          <w:rFonts w:ascii="Arial" w:hAnsi="Arial" w:cs="Arial"/>
          <w:u w:val="single"/>
          <w:lang w:val="sq-AL"/>
        </w:rPr>
        <w:t>Pristup “</w:t>
      </w:r>
      <w:r w:rsidR="006C693A" w:rsidRPr="00A77A99">
        <w:rPr>
          <w:rFonts w:ascii="Arial" w:hAnsi="Arial" w:cs="Arial"/>
          <w:u w:val="single"/>
          <w:lang w:val="sq-AL"/>
        </w:rPr>
        <w:t>plati koliko baciš</w:t>
      </w:r>
      <w:r>
        <w:rPr>
          <w:rFonts w:ascii="Arial" w:hAnsi="Arial" w:cs="Arial"/>
          <w:u w:val="single"/>
          <w:lang w:val="sq-AL"/>
        </w:rPr>
        <w:t>”</w:t>
      </w:r>
      <w:r w:rsidR="006C693A" w:rsidRPr="00A77A99">
        <w:rPr>
          <w:rFonts w:ascii="Arial" w:hAnsi="Arial" w:cs="Arial"/>
          <w:u w:val="single"/>
          <w:lang w:val="sq-AL"/>
        </w:rPr>
        <w:t xml:space="preserve"> </w:t>
      </w:r>
      <w:r w:rsidR="006C693A" w:rsidRPr="00A77A99">
        <w:rPr>
          <w:rFonts w:ascii="Arial" w:hAnsi="Arial" w:cs="Arial"/>
          <w:lang w:val="sq-AL"/>
        </w:rPr>
        <w:t>–</w:t>
      </w:r>
      <w:r w:rsidR="006C693A" w:rsidRPr="002A6F4E">
        <w:rPr>
          <w:rFonts w:ascii="Arial" w:hAnsi="Arial" w:cs="Arial"/>
          <w:lang w:val="sq-AL"/>
        </w:rPr>
        <w:t xml:space="preserve"> naknade za otpad osmišljene na osnovu </w:t>
      </w:r>
      <w:r>
        <w:rPr>
          <w:rFonts w:ascii="Arial" w:hAnsi="Arial" w:cs="Arial"/>
          <w:lang w:val="sq-AL"/>
        </w:rPr>
        <w:t>pristupa</w:t>
      </w:r>
      <w:r w:rsidR="006C693A" w:rsidRPr="002A6F4E">
        <w:rPr>
          <w:rFonts w:ascii="Arial" w:hAnsi="Arial" w:cs="Arial"/>
          <w:lang w:val="sq-AL"/>
        </w:rPr>
        <w:t xml:space="preserve"> </w:t>
      </w:r>
      <w:r>
        <w:rPr>
          <w:rFonts w:ascii="Arial" w:hAnsi="Arial" w:cs="Arial"/>
          <w:lang w:val="sq-AL"/>
        </w:rPr>
        <w:t>“</w:t>
      </w:r>
      <w:r w:rsidR="006C693A" w:rsidRPr="002A6F4E">
        <w:rPr>
          <w:rFonts w:ascii="Arial" w:hAnsi="Arial" w:cs="Arial"/>
          <w:lang w:val="sq-AL"/>
        </w:rPr>
        <w:t>plati koliko bac</w:t>
      </w:r>
      <w:r w:rsidR="00A77A99">
        <w:rPr>
          <w:rFonts w:ascii="Arial" w:hAnsi="Arial" w:cs="Arial"/>
          <w:lang w:val="sq-AL"/>
        </w:rPr>
        <w:t>i</w:t>
      </w:r>
      <w:r w:rsidR="006C693A" w:rsidRPr="002A6F4E">
        <w:rPr>
          <w:rFonts w:ascii="Arial" w:hAnsi="Arial" w:cs="Arial"/>
          <w:lang w:val="sq-AL"/>
        </w:rPr>
        <w:t>š</w:t>
      </w:r>
      <w:r>
        <w:rPr>
          <w:rFonts w:ascii="Arial" w:hAnsi="Arial" w:cs="Arial"/>
          <w:lang w:val="sq-AL"/>
        </w:rPr>
        <w:t>”</w:t>
      </w:r>
      <w:r w:rsidR="006C693A" w:rsidRPr="002A6F4E">
        <w:rPr>
          <w:rFonts w:ascii="Arial" w:hAnsi="Arial" w:cs="Arial"/>
          <w:lang w:val="sq-AL"/>
        </w:rPr>
        <w:t xml:space="preserve">  </w:t>
      </w:r>
      <w:r w:rsidR="00A77A99">
        <w:rPr>
          <w:rFonts w:ascii="Arial" w:hAnsi="Arial" w:cs="Arial"/>
          <w:lang w:val="sq-AL"/>
        </w:rPr>
        <w:t>su</w:t>
      </w:r>
      <w:r w:rsidR="006C693A" w:rsidRPr="002A6F4E">
        <w:rPr>
          <w:rFonts w:ascii="Arial" w:hAnsi="Arial" w:cs="Arial"/>
          <w:lang w:val="sq-AL"/>
        </w:rPr>
        <w:t xml:space="preserve"> </w:t>
      </w:r>
      <w:r w:rsidR="00A77A99">
        <w:rPr>
          <w:rFonts w:ascii="Arial" w:hAnsi="Arial" w:cs="Arial"/>
          <w:lang w:val="sq-AL"/>
        </w:rPr>
        <w:t>sprovođenje</w:t>
      </w:r>
      <w:r w:rsidR="006C693A" w:rsidRPr="002A6F4E">
        <w:rPr>
          <w:rFonts w:ascii="Arial" w:hAnsi="Arial" w:cs="Arial"/>
          <w:lang w:val="sq-AL"/>
        </w:rPr>
        <w:t xml:space="preserve"> principa </w:t>
      </w:r>
      <w:r w:rsidR="00FB5884">
        <w:rPr>
          <w:rFonts w:ascii="Arial" w:hAnsi="Arial" w:cs="Arial"/>
          <w:lang w:val="sq-AL"/>
        </w:rPr>
        <w:t>“zagađivač plaća”</w:t>
      </w:r>
      <w:r w:rsidR="006C693A" w:rsidRPr="002A6F4E">
        <w:rPr>
          <w:rFonts w:ascii="Arial" w:hAnsi="Arial" w:cs="Arial"/>
          <w:lang w:val="sq-AL"/>
        </w:rPr>
        <w:t xml:space="preserve">. Ideja je da građani </w:t>
      </w:r>
      <w:r w:rsidR="00D62249">
        <w:rPr>
          <w:rFonts w:ascii="Arial" w:hAnsi="Arial" w:cs="Arial"/>
          <w:lang w:val="sq-AL"/>
        </w:rPr>
        <w:t xml:space="preserve">i privreda </w:t>
      </w:r>
      <w:r w:rsidR="006C693A" w:rsidRPr="002A6F4E">
        <w:rPr>
          <w:rFonts w:ascii="Arial" w:hAnsi="Arial" w:cs="Arial"/>
          <w:lang w:val="sq-AL"/>
        </w:rPr>
        <w:t>budu u mogućnosti da utiču na iznos novca koji plaćaju za usluge otpada</w:t>
      </w:r>
      <w:r w:rsidR="00A77A99">
        <w:rPr>
          <w:rFonts w:ascii="Arial" w:hAnsi="Arial" w:cs="Arial"/>
          <w:lang w:val="sq-AL"/>
        </w:rPr>
        <w:t>,</w:t>
      </w:r>
      <w:r w:rsidR="006C693A" w:rsidRPr="002A6F4E">
        <w:rPr>
          <w:rFonts w:ascii="Arial" w:hAnsi="Arial" w:cs="Arial"/>
          <w:lang w:val="sq-AL"/>
        </w:rPr>
        <w:t xml:space="preserve"> </w:t>
      </w:r>
      <w:r w:rsidR="00143DFB">
        <w:rPr>
          <w:rFonts w:ascii="Arial" w:hAnsi="Arial" w:cs="Arial"/>
          <w:lang w:val="sq-AL"/>
        </w:rPr>
        <w:t xml:space="preserve">u zavisnosti </w:t>
      </w:r>
      <w:r w:rsidR="006C693A" w:rsidRPr="002A6F4E">
        <w:rPr>
          <w:rFonts w:ascii="Arial" w:hAnsi="Arial" w:cs="Arial"/>
          <w:lang w:val="sq-AL"/>
        </w:rPr>
        <w:t xml:space="preserve">od toga koliko otpada generišu. </w:t>
      </w:r>
      <w:r w:rsidR="006C693A" w:rsidRPr="002A6F4E">
        <w:rPr>
          <w:rFonts w:ascii="Arial" w:hAnsi="Arial" w:cs="Arial"/>
          <w:lang w:val="sq-AL"/>
        </w:rPr>
        <w:lastRenderedPageBreak/>
        <w:t xml:space="preserve">Naknade za otpad, odnosno korisničke naknade, su važan doprinos ostvarivanju principa </w:t>
      </w:r>
      <w:r w:rsidR="00FB5884">
        <w:rPr>
          <w:rFonts w:ascii="Arial" w:hAnsi="Arial" w:cs="Arial"/>
          <w:lang w:val="sq-AL"/>
        </w:rPr>
        <w:t>“zagađivač plaća”</w:t>
      </w:r>
      <w:r w:rsidR="006C693A" w:rsidRPr="002A6F4E">
        <w:rPr>
          <w:rFonts w:ascii="Arial" w:hAnsi="Arial" w:cs="Arial"/>
          <w:lang w:val="sq-AL"/>
        </w:rPr>
        <w:t xml:space="preserve"> i jačanju usluga upravljanja otpadom. Uopšteno govoreći, snaga podsticaja raste sa dobrim balansom stopa naknade za različite vrste otpada i sa tačnošću sa kojom se naknada prilagođava količini sakupljenog otpada. Praktični primjeri pokazuju da se naknade za otpad mogu koristiti kao sredstvo za smanjenje količine otpada po stanovniku zemlje. </w:t>
      </w:r>
    </w:p>
    <w:p w14:paraId="06626897" w14:textId="7343ABD4" w:rsidR="006C693A" w:rsidRPr="002A6F4E" w:rsidRDefault="006C693A" w:rsidP="006C693A">
      <w:pPr>
        <w:spacing w:before="120" w:after="120" w:line="360" w:lineRule="auto"/>
        <w:rPr>
          <w:rFonts w:ascii="Arial" w:hAnsi="Arial" w:cs="Arial"/>
          <w:lang w:val="sq-AL"/>
        </w:rPr>
      </w:pPr>
      <w:r w:rsidRPr="002A6F4E">
        <w:rPr>
          <w:rFonts w:ascii="Arial" w:hAnsi="Arial" w:cs="Arial"/>
          <w:lang w:val="sq-AL"/>
        </w:rPr>
        <w:t xml:space="preserve">Preduslov za uvođenje ekonomskih instrumenata u </w:t>
      </w:r>
      <w:r w:rsidR="002148F0">
        <w:rPr>
          <w:rFonts w:ascii="Arial" w:hAnsi="Arial" w:cs="Arial"/>
          <w:lang w:val="sq-AL"/>
        </w:rPr>
        <w:t>oblast</w:t>
      </w:r>
      <w:r w:rsidR="002148F0" w:rsidRPr="002A6F4E">
        <w:rPr>
          <w:rFonts w:ascii="Arial" w:hAnsi="Arial" w:cs="Arial"/>
          <w:lang w:val="sq-AL"/>
        </w:rPr>
        <w:t xml:space="preserve"> </w:t>
      </w:r>
      <w:r w:rsidRPr="002A6F4E">
        <w:rPr>
          <w:rFonts w:ascii="Arial" w:hAnsi="Arial" w:cs="Arial"/>
          <w:lang w:val="sq-AL"/>
        </w:rPr>
        <w:t xml:space="preserve">upravljanja otpadom je da se svi operateri i drugi akteri pridržavaju novih zahtjeva. Kada se razvijaju novi instrumenti, postoji niz pitanja koja treba razmotriti kako bi se olakšala buduća usklađenost. Takođe postoji potreba za sprovođenjem kako bi se osiguralo da se oni na koje se mjere odnose zaista pridržavaju zahtjeva. Ovo je važno za pouzdanost cijelog sistema. Zakonodavstvo koje uvodi mjere treba da bude što je moguće jasnije i lako razumljivo. </w:t>
      </w:r>
    </w:p>
    <w:p w14:paraId="47C7C57D" w14:textId="77777777" w:rsidR="00471D90" w:rsidRDefault="006C693A" w:rsidP="006C693A">
      <w:pPr>
        <w:spacing w:before="120" w:after="120" w:line="360" w:lineRule="auto"/>
        <w:rPr>
          <w:rFonts w:ascii="Arial" w:hAnsi="Arial" w:cs="Arial"/>
          <w:lang w:val="sq-AL"/>
        </w:rPr>
      </w:pPr>
      <w:r w:rsidRPr="002A6F4E">
        <w:rPr>
          <w:rFonts w:ascii="Arial" w:hAnsi="Arial" w:cs="Arial"/>
          <w:lang w:val="sq-AL"/>
        </w:rPr>
        <w:t xml:space="preserve">Druga ključna tačka je širenje informacija o novim zahtjevima. </w:t>
      </w:r>
    </w:p>
    <w:p w14:paraId="08532720" w14:textId="6B611F77" w:rsidR="006C693A" w:rsidRPr="002A6F4E" w:rsidRDefault="006C693A" w:rsidP="006C693A">
      <w:pPr>
        <w:spacing w:before="120" w:after="120" w:line="360" w:lineRule="auto"/>
        <w:rPr>
          <w:rFonts w:ascii="Arial" w:hAnsi="Arial" w:cs="Arial"/>
          <w:lang w:val="sq-AL"/>
        </w:rPr>
      </w:pPr>
      <w:r w:rsidRPr="002A6F4E">
        <w:rPr>
          <w:rFonts w:ascii="Arial" w:hAnsi="Arial" w:cs="Arial"/>
          <w:lang w:val="sq-AL"/>
        </w:rPr>
        <w:t>Osiguranje efektivne usaglašenosti sa zakonodavstvom je stoga ključni faktor za postizanje ciljeva koje postavlja regulator. Samo saznanje o postojanju inspekcija i ef</w:t>
      </w:r>
      <w:r w:rsidR="002148F0">
        <w:rPr>
          <w:rFonts w:ascii="Arial" w:hAnsi="Arial" w:cs="Arial"/>
          <w:lang w:val="sq-AL"/>
        </w:rPr>
        <w:t>ikasnijih</w:t>
      </w:r>
      <w:r w:rsidRPr="002A6F4E">
        <w:rPr>
          <w:rFonts w:ascii="Arial" w:hAnsi="Arial" w:cs="Arial"/>
          <w:lang w:val="sq-AL"/>
        </w:rPr>
        <w:t xml:space="preserve"> sankcija u slučaju nepoštovanja </w:t>
      </w:r>
      <w:r w:rsidR="002148F0">
        <w:rPr>
          <w:rFonts w:ascii="Arial" w:hAnsi="Arial" w:cs="Arial"/>
          <w:lang w:val="sq-AL"/>
        </w:rPr>
        <w:t xml:space="preserve">zakona, </w:t>
      </w:r>
      <w:r w:rsidRPr="002A6F4E">
        <w:rPr>
          <w:rFonts w:ascii="Arial" w:hAnsi="Arial" w:cs="Arial"/>
          <w:lang w:val="sq-AL"/>
        </w:rPr>
        <w:t xml:space="preserve">biće pokretač </w:t>
      </w:r>
      <w:r w:rsidR="002148F0">
        <w:rPr>
          <w:rFonts w:ascii="Arial" w:hAnsi="Arial" w:cs="Arial"/>
          <w:lang w:val="sq-AL"/>
        </w:rPr>
        <w:t>za ispunjenje veoma</w:t>
      </w:r>
      <w:r w:rsidRPr="002A6F4E">
        <w:rPr>
          <w:rFonts w:ascii="Arial" w:hAnsi="Arial" w:cs="Arial"/>
          <w:lang w:val="sq-AL"/>
        </w:rPr>
        <w:t>zahtjev</w:t>
      </w:r>
      <w:r w:rsidR="002148F0">
        <w:rPr>
          <w:rFonts w:ascii="Arial" w:hAnsi="Arial" w:cs="Arial"/>
          <w:lang w:val="sq-AL"/>
        </w:rPr>
        <w:t xml:space="preserve">nih </w:t>
      </w:r>
      <w:r w:rsidR="001F5E66">
        <w:rPr>
          <w:rFonts w:ascii="Arial" w:hAnsi="Arial" w:cs="Arial"/>
          <w:lang w:val="sq-AL"/>
        </w:rPr>
        <w:t>ciljeve u oblasti upravljanja otpadom u Crnoj Gori</w:t>
      </w:r>
      <w:r w:rsidRPr="002A6F4E">
        <w:rPr>
          <w:rFonts w:ascii="Arial" w:hAnsi="Arial" w:cs="Arial"/>
          <w:lang w:val="sq-AL"/>
        </w:rPr>
        <w:t>.</w:t>
      </w:r>
    </w:p>
    <w:p w14:paraId="0F071CDF" w14:textId="77777777" w:rsidR="006C693A" w:rsidRPr="002A6F4E" w:rsidRDefault="006C693A" w:rsidP="006C693A">
      <w:pPr>
        <w:spacing w:before="120" w:after="120" w:line="360" w:lineRule="auto"/>
        <w:rPr>
          <w:rFonts w:ascii="Arial" w:hAnsi="Arial" w:cs="Arial"/>
          <w:lang w:val="sq-AL"/>
        </w:rPr>
      </w:pPr>
    </w:p>
    <w:p w14:paraId="142D21CB" w14:textId="3C35B4DE" w:rsidR="00C232D7" w:rsidRPr="002A6F4E" w:rsidRDefault="006C693A" w:rsidP="008A5615">
      <w:pPr>
        <w:spacing w:line="360" w:lineRule="auto"/>
        <w:contextualSpacing/>
        <w:rPr>
          <w:rFonts w:ascii="Arial" w:hAnsi="Arial" w:cs="Arial"/>
          <w:lang w:val="sq-AL"/>
        </w:rPr>
      </w:pPr>
      <w:r w:rsidRPr="002A6F4E">
        <w:rPr>
          <w:rFonts w:ascii="Arial" w:hAnsi="Arial" w:cs="Arial"/>
          <w:noProof/>
          <w:lang w:val="en-US"/>
        </w:rPr>
        <mc:AlternateContent>
          <mc:Choice Requires="wps">
            <w:drawing>
              <wp:anchor distT="0" distB="0" distL="114300" distR="114300" simplePos="0" relativeHeight="251677696" behindDoc="0" locked="0" layoutInCell="1" allowOverlap="1" wp14:anchorId="12EE6DFE" wp14:editId="5FFE7746">
                <wp:simplePos x="0" y="0"/>
                <wp:positionH relativeFrom="column">
                  <wp:posOffset>-762000</wp:posOffset>
                </wp:positionH>
                <wp:positionV relativeFrom="paragraph">
                  <wp:posOffset>7725410</wp:posOffset>
                </wp:positionV>
                <wp:extent cx="7620000" cy="0"/>
                <wp:effectExtent l="0" t="0" r="0" b="0"/>
                <wp:wrapNone/>
                <wp:docPr id="684" name="Straight Connector 6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25400">
                          <a:solidFill>
                            <a:srgbClr val="000000"/>
                          </a:solidFill>
                          <a:round/>
                        </a:ln>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4D13C6" id="Straight Connector 68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0pt,608.3pt" to="540pt,60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" strokeweight="2pt"/>
            </w:pict>
          </mc:Fallback>
        </mc:AlternateContent>
      </w:r>
    </w:p>
    <w:sectPr w:rsidR="00C232D7" w:rsidRPr="002A6F4E">
      <w:headerReference w:type="default"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266D6" w14:textId="77777777" w:rsidR="00F31D7D" w:rsidRDefault="00F31D7D" w:rsidP="00C232D7">
      <w:r>
        <w:separator/>
      </w:r>
    </w:p>
  </w:endnote>
  <w:endnote w:type="continuationSeparator" w:id="0">
    <w:p w14:paraId="5B1AAB3D" w14:textId="77777777" w:rsidR="00F31D7D" w:rsidRDefault="00F31D7D" w:rsidP="00C23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charset w:val="00"/>
    <w:family w:val="swiss"/>
    <w:pitch w:val="variable"/>
    <w:sig w:usb0="00000007" w:usb1="00000000" w:usb2="00000000" w:usb3="00000000" w:csb0="00000003"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GaramondPro-Bold">
    <w:altName w:val="MS Gothic"/>
    <w:panose1 w:val="00000000000000000000"/>
    <w:charset w:val="80"/>
    <w:family w:val="roman"/>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Segoe Print"/>
    <w:charset w:val="00"/>
    <w:family w:val="auto"/>
    <w:pitch w:val="variable"/>
    <w:sig w:usb0="8000006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mond (W1)">
    <w:altName w:val="Times New Roman"/>
    <w:charset w:val="00"/>
    <w:family w:val="roman"/>
    <w:pitch w:val="variable"/>
  </w:font>
  <w:font w:name="Times-NewRoman">
    <w:altName w:val="Times New Roman"/>
    <w:charset w:val="00"/>
    <w:family w:val="auto"/>
    <w:pitch w:val="default"/>
  </w:font>
  <w:font w:name="Times New Roman PL">
    <w:altName w:val="Times New Roman"/>
    <w:charset w:val="00"/>
    <w:family w:val="roman"/>
    <w:pitch w:val="variable"/>
  </w:font>
  <w:font w:name="KGAGGM+TimesNewRoman,Italic">
    <w:altName w:val="Times New Roman"/>
    <w:panose1 w:val="00000000000000000000"/>
    <w:charset w:val="00"/>
    <w:family w:val="roman"/>
    <w:notTrueType/>
    <w:pitch w:val="default"/>
    <w:sig w:usb0="00000003" w:usb1="00000000" w:usb2="00000000" w:usb3="00000000" w:csb0="00000001" w:csb1="00000000"/>
  </w:font>
  <w:font w:name="KGABMB+TimesNewRoman,Bold">
    <w:altName w:val="Times New Roman"/>
    <w:panose1 w:val="00000000000000000000"/>
    <w:charset w:val="00"/>
    <w:family w:val="roman"/>
    <w:notTrueType/>
    <w:pitch w:val="default"/>
    <w:sig w:usb0="00000003" w:usb1="00000000" w:usb2="00000000" w:usb3="00000000" w:csb0="00000001" w:csb1="00000000"/>
  </w:font>
  <w:font w:name="ヒラギノ角ゴ Pro W3">
    <w:altName w:val="Yu Gothic"/>
    <w:charset w:val="80"/>
    <w:family w:val="auto"/>
    <w:pitch w:val="variable"/>
    <w:sig w:usb0="01000000" w:usb1="00000000" w:usb2="07040001" w:usb3="00000000" w:csb0="00020000" w:csb1="00000000"/>
  </w:font>
  <w:font w:name="Comic Sans MS">
    <w:panose1 w:val="030F0702030302020204"/>
    <w:charset w:val="00"/>
    <w:family w:val="script"/>
    <w:pitch w:val="variable"/>
    <w:sig w:usb0="00000287" w:usb1="00000013"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EUAlbertina">
    <w:altName w:val="Times New Roman"/>
    <w:charset w:val="00"/>
    <w:family w:val="roman"/>
    <w:pitch w:val="default"/>
  </w:font>
  <w:font w:name="Century Schoolbook">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A00002AF" w:usb1="400078F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Dutch801 Rm Win95BT">
    <w:altName w:val="Times New Roman"/>
    <w:charset w:val="00"/>
    <w:family w:val="roman"/>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n-ea">
    <w:altName w:val="Segoe Print"/>
    <w:panose1 w:val="00000000000000000000"/>
    <w:charset w:val="00"/>
    <w:family w:val="roman"/>
    <w:notTrueType/>
    <w:pitch w:val="default"/>
  </w:font>
  <w:font w:name="TimesNewRomanPSMT">
    <w:altName w:val="MS Gothic"/>
    <w:panose1 w:val="00000000000000000000"/>
    <w:charset w:val="80"/>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A4144" w14:textId="77777777" w:rsidR="0014164F" w:rsidRDefault="0014164F">
    <w:pPr>
      <w:pStyle w:val="Footer"/>
      <w:jc w:val="right"/>
    </w:pPr>
  </w:p>
  <w:p w14:paraId="7566945C" w14:textId="77777777" w:rsidR="0014164F" w:rsidRDefault="001416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AD427" w14:textId="77777777" w:rsidR="0014164F" w:rsidRDefault="0014164F">
    <w:pPr>
      <w:pStyle w:val="Footer"/>
      <w:jc w:val="right"/>
    </w:pPr>
  </w:p>
  <w:p w14:paraId="2359A53A" w14:textId="77777777" w:rsidR="0014164F" w:rsidRDefault="001416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008852"/>
      <w:docPartObj>
        <w:docPartGallery w:val="Page Numbers (Bottom of Page)"/>
        <w:docPartUnique/>
      </w:docPartObj>
    </w:sdtPr>
    <w:sdtEndPr>
      <w:rPr>
        <w:noProof/>
      </w:rPr>
    </w:sdtEndPr>
    <w:sdtContent>
      <w:p w14:paraId="2E1F55E9" w14:textId="77777777" w:rsidR="0014164F" w:rsidRDefault="0014164F">
        <w:pPr>
          <w:pStyle w:val="Footer"/>
          <w:jc w:val="right"/>
        </w:pPr>
        <w:r>
          <w:fldChar w:fldCharType="begin"/>
        </w:r>
        <w:r>
          <w:instrText xml:space="preserve"> PAGE   \* MERGEFORMAT </w:instrText>
        </w:r>
        <w:r>
          <w:fldChar w:fldCharType="separate"/>
        </w:r>
        <w:r w:rsidR="00552AAE">
          <w:rPr>
            <w:noProof/>
          </w:rPr>
          <w:t>2</w:t>
        </w:r>
        <w:r>
          <w:rPr>
            <w:noProof/>
          </w:rPr>
          <w:fldChar w:fldCharType="end"/>
        </w:r>
      </w:p>
    </w:sdtContent>
  </w:sdt>
  <w:p w14:paraId="032F95FA" w14:textId="77777777" w:rsidR="0014164F" w:rsidRDefault="0014164F">
    <w:pPr>
      <w:rPr>
        <w:sz w:val="4"/>
        <w:szCs w:val="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7939423"/>
      <w:docPartObj>
        <w:docPartGallery w:val="Page Numbers (Bottom of Page)"/>
        <w:docPartUnique/>
      </w:docPartObj>
    </w:sdtPr>
    <w:sdtEndPr>
      <w:rPr>
        <w:noProof/>
      </w:rPr>
    </w:sdtEndPr>
    <w:sdtContent>
      <w:p w14:paraId="732D1AAE" w14:textId="77777777" w:rsidR="0014164F" w:rsidRDefault="0014164F">
        <w:pPr>
          <w:pStyle w:val="Footer"/>
          <w:jc w:val="right"/>
        </w:pPr>
        <w:r>
          <w:fldChar w:fldCharType="begin"/>
        </w:r>
        <w:r>
          <w:instrText xml:space="preserve"> PAGE   \* MERGEFORMAT </w:instrText>
        </w:r>
        <w:r>
          <w:fldChar w:fldCharType="separate"/>
        </w:r>
        <w:r w:rsidR="00552AAE">
          <w:rPr>
            <w:noProof/>
          </w:rPr>
          <w:t>160</w:t>
        </w:r>
        <w:r>
          <w:rPr>
            <w:noProof/>
          </w:rPr>
          <w:fldChar w:fldCharType="end"/>
        </w:r>
      </w:p>
    </w:sdtContent>
  </w:sdt>
  <w:p w14:paraId="246586FD" w14:textId="77777777" w:rsidR="0014164F" w:rsidRDefault="0014164F">
    <w:pPr>
      <w:rPr>
        <w:sz w:val="4"/>
        <w:szCs w:val="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0974806"/>
      <w:docPartObj>
        <w:docPartGallery w:val="Page Numbers (Bottom of Page)"/>
        <w:docPartUnique/>
      </w:docPartObj>
    </w:sdtPr>
    <w:sdtEndPr>
      <w:rPr>
        <w:noProof/>
      </w:rPr>
    </w:sdtEndPr>
    <w:sdtContent>
      <w:p w14:paraId="31EDF5D8" w14:textId="77777777" w:rsidR="0014164F" w:rsidRDefault="0014164F">
        <w:pPr>
          <w:pStyle w:val="Footer"/>
          <w:jc w:val="right"/>
        </w:pPr>
        <w:r>
          <w:fldChar w:fldCharType="begin"/>
        </w:r>
        <w:r>
          <w:instrText xml:space="preserve"> PAGE   \* MERGEFORMAT </w:instrText>
        </w:r>
        <w:r>
          <w:fldChar w:fldCharType="separate"/>
        </w:r>
        <w:r w:rsidR="00552AAE">
          <w:rPr>
            <w:noProof/>
          </w:rPr>
          <w:t>218</w:t>
        </w:r>
        <w:r>
          <w:rPr>
            <w:noProof/>
          </w:rPr>
          <w:fldChar w:fldCharType="end"/>
        </w:r>
      </w:p>
    </w:sdtContent>
  </w:sdt>
  <w:p w14:paraId="10FD2F6C" w14:textId="77777777" w:rsidR="0014164F" w:rsidRDefault="0014164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ABDA2" w14:textId="77777777" w:rsidR="0014164F" w:rsidRDefault="0014164F">
    <w:pPr>
      <w:pStyle w:val="BodyText"/>
      <w:spacing w:line="14" w:lineRule="auto"/>
      <w:rPr>
        <w:sz w:val="20"/>
      </w:rPr>
    </w:pPr>
    <w:r>
      <w:rPr>
        <w:noProof/>
        <w:sz w:val="20"/>
        <w:lang w:val="en-US" w:eastAsia="en-US"/>
      </w:rPr>
      <mc:AlternateContent>
        <mc:Choice Requires="wps">
          <w:drawing>
            <wp:anchor distT="0" distB="0" distL="0" distR="0" simplePos="0" relativeHeight="251659264" behindDoc="1" locked="0" layoutInCell="1" allowOverlap="1" wp14:anchorId="3ECDCC14" wp14:editId="781AF58D">
              <wp:simplePos x="0" y="0"/>
              <wp:positionH relativeFrom="page">
                <wp:posOffset>6591935</wp:posOffset>
              </wp:positionH>
              <wp:positionV relativeFrom="page">
                <wp:posOffset>9240520</wp:posOffset>
              </wp:positionV>
              <wp:extent cx="317500" cy="194310"/>
              <wp:effectExtent l="0" t="0" r="0" b="0"/>
              <wp:wrapNone/>
              <wp:docPr id="550" name="Textbox 550"/>
              <wp:cNvGraphicFramePr/>
              <a:graphic xmlns:a="http://schemas.openxmlformats.org/drawingml/2006/main">
                <a:graphicData uri="http://schemas.microsoft.com/office/word/2010/wordprocessingShape">
                  <wps:wsp>
                    <wps:cNvSpPr txBox="1"/>
                    <wps:spPr>
                      <a:xfrm>
                        <a:off x="0" y="0"/>
                        <a:ext cx="317500" cy="194310"/>
                      </a:xfrm>
                      <a:prstGeom prst="rect">
                        <a:avLst/>
                      </a:prstGeom>
                    </wps:spPr>
                    <wps:txbx>
                      <w:txbxContent>
                        <w:p w14:paraId="45A8C10D" w14:textId="77777777" w:rsidR="0014164F" w:rsidRDefault="0014164F">
                          <w:pPr>
                            <w:pStyle w:val="BodyText"/>
                            <w:spacing w:before="10"/>
                            <w:ind w:left="60"/>
                          </w:pPr>
                          <w:r>
                            <w:rPr>
                              <w:spacing w:val="-5"/>
                            </w:rPr>
                            <w:fldChar w:fldCharType="begin"/>
                          </w:r>
                          <w:r>
                            <w:rPr>
                              <w:spacing w:val="-5"/>
                            </w:rPr>
                            <w:instrText xml:space="preserve"> PAGE </w:instrText>
                          </w:r>
                          <w:r>
                            <w:rPr>
                              <w:spacing w:val="-5"/>
                            </w:rPr>
                            <w:fldChar w:fldCharType="separate"/>
                          </w:r>
                          <w:r w:rsidR="00552AAE">
                            <w:rPr>
                              <w:noProof/>
                              <w:spacing w:val="-5"/>
                            </w:rPr>
                            <w:t>219</w:t>
                          </w:r>
                          <w:r>
                            <w:rPr>
                              <w:spacing w:val="-5"/>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ECDCC14" id="_x0000_t202" coordsize="21600,21600" o:spt="202" path="m,l,21600r21600,l21600,xe">
              <v:stroke joinstyle="miter"/>
              <v:path gradientshapeok="t" o:connecttype="rect"/>
            </v:shapetype>
            <v:shape id="Textbox 550" o:spid="_x0000_s2127" type="#_x0000_t202" style="position:absolute;margin-left:519.05pt;margin-top:727.6pt;width:25pt;height:15.3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" filled="f" stroked="f">
              <v:textbox inset="0,0,0,0">
                <w:txbxContent>
                  <w:p w14:paraId="45A8C10D" w14:textId="77777777" w:rsidR="0014164F" w:rsidRDefault="0014164F">
                    <w:pPr>
                      <w:pStyle w:val="BodyText"/>
                      <w:spacing w:before="10"/>
                      <w:ind w:left="60"/>
                    </w:pPr>
                    <w:r>
                      <w:rPr>
                        <w:spacing w:val="-5"/>
                      </w:rPr>
                      <w:fldChar w:fldCharType="begin"/>
                    </w:r>
                    <w:r>
                      <w:rPr>
                        <w:spacing w:val="-5"/>
                      </w:rPr>
                      <w:instrText xml:space="preserve"> PAGE </w:instrText>
                    </w:r>
                    <w:r>
                      <w:rPr>
                        <w:spacing w:val="-5"/>
                      </w:rPr>
                      <w:fldChar w:fldCharType="separate"/>
                    </w:r>
                    <w:r w:rsidR="00552AAE">
                      <w:rPr>
                        <w:noProof/>
                        <w:spacing w:val="-5"/>
                      </w:rPr>
                      <w:t>219</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0363750"/>
      <w:docPartObj>
        <w:docPartGallery w:val="Page Numbers (Bottom of Page)"/>
        <w:docPartUnique/>
      </w:docPartObj>
    </w:sdtPr>
    <w:sdtEndPr>
      <w:rPr>
        <w:noProof/>
      </w:rPr>
    </w:sdtEndPr>
    <w:sdtContent>
      <w:p w14:paraId="3D9BF998" w14:textId="77777777" w:rsidR="0014164F" w:rsidRDefault="0014164F">
        <w:pPr>
          <w:pStyle w:val="Footer"/>
          <w:jc w:val="right"/>
        </w:pPr>
        <w:r>
          <w:fldChar w:fldCharType="begin"/>
        </w:r>
        <w:r>
          <w:instrText xml:space="preserve"> PAGE   \* MERGEFORMAT </w:instrText>
        </w:r>
        <w:r>
          <w:fldChar w:fldCharType="separate"/>
        </w:r>
        <w:r w:rsidR="00552AAE">
          <w:rPr>
            <w:noProof/>
          </w:rPr>
          <w:t>244</w:t>
        </w:r>
        <w:r>
          <w:rPr>
            <w:noProof/>
          </w:rPr>
          <w:fldChar w:fldCharType="end"/>
        </w:r>
      </w:p>
    </w:sdtContent>
  </w:sdt>
  <w:p w14:paraId="23C30C2B" w14:textId="77777777" w:rsidR="0014164F" w:rsidRDefault="0014164F">
    <w:pPr>
      <w:pStyle w:val="Footer"/>
      <w:rPr>
        <w:sz w:val="4"/>
        <w:szCs w:val="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680489"/>
      <w:docPartObj>
        <w:docPartGallery w:val="Page Numbers (Bottom of Page)"/>
        <w:docPartUnique/>
      </w:docPartObj>
    </w:sdtPr>
    <w:sdtEndPr>
      <w:rPr>
        <w:noProof/>
      </w:rPr>
    </w:sdtEndPr>
    <w:sdtContent>
      <w:p w14:paraId="080DBD4E" w14:textId="0C122FF9" w:rsidR="0014164F" w:rsidRDefault="0014164F">
        <w:pPr>
          <w:pStyle w:val="Footer"/>
          <w:jc w:val="right"/>
        </w:pPr>
        <w:r>
          <w:fldChar w:fldCharType="begin"/>
        </w:r>
        <w:r>
          <w:instrText xml:space="preserve"> PAGE   \* MERGEFORMAT </w:instrText>
        </w:r>
        <w:r>
          <w:fldChar w:fldCharType="separate"/>
        </w:r>
        <w:r w:rsidR="00552AAE">
          <w:rPr>
            <w:noProof/>
          </w:rPr>
          <w:t>270</w:t>
        </w:r>
        <w:r>
          <w:rPr>
            <w:noProof/>
          </w:rPr>
          <w:fldChar w:fldCharType="end"/>
        </w:r>
      </w:p>
    </w:sdtContent>
  </w:sdt>
  <w:p w14:paraId="420D583A" w14:textId="77777777" w:rsidR="0014164F" w:rsidRDefault="0014164F">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115CE7" w14:textId="77777777" w:rsidR="00F31D7D" w:rsidRDefault="00F31D7D" w:rsidP="00C232D7">
      <w:r>
        <w:separator/>
      </w:r>
    </w:p>
  </w:footnote>
  <w:footnote w:type="continuationSeparator" w:id="0">
    <w:p w14:paraId="2A8BBE96" w14:textId="77777777" w:rsidR="00F31D7D" w:rsidRDefault="00F31D7D" w:rsidP="00C232D7">
      <w:r>
        <w:continuationSeparator/>
      </w:r>
    </w:p>
  </w:footnote>
  <w:footnote w:id="1">
    <w:p w14:paraId="6D92D3E5" w14:textId="54C3A2F6" w:rsidR="0014164F" w:rsidRPr="005253B6" w:rsidRDefault="0014164F">
      <w:pPr>
        <w:pStyle w:val="FootnoteText"/>
        <w:rPr>
          <w:lang w:val="sr-Latn-ME"/>
        </w:rPr>
      </w:pPr>
      <w:r>
        <w:rPr>
          <w:rStyle w:val="FootnoteReference"/>
        </w:rPr>
        <w:footnoteRef/>
      </w:r>
      <w:r>
        <w:t xml:space="preserve"> </w:t>
      </w:r>
      <w:r w:rsidRPr="00462407">
        <w:rPr>
          <w:rFonts w:ascii="Arial" w:hAnsi="Arial" w:cs="Arial"/>
          <w:smallCaps w:val="0"/>
          <w:sz w:val="18"/>
          <w:szCs w:val="18"/>
        </w:rPr>
        <w:t>EEA</w:t>
      </w:r>
      <w:r w:rsidRPr="00462407">
        <w:rPr>
          <w:rFonts w:ascii="Arial" w:hAnsi="Arial" w:cs="Arial"/>
          <w:sz w:val="18"/>
          <w:szCs w:val="18"/>
        </w:rPr>
        <w:t xml:space="preserve"> (2019). </w:t>
      </w:r>
      <w:r w:rsidRPr="00462407">
        <w:rPr>
          <w:rFonts w:ascii="Arial" w:hAnsi="Arial" w:cs="Arial"/>
          <w:smallCaps w:val="0"/>
          <w:sz w:val="18"/>
          <w:szCs w:val="18"/>
        </w:rPr>
        <w:t xml:space="preserve">Efikasnost resursa i otpad </w:t>
      </w:r>
      <w:r w:rsidRPr="00462407">
        <w:rPr>
          <w:rFonts w:ascii="Arial" w:hAnsi="Arial" w:cs="Arial"/>
          <w:sz w:val="18"/>
          <w:szCs w:val="18"/>
        </w:rPr>
        <w:t xml:space="preserve"> (</w:t>
      </w:r>
      <w:hyperlink r:id="rId1" w:history="1">
        <w:r w:rsidRPr="00462407">
          <w:rPr>
            <w:rStyle w:val="Hyperlink"/>
            <w:rFonts w:ascii="Arial" w:eastAsiaTheme="majorEastAsia" w:hAnsi="Arial" w:cs="Arial"/>
            <w:sz w:val="18"/>
            <w:szCs w:val="18"/>
          </w:rPr>
          <w:t>www.eea.europa.eu/themes/waste/intro</w:t>
        </w:r>
      </w:hyperlink>
      <w:r w:rsidRPr="00462407">
        <w:rPr>
          <w:rFonts w:ascii="Arial" w:hAnsi="Arial" w:cs="Arial"/>
          <w:sz w:val="18"/>
          <w:szCs w:val="18"/>
        </w:rPr>
        <w:t>)</w:t>
      </w:r>
    </w:p>
  </w:footnote>
  <w:footnote w:id="2">
    <w:p w14:paraId="21EB5853" w14:textId="21CA8B51" w:rsidR="0014164F" w:rsidRPr="00F9467F" w:rsidRDefault="0014164F">
      <w:pPr>
        <w:pStyle w:val="FootnoteText"/>
        <w:rPr>
          <w:lang w:val="sr-Latn-ME"/>
        </w:rPr>
      </w:pPr>
      <w:r>
        <w:rPr>
          <w:rStyle w:val="FootnoteReference"/>
        </w:rPr>
        <w:footnoteRef/>
      </w:r>
      <w:r>
        <w:t xml:space="preserve"> </w:t>
      </w:r>
      <w:hyperlink r:id="rId2" w:history="1">
        <w:r>
          <w:rPr>
            <w:rStyle w:val="Hyperlink"/>
          </w:rPr>
          <w:t>Direktiva (EU) 2018/ Europskog parlamenta i Vijeća od 30. svibnja 2018. o izmjeni Direktive 2008/98/EZ o otpadu (europa.eu)</w:t>
        </w:r>
      </w:hyperlink>
    </w:p>
  </w:footnote>
  <w:footnote w:id="3">
    <w:p w14:paraId="3793BB13" w14:textId="77777777" w:rsidR="0014164F" w:rsidRPr="009E69E7" w:rsidRDefault="0014164F" w:rsidP="00C232D7">
      <w:pPr>
        <w:pStyle w:val="FootnoteText"/>
        <w:rPr>
          <w:rFonts w:ascii="Arial" w:hAnsi="Arial" w:cs="Arial"/>
          <w:smallCaps w:val="0"/>
          <w:sz w:val="18"/>
          <w:szCs w:val="18"/>
          <w:lang w:val="de-DE"/>
        </w:rPr>
      </w:pPr>
      <w:r w:rsidRPr="005E5272">
        <w:rPr>
          <w:rStyle w:val="FootnoteReference"/>
          <w:rFonts w:ascii="Arial" w:hAnsi="Arial" w:cs="Arial"/>
          <w:sz w:val="18"/>
          <w:szCs w:val="18"/>
        </w:rPr>
        <w:footnoteRef/>
      </w:r>
      <w:r w:rsidRPr="00D94655">
        <w:rPr>
          <w:rFonts w:ascii="Arial" w:hAnsi="Arial" w:cs="Arial"/>
          <w:sz w:val="18"/>
          <w:szCs w:val="18"/>
          <w:lang w:val="sr-Latn-ME"/>
        </w:rPr>
        <w:t xml:space="preserve">  </w:t>
      </w:r>
      <w:r w:rsidRPr="00D94655">
        <w:rPr>
          <w:rFonts w:ascii="Arial" w:hAnsi="Arial" w:cs="Arial"/>
          <w:smallCaps w:val="0"/>
          <w:sz w:val="18"/>
          <w:szCs w:val="18"/>
          <w:lang w:val="sr-Latn-ME"/>
        </w:rPr>
        <w:t xml:space="preserve"> </w:t>
      </w:r>
      <w:r w:rsidRPr="009E69E7">
        <w:rPr>
          <w:rFonts w:ascii="Arial" w:hAnsi="Arial" w:cs="Arial"/>
          <w:smallCaps w:val="0"/>
          <w:sz w:val="18"/>
          <w:szCs w:val="18"/>
        </w:rPr>
        <w:t>U</w:t>
      </w:r>
      <w:r w:rsidRPr="00D94655">
        <w:rPr>
          <w:rFonts w:ascii="Arial" w:hAnsi="Arial" w:cs="Arial"/>
          <w:smallCaps w:val="0"/>
          <w:sz w:val="18"/>
          <w:szCs w:val="18"/>
          <w:lang w:val="sr-Latn-ME"/>
        </w:rPr>
        <w:t xml:space="preserve"> </w:t>
      </w:r>
      <w:r w:rsidRPr="009E69E7">
        <w:rPr>
          <w:rFonts w:ascii="Arial" w:hAnsi="Arial" w:cs="Arial"/>
          <w:smallCaps w:val="0"/>
          <w:sz w:val="18"/>
          <w:szCs w:val="18"/>
        </w:rPr>
        <w:t>skladu</w:t>
      </w:r>
      <w:r w:rsidRPr="00D94655">
        <w:rPr>
          <w:rFonts w:ascii="Arial" w:hAnsi="Arial" w:cs="Arial"/>
          <w:smallCaps w:val="0"/>
          <w:sz w:val="18"/>
          <w:szCs w:val="18"/>
          <w:lang w:val="sr-Latn-ME"/>
        </w:rPr>
        <w:t xml:space="preserve"> </w:t>
      </w:r>
      <w:r w:rsidRPr="009E69E7">
        <w:rPr>
          <w:rFonts w:ascii="Arial" w:hAnsi="Arial" w:cs="Arial"/>
          <w:smallCaps w:val="0"/>
          <w:sz w:val="18"/>
          <w:szCs w:val="18"/>
        </w:rPr>
        <w:t>sa</w:t>
      </w:r>
      <w:r w:rsidRPr="00D94655">
        <w:rPr>
          <w:rFonts w:ascii="Arial" w:hAnsi="Arial" w:cs="Arial"/>
          <w:smallCaps w:val="0"/>
          <w:sz w:val="18"/>
          <w:szCs w:val="18"/>
          <w:lang w:val="sr-Latn-ME"/>
        </w:rPr>
        <w:t xml:space="preserve"> </w:t>
      </w:r>
      <w:r w:rsidRPr="009E69E7">
        <w:rPr>
          <w:rFonts w:ascii="Arial" w:hAnsi="Arial" w:cs="Arial"/>
          <w:smallCaps w:val="0"/>
          <w:sz w:val="18"/>
          <w:szCs w:val="18"/>
        </w:rPr>
        <w:t>odredbama</w:t>
      </w:r>
      <w:r w:rsidRPr="00D94655">
        <w:rPr>
          <w:rFonts w:ascii="Arial" w:hAnsi="Arial" w:cs="Arial"/>
          <w:smallCaps w:val="0"/>
          <w:sz w:val="18"/>
          <w:szCs w:val="18"/>
          <w:lang w:val="sr-Latn-ME"/>
        </w:rPr>
        <w:t xml:space="preserve"> č</w:t>
      </w:r>
      <w:r w:rsidRPr="009E69E7">
        <w:rPr>
          <w:rFonts w:ascii="Arial" w:hAnsi="Arial" w:cs="Arial"/>
          <w:smallCaps w:val="0"/>
          <w:sz w:val="18"/>
          <w:szCs w:val="18"/>
        </w:rPr>
        <w:t>lana</w:t>
      </w:r>
      <w:r w:rsidRPr="00D94655">
        <w:rPr>
          <w:rFonts w:ascii="Arial" w:hAnsi="Arial" w:cs="Arial"/>
          <w:smallCaps w:val="0"/>
          <w:sz w:val="18"/>
          <w:szCs w:val="18"/>
          <w:lang w:val="sr-Latn-ME"/>
        </w:rPr>
        <w:t xml:space="preserve"> 29. </w:t>
      </w:r>
      <w:r w:rsidRPr="009E69E7">
        <w:rPr>
          <w:rFonts w:ascii="Arial" w:hAnsi="Arial" w:cs="Arial"/>
          <w:smallCaps w:val="0"/>
          <w:sz w:val="18"/>
          <w:szCs w:val="18"/>
          <w:lang w:val="de-DE"/>
        </w:rPr>
        <w:t>Okvirne direktive o otpadu 2008/98/EC.</w:t>
      </w:r>
    </w:p>
  </w:footnote>
  <w:footnote w:id="4">
    <w:p w14:paraId="07B7188F" w14:textId="66BCC1A0" w:rsidR="0014164F" w:rsidRPr="009D14D4" w:rsidRDefault="0014164F">
      <w:pPr>
        <w:pStyle w:val="FootnoteText"/>
        <w:rPr>
          <w:lang w:val="sr-Latn-ME"/>
        </w:rPr>
      </w:pPr>
      <w:r>
        <w:rPr>
          <w:rStyle w:val="FootnoteReference"/>
        </w:rPr>
        <w:footnoteRef/>
      </w:r>
      <w:r w:rsidRPr="003D7619">
        <w:rPr>
          <w:lang w:val="de-DE"/>
        </w:rPr>
        <w:t xml:space="preserve"> </w:t>
      </w:r>
      <w:r w:rsidRPr="009D14D4">
        <w:rPr>
          <w:rFonts w:ascii="Arial" w:hAnsi="Arial" w:cs="Arial"/>
          <w:smallCaps w:val="0"/>
          <w:color w:val="auto"/>
          <w:sz w:val="18"/>
          <w:szCs w:val="18"/>
          <w:lang w:val="de-DE"/>
        </w:rPr>
        <w:t>Zakon o upravljanju otpadom</w:t>
      </w:r>
    </w:p>
  </w:footnote>
  <w:footnote w:id="5">
    <w:p w14:paraId="397C86D8" w14:textId="77777777" w:rsidR="0014164F" w:rsidRPr="008C4B6C" w:rsidRDefault="0014164F" w:rsidP="00C232D7">
      <w:pPr>
        <w:pStyle w:val="FootnoteText"/>
        <w:rPr>
          <w:rFonts w:ascii="Arial" w:hAnsi="Arial" w:cs="Arial"/>
          <w:color w:val="auto"/>
          <w:sz w:val="18"/>
          <w:szCs w:val="18"/>
          <w:lang w:val="de-DE"/>
        </w:rPr>
      </w:pPr>
      <w:r w:rsidRPr="00F75D49">
        <w:rPr>
          <w:rStyle w:val="FootnoteReference"/>
          <w:rFonts w:ascii="Arial" w:hAnsi="Arial" w:cs="Arial"/>
          <w:sz w:val="18"/>
          <w:szCs w:val="18"/>
        </w:rPr>
        <w:footnoteRef/>
      </w:r>
      <w:r w:rsidRPr="00F75D49">
        <w:rPr>
          <w:rFonts w:ascii="Arial" w:hAnsi="Arial" w:cs="Arial"/>
          <w:sz w:val="18"/>
          <w:szCs w:val="18"/>
          <w:lang w:val="de-DE"/>
        </w:rPr>
        <w:t xml:space="preserve"> </w:t>
      </w:r>
      <w:r w:rsidRPr="00F75D49">
        <w:rPr>
          <w:rFonts w:ascii="Arial" w:hAnsi="Arial" w:cs="Arial"/>
          <w:smallCaps w:val="0"/>
          <w:sz w:val="18"/>
          <w:szCs w:val="18"/>
          <w:lang w:val="de-DE"/>
        </w:rPr>
        <w:t xml:space="preserve">Pregovaračka pozicija Crne Gore za </w:t>
      </w:r>
      <w:r w:rsidRPr="008C4B6C">
        <w:rPr>
          <w:rFonts w:ascii="Arial" w:hAnsi="Arial" w:cs="Arial"/>
          <w:smallCaps w:val="0"/>
          <w:color w:val="auto"/>
          <w:sz w:val="18"/>
          <w:szCs w:val="18"/>
          <w:lang w:val="de-DE"/>
        </w:rPr>
        <w:t>pristupanje EU, 2018</w:t>
      </w:r>
    </w:p>
  </w:footnote>
  <w:footnote w:id="6">
    <w:p w14:paraId="794DD61F" w14:textId="6A5F3D29" w:rsidR="0014164F" w:rsidRPr="008C4B6C" w:rsidRDefault="0014164F" w:rsidP="00C232D7">
      <w:pPr>
        <w:pStyle w:val="FootnoteText"/>
        <w:rPr>
          <w:rFonts w:ascii="Arial" w:hAnsi="Arial" w:cs="Arial"/>
          <w:color w:val="auto"/>
          <w:sz w:val="18"/>
          <w:szCs w:val="18"/>
          <w:lang w:val="de-DE"/>
        </w:rPr>
      </w:pPr>
      <w:r w:rsidRPr="008C4B6C">
        <w:rPr>
          <w:rStyle w:val="FootnoteReference"/>
          <w:rFonts w:ascii="Arial" w:hAnsi="Arial" w:cs="Arial"/>
          <w:color w:val="auto"/>
          <w:sz w:val="18"/>
          <w:szCs w:val="18"/>
        </w:rPr>
        <w:footnoteRef/>
      </w:r>
      <w:r w:rsidRPr="008C4B6C">
        <w:rPr>
          <w:rFonts w:ascii="Arial" w:hAnsi="Arial" w:cs="Arial"/>
          <w:color w:val="auto"/>
          <w:sz w:val="18"/>
          <w:szCs w:val="18"/>
          <w:lang w:val="de-DE"/>
        </w:rPr>
        <w:t xml:space="preserve"> </w:t>
      </w:r>
      <w:r w:rsidRPr="008C4B6C">
        <w:rPr>
          <w:rFonts w:ascii="Arial" w:hAnsi="Arial" w:cs="Arial"/>
          <w:smallCaps w:val="0"/>
          <w:color w:val="auto"/>
          <w:sz w:val="18"/>
          <w:szCs w:val="18"/>
          <w:lang w:val="de-DE"/>
        </w:rPr>
        <w:t>Metod obračuna 2 prema</w:t>
      </w:r>
      <w:r>
        <w:rPr>
          <w:rFonts w:ascii="Arial" w:hAnsi="Arial" w:cs="Arial"/>
          <w:smallCaps w:val="0"/>
          <w:color w:val="auto"/>
          <w:sz w:val="18"/>
          <w:szCs w:val="18"/>
          <w:lang w:val="de-DE"/>
        </w:rPr>
        <w:t xml:space="preserve"> </w:t>
      </w:r>
      <w:hyperlink r:id="rId3" w:history="1">
        <w:r>
          <w:rPr>
            <w:rStyle w:val="Hyperlink"/>
          </w:rPr>
          <w:t>Odluka - 2011/753 - EN - EUR-Lex (europa.eu)</w:t>
        </w:r>
      </w:hyperlink>
    </w:p>
  </w:footnote>
  <w:footnote w:id="7">
    <w:p w14:paraId="3A1C524E" w14:textId="77777777" w:rsidR="0014164F" w:rsidRDefault="0014164F" w:rsidP="00C232D7">
      <w:pPr>
        <w:pStyle w:val="FootnoteText"/>
        <w:rPr>
          <w:lang w:val="bs-Latn-BA"/>
        </w:rPr>
      </w:pPr>
      <w:r w:rsidRPr="008C4B6C">
        <w:rPr>
          <w:rStyle w:val="FootnoteReference"/>
          <w:rFonts w:ascii="Arial" w:hAnsi="Arial" w:cs="Arial"/>
          <w:color w:val="auto"/>
        </w:rPr>
        <w:footnoteRef/>
      </w:r>
      <w:r w:rsidRPr="008C4B6C">
        <w:rPr>
          <w:rFonts w:ascii="Arial" w:hAnsi="Arial" w:cs="Arial"/>
          <w:color w:val="auto"/>
          <w:lang w:val="de-DE"/>
        </w:rPr>
        <w:t xml:space="preserve"> </w:t>
      </w:r>
      <w:r w:rsidRPr="008C4B6C">
        <w:rPr>
          <w:rFonts w:ascii="Arial" w:hAnsi="Arial" w:cs="Arial"/>
          <w:smallCaps w:val="0"/>
          <w:color w:val="auto"/>
          <w:sz w:val="18"/>
          <w:szCs w:val="18"/>
          <w:lang w:val="de-DE"/>
        </w:rPr>
        <w:t>Radni dokument Komisije. SWD (2024) 293 final, Izvještaj za Crnu Goru za 2024. godinu, 2021 Saopštenje o politici proširenja, {COM(2021) 644 final}</w:t>
      </w:r>
    </w:p>
  </w:footnote>
  <w:footnote w:id="8">
    <w:p w14:paraId="4482EE58" w14:textId="2EC88A19" w:rsidR="0014164F" w:rsidRPr="000D4EBC" w:rsidRDefault="0014164F">
      <w:pPr>
        <w:pStyle w:val="FootnoteText"/>
        <w:rPr>
          <w:lang w:val="sr-Latn-ME"/>
        </w:rPr>
      </w:pPr>
      <w:r>
        <w:rPr>
          <w:rStyle w:val="FootnoteReference"/>
        </w:rPr>
        <w:footnoteRef/>
      </w:r>
      <w:r w:rsidRPr="00D94655">
        <w:rPr>
          <w:lang w:val="bs-Latn-BA"/>
        </w:rPr>
        <w:t xml:space="preserve"> </w:t>
      </w:r>
      <w:r w:rsidRPr="00837CE8">
        <w:rPr>
          <w:rFonts w:ascii="Arial" w:hAnsi="Arial" w:cs="Arial"/>
          <w:iCs/>
          <w:smallCaps w:val="0"/>
          <w:color w:val="auto"/>
          <w:sz w:val="18"/>
          <w:szCs w:val="18"/>
          <w:lang w:val="sq-AL"/>
        </w:rPr>
        <w:t>Korišćeni su podaci MONSTAT o generisanju i sakupljanju komunalnog otpada</w:t>
      </w:r>
    </w:p>
  </w:footnote>
  <w:footnote w:id="9">
    <w:p w14:paraId="7FB7DCC8" w14:textId="6940D787" w:rsidR="0014164F" w:rsidRPr="006F1E43" w:rsidRDefault="0014164F">
      <w:pPr>
        <w:pStyle w:val="FootnoteText"/>
        <w:rPr>
          <w:lang w:val="sr-Latn-ME"/>
        </w:rPr>
      </w:pPr>
      <w:r>
        <w:rPr>
          <w:rStyle w:val="FootnoteReference"/>
        </w:rPr>
        <w:footnoteRef/>
      </w:r>
      <w:r w:rsidRPr="00D94655">
        <w:rPr>
          <w:lang w:val="sr-Latn-ME"/>
        </w:rPr>
        <w:t xml:space="preserve"> </w:t>
      </w:r>
      <w:r w:rsidRPr="00DC0DAE">
        <w:rPr>
          <w:rFonts w:ascii="Arial" w:hAnsi="Arial" w:cs="Arial"/>
          <w:iCs/>
          <w:smallCaps w:val="0"/>
          <w:color w:val="auto"/>
          <w:sz w:val="18"/>
          <w:szCs w:val="18"/>
          <w:lang w:val="sq-AL"/>
        </w:rPr>
        <w:t>izvor</w:t>
      </w:r>
      <w:r>
        <w:rPr>
          <w:rFonts w:ascii="Arial" w:hAnsi="Arial" w:cs="Arial"/>
          <w:iCs/>
          <w:smallCaps w:val="0"/>
          <w:color w:val="auto"/>
          <w:sz w:val="18"/>
          <w:szCs w:val="18"/>
          <w:lang w:val="sq-AL"/>
        </w:rPr>
        <w:t xml:space="preserve"> za tabele 4, 5 i 6:</w:t>
      </w:r>
      <w:r w:rsidRPr="00D94655">
        <w:rPr>
          <w:lang w:val="sr-Latn-ME"/>
        </w:rPr>
        <w:t xml:space="preserve"> </w:t>
      </w:r>
      <w:hyperlink r:id="rId4" w:history="1">
        <w:r>
          <w:rPr>
            <w:rStyle w:val="Hyperlink"/>
          </w:rPr>
          <w:t>Stvoreni i obrađeni otpad u 2022. godini.pdf (monstat.org)</w:t>
        </w:r>
      </w:hyperlink>
      <w:r w:rsidRPr="00D94655">
        <w:rPr>
          <w:lang w:val="sr-Latn-ME"/>
        </w:rPr>
        <w:t xml:space="preserve">, </w:t>
      </w:r>
      <w:hyperlink r:id="rId5" w:history="1">
        <w:r>
          <w:rPr>
            <w:rStyle w:val="Hyperlink"/>
          </w:rPr>
          <w:t>Stvoreni i obrađeni otpad u 2023.godini.pdf (monstat.org)</w:t>
        </w:r>
      </w:hyperlink>
      <w:r w:rsidRPr="00D94655">
        <w:rPr>
          <w:lang w:val="sr-Latn-ME"/>
        </w:rPr>
        <w:t xml:space="preserve"> </w:t>
      </w:r>
      <w:r>
        <w:rPr>
          <w:rFonts w:ascii="Arial" w:hAnsi="Arial" w:cs="Arial"/>
          <w:iCs/>
          <w:smallCaps w:val="0"/>
          <w:color w:val="auto"/>
          <w:sz w:val="18"/>
          <w:szCs w:val="18"/>
          <w:lang w:val="sq-AL"/>
        </w:rPr>
        <w:t xml:space="preserve"> </w:t>
      </w:r>
    </w:p>
  </w:footnote>
  <w:footnote w:id="10">
    <w:p w14:paraId="25511CF5" w14:textId="472F9D33" w:rsidR="0014164F" w:rsidRDefault="0014164F" w:rsidP="00FD3C0A">
      <w:pPr>
        <w:pStyle w:val="NoSpacing"/>
        <w:rPr>
          <w:rFonts w:ascii="Arial" w:hAnsi="Arial" w:cs="Arial"/>
          <w:i/>
          <w:lang w:val="sq-AL"/>
        </w:rPr>
      </w:pPr>
      <w:r>
        <w:rPr>
          <w:rStyle w:val="FootnoteReference"/>
        </w:rPr>
        <w:footnoteRef/>
      </w:r>
      <w:r w:rsidRPr="004C6260">
        <w:rPr>
          <w:lang w:val="sr-Latn-ME"/>
        </w:rPr>
        <w:t xml:space="preserve"> </w:t>
      </w:r>
      <w:r>
        <w:rPr>
          <w:rFonts w:ascii="Arial" w:hAnsi="Arial" w:cs="Arial"/>
          <w:iCs/>
          <w:sz w:val="18"/>
          <w:szCs w:val="18"/>
          <w:lang w:val="sq-AL"/>
        </w:rPr>
        <w:t>i</w:t>
      </w:r>
      <w:r w:rsidRPr="00FD3C0A">
        <w:rPr>
          <w:rFonts w:ascii="Arial" w:hAnsi="Arial" w:cs="Arial"/>
          <w:iCs/>
          <w:sz w:val="18"/>
          <w:szCs w:val="18"/>
          <w:lang w:val="sq-AL"/>
        </w:rPr>
        <w:t>zvor: Podaci komunalnih preduzeća, jedinica lokalne samouprave, MONSTAT, Agencija za zaštitu životne sredine</w:t>
      </w:r>
    </w:p>
    <w:p w14:paraId="4731558E" w14:textId="45083435" w:rsidR="0014164F" w:rsidRPr="00FD3C0A" w:rsidRDefault="0014164F">
      <w:pPr>
        <w:pStyle w:val="FootnoteText"/>
        <w:rPr>
          <w:lang w:val="sr-Latn-ME"/>
        </w:rPr>
      </w:pPr>
    </w:p>
  </w:footnote>
  <w:footnote w:id="11">
    <w:p w14:paraId="662CA553" w14:textId="224C6AED" w:rsidR="0014164F" w:rsidRPr="004C6260" w:rsidRDefault="0014164F">
      <w:pPr>
        <w:pStyle w:val="FootnoteText"/>
        <w:rPr>
          <w:color w:val="auto"/>
          <w:lang w:val="sr-Latn-ME"/>
        </w:rPr>
      </w:pPr>
      <w:r>
        <w:rPr>
          <w:rStyle w:val="FootnoteReference"/>
        </w:rPr>
        <w:footnoteRef/>
      </w:r>
      <w:r w:rsidRPr="004C6260">
        <w:rPr>
          <w:lang w:val="sr-Latn-ME"/>
        </w:rPr>
        <w:t xml:space="preserve"> </w:t>
      </w:r>
      <w:r w:rsidRPr="003C3822">
        <w:rPr>
          <w:rFonts w:ascii="Arial" w:hAnsi="Arial" w:cs="Arial"/>
          <w:iCs/>
          <w:smallCaps w:val="0"/>
          <w:color w:val="auto"/>
          <w:sz w:val="18"/>
          <w:szCs w:val="18"/>
          <w:lang w:val="sq-AL"/>
        </w:rPr>
        <w:t>izvor za tabele 7 i 8:</w:t>
      </w:r>
      <w:r w:rsidRPr="004C6260">
        <w:rPr>
          <w:lang w:val="sr-Latn-ME"/>
        </w:rPr>
        <w:t xml:space="preserve"> </w:t>
      </w:r>
      <w:hyperlink r:id="rId6" w:history="1">
        <w:r w:rsidRPr="004C6260">
          <w:rPr>
            <w:rStyle w:val="Hyperlink"/>
            <w:color w:val="auto"/>
            <w:u w:val="none"/>
          </w:rPr>
          <w:t>Stvoreni i obrađeni otpad u 2022.godini.pdf (monstat.org)</w:t>
        </w:r>
      </w:hyperlink>
      <w:r w:rsidRPr="004C6260">
        <w:rPr>
          <w:color w:val="auto"/>
          <w:lang w:val="sr-Latn-ME"/>
        </w:rPr>
        <w:t xml:space="preserve">, </w:t>
      </w:r>
      <w:hyperlink r:id="rId7" w:history="1">
        <w:r w:rsidRPr="004C6260">
          <w:rPr>
            <w:rStyle w:val="Hyperlink"/>
            <w:color w:val="auto"/>
            <w:u w:val="none"/>
          </w:rPr>
          <w:t>Stvoreni i obrađeni otpad u 2023.godini.pdf (monstat.org)</w:t>
        </w:r>
      </w:hyperlink>
      <w:r w:rsidRPr="004C6260">
        <w:rPr>
          <w:color w:val="auto"/>
          <w:lang w:val="sr-Latn-ME"/>
        </w:rPr>
        <w:t xml:space="preserve"> </w:t>
      </w:r>
      <w:r w:rsidRPr="003C3822">
        <w:rPr>
          <w:rFonts w:ascii="Arial" w:hAnsi="Arial" w:cs="Arial"/>
          <w:iCs/>
          <w:smallCaps w:val="0"/>
          <w:color w:val="auto"/>
          <w:sz w:val="18"/>
          <w:szCs w:val="18"/>
          <w:lang w:val="sq-AL"/>
        </w:rPr>
        <w:t xml:space="preserve"> </w:t>
      </w:r>
    </w:p>
  </w:footnote>
  <w:footnote w:id="12">
    <w:p w14:paraId="7F5F51EE" w14:textId="1112C6A9" w:rsidR="0014164F" w:rsidRPr="00B7490D" w:rsidRDefault="0014164F">
      <w:pPr>
        <w:pStyle w:val="FootnoteText"/>
        <w:rPr>
          <w:lang w:val="sr-Latn-ME"/>
        </w:rPr>
      </w:pPr>
      <w:r>
        <w:rPr>
          <w:rStyle w:val="FootnoteReference"/>
        </w:rPr>
        <w:footnoteRef/>
      </w:r>
      <w:r w:rsidRPr="003D7619">
        <w:rPr>
          <w:lang w:val="sr-Latn-ME"/>
        </w:rPr>
        <w:t xml:space="preserve"> </w:t>
      </w:r>
      <w:hyperlink r:id="rId8" w:history="1">
        <w:r>
          <w:rPr>
            <w:rStyle w:val="Hyperlink"/>
          </w:rPr>
          <w:t>Informacije o stanju životne sredine – Agencija za zaštitu životne sredine (epa.org.me)</w:t>
        </w:r>
      </w:hyperlink>
    </w:p>
  </w:footnote>
  <w:footnote w:id="13">
    <w:p w14:paraId="192307E2" w14:textId="40C2F080" w:rsidR="0014164F" w:rsidRPr="00245B58" w:rsidRDefault="0014164F" w:rsidP="00E41716">
      <w:pPr>
        <w:pStyle w:val="FootnoteText"/>
        <w:jc w:val="left"/>
        <w:rPr>
          <w:color w:val="auto"/>
          <w:lang w:val="sr-Latn-ME"/>
        </w:rPr>
      </w:pPr>
      <w:r>
        <w:rPr>
          <w:rStyle w:val="FootnoteReference"/>
        </w:rPr>
        <w:footnoteRef/>
      </w:r>
      <w:r w:rsidRPr="00E62109">
        <w:rPr>
          <w:lang w:val="sr-Latn-ME"/>
        </w:rPr>
        <w:t xml:space="preserve"> </w:t>
      </w:r>
      <w:hyperlink r:id="rId9" w:anchor=":~:text=Tokom%202023.%20godine%20u%20Crnoj%20Gori%2C%20stvoreno%20je,je%20312%20036%2C0%20t%20opasnog%20otpada%20ili%2023%2C7%25." w:history="1">
        <w:r w:rsidRPr="00245B58">
          <w:rPr>
            <w:rStyle w:val="Hyperlink"/>
            <w:color w:val="auto"/>
            <w:u w:val="none"/>
          </w:rPr>
          <w:t>https://www.monstat.org/uploads/files/otpad/2023/Stvoreni%20i%20obra%C4%91eni%20otpad%20u%202023.godini.pdf</w:t>
        </w:r>
      </w:hyperlink>
    </w:p>
  </w:footnote>
  <w:footnote w:id="14">
    <w:p w14:paraId="4072F4B8" w14:textId="588FB163" w:rsidR="0014164F" w:rsidRPr="00181ED4" w:rsidRDefault="0014164F">
      <w:pPr>
        <w:pStyle w:val="FootnoteText"/>
        <w:rPr>
          <w:lang w:val="sr-Latn-ME"/>
        </w:rPr>
      </w:pPr>
      <w:r>
        <w:rPr>
          <w:rStyle w:val="FootnoteReference"/>
        </w:rPr>
        <w:footnoteRef/>
      </w:r>
      <w:r w:rsidRPr="003D7619">
        <w:rPr>
          <w:lang w:val="sr-Latn-ME"/>
        </w:rPr>
        <w:t xml:space="preserve"> </w:t>
      </w:r>
      <w:hyperlink r:id="rId10" w:history="1">
        <w:r>
          <w:rPr>
            <w:rStyle w:val="Hyperlink"/>
          </w:rPr>
          <w:t>Agencija za zaštitu životne sredine – EPA</w:t>
        </w:r>
      </w:hyperlink>
    </w:p>
  </w:footnote>
  <w:footnote w:id="15">
    <w:p w14:paraId="1ECE3A6D" w14:textId="0A923BA2" w:rsidR="0014164F" w:rsidRPr="005335B5" w:rsidRDefault="0014164F" w:rsidP="00C232D7">
      <w:pPr>
        <w:pStyle w:val="FootnoteText"/>
        <w:rPr>
          <w:rFonts w:ascii="Arial" w:hAnsi="Arial" w:cs="Arial"/>
          <w:sz w:val="18"/>
          <w:szCs w:val="18"/>
          <w:lang w:val="sq-AL"/>
        </w:rPr>
      </w:pPr>
      <w:r w:rsidRPr="005335B5">
        <w:rPr>
          <w:rStyle w:val="FootnoteReference"/>
          <w:rFonts w:ascii="Arial" w:hAnsi="Arial" w:cs="Arial"/>
          <w:sz w:val="18"/>
          <w:szCs w:val="18"/>
        </w:rPr>
        <w:footnoteRef/>
      </w:r>
      <w:r w:rsidRPr="005335B5">
        <w:rPr>
          <w:rFonts w:ascii="Arial" w:hAnsi="Arial" w:cs="Arial"/>
          <w:sz w:val="18"/>
          <w:szCs w:val="18"/>
          <w:lang w:val="sq-AL"/>
        </w:rPr>
        <w:t xml:space="preserve"> </w:t>
      </w:r>
      <w:r w:rsidRPr="005335B5">
        <w:rPr>
          <w:rFonts w:ascii="Arial" w:hAnsi="Arial" w:cs="Arial"/>
          <w:smallCaps w:val="0"/>
          <w:sz w:val="18"/>
          <w:szCs w:val="18"/>
          <w:lang w:val="sq-AL"/>
        </w:rPr>
        <w:t xml:space="preserve">MERS (2024). Izvještaj o sprovođenju Državnog plana upravljanja otpadom za 2023. godinu </w:t>
      </w:r>
    </w:p>
  </w:footnote>
  <w:footnote w:id="16">
    <w:p w14:paraId="2EA4A967" w14:textId="0F08CE80" w:rsidR="0014164F" w:rsidRPr="00902526" w:rsidRDefault="0014164F">
      <w:pPr>
        <w:pStyle w:val="FootnoteText"/>
        <w:rPr>
          <w:lang w:val="sr-Latn-ME"/>
        </w:rPr>
      </w:pPr>
      <w:r>
        <w:rPr>
          <w:rStyle w:val="FootnoteReference"/>
        </w:rPr>
        <w:footnoteRef/>
      </w:r>
      <w:r w:rsidRPr="003D7619">
        <w:rPr>
          <w:lang w:val="sq-AL"/>
        </w:rPr>
        <w:t xml:space="preserve"> </w:t>
      </w:r>
      <w:r w:rsidRPr="00E40CD6">
        <w:rPr>
          <w:rFonts w:ascii="Arial" w:hAnsi="Arial" w:cs="Arial"/>
          <w:smallCaps w:val="0"/>
          <w:sz w:val="18"/>
          <w:szCs w:val="18"/>
          <w:lang w:val="sq-AL"/>
        </w:rPr>
        <w:t>Napomena: Lista je urađena na osnovu podataka dobijenih od jedinica lokalnih samouprava</w:t>
      </w:r>
      <w:r w:rsidRPr="003D7619">
        <w:rPr>
          <w:lang w:val="sq-AL"/>
        </w:rPr>
        <w:t xml:space="preserve">  </w:t>
      </w:r>
    </w:p>
  </w:footnote>
  <w:footnote w:id="17">
    <w:p w14:paraId="51475F91" w14:textId="26DA63F6" w:rsidR="0014164F" w:rsidRPr="000D2632" w:rsidRDefault="0014164F">
      <w:pPr>
        <w:pStyle w:val="FootnoteText"/>
        <w:rPr>
          <w:lang w:val="sr-Latn-ME"/>
        </w:rPr>
      </w:pPr>
      <w:r w:rsidRPr="00E40CD6">
        <w:rPr>
          <w:rStyle w:val="FootnoteReference"/>
        </w:rPr>
        <w:footnoteRef/>
      </w:r>
      <w:r w:rsidRPr="00E40CD6">
        <w:rPr>
          <w:lang w:val="sr-Latn-ME"/>
        </w:rPr>
        <w:t xml:space="preserve"> </w:t>
      </w:r>
      <w:hyperlink r:id="rId11" w:history="1">
        <w:r w:rsidRPr="00E40CD6">
          <w:rPr>
            <w:rStyle w:val="Hyperlink"/>
          </w:rPr>
          <w:t xml:space="preserve">EKO-FOND </w:t>
        </w:r>
        <w:r w:rsidRPr="00E40CD6">
          <w:rPr>
            <w:rStyle w:val="Hyperlink"/>
            <w:rFonts w:ascii="Segoe UI Symbol" w:hAnsi="Segoe UI Symbol" w:cs="Segoe UI Symbol"/>
          </w:rPr>
          <w:t>➝</w:t>
        </w:r>
        <w:r w:rsidRPr="00E40CD6">
          <w:rPr>
            <w:rStyle w:val="Hyperlink"/>
          </w:rPr>
          <w:t xml:space="preserve"> Naslovna</w:t>
        </w:r>
      </w:hyperlink>
    </w:p>
  </w:footnote>
  <w:footnote w:id="18">
    <w:p w14:paraId="68A41C7F" w14:textId="37C0B498" w:rsidR="0014164F" w:rsidRPr="005335B5" w:rsidRDefault="0014164F" w:rsidP="00C232D7">
      <w:pPr>
        <w:pStyle w:val="FootnoteText"/>
        <w:rPr>
          <w:rFonts w:ascii="Arial" w:hAnsi="Arial" w:cs="Arial"/>
          <w:sz w:val="18"/>
          <w:szCs w:val="18"/>
          <w:lang w:val="sq-AL"/>
        </w:rPr>
      </w:pPr>
      <w:r w:rsidRPr="005335B5">
        <w:rPr>
          <w:rStyle w:val="FootnoteReference"/>
          <w:rFonts w:ascii="Arial" w:hAnsi="Arial" w:cs="Arial"/>
          <w:sz w:val="18"/>
          <w:szCs w:val="18"/>
          <w:lang w:val="sq-AL"/>
        </w:rPr>
        <w:footnoteRef/>
      </w:r>
      <w:r w:rsidRPr="005335B5">
        <w:rPr>
          <w:rFonts w:ascii="Arial" w:hAnsi="Arial" w:cs="Arial"/>
          <w:sz w:val="18"/>
          <w:szCs w:val="18"/>
          <w:lang w:val="sq-AL"/>
        </w:rPr>
        <w:t xml:space="preserve">  </w:t>
      </w:r>
      <w:r w:rsidRPr="005335B5">
        <w:rPr>
          <w:rFonts w:ascii="Arial" w:hAnsi="Arial" w:cs="Arial"/>
          <w:smallCaps w:val="0"/>
          <w:sz w:val="18"/>
          <w:szCs w:val="18"/>
          <w:lang w:val="sq-AL"/>
        </w:rPr>
        <w:t>Svjetska zdravstvena organizacija (1992). Upravljanje otpadom u medicinskim centrima, Poglavlje 8 / Upravljanje medicinskim otpadom u zemljama u razvoju: Izvještaj o konsultacijama o upravljanju medicinskim otpadom u zemljama u razvoju</w:t>
      </w:r>
    </w:p>
  </w:footnote>
  <w:footnote w:id="19">
    <w:p w14:paraId="7AE6171D" w14:textId="0A31E8E8" w:rsidR="0014164F" w:rsidRPr="00E25BAC" w:rsidRDefault="0014164F" w:rsidP="00C232D7">
      <w:pPr>
        <w:pStyle w:val="FootnoteText"/>
        <w:rPr>
          <w:rFonts w:ascii="Times New Roman" w:hAnsi="Times New Roman" w:cs="Times New Roman"/>
          <w:sz w:val="18"/>
          <w:szCs w:val="18"/>
          <w:lang w:val="sq-AL"/>
        </w:rPr>
      </w:pPr>
      <w:r w:rsidRPr="005335B5">
        <w:rPr>
          <w:rStyle w:val="FootnoteReference"/>
          <w:rFonts w:ascii="Arial" w:hAnsi="Arial" w:cs="Arial"/>
          <w:sz w:val="18"/>
          <w:szCs w:val="18"/>
          <w:lang w:val="sq-AL"/>
        </w:rPr>
        <w:footnoteRef/>
      </w:r>
      <w:r w:rsidRPr="005335B5">
        <w:rPr>
          <w:rFonts w:ascii="Arial" w:hAnsi="Arial" w:cs="Arial"/>
          <w:sz w:val="18"/>
          <w:szCs w:val="18"/>
          <w:lang w:val="sq-AL"/>
        </w:rPr>
        <w:t xml:space="preserve">  </w:t>
      </w:r>
      <w:r w:rsidRPr="005335B5">
        <w:rPr>
          <w:rFonts w:ascii="Arial" w:hAnsi="Arial" w:cs="Arial"/>
          <w:smallCaps w:val="0"/>
          <w:sz w:val="18"/>
          <w:szCs w:val="18"/>
          <w:lang w:val="sq-AL"/>
        </w:rPr>
        <w:t>Marinković N, Vitale K, Janev Holcer N. (2005). Aspekti javnog zdravlja  upravljanja opasnim otpadom. Arh Hig Rada Toxicol; 56: 21-32</w:t>
      </w:r>
    </w:p>
  </w:footnote>
  <w:footnote w:id="20">
    <w:p w14:paraId="2DAD6C80" w14:textId="31B06080" w:rsidR="0014164F" w:rsidRPr="00E000E8" w:rsidRDefault="0014164F">
      <w:pPr>
        <w:pStyle w:val="FootnoteText"/>
        <w:rPr>
          <w:lang w:val="sr-Latn-ME"/>
        </w:rPr>
      </w:pPr>
      <w:r w:rsidRPr="00EB6AAE">
        <w:rPr>
          <w:rStyle w:val="FootnoteReference"/>
        </w:rPr>
        <w:footnoteRef/>
      </w:r>
      <w:r w:rsidRPr="003D7619">
        <w:rPr>
          <w:lang w:val="sq-AL"/>
        </w:rPr>
        <w:t xml:space="preserve"> </w:t>
      </w:r>
      <w:r w:rsidRPr="00EB6AAE">
        <w:rPr>
          <w:rFonts w:ascii="Arial" w:hAnsi="Arial" w:cs="Arial"/>
          <w:smallCaps w:val="0"/>
          <w:sz w:val="18"/>
          <w:szCs w:val="18"/>
          <w:lang w:val="sq-AL"/>
        </w:rPr>
        <w:t>Nacionalna strategija o upravljanju medicinskim otpadom</w:t>
      </w:r>
    </w:p>
  </w:footnote>
  <w:footnote w:id="21">
    <w:p w14:paraId="503B486D" w14:textId="5F56B931" w:rsidR="0014164F" w:rsidRPr="00331340" w:rsidRDefault="0014164F">
      <w:pPr>
        <w:pStyle w:val="FootnoteText"/>
        <w:rPr>
          <w:rFonts w:ascii="Arial" w:hAnsi="Arial" w:cs="Arial"/>
          <w:smallCaps w:val="0"/>
          <w:color w:val="auto"/>
          <w:sz w:val="18"/>
          <w:szCs w:val="20"/>
          <w:lang w:val="sq-AL"/>
        </w:rPr>
      </w:pPr>
      <w:r>
        <w:rPr>
          <w:rStyle w:val="FootnoteReference"/>
        </w:rPr>
        <w:footnoteRef/>
      </w:r>
      <w:r w:rsidRPr="003D7619">
        <w:rPr>
          <w:lang w:val="sq-AL"/>
        </w:rPr>
        <w:t xml:space="preserve"> </w:t>
      </w:r>
      <w:r w:rsidRPr="00331340">
        <w:rPr>
          <w:rFonts w:ascii="Arial" w:hAnsi="Arial" w:cs="Arial"/>
          <w:smallCaps w:val="0"/>
          <w:color w:val="auto"/>
          <w:sz w:val="18"/>
          <w:szCs w:val="20"/>
          <w:lang w:val="sq-AL"/>
        </w:rPr>
        <w:t xml:space="preserve"> </w:t>
      </w:r>
      <w:r>
        <w:rPr>
          <w:rFonts w:ascii="Arial" w:hAnsi="Arial" w:cs="Arial"/>
          <w:smallCaps w:val="0"/>
          <w:color w:val="auto"/>
          <w:sz w:val="18"/>
          <w:szCs w:val="20"/>
          <w:lang w:val="sq-AL"/>
        </w:rPr>
        <w:t>Izvještaj</w:t>
      </w:r>
      <w:r w:rsidRPr="00331340">
        <w:rPr>
          <w:rFonts w:ascii="Arial" w:hAnsi="Arial" w:cs="Arial"/>
          <w:smallCaps w:val="0"/>
          <w:color w:val="auto"/>
          <w:sz w:val="18"/>
          <w:szCs w:val="20"/>
          <w:lang w:val="sq-AL"/>
        </w:rPr>
        <w:t xml:space="preserve"> o stanju životne sredine, Agencija za zaštitu životne sredine, 2022</w:t>
      </w:r>
      <w:r>
        <w:rPr>
          <w:rFonts w:ascii="Arial" w:hAnsi="Arial" w:cs="Arial"/>
          <w:smallCaps w:val="0"/>
          <w:color w:val="auto"/>
          <w:sz w:val="18"/>
          <w:szCs w:val="20"/>
          <w:lang w:val="sq-AL"/>
        </w:rPr>
        <w:t xml:space="preserve">, </w:t>
      </w:r>
      <w:hyperlink r:id="rId12" w:history="1">
        <w:r>
          <w:rPr>
            <w:rStyle w:val="Hyperlink"/>
          </w:rPr>
          <w:t>epa.org.me/wp-content/uploads/2023/09/Informacija-o-stanju-životne-sredine-za-2022.-godinu.pdf</w:t>
        </w:r>
      </w:hyperlink>
    </w:p>
  </w:footnote>
  <w:footnote w:id="22">
    <w:p w14:paraId="58378BB5" w14:textId="4DFB45BD" w:rsidR="0014164F" w:rsidRPr="00D258BB" w:rsidRDefault="0014164F">
      <w:pPr>
        <w:pStyle w:val="FootnoteText"/>
        <w:rPr>
          <w:lang w:val="sr-Latn-ME"/>
        </w:rPr>
      </w:pPr>
      <w:r w:rsidRPr="00DF049D">
        <w:rPr>
          <w:rStyle w:val="FootnoteReference"/>
        </w:rPr>
        <w:footnoteRef/>
      </w:r>
      <w:r w:rsidRPr="003D7619">
        <w:rPr>
          <w:lang w:val="sq-AL"/>
        </w:rPr>
        <w:t xml:space="preserve"> </w:t>
      </w:r>
      <w:hyperlink r:id="rId13" w:history="1">
        <w:r w:rsidRPr="00F57909">
          <w:rPr>
            <w:rStyle w:val="Hyperlink"/>
          </w:rPr>
          <w:t>Pravilnik o klasifikaciji otpada i katalogu otpada (www.gov.me)</w:t>
        </w:r>
      </w:hyperlink>
      <w:r w:rsidRPr="003D7619">
        <w:rPr>
          <w:lang w:val="sq-AL"/>
        </w:rPr>
        <w:t xml:space="preserve"> </w:t>
      </w:r>
    </w:p>
  </w:footnote>
  <w:footnote w:id="23">
    <w:p w14:paraId="05691C5D" w14:textId="4F15C664" w:rsidR="0014164F" w:rsidRPr="00DF6406" w:rsidRDefault="0014164F">
      <w:pPr>
        <w:pStyle w:val="FootnoteText"/>
        <w:rPr>
          <w:lang w:val="sr-Latn-ME"/>
        </w:rPr>
      </w:pPr>
      <w:r>
        <w:rPr>
          <w:rStyle w:val="FootnoteReference"/>
        </w:rPr>
        <w:footnoteRef/>
      </w:r>
      <w:r w:rsidRPr="00B7253B">
        <w:rPr>
          <w:lang w:val="sr-Latn-ME"/>
        </w:rPr>
        <w:t xml:space="preserve"> </w:t>
      </w:r>
      <w:r>
        <w:t>MONSTAT</w:t>
      </w:r>
      <w:r w:rsidRPr="00B7253B">
        <w:rPr>
          <w:lang w:val="sr-Latn-ME"/>
        </w:rPr>
        <w:t xml:space="preserve">, </w:t>
      </w:r>
      <w:r w:rsidRPr="00DF6406">
        <w:rPr>
          <w:rFonts w:ascii="Arial" w:hAnsi="Arial" w:cs="Arial"/>
          <w:smallCaps w:val="0"/>
          <w:color w:val="auto"/>
          <w:sz w:val="18"/>
          <w:szCs w:val="20"/>
          <w:lang w:val="sq-AL"/>
        </w:rPr>
        <w:t xml:space="preserve">Statistički </w:t>
      </w:r>
      <w:r>
        <w:rPr>
          <w:rFonts w:ascii="Arial" w:hAnsi="Arial" w:cs="Arial"/>
          <w:smallCaps w:val="0"/>
          <w:color w:val="auto"/>
          <w:sz w:val="18"/>
          <w:szCs w:val="20"/>
          <w:lang w:val="sq-AL"/>
        </w:rPr>
        <w:t>godišnjak</w:t>
      </w:r>
      <w:r w:rsidRPr="00DF6406">
        <w:rPr>
          <w:rFonts w:ascii="Arial" w:hAnsi="Arial" w:cs="Arial"/>
          <w:smallCaps w:val="0"/>
          <w:color w:val="auto"/>
          <w:sz w:val="18"/>
          <w:szCs w:val="20"/>
          <w:lang w:val="sq-AL"/>
        </w:rPr>
        <w:t xml:space="preserve"> </w:t>
      </w:r>
    </w:p>
  </w:footnote>
  <w:footnote w:id="24">
    <w:p w14:paraId="49F6EEDB" w14:textId="1168C598" w:rsidR="0014164F" w:rsidRPr="00DF6406" w:rsidRDefault="0014164F">
      <w:pPr>
        <w:pStyle w:val="FootnoteText"/>
        <w:rPr>
          <w:lang w:val="sr-Latn-ME"/>
        </w:rPr>
      </w:pPr>
      <w:r>
        <w:rPr>
          <w:rStyle w:val="FootnoteReference"/>
        </w:rPr>
        <w:footnoteRef/>
      </w:r>
      <w:r w:rsidRPr="00B7253B">
        <w:rPr>
          <w:lang w:val="sr-Latn-ME"/>
        </w:rPr>
        <w:t xml:space="preserve"> </w:t>
      </w:r>
      <w:r>
        <w:t>MONSTAT</w:t>
      </w:r>
      <w:r w:rsidRPr="00B7253B">
        <w:rPr>
          <w:lang w:val="sr-Latn-ME"/>
        </w:rPr>
        <w:t xml:space="preserve">, </w:t>
      </w:r>
      <w:r w:rsidRPr="00DF6406">
        <w:rPr>
          <w:rFonts w:ascii="Arial" w:hAnsi="Arial" w:cs="Arial"/>
          <w:smallCaps w:val="0"/>
          <w:color w:val="auto"/>
          <w:sz w:val="18"/>
          <w:szCs w:val="20"/>
          <w:lang w:val="sq-AL"/>
        </w:rPr>
        <w:t xml:space="preserve">Statistički </w:t>
      </w:r>
      <w:r>
        <w:rPr>
          <w:rFonts w:ascii="Arial" w:hAnsi="Arial" w:cs="Arial"/>
          <w:smallCaps w:val="0"/>
          <w:color w:val="auto"/>
          <w:sz w:val="18"/>
          <w:szCs w:val="20"/>
          <w:lang w:val="sq-AL"/>
        </w:rPr>
        <w:t>godišnjak</w:t>
      </w:r>
      <w:r w:rsidRPr="00DF6406">
        <w:rPr>
          <w:rFonts w:ascii="Arial" w:hAnsi="Arial" w:cs="Arial"/>
          <w:smallCaps w:val="0"/>
          <w:color w:val="auto"/>
          <w:sz w:val="18"/>
          <w:szCs w:val="20"/>
          <w:lang w:val="sq-AL"/>
        </w:rPr>
        <w:t xml:space="preserve"> </w:t>
      </w:r>
    </w:p>
  </w:footnote>
  <w:footnote w:id="25">
    <w:p w14:paraId="09DB8ED4" w14:textId="136C57EA" w:rsidR="0014164F" w:rsidRPr="00F53484" w:rsidRDefault="0014164F" w:rsidP="00C232D7">
      <w:pPr>
        <w:pStyle w:val="FootnoteText"/>
        <w:rPr>
          <w:rFonts w:ascii="Arial" w:hAnsi="Arial" w:cs="Arial"/>
          <w:sz w:val="18"/>
          <w:szCs w:val="18"/>
          <w:lang w:val="sq-AL"/>
        </w:rPr>
      </w:pPr>
      <w:r w:rsidRPr="00F53484">
        <w:rPr>
          <w:rStyle w:val="FootnoteReference"/>
          <w:rFonts w:ascii="Arial" w:hAnsi="Arial" w:cs="Arial"/>
          <w:sz w:val="18"/>
          <w:szCs w:val="18"/>
        </w:rPr>
        <w:footnoteRef/>
      </w:r>
      <w:r w:rsidRPr="00F53484">
        <w:rPr>
          <w:rFonts w:ascii="Arial" w:hAnsi="Arial" w:cs="Arial"/>
          <w:sz w:val="18"/>
          <w:szCs w:val="18"/>
          <w:lang w:val="sq-AL"/>
        </w:rPr>
        <w:t xml:space="preserve">  </w:t>
      </w:r>
      <w:r w:rsidRPr="00FD2F9A">
        <w:rPr>
          <w:rFonts w:ascii="Arial" w:hAnsi="Arial" w:cs="Arial"/>
          <w:smallCaps w:val="0"/>
          <w:color w:val="auto"/>
          <w:sz w:val="18"/>
          <w:szCs w:val="20"/>
          <w:lang w:val="sq-AL"/>
        </w:rPr>
        <w:t>Elsevier (2020). Napredak u reciklaži građevinskog otpada i otpada od rušenja</w:t>
      </w:r>
    </w:p>
  </w:footnote>
  <w:footnote w:id="26">
    <w:p w14:paraId="4B3C499F" w14:textId="3A7C790B" w:rsidR="0014164F" w:rsidRPr="00EF08B4" w:rsidRDefault="0014164F">
      <w:pPr>
        <w:pStyle w:val="FootnoteText"/>
        <w:rPr>
          <w:lang w:val="sr-Latn-ME"/>
        </w:rPr>
      </w:pPr>
      <w:r>
        <w:rPr>
          <w:rStyle w:val="FootnoteReference"/>
        </w:rPr>
        <w:footnoteRef/>
      </w:r>
      <w:r w:rsidRPr="00B441B3">
        <w:rPr>
          <w:sz w:val="14"/>
          <w:lang w:val="sq-AL"/>
        </w:rPr>
        <w:t xml:space="preserve"> </w:t>
      </w:r>
      <w:r>
        <w:rPr>
          <w:rFonts w:ascii="Arial" w:hAnsi="Arial" w:cs="Arial"/>
          <w:smallCaps w:val="0"/>
          <w:color w:val="auto"/>
          <w:sz w:val="18"/>
          <w:szCs w:val="20"/>
          <w:lang w:val="hr-HR"/>
        </w:rPr>
        <w:t xml:space="preserve"> Zakon o hemikalijama</w:t>
      </w:r>
    </w:p>
  </w:footnote>
  <w:footnote w:id="27">
    <w:p w14:paraId="19D0947E" w14:textId="1EA2D109" w:rsidR="0014164F" w:rsidRPr="002544DF" w:rsidRDefault="0014164F" w:rsidP="002544DF">
      <w:pPr>
        <w:autoSpaceDE w:val="0"/>
        <w:autoSpaceDN w:val="0"/>
        <w:adjustRightInd w:val="0"/>
        <w:spacing w:before="120" w:after="120" w:line="360" w:lineRule="auto"/>
        <w:rPr>
          <w:rFonts w:ascii="Arial" w:hAnsi="Arial" w:cs="Arial"/>
          <w:sz w:val="18"/>
          <w:szCs w:val="18"/>
          <w:lang w:val="sq-AL"/>
        </w:rPr>
      </w:pPr>
      <w:r>
        <w:rPr>
          <w:rStyle w:val="FootnoteReference"/>
        </w:rPr>
        <w:footnoteRef/>
      </w:r>
      <w:r w:rsidRPr="002544DF">
        <w:rPr>
          <w:rFonts w:ascii="Arial" w:hAnsi="Arial" w:cs="Arial"/>
          <w:sz w:val="18"/>
          <w:szCs w:val="18"/>
          <w:lang w:val="sq-AL"/>
        </w:rPr>
        <w:t>„Stanje žive u Crnoj Gori“ 6/2017,</w:t>
      </w:r>
      <w:r>
        <w:rPr>
          <w:rFonts w:ascii="Arial" w:hAnsi="Arial" w:cs="Arial"/>
          <w:sz w:val="18"/>
          <w:szCs w:val="18"/>
          <w:lang w:val="sq-AL"/>
        </w:rPr>
        <w:t xml:space="preserve"> </w:t>
      </w:r>
      <w:hyperlink r:id="rId14" w:history="1">
        <w:r w:rsidRPr="009000F7">
          <w:rPr>
            <w:rStyle w:val="Hyperlink"/>
            <w:rFonts w:ascii="Arial" w:hAnsi="Arial" w:cs="Arial"/>
            <w:sz w:val="18"/>
            <w:szCs w:val="18"/>
            <w:lang w:val="sq-AL" w:eastAsia="en-US"/>
          </w:rPr>
          <w:t>https://briwildlife.org/wp-content/uploads/2021/09/Lo-Res-Montenegro-Brochure-6-07-17.pdf</w:t>
        </w:r>
      </w:hyperlink>
      <w:r w:rsidRPr="002544DF">
        <w:rPr>
          <w:rFonts w:ascii="Arial" w:hAnsi="Arial" w:cs="Arial"/>
          <w:sz w:val="18"/>
          <w:szCs w:val="18"/>
          <w:lang w:val="sq-AL"/>
        </w:rPr>
        <w:t>).</w:t>
      </w:r>
    </w:p>
    <w:p w14:paraId="7BD11B0E" w14:textId="696D1BCE" w:rsidR="0014164F" w:rsidRPr="002544DF" w:rsidRDefault="0014164F" w:rsidP="006D5692">
      <w:pPr>
        <w:pStyle w:val="FootnoteText"/>
        <w:ind w:left="0" w:firstLine="0"/>
        <w:rPr>
          <w:lang w:val="sr-Latn-ME"/>
        </w:rPr>
      </w:pPr>
    </w:p>
  </w:footnote>
  <w:footnote w:id="28">
    <w:p w14:paraId="355F3020" w14:textId="19DC9AE9" w:rsidR="0014164F" w:rsidRPr="00EA76CD" w:rsidRDefault="0014164F">
      <w:pPr>
        <w:pStyle w:val="FootnoteText"/>
        <w:rPr>
          <w:lang w:val="sr-Latn-RS"/>
        </w:rPr>
      </w:pPr>
      <w:r>
        <w:rPr>
          <w:rStyle w:val="FootnoteReference"/>
        </w:rPr>
        <w:footnoteRef/>
      </w:r>
      <w:r w:rsidRPr="00B7253B">
        <w:rPr>
          <w:lang w:val="sr-Latn-ME"/>
        </w:rPr>
        <w:t xml:space="preserve"> </w:t>
      </w:r>
      <w:r w:rsidRPr="00EA76CD">
        <w:rPr>
          <w:rFonts w:ascii="Arial" w:hAnsi="Arial" w:cs="Arial"/>
          <w:smallCaps w:val="0"/>
          <w:color w:val="auto"/>
          <w:sz w:val="18"/>
          <w:szCs w:val="20"/>
          <w:lang w:val="sq-AL"/>
        </w:rPr>
        <w:t>Transekt je putanja duž koje se broje i bilježe</w:t>
      </w:r>
      <w:r>
        <w:rPr>
          <w:rFonts w:ascii="Arial" w:hAnsi="Arial" w:cs="Arial"/>
          <w:smallCaps w:val="0"/>
          <w:color w:val="auto"/>
          <w:sz w:val="18"/>
          <w:szCs w:val="20"/>
          <w:lang w:val="sq-AL"/>
        </w:rPr>
        <w:t xml:space="preserve"> pojave objekata za istraživanja.</w:t>
      </w:r>
    </w:p>
  </w:footnote>
  <w:footnote w:id="29">
    <w:p w14:paraId="33949CCD" w14:textId="36D94E44" w:rsidR="0014164F" w:rsidRPr="00AD74D3" w:rsidRDefault="0014164F" w:rsidP="00AD74D3">
      <w:pPr>
        <w:pStyle w:val="FootnoteText"/>
        <w:ind w:left="0" w:firstLine="0"/>
        <w:rPr>
          <w:rFonts w:ascii="Arial" w:hAnsi="Arial" w:cs="Arial"/>
          <w:smallCaps w:val="0"/>
          <w:color w:val="auto"/>
          <w:szCs w:val="20"/>
          <w:lang w:val="sq-AL"/>
        </w:rPr>
      </w:pPr>
      <w:r>
        <w:rPr>
          <w:rStyle w:val="FootnoteReference"/>
        </w:rPr>
        <w:footnoteRef/>
      </w:r>
      <w:r>
        <w:t xml:space="preserve"> </w:t>
      </w:r>
      <w:r w:rsidRPr="00AD74D3">
        <w:rPr>
          <w:rFonts w:ascii="Arial" w:hAnsi="Arial" w:cs="Arial"/>
          <w:smallCaps w:val="0"/>
          <w:color w:val="auto"/>
          <w:szCs w:val="20"/>
          <w:lang w:val="sq-AL"/>
        </w:rPr>
        <w:t>Clean-coast index—A new approach for beach cleanliness assessment</w:t>
      </w:r>
      <w:r>
        <w:rPr>
          <w:rFonts w:ascii="Arial" w:hAnsi="Arial" w:cs="Arial"/>
          <w:smallCaps w:val="0"/>
          <w:color w:val="auto"/>
          <w:szCs w:val="20"/>
          <w:lang w:val="sq-AL"/>
        </w:rPr>
        <w:t xml:space="preserve">, </w:t>
      </w:r>
      <w:r w:rsidRPr="003122D6">
        <w:rPr>
          <w:rFonts w:ascii="Arial" w:hAnsi="Arial" w:cs="Arial"/>
          <w:smallCaps w:val="0"/>
          <w:color w:val="auto"/>
          <w:szCs w:val="20"/>
          <w:lang w:val="sq-AL"/>
        </w:rPr>
        <w:t>Alkalay i sar</w:t>
      </w:r>
      <w:r>
        <w:rPr>
          <w:rFonts w:ascii="Arial" w:hAnsi="Arial" w:cs="Arial"/>
          <w:smallCaps w:val="0"/>
          <w:color w:val="auto"/>
          <w:szCs w:val="20"/>
          <w:lang w:val="sq-AL"/>
        </w:rPr>
        <w:t>adnici</w:t>
      </w:r>
      <w:r w:rsidRPr="003122D6">
        <w:rPr>
          <w:rFonts w:ascii="Arial" w:hAnsi="Arial" w:cs="Arial"/>
          <w:smallCaps w:val="0"/>
          <w:color w:val="auto"/>
          <w:szCs w:val="20"/>
          <w:lang w:val="sq-AL"/>
        </w:rPr>
        <w:t>, 2007</w:t>
      </w:r>
      <w:r>
        <w:rPr>
          <w:rFonts w:ascii="Arial" w:hAnsi="Arial" w:cs="Arial"/>
          <w:smallCaps w:val="0"/>
          <w:color w:val="auto"/>
          <w:szCs w:val="20"/>
          <w:lang w:val="sq-AL"/>
        </w:rPr>
        <w:t xml:space="preserve"> </w:t>
      </w:r>
    </w:p>
    <w:p w14:paraId="7D37AF79" w14:textId="13F3965B" w:rsidR="0014164F" w:rsidRPr="003122D6" w:rsidRDefault="0014164F" w:rsidP="00AD74D3">
      <w:pPr>
        <w:pStyle w:val="FootnoteText"/>
        <w:rPr>
          <w:lang w:val="sr-Latn-RS"/>
        </w:rPr>
      </w:pPr>
    </w:p>
  </w:footnote>
  <w:footnote w:id="30">
    <w:p w14:paraId="46E8957A" w14:textId="77777777" w:rsidR="0014164F" w:rsidRPr="00BB3CEB" w:rsidRDefault="0014164F" w:rsidP="00A0513B">
      <w:pPr>
        <w:rPr>
          <w:rFonts w:ascii="Arial" w:hAnsi="Arial" w:cs="Arial"/>
          <w:sz w:val="18"/>
          <w:szCs w:val="18"/>
          <w:lang w:val="sr-Latn-RS"/>
        </w:rPr>
      </w:pPr>
      <w:r w:rsidRPr="00BB3CEB">
        <w:rPr>
          <w:rStyle w:val="FootnoteReference"/>
        </w:rPr>
        <w:footnoteRef/>
      </w:r>
      <w:r w:rsidRPr="00BB3CEB">
        <w:rPr>
          <w:rFonts w:ascii="Arial" w:hAnsi="Arial" w:cs="Arial"/>
          <w:iCs/>
          <w:smallCaps/>
          <w:sz w:val="18"/>
          <w:szCs w:val="18"/>
          <w:lang w:val="sq-AL"/>
        </w:rPr>
        <w:t xml:space="preserve"> </w:t>
      </w:r>
      <w:r w:rsidRPr="00BB3CEB">
        <w:rPr>
          <w:rFonts w:ascii="Arial" w:eastAsia="Times New Roman" w:hAnsi="Arial" w:cs="Arial"/>
          <w:color w:val="000000"/>
          <w:sz w:val="16"/>
          <w:lang w:val="sq-AL" w:eastAsia="el-GR"/>
        </w:rPr>
        <w:t>MONSTAT</w:t>
      </w:r>
      <w:r w:rsidRPr="00BB3CEB">
        <w:rPr>
          <w:rFonts w:ascii="Arial" w:hAnsi="Arial" w:cs="Arial"/>
          <w:iCs/>
          <w:smallCaps/>
          <w:sz w:val="14"/>
          <w:szCs w:val="18"/>
          <w:lang w:val="sq-AL"/>
        </w:rPr>
        <w:t xml:space="preserve">, </w:t>
      </w:r>
      <w:r w:rsidRPr="00BB3CEB">
        <w:rPr>
          <w:sz w:val="16"/>
          <w:lang w:val="sr-Latn-RS"/>
        </w:rPr>
        <w:t xml:space="preserve"> </w:t>
      </w:r>
      <w:bookmarkStart w:id="791" w:name="_Hlk191058276"/>
      <w:r w:rsidRPr="00BB3CEB">
        <w:rPr>
          <w:rFonts w:ascii="Arial" w:hAnsi="Arial" w:cs="Arial"/>
          <w:sz w:val="18"/>
          <w:szCs w:val="18"/>
        </w:rPr>
        <w:fldChar w:fldCharType="begin"/>
      </w:r>
      <w:r w:rsidRPr="00BB3CEB">
        <w:rPr>
          <w:rFonts w:ascii="Arial" w:hAnsi="Arial" w:cs="Arial"/>
          <w:sz w:val="18"/>
          <w:szCs w:val="18"/>
          <w:lang w:val="sr-Latn-RS"/>
        </w:rPr>
        <w:instrText xml:space="preserve"> HYPERLINK "https://www.monstat.org/uploads/files/otpad/2022/Stvoreni%20i%20obra%C4%91eni%20otpad%20u%202022.godini.pdf" </w:instrText>
      </w:r>
      <w:r w:rsidRPr="00BB3CEB">
        <w:rPr>
          <w:rFonts w:ascii="Arial" w:hAnsi="Arial" w:cs="Arial"/>
          <w:sz w:val="18"/>
          <w:szCs w:val="18"/>
        </w:rPr>
        <w:fldChar w:fldCharType="separate"/>
      </w:r>
      <w:r w:rsidRPr="00BB3CEB">
        <w:rPr>
          <w:rStyle w:val="Hyperlink"/>
          <w:rFonts w:ascii="Arial" w:hAnsi="Arial" w:cs="Arial"/>
          <w:sz w:val="18"/>
          <w:szCs w:val="18"/>
        </w:rPr>
        <w:t>Stvoreni i obrađeni otpad u 2022.godini.pdf (monstat.org)</w:t>
      </w:r>
      <w:r w:rsidRPr="00BB3CEB">
        <w:rPr>
          <w:rFonts w:ascii="Arial" w:hAnsi="Arial" w:cs="Arial"/>
          <w:sz w:val="18"/>
          <w:szCs w:val="18"/>
        </w:rPr>
        <w:fldChar w:fldCharType="end"/>
      </w:r>
      <w:r w:rsidRPr="00BB3CEB">
        <w:rPr>
          <w:rFonts w:ascii="Arial" w:hAnsi="Arial" w:cs="Arial"/>
          <w:sz w:val="18"/>
          <w:szCs w:val="18"/>
          <w:lang w:val="sr-Latn-RS"/>
        </w:rPr>
        <w:t xml:space="preserve">, </w:t>
      </w:r>
      <w:hyperlink r:id="rId15" w:history="1">
        <w:r w:rsidRPr="00BB3CEB">
          <w:rPr>
            <w:rStyle w:val="Hyperlink"/>
            <w:rFonts w:ascii="Arial" w:hAnsi="Arial" w:cs="Arial"/>
            <w:sz w:val="18"/>
            <w:szCs w:val="18"/>
          </w:rPr>
          <w:t>Stvoreni i obrađeni otpad u 2023.godini.pdf (monstat.org)</w:t>
        </w:r>
      </w:hyperlink>
      <w:r w:rsidRPr="00BB3CEB">
        <w:rPr>
          <w:rFonts w:ascii="Arial" w:eastAsia="Times New Roman" w:hAnsi="Arial" w:cs="Arial"/>
          <w:color w:val="000000"/>
          <w:sz w:val="18"/>
          <w:szCs w:val="18"/>
          <w:lang w:val="sq-AL" w:eastAsia="el-GR"/>
        </w:rPr>
        <w:t xml:space="preserve"> </w:t>
      </w:r>
    </w:p>
    <w:p w14:paraId="02D0FD9A" w14:textId="4CEE7CA5" w:rsidR="0014164F" w:rsidRPr="00BB3CEB" w:rsidRDefault="0014164F" w:rsidP="00AD74D3">
      <w:pPr>
        <w:spacing w:line="360" w:lineRule="auto"/>
        <w:rPr>
          <w:lang w:val="sr-Latn-RS"/>
        </w:rPr>
      </w:pPr>
    </w:p>
    <w:bookmarkEnd w:id="791"/>
    <w:p w14:paraId="079A9289" w14:textId="77777777" w:rsidR="0014164F" w:rsidRPr="00180128" w:rsidRDefault="0014164F" w:rsidP="00AD74D3">
      <w:pPr>
        <w:pStyle w:val="FootnoteText"/>
        <w:ind w:left="0" w:firstLine="0"/>
        <w:rPr>
          <w:lang w:val="sr-Latn-ME"/>
        </w:rPr>
      </w:pPr>
    </w:p>
  </w:footnote>
  <w:footnote w:id="31">
    <w:p w14:paraId="1142600A" w14:textId="73D764DB" w:rsidR="0014164F" w:rsidRPr="001708F6" w:rsidRDefault="0014164F" w:rsidP="00C232D7">
      <w:pPr>
        <w:pStyle w:val="FootnoteText"/>
        <w:rPr>
          <w:rFonts w:ascii="Arial" w:hAnsi="Arial" w:cs="Arial"/>
          <w:sz w:val="18"/>
          <w:szCs w:val="18"/>
          <w:lang w:val="sq-AL"/>
        </w:rPr>
      </w:pPr>
      <w:r w:rsidRPr="00053731">
        <w:rPr>
          <w:rStyle w:val="FootnoteReference"/>
          <w:rFonts w:ascii="Arial" w:hAnsi="Arial" w:cs="Arial"/>
          <w:sz w:val="18"/>
          <w:szCs w:val="18"/>
        </w:rPr>
        <w:footnoteRef/>
      </w:r>
      <w:r w:rsidRPr="00053731">
        <w:rPr>
          <w:rFonts w:ascii="Arial" w:hAnsi="Arial" w:cs="Arial"/>
          <w:sz w:val="18"/>
          <w:szCs w:val="18"/>
          <w:lang w:val="sq-AL"/>
        </w:rPr>
        <w:t xml:space="preserve"> </w:t>
      </w:r>
      <w:r w:rsidRPr="001708F6">
        <w:rPr>
          <w:rFonts w:ascii="Arial" w:hAnsi="Arial" w:cs="Arial"/>
          <w:smallCaps w:val="0"/>
          <w:color w:val="auto"/>
          <w:sz w:val="18"/>
          <w:szCs w:val="20"/>
          <w:lang w:val="sq-AL"/>
        </w:rPr>
        <w:t xml:space="preserve">Količina biorazgradivog otpada u 2010. godini iznosila je 146.000 t, prema, </w:t>
      </w:r>
      <w:bookmarkStart w:id="825" w:name="_Hlk191125363"/>
      <w:r w:rsidRPr="001708F6">
        <w:rPr>
          <w:rFonts w:ascii="Arial" w:hAnsi="Arial" w:cs="Arial"/>
          <w:smallCaps w:val="0"/>
          <w:color w:val="auto"/>
          <w:sz w:val="18"/>
          <w:szCs w:val="20"/>
          <w:lang w:val="sq-AL"/>
        </w:rPr>
        <w:t xml:space="preserve">Zajedničkoj pregovaračkoj poziciji EU za poglavlje 27, 2018. </w:t>
      </w:r>
      <w:bookmarkEnd w:id="825"/>
    </w:p>
  </w:footnote>
  <w:footnote w:id="32">
    <w:p w14:paraId="3A6B1881" w14:textId="386091ED" w:rsidR="0014164F" w:rsidRPr="001708F6" w:rsidRDefault="0014164F" w:rsidP="00C232D7">
      <w:pPr>
        <w:pStyle w:val="FootnoteText"/>
        <w:rPr>
          <w:rFonts w:ascii="Arial" w:hAnsi="Arial" w:cs="Arial"/>
          <w:sz w:val="18"/>
          <w:szCs w:val="18"/>
          <w:lang w:val="sq-AL"/>
        </w:rPr>
      </w:pPr>
      <w:r w:rsidRPr="00053731">
        <w:rPr>
          <w:rStyle w:val="FootnoteReference"/>
          <w:rFonts w:ascii="Arial" w:hAnsi="Arial" w:cs="Arial"/>
          <w:sz w:val="18"/>
          <w:szCs w:val="18"/>
        </w:rPr>
        <w:footnoteRef/>
      </w:r>
      <w:r w:rsidRPr="001708F6">
        <w:rPr>
          <w:rFonts w:ascii="Arial" w:hAnsi="Arial" w:cs="Arial"/>
          <w:sz w:val="18"/>
          <w:szCs w:val="18"/>
          <w:lang w:val="sq-AL"/>
        </w:rPr>
        <w:t xml:space="preserve"> </w:t>
      </w:r>
      <w:r w:rsidRPr="001708F6">
        <w:rPr>
          <w:rFonts w:ascii="Arial" w:hAnsi="Arial" w:cs="Arial"/>
          <w:smallCaps w:val="0"/>
          <w:color w:val="auto"/>
          <w:sz w:val="18"/>
          <w:szCs w:val="20"/>
          <w:lang w:val="sq-AL"/>
        </w:rPr>
        <w:t>Količina biorazgradivog otpada u 2010. godini iznosila je 146.000 t, prema, Zajedničkoj pregovaračkoj poziciji EU za poglavlje 27, 2018.</w:t>
      </w:r>
    </w:p>
  </w:footnote>
  <w:footnote w:id="33">
    <w:p w14:paraId="3997E188" w14:textId="3AD9D3BB" w:rsidR="0014164F" w:rsidRPr="00E25BAC" w:rsidRDefault="0014164F" w:rsidP="00A50644">
      <w:pPr>
        <w:pStyle w:val="FootnoteText"/>
        <w:rPr>
          <w:rFonts w:ascii="Times New Roman" w:hAnsi="Times New Roman" w:cs="Times New Roman"/>
          <w:smallCaps w:val="0"/>
          <w:sz w:val="18"/>
          <w:szCs w:val="18"/>
          <w:lang w:val="sq-AL"/>
        </w:rPr>
      </w:pPr>
      <w:r>
        <w:rPr>
          <w:rFonts w:ascii="Times New Roman" w:hAnsi="Times New Roman" w:cs="Times New Roman"/>
          <w:sz w:val="18"/>
          <w:szCs w:val="18"/>
          <w:vertAlign w:val="superscript"/>
        </w:rPr>
        <w:footnoteRef/>
      </w:r>
      <w:r w:rsidRPr="00076A6D">
        <w:rPr>
          <w:rFonts w:ascii="Times New Roman" w:hAnsi="Times New Roman" w:cs="Times New Roman"/>
          <w:smallCaps w:val="0"/>
          <w:sz w:val="18"/>
          <w:szCs w:val="18"/>
          <w:vertAlign w:val="superscript"/>
          <w:lang w:val="sq-AL"/>
        </w:rPr>
        <w:t xml:space="preserve"> </w:t>
      </w:r>
      <w:r w:rsidRPr="00076A6D">
        <w:rPr>
          <w:lang w:val="sq-AL"/>
        </w:rPr>
        <w:t xml:space="preserve">  </w:t>
      </w:r>
      <w:r w:rsidRPr="00A50644">
        <w:rPr>
          <w:rFonts w:ascii="Arial" w:hAnsi="Arial" w:cs="Arial"/>
          <w:smallCaps w:val="0"/>
          <w:sz w:val="18"/>
          <w:szCs w:val="18"/>
          <w:lang w:val="sq-AL"/>
        </w:rPr>
        <w:t xml:space="preserve">Regioni su takođe definisani Zakonom o regionalnom razvoju </w:t>
      </w:r>
      <w:r>
        <w:rPr>
          <w:rFonts w:ascii="Arial" w:hAnsi="Arial" w:cs="Arial"/>
          <w:smallCaps w:val="0"/>
          <w:sz w:val="18"/>
          <w:szCs w:val="18"/>
          <w:lang w:val="sq-AL"/>
        </w:rPr>
        <w:t xml:space="preserve">(Sl list </w:t>
      </w:r>
      <w:r w:rsidRPr="00FC5E82">
        <w:rPr>
          <w:rFonts w:ascii="Arial" w:hAnsi="Arial" w:cs="Arial"/>
          <w:smallCaps w:val="0"/>
          <w:sz w:val="18"/>
          <w:szCs w:val="18"/>
          <w:lang w:val="sq-AL"/>
        </w:rPr>
        <w:t xml:space="preserve">CG </w:t>
      </w:r>
      <w:r>
        <w:rPr>
          <w:rFonts w:ascii="Arial" w:hAnsi="Arial" w:cs="Arial"/>
          <w:smallCaps w:val="0"/>
          <w:sz w:val="18"/>
          <w:szCs w:val="18"/>
          <w:lang w:val="sq-AL"/>
        </w:rPr>
        <w:t>020/11, 026/11, 020/15, 047/19),</w:t>
      </w:r>
      <w:r w:rsidRPr="00A50644">
        <w:rPr>
          <w:rFonts w:ascii="Arial" w:hAnsi="Arial" w:cs="Arial"/>
          <w:smallCaps w:val="0"/>
          <w:sz w:val="18"/>
          <w:szCs w:val="18"/>
          <w:lang w:val="sq-AL"/>
        </w:rPr>
        <w:t xml:space="preserve"> ali otprilike odgovaraju neformalnoj i kolokvijalnoj podjeli Crne Gore, koju često koriste mediji</w:t>
      </w:r>
      <w:r>
        <w:rPr>
          <w:rFonts w:ascii="Arial" w:hAnsi="Arial" w:cs="Arial"/>
          <w:smallCaps w:val="0"/>
          <w:sz w:val="18"/>
          <w:szCs w:val="18"/>
          <w:lang w:val="sq-AL"/>
        </w:rPr>
        <w:t xml:space="preserve"> u Crnoj Gori</w:t>
      </w:r>
      <w:r w:rsidRPr="00A50644">
        <w:rPr>
          <w:rFonts w:ascii="Arial" w:hAnsi="Arial" w:cs="Arial"/>
          <w:smallCaps w:val="0"/>
          <w:sz w:val="18"/>
          <w:szCs w:val="18"/>
          <w:lang w:val="sq-AL"/>
        </w:rPr>
        <w:t xml:space="preserve"> i građani. Regioni </w:t>
      </w:r>
      <w:r w:rsidRPr="00951F47">
        <w:rPr>
          <w:rFonts w:ascii="Arial" w:hAnsi="Arial" w:cs="Arial"/>
          <w:smallCaps w:val="0"/>
          <w:sz w:val="18"/>
          <w:szCs w:val="18"/>
          <w:lang w:val="sq-AL"/>
        </w:rPr>
        <w:t>nijesu</w:t>
      </w:r>
      <w:r w:rsidRPr="00A50644">
        <w:rPr>
          <w:rFonts w:ascii="Arial" w:hAnsi="Arial" w:cs="Arial"/>
          <w:smallCaps w:val="0"/>
          <w:sz w:val="18"/>
          <w:szCs w:val="18"/>
          <w:lang w:val="sq-AL"/>
        </w:rPr>
        <w:t xml:space="preserve"> administrativne podjele same po sebi; koriste se u statističke i analitičke svrhe, kao pomoć u kreiranju okvira za ujednačeniji ekonomski razvoj Crne Gore.</w:t>
      </w:r>
    </w:p>
  </w:footnote>
  <w:footnote w:id="34">
    <w:p w14:paraId="1945FE3D" w14:textId="77777777" w:rsidR="0014164F" w:rsidRPr="007C376E" w:rsidRDefault="0014164F" w:rsidP="00C232D7">
      <w:pPr>
        <w:pStyle w:val="FootnoteText"/>
        <w:rPr>
          <w:rFonts w:ascii="Arial" w:hAnsi="Arial" w:cs="Arial"/>
          <w:sz w:val="18"/>
          <w:szCs w:val="18"/>
          <w:lang w:val="sq-AL"/>
        </w:rPr>
      </w:pPr>
      <w:r w:rsidRPr="007C376E">
        <w:rPr>
          <w:rStyle w:val="FootnoteReference"/>
          <w:rFonts w:ascii="Arial" w:hAnsi="Arial" w:cs="Arial"/>
          <w:sz w:val="18"/>
          <w:szCs w:val="18"/>
        </w:rPr>
        <w:footnoteRef/>
      </w:r>
      <w:r w:rsidRPr="007C376E">
        <w:rPr>
          <w:rFonts w:ascii="Arial" w:hAnsi="Arial" w:cs="Arial"/>
          <w:sz w:val="18"/>
          <w:szCs w:val="18"/>
          <w:lang w:val="sq-AL"/>
        </w:rPr>
        <w:t xml:space="preserve">  </w:t>
      </w:r>
      <w:hyperlink r:id="rId16" w:history="1">
        <w:r w:rsidRPr="007C376E">
          <w:rPr>
            <w:rStyle w:val="Hyperlink"/>
            <w:rFonts w:ascii="Arial" w:hAnsi="Arial" w:cs="Arial"/>
            <w:sz w:val="18"/>
            <w:szCs w:val="18"/>
            <w:lang w:val="sq-AL" w:eastAsia="en-US"/>
          </w:rPr>
          <w:t>https://greenbestpractice.jrc.ec.europa.eu/node/79</w:t>
        </w:r>
      </w:hyperlink>
      <w:r w:rsidRPr="007C376E">
        <w:rPr>
          <w:rFonts w:ascii="Arial" w:hAnsi="Arial" w:cs="Arial"/>
          <w:smallCaps w:val="0"/>
          <w:sz w:val="18"/>
          <w:szCs w:val="18"/>
          <w:lang w:val="sq-AL"/>
        </w:rPr>
        <w:t xml:space="preserve"> </w:t>
      </w:r>
    </w:p>
  </w:footnote>
  <w:footnote w:id="35">
    <w:p w14:paraId="2D3718C4" w14:textId="7DFCEAC9" w:rsidR="0014164F" w:rsidRPr="007C376E" w:rsidRDefault="0014164F" w:rsidP="00C232D7">
      <w:pPr>
        <w:pStyle w:val="FootnoteText"/>
        <w:rPr>
          <w:rFonts w:ascii="Arial" w:hAnsi="Arial" w:cs="Arial"/>
          <w:sz w:val="18"/>
          <w:szCs w:val="18"/>
          <w:lang w:val="en-US"/>
        </w:rPr>
      </w:pPr>
      <w:r w:rsidRPr="007C376E">
        <w:rPr>
          <w:rStyle w:val="FootnoteReference"/>
          <w:rFonts w:ascii="Arial" w:hAnsi="Arial" w:cs="Arial"/>
          <w:sz w:val="18"/>
          <w:szCs w:val="18"/>
        </w:rPr>
        <w:footnoteRef/>
      </w:r>
      <w:r w:rsidRPr="007C376E">
        <w:rPr>
          <w:rFonts w:ascii="Arial" w:hAnsi="Arial" w:cs="Arial"/>
          <w:sz w:val="18"/>
          <w:szCs w:val="18"/>
        </w:rPr>
        <w:t xml:space="preserve">  </w:t>
      </w:r>
      <w:r w:rsidRPr="007C376E">
        <w:rPr>
          <w:rFonts w:ascii="Arial" w:hAnsi="Arial" w:cs="Arial"/>
          <w:smallCaps w:val="0"/>
          <w:sz w:val="18"/>
          <w:szCs w:val="18"/>
        </w:rPr>
        <w:t>National Assessment of Civic Amenity Sites (NACAS) report, UK</w:t>
      </w:r>
      <w:r>
        <w:rPr>
          <w:rFonts w:ascii="Arial" w:hAnsi="Arial" w:cs="Arial"/>
          <w:smallCaps w:val="0"/>
          <w:sz w:val="18"/>
          <w:szCs w:val="18"/>
        </w:rPr>
        <w:t>,</w:t>
      </w:r>
      <w:r w:rsidRPr="007C376E">
        <w:rPr>
          <w:rFonts w:ascii="Arial" w:hAnsi="Arial" w:cs="Arial"/>
          <w:smallCaps w:val="0"/>
          <w:sz w:val="18"/>
          <w:szCs w:val="18"/>
        </w:rPr>
        <w:t xml:space="preserve"> 2004</w:t>
      </w:r>
    </w:p>
  </w:footnote>
  <w:footnote w:id="36">
    <w:p w14:paraId="58F91BFD" w14:textId="77777777" w:rsidR="0014164F" w:rsidRDefault="0014164F" w:rsidP="00C232D7">
      <w:pPr>
        <w:pStyle w:val="FootnoteText"/>
        <w:rPr>
          <w:rFonts w:ascii="Cambria" w:hAnsi="Cambria"/>
          <w:lang w:val="en-US"/>
        </w:rPr>
      </w:pPr>
      <w:r>
        <w:rPr>
          <w:rStyle w:val="FootnoteReference"/>
          <w:rFonts w:ascii="Cambria" w:hAnsi="Cambria"/>
        </w:rPr>
        <w:footnoteRef/>
      </w:r>
      <w:r w:rsidRPr="0096059E">
        <w:rPr>
          <w:rFonts w:ascii="Arial" w:hAnsi="Arial" w:cs="Arial"/>
          <w:smallCaps w:val="0"/>
          <w:color w:val="auto"/>
          <w:sz w:val="20"/>
          <w:szCs w:val="20"/>
          <w:lang w:val="sq-AL"/>
        </w:rPr>
        <w:t>www.oecd.org</w:t>
      </w:r>
    </w:p>
  </w:footnote>
  <w:footnote w:id="37">
    <w:p w14:paraId="67B3AA20" w14:textId="175F56D7" w:rsidR="0014164F" w:rsidRPr="005246EA" w:rsidRDefault="0014164F" w:rsidP="00C232D7">
      <w:pPr>
        <w:pStyle w:val="FootnoteText"/>
        <w:rPr>
          <w:rFonts w:ascii="Arial" w:hAnsi="Arial" w:cs="Arial"/>
          <w:sz w:val="18"/>
          <w:szCs w:val="18"/>
        </w:rPr>
      </w:pPr>
      <w:r w:rsidRPr="005246EA">
        <w:rPr>
          <w:rStyle w:val="FootnoteReference"/>
          <w:rFonts w:ascii="Arial" w:hAnsi="Arial" w:cs="Arial"/>
          <w:sz w:val="18"/>
          <w:szCs w:val="18"/>
        </w:rPr>
        <w:footnoteRef/>
      </w:r>
      <w:r w:rsidRPr="005246EA">
        <w:rPr>
          <w:rFonts w:ascii="Arial" w:hAnsi="Arial" w:cs="Arial"/>
          <w:sz w:val="18"/>
          <w:szCs w:val="18"/>
        </w:rPr>
        <w:t xml:space="preserve"> </w:t>
      </w:r>
      <w:r w:rsidRPr="005246EA">
        <w:rPr>
          <w:rFonts w:ascii="Arial" w:hAnsi="Arial" w:cs="Arial"/>
          <w:smallCaps w:val="0"/>
          <w:sz w:val="18"/>
          <w:szCs w:val="18"/>
        </w:rPr>
        <w:t xml:space="preserve">Količina biorazgradivog otpada u 2010. godini iznosila je 146.000 t, prema </w:t>
      </w:r>
      <w:r>
        <w:rPr>
          <w:rFonts w:ascii="Arial" w:hAnsi="Arial" w:cs="Arial"/>
          <w:smallCaps w:val="0"/>
          <w:sz w:val="18"/>
          <w:szCs w:val="18"/>
        </w:rPr>
        <w:t>Zajedničkoj poziciji Evropske Unije, Poglavlje 27: Životna sredina I klimatske promjene, 2018</w:t>
      </w:r>
      <w:r w:rsidRPr="005246EA">
        <w:rPr>
          <w:rFonts w:ascii="Arial" w:hAnsi="Arial" w:cs="Arial"/>
          <w:smallCaps w:val="0"/>
          <w:sz w:val="18"/>
          <w:szCs w:val="18"/>
        </w:rPr>
        <w:t>.</w:t>
      </w:r>
    </w:p>
  </w:footnote>
  <w:footnote w:id="38">
    <w:p w14:paraId="43DAF8E8" w14:textId="5596F968" w:rsidR="0014164F" w:rsidRPr="0036630C" w:rsidRDefault="0014164F">
      <w:pPr>
        <w:pStyle w:val="FootnoteText"/>
        <w:rPr>
          <w:lang w:val="sr-Latn-RS"/>
        </w:rPr>
      </w:pPr>
      <w:r>
        <w:rPr>
          <w:rStyle w:val="FootnoteReference"/>
        </w:rPr>
        <w:footnoteRef/>
      </w:r>
      <w:r>
        <w:t xml:space="preserve"> </w:t>
      </w:r>
      <w:r w:rsidRPr="00FA0D55">
        <w:rPr>
          <w:rFonts w:ascii="Arial" w:hAnsi="Arial" w:cs="Arial"/>
          <w:smallCaps w:val="0"/>
          <w:color w:val="auto"/>
          <w:sz w:val="18"/>
          <w:szCs w:val="20"/>
        </w:rPr>
        <w:t>Zajedničk</w:t>
      </w:r>
      <w:r>
        <w:rPr>
          <w:rFonts w:ascii="Arial" w:hAnsi="Arial" w:cs="Arial"/>
          <w:smallCaps w:val="0"/>
          <w:color w:val="auto"/>
          <w:sz w:val="18"/>
          <w:szCs w:val="20"/>
        </w:rPr>
        <w:t>a</w:t>
      </w:r>
      <w:r w:rsidRPr="00FA0D55">
        <w:rPr>
          <w:rFonts w:ascii="Arial" w:hAnsi="Arial" w:cs="Arial"/>
          <w:smallCaps w:val="0"/>
          <w:color w:val="auto"/>
          <w:sz w:val="18"/>
          <w:szCs w:val="20"/>
        </w:rPr>
        <w:t xml:space="preserve"> pozicij</w:t>
      </w:r>
      <w:r>
        <w:rPr>
          <w:rFonts w:ascii="Arial" w:hAnsi="Arial" w:cs="Arial"/>
          <w:smallCaps w:val="0"/>
          <w:color w:val="auto"/>
          <w:sz w:val="18"/>
          <w:szCs w:val="20"/>
        </w:rPr>
        <w:t xml:space="preserve">a </w:t>
      </w:r>
      <w:r w:rsidRPr="00FA0D55">
        <w:rPr>
          <w:rFonts w:ascii="Arial" w:hAnsi="Arial" w:cs="Arial"/>
          <w:smallCaps w:val="0"/>
          <w:color w:val="auto"/>
          <w:sz w:val="18"/>
          <w:szCs w:val="20"/>
        </w:rPr>
        <w:t>Evropske Unije, Poglavlje 27: Životna sredina I klimatske promjene</w:t>
      </w:r>
      <w:r>
        <w:rPr>
          <w:rFonts w:ascii="Arial" w:hAnsi="Arial" w:cs="Arial"/>
          <w:smallCaps w:val="0"/>
          <w:color w:val="auto"/>
          <w:sz w:val="18"/>
          <w:szCs w:val="20"/>
        </w:rPr>
        <w:t xml:space="preserve">, </w:t>
      </w:r>
      <w:r w:rsidRPr="00D879B2">
        <w:rPr>
          <w:rFonts w:ascii="Arial" w:hAnsi="Arial" w:cs="Arial"/>
          <w:smallCaps w:val="0"/>
          <w:color w:val="auto"/>
          <w:sz w:val="18"/>
          <w:szCs w:val="20"/>
        </w:rPr>
        <w:t>2018.</w:t>
      </w:r>
    </w:p>
  </w:footnote>
  <w:footnote w:id="39">
    <w:p w14:paraId="06204785" w14:textId="10F02AB5" w:rsidR="0014164F" w:rsidRPr="00C149AB" w:rsidRDefault="0014164F">
      <w:pPr>
        <w:pStyle w:val="FootnoteText"/>
        <w:rPr>
          <w:lang w:val="sr-Latn-RS"/>
        </w:rPr>
      </w:pPr>
      <w:r>
        <w:rPr>
          <w:rStyle w:val="FootnoteReference"/>
        </w:rPr>
        <w:footnoteRef/>
      </w:r>
      <w:r w:rsidRPr="00C149AB">
        <w:rPr>
          <w:lang w:val="sr-Latn-RS"/>
        </w:rPr>
        <w:t xml:space="preserve"> </w:t>
      </w:r>
      <w:r w:rsidRPr="00C149AB">
        <w:rPr>
          <w:rFonts w:ascii="Arial" w:eastAsia="Times New Roman" w:hAnsi="Arial" w:cs="Arial"/>
          <w:smallCaps w:val="0"/>
          <w:sz w:val="18"/>
          <w:szCs w:val="18"/>
          <w:lang w:val="sq-AL"/>
        </w:rPr>
        <w:t>Izvor komunalna preduzeća u Crnoj Gori</w:t>
      </w:r>
      <w:r>
        <w:rPr>
          <w:rFonts w:ascii="Arial" w:eastAsia="Times New Roman" w:hAnsi="Arial" w:cs="Arial"/>
          <w:smallCaps w:val="0"/>
          <w:sz w:val="18"/>
          <w:szCs w:val="18"/>
          <w:lang w:val="sq-AL"/>
        </w:rPr>
        <w:t>, 2025</w:t>
      </w:r>
    </w:p>
  </w:footnote>
  <w:footnote w:id="40">
    <w:p w14:paraId="5603B885" w14:textId="77777777" w:rsidR="0014164F" w:rsidRPr="00624B36" w:rsidRDefault="0014164F" w:rsidP="00624B36">
      <w:pPr>
        <w:ind w:left="180" w:hanging="180"/>
        <w:jc w:val="left"/>
        <w:rPr>
          <w:rFonts w:ascii="Arial" w:hAnsi="Arial" w:cs="Arial"/>
          <w:sz w:val="18"/>
          <w:szCs w:val="18"/>
          <w:lang w:val="sq-AL"/>
        </w:rPr>
      </w:pPr>
      <w:r w:rsidRPr="00310986">
        <w:rPr>
          <w:rStyle w:val="FootnoteReference"/>
          <w:rFonts w:ascii="Arial" w:hAnsi="Arial" w:cs="Arial"/>
          <w:sz w:val="18"/>
          <w:szCs w:val="18"/>
        </w:rPr>
        <w:footnoteRef/>
      </w:r>
      <w:r w:rsidRPr="00076A6D">
        <w:rPr>
          <w:rFonts w:ascii="Arial" w:hAnsi="Arial" w:cs="Arial"/>
          <w:sz w:val="18"/>
          <w:szCs w:val="18"/>
          <w:lang w:val="sr-Latn-RS"/>
        </w:rPr>
        <w:t xml:space="preserve"> </w:t>
      </w:r>
      <w:r w:rsidRPr="00624B36">
        <w:rPr>
          <w:rFonts w:ascii="Arial" w:hAnsi="Arial" w:cs="Arial"/>
          <w:sz w:val="18"/>
          <w:szCs w:val="18"/>
          <w:lang w:val="sq-AL"/>
        </w:rPr>
        <w:t>https://www.monstat.org/cg/page.php?id=1970&amp;pageid=24</w:t>
      </w:r>
    </w:p>
  </w:footnote>
  <w:footnote w:id="41">
    <w:p w14:paraId="32643263" w14:textId="692FC486" w:rsidR="0014164F" w:rsidRPr="00082E74" w:rsidRDefault="0014164F" w:rsidP="00624B36">
      <w:pPr>
        <w:ind w:left="180" w:hanging="180"/>
        <w:jc w:val="left"/>
        <w:rPr>
          <w:rFonts w:ascii="Arial" w:hAnsi="Arial" w:cs="Arial"/>
          <w:sz w:val="18"/>
          <w:szCs w:val="18"/>
          <w:lang w:val="sq-AL"/>
        </w:rPr>
      </w:pPr>
      <w:r w:rsidRPr="00624B36">
        <w:rPr>
          <w:rStyle w:val="FootnoteReference"/>
          <w:rFonts w:ascii="Arial" w:hAnsi="Arial"/>
          <w:smallCaps w:val="0"/>
          <w:sz w:val="18"/>
          <w:szCs w:val="18"/>
          <w:lang w:val="sq-AL" w:eastAsia="en-US"/>
        </w:rPr>
        <w:footnoteRef/>
      </w:r>
      <w:r w:rsidRPr="00624B36">
        <w:rPr>
          <w:rFonts w:ascii="Arial" w:hAnsi="Arial" w:cs="Arial"/>
          <w:sz w:val="18"/>
          <w:szCs w:val="18"/>
          <w:lang w:val="sq-AL"/>
        </w:rPr>
        <w:t xml:space="preserve"> </w:t>
      </w:r>
      <w:hyperlink r:id="rId17" w:history="1">
        <w:r w:rsidRPr="00082E74">
          <w:rPr>
            <w:rFonts w:ascii="Arial" w:hAnsi="Arial" w:cs="Arial"/>
            <w:sz w:val="18"/>
            <w:szCs w:val="18"/>
            <w:lang w:val="sq-AL"/>
          </w:rPr>
          <w:t>Uprava za statistiku Crne Gore - MONSTAT</w:t>
        </w:r>
      </w:hyperlink>
    </w:p>
  </w:footnote>
  <w:footnote w:id="42">
    <w:p w14:paraId="67CAA553" w14:textId="77777777" w:rsidR="0014164F" w:rsidRDefault="0014164F" w:rsidP="009316F8">
      <w:pPr>
        <w:ind w:left="180" w:hanging="180"/>
        <w:jc w:val="left"/>
        <w:rPr>
          <w:lang w:val="sq-AL"/>
        </w:rPr>
      </w:pPr>
      <w:r>
        <w:rPr>
          <w:rStyle w:val="FootnoteReference"/>
          <w:rFonts w:ascii="Times New Roman" w:hAnsi="Times New Roman"/>
          <w:sz w:val="18"/>
          <w:szCs w:val="18"/>
          <w:lang w:val="sq-AL"/>
        </w:rPr>
        <w:footnoteRef/>
      </w:r>
      <w:r>
        <w:rPr>
          <w:sz w:val="18"/>
          <w:szCs w:val="18"/>
          <w:lang w:val="sq-AL"/>
        </w:rPr>
        <w:t xml:space="preserve"> </w:t>
      </w:r>
      <w:r w:rsidRPr="00310986">
        <w:rPr>
          <w:rFonts w:ascii="Arial" w:hAnsi="Arial" w:cs="Arial"/>
          <w:sz w:val="18"/>
          <w:szCs w:val="18"/>
          <w:lang w:val="sq-AL"/>
        </w:rPr>
        <w:t>Granica je postavljena na 1,5% što je uobičajeni prag koji se koristi u sličnim analizama, ali se može modifikovati i naviše i naniže u zavisnosti od specifičnog okruženja koje diktiraju društvene i ekonomske okolnosti.</w:t>
      </w:r>
    </w:p>
  </w:footnote>
  <w:footnote w:id="43">
    <w:p w14:paraId="525130C0" w14:textId="738EFE68" w:rsidR="0014164F" w:rsidRPr="003100DB" w:rsidRDefault="0014164F">
      <w:pPr>
        <w:pStyle w:val="FootnoteText"/>
        <w:rPr>
          <w:lang w:val="en-US"/>
        </w:rPr>
      </w:pPr>
      <w:r>
        <w:rPr>
          <w:rStyle w:val="FootnoteReference"/>
        </w:rPr>
        <w:footnoteRef/>
      </w:r>
      <w:r>
        <w:t xml:space="preserve"> </w:t>
      </w:r>
      <w:hyperlink r:id="rId18" w:history="1">
        <w:r>
          <w:rPr>
            <w:rStyle w:val="Hyperlink"/>
          </w:rPr>
          <w:t>Saopštenje sa 47. sjednice Vlade Crne Gore (www.gov.me)</w:t>
        </w:r>
      </w:hyperlink>
    </w:p>
  </w:footnote>
  <w:footnote w:id="44">
    <w:p w14:paraId="64354747" w14:textId="412ECA82" w:rsidR="0014164F" w:rsidRPr="0006539F" w:rsidRDefault="0014164F" w:rsidP="009316F8">
      <w:pPr>
        <w:pStyle w:val="FootnoteText"/>
        <w:jc w:val="left"/>
        <w:rPr>
          <w:rFonts w:ascii="Arial" w:hAnsi="Arial" w:cs="Arial"/>
          <w:smallCaps w:val="0"/>
          <w:sz w:val="18"/>
          <w:szCs w:val="18"/>
          <w:lang w:val="sq-AL"/>
        </w:rPr>
      </w:pPr>
      <w:r w:rsidRPr="0006539F">
        <w:rPr>
          <w:rStyle w:val="FootnoteReference"/>
          <w:rFonts w:ascii="Arial" w:hAnsi="Arial" w:cs="Arial"/>
          <w:lang w:val="sq-AL"/>
        </w:rPr>
        <w:footnoteRef/>
      </w:r>
      <w:r w:rsidRPr="0006539F">
        <w:rPr>
          <w:rFonts w:ascii="Arial" w:hAnsi="Arial" w:cs="Arial"/>
          <w:lang w:val="sq-AL"/>
        </w:rPr>
        <w:t xml:space="preserve">   </w:t>
      </w:r>
      <w:bookmarkStart w:id="1296" w:name="_Hlk191132029"/>
      <w:r w:rsidRPr="0006539F">
        <w:rPr>
          <w:rFonts w:ascii="Arial" w:hAnsi="Arial" w:cs="Arial"/>
          <w:smallCaps w:val="0"/>
          <w:sz w:val="18"/>
          <w:szCs w:val="18"/>
          <w:lang w:val="sq-AL"/>
        </w:rPr>
        <w:t>MERS (202</w:t>
      </w:r>
      <w:r>
        <w:rPr>
          <w:rFonts w:ascii="Arial" w:hAnsi="Arial" w:cs="Arial"/>
          <w:smallCaps w:val="0"/>
          <w:sz w:val="18"/>
          <w:szCs w:val="18"/>
          <w:lang w:val="sq-AL"/>
        </w:rPr>
        <w:t>3</w:t>
      </w:r>
      <w:r w:rsidRPr="0006539F">
        <w:rPr>
          <w:rFonts w:ascii="Arial" w:hAnsi="Arial" w:cs="Arial"/>
          <w:smallCaps w:val="0"/>
          <w:sz w:val="18"/>
          <w:szCs w:val="18"/>
          <w:lang w:val="sq-AL"/>
        </w:rPr>
        <w:t>). Izvještaj o sprovođenju Državnog plana upravljanja otpadom za 202</w:t>
      </w:r>
      <w:r>
        <w:rPr>
          <w:rFonts w:ascii="Arial" w:hAnsi="Arial" w:cs="Arial"/>
          <w:smallCaps w:val="0"/>
          <w:sz w:val="18"/>
          <w:szCs w:val="18"/>
          <w:lang w:val="sq-AL"/>
        </w:rPr>
        <w:t>3</w:t>
      </w:r>
      <w:r w:rsidRPr="0006539F">
        <w:rPr>
          <w:rFonts w:ascii="Arial" w:hAnsi="Arial" w:cs="Arial"/>
          <w:smallCaps w:val="0"/>
          <w:sz w:val="18"/>
          <w:szCs w:val="18"/>
          <w:lang w:val="sq-AL"/>
        </w:rPr>
        <w:t>. godinu</w:t>
      </w:r>
      <w:bookmarkEnd w:id="1296"/>
    </w:p>
  </w:footnote>
  <w:footnote w:id="45">
    <w:p w14:paraId="48528287" w14:textId="1BEB0152" w:rsidR="0014164F" w:rsidRPr="008C2ABC" w:rsidRDefault="0014164F" w:rsidP="00492F9D">
      <w:pPr>
        <w:widowControl w:val="0"/>
        <w:spacing w:before="120" w:after="120" w:line="360" w:lineRule="auto"/>
        <w:rPr>
          <w:sz w:val="18"/>
          <w:szCs w:val="18"/>
          <w:lang w:val="sq-AL"/>
        </w:rPr>
      </w:pPr>
      <w:r w:rsidRPr="00492F9D">
        <w:rPr>
          <w:rFonts w:ascii="Arial" w:hAnsi="Arial" w:cs="Arial"/>
          <w:smallCaps/>
          <w:sz w:val="16"/>
          <w:szCs w:val="16"/>
          <w:lang w:val="sq-AL"/>
        </w:rPr>
        <w:footnoteRef/>
      </w:r>
      <w:r w:rsidRPr="00492F9D">
        <w:rPr>
          <w:rFonts w:ascii="Arial" w:hAnsi="Arial" w:cs="Arial"/>
          <w:sz w:val="16"/>
          <w:szCs w:val="16"/>
          <w:lang w:val="sq-AL"/>
        </w:rPr>
        <w:t xml:space="preserve"> EK – JRC (2018). Referentni dokument o najboljim raspoloživim tehnikama (BAT) za </w:t>
      </w:r>
      <w:r>
        <w:rPr>
          <w:rFonts w:ascii="Arial" w:hAnsi="Arial" w:cs="Arial"/>
          <w:sz w:val="16"/>
          <w:szCs w:val="16"/>
          <w:lang w:val="sq-AL"/>
        </w:rPr>
        <w:t>obradu</w:t>
      </w:r>
      <w:r w:rsidRPr="00492F9D">
        <w:rPr>
          <w:rFonts w:ascii="Arial" w:hAnsi="Arial" w:cs="Arial"/>
          <w:sz w:val="16"/>
          <w:szCs w:val="16"/>
          <w:lang w:val="sq-AL"/>
        </w:rPr>
        <w:t xml:space="preserve"> otpada</w:t>
      </w:r>
    </w:p>
  </w:footnote>
  <w:footnote w:id="46">
    <w:p w14:paraId="322B694F" w14:textId="191B5202" w:rsidR="0014164F" w:rsidRPr="00A36B43" w:rsidRDefault="0014164F">
      <w:pPr>
        <w:pStyle w:val="FootnoteText"/>
        <w:rPr>
          <w:lang w:val="sr-Latn-ME"/>
        </w:rPr>
      </w:pPr>
      <w:r>
        <w:rPr>
          <w:rStyle w:val="FootnoteReference"/>
        </w:rPr>
        <w:footnoteRef/>
      </w:r>
      <w:r w:rsidRPr="00A36B43">
        <w:rPr>
          <w:lang w:val="sq-AL"/>
        </w:rPr>
        <w:t xml:space="preserve"> </w:t>
      </w:r>
      <w:r w:rsidRPr="00A36B43">
        <w:rPr>
          <w:rFonts w:ascii="Arial" w:hAnsi="Arial" w:cs="Arial"/>
          <w:smallCaps w:val="0"/>
          <w:color w:val="auto"/>
          <w:szCs w:val="20"/>
          <w:lang w:val="sq-AL"/>
        </w:rPr>
        <w:t>čl 37 Zakona o upravljanju otpadom</w:t>
      </w:r>
    </w:p>
  </w:footnote>
  <w:footnote w:id="47">
    <w:p w14:paraId="0DC7FE7A" w14:textId="77777777" w:rsidR="0014164F" w:rsidRPr="00C112A8" w:rsidRDefault="0014164F" w:rsidP="009316F8">
      <w:pPr>
        <w:pStyle w:val="FootnoteText"/>
        <w:rPr>
          <w:rFonts w:ascii="Arial" w:hAnsi="Arial" w:cs="Arial"/>
          <w:lang w:val="en-US"/>
        </w:rPr>
      </w:pPr>
      <w:r w:rsidRPr="00C112A8">
        <w:rPr>
          <w:rStyle w:val="FootnoteReference"/>
          <w:rFonts w:ascii="Arial" w:hAnsi="Arial" w:cs="Arial"/>
        </w:rPr>
        <w:footnoteRef/>
      </w:r>
      <w:r w:rsidRPr="00A36B43">
        <w:rPr>
          <w:rFonts w:ascii="Arial" w:hAnsi="Arial" w:cs="Arial"/>
          <w:lang w:val="sq-AL"/>
        </w:rPr>
        <w:t xml:space="preserve"> </w:t>
      </w:r>
      <w:r w:rsidRPr="00A36B43">
        <w:rPr>
          <w:rFonts w:ascii="Arial" w:hAnsi="Arial" w:cs="Arial"/>
          <w:smallCaps w:val="0"/>
          <w:sz w:val="18"/>
          <w:szCs w:val="18"/>
          <w:lang w:val="sq-AL"/>
        </w:rPr>
        <w:t xml:space="preserve">EC – JRC (2018). </w:t>
      </w:r>
      <w:r w:rsidRPr="00C112A8">
        <w:rPr>
          <w:rFonts w:ascii="Arial" w:hAnsi="Arial" w:cs="Arial"/>
          <w:smallCaps w:val="0"/>
          <w:sz w:val="18"/>
          <w:szCs w:val="18"/>
        </w:rPr>
        <w:t>Best Available Techniques (BAT) Reference Document for Waste Treatment (Chapter 5.8.4)</w:t>
      </w:r>
    </w:p>
  </w:footnote>
  <w:footnote w:id="48">
    <w:p w14:paraId="4C7A5534" w14:textId="77777777" w:rsidR="0014164F" w:rsidRPr="00C112A8" w:rsidRDefault="0014164F" w:rsidP="00377063">
      <w:pPr>
        <w:pStyle w:val="FootnoteText"/>
        <w:jc w:val="left"/>
        <w:rPr>
          <w:rFonts w:ascii="Arial" w:hAnsi="Arial" w:cs="Arial"/>
          <w:sz w:val="18"/>
          <w:szCs w:val="18"/>
        </w:rPr>
      </w:pPr>
      <w:r w:rsidRPr="00C112A8">
        <w:rPr>
          <w:rStyle w:val="FootnoteReference"/>
          <w:rFonts w:ascii="Arial" w:hAnsi="Arial" w:cs="Arial"/>
          <w:sz w:val="18"/>
          <w:szCs w:val="18"/>
        </w:rPr>
        <w:footnoteRef/>
      </w:r>
      <w:r w:rsidRPr="00C112A8">
        <w:rPr>
          <w:rFonts w:ascii="Arial" w:hAnsi="Arial" w:cs="Arial"/>
          <w:sz w:val="18"/>
          <w:szCs w:val="18"/>
        </w:rPr>
        <w:t xml:space="preserve"> </w:t>
      </w:r>
      <w:r w:rsidRPr="00C112A8">
        <w:rPr>
          <w:rFonts w:ascii="Arial" w:hAnsi="Arial" w:cs="Arial"/>
          <w:smallCaps w:val="0"/>
          <w:sz w:val="18"/>
          <w:szCs w:val="18"/>
        </w:rPr>
        <w:t>EC – JRC (2018). Referentni dokument o najboljim dostupnim tehnikama (NDT) za tretman otpada</w:t>
      </w:r>
    </w:p>
  </w:footnote>
  <w:footnote w:id="49">
    <w:p w14:paraId="2FA17C1E" w14:textId="3EA78D83" w:rsidR="0014164F" w:rsidRPr="005B75CF" w:rsidRDefault="0014164F">
      <w:pPr>
        <w:pStyle w:val="FootnoteText"/>
        <w:rPr>
          <w:lang w:val="sr-Latn-ME"/>
        </w:rPr>
      </w:pPr>
      <w:r>
        <w:rPr>
          <w:rStyle w:val="FootnoteReference"/>
        </w:rPr>
        <w:footnoteRef/>
      </w:r>
      <w:r>
        <w:t xml:space="preserve"> </w:t>
      </w:r>
      <w:r w:rsidRPr="005B75CF">
        <w:rPr>
          <w:rFonts w:ascii="Arial" w:hAnsi="Arial" w:cs="Arial"/>
          <w:smallCaps w:val="0"/>
          <w:color w:val="auto"/>
          <w:szCs w:val="20"/>
          <w:lang w:val="sq-AL"/>
        </w:rPr>
        <w:t>član</w:t>
      </w:r>
      <w:r>
        <w:rPr>
          <w:rFonts w:ascii="Arial" w:hAnsi="Arial" w:cs="Arial"/>
          <w:smallCaps w:val="0"/>
          <w:color w:val="auto"/>
          <w:szCs w:val="20"/>
          <w:lang w:val="sq-AL"/>
        </w:rPr>
        <w:t>ovi</w:t>
      </w:r>
      <w:r w:rsidRPr="005B75CF">
        <w:rPr>
          <w:rFonts w:ascii="Arial" w:hAnsi="Arial" w:cs="Arial"/>
          <w:smallCaps w:val="0"/>
          <w:color w:val="auto"/>
          <w:szCs w:val="20"/>
          <w:lang w:val="sq-AL"/>
        </w:rPr>
        <w:t xml:space="preserve"> 37</w:t>
      </w:r>
      <w:r>
        <w:rPr>
          <w:rFonts w:ascii="Arial" w:hAnsi="Arial" w:cs="Arial"/>
          <w:smallCaps w:val="0"/>
          <w:color w:val="auto"/>
          <w:szCs w:val="20"/>
          <w:lang w:val="sq-AL"/>
        </w:rPr>
        <w:t>, 42 i 45</w:t>
      </w:r>
      <w:r w:rsidRPr="005B75CF">
        <w:rPr>
          <w:rFonts w:ascii="Arial" w:hAnsi="Arial" w:cs="Arial"/>
          <w:smallCaps w:val="0"/>
          <w:color w:val="auto"/>
          <w:szCs w:val="20"/>
          <w:lang w:val="sq-AL"/>
        </w:rPr>
        <w:t xml:space="preserve"> Zakona o upravljanju otpadom</w:t>
      </w:r>
    </w:p>
  </w:footnote>
  <w:footnote w:id="50">
    <w:p w14:paraId="14E6750A" w14:textId="33718570" w:rsidR="0014164F" w:rsidRPr="003B539C" w:rsidRDefault="0014164F">
      <w:pPr>
        <w:pStyle w:val="FootnoteText"/>
        <w:rPr>
          <w:lang w:val="sr-Latn-ME"/>
        </w:rPr>
      </w:pPr>
      <w:r>
        <w:rPr>
          <w:rStyle w:val="FootnoteReference"/>
        </w:rPr>
        <w:footnoteRef/>
      </w:r>
      <w:r>
        <w:t xml:space="preserve"> </w:t>
      </w:r>
      <w:r w:rsidRPr="005B75CF">
        <w:rPr>
          <w:rFonts w:ascii="Arial" w:hAnsi="Arial" w:cs="Arial"/>
          <w:smallCaps w:val="0"/>
          <w:color w:val="auto"/>
          <w:szCs w:val="20"/>
          <w:lang w:val="sq-AL"/>
        </w:rPr>
        <w:t>Član</w:t>
      </w:r>
      <w:r>
        <w:rPr>
          <w:rFonts w:ascii="Arial" w:hAnsi="Arial" w:cs="Arial"/>
          <w:smallCaps w:val="0"/>
          <w:color w:val="auto"/>
          <w:szCs w:val="20"/>
          <w:lang w:val="sq-AL"/>
        </w:rPr>
        <w:t xml:space="preserve"> 100 </w:t>
      </w:r>
      <w:r w:rsidRPr="005B75CF">
        <w:rPr>
          <w:rFonts w:ascii="Arial" w:hAnsi="Arial" w:cs="Arial"/>
          <w:smallCaps w:val="0"/>
          <w:color w:val="auto"/>
          <w:szCs w:val="20"/>
          <w:lang w:val="sq-AL"/>
        </w:rPr>
        <w:t>Zakona o upravljanju otpadom</w:t>
      </w:r>
    </w:p>
  </w:footnote>
  <w:footnote w:id="51">
    <w:p w14:paraId="0C237F4A" w14:textId="5504DCD6" w:rsidR="0014164F" w:rsidRPr="0054632B" w:rsidRDefault="0014164F" w:rsidP="00377063">
      <w:pPr>
        <w:pStyle w:val="FootnoteText"/>
        <w:rPr>
          <w:rFonts w:ascii="Arial" w:hAnsi="Arial" w:cs="Arial"/>
          <w:sz w:val="22"/>
          <w:szCs w:val="22"/>
          <w:lang w:val="sr-Latn-ME"/>
        </w:rPr>
      </w:pPr>
      <w:r w:rsidRPr="0054632B">
        <w:rPr>
          <w:rStyle w:val="FootnoteReference"/>
          <w:rFonts w:ascii="Arial" w:hAnsi="Arial" w:cs="Arial"/>
          <w:i/>
        </w:rPr>
        <w:footnoteRef/>
      </w:r>
      <w:r w:rsidRPr="0054632B">
        <w:rPr>
          <w:rFonts w:ascii="Arial" w:hAnsi="Arial" w:cs="Arial"/>
          <w:i/>
        </w:rPr>
        <w:t xml:space="preserve"> </w:t>
      </w:r>
      <w:r w:rsidRPr="001C7045">
        <w:rPr>
          <w:rFonts w:ascii="Arial" w:hAnsi="Arial" w:cs="Arial"/>
          <w:smallCaps w:val="0"/>
          <w:color w:val="auto"/>
          <w:sz w:val="18"/>
          <w:szCs w:val="20"/>
          <w:lang w:val="en-US"/>
        </w:rPr>
        <w:t>SWOT analiza (</w:t>
      </w:r>
      <w:hyperlink r:id="rId19" w:tooltip="Akronim" w:history="1">
        <w:r w:rsidRPr="001C7045">
          <w:rPr>
            <w:rFonts w:ascii="Arial" w:hAnsi="Arial" w:cs="Arial"/>
            <w:smallCaps w:val="0"/>
            <w:color w:val="auto"/>
            <w:sz w:val="18"/>
            <w:szCs w:val="20"/>
            <w:lang w:val="en-US"/>
          </w:rPr>
          <w:t>akronim</w:t>
        </w:r>
      </w:hyperlink>
      <w:r w:rsidRPr="001C7045">
        <w:rPr>
          <w:rFonts w:ascii="Arial" w:hAnsi="Arial" w:cs="Arial"/>
          <w:smallCaps w:val="0"/>
          <w:color w:val="auto"/>
          <w:sz w:val="18"/>
          <w:szCs w:val="20"/>
          <w:lang w:val="en-US"/>
        </w:rPr>
        <w:t xml:space="preserve"> engleskih riječi: Strengths, Weaknesses, Opportunities, Threats - snage, slabosti, prilike, prijetnje).  </w:t>
      </w:r>
      <w:r w:rsidRPr="00AF012C">
        <w:rPr>
          <w:rFonts w:ascii="Arial" w:hAnsi="Arial" w:cs="Arial"/>
          <w:smallCaps w:val="0"/>
          <w:color w:val="auto"/>
          <w:sz w:val="18"/>
          <w:szCs w:val="20"/>
          <w:lang w:val="de-DE"/>
        </w:rPr>
        <w:t>Autor ove metode je </w:t>
      </w:r>
      <w:hyperlink r:id="rId20" w:tooltip="Albert Hamfri (stranica ne postoji)" w:history="1">
        <w:r w:rsidRPr="00AF012C">
          <w:rPr>
            <w:rFonts w:ascii="Arial" w:hAnsi="Arial" w:cs="Arial"/>
            <w:smallCaps w:val="0"/>
            <w:color w:val="auto"/>
            <w:sz w:val="18"/>
            <w:szCs w:val="20"/>
            <w:lang w:val="de-DE"/>
          </w:rPr>
          <w:t>A.Hamfri</w:t>
        </w:r>
      </w:hyperlink>
      <w:r w:rsidRPr="00AF012C">
        <w:rPr>
          <w:rFonts w:ascii="Arial" w:hAnsi="Arial" w:cs="Arial"/>
          <w:smallCaps w:val="0"/>
          <w:color w:val="auto"/>
          <w:sz w:val="18"/>
          <w:szCs w:val="20"/>
          <w:lang w:val="de-DE"/>
        </w:rPr>
        <w:t> sa Stanford Univerziteta pri čemu je koristio 500 na</w:t>
      </w:r>
      <w:r>
        <w:rPr>
          <w:rFonts w:ascii="Arial" w:hAnsi="Arial" w:cs="Arial"/>
          <w:smallCaps w:val="0"/>
          <w:color w:val="auto"/>
          <w:sz w:val="18"/>
          <w:szCs w:val="20"/>
          <w:lang w:val="de-DE"/>
        </w:rPr>
        <w:t>j</w:t>
      </w:r>
      <w:r w:rsidRPr="00AF012C">
        <w:rPr>
          <w:rFonts w:ascii="Arial" w:hAnsi="Arial" w:cs="Arial"/>
          <w:smallCaps w:val="0"/>
          <w:color w:val="auto"/>
          <w:sz w:val="18"/>
          <w:szCs w:val="20"/>
          <w:lang w:val="de-DE"/>
        </w:rPr>
        <w:t>jačih kompanija na svijetu (</w:t>
      </w:r>
      <w:hyperlink r:id="rId21" w:tooltip="Fortune 500 (stranica ne postoji)" w:history="1">
        <w:r w:rsidRPr="00AF012C">
          <w:rPr>
            <w:rFonts w:ascii="Arial" w:hAnsi="Arial" w:cs="Arial"/>
            <w:smallCaps w:val="0"/>
            <w:color w:val="auto"/>
            <w:sz w:val="18"/>
            <w:szCs w:val="20"/>
            <w:lang w:val="de-DE"/>
          </w:rPr>
          <w:t>Fortune 500</w:t>
        </w:r>
      </w:hyperlink>
      <w:r w:rsidRPr="00AF012C">
        <w:rPr>
          <w:rFonts w:ascii="Arial" w:hAnsi="Arial" w:cs="Arial"/>
          <w:smallCaps w:val="0"/>
          <w:color w:val="auto"/>
          <w:sz w:val="18"/>
          <w:szCs w:val="20"/>
          <w:lang w:val="de-DE"/>
        </w:rPr>
        <w:t>);</w:t>
      </w:r>
      <w:r w:rsidRPr="00AF012C">
        <w:rPr>
          <w:rFonts w:ascii="Arial" w:hAnsi="Arial" w:cs="Arial"/>
          <w:smallCaps w:val="0"/>
          <w:color w:val="auto"/>
          <w:spacing w:val="-3"/>
          <w:sz w:val="14"/>
          <w:szCs w:val="20"/>
          <w:lang w:val="de-DE"/>
        </w:rPr>
        <w:t xml:space="preserve"> </w:t>
      </w:r>
      <w:r w:rsidRPr="00AF012C">
        <w:rPr>
          <w:rFonts w:ascii="Arial" w:hAnsi="Arial" w:cs="Arial"/>
          <w:i/>
          <w:szCs w:val="22"/>
          <w:shd w:val="clear" w:color="auto" w:fill="FFFFFF"/>
          <w:lang w:val="de-D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79E48" w14:textId="53493198" w:rsidR="0014164F" w:rsidRPr="00EC3A45" w:rsidRDefault="0014164F" w:rsidP="00EC3A45">
    <w:pPr>
      <w:pStyle w:val="Header"/>
      <w:jc w:val="right"/>
      <w:rPr>
        <w:sz w:val="20"/>
        <w:lang w:val="en-US"/>
      </w:rPr>
    </w:pPr>
    <w:r w:rsidRPr="00EC3A45">
      <w:rPr>
        <w:sz w:val="22"/>
        <w:lang w:val="en-US"/>
      </w:rPr>
      <w:t>NACRT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7769B" w14:textId="07E68F3A" w:rsidR="0014164F" w:rsidRPr="00D130B9" w:rsidRDefault="0014164F" w:rsidP="00777714">
    <w:pPr>
      <w:pStyle w:val="Header"/>
      <w:tabs>
        <w:tab w:val="clear" w:pos="4536"/>
        <w:tab w:val="clear" w:pos="9072"/>
        <w:tab w:val="left" w:pos="7230"/>
      </w:tabs>
      <w:rPr>
        <w:rFonts w:cs="Arial"/>
        <w:sz w:val="20"/>
        <w:szCs w:val="20"/>
        <w:lang w:val="en-GB"/>
      </w:rPr>
    </w:pPr>
    <w:r w:rsidRPr="00D130B9">
      <w:rPr>
        <w:rFonts w:cs="Arial"/>
        <w:smallCaps w:val="0"/>
        <w:sz w:val="16"/>
        <w:szCs w:val="16"/>
        <w:lang w:val="en-GB"/>
      </w:rPr>
      <w:t>Državni plan upravljanja otpadom za period 2025-2029.</w:t>
    </w:r>
    <w:r>
      <w:rPr>
        <w:rFonts w:cs="Arial"/>
        <w:smallCaps w:val="0"/>
        <w:sz w:val="16"/>
        <w:szCs w:val="16"/>
        <w:lang w:val="en-GB"/>
      </w:rPr>
      <w:t xml:space="preserve"> godina</w:t>
    </w:r>
  </w:p>
  <w:p w14:paraId="6A028EFE" w14:textId="77777777" w:rsidR="0014164F" w:rsidRDefault="0014164F">
    <w:pPr>
      <w:pStyle w:val="Header"/>
      <w:pBdr>
        <w:top w:val="single" w:sz="4" w:space="1" w:color="auto"/>
      </w:pBdr>
      <w:rPr>
        <w:rFonts w:ascii="Times New Roman" w:hAnsi="Times New Roman"/>
        <w:sz w:val="20"/>
        <w:szCs w:val="20"/>
        <w:lang w:val="en-GB"/>
      </w:rPr>
    </w:pPr>
  </w:p>
  <w:p w14:paraId="7F34A44D" w14:textId="77777777" w:rsidR="0014164F" w:rsidRDefault="0014164F">
    <w:pPr>
      <w:pStyle w:val="Header"/>
      <w:pBdr>
        <w:top w:val="single" w:sz="4" w:space="1" w:color="auto"/>
      </w:pBdr>
      <w:rPr>
        <w:rFonts w:ascii="Times New Roman" w:hAnsi="Times New Roman"/>
        <w:sz w:val="20"/>
        <w:szCs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6451F" w14:textId="77777777" w:rsidR="0014164F" w:rsidRDefault="0014164F">
    <w:pPr>
      <w:pStyle w:val="Header"/>
      <w:tabs>
        <w:tab w:val="clear" w:pos="4536"/>
        <w:tab w:val="clear" w:pos="9072"/>
        <w:tab w:val="left" w:pos="7230"/>
      </w:tabs>
      <w:rPr>
        <w:rFonts w:ascii="Times New Roman" w:hAnsi="Times New Roman"/>
        <w:smallCaps w:val="0"/>
        <w:sz w:val="16"/>
        <w:szCs w:val="16"/>
        <w:lang w:val="en-GB"/>
      </w:rPr>
    </w:pPr>
  </w:p>
  <w:p w14:paraId="1F769606" w14:textId="77777777" w:rsidR="0014164F" w:rsidRDefault="0014164F">
    <w:pPr>
      <w:pStyle w:val="Header"/>
      <w:tabs>
        <w:tab w:val="clear" w:pos="4536"/>
        <w:tab w:val="clear" w:pos="9072"/>
        <w:tab w:val="left" w:pos="7230"/>
      </w:tabs>
      <w:rPr>
        <w:rFonts w:ascii="Times New Roman" w:hAnsi="Times New Roman"/>
        <w:smallCaps w:val="0"/>
        <w:sz w:val="16"/>
        <w:szCs w:val="16"/>
        <w:lang w:val="en-GB"/>
      </w:rPr>
    </w:pPr>
  </w:p>
  <w:p w14:paraId="23661CE7" w14:textId="1327FCC0" w:rsidR="0014164F" w:rsidRPr="00531C8E" w:rsidRDefault="0014164F">
    <w:pPr>
      <w:pStyle w:val="Header"/>
      <w:tabs>
        <w:tab w:val="clear" w:pos="4536"/>
        <w:tab w:val="clear" w:pos="9072"/>
        <w:tab w:val="left" w:pos="7230"/>
      </w:tabs>
      <w:rPr>
        <w:rFonts w:cs="Arial"/>
        <w:sz w:val="20"/>
        <w:szCs w:val="20"/>
        <w:lang w:val="en-GB"/>
      </w:rPr>
    </w:pPr>
    <w:r w:rsidRPr="00531C8E">
      <w:rPr>
        <w:rFonts w:cs="Arial"/>
        <w:smallCaps w:val="0"/>
        <w:sz w:val="16"/>
        <w:szCs w:val="16"/>
        <w:lang w:val="en-GB"/>
      </w:rPr>
      <w:t>Državni plan upravljanja otpadom za period 2025-2029.</w:t>
    </w:r>
    <w:r>
      <w:rPr>
        <w:rFonts w:cs="Arial"/>
        <w:smallCaps w:val="0"/>
        <w:sz w:val="16"/>
        <w:szCs w:val="16"/>
        <w:lang w:val="en-GB"/>
      </w:rPr>
      <w:t xml:space="preserve"> godina</w:t>
    </w:r>
  </w:p>
  <w:p w14:paraId="1F6F90A7" w14:textId="77777777" w:rsidR="0014164F" w:rsidRDefault="0014164F">
    <w:pPr>
      <w:pStyle w:val="Header"/>
      <w:pBdr>
        <w:top w:val="single" w:sz="4" w:space="1" w:color="auto"/>
      </w:pBdr>
      <w:rPr>
        <w:rFonts w:ascii="Times New Roman" w:hAnsi="Times New Roman"/>
        <w:sz w:val="20"/>
        <w:szCs w:val="20"/>
        <w:lang w:val="en-GB"/>
      </w:rPr>
    </w:pPr>
  </w:p>
  <w:p w14:paraId="160D1C21" w14:textId="77777777" w:rsidR="0014164F" w:rsidRDefault="0014164F">
    <w:pPr>
      <w:pStyle w:val="Header"/>
      <w:pBdr>
        <w:top w:val="single" w:sz="4" w:space="1" w:color="auto"/>
      </w:pBdr>
      <w:rPr>
        <w:rFonts w:ascii="Times New Roman" w:hAnsi="Times New Roman"/>
        <w:sz w:val="20"/>
        <w:szCs w:val="20"/>
        <w:lang w:val="en-G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63ECF" w14:textId="77777777" w:rsidR="0014164F" w:rsidRDefault="0014164F">
    <w:pPr>
      <w:pStyle w:val="Header"/>
      <w:tabs>
        <w:tab w:val="clear" w:pos="4536"/>
        <w:tab w:val="clear" w:pos="9072"/>
        <w:tab w:val="left" w:pos="7230"/>
      </w:tabs>
      <w:rPr>
        <w:rFonts w:ascii="Times New Roman" w:hAnsi="Times New Roman"/>
        <w:smallCaps w:val="0"/>
        <w:sz w:val="16"/>
        <w:szCs w:val="16"/>
        <w:lang w:val="en-GB"/>
      </w:rPr>
    </w:pPr>
  </w:p>
  <w:p w14:paraId="10043AEF" w14:textId="77777777" w:rsidR="0014164F" w:rsidRDefault="0014164F">
    <w:pPr>
      <w:pStyle w:val="Header"/>
      <w:tabs>
        <w:tab w:val="clear" w:pos="4536"/>
        <w:tab w:val="clear" w:pos="9072"/>
        <w:tab w:val="left" w:pos="7230"/>
      </w:tabs>
      <w:rPr>
        <w:rFonts w:ascii="Times New Roman" w:hAnsi="Times New Roman"/>
        <w:smallCaps w:val="0"/>
        <w:sz w:val="16"/>
        <w:szCs w:val="16"/>
        <w:lang w:val="en-GB"/>
      </w:rPr>
    </w:pPr>
  </w:p>
  <w:p w14:paraId="0D558AFD" w14:textId="510F0223" w:rsidR="0014164F" w:rsidRPr="0006539F" w:rsidRDefault="0014164F">
    <w:pPr>
      <w:pStyle w:val="Header"/>
      <w:tabs>
        <w:tab w:val="clear" w:pos="4536"/>
        <w:tab w:val="clear" w:pos="9072"/>
        <w:tab w:val="left" w:pos="7230"/>
      </w:tabs>
      <w:rPr>
        <w:rFonts w:cs="Arial"/>
        <w:sz w:val="20"/>
        <w:szCs w:val="20"/>
        <w:lang w:val="en-GB"/>
      </w:rPr>
    </w:pPr>
    <w:r w:rsidRPr="0006539F">
      <w:rPr>
        <w:rFonts w:cs="Arial"/>
        <w:smallCaps w:val="0"/>
        <w:sz w:val="16"/>
        <w:szCs w:val="16"/>
        <w:lang w:val="en-GB"/>
      </w:rPr>
      <w:t>Državni plan upravljanja otpadom za period 2025-2029.</w:t>
    </w:r>
    <w:r>
      <w:rPr>
        <w:rFonts w:cs="Arial"/>
        <w:smallCaps w:val="0"/>
        <w:sz w:val="16"/>
        <w:szCs w:val="16"/>
        <w:lang w:val="en-GB"/>
      </w:rPr>
      <w:t xml:space="preserve"> godina</w:t>
    </w:r>
  </w:p>
  <w:p w14:paraId="25C1CD2D" w14:textId="77777777" w:rsidR="0014164F" w:rsidRDefault="0014164F">
    <w:pPr>
      <w:pStyle w:val="Header"/>
      <w:pBdr>
        <w:top w:val="single" w:sz="4" w:space="1" w:color="auto"/>
      </w:pBdr>
      <w:rPr>
        <w:rFonts w:ascii="Times New Roman" w:hAnsi="Times New Roman"/>
        <w:sz w:val="20"/>
        <w:szCs w:val="20"/>
        <w:lang w:val="en-GB"/>
      </w:rPr>
    </w:pPr>
  </w:p>
  <w:p w14:paraId="16E8F2D8" w14:textId="77777777" w:rsidR="0014164F" w:rsidRDefault="0014164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402BD" w14:textId="64A6EB7B" w:rsidR="0014164F" w:rsidRPr="00E541D3" w:rsidRDefault="0014164F">
    <w:pPr>
      <w:pStyle w:val="Header"/>
      <w:tabs>
        <w:tab w:val="clear" w:pos="4536"/>
        <w:tab w:val="clear" w:pos="9072"/>
        <w:tab w:val="left" w:pos="7230"/>
      </w:tabs>
      <w:rPr>
        <w:rFonts w:cs="Arial"/>
        <w:sz w:val="20"/>
        <w:szCs w:val="20"/>
        <w:lang w:val="en-GB"/>
      </w:rPr>
    </w:pPr>
    <w:r w:rsidRPr="00E541D3">
      <w:rPr>
        <w:rFonts w:cs="Arial"/>
        <w:smallCaps w:val="0"/>
        <w:sz w:val="16"/>
        <w:szCs w:val="16"/>
        <w:lang w:val="en-GB"/>
      </w:rPr>
      <w:t>Državni plan upravljanja otpadom za period 2025-2029.</w:t>
    </w:r>
    <w:r>
      <w:rPr>
        <w:rFonts w:cs="Arial"/>
        <w:smallCaps w:val="0"/>
        <w:sz w:val="16"/>
        <w:szCs w:val="16"/>
        <w:lang w:val="en-GB"/>
      </w:rPr>
      <w:t xml:space="preserve"> godina</w:t>
    </w:r>
  </w:p>
  <w:p w14:paraId="2EB9CDED" w14:textId="77777777" w:rsidR="0014164F" w:rsidRDefault="0014164F">
    <w:pPr>
      <w:pStyle w:val="Header"/>
      <w:pBdr>
        <w:top w:val="single" w:sz="4" w:space="1" w:color="auto"/>
      </w:pBdr>
      <w:rPr>
        <w:rFonts w:ascii="Times New Roman" w:hAnsi="Times New Roman"/>
        <w:sz w:val="20"/>
        <w:szCs w:val="20"/>
        <w:lang w:val="en-GB"/>
      </w:rPr>
    </w:pPr>
  </w:p>
  <w:p w14:paraId="291DB898" w14:textId="77777777" w:rsidR="0014164F" w:rsidRDefault="0014164F">
    <w:pPr>
      <w:pStyle w:val="Header"/>
      <w:tabs>
        <w:tab w:val="clear" w:pos="4536"/>
        <w:tab w:val="clear" w:pos="9072"/>
        <w:tab w:val="left" w:pos="7230"/>
      </w:tabs>
      <w:rPr>
        <w:rFonts w:ascii="Times New Roman" w:hAnsi="Times New Roman"/>
        <w:sz w:val="20"/>
        <w:szCs w:val="20"/>
        <w:lang w:val="en-G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C21AD" w14:textId="7AF31F5C" w:rsidR="0014164F" w:rsidRPr="00A23F1C" w:rsidRDefault="0014164F">
    <w:pPr>
      <w:pStyle w:val="Header"/>
      <w:tabs>
        <w:tab w:val="clear" w:pos="4536"/>
        <w:tab w:val="clear" w:pos="9072"/>
        <w:tab w:val="left" w:pos="7230"/>
      </w:tabs>
      <w:rPr>
        <w:rFonts w:cs="Arial"/>
        <w:sz w:val="20"/>
        <w:szCs w:val="20"/>
        <w:lang w:val="en-GB"/>
      </w:rPr>
    </w:pPr>
    <w:r w:rsidRPr="00A23F1C">
      <w:rPr>
        <w:rFonts w:cs="Arial"/>
        <w:smallCaps w:val="0"/>
        <w:sz w:val="16"/>
        <w:szCs w:val="16"/>
        <w:lang w:val="en-GB"/>
      </w:rPr>
      <w:t>Državni plan upravljanja otpadom za period 2025-2029.</w:t>
    </w:r>
    <w:r>
      <w:rPr>
        <w:rFonts w:cs="Arial"/>
        <w:smallCaps w:val="0"/>
        <w:sz w:val="16"/>
        <w:szCs w:val="16"/>
        <w:lang w:val="en-GB"/>
      </w:rPr>
      <w:t xml:space="preserve"> godina</w:t>
    </w:r>
  </w:p>
  <w:p w14:paraId="0394C69D" w14:textId="77777777" w:rsidR="0014164F" w:rsidRDefault="0014164F">
    <w:pPr>
      <w:pStyle w:val="Header"/>
      <w:pBdr>
        <w:top w:val="single" w:sz="4" w:space="1" w:color="auto"/>
      </w:pBdr>
      <w:rPr>
        <w:rFonts w:ascii="Times New Roman" w:hAnsi="Times New Roman"/>
        <w:sz w:val="20"/>
        <w:szCs w:val="20"/>
        <w:lang w:val="en-GB"/>
      </w:rPr>
    </w:pPr>
  </w:p>
  <w:p w14:paraId="7D942390" w14:textId="77777777" w:rsidR="0014164F" w:rsidRDefault="0014164F">
    <w:pPr>
      <w:pStyle w:val="Header"/>
      <w:tabs>
        <w:tab w:val="clear" w:pos="4536"/>
        <w:tab w:val="clear" w:pos="9072"/>
        <w:tab w:val="left" w:pos="7230"/>
      </w:tabs>
      <w:rPr>
        <w:rFonts w:ascii="Times New Roman" w:hAnsi="Times New Roman"/>
        <w:sz w:val="20"/>
        <w:szCs w:val="2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5BBCA50"/>
    <w:multiLevelType w:val="multilevel"/>
    <w:tmpl w:val="95BBCA50"/>
    <w:lvl w:ilvl="0">
      <w:start w:val="1"/>
      <w:numFmt w:val="decimal"/>
      <w:lvlText w:val="%1."/>
      <w:lvlJc w:val="left"/>
      <w:pPr>
        <w:ind w:left="396" w:hanging="396"/>
      </w:pPr>
      <w:rPr>
        <w:rFonts w:hint="default"/>
      </w:rPr>
    </w:lvl>
    <w:lvl w:ilvl="1">
      <w:start w:val="1"/>
      <w:numFmt w:val="decimal"/>
      <w:isLgl/>
      <w:lvlText w:val="%1.%2"/>
      <w:lvlJc w:val="left"/>
      <w:pPr>
        <w:ind w:left="501" w:hanging="360"/>
      </w:pPr>
      <w:rPr>
        <w:rFonts w:hint="default"/>
        <w:sz w:val="28"/>
        <w:szCs w:val="28"/>
      </w:rPr>
    </w:lvl>
    <w:lvl w:ilvl="2">
      <w:start w:val="1"/>
      <w:numFmt w:val="decimal"/>
      <w:isLgl/>
      <w:lvlText w:val="%1.%2.%3"/>
      <w:lvlJc w:val="left"/>
      <w:pPr>
        <w:ind w:left="861"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555EB0"/>
    <w:multiLevelType w:val="multilevel"/>
    <w:tmpl w:val="00555EB0"/>
    <w:lvl w:ilvl="0">
      <w:numFmt w:val="bullet"/>
      <w:pStyle w:val="bullet1"/>
      <w:lvlText w:val="•"/>
      <w:lvlJc w:val="left"/>
      <w:pPr>
        <w:ind w:left="567" w:hanging="283"/>
      </w:pPr>
      <w:rPr>
        <w:rFonts w:ascii="Arial" w:hAnsi="Aria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018455F3"/>
    <w:multiLevelType w:val="hybridMultilevel"/>
    <w:tmpl w:val="2286E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6725D3"/>
    <w:multiLevelType w:val="multilevel"/>
    <w:tmpl w:val="77F2E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906D3E"/>
    <w:multiLevelType w:val="multilevel"/>
    <w:tmpl w:val="03906D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44A4D42"/>
    <w:multiLevelType w:val="multilevel"/>
    <w:tmpl w:val="044A4D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470611B"/>
    <w:multiLevelType w:val="hybridMultilevel"/>
    <w:tmpl w:val="276A8D1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4850C65"/>
    <w:multiLevelType w:val="multilevel"/>
    <w:tmpl w:val="04850C6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4FA286F"/>
    <w:multiLevelType w:val="multilevel"/>
    <w:tmpl w:val="04FA286F"/>
    <w:lvl w:ilvl="0">
      <w:start w:val="6"/>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7C00493"/>
    <w:multiLevelType w:val="multilevel"/>
    <w:tmpl w:val="07C0049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8414A1B"/>
    <w:multiLevelType w:val="multilevel"/>
    <w:tmpl w:val="08414A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8E908AA"/>
    <w:multiLevelType w:val="multilevel"/>
    <w:tmpl w:val="08E908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9C33B07"/>
    <w:multiLevelType w:val="multilevel"/>
    <w:tmpl w:val="09C33B0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9C33C86"/>
    <w:multiLevelType w:val="multilevel"/>
    <w:tmpl w:val="09C33C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AA16845"/>
    <w:multiLevelType w:val="multilevel"/>
    <w:tmpl w:val="0AA168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C6E1BBA"/>
    <w:multiLevelType w:val="multilevel"/>
    <w:tmpl w:val="0C6E1B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Tw Cen MT" w:eastAsiaTheme="minorHAnsi" w:hAnsi="Tw Cen MT" w:cs="Times New Roman"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C764D49"/>
    <w:multiLevelType w:val="hybridMultilevel"/>
    <w:tmpl w:val="D28614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850456"/>
    <w:multiLevelType w:val="multilevel"/>
    <w:tmpl w:val="0C85045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0F463398"/>
    <w:multiLevelType w:val="multilevel"/>
    <w:tmpl w:val="F5B00FF6"/>
    <w:lvl w:ilvl="0">
      <w:start w:val="4"/>
      <w:numFmt w:val="decimal"/>
      <w:lvlText w:val="%1."/>
      <w:lvlJc w:val="left"/>
      <w:pPr>
        <w:ind w:left="450" w:hanging="450"/>
      </w:pPr>
      <w:rPr>
        <w:rFonts w:hint="default"/>
      </w:rPr>
    </w:lvl>
    <w:lvl w:ilvl="1">
      <w:start w:val="6"/>
      <w:numFmt w:val="decimal"/>
      <w:lvlText w:val="%1.%2."/>
      <w:lvlJc w:val="left"/>
      <w:pPr>
        <w:ind w:left="1854"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646" w:hanging="180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19" w15:restartNumberingAfterBreak="0">
    <w:nsid w:val="10B80B7E"/>
    <w:multiLevelType w:val="multilevel"/>
    <w:tmpl w:val="10B80B7E"/>
    <w:lvl w:ilvl="0">
      <w:start w:val="1"/>
      <w:numFmt w:val="bullet"/>
      <w:lvlText w:val=""/>
      <w:lvlJc w:val="left"/>
      <w:pPr>
        <w:ind w:left="720" w:hanging="360"/>
      </w:pPr>
      <w:rPr>
        <w:rFonts w:ascii="Wingdings" w:hAnsi="Wingdings" w:hint="default"/>
        <w:color w:val="C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13600BC"/>
    <w:multiLevelType w:val="multilevel"/>
    <w:tmpl w:val="D1AA2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41731B"/>
    <w:multiLevelType w:val="multilevel"/>
    <w:tmpl w:val="1241731B"/>
    <w:lvl w:ilvl="0">
      <w:start w:val="1"/>
      <w:numFmt w:val="bullet"/>
      <w:lvlText w:val=""/>
      <w:lvlJc w:val="left"/>
      <w:pPr>
        <w:ind w:left="720" w:hanging="360"/>
      </w:pPr>
      <w:rPr>
        <w:rFonts w:ascii="Wingdings 3" w:hAnsi="Wingdings 3" w:hint="default"/>
        <w:color w:val="943634"/>
        <w:u w:color="63242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391544E"/>
    <w:multiLevelType w:val="hybridMultilevel"/>
    <w:tmpl w:val="1396E47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5B0316E"/>
    <w:multiLevelType w:val="multilevel"/>
    <w:tmpl w:val="15B031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755494B"/>
    <w:multiLevelType w:val="hybridMultilevel"/>
    <w:tmpl w:val="0C7086C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78C14AD"/>
    <w:multiLevelType w:val="hybridMultilevel"/>
    <w:tmpl w:val="C7F48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732641"/>
    <w:multiLevelType w:val="multilevel"/>
    <w:tmpl w:val="1873264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18813341"/>
    <w:multiLevelType w:val="multilevel"/>
    <w:tmpl w:val="18813341"/>
    <w:lvl w:ilvl="0">
      <w:start w:val="1"/>
      <w:numFmt w:val="decimal"/>
      <w:lvlText w:val="(%1)"/>
      <w:lvlJc w:val="left"/>
      <w:pPr>
        <w:ind w:left="720" w:hanging="360"/>
      </w:pPr>
      <w:rPr>
        <w:rFonts w:hint="default"/>
        <w:sz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8965E74"/>
    <w:multiLevelType w:val="multilevel"/>
    <w:tmpl w:val="18965E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A4E5B3A"/>
    <w:multiLevelType w:val="multilevel"/>
    <w:tmpl w:val="1A4E5B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1B140720"/>
    <w:multiLevelType w:val="multilevel"/>
    <w:tmpl w:val="2CC4D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BC633C0"/>
    <w:multiLevelType w:val="multilevel"/>
    <w:tmpl w:val="1BC633C0"/>
    <w:lvl w:ilvl="0">
      <w:start w:val="6"/>
      <w:numFmt w:val="bullet"/>
      <w:lvlText w:val="-"/>
      <w:lvlJc w:val="left"/>
      <w:pPr>
        <w:ind w:left="360" w:hanging="360"/>
      </w:pPr>
      <w:rPr>
        <w:rFonts w:ascii="Cambria" w:eastAsia="Times New Roman" w:hAnsi="Cambria"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1BEE3036"/>
    <w:multiLevelType w:val="multilevel"/>
    <w:tmpl w:val="9A52AEBE"/>
    <w:lvl w:ilvl="0">
      <w:start w:val="4"/>
      <w:numFmt w:val="decimal"/>
      <w:lvlText w:val="%1."/>
      <w:lvlJc w:val="left"/>
      <w:pPr>
        <w:ind w:left="480" w:hanging="480"/>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C407227"/>
    <w:multiLevelType w:val="multilevel"/>
    <w:tmpl w:val="38BE5E74"/>
    <w:lvl w:ilvl="0">
      <w:start w:val="8"/>
      <w:numFmt w:val="decimal"/>
      <w:lvlText w:val="%1."/>
      <w:lvlJc w:val="left"/>
      <w:pPr>
        <w:ind w:left="360" w:hanging="36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34" w15:restartNumberingAfterBreak="0">
    <w:nsid w:val="1D0C000A"/>
    <w:multiLevelType w:val="hybridMultilevel"/>
    <w:tmpl w:val="5F70C1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D1A3358"/>
    <w:multiLevelType w:val="multilevel"/>
    <w:tmpl w:val="E11A5282"/>
    <w:lvl w:ilvl="0">
      <w:start w:val="1"/>
      <w:numFmt w:val="decimal"/>
      <w:lvlText w:val="%1."/>
      <w:lvlJc w:val="left"/>
      <w:pPr>
        <w:ind w:left="360" w:hanging="360"/>
      </w:pPr>
      <w:rPr>
        <w:sz w:val="20"/>
        <w:szCs w:val="20"/>
      </w:rPr>
    </w:lvl>
    <w:lvl w:ilvl="1">
      <w:start w:val="2"/>
      <w:numFmt w:val="decimal"/>
      <w:isLgl/>
      <w:lvlText w:val="%1.%2."/>
      <w:lvlJc w:val="left"/>
      <w:pPr>
        <w:ind w:left="862" w:hanging="720"/>
      </w:pPr>
      <w:rPr>
        <w:rFonts w:eastAsia="Calibri" w:hint="default"/>
        <w:b w:val="0"/>
        <w:color w:val="8496B0" w:themeColor="text2" w:themeTint="99"/>
        <w:sz w:val="22"/>
      </w:rPr>
    </w:lvl>
    <w:lvl w:ilvl="2">
      <w:start w:val="1"/>
      <w:numFmt w:val="decimal"/>
      <w:isLgl/>
      <w:lvlText w:val="%1.%2.%3."/>
      <w:lvlJc w:val="left"/>
      <w:pPr>
        <w:ind w:left="720" w:hanging="720"/>
      </w:pPr>
      <w:rPr>
        <w:rFonts w:eastAsia="Calibri" w:hint="default"/>
        <w:b w:val="0"/>
        <w:color w:val="auto"/>
        <w:sz w:val="22"/>
      </w:rPr>
    </w:lvl>
    <w:lvl w:ilvl="3">
      <w:start w:val="1"/>
      <w:numFmt w:val="decimal"/>
      <w:isLgl/>
      <w:lvlText w:val="%1.%2.%3.%4."/>
      <w:lvlJc w:val="left"/>
      <w:pPr>
        <w:ind w:left="1080" w:hanging="1080"/>
      </w:pPr>
      <w:rPr>
        <w:rFonts w:eastAsia="Calibri" w:hint="default"/>
        <w:b w:val="0"/>
        <w:color w:val="auto"/>
        <w:sz w:val="22"/>
      </w:rPr>
    </w:lvl>
    <w:lvl w:ilvl="4">
      <w:start w:val="1"/>
      <w:numFmt w:val="decimal"/>
      <w:isLgl/>
      <w:lvlText w:val="%1.%2.%3.%4.%5."/>
      <w:lvlJc w:val="left"/>
      <w:pPr>
        <w:ind w:left="1080" w:hanging="1080"/>
      </w:pPr>
      <w:rPr>
        <w:rFonts w:eastAsia="Calibri" w:hint="default"/>
        <w:b w:val="0"/>
        <w:color w:val="auto"/>
        <w:sz w:val="22"/>
      </w:rPr>
    </w:lvl>
    <w:lvl w:ilvl="5">
      <w:start w:val="1"/>
      <w:numFmt w:val="decimal"/>
      <w:isLgl/>
      <w:lvlText w:val="%1.%2.%3.%4.%5.%6."/>
      <w:lvlJc w:val="left"/>
      <w:pPr>
        <w:ind w:left="1440" w:hanging="1440"/>
      </w:pPr>
      <w:rPr>
        <w:rFonts w:eastAsia="Calibri" w:hint="default"/>
        <w:b w:val="0"/>
        <w:color w:val="auto"/>
        <w:sz w:val="22"/>
      </w:rPr>
    </w:lvl>
    <w:lvl w:ilvl="6">
      <w:start w:val="1"/>
      <w:numFmt w:val="decimal"/>
      <w:isLgl/>
      <w:lvlText w:val="%1.%2.%3.%4.%5.%6.%7."/>
      <w:lvlJc w:val="left"/>
      <w:pPr>
        <w:ind w:left="1800" w:hanging="1800"/>
      </w:pPr>
      <w:rPr>
        <w:rFonts w:eastAsia="Calibri" w:hint="default"/>
        <w:b w:val="0"/>
        <w:color w:val="auto"/>
        <w:sz w:val="22"/>
      </w:rPr>
    </w:lvl>
    <w:lvl w:ilvl="7">
      <w:start w:val="1"/>
      <w:numFmt w:val="decimal"/>
      <w:isLgl/>
      <w:lvlText w:val="%1.%2.%3.%4.%5.%6.%7.%8."/>
      <w:lvlJc w:val="left"/>
      <w:pPr>
        <w:ind w:left="1800" w:hanging="1800"/>
      </w:pPr>
      <w:rPr>
        <w:rFonts w:eastAsia="Calibri" w:hint="default"/>
        <w:b w:val="0"/>
        <w:color w:val="auto"/>
        <w:sz w:val="22"/>
      </w:rPr>
    </w:lvl>
    <w:lvl w:ilvl="8">
      <w:start w:val="1"/>
      <w:numFmt w:val="decimal"/>
      <w:isLgl/>
      <w:lvlText w:val="%1.%2.%3.%4.%5.%6.%7.%8.%9."/>
      <w:lvlJc w:val="left"/>
      <w:pPr>
        <w:ind w:left="2160" w:hanging="2160"/>
      </w:pPr>
      <w:rPr>
        <w:rFonts w:eastAsia="Calibri" w:hint="default"/>
        <w:b w:val="0"/>
        <w:color w:val="auto"/>
        <w:sz w:val="22"/>
      </w:rPr>
    </w:lvl>
  </w:abstractNum>
  <w:abstractNum w:abstractNumId="36" w15:restartNumberingAfterBreak="0">
    <w:nsid w:val="1E026043"/>
    <w:multiLevelType w:val="multilevel"/>
    <w:tmpl w:val="1E0260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20620F27"/>
    <w:multiLevelType w:val="multilevel"/>
    <w:tmpl w:val="20620F27"/>
    <w:lvl w:ilvl="0">
      <w:numFmt w:val="bullet"/>
      <w:pStyle w:val="Style7"/>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8" w15:restartNumberingAfterBreak="0">
    <w:nsid w:val="20A04E88"/>
    <w:multiLevelType w:val="multilevel"/>
    <w:tmpl w:val="20A04E88"/>
    <w:lvl w:ilvl="0">
      <w:start w:val="1"/>
      <w:numFmt w:val="decimal"/>
      <w:pStyle w:val="Tabele"/>
      <w:lvlText w:val="Tabela %1."/>
      <w:lvlJc w:val="left"/>
      <w:rPr>
        <w:b/>
        <w:bCs w:val="0"/>
        <w:i w:val="0"/>
        <w:iCs w:val="0"/>
        <w:caps w:val="0"/>
        <w:smallCaps w:val="0"/>
        <w:strike w:val="0"/>
        <w:dstrike w:val="0"/>
        <w:vanish w:val="0"/>
        <w:color w:val="00000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lvlText w:val="%2."/>
      <w:lvlJc w:val="left"/>
      <w:pPr>
        <w:ind w:left="-1327" w:hanging="360"/>
      </w:pPr>
      <w:rPr>
        <w:rFonts w:cs="Times New Roman"/>
      </w:rPr>
    </w:lvl>
    <w:lvl w:ilvl="2">
      <w:start w:val="1"/>
      <w:numFmt w:val="lowerRoman"/>
      <w:lvlText w:val="%3."/>
      <w:lvlJc w:val="right"/>
      <w:pPr>
        <w:ind w:left="-607" w:hanging="180"/>
      </w:pPr>
      <w:rPr>
        <w:rFonts w:cs="Times New Roman"/>
      </w:rPr>
    </w:lvl>
    <w:lvl w:ilvl="3">
      <w:start w:val="1"/>
      <w:numFmt w:val="decimal"/>
      <w:lvlText w:val="%4."/>
      <w:lvlJc w:val="left"/>
      <w:pPr>
        <w:ind w:left="113" w:hanging="360"/>
      </w:pPr>
      <w:rPr>
        <w:rFonts w:cs="Times New Roman"/>
      </w:rPr>
    </w:lvl>
    <w:lvl w:ilvl="4">
      <w:start w:val="1"/>
      <w:numFmt w:val="lowerLetter"/>
      <w:lvlText w:val="%5."/>
      <w:lvlJc w:val="left"/>
      <w:pPr>
        <w:ind w:left="833" w:hanging="360"/>
      </w:pPr>
      <w:rPr>
        <w:rFonts w:cs="Times New Roman"/>
      </w:rPr>
    </w:lvl>
    <w:lvl w:ilvl="5">
      <w:start w:val="1"/>
      <w:numFmt w:val="lowerRoman"/>
      <w:lvlText w:val="%6."/>
      <w:lvlJc w:val="right"/>
      <w:pPr>
        <w:ind w:left="1553" w:hanging="180"/>
      </w:pPr>
      <w:rPr>
        <w:rFonts w:cs="Times New Roman"/>
      </w:rPr>
    </w:lvl>
    <w:lvl w:ilvl="6">
      <w:start w:val="1"/>
      <w:numFmt w:val="decimal"/>
      <w:lvlText w:val="%7."/>
      <w:lvlJc w:val="left"/>
      <w:pPr>
        <w:ind w:left="2273" w:hanging="360"/>
      </w:pPr>
      <w:rPr>
        <w:rFonts w:cs="Times New Roman"/>
      </w:rPr>
    </w:lvl>
    <w:lvl w:ilvl="7">
      <w:start w:val="1"/>
      <w:numFmt w:val="lowerLetter"/>
      <w:lvlText w:val="%8."/>
      <w:lvlJc w:val="left"/>
      <w:pPr>
        <w:ind w:left="2993" w:hanging="360"/>
      </w:pPr>
      <w:rPr>
        <w:rFonts w:cs="Times New Roman"/>
      </w:rPr>
    </w:lvl>
    <w:lvl w:ilvl="8">
      <w:start w:val="1"/>
      <w:numFmt w:val="lowerRoman"/>
      <w:lvlText w:val="%9."/>
      <w:lvlJc w:val="right"/>
      <w:pPr>
        <w:ind w:left="3713" w:hanging="180"/>
      </w:pPr>
      <w:rPr>
        <w:rFonts w:cs="Times New Roman"/>
      </w:rPr>
    </w:lvl>
  </w:abstractNum>
  <w:abstractNum w:abstractNumId="39" w15:restartNumberingAfterBreak="0">
    <w:nsid w:val="216F5531"/>
    <w:multiLevelType w:val="multilevel"/>
    <w:tmpl w:val="18D295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23C442D3"/>
    <w:multiLevelType w:val="multilevel"/>
    <w:tmpl w:val="23C442D3"/>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409366F"/>
    <w:multiLevelType w:val="hybridMultilevel"/>
    <w:tmpl w:val="F1C4AB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41F6B3B"/>
    <w:multiLevelType w:val="multilevel"/>
    <w:tmpl w:val="241F6B3B"/>
    <w:lvl w:ilvl="0">
      <w:start w:val="1"/>
      <w:numFmt w:val="decimal"/>
      <w:lvlText w:val="%1."/>
      <w:lvlJc w:val="left"/>
      <w:pPr>
        <w:ind w:left="720" w:hanging="360"/>
      </w:pPr>
      <w:rPr>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8992B2F"/>
    <w:multiLevelType w:val="multilevel"/>
    <w:tmpl w:val="28992B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28AB6355"/>
    <w:multiLevelType w:val="multilevel"/>
    <w:tmpl w:val="28AB63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29EF6BCE"/>
    <w:multiLevelType w:val="multilevel"/>
    <w:tmpl w:val="29EF6BCE"/>
    <w:lvl w:ilvl="0">
      <w:numFmt w:val="bullet"/>
      <w:lvlText w:val="-"/>
      <w:lvlJc w:val="left"/>
      <w:pPr>
        <w:ind w:left="283" w:hanging="284"/>
      </w:pPr>
      <w:rPr>
        <w:rFonts w:ascii="Times New Roman" w:eastAsia="Times New Roman" w:hAnsi="Times New Roman" w:cs="Times New Roman" w:hint="default"/>
        <w:b w:val="0"/>
        <w:bCs w:val="0"/>
        <w:i w:val="0"/>
        <w:iCs w:val="0"/>
        <w:spacing w:val="0"/>
        <w:w w:val="99"/>
        <w:sz w:val="20"/>
        <w:szCs w:val="20"/>
        <w:lang w:val="hr-HR" w:eastAsia="en-US" w:bidi="ar-SA"/>
      </w:rPr>
    </w:lvl>
    <w:lvl w:ilvl="1">
      <w:numFmt w:val="bullet"/>
      <w:lvlText w:val="•"/>
      <w:lvlJc w:val="left"/>
      <w:pPr>
        <w:ind w:left="630" w:hanging="284"/>
      </w:pPr>
      <w:rPr>
        <w:rFonts w:hint="default"/>
        <w:lang w:val="hr-HR" w:eastAsia="en-US" w:bidi="ar-SA"/>
      </w:rPr>
    </w:lvl>
    <w:lvl w:ilvl="2">
      <w:numFmt w:val="bullet"/>
      <w:lvlText w:val="•"/>
      <w:lvlJc w:val="left"/>
      <w:pPr>
        <w:ind w:left="981" w:hanging="284"/>
      </w:pPr>
      <w:rPr>
        <w:rFonts w:hint="default"/>
        <w:lang w:val="hr-HR" w:eastAsia="en-US" w:bidi="ar-SA"/>
      </w:rPr>
    </w:lvl>
    <w:lvl w:ilvl="3">
      <w:numFmt w:val="bullet"/>
      <w:lvlText w:val="•"/>
      <w:lvlJc w:val="left"/>
      <w:pPr>
        <w:ind w:left="1332" w:hanging="284"/>
      </w:pPr>
      <w:rPr>
        <w:rFonts w:hint="default"/>
        <w:lang w:val="hr-HR" w:eastAsia="en-US" w:bidi="ar-SA"/>
      </w:rPr>
    </w:lvl>
    <w:lvl w:ilvl="4">
      <w:numFmt w:val="bullet"/>
      <w:lvlText w:val="•"/>
      <w:lvlJc w:val="left"/>
      <w:pPr>
        <w:ind w:left="1683" w:hanging="284"/>
      </w:pPr>
      <w:rPr>
        <w:rFonts w:hint="default"/>
        <w:lang w:val="hr-HR" w:eastAsia="en-US" w:bidi="ar-SA"/>
      </w:rPr>
    </w:lvl>
    <w:lvl w:ilvl="5">
      <w:numFmt w:val="bullet"/>
      <w:lvlText w:val="•"/>
      <w:lvlJc w:val="left"/>
      <w:pPr>
        <w:ind w:left="2034" w:hanging="284"/>
      </w:pPr>
      <w:rPr>
        <w:rFonts w:hint="default"/>
        <w:lang w:val="hr-HR" w:eastAsia="en-US" w:bidi="ar-SA"/>
      </w:rPr>
    </w:lvl>
    <w:lvl w:ilvl="6">
      <w:numFmt w:val="bullet"/>
      <w:lvlText w:val="•"/>
      <w:lvlJc w:val="left"/>
      <w:pPr>
        <w:ind w:left="2385" w:hanging="284"/>
      </w:pPr>
      <w:rPr>
        <w:rFonts w:hint="default"/>
        <w:lang w:val="hr-HR" w:eastAsia="en-US" w:bidi="ar-SA"/>
      </w:rPr>
    </w:lvl>
    <w:lvl w:ilvl="7">
      <w:numFmt w:val="bullet"/>
      <w:lvlText w:val="•"/>
      <w:lvlJc w:val="left"/>
      <w:pPr>
        <w:ind w:left="2736" w:hanging="284"/>
      </w:pPr>
      <w:rPr>
        <w:rFonts w:hint="default"/>
        <w:lang w:val="hr-HR" w:eastAsia="en-US" w:bidi="ar-SA"/>
      </w:rPr>
    </w:lvl>
    <w:lvl w:ilvl="8">
      <w:numFmt w:val="bullet"/>
      <w:lvlText w:val="•"/>
      <w:lvlJc w:val="left"/>
      <w:pPr>
        <w:ind w:left="3087" w:hanging="284"/>
      </w:pPr>
      <w:rPr>
        <w:rFonts w:hint="default"/>
        <w:lang w:val="hr-HR" w:eastAsia="en-US" w:bidi="ar-SA"/>
      </w:rPr>
    </w:lvl>
  </w:abstractNum>
  <w:abstractNum w:abstractNumId="46" w15:restartNumberingAfterBreak="0">
    <w:nsid w:val="2A983325"/>
    <w:multiLevelType w:val="multilevel"/>
    <w:tmpl w:val="B8B8209A"/>
    <w:lvl w:ilvl="0">
      <w:start w:val="4"/>
      <w:numFmt w:val="decimal"/>
      <w:lvlText w:val="%1."/>
      <w:lvlJc w:val="left"/>
      <w:pPr>
        <w:ind w:left="435" w:hanging="435"/>
      </w:pPr>
      <w:rPr>
        <w:rFonts w:hint="default"/>
      </w:rPr>
    </w:lvl>
    <w:lvl w:ilvl="1">
      <w:start w:val="19"/>
      <w:numFmt w:val="decimal"/>
      <w:lvlText w:val="%1.%2."/>
      <w:lvlJc w:val="left"/>
      <w:pPr>
        <w:ind w:left="1569" w:hanging="43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7" w15:restartNumberingAfterBreak="0">
    <w:nsid w:val="2A9A2350"/>
    <w:multiLevelType w:val="multilevel"/>
    <w:tmpl w:val="2A9A23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2CCE07D8"/>
    <w:multiLevelType w:val="multilevel"/>
    <w:tmpl w:val="2CCE07D8"/>
    <w:lvl w:ilvl="0">
      <w:start w:val="1"/>
      <w:numFmt w:val="bullet"/>
      <w:lvlText w:val=""/>
      <w:lvlJc w:val="left"/>
      <w:pPr>
        <w:ind w:left="774" w:hanging="360"/>
      </w:pPr>
      <w:rPr>
        <w:rFonts w:ascii="Symbol" w:hAnsi="Symbol" w:hint="default"/>
      </w:rPr>
    </w:lvl>
    <w:lvl w:ilvl="1">
      <w:start w:val="1"/>
      <w:numFmt w:val="bullet"/>
      <w:lvlText w:val="o"/>
      <w:lvlJc w:val="left"/>
      <w:pPr>
        <w:ind w:left="1494" w:hanging="360"/>
      </w:pPr>
      <w:rPr>
        <w:rFonts w:ascii="Courier New" w:hAnsi="Courier New" w:cs="Courier New" w:hint="default"/>
      </w:rPr>
    </w:lvl>
    <w:lvl w:ilvl="2">
      <w:start w:val="1"/>
      <w:numFmt w:val="bullet"/>
      <w:lvlText w:val=""/>
      <w:lvlJc w:val="left"/>
      <w:pPr>
        <w:ind w:left="2214" w:hanging="360"/>
      </w:pPr>
      <w:rPr>
        <w:rFonts w:ascii="Wingdings" w:hAnsi="Wingdings" w:hint="default"/>
      </w:rPr>
    </w:lvl>
    <w:lvl w:ilvl="3">
      <w:start w:val="1"/>
      <w:numFmt w:val="bullet"/>
      <w:lvlText w:val=""/>
      <w:lvlJc w:val="left"/>
      <w:pPr>
        <w:ind w:left="2934" w:hanging="360"/>
      </w:pPr>
      <w:rPr>
        <w:rFonts w:ascii="Symbol" w:hAnsi="Symbol" w:hint="default"/>
      </w:rPr>
    </w:lvl>
    <w:lvl w:ilvl="4">
      <w:start w:val="1"/>
      <w:numFmt w:val="bullet"/>
      <w:lvlText w:val="o"/>
      <w:lvlJc w:val="left"/>
      <w:pPr>
        <w:ind w:left="3654" w:hanging="360"/>
      </w:pPr>
      <w:rPr>
        <w:rFonts w:ascii="Courier New" w:hAnsi="Courier New" w:cs="Courier New" w:hint="default"/>
      </w:rPr>
    </w:lvl>
    <w:lvl w:ilvl="5">
      <w:start w:val="1"/>
      <w:numFmt w:val="bullet"/>
      <w:lvlText w:val=""/>
      <w:lvlJc w:val="left"/>
      <w:pPr>
        <w:ind w:left="4374" w:hanging="360"/>
      </w:pPr>
      <w:rPr>
        <w:rFonts w:ascii="Wingdings" w:hAnsi="Wingdings" w:hint="default"/>
      </w:rPr>
    </w:lvl>
    <w:lvl w:ilvl="6">
      <w:start w:val="1"/>
      <w:numFmt w:val="bullet"/>
      <w:lvlText w:val=""/>
      <w:lvlJc w:val="left"/>
      <w:pPr>
        <w:ind w:left="5094" w:hanging="360"/>
      </w:pPr>
      <w:rPr>
        <w:rFonts w:ascii="Symbol" w:hAnsi="Symbol" w:hint="default"/>
      </w:rPr>
    </w:lvl>
    <w:lvl w:ilvl="7">
      <w:start w:val="1"/>
      <w:numFmt w:val="bullet"/>
      <w:lvlText w:val="o"/>
      <w:lvlJc w:val="left"/>
      <w:pPr>
        <w:ind w:left="5814" w:hanging="360"/>
      </w:pPr>
      <w:rPr>
        <w:rFonts w:ascii="Courier New" w:hAnsi="Courier New" w:cs="Courier New" w:hint="default"/>
      </w:rPr>
    </w:lvl>
    <w:lvl w:ilvl="8">
      <w:start w:val="1"/>
      <w:numFmt w:val="bullet"/>
      <w:lvlText w:val=""/>
      <w:lvlJc w:val="left"/>
      <w:pPr>
        <w:ind w:left="6534" w:hanging="360"/>
      </w:pPr>
      <w:rPr>
        <w:rFonts w:ascii="Wingdings" w:hAnsi="Wingdings" w:hint="default"/>
      </w:rPr>
    </w:lvl>
  </w:abstractNum>
  <w:abstractNum w:abstractNumId="49" w15:restartNumberingAfterBreak="0">
    <w:nsid w:val="2D3F038C"/>
    <w:multiLevelType w:val="multilevel"/>
    <w:tmpl w:val="2D3F03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2DDA40D8"/>
    <w:multiLevelType w:val="multilevel"/>
    <w:tmpl w:val="9BA22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AC43C2"/>
    <w:multiLevelType w:val="multilevel"/>
    <w:tmpl w:val="2EAC43C2"/>
    <w:lvl w:ilvl="0">
      <w:start w:val="1"/>
      <w:numFmt w:val="bullet"/>
      <w:lvlText w:val=""/>
      <w:lvlJc w:val="left"/>
      <w:pPr>
        <w:ind w:left="1080" w:hanging="72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2F8E1ED4"/>
    <w:multiLevelType w:val="multilevel"/>
    <w:tmpl w:val="2F8E1ED4"/>
    <w:lvl w:ilvl="0">
      <w:start w:val="1"/>
      <w:numFmt w:val="bullet"/>
      <w:pStyle w:val="ListBullet2"/>
      <w:lvlText w:val=""/>
      <w:lvlJc w:val="left"/>
      <w:pPr>
        <w:tabs>
          <w:tab w:val="left" w:pos="360"/>
        </w:tabs>
        <w:ind w:left="360" w:hanging="360"/>
      </w:pPr>
      <w:rPr>
        <w:rFonts w:ascii="Symbol" w:hAnsi="Symbol" w:hint="default"/>
        <w:sz w:val="22"/>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3" w15:restartNumberingAfterBreak="0">
    <w:nsid w:val="2FF742F9"/>
    <w:multiLevelType w:val="multilevel"/>
    <w:tmpl w:val="2FF742F9"/>
    <w:lvl w:ilvl="0">
      <w:start w:val="1"/>
      <w:numFmt w:val="decimal"/>
      <w:pStyle w:val="MMTopic1"/>
      <w:suff w:val="space"/>
      <w:lvlText w:val="%1"/>
      <w:lvlJc w:val="left"/>
      <w:pPr>
        <w:tabs>
          <w:tab w:val="left" w:pos="360"/>
        </w:tabs>
        <w:ind w:left="0" w:firstLine="0"/>
      </w:pPr>
    </w:lvl>
    <w:lvl w:ilvl="1">
      <w:start w:val="1"/>
      <w:numFmt w:val="decimal"/>
      <w:pStyle w:val="MMTopic2"/>
      <w:suff w:val="space"/>
      <w:lvlText w:val="%1.%2"/>
      <w:lvlJc w:val="left"/>
      <w:pPr>
        <w:tabs>
          <w:tab w:val="left" w:pos="720"/>
        </w:tabs>
        <w:ind w:left="0" w:firstLine="0"/>
      </w:pPr>
    </w:lvl>
    <w:lvl w:ilvl="2">
      <w:start w:val="1"/>
      <w:numFmt w:val="decimal"/>
      <w:pStyle w:val="MMTopic3"/>
      <w:suff w:val="space"/>
      <w:lvlText w:val="%1.%2.%3"/>
      <w:lvlJc w:val="left"/>
      <w:pPr>
        <w:tabs>
          <w:tab w:val="left" w:pos="1440"/>
        </w:tabs>
        <w:ind w:left="360" w:firstLine="0"/>
      </w:pPr>
    </w:lvl>
    <w:lvl w:ilvl="3">
      <w:start w:val="1"/>
      <w:numFmt w:val="decimal"/>
      <w:lvlText w:val="(%4)"/>
      <w:lvlJc w:val="left"/>
      <w:pPr>
        <w:tabs>
          <w:tab w:val="left" w:pos="1440"/>
        </w:tabs>
        <w:ind w:left="1440" w:hanging="360"/>
      </w:p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54" w15:restartNumberingAfterBreak="0">
    <w:nsid w:val="31D270C6"/>
    <w:multiLevelType w:val="multilevel"/>
    <w:tmpl w:val="31D270C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5" w15:restartNumberingAfterBreak="0">
    <w:nsid w:val="32053936"/>
    <w:multiLevelType w:val="multilevel"/>
    <w:tmpl w:val="32053936"/>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56" w15:restartNumberingAfterBreak="0">
    <w:nsid w:val="32911FA5"/>
    <w:multiLevelType w:val="multilevel"/>
    <w:tmpl w:val="6706D54A"/>
    <w:lvl w:ilvl="0">
      <w:start w:val="4"/>
      <w:numFmt w:val="decimal"/>
      <w:lvlText w:val="%1."/>
      <w:lvlJc w:val="left"/>
      <w:pPr>
        <w:ind w:left="435" w:hanging="435"/>
      </w:pPr>
      <w:rPr>
        <w:rFonts w:hint="default"/>
      </w:rPr>
    </w:lvl>
    <w:lvl w:ilvl="1">
      <w:start w:val="19"/>
      <w:numFmt w:val="decimal"/>
      <w:lvlText w:val="%1.%2."/>
      <w:lvlJc w:val="left"/>
      <w:pPr>
        <w:ind w:left="435"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3394AB8"/>
    <w:multiLevelType w:val="multilevel"/>
    <w:tmpl w:val="61B82BF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339F081C"/>
    <w:multiLevelType w:val="hybridMultilevel"/>
    <w:tmpl w:val="B7A2666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33F74919"/>
    <w:multiLevelType w:val="multilevel"/>
    <w:tmpl w:val="33F74919"/>
    <w:lvl w:ilvl="0">
      <w:start w:val="1"/>
      <w:numFmt w:val="bullet"/>
      <w:lvlText w:val=""/>
      <w:lvlJc w:val="left"/>
      <w:pPr>
        <w:ind w:left="720" w:hanging="360"/>
      </w:pPr>
      <w:rPr>
        <w:rFonts w:ascii="Wingdings" w:hAnsi="Wingdings" w:hint="default"/>
        <w:b/>
        <w:i w:val="0"/>
        <w:color w:val="C45911" w:themeColor="accent2" w:themeShade="BF"/>
        <w:sz w:val="16"/>
        <w:u w:color="833C0B" w:themeColor="accent2" w:themeShade="80"/>
        <w14:shadow w14:blurRad="0" w14:dist="0" w14:dir="0" w14:sx="0" w14:sy="0" w14:kx="0" w14:ky="0" w14:algn="none">
          <w14:srgbClr w14:val="000000"/>
        </w14:shadow>
      </w:rPr>
    </w:lvl>
    <w:lvl w:ilvl="1">
      <w:start w:val="1"/>
      <w:numFmt w:val="bullet"/>
      <w:lvlText w:val=""/>
      <w:lvlJc w:val="left"/>
      <w:pPr>
        <w:ind w:left="1530" w:hanging="360"/>
      </w:pPr>
      <w:rPr>
        <w:rFonts w:ascii="Wingdings 3" w:hAnsi="Wingdings 3" w:hint="default"/>
        <w:color w:val="943634"/>
        <w:u w:color="632423"/>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34BA70D2"/>
    <w:multiLevelType w:val="hybridMultilevel"/>
    <w:tmpl w:val="F6967C8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35117C10"/>
    <w:multiLevelType w:val="multilevel"/>
    <w:tmpl w:val="35117C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357E5BA7"/>
    <w:multiLevelType w:val="multilevel"/>
    <w:tmpl w:val="357E5BA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3685470F"/>
    <w:multiLevelType w:val="hybridMultilevel"/>
    <w:tmpl w:val="C9AED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6D41A5A"/>
    <w:multiLevelType w:val="multilevel"/>
    <w:tmpl w:val="36D41A5A"/>
    <w:lvl w:ilvl="0">
      <w:numFmt w:val="bullet"/>
      <w:pStyle w:val="Risultato"/>
      <w:lvlText w:val=""/>
      <w:lvlJc w:val="left"/>
      <w:pPr>
        <w:ind w:left="245" w:hanging="245"/>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5" w15:restartNumberingAfterBreak="0">
    <w:nsid w:val="3AE76D0C"/>
    <w:multiLevelType w:val="multilevel"/>
    <w:tmpl w:val="3AE76D0C"/>
    <w:lvl w:ilvl="0">
      <w:numFmt w:val="bullet"/>
      <w:lvlText w:val="-"/>
      <w:lvlJc w:val="left"/>
      <w:pPr>
        <w:ind w:left="283" w:hanging="284"/>
      </w:pPr>
      <w:rPr>
        <w:rFonts w:ascii="Times New Roman" w:eastAsia="Times New Roman" w:hAnsi="Times New Roman" w:cs="Times New Roman" w:hint="default"/>
        <w:b w:val="0"/>
        <w:bCs w:val="0"/>
        <w:i w:val="0"/>
        <w:iCs w:val="0"/>
        <w:spacing w:val="0"/>
        <w:w w:val="99"/>
        <w:sz w:val="20"/>
        <w:szCs w:val="20"/>
        <w:lang w:val="hr-HR" w:eastAsia="en-US" w:bidi="ar-SA"/>
      </w:rPr>
    </w:lvl>
    <w:lvl w:ilvl="1">
      <w:numFmt w:val="bullet"/>
      <w:lvlText w:val="•"/>
      <w:lvlJc w:val="left"/>
      <w:pPr>
        <w:ind w:left="630" w:hanging="284"/>
      </w:pPr>
      <w:rPr>
        <w:rFonts w:hint="default"/>
        <w:lang w:val="hr-HR" w:eastAsia="en-US" w:bidi="ar-SA"/>
      </w:rPr>
    </w:lvl>
    <w:lvl w:ilvl="2">
      <w:numFmt w:val="bullet"/>
      <w:lvlText w:val="•"/>
      <w:lvlJc w:val="left"/>
      <w:pPr>
        <w:ind w:left="981" w:hanging="284"/>
      </w:pPr>
      <w:rPr>
        <w:rFonts w:hint="default"/>
        <w:lang w:val="hr-HR" w:eastAsia="en-US" w:bidi="ar-SA"/>
      </w:rPr>
    </w:lvl>
    <w:lvl w:ilvl="3">
      <w:numFmt w:val="bullet"/>
      <w:lvlText w:val="•"/>
      <w:lvlJc w:val="left"/>
      <w:pPr>
        <w:ind w:left="1332" w:hanging="284"/>
      </w:pPr>
      <w:rPr>
        <w:rFonts w:hint="default"/>
        <w:lang w:val="hr-HR" w:eastAsia="en-US" w:bidi="ar-SA"/>
      </w:rPr>
    </w:lvl>
    <w:lvl w:ilvl="4">
      <w:numFmt w:val="bullet"/>
      <w:lvlText w:val="•"/>
      <w:lvlJc w:val="left"/>
      <w:pPr>
        <w:ind w:left="1683" w:hanging="284"/>
      </w:pPr>
      <w:rPr>
        <w:rFonts w:hint="default"/>
        <w:lang w:val="hr-HR" w:eastAsia="en-US" w:bidi="ar-SA"/>
      </w:rPr>
    </w:lvl>
    <w:lvl w:ilvl="5">
      <w:numFmt w:val="bullet"/>
      <w:lvlText w:val="•"/>
      <w:lvlJc w:val="left"/>
      <w:pPr>
        <w:ind w:left="2034" w:hanging="284"/>
      </w:pPr>
      <w:rPr>
        <w:rFonts w:hint="default"/>
        <w:lang w:val="hr-HR" w:eastAsia="en-US" w:bidi="ar-SA"/>
      </w:rPr>
    </w:lvl>
    <w:lvl w:ilvl="6">
      <w:numFmt w:val="bullet"/>
      <w:lvlText w:val="•"/>
      <w:lvlJc w:val="left"/>
      <w:pPr>
        <w:ind w:left="2385" w:hanging="284"/>
      </w:pPr>
      <w:rPr>
        <w:rFonts w:hint="default"/>
        <w:lang w:val="hr-HR" w:eastAsia="en-US" w:bidi="ar-SA"/>
      </w:rPr>
    </w:lvl>
    <w:lvl w:ilvl="7">
      <w:numFmt w:val="bullet"/>
      <w:lvlText w:val="•"/>
      <w:lvlJc w:val="left"/>
      <w:pPr>
        <w:ind w:left="2736" w:hanging="284"/>
      </w:pPr>
      <w:rPr>
        <w:rFonts w:hint="default"/>
        <w:lang w:val="hr-HR" w:eastAsia="en-US" w:bidi="ar-SA"/>
      </w:rPr>
    </w:lvl>
    <w:lvl w:ilvl="8">
      <w:numFmt w:val="bullet"/>
      <w:lvlText w:val="•"/>
      <w:lvlJc w:val="left"/>
      <w:pPr>
        <w:ind w:left="3087" w:hanging="284"/>
      </w:pPr>
      <w:rPr>
        <w:rFonts w:hint="default"/>
        <w:lang w:val="hr-HR" w:eastAsia="en-US" w:bidi="ar-SA"/>
      </w:rPr>
    </w:lvl>
  </w:abstractNum>
  <w:abstractNum w:abstractNumId="66" w15:restartNumberingAfterBreak="0">
    <w:nsid w:val="3B6846A4"/>
    <w:multiLevelType w:val="hybridMultilevel"/>
    <w:tmpl w:val="A2C26D74"/>
    <w:lvl w:ilvl="0" w:tplc="8E468946">
      <w:start w:val="1"/>
      <w:numFmt w:val="bullet"/>
      <w:lvlText w:val="•"/>
      <w:lvlJc w:val="left"/>
      <w:pPr>
        <w:ind w:left="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DB20B3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500A7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92AA6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10355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8EB5C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72B89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8AA98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D6F87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3BC7093B"/>
    <w:multiLevelType w:val="hybridMultilevel"/>
    <w:tmpl w:val="8F10D3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C3F7173"/>
    <w:multiLevelType w:val="multilevel"/>
    <w:tmpl w:val="3C3F71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3C8C030A"/>
    <w:multiLevelType w:val="multilevel"/>
    <w:tmpl w:val="3C8C03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3D423E2E"/>
    <w:multiLevelType w:val="multilevel"/>
    <w:tmpl w:val="3D423E2E"/>
    <w:lvl w:ilvl="0">
      <w:start w:val="1"/>
      <w:numFmt w:val="decimal"/>
      <w:lvlText w:val="(%1)"/>
      <w:lvlJc w:val="left"/>
      <w:pPr>
        <w:ind w:left="720" w:hanging="360"/>
      </w:pPr>
      <w:rPr>
        <w:rFonts w:hint="default"/>
        <w:sz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3E1D1ECD"/>
    <w:multiLevelType w:val="multilevel"/>
    <w:tmpl w:val="3E1D1ECD"/>
    <w:lvl w:ilvl="0">
      <w:start w:val="1"/>
      <w:numFmt w:val="bullet"/>
      <w:lvlText w:val=""/>
      <w:lvlJc w:val="left"/>
      <w:pPr>
        <w:ind w:left="1151" w:hanging="360"/>
      </w:pPr>
      <w:rPr>
        <w:rFonts w:ascii="Symbol" w:hAnsi="Symbol" w:hint="default"/>
      </w:rPr>
    </w:lvl>
    <w:lvl w:ilvl="1">
      <w:start w:val="1"/>
      <w:numFmt w:val="bullet"/>
      <w:lvlText w:val="o"/>
      <w:lvlJc w:val="left"/>
      <w:pPr>
        <w:ind w:left="1871" w:hanging="360"/>
      </w:pPr>
      <w:rPr>
        <w:rFonts w:ascii="Courier New" w:hAnsi="Courier New" w:cs="Courier New" w:hint="default"/>
      </w:rPr>
    </w:lvl>
    <w:lvl w:ilvl="2">
      <w:start w:val="1"/>
      <w:numFmt w:val="bullet"/>
      <w:lvlText w:val=""/>
      <w:lvlJc w:val="left"/>
      <w:pPr>
        <w:ind w:left="2591" w:hanging="360"/>
      </w:pPr>
      <w:rPr>
        <w:rFonts w:ascii="Wingdings" w:hAnsi="Wingdings" w:hint="default"/>
      </w:rPr>
    </w:lvl>
    <w:lvl w:ilvl="3">
      <w:start w:val="1"/>
      <w:numFmt w:val="bullet"/>
      <w:lvlText w:val=""/>
      <w:lvlJc w:val="left"/>
      <w:pPr>
        <w:ind w:left="3311" w:hanging="360"/>
      </w:pPr>
      <w:rPr>
        <w:rFonts w:ascii="Symbol" w:hAnsi="Symbol" w:hint="default"/>
      </w:rPr>
    </w:lvl>
    <w:lvl w:ilvl="4">
      <w:start w:val="1"/>
      <w:numFmt w:val="bullet"/>
      <w:lvlText w:val="o"/>
      <w:lvlJc w:val="left"/>
      <w:pPr>
        <w:ind w:left="4031" w:hanging="360"/>
      </w:pPr>
      <w:rPr>
        <w:rFonts w:ascii="Courier New" w:hAnsi="Courier New" w:cs="Courier New" w:hint="default"/>
      </w:rPr>
    </w:lvl>
    <w:lvl w:ilvl="5">
      <w:start w:val="1"/>
      <w:numFmt w:val="bullet"/>
      <w:lvlText w:val=""/>
      <w:lvlJc w:val="left"/>
      <w:pPr>
        <w:ind w:left="4751" w:hanging="360"/>
      </w:pPr>
      <w:rPr>
        <w:rFonts w:ascii="Wingdings" w:hAnsi="Wingdings" w:hint="default"/>
      </w:rPr>
    </w:lvl>
    <w:lvl w:ilvl="6">
      <w:start w:val="1"/>
      <w:numFmt w:val="bullet"/>
      <w:lvlText w:val=""/>
      <w:lvlJc w:val="left"/>
      <w:pPr>
        <w:ind w:left="5471" w:hanging="360"/>
      </w:pPr>
      <w:rPr>
        <w:rFonts w:ascii="Symbol" w:hAnsi="Symbol" w:hint="default"/>
      </w:rPr>
    </w:lvl>
    <w:lvl w:ilvl="7">
      <w:start w:val="1"/>
      <w:numFmt w:val="bullet"/>
      <w:lvlText w:val="o"/>
      <w:lvlJc w:val="left"/>
      <w:pPr>
        <w:ind w:left="6191" w:hanging="360"/>
      </w:pPr>
      <w:rPr>
        <w:rFonts w:ascii="Courier New" w:hAnsi="Courier New" w:cs="Courier New" w:hint="default"/>
      </w:rPr>
    </w:lvl>
    <w:lvl w:ilvl="8">
      <w:start w:val="1"/>
      <w:numFmt w:val="bullet"/>
      <w:lvlText w:val=""/>
      <w:lvlJc w:val="left"/>
      <w:pPr>
        <w:ind w:left="6911" w:hanging="360"/>
      </w:pPr>
      <w:rPr>
        <w:rFonts w:ascii="Wingdings" w:hAnsi="Wingdings" w:hint="default"/>
      </w:rPr>
    </w:lvl>
  </w:abstractNum>
  <w:abstractNum w:abstractNumId="72" w15:restartNumberingAfterBreak="0">
    <w:nsid w:val="3EC668F8"/>
    <w:multiLevelType w:val="multilevel"/>
    <w:tmpl w:val="3EC668F8"/>
    <w:lvl w:ilvl="0">
      <w:start w:val="1"/>
      <w:numFmt w:val="bullet"/>
      <w:lvlText w:val=""/>
      <w:lvlJc w:val="left"/>
      <w:pPr>
        <w:ind w:left="720" w:hanging="360"/>
      </w:pPr>
      <w:rPr>
        <w:rFonts w:ascii="Wingdings" w:hAnsi="Wingding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3F9D22F8"/>
    <w:multiLevelType w:val="hybridMultilevel"/>
    <w:tmpl w:val="9084B9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FD05636"/>
    <w:multiLevelType w:val="multilevel"/>
    <w:tmpl w:val="3FD056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3FE31E49"/>
    <w:multiLevelType w:val="multilevel"/>
    <w:tmpl w:val="3FE31E49"/>
    <w:lvl w:ilvl="0">
      <w:start w:val="1"/>
      <w:numFmt w:val="bullet"/>
      <w:lvlText w:val=""/>
      <w:lvlJc w:val="left"/>
      <w:pPr>
        <w:ind w:left="1440" w:hanging="360"/>
      </w:pPr>
      <w:rPr>
        <w:rFonts w:ascii="Wingdings 3" w:hAnsi="Wingdings 3" w:hint="default"/>
        <w:color w:val="943634"/>
        <w:u w:color="632423"/>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6" w15:restartNumberingAfterBreak="0">
    <w:nsid w:val="4142475F"/>
    <w:multiLevelType w:val="multilevel"/>
    <w:tmpl w:val="4142475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41CF66B8"/>
    <w:multiLevelType w:val="multilevel"/>
    <w:tmpl w:val="5C7A1C1A"/>
    <w:lvl w:ilvl="0">
      <w:start w:val="1"/>
      <w:numFmt w:val="decimal"/>
      <w:pStyle w:val="Heading1"/>
      <w:lvlText w:val="%1."/>
      <w:lvlJc w:val="left"/>
      <w:pPr>
        <w:ind w:left="360" w:hanging="360"/>
      </w:p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423E0520"/>
    <w:multiLevelType w:val="multilevel"/>
    <w:tmpl w:val="423E05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4282298D"/>
    <w:multiLevelType w:val="multilevel"/>
    <w:tmpl w:val="4282298D"/>
    <w:lvl w:ilvl="0">
      <w:start w:val="4"/>
      <w:numFmt w:val="bullet"/>
      <w:lvlText w:val=""/>
      <w:lvlJc w:val="left"/>
      <w:pPr>
        <w:ind w:left="720" w:hanging="360"/>
      </w:pPr>
      <w:rPr>
        <w:rFonts w:ascii="Wingdings" w:eastAsiaTheme="minorHAnsi"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42D65280"/>
    <w:multiLevelType w:val="multilevel"/>
    <w:tmpl w:val="42D6528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43932FCD"/>
    <w:multiLevelType w:val="multilevel"/>
    <w:tmpl w:val="43932FCD"/>
    <w:lvl w:ilvl="0">
      <w:start w:val="4"/>
      <w:numFmt w:val="bullet"/>
      <w:lvlText w:val=""/>
      <w:lvlJc w:val="left"/>
      <w:pPr>
        <w:ind w:left="1080" w:hanging="360"/>
      </w:pPr>
      <w:rPr>
        <w:rFonts w:ascii="Wingdings" w:eastAsiaTheme="minorHAnsi" w:hAnsi="Wingdings"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2" w15:restartNumberingAfterBreak="0">
    <w:nsid w:val="43AA10D7"/>
    <w:multiLevelType w:val="multilevel"/>
    <w:tmpl w:val="43AA10D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443E4ACD"/>
    <w:multiLevelType w:val="multilevel"/>
    <w:tmpl w:val="443E4ACD"/>
    <w:lvl w:ilvl="0">
      <w:numFmt w:val="bullet"/>
      <w:pStyle w:val="E1"/>
      <w:lvlText w:val=""/>
      <w:lvlJc w:val="left"/>
      <w:pPr>
        <w:ind w:left="284" w:hanging="284"/>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4" w15:restartNumberingAfterBreak="0">
    <w:nsid w:val="45E52D48"/>
    <w:multiLevelType w:val="multilevel"/>
    <w:tmpl w:val="45E52D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46463C20"/>
    <w:multiLevelType w:val="multilevel"/>
    <w:tmpl w:val="46463C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467D672D"/>
    <w:multiLevelType w:val="hybridMultilevel"/>
    <w:tmpl w:val="07A46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69F0DEF"/>
    <w:multiLevelType w:val="multilevel"/>
    <w:tmpl w:val="469F0DE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46F272B2"/>
    <w:multiLevelType w:val="multilevel"/>
    <w:tmpl w:val="46F272B2"/>
    <w:lvl w:ilvl="0">
      <w:start w:val="6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470A0AD3"/>
    <w:multiLevelType w:val="multilevel"/>
    <w:tmpl w:val="470A0A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4745721C"/>
    <w:multiLevelType w:val="hybridMultilevel"/>
    <w:tmpl w:val="C9FA21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99A6C26"/>
    <w:multiLevelType w:val="multilevel"/>
    <w:tmpl w:val="499A6C26"/>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92" w15:restartNumberingAfterBreak="0">
    <w:nsid w:val="4A596DCB"/>
    <w:multiLevelType w:val="multilevel"/>
    <w:tmpl w:val="4A596DC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B775520"/>
    <w:multiLevelType w:val="multilevel"/>
    <w:tmpl w:val="D5DE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B8279E3"/>
    <w:multiLevelType w:val="hybridMultilevel"/>
    <w:tmpl w:val="A03A7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C1B7BD3"/>
    <w:multiLevelType w:val="multilevel"/>
    <w:tmpl w:val="4C1B7B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4C4F38D9"/>
    <w:multiLevelType w:val="multilevel"/>
    <w:tmpl w:val="4C4F38D9"/>
    <w:lvl w:ilvl="0">
      <w:start w:val="1"/>
      <w:numFmt w:val="bullet"/>
      <w:lvlText w:val=""/>
      <w:lvlJc w:val="left"/>
      <w:pPr>
        <w:ind w:left="1788" w:hanging="360"/>
      </w:pPr>
      <w:rPr>
        <w:rFonts w:ascii="Wingdings" w:hAnsi="Wingdings" w:hint="default"/>
      </w:rPr>
    </w:lvl>
    <w:lvl w:ilvl="1">
      <w:start w:val="1"/>
      <w:numFmt w:val="bullet"/>
      <w:lvlText w:val="o"/>
      <w:lvlJc w:val="left"/>
      <w:pPr>
        <w:ind w:left="2508" w:hanging="360"/>
      </w:pPr>
      <w:rPr>
        <w:rFonts w:ascii="Courier New" w:hAnsi="Courier New" w:cs="Courier New" w:hint="default"/>
      </w:rPr>
    </w:lvl>
    <w:lvl w:ilvl="2">
      <w:start w:val="1"/>
      <w:numFmt w:val="bullet"/>
      <w:lvlText w:val=""/>
      <w:lvlJc w:val="left"/>
      <w:pPr>
        <w:ind w:left="3228" w:hanging="360"/>
      </w:pPr>
      <w:rPr>
        <w:rFonts w:ascii="Wingdings" w:hAnsi="Wingdings" w:hint="default"/>
      </w:rPr>
    </w:lvl>
    <w:lvl w:ilvl="3">
      <w:start w:val="1"/>
      <w:numFmt w:val="bullet"/>
      <w:lvlText w:val=""/>
      <w:lvlJc w:val="left"/>
      <w:pPr>
        <w:ind w:left="3948" w:hanging="360"/>
      </w:pPr>
      <w:rPr>
        <w:rFonts w:ascii="Symbol" w:hAnsi="Symbol" w:hint="default"/>
      </w:rPr>
    </w:lvl>
    <w:lvl w:ilvl="4">
      <w:start w:val="1"/>
      <w:numFmt w:val="bullet"/>
      <w:lvlText w:val="o"/>
      <w:lvlJc w:val="left"/>
      <w:pPr>
        <w:ind w:left="4668" w:hanging="360"/>
      </w:pPr>
      <w:rPr>
        <w:rFonts w:ascii="Courier New" w:hAnsi="Courier New" w:cs="Courier New" w:hint="default"/>
      </w:rPr>
    </w:lvl>
    <w:lvl w:ilvl="5">
      <w:start w:val="1"/>
      <w:numFmt w:val="bullet"/>
      <w:lvlText w:val=""/>
      <w:lvlJc w:val="left"/>
      <w:pPr>
        <w:ind w:left="5388" w:hanging="360"/>
      </w:pPr>
      <w:rPr>
        <w:rFonts w:ascii="Wingdings" w:hAnsi="Wingdings" w:hint="default"/>
      </w:rPr>
    </w:lvl>
    <w:lvl w:ilvl="6">
      <w:start w:val="1"/>
      <w:numFmt w:val="bullet"/>
      <w:lvlText w:val=""/>
      <w:lvlJc w:val="left"/>
      <w:pPr>
        <w:ind w:left="6108" w:hanging="360"/>
      </w:pPr>
      <w:rPr>
        <w:rFonts w:ascii="Symbol" w:hAnsi="Symbol" w:hint="default"/>
      </w:rPr>
    </w:lvl>
    <w:lvl w:ilvl="7">
      <w:start w:val="1"/>
      <w:numFmt w:val="bullet"/>
      <w:lvlText w:val="o"/>
      <w:lvlJc w:val="left"/>
      <w:pPr>
        <w:ind w:left="6828" w:hanging="360"/>
      </w:pPr>
      <w:rPr>
        <w:rFonts w:ascii="Courier New" w:hAnsi="Courier New" w:cs="Courier New" w:hint="default"/>
      </w:rPr>
    </w:lvl>
    <w:lvl w:ilvl="8">
      <w:start w:val="1"/>
      <w:numFmt w:val="bullet"/>
      <w:lvlText w:val=""/>
      <w:lvlJc w:val="left"/>
      <w:pPr>
        <w:ind w:left="7548" w:hanging="360"/>
      </w:pPr>
      <w:rPr>
        <w:rFonts w:ascii="Wingdings" w:hAnsi="Wingdings" w:hint="default"/>
      </w:rPr>
    </w:lvl>
  </w:abstractNum>
  <w:abstractNum w:abstractNumId="97" w15:restartNumberingAfterBreak="0">
    <w:nsid w:val="4CD846B8"/>
    <w:multiLevelType w:val="multilevel"/>
    <w:tmpl w:val="4CD846B8"/>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decimal"/>
      <w:lvlText w:val="%4)"/>
      <w:lvlJc w:val="left"/>
      <w:pPr>
        <w:ind w:left="3240" w:hanging="360"/>
      </w:pPr>
      <w:rPr>
        <w:rFonts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8" w15:restartNumberingAfterBreak="0">
    <w:nsid w:val="4CF64C76"/>
    <w:multiLevelType w:val="multilevel"/>
    <w:tmpl w:val="4CF64C7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9" w15:restartNumberingAfterBreak="0">
    <w:nsid w:val="4D533E9D"/>
    <w:multiLevelType w:val="multilevel"/>
    <w:tmpl w:val="94A63B6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4D5445B4"/>
    <w:multiLevelType w:val="multilevel"/>
    <w:tmpl w:val="4D5445B4"/>
    <w:lvl w:ilvl="0">
      <w:numFmt w:val="bullet"/>
      <w:lvlText w:val="•"/>
      <w:lvlJc w:val="left"/>
      <w:pPr>
        <w:ind w:left="720" w:hanging="360"/>
      </w:pPr>
      <w:rPr>
        <w:rFonts w:ascii="Times New Roman" w:eastAsia="AGaramondPro-Bold"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1" w15:restartNumberingAfterBreak="0">
    <w:nsid w:val="4D5F751F"/>
    <w:multiLevelType w:val="multilevel"/>
    <w:tmpl w:val="4D5F751F"/>
    <w:lvl w:ilvl="0">
      <w:start w:val="1"/>
      <w:numFmt w:val="bullet"/>
      <w:lvlText w:val=""/>
      <w:lvlJc w:val="left"/>
      <w:pPr>
        <w:ind w:left="1440" w:hanging="360"/>
      </w:pPr>
      <w:rPr>
        <w:rFonts w:ascii="Wingdings 3" w:hAnsi="Wingdings 3" w:hint="default"/>
        <w:b/>
        <w:i w:val="0"/>
        <w:color w:val="943634"/>
        <w:sz w:val="16"/>
        <w:u w:color="632423"/>
        <w14:shadow w14:blurRad="0" w14:dist="0" w14:dir="0" w14:sx="0" w14:sy="0" w14:kx="0" w14:ky="0" w14:algn="none">
          <w14:srgbClr w14:val="000000"/>
        </w14:shadow>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2" w15:restartNumberingAfterBreak="0">
    <w:nsid w:val="4EFA0E51"/>
    <w:multiLevelType w:val="multilevel"/>
    <w:tmpl w:val="4EFA0E5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4F401C6C"/>
    <w:multiLevelType w:val="multilevel"/>
    <w:tmpl w:val="4F401C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50E0561C"/>
    <w:multiLevelType w:val="multilevel"/>
    <w:tmpl w:val="50E0561C"/>
    <w:lvl w:ilvl="0">
      <w:start w:val="1"/>
      <w:numFmt w:val="bullet"/>
      <w:lvlText w:val="→"/>
      <w:lvlJc w:val="left"/>
      <w:pPr>
        <w:ind w:left="766" w:hanging="360"/>
      </w:pPr>
      <w:rPr>
        <w:rFonts w:ascii="Times New Roman" w:hAnsi="Times New Roman" w:cs="Times New Roman" w:hint="default"/>
      </w:rPr>
    </w:lvl>
    <w:lvl w:ilvl="1">
      <w:start w:val="1"/>
      <w:numFmt w:val="bullet"/>
      <w:lvlText w:val="o"/>
      <w:lvlJc w:val="left"/>
      <w:pPr>
        <w:ind w:left="1486" w:hanging="360"/>
      </w:pPr>
      <w:rPr>
        <w:rFonts w:ascii="Courier New" w:hAnsi="Courier New" w:cs="Courier New" w:hint="default"/>
      </w:rPr>
    </w:lvl>
    <w:lvl w:ilvl="2">
      <w:start w:val="1"/>
      <w:numFmt w:val="bullet"/>
      <w:lvlText w:val=""/>
      <w:lvlJc w:val="left"/>
      <w:pPr>
        <w:ind w:left="2206" w:hanging="360"/>
      </w:pPr>
      <w:rPr>
        <w:rFonts w:ascii="Wingdings" w:hAnsi="Wingdings" w:hint="default"/>
      </w:rPr>
    </w:lvl>
    <w:lvl w:ilvl="3">
      <w:start w:val="1"/>
      <w:numFmt w:val="bullet"/>
      <w:lvlText w:val=""/>
      <w:lvlJc w:val="left"/>
      <w:pPr>
        <w:ind w:left="2926" w:hanging="360"/>
      </w:pPr>
      <w:rPr>
        <w:rFonts w:ascii="Symbol" w:hAnsi="Symbol" w:hint="default"/>
      </w:rPr>
    </w:lvl>
    <w:lvl w:ilvl="4">
      <w:start w:val="1"/>
      <w:numFmt w:val="bullet"/>
      <w:lvlText w:val="o"/>
      <w:lvlJc w:val="left"/>
      <w:pPr>
        <w:ind w:left="3646" w:hanging="360"/>
      </w:pPr>
      <w:rPr>
        <w:rFonts w:ascii="Courier New" w:hAnsi="Courier New" w:cs="Courier New" w:hint="default"/>
      </w:rPr>
    </w:lvl>
    <w:lvl w:ilvl="5">
      <w:start w:val="1"/>
      <w:numFmt w:val="bullet"/>
      <w:lvlText w:val=""/>
      <w:lvlJc w:val="left"/>
      <w:pPr>
        <w:ind w:left="4366" w:hanging="360"/>
      </w:pPr>
      <w:rPr>
        <w:rFonts w:ascii="Wingdings" w:hAnsi="Wingdings" w:hint="default"/>
      </w:rPr>
    </w:lvl>
    <w:lvl w:ilvl="6">
      <w:start w:val="1"/>
      <w:numFmt w:val="bullet"/>
      <w:lvlText w:val=""/>
      <w:lvlJc w:val="left"/>
      <w:pPr>
        <w:ind w:left="5086" w:hanging="360"/>
      </w:pPr>
      <w:rPr>
        <w:rFonts w:ascii="Symbol" w:hAnsi="Symbol" w:hint="default"/>
      </w:rPr>
    </w:lvl>
    <w:lvl w:ilvl="7">
      <w:start w:val="1"/>
      <w:numFmt w:val="bullet"/>
      <w:lvlText w:val="o"/>
      <w:lvlJc w:val="left"/>
      <w:pPr>
        <w:ind w:left="5806" w:hanging="360"/>
      </w:pPr>
      <w:rPr>
        <w:rFonts w:ascii="Courier New" w:hAnsi="Courier New" w:cs="Courier New" w:hint="default"/>
      </w:rPr>
    </w:lvl>
    <w:lvl w:ilvl="8">
      <w:start w:val="1"/>
      <w:numFmt w:val="bullet"/>
      <w:lvlText w:val=""/>
      <w:lvlJc w:val="left"/>
      <w:pPr>
        <w:ind w:left="6526" w:hanging="360"/>
      </w:pPr>
      <w:rPr>
        <w:rFonts w:ascii="Wingdings" w:hAnsi="Wingdings" w:hint="default"/>
      </w:rPr>
    </w:lvl>
  </w:abstractNum>
  <w:abstractNum w:abstractNumId="105" w15:restartNumberingAfterBreak="0">
    <w:nsid w:val="5358315C"/>
    <w:multiLevelType w:val="multilevel"/>
    <w:tmpl w:val="5358315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6" w15:restartNumberingAfterBreak="0">
    <w:nsid w:val="53774B8A"/>
    <w:multiLevelType w:val="multilevel"/>
    <w:tmpl w:val="53774B8A"/>
    <w:lvl w:ilvl="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hr-HR" w:eastAsia="en-US" w:bidi="ar-SA"/>
      </w:rPr>
    </w:lvl>
    <w:lvl w:ilvl="1">
      <w:numFmt w:val="bullet"/>
      <w:lvlText w:val="•"/>
      <w:lvlJc w:val="left"/>
      <w:pPr>
        <w:ind w:left="1692" w:hanging="360"/>
      </w:pPr>
      <w:rPr>
        <w:rFonts w:hint="default"/>
        <w:lang w:val="hr-HR" w:eastAsia="en-US" w:bidi="ar-SA"/>
      </w:rPr>
    </w:lvl>
    <w:lvl w:ilvl="2">
      <w:numFmt w:val="bullet"/>
      <w:lvlText w:val="•"/>
      <w:lvlJc w:val="left"/>
      <w:pPr>
        <w:ind w:left="2664" w:hanging="360"/>
      </w:pPr>
      <w:rPr>
        <w:rFonts w:hint="default"/>
        <w:lang w:val="hr-HR" w:eastAsia="en-US" w:bidi="ar-SA"/>
      </w:rPr>
    </w:lvl>
    <w:lvl w:ilvl="3">
      <w:numFmt w:val="bullet"/>
      <w:lvlText w:val="•"/>
      <w:lvlJc w:val="left"/>
      <w:pPr>
        <w:ind w:left="3636" w:hanging="360"/>
      </w:pPr>
      <w:rPr>
        <w:rFonts w:hint="default"/>
        <w:lang w:val="hr-HR" w:eastAsia="en-US" w:bidi="ar-SA"/>
      </w:rPr>
    </w:lvl>
    <w:lvl w:ilvl="4">
      <w:numFmt w:val="bullet"/>
      <w:lvlText w:val="•"/>
      <w:lvlJc w:val="left"/>
      <w:pPr>
        <w:ind w:left="4608" w:hanging="360"/>
      </w:pPr>
      <w:rPr>
        <w:rFonts w:hint="default"/>
        <w:lang w:val="hr-HR" w:eastAsia="en-US" w:bidi="ar-SA"/>
      </w:rPr>
    </w:lvl>
    <w:lvl w:ilvl="5">
      <w:numFmt w:val="bullet"/>
      <w:lvlText w:val="•"/>
      <w:lvlJc w:val="left"/>
      <w:pPr>
        <w:ind w:left="5580" w:hanging="360"/>
      </w:pPr>
      <w:rPr>
        <w:rFonts w:hint="default"/>
        <w:lang w:val="hr-HR" w:eastAsia="en-US" w:bidi="ar-SA"/>
      </w:rPr>
    </w:lvl>
    <w:lvl w:ilvl="6">
      <w:numFmt w:val="bullet"/>
      <w:lvlText w:val="•"/>
      <w:lvlJc w:val="left"/>
      <w:pPr>
        <w:ind w:left="6552" w:hanging="360"/>
      </w:pPr>
      <w:rPr>
        <w:rFonts w:hint="default"/>
        <w:lang w:val="hr-HR" w:eastAsia="en-US" w:bidi="ar-SA"/>
      </w:rPr>
    </w:lvl>
    <w:lvl w:ilvl="7">
      <w:numFmt w:val="bullet"/>
      <w:lvlText w:val="•"/>
      <w:lvlJc w:val="left"/>
      <w:pPr>
        <w:ind w:left="7524" w:hanging="360"/>
      </w:pPr>
      <w:rPr>
        <w:rFonts w:hint="default"/>
        <w:lang w:val="hr-HR" w:eastAsia="en-US" w:bidi="ar-SA"/>
      </w:rPr>
    </w:lvl>
    <w:lvl w:ilvl="8">
      <w:numFmt w:val="bullet"/>
      <w:lvlText w:val="•"/>
      <w:lvlJc w:val="left"/>
      <w:pPr>
        <w:ind w:left="8496" w:hanging="360"/>
      </w:pPr>
      <w:rPr>
        <w:rFonts w:hint="default"/>
        <w:lang w:val="hr-HR" w:eastAsia="en-US" w:bidi="ar-SA"/>
      </w:rPr>
    </w:lvl>
  </w:abstractNum>
  <w:abstractNum w:abstractNumId="107" w15:restartNumberingAfterBreak="0">
    <w:nsid w:val="53CB5CDD"/>
    <w:multiLevelType w:val="multilevel"/>
    <w:tmpl w:val="53CB5CDD"/>
    <w:lvl w:ilvl="0">
      <w:start w:val="1"/>
      <w:numFmt w:val="bullet"/>
      <w:lvlText w:val=""/>
      <w:lvlJc w:val="left"/>
      <w:pPr>
        <w:ind w:left="720" w:hanging="360"/>
      </w:pPr>
      <w:rPr>
        <w:rFonts w:ascii="Wingdings 3" w:hAnsi="Wingdings 3" w:hint="default"/>
        <w:color w:val="943634"/>
        <w:u w:color="63242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542E2692"/>
    <w:multiLevelType w:val="multilevel"/>
    <w:tmpl w:val="542E2692"/>
    <w:lvl w:ilvl="0">
      <w:numFmt w:val="bullet"/>
      <w:pStyle w:val="PuceBleue"/>
      <w:lvlText w:val=""/>
      <w:lvlJc w:val="left"/>
      <w:pPr>
        <w:ind w:left="284" w:hanging="284"/>
      </w:pPr>
      <w:rPr>
        <w:rFonts w:ascii="Symbol" w:hAnsi="Symbol"/>
        <w:b w:val="0"/>
        <w:i w:val="0"/>
        <w:color w:val="auto"/>
        <w:sz w:val="20"/>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09" w15:restartNumberingAfterBreak="0">
    <w:nsid w:val="54615739"/>
    <w:multiLevelType w:val="hybridMultilevel"/>
    <w:tmpl w:val="D28614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4E04A7B"/>
    <w:multiLevelType w:val="multilevel"/>
    <w:tmpl w:val="41DAA1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5346F9D"/>
    <w:multiLevelType w:val="hybridMultilevel"/>
    <w:tmpl w:val="42540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5CA5C0C"/>
    <w:multiLevelType w:val="multilevel"/>
    <w:tmpl w:val="55CA5C0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15:restartNumberingAfterBreak="0">
    <w:nsid w:val="56262D1A"/>
    <w:multiLevelType w:val="multilevel"/>
    <w:tmpl w:val="56262D1A"/>
    <w:lvl w:ilvl="0">
      <w:numFmt w:val="bullet"/>
      <w:lvlText w:val=""/>
      <w:lvlJc w:val="left"/>
      <w:pPr>
        <w:ind w:left="1080" w:hanging="360"/>
      </w:pPr>
      <w:rPr>
        <w:rFonts w:ascii="Symbol" w:eastAsia="Symbol" w:hAnsi="Symbol" w:cs="Symbol" w:hint="default"/>
        <w:b w:val="0"/>
        <w:bCs w:val="0"/>
        <w:i w:val="0"/>
        <w:iCs w:val="0"/>
        <w:spacing w:val="0"/>
        <w:w w:val="100"/>
        <w:sz w:val="24"/>
        <w:szCs w:val="24"/>
        <w:lang w:val="hr-HR" w:eastAsia="en-US" w:bidi="ar-SA"/>
      </w:rPr>
    </w:lvl>
    <w:lvl w:ilvl="1">
      <w:numFmt w:val="bullet"/>
      <w:lvlText w:val="•"/>
      <w:lvlJc w:val="left"/>
      <w:pPr>
        <w:ind w:left="2016" w:hanging="360"/>
      </w:pPr>
      <w:rPr>
        <w:rFonts w:hint="default"/>
        <w:lang w:val="hr-HR" w:eastAsia="en-US" w:bidi="ar-SA"/>
      </w:rPr>
    </w:lvl>
    <w:lvl w:ilvl="2">
      <w:numFmt w:val="bullet"/>
      <w:lvlText w:val="•"/>
      <w:lvlJc w:val="left"/>
      <w:pPr>
        <w:ind w:left="2952" w:hanging="360"/>
      </w:pPr>
      <w:rPr>
        <w:rFonts w:hint="default"/>
        <w:lang w:val="hr-HR" w:eastAsia="en-US" w:bidi="ar-SA"/>
      </w:rPr>
    </w:lvl>
    <w:lvl w:ilvl="3">
      <w:numFmt w:val="bullet"/>
      <w:lvlText w:val="•"/>
      <w:lvlJc w:val="left"/>
      <w:pPr>
        <w:ind w:left="3888" w:hanging="360"/>
      </w:pPr>
      <w:rPr>
        <w:rFonts w:hint="default"/>
        <w:lang w:val="hr-HR" w:eastAsia="en-US" w:bidi="ar-SA"/>
      </w:rPr>
    </w:lvl>
    <w:lvl w:ilvl="4">
      <w:numFmt w:val="bullet"/>
      <w:lvlText w:val="•"/>
      <w:lvlJc w:val="left"/>
      <w:pPr>
        <w:ind w:left="4824" w:hanging="360"/>
      </w:pPr>
      <w:rPr>
        <w:rFonts w:hint="default"/>
        <w:lang w:val="hr-HR" w:eastAsia="en-US" w:bidi="ar-SA"/>
      </w:rPr>
    </w:lvl>
    <w:lvl w:ilvl="5">
      <w:numFmt w:val="bullet"/>
      <w:lvlText w:val="•"/>
      <w:lvlJc w:val="left"/>
      <w:pPr>
        <w:ind w:left="5760" w:hanging="360"/>
      </w:pPr>
      <w:rPr>
        <w:rFonts w:hint="default"/>
        <w:lang w:val="hr-HR" w:eastAsia="en-US" w:bidi="ar-SA"/>
      </w:rPr>
    </w:lvl>
    <w:lvl w:ilvl="6">
      <w:numFmt w:val="bullet"/>
      <w:lvlText w:val="•"/>
      <w:lvlJc w:val="left"/>
      <w:pPr>
        <w:ind w:left="6696" w:hanging="360"/>
      </w:pPr>
      <w:rPr>
        <w:rFonts w:hint="default"/>
        <w:lang w:val="hr-HR" w:eastAsia="en-US" w:bidi="ar-SA"/>
      </w:rPr>
    </w:lvl>
    <w:lvl w:ilvl="7">
      <w:numFmt w:val="bullet"/>
      <w:lvlText w:val="•"/>
      <w:lvlJc w:val="left"/>
      <w:pPr>
        <w:ind w:left="7632" w:hanging="360"/>
      </w:pPr>
      <w:rPr>
        <w:rFonts w:hint="default"/>
        <w:lang w:val="hr-HR" w:eastAsia="en-US" w:bidi="ar-SA"/>
      </w:rPr>
    </w:lvl>
    <w:lvl w:ilvl="8">
      <w:numFmt w:val="bullet"/>
      <w:lvlText w:val="•"/>
      <w:lvlJc w:val="left"/>
      <w:pPr>
        <w:ind w:left="8568" w:hanging="360"/>
      </w:pPr>
      <w:rPr>
        <w:rFonts w:hint="default"/>
        <w:lang w:val="hr-HR" w:eastAsia="en-US" w:bidi="ar-SA"/>
      </w:rPr>
    </w:lvl>
  </w:abstractNum>
  <w:abstractNum w:abstractNumId="114" w15:restartNumberingAfterBreak="0">
    <w:nsid w:val="5821403A"/>
    <w:multiLevelType w:val="multilevel"/>
    <w:tmpl w:val="5821403A"/>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5" w15:restartNumberingAfterBreak="0">
    <w:nsid w:val="591F4280"/>
    <w:multiLevelType w:val="multilevel"/>
    <w:tmpl w:val="591F42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6" w15:restartNumberingAfterBreak="0">
    <w:nsid w:val="5A1779C8"/>
    <w:multiLevelType w:val="multilevel"/>
    <w:tmpl w:val="9B220F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5C0A3B70"/>
    <w:multiLevelType w:val="multilevel"/>
    <w:tmpl w:val="5C0A3B70"/>
    <w:lvl w:ilvl="0">
      <w:start w:val="1"/>
      <w:numFmt w:val="bullet"/>
      <w:lvlText w:val=""/>
      <w:lvlJc w:val="left"/>
      <w:pPr>
        <w:ind w:left="360" w:hanging="360"/>
      </w:pPr>
      <w:rPr>
        <w:rFonts w:ascii="Symbol" w:hAnsi="Symbol" w:hint="default"/>
      </w:rPr>
    </w:lvl>
    <w:lvl w:ilvl="1">
      <w:numFmt w:val="bullet"/>
      <w:lvlText w:val="-"/>
      <w:lvlJc w:val="left"/>
      <w:pPr>
        <w:ind w:left="1215" w:hanging="495"/>
      </w:pPr>
      <w:rPr>
        <w:rFonts w:ascii="Arial Narrow" w:eastAsia="Times New Roman" w:hAnsi="Arial Narrow"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8" w15:restartNumberingAfterBreak="0">
    <w:nsid w:val="5DF676F2"/>
    <w:multiLevelType w:val="hybridMultilevel"/>
    <w:tmpl w:val="97F63F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E3277F7"/>
    <w:multiLevelType w:val="multilevel"/>
    <w:tmpl w:val="5E3277F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5EB05E3C"/>
    <w:multiLevelType w:val="multilevel"/>
    <w:tmpl w:val="5EB05E3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1" w15:restartNumberingAfterBreak="0">
    <w:nsid w:val="5EBA53D9"/>
    <w:multiLevelType w:val="multilevel"/>
    <w:tmpl w:val="5EBA53D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15:restartNumberingAfterBreak="0">
    <w:nsid w:val="62214C17"/>
    <w:multiLevelType w:val="multilevel"/>
    <w:tmpl w:val="62214C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64C77176"/>
    <w:multiLevelType w:val="multilevel"/>
    <w:tmpl w:val="64C77176"/>
    <w:lvl w:ilvl="0">
      <w:start w:val="1"/>
      <w:numFmt w:val="bullet"/>
      <w:lvlText w:val=""/>
      <w:lvlJc w:val="left"/>
      <w:pPr>
        <w:ind w:left="774" w:hanging="360"/>
      </w:pPr>
      <w:rPr>
        <w:rFonts w:ascii="Symbol" w:hAnsi="Symbol" w:hint="default"/>
      </w:rPr>
    </w:lvl>
    <w:lvl w:ilvl="1">
      <w:start w:val="1"/>
      <w:numFmt w:val="bullet"/>
      <w:lvlText w:val="o"/>
      <w:lvlJc w:val="left"/>
      <w:pPr>
        <w:ind w:left="1494" w:hanging="360"/>
      </w:pPr>
      <w:rPr>
        <w:rFonts w:ascii="Courier New" w:hAnsi="Courier New" w:cs="Courier New" w:hint="default"/>
      </w:rPr>
    </w:lvl>
    <w:lvl w:ilvl="2">
      <w:start w:val="1"/>
      <w:numFmt w:val="bullet"/>
      <w:lvlText w:val=""/>
      <w:lvlJc w:val="left"/>
      <w:pPr>
        <w:ind w:left="2214" w:hanging="360"/>
      </w:pPr>
      <w:rPr>
        <w:rFonts w:ascii="Wingdings" w:hAnsi="Wingdings" w:hint="default"/>
      </w:rPr>
    </w:lvl>
    <w:lvl w:ilvl="3">
      <w:start w:val="1"/>
      <w:numFmt w:val="bullet"/>
      <w:lvlText w:val=""/>
      <w:lvlJc w:val="left"/>
      <w:pPr>
        <w:ind w:left="2934" w:hanging="360"/>
      </w:pPr>
      <w:rPr>
        <w:rFonts w:ascii="Symbol" w:hAnsi="Symbol" w:hint="default"/>
      </w:rPr>
    </w:lvl>
    <w:lvl w:ilvl="4">
      <w:start w:val="1"/>
      <w:numFmt w:val="bullet"/>
      <w:lvlText w:val="o"/>
      <w:lvlJc w:val="left"/>
      <w:pPr>
        <w:ind w:left="3654" w:hanging="360"/>
      </w:pPr>
      <w:rPr>
        <w:rFonts w:ascii="Courier New" w:hAnsi="Courier New" w:cs="Courier New" w:hint="default"/>
      </w:rPr>
    </w:lvl>
    <w:lvl w:ilvl="5">
      <w:start w:val="1"/>
      <w:numFmt w:val="bullet"/>
      <w:lvlText w:val=""/>
      <w:lvlJc w:val="left"/>
      <w:pPr>
        <w:ind w:left="4374" w:hanging="360"/>
      </w:pPr>
      <w:rPr>
        <w:rFonts w:ascii="Wingdings" w:hAnsi="Wingdings" w:hint="default"/>
      </w:rPr>
    </w:lvl>
    <w:lvl w:ilvl="6">
      <w:start w:val="1"/>
      <w:numFmt w:val="bullet"/>
      <w:lvlText w:val=""/>
      <w:lvlJc w:val="left"/>
      <w:pPr>
        <w:ind w:left="5094" w:hanging="360"/>
      </w:pPr>
      <w:rPr>
        <w:rFonts w:ascii="Symbol" w:hAnsi="Symbol" w:hint="default"/>
      </w:rPr>
    </w:lvl>
    <w:lvl w:ilvl="7">
      <w:start w:val="1"/>
      <w:numFmt w:val="bullet"/>
      <w:lvlText w:val="o"/>
      <w:lvlJc w:val="left"/>
      <w:pPr>
        <w:ind w:left="5814" w:hanging="360"/>
      </w:pPr>
      <w:rPr>
        <w:rFonts w:ascii="Courier New" w:hAnsi="Courier New" w:cs="Courier New" w:hint="default"/>
      </w:rPr>
    </w:lvl>
    <w:lvl w:ilvl="8">
      <w:start w:val="1"/>
      <w:numFmt w:val="bullet"/>
      <w:lvlText w:val=""/>
      <w:lvlJc w:val="left"/>
      <w:pPr>
        <w:ind w:left="6534" w:hanging="360"/>
      </w:pPr>
      <w:rPr>
        <w:rFonts w:ascii="Wingdings" w:hAnsi="Wingdings" w:hint="default"/>
      </w:rPr>
    </w:lvl>
  </w:abstractNum>
  <w:abstractNum w:abstractNumId="124" w15:restartNumberingAfterBreak="0">
    <w:nsid w:val="660B087A"/>
    <w:multiLevelType w:val="multilevel"/>
    <w:tmpl w:val="3FD056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66192B98"/>
    <w:multiLevelType w:val="multilevel"/>
    <w:tmpl w:val="66192B98"/>
    <w:lvl w:ilvl="0">
      <w:start w:val="1"/>
      <w:numFmt w:val="bullet"/>
      <w:lvlText w:val=""/>
      <w:lvlJc w:val="left"/>
      <w:pPr>
        <w:ind w:left="750" w:hanging="360"/>
      </w:pPr>
      <w:rPr>
        <w:rFonts w:ascii="Symbol" w:hAnsi="Symbol" w:hint="default"/>
      </w:rPr>
    </w:lvl>
    <w:lvl w:ilvl="1">
      <w:start w:val="1"/>
      <w:numFmt w:val="bullet"/>
      <w:lvlText w:val=""/>
      <w:lvlJc w:val="left"/>
      <w:pPr>
        <w:ind w:left="1470" w:hanging="360"/>
      </w:pPr>
      <w:rPr>
        <w:rFonts w:ascii="Wingdings" w:hAnsi="Wingdings" w:hint="default"/>
      </w:rPr>
    </w:lvl>
    <w:lvl w:ilvl="2">
      <w:start w:val="1"/>
      <w:numFmt w:val="bullet"/>
      <w:lvlText w:val=""/>
      <w:lvlJc w:val="left"/>
      <w:pPr>
        <w:ind w:left="2190" w:hanging="360"/>
      </w:pPr>
      <w:rPr>
        <w:rFonts w:ascii="Wingdings" w:hAnsi="Wingdings" w:hint="default"/>
      </w:rPr>
    </w:lvl>
    <w:lvl w:ilvl="3">
      <w:start w:val="1"/>
      <w:numFmt w:val="bullet"/>
      <w:lvlText w:val=""/>
      <w:lvlJc w:val="left"/>
      <w:pPr>
        <w:ind w:left="2910" w:hanging="360"/>
      </w:pPr>
      <w:rPr>
        <w:rFonts w:ascii="Symbol" w:hAnsi="Symbol" w:hint="default"/>
      </w:rPr>
    </w:lvl>
    <w:lvl w:ilvl="4">
      <w:start w:val="1"/>
      <w:numFmt w:val="bullet"/>
      <w:lvlText w:val="o"/>
      <w:lvlJc w:val="left"/>
      <w:pPr>
        <w:ind w:left="3630" w:hanging="360"/>
      </w:pPr>
      <w:rPr>
        <w:rFonts w:ascii="Courier New" w:hAnsi="Courier New" w:cs="Courier New" w:hint="default"/>
      </w:rPr>
    </w:lvl>
    <w:lvl w:ilvl="5">
      <w:start w:val="1"/>
      <w:numFmt w:val="bullet"/>
      <w:lvlText w:val=""/>
      <w:lvlJc w:val="left"/>
      <w:pPr>
        <w:ind w:left="4350" w:hanging="360"/>
      </w:pPr>
      <w:rPr>
        <w:rFonts w:ascii="Wingdings" w:hAnsi="Wingdings" w:hint="default"/>
      </w:rPr>
    </w:lvl>
    <w:lvl w:ilvl="6">
      <w:start w:val="1"/>
      <w:numFmt w:val="bullet"/>
      <w:lvlText w:val=""/>
      <w:lvlJc w:val="left"/>
      <w:pPr>
        <w:ind w:left="5070" w:hanging="360"/>
      </w:pPr>
      <w:rPr>
        <w:rFonts w:ascii="Symbol" w:hAnsi="Symbol" w:hint="default"/>
      </w:rPr>
    </w:lvl>
    <w:lvl w:ilvl="7">
      <w:start w:val="1"/>
      <w:numFmt w:val="bullet"/>
      <w:lvlText w:val="o"/>
      <w:lvlJc w:val="left"/>
      <w:pPr>
        <w:ind w:left="5790" w:hanging="360"/>
      </w:pPr>
      <w:rPr>
        <w:rFonts w:ascii="Courier New" w:hAnsi="Courier New" w:cs="Courier New" w:hint="default"/>
      </w:rPr>
    </w:lvl>
    <w:lvl w:ilvl="8">
      <w:start w:val="1"/>
      <w:numFmt w:val="bullet"/>
      <w:lvlText w:val=""/>
      <w:lvlJc w:val="left"/>
      <w:pPr>
        <w:ind w:left="6510" w:hanging="360"/>
      </w:pPr>
      <w:rPr>
        <w:rFonts w:ascii="Wingdings" w:hAnsi="Wingdings" w:hint="default"/>
      </w:rPr>
    </w:lvl>
  </w:abstractNum>
  <w:abstractNum w:abstractNumId="126" w15:restartNumberingAfterBreak="0">
    <w:nsid w:val="66744B2C"/>
    <w:multiLevelType w:val="multilevel"/>
    <w:tmpl w:val="66744B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7" w15:restartNumberingAfterBreak="0">
    <w:nsid w:val="672B2E37"/>
    <w:multiLevelType w:val="multilevel"/>
    <w:tmpl w:val="672B2E3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8" w15:restartNumberingAfterBreak="0">
    <w:nsid w:val="69D71E7C"/>
    <w:multiLevelType w:val="multilevel"/>
    <w:tmpl w:val="69D71E7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15:restartNumberingAfterBreak="0">
    <w:nsid w:val="6AC60DAE"/>
    <w:multiLevelType w:val="multilevel"/>
    <w:tmpl w:val="6AC60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0" w15:restartNumberingAfterBreak="0">
    <w:nsid w:val="6B0033F6"/>
    <w:multiLevelType w:val="multilevel"/>
    <w:tmpl w:val="6B0033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6C665E41"/>
    <w:multiLevelType w:val="multilevel"/>
    <w:tmpl w:val="6C665E41"/>
    <w:lvl w:ilvl="0">
      <w:start w:val="1"/>
      <w:numFmt w:val="decimal"/>
      <w:lvlText w:val="%1."/>
      <w:lvlJc w:val="left"/>
      <w:pPr>
        <w:tabs>
          <w:tab w:val="left" w:pos="454"/>
        </w:tabs>
        <w:ind w:left="454" w:hanging="454"/>
      </w:pPr>
      <w:rPr>
        <w:rFonts w:ascii="Times New Roman" w:hAnsi="Times New Roman" w:hint="default"/>
        <w:b/>
        <w:i w:val="0"/>
        <w:color w:val="0000FF"/>
        <w:sz w:val="32"/>
        <w:szCs w:val="32"/>
        <w:u w:val="none" w:color="808080"/>
      </w:rPr>
    </w:lvl>
    <w:lvl w:ilvl="1">
      <w:start w:val="1"/>
      <w:numFmt w:val="decimal"/>
      <w:lvlText w:val="%1.%2"/>
      <w:lvlJc w:val="left"/>
      <w:pPr>
        <w:tabs>
          <w:tab w:val="left" w:pos="340"/>
        </w:tabs>
        <w:ind w:left="1021" w:hanging="737"/>
      </w:pPr>
      <w:rPr>
        <w:rFonts w:ascii="Tahoma" w:hAnsi="Tahoma" w:hint="default"/>
        <w:b/>
        <w:i w:val="0"/>
        <w:color w:val="0000FF"/>
        <w:sz w:val="28"/>
        <w:szCs w:val="28"/>
      </w:rPr>
    </w:lvl>
    <w:lvl w:ilvl="2">
      <w:start w:val="1"/>
      <w:numFmt w:val="decimal"/>
      <w:lvlText w:val="%1.%2.%3"/>
      <w:lvlJc w:val="left"/>
      <w:pPr>
        <w:tabs>
          <w:tab w:val="left" w:pos="142"/>
        </w:tabs>
        <w:ind w:left="709" w:hanging="567"/>
      </w:pPr>
      <w:rPr>
        <w:rFonts w:ascii="Tahoma" w:hAnsi="Tahoma" w:hint="default"/>
        <w:b/>
        <w:i w:val="0"/>
        <w:color w:val="0000FF"/>
        <w:sz w:val="22"/>
        <w:szCs w:val="22"/>
      </w:rPr>
    </w:lvl>
    <w:lvl w:ilvl="3">
      <w:start w:val="1"/>
      <w:numFmt w:val="decimal"/>
      <w:lvlText w:val="%1.%2.%3.%4"/>
      <w:lvlJc w:val="left"/>
      <w:pPr>
        <w:tabs>
          <w:tab w:val="left" w:pos="1163"/>
        </w:tabs>
        <w:ind w:left="2411" w:hanging="2211"/>
      </w:pPr>
      <w:rPr>
        <w:rFonts w:ascii="Tahoma" w:hAnsi="Tahoma" w:hint="default"/>
        <w:b/>
        <w:i w:val="0"/>
        <w:color w:val="0000FF"/>
        <w:sz w:val="20"/>
        <w:szCs w:val="20"/>
      </w:rPr>
    </w:lvl>
    <w:lvl w:ilvl="4">
      <w:start w:val="1"/>
      <w:numFmt w:val="lowerLetter"/>
      <w:lvlText w:val="%1.%2.%3.%4.%5"/>
      <w:lvlJc w:val="left"/>
      <w:pPr>
        <w:tabs>
          <w:tab w:val="left" w:pos="1008"/>
        </w:tabs>
        <w:ind w:left="1008" w:hanging="1008"/>
      </w:pPr>
      <w:rPr>
        <w:rFonts w:ascii="Times New Roman" w:hAnsi="Times New Roman" w:hint="default"/>
        <w:b/>
        <w:i w:val="0"/>
        <w:caps w:val="0"/>
        <w:color w:val="666699"/>
        <w:sz w:val="22"/>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132" w15:restartNumberingAfterBreak="0">
    <w:nsid w:val="6DCF6743"/>
    <w:multiLevelType w:val="multilevel"/>
    <w:tmpl w:val="6DCF6743"/>
    <w:lvl w:ilvl="0">
      <w:start w:val="1"/>
      <w:numFmt w:val="lowerRoman"/>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3" w15:restartNumberingAfterBreak="0">
    <w:nsid w:val="6E08715F"/>
    <w:multiLevelType w:val="multilevel"/>
    <w:tmpl w:val="6E08715F"/>
    <w:lvl w:ilvl="0">
      <w:start w:val="1"/>
      <w:numFmt w:val="decimal"/>
      <w:pStyle w:val="Style10"/>
      <w:lvlText w:val="Deliverable 1.%1:"/>
      <w:lvlJc w:val="left"/>
      <w:pPr>
        <w:ind w:left="1494" w:hanging="360"/>
      </w:pPr>
      <w:rPr>
        <w:rFonts w:hint="default"/>
        <w:b w:val="0"/>
        <w:i w:val="0"/>
        <w:color w:val="800000"/>
        <w:sz w:val="22"/>
        <w:szCs w:val="22"/>
        <w14:shadow w14:blurRad="0" w14:dist="0" w14:dir="0" w14:sx="0" w14:sy="0" w14:kx="0" w14:ky="0" w14:algn="none">
          <w14:srgbClr w14:val="000000"/>
        </w14:shadow>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34" w15:restartNumberingAfterBreak="0">
    <w:nsid w:val="6EE33C0A"/>
    <w:multiLevelType w:val="multilevel"/>
    <w:tmpl w:val="6EE33C0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5" w15:restartNumberingAfterBreak="0">
    <w:nsid w:val="6F9A481F"/>
    <w:multiLevelType w:val="multilevel"/>
    <w:tmpl w:val="6F9A48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6" w15:restartNumberingAfterBreak="0">
    <w:nsid w:val="70C15B92"/>
    <w:multiLevelType w:val="multilevel"/>
    <w:tmpl w:val="70C15B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7" w15:restartNumberingAfterBreak="0">
    <w:nsid w:val="71D07CBB"/>
    <w:multiLevelType w:val="multilevel"/>
    <w:tmpl w:val="71D07CBB"/>
    <w:lvl w:ilvl="0">
      <w:numFmt w:val="bullet"/>
      <w:lvlText w:val="-"/>
      <w:lvlJc w:val="left"/>
      <w:pPr>
        <w:ind w:left="283" w:hanging="284"/>
      </w:pPr>
      <w:rPr>
        <w:rFonts w:ascii="Times New Roman" w:eastAsia="Times New Roman" w:hAnsi="Times New Roman" w:cs="Times New Roman" w:hint="default"/>
        <w:b w:val="0"/>
        <w:bCs w:val="0"/>
        <w:i w:val="0"/>
        <w:iCs w:val="0"/>
        <w:spacing w:val="0"/>
        <w:w w:val="99"/>
        <w:sz w:val="20"/>
        <w:szCs w:val="20"/>
        <w:lang w:val="hr-HR" w:eastAsia="en-US" w:bidi="ar-SA"/>
      </w:rPr>
    </w:lvl>
    <w:lvl w:ilvl="1">
      <w:numFmt w:val="bullet"/>
      <w:lvlText w:val="•"/>
      <w:lvlJc w:val="left"/>
      <w:pPr>
        <w:ind w:left="630" w:hanging="284"/>
      </w:pPr>
      <w:rPr>
        <w:rFonts w:hint="default"/>
        <w:lang w:val="hr-HR" w:eastAsia="en-US" w:bidi="ar-SA"/>
      </w:rPr>
    </w:lvl>
    <w:lvl w:ilvl="2">
      <w:numFmt w:val="bullet"/>
      <w:lvlText w:val="•"/>
      <w:lvlJc w:val="left"/>
      <w:pPr>
        <w:ind w:left="981" w:hanging="284"/>
      </w:pPr>
      <w:rPr>
        <w:rFonts w:hint="default"/>
        <w:lang w:val="hr-HR" w:eastAsia="en-US" w:bidi="ar-SA"/>
      </w:rPr>
    </w:lvl>
    <w:lvl w:ilvl="3">
      <w:numFmt w:val="bullet"/>
      <w:lvlText w:val="•"/>
      <w:lvlJc w:val="left"/>
      <w:pPr>
        <w:ind w:left="1332" w:hanging="284"/>
      </w:pPr>
      <w:rPr>
        <w:rFonts w:hint="default"/>
        <w:lang w:val="hr-HR" w:eastAsia="en-US" w:bidi="ar-SA"/>
      </w:rPr>
    </w:lvl>
    <w:lvl w:ilvl="4">
      <w:numFmt w:val="bullet"/>
      <w:lvlText w:val="•"/>
      <w:lvlJc w:val="left"/>
      <w:pPr>
        <w:ind w:left="1683" w:hanging="284"/>
      </w:pPr>
      <w:rPr>
        <w:rFonts w:hint="default"/>
        <w:lang w:val="hr-HR" w:eastAsia="en-US" w:bidi="ar-SA"/>
      </w:rPr>
    </w:lvl>
    <w:lvl w:ilvl="5">
      <w:numFmt w:val="bullet"/>
      <w:lvlText w:val="•"/>
      <w:lvlJc w:val="left"/>
      <w:pPr>
        <w:ind w:left="2034" w:hanging="284"/>
      </w:pPr>
      <w:rPr>
        <w:rFonts w:hint="default"/>
        <w:lang w:val="hr-HR" w:eastAsia="en-US" w:bidi="ar-SA"/>
      </w:rPr>
    </w:lvl>
    <w:lvl w:ilvl="6">
      <w:numFmt w:val="bullet"/>
      <w:lvlText w:val="•"/>
      <w:lvlJc w:val="left"/>
      <w:pPr>
        <w:ind w:left="2385" w:hanging="284"/>
      </w:pPr>
      <w:rPr>
        <w:rFonts w:hint="default"/>
        <w:lang w:val="hr-HR" w:eastAsia="en-US" w:bidi="ar-SA"/>
      </w:rPr>
    </w:lvl>
    <w:lvl w:ilvl="7">
      <w:numFmt w:val="bullet"/>
      <w:lvlText w:val="•"/>
      <w:lvlJc w:val="left"/>
      <w:pPr>
        <w:ind w:left="2736" w:hanging="284"/>
      </w:pPr>
      <w:rPr>
        <w:rFonts w:hint="default"/>
        <w:lang w:val="hr-HR" w:eastAsia="en-US" w:bidi="ar-SA"/>
      </w:rPr>
    </w:lvl>
    <w:lvl w:ilvl="8">
      <w:numFmt w:val="bullet"/>
      <w:lvlText w:val="•"/>
      <w:lvlJc w:val="left"/>
      <w:pPr>
        <w:ind w:left="3087" w:hanging="284"/>
      </w:pPr>
      <w:rPr>
        <w:rFonts w:hint="default"/>
        <w:lang w:val="hr-HR" w:eastAsia="en-US" w:bidi="ar-SA"/>
      </w:rPr>
    </w:lvl>
  </w:abstractNum>
  <w:abstractNum w:abstractNumId="138" w15:restartNumberingAfterBreak="0">
    <w:nsid w:val="72A85FF7"/>
    <w:multiLevelType w:val="multilevel"/>
    <w:tmpl w:val="72A85FF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9" w15:restartNumberingAfterBreak="0">
    <w:nsid w:val="73320485"/>
    <w:multiLevelType w:val="multilevel"/>
    <w:tmpl w:val="7332048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0" w15:restartNumberingAfterBreak="0">
    <w:nsid w:val="73CA61FB"/>
    <w:multiLevelType w:val="multilevel"/>
    <w:tmpl w:val="58006B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3F375B9"/>
    <w:multiLevelType w:val="multilevel"/>
    <w:tmpl w:val="92400F06"/>
    <w:lvl w:ilvl="0">
      <w:start w:val="1"/>
      <w:numFmt w:val="decimal"/>
      <w:pStyle w:val="ReferenceList"/>
      <w:lvlText w:val="%1"/>
      <w:lvlJc w:val="left"/>
      <w:pPr>
        <w:tabs>
          <w:tab w:val="left" w:pos="432"/>
        </w:tabs>
        <w:ind w:left="432" w:hanging="432"/>
      </w:pPr>
      <w:rPr>
        <w:rFonts w:ascii="Arial" w:hAnsi="Arial" w:hint="default"/>
        <w:b/>
        <w:i w:val="0"/>
        <w:sz w:val="28"/>
        <w:szCs w:val="28"/>
      </w:rPr>
    </w:lvl>
    <w:lvl w:ilvl="1">
      <w:start w:val="1"/>
      <w:numFmt w:val="decimal"/>
      <w:lvlText w:val="%1.%2"/>
      <w:lvlJc w:val="left"/>
      <w:pPr>
        <w:tabs>
          <w:tab w:val="left" w:pos="876"/>
        </w:tabs>
        <w:ind w:left="876" w:hanging="576"/>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42" w15:restartNumberingAfterBreak="0">
    <w:nsid w:val="740E12E8"/>
    <w:multiLevelType w:val="multilevel"/>
    <w:tmpl w:val="740E12E8"/>
    <w:lvl w:ilvl="0">
      <w:start w:val="1"/>
      <w:numFmt w:val="bullet"/>
      <w:lvlText w:val=""/>
      <w:lvlJc w:val="left"/>
      <w:pPr>
        <w:ind w:left="750" w:hanging="360"/>
      </w:pPr>
      <w:rPr>
        <w:rFonts w:ascii="Symbol" w:hAnsi="Symbol" w:hint="default"/>
      </w:rPr>
    </w:lvl>
    <w:lvl w:ilvl="1">
      <w:start w:val="1"/>
      <w:numFmt w:val="bullet"/>
      <w:lvlText w:val="o"/>
      <w:lvlJc w:val="left"/>
      <w:pPr>
        <w:ind w:left="1470" w:hanging="360"/>
      </w:pPr>
      <w:rPr>
        <w:rFonts w:ascii="Courier New" w:hAnsi="Courier New" w:cs="Courier New" w:hint="default"/>
      </w:rPr>
    </w:lvl>
    <w:lvl w:ilvl="2">
      <w:start w:val="1"/>
      <w:numFmt w:val="bullet"/>
      <w:lvlText w:val=""/>
      <w:lvlJc w:val="left"/>
      <w:pPr>
        <w:ind w:left="2190" w:hanging="360"/>
      </w:pPr>
      <w:rPr>
        <w:rFonts w:ascii="Wingdings" w:hAnsi="Wingdings" w:hint="default"/>
      </w:rPr>
    </w:lvl>
    <w:lvl w:ilvl="3">
      <w:start w:val="1"/>
      <w:numFmt w:val="bullet"/>
      <w:lvlText w:val=""/>
      <w:lvlJc w:val="left"/>
      <w:pPr>
        <w:ind w:left="2910" w:hanging="360"/>
      </w:pPr>
      <w:rPr>
        <w:rFonts w:ascii="Symbol" w:hAnsi="Symbol" w:hint="default"/>
      </w:rPr>
    </w:lvl>
    <w:lvl w:ilvl="4">
      <w:start w:val="1"/>
      <w:numFmt w:val="bullet"/>
      <w:lvlText w:val="o"/>
      <w:lvlJc w:val="left"/>
      <w:pPr>
        <w:ind w:left="3630" w:hanging="360"/>
      </w:pPr>
      <w:rPr>
        <w:rFonts w:ascii="Courier New" w:hAnsi="Courier New" w:cs="Courier New" w:hint="default"/>
      </w:rPr>
    </w:lvl>
    <w:lvl w:ilvl="5">
      <w:start w:val="1"/>
      <w:numFmt w:val="bullet"/>
      <w:lvlText w:val=""/>
      <w:lvlJc w:val="left"/>
      <w:pPr>
        <w:ind w:left="4350" w:hanging="360"/>
      </w:pPr>
      <w:rPr>
        <w:rFonts w:ascii="Wingdings" w:hAnsi="Wingdings" w:hint="default"/>
      </w:rPr>
    </w:lvl>
    <w:lvl w:ilvl="6">
      <w:start w:val="1"/>
      <w:numFmt w:val="bullet"/>
      <w:lvlText w:val=""/>
      <w:lvlJc w:val="left"/>
      <w:pPr>
        <w:ind w:left="5070" w:hanging="360"/>
      </w:pPr>
      <w:rPr>
        <w:rFonts w:ascii="Symbol" w:hAnsi="Symbol" w:hint="default"/>
      </w:rPr>
    </w:lvl>
    <w:lvl w:ilvl="7">
      <w:start w:val="1"/>
      <w:numFmt w:val="bullet"/>
      <w:lvlText w:val="o"/>
      <w:lvlJc w:val="left"/>
      <w:pPr>
        <w:ind w:left="5790" w:hanging="360"/>
      </w:pPr>
      <w:rPr>
        <w:rFonts w:ascii="Courier New" w:hAnsi="Courier New" w:cs="Courier New" w:hint="default"/>
      </w:rPr>
    </w:lvl>
    <w:lvl w:ilvl="8">
      <w:start w:val="1"/>
      <w:numFmt w:val="bullet"/>
      <w:lvlText w:val=""/>
      <w:lvlJc w:val="left"/>
      <w:pPr>
        <w:ind w:left="6510" w:hanging="360"/>
      </w:pPr>
      <w:rPr>
        <w:rFonts w:ascii="Wingdings" w:hAnsi="Wingdings" w:hint="default"/>
      </w:rPr>
    </w:lvl>
  </w:abstractNum>
  <w:abstractNum w:abstractNumId="143" w15:restartNumberingAfterBreak="0">
    <w:nsid w:val="758C421E"/>
    <w:multiLevelType w:val="multilevel"/>
    <w:tmpl w:val="758C42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4" w15:restartNumberingAfterBreak="0">
    <w:nsid w:val="76C940F0"/>
    <w:multiLevelType w:val="multilevel"/>
    <w:tmpl w:val="76C940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5" w15:restartNumberingAfterBreak="0">
    <w:nsid w:val="77582D20"/>
    <w:multiLevelType w:val="multilevel"/>
    <w:tmpl w:val="77582D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6" w15:restartNumberingAfterBreak="0">
    <w:nsid w:val="777223F6"/>
    <w:multiLevelType w:val="multilevel"/>
    <w:tmpl w:val="777223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7" w15:restartNumberingAfterBreak="0">
    <w:nsid w:val="779E3A64"/>
    <w:multiLevelType w:val="multilevel"/>
    <w:tmpl w:val="779E3A64"/>
    <w:lvl w:ilvl="0">
      <w:start w:val="7"/>
      <w:numFmt w:val="decimal"/>
      <w:pStyle w:val="11"/>
      <w:lvlText w:val="%1"/>
      <w:lvlJc w:val="left"/>
      <w:pPr>
        <w:ind w:left="432" w:hanging="432"/>
      </w:pPr>
      <w:rPr>
        <w:rFonts w:hint="default"/>
      </w:rPr>
    </w:lvl>
    <w:lvl w:ilvl="1">
      <w:start w:val="1"/>
      <w:numFmt w:val="decimal"/>
      <w:pStyle w:val="21"/>
      <w:lvlText w:val="%1.%2"/>
      <w:lvlJc w:val="left"/>
      <w:pPr>
        <w:ind w:left="576" w:hanging="576"/>
      </w:pPr>
      <w:rPr>
        <w:rFonts w:ascii="Calibri" w:hAnsi="Calibri" w:hint="default"/>
      </w:rPr>
    </w:lvl>
    <w:lvl w:ilvl="2">
      <w:start w:val="1"/>
      <w:numFmt w:val="decimal"/>
      <w:pStyle w:val="11"/>
      <w:lvlText w:val="%1.%2.%3"/>
      <w:lvlJc w:val="left"/>
      <w:pPr>
        <w:ind w:left="720" w:hanging="720"/>
      </w:pPr>
      <w:rPr>
        <w:rFonts w:hint="default"/>
      </w:rPr>
    </w:lvl>
    <w:lvl w:ilvl="3">
      <w:start w:val="1"/>
      <w:numFmt w:val="decimal"/>
      <w:pStyle w:val="21"/>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8" w15:restartNumberingAfterBreak="0">
    <w:nsid w:val="791C78BF"/>
    <w:multiLevelType w:val="multilevel"/>
    <w:tmpl w:val="791C78B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792A0C6B"/>
    <w:multiLevelType w:val="multilevel"/>
    <w:tmpl w:val="792A0C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0" w15:restartNumberingAfterBreak="0">
    <w:nsid w:val="797A1EE9"/>
    <w:multiLevelType w:val="hybridMultilevel"/>
    <w:tmpl w:val="F0521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9B31367"/>
    <w:multiLevelType w:val="hybridMultilevel"/>
    <w:tmpl w:val="19FE88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B9A1C6B"/>
    <w:multiLevelType w:val="multilevel"/>
    <w:tmpl w:val="41B084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3" w15:restartNumberingAfterBreak="0">
    <w:nsid w:val="7DF15225"/>
    <w:multiLevelType w:val="multilevel"/>
    <w:tmpl w:val="7DF15225"/>
    <w:lvl w:ilvl="0">
      <w:start w:val="1"/>
      <w:numFmt w:val="bullet"/>
      <w:lvlText w:val=""/>
      <w:lvlJc w:val="left"/>
      <w:pPr>
        <w:ind w:left="720" w:hanging="360"/>
      </w:pPr>
      <w:rPr>
        <w:rFonts w:ascii="Wingdings" w:hAnsi="Wingdings" w:hint="default"/>
        <w:b/>
        <w:i w:val="0"/>
        <w:color w:val="C45911" w:themeColor="accent2" w:themeShade="BF"/>
        <w:sz w:val="16"/>
        <w:u w:color="833C0B" w:themeColor="accent2" w:themeShade="80"/>
        <w14:shadow w14:blurRad="0" w14:dist="0" w14:dir="0" w14:sx="0" w14:sy="0" w14:kx="0" w14:ky="0" w14:algn="none">
          <w14:srgbClr w14:val="000000"/>
        </w14:shadow>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4" w15:restartNumberingAfterBreak="0">
    <w:nsid w:val="7E927FE2"/>
    <w:multiLevelType w:val="multilevel"/>
    <w:tmpl w:val="7E927F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41"/>
  </w:num>
  <w:num w:numId="2">
    <w:abstractNumId w:val="131"/>
  </w:num>
  <w:num w:numId="3">
    <w:abstractNumId w:val="52"/>
  </w:num>
  <w:num w:numId="4">
    <w:abstractNumId w:val="108"/>
  </w:num>
  <w:num w:numId="5">
    <w:abstractNumId w:val="37"/>
  </w:num>
  <w:num w:numId="6">
    <w:abstractNumId w:val="83"/>
  </w:num>
  <w:num w:numId="7">
    <w:abstractNumId w:val="1"/>
  </w:num>
  <w:num w:numId="8">
    <w:abstractNumId w:val="64"/>
  </w:num>
  <w:num w:numId="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7"/>
  </w:num>
  <w:num w:numId="11">
    <w:abstractNumId w:val="133"/>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5"/>
  </w:num>
  <w:num w:numId="14">
    <w:abstractNumId w:val="153"/>
  </w:num>
  <w:num w:numId="15">
    <w:abstractNumId w:val="59"/>
  </w:num>
  <w:num w:numId="16">
    <w:abstractNumId w:val="0"/>
  </w:num>
  <w:num w:numId="17">
    <w:abstractNumId w:val="101"/>
  </w:num>
  <w:num w:numId="18">
    <w:abstractNumId w:val="77"/>
  </w:num>
  <w:num w:numId="19">
    <w:abstractNumId w:val="144"/>
  </w:num>
  <w:num w:numId="20">
    <w:abstractNumId w:val="61"/>
  </w:num>
  <w:num w:numId="21">
    <w:abstractNumId w:val="117"/>
  </w:num>
  <w:num w:numId="22">
    <w:abstractNumId w:val="121"/>
  </w:num>
  <w:num w:numId="23">
    <w:abstractNumId w:val="127"/>
  </w:num>
  <w:num w:numId="24">
    <w:abstractNumId w:val="40"/>
  </w:num>
  <w:num w:numId="25">
    <w:abstractNumId w:val="42"/>
  </w:num>
  <w:num w:numId="26">
    <w:abstractNumId w:val="88"/>
  </w:num>
  <w:num w:numId="27">
    <w:abstractNumId w:val="35"/>
  </w:num>
  <w:num w:numId="28">
    <w:abstractNumId w:val="98"/>
  </w:num>
  <w:num w:numId="29">
    <w:abstractNumId w:val="132"/>
  </w:num>
  <w:num w:numId="30">
    <w:abstractNumId w:val="115"/>
  </w:num>
  <w:num w:numId="31">
    <w:abstractNumId w:val="10"/>
  </w:num>
  <w:num w:numId="32">
    <w:abstractNumId w:val="95"/>
  </w:num>
  <w:num w:numId="33">
    <w:abstractNumId w:val="71"/>
  </w:num>
  <w:num w:numId="34">
    <w:abstractNumId w:val="4"/>
  </w:num>
  <w:num w:numId="35">
    <w:abstractNumId w:val="122"/>
  </w:num>
  <w:num w:numId="36">
    <w:abstractNumId w:val="149"/>
  </w:num>
  <w:num w:numId="37">
    <w:abstractNumId w:val="29"/>
  </w:num>
  <w:num w:numId="38">
    <w:abstractNumId w:val="146"/>
  </w:num>
  <w:num w:numId="39">
    <w:abstractNumId w:val="139"/>
  </w:num>
  <w:num w:numId="40">
    <w:abstractNumId w:val="31"/>
  </w:num>
  <w:num w:numId="41">
    <w:abstractNumId w:val="81"/>
  </w:num>
  <w:num w:numId="42">
    <w:abstractNumId w:val="15"/>
  </w:num>
  <w:num w:numId="43">
    <w:abstractNumId w:val="135"/>
  </w:num>
  <w:num w:numId="44">
    <w:abstractNumId w:val="154"/>
  </w:num>
  <w:num w:numId="45">
    <w:abstractNumId w:val="49"/>
  </w:num>
  <w:num w:numId="46">
    <w:abstractNumId w:val="85"/>
  </w:num>
  <w:num w:numId="47">
    <w:abstractNumId w:val="87"/>
  </w:num>
  <w:num w:numId="48">
    <w:abstractNumId w:val="134"/>
  </w:num>
  <w:num w:numId="49">
    <w:abstractNumId w:val="36"/>
  </w:num>
  <w:num w:numId="50">
    <w:abstractNumId w:val="102"/>
  </w:num>
  <w:num w:numId="51">
    <w:abstractNumId w:val="120"/>
  </w:num>
  <w:num w:numId="52">
    <w:abstractNumId w:val="17"/>
  </w:num>
  <w:num w:numId="53">
    <w:abstractNumId w:val="92"/>
  </w:num>
  <w:num w:numId="54">
    <w:abstractNumId w:val="79"/>
  </w:num>
  <w:num w:numId="55">
    <w:abstractNumId w:val="128"/>
  </w:num>
  <w:num w:numId="56">
    <w:abstractNumId w:val="89"/>
  </w:num>
  <w:num w:numId="57">
    <w:abstractNumId w:val="14"/>
  </w:num>
  <w:num w:numId="58">
    <w:abstractNumId w:val="21"/>
  </w:num>
  <w:num w:numId="59">
    <w:abstractNumId w:val="44"/>
  </w:num>
  <w:num w:numId="60">
    <w:abstractNumId w:val="130"/>
  </w:num>
  <w:num w:numId="61">
    <w:abstractNumId w:val="104"/>
  </w:num>
  <w:num w:numId="62">
    <w:abstractNumId w:val="75"/>
  </w:num>
  <w:num w:numId="63">
    <w:abstractNumId w:val="26"/>
  </w:num>
  <w:num w:numId="64">
    <w:abstractNumId w:val="114"/>
  </w:num>
  <w:num w:numId="65">
    <w:abstractNumId w:val="103"/>
  </w:num>
  <w:num w:numId="66">
    <w:abstractNumId w:val="143"/>
  </w:num>
  <w:num w:numId="67">
    <w:abstractNumId w:val="78"/>
  </w:num>
  <w:num w:numId="68">
    <w:abstractNumId w:val="68"/>
  </w:num>
  <w:num w:numId="69">
    <w:abstractNumId w:val="28"/>
  </w:num>
  <w:num w:numId="70">
    <w:abstractNumId w:val="69"/>
  </w:num>
  <w:num w:numId="71">
    <w:abstractNumId w:val="47"/>
  </w:num>
  <w:num w:numId="72">
    <w:abstractNumId w:val="51"/>
  </w:num>
  <w:num w:numId="73">
    <w:abstractNumId w:val="113"/>
  </w:num>
  <w:num w:numId="74">
    <w:abstractNumId w:val="65"/>
  </w:num>
  <w:num w:numId="75">
    <w:abstractNumId w:val="137"/>
  </w:num>
  <w:num w:numId="76">
    <w:abstractNumId w:val="45"/>
  </w:num>
  <w:num w:numId="77">
    <w:abstractNumId w:val="106"/>
  </w:num>
  <w:num w:numId="78">
    <w:abstractNumId w:val="84"/>
  </w:num>
  <w:num w:numId="79">
    <w:abstractNumId w:val="43"/>
  </w:num>
  <w:num w:numId="80">
    <w:abstractNumId w:val="48"/>
  </w:num>
  <w:num w:numId="81">
    <w:abstractNumId w:val="129"/>
  </w:num>
  <w:num w:numId="82">
    <w:abstractNumId w:val="123"/>
  </w:num>
  <w:num w:numId="83">
    <w:abstractNumId w:val="107"/>
  </w:num>
  <w:num w:numId="84">
    <w:abstractNumId w:val="7"/>
  </w:num>
  <w:num w:numId="85">
    <w:abstractNumId w:val="19"/>
  </w:num>
  <w:num w:numId="86">
    <w:abstractNumId w:val="12"/>
  </w:num>
  <w:num w:numId="87">
    <w:abstractNumId w:val="80"/>
  </w:num>
  <w:num w:numId="88">
    <w:abstractNumId w:val="11"/>
  </w:num>
  <w:num w:numId="89">
    <w:abstractNumId w:val="142"/>
  </w:num>
  <w:num w:numId="90">
    <w:abstractNumId w:val="125"/>
  </w:num>
  <w:num w:numId="91">
    <w:abstractNumId w:val="91"/>
  </w:num>
  <w:num w:numId="92">
    <w:abstractNumId w:val="55"/>
  </w:num>
  <w:num w:numId="93">
    <w:abstractNumId w:val="8"/>
  </w:num>
  <w:num w:numId="94">
    <w:abstractNumId w:val="13"/>
  </w:num>
  <w:num w:numId="95">
    <w:abstractNumId w:val="119"/>
  </w:num>
  <w:num w:numId="96">
    <w:abstractNumId w:val="105"/>
  </w:num>
  <w:num w:numId="97">
    <w:abstractNumId w:val="54"/>
  </w:num>
  <w:num w:numId="98">
    <w:abstractNumId w:val="138"/>
  </w:num>
  <w:num w:numId="99">
    <w:abstractNumId w:val="97"/>
  </w:num>
  <w:num w:numId="100">
    <w:abstractNumId w:val="9"/>
  </w:num>
  <w:num w:numId="101">
    <w:abstractNumId w:val="112"/>
  </w:num>
  <w:num w:numId="102">
    <w:abstractNumId w:val="23"/>
  </w:num>
  <w:num w:numId="103">
    <w:abstractNumId w:val="70"/>
  </w:num>
  <w:num w:numId="104">
    <w:abstractNumId w:val="27"/>
  </w:num>
  <w:num w:numId="105">
    <w:abstractNumId w:val="72"/>
  </w:num>
  <w:num w:numId="106">
    <w:abstractNumId w:val="100"/>
  </w:num>
  <w:num w:numId="107">
    <w:abstractNumId w:val="82"/>
  </w:num>
  <w:num w:numId="108">
    <w:abstractNumId w:val="76"/>
  </w:num>
  <w:num w:numId="109">
    <w:abstractNumId w:val="96"/>
  </w:num>
  <w:num w:numId="110">
    <w:abstractNumId w:val="74"/>
  </w:num>
  <w:num w:numId="111">
    <w:abstractNumId w:val="62"/>
  </w:num>
  <w:num w:numId="112">
    <w:abstractNumId w:val="126"/>
  </w:num>
  <w:num w:numId="113">
    <w:abstractNumId w:val="5"/>
  </w:num>
  <w:num w:numId="114">
    <w:abstractNumId w:val="148"/>
  </w:num>
  <w:num w:numId="115">
    <w:abstractNumId w:val="136"/>
  </w:num>
  <w:num w:numId="116">
    <w:abstractNumId w:val="41"/>
  </w:num>
  <w:num w:numId="117">
    <w:abstractNumId w:val="20"/>
  </w:num>
  <w:num w:numId="118">
    <w:abstractNumId w:val="50"/>
  </w:num>
  <w:num w:numId="119">
    <w:abstractNumId w:val="3"/>
  </w:num>
  <w:num w:numId="120">
    <w:abstractNumId w:val="93"/>
  </w:num>
  <w:num w:numId="121">
    <w:abstractNumId w:val="118"/>
  </w:num>
  <w:num w:numId="122">
    <w:abstractNumId w:val="30"/>
  </w:num>
  <w:num w:numId="123">
    <w:abstractNumId w:val="140"/>
  </w:num>
  <w:num w:numId="124">
    <w:abstractNumId w:val="6"/>
  </w:num>
  <w:num w:numId="125">
    <w:abstractNumId w:val="60"/>
  </w:num>
  <w:num w:numId="126">
    <w:abstractNumId w:val="110"/>
  </w:num>
  <w:num w:numId="127">
    <w:abstractNumId w:val="58"/>
  </w:num>
  <w:num w:numId="128">
    <w:abstractNumId w:val="22"/>
  </w:num>
  <w:num w:numId="129">
    <w:abstractNumId w:val="24"/>
  </w:num>
  <w:num w:numId="130">
    <w:abstractNumId w:val="94"/>
  </w:num>
  <w:num w:numId="131">
    <w:abstractNumId w:val="34"/>
  </w:num>
  <w:num w:numId="132">
    <w:abstractNumId w:val="73"/>
  </w:num>
  <w:num w:numId="133">
    <w:abstractNumId w:val="99"/>
  </w:num>
  <w:num w:numId="134">
    <w:abstractNumId w:val="39"/>
  </w:num>
  <w:num w:numId="135">
    <w:abstractNumId w:val="116"/>
  </w:num>
  <w:num w:numId="136">
    <w:abstractNumId w:val="151"/>
  </w:num>
  <w:num w:numId="137">
    <w:abstractNumId w:val="90"/>
  </w:num>
  <w:num w:numId="138">
    <w:abstractNumId w:val="57"/>
  </w:num>
  <w:num w:numId="139">
    <w:abstractNumId w:val="33"/>
  </w:num>
  <w:num w:numId="140">
    <w:abstractNumId w:val="16"/>
  </w:num>
  <w:num w:numId="141">
    <w:abstractNumId w:val="32"/>
  </w:num>
  <w:num w:numId="142">
    <w:abstractNumId w:val="152"/>
  </w:num>
  <w:num w:numId="143">
    <w:abstractNumId w:val="67"/>
  </w:num>
  <w:num w:numId="144">
    <w:abstractNumId w:val="109"/>
  </w:num>
  <w:num w:numId="145">
    <w:abstractNumId w:val="124"/>
  </w:num>
  <w:num w:numId="146">
    <w:abstractNumId w:val="2"/>
  </w:num>
  <w:num w:numId="147">
    <w:abstractNumId w:val="25"/>
  </w:num>
  <w:num w:numId="148">
    <w:abstractNumId w:val="66"/>
  </w:num>
  <w:num w:numId="149">
    <w:abstractNumId w:val="111"/>
  </w:num>
  <w:num w:numId="150">
    <w:abstractNumId w:val="150"/>
  </w:num>
  <w:num w:numId="151">
    <w:abstractNumId w:val="86"/>
  </w:num>
  <w:num w:numId="152">
    <w:abstractNumId w:val="18"/>
  </w:num>
  <w:num w:numId="153">
    <w:abstractNumId w:val="46"/>
  </w:num>
  <w:num w:numId="154">
    <w:abstractNumId w:val="56"/>
  </w:num>
  <w:num w:numId="155">
    <w:abstractNumId w:val="6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2D7"/>
    <w:rsid w:val="00000FAC"/>
    <w:rsid w:val="000013FD"/>
    <w:rsid w:val="00002B90"/>
    <w:rsid w:val="00003B14"/>
    <w:rsid w:val="000043E9"/>
    <w:rsid w:val="000075AB"/>
    <w:rsid w:val="000216BC"/>
    <w:rsid w:val="00021976"/>
    <w:rsid w:val="00023A48"/>
    <w:rsid w:val="00023EBD"/>
    <w:rsid w:val="000253AA"/>
    <w:rsid w:val="0002592C"/>
    <w:rsid w:val="00025A24"/>
    <w:rsid w:val="000260C6"/>
    <w:rsid w:val="000269AE"/>
    <w:rsid w:val="00030782"/>
    <w:rsid w:val="00030E0E"/>
    <w:rsid w:val="00034F81"/>
    <w:rsid w:val="00041FF4"/>
    <w:rsid w:val="00042E27"/>
    <w:rsid w:val="0004329C"/>
    <w:rsid w:val="00043542"/>
    <w:rsid w:val="00043AE5"/>
    <w:rsid w:val="00045228"/>
    <w:rsid w:val="00045FDB"/>
    <w:rsid w:val="0004657F"/>
    <w:rsid w:val="0004664A"/>
    <w:rsid w:val="00047730"/>
    <w:rsid w:val="0005065E"/>
    <w:rsid w:val="00050BE3"/>
    <w:rsid w:val="00051EF9"/>
    <w:rsid w:val="00053731"/>
    <w:rsid w:val="000538DF"/>
    <w:rsid w:val="00054FCD"/>
    <w:rsid w:val="00055632"/>
    <w:rsid w:val="00055E0C"/>
    <w:rsid w:val="000575A9"/>
    <w:rsid w:val="00062BE8"/>
    <w:rsid w:val="0006376C"/>
    <w:rsid w:val="00063CBB"/>
    <w:rsid w:val="000644F1"/>
    <w:rsid w:val="0006539F"/>
    <w:rsid w:val="00066B0E"/>
    <w:rsid w:val="00070A7E"/>
    <w:rsid w:val="00073915"/>
    <w:rsid w:val="00074379"/>
    <w:rsid w:val="00074661"/>
    <w:rsid w:val="00074A61"/>
    <w:rsid w:val="00076A3E"/>
    <w:rsid w:val="00076A6D"/>
    <w:rsid w:val="000816D9"/>
    <w:rsid w:val="00082604"/>
    <w:rsid w:val="00082DAA"/>
    <w:rsid w:val="00082E74"/>
    <w:rsid w:val="000830BA"/>
    <w:rsid w:val="00083951"/>
    <w:rsid w:val="0008523F"/>
    <w:rsid w:val="00085C85"/>
    <w:rsid w:val="00085F71"/>
    <w:rsid w:val="00086BBC"/>
    <w:rsid w:val="00087955"/>
    <w:rsid w:val="000913EA"/>
    <w:rsid w:val="00095BF0"/>
    <w:rsid w:val="00096A70"/>
    <w:rsid w:val="000A114E"/>
    <w:rsid w:val="000A1D12"/>
    <w:rsid w:val="000A3583"/>
    <w:rsid w:val="000A71A3"/>
    <w:rsid w:val="000B199B"/>
    <w:rsid w:val="000B2E82"/>
    <w:rsid w:val="000B3E65"/>
    <w:rsid w:val="000B4B26"/>
    <w:rsid w:val="000B6387"/>
    <w:rsid w:val="000B6C76"/>
    <w:rsid w:val="000C0785"/>
    <w:rsid w:val="000C16CB"/>
    <w:rsid w:val="000C1E6F"/>
    <w:rsid w:val="000C385D"/>
    <w:rsid w:val="000C43C9"/>
    <w:rsid w:val="000C58F5"/>
    <w:rsid w:val="000C7F70"/>
    <w:rsid w:val="000D1011"/>
    <w:rsid w:val="000D2632"/>
    <w:rsid w:val="000D27E1"/>
    <w:rsid w:val="000D3DAF"/>
    <w:rsid w:val="000D3FCC"/>
    <w:rsid w:val="000D4EBC"/>
    <w:rsid w:val="000D6D65"/>
    <w:rsid w:val="000D719B"/>
    <w:rsid w:val="000D7745"/>
    <w:rsid w:val="000E057F"/>
    <w:rsid w:val="000E0714"/>
    <w:rsid w:val="000E0ED4"/>
    <w:rsid w:val="000E238F"/>
    <w:rsid w:val="000E3B08"/>
    <w:rsid w:val="000E63A8"/>
    <w:rsid w:val="000F0410"/>
    <w:rsid w:val="000F33EC"/>
    <w:rsid w:val="000F5B83"/>
    <w:rsid w:val="000F67ED"/>
    <w:rsid w:val="000F6F2C"/>
    <w:rsid w:val="001006EF"/>
    <w:rsid w:val="001011AB"/>
    <w:rsid w:val="001011CB"/>
    <w:rsid w:val="001032A4"/>
    <w:rsid w:val="001050AB"/>
    <w:rsid w:val="00106FA1"/>
    <w:rsid w:val="0010734D"/>
    <w:rsid w:val="001074D1"/>
    <w:rsid w:val="001112A5"/>
    <w:rsid w:val="0011435A"/>
    <w:rsid w:val="00115869"/>
    <w:rsid w:val="0011591F"/>
    <w:rsid w:val="00115E68"/>
    <w:rsid w:val="001167D6"/>
    <w:rsid w:val="00120369"/>
    <w:rsid w:val="00120736"/>
    <w:rsid w:val="001213F2"/>
    <w:rsid w:val="00121A6B"/>
    <w:rsid w:val="0012238F"/>
    <w:rsid w:val="001226AB"/>
    <w:rsid w:val="00122A5E"/>
    <w:rsid w:val="0012322E"/>
    <w:rsid w:val="00124837"/>
    <w:rsid w:val="00124A4C"/>
    <w:rsid w:val="00124BD9"/>
    <w:rsid w:val="00125973"/>
    <w:rsid w:val="00127C4A"/>
    <w:rsid w:val="00130BE2"/>
    <w:rsid w:val="00134419"/>
    <w:rsid w:val="00135EE4"/>
    <w:rsid w:val="0013691C"/>
    <w:rsid w:val="00141126"/>
    <w:rsid w:val="0014164F"/>
    <w:rsid w:val="001422D8"/>
    <w:rsid w:val="001426D7"/>
    <w:rsid w:val="00142F42"/>
    <w:rsid w:val="00143DFB"/>
    <w:rsid w:val="0014520A"/>
    <w:rsid w:val="001456AE"/>
    <w:rsid w:val="001475B8"/>
    <w:rsid w:val="00150893"/>
    <w:rsid w:val="00150D85"/>
    <w:rsid w:val="001512C1"/>
    <w:rsid w:val="00151F3E"/>
    <w:rsid w:val="0015296B"/>
    <w:rsid w:val="00153B62"/>
    <w:rsid w:val="00156696"/>
    <w:rsid w:val="001566B5"/>
    <w:rsid w:val="00156B71"/>
    <w:rsid w:val="001577D2"/>
    <w:rsid w:val="00162DF1"/>
    <w:rsid w:val="001633E2"/>
    <w:rsid w:val="0016387A"/>
    <w:rsid w:val="00164090"/>
    <w:rsid w:val="00166414"/>
    <w:rsid w:val="00166E9D"/>
    <w:rsid w:val="0016759C"/>
    <w:rsid w:val="001708F6"/>
    <w:rsid w:val="0017233F"/>
    <w:rsid w:val="00172687"/>
    <w:rsid w:val="00180128"/>
    <w:rsid w:val="00181ED4"/>
    <w:rsid w:val="00182EEB"/>
    <w:rsid w:val="001846EF"/>
    <w:rsid w:val="00185766"/>
    <w:rsid w:val="00186661"/>
    <w:rsid w:val="00186CBC"/>
    <w:rsid w:val="00187066"/>
    <w:rsid w:val="00187287"/>
    <w:rsid w:val="0018737C"/>
    <w:rsid w:val="001873D5"/>
    <w:rsid w:val="0019052B"/>
    <w:rsid w:val="00190E58"/>
    <w:rsid w:val="00191454"/>
    <w:rsid w:val="001928B2"/>
    <w:rsid w:val="001946A2"/>
    <w:rsid w:val="00194BFD"/>
    <w:rsid w:val="00197B84"/>
    <w:rsid w:val="001A0113"/>
    <w:rsid w:val="001A147E"/>
    <w:rsid w:val="001A1D01"/>
    <w:rsid w:val="001A1E31"/>
    <w:rsid w:val="001A400B"/>
    <w:rsid w:val="001A53C2"/>
    <w:rsid w:val="001A5CE0"/>
    <w:rsid w:val="001A64EE"/>
    <w:rsid w:val="001A65D3"/>
    <w:rsid w:val="001B387E"/>
    <w:rsid w:val="001B40A0"/>
    <w:rsid w:val="001B50D2"/>
    <w:rsid w:val="001B5E0F"/>
    <w:rsid w:val="001C0A7E"/>
    <w:rsid w:val="001C25C6"/>
    <w:rsid w:val="001C3525"/>
    <w:rsid w:val="001C42E5"/>
    <w:rsid w:val="001C6017"/>
    <w:rsid w:val="001C7045"/>
    <w:rsid w:val="001E02C3"/>
    <w:rsid w:val="001E1997"/>
    <w:rsid w:val="001E3090"/>
    <w:rsid w:val="001E37A0"/>
    <w:rsid w:val="001E3A79"/>
    <w:rsid w:val="001E3D9B"/>
    <w:rsid w:val="001E5F12"/>
    <w:rsid w:val="001E6A9F"/>
    <w:rsid w:val="001E6E02"/>
    <w:rsid w:val="001F0243"/>
    <w:rsid w:val="001F0562"/>
    <w:rsid w:val="001F0CCC"/>
    <w:rsid w:val="001F2112"/>
    <w:rsid w:val="001F2346"/>
    <w:rsid w:val="001F3885"/>
    <w:rsid w:val="001F3E10"/>
    <w:rsid w:val="001F5242"/>
    <w:rsid w:val="001F5E66"/>
    <w:rsid w:val="001F6816"/>
    <w:rsid w:val="001F7291"/>
    <w:rsid w:val="001F7452"/>
    <w:rsid w:val="00200C7B"/>
    <w:rsid w:val="00201849"/>
    <w:rsid w:val="002028E3"/>
    <w:rsid w:val="00203653"/>
    <w:rsid w:val="00203D94"/>
    <w:rsid w:val="00205ACD"/>
    <w:rsid w:val="0021112C"/>
    <w:rsid w:val="00212FBD"/>
    <w:rsid w:val="002132B5"/>
    <w:rsid w:val="00213651"/>
    <w:rsid w:val="00213F55"/>
    <w:rsid w:val="002148F0"/>
    <w:rsid w:val="00214F96"/>
    <w:rsid w:val="002160F7"/>
    <w:rsid w:val="00216163"/>
    <w:rsid w:val="00222376"/>
    <w:rsid w:val="00222391"/>
    <w:rsid w:val="002243B4"/>
    <w:rsid w:val="00225571"/>
    <w:rsid w:val="00226F83"/>
    <w:rsid w:val="00227C2D"/>
    <w:rsid w:val="0023111A"/>
    <w:rsid w:val="0023115C"/>
    <w:rsid w:val="002333E7"/>
    <w:rsid w:val="00233C01"/>
    <w:rsid w:val="00234CAC"/>
    <w:rsid w:val="0024071D"/>
    <w:rsid w:val="00241417"/>
    <w:rsid w:val="00242C0D"/>
    <w:rsid w:val="00243BEB"/>
    <w:rsid w:val="00244360"/>
    <w:rsid w:val="00245B58"/>
    <w:rsid w:val="002516CD"/>
    <w:rsid w:val="002516F1"/>
    <w:rsid w:val="0025198D"/>
    <w:rsid w:val="002524B4"/>
    <w:rsid w:val="00252D6C"/>
    <w:rsid w:val="00253898"/>
    <w:rsid w:val="002544DF"/>
    <w:rsid w:val="00254FC2"/>
    <w:rsid w:val="00256FAF"/>
    <w:rsid w:val="002601AC"/>
    <w:rsid w:val="00261A07"/>
    <w:rsid w:val="00262FBA"/>
    <w:rsid w:val="00266769"/>
    <w:rsid w:val="00266868"/>
    <w:rsid w:val="00266ABB"/>
    <w:rsid w:val="00266D6E"/>
    <w:rsid w:val="00267C61"/>
    <w:rsid w:val="00267FAF"/>
    <w:rsid w:val="002703AB"/>
    <w:rsid w:val="00270CFD"/>
    <w:rsid w:val="00271491"/>
    <w:rsid w:val="00271D95"/>
    <w:rsid w:val="00273D15"/>
    <w:rsid w:val="00274DD3"/>
    <w:rsid w:val="002754A4"/>
    <w:rsid w:val="00275761"/>
    <w:rsid w:val="00276534"/>
    <w:rsid w:val="00277320"/>
    <w:rsid w:val="00281A31"/>
    <w:rsid w:val="00281B6B"/>
    <w:rsid w:val="00281FDC"/>
    <w:rsid w:val="00284AA7"/>
    <w:rsid w:val="0028675B"/>
    <w:rsid w:val="00287103"/>
    <w:rsid w:val="00287A64"/>
    <w:rsid w:val="00292162"/>
    <w:rsid w:val="00295820"/>
    <w:rsid w:val="00295C96"/>
    <w:rsid w:val="00295D3C"/>
    <w:rsid w:val="00296041"/>
    <w:rsid w:val="002A1003"/>
    <w:rsid w:val="002A2094"/>
    <w:rsid w:val="002A3379"/>
    <w:rsid w:val="002A5292"/>
    <w:rsid w:val="002A529B"/>
    <w:rsid w:val="002A57AF"/>
    <w:rsid w:val="002A6F4E"/>
    <w:rsid w:val="002A7937"/>
    <w:rsid w:val="002A79B1"/>
    <w:rsid w:val="002A7BBF"/>
    <w:rsid w:val="002B2DAA"/>
    <w:rsid w:val="002B3B76"/>
    <w:rsid w:val="002B3BAF"/>
    <w:rsid w:val="002B3C30"/>
    <w:rsid w:val="002B45C2"/>
    <w:rsid w:val="002B52E1"/>
    <w:rsid w:val="002B560C"/>
    <w:rsid w:val="002B5614"/>
    <w:rsid w:val="002B69DB"/>
    <w:rsid w:val="002B6F25"/>
    <w:rsid w:val="002C1063"/>
    <w:rsid w:val="002C1347"/>
    <w:rsid w:val="002C16A4"/>
    <w:rsid w:val="002C1C65"/>
    <w:rsid w:val="002C22B2"/>
    <w:rsid w:val="002C3B40"/>
    <w:rsid w:val="002C3C86"/>
    <w:rsid w:val="002C4689"/>
    <w:rsid w:val="002C47A9"/>
    <w:rsid w:val="002C4B12"/>
    <w:rsid w:val="002C510E"/>
    <w:rsid w:val="002C662C"/>
    <w:rsid w:val="002D0573"/>
    <w:rsid w:val="002D27C5"/>
    <w:rsid w:val="002D595E"/>
    <w:rsid w:val="002E32CC"/>
    <w:rsid w:val="002E3AD5"/>
    <w:rsid w:val="002E4426"/>
    <w:rsid w:val="002E65F0"/>
    <w:rsid w:val="002E6AF9"/>
    <w:rsid w:val="002E6BE8"/>
    <w:rsid w:val="002E740E"/>
    <w:rsid w:val="002F142A"/>
    <w:rsid w:val="002F47D3"/>
    <w:rsid w:val="002F5EEE"/>
    <w:rsid w:val="002F719F"/>
    <w:rsid w:val="003015C3"/>
    <w:rsid w:val="00301814"/>
    <w:rsid w:val="003073EE"/>
    <w:rsid w:val="003100DB"/>
    <w:rsid w:val="00310986"/>
    <w:rsid w:val="00311FB6"/>
    <w:rsid w:val="003122D6"/>
    <w:rsid w:val="00313B7B"/>
    <w:rsid w:val="00313F54"/>
    <w:rsid w:val="00316217"/>
    <w:rsid w:val="003172E2"/>
    <w:rsid w:val="0031773F"/>
    <w:rsid w:val="003177AB"/>
    <w:rsid w:val="003202E2"/>
    <w:rsid w:val="003206C4"/>
    <w:rsid w:val="00321732"/>
    <w:rsid w:val="00322427"/>
    <w:rsid w:val="0032248E"/>
    <w:rsid w:val="00322CDD"/>
    <w:rsid w:val="003230B6"/>
    <w:rsid w:val="003273E1"/>
    <w:rsid w:val="003306AE"/>
    <w:rsid w:val="00331340"/>
    <w:rsid w:val="00331366"/>
    <w:rsid w:val="00332036"/>
    <w:rsid w:val="003321EF"/>
    <w:rsid w:val="00333305"/>
    <w:rsid w:val="00333A5E"/>
    <w:rsid w:val="00335ECB"/>
    <w:rsid w:val="0033753D"/>
    <w:rsid w:val="003405FF"/>
    <w:rsid w:val="00341C12"/>
    <w:rsid w:val="00342252"/>
    <w:rsid w:val="0034278A"/>
    <w:rsid w:val="00342CAA"/>
    <w:rsid w:val="00344D21"/>
    <w:rsid w:val="00346F9D"/>
    <w:rsid w:val="0035491B"/>
    <w:rsid w:val="003561CC"/>
    <w:rsid w:val="00356223"/>
    <w:rsid w:val="003600A0"/>
    <w:rsid w:val="003617DE"/>
    <w:rsid w:val="003624CC"/>
    <w:rsid w:val="00364F02"/>
    <w:rsid w:val="00365092"/>
    <w:rsid w:val="0036630C"/>
    <w:rsid w:val="003672DD"/>
    <w:rsid w:val="003739D4"/>
    <w:rsid w:val="00375B0E"/>
    <w:rsid w:val="00377063"/>
    <w:rsid w:val="0037743A"/>
    <w:rsid w:val="0037795F"/>
    <w:rsid w:val="0038237C"/>
    <w:rsid w:val="00384893"/>
    <w:rsid w:val="00386984"/>
    <w:rsid w:val="00387108"/>
    <w:rsid w:val="0038786C"/>
    <w:rsid w:val="0039090F"/>
    <w:rsid w:val="003915E9"/>
    <w:rsid w:val="0039650F"/>
    <w:rsid w:val="0039662A"/>
    <w:rsid w:val="00397934"/>
    <w:rsid w:val="003979E2"/>
    <w:rsid w:val="003A146D"/>
    <w:rsid w:val="003A300A"/>
    <w:rsid w:val="003A46CA"/>
    <w:rsid w:val="003A55AE"/>
    <w:rsid w:val="003A61C0"/>
    <w:rsid w:val="003A7B86"/>
    <w:rsid w:val="003B1380"/>
    <w:rsid w:val="003B402F"/>
    <w:rsid w:val="003B539C"/>
    <w:rsid w:val="003B5CC5"/>
    <w:rsid w:val="003B7269"/>
    <w:rsid w:val="003B7E4C"/>
    <w:rsid w:val="003C17DC"/>
    <w:rsid w:val="003C2167"/>
    <w:rsid w:val="003C23C3"/>
    <w:rsid w:val="003C3822"/>
    <w:rsid w:val="003C4A5F"/>
    <w:rsid w:val="003C5994"/>
    <w:rsid w:val="003D11ED"/>
    <w:rsid w:val="003D1C94"/>
    <w:rsid w:val="003D3703"/>
    <w:rsid w:val="003D499F"/>
    <w:rsid w:val="003D51BD"/>
    <w:rsid w:val="003D5729"/>
    <w:rsid w:val="003D7619"/>
    <w:rsid w:val="003D77FE"/>
    <w:rsid w:val="003E10F6"/>
    <w:rsid w:val="003E1203"/>
    <w:rsid w:val="003E3DB0"/>
    <w:rsid w:val="003E4447"/>
    <w:rsid w:val="003E6442"/>
    <w:rsid w:val="003E7F7D"/>
    <w:rsid w:val="003F07DE"/>
    <w:rsid w:val="003F0975"/>
    <w:rsid w:val="003F17A5"/>
    <w:rsid w:val="003F31BF"/>
    <w:rsid w:val="003F3C43"/>
    <w:rsid w:val="003F3D9A"/>
    <w:rsid w:val="003F46C2"/>
    <w:rsid w:val="003F586E"/>
    <w:rsid w:val="003F5E16"/>
    <w:rsid w:val="003F6F69"/>
    <w:rsid w:val="003F7DAC"/>
    <w:rsid w:val="00400707"/>
    <w:rsid w:val="004010E9"/>
    <w:rsid w:val="004023AD"/>
    <w:rsid w:val="0040427F"/>
    <w:rsid w:val="00404CB3"/>
    <w:rsid w:val="00407812"/>
    <w:rsid w:val="004103AD"/>
    <w:rsid w:val="00410412"/>
    <w:rsid w:val="004127DF"/>
    <w:rsid w:val="004127E5"/>
    <w:rsid w:val="00412D2E"/>
    <w:rsid w:val="00413A37"/>
    <w:rsid w:val="0041438A"/>
    <w:rsid w:val="0041587E"/>
    <w:rsid w:val="00415D08"/>
    <w:rsid w:val="00417919"/>
    <w:rsid w:val="00420A67"/>
    <w:rsid w:val="00420D09"/>
    <w:rsid w:val="004230F6"/>
    <w:rsid w:val="00423BAE"/>
    <w:rsid w:val="004242C3"/>
    <w:rsid w:val="00424677"/>
    <w:rsid w:val="00425801"/>
    <w:rsid w:val="00427DE3"/>
    <w:rsid w:val="004325FB"/>
    <w:rsid w:val="0043566A"/>
    <w:rsid w:val="0043706D"/>
    <w:rsid w:val="0043751D"/>
    <w:rsid w:val="00441BF4"/>
    <w:rsid w:val="0044306D"/>
    <w:rsid w:val="00443FE4"/>
    <w:rsid w:val="00444241"/>
    <w:rsid w:val="00444690"/>
    <w:rsid w:val="00445170"/>
    <w:rsid w:val="0044614C"/>
    <w:rsid w:val="0044629A"/>
    <w:rsid w:val="004465D9"/>
    <w:rsid w:val="004510C6"/>
    <w:rsid w:val="00452F6D"/>
    <w:rsid w:val="004532A7"/>
    <w:rsid w:val="00454007"/>
    <w:rsid w:val="00455022"/>
    <w:rsid w:val="00455771"/>
    <w:rsid w:val="0045585D"/>
    <w:rsid w:val="00456190"/>
    <w:rsid w:val="00460D60"/>
    <w:rsid w:val="00462407"/>
    <w:rsid w:val="00465823"/>
    <w:rsid w:val="0046763F"/>
    <w:rsid w:val="0046772B"/>
    <w:rsid w:val="0047152A"/>
    <w:rsid w:val="00471D90"/>
    <w:rsid w:val="00473E3A"/>
    <w:rsid w:val="004744F3"/>
    <w:rsid w:val="004745FE"/>
    <w:rsid w:val="0047528A"/>
    <w:rsid w:val="00475BFC"/>
    <w:rsid w:val="00477168"/>
    <w:rsid w:val="0048098E"/>
    <w:rsid w:val="0048120C"/>
    <w:rsid w:val="00482F3C"/>
    <w:rsid w:val="004847D3"/>
    <w:rsid w:val="00484CAE"/>
    <w:rsid w:val="00484F6C"/>
    <w:rsid w:val="00485B01"/>
    <w:rsid w:val="00485F6A"/>
    <w:rsid w:val="0048766D"/>
    <w:rsid w:val="00491D42"/>
    <w:rsid w:val="00492F9D"/>
    <w:rsid w:val="00493153"/>
    <w:rsid w:val="004961C3"/>
    <w:rsid w:val="004A01AB"/>
    <w:rsid w:val="004A1B55"/>
    <w:rsid w:val="004A2532"/>
    <w:rsid w:val="004A4186"/>
    <w:rsid w:val="004A44D5"/>
    <w:rsid w:val="004A4FBC"/>
    <w:rsid w:val="004A58E4"/>
    <w:rsid w:val="004A5DFC"/>
    <w:rsid w:val="004A6A04"/>
    <w:rsid w:val="004A6B00"/>
    <w:rsid w:val="004B0160"/>
    <w:rsid w:val="004B03AF"/>
    <w:rsid w:val="004B36CC"/>
    <w:rsid w:val="004B3D48"/>
    <w:rsid w:val="004C1159"/>
    <w:rsid w:val="004C1F42"/>
    <w:rsid w:val="004C6260"/>
    <w:rsid w:val="004C71A4"/>
    <w:rsid w:val="004D0E76"/>
    <w:rsid w:val="004D1B2F"/>
    <w:rsid w:val="004D2B03"/>
    <w:rsid w:val="004D2EA8"/>
    <w:rsid w:val="004D3247"/>
    <w:rsid w:val="004D49DD"/>
    <w:rsid w:val="004D5C92"/>
    <w:rsid w:val="004D63B7"/>
    <w:rsid w:val="004D66C3"/>
    <w:rsid w:val="004D7A1A"/>
    <w:rsid w:val="004E0BD6"/>
    <w:rsid w:val="004E10A9"/>
    <w:rsid w:val="004E12F3"/>
    <w:rsid w:val="004E1388"/>
    <w:rsid w:val="004E3D8A"/>
    <w:rsid w:val="004E5817"/>
    <w:rsid w:val="004E6078"/>
    <w:rsid w:val="004E614D"/>
    <w:rsid w:val="004E67C4"/>
    <w:rsid w:val="004F058C"/>
    <w:rsid w:val="004F15E3"/>
    <w:rsid w:val="004F28CF"/>
    <w:rsid w:val="004F2AEF"/>
    <w:rsid w:val="004F5CD0"/>
    <w:rsid w:val="004F774D"/>
    <w:rsid w:val="004F7D89"/>
    <w:rsid w:val="00500A4B"/>
    <w:rsid w:val="005014FA"/>
    <w:rsid w:val="005017B5"/>
    <w:rsid w:val="00501D73"/>
    <w:rsid w:val="00504DD9"/>
    <w:rsid w:val="0050675F"/>
    <w:rsid w:val="00507546"/>
    <w:rsid w:val="00510813"/>
    <w:rsid w:val="005117E0"/>
    <w:rsid w:val="00514770"/>
    <w:rsid w:val="00514AD9"/>
    <w:rsid w:val="00514F96"/>
    <w:rsid w:val="005164AF"/>
    <w:rsid w:val="005174DC"/>
    <w:rsid w:val="00517C60"/>
    <w:rsid w:val="005201DE"/>
    <w:rsid w:val="005220E3"/>
    <w:rsid w:val="00522C3E"/>
    <w:rsid w:val="0052309A"/>
    <w:rsid w:val="005246EA"/>
    <w:rsid w:val="005253B6"/>
    <w:rsid w:val="005262FC"/>
    <w:rsid w:val="0052649B"/>
    <w:rsid w:val="00526A4F"/>
    <w:rsid w:val="00526FFA"/>
    <w:rsid w:val="005272D2"/>
    <w:rsid w:val="00527C24"/>
    <w:rsid w:val="005316B6"/>
    <w:rsid w:val="00531C8E"/>
    <w:rsid w:val="00532AE1"/>
    <w:rsid w:val="005335B5"/>
    <w:rsid w:val="00534A4D"/>
    <w:rsid w:val="0053588E"/>
    <w:rsid w:val="00535C6D"/>
    <w:rsid w:val="0053607A"/>
    <w:rsid w:val="0054084D"/>
    <w:rsid w:val="0054241B"/>
    <w:rsid w:val="00542967"/>
    <w:rsid w:val="00543684"/>
    <w:rsid w:val="005449A7"/>
    <w:rsid w:val="00544DB2"/>
    <w:rsid w:val="005460C2"/>
    <w:rsid w:val="0054632B"/>
    <w:rsid w:val="005465D3"/>
    <w:rsid w:val="00547108"/>
    <w:rsid w:val="00547A27"/>
    <w:rsid w:val="00547D03"/>
    <w:rsid w:val="00550B8B"/>
    <w:rsid w:val="00552AAE"/>
    <w:rsid w:val="005536D9"/>
    <w:rsid w:val="005541E8"/>
    <w:rsid w:val="005568C3"/>
    <w:rsid w:val="00557D02"/>
    <w:rsid w:val="00557F9C"/>
    <w:rsid w:val="0056316B"/>
    <w:rsid w:val="005658D3"/>
    <w:rsid w:val="00570F39"/>
    <w:rsid w:val="005714DD"/>
    <w:rsid w:val="00571F50"/>
    <w:rsid w:val="00572C2D"/>
    <w:rsid w:val="0058126D"/>
    <w:rsid w:val="005812AD"/>
    <w:rsid w:val="005814ED"/>
    <w:rsid w:val="005814F4"/>
    <w:rsid w:val="00582304"/>
    <w:rsid w:val="00584077"/>
    <w:rsid w:val="0058517C"/>
    <w:rsid w:val="00590AD2"/>
    <w:rsid w:val="005926A6"/>
    <w:rsid w:val="00594607"/>
    <w:rsid w:val="00594F41"/>
    <w:rsid w:val="00595241"/>
    <w:rsid w:val="005954F6"/>
    <w:rsid w:val="0059707B"/>
    <w:rsid w:val="00597DDD"/>
    <w:rsid w:val="005A065A"/>
    <w:rsid w:val="005A0E6D"/>
    <w:rsid w:val="005A0F43"/>
    <w:rsid w:val="005A15BD"/>
    <w:rsid w:val="005A1BF5"/>
    <w:rsid w:val="005A4C41"/>
    <w:rsid w:val="005A73C4"/>
    <w:rsid w:val="005B1EA2"/>
    <w:rsid w:val="005B75CF"/>
    <w:rsid w:val="005B779A"/>
    <w:rsid w:val="005B7EC6"/>
    <w:rsid w:val="005C3876"/>
    <w:rsid w:val="005C4142"/>
    <w:rsid w:val="005C4A0C"/>
    <w:rsid w:val="005C4F86"/>
    <w:rsid w:val="005C4FBF"/>
    <w:rsid w:val="005D05D4"/>
    <w:rsid w:val="005D42F8"/>
    <w:rsid w:val="005D79E0"/>
    <w:rsid w:val="005E1594"/>
    <w:rsid w:val="005E331A"/>
    <w:rsid w:val="005E5272"/>
    <w:rsid w:val="005E7A97"/>
    <w:rsid w:val="005F1968"/>
    <w:rsid w:val="005F34EE"/>
    <w:rsid w:val="005F5FFB"/>
    <w:rsid w:val="005F64FA"/>
    <w:rsid w:val="005F75F8"/>
    <w:rsid w:val="00601510"/>
    <w:rsid w:val="00601718"/>
    <w:rsid w:val="00601A37"/>
    <w:rsid w:val="00604485"/>
    <w:rsid w:val="0060629B"/>
    <w:rsid w:val="006101DB"/>
    <w:rsid w:val="006111DD"/>
    <w:rsid w:val="00611286"/>
    <w:rsid w:val="006118C9"/>
    <w:rsid w:val="00611C03"/>
    <w:rsid w:val="006124F1"/>
    <w:rsid w:val="00613244"/>
    <w:rsid w:val="006139AF"/>
    <w:rsid w:val="00613AF0"/>
    <w:rsid w:val="006154A8"/>
    <w:rsid w:val="006156A7"/>
    <w:rsid w:val="00617781"/>
    <w:rsid w:val="00620A47"/>
    <w:rsid w:val="00620C9B"/>
    <w:rsid w:val="006215D1"/>
    <w:rsid w:val="00621BEF"/>
    <w:rsid w:val="0062245C"/>
    <w:rsid w:val="006228D9"/>
    <w:rsid w:val="00623E6E"/>
    <w:rsid w:val="006241A7"/>
    <w:rsid w:val="00624B36"/>
    <w:rsid w:val="006268A1"/>
    <w:rsid w:val="00631039"/>
    <w:rsid w:val="00631D61"/>
    <w:rsid w:val="0063549F"/>
    <w:rsid w:val="00636CED"/>
    <w:rsid w:val="0064304A"/>
    <w:rsid w:val="00643246"/>
    <w:rsid w:val="00643944"/>
    <w:rsid w:val="00644BF5"/>
    <w:rsid w:val="00645159"/>
    <w:rsid w:val="0064770A"/>
    <w:rsid w:val="006508B9"/>
    <w:rsid w:val="00651D59"/>
    <w:rsid w:val="0065202A"/>
    <w:rsid w:val="0065214E"/>
    <w:rsid w:val="00653F1C"/>
    <w:rsid w:val="00654DE7"/>
    <w:rsid w:val="00655695"/>
    <w:rsid w:val="0065582A"/>
    <w:rsid w:val="00660B1D"/>
    <w:rsid w:val="00662BDF"/>
    <w:rsid w:val="00662D0D"/>
    <w:rsid w:val="00662F08"/>
    <w:rsid w:val="00663295"/>
    <w:rsid w:val="00663B99"/>
    <w:rsid w:val="00666412"/>
    <w:rsid w:val="006665A0"/>
    <w:rsid w:val="006668A1"/>
    <w:rsid w:val="00667506"/>
    <w:rsid w:val="006702EE"/>
    <w:rsid w:val="00671B44"/>
    <w:rsid w:val="00672515"/>
    <w:rsid w:val="00673670"/>
    <w:rsid w:val="00673C56"/>
    <w:rsid w:val="00673FC5"/>
    <w:rsid w:val="006748DF"/>
    <w:rsid w:val="00675B36"/>
    <w:rsid w:val="006761A9"/>
    <w:rsid w:val="006770AA"/>
    <w:rsid w:val="0068202D"/>
    <w:rsid w:val="006824E8"/>
    <w:rsid w:val="00684163"/>
    <w:rsid w:val="00685EEA"/>
    <w:rsid w:val="00691037"/>
    <w:rsid w:val="00691105"/>
    <w:rsid w:val="006913A1"/>
    <w:rsid w:val="006932AF"/>
    <w:rsid w:val="00694A60"/>
    <w:rsid w:val="00695794"/>
    <w:rsid w:val="006A060E"/>
    <w:rsid w:val="006A1729"/>
    <w:rsid w:val="006A36C3"/>
    <w:rsid w:val="006A519F"/>
    <w:rsid w:val="006A5517"/>
    <w:rsid w:val="006B1191"/>
    <w:rsid w:val="006B1561"/>
    <w:rsid w:val="006B1894"/>
    <w:rsid w:val="006B1CCE"/>
    <w:rsid w:val="006B47B0"/>
    <w:rsid w:val="006B68BD"/>
    <w:rsid w:val="006B7FE2"/>
    <w:rsid w:val="006C2459"/>
    <w:rsid w:val="006C28BB"/>
    <w:rsid w:val="006C3CC6"/>
    <w:rsid w:val="006C4AE0"/>
    <w:rsid w:val="006C693A"/>
    <w:rsid w:val="006D164D"/>
    <w:rsid w:val="006D1C6A"/>
    <w:rsid w:val="006D2274"/>
    <w:rsid w:val="006D3716"/>
    <w:rsid w:val="006D5692"/>
    <w:rsid w:val="006E0E7F"/>
    <w:rsid w:val="006E4038"/>
    <w:rsid w:val="006E4F5D"/>
    <w:rsid w:val="006E558E"/>
    <w:rsid w:val="006E67DC"/>
    <w:rsid w:val="006E6812"/>
    <w:rsid w:val="006F10A6"/>
    <w:rsid w:val="006F1E43"/>
    <w:rsid w:val="006F4E26"/>
    <w:rsid w:val="00702DAF"/>
    <w:rsid w:val="00703BCE"/>
    <w:rsid w:val="00705AA1"/>
    <w:rsid w:val="00705F6A"/>
    <w:rsid w:val="00712C74"/>
    <w:rsid w:val="00713FE6"/>
    <w:rsid w:val="00715FE0"/>
    <w:rsid w:val="00716B5F"/>
    <w:rsid w:val="00716C71"/>
    <w:rsid w:val="00720E2D"/>
    <w:rsid w:val="0072101D"/>
    <w:rsid w:val="00721195"/>
    <w:rsid w:val="00721307"/>
    <w:rsid w:val="00722004"/>
    <w:rsid w:val="00722136"/>
    <w:rsid w:val="007228F8"/>
    <w:rsid w:val="00723154"/>
    <w:rsid w:val="007243EF"/>
    <w:rsid w:val="00724934"/>
    <w:rsid w:val="00725EA2"/>
    <w:rsid w:val="00727244"/>
    <w:rsid w:val="007274DA"/>
    <w:rsid w:val="007275A6"/>
    <w:rsid w:val="00727A82"/>
    <w:rsid w:val="00727FAE"/>
    <w:rsid w:val="007306F8"/>
    <w:rsid w:val="00731AEE"/>
    <w:rsid w:val="00731C72"/>
    <w:rsid w:val="00731DE4"/>
    <w:rsid w:val="00732B7D"/>
    <w:rsid w:val="00733414"/>
    <w:rsid w:val="007354BF"/>
    <w:rsid w:val="00735A6A"/>
    <w:rsid w:val="00735E44"/>
    <w:rsid w:val="007371CF"/>
    <w:rsid w:val="007378E8"/>
    <w:rsid w:val="00740020"/>
    <w:rsid w:val="00741057"/>
    <w:rsid w:val="00741FF0"/>
    <w:rsid w:val="00743204"/>
    <w:rsid w:val="007438F9"/>
    <w:rsid w:val="007446E4"/>
    <w:rsid w:val="00747194"/>
    <w:rsid w:val="007475E3"/>
    <w:rsid w:val="00751035"/>
    <w:rsid w:val="0075170A"/>
    <w:rsid w:val="00752554"/>
    <w:rsid w:val="0075331B"/>
    <w:rsid w:val="007536A1"/>
    <w:rsid w:val="007541CA"/>
    <w:rsid w:val="007556A5"/>
    <w:rsid w:val="007566CE"/>
    <w:rsid w:val="0076166F"/>
    <w:rsid w:val="007639DA"/>
    <w:rsid w:val="00766B61"/>
    <w:rsid w:val="00767043"/>
    <w:rsid w:val="007678E6"/>
    <w:rsid w:val="007679B3"/>
    <w:rsid w:val="00767F94"/>
    <w:rsid w:val="00770A66"/>
    <w:rsid w:val="00771BC4"/>
    <w:rsid w:val="00773B35"/>
    <w:rsid w:val="007752CC"/>
    <w:rsid w:val="00776D9F"/>
    <w:rsid w:val="00777714"/>
    <w:rsid w:val="00777AF3"/>
    <w:rsid w:val="00780CC7"/>
    <w:rsid w:val="00780D64"/>
    <w:rsid w:val="00781F16"/>
    <w:rsid w:val="00781F67"/>
    <w:rsid w:val="007822D2"/>
    <w:rsid w:val="00783EE0"/>
    <w:rsid w:val="0078407F"/>
    <w:rsid w:val="00787B83"/>
    <w:rsid w:val="00787EE8"/>
    <w:rsid w:val="00790D34"/>
    <w:rsid w:val="00792052"/>
    <w:rsid w:val="007927A5"/>
    <w:rsid w:val="00792B7E"/>
    <w:rsid w:val="007939B5"/>
    <w:rsid w:val="0079476A"/>
    <w:rsid w:val="0079508F"/>
    <w:rsid w:val="00795385"/>
    <w:rsid w:val="00797B22"/>
    <w:rsid w:val="007A7568"/>
    <w:rsid w:val="007A792B"/>
    <w:rsid w:val="007B047C"/>
    <w:rsid w:val="007B1545"/>
    <w:rsid w:val="007B42D0"/>
    <w:rsid w:val="007B5140"/>
    <w:rsid w:val="007B59D0"/>
    <w:rsid w:val="007B73FE"/>
    <w:rsid w:val="007C2FF7"/>
    <w:rsid w:val="007C31C9"/>
    <w:rsid w:val="007C376E"/>
    <w:rsid w:val="007C4D14"/>
    <w:rsid w:val="007C58FB"/>
    <w:rsid w:val="007C5F60"/>
    <w:rsid w:val="007C6905"/>
    <w:rsid w:val="007C78A7"/>
    <w:rsid w:val="007D05E3"/>
    <w:rsid w:val="007D0CC9"/>
    <w:rsid w:val="007D204A"/>
    <w:rsid w:val="007D2F3A"/>
    <w:rsid w:val="007D3B18"/>
    <w:rsid w:val="007D6275"/>
    <w:rsid w:val="007D7A40"/>
    <w:rsid w:val="007E0A36"/>
    <w:rsid w:val="007E114B"/>
    <w:rsid w:val="007E1E41"/>
    <w:rsid w:val="007E2BE4"/>
    <w:rsid w:val="007E33F2"/>
    <w:rsid w:val="007E5138"/>
    <w:rsid w:val="007E519A"/>
    <w:rsid w:val="007E548F"/>
    <w:rsid w:val="007E653A"/>
    <w:rsid w:val="007E66A4"/>
    <w:rsid w:val="007F22C7"/>
    <w:rsid w:val="007F4AAF"/>
    <w:rsid w:val="007F4EC4"/>
    <w:rsid w:val="007F535C"/>
    <w:rsid w:val="007F5553"/>
    <w:rsid w:val="007F5896"/>
    <w:rsid w:val="007F5DA0"/>
    <w:rsid w:val="00801D7B"/>
    <w:rsid w:val="0080502B"/>
    <w:rsid w:val="0080611B"/>
    <w:rsid w:val="00806428"/>
    <w:rsid w:val="00807569"/>
    <w:rsid w:val="00810D45"/>
    <w:rsid w:val="008122E3"/>
    <w:rsid w:val="008124B8"/>
    <w:rsid w:val="00815B37"/>
    <w:rsid w:val="008200FE"/>
    <w:rsid w:val="00820CC0"/>
    <w:rsid w:val="00820D17"/>
    <w:rsid w:val="00822887"/>
    <w:rsid w:val="008235DE"/>
    <w:rsid w:val="00823BE8"/>
    <w:rsid w:val="008266BA"/>
    <w:rsid w:val="00830392"/>
    <w:rsid w:val="008303B0"/>
    <w:rsid w:val="008342E2"/>
    <w:rsid w:val="00834F7B"/>
    <w:rsid w:val="008351B9"/>
    <w:rsid w:val="00835713"/>
    <w:rsid w:val="00835D94"/>
    <w:rsid w:val="00837CE8"/>
    <w:rsid w:val="00841B02"/>
    <w:rsid w:val="00843742"/>
    <w:rsid w:val="00845656"/>
    <w:rsid w:val="00846F94"/>
    <w:rsid w:val="00847030"/>
    <w:rsid w:val="00847AE4"/>
    <w:rsid w:val="0085183B"/>
    <w:rsid w:val="00852050"/>
    <w:rsid w:val="0085316B"/>
    <w:rsid w:val="008532B3"/>
    <w:rsid w:val="0085441D"/>
    <w:rsid w:val="008545B0"/>
    <w:rsid w:val="0086209A"/>
    <w:rsid w:val="00864579"/>
    <w:rsid w:val="00864A46"/>
    <w:rsid w:val="00865776"/>
    <w:rsid w:val="008661C5"/>
    <w:rsid w:val="00866FDC"/>
    <w:rsid w:val="00870228"/>
    <w:rsid w:val="008734B1"/>
    <w:rsid w:val="00873ECA"/>
    <w:rsid w:val="00874BC4"/>
    <w:rsid w:val="00877FBD"/>
    <w:rsid w:val="00880632"/>
    <w:rsid w:val="008812F2"/>
    <w:rsid w:val="008815E3"/>
    <w:rsid w:val="00882C8C"/>
    <w:rsid w:val="00883E96"/>
    <w:rsid w:val="00884523"/>
    <w:rsid w:val="0088585E"/>
    <w:rsid w:val="00885F50"/>
    <w:rsid w:val="0089003A"/>
    <w:rsid w:val="0089056C"/>
    <w:rsid w:val="0089232D"/>
    <w:rsid w:val="008930F0"/>
    <w:rsid w:val="00893A9C"/>
    <w:rsid w:val="00893EF0"/>
    <w:rsid w:val="00895B11"/>
    <w:rsid w:val="008960B4"/>
    <w:rsid w:val="00896526"/>
    <w:rsid w:val="00897C2F"/>
    <w:rsid w:val="008A0C45"/>
    <w:rsid w:val="008A2467"/>
    <w:rsid w:val="008A2D61"/>
    <w:rsid w:val="008A5615"/>
    <w:rsid w:val="008A60FD"/>
    <w:rsid w:val="008A65DF"/>
    <w:rsid w:val="008A6F3C"/>
    <w:rsid w:val="008A7732"/>
    <w:rsid w:val="008B15D0"/>
    <w:rsid w:val="008B59FB"/>
    <w:rsid w:val="008B639C"/>
    <w:rsid w:val="008B697B"/>
    <w:rsid w:val="008B6C9F"/>
    <w:rsid w:val="008B7930"/>
    <w:rsid w:val="008C2119"/>
    <w:rsid w:val="008C2ABC"/>
    <w:rsid w:val="008C4B6C"/>
    <w:rsid w:val="008C63F4"/>
    <w:rsid w:val="008C68FF"/>
    <w:rsid w:val="008C782A"/>
    <w:rsid w:val="008D0139"/>
    <w:rsid w:val="008D109D"/>
    <w:rsid w:val="008D1592"/>
    <w:rsid w:val="008D1E4E"/>
    <w:rsid w:val="008D2360"/>
    <w:rsid w:val="008D23A4"/>
    <w:rsid w:val="008D257F"/>
    <w:rsid w:val="008D3024"/>
    <w:rsid w:val="008D67DC"/>
    <w:rsid w:val="008D695A"/>
    <w:rsid w:val="008E0640"/>
    <w:rsid w:val="008E0D10"/>
    <w:rsid w:val="008E190F"/>
    <w:rsid w:val="008E2BAE"/>
    <w:rsid w:val="008E46A3"/>
    <w:rsid w:val="008E58F8"/>
    <w:rsid w:val="008E642F"/>
    <w:rsid w:val="008E6859"/>
    <w:rsid w:val="008E6AFC"/>
    <w:rsid w:val="008E799C"/>
    <w:rsid w:val="008E7CAD"/>
    <w:rsid w:val="008F2C73"/>
    <w:rsid w:val="008F32AD"/>
    <w:rsid w:val="008F586F"/>
    <w:rsid w:val="008F716B"/>
    <w:rsid w:val="0090031B"/>
    <w:rsid w:val="00900446"/>
    <w:rsid w:val="00900A82"/>
    <w:rsid w:val="00902526"/>
    <w:rsid w:val="00902A9B"/>
    <w:rsid w:val="009041E1"/>
    <w:rsid w:val="009042AA"/>
    <w:rsid w:val="00905524"/>
    <w:rsid w:val="00905C3A"/>
    <w:rsid w:val="0090699A"/>
    <w:rsid w:val="00906A6A"/>
    <w:rsid w:val="00906B4E"/>
    <w:rsid w:val="009071F8"/>
    <w:rsid w:val="00907312"/>
    <w:rsid w:val="00910AB9"/>
    <w:rsid w:val="0091537F"/>
    <w:rsid w:val="00916F3E"/>
    <w:rsid w:val="00917080"/>
    <w:rsid w:val="009205D7"/>
    <w:rsid w:val="00923A61"/>
    <w:rsid w:val="0092550A"/>
    <w:rsid w:val="00926146"/>
    <w:rsid w:val="00927A6A"/>
    <w:rsid w:val="00927F69"/>
    <w:rsid w:val="009306C5"/>
    <w:rsid w:val="00930813"/>
    <w:rsid w:val="009316F8"/>
    <w:rsid w:val="009317A5"/>
    <w:rsid w:val="00931A7D"/>
    <w:rsid w:val="00932507"/>
    <w:rsid w:val="00934088"/>
    <w:rsid w:val="0093442F"/>
    <w:rsid w:val="009345CF"/>
    <w:rsid w:val="00941BA6"/>
    <w:rsid w:val="00941E56"/>
    <w:rsid w:val="00941EF9"/>
    <w:rsid w:val="009422A8"/>
    <w:rsid w:val="00942717"/>
    <w:rsid w:val="00942FBB"/>
    <w:rsid w:val="009440AA"/>
    <w:rsid w:val="009466DB"/>
    <w:rsid w:val="00946743"/>
    <w:rsid w:val="00947877"/>
    <w:rsid w:val="00950E01"/>
    <w:rsid w:val="00951984"/>
    <w:rsid w:val="00951F47"/>
    <w:rsid w:val="009524C0"/>
    <w:rsid w:val="00953FCB"/>
    <w:rsid w:val="00954B9D"/>
    <w:rsid w:val="00955265"/>
    <w:rsid w:val="009576FD"/>
    <w:rsid w:val="0096059E"/>
    <w:rsid w:val="009605D7"/>
    <w:rsid w:val="0096133F"/>
    <w:rsid w:val="009616FA"/>
    <w:rsid w:val="00962C8C"/>
    <w:rsid w:val="00962CB4"/>
    <w:rsid w:val="00965CD3"/>
    <w:rsid w:val="009669DC"/>
    <w:rsid w:val="00970569"/>
    <w:rsid w:val="00971275"/>
    <w:rsid w:val="00972C45"/>
    <w:rsid w:val="009745FD"/>
    <w:rsid w:val="00974F55"/>
    <w:rsid w:val="009751D2"/>
    <w:rsid w:val="009754D7"/>
    <w:rsid w:val="009754F4"/>
    <w:rsid w:val="00977475"/>
    <w:rsid w:val="00983182"/>
    <w:rsid w:val="00984189"/>
    <w:rsid w:val="009919E7"/>
    <w:rsid w:val="009929C0"/>
    <w:rsid w:val="009A0599"/>
    <w:rsid w:val="009A1C63"/>
    <w:rsid w:val="009A51D1"/>
    <w:rsid w:val="009A60B8"/>
    <w:rsid w:val="009B0411"/>
    <w:rsid w:val="009B13A4"/>
    <w:rsid w:val="009B3B3C"/>
    <w:rsid w:val="009B54C9"/>
    <w:rsid w:val="009B638B"/>
    <w:rsid w:val="009B7275"/>
    <w:rsid w:val="009C19AD"/>
    <w:rsid w:val="009C3860"/>
    <w:rsid w:val="009C3E27"/>
    <w:rsid w:val="009C4A50"/>
    <w:rsid w:val="009C4B20"/>
    <w:rsid w:val="009C6A9D"/>
    <w:rsid w:val="009D14D4"/>
    <w:rsid w:val="009D2384"/>
    <w:rsid w:val="009D3819"/>
    <w:rsid w:val="009D3FFF"/>
    <w:rsid w:val="009D5631"/>
    <w:rsid w:val="009D6E37"/>
    <w:rsid w:val="009E2C40"/>
    <w:rsid w:val="009E5039"/>
    <w:rsid w:val="009E550A"/>
    <w:rsid w:val="009E557C"/>
    <w:rsid w:val="009E69E7"/>
    <w:rsid w:val="009E6A44"/>
    <w:rsid w:val="009F0BC2"/>
    <w:rsid w:val="009F2CD5"/>
    <w:rsid w:val="009F323A"/>
    <w:rsid w:val="009F4422"/>
    <w:rsid w:val="009F6243"/>
    <w:rsid w:val="009F75AD"/>
    <w:rsid w:val="009F7DC8"/>
    <w:rsid w:val="00A00031"/>
    <w:rsid w:val="00A03E83"/>
    <w:rsid w:val="00A0513B"/>
    <w:rsid w:val="00A05D20"/>
    <w:rsid w:val="00A07EFB"/>
    <w:rsid w:val="00A10643"/>
    <w:rsid w:val="00A14EC3"/>
    <w:rsid w:val="00A16B9F"/>
    <w:rsid w:val="00A16BF4"/>
    <w:rsid w:val="00A22149"/>
    <w:rsid w:val="00A23ED0"/>
    <w:rsid w:val="00A23F1C"/>
    <w:rsid w:val="00A257F4"/>
    <w:rsid w:val="00A27DDD"/>
    <w:rsid w:val="00A30E08"/>
    <w:rsid w:val="00A31739"/>
    <w:rsid w:val="00A325F2"/>
    <w:rsid w:val="00A32F55"/>
    <w:rsid w:val="00A33055"/>
    <w:rsid w:val="00A34750"/>
    <w:rsid w:val="00A34BF2"/>
    <w:rsid w:val="00A35641"/>
    <w:rsid w:val="00A35FA9"/>
    <w:rsid w:val="00A36209"/>
    <w:rsid w:val="00A3668D"/>
    <w:rsid w:val="00A36B43"/>
    <w:rsid w:val="00A36E15"/>
    <w:rsid w:val="00A370BD"/>
    <w:rsid w:val="00A37962"/>
    <w:rsid w:val="00A41D06"/>
    <w:rsid w:val="00A4253A"/>
    <w:rsid w:val="00A42F3D"/>
    <w:rsid w:val="00A451B3"/>
    <w:rsid w:val="00A50644"/>
    <w:rsid w:val="00A50C9E"/>
    <w:rsid w:val="00A50DC8"/>
    <w:rsid w:val="00A511F1"/>
    <w:rsid w:val="00A51537"/>
    <w:rsid w:val="00A5167F"/>
    <w:rsid w:val="00A531A1"/>
    <w:rsid w:val="00A53BF6"/>
    <w:rsid w:val="00A540B7"/>
    <w:rsid w:val="00A55A8D"/>
    <w:rsid w:val="00A55E6E"/>
    <w:rsid w:val="00A5647F"/>
    <w:rsid w:val="00A567F3"/>
    <w:rsid w:val="00A57286"/>
    <w:rsid w:val="00A57F94"/>
    <w:rsid w:val="00A60B53"/>
    <w:rsid w:val="00A6285E"/>
    <w:rsid w:val="00A643B1"/>
    <w:rsid w:val="00A657E5"/>
    <w:rsid w:val="00A659F0"/>
    <w:rsid w:val="00A66060"/>
    <w:rsid w:val="00A6616B"/>
    <w:rsid w:val="00A66C84"/>
    <w:rsid w:val="00A679ED"/>
    <w:rsid w:val="00A70220"/>
    <w:rsid w:val="00A711A2"/>
    <w:rsid w:val="00A712E7"/>
    <w:rsid w:val="00A71578"/>
    <w:rsid w:val="00A71B4E"/>
    <w:rsid w:val="00A72866"/>
    <w:rsid w:val="00A73165"/>
    <w:rsid w:val="00A731C8"/>
    <w:rsid w:val="00A73244"/>
    <w:rsid w:val="00A732DD"/>
    <w:rsid w:val="00A73A41"/>
    <w:rsid w:val="00A742F0"/>
    <w:rsid w:val="00A75B9B"/>
    <w:rsid w:val="00A77A99"/>
    <w:rsid w:val="00A82DB0"/>
    <w:rsid w:val="00A83B60"/>
    <w:rsid w:val="00A86869"/>
    <w:rsid w:val="00A86970"/>
    <w:rsid w:val="00A900E3"/>
    <w:rsid w:val="00A90E58"/>
    <w:rsid w:val="00A91763"/>
    <w:rsid w:val="00A92659"/>
    <w:rsid w:val="00A92AB9"/>
    <w:rsid w:val="00A92BA2"/>
    <w:rsid w:val="00A93909"/>
    <w:rsid w:val="00A95615"/>
    <w:rsid w:val="00AA057A"/>
    <w:rsid w:val="00AA15E6"/>
    <w:rsid w:val="00AA4667"/>
    <w:rsid w:val="00AA5EAC"/>
    <w:rsid w:val="00AA7200"/>
    <w:rsid w:val="00AA7E69"/>
    <w:rsid w:val="00AB38A5"/>
    <w:rsid w:val="00AB3B85"/>
    <w:rsid w:val="00AB3F41"/>
    <w:rsid w:val="00AB7063"/>
    <w:rsid w:val="00AB73CF"/>
    <w:rsid w:val="00AB7457"/>
    <w:rsid w:val="00AB7CBF"/>
    <w:rsid w:val="00AC041B"/>
    <w:rsid w:val="00AC0546"/>
    <w:rsid w:val="00AC0FC2"/>
    <w:rsid w:val="00AC1684"/>
    <w:rsid w:val="00AC318D"/>
    <w:rsid w:val="00AC4003"/>
    <w:rsid w:val="00AC4F1E"/>
    <w:rsid w:val="00AC6DCE"/>
    <w:rsid w:val="00AD0BAB"/>
    <w:rsid w:val="00AD0BD3"/>
    <w:rsid w:val="00AD1817"/>
    <w:rsid w:val="00AD187F"/>
    <w:rsid w:val="00AD37C4"/>
    <w:rsid w:val="00AD38B7"/>
    <w:rsid w:val="00AD48BC"/>
    <w:rsid w:val="00AD58C8"/>
    <w:rsid w:val="00AD6910"/>
    <w:rsid w:val="00AD74D3"/>
    <w:rsid w:val="00AE0C12"/>
    <w:rsid w:val="00AE1DC1"/>
    <w:rsid w:val="00AE611A"/>
    <w:rsid w:val="00AE7792"/>
    <w:rsid w:val="00AF0045"/>
    <w:rsid w:val="00AF012C"/>
    <w:rsid w:val="00AF2C52"/>
    <w:rsid w:val="00AF2F47"/>
    <w:rsid w:val="00AF33D2"/>
    <w:rsid w:val="00AF3EE4"/>
    <w:rsid w:val="00AF41CA"/>
    <w:rsid w:val="00AF491E"/>
    <w:rsid w:val="00AF4B81"/>
    <w:rsid w:val="00AF63A4"/>
    <w:rsid w:val="00AF6EC8"/>
    <w:rsid w:val="00AF70EA"/>
    <w:rsid w:val="00AF73CB"/>
    <w:rsid w:val="00B02DF2"/>
    <w:rsid w:val="00B0371E"/>
    <w:rsid w:val="00B045EF"/>
    <w:rsid w:val="00B04BEF"/>
    <w:rsid w:val="00B05FB3"/>
    <w:rsid w:val="00B06B86"/>
    <w:rsid w:val="00B078DC"/>
    <w:rsid w:val="00B07F16"/>
    <w:rsid w:val="00B12739"/>
    <w:rsid w:val="00B128DA"/>
    <w:rsid w:val="00B13496"/>
    <w:rsid w:val="00B14384"/>
    <w:rsid w:val="00B14F37"/>
    <w:rsid w:val="00B16661"/>
    <w:rsid w:val="00B167CC"/>
    <w:rsid w:val="00B17B01"/>
    <w:rsid w:val="00B2099A"/>
    <w:rsid w:val="00B22569"/>
    <w:rsid w:val="00B23DC4"/>
    <w:rsid w:val="00B23F8D"/>
    <w:rsid w:val="00B24E2E"/>
    <w:rsid w:val="00B2510B"/>
    <w:rsid w:val="00B27900"/>
    <w:rsid w:val="00B31380"/>
    <w:rsid w:val="00B32897"/>
    <w:rsid w:val="00B36BD1"/>
    <w:rsid w:val="00B37A71"/>
    <w:rsid w:val="00B40DEF"/>
    <w:rsid w:val="00B40E88"/>
    <w:rsid w:val="00B41D1D"/>
    <w:rsid w:val="00B43475"/>
    <w:rsid w:val="00B43F67"/>
    <w:rsid w:val="00B441B3"/>
    <w:rsid w:val="00B4423E"/>
    <w:rsid w:val="00B45509"/>
    <w:rsid w:val="00B45693"/>
    <w:rsid w:val="00B46B69"/>
    <w:rsid w:val="00B51060"/>
    <w:rsid w:val="00B52581"/>
    <w:rsid w:val="00B5298A"/>
    <w:rsid w:val="00B52EAD"/>
    <w:rsid w:val="00B5317F"/>
    <w:rsid w:val="00B541FA"/>
    <w:rsid w:val="00B550DE"/>
    <w:rsid w:val="00B5656E"/>
    <w:rsid w:val="00B57F5E"/>
    <w:rsid w:val="00B605B6"/>
    <w:rsid w:val="00B610C4"/>
    <w:rsid w:val="00B617CB"/>
    <w:rsid w:val="00B61926"/>
    <w:rsid w:val="00B61C00"/>
    <w:rsid w:val="00B63C05"/>
    <w:rsid w:val="00B64297"/>
    <w:rsid w:val="00B6481C"/>
    <w:rsid w:val="00B65831"/>
    <w:rsid w:val="00B7253B"/>
    <w:rsid w:val="00B72938"/>
    <w:rsid w:val="00B7490D"/>
    <w:rsid w:val="00B74CD8"/>
    <w:rsid w:val="00B773EB"/>
    <w:rsid w:val="00B8135E"/>
    <w:rsid w:val="00B837BA"/>
    <w:rsid w:val="00B83957"/>
    <w:rsid w:val="00B83CB5"/>
    <w:rsid w:val="00B84D62"/>
    <w:rsid w:val="00B851C6"/>
    <w:rsid w:val="00B85240"/>
    <w:rsid w:val="00B85793"/>
    <w:rsid w:val="00B9327E"/>
    <w:rsid w:val="00B9356F"/>
    <w:rsid w:val="00B97898"/>
    <w:rsid w:val="00BA0CE7"/>
    <w:rsid w:val="00BA1CB0"/>
    <w:rsid w:val="00BA273D"/>
    <w:rsid w:val="00BA4CFC"/>
    <w:rsid w:val="00BA52D9"/>
    <w:rsid w:val="00BA632E"/>
    <w:rsid w:val="00BB0715"/>
    <w:rsid w:val="00BB2ED2"/>
    <w:rsid w:val="00BB3CEB"/>
    <w:rsid w:val="00BB4BBF"/>
    <w:rsid w:val="00BB4DBB"/>
    <w:rsid w:val="00BB688C"/>
    <w:rsid w:val="00BB68E1"/>
    <w:rsid w:val="00BB759A"/>
    <w:rsid w:val="00BB7D64"/>
    <w:rsid w:val="00BB7DCB"/>
    <w:rsid w:val="00BC153F"/>
    <w:rsid w:val="00BC1D71"/>
    <w:rsid w:val="00BC53C2"/>
    <w:rsid w:val="00BC682A"/>
    <w:rsid w:val="00BD13A9"/>
    <w:rsid w:val="00BD1EB0"/>
    <w:rsid w:val="00BD200C"/>
    <w:rsid w:val="00BD349C"/>
    <w:rsid w:val="00BD4CCD"/>
    <w:rsid w:val="00BD5093"/>
    <w:rsid w:val="00BD6B48"/>
    <w:rsid w:val="00BE0FB0"/>
    <w:rsid w:val="00BE1134"/>
    <w:rsid w:val="00BE13E4"/>
    <w:rsid w:val="00BE3A7A"/>
    <w:rsid w:val="00BE4450"/>
    <w:rsid w:val="00BF1A5E"/>
    <w:rsid w:val="00BF215B"/>
    <w:rsid w:val="00BF47F9"/>
    <w:rsid w:val="00BF511E"/>
    <w:rsid w:val="00BF55BE"/>
    <w:rsid w:val="00BF596F"/>
    <w:rsid w:val="00C01FE4"/>
    <w:rsid w:val="00C02354"/>
    <w:rsid w:val="00C04ADF"/>
    <w:rsid w:val="00C04E86"/>
    <w:rsid w:val="00C05B69"/>
    <w:rsid w:val="00C071C4"/>
    <w:rsid w:val="00C10D04"/>
    <w:rsid w:val="00C11275"/>
    <w:rsid w:val="00C112A8"/>
    <w:rsid w:val="00C113A8"/>
    <w:rsid w:val="00C149AB"/>
    <w:rsid w:val="00C22C19"/>
    <w:rsid w:val="00C232D7"/>
    <w:rsid w:val="00C26EA4"/>
    <w:rsid w:val="00C279F7"/>
    <w:rsid w:val="00C3020C"/>
    <w:rsid w:val="00C3121F"/>
    <w:rsid w:val="00C32D3D"/>
    <w:rsid w:val="00C34D4B"/>
    <w:rsid w:val="00C366D7"/>
    <w:rsid w:val="00C37061"/>
    <w:rsid w:val="00C416AF"/>
    <w:rsid w:val="00C426B9"/>
    <w:rsid w:val="00C43645"/>
    <w:rsid w:val="00C445C8"/>
    <w:rsid w:val="00C455A8"/>
    <w:rsid w:val="00C46201"/>
    <w:rsid w:val="00C464BC"/>
    <w:rsid w:val="00C474ED"/>
    <w:rsid w:val="00C52A08"/>
    <w:rsid w:val="00C5516D"/>
    <w:rsid w:val="00C56DAC"/>
    <w:rsid w:val="00C626D7"/>
    <w:rsid w:val="00C637D7"/>
    <w:rsid w:val="00C66195"/>
    <w:rsid w:val="00C6664B"/>
    <w:rsid w:val="00C67E8E"/>
    <w:rsid w:val="00C7161B"/>
    <w:rsid w:val="00C71A0F"/>
    <w:rsid w:val="00C71B2F"/>
    <w:rsid w:val="00C74973"/>
    <w:rsid w:val="00C75540"/>
    <w:rsid w:val="00C75D70"/>
    <w:rsid w:val="00C77E15"/>
    <w:rsid w:val="00C8043D"/>
    <w:rsid w:val="00C80BA4"/>
    <w:rsid w:val="00C812D1"/>
    <w:rsid w:val="00C83093"/>
    <w:rsid w:val="00C845F6"/>
    <w:rsid w:val="00C858F2"/>
    <w:rsid w:val="00C87884"/>
    <w:rsid w:val="00C90A03"/>
    <w:rsid w:val="00C92E31"/>
    <w:rsid w:val="00C9452E"/>
    <w:rsid w:val="00C97057"/>
    <w:rsid w:val="00C9772D"/>
    <w:rsid w:val="00CA1A31"/>
    <w:rsid w:val="00CA1B39"/>
    <w:rsid w:val="00CA2650"/>
    <w:rsid w:val="00CA3D99"/>
    <w:rsid w:val="00CA3DA5"/>
    <w:rsid w:val="00CA44DD"/>
    <w:rsid w:val="00CB2D48"/>
    <w:rsid w:val="00CB37DC"/>
    <w:rsid w:val="00CB4B4F"/>
    <w:rsid w:val="00CC102C"/>
    <w:rsid w:val="00CC164B"/>
    <w:rsid w:val="00CC33FA"/>
    <w:rsid w:val="00CC4CDB"/>
    <w:rsid w:val="00CC765A"/>
    <w:rsid w:val="00CC7E56"/>
    <w:rsid w:val="00CD2328"/>
    <w:rsid w:val="00CD31DE"/>
    <w:rsid w:val="00CD34BC"/>
    <w:rsid w:val="00CD5209"/>
    <w:rsid w:val="00CD575C"/>
    <w:rsid w:val="00CD5BD4"/>
    <w:rsid w:val="00CD60B6"/>
    <w:rsid w:val="00CD6FB9"/>
    <w:rsid w:val="00CD7537"/>
    <w:rsid w:val="00CE305E"/>
    <w:rsid w:val="00CE41F3"/>
    <w:rsid w:val="00CE50EB"/>
    <w:rsid w:val="00CE6F91"/>
    <w:rsid w:val="00CF1F90"/>
    <w:rsid w:val="00CF30A4"/>
    <w:rsid w:val="00CF6F91"/>
    <w:rsid w:val="00D019F3"/>
    <w:rsid w:val="00D02BF2"/>
    <w:rsid w:val="00D03EBF"/>
    <w:rsid w:val="00D05D58"/>
    <w:rsid w:val="00D12278"/>
    <w:rsid w:val="00D127B2"/>
    <w:rsid w:val="00D130B9"/>
    <w:rsid w:val="00D15092"/>
    <w:rsid w:val="00D171A4"/>
    <w:rsid w:val="00D212FD"/>
    <w:rsid w:val="00D21E88"/>
    <w:rsid w:val="00D22B47"/>
    <w:rsid w:val="00D22DDF"/>
    <w:rsid w:val="00D231CD"/>
    <w:rsid w:val="00D2384E"/>
    <w:rsid w:val="00D248BE"/>
    <w:rsid w:val="00D258BB"/>
    <w:rsid w:val="00D2717E"/>
    <w:rsid w:val="00D33BB9"/>
    <w:rsid w:val="00D34724"/>
    <w:rsid w:val="00D353C5"/>
    <w:rsid w:val="00D37D42"/>
    <w:rsid w:val="00D412C8"/>
    <w:rsid w:val="00D43A62"/>
    <w:rsid w:val="00D44F6D"/>
    <w:rsid w:val="00D468BF"/>
    <w:rsid w:val="00D50981"/>
    <w:rsid w:val="00D51D58"/>
    <w:rsid w:val="00D53493"/>
    <w:rsid w:val="00D54594"/>
    <w:rsid w:val="00D60042"/>
    <w:rsid w:val="00D60366"/>
    <w:rsid w:val="00D610F0"/>
    <w:rsid w:val="00D612D4"/>
    <w:rsid w:val="00D6142B"/>
    <w:rsid w:val="00D61D38"/>
    <w:rsid w:val="00D62249"/>
    <w:rsid w:val="00D62490"/>
    <w:rsid w:val="00D6379C"/>
    <w:rsid w:val="00D6433C"/>
    <w:rsid w:val="00D66034"/>
    <w:rsid w:val="00D664A9"/>
    <w:rsid w:val="00D70DEB"/>
    <w:rsid w:val="00D718CD"/>
    <w:rsid w:val="00D7322D"/>
    <w:rsid w:val="00D74F58"/>
    <w:rsid w:val="00D76200"/>
    <w:rsid w:val="00D77518"/>
    <w:rsid w:val="00D77C57"/>
    <w:rsid w:val="00D77FE9"/>
    <w:rsid w:val="00D80941"/>
    <w:rsid w:val="00D810CA"/>
    <w:rsid w:val="00D81255"/>
    <w:rsid w:val="00D81470"/>
    <w:rsid w:val="00D83735"/>
    <w:rsid w:val="00D8386F"/>
    <w:rsid w:val="00D8450F"/>
    <w:rsid w:val="00D8640F"/>
    <w:rsid w:val="00D86E56"/>
    <w:rsid w:val="00D879B2"/>
    <w:rsid w:val="00D91773"/>
    <w:rsid w:val="00D92CE1"/>
    <w:rsid w:val="00D93EEF"/>
    <w:rsid w:val="00D94655"/>
    <w:rsid w:val="00D95B25"/>
    <w:rsid w:val="00D96B7D"/>
    <w:rsid w:val="00DA7232"/>
    <w:rsid w:val="00DB3FCA"/>
    <w:rsid w:val="00DB51B2"/>
    <w:rsid w:val="00DB7DA9"/>
    <w:rsid w:val="00DB7E96"/>
    <w:rsid w:val="00DC0DAE"/>
    <w:rsid w:val="00DC1271"/>
    <w:rsid w:val="00DC2D42"/>
    <w:rsid w:val="00DC37B1"/>
    <w:rsid w:val="00DC41AD"/>
    <w:rsid w:val="00DC47C3"/>
    <w:rsid w:val="00DC4EF6"/>
    <w:rsid w:val="00DD04E1"/>
    <w:rsid w:val="00DD0841"/>
    <w:rsid w:val="00DD0947"/>
    <w:rsid w:val="00DD15E0"/>
    <w:rsid w:val="00DD20F4"/>
    <w:rsid w:val="00DD24CE"/>
    <w:rsid w:val="00DD411D"/>
    <w:rsid w:val="00DD5368"/>
    <w:rsid w:val="00DD561F"/>
    <w:rsid w:val="00DE4250"/>
    <w:rsid w:val="00DE4664"/>
    <w:rsid w:val="00DE4FAA"/>
    <w:rsid w:val="00DE5397"/>
    <w:rsid w:val="00DE5CBB"/>
    <w:rsid w:val="00DE7B6D"/>
    <w:rsid w:val="00DF049D"/>
    <w:rsid w:val="00DF0B9D"/>
    <w:rsid w:val="00DF3BCD"/>
    <w:rsid w:val="00DF5E28"/>
    <w:rsid w:val="00DF6406"/>
    <w:rsid w:val="00E000E8"/>
    <w:rsid w:val="00E00F6E"/>
    <w:rsid w:val="00E0153B"/>
    <w:rsid w:val="00E017CC"/>
    <w:rsid w:val="00E02F9A"/>
    <w:rsid w:val="00E03C47"/>
    <w:rsid w:val="00E03CBD"/>
    <w:rsid w:val="00E049EA"/>
    <w:rsid w:val="00E04E76"/>
    <w:rsid w:val="00E04F55"/>
    <w:rsid w:val="00E060FD"/>
    <w:rsid w:val="00E103F5"/>
    <w:rsid w:val="00E129A0"/>
    <w:rsid w:val="00E139B3"/>
    <w:rsid w:val="00E156D8"/>
    <w:rsid w:val="00E1670E"/>
    <w:rsid w:val="00E21F58"/>
    <w:rsid w:val="00E24D1E"/>
    <w:rsid w:val="00E26DC0"/>
    <w:rsid w:val="00E27795"/>
    <w:rsid w:val="00E27D77"/>
    <w:rsid w:val="00E320C7"/>
    <w:rsid w:val="00E36653"/>
    <w:rsid w:val="00E402B9"/>
    <w:rsid w:val="00E40625"/>
    <w:rsid w:val="00E40B84"/>
    <w:rsid w:val="00E40CD6"/>
    <w:rsid w:val="00E40D72"/>
    <w:rsid w:val="00E41716"/>
    <w:rsid w:val="00E41D1D"/>
    <w:rsid w:val="00E43C22"/>
    <w:rsid w:val="00E442CE"/>
    <w:rsid w:val="00E442FF"/>
    <w:rsid w:val="00E46C43"/>
    <w:rsid w:val="00E511CC"/>
    <w:rsid w:val="00E5168D"/>
    <w:rsid w:val="00E523E5"/>
    <w:rsid w:val="00E53073"/>
    <w:rsid w:val="00E541D3"/>
    <w:rsid w:val="00E54F13"/>
    <w:rsid w:val="00E554D8"/>
    <w:rsid w:val="00E56295"/>
    <w:rsid w:val="00E5690D"/>
    <w:rsid w:val="00E57399"/>
    <w:rsid w:val="00E57698"/>
    <w:rsid w:val="00E606F1"/>
    <w:rsid w:val="00E616C1"/>
    <w:rsid w:val="00E62109"/>
    <w:rsid w:val="00E622B4"/>
    <w:rsid w:val="00E62304"/>
    <w:rsid w:val="00E63327"/>
    <w:rsid w:val="00E63905"/>
    <w:rsid w:val="00E6407E"/>
    <w:rsid w:val="00E645D2"/>
    <w:rsid w:val="00E650B1"/>
    <w:rsid w:val="00E650D0"/>
    <w:rsid w:val="00E70430"/>
    <w:rsid w:val="00E7248E"/>
    <w:rsid w:val="00E75558"/>
    <w:rsid w:val="00E801A5"/>
    <w:rsid w:val="00E8025E"/>
    <w:rsid w:val="00E854B6"/>
    <w:rsid w:val="00E86075"/>
    <w:rsid w:val="00E867F7"/>
    <w:rsid w:val="00E9069C"/>
    <w:rsid w:val="00E91387"/>
    <w:rsid w:val="00E91ABE"/>
    <w:rsid w:val="00E936AC"/>
    <w:rsid w:val="00E951EC"/>
    <w:rsid w:val="00E95397"/>
    <w:rsid w:val="00EA04FA"/>
    <w:rsid w:val="00EA1A3B"/>
    <w:rsid w:val="00EA347B"/>
    <w:rsid w:val="00EA3B59"/>
    <w:rsid w:val="00EA3C78"/>
    <w:rsid w:val="00EA54D7"/>
    <w:rsid w:val="00EA6522"/>
    <w:rsid w:val="00EA7230"/>
    <w:rsid w:val="00EA76CD"/>
    <w:rsid w:val="00EB0248"/>
    <w:rsid w:val="00EB07E9"/>
    <w:rsid w:val="00EB08B5"/>
    <w:rsid w:val="00EB0ABA"/>
    <w:rsid w:val="00EB0F9F"/>
    <w:rsid w:val="00EB42BC"/>
    <w:rsid w:val="00EB449A"/>
    <w:rsid w:val="00EB4CC2"/>
    <w:rsid w:val="00EB544D"/>
    <w:rsid w:val="00EB625B"/>
    <w:rsid w:val="00EB6AAE"/>
    <w:rsid w:val="00EB7D01"/>
    <w:rsid w:val="00EC2770"/>
    <w:rsid w:val="00EC3A45"/>
    <w:rsid w:val="00EC605E"/>
    <w:rsid w:val="00EC77A4"/>
    <w:rsid w:val="00ED18C7"/>
    <w:rsid w:val="00ED1BF6"/>
    <w:rsid w:val="00ED2077"/>
    <w:rsid w:val="00ED2519"/>
    <w:rsid w:val="00ED2EC2"/>
    <w:rsid w:val="00ED3287"/>
    <w:rsid w:val="00ED4363"/>
    <w:rsid w:val="00ED448F"/>
    <w:rsid w:val="00ED44F7"/>
    <w:rsid w:val="00ED5FF7"/>
    <w:rsid w:val="00ED783D"/>
    <w:rsid w:val="00ED7D8B"/>
    <w:rsid w:val="00EE1668"/>
    <w:rsid w:val="00EE1AD3"/>
    <w:rsid w:val="00EE2D6F"/>
    <w:rsid w:val="00EE515B"/>
    <w:rsid w:val="00EE5DF4"/>
    <w:rsid w:val="00EE7C0A"/>
    <w:rsid w:val="00EF08B4"/>
    <w:rsid w:val="00EF0BCC"/>
    <w:rsid w:val="00EF1AC6"/>
    <w:rsid w:val="00EF43E2"/>
    <w:rsid w:val="00EF61C6"/>
    <w:rsid w:val="00EF689B"/>
    <w:rsid w:val="00EF6963"/>
    <w:rsid w:val="00EF7A64"/>
    <w:rsid w:val="00F017D4"/>
    <w:rsid w:val="00F046DE"/>
    <w:rsid w:val="00F048DB"/>
    <w:rsid w:val="00F05767"/>
    <w:rsid w:val="00F06D98"/>
    <w:rsid w:val="00F11511"/>
    <w:rsid w:val="00F14240"/>
    <w:rsid w:val="00F1442B"/>
    <w:rsid w:val="00F15778"/>
    <w:rsid w:val="00F17722"/>
    <w:rsid w:val="00F212BC"/>
    <w:rsid w:val="00F21F1A"/>
    <w:rsid w:val="00F23AA1"/>
    <w:rsid w:val="00F2503C"/>
    <w:rsid w:val="00F251E6"/>
    <w:rsid w:val="00F31D7D"/>
    <w:rsid w:val="00F31EAD"/>
    <w:rsid w:val="00F3264D"/>
    <w:rsid w:val="00F339FB"/>
    <w:rsid w:val="00F33DEC"/>
    <w:rsid w:val="00F3494B"/>
    <w:rsid w:val="00F35CFF"/>
    <w:rsid w:val="00F454D5"/>
    <w:rsid w:val="00F45855"/>
    <w:rsid w:val="00F46EF5"/>
    <w:rsid w:val="00F470FB"/>
    <w:rsid w:val="00F47358"/>
    <w:rsid w:val="00F47990"/>
    <w:rsid w:val="00F504B2"/>
    <w:rsid w:val="00F52A1B"/>
    <w:rsid w:val="00F53484"/>
    <w:rsid w:val="00F5482D"/>
    <w:rsid w:val="00F54B7E"/>
    <w:rsid w:val="00F55D56"/>
    <w:rsid w:val="00F57909"/>
    <w:rsid w:val="00F57973"/>
    <w:rsid w:val="00F61444"/>
    <w:rsid w:val="00F6198B"/>
    <w:rsid w:val="00F650E4"/>
    <w:rsid w:val="00F654B5"/>
    <w:rsid w:val="00F664E7"/>
    <w:rsid w:val="00F66AE0"/>
    <w:rsid w:val="00F67DBA"/>
    <w:rsid w:val="00F703C2"/>
    <w:rsid w:val="00F70BEF"/>
    <w:rsid w:val="00F72E85"/>
    <w:rsid w:val="00F72FAC"/>
    <w:rsid w:val="00F7415D"/>
    <w:rsid w:val="00F755AE"/>
    <w:rsid w:val="00F75D49"/>
    <w:rsid w:val="00F76007"/>
    <w:rsid w:val="00F80D6E"/>
    <w:rsid w:val="00F80DF5"/>
    <w:rsid w:val="00F84D51"/>
    <w:rsid w:val="00F858D9"/>
    <w:rsid w:val="00F9008C"/>
    <w:rsid w:val="00F90A92"/>
    <w:rsid w:val="00F914AB"/>
    <w:rsid w:val="00F91A8C"/>
    <w:rsid w:val="00F9335D"/>
    <w:rsid w:val="00F9467F"/>
    <w:rsid w:val="00F96E35"/>
    <w:rsid w:val="00FA0D55"/>
    <w:rsid w:val="00FA4935"/>
    <w:rsid w:val="00FA4BA6"/>
    <w:rsid w:val="00FA4D46"/>
    <w:rsid w:val="00FA57C6"/>
    <w:rsid w:val="00FA5AF5"/>
    <w:rsid w:val="00FA6F9C"/>
    <w:rsid w:val="00FA71A9"/>
    <w:rsid w:val="00FB0212"/>
    <w:rsid w:val="00FB341D"/>
    <w:rsid w:val="00FB52F6"/>
    <w:rsid w:val="00FB5884"/>
    <w:rsid w:val="00FB78D5"/>
    <w:rsid w:val="00FC03E4"/>
    <w:rsid w:val="00FC18AC"/>
    <w:rsid w:val="00FC20AE"/>
    <w:rsid w:val="00FC32CE"/>
    <w:rsid w:val="00FC3A3A"/>
    <w:rsid w:val="00FC4BCA"/>
    <w:rsid w:val="00FC5E82"/>
    <w:rsid w:val="00FD116C"/>
    <w:rsid w:val="00FD18C1"/>
    <w:rsid w:val="00FD2F9A"/>
    <w:rsid w:val="00FD3C0A"/>
    <w:rsid w:val="00FD508C"/>
    <w:rsid w:val="00FD56DD"/>
    <w:rsid w:val="00FD6E69"/>
    <w:rsid w:val="00FD74BF"/>
    <w:rsid w:val="00FE11A2"/>
    <w:rsid w:val="00FE289C"/>
    <w:rsid w:val="00FF1345"/>
    <w:rsid w:val="00FF30C5"/>
    <w:rsid w:val="00FF3352"/>
    <w:rsid w:val="00FF4705"/>
    <w:rsid w:val="00FF5795"/>
    <w:rsid w:val="00FF5DB2"/>
    <w:rsid w:val="00FF6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E5F7D6"/>
  <w15:chartTrackingRefBased/>
  <w15:docId w15:val="{31836175-0B59-4BA9-870C-D0242C6B7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qFormat="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E6E"/>
    <w:pPr>
      <w:spacing w:after="0" w:line="240" w:lineRule="auto"/>
      <w:jc w:val="both"/>
    </w:pPr>
    <w:rPr>
      <w:rFonts w:ascii="Times New Roman" w:eastAsia="Calibri" w:hAnsi="Times New Roman" w:cs="Times New Roman"/>
      <w:sz w:val="20"/>
      <w:szCs w:val="20"/>
      <w:lang w:val="en-GB"/>
    </w:rPr>
  </w:style>
  <w:style w:type="paragraph" w:styleId="Heading1">
    <w:name w:val="heading 1"/>
    <w:basedOn w:val="Normal"/>
    <w:next w:val="Normal"/>
    <w:link w:val="Heading1Char"/>
    <w:autoRedefine/>
    <w:uiPriority w:val="9"/>
    <w:qFormat/>
    <w:rsid w:val="001426D7"/>
    <w:pPr>
      <w:keepNext/>
      <w:numPr>
        <w:numId w:val="18"/>
      </w:numPr>
      <w:pBdr>
        <w:bottom w:val="single" w:sz="48" w:space="1" w:color="C0C0C0"/>
      </w:pBdr>
      <w:tabs>
        <w:tab w:val="left" w:pos="709"/>
      </w:tabs>
      <w:spacing w:after="240" w:line="360" w:lineRule="auto"/>
      <w:outlineLvl w:val="0"/>
    </w:pPr>
    <w:rPr>
      <w:rFonts w:ascii="Arial" w:hAnsi="Arial" w:cs="Arial"/>
      <w:b/>
      <w:color w:val="1F497D"/>
      <w:sz w:val="22"/>
      <w:szCs w:val="22"/>
      <w:lang w:val="sq-AL" w:eastAsia="it-IT"/>
    </w:rPr>
  </w:style>
  <w:style w:type="paragraph" w:styleId="Heading2">
    <w:name w:val="heading 2"/>
    <w:basedOn w:val="Normal"/>
    <w:next w:val="Normal"/>
    <w:link w:val="Heading2Char"/>
    <w:autoRedefine/>
    <w:uiPriority w:val="9"/>
    <w:qFormat/>
    <w:rsid w:val="00F57909"/>
    <w:pPr>
      <w:keepNext/>
      <w:spacing w:before="120" w:after="120" w:line="360" w:lineRule="auto"/>
      <w:outlineLvl w:val="1"/>
    </w:pPr>
    <w:rPr>
      <w:rFonts w:ascii="Arial" w:hAnsi="Arial" w:cs="Arial"/>
      <w:szCs w:val="22"/>
      <w:lang w:val="sq-AL" w:eastAsia="pl-PL"/>
    </w:rPr>
  </w:style>
  <w:style w:type="paragraph" w:styleId="Heading3">
    <w:name w:val="heading 3"/>
    <w:basedOn w:val="Normal"/>
    <w:next w:val="Normal"/>
    <w:link w:val="Heading3Char"/>
    <w:autoRedefine/>
    <w:uiPriority w:val="9"/>
    <w:qFormat/>
    <w:rsid w:val="007378E8"/>
    <w:pPr>
      <w:keepNext/>
      <w:tabs>
        <w:tab w:val="left" w:pos="567"/>
      </w:tabs>
      <w:spacing w:before="120" w:after="120"/>
      <w:ind w:left="720"/>
      <w:jc w:val="left"/>
      <w:outlineLvl w:val="2"/>
    </w:pPr>
    <w:rPr>
      <w:rFonts w:ascii="Arial" w:hAnsi="Arial" w:cs="Arial"/>
      <w:b/>
      <w:bCs/>
      <w:color w:val="0F243E"/>
      <w:szCs w:val="24"/>
      <w:lang w:val="de-DE" w:eastAsia="it-IT"/>
    </w:rPr>
  </w:style>
  <w:style w:type="paragraph" w:styleId="Heading4">
    <w:name w:val="heading 4"/>
    <w:basedOn w:val="Normal"/>
    <w:next w:val="Normal"/>
    <w:link w:val="Heading4Char"/>
    <w:autoRedefine/>
    <w:uiPriority w:val="9"/>
    <w:qFormat/>
    <w:rsid w:val="00C232D7"/>
    <w:pPr>
      <w:keepNext/>
      <w:keepLines/>
      <w:widowControl w:val="0"/>
      <w:pBdr>
        <w:bottom w:val="single" w:sz="4" w:space="1" w:color="auto"/>
      </w:pBdr>
      <w:adjustRightInd w:val="0"/>
      <w:spacing w:before="360" w:after="120"/>
      <w:textAlignment w:val="baseline"/>
      <w:outlineLvl w:val="3"/>
    </w:pPr>
    <w:rPr>
      <w:rFonts w:eastAsia="Times New Roman"/>
      <w:b/>
      <w:iCs/>
      <w:color w:val="0F243E"/>
      <w:sz w:val="22"/>
      <w:szCs w:val="22"/>
    </w:rPr>
  </w:style>
  <w:style w:type="paragraph" w:styleId="Heading5">
    <w:name w:val="heading 5"/>
    <w:basedOn w:val="Normal"/>
    <w:next w:val="Normal"/>
    <w:link w:val="Heading5Char"/>
    <w:qFormat/>
    <w:rsid w:val="00C232D7"/>
    <w:pPr>
      <w:keepNext/>
      <w:keepLines/>
      <w:numPr>
        <w:ilvl w:val="4"/>
        <w:numId w:val="1"/>
      </w:numPr>
      <w:spacing w:before="200"/>
      <w:outlineLvl w:val="4"/>
    </w:pPr>
    <w:rPr>
      <w:rFonts w:ascii="Cambria" w:eastAsia="Times New Roman" w:hAnsi="Cambria"/>
      <w:color w:val="243F60"/>
    </w:rPr>
  </w:style>
  <w:style w:type="paragraph" w:styleId="Heading6">
    <w:name w:val="heading 6"/>
    <w:basedOn w:val="Normal"/>
    <w:next w:val="Normal"/>
    <w:link w:val="Heading6Char"/>
    <w:qFormat/>
    <w:rsid w:val="00C232D7"/>
    <w:pPr>
      <w:keepNext/>
      <w:keepLines/>
      <w:numPr>
        <w:ilvl w:val="5"/>
        <w:numId w:val="2"/>
      </w:numPr>
      <w:spacing w:before="200"/>
      <w:outlineLvl w:val="5"/>
    </w:pPr>
    <w:rPr>
      <w:rFonts w:ascii="Cambria" w:eastAsia="Times New Roman" w:hAnsi="Cambria"/>
      <w:i/>
      <w:iCs/>
      <w:color w:val="243F60"/>
    </w:rPr>
  </w:style>
  <w:style w:type="paragraph" w:styleId="Heading7">
    <w:name w:val="heading 7"/>
    <w:basedOn w:val="Normal"/>
    <w:next w:val="Normal"/>
    <w:link w:val="Heading7Char"/>
    <w:qFormat/>
    <w:rsid w:val="00C232D7"/>
    <w:pPr>
      <w:keepNext/>
      <w:keepLines/>
      <w:numPr>
        <w:ilvl w:val="6"/>
        <w:numId w:val="2"/>
      </w:numPr>
      <w:spacing w:before="200"/>
      <w:outlineLvl w:val="6"/>
    </w:pPr>
    <w:rPr>
      <w:rFonts w:ascii="Cambria" w:eastAsia="Times New Roman" w:hAnsi="Cambria"/>
      <w:i/>
      <w:iCs/>
      <w:color w:val="404040"/>
    </w:rPr>
  </w:style>
  <w:style w:type="paragraph" w:styleId="Heading8">
    <w:name w:val="heading 8"/>
    <w:basedOn w:val="Normal"/>
    <w:next w:val="Normal"/>
    <w:link w:val="Heading8Char"/>
    <w:qFormat/>
    <w:rsid w:val="00C232D7"/>
    <w:pPr>
      <w:keepNext/>
      <w:keepLines/>
      <w:numPr>
        <w:ilvl w:val="7"/>
        <w:numId w:val="2"/>
      </w:numPr>
      <w:spacing w:before="200"/>
      <w:outlineLvl w:val="7"/>
    </w:pPr>
    <w:rPr>
      <w:rFonts w:ascii="Cambria" w:eastAsia="Times New Roman" w:hAnsi="Cambria"/>
      <w:color w:val="404040"/>
    </w:rPr>
  </w:style>
  <w:style w:type="paragraph" w:styleId="Heading9">
    <w:name w:val="heading 9"/>
    <w:basedOn w:val="Normal"/>
    <w:next w:val="Normal"/>
    <w:link w:val="Heading9Char"/>
    <w:qFormat/>
    <w:rsid w:val="00C232D7"/>
    <w:pPr>
      <w:keepNext/>
      <w:keepLines/>
      <w:numPr>
        <w:ilvl w:val="8"/>
        <w:numId w:val="2"/>
      </w:numPr>
      <w:spacing w:before="200"/>
      <w:outlineLvl w:val="8"/>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426D7"/>
    <w:rPr>
      <w:rFonts w:ascii="Arial" w:eastAsia="Calibri" w:hAnsi="Arial" w:cs="Arial"/>
      <w:b/>
      <w:color w:val="1F497D"/>
      <w:lang w:val="sq-AL" w:eastAsia="it-IT"/>
    </w:rPr>
  </w:style>
  <w:style w:type="character" w:customStyle="1" w:styleId="Heading2Char">
    <w:name w:val="Heading 2 Char"/>
    <w:basedOn w:val="DefaultParagraphFont"/>
    <w:link w:val="Heading2"/>
    <w:uiPriority w:val="9"/>
    <w:qFormat/>
    <w:rsid w:val="00F57909"/>
    <w:rPr>
      <w:rFonts w:ascii="Arial" w:eastAsia="Calibri" w:hAnsi="Arial" w:cs="Arial"/>
      <w:sz w:val="20"/>
      <w:lang w:val="sq-AL" w:eastAsia="pl-PL"/>
    </w:rPr>
  </w:style>
  <w:style w:type="character" w:customStyle="1" w:styleId="Heading3Char">
    <w:name w:val="Heading 3 Char"/>
    <w:basedOn w:val="DefaultParagraphFont"/>
    <w:link w:val="Heading3"/>
    <w:uiPriority w:val="9"/>
    <w:qFormat/>
    <w:rsid w:val="007378E8"/>
    <w:rPr>
      <w:rFonts w:ascii="Arial" w:eastAsia="Calibri" w:hAnsi="Arial" w:cs="Arial"/>
      <w:b/>
      <w:bCs/>
      <w:color w:val="0F243E"/>
      <w:sz w:val="20"/>
      <w:szCs w:val="24"/>
      <w:lang w:val="de-DE" w:eastAsia="it-IT"/>
    </w:rPr>
  </w:style>
  <w:style w:type="character" w:customStyle="1" w:styleId="Heading4Char">
    <w:name w:val="Heading 4 Char"/>
    <w:basedOn w:val="DefaultParagraphFont"/>
    <w:link w:val="Heading4"/>
    <w:uiPriority w:val="9"/>
    <w:qFormat/>
    <w:rsid w:val="00C232D7"/>
    <w:rPr>
      <w:rFonts w:ascii="Times New Roman" w:eastAsia="Times New Roman" w:hAnsi="Times New Roman" w:cs="Times New Roman"/>
      <w:b/>
      <w:iCs/>
      <w:color w:val="0F243E"/>
      <w:lang w:val="en-GB"/>
    </w:rPr>
  </w:style>
  <w:style w:type="character" w:customStyle="1" w:styleId="Heading5Char">
    <w:name w:val="Heading 5 Char"/>
    <w:basedOn w:val="DefaultParagraphFont"/>
    <w:link w:val="Heading5"/>
    <w:qFormat/>
    <w:rsid w:val="00C232D7"/>
    <w:rPr>
      <w:rFonts w:ascii="Cambria" w:eastAsia="Times New Roman" w:hAnsi="Cambria" w:cs="Times New Roman"/>
      <w:color w:val="243F60"/>
      <w:sz w:val="20"/>
      <w:szCs w:val="20"/>
      <w:lang w:val="en-GB"/>
    </w:rPr>
  </w:style>
  <w:style w:type="character" w:customStyle="1" w:styleId="Heading6Char">
    <w:name w:val="Heading 6 Char"/>
    <w:basedOn w:val="DefaultParagraphFont"/>
    <w:link w:val="Heading6"/>
    <w:qFormat/>
    <w:rsid w:val="00C232D7"/>
    <w:rPr>
      <w:rFonts w:ascii="Cambria" w:eastAsia="Times New Roman" w:hAnsi="Cambria" w:cs="Times New Roman"/>
      <w:i/>
      <w:iCs/>
      <w:color w:val="243F60"/>
      <w:sz w:val="20"/>
      <w:szCs w:val="20"/>
      <w:lang w:val="en-GB"/>
    </w:rPr>
  </w:style>
  <w:style w:type="character" w:customStyle="1" w:styleId="Heading7Char">
    <w:name w:val="Heading 7 Char"/>
    <w:basedOn w:val="DefaultParagraphFont"/>
    <w:link w:val="Heading7"/>
    <w:qFormat/>
    <w:rsid w:val="00C232D7"/>
    <w:rPr>
      <w:rFonts w:ascii="Cambria" w:eastAsia="Times New Roman" w:hAnsi="Cambria" w:cs="Times New Roman"/>
      <w:i/>
      <w:iCs/>
      <w:color w:val="404040"/>
      <w:sz w:val="20"/>
      <w:szCs w:val="20"/>
      <w:lang w:val="en-GB"/>
    </w:rPr>
  </w:style>
  <w:style w:type="character" w:customStyle="1" w:styleId="Heading8Char">
    <w:name w:val="Heading 8 Char"/>
    <w:basedOn w:val="DefaultParagraphFont"/>
    <w:link w:val="Heading8"/>
    <w:qFormat/>
    <w:rsid w:val="00C232D7"/>
    <w:rPr>
      <w:rFonts w:ascii="Cambria" w:eastAsia="Times New Roman" w:hAnsi="Cambria" w:cs="Times New Roman"/>
      <w:color w:val="404040"/>
      <w:sz w:val="20"/>
      <w:szCs w:val="20"/>
      <w:lang w:val="en-GB"/>
    </w:rPr>
  </w:style>
  <w:style w:type="character" w:customStyle="1" w:styleId="Heading9Char">
    <w:name w:val="Heading 9 Char"/>
    <w:basedOn w:val="DefaultParagraphFont"/>
    <w:link w:val="Heading9"/>
    <w:qFormat/>
    <w:rsid w:val="00C232D7"/>
    <w:rPr>
      <w:rFonts w:ascii="Cambria" w:eastAsia="Times New Roman" w:hAnsi="Cambria" w:cs="Times New Roman"/>
      <w:i/>
      <w:iCs/>
      <w:color w:val="404040"/>
      <w:sz w:val="20"/>
      <w:szCs w:val="20"/>
      <w:lang w:val="en-GB"/>
    </w:rPr>
  </w:style>
  <w:style w:type="paragraph" w:styleId="BalloonText">
    <w:name w:val="Balloon Text"/>
    <w:basedOn w:val="Normal"/>
    <w:link w:val="BalloonTextChar"/>
    <w:uiPriority w:val="99"/>
    <w:rsid w:val="00C232D7"/>
    <w:rPr>
      <w:rFonts w:ascii="Tahoma" w:hAnsi="Tahoma" w:cs="Tahoma"/>
      <w:smallCaps/>
      <w:sz w:val="16"/>
      <w:szCs w:val="16"/>
      <w:lang w:eastAsia="pl-PL"/>
    </w:rPr>
  </w:style>
  <w:style w:type="character" w:customStyle="1" w:styleId="BalloonTextChar">
    <w:name w:val="Balloon Text Char"/>
    <w:basedOn w:val="DefaultParagraphFont"/>
    <w:link w:val="BalloonText"/>
    <w:uiPriority w:val="99"/>
    <w:rsid w:val="00C232D7"/>
    <w:rPr>
      <w:rFonts w:ascii="Tahoma" w:eastAsia="Calibri" w:hAnsi="Tahoma" w:cs="Tahoma"/>
      <w:smallCaps/>
      <w:sz w:val="16"/>
      <w:szCs w:val="16"/>
      <w:lang w:val="en-GB" w:eastAsia="pl-PL"/>
    </w:rPr>
  </w:style>
  <w:style w:type="paragraph" w:styleId="BlockText">
    <w:name w:val="Block Text"/>
    <w:basedOn w:val="Normal"/>
    <w:rsid w:val="00C232D7"/>
    <w:pPr>
      <w:spacing w:after="120"/>
      <w:ind w:left="1440" w:right="1440"/>
    </w:pPr>
    <w:rPr>
      <w:rFonts w:ascii="Arial" w:eastAsia="Times New Roman" w:hAnsi="Arial"/>
    </w:rPr>
  </w:style>
  <w:style w:type="paragraph" w:styleId="BodyText">
    <w:name w:val="Body Text"/>
    <w:basedOn w:val="Normal"/>
    <w:link w:val="BodyTextChar"/>
    <w:uiPriority w:val="1"/>
    <w:qFormat/>
    <w:rsid w:val="00C232D7"/>
    <w:pPr>
      <w:keepLines/>
      <w:tabs>
        <w:tab w:val="right" w:pos="9214"/>
      </w:tabs>
      <w:jc w:val="left"/>
    </w:pPr>
    <w:rPr>
      <w:rFonts w:ascii="Tahoma" w:hAnsi="Tahoma"/>
      <w:smallCaps/>
      <w:sz w:val="22"/>
      <w:szCs w:val="24"/>
      <w:lang w:eastAsia="pl-PL"/>
    </w:rPr>
  </w:style>
  <w:style w:type="character" w:customStyle="1" w:styleId="BodyTextChar">
    <w:name w:val="Body Text Char"/>
    <w:basedOn w:val="DefaultParagraphFont"/>
    <w:link w:val="BodyText"/>
    <w:uiPriority w:val="1"/>
    <w:rsid w:val="00C232D7"/>
    <w:rPr>
      <w:rFonts w:ascii="Tahoma" w:eastAsia="Calibri" w:hAnsi="Tahoma" w:cs="Times New Roman"/>
      <w:smallCaps/>
      <w:szCs w:val="24"/>
      <w:lang w:val="en-GB" w:eastAsia="pl-PL"/>
    </w:rPr>
  </w:style>
  <w:style w:type="paragraph" w:styleId="BodyText2">
    <w:name w:val="Body Text 2"/>
    <w:basedOn w:val="Normal"/>
    <w:link w:val="BodyText2Char"/>
    <w:rsid w:val="00C232D7"/>
    <w:rPr>
      <w:rFonts w:ascii="Arial" w:hAnsi="Arial" w:cs="Arial"/>
      <w:iCs/>
      <w:smallCaps/>
      <w:sz w:val="24"/>
      <w:szCs w:val="24"/>
      <w:lang w:val="pl-PL" w:eastAsia="de-DE"/>
    </w:rPr>
  </w:style>
  <w:style w:type="character" w:customStyle="1" w:styleId="BodyText2Char">
    <w:name w:val="Body Text 2 Char"/>
    <w:basedOn w:val="DefaultParagraphFont"/>
    <w:link w:val="BodyText2"/>
    <w:rsid w:val="00C232D7"/>
    <w:rPr>
      <w:rFonts w:ascii="Arial" w:eastAsia="Calibri" w:hAnsi="Arial" w:cs="Arial"/>
      <w:iCs/>
      <w:smallCaps/>
      <w:sz w:val="24"/>
      <w:szCs w:val="24"/>
      <w:lang w:val="pl-PL" w:eastAsia="de-DE"/>
    </w:rPr>
  </w:style>
  <w:style w:type="paragraph" w:styleId="BodyText3">
    <w:name w:val="Body Text 3"/>
    <w:basedOn w:val="Normal"/>
    <w:link w:val="BodyText3Char"/>
    <w:rsid w:val="00C232D7"/>
    <w:pPr>
      <w:spacing w:after="120"/>
    </w:pPr>
    <w:rPr>
      <w:rFonts w:ascii="Tahoma" w:hAnsi="Tahoma"/>
      <w:smallCaps/>
      <w:sz w:val="16"/>
      <w:szCs w:val="16"/>
      <w:lang w:eastAsia="pl-PL"/>
    </w:rPr>
  </w:style>
  <w:style w:type="character" w:customStyle="1" w:styleId="BodyText3Char">
    <w:name w:val="Body Text 3 Char"/>
    <w:basedOn w:val="DefaultParagraphFont"/>
    <w:link w:val="BodyText3"/>
    <w:rsid w:val="00C232D7"/>
    <w:rPr>
      <w:rFonts w:ascii="Tahoma" w:eastAsia="Calibri" w:hAnsi="Tahoma" w:cs="Times New Roman"/>
      <w:smallCaps/>
      <w:sz w:val="16"/>
      <w:szCs w:val="16"/>
      <w:lang w:val="en-GB" w:eastAsia="pl-PL"/>
    </w:rPr>
  </w:style>
  <w:style w:type="paragraph" w:styleId="BodyTextFirstIndent">
    <w:name w:val="Body Text First Indent"/>
    <w:basedOn w:val="BodyText"/>
    <w:link w:val="BodyTextFirstIndentChar"/>
    <w:rsid w:val="00C232D7"/>
    <w:pPr>
      <w:keepLines w:val="0"/>
      <w:tabs>
        <w:tab w:val="clear" w:pos="9214"/>
      </w:tabs>
      <w:spacing w:after="120"/>
      <w:ind w:firstLine="210"/>
      <w:jc w:val="both"/>
    </w:pPr>
    <w:rPr>
      <w:rFonts w:ascii="Arial" w:eastAsia="Times New Roman" w:hAnsi="Arial"/>
      <w:sz w:val="20"/>
      <w:szCs w:val="20"/>
    </w:rPr>
  </w:style>
  <w:style w:type="character" w:customStyle="1" w:styleId="BodyTextFirstIndentChar">
    <w:name w:val="Body Text First Indent Char"/>
    <w:basedOn w:val="BodyTextChar"/>
    <w:link w:val="BodyTextFirstIndent"/>
    <w:rsid w:val="00C232D7"/>
    <w:rPr>
      <w:rFonts w:ascii="Arial" w:eastAsia="Times New Roman" w:hAnsi="Arial" w:cs="Times New Roman"/>
      <w:smallCaps/>
      <w:sz w:val="20"/>
      <w:szCs w:val="20"/>
      <w:lang w:val="en-GB" w:eastAsia="pl-PL"/>
    </w:rPr>
  </w:style>
  <w:style w:type="paragraph" w:styleId="BodyTextIndent">
    <w:name w:val="Body Text Indent"/>
    <w:basedOn w:val="Normal"/>
    <w:link w:val="BodyTextIndentChar"/>
    <w:rsid w:val="00C232D7"/>
    <w:pPr>
      <w:ind w:left="2272" w:hanging="1125"/>
    </w:pPr>
    <w:rPr>
      <w:rFonts w:ascii="Tahoma" w:hAnsi="Tahoma"/>
      <w:b/>
      <w:bCs/>
      <w:smallCaps/>
      <w:sz w:val="24"/>
      <w:szCs w:val="24"/>
      <w:lang w:eastAsia="pl-PL"/>
    </w:rPr>
  </w:style>
  <w:style w:type="character" w:customStyle="1" w:styleId="BodyTextIndentChar">
    <w:name w:val="Body Text Indent Char"/>
    <w:basedOn w:val="DefaultParagraphFont"/>
    <w:link w:val="BodyTextIndent"/>
    <w:rsid w:val="00C232D7"/>
    <w:rPr>
      <w:rFonts w:ascii="Tahoma" w:eastAsia="Calibri" w:hAnsi="Tahoma" w:cs="Times New Roman"/>
      <w:b/>
      <w:bCs/>
      <w:smallCaps/>
      <w:sz w:val="24"/>
      <w:szCs w:val="24"/>
      <w:lang w:val="en-GB" w:eastAsia="pl-PL"/>
    </w:rPr>
  </w:style>
  <w:style w:type="paragraph" w:styleId="BodyTextFirstIndent2">
    <w:name w:val="Body Text First Indent 2"/>
    <w:basedOn w:val="BodyTextIndent"/>
    <w:link w:val="BodyTextFirstIndent2Char"/>
    <w:rsid w:val="00C232D7"/>
    <w:pPr>
      <w:spacing w:after="120"/>
      <w:ind w:left="283" w:firstLine="210"/>
    </w:pPr>
    <w:rPr>
      <w:rFonts w:ascii="Arial" w:eastAsia="Times New Roman" w:hAnsi="Arial"/>
      <w:b w:val="0"/>
      <w:bCs w:val="0"/>
      <w:sz w:val="20"/>
      <w:szCs w:val="20"/>
    </w:rPr>
  </w:style>
  <w:style w:type="character" w:customStyle="1" w:styleId="BodyTextFirstIndent2Char">
    <w:name w:val="Body Text First Indent 2 Char"/>
    <w:basedOn w:val="BodyTextIndentChar"/>
    <w:link w:val="BodyTextFirstIndent2"/>
    <w:rsid w:val="00C232D7"/>
    <w:rPr>
      <w:rFonts w:ascii="Arial" w:eastAsia="Times New Roman" w:hAnsi="Arial" w:cs="Times New Roman"/>
      <w:b w:val="0"/>
      <w:bCs w:val="0"/>
      <w:smallCaps/>
      <w:sz w:val="20"/>
      <w:szCs w:val="20"/>
      <w:lang w:val="en-GB" w:eastAsia="pl-PL"/>
    </w:rPr>
  </w:style>
  <w:style w:type="paragraph" w:styleId="BodyTextIndent2">
    <w:name w:val="Body Text Indent 2"/>
    <w:basedOn w:val="Normal"/>
    <w:link w:val="BodyTextIndent2Char"/>
    <w:rsid w:val="00C232D7"/>
    <w:pPr>
      <w:ind w:firstLine="9"/>
    </w:pPr>
    <w:rPr>
      <w:rFonts w:ascii="Tahoma" w:hAnsi="Tahoma"/>
      <w:smallCaps/>
      <w:sz w:val="24"/>
      <w:szCs w:val="24"/>
      <w:lang w:eastAsia="pl-PL"/>
    </w:rPr>
  </w:style>
  <w:style w:type="character" w:customStyle="1" w:styleId="BodyTextIndent2Char">
    <w:name w:val="Body Text Indent 2 Char"/>
    <w:basedOn w:val="DefaultParagraphFont"/>
    <w:link w:val="BodyTextIndent2"/>
    <w:rsid w:val="00C232D7"/>
    <w:rPr>
      <w:rFonts w:ascii="Tahoma" w:eastAsia="Calibri" w:hAnsi="Tahoma" w:cs="Times New Roman"/>
      <w:smallCaps/>
      <w:sz w:val="24"/>
      <w:szCs w:val="24"/>
      <w:lang w:val="en-GB" w:eastAsia="pl-PL"/>
    </w:rPr>
  </w:style>
  <w:style w:type="paragraph" w:styleId="BodyTextIndent3">
    <w:name w:val="Body Text Indent 3"/>
    <w:basedOn w:val="Normal"/>
    <w:link w:val="BodyTextIndent3Char"/>
    <w:rsid w:val="00C232D7"/>
  </w:style>
  <w:style w:type="character" w:customStyle="1" w:styleId="BodyTextIndent3Char">
    <w:name w:val="Body Text Indent 3 Char"/>
    <w:basedOn w:val="DefaultParagraphFont"/>
    <w:link w:val="BodyTextIndent3"/>
    <w:rsid w:val="00C232D7"/>
    <w:rPr>
      <w:rFonts w:ascii="Times New Roman" w:eastAsia="Calibri" w:hAnsi="Times New Roman" w:cs="Times New Roman"/>
      <w:sz w:val="20"/>
      <w:szCs w:val="20"/>
      <w:lang w:val="en-GB"/>
    </w:rPr>
  </w:style>
  <w:style w:type="paragraph" w:styleId="Caption">
    <w:name w:val="caption"/>
    <w:basedOn w:val="Normal"/>
    <w:next w:val="Normal"/>
    <w:link w:val="CaptionChar"/>
    <w:qFormat/>
    <w:rsid w:val="00C232D7"/>
    <w:pPr>
      <w:spacing w:after="200"/>
    </w:pPr>
    <w:rPr>
      <w:b/>
      <w:bCs/>
      <w:color w:val="4F81BD"/>
      <w:sz w:val="18"/>
      <w:szCs w:val="18"/>
    </w:rPr>
  </w:style>
  <w:style w:type="character" w:customStyle="1" w:styleId="CaptionChar">
    <w:name w:val="Caption Char"/>
    <w:basedOn w:val="DefaultParagraphFont"/>
    <w:link w:val="Caption"/>
    <w:rsid w:val="00C232D7"/>
    <w:rPr>
      <w:rFonts w:ascii="Times New Roman" w:eastAsia="Calibri" w:hAnsi="Times New Roman" w:cs="Times New Roman"/>
      <w:b/>
      <w:bCs/>
      <w:color w:val="4F81BD"/>
      <w:sz w:val="18"/>
      <w:szCs w:val="18"/>
      <w:lang w:val="en-GB"/>
    </w:rPr>
  </w:style>
  <w:style w:type="paragraph" w:styleId="Closing">
    <w:name w:val="Closing"/>
    <w:basedOn w:val="Normal"/>
    <w:link w:val="ClosingChar"/>
    <w:rsid w:val="00C232D7"/>
    <w:pPr>
      <w:spacing w:after="240"/>
      <w:ind w:left="4252"/>
    </w:pPr>
    <w:rPr>
      <w:rFonts w:ascii="Arial" w:eastAsia="Times New Roman" w:hAnsi="Arial"/>
    </w:rPr>
  </w:style>
  <w:style w:type="character" w:customStyle="1" w:styleId="ClosingChar">
    <w:name w:val="Closing Char"/>
    <w:basedOn w:val="DefaultParagraphFont"/>
    <w:link w:val="Closing"/>
    <w:rsid w:val="00C232D7"/>
    <w:rPr>
      <w:rFonts w:ascii="Arial" w:eastAsia="Times New Roman" w:hAnsi="Arial" w:cs="Times New Roman"/>
      <w:sz w:val="20"/>
      <w:szCs w:val="20"/>
      <w:lang w:val="en-GB"/>
    </w:rPr>
  </w:style>
  <w:style w:type="character" w:styleId="CommentReference">
    <w:name w:val="annotation reference"/>
    <w:uiPriority w:val="99"/>
    <w:unhideWhenUsed/>
    <w:rsid w:val="00C232D7"/>
    <w:rPr>
      <w:rFonts w:ascii="Tahoma" w:hAnsi="Tahoma"/>
      <w:smallCaps/>
      <w:sz w:val="16"/>
      <w:szCs w:val="16"/>
      <w:lang w:val="pl-PL" w:eastAsia="pl-PL" w:bidi="ar-SA"/>
    </w:rPr>
  </w:style>
  <w:style w:type="paragraph" w:styleId="CommentText">
    <w:name w:val="annotation text"/>
    <w:basedOn w:val="Normal"/>
    <w:link w:val="CommentTextChar"/>
    <w:unhideWhenUsed/>
    <w:rsid w:val="00C232D7"/>
    <w:rPr>
      <w:rFonts w:ascii="Arial" w:hAnsi="Arial"/>
      <w:smallCaps/>
      <w:sz w:val="24"/>
      <w:szCs w:val="24"/>
      <w:lang w:val="pl-PL" w:eastAsia="de-DE"/>
    </w:rPr>
  </w:style>
  <w:style w:type="character" w:customStyle="1" w:styleId="CommentTextChar">
    <w:name w:val="Comment Text Char"/>
    <w:basedOn w:val="DefaultParagraphFont"/>
    <w:link w:val="CommentText"/>
    <w:rsid w:val="00C232D7"/>
    <w:rPr>
      <w:rFonts w:ascii="Arial" w:eastAsia="Calibri" w:hAnsi="Arial" w:cs="Times New Roman"/>
      <w:smallCaps/>
      <w:sz w:val="24"/>
      <w:szCs w:val="24"/>
      <w:lang w:val="pl-PL" w:eastAsia="de-DE"/>
    </w:rPr>
  </w:style>
  <w:style w:type="paragraph" w:styleId="CommentSubject">
    <w:name w:val="annotation subject"/>
    <w:basedOn w:val="CommentText"/>
    <w:next w:val="CommentText"/>
    <w:link w:val="CommentSubjectChar"/>
    <w:unhideWhenUsed/>
    <w:rsid w:val="00C232D7"/>
    <w:rPr>
      <w:b/>
      <w:bCs/>
    </w:rPr>
  </w:style>
  <w:style w:type="character" w:customStyle="1" w:styleId="CommentSubjectChar">
    <w:name w:val="Comment Subject Char"/>
    <w:basedOn w:val="CommentTextChar"/>
    <w:link w:val="CommentSubject"/>
    <w:rsid w:val="00C232D7"/>
    <w:rPr>
      <w:rFonts w:ascii="Arial" w:eastAsia="Calibri" w:hAnsi="Arial" w:cs="Times New Roman"/>
      <w:b/>
      <w:bCs/>
      <w:smallCaps/>
      <w:sz w:val="24"/>
      <w:szCs w:val="24"/>
      <w:lang w:val="pl-PL" w:eastAsia="de-DE"/>
    </w:rPr>
  </w:style>
  <w:style w:type="paragraph" w:styleId="Date">
    <w:name w:val="Date"/>
    <w:basedOn w:val="Normal"/>
    <w:next w:val="References"/>
    <w:link w:val="DateChar"/>
    <w:qFormat/>
    <w:rsid w:val="00C232D7"/>
    <w:pPr>
      <w:ind w:left="5103" w:right="-567"/>
      <w:jc w:val="left"/>
    </w:pPr>
    <w:rPr>
      <w:rFonts w:ascii="Arial" w:eastAsia="Times New Roman" w:hAnsi="Arial"/>
    </w:rPr>
  </w:style>
  <w:style w:type="paragraph" w:customStyle="1" w:styleId="References">
    <w:name w:val="References"/>
    <w:basedOn w:val="Normal"/>
    <w:next w:val="AddressTR"/>
    <w:rsid w:val="00C232D7"/>
    <w:pPr>
      <w:spacing w:after="240"/>
      <w:ind w:left="5103"/>
      <w:jc w:val="left"/>
    </w:pPr>
    <w:rPr>
      <w:rFonts w:ascii="Arial" w:eastAsia="Times New Roman" w:hAnsi="Arial"/>
    </w:rPr>
  </w:style>
  <w:style w:type="paragraph" w:customStyle="1" w:styleId="AddressTR">
    <w:name w:val="AddressTR"/>
    <w:basedOn w:val="Normal"/>
    <w:next w:val="Normal"/>
    <w:rsid w:val="00C232D7"/>
    <w:pPr>
      <w:spacing w:after="720"/>
      <w:ind w:left="5103"/>
      <w:jc w:val="left"/>
    </w:pPr>
    <w:rPr>
      <w:rFonts w:ascii="Arial" w:eastAsia="Times New Roman" w:hAnsi="Arial"/>
    </w:rPr>
  </w:style>
  <w:style w:type="character" w:customStyle="1" w:styleId="DateChar">
    <w:name w:val="Date Char"/>
    <w:basedOn w:val="DefaultParagraphFont"/>
    <w:link w:val="Date"/>
    <w:rsid w:val="00C232D7"/>
    <w:rPr>
      <w:rFonts w:ascii="Arial" w:eastAsia="Times New Roman" w:hAnsi="Arial" w:cs="Times New Roman"/>
      <w:sz w:val="20"/>
      <w:szCs w:val="20"/>
      <w:lang w:val="en-GB"/>
    </w:rPr>
  </w:style>
  <w:style w:type="paragraph" w:styleId="DocumentMap">
    <w:name w:val="Document Map"/>
    <w:basedOn w:val="Normal"/>
    <w:link w:val="DocumentMapChar"/>
    <w:semiHidden/>
    <w:rsid w:val="00C232D7"/>
    <w:pPr>
      <w:shd w:val="clear" w:color="auto" w:fill="000080"/>
      <w:jc w:val="left"/>
    </w:pPr>
    <w:rPr>
      <w:rFonts w:ascii="Tahoma" w:eastAsia="Times New Roman" w:hAnsi="Tahoma" w:cs="Tahoma"/>
      <w:sz w:val="24"/>
      <w:szCs w:val="24"/>
      <w:lang w:eastAsia="hu-HU"/>
    </w:rPr>
  </w:style>
  <w:style w:type="character" w:customStyle="1" w:styleId="DocumentMapChar">
    <w:name w:val="Document Map Char"/>
    <w:basedOn w:val="DefaultParagraphFont"/>
    <w:link w:val="DocumentMap"/>
    <w:semiHidden/>
    <w:rsid w:val="00C232D7"/>
    <w:rPr>
      <w:rFonts w:ascii="Tahoma" w:eastAsia="Times New Roman" w:hAnsi="Tahoma" w:cs="Tahoma"/>
      <w:sz w:val="24"/>
      <w:szCs w:val="24"/>
      <w:shd w:val="clear" w:color="auto" w:fill="000080"/>
      <w:lang w:val="en-GB" w:eastAsia="hu-HU"/>
    </w:rPr>
  </w:style>
  <w:style w:type="character" w:styleId="Emphasis">
    <w:name w:val="Emphasis"/>
    <w:uiPriority w:val="20"/>
    <w:qFormat/>
    <w:rsid w:val="00C232D7"/>
    <w:rPr>
      <w:rFonts w:ascii="Tahoma" w:hAnsi="Tahoma"/>
      <w:i/>
      <w:iCs/>
      <w:smallCaps/>
      <w:sz w:val="24"/>
      <w:szCs w:val="24"/>
      <w:lang w:val="pl-PL" w:eastAsia="pl-PL" w:bidi="ar-SA"/>
    </w:rPr>
  </w:style>
  <w:style w:type="character" w:styleId="EndnoteReference">
    <w:name w:val="endnote reference"/>
    <w:unhideWhenUsed/>
    <w:rsid w:val="00C232D7"/>
    <w:rPr>
      <w:rFonts w:ascii="Tahoma" w:hAnsi="Tahoma"/>
      <w:smallCaps/>
      <w:sz w:val="24"/>
      <w:szCs w:val="24"/>
      <w:vertAlign w:val="superscript"/>
      <w:lang w:val="pl-PL" w:eastAsia="pl-PL" w:bidi="ar-SA"/>
    </w:rPr>
  </w:style>
  <w:style w:type="paragraph" w:styleId="EndnoteText">
    <w:name w:val="endnote text"/>
    <w:basedOn w:val="Normal"/>
    <w:link w:val="EndnoteTextChar"/>
    <w:uiPriority w:val="99"/>
    <w:semiHidden/>
    <w:unhideWhenUsed/>
    <w:rsid w:val="00C232D7"/>
    <w:rPr>
      <w:rFonts w:ascii="Arial" w:hAnsi="Arial"/>
      <w:smallCaps/>
      <w:sz w:val="24"/>
      <w:szCs w:val="24"/>
      <w:lang w:val="pl-PL" w:eastAsia="de-DE"/>
    </w:rPr>
  </w:style>
  <w:style w:type="character" w:customStyle="1" w:styleId="EndnoteTextChar">
    <w:name w:val="Endnote Text Char"/>
    <w:basedOn w:val="DefaultParagraphFont"/>
    <w:link w:val="EndnoteText"/>
    <w:uiPriority w:val="99"/>
    <w:semiHidden/>
    <w:rsid w:val="00C232D7"/>
    <w:rPr>
      <w:rFonts w:ascii="Arial" w:eastAsia="Calibri" w:hAnsi="Arial" w:cs="Times New Roman"/>
      <w:smallCaps/>
      <w:sz w:val="24"/>
      <w:szCs w:val="24"/>
      <w:lang w:val="pl-PL" w:eastAsia="de-DE"/>
    </w:rPr>
  </w:style>
  <w:style w:type="paragraph" w:styleId="EnvelopeAddress">
    <w:name w:val="envelope address"/>
    <w:basedOn w:val="Normal"/>
    <w:rsid w:val="00C232D7"/>
    <w:pPr>
      <w:framePr w:w="7920" w:h="1980" w:hRule="exact" w:hSpace="180" w:wrap="auto" w:hAnchor="page" w:xAlign="center" w:yAlign="bottom"/>
    </w:pPr>
    <w:rPr>
      <w:rFonts w:ascii="Arial" w:eastAsia="Times New Roman" w:hAnsi="Arial"/>
    </w:rPr>
  </w:style>
  <w:style w:type="paragraph" w:styleId="EnvelopeReturn">
    <w:name w:val="envelope return"/>
    <w:basedOn w:val="Normal"/>
    <w:rsid w:val="00C232D7"/>
    <w:rPr>
      <w:rFonts w:ascii="Arial" w:eastAsia="Times New Roman" w:hAnsi="Arial"/>
    </w:rPr>
  </w:style>
  <w:style w:type="character" w:styleId="FollowedHyperlink">
    <w:name w:val="FollowedHyperlink"/>
    <w:unhideWhenUsed/>
    <w:rsid w:val="00C232D7"/>
    <w:rPr>
      <w:rFonts w:ascii="Tahoma" w:hAnsi="Tahoma"/>
      <w:smallCaps/>
      <w:color w:val="800080"/>
      <w:sz w:val="24"/>
      <w:szCs w:val="24"/>
      <w:u w:val="single"/>
      <w:lang w:val="pl-PL" w:eastAsia="pl-PL" w:bidi="ar-SA"/>
    </w:rPr>
  </w:style>
  <w:style w:type="paragraph" w:styleId="Footer">
    <w:name w:val="footer"/>
    <w:basedOn w:val="Normal"/>
    <w:link w:val="FooterChar"/>
    <w:uiPriority w:val="99"/>
    <w:rsid w:val="00C232D7"/>
    <w:pPr>
      <w:tabs>
        <w:tab w:val="center" w:pos="4703"/>
        <w:tab w:val="right" w:pos="9406"/>
      </w:tabs>
    </w:pPr>
    <w:rPr>
      <w:rFonts w:ascii="Arial" w:hAnsi="Arial"/>
      <w:smallCaps/>
      <w:sz w:val="24"/>
      <w:szCs w:val="24"/>
      <w:lang w:val="pl-PL" w:eastAsia="de-DE"/>
    </w:rPr>
  </w:style>
  <w:style w:type="character" w:customStyle="1" w:styleId="FooterChar">
    <w:name w:val="Footer Char"/>
    <w:basedOn w:val="DefaultParagraphFont"/>
    <w:link w:val="Footer"/>
    <w:uiPriority w:val="99"/>
    <w:rsid w:val="00C232D7"/>
    <w:rPr>
      <w:rFonts w:ascii="Arial" w:eastAsia="Calibri" w:hAnsi="Arial" w:cs="Times New Roman"/>
      <w:smallCaps/>
      <w:sz w:val="24"/>
      <w:szCs w:val="24"/>
      <w:lang w:val="pl-PL" w:eastAsia="de-DE"/>
    </w:rPr>
  </w:style>
  <w:style w:type="character" w:styleId="FootnoteReference">
    <w:name w:val="footnote reference"/>
    <w:aliases w:val="E FNZ,-E Fußnotenzeichen,Footnote#,16 Point,Superscript 6 Point,ftref,SUPERS,number,Footnote reference number,Footnote symbol,note TESI,Footnote Reference1,heading1,note bp,Car Car Char Car Char Car Car Char Car Char Char,BVI fnr,fr,R"/>
    <w:link w:val="BVIfnrChar1CharCharChar"/>
    <w:qFormat/>
    <w:rsid w:val="00C232D7"/>
    <w:rPr>
      <w:rFonts w:ascii="Tahoma" w:hAnsi="Tahoma"/>
      <w:smallCaps/>
      <w:sz w:val="16"/>
      <w:szCs w:val="16"/>
      <w:vertAlign w:val="superscript"/>
      <w:lang w:val="pl-PL" w:eastAsia="pl-PL"/>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rsid w:val="00C232D7"/>
    <w:pPr>
      <w:spacing w:after="160" w:line="240" w:lineRule="exact"/>
      <w:jc w:val="left"/>
    </w:pPr>
    <w:rPr>
      <w:rFonts w:ascii="Tahoma" w:eastAsiaTheme="minorHAnsi" w:hAnsi="Tahoma" w:cstheme="minorBidi"/>
      <w:smallCaps/>
      <w:sz w:val="16"/>
      <w:szCs w:val="16"/>
      <w:vertAlign w:val="superscript"/>
      <w:lang w:val="pl-PL" w:eastAsia="pl-PL"/>
    </w:rPr>
  </w:style>
  <w:style w:type="paragraph" w:styleId="FootnoteText">
    <w:name w:val="footnote text"/>
    <w:basedOn w:val="Normal"/>
    <w:link w:val="FootnoteTextChar"/>
    <w:uiPriority w:val="99"/>
    <w:qFormat/>
    <w:rsid w:val="00C232D7"/>
    <w:pPr>
      <w:framePr w:wrap="around" w:vAnchor="text" w:hAnchor="text" w:y="1"/>
      <w:tabs>
        <w:tab w:val="left" w:pos="200"/>
      </w:tabs>
      <w:ind w:left="198" w:hanging="198"/>
    </w:pPr>
    <w:rPr>
      <w:rFonts w:ascii="Tahoma" w:hAnsi="Tahoma" w:cs="Tahoma"/>
      <w:smallCaps/>
      <w:color w:val="000000"/>
      <w:sz w:val="16"/>
      <w:szCs w:val="16"/>
    </w:rPr>
  </w:style>
  <w:style w:type="character" w:customStyle="1" w:styleId="FootnoteTextChar">
    <w:name w:val="Footnote Text Char"/>
    <w:basedOn w:val="DefaultParagraphFont"/>
    <w:link w:val="FootnoteText"/>
    <w:uiPriority w:val="99"/>
    <w:rsid w:val="00C232D7"/>
    <w:rPr>
      <w:rFonts w:ascii="Tahoma" w:eastAsia="Calibri" w:hAnsi="Tahoma" w:cs="Tahoma"/>
      <w:smallCaps/>
      <w:color w:val="000000"/>
      <w:sz w:val="16"/>
      <w:szCs w:val="16"/>
      <w:lang w:val="en-GB"/>
    </w:rPr>
  </w:style>
  <w:style w:type="paragraph" w:styleId="Header">
    <w:name w:val="header"/>
    <w:basedOn w:val="Normal"/>
    <w:link w:val="HeaderChar"/>
    <w:rsid w:val="00C232D7"/>
    <w:pPr>
      <w:tabs>
        <w:tab w:val="center" w:pos="4536"/>
        <w:tab w:val="right" w:pos="9072"/>
      </w:tabs>
    </w:pPr>
    <w:rPr>
      <w:rFonts w:ascii="Arial" w:hAnsi="Arial"/>
      <w:smallCaps/>
      <w:sz w:val="24"/>
      <w:szCs w:val="24"/>
      <w:lang w:val="pl-PL" w:eastAsia="de-DE"/>
    </w:rPr>
  </w:style>
  <w:style w:type="character" w:customStyle="1" w:styleId="HeaderChar">
    <w:name w:val="Header Char"/>
    <w:basedOn w:val="DefaultParagraphFont"/>
    <w:link w:val="Header"/>
    <w:rsid w:val="00C232D7"/>
    <w:rPr>
      <w:rFonts w:ascii="Arial" w:eastAsia="Calibri" w:hAnsi="Arial" w:cs="Times New Roman"/>
      <w:smallCaps/>
      <w:sz w:val="24"/>
      <w:szCs w:val="24"/>
      <w:lang w:val="pl-PL" w:eastAsia="de-DE"/>
    </w:rPr>
  </w:style>
  <w:style w:type="character" w:styleId="HTMLAcronym">
    <w:name w:val="HTML Acronym"/>
    <w:rsid w:val="00C232D7"/>
  </w:style>
  <w:style w:type="paragraph" w:styleId="HTMLPreformatted">
    <w:name w:val="HTML Preformatted"/>
    <w:basedOn w:val="Normal"/>
    <w:link w:val="HTMLPreformattedChar"/>
    <w:rsid w:val="00C2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jc w:val="left"/>
      <w:textAlignment w:val="baseline"/>
    </w:pPr>
    <w:rPr>
      <w:rFonts w:ascii="Courier New" w:eastAsia="Times New Roman" w:hAnsi="Courier New"/>
      <w:smallCaps/>
      <w:color w:val="000000"/>
      <w:sz w:val="18"/>
      <w:szCs w:val="18"/>
      <w:lang w:val="it-IT" w:eastAsia="it-IT"/>
    </w:rPr>
  </w:style>
  <w:style w:type="character" w:customStyle="1" w:styleId="HTMLPreformattedChar">
    <w:name w:val="HTML Preformatted Char"/>
    <w:basedOn w:val="DefaultParagraphFont"/>
    <w:link w:val="HTMLPreformatted"/>
    <w:rsid w:val="00C232D7"/>
    <w:rPr>
      <w:rFonts w:ascii="Courier New" w:eastAsia="Times New Roman" w:hAnsi="Courier New" w:cs="Times New Roman"/>
      <w:smallCaps/>
      <w:color w:val="000000"/>
      <w:sz w:val="18"/>
      <w:szCs w:val="18"/>
      <w:lang w:val="it-IT" w:eastAsia="it-IT"/>
    </w:rPr>
  </w:style>
  <w:style w:type="character" w:styleId="Hyperlink">
    <w:name w:val="Hyperlink"/>
    <w:uiPriority w:val="99"/>
    <w:rsid w:val="00C232D7"/>
    <w:rPr>
      <w:rFonts w:ascii="Tahoma" w:hAnsi="Tahoma"/>
      <w:smallCaps/>
      <w:color w:val="0000FF"/>
      <w:sz w:val="16"/>
      <w:szCs w:val="16"/>
      <w:u w:val="single"/>
      <w:lang w:val="pl-PL" w:eastAsia="pl-PL" w:bidi="ar-SA"/>
    </w:rPr>
  </w:style>
  <w:style w:type="paragraph" w:styleId="Index1">
    <w:name w:val="index 1"/>
    <w:basedOn w:val="Normal"/>
    <w:next w:val="Normal"/>
    <w:autoRedefine/>
    <w:semiHidden/>
    <w:rsid w:val="00C232D7"/>
    <w:pPr>
      <w:ind w:left="240" w:hanging="240"/>
      <w:jc w:val="left"/>
    </w:pPr>
    <w:rPr>
      <w:rFonts w:eastAsia="Times New Roman"/>
      <w:sz w:val="24"/>
      <w:szCs w:val="24"/>
      <w:lang w:eastAsia="hu-HU"/>
    </w:rPr>
  </w:style>
  <w:style w:type="paragraph" w:styleId="Index4">
    <w:name w:val="index 4"/>
    <w:basedOn w:val="Normal"/>
    <w:next w:val="Normal"/>
    <w:autoRedefine/>
    <w:semiHidden/>
    <w:rsid w:val="00C232D7"/>
    <w:pPr>
      <w:spacing w:after="240"/>
      <w:ind w:left="960" w:hanging="240"/>
    </w:pPr>
    <w:rPr>
      <w:rFonts w:ascii="Arial" w:eastAsia="Times New Roman" w:hAnsi="Arial"/>
    </w:rPr>
  </w:style>
  <w:style w:type="paragraph" w:styleId="Index7">
    <w:name w:val="index 7"/>
    <w:basedOn w:val="Normal"/>
    <w:next w:val="Normal"/>
    <w:autoRedefine/>
    <w:semiHidden/>
    <w:rsid w:val="00C232D7"/>
    <w:pPr>
      <w:spacing w:after="240"/>
      <w:ind w:left="1680" w:hanging="240"/>
    </w:pPr>
    <w:rPr>
      <w:rFonts w:ascii="Arial" w:eastAsia="Times New Roman" w:hAnsi="Arial"/>
    </w:rPr>
  </w:style>
  <w:style w:type="paragraph" w:styleId="IndexHeading">
    <w:name w:val="index heading"/>
    <w:basedOn w:val="Normal"/>
    <w:next w:val="Index1"/>
    <w:semiHidden/>
    <w:rsid w:val="00C232D7"/>
    <w:rPr>
      <w:rFonts w:eastAsia="Times New Roman"/>
      <w:b/>
      <w:sz w:val="24"/>
      <w:lang w:eastAsia="hu-HU"/>
    </w:rPr>
  </w:style>
  <w:style w:type="character" w:styleId="LineNumber">
    <w:name w:val="line number"/>
    <w:rsid w:val="00C232D7"/>
  </w:style>
  <w:style w:type="paragraph" w:styleId="List">
    <w:name w:val="List"/>
    <w:basedOn w:val="Normal"/>
    <w:rsid w:val="00C232D7"/>
    <w:pPr>
      <w:ind w:left="283" w:hanging="283"/>
    </w:pPr>
    <w:rPr>
      <w:szCs w:val="24"/>
      <w:lang w:val="it-IT" w:eastAsia="it-IT"/>
    </w:rPr>
  </w:style>
  <w:style w:type="paragraph" w:styleId="List2">
    <w:name w:val="List 2"/>
    <w:basedOn w:val="Normal"/>
    <w:rsid w:val="00C232D7"/>
    <w:pPr>
      <w:spacing w:after="240"/>
      <w:ind w:left="566" w:hanging="283"/>
    </w:pPr>
    <w:rPr>
      <w:rFonts w:ascii="Arial" w:eastAsia="Times New Roman" w:hAnsi="Arial"/>
    </w:rPr>
  </w:style>
  <w:style w:type="paragraph" w:styleId="List3">
    <w:name w:val="List 3"/>
    <w:basedOn w:val="Normal"/>
    <w:rsid w:val="00C232D7"/>
    <w:pPr>
      <w:tabs>
        <w:tab w:val="left" w:pos="926"/>
      </w:tabs>
      <w:spacing w:before="120" w:after="120" w:line="360" w:lineRule="auto"/>
      <w:ind w:left="850" w:hanging="284"/>
    </w:pPr>
    <w:rPr>
      <w:rFonts w:ascii="Arial" w:eastAsia="Times New Roman" w:hAnsi="Arial"/>
      <w:b/>
      <w:sz w:val="24"/>
      <w:lang w:eastAsia="hu-HU"/>
    </w:rPr>
  </w:style>
  <w:style w:type="paragraph" w:styleId="List4">
    <w:name w:val="List 4"/>
    <w:basedOn w:val="Normal"/>
    <w:rsid w:val="00C232D7"/>
    <w:pPr>
      <w:spacing w:after="240"/>
      <w:ind w:left="1132" w:hanging="283"/>
    </w:pPr>
    <w:rPr>
      <w:rFonts w:ascii="Arial" w:eastAsia="Times New Roman" w:hAnsi="Arial"/>
    </w:rPr>
  </w:style>
  <w:style w:type="paragraph" w:styleId="List5">
    <w:name w:val="List 5"/>
    <w:basedOn w:val="Normal"/>
    <w:rsid w:val="00C232D7"/>
    <w:pPr>
      <w:spacing w:after="240"/>
      <w:ind w:left="1415" w:hanging="283"/>
    </w:pPr>
    <w:rPr>
      <w:rFonts w:ascii="Arial" w:eastAsia="Times New Roman" w:hAnsi="Arial"/>
    </w:rPr>
  </w:style>
  <w:style w:type="paragraph" w:styleId="ListBullet">
    <w:name w:val="List Bullet"/>
    <w:basedOn w:val="Normal"/>
    <w:uiPriority w:val="99"/>
    <w:semiHidden/>
    <w:unhideWhenUsed/>
    <w:rsid w:val="00C232D7"/>
    <w:pPr>
      <w:tabs>
        <w:tab w:val="left" w:pos="360"/>
      </w:tabs>
      <w:ind w:left="360" w:hanging="360"/>
      <w:contextualSpacing/>
    </w:pPr>
  </w:style>
  <w:style w:type="paragraph" w:styleId="ListBullet2">
    <w:name w:val="List Bullet 2"/>
    <w:basedOn w:val="Normal"/>
    <w:autoRedefine/>
    <w:rsid w:val="00C232D7"/>
    <w:pPr>
      <w:numPr>
        <w:numId w:val="3"/>
      </w:numPr>
      <w:spacing w:after="120"/>
      <w:jc w:val="left"/>
    </w:pPr>
    <w:rPr>
      <w:rFonts w:ascii="Garamond" w:hAnsi="Garamond" w:cs="Arial"/>
      <w:sz w:val="24"/>
      <w:szCs w:val="24"/>
      <w:lang w:eastAsia="ar-SA"/>
    </w:rPr>
  </w:style>
  <w:style w:type="paragraph" w:styleId="ListBullet3">
    <w:name w:val="List Bullet 3"/>
    <w:basedOn w:val="Normal"/>
    <w:autoRedefine/>
    <w:rsid w:val="00C232D7"/>
    <w:rPr>
      <w:rFonts w:eastAsia="Times New Roman"/>
      <w:sz w:val="26"/>
      <w:lang w:eastAsia="hu-HU"/>
    </w:rPr>
  </w:style>
  <w:style w:type="paragraph" w:styleId="ListBullet4">
    <w:name w:val="List Bullet 4"/>
    <w:basedOn w:val="Text4"/>
    <w:rsid w:val="00C232D7"/>
    <w:pPr>
      <w:tabs>
        <w:tab w:val="left" w:pos="1485"/>
      </w:tabs>
      <w:ind w:left="1485" w:hanging="283"/>
    </w:pPr>
    <w:rPr>
      <w:rFonts w:ascii="Times New Roman" w:hAnsi="Times New Roman"/>
      <w:sz w:val="24"/>
    </w:rPr>
  </w:style>
  <w:style w:type="paragraph" w:customStyle="1" w:styleId="Text4">
    <w:name w:val="Text 4"/>
    <w:basedOn w:val="Normal"/>
    <w:rsid w:val="00C232D7"/>
    <w:pPr>
      <w:tabs>
        <w:tab w:val="left" w:pos="2302"/>
      </w:tabs>
      <w:spacing w:after="240"/>
      <w:ind w:left="1202"/>
    </w:pPr>
    <w:rPr>
      <w:rFonts w:ascii="Arial" w:eastAsia="Times New Roman" w:hAnsi="Arial"/>
    </w:rPr>
  </w:style>
  <w:style w:type="paragraph" w:styleId="ListBullet5">
    <w:name w:val="List Bullet 5"/>
    <w:basedOn w:val="Normal"/>
    <w:autoRedefine/>
    <w:rsid w:val="00C232D7"/>
    <w:pPr>
      <w:tabs>
        <w:tab w:val="left" w:pos="928"/>
      </w:tabs>
      <w:spacing w:after="240"/>
      <w:ind w:left="852"/>
    </w:pPr>
    <w:rPr>
      <w:rFonts w:ascii="Arial" w:eastAsia="Times New Roman" w:hAnsi="Arial"/>
    </w:rPr>
  </w:style>
  <w:style w:type="paragraph" w:styleId="ListContinue">
    <w:name w:val="List Continue"/>
    <w:basedOn w:val="Normal"/>
    <w:rsid w:val="00C232D7"/>
    <w:pPr>
      <w:spacing w:after="120"/>
      <w:ind w:left="283"/>
    </w:pPr>
    <w:rPr>
      <w:rFonts w:ascii="Arial" w:eastAsia="Times New Roman" w:hAnsi="Arial"/>
    </w:rPr>
  </w:style>
  <w:style w:type="paragraph" w:styleId="ListContinue2">
    <w:name w:val="List Continue 2"/>
    <w:basedOn w:val="Normal"/>
    <w:rsid w:val="00C232D7"/>
    <w:pPr>
      <w:spacing w:after="120"/>
      <w:ind w:left="566"/>
    </w:pPr>
    <w:rPr>
      <w:rFonts w:ascii="Arial" w:eastAsia="Times New Roman" w:hAnsi="Arial"/>
    </w:rPr>
  </w:style>
  <w:style w:type="paragraph" w:styleId="ListContinue3">
    <w:name w:val="List Continue 3"/>
    <w:basedOn w:val="Normal"/>
    <w:rsid w:val="00C232D7"/>
    <w:pPr>
      <w:spacing w:after="120"/>
      <w:ind w:left="849"/>
    </w:pPr>
    <w:rPr>
      <w:rFonts w:ascii="Arial" w:eastAsia="Times New Roman" w:hAnsi="Arial"/>
    </w:rPr>
  </w:style>
  <w:style w:type="paragraph" w:styleId="ListContinue4">
    <w:name w:val="List Continue 4"/>
    <w:basedOn w:val="Normal"/>
    <w:rsid w:val="00C232D7"/>
    <w:pPr>
      <w:tabs>
        <w:tab w:val="left" w:pos="927"/>
      </w:tabs>
      <w:spacing w:before="120" w:after="120" w:line="360" w:lineRule="auto"/>
      <w:ind w:left="851" w:hanging="284"/>
    </w:pPr>
    <w:rPr>
      <w:rFonts w:ascii="Arial" w:eastAsia="Times New Roman" w:hAnsi="Arial"/>
      <w:sz w:val="24"/>
      <w:lang w:eastAsia="hu-HU"/>
    </w:rPr>
  </w:style>
  <w:style w:type="paragraph" w:styleId="ListContinue5">
    <w:name w:val="List Continue 5"/>
    <w:basedOn w:val="Normal"/>
    <w:rsid w:val="00C232D7"/>
    <w:pPr>
      <w:spacing w:after="120"/>
      <w:ind w:left="1415"/>
    </w:pPr>
    <w:rPr>
      <w:rFonts w:ascii="Arial" w:eastAsia="Times New Roman" w:hAnsi="Arial"/>
    </w:rPr>
  </w:style>
  <w:style w:type="paragraph" w:styleId="ListNumber">
    <w:name w:val="List Number"/>
    <w:basedOn w:val="Normal"/>
    <w:rsid w:val="00C232D7"/>
    <w:pPr>
      <w:tabs>
        <w:tab w:val="left" w:pos="709"/>
      </w:tabs>
      <w:spacing w:after="240"/>
      <w:ind w:left="709" w:hanging="709"/>
    </w:pPr>
    <w:rPr>
      <w:rFonts w:eastAsia="Times New Roman"/>
      <w:sz w:val="24"/>
    </w:rPr>
  </w:style>
  <w:style w:type="paragraph" w:styleId="ListNumber2">
    <w:name w:val="List Number 2"/>
    <w:basedOn w:val="Text2"/>
    <w:rsid w:val="00C232D7"/>
    <w:pPr>
      <w:tabs>
        <w:tab w:val="left" w:pos="1911"/>
      </w:tabs>
      <w:ind w:left="1911" w:hanging="709"/>
    </w:pPr>
    <w:rPr>
      <w:rFonts w:ascii="Times New Roman" w:hAnsi="Times New Roman"/>
      <w:sz w:val="24"/>
    </w:rPr>
  </w:style>
  <w:style w:type="paragraph" w:customStyle="1" w:styleId="Text2">
    <w:name w:val="Text 2"/>
    <w:basedOn w:val="Normal"/>
    <w:rsid w:val="00C232D7"/>
    <w:pPr>
      <w:tabs>
        <w:tab w:val="left" w:pos="2161"/>
      </w:tabs>
      <w:spacing w:after="240"/>
      <w:ind w:left="1202"/>
    </w:pPr>
    <w:rPr>
      <w:rFonts w:ascii="Arial" w:eastAsia="Times New Roman" w:hAnsi="Arial"/>
    </w:rPr>
  </w:style>
  <w:style w:type="paragraph" w:styleId="ListNumber3">
    <w:name w:val="List Number 3"/>
    <w:basedOn w:val="Normal"/>
    <w:rsid w:val="00C232D7"/>
    <w:pPr>
      <w:tabs>
        <w:tab w:val="left" w:pos="926"/>
      </w:tabs>
      <w:ind w:left="926" w:hanging="360"/>
      <w:jc w:val="left"/>
    </w:pPr>
    <w:rPr>
      <w:rFonts w:eastAsia="Times New Roman"/>
      <w:sz w:val="24"/>
      <w:szCs w:val="24"/>
      <w:lang w:eastAsia="hu-HU"/>
    </w:rPr>
  </w:style>
  <w:style w:type="paragraph" w:styleId="ListNumber4">
    <w:name w:val="List Number 4"/>
    <w:basedOn w:val="Text4"/>
    <w:rsid w:val="00C232D7"/>
    <w:pPr>
      <w:tabs>
        <w:tab w:val="clear" w:pos="2302"/>
        <w:tab w:val="left" w:pos="1911"/>
      </w:tabs>
      <w:ind w:left="1911" w:hanging="709"/>
    </w:pPr>
    <w:rPr>
      <w:rFonts w:ascii="Times New Roman" w:hAnsi="Times New Roman"/>
      <w:sz w:val="24"/>
    </w:rPr>
  </w:style>
  <w:style w:type="paragraph" w:styleId="ListNumber5">
    <w:name w:val="List Number 5"/>
    <w:basedOn w:val="Normal"/>
    <w:rsid w:val="00C232D7"/>
    <w:pPr>
      <w:tabs>
        <w:tab w:val="left" w:pos="926"/>
      </w:tabs>
      <w:spacing w:after="240"/>
      <w:ind w:left="850"/>
    </w:pPr>
    <w:rPr>
      <w:rFonts w:ascii="Arial" w:eastAsia="Times New Roman" w:hAnsi="Arial"/>
    </w:rPr>
  </w:style>
  <w:style w:type="paragraph" w:styleId="MessageHeader">
    <w:name w:val="Message Header"/>
    <w:basedOn w:val="Normal"/>
    <w:link w:val="MessageHeaderChar"/>
    <w:rsid w:val="00C232D7"/>
    <w:pPr>
      <w:pBdr>
        <w:top w:val="single" w:sz="6" w:space="1" w:color="auto"/>
        <w:left w:val="single" w:sz="6" w:space="1" w:color="auto"/>
        <w:bottom w:val="single" w:sz="6" w:space="1" w:color="auto"/>
        <w:right w:val="single" w:sz="6" w:space="1" w:color="auto"/>
      </w:pBdr>
      <w:shd w:val="pct20" w:color="auto" w:fill="auto"/>
      <w:spacing w:after="240"/>
      <w:ind w:left="1134" w:hanging="1134"/>
    </w:pPr>
    <w:rPr>
      <w:rFonts w:ascii="Arial" w:eastAsia="Times New Roman" w:hAnsi="Arial"/>
    </w:rPr>
  </w:style>
  <w:style w:type="character" w:customStyle="1" w:styleId="MessageHeaderChar">
    <w:name w:val="Message Header Char"/>
    <w:basedOn w:val="DefaultParagraphFont"/>
    <w:link w:val="MessageHeader"/>
    <w:rsid w:val="00C232D7"/>
    <w:rPr>
      <w:rFonts w:ascii="Arial" w:eastAsia="Times New Roman" w:hAnsi="Arial" w:cs="Times New Roman"/>
      <w:sz w:val="20"/>
      <w:szCs w:val="20"/>
      <w:shd w:val="pct20" w:color="auto" w:fill="auto"/>
      <w:lang w:val="en-GB"/>
    </w:rPr>
  </w:style>
  <w:style w:type="paragraph" w:styleId="NormalWeb">
    <w:name w:val="Normal (Web)"/>
    <w:basedOn w:val="Normal"/>
    <w:link w:val="NormalWebChar"/>
    <w:uiPriority w:val="99"/>
    <w:rsid w:val="00C232D7"/>
    <w:pPr>
      <w:spacing w:before="100" w:beforeAutospacing="1" w:after="100" w:afterAutospacing="1"/>
      <w:jc w:val="left"/>
    </w:pPr>
    <w:rPr>
      <w:rFonts w:eastAsia="Times New Roman"/>
      <w:smallCaps/>
      <w:color w:val="707060"/>
      <w:sz w:val="24"/>
      <w:szCs w:val="24"/>
      <w:lang w:val="pl-PL" w:eastAsia="hu-HU"/>
    </w:rPr>
  </w:style>
  <w:style w:type="character" w:customStyle="1" w:styleId="NormalWebChar">
    <w:name w:val="Normal (Web) Char"/>
    <w:link w:val="NormalWeb"/>
    <w:uiPriority w:val="99"/>
    <w:rsid w:val="00C232D7"/>
    <w:rPr>
      <w:rFonts w:ascii="Times New Roman" w:eastAsia="Times New Roman" w:hAnsi="Times New Roman" w:cs="Times New Roman"/>
      <w:smallCaps/>
      <w:color w:val="707060"/>
      <w:sz w:val="24"/>
      <w:szCs w:val="24"/>
      <w:lang w:val="pl-PL" w:eastAsia="hu-HU"/>
    </w:rPr>
  </w:style>
  <w:style w:type="paragraph" w:styleId="NormalIndent">
    <w:name w:val="Normal Indent"/>
    <w:basedOn w:val="Normal"/>
    <w:rsid w:val="00C232D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8931"/>
      </w:tabs>
      <w:spacing w:before="120"/>
      <w:ind w:left="1134" w:right="856" w:hanging="567"/>
    </w:pPr>
    <w:rPr>
      <w:rFonts w:eastAsia="Times New Roman"/>
      <w:sz w:val="24"/>
      <w:lang w:val="en-US" w:eastAsia="tr-TR"/>
    </w:rPr>
  </w:style>
  <w:style w:type="paragraph" w:styleId="NoteHeading">
    <w:name w:val="Note Heading"/>
    <w:basedOn w:val="Normal"/>
    <w:next w:val="Normal"/>
    <w:link w:val="NoteHeadingChar"/>
    <w:rsid w:val="00C232D7"/>
    <w:pPr>
      <w:spacing w:after="240"/>
    </w:pPr>
    <w:rPr>
      <w:rFonts w:ascii="Arial" w:eastAsia="Times New Roman" w:hAnsi="Arial"/>
    </w:rPr>
  </w:style>
  <w:style w:type="character" w:customStyle="1" w:styleId="NoteHeadingChar">
    <w:name w:val="Note Heading Char"/>
    <w:basedOn w:val="DefaultParagraphFont"/>
    <w:link w:val="NoteHeading"/>
    <w:rsid w:val="00C232D7"/>
    <w:rPr>
      <w:rFonts w:ascii="Arial" w:eastAsia="Times New Roman" w:hAnsi="Arial" w:cs="Times New Roman"/>
      <w:sz w:val="20"/>
      <w:szCs w:val="20"/>
      <w:lang w:val="en-GB"/>
    </w:rPr>
  </w:style>
  <w:style w:type="character" w:styleId="PageNumber">
    <w:name w:val="page number"/>
    <w:rsid w:val="00C232D7"/>
  </w:style>
  <w:style w:type="paragraph" w:styleId="PlainText">
    <w:name w:val="Plain Text"/>
    <w:basedOn w:val="Normal"/>
    <w:link w:val="PlainTextChar"/>
    <w:unhideWhenUsed/>
    <w:rsid w:val="00C232D7"/>
    <w:pPr>
      <w:jc w:val="left"/>
    </w:pPr>
    <w:rPr>
      <w:rFonts w:ascii="Arial" w:hAnsi="Arial" w:cs="Arial"/>
      <w:smallCaps/>
      <w:color w:val="000080"/>
      <w:sz w:val="24"/>
      <w:szCs w:val="24"/>
      <w:lang w:val="pl-PL" w:eastAsia="pl-PL"/>
    </w:rPr>
  </w:style>
  <w:style w:type="character" w:customStyle="1" w:styleId="PlainTextChar">
    <w:name w:val="Plain Text Char"/>
    <w:basedOn w:val="DefaultParagraphFont"/>
    <w:link w:val="PlainText"/>
    <w:rsid w:val="00C232D7"/>
    <w:rPr>
      <w:rFonts w:ascii="Arial" w:eastAsia="Calibri" w:hAnsi="Arial" w:cs="Arial"/>
      <w:smallCaps/>
      <w:color w:val="000080"/>
      <w:sz w:val="24"/>
      <w:szCs w:val="24"/>
      <w:lang w:val="pl-PL" w:eastAsia="pl-PL"/>
    </w:rPr>
  </w:style>
  <w:style w:type="paragraph" w:styleId="Salutation">
    <w:name w:val="Salutation"/>
    <w:basedOn w:val="Normal"/>
    <w:next w:val="Normal"/>
    <w:link w:val="SalutationChar"/>
    <w:rsid w:val="00C232D7"/>
    <w:pPr>
      <w:spacing w:after="240"/>
    </w:pPr>
    <w:rPr>
      <w:rFonts w:ascii="Arial" w:eastAsia="Times New Roman" w:hAnsi="Arial"/>
    </w:rPr>
  </w:style>
  <w:style w:type="character" w:customStyle="1" w:styleId="SalutationChar">
    <w:name w:val="Salutation Char"/>
    <w:basedOn w:val="DefaultParagraphFont"/>
    <w:link w:val="Salutation"/>
    <w:rsid w:val="00C232D7"/>
    <w:rPr>
      <w:rFonts w:ascii="Arial" w:eastAsia="Times New Roman" w:hAnsi="Arial" w:cs="Times New Roman"/>
      <w:sz w:val="20"/>
      <w:szCs w:val="20"/>
      <w:lang w:val="en-GB"/>
    </w:rPr>
  </w:style>
  <w:style w:type="paragraph" w:styleId="Signature">
    <w:name w:val="Signature"/>
    <w:basedOn w:val="Normal"/>
    <w:next w:val="Enclosures"/>
    <w:link w:val="SignatureChar"/>
    <w:rsid w:val="00C232D7"/>
    <w:pPr>
      <w:tabs>
        <w:tab w:val="left" w:pos="5103"/>
      </w:tabs>
      <w:spacing w:before="1200"/>
      <w:ind w:left="5103"/>
      <w:jc w:val="center"/>
    </w:pPr>
    <w:rPr>
      <w:rFonts w:ascii="Arial" w:eastAsia="Times New Roman" w:hAnsi="Arial"/>
    </w:rPr>
  </w:style>
  <w:style w:type="paragraph" w:customStyle="1" w:styleId="Enclosures">
    <w:name w:val="Enclosures"/>
    <w:basedOn w:val="Normal"/>
    <w:rsid w:val="00C232D7"/>
    <w:pPr>
      <w:keepNext/>
      <w:keepLines/>
      <w:tabs>
        <w:tab w:val="left" w:pos="5642"/>
      </w:tabs>
      <w:spacing w:before="480"/>
      <w:ind w:left="1191" w:hanging="1191"/>
      <w:jc w:val="left"/>
    </w:pPr>
    <w:rPr>
      <w:rFonts w:ascii="Arial" w:eastAsia="Times New Roman" w:hAnsi="Arial"/>
    </w:rPr>
  </w:style>
  <w:style w:type="character" w:customStyle="1" w:styleId="SignatureChar">
    <w:name w:val="Signature Char"/>
    <w:basedOn w:val="DefaultParagraphFont"/>
    <w:link w:val="Signature"/>
    <w:rsid w:val="00C232D7"/>
    <w:rPr>
      <w:rFonts w:ascii="Arial" w:eastAsia="Times New Roman" w:hAnsi="Arial" w:cs="Times New Roman"/>
      <w:sz w:val="20"/>
      <w:szCs w:val="20"/>
      <w:lang w:val="en-GB"/>
    </w:rPr>
  </w:style>
  <w:style w:type="character" w:styleId="Strong">
    <w:name w:val="Strong"/>
    <w:uiPriority w:val="22"/>
    <w:qFormat/>
    <w:rsid w:val="00C232D7"/>
    <w:rPr>
      <w:rFonts w:ascii="Tahoma" w:hAnsi="Tahoma"/>
      <w:b/>
      <w:bCs/>
      <w:smallCaps/>
      <w:sz w:val="24"/>
      <w:szCs w:val="24"/>
      <w:lang w:val="pl-PL" w:eastAsia="pl-PL" w:bidi="ar-SA"/>
    </w:rPr>
  </w:style>
  <w:style w:type="paragraph" w:styleId="Subtitle">
    <w:name w:val="Subtitle"/>
    <w:basedOn w:val="Normal"/>
    <w:next w:val="BodyText"/>
    <w:link w:val="SubtitleChar"/>
    <w:qFormat/>
    <w:rsid w:val="00C232D7"/>
    <w:pPr>
      <w:suppressAutoHyphens/>
      <w:jc w:val="center"/>
    </w:pPr>
    <w:rPr>
      <w:rFonts w:eastAsia="Times New Roman"/>
      <w:b/>
      <w:sz w:val="28"/>
      <w:u w:val="single"/>
      <w:lang w:val="en-US" w:eastAsia="ar-SA"/>
    </w:rPr>
  </w:style>
  <w:style w:type="character" w:customStyle="1" w:styleId="SubtitleChar">
    <w:name w:val="Subtitle Char"/>
    <w:basedOn w:val="DefaultParagraphFont"/>
    <w:link w:val="Subtitle"/>
    <w:rsid w:val="00C232D7"/>
    <w:rPr>
      <w:rFonts w:ascii="Times New Roman" w:eastAsia="Times New Roman" w:hAnsi="Times New Roman" w:cs="Times New Roman"/>
      <w:b/>
      <w:sz w:val="28"/>
      <w:szCs w:val="20"/>
      <w:u w:val="single"/>
      <w:lang w:eastAsia="ar-SA"/>
    </w:rPr>
  </w:style>
  <w:style w:type="table" w:styleId="TableElegant">
    <w:name w:val="Table Elegant"/>
    <w:basedOn w:val="TableNormal"/>
    <w:rsid w:val="00C232D7"/>
    <w:pPr>
      <w:spacing w:after="0" w:line="240" w:lineRule="auto"/>
    </w:pPr>
    <w:rPr>
      <w:rFonts w:ascii="Times New Roman" w:eastAsia="MS Mincho"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styleId="TableGrid">
    <w:name w:val="Table Grid"/>
    <w:aliases w:val="Tabellengitternetz,Test table,Zchn Zchn Char Zchn Zchn Char Zchn Zchn,Zchn Zchn Char Zchn Zchn Char Char Char Char Zchn Zchn Zchn,Zchn Zchn Char Zchn Zchn Char Zchn Char Zchn Zchn,Zchn Zchn Char Zchn Char Zchn Char Zchn Zchn Zchn,denkstatt"/>
    <w:basedOn w:val="TableNormal"/>
    <w:uiPriority w:val="39"/>
    <w:rsid w:val="00C232D7"/>
    <w:pPr>
      <w:spacing w:before="120" w:after="0" w:line="240" w:lineRule="auto"/>
      <w:ind w:left="1134"/>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C232D7"/>
    <w:pPr>
      <w:ind w:left="400" w:hanging="400"/>
      <w:jc w:val="left"/>
    </w:pPr>
    <w:rPr>
      <w:rFonts w:asciiTheme="minorHAnsi" w:hAnsiTheme="minorHAnsi" w:cstheme="minorHAnsi"/>
      <w:caps/>
    </w:rPr>
  </w:style>
  <w:style w:type="paragraph" w:styleId="Title">
    <w:name w:val="Title"/>
    <w:basedOn w:val="Normal"/>
    <w:link w:val="TitleChar"/>
    <w:qFormat/>
    <w:rsid w:val="00C232D7"/>
    <w:pPr>
      <w:pBdr>
        <w:top w:val="double" w:sz="6" w:space="0" w:color="000000"/>
        <w:left w:val="double" w:sz="6" w:space="0" w:color="000000"/>
        <w:bottom w:val="double" w:sz="6" w:space="0" w:color="000000"/>
        <w:right w:val="double" w:sz="6" w:space="0" w:color="000000"/>
      </w:pBdr>
      <w:suppressAutoHyphens/>
      <w:autoSpaceDN w:val="0"/>
      <w:jc w:val="center"/>
      <w:textAlignment w:val="baseline"/>
    </w:pPr>
    <w:rPr>
      <w:rFonts w:ascii="Arial" w:eastAsia="Times New Roman" w:hAnsi="Arial"/>
      <w:b/>
      <w:smallCaps/>
      <w:sz w:val="24"/>
      <w:lang w:eastAsia="fr-FR"/>
    </w:rPr>
  </w:style>
  <w:style w:type="character" w:customStyle="1" w:styleId="TitleChar">
    <w:name w:val="Title Char"/>
    <w:basedOn w:val="DefaultParagraphFont"/>
    <w:link w:val="Title"/>
    <w:rsid w:val="00C232D7"/>
    <w:rPr>
      <w:rFonts w:ascii="Arial" w:eastAsia="Times New Roman" w:hAnsi="Arial" w:cs="Times New Roman"/>
      <w:b/>
      <w:smallCaps/>
      <w:sz w:val="24"/>
      <w:szCs w:val="20"/>
      <w:lang w:val="en-GB" w:eastAsia="fr-FR"/>
    </w:rPr>
  </w:style>
  <w:style w:type="paragraph" w:styleId="TOC1">
    <w:name w:val="toc 1"/>
    <w:basedOn w:val="Normal"/>
    <w:next w:val="Normal"/>
    <w:autoRedefine/>
    <w:uiPriority w:val="39"/>
    <w:qFormat/>
    <w:rsid w:val="00C232D7"/>
    <w:pPr>
      <w:tabs>
        <w:tab w:val="left" w:pos="600"/>
        <w:tab w:val="right" w:leader="dot" w:pos="9639"/>
      </w:tabs>
      <w:spacing w:before="60" w:after="60"/>
      <w:ind w:left="601" w:right="850" w:hanging="601"/>
      <w:jc w:val="left"/>
    </w:pPr>
    <w:rPr>
      <w:rFonts w:ascii="Times New Roman Bold" w:hAnsi="Times New Roman Bold"/>
      <w:b/>
      <w:smallCaps/>
      <w:sz w:val="24"/>
      <w:szCs w:val="24"/>
    </w:rPr>
  </w:style>
  <w:style w:type="paragraph" w:styleId="TOC2">
    <w:name w:val="toc 2"/>
    <w:basedOn w:val="Normal"/>
    <w:next w:val="Normal"/>
    <w:autoRedefine/>
    <w:uiPriority w:val="39"/>
    <w:qFormat/>
    <w:rsid w:val="00526FFA"/>
    <w:pPr>
      <w:tabs>
        <w:tab w:val="left" w:pos="1276"/>
        <w:tab w:val="right" w:leader="dot" w:pos="9639"/>
      </w:tabs>
      <w:spacing w:before="40"/>
      <w:ind w:left="675" w:right="839" w:hanging="675"/>
      <w:jc w:val="left"/>
    </w:pPr>
    <w:rPr>
      <w:lang w:val="sq-AL"/>
    </w:rPr>
  </w:style>
  <w:style w:type="paragraph" w:styleId="TOC3">
    <w:name w:val="toc 3"/>
    <w:basedOn w:val="Normal"/>
    <w:next w:val="Normal"/>
    <w:autoRedefine/>
    <w:uiPriority w:val="39"/>
    <w:qFormat/>
    <w:rsid w:val="00C232D7"/>
    <w:pPr>
      <w:tabs>
        <w:tab w:val="left" w:pos="1985"/>
        <w:tab w:val="right" w:leader="dot" w:pos="9639"/>
      </w:tabs>
      <w:ind w:left="1985" w:right="708" w:hanging="709"/>
      <w:jc w:val="left"/>
    </w:pPr>
    <w:rPr>
      <w:i/>
      <w:sz w:val="18"/>
      <w:szCs w:val="18"/>
    </w:rPr>
  </w:style>
  <w:style w:type="paragraph" w:styleId="TOC4">
    <w:name w:val="toc 4"/>
    <w:basedOn w:val="Normal"/>
    <w:next w:val="Normal"/>
    <w:autoRedefine/>
    <w:uiPriority w:val="39"/>
    <w:rsid w:val="00C232D7"/>
    <w:pPr>
      <w:tabs>
        <w:tab w:val="right" w:pos="2835"/>
        <w:tab w:val="left" w:pos="2977"/>
        <w:tab w:val="right" w:leader="dot" w:pos="9600"/>
      </w:tabs>
      <w:ind w:left="2977" w:right="639" w:hanging="850"/>
      <w:jc w:val="left"/>
    </w:pPr>
    <w:rPr>
      <w:sz w:val="18"/>
      <w:szCs w:val="18"/>
    </w:rPr>
  </w:style>
  <w:style w:type="paragraph" w:styleId="TOC5">
    <w:name w:val="toc 5"/>
    <w:basedOn w:val="Normal"/>
    <w:next w:val="Normal"/>
    <w:autoRedefine/>
    <w:uiPriority w:val="39"/>
    <w:rsid w:val="00C232D7"/>
    <w:pPr>
      <w:ind w:left="960"/>
      <w:jc w:val="left"/>
    </w:pPr>
    <w:rPr>
      <w:rFonts w:eastAsia="Times New Roman"/>
      <w:sz w:val="24"/>
      <w:szCs w:val="24"/>
      <w:lang w:val="it-IT" w:eastAsia="it-IT"/>
    </w:rPr>
  </w:style>
  <w:style w:type="paragraph" w:styleId="TOC6">
    <w:name w:val="toc 6"/>
    <w:basedOn w:val="Normal"/>
    <w:next w:val="Normal"/>
    <w:autoRedefine/>
    <w:uiPriority w:val="39"/>
    <w:rsid w:val="00C232D7"/>
    <w:pPr>
      <w:ind w:left="1200"/>
      <w:jc w:val="left"/>
    </w:pPr>
    <w:rPr>
      <w:rFonts w:eastAsia="Times New Roman"/>
      <w:sz w:val="24"/>
      <w:szCs w:val="24"/>
      <w:lang w:val="it-IT" w:eastAsia="it-IT"/>
    </w:rPr>
  </w:style>
  <w:style w:type="paragraph" w:styleId="TOC7">
    <w:name w:val="toc 7"/>
    <w:basedOn w:val="Normal"/>
    <w:next w:val="Normal"/>
    <w:autoRedefine/>
    <w:uiPriority w:val="39"/>
    <w:rsid w:val="00C232D7"/>
    <w:pPr>
      <w:ind w:left="1440"/>
      <w:jc w:val="left"/>
    </w:pPr>
    <w:rPr>
      <w:rFonts w:eastAsia="Times New Roman"/>
      <w:sz w:val="24"/>
      <w:szCs w:val="24"/>
      <w:lang w:val="it-IT" w:eastAsia="it-IT"/>
    </w:rPr>
  </w:style>
  <w:style w:type="paragraph" w:styleId="TOC8">
    <w:name w:val="toc 8"/>
    <w:basedOn w:val="Normal"/>
    <w:next w:val="Normal"/>
    <w:autoRedefine/>
    <w:uiPriority w:val="39"/>
    <w:rsid w:val="00C232D7"/>
    <w:pPr>
      <w:ind w:left="1680"/>
      <w:jc w:val="left"/>
    </w:pPr>
    <w:rPr>
      <w:rFonts w:eastAsia="Times New Roman"/>
      <w:sz w:val="24"/>
      <w:szCs w:val="24"/>
      <w:lang w:val="it-IT" w:eastAsia="it-IT"/>
    </w:rPr>
  </w:style>
  <w:style w:type="paragraph" w:styleId="TOC9">
    <w:name w:val="toc 9"/>
    <w:basedOn w:val="Normal"/>
    <w:next w:val="Normal"/>
    <w:autoRedefine/>
    <w:uiPriority w:val="39"/>
    <w:rsid w:val="00C232D7"/>
    <w:pPr>
      <w:ind w:left="1920"/>
      <w:jc w:val="left"/>
    </w:pPr>
    <w:rPr>
      <w:rFonts w:eastAsia="Times New Roman"/>
      <w:sz w:val="24"/>
      <w:szCs w:val="24"/>
      <w:lang w:val="it-IT" w:eastAsia="it-IT"/>
    </w:rPr>
  </w:style>
  <w:style w:type="table" w:styleId="LightList-Accent4">
    <w:name w:val="Light List Accent 4"/>
    <w:basedOn w:val="TableNormal"/>
    <w:uiPriority w:val="61"/>
    <w:rsid w:val="00C232D7"/>
    <w:pPr>
      <w:spacing w:after="0" w:line="240" w:lineRule="auto"/>
    </w:pPr>
    <w:rPr>
      <w:lang w:val="el-GR"/>
    </w:rPr>
    <w:tblPr>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Einzug2">
    <w:name w:val="Einzug 2"/>
    <w:basedOn w:val="Normal"/>
    <w:rsid w:val="00C232D7"/>
    <w:pPr>
      <w:tabs>
        <w:tab w:val="left" w:pos="1701"/>
      </w:tabs>
      <w:ind w:left="1702" w:hanging="284"/>
    </w:pPr>
  </w:style>
  <w:style w:type="paragraph" w:customStyle="1" w:styleId="xl28">
    <w:name w:val="xl28"/>
    <w:basedOn w:val="Normal"/>
    <w:rsid w:val="00C232D7"/>
    <w:pPr>
      <w:pBdr>
        <w:top w:val="single" w:sz="8" w:space="0" w:color="auto"/>
        <w:left w:val="single" w:sz="8" w:space="0" w:color="auto"/>
      </w:pBdr>
      <w:spacing w:before="100" w:beforeAutospacing="1" w:after="100" w:afterAutospacing="1"/>
      <w:jc w:val="left"/>
    </w:pPr>
    <w:rPr>
      <w:rFonts w:eastAsia="Arial Unicode MS" w:cs="Arial"/>
      <w:b/>
      <w:bCs/>
      <w:sz w:val="18"/>
      <w:szCs w:val="18"/>
    </w:rPr>
  </w:style>
  <w:style w:type="paragraph" w:customStyle="1" w:styleId="xl29">
    <w:name w:val="xl29"/>
    <w:basedOn w:val="Normal"/>
    <w:rsid w:val="00C232D7"/>
    <w:pPr>
      <w:pBdr>
        <w:top w:val="single" w:sz="8" w:space="0" w:color="auto"/>
      </w:pBdr>
      <w:spacing w:before="100" w:beforeAutospacing="1" w:after="100" w:afterAutospacing="1"/>
      <w:jc w:val="center"/>
    </w:pPr>
    <w:rPr>
      <w:rFonts w:eastAsia="Arial Unicode MS" w:cs="Arial"/>
      <w:b/>
      <w:bCs/>
      <w:sz w:val="18"/>
      <w:szCs w:val="18"/>
    </w:rPr>
  </w:style>
  <w:style w:type="paragraph" w:customStyle="1" w:styleId="xl30">
    <w:name w:val="xl30"/>
    <w:basedOn w:val="Normal"/>
    <w:rsid w:val="00C232D7"/>
    <w:pPr>
      <w:pBdr>
        <w:top w:val="single" w:sz="8" w:space="0" w:color="auto"/>
      </w:pBdr>
      <w:spacing w:before="100" w:beforeAutospacing="1" w:after="100" w:afterAutospacing="1"/>
      <w:jc w:val="left"/>
    </w:pPr>
    <w:rPr>
      <w:rFonts w:eastAsia="Arial Unicode MS" w:cs="Arial"/>
      <w:b/>
      <w:bCs/>
      <w:sz w:val="18"/>
      <w:szCs w:val="18"/>
    </w:rPr>
  </w:style>
  <w:style w:type="paragraph" w:customStyle="1" w:styleId="xl31">
    <w:name w:val="xl31"/>
    <w:basedOn w:val="Normal"/>
    <w:rsid w:val="00C232D7"/>
    <w:pPr>
      <w:pBdr>
        <w:top w:val="single" w:sz="8" w:space="0" w:color="auto"/>
      </w:pBdr>
      <w:spacing w:before="100" w:beforeAutospacing="1" w:after="100" w:afterAutospacing="1"/>
      <w:jc w:val="left"/>
    </w:pPr>
    <w:rPr>
      <w:rFonts w:eastAsia="Arial Unicode MS" w:cs="Arial"/>
      <w:b/>
      <w:bCs/>
      <w:sz w:val="18"/>
      <w:szCs w:val="18"/>
    </w:rPr>
  </w:style>
  <w:style w:type="paragraph" w:customStyle="1" w:styleId="xl32">
    <w:name w:val="xl32"/>
    <w:basedOn w:val="Normal"/>
    <w:rsid w:val="00C232D7"/>
    <w:pPr>
      <w:pBdr>
        <w:top w:val="single" w:sz="8" w:space="0" w:color="auto"/>
      </w:pBdr>
      <w:spacing w:before="100" w:beforeAutospacing="1" w:after="100" w:afterAutospacing="1"/>
      <w:jc w:val="left"/>
    </w:pPr>
    <w:rPr>
      <w:rFonts w:eastAsia="Arial Unicode MS" w:cs="Arial"/>
      <w:b/>
      <w:bCs/>
      <w:sz w:val="18"/>
      <w:szCs w:val="18"/>
    </w:rPr>
  </w:style>
  <w:style w:type="paragraph" w:customStyle="1" w:styleId="xl33">
    <w:name w:val="xl33"/>
    <w:basedOn w:val="Normal"/>
    <w:rsid w:val="00C232D7"/>
    <w:pPr>
      <w:pBdr>
        <w:top w:val="single" w:sz="8" w:space="0" w:color="auto"/>
        <w:right w:val="single" w:sz="8" w:space="0" w:color="auto"/>
      </w:pBdr>
      <w:spacing w:before="100" w:beforeAutospacing="1" w:after="100" w:afterAutospacing="1"/>
      <w:jc w:val="left"/>
    </w:pPr>
    <w:rPr>
      <w:rFonts w:eastAsia="Arial Unicode MS" w:cs="Arial"/>
      <w:b/>
      <w:bCs/>
      <w:sz w:val="18"/>
      <w:szCs w:val="18"/>
    </w:rPr>
  </w:style>
  <w:style w:type="paragraph" w:customStyle="1" w:styleId="xl34">
    <w:name w:val="xl34"/>
    <w:basedOn w:val="Normal"/>
    <w:rsid w:val="00C232D7"/>
    <w:pPr>
      <w:pBdr>
        <w:left w:val="single" w:sz="8" w:space="0" w:color="auto"/>
      </w:pBdr>
      <w:spacing w:before="100" w:beforeAutospacing="1" w:after="100" w:afterAutospacing="1"/>
      <w:jc w:val="left"/>
    </w:pPr>
    <w:rPr>
      <w:rFonts w:eastAsia="Arial Unicode MS" w:cs="Arial"/>
      <w:sz w:val="18"/>
      <w:szCs w:val="18"/>
    </w:rPr>
  </w:style>
  <w:style w:type="paragraph" w:customStyle="1" w:styleId="xl35">
    <w:name w:val="xl35"/>
    <w:basedOn w:val="Normal"/>
    <w:rsid w:val="00C232D7"/>
    <w:pPr>
      <w:spacing w:before="100" w:beforeAutospacing="1" w:after="100" w:afterAutospacing="1"/>
      <w:jc w:val="center"/>
    </w:pPr>
    <w:rPr>
      <w:rFonts w:eastAsia="Arial Unicode MS" w:cs="Arial"/>
      <w:sz w:val="18"/>
      <w:szCs w:val="18"/>
    </w:rPr>
  </w:style>
  <w:style w:type="paragraph" w:customStyle="1" w:styleId="xl36">
    <w:name w:val="xl36"/>
    <w:basedOn w:val="Normal"/>
    <w:rsid w:val="00C232D7"/>
    <w:pPr>
      <w:spacing w:before="100" w:beforeAutospacing="1" w:after="100" w:afterAutospacing="1"/>
      <w:jc w:val="left"/>
    </w:pPr>
    <w:rPr>
      <w:rFonts w:eastAsia="Arial Unicode MS" w:cs="Arial"/>
      <w:sz w:val="18"/>
      <w:szCs w:val="18"/>
    </w:rPr>
  </w:style>
  <w:style w:type="paragraph" w:customStyle="1" w:styleId="xl37">
    <w:name w:val="xl37"/>
    <w:basedOn w:val="Normal"/>
    <w:rsid w:val="00C232D7"/>
    <w:pPr>
      <w:spacing w:before="100" w:beforeAutospacing="1" w:after="100" w:afterAutospacing="1"/>
      <w:jc w:val="left"/>
    </w:pPr>
    <w:rPr>
      <w:rFonts w:eastAsia="Arial Unicode MS" w:cs="Arial"/>
      <w:sz w:val="18"/>
      <w:szCs w:val="18"/>
    </w:rPr>
  </w:style>
  <w:style w:type="paragraph" w:customStyle="1" w:styleId="xl38">
    <w:name w:val="xl38"/>
    <w:basedOn w:val="Normal"/>
    <w:rsid w:val="00C232D7"/>
    <w:pPr>
      <w:pBdr>
        <w:right w:val="single" w:sz="8" w:space="0" w:color="auto"/>
      </w:pBdr>
      <w:spacing w:before="100" w:beforeAutospacing="1" w:after="100" w:afterAutospacing="1"/>
      <w:jc w:val="left"/>
    </w:pPr>
    <w:rPr>
      <w:rFonts w:eastAsia="Arial Unicode MS" w:cs="Arial"/>
      <w:sz w:val="18"/>
      <w:szCs w:val="18"/>
    </w:rPr>
  </w:style>
  <w:style w:type="paragraph" w:customStyle="1" w:styleId="xl39">
    <w:name w:val="xl39"/>
    <w:basedOn w:val="Normal"/>
    <w:rsid w:val="00C232D7"/>
    <w:pPr>
      <w:spacing w:before="100" w:beforeAutospacing="1" w:after="100" w:afterAutospacing="1"/>
      <w:jc w:val="left"/>
    </w:pPr>
    <w:rPr>
      <w:rFonts w:eastAsia="Arial Unicode MS" w:cs="Arial"/>
      <w:sz w:val="18"/>
      <w:szCs w:val="18"/>
    </w:rPr>
  </w:style>
  <w:style w:type="paragraph" w:customStyle="1" w:styleId="xl40">
    <w:name w:val="xl40"/>
    <w:basedOn w:val="Normal"/>
    <w:rsid w:val="00C232D7"/>
    <w:pPr>
      <w:pBdr>
        <w:right w:val="single" w:sz="8" w:space="0" w:color="auto"/>
      </w:pBdr>
      <w:spacing w:before="100" w:beforeAutospacing="1" w:after="100" w:afterAutospacing="1"/>
      <w:jc w:val="left"/>
    </w:pPr>
    <w:rPr>
      <w:rFonts w:ascii="Arial Unicode MS" w:eastAsia="Arial Unicode MS" w:hAnsi="Arial Unicode MS" w:cs="Arial Unicode MS"/>
      <w:sz w:val="24"/>
      <w:szCs w:val="24"/>
    </w:rPr>
  </w:style>
  <w:style w:type="paragraph" w:customStyle="1" w:styleId="xl41">
    <w:name w:val="xl41"/>
    <w:basedOn w:val="Normal"/>
    <w:rsid w:val="00C232D7"/>
    <w:pPr>
      <w:spacing w:before="100" w:beforeAutospacing="1" w:after="100" w:afterAutospacing="1"/>
      <w:jc w:val="left"/>
    </w:pPr>
    <w:rPr>
      <w:rFonts w:eastAsia="Arial Unicode MS" w:cs="Arial"/>
      <w:sz w:val="18"/>
      <w:szCs w:val="18"/>
    </w:rPr>
  </w:style>
  <w:style w:type="paragraph" w:customStyle="1" w:styleId="xl42">
    <w:name w:val="xl42"/>
    <w:basedOn w:val="Normal"/>
    <w:rsid w:val="00C232D7"/>
    <w:pPr>
      <w:pBdr>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43">
    <w:name w:val="xl43"/>
    <w:basedOn w:val="Normal"/>
    <w:rsid w:val="00C232D7"/>
    <w:pPr>
      <w:pBdr>
        <w:left w:val="single" w:sz="8" w:space="0" w:color="auto"/>
        <w:bottom w:val="single" w:sz="8" w:space="0" w:color="auto"/>
      </w:pBdr>
      <w:spacing w:before="100" w:beforeAutospacing="1" w:after="100" w:afterAutospacing="1"/>
      <w:jc w:val="left"/>
    </w:pPr>
    <w:rPr>
      <w:rFonts w:eastAsia="Arial Unicode MS" w:cs="Arial"/>
      <w:sz w:val="18"/>
      <w:szCs w:val="18"/>
    </w:rPr>
  </w:style>
  <w:style w:type="paragraph" w:customStyle="1" w:styleId="xl44">
    <w:name w:val="xl44"/>
    <w:basedOn w:val="Normal"/>
    <w:rsid w:val="00C232D7"/>
    <w:pPr>
      <w:pBdr>
        <w:bottom w:val="single" w:sz="8" w:space="0" w:color="auto"/>
      </w:pBdr>
      <w:spacing w:before="100" w:beforeAutospacing="1" w:after="100" w:afterAutospacing="1"/>
      <w:jc w:val="left"/>
    </w:pPr>
    <w:rPr>
      <w:rFonts w:eastAsia="Arial Unicode MS" w:cs="Arial"/>
      <w:sz w:val="18"/>
      <w:szCs w:val="18"/>
    </w:rPr>
  </w:style>
  <w:style w:type="paragraph" w:customStyle="1" w:styleId="xl45">
    <w:name w:val="xl45"/>
    <w:basedOn w:val="Normal"/>
    <w:rsid w:val="00C232D7"/>
    <w:pPr>
      <w:pBdr>
        <w:bottom w:val="single" w:sz="8" w:space="0" w:color="auto"/>
      </w:pBdr>
      <w:spacing w:before="100" w:beforeAutospacing="1" w:after="100" w:afterAutospacing="1"/>
      <w:jc w:val="left"/>
    </w:pPr>
    <w:rPr>
      <w:rFonts w:ascii="Arial Unicode MS" w:eastAsia="Arial Unicode MS" w:hAnsi="Arial Unicode MS" w:cs="Arial Unicode MS"/>
      <w:sz w:val="24"/>
      <w:szCs w:val="24"/>
    </w:rPr>
  </w:style>
  <w:style w:type="paragraph" w:customStyle="1" w:styleId="xl46">
    <w:name w:val="xl46"/>
    <w:basedOn w:val="Normal"/>
    <w:rsid w:val="00C232D7"/>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CharCharCharCharCarCar">
    <w:name w:val="Char Char Char Char Car Car"/>
    <w:basedOn w:val="Normal"/>
    <w:rsid w:val="00C232D7"/>
    <w:pPr>
      <w:tabs>
        <w:tab w:val="left" w:pos="709"/>
      </w:tabs>
      <w:jc w:val="left"/>
    </w:pPr>
    <w:rPr>
      <w:rFonts w:ascii="Tahoma" w:hAnsi="Tahoma"/>
      <w:sz w:val="24"/>
      <w:szCs w:val="24"/>
      <w:lang w:val="pl-PL" w:eastAsia="pl-PL"/>
    </w:rPr>
  </w:style>
  <w:style w:type="paragraph" w:customStyle="1" w:styleId="Normale1">
    <w:name w:val="Normale1"/>
    <w:basedOn w:val="Normal"/>
    <w:rsid w:val="00C232D7"/>
    <w:rPr>
      <w:sz w:val="24"/>
      <w:lang w:eastAsia="es-ES"/>
    </w:rPr>
  </w:style>
  <w:style w:type="paragraph" w:customStyle="1" w:styleId="ColorfulShading-Accent31">
    <w:name w:val="Colorful Shading - Accent 31"/>
    <w:basedOn w:val="Normal"/>
    <w:link w:val="ColorfulShading-Accent3Char"/>
    <w:uiPriority w:val="34"/>
    <w:qFormat/>
    <w:rsid w:val="00C232D7"/>
    <w:pPr>
      <w:ind w:left="720"/>
      <w:contextualSpacing/>
    </w:pPr>
  </w:style>
  <w:style w:type="character" w:customStyle="1" w:styleId="ColorfulShading-Accent3Char">
    <w:name w:val="Colorful Shading - Accent 3 Char"/>
    <w:link w:val="ColorfulShading-Accent31"/>
    <w:uiPriority w:val="34"/>
    <w:rsid w:val="00C232D7"/>
    <w:rPr>
      <w:rFonts w:ascii="Times New Roman" w:eastAsia="Calibri" w:hAnsi="Times New Roman" w:cs="Times New Roman"/>
      <w:sz w:val="20"/>
      <w:szCs w:val="20"/>
      <w:lang w:val="en-GB"/>
    </w:rPr>
  </w:style>
  <w:style w:type="paragraph" w:customStyle="1" w:styleId="ueberschrift1">
    <w:name w:val="ueberschrift1"/>
    <w:basedOn w:val="Normal"/>
    <w:rsid w:val="00C232D7"/>
    <w:pPr>
      <w:spacing w:before="100" w:beforeAutospacing="1" w:after="100" w:afterAutospacing="1"/>
      <w:jc w:val="left"/>
    </w:pPr>
    <w:rPr>
      <w:rFonts w:cs="Arial"/>
      <w:b/>
      <w:bCs/>
      <w:color w:val="333399"/>
      <w:sz w:val="28"/>
      <w:szCs w:val="28"/>
      <w:lang w:val="en-US"/>
    </w:rPr>
  </w:style>
  <w:style w:type="paragraph" w:customStyle="1" w:styleId="Default">
    <w:name w:val="Default"/>
    <w:rsid w:val="00C232D7"/>
    <w:pPr>
      <w:widowControl w:val="0"/>
      <w:autoSpaceDE w:val="0"/>
      <w:autoSpaceDN w:val="0"/>
      <w:adjustRightInd w:val="0"/>
      <w:spacing w:after="0" w:line="360" w:lineRule="atLeast"/>
      <w:ind w:left="568" w:hanging="284"/>
      <w:jc w:val="both"/>
      <w:textAlignment w:val="baseline"/>
    </w:pPr>
    <w:rPr>
      <w:rFonts w:ascii="Arial" w:eastAsia="Calibri" w:hAnsi="Arial" w:cs="Arial"/>
      <w:color w:val="000000"/>
      <w:sz w:val="24"/>
      <w:szCs w:val="24"/>
      <w:lang w:val="en-GB" w:eastAsia="en-GB"/>
    </w:rPr>
  </w:style>
  <w:style w:type="paragraph" w:customStyle="1" w:styleId="ueberschrift2">
    <w:name w:val="ueberschrift2"/>
    <w:basedOn w:val="Normal"/>
    <w:rsid w:val="00C232D7"/>
    <w:pPr>
      <w:spacing w:before="100" w:beforeAutospacing="1" w:after="100" w:afterAutospacing="1"/>
      <w:jc w:val="left"/>
    </w:pPr>
    <w:rPr>
      <w:rFonts w:cs="Arial"/>
      <w:b/>
      <w:bCs/>
      <w:color w:val="333399"/>
      <w:lang w:val="en-US"/>
    </w:rPr>
  </w:style>
  <w:style w:type="paragraph" w:customStyle="1" w:styleId="normaltableau">
    <w:name w:val="normal_tableau"/>
    <w:basedOn w:val="Normal"/>
    <w:rsid w:val="00C232D7"/>
    <w:pPr>
      <w:spacing w:after="120"/>
    </w:pPr>
    <w:rPr>
      <w:rFonts w:ascii="Optima" w:hAnsi="Optima"/>
      <w:sz w:val="22"/>
    </w:rPr>
  </w:style>
  <w:style w:type="paragraph" w:customStyle="1" w:styleId="subchapter">
    <w:name w:val="subchapter"/>
    <w:basedOn w:val="Normal"/>
    <w:rsid w:val="00C232D7"/>
    <w:pPr>
      <w:spacing w:after="120"/>
    </w:pPr>
    <w:rPr>
      <w:i/>
      <w:sz w:val="24"/>
      <w:lang w:eastAsia="es-ES"/>
    </w:rPr>
  </w:style>
  <w:style w:type="paragraph" w:customStyle="1" w:styleId="StileSommario1Destro162cm">
    <w:name w:val="Stile Sommario 1 + Destro 162 cm"/>
    <w:basedOn w:val="TOC1"/>
    <w:autoRedefine/>
    <w:rsid w:val="00C232D7"/>
    <w:pPr>
      <w:ind w:right="916"/>
    </w:pPr>
    <w:rPr>
      <w:bCs/>
    </w:rPr>
  </w:style>
  <w:style w:type="paragraph" w:customStyle="1" w:styleId="StileSommario2Destro162cm">
    <w:name w:val="Stile Sommario 2 + Destro 162 cm"/>
    <w:basedOn w:val="TOC2"/>
    <w:autoRedefine/>
    <w:rsid w:val="00C232D7"/>
    <w:pPr>
      <w:ind w:left="1400" w:right="916" w:hanging="751"/>
    </w:pPr>
  </w:style>
  <w:style w:type="paragraph" w:customStyle="1" w:styleId="StileSommario1Destro162cm1">
    <w:name w:val="Stile Sommario 1 + Destro 162 cm1"/>
    <w:basedOn w:val="TOC1"/>
    <w:autoRedefine/>
    <w:rsid w:val="00C232D7"/>
    <w:pPr>
      <w:ind w:right="916"/>
    </w:pPr>
    <w:rPr>
      <w:bCs/>
    </w:rPr>
  </w:style>
  <w:style w:type="paragraph" w:customStyle="1" w:styleId="StileSommario3Destro162cm">
    <w:name w:val="Stile Sommario 3 + Destro 162 cm"/>
    <w:basedOn w:val="TOC3"/>
    <w:autoRedefine/>
    <w:rsid w:val="00C232D7"/>
    <w:pPr>
      <w:tabs>
        <w:tab w:val="right" w:pos="9600"/>
      </w:tabs>
      <w:ind w:left="2100" w:right="916" w:hanging="700"/>
    </w:pPr>
    <w:rPr>
      <w:i w:val="0"/>
    </w:rPr>
  </w:style>
  <w:style w:type="paragraph" w:customStyle="1" w:styleId="StileSommario1Sinistro0cmSporgente106cmDestro162">
    <w:name w:val="Stile Sommario 1 + Sinistro:  0 cm Sporgente  106 cm Destro 162..."/>
    <w:basedOn w:val="TOC1"/>
    <w:autoRedefine/>
    <w:rsid w:val="00C232D7"/>
    <w:pPr>
      <w:ind w:left="600" w:right="916" w:hanging="600"/>
    </w:pPr>
    <w:rPr>
      <w:bCs/>
    </w:rPr>
  </w:style>
  <w:style w:type="paragraph" w:customStyle="1" w:styleId="StileSommario1Destro162cm2">
    <w:name w:val="Stile Sommario 1 + Destro 162 cm2"/>
    <w:basedOn w:val="TOC1"/>
    <w:autoRedefine/>
    <w:rsid w:val="00C232D7"/>
    <w:pPr>
      <w:tabs>
        <w:tab w:val="right" w:leader="dot" w:pos="9072"/>
      </w:tabs>
      <w:ind w:right="916"/>
    </w:pPr>
    <w:rPr>
      <w:bCs/>
    </w:rPr>
  </w:style>
  <w:style w:type="paragraph" w:customStyle="1" w:styleId="StileSommario1Destro162cm3">
    <w:name w:val="Stile Sommario 1 + Destro 162 cm3"/>
    <w:basedOn w:val="TOC1"/>
    <w:rsid w:val="00C232D7"/>
    <w:pPr>
      <w:tabs>
        <w:tab w:val="right" w:leader="dot" w:pos="9072"/>
      </w:tabs>
      <w:ind w:right="916"/>
    </w:pPr>
    <w:rPr>
      <w:bCs/>
    </w:rPr>
  </w:style>
  <w:style w:type="paragraph" w:customStyle="1" w:styleId="StileSommario1Destro162cm4">
    <w:name w:val="Stile Sommario 1 + Destro 162 cm4"/>
    <w:basedOn w:val="TOC1"/>
    <w:autoRedefine/>
    <w:rsid w:val="00C232D7"/>
    <w:pPr>
      <w:ind w:right="916"/>
    </w:pPr>
    <w:rPr>
      <w:bCs/>
    </w:rPr>
  </w:style>
  <w:style w:type="paragraph" w:customStyle="1" w:styleId="StileSommario1Sinistro0cmSporgente106cmDestro1621">
    <w:name w:val="Stile Sommario 1 + Sinistro:  0 cm Sporgente  106 cm Destro 162...1"/>
    <w:basedOn w:val="TOC1"/>
    <w:rsid w:val="00C232D7"/>
    <w:pPr>
      <w:tabs>
        <w:tab w:val="right" w:leader="dot" w:pos="9072"/>
      </w:tabs>
      <w:ind w:left="600" w:right="916" w:hanging="600"/>
    </w:pPr>
    <w:rPr>
      <w:bCs/>
    </w:rPr>
  </w:style>
  <w:style w:type="paragraph" w:customStyle="1" w:styleId="StileSommario3Sinistro256cm">
    <w:name w:val="Stile Sommario 3 + Sinistro:  256 cm"/>
    <w:basedOn w:val="TOC3"/>
    <w:autoRedefine/>
    <w:rsid w:val="00C232D7"/>
    <w:pPr>
      <w:ind w:left="2500" w:right="1216" w:hanging="1000"/>
    </w:pPr>
    <w:rPr>
      <w:i w:val="0"/>
    </w:rPr>
  </w:style>
  <w:style w:type="paragraph" w:customStyle="1" w:styleId="StileTitolo4prima3ptdopo3pt">
    <w:name w:val="Stile Titolo 4 + prima 3 pt  dopo 3 pt"/>
    <w:basedOn w:val="Normal"/>
    <w:rsid w:val="00C232D7"/>
    <w:pPr>
      <w:tabs>
        <w:tab w:val="left" w:pos="1814"/>
      </w:tabs>
      <w:ind w:left="3062" w:hanging="2211"/>
    </w:pPr>
  </w:style>
  <w:style w:type="paragraph" w:customStyle="1" w:styleId="StileTitolo1GaramondMaiuscolettoSinistro0cmSporgente">
    <w:name w:val="Stile Titolo 1 + Garamond Maiuscoletto Sinistro:  0 cm Sporgente..."/>
    <w:basedOn w:val="Normal"/>
    <w:rsid w:val="00C232D7"/>
    <w:pPr>
      <w:tabs>
        <w:tab w:val="left" w:pos="432"/>
      </w:tabs>
      <w:ind w:left="432" w:hanging="432"/>
    </w:pPr>
  </w:style>
  <w:style w:type="paragraph" w:customStyle="1" w:styleId="StileGaramondprima0ptInterlineasingola">
    <w:name w:val="Stile Garamond prima 0 pt Interlinea singola"/>
    <w:basedOn w:val="Normal"/>
    <w:autoRedefine/>
    <w:rsid w:val="00C232D7"/>
    <w:rPr>
      <w:rFonts w:ascii="Garamond" w:hAnsi="Garamond"/>
    </w:rPr>
  </w:style>
  <w:style w:type="paragraph" w:customStyle="1" w:styleId="Estilo10ptCentrado">
    <w:name w:val="Estilo 10 pt Centrado"/>
    <w:basedOn w:val="Normal"/>
    <w:rsid w:val="00C232D7"/>
    <w:pPr>
      <w:jc w:val="center"/>
    </w:pPr>
    <w:rPr>
      <w:sz w:val="24"/>
      <w:lang w:eastAsia="es-ES"/>
    </w:rPr>
  </w:style>
  <w:style w:type="character" w:customStyle="1" w:styleId="h21Carattere">
    <w:name w:val="h21 Carattere"/>
    <w:rsid w:val="00C232D7"/>
    <w:rPr>
      <w:rFonts w:ascii="Arial" w:eastAsia="Times New Roman" w:hAnsi="Arial" w:cs="Arial"/>
      <w:b/>
      <w:bCs/>
      <w:smallCaps/>
      <w:color w:val="0000FF"/>
      <w:sz w:val="28"/>
      <w:szCs w:val="28"/>
      <w:lang w:val="pl-PL" w:eastAsia="en-US" w:bidi="ar-SA"/>
    </w:rPr>
  </w:style>
  <w:style w:type="character" w:customStyle="1" w:styleId="style281">
    <w:name w:val="style281"/>
    <w:rsid w:val="00C232D7"/>
    <w:rPr>
      <w:rFonts w:ascii="Verdana" w:hAnsi="Verdana" w:hint="default"/>
      <w:smallCaps/>
      <w:color w:val="666666"/>
      <w:sz w:val="18"/>
      <w:szCs w:val="18"/>
      <w:lang w:val="pl-PL" w:eastAsia="pl-PL" w:bidi="ar-SA"/>
    </w:rPr>
  </w:style>
  <w:style w:type="paragraph" w:customStyle="1" w:styleId="DarkList-Accent31">
    <w:name w:val="Dark List - Accent 31"/>
    <w:hidden/>
    <w:uiPriority w:val="99"/>
    <w:semiHidden/>
    <w:rsid w:val="00C232D7"/>
    <w:pPr>
      <w:widowControl w:val="0"/>
      <w:adjustRightInd w:val="0"/>
      <w:spacing w:after="0" w:line="360" w:lineRule="atLeast"/>
      <w:ind w:left="568" w:hanging="284"/>
      <w:jc w:val="both"/>
      <w:textAlignment w:val="baseline"/>
    </w:pPr>
    <w:rPr>
      <w:rFonts w:ascii="Arial" w:eastAsia="Calibri" w:hAnsi="Arial" w:cs="Times New Roman"/>
      <w:lang w:val="en-GB" w:eastAsia="de-DE"/>
    </w:rPr>
  </w:style>
  <w:style w:type="paragraph" w:customStyle="1" w:styleId="StileGaramond6ptInterlineasingola">
    <w:name w:val="Stile Garamond 6 pt Interlinea singola"/>
    <w:basedOn w:val="Normal"/>
    <w:rsid w:val="00C232D7"/>
    <w:rPr>
      <w:rFonts w:ascii="Garamond" w:hAnsi="Garamond"/>
      <w:sz w:val="12"/>
    </w:rPr>
  </w:style>
  <w:style w:type="paragraph" w:customStyle="1" w:styleId="CM23">
    <w:name w:val="CM23"/>
    <w:basedOn w:val="Normal"/>
    <w:next w:val="Normal"/>
    <w:rsid w:val="00C232D7"/>
    <w:pPr>
      <w:autoSpaceDE w:val="0"/>
      <w:autoSpaceDN w:val="0"/>
      <w:spacing w:after="180"/>
      <w:jc w:val="left"/>
    </w:pPr>
    <w:rPr>
      <w:sz w:val="24"/>
      <w:szCs w:val="24"/>
      <w:lang w:val="en-US"/>
    </w:rPr>
  </w:style>
  <w:style w:type="paragraph" w:customStyle="1" w:styleId="n">
    <w:name w:val="n"/>
    <w:basedOn w:val="BodyText3"/>
    <w:rsid w:val="00C232D7"/>
    <w:pPr>
      <w:spacing w:after="0"/>
    </w:pPr>
    <w:rPr>
      <w:color w:val="000000"/>
      <w:sz w:val="20"/>
      <w:szCs w:val="20"/>
      <w:lang w:val="it-IT" w:eastAsia="it-IT"/>
    </w:rPr>
  </w:style>
  <w:style w:type="paragraph" w:customStyle="1" w:styleId="Heading">
    <w:name w:val="Heading"/>
    <w:basedOn w:val="Normal"/>
    <w:autoRedefine/>
    <w:qFormat/>
    <w:rsid w:val="000E238F"/>
    <w:pPr>
      <w:tabs>
        <w:tab w:val="left" w:pos="851"/>
      </w:tabs>
      <w:spacing w:after="160"/>
    </w:pPr>
    <w:rPr>
      <w:rFonts w:ascii="Arial" w:hAnsi="Arial" w:cs="Arial"/>
      <w:b/>
      <w:color w:val="000000" w:themeColor="text1"/>
      <w:lang w:val="sq-AL"/>
    </w:rPr>
  </w:style>
  <w:style w:type="paragraph" w:customStyle="1" w:styleId="Heading21">
    <w:name w:val="Heading 21"/>
    <w:basedOn w:val="Normal"/>
    <w:rsid w:val="00C232D7"/>
    <w:pPr>
      <w:tabs>
        <w:tab w:val="left" w:pos="1702"/>
      </w:tabs>
      <w:ind w:left="1702" w:hanging="1134"/>
    </w:pPr>
  </w:style>
  <w:style w:type="paragraph" w:customStyle="1" w:styleId="Heading31">
    <w:name w:val="Heading 31"/>
    <w:basedOn w:val="Normal"/>
    <w:rsid w:val="00C232D7"/>
    <w:pPr>
      <w:tabs>
        <w:tab w:val="left" w:pos="1418"/>
      </w:tabs>
      <w:ind w:left="1418" w:hanging="1134"/>
    </w:pPr>
  </w:style>
  <w:style w:type="paragraph" w:customStyle="1" w:styleId="Heading41">
    <w:name w:val="Heading 41"/>
    <w:basedOn w:val="Normal"/>
    <w:rsid w:val="00C232D7"/>
    <w:pPr>
      <w:tabs>
        <w:tab w:val="left" w:pos="1418"/>
      </w:tabs>
      <w:ind w:left="1418" w:hanging="1134"/>
    </w:pPr>
  </w:style>
  <w:style w:type="paragraph" w:customStyle="1" w:styleId="Heading51">
    <w:name w:val="Heading 51"/>
    <w:basedOn w:val="Normal"/>
    <w:rsid w:val="00C232D7"/>
    <w:pPr>
      <w:tabs>
        <w:tab w:val="left" w:pos="1418"/>
      </w:tabs>
      <w:ind w:left="1418" w:hanging="1134"/>
    </w:pPr>
  </w:style>
  <w:style w:type="character" w:customStyle="1" w:styleId="Body">
    <w:name w:val="Body"/>
    <w:link w:val="Body1"/>
    <w:locked/>
    <w:rsid w:val="00C232D7"/>
    <w:rPr>
      <w:rFonts w:ascii="Tahoma" w:hAnsi="Tahoma"/>
      <w:smallCaps/>
      <w:sz w:val="24"/>
      <w:szCs w:val="24"/>
      <w:lang w:eastAsia="bg-BG"/>
    </w:rPr>
  </w:style>
  <w:style w:type="paragraph" w:customStyle="1" w:styleId="Body1">
    <w:name w:val="Body1"/>
    <w:basedOn w:val="Normal"/>
    <w:link w:val="Body"/>
    <w:rsid w:val="00C232D7"/>
    <w:rPr>
      <w:rFonts w:ascii="Tahoma" w:eastAsiaTheme="minorHAnsi" w:hAnsi="Tahoma" w:cstheme="minorBidi"/>
      <w:smallCaps/>
      <w:sz w:val="24"/>
      <w:szCs w:val="24"/>
      <w:lang w:val="en-US" w:eastAsia="bg-BG"/>
    </w:rPr>
  </w:style>
  <w:style w:type="paragraph" w:customStyle="1" w:styleId="Odstavec">
    <w:name w:val="Odstavec"/>
    <w:basedOn w:val="Normal"/>
    <w:uiPriority w:val="99"/>
    <w:rsid w:val="00C232D7"/>
    <w:pPr>
      <w:spacing w:before="120"/>
    </w:pPr>
    <w:rPr>
      <w:sz w:val="24"/>
      <w:szCs w:val="24"/>
      <w:lang w:eastAsia="cs-CZ"/>
    </w:rPr>
  </w:style>
  <w:style w:type="character" w:customStyle="1" w:styleId="Char1">
    <w:name w:val="Char1"/>
    <w:rsid w:val="00C232D7"/>
    <w:rPr>
      <w:rFonts w:ascii="Times New Roman" w:hAnsi="Times New Roman" w:cs="Times New Roman" w:hint="default"/>
      <w:smallCaps/>
      <w:sz w:val="24"/>
      <w:szCs w:val="24"/>
      <w:lang w:val="en-US" w:eastAsia="bg-BG" w:bidi="ar-SA"/>
    </w:rPr>
  </w:style>
  <w:style w:type="paragraph" w:customStyle="1" w:styleId="Bullet">
    <w:name w:val="Bullet"/>
    <w:next w:val="Normal"/>
    <w:rsid w:val="00C232D7"/>
    <w:pPr>
      <w:tabs>
        <w:tab w:val="left" w:pos="646"/>
      </w:tabs>
      <w:suppressAutoHyphens/>
      <w:spacing w:after="240" w:line="240" w:lineRule="auto"/>
      <w:jc w:val="both"/>
    </w:pPr>
    <w:rPr>
      <w:rFonts w:ascii="Times New Roman" w:eastAsia="Times New Roman" w:hAnsi="Times New Roman" w:cs="Times New Roman"/>
      <w:sz w:val="24"/>
      <w:szCs w:val="20"/>
      <w:lang w:val="hu-HU" w:eastAsia="hu-HU"/>
    </w:rPr>
  </w:style>
  <w:style w:type="character" w:customStyle="1" w:styleId="Collegamentoipertestuale1">
    <w:name w:val="Collegamento ipertestuale1"/>
    <w:rsid w:val="00C232D7"/>
    <w:rPr>
      <w:rFonts w:ascii="Tahoma" w:hAnsi="Tahoma"/>
      <w:smallCaps/>
      <w:color w:val="0000FF"/>
      <w:sz w:val="24"/>
      <w:szCs w:val="24"/>
      <w:u w:val="single"/>
      <w:lang w:val="pl-PL" w:eastAsia="pl-PL" w:bidi="ar-SA"/>
    </w:rPr>
  </w:style>
  <w:style w:type="paragraph" w:customStyle="1" w:styleId="WW-Felsorols2">
    <w:name w:val="WW-Felsorolás 2"/>
    <w:basedOn w:val="Normal"/>
    <w:rsid w:val="00C232D7"/>
    <w:pPr>
      <w:keepNext/>
      <w:keepLines/>
      <w:tabs>
        <w:tab w:val="left" w:pos="0"/>
      </w:tabs>
      <w:suppressAutoHyphens/>
      <w:spacing w:after="120"/>
    </w:pPr>
    <w:rPr>
      <w:rFonts w:eastAsia="Times New Roman"/>
      <w:sz w:val="24"/>
      <w:lang w:eastAsia="hu-HU"/>
    </w:rPr>
  </w:style>
  <w:style w:type="paragraph" w:customStyle="1" w:styleId="Lista21">
    <w:name w:val="Lista 21"/>
    <w:basedOn w:val="Normal"/>
    <w:rsid w:val="00C232D7"/>
    <w:pPr>
      <w:suppressAutoHyphens/>
      <w:ind w:left="566" w:hanging="283"/>
      <w:jc w:val="left"/>
    </w:pPr>
    <w:rPr>
      <w:rFonts w:eastAsia="Times New Roman"/>
      <w:sz w:val="26"/>
      <w:lang w:eastAsia="hu-HU"/>
    </w:rPr>
  </w:style>
  <w:style w:type="paragraph" w:customStyle="1" w:styleId="Tiret">
    <w:name w:val="Tiret"/>
    <w:next w:val="Normal"/>
    <w:rsid w:val="00C232D7"/>
    <w:pPr>
      <w:tabs>
        <w:tab w:val="left" w:pos="1068"/>
      </w:tabs>
      <w:suppressAutoHyphens/>
      <w:spacing w:after="240" w:line="240" w:lineRule="auto"/>
      <w:ind w:left="1068" w:hanging="360"/>
      <w:jc w:val="both"/>
    </w:pPr>
    <w:rPr>
      <w:rFonts w:ascii="Times New Roman" w:eastAsia="Times New Roman" w:hAnsi="Times New Roman" w:cs="Times New Roman"/>
      <w:sz w:val="24"/>
      <w:szCs w:val="20"/>
      <w:lang w:val="en-GB" w:eastAsia="hu-HU"/>
    </w:rPr>
  </w:style>
  <w:style w:type="paragraph" w:customStyle="1" w:styleId="Tblzattartalom">
    <w:name w:val="Táblázattartalom"/>
    <w:basedOn w:val="BodyText"/>
    <w:rsid w:val="00C232D7"/>
    <w:pPr>
      <w:keepLines w:val="0"/>
      <w:suppressLineNumbers/>
      <w:tabs>
        <w:tab w:val="clear" w:pos="9214"/>
      </w:tabs>
      <w:suppressAutoHyphens/>
      <w:jc w:val="center"/>
    </w:pPr>
    <w:rPr>
      <w:rFonts w:ascii="Times New Roman" w:eastAsia="Times New Roman" w:hAnsi="Times New Roman"/>
      <w:b/>
      <w:sz w:val="24"/>
      <w:szCs w:val="20"/>
      <w:lang w:eastAsia="hu-HU"/>
    </w:rPr>
  </w:style>
  <w:style w:type="paragraph" w:customStyle="1" w:styleId="Text1">
    <w:name w:val="Text 1"/>
    <w:basedOn w:val="Normal"/>
    <w:rsid w:val="00C232D7"/>
    <w:pPr>
      <w:spacing w:after="240"/>
      <w:ind w:left="482"/>
    </w:pPr>
    <w:rPr>
      <w:rFonts w:eastAsia="Times New Roman"/>
      <w:sz w:val="24"/>
      <w:lang w:eastAsia="en-GB"/>
    </w:rPr>
  </w:style>
  <w:style w:type="character" w:customStyle="1" w:styleId="Cmsor2Char">
    <w:name w:val="Címsor 2 Char"/>
    <w:rsid w:val="00C232D7"/>
    <w:rPr>
      <w:rFonts w:ascii="Tahoma" w:hAnsi="Tahoma" w:cs="Arial"/>
      <w:b/>
      <w:bCs/>
      <w:iCs/>
      <w:smallCaps/>
      <w:sz w:val="28"/>
      <w:szCs w:val="28"/>
      <w:lang w:val="hu-HU" w:eastAsia="hu-HU" w:bidi="ar-SA"/>
    </w:rPr>
  </w:style>
  <w:style w:type="character" w:customStyle="1" w:styleId="Cmsor3CharChar">
    <w:name w:val="Címsor 3 Char Char"/>
    <w:rsid w:val="00C232D7"/>
    <w:rPr>
      <w:rFonts w:ascii="Tahoma" w:hAnsi="Tahoma" w:cs="Arial"/>
      <w:b/>
      <w:bCs/>
      <w:smallCaps/>
      <w:sz w:val="24"/>
      <w:szCs w:val="24"/>
      <w:lang w:val="hu-HU" w:eastAsia="hu-HU" w:bidi="ar-SA"/>
    </w:rPr>
  </w:style>
  <w:style w:type="paragraph" w:customStyle="1" w:styleId="ZCom">
    <w:name w:val="Z_Com"/>
    <w:basedOn w:val="Normal"/>
    <w:next w:val="Normal"/>
    <w:rsid w:val="00C232D7"/>
    <w:rPr>
      <w:rFonts w:ascii="Arial" w:eastAsia="Times New Roman" w:hAnsi="Arial"/>
    </w:rPr>
  </w:style>
  <w:style w:type="paragraph" w:customStyle="1" w:styleId="Text3">
    <w:name w:val="Text 3"/>
    <w:basedOn w:val="Normal"/>
    <w:rsid w:val="00C232D7"/>
    <w:pPr>
      <w:tabs>
        <w:tab w:val="left" w:pos="2302"/>
      </w:tabs>
      <w:spacing w:after="240"/>
      <w:ind w:left="1917"/>
    </w:pPr>
    <w:rPr>
      <w:rFonts w:eastAsia="Times New Roman"/>
      <w:sz w:val="24"/>
    </w:rPr>
  </w:style>
  <w:style w:type="paragraph" w:customStyle="1" w:styleId="DefaultText">
    <w:name w:val="Default Text"/>
    <w:basedOn w:val="Normal"/>
    <w:rsid w:val="00C232D7"/>
    <w:pPr>
      <w:autoSpaceDE w:val="0"/>
      <w:autoSpaceDN w:val="0"/>
      <w:adjustRightInd w:val="0"/>
      <w:jc w:val="left"/>
    </w:pPr>
    <w:rPr>
      <w:rFonts w:eastAsia="Times New Roman"/>
      <w:sz w:val="24"/>
      <w:lang w:val="en-US"/>
    </w:rPr>
  </w:style>
  <w:style w:type="paragraph" w:customStyle="1" w:styleId="Logo">
    <w:name w:val="Logo"/>
    <w:basedOn w:val="Normal"/>
    <w:rsid w:val="00C232D7"/>
    <w:pPr>
      <w:jc w:val="left"/>
    </w:pPr>
    <w:rPr>
      <w:rFonts w:ascii="Tms Rmn" w:eastAsia="Times New Roman" w:hAnsi="Tms Rmn"/>
      <w:lang w:val="fr-FR"/>
    </w:rPr>
  </w:style>
  <w:style w:type="paragraph" w:customStyle="1" w:styleId="ZDG">
    <w:name w:val="Z_DG"/>
    <w:basedOn w:val="Logo"/>
    <w:rsid w:val="00C232D7"/>
    <w:rPr>
      <w:rFonts w:ascii="Arial" w:hAnsi="Arial"/>
      <w:sz w:val="16"/>
    </w:rPr>
  </w:style>
  <w:style w:type="paragraph" w:customStyle="1" w:styleId="ZD">
    <w:name w:val="Z_D"/>
    <w:basedOn w:val="Logo"/>
    <w:rsid w:val="00C232D7"/>
    <w:rPr>
      <w:rFonts w:ascii="Arial" w:hAnsi="Arial"/>
      <w:sz w:val="16"/>
    </w:rPr>
  </w:style>
  <w:style w:type="paragraph" w:customStyle="1" w:styleId="ZU">
    <w:name w:val="Z_U"/>
    <w:basedOn w:val="Logo"/>
    <w:rsid w:val="00C232D7"/>
    <w:rPr>
      <w:rFonts w:ascii="Arial" w:hAnsi="Arial"/>
      <w:b/>
      <w:sz w:val="16"/>
    </w:rPr>
  </w:style>
  <w:style w:type="paragraph" w:customStyle="1" w:styleId="Copies">
    <w:name w:val="Copies"/>
    <w:basedOn w:val="Normal"/>
    <w:rsid w:val="00C232D7"/>
    <w:pPr>
      <w:tabs>
        <w:tab w:val="left" w:pos="1678"/>
        <w:tab w:val="left" w:pos="2398"/>
        <w:tab w:val="left" w:pos="5398"/>
        <w:tab w:val="left" w:pos="6361"/>
      </w:tabs>
      <w:spacing w:before="480"/>
      <w:ind w:left="1191" w:hanging="1191"/>
      <w:jc w:val="left"/>
    </w:pPr>
    <w:rPr>
      <w:rFonts w:ascii="Garmond (W1)" w:eastAsia="Times New Roman" w:hAnsi="Garmond (W1)"/>
      <w:lang w:val="en-US" w:eastAsia="tr-TR"/>
    </w:rPr>
  </w:style>
  <w:style w:type="paragraph" w:customStyle="1" w:styleId="NormalIndent2">
    <w:name w:val="Normal Indent2"/>
    <w:basedOn w:val="Normal"/>
    <w:rsid w:val="00C232D7"/>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8931"/>
      </w:tabs>
      <w:ind w:left="1134" w:right="855" w:hanging="567"/>
    </w:pPr>
    <w:rPr>
      <w:rFonts w:eastAsia="Times New Roman"/>
      <w:sz w:val="24"/>
      <w:lang w:eastAsia="tr-TR"/>
    </w:rPr>
  </w:style>
  <w:style w:type="paragraph" w:customStyle="1" w:styleId="Prliminairetype">
    <w:name w:val="Préliminaire type"/>
    <w:basedOn w:val="Normal"/>
    <w:next w:val="Normal"/>
    <w:rsid w:val="00C232D7"/>
    <w:pPr>
      <w:spacing w:before="360"/>
      <w:jc w:val="center"/>
    </w:pPr>
    <w:rPr>
      <w:rFonts w:eastAsia="Times New Roman"/>
      <w:b/>
      <w:sz w:val="24"/>
      <w:lang w:eastAsia="en-GB"/>
    </w:rPr>
  </w:style>
  <w:style w:type="paragraph" w:customStyle="1" w:styleId="ManualHeading1">
    <w:name w:val="Manual Heading 1"/>
    <w:basedOn w:val="Normal"/>
    <w:next w:val="Normal"/>
    <w:rsid w:val="00C232D7"/>
    <w:pPr>
      <w:keepNext/>
      <w:tabs>
        <w:tab w:val="left" w:pos="850"/>
      </w:tabs>
      <w:spacing w:before="360" w:after="120"/>
      <w:ind w:left="850" w:hanging="850"/>
      <w:outlineLvl w:val="0"/>
    </w:pPr>
    <w:rPr>
      <w:rFonts w:eastAsia="Times New Roman"/>
      <w:b/>
      <w:smallCaps/>
      <w:sz w:val="24"/>
      <w:lang w:eastAsia="en-GB"/>
    </w:rPr>
  </w:style>
  <w:style w:type="paragraph" w:customStyle="1" w:styleId="Tiret0">
    <w:name w:val="Tiret 0"/>
    <w:basedOn w:val="Normal"/>
    <w:rsid w:val="00C232D7"/>
    <w:pPr>
      <w:tabs>
        <w:tab w:val="left" w:pos="360"/>
      </w:tabs>
      <w:spacing w:before="120" w:after="120"/>
    </w:pPr>
    <w:rPr>
      <w:rFonts w:eastAsia="Times New Roman"/>
      <w:sz w:val="24"/>
      <w:lang w:eastAsia="en-GB"/>
    </w:rPr>
  </w:style>
  <w:style w:type="paragraph" w:customStyle="1" w:styleId="NumPar1">
    <w:name w:val="NumPar 1"/>
    <w:basedOn w:val="Normal"/>
    <w:next w:val="Normal"/>
    <w:rsid w:val="00C232D7"/>
    <w:pPr>
      <w:tabs>
        <w:tab w:val="left" w:pos="360"/>
      </w:tabs>
      <w:spacing w:before="120" w:after="120"/>
    </w:pPr>
    <w:rPr>
      <w:rFonts w:eastAsia="Times New Roman"/>
      <w:sz w:val="24"/>
      <w:lang w:eastAsia="en-GB"/>
    </w:rPr>
  </w:style>
  <w:style w:type="paragraph" w:customStyle="1" w:styleId="NumPar2">
    <w:name w:val="NumPar 2"/>
    <w:basedOn w:val="Normal"/>
    <w:next w:val="Normal"/>
    <w:rsid w:val="00C232D7"/>
    <w:pPr>
      <w:tabs>
        <w:tab w:val="left" w:pos="360"/>
      </w:tabs>
      <w:spacing w:before="120" w:after="120"/>
    </w:pPr>
    <w:rPr>
      <w:rFonts w:eastAsia="Times New Roman"/>
      <w:sz w:val="24"/>
      <w:lang w:eastAsia="en-GB"/>
    </w:rPr>
  </w:style>
  <w:style w:type="paragraph" w:customStyle="1" w:styleId="NumPar3">
    <w:name w:val="NumPar 3"/>
    <w:basedOn w:val="Normal"/>
    <w:next w:val="Normal"/>
    <w:rsid w:val="00C232D7"/>
    <w:pPr>
      <w:tabs>
        <w:tab w:val="left" w:pos="360"/>
      </w:tabs>
      <w:spacing w:before="120" w:after="120"/>
    </w:pPr>
    <w:rPr>
      <w:rFonts w:eastAsia="Times New Roman"/>
      <w:sz w:val="24"/>
      <w:lang w:eastAsia="en-GB"/>
    </w:rPr>
  </w:style>
  <w:style w:type="paragraph" w:customStyle="1" w:styleId="NumPar4">
    <w:name w:val="NumPar 4"/>
    <w:basedOn w:val="Normal"/>
    <w:next w:val="Normal"/>
    <w:rsid w:val="00C232D7"/>
    <w:pPr>
      <w:tabs>
        <w:tab w:val="left" w:pos="360"/>
      </w:tabs>
      <w:spacing w:before="120" w:after="120"/>
    </w:pPr>
    <w:rPr>
      <w:rFonts w:eastAsia="Times New Roman"/>
      <w:sz w:val="24"/>
      <w:lang w:eastAsia="en-GB"/>
    </w:rPr>
  </w:style>
  <w:style w:type="character" w:customStyle="1" w:styleId="Added">
    <w:name w:val="Added"/>
    <w:rsid w:val="00C232D7"/>
    <w:rPr>
      <w:rFonts w:ascii="Tahoma" w:hAnsi="Tahoma"/>
      <w:b/>
      <w:smallCaps/>
      <w:sz w:val="24"/>
      <w:szCs w:val="24"/>
      <w:u w:val="single"/>
      <w:lang w:val="en-GB" w:eastAsia="pl-PL" w:bidi="ar-SA"/>
    </w:rPr>
  </w:style>
  <w:style w:type="paragraph" w:customStyle="1" w:styleId="numpar10">
    <w:name w:val="numpar1"/>
    <w:basedOn w:val="Normal"/>
    <w:rsid w:val="00C232D7"/>
    <w:pPr>
      <w:spacing w:before="120" w:after="120"/>
      <w:ind w:left="850" w:hanging="850"/>
    </w:pPr>
    <w:rPr>
      <w:rFonts w:eastAsia="Times New Roman"/>
      <w:sz w:val="24"/>
      <w:szCs w:val="24"/>
      <w:lang w:eastAsia="en-GB"/>
    </w:rPr>
  </w:style>
  <w:style w:type="paragraph" w:customStyle="1" w:styleId="titrearticle">
    <w:name w:val="titrearticle"/>
    <w:basedOn w:val="Normal"/>
    <w:rsid w:val="00C232D7"/>
    <w:pPr>
      <w:keepNext/>
      <w:spacing w:before="360" w:after="120"/>
      <w:jc w:val="center"/>
    </w:pPr>
    <w:rPr>
      <w:rFonts w:eastAsia="Times New Roman"/>
      <w:i/>
      <w:iCs/>
      <w:sz w:val="24"/>
      <w:szCs w:val="24"/>
      <w:lang w:eastAsia="en-GB"/>
    </w:rPr>
  </w:style>
  <w:style w:type="paragraph" w:customStyle="1" w:styleId="BodyText1">
    <w:name w:val="Body Text1"/>
    <w:basedOn w:val="Normal"/>
    <w:rsid w:val="00C232D7"/>
    <w:pPr>
      <w:spacing w:before="120" w:after="80"/>
    </w:pPr>
    <w:rPr>
      <w:rFonts w:ascii="Arial" w:eastAsia="Times New Roman" w:hAnsi="Arial" w:cs="Arial"/>
      <w:bCs/>
      <w:szCs w:val="24"/>
    </w:rPr>
  </w:style>
  <w:style w:type="paragraph" w:customStyle="1" w:styleId="BodyTextuvlaka2uvlaka3">
    <w:name w:val="Body Text.uvlaka 2.uvlaka 3"/>
    <w:basedOn w:val="Normal"/>
    <w:rsid w:val="00C232D7"/>
    <w:pPr>
      <w:tabs>
        <w:tab w:val="left" w:pos="1134"/>
      </w:tabs>
    </w:pPr>
    <w:rPr>
      <w:rFonts w:ascii="Arial" w:eastAsia="Times New Roman" w:hAnsi="Arial"/>
      <w:sz w:val="24"/>
      <w:lang w:val="hr-HR" w:eastAsia="hr-HR"/>
    </w:rPr>
  </w:style>
  <w:style w:type="paragraph" w:customStyle="1" w:styleId="Clanak">
    <w:name w:val="Clanak"/>
    <w:next w:val="Normal"/>
    <w:rsid w:val="00C232D7"/>
    <w:pPr>
      <w:widowControl w:val="0"/>
      <w:autoSpaceDE w:val="0"/>
      <w:autoSpaceDN w:val="0"/>
      <w:adjustRightInd w:val="0"/>
      <w:spacing w:before="86" w:after="43" w:line="240" w:lineRule="auto"/>
      <w:jc w:val="center"/>
    </w:pPr>
    <w:rPr>
      <w:rFonts w:ascii="Times-NewRoman" w:eastAsia="Times New Roman" w:hAnsi="Times-NewRoman" w:cs="Times New Roman"/>
      <w:sz w:val="19"/>
      <w:szCs w:val="19"/>
      <w:lang w:val="hr-HR" w:eastAsia="hr-HR"/>
    </w:rPr>
  </w:style>
  <w:style w:type="paragraph" w:customStyle="1" w:styleId="WW-BodyText2">
    <w:name w:val="WW-Body Text 2"/>
    <w:basedOn w:val="Normal"/>
    <w:rsid w:val="00C232D7"/>
    <w:pPr>
      <w:suppressAutoHyphens/>
      <w:ind w:right="240"/>
    </w:pPr>
    <w:rPr>
      <w:rFonts w:ascii="Times New Roman PL" w:eastAsia="Times New Roman" w:hAnsi="Times New Roman PL"/>
      <w:b/>
      <w:i/>
      <w:sz w:val="24"/>
      <w:lang w:val="en-US" w:eastAsia="ar-SA"/>
    </w:rPr>
  </w:style>
  <w:style w:type="paragraph" w:customStyle="1" w:styleId="WW-BodyText3">
    <w:name w:val="WW-Body Text 3"/>
    <w:basedOn w:val="Normal"/>
    <w:rsid w:val="00C232D7"/>
    <w:pPr>
      <w:suppressAutoHyphens/>
      <w:ind w:right="238"/>
    </w:pPr>
    <w:rPr>
      <w:rFonts w:ascii="Times New Roman PL" w:eastAsia="Times New Roman" w:hAnsi="Times New Roman PL"/>
      <w:sz w:val="24"/>
      <w:lang w:val="en-US" w:eastAsia="ar-SA"/>
    </w:rPr>
  </w:style>
  <w:style w:type="paragraph" w:customStyle="1" w:styleId="Regularparagraphs">
    <w:name w:val="Regular paragraphs"/>
    <w:basedOn w:val="Normal"/>
    <w:rsid w:val="00C232D7"/>
    <w:rPr>
      <w:rFonts w:eastAsia="Times New Roman"/>
      <w:lang w:eastAsia="hr-HR"/>
    </w:rPr>
  </w:style>
  <w:style w:type="character" w:customStyle="1" w:styleId="FormatvorlageArial">
    <w:name w:val="Formatvorlage Arial"/>
    <w:rsid w:val="00C232D7"/>
    <w:rPr>
      <w:rFonts w:ascii="Arial" w:hAnsi="Arial"/>
      <w:smallCaps/>
      <w:sz w:val="22"/>
      <w:szCs w:val="24"/>
      <w:lang w:val="pl-PL" w:eastAsia="pl-PL" w:bidi="ar-SA"/>
    </w:rPr>
  </w:style>
  <w:style w:type="paragraph" w:customStyle="1" w:styleId="BodyText21">
    <w:name w:val="Body Text 21"/>
    <w:basedOn w:val="Normal"/>
    <w:rsid w:val="00C232D7"/>
    <w:pPr>
      <w:jc w:val="left"/>
    </w:pPr>
    <w:rPr>
      <w:rFonts w:eastAsia="Times New Roman"/>
      <w:sz w:val="24"/>
      <w:lang w:eastAsia="it-IT"/>
    </w:rPr>
  </w:style>
  <w:style w:type="paragraph" w:customStyle="1" w:styleId="BalloonText1">
    <w:name w:val="Balloon Text1"/>
    <w:basedOn w:val="Normal"/>
    <w:semiHidden/>
    <w:rsid w:val="00C232D7"/>
    <w:pPr>
      <w:jc w:val="left"/>
    </w:pPr>
    <w:rPr>
      <w:rFonts w:ascii="Tahoma" w:eastAsia="Times New Roman" w:hAnsi="Tahoma" w:cs="Tahoma"/>
      <w:sz w:val="16"/>
      <w:szCs w:val="16"/>
      <w:lang w:eastAsia="hu-HU"/>
    </w:rPr>
  </w:style>
  <w:style w:type="paragraph" w:customStyle="1" w:styleId="BodyText22">
    <w:name w:val="Body Text 22"/>
    <w:basedOn w:val="Normal"/>
    <w:rsid w:val="00C232D7"/>
    <w:pPr>
      <w:jc w:val="left"/>
    </w:pPr>
    <w:rPr>
      <w:rFonts w:eastAsia="Times New Roman"/>
      <w:sz w:val="24"/>
      <w:lang w:eastAsia="it-IT"/>
    </w:rPr>
  </w:style>
  <w:style w:type="paragraph" w:customStyle="1" w:styleId="Tiret1">
    <w:name w:val="Tiret 1"/>
    <w:basedOn w:val="Normal"/>
    <w:rsid w:val="00C232D7"/>
    <w:pPr>
      <w:spacing w:before="120" w:after="120"/>
      <w:ind w:left="1418" w:hanging="567"/>
    </w:pPr>
    <w:rPr>
      <w:rFonts w:eastAsia="Times New Roman"/>
      <w:sz w:val="24"/>
      <w:lang w:eastAsia="fr-FR"/>
    </w:rPr>
  </w:style>
  <w:style w:type="paragraph" w:customStyle="1" w:styleId="ManualNumPar1">
    <w:name w:val="Manual NumPar 1"/>
    <w:basedOn w:val="Normal"/>
    <w:next w:val="Normal"/>
    <w:rsid w:val="00C232D7"/>
    <w:pPr>
      <w:spacing w:before="120" w:after="120"/>
      <w:ind w:left="851" w:hanging="851"/>
    </w:pPr>
    <w:rPr>
      <w:rFonts w:eastAsia="Times New Roman"/>
      <w:sz w:val="24"/>
      <w:lang w:eastAsia="hr-HR"/>
    </w:rPr>
  </w:style>
  <w:style w:type="paragraph" w:customStyle="1" w:styleId="FooterLandscape">
    <w:name w:val="FooterLandscape"/>
    <w:basedOn w:val="Footer"/>
    <w:rsid w:val="00C232D7"/>
    <w:pPr>
      <w:tabs>
        <w:tab w:val="clear" w:pos="4703"/>
        <w:tab w:val="clear" w:pos="9406"/>
        <w:tab w:val="center" w:pos="7002"/>
        <w:tab w:val="right" w:pos="14005"/>
      </w:tabs>
      <w:spacing w:before="360"/>
      <w:jc w:val="left"/>
    </w:pPr>
    <w:rPr>
      <w:rFonts w:ascii="Times New Roman" w:eastAsia="Times New Roman" w:hAnsi="Times New Roman"/>
      <w:szCs w:val="20"/>
      <w:lang w:eastAsia="hr-HR"/>
    </w:rPr>
  </w:style>
  <w:style w:type="paragraph" w:customStyle="1" w:styleId="WMBullets1stLevel">
    <w:name w:val="WM Bullets 1st Level"/>
    <w:basedOn w:val="Normal"/>
    <w:rsid w:val="00C232D7"/>
    <w:pPr>
      <w:tabs>
        <w:tab w:val="left" w:pos="360"/>
      </w:tabs>
      <w:spacing w:after="100"/>
      <w:ind w:left="360" w:hanging="360"/>
      <w:jc w:val="left"/>
    </w:pPr>
    <w:rPr>
      <w:rFonts w:ascii="Arial" w:eastAsia="Times New Roman" w:hAnsi="Arial" w:cs="Arial"/>
    </w:rPr>
  </w:style>
  <w:style w:type="paragraph" w:customStyle="1" w:styleId="WMBullets2ndLevel">
    <w:name w:val="WM Bullets 2nd Level"/>
    <w:basedOn w:val="WMBullets1stLevel"/>
    <w:rsid w:val="00C232D7"/>
    <w:pPr>
      <w:tabs>
        <w:tab w:val="left" w:pos="1134"/>
      </w:tabs>
      <w:spacing w:after="120"/>
      <w:ind w:left="1135" w:hanging="284"/>
    </w:pPr>
  </w:style>
  <w:style w:type="paragraph" w:customStyle="1" w:styleId="Address">
    <w:name w:val="Address"/>
    <w:basedOn w:val="Normal"/>
    <w:rsid w:val="00C232D7"/>
    <w:pPr>
      <w:jc w:val="left"/>
    </w:pPr>
    <w:rPr>
      <w:rFonts w:ascii="Arial" w:eastAsia="Times New Roman" w:hAnsi="Arial"/>
    </w:rPr>
  </w:style>
  <w:style w:type="paragraph" w:customStyle="1" w:styleId="AddressTL">
    <w:name w:val="AddressTL"/>
    <w:basedOn w:val="Normal"/>
    <w:next w:val="Normal"/>
    <w:rsid w:val="00C232D7"/>
    <w:pPr>
      <w:spacing w:after="720"/>
      <w:jc w:val="left"/>
    </w:pPr>
    <w:rPr>
      <w:rFonts w:ascii="Arial" w:eastAsia="Times New Roman" w:hAnsi="Arial"/>
    </w:rPr>
  </w:style>
  <w:style w:type="paragraph" w:customStyle="1" w:styleId="ChapterTitle">
    <w:name w:val="ChapterTitle"/>
    <w:basedOn w:val="Normal"/>
    <w:next w:val="SectionTitle"/>
    <w:rsid w:val="00C232D7"/>
    <w:pPr>
      <w:keepNext/>
      <w:spacing w:after="480"/>
      <w:jc w:val="center"/>
    </w:pPr>
    <w:rPr>
      <w:rFonts w:ascii="Arial" w:eastAsia="Times New Roman" w:hAnsi="Arial"/>
      <w:b/>
      <w:sz w:val="32"/>
    </w:rPr>
  </w:style>
  <w:style w:type="paragraph" w:customStyle="1" w:styleId="SectionTitle">
    <w:name w:val="SectionTitle"/>
    <w:basedOn w:val="Normal"/>
    <w:next w:val="Heading1"/>
    <w:rsid w:val="00C232D7"/>
    <w:pPr>
      <w:keepNext/>
      <w:spacing w:after="480"/>
      <w:jc w:val="center"/>
    </w:pPr>
    <w:rPr>
      <w:rFonts w:ascii="Arial" w:eastAsia="Times New Roman" w:hAnsi="Arial"/>
      <w:b/>
      <w:smallCaps/>
      <w:sz w:val="28"/>
    </w:rPr>
  </w:style>
  <w:style w:type="paragraph" w:customStyle="1" w:styleId="DoubSign">
    <w:name w:val="DoubSign"/>
    <w:basedOn w:val="Normal"/>
    <w:next w:val="Enclosures"/>
    <w:rsid w:val="00C232D7"/>
    <w:pPr>
      <w:tabs>
        <w:tab w:val="left" w:pos="5103"/>
      </w:tabs>
      <w:spacing w:before="1200"/>
      <w:jc w:val="left"/>
    </w:pPr>
    <w:rPr>
      <w:rFonts w:ascii="Arial" w:eastAsia="Times New Roman" w:hAnsi="Arial"/>
    </w:rPr>
  </w:style>
  <w:style w:type="paragraph" w:customStyle="1" w:styleId="NoteHead">
    <w:name w:val="NoteHead"/>
    <w:basedOn w:val="Normal"/>
    <w:next w:val="Subject"/>
    <w:rsid w:val="00C232D7"/>
    <w:pPr>
      <w:spacing w:before="720" w:after="720"/>
      <w:jc w:val="center"/>
    </w:pPr>
    <w:rPr>
      <w:rFonts w:ascii="Arial" w:eastAsia="Times New Roman" w:hAnsi="Arial"/>
      <w:b/>
      <w:smallCaps/>
    </w:rPr>
  </w:style>
  <w:style w:type="paragraph" w:customStyle="1" w:styleId="Subject">
    <w:name w:val="Subject"/>
    <w:basedOn w:val="Normal"/>
    <w:next w:val="Normal"/>
    <w:rsid w:val="00C232D7"/>
    <w:pPr>
      <w:spacing w:after="480"/>
      <w:ind w:left="1191" w:hanging="1191"/>
      <w:jc w:val="left"/>
    </w:pPr>
    <w:rPr>
      <w:rFonts w:ascii="Arial" w:eastAsia="Times New Roman" w:hAnsi="Arial"/>
      <w:b/>
    </w:rPr>
  </w:style>
  <w:style w:type="paragraph" w:customStyle="1" w:styleId="NoteList">
    <w:name w:val="NoteList"/>
    <w:basedOn w:val="Normal"/>
    <w:next w:val="Subject"/>
    <w:rsid w:val="00C232D7"/>
    <w:pPr>
      <w:tabs>
        <w:tab w:val="left" w:pos="5823"/>
      </w:tabs>
      <w:spacing w:before="720" w:after="720"/>
      <w:ind w:left="5104" w:hanging="3119"/>
      <w:jc w:val="left"/>
    </w:pPr>
    <w:rPr>
      <w:rFonts w:ascii="Arial" w:eastAsia="Times New Roman" w:hAnsi="Arial"/>
      <w:b/>
      <w:smallCaps/>
    </w:rPr>
  </w:style>
  <w:style w:type="paragraph" w:customStyle="1" w:styleId="PartTitle">
    <w:name w:val="PartTitle"/>
    <w:basedOn w:val="Normal"/>
    <w:next w:val="ChapterTitle"/>
    <w:rsid w:val="00C232D7"/>
    <w:pPr>
      <w:keepNext/>
      <w:pageBreakBefore/>
      <w:spacing w:after="480"/>
      <w:jc w:val="center"/>
    </w:pPr>
    <w:rPr>
      <w:rFonts w:ascii="Arial" w:eastAsia="Times New Roman" w:hAnsi="Arial"/>
      <w:b/>
      <w:sz w:val="36"/>
    </w:rPr>
  </w:style>
  <w:style w:type="paragraph" w:customStyle="1" w:styleId="YReferences">
    <w:name w:val="YReferences"/>
    <w:basedOn w:val="Normal"/>
    <w:next w:val="Normal"/>
    <w:rsid w:val="00C232D7"/>
    <w:pPr>
      <w:spacing w:after="480"/>
      <w:ind w:left="1191" w:hanging="1191"/>
    </w:pPr>
    <w:rPr>
      <w:rFonts w:ascii="Arial" w:eastAsia="Times New Roman" w:hAnsi="Arial"/>
    </w:rPr>
  </w:style>
  <w:style w:type="paragraph" w:customStyle="1" w:styleId="Heading2b">
    <w:name w:val="Heading2b"/>
    <w:basedOn w:val="Normal"/>
    <w:rsid w:val="00C232D7"/>
    <w:pPr>
      <w:spacing w:after="240"/>
      <w:ind w:left="567" w:hanging="567"/>
      <w:jc w:val="center"/>
    </w:pPr>
    <w:rPr>
      <w:rFonts w:ascii="Arial" w:eastAsia="Times New Roman" w:hAnsi="Arial"/>
      <w:b/>
      <w:u w:val="single"/>
    </w:rPr>
  </w:style>
  <w:style w:type="paragraph" w:customStyle="1" w:styleId="Annexetitle">
    <w:name w:val="Annexe_title"/>
    <w:basedOn w:val="Heading1"/>
    <w:next w:val="Normal"/>
    <w:autoRedefine/>
    <w:rsid w:val="00C232D7"/>
    <w:pPr>
      <w:keepNext w:val="0"/>
      <w:pageBreakBefore/>
      <w:tabs>
        <w:tab w:val="clear" w:pos="709"/>
        <w:tab w:val="left" w:pos="720"/>
        <w:tab w:val="left" w:pos="1701"/>
        <w:tab w:val="left" w:pos="2552"/>
      </w:tabs>
      <w:ind w:left="720" w:hanging="720"/>
      <w:jc w:val="center"/>
      <w:outlineLvl w:val="9"/>
    </w:pPr>
    <w:rPr>
      <w:bCs/>
      <w:smallCaps/>
      <w:color w:val="auto"/>
      <w:sz w:val="34"/>
      <w:szCs w:val="20"/>
    </w:rPr>
  </w:style>
  <w:style w:type="paragraph" w:customStyle="1" w:styleId="Normalgross">
    <w:name w:val="Normal gross"/>
    <w:basedOn w:val="Normal"/>
    <w:rsid w:val="00C232D7"/>
    <w:pPr>
      <w:jc w:val="left"/>
    </w:pPr>
    <w:rPr>
      <w:rFonts w:eastAsia="Times New Roman"/>
    </w:rPr>
  </w:style>
  <w:style w:type="paragraph" w:customStyle="1" w:styleId="Num-DocParagraph">
    <w:name w:val="Num-Doc Paragraph"/>
    <w:basedOn w:val="BodyText"/>
    <w:rsid w:val="00C232D7"/>
    <w:pPr>
      <w:keepLines w:val="0"/>
      <w:tabs>
        <w:tab w:val="clear" w:pos="9214"/>
        <w:tab w:val="left" w:pos="850"/>
        <w:tab w:val="left" w:pos="1191"/>
        <w:tab w:val="left" w:pos="1531"/>
      </w:tabs>
      <w:spacing w:after="240"/>
      <w:jc w:val="both"/>
    </w:pPr>
    <w:rPr>
      <w:rFonts w:ascii="Times New Roman" w:eastAsia="Times New Roman" w:hAnsi="Times New Roman"/>
      <w:szCs w:val="20"/>
    </w:rPr>
  </w:style>
  <w:style w:type="paragraph" w:customStyle="1" w:styleId="Bullets1">
    <w:name w:val="Bullets 1"/>
    <w:basedOn w:val="Normal"/>
    <w:rsid w:val="00C232D7"/>
    <w:pPr>
      <w:tabs>
        <w:tab w:val="left" w:pos="284"/>
      </w:tabs>
      <w:ind w:left="284" w:hanging="283"/>
      <w:jc w:val="left"/>
    </w:pPr>
    <w:rPr>
      <w:rFonts w:eastAsia="Times New Roman"/>
    </w:rPr>
  </w:style>
  <w:style w:type="paragraph" w:customStyle="1" w:styleId="Numbering">
    <w:name w:val="Numbering"/>
    <w:rsid w:val="00C232D7"/>
    <w:pPr>
      <w:tabs>
        <w:tab w:val="left" w:pos="360"/>
        <w:tab w:val="left" w:pos="964"/>
      </w:tabs>
      <w:spacing w:before="120" w:after="0" w:line="240" w:lineRule="auto"/>
      <w:ind w:left="360" w:hanging="360"/>
    </w:pPr>
    <w:rPr>
      <w:rFonts w:ascii="Times New Roman" w:eastAsia="Times New Roman" w:hAnsi="Times New Roman" w:cs="Times New Roman"/>
      <w:szCs w:val="20"/>
      <w:lang w:val="en-GB"/>
    </w:rPr>
  </w:style>
  <w:style w:type="paragraph" w:customStyle="1" w:styleId="Bullets">
    <w:name w:val="Bullets"/>
    <w:basedOn w:val="BodyText2"/>
    <w:autoRedefine/>
    <w:rsid w:val="00C232D7"/>
    <w:pPr>
      <w:tabs>
        <w:tab w:val="left" w:pos="284"/>
      </w:tabs>
      <w:spacing w:before="60"/>
    </w:pPr>
    <w:rPr>
      <w:rFonts w:ascii="Times New Roman" w:eastAsia="Times New Roman" w:hAnsi="Times New Roman" w:cs="Times New Roman"/>
      <w:iCs w:val="0"/>
      <w:szCs w:val="20"/>
      <w:lang w:eastAsia="zh-CN"/>
    </w:rPr>
  </w:style>
  <w:style w:type="paragraph" w:customStyle="1" w:styleId="Normalkursiv">
    <w:name w:val="Normal + kursiv"/>
    <w:basedOn w:val="Normal"/>
    <w:rsid w:val="00C232D7"/>
    <w:pPr>
      <w:jc w:val="left"/>
    </w:pPr>
    <w:rPr>
      <w:rFonts w:eastAsia="Times New Roman"/>
      <w:b/>
      <w:i/>
    </w:rPr>
  </w:style>
  <w:style w:type="paragraph" w:customStyle="1" w:styleId="absatz">
    <w:name w:val="absatz"/>
    <w:basedOn w:val="Normal"/>
    <w:rsid w:val="00C232D7"/>
    <w:pPr>
      <w:tabs>
        <w:tab w:val="left" w:pos="-720"/>
        <w:tab w:val="left" w:pos="0"/>
        <w:tab w:val="left" w:pos="1440"/>
        <w:tab w:val="left" w:pos="2160"/>
      </w:tabs>
      <w:spacing w:before="100"/>
      <w:ind w:left="357" w:right="40" w:hanging="357"/>
      <w:jc w:val="left"/>
    </w:pPr>
    <w:rPr>
      <w:rFonts w:eastAsia="Times New Roman"/>
    </w:rPr>
  </w:style>
  <w:style w:type="paragraph" w:customStyle="1" w:styleId="Normalfett">
    <w:name w:val="Normal + fett"/>
    <w:basedOn w:val="Normal"/>
    <w:rsid w:val="00C232D7"/>
    <w:pPr>
      <w:jc w:val="left"/>
    </w:pPr>
    <w:rPr>
      <w:rFonts w:eastAsia="Times New Roman"/>
      <w:b/>
    </w:rPr>
  </w:style>
  <w:style w:type="paragraph" w:customStyle="1" w:styleId="Normalkursiv2">
    <w:name w:val="Normal + kursiv 2"/>
    <w:basedOn w:val="Normalkursiv"/>
    <w:rsid w:val="00C232D7"/>
    <w:pPr>
      <w:spacing w:before="120"/>
    </w:pPr>
  </w:style>
  <w:style w:type="paragraph" w:customStyle="1" w:styleId="kleinerabstand">
    <w:name w:val="kleiner abstand"/>
    <w:basedOn w:val="Header"/>
    <w:rsid w:val="00C232D7"/>
    <w:pPr>
      <w:jc w:val="center"/>
    </w:pPr>
    <w:rPr>
      <w:rFonts w:ascii="Times New Roman" w:eastAsia="Times New Roman" w:hAnsi="Times New Roman"/>
      <w:sz w:val="12"/>
      <w:szCs w:val="20"/>
    </w:rPr>
  </w:style>
  <w:style w:type="paragraph" w:customStyle="1" w:styleId="Nimekiri2">
    <w:name w:val="Nimekiri 2"/>
    <w:basedOn w:val="Heading2"/>
    <w:rsid w:val="00C232D7"/>
    <w:pPr>
      <w:tabs>
        <w:tab w:val="left" w:pos="720"/>
        <w:tab w:val="left" w:pos="3402"/>
        <w:tab w:val="left" w:pos="5103"/>
      </w:tabs>
      <w:ind w:left="578" w:hanging="578"/>
    </w:pPr>
    <w:rPr>
      <w:b/>
      <w:bCs/>
      <w:color w:val="333399"/>
    </w:rPr>
  </w:style>
  <w:style w:type="paragraph" w:customStyle="1" w:styleId="Bodytext4">
    <w:name w:val="Body text 4"/>
    <w:basedOn w:val="Normal"/>
    <w:rsid w:val="00C232D7"/>
    <w:pPr>
      <w:tabs>
        <w:tab w:val="left" w:pos="851"/>
      </w:tabs>
      <w:spacing w:after="120"/>
      <w:ind w:left="567"/>
    </w:pPr>
    <w:rPr>
      <w:rFonts w:eastAsia="Times New Roman"/>
      <w:sz w:val="24"/>
      <w:lang w:eastAsia="hr-HR"/>
    </w:rPr>
  </w:style>
  <w:style w:type="paragraph" w:customStyle="1" w:styleId="Contact">
    <w:name w:val="Contact"/>
    <w:basedOn w:val="Normal"/>
    <w:next w:val="Normal"/>
    <w:rsid w:val="00C232D7"/>
    <w:pPr>
      <w:spacing w:after="480"/>
      <w:ind w:left="567" w:hanging="567"/>
      <w:jc w:val="left"/>
    </w:pPr>
    <w:rPr>
      <w:rFonts w:eastAsia="Times New Roman"/>
      <w:sz w:val="24"/>
    </w:rPr>
  </w:style>
  <w:style w:type="paragraph" w:customStyle="1" w:styleId="ListBullet1">
    <w:name w:val="List Bullet 1"/>
    <w:basedOn w:val="Text1"/>
    <w:rsid w:val="00C232D7"/>
    <w:pPr>
      <w:tabs>
        <w:tab w:val="left" w:pos="765"/>
      </w:tabs>
      <w:ind w:left="765" w:hanging="283"/>
    </w:pPr>
    <w:rPr>
      <w:lang w:eastAsia="en-US"/>
    </w:rPr>
  </w:style>
  <w:style w:type="paragraph" w:customStyle="1" w:styleId="ListDash">
    <w:name w:val="List Dash"/>
    <w:basedOn w:val="Normal"/>
    <w:rsid w:val="00C232D7"/>
    <w:pPr>
      <w:tabs>
        <w:tab w:val="left" w:pos="283"/>
      </w:tabs>
      <w:spacing w:after="240"/>
      <w:ind w:left="283" w:hanging="283"/>
    </w:pPr>
    <w:rPr>
      <w:rFonts w:eastAsia="Times New Roman"/>
      <w:sz w:val="24"/>
    </w:rPr>
  </w:style>
  <w:style w:type="paragraph" w:customStyle="1" w:styleId="ListDash1">
    <w:name w:val="List Dash 1"/>
    <w:basedOn w:val="Text1"/>
    <w:rsid w:val="00C232D7"/>
    <w:pPr>
      <w:tabs>
        <w:tab w:val="left" w:pos="765"/>
      </w:tabs>
      <w:ind w:left="765" w:hanging="283"/>
    </w:pPr>
    <w:rPr>
      <w:lang w:eastAsia="en-US"/>
    </w:rPr>
  </w:style>
  <w:style w:type="paragraph" w:customStyle="1" w:styleId="ListDash2">
    <w:name w:val="List Dash 2"/>
    <w:basedOn w:val="Text2"/>
    <w:rsid w:val="00C232D7"/>
    <w:pPr>
      <w:tabs>
        <w:tab w:val="clear" w:pos="2161"/>
        <w:tab w:val="left" w:pos="1485"/>
      </w:tabs>
      <w:ind w:left="1485" w:hanging="283"/>
    </w:pPr>
    <w:rPr>
      <w:rFonts w:ascii="Times New Roman" w:hAnsi="Times New Roman"/>
      <w:sz w:val="24"/>
    </w:rPr>
  </w:style>
  <w:style w:type="paragraph" w:customStyle="1" w:styleId="ListDash3">
    <w:name w:val="List Dash 3"/>
    <w:basedOn w:val="Text3"/>
    <w:rsid w:val="00C232D7"/>
    <w:pPr>
      <w:tabs>
        <w:tab w:val="clear" w:pos="2302"/>
        <w:tab w:val="left" w:pos="1485"/>
      </w:tabs>
      <w:ind w:left="1485" w:hanging="283"/>
    </w:pPr>
  </w:style>
  <w:style w:type="paragraph" w:customStyle="1" w:styleId="ListDash4">
    <w:name w:val="List Dash 4"/>
    <w:basedOn w:val="Text4"/>
    <w:rsid w:val="00C232D7"/>
    <w:pPr>
      <w:tabs>
        <w:tab w:val="clear" w:pos="2302"/>
        <w:tab w:val="left" w:pos="1485"/>
      </w:tabs>
      <w:ind w:left="1485" w:hanging="283"/>
    </w:pPr>
    <w:rPr>
      <w:rFonts w:ascii="Times New Roman" w:hAnsi="Times New Roman"/>
      <w:sz w:val="24"/>
    </w:rPr>
  </w:style>
  <w:style w:type="paragraph" w:customStyle="1" w:styleId="ListNumber1">
    <w:name w:val="List Number 1"/>
    <w:basedOn w:val="Text1"/>
    <w:rsid w:val="00C232D7"/>
    <w:pPr>
      <w:tabs>
        <w:tab w:val="left" w:pos="1191"/>
      </w:tabs>
      <w:ind w:left="1191" w:hanging="709"/>
    </w:pPr>
    <w:rPr>
      <w:lang w:eastAsia="en-US"/>
    </w:rPr>
  </w:style>
  <w:style w:type="paragraph" w:customStyle="1" w:styleId="ListNumberLevel2">
    <w:name w:val="List Number (Level 2)"/>
    <w:basedOn w:val="Normal"/>
    <w:rsid w:val="00C232D7"/>
    <w:pPr>
      <w:tabs>
        <w:tab w:val="left" w:pos="1417"/>
      </w:tabs>
      <w:spacing w:after="240"/>
      <w:ind w:left="1417" w:hanging="708"/>
    </w:pPr>
    <w:rPr>
      <w:rFonts w:eastAsia="Times New Roman"/>
      <w:sz w:val="24"/>
    </w:rPr>
  </w:style>
  <w:style w:type="paragraph" w:customStyle="1" w:styleId="ListNumber1Level2">
    <w:name w:val="List Number 1 (Level 2)"/>
    <w:basedOn w:val="Text1"/>
    <w:rsid w:val="00C232D7"/>
    <w:pPr>
      <w:tabs>
        <w:tab w:val="left" w:pos="1899"/>
      </w:tabs>
      <w:ind w:left="1899" w:hanging="708"/>
    </w:pPr>
    <w:rPr>
      <w:lang w:eastAsia="en-US"/>
    </w:rPr>
  </w:style>
  <w:style w:type="paragraph" w:customStyle="1" w:styleId="ListNumber2Level2">
    <w:name w:val="List Number 2 (Level 2)"/>
    <w:basedOn w:val="Text2"/>
    <w:rsid w:val="00C232D7"/>
    <w:pPr>
      <w:tabs>
        <w:tab w:val="clear" w:pos="2161"/>
        <w:tab w:val="left" w:pos="2619"/>
      </w:tabs>
      <w:ind w:left="2619" w:hanging="708"/>
    </w:pPr>
    <w:rPr>
      <w:rFonts w:ascii="Times New Roman" w:hAnsi="Times New Roman"/>
      <w:sz w:val="24"/>
    </w:rPr>
  </w:style>
  <w:style w:type="paragraph" w:customStyle="1" w:styleId="ListNumber3Level2">
    <w:name w:val="List Number 3 (Level 2)"/>
    <w:basedOn w:val="Text3"/>
    <w:rsid w:val="00C232D7"/>
    <w:pPr>
      <w:tabs>
        <w:tab w:val="clear" w:pos="2302"/>
        <w:tab w:val="left" w:pos="2619"/>
      </w:tabs>
      <w:ind w:left="2619" w:hanging="708"/>
    </w:pPr>
  </w:style>
  <w:style w:type="paragraph" w:customStyle="1" w:styleId="ListNumber4Level2">
    <w:name w:val="List Number 4 (Level 2)"/>
    <w:basedOn w:val="Text4"/>
    <w:rsid w:val="00C232D7"/>
    <w:pPr>
      <w:tabs>
        <w:tab w:val="clear" w:pos="2302"/>
        <w:tab w:val="left" w:pos="2619"/>
      </w:tabs>
      <w:ind w:left="2619" w:hanging="708"/>
    </w:pPr>
    <w:rPr>
      <w:rFonts w:ascii="Times New Roman" w:hAnsi="Times New Roman"/>
      <w:sz w:val="24"/>
    </w:rPr>
  </w:style>
  <w:style w:type="paragraph" w:customStyle="1" w:styleId="ListNumberLevel3">
    <w:name w:val="List Number (Level 3)"/>
    <w:basedOn w:val="Normal"/>
    <w:rsid w:val="00C232D7"/>
    <w:pPr>
      <w:tabs>
        <w:tab w:val="left" w:pos="2126"/>
      </w:tabs>
      <w:spacing w:after="240"/>
      <w:ind w:left="2126" w:hanging="709"/>
    </w:pPr>
    <w:rPr>
      <w:rFonts w:eastAsia="Times New Roman"/>
      <w:sz w:val="24"/>
    </w:rPr>
  </w:style>
  <w:style w:type="paragraph" w:customStyle="1" w:styleId="ListNumber1Level3">
    <w:name w:val="List Number 1 (Level 3)"/>
    <w:basedOn w:val="Text1"/>
    <w:rsid w:val="00C232D7"/>
    <w:pPr>
      <w:tabs>
        <w:tab w:val="left" w:pos="2608"/>
      </w:tabs>
      <w:ind w:left="2608" w:hanging="709"/>
    </w:pPr>
    <w:rPr>
      <w:lang w:eastAsia="en-US"/>
    </w:rPr>
  </w:style>
  <w:style w:type="paragraph" w:customStyle="1" w:styleId="ListNumber2Level3">
    <w:name w:val="List Number 2 (Level 3)"/>
    <w:basedOn w:val="Text2"/>
    <w:rsid w:val="00C232D7"/>
    <w:pPr>
      <w:tabs>
        <w:tab w:val="clear" w:pos="2161"/>
        <w:tab w:val="left" w:pos="3328"/>
      </w:tabs>
      <w:ind w:left="3328" w:hanging="709"/>
    </w:pPr>
    <w:rPr>
      <w:rFonts w:ascii="Times New Roman" w:hAnsi="Times New Roman"/>
      <w:sz w:val="24"/>
    </w:rPr>
  </w:style>
  <w:style w:type="paragraph" w:customStyle="1" w:styleId="ListNumber3Level3">
    <w:name w:val="List Number 3 (Level 3)"/>
    <w:basedOn w:val="Text3"/>
    <w:rsid w:val="00C232D7"/>
    <w:pPr>
      <w:tabs>
        <w:tab w:val="clear" w:pos="2302"/>
        <w:tab w:val="left" w:pos="3328"/>
      </w:tabs>
      <w:ind w:left="3328" w:hanging="709"/>
    </w:pPr>
  </w:style>
  <w:style w:type="paragraph" w:customStyle="1" w:styleId="ListNumber4Level3">
    <w:name w:val="List Number 4 (Level 3)"/>
    <w:basedOn w:val="Text4"/>
    <w:rsid w:val="00C232D7"/>
    <w:pPr>
      <w:tabs>
        <w:tab w:val="clear" w:pos="2302"/>
        <w:tab w:val="left" w:pos="3328"/>
      </w:tabs>
      <w:ind w:left="3328" w:hanging="709"/>
    </w:pPr>
    <w:rPr>
      <w:rFonts w:ascii="Times New Roman" w:hAnsi="Times New Roman"/>
      <w:sz w:val="24"/>
    </w:rPr>
  </w:style>
  <w:style w:type="paragraph" w:customStyle="1" w:styleId="ListNumberLevel4">
    <w:name w:val="List Number (Level 4)"/>
    <w:basedOn w:val="Normal"/>
    <w:rsid w:val="00C232D7"/>
    <w:pPr>
      <w:tabs>
        <w:tab w:val="left" w:pos="2835"/>
      </w:tabs>
      <w:spacing w:after="240"/>
      <w:ind w:left="2835" w:hanging="709"/>
    </w:pPr>
    <w:rPr>
      <w:rFonts w:eastAsia="Times New Roman"/>
      <w:sz w:val="24"/>
    </w:rPr>
  </w:style>
  <w:style w:type="paragraph" w:customStyle="1" w:styleId="ListNumber1Level4">
    <w:name w:val="List Number 1 (Level 4)"/>
    <w:basedOn w:val="Text1"/>
    <w:rsid w:val="00C232D7"/>
    <w:pPr>
      <w:tabs>
        <w:tab w:val="left" w:pos="3317"/>
      </w:tabs>
      <w:ind w:left="3317" w:hanging="709"/>
    </w:pPr>
    <w:rPr>
      <w:lang w:eastAsia="en-US"/>
    </w:rPr>
  </w:style>
  <w:style w:type="paragraph" w:customStyle="1" w:styleId="ListNumber2Level4">
    <w:name w:val="List Number 2 (Level 4)"/>
    <w:basedOn w:val="Text2"/>
    <w:rsid w:val="00C232D7"/>
    <w:pPr>
      <w:tabs>
        <w:tab w:val="clear" w:pos="2161"/>
        <w:tab w:val="left" w:pos="4037"/>
      </w:tabs>
      <w:ind w:left="4037" w:hanging="709"/>
    </w:pPr>
    <w:rPr>
      <w:rFonts w:ascii="Times New Roman" w:hAnsi="Times New Roman"/>
      <w:sz w:val="24"/>
    </w:rPr>
  </w:style>
  <w:style w:type="paragraph" w:customStyle="1" w:styleId="ListNumber3Level4">
    <w:name w:val="List Number 3 (Level 4)"/>
    <w:basedOn w:val="Text3"/>
    <w:rsid w:val="00C232D7"/>
    <w:pPr>
      <w:tabs>
        <w:tab w:val="clear" w:pos="2302"/>
        <w:tab w:val="left" w:pos="4037"/>
      </w:tabs>
      <w:ind w:left="4037" w:hanging="709"/>
    </w:pPr>
  </w:style>
  <w:style w:type="paragraph" w:customStyle="1" w:styleId="ListNumber4Level4">
    <w:name w:val="List Number 4 (Level 4)"/>
    <w:basedOn w:val="Text4"/>
    <w:rsid w:val="00C232D7"/>
    <w:pPr>
      <w:tabs>
        <w:tab w:val="clear" w:pos="2302"/>
        <w:tab w:val="left" w:pos="4037"/>
      </w:tabs>
      <w:ind w:left="4037" w:hanging="709"/>
    </w:pPr>
    <w:rPr>
      <w:rFonts w:ascii="Times New Roman" w:hAnsi="Times New Roman"/>
      <w:sz w:val="24"/>
    </w:rPr>
  </w:style>
  <w:style w:type="paragraph" w:customStyle="1" w:styleId="Blockquote">
    <w:name w:val="Blockquote"/>
    <w:basedOn w:val="Normal"/>
    <w:rsid w:val="00C232D7"/>
    <w:pPr>
      <w:widowControl w:val="0"/>
      <w:spacing w:before="100" w:after="100"/>
      <w:ind w:left="360" w:right="360"/>
      <w:jc w:val="left"/>
    </w:pPr>
    <w:rPr>
      <w:rFonts w:eastAsia="Times New Roman"/>
      <w:snapToGrid w:val="0"/>
      <w:sz w:val="24"/>
    </w:rPr>
  </w:style>
  <w:style w:type="paragraph" w:customStyle="1" w:styleId="WMBodyText">
    <w:name w:val="WM Body Text"/>
    <w:basedOn w:val="Normal"/>
    <w:rsid w:val="00C232D7"/>
    <w:pPr>
      <w:spacing w:after="200"/>
      <w:jc w:val="left"/>
    </w:pPr>
    <w:rPr>
      <w:rFonts w:ascii="Arial" w:eastAsia="Times New Roman" w:hAnsi="Arial" w:cs="Arial"/>
    </w:rPr>
  </w:style>
  <w:style w:type="paragraph" w:customStyle="1" w:styleId="Heading32">
    <w:name w:val="Heading 32"/>
    <w:basedOn w:val="Default"/>
    <w:next w:val="Default"/>
    <w:rsid w:val="00C232D7"/>
    <w:pPr>
      <w:widowControl/>
      <w:spacing w:after="240" w:line="240" w:lineRule="auto"/>
      <w:ind w:left="0" w:firstLine="0"/>
      <w:jc w:val="left"/>
      <w:textAlignment w:val="auto"/>
    </w:pPr>
    <w:rPr>
      <w:rFonts w:ascii="KGAGGM+TimesNewRoman,Italic" w:eastAsia="Times New Roman" w:hAnsi="KGAGGM+TimesNewRoman,Italic" w:cs="Times New Roman"/>
      <w:color w:val="auto"/>
      <w:lang w:val="it-IT" w:eastAsia="it-IT"/>
    </w:rPr>
  </w:style>
  <w:style w:type="paragraph" w:customStyle="1" w:styleId="Heading11">
    <w:name w:val="Heading 11"/>
    <w:basedOn w:val="Default"/>
    <w:next w:val="Default"/>
    <w:rsid w:val="00C232D7"/>
    <w:pPr>
      <w:widowControl/>
      <w:spacing w:before="480" w:after="240" w:line="240" w:lineRule="auto"/>
      <w:ind w:left="0" w:firstLine="0"/>
      <w:jc w:val="left"/>
      <w:textAlignment w:val="auto"/>
    </w:pPr>
    <w:rPr>
      <w:rFonts w:ascii="KGABMB+TimesNewRoman,Bold" w:eastAsia="Times New Roman" w:hAnsi="KGABMB+TimesNewRoman,Bold" w:cs="Times New Roman"/>
      <w:color w:val="auto"/>
      <w:lang w:val="it-IT" w:eastAsia="it-IT"/>
    </w:rPr>
  </w:style>
  <w:style w:type="paragraph" w:customStyle="1" w:styleId="Heading22">
    <w:name w:val="Heading 22"/>
    <w:basedOn w:val="Default"/>
    <w:next w:val="Default"/>
    <w:rsid w:val="00C232D7"/>
    <w:pPr>
      <w:widowControl/>
      <w:spacing w:before="120" w:after="240" w:line="240" w:lineRule="auto"/>
      <w:ind w:left="0" w:firstLine="0"/>
      <w:jc w:val="left"/>
      <w:textAlignment w:val="auto"/>
    </w:pPr>
    <w:rPr>
      <w:rFonts w:ascii="KGABMB+TimesNewRoman,Bold" w:eastAsia="Times New Roman" w:hAnsi="KGABMB+TimesNewRoman,Bold" w:cs="Times New Roman"/>
      <w:color w:val="auto"/>
      <w:lang w:val="it-IT" w:eastAsia="it-IT"/>
    </w:rPr>
  </w:style>
  <w:style w:type="paragraph" w:customStyle="1" w:styleId="p22">
    <w:name w:val="p22"/>
    <w:basedOn w:val="Normal"/>
    <w:rsid w:val="00C232D7"/>
    <w:pPr>
      <w:widowControl w:val="0"/>
      <w:tabs>
        <w:tab w:val="left" w:pos="771"/>
        <w:tab w:val="left" w:pos="1145"/>
      </w:tabs>
      <w:autoSpaceDE w:val="0"/>
      <w:autoSpaceDN w:val="0"/>
      <w:adjustRightInd w:val="0"/>
      <w:ind w:left="1145" w:hanging="374"/>
      <w:jc w:val="left"/>
    </w:pPr>
    <w:rPr>
      <w:rFonts w:eastAsia="Times New Roman"/>
      <w:sz w:val="24"/>
      <w:szCs w:val="24"/>
      <w:lang w:val="en-US" w:eastAsia="it-IT"/>
    </w:rPr>
  </w:style>
  <w:style w:type="paragraph" w:customStyle="1" w:styleId="p12">
    <w:name w:val="p12"/>
    <w:basedOn w:val="Normal"/>
    <w:rsid w:val="00C232D7"/>
    <w:pPr>
      <w:widowControl w:val="0"/>
      <w:autoSpaceDE w:val="0"/>
      <w:autoSpaceDN w:val="0"/>
      <w:adjustRightInd w:val="0"/>
    </w:pPr>
    <w:rPr>
      <w:rFonts w:eastAsia="Times New Roman"/>
      <w:sz w:val="24"/>
      <w:szCs w:val="24"/>
      <w:lang w:val="en-US" w:eastAsia="it-IT"/>
    </w:rPr>
  </w:style>
  <w:style w:type="paragraph" w:customStyle="1" w:styleId="classification">
    <w:name w:val="classification"/>
    <w:basedOn w:val="Normal"/>
    <w:rsid w:val="00C232D7"/>
    <w:pPr>
      <w:jc w:val="center"/>
    </w:pPr>
    <w:rPr>
      <w:rFonts w:ascii="Arial" w:eastAsia="Times New Roman" w:hAnsi="Arial"/>
      <w:caps/>
      <w:snapToGrid w:val="0"/>
      <w:lang w:val="fr-FR"/>
    </w:rPr>
  </w:style>
  <w:style w:type="paragraph" w:customStyle="1" w:styleId="StileSinistro0cmPrimariga0cm">
    <w:name w:val="Stile Sinistro:  0 cm Prima riga:  0 cm"/>
    <w:basedOn w:val="Normal"/>
    <w:rsid w:val="00C232D7"/>
    <w:rPr>
      <w:rFonts w:eastAsia="Times New Roman"/>
      <w:sz w:val="22"/>
    </w:rPr>
  </w:style>
  <w:style w:type="paragraph" w:customStyle="1" w:styleId="StileTitolo2Garamond11ptprima0pt">
    <w:name w:val="Stile Titolo 2 + Garamond 11 pt prima 0 pt"/>
    <w:basedOn w:val="Heading2"/>
    <w:autoRedefine/>
    <w:rsid w:val="00C232D7"/>
    <w:pPr>
      <w:widowControl w:val="0"/>
      <w:adjustRightInd w:val="0"/>
      <w:textAlignment w:val="baseline"/>
    </w:pPr>
    <w:rPr>
      <w:bCs/>
      <w:color w:val="244061"/>
    </w:rPr>
  </w:style>
  <w:style w:type="paragraph" w:customStyle="1" w:styleId="StileTitolo1">
    <w:name w:val="Stile Titolo 1"/>
    <w:basedOn w:val="Heading1"/>
    <w:autoRedefine/>
    <w:rsid w:val="00C232D7"/>
    <w:pPr>
      <w:keepLines/>
      <w:tabs>
        <w:tab w:val="left" w:pos="800"/>
      </w:tabs>
      <w:ind w:left="800" w:hanging="800"/>
    </w:pPr>
    <w:rPr>
      <w:color w:val="365F91"/>
      <w:sz w:val="28"/>
      <w:szCs w:val="20"/>
    </w:rPr>
  </w:style>
  <w:style w:type="paragraph" w:customStyle="1" w:styleId="StileTitolo3Garamondprima0pt">
    <w:name w:val="Stile Titolo 3 + Garamond prima 0 pt"/>
    <w:basedOn w:val="Heading3"/>
    <w:autoRedefine/>
    <w:rsid w:val="00C232D7"/>
    <w:pPr>
      <w:tabs>
        <w:tab w:val="left" w:pos="1000"/>
      </w:tabs>
    </w:pPr>
    <w:rPr>
      <w:rFonts w:eastAsia="Times New Roman"/>
      <w:bCs w:val="0"/>
      <w:lang w:eastAsia="en-US"/>
    </w:rPr>
  </w:style>
  <w:style w:type="paragraph" w:customStyle="1" w:styleId="Normale2">
    <w:name w:val="Normale2"/>
    <w:basedOn w:val="Normal"/>
    <w:rsid w:val="00C232D7"/>
    <w:rPr>
      <w:rFonts w:eastAsia="Times New Roman"/>
      <w:sz w:val="24"/>
      <w:lang w:eastAsia="es-ES"/>
    </w:rPr>
  </w:style>
  <w:style w:type="paragraph" w:customStyle="1" w:styleId="Stile">
    <w:name w:val="Stile"/>
    <w:basedOn w:val="Normal"/>
    <w:rsid w:val="00C232D7"/>
    <w:rPr>
      <w:rFonts w:ascii="Garamond" w:hAnsi="Garamond"/>
      <w:sz w:val="12"/>
    </w:rPr>
  </w:style>
  <w:style w:type="paragraph" w:customStyle="1" w:styleId="chapter">
    <w:name w:val="chapter"/>
    <w:basedOn w:val="Normal"/>
    <w:rsid w:val="00C232D7"/>
    <w:pPr>
      <w:spacing w:after="120"/>
    </w:pPr>
    <w:rPr>
      <w:rFonts w:eastAsia="Times New Roman"/>
      <w:b/>
      <w:sz w:val="24"/>
      <w:lang w:eastAsia="es-ES"/>
    </w:rPr>
  </w:style>
  <w:style w:type="paragraph" w:customStyle="1" w:styleId="Style1">
    <w:name w:val="Style1"/>
    <w:basedOn w:val="Normal"/>
    <w:link w:val="Style1Car"/>
    <w:qFormat/>
    <w:rsid w:val="00C232D7"/>
    <w:pPr>
      <w:spacing w:after="120"/>
    </w:pPr>
    <w:rPr>
      <w:rFonts w:ascii="Arial Narrow" w:eastAsia="Times New Roman" w:hAnsi="Arial Narrow"/>
      <w:bCs/>
      <w:sz w:val="22"/>
      <w:szCs w:val="24"/>
      <w:lang w:eastAsia="ar-SA"/>
    </w:rPr>
  </w:style>
  <w:style w:type="character" w:customStyle="1" w:styleId="Style1Car">
    <w:name w:val="Style1 Car"/>
    <w:link w:val="Style1"/>
    <w:rsid w:val="00C232D7"/>
    <w:rPr>
      <w:rFonts w:ascii="Arial Narrow" w:eastAsia="Times New Roman" w:hAnsi="Arial Narrow" w:cs="Times New Roman"/>
      <w:bCs/>
      <w:szCs w:val="24"/>
      <w:lang w:val="en-GB" w:eastAsia="ar-SA"/>
    </w:rPr>
  </w:style>
  <w:style w:type="paragraph" w:customStyle="1" w:styleId="CarattereCarattere2">
    <w:name w:val="Carattere Carattere2"/>
    <w:basedOn w:val="Normal"/>
    <w:autoRedefine/>
    <w:rsid w:val="00C232D7"/>
    <w:pPr>
      <w:tabs>
        <w:tab w:val="left" w:leader="dot" w:pos="709"/>
      </w:tabs>
      <w:jc w:val="left"/>
    </w:pPr>
    <w:rPr>
      <w:rFonts w:ascii="Tahoma" w:eastAsia="Times New Roman" w:hAnsi="Tahoma"/>
      <w:smallCaps/>
      <w:sz w:val="24"/>
      <w:szCs w:val="24"/>
      <w:lang w:val="pl-PL" w:eastAsia="pl-PL"/>
    </w:rPr>
  </w:style>
  <w:style w:type="paragraph" w:customStyle="1" w:styleId="box">
    <w:name w:val="box"/>
    <w:basedOn w:val="Normal"/>
    <w:rsid w:val="00C232D7"/>
    <w:pPr>
      <w:spacing w:before="60" w:after="60"/>
      <w:ind w:left="227"/>
      <w:jc w:val="left"/>
    </w:pPr>
    <w:rPr>
      <w:rFonts w:eastAsia="Times New Roman"/>
      <w:sz w:val="19"/>
      <w:szCs w:val="19"/>
      <w:lang w:eastAsia="en-GB"/>
    </w:rPr>
  </w:style>
  <w:style w:type="paragraph" w:customStyle="1" w:styleId="StileNormale">
    <w:name w:val="Stile Normale +"/>
    <w:basedOn w:val="Normal"/>
    <w:autoRedefine/>
    <w:rsid w:val="00C232D7"/>
    <w:pPr>
      <w:widowControl w:val="0"/>
      <w:adjustRightInd w:val="0"/>
      <w:ind w:left="-45"/>
      <w:textAlignment w:val="baseline"/>
    </w:pPr>
    <w:rPr>
      <w:rFonts w:eastAsia="Times New Roman" w:cs="Tahoma"/>
    </w:rPr>
  </w:style>
  <w:style w:type="paragraph" w:customStyle="1" w:styleId="Stile1">
    <w:name w:val="Stile1"/>
    <w:basedOn w:val="StileNormale"/>
    <w:rsid w:val="00C232D7"/>
    <w:rPr>
      <w:rFonts w:ascii="Tahoma" w:hAnsi="Tahoma"/>
      <w:sz w:val="16"/>
      <w:szCs w:val="16"/>
    </w:rPr>
  </w:style>
  <w:style w:type="character" w:customStyle="1" w:styleId="apple-style-span">
    <w:name w:val="apple-style-span"/>
    <w:rsid w:val="00C232D7"/>
  </w:style>
  <w:style w:type="character" w:customStyle="1" w:styleId="apple-converted-space">
    <w:name w:val="apple-converted-space"/>
    <w:rsid w:val="00C232D7"/>
  </w:style>
  <w:style w:type="paragraph" w:customStyle="1" w:styleId="CharCharChar">
    <w:name w:val="Char Char Char"/>
    <w:basedOn w:val="Normal"/>
    <w:rsid w:val="00C232D7"/>
    <w:pPr>
      <w:spacing w:after="160" w:line="240" w:lineRule="exact"/>
      <w:jc w:val="left"/>
    </w:pPr>
    <w:rPr>
      <w:rFonts w:ascii="Tahoma" w:eastAsia="Times New Roman" w:hAnsi="Tahoma"/>
      <w:lang w:val="sq-AL"/>
    </w:rPr>
  </w:style>
  <w:style w:type="character" w:customStyle="1" w:styleId="StileLatinoTahomaMaiuscoletto">
    <w:name w:val="Stile (Latino) Tahoma Maiuscoletto"/>
    <w:rsid w:val="00C232D7"/>
    <w:rPr>
      <w:rFonts w:ascii="Tahoma" w:hAnsi="Tahoma"/>
      <w:smallCaps/>
      <w:sz w:val="20"/>
      <w:szCs w:val="20"/>
      <w:lang w:val="pl-PL" w:eastAsia="pl-PL" w:bidi="ar-SA"/>
    </w:rPr>
  </w:style>
  <w:style w:type="character" w:customStyle="1" w:styleId="Carattere3Carattere">
    <w:name w:val="Carattere3 Carattere"/>
    <w:semiHidden/>
    <w:rsid w:val="00C232D7"/>
    <w:rPr>
      <w:rFonts w:ascii="Arial" w:hAnsi="Arial"/>
      <w:smallCaps/>
      <w:sz w:val="24"/>
      <w:szCs w:val="24"/>
      <w:lang w:val="pl-PL" w:eastAsia="de-DE" w:bidi="ar-SA"/>
    </w:rPr>
  </w:style>
  <w:style w:type="paragraph" w:customStyle="1" w:styleId="Carattere">
    <w:name w:val="Carattere"/>
    <w:basedOn w:val="Normal"/>
    <w:rsid w:val="00C232D7"/>
    <w:pPr>
      <w:spacing w:after="160" w:line="240" w:lineRule="exact"/>
      <w:jc w:val="left"/>
    </w:pPr>
    <w:rPr>
      <w:rFonts w:ascii="Tahoma" w:eastAsia="Times New Roman" w:hAnsi="Tahoma"/>
      <w:lang w:val="en-US"/>
    </w:rPr>
  </w:style>
  <w:style w:type="character" w:customStyle="1" w:styleId="StileRimandonotaapidipaginaLatinoTahoma10ptNero">
    <w:name w:val="Stile Rimando nota a piè di pagina + (Latino) Tahoma 10 pt Nero"/>
    <w:rsid w:val="00C232D7"/>
    <w:rPr>
      <w:rFonts w:ascii="Tahoma" w:hAnsi="Tahoma"/>
      <w:smallCaps/>
      <w:color w:val="000000"/>
      <w:position w:val="6"/>
      <w:sz w:val="20"/>
      <w:szCs w:val="20"/>
      <w:vertAlign w:val="superscript"/>
      <w:lang w:val="pl-PL" w:eastAsia="pl-PL" w:bidi="ar-SA"/>
    </w:rPr>
  </w:style>
  <w:style w:type="character" w:customStyle="1" w:styleId="googqs-tidbit-0">
    <w:name w:val="goog_qs-tidbit-0"/>
    <w:rsid w:val="00C232D7"/>
  </w:style>
  <w:style w:type="character" w:customStyle="1" w:styleId="googqs-tidbit1">
    <w:name w:val="goog_qs-tidbit1"/>
    <w:rsid w:val="00C232D7"/>
    <w:rPr>
      <w:rFonts w:ascii="Tahoma" w:hAnsi="Tahoma"/>
      <w:smallCaps/>
      <w:sz w:val="24"/>
      <w:szCs w:val="24"/>
      <w:lang w:val="pl-PL" w:eastAsia="pl-PL" w:bidi="ar-SA"/>
    </w:rPr>
  </w:style>
  <w:style w:type="character" w:customStyle="1" w:styleId="ft">
    <w:name w:val="ft"/>
    <w:rsid w:val="00C232D7"/>
  </w:style>
  <w:style w:type="paragraph" w:customStyle="1" w:styleId="CarattereCharCharCarattereCarattereCarattere">
    <w:name w:val="Carattere Char Char Carattere Carattere Carattere"/>
    <w:basedOn w:val="Normal"/>
    <w:rsid w:val="00C232D7"/>
    <w:pPr>
      <w:suppressAutoHyphens/>
      <w:autoSpaceDN w:val="0"/>
      <w:spacing w:after="160" w:line="240" w:lineRule="exact"/>
      <w:jc w:val="left"/>
      <w:textAlignment w:val="baseline"/>
    </w:pPr>
    <w:rPr>
      <w:rFonts w:ascii="Tahoma" w:eastAsia="Times New Roman" w:hAnsi="Tahoma"/>
      <w:bCs/>
      <w:lang w:val="en-US"/>
    </w:rPr>
  </w:style>
  <w:style w:type="character" w:customStyle="1" w:styleId="cgselectable">
    <w:name w:val="cgselectable"/>
    <w:rsid w:val="00C232D7"/>
  </w:style>
  <w:style w:type="paragraph" w:customStyle="1" w:styleId="text">
    <w:name w:val="text"/>
    <w:basedOn w:val="Normal"/>
    <w:rsid w:val="00C232D7"/>
    <w:pPr>
      <w:suppressAutoHyphens/>
      <w:autoSpaceDN w:val="0"/>
      <w:spacing w:before="100" w:after="100"/>
      <w:jc w:val="left"/>
      <w:textAlignment w:val="baseline"/>
    </w:pPr>
    <w:rPr>
      <w:rFonts w:ascii="Arial" w:eastAsia="Times New Roman" w:hAnsi="Arial" w:cs="Arial"/>
      <w:bCs/>
      <w:color w:val="333333"/>
      <w:sz w:val="18"/>
      <w:szCs w:val="18"/>
      <w:lang w:eastAsia="en-GB"/>
    </w:rPr>
  </w:style>
  <w:style w:type="character" w:customStyle="1" w:styleId="CarattereCarattereCarattere1">
    <w:name w:val="Carattere Carattere Carattere1"/>
    <w:rsid w:val="00C232D7"/>
    <w:rPr>
      <w:rFonts w:cs="Arial"/>
      <w:b/>
      <w:bCs/>
      <w:sz w:val="24"/>
      <w:szCs w:val="24"/>
      <w:lang w:val="sq-AL" w:eastAsia="tr-TR" w:bidi="ar-SA"/>
    </w:rPr>
  </w:style>
  <w:style w:type="paragraph" w:customStyle="1" w:styleId="Modulovuoto">
    <w:name w:val="Modulo vuoto"/>
    <w:rsid w:val="00C232D7"/>
    <w:pPr>
      <w:suppressAutoHyphens/>
      <w:autoSpaceDN w:val="0"/>
      <w:spacing w:after="0" w:line="240" w:lineRule="auto"/>
      <w:textAlignment w:val="baseline"/>
    </w:pPr>
    <w:rPr>
      <w:rFonts w:ascii="Cambria" w:eastAsia="ヒラギノ角ゴ Pro W3" w:hAnsi="Cambria" w:cs="Times New Roman"/>
      <w:bCs/>
      <w:color w:val="000000"/>
      <w:sz w:val="20"/>
      <w:szCs w:val="20"/>
      <w:lang w:val="en-GB" w:eastAsia="it-IT"/>
    </w:rPr>
  </w:style>
  <w:style w:type="character" w:customStyle="1" w:styleId="longtext">
    <w:name w:val="long_text"/>
    <w:rsid w:val="00C232D7"/>
  </w:style>
  <w:style w:type="character" w:customStyle="1" w:styleId="hps">
    <w:name w:val="hps"/>
    <w:rsid w:val="00C232D7"/>
  </w:style>
  <w:style w:type="character" w:customStyle="1" w:styleId="En-tteclientCarattere">
    <w:name w:val="En-tête client Carattere"/>
    <w:rsid w:val="00C232D7"/>
    <w:rPr>
      <w:rFonts w:ascii="Tahoma" w:hAnsi="Tahoma"/>
      <w:smallCaps/>
      <w:sz w:val="24"/>
      <w:szCs w:val="24"/>
      <w:lang w:val="it-IT" w:eastAsia="it-IT" w:bidi="ar-SA"/>
    </w:rPr>
  </w:style>
  <w:style w:type="character" w:customStyle="1" w:styleId="RENA-Footnotereference">
    <w:name w:val="RENA-Footnote reference"/>
    <w:rsid w:val="00C232D7"/>
    <w:rPr>
      <w:rFonts w:ascii="Garamond" w:eastAsia="MS Mincho" w:hAnsi="Garamond"/>
      <w:smallCaps/>
      <w:position w:val="6"/>
      <w:sz w:val="20"/>
      <w:szCs w:val="20"/>
      <w:vertAlign w:val="baseline"/>
      <w:lang w:val="en-GB" w:eastAsia="ja-JP" w:bidi="ar-SA"/>
    </w:rPr>
  </w:style>
  <w:style w:type="paragraph" w:customStyle="1" w:styleId="RENA-FootnoteText">
    <w:name w:val="RENA-Footnote Text"/>
    <w:basedOn w:val="Normal"/>
    <w:rsid w:val="00C232D7"/>
    <w:pPr>
      <w:suppressAutoHyphens/>
      <w:autoSpaceDN w:val="0"/>
      <w:jc w:val="left"/>
      <w:textAlignment w:val="baseline"/>
    </w:pPr>
    <w:rPr>
      <w:rFonts w:ascii="Garamond" w:eastAsia="MS Mincho" w:hAnsi="Garamond"/>
      <w:bCs/>
      <w:lang w:val="en-US" w:eastAsia="ja-JP"/>
    </w:rPr>
  </w:style>
  <w:style w:type="paragraph" w:customStyle="1" w:styleId="RENANormal">
    <w:name w:val="RENA Normal"/>
    <w:basedOn w:val="Normal"/>
    <w:rsid w:val="00C232D7"/>
    <w:pPr>
      <w:suppressAutoHyphens/>
      <w:autoSpaceDN w:val="0"/>
      <w:spacing w:after="120"/>
      <w:textAlignment w:val="baseline"/>
    </w:pPr>
    <w:rPr>
      <w:rFonts w:ascii="Garamond" w:eastAsia="MS Mincho" w:hAnsi="Garamond"/>
      <w:bCs/>
      <w:szCs w:val="24"/>
      <w:lang w:eastAsia="ja-JP"/>
    </w:rPr>
  </w:style>
  <w:style w:type="paragraph" w:customStyle="1" w:styleId="RENA-normal">
    <w:name w:val="RENA-normal"/>
    <w:basedOn w:val="Normal"/>
    <w:rsid w:val="00C232D7"/>
    <w:pPr>
      <w:suppressAutoHyphens/>
      <w:autoSpaceDN w:val="0"/>
      <w:spacing w:after="120"/>
      <w:textAlignment w:val="baseline"/>
    </w:pPr>
    <w:rPr>
      <w:rFonts w:ascii="Garamond" w:eastAsia="Times New Roman" w:hAnsi="Garamond"/>
      <w:bCs/>
      <w:szCs w:val="24"/>
    </w:rPr>
  </w:style>
  <w:style w:type="character" w:customStyle="1" w:styleId="FunotentextfCarattere">
    <w:name w:val="Fußnotentextf Carattere"/>
    <w:rsid w:val="00C232D7"/>
    <w:rPr>
      <w:rFonts w:ascii="Tahoma" w:hAnsi="Tahoma"/>
      <w:smallCaps/>
      <w:sz w:val="24"/>
      <w:szCs w:val="24"/>
      <w:lang w:val="it-IT" w:eastAsia="it-IT" w:bidi="ar-SA"/>
    </w:rPr>
  </w:style>
  <w:style w:type="character" w:customStyle="1" w:styleId="CarattereCarattere5">
    <w:name w:val="Carattere Carattere5"/>
    <w:rsid w:val="00C232D7"/>
    <w:rPr>
      <w:rFonts w:ascii="Tahoma" w:eastAsia="ヒラギノ角ゴ Pro W3" w:hAnsi="Tahoma"/>
      <w:smallCaps/>
      <w:color w:val="000000"/>
      <w:sz w:val="24"/>
      <w:szCs w:val="24"/>
      <w:lang w:val="en-GB" w:eastAsia="it-IT" w:bidi="ar-SA"/>
    </w:rPr>
  </w:style>
  <w:style w:type="character" w:customStyle="1" w:styleId="CarattereCarattere4">
    <w:name w:val="Carattere Carattere4"/>
    <w:rsid w:val="00C232D7"/>
    <w:rPr>
      <w:rFonts w:ascii="Tahoma" w:eastAsia="ヒラギノ角ゴ Pro W3" w:hAnsi="Tahoma"/>
      <w:smallCaps/>
      <w:color w:val="000000"/>
      <w:sz w:val="24"/>
      <w:szCs w:val="24"/>
      <w:lang w:val="en-US" w:eastAsia="it-IT" w:bidi="ar-SA"/>
    </w:rPr>
  </w:style>
  <w:style w:type="character" w:customStyle="1" w:styleId="CarattereCarattere3">
    <w:name w:val="Carattere Carattere3"/>
    <w:rsid w:val="00C232D7"/>
    <w:rPr>
      <w:rFonts w:ascii="Courier New" w:hAnsi="Courier New"/>
      <w:smallCaps/>
      <w:color w:val="000000"/>
      <w:sz w:val="18"/>
      <w:szCs w:val="18"/>
      <w:lang w:val="pl-PL" w:eastAsia="pl-PL" w:bidi="ar-SA"/>
    </w:rPr>
  </w:style>
  <w:style w:type="paragraph" w:customStyle="1" w:styleId="berschrift51">
    <w:name w:val="Überschrift 51"/>
    <w:basedOn w:val="Normal"/>
    <w:next w:val="Normal"/>
    <w:rsid w:val="00C232D7"/>
    <w:pPr>
      <w:keepNext/>
      <w:widowControl w:val="0"/>
      <w:suppressAutoHyphens/>
      <w:autoSpaceDN w:val="0"/>
      <w:jc w:val="left"/>
      <w:textAlignment w:val="baseline"/>
    </w:pPr>
    <w:rPr>
      <w:rFonts w:ascii="Comic Sans MS" w:eastAsia="Times New Roman" w:hAnsi="Comic Sans MS"/>
      <w:b/>
      <w:bCs/>
      <w:lang w:val="nl-NL"/>
    </w:rPr>
  </w:style>
  <w:style w:type="paragraph" w:customStyle="1" w:styleId="PuceBleue">
    <w:name w:val="Puce Bleue"/>
    <w:basedOn w:val="Normal"/>
    <w:rsid w:val="00C232D7"/>
    <w:pPr>
      <w:numPr>
        <w:numId w:val="4"/>
      </w:numPr>
      <w:suppressAutoHyphens/>
      <w:autoSpaceDN w:val="0"/>
      <w:spacing w:before="60" w:line="260" w:lineRule="exact"/>
      <w:jc w:val="left"/>
      <w:textAlignment w:val="baseline"/>
    </w:pPr>
    <w:rPr>
      <w:rFonts w:ascii="Arial" w:eastAsia="Times New Roman" w:hAnsi="Arial"/>
      <w:bCs/>
      <w:color w:val="000000"/>
      <w:lang w:eastAsia="fr-FR"/>
    </w:rPr>
  </w:style>
  <w:style w:type="paragraph" w:customStyle="1" w:styleId="RENA-PMtable">
    <w:name w:val="RENA-PM table"/>
    <w:basedOn w:val="Normal"/>
    <w:rsid w:val="00C232D7"/>
    <w:pPr>
      <w:suppressAutoHyphens/>
      <w:autoSpaceDN w:val="0"/>
      <w:jc w:val="left"/>
      <w:textAlignment w:val="baseline"/>
    </w:pPr>
    <w:rPr>
      <w:rFonts w:ascii="Garamond" w:eastAsia="Times New Roman" w:hAnsi="Garamond"/>
      <w:bCs/>
      <w:sz w:val="18"/>
      <w:szCs w:val="24"/>
    </w:rPr>
  </w:style>
  <w:style w:type="paragraph" w:customStyle="1" w:styleId="Aaoeeu">
    <w:name w:val="Aaoeeu"/>
    <w:rsid w:val="00C232D7"/>
    <w:pPr>
      <w:widowControl w:val="0"/>
      <w:suppressAutoHyphens/>
      <w:autoSpaceDN w:val="0"/>
      <w:spacing w:after="0" w:line="240" w:lineRule="auto"/>
      <w:textAlignment w:val="baseline"/>
    </w:pPr>
    <w:rPr>
      <w:rFonts w:ascii="Times New Roman" w:eastAsia="Times New Roman" w:hAnsi="Times New Roman" w:cs="Times New Roman"/>
      <w:bCs/>
      <w:sz w:val="20"/>
      <w:szCs w:val="20"/>
      <w:lang w:eastAsia="it-IT"/>
    </w:rPr>
  </w:style>
  <w:style w:type="paragraph" w:customStyle="1" w:styleId="Aeeaoaeaa1">
    <w:name w:val="A?eeaoae?aa 1"/>
    <w:basedOn w:val="Aaoeeu"/>
    <w:next w:val="Aaoeeu"/>
    <w:rsid w:val="00C232D7"/>
    <w:pPr>
      <w:keepNext/>
      <w:jc w:val="right"/>
    </w:pPr>
    <w:rPr>
      <w:b/>
    </w:rPr>
  </w:style>
  <w:style w:type="paragraph" w:customStyle="1" w:styleId="Aeeaoaeaa2">
    <w:name w:val="A?eeaoae?aa 2"/>
    <w:basedOn w:val="Aaoeeu"/>
    <w:next w:val="Aaoeeu"/>
    <w:rsid w:val="00C232D7"/>
    <w:pPr>
      <w:keepNext/>
      <w:jc w:val="right"/>
    </w:pPr>
    <w:rPr>
      <w:i/>
    </w:rPr>
  </w:style>
  <w:style w:type="character" w:customStyle="1" w:styleId="niaeeaaiYicanaiiaoioaenU">
    <w:name w:val="?nia?eeaaiYic anaiiaoioaenU"/>
    <w:rsid w:val="00C232D7"/>
    <w:rPr>
      <w:sz w:val="20"/>
    </w:rPr>
  </w:style>
  <w:style w:type="paragraph" w:customStyle="1" w:styleId="Eaoaeaa">
    <w:name w:val="Eaoae?aa"/>
    <w:basedOn w:val="Aaoeeu"/>
    <w:rsid w:val="00C232D7"/>
    <w:pPr>
      <w:tabs>
        <w:tab w:val="center" w:pos="4153"/>
        <w:tab w:val="right" w:pos="8306"/>
      </w:tabs>
    </w:pPr>
  </w:style>
  <w:style w:type="paragraph" w:customStyle="1" w:styleId="OioYeeai">
    <w:name w:val="O?ioYeeai"/>
    <w:basedOn w:val="Aaoeeu"/>
    <w:rsid w:val="00C232D7"/>
    <w:pPr>
      <w:tabs>
        <w:tab w:val="center" w:pos="4153"/>
        <w:tab w:val="right" w:pos="8306"/>
      </w:tabs>
    </w:pPr>
  </w:style>
  <w:style w:type="character" w:customStyle="1" w:styleId="Aneeiuooaeaao">
    <w:name w:val="Aneeiuo oae?aao"/>
    <w:rsid w:val="00C232D7"/>
    <w:rPr>
      <w:sz w:val="20"/>
    </w:rPr>
  </w:style>
  <w:style w:type="paragraph" w:customStyle="1" w:styleId="OiaeaeiYiio">
    <w:name w:val="O?ia eaeiYiio"/>
    <w:basedOn w:val="Aaoeeu"/>
    <w:rsid w:val="00C232D7"/>
    <w:pPr>
      <w:jc w:val="right"/>
    </w:pPr>
  </w:style>
  <w:style w:type="paragraph" w:customStyle="1" w:styleId="OiaeaeiYiio2">
    <w:name w:val="O?ia eaeiYiio 2"/>
    <w:basedOn w:val="Aaoeeu"/>
    <w:rsid w:val="00C232D7"/>
    <w:pPr>
      <w:jc w:val="right"/>
    </w:pPr>
    <w:rPr>
      <w:i/>
      <w:sz w:val="16"/>
    </w:rPr>
  </w:style>
  <w:style w:type="paragraph" w:customStyle="1" w:styleId="OiaeaeiYiio3">
    <w:name w:val="O?ia eaeiYiio 3"/>
    <w:basedOn w:val="Aaoeeu"/>
    <w:rsid w:val="00C232D7"/>
    <w:pPr>
      <w:jc w:val="right"/>
    </w:pPr>
    <w:rPr>
      <w:b/>
    </w:rPr>
  </w:style>
  <w:style w:type="paragraph" w:customStyle="1" w:styleId="a">
    <w:name w:val="Êåöáëßäá"/>
    <w:basedOn w:val="Normal"/>
    <w:rsid w:val="00C232D7"/>
    <w:pPr>
      <w:widowControl w:val="0"/>
      <w:tabs>
        <w:tab w:val="center" w:pos="4153"/>
        <w:tab w:val="right" w:pos="8306"/>
      </w:tabs>
      <w:suppressAutoHyphens/>
      <w:autoSpaceDN w:val="0"/>
      <w:jc w:val="left"/>
      <w:textAlignment w:val="baseline"/>
    </w:pPr>
    <w:rPr>
      <w:rFonts w:eastAsia="Times New Roman"/>
      <w:bCs/>
      <w:lang w:val="el-GR" w:eastAsia="it-IT"/>
    </w:rPr>
  </w:style>
  <w:style w:type="paragraph" w:customStyle="1" w:styleId="a0">
    <w:name w:val="ÕðïóÝëéäï"/>
    <w:basedOn w:val="Normal"/>
    <w:rsid w:val="00C232D7"/>
    <w:pPr>
      <w:widowControl w:val="0"/>
      <w:tabs>
        <w:tab w:val="center" w:pos="4153"/>
        <w:tab w:val="right" w:pos="8306"/>
      </w:tabs>
      <w:suppressAutoHyphens/>
      <w:autoSpaceDN w:val="0"/>
      <w:jc w:val="left"/>
      <w:textAlignment w:val="baseline"/>
    </w:pPr>
    <w:rPr>
      <w:rFonts w:eastAsia="Times New Roman"/>
      <w:bCs/>
      <w:lang w:val="el-GR" w:eastAsia="it-IT"/>
    </w:rPr>
  </w:style>
  <w:style w:type="character" w:customStyle="1" w:styleId="a1">
    <w:name w:val="Áñéèìüò óåëßäáò"/>
    <w:rsid w:val="00C232D7"/>
    <w:rPr>
      <w:rFonts w:ascii="Tahoma" w:hAnsi="Tahoma"/>
      <w:smallCaps/>
      <w:sz w:val="20"/>
      <w:szCs w:val="24"/>
      <w:lang w:val="pl-PL" w:eastAsia="pl-PL" w:bidi="ar-SA"/>
    </w:rPr>
  </w:style>
  <w:style w:type="paragraph" w:customStyle="1" w:styleId="a2">
    <w:name w:val="Âáóéêü"/>
    <w:rsid w:val="00C232D7"/>
    <w:pPr>
      <w:widowControl w:val="0"/>
      <w:suppressAutoHyphens/>
      <w:autoSpaceDN w:val="0"/>
      <w:spacing w:after="0" w:line="240" w:lineRule="auto"/>
      <w:textAlignment w:val="baseline"/>
    </w:pPr>
    <w:rPr>
      <w:rFonts w:ascii="Times New Roman" w:eastAsia="Times New Roman" w:hAnsi="Times New Roman" w:cs="Times New Roman"/>
      <w:bCs/>
      <w:sz w:val="20"/>
      <w:szCs w:val="20"/>
      <w:lang w:val="el-GR" w:eastAsia="it-IT"/>
    </w:rPr>
  </w:style>
  <w:style w:type="paragraph" w:customStyle="1" w:styleId="Tacisbody">
    <w:name w:val="Tacis body"/>
    <w:rsid w:val="00C232D7"/>
    <w:pPr>
      <w:shd w:val="clear" w:color="auto" w:fill="FFFFFF"/>
      <w:tabs>
        <w:tab w:val="left" w:pos="851"/>
        <w:tab w:val="left" w:pos="1701"/>
      </w:tabs>
      <w:suppressAutoHyphens/>
      <w:autoSpaceDN w:val="0"/>
      <w:spacing w:after="0" w:line="240" w:lineRule="auto"/>
      <w:ind w:left="-71" w:right="-126"/>
      <w:textAlignment w:val="baseline"/>
    </w:pPr>
    <w:rPr>
      <w:rFonts w:ascii="Times" w:eastAsia="Times New Roman" w:hAnsi="Times" w:cs="Times New Roman"/>
      <w:bCs/>
      <w:color w:val="000000"/>
      <w:sz w:val="48"/>
      <w:szCs w:val="20"/>
      <w:lang w:val="it-IT" w:eastAsia="it-IT"/>
    </w:rPr>
  </w:style>
  <w:style w:type="paragraph" w:customStyle="1" w:styleId="Indice">
    <w:name w:val="Indice"/>
    <w:basedOn w:val="Normal"/>
    <w:rsid w:val="00C232D7"/>
    <w:pPr>
      <w:tabs>
        <w:tab w:val="left" w:pos="284"/>
        <w:tab w:val="left" w:pos="794"/>
        <w:tab w:val="left" w:pos="1560"/>
        <w:tab w:val="left" w:pos="1843"/>
        <w:tab w:val="left" w:pos="2410"/>
        <w:tab w:val="left" w:pos="2552"/>
        <w:tab w:val="right" w:leader="dot" w:pos="5954"/>
        <w:tab w:val="right" w:leader="hyphen" w:pos="7797"/>
      </w:tabs>
      <w:suppressAutoHyphens/>
      <w:autoSpaceDN w:val="0"/>
      <w:spacing w:line="240" w:lineRule="atLeast"/>
      <w:ind w:left="993" w:hanging="426"/>
      <w:textAlignment w:val="baseline"/>
    </w:pPr>
    <w:rPr>
      <w:rFonts w:eastAsia="Times New Roman"/>
      <w:bCs/>
      <w:sz w:val="24"/>
      <w:lang w:val="it-IT" w:eastAsia="it-IT"/>
    </w:rPr>
  </w:style>
  <w:style w:type="paragraph" w:customStyle="1" w:styleId="A3">
    <w:name w:val="A"/>
    <w:basedOn w:val="Normal"/>
    <w:rsid w:val="00C232D7"/>
    <w:pPr>
      <w:tabs>
        <w:tab w:val="right" w:pos="8789"/>
      </w:tabs>
      <w:suppressAutoHyphens/>
      <w:autoSpaceDN w:val="0"/>
      <w:ind w:left="1080"/>
      <w:textAlignment w:val="baseline"/>
    </w:pPr>
    <w:rPr>
      <w:rFonts w:ascii="Arial" w:eastAsia="Times New Roman" w:hAnsi="Arial" w:cs="Arial"/>
      <w:bCs/>
      <w:lang w:eastAsia="fr-BE"/>
    </w:rPr>
  </w:style>
  <w:style w:type="character" w:customStyle="1" w:styleId="AChar">
    <w:name w:val="A Char"/>
    <w:rsid w:val="00C232D7"/>
    <w:rPr>
      <w:rFonts w:ascii="Arial" w:hAnsi="Arial" w:cs="Arial"/>
      <w:smallCaps/>
      <w:sz w:val="24"/>
      <w:szCs w:val="24"/>
      <w:lang w:val="pl-PL" w:eastAsia="fr-BE" w:bidi="ar-SA"/>
    </w:rPr>
  </w:style>
  <w:style w:type="paragraph" w:customStyle="1" w:styleId="CarattereCarattereCarattere">
    <w:name w:val="Carattere Carattere Carattere"/>
    <w:basedOn w:val="Normal"/>
    <w:rsid w:val="00C232D7"/>
    <w:pPr>
      <w:widowControl w:val="0"/>
      <w:suppressAutoHyphens/>
      <w:autoSpaceDN w:val="0"/>
      <w:spacing w:after="160" w:line="240" w:lineRule="exact"/>
      <w:jc w:val="left"/>
      <w:textAlignment w:val="baseline"/>
    </w:pPr>
    <w:rPr>
      <w:rFonts w:ascii="Tahoma" w:eastAsia="Times New Roman" w:hAnsi="Tahoma"/>
      <w:bCs/>
      <w:lang w:val="en-US"/>
    </w:rPr>
  </w:style>
  <w:style w:type="character" w:customStyle="1" w:styleId="spelle">
    <w:name w:val="spelle"/>
    <w:rsid w:val="00C232D7"/>
  </w:style>
  <w:style w:type="character" w:customStyle="1" w:styleId="CarattereCarattere1">
    <w:name w:val="Carattere Carattere1"/>
    <w:rsid w:val="00C232D7"/>
    <w:rPr>
      <w:rFonts w:ascii="Tahoma" w:hAnsi="Tahoma"/>
      <w:smallCaps/>
      <w:sz w:val="16"/>
      <w:szCs w:val="16"/>
      <w:lang w:val="en-US" w:eastAsia="it-IT" w:bidi="ar-SA"/>
    </w:rPr>
  </w:style>
  <w:style w:type="paragraph" w:customStyle="1" w:styleId="CarattereCharChar">
    <w:name w:val="Carattere Char Char"/>
    <w:basedOn w:val="Normal"/>
    <w:rsid w:val="00C232D7"/>
    <w:pPr>
      <w:suppressAutoHyphens/>
      <w:autoSpaceDN w:val="0"/>
      <w:spacing w:after="160" w:line="240" w:lineRule="exact"/>
      <w:jc w:val="left"/>
      <w:textAlignment w:val="baseline"/>
    </w:pPr>
    <w:rPr>
      <w:rFonts w:ascii="Tahoma" w:eastAsia="Times New Roman" w:hAnsi="Tahoma"/>
      <w:bCs/>
      <w:lang w:val="en-US"/>
    </w:rPr>
  </w:style>
  <w:style w:type="paragraph" w:customStyle="1" w:styleId="ATENCorpsdudocument">
    <w:name w:val="ATEN Corps du document"/>
    <w:basedOn w:val="Normal"/>
    <w:rsid w:val="00C232D7"/>
    <w:pPr>
      <w:suppressAutoHyphens/>
      <w:autoSpaceDN w:val="0"/>
      <w:spacing w:line="300" w:lineRule="exact"/>
      <w:jc w:val="left"/>
      <w:textAlignment w:val="baseline"/>
    </w:pPr>
    <w:rPr>
      <w:rFonts w:ascii="Arial" w:eastAsia="Times New Roman" w:hAnsi="Arial"/>
      <w:bCs/>
      <w:sz w:val="21"/>
      <w:szCs w:val="24"/>
      <w:lang w:val="it-IT" w:eastAsia="ar-SA"/>
    </w:rPr>
  </w:style>
  <w:style w:type="paragraph" w:customStyle="1" w:styleId="ATENpuce">
    <w:name w:val="ATEN puce"/>
    <w:basedOn w:val="ATENCorpsdudocument"/>
    <w:rsid w:val="00C232D7"/>
    <w:pPr>
      <w:tabs>
        <w:tab w:val="left" w:pos="360"/>
      </w:tabs>
      <w:ind w:left="283" w:right="283" w:hanging="283"/>
    </w:pPr>
  </w:style>
  <w:style w:type="character" w:customStyle="1" w:styleId="CarattereCarattere6">
    <w:name w:val="Carattere Carattere6"/>
    <w:rsid w:val="00C232D7"/>
    <w:rPr>
      <w:rFonts w:ascii="Courier New" w:hAnsi="Courier New" w:cs="Courier New"/>
      <w:smallCaps/>
      <w:sz w:val="24"/>
      <w:szCs w:val="24"/>
      <w:lang w:val="it-IT" w:eastAsia="it-IT" w:bidi="ar-SA"/>
    </w:rPr>
  </w:style>
  <w:style w:type="paragraph" w:customStyle="1" w:styleId="CM1">
    <w:name w:val="CM1"/>
    <w:basedOn w:val="Default"/>
    <w:next w:val="Default"/>
    <w:rsid w:val="00C232D7"/>
    <w:pPr>
      <w:widowControl/>
      <w:suppressAutoHyphens/>
      <w:adjustRightInd/>
      <w:spacing w:line="240" w:lineRule="auto"/>
      <w:ind w:left="0" w:firstLine="0"/>
      <w:jc w:val="left"/>
    </w:pPr>
    <w:rPr>
      <w:rFonts w:ascii="EUAlbertina" w:eastAsia="Times New Roman" w:hAnsi="EUAlbertina" w:cs="Times New Roman"/>
      <w:bCs/>
      <w:color w:val="auto"/>
      <w:lang w:val="en-US" w:eastAsia="en-US"/>
    </w:rPr>
  </w:style>
  <w:style w:type="paragraph" w:customStyle="1" w:styleId="CM4">
    <w:name w:val="CM4"/>
    <w:basedOn w:val="Default"/>
    <w:next w:val="Default"/>
    <w:rsid w:val="00C232D7"/>
    <w:pPr>
      <w:widowControl/>
      <w:suppressAutoHyphens/>
      <w:adjustRightInd/>
      <w:spacing w:line="240" w:lineRule="auto"/>
      <w:ind w:left="0" w:firstLine="0"/>
      <w:jc w:val="left"/>
    </w:pPr>
    <w:rPr>
      <w:rFonts w:ascii="EUAlbertina" w:eastAsia="Times New Roman" w:hAnsi="EUAlbertina" w:cs="Times New Roman"/>
      <w:bCs/>
      <w:color w:val="auto"/>
      <w:lang w:val="en-US" w:eastAsia="en-US"/>
    </w:rPr>
  </w:style>
  <w:style w:type="character" w:customStyle="1" w:styleId="highlightedsearchterm">
    <w:name w:val="highlightedsearchterm"/>
    <w:rsid w:val="00C232D7"/>
  </w:style>
  <w:style w:type="paragraph" w:customStyle="1" w:styleId="documentdescription">
    <w:name w:val="documentdescription"/>
    <w:basedOn w:val="Normal"/>
    <w:rsid w:val="00C232D7"/>
    <w:pPr>
      <w:suppressAutoHyphens/>
      <w:autoSpaceDN w:val="0"/>
      <w:spacing w:before="100" w:after="100"/>
      <w:jc w:val="left"/>
      <w:textAlignment w:val="baseline"/>
    </w:pPr>
    <w:rPr>
      <w:rFonts w:eastAsia="Times New Roman"/>
      <w:bCs/>
      <w:sz w:val="24"/>
      <w:szCs w:val="24"/>
      <w:lang w:val="en-US"/>
    </w:rPr>
  </w:style>
  <w:style w:type="paragraph" w:customStyle="1" w:styleId="yiv2120501182msonormal">
    <w:name w:val="yiv2120501182msonormal"/>
    <w:basedOn w:val="Normal"/>
    <w:rsid w:val="00C232D7"/>
    <w:pPr>
      <w:suppressAutoHyphens/>
      <w:autoSpaceDN w:val="0"/>
      <w:spacing w:before="100" w:after="100"/>
      <w:jc w:val="left"/>
      <w:textAlignment w:val="baseline"/>
    </w:pPr>
    <w:rPr>
      <w:rFonts w:eastAsia="Times New Roman"/>
      <w:bCs/>
      <w:sz w:val="24"/>
      <w:szCs w:val="24"/>
      <w:lang w:val="en-US"/>
    </w:rPr>
  </w:style>
  <w:style w:type="paragraph" w:customStyle="1" w:styleId="yiv511740470msonormal">
    <w:name w:val="yiv511740470msonormal"/>
    <w:basedOn w:val="Normal"/>
    <w:rsid w:val="00C232D7"/>
    <w:pPr>
      <w:suppressAutoHyphens/>
      <w:autoSpaceDN w:val="0"/>
      <w:spacing w:before="100" w:after="100"/>
      <w:jc w:val="left"/>
      <w:textAlignment w:val="baseline"/>
    </w:pPr>
    <w:rPr>
      <w:rFonts w:eastAsia="Times New Roman"/>
      <w:bCs/>
      <w:sz w:val="24"/>
      <w:szCs w:val="24"/>
      <w:lang w:val="en-US"/>
    </w:rPr>
  </w:style>
  <w:style w:type="paragraph" w:customStyle="1" w:styleId="CVTitle">
    <w:name w:val="CV Title"/>
    <w:basedOn w:val="Normal"/>
    <w:rsid w:val="00C232D7"/>
    <w:pPr>
      <w:suppressAutoHyphens/>
      <w:autoSpaceDN w:val="0"/>
      <w:ind w:left="113" w:right="113"/>
      <w:jc w:val="right"/>
      <w:textAlignment w:val="baseline"/>
    </w:pPr>
    <w:rPr>
      <w:rFonts w:ascii="Arial Narrow" w:eastAsia="Times New Roman" w:hAnsi="Arial Narrow"/>
      <w:b/>
      <w:spacing w:val="10"/>
      <w:sz w:val="28"/>
      <w:lang w:val="fr-FR" w:eastAsia="ar-SA"/>
    </w:rPr>
  </w:style>
  <w:style w:type="paragraph" w:customStyle="1" w:styleId="CVHeading1">
    <w:name w:val="CV Heading 1"/>
    <w:basedOn w:val="Normal"/>
    <w:next w:val="Normal"/>
    <w:rsid w:val="00C232D7"/>
    <w:pPr>
      <w:suppressAutoHyphens/>
      <w:autoSpaceDN w:val="0"/>
      <w:spacing w:before="74"/>
      <w:ind w:left="113" w:right="113"/>
      <w:jc w:val="right"/>
      <w:textAlignment w:val="baseline"/>
    </w:pPr>
    <w:rPr>
      <w:rFonts w:ascii="Arial Narrow" w:eastAsia="Times New Roman" w:hAnsi="Arial Narrow"/>
      <w:b/>
      <w:bCs/>
      <w:sz w:val="24"/>
      <w:lang w:val="en-US" w:eastAsia="ar-SA"/>
    </w:rPr>
  </w:style>
  <w:style w:type="paragraph" w:customStyle="1" w:styleId="CVHeading2">
    <w:name w:val="CV Heading 2"/>
    <w:basedOn w:val="CVHeading1"/>
    <w:next w:val="Normal"/>
    <w:rsid w:val="00C232D7"/>
    <w:pPr>
      <w:spacing w:before="0"/>
    </w:pPr>
    <w:rPr>
      <w:b w:val="0"/>
      <w:sz w:val="22"/>
    </w:rPr>
  </w:style>
  <w:style w:type="paragraph" w:customStyle="1" w:styleId="CVHeading2-FirstLine">
    <w:name w:val="CV Heading 2 - First Line"/>
    <w:basedOn w:val="CVHeading2"/>
    <w:next w:val="CVHeading2"/>
    <w:rsid w:val="00C232D7"/>
    <w:pPr>
      <w:spacing w:before="74"/>
    </w:pPr>
  </w:style>
  <w:style w:type="paragraph" w:customStyle="1" w:styleId="CVHeading3">
    <w:name w:val="CV Heading 3"/>
    <w:basedOn w:val="Normal"/>
    <w:next w:val="Normal"/>
    <w:rsid w:val="00C232D7"/>
    <w:pPr>
      <w:suppressAutoHyphens/>
      <w:autoSpaceDN w:val="0"/>
      <w:ind w:left="113" w:right="113"/>
      <w:jc w:val="right"/>
      <w:textAlignment w:val="center"/>
    </w:pPr>
    <w:rPr>
      <w:rFonts w:ascii="Arial Narrow" w:eastAsia="Times New Roman" w:hAnsi="Arial Narrow"/>
      <w:bCs/>
      <w:lang w:val="en-US" w:eastAsia="ar-SA"/>
    </w:rPr>
  </w:style>
  <w:style w:type="paragraph" w:customStyle="1" w:styleId="CVHeading3-FirstLine">
    <w:name w:val="CV Heading 3 - First Line"/>
    <w:basedOn w:val="CVHeading3"/>
    <w:next w:val="CVHeading3"/>
    <w:rsid w:val="00C232D7"/>
    <w:pPr>
      <w:spacing w:before="74"/>
    </w:pPr>
  </w:style>
  <w:style w:type="paragraph" w:customStyle="1" w:styleId="CVHeadingLanguage">
    <w:name w:val="CV Heading Language"/>
    <w:basedOn w:val="CVHeading2"/>
    <w:next w:val="LevelAssessment-Code"/>
    <w:rsid w:val="00C232D7"/>
    <w:rPr>
      <w:b/>
    </w:rPr>
  </w:style>
  <w:style w:type="paragraph" w:customStyle="1" w:styleId="LevelAssessment-Code">
    <w:name w:val="Level Assessment - Code"/>
    <w:basedOn w:val="Normal"/>
    <w:next w:val="LevelAssessment-Description"/>
    <w:rsid w:val="00C232D7"/>
    <w:pPr>
      <w:suppressAutoHyphens/>
      <w:autoSpaceDN w:val="0"/>
      <w:ind w:left="28"/>
      <w:jc w:val="center"/>
      <w:textAlignment w:val="baseline"/>
    </w:pPr>
    <w:rPr>
      <w:rFonts w:ascii="Arial Narrow" w:eastAsia="Times New Roman" w:hAnsi="Arial Narrow"/>
      <w:bCs/>
      <w:sz w:val="18"/>
      <w:lang w:val="en-US" w:eastAsia="ar-SA"/>
    </w:rPr>
  </w:style>
  <w:style w:type="paragraph" w:customStyle="1" w:styleId="LevelAssessment-Description">
    <w:name w:val="Level Assessment - Description"/>
    <w:basedOn w:val="LevelAssessment-Code"/>
    <w:next w:val="LevelAssessment-Code"/>
    <w:rsid w:val="00C232D7"/>
    <w:pPr>
      <w:textAlignment w:val="bottom"/>
    </w:pPr>
  </w:style>
  <w:style w:type="paragraph" w:customStyle="1" w:styleId="CVHeadingLevel">
    <w:name w:val="CV Heading Level"/>
    <w:basedOn w:val="CVHeading3"/>
    <w:next w:val="Normal"/>
    <w:rsid w:val="00C232D7"/>
    <w:rPr>
      <w:i/>
    </w:rPr>
  </w:style>
  <w:style w:type="paragraph" w:customStyle="1" w:styleId="LevelAssessment-Heading1">
    <w:name w:val="Level Assessment - Heading 1"/>
    <w:basedOn w:val="LevelAssessment-Code"/>
    <w:rsid w:val="00C232D7"/>
    <w:pPr>
      <w:ind w:left="57" w:right="57"/>
    </w:pPr>
    <w:rPr>
      <w:b/>
      <w:sz w:val="22"/>
    </w:rPr>
  </w:style>
  <w:style w:type="paragraph" w:customStyle="1" w:styleId="LevelAssessment-Heading2">
    <w:name w:val="Level Assessment - Heading 2"/>
    <w:basedOn w:val="Normal"/>
    <w:rsid w:val="00C232D7"/>
    <w:pPr>
      <w:suppressAutoHyphens/>
      <w:autoSpaceDN w:val="0"/>
      <w:ind w:left="57" w:right="57"/>
      <w:jc w:val="center"/>
      <w:textAlignment w:val="baseline"/>
    </w:pPr>
    <w:rPr>
      <w:rFonts w:ascii="Arial Narrow" w:eastAsia="Times New Roman" w:hAnsi="Arial Narrow"/>
      <w:bCs/>
      <w:sz w:val="18"/>
      <w:lang w:val="en-US" w:eastAsia="ar-SA"/>
    </w:rPr>
  </w:style>
  <w:style w:type="paragraph" w:customStyle="1" w:styleId="LevelAssessment-Note">
    <w:name w:val="Level Assessment - Note"/>
    <w:basedOn w:val="LevelAssessment-Code"/>
    <w:rsid w:val="00C232D7"/>
    <w:pPr>
      <w:ind w:left="113"/>
      <w:jc w:val="left"/>
    </w:pPr>
    <w:rPr>
      <w:i/>
    </w:rPr>
  </w:style>
  <w:style w:type="paragraph" w:customStyle="1" w:styleId="CVMajor-FirstLine">
    <w:name w:val="CV Major - First Line"/>
    <w:basedOn w:val="Normal"/>
    <w:next w:val="Normal"/>
    <w:rsid w:val="00C232D7"/>
    <w:pPr>
      <w:suppressAutoHyphens/>
      <w:autoSpaceDN w:val="0"/>
      <w:spacing w:before="74"/>
      <w:ind w:left="113" w:right="113"/>
      <w:jc w:val="left"/>
      <w:textAlignment w:val="baseline"/>
    </w:pPr>
    <w:rPr>
      <w:rFonts w:ascii="Arial Narrow" w:eastAsia="Times New Roman" w:hAnsi="Arial Narrow"/>
      <w:b/>
      <w:bCs/>
      <w:sz w:val="24"/>
      <w:lang w:val="en-US" w:eastAsia="ar-SA"/>
    </w:rPr>
  </w:style>
  <w:style w:type="paragraph" w:customStyle="1" w:styleId="CVMedium-FirstLine">
    <w:name w:val="CV Medium - First Line"/>
    <w:basedOn w:val="Normal"/>
    <w:next w:val="Normal"/>
    <w:rsid w:val="00C232D7"/>
    <w:pPr>
      <w:suppressAutoHyphens/>
      <w:autoSpaceDN w:val="0"/>
      <w:spacing w:before="74"/>
      <w:ind w:left="113" w:right="113"/>
      <w:jc w:val="left"/>
      <w:textAlignment w:val="baseline"/>
    </w:pPr>
    <w:rPr>
      <w:rFonts w:ascii="Arial Narrow" w:eastAsia="Times New Roman" w:hAnsi="Arial Narrow"/>
      <w:b/>
      <w:bCs/>
      <w:lang w:val="en-US" w:eastAsia="ar-SA"/>
    </w:rPr>
  </w:style>
  <w:style w:type="paragraph" w:customStyle="1" w:styleId="CVNormal">
    <w:name w:val="CV Normal"/>
    <w:basedOn w:val="Normal"/>
    <w:link w:val="CVNormalCar"/>
    <w:rsid w:val="00C232D7"/>
    <w:pPr>
      <w:suppressAutoHyphens/>
      <w:autoSpaceDN w:val="0"/>
      <w:ind w:left="113" w:right="113"/>
      <w:jc w:val="left"/>
      <w:textAlignment w:val="baseline"/>
    </w:pPr>
    <w:rPr>
      <w:rFonts w:ascii="Arial Narrow" w:eastAsia="Times New Roman" w:hAnsi="Arial Narrow"/>
      <w:bCs/>
      <w:lang w:eastAsia="ar-SA"/>
    </w:rPr>
  </w:style>
  <w:style w:type="character" w:customStyle="1" w:styleId="CVNormalCar">
    <w:name w:val="CV Normal Car"/>
    <w:link w:val="CVNormal"/>
    <w:rsid w:val="00C232D7"/>
    <w:rPr>
      <w:rFonts w:ascii="Arial Narrow" w:eastAsia="Times New Roman" w:hAnsi="Arial Narrow" w:cs="Times New Roman"/>
      <w:bCs/>
      <w:sz w:val="20"/>
      <w:szCs w:val="20"/>
      <w:lang w:val="en-GB" w:eastAsia="ar-SA"/>
    </w:rPr>
  </w:style>
  <w:style w:type="paragraph" w:customStyle="1" w:styleId="CVSpacer">
    <w:name w:val="CV Spacer"/>
    <w:basedOn w:val="CVNormal"/>
    <w:rsid w:val="00C232D7"/>
    <w:rPr>
      <w:sz w:val="4"/>
    </w:rPr>
  </w:style>
  <w:style w:type="paragraph" w:customStyle="1" w:styleId="CVNormal-FirstLine">
    <w:name w:val="CV Normal - First Line"/>
    <w:basedOn w:val="CVNormal"/>
    <w:next w:val="CVNormal"/>
    <w:rsid w:val="00C232D7"/>
    <w:pPr>
      <w:spacing w:before="74"/>
    </w:pPr>
  </w:style>
  <w:style w:type="paragraph" w:customStyle="1" w:styleId="SubTitle1">
    <w:name w:val="SubTitle 1"/>
    <w:basedOn w:val="Normal"/>
    <w:next w:val="Normal"/>
    <w:rsid w:val="00C232D7"/>
    <w:pPr>
      <w:suppressAutoHyphens/>
      <w:autoSpaceDN w:val="0"/>
      <w:spacing w:after="240"/>
      <w:jc w:val="center"/>
      <w:textAlignment w:val="baseline"/>
    </w:pPr>
    <w:rPr>
      <w:rFonts w:eastAsia="Times New Roman"/>
      <w:b/>
      <w:sz w:val="40"/>
      <w:szCs w:val="40"/>
      <w:lang w:eastAsia="en-GB"/>
    </w:rPr>
  </w:style>
  <w:style w:type="paragraph" w:customStyle="1" w:styleId="TableContents">
    <w:name w:val="Table Contents"/>
    <w:basedOn w:val="Normal"/>
    <w:rsid w:val="00C232D7"/>
    <w:pPr>
      <w:suppressLineNumbers/>
      <w:suppressAutoHyphens/>
      <w:autoSpaceDN w:val="0"/>
      <w:jc w:val="left"/>
      <w:textAlignment w:val="baseline"/>
    </w:pPr>
    <w:rPr>
      <w:rFonts w:ascii="Arial Narrow" w:eastAsia="Times New Roman" w:hAnsi="Arial Narrow"/>
      <w:bCs/>
      <w:lang w:eastAsia="ar-SA"/>
    </w:rPr>
  </w:style>
  <w:style w:type="paragraph" w:customStyle="1" w:styleId="cvindent">
    <w:name w:val="cvindent"/>
    <w:rsid w:val="00C232D7"/>
    <w:pPr>
      <w:tabs>
        <w:tab w:val="left" w:pos="2880"/>
      </w:tabs>
      <w:suppressAutoHyphens/>
      <w:autoSpaceDN w:val="0"/>
      <w:spacing w:after="0" w:line="240" w:lineRule="auto"/>
      <w:ind w:left="2880" w:hanging="2880"/>
      <w:textAlignment w:val="baseline"/>
    </w:pPr>
    <w:rPr>
      <w:rFonts w:ascii="Century Schoolbook" w:eastAsia="Times New Roman" w:hAnsi="Century Schoolbook" w:cs="Times New Roman"/>
      <w:bCs/>
      <w:color w:val="000000"/>
      <w:sz w:val="20"/>
      <w:szCs w:val="20"/>
      <w:lang w:val="en-GB"/>
    </w:rPr>
  </w:style>
  <w:style w:type="paragraph" w:customStyle="1" w:styleId="Style7">
    <w:name w:val="Style7"/>
    <w:basedOn w:val="Normal"/>
    <w:link w:val="Style7Char"/>
    <w:qFormat/>
    <w:rsid w:val="00C232D7"/>
    <w:pPr>
      <w:numPr>
        <w:numId w:val="5"/>
      </w:numPr>
      <w:suppressAutoHyphens/>
      <w:autoSpaceDN w:val="0"/>
      <w:textAlignment w:val="baseline"/>
    </w:pPr>
    <w:rPr>
      <w:rFonts w:ascii="CG Times" w:eastAsia="Times New Roman" w:hAnsi="CG Times"/>
      <w:bCs/>
      <w:sz w:val="24"/>
      <w:lang w:eastAsia="it-IT"/>
    </w:rPr>
  </w:style>
  <w:style w:type="character" w:customStyle="1" w:styleId="Style7Char">
    <w:name w:val="Style7 Char"/>
    <w:basedOn w:val="DefaultParagraphFont"/>
    <w:link w:val="Style7"/>
    <w:rsid w:val="00C232D7"/>
    <w:rPr>
      <w:rFonts w:ascii="CG Times" w:eastAsia="Times New Roman" w:hAnsi="CG Times" w:cs="Times New Roman"/>
      <w:bCs/>
      <w:sz w:val="24"/>
      <w:szCs w:val="20"/>
      <w:lang w:val="en-GB" w:eastAsia="it-IT"/>
    </w:rPr>
  </w:style>
  <w:style w:type="paragraph" w:customStyle="1" w:styleId="Paragrafoelenco1">
    <w:name w:val="Paragrafo elenco1"/>
    <w:basedOn w:val="Normal"/>
    <w:rsid w:val="00C232D7"/>
    <w:pPr>
      <w:suppressAutoHyphens/>
      <w:autoSpaceDN w:val="0"/>
      <w:ind w:left="708"/>
      <w:jc w:val="left"/>
      <w:textAlignment w:val="baseline"/>
    </w:pPr>
    <w:rPr>
      <w:rFonts w:ascii="Arial Narrow" w:eastAsia="Times New Roman" w:hAnsi="Arial Narrow"/>
      <w:bCs/>
      <w:lang w:val="en-US" w:eastAsia="ar-SA"/>
    </w:rPr>
  </w:style>
  <w:style w:type="paragraph" w:customStyle="1" w:styleId="CarCarCharCarCarCar">
    <w:name w:val="Car Car Char Car Car Car"/>
    <w:basedOn w:val="Normal"/>
    <w:rsid w:val="00C232D7"/>
    <w:pPr>
      <w:tabs>
        <w:tab w:val="left" w:pos="709"/>
      </w:tabs>
      <w:suppressAutoHyphens/>
      <w:autoSpaceDN w:val="0"/>
      <w:jc w:val="left"/>
      <w:textAlignment w:val="baseline"/>
    </w:pPr>
    <w:rPr>
      <w:rFonts w:ascii="Arial Narrow" w:eastAsia="Times New Roman" w:hAnsi="Arial Narrow"/>
      <w:b/>
      <w:bCs/>
      <w:sz w:val="26"/>
      <w:szCs w:val="24"/>
      <w:lang w:val="pl-PL" w:eastAsia="pl-PL"/>
    </w:rPr>
  </w:style>
  <w:style w:type="character" w:customStyle="1" w:styleId="CarattereCarattere">
    <w:name w:val="Carattere Carattere"/>
    <w:rsid w:val="00C232D7"/>
    <w:rPr>
      <w:rFonts w:ascii="Arial" w:hAnsi="Arial"/>
      <w:b/>
      <w:smallCaps/>
      <w:sz w:val="24"/>
      <w:szCs w:val="24"/>
      <w:lang w:val="en-GB" w:eastAsia="fr-FR" w:bidi="ar-SA"/>
    </w:rPr>
  </w:style>
  <w:style w:type="paragraph" w:customStyle="1" w:styleId="CVMedium">
    <w:name w:val="CV Medium"/>
    <w:basedOn w:val="Normal"/>
    <w:rsid w:val="00C232D7"/>
    <w:pPr>
      <w:suppressAutoHyphens/>
      <w:autoSpaceDN w:val="0"/>
      <w:ind w:left="113" w:right="113"/>
      <w:jc w:val="left"/>
      <w:textAlignment w:val="baseline"/>
    </w:pPr>
    <w:rPr>
      <w:rFonts w:ascii="Arial Narrow" w:eastAsia="Times New Roman" w:hAnsi="Arial Narrow"/>
      <w:b/>
      <w:bCs/>
      <w:lang w:val="en-US" w:eastAsia="ar-SA"/>
    </w:rPr>
  </w:style>
  <w:style w:type="character" w:customStyle="1" w:styleId="CarattereCarattere7">
    <w:name w:val="Carattere Carattere7"/>
    <w:rsid w:val="00C232D7"/>
    <w:rPr>
      <w:rFonts w:ascii="Calibri" w:eastAsia="Times New Roman" w:hAnsi="Calibri" w:cs="Times New Roman"/>
      <w:b/>
      <w:bCs/>
      <w:i/>
      <w:iCs/>
      <w:smallCaps/>
      <w:sz w:val="26"/>
      <w:szCs w:val="26"/>
      <w:lang w:val="it-IT" w:eastAsia="it-IT" w:bidi="ar-SA"/>
    </w:rPr>
  </w:style>
  <w:style w:type="character" w:customStyle="1" w:styleId="CarattereCarattere8">
    <w:name w:val="Carattere Carattere8"/>
    <w:rsid w:val="00C232D7"/>
    <w:rPr>
      <w:rFonts w:ascii="Cambria" w:eastAsia="Times New Roman" w:hAnsi="Cambria" w:cs="Times New Roman"/>
      <w:b/>
      <w:bCs/>
      <w:smallCaps/>
      <w:sz w:val="26"/>
      <w:szCs w:val="26"/>
      <w:lang w:val="it-IT" w:eastAsia="it-IT" w:bidi="ar-SA"/>
    </w:rPr>
  </w:style>
  <w:style w:type="paragraph" w:customStyle="1" w:styleId="yiv1149405602msonormal">
    <w:name w:val="yiv1149405602msonormal"/>
    <w:basedOn w:val="Normal"/>
    <w:rsid w:val="00C232D7"/>
    <w:pPr>
      <w:suppressAutoHyphens/>
      <w:autoSpaceDN w:val="0"/>
      <w:jc w:val="left"/>
      <w:textAlignment w:val="baseline"/>
    </w:pPr>
    <w:rPr>
      <w:rFonts w:eastAsia="Times New Roman"/>
      <w:bCs/>
      <w:sz w:val="24"/>
      <w:szCs w:val="24"/>
      <w:lang w:val="en-US"/>
    </w:rPr>
  </w:style>
  <w:style w:type="character" w:customStyle="1" w:styleId="msid59581">
    <w:name w:val="ms__id59581"/>
    <w:rsid w:val="00C232D7"/>
    <w:rPr>
      <w:rFonts w:ascii="Arial" w:hAnsi="Arial" w:cs="Arial"/>
      <w:smallCaps/>
      <w:sz w:val="24"/>
      <w:szCs w:val="24"/>
      <w:lang w:val="pl-PL" w:eastAsia="pl-PL" w:bidi="ar-SA"/>
    </w:rPr>
  </w:style>
  <w:style w:type="character" w:customStyle="1" w:styleId="msid59651">
    <w:name w:val="ms__id59651"/>
    <w:rsid w:val="00C232D7"/>
    <w:rPr>
      <w:rFonts w:ascii="Arial" w:hAnsi="Arial" w:cs="Arial"/>
      <w:smallCaps/>
      <w:sz w:val="24"/>
      <w:szCs w:val="24"/>
      <w:lang w:val="pl-PL" w:eastAsia="pl-PL" w:bidi="ar-SA"/>
    </w:rPr>
  </w:style>
  <w:style w:type="character" w:customStyle="1" w:styleId="longtext1">
    <w:name w:val="long_text1"/>
    <w:rsid w:val="00C232D7"/>
    <w:rPr>
      <w:rFonts w:ascii="Tahoma" w:hAnsi="Tahoma"/>
      <w:smallCaps/>
      <w:sz w:val="18"/>
      <w:szCs w:val="18"/>
      <w:lang w:val="pl-PL" w:eastAsia="pl-PL" w:bidi="ar-SA"/>
    </w:rPr>
  </w:style>
  <w:style w:type="paragraph" w:customStyle="1" w:styleId="cvnormal0">
    <w:name w:val="cvnormal"/>
    <w:basedOn w:val="Normal"/>
    <w:rsid w:val="00C232D7"/>
    <w:pPr>
      <w:suppressAutoHyphens/>
      <w:autoSpaceDN w:val="0"/>
      <w:spacing w:before="100" w:after="100"/>
      <w:jc w:val="left"/>
      <w:textAlignment w:val="baseline"/>
    </w:pPr>
    <w:rPr>
      <w:bCs/>
      <w:sz w:val="24"/>
      <w:szCs w:val="24"/>
      <w:lang w:val="it-IT" w:eastAsia="it-IT"/>
    </w:rPr>
  </w:style>
  <w:style w:type="paragraph" w:customStyle="1" w:styleId="E1">
    <w:name w:val="E1"/>
    <w:basedOn w:val="Normal"/>
    <w:rsid w:val="00C232D7"/>
    <w:pPr>
      <w:widowControl w:val="0"/>
      <w:numPr>
        <w:numId w:val="6"/>
      </w:numPr>
      <w:suppressAutoHyphens/>
      <w:autoSpaceDN w:val="0"/>
      <w:spacing w:line="260" w:lineRule="atLeast"/>
      <w:textAlignment w:val="baseline"/>
    </w:pPr>
    <w:rPr>
      <w:rFonts w:ascii="Arial" w:eastAsia="Times New Roman" w:hAnsi="Arial" w:cs="Arial"/>
      <w:bCs/>
      <w:lang w:eastAsia="fr-FR"/>
    </w:rPr>
  </w:style>
  <w:style w:type="character" w:customStyle="1" w:styleId="CarattereCarattere18">
    <w:name w:val="Carattere Carattere18"/>
    <w:rsid w:val="00C232D7"/>
    <w:rPr>
      <w:rFonts w:ascii="Times New Roman" w:eastAsia="Times New Roman" w:hAnsi="Times New Roman" w:cs="Times New Roman"/>
      <w:b/>
      <w:bCs/>
      <w:smallCaps/>
      <w:sz w:val="28"/>
      <w:szCs w:val="28"/>
      <w:lang w:val="pl-PL" w:eastAsia="it-IT" w:bidi="ar-SA"/>
    </w:rPr>
  </w:style>
  <w:style w:type="paragraph" w:customStyle="1" w:styleId="bullet1">
    <w:name w:val="bullet 1"/>
    <w:basedOn w:val="Normal"/>
    <w:rsid w:val="00C232D7"/>
    <w:pPr>
      <w:numPr>
        <w:numId w:val="7"/>
      </w:num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autoSpaceDN w:val="0"/>
      <w:spacing w:after="40"/>
      <w:textAlignment w:val="baseline"/>
    </w:pPr>
    <w:rPr>
      <w:rFonts w:ascii="Arial" w:eastAsia="Times New Roman" w:hAnsi="Arial"/>
      <w:bCs/>
      <w:lang w:val="fr-FR" w:eastAsia="it-IT"/>
    </w:rPr>
  </w:style>
  <w:style w:type="paragraph" w:customStyle="1" w:styleId="Listepuces21">
    <w:name w:val="Liste à puces 21"/>
    <w:basedOn w:val="Normal"/>
    <w:rsid w:val="00C232D7"/>
    <w:pPr>
      <w:suppressAutoHyphens/>
      <w:autoSpaceDN w:val="0"/>
      <w:spacing w:after="60"/>
      <w:ind w:left="215" w:hanging="71"/>
      <w:textAlignment w:val="baseline"/>
    </w:pPr>
    <w:rPr>
      <w:rFonts w:ascii="Arial Narrow" w:eastAsia="Times New Roman" w:hAnsi="Arial Narrow"/>
      <w:bCs/>
      <w:lang w:eastAsia="ar-SA"/>
    </w:rPr>
  </w:style>
  <w:style w:type="paragraph" w:customStyle="1" w:styleId="Retraitcorpsdetexte21">
    <w:name w:val="Retrait corps de texte 21"/>
    <w:basedOn w:val="Normal"/>
    <w:rsid w:val="00C232D7"/>
    <w:pPr>
      <w:tabs>
        <w:tab w:val="left" w:pos="567"/>
      </w:tabs>
      <w:suppressAutoHyphens/>
      <w:autoSpaceDN w:val="0"/>
      <w:ind w:left="567"/>
      <w:textAlignment w:val="baseline"/>
    </w:pPr>
    <w:rPr>
      <w:rFonts w:ascii="CG Times" w:eastAsia="Times New Roman" w:hAnsi="CG Times"/>
      <w:bCs/>
      <w:lang w:eastAsia="ar-SA"/>
    </w:rPr>
  </w:style>
  <w:style w:type="paragraph" w:customStyle="1" w:styleId="Corpodeltesto21">
    <w:name w:val="Corpo del testo 21"/>
    <w:basedOn w:val="Normal"/>
    <w:rsid w:val="00C232D7"/>
    <w:pPr>
      <w:suppressAutoHyphens/>
      <w:autoSpaceDN w:val="0"/>
      <w:ind w:left="709"/>
      <w:textAlignment w:val="baseline"/>
    </w:pPr>
    <w:rPr>
      <w:rFonts w:eastAsia="Times New Roman"/>
      <w:bCs/>
      <w:sz w:val="24"/>
      <w:lang w:val="en-US" w:eastAsia="pl-PL"/>
    </w:rPr>
  </w:style>
  <w:style w:type="character" w:customStyle="1" w:styleId="Titolodellibro1">
    <w:name w:val="Titolo del libro1"/>
    <w:rsid w:val="00C232D7"/>
    <w:rPr>
      <w:rFonts w:ascii="Tahoma" w:hAnsi="Tahoma"/>
      <w:b/>
      <w:bCs/>
      <w:spacing w:val="5"/>
      <w:sz w:val="24"/>
      <w:szCs w:val="24"/>
      <w:lang w:val="pl-PL" w:eastAsia="pl-PL" w:bidi="ar-SA"/>
    </w:rPr>
  </w:style>
  <w:style w:type="paragraph" w:customStyle="1" w:styleId="Risultato">
    <w:name w:val="Risultato"/>
    <w:basedOn w:val="BodyText"/>
    <w:rsid w:val="00C232D7"/>
    <w:pPr>
      <w:keepLines w:val="0"/>
      <w:numPr>
        <w:numId w:val="8"/>
      </w:numPr>
      <w:tabs>
        <w:tab w:val="clear" w:pos="9214"/>
      </w:tabs>
      <w:suppressAutoHyphens/>
      <w:autoSpaceDN w:val="0"/>
      <w:spacing w:after="60" w:line="220" w:lineRule="atLeast"/>
      <w:jc w:val="both"/>
      <w:textAlignment w:val="baseline"/>
    </w:pPr>
    <w:rPr>
      <w:rFonts w:ascii="Arial" w:eastAsia="Batang" w:hAnsi="Arial"/>
      <w:bCs/>
      <w:spacing w:val="-5"/>
      <w:sz w:val="20"/>
      <w:szCs w:val="20"/>
      <w:lang w:val="it-IT"/>
    </w:rPr>
  </w:style>
  <w:style w:type="paragraph" w:customStyle="1" w:styleId="Posizione">
    <w:name w:val="Posizione"/>
    <w:next w:val="Risultato"/>
    <w:rsid w:val="00C232D7"/>
    <w:pPr>
      <w:suppressAutoHyphens/>
      <w:autoSpaceDN w:val="0"/>
      <w:spacing w:after="60" w:line="220" w:lineRule="atLeast"/>
      <w:textAlignment w:val="baseline"/>
    </w:pPr>
    <w:rPr>
      <w:rFonts w:ascii="Arial Black" w:eastAsia="Batang" w:hAnsi="Arial Black" w:cs="Times New Roman"/>
      <w:bCs/>
      <w:spacing w:val="-10"/>
      <w:sz w:val="20"/>
      <w:szCs w:val="20"/>
      <w:lang w:val="it-IT"/>
    </w:rPr>
  </w:style>
  <w:style w:type="paragraph" w:customStyle="1" w:styleId="CVMajor">
    <w:name w:val="CV Major"/>
    <w:basedOn w:val="Normal"/>
    <w:rsid w:val="00C232D7"/>
    <w:pPr>
      <w:suppressAutoHyphens/>
      <w:autoSpaceDN w:val="0"/>
      <w:ind w:left="113" w:right="113"/>
      <w:jc w:val="left"/>
      <w:textAlignment w:val="baseline"/>
    </w:pPr>
    <w:rPr>
      <w:rFonts w:ascii="Arial Narrow" w:eastAsia="Times New Roman" w:hAnsi="Arial Narrow"/>
      <w:b/>
      <w:bCs/>
      <w:sz w:val="24"/>
      <w:lang w:val="en-US" w:eastAsia="ar-SA"/>
    </w:rPr>
  </w:style>
  <w:style w:type="paragraph" w:customStyle="1" w:styleId="Article">
    <w:name w:val="Article"/>
    <w:basedOn w:val="Normal"/>
    <w:rsid w:val="00C232D7"/>
    <w:pPr>
      <w:suppressAutoHyphens/>
      <w:autoSpaceDN w:val="0"/>
      <w:spacing w:after="240"/>
      <w:jc w:val="left"/>
      <w:textAlignment w:val="baseline"/>
    </w:pPr>
    <w:rPr>
      <w:rFonts w:ascii="Arial" w:eastAsia="Times New Roman" w:hAnsi="Arial"/>
      <w:b/>
      <w:bCs/>
      <w:u w:val="single"/>
      <w:lang w:eastAsia="de-DE"/>
    </w:rPr>
  </w:style>
  <w:style w:type="paragraph" w:customStyle="1" w:styleId="internormal">
    <w:name w:val="internormal"/>
    <w:basedOn w:val="Normal"/>
    <w:rsid w:val="00C232D7"/>
    <w:pPr>
      <w:suppressAutoHyphens/>
      <w:autoSpaceDN w:val="0"/>
      <w:ind w:left="1701"/>
      <w:textAlignment w:val="baseline"/>
    </w:pPr>
    <w:rPr>
      <w:rFonts w:ascii="Optima" w:eastAsia="Times New Roman" w:hAnsi="Optima"/>
      <w:bCs/>
      <w:lang w:eastAsia="de-DE"/>
    </w:rPr>
  </w:style>
  <w:style w:type="character" w:customStyle="1" w:styleId="nonrenseigne">
    <w:name w:val="non_renseigne"/>
    <w:rsid w:val="00C232D7"/>
  </w:style>
  <w:style w:type="paragraph" w:customStyle="1" w:styleId="MediumShading1-Accent21">
    <w:name w:val="Medium Shading 1 - Accent 21"/>
    <w:uiPriority w:val="1"/>
    <w:qFormat/>
    <w:rsid w:val="00C232D7"/>
    <w:pPr>
      <w:spacing w:after="0" w:line="240" w:lineRule="auto"/>
      <w:jc w:val="both"/>
    </w:pPr>
    <w:rPr>
      <w:rFonts w:ascii="Times New Roman" w:eastAsia="Calibri" w:hAnsi="Times New Roman" w:cs="Times New Roman"/>
      <w:sz w:val="20"/>
      <w:szCs w:val="20"/>
      <w:lang w:val="en-GB"/>
    </w:rPr>
  </w:style>
  <w:style w:type="character" w:customStyle="1" w:styleId="inline">
    <w:name w:val="inline"/>
    <w:rsid w:val="00C232D7"/>
  </w:style>
  <w:style w:type="paragraph" w:customStyle="1" w:styleId="a4">
    <w:name w:val="a"/>
    <w:basedOn w:val="Normal"/>
    <w:rsid w:val="00C232D7"/>
    <w:pPr>
      <w:spacing w:before="100" w:beforeAutospacing="1" w:after="100" w:afterAutospacing="1"/>
      <w:jc w:val="left"/>
    </w:pPr>
    <w:rPr>
      <w:rFonts w:eastAsia="Times New Roman"/>
      <w:sz w:val="24"/>
      <w:szCs w:val="24"/>
      <w:lang w:val="en-US"/>
    </w:rPr>
  </w:style>
  <w:style w:type="character" w:customStyle="1" w:styleId="Buchtitel">
    <w:name w:val="Buchtitel"/>
    <w:uiPriority w:val="33"/>
    <w:qFormat/>
    <w:rsid w:val="00C232D7"/>
    <w:rPr>
      <w:rFonts w:ascii="Tahoma" w:hAnsi="Tahoma"/>
      <w:b/>
      <w:bCs/>
      <w:smallCaps/>
      <w:spacing w:val="5"/>
      <w:sz w:val="24"/>
      <w:szCs w:val="24"/>
      <w:lang w:val="pl-PL" w:eastAsia="pl-PL" w:bidi="ar-SA"/>
    </w:rPr>
  </w:style>
  <w:style w:type="character" w:customStyle="1" w:styleId="shorttext">
    <w:name w:val="short_text"/>
    <w:rsid w:val="00C232D7"/>
  </w:style>
  <w:style w:type="paragraph" w:customStyle="1" w:styleId="CVFooterLeft">
    <w:name w:val="CV Footer Left"/>
    <w:basedOn w:val="Normal"/>
    <w:rsid w:val="00C232D7"/>
    <w:pPr>
      <w:suppressAutoHyphens/>
      <w:ind w:firstLine="360"/>
      <w:jc w:val="right"/>
    </w:pPr>
    <w:rPr>
      <w:rFonts w:ascii="Arial Narrow" w:eastAsia="Times New Roman" w:hAnsi="Arial Narrow"/>
      <w:bCs/>
      <w:sz w:val="16"/>
      <w:lang w:eastAsia="ar-SA"/>
    </w:rPr>
  </w:style>
  <w:style w:type="paragraph" w:customStyle="1" w:styleId="CVFooterRight">
    <w:name w:val="CV Footer Right"/>
    <w:basedOn w:val="Normal"/>
    <w:rsid w:val="00C232D7"/>
    <w:pPr>
      <w:suppressAutoHyphens/>
      <w:jc w:val="left"/>
    </w:pPr>
    <w:rPr>
      <w:rFonts w:ascii="Arial Narrow" w:eastAsia="Times New Roman" w:hAnsi="Arial Narrow"/>
      <w:bCs/>
      <w:sz w:val="16"/>
      <w:lang w:eastAsia="ar-SA"/>
    </w:rPr>
  </w:style>
  <w:style w:type="paragraph" w:customStyle="1" w:styleId="GridLevel">
    <w:name w:val="Grid Level"/>
    <w:basedOn w:val="Normal"/>
    <w:rsid w:val="00C232D7"/>
    <w:pPr>
      <w:widowControl w:val="0"/>
      <w:suppressAutoHyphens/>
      <w:jc w:val="center"/>
    </w:pPr>
    <w:rPr>
      <w:rFonts w:ascii="Arial Narrow" w:eastAsia="Lucida Sans Unicode" w:hAnsi="Arial Narrow"/>
      <w:b/>
      <w:szCs w:val="24"/>
    </w:rPr>
  </w:style>
  <w:style w:type="paragraph" w:customStyle="1" w:styleId="GridCompetency1">
    <w:name w:val="Grid Competency 1"/>
    <w:basedOn w:val="Normal"/>
    <w:next w:val="GridCompetency2"/>
    <w:rsid w:val="00C232D7"/>
    <w:pPr>
      <w:widowControl w:val="0"/>
      <w:suppressAutoHyphens/>
      <w:jc w:val="center"/>
    </w:pPr>
    <w:rPr>
      <w:rFonts w:ascii="Arial Narrow" w:eastAsia="Lucida Sans Unicode" w:hAnsi="Arial Narrow"/>
      <w:caps/>
      <w:szCs w:val="24"/>
    </w:rPr>
  </w:style>
  <w:style w:type="paragraph" w:customStyle="1" w:styleId="GridCompetency2">
    <w:name w:val="Grid Competency 2"/>
    <w:basedOn w:val="Normal"/>
    <w:next w:val="GridDescription"/>
    <w:rsid w:val="00C232D7"/>
    <w:pPr>
      <w:widowControl w:val="0"/>
      <w:suppressAutoHyphens/>
      <w:jc w:val="center"/>
    </w:pPr>
    <w:rPr>
      <w:rFonts w:ascii="Arial Narrow" w:eastAsia="Lucida Sans Unicode" w:hAnsi="Arial Narrow"/>
      <w:sz w:val="18"/>
      <w:szCs w:val="24"/>
    </w:rPr>
  </w:style>
  <w:style w:type="paragraph" w:customStyle="1" w:styleId="GridDescription">
    <w:name w:val="Grid Description"/>
    <w:basedOn w:val="Normal"/>
    <w:rsid w:val="00C232D7"/>
    <w:pPr>
      <w:widowControl w:val="0"/>
      <w:suppressAutoHyphens/>
      <w:jc w:val="left"/>
    </w:pPr>
    <w:rPr>
      <w:rFonts w:ascii="Arial Narrow" w:eastAsia="Lucida Sans Unicode" w:hAnsi="Arial Narrow"/>
      <w:sz w:val="16"/>
      <w:szCs w:val="24"/>
    </w:rPr>
  </w:style>
  <w:style w:type="paragraph" w:customStyle="1" w:styleId="Intitulduposte">
    <w:name w:val="Intitulé du poste"/>
    <w:next w:val="Normal"/>
    <w:rsid w:val="00C232D7"/>
    <w:pPr>
      <w:spacing w:before="40" w:after="40" w:line="220" w:lineRule="atLeast"/>
    </w:pPr>
    <w:rPr>
      <w:rFonts w:ascii="Garamond" w:eastAsia="Times New Roman" w:hAnsi="Garamond" w:cs="Times New Roman"/>
      <w:i/>
      <w:iCs/>
      <w:spacing w:val="5"/>
      <w:sz w:val="23"/>
      <w:szCs w:val="23"/>
      <w:lang w:eastAsia="fr-FR"/>
    </w:rPr>
  </w:style>
  <w:style w:type="table" w:customStyle="1" w:styleId="TableGrid1">
    <w:name w:val="Table Grid1"/>
    <w:basedOn w:val="TableNormal"/>
    <w:rsid w:val="00C232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
    <w:name w:val="Znak Znak"/>
    <w:basedOn w:val="Normal"/>
    <w:rsid w:val="00C232D7"/>
    <w:pPr>
      <w:spacing w:after="160" w:line="240" w:lineRule="exact"/>
      <w:jc w:val="left"/>
    </w:pPr>
    <w:rPr>
      <w:rFonts w:ascii="Tahoma" w:eastAsia="Times New Roman" w:hAnsi="Tahoma"/>
      <w:lang w:val="en-US"/>
    </w:rPr>
  </w:style>
  <w:style w:type="paragraph" w:customStyle="1" w:styleId="ispodcl">
    <w:name w:val="ispodcl"/>
    <w:basedOn w:val="Normal"/>
    <w:rsid w:val="00C232D7"/>
    <w:pPr>
      <w:spacing w:after="120"/>
      <w:jc w:val="center"/>
    </w:pPr>
    <w:rPr>
      <w:rFonts w:ascii="Dutch801 Rm Win95BT" w:eastAsia="Times New Roman" w:hAnsi="Dutch801 Rm Win95BT"/>
      <w:b/>
      <w:sz w:val="18"/>
      <w:lang w:val="en-US"/>
    </w:rPr>
  </w:style>
  <w:style w:type="character" w:customStyle="1" w:styleId="atn">
    <w:name w:val="atn"/>
    <w:rsid w:val="00C232D7"/>
  </w:style>
  <w:style w:type="paragraph" w:customStyle="1" w:styleId="CharCharCharCharCharChar">
    <w:name w:val="Char Char Char Char Char Char"/>
    <w:basedOn w:val="Normal"/>
    <w:rsid w:val="00C232D7"/>
    <w:pPr>
      <w:spacing w:after="160" w:line="240" w:lineRule="exact"/>
      <w:jc w:val="left"/>
    </w:pPr>
    <w:rPr>
      <w:rFonts w:ascii="Tahoma" w:eastAsia="Times New Roman" w:hAnsi="Tahoma" w:cs="Tahoma"/>
      <w:lang w:val="en-US"/>
    </w:rPr>
  </w:style>
  <w:style w:type="character" w:customStyle="1" w:styleId="gt-icon-text1">
    <w:name w:val="gt-icon-text1"/>
    <w:rsid w:val="00C232D7"/>
  </w:style>
  <w:style w:type="paragraph" w:customStyle="1" w:styleId="MMTopic1">
    <w:name w:val="MM Topic 1"/>
    <w:basedOn w:val="Normal"/>
    <w:rsid w:val="00C232D7"/>
    <w:pPr>
      <w:keepNext/>
      <w:numPr>
        <w:numId w:val="9"/>
      </w:numPr>
      <w:spacing w:before="240" w:after="60"/>
      <w:jc w:val="left"/>
    </w:pPr>
    <w:rPr>
      <w:rFonts w:ascii="Arial" w:hAnsi="Arial" w:cs="Arial"/>
      <w:b/>
      <w:bCs/>
      <w:sz w:val="32"/>
      <w:szCs w:val="32"/>
      <w:lang w:val="sq-AL" w:eastAsia="sq-AL"/>
    </w:rPr>
  </w:style>
  <w:style w:type="paragraph" w:customStyle="1" w:styleId="MMTopic2">
    <w:name w:val="MM Topic 2"/>
    <w:basedOn w:val="Normal"/>
    <w:rsid w:val="00C232D7"/>
    <w:pPr>
      <w:keepNext/>
      <w:numPr>
        <w:ilvl w:val="1"/>
        <w:numId w:val="9"/>
      </w:numPr>
      <w:spacing w:before="240" w:after="60"/>
      <w:ind w:left="2008" w:hanging="360"/>
      <w:jc w:val="left"/>
    </w:pPr>
    <w:rPr>
      <w:rFonts w:ascii="Arial" w:hAnsi="Arial" w:cs="Arial"/>
      <w:b/>
      <w:bCs/>
      <w:i/>
      <w:iCs/>
      <w:sz w:val="28"/>
      <w:szCs w:val="28"/>
      <w:lang w:val="sq-AL" w:eastAsia="sq-AL"/>
    </w:rPr>
  </w:style>
  <w:style w:type="paragraph" w:customStyle="1" w:styleId="MMTopic3">
    <w:name w:val="MM Topic 3"/>
    <w:basedOn w:val="Normal"/>
    <w:rsid w:val="00C232D7"/>
    <w:pPr>
      <w:keepNext/>
      <w:numPr>
        <w:ilvl w:val="2"/>
        <w:numId w:val="9"/>
      </w:numPr>
      <w:spacing w:before="240" w:after="60"/>
      <w:jc w:val="left"/>
    </w:pPr>
    <w:rPr>
      <w:rFonts w:ascii="Arial" w:hAnsi="Arial" w:cs="Arial"/>
      <w:b/>
      <w:bCs/>
      <w:sz w:val="26"/>
      <w:szCs w:val="26"/>
      <w:lang w:val="sq-AL" w:eastAsia="sq-AL"/>
    </w:rPr>
  </w:style>
  <w:style w:type="paragraph" w:customStyle="1" w:styleId="ecxtextbody">
    <w:name w:val="ecxtextbody"/>
    <w:basedOn w:val="Normal"/>
    <w:rsid w:val="00C232D7"/>
    <w:pPr>
      <w:spacing w:before="100" w:beforeAutospacing="1" w:after="100" w:afterAutospacing="1"/>
      <w:jc w:val="left"/>
    </w:pPr>
    <w:rPr>
      <w:rFonts w:eastAsia="Times New Roman"/>
      <w:sz w:val="24"/>
      <w:szCs w:val="24"/>
      <w:lang w:val="sq-AL" w:eastAsia="sq-AL"/>
    </w:rPr>
  </w:style>
  <w:style w:type="paragraph" w:customStyle="1" w:styleId="PS">
    <w:name w:val="PS"/>
    <w:rsid w:val="00C232D7"/>
    <w:pPr>
      <w:tabs>
        <w:tab w:val="left" w:pos="454"/>
      </w:tabs>
      <w:spacing w:after="120" w:line="240" w:lineRule="auto"/>
      <w:ind w:left="454" w:hanging="454"/>
      <w:jc w:val="both"/>
    </w:pPr>
    <w:rPr>
      <w:rFonts w:ascii="Times New Roman" w:eastAsia="Times New Roman" w:hAnsi="Times New Roman" w:cs="Times New Roman"/>
      <w:sz w:val="24"/>
      <w:szCs w:val="20"/>
      <w:lang w:val="en-GB"/>
    </w:rPr>
  </w:style>
  <w:style w:type="paragraph" w:customStyle="1" w:styleId="P1">
    <w:name w:val="P1"/>
    <w:rsid w:val="00C232D7"/>
    <w:pPr>
      <w:tabs>
        <w:tab w:val="left" w:pos="794"/>
      </w:tabs>
      <w:spacing w:after="120" w:line="240" w:lineRule="auto"/>
      <w:ind w:left="794" w:hanging="340"/>
      <w:jc w:val="both"/>
    </w:pPr>
    <w:rPr>
      <w:rFonts w:ascii="Times New Roman" w:eastAsia="Times New Roman" w:hAnsi="Times New Roman" w:cs="Times New Roman"/>
      <w:sz w:val="24"/>
      <w:szCs w:val="20"/>
      <w:lang w:val="en-GB"/>
    </w:rPr>
  </w:style>
  <w:style w:type="paragraph" w:customStyle="1" w:styleId="Normal1">
    <w:name w:val="Normal1"/>
    <w:basedOn w:val="Normal"/>
    <w:rsid w:val="00C232D7"/>
    <w:pPr>
      <w:spacing w:before="100" w:beforeAutospacing="1" w:after="100" w:afterAutospacing="1"/>
      <w:jc w:val="left"/>
    </w:pPr>
    <w:rPr>
      <w:rFonts w:eastAsia="Times New Roman"/>
      <w:sz w:val="24"/>
      <w:szCs w:val="24"/>
      <w:lang w:val="en-US"/>
    </w:rPr>
  </w:style>
  <w:style w:type="character" w:customStyle="1" w:styleId="normalchar">
    <w:name w:val="normal__char"/>
    <w:rsid w:val="00C232D7"/>
  </w:style>
  <w:style w:type="character" w:customStyle="1" w:styleId="google-src-text">
    <w:name w:val="google-src-text"/>
    <w:rsid w:val="00C232D7"/>
  </w:style>
  <w:style w:type="character" w:customStyle="1" w:styleId="shorttextchar">
    <w:name w:val="short__text__char"/>
    <w:rsid w:val="00C232D7"/>
  </w:style>
  <w:style w:type="character" w:customStyle="1" w:styleId="hpschar">
    <w:name w:val="hps__char"/>
    <w:rsid w:val="00C232D7"/>
  </w:style>
  <w:style w:type="character" w:customStyle="1" w:styleId="plain0020textchar">
    <w:name w:val="plain_0020text__char"/>
    <w:rsid w:val="00C232D7"/>
  </w:style>
  <w:style w:type="paragraph" w:customStyle="1" w:styleId="plain0020text">
    <w:name w:val="plain_0020text"/>
    <w:basedOn w:val="Normal"/>
    <w:rsid w:val="00C232D7"/>
    <w:pPr>
      <w:spacing w:before="100" w:beforeAutospacing="1" w:after="100" w:afterAutospacing="1"/>
      <w:jc w:val="left"/>
    </w:pPr>
    <w:rPr>
      <w:rFonts w:eastAsia="Times New Roman"/>
      <w:sz w:val="24"/>
      <w:szCs w:val="24"/>
      <w:lang w:val="en-US"/>
    </w:rPr>
  </w:style>
  <w:style w:type="paragraph" w:customStyle="1" w:styleId="heading00209">
    <w:name w:val="heading_00209"/>
    <w:basedOn w:val="Normal"/>
    <w:rsid w:val="00C232D7"/>
    <w:pPr>
      <w:spacing w:before="100" w:beforeAutospacing="1" w:after="100" w:afterAutospacing="1"/>
      <w:jc w:val="left"/>
    </w:pPr>
    <w:rPr>
      <w:rFonts w:eastAsia="Times New Roman"/>
      <w:sz w:val="24"/>
      <w:szCs w:val="24"/>
      <w:lang w:val="en-US"/>
    </w:rPr>
  </w:style>
  <w:style w:type="character" w:customStyle="1" w:styleId="heading00209char">
    <w:name w:val="heading_00209__char"/>
    <w:rsid w:val="00C232D7"/>
  </w:style>
  <w:style w:type="paragraph" w:customStyle="1" w:styleId="CharCharCharCharCharCharChar">
    <w:name w:val="Char Char Char Char Char Char Char"/>
    <w:basedOn w:val="Normal"/>
    <w:rsid w:val="00C232D7"/>
    <w:pPr>
      <w:spacing w:after="160" w:line="240" w:lineRule="exact"/>
      <w:jc w:val="left"/>
    </w:pPr>
    <w:rPr>
      <w:rFonts w:ascii="Tahoma" w:eastAsia="Times New Roman" w:hAnsi="Tahoma" w:cs="Tahoma"/>
      <w:lang w:val="sq-AL"/>
    </w:rPr>
  </w:style>
  <w:style w:type="paragraph" w:customStyle="1" w:styleId="ListParagraph2">
    <w:name w:val="List Paragraph2"/>
    <w:basedOn w:val="Normal"/>
    <w:rsid w:val="00C232D7"/>
    <w:pPr>
      <w:suppressAutoHyphens/>
      <w:spacing w:line="276" w:lineRule="auto"/>
      <w:ind w:left="720"/>
    </w:pPr>
    <w:rPr>
      <w:sz w:val="24"/>
      <w:szCs w:val="22"/>
      <w:lang w:val="it-IT" w:eastAsia="ar-SA"/>
    </w:rPr>
  </w:style>
  <w:style w:type="character" w:customStyle="1" w:styleId="st">
    <w:name w:val="st"/>
    <w:rsid w:val="00C232D7"/>
  </w:style>
  <w:style w:type="paragraph" w:customStyle="1" w:styleId="Corpodeltesto22">
    <w:name w:val="Corpo del testo 22"/>
    <w:basedOn w:val="Normal"/>
    <w:rsid w:val="00C232D7"/>
    <w:pPr>
      <w:suppressAutoHyphens/>
    </w:pPr>
    <w:rPr>
      <w:rFonts w:ascii="Arial" w:hAnsi="Arial" w:cs="Arial"/>
      <w:iCs/>
      <w:smallCaps/>
      <w:sz w:val="24"/>
      <w:szCs w:val="24"/>
      <w:lang w:val="pl-PL" w:eastAsia="ar-SA"/>
    </w:rPr>
  </w:style>
  <w:style w:type="paragraph" w:customStyle="1" w:styleId="DecimalAligned">
    <w:name w:val="Decimal Aligned"/>
    <w:basedOn w:val="Normal"/>
    <w:uiPriority w:val="40"/>
    <w:qFormat/>
    <w:rsid w:val="00C232D7"/>
    <w:pPr>
      <w:tabs>
        <w:tab w:val="decimal" w:pos="360"/>
      </w:tabs>
      <w:spacing w:after="200" w:line="276" w:lineRule="auto"/>
      <w:jc w:val="left"/>
    </w:pPr>
    <w:rPr>
      <w:rFonts w:ascii="Calibri" w:hAnsi="Calibri"/>
      <w:sz w:val="22"/>
      <w:szCs w:val="22"/>
      <w:lang w:val="en-US" w:eastAsia="ja-JP"/>
    </w:rPr>
  </w:style>
  <w:style w:type="character" w:customStyle="1" w:styleId="SchwacheHervorhebung">
    <w:name w:val="Schwache Hervorhebung"/>
    <w:uiPriority w:val="19"/>
    <w:qFormat/>
    <w:rsid w:val="00C232D7"/>
    <w:rPr>
      <w:i/>
      <w:iCs/>
      <w:color w:val="000000"/>
    </w:rPr>
  </w:style>
  <w:style w:type="table" w:customStyle="1" w:styleId="LightShading-Accent11">
    <w:name w:val="Light Shading - Accent 11"/>
    <w:basedOn w:val="TableNormal"/>
    <w:uiPriority w:val="60"/>
    <w:rsid w:val="00C232D7"/>
    <w:pPr>
      <w:spacing w:after="0" w:line="240" w:lineRule="auto"/>
    </w:pPr>
    <w:rPr>
      <w:rFonts w:ascii="Calibri" w:eastAsia="Times New Roman" w:hAnsi="Calibri" w:cs="Times New Roman"/>
      <w:color w:val="4F81BD"/>
      <w:sz w:val="20"/>
      <w:szCs w:val="20"/>
      <w:lang w:eastAsia="ja-JP"/>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ableText">
    <w:name w:val="Table Text"/>
    <w:basedOn w:val="Normal"/>
    <w:rsid w:val="00C232D7"/>
    <w:pPr>
      <w:spacing w:line="280" w:lineRule="atLeast"/>
      <w:jc w:val="left"/>
    </w:pPr>
    <w:rPr>
      <w:rFonts w:ascii="Arial" w:eastAsia="Times New Roman" w:hAnsi="Arial"/>
      <w:sz w:val="16"/>
      <w:szCs w:val="24"/>
    </w:rPr>
  </w:style>
  <w:style w:type="paragraph" w:customStyle="1" w:styleId="IPAHeading2Text">
    <w:name w:val="IPA Heading 2 Text"/>
    <w:basedOn w:val="Normal"/>
    <w:link w:val="IPAHeading2TextChar"/>
    <w:rsid w:val="00C232D7"/>
    <w:pPr>
      <w:spacing w:before="120" w:after="240"/>
      <w:ind w:left="567"/>
    </w:pPr>
    <w:rPr>
      <w:rFonts w:eastAsia="Times New Roman"/>
      <w:sz w:val="22"/>
      <w:szCs w:val="22"/>
      <w:lang w:eastAsia="en-GB"/>
    </w:rPr>
  </w:style>
  <w:style w:type="character" w:customStyle="1" w:styleId="IPAHeading2TextChar">
    <w:name w:val="IPA Heading 2 Text Char"/>
    <w:link w:val="IPAHeading2Text"/>
    <w:rsid w:val="00C232D7"/>
    <w:rPr>
      <w:rFonts w:ascii="Times New Roman" w:eastAsia="Times New Roman" w:hAnsi="Times New Roman" w:cs="Times New Roman"/>
      <w:lang w:val="en-GB" w:eastAsia="en-GB"/>
    </w:rPr>
  </w:style>
  <w:style w:type="paragraph" w:customStyle="1" w:styleId="Execsumheading2">
    <w:name w:val="Exec sum heading 2"/>
    <w:basedOn w:val="IPAHeading2Text"/>
    <w:qFormat/>
    <w:rsid w:val="00C232D7"/>
    <w:pPr>
      <w:pBdr>
        <w:bottom w:val="single" w:sz="12" w:space="1" w:color="FF6600"/>
      </w:pBdr>
      <w:ind w:left="0"/>
    </w:pPr>
    <w:rPr>
      <w:b/>
      <w:color w:val="FF6600"/>
      <w:sz w:val="28"/>
      <w:szCs w:val="28"/>
    </w:rPr>
  </w:style>
  <w:style w:type="paragraph" w:customStyle="1" w:styleId="LightGrid-Accent31">
    <w:name w:val="Light Grid - Accent 31"/>
    <w:basedOn w:val="Normal"/>
    <w:uiPriority w:val="34"/>
    <w:qFormat/>
    <w:rsid w:val="00C232D7"/>
    <w:pPr>
      <w:ind w:left="720"/>
    </w:pPr>
  </w:style>
  <w:style w:type="paragraph" w:styleId="ListParagraph">
    <w:name w:val="List Paragraph"/>
    <w:basedOn w:val="Normal"/>
    <w:link w:val="ListParagraphChar"/>
    <w:uiPriority w:val="34"/>
    <w:qFormat/>
    <w:rsid w:val="00C232D7"/>
    <w:pPr>
      <w:ind w:left="720"/>
      <w:contextualSpacing/>
    </w:pPr>
  </w:style>
  <w:style w:type="character" w:customStyle="1" w:styleId="ListParagraphChar">
    <w:name w:val="List Paragraph Char"/>
    <w:basedOn w:val="DefaultParagraphFont"/>
    <w:link w:val="ListParagraph"/>
    <w:uiPriority w:val="34"/>
    <w:qFormat/>
    <w:rsid w:val="00C232D7"/>
    <w:rPr>
      <w:rFonts w:ascii="Times New Roman" w:eastAsia="Calibri" w:hAnsi="Times New Roman" w:cs="Times New Roman"/>
      <w:sz w:val="20"/>
      <w:szCs w:val="20"/>
      <w:lang w:val="en-GB"/>
    </w:rPr>
  </w:style>
  <w:style w:type="paragraph" w:customStyle="1" w:styleId="Style37">
    <w:name w:val="Style37"/>
    <w:basedOn w:val="Normal"/>
    <w:link w:val="Style37Char"/>
    <w:qFormat/>
    <w:rsid w:val="00C232D7"/>
    <w:pPr>
      <w:spacing w:before="120" w:after="120"/>
      <w:jc w:val="left"/>
    </w:pPr>
    <w:rPr>
      <w:rFonts w:ascii="Arial Narrow" w:eastAsia="Times New Roman" w:hAnsi="Arial Narrow"/>
      <w:b/>
      <w:color w:val="000000" w:themeColor="text1"/>
      <w:sz w:val="21"/>
      <w:szCs w:val="24"/>
    </w:rPr>
  </w:style>
  <w:style w:type="character" w:customStyle="1" w:styleId="Style37Char">
    <w:name w:val="Style37 Char"/>
    <w:basedOn w:val="DefaultParagraphFont"/>
    <w:link w:val="Style37"/>
    <w:rsid w:val="00C232D7"/>
    <w:rPr>
      <w:rFonts w:ascii="Arial Narrow" w:eastAsia="Times New Roman" w:hAnsi="Arial Narrow" w:cs="Times New Roman"/>
      <w:b/>
      <w:color w:val="000000" w:themeColor="text1"/>
      <w:sz w:val="21"/>
      <w:szCs w:val="24"/>
      <w:lang w:val="en-GB"/>
    </w:rPr>
  </w:style>
  <w:style w:type="paragraph" w:customStyle="1" w:styleId="11">
    <w:name w:val="Επικεφαλίδα 11"/>
    <w:basedOn w:val="Normal"/>
    <w:rsid w:val="00C232D7"/>
    <w:pPr>
      <w:numPr>
        <w:ilvl w:val="2"/>
        <w:numId w:val="10"/>
      </w:numPr>
      <w:spacing w:before="60" w:after="60"/>
      <w:ind w:left="1494" w:hanging="360"/>
    </w:pPr>
    <w:rPr>
      <w:rFonts w:eastAsia="Times New Roman"/>
      <w:sz w:val="24"/>
      <w:szCs w:val="24"/>
      <w:lang w:val="en-US"/>
    </w:rPr>
  </w:style>
  <w:style w:type="paragraph" w:customStyle="1" w:styleId="21">
    <w:name w:val="Επικεφαλίδα 21"/>
    <w:basedOn w:val="Normal"/>
    <w:rsid w:val="00C232D7"/>
    <w:pPr>
      <w:numPr>
        <w:ilvl w:val="3"/>
        <w:numId w:val="10"/>
      </w:numPr>
      <w:spacing w:before="60" w:after="60"/>
      <w:ind w:left="2214" w:hanging="360"/>
    </w:pPr>
    <w:rPr>
      <w:rFonts w:eastAsia="Times New Roman"/>
      <w:sz w:val="24"/>
      <w:szCs w:val="24"/>
      <w:lang w:val="en-US"/>
    </w:rPr>
  </w:style>
  <w:style w:type="paragraph" w:customStyle="1" w:styleId="31">
    <w:name w:val="Επικεφαλίδα 31"/>
    <w:basedOn w:val="Normal"/>
    <w:qFormat/>
    <w:rsid w:val="00C232D7"/>
    <w:pPr>
      <w:spacing w:before="60" w:after="60"/>
      <w:ind w:left="2934" w:hanging="180"/>
    </w:pPr>
    <w:rPr>
      <w:rFonts w:eastAsia="Times New Roman"/>
      <w:sz w:val="24"/>
      <w:szCs w:val="24"/>
      <w:lang w:val="en-US"/>
    </w:rPr>
  </w:style>
  <w:style w:type="paragraph" w:customStyle="1" w:styleId="41">
    <w:name w:val="Επικεφαλίδα 41"/>
    <w:basedOn w:val="Normal"/>
    <w:rsid w:val="00C232D7"/>
    <w:pPr>
      <w:spacing w:before="60" w:after="60"/>
      <w:ind w:left="3654" w:hanging="360"/>
    </w:pPr>
    <w:rPr>
      <w:rFonts w:eastAsia="Times New Roman"/>
      <w:sz w:val="24"/>
      <w:szCs w:val="24"/>
      <w:lang w:val="en-US"/>
    </w:rPr>
  </w:style>
  <w:style w:type="paragraph" w:customStyle="1" w:styleId="51">
    <w:name w:val="Επικεφαλίδα 51"/>
    <w:basedOn w:val="Normal"/>
    <w:rsid w:val="00C232D7"/>
    <w:pPr>
      <w:spacing w:before="60" w:after="60"/>
      <w:ind w:left="4374" w:hanging="360"/>
    </w:pPr>
    <w:rPr>
      <w:rFonts w:eastAsia="Times New Roman"/>
      <w:sz w:val="24"/>
      <w:szCs w:val="24"/>
      <w:lang w:val="en-US"/>
    </w:rPr>
  </w:style>
  <w:style w:type="paragraph" w:customStyle="1" w:styleId="61">
    <w:name w:val="Επικεφαλίδα 61"/>
    <w:basedOn w:val="Normal"/>
    <w:rsid w:val="00C232D7"/>
    <w:pPr>
      <w:spacing w:before="60" w:after="60"/>
      <w:ind w:left="5094" w:hanging="180"/>
    </w:pPr>
    <w:rPr>
      <w:rFonts w:eastAsia="Times New Roman"/>
      <w:sz w:val="24"/>
      <w:szCs w:val="24"/>
      <w:lang w:val="en-US"/>
    </w:rPr>
  </w:style>
  <w:style w:type="paragraph" w:customStyle="1" w:styleId="71">
    <w:name w:val="Επικεφαλίδα 71"/>
    <w:basedOn w:val="Normal"/>
    <w:rsid w:val="00C232D7"/>
    <w:pPr>
      <w:spacing w:before="60" w:after="60"/>
      <w:ind w:left="5814" w:hanging="360"/>
    </w:pPr>
    <w:rPr>
      <w:rFonts w:eastAsia="Times New Roman"/>
      <w:sz w:val="24"/>
      <w:szCs w:val="24"/>
      <w:lang w:val="en-US"/>
    </w:rPr>
  </w:style>
  <w:style w:type="paragraph" w:customStyle="1" w:styleId="81">
    <w:name w:val="Επικεφαλίδα 81"/>
    <w:basedOn w:val="Normal"/>
    <w:rsid w:val="00C232D7"/>
    <w:pPr>
      <w:spacing w:before="60" w:after="60"/>
      <w:ind w:left="6534" w:hanging="360"/>
    </w:pPr>
    <w:rPr>
      <w:rFonts w:eastAsia="Times New Roman"/>
      <w:sz w:val="24"/>
      <w:szCs w:val="24"/>
      <w:lang w:val="en-US"/>
    </w:rPr>
  </w:style>
  <w:style w:type="paragraph" w:customStyle="1" w:styleId="91">
    <w:name w:val="Επικεφαλίδα 91"/>
    <w:basedOn w:val="Normal"/>
    <w:rsid w:val="00C232D7"/>
    <w:pPr>
      <w:spacing w:before="60" w:after="60"/>
      <w:ind w:left="7254" w:hanging="180"/>
    </w:pPr>
    <w:rPr>
      <w:rFonts w:eastAsia="Times New Roman"/>
      <w:sz w:val="24"/>
      <w:szCs w:val="24"/>
      <w:lang w:val="en-US"/>
    </w:rPr>
  </w:style>
  <w:style w:type="paragraph" w:customStyle="1" w:styleId="ReferenceList">
    <w:name w:val="ReferenceList"/>
    <w:rsid w:val="00C232D7"/>
    <w:pPr>
      <w:numPr>
        <w:numId w:val="1"/>
      </w:numPr>
      <w:spacing w:before="120" w:after="120" w:line="240" w:lineRule="auto"/>
    </w:pPr>
    <w:rPr>
      <w:rFonts w:ascii="Arial" w:eastAsia="Times New Roman" w:hAnsi="Arial" w:cs="Times New Roman"/>
      <w:sz w:val="24"/>
      <w:szCs w:val="20"/>
    </w:rPr>
  </w:style>
  <w:style w:type="paragraph" w:customStyle="1" w:styleId="Style10">
    <w:name w:val="Style10"/>
    <w:basedOn w:val="Normal"/>
    <w:link w:val="Style10Char"/>
    <w:uiPriority w:val="99"/>
    <w:qFormat/>
    <w:rsid w:val="00C232D7"/>
    <w:pPr>
      <w:numPr>
        <w:numId w:val="11"/>
      </w:numPr>
      <w:spacing w:before="120" w:after="120" w:line="300" w:lineRule="exact"/>
      <w:jc w:val="left"/>
    </w:pPr>
    <w:rPr>
      <w:rFonts w:ascii="Arial Narrow" w:eastAsia="Times New Roman" w:hAnsi="Arial Narrow"/>
      <w:sz w:val="22"/>
      <w:szCs w:val="24"/>
      <w:lang w:val="en-US"/>
    </w:rPr>
  </w:style>
  <w:style w:type="character" w:customStyle="1" w:styleId="Style10Char">
    <w:name w:val="Style10 Char"/>
    <w:basedOn w:val="DefaultParagraphFont"/>
    <w:link w:val="Style10"/>
    <w:uiPriority w:val="99"/>
    <w:rsid w:val="00C232D7"/>
    <w:rPr>
      <w:rFonts w:ascii="Arial Narrow" w:eastAsia="Times New Roman" w:hAnsi="Arial Narrow" w:cs="Times New Roman"/>
      <w:szCs w:val="24"/>
    </w:rPr>
  </w:style>
  <w:style w:type="character" w:customStyle="1" w:styleId="Style3Char">
    <w:name w:val="Style3 Char"/>
    <w:basedOn w:val="DefaultParagraphFont"/>
    <w:rsid w:val="00C232D7"/>
    <w:rPr>
      <w:rFonts w:ascii="Arial Narrow" w:eastAsia="Times New Roman" w:hAnsi="Arial Narrow" w:cs="Arial"/>
      <w:bCs/>
      <w:color w:val="000000" w:themeColor="text1"/>
      <w:szCs w:val="24"/>
      <w:lang w:val="en-US" w:eastAsia="el-GR"/>
    </w:rPr>
  </w:style>
  <w:style w:type="character" w:customStyle="1" w:styleId="Style1Char">
    <w:name w:val="Style1 Char"/>
    <w:basedOn w:val="DefaultParagraphFont"/>
    <w:rsid w:val="00C232D7"/>
    <w:rPr>
      <w:rFonts w:ascii="Arial Narrow" w:eastAsia="Times New Roman" w:hAnsi="Arial Narrow" w:cs="Times New Roman"/>
      <w:color w:val="323E4F" w:themeColor="text2" w:themeShade="BF"/>
      <w:szCs w:val="24"/>
      <w:lang w:val="en-US" w:eastAsia="el-GR"/>
    </w:rPr>
  </w:style>
  <w:style w:type="paragraph" w:customStyle="1" w:styleId="N01X">
    <w:name w:val="N01X"/>
    <w:basedOn w:val="Normal"/>
    <w:uiPriority w:val="99"/>
    <w:rsid w:val="00C232D7"/>
    <w:pPr>
      <w:autoSpaceDE w:val="0"/>
      <w:autoSpaceDN w:val="0"/>
      <w:adjustRightInd w:val="0"/>
      <w:spacing w:before="200" w:after="200"/>
      <w:jc w:val="center"/>
    </w:pPr>
    <w:rPr>
      <w:rFonts w:eastAsia="Times New Roman"/>
      <w:b/>
      <w:bCs/>
      <w:color w:val="000000"/>
      <w:sz w:val="24"/>
      <w:szCs w:val="24"/>
      <w:lang w:val="en" w:eastAsia="en-GB"/>
    </w:rPr>
  </w:style>
  <w:style w:type="paragraph" w:customStyle="1" w:styleId="C30X">
    <w:name w:val="C30X"/>
    <w:basedOn w:val="Normal"/>
    <w:uiPriority w:val="99"/>
    <w:rsid w:val="00C232D7"/>
    <w:pPr>
      <w:autoSpaceDE w:val="0"/>
      <w:autoSpaceDN w:val="0"/>
      <w:adjustRightInd w:val="0"/>
      <w:spacing w:before="200" w:after="60"/>
      <w:jc w:val="center"/>
    </w:pPr>
    <w:rPr>
      <w:rFonts w:eastAsia="Times New Roman"/>
      <w:b/>
      <w:bCs/>
      <w:color w:val="000000"/>
      <w:sz w:val="24"/>
      <w:szCs w:val="24"/>
      <w:lang w:val="en" w:eastAsia="en-GB"/>
    </w:rPr>
  </w:style>
  <w:style w:type="paragraph" w:customStyle="1" w:styleId="T30X">
    <w:name w:val="T30X"/>
    <w:basedOn w:val="Normal"/>
    <w:uiPriority w:val="99"/>
    <w:rsid w:val="00C232D7"/>
    <w:pPr>
      <w:autoSpaceDE w:val="0"/>
      <w:autoSpaceDN w:val="0"/>
      <w:adjustRightInd w:val="0"/>
      <w:spacing w:before="60" w:after="60"/>
      <w:ind w:firstLine="283"/>
    </w:pPr>
    <w:rPr>
      <w:rFonts w:eastAsia="Times New Roman"/>
      <w:color w:val="000000"/>
      <w:sz w:val="22"/>
      <w:szCs w:val="22"/>
      <w:lang w:val="en" w:eastAsia="en-GB"/>
    </w:rPr>
  </w:style>
  <w:style w:type="paragraph" w:customStyle="1" w:styleId="Revision1">
    <w:name w:val="Revision1"/>
    <w:hidden/>
    <w:uiPriority w:val="99"/>
    <w:semiHidden/>
    <w:rsid w:val="00C232D7"/>
    <w:pPr>
      <w:spacing w:after="0" w:line="240" w:lineRule="auto"/>
    </w:pPr>
    <w:rPr>
      <w:rFonts w:ascii="Times New Roman" w:eastAsia="Calibri" w:hAnsi="Times New Roman" w:cs="Times New Roman"/>
      <w:sz w:val="20"/>
      <w:szCs w:val="20"/>
      <w:lang w:val="en-GB"/>
    </w:rPr>
  </w:style>
  <w:style w:type="table" w:customStyle="1" w:styleId="GridTable4-Accent21">
    <w:name w:val="Grid Table 4 - Accent 21"/>
    <w:basedOn w:val="TableNormal"/>
    <w:uiPriority w:val="49"/>
    <w:rsid w:val="00C232D7"/>
    <w:pPr>
      <w:spacing w:after="0" w:line="240" w:lineRule="auto"/>
    </w:pPr>
    <w:rPr>
      <w:rFonts w:cs="Times New Roman"/>
      <w:kern w:val="24"/>
      <w:sz w:val="23"/>
      <w:szCs w:val="23"/>
    </w:rPr>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Normal-10pt-TableChar">
    <w:name w:val="Normal - 10pt - Table Char"/>
    <w:basedOn w:val="DefaultParagraphFont"/>
    <w:link w:val="Normal-10pt-Table"/>
    <w:locked/>
    <w:rsid w:val="00C232D7"/>
    <w:rPr>
      <w:rFonts w:cs="Calibri"/>
    </w:rPr>
  </w:style>
  <w:style w:type="paragraph" w:customStyle="1" w:styleId="Normal-10pt-Table">
    <w:name w:val="Normal - 10pt - Table"/>
    <w:basedOn w:val="Normal"/>
    <w:link w:val="Normal-10pt-TableChar"/>
    <w:rsid w:val="00C232D7"/>
    <w:pPr>
      <w:spacing w:before="60" w:after="60"/>
      <w:jc w:val="left"/>
    </w:pPr>
    <w:rPr>
      <w:rFonts w:asciiTheme="minorHAnsi" w:eastAsiaTheme="minorHAnsi" w:hAnsiTheme="minorHAnsi" w:cs="Calibri"/>
      <w:sz w:val="22"/>
      <w:szCs w:val="22"/>
      <w:lang w:val="en-US"/>
    </w:rPr>
  </w:style>
  <w:style w:type="character" w:customStyle="1" w:styleId="UnresolvedMention1">
    <w:name w:val="Unresolved Mention1"/>
    <w:basedOn w:val="DefaultParagraphFont"/>
    <w:uiPriority w:val="99"/>
    <w:semiHidden/>
    <w:unhideWhenUsed/>
    <w:rsid w:val="00C232D7"/>
    <w:rPr>
      <w:color w:val="605E5C"/>
      <w:shd w:val="clear" w:color="auto" w:fill="E1DFDD"/>
    </w:rPr>
  </w:style>
  <w:style w:type="paragraph" w:customStyle="1" w:styleId="TableHeading">
    <w:name w:val="Table Heading"/>
    <w:basedOn w:val="Normal"/>
    <w:rsid w:val="00C232D7"/>
    <w:pPr>
      <w:suppressLineNumbers/>
      <w:suppressAutoHyphens/>
      <w:spacing w:after="200" w:line="276" w:lineRule="auto"/>
      <w:jc w:val="center"/>
    </w:pPr>
    <w:rPr>
      <w:rFonts w:ascii="Calibri" w:eastAsia="Times New Roman" w:hAnsi="Calibri"/>
      <w:b/>
      <w:bCs/>
      <w:sz w:val="22"/>
      <w:szCs w:val="22"/>
      <w:lang w:val="en-US" w:eastAsia="zh-CN"/>
    </w:rPr>
  </w:style>
  <w:style w:type="paragraph" w:customStyle="1" w:styleId="Tabele">
    <w:name w:val="Tabele"/>
    <w:basedOn w:val="Normal"/>
    <w:uiPriority w:val="99"/>
    <w:qFormat/>
    <w:rsid w:val="00C232D7"/>
    <w:pPr>
      <w:numPr>
        <w:numId w:val="12"/>
      </w:numPr>
      <w:spacing w:before="120" w:after="360"/>
      <w:ind w:left="1495"/>
      <w:jc w:val="center"/>
    </w:pPr>
    <w:rPr>
      <w:rFonts w:ascii="Myriad Pro" w:eastAsia="Times New Roman" w:hAnsi="Myriad Pro"/>
      <w:i/>
      <w:szCs w:val="24"/>
      <w:lang w:val="sr-Latn-CS"/>
    </w:rPr>
  </w:style>
  <w:style w:type="table" w:customStyle="1" w:styleId="MediumGrid3-Accent412">
    <w:name w:val="Medium Grid 3 - Accent 412"/>
    <w:basedOn w:val="TableNormal"/>
    <w:uiPriority w:val="69"/>
    <w:rsid w:val="00C232D7"/>
    <w:pPr>
      <w:spacing w:after="0" w:line="240" w:lineRule="auto"/>
    </w:pPr>
    <w:rPr>
      <w:rFonts w:ascii="Times New Roman" w:eastAsia="Times New Roman" w:hAnsi="Times New Roman" w:cs="Times New Roman"/>
      <w:sz w:val="20"/>
      <w:szCs w:val="20"/>
      <w:lang w:val="el-GR" w:eastAsia="el-G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5E5F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999F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999F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999F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999F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CCCF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CCCFF"/>
      </w:tcPr>
    </w:tblStylePr>
  </w:style>
  <w:style w:type="table" w:customStyle="1" w:styleId="MediumGrid3-Accent11">
    <w:name w:val="Medium Grid 3 - Accent 11"/>
    <w:basedOn w:val="TableNormal"/>
    <w:uiPriority w:val="69"/>
    <w:rsid w:val="00C232D7"/>
    <w:pPr>
      <w:spacing w:after="0" w:line="240" w:lineRule="auto"/>
    </w:pPr>
    <w:rPr>
      <w:rFonts w:ascii="Times New Roman" w:eastAsia="Times New Roman" w:hAnsi="Times New Roman" w:cs="Times New Roman"/>
      <w:sz w:val="20"/>
      <w:szCs w:val="20"/>
      <w:lang w:val="el-GR" w:eastAsia="el-G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character" w:customStyle="1" w:styleId="AATEKSTChar">
    <w:name w:val="AA TEKST Char"/>
    <w:basedOn w:val="DefaultParagraphFont"/>
    <w:link w:val="AATEKST"/>
    <w:locked/>
    <w:rsid w:val="00C232D7"/>
    <w:rPr>
      <w:rFonts w:ascii="Cambria" w:hAnsi="Cambria" w:cs="Calibri"/>
      <w:color w:val="000000"/>
      <w:sz w:val="24"/>
      <w:lang w:val="sr-Cyrl-CS"/>
    </w:rPr>
  </w:style>
  <w:style w:type="paragraph" w:customStyle="1" w:styleId="AATEKST">
    <w:name w:val="AA TEKST"/>
    <w:basedOn w:val="Normal"/>
    <w:link w:val="AATEKSTChar"/>
    <w:rsid w:val="00C232D7"/>
    <w:pPr>
      <w:ind w:firstLine="567"/>
    </w:pPr>
    <w:rPr>
      <w:rFonts w:ascii="Cambria" w:eastAsiaTheme="minorHAnsi" w:hAnsi="Cambria" w:cs="Calibri"/>
      <w:color w:val="000000"/>
      <w:sz w:val="24"/>
      <w:szCs w:val="22"/>
      <w:lang w:val="sr-Cyrl-CS"/>
    </w:rPr>
  </w:style>
  <w:style w:type="table" w:customStyle="1" w:styleId="MediumGrid3-Accent22">
    <w:name w:val="Medium Grid 3 - Accent 22"/>
    <w:rsid w:val="00C232D7"/>
    <w:pPr>
      <w:spacing w:after="0" w:line="240" w:lineRule="auto"/>
    </w:pPr>
    <w:rPr>
      <w:rFonts w:ascii="Times New Roman" w:eastAsia="Times New Roman" w:hAnsi="Times New Roman" w:cs="Times New Roman"/>
      <w:sz w:val="20"/>
      <w:szCs w:val="20"/>
      <w:lang w:val="el-GR" w:eastAsia="el-G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0F5"/>
    </w:tcPr>
  </w:style>
  <w:style w:type="table" w:customStyle="1" w:styleId="GridTable4-Accent11">
    <w:name w:val="Grid Table 4 - Accent 11"/>
    <w:basedOn w:val="TableNormal"/>
    <w:uiPriority w:val="49"/>
    <w:rsid w:val="00C232D7"/>
    <w:pPr>
      <w:spacing w:after="0" w:line="240" w:lineRule="auto"/>
    </w:pPr>
    <w:rPr>
      <w:lang w:val="mk-MK"/>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31">
    <w:name w:val="Grid Table 4 - Accent 31"/>
    <w:basedOn w:val="TableNormal"/>
    <w:uiPriority w:val="49"/>
    <w:rsid w:val="00C232D7"/>
    <w:pPr>
      <w:spacing w:after="0" w:line="240" w:lineRule="auto"/>
    </w:pPr>
    <w:rPr>
      <w:rFonts w:ascii="Times New Roman" w:eastAsia="Times New Roman" w:hAnsi="Times New Roman" w:cs="Times New Roman"/>
      <w:sz w:val="20"/>
      <w:szCs w:val="20"/>
      <w:lang w:val="el-GR" w:eastAsia="el-GR"/>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ngitternetz1">
    <w:name w:val="Tabellengitternetz1"/>
    <w:basedOn w:val="TableNormal"/>
    <w:uiPriority w:val="39"/>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2">
    <w:name w:val="Tabellengitternetz2"/>
    <w:basedOn w:val="TableNormal"/>
    <w:uiPriority w:val="39"/>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3">
    <w:name w:val="Tabellengitternetz3"/>
    <w:basedOn w:val="TableNormal"/>
    <w:uiPriority w:val="39"/>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4">
    <w:name w:val="Tabellengitternetz4"/>
    <w:basedOn w:val="TableNormal"/>
    <w:uiPriority w:val="39"/>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5">
    <w:name w:val="Tabellengitternetz5"/>
    <w:basedOn w:val="TableNormal"/>
    <w:uiPriority w:val="39"/>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6">
    <w:name w:val="Tabellengitternetz6"/>
    <w:basedOn w:val="TableNormal"/>
    <w:uiPriority w:val="39"/>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7">
    <w:name w:val="Tabellengitternetz7"/>
    <w:basedOn w:val="TableNormal"/>
    <w:uiPriority w:val="39"/>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8">
    <w:name w:val="Tabellengitternetz8"/>
    <w:basedOn w:val="TableNormal"/>
    <w:uiPriority w:val="39"/>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9">
    <w:name w:val="Tabellengitternetz9"/>
    <w:basedOn w:val="TableNormal"/>
    <w:uiPriority w:val="39"/>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10">
    <w:name w:val="Tabellengitternetz10"/>
    <w:basedOn w:val="TableNormal"/>
    <w:uiPriority w:val="39"/>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11">
    <w:name w:val="Tabellengitternetz11"/>
    <w:basedOn w:val="TableNormal"/>
    <w:uiPriority w:val="39"/>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12">
    <w:name w:val="Tabellengitternetz12"/>
    <w:basedOn w:val="TableNormal"/>
    <w:uiPriority w:val="39"/>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C232D7"/>
    <w:pPr>
      <w:spacing w:after="0" w:line="240" w:lineRule="auto"/>
    </w:pPr>
    <w:rPr>
      <w:rFonts w:ascii="Calibri" w:eastAsia="Calibri" w:hAnsi="Calibri" w:cs="Times New Roman"/>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31">
    <w:name w:val="Grid Table 5 Dark - Accent 31"/>
    <w:basedOn w:val="TableNormal"/>
    <w:uiPriority w:val="50"/>
    <w:rsid w:val="00C232D7"/>
    <w:pPr>
      <w:spacing w:after="0" w:line="240" w:lineRule="auto"/>
    </w:pPr>
    <w:rPr>
      <w:rFonts w:ascii="Calibri" w:eastAsia="Calibri" w:hAnsi="Calibri" w:cs="Times New Roman"/>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UnresolvedMention2">
    <w:name w:val="Unresolved Mention2"/>
    <w:basedOn w:val="DefaultParagraphFont"/>
    <w:uiPriority w:val="99"/>
    <w:semiHidden/>
    <w:unhideWhenUsed/>
    <w:rsid w:val="00C232D7"/>
    <w:rPr>
      <w:color w:val="605E5C"/>
      <w:shd w:val="clear" w:color="auto" w:fill="E1DFDD"/>
    </w:rPr>
  </w:style>
  <w:style w:type="character" w:customStyle="1" w:styleId="rynqvb">
    <w:name w:val="rynqvb"/>
    <w:basedOn w:val="DefaultParagraphFont"/>
    <w:rsid w:val="00C232D7"/>
  </w:style>
  <w:style w:type="character" w:customStyle="1" w:styleId="hwtze">
    <w:name w:val="hwtze"/>
    <w:basedOn w:val="DefaultParagraphFont"/>
    <w:rsid w:val="00C232D7"/>
  </w:style>
  <w:style w:type="table" w:customStyle="1" w:styleId="TableGrid3">
    <w:name w:val="Table Grid3"/>
    <w:basedOn w:val="TableNormal"/>
    <w:uiPriority w:val="39"/>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uiPriority w:val="1"/>
    <w:qFormat/>
    <w:rsid w:val="00C232D7"/>
    <w:pPr>
      <w:spacing w:after="0" w:line="240" w:lineRule="auto"/>
    </w:pPr>
    <w:rPr>
      <w:rFonts w:ascii="Calibri" w:eastAsia="Calibri" w:hAnsi="Calibri" w:cs="Times New Roman"/>
    </w:rPr>
  </w:style>
  <w:style w:type="paragraph" w:styleId="NoSpacing">
    <w:name w:val="No Spacing"/>
    <w:uiPriority w:val="1"/>
    <w:qFormat/>
    <w:rsid w:val="00C232D7"/>
    <w:pPr>
      <w:spacing w:after="0" w:line="240" w:lineRule="auto"/>
      <w:jc w:val="both"/>
    </w:pPr>
    <w:rPr>
      <w:rFonts w:ascii="Times New Roman" w:eastAsia="Calibri" w:hAnsi="Times New Roman" w:cs="Times New Roman"/>
      <w:sz w:val="20"/>
      <w:szCs w:val="20"/>
      <w:lang w:val="en-GB"/>
    </w:rPr>
  </w:style>
  <w:style w:type="paragraph" w:customStyle="1" w:styleId="TableParagraph">
    <w:name w:val="Table Paragraph"/>
    <w:basedOn w:val="Normal"/>
    <w:uiPriority w:val="1"/>
    <w:qFormat/>
    <w:rsid w:val="00C232D7"/>
    <w:pPr>
      <w:widowControl w:val="0"/>
      <w:autoSpaceDE w:val="0"/>
      <w:autoSpaceDN w:val="0"/>
      <w:jc w:val="left"/>
    </w:pPr>
    <w:rPr>
      <w:rFonts w:eastAsia="Times New Roman"/>
      <w:sz w:val="22"/>
      <w:szCs w:val="22"/>
      <w:lang w:val="bs-Latn"/>
    </w:rPr>
  </w:style>
  <w:style w:type="table" w:customStyle="1" w:styleId="GridTable4-Accent22">
    <w:name w:val="Grid Table 4 - Accent 22"/>
    <w:basedOn w:val="TableNormal"/>
    <w:uiPriority w:val="49"/>
    <w:rsid w:val="00C232D7"/>
    <w:pPr>
      <w:spacing w:after="0" w:line="240" w:lineRule="auto"/>
    </w:pPr>
    <w:rPr>
      <w:rFonts w:ascii="Calibri" w:eastAsia="Calibri" w:hAnsi="Calibri" w:cs="Times New Roman"/>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51">
    <w:name w:val="Grid Table 4 - Accent 51"/>
    <w:basedOn w:val="TableNormal"/>
    <w:uiPriority w:val="49"/>
    <w:rsid w:val="00C232D7"/>
    <w:pPr>
      <w:spacing w:after="0" w:line="240" w:lineRule="auto"/>
    </w:pPr>
    <w:rPr>
      <w:rFonts w:ascii="Calibri" w:eastAsia="Calibri" w:hAnsi="Calibri" w:cs="Times New Roman"/>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FootnotesymbolCharCharCharChar">
    <w:name w:val="Footnote symbol Char Char Char Char"/>
    <w:basedOn w:val="Normal"/>
    <w:uiPriority w:val="99"/>
    <w:rsid w:val="00C232D7"/>
    <w:pPr>
      <w:spacing w:after="160" w:line="240" w:lineRule="exact"/>
    </w:pPr>
    <w:rPr>
      <w:rFonts w:ascii="Calibri" w:hAnsi="Calibri"/>
      <w:sz w:val="22"/>
      <w:szCs w:val="22"/>
      <w:vertAlign w:val="superscript"/>
      <w:lang w:val="en-US"/>
    </w:rPr>
  </w:style>
  <w:style w:type="paragraph" w:customStyle="1" w:styleId="3mesto">
    <w:name w:val="_3mesto"/>
    <w:basedOn w:val="Normal"/>
    <w:rsid w:val="00C232D7"/>
    <w:pPr>
      <w:spacing w:before="100" w:beforeAutospacing="1" w:after="100" w:afterAutospacing="1"/>
      <w:jc w:val="left"/>
    </w:pPr>
    <w:rPr>
      <w:rFonts w:eastAsia="Times New Roman"/>
      <w:sz w:val="24"/>
      <w:szCs w:val="24"/>
      <w:lang w:val="en-US"/>
    </w:rPr>
  </w:style>
  <w:style w:type="character" w:customStyle="1" w:styleId="t14">
    <w:name w:val="t14"/>
    <w:basedOn w:val="DefaultParagraphFont"/>
    <w:rsid w:val="00C232D7"/>
  </w:style>
  <w:style w:type="character" w:customStyle="1" w:styleId="t15">
    <w:name w:val="t15"/>
    <w:basedOn w:val="DefaultParagraphFont"/>
    <w:rsid w:val="00C232D7"/>
  </w:style>
  <w:style w:type="character" w:customStyle="1" w:styleId="t16">
    <w:name w:val="t16"/>
    <w:basedOn w:val="DefaultParagraphFont"/>
    <w:rsid w:val="00C232D7"/>
  </w:style>
  <w:style w:type="paragraph" w:customStyle="1" w:styleId="6naslov">
    <w:name w:val="_6naslov"/>
    <w:basedOn w:val="Normal"/>
    <w:rsid w:val="00C232D7"/>
    <w:pPr>
      <w:spacing w:before="100" w:beforeAutospacing="1" w:after="100" w:afterAutospacing="1"/>
      <w:jc w:val="left"/>
    </w:pPr>
    <w:rPr>
      <w:rFonts w:eastAsia="Times New Roman"/>
      <w:sz w:val="24"/>
      <w:szCs w:val="24"/>
      <w:lang w:val="en-US"/>
    </w:rPr>
  </w:style>
  <w:style w:type="paragraph" w:customStyle="1" w:styleId="p19">
    <w:name w:val="p19"/>
    <w:basedOn w:val="Normal"/>
    <w:rsid w:val="00C232D7"/>
    <w:pPr>
      <w:spacing w:before="100" w:beforeAutospacing="1" w:after="100" w:afterAutospacing="1"/>
      <w:jc w:val="left"/>
    </w:pPr>
    <w:rPr>
      <w:rFonts w:eastAsia="Times New Roman"/>
      <w:sz w:val="24"/>
      <w:szCs w:val="24"/>
      <w:lang w:val="en-US"/>
    </w:rPr>
  </w:style>
  <w:style w:type="paragraph" w:customStyle="1" w:styleId="p24">
    <w:name w:val="p24"/>
    <w:basedOn w:val="Normal"/>
    <w:rsid w:val="00C232D7"/>
    <w:pPr>
      <w:spacing w:before="100" w:beforeAutospacing="1" w:after="100" w:afterAutospacing="1"/>
      <w:jc w:val="left"/>
    </w:pPr>
    <w:rPr>
      <w:rFonts w:eastAsia="Times New Roman"/>
      <w:sz w:val="24"/>
      <w:szCs w:val="24"/>
      <w:lang w:val="en-US"/>
    </w:rPr>
  </w:style>
  <w:style w:type="paragraph" w:customStyle="1" w:styleId="p25">
    <w:name w:val="p25"/>
    <w:basedOn w:val="Normal"/>
    <w:rsid w:val="00C232D7"/>
    <w:pPr>
      <w:spacing w:before="100" w:beforeAutospacing="1" w:after="100" w:afterAutospacing="1"/>
      <w:jc w:val="left"/>
    </w:pPr>
    <w:rPr>
      <w:rFonts w:eastAsia="Times New Roman"/>
      <w:sz w:val="24"/>
      <w:szCs w:val="24"/>
      <w:lang w:val="en-US"/>
    </w:rPr>
  </w:style>
  <w:style w:type="paragraph" w:customStyle="1" w:styleId="p26">
    <w:name w:val="p26"/>
    <w:basedOn w:val="Normal"/>
    <w:rsid w:val="00C232D7"/>
    <w:pPr>
      <w:spacing w:before="100" w:beforeAutospacing="1" w:after="100" w:afterAutospacing="1"/>
      <w:jc w:val="left"/>
    </w:pPr>
    <w:rPr>
      <w:rFonts w:eastAsia="Times New Roman"/>
      <w:sz w:val="24"/>
      <w:szCs w:val="24"/>
      <w:lang w:val="en-US"/>
    </w:rPr>
  </w:style>
  <w:style w:type="paragraph" w:customStyle="1" w:styleId="p483">
    <w:name w:val="p483"/>
    <w:basedOn w:val="Normal"/>
    <w:rsid w:val="00C232D7"/>
    <w:pPr>
      <w:spacing w:before="100" w:beforeAutospacing="1" w:after="100" w:afterAutospacing="1"/>
      <w:jc w:val="left"/>
    </w:pPr>
    <w:rPr>
      <w:rFonts w:eastAsia="Times New Roman"/>
      <w:sz w:val="24"/>
      <w:szCs w:val="24"/>
      <w:lang w:val="en-US"/>
    </w:rPr>
  </w:style>
  <w:style w:type="paragraph" w:customStyle="1" w:styleId="p486">
    <w:name w:val="p486"/>
    <w:basedOn w:val="Normal"/>
    <w:qFormat/>
    <w:rsid w:val="00C232D7"/>
    <w:pPr>
      <w:spacing w:before="100" w:beforeAutospacing="1" w:after="100" w:afterAutospacing="1"/>
      <w:jc w:val="left"/>
    </w:pPr>
    <w:rPr>
      <w:rFonts w:eastAsia="Times New Roman"/>
      <w:sz w:val="24"/>
      <w:szCs w:val="24"/>
      <w:lang w:val="en-US"/>
    </w:rPr>
  </w:style>
  <w:style w:type="paragraph" w:customStyle="1" w:styleId="p487">
    <w:name w:val="p487"/>
    <w:basedOn w:val="Normal"/>
    <w:qFormat/>
    <w:rsid w:val="00C232D7"/>
    <w:pPr>
      <w:spacing w:before="100" w:beforeAutospacing="1" w:after="100" w:afterAutospacing="1"/>
      <w:jc w:val="left"/>
    </w:pPr>
    <w:rPr>
      <w:rFonts w:eastAsia="Times New Roman"/>
      <w:sz w:val="24"/>
      <w:szCs w:val="24"/>
      <w:lang w:val="en-US"/>
    </w:rPr>
  </w:style>
  <w:style w:type="paragraph" w:customStyle="1" w:styleId="p488">
    <w:name w:val="p488"/>
    <w:basedOn w:val="Normal"/>
    <w:qFormat/>
    <w:rsid w:val="00C232D7"/>
    <w:pPr>
      <w:spacing w:before="100" w:beforeAutospacing="1" w:after="100" w:afterAutospacing="1"/>
      <w:jc w:val="left"/>
    </w:pPr>
    <w:rPr>
      <w:rFonts w:eastAsia="Times New Roman"/>
      <w:sz w:val="24"/>
      <w:szCs w:val="24"/>
      <w:lang w:val="en-US"/>
    </w:rPr>
  </w:style>
  <w:style w:type="paragraph" w:customStyle="1" w:styleId="p489">
    <w:name w:val="p489"/>
    <w:basedOn w:val="Normal"/>
    <w:qFormat/>
    <w:rsid w:val="00C232D7"/>
    <w:pPr>
      <w:spacing w:before="100" w:beforeAutospacing="1" w:after="100" w:afterAutospacing="1"/>
      <w:jc w:val="left"/>
    </w:pPr>
    <w:rPr>
      <w:rFonts w:eastAsia="Times New Roman"/>
      <w:sz w:val="24"/>
      <w:szCs w:val="24"/>
      <w:lang w:val="en-US"/>
    </w:rPr>
  </w:style>
  <w:style w:type="paragraph" w:customStyle="1" w:styleId="p490">
    <w:name w:val="p490"/>
    <w:basedOn w:val="Normal"/>
    <w:qFormat/>
    <w:rsid w:val="00C232D7"/>
    <w:pPr>
      <w:spacing w:before="100" w:beforeAutospacing="1" w:after="100" w:afterAutospacing="1"/>
      <w:jc w:val="left"/>
    </w:pPr>
    <w:rPr>
      <w:rFonts w:eastAsia="Times New Roman"/>
      <w:sz w:val="24"/>
      <w:szCs w:val="24"/>
      <w:lang w:val="en-US"/>
    </w:rPr>
  </w:style>
  <w:style w:type="paragraph" w:customStyle="1" w:styleId="p491">
    <w:name w:val="p491"/>
    <w:basedOn w:val="Normal"/>
    <w:qFormat/>
    <w:rsid w:val="00C232D7"/>
    <w:pPr>
      <w:spacing w:before="100" w:beforeAutospacing="1" w:after="100" w:afterAutospacing="1"/>
      <w:jc w:val="left"/>
    </w:pPr>
    <w:rPr>
      <w:rFonts w:eastAsia="Times New Roman"/>
      <w:sz w:val="24"/>
      <w:szCs w:val="24"/>
      <w:lang w:val="en-US"/>
    </w:rPr>
  </w:style>
  <w:style w:type="paragraph" w:customStyle="1" w:styleId="p492">
    <w:name w:val="p492"/>
    <w:basedOn w:val="Normal"/>
    <w:qFormat/>
    <w:rsid w:val="00C232D7"/>
    <w:pPr>
      <w:spacing w:before="100" w:beforeAutospacing="1" w:after="100" w:afterAutospacing="1"/>
      <w:jc w:val="left"/>
    </w:pPr>
    <w:rPr>
      <w:rFonts w:eastAsia="Times New Roman"/>
      <w:sz w:val="24"/>
      <w:szCs w:val="24"/>
      <w:lang w:val="en-US"/>
    </w:rPr>
  </w:style>
  <w:style w:type="paragraph" w:customStyle="1" w:styleId="p43">
    <w:name w:val="p43"/>
    <w:basedOn w:val="Normal"/>
    <w:qFormat/>
    <w:rsid w:val="00C232D7"/>
    <w:pPr>
      <w:spacing w:before="100" w:beforeAutospacing="1" w:after="100" w:afterAutospacing="1"/>
      <w:jc w:val="left"/>
    </w:pPr>
    <w:rPr>
      <w:rFonts w:eastAsia="Times New Roman"/>
      <w:sz w:val="24"/>
      <w:szCs w:val="24"/>
      <w:lang w:val="en-US"/>
    </w:rPr>
  </w:style>
  <w:style w:type="paragraph" w:customStyle="1" w:styleId="p45">
    <w:name w:val="p45"/>
    <w:basedOn w:val="Normal"/>
    <w:qFormat/>
    <w:rsid w:val="00C232D7"/>
    <w:pPr>
      <w:spacing w:before="100" w:beforeAutospacing="1" w:after="100" w:afterAutospacing="1"/>
      <w:jc w:val="left"/>
    </w:pPr>
    <w:rPr>
      <w:rFonts w:eastAsia="Times New Roman"/>
      <w:sz w:val="24"/>
      <w:szCs w:val="24"/>
      <w:lang w:val="en-US"/>
    </w:rPr>
  </w:style>
  <w:style w:type="paragraph" w:customStyle="1" w:styleId="p46">
    <w:name w:val="p46"/>
    <w:basedOn w:val="Normal"/>
    <w:qFormat/>
    <w:rsid w:val="00C232D7"/>
    <w:pPr>
      <w:spacing w:before="100" w:beforeAutospacing="1" w:after="100" w:afterAutospacing="1"/>
      <w:jc w:val="left"/>
    </w:pPr>
    <w:rPr>
      <w:rFonts w:eastAsia="Times New Roman"/>
      <w:sz w:val="24"/>
      <w:szCs w:val="24"/>
      <w:lang w:val="en-US"/>
    </w:rPr>
  </w:style>
  <w:style w:type="paragraph" w:customStyle="1" w:styleId="p48">
    <w:name w:val="p48"/>
    <w:basedOn w:val="Normal"/>
    <w:qFormat/>
    <w:rsid w:val="00C232D7"/>
    <w:pPr>
      <w:spacing w:before="100" w:beforeAutospacing="1" w:after="100" w:afterAutospacing="1"/>
      <w:jc w:val="left"/>
    </w:pPr>
    <w:rPr>
      <w:rFonts w:eastAsia="Times New Roman"/>
      <w:sz w:val="24"/>
      <w:szCs w:val="24"/>
      <w:lang w:val="en-US"/>
    </w:rPr>
  </w:style>
  <w:style w:type="paragraph" w:customStyle="1" w:styleId="p49">
    <w:name w:val="p49"/>
    <w:basedOn w:val="Normal"/>
    <w:qFormat/>
    <w:rsid w:val="00C232D7"/>
    <w:pPr>
      <w:spacing w:before="100" w:beforeAutospacing="1" w:after="100" w:afterAutospacing="1"/>
      <w:jc w:val="left"/>
    </w:pPr>
    <w:rPr>
      <w:rFonts w:eastAsia="Times New Roman"/>
      <w:sz w:val="24"/>
      <w:szCs w:val="24"/>
      <w:lang w:val="en-US"/>
    </w:rPr>
  </w:style>
  <w:style w:type="paragraph" w:customStyle="1" w:styleId="p50">
    <w:name w:val="p50"/>
    <w:basedOn w:val="Normal"/>
    <w:qFormat/>
    <w:rsid w:val="00C232D7"/>
    <w:pPr>
      <w:spacing w:before="100" w:beforeAutospacing="1" w:after="100" w:afterAutospacing="1"/>
      <w:jc w:val="left"/>
    </w:pPr>
    <w:rPr>
      <w:rFonts w:eastAsia="Times New Roman"/>
      <w:sz w:val="24"/>
      <w:szCs w:val="24"/>
      <w:lang w:val="en-US"/>
    </w:rPr>
  </w:style>
  <w:style w:type="paragraph" w:customStyle="1" w:styleId="p56">
    <w:name w:val="p56"/>
    <w:basedOn w:val="Normal"/>
    <w:qFormat/>
    <w:rsid w:val="00C232D7"/>
    <w:pPr>
      <w:spacing w:before="100" w:beforeAutospacing="1" w:after="100" w:afterAutospacing="1"/>
      <w:jc w:val="left"/>
    </w:pPr>
    <w:rPr>
      <w:rFonts w:eastAsia="Times New Roman"/>
      <w:sz w:val="24"/>
      <w:szCs w:val="24"/>
      <w:lang w:val="en-US"/>
    </w:rPr>
  </w:style>
  <w:style w:type="paragraph" w:customStyle="1" w:styleId="p57">
    <w:name w:val="p57"/>
    <w:basedOn w:val="Normal"/>
    <w:qFormat/>
    <w:rsid w:val="00C232D7"/>
    <w:pPr>
      <w:spacing w:before="100" w:beforeAutospacing="1" w:after="100" w:afterAutospacing="1"/>
      <w:jc w:val="left"/>
    </w:pPr>
    <w:rPr>
      <w:rFonts w:eastAsia="Times New Roman"/>
      <w:sz w:val="24"/>
      <w:szCs w:val="24"/>
      <w:lang w:val="en-US"/>
    </w:rPr>
  </w:style>
  <w:style w:type="paragraph" w:customStyle="1" w:styleId="p58">
    <w:name w:val="p58"/>
    <w:basedOn w:val="Normal"/>
    <w:qFormat/>
    <w:rsid w:val="00C232D7"/>
    <w:pPr>
      <w:spacing w:before="100" w:beforeAutospacing="1" w:after="100" w:afterAutospacing="1"/>
      <w:jc w:val="left"/>
    </w:pPr>
    <w:rPr>
      <w:rFonts w:eastAsia="Times New Roman"/>
      <w:sz w:val="24"/>
      <w:szCs w:val="24"/>
      <w:lang w:val="en-US"/>
    </w:rPr>
  </w:style>
  <w:style w:type="character" w:customStyle="1" w:styleId="t516">
    <w:name w:val="t516"/>
    <w:basedOn w:val="DefaultParagraphFont"/>
    <w:qFormat/>
    <w:rsid w:val="00C232D7"/>
  </w:style>
  <w:style w:type="paragraph" w:customStyle="1" w:styleId="p517">
    <w:name w:val="p517"/>
    <w:basedOn w:val="Normal"/>
    <w:qFormat/>
    <w:rsid w:val="00C232D7"/>
    <w:pPr>
      <w:spacing w:before="100" w:beforeAutospacing="1" w:after="100" w:afterAutospacing="1"/>
      <w:jc w:val="left"/>
    </w:pPr>
    <w:rPr>
      <w:rFonts w:eastAsia="Times New Roman"/>
      <w:sz w:val="24"/>
      <w:szCs w:val="24"/>
      <w:lang w:val="en-US"/>
    </w:rPr>
  </w:style>
  <w:style w:type="paragraph" w:customStyle="1" w:styleId="p519">
    <w:name w:val="p519"/>
    <w:basedOn w:val="Normal"/>
    <w:qFormat/>
    <w:rsid w:val="00C232D7"/>
    <w:pPr>
      <w:spacing w:before="100" w:beforeAutospacing="1" w:after="100" w:afterAutospacing="1"/>
      <w:jc w:val="left"/>
    </w:pPr>
    <w:rPr>
      <w:rFonts w:eastAsia="Times New Roman"/>
      <w:sz w:val="24"/>
      <w:szCs w:val="24"/>
      <w:lang w:val="en-US"/>
    </w:rPr>
  </w:style>
  <w:style w:type="paragraph" w:customStyle="1" w:styleId="p520">
    <w:name w:val="p520"/>
    <w:basedOn w:val="Normal"/>
    <w:qFormat/>
    <w:rsid w:val="00C232D7"/>
    <w:pPr>
      <w:spacing w:before="100" w:beforeAutospacing="1" w:after="100" w:afterAutospacing="1"/>
      <w:jc w:val="left"/>
    </w:pPr>
    <w:rPr>
      <w:rFonts w:eastAsia="Times New Roman"/>
      <w:sz w:val="24"/>
      <w:szCs w:val="24"/>
      <w:lang w:val="en-US"/>
    </w:rPr>
  </w:style>
  <w:style w:type="paragraph" w:customStyle="1" w:styleId="p521">
    <w:name w:val="p521"/>
    <w:basedOn w:val="Normal"/>
    <w:qFormat/>
    <w:rsid w:val="00C232D7"/>
    <w:pPr>
      <w:spacing w:before="100" w:beforeAutospacing="1" w:after="100" w:afterAutospacing="1"/>
      <w:jc w:val="left"/>
    </w:pPr>
    <w:rPr>
      <w:rFonts w:eastAsia="Times New Roman"/>
      <w:sz w:val="24"/>
      <w:szCs w:val="24"/>
      <w:lang w:val="en-US"/>
    </w:rPr>
  </w:style>
  <w:style w:type="paragraph" w:customStyle="1" w:styleId="p523">
    <w:name w:val="p523"/>
    <w:basedOn w:val="Normal"/>
    <w:qFormat/>
    <w:rsid w:val="00C232D7"/>
    <w:pPr>
      <w:spacing w:before="100" w:beforeAutospacing="1" w:after="100" w:afterAutospacing="1"/>
      <w:jc w:val="left"/>
    </w:pPr>
    <w:rPr>
      <w:rFonts w:eastAsia="Times New Roman"/>
      <w:sz w:val="24"/>
      <w:szCs w:val="24"/>
      <w:lang w:val="en-US"/>
    </w:rPr>
  </w:style>
  <w:style w:type="paragraph" w:customStyle="1" w:styleId="p587">
    <w:name w:val="p587"/>
    <w:basedOn w:val="Normal"/>
    <w:qFormat/>
    <w:rsid w:val="00C232D7"/>
    <w:pPr>
      <w:spacing w:before="100" w:beforeAutospacing="1" w:after="100" w:afterAutospacing="1"/>
      <w:jc w:val="left"/>
    </w:pPr>
    <w:rPr>
      <w:rFonts w:eastAsia="Times New Roman"/>
      <w:sz w:val="24"/>
      <w:szCs w:val="24"/>
      <w:lang w:val="en-US"/>
    </w:rPr>
  </w:style>
  <w:style w:type="paragraph" w:customStyle="1" w:styleId="p589">
    <w:name w:val="p589"/>
    <w:basedOn w:val="Normal"/>
    <w:qFormat/>
    <w:rsid w:val="00C232D7"/>
    <w:pPr>
      <w:spacing w:before="100" w:beforeAutospacing="1" w:after="100" w:afterAutospacing="1"/>
      <w:jc w:val="left"/>
    </w:pPr>
    <w:rPr>
      <w:rFonts w:eastAsia="Times New Roman"/>
      <w:sz w:val="24"/>
      <w:szCs w:val="24"/>
      <w:lang w:val="en-US"/>
    </w:rPr>
  </w:style>
  <w:style w:type="paragraph" w:customStyle="1" w:styleId="p590">
    <w:name w:val="p590"/>
    <w:basedOn w:val="Normal"/>
    <w:qFormat/>
    <w:rsid w:val="00C232D7"/>
    <w:pPr>
      <w:spacing w:before="100" w:beforeAutospacing="1" w:after="100" w:afterAutospacing="1"/>
      <w:jc w:val="left"/>
    </w:pPr>
    <w:rPr>
      <w:rFonts w:eastAsia="Times New Roman"/>
      <w:sz w:val="24"/>
      <w:szCs w:val="24"/>
      <w:lang w:val="en-US"/>
    </w:rPr>
  </w:style>
  <w:style w:type="table" w:customStyle="1" w:styleId="GridTable4-Accent23">
    <w:name w:val="Grid Table 4 - Accent 23"/>
    <w:basedOn w:val="TableNormal"/>
    <w:uiPriority w:val="49"/>
    <w:qFormat/>
    <w:rsid w:val="00C232D7"/>
    <w:pPr>
      <w:spacing w:after="0" w:line="240" w:lineRule="auto"/>
    </w:pPr>
    <w:rPr>
      <w:rFonts w:ascii="Calibri" w:eastAsia="Calibri" w:hAnsi="Calibri" w:cs="Times New Roman"/>
      <w:sz w:val="20"/>
      <w:szCs w:val="20"/>
    </w:rPr>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52">
    <w:name w:val="Grid Table 4 - Accent 52"/>
    <w:basedOn w:val="TableNormal"/>
    <w:uiPriority w:val="49"/>
    <w:qFormat/>
    <w:rsid w:val="00C232D7"/>
    <w:pPr>
      <w:spacing w:after="0" w:line="240" w:lineRule="auto"/>
    </w:pPr>
    <w:rPr>
      <w:rFonts w:ascii="Calibri" w:eastAsia="Calibri" w:hAnsi="Calibri" w:cs="Times New Roman"/>
      <w:sz w:val="20"/>
      <w:szCs w:val="20"/>
    </w:rPr>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3">
    <w:name w:val="Unresolved Mention3"/>
    <w:basedOn w:val="DefaultParagraphFont"/>
    <w:uiPriority w:val="99"/>
    <w:semiHidden/>
    <w:unhideWhenUsed/>
    <w:qFormat/>
    <w:rsid w:val="00C232D7"/>
    <w:rPr>
      <w:color w:val="605E5C"/>
      <w:shd w:val="clear" w:color="auto" w:fill="E1DFDD"/>
    </w:rPr>
  </w:style>
  <w:style w:type="table" w:customStyle="1" w:styleId="TableGrid10">
    <w:name w:val="TableGrid1"/>
    <w:qFormat/>
    <w:rsid w:val="00C232D7"/>
    <w:pPr>
      <w:spacing w:after="0" w:line="240" w:lineRule="auto"/>
    </w:pPr>
    <w:rPr>
      <w:rFonts w:ascii="Calibri" w:eastAsia="Times New Roman" w:hAnsi="Calibri"/>
    </w:rPr>
    <w:tblPr>
      <w:tblCellMar>
        <w:top w:w="0" w:type="dxa"/>
        <w:left w:w="0" w:type="dxa"/>
        <w:bottom w:w="0" w:type="dxa"/>
        <w:right w:w="0" w:type="dxa"/>
      </w:tblCellMar>
    </w:tblPr>
  </w:style>
  <w:style w:type="table" w:customStyle="1" w:styleId="TableGrid0">
    <w:name w:val="TableGrid"/>
    <w:qFormat/>
    <w:rsid w:val="00C232D7"/>
    <w:pPr>
      <w:spacing w:after="0" w:line="240" w:lineRule="auto"/>
    </w:pPr>
    <w:rPr>
      <w:rFonts w:eastAsiaTheme="minorEastAsia"/>
    </w:rPr>
    <w:tblPr>
      <w:tblCellMar>
        <w:top w:w="0" w:type="dxa"/>
        <w:left w:w="0" w:type="dxa"/>
        <w:bottom w:w="0" w:type="dxa"/>
        <w:right w:w="0" w:type="dxa"/>
      </w:tblCellMar>
    </w:tblPr>
  </w:style>
  <w:style w:type="paragraph" w:customStyle="1" w:styleId="TOCHeading1">
    <w:name w:val="TOC Heading1"/>
    <w:basedOn w:val="Heading1"/>
    <w:next w:val="Normal"/>
    <w:uiPriority w:val="39"/>
    <w:unhideWhenUsed/>
    <w:qFormat/>
    <w:rsid w:val="00C232D7"/>
    <w:pPr>
      <w:keepLines/>
      <w:pBdr>
        <w:bottom w:val="none" w:sz="0" w:space="0" w:color="auto"/>
      </w:pBdr>
      <w:tabs>
        <w:tab w:val="clear" w:pos="709"/>
      </w:tabs>
      <w:spacing w:before="240" w:after="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table" w:customStyle="1" w:styleId="TableGrid20">
    <w:name w:val="TableGrid2"/>
    <w:qFormat/>
    <w:rsid w:val="00C232D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1">
    <w:name w:val="TableGrid11"/>
    <w:qFormat/>
    <w:rsid w:val="00C232D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4">
    <w:name w:val="Table Grid4"/>
    <w:basedOn w:val="TableNormal"/>
    <w:uiPriority w:val="39"/>
    <w:qFormat/>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nkstatt1">
    <w:name w:val="denkstatt1"/>
    <w:basedOn w:val="TableNormal"/>
    <w:next w:val="TableGrid"/>
    <w:uiPriority w:val="5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nkstatt2">
    <w:name w:val="denkstatt2"/>
    <w:basedOn w:val="TableNormal"/>
    <w:next w:val="TableGrid"/>
    <w:uiPriority w:val="5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nkstatt3">
    <w:name w:val="denkstatt3"/>
    <w:basedOn w:val="TableNormal"/>
    <w:next w:val="TableGrid"/>
    <w:uiPriority w:val="5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nkstatt4">
    <w:name w:val="denkstatt4"/>
    <w:basedOn w:val="TableNormal"/>
    <w:next w:val="TableGrid"/>
    <w:uiPriority w:val="5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nkstatt5">
    <w:name w:val="denkstatt5"/>
    <w:basedOn w:val="TableNormal"/>
    <w:next w:val="TableGrid"/>
    <w:uiPriority w:val="5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nkstatt6">
    <w:name w:val="denkstatt6"/>
    <w:basedOn w:val="TableNormal"/>
    <w:next w:val="TableGrid"/>
    <w:uiPriority w:val="5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nkstatt7">
    <w:name w:val="denkstatt7"/>
    <w:basedOn w:val="TableNormal"/>
    <w:next w:val="TableGrid"/>
    <w:uiPriority w:val="5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nkstatt8">
    <w:name w:val="denkstatt8"/>
    <w:basedOn w:val="TableNormal"/>
    <w:next w:val="TableGrid"/>
    <w:uiPriority w:val="5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nkstatt9">
    <w:name w:val="denkstatt9"/>
    <w:basedOn w:val="TableNormal"/>
    <w:next w:val="TableGrid"/>
    <w:uiPriority w:val="5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nkstatt10">
    <w:name w:val="denkstatt10"/>
    <w:basedOn w:val="TableNormal"/>
    <w:next w:val="TableGrid"/>
    <w:uiPriority w:val="5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nkstatt11">
    <w:name w:val="denkstatt11"/>
    <w:basedOn w:val="TableNormal"/>
    <w:next w:val="TableGrid"/>
    <w:uiPriority w:val="5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nkstatt12">
    <w:name w:val="denkstatt12"/>
    <w:basedOn w:val="TableNormal"/>
    <w:next w:val="TableGrid"/>
    <w:uiPriority w:val="5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nkstatt13">
    <w:name w:val="denkstatt13"/>
    <w:basedOn w:val="TableNormal"/>
    <w:next w:val="TableGrid"/>
    <w:uiPriority w:val="5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nkstatt14">
    <w:name w:val="denkstatt14"/>
    <w:basedOn w:val="TableNormal"/>
    <w:next w:val="TableGrid"/>
    <w:uiPriority w:val="5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nkstatt15">
    <w:name w:val="denkstatt15"/>
    <w:basedOn w:val="TableNormal"/>
    <w:next w:val="TableGrid"/>
    <w:uiPriority w:val="3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23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232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232D7"/>
    <w:pPr>
      <w:spacing w:after="0" w:line="240" w:lineRule="auto"/>
    </w:pPr>
    <w:rPr>
      <w:lang w:val="mk-MK"/>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denkstatt16">
    <w:name w:val="denkstatt16"/>
    <w:basedOn w:val="TableNormal"/>
    <w:next w:val="TableGrid"/>
    <w:uiPriority w:val="59"/>
    <w:rsid w:val="00C232D7"/>
    <w:pPr>
      <w:spacing w:before="120" w:after="0" w:line="240" w:lineRule="auto"/>
      <w:ind w:left="1134"/>
    </w:pPr>
    <w:rPr>
      <w:rFonts w:ascii="Times New Roman" w:eastAsia="Calibri"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232D7"/>
    <w:pPr>
      <w:keepLines/>
      <w:pBdr>
        <w:bottom w:val="none" w:sz="0" w:space="0" w:color="auto"/>
      </w:pBdr>
      <w:tabs>
        <w:tab w:val="clear" w:pos="709"/>
      </w:tabs>
      <w:spacing w:before="240" w:after="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UnresolvedMention4">
    <w:name w:val="Unresolved Mention4"/>
    <w:basedOn w:val="DefaultParagraphFont"/>
    <w:uiPriority w:val="99"/>
    <w:semiHidden/>
    <w:unhideWhenUsed/>
    <w:rsid w:val="00C232D7"/>
    <w:rPr>
      <w:color w:val="605E5C"/>
      <w:shd w:val="clear" w:color="auto" w:fill="E1DFDD"/>
    </w:rPr>
  </w:style>
  <w:style w:type="character" w:customStyle="1" w:styleId="UnresolvedMention5">
    <w:name w:val="Unresolved Mention5"/>
    <w:basedOn w:val="DefaultParagraphFont"/>
    <w:uiPriority w:val="99"/>
    <w:semiHidden/>
    <w:unhideWhenUsed/>
    <w:rsid w:val="002544DF"/>
    <w:rPr>
      <w:color w:val="605E5C"/>
      <w:shd w:val="clear" w:color="auto" w:fill="E1DFDD"/>
    </w:rPr>
  </w:style>
  <w:style w:type="paragraph" w:styleId="Revision">
    <w:name w:val="Revision"/>
    <w:hidden/>
    <w:uiPriority w:val="99"/>
    <w:semiHidden/>
    <w:rsid w:val="00E56295"/>
    <w:pPr>
      <w:spacing w:after="0" w:line="240" w:lineRule="auto"/>
    </w:pPr>
    <w:rPr>
      <w:rFonts w:ascii="Times New Roman" w:eastAsia="Calibri" w:hAnsi="Times New Roman" w:cs="Times New Roman"/>
      <w:sz w:val="20"/>
      <w:szCs w:val="20"/>
      <w:lang w:val="en-GB"/>
    </w:rPr>
  </w:style>
  <w:style w:type="character" w:customStyle="1" w:styleId="UnresolvedMention6">
    <w:name w:val="Unresolved Mention6"/>
    <w:basedOn w:val="DefaultParagraphFont"/>
    <w:uiPriority w:val="99"/>
    <w:semiHidden/>
    <w:unhideWhenUsed/>
    <w:rsid w:val="00412D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177994">
      <w:bodyDiv w:val="1"/>
      <w:marLeft w:val="0"/>
      <w:marRight w:val="0"/>
      <w:marTop w:val="0"/>
      <w:marBottom w:val="0"/>
      <w:divBdr>
        <w:top w:val="none" w:sz="0" w:space="0" w:color="auto"/>
        <w:left w:val="none" w:sz="0" w:space="0" w:color="auto"/>
        <w:bottom w:val="none" w:sz="0" w:space="0" w:color="auto"/>
        <w:right w:val="none" w:sz="0" w:space="0" w:color="auto"/>
      </w:divBdr>
    </w:div>
    <w:div w:id="124649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6.png"/><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3.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eader" Target="header4.xml"/><Relationship Id="rId28" Type="http://schemas.openxmlformats.org/officeDocument/2006/relationships/hyperlink" Target="https://sh.wikipedia.org/wiki/Strategija" TargetMode="External"/><Relationship Id="rId10" Type="http://schemas.openxmlformats.org/officeDocument/2006/relationships/footer" Target="footer2.xml"/><Relationship Id="rId19" Type="http://schemas.openxmlformats.org/officeDocument/2006/relationships/header" Target="header2.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header" Target="header6.xml"/></Relationships>
</file>

<file path=word/_rels/footnotes.xml.rels><?xml version="1.0" encoding="UTF-8" standalone="yes"?>
<Relationships xmlns="http://schemas.openxmlformats.org/package/2006/relationships"><Relationship Id="rId8" Type="http://schemas.openxmlformats.org/officeDocument/2006/relationships/hyperlink" Target="https://epa.org.me/informacije-o-stanju-zivotne-sredine/" TargetMode="External"/><Relationship Id="rId13" Type="http://schemas.openxmlformats.org/officeDocument/2006/relationships/hyperlink" Target="https://www.gov.me/dokumenta/e70caf6a-2744-47a7-a7fd-9ced35cc287d" TargetMode="External"/><Relationship Id="rId18" Type="http://schemas.openxmlformats.org/officeDocument/2006/relationships/hyperlink" Target="https://www.gov.me/clanak/saopstenje-sa-47-sjednice-vlade-crne-gore-2" TargetMode="External"/><Relationship Id="rId3" Type="http://schemas.openxmlformats.org/officeDocument/2006/relationships/hyperlink" Target="https://eur-lex.europa.eu/legal-content/HR/TXT/?uri=CELEX:32011D0753" TargetMode="External"/><Relationship Id="rId21" Type="http://schemas.openxmlformats.org/officeDocument/2006/relationships/hyperlink" Target="https://sh.wikipedia.org/w/index.php?title=Fortune_500&amp;action=edit&amp;redlink=1" TargetMode="External"/><Relationship Id="rId7" Type="http://schemas.openxmlformats.org/officeDocument/2006/relationships/hyperlink" Target="https://www.monstat.org/uploads/files/otpad/2023/Stvoreni%20i%20obra%C4%91eni%20otpad%20u%202023.godini.pdf" TargetMode="External"/><Relationship Id="rId12" Type="http://schemas.openxmlformats.org/officeDocument/2006/relationships/hyperlink" Target="https://epa.org.me/wp-content/uploads/2023/09/Informacija-o-stanju-%C5%BEivotne-sredine-za-2022.-godinu.pdf" TargetMode="External"/><Relationship Id="rId17" Type="http://schemas.openxmlformats.org/officeDocument/2006/relationships/hyperlink" Target="https://www.monstat.org/cg/page.php?id=24&amp;pageid=24" TargetMode="External"/><Relationship Id="rId2" Type="http://schemas.openxmlformats.org/officeDocument/2006/relationships/hyperlink" Target="https://eur-lex.europa.eu/legal-content/HR/TXT/PDF/?uri=CELEX:32018L0851" TargetMode="External"/><Relationship Id="rId16" Type="http://schemas.openxmlformats.org/officeDocument/2006/relationships/hyperlink" Target="https://greenbestpractice.jrc.ec.europa.eu/node/79" TargetMode="External"/><Relationship Id="rId20" Type="http://schemas.openxmlformats.org/officeDocument/2006/relationships/hyperlink" Target="https://sh.wikipedia.org/w/index.php?title=Albert_Hamfri&amp;action=edit&amp;redlink=1" TargetMode="External"/><Relationship Id="rId1" Type="http://schemas.openxmlformats.org/officeDocument/2006/relationships/hyperlink" Target="http://www.eea.europa.eu/themes/waste/intro" TargetMode="External"/><Relationship Id="rId6" Type="http://schemas.openxmlformats.org/officeDocument/2006/relationships/hyperlink" Target="https://www.monstat.org/uploads/files/otpad/2022/Stvoreni%20i%20obra%C4%91eni%20otpad%20u%202022.godini.pdf" TargetMode="External"/><Relationship Id="rId11" Type="http://schemas.openxmlformats.org/officeDocument/2006/relationships/hyperlink" Target="https://eko-fond.co.me/" TargetMode="External"/><Relationship Id="rId5" Type="http://schemas.openxmlformats.org/officeDocument/2006/relationships/hyperlink" Target="https://www.monstat.org/uploads/files/otpad/2023/Stvoreni%20i%20obra%C4%91eni%20otpad%20u%202023.godini.pdf" TargetMode="External"/><Relationship Id="rId15" Type="http://schemas.openxmlformats.org/officeDocument/2006/relationships/hyperlink" Target="https://www.monstat.org/uploads/files/otpad/2023/Stvoreni%20i%20obra%C4%91eni%20otpad%20u%202023.godini.pdf" TargetMode="External"/><Relationship Id="rId10" Type="http://schemas.openxmlformats.org/officeDocument/2006/relationships/hyperlink" Target="https://epa.org.me/" TargetMode="External"/><Relationship Id="rId19" Type="http://schemas.openxmlformats.org/officeDocument/2006/relationships/hyperlink" Target="https://sh.wikipedia.org/wiki/Akronim" TargetMode="External"/><Relationship Id="rId4" Type="http://schemas.openxmlformats.org/officeDocument/2006/relationships/hyperlink" Target="https://www.monstat.org/uploads/files/otpad/2022/Stvoreni%20i%20obra%C4%91eni%20otpad%20u%202022.godini.pdf" TargetMode="External"/><Relationship Id="rId9" Type="http://schemas.openxmlformats.org/officeDocument/2006/relationships/hyperlink" Target="https://www.monstat.org/uploads/files/otpad/2023/Stvoreni%20i%20obra%C4%91eni%20otpad%20u%202023.godini.pdf" TargetMode="External"/><Relationship Id="rId14" Type="http://schemas.openxmlformats.org/officeDocument/2006/relationships/hyperlink" Target="https://briwildlife.org/wp-content/uploads/2021/09/Lo-Res-Montenegro-Brochure-6-07-17.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1F5-405B-A7E8-7D37761515F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1F5-405B-A7E8-7D37761515F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1F5-405B-A7E8-7D37761515F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1F5-405B-A7E8-7D37761515F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45BA-4F55-BC5D-9BBB1A167577}"/>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45BA-4F55-BC5D-9BBB1A167577}"/>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45BA-4F55-BC5D-9BBB1A167577}"/>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45BA-4F55-BC5D-9BBB1A167577}"/>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45BA-4F55-BC5D-9BBB1A167577}"/>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45BA-4F55-BC5D-9BBB1A167577}"/>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45BA-4F55-BC5D-9BBB1A167577}"/>
              </c:ext>
            </c:extLst>
          </c:dPt>
          <c:dPt>
            <c:idx val="11"/>
            <c:bubble3D val="0"/>
            <c:spPr>
              <a:solidFill>
                <a:schemeClr val="accent6">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7-45BA-4F55-BC5D-9BBB1A167577}"/>
              </c:ext>
            </c:extLst>
          </c:dPt>
          <c:dPt>
            <c:idx val="12"/>
            <c:bubble3D val="0"/>
            <c:spPr>
              <a:solidFill>
                <a:schemeClr val="accent1">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9-45BA-4F55-BC5D-9BBB1A167577}"/>
              </c:ext>
            </c:extLst>
          </c:dPt>
          <c:dPt>
            <c:idx val="13"/>
            <c:bubble3D val="0"/>
            <c:spPr>
              <a:solidFill>
                <a:schemeClr val="accent2">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B-45BA-4F55-BC5D-9BBB1A167577}"/>
              </c:ext>
            </c:extLst>
          </c:dPt>
          <c:dPt>
            <c:idx val="14"/>
            <c:bubble3D val="0"/>
            <c:spPr>
              <a:solidFill>
                <a:schemeClr val="accent3">
                  <a:lumMod val="80000"/>
                  <a:lumOff val="2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D-45BA-4F55-BC5D-9BBB1A167577}"/>
              </c:ext>
            </c:extLst>
          </c:dPt>
          <c:cat>
            <c:strRef>
              <c:f>Sheet1!$A$2:$A$16</c:f>
              <c:strCache>
                <c:ptCount val="15"/>
                <c:pt idx="0">
                  <c:v>Organski otpad</c:v>
                </c:pt>
                <c:pt idx="1">
                  <c:v>Otpad iz kuhinja/pijaca</c:v>
                </c:pt>
                <c:pt idx="2">
                  <c:v>Otpad iz vrtova i parkova</c:v>
                </c:pt>
                <c:pt idx="3">
                  <c:v>Plastika</c:v>
                </c:pt>
                <c:pt idx="4">
                  <c:v>Papir/karton</c:v>
                </c:pt>
                <c:pt idx="5">
                  <c:v>Kompozitno pakovanje</c:v>
                </c:pt>
                <c:pt idx="6">
                  <c:v>Metali</c:v>
                </c:pt>
                <c:pt idx="7">
                  <c:v>Crni metali</c:v>
                </c:pt>
                <c:pt idx="8">
                  <c:v>Obojeni metali</c:v>
                </c:pt>
                <c:pt idx="9">
                  <c:v>Staklo</c:v>
                </c:pt>
                <c:pt idx="10">
                  <c:v>Drvo</c:v>
                </c:pt>
                <c:pt idx="11">
                  <c:v>Tekstil</c:v>
                </c:pt>
                <c:pt idx="12">
                  <c:v>Ostalo</c:v>
                </c:pt>
                <c:pt idx="13">
                  <c:v>Inertni otpad</c:v>
                </c:pt>
                <c:pt idx="14">
                  <c:v>Kabasti otpad</c:v>
                </c:pt>
              </c:strCache>
            </c:strRef>
          </c:cat>
          <c:val>
            <c:numRef>
              <c:f>Sheet1!$B$2:$B$16</c:f>
              <c:numCache>
                <c:formatCode>0.00%</c:formatCode>
                <c:ptCount val="15"/>
                <c:pt idx="0">
                  <c:v>0.40699999999999997</c:v>
                </c:pt>
                <c:pt idx="1">
                  <c:v>0.33300000000000002</c:v>
                </c:pt>
                <c:pt idx="2">
                  <c:v>7.3999999999999996E-2</c:v>
                </c:pt>
                <c:pt idx="3">
                  <c:v>0.153</c:v>
                </c:pt>
                <c:pt idx="4">
                  <c:v>0.151</c:v>
                </c:pt>
                <c:pt idx="5">
                  <c:v>2.5999999999999999E-2</c:v>
                </c:pt>
                <c:pt idx="6">
                  <c:v>3.3000000000000002E-2</c:v>
                </c:pt>
                <c:pt idx="7">
                  <c:v>1.7999999999999999E-2</c:v>
                </c:pt>
                <c:pt idx="8">
                  <c:v>1.4999999999999999E-2</c:v>
                </c:pt>
                <c:pt idx="9">
                  <c:v>5.7000000000000002E-2</c:v>
                </c:pt>
                <c:pt idx="10">
                  <c:v>2.5000000000000001E-2</c:v>
                </c:pt>
                <c:pt idx="11">
                  <c:v>3.3000000000000002E-2</c:v>
                </c:pt>
                <c:pt idx="12">
                  <c:v>0.11600000000000001</c:v>
                </c:pt>
                <c:pt idx="13">
                  <c:v>1.6E-2</c:v>
                </c:pt>
                <c:pt idx="14">
                  <c:v>1.6E-2</c:v>
                </c:pt>
              </c:numCache>
            </c:numRef>
          </c:val>
          <c:extLst xmlns:c16r2="http://schemas.microsoft.com/office/drawing/2015/06/chart">
            <c:ext xmlns:c16="http://schemas.microsoft.com/office/drawing/2014/chart" uri="{C3380CC4-5D6E-409C-BE32-E72D297353CC}">
              <c16:uniqueId val="{00000000-3E86-4599-B63E-73858BF69960}"/>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7.4978026675574502E-2"/>
          <c:y val="0.76832601573803583"/>
          <c:w val="0.85004378128046398"/>
          <c:h val="0.2094588144745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A36BD-0C8B-4295-87C0-F659037E5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1</Pages>
  <Words>78233</Words>
  <Characters>483483</Characters>
  <Application>Microsoft Office Word</Application>
  <DocSecurity>0</DocSecurity>
  <Lines>16671</Lines>
  <Paragraphs>10598</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551118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44</cp:revision>
  <cp:lastPrinted>2025-02-11T13:54:00Z</cp:lastPrinted>
  <dcterms:created xsi:type="dcterms:W3CDTF">2025-03-18T09:11:00Z</dcterms:created>
  <dcterms:modified xsi:type="dcterms:W3CDTF">2025-03-20T08:05:00Z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aa6decb4-6272-4027-90a0-595b82824f67</vt:lpwstr>
  </property>
</Properties>
</file>